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before="62"/>
        <w:ind w:right="595"/>
      </w:pPr>
      <w:r>
        <w:rPr/>
        <w:t>CHAPTER</w:t>
      </w:r>
      <w:r>
        <w:rPr>
          <w:spacing w:val="-8"/>
        </w:rPr>
        <w:t> </w:t>
      </w:r>
      <w:r>
        <w:rPr>
          <w:spacing w:val="-5"/>
        </w:rPr>
        <w:t>ONE</w:t>
      </w:r>
    </w:p>
    <w:p>
      <w:pPr>
        <w:pStyle w:val="Heading2"/>
        <w:ind w:right="601"/>
      </w:pPr>
      <w:r>
        <w:rPr>
          <w:spacing w:val="-2"/>
        </w:rPr>
        <w:t>INTRODUCTION</w:t>
      </w:r>
    </w:p>
    <w:p>
      <w:pPr>
        <w:pStyle w:val="BodyText"/>
        <w:spacing w:before="196"/>
        <w:rPr>
          <w:b/>
          <w:sz w:val="26"/>
        </w:rPr>
      </w:pPr>
    </w:p>
    <w:p>
      <w:pPr>
        <w:pStyle w:val="Heading3"/>
        <w:numPr>
          <w:ilvl w:val="1"/>
          <w:numId w:val="1"/>
        </w:numPr>
        <w:tabs>
          <w:tab w:pos="758" w:val="left" w:leader="none"/>
        </w:tabs>
        <w:spacing w:line="240" w:lineRule="auto" w:before="1" w:after="0"/>
        <w:ind w:left="758" w:right="0" w:hanging="518"/>
        <w:jc w:val="both"/>
      </w:pPr>
      <w:r>
        <w:rPr/>
        <w:t>Background</w:t>
      </w:r>
      <w:r>
        <w:rPr>
          <w:spacing w:val="-6"/>
        </w:rPr>
        <w:t> </w:t>
      </w:r>
      <w:r>
        <w:rPr/>
        <w:t>to</w:t>
      </w:r>
      <w:r>
        <w:rPr>
          <w:spacing w:val="-4"/>
        </w:rPr>
        <w:t> </w:t>
      </w:r>
      <w:r>
        <w:rPr/>
        <w:t>the</w:t>
      </w:r>
      <w:r>
        <w:rPr>
          <w:spacing w:val="-6"/>
        </w:rPr>
        <w:t> </w:t>
      </w:r>
      <w:r>
        <w:rPr>
          <w:spacing w:val="-2"/>
        </w:rPr>
        <w:t>Study</w:t>
      </w:r>
    </w:p>
    <w:p>
      <w:pPr>
        <w:pStyle w:val="BodyText"/>
        <w:spacing w:line="360" w:lineRule="auto" w:before="161"/>
        <w:ind w:left="240" w:right="835"/>
        <w:jc w:val="both"/>
      </w:pPr>
      <w:r>
        <w:rPr/>
        <w:t>Planning,</w:t>
      </w:r>
      <w:r>
        <w:rPr>
          <w:spacing w:val="-4"/>
        </w:rPr>
        <w:t> </w:t>
      </w:r>
      <w:r>
        <w:rPr/>
        <w:t>allocation</w:t>
      </w:r>
      <w:r>
        <w:rPr>
          <w:spacing w:val="-2"/>
        </w:rPr>
        <w:t> </w:t>
      </w:r>
      <w:r>
        <w:rPr/>
        <w:t>and</w:t>
      </w:r>
      <w:r>
        <w:rPr>
          <w:spacing w:val="-2"/>
        </w:rPr>
        <w:t> </w:t>
      </w:r>
      <w:r>
        <w:rPr/>
        <w:t>utilization</w:t>
      </w:r>
      <w:r>
        <w:rPr>
          <w:spacing w:val="-4"/>
        </w:rPr>
        <w:t> </w:t>
      </w:r>
      <w:r>
        <w:rPr/>
        <w:t>of</w:t>
      </w:r>
      <w:r>
        <w:rPr>
          <w:spacing w:val="-4"/>
        </w:rPr>
        <w:t> </w:t>
      </w:r>
      <w:r>
        <w:rPr/>
        <w:t>financial</w:t>
      </w:r>
      <w:r>
        <w:rPr>
          <w:spacing w:val="-4"/>
        </w:rPr>
        <w:t> </w:t>
      </w:r>
      <w:r>
        <w:rPr/>
        <w:t>resources</w:t>
      </w:r>
      <w:r>
        <w:rPr>
          <w:spacing w:val="-4"/>
        </w:rPr>
        <w:t> </w:t>
      </w:r>
      <w:r>
        <w:rPr/>
        <w:t>for</w:t>
      </w:r>
      <w:r>
        <w:rPr>
          <w:spacing w:val="-4"/>
        </w:rPr>
        <w:t> </w:t>
      </w:r>
      <w:r>
        <w:rPr/>
        <w:t>projects</w:t>
      </w:r>
      <w:r>
        <w:rPr>
          <w:spacing w:val="-4"/>
        </w:rPr>
        <w:t> </w:t>
      </w:r>
      <w:r>
        <w:rPr/>
        <w:t>are</w:t>
      </w:r>
      <w:r>
        <w:rPr>
          <w:spacing w:val="-4"/>
        </w:rPr>
        <w:t> </w:t>
      </w:r>
      <w:r>
        <w:rPr/>
        <w:t>crucial</w:t>
      </w:r>
      <w:r>
        <w:rPr>
          <w:spacing w:val="-4"/>
        </w:rPr>
        <w:t> </w:t>
      </w:r>
      <w:r>
        <w:rPr/>
        <w:t>decisions for</w:t>
      </w:r>
      <w:r>
        <w:rPr>
          <w:spacing w:val="-5"/>
        </w:rPr>
        <w:t> </w:t>
      </w:r>
      <w:r>
        <w:rPr/>
        <w:t>the actualization of corporate objectives in private and public organizations. The budgeting process</w:t>
      </w:r>
      <w:r>
        <w:rPr>
          <w:spacing w:val="40"/>
        </w:rPr>
        <w:t> </w:t>
      </w:r>
      <w:r>
        <w:rPr/>
        <w:t>is employed to integrate these decisions (Shapiro, 2001; Ugwu, 2006; Ekewealor, 2007; Ugoo, 2008, Fort, 2012). In private organizations, the bottom line is profit. However, budgeting in the public sector or government establishments is concerned with enhancing the welfare of citizens; via the provision of infrastructure and services for the people. Meyers (1999) emphasizes that, because time and wealth are scarce resources to all organizations, including the government, effective utilization of these resources requires careful planning and control, which a budget seeks to achieve. Hence, the need for an efficient budgeting process to allocate scarce resources to vital sectors of an economy in an informed manner.</w:t>
      </w:r>
    </w:p>
    <w:p>
      <w:pPr>
        <w:pStyle w:val="BodyText"/>
        <w:spacing w:line="360" w:lineRule="auto" w:before="274"/>
        <w:ind w:left="240" w:right="838"/>
        <w:jc w:val="both"/>
      </w:pPr>
      <w:r>
        <w:rPr/>
        <w:t>Budgeting in its generic sense is defined as a financial and quantitative statement, prepared and approved prior</w:t>
      </w:r>
      <w:r>
        <w:rPr>
          <w:spacing w:val="-1"/>
        </w:rPr>
        <w:t> </w:t>
      </w:r>
      <w:r>
        <w:rPr/>
        <w:t>to a</w:t>
      </w:r>
      <w:r>
        <w:rPr>
          <w:spacing w:val="-1"/>
        </w:rPr>
        <w:t> </w:t>
      </w:r>
      <w:r>
        <w:rPr/>
        <w:t>defined period,</w:t>
      </w:r>
      <w:r>
        <w:rPr>
          <w:spacing w:val="-1"/>
        </w:rPr>
        <w:t> </w:t>
      </w:r>
      <w:r>
        <w:rPr/>
        <w:t>of</w:t>
      </w:r>
      <w:r>
        <w:rPr>
          <w:spacing w:val="-1"/>
        </w:rPr>
        <w:t> </w:t>
      </w:r>
      <w:r>
        <w:rPr/>
        <w:t>the</w:t>
      </w:r>
      <w:r>
        <w:rPr>
          <w:spacing w:val="-1"/>
        </w:rPr>
        <w:t> </w:t>
      </w:r>
      <w:r>
        <w:rPr/>
        <w:t>policy</w:t>
      </w:r>
      <w:r>
        <w:rPr>
          <w:spacing w:val="-5"/>
        </w:rPr>
        <w:t> </w:t>
      </w:r>
      <w:r>
        <w:rPr/>
        <w:t>to be</w:t>
      </w:r>
      <w:r>
        <w:rPr>
          <w:spacing w:val="-1"/>
        </w:rPr>
        <w:t> </w:t>
      </w:r>
      <w:r>
        <w:rPr/>
        <w:t>pursued during</w:t>
      </w:r>
      <w:r>
        <w:rPr>
          <w:spacing w:val="-3"/>
        </w:rPr>
        <w:t> </w:t>
      </w:r>
      <w:r>
        <w:rPr/>
        <w:t>that period,</w:t>
      </w:r>
      <w:r>
        <w:rPr>
          <w:spacing w:val="-1"/>
        </w:rPr>
        <w:t> </w:t>
      </w:r>
      <w:r>
        <w:rPr/>
        <w:t>for</w:t>
      </w:r>
      <w:r>
        <w:rPr>
          <w:spacing w:val="-2"/>
        </w:rPr>
        <w:t> </w:t>
      </w:r>
      <w:r>
        <w:rPr/>
        <w:t>the</w:t>
      </w:r>
      <w:r>
        <w:rPr>
          <w:spacing w:val="-1"/>
        </w:rPr>
        <w:t> </w:t>
      </w:r>
      <w:r>
        <w:rPr/>
        <w:t>purpose of attaining</w:t>
      </w:r>
      <w:r>
        <w:rPr>
          <w:spacing w:val="-1"/>
        </w:rPr>
        <w:t> </w:t>
      </w:r>
      <w:r>
        <w:rPr/>
        <w:t>a given objective. It represents a detailed plan of action that is prepared in relation to a particular period of time. The budgetary process translates financial resources into human purposes (Ekaete,1989; Chartered Institute of Cost and Management Accountants (CICMA), 2003; Kafareti, 2006). In addition to this, Ugoo (2008) submits that a well prepared budget acts as a mechanism to plan for revenue and expenses related to specific operations within a given time frame.</w:t>
      </w:r>
    </w:p>
    <w:p>
      <w:pPr>
        <w:pStyle w:val="BodyText"/>
        <w:spacing w:before="35"/>
      </w:pPr>
    </w:p>
    <w:p>
      <w:pPr>
        <w:pStyle w:val="BodyText"/>
        <w:spacing w:line="360" w:lineRule="auto"/>
        <w:ind w:left="240" w:right="838"/>
        <w:jc w:val="both"/>
      </w:pPr>
      <w:r>
        <w:rPr/>
        <w:t>The government or public budget is more encompassing, than the generic definition of a budget. It</w:t>
      </w:r>
      <w:r>
        <w:rPr>
          <w:spacing w:val="-1"/>
        </w:rPr>
        <w:t> </w:t>
      </w:r>
      <w:r>
        <w:rPr/>
        <w:t>not</w:t>
      </w:r>
      <w:r>
        <w:rPr>
          <w:spacing w:val="-1"/>
        </w:rPr>
        <w:t> </w:t>
      </w:r>
      <w:r>
        <w:rPr/>
        <w:t>only</w:t>
      </w:r>
      <w:r>
        <w:rPr>
          <w:spacing w:val="-6"/>
        </w:rPr>
        <w:t> </w:t>
      </w:r>
      <w:r>
        <w:rPr/>
        <w:t>contains</w:t>
      </w:r>
      <w:r>
        <w:rPr>
          <w:spacing w:val="-1"/>
        </w:rPr>
        <w:t> </w:t>
      </w:r>
      <w:r>
        <w:rPr/>
        <w:t>estimate</w:t>
      </w:r>
      <w:r>
        <w:rPr>
          <w:spacing w:val="-2"/>
        </w:rPr>
        <w:t> </w:t>
      </w:r>
      <w:r>
        <w:rPr/>
        <w:t>of</w:t>
      </w:r>
      <w:r>
        <w:rPr>
          <w:spacing w:val="-2"/>
        </w:rPr>
        <w:t> </w:t>
      </w:r>
      <w:r>
        <w:rPr/>
        <w:t>incomes</w:t>
      </w:r>
      <w:r>
        <w:rPr>
          <w:spacing w:val="-1"/>
        </w:rPr>
        <w:t> </w:t>
      </w:r>
      <w:r>
        <w:rPr/>
        <w:t>and</w:t>
      </w:r>
      <w:r>
        <w:rPr>
          <w:spacing w:val="-1"/>
        </w:rPr>
        <w:t> </w:t>
      </w:r>
      <w:r>
        <w:rPr/>
        <w:t>expenditure</w:t>
      </w:r>
      <w:r>
        <w:rPr>
          <w:spacing w:val="-2"/>
        </w:rPr>
        <w:t> </w:t>
      </w:r>
      <w:r>
        <w:rPr/>
        <w:t>(Federal</w:t>
      </w:r>
      <w:r>
        <w:rPr>
          <w:spacing w:val="-1"/>
        </w:rPr>
        <w:t> </w:t>
      </w:r>
      <w:r>
        <w:rPr/>
        <w:t>Government</w:t>
      </w:r>
      <w:r>
        <w:rPr>
          <w:spacing w:val="-1"/>
        </w:rPr>
        <w:t> </w:t>
      </w:r>
      <w:r>
        <w:rPr/>
        <w:t>of</w:t>
      </w:r>
      <w:r>
        <w:rPr>
          <w:spacing w:val="-2"/>
        </w:rPr>
        <w:t> </w:t>
      </w:r>
      <w:r>
        <w:rPr/>
        <w:t>Nigeria,</w:t>
      </w:r>
      <w:r>
        <w:rPr>
          <w:spacing w:val="-1"/>
        </w:rPr>
        <w:t> </w:t>
      </w:r>
      <w:r>
        <w:rPr/>
        <w:t>1999), but also proposes policy thrusts particularly with regards to the direction which the economy is expected</w:t>
      </w:r>
      <w:r>
        <w:rPr>
          <w:spacing w:val="-2"/>
        </w:rPr>
        <w:t> </w:t>
      </w:r>
      <w:r>
        <w:rPr/>
        <w:t>to</w:t>
      </w:r>
      <w:r>
        <w:rPr>
          <w:spacing w:val="-1"/>
        </w:rPr>
        <w:t> </w:t>
      </w:r>
      <w:r>
        <w:rPr/>
        <w:t>follow (Altinyele,</w:t>
      </w:r>
      <w:r>
        <w:rPr>
          <w:spacing w:val="-1"/>
        </w:rPr>
        <w:t> </w:t>
      </w:r>
      <w:r>
        <w:rPr/>
        <w:t>1980). To corroborate</w:t>
      </w:r>
      <w:r>
        <w:rPr>
          <w:spacing w:val="-2"/>
        </w:rPr>
        <w:t> </w:t>
      </w:r>
      <w:r>
        <w:rPr/>
        <w:t>this,</w:t>
      </w:r>
      <w:r>
        <w:rPr>
          <w:spacing w:val="-1"/>
        </w:rPr>
        <w:t> </w:t>
      </w:r>
      <w:r>
        <w:rPr/>
        <w:t>Aderibigbe (2012),</w:t>
      </w:r>
      <w:r>
        <w:rPr>
          <w:spacing w:val="-1"/>
        </w:rPr>
        <w:t> </w:t>
      </w:r>
      <w:r>
        <w:rPr/>
        <w:t>established that</w:t>
      </w:r>
      <w:r>
        <w:rPr>
          <w:spacing w:val="-1"/>
        </w:rPr>
        <w:t> </w:t>
      </w:r>
      <w:r>
        <w:rPr/>
        <w:t>the role of a budget in an economy cannot be overemphasized, because it is an important tool for economic planning, resource mobilization, allocation and control.</w:t>
      </w:r>
    </w:p>
    <w:p>
      <w:pPr>
        <w:spacing w:after="0" w:line="360" w:lineRule="auto"/>
        <w:jc w:val="both"/>
        <w:sectPr>
          <w:footerReference w:type="default" r:id="rId5"/>
          <w:type w:val="continuous"/>
          <w:pgSz w:w="12240" w:h="15840"/>
          <w:pgMar w:header="0" w:footer="1036" w:top="1520" w:bottom="1220" w:left="1200" w:right="600"/>
          <w:pgNumType w:start="1"/>
        </w:sectPr>
      </w:pPr>
    </w:p>
    <w:p>
      <w:pPr>
        <w:pStyle w:val="BodyText"/>
        <w:spacing w:line="360" w:lineRule="auto" w:before="74"/>
        <w:ind w:left="240" w:right="838"/>
        <w:jc w:val="both"/>
      </w:pPr>
      <w:r>
        <w:rPr/>
        <w:t>Fort (2012) surmises that a public budget is a very important tool for financial planning, economic</w:t>
      </w:r>
      <w:r>
        <w:rPr>
          <w:spacing w:val="-2"/>
        </w:rPr>
        <w:t> </w:t>
      </w:r>
      <w:r>
        <w:rPr/>
        <w:t>policy</w:t>
      </w:r>
      <w:r>
        <w:rPr>
          <w:spacing w:val="-6"/>
        </w:rPr>
        <w:t> </w:t>
      </w:r>
      <w:r>
        <w:rPr/>
        <w:t>and</w:t>
      </w:r>
      <w:r>
        <w:rPr>
          <w:spacing w:val="-1"/>
        </w:rPr>
        <w:t> </w:t>
      </w:r>
      <w:r>
        <w:rPr/>
        <w:t>development</w:t>
      </w:r>
      <w:r>
        <w:rPr>
          <w:spacing w:val="-1"/>
        </w:rPr>
        <w:t> </w:t>
      </w:r>
      <w:r>
        <w:rPr/>
        <w:t>and</w:t>
      </w:r>
      <w:r>
        <w:rPr>
          <w:spacing w:val="-1"/>
        </w:rPr>
        <w:t> </w:t>
      </w:r>
      <w:r>
        <w:rPr/>
        <w:t>is</w:t>
      </w:r>
      <w:r>
        <w:rPr>
          <w:spacing w:val="-1"/>
        </w:rPr>
        <w:t> </w:t>
      </w:r>
      <w:r>
        <w:rPr/>
        <w:t>regarded as</w:t>
      </w:r>
      <w:r>
        <w:rPr>
          <w:spacing w:val="-1"/>
        </w:rPr>
        <w:t> </w:t>
      </w:r>
      <w:r>
        <w:rPr/>
        <w:t>the</w:t>
      </w:r>
      <w:r>
        <w:rPr>
          <w:spacing w:val="-2"/>
        </w:rPr>
        <w:t> </w:t>
      </w:r>
      <w:r>
        <w:rPr/>
        <w:t>most crucial</w:t>
      </w:r>
      <w:r>
        <w:rPr>
          <w:spacing w:val="-1"/>
        </w:rPr>
        <w:t> </w:t>
      </w:r>
      <w:r>
        <w:rPr/>
        <w:t>instrument</w:t>
      </w:r>
      <w:r>
        <w:rPr>
          <w:spacing w:val="-1"/>
        </w:rPr>
        <w:t> </w:t>
      </w:r>
      <w:r>
        <w:rPr/>
        <w:t>for governance. This is because it not only provides leaders access to state resources, it also sets out a platform for allocating these resources for the welfare of the people. Budgets are critical for the performance of the primary function of every government, which is to provide public goods and services (welfare) as enshrined in the constitution. According to Emma (2001) and Ekewealor (2007), it contains the government‘s proposed policy initiatives and targets to be achieved in</w:t>
      </w:r>
      <w:r>
        <w:rPr>
          <w:spacing w:val="40"/>
        </w:rPr>
        <w:t> </w:t>
      </w:r>
      <w:r>
        <w:rPr/>
        <w:t>both physical and financial terms. For the purpose of estimating financial requirements of</w:t>
      </w:r>
      <w:r>
        <w:rPr>
          <w:spacing w:val="40"/>
        </w:rPr>
        <w:t> </w:t>
      </w:r>
      <w:r>
        <w:rPr/>
        <w:t>various sectors of an economy, most governments adopt the system of annual budgeting.</w:t>
      </w:r>
    </w:p>
    <w:p>
      <w:pPr>
        <w:pStyle w:val="BodyText"/>
        <w:spacing w:line="360" w:lineRule="auto" w:before="209"/>
        <w:ind w:left="240" w:right="838"/>
        <w:jc w:val="both"/>
      </w:pPr>
      <w:r>
        <w:rPr/>
        <w:t>According</w:t>
      </w:r>
      <w:r>
        <w:rPr>
          <w:spacing w:val="-3"/>
        </w:rPr>
        <w:t> </w:t>
      </w:r>
      <w:r>
        <w:rPr/>
        <w:t>to Chark</w:t>
      </w:r>
      <w:r>
        <w:rPr>
          <w:spacing w:val="-1"/>
        </w:rPr>
        <w:t> </w:t>
      </w:r>
      <w:r>
        <w:rPr/>
        <w:t>(1995), budget also helps to measure</w:t>
      </w:r>
      <w:r>
        <w:rPr>
          <w:spacing w:val="-2"/>
        </w:rPr>
        <w:t> </w:t>
      </w:r>
      <w:r>
        <w:rPr/>
        <w:t>efficiency</w:t>
      </w:r>
      <w:r>
        <w:rPr>
          <w:spacing w:val="-5"/>
        </w:rPr>
        <w:t> </w:t>
      </w:r>
      <w:r>
        <w:rPr/>
        <w:t>and inefficiency</w:t>
      </w:r>
      <w:r>
        <w:rPr>
          <w:spacing w:val="-5"/>
        </w:rPr>
        <w:t> </w:t>
      </w:r>
      <w:r>
        <w:rPr/>
        <w:t>in a</w:t>
      </w:r>
      <w:r>
        <w:rPr>
          <w:spacing w:val="-1"/>
        </w:rPr>
        <w:t> </w:t>
      </w:r>
      <w:r>
        <w:rPr/>
        <w:t>system. In view</w:t>
      </w:r>
      <w:r>
        <w:rPr>
          <w:spacing w:val="-1"/>
        </w:rPr>
        <w:t> </w:t>
      </w:r>
      <w:r>
        <w:rPr/>
        <w:t>of</w:t>
      </w:r>
      <w:r>
        <w:rPr>
          <w:spacing w:val="-1"/>
        </w:rPr>
        <w:t> </w:t>
      </w:r>
      <w:r>
        <w:rPr/>
        <w:t>this, Curristine, Zsuzsanna, &amp; Journard</w:t>
      </w:r>
      <w:r>
        <w:rPr>
          <w:spacing w:val="-1"/>
        </w:rPr>
        <w:t> </w:t>
      </w:r>
      <w:r>
        <w:rPr/>
        <w:t>(2007)</w:t>
      </w:r>
      <w:r>
        <w:rPr>
          <w:spacing w:val="-1"/>
        </w:rPr>
        <w:t> </w:t>
      </w:r>
      <w:r>
        <w:rPr/>
        <w:t>clearly</w:t>
      </w:r>
      <w:r>
        <w:rPr>
          <w:spacing w:val="-5"/>
        </w:rPr>
        <w:t> </w:t>
      </w:r>
      <w:r>
        <w:rPr/>
        <w:t>emphasize</w:t>
      </w:r>
      <w:r>
        <w:rPr>
          <w:spacing w:val="-1"/>
        </w:rPr>
        <w:t> </w:t>
      </w:r>
      <w:r>
        <w:rPr/>
        <w:t>that for efficiency</w:t>
      </w:r>
      <w:r>
        <w:rPr>
          <w:spacing w:val="-5"/>
        </w:rPr>
        <w:t> </w:t>
      </w:r>
      <w:r>
        <w:rPr/>
        <w:t>in public organizations to be achieved, budget practices and procedures must be changed or improved and result-oriented approaches to budgeting introduced.</w:t>
      </w:r>
    </w:p>
    <w:p>
      <w:pPr>
        <w:pStyle w:val="BodyText"/>
        <w:spacing w:before="14"/>
      </w:pPr>
    </w:p>
    <w:p>
      <w:pPr>
        <w:pStyle w:val="BodyText"/>
        <w:spacing w:line="360" w:lineRule="auto" w:before="1"/>
        <w:ind w:left="240" w:right="837"/>
        <w:jc w:val="both"/>
      </w:pPr>
      <w:r>
        <w:rPr/>
        <w:t>A</w:t>
      </w:r>
      <w:r>
        <w:rPr>
          <w:spacing w:val="-2"/>
        </w:rPr>
        <w:t> </w:t>
      </w:r>
      <w:r>
        <w:rPr/>
        <w:t>budget</w:t>
      </w:r>
      <w:r>
        <w:rPr>
          <w:spacing w:val="-1"/>
        </w:rPr>
        <w:t> </w:t>
      </w:r>
      <w:r>
        <w:rPr/>
        <w:t>constituent</w:t>
      </w:r>
      <w:r>
        <w:rPr>
          <w:spacing w:val="-1"/>
        </w:rPr>
        <w:t> </w:t>
      </w:r>
      <w:r>
        <w:rPr/>
        <w:t>of</w:t>
      </w:r>
      <w:r>
        <w:rPr>
          <w:spacing w:val="-2"/>
        </w:rPr>
        <w:t> </w:t>
      </w:r>
      <w:r>
        <w:rPr/>
        <w:t>the</w:t>
      </w:r>
      <w:r>
        <w:rPr>
          <w:spacing w:val="-2"/>
        </w:rPr>
        <w:t> </w:t>
      </w:r>
      <w:r>
        <w:rPr/>
        <w:t>Nigerian</w:t>
      </w:r>
      <w:r>
        <w:rPr>
          <w:spacing w:val="-1"/>
        </w:rPr>
        <w:t> </w:t>
      </w:r>
      <w:r>
        <w:rPr/>
        <w:t>government, at</w:t>
      </w:r>
      <w:r>
        <w:rPr>
          <w:spacing w:val="-1"/>
        </w:rPr>
        <w:t> </w:t>
      </w:r>
      <w:r>
        <w:rPr/>
        <w:t>both</w:t>
      </w:r>
      <w:r>
        <w:rPr>
          <w:spacing w:val="-1"/>
        </w:rPr>
        <w:t> </w:t>
      </w:r>
      <w:r>
        <w:rPr/>
        <w:t>the</w:t>
      </w:r>
      <w:r>
        <w:rPr>
          <w:spacing w:val="-2"/>
        </w:rPr>
        <w:t> </w:t>
      </w:r>
      <w:r>
        <w:rPr/>
        <w:t>federal</w:t>
      </w:r>
      <w:r>
        <w:rPr>
          <w:spacing w:val="-1"/>
        </w:rPr>
        <w:t> </w:t>
      </w:r>
      <w:r>
        <w:rPr/>
        <w:t>and</w:t>
      </w:r>
      <w:r>
        <w:rPr>
          <w:spacing w:val="-1"/>
        </w:rPr>
        <w:t> </w:t>
      </w:r>
      <w:r>
        <w:rPr/>
        <w:t>state</w:t>
      </w:r>
      <w:r>
        <w:rPr>
          <w:spacing w:val="-2"/>
        </w:rPr>
        <w:t> </w:t>
      </w:r>
      <w:r>
        <w:rPr/>
        <w:t>levels</w:t>
      </w:r>
      <w:r>
        <w:rPr>
          <w:spacing w:val="-1"/>
        </w:rPr>
        <w:t> </w:t>
      </w:r>
      <w:r>
        <w:rPr/>
        <w:t>in</w:t>
      </w:r>
      <w:r>
        <w:rPr>
          <w:spacing w:val="-1"/>
        </w:rPr>
        <w:t> </w:t>
      </w:r>
      <w:r>
        <w:rPr/>
        <w:t>its</w:t>
      </w:r>
      <w:r>
        <w:rPr>
          <w:spacing w:val="-3"/>
        </w:rPr>
        <w:t> </w:t>
      </w:r>
      <w:r>
        <w:rPr/>
        <w:t>annual budget exercise, is the provision of housing. Housing (shelter) is undoubtedly a major welfare concern to the inhabitants of any geographical location on earth. It is of supreme importance to man and one of the best indicators of a person‘s standard of living and his place in society (Ugonabo and Emoh, 2013). It is unarguably one of the basic necessities of man and ranks second after food in the hierarchy of man‘s needs. However, according to Ebie (2009), it is the first and most important of all rights.</w:t>
      </w:r>
    </w:p>
    <w:p>
      <w:pPr>
        <w:pStyle w:val="BodyText"/>
        <w:spacing w:before="35"/>
      </w:pPr>
    </w:p>
    <w:p>
      <w:pPr>
        <w:pStyle w:val="BodyText"/>
        <w:spacing w:line="360" w:lineRule="auto"/>
        <w:ind w:left="240" w:right="837"/>
        <w:jc w:val="both"/>
      </w:pPr>
      <w:r>
        <w:rPr/>
        <w:t>Ebie</w:t>
      </w:r>
      <w:r>
        <w:rPr>
          <w:spacing w:val="-2"/>
        </w:rPr>
        <w:t> </w:t>
      </w:r>
      <w:r>
        <w:rPr/>
        <w:t>(2009),</w:t>
      </w:r>
      <w:r>
        <w:rPr>
          <w:spacing w:val="-2"/>
        </w:rPr>
        <w:t> </w:t>
      </w:r>
      <w:r>
        <w:rPr/>
        <w:t>states</w:t>
      </w:r>
      <w:r>
        <w:rPr>
          <w:spacing w:val="-1"/>
        </w:rPr>
        <w:t> </w:t>
      </w:r>
      <w:r>
        <w:rPr/>
        <w:t>that</w:t>
      </w:r>
      <w:r>
        <w:rPr>
          <w:spacing w:val="-1"/>
        </w:rPr>
        <w:t> </w:t>
      </w:r>
      <w:r>
        <w:rPr/>
        <w:t>housing,</w:t>
      </w:r>
      <w:r>
        <w:rPr>
          <w:spacing w:val="-1"/>
        </w:rPr>
        <w:t> </w:t>
      </w:r>
      <w:r>
        <w:rPr/>
        <w:t>in</w:t>
      </w:r>
      <w:r>
        <w:rPr>
          <w:spacing w:val="-1"/>
        </w:rPr>
        <w:t> </w:t>
      </w:r>
      <w:r>
        <w:rPr/>
        <w:t>all</w:t>
      </w:r>
      <w:r>
        <w:rPr>
          <w:spacing w:val="-1"/>
        </w:rPr>
        <w:t> </w:t>
      </w:r>
      <w:r>
        <w:rPr/>
        <w:t>its ramifications,</w:t>
      </w:r>
      <w:r>
        <w:rPr>
          <w:spacing w:val="-1"/>
        </w:rPr>
        <w:t> </w:t>
      </w:r>
      <w:r>
        <w:rPr/>
        <w:t>is</w:t>
      </w:r>
      <w:r>
        <w:rPr>
          <w:spacing w:val="-1"/>
        </w:rPr>
        <w:t> </w:t>
      </w:r>
      <w:r>
        <w:rPr/>
        <w:t>more</w:t>
      </w:r>
      <w:r>
        <w:rPr>
          <w:spacing w:val="-3"/>
        </w:rPr>
        <w:t> </w:t>
      </w:r>
      <w:r>
        <w:rPr/>
        <w:t>than</w:t>
      </w:r>
      <w:r>
        <w:rPr>
          <w:spacing w:val="-2"/>
        </w:rPr>
        <w:t> </w:t>
      </w:r>
      <w:r>
        <w:rPr/>
        <w:t>mere</w:t>
      </w:r>
      <w:r>
        <w:rPr>
          <w:spacing w:val="-2"/>
        </w:rPr>
        <w:t> </w:t>
      </w:r>
      <w:r>
        <w:rPr/>
        <w:t>shelter. It embraces</w:t>
      </w:r>
      <w:r>
        <w:rPr>
          <w:spacing w:val="-1"/>
        </w:rPr>
        <w:t> </w:t>
      </w:r>
      <w:r>
        <w:rPr/>
        <w:t>all social services and utilities that make a community or neighbourhood a livable environment; which makes it a human right. This position is reinforced by section 16(1)(d) of the 1999 constitution</w:t>
      </w:r>
      <w:r>
        <w:rPr>
          <w:spacing w:val="1"/>
        </w:rPr>
        <w:t> </w:t>
      </w:r>
      <w:r>
        <w:rPr/>
        <w:t>under the Fundamental</w:t>
      </w:r>
      <w:r>
        <w:rPr>
          <w:spacing w:val="1"/>
        </w:rPr>
        <w:t> </w:t>
      </w:r>
      <w:r>
        <w:rPr/>
        <w:t>Objectives</w:t>
      </w:r>
      <w:r>
        <w:rPr>
          <w:spacing w:val="1"/>
        </w:rPr>
        <w:t> </w:t>
      </w:r>
      <w:r>
        <w:rPr/>
        <w:t>of</w:t>
      </w:r>
      <w:r>
        <w:rPr>
          <w:spacing w:val="2"/>
        </w:rPr>
        <w:t> </w:t>
      </w:r>
      <w:r>
        <w:rPr/>
        <w:t>State Policy,</w:t>
      </w:r>
      <w:r>
        <w:rPr>
          <w:spacing w:val="1"/>
        </w:rPr>
        <w:t> </w:t>
      </w:r>
      <w:r>
        <w:rPr/>
        <w:t>which</w:t>
      </w:r>
      <w:r>
        <w:rPr>
          <w:spacing w:val="3"/>
        </w:rPr>
        <w:t> </w:t>
      </w:r>
      <w:r>
        <w:rPr/>
        <w:t>compels</w:t>
      </w:r>
      <w:r>
        <w:rPr>
          <w:spacing w:val="1"/>
        </w:rPr>
        <w:t> </w:t>
      </w:r>
      <w:r>
        <w:rPr/>
        <w:t>the Nigerian</w:t>
      </w:r>
      <w:r>
        <w:rPr>
          <w:spacing w:val="2"/>
        </w:rPr>
        <w:t> </w:t>
      </w:r>
      <w:r>
        <w:rPr>
          <w:spacing w:val="-2"/>
        </w:rPr>
        <w:t>State</w:t>
      </w:r>
    </w:p>
    <w:p>
      <w:pPr>
        <w:pStyle w:val="BodyText"/>
        <w:spacing w:line="360" w:lineRule="auto" w:before="1"/>
        <w:ind w:left="240" w:right="839"/>
        <w:jc w:val="both"/>
      </w:pPr>
      <w:r>
        <w:rPr/>
        <w:t>―to provide suitable and adequate shelter for all citizens‖. It reinforces the call for public sector driven</w:t>
      </w:r>
      <w:r>
        <w:rPr>
          <w:spacing w:val="-1"/>
        </w:rPr>
        <w:t> </w:t>
      </w:r>
      <w:r>
        <w:rPr/>
        <w:t>mass housing</w:t>
      </w:r>
      <w:r>
        <w:rPr>
          <w:spacing w:val="-3"/>
        </w:rPr>
        <w:t> </w:t>
      </w:r>
      <w:r>
        <w:rPr/>
        <w:t>provision in Nigeria. Over</w:t>
      </w:r>
      <w:r>
        <w:rPr>
          <w:spacing w:val="-1"/>
        </w:rPr>
        <w:t> </w:t>
      </w:r>
      <w:r>
        <w:rPr/>
        <w:t>time,</w:t>
      </w:r>
      <w:r>
        <w:rPr>
          <w:spacing w:val="-1"/>
        </w:rPr>
        <w:t> </w:t>
      </w:r>
      <w:r>
        <w:rPr/>
        <w:t>the</w:t>
      </w:r>
      <w:r>
        <w:rPr>
          <w:spacing w:val="-1"/>
        </w:rPr>
        <w:t> </w:t>
      </w:r>
      <w:r>
        <w:rPr/>
        <w:t>need for</w:t>
      </w:r>
      <w:r>
        <w:rPr>
          <w:spacing w:val="-1"/>
        </w:rPr>
        <w:t> </w:t>
      </w:r>
      <w:r>
        <w:rPr/>
        <w:t>adequate shelter has continued to attract global attention especially in developing countries where the urbanization process has been growing at an alarming rate (Jiboye, 2009; Omoniyi and Jiboye, 2011).</w:t>
      </w:r>
    </w:p>
    <w:p>
      <w:pPr>
        <w:spacing w:after="0" w:line="360" w:lineRule="auto"/>
        <w:jc w:val="both"/>
        <w:sectPr>
          <w:pgSz w:w="12240" w:h="15840"/>
          <w:pgMar w:header="0" w:footer="1036" w:top="1360" w:bottom="1220" w:left="1200" w:right="600"/>
        </w:sectPr>
      </w:pPr>
    </w:p>
    <w:p>
      <w:pPr>
        <w:pStyle w:val="BodyText"/>
        <w:spacing w:line="360" w:lineRule="auto" w:before="74"/>
        <w:ind w:left="240" w:right="841"/>
        <w:jc w:val="both"/>
      </w:pPr>
      <w:r>
        <w:rPr/>
        <w:t>Nigeria, like other developing countries is saddled with uncontrollable growth of the urban population caused by lack of provision of infrastructural facilities. The proportion of the</w:t>
      </w:r>
      <w:r>
        <w:rPr>
          <w:spacing w:val="40"/>
        </w:rPr>
        <w:t> </w:t>
      </w:r>
      <w:r>
        <w:rPr/>
        <w:t>Nigerian population living in urban centres has increased phenomenally from 7% in the 1930s, 10% in 1950, 20% in 1970, 27% in 1980 to 35% in 1990 (Okupe, 2002). Over 40% of Nigerians now live in urban centres of varying sizes. The incidence of this population in urban centres has created severe housing problems, resulting in overcrowding in inadequate dwellings, and has resulted in a situation where 60% of Nigerians can be regarded as ―houseless persons‖ (Federal Government of Nigeria, 2004).</w:t>
      </w:r>
    </w:p>
    <w:p>
      <w:pPr>
        <w:pStyle w:val="BodyText"/>
        <w:spacing w:line="360" w:lineRule="auto" w:before="208"/>
        <w:ind w:left="240" w:right="838"/>
        <w:jc w:val="both"/>
      </w:pPr>
      <w:r>
        <w:rPr/>
        <w:t>The foregoing gory picture of housing in Nigeria applies to a high extent to Anambra State, in</w:t>
      </w:r>
      <w:r>
        <w:rPr>
          <w:spacing w:val="40"/>
        </w:rPr>
        <w:t> </w:t>
      </w:r>
      <w:r>
        <w:rPr/>
        <w:t>the south-eastern geo-political zone of the country, which makes the State a peculiar one of focus. The 2006 National Population Census established that Anambra State has a population of 4,182,032 which makes it the 9th most populous State in Nigeria (National Population Commission (NPC), 2006). The State population was also projected to be 5,073,868 by the end of 2013 using the 2.8 % population growth rate of the 2006 census. The State is also</w:t>
      </w:r>
      <w:r>
        <w:rPr>
          <w:spacing w:val="40"/>
        </w:rPr>
        <w:t> </w:t>
      </w:r>
      <w:r>
        <w:rPr/>
        <w:t>experiencing rapid urbanization and because of its relatively</w:t>
      </w:r>
      <w:r>
        <w:rPr>
          <w:spacing w:val="-1"/>
        </w:rPr>
        <w:t> </w:t>
      </w:r>
      <w:r>
        <w:rPr/>
        <w:t>small land mass, it is becoming one huge urban area.</w:t>
      </w:r>
    </w:p>
    <w:p>
      <w:pPr>
        <w:pStyle w:val="BodyText"/>
        <w:spacing w:before="137"/>
      </w:pPr>
    </w:p>
    <w:p>
      <w:pPr>
        <w:pStyle w:val="BodyText"/>
        <w:spacing w:line="360" w:lineRule="auto"/>
        <w:ind w:left="240" w:right="835"/>
        <w:jc w:val="both"/>
      </w:pPr>
      <w:r>
        <w:rPr/>
        <w:t>According to the National Bureau of Statistics (NBS) (2006), Anambra State is the second most urbanized state in the country having 62% of its total population living in urban areas. Consequently it has one of the highest population densities in Africa and the second most</w:t>
      </w:r>
      <w:r>
        <w:rPr>
          <w:spacing w:val="40"/>
        </w:rPr>
        <w:t> </w:t>
      </w:r>
      <w:r>
        <w:rPr/>
        <w:t>densely populated state (1,500 – 2000 persons per square kilometer) in Nigeria. These situations have</w:t>
      </w:r>
      <w:r>
        <w:rPr>
          <w:spacing w:val="-4"/>
        </w:rPr>
        <w:t> </w:t>
      </w:r>
      <w:r>
        <w:rPr/>
        <w:t>resulted</w:t>
      </w:r>
      <w:r>
        <w:rPr>
          <w:spacing w:val="-3"/>
        </w:rPr>
        <w:t> </w:t>
      </w:r>
      <w:r>
        <w:rPr/>
        <w:t>to</w:t>
      </w:r>
      <w:r>
        <w:rPr>
          <w:spacing w:val="-1"/>
        </w:rPr>
        <w:t> </w:t>
      </w:r>
      <w:r>
        <w:rPr/>
        <w:t>challenges</w:t>
      </w:r>
      <w:r>
        <w:rPr>
          <w:spacing w:val="-3"/>
        </w:rPr>
        <w:t> </w:t>
      </w:r>
      <w:r>
        <w:rPr/>
        <w:t>of</w:t>
      </w:r>
      <w:r>
        <w:rPr>
          <w:spacing w:val="-3"/>
        </w:rPr>
        <w:t> </w:t>
      </w:r>
      <w:r>
        <w:rPr/>
        <w:t>inadequate</w:t>
      </w:r>
      <w:r>
        <w:rPr>
          <w:spacing w:val="-2"/>
        </w:rPr>
        <w:t> </w:t>
      </w:r>
      <w:r>
        <w:rPr/>
        <w:t>and</w:t>
      </w:r>
      <w:r>
        <w:rPr>
          <w:spacing w:val="-1"/>
        </w:rPr>
        <w:t> </w:t>
      </w:r>
      <w:r>
        <w:rPr/>
        <w:t>unaffordable</w:t>
      </w:r>
      <w:r>
        <w:rPr>
          <w:spacing w:val="-2"/>
        </w:rPr>
        <w:t> </w:t>
      </w:r>
      <w:r>
        <w:rPr/>
        <w:t>housing</w:t>
      </w:r>
      <w:r>
        <w:rPr>
          <w:spacing w:val="-3"/>
        </w:rPr>
        <w:t> </w:t>
      </w:r>
      <w:r>
        <w:rPr/>
        <w:t>for</w:t>
      </w:r>
      <w:r>
        <w:rPr>
          <w:spacing w:val="-2"/>
        </w:rPr>
        <w:t> </w:t>
      </w:r>
      <w:r>
        <w:rPr/>
        <w:t>the</w:t>
      </w:r>
      <w:r>
        <w:rPr>
          <w:spacing w:val="-3"/>
        </w:rPr>
        <w:t> </w:t>
      </w:r>
      <w:r>
        <w:rPr/>
        <w:t>inhabitants,</w:t>
      </w:r>
      <w:r>
        <w:rPr>
          <w:spacing w:val="-3"/>
        </w:rPr>
        <w:t> </w:t>
      </w:r>
      <w:r>
        <w:rPr/>
        <w:t>especially the poor and low-income groups, thus leaving</w:t>
      </w:r>
      <w:r>
        <w:rPr>
          <w:spacing w:val="-1"/>
        </w:rPr>
        <w:t> </w:t>
      </w:r>
      <w:r>
        <w:rPr/>
        <w:t>the state in dire need of mass provision of housing facilities for the residents. The Demand for better housing units, especially in the urban centers</w:t>
      </w:r>
      <w:r>
        <w:rPr>
          <w:spacing w:val="40"/>
        </w:rPr>
        <w:t> </w:t>
      </w:r>
      <w:r>
        <w:rPr/>
        <w:t>of the State has been on the increase. In plain language, the demand for houses out-stretches the supply </w:t>
      </w:r>
      <w:r>
        <w:rPr>
          <w:b/>
        </w:rPr>
        <w:t>(</w:t>
      </w:r>
      <w:r>
        <w:rPr/>
        <w:t>Anambra State Government, 2009).</w:t>
      </w:r>
    </w:p>
    <w:p>
      <w:pPr>
        <w:pStyle w:val="BodyText"/>
        <w:spacing w:before="24"/>
      </w:pPr>
    </w:p>
    <w:p>
      <w:pPr>
        <w:pStyle w:val="BodyText"/>
        <w:spacing w:line="360" w:lineRule="auto"/>
        <w:ind w:left="240" w:right="844"/>
        <w:jc w:val="both"/>
      </w:pPr>
      <w:r>
        <w:rPr/>
        <w:t>To corroborate this ugly scenario, Okoli (2007) stressed that since its creation, Anambra has</w:t>
      </w:r>
      <w:r>
        <w:rPr>
          <w:spacing w:val="40"/>
        </w:rPr>
        <w:t> </w:t>
      </w:r>
      <w:r>
        <w:rPr/>
        <w:t>been faced with the housing problem. The problem is so pronounced, that over 75percent of the state workers still operate from Enugu State; a journey of at least one hour to Awka and other cities outside the state capital. This has led to low productivity, lateness and truancy.</w:t>
      </w:r>
    </w:p>
    <w:p>
      <w:pPr>
        <w:spacing w:after="0" w:line="360" w:lineRule="auto"/>
        <w:jc w:val="both"/>
        <w:sectPr>
          <w:pgSz w:w="12240" w:h="15840"/>
          <w:pgMar w:header="0" w:footer="1036" w:top="1360" w:bottom="1220" w:left="1200" w:right="600"/>
        </w:sectPr>
      </w:pPr>
    </w:p>
    <w:p>
      <w:pPr>
        <w:pStyle w:val="BodyText"/>
        <w:spacing w:line="360" w:lineRule="auto" w:before="74"/>
        <w:ind w:left="240" w:right="835"/>
        <w:jc w:val="both"/>
      </w:pPr>
      <w:r>
        <w:rPr/>
        <w:t>To compound these challenges, Anambra State still grapples with poor budgeting procedures </w:t>
      </w:r>
      <w:r>
        <w:rPr>
          <w:b/>
        </w:rPr>
        <w:t>(</w:t>
      </w:r>
      <w:r>
        <w:rPr/>
        <w:t>Anambra State Government, 2009a). Ineffective and inefficient budgeting procedures by the State government reflect in the housing budgeting process and have impacted negatively on the housing sector. It has contributed to denying the residents the benefits of housing delivery schemes. Specifically, these problems bother on poor budget performance arising from poor preparations, undisciplined implementation and extra budgetary expenditures, weak project monitoring and evaluation procedures, excessive bureaucratic bottlenecks in passing and approval of budget, lopsided or skewed allocation, lack of scientific basis or criteria for dictating budget ceilings and final budget sums, absence of housing cost professionals or experts in</w:t>
      </w:r>
      <w:r>
        <w:rPr>
          <w:spacing w:val="40"/>
        </w:rPr>
        <w:t> </w:t>
      </w:r>
      <w:r>
        <w:rPr/>
        <w:t>making decisions regarding final housing budget allocations, inadequate needs assessment of the citizenry on housing priorities before budgetary allocations, absence of a mechanism for obtaining statistical data on housing needs.</w:t>
      </w:r>
    </w:p>
    <w:p>
      <w:pPr>
        <w:pStyle w:val="BodyText"/>
        <w:spacing w:before="35"/>
      </w:pPr>
    </w:p>
    <w:p>
      <w:pPr>
        <w:pStyle w:val="BodyText"/>
        <w:spacing w:line="360" w:lineRule="auto"/>
        <w:ind w:left="240" w:right="837"/>
        <w:jc w:val="both"/>
      </w:pPr>
      <w:r>
        <w:rPr/>
        <w:t>Economists expect any budget that is properly formulated and implemented to be</w:t>
      </w:r>
      <w:r>
        <w:rPr>
          <w:spacing w:val="40"/>
        </w:rPr>
        <w:t> </w:t>
      </w:r>
      <w:r>
        <w:rPr/>
        <w:t>comprehensive, transparent and to be characterized by probity, accountability and measurability. If a budget is effectively and religiously implemented, it opens up several economic windows. It helps a nation to achieve national development objectives within a given time frame. These include measurable economic growth rates that reduce poverty, raise income, makes for</w:t>
      </w:r>
      <w:r>
        <w:rPr>
          <w:spacing w:val="40"/>
        </w:rPr>
        <w:t> </w:t>
      </w:r>
      <w:r>
        <w:rPr/>
        <w:t>equitable wealth distribution and economic stabilization (Fort, 2012).</w:t>
      </w:r>
    </w:p>
    <w:p>
      <w:pPr>
        <w:pStyle w:val="BodyText"/>
        <w:spacing w:before="25"/>
      </w:pPr>
    </w:p>
    <w:p>
      <w:pPr>
        <w:pStyle w:val="BodyText"/>
        <w:spacing w:line="360" w:lineRule="auto"/>
        <w:ind w:left="240" w:right="835"/>
        <w:jc w:val="both"/>
      </w:pPr>
      <w:r>
        <w:rPr/>
        <w:t>The</w:t>
      </w:r>
      <w:r>
        <w:rPr>
          <w:spacing w:val="-3"/>
        </w:rPr>
        <w:t> </w:t>
      </w:r>
      <w:r>
        <w:rPr/>
        <w:t>problem</w:t>
      </w:r>
      <w:r>
        <w:rPr>
          <w:spacing w:val="-1"/>
        </w:rPr>
        <w:t> </w:t>
      </w:r>
      <w:r>
        <w:rPr/>
        <w:t>of</w:t>
      </w:r>
      <w:r>
        <w:rPr>
          <w:spacing w:val="-2"/>
        </w:rPr>
        <w:t> </w:t>
      </w:r>
      <w:r>
        <w:rPr/>
        <w:t>housing</w:t>
      </w:r>
      <w:r>
        <w:rPr>
          <w:spacing w:val="-4"/>
        </w:rPr>
        <w:t> </w:t>
      </w:r>
      <w:r>
        <w:rPr/>
        <w:t>is</w:t>
      </w:r>
      <w:r>
        <w:rPr>
          <w:spacing w:val="-1"/>
        </w:rPr>
        <w:t> </w:t>
      </w:r>
      <w:r>
        <w:rPr/>
        <w:t>obviously</w:t>
      </w:r>
      <w:r>
        <w:rPr>
          <w:spacing w:val="-6"/>
        </w:rPr>
        <w:t> </w:t>
      </w:r>
      <w:r>
        <w:rPr/>
        <w:t>a</w:t>
      </w:r>
      <w:r>
        <w:rPr>
          <w:spacing w:val="-2"/>
        </w:rPr>
        <w:t> </w:t>
      </w:r>
      <w:r>
        <w:rPr/>
        <w:t>common one.</w:t>
      </w:r>
      <w:r>
        <w:rPr>
          <w:spacing w:val="-1"/>
        </w:rPr>
        <w:t> </w:t>
      </w:r>
      <w:r>
        <w:rPr/>
        <w:t>The</w:t>
      </w:r>
      <w:r>
        <w:rPr>
          <w:spacing w:val="-3"/>
        </w:rPr>
        <w:t> </w:t>
      </w:r>
      <w:r>
        <w:rPr/>
        <w:t>housing</w:t>
      </w:r>
      <w:r>
        <w:rPr>
          <w:spacing w:val="-4"/>
        </w:rPr>
        <w:t> </w:t>
      </w:r>
      <w:r>
        <w:rPr/>
        <w:t>need</w:t>
      </w:r>
      <w:r>
        <w:rPr>
          <w:spacing w:val="-1"/>
        </w:rPr>
        <w:t> </w:t>
      </w:r>
      <w:r>
        <w:rPr/>
        <w:t>of every</w:t>
      </w:r>
      <w:r>
        <w:rPr>
          <w:spacing w:val="-6"/>
        </w:rPr>
        <w:t> </w:t>
      </w:r>
      <w:r>
        <w:rPr/>
        <w:t>single</w:t>
      </w:r>
      <w:r>
        <w:rPr>
          <w:spacing w:val="-1"/>
        </w:rPr>
        <w:t> </w:t>
      </w:r>
      <w:r>
        <w:rPr/>
        <w:t>individual or organization may be impossible to meet, giving limited resources. This research however argues that inefficiency and ineffectiveness of budgeting procedures in Anambra state is one factor</w:t>
      </w:r>
      <w:r>
        <w:rPr>
          <w:spacing w:val="-2"/>
        </w:rPr>
        <w:t> </w:t>
      </w:r>
      <w:r>
        <w:rPr/>
        <w:t>that</w:t>
      </w:r>
      <w:r>
        <w:rPr>
          <w:spacing w:val="-1"/>
        </w:rPr>
        <w:t> </w:t>
      </w:r>
      <w:r>
        <w:rPr/>
        <w:t>influences both</w:t>
      </w:r>
      <w:r>
        <w:rPr>
          <w:spacing w:val="-1"/>
        </w:rPr>
        <w:t> </w:t>
      </w:r>
      <w:r>
        <w:rPr/>
        <w:t>delivery</w:t>
      </w:r>
      <w:r>
        <w:rPr>
          <w:spacing w:val="-5"/>
        </w:rPr>
        <w:t> </w:t>
      </w:r>
      <w:r>
        <w:rPr/>
        <w:t>and</w:t>
      </w:r>
      <w:r>
        <w:rPr>
          <w:spacing w:val="-1"/>
        </w:rPr>
        <w:t> </w:t>
      </w:r>
      <w:r>
        <w:rPr/>
        <w:t>availability</w:t>
      </w:r>
      <w:r>
        <w:rPr>
          <w:spacing w:val="-3"/>
        </w:rPr>
        <w:t> </w:t>
      </w:r>
      <w:r>
        <w:rPr/>
        <w:t>of</w:t>
      </w:r>
      <w:r>
        <w:rPr>
          <w:spacing w:val="-2"/>
        </w:rPr>
        <w:t> </w:t>
      </w:r>
      <w:r>
        <w:rPr/>
        <w:t>housing.</w:t>
      </w:r>
      <w:r>
        <w:rPr>
          <w:spacing w:val="-1"/>
        </w:rPr>
        <w:t> </w:t>
      </w:r>
      <w:r>
        <w:rPr/>
        <w:t>The</w:t>
      </w:r>
      <w:r>
        <w:rPr>
          <w:spacing w:val="-3"/>
        </w:rPr>
        <w:t> </w:t>
      </w:r>
      <w:r>
        <w:rPr/>
        <w:t>housing</w:t>
      </w:r>
      <w:r>
        <w:rPr>
          <w:spacing w:val="-3"/>
        </w:rPr>
        <w:t> </w:t>
      </w:r>
      <w:r>
        <w:rPr/>
        <w:t>budgetary</w:t>
      </w:r>
      <w:r>
        <w:rPr>
          <w:spacing w:val="-5"/>
        </w:rPr>
        <w:t> </w:t>
      </w:r>
      <w:r>
        <w:rPr/>
        <w:t>process</w:t>
      </w:r>
      <w:r>
        <w:rPr>
          <w:spacing w:val="-1"/>
        </w:rPr>
        <w:t> </w:t>
      </w:r>
      <w:r>
        <w:rPr/>
        <w:t>in Anambra State (from preparation and allocation through implementation and monitoring) can be improved, to make housing available. Appropriate, efficient, realistic, adequate, verifiable,</w:t>
      </w:r>
      <w:r>
        <w:rPr>
          <w:spacing w:val="40"/>
        </w:rPr>
        <w:t> </w:t>
      </w:r>
      <w:r>
        <w:rPr/>
        <w:t>ethical and transparent budgetary measures should be adopted and adhered to, in order to</w:t>
      </w:r>
      <w:r>
        <w:rPr>
          <w:spacing w:val="40"/>
        </w:rPr>
        <w:t> </w:t>
      </w:r>
      <w:r>
        <w:rPr/>
        <w:t>improve confidence in the system and alleviate the plight of the citizenry.</w:t>
      </w:r>
    </w:p>
    <w:p>
      <w:pPr>
        <w:pStyle w:val="BodyText"/>
        <w:spacing w:before="60"/>
      </w:pPr>
    </w:p>
    <w:p>
      <w:pPr>
        <w:pStyle w:val="BodyText"/>
        <w:spacing w:line="360" w:lineRule="auto" w:before="1"/>
        <w:ind w:left="240" w:right="835"/>
        <w:jc w:val="both"/>
      </w:pPr>
      <w:r>
        <w:rPr/>
        <w:t>It is against this backdrop that this research appraises critically, the performance of Anambra State‘s housing budget and their implications to the delivery of housing infrastructure. This is with</w:t>
      </w:r>
      <w:r>
        <w:rPr>
          <w:spacing w:val="62"/>
        </w:rPr>
        <w:t> </w:t>
      </w:r>
      <w:r>
        <w:rPr/>
        <w:t>a</w:t>
      </w:r>
      <w:r>
        <w:rPr>
          <w:spacing w:val="61"/>
        </w:rPr>
        <w:t> </w:t>
      </w:r>
      <w:r>
        <w:rPr/>
        <w:t>view</w:t>
      </w:r>
      <w:r>
        <w:rPr>
          <w:spacing w:val="63"/>
        </w:rPr>
        <w:t> </w:t>
      </w:r>
      <w:r>
        <w:rPr/>
        <w:t>to</w:t>
      </w:r>
      <w:r>
        <w:rPr>
          <w:spacing w:val="62"/>
        </w:rPr>
        <w:t> </w:t>
      </w:r>
      <w:r>
        <w:rPr/>
        <w:t>establishing</w:t>
      </w:r>
      <w:r>
        <w:rPr>
          <w:spacing w:val="61"/>
        </w:rPr>
        <w:t> </w:t>
      </w:r>
      <w:r>
        <w:rPr/>
        <w:t>weaknesses</w:t>
      </w:r>
      <w:r>
        <w:rPr>
          <w:spacing w:val="61"/>
        </w:rPr>
        <w:t> </w:t>
      </w:r>
      <w:r>
        <w:rPr/>
        <w:t>and</w:t>
      </w:r>
      <w:r>
        <w:rPr>
          <w:spacing w:val="64"/>
        </w:rPr>
        <w:t> </w:t>
      </w:r>
      <w:r>
        <w:rPr/>
        <w:t>inefficiencies</w:t>
      </w:r>
      <w:r>
        <w:rPr>
          <w:spacing w:val="61"/>
        </w:rPr>
        <w:t> </w:t>
      </w:r>
      <w:r>
        <w:rPr/>
        <w:t>in</w:t>
      </w:r>
      <w:r>
        <w:rPr>
          <w:spacing w:val="63"/>
        </w:rPr>
        <w:t> </w:t>
      </w:r>
      <w:r>
        <w:rPr/>
        <w:t>the</w:t>
      </w:r>
      <w:r>
        <w:rPr>
          <w:spacing w:val="61"/>
        </w:rPr>
        <w:t> </w:t>
      </w:r>
      <w:r>
        <w:rPr/>
        <w:t>system</w:t>
      </w:r>
      <w:r>
        <w:rPr>
          <w:spacing w:val="62"/>
        </w:rPr>
        <w:t> </w:t>
      </w:r>
      <w:r>
        <w:rPr/>
        <w:t>and</w:t>
      </w:r>
      <w:r>
        <w:rPr>
          <w:spacing w:val="62"/>
        </w:rPr>
        <w:t> </w:t>
      </w:r>
      <w:r>
        <w:rPr/>
        <w:t>developing</w:t>
      </w:r>
      <w:r>
        <w:rPr>
          <w:spacing w:val="63"/>
        </w:rPr>
        <w:t> </w:t>
      </w:r>
      <w:r>
        <w:rPr>
          <w:spacing w:val="-10"/>
        </w:rPr>
        <w:t>a</w:t>
      </w:r>
    </w:p>
    <w:p>
      <w:pPr>
        <w:spacing w:after="0" w:line="360" w:lineRule="auto"/>
        <w:jc w:val="both"/>
        <w:sectPr>
          <w:pgSz w:w="12240" w:h="15840"/>
          <w:pgMar w:header="0" w:footer="1036" w:top="1360" w:bottom="1220" w:left="1200" w:right="600"/>
        </w:sectPr>
      </w:pPr>
    </w:p>
    <w:p>
      <w:pPr>
        <w:pStyle w:val="BodyText"/>
        <w:spacing w:line="360" w:lineRule="auto" w:before="74"/>
        <w:ind w:left="240" w:right="841"/>
        <w:jc w:val="both"/>
      </w:pPr>
      <w:r>
        <w:rPr/>
        <w:t>framework to address or mitigate them.</w:t>
      </w:r>
      <w:r>
        <w:rPr>
          <w:spacing w:val="40"/>
        </w:rPr>
        <w:t> </w:t>
      </w:r>
      <w:r>
        <w:rPr/>
        <w:t>It encapsulates a holistic investigation of the problems bedeviling the budget performance of the housing sector in Anambra State. Details of this and statement of the research problem have been presented and discussed in subsequent sections of this research.</w:t>
      </w:r>
    </w:p>
    <w:p>
      <w:pPr>
        <w:pStyle w:val="BodyText"/>
        <w:spacing w:before="231"/>
      </w:pPr>
    </w:p>
    <w:p>
      <w:pPr>
        <w:pStyle w:val="Heading3"/>
        <w:numPr>
          <w:ilvl w:val="1"/>
          <w:numId w:val="1"/>
        </w:numPr>
        <w:tabs>
          <w:tab w:pos="758" w:val="left" w:leader="none"/>
        </w:tabs>
        <w:spacing w:line="240" w:lineRule="auto" w:before="1" w:after="0"/>
        <w:ind w:left="758" w:right="0" w:hanging="518"/>
        <w:jc w:val="both"/>
      </w:pPr>
      <w:r>
        <w:rPr/>
        <w:t>Statement</w:t>
      </w:r>
      <w:r>
        <w:rPr>
          <w:spacing w:val="-6"/>
        </w:rPr>
        <w:t> </w:t>
      </w:r>
      <w:r>
        <w:rPr/>
        <w:t>of</w:t>
      </w:r>
      <w:r>
        <w:rPr>
          <w:spacing w:val="-3"/>
        </w:rPr>
        <w:t> </w:t>
      </w:r>
      <w:r>
        <w:rPr/>
        <w:t>the</w:t>
      </w:r>
      <w:r>
        <w:rPr>
          <w:spacing w:val="-3"/>
        </w:rPr>
        <w:t> </w:t>
      </w:r>
      <w:r>
        <w:rPr>
          <w:spacing w:val="-2"/>
        </w:rPr>
        <w:t>Problem</w:t>
      </w:r>
    </w:p>
    <w:p>
      <w:pPr>
        <w:pStyle w:val="BodyText"/>
        <w:spacing w:line="360" w:lineRule="auto" w:before="178"/>
        <w:ind w:left="240" w:right="835"/>
        <w:jc w:val="both"/>
      </w:pPr>
      <w:r>
        <w:rPr/>
        <w:t>Anecdotal evidence suggests that the housing budget of Anambra State is fraught with poor performance, arising from inefficient planning and preparations, low involvement of housing</w:t>
      </w:r>
      <w:r>
        <w:rPr>
          <w:spacing w:val="40"/>
        </w:rPr>
        <w:t> </w:t>
      </w:r>
      <w:r>
        <w:rPr/>
        <w:t>cost professionals and lack of infrastructural support for the State‘s Housing Corporation. Extra budgetary or undisciplined expenditure, weak budget monitoring and evaluation and poor implementation are other budgeting problems facing Anambra State (Amakom, 2013). There is also the issue of lopsided or skewed allocation, where housing budget ceilings and final housing budget allocations are not established on any known scientific basis or criteria. The housing budget system also suffers excessive bureaucratic bottlenecks, weak political will and political interference in passage and approval. In addition to this, the housing budgeting process in Anambra State is characterized by lack of citizen participation and inadequate needs assessment of the citizenry before allocations are made. To worsen this, Anambra State, presently, does not employ any mechanism for obtaining statistical data on housing needs to achieve long term planning. The following explanations further provide a clearer insight and understanding of the afore-highlighted problems.</w:t>
      </w:r>
    </w:p>
    <w:p>
      <w:pPr>
        <w:pStyle w:val="BodyText"/>
        <w:spacing w:before="138"/>
      </w:pPr>
    </w:p>
    <w:p>
      <w:pPr>
        <w:pStyle w:val="BodyText"/>
        <w:spacing w:line="360" w:lineRule="auto"/>
        <w:ind w:left="240" w:right="845"/>
        <w:jc w:val="both"/>
      </w:pPr>
      <w:r>
        <w:rPr/>
        <w:t>First, Emma</w:t>
      </w:r>
      <w:r>
        <w:rPr>
          <w:spacing w:val="-1"/>
        </w:rPr>
        <w:t> </w:t>
      </w:r>
      <w:r>
        <w:rPr/>
        <w:t>(2001)</w:t>
      </w:r>
      <w:r>
        <w:rPr>
          <w:spacing w:val="-1"/>
        </w:rPr>
        <w:t> </w:t>
      </w:r>
      <w:r>
        <w:rPr/>
        <w:t>maintains that a</w:t>
      </w:r>
      <w:r>
        <w:rPr>
          <w:spacing w:val="-1"/>
        </w:rPr>
        <w:t> </w:t>
      </w:r>
      <w:r>
        <w:rPr/>
        <w:t>major cause</w:t>
      </w:r>
      <w:r>
        <w:rPr>
          <w:spacing w:val="-1"/>
        </w:rPr>
        <w:t> </w:t>
      </w:r>
      <w:r>
        <w:rPr/>
        <w:t>of</w:t>
      </w:r>
      <w:r>
        <w:rPr>
          <w:spacing w:val="-1"/>
        </w:rPr>
        <w:t> </w:t>
      </w:r>
      <w:r>
        <w:rPr/>
        <w:t>budget failure</w:t>
      </w:r>
      <w:r>
        <w:rPr>
          <w:spacing w:val="-1"/>
        </w:rPr>
        <w:t> </w:t>
      </w:r>
      <w:r>
        <w:rPr/>
        <w:t>is the</w:t>
      </w:r>
      <w:r>
        <w:rPr>
          <w:spacing w:val="-1"/>
        </w:rPr>
        <w:t> </w:t>
      </w:r>
      <w:r>
        <w:rPr/>
        <w:t>absence</w:t>
      </w:r>
      <w:r>
        <w:rPr>
          <w:spacing w:val="-1"/>
        </w:rPr>
        <w:t> </w:t>
      </w:r>
      <w:r>
        <w:rPr/>
        <w:t>of</w:t>
      </w:r>
      <w:r>
        <w:rPr>
          <w:spacing w:val="-1"/>
        </w:rPr>
        <w:t> </w:t>
      </w:r>
      <w:r>
        <w:rPr/>
        <w:t>accurate</w:t>
      </w:r>
      <w:r>
        <w:rPr>
          <w:spacing w:val="-1"/>
        </w:rPr>
        <w:t> </w:t>
      </w:r>
      <w:r>
        <w:rPr/>
        <w:t>data for planning purposes; hence budget preparation needs absolute reliance on accurate data. Currently, there is paucity or unavailability of data on housing needs in Anambra State, which is urgently needed to plan long term housing development objectives.</w:t>
      </w:r>
    </w:p>
    <w:p>
      <w:pPr>
        <w:pStyle w:val="BodyText"/>
        <w:spacing w:before="37"/>
      </w:pPr>
    </w:p>
    <w:p>
      <w:pPr>
        <w:pStyle w:val="BodyText"/>
        <w:spacing w:line="360" w:lineRule="auto"/>
        <w:ind w:left="240" w:right="836"/>
        <w:jc w:val="both"/>
      </w:pPr>
      <w:r>
        <w:rPr/>
        <w:t>Second, housing budget preparations in Anambra State is not fully participatory, i.e. preparation of the housing budget is not done with the needs of the people in mind (people-centered), hence, the benefits of the budget to the people are not maximized. Ordinary citizens of Anambra State do not know their housing budget. It is the principal officers who do everything. This is the system</w:t>
      </w:r>
      <w:r>
        <w:rPr>
          <w:spacing w:val="26"/>
        </w:rPr>
        <w:t> </w:t>
      </w:r>
      <w:r>
        <w:rPr/>
        <w:t>that</w:t>
      </w:r>
      <w:r>
        <w:rPr>
          <w:spacing w:val="27"/>
        </w:rPr>
        <w:t> </w:t>
      </w:r>
      <w:r>
        <w:rPr/>
        <w:t>has</w:t>
      </w:r>
      <w:r>
        <w:rPr>
          <w:spacing w:val="27"/>
        </w:rPr>
        <w:t> </w:t>
      </w:r>
      <w:r>
        <w:rPr/>
        <w:t>been</w:t>
      </w:r>
      <w:r>
        <w:rPr>
          <w:spacing w:val="29"/>
        </w:rPr>
        <w:t> </w:t>
      </w:r>
      <w:r>
        <w:rPr/>
        <w:t>going</w:t>
      </w:r>
      <w:r>
        <w:rPr>
          <w:spacing w:val="24"/>
        </w:rPr>
        <w:t> </w:t>
      </w:r>
      <w:r>
        <w:rPr/>
        <w:t>on.</w:t>
      </w:r>
      <w:r>
        <w:rPr>
          <w:spacing w:val="27"/>
        </w:rPr>
        <w:t> </w:t>
      </w:r>
      <w:r>
        <w:rPr/>
        <w:t>Apart</w:t>
      </w:r>
      <w:r>
        <w:rPr>
          <w:spacing w:val="27"/>
        </w:rPr>
        <w:t> </w:t>
      </w:r>
      <w:r>
        <w:rPr/>
        <w:t>from</w:t>
      </w:r>
      <w:r>
        <w:rPr>
          <w:spacing w:val="28"/>
        </w:rPr>
        <w:t> </w:t>
      </w:r>
      <w:r>
        <w:rPr/>
        <w:t>insulating</w:t>
      </w:r>
      <w:r>
        <w:rPr>
          <w:spacing w:val="25"/>
        </w:rPr>
        <w:t> </w:t>
      </w:r>
      <w:r>
        <w:rPr/>
        <w:t>the</w:t>
      </w:r>
      <w:r>
        <w:rPr>
          <w:spacing w:val="26"/>
        </w:rPr>
        <w:t> </w:t>
      </w:r>
      <w:r>
        <w:rPr/>
        <w:t>budget</w:t>
      </w:r>
      <w:r>
        <w:rPr>
          <w:spacing w:val="28"/>
        </w:rPr>
        <w:t> </w:t>
      </w:r>
      <w:r>
        <w:rPr/>
        <w:t>process</w:t>
      </w:r>
      <w:r>
        <w:rPr>
          <w:spacing w:val="30"/>
        </w:rPr>
        <w:t> </w:t>
      </w:r>
      <w:r>
        <w:rPr/>
        <w:t>and</w:t>
      </w:r>
      <w:r>
        <w:rPr>
          <w:spacing w:val="27"/>
        </w:rPr>
        <w:t> </w:t>
      </w:r>
      <w:r>
        <w:rPr/>
        <w:t>documents</w:t>
      </w:r>
      <w:r>
        <w:rPr>
          <w:spacing w:val="27"/>
        </w:rPr>
        <w:t> </w:t>
      </w:r>
      <w:r>
        <w:rPr>
          <w:spacing w:val="-4"/>
        </w:rPr>
        <w:t>from</w:t>
      </w:r>
    </w:p>
    <w:p>
      <w:pPr>
        <w:spacing w:after="0" w:line="360" w:lineRule="auto"/>
        <w:jc w:val="both"/>
        <w:sectPr>
          <w:pgSz w:w="12240" w:h="15840"/>
          <w:pgMar w:header="0" w:footer="1036" w:top="1360" w:bottom="1220" w:left="1200" w:right="600"/>
        </w:sectPr>
      </w:pPr>
    </w:p>
    <w:p>
      <w:pPr>
        <w:pStyle w:val="BodyText"/>
        <w:spacing w:line="360" w:lineRule="auto" w:before="74"/>
        <w:ind w:left="240" w:right="832"/>
        <w:jc w:val="both"/>
      </w:pPr>
      <w:r>
        <w:rPr/>
        <w:t>public scrutiny, there are no representations from civil society, grass root or community based organizations from the planning and preparation stages, through the approval, passage and implementation stages to checkmate unethical issues. Preparations are characterized by favouritism, nepotism, settling political squabbles, personal contracts and enhancements.</w:t>
      </w:r>
      <w:r>
        <w:rPr>
          <w:spacing w:val="40"/>
        </w:rPr>
        <w:t> </w:t>
      </w:r>
      <w:r>
        <w:rPr/>
        <w:t>The masses do not make</w:t>
      </w:r>
      <w:r>
        <w:rPr>
          <w:spacing w:val="-2"/>
        </w:rPr>
        <w:t> </w:t>
      </w:r>
      <w:r>
        <w:rPr/>
        <w:t>their inputs. Because</w:t>
      </w:r>
      <w:r>
        <w:rPr>
          <w:spacing w:val="-1"/>
        </w:rPr>
        <w:t> </w:t>
      </w:r>
      <w:r>
        <w:rPr/>
        <w:t>the</w:t>
      </w:r>
      <w:r>
        <w:rPr>
          <w:spacing w:val="-1"/>
        </w:rPr>
        <w:t> </w:t>
      </w:r>
      <w:r>
        <w:rPr/>
        <w:t>budgets are</w:t>
      </w:r>
      <w:r>
        <w:rPr>
          <w:spacing w:val="-2"/>
        </w:rPr>
        <w:t> </w:t>
      </w:r>
      <w:r>
        <w:rPr/>
        <w:t>not predicated</w:t>
      </w:r>
      <w:r>
        <w:rPr>
          <w:spacing w:val="-1"/>
        </w:rPr>
        <w:t> </w:t>
      </w:r>
      <w:r>
        <w:rPr/>
        <w:t>on the</w:t>
      </w:r>
      <w:r>
        <w:rPr>
          <w:spacing w:val="-1"/>
        </w:rPr>
        <w:t> </w:t>
      </w:r>
      <w:r>
        <w:rPr/>
        <w:t>inputs and proper needs of the people, the projects encapsulated in the budgets are usually not of priority to the people, the costs of such projects are seen as inflated and the projects are invariably poorly implemented because they are not monitored by the people. Even when the right projects are captured in the budget, they are usually not fully implemented, due to either inadequate</w:t>
      </w:r>
      <w:r>
        <w:rPr>
          <w:spacing w:val="40"/>
        </w:rPr>
        <w:t> </w:t>
      </w:r>
      <w:r>
        <w:rPr/>
        <w:t>allocation of funds or non-release of funds.</w:t>
      </w:r>
    </w:p>
    <w:p>
      <w:pPr>
        <w:pStyle w:val="BodyText"/>
        <w:spacing w:before="138"/>
      </w:pPr>
    </w:p>
    <w:p>
      <w:pPr>
        <w:pStyle w:val="BodyText"/>
        <w:spacing w:line="360" w:lineRule="auto"/>
        <w:ind w:left="240" w:right="837"/>
        <w:jc w:val="both"/>
      </w:pPr>
      <w:r>
        <w:rPr/>
        <w:t>Third,</w:t>
      </w:r>
      <w:r>
        <w:rPr>
          <w:spacing w:val="-2"/>
        </w:rPr>
        <w:t> </w:t>
      </w:r>
      <w:r>
        <w:rPr/>
        <w:t>enough</w:t>
      </w:r>
      <w:r>
        <w:rPr>
          <w:spacing w:val="-1"/>
        </w:rPr>
        <w:t> </w:t>
      </w:r>
      <w:r>
        <w:rPr/>
        <w:t>time</w:t>
      </w:r>
      <w:r>
        <w:rPr>
          <w:spacing w:val="-2"/>
        </w:rPr>
        <w:t> </w:t>
      </w:r>
      <w:r>
        <w:rPr/>
        <w:t>is</w:t>
      </w:r>
      <w:r>
        <w:rPr>
          <w:spacing w:val="-1"/>
        </w:rPr>
        <w:t> </w:t>
      </w:r>
      <w:r>
        <w:rPr/>
        <w:t>often</w:t>
      </w:r>
      <w:r>
        <w:rPr>
          <w:spacing w:val="-1"/>
        </w:rPr>
        <w:t> </w:t>
      </w:r>
      <w:r>
        <w:rPr/>
        <w:t>not</w:t>
      </w:r>
      <w:r>
        <w:rPr>
          <w:spacing w:val="-1"/>
        </w:rPr>
        <w:t> </w:t>
      </w:r>
      <w:r>
        <w:rPr/>
        <w:t>given</w:t>
      </w:r>
      <w:r>
        <w:rPr>
          <w:spacing w:val="-2"/>
        </w:rPr>
        <w:t> </w:t>
      </w:r>
      <w:r>
        <w:rPr/>
        <w:t>for</w:t>
      </w:r>
      <w:r>
        <w:rPr>
          <w:spacing w:val="-2"/>
        </w:rPr>
        <w:t> </w:t>
      </w:r>
      <w:r>
        <w:rPr/>
        <w:t>the</w:t>
      </w:r>
      <w:r>
        <w:rPr>
          <w:spacing w:val="-2"/>
        </w:rPr>
        <w:t> </w:t>
      </w:r>
      <w:r>
        <w:rPr/>
        <w:t>budget</w:t>
      </w:r>
      <w:r>
        <w:rPr>
          <w:spacing w:val="-1"/>
        </w:rPr>
        <w:t> </w:t>
      </w:r>
      <w:r>
        <w:rPr/>
        <w:t>preparation</w:t>
      </w:r>
      <w:r>
        <w:rPr>
          <w:spacing w:val="-1"/>
        </w:rPr>
        <w:t> </w:t>
      </w:r>
      <w:r>
        <w:rPr/>
        <w:t>process.</w:t>
      </w:r>
      <w:r>
        <w:rPr>
          <w:spacing w:val="-1"/>
        </w:rPr>
        <w:t> </w:t>
      </w:r>
      <w:r>
        <w:rPr/>
        <w:t>A comprehensive</w:t>
      </w:r>
      <w:r>
        <w:rPr>
          <w:spacing w:val="-2"/>
        </w:rPr>
        <w:t> </w:t>
      </w:r>
      <w:r>
        <w:rPr/>
        <w:t>needs assessment requires sufficient time to carry out, so that the pressing needs of the people are captured. In addition to this, anecdotal evidence reveals that the budget is usually</w:t>
      </w:r>
      <w:r>
        <w:rPr>
          <w:spacing w:val="-1"/>
        </w:rPr>
        <w:t> </w:t>
      </w:r>
      <w:r>
        <w:rPr/>
        <w:t>submitted late, usually one month before the date of commencement, and therefore hurriedly considered by the State legislature, without a thorough job being done. Such delays also deny the people the benefits of early initiation, commissioning and completion of housing projects. Sequel to this, there is also no serious and effective mechanism for evaluating the efficiency of utilization of housing</w:t>
      </w:r>
      <w:r>
        <w:rPr>
          <w:spacing w:val="-1"/>
        </w:rPr>
        <w:t> </w:t>
      </w:r>
      <w:r>
        <w:rPr/>
        <w:t>budget funds, monitoring</w:t>
      </w:r>
      <w:r>
        <w:rPr>
          <w:spacing w:val="-1"/>
        </w:rPr>
        <w:t> </w:t>
      </w:r>
      <w:r>
        <w:rPr/>
        <w:t>and reviewing housing</w:t>
      </w:r>
      <w:r>
        <w:rPr>
          <w:spacing w:val="-1"/>
        </w:rPr>
        <w:t> </w:t>
      </w:r>
      <w:r>
        <w:rPr/>
        <w:t>budget performance</w:t>
      </w:r>
      <w:r>
        <w:rPr>
          <w:spacing w:val="-1"/>
        </w:rPr>
        <w:t> </w:t>
      </w:r>
      <w:r>
        <w:rPr/>
        <w:t>to ensure</w:t>
      </w:r>
      <w:r>
        <w:rPr>
          <w:spacing w:val="-1"/>
        </w:rPr>
        <w:t> </w:t>
      </w:r>
      <w:r>
        <w:rPr/>
        <w:t>effective budget implementation. As a result, the people do not usually benefit fully from the intended purposes (housing projects) of the budget.</w:t>
      </w:r>
    </w:p>
    <w:p>
      <w:pPr>
        <w:pStyle w:val="BodyText"/>
        <w:spacing w:before="140"/>
      </w:pPr>
    </w:p>
    <w:p>
      <w:pPr>
        <w:pStyle w:val="BodyText"/>
        <w:spacing w:line="360" w:lineRule="auto"/>
        <w:ind w:left="240" w:right="838"/>
        <w:jc w:val="both"/>
      </w:pPr>
      <w:r>
        <w:rPr/>
        <w:t>The fourth problem bedeviling the Anambra State housing sector budget is that housing and construction cost professionals such as the Quantity Surveyors are not fully involved. According to</w:t>
      </w:r>
      <w:r>
        <w:rPr>
          <w:spacing w:val="-2"/>
        </w:rPr>
        <w:t> </w:t>
      </w:r>
      <w:r>
        <w:rPr/>
        <w:t>Anyadike</w:t>
      </w:r>
      <w:r>
        <w:rPr>
          <w:spacing w:val="-3"/>
        </w:rPr>
        <w:t> </w:t>
      </w:r>
      <w:r>
        <w:rPr/>
        <w:t>(2002a),</w:t>
      </w:r>
      <w:r>
        <w:rPr>
          <w:spacing w:val="-2"/>
        </w:rPr>
        <w:t> </w:t>
      </w:r>
      <w:r>
        <w:rPr/>
        <w:t>the</w:t>
      </w:r>
      <w:r>
        <w:rPr>
          <w:spacing w:val="-1"/>
        </w:rPr>
        <w:t> </w:t>
      </w:r>
      <w:r>
        <w:rPr/>
        <w:t>Quantity</w:t>
      </w:r>
      <w:r>
        <w:rPr>
          <w:spacing w:val="-7"/>
        </w:rPr>
        <w:t> </w:t>
      </w:r>
      <w:r>
        <w:rPr/>
        <w:t>Surveyor‘s</w:t>
      </w:r>
      <w:r>
        <w:rPr>
          <w:spacing w:val="-3"/>
        </w:rPr>
        <w:t> </w:t>
      </w:r>
      <w:r>
        <w:rPr/>
        <w:t>role</w:t>
      </w:r>
      <w:r>
        <w:rPr>
          <w:spacing w:val="-1"/>
        </w:rPr>
        <w:t> </w:t>
      </w:r>
      <w:r>
        <w:rPr/>
        <w:t>in</w:t>
      </w:r>
      <w:r>
        <w:rPr>
          <w:spacing w:val="-2"/>
        </w:rPr>
        <w:t> </w:t>
      </w:r>
      <w:r>
        <w:rPr/>
        <w:t>society</w:t>
      </w:r>
      <w:r>
        <w:rPr>
          <w:spacing w:val="-7"/>
        </w:rPr>
        <w:t> </w:t>
      </w:r>
      <w:r>
        <w:rPr/>
        <w:t>is</w:t>
      </w:r>
      <w:r>
        <w:rPr>
          <w:spacing w:val="-3"/>
        </w:rPr>
        <w:t> </w:t>
      </w:r>
      <w:r>
        <w:rPr/>
        <w:t>that</w:t>
      </w:r>
      <w:r>
        <w:rPr>
          <w:spacing w:val="-2"/>
        </w:rPr>
        <w:t> </w:t>
      </w:r>
      <w:r>
        <w:rPr/>
        <w:t>of</w:t>
      </w:r>
      <w:r>
        <w:rPr>
          <w:spacing w:val="-1"/>
        </w:rPr>
        <w:t> </w:t>
      </w:r>
      <w:r>
        <w:rPr/>
        <w:t>ensuring</w:t>
      </w:r>
      <w:r>
        <w:rPr>
          <w:spacing w:val="-5"/>
        </w:rPr>
        <w:t> </w:t>
      </w:r>
      <w:r>
        <w:rPr/>
        <w:t>that</w:t>
      </w:r>
      <w:r>
        <w:rPr>
          <w:spacing w:val="-2"/>
        </w:rPr>
        <w:t> </w:t>
      </w:r>
      <w:r>
        <w:rPr/>
        <w:t>the</w:t>
      </w:r>
      <w:r>
        <w:rPr>
          <w:spacing w:val="-1"/>
        </w:rPr>
        <w:t> </w:t>
      </w:r>
      <w:r>
        <w:rPr/>
        <w:t>resources for construction and development are utilized to the best advantages of the economy. Unfortunately, Quantity Surveyors are not fully involved in the decision making process of final housing</w:t>
      </w:r>
      <w:r>
        <w:rPr>
          <w:spacing w:val="-4"/>
        </w:rPr>
        <w:t> </w:t>
      </w:r>
      <w:r>
        <w:rPr/>
        <w:t>budget</w:t>
      </w:r>
      <w:r>
        <w:rPr>
          <w:spacing w:val="-1"/>
        </w:rPr>
        <w:t> </w:t>
      </w:r>
      <w:r>
        <w:rPr/>
        <w:t>allocations</w:t>
      </w:r>
      <w:r>
        <w:rPr>
          <w:spacing w:val="-1"/>
        </w:rPr>
        <w:t> </w:t>
      </w:r>
      <w:r>
        <w:rPr/>
        <w:t>in</w:t>
      </w:r>
      <w:r>
        <w:rPr>
          <w:spacing w:val="-1"/>
        </w:rPr>
        <w:t> </w:t>
      </w:r>
      <w:r>
        <w:rPr/>
        <w:t>Anambra</w:t>
      </w:r>
      <w:r>
        <w:rPr>
          <w:spacing w:val="-3"/>
        </w:rPr>
        <w:t> </w:t>
      </w:r>
      <w:r>
        <w:rPr/>
        <w:t>State.</w:t>
      </w:r>
      <w:r>
        <w:rPr>
          <w:spacing w:val="-1"/>
        </w:rPr>
        <w:t> </w:t>
      </w:r>
      <w:r>
        <w:rPr/>
        <w:t>Quantity</w:t>
      </w:r>
      <w:r>
        <w:rPr>
          <w:spacing w:val="-6"/>
        </w:rPr>
        <w:t> </w:t>
      </w:r>
      <w:r>
        <w:rPr/>
        <w:t>Surveyors</w:t>
      </w:r>
      <w:r>
        <w:rPr>
          <w:spacing w:val="-1"/>
        </w:rPr>
        <w:t> </w:t>
      </w:r>
      <w:r>
        <w:rPr/>
        <w:t>are</w:t>
      </w:r>
      <w:r>
        <w:rPr>
          <w:spacing w:val="-3"/>
        </w:rPr>
        <w:t> </w:t>
      </w:r>
      <w:r>
        <w:rPr/>
        <w:t>often</w:t>
      </w:r>
      <w:r>
        <w:rPr>
          <w:spacing w:val="-1"/>
        </w:rPr>
        <w:t> </w:t>
      </w:r>
      <w:r>
        <w:rPr/>
        <w:t>sidelined</w:t>
      </w:r>
      <w:r>
        <w:rPr>
          <w:spacing w:val="-1"/>
        </w:rPr>
        <w:t> </w:t>
      </w:r>
      <w:r>
        <w:rPr/>
        <w:t>or</w:t>
      </w:r>
      <w:r>
        <w:rPr>
          <w:spacing w:val="-2"/>
        </w:rPr>
        <w:t> </w:t>
      </w:r>
      <w:r>
        <w:rPr/>
        <w:t>relegated to the preparation of housing development estimates, tendering and interim valuation, during the implementation (construction) stage.</w:t>
      </w:r>
    </w:p>
    <w:p>
      <w:pPr>
        <w:spacing w:after="0" w:line="360" w:lineRule="auto"/>
        <w:jc w:val="both"/>
        <w:sectPr>
          <w:pgSz w:w="12240" w:h="15840"/>
          <w:pgMar w:header="0" w:footer="1036" w:top="1360" w:bottom="1220" w:left="1200" w:right="600"/>
        </w:sectPr>
      </w:pPr>
    </w:p>
    <w:p>
      <w:pPr>
        <w:pStyle w:val="BodyText"/>
        <w:spacing w:line="360" w:lineRule="auto" w:before="74"/>
        <w:ind w:left="240" w:right="833"/>
        <w:jc w:val="both"/>
      </w:pPr>
      <w:r>
        <w:rPr/>
        <w:t>The common practice is that at the beginning of the budget cycle each year, the Ministry of Budget and Economic Planning sends a budget circular to the Ministry of Housing, stipulating their budget ceiling (or limit) to be adhered to. This housing budget ceiling and the final allocation are not founded on any known scientific basis or criteria such as percentage of federal allocation or internally generated revenue, needs survey, percentage contribution to Gross Domestic Product (GDP), hence, they seem to be fixed arbitrarily annually, albeit with political influence. Thus, estimates prepared by Quantity Surveyors in the Ministry of Housing are often cut down, with the reason that such estimates must not exceed the budget ceiling because of lack of funds. The remaining budget sum is often grossly inadequate and the implication of this practice is that the initially intended housing project size or scope is reduced to avoid exceeding the budget limit. This also leads to a piece-meal release of funds annually, to execute work items of housing projects not executed in the preceding year, resulting in a slow pace of housing development. To compound this, these sums are often slashed again, during the final stages of</w:t>
      </w:r>
      <w:r>
        <w:rPr>
          <w:spacing w:val="40"/>
        </w:rPr>
        <w:t> </w:t>
      </w:r>
      <w:r>
        <w:rPr/>
        <w:t>the budget approval by the State executive council.</w:t>
      </w:r>
    </w:p>
    <w:p>
      <w:pPr>
        <w:pStyle w:val="BodyText"/>
        <w:spacing w:line="360" w:lineRule="auto" w:before="242"/>
        <w:ind w:left="240" w:right="836"/>
        <w:jc w:val="both"/>
      </w:pPr>
      <w:r>
        <w:rPr/>
        <w:t>Lastly, another setback of the Anambra State housing budget is that the allocation for infrastructural provision for the Housing Corporation which reflects annually in the published budget rarely</w:t>
      </w:r>
      <w:r>
        <w:rPr>
          <w:spacing w:val="-3"/>
        </w:rPr>
        <w:t> </w:t>
      </w:r>
      <w:r>
        <w:rPr/>
        <w:t>gets into the coffers of the Corporation. Hence, the Corporation is left to ‗fend‘ for itself, while other sectors enjoy direct government support annually. The implication of this is that</w:t>
      </w:r>
      <w:r>
        <w:rPr>
          <w:spacing w:val="29"/>
        </w:rPr>
        <w:t> </w:t>
      </w:r>
      <w:r>
        <w:rPr/>
        <w:t>when</w:t>
      </w:r>
      <w:r>
        <w:rPr>
          <w:spacing w:val="30"/>
        </w:rPr>
        <w:t> </w:t>
      </w:r>
      <w:r>
        <w:rPr/>
        <w:t>the</w:t>
      </w:r>
      <w:r>
        <w:rPr>
          <w:spacing w:val="31"/>
        </w:rPr>
        <w:t> </w:t>
      </w:r>
      <w:r>
        <w:rPr/>
        <w:t>Housing</w:t>
      </w:r>
      <w:r>
        <w:rPr>
          <w:spacing w:val="33"/>
        </w:rPr>
        <w:t> </w:t>
      </w:r>
      <w:r>
        <w:rPr/>
        <w:t>Corporation</w:t>
      </w:r>
      <w:r>
        <w:rPr>
          <w:spacing w:val="29"/>
        </w:rPr>
        <w:t> </w:t>
      </w:r>
      <w:r>
        <w:rPr/>
        <w:t>is</w:t>
      </w:r>
      <w:r>
        <w:rPr>
          <w:spacing w:val="31"/>
        </w:rPr>
        <w:t> </w:t>
      </w:r>
      <w:r>
        <w:rPr/>
        <w:t>totally</w:t>
      </w:r>
      <w:r>
        <w:rPr>
          <w:spacing w:val="25"/>
        </w:rPr>
        <w:t> </w:t>
      </w:r>
      <w:r>
        <w:rPr/>
        <w:t>ignored</w:t>
      </w:r>
      <w:r>
        <w:rPr>
          <w:spacing w:val="30"/>
        </w:rPr>
        <w:t> </w:t>
      </w:r>
      <w:r>
        <w:rPr/>
        <w:t>because</w:t>
      </w:r>
      <w:r>
        <w:rPr>
          <w:spacing w:val="31"/>
        </w:rPr>
        <w:t> </w:t>
      </w:r>
      <w:r>
        <w:rPr/>
        <w:t>it</w:t>
      </w:r>
      <w:r>
        <w:rPr>
          <w:spacing w:val="37"/>
        </w:rPr>
        <w:t> </w:t>
      </w:r>
      <w:r>
        <w:rPr/>
        <w:t>is</w:t>
      </w:r>
      <w:r>
        <w:rPr>
          <w:spacing w:val="30"/>
        </w:rPr>
        <w:t> </w:t>
      </w:r>
      <w:r>
        <w:rPr/>
        <w:t>expected</w:t>
      </w:r>
      <w:r>
        <w:rPr>
          <w:spacing w:val="30"/>
        </w:rPr>
        <w:t> </w:t>
      </w:r>
      <w:r>
        <w:rPr/>
        <w:t>to</w:t>
      </w:r>
      <w:r>
        <w:rPr>
          <w:spacing w:val="30"/>
        </w:rPr>
        <w:t> </w:t>
      </w:r>
      <w:r>
        <w:rPr/>
        <w:t>make</w:t>
      </w:r>
      <w:r>
        <w:rPr>
          <w:spacing w:val="31"/>
        </w:rPr>
        <w:t> </w:t>
      </w:r>
      <w:r>
        <w:rPr/>
        <w:t>profit</w:t>
      </w:r>
      <w:r>
        <w:rPr>
          <w:spacing w:val="31"/>
        </w:rPr>
        <w:t> </w:t>
      </w:r>
      <w:r>
        <w:rPr>
          <w:spacing w:val="-5"/>
        </w:rPr>
        <w:t>to</w:t>
      </w:r>
    </w:p>
    <w:p>
      <w:pPr>
        <w:pStyle w:val="BodyText"/>
        <w:spacing w:line="360" w:lineRule="auto" w:before="1"/>
        <w:ind w:left="240" w:right="834"/>
        <w:jc w:val="both"/>
      </w:pPr>
      <w:r>
        <w:rPr/>
        <w:t>‗survive‘. The costs of such infrastructure (access roads, drainages, electricity) are built into the housing cost. This further aggravates the plight of the citizenry because unaffordability and dearth of housing facilities is increased.</w:t>
      </w:r>
    </w:p>
    <w:p>
      <w:pPr>
        <w:pStyle w:val="BodyText"/>
        <w:spacing w:before="69"/>
      </w:pPr>
    </w:p>
    <w:p>
      <w:pPr>
        <w:pStyle w:val="BodyText"/>
        <w:spacing w:line="360" w:lineRule="auto"/>
        <w:ind w:left="240" w:right="836"/>
        <w:jc w:val="both"/>
      </w:pPr>
      <w:r>
        <w:rPr/>
        <w:t>Given the above background, there is need for a holistic approach or framework to address the housing</w:t>
      </w:r>
      <w:r>
        <w:rPr>
          <w:spacing w:val="-6"/>
        </w:rPr>
        <w:t> </w:t>
      </w:r>
      <w:r>
        <w:rPr/>
        <w:t>budget</w:t>
      </w:r>
      <w:r>
        <w:rPr>
          <w:spacing w:val="-1"/>
        </w:rPr>
        <w:t> </w:t>
      </w:r>
      <w:r>
        <w:rPr/>
        <w:t>management</w:t>
      </w:r>
      <w:r>
        <w:rPr>
          <w:spacing w:val="-3"/>
        </w:rPr>
        <w:t> </w:t>
      </w:r>
      <w:r>
        <w:rPr/>
        <w:t>problems</w:t>
      </w:r>
      <w:r>
        <w:rPr>
          <w:spacing w:val="-1"/>
        </w:rPr>
        <w:t> </w:t>
      </w:r>
      <w:r>
        <w:rPr/>
        <w:t>identified,</w:t>
      </w:r>
      <w:r>
        <w:rPr>
          <w:spacing w:val="-3"/>
        </w:rPr>
        <w:t> </w:t>
      </w:r>
      <w:r>
        <w:rPr/>
        <w:t>hence</w:t>
      </w:r>
      <w:r>
        <w:rPr>
          <w:spacing w:val="-4"/>
        </w:rPr>
        <w:t> </w:t>
      </w:r>
      <w:r>
        <w:rPr/>
        <w:t>the</w:t>
      </w:r>
      <w:r>
        <w:rPr>
          <w:spacing w:val="-3"/>
        </w:rPr>
        <w:t> </w:t>
      </w:r>
      <w:r>
        <w:rPr/>
        <w:t>development of</w:t>
      </w:r>
      <w:r>
        <w:rPr>
          <w:spacing w:val="-4"/>
        </w:rPr>
        <w:t> </w:t>
      </w:r>
      <w:r>
        <w:rPr/>
        <w:t>a</w:t>
      </w:r>
      <w:r>
        <w:rPr>
          <w:spacing w:val="-4"/>
        </w:rPr>
        <w:t> </w:t>
      </w:r>
      <w:r>
        <w:rPr/>
        <w:t>model</w:t>
      </w:r>
      <w:r>
        <w:rPr>
          <w:spacing w:val="-3"/>
        </w:rPr>
        <w:t> </w:t>
      </w:r>
      <w:r>
        <w:rPr/>
        <w:t>for</w:t>
      </w:r>
      <w:r>
        <w:rPr>
          <w:spacing w:val="-2"/>
        </w:rPr>
        <w:t> </w:t>
      </w:r>
      <w:r>
        <w:rPr/>
        <w:t>effective housing budget performance targeted by this research; which is geared towards improving housing delivery.</w:t>
      </w:r>
    </w:p>
    <w:p>
      <w:pPr>
        <w:spacing w:after="0" w:line="360" w:lineRule="auto"/>
        <w:jc w:val="both"/>
        <w:sectPr>
          <w:pgSz w:w="12240" w:h="15840"/>
          <w:pgMar w:header="0" w:footer="1036" w:top="1360" w:bottom="1220" w:left="1200" w:right="600"/>
        </w:sectPr>
      </w:pPr>
    </w:p>
    <w:p>
      <w:pPr>
        <w:pStyle w:val="Heading3"/>
        <w:numPr>
          <w:ilvl w:val="1"/>
          <w:numId w:val="1"/>
        </w:numPr>
        <w:tabs>
          <w:tab w:pos="729" w:val="left" w:leader="none"/>
        </w:tabs>
        <w:spacing w:line="240" w:lineRule="auto" w:before="60" w:after="0"/>
        <w:ind w:left="729" w:right="0" w:hanging="489"/>
        <w:jc w:val="both"/>
      </w:pPr>
      <w:r>
        <w:rPr/>
        <w:t>Aim</w:t>
      </w:r>
      <w:r>
        <w:rPr>
          <w:spacing w:val="-7"/>
        </w:rPr>
        <w:t> </w:t>
      </w:r>
      <w:r>
        <w:rPr/>
        <w:t>and</w:t>
      </w:r>
      <w:r>
        <w:rPr>
          <w:spacing w:val="-5"/>
        </w:rPr>
        <w:t> </w:t>
      </w:r>
      <w:r>
        <w:rPr/>
        <w:t>Objectives</w:t>
      </w:r>
      <w:r>
        <w:rPr>
          <w:spacing w:val="-4"/>
        </w:rPr>
        <w:t> </w:t>
      </w:r>
      <w:r>
        <w:rPr/>
        <w:t>of</w:t>
      </w:r>
      <w:r>
        <w:rPr>
          <w:spacing w:val="-5"/>
        </w:rPr>
        <w:t> </w:t>
      </w:r>
      <w:r>
        <w:rPr/>
        <w:t>the</w:t>
      </w:r>
      <w:r>
        <w:rPr>
          <w:spacing w:val="-5"/>
        </w:rPr>
        <w:t> </w:t>
      </w:r>
      <w:r>
        <w:rPr>
          <w:spacing w:val="-4"/>
        </w:rPr>
        <w:t>study</w:t>
      </w:r>
    </w:p>
    <w:p>
      <w:pPr>
        <w:pStyle w:val="BodyText"/>
        <w:spacing w:line="360" w:lineRule="auto" w:before="159"/>
        <w:ind w:left="240" w:right="838"/>
        <w:jc w:val="both"/>
      </w:pPr>
      <w:r>
        <w:rPr/>
        <w:t>The aim of this research is to develop a model (framework) for effective housing budget performance and delivery in Anambra State. The following objectives are the premise for achieving the aim of the study:</w:t>
      </w:r>
    </w:p>
    <w:p>
      <w:pPr>
        <w:pStyle w:val="ListParagraph"/>
        <w:numPr>
          <w:ilvl w:val="2"/>
          <w:numId w:val="1"/>
        </w:numPr>
        <w:tabs>
          <w:tab w:pos="958" w:val="left" w:leader="none"/>
        </w:tabs>
        <w:spacing w:line="240" w:lineRule="auto" w:before="1" w:after="0"/>
        <w:ind w:left="958" w:right="0" w:hanging="485"/>
        <w:jc w:val="both"/>
        <w:rPr>
          <w:sz w:val="24"/>
        </w:rPr>
      </w:pPr>
      <w:r>
        <w:rPr>
          <w:sz w:val="24"/>
        </w:rPr>
        <w:t>to</w:t>
      </w:r>
      <w:r>
        <w:rPr>
          <w:spacing w:val="-3"/>
          <w:sz w:val="24"/>
        </w:rPr>
        <w:t> </w:t>
      </w:r>
      <w:r>
        <w:rPr>
          <w:sz w:val="24"/>
        </w:rPr>
        <w:t>assess</w:t>
      </w:r>
      <w:r>
        <w:rPr>
          <w:spacing w:val="-1"/>
          <w:sz w:val="24"/>
        </w:rPr>
        <w:t> </w:t>
      </w:r>
      <w:r>
        <w:rPr>
          <w:sz w:val="24"/>
        </w:rPr>
        <w:t>the trend of</w:t>
      </w:r>
      <w:r>
        <w:rPr>
          <w:spacing w:val="-1"/>
          <w:sz w:val="24"/>
        </w:rPr>
        <w:t> </w:t>
      </w:r>
      <w:r>
        <w:rPr>
          <w:sz w:val="24"/>
        </w:rPr>
        <w:t>housing</w:t>
      </w:r>
      <w:r>
        <w:rPr>
          <w:spacing w:val="-2"/>
          <w:sz w:val="24"/>
        </w:rPr>
        <w:t> </w:t>
      </w:r>
      <w:r>
        <w:rPr>
          <w:sz w:val="24"/>
        </w:rPr>
        <w:t>budget allocation for the</w:t>
      </w:r>
      <w:r>
        <w:rPr>
          <w:spacing w:val="-2"/>
          <w:sz w:val="24"/>
        </w:rPr>
        <w:t> </w:t>
      </w:r>
      <w:r>
        <w:rPr>
          <w:sz w:val="24"/>
        </w:rPr>
        <w:t>period (1999</w:t>
      </w:r>
      <w:r>
        <w:rPr>
          <w:spacing w:val="-1"/>
          <w:sz w:val="24"/>
        </w:rPr>
        <w:t> </w:t>
      </w:r>
      <w:r>
        <w:rPr>
          <w:sz w:val="24"/>
        </w:rPr>
        <w:t>– 2016)</w:t>
      </w:r>
      <w:r>
        <w:rPr>
          <w:spacing w:val="-1"/>
          <w:sz w:val="24"/>
        </w:rPr>
        <w:t> </w:t>
      </w:r>
      <w:r>
        <w:rPr>
          <w:sz w:val="24"/>
        </w:rPr>
        <w:t>under </w:t>
      </w:r>
      <w:r>
        <w:rPr>
          <w:spacing w:val="-2"/>
          <w:sz w:val="24"/>
        </w:rPr>
        <w:t>study;</w:t>
      </w:r>
    </w:p>
    <w:p>
      <w:pPr>
        <w:pStyle w:val="ListParagraph"/>
        <w:numPr>
          <w:ilvl w:val="2"/>
          <w:numId w:val="1"/>
        </w:numPr>
        <w:tabs>
          <w:tab w:pos="958" w:val="left" w:leader="none"/>
          <w:tab w:pos="960" w:val="left" w:leader="none"/>
        </w:tabs>
        <w:spacing w:line="360" w:lineRule="auto" w:before="137" w:after="0"/>
        <w:ind w:left="960" w:right="839" w:hanging="555"/>
        <w:jc w:val="both"/>
        <w:rPr>
          <w:sz w:val="24"/>
        </w:rPr>
      </w:pPr>
      <w:r>
        <w:rPr>
          <w:sz w:val="24"/>
        </w:rPr>
        <w:t>to critically appraise, Anambra State Government‘s housing budget practices and the criterion(a) it adopts in establishing annual housing budget ceilings and allocating annual housing budgets;</w:t>
      </w:r>
    </w:p>
    <w:p>
      <w:pPr>
        <w:pStyle w:val="ListParagraph"/>
        <w:numPr>
          <w:ilvl w:val="2"/>
          <w:numId w:val="1"/>
        </w:numPr>
        <w:tabs>
          <w:tab w:pos="957" w:val="left" w:leader="none"/>
          <w:tab w:pos="960" w:val="left" w:leader="none"/>
        </w:tabs>
        <w:spacing w:line="360" w:lineRule="auto" w:before="1" w:after="0"/>
        <w:ind w:left="960" w:right="836" w:hanging="620"/>
        <w:jc w:val="both"/>
        <w:rPr>
          <w:sz w:val="24"/>
        </w:rPr>
      </w:pPr>
      <w:r>
        <w:rPr>
          <w:sz w:val="24"/>
        </w:rPr>
        <w:t>to identify and rank the planning, preparation and implementation problems facing housing budget performance in Anambra State;</w:t>
      </w:r>
    </w:p>
    <w:p>
      <w:pPr>
        <w:pStyle w:val="ListParagraph"/>
        <w:numPr>
          <w:ilvl w:val="2"/>
          <w:numId w:val="1"/>
        </w:numPr>
        <w:tabs>
          <w:tab w:pos="958" w:val="left" w:leader="none"/>
          <w:tab w:pos="960" w:val="left" w:leader="none"/>
        </w:tabs>
        <w:spacing w:line="360" w:lineRule="auto" w:before="1" w:after="0"/>
        <w:ind w:left="960" w:right="838" w:hanging="608"/>
        <w:jc w:val="both"/>
        <w:rPr>
          <w:sz w:val="24"/>
        </w:rPr>
      </w:pPr>
      <w:r>
        <w:rPr>
          <w:sz w:val="24"/>
        </w:rPr>
        <w:t>to compare the annual housing budget allocation and annual actual housing expenditure</w:t>
      </w:r>
      <w:r>
        <w:rPr>
          <w:spacing w:val="40"/>
          <w:sz w:val="24"/>
        </w:rPr>
        <w:t> </w:t>
      </w:r>
      <w:r>
        <w:rPr>
          <w:sz w:val="24"/>
        </w:rPr>
        <w:t>of Anambra State from 1999 – 2016;</w:t>
      </w:r>
    </w:p>
    <w:p>
      <w:pPr>
        <w:pStyle w:val="ListParagraph"/>
        <w:numPr>
          <w:ilvl w:val="2"/>
          <w:numId w:val="1"/>
        </w:numPr>
        <w:tabs>
          <w:tab w:pos="960" w:val="left" w:leader="none"/>
        </w:tabs>
        <w:spacing w:line="360" w:lineRule="auto" w:before="0" w:after="0"/>
        <w:ind w:left="960" w:right="836" w:hanging="540"/>
        <w:jc w:val="both"/>
        <w:rPr>
          <w:sz w:val="24"/>
        </w:rPr>
      </w:pPr>
      <w:r>
        <w:rPr>
          <w:sz w:val="24"/>
        </w:rPr>
        <w:t>to determine the proportion of annual housing budget allocation of Anambra State in comparison with the State‘s annual capital budget and other key economic sectors;</w:t>
      </w:r>
      <w:r>
        <w:rPr>
          <w:spacing w:val="40"/>
          <w:sz w:val="24"/>
        </w:rPr>
        <w:t> </w:t>
      </w:r>
      <w:r>
        <w:rPr>
          <w:sz w:val="24"/>
        </w:rPr>
        <w:t>and</w:t>
      </w:r>
    </w:p>
    <w:p>
      <w:pPr>
        <w:pStyle w:val="ListParagraph"/>
        <w:numPr>
          <w:ilvl w:val="2"/>
          <w:numId w:val="1"/>
        </w:numPr>
        <w:tabs>
          <w:tab w:pos="958" w:val="left" w:leader="none"/>
          <w:tab w:pos="960" w:val="left" w:leader="none"/>
        </w:tabs>
        <w:spacing w:line="360" w:lineRule="auto" w:before="0" w:after="0"/>
        <w:ind w:left="960" w:right="841" w:hanging="608"/>
        <w:jc w:val="both"/>
        <w:rPr>
          <w:sz w:val="24"/>
        </w:rPr>
      </w:pPr>
      <w:r>
        <w:rPr>
          <w:sz w:val="24"/>
        </w:rPr>
        <w:t>to develop a model (framework) that will enhance the performance of the annual housing budget of Anambra State.</w:t>
      </w:r>
    </w:p>
    <w:p>
      <w:pPr>
        <w:pStyle w:val="BodyText"/>
        <w:spacing w:before="61"/>
      </w:pPr>
    </w:p>
    <w:p>
      <w:pPr>
        <w:pStyle w:val="Heading3"/>
        <w:numPr>
          <w:ilvl w:val="1"/>
          <w:numId w:val="1"/>
        </w:numPr>
        <w:tabs>
          <w:tab w:pos="729" w:val="left" w:leader="none"/>
        </w:tabs>
        <w:spacing w:line="240" w:lineRule="auto" w:before="0" w:after="0"/>
        <w:ind w:left="729" w:right="0" w:hanging="489"/>
        <w:jc w:val="both"/>
      </w:pPr>
      <w:r>
        <w:rPr/>
        <w:t>Research</w:t>
      </w:r>
      <w:r>
        <w:rPr>
          <w:spacing w:val="-10"/>
        </w:rPr>
        <w:t> </w:t>
      </w:r>
      <w:r>
        <w:rPr>
          <w:spacing w:val="-2"/>
        </w:rPr>
        <w:t>Questions</w:t>
      </w:r>
    </w:p>
    <w:p>
      <w:pPr>
        <w:pStyle w:val="BodyText"/>
        <w:spacing w:before="159"/>
        <w:ind w:left="240"/>
        <w:jc w:val="both"/>
      </w:pPr>
      <w:r>
        <w:rPr/>
        <w:t>The</w:t>
      </w:r>
      <w:r>
        <w:rPr>
          <w:spacing w:val="-3"/>
        </w:rPr>
        <w:t> </w:t>
      </w:r>
      <w:r>
        <w:rPr/>
        <w:t>following</w:t>
      </w:r>
      <w:r>
        <w:rPr>
          <w:spacing w:val="-2"/>
        </w:rPr>
        <w:t> </w:t>
      </w:r>
      <w:r>
        <w:rPr/>
        <w:t>research</w:t>
      </w:r>
      <w:r>
        <w:rPr>
          <w:spacing w:val="-1"/>
        </w:rPr>
        <w:t> </w:t>
      </w:r>
      <w:r>
        <w:rPr/>
        <w:t>questions</w:t>
      </w:r>
      <w:r>
        <w:rPr>
          <w:spacing w:val="-1"/>
        </w:rPr>
        <w:t> </w:t>
      </w:r>
      <w:r>
        <w:rPr/>
        <w:t>formed the</w:t>
      </w:r>
      <w:r>
        <w:rPr>
          <w:spacing w:val="-2"/>
        </w:rPr>
        <w:t> </w:t>
      </w:r>
      <w:r>
        <w:rPr/>
        <w:t>basis</w:t>
      </w:r>
      <w:r>
        <w:rPr>
          <w:spacing w:val="2"/>
        </w:rPr>
        <w:t> </w:t>
      </w:r>
      <w:r>
        <w:rPr/>
        <w:t>of</w:t>
      </w:r>
      <w:r>
        <w:rPr>
          <w:spacing w:val="-1"/>
        </w:rPr>
        <w:t> </w:t>
      </w:r>
      <w:r>
        <w:rPr/>
        <w:t>the</w:t>
      </w:r>
      <w:r>
        <w:rPr>
          <w:spacing w:val="-2"/>
        </w:rPr>
        <w:t> study:</w:t>
      </w:r>
    </w:p>
    <w:p>
      <w:pPr>
        <w:pStyle w:val="ListParagraph"/>
        <w:numPr>
          <w:ilvl w:val="2"/>
          <w:numId w:val="1"/>
        </w:numPr>
        <w:tabs>
          <w:tab w:pos="957" w:val="left" w:leader="none"/>
          <w:tab w:pos="960" w:val="left" w:leader="none"/>
        </w:tabs>
        <w:spacing w:line="360" w:lineRule="auto" w:before="257" w:after="0"/>
        <w:ind w:left="960" w:right="838" w:hanging="488"/>
        <w:jc w:val="both"/>
        <w:rPr>
          <w:sz w:val="24"/>
        </w:rPr>
      </w:pPr>
      <w:r>
        <w:rPr>
          <w:sz w:val="24"/>
        </w:rPr>
        <w:t>What trend has the allocation of housing construction budgets in Anambra State taken from 1999 - 2016?</w:t>
      </w:r>
    </w:p>
    <w:p>
      <w:pPr>
        <w:pStyle w:val="ListParagraph"/>
        <w:numPr>
          <w:ilvl w:val="2"/>
          <w:numId w:val="1"/>
        </w:numPr>
        <w:tabs>
          <w:tab w:pos="958" w:val="left" w:leader="none"/>
          <w:tab w:pos="960" w:val="left" w:leader="none"/>
        </w:tabs>
        <w:spacing w:line="360" w:lineRule="auto" w:before="0" w:after="0"/>
        <w:ind w:left="960" w:right="840" w:hanging="555"/>
        <w:jc w:val="both"/>
        <w:rPr>
          <w:sz w:val="24"/>
        </w:rPr>
      </w:pPr>
      <w:r>
        <w:rPr>
          <w:sz w:val="24"/>
        </w:rPr>
        <w:t>How well are the housing budget practices of Anambra State faring? And what criterion(a) does the Anambra State Government adopt in establishing annual housing budget ceilings and allocating annual housing budgets?</w:t>
      </w:r>
    </w:p>
    <w:p>
      <w:pPr>
        <w:pStyle w:val="ListParagraph"/>
        <w:numPr>
          <w:ilvl w:val="2"/>
          <w:numId w:val="1"/>
        </w:numPr>
        <w:tabs>
          <w:tab w:pos="957" w:val="left" w:leader="none"/>
          <w:tab w:pos="960" w:val="left" w:leader="none"/>
        </w:tabs>
        <w:spacing w:line="360" w:lineRule="auto" w:before="1" w:after="0"/>
        <w:ind w:left="960" w:right="834" w:hanging="620"/>
        <w:jc w:val="both"/>
        <w:rPr>
          <w:sz w:val="24"/>
        </w:rPr>
      </w:pPr>
      <w:r>
        <w:rPr>
          <w:sz w:val="24"/>
        </w:rPr>
        <w:t>What are the major planning, preparation and implementation problems facing housing budgeting performance in Anambra state?</w:t>
      </w:r>
    </w:p>
    <w:p>
      <w:pPr>
        <w:pStyle w:val="ListParagraph"/>
        <w:numPr>
          <w:ilvl w:val="2"/>
          <w:numId w:val="1"/>
        </w:numPr>
        <w:tabs>
          <w:tab w:pos="958" w:val="left" w:leader="none"/>
          <w:tab w:pos="960" w:val="left" w:leader="none"/>
        </w:tabs>
        <w:spacing w:line="360" w:lineRule="auto" w:before="1" w:after="0"/>
        <w:ind w:left="960" w:right="838" w:hanging="608"/>
        <w:jc w:val="both"/>
        <w:rPr>
          <w:sz w:val="24"/>
        </w:rPr>
      </w:pPr>
      <w:r>
        <w:rPr>
          <w:sz w:val="24"/>
        </w:rPr>
        <w:t>To what extent has the annual actual housing expenditure of Anambra State deviated</w:t>
      </w:r>
      <w:r>
        <w:rPr>
          <w:spacing w:val="40"/>
          <w:sz w:val="24"/>
        </w:rPr>
        <w:t> </w:t>
      </w:r>
      <w:r>
        <w:rPr>
          <w:sz w:val="24"/>
        </w:rPr>
        <w:t>from the annual housing budget estimate from1999 – 2016?</w:t>
      </w:r>
    </w:p>
    <w:p>
      <w:pPr>
        <w:pStyle w:val="ListParagraph"/>
        <w:numPr>
          <w:ilvl w:val="2"/>
          <w:numId w:val="1"/>
        </w:numPr>
        <w:tabs>
          <w:tab w:pos="960" w:val="left" w:leader="none"/>
        </w:tabs>
        <w:spacing w:line="360" w:lineRule="auto" w:before="0" w:after="0"/>
        <w:ind w:left="960" w:right="837" w:hanging="540"/>
        <w:jc w:val="both"/>
        <w:rPr>
          <w:sz w:val="24"/>
        </w:rPr>
      </w:pPr>
      <w:r>
        <w:rPr>
          <w:sz w:val="24"/>
        </w:rPr>
        <w:t>What proportion of the State‘s annual capital budget is allocated for housing and what is this proportion in comparison with other key sectors of the State‘s economy?</w:t>
      </w:r>
    </w:p>
    <w:p>
      <w:pPr>
        <w:spacing w:after="0" w:line="360" w:lineRule="auto"/>
        <w:jc w:val="both"/>
        <w:rPr>
          <w:sz w:val="24"/>
        </w:rPr>
        <w:sectPr>
          <w:pgSz w:w="12240" w:h="15840"/>
          <w:pgMar w:header="0" w:footer="1036" w:top="1380" w:bottom="1220" w:left="1200" w:right="600"/>
        </w:sectPr>
      </w:pPr>
    </w:p>
    <w:p>
      <w:pPr>
        <w:pStyle w:val="ListParagraph"/>
        <w:numPr>
          <w:ilvl w:val="2"/>
          <w:numId w:val="1"/>
        </w:numPr>
        <w:tabs>
          <w:tab w:pos="960" w:val="left" w:leader="none"/>
        </w:tabs>
        <w:spacing w:line="360" w:lineRule="auto" w:before="74" w:after="0"/>
        <w:ind w:left="960" w:right="843" w:hanging="608"/>
        <w:jc w:val="left"/>
        <w:rPr>
          <w:sz w:val="24"/>
        </w:rPr>
      </w:pPr>
      <w:r>
        <w:rPr>
          <w:sz w:val="24"/>
        </w:rPr>
        <w:t>What nature of model or framework can be developed to enhance annual housing budget performance in Anambra State?</w:t>
      </w:r>
    </w:p>
    <w:p>
      <w:pPr>
        <w:pStyle w:val="BodyText"/>
        <w:spacing w:before="178"/>
      </w:pPr>
    </w:p>
    <w:p>
      <w:pPr>
        <w:pStyle w:val="Heading3"/>
        <w:numPr>
          <w:ilvl w:val="1"/>
          <w:numId w:val="1"/>
        </w:numPr>
        <w:tabs>
          <w:tab w:pos="758" w:val="left" w:leader="none"/>
        </w:tabs>
        <w:spacing w:line="240" w:lineRule="auto" w:before="1" w:after="0"/>
        <w:ind w:left="758" w:right="0" w:hanging="518"/>
        <w:jc w:val="both"/>
      </w:pPr>
      <w:r>
        <w:rPr/>
        <w:t>Significance</w:t>
      </w:r>
      <w:r>
        <w:rPr>
          <w:spacing w:val="-4"/>
        </w:rPr>
        <w:t> </w:t>
      </w:r>
      <w:r>
        <w:rPr/>
        <w:t>of</w:t>
      </w:r>
      <w:r>
        <w:rPr>
          <w:spacing w:val="-6"/>
        </w:rPr>
        <w:t> </w:t>
      </w:r>
      <w:r>
        <w:rPr/>
        <w:t>the</w:t>
      </w:r>
      <w:r>
        <w:rPr>
          <w:spacing w:val="-7"/>
        </w:rPr>
        <w:t> </w:t>
      </w:r>
      <w:r>
        <w:rPr>
          <w:spacing w:val="-2"/>
        </w:rPr>
        <w:t>Study</w:t>
      </w:r>
    </w:p>
    <w:p>
      <w:pPr>
        <w:pStyle w:val="BodyText"/>
        <w:spacing w:line="360" w:lineRule="auto" w:before="144"/>
        <w:ind w:left="240" w:right="836"/>
        <w:jc w:val="both"/>
      </w:pPr>
      <w:r>
        <w:rPr/>
        <w:t>Results from the research, first, will provide a housing budget performance model or framework which the Anambra State government will adopt as guide in improving the housing budgeting process and ultimately performance, to ensure effective delivery of housing amenities for its teeming urban residents, raise their living standards and create a conducive atmosphere where economic development will thrive.</w:t>
      </w:r>
    </w:p>
    <w:p>
      <w:pPr>
        <w:pStyle w:val="BodyText"/>
        <w:spacing w:line="360" w:lineRule="auto" w:before="242"/>
        <w:ind w:left="240" w:right="842"/>
        <w:jc w:val="both"/>
      </w:pPr>
      <w:r>
        <w:rPr/>
        <w:t>Second, the study will assist the Anambra State government in the rational and objective planning, control and allocation of its limited financial resources, amongst competing sectors of the State‘s economy.</w:t>
      </w:r>
    </w:p>
    <w:p>
      <w:pPr>
        <w:pStyle w:val="BodyText"/>
        <w:spacing w:line="360" w:lineRule="auto" w:before="241"/>
        <w:ind w:left="240" w:right="834"/>
        <w:jc w:val="both"/>
      </w:pPr>
      <w:r>
        <w:rPr/>
        <w:t>Third, it will contribute to the existing body of knowledge by updating and enriching housing</w:t>
      </w:r>
      <w:r>
        <w:rPr>
          <w:spacing w:val="40"/>
        </w:rPr>
        <w:t> </w:t>
      </w:r>
      <w:r>
        <w:rPr/>
        <w:t>and public budgeting literature and also isolating in order of severity, the problems bedeviling</w:t>
      </w:r>
      <w:r>
        <w:rPr>
          <w:spacing w:val="40"/>
        </w:rPr>
        <w:t> </w:t>
      </w:r>
      <w:r>
        <w:rPr/>
        <w:t>the housing budgeting performance of Anambra state, to enable necessary government policy actions to be taken in order to address them.</w:t>
      </w:r>
    </w:p>
    <w:p>
      <w:pPr>
        <w:pStyle w:val="BodyText"/>
        <w:spacing w:line="360" w:lineRule="auto" w:before="207"/>
        <w:ind w:left="240" w:right="838"/>
        <w:jc w:val="both"/>
      </w:pPr>
      <w:r>
        <w:rPr/>
        <w:t>Lastly, the study will provide a data base for subsequent researches in housing and housing budget issues in Anambra State, and beyond.</w:t>
      </w:r>
    </w:p>
    <w:p>
      <w:pPr>
        <w:pStyle w:val="BodyText"/>
        <w:spacing w:before="178"/>
      </w:pPr>
    </w:p>
    <w:p>
      <w:pPr>
        <w:pStyle w:val="Heading3"/>
        <w:numPr>
          <w:ilvl w:val="1"/>
          <w:numId w:val="1"/>
        </w:numPr>
        <w:tabs>
          <w:tab w:pos="758" w:val="left" w:leader="none"/>
        </w:tabs>
        <w:spacing w:line="240" w:lineRule="auto" w:before="1" w:after="0"/>
        <w:ind w:left="758" w:right="0" w:hanging="518"/>
        <w:jc w:val="left"/>
      </w:pPr>
      <w:r>
        <w:rPr/>
        <w:t>Research</w:t>
      </w:r>
      <w:r>
        <w:rPr>
          <w:spacing w:val="-10"/>
        </w:rPr>
        <w:t> </w:t>
      </w:r>
      <w:r>
        <w:rPr>
          <w:spacing w:val="-2"/>
        </w:rPr>
        <w:t>Hypotheses</w:t>
      </w:r>
    </w:p>
    <w:p>
      <w:pPr>
        <w:pStyle w:val="BodyText"/>
        <w:spacing w:line="360" w:lineRule="auto" w:before="144"/>
        <w:ind w:left="240" w:right="840"/>
      </w:pPr>
      <w:r>
        <w:rPr/>
        <w:t>Based on the objectives of this research, the following hypotheses were formulated and tested in the cause of this research:</w:t>
      </w:r>
    </w:p>
    <w:p>
      <w:pPr>
        <w:pStyle w:val="BodyText"/>
        <w:spacing w:line="360" w:lineRule="auto" w:before="173"/>
        <w:ind w:left="2126" w:right="840" w:hanging="1887"/>
      </w:pPr>
      <w:r>
        <w:rPr/>
        <w:t>Hypothesis 1.H</w:t>
      </w:r>
      <w:r>
        <w:rPr>
          <w:vertAlign w:val="subscript"/>
        </w:rPr>
        <w:t>0</w:t>
      </w:r>
      <w:r>
        <w:rPr>
          <w:vertAlign w:val="baseline"/>
        </w:rPr>
        <w:t>:</w:t>
      </w:r>
      <w:r>
        <w:rPr>
          <w:spacing w:val="80"/>
          <w:vertAlign w:val="baseline"/>
        </w:rPr>
        <w:t> </w:t>
      </w:r>
      <w:r>
        <w:rPr>
          <w:vertAlign w:val="baseline"/>
        </w:rPr>
        <w:t>There is no significant trend in annual housing budget allocation in Anambra State for the period under study.</w:t>
      </w:r>
    </w:p>
    <w:p>
      <w:pPr>
        <w:pStyle w:val="BodyText"/>
        <w:spacing w:line="360" w:lineRule="auto" w:before="171"/>
        <w:ind w:left="2040" w:right="840" w:hanging="1800"/>
      </w:pPr>
      <w:r>
        <w:rPr/>
        <w:t>Hypothesis</w:t>
      </w:r>
      <w:r>
        <w:rPr>
          <w:spacing w:val="40"/>
        </w:rPr>
        <w:t> </w:t>
      </w:r>
      <w:r>
        <w:rPr/>
        <w:t>2. H</w:t>
      </w:r>
      <w:r>
        <w:rPr>
          <w:vertAlign w:val="subscript"/>
        </w:rPr>
        <w:t>0</w:t>
      </w:r>
      <w:r>
        <w:rPr>
          <w:vertAlign w:val="baseline"/>
        </w:rPr>
        <w:t>: There</w:t>
      </w:r>
      <w:r>
        <w:rPr>
          <w:spacing w:val="-1"/>
          <w:vertAlign w:val="baseline"/>
        </w:rPr>
        <w:t> </w:t>
      </w:r>
      <w:r>
        <w:rPr>
          <w:vertAlign w:val="baseline"/>
        </w:rPr>
        <w:t>is no causal</w:t>
      </w:r>
      <w:r>
        <w:rPr>
          <w:spacing w:val="-1"/>
          <w:vertAlign w:val="baseline"/>
        </w:rPr>
        <w:t> </w:t>
      </w:r>
      <w:r>
        <w:rPr>
          <w:vertAlign w:val="baseline"/>
        </w:rPr>
        <w:t>relationship between</w:t>
      </w:r>
      <w:r>
        <w:rPr>
          <w:spacing w:val="-1"/>
          <w:vertAlign w:val="baseline"/>
        </w:rPr>
        <w:t> </w:t>
      </w:r>
      <w:r>
        <w:rPr>
          <w:vertAlign w:val="baseline"/>
        </w:rPr>
        <w:t>the</w:t>
      </w:r>
      <w:r>
        <w:rPr>
          <w:spacing w:val="-1"/>
          <w:vertAlign w:val="baseline"/>
        </w:rPr>
        <w:t> </w:t>
      </w:r>
      <w:r>
        <w:rPr>
          <w:vertAlign w:val="baseline"/>
        </w:rPr>
        <w:t>State‘s</w:t>
      </w:r>
      <w:r>
        <w:rPr>
          <w:spacing w:val="-1"/>
          <w:vertAlign w:val="baseline"/>
        </w:rPr>
        <w:t> </w:t>
      </w:r>
      <w:r>
        <w:rPr>
          <w:vertAlign w:val="baseline"/>
        </w:rPr>
        <w:t>annual housing</w:t>
      </w:r>
      <w:r>
        <w:rPr>
          <w:spacing w:val="-3"/>
          <w:vertAlign w:val="baseline"/>
        </w:rPr>
        <w:t> </w:t>
      </w:r>
      <w:r>
        <w:rPr>
          <w:vertAlign w:val="baseline"/>
        </w:rPr>
        <w:t>budget and the annual federal allocation.</w:t>
      </w:r>
    </w:p>
    <w:p>
      <w:pPr>
        <w:pStyle w:val="BodyText"/>
        <w:spacing w:line="360" w:lineRule="auto" w:before="209"/>
        <w:ind w:left="2126" w:right="840" w:hanging="1887"/>
      </w:pPr>
      <w:r>
        <w:rPr/>
        <w:t>Hypothesis</w:t>
      </w:r>
      <w:r>
        <w:rPr>
          <w:spacing w:val="74"/>
        </w:rPr>
        <w:t> </w:t>
      </w:r>
      <w:r>
        <w:rPr/>
        <w:t>3.H</w:t>
      </w:r>
      <w:r>
        <w:rPr>
          <w:vertAlign w:val="subscript"/>
        </w:rPr>
        <w:t>0</w:t>
      </w:r>
      <w:r>
        <w:rPr>
          <w:vertAlign w:val="baseline"/>
        </w:rPr>
        <w:t>:</w:t>
      </w:r>
      <w:r>
        <w:rPr>
          <w:spacing w:val="74"/>
          <w:vertAlign w:val="baseline"/>
        </w:rPr>
        <w:t> </w:t>
      </w:r>
      <w:r>
        <w:rPr>
          <w:vertAlign w:val="baseline"/>
        </w:rPr>
        <w:t>Housing</w:t>
      </w:r>
      <w:r>
        <w:rPr>
          <w:spacing w:val="71"/>
          <w:vertAlign w:val="baseline"/>
        </w:rPr>
        <w:t> </w:t>
      </w:r>
      <w:r>
        <w:rPr>
          <w:vertAlign w:val="baseline"/>
        </w:rPr>
        <w:t>budget</w:t>
      </w:r>
      <w:r>
        <w:rPr>
          <w:spacing w:val="74"/>
          <w:vertAlign w:val="baseline"/>
        </w:rPr>
        <w:t> </w:t>
      </w:r>
      <w:r>
        <w:rPr>
          <w:vertAlign w:val="baseline"/>
        </w:rPr>
        <w:t>problems</w:t>
      </w:r>
      <w:r>
        <w:rPr>
          <w:spacing w:val="75"/>
          <w:vertAlign w:val="baseline"/>
        </w:rPr>
        <w:t> </w:t>
      </w:r>
      <w:r>
        <w:rPr>
          <w:vertAlign w:val="baseline"/>
        </w:rPr>
        <w:t>have</w:t>
      </w:r>
      <w:r>
        <w:rPr>
          <w:spacing w:val="72"/>
          <w:vertAlign w:val="baseline"/>
        </w:rPr>
        <w:t> </w:t>
      </w:r>
      <w:r>
        <w:rPr>
          <w:vertAlign w:val="baseline"/>
        </w:rPr>
        <w:t>no</w:t>
      </w:r>
      <w:r>
        <w:rPr>
          <w:spacing w:val="73"/>
          <w:vertAlign w:val="baseline"/>
        </w:rPr>
        <w:t> </w:t>
      </w:r>
      <w:r>
        <w:rPr>
          <w:vertAlign w:val="baseline"/>
        </w:rPr>
        <w:t>significant</w:t>
      </w:r>
      <w:r>
        <w:rPr>
          <w:spacing w:val="74"/>
          <w:vertAlign w:val="baseline"/>
        </w:rPr>
        <w:t> </w:t>
      </w:r>
      <w:r>
        <w:rPr>
          <w:vertAlign w:val="baseline"/>
        </w:rPr>
        <w:t>effect</w:t>
      </w:r>
      <w:r>
        <w:rPr>
          <w:spacing w:val="76"/>
          <w:vertAlign w:val="baseline"/>
        </w:rPr>
        <w:t> </w:t>
      </w:r>
      <w:r>
        <w:rPr>
          <w:vertAlign w:val="baseline"/>
        </w:rPr>
        <w:t>on</w:t>
      </w:r>
      <w:r>
        <w:rPr>
          <w:spacing w:val="73"/>
          <w:vertAlign w:val="baseline"/>
        </w:rPr>
        <w:t> </w:t>
      </w:r>
      <w:r>
        <w:rPr>
          <w:vertAlign w:val="baseline"/>
        </w:rPr>
        <w:t>housing</w:t>
      </w:r>
      <w:r>
        <w:rPr>
          <w:spacing w:val="73"/>
          <w:vertAlign w:val="baseline"/>
        </w:rPr>
        <w:t> </w:t>
      </w:r>
      <w:r>
        <w:rPr>
          <w:vertAlign w:val="baseline"/>
        </w:rPr>
        <w:t>budget performance in Anambra State.</w:t>
      </w:r>
    </w:p>
    <w:p>
      <w:pPr>
        <w:spacing w:after="0" w:line="360" w:lineRule="auto"/>
        <w:sectPr>
          <w:pgSz w:w="12240" w:h="15840"/>
          <w:pgMar w:header="0" w:footer="1036" w:top="1360" w:bottom="1220" w:left="1200" w:right="600"/>
        </w:sectPr>
      </w:pPr>
    </w:p>
    <w:p>
      <w:pPr>
        <w:pStyle w:val="BodyText"/>
        <w:tabs>
          <w:tab w:pos="2131" w:val="left" w:leader="none"/>
        </w:tabs>
        <w:spacing w:line="360" w:lineRule="auto" w:before="74"/>
        <w:ind w:left="2126" w:right="840" w:hanging="1887"/>
      </w:pPr>
      <w:r>
        <w:rPr/>
        <w:t>Hypothesis 4.H</w:t>
      </w:r>
      <w:r>
        <w:rPr>
          <w:vertAlign w:val="subscript"/>
        </w:rPr>
        <w:t>0</w:t>
      </w:r>
      <w:r>
        <w:rPr>
          <w:vertAlign w:val="baseline"/>
        </w:rPr>
        <w:t>:</w:t>
        <w:tab/>
        <w:tab/>
        <w:t>There</w:t>
      </w:r>
      <w:r>
        <w:rPr>
          <w:spacing w:val="-1"/>
          <w:vertAlign w:val="baseline"/>
        </w:rPr>
        <w:t> </w:t>
      </w:r>
      <w:r>
        <w:rPr>
          <w:vertAlign w:val="baseline"/>
        </w:rPr>
        <w:t>is</w:t>
      </w:r>
      <w:r>
        <w:rPr>
          <w:spacing w:val="-2"/>
          <w:vertAlign w:val="baseline"/>
        </w:rPr>
        <w:t> </w:t>
      </w:r>
      <w:r>
        <w:rPr>
          <w:vertAlign w:val="baseline"/>
        </w:rPr>
        <w:t>no</w:t>
      </w:r>
      <w:r>
        <w:rPr>
          <w:spacing w:val="-2"/>
          <w:vertAlign w:val="baseline"/>
        </w:rPr>
        <w:t> </w:t>
      </w:r>
      <w:r>
        <w:rPr>
          <w:vertAlign w:val="baseline"/>
        </w:rPr>
        <w:t>significant</w:t>
      </w:r>
      <w:r>
        <w:rPr>
          <w:spacing w:val="-2"/>
          <w:vertAlign w:val="baseline"/>
        </w:rPr>
        <w:t> </w:t>
      </w:r>
      <w:r>
        <w:rPr>
          <w:vertAlign w:val="baseline"/>
        </w:rPr>
        <w:t>relationship</w:t>
      </w:r>
      <w:r>
        <w:rPr>
          <w:spacing w:val="-2"/>
          <w:vertAlign w:val="baseline"/>
        </w:rPr>
        <w:t> </w:t>
      </w:r>
      <w:r>
        <w:rPr>
          <w:vertAlign w:val="baseline"/>
        </w:rPr>
        <w:t>between</w:t>
      </w:r>
      <w:r>
        <w:rPr>
          <w:spacing w:val="-2"/>
          <w:vertAlign w:val="baseline"/>
        </w:rPr>
        <w:t> </w:t>
      </w:r>
      <w:r>
        <w:rPr>
          <w:vertAlign w:val="baseline"/>
        </w:rPr>
        <w:t>annual</w:t>
      </w:r>
      <w:r>
        <w:rPr>
          <w:spacing w:val="-2"/>
          <w:vertAlign w:val="baseline"/>
        </w:rPr>
        <w:t> </w:t>
      </w:r>
      <w:r>
        <w:rPr>
          <w:vertAlign w:val="baseline"/>
        </w:rPr>
        <w:t>housing</w:t>
      </w:r>
      <w:r>
        <w:rPr>
          <w:spacing w:val="-4"/>
          <w:vertAlign w:val="baseline"/>
        </w:rPr>
        <w:t> </w:t>
      </w:r>
      <w:r>
        <w:rPr>
          <w:vertAlign w:val="baseline"/>
        </w:rPr>
        <w:t>budget</w:t>
      </w:r>
      <w:r>
        <w:rPr>
          <w:spacing w:val="-2"/>
          <w:vertAlign w:val="baseline"/>
        </w:rPr>
        <w:t> </w:t>
      </w:r>
      <w:r>
        <w:rPr>
          <w:vertAlign w:val="baseline"/>
        </w:rPr>
        <w:t>allocation and annual actual housing expenditure in Anambra State.</w:t>
      </w:r>
    </w:p>
    <w:p>
      <w:pPr>
        <w:pStyle w:val="BodyText"/>
        <w:spacing w:before="178"/>
      </w:pPr>
    </w:p>
    <w:p>
      <w:pPr>
        <w:pStyle w:val="Heading3"/>
        <w:numPr>
          <w:ilvl w:val="1"/>
          <w:numId w:val="1"/>
        </w:numPr>
        <w:tabs>
          <w:tab w:pos="758" w:val="left" w:leader="none"/>
        </w:tabs>
        <w:spacing w:line="240" w:lineRule="auto" w:before="1" w:after="0"/>
        <w:ind w:left="758" w:right="0" w:hanging="518"/>
        <w:jc w:val="both"/>
      </w:pPr>
      <w:r>
        <w:rPr/>
        <w:t>Scope</w:t>
      </w:r>
      <w:r>
        <w:rPr>
          <w:spacing w:val="-7"/>
        </w:rPr>
        <w:t> </w:t>
      </w:r>
      <w:r>
        <w:rPr/>
        <w:t>and</w:t>
      </w:r>
      <w:r>
        <w:rPr>
          <w:spacing w:val="-5"/>
        </w:rPr>
        <w:t> </w:t>
      </w:r>
      <w:r>
        <w:rPr/>
        <w:t>Delimitations</w:t>
      </w:r>
      <w:r>
        <w:rPr>
          <w:spacing w:val="-4"/>
        </w:rPr>
        <w:t> </w:t>
      </w:r>
      <w:r>
        <w:rPr/>
        <w:t>of</w:t>
      </w:r>
      <w:r>
        <w:rPr>
          <w:spacing w:val="-4"/>
        </w:rPr>
        <w:t> </w:t>
      </w:r>
      <w:r>
        <w:rPr/>
        <w:t>the</w:t>
      </w:r>
      <w:r>
        <w:rPr>
          <w:spacing w:val="-7"/>
        </w:rPr>
        <w:t> </w:t>
      </w:r>
      <w:r>
        <w:rPr>
          <w:spacing w:val="-2"/>
        </w:rPr>
        <w:t>Study</w:t>
      </w:r>
    </w:p>
    <w:p>
      <w:pPr>
        <w:pStyle w:val="BodyText"/>
        <w:spacing w:line="360" w:lineRule="auto" w:before="144"/>
        <w:ind w:left="240" w:right="837"/>
        <w:jc w:val="both"/>
      </w:pPr>
      <w:r>
        <w:rPr/>
        <w:t>This research covers an 18 year period; from 1999 to 2016. The base year, 1999 is an important year in the history of Anambra State and Nigeria, because it marked the beginning of the democratic dispensation in Nigeria. The choice of this year is based on the premise that the democratic era followed some form of laid down rules, guidelines or due process, such as the constitution and other policies for budget preparation or procedures.</w:t>
      </w:r>
    </w:p>
    <w:p>
      <w:pPr>
        <w:pStyle w:val="BodyText"/>
        <w:spacing w:line="360" w:lineRule="auto" w:before="206"/>
        <w:ind w:left="240" w:right="833"/>
        <w:jc w:val="both"/>
      </w:pPr>
      <w:r>
        <w:rPr/>
        <w:t>The nature of housing projects that this study focuses on are residential, mass housing schemes/housing estates and public buildings such as office, commercial, health, educational buildings executed by the State Government for the period under study.</w:t>
      </w:r>
    </w:p>
    <w:p>
      <w:pPr>
        <w:pStyle w:val="BodyText"/>
        <w:spacing w:line="360" w:lineRule="auto" w:before="241"/>
        <w:ind w:left="240" w:right="881"/>
        <w:jc w:val="both"/>
      </w:pPr>
      <w:r>
        <w:rPr/>
        <w:t>The categories of respondents covered by the study include: Quantity Surveyors, Builders,</w:t>
      </w:r>
      <w:r>
        <w:rPr>
          <w:spacing w:val="40"/>
        </w:rPr>
        <w:t> </w:t>
      </w:r>
      <w:r>
        <w:rPr/>
        <w:t>Estate Surveyors, Land Surveyors, Architects, Town Planners, Accountants, Economists and Public</w:t>
      </w:r>
      <w:r>
        <w:rPr>
          <w:spacing w:val="-2"/>
        </w:rPr>
        <w:t> </w:t>
      </w:r>
      <w:r>
        <w:rPr/>
        <w:t>Administrators.</w:t>
      </w:r>
      <w:r>
        <w:rPr>
          <w:spacing w:val="-1"/>
        </w:rPr>
        <w:t> </w:t>
      </w:r>
      <w:r>
        <w:rPr/>
        <w:t>The</w:t>
      </w:r>
      <w:r>
        <w:rPr>
          <w:spacing w:val="-2"/>
        </w:rPr>
        <w:t> </w:t>
      </w:r>
      <w:r>
        <w:rPr/>
        <w:t>rationale</w:t>
      </w:r>
      <w:r>
        <w:rPr>
          <w:spacing w:val="-1"/>
        </w:rPr>
        <w:t> </w:t>
      </w:r>
      <w:r>
        <w:rPr/>
        <w:t>behind</w:t>
      </w:r>
      <w:r>
        <w:rPr>
          <w:spacing w:val="-1"/>
        </w:rPr>
        <w:t> </w:t>
      </w:r>
      <w:r>
        <w:rPr/>
        <w:t>this</w:t>
      </w:r>
      <w:r>
        <w:rPr>
          <w:spacing w:val="-1"/>
        </w:rPr>
        <w:t> </w:t>
      </w:r>
      <w:r>
        <w:rPr/>
        <w:t>is</w:t>
      </w:r>
      <w:r>
        <w:rPr>
          <w:spacing w:val="-1"/>
        </w:rPr>
        <w:t> </w:t>
      </w:r>
      <w:r>
        <w:rPr/>
        <w:t>that,</w:t>
      </w:r>
      <w:r>
        <w:rPr>
          <w:spacing w:val="-1"/>
        </w:rPr>
        <w:t> </w:t>
      </w:r>
      <w:r>
        <w:rPr/>
        <w:t>by</w:t>
      </w:r>
      <w:r>
        <w:rPr>
          <w:spacing w:val="-6"/>
        </w:rPr>
        <w:t> </w:t>
      </w:r>
      <w:r>
        <w:rPr/>
        <w:t>virtue</w:t>
      </w:r>
      <w:r>
        <w:rPr>
          <w:spacing w:val="-2"/>
        </w:rPr>
        <w:t> </w:t>
      </w:r>
      <w:r>
        <w:rPr/>
        <w:t>of their</w:t>
      </w:r>
      <w:r>
        <w:rPr>
          <w:spacing w:val="-2"/>
        </w:rPr>
        <w:t> </w:t>
      </w:r>
      <w:r>
        <w:rPr/>
        <w:t>training, they</w:t>
      </w:r>
      <w:r>
        <w:rPr>
          <w:spacing w:val="-4"/>
        </w:rPr>
        <w:t> </w:t>
      </w:r>
      <w:r>
        <w:rPr/>
        <w:t>are</w:t>
      </w:r>
      <w:r>
        <w:rPr>
          <w:spacing w:val="-1"/>
        </w:rPr>
        <w:t> </w:t>
      </w:r>
      <w:r>
        <w:rPr/>
        <w:t>in</w:t>
      </w:r>
      <w:r>
        <w:rPr>
          <w:spacing w:val="-1"/>
        </w:rPr>
        <w:t> </w:t>
      </w:r>
      <w:r>
        <w:rPr/>
        <w:t>the best position to provide answers to questions bothering on budgeting, estimating, construction management, financial management, planning and administration of housing development.</w:t>
      </w:r>
    </w:p>
    <w:p>
      <w:pPr>
        <w:pStyle w:val="BodyText"/>
        <w:spacing w:before="197"/>
      </w:pPr>
    </w:p>
    <w:p>
      <w:pPr>
        <w:pStyle w:val="Heading3"/>
        <w:numPr>
          <w:ilvl w:val="1"/>
          <w:numId w:val="1"/>
        </w:numPr>
        <w:tabs>
          <w:tab w:pos="758" w:val="left" w:leader="none"/>
        </w:tabs>
        <w:spacing w:line="240" w:lineRule="auto" w:before="0" w:after="0"/>
        <w:ind w:left="758" w:right="0" w:hanging="518"/>
        <w:jc w:val="both"/>
      </w:pPr>
      <w:r>
        <w:rPr/>
        <w:t>Limitations</w:t>
      </w:r>
      <w:r>
        <w:rPr>
          <w:spacing w:val="-5"/>
        </w:rPr>
        <w:t> </w:t>
      </w:r>
      <w:r>
        <w:rPr/>
        <w:t>of</w:t>
      </w:r>
      <w:r>
        <w:rPr>
          <w:spacing w:val="-6"/>
        </w:rPr>
        <w:t> </w:t>
      </w:r>
      <w:r>
        <w:rPr/>
        <w:t>the</w:t>
      </w:r>
      <w:r>
        <w:rPr>
          <w:spacing w:val="-6"/>
        </w:rPr>
        <w:t> </w:t>
      </w:r>
      <w:r>
        <w:rPr>
          <w:spacing w:val="-2"/>
        </w:rPr>
        <w:t>Study</w:t>
      </w:r>
    </w:p>
    <w:p>
      <w:pPr>
        <w:pStyle w:val="BodyText"/>
        <w:spacing w:before="142"/>
        <w:ind w:left="240"/>
        <w:jc w:val="both"/>
      </w:pPr>
      <w:r>
        <w:rPr/>
        <w:t>The</w:t>
      </w:r>
      <w:r>
        <w:rPr>
          <w:spacing w:val="-4"/>
        </w:rPr>
        <w:t> </w:t>
      </w:r>
      <w:r>
        <w:rPr/>
        <w:t>following</w:t>
      </w:r>
      <w:r>
        <w:rPr>
          <w:spacing w:val="-3"/>
        </w:rPr>
        <w:t> </w:t>
      </w:r>
      <w:r>
        <w:rPr/>
        <w:t>limitations were encountered by</w:t>
      </w:r>
      <w:r>
        <w:rPr>
          <w:spacing w:val="-5"/>
        </w:rPr>
        <w:t> </w:t>
      </w:r>
      <w:r>
        <w:rPr/>
        <w:t>the</w:t>
      </w:r>
      <w:r>
        <w:rPr>
          <w:spacing w:val="1"/>
        </w:rPr>
        <w:t> </w:t>
      </w:r>
      <w:r>
        <w:rPr/>
        <w:t>researcher in the</w:t>
      </w:r>
      <w:r>
        <w:rPr>
          <w:spacing w:val="-1"/>
        </w:rPr>
        <w:t> </w:t>
      </w:r>
      <w:r>
        <w:rPr/>
        <w:t>cause of this</w:t>
      </w:r>
      <w:r>
        <w:rPr>
          <w:spacing w:val="1"/>
        </w:rPr>
        <w:t> </w:t>
      </w:r>
      <w:r>
        <w:rPr>
          <w:spacing w:val="-2"/>
        </w:rPr>
        <w:t>research:</w:t>
      </w:r>
    </w:p>
    <w:p>
      <w:pPr>
        <w:pStyle w:val="BodyText"/>
        <w:spacing w:before="53"/>
      </w:pPr>
    </w:p>
    <w:p>
      <w:pPr>
        <w:pStyle w:val="ListParagraph"/>
        <w:numPr>
          <w:ilvl w:val="0"/>
          <w:numId w:val="2"/>
        </w:numPr>
        <w:tabs>
          <w:tab w:pos="1320" w:val="left" w:leader="none"/>
        </w:tabs>
        <w:spacing w:line="360" w:lineRule="auto" w:before="0" w:after="0"/>
        <w:ind w:left="1320" w:right="836" w:hanging="720"/>
        <w:jc w:val="both"/>
        <w:rPr>
          <w:sz w:val="24"/>
        </w:rPr>
      </w:pPr>
      <w:r>
        <w:rPr>
          <w:sz w:val="24"/>
        </w:rPr>
        <w:t>There was the problem of data collection from public offices due to excessive bureaucratic bottlenecks of the public sector and ‗official secret syndrome‘. During the oral interviews, there was also lack of co-operation of some staff who failed to understand the purpose of the research.</w:t>
      </w:r>
      <w:r>
        <w:rPr>
          <w:spacing w:val="40"/>
          <w:sz w:val="24"/>
        </w:rPr>
        <w:t> </w:t>
      </w:r>
      <w:r>
        <w:rPr>
          <w:sz w:val="24"/>
        </w:rPr>
        <w:t>They became either guarded or reluctant and suspicious</w:t>
      </w:r>
      <w:r>
        <w:rPr>
          <w:spacing w:val="-3"/>
          <w:sz w:val="24"/>
        </w:rPr>
        <w:t> </w:t>
      </w:r>
      <w:r>
        <w:rPr>
          <w:sz w:val="24"/>
        </w:rPr>
        <w:t>when</w:t>
      </w:r>
      <w:r>
        <w:rPr>
          <w:spacing w:val="-3"/>
          <w:sz w:val="24"/>
        </w:rPr>
        <w:t> </w:t>
      </w:r>
      <w:r>
        <w:rPr>
          <w:sz w:val="24"/>
        </w:rPr>
        <w:t>questions</w:t>
      </w:r>
      <w:r>
        <w:rPr>
          <w:spacing w:val="-3"/>
          <w:sz w:val="24"/>
        </w:rPr>
        <w:t> </w:t>
      </w:r>
      <w:r>
        <w:rPr>
          <w:sz w:val="24"/>
        </w:rPr>
        <w:t>on</w:t>
      </w:r>
      <w:r>
        <w:rPr>
          <w:spacing w:val="-3"/>
          <w:sz w:val="24"/>
        </w:rPr>
        <w:t> </w:t>
      </w:r>
      <w:r>
        <w:rPr>
          <w:sz w:val="24"/>
        </w:rPr>
        <w:t>financial</w:t>
      </w:r>
      <w:r>
        <w:rPr>
          <w:spacing w:val="-3"/>
          <w:sz w:val="24"/>
        </w:rPr>
        <w:t> </w:t>
      </w:r>
      <w:r>
        <w:rPr>
          <w:sz w:val="24"/>
        </w:rPr>
        <w:t>issues</w:t>
      </w:r>
      <w:r>
        <w:rPr>
          <w:spacing w:val="-2"/>
          <w:sz w:val="24"/>
        </w:rPr>
        <w:t> </w:t>
      </w:r>
      <w:r>
        <w:rPr>
          <w:sz w:val="24"/>
        </w:rPr>
        <w:t>were</w:t>
      </w:r>
      <w:r>
        <w:rPr>
          <w:spacing w:val="-3"/>
          <w:sz w:val="24"/>
        </w:rPr>
        <w:t> </w:t>
      </w:r>
      <w:r>
        <w:rPr>
          <w:sz w:val="24"/>
        </w:rPr>
        <w:t>asked,</w:t>
      </w:r>
      <w:r>
        <w:rPr>
          <w:spacing w:val="-3"/>
          <w:sz w:val="24"/>
        </w:rPr>
        <w:t> </w:t>
      </w:r>
      <w:r>
        <w:rPr>
          <w:sz w:val="24"/>
        </w:rPr>
        <w:t>especially</w:t>
      </w:r>
      <w:r>
        <w:rPr>
          <w:spacing w:val="-8"/>
          <w:sz w:val="24"/>
        </w:rPr>
        <w:t> </w:t>
      </w:r>
      <w:r>
        <w:rPr>
          <w:sz w:val="24"/>
        </w:rPr>
        <w:t>when</w:t>
      </w:r>
      <w:r>
        <w:rPr>
          <w:spacing w:val="-3"/>
          <w:sz w:val="24"/>
        </w:rPr>
        <w:t> </w:t>
      </w:r>
      <w:r>
        <w:rPr>
          <w:sz w:val="24"/>
        </w:rPr>
        <w:t>it</w:t>
      </w:r>
      <w:r>
        <w:rPr>
          <w:spacing w:val="-3"/>
          <w:sz w:val="24"/>
        </w:rPr>
        <w:t> </w:t>
      </w:r>
      <w:r>
        <w:rPr>
          <w:sz w:val="24"/>
        </w:rPr>
        <w:t>concerns the expenditure of housing projects of the State.</w:t>
      </w:r>
    </w:p>
    <w:p>
      <w:pPr>
        <w:pStyle w:val="ListParagraph"/>
        <w:numPr>
          <w:ilvl w:val="0"/>
          <w:numId w:val="2"/>
        </w:numPr>
        <w:tabs>
          <w:tab w:pos="1320" w:val="left" w:leader="none"/>
        </w:tabs>
        <w:spacing w:line="360" w:lineRule="auto" w:before="1" w:after="0"/>
        <w:ind w:left="1320" w:right="838" w:hanging="720"/>
        <w:jc w:val="both"/>
        <w:rPr>
          <w:sz w:val="24"/>
        </w:rPr>
      </w:pPr>
      <w:r>
        <w:rPr>
          <w:sz w:val="24"/>
        </w:rPr>
        <w:t>There was also limited publication and empirical researches on public budgeting procedures, especially for the housing sub-sector in Nigeria and Anambra State respectively.</w:t>
      </w:r>
      <w:r>
        <w:rPr>
          <w:spacing w:val="24"/>
          <w:sz w:val="24"/>
        </w:rPr>
        <w:t> </w:t>
      </w:r>
      <w:r>
        <w:rPr>
          <w:sz w:val="24"/>
        </w:rPr>
        <w:t>Most</w:t>
      </w:r>
      <w:r>
        <w:rPr>
          <w:spacing w:val="25"/>
          <w:sz w:val="24"/>
        </w:rPr>
        <w:t> </w:t>
      </w:r>
      <w:r>
        <w:rPr>
          <w:sz w:val="24"/>
        </w:rPr>
        <w:t>publications</w:t>
      </w:r>
      <w:r>
        <w:rPr>
          <w:spacing w:val="24"/>
          <w:sz w:val="24"/>
        </w:rPr>
        <w:t> </w:t>
      </w:r>
      <w:r>
        <w:rPr>
          <w:sz w:val="24"/>
        </w:rPr>
        <w:t>and</w:t>
      </w:r>
      <w:r>
        <w:rPr>
          <w:spacing w:val="24"/>
          <w:sz w:val="24"/>
        </w:rPr>
        <w:t> </w:t>
      </w:r>
      <w:r>
        <w:rPr>
          <w:sz w:val="24"/>
        </w:rPr>
        <w:t>researches</w:t>
      </w:r>
      <w:r>
        <w:rPr>
          <w:spacing w:val="24"/>
          <w:sz w:val="24"/>
        </w:rPr>
        <w:t> </w:t>
      </w:r>
      <w:r>
        <w:rPr>
          <w:sz w:val="24"/>
        </w:rPr>
        <w:t>focused</w:t>
      </w:r>
      <w:r>
        <w:rPr>
          <w:spacing w:val="23"/>
          <w:sz w:val="24"/>
        </w:rPr>
        <w:t> </w:t>
      </w:r>
      <w:r>
        <w:rPr>
          <w:sz w:val="24"/>
        </w:rPr>
        <w:t>on</w:t>
      </w:r>
      <w:r>
        <w:rPr>
          <w:spacing w:val="24"/>
          <w:sz w:val="24"/>
        </w:rPr>
        <w:t> </w:t>
      </w:r>
      <w:r>
        <w:rPr>
          <w:sz w:val="24"/>
        </w:rPr>
        <w:t>general</w:t>
      </w:r>
      <w:r>
        <w:rPr>
          <w:spacing w:val="25"/>
          <w:sz w:val="24"/>
        </w:rPr>
        <w:t> </w:t>
      </w:r>
      <w:r>
        <w:rPr>
          <w:sz w:val="24"/>
        </w:rPr>
        <w:t>public</w:t>
      </w:r>
      <w:r>
        <w:rPr>
          <w:spacing w:val="23"/>
          <w:sz w:val="24"/>
        </w:rPr>
        <w:t> </w:t>
      </w:r>
      <w:r>
        <w:rPr>
          <w:sz w:val="24"/>
        </w:rPr>
        <w:t>budgeting</w:t>
      </w:r>
    </w:p>
    <w:p>
      <w:pPr>
        <w:spacing w:after="0" w:line="360" w:lineRule="auto"/>
        <w:jc w:val="both"/>
        <w:rPr>
          <w:sz w:val="24"/>
        </w:rPr>
        <w:sectPr>
          <w:pgSz w:w="12240" w:h="15840"/>
          <w:pgMar w:header="0" w:footer="1036" w:top="1360" w:bottom="1220" w:left="1200" w:right="600"/>
        </w:sectPr>
      </w:pPr>
    </w:p>
    <w:p>
      <w:pPr>
        <w:pStyle w:val="BodyText"/>
        <w:spacing w:line="360" w:lineRule="auto" w:before="74"/>
        <w:ind w:left="1320" w:right="840"/>
        <w:jc w:val="both"/>
      </w:pPr>
      <w:r>
        <w:rPr/>
        <w:t>and how it affects the economy as a whole, and do not specifically address the peculiar nature and problems of housing.</w:t>
      </w:r>
    </w:p>
    <w:p>
      <w:pPr>
        <w:pStyle w:val="ListParagraph"/>
        <w:numPr>
          <w:ilvl w:val="0"/>
          <w:numId w:val="2"/>
        </w:numPr>
        <w:tabs>
          <w:tab w:pos="1320" w:val="left" w:leader="none"/>
        </w:tabs>
        <w:spacing w:line="360" w:lineRule="auto" w:before="1" w:after="0"/>
        <w:ind w:left="1320" w:right="838" w:hanging="720"/>
        <w:jc w:val="both"/>
        <w:rPr>
          <w:sz w:val="24"/>
        </w:rPr>
      </w:pPr>
      <w:r>
        <w:rPr>
          <w:sz w:val="24"/>
        </w:rPr>
        <w:t>More research assistants were needed to administer the questionnaires, which gave rise to some financial constraints and delays. Some questionnaires were lost in the hands of the respondents, but were replaced.</w:t>
      </w:r>
    </w:p>
    <w:p>
      <w:pPr>
        <w:pStyle w:val="BodyText"/>
      </w:pPr>
    </w:p>
    <w:p>
      <w:pPr>
        <w:pStyle w:val="BodyText"/>
        <w:spacing w:before="20"/>
      </w:pPr>
    </w:p>
    <w:p>
      <w:pPr>
        <w:pStyle w:val="Heading3"/>
        <w:numPr>
          <w:ilvl w:val="1"/>
          <w:numId w:val="1"/>
        </w:numPr>
        <w:tabs>
          <w:tab w:pos="959" w:val="left" w:leader="none"/>
        </w:tabs>
        <w:spacing w:line="240" w:lineRule="auto" w:before="1" w:after="0"/>
        <w:ind w:left="959" w:right="0" w:hanging="719"/>
        <w:jc w:val="both"/>
      </w:pPr>
      <w:r>
        <w:rPr/>
        <w:t>Assumptions</w:t>
      </w:r>
      <w:r>
        <w:rPr>
          <w:spacing w:val="-8"/>
        </w:rPr>
        <w:t> </w:t>
      </w:r>
      <w:r>
        <w:rPr/>
        <w:t>of</w:t>
      </w:r>
      <w:r>
        <w:rPr>
          <w:spacing w:val="-5"/>
        </w:rPr>
        <w:t> </w:t>
      </w:r>
      <w:r>
        <w:rPr/>
        <w:t>the</w:t>
      </w:r>
      <w:r>
        <w:rPr>
          <w:spacing w:val="-7"/>
        </w:rPr>
        <w:t> </w:t>
      </w:r>
      <w:r>
        <w:rPr>
          <w:spacing w:val="-2"/>
        </w:rPr>
        <w:t>Study</w:t>
      </w:r>
    </w:p>
    <w:p>
      <w:pPr>
        <w:pStyle w:val="BodyText"/>
        <w:spacing w:line="360" w:lineRule="auto" w:before="144"/>
        <w:ind w:left="240" w:right="839"/>
        <w:jc w:val="both"/>
      </w:pPr>
      <w:r>
        <w:rPr/>
        <w:t>According to Leedy and Ormrod, (2010), assumptions are conditions that are taken for granted. The following underlying assumptions were therefore made and held constant in carrying out</w:t>
      </w:r>
      <w:r>
        <w:rPr>
          <w:spacing w:val="40"/>
        </w:rPr>
        <w:t> </w:t>
      </w:r>
      <w:r>
        <w:rPr/>
        <w:t>this research. The assumptions also provided a direction to the understanding of the research as </w:t>
      </w:r>
      <w:r>
        <w:rPr>
          <w:spacing w:val="-2"/>
        </w:rPr>
        <w:t>conceptualized:</w:t>
      </w:r>
    </w:p>
    <w:p>
      <w:pPr>
        <w:pStyle w:val="ListParagraph"/>
        <w:numPr>
          <w:ilvl w:val="2"/>
          <w:numId w:val="1"/>
        </w:numPr>
        <w:tabs>
          <w:tab w:pos="957" w:val="left" w:leader="none"/>
          <w:tab w:pos="960" w:val="left" w:leader="none"/>
        </w:tabs>
        <w:spacing w:line="360" w:lineRule="auto" w:before="1" w:after="0"/>
        <w:ind w:left="960" w:right="837" w:hanging="488"/>
        <w:jc w:val="both"/>
        <w:rPr>
          <w:sz w:val="24"/>
        </w:rPr>
      </w:pPr>
      <w:r>
        <w:rPr>
          <w:sz w:val="24"/>
        </w:rPr>
        <w:t>Housing is an essential infrastructure, and a major welfare consideration for every</w:t>
      </w:r>
      <w:r>
        <w:rPr>
          <w:spacing w:val="-3"/>
          <w:sz w:val="24"/>
        </w:rPr>
        <w:t> </w:t>
      </w:r>
      <w:r>
        <w:rPr>
          <w:sz w:val="24"/>
        </w:rPr>
        <w:t>citizen of Anambra State;</w:t>
      </w:r>
    </w:p>
    <w:p>
      <w:pPr>
        <w:pStyle w:val="ListParagraph"/>
        <w:numPr>
          <w:ilvl w:val="2"/>
          <w:numId w:val="1"/>
        </w:numPr>
        <w:tabs>
          <w:tab w:pos="959" w:val="left" w:leader="none"/>
        </w:tabs>
        <w:spacing w:line="240" w:lineRule="auto" w:before="0" w:after="0"/>
        <w:ind w:left="959" w:right="0" w:hanging="553"/>
        <w:jc w:val="both"/>
        <w:rPr>
          <w:sz w:val="24"/>
        </w:rPr>
      </w:pPr>
      <w:r>
        <w:rPr>
          <w:sz w:val="24"/>
        </w:rPr>
        <w:t>Financial</w:t>
      </w:r>
      <w:r>
        <w:rPr>
          <w:spacing w:val="-3"/>
          <w:sz w:val="24"/>
        </w:rPr>
        <w:t> </w:t>
      </w:r>
      <w:r>
        <w:rPr>
          <w:sz w:val="24"/>
        </w:rPr>
        <w:t>resources</w:t>
      </w:r>
      <w:r>
        <w:rPr>
          <w:spacing w:val="-1"/>
          <w:sz w:val="24"/>
        </w:rPr>
        <w:t> </w:t>
      </w:r>
      <w:r>
        <w:rPr>
          <w:sz w:val="24"/>
        </w:rPr>
        <w:t>for</w:t>
      </w:r>
      <w:r>
        <w:rPr>
          <w:spacing w:val="-1"/>
          <w:sz w:val="24"/>
        </w:rPr>
        <w:t> </w:t>
      </w:r>
      <w:r>
        <w:rPr>
          <w:sz w:val="24"/>
        </w:rPr>
        <w:t>housing</w:t>
      </w:r>
      <w:r>
        <w:rPr>
          <w:spacing w:val="-4"/>
          <w:sz w:val="24"/>
        </w:rPr>
        <w:t> </w:t>
      </w:r>
      <w:r>
        <w:rPr>
          <w:sz w:val="24"/>
        </w:rPr>
        <w:t>development</w:t>
      </w:r>
      <w:r>
        <w:rPr>
          <w:spacing w:val="1"/>
          <w:sz w:val="24"/>
        </w:rPr>
        <w:t> </w:t>
      </w:r>
      <w:r>
        <w:rPr>
          <w:sz w:val="24"/>
        </w:rPr>
        <w:t>will</w:t>
      </w:r>
      <w:r>
        <w:rPr>
          <w:spacing w:val="-1"/>
          <w:sz w:val="24"/>
        </w:rPr>
        <w:t> </w:t>
      </w:r>
      <w:r>
        <w:rPr>
          <w:sz w:val="24"/>
        </w:rPr>
        <w:t>always</w:t>
      </w:r>
      <w:r>
        <w:rPr>
          <w:spacing w:val="-1"/>
          <w:sz w:val="24"/>
        </w:rPr>
        <w:t> </w:t>
      </w:r>
      <w:r>
        <w:rPr>
          <w:sz w:val="24"/>
        </w:rPr>
        <w:t>be </w:t>
      </w:r>
      <w:r>
        <w:rPr>
          <w:spacing w:val="-2"/>
          <w:sz w:val="24"/>
        </w:rPr>
        <w:t>limited;</w:t>
      </w:r>
    </w:p>
    <w:p>
      <w:pPr>
        <w:pStyle w:val="ListParagraph"/>
        <w:numPr>
          <w:ilvl w:val="2"/>
          <w:numId w:val="1"/>
        </w:numPr>
        <w:tabs>
          <w:tab w:pos="958" w:val="left" w:leader="none"/>
        </w:tabs>
        <w:spacing w:line="240" w:lineRule="auto" w:before="139" w:after="0"/>
        <w:ind w:left="958" w:right="0" w:hanging="617"/>
        <w:jc w:val="both"/>
        <w:rPr>
          <w:sz w:val="24"/>
        </w:rPr>
      </w:pPr>
      <w:r>
        <w:rPr>
          <w:sz w:val="24"/>
        </w:rPr>
        <w:t>The</w:t>
      </w:r>
      <w:r>
        <w:rPr>
          <w:spacing w:val="-5"/>
          <w:sz w:val="24"/>
        </w:rPr>
        <w:t> </w:t>
      </w:r>
      <w:r>
        <w:rPr>
          <w:sz w:val="24"/>
        </w:rPr>
        <w:t>Procedure</w:t>
      </w:r>
      <w:r>
        <w:rPr>
          <w:spacing w:val="-1"/>
          <w:sz w:val="24"/>
        </w:rPr>
        <w:t> </w:t>
      </w:r>
      <w:r>
        <w:rPr>
          <w:sz w:val="24"/>
        </w:rPr>
        <w:t>for</w:t>
      </w:r>
      <w:r>
        <w:rPr>
          <w:spacing w:val="1"/>
          <w:sz w:val="24"/>
        </w:rPr>
        <w:t> </w:t>
      </w:r>
      <w:r>
        <w:rPr>
          <w:sz w:val="24"/>
        </w:rPr>
        <w:t>preparing</w:t>
      </w:r>
      <w:r>
        <w:rPr>
          <w:spacing w:val="-2"/>
          <w:sz w:val="24"/>
        </w:rPr>
        <w:t> </w:t>
      </w:r>
      <w:r>
        <w:rPr>
          <w:sz w:val="24"/>
        </w:rPr>
        <w:t>the</w:t>
      </w:r>
      <w:r>
        <w:rPr>
          <w:spacing w:val="-1"/>
          <w:sz w:val="24"/>
        </w:rPr>
        <w:t> </w:t>
      </w:r>
      <w:r>
        <w:rPr>
          <w:sz w:val="24"/>
        </w:rPr>
        <w:t>housing</w:t>
      </w:r>
      <w:r>
        <w:rPr>
          <w:spacing w:val="-3"/>
          <w:sz w:val="24"/>
        </w:rPr>
        <w:t> </w:t>
      </w:r>
      <w:r>
        <w:rPr>
          <w:sz w:val="24"/>
        </w:rPr>
        <w:t>budget for the</w:t>
      </w:r>
      <w:r>
        <w:rPr>
          <w:spacing w:val="-2"/>
          <w:sz w:val="24"/>
        </w:rPr>
        <w:t> </w:t>
      </w:r>
      <w:r>
        <w:rPr>
          <w:sz w:val="24"/>
        </w:rPr>
        <w:t>period</w:t>
      </w:r>
      <w:r>
        <w:rPr>
          <w:spacing w:val="-1"/>
          <w:sz w:val="24"/>
        </w:rPr>
        <w:t> </w:t>
      </w:r>
      <w:r>
        <w:rPr>
          <w:sz w:val="24"/>
        </w:rPr>
        <w:t>under study</w:t>
      </w:r>
      <w:r>
        <w:rPr>
          <w:spacing w:val="-3"/>
          <w:sz w:val="24"/>
        </w:rPr>
        <w:t> </w:t>
      </w:r>
      <w:r>
        <w:rPr>
          <w:sz w:val="24"/>
        </w:rPr>
        <w:t>was the </w:t>
      </w:r>
      <w:r>
        <w:rPr>
          <w:spacing w:val="-2"/>
          <w:sz w:val="24"/>
        </w:rPr>
        <w:t>same;</w:t>
      </w:r>
    </w:p>
    <w:p>
      <w:pPr>
        <w:pStyle w:val="ListParagraph"/>
        <w:numPr>
          <w:ilvl w:val="2"/>
          <w:numId w:val="1"/>
        </w:numPr>
        <w:tabs>
          <w:tab w:pos="960" w:val="left" w:leader="none"/>
        </w:tabs>
        <w:spacing w:line="362" w:lineRule="auto" w:before="257" w:after="0"/>
        <w:ind w:left="960" w:right="867" w:hanging="608"/>
        <w:jc w:val="left"/>
        <w:rPr>
          <w:sz w:val="24"/>
        </w:rPr>
      </w:pPr>
      <w:r>
        <w:rPr>
          <w:sz w:val="24"/>
        </w:rPr>
        <w:t>The</w:t>
      </w:r>
      <w:r>
        <w:rPr>
          <w:spacing w:val="-5"/>
          <w:sz w:val="24"/>
        </w:rPr>
        <w:t> </w:t>
      </w:r>
      <w:r>
        <w:rPr>
          <w:sz w:val="24"/>
        </w:rPr>
        <w:t>budget</w:t>
      </w:r>
      <w:r>
        <w:rPr>
          <w:spacing w:val="-3"/>
          <w:sz w:val="24"/>
        </w:rPr>
        <w:t> </w:t>
      </w:r>
      <w:r>
        <w:rPr>
          <w:sz w:val="24"/>
        </w:rPr>
        <w:t>allocation</w:t>
      </w:r>
      <w:r>
        <w:rPr>
          <w:spacing w:val="-3"/>
          <w:sz w:val="24"/>
        </w:rPr>
        <w:t> </w:t>
      </w:r>
      <w:r>
        <w:rPr>
          <w:sz w:val="24"/>
        </w:rPr>
        <w:t>formula</w:t>
      </w:r>
      <w:r>
        <w:rPr>
          <w:spacing w:val="-2"/>
          <w:sz w:val="24"/>
        </w:rPr>
        <w:t> </w:t>
      </w:r>
      <w:r>
        <w:rPr>
          <w:sz w:val="24"/>
        </w:rPr>
        <w:t>was</w:t>
      </w:r>
      <w:r>
        <w:rPr>
          <w:spacing w:val="-3"/>
          <w:sz w:val="24"/>
        </w:rPr>
        <w:t> </w:t>
      </w:r>
      <w:r>
        <w:rPr>
          <w:sz w:val="24"/>
        </w:rPr>
        <w:t>constant</w:t>
      </w:r>
      <w:r>
        <w:rPr>
          <w:spacing w:val="-3"/>
          <w:sz w:val="24"/>
        </w:rPr>
        <w:t> </w:t>
      </w:r>
      <w:r>
        <w:rPr>
          <w:sz w:val="24"/>
        </w:rPr>
        <w:t>or</w:t>
      </w:r>
      <w:r>
        <w:rPr>
          <w:spacing w:val="-3"/>
          <w:sz w:val="24"/>
        </w:rPr>
        <w:t> </w:t>
      </w:r>
      <w:r>
        <w:rPr>
          <w:sz w:val="24"/>
        </w:rPr>
        <w:t>remain</w:t>
      </w:r>
      <w:r>
        <w:rPr>
          <w:spacing w:val="-3"/>
          <w:sz w:val="24"/>
        </w:rPr>
        <w:t> </w:t>
      </w:r>
      <w:r>
        <w:rPr>
          <w:sz w:val="24"/>
        </w:rPr>
        <w:t>unchanged</w:t>
      </w:r>
      <w:r>
        <w:rPr>
          <w:spacing w:val="-3"/>
          <w:sz w:val="24"/>
        </w:rPr>
        <w:t> </w:t>
      </w:r>
      <w:r>
        <w:rPr>
          <w:sz w:val="24"/>
        </w:rPr>
        <w:t>during</w:t>
      </w:r>
      <w:r>
        <w:rPr>
          <w:spacing w:val="-6"/>
          <w:sz w:val="24"/>
        </w:rPr>
        <w:t> </w:t>
      </w:r>
      <w:r>
        <w:rPr>
          <w:sz w:val="24"/>
        </w:rPr>
        <w:t>the</w:t>
      </w:r>
      <w:r>
        <w:rPr>
          <w:spacing w:val="-4"/>
          <w:sz w:val="24"/>
        </w:rPr>
        <w:t> </w:t>
      </w:r>
      <w:r>
        <w:rPr>
          <w:sz w:val="24"/>
        </w:rPr>
        <w:t>period</w:t>
      </w:r>
      <w:r>
        <w:rPr>
          <w:spacing w:val="-3"/>
          <w:sz w:val="24"/>
        </w:rPr>
        <w:t> </w:t>
      </w:r>
      <w:r>
        <w:rPr>
          <w:sz w:val="24"/>
        </w:rPr>
        <w:t>under </w:t>
      </w:r>
      <w:r>
        <w:rPr>
          <w:spacing w:val="-2"/>
          <w:sz w:val="24"/>
        </w:rPr>
        <w:t>consideration;</w:t>
      </w:r>
    </w:p>
    <w:p>
      <w:pPr>
        <w:pStyle w:val="ListParagraph"/>
        <w:numPr>
          <w:ilvl w:val="2"/>
          <w:numId w:val="1"/>
        </w:numPr>
        <w:tabs>
          <w:tab w:pos="960" w:val="left" w:leader="none"/>
        </w:tabs>
        <w:spacing w:line="271" w:lineRule="exact" w:before="0" w:after="0"/>
        <w:ind w:left="960" w:right="0" w:hanging="540"/>
        <w:jc w:val="left"/>
        <w:rPr>
          <w:sz w:val="24"/>
        </w:rPr>
      </w:pPr>
      <w:r>
        <w:rPr>
          <w:sz w:val="24"/>
        </w:rPr>
        <w:t>The</w:t>
      </w:r>
      <w:r>
        <w:rPr>
          <w:spacing w:val="-4"/>
          <w:sz w:val="24"/>
        </w:rPr>
        <w:t> </w:t>
      </w:r>
      <w:r>
        <w:rPr>
          <w:sz w:val="24"/>
        </w:rPr>
        <w:t>housing</w:t>
      </w:r>
      <w:r>
        <w:rPr>
          <w:spacing w:val="-3"/>
          <w:sz w:val="24"/>
        </w:rPr>
        <w:t> </w:t>
      </w:r>
      <w:r>
        <w:rPr>
          <w:sz w:val="24"/>
        </w:rPr>
        <w:t>budget allocations were</w:t>
      </w:r>
      <w:r>
        <w:rPr>
          <w:spacing w:val="-2"/>
          <w:sz w:val="24"/>
        </w:rPr>
        <w:t> </w:t>
      </w:r>
      <w:r>
        <w:rPr>
          <w:sz w:val="24"/>
        </w:rPr>
        <w:t>used</w:t>
      </w:r>
      <w:r>
        <w:rPr>
          <w:spacing w:val="1"/>
          <w:sz w:val="24"/>
        </w:rPr>
        <w:t> </w:t>
      </w:r>
      <w:r>
        <w:rPr>
          <w:sz w:val="24"/>
        </w:rPr>
        <w:t>for</w:t>
      </w:r>
      <w:r>
        <w:rPr>
          <w:spacing w:val="-2"/>
          <w:sz w:val="24"/>
        </w:rPr>
        <w:t> </w:t>
      </w:r>
      <w:r>
        <w:rPr>
          <w:sz w:val="24"/>
        </w:rPr>
        <w:t>housing</w:t>
      </w:r>
      <w:r>
        <w:rPr>
          <w:spacing w:val="-2"/>
          <w:sz w:val="24"/>
        </w:rPr>
        <w:t> </w:t>
      </w:r>
      <w:r>
        <w:rPr>
          <w:sz w:val="24"/>
        </w:rPr>
        <w:t>development</w:t>
      </w:r>
      <w:r>
        <w:rPr>
          <w:spacing w:val="60"/>
          <w:sz w:val="24"/>
        </w:rPr>
        <w:t> </w:t>
      </w:r>
      <w:r>
        <w:rPr>
          <w:sz w:val="24"/>
        </w:rPr>
        <w:t>purposes</w:t>
      </w:r>
      <w:r>
        <w:rPr>
          <w:spacing w:val="1"/>
          <w:sz w:val="24"/>
        </w:rPr>
        <w:t> </w:t>
      </w:r>
      <w:r>
        <w:rPr>
          <w:spacing w:val="-2"/>
          <w:sz w:val="24"/>
        </w:rPr>
        <w:t>only;</w:t>
      </w:r>
    </w:p>
    <w:p>
      <w:pPr>
        <w:pStyle w:val="ListParagraph"/>
        <w:numPr>
          <w:ilvl w:val="2"/>
          <w:numId w:val="1"/>
        </w:numPr>
        <w:tabs>
          <w:tab w:pos="960" w:val="left" w:leader="none"/>
        </w:tabs>
        <w:spacing w:line="240" w:lineRule="auto" w:before="137" w:after="0"/>
        <w:ind w:left="960" w:right="0" w:hanging="607"/>
        <w:jc w:val="left"/>
        <w:rPr>
          <w:sz w:val="24"/>
        </w:rPr>
      </w:pPr>
      <w:r>
        <w:rPr>
          <w:sz w:val="24"/>
        </w:rPr>
        <w:t>The</w:t>
      </w:r>
      <w:r>
        <w:rPr>
          <w:spacing w:val="-5"/>
          <w:sz w:val="24"/>
        </w:rPr>
        <w:t> </w:t>
      </w:r>
      <w:r>
        <w:rPr>
          <w:sz w:val="24"/>
        </w:rPr>
        <w:t>rate of</w:t>
      </w:r>
      <w:r>
        <w:rPr>
          <w:spacing w:val="-1"/>
          <w:sz w:val="24"/>
        </w:rPr>
        <w:t> </w:t>
      </w:r>
      <w:r>
        <w:rPr>
          <w:sz w:val="24"/>
        </w:rPr>
        <w:t>population increase</w:t>
      </w:r>
      <w:r>
        <w:rPr>
          <w:spacing w:val="-2"/>
          <w:sz w:val="24"/>
        </w:rPr>
        <w:t> </w:t>
      </w:r>
      <w:r>
        <w:rPr>
          <w:sz w:val="24"/>
        </w:rPr>
        <w:t>was the</w:t>
      </w:r>
      <w:r>
        <w:rPr>
          <w:spacing w:val="-1"/>
          <w:sz w:val="24"/>
        </w:rPr>
        <w:t> </w:t>
      </w:r>
      <w:r>
        <w:rPr>
          <w:sz w:val="24"/>
        </w:rPr>
        <w:t>same for</w:t>
      </w:r>
      <w:r>
        <w:rPr>
          <w:spacing w:val="-1"/>
          <w:sz w:val="24"/>
        </w:rPr>
        <w:t> </w:t>
      </w:r>
      <w:r>
        <w:rPr>
          <w:sz w:val="24"/>
        </w:rPr>
        <w:t>the</w:t>
      </w:r>
      <w:r>
        <w:rPr>
          <w:spacing w:val="-2"/>
          <w:sz w:val="24"/>
        </w:rPr>
        <w:t> </w:t>
      </w:r>
      <w:r>
        <w:rPr>
          <w:sz w:val="24"/>
        </w:rPr>
        <w:t>period</w:t>
      </w:r>
      <w:r>
        <w:rPr>
          <w:spacing w:val="-1"/>
          <w:sz w:val="24"/>
        </w:rPr>
        <w:t> </w:t>
      </w:r>
      <w:r>
        <w:rPr>
          <w:sz w:val="24"/>
        </w:rPr>
        <w:t>under </w:t>
      </w:r>
      <w:r>
        <w:rPr>
          <w:spacing w:val="-2"/>
          <w:sz w:val="24"/>
        </w:rPr>
        <w:t>study;</w:t>
      </w:r>
    </w:p>
    <w:p>
      <w:pPr>
        <w:pStyle w:val="ListParagraph"/>
        <w:numPr>
          <w:ilvl w:val="2"/>
          <w:numId w:val="1"/>
        </w:numPr>
        <w:tabs>
          <w:tab w:pos="960" w:val="left" w:leader="none"/>
        </w:tabs>
        <w:spacing w:line="360" w:lineRule="auto" w:before="139" w:after="0"/>
        <w:ind w:left="960" w:right="1748" w:hanging="675"/>
        <w:jc w:val="left"/>
        <w:rPr>
          <w:sz w:val="24"/>
        </w:rPr>
      </w:pPr>
      <w:r>
        <w:rPr>
          <w:sz w:val="24"/>
        </w:rPr>
        <w:t>The</w:t>
      </w:r>
      <w:r>
        <w:rPr>
          <w:spacing w:val="-6"/>
          <w:sz w:val="24"/>
        </w:rPr>
        <w:t> </w:t>
      </w:r>
      <w:r>
        <w:rPr>
          <w:sz w:val="24"/>
        </w:rPr>
        <w:t>respondents</w:t>
      </w:r>
      <w:r>
        <w:rPr>
          <w:spacing w:val="-4"/>
          <w:sz w:val="24"/>
        </w:rPr>
        <w:t> </w:t>
      </w:r>
      <w:r>
        <w:rPr>
          <w:sz w:val="24"/>
        </w:rPr>
        <w:t>are</w:t>
      </w:r>
      <w:r>
        <w:rPr>
          <w:spacing w:val="-3"/>
          <w:sz w:val="24"/>
        </w:rPr>
        <w:t> </w:t>
      </w:r>
      <w:r>
        <w:rPr>
          <w:sz w:val="24"/>
        </w:rPr>
        <w:t>experienced</w:t>
      </w:r>
      <w:r>
        <w:rPr>
          <w:spacing w:val="-2"/>
          <w:sz w:val="24"/>
        </w:rPr>
        <w:t> </w:t>
      </w:r>
      <w:r>
        <w:rPr>
          <w:sz w:val="24"/>
        </w:rPr>
        <w:t>enough</w:t>
      </w:r>
      <w:r>
        <w:rPr>
          <w:spacing w:val="-4"/>
          <w:sz w:val="24"/>
        </w:rPr>
        <w:t> </w:t>
      </w:r>
      <w:r>
        <w:rPr>
          <w:sz w:val="24"/>
        </w:rPr>
        <w:t>and</w:t>
      </w:r>
      <w:r>
        <w:rPr>
          <w:spacing w:val="-4"/>
          <w:sz w:val="24"/>
        </w:rPr>
        <w:t> </w:t>
      </w:r>
      <w:r>
        <w:rPr>
          <w:sz w:val="24"/>
        </w:rPr>
        <w:t>well</w:t>
      </w:r>
      <w:r>
        <w:rPr>
          <w:spacing w:val="-4"/>
          <w:sz w:val="24"/>
        </w:rPr>
        <w:t> </w:t>
      </w:r>
      <w:r>
        <w:rPr>
          <w:sz w:val="24"/>
        </w:rPr>
        <w:t>informed</w:t>
      </w:r>
      <w:r>
        <w:rPr>
          <w:spacing w:val="-4"/>
          <w:sz w:val="24"/>
        </w:rPr>
        <w:t> </w:t>
      </w:r>
      <w:r>
        <w:rPr>
          <w:sz w:val="24"/>
        </w:rPr>
        <w:t>to</w:t>
      </w:r>
      <w:r>
        <w:rPr>
          <w:spacing w:val="-4"/>
          <w:sz w:val="24"/>
        </w:rPr>
        <w:t> </w:t>
      </w:r>
      <w:r>
        <w:rPr>
          <w:sz w:val="24"/>
        </w:rPr>
        <w:t>give</w:t>
      </w:r>
      <w:r>
        <w:rPr>
          <w:spacing w:val="-5"/>
          <w:sz w:val="24"/>
        </w:rPr>
        <w:t> </w:t>
      </w:r>
      <w:r>
        <w:rPr>
          <w:sz w:val="24"/>
        </w:rPr>
        <w:t>authoritative feedback on the information sought;</w:t>
      </w:r>
    </w:p>
    <w:p>
      <w:pPr>
        <w:pStyle w:val="ListParagraph"/>
        <w:numPr>
          <w:ilvl w:val="2"/>
          <w:numId w:val="1"/>
        </w:numPr>
        <w:tabs>
          <w:tab w:pos="960" w:val="left" w:leader="none"/>
        </w:tabs>
        <w:spacing w:line="240" w:lineRule="auto" w:before="121" w:after="0"/>
        <w:ind w:left="960" w:right="0" w:hanging="773"/>
        <w:jc w:val="left"/>
        <w:rPr>
          <w:sz w:val="26"/>
        </w:rPr>
      </w:pPr>
      <w:r>
        <w:rPr>
          <w:sz w:val="24"/>
        </w:rPr>
        <w:t>The</w:t>
      </w:r>
      <w:r>
        <w:rPr>
          <w:spacing w:val="-5"/>
          <w:sz w:val="24"/>
        </w:rPr>
        <w:t> </w:t>
      </w:r>
      <w:r>
        <w:rPr>
          <w:sz w:val="24"/>
        </w:rPr>
        <w:t>sources</w:t>
      </w:r>
      <w:r>
        <w:rPr>
          <w:spacing w:val="-1"/>
          <w:sz w:val="24"/>
        </w:rPr>
        <w:t> </w:t>
      </w:r>
      <w:r>
        <w:rPr>
          <w:sz w:val="24"/>
        </w:rPr>
        <w:t>of</w:t>
      </w:r>
      <w:r>
        <w:rPr>
          <w:spacing w:val="-1"/>
          <w:sz w:val="24"/>
        </w:rPr>
        <w:t> </w:t>
      </w:r>
      <w:r>
        <w:rPr>
          <w:sz w:val="24"/>
        </w:rPr>
        <w:t>data</w:t>
      </w:r>
      <w:r>
        <w:rPr>
          <w:spacing w:val="1"/>
          <w:sz w:val="24"/>
        </w:rPr>
        <w:t> </w:t>
      </w:r>
      <w:r>
        <w:rPr>
          <w:sz w:val="24"/>
        </w:rPr>
        <w:t>for</w:t>
      </w:r>
      <w:r>
        <w:rPr>
          <w:spacing w:val="-3"/>
          <w:sz w:val="24"/>
        </w:rPr>
        <w:t> </w:t>
      </w:r>
      <w:r>
        <w:rPr>
          <w:sz w:val="24"/>
        </w:rPr>
        <w:t>the</w:t>
      </w:r>
      <w:r>
        <w:rPr>
          <w:spacing w:val="-2"/>
          <w:sz w:val="24"/>
        </w:rPr>
        <w:t> </w:t>
      </w:r>
      <w:r>
        <w:rPr>
          <w:sz w:val="24"/>
        </w:rPr>
        <w:t>research</w:t>
      </w:r>
      <w:r>
        <w:rPr>
          <w:spacing w:val="2"/>
          <w:sz w:val="24"/>
        </w:rPr>
        <w:t> </w:t>
      </w:r>
      <w:r>
        <w:rPr>
          <w:sz w:val="24"/>
        </w:rPr>
        <w:t>are</w:t>
      </w:r>
      <w:r>
        <w:rPr>
          <w:spacing w:val="-2"/>
          <w:sz w:val="24"/>
        </w:rPr>
        <w:t> </w:t>
      </w:r>
      <w:r>
        <w:rPr>
          <w:sz w:val="24"/>
        </w:rPr>
        <w:t>authentic and </w:t>
      </w:r>
      <w:r>
        <w:rPr>
          <w:spacing w:val="-2"/>
          <w:sz w:val="24"/>
        </w:rPr>
        <w:t>reliable.</w:t>
      </w:r>
    </w:p>
    <w:p>
      <w:pPr>
        <w:spacing w:after="0" w:line="240" w:lineRule="auto"/>
        <w:jc w:val="left"/>
        <w:rPr>
          <w:sz w:val="26"/>
        </w:rPr>
        <w:sectPr>
          <w:pgSz w:w="12240" w:h="15840"/>
          <w:pgMar w:header="0" w:footer="1036" w:top="1360" w:bottom="1220" w:left="1200" w:right="600"/>
        </w:sectPr>
      </w:pPr>
    </w:p>
    <w:p>
      <w:pPr>
        <w:pStyle w:val="Heading3"/>
        <w:numPr>
          <w:ilvl w:val="1"/>
          <w:numId w:val="1"/>
        </w:numPr>
        <w:tabs>
          <w:tab w:pos="887" w:val="left" w:leader="none"/>
        </w:tabs>
        <w:spacing w:line="240" w:lineRule="auto" w:before="60" w:after="0"/>
        <w:ind w:left="887" w:right="0" w:hanging="647"/>
        <w:jc w:val="both"/>
      </w:pPr>
      <w:r>
        <w:rPr/>
        <w:t>The</w:t>
      </w:r>
      <w:r>
        <w:rPr>
          <w:spacing w:val="-5"/>
        </w:rPr>
        <w:t> </w:t>
      </w:r>
      <w:r>
        <w:rPr/>
        <w:t>Study</w:t>
      </w:r>
      <w:r>
        <w:rPr>
          <w:spacing w:val="-4"/>
        </w:rPr>
        <w:t> Area</w:t>
      </w:r>
    </w:p>
    <w:p>
      <w:pPr>
        <w:pStyle w:val="BodyText"/>
        <w:spacing w:line="360" w:lineRule="auto" w:before="144"/>
        <w:ind w:left="240" w:right="837"/>
        <w:jc w:val="both"/>
      </w:pPr>
      <w:r>
        <w:rPr/>
        <w:t>Anambra possesses a history that stretches back to the 9th century AD, as revealed by archaeological excavations at </w:t>
      </w:r>
      <w:hyperlink r:id="rId6">
        <w:r>
          <w:rPr/>
          <w:t>Igbo-Ukwu</w:t>
        </w:r>
      </w:hyperlink>
      <w:r>
        <w:rPr/>
        <w:t> and </w:t>
      </w:r>
      <w:hyperlink r:id="rId7">
        <w:r>
          <w:rPr/>
          <w:t>Ezira</w:t>
        </w:r>
      </w:hyperlink>
      <w:r>
        <w:rPr/>
        <w:t>. Old Anambra State was created in 1976 from the then of East Central State with its capital at Enugu. A further state creation exercise by the then regime on 27th August 1991 divided Anambra into two States, Anambra and Enugu </w:t>
      </w:r>
      <w:hyperlink r:id="rId8">
        <w:r>
          <w:rPr/>
          <w:t>(http://www.nig</w:t>
        </w:r>
      </w:hyperlink>
      <w:r>
        <w:rPr/>
        <w:t>e</w:t>
      </w:r>
      <w:hyperlink r:id="rId8">
        <w:r>
          <w:rPr/>
          <w:t>riagalleria.com/Nigeria/States).</w:t>
        </w:r>
      </w:hyperlink>
      <w:r>
        <w:rPr/>
        <w:t> Anambra State is one of the 36 States in Nigeria, located in the south-east geo-political zone of Nigeria. Its name is an anglicized version of the original 'Oma Mbala', the native name of the Anambra River. The indigenous ethnic groups</w:t>
      </w:r>
      <w:r>
        <w:rPr>
          <w:spacing w:val="-2"/>
        </w:rPr>
        <w:t> </w:t>
      </w:r>
      <w:r>
        <w:rPr/>
        <w:t>in</w:t>
      </w:r>
      <w:r>
        <w:rPr>
          <w:spacing w:val="-1"/>
        </w:rPr>
        <w:t> </w:t>
      </w:r>
      <w:r>
        <w:rPr/>
        <w:t>Anambra</w:t>
      </w:r>
      <w:r>
        <w:rPr>
          <w:spacing w:val="-2"/>
        </w:rPr>
        <w:t> </w:t>
      </w:r>
      <w:r>
        <w:rPr/>
        <w:t>state are</w:t>
      </w:r>
      <w:r>
        <w:rPr>
          <w:spacing w:val="-2"/>
        </w:rPr>
        <w:t> </w:t>
      </w:r>
      <w:r>
        <w:rPr/>
        <w:t>the </w:t>
      </w:r>
      <w:hyperlink r:id="rId9">
        <w:r>
          <w:rPr/>
          <w:t>Igbo</w:t>
        </w:r>
      </w:hyperlink>
      <w:r>
        <w:rPr/>
        <w:t> (98%</w:t>
      </w:r>
      <w:r>
        <w:rPr>
          <w:spacing w:val="-2"/>
        </w:rPr>
        <w:t> </w:t>
      </w:r>
      <w:r>
        <w:rPr/>
        <w:t>of</w:t>
      </w:r>
      <w:r>
        <w:rPr>
          <w:spacing w:val="-2"/>
        </w:rPr>
        <w:t> </w:t>
      </w:r>
      <w:r>
        <w:rPr/>
        <w:t>population)</w:t>
      </w:r>
      <w:r>
        <w:rPr>
          <w:spacing w:val="-2"/>
        </w:rPr>
        <w:t> </w:t>
      </w:r>
      <w:r>
        <w:rPr/>
        <w:t>and</w:t>
      </w:r>
      <w:r>
        <w:rPr>
          <w:spacing w:val="-1"/>
        </w:rPr>
        <w:t> </w:t>
      </w:r>
      <w:r>
        <w:rPr/>
        <w:t>a</w:t>
      </w:r>
      <w:r>
        <w:rPr>
          <w:spacing w:val="-2"/>
        </w:rPr>
        <w:t> </w:t>
      </w:r>
      <w:r>
        <w:rPr/>
        <w:t>small</w:t>
      </w:r>
      <w:r>
        <w:rPr>
          <w:spacing w:val="-1"/>
        </w:rPr>
        <w:t> </w:t>
      </w:r>
      <w:r>
        <w:rPr/>
        <w:t>population</w:t>
      </w:r>
      <w:r>
        <w:rPr>
          <w:spacing w:val="-1"/>
        </w:rPr>
        <w:t> </w:t>
      </w:r>
      <w:r>
        <w:rPr/>
        <w:t>of </w:t>
      </w:r>
      <w:hyperlink r:id="rId10">
        <w:r>
          <w:rPr/>
          <w:t>Igala</w:t>
        </w:r>
      </w:hyperlink>
      <w:r>
        <w:rPr>
          <w:spacing w:val="-1"/>
        </w:rPr>
        <w:t> </w:t>
      </w:r>
      <w:r>
        <w:rPr/>
        <w:t>(2%</w:t>
      </w:r>
      <w:r>
        <w:rPr>
          <w:spacing w:val="-2"/>
        </w:rPr>
        <w:t> </w:t>
      </w:r>
      <w:r>
        <w:rPr/>
        <w:t>of the population) who live in the North western part of the state. The State's theme is "Light of the Nation". (http://www.anambrastate.gov.ng). The people are very industrious, and most of the industrial base of the state is private sector driven, spanning from agro-allied, automobile and manufacturing situated mostly in the Nnewi industrial belt. Onitsha market is reputed to be the biggest in West Africa.</w:t>
      </w:r>
    </w:p>
    <w:p>
      <w:pPr>
        <w:pStyle w:val="BodyText"/>
        <w:spacing w:before="139"/>
      </w:pPr>
    </w:p>
    <w:p>
      <w:pPr>
        <w:pStyle w:val="BodyText"/>
        <w:spacing w:line="360" w:lineRule="auto"/>
        <w:ind w:left="240" w:right="836"/>
        <w:jc w:val="both"/>
      </w:pPr>
      <w:r>
        <w:rPr/>
        <w:t>The State lies approximately between latitudes 5</w:t>
      </w:r>
      <w:r>
        <w:rPr>
          <w:vertAlign w:val="superscript"/>
        </w:rPr>
        <w:t>0</w:t>
      </w:r>
      <w:r>
        <w:rPr>
          <w:vertAlign w:val="baseline"/>
        </w:rPr>
        <w:t>50' and 6</w:t>
      </w:r>
      <w:r>
        <w:rPr>
          <w:vertAlign w:val="superscript"/>
        </w:rPr>
        <w:t>0</w:t>
      </w:r>
      <w:r>
        <w:rPr>
          <w:vertAlign w:val="baseline"/>
        </w:rPr>
        <w:t> 45' North and Longitudes 6</w:t>
      </w:r>
      <w:r>
        <w:rPr>
          <w:vertAlign w:val="superscript"/>
        </w:rPr>
        <w:t>0</w:t>
      </w:r>
      <w:r>
        <w:rPr>
          <w:vertAlign w:val="baseline"/>
        </w:rPr>
        <w:t>35' and 7</w:t>
      </w:r>
      <w:r>
        <w:rPr>
          <w:vertAlign w:val="superscript"/>
        </w:rPr>
        <w:t>0</w:t>
      </w:r>
      <w:r>
        <w:rPr>
          <w:vertAlign w:val="baseline"/>
        </w:rPr>
        <w:t>30'</w:t>
      </w:r>
      <w:r>
        <w:rPr>
          <w:spacing w:val="-3"/>
          <w:vertAlign w:val="baseline"/>
        </w:rPr>
        <w:t> </w:t>
      </w:r>
      <w:r>
        <w:rPr>
          <w:vertAlign w:val="baseline"/>
        </w:rPr>
        <w:t>East (Umenweke, 2000).</w:t>
      </w:r>
      <w:r>
        <w:rPr>
          <w:spacing w:val="-1"/>
          <w:vertAlign w:val="baseline"/>
        </w:rPr>
        <w:t> </w:t>
      </w:r>
      <w:r>
        <w:rPr>
          <w:vertAlign w:val="baseline"/>
        </w:rPr>
        <w:t>Anambra</w:t>
      </w:r>
      <w:r>
        <w:rPr>
          <w:spacing w:val="-1"/>
          <w:vertAlign w:val="baseline"/>
        </w:rPr>
        <w:t> </w:t>
      </w:r>
      <w:r>
        <w:rPr>
          <w:vertAlign w:val="baseline"/>
        </w:rPr>
        <w:t>State</w:t>
      </w:r>
      <w:r>
        <w:rPr>
          <w:spacing w:val="-1"/>
          <w:vertAlign w:val="baseline"/>
        </w:rPr>
        <w:t> </w:t>
      </w:r>
      <w:r>
        <w:rPr>
          <w:vertAlign w:val="baseline"/>
        </w:rPr>
        <w:t>is in the</w:t>
      </w:r>
      <w:r>
        <w:rPr>
          <w:spacing w:val="-1"/>
          <w:vertAlign w:val="baseline"/>
        </w:rPr>
        <w:t> </w:t>
      </w:r>
      <w:r>
        <w:rPr>
          <w:vertAlign w:val="baseline"/>
        </w:rPr>
        <w:t>tropical zone</w:t>
      </w:r>
      <w:r>
        <w:rPr>
          <w:spacing w:val="-1"/>
          <w:vertAlign w:val="baseline"/>
        </w:rPr>
        <w:t> </w:t>
      </w:r>
      <w:r>
        <w:rPr>
          <w:vertAlign w:val="baseline"/>
        </w:rPr>
        <w:t>of</w:t>
      </w:r>
      <w:r>
        <w:rPr>
          <w:spacing w:val="-1"/>
          <w:vertAlign w:val="baseline"/>
        </w:rPr>
        <w:t> </w:t>
      </w:r>
      <w:r>
        <w:rPr>
          <w:vertAlign w:val="baseline"/>
        </w:rPr>
        <w:t>Nigeria, with two distinct seasons, dry and rainy seasons from December to April and May to October. While annual precipitation ranges from 1500mm to 2000mm rainfall with July as the rainiest month (Umenweke, 2000). According to him, humidity is relatively high between 65-80 percent throughout the year; daily temperatures up to 25</w:t>
      </w:r>
      <w:r>
        <w:rPr>
          <w:vertAlign w:val="superscript"/>
        </w:rPr>
        <w:t>0</w:t>
      </w:r>
      <w:r>
        <w:rPr>
          <w:vertAlign w:val="baseline"/>
        </w:rPr>
        <w:t>c are recorded on very hot days in January and March. The State shares boundaries with Delta to the West, Imo to the South, Enugu to the East and Kogi to the</w:t>
      </w:r>
      <w:r>
        <w:rPr>
          <w:spacing w:val="-1"/>
          <w:vertAlign w:val="baseline"/>
        </w:rPr>
        <w:t> </w:t>
      </w:r>
      <w:r>
        <w:rPr>
          <w:vertAlign w:val="baseline"/>
        </w:rPr>
        <w:t>North as depicted in figure</w:t>
      </w:r>
      <w:r>
        <w:rPr>
          <w:spacing w:val="-1"/>
          <w:vertAlign w:val="baseline"/>
        </w:rPr>
        <w:t> </w:t>
      </w:r>
      <w:r>
        <w:rPr>
          <w:vertAlign w:val="baseline"/>
        </w:rPr>
        <w:t>1. It has a</w:t>
      </w:r>
      <w:r>
        <w:rPr>
          <w:spacing w:val="-1"/>
          <w:vertAlign w:val="baseline"/>
        </w:rPr>
        <w:t> </w:t>
      </w:r>
      <w:r>
        <w:rPr>
          <w:vertAlign w:val="baseline"/>
        </w:rPr>
        <w:t>total land</w:t>
      </w:r>
      <w:r>
        <w:rPr>
          <w:spacing w:val="-1"/>
          <w:vertAlign w:val="baseline"/>
        </w:rPr>
        <w:t> </w:t>
      </w:r>
      <w:r>
        <w:rPr>
          <w:vertAlign w:val="baseline"/>
        </w:rPr>
        <w:t>mass of</w:t>
      </w:r>
      <w:r>
        <w:rPr>
          <w:spacing w:val="-1"/>
          <w:vertAlign w:val="baseline"/>
        </w:rPr>
        <w:t> </w:t>
      </w:r>
      <w:r>
        <w:rPr>
          <w:vertAlign w:val="baseline"/>
        </w:rPr>
        <w:t>4,416 km and situates</w:t>
      </w:r>
      <w:r>
        <w:rPr>
          <w:spacing w:val="-1"/>
          <w:vertAlign w:val="baseline"/>
        </w:rPr>
        <w:t> </w:t>
      </w:r>
      <w:r>
        <w:rPr>
          <w:vertAlign w:val="baseline"/>
        </w:rPr>
        <w:t>on the</w:t>
      </w:r>
      <w:r>
        <w:rPr>
          <w:spacing w:val="-1"/>
          <w:vertAlign w:val="baseline"/>
        </w:rPr>
        <w:t> </w:t>
      </w:r>
      <w:r>
        <w:rPr>
          <w:vertAlign w:val="baseline"/>
        </w:rPr>
        <w:t>Eastern side</w:t>
      </w:r>
      <w:r>
        <w:rPr>
          <w:spacing w:val="-1"/>
          <w:vertAlign w:val="baseline"/>
        </w:rPr>
        <w:t> </w:t>
      </w:r>
      <w:r>
        <w:rPr>
          <w:vertAlign w:val="baseline"/>
        </w:rPr>
        <w:t>of</w:t>
      </w:r>
      <w:r>
        <w:rPr>
          <w:spacing w:val="-1"/>
          <w:vertAlign w:val="baseline"/>
        </w:rPr>
        <w:t> </w:t>
      </w:r>
      <w:r>
        <w:rPr>
          <w:vertAlign w:val="baseline"/>
        </w:rPr>
        <w:t>River Niger.</w:t>
      </w:r>
      <w:r>
        <w:rPr>
          <w:spacing w:val="-1"/>
          <w:vertAlign w:val="baseline"/>
        </w:rPr>
        <w:t> </w:t>
      </w:r>
      <w:r>
        <w:rPr>
          <w:vertAlign w:val="baseline"/>
        </w:rPr>
        <w:t>The State</w:t>
      </w:r>
      <w:r>
        <w:rPr>
          <w:spacing w:val="-1"/>
          <w:vertAlign w:val="baseline"/>
        </w:rPr>
        <w:t> </w:t>
      </w:r>
      <w:r>
        <w:rPr>
          <w:vertAlign w:val="baseline"/>
        </w:rPr>
        <w:t>has 177 communities</w:t>
      </w:r>
      <w:r>
        <w:rPr>
          <w:spacing w:val="-1"/>
          <w:vertAlign w:val="baseline"/>
        </w:rPr>
        <w:t> </w:t>
      </w:r>
      <w:r>
        <w:rPr>
          <w:vertAlign w:val="baseline"/>
        </w:rPr>
        <w:t>(towns)</w:t>
      </w:r>
      <w:r>
        <w:rPr>
          <w:spacing w:val="-1"/>
          <w:vertAlign w:val="baseline"/>
        </w:rPr>
        <w:t> </w:t>
      </w:r>
      <w:r>
        <w:rPr>
          <w:vertAlign w:val="baseline"/>
        </w:rPr>
        <w:t>in 21 Local Government Areas. It comprises three major towns namely, Awka, its capital city, and the Seat of Government, the commercial town of Onitsha and the industrial city of Nnewi.</w:t>
      </w:r>
    </w:p>
    <w:p>
      <w:pPr>
        <w:pStyle w:val="BodyText"/>
        <w:spacing w:before="137"/>
      </w:pPr>
    </w:p>
    <w:p>
      <w:pPr>
        <w:pStyle w:val="BodyText"/>
        <w:spacing w:line="360" w:lineRule="auto"/>
        <w:ind w:left="240" w:right="836"/>
        <w:jc w:val="both"/>
      </w:pPr>
      <w:r>
        <w:rPr/>
        <w:t>According to the NPC, (2006), Anambra State has a population of 4,182,032 made up of 2,007,391 males and 2,174,641 females, which makes it the 9th most populous nationwide. It also has estimated average population density of 1,500–2,000 persons per square kilometer, making</w:t>
      </w:r>
      <w:r>
        <w:rPr>
          <w:spacing w:val="11"/>
        </w:rPr>
        <w:t> </w:t>
      </w:r>
      <w:r>
        <w:rPr/>
        <w:t>it</w:t>
      </w:r>
      <w:r>
        <w:rPr>
          <w:spacing w:val="17"/>
        </w:rPr>
        <w:t> </w:t>
      </w:r>
      <w:r>
        <w:rPr/>
        <w:t>the</w:t>
      </w:r>
      <w:r>
        <w:rPr>
          <w:spacing w:val="15"/>
        </w:rPr>
        <w:t> </w:t>
      </w:r>
      <w:r>
        <w:rPr/>
        <w:t>second</w:t>
      </w:r>
      <w:r>
        <w:rPr>
          <w:spacing w:val="16"/>
        </w:rPr>
        <w:t> </w:t>
      </w:r>
      <w:r>
        <w:rPr/>
        <w:t>most</w:t>
      </w:r>
      <w:r>
        <w:rPr>
          <w:spacing w:val="16"/>
        </w:rPr>
        <w:t> </w:t>
      </w:r>
      <w:r>
        <w:rPr/>
        <w:t>densely</w:t>
      </w:r>
      <w:r>
        <w:rPr>
          <w:spacing w:val="14"/>
        </w:rPr>
        <w:t> </w:t>
      </w:r>
      <w:r>
        <w:rPr/>
        <w:t>populated</w:t>
      </w:r>
      <w:r>
        <w:rPr>
          <w:spacing w:val="16"/>
        </w:rPr>
        <w:t> </w:t>
      </w:r>
      <w:r>
        <w:rPr/>
        <w:t>state</w:t>
      </w:r>
      <w:r>
        <w:rPr>
          <w:spacing w:val="14"/>
        </w:rPr>
        <w:t> </w:t>
      </w:r>
      <w:r>
        <w:rPr/>
        <w:t>in</w:t>
      </w:r>
      <w:r>
        <w:rPr>
          <w:spacing w:val="17"/>
        </w:rPr>
        <w:t> </w:t>
      </w:r>
      <w:r>
        <w:rPr/>
        <w:t>Nigeria,</w:t>
      </w:r>
      <w:r>
        <w:rPr>
          <w:spacing w:val="17"/>
        </w:rPr>
        <w:t> </w:t>
      </w:r>
      <w:r>
        <w:rPr/>
        <w:t>after</w:t>
      </w:r>
      <w:r>
        <w:rPr>
          <w:spacing w:val="24"/>
        </w:rPr>
        <w:t> </w:t>
      </w:r>
      <w:hyperlink r:id="rId11">
        <w:r>
          <w:rPr/>
          <w:t>Lagos</w:t>
        </w:r>
        <w:r>
          <w:rPr>
            <w:spacing w:val="17"/>
          </w:rPr>
          <w:t> </w:t>
        </w:r>
        <w:r>
          <w:rPr/>
          <w:t>State</w:t>
        </w:r>
      </w:hyperlink>
      <w:r>
        <w:rPr/>
        <w:t>.</w:t>
      </w:r>
      <w:r>
        <w:rPr>
          <w:spacing w:val="16"/>
        </w:rPr>
        <w:t> </w:t>
      </w:r>
      <w:r>
        <w:rPr/>
        <w:t>Statistical</w:t>
      </w:r>
      <w:r>
        <w:rPr>
          <w:spacing w:val="17"/>
        </w:rPr>
        <w:t> </w:t>
      </w:r>
      <w:r>
        <w:rPr>
          <w:spacing w:val="-4"/>
        </w:rPr>
        <w:t>data</w:t>
      </w:r>
    </w:p>
    <w:p>
      <w:pPr>
        <w:spacing w:after="0" w:line="360" w:lineRule="auto"/>
        <w:jc w:val="both"/>
        <w:sectPr>
          <w:pgSz w:w="12240" w:h="15840"/>
          <w:pgMar w:header="0" w:footer="1036" w:top="1380" w:bottom="1220" w:left="1200" w:right="600"/>
        </w:sectPr>
      </w:pPr>
    </w:p>
    <w:p>
      <w:pPr>
        <w:pStyle w:val="BodyText"/>
        <w:spacing w:line="360" w:lineRule="auto" w:before="74"/>
        <w:ind w:left="240" w:right="838"/>
        <w:jc w:val="both"/>
      </w:pPr>
      <w:r>
        <w:rPr/>
        <w:t>from the National Bureau of Statistics (NBS), (2012) indicates that Anambra State also has the lowest</w:t>
      </w:r>
      <w:r>
        <w:rPr>
          <w:spacing w:val="-2"/>
        </w:rPr>
        <w:t> </w:t>
      </w:r>
      <w:hyperlink r:id="rId12">
        <w:r>
          <w:rPr/>
          <w:t>poverty</w:t>
        </w:r>
        <w:r>
          <w:rPr>
            <w:spacing w:val="-5"/>
          </w:rPr>
          <w:t> </w:t>
        </w:r>
        <w:r>
          <w:rPr/>
          <w:t>rate</w:t>
        </w:r>
      </w:hyperlink>
      <w:r>
        <w:rPr/>
        <w:t> in</w:t>
      </w:r>
      <w:r>
        <w:rPr>
          <w:spacing w:val="-2"/>
        </w:rPr>
        <w:t> </w:t>
      </w:r>
      <w:r>
        <w:rPr/>
        <w:t>Nigeria.</w:t>
      </w:r>
      <w:r>
        <w:rPr>
          <w:spacing w:val="-2"/>
        </w:rPr>
        <w:t> </w:t>
      </w:r>
      <w:r>
        <w:rPr/>
        <w:t>With</w:t>
      </w:r>
      <w:r>
        <w:rPr>
          <w:spacing w:val="-2"/>
        </w:rPr>
        <w:t> </w:t>
      </w:r>
      <w:r>
        <w:rPr/>
        <w:t>an annual population</w:t>
      </w:r>
      <w:r>
        <w:rPr>
          <w:spacing w:val="-2"/>
        </w:rPr>
        <w:t> </w:t>
      </w:r>
      <w:r>
        <w:rPr/>
        <w:t>growth</w:t>
      </w:r>
      <w:r>
        <w:rPr>
          <w:spacing w:val="-2"/>
        </w:rPr>
        <w:t> </w:t>
      </w:r>
      <w:r>
        <w:rPr/>
        <w:t>rate</w:t>
      </w:r>
      <w:r>
        <w:rPr>
          <w:spacing w:val="-2"/>
        </w:rPr>
        <w:t> </w:t>
      </w:r>
      <w:r>
        <w:rPr/>
        <w:t>of</w:t>
      </w:r>
      <w:r>
        <w:rPr>
          <w:spacing w:val="-2"/>
        </w:rPr>
        <w:t> </w:t>
      </w:r>
      <w:r>
        <w:rPr/>
        <w:t>2.21</w:t>
      </w:r>
      <w:r>
        <w:rPr>
          <w:spacing w:val="-2"/>
        </w:rPr>
        <w:t> </w:t>
      </w:r>
      <w:r>
        <w:rPr/>
        <w:t>percent</w:t>
      </w:r>
      <w:r>
        <w:rPr>
          <w:spacing w:val="-2"/>
        </w:rPr>
        <w:t> </w:t>
      </w:r>
      <w:r>
        <w:rPr/>
        <w:t>per</w:t>
      </w:r>
      <w:r>
        <w:rPr>
          <w:spacing w:val="-1"/>
        </w:rPr>
        <w:t> </w:t>
      </w:r>
      <w:r>
        <w:rPr/>
        <w:t>annum, Anambra State has over 60% of its people living in urban areas making it one of the most urbanized</w:t>
      </w:r>
      <w:r>
        <w:rPr>
          <w:spacing w:val="-1"/>
        </w:rPr>
        <w:t> </w:t>
      </w:r>
      <w:r>
        <w:rPr/>
        <w:t>places</w:t>
      </w:r>
      <w:r>
        <w:rPr>
          <w:spacing w:val="-1"/>
        </w:rPr>
        <w:t> </w:t>
      </w:r>
      <w:r>
        <w:rPr/>
        <w:t>in</w:t>
      </w:r>
      <w:r>
        <w:rPr>
          <w:spacing w:val="-1"/>
        </w:rPr>
        <w:t> </w:t>
      </w:r>
      <w:r>
        <w:rPr/>
        <w:t>Nigeria. In</w:t>
      </w:r>
      <w:r>
        <w:rPr>
          <w:spacing w:val="-1"/>
        </w:rPr>
        <w:t> </w:t>
      </w:r>
      <w:r>
        <w:rPr/>
        <w:t>fact,</w:t>
      </w:r>
      <w:r>
        <w:rPr>
          <w:spacing w:val="-1"/>
        </w:rPr>
        <w:t> </w:t>
      </w:r>
      <w:r>
        <w:rPr/>
        <w:t>according</w:t>
      </w:r>
      <w:r>
        <w:rPr>
          <w:spacing w:val="-4"/>
        </w:rPr>
        <w:t> </w:t>
      </w:r>
      <w:r>
        <w:rPr/>
        <w:t>to</w:t>
      </w:r>
      <w:r>
        <w:rPr>
          <w:spacing w:val="-1"/>
        </w:rPr>
        <w:t> </w:t>
      </w:r>
      <w:r>
        <w:rPr/>
        <w:t>the</w:t>
      </w:r>
      <w:r>
        <w:rPr>
          <w:spacing w:val="-2"/>
        </w:rPr>
        <w:t> </w:t>
      </w:r>
      <w:r>
        <w:rPr/>
        <w:t>NBS</w:t>
      </w:r>
      <w:r>
        <w:rPr>
          <w:spacing w:val="-1"/>
        </w:rPr>
        <w:t> </w:t>
      </w:r>
      <w:r>
        <w:rPr/>
        <w:t>(2006),</w:t>
      </w:r>
      <w:r>
        <w:rPr>
          <w:spacing w:val="-2"/>
        </w:rPr>
        <w:t> </w:t>
      </w:r>
      <w:r>
        <w:rPr/>
        <w:t>Anambra</w:t>
      </w:r>
      <w:r>
        <w:rPr>
          <w:spacing w:val="-2"/>
        </w:rPr>
        <w:t> </w:t>
      </w:r>
      <w:r>
        <w:rPr/>
        <w:t>State</w:t>
      </w:r>
      <w:r>
        <w:rPr>
          <w:spacing w:val="-2"/>
        </w:rPr>
        <w:t> </w:t>
      </w:r>
      <w:r>
        <w:rPr/>
        <w:t>is</w:t>
      </w:r>
      <w:r>
        <w:rPr>
          <w:spacing w:val="-1"/>
        </w:rPr>
        <w:t> </w:t>
      </w:r>
      <w:r>
        <w:rPr/>
        <w:t>the</w:t>
      </w:r>
      <w:r>
        <w:rPr>
          <w:spacing w:val="-2"/>
        </w:rPr>
        <w:t> </w:t>
      </w:r>
      <w:r>
        <w:rPr/>
        <w:t>2nd</w:t>
      </w:r>
      <w:r>
        <w:rPr>
          <w:spacing w:val="-4"/>
        </w:rPr>
        <w:t> </w:t>
      </w:r>
      <w:r>
        <w:rPr/>
        <w:t>most urbanized state in the country, with 62% of its total population living in urban areas.</w:t>
      </w:r>
    </w:p>
    <w:p>
      <w:pPr>
        <w:pStyle w:val="BodyText"/>
        <w:spacing w:before="138"/>
      </w:pPr>
    </w:p>
    <w:p>
      <w:pPr>
        <w:pStyle w:val="BodyText"/>
        <w:spacing w:line="360" w:lineRule="auto" w:before="1"/>
        <w:ind w:left="240" w:right="835"/>
        <w:jc w:val="both"/>
      </w:pPr>
      <w:r>
        <w:rPr/>
        <w:t>Faced with decades of neglect and bad governance, the shift in rural/urban migration has posed serious</w:t>
      </w:r>
      <w:r>
        <w:rPr>
          <w:spacing w:val="-1"/>
        </w:rPr>
        <w:t> </w:t>
      </w:r>
      <w:r>
        <w:rPr/>
        <w:t>problems</w:t>
      </w:r>
      <w:r>
        <w:rPr>
          <w:spacing w:val="-1"/>
        </w:rPr>
        <w:t> </w:t>
      </w:r>
      <w:r>
        <w:rPr/>
        <w:t>to</w:t>
      </w:r>
      <w:r>
        <w:rPr>
          <w:spacing w:val="-1"/>
        </w:rPr>
        <w:t> </w:t>
      </w:r>
      <w:r>
        <w:rPr/>
        <w:t>available</w:t>
      </w:r>
      <w:r>
        <w:rPr>
          <w:spacing w:val="-2"/>
        </w:rPr>
        <w:t> </w:t>
      </w:r>
      <w:r>
        <w:rPr/>
        <w:t>infrastructural</w:t>
      </w:r>
      <w:r>
        <w:rPr>
          <w:spacing w:val="-1"/>
        </w:rPr>
        <w:t> </w:t>
      </w:r>
      <w:r>
        <w:rPr/>
        <w:t>provision</w:t>
      </w:r>
      <w:r>
        <w:rPr>
          <w:spacing w:val="-1"/>
        </w:rPr>
        <w:t> </w:t>
      </w:r>
      <w:r>
        <w:rPr/>
        <w:t>and</w:t>
      </w:r>
      <w:r>
        <w:rPr>
          <w:spacing w:val="-1"/>
        </w:rPr>
        <w:t> </w:t>
      </w:r>
      <w:r>
        <w:rPr/>
        <w:t>on</w:t>
      </w:r>
      <w:r>
        <w:rPr>
          <w:spacing w:val="-1"/>
        </w:rPr>
        <w:t> </w:t>
      </w:r>
      <w:r>
        <w:rPr/>
        <w:t>the</w:t>
      </w:r>
      <w:r>
        <w:rPr>
          <w:spacing w:val="-2"/>
        </w:rPr>
        <w:t> </w:t>
      </w:r>
      <w:r>
        <w:rPr/>
        <w:t>State‘s</w:t>
      </w:r>
      <w:r>
        <w:rPr>
          <w:spacing w:val="-2"/>
        </w:rPr>
        <w:t> </w:t>
      </w:r>
      <w:r>
        <w:rPr/>
        <w:t>resources.</w:t>
      </w:r>
      <w:r>
        <w:rPr>
          <w:spacing w:val="-1"/>
        </w:rPr>
        <w:t> </w:t>
      </w:r>
      <w:r>
        <w:rPr/>
        <w:t>This</w:t>
      </w:r>
      <w:r>
        <w:rPr>
          <w:spacing w:val="-1"/>
        </w:rPr>
        <w:t> </w:t>
      </w:r>
      <w:r>
        <w:rPr/>
        <w:t>pressure is prevalent in the major towns of the State, and as a result, they have become characterized by inadequate and deteriorated road networks, walkways, unregulated building patterns, sanitation, uncontrolled street trading, mountains of garbage, and chaotic transport systems, creating congestion, noise pollution and overcrowding, exorbitant rents (Ugonabo and Emoh, 2013).</w:t>
      </w:r>
    </w:p>
    <w:p>
      <w:pPr>
        <w:pStyle w:val="BodyText"/>
        <w:spacing w:before="137"/>
      </w:pPr>
    </w:p>
    <w:p>
      <w:pPr>
        <w:pStyle w:val="BodyText"/>
        <w:spacing w:line="360" w:lineRule="auto"/>
        <w:ind w:left="240" w:right="835"/>
        <w:jc w:val="both"/>
      </w:pPr>
      <w:r>
        <w:rPr/>
        <w:t>In an attempt to address this situation, the administration of </w:t>
      </w:r>
      <w:hyperlink r:id="rId13">
        <w:r>
          <w:rPr/>
          <w:t>Peter Obi</w:t>
        </w:r>
      </w:hyperlink>
      <w:r>
        <w:rPr/>
        <w:t> (a former governor of the State), with the assistance of the UN-HABITAT produced 20-year structural plans (2009–2028) for the three major cities in the State, </w:t>
      </w:r>
      <w:hyperlink r:id="rId14">
        <w:r>
          <w:rPr/>
          <w:t>Onitsha,</w:t>
        </w:r>
      </w:hyperlink>
      <w:r>
        <w:rPr/>
        <w:t> </w:t>
      </w:r>
      <w:hyperlink r:id="rId15">
        <w:r>
          <w:rPr/>
          <w:t>Nnewi</w:t>
        </w:r>
      </w:hyperlink>
      <w:r>
        <w:rPr/>
        <w:t> and </w:t>
      </w:r>
      <w:hyperlink r:id="rId16">
        <w:r>
          <w:rPr/>
          <w:t>Awka</w:t>
        </w:r>
      </w:hyperlink>
      <w:r>
        <w:rPr/>
        <w:t> Capital Territory to restore urban planning and guide their growth into the future. The plans contain policies and proposals for land use, city beautification, road infrastructure, industrial development, waste disposal,</w:t>
      </w:r>
      <w:r>
        <w:rPr>
          <w:spacing w:val="40"/>
        </w:rPr>
        <w:t> </w:t>
      </w:r>
      <w:r>
        <w:rPr/>
        <w:t>water supply, health, educational facilities and housing, which will turn these cities into successful urban areas, generate employment, wealth and provide high living standards for its residents. Anambra became the first State in Nigeria to adopt Structural Plans for its cities and with</w:t>
      </w:r>
      <w:r>
        <w:rPr>
          <w:spacing w:val="-1"/>
        </w:rPr>
        <w:t> </w:t>
      </w:r>
      <w:r>
        <w:rPr/>
        <w:t>effective</w:t>
      </w:r>
      <w:r>
        <w:rPr>
          <w:spacing w:val="-2"/>
        </w:rPr>
        <w:t> </w:t>
      </w:r>
      <w:r>
        <w:rPr/>
        <w:t>implementation,</w:t>
      </w:r>
      <w:r>
        <w:rPr>
          <w:spacing w:val="-1"/>
        </w:rPr>
        <w:t> </w:t>
      </w:r>
      <w:r>
        <w:rPr/>
        <w:t>these</w:t>
      </w:r>
      <w:r>
        <w:rPr>
          <w:spacing w:val="-3"/>
        </w:rPr>
        <w:t> </w:t>
      </w:r>
      <w:r>
        <w:rPr/>
        <w:t>reforms</w:t>
      </w:r>
      <w:r>
        <w:rPr>
          <w:spacing w:val="-1"/>
        </w:rPr>
        <w:t> </w:t>
      </w:r>
      <w:r>
        <w:rPr/>
        <w:t>should</w:t>
      </w:r>
      <w:r>
        <w:rPr>
          <w:spacing w:val="-1"/>
        </w:rPr>
        <w:t> </w:t>
      </w:r>
      <w:r>
        <w:rPr/>
        <w:t>be</w:t>
      </w:r>
      <w:r>
        <w:rPr>
          <w:spacing w:val="-2"/>
        </w:rPr>
        <w:t> </w:t>
      </w:r>
      <w:r>
        <w:rPr/>
        <w:t>felt</w:t>
      </w:r>
      <w:r>
        <w:rPr>
          <w:spacing w:val="-1"/>
        </w:rPr>
        <w:t> </w:t>
      </w:r>
      <w:r>
        <w:rPr/>
        <w:t>in</w:t>
      </w:r>
      <w:r>
        <w:rPr>
          <w:spacing w:val="-1"/>
        </w:rPr>
        <w:t> </w:t>
      </w:r>
      <w:r>
        <w:rPr/>
        <w:t>all</w:t>
      </w:r>
      <w:r>
        <w:rPr>
          <w:spacing w:val="-3"/>
        </w:rPr>
        <w:t> </w:t>
      </w:r>
      <w:r>
        <w:rPr/>
        <w:t>sectors</w:t>
      </w:r>
      <w:r>
        <w:rPr>
          <w:spacing w:val="-1"/>
        </w:rPr>
        <w:t> </w:t>
      </w:r>
      <w:r>
        <w:rPr/>
        <w:t>of</w:t>
      </w:r>
      <w:r>
        <w:rPr>
          <w:spacing w:val="-2"/>
        </w:rPr>
        <w:t> </w:t>
      </w:r>
      <w:r>
        <w:rPr/>
        <w:t>the</w:t>
      </w:r>
      <w:r>
        <w:rPr>
          <w:spacing w:val="-2"/>
        </w:rPr>
        <w:t> </w:t>
      </w:r>
      <w:r>
        <w:rPr/>
        <w:t>State,</w:t>
      </w:r>
      <w:r>
        <w:rPr>
          <w:spacing w:val="-1"/>
        </w:rPr>
        <w:t> </w:t>
      </w:r>
      <w:r>
        <w:rPr/>
        <w:t>the</w:t>
      </w:r>
      <w:r>
        <w:rPr>
          <w:spacing w:val="-2"/>
        </w:rPr>
        <w:t> </w:t>
      </w:r>
      <w:r>
        <w:rPr/>
        <w:t>housing sector inclusive and</w:t>
      </w:r>
      <w:r>
        <w:rPr>
          <w:spacing w:val="40"/>
        </w:rPr>
        <w:t> </w:t>
      </w:r>
      <w:r>
        <w:rPr/>
        <w:t>should systematically grow the State as a major economic center in Nigeria and West Africa</w:t>
      </w:r>
      <w:r>
        <w:rPr>
          <w:spacing w:val="40"/>
        </w:rPr>
        <w:t> </w:t>
      </w:r>
      <w:r>
        <w:rPr/>
        <w:t>(http://www.anambrastate.gov.ng).</w:t>
      </w:r>
    </w:p>
    <w:p>
      <w:pPr>
        <w:pStyle w:val="BodyText"/>
        <w:spacing w:before="139"/>
      </w:pPr>
    </w:p>
    <w:p>
      <w:pPr>
        <w:pStyle w:val="BodyText"/>
        <w:spacing w:line="360" w:lineRule="auto" w:before="1"/>
        <w:ind w:left="240" w:right="840"/>
        <w:jc w:val="both"/>
      </w:pPr>
      <w:r>
        <w:rPr/>
        <w:t>Anambra‘s political history can be described as varied and up until recent history, troubled. It is</w:t>
      </w:r>
      <w:r>
        <w:rPr>
          <w:spacing w:val="40"/>
        </w:rPr>
        <w:t> </w:t>
      </w:r>
      <w:r>
        <w:rPr/>
        <w:t>a</w:t>
      </w:r>
      <w:r>
        <w:rPr>
          <w:spacing w:val="-6"/>
        </w:rPr>
        <w:t> </w:t>
      </w:r>
      <w:r>
        <w:rPr/>
        <w:t>state</w:t>
      </w:r>
      <w:r>
        <w:rPr>
          <w:spacing w:val="-3"/>
        </w:rPr>
        <w:t> </w:t>
      </w:r>
      <w:r>
        <w:rPr/>
        <w:t>with</w:t>
      </w:r>
      <w:r>
        <w:rPr>
          <w:spacing w:val="-5"/>
        </w:rPr>
        <w:t> </w:t>
      </w:r>
      <w:r>
        <w:rPr/>
        <w:t>a</w:t>
      </w:r>
      <w:r>
        <w:rPr>
          <w:spacing w:val="-6"/>
        </w:rPr>
        <w:t> </w:t>
      </w:r>
      <w:r>
        <w:rPr/>
        <w:t>long</w:t>
      </w:r>
      <w:r>
        <w:rPr>
          <w:spacing w:val="-5"/>
        </w:rPr>
        <w:t> </w:t>
      </w:r>
      <w:r>
        <w:rPr/>
        <w:t>list</w:t>
      </w:r>
      <w:r>
        <w:rPr>
          <w:spacing w:val="-4"/>
        </w:rPr>
        <w:t> </w:t>
      </w:r>
      <w:r>
        <w:rPr/>
        <w:t>of</w:t>
      </w:r>
      <w:r>
        <w:rPr>
          <w:spacing w:val="-6"/>
        </w:rPr>
        <w:t> </w:t>
      </w:r>
      <w:r>
        <w:rPr/>
        <w:t>―firsts‖</w:t>
      </w:r>
      <w:r>
        <w:rPr>
          <w:spacing w:val="-4"/>
        </w:rPr>
        <w:t> </w:t>
      </w:r>
      <w:r>
        <w:rPr/>
        <w:t>in</w:t>
      </w:r>
      <w:r>
        <w:rPr>
          <w:spacing w:val="-5"/>
        </w:rPr>
        <w:t> </w:t>
      </w:r>
      <w:r>
        <w:rPr/>
        <w:t>Nigeria</w:t>
      </w:r>
      <w:r>
        <w:rPr>
          <w:spacing w:val="-6"/>
        </w:rPr>
        <w:t> </w:t>
      </w:r>
      <w:r>
        <w:rPr/>
        <w:t>history</w:t>
      </w:r>
      <w:r>
        <w:rPr>
          <w:spacing w:val="-7"/>
        </w:rPr>
        <w:t> </w:t>
      </w:r>
      <w:r>
        <w:rPr/>
        <w:t>that</w:t>
      </w:r>
      <w:r>
        <w:rPr>
          <w:spacing w:val="-5"/>
        </w:rPr>
        <w:t> </w:t>
      </w:r>
      <w:r>
        <w:rPr/>
        <w:t>dubbed</w:t>
      </w:r>
      <w:r>
        <w:rPr>
          <w:spacing w:val="-5"/>
        </w:rPr>
        <w:t> </w:t>
      </w:r>
      <w:r>
        <w:rPr/>
        <w:t>the</w:t>
      </w:r>
      <w:r>
        <w:rPr>
          <w:spacing w:val="-6"/>
        </w:rPr>
        <w:t> </w:t>
      </w:r>
      <w:r>
        <w:rPr/>
        <w:t>sobriquet</w:t>
      </w:r>
      <w:r>
        <w:rPr>
          <w:spacing w:val="-5"/>
        </w:rPr>
        <w:t> </w:t>
      </w:r>
      <w:r>
        <w:rPr/>
        <w:t>―The</w:t>
      </w:r>
      <w:r>
        <w:rPr>
          <w:spacing w:val="-2"/>
        </w:rPr>
        <w:t> </w:t>
      </w:r>
      <w:r>
        <w:rPr/>
        <w:t>Light</w:t>
      </w:r>
      <w:r>
        <w:rPr>
          <w:spacing w:val="-5"/>
        </w:rPr>
        <w:t> </w:t>
      </w:r>
      <w:r>
        <w:rPr/>
        <w:t>of</w:t>
      </w:r>
      <w:r>
        <w:rPr>
          <w:spacing w:val="-4"/>
        </w:rPr>
        <w:t> </w:t>
      </w:r>
      <w:r>
        <w:rPr/>
        <w:t>The Nation‖</w:t>
      </w:r>
      <w:r>
        <w:rPr>
          <w:spacing w:val="-1"/>
        </w:rPr>
        <w:t> </w:t>
      </w:r>
      <w:r>
        <w:rPr/>
        <w:t>(</w:t>
      </w:r>
      <w:hyperlink r:id="rId17">
        <w:r>
          <w:rPr/>
          <w:t>http://www.anambrastate.gov.ng/politics).</w:t>
        </w:r>
      </w:hyperlink>
      <w:r>
        <w:rPr/>
        <w:t> On May</w:t>
      </w:r>
      <w:r>
        <w:rPr>
          <w:spacing w:val="-5"/>
        </w:rPr>
        <w:t> </w:t>
      </w:r>
      <w:r>
        <w:rPr/>
        <w:t>29, 1999, Chinwoke</w:t>
      </w:r>
      <w:r>
        <w:rPr>
          <w:spacing w:val="-2"/>
        </w:rPr>
        <w:t> </w:t>
      </w:r>
      <w:r>
        <w:rPr/>
        <w:t>Mbadinuju was sworn in as civilian governor of Anambra state, after many years of military rule. His administration was marred by heavy problems, especially in the education sector. On May 26, 2003,</w:t>
      </w:r>
      <w:r>
        <w:rPr>
          <w:spacing w:val="6"/>
        </w:rPr>
        <w:t> </w:t>
      </w:r>
      <w:r>
        <w:rPr/>
        <w:t>Chris</w:t>
      </w:r>
      <w:r>
        <w:rPr>
          <w:spacing w:val="9"/>
        </w:rPr>
        <w:t> </w:t>
      </w:r>
      <w:r>
        <w:rPr/>
        <w:t>Ngige</w:t>
      </w:r>
      <w:r>
        <w:rPr>
          <w:spacing w:val="9"/>
        </w:rPr>
        <w:t> </w:t>
      </w:r>
      <w:r>
        <w:rPr/>
        <w:t>was</w:t>
      </w:r>
      <w:r>
        <w:rPr>
          <w:spacing w:val="9"/>
        </w:rPr>
        <w:t> </w:t>
      </w:r>
      <w:r>
        <w:rPr/>
        <w:t>sworn</w:t>
      </w:r>
      <w:r>
        <w:rPr>
          <w:spacing w:val="8"/>
        </w:rPr>
        <w:t> </w:t>
      </w:r>
      <w:r>
        <w:rPr/>
        <w:t>in</w:t>
      </w:r>
      <w:r>
        <w:rPr>
          <w:spacing w:val="8"/>
        </w:rPr>
        <w:t> </w:t>
      </w:r>
      <w:r>
        <w:rPr/>
        <w:t>as</w:t>
      </w:r>
      <w:r>
        <w:rPr>
          <w:spacing w:val="9"/>
        </w:rPr>
        <w:t> </w:t>
      </w:r>
      <w:r>
        <w:rPr/>
        <w:t>the</w:t>
      </w:r>
      <w:r>
        <w:rPr>
          <w:spacing w:val="7"/>
        </w:rPr>
        <w:t> </w:t>
      </w:r>
      <w:r>
        <w:rPr/>
        <w:t>new</w:t>
      </w:r>
      <w:r>
        <w:rPr>
          <w:spacing w:val="10"/>
        </w:rPr>
        <w:t> </w:t>
      </w:r>
      <w:r>
        <w:rPr/>
        <w:t>governor</w:t>
      </w:r>
      <w:r>
        <w:rPr>
          <w:spacing w:val="7"/>
        </w:rPr>
        <w:t> </w:t>
      </w:r>
      <w:r>
        <w:rPr/>
        <w:t>of</w:t>
      </w:r>
      <w:r>
        <w:rPr>
          <w:spacing w:val="7"/>
        </w:rPr>
        <w:t> </w:t>
      </w:r>
      <w:r>
        <w:rPr/>
        <w:t>the</w:t>
      </w:r>
      <w:r>
        <w:rPr>
          <w:spacing w:val="8"/>
        </w:rPr>
        <w:t> </w:t>
      </w:r>
      <w:r>
        <w:rPr/>
        <w:t>state,</w:t>
      </w:r>
      <w:r>
        <w:rPr>
          <w:spacing w:val="8"/>
        </w:rPr>
        <w:t> </w:t>
      </w:r>
      <w:r>
        <w:rPr/>
        <w:t>but</w:t>
      </w:r>
      <w:r>
        <w:rPr>
          <w:spacing w:val="8"/>
        </w:rPr>
        <w:t> </w:t>
      </w:r>
      <w:r>
        <w:rPr/>
        <w:t>he</w:t>
      </w:r>
      <w:r>
        <w:rPr>
          <w:spacing w:val="10"/>
        </w:rPr>
        <w:t> </w:t>
      </w:r>
      <w:r>
        <w:rPr/>
        <w:t>was</w:t>
      </w:r>
      <w:r>
        <w:rPr>
          <w:spacing w:val="8"/>
        </w:rPr>
        <w:t> </w:t>
      </w:r>
      <w:r>
        <w:rPr/>
        <w:t>removed</w:t>
      </w:r>
      <w:r>
        <w:rPr>
          <w:spacing w:val="10"/>
        </w:rPr>
        <w:t> </w:t>
      </w:r>
      <w:r>
        <w:rPr/>
        <w:t>in</w:t>
      </w:r>
      <w:r>
        <w:rPr>
          <w:spacing w:val="9"/>
        </w:rPr>
        <w:t> </w:t>
      </w:r>
      <w:r>
        <w:rPr>
          <w:spacing w:val="-2"/>
        </w:rPr>
        <w:t>March</w:t>
      </w:r>
    </w:p>
    <w:p>
      <w:pPr>
        <w:spacing w:after="0" w:line="360" w:lineRule="auto"/>
        <w:jc w:val="both"/>
        <w:sectPr>
          <w:pgSz w:w="12240" w:h="15840"/>
          <w:pgMar w:header="0" w:footer="1036" w:top="1360" w:bottom="1220" w:left="1200" w:right="600"/>
        </w:sectPr>
      </w:pPr>
    </w:p>
    <w:p>
      <w:pPr>
        <w:pStyle w:val="BodyText"/>
        <w:spacing w:line="360" w:lineRule="auto" w:before="74"/>
        <w:ind w:left="240" w:right="837"/>
        <w:jc w:val="both"/>
      </w:pPr>
      <w:r>
        <w:rPr/>
        <w:t>2006 when Peter Obi dragged him to court on charges of electoral malpractice. The Court of Appeal in Enugu asserted that his election victory in 2003 was fraudulent and ordered him to leave the seat. Before his departure however, he executed a number of projects which were mostly road construction. Peter Obi was in turn ousted by a faction of the Anambra State House of Assembly on November 2, 2006 and replaced by Virginia Etiaba, his deputy. On February 9, 2007 Mrs. Etiaba handed power back to Obi after the Court of Appeal had nullified Obi‘s </w:t>
      </w:r>
      <w:r>
        <w:rPr>
          <w:spacing w:val="-2"/>
        </w:rPr>
        <w:t>removal.</w:t>
      </w:r>
    </w:p>
    <w:p>
      <w:pPr>
        <w:pStyle w:val="BodyText"/>
        <w:spacing w:before="139"/>
      </w:pPr>
    </w:p>
    <w:p>
      <w:pPr>
        <w:pStyle w:val="BodyText"/>
        <w:spacing w:line="360" w:lineRule="auto"/>
        <w:ind w:left="240" w:right="834"/>
        <w:jc w:val="both"/>
      </w:pPr>
      <w:r>
        <w:rPr/>
        <w:t>On April 14, 2007, Andy Uba was ―elected‖ the new governor of the state and, on May 29, was sworn in as the new governor. The election was reported to be massively rigged and was disapproved all over</w:t>
      </w:r>
      <w:r>
        <w:rPr>
          <w:spacing w:val="-1"/>
        </w:rPr>
        <w:t> </w:t>
      </w:r>
      <w:r>
        <w:rPr/>
        <w:t>the country. On</w:t>
      </w:r>
      <w:r>
        <w:rPr>
          <w:spacing w:val="-1"/>
        </w:rPr>
        <w:t> </w:t>
      </w:r>
      <w:r>
        <w:rPr/>
        <w:t>June</w:t>
      </w:r>
      <w:r>
        <w:rPr>
          <w:spacing w:val="-1"/>
        </w:rPr>
        <w:t> </w:t>
      </w:r>
      <w:r>
        <w:rPr/>
        <w:t>14, 2007 the</w:t>
      </w:r>
      <w:r>
        <w:rPr>
          <w:spacing w:val="-1"/>
        </w:rPr>
        <w:t> </w:t>
      </w:r>
      <w:r>
        <w:rPr/>
        <w:t>Supreme</w:t>
      </w:r>
      <w:r>
        <w:rPr>
          <w:spacing w:val="-1"/>
        </w:rPr>
        <w:t> </w:t>
      </w:r>
      <w:r>
        <w:rPr/>
        <w:t>Court</w:t>
      </w:r>
      <w:r>
        <w:rPr>
          <w:spacing w:val="-1"/>
        </w:rPr>
        <w:t> </w:t>
      </w:r>
      <w:r>
        <w:rPr/>
        <w:t>of Nigeria</w:t>
      </w:r>
      <w:r>
        <w:rPr>
          <w:spacing w:val="-2"/>
        </w:rPr>
        <w:t> </w:t>
      </w:r>
      <w:r>
        <w:rPr/>
        <w:t>removed</w:t>
      </w:r>
      <w:r>
        <w:rPr>
          <w:spacing w:val="-1"/>
        </w:rPr>
        <w:t> </w:t>
      </w:r>
      <w:r>
        <w:rPr/>
        <w:t>Andy Uba from office and replaced him with his predecessor Peter Obi, on the ground that Peter Obi‘s tenure had not ended, therefore there was no vacancy in the governorship. On Saturday, 6 February</w:t>
      </w:r>
      <w:r>
        <w:rPr>
          <w:spacing w:val="-3"/>
        </w:rPr>
        <w:t> </w:t>
      </w:r>
      <w:r>
        <w:rPr/>
        <w:t>2010, Peter Obi was re-elected governor for</w:t>
      </w:r>
      <w:r>
        <w:rPr>
          <w:spacing w:val="-2"/>
        </w:rPr>
        <w:t> </w:t>
      </w:r>
      <w:r>
        <w:rPr/>
        <w:t>a second term</w:t>
      </w:r>
      <w:r>
        <w:rPr>
          <w:spacing w:val="-1"/>
        </w:rPr>
        <w:t> </w:t>
      </w:r>
      <w:r>
        <w:rPr/>
        <w:t>of four years.</w:t>
      </w:r>
      <w:r>
        <w:rPr>
          <w:spacing w:val="-1"/>
        </w:rPr>
        <w:t> </w:t>
      </w:r>
      <w:r>
        <w:rPr/>
        <w:t>The regime</w:t>
      </w:r>
      <w:r>
        <w:rPr>
          <w:spacing w:val="-1"/>
        </w:rPr>
        <w:t> </w:t>
      </w:r>
      <w:r>
        <w:rPr/>
        <w:t>of Peter Obi was characterized by</w:t>
      </w:r>
      <w:r>
        <w:rPr>
          <w:spacing w:val="-3"/>
        </w:rPr>
        <w:t> </w:t>
      </w:r>
      <w:r>
        <w:rPr/>
        <w:t>massive infrastructural development in areas of education, roads, bridges, ICT and commerce and investment. Dr. Willie Obiano was sworn in on the 17th of March, 2014 as the new governor after the expiration of the Peter Obi second term, having won the November 16th, 2013 election.</w:t>
      </w:r>
      <w:r>
        <w:rPr>
          <w:spacing w:val="40"/>
        </w:rPr>
        <w:t> </w:t>
      </w:r>
      <w:r>
        <w:rPr/>
        <w:t>The regime of Obiano also witnessed infrastructure development especially in areas of agriculture, community development and works. There were efforts in his regime to upgrade the State capital, </w:t>
      </w:r>
      <w:hyperlink r:id="rId18">
        <w:r>
          <w:rPr/>
          <w:t>Awka.</w:t>
        </w:r>
      </w:hyperlink>
      <w:r>
        <w:rPr/>
        <w:t> For instance, the twenty million Naira assisted ‗choose your own community development projects‘ was initiated, three fly-overs were constructed</w:t>
      </w:r>
      <w:r>
        <w:rPr>
          <w:spacing w:val="-3"/>
        </w:rPr>
        <w:t> </w:t>
      </w:r>
      <w:r>
        <w:rPr/>
        <w:t>between</w:t>
      </w:r>
      <w:r>
        <w:rPr>
          <w:spacing w:val="-1"/>
        </w:rPr>
        <w:t> </w:t>
      </w:r>
      <w:r>
        <w:rPr/>
        <w:t>the</w:t>
      </w:r>
      <w:r>
        <w:rPr>
          <w:spacing w:val="-1"/>
        </w:rPr>
        <w:t> </w:t>
      </w:r>
      <w:hyperlink r:id="rId19">
        <w:r>
          <w:rPr/>
          <w:t>Amawbia</w:t>
        </w:r>
      </w:hyperlink>
      <w:r>
        <w:rPr>
          <w:spacing w:val="-1"/>
        </w:rPr>
        <w:t> </w:t>
      </w:r>
      <w:r>
        <w:rPr/>
        <w:t>and</w:t>
      </w:r>
      <w:r>
        <w:rPr>
          <w:spacing w:val="-3"/>
        </w:rPr>
        <w:t> </w:t>
      </w:r>
      <w:r>
        <w:rPr/>
        <w:t>Arroma</w:t>
      </w:r>
      <w:r>
        <w:rPr>
          <w:spacing w:val="-3"/>
        </w:rPr>
        <w:t> </w:t>
      </w:r>
      <w:r>
        <w:rPr/>
        <w:t>end</w:t>
      </w:r>
      <w:r>
        <w:rPr>
          <w:spacing w:val="-3"/>
        </w:rPr>
        <w:t> </w:t>
      </w:r>
      <w:r>
        <w:rPr/>
        <w:t>of</w:t>
      </w:r>
      <w:r>
        <w:rPr>
          <w:spacing w:val="-3"/>
        </w:rPr>
        <w:t> </w:t>
      </w:r>
      <w:r>
        <w:rPr/>
        <w:t>the</w:t>
      </w:r>
      <w:r>
        <w:rPr>
          <w:spacing w:val="-3"/>
        </w:rPr>
        <w:t> </w:t>
      </w:r>
      <w:r>
        <w:rPr/>
        <w:t>Enugu-Onitsha</w:t>
      </w:r>
      <w:r>
        <w:rPr>
          <w:spacing w:val="-4"/>
        </w:rPr>
        <w:t> </w:t>
      </w:r>
      <w:r>
        <w:rPr/>
        <w:t>Expressway,</w:t>
      </w:r>
      <w:r>
        <w:rPr>
          <w:spacing w:val="-1"/>
        </w:rPr>
        <w:t> </w:t>
      </w:r>
      <w:r>
        <w:rPr/>
        <w:t>a</w:t>
      </w:r>
      <w:r>
        <w:rPr>
          <w:spacing w:val="-4"/>
        </w:rPr>
        <w:t> </w:t>
      </w:r>
      <w:r>
        <w:rPr/>
        <w:t>distance of about three kilometres within </w:t>
      </w:r>
      <w:hyperlink r:id="rId18">
        <w:r>
          <w:rPr/>
          <w:t>Awka</w:t>
        </w:r>
      </w:hyperlink>
      <w:r>
        <w:rPr/>
        <w:t> city. In October 2015, the State government signed memorandum of understanding with </w:t>
      </w:r>
      <w:hyperlink r:id="rId20">
        <w:r>
          <w:rPr/>
          <w:t>Galway</w:t>
        </w:r>
      </w:hyperlink>
      <w:r>
        <w:rPr/>
        <w:t> modular housing company, Affordable Building Concepts International for 10,000 housing units in the State. The project is however yet to commence as at 2017.</w:t>
      </w:r>
    </w:p>
    <w:p>
      <w:pPr>
        <w:pStyle w:val="BodyText"/>
        <w:spacing w:before="167"/>
      </w:pPr>
    </w:p>
    <w:p>
      <w:pPr>
        <w:pStyle w:val="BodyText"/>
        <w:spacing w:line="360" w:lineRule="auto" w:before="1"/>
        <w:ind w:left="240" w:right="838"/>
        <w:jc w:val="both"/>
      </w:pPr>
      <w:r>
        <w:rPr/>
        <w:t>Construction</w:t>
      </w:r>
      <w:r>
        <w:rPr>
          <w:spacing w:val="-3"/>
        </w:rPr>
        <w:t> </w:t>
      </w:r>
      <w:r>
        <w:rPr/>
        <w:t>activities</w:t>
      </w:r>
      <w:r>
        <w:rPr>
          <w:spacing w:val="-3"/>
        </w:rPr>
        <w:t> </w:t>
      </w:r>
      <w:r>
        <w:rPr/>
        <w:t>in</w:t>
      </w:r>
      <w:r>
        <w:rPr>
          <w:spacing w:val="-3"/>
        </w:rPr>
        <w:t> </w:t>
      </w:r>
      <w:r>
        <w:rPr/>
        <w:t>the</w:t>
      </w:r>
      <w:r>
        <w:rPr>
          <w:spacing w:val="-4"/>
        </w:rPr>
        <w:t> </w:t>
      </w:r>
      <w:r>
        <w:rPr/>
        <w:t>works</w:t>
      </w:r>
      <w:r>
        <w:rPr>
          <w:spacing w:val="-1"/>
        </w:rPr>
        <w:t> </w:t>
      </w:r>
      <w:r>
        <w:rPr/>
        <w:t>sector</w:t>
      </w:r>
      <w:r>
        <w:rPr>
          <w:spacing w:val="-2"/>
        </w:rPr>
        <w:t> </w:t>
      </w:r>
      <w:r>
        <w:rPr/>
        <w:t>and</w:t>
      </w:r>
      <w:r>
        <w:rPr>
          <w:spacing w:val="-1"/>
        </w:rPr>
        <w:t> </w:t>
      </w:r>
      <w:r>
        <w:rPr/>
        <w:t>concentration</w:t>
      </w:r>
      <w:r>
        <w:rPr>
          <w:spacing w:val="-3"/>
        </w:rPr>
        <w:t> </w:t>
      </w:r>
      <w:r>
        <w:rPr/>
        <w:t>of</w:t>
      </w:r>
      <w:r>
        <w:rPr>
          <w:spacing w:val="-2"/>
        </w:rPr>
        <w:t> </w:t>
      </w:r>
      <w:r>
        <w:rPr/>
        <w:t>construction</w:t>
      </w:r>
      <w:r>
        <w:rPr>
          <w:spacing w:val="-3"/>
        </w:rPr>
        <w:t> </w:t>
      </w:r>
      <w:r>
        <w:rPr/>
        <w:t>industry</w:t>
      </w:r>
      <w:r>
        <w:rPr>
          <w:spacing w:val="-8"/>
        </w:rPr>
        <w:t> </w:t>
      </w:r>
      <w:r>
        <w:rPr/>
        <w:t>participants such as clients, contractors and professional consultants are found in the State capital of Awka and other commercial towns such as Onitsha and Nnewi.</w:t>
      </w:r>
      <w:r>
        <w:rPr>
          <w:spacing w:val="80"/>
        </w:rPr>
        <w:t> </w:t>
      </w:r>
      <w:r>
        <w:rPr/>
        <w:t>In Anambra State, the importance of the</w:t>
      </w:r>
      <w:r>
        <w:rPr>
          <w:spacing w:val="-2"/>
        </w:rPr>
        <w:t> </w:t>
      </w:r>
      <w:r>
        <w:rPr/>
        <w:t>construction</w:t>
      </w:r>
      <w:r>
        <w:rPr>
          <w:spacing w:val="3"/>
        </w:rPr>
        <w:t> </w:t>
      </w:r>
      <w:r>
        <w:rPr/>
        <w:t>Industry</w:t>
      </w:r>
      <w:r>
        <w:rPr>
          <w:spacing w:val="-2"/>
        </w:rPr>
        <w:t> </w:t>
      </w:r>
      <w:r>
        <w:rPr/>
        <w:t>has</w:t>
      </w:r>
      <w:r>
        <w:rPr>
          <w:spacing w:val="1"/>
        </w:rPr>
        <w:t> </w:t>
      </w:r>
      <w:r>
        <w:rPr/>
        <w:t>been</w:t>
      </w:r>
      <w:r>
        <w:rPr>
          <w:spacing w:val="1"/>
        </w:rPr>
        <w:t> </w:t>
      </w:r>
      <w:r>
        <w:rPr/>
        <w:t>described</w:t>
      </w:r>
      <w:r>
        <w:rPr>
          <w:spacing w:val="1"/>
        </w:rPr>
        <w:t> </w:t>
      </w:r>
      <w:r>
        <w:rPr/>
        <w:t>succinctly</w:t>
      </w:r>
      <w:r>
        <w:rPr>
          <w:spacing w:val="-3"/>
        </w:rPr>
        <w:t> </w:t>
      </w:r>
      <w:r>
        <w:rPr/>
        <w:t>as</w:t>
      </w:r>
      <w:r>
        <w:rPr>
          <w:spacing w:val="1"/>
        </w:rPr>
        <w:t> </w:t>
      </w:r>
      <w:r>
        <w:rPr/>
        <w:t>occupying</w:t>
      </w:r>
      <w:r>
        <w:rPr>
          <w:spacing w:val="-2"/>
        </w:rPr>
        <w:t> </w:t>
      </w:r>
      <w:r>
        <w:rPr/>
        <w:t>an</w:t>
      </w:r>
      <w:r>
        <w:rPr>
          <w:spacing w:val="1"/>
        </w:rPr>
        <w:t> </w:t>
      </w:r>
      <w:r>
        <w:rPr/>
        <w:t>important</w:t>
      </w:r>
      <w:r>
        <w:rPr>
          <w:spacing w:val="1"/>
        </w:rPr>
        <w:t> </w:t>
      </w:r>
      <w:r>
        <w:rPr/>
        <w:t>position</w:t>
      </w:r>
      <w:r>
        <w:rPr>
          <w:spacing w:val="1"/>
        </w:rPr>
        <w:t> </w:t>
      </w:r>
      <w:r>
        <w:rPr/>
        <w:t>in </w:t>
      </w:r>
      <w:r>
        <w:rPr>
          <w:spacing w:val="-5"/>
        </w:rPr>
        <w:t>the</w:t>
      </w:r>
    </w:p>
    <w:p>
      <w:pPr>
        <w:spacing w:after="0" w:line="360" w:lineRule="auto"/>
        <w:jc w:val="both"/>
        <w:sectPr>
          <w:pgSz w:w="12240" w:h="15840"/>
          <w:pgMar w:header="0" w:footer="1036" w:top="1360" w:bottom="1220" w:left="1200" w:right="600"/>
        </w:sectPr>
      </w:pPr>
    </w:p>
    <w:p>
      <w:pPr>
        <w:pStyle w:val="BodyText"/>
        <w:spacing w:line="360" w:lineRule="auto" w:before="74"/>
        <w:ind w:left="240" w:right="837"/>
        <w:jc w:val="both"/>
      </w:pPr>
      <w:r>
        <w:rPr/>
        <w:t>structure of the State economy. The contribution of the construction industry over the past few years</w:t>
      </w:r>
      <w:r>
        <w:rPr>
          <w:spacing w:val="-3"/>
        </w:rPr>
        <w:t> </w:t>
      </w:r>
      <w:r>
        <w:rPr/>
        <w:t>represents</w:t>
      </w:r>
      <w:r>
        <w:rPr>
          <w:spacing w:val="-2"/>
        </w:rPr>
        <w:t> </w:t>
      </w:r>
      <w:r>
        <w:rPr/>
        <w:t>a</w:t>
      </w:r>
      <w:r>
        <w:rPr>
          <w:spacing w:val="-3"/>
        </w:rPr>
        <w:t> </w:t>
      </w:r>
      <w:r>
        <w:rPr/>
        <w:t>significant percentage</w:t>
      </w:r>
      <w:r>
        <w:rPr>
          <w:spacing w:val="-3"/>
        </w:rPr>
        <w:t> </w:t>
      </w:r>
      <w:r>
        <w:rPr/>
        <w:t>of</w:t>
      </w:r>
      <w:r>
        <w:rPr>
          <w:spacing w:val="-3"/>
        </w:rPr>
        <w:t> </w:t>
      </w:r>
      <w:r>
        <w:rPr/>
        <w:t>the</w:t>
      </w:r>
      <w:r>
        <w:rPr>
          <w:spacing w:val="-3"/>
        </w:rPr>
        <w:t> </w:t>
      </w:r>
      <w:r>
        <w:rPr/>
        <w:t>State‘s</w:t>
      </w:r>
      <w:r>
        <w:rPr>
          <w:spacing w:val="-3"/>
        </w:rPr>
        <w:t> </w:t>
      </w:r>
      <w:r>
        <w:rPr/>
        <w:t>Gross</w:t>
      </w:r>
      <w:r>
        <w:rPr>
          <w:spacing w:val="-2"/>
        </w:rPr>
        <w:t> </w:t>
      </w:r>
      <w:r>
        <w:rPr/>
        <w:t>Domestic</w:t>
      </w:r>
      <w:r>
        <w:rPr>
          <w:spacing w:val="-3"/>
        </w:rPr>
        <w:t> </w:t>
      </w:r>
      <w:r>
        <w:rPr/>
        <w:t>Product</w:t>
      </w:r>
      <w:r>
        <w:rPr>
          <w:spacing w:val="-2"/>
        </w:rPr>
        <w:t> </w:t>
      </w:r>
      <w:r>
        <w:rPr/>
        <w:t>(GDP) (Anambra State Bureau of Statistics, 2015).Construction activities also provide a substantial source of employment, especially for unskilled labour.</w:t>
      </w:r>
    </w:p>
    <w:p>
      <w:pPr>
        <w:pStyle w:val="BodyText"/>
        <w:spacing w:before="137"/>
      </w:pPr>
    </w:p>
    <w:p>
      <w:pPr>
        <w:pStyle w:val="BodyText"/>
        <w:spacing w:line="360" w:lineRule="auto"/>
        <w:ind w:left="240" w:right="841"/>
        <w:jc w:val="both"/>
      </w:pPr>
      <w:r>
        <w:rPr/>
        <w:t>The foregoing data/information underscores the need for development of housing infrastructure in</w:t>
      </w:r>
      <w:r>
        <w:rPr>
          <w:spacing w:val="-2"/>
        </w:rPr>
        <w:t> </w:t>
      </w:r>
      <w:r>
        <w:rPr/>
        <w:t>the</w:t>
      </w:r>
      <w:r>
        <w:rPr>
          <w:spacing w:val="-3"/>
        </w:rPr>
        <w:t> </w:t>
      </w:r>
      <w:r>
        <w:rPr/>
        <w:t>State.</w:t>
      </w:r>
      <w:r>
        <w:rPr>
          <w:spacing w:val="-2"/>
        </w:rPr>
        <w:t> </w:t>
      </w:r>
      <w:r>
        <w:rPr/>
        <w:t>The</w:t>
      </w:r>
      <w:r>
        <w:rPr>
          <w:spacing w:val="-3"/>
        </w:rPr>
        <w:t> </w:t>
      </w:r>
      <w:r>
        <w:rPr/>
        <w:t>information/data</w:t>
      </w:r>
      <w:r>
        <w:rPr>
          <w:spacing w:val="-3"/>
        </w:rPr>
        <w:t> </w:t>
      </w:r>
      <w:r>
        <w:rPr/>
        <w:t>also</w:t>
      </w:r>
      <w:r>
        <w:rPr>
          <w:spacing w:val="-2"/>
        </w:rPr>
        <w:t> </w:t>
      </w:r>
      <w:r>
        <w:rPr/>
        <w:t>informed</w:t>
      </w:r>
      <w:r>
        <w:rPr>
          <w:spacing w:val="-1"/>
        </w:rPr>
        <w:t> </w:t>
      </w:r>
      <w:r>
        <w:rPr/>
        <w:t>the</w:t>
      </w:r>
      <w:r>
        <w:rPr>
          <w:spacing w:val="-3"/>
        </w:rPr>
        <w:t> </w:t>
      </w:r>
      <w:r>
        <w:rPr/>
        <w:t>selection</w:t>
      </w:r>
      <w:r>
        <w:rPr>
          <w:spacing w:val="-2"/>
        </w:rPr>
        <w:t> </w:t>
      </w:r>
      <w:r>
        <w:rPr/>
        <w:t>of</w:t>
      </w:r>
      <w:r>
        <w:rPr>
          <w:spacing w:val="-3"/>
        </w:rPr>
        <w:t> </w:t>
      </w:r>
      <w:r>
        <w:rPr/>
        <w:t>the</w:t>
      </w:r>
      <w:r>
        <w:rPr>
          <w:spacing w:val="-3"/>
        </w:rPr>
        <w:t> </w:t>
      </w:r>
      <w:r>
        <w:rPr/>
        <w:t>State</w:t>
      </w:r>
      <w:r>
        <w:rPr>
          <w:spacing w:val="-1"/>
        </w:rPr>
        <w:t> </w:t>
      </w:r>
      <w:r>
        <w:rPr/>
        <w:t>as</w:t>
      </w:r>
      <w:r>
        <w:rPr>
          <w:spacing w:val="-2"/>
        </w:rPr>
        <w:t> </w:t>
      </w:r>
      <w:r>
        <w:rPr/>
        <w:t>the</w:t>
      </w:r>
      <w:r>
        <w:rPr>
          <w:spacing w:val="-2"/>
        </w:rPr>
        <w:t> </w:t>
      </w:r>
      <w:r>
        <w:rPr/>
        <w:t>study</w:t>
      </w:r>
      <w:r>
        <w:rPr>
          <w:spacing w:val="-5"/>
        </w:rPr>
        <w:t> </w:t>
      </w:r>
      <w:r>
        <w:rPr/>
        <w:t>area, albeit where the proposed housing budget performance model can be included into the State‘s</w:t>
      </w:r>
      <w:r>
        <w:rPr>
          <w:spacing w:val="40"/>
        </w:rPr>
        <w:t> </w:t>
      </w:r>
      <w:r>
        <w:rPr/>
        <w:t>structural plans to impact positively</w:t>
      </w:r>
      <w:r>
        <w:rPr>
          <w:spacing w:val="-6"/>
        </w:rPr>
        <w:t> </w:t>
      </w:r>
      <w:r>
        <w:rPr/>
        <w:t>on the economic growth of the State. Figures 1.1 and 1.2 are the maps of Nigeria (showing the study area; Anambra State) and Anambra State (showing the various towns) and their coordinates.</w:t>
      </w:r>
    </w:p>
    <w:p>
      <w:pPr>
        <w:spacing w:after="0" w:line="360" w:lineRule="auto"/>
        <w:jc w:val="both"/>
        <w:sectPr>
          <w:pgSz w:w="12240" w:h="15840"/>
          <w:pgMar w:header="0" w:footer="1036" w:top="1360" w:bottom="1220" w:left="1200" w:right="60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8"/>
        <w:rPr>
          <w:sz w:val="22"/>
        </w:rPr>
      </w:pPr>
    </w:p>
    <w:p>
      <w:pPr>
        <w:spacing w:before="0"/>
        <w:ind w:left="677" w:right="0" w:firstLine="0"/>
        <w:jc w:val="left"/>
        <w:rPr>
          <w:b/>
          <w:sz w:val="22"/>
        </w:rPr>
      </w:pPr>
      <w:r>
        <w:rPr/>
        <mc:AlternateContent>
          <mc:Choice Requires="wps">
            <w:drawing>
              <wp:anchor distT="0" distB="0" distL="0" distR="0" allowOverlap="1" layoutInCell="1" locked="0" behindDoc="1" simplePos="0" relativeHeight="478091776">
                <wp:simplePos x="0" y="0"/>
                <wp:positionH relativeFrom="page">
                  <wp:posOffset>1049655</wp:posOffset>
                </wp:positionH>
                <wp:positionV relativeFrom="paragraph">
                  <wp:posOffset>-5787533</wp:posOffset>
                </wp:positionV>
                <wp:extent cx="6066155" cy="686689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6066155" cy="6866890"/>
                          <a:chExt cx="6066155" cy="6866890"/>
                        </a:xfrm>
                      </wpg:grpSpPr>
                      <pic:pic>
                        <pic:nvPicPr>
                          <pic:cNvPr id="3" name="Image 3"/>
                          <pic:cNvPicPr/>
                        </pic:nvPicPr>
                        <pic:blipFill>
                          <a:blip r:embed="rId21" cstate="print"/>
                          <a:stretch>
                            <a:fillRect/>
                          </a:stretch>
                        </pic:blipFill>
                        <pic:spPr>
                          <a:xfrm>
                            <a:off x="16497" y="134658"/>
                            <a:ext cx="5968429" cy="6719531"/>
                          </a:xfrm>
                          <a:prstGeom prst="rect">
                            <a:avLst/>
                          </a:prstGeom>
                        </pic:spPr>
                      </pic:pic>
                      <wps:wsp>
                        <wps:cNvPr id="4" name="Graphic 4"/>
                        <wps:cNvSpPr/>
                        <wps:spPr>
                          <a:xfrm>
                            <a:off x="6350" y="6350"/>
                            <a:ext cx="6053455" cy="6854190"/>
                          </a:xfrm>
                          <a:custGeom>
                            <a:avLst/>
                            <a:gdLst/>
                            <a:ahLst/>
                            <a:cxnLst/>
                            <a:rect l="l" t="t" r="r" b="b"/>
                            <a:pathLst>
                              <a:path w="6053455" h="6854190">
                                <a:moveTo>
                                  <a:pt x="0" y="6854190"/>
                                </a:moveTo>
                                <a:lnTo>
                                  <a:pt x="6053455" y="6854190"/>
                                </a:lnTo>
                                <a:lnTo>
                                  <a:pt x="6053455" y="0"/>
                                </a:lnTo>
                                <a:lnTo>
                                  <a:pt x="0" y="0"/>
                                </a:lnTo>
                                <a:lnTo>
                                  <a:pt x="0" y="6854190"/>
                                </a:lnTo>
                                <a:close/>
                              </a:path>
                            </a:pathLst>
                          </a:custGeom>
                          <a:ln w="12700">
                            <a:solidFill>
                              <a:srgbClr val="000000"/>
                            </a:solidFill>
                            <a:prstDash val="solid"/>
                          </a:ln>
                        </wps:spPr>
                        <wps:bodyPr wrap="square" lIns="0" tIns="0" rIns="0" bIns="0" rtlCol="0">
                          <a:prstTxWarp prst="textNoShape">
                            <a:avLst/>
                          </a:prstTxWarp>
                          <a:noAutofit/>
                        </wps:bodyPr>
                      </wps:wsp>
                      <wps:wsp>
                        <wps:cNvPr id="5" name="Graphic 5"/>
                        <wps:cNvSpPr/>
                        <wps:spPr>
                          <a:xfrm>
                            <a:off x="13970" y="5490209"/>
                            <a:ext cx="6033135" cy="1361440"/>
                          </a:xfrm>
                          <a:custGeom>
                            <a:avLst/>
                            <a:gdLst/>
                            <a:ahLst/>
                            <a:cxnLst/>
                            <a:rect l="l" t="t" r="r" b="b"/>
                            <a:pathLst>
                              <a:path w="6033135" h="1361440">
                                <a:moveTo>
                                  <a:pt x="6033134" y="0"/>
                                </a:moveTo>
                                <a:lnTo>
                                  <a:pt x="0" y="0"/>
                                </a:lnTo>
                                <a:lnTo>
                                  <a:pt x="0" y="1361439"/>
                                </a:lnTo>
                                <a:lnTo>
                                  <a:pt x="6033134" y="1361439"/>
                                </a:lnTo>
                                <a:lnTo>
                                  <a:pt x="6033134"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3970" y="5490209"/>
                            <a:ext cx="6033135" cy="1361440"/>
                          </a:xfrm>
                          <a:custGeom>
                            <a:avLst/>
                            <a:gdLst/>
                            <a:ahLst/>
                            <a:cxnLst/>
                            <a:rect l="l" t="t" r="r" b="b"/>
                            <a:pathLst>
                              <a:path w="6033135" h="1361440">
                                <a:moveTo>
                                  <a:pt x="0" y="1361439"/>
                                </a:moveTo>
                                <a:lnTo>
                                  <a:pt x="6033134" y="1361439"/>
                                </a:lnTo>
                                <a:lnTo>
                                  <a:pt x="6033134" y="0"/>
                                </a:lnTo>
                                <a:lnTo>
                                  <a:pt x="0" y="0"/>
                                </a:lnTo>
                                <a:lnTo>
                                  <a:pt x="0" y="1361439"/>
                                </a:lnTo>
                                <a:close/>
                              </a:path>
                            </a:pathLst>
                          </a:custGeom>
                          <a:ln w="9525">
                            <a:solidFill>
                              <a:srgbClr val="000000"/>
                            </a:solidFill>
                            <a:prstDash val="solid"/>
                          </a:ln>
                        </wps:spPr>
                        <wps:bodyPr wrap="square" lIns="0" tIns="0" rIns="0" bIns="0" rtlCol="0">
                          <a:prstTxWarp prst="textNoShape">
                            <a:avLst/>
                          </a:prstTxWarp>
                          <a:noAutofit/>
                        </wps:bodyPr>
                      </wps:wsp>
                      <wps:wsp>
                        <wps:cNvPr id="7" name="Graphic 7"/>
                        <wps:cNvSpPr/>
                        <wps:spPr>
                          <a:xfrm>
                            <a:off x="3365496" y="6190339"/>
                            <a:ext cx="2571750" cy="611505"/>
                          </a:xfrm>
                          <a:custGeom>
                            <a:avLst/>
                            <a:gdLst/>
                            <a:ahLst/>
                            <a:cxnLst/>
                            <a:rect l="l" t="t" r="r" b="b"/>
                            <a:pathLst>
                              <a:path w="2571750" h="611505">
                                <a:moveTo>
                                  <a:pt x="2571224" y="611144"/>
                                </a:moveTo>
                                <a:lnTo>
                                  <a:pt x="2571224" y="0"/>
                                </a:lnTo>
                                <a:lnTo>
                                  <a:pt x="0" y="0"/>
                                </a:lnTo>
                                <a:lnTo>
                                  <a:pt x="0" y="611144"/>
                                </a:lnTo>
                              </a:path>
                            </a:pathLst>
                          </a:custGeom>
                          <a:ln w="9498">
                            <a:solidFill>
                              <a:srgbClr val="F1F1F1"/>
                            </a:solidFill>
                            <a:prstDash val="solid"/>
                          </a:ln>
                        </wps:spPr>
                        <wps:bodyPr wrap="square" lIns="0" tIns="0" rIns="0" bIns="0" rtlCol="0">
                          <a:prstTxWarp prst="textNoShape">
                            <a:avLst/>
                          </a:prstTxWarp>
                          <a:noAutofit/>
                        </wps:bodyPr>
                      </wps:wsp>
                      <wps:wsp>
                        <wps:cNvPr id="8" name="Graphic 8"/>
                        <wps:cNvSpPr/>
                        <wps:spPr>
                          <a:xfrm>
                            <a:off x="4968910" y="6297425"/>
                            <a:ext cx="383540" cy="475615"/>
                          </a:xfrm>
                          <a:custGeom>
                            <a:avLst/>
                            <a:gdLst/>
                            <a:ahLst/>
                            <a:cxnLst/>
                            <a:rect l="l" t="t" r="r" b="b"/>
                            <a:pathLst>
                              <a:path w="383540" h="475615">
                                <a:moveTo>
                                  <a:pt x="148452" y="0"/>
                                </a:moveTo>
                                <a:lnTo>
                                  <a:pt x="139205" y="44"/>
                                </a:lnTo>
                                <a:lnTo>
                                  <a:pt x="135850" y="1161"/>
                                </a:lnTo>
                                <a:lnTo>
                                  <a:pt x="136635" y="3783"/>
                                </a:lnTo>
                                <a:lnTo>
                                  <a:pt x="137278" y="8556"/>
                                </a:lnTo>
                                <a:lnTo>
                                  <a:pt x="133494" y="16126"/>
                                </a:lnTo>
                                <a:lnTo>
                                  <a:pt x="122289" y="27781"/>
                                </a:lnTo>
                                <a:lnTo>
                                  <a:pt x="106478" y="42734"/>
                                </a:lnTo>
                                <a:lnTo>
                                  <a:pt x="90216" y="58546"/>
                                </a:lnTo>
                                <a:lnTo>
                                  <a:pt x="64391" y="96232"/>
                                </a:lnTo>
                                <a:lnTo>
                                  <a:pt x="52239" y="130495"/>
                                </a:lnTo>
                                <a:lnTo>
                                  <a:pt x="49808" y="136659"/>
                                </a:lnTo>
                                <a:lnTo>
                                  <a:pt x="45164" y="142464"/>
                                </a:lnTo>
                                <a:lnTo>
                                  <a:pt x="35727" y="146838"/>
                                </a:lnTo>
                                <a:lnTo>
                                  <a:pt x="22875" y="149923"/>
                                </a:lnTo>
                                <a:lnTo>
                                  <a:pt x="10952" y="153872"/>
                                </a:lnTo>
                                <a:lnTo>
                                  <a:pt x="4299" y="160838"/>
                                </a:lnTo>
                                <a:lnTo>
                                  <a:pt x="5395" y="171471"/>
                                </a:lnTo>
                                <a:lnTo>
                                  <a:pt x="11644" y="184475"/>
                                </a:lnTo>
                                <a:lnTo>
                                  <a:pt x="20057" y="199058"/>
                                </a:lnTo>
                                <a:lnTo>
                                  <a:pt x="27650" y="214428"/>
                                </a:lnTo>
                                <a:lnTo>
                                  <a:pt x="41515" y="255296"/>
                                </a:lnTo>
                                <a:lnTo>
                                  <a:pt x="51002" y="295585"/>
                                </a:lnTo>
                                <a:lnTo>
                                  <a:pt x="52214" y="307082"/>
                                </a:lnTo>
                                <a:lnTo>
                                  <a:pt x="51843" y="314632"/>
                                </a:lnTo>
                                <a:lnTo>
                                  <a:pt x="49592" y="322611"/>
                                </a:lnTo>
                                <a:lnTo>
                                  <a:pt x="45164" y="335397"/>
                                </a:lnTo>
                                <a:lnTo>
                                  <a:pt x="36209" y="356612"/>
                                </a:lnTo>
                                <a:lnTo>
                                  <a:pt x="23494" y="383352"/>
                                </a:lnTo>
                                <a:lnTo>
                                  <a:pt x="11398" y="410234"/>
                                </a:lnTo>
                                <a:lnTo>
                                  <a:pt x="4299" y="431877"/>
                                </a:lnTo>
                                <a:lnTo>
                                  <a:pt x="1072" y="447727"/>
                                </a:lnTo>
                                <a:lnTo>
                                  <a:pt x="0" y="460490"/>
                                </a:lnTo>
                                <a:lnTo>
                                  <a:pt x="4852" y="469665"/>
                                </a:lnTo>
                                <a:lnTo>
                                  <a:pt x="19401" y="474753"/>
                                </a:lnTo>
                                <a:lnTo>
                                  <a:pt x="50538" y="475002"/>
                                </a:lnTo>
                                <a:lnTo>
                                  <a:pt x="94501" y="471018"/>
                                </a:lnTo>
                                <a:lnTo>
                                  <a:pt x="138797" y="464308"/>
                                </a:lnTo>
                                <a:lnTo>
                                  <a:pt x="184023" y="445536"/>
                                </a:lnTo>
                                <a:lnTo>
                                  <a:pt x="186264" y="418688"/>
                                </a:lnTo>
                                <a:lnTo>
                                  <a:pt x="194285" y="410438"/>
                                </a:lnTo>
                                <a:lnTo>
                                  <a:pt x="214178" y="410173"/>
                                </a:lnTo>
                                <a:lnTo>
                                  <a:pt x="268671" y="420554"/>
                                </a:lnTo>
                                <a:lnTo>
                                  <a:pt x="293276" y="421151"/>
                                </a:lnTo>
                                <a:lnTo>
                                  <a:pt x="335236" y="405840"/>
                                </a:lnTo>
                                <a:lnTo>
                                  <a:pt x="366631" y="383643"/>
                                </a:lnTo>
                                <a:lnTo>
                                  <a:pt x="383014" y="351013"/>
                                </a:lnTo>
                                <a:lnTo>
                                  <a:pt x="378306" y="338462"/>
                                </a:lnTo>
                                <a:lnTo>
                                  <a:pt x="363559" y="324516"/>
                                </a:lnTo>
                                <a:lnTo>
                                  <a:pt x="340566" y="309563"/>
                                </a:lnTo>
                                <a:lnTo>
                                  <a:pt x="316645" y="294323"/>
                                </a:lnTo>
                                <a:lnTo>
                                  <a:pt x="299114" y="279516"/>
                                </a:lnTo>
                                <a:lnTo>
                                  <a:pt x="291683" y="265277"/>
                                </a:lnTo>
                                <a:lnTo>
                                  <a:pt x="289928" y="251182"/>
                                </a:lnTo>
                                <a:lnTo>
                                  <a:pt x="289244" y="237088"/>
                                </a:lnTo>
                                <a:lnTo>
                                  <a:pt x="285027" y="222849"/>
                                </a:lnTo>
                                <a:lnTo>
                                  <a:pt x="273624" y="208150"/>
                                </a:lnTo>
                                <a:lnTo>
                                  <a:pt x="258248" y="193091"/>
                                </a:lnTo>
                                <a:lnTo>
                                  <a:pt x="244585" y="178174"/>
                                </a:lnTo>
                                <a:lnTo>
                                  <a:pt x="238323" y="163903"/>
                                </a:lnTo>
                                <a:lnTo>
                                  <a:pt x="244387" y="150139"/>
                                </a:lnTo>
                                <a:lnTo>
                                  <a:pt x="258470" y="136522"/>
                                </a:lnTo>
                                <a:lnTo>
                                  <a:pt x="272696" y="123195"/>
                                </a:lnTo>
                                <a:lnTo>
                                  <a:pt x="279189" y="110300"/>
                                </a:lnTo>
                                <a:lnTo>
                                  <a:pt x="274909" y="98027"/>
                                </a:lnTo>
                                <a:lnTo>
                                  <a:pt x="264372" y="86184"/>
                                </a:lnTo>
                                <a:lnTo>
                                  <a:pt x="251026" y="74340"/>
                                </a:lnTo>
                                <a:lnTo>
                                  <a:pt x="238323" y="62067"/>
                                </a:lnTo>
                                <a:lnTo>
                                  <a:pt x="201148" y="20615"/>
                                </a:lnTo>
                                <a:lnTo>
                                  <a:pt x="161018" y="1389"/>
                                </a:lnTo>
                                <a:lnTo>
                                  <a:pt x="148452" y="0"/>
                                </a:lnTo>
                                <a:close/>
                              </a:path>
                            </a:pathLst>
                          </a:custGeom>
                          <a:solidFill>
                            <a:srgbClr val="000000"/>
                          </a:solidFill>
                        </wps:spPr>
                        <wps:bodyPr wrap="square" lIns="0" tIns="0" rIns="0" bIns="0" rtlCol="0">
                          <a:prstTxWarp prst="textNoShape">
                            <a:avLst/>
                          </a:prstTxWarp>
                          <a:noAutofit/>
                        </wps:bodyPr>
                      </wps:wsp>
                      <wps:wsp>
                        <wps:cNvPr id="9" name="Graphic 9"/>
                        <wps:cNvSpPr/>
                        <wps:spPr>
                          <a:xfrm>
                            <a:off x="4968910" y="6297425"/>
                            <a:ext cx="383540" cy="475615"/>
                          </a:xfrm>
                          <a:custGeom>
                            <a:avLst/>
                            <a:gdLst/>
                            <a:ahLst/>
                            <a:cxnLst/>
                            <a:rect l="l" t="t" r="r" b="b"/>
                            <a:pathLst>
                              <a:path w="383540" h="475615">
                                <a:moveTo>
                                  <a:pt x="4299" y="160838"/>
                                </a:moveTo>
                                <a:lnTo>
                                  <a:pt x="10952" y="153872"/>
                                </a:lnTo>
                                <a:lnTo>
                                  <a:pt x="22875" y="149923"/>
                                </a:lnTo>
                                <a:lnTo>
                                  <a:pt x="35727" y="146838"/>
                                </a:lnTo>
                                <a:lnTo>
                                  <a:pt x="45164" y="142464"/>
                                </a:lnTo>
                                <a:lnTo>
                                  <a:pt x="49808" y="136659"/>
                                </a:lnTo>
                                <a:lnTo>
                                  <a:pt x="52239" y="130495"/>
                                </a:lnTo>
                                <a:lnTo>
                                  <a:pt x="54052" y="123613"/>
                                </a:lnTo>
                                <a:lnTo>
                                  <a:pt x="56840" y="115657"/>
                                </a:lnTo>
                                <a:lnTo>
                                  <a:pt x="60413" y="106482"/>
                                </a:lnTo>
                                <a:lnTo>
                                  <a:pt x="64391" y="96232"/>
                                </a:lnTo>
                                <a:lnTo>
                                  <a:pt x="69797" y="84975"/>
                                </a:lnTo>
                                <a:lnTo>
                                  <a:pt x="77653" y="72780"/>
                                </a:lnTo>
                                <a:lnTo>
                                  <a:pt x="90216" y="58546"/>
                                </a:lnTo>
                                <a:lnTo>
                                  <a:pt x="106478" y="42734"/>
                                </a:lnTo>
                                <a:lnTo>
                                  <a:pt x="122289" y="27781"/>
                                </a:lnTo>
                                <a:lnTo>
                                  <a:pt x="133494" y="16126"/>
                                </a:lnTo>
                                <a:lnTo>
                                  <a:pt x="137278" y="8556"/>
                                </a:lnTo>
                                <a:lnTo>
                                  <a:pt x="136635" y="3783"/>
                                </a:lnTo>
                                <a:lnTo>
                                  <a:pt x="135850" y="1161"/>
                                </a:lnTo>
                                <a:lnTo>
                                  <a:pt x="139205" y="44"/>
                                </a:lnTo>
                                <a:lnTo>
                                  <a:pt x="188447" y="10769"/>
                                </a:lnTo>
                                <a:lnTo>
                                  <a:pt x="226550" y="48346"/>
                                </a:lnTo>
                                <a:lnTo>
                                  <a:pt x="238323" y="62067"/>
                                </a:lnTo>
                                <a:lnTo>
                                  <a:pt x="251026" y="74340"/>
                                </a:lnTo>
                                <a:lnTo>
                                  <a:pt x="264372" y="86184"/>
                                </a:lnTo>
                                <a:lnTo>
                                  <a:pt x="274909" y="98027"/>
                                </a:lnTo>
                                <a:lnTo>
                                  <a:pt x="279189" y="110300"/>
                                </a:lnTo>
                                <a:lnTo>
                                  <a:pt x="272696" y="123195"/>
                                </a:lnTo>
                                <a:lnTo>
                                  <a:pt x="258470" y="136522"/>
                                </a:lnTo>
                                <a:lnTo>
                                  <a:pt x="244387" y="150139"/>
                                </a:lnTo>
                                <a:lnTo>
                                  <a:pt x="238323" y="163903"/>
                                </a:lnTo>
                                <a:lnTo>
                                  <a:pt x="244585" y="178174"/>
                                </a:lnTo>
                                <a:lnTo>
                                  <a:pt x="258248" y="193091"/>
                                </a:lnTo>
                                <a:lnTo>
                                  <a:pt x="273624" y="208150"/>
                                </a:lnTo>
                                <a:lnTo>
                                  <a:pt x="285027" y="222849"/>
                                </a:lnTo>
                                <a:lnTo>
                                  <a:pt x="289244" y="237088"/>
                                </a:lnTo>
                                <a:lnTo>
                                  <a:pt x="289928" y="251182"/>
                                </a:lnTo>
                                <a:lnTo>
                                  <a:pt x="291683" y="265277"/>
                                </a:lnTo>
                                <a:lnTo>
                                  <a:pt x="299114" y="279516"/>
                                </a:lnTo>
                                <a:lnTo>
                                  <a:pt x="316645" y="294323"/>
                                </a:lnTo>
                                <a:lnTo>
                                  <a:pt x="340566" y="309563"/>
                                </a:lnTo>
                                <a:lnTo>
                                  <a:pt x="363559" y="324516"/>
                                </a:lnTo>
                                <a:lnTo>
                                  <a:pt x="378306" y="338462"/>
                                </a:lnTo>
                                <a:lnTo>
                                  <a:pt x="383014" y="351013"/>
                                </a:lnTo>
                                <a:lnTo>
                                  <a:pt x="381796" y="362487"/>
                                </a:lnTo>
                                <a:lnTo>
                                  <a:pt x="353152" y="394670"/>
                                </a:lnTo>
                                <a:lnTo>
                                  <a:pt x="314678" y="415289"/>
                                </a:lnTo>
                                <a:lnTo>
                                  <a:pt x="293276" y="421151"/>
                                </a:lnTo>
                                <a:lnTo>
                                  <a:pt x="268671" y="420554"/>
                                </a:lnTo>
                                <a:lnTo>
                                  <a:pt x="240639" y="415220"/>
                                </a:lnTo>
                                <a:lnTo>
                                  <a:pt x="214178" y="410173"/>
                                </a:lnTo>
                                <a:lnTo>
                                  <a:pt x="194285" y="410438"/>
                                </a:lnTo>
                                <a:lnTo>
                                  <a:pt x="186264" y="418688"/>
                                </a:lnTo>
                                <a:lnTo>
                                  <a:pt x="185988" y="431680"/>
                                </a:lnTo>
                                <a:lnTo>
                                  <a:pt x="184023" y="445536"/>
                                </a:lnTo>
                                <a:lnTo>
                                  <a:pt x="170933" y="456379"/>
                                </a:lnTo>
                                <a:lnTo>
                                  <a:pt x="138797" y="464308"/>
                                </a:lnTo>
                                <a:lnTo>
                                  <a:pt x="94501" y="471018"/>
                                </a:lnTo>
                                <a:lnTo>
                                  <a:pt x="50538" y="475002"/>
                                </a:lnTo>
                                <a:lnTo>
                                  <a:pt x="19401" y="474753"/>
                                </a:lnTo>
                                <a:lnTo>
                                  <a:pt x="4852" y="469665"/>
                                </a:lnTo>
                                <a:lnTo>
                                  <a:pt x="0" y="460490"/>
                                </a:lnTo>
                                <a:lnTo>
                                  <a:pt x="1072" y="447727"/>
                                </a:lnTo>
                                <a:lnTo>
                                  <a:pt x="4299" y="431877"/>
                                </a:lnTo>
                                <a:lnTo>
                                  <a:pt x="11398" y="410234"/>
                                </a:lnTo>
                                <a:lnTo>
                                  <a:pt x="23494" y="383352"/>
                                </a:lnTo>
                                <a:lnTo>
                                  <a:pt x="36209" y="356612"/>
                                </a:lnTo>
                                <a:lnTo>
                                  <a:pt x="45164" y="335397"/>
                                </a:lnTo>
                                <a:lnTo>
                                  <a:pt x="49592" y="322611"/>
                                </a:lnTo>
                                <a:lnTo>
                                  <a:pt x="51843" y="314632"/>
                                </a:lnTo>
                                <a:lnTo>
                                  <a:pt x="52214" y="307082"/>
                                </a:lnTo>
                                <a:lnTo>
                                  <a:pt x="51002" y="295585"/>
                                </a:lnTo>
                                <a:lnTo>
                                  <a:pt x="41515" y="255296"/>
                                </a:lnTo>
                                <a:lnTo>
                                  <a:pt x="27650" y="214428"/>
                                </a:lnTo>
                                <a:lnTo>
                                  <a:pt x="11644" y="184475"/>
                                </a:lnTo>
                                <a:lnTo>
                                  <a:pt x="5395" y="171471"/>
                                </a:lnTo>
                                <a:lnTo>
                                  <a:pt x="4299" y="160838"/>
                                </a:lnTo>
                                <a:close/>
                              </a:path>
                            </a:pathLst>
                          </a:custGeom>
                          <a:ln w="9510">
                            <a:solidFill>
                              <a:srgbClr val="000000"/>
                            </a:solidFill>
                            <a:prstDash val="solid"/>
                          </a:ln>
                        </wps:spPr>
                        <wps:bodyPr wrap="square" lIns="0" tIns="0" rIns="0" bIns="0" rtlCol="0">
                          <a:prstTxWarp prst="textNoShape">
                            <a:avLst/>
                          </a:prstTxWarp>
                          <a:noAutofit/>
                        </wps:bodyPr>
                      </wps:wsp>
                      <wps:wsp>
                        <wps:cNvPr id="10" name="Graphic 10"/>
                        <wps:cNvSpPr/>
                        <wps:spPr>
                          <a:xfrm>
                            <a:off x="2196417" y="3432260"/>
                            <a:ext cx="358775" cy="491490"/>
                          </a:xfrm>
                          <a:custGeom>
                            <a:avLst/>
                            <a:gdLst/>
                            <a:ahLst/>
                            <a:cxnLst/>
                            <a:rect l="l" t="t" r="r" b="b"/>
                            <a:pathLst>
                              <a:path w="358775" h="491490">
                                <a:moveTo>
                                  <a:pt x="138870" y="0"/>
                                </a:moveTo>
                                <a:lnTo>
                                  <a:pt x="130222" y="41"/>
                                </a:lnTo>
                                <a:lnTo>
                                  <a:pt x="127101" y="1176"/>
                                </a:lnTo>
                                <a:lnTo>
                                  <a:pt x="127825" y="3883"/>
                                </a:lnTo>
                                <a:lnTo>
                                  <a:pt x="128383" y="8828"/>
                                </a:lnTo>
                                <a:lnTo>
                                  <a:pt x="124761" y="16678"/>
                                </a:lnTo>
                                <a:lnTo>
                                  <a:pt x="114357" y="28737"/>
                                </a:lnTo>
                                <a:lnTo>
                                  <a:pt x="99631" y="44190"/>
                                </a:lnTo>
                                <a:lnTo>
                                  <a:pt x="84453" y="60523"/>
                                </a:lnTo>
                                <a:lnTo>
                                  <a:pt x="60293" y="99482"/>
                                </a:lnTo>
                                <a:lnTo>
                                  <a:pt x="48910" y="134868"/>
                                </a:lnTo>
                                <a:lnTo>
                                  <a:pt x="46597" y="141247"/>
                                </a:lnTo>
                                <a:lnTo>
                                  <a:pt x="42211" y="147234"/>
                                </a:lnTo>
                                <a:lnTo>
                                  <a:pt x="33436" y="151747"/>
                                </a:lnTo>
                                <a:lnTo>
                                  <a:pt x="21447" y="154949"/>
                                </a:lnTo>
                                <a:lnTo>
                                  <a:pt x="10314" y="159057"/>
                                </a:lnTo>
                                <a:lnTo>
                                  <a:pt x="4111" y="166284"/>
                                </a:lnTo>
                                <a:lnTo>
                                  <a:pt x="5078" y="177222"/>
                                </a:lnTo>
                                <a:lnTo>
                                  <a:pt x="10890" y="190636"/>
                                </a:lnTo>
                                <a:lnTo>
                                  <a:pt x="18774" y="205718"/>
                                </a:lnTo>
                                <a:lnTo>
                                  <a:pt x="25955" y="221656"/>
                                </a:lnTo>
                                <a:lnTo>
                                  <a:pt x="38862" y="263852"/>
                                </a:lnTo>
                                <a:lnTo>
                                  <a:pt x="47672" y="305476"/>
                                </a:lnTo>
                                <a:lnTo>
                                  <a:pt x="48837" y="317353"/>
                                </a:lnTo>
                                <a:lnTo>
                                  <a:pt x="48514" y="325145"/>
                                </a:lnTo>
                                <a:lnTo>
                                  <a:pt x="46404" y="333390"/>
                                </a:lnTo>
                                <a:lnTo>
                                  <a:pt x="42211" y="346624"/>
                                </a:lnTo>
                                <a:lnTo>
                                  <a:pt x="33865" y="368559"/>
                                </a:lnTo>
                                <a:lnTo>
                                  <a:pt x="22018" y="396186"/>
                                </a:lnTo>
                                <a:lnTo>
                                  <a:pt x="10743" y="423955"/>
                                </a:lnTo>
                                <a:lnTo>
                                  <a:pt x="4111" y="446319"/>
                                </a:lnTo>
                                <a:lnTo>
                                  <a:pt x="1025" y="462710"/>
                                </a:lnTo>
                                <a:lnTo>
                                  <a:pt x="0" y="475910"/>
                                </a:lnTo>
                                <a:lnTo>
                                  <a:pt x="4522" y="485395"/>
                                </a:lnTo>
                                <a:lnTo>
                                  <a:pt x="18081" y="490642"/>
                                </a:lnTo>
                                <a:lnTo>
                                  <a:pt x="47281" y="490898"/>
                                </a:lnTo>
                                <a:lnTo>
                                  <a:pt x="88423" y="486785"/>
                                </a:lnTo>
                                <a:lnTo>
                                  <a:pt x="129827" y="479837"/>
                                </a:lnTo>
                                <a:lnTo>
                                  <a:pt x="172120" y="460404"/>
                                </a:lnTo>
                                <a:lnTo>
                                  <a:pt x="174208" y="432694"/>
                                </a:lnTo>
                                <a:lnTo>
                                  <a:pt x="181657" y="424221"/>
                                </a:lnTo>
                                <a:lnTo>
                                  <a:pt x="200286" y="423929"/>
                                </a:lnTo>
                                <a:lnTo>
                                  <a:pt x="251309" y="434633"/>
                                </a:lnTo>
                                <a:lnTo>
                                  <a:pt x="274367" y="435270"/>
                                </a:lnTo>
                                <a:lnTo>
                                  <a:pt x="313547" y="419411"/>
                                </a:lnTo>
                                <a:lnTo>
                                  <a:pt x="351581" y="385679"/>
                                </a:lnTo>
                                <a:lnTo>
                                  <a:pt x="358197" y="362743"/>
                                </a:lnTo>
                                <a:lnTo>
                                  <a:pt x="353742" y="349799"/>
                                </a:lnTo>
                                <a:lnTo>
                                  <a:pt x="340032" y="335399"/>
                                </a:lnTo>
                                <a:lnTo>
                                  <a:pt x="318547" y="319938"/>
                                </a:lnTo>
                                <a:lnTo>
                                  <a:pt x="296181" y="304168"/>
                                </a:lnTo>
                                <a:lnTo>
                                  <a:pt x="279828" y="288839"/>
                                </a:lnTo>
                                <a:lnTo>
                                  <a:pt x="272797" y="274119"/>
                                </a:lnTo>
                                <a:lnTo>
                                  <a:pt x="271113" y="259566"/>
                                </a:lnTo>
                                <a:lnTo>
                                  <a:pt x="270452" y="245012"/>
                                </a:lnTo>
                                <a:lnTo>
                                  <a:pt x="266493" y="230292"/>
                                </a:lnTo>
                                <a:lnTo>
                                  <a:pt x="255883" y="215088"/>
                                </a:lnTo>
                                <a:lnTo>
                                  <a:pt x="241522" y="199526"/>
                                </a:lnTo>
                                <a:lnTo>
                                  <a:pt x="228756" y="184108"/>
                                </a:lnTo>
                                <a:lnTo>
                                  <a:pt x="222932" y="169332"/>
                                </a:lnTo>
                                <a:lnTo>
                                  <a:pt x="228584" y="155144"/>
                                </a:lnTo>
                                <a:lnTo>
                                  <a:pt x="241760" y="141075"/>
                                </a:lnTo>
                                <a:lnTo>
                                  <a:pt x="255079" y="127291"/>
                                </a:lnTo>
                                <a:lnTo>
                                  <a:pt x="261159" y="113960"/>
                                </a:lnTo>
                                <a:lnTo>
                                  <a:pt x="257151" y="101288"/>
                                </a:lnTo>
                                <a:lnTo>
                                  <a:pt x="247284" y="89068"/>
                                </a:lnTo>
                                <a:lnTo>
                                  <a:pt x="234799" y="76848"/>
                                </a:lnTo>
                                <a:lnTo>
                                  <a:pt x="222932" y="64176"/>
                                </a:lnTo>
                                <a:lnTo>
                                  <a:pt x="188124" y="21278"/>
                                </a:lnTo>
                                <a:lnTo>
                                  <a:pt x="150637" y="1422"/>
                                </a:lnTo>
                                <a:lnTo>
                                  <a:pt x="138870" y="0"/>
                                </a:lnTo>
                                <a:close/>
                              </a:path>
                            </a:pathLst>
                          </a:custGeom>
                          <a:solidFill>
                            <a:srgbClr val="000000"/>
                          </a:solidFill>
                        </wps:spPr>
                        <wps:bodyPr wrap="square" lIns="0" tIns="0" rIns="0" bIns="0" rtlCol="0">
                          <a:prstTxWarp prst="textNoShape">
                            <a:avLst/>
                          </a:prstTxWarp>
                          <a:noAutofit/>
                        </wps:bodyPr>
                      </wps:wsp>
                      <wps:wsp>
                        <wps:cNvPr id="11" name="Graphic 11"/>
                        <wps:cNvSpPr/>
                        <wps:spPr>
                          <a:xfrm>
                            <a:off x="2196417" y="3432260"/>
                            <a:ext cx="358775" cy="491490"/>
                          </a:xfrm>
                          <a:custGeom>
                            <a:avLst/>
                            <a:gdLst/>
                            <a:ahLst/>
                            <a:cxnLst/>
                            <a:rect l="l" t="t" r="r" b="b"/>
                            <a:pathLst>
                              <a:path w="358775" h="491490">
                                <a:moveTo>
                                  <a:pt x="4111" y="166284"/>
                                </a:moveTo>
                                <a:lnTo>
                                  <a:pt x="10314" y="159057"/>
                                </a:lnTo>
                                <a:lnTo>
                                  <a:pt x="21447" y="154949"/>
                                </a:lnTo>
                                <a:lnTo>
                                  <a:pt x="33436" y="151747"/>
                                </a:lnTo>
                                <a:lnTo>
                                  <a:pt x="42211" y="147234"/>
                                </a:lnTo>
                                <a:lnTo>
                                  <a:pt x="46597" y="141247"/>
                                </a:lnTo>
                                <a:lnTo>
                                  <a:pt x="48910" y="134868"/>
                                </a:lnTo>
                                <a:lnTo>
                                  <a:pt x="50605" y="127750"/>
                                </a:lnTo>
                                <a:lnTo>
                                  <a:pt x="53133" y="119548"/>
                                </a:lnTo>
                                <a:lnTo>
                                  <a:pt x="56528" y="110087"/>
                                </a:lnTo>
                                <a:lnTo>
                                  <a:pt x="60293" y="99482"/>
                                </a:lnTo>
                                <a:lnTo>
                                  <a:pt x="65367" y="87830"/>
                                </a:lnTo>
                                <a:lnTo>
                                  <a:pt x="72691" y="75225"/>
                                </a:lnTo>
                                <a:lnTo>
                                  <a:pt x="84453" y="60523"/>
                                </a:lnTo>
                                <a:lnTo>
                                  <a:pt x="99631" y="44190"/>
                                </a:lnTo>
                                <a:lnTo>
                                  <a:pt x="114357" y="28737"/>
                                </a:lnTo>
                                <a:lnTo>
                                  <a:pt x="124761" y="16678"/>
                                </a:lnTo>
                                <a:lnTo>
                                  <a:pt x="128383" y="8828"/>
                                </a:lnTo>
                                <a:lnTo>
                                  <a:pt x="127825" y="3883"/>
                                </a:lnTo>
                                <a:lnTo>
                                  <a:pt x="127101" y="1176"/>
                                </a:lnTo>
                                <a:lnTo>
                                  <a:pt x="130222" y="41"/>
                                </a:lnTo>
                                <a:lnTo>
                                  <a:pt x="176196" y="11090"/>
                                </a:lnTo>
                                <a:lnTo>
                                  <a:pt x="211933" y="49988"/>
                                </a:lnTo>
                                <a:lnTo>
                                  <a:pt x="222932" y="64176"/>
                                </a:lnTo>
                                <a:lnTo>
                                  <a:pt x="234799" y="76848"/>
                                </a:lnTo>
                                <a:lnTo>
                                  <a:pt x="247284" y="89068"/>
                                </a:lnTo>
                                <a:lnTo>
                                  <a:pt x="257151" y="101288"/>
                                </a:lnTo>
                                <a:lnTo>
                                  <a:pt x="261159" y="113960"/>
                                </a:lnTo>
                                <a:lnTo>
                                  <a:pt x="255079" y="127291"/>
                                </a:lnTo>
                                <a:lnTo>
                                  <a:pt x="241760" y="141075"/>
                                </a:lnTo>
                                <a:lnTo>
                                  <a:pt x="228584" y="155144"/>
                                </a:lnTo>
                                <a:lnTo>
                                  <a:pt x="222932" y="169332"/>
                                </a:lnTo>
                                <a:lnTo>
                                  <a:pt x="228756" y="184108"/>
                                </a:lnTo>
                                <a:lnTo>
                                  <a:pt x="241522" y="199526"/>
                                </a:lnTo>
                                <a:lnTo>
                                  <a:pt x="255883" y="215088"/>
                                </a:lnTo>
                                <a:lnTo>
                                  <a:pt x="266493" y="230292"/>
                                </a:lnTo>
                                <a:lnTo>
                                  <a:pt x="270452" y="245012"/>
                                </a:lnTo>
                                <a:lnTo>
                                  <a:pt x="271113" y="259566"/>
                                </a:lnTo>
                                <a:lnTo>
                                  <a:pt x="272797" y="274119"/>
                                </a:lnTo>
                                <a:lnTo>
                                  <a:pt x="279828" y="288839"/>
                                </a:lnTo>
                                <a:lnTo>
                                  <a:pt x="296181" y="304168"/>
                                </a:lnTo>
                                <a:lnTo>
                                  <a:pt x="318547" y="319938"/>
                                </a:lnTo>
                                <a:lnTo>
                                  <a:pt x="340032" y="335399"/>
                                </a:lnTo>
                                <a:lnTo>
                                  <a:pt x="353742" y="349799"/>
                                </a:lnTo>
                                <a:lnTo>
                                  <a:pt x="358197" y="362743"/>
                                </a:lnTo>
                                <a:lnTo>
                                  <a:pt x="357092" y="374580"/>
                                </a:lnTo>
                                <a:lnTo>
                                  <a:pt x="330267" y="407856"/>
                                </a:lnTo>
                                <a:lnTo>
                                  <a:pt x="294350" y="429180"/>
                                </a:lnTo>
                                <a:lnTo>
                                  <a:pt x="274367" y="435270"/>
                                </a:lnTo>
                                <a:lnTo>
                                  <a:pt x="251309" y="434633"/>
                                </a:lnTo>
                                <a:lnTo>
                                  <a:pt x="225059" y="429127"/>
                                </a:lnTo>
                                <a:lnTo>
                                  <a:pt x="200286" y="423929"/>
                                </a:lnTo>
                                <a:lnTo>
                                  <a:pt x="181657" y="424221"/>
                                </a:lnTo>
                                <a:lnTo>
                                  <a:pt x="174208" y="432694"/>
                                </a:lnTo>
                                <a:lnTo>
                                  <a:pt x="173974" y="446097"/>
                                </a:lnTo>
                                <a:lnTo>
                                  <a:pt x="172120" y="460404"/>
                                </a:lnTo>
                                <a:lnTo>
                                  <a:pt x="159813" y="471592"/>
                                </a:lnTo>
                                <a:lnTo>
                                  <a:pt x="129827" y="479837"/>
                                </a:lnTo>
                                <a:lnTo>
                                  <a:pt x="88423" y="486785"/>
                                </a:lnTo>
                                <a:lnTo>
                                  <a:pt x="47281" y="490898"/>
                                </a:lnTo>
                                <a:lnTo>
                                  <a:pt x="18081" y="490642"/>
                                </a:lnTo>
                                <a:lnTo>
                                  <a:pt x="4522" y="485395"/>
                                </a:lnTo>
                                <a:lnTo>
                                  <a:pt x="0" y="475910"/>
                                </a:lnTo>
                                <a:lnTo>
                                  <a:pt x="1025" y="462710"/>
                                </a:lnTo>
                                <a:lnTo>
                                  <a:pt x="4111" y="446319"/>
                                </a:lnTo>
                                <a:lnTo>
                                  <a:pt x="10743" y="423955"/>
                                </a:lnTo>
                                <a:lnTo>
                                  <a:pt x="22018" y="396186"/>
                                </a:lnTo>
                                <a:lnTo>
                                  <a:pt x="33865" y="368559"/>
                                </a:lnTo>
                                <a:lnTo>
                                  <a:pt x="42211" y="346624"/>
                                </a:lnTo>
                                <a:lnTo>
                                  <a:pt x="46404" y="333390"/>
                                </a:lnTo>
                                <a:lnTo>
                                  <a:pt x="48514" y="325145"/>
                                </a:lnTo>
                                <a:lnTo>
                                  <a:pt x="48837" y="317353"/>
                                </a:lnTo>
                                <a:lnTo>
                                  <a:pt x="47672" y="305476"/>
                                </a:lnTo>
                                <a:lnTo>
                                  <a:pt x="38862" y="263852"/>
                                </a:lnTo>
                                <a:lnTo>
                                  <a:pt x="25955" y="221656"/>
                                </a:lnTo>
                                <a:lnTo>
                                  <a:pt x="10890" y="190636"/>
                                </a:lnTo>
                                <a:lnTo>
                                  <a:pt x="5078" y="177222"/>
                                </a:lnTo>
                                <a:lnTo>
                                  <a:pt x="4111" y="16628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2.650002pt;margin-top:-455.711334pt;width:477.65pt;height:540.7pt;mso-position-horizontal-relative:page;mso-position-vertical-relative:paragraph;z-index:-25224704" id="docshapegroup2" coordorigin="1653,-9114" coordsize="9553,10814">
                <v:shape style="position:absolute;left:1678;top:-8903;width:9400;height:10582" type="#_x0000_t75" id="docshape3" stroked="false">
                  <v:imagedata r:id="rId21" o:title=""/>
                </v:shape>
                <v:rect style="position:absolute;left:1663;top:-9105;width:9533;height:10794" id="docshape4" filled="false" stroked="true" strokeweight="1pt" strokecolor="#000000">
                  <v:stroke dashstyle="solid"/>
                </v:rect>
                <v:rect style="position:absolute;left:1675;top:-469;width:9501;height:2144" id="docshape5" filled="true" fillcolor="#ffffff" stroked="false">
                  <v:fill type="solid"/>
                </v:rect>
                <v:rect style="position:absolute;left:1675;top:-469;width:9501;height:2144" id="docshape6" filled="false" stroked="true" strokeweight=".75pt" strokecolor="#000000">
                  <v:stroke dashstyle="solid"/>
                </v:rect>
                <v:shape style="position:absolute;left:6953;top:634;width:4050;height:963" id="docshape7" coordorigin="6953,634" coordsize="4050,963" path="m11002,1597l11002,634,6953,634,6953,1597e" filled="false" stroked="true" strokeweight=".747902pt" strokecolor="#f1f1f1">
                  <v:path arrowok="t"/>
                  <v:stroke dashstyle="solid"/>
                </v:shape>
                <v:shape style="position:absolute;left:9478;top:802;width:604;height:749" id="docshape8" coordorigin="9478,803" coordsize="604,749" path="m9712,803l9697,803,9692,805,9693,809,9694,816,9688,828,9671,847,9646,870,9620,895,9579,955,9560,1008,9556,1018,9549,1027,9534,1034,9514,1039,9495,1045,9485,1056,9487,1073,9496,1093,9510,1116,9522,1141,9543,1205,9558,1268,9560,1287,9560,1298,9556,1311,9549,1331,9535,1365,9515,1407,9496,1449,9485,1483,9480,1508,9478,1528,9486,1543,9509,1551,9558,1551,9627,1545,9697,1534,9768,1505,9771,1462,9784,1449,9815,1449,9901,1465,9940,1466,10006,1442,10055,1407,10081,1356,10074,1336,10051,1314,10014,1290,9977,1266,9949,1243,9937,1221,9935,1199,9934,1176,9927,1154,9909,1131,9885,1107,9863,1084,9853,1061,9863,1039,9885,1018,9907,997,9918,977,9911,957,9894,939,9873,920,9853,901,9795,835,9732,805,9712,803xe" filled="true" fillcolor="#000000" stroked="false">
                  <v:path arrowok="t"/>
                  <v:fill type="solid"/>
                </v:shape>
                <v:shape style="position:absolute;left:9478;top:802;width:604;height:749" id="docshape9" coordorigin="9478,803" coordsize="604,749" path="m9485,1056l9495,1045,9514,1039,9534,1034,9549,1027,9556,1018,9560,1008,9563,998,9568,985,9573,971,9579,955,9588,937,9600,918,9620,895,9646,870,9671,847,9688,828,9694,816,9693,809,9692,805,9697,803,9775,820,9835,879,9853,901,9873,920,9894,939,9911,957,9918,977,9907,997,9885,1018,9863,1039,9853,1061,9863,1084,9885,1107,9909,1131,9927,1154,9934,1176,9935,1199,9937,1221,9949,1243,9977,1266,10014,1290,10051,1314,10074,1336,10081,1356,10079,1374,10034,1425,9974,1457,9940,1466,9901,1465,9857,1457,9815,1449,9784,1449,9771,1462,9771,1483,9768,1505,9747,1522,9697,1534,9627,1545,9558,1551,9509,1551,9486,1543,9478,1528,9480,1508,9485,1483,9496,1449,9515,1407,9535,1365,9549,1331,9556,1311,9560,1298,9560,1287,9558,1268,9543,1205,9522,1141,9496,1093,9487,1073,9485,1056xe" filled="false" stroked="true" strokeweight=".748821pt" strokecolor="#000000">
                  <v:path arrowok="t"/>
                  <v:stroke dashstyle="solid"/>
                </v:shape>
                <v:shape style="position:absolute;left:5111;top:-3710;width:565;height:774" id="docshape10" coordorigin="5112,-3709" coordsize="565,774" path="m5331,-3709l5317,-3709,5312,-3707,5313,-3703,5314,-3695,5308,-3683,5292,-3664,5269,-3640,5245,-3614,5207,-3552,5189,-3497,5185,-3487,5178,-3477,5165,-3470,5146,-3465,5128,-3459,5118,-3447,5120,-3430,5129,-3409,5141,-3385,5153,-3360,5173,-3294,5187,-3228,5189,-3209,5188,-3197,5185,-3184,5178,-3163,5165,-3129,5147,-3085,5129,-3041,5118,-3006,5114,-2980,5112,-2960,5119,-2945,5140,-2936,5186,-2936,5251,-2943,5316,-2953,5383,-2984,5386,-3028,5398,-3041,5427,-3041,5508,-3025,5544,-3024,5606,-3049,5666,-3102,5676,-3138,5669,-3158,5647,-3181,5614,-3205,5578,-3230,5553,-3254,5542,-3277,5539,-3300,5538,-3323,5532,-3346,5515,-3370,5492,-3395,5472,-3419,5463,-3442,5472,-3465,5493,-3487,5514,-3509,5523,-3530,5517,-3550,5501,-3569,5482,-3588,5463,-3608,5408,-3676,5349,-3707,5331,-3709xe" filled="true" fillcolor="#000000" stroked="false">
                  <v:path arrowok="t"/>
                  <v:fill type="solid"/>
                </v:shape>
                <v:shape style="position:absolute;left:5111;top:-3710;width:565;height:774" id="docshape11" coordorigin="5112,-3709" coordsize="565,774" path="m5118,-3447l5128,-3459,5146,-3465,5165,-3470,5178,-3477,5185,-3487,5189,-3497,5192,-3508,5196,-3521,5201,-3536,5207,-3552,5215,-3571,5226,-3591,5245,-3614,5269,-3640,5292,-3664,5308,-3683,5314,-3695,5313,-3703,5312,-3707,5317,-3709,5389,-3692,5446,-3630,5463,-3608,5482,-3588,5501,-3569,5517,-3550,5523,-3530,5514,-3509,5493,-3487,5472,-3465,5463,-3442,5472,-3419,5492,-3395,5515,-3370,5532,-3346,5538,-3323,5539,-3300,5542,-3277,5553,-3254,5578,-3230,5614,-3205,5647,-3181,5669,-3158,5676,-3138,5674,-3119,5632,-3067,5575,-3033,5544,-3024,5508,-3025,5466,-3033,5427,-3041,5398,-3041,5386,-3028,5386,-3007,5383,-2984,5364,-2966,5316,-2953,5251,-2943,5186,-2936,5140,-2936,5119,-2945,5112,-2960,5114,-2980,5118,-3006,5129,-3041,5147,-3085,5165,-3129,5178,-3163,5185,-3184,5188,-3197,5189,-3209,5187,-3228,5173,-3294,5153,-3360,5129,-3409,5120,-3430,5118,-3447xe" filled="false" stroked="true" strokeweight=".75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729152">
                <wp:simplePos x="0" y="0"/>
                <wp:positionH relativeFrom="page">
                  <wp:posOffset>1063625</wp:posOffset>
                </wp:positionH>
                <wp:positionV relativeFrom="paragraph">
                  <wp:posOffset>-297323</wp:posOffset>
                </wp:positionV>
                <wp:extent cx="6033135" cy="734695"/>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6033135" cy="734695"/>
                        </a:xfrm>
                        <a:custGeom>
                          <a:avLst/>
                          <a:gdLst/>
                          <a:ahLst/>
                          <a:cxnLst/>
                          <a:rect l="l" t="t" r="r" b="b"/>
                          <a:pathLst>
                            <a:path w="6033135" h="734695">
                              <a:moveTo>
                                <a:pt x="6033134" y="0"/>
                              </a:moveTo>
                              <a:lnTo>
                                <a:pt x="0" y="0"/>
                              </a:lnTo>
                              <a:lnTo>
                                <a:pt x="0" y="734695"/>
                              </a:lnTo>
                              <a:lnTo>
                                <a:pt x="6033134" y="734695"/>
                              </a:lnTo>
                              <a:lnTo>
                                <a:pt x="603313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83.75pt;margin-top:-23.411327pt;width:475.05pt;height:57.85pt;mso-position-horizontal-relative:page;mso-position-vertical-relative:paragraph;z-index:15729152" id="docshape12" filled="true" fillcolor="#ffffff" stroked="false">
                <v:fill type="solid"/>
                <w10:wrap type="none"/>
              </v:rect>
            </w:pict>
          </mc:Fallback>
        </mc:AlternateContent>
      </w:r>
      <w:r>
        <w:rPr>
          <w:b/>
          <w:sz w:val="22"/>
        </w:rPr>
        <w:t>Figure</w:t>
      </w:r>
      <w:r>
        <w:rPr>
          <w:b/>
          <w:spacing w:val="-4"/>
          <w:sz w:val="22"/>
        </w:rPr>
        <w:t> </w:t>
      </w:r>
      <w:r>
        <w:rPr>
          <w:b/>
          <w:sz w:val="22"/>
        </w:rPr>
        <w:t>1.1</w:t>
      </w:r>
      <w:r>
        <w:rPr>
          <w:b/>
          <w:spacing w:val="-4"/>
          <w:sz w:val="22"/>
        </w:rPr>
        <w:t> </w:t>
      </w:r>
      <w:r>
        <w:rPr>
          <w:b/>
          <w:sz w:val="22"/>
        </w:rPr>
        <w:t>Map</w:t>
      </w:r>
      <w:r>
        <w:rPr>
          <w:b/>
          <w:spacing w:val="-3"/>
          <w:sz w:val="22"/>
        </w:rPr>
        <w:t> </w:t>
      </w:r>
      <w:r>
        <w:rPr>
          <w:b/>
          <w:sz w:val="22"/>
        </w:rPr>
        <w:t>of</w:t>
      </w:r>
      <w:r>
        <w:rPr>
          <w:b/>
          <w:spacing w:val="-3"/>
          <w:sz w:val="22"/>
        </w:rPr>
        <w:t> </w:t>
      </w:r>
      <w:r>
        <w:rPr>
          <w:b/>
          <w:sz w:val="22"/>
        </w:rPr>
        <w:t>Nigeria,</w:t>
      </w:r>
      <w:r>
        <w:rPr>
          <w:b/>
          <w:spacing w:val="-3"/>
          <w:sz w:val="22"/>
        </w:rPr>
        <w:t> </w:t>
      </w:r>
      <w:r>
        <w:rPr>
          <w:b/>
          <w:sz w:val="22"/>
        </w:rPr>
        <w:t>showing</w:t>
      </w:r>
      <w:r>
        <w:rPr>
          <w:b/>
          <w:spacing w:val="-3"/>
          <w:sz w:val="22"/>
        </w:rPr>
        <w:t> </w:t>
      </w:r>
      <w:r>
        <w:rPr>
          <w:b/>
          <w:sz w:val="22"/>
        </w:rPr>
        <w:t>Anambra</w:t>
      </w:r>
      <w:r>
        <w:rPr>
          <w:b/>
          <w:spacing w:val="-3"/>
          <w:sz w:val="22"/>
        </w:rPr>
        <w:t> </w:t>
      </w:r>
      <w:r>
        <w:rPr>
          <w:b/>
          <w:sz w:val="22"/>
        </w:rPr>
        <w:t>State</w:t>
      </w:r>
      <w:r>
        <w:rPr>
          <w:b/>
          <w:spacing w:val="-3"/>
          <w:sz w:val="22"/>
        </w:rPr>
        <w:t> </w:t>
      </w:r>
      <w:r>
        <w:rPr>
          <w:b/>
          <w:sz w:val="22"/>
        </w:rPr>
        <w:t>(Study</w:t>
      </w:r>
      <w:r>
        <w:rPr>
          <w:b/>
          <w:spacing w:val="-3"/>
          <w:sz w:val="22"/>
        </w:rPr>
        <w:t> </w:t>
      </w:r>
      <w:r>
        <w:rPr>
          <w:b/>
          <w:spacing w:val="-2"/>
          <w:sz w:val="22"/>
        </w:rPr>
        <w:t>Area)</w:t>
      </w:r>
    </w:p>
    <w:p>
      <w:pPr>
        <w:spacing w:before="120"/>
        <w:ind w:left="3766" w:right="0" w:firstLine="0"/>
        <w:jc w:val="left"/>
        <w:rPr>
          <w:b/>
          <w:i/>
          <w:sz w:val="22"/>
        </w:rPr>
      </w:pPr>
      <w:r>
        <w:rPr>
          <w:b/>
          <w:i/>
          <w:sz w:val="22"/>
        </w:rPr>
        <w:t>Source:</w:t>
      </w:r>
      <w:r>
        <w:rPr>
          <w:b/>
          <w:i/>
          <w:spacing w:val="-5"/>
          <w:sz w:val="22"/>
        </w:rPr>
        <w:t> </w:t>
      </w:r>
      <w:r>
        <w:rPr>
          <w:b/>
          <w:i/>
          <w:sz w:val="22"/>
        </w:rPr>
        <w:t>National</w:t>
      </w:r>
      <w:r>
        <w:rPr>
          <w:b/>
          <w:i/>
          <w:spacing w:val="-3"/>
          <w:sz w:val="22"/>
        </w:rPr>
        <w:t> </w:t>
      </w:r>
      <w:r>
        <w:rPr>
          <w:b/>
          <w:i/>
          <w:sz w:val="22"/>
        </w:rPr>
        <w:t>Space</w:t>
      </w:r>
      <w:r>
        <w:rPr>
          <w:b/>
          <w:i/>
          <w:spacing w:val="-4"/>
          <w:sz w:val="22"/>
        </w:rPr>
        <w:t> </w:t>
      </w:r>
      <w:r>
        <w:rPr>
          <w:b/>
          <w:i/>
          <w:sz w:val="22"/>
        </w:rPr>
        <w:t>Research</w:t>
      </w:r>
      <w:r>
        <w:rPr>
          <w:b/>
          <w:i/>
          <w:spacing w:val="-7"/>
          <w:sz w:val="22"/>
        </w:rPr>
        <w:t> </w:t>
      </w:r>
      <w:r>
        <w:rPr>
          <w:b/>
          <w:i/>
          <w:sz w:val="22"/>
        </w:rPr>
        <w:t>and</w:t>
      </w:r>
      <w:r>
        <w:rPr>
          <w:b/>
          <w:i/>
          <w:spacing w:val="-4"/>
          <w:sz w:val="22"/>
        </w:rPr>
        <w:t> </w:t>
      </w:r>
      <w:r>
        <w:rPr>
          <w:b/>
          <w:i/>
          <w:sz w:val="22"/>
        </w:rPr>
        <w:t>Development</w:t>
      </w:r>
      <w:r>
        <w:rPr>
          <w:b/>
          <w:i/>
          <w:spacing w:val="-3"/>
          <w:sz w:val="22"/>
        </w:rPr>
        <w:t> </w:t>
      </w:r>
      <w:r>
        <w:rPr>
          <w:b/>
          <w:i/>
          <w:sz w:val="22"/>
        </w:rPr>
        <w:t>Agency</w:t>
      </w:r>
      <w:r>
        <w:rPr>
          <w:b/>
          <w:i/>
          <w:spacing w:val="-6"/>
          <w:sz w:val="22"/>
        </w:rPr>
        <w:t> </w:t>
      </w:r>
      <w:r>
        <w:rPr>
          <w:b/>
          <w:i/>
          <w:spacing w:val="-2"/>
          <w:sz w:val="22"/>
        </w:rPr>
        <w:t>(2013)</w:t>
      </w:r>
    </w:p>
    <w:p>
      <w:pPr>
        <w:spacing w:before="17"/>
        <w:ind w:left="6480" w:right="0" w:firstLine="0"/>
        <w:jc w:val="left"/>
        <w:rPr>
          <w:rFonts w:ascii="Calibri"/>
          <w:b/>
          <w:sz w:val="22"/>
        </w:rPr>
      </w:pPr>
      <w:r>
        <w:rPr>
          <w:rFonts w:ascii="Calibri"/>
          <w:b/>
          <w:spacing w:val="-5"/>
          <w:sz w:val="22"/>
        </w:rPr>
        <w:t>KEY</w:t>
      </w:r>
    </w:p>
    <w:p>
      <w:pPr>
        <w:spacing w:before="235"/>
        <w:ind w:left="6480" w:right="0" w:firstLine="0"/>
        <w:jc w:val="left"/>
        <w:rPr>
          <w:rFonts w:ascii="Calibri"/>
          <w:sz w:val="22"/>
        </w:rPr>
      </w:pPr>
      <w:r>
        <w:rPr>
          <w:rFonts w:ascii="Calibri"/>
          <w:sz w:val="22"/>
        </w:rPr>
        <w:t>Study</w:t>
      </w:r>
      <w:r>
        <w:rPr>
          <w:rFonts w:ascii="Calibri"/>
          <w:spacing w:val="-10"/>
          <w:sz w:val="22"/>
        </w:rPr>
        <w:t> </w:t>
      </w:r>
      <w:r>
        <w:rPr>
          <w:rFonts w:ascii="Calibri"/>
          <w:spacing w:val="-4"/>
          <w:sz w:val="22"/>
        </w:rPr>
        <w:t>Area</w:t>
      </w:r>
    </w:p>
    <w:p>
      <w:pPr>
        <w:pStyle w:val="BodyText"/>
        <w:spacing w:before="228"/>
        <w:rPr>
          <w:rFonts w:ascii="Calibri"/>
        </w:rPr>
      </w:pPr>
    </w:p>
    <w:p>
      <w:pPr>
        <w:pStyle w:val="BodyText"/>
        <w:ind w:left="480"/>
      </w:pPr>
      <w:r>
        <w:rPr>
          <w:b/>
        </w:rPr>
        <w:t>Figure</w:t>
      </w:r>
      <w:r>
        <w:rPr>
          <w:b/>
          <w:spacing w:val="-2"/>
        </w:rPr>
        <w:t> </w:t>
      </w:r>
      <w:r>
        <w:rPr>
          <w:b/>
        </w:rPr>
        <w:t>1.1</w:t>
      </w:r>
      <w:r>
        <w:rPr/>
        <w:t>. Map</w:t>
      </w:r>
      <w:r>
        <w:rPr>
          <w:spacing w:val="-1"/>
        </w:rPr>
        <w:t> </w:t>
      </w:r>
      <w:r>
        <w:rPr/>
        <w:t>of Nigeria, showing</w:t>
      </w:r>
      <w:r>
        <w:rPr>
          <w:spacing w:val="-4"/>
        </w:rPr>
        <w:t> </w:t>
      </w:r>
      <w:r>
        <w:rPr/>
        <w:t>Anambra State</w:t>
      </w:r>
      <w:r>
        <w:rPr>
          <w:spacing w:val="-1"/>
        </w:rPr>
        <w:t> </w:t>
      </w:r>
      <w:r>
        <w:rPr/>
        <w:t>(Study</w:t>
      </w:r>
      <w:r>
        <w:rPr>
          <w:spacing w:val="-5"/>
        </w:rPr>
        <w:t> </w:t>
      </w:r>
      <w:r>
        <w:rPr>
          <w:spacing w:val="-2"/>
        </w:rPr>
        <w:t>Area)</w:t>
      </w:r>
    </w:p>
    <w:p>
      <w:pPr>
        <w:pStyle w:val="BodyText"/>
        <w:spacing w:before="41"/>
        <w:ind w:left="420"/>
      </w:pPr>
      <w:r>
        <w:rPr>
          <w:b/>
        </w:rPr>
        <w:t>Source:</w:t>
      </w:r>
      <w:r>
        <w:rPr>
          <w:b/>
          <w:spacing w:val="-4"/>
        </w:rPr>
        <w:t> </w:t>
      </w:r>
      <w:r>
        <w:rPr/>
        <w:t>National</w:t>
      </w:r>
      <w:r>
        <w:rPr>
          <w:spacing w:val="-2"/>
        </w:rPr>
        <w:t> </w:t>
      </w:r>
      <w:r>
        <w:rPr/>
        <w:t>Space</w:t>
      </w:r>
      <w:r>
        <w:rPr>
          <w:spacing w:val="-2"/>
        </w:rPr>
        <w:t> </w:t>
      </w:r>
      <w:r>
        <w:rPr/>
        <w:t>Research</w:t>
      </w:r>
      <w:r>
        <w:rPr>
          <w:spacing w:val="-1"/>
        </w:rPr>
        <w:t> </w:t>
      </w:r>
      <w:r>
        <w:rPr/>
        <w:t>and</w:t>
      </w:r>
      <w:r>
        <w:rPr>
          <w:spacing w:val="-1"/>
        </w:rPr>
        <w:t> </w:t>
      </w:r>
      <w:r>
        <w:rPr/>
        <w:t>Development</w:t>
      </w:r>
      <w:r>
        <w:rPr>
          <w:spacing w:val="-1"/>
        </w:rPr>
        <w:t> </w:t>
      </w:r>
      <w:r>
        <w:rPr/>
        <w:t>Agency</w:t>
      </w:r>
      <w:r>
        <w:rPr>
          <w:spacing w:val="-5"/>
        </w:rPr>
        <w:t> </w:t>
      </w:r>
      <w:r>
        <w:rPr>
          <w:spacing w:val="-2"/>
        </w:rPr>
        <w:t>(2013).</w:t>
      </w:r>
    </w:p>
    <w:p>
      <w:pPr>
        <w:spacing w:after="0"/>
        <w:sectPr>
          <w:pgSz w:w="12240" w:h="15840"/>
          <w:pgMar w:header="0" w:footer="1036" w:top="1480" w:bottom="1220" w:left="1200" w:right="600"/>
        </w:sectPr>
      </w:pPr>
    </w:p>
    <w:p>
      <w:pPr>
        <w:pStyle w:val="BodyText"/>
        <w:ind w:left="445"/>
        <w:rPr>
          <w:sz w:val="20"/>
        </w:rPr>
      </w:pPr>
      <w:r>
        <w:rPr>
          <w:sz w:val="20"/>
        </w:rPr>
        <mc:AlternateContent>
          <mc:Choice Requires="wps">
            <w:drawing>
              <wp:inline distT="0" distB="0" distL="0" distR="0">
                <wp:extent cx="5615305" cy="6359525"/>
                <wp:effectExtent l="0" t="0" r="0" b="3175"/>
                <wp:docPr id="13" name="Group 13" descr="C:\Users\ADEBOBOYE\Desktop\referee letter\GOSPEL 2\ade\pgd project\PGd Project\Anambra adm map project 4.jpg"/>
                <wp:cNvGraphicFramePr>
                  <a:graphicFrameLocks/>
                </wp:cNvGraphicFramePr>
                <a:graphic>
                  <a:graphicData uri="http://schemas.microsoft.com/office/word/2010/wordprocessingGroup">
                    <wpg:wgp>
                      <wpg:cNvPr id="13" name="Group 13" descr="C:\Users\ADEBOBOYE\Desktop\referee letter\GOSPEL 2\ade\pgd project\PGd Project\Anambra adm map project 4.jpg"/>
                      <wpg:cNvGrpSpPr/>
                      <wpg:grpSpPr>
                        <a:xfrm>
                          <a:off x="0" y="0"/>
                          <a:ext cx="5615305" cy="6359525"/>
                          <a:chExt cx="5615305" cy="6359525"/>
                        </a:xfrm>
                      </wpg:grpSpPr>
                      <pic:pic>
                        <pic:nvPicPr>
                          <pic:cNvPr id="14" name="Image 14" descr="C:\Users\ADEBOBOYE\Desktop\referee letter\GOSPEL 2\ade\pgd project\PGd Project\Anambra adm map project 4.jpg"/>
                          <pic:cNvPicPr/>
                        </pic:nvPicPr>
                        <pic:blipFill>
                          <a:blip r:embed="rId22" cstate="print"/>
                          <a:stretch>
                            <a:fillRect/>
                          </a:stretch>
                        </pic:blipFill>
                        <pic:spPr>
                          <a:xfrm>
                            <a:off x="0" y="0"/>
                            <a:ext cx="5615251" cy="6358935"/>
                          </a:xfrm>
                          <a:prstGeom prst="rect">
                            <a:avLst/>
                          </a:prstGeom>
                        </pic:spPr>
                      </pic:pic>
                      <wps:wsp>
                        <wps:cNvPr id="15" name="Graphic 15"/>
                        <wps:cNvSpPr/>
                        <wps:spPr>
                          <a:xfrm>
                            <a:off x="279161" y="5777865"/>
                            <a:ext cx="1697355" cy="488315"/>
                          </a:xfrm>
                          <a:custGeom>
                            <a:avLst/>
                            <a:gdLst/>
                            <a:ahLst/>
                            <a:cxnLst/>
                            <a:rect l="l" t="t" r="r" b="b"/>
                            <a:pathLst>
                              <a:path w="1697355" h="488315">
                                <a:moveTo>
                                  <a:pt x="1697355" y="0"/>
                                </a:moveTo>
                                <a:lnTo>
                                  <a:pt x="0" y="0"/>
                                </a:lnTo>
                                <a:lnTo>
                                  <a:pt x="0" y="488314"/>
                                </a:lnTo>
                                <a:lnTo>
                                  <a:pt x="1697355" y="488314"/>
                                </a:lnTo>
                                <a:lnTo>
                                  <a:pt x="1697355" y="0"/>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279161" y="5777865"/>
                            <a:ext cx="1697355" cy="488315"/>
                          </a:xfrm>
                          <a:custGeom>
                            <a:avLst/>
                            <a:gdLst/>
                            <a:ahLst/>
                            <a:cxnLst/>
                            <a:rect l="l" t="t" r="r" b="b"/>
                            <a:pathLst>
                              <a:path w="1697355" h="488315">
                                <a:moveTo>
                                  <a:pt x="0" y="488314"/>
                                </a:moveTo>
                                <a:lnTo>
                                  <a:pt x="1697355" y="488314"/>
                                </a:lnTo>
                                <a:lnTo>
                                  <a:pt x="1697355" y="0"/>
                                </a:lnTo>
                                <a:lnTo>
                                  <a:pt x="0" y="0"/>
                                </a:lnTo>
                                <a:lnTo>
                                  <a:pt x="0" y="488314"/>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style="width:442.15pt;height:500.75pt;mso-position-horizontal-relative:char;mso-position-vertical-relative:line" id="docshapegroup13" coordorigin="0,0" coordsize="8843,10015" alt="C:\Users\ADEBOBOYE\Desktop\referee letter\GOSPEL 2\ade\pgd project\PGd Project\Anambra adm map project 4.jpg">
                <v:shape style="position:absolute;left:0;top:0;width:8843;height:10015" type="#_x0000_t75" id="docshape14" alt="C:\Users\ADEBOBOYE\Desktop\referee letter\GOSPEL 2\ade\pgd project\PGd Project\Anambra adm map project 4.jpg" stroked="false">
                  <v:imagedata r:id="rId22" o:title=""/>
                </v:shape>
                <v:rect style="position:absolute;left:439;top:9099;width:2673;height:769" id="docshape15" filled="true" fillcolor="#ffffff" stroked="false">
                  <v:fill type="solid"/>
                </v:rect>
                <v:rect style="position:absolute;left:439;top:9099;width:2673;height:769" id="docshape16" filled="false" stroked="true" strokeweight=".75pt" strokecolor="#ffffff">
                  <v:stroke dashstyle="solid"/>
                </v:rect>
              </v:group>
            </w:pict>
          </mc:Fallback>
        </mc:AlternateContent>
      </w:r>
      <w:r>
        <w:rPr>
          <w:sz w:val="20"/>
        </w:rPr>
      </w:r>
    </w:p>
    <w:p>
      <w:pPr>
        <w:pStyle w:val="BodyText"/>
      </w:pPr>
    </w:p>
    <w:p>
      <w:pPr>
        <w:pStyle w:val="BodyText"/>
      </w:pPr>
    </w:p>
    <w:p>
      <w:pPr>
        <w:pStyle w:val="BodyText"/>
        <w:spacing w:before="91"/>
      </w:pPr>
    </w:p>
    <w:p>
      <w:pPr>
        <w:spacing w:before="0"/>
        <w:ind w:left="240" w:right="0" w:firstLine="0"/>
        <w:jc w:val="left"/>
        <w:rPr>
          <w:sz w:val="24"/>
        </w:rPr>
      </w:pPr>
      <w:r>
        <w:rPr>
          <w:b/>
          <w:sz w:val="24"/>
        </w:rPr>
        <w:t>Figure</w:t>
      </w:r>
      <w:r>
        <w:rPr>
          <w:b/>
          <w:spacing w:val="-1"/>
          <w:sz w:val="24"/>
        </w:rPr>
        <w:t> </w:t>
      </w:r>
      <w:r>
        <w:rPr>
          <w:b/>
          <w:sz w:val="24"/>
        </w:rPr>
        <w:t>1.2. </w:t>
      </w:r>
      <w:r>
        <w:rPr>
          <w:sz w:val="24"/>
        </w:rPr>
        <w:t>Map of Anambra</w:t>
      </w:r>
      <w:r>
        <w:rPr>
          <w:spacing w:val="-2"/>
          <w:sz w:val="24"/>
        </w:rPr>
        <w:t> </w:t>
      </w:r>
      <w:r>
        <w:rPr>
          <w:sz w:val="24"/>
        </w:rPr>
        <w:t>State</w:t>
      </w:r>
      <w:r>
        <w:rPr>
          <w:spacing w:val="-1"/>
          <w:sz w:val="24"/>
        </w:rPr>
        <w:t> </w:t>
      </w:r>
      <w:r>
        <w:rPr>
          <w:sz w:val="24"/>
        </w:rPr>
        <w:t>(Study</w:t>
      </w:r>
      <w:r>
        <w:rPr>
          <w:spacing w:val="-5"/>
          <w:sz w:val="24"/>
        </w:rPr>
        <w:t> </w:t>
      </w:r>
      <w:r>
        <w:rPr>
          <w:spacing w:val="-4"/>
          <w:sz w:val="24"/>
        </w:rPr>
        <w:t>Area)</w:t>
      </w:r>
    </w:p>
    <w:p>
      <w:pPr>
        <w:pStyle w:val="BodyText"/>
        <w:ind w:left="240" w:right="840"/>
      </w:pPr>
      <w:r>
        <w:rPr>
          <w:b/>
        </w:rPr>
        <w:t>Source:</w:t>
      </w:r>
      <w:r>
        <w:rPr>
          <w:b/>
          <w:spacing w:val="40"/>
        </w:rPr>
        <w:t> </w:t>
      </w:r>
      <w:r>
        <w:rPr/>
        <w:t>Department</w:t>
      </w:r>
      <w:r>
        <w:rPr>
          <w:spacing w:val="40"/>
        </w:rPr>
        <w:t> </w:t>
      </w:r>
      <w:r>
        <w:rPr/>
        <w:t>of</w:t>
      </w:r>
      <w:r>
        <w:rPr>
          <w:spacing w:val="40"/>
        </w:rPr>
        <w:t> </w:t>
      </w:r>
      <w:r>
        <w:rPr/>
        <w:t>Surveying</w:t>
      </w:r>
      <w:r>
        <w:rPr>
          <w:spacing w:val="40"/>
        </w:rPr>
        <w:t> </w:t>
      </w:r>
      <w:r>
        <w:rPr/>
        <w:t>and</w:t>
      </w:r>
      <w:r>
        <w:rPr>
          <w:spacing w:val="40"/>
        </w:rPr>
        <w:t> </w:t>
      </w:r>
      <w:r>
        <w:rPr/>
        <w:t>Geo-informatics,</w:t>
      </w:r>
      <w:r>
        <w:rPr>
          <w:spacing w:val="40"/>
        </w:rPr>
        <w:t> </w:t>
      </w:r>
      <w:r>
        <w:rPr/>
        <w:t>Nnamdi</w:t>
      </w:r>
      <w:r>
        <w:rPr>
          <w:spacing w:val="40"/>
        </w:rPr>
        <w:t> </w:t>
      </w:r>
      <w:r>
        <w:rPr/>
        <w:t>Azikiwe</w:t>
      </w:r>
      <w:r>
        <w:rPr>
          <w:spacing w:val="40"/>
        </w:rPr>
        <w:t> </w:t>
      </w:r>
      <w:r>
        <w:rPr/>
        <w:t>University,</w:t>
      </w:r>
      <w:r>
        <w:rPr>
          <w:spacing w:val="40"/>
        </w:rPr>
        <w:t> </w:t>
      </w:r>
      <w:r>
        <w:rPr/>
        <w:t>Awka </w:t>
      </w:r>
      <w:r>
        <w:rPr>
          <w:spacing w:val="-2"/>
        </w:rPr>
        <w:t>(2015).</w:t>
      </w:r>
    </w:p>
    <w:p>
      <w:pPr>
        <w:spacing w:after="0"/>
        <w:sectPr>
          <w:pgSz w:w="12240" w:h="15840"/>
          <w:pgMar w:header="0" w:footer="1036" w:top="1440" w:bottom="1220" w:left="1200" w:right="600"/>
        </w:sectPr>
      </w:pPr>
    </w:p>
    <w:p>
      <w:pPr>
        <w:pStyle w:val="Heading1"/>
        <w:ind w:right="597"/>
      </w:pPr>
      <w:r>
        <w:rPr/>
        <w:t>CHAPTER</w:t>
      </w:r>
      <w:r>
        <w:rPr>
          <w:spacing w:val="-8"/>
        </w:rPr>
        <w:t> </w:t>
      </w:r>
      <w:r>
        <w:rPr>
          <w:spacing w:val="-5"/>
        </w:rPr>
        <w:t>TWO</w:t>
      </w:r>
    </w:p>
    <w:p>
      <w:pPr>
        <w:pStyle w:val="Heading2"/>
        <w:ind w:right="597"/>
      </w:pPr>
      <w:r>
        <w:rPr/>
        <w:t>THEORETICAL</w:t>
      </w:r>
      <w:r>
        <w:rPr>
          <w:spacing w:val="-13"/>
        </w:rPr>
        <w:t> </w:t>
      </w:r>
      <w:r>
        <w:rPr/>
        <w:t>AND</w:t>
      </w:r>
      <w:r>
        <w:rPr>
          <w:spacing w:val="-12"/>
        </w:rPr>
        <w:t> </w:t>
      </w:r>
      <w:r>
        <w:rPr/>
        <w:t>CONCEPTUAL</w:t>
      </w:r>
      <w:r>
        <w:rPr>
          <w:spacing w:val="-13"/>
        </w:rPr>
        <w:t> </w:t>
      </w:r>
      <w:r>
        <w:rPr>
          <w:spacing w:val="-2"/>
        </w:rPr>
        <w:t>FRAMEWORK</w:t>
      </w:r>
    </w:p>
    <w:p>
      <w:pPr>
        <w:pStyle w:val="BodyText"/>
        <w:spacing w:before="280"/>
        <w:rPr>
          <w:b/>
          <w:sz w:val="26"/>
        </w:rPr>
      </w:pPr>
    </w:p>
    <w:p>
      <w:pPr>
        <w:pStyle w:val="Heading3"/>
        <w:numPr>
          <w:ilvl w:val="1"/>
          <w:numId w:val="3"/>
        </w:numPr>
        <w:tabs>
          <w:tab w:pos="693" w:val="left" w:leader="none"/>
        </w:tabs>
        <w:spacing w:line="240" w:lineRule="auto" w:before="1" w:after="0"/>
        <w:ind w:left="693" w:right="0" w:hanging="388"/>
        <w:jc w:val="both"/>
      </w:pPr>
      <w:r>
        <w:rPr/>
        <w:t>Location</w:t>
      </w:r>
      <w:r>
        <w:rPr>
          <w:spacing w:val="-7"/>
        </w:rPr>
        <w:t> </w:t>
      </w:r>
      <w:r>
        <w:rPr/>
        <w:t>of</w:t>
      </w:r>
      <w:r>
        <w:rPr>
          <w:spacing w:val="-7"/>
        </w:rPr>
        <w:t> </w:t>
      </w:r>
      <w:r>
        <w:rPr/>
        <w:t>the</w:t>
      </w:r>
      <w:r>
        <w:rPr>
          <w:spacing w:val="-5"/>
        </w:rPr>
        <w:t> </w:t>
      </w:r>
      <w:r>
        <w:rPr/>
        <w:t>Theoretical</w:t>
      </w:r>
      <w:r>
        <w:rPr>
          <w:spacing w:val="-7"/>
        </w:rPr>
        <w:t> </w:t>
      </w:r>
      <w:r>
        <w:rPr>
          <w:spacing w:val="-2"/>
        </w:rPr>
        <w:t>Framework</w:t>
      </w:r>
    </w:p>
    <w:p>
      <w:pPr>
        <w:pStyle w:val="BodyText"/>
        <w:spacing w:line="360" w:lineRule="auto" w:before="144"/>
        <w:ind w:left="298" w:right="836"/>
        <w:jc w:val="both"/>
      </w:pPr>
      <w:r>
        <w:rPr/>
        <w:t>Public budgeting emerged as a result of the search for a procedure which the public sector can use to get priorities projects competing for limited resources. The overall aim of budgeting for housing infrastructure is for financial planning, control and monitoring housing development or housing construction projects. The result of this process has led to a better understanding of government‘s financial decision and commitment in ensuring quality, affordable and available housing for the citizens. Housing budget performance therefore finds expression within the ambit of public budgeting, housing and citizen participation.</w:t>
      </w:r>
    </w:p>
    <w:p>
      <w:pPr>
        <w:pStyle w:val="BodyText"/>
        <w:spacing w:before="160"/>
      </w:pPr>
    </w:p>
    <w:p>
      <w:pPr>
        <w:pStyle w:val="BodyText"/>
        <w:spacing w:line="360" w:lineRule="auto" w:before="1"/>
        <w:ind w:left="240" w:right="836"/>
        <w:jc w:val="both"/>
      </w:pPr>
      <w:r>
        <w:rPr/>
        <w:t>These fields of research are undoubtedly important for the planning, budgeting, construction, management and delivery of housing facilities for citizens of any locality. For instance, public budgeting provides the financial plan or how the available financial resources will be expended or allocated efficiently and effectively to housing facilities for the citizens, while knowledge of housing needs and priorities of the citizens informs the amount to be budgeted.</w:t>
      </w:r>
      <w:r>
        <w:rPr>
          <w:spacing w:val="80"/>
        </w:rPr>
        <w:t> </w:t>
      </w:r>
      <w:r>
        <w:rPr/>
        <w:t>Thus, an essential tool for effective public budgeting</w:t>
      </w:r>
      <w:r>
        <w:rPr>
          <w:spacing w:val="-1"/>
        </w:rPr>
        <w:t> </w:t>
      </w:r>
      <w:r>
        <w:rPr/>
        <w:t>for housing is citizen participation.</w:t>
      </w:r>
      <w:r>
        <w:rPr>
          <w:spacing w:val="40"/>
        </w:rPr>
        <w:t> </w:t>
      </w:r>
      <w:r>
        <w:rPr/>
        <w:t>When the public budgeting process/decisions lacks reliable and comparable data on citizen housing needs and priorities, then</w:t>
      </w:r>
      <w:r>
        <w:rPr>
          <w:spacing w:val="40"/>
        </w:rPr>
        <w:t> </w:t>
      </w:r>
      <w:r>
        <w:rPr/>
        <w:t>the</w:t>
      </w:r>
      <w:r>
        <w:rPr>
          <w:spacing w:val="40"/>
        </w:rPr>
        <w:t> </w:t>
      </w:r>
      <w:r>
        <w:rPr/>
        <w:t>ability</w:t>
      </w:r>
      <w:r>
        <w:rPr>
          <w:spacing w:val="40"/>
        </w:rPr>
        <w:t> </w:t>
      </w:r>
      <w:r>
        <w:rPr/>
        <w:t>to make housing budgetary decisions is impaired and this further increases</w:t>
      </w:r>
      <w:r>
        <w:rPr>
          <w:spacing w:val="-2"/>
        </w:rPr>
        <w:t> </w:t>
      </w:r>
      <w:r>
        <w:rPr/>
        <w:t>the</w:t>
      </w:r>
      <w:r>
        <w:rPr>
          <w:spacing w:val="-2"/>
        </w:rPr>
        <w:t> </w:t>
      </w:r>
      <w:r>
        <w:rPr/>
        <w:t>dearth</w:t>
      </w:r>
      <w:r>
        <w:rPr>
          <w:spacing w:val="-2"/>
        </w:rPr>
        <w:t> </w:t>
      </w:r>
      <w:r>
        <w:rPr/>
        <w:t>of</w:t>
      </w:r>
      <w:r>
        <w:rPr>
          <w:spacing w:val="-2"/>
        </w:rPr>
        <w:t> </w:t>
      </w:r>
      <w:r>
        <w:rPr/>
        <w:t>housing</w:t>
      </w:r>
      <w:r>
        <w:rPr>
          <w:spacing w:val="-4"/>
        </w:rPr>
        <w:t> </w:t>
      </w:r>
      <w:r>
        <w:rPr/>
        <w:t>facilities. In</w:t>
      </w:r>
      <w:r>
        <w:rPr>
          <w:spacing w:val="-2"/>
        </w:rPr>
        <w:t> </w:t>
      </w:r>
      <w:r>
        <w:rPr/>
        <w:t>other</w:t>
      </w:r>
      <w:r>
        <w:rPr>
          <w:spacing w:val="-1"/>
        </w:rPr>
        <w:t> </w:t>
      </w:r>
      <w:r>
        <w:rPr/>
        <w:t>words,</w:t>
      </w:r>
      <w:r>
        <w:rPr>
          <w:spacing w:val="-2"/>
        </w:rPr>
        <w:t> </w:t>
      </w:r>
      <w:r>
        <w:rPr/>
        <w:t>the</w:t>
      </w:r>
      <w:r>
        <w:rPr>
          <w:spacing w:val="-3"/>
        </w:rPr>
        <w:t> </w:t>
      </w:r>
      <w:r>
        <w:rPr/>
        <w:t>housing</w:t>
      </w:r>
      <w:r>
        <w:rPr>
          <w:spacing w:val="-4"/>
        </w:rPr>
        <w:t> </w:t>
      </w:r>
      <w:r>
        <w:rPr/>
        <w:t>budget</w:t>
      </w:r>
      <w:r>
        <w:rPr>
          <w:spacing w:val="-2"/>
        </w:rPr>
        <w:t> </w:t>
      </w:r>
      <w:r>
        <w:rPr/>
        <w:t>has</w:t>
      </w:r>
      <w:r>
        <w:rPr>
          <w:spacing w:val="-2"/>
        </w:rPr>
        <w:t> </w:t>
      </w:r>
      <w:r>
        <w:rPr/>
        <w:t>failed</w:t>
      </w:r>
      <w:r>
        <w:rPr>
          <w:spacing w:val="-2"/>
        </w:rPr>
        <w:t> </w:t>
      </w:r>
      <w:r>
        <w:rPr/>
        <w:t>to achieve its</w:t>
      </w:r>
      <w:r>
        <w:rPr>
          <w:spacing w:val="-3"/>
        </w:rPr>
        <w:t> </w:t>
      </w:r>
      <w:r>
        <w:rPr/>
        <w:t>expected</w:t>
      </w:r>
      <w:r>
        <w:rPr>
          <w:spacing w:val="-3"/>
        </w:rPr>
        <w:t> </w:t>
      </w:r>
      <w:r>
        <w:rPr/>
        <w:t>performance in</w:t>
      </w:r>
      <w:r>
        <w:rPr>
          <w:spacing w:val="-3"/>
        </w:rPr>
        <w:t> </w:t>
      </w:r>
      <w:r>
        <w:rPr/>
        <w:t>addressing</w:t>
      </w:r>
      <w:r>
        <w:rPr>
          <w:spacing w:val="-3"/>
        </w:rPr>
        <w:t> </w:t>
      </w:r>
      <w:r>
        <w:rPr/>
        <w:t>the</w:t>
      </w:r>
      <w:r>
        <w:rPr>
          <w:spacing w:val="-2"/>
        </w:rPr>
        <w:t> </w:t>
      </w:r>
      <w:r>
        <w:rPr/>
        <w:t>housing</w:t>
      </w:r>
      <w:r>
        <w:rPr>
          <w:spacing w:val="-5"/>
        </w:rPr>
        <w:t> </w:t>
      </w:r>
      <w:r>
        <w:rPr/>
        <w:t>need</w:t>
      </w:r>
      <w:r>
        <w:rPr>
          <w:spacing w:val="-1"/>
        </w:rPr>
        <w:t> </w:t>
      </w:r>
      <w:r>
        <w:rPr/>
        <w:t>of</w:t>
      </w:r>
      <w:r>
        <w:rPr>
          <w:spacing w:val="-2"/>
        </w:rPr>
        <w:t> </w:t>
      </w:r>
      <w:r>
        <w:rPr/>
        <w:t>the</w:t>
      </w:r>
      <w:r>
        <w:rPr>
          <w:spacing w:val="-2"/>
        </w:rPr>
        <w:t> </w:t>
      </w:r>
      <w:r>
        <w:rPr/>
        <w:t>citizenry.</w:t>
      </w:r>
      <w:r>
        <w:rPr>
          <w:spacing w:val="-1"/>
        </w:rPr>
        <w:t> </w:t>
      </w:r>
      <w:r>
        <w:rPr/>
        <w:t>From</w:t>
      </w:r>
      <w:r>
        <w:rPr>
          <w:spacing w:val="-3"/>
        </w:rPr>
        <w:t> </w:t>
      </w:r>
      <w:r>
        <w:rPr/>
        <w:t>the</w:t>
      </w:r>
      <w:r>
        <w:rPr>
          <w:spacing w:val="-2"/>
        </w:rPr>
        <w:t> </w:t>
      </w:r>
      <w:r>
        <w:rPr/>
        <w:t>foregoing,</w:t>
      </w:r>
      <w:r>
        <w:rPr>
          <w:spacing w:val="-1"/>
        </w:rPr>
        <w:t> </w:t>
      </w:r>
      <w:r>
        <w:rPr/>
        <w:t>the theoretical framework for this research lies at the intersection of public budgeting, housing and citizen participation. Figure 2.1 shows a graphical illustration of the location of the theoretical framework for this research.</w:t>
      </w:r>
    </w:p>
    <w:p>
      <w:pPr>
        <w:spacing w:after="0" w:line="360" w:lineRule="auto"/>
        <w:jc w:val="both"/>
        <w:sectPr>
          <w:pgSz w:w="12240" w:h="15840"/>
          <w:pgMar w:header="0" w:footer="1036" w:top="1360" w:bottom="1220" w:left="1200" w:right="600"/>
        </w:sectPr>
      </w:pPr>
    </w:p>
    <w:p>
      <w:pPr>
        <w:pStyle w:val="BodyText"/>
        <w:ind w:left="1867"/>
        <w:rPr>
          <w:sz w:val="20"/>
        </w:rPr>
      </w:pPr>
      <w:r>
        <w:rPr>
          <w:sz w:val="20"/>
        </w:rPr>
        <mc:AlternateContent>
          <mc:Choice Requires="wps">
            <w:drawing>
              <wp:inline distT="0" distB="0" distL="0" distR="0">
                <wp:extent cx="5007610" cy="2878455"/>
                <wp:effectExtent l="9525" t="0" r="0" b="7619"/>
                <wp:docPr id="17" name="Group 17"/>
                <wp:cNvGraphicFramePr>
                  <a:graphicFrameLocks/>
                </wp:cNvGraphicFramePr>
                <a:graphic>
                  <a:graphicData uri="http://schemas.microsoft.com/office/word/2010/wordprocessingGroup">
                    <wpg:wgp>
                      <wpg:cNvPr id="17" name="Group 17"/>
                      <wpg:cNvGrpSpPr/>
                      <wpg:grpSpPr>
                        <a:xfrm>
                          <a:off x="0" y="0"/>
                          <a:ext cx="5007610" cy="2878455"/>
                          <a:chExt cx="5007610" cy="2878455"/>
                        </a:xfrm>
                      </wpg:grpSpPr>
                      <wps:wsp>
                        <wps:cNvPr id="18" name="Graphic 18"/>
                        <wps:cNvSpPr/>
                        <wps:spPr>
                          <a:xfrm>
                            <a:off x="4762" y="4762"/>
                            <a:ext cx="3246755" cy="2647950"/>
                          </a:xfrm>
                          <a:custGeom>
                            <a:avLst/>
                            <a:gdLst/>
                            <a:ahLst/>
                            <a:cxnLst/>
                            <a:rect l="l" t="t" r="r" b="b"/>
                            <a:pathLst>
                              <a:path w="3246755" h="2647950">
                                <a:moveTo>
                                  <a:pt x="1550670" y="0"/>
                                </a:moveTo>
                                <a:lnTo>
                                  <a:pt x="1599264" y="1268"/>
                                </a:lnTo>
                                <a:lnTo>
                                  <a:pt x="1647197" y="5031"/>
                                </a:lnTo>
                                <a:lnTo>
                                  <a:pt x="1694408" y="11226"/>
                                </a:lnTo>
                                <a:lnTo>
                                  <a:pt x="1740831" y="19789"/>
                                </a:lnTo>
                                <a:lnTo>
                                  <a:pt x="1786404" y="30656"/>
                                </a:lnTo>
                                <a:lnTo>
                                  <a:pt x="1831064" y="43766"/>
                                </a:lnTo>
                                <a:lnTo>
                                  <a:pt x="1874748" y="59054"/>
                                </a:lnTo>
                                <a:lnTo>
                                  <a:pt x="1917391" y="76457"/>
                                </a:lnTo>
                                <a:lnTo>
                                  <a:pt x="1958931" y="95912"/>
                                </a:lnTo>
                                <a:lnTo>
                                  <a:pt x="1999305" y="117356"/>
                                </a:lnTo>
                                <a:lnTo>
                                  <a:pt x="2038450" y="140725"/>
                                </a:lnTo>
                                <a:lnTo>
                                  <a:pt x="2076301" y="165956"/>
                                </a:lnTo>
                                <a:lnTo>
                                  <a:pt x="2112797" y="192986"/>
                                </a:lnTo>
                                <a:lnTo>
                                  <a:pt x="2147873" y="221752"/>
                                </a:lnTo>
                                <a:lnTo>
                                  <a:pt x="2181466" y="252191"/>
                                </a:lnTo>
                                <a:lnTo>
                                  <a:pt x="2213513" y="284238"/>
                                </a:lnTo>
                                <a:lnTo>
                                  <a:pt x="2243952" y="317831"/>
                                </a:lnTo>
                                <a:lnTo>
                                  <a:pt x="2272718" y="352907"/>
                                </a:lnTo>
                                <a:lnTo>
                                  <a:pt x="2299748" y="389403"/>
                                </a:lnTo>
                                <a:lnTo>
                                  <a:pt x="2324979" y="427254"/>
                                </a:lnTo>
                                <a:lnTo>
                                  <a:pt x="2348348" y="466399"/>
                                </a:lnTo>
                                <a:lnTo>
                                  <a:pt x="2369792" y="506773"/>
                                </a:lnTo>
                                <a:lnTo>
                                  <a:pt x="2389247" y="548313"/>
                                </a:lnTo>
                                <a:lnTo>
                                  <a:pt x="2406650" y="590956"/>
                                </a:lnTo>
                                <a:lnTo>
                                  <a:pt x="2421938" y="634640"/>
                                </a:lnTo>
                                <a:lnTo>
                                  <a:pt x="2435048" y="679300"/>
                                </a:lnTo>
                                <a:lnTo>
                                  <a:pt x="2445915" y="724873"/>
                                </a:lnTo>
                                <a:lnTo>
                                  <a:pt x="2454478" y="771296"/>
                                </a:lnTo>
                                <a:lnTo>
                                  <a:pt x="2460673" y="818507"/>
                                </a:lnTo>
                                <a:lnTo>
                                  <a:pt x="2464436" y="866440"/>
                                </a:lnTo>
                                <a:lnTo>
                                  <a:pt x="2465704" y="915034"/>
                                </a:lnTo>
                                <a:lnTo>
                                  <a:pt x="2464436" y="963629"/>
                                </a:lnTo>
                                <a:lnTo>
                                  <a:pt x="2460673" y="1011562"/>
                                </a:lnTo>
                                <a:lnTo>
                                  <a:pt x="2454478" y="1058773"/>
                                </a:lnTo>
                                <a:lnTo>
                                  <a:pt x="2445915" y="1105196"/>
                                </a:lnTo>
                                <a:lnTo>
                                  <a:pt x="2435048" y="1150769"/>
                                </a:lnTo>
                                <a:lnTo>
                                  <a:pt x="2421938" y="1195429"/>
                                </a:lnTo>
                                <a:lnTo>
                                  <a:pt x="2406650" y="1239113"/>
                                </a:lnTo>
                                <a:lnTo>
                                  <a:pt x="2389247" y="1281756"/>
                                </a:lnTo>
                                <a:lnTo>
                                  <a:pt x="2369792" y="1323296"/>
                                </a:lnTo>
                                <a:lnTo>
                                  <a:pt x="2348348" y="1363670"/>
                                </a:lnTo>
                                <a:lnTo>
                                  <a:pt x="2324979" y="1402815"/>
                                </a:lnTo>
                                <a:lnTo>
                                  <a:pt x="2299748" y="1440666"/>
                                </a:lnTo>
                                <a:lnTo>
                                  <a:pt x="2272718" y="1477162"/>
                                </a:lnTo>
                                <a:lnTo>
                                  <a:pt x="2243952" y="1512238"/>
                                </a:lnTo>
                                <a:lnTo>
                                  <a:pt x="2213513" y="1545831"/>
                                </a:lnTo>
                                <a:lnTo>
                                  <a:pt x="2181466" y="1577878"/>
                                </a:lnTo>
                                <a:lnTo>
                                  <a:pt x="2147873" y="1608317"/>
                                </a:lnTo>
                                <a:lnTo>
                                  <a:pt x="2112797" y="1637083"/>
                                </a:lnTo>
                                <a:lnTo>
                                  <a:pt x="2076301" y="1664113"/>
                                </a:lnTo>
                                <a:lnTo>
                                  <a:pt x="2038450" y="1689344"/>
                                </a:lnTo>
                                <a:lnTo>
                                  <a:pt x="1999305" y="1712713"/>
                                </a:lnTo>
                                <a:lnTo>
                                  <a:pt x="1958931" y="1734157"/>
                                </a:lnTo>
                                <a:lnTo>
                                  <a:pt x="1917391" y="1753612"/>
                                </a:lnTo>
                                <a:lnTo>
                                  <a:pt x="1874748" y="1771015"/>
                                </a:lnTo>
                                <a:lnTo>
                                  <a:pt x="1831064" y="1786303"/>
                                </a:lnTo>
                                <a:lnTo>
                                  <a:pt x="1786404" y="1799413"/>
                                </a:lnTo>
                                <a:lnTo>
                                  <a:pt x="1740831" y="1810280"/>
                                </a:lnTo>
                                <a:lnTo>
                                  <a:pt x="1694408" y="1818843"/>
                                </a:lnTo>
                                <a:lnTo>
                                  <a:pt x="1647197" y="1825038"/>
                                </a:lnTo>
                                <a:lnTo>
                                  <a:pt x="1599264" y="1828801"/>
                                </a:lnTo>
                                <a:lnTo>
                                  <a:pt x="1550670" y="1830070"/>
                                </a:lnTo>
                                <a:lnTo>
                                  <a:pt x="1502075" y="1828801"/>
                                </a:lnTo>
                                <a:lnTo>
                                  <a:pt x="1454142" y="1825038"/>
                                </a:lnTo>
                                <a:lnTo>
                                  <a:pt x="1406931" y="1818843"/>
                                </a:lnTo>
                                <a:lnTo>
                                  <a:pt x="1360508" y="1810280"/>
                                </a:lnTo>
                                <a:lnTo>
                                  <a:pt x="1314935" y="1799413"/>
                                </a:lnTo>
                                <a:lnTo>
                                  <a:pt x="1270275" y="1786303"/>
                                </a:lnTo>
                                <a:lnTo>
                                  <a:pt x="1226591" y="1771015"/>
                                </a:lnTo>
                                <a:lnTo>
                                  <a:pt x="1183948" y="1753612"/>
                                </a:lnTo>
                                <a:lnTo>
                                  <a:pt x="1142408" y="1734157"/>
                                </a:lnTo>
                                <a:lnTo>
                                  <a:pt x="1102034" y="1712713"/>
                                </a:lnTo>
                                <a:lnTo>
                                  <a:pt x="1062889" y="1689344"/>
                                </a:lnTo>
                                <a:lnTo>
                                  <a:pt x="1025038" y="1664113"/>
                                </a:lnTo>
                                <a:lnTo>
                                  <a:pt x="988542" y="1637083"/>
                                </a:lnTo>
                                <a:lnTo>
                                  <a:pt x="953466" y="1608317"/>
                                </a:lnTo>
                                <a:lnTo>
                                  <a:pt x="919873" y="1577878"/>
                                </a:lnTo>
                                <a:lnTo>
                                  <a:pt x="887826" y="1545831"/>
                                </a:lnTo>
                                <a:lnTo>
                                  <a:pt x="857387" y="1512238"/>
                                </a:lnTo>
                                <a:lnTo>
                                  <a:pt x="828621" y="1477162"/>
                                </a:lnTo>
                                <a:lnTo>
                                  <a:pt x="801591" y="1440666"/>
                                </a:lnTo>
                                <a:lnTo>
                                  <a:pt x="776360" y="1402815"/>
                                </a:lnTo>
                                <a:lnTo>
                                  <a:pt x="752991" y="1363670"/>
                                </a:lnTo>
                                <a:lnTo>
                                  <a:pt x="731547" y="1323296"/>
                                </a:lnTo>
                                <a:lnTo>
                                  <a:pt x="712092" y="1281756"/>
                                </a:lnTo>
                                <a:lnTo>
                                  <a:pt x="694689" y="1239113"/>
                                </a:lnTo>
                                <a:lnTo>
                                  <a:pt x="679401" y="1195429"/>
                                </a:lnTo>
                                <a:lnTo>
                                  <a:pt x="666291" y="1150769"/>
                                </a:lnTo>
                                <a:lnTo>
                                  <a:pt x="655424" y="1105196"/>
                                </a:lnTo>
                                <a:lnTo>
                                  <a:pt x="646861" y="1058773"/>
                                </a:lnTo>
                                <a:lnTo>
                                  <a:pt x="640666" y="1011562"/>
                                </a:lnTo>
                                <a:lnTo>
                                  <a:pt x="636903" y="963629"/>
                                </a:lnTo>
                                <a:lnTo>
                                  <a:pt x="635635" y="915034"/>
                                </a:lnTo>
                                <a:lnTo>
                                  <a:pt x="636876" y="866983"/>
                                </a:lnTo>
                                <a:lnTo>
                                  <a:pt x="640558" y="819570"/>
                                </a:lnTo>
                                <a:lnTo>
                                  <a:pt x="646622" y="772856"/>
                                </a:lnTo>
                                <a:lnTo>
                                  <a:pt x="655005" y="726905"/>
                                </a:lnTo>
                                <a:lnTo>
                                  <a:pt x="665648" y="681778"/>
                                </a:lnTo>
                                <a:lnTo>
                                  <a:pt x="678489" y="637536"/>
                                </a:lnTo>
                                <a:lnTo>
                                  <a:pt x="693468" y="594241"/>
                                </a:lnTo>
                                <a:lnTo>
                                  <a:pt x="710523" y="551956"/>
                                </a:lnTo>
                                <a:lnTo>
                                  <a:pt x="729594" y="510741"/>
                                </a:lnTo>
                                <a:lnTo>
                                  <a:pt x="750620" y="470660"/>
                                </a:lnTo>
                                <a:lnTo>
                                  <a:pt x="773541" y="431773"/>
                                </a:lnTo>
                                <a:lnTo>
                                  <a:pt x="798295" y="394143"/>
                                </a:lnTo>
                                <a:lnTo>
                                  <a:pt x="824821" y="357831"/>
                                </a:lnTo>
                                <a:lnTo>
                                  <a:pt x="853059" y="322899"/>
                                </a:lnTo>
                                <a:lnTo>
                                  <a:pt x="882948" y="289409"/>
                                </a:lnTo>
                                <a:lnTo>
                                  <a:pt x="914427" y="257423"/>
                                </a:lnTo>
                                <a:lnTo>
                                  <a:pt x="947436" y="227002"/>
                                </a:lnTo>
                                <a:lnTo>
                                  <a:pt x="981913" y="198209"/>
                                </a:lnTo>
                                <a:lnTo>
                                  <a:pt x="1017797" y="171106"/>
                                </a:lnTo>
                                <a:lnTo>
                                  <a:pt x="1055028" y="145753"/>
                                </a:lnTo>
                                <a:lnTo>
                                  <a:pt x="1093545" y="122213"/>
                                </a:lnTo>
                                <a:lnTo>
                                  <a:pt x="1133288" y="100548"/>
                                </a:lnTo>
                                <a:lnTo>
                                  <a:pt x="1174195" y="80820"/>
                                </a:lnTo>
                                <a:lnTo>
                                  <a:pt x="1216205" y="63090"/>
                                </a:lnTo>
                                <a:lnTo>
                                  <a:pt x="1259258" y="47420"/>
                                </a:lnTo>
                                <a:lnTo>
                                  <a:pt x="1303292" y="33872"/>
                                </a:lnTo>
                                <a:lnTo>
                                  <a:pt x="1348248" y="22508"/>
                                </a:lnTo>
                                <a:lnTo>
                                  <a:pt x="1394064" y="13389"/>
                                </a:lnTo>
                                <a:lnTo>
                                  <a:pt x="1440679" y="6579"/>
                                </a:lnTo>
                                <a:lnTo>
                                  <a:pt x="1488033" y="2137"/>
                                </a:lnTo>
                                <a:lnTo>
                                  <a:pt x="1536064" y="126"/>
                                </a:lnTo>
                              </a:path>
                              <a:path w="3246755" h="2647950">
                                <a:moveTo>
                                  <a:pt x="913764" y="821690"/>
                                </a:moveTo>
                                <a:lnTo>
                                  <a:pt x="962297" y="822955"/>
                                </a:lnTo>
                                <a:lnTo>
                                  <a:pt x="1010170" y="826710"/>
                                </a:lnTo>
                                <a:lnTo>
                                  <a:pt x="1057319" y="832891"/>
                                </a:lnTo>
                                <a:lnTo>
                                  <a:pt x="1103682" y="841436"/>
                                </a:lnTo>
                                <a:lnTo>
                                  <a:pt x="1149195" y="852280"/>
                                </a:lnTo>
                                <a:lnTo>
                                  <a:pt x="1193795" y="865361"/>
                                </a:lnTo>
                                <a:lnTo>
                                  <a:pt x="1237420" y="880617"/>
                                </a:lnTo>
                                <a:lnTo>
                                  <a:pt x="1280005" y="897982"/>
                                </a:lnTo>
                                <a:lnTo>
                                  <a:pt x="1321489" y="917396"/>
                                </a:lnTo>
                                <a:lnTo>
                                  <a:pt x="1361807" y="938794"/>
                                </a:lnTo>
                                <a:lnTo>
                                  <a:pt x="1400897" y="962113"/>
                                </a:lnTo>
                                <a:lnTo>
                                  <a:pt x="1438696" y="987291"/>
                                </a:lnTo>
                                <a:lnTo>
                                  <a:pt x="1475140" y="1014264"/>
                                </a:lnTo>
                                <a:lnTo>
                                  <a:pt x="1510166" y="1042969"/>
                                </a:lnTo>
                                <a:lnTo>
                                  <a:pt x="1543711" y="1073342"/>
                                </a:lnTo>
                                <a:lnTo>
                                  <a:pt x="1575712" y="1105322"/>
                                </a:lnTo>
                                <a:lnTo>
                                  <a:pt x="1606107" y="1138845"/>
                                </a:lnTo>
                                <a:lnTo>
                                  <a:pt x="1634831" y="1173847"/>
                                </a:lnTo>
                                <a:lnTo>
                                  <a:pt x="1661821" y="1210266"/>
                                </a:lnTo>
                                <a:lnTo>
                                  <a:pt x="1687016" y="1248039"/>
                                </a:lnTo>
                                <a:lnTo>
                                  <a:pt x="1710350" y="1287102"/>
                                </a:lnTo>
                                <a:lnTo>
                                  <a:pt x="1731762" y="1327392"/>
                                </a:lnTo>
                                <a:lnTo>
                                  <a:pt x="1751188" y="1368846"/>
                                </a:lnTo>
                                <a:lnTo>
                                  <a:pt x="1768565" y="1411402"/>
                                </a:lnTo>
                                <a:lnTo>
                                  <a:pt x="1783830" y="1454995"/>
                                </a:lnTo>
                                <a:lnTo>
                                  <a:pt x="1796920" y="1499563"/>
                                </a:lnTo>
                                <a:lnTo>
                                  <a:pt x="1807771" y="1545043"/>
                                </a:lnTo>
                                <a:lnTo>
                                  <a:pt x="1816321" y="1591372"/>
                                </a:lnTo>
                                <a:lnTo>
                                  <a:pt x="1822506" y="1638486"/>
                                </a:lnTo>
                                <a:lnTo>
                                  <a:pt x="1826263" y="1686323"/>
                                </a:lnTo>
                                <a:lnTo>
                                  <a:pt x="1827529" y="1734820"/>
                                </a:lnTo>
                                <a:lnTo>
                                  <a:pt x="1826263" y="1783316"/>
                                </a:lnTo>
                                <a:lnTo>
                                  <a:pt x="1822506" y="1831153"/>
                                </a:lnTo>
                                <a:lnTo>
                                  <a:pt x="1816321" y="1878267"/>
                                </a:lnTo>
                                <a:lnTo>
                                  <a:pt x="1807771" y="1924596"/>
                                </a:lnTo>
                                <a:lnTo>
                                  <a:pt x="1796920" y="1970076"/>
                                </a:lnTo>
                                <a:lnTo>
                                  <a:pt x="1783830" y="2014644"/>
                                </a:lnTo>
                                <a:lnTo>
                                  <a:pt x="1768565" y="2058237"/>
                                </a:lnTo>
                                <a:lnTo>
                                  <a:pt x="1751188" y="2100793"/>
                                </a:lnTo>
                                <a:lnTo>
                                  <a:pt x="1731762" y="2142247"/>
                                </a:lnTo>
                                <a:lnTo>
                                  <a:pt x="1710350" y="2182537"/>
                                </a:lnTo>
                                <a:lnTo>
                                  <a:pt x="1687016" y="2221600"/>
                                </a:lnTo>
                                <a:lnTo>
                                  <a:pt x="1661821" y="2259373"/>
                                </a:lnTo>
                                <a:lnTo>
                                  <a:pt x="1634831" y="2295792"/>
                                </a:lnTo>
                                <a:lnTo>
                                  <a:pt x="1606107" y="2330794"/>
                                </a:lnTo>
                                <a:lnTo>
                                  <a:pt x="1575712" y="2364317"/>
                                </a:lnTo>
                                <a:lnTo>
                                  <a:pt x="1543711" y="2396297"/>
                                </a:lnTo>
                                <a:lnTo>
                                  <a:pt x="1510166" y="2426670"/>
                                </a:lnTo>
                                <a:lnTo>
                                  <a:pt x="1475140" y="2455375"/>
                                </a:lnTo>
                                <a:lnTo>
                                  <a:pt x="1438696" y="2482348"/>
                                </a:lnTo>
                                <a:lnTo>
                                  <a:pt x="1400897" y="2507526"/>
                                </a:lnTo>
                                <a:lnTo>
                                  <a:pt x="1361807" y="2530845"/>
                                </a:lnTo>
                                <a:lnTo>
                                  <a:pt x="1321489" y="2552243"/>
                                </a:lnTo>
                                <a:lnTo>
                                  <a:pt x="1280005" y="2571657"/>
                                </a:lnTo>
                                <a:lnTo>
                                  <a:pt x="1237420" y="2589022"/>
                                </a:lnTo>
                                <a:lnTo>
                                  <a:pt x="1193795" y="2604278"/>
                                </a:lnTo>
                                <a:lnTo>
                                  <a:pt x="1149195" y="2617359"/>
                                </a:lnTo>
                                <a:lnTo>
                                  <a:pt x="1103682" y="2628203"/>
                                </a:lnTo>
                                <a:lnTo>
                                  <a:pt x="1057319" y="2636748"/>
                                </a:lnTo>
                                <a:lnTo>
                                  <a:pt x="1010170" y="2642929"/>
                                </a:lnTo>
                                <a:lnTo>
                                  <a:pt x="962297" y="2646684"/>
                                </a:lnTo>
                                <a:lnTo>
                                  <a:pt x="913764" y="2647950"/>
                                </a:lnTo>
                                <a:lnTo>
                                  <a:pt x="865232" y="2646684"/>
                                </a:lnTo>
                                <a:lnTo>
                                  <a:pt x="817359" y="2642929"/>
                                </a:lnTo>
                                <a:lnTo>
                                  <a:pt x="770210" y="2636748"/>
                                </a:lnTo>
                                <a:lnTo>
                                  <a:pt x="723847" y="2628203"/>
                                </a:lnTo>
                                <a:lnTo>
                                  <a:pt x="678334" y="2617359"/>
                                </a:lnTo>
                                <a:lnTo>
                                  <a:pt x="633734" y="2604278"/>
                                </a:lnTo>
                                <a:lnTo>
                                  <a:pt x="590109" y="2589022"/>
                                </a:lnTo>
                                <a:lnTo>
                                  <a:pt x="547524" y="2571657"/>
                                </a:lnTo>
                                <a:lnTo>
                                  <a:pt x="506040" y="2552243"/>
                                </a:lnTo>
                                <a:lnTo>
                                  <a:pt x="465722" y="2530845"/>
                                </a:lnTo>
                                <a:lnTo>
                                  <a:pt x="426632" y="2507526"/>
                                </a:lnTo>
                                <a:lnTo>
                                  <a:pt x="388833" y="2482348"/>
                                </a:lnTo>
                                <a:lnTo>
                                  <a:pt x="352389" y="2455375"/>
                                </a:lnTo>
                                <a:lnTo>
                                  <a:pt x="317363" y="2426670"/>
                                </a:lnTo>
                                <a:lnTo>
                                  <a:pt x="283818" y="2396297"/>
                                </a:lnTo>
                                <a:lnTo>
                                  <a:pt x="251817" y="2364317"/>
                                </a:lnTo>
                                <a:lnTo>
                                  <a:pt x="221422" y="2330794"/>
                                </a:lnTo>
                                <a:lnTo>
                                  <a:pt x="192698" y="2295792"/>
                                </a:lnTo>
                                <a:lnTo>
                                  <a:pt x="165708" y="2259373"/>
                                </a:lnTo>
                                <a:lnTo>
                                  <a:pt x="140513" y="2221600"/>
                                </a:lnTo>
                                <a:lnTo>
                                  <a:pt x="117179" y="2182537"/>
                                </a:lnTo>
                                <a:lnTo>
                                  <a:pt x="95767" y="2142247"/>
                                </a:lnTo>
                                <a:lnTo>
                                  <a:pt x="76341" y="2100793"/>
                                </a:lnTo>
                                <a:lnTo>
                                  <a:pt x="58964" y="2058237"/>
                                </a:lnTo>
                                <a:lnTo>
                                  <a:pt x="43699" y="2014644"/>
                                </a:lnTo>
                                <a:lnTo>
                                  <a:pt x="30609" y="1970076"/>
                                </a:lnTo>
                                <a:lnTo>
                                  <a:pt x="19758" y="1924596"/>
                                </a:lnTo>
                                <a:lnTo>
                                  <a:pt x="11208" y="1878267"/>
                                </a:lnTo>
                                <a:lnTo>
                                  <a:pt x="5023" y="1831153"/>
                                </a:lnTo>
                                <a:lnTo>
                                  <a:pt x="1266" y="1783316"/>
                                </a:lnTo>
                                <a:lnTo>
                                  <a:pt x="0" y="1734820"/>
                                </a:lnTo>
                                <a:lnTo>
                                  <a:pt x="1239" y="1686842"/>
                                </a:lnTo>
                                <a:lnTo>
                                  <a:pt x="4919" y="1639503"/>
                                </a:lnTo>
                                <a:lnTo>
                                  <a:pt x="10976" y="1592865"/>
                                </a:lnTo>
                                <a:lnTo>
                                  <a:pt x="19352" y="1546990"/>
                                </a:lnTo>
                                <a:lnTo>
                                  <a:pt x="29984" y="1501938"/>
                                </a:lnTo>
                                <a:lnTo>
                                  <a:pt x="42813" y="1457772"/>
                                </a:lnTo>
                                <a:lnTo>
                                  <a:pt x="57777" y="1414553"/>
                                </a:lnTo>
                                <a:lnTo>
                                  <a:pt x="74816" y="1372343"/>
                                </a:lnTo>
                                <a:lnTo>
                                  <a:pt x="93869" y="1331203"/>
                                </a:lnTo>
                                <a:lnTo>
                                  <a:pt x="114875" y="1291196"/>
                                </a:lnTo>
                                <a:lnTo>
                                  <a:pt x="137773" y="1252383"/>
                                </a:lnTo>
                                <a:lnTo>
                                  <a:pt x="162503" y="1214825"/>
                                </a:lnTo>
                                <a:lnTo>
                                  <a:pt x="189004" y="1178585"/>
                                </a:lnTo>
                                <a:lnTo>
                                  <a:pt x="217214" y="1143724"/>
                                </a:lnTo>
                                <a:lnTo>
                                  <a:pt x="247074" y="1110303"/>
                                </a:lnTo>
                                <a:lnTo>
                                  <a:pt x="278523" y="1078385"/>
                                </a:lnTo>
                                <a:lnTo>
                                  <a:pt x="311499" y="1048030"/>
                                </a:lnTo>
                                <a:lnTo>
                                  <a:pt x="345942" y="1019301"/>
                                </a:lnTo>
                                <a:lnTo>
                                  <a:pt x="381791" y="992260"/>
                                </a:lnTo>
                                <a:lnTo>
                                  <a:pt x="418986" y="966967"/>
                                </a:lnTo>
                                <a:lnTo>
                                  <a:pt x="457465" y="943485"/>
                                </a:lnTo>
                                <a:lnTo>
                                  <a:pt x="497168" y="921875"/>
                                </a:lnTo>
                                <a:lnTo>
                                  <a:pt x="538034" y="902199"/>
                                </a:lnTo>
                                <a:lnTo>
                                  <a:pt x="580002" y="884519"/>
                                </a:lnTo>
                                <a:lnTo>
                                  <a:pt x="623012" y="868896"/>
                                </a:lnTo>
                                <a:lnTo>
                                  <a:pt x="667003" y="855393"/>
                                </a:lnTo>
                                <a:lnTo>
                                  <a:pt x="711914" y="844069"/>
                                </a:lnTo>
                                <a:lnTo>
                                  <a:pt x="757684" y="834989"/>
                                </a:lnTo>
                                <a:lnTo>
                                  <a:pt x="804252" y="828212"/>
                                </a:lnTo>
                                <a:lnTo>
                                  <a:pt x="851558" y="823800"/>
                                </a:lnTo>
                                <a:lnTo>
                                  <a:pt x="899541" y="821817"/>
                                </a:lnTo>
                              </a:path>
                              <a:path w="3246755" h="2647950">
                                <a:moveTo>
                                  <a:pt x="2455417" y="713231"/>
                                </a:moveTo>
                                <a:lnTo>
                                  <a:pt x="2503376" y="721021"/>
                                </a:lnTo>
                                <a:lnTo>
                                  <a:pt x="2550345" y="731192"/>
                                </a:lnTo>
                                <a:lnTo>
                                  <a:pt x="2596269" y="743674"/>
                                </a:lnTo>
                                <a:lnTo>
                                  <a:pt x="2641094" y="758394"/>
                                </a:lnTo>
                                <a:lnTo>
                                  <a:pt x="2684766" y="775283"/>
                                </a:lnTo>
                                <a:lnTo>
                                  <a:pt x="2727231" y="794268"/>
                                </a:lnTo>
                                <a:lnTo>
                                  <a:pt x="2768435" y="815279"/>
                                </a:lnTo>
                                <a:lnTo>
                                  <a:pt x="2808324" y="838245"/>
                                </a:lnTo>
                                <a:lnTo>
                                  <a:pt x="2846844" y="863094"/>
                                </a:lnTo>
                                <a:lnTo>
                                  <a:pt x="2883941" y="889755"/>
                                </a:lnTo>
                                <a:lnTo>
                                  <a:pt x="2919560" y="918157"/>
                                </a:lnTo>
                                <a:lnTo>
                                  <a:pt x="2953647" y="948230"/>
                                </a:lnTo>
                                <a:lnTo>
                                  <a:pt x="2986149" y="979902"/>
                                </a:lnTo>
                                <a:lnTo>
                                  <a:pt x="3017012" y="1013101"/>
                                </a:lnTo>
                                <a:lnTo>
                                  <a:pt x="3046180" y="1047757"/>
                                </a:lnTo>
                                <a:lnTo>
                                  <a:pt x="3073601" y="1083798"/>
                                </a:lnTo>
                                <a:lnTo>
                                  <a:pt x="3099219" y="1121154"/>
                                </a:lnTo>
                                <a:lnTo>
                                  <a:pt x="3122981" y="1159753"/>
                                </a:lnTo>
                                <a:lnTo>
                                  <a:pt x="3144834" y="1199525"/>
                                </a:lnTo>
                                <a:lnTo>
                                  <a:pt x="3164722" y="1240397"/>
                                </a:lnTo>
                                <a:lnTo>
                                  <a:pt x="3182591" y="1282299"/>
                                </a:lnTo>
                                <a:lnTo>
                                  <a:pt x="3198388" y="1325160"/>
                                </a:lnTo>
                                <a:lnTo>
                                  <a:pt x="3212058" y="1368908"/>
                                </a:lnTo>
                                <a:lnTo>
                                  <a:pt x="3223548" y="1413473"/>
                                </a:lnTo>
                                <a:lnTo>
                                  <a:pt x="3232803" y="1458783"/>
                                </a:lnTo>
                                <a:lnTo>
                                  <a:pt x="3239769" y="1504767"/>
                                </a:lnTo>
                                <a:lnTo>
                                  <a:pt x="3244392" y="1551355"/>
                                </a:lnTo>
                                <a:lnTo>
                                  <a:pt x="3246618" y="1598474"/>
                                </a:lnTo>
                                <a:lnTo>
                                  <a:pt x="3246393" y="1646054"/>
                                </a:lnTo>
                                <a:lnTo>
                                  <a:pt x="3243662" y="1694024"/>
                                </a:lnTo>
                                <a:lnTo>
                                  <a:pt x="3238373" y="1742313"/>
                                </a:lnTo>
                                <a:lnTo>
                                  <a:pt x="3230583" y="1790271"/>
                                </a:lnTo>
                                <a:lnTo>
                                  <a:pt x="3220412" y="1837240"/>
                                </a:lnTo>
                                <a:lnTo>
                                  <a:pt x="3207930" y="1883164"/>
                                </a:lnTo>
                                <a:lnTo>
                                  <a:pt x="3193210" y="1927989"/>
                                </a:lnTo>
                                <a:lnTo>
                                  <a:pt x="3176321" y="1971661"/>
                                </a:lnTo>
                                <a:lnTo>
                                  <a:pt x="3157336" y="2014126"/>
                                </a:lnTo>
                                <a:lnTo>
                                  <a:pt x="3136325" y="2055330"/>
                                </a:lnTo>
                                <a:lnTo>
                                  <a:pt x="3113359" y="2095219"/>
                                </a:lnTo>
                                <a:lnTo>
                                  <a:pt x="3088510" y="2133739"/>
                                </a:lnTo>
                                <a:lnTo>
                                  <a:pt x="3061849" y="2170836"/>
                                </a:lnTo>
                                <a:lnTo>
                                  <a:pt x="3033447" y="2206455"/>
                                </a:lnTo>
                                <a:lnTo>
                                  <a:pt x="3003374" y="2240542"/>
                                </a:lnTo>
                                <a:lnTo>
                                  <a:pt x="2971702" y="2273044"/>
                                </a:lnTo>
                                <a:lnTo>
                                  <a:pt x="2938503" y="2303907"/>
                                </a:lnTo>
                                <a:lnTo>
                                  <a:pt x="2903847" y="2333075"/>
                                </a:lnTo>
                                <a:lnTo>
                                  <a:pt x="2867806" y="2360496"/>
                                </a:lnTo>
                                <a:lnTo>
                                  <a:pt x="2830450" y="2386114"/>
                                </a:lnTo>
                                <a:lnTo>
                                  <a:pt x="2791851" y="2409876"/>
                                </a:lnTo>
                                <a:lnTo>
                                  <a:pt x="2752079" y="2431729"/>
                                </a:lnTo>
                                <a:lnTo>
                                  <a:pt x="2711207" y="2451617"/>
                                </a:lnTo>
                                <a:lnTo>
                                  <a:pt x="2669305" y="2469486"/>
                                </a:lnTo>
                                <a:lnTo>
                                  <a:pt x="2626444" y="2485283"/>
                                </a:lnTo>
                                <a:lnTo>
                                  <a:pt x="2582696" y="2498953"/>
                                </a:lnTo>
                                <a:lnTo>
                                  <a:pt x="2538131" y="2510443"/>
                                </a:lnTo>
                                <a:lnTo>
                                  <a:pt x="2492821" y="2519698"/>
                                </a:lnTo>
                                <a:lnTo>
                                  <a:pt x="2446837" y="2526664"/>
                                </a:lnTo>
                                <a:lnTo>
                                  <a:pt x="2400249" y="2531287"/>
                                </a:lnTo>
                                <a:lnTo>
                                  <a:pt x="2353130" y="2533513"/>
                                </a:lnTo>
                                <a:lnTo>
                                  <a:pt x="2305550" y="2533288"/>
                                </a:lnTo>
                                <a:lnTo>
                                  <a:pt x="2257580" y="2530557"/>
                                </a:lnTo>
                                <a:lnTo>
                                  <a:pt x="2209291" y="2525268"/>
                                </a:lnTo>
                                <a:lnTo>
                                  <a:pt x="2161333" y="2517478"/>
                                </a:lnTo>
                                <a:lnTo>
                                  <a:pt x="2114364" y="2507307"/>
                                </a:lnTo>
                                <a:lnTo>
                                  <a:pt x="2068440" y="2494825"/>
                                </a:lnTo>
                                <a:lnTo>
                                  <a:pt x="2023615" y="2480105"/>
                                </a:lnTo>
                                <a:lnTo>
                                  <a:pt x="1979943" y="2463216"/>
                                </a:lnTo>
                                <a:lnTo>
                                  <a:pt x="1937478" y="2444231"/>
                                </a:lnTo>
                                <a:lnTo>
                                  <a:pt x="1896274" y="2423220"/>
                                </a:lnTo>
                                <a:lnTo>
                                  <a:pt x="1856385" y="2400254"/>
                                </a:lnTo>
                                <a:lnTo>
                                  <a:pt x="1817865" y="2375405"/>
                                </a:lnTo>
                                <a:lnTo>
                                  <a:pt x="1780768" y="2348744"/>
                                </a:lnTo>
                                <a:lnTo>
                                  <a:pt x="1745149" y="2320342"/>
                                </a:lnTo>
                                <a:lnTo>
                                  <a:pt x="1711062" y="2290269"/>
                                </a:lnTo>
                                <a:lnTo>
                                  <a:pt x="1678560" y="2258597"/>
                                </a:lnTo>
                                <a:lnTo>
                                  <a:pt x="1647697" y="2225398"/>
                                </a:lnTo>
                                <a:lnTo>
                                  <a:pt x="1618529" y="2190742"/>
                                </a:lnTo>
                                <a:lnTo>
                                  <a:pt x="1591108" y="2154701"/>
                                </a:lnTo>
                                <a:lnTo>
                                  <a:pt x="1565490" y="2117345"/>
                                </a:lnTo>
                                <a:lnTo>
                                  <a:pt x="1541728" y="2078746"/>
                                </a:lnTo>
                                <a:lnTo>
                                  <a:pt x="1519875" y="2038974"/>
                                </a:lnTo>
                                <a:lnTo>
                                  <a:pt x="1499987" y="1998102"/>
                                </a:lnTo>
                                <a:lnTo>
                                  <a:pt x="1482118" y="1956200"/>
                                </a:lnTo>
                                <a:lnTo>
                                  <a:pt x="1466321" y="1913339"/>
                                </a:lnTo>
                                <a:lnTo>
                                  <a:pt x="1452651" y="1869591"/>
                                </a:lnTo>
                                <a:lnTo>
                                  <a:pt x="1441161" y="1825026"/>
                                </a:lnTo>
                                <a:lnTo>
                                  <a:pt x="1431906" y="1779716"/>
                                </a:lnTo>
                                <a:lnTo>
                                  <a:pt x="1424940" y="1733732"/>
                                </a:lnTo>
                                <a:lnTo>
                                  <a:pt x="1420317" y="1687144"/>
                                </a:lnTo>
                                <a:lnTo>
                                  <a:pt x="1418091" y="1640025"/>
                                </a:lnTo>
                                <a:lnTo>
                                  <a:pt x="1418316" y="1592445"/>
                                </a:lnTo>
                                <a:lnTo>
                                  <a:pt x="1421047" y="1544475"/>
                                </a:lnTo>
                                <a:lnTo>
                                  <a:pt x="1426337" y="1496186"/>
                                </a:lnTo>
                                <a:lnTo>
                                  <a:pt x="1433983" y="1448996"/>
                                </a:lnTo>
                                <a:lnTo>
                                  <a:pt x="1443948" y="1402736"/>
                                </a:lnTo>
                                <a:lnTo>
                                  <a:pt x="1456165" y="1357462"/>
                                </a:lnTo>
                                <a:lnTo>
                                  <a:pt x="1470568" y="1313228"/>
                                </a:lnTo>
                                <a:lnTo>
                                  <a:pt x="1487089" y="1270088"/>
                                </a:lnTo>
                                <a:lnTo>
                                  <a:pt x="1505662" y="1228098"/>
                                </a:lnTo>
                                <a:lnTo>
                                  <a:pt x="1526219" y="1187311"/>
                                </a:lnTo>
                                <a:lnTo>
                                  <a:pt x="1548695" y="1147782"/>
                                </a:lnTo>
                                <a:lnTo>
                                  <a:pt x="1573021" y="1109566"/>
                                </a:lnTo>
                                <a:lnTo>
                                  <a:pt x="1599132" y="1072717"/>
                                </a:lnTo>
                                <a:lnTo>
                                  <a:pt x="1626960" y="1037290"/>
                                </a:lnTo>
                                <a:lnTo>
                                  <a:pt x="1656438" y="1003339"/>
                                </a:lnTo>
                                <a:lnTo>
                                  <a:pt x="1687500" y="970919"/>
                                </a:lnTo>
                                <a:lnTo>
                                  <a:pt x="1720079" y="940085"/>
                                </a:lnTo>
                                <a:lnTo>
                                  <a:pt x="1754108" y="910891"/>
                                </a:lnTo>
                                <a:lnTo>
                                  <a:pt x="1789519" y="883392"/>
                                </a:lnTo>
                                <a:lnTo>
                                  <a:pt x="1826247" y="857641"/>
                                </a:lnTo>
                                <a:lnTo>
                                  <a:pt x="1864224" y="833695"/>
                                </a:lnTo>
                                <a:lnTo>
                                  <a:pt x="1903384" y="811606"/>
                                </a:lnTo>
                                <a:lnTo>
                                  <a:pt x="1943659" y="791431"/>
                                </a:lnTo>
                                <a:lnTo>
                                  <a:pt x="1984983" y="773222"/>
                                </a:lnTo>
                                <a:lnTo>
                                  <a:pt x="2027289" y="757036"/>
                                </a:lnTo>
                                <a:lnTo>
                                  <a:pt x="2070510" y="742926"/>
                                </a:lnTo>
                                <a:lnTo>
                                  <a:pt x="2114579" y="730947"/>
                                </a:lnTo>
                                <a:lnTo>
                                  <a:pt x="2159429" y="721154"/>
                                </a:lnTo>
                                <a:lnTo>
                                  <a:pt x="2204994" y="713601"/>
                                </a:lnTo>
                                <a:lnTo>
                                  <a:pt x="2251206" y="708343"/>
                                </a:lnTo>
                                <a:lnTo>
                                  <a:pt x="2298000" y="705434"/>
                                </a:lnTo>
                                <a:lnTo>
                                  <a:pt x="2345307" y="704928"/>
                                </a:lnTo>
                                <a:lnTo>
                                  <a:pt x="2393061" y="706881"/>
                                </a:lnTo>
                              </a:path>
                            </a:pathLst>
                          </a:custGeom>
                          <a:ln w="9525">
                            <a:solidFill>
                              <a:srgbClr val="000000"/>
                            </a:solidFill>
                            <a:prstDash val="solid"/>
                          </a:ln>
                        </wps:spPr>
                        <wps:bodyPr wrap="square" lIns="0" tIns="0" rIns="0" bIns="0" rtlCol="0">
                          <a:prstTxWarp prst="textNoShape">
                            <a:avLst/>
                          </a:prstTxWarp>
                          <a:noAutofit/>
                        </wps:bodyPr>
                      </wps:wsp>
                      <wps:wsp>
                        <wps:cNvPr id="19" name="Graphic 19"/>
                        <wps:cNvSpPr/>
                        <wps:spPr>
                          <a:xfrm>
                            <a:off x="98742" y="300672"/>
                            <a:ext cx="2971800" cy="1886585"/>
                          </a:xfrm>
                          <a:custGeom>
                            <a:avLst/>
                            <a:gdLst/>
                            <a:ahLst/>
                            <a:cxnLst/>
                            <a:rect l="l" t="t" r="r" b="b"/>
                            <a:pathLst>
                              <a:path w="2971800" h="1886585">
                                <a:moveTo>
                                  <a:pt x="1219187" y="1532890"/>
                                </a:moveTo>
                                <a:lnTo>
                                  <a:pt x="0" y="1532890"/>
                                </a:lnTo>
                                <a:lnTo>
                                  <a:pt x="0" y="1827530"/>
                                </a:lnTo>
                                <a:lnTo>
                                  <a:pt x="1219187" y="1827530"/>
                                </a:lnTo>
                                <a:lnTo>
                                  <a:pt x="1219187" y="1532890"/>
                                </a:lnTo>
                                <a:close/>
                              </a:path>
                              <a:path w="2971800" h="1886585">
                                <a:moveTo>
                                  <a:pt x="2133600" y="0"/>
                                </a:moveTo>
                                <a:lnTo>
                                  <a:pt x="771525" y="0"/>
                                </a:lnTo>
                                <a:lnTo>
                                  <a:pt x="771525" y="304800"/>
                                </a:lnTo>
                                <a:lnTo>
                                  <a:pt x="2133600" y="304800"/>
                                </a:lnTo>
                                <a:lnTo>
                                  <a:pt x="2133600" y="0"/>
                                </a:lnTo>
                                <a:close/>
                              </a:path>
                              <a:path w="2971800" h="1886585">
                                <a:moveTo>
                                  <a:pt x="2971800" y="1463687"/>
                                </a:moveTo>
                                <a:lnTo>
                                  <a:pt x="1803400" y="1463687"/>
                                </a:lnTo>
                                <a:lnTo>
                                  <a:pt x="1803400" y="1886585"/>
                                </a:lnTo>
                                <a:lnTo>
                                  <a:pt x="2971800" y="1886585"/>
                                </a:lnTo>
                                <a:lnTo>
                                  <a:pt x="2971800" y="1463687"/>
                                </a:lnTo>
                                <a:close/>
                              </a:path>
                            </a:pathLst>
                          </a:custGeom>
                          <a:solidFill>
                            <a:srgbClr val="FFFFFF"/>
                          </a:solidFill>
                        </wps:spPr>
                        <wps:bodyPr wrap="square" lIns="0" tIns="0" rIns="0" bIns="0" rtlCol="0">
                          <a:prstTxWarp prst="textNoShape">
                            <a:avLst/>
                          </a:prstTxWarp>
                          <a:noAutofit/>
                        </wps:bodyPr>
                      </wps:wsp>
                      <wps:wsp>
                        <wps:cNvPr id="20" name="Graphic 20"/>
                        <wps:cNvSpPr/>
                        <wps:spPr>
                          <a:xfrm>
                            <a:off x="1482280" y="1200213"/>
                            <a:ext cx="287655" cy="609600"/>
                          </a:xfrm>
                          <a:custGeom>
                            <a:avLst/>
                            <a:gdLst/>
                            <a:ahLst/>
                            <a:cxnLst/>
                            <a:rect l="l" t="t" r="r" b="b"/>
                            <a:pathLst>
                              <a:path w="287655" h="609600">
                                <a:moveTo>
                                  <a:pt x="143637" y="0"/>
                                </a:moveTo>
                                <a:lnTo>
                                  <a:pt x="0" y="244982"/>
                                </a:lnTo>
                                <a:lnTo>
                                  <a:pt x="51435" y="609219"/>
                                </a:lnTo>
                                <a:lnTo>
                                  <a:pt x="235839" y="609219"/>
                                </a:lnTo>
                                <a:lnTo>
                                  <a:pt x="238529" y="590169"/>
                                </a:lnTo>
                                <a:lnTo>
                                  <a:pt x="67945" y="590169"/>
                                </a:lnTo>
                                <a:lnTo>
                                  <a:pt x="19812" y="248920"/>
                                </a:lnTo>
                                <a:lnTo>
                                  <a:pt x="143637" y="37719"/>
                                </a:lnTo>
                                <a:lnTo>
                                  <a:pt x="165752" y="37719"/>
                                </a:lnTo>
                                <a:lnTo>
                                  <a:pt x="143637" y="0"/>
                                </a:lnTo>
                                <a:close/>
                              </a:path>
                              <a:path w="287655" h="609600">
                                <a:moveTo>
                                  <a:pt x="143637" y="37719"/>
                                </a:moveTo>
                                <a:lnTo>
                                  <a:pt x="19812" y="248920"/>
                                </a:lnTo>
                                <a:lnTo>
                                  <a:pt x="67945" y="590169"/>
                                </a:lnTo>
                                <a:lnTo>
                                  <a:pt x="219329" y="590169"/>
                                </a:lnTo>
                                <a:lnTo>
                                  <a:pt x="222015" y="571119"/>
                                </a:lnTo>
                                <a:lnTo>
                                  <a:pt x="84455" y="571119"/>
                                </a:lnTo>
                                <a:lnTo>
                                  <a:pt x="39624" y="252856"/>
                                </a:lnTo>
                                <a:lnTo>
                                  <a:pt x="143637" y="75438"/>
                                </a:lnTo>
                                <a:lnTo>
                                  <a:pt x="165751" y="75438"/>
                                </a:lnTo>
                                <a:lnTo>
                                  <a:pt x="143637" y="37719"/>
                                </a:lnTo>
                                <a:close/>
                              </a:path>
                              <a:path w="287655" h="609600">
                                <a:moveTo>
                                  <a:pt x="165752" y="37719"/>
                                </a:moveTo>
                                <a:lnTo>
                                  <a:pt x="143637" y="37719"/>
                                </a:lnTo>
                                <a:lnTo>
                                  <a:pt x="267462" y="248920"/>
                                </a:lnTo>
                                <a:lnTo>
                                  <a:pt x="219329" y="590169"/>
                                </a:lnTo>
                                <a:lnTo>
                                  <a:pt x="238529" y="590169"/>
                                </a:lnTo>
                                <a:lnTo>
                                  <a:pt x="287274" y="244982"/>
                                </a:lnTo>
                                <a:lnTo>
                                  <a:pt x="165752" y="37719"/>
                                </a:lnTo>
                                <a:close/>
                              </a:path>
                              <a:path w="287655" h="609600">
                                <a:moveTo>
                                  <a:pt x="143637" y="75438"/>
                                </a:moveTo>
                                <a:lnTo>
                                  <a:pt x="39624" y="252856"/>
                                </a:lnTo>
                                <a:lnTo>
                                  <a:pt x="84455" y="571119"/>
                                </a:lnTo>
                                <a:lnTo>
                                  <a:pt x="202819" y="571119"/>
                                </a:lnTo>
                                <a:lnTo>
                                  <a:pt x="247650" y="252856"/>
                                </a:lnTo>
                                <a:lnTo>
                                  <a:pt x="143637" y="75438"/>
                                </a:lnTo>
                                <a:close/>
                              </a:path>
                              <a:path w="287655" h="609600">
                                <a:moveTo>
                                  <a:pt x="165751" y="75438"/>
                                </a:moveTo>
                                <a:lnTo>
                                  <a:pt x="143637" y="75438"/>
                                </a:lnTo>
                                <a:lnTo>
                                  <a:pt x="247650" y="252856"/>
                                </a:lnTo>
                                <a:lnTo>
                                  <a:pt x="202819" y="571119"/>
                                </a:lnTo>
                                <a:lnTo>
                                  <a:pt x="222015" y="571119"/>
                                </a:lnTo>
                                <a:lnTo>
                                  <a:pt x="267462" y="248920"/>
                                </a:lnTo>
                                <a:lnTo>
                                  <a:pt x="165751" y="75438"/>
                                </a:lnTo>
                                <a:close/>
                              </a:path>
                            </a:pathLst>
                          </a:custGeom>
                          <a:solidFill>
                            <a:srgbClr val="612322">
                              <a:alpha val="50195"/>
                            </a:srgbClr>
                          </a:solidFill>
                        </wps:spPr>
                        <wps:bodyPr wrap="square" lIns="0" tIns="0" rIns="0" bIns="0" rtlCol="0">
                          <a:prstTxWarp prst="textNoShape">
                            <a:avLst/>
                          </a:prstTxWarp>
                          <a:noAutofit/>
                        </wps:bodyPr>
                      </wps:wsp>
                      <wps:wsp>
                        <wps:cNvPr id="21" name="Graphic 21"/>
                        <wps:cNvSpPr/>
                        <wps:spPr>
                          <a:xfrm>
                            <a:off x="1489392" y="1212532"/>
                            <a:ext cx="247650" cy="552450"/>
                          </a:xfrm>
                          <a:custGeom>
                            <a:avLst/>
                            <a:gdLst/>
                            <a:ahLst/>
                            <a:cxnLst/>
                            <a:rect l="l" t="t" r="r" b="b"/>
                            <a:pathLst>
                              <a:path w="247650" h="552450">
                                <a:moveTo>
                                  <a:pt x="123825" y="0"/>
                                </a:moveTo>
                                <a:lnTo>
                                  <a:pt x="0" y="211200"/>
                                </a:lnTo>
                                <a:lnTo>
                                  <a:pt x="48133" y="552450"/>
                                </a:lnTo>
                                <a:lnTo>
                                  <a:pt x="199517" y="552450"/>
                                </a:lnTo>
                                <a:lnTo>
                                  <a:pt x="247650" y="211200"/>
                                </a:lnTo>
                                <a:lnTo>
                                  <a:pt x="123825" y="0"/>
                                </a:lnTo>
                                <a:close/>
                              </a:path>
                            </a:pathLst>
                          </a:custGeom>
                          <a:solidFill>
                            <a:srgbClr val="C0504D"/>
                          </a:solidFill>
                        </wps:spPr>
                        <wps:bodyPr wrap="square" lIns="0" tIns="0" rIns="0" bIns="0" rtlCol="0">
                          <a:prstTxWarp prst="textNoShape">
                            <a:avLst/>
                          </a:prstTxWarp>
                          <a:noAutofit/>
                        </wps:bodyPr>
                      </wps:wsp>
                      <wps:wsp>
                        <wps:cNvPr id="22" name="Graphic 22"/>
                        <wps:cNvSpPr/>
                        <wps:spPr>
                          <a:xfrm>
                            <a:off x="1489392" y="1212532"/>
                            <a:ext cx="247650" cy="552450"/>
                          </a:xfrm>
                          <a:custGeom>
                            <a:avLst/>
                            <a:gdLst/>
                            <a:ahLst/>
                            <a:cxnLst/>
                            <a:rect l="l" t="t" r="r" b="b"/>
                            <a:pathLst>
                              <a:path w="247650" h="552450">
                                <a:moveTo>
                                  <a:pt x="123825" y="0"/>
                                </a:moveTo>
                                <a:lnTo>
                                  <a:pt x="0" y="211200"/>
                                </a:lnTo>
                                <a:lnTo>
                                  <a:pt x="48133" y="552450"/>
                                </a:lnTo>
                                <a:lnTo>
                                  <a:pt x="199517" y="552450"/>
                                </a:lnTo>
                                <a:lnTo>
                                  <a:pt x="247650" y="211200"/>
                                </a:lnTo>
                                <a:lnTo>
                                  <a:pt x="123825" y="0"/>
                                </a:lnTo>
                                <a:close/>
                              </a:path>
                            </a:pathLst>
                          </a:custGeom>
                          <a:ln w="38100">
                            <a:solidFill>
                              <a:srgbClr val="F1F1F1"/>
                            </a:solidFill>
                            <a:prstDash val="solid"/>
                          </a:ln>
                        </wps:spPr>
                        <wps:bodyPr wrap="square" lIns="0" tIns="0" rIns="0" bIns="0" rtlCol="0">
                          <a:prstTxWarp prst="textNoShape">
                            <a:avLst/>
                          </a:prstTxWarp>
                          <a:noAutofit/>
                        </wps:bodyPr>
                      </wps:wsp>
                      <wps:wsp>
                        <wps:cNvPr id="23" name="Graphic 23"/>
                        <wps:cNvSpPr/>
                        <wps:spPr>
                          <a:xfrm>
                            <a:off x="1622742" y="1764347"/>
                            <a:ext cx="1447800" cy="886460"/>
                          </a:xfrm>
                          <a:custGeom>
                            <a:avLst/>
                            <a:gdLst/>
                            <a:ahLst/>
                            <a:cxnLst/>
                            <a:rect l="l" t="t" r="r" b="b"/>
                            <a:pathLst>
                              <a:path w="1447800" h="886460">
                                <a:moveTo>
                                  <a:pt x="0" y="0"/>
                                </a:moveTo>
                                <a:lnTo>
                                  <a:pt x="19050" y="886460"/>
                                </a:lnTo>
                                <a:lnTo>
                                  <a:pt x="1447800" y="886460"/>
                                </a:lnTo>
                              </a:path>
                            </a:pathLst>
                          </a:custGeom>
                          <a:ln w="9525">
                            <a:solidFill>
                              <a:srgbClr val="000000"/>
                            </a:solidFill>
                            <a:prstDash val="solid"/>
                          </a:ln>
                        </wps:spPr>
                        <wps:bodyPr wrap="square" lIns="0" tIns="0" rIns="0" bIns="0" rtlCol="0">
                          <a:prstTxWarp prst="textNoShape">
                            <a:avLst/>
                          </a:prstTxWarp>
                          <a:noAutofit/>
                        </wps:bodyPr>
                      </wps:wsp>
                      <wps:wsp>
                        <wps:cNvPr id="24" name="Graphic 24"/>
                        <wps:cNvSpPr/>
                        <wps:spPr>
                          <a:xfrm>
                            <a:off x="3045142" y="2462847"/>
                            <a:ext cx="1962150" cy="415290"/>
                          </a:xfrm>
                          <a:custGeom>
                            <a:avLst/>
                            <a:gdLst/>
                            <a:ahLst/>
                            <a:cxnLst/>
                            <a:rect l="l" t="t" r="r" b="b"/>
                            <a:pathLst>
                              <a:path w="1962150" h="415290">
                                <a:moveTo>
                                  <a:pt x="1962150" y="0"/>
                                </a:moveTo>
                                <a:lnTo>
                                  <a:pt x="1930400" y="0"/>
                                </a:lnTo>
                                <a:lnTo>
                                  <a:pt x="1930400" y="19050"/>
                                </a:lnTo>
                                <a:lnTo>
                                  <a:pt x="1943100" y="19050"/>
                                </a:lnTo>
                                <a:lnTo>
                                  <a:pt x="1943100" y="38100"/>
                                </a:lnTo>
                                <a:lnTo>
                                  <a:pt x="1924050" y="38100"/>
                                </a:lnTo>
                                <a:lnTo>
                                  <a:pt x="1924050" y="370840"/>
                                </a:lnTo>
                                <a:lnTo>
                                  <a:pt x="38100" y="370840"/>
                                </a:lnTo>
                                <a:lnTo>
                                  <a:pt x="19050" y="370840"/>
                                </a:lnTo>
                                <a:lnTo>
                                  <a:pt x="19050" y="19050"/>
                                </a:lnTo>
                                <a:lnTo>
                                  <a:pt x="6350" y="19050"/>
                                </a:lnTo>
                                <a:lnTo>
                                  <a:pt x="6350" y="0"/>
                                </a:lnTo>
                                <a:lnTo>
                                  <a:pt x="0" y="0"/>
                                </a:lnTo>
                                <a:lnTo>
                                  <a:pt x="0" y="19050"/>
                                </a:lnTo>
                                <a:lnTo>
                                  <a:pt x="0" y="396240"/>
                                </a:lnTo>
                                <a:lnTo>
                                  <a:pt x="0" y="415290"/>
                                </a:lnTo>
                                <a:lnTo>
                                  <a:pt x="1962150" y="415290"/>
                                </a:lnTo>
                                <a:lnTo>
                                  <a:pt x="1962150" y="396240"/>
                                </a:lnTo>
                                <a:lnTo>
                                  <a:pt x="1962150" y="19050"/>
                                </a:lnTo>
                                <a:lnTo>
                                  <a:pt x="1962150" y="0"/>
                                </a:lnTo>
                                <a:close/>
                              </a:path>
                            </a:pathLst>
                          </a:custGeom>
                          <a:solidFill>
                            <a:srgbClr val="233E5F">
                              <a:alpha val="50195"/>
                            </a:srgbClr>
                          </a:solidFill>
                        </wps:spPr>
                        <wps:bodyPr wrap="square" lIns="0" tIns="0" rIns="0" bIns="0" rtlCol="0">
                          <a:prstTxWarp prst="textNoShape">
                            <a:avLst/>
                          </a:prstTxWarp>
                          <a:noAutofit/>
                        </wps:bodyPr>
                      </wps:wsp>
                      <wps:wsp>
                        <wps:cNvPr id="25" name="Graphic 25"/>
                        <wps:cNvSpPr/>
                        <wps:spPr>
                          <a:xfrm>
                            <a:off x="3051492" y="2456497"/>
                            <a:ext cx="1924050" cy="377190"/>
                          </a:xfrm>
                          <a:custGeom>
                            <a:avLst/>
                            <a:gdLst/>
                            <a:ahLst/>
                            <a:cxnLst/>
                            <a:rect l="l" t="t" r="r" b="b"/>
                            <a:pathLst>
                              <a:path w="1924050" h="377190">
                                <a:moveTo>
                                  <a:pt x="1924050" y="0"/>
                                </a:moveTo>
                                <a:lnTo>
                                  <a:pt x="0" y="0"/>
                                </a:lnTo>
                                <a:lnTo>
                                  <a:pt x="0" y="377190"/>
                                </a:lnTo>
                                <a:lnTo>
                                  <a:pt x="1924050" y="377190"/>
                                </a:lnTo>
                                <a:lnTo>
                                  <a:pt x="1924050" y="0"/>
                                </a:lnTo>
                                <a:close/>
                              </a:path>
                            </a:pathLst>
                          </a:custGeom>
                          <a:solidFill>
                            <a:srgbClr val="4F81BC"/>
                          </a:solidFill>
                        </wps:spPr>
                        <wps:bodyPr wrap="square" lIns="0" tIns="0" rIns="0" bIns="0" rtlCol="0">
                          <a:prstTxWarp prst="textNoShape">
                            <a:avLst/>
                          </a:prstTxWarp>
                          <a:noAutofit/>
                        </wps:bodyPr>
                      </wps:wsp>
                      <wps:wsp>
                        <wps:cNvPr id="26" name="Graphic 26"/>
                        <wps:cNvSpPr/>
                        <wps:spPr>
                          <a:xfrm>
                            <a:off x="3051492" y="2456497"/>
                            <a:ext cx="1924050" cy="377190"/>
                          </a:xfrm>
                          <a:custGeom>
                            <a:avLst/>
                            <a:gdLst/>
                            <a:ahLst/>
                            <a:cxnLst/>
                            <a:rect l="l" t="t" r="r" b="b"/>
                            <a:pathLst>
                              <a:path w="1924050" h="377190">
                                <a:moveTo>
                                  <a:pt x="0" y="377190"/>
                                </a:moveTo>
                                <a:lnTo>
                                  <a:pt x="1924050" y="377190"/>
                                </a:lnTo>
                                <a:lnTo>
                                  <a:pt x="1924050" y="0"/>
                                </a:lnTo>
                                <a:lnTo>
                                  <a:pt x="0" y="0"/>
                                </a:lnTo>
                                <a:lnTo>
                                  <a:pt x="0" y="377190"/>
                                </a:lnTo>
                                <a:close/>
                              </a:path>
                            </a:pathLst>
                          </a:custGeom>
                          <a:ln w="38099">
                            <a:solidFill>
                              <a:srgbClr val="F1F1F1"/>
                            </a:solidFill>
                            <a:prstDash val="solid"/>
                          </a:ln>
                        </wps:spPr>
                        <wps:bodyPr wrap="square" lIns="0" tIns="0" rIns="0" bIns="0" rtlCol="0">
                          <a:prstTxWarp prst="textNoShape">
                            <a:avLst/>
                          </a:prstTxWarp>
                          <a:noAutofit/>
                        </wps:bodyPr>
                      </wps:wsp>
                      <wps:wsp>
                        <wps:cNvPr id="27" name="Textbox 27"/>
                        <wps:cNvSpPr txBox="1"/>
                        <wps:spPr>
                          <a:xfrm>
                            <a:off x="3144710" y="2522410"/>
                            <a:ext cx="1741170" cy="196850"/>
                          </a:xfrm>
                          <a:prstGeom prst="rect">
                            <a:avLst/>
                          </a:prstGeom>
                          <a:solidFill>
                            <a:srgbClr val="001F5F"/>
                          </a:solidFill>
                        </wps:spPr>
                        <wps:txbx>
                          <w:txbxContent>
                            <w:p>
                              <w:pPr>
                                <w:spacing w:line="268" w:lineRule="exact" w:before="0"/>
                                <w:ind w:left="28" w:right="0" w:firstLine="0"/>
                                <w:jc w:val="left"/>
                                <w:rPr>
                                  <w:rFonts w:ascii="Calibri"/>
                                  <w:b/>
                                  <w:color w:val="000000"/>
                                  <w:sz w:val="22"/>
                                </w:rPr>
                              </w:pPr>
                              <w:r>
                                <w:rPr>
                                  <w:rFonts w:ascii="Calibri"/>
                                  <w:b/>
                                  <w:color w:val="FFFFFF"/>
                                  <w:sz w:val="22"/>
                                </w:rPr>
                                <w:t>Theoretical</w:t>
                              </w:r>
                              <w:r>
                                <w:rPr>
                                  <w:rFonts w:ascii="Calibri"/>
                                  <w:b/>
                                  <w:color w:val="FFFFFF"/>
                                  <w:spacing w:val="-8"/>
                                  <w:sz w:val="22"/>
                                </w:rPr>
                                <w:t> </w:t>
                              </w:r>
                              <w:r>
                                <w:rPr>
                                  <w:rFonts w:ascii="Calibri"/>
                                  <w:b/>
                                  <w:color w:val="FFFFFF"/>
                                  <w:spacing w:val="-2"/>
                                  <w:sz w:val="22"/>
                                </w:rPr>
                                <w:t>Framework</w:t>
                              </w:r>
                            </w:p>
                          </w:txbxContent>
                        </wps:txbx>
                        <wps:bodyPr wrap="square" lIns="0" tIns="0" rIns="0" bIns="0" rtlCol="0">
                          <a:noAutofit/>
                        </wps:bodyPr>
                      </wps:wsp>
                      <wps:wsp>
                        <wps:cNvPr id="28" name="Textbox 28"/>
                        <wps:cNvSpPr txBox="1"/>
                        <wps:spPr>
                          <a:xfrm>
                            <a:off x="98742" y="1833562"/>
                            <a:ext cx="1219200" cy="294640"/>
                          </a:xfrm>
                          <a:prstGeom prst="rect">
                            <a:avLst/>
                          </a:prstGeom>
                          <a:ln w="12700">
                            <a:solidFill>
                              <a:srgbClr val="4F81BC"/>
                            </a:solidFill>
                            <a:prstDash val="sysDash"/>
                          </a:ln>
                        </wps:spPr>
                        <wps:txbx>
                          <w:txbxContent>
                            <w:p>
                              <w:pPr>
                                <w:spacing w:before="72"/>
                                <w:ind w:left="0" w:right="0" w:firstLine="0"/>
                                <w:jc w:val="center"/>
                                <w:rPr>
                                  <w:rFonts w:ascii="Calibri"/>
                                  <w:b/>
                                  <w:sz w:val="18"/>
                                </w:rPr>
                              </w:pPr>
                              <w:r>
                                <w:rPr>
                                  <w:rFonts w:ascii="Calibri"/>
                                  <w:b/>
                                  <w:spacing w:val="-2"/>
                                  <w:sz w:val="18"/>
                                </w:rPr>
                                <w:t>Housing</w:t>
                              </w:r>
                            </w:p>
                          </w:txbxContent>
                        </wps:txbx>
                        <wps:bodyPr wrap="square" lIns="0" tIns="0" rIns="0" bIns="0" rtlCol="0">
                          <a:noAutofit/>
                        </wps:bodyPr>
                      </wps:wsp>
                      <wps:wsp>
                        <wps:cNvPr id="29" name="Textbox 29"/>
                        <wps:cNvSpPr txBox="1"/>
                        <wps:spPr>
                          <a:xfrm>
                            <a:off x="1902142" y="1764347"/>
                            <a:ext cx="1168400" cy="422909"/>
                          </a:xfrm>
                          <a:prstGeom prst="rect">
                            <a:avLst/>
                          </a:prstGeom>
                          <a:ln w="12700">
                            <a:solidFill>
                              <a:srgbClr val="4F81BC"/>
                            </a:solidFill>
                            <a:prstDash val="sysDash"/>
                          </a:ln>
                        </wps:spPr>
                        <wps:txbx>
                          <w:txbxContent>
                            <w:p>
                              <w:pPr>
                                <w:spacing w:before="68"/>
                                <w:ind w:left="156" w:right="0" w:firstLine="0"/>
                                <w:jc w:val="left"/>
                                <w:rPr>
                                  <w:rFonts w:ascii="Calibri"/>
                                  <w:b/>
                                  <w:sz w:val="18"/>
                                </w:rPr>
                              </w:pPr>
                              <w:r>
                                <w:rPr>
                                  <w:rFonts w:ascii="Calibri"/>
                                  <w:b/>
                                  <w:sz w:val="18"/>
                                </w:rPr>
                                <w:t>Citizen</w:t>
                              </w:r>
                              <w:r>
                                <w:rPr>
                                  <w:rFonts w:ascii="Calibri"/>
                                  <w:b/>
                                  <w:spacing w:val="-3"/>
                                  <w:sz w:val="18"/>
                                </w:rPr>
                                <w:t> </w:t>
                              </w:r>
                              <w:r>
                                <w:rPr>
                                  <w:rFonts w:ascii="Calibri"/>
                                  <w:b/>
                                  <w:spacing w:val="-2"/>
                                  <w:sz w:val="18"/>
                                </w:rPr>
                                <w:t>Participation</w:t>
                              </w:r>
                            </w:p>
                          </w:txbxContent>
                        </wps:txbx>
                        <wps:bodyPr wrap="square" lIns="0" tIns="0" rIns="0" bIns="0" rtlCol="0">
                          <a:noAutofit/>
                        </wps:bodyPr>
                      </wps:wsp>
                      <wps:wsp>
                        <wps:cNvPr id="30" name="Textbox 30"/>
                        <wps:cNvSpPr txBox="1"/>
                        <wps:spPr>
                          <a:xfrm>
                            <a:off x="870267" y="300672"/>
                            <a:ext cx="1362075" cy="304800"/>
                          </a:xfrm>
                          <a:prstGeom prst="rect">
                            <a:avLst/>
                          </a:prstGeom>
                          <a:ln w="12700">
                            <a:solidFill>
                              <a:srgbClr val="4F81BC"/>
                            </a:solidFill>
                            <a:prstDash val="sysDash"/>
                          </a:ln>
                        </wps:spPr>
                        <wps:txbx>
                          <w:txbxContent>
                            <w:p>
                              <w:pPr>
                                <w:spacing w:before="72"/>
                                <w:ind w:left="429" w:right="0" w:firstLine="0"/>
                                <w:jc w:val="left"/>
                                <w:rPr>
                                  <w:rFonts w:ascii="Calibri"/>
                                  <w:b/>
                                  <w:sz w:val="18"/>
                                </w:rPr>
                              </w:pPr>
                              <w:r>
                                <w:rPr>
                                  <w:rFonts w:ascii="Calibri"/>
                                  <w:b/>
                                  <w:sz w:val="18"/>
                                </w:rPr>
                                <w:t>Public</w:t>
                              </w:r>
                              <w:r>
                                <w:rPr>
                                  <w:rFonts w:ascii="Calibri"/>
                                  <w:b/>
                                  <w:spacing w:val="-5"/>
                                  <w:sz w:val="18"/>
                                </w:rPr>
                                <w:t> </w:t>
                              </w:r>
                              <w:r>
                                <w:rPr>
                                  <w:rFonts w:ascii="Calibri"/>
                                  <w:b/>
                                  <w:spacing w:val="-2"/>
                                  <w:sz w:val="18"/>
                                </w:rPr>
                                <w:t>Budgeting</w:t>
                              </w:r>
                            </w:p>
                          </w:txbxContent>
                        </wps:txbx>
                        <wps:bodyPr wrap="square" lIns="0" tIns="0" rIns="0" bIns="0" rtlCol="0">
                          <a:noAutofit/>
                        </wps:bodyPr>
                      </wps:wsp>
                    </wpg:wgp>
                  </a:graphicData>
                </a:graphic>
              </wp:inline>
            </w:drawing>
          </mc:Choice>
          <mc:Fallback>
            <w:pict>
              <v:group style="width:394.3pt;height:226.65pt;mso-position-horizontal-relative:char;mso-position-vertical-relative:line" id="docshapegroup17" coordorigin="0,0" coordsize="7886,4533">
                <v:shape style="position:absolute;left:7;top:7;width:5113;height:4170" id="docshape18" coordorigin="8,8" coordsize="5113,4170" path="m2450,8l2526,9,2602,15,2676,25,2749,39,2821,56,2891,76,2960,100,3027,128,3092,159,3156,192,3218,229,3277,269,3335,311,3390,357,3443,405,3493,455,3541,508,3587,563,3629,621,3669,680,3706,742,3739,806,3770,871,3798,938,3822,1007,3842,1077,3859,1149,3873,1222,3883,1296,3889,1372,3890,1448,3889,1525,3883,1601,3873,1675,3859,1748,3842,1820,3822,1890,3798,1959,3770,2026,3739,2091,3706,2155,3669,2217,3629,2276,3587,2334,3541,2389,3493,2442,3443,2492,3390,2540,3335,2586,3277,2628,3218,2668,3156,2705,3092,2738,3027,2769,2960,2797,2891,2821,2821,2841,2749,2858,2676,2872,2602,2882,2526,2888,2450,2890,2373,2888,2297,2882,2223,2872,2150,2858,2078,2841,2008,2821,1939,2797,1872,2769,1807,2738,1743,2705,1681,2668,1622,2628,1564,2586,1509,2540,1456,2492,1406,2442,1358,2389,1312,2334,1270,2276,1230,2217,1193,2155,1160,2091,1129,2026,1101,1959,1077,1890,1057,1820,1040,1748,1026,1675,1016,1601,1010,1525,1009,1448,1010,1373,1016,1298,1026,1225,1039,1152,1056,1081,1076,1011,1100,943,1126,877,1156,812,1190,749,1226,687,1265,628,1306,571,1351,516,1398,463,1448,413,1500,365,1554,320,1610,277,1669,237,1730,200,1792,166,1857,135,1923,107,1991,82,2060,61,2131,43,2203,29,2276,18,2351,11,2427,8m1446,1302l1523,1303,1598,1309,1673,1319,1746,1333,1817,1350,1887,1370,1956,1394,2023,1422,2089,1452,2152,1486,2214,1523,2273,1562,2331,1605,2386,1650,2439,1698,2489,1748,2537,1801,2582,1856,2625,1913,2664,1973,2701,2034,2735,2098,2765,2163,2793,2230,2817,2299,2837,2369,2854,2441,2868,2514,2878,2588,2884,2663,2885,2740,2884,2816,2878,2891,2868,2965,2854,3038,2837,3110,2817,3180,2793,3249,2765,3316,2735,3381,2701,3445,2664,3506,2625,3566,2582,3623,2537,3678,2489,3731,2439,3781,2386,3829,2331,3874,2273,3917,2214,3956,2152,3993,2089,4027,2023,4057,1956,4085,1887,4109,1817,4129,1746,4146,1673,4160,1598,4170,1523,4176,1446,4178,1370,4176,1295,4170,1220,4160,1147,4146,1076,4129,1006,4109,937,4085,870,4057,804,4027,741,3993,679,3956,620,3917,562,3874,507,3829,454,3781,404,3731,356,3678,311,3623,268,3566,229,3506,192,3445,158,3381,128,3316,100,3249,76,3180,56,3110,39,3038,25,2965,15,2891,9,2816,8,2740,9,2664,15,2589,25,2516,38,2444,55,2373,75,2303,98,2235,125,2169,155,2104,188,2041,224,1980,263,1921,305,1864,350,1809,397,1756,446,1706,498,1658,552,1613,609,1570,667,1530,728,1493,790,1459,855,1428,921,1400,989,1376,1058,1355,1129,1337,1201,1322,1274,1312,1349,1305,1424,1302m3874,1131l3950,1143,4024,1159,4096,1179,4167,1202,4235,1228,4302,1258,4367,1291,4430,1328,4491,1367,4549,1409,4605,1453,4659,1501,4710,1551,4759,1603,4805,1658,4848,1714,4888,1773,4926,1834,4960,1897,4991,1961,5019,2027,5044,2094,5066,2163,5084,2233,5099,2305,5109,2377,5117,2451,5120,2525,5120,2600,5116,2675,5107,2751,5095,2827,5079,2901,5059,2973,5036,3044,5010,3112,4980,3179,4947,3244,4910,3307,4871,3368,4829,3426,4785,3482,4737,3536,4687,3587,4635,3636,4580,3682,4524,3725,4465,3765,4404,3803,4341,3837,4277,3868,4211,3896,4144,3921,4075,3943,4005,3961,3933,3976,3861,3986,3787,3994,3713,3997,3638,3997,3563,3993,3487,3984,3411,3972,3337,3956,3265,3936,3194,3913,3126,3887,3059,3857,2994,3824,2931,3787,2870,3748,2812,3706,2756,3662,2702,3614,2651,3564,2602,3512,2556,3457,2513,3401,2473,3342,2435,3281,2401,3218,2370,3154,2342,3088,2317,3021,2295,2952,2277,2882,2262,2810,2252,2738,2244,2664,2241,2590,2241,2515,2245,2440,2254,2364,2266,2289,2281,2217,2301,2145,2323,2076,2349,2008,2379,1942,2411,1877,2446,1815,2485,1755,2526,1697,2570,1641,2616,1588,2665,1537,2716,1488,2770,1442,2826,1399,2883,1358,2943,1320,3005,1286,3068,1254,3133,1225,3200,1200,3268,1177,3338,1159,3408,1143,3480,1131,3553,1123,3626,1118,3701,1118,3776,1121e" filled="false" stroked="true" strokeweight=".75pt" strokecolor="#000000">
                  <v:path arrowok="t"/>
                  <v:stroke dashstyle="solid"/>
                </v:shape>
                <v:shape style="position:absolute;left:155;top:473;width:4680;height:2971" id="docshape19" coordorigin="156,473" coordsize="4680,2971" path="m2075,2887l156,2887,156,3351,2075,3351,2075,2887xm3516,473l1371,473,1371,953,3516,953,3516,473xm4836,2779l2996,2779,2996,3444,4836,3444,4836,2779xe" filled="true" fillcolor="#ffffff" stroked="false">
                  <v:path arrowok="t"/>
                  <v:fill type="solid"/>
                </v:shape>
                <v:shape style="position:absolute;left:2334;top:1890;width:453;height:960" id="docshape20" coordorigin="2334,1890" coordsize="453,960" path="m2560,1890l2334,2276,2415,2849,2706,2849,2710,2819,2441,2819,2365,2282,2560,1949,2595,1949,2560,1890xm2560,1949l2365,2282,2441,2819,2680,2819,2684,2789,2467,2789,2397,2288,2560,2009,2595,2009,2560,1949xm2595,1949l2560,1949,2755,2282,2680,2819,2710,2819,2787,2276,2595,1949xm2560,2009l2397,2288,2467,2789,2654,2789,2724,2288,2560,2009xm2595,2009l2560,2009,2724,2288,2654,2789,2684,2789,2755,2282,2595,2009xe" filled="true" fillcolor="#612322" stroked="false">
                  <v:path arrowok="t"/>
                  <v:fill opacity="32896f" type="solid"/>
                </v:shape>
                <v:shape style="position:absolute;left:2345;top:1909;width:390;height:870" id="docshape21" coordorigin="2346,1909" coordsize="390,870" path="m2541,1909l2346,2242,2421,2779,2660,2779,2736,2242,2541,1909xe" filled="true" fillcolor="#c0504d" stroked="false">
                  <v:path arrowok="t"/>
                  <v:fill type="solid"/>
                </v:shape>
                <v:shape style="position:absolute;left:2345;top:1909;width:390;height:870" id="docshape22" coordorigin="2346,1909" coordsize="390,870" path="m2541,1909l2346,2242,2421,2779,2660,2779,2736,2242,2541,1909xe" filled="false" stroked="true" strokeweight="3pt" strokecolor="#f1f1f1">
                  <v:path arrowok="t"/>
                  <v:stroke dashstyle="solid"/>
                </v:shape>
                <v:shape style="position:absolute;left:2555;top:2778;width:2280;height:1396" id="docshape23" coordorigin="2556,2779" coordsize="2280,1396" path="m2556,2779l2586,4175,4836,4175e" filled="false" stroked="true" strokeweight=".75pt" strokecolor="#000000">
                  <v:path arrowok="t"/>
                  <v:stroke dashstyle="solid"/>
                </v:shape>
                <v:shape style="position:absolute;left:4795;top:3878;width:3090;height:654" id="docshape24" coordorigin="4796,3878" coordsize="3090,654" path="m7886,3878l7836,3878,7836,3908,7856,3908,7856,3938,7826,3938,7826,4462,4856,4462,4826,4462,4826,3908,4806,3908,4806,3878,4796,3878,4796,3908,4796,4502,4796,4532,7886,4532,7886,4502,7886,3908,7886,3878xe" filled="true" fillcolor="#233e5f" stroked="false">
                  <v:path arrowok="t"/>
                  <v:fill opacity="32896f" type="solid"/>
                </v:shape>
                <v:rect style="position:absolute;left:4805;top:3868;width:3030;height:594" id="docshape25" filled="true" fillcolor="#4f81bc" stroked="false">
                  <v:fill type="solid"/>
                </v:rect>
                <v:rect style="position:absolute;left:4805;top:3868;width:3030;height:594" id="docshape26" filled="false" stroked="true" strokeweight="3.0pt" strokecolor="#f1f1f1">
                  <v:stroke dashstyle="solid"/>
                </v:rect>
                <v:shape style="position:absolute;left:4952;top:3972;width:2742;height:310" type="#_x0000_t202" id="docshape27" filled="true" fillcolor="#001f5f" stroked="false">
                  <v:textbox inset="0,0,0,0">
                    <w:txbxContent>
                      <w:p>
                        <w:pPr>
                          <w:spacing w:line="268" w:lineRule="exact" w:before="0"/>
                          <w:ind w:left="28" w:right="0" w:firstLine="0"/>
                          <w:jc w:val="left"/>
                          <w:rPr>
                            <w:rFonts w:ascii="Calibri"/>
                            <w:b/>
                            <w:color w:val="000000"/>
                            <w:sz w:val="22"/>
                          </w:rPr>
                        </w:pPr>
                        <w:r>
                          <w:rPr>
                            <w:rFonts w:ascii="Calibri"/>
                            <w:b/>
                            <w:color w:val="FFFFFF"/>
                            <w:sz w:val="22"/>
                          </w:rPr>
                          <w:t>Theoretical</w:t>
                        </w:r>
                        <w:r>
                          <w:rPr>
                            <w:rFonts w:ascii="Calibri"/>
                            <w:b/>
                            <w:color w:val="FFFFFF"/>
                            <w:spacing w:val="-8"/>
                            <w:sz w:val="22"/>
                          </w:rPr>
                          <w:t> </w:t>
                        </w:r>
                        <w:r>
                          <w:rPr>
                            <w:rFonts w:ascii="Calibri"/>
                            <w:b/>
                            <w:color w:val="FFFFFF"/>
                            <w:spacing w:val="-2"/>
                            <w:sz w:val="22"/>
                          </w:rPr>
                          <w:t>Framework</w:t>
                        </w:r>
                      </w:p>
                    </w:txbxContent>
                  </v:textbox>
                  <v:fill type="solid"/>
                  <w10:wrap type="none"/>
                </v:shape>
                <v:shape style="position:absolute;left:155;top:2887;width:1920;height:464" type="#_x0000_t202" id="docshape28" filled="false" stroked="true" strokeweight="1pt" strokecolor="#4f81bc">
                  <v:textbox inset="0,0,0,0">
                    <w:txbxContent>
                      <w:p>
                        <w:pPr>
                          <w:spacing w:before="72"/>
                          <w:ind w:left="0" w:right="0" w:firstLine="0"/>
                          <w:jc w:val="center"/>
                          <w:rPr>
                            <w:rFonts w:ascii="Calibri"/>
                            <w:b/>
                            <w:sz w:val="18"/>
                          </w:rPr>
                        </w:pPr>
                        <w:r>
                          <w:rPr>
                            <w:rFonts w:ascii="Calibri"/>
                            <w:b/>
                            <w:spacing w:val="-2"/>
                            <w:sz w:val="18"/>
                          </w:rPr>
                          <w:t>Housing</w:t>
                        </w:r>
                      </w:p>
                    </w:txbxContent>
                  </v:textbox>
                  <v:stroke dashstyle="shortdash"/>
                  <w10:wrap type="none"/>
                </v:shape>
                <v:shape style="position:absolute;left:2995;top:2778;width:1840;height:666" type="#_x0000_t202" id="docshape29" filled="false" stroked="true" strokeweight="1pt" strokecolor="#4f81bc">
                  <v:textbox inset="0,0,0,0">
                    <w:txbxContent>
                      <w:p>
                        <w:pPr>
                          <w:spacing w:before="68"/>
                          <w:ind w:left="156" w:right="0" w:firstLine="0"/>
                          <w:jc w:val="left"/>
                          <w:rPr>
                            <w:rFonts w:ascii="Calibri"/>
                            <w:b/>
                            <w:sz w:val="18"/>
                          </w:rPr>
                        </w:pPr>
                        <w:r>
                          <w:rPr>
                            <w:rFonts w:ascii="Calibri"/>
                            <w:b/>
                            <w:sz w:val="18"/>
                          </w:rPr>
                          <w:t>Citizen</w:t>
                        </w:r>
                        <w:r>
                          <w:rPr>
                            <w:rFonts w:ascii="Calibri"/>
                            <w:b/>
                            <w:spacing w:val="-3"/>
                            <w:sz w:val="18"/>
                          </w:rPr>
                          <w:t> </w:t>
                        </w:r>
                        <w:r>
                          <w:rPr>
                            <w:rFonts w:ascii="Calibri"/>
                            <w:b/>
                            <w:spacing w:val="-2"/>
                            <w:sz w:val="18"/>
                          </w:rPr>
                          <w:t>Participation</w:t>
                        </w:r>
                      </w:p>
                    </w:txbxContent>
                  </v:textbox>
                  <v:stroke dashstyle="shortdash"/>
                  <w10:wrap type="none"/>
                </v:shape>
                <v:shape style="position:absolute;left:1370;top:473;width:2145;height:480" type="#_x0000_t202" id="docshape30" filled="false" stroked="true" strokeweight="1pt" strokecolor="#4f81bc">
                  <v:textbox inset="0,0,0,0">
                    <w:txbxContent>
                      <w:p>
                        <w:pPr>
                          <w:spacing w:before="72"/>
                          <w:ind w:left="429" w:right="0" w:firstLine="0"/>
                          <w:jc w:val="left"/>
                          <w:rPr>
                            <w:rFonts w:ascii="Calibri"/>
                            <w:b/>
                            <w:sz w:val="18"/>
                          </w:rPr>
                        </w:pPr>
                        <w:r>
                          <w:rPr>
                            <w:rFonts w:ascii="Calibri"/>
                            <w:b/>
                            <w:sz w:val="18"/>
                          </w:rPr>
                          <w:t>Public</w:t>
                        </w:r>
                        <w:r>
                          <w:rPr>
                            <w:rFonts w:ascii="Calibri"/>
                            <w:b/>
                            <w:spacing w:val="-5"/>
                            <w:sz w:val="18"/>
                          </w:rPr>
                          <w:t> </w:t>
                        </w:r>
                        <w:r>
                          <w:rPr>
                            <w:rFonts w:ascii="Calibri"/>
                            <w:b/>
                            <w:spacing w:val="-2"/>
                            <w:sz w:val="18"/>
                          </w:rPr>
                          <w:t>Budgeting</w:t>
                        </w:r>
                      </w:p>
                    </w:txbxContent>
                  </v:textbox>
                  <v:stroke dashstyle="shortdash"/>
                  <w10:wrap type="none"/>
                </v:shape>
              </v:group>
            </w:pict>
          </mc:Fallback>
        </mc:AlternateContent>
      </w:r>
      <w:r>
        <w:rPr>
          <w:sz w:val="20"/>
        </w:rPr>
      </w:r>
    </w:p>
    <w:p>
      <w:pPr>
        <w:pStyle w:val="BodyText"/>
        <w:spacing w:before="244"/>
        <w:ind w:left="240"/>
        <w:jc w:val="both"/>
      </w:pPr>
      <w:r>
        <w:rPr>
          <w:b/>
        </w:rPr>
        <w:t>Figure</w:t>
      </w:r>
      <w:r>
        <w:rPr>
          <w:b/>
          <w:spacing w:val="-2"/>
        </w:rPr>
        <w:t> </w:t>
      </w:r>
      <w:r>
        <w:rPr>
          <w:b/>
        </w:rPr>
        <w:t>2.1.</w:t>
      </w:r>
      <w:r>
        <w:rPr>
          <w:b/>
          <w:spacing w:val="-1"/>
        </w:rPr>
        <w:t> </w:t>
      </w:r>
      <w:r>
        <w:rPr/>
        <w:t>The</w:t>
      </w:r>
      <w:r>
        <w:rPr>
          <w:spacing w:val="-2"/>
        </w:rPr>
        <w:t> </w:t>
      </w:r>
      <w:r>
        <w:rPr/>
        <w:t>position</w:t>
      </w:r>
      <w:r>
        <w:rPr>
          <w:spacing w:val="-1"/>
        </w:rPr>
        <w:t> </w:t>
      </w:r>
      <w:r>
        <w:rPr/>
        <w:t>of</w:t>
      </w:r>
      <w:r>
        <w:rPr>
          <w:spacing w:val="-2"/>
        </w:rPr>
        <w:t> </w:t>
      </w:r>
      <w:r>
        <w:rPr/>
        <w:t>the</w:t>
      </w:r>
      <w:r>
        <w:rPr>
          <w:spacing w:val="-1"/>
        </w:rPr>
        <w:t> </w:t>
      </w:r>
      <w:r>
        <w:rPr/>
        <w:t>theoretical</w:t>
      </w:r>
      <w:r>
        <w:rPr>
          <w:spacing w:val="-1"/>
        </w:rPr>
        <w:t> </w:t>
      </w:r>
      <w:r>
        <w:rPr/>
        <w:t>framework (Researcher‘s</w:t>
      </w:r>
      <w:r>
        <w:rPr>
          <w:spacing w:val="-2"/>
        </w:rPr>
        <w:t> </w:t>
      </w:r>
      <w:r>
        <w:rPr/>
        <w:t>construction,</w:t>
      </w:r>
      <w:r>
        <w:rPr>
          <w:spacing w:val="-1"/>
        </w:rPr>
        <w:t> </w:t>
      </w:r>
      <w:r>
        <w:rPr>
          <w:spacing w:val="-2"/>
        </w:rPr>
        <w:t>2017)</w:t>
      </w:r>
    </w:p>
    <w:p>
      <w:pPr>
        <w:pStyle w:val="BodyText"/>
        <w:spacing w:before="2"/>
      </w:pPr>
    </w:p>
    <w:p>
      <w:pPr>
        <w:pStyle w:val="BodyText"/>
        <w:spacing w:line="360" w:lineRule="auto"/>
        <w:ind w:left="240" w:right="836"/>
        <w:jc w:val="both"/>
      </w:pPr>
      <w:r>
        <w:rPr/>
        <w:t>The fundamental theories of public budgeting, housing and citizen participation, which will aid</w:t>
      </w:r>
      <w:r>
        <w:rPr>
          <w:spacing w:val="40"/>
        </w:rPr>
        <w:t> </w:t>
      </w:r>
      <w:r>
        <w:rPr/>
        <w:t>in the explanation and better understanding of the problem of housing budget performance are discussed in subsequent sections. However, in the context of this research, efficiency and effectiveness of housing budgeting as well as adequacy of allocated housing budgets are core issues being addressed and as such, three budget theories, namely: the theory of incrementalism, the progressive theory and the agenda-based theory sufficed.</w:t>
      </w:r>
    </w:p>
    <w:p>
      <w:pPr>
        <w:pStyle w:val="BodyText"/>
      </w:pPr>
    </w:p>
    <w:p>
      <w:pPr>
        <w:pStyle w:val="BodyText"/>
        <w:spacing w:before="27"/>
      </w:pPr>
    </w:p>
    <w:p>
      <w:pPr>
        <w:pStyle w:val="Heading4"/>
        <w:numPr>
          <w:ilvl w:val="1"/>
          <w:numId w:val="3"/>
        </w:numPr>
        <w:tabs>
          <w:tab w:pos="600" w:val="left" w:leader="none"/>
        </w:tabs>
        <w:spacing w:line="240" w:lineRule="auto" w:before="0" w:after="0"/>
        <w:ind w:left="600" w:right="0" w:hanging="360"/>
        <w:jc w:val="both"/>
      </w:pPr>
      <w:r>
        <w:rPr/>
        <w:t>The</w:t>
      </w:r>
      <w:r>
        <w:rPr>
          <w:spacing w:val="-2"/>
        </w:rPr>
        <w:t> </w:t>
      </w:r>
      <w:r>
        <w:rPr/>
        <w:t>Budget</w:t>
      </w:r>
      <w:r>
        <w:rPr>
          <w:spacing w:val="-1"/>
        </w:rPr>
        <w:t> </w:t>
      </w:r>
      <w:r>
        <w:rPr/>
        <w:t>Theory</w:t>
      </w:r>
      <w:r>
        <w:rPr>
          <w:spacing w:val="-4"/>
        </w:rPr>
        <w:t> </w:t>
      </w:r>
      <w:r>
        <w:rPr/>
        <w:t>of</w:t>
      </w:r>
      <w:r>
        <w:rPr>
          <w:spacing w:val="1"/>
        </w:rPr>
        <w:t> </w:t>
      </w:r>
      <w:r>
        <w:rPr>
          <w:spacing w:val="-2"/>
        </w:rPr>
        <w:t>Incrementalism</w:t>
      </w:r>
    </w:p>
    <w:p>
      <w:pPr>
        <w:pStyle w:val="BodyText"/>
        <w:spacing w:line="360" w:lineRule="auto" w:before="132"/>
        <w:ind w:left="240" w:right="836"/>
        <w:jc w:val="both"/>
      </w:pPr>
      <w:r>
        <w:rPr/>
        <w:t>The</w:t>
      </w:r>
      <w:r>
        <w:rPr>
          <w:spacing w:val="-1"/>
        </w:rPr>
        <w:t> </w:t>
      </w:r>
      <w:r>
        <w:rPr/>
        <w:t>theory</w:t>
      </w:r>
      <w:r>
        <w:rPr>
          <w:spacing w:val="-1"/>
        </w:rPr>
        <w:t> </w:t>
      </w:r>
      <w:r>
        <w:rPr/>
        <w:t>of incrementalism, which was the dominant theory</w:t>
      </w:r>
      <w:r>
        <w:rPr>
          <w:spacing w:val="-4"/>
        </w:rPr>
        <w:t> </w:t>
      </w:r>
      <w:r>
        <w:rPr/>
        <w:t>of budgeting in the1960s was first propounded by Wildavsky (1961) and was later applied empirically by Davis, Dempster, and Wildavsky (1966). It models budget makers as backward looking and changes in budget allocation as incremental and, in its strictest form, increasing or decreasing by the same proportion each year. With the current budget allocation tightly tied to the previous year‘s budget, it looks at change over a year rather than over longer time periods. The theory suggests that little or no room is left for actors to have an effect by lobbying for changes in budget allocation. Incrementalism is based on small, marginal changes from existing allocations. It contends</w:t>
      </w:r>
      <w:r>
        <w:rPr>
          <w:spacing w:val="8"/>
        </w:rPr>
        <w:t> </w:t>
      </w:r>
      <w:r>
        <w:rPr/>
        <w:t>not</w:t>
      </w:r>
      <w:r>
        <w:rPr>
          <w:spacing w:val="11"/>
        </w:rPr>
        <w:t> </w:t>
      </w:r>
      <w:r>
        <w:rPr/>
        <w:t>only</w:t>
      </w:r>
      <w:r>
        <w:rPr>
          <w:spacing w:val="4"/>
        </w:rPr>
        <w:t> </w:t>
      </w:r>
      <w:r>
        <w:rPr/>
        <w:t>that</w:t>
      </w:r>
      <w:r>
        <w:rPr>
          <w:spacing w:val="11"/>
        </w:rPr>
        <w:t> </w:t>
      </w:r>
      <w:r>
        <w:rPr/>
        <w:t>comprehensive</w:t>
      </w:r>
      <w:r>
        <w:rPr>
          <w:spacing w:val="10"/>
        </w:rPr>
        <w:t> </w:t>
      </w:r>
      <w:r>
        <w:rPr/>
        <w:t>rationality</w:t>
      </w:r>
      <w:r>
        <w:rPr>
          <w:spacing w:val="8"/>
        </w:rPr>
        <w:t> </w:t>
      </w:r>
      <w:r>
        <w:rPr/>
        <w:t>is</w:t>
      </w:r>
      <w:r>
        <w:rPr>
          <w:spacing w:val="12"/>
        </w:rPr>
        <w:t> </w:t>
      </w:r>
      <w:r>
        <w:rPr/>
        <w:t>impossible,</w:t>
      </w:r>
      <w:r>
        <w:rPr>
          <w:spacing w:val="10"/>
        </w:rPr>
        <w:t> </w:t>
      </w:r>
      <w:r>
        <w:rPr/>
        <w:t>but</w:t>
      </w:r>
      <w:r>
        <w:rPr>
          <w:spacing w:val="11"/>
        </w:rPr>
        <w:t> </w:t>
      </w:r>
      <w:r>
        <w:rPr/>
        <w:t>also</w:t>
      </w:r>
      <w:r>
        <w:rPr>
          <w:spacing w:val="12"/>
        </w:rPr>
        <w:t> </w:t>
      </w:r>
      <w:r>
        <w:rPr/>
        <w:t>that</w:t>
      </w:r>
      <w:r>
        <w:rPr>
          <w:spacing w:val="11"/>
        </w:rPr>
        <w:t> </w:t>
      </w:r>
      <w:r>
        <w:rPr/>
        <w:t>policies</w:t>
      </w:r>
      <w:r>
        <w:rPr>
          <w:spacing w:val="18"/>
        </w:rPr>
        <w:t> </w:t>
      </w:r>
      <w:r>
        <w:rPr/>
        <w:t>are</w:t>
      </w:r>
      <w:r>
        <w:rPr>
          <w:spacing w:val="10"/>
        </w:rPr>
        <w:t> </w:t>
      </w:r>
      <w:r>
        <w:rPr>
          <w:spacing w:val="-2"/>
        </w:rPr>
        <w:t>seldom</w:t>
      </w:r>
    </w:p>
    <w:p>
      <w:pPr>
        <w:spacing w:after="0" w:line="360" w:lineRule="auto"/>
        <w:jc w:val="both"/>
        <w:sectPr>
          <w:pgSz w:w="12240" w:h="15840"/>
          <w:pgMar w:header="0" w:footer="1036" w:top="1400" w:bottom="1220" w:left="1200" w:right="600"/>
        </w:sectPr>
      </w:pPr>
    </w:p>
    <w:p>
      <w:pPr>
        <w:pStyle w:val="BodyText"/>
        <w:spacing w:line="360" w:lineRule="auto" w:before="74"/>
        <w:ind w:left="240" w:right="837"/>
        <w:jc w:val="both"/>
      </w:pPr>
      <w:r>
        <w:rPr/>
        <w:t>changed radically as a result of extensive reviews. It is a tendency of government to tinker with policies rather than to question the value of continuing them (Hogye, 2001).</w:t>
      </w:r>
    </w:p>
    <w:p>
      <w:pPr>
        <w:pStyle w:val="BodyText"/>
        <w:spacing w:before="137"/>
      </w:pPr>
    </w:p>
    <w:p>
      <w:pPr>
        <w:pStyle w:val="BodyText"/>
        <w:spacing w:line="360" w:lineRule="auto"/>
        <w:ind w:left="240" w:right="835"/>
        <w:jc w:val="both"/>
      </w:pPr>
      <w:r>
        <w:rPr/>
        <w:t>In view of the above assertions, Wildavsky (1961) states that budgeting is more than allocating the scarce resources between X and Y activities; it is about meeting the conflicting needs of a society by bringing about compromises in the political marketplace through incremental adjustment(s) in budget allocation. Hence, ―budgeting is incremental, not comprehensive. The beginning of wisdom about an agency budget is that it is almost never actively reviewed as a whole every year. . . instead, it is based on last year‘s budget with special attention given to a narrow range of increases or decreases‖ (Wildavsky, 1964,p.15).</w:t>
      </w:r>
    </w:p>
    <w:p>
      <w:pPr>
        <w:pStyle w:val="BodyText"/>
        <w:spacing w:before="139"/>
      </w:pPr>
    </w:p>
    <w:p>
      <w:pPr>
        <w:pStyle w:val="BodyText"/>
        <w:spacing w:line="360" w:lineRule="auto"/>
        <w:ind w:left="240" w:right="833"/>
        <w:jc w:val="both"/>
      </w:pPr>
      <w:r>
        <w:rPr/>
        <w:t>According to (Schick, 1990), budget processes were seen as stable, predictable, changing little from year to year and based on well defined roles that could be represented by relatively simple decision rules. Schick argues that a process which concentrates on an increment is preferable to one that attempts to review the whole budget because it moderates conflict, reduces search costs, stabilizes budgetary roles and expectations, and reduces the amount of time that officials must invest in budgeting, thus increasing the likelihood that important political values will be taken into account. The term incrementalism promises budgetary growth within most of the programs.</w:t>
      </w:r>
    </w:p>
    <w:p>
      <w:pPr>
        <w:pStyle w:val="BodyText"/>
        <w:spacing w:before="69"/>
      </w:pPr>
    </w:p>
    <w:p>
      <w:pPr>
        <w:pStyle w:val="BodyText"/>
        <w:spacing w:line="360" w:lineRule="auto"/>
        <w:ind w:left="240" w:right="836"/>
        <w:jc w:val="both"/>
      </w:pPr>
      <w:r>
        <w:rPr/>
        <w:t>Statistical analysis of incremental outcomes typically measures the amounts and rates of</w:t>
      </w:r>
      <w:r>
        <w:rPr>
          <w:spacing w:val="40"/>
        </w:rPr>
        <w:t> </w:t>
      </w:r>
      <w:r>
        <w:rPr/>
        <w:t>increase. However, incrementalism offers little explanation as to how decisions are made or how the increment is divided. This led to incrementalism being seriously challenged as a theory of budgeting in the late1970s because of the narrowness of its analytical focus and changes in the environment and processes of budgeting (LeLoup, 1978).</w:t>
      </w:r>
    </w:p>
    <w:p>
      <w:pPr>
        <w:pStyle w:val="BodyText"/>
        <w:spacing w:before="72"/>
      </w:pPr>
    </w:p>
    <w:p>
      <w:pPr>
        <w:pStyle w:val="BodyText"/>
        <w:spacing w:line="360" w:lineRule="auto"/>
        <w:ind w:left="240" w:right="835"/>
        <w:jc w:val="both"/>
      </w:pPr>
      <w:r>
        <w:rPr/>
        <w:t>The incremental budget theory has been applied to the budget-making process of a variety countries and organizations (Cowart, Hansen, &amp; Brofoss, 1975). However, the logic and applicability of the incremental model has been challenged almost from the time it was first proposed, including through questions regarding the definition of what amount of budgetary change</w:t>
      </w:r>
      <w:r>
        <w:rPr>
          <w:spacing w:val="72"/>
        </w:rPr>
        <w:t> </w:t>
      </w:r>
      <w:r>
        <w:rPr/>
        <w:t>would</w:t>
      </w:r>
      <w:r>
        <w:rPr>
          <w:spacing w:val="74"/>
        </w:rPr>
        <w:t> </w:t>
      </w:r>
      <w:r>
        <w:rPr/>
        <w:t>be</w:t>
      </w:r>
      <w:r>
        <w:rPr>
          <w:spacing w:val="75"/>
        </w:rPr>
        <w:t> </w:t>
      </w:r>
      <w:r>
        <w:rPr/>
        <w:t>considered</w:t>
      </w:r>
      <w:r>
        <w:rPr>
          <w:spacing w:val="74"/>
        </w:rPr>
        <w:t> </w:t>
      </w:r>
      <w:r>
        <w:rPr/>
        <w:t>incremental,</w:t>
      </w:r>
      <w:r>
        <w:rPr>
          <w:spacing w:val="74"/>
        </w:rPr>
        <w:t> </w:t>
      </w:r>
      <w:r>
        <w:rPr/>
        <w:t>but</w:t>
      </w:r>
      <w:r>
        <w:rPr>
          <w:spacing w:val="76"/>
        </w:rPr>
        <w:t> </w:t>
      </w:r>
      <w:r>
        <w:rPr/>
        <w:t>more</w:t>
      </w:r>
      <w:r>
        <w:rPr>
          <w:spacing w:val="72"/>
        </w:rPr>
        <w:t> </w:t>
      </w:r>
      <w:r>
        <w:rPr/>
        <w:t>importantly</w:t>
      </w:r>
      <w:r>
        <w:rPr>
          <w:spacing w:val="69"/>
        </w:rPr>
        <w:t> </w:t>
      </w:r>
      <w:r>
        <w:rPr/>
        <w:t>through</w:t>
      </w:r>
      <w:r>
        <w:rPr>
          <w:spacing w:val="74"/>
        </w:rPr>
        <w:t> </w:t>
      </w:r>
      <w:r>
        <w:rPr/>
        <w:t>doubts</w:t>
      </w:r>
      <w:r>
        <w:rPr>
          <w:spacing w:val="77"/>
        </w:rPr>
        <w:t> </w:t>
      </w:r>
      <w:r>
        <w:rPr/>
        <w:t>about</w:t>
      </w:r>
      <w:r>
        <w:rPr>
          <w:spacing w:val="74"/>
        </w:rPr>
        <w:t> </w:t>
      </w:r>
      <w:r>
        <w:rPr>
          <w:spacing w:val="-5"/>
        </w:rPr>
        <w:t>the</w:t>
      </w:r>
    </w:p>
    <w:p>
      <w:pPr>
        <w:spacing w:after="0" w:line="360" w:lineRule="auto"/>
        <w:jc w:val="both"/>
        <w:sectPr>
          <w:pgSz w:w="12240" w:h="15840"/>
          <w:pgMar w:header="0" w:footer="1036" w:top="1360" w:bottom="1220" w:left="1200" w:right="600"/>
        </w:sectPr>
      </w:pPr>
    </w:p>
    <w:p>
      <w:pPr>
        <w:pStyle w:val="BodyText"/>
        <w:spacing w:line="360" w:lineRule="auto" w:before="74"/>
        <w:ind w:left="240" w:right="846"/>
        <w:jc w:val="both"/>
      </w:pPr>
      <w:r>
        <w:rPr/>
        <w:t>assertion that neither policymakers‘ objectives nor politics and pressure groups feature in the equation (Natchez and Bupp, 1973).</w:t>
      </w:r>
    </w:p>
    <w:p>
      <w:pPr>
        <w:pStyle w:val="BodyText"/>
      </w:pPr>
    </w:p>
    <w:p>
      <w:pPr>
        <w:pStyle w:val="BodyText"/>
        <w:spacing w:line="360" w:lineRule="auto" w:before="1"/>
        <w:ind w:left="240" w:right="834"/>
        <w:jc w:val="both"/>
      </w:pPr>
      <w:r>
        <w:rPr/>
        <w:t>The incrementalist theory of budgeting has some intuitive appeal for housing provision because allocations should be increased annually</w:t>
      </w:r>
      <w:r>
        <w:rPr>
          <w:spacing w:val="-3"/>
        </w:rPr>
        <w:t> </w:t>
      </w:r>
      <w:r>
        <w:rPr/>
        <w:t>to fill the needs of citizens lacking basic housing and as well accommodate the constantly increasing population due to migration. It also addresses the issue of skewedness in housing budgetary allocations, where some years may go without any additions or increase made in housing allocation.</w:t>
      </w:r>
      <w:r>
        <w:rPr>
          <w:spacing w:val="40"/>
        </w:rPr>
        <w:t> </w:t>
      </w:r>
      <w:r>
        <w:rPr/>
        <w:t>However, it appears theoretically more interesting to seek to understand under what conditions, situations or circumstances budgetary compositions are slow moving, and under what circumstances they are prone to greater shifts.</w:t>
      </w:r>
    </w:p>
    <w:p>
      <w:pPr>
        <w:pStyle w:val="BodyText"/>
        <w:spacing w:before="222"/>
      </w:pPr>
    </w:p>
    <w:p>
      <w:pPr>
        <w:pStyle w:val="Heading4"/>
        <w:numPr>
          <w:ilvl w:val="1"/>
          <w:numId w:val="3"/>
        </w:numPr>
        <w:tabs>
          <w:tab w:pos="600" w:val="left" w:leader="none"/>
        </w:tabs>
        <w:spacing w:line="240" w:lineRule="auto" w:before="0" w:after="0"/>
        <w:ind w:left="600" w:right="0" w:hanging="360"/>
        <w:jc w:val="both"/>
      </w:pPr>
      <w:r>
        <w:rPr/>
        <w:t>The</w:t>
      </w:r>
      <w:r>
        <w:rPr>
          <w:spacing w:val="-3"/>
        </w:rPr>
        <w:t> </w:t>
      </w:r>
      <w:r>
        <w:rPr/>
        <w:t>Progressive</w:t>
      </w:r>
      <w:r>
        <w:rPr>
          <w:spacing w:val="-3"/>
        </w:rPr>
        <w:t> </w:t>
      </w:r>
      <w:r>
        <w:rPr/>
        <w:t>Theory</w:t>
      </w:r>
      <w:r>
        <w:rPr>
          <w:spacing w:val="-2"/>
        </w:rPr>
        <w:t> </w:t>
      </w:r>
      <w:r>
        <w:rPr/>
        <w:t>of</w:t>
      </w:r>
      <w:r>
        <w:rPr>
          <w:spacing w:val="-1"/>
        </w:rPr>
        <w:t> </w:t>
      </w:r>
      <w:r>
        <w:rPr/>
        <w:t>Public</w:t>
      </w:r>
      <w:r>
        <w:rPr>
          <w:spacing w:val="-2"/>
        </w:rPr>
        <w:t> Budgeting</w:t>
      </w:r>
    </w:p>
    <w:p>
      <w:pPr>
        <w:pStyle w:val="BodyText"/>
        <w:spacing w:line="360" w:lineRule="auto" w:before="135"/>
        <w:ind w:left="240" w:right="833"/>
        <w:jc w:val="both"/>
      </w:pPr>
      <w:r>
        <w:rPr/>
        <w:t>The progressive theory of budgeting was propounded by Walker (1930). She is considered the only American writer on public finance who has given extended attention to the problem of the objective distribution of expenditures or rational allocation. The perspective of Walker (1930) centers on the challenges and opportunities of urban life. She however focused her attention on expenditures of city governments and what struck Walker‘s attention was whether budget distributions were similar. What perplexed Walker was that there were many texts on procedure of budgets, but the question of allocation was so severely let alone. Sequel to this, Walker also intended to provide a theory to aid decisions for allocation of government expenditures. After a careful study of Walker‘s works, Key (1987) also supported her views by emphasizing that the basic budget problem is: ―on what basis shall it be decided to allocate </w:t>
      </w:r>
      <w:r>
        <w:rPr>
          <w:i/>
        </w:rPr>
        <w:t>x </w:t>
      </w:r>
      <w:r>
        <w:rPr/>
        <w:t>dollars to activity A instead of activity</w:t>
      </w:r>
      <w:r>
        <w:rPr>
          <w:spacing w:val="-5"/>
        </w:rPr>
        <w:t> </w:t>
      </w:r>
      <w:r>
        <w:rPr/>
        <w:t>B?‖</w:t>
      </w:r>
      <w:r>
        <w:rPr>
          <w:spacing w:val="-1"/>
        </w:rPr>
        <w:t> </w:t>
      </w:r>
      <w:r>
        <w:rPr/>
        <w:t>This</w:t>
      </w:r>
      <w:r>
        <w:rPr>
          <w:spacing w:val="-1"/>
        </w:rPr>
        <w:t> </w:t>
      </w:r>
      <w:r>
        <w:rPr/>
        <w:t>question of</w:t>
      </w:r>
      <w:r>
        <w:rPr>
          <w:spacing w:val="-1"/>
        </w:rPr>
        <w:t> </w:t>
      </w:r>
      <w:r>
        <w:rPr/>
        <w:t>proportion has</w:t>
      </w:r>
      <w:r>
        <w:rPr>
          <w:spacing w:val="-1"/>
        </w:rPr>
        <w:t> </w:t>
      </w:r>
      <w:r>
        <w:rPr/>
        <w:t>been a</w:t>
      </w:r>
      <w:r>
        <w:rPr>
          <w:spacing w:val="-1"/>
        </w:rPr>
        <w:t> </w:t>
      </w:r>
      <w:r>
        <w:rPr/>
        <w:t>central issue in budgeting</w:t>
      </w:r>
      <w:r>
        <w:rPr>
          <w:spacing w:val="-3"/>
        </w:rPr>
        <w:t> </w:t>
      </w:r>
      <w:r>
        <w:rPr/>
        <w:t>for many </w:t>
      </w:r>
      <w:r>
        <w:rPr>
          <w:spacing w:val="-2"/>
        </w:rPr>
        <w:t>years.</w:t>
      </w:r>
    </w:p>
    <w:p>
      <w:pPr>
        <w:pStyle w:val="BodyText"/>
        <w:spacing w:before="138"/>
      </w:pPr>
    </w:p>
    <w:p>
      <w:pPr>
        <w:pStyle w:val="BodyText"/>
        <w:spacing w:line="360" w:lineRule="auto"/>
        <w:ind w:left="240" w:right="837"/>
        <w:jc w:val="both"/>
      </w:pPr>
      <w:r>
        <w:rPr/>
        <w:t>Progressivism was a middle-class reform sentiment characterized by the use of informed, moderate, and complex thought with concerns for urban reform, social welfare, and interests of consumers. Progressives felt the responsibility to organize, legislate, and administer to address urban social problems. They were both pragmatic and intellectual in their approach (Hofstadter, 1955).</w:t>
      </w:r>
      <w:r>
        <w:rPr>
          <w:spacing w:val="14"/>
        </w:rPr>
        <w:t> </w:t>
      </w:r>
      <w:r>
        <w:rPr/>
        <w:t>Although</w:t>
      </w:r>
      <w:r>
        <w:rPr>
          <w:spacing w:val="14"/>
        </w:rPr>
        <w:t> </w:t>
      </w:r>
      <w:r>
        <w:rPr/>
        <w:t>Walker‘s</w:t>
      </w:r>
      <w:r>
        <w:rPr>
          <w:spacing w:val="13"/>
        </w:rPr>
        <w:t> </w:t>
      </w:r>
      <w:r>
        <w:rPr/>
        <w:t>theory</w:t>
      </w:r>
      <w:r>
        <w:rPr>
          <w:spacing w:val="10"/>
        </w:rPr>
        <w:t> </w:t>
      </w:r>
      <w:r>
        <w:rPr/>
        <w:t>was</w:t>
      </w:r>
      <w:r>
        <w:rPr>
          <w:spacing w:val="14"/>
        </w:rPr>
        <w:t> </w:t>
      </w:r>
      <w:r>
        <w:rPr/>
        <w:t>developed</w:t>
      </w:r>
      <w:r>
        <w:rPr>
          <w:spacing w:val="16"/>
        </w:rPr>
        <w:t> </w:t>
      </w:r>
      <w:r>
        <w:rPr/>
        <w:t>during</w:t>
      </w:r>
      <w:r>
        <w:rPr>
          <w:spacing w:val="12"/>
        </w:rPr>
        <w:t> </w:t>
      </w:r>
      <w:r>
        <w:rPr/>
        <w:t>the</w:t>
      </w:r>
      <w:r>
        <w:rPr>
          <w:spacing w:val="13"/>
        </w:rPr>
        <w:t> </w:t>
      </w:r>
      <w:r>
        <w:rPr/>
        <w:t>late</w:t>
      </w:r>
      <w:r>
        <w:rPr>
          <w:spacing w:val="13"/>
        </w:rPr>
        <w:t> </w:t>
      </w:r>
      <w:r>
        <w:rPr/>
        <w:t>1920s,</w:t>
      </w:r>
      <w:r>
        <w:rPr>
          <w:spacing w:val="14"/>
        </w:rPr>
        <w:t> </w:t>
      </w:r>
      <w:r>
        <w:rPr/>
        <w:t>outside</w:t>
      </w:r>
      <w:r>
        <w:rPr>
          <w:spacing w:val="14"/>
        </w:rPr>
        <w:t> </w:t>
      </w:r>
      <w:r>
        <w:rPr/>
        <w:t>the</w:t>
      </w:r>
      <w:r>
        <w:rPr>
          <w:spacing w:val="13"/>
        </w:rPr>
        <w:t> </w:t>
      </w:r>
      <w:r>
        <w:rPr/>
        <w:t>time</w:t>
      </w:r>
      <w:r>
        <w:rPr>
          <w:spacing w:val="13"/>
        </w:rPr>
        <w:t> </w:t>
      </w:r>
      <w:r>
        <w:rPr/>
        <w:t>line</w:t>
      </w:r>
      <w:r>
        <w:rPr>
          <w:spacing w:val="14"/>
        </w:rPr>
        <w:t> </w:t>
      </w:r>
      <w:r>
        <w:rPr>
          <w:spacing w:val="-5"/>
        </w:rPr>
        <w:t>set</w:t>
      </w:r>
    </w:p>
    <w:p>
      <w:pPr>
        <w:spacing w:after="0" w:line="360" w:lineRule="auto"/>
        <w:jc w:val="both"/>
        <w:sectPr>
          <w:pgSz w:w="12240" w:h="15840"/>
          <w:pgMar w:header="0" w:footer="1036" w:top="1360" w:bottom="1220" w:left="1200" w:right="600"/>
        </w:sectPr>
      </w:pPr>
    </w:p>
    <w:p>
      <w:pPr>
        <w:pStyle w:val="BodyText"/>
        <w:spacing w:line="360" w:lineRule="auto" w:before="74"/>
        <w:ind w:left="240" w:right="844"/>
        <w:jc w:val="both"/>
      </w:pPr>
      <w:r>
        <w:rPr/>
        <w:t>by historians of the Progressive movement, it is in the Progressive tradition with an emphasis on informed, rigorous, scientifically based knowledge used to administer government.</w:t>
      </w:r>
    </w:p>
    <w:p>
      <w:pPr>
        <w:pStyle w:val="BodyText"/>
        <w:spacing w:before="104"/>
      </w:pPr>
    </w:p>
    <w:p>
      <w:pPr>
        <w:pStyle w:val="BodyText"/>
        <w:spacing w:line="360" w:lineRule="auto"/>
        <w:ind w:left="240" w:right="834"/>
        <w:jc w:val="both"/>
      </w:pPr>
      <w:r>
        <w:rPr/>
        <w:t>The second meaning of progressivism that applies to Walker‘s theory is the use of progressive ideals as part of social and intellectual thought. The progressive philosophy holds a core value of a society that develops and improves with the help of government as the agent to produce this change. This type of progressive philosophy is a base for Walker‘s theory. Progressive criteria included administrative values that public officials needed to understand and use in making budget decisions.</w:t>
      </w:r>
    </w:p>
    <w:p>
      <w:pPr>
        <w:pStyle w:val="BodyText"/>
        <w:spacing w:before="70"/>
      </w:pPr>
    </w:p>
    <w:p>
      <w:pPr>
        <w:pStyle w:val="BodyText"/>
        <w:spacing w:line="360" w:lineRule="auto"/>
        <w:ind w:left="240" w:right="836"/>
        <w:jc w:val="both"/>
      </w:pPr>
      <w:r>
        <w:rPr/>
        <w:t>The value context, or preconditions, for the progressive theory which was set forth by Walker include the following:</w:t>
      </w:r>
    </w:p>
    <w:p>
      <w:pPr>
        <w:pStyle w:val="ListParagraph"/>
        <w:numPr>
          <w:ilvl w:val="0"/>
          <w:numId w:val="4"/>
        </w:numPr>
        <w:tabs>
          <w:tab w:pos="587" w:val="left" w:leader="none"/>
        </w:tabs>
        <w:spacing w:line="360" w:lineRule="auto" w:before="115" w:after="0"/>
        <w:ind w:left="240" w:right="836" w:firstLine="0"/>
        <w:jc w:val="both"/>
        <w:rPr>
          <w:sz w:val="24"/>
        </w:rPr>
      </w:pPr>
      <w:r>
        <w:rPr>
          <w:sz w:val="24"/>
        </w:rPr>
        <w:t>There is a developmental or evolutionary nature of cities, the assumption that governments actively seek to improve to reach a level of excellence. It was assumed that the services and methods used by public officers were evolving for the better, and that public officers could manage this development to a higher level of existence and quality of life. In addition, it was thought that the most advanced progressive cities managed by rational administrators would not accept the minimum level of service or an ordinary level of service. Instead, they would seek to achieve a level of services in quality and quantity that was as close to excellent as they could </w:t>
      </w:r>
      <w:r>
        <w:rPr>
          <w:spacing w:val="-2"/>
          <w:sz w:val="24"/>
        </w:rPr>
        <w:t>achieve.</w:t>
      </w:r>
    </w:p>
    <w:p>
      <w:pPr>
        <w:pStyle w:val="ListParagraph"/>
        <w:numPr>
          <w:ilvl w:val="0"/>
          <w:numId w:val="4"/>
        </w:numPr>
        <w:tabs>
          <w:tab w:pos="596" w:val="left" w:leader="none"/>
        </w:tabs>
        <w:spacing w:line="360" w:lineRule="auto" w:before="138" w:after="0"/>
        <w:ind w:left="240" w:right="838" w:firstLine="0"/>
        <w:jc w:val="both"/>
        <w:rPr>
          <w:sz w:val="24"/>
        </w:rPr>
      </w:pPr>
      <w:r>
        <w:rPr>
          <w:sz w:val="24"/>
        </w:rPr>
        <w:t>There are the progressive criteria for government crystallized in the four values of honesty, economy, efficiency, and proportion. These four progressive values for good administration reflected interests and norms of both scholars and society, in definition and operation. These values developed from approximately 1840 to 1930. As requisites, these values were held to be neither independent nor exclusive; instead, they are cumulative in nature. The fundamental requirement was honesty in government.</w:t>
      </w:r>
    </w:p>
    <w:p>
      <w:pPr>
        <w:pStyle w:val="BodyText"/>
        <w:spacing w:before="1"/>
      </w:pPr>
    </w:p>
    <w:p>
      <w:pPr>
        <w:pStyle w:val="BodyText"/>
        <w:spacing w:line="360" w:lineRule="auto"/>
        <w:ind w:left="240" w:right="836"/>
        <w:jc w:val="both"/>
      </w:pPr>
      <w:r>
        <w:rPr/>
        <w:t>Honesty was recognized by reformers because it was needed to address and to prevent looting, plunder, and graft. Economy is a retrenchment and paring down or cutting down of government especially to keep the tax rate and government receipts low. The value of efficiency is not the same</w:t>
      </w:r>
      <w:r>
        <w:rPr>
          <w:spacing w:val="3"/>
        </w:rPr>
        <w:t> </w:t>
      </w:r>
      <w:r>
        <w:rPr/>
        <w:t>as</w:t>
      </w:r>
      <w:r>
        <w:rPr>
          <w:spacing w:val="6"/>
        </w:rPr>
        <w:t> </w:t>
      </w:r>
      <w:r>
        <w:rPr/>
        <w:t>economy.</w:t>
      </w:r>
      <w:r>
        <w:rPr>
          <w:spacing w:val="5"/>
        </w:rPr>
        <w:t> </w:t>
      </w:r>
      <w:r>
        <w:rPr/>
        <w:t>Efficiency</w:t>
      </w:r>
      <w:r>
        <w:rPr>
          <w:spacing w:val="2"/>
        </w:rPr>
        <w:t> </w:t>
      </w:r>
      <w:r>
        <w:rPr/>
        <w:t>emphasized</w:t>
      </w:r>
      <w:r>
        <w:rPr>
          <w:spacing w:val="4"/>
        </w:rPr>
        <w:t> </w:t>
      </w:r>
      <w:r>
        <w:rPr/>
        <w:t>use</w:t>
      </w:r>
      <w:r>
        <w:rPr>
          <w:spacing w:val="5"/>
        </w:rPr>
        <w:t> </w:t>
      </w:r>
      <w:r>
        <w:rPr/>
        <w:t>of</w:t>
      </w:r>
      <w:r>
        <w:rPr>
          <w:spacing w:val="6"/>
        </w:rPr>
        <w:t> </w:t>
      </w:r>
      <w:r>
        <w:rPr/>
        <w:t>resources.</w:t>
      </w:r>
      <w:r>
        <w:rPr>
          <w:spacing w:val="6"/>
        </w:rPr>
        <w:t> </w:t>
      </w:r>
      <w:r>
        <w:rPr/>
        <w:t>The</w:t>
      </w:r>
      <w:r>
        <w:rPr>
          <w:spacing w:val="4"/>
        </w:rPr>
        <w:t> </w:t>
      </w:r>
      <w:r>
        <w:rPr/>
        <w:t>tools</w:t>
      </w:r>
      <w:r>
        <w:rPr>
          <w:spacing w:val="4"/>
        </w:rPr>
        <w:t> </w:t>
      </w:r>
      <w:r>
        <w:rPr/>
        <w:t>used</w:t>
      </w:r>
      <w:r>
        <w:rPr>
          <w:spacing w:val="8"/>
        </w:rPr>
        <w:t> </w:t>
      </w:r>
      <w:r>
        <w:rPr/>
        <w:t>to</w:t>
      </w:r>
      <w:r>
        <w:rPr>
          <w:spacing w:val="4"/>
        </w:rPr>
        <w:t> </w:t>
      </w:r>
      <w:r>
        <w:rPr/>
        <w:t>gain</w:t>
      </w:r>
      <w:r>
        <w:rPr>
          <w:spacing w:val="5"/>
        </w:rPr>
        <w:t> </w:t>
      </w:r>
      <w:r>
        <w:rPr/>
        <w:t>efficiency</w:t>
      </w:r>
      <w:r>
        <w:rPr>
          <w:spacing w:val="2"/>
        </w:rPr>
        <w:t> </w:t>
      </w:r>
      <w:r>
        <w:rPr>
          <w:spacing w:val="-5"/>
        </w:rPr>
        <w:t>and</w:t>
      </w:r>
    </w:p>
    <w:p>
      <w:pPr>
        <w:spacing w:after="0" w:line="360" w:lineRule="auto"/>
        <w:jc w:val="both"/>
        <w:sectPr>
          <w:pgSz w:w="12240" w:h="15840"/>
          <w:pgMar w:header="0" w:footer="1036" w:top="1360" w:bottom="1220" w:left="1200" w:right="600"/>
        </w:sectPr>
      </w:pPr>
    </w:p>
    <w:p>
      <w:pPr>
        <w:pStyle w:val="BodyText"/>
        <w:spacing w:line="360" w:lineRule="auto" w:before="74"/>
        <w:ind w:left="240" w:right="836"/>
        <w:jc w:val="both"/>
      </w:pPr>
      <w:r>
        <w:rPr/>
        <w:t>minimize waste were scientific management and production reforms. Proportion, the final progressive value means a balance in activities being pursued.</w:t>
      </w:r>
    </w:p>
    <w:p>
      <w:pPr>
        <w:pStyle w:val="BodyText"/>
        <w:spacing w:line="360" w:lineRule="auto" w:before="207"/>
        <w:ind w:left="240" w:right="833"/>
        <w:jc w:val="both"/>
      </w:pPr>
      <w:r>
        <w:rPr/>
        <w:t>The values of honesty, economy, and efficiency are thus central to budgets, particularly with regard to the problem of expenditures. For Walker, it was one way to provide guidance to</w:t>
      </w:r>
      <w:r>
        <w:rPr>
          <w:spacing w:val="40"/>
        </w:rPr>
        <w:t> </w:t>
      </w:r>
      <w:r>
        <w:rPr/>
        <w:t>achieve proportion, hence Walker‘s study considered the value of proportion; the problem of budget proportion and allocation.</w:t>
      </w:r>
    </w:p>
    <w:p>
      <w:pPr>
        <w:pStyle w:val="BodyText"/>
        <w:spacing w:before="139"/>
      </w:pPr>
    </w:p>
    <w:p>
      <w:pPr>
        <w:pStyle w:val="BodyText"/>
        <w:spacing w:line="360" w:lineRule="auto"/>
        <w:ind w:left="240" w:right="838"/>
        <w:jc w:val="both"/>
      </w:pPr>
      <w:r>
        <w:rPr/>
        <w:t>The progressive budget theory centered on the premise that the means to decide how to allocate between options was an expression of balance between citizen demand and government service provision. A theory of expenditures based on economic ideas was preferable to reliance on abstract pleas to the claims of justice that was non-economic. In other words, despite some limitations, allocation based on economics provided facts to replace judgmental arguments.</w:t>
      </w:r>
    </w:p>
    <w:p>
      <w:pPr>
        <w:pStyle w:val="BodyText"/>
        <w:spacing w:before="139"/>
      </w:pPr>
    </w:p>
    <w:p>
      <w:pPr>
        <w:pStyle w:val="BodyText"/>
        <w:spacing w:line="360" w:lineRule="auto"/>
        <w:ind w:left="240" w:right="833"/>
        <w:jc w:val="both"/>
      </w:pPr>
      <w:r>
        <w:rPr/>
        <w:t>Consequently, Walker (1930) rejected judgmental approaches of budgeting because they were justification for appeals to the claims of justice. Walker believed these judgmental approaches</w:t>
      </w:r>
      <w:r>
        <w:rPr>
          <w:spacing w:val="40"/>
        </w:rPr>
        <w:t> </w:t>
      </w:r>
      <w:r>
        <w:rPr/>
        <w:t>did not provide systematic assistance to those making the budget plans and decisions because justification was in essence an apology. Instead, she based her work on the economic and scientific approach to budget allocation. The economic-scientific approach to budget in her view considered a rational modern analytic technique; it uses research grounded in economic theory and models with carefully gathered empirical data, and systematic analyses, using statistics and other quantitative methods.</w:t>
      </w:r>
      <w:r>
        <w:rPr>
          <w:spacing w:val="40"/>
        </w:rPr>
        <w:t> </w:t>
      </w:r>
      <w:r>
        <w:rPr/>
        <w:t>Thus, there does seem to be a need for any criterion to be laid down clearly, showing in rigid proportions the amounts to be expended on each and every budget function or program. Walker (1930) further notes that budget allocation decisions should be based on measurable criteria. In considering measurable criteria, there needs to be a way to determine proportion and to weigh budget choices.</w:t>
      </w:r>
    </w:p>
    <w:p>
      <w:pPr>
        <w:pStyle w:val="BodyText"/>
        <w:spacing w:before="138"/>
      </w:pPr>
    </w:p>
    <w:p>
      <w:pPr>
        <w:pStyle w:val="BodyText"/>
        <w:spacing w:line="360" w:lineRule="auto"/>
        <w:ind w:left="240" w:right="836"/>
        <w:jc w:val="both"/>
      </w:pPr>
      <w:r>
        <w:rPr/>
        <w:t>Some</w:t>
      </w:r>
      <w:r>
        <w:rPr>
          <w:spacing w:val="-1"/>
        </w:rPr>
        <w:t> </w:t>
      </w:r>
      <w:r>
        <w:rPr/>
        <w:t>of</w:t>
      </w:r>
      <w:r>
        <w:rPr>
          <w:spacing w:val="-1"/>
        </w:rPr>
        <w:t> </w:t>
      </w:r>
      <w:r>
        <w:rPr/>
        <w:t>the weaknesses of</w:t>
      </w:r>
      <w:r>
        <w:rPr>
          <w:spacing w:val="-1"/>
        </w:rPr>
        <w:t> </w:t>
      </w:r>
      <w:r>
        <w:rPr/>
        <w:t>Walker‘s theory</w:t>
      </w:r>
      <w:r>
        <w:rPr>
          <w:spacing w:val="-3"/>
        </w:rPr>
        <w:t> </w:t>
      </w:r>
      <w:r>
        <w:rPr/>
        <w:t>relate to her lack of</w:t>
      </w:r>
      <w:r>
        <w:rPr>
          <w:spacing w:val="-1"/>
        </w:rPr>
        <w:t> </w:t>
      </w:r>
      <w:r>
        <w:rPr/>
        <w:t>measuring citizen satisfaction or other approaches to quality of services provided. The other criticism is in Walker‘s measure of quality. What Walker used for quality of services was the frequency of service; this is an output measure. She followed this up with direct observations, site visits, statistical data analysis, interviews</w:t>
      </w:r>
      <w:r>
        <w:rPr>
          <w:spacing w:val="43"/>
        </w:rPr>
        <w:t> </w:t>
      </w:r>
      <w:r>
        <w:rPr/>
        <w:t>and</w:t>
      </w:r>
      <w:r>
        <w:rPr>
          <w:spacing w:val="45"/>
        </w:rPr>
        <w:t> </w:t>
      </w:r>
      <w:r>
        <w:rPr/>
        <w:t>evaluation</w:t>
      </w:r>
      <w:r>
        <w:rPr>
          <w:spacing w:val="46"/>
        </w:rPr>
        <w:t> </w:t>
      </w:r>
      <w:r>
        <w:rPr/>
        <w:t>of</w:t>
      </w:r>
      <w:r>
        <w:rPr>
          <w:spacing w:val="45"/>
        </w:rPr>
        <w:t> </w:t>
      </w:r>
      <w:r>
        <w:rPr/>
        <w:t>budget</w:t>
      </w:r>
      <w:r>
        <w:rPr>
          <w:spacing w:val="47"/>
        </w:rPr>
        <w:t> </w:t>
      </w:r>
      <w:r>
        <w:rPr/>
        <w:t>procedures</w:t>
      </w:r>
      <w:r>
        <w:rPr>
          <w:spacing w:val="46"/>
        </w:rPr>
        <w:t> </w:t>
      </w:r>
      <w:r>
        <w:rPr/>
        <w:t>and</w:t>
      </w:r>
      <w:r>
        <w:rPr>
          <w:spacing w:val="50"/>
        </w:rPr>
        <w:t> </w:t>
      </w:r>
      <w:r>
        <w:rPr/>
        <w:t>documents.</w:t>
      </w:r>
      <w:r>
        <w:rPr>
          <w:spacing w:val="45"/>
        </w:rPr>
        <w:t> </w:t>
      </w:r>
      <w:r>
        <w:rPr/>
        <w:t>Citizens</w:t>
      </w:r>
      <w:r>
        <w:rPr>
          <w:spacing w:val="47"/>
        </w:rPr>
        <w:t> </w:t>
      </w:r>
      <w:r>
        <w:rPr/>
        <w:t>were</w:t>
      </w:r>
      <w:r>
        <w:rPr>
          <w:spacing w:val="44"/>
        </w:rPr>
        <w:t> </w:t>
      </w:r>
      <w:r>
        <w:rPr/>
        <w:t>not</w:t>
      </w:r>
      <w:r>
        <w:rPr>
          <w:spacing w:val="49"/>
        </w:rPr>
        <w:t> </w:t>
      </w:r>
      <w:r>
        <w:rPr>
          <w:spacing w:val="-2"/>
        </w:rPr>
        <w:t>surveyed.</w:t>
      </w:r>
    </w:p>
    <w:p>
      <w:pPr>
        <w:spacing w:after="0" w:line="360" w:lineRule="auto"/>
        <w:jc w:val="both"/>
        <w:sectPr>
          <w:pgSz w:w="12240" w:h="15840"/>
          <w:pgMar w:header="0" w:footer="1036" w:top="1360" w:bottom="1220" w:left="1200" w:right="600"/>
        </w:sectPr>
      </w:pPr>
    </w:p>
    <w:p>
      <w:pPr>
        <w:pStyle w:val="BodyText"/>
        <w:spacing w:line="360" w:lineRule="auto" w:before="74"/>
        <w:ind w:left="240" w:right="839"/>
        <w:jc w:val="both"/>
      </w:pPr>
      <w:r>
        <w:rPr/>
        <w:t>Today, research expectations would include either more systematic objective measures of services provided through performance measures (Hatry, Winnie, and Fisk, 1981) or citizen satisfaction surveys.</w:t>
      </w:r>
    </w:p>
    <w:p>
      <w:pPr>
        <w:pStyle w:val="BodyText"/>
        <w:spacing w:before="114"/>
      </w:pPr>
    </w:p>
    <w:p>
      <w:pPr>
        <w:pStyle w:val="BodyText"/>
        <w:spacing w:line="360" w:lineRule="auto" w:before="1"/>
        <w:ind w:left="240" w:right="842"/>
        <w:jc w:val="both"/>
      </w:pPr>
      <w:r>
        <w:rPr/>
        <w:t>In summary, the main points of Walker‘s contributions with respect to the progressive ideals of budgeting are as follows:</w:t>
      </w:r>
    </w:p>
    <w:p>
      <w:pPr>
        <w:pStyle w:val="ListParagraph"/>
        <w:numPr>
          <w:ilvl w:val="1"/>
          <w:numId w:val="4"/>
        </w:numPr>
        <w:tabs>
          <w:tab w:pos="957" w:val="left" w:leader="none"/>
          <w:tab w:pos="960" w:val="left" w:leader="none"/>
        </w:tabs>
        <w:spacing w:line="360" w:lineRule="auto" w:before="0" w:after="0"/>
        <w:ind w:left="960" w:right="847" w:hanging="488"/>
        <w:jc w:val="both"/>
        <w:rPr>
          <w:sz w:val="24"/>
        </w:rPr>
      </w:pPr>
      <w:r>
        <w:rPr>
          <w:sz w:val="24"/>
        </w:rPr>
        <w:t>Governments are progressive in that they seek to provide a higher level of quality and quantity of services rather than the bare minimum;</w:t>
      </w:r>
    </w:p>
    <w:p>
      <w:pPr>
        <w:pStyle w:val="ListParagraph"/>
        <w:numPr>
          <w:ilvl w:val="1"/>
          <w:numId w:val="4"/>
        </w:numPr>
        <w:tabs>
          <w:tab w:pos="959" w:val="left" w:leader="none"/>
        </w:tabs>
        <w:spacing w:line="240" w:lineRule="auto" w:before="0" w:after="0"/>
        <w:ind w:left="959" w:right="0" w:hanging="553"/>
        <w:jc w:val="both"/>
        <w:rPr>
          <w:sz w:val="24"/>
        </w:rPr>
      </w:pPr>
      <w:r>
        <w:rPr>
          <w:sz w:val="24"/>
        </w:rPr>
        <w:t>Budget</w:t>
      </w:r>
      <w:r>
        <w:rPr>
          <w:spacing w:val="-2"/>
          <w:sz w:val="24"/>
        </w:rPr>
        <w:t> </w:t>
      </w:r>
      <w:r>
        <w:rPr>
          <w:sz w:val="24"/>
        </w:rPr>
        <w:t>allocations</w:t>
      </w:r>
      <w:r>
        <w:rPr>
          <w:spacing w:val="-2"/>
          <w:sz w:val="24"/>
        </w:rPr>
        <w:t> </w:t>
      </w:r>
      <w:r>
        <w:rPr>
          <w:sz w:val="24"/>
        </w:rPr>
        <w:t>include</w:t>
      </w:r>
      <w:r>
        <w:rPr>
          <w:spacing w:val="-2"/>
          <w:sz w:val="24"/>
        </w:rPr>
        <w:t> </w:t>
      </w:r>
      <w:r>
        <w:rPr>
          <w:sz w:val="24"/>
        </w:rPr>
        <w:t>four</w:t>
      </w:r>
      <w:r>
        <w:rPr>
          <w:spacing w:val="-2"/>
          <w:sz w:val="24"/>
        </w:rPr>
        <w:t> </w:t>
      </w:r>
      <w:r>
        <w:rPr>
          <w:sz w:val="24"/>
        </w:rPr>
        <w:t>values:</w:t>
      </w:r>
      <w:r>
        <w:rPr>
          <w:spacing w:val="-2"/>
          <w:sz w:val="24"/>
        </w:rPr>
        <w:t> </w:t>
      </w:r>
      <w:r>
        <w:rPr>
          <w:sz w:val="24"/>
        </w:rPr>
        <w:t>honesty,</w:t>
      </w:r>
      <w:r>
        <w:rPr>
          <w:spacing w:val="-1"/>
          <w:sz w:val="24"/>
        </w:rPr>
        <w:t> </w:t>
      </w:r>
      <w:r>
        <w:rPr>
          <w:sz w:val="24"/>
        </w:rPr>
        <w:t>economy,</w:t>
      </w:r>
      <w:r>
        <w:rPr>
          <w:spacing w:val="-2"/>
          <w:sz w:val="24"/>
        </w:rPr>
        <w:t> </w:t>
      </w:r>
      <w:r>
        <w:rPr>
          <w:sz w:val="24"/>
        </w:rPr>
        <w:t>efficiency,</w:t>
      </w:r>
      <w:r>
        <w:rPr>
          <w:spacing w:val="-1"/>
          <w:sz w:val="24"/>
        </w:rPr>
        <w:t> </w:t>
      </w:r>
      <w:r>
        <w:rPr>
          <w:sz w:val="24"/>
        </w:rPr>
        <w:t>and</w:t>
      </w:r>
      <w:r>
        <w:rPr>
          <w:spacing w:val="-2"/>
          <w:sz w:val="24"/>
        </w:rPr>
        <w:t> proportion;</w:t>
      </w:r>
    </w:p>
    <w:p>
      <w:pPr>
        <w:pStyle w:val="ListParagraph"/>
        <w:numPr>
          <w:ilvl w:val="1"/>
          <w:numId w:val="4"/>
        </w:numPr>
        <w:tabs>
          <w:tab w:pos="957" w:val="left" w:leader="none"/>
          <w:tab w:pos="960" w:val="left" w:leader="none"/>
        </w:tabs>
        <w:spacing w:line="360" w:lineRule="auto" w:before="140" w:after="0"/>
        <w:ind w:left="960" w:right="842" w:hanging="620"/>
        <w:jc w:val="both"/>
        <w:rPr>
          <w:sz w:val="24"/>
        </w:rPr>
      </w:pPr>
      <w:r>
        <w:rPr>
          <w:sz w:val="24"/>
        </w:rPr>
        <w:t>Extending the marginal utility concept from economics to budgets postulates that for a given amount of revenue there is an ideal equitable distribution for expenditures;</w:t>
      </w:r>
    </w:p>
    <w:p>
      <w:pPr>
        <w:pStyle w:val="ListParagraph"/>
        <w:numPr>
          <w:ilvl w:val="1"/>
          <w:numId w:val="4"/>
        </w:numPr>
        <w:tabs>
          <w:tab w:pos="958" w:val="left" w:leader="none"/>
          <w:tab w:pos="960" w:val="left" w:leader="none"/>
        </w:tabs>
        <w:spacing w:line="360" w:lineRule="auto" w:before="0" w:after="0"/>
        <w:ind w:left="960" w:right="845" w:hanging="608"/>
        <w:jc w:val="both"/>
        <w:rPr>
          <w:sz w:val="24"/>
        </w:rPr>
      </w:pPr>
      <w:r>
        <w:rPr>
          <w:sz w:val="24"/>
        </w:rPr>
        <w:t>There is a core of similar services that all cities provide, although differing factors between cities such as geographic location, state laws, and local decisions affect individual governments‘ budget allocations;</w:t>
      </w:r>
    </w:p>
    <w:p>
      <w:pPr>
        <w:pStyle w:val="ListParagraph"/>
        <w:numPr>
          <w:ilvl w:val="1"/>
          <w:numId w:val="4"/>
        </w:numPr>
        <w:tabs>
          <w:tab w:pos="960" w:val="left" w:leader="none"/>
        </w:tabs>
        <w:spacing w:line="360" w:lineRule="auto" w:before="0" w:after="0"/>
        <w:ind w:left="960" w:right="840" w:hanging="540"/>
        <w:jc w:val="both"/>
        <w:rPr>
          <w:sz w:val="24"/>
        </w:rPr>
      </w:pPr>
      <w:r>
        <w:rPr>
          <w:sz w:val="24"/>
        </w:rPr>
        <w:t>There is a budgetary distributional norm for the basic government services that can be empirically established;</w:t>
      </w:r>
    </w:p>
    <w:p>
      <w:pPr>
        <w:pStyle w:val="ListParagraph"/>
        <w:numPr>
          <w:ilvl w:val="1"/>
          <w:numId w:val="4"/>
        </w:numPr>
        <w:tabs>
          <w:tab w:pos="958" w:val="left" w:leader="none"/>
          <w:tab w:pos="960" w:val="left" w:leader="none"/>
        </w:tabs>
        <w:spacing w:line="362" w:lineRule="auto" w:before="0" w:after="0"/>
        <w:ind w:left="960" w:right="842" w:hanging="608"/>
        <w:jc w:val="both"/>
        <w:rPr>
          <w:sz w:val="24"/>
        </w:rPr>
      </w:pPr>
      <w:r>
        <w:rPr>
          <w:sz w:val="24"/>
        </w:rPr>
        <w:t>The empirical study of budget allocation should be based on cohorts of similar governments (cities of certain sizes);</w:t>
      </w:r>
    </w:p>
    <w:p>
      <w:pPr>
        <w:pStyle w:val="ListParagraph"/>
        <w:numPr>
          <w:ilvl w:val="1"/>
          <w:numId w:val="4"/>
        </w:numPr>
        <w:tabs>
          <w:tab w:pos="958" w:val="left" w:leader="none"/>
          <w:tab w:pos="960" w:val="left" w:leader="none"/>
        </w:tabs>
        <w:spacing w:line="360" w:lineRule="auto" w:before="0" w:after="0"/>
        <w:ind w:left="960" w:right="834" w:hanging="675"/>
        <w:jc w:val="both"/>
        <w:rPr>
          <w:sz w:val="24"/>
        </w:rPr>
      </w:pPr>
      <w:r>
        <w:rPr>
          <w:sz w:val="24"/>
        </w:rPr>
        <w:t>The distribution of services should be compared based on quality of services actually provided; and</w:t>
      </w:r>
    </w:p>
    <w:p>
      <w:pPr>
        <w:pStyle w:val="ListParagraph"/>
        <w:numPr>
          <w:ilvl w:val="1"/>
          <w:numId w:val="4"/>
        </w:numPr>
        <w:tabs>
          <w:tab w:pos="958" w:val="left" w:leader="none"/>
          <w:tab w:pos="960" w:val="left" w:leader="none"/>
        </w:tabs>
        <w:spacing w:line="360" w:lineRule="auto" w:before="0" w:after="0"/>
        <w:ind w:left="960" w:right="842" w:hanging="740"/>
        <w:jc w:val="both"/>
        <w:rPr>
          <w:sz w:val="24"/>
        </w:rPr>
      </w:pPr>
      <w:r>
        <w:rPr>
          <w:sz w:val="24"/>
        </w:rPr>
        <w:t>There may not be any government that mirrors the aggregate norm, but governments should be able to explain how and why they differ from the norm.</w:t>
      </w:r>
    </w:p>
    <w:p>
      <w:pPr>
        <w:pStyle w:val="BodyText"/>
        <w:spacing w:line="360" w:lineRule="auto" w:before="270"/>
        <w:ind w:left="240" w:right="835"/>
        <w:jc w:val="both"/>
      </w:pPr>
      <w:r>
        <w:rPr/>
        <w:t>The progressive theory of Walker (1930) had a number of themes and ideas that may contribute to contemporary housing budget issues, especially as it relates to this research. These include: what proportion of services, problems in data collection, allocation, values, and progressive ideals or values.</w:t>
      </w:r>
    </w:p>
    <w:p>
      <w:pPr>
        <w:pStyle w:val="BodyText"/>
        <w:spacing w:before="34"/>
      </w:pPr>
    </w:p>
    <w:p>
      <w:pPr>
        <w:pStyle w:val="BodyText"/>
        <w:spacing w:line="360" w:lineRule="auto"/>
        <w:ind w:left="240" w:right="835"/>
        <w:jc w:val="both"/>
      </w:pPr>
      <w:r>
        <w:rPr/>
        <w:t>In the</w:t>
      </w:r>
      <w:r>
        <w:rPr>
          <w:spacing w:val="-1"/>
        </w:rPr>
        <w:t> </w:t>
      </w:r>
      <w:r>
        <w:rPr/>
        <w:t>context of</w:t>
      </w:r>
      <w:r>
        <w:rPr>
          <w:spacing w:val="-1"/>
        </w:rPr>
        <w:t> </w:t>
      </w:r>
      <w:r>
        <w:rPr/>
        <w:t>this research, first, it is paramount that housing</w:t>
      </w:r>
      <w:r>
        <w:rPr>
          <w:spacing w:val="-3"/>
        </w:rPr>
        <w:t> </w:t>
      </w:r>
      <w:r>
        <w:rPr/>
        <w:t>budgets allocations are based on rational and extensive data collection on the citizens housing needs and priorities. Thus, there should be rational and extensive data analysis to make housing budget decisions. Second, the progressive</w:t>
      </w:r>
      <w:r>
        <w:rPr>
          <w:spacing w:val="-4"/>
        </w:rPr>
        <w:t> </w:t>
      </w:r>
      <w:r>
        <w:rPr/>
        <w:t>values</w:t>
      </w:r>
      <w:r>
        <w:rPr>
          <w:spacing w:val="-1"/>
        </w:rPr>
        <w:t> </w:t>
      </w:r>
      <w:r>
        <w:rPr/>
        <w:t>of</w:t>
      </w:r>
      <w:r>
        <w:rPr>
          <w:spacing w:val="-1"/>
        </w:rPr>
        <w:t> </w:t>
      </w:r>
      <w:r>
        <w:rPr/>
        <w:t>honesty,</w:t>
      </w:r>
      <w:r>
        <w:rPr>
          <w:spacing w:val="1"/>
        </w:rPr>
        <w:t> </w:t>
      </w:r>
      <w:r>
        <w:rPr/>
        <w:t>economy, and</w:t>
      </w:r>
      <w:r>
        <w:rPr>
          <w:spacing w:val="1"/>
        </w:rPr>
        <w:t> </w:t>
      </w:r>
      <w:r>
        <w:rPr/>
        <w:t>efficiency</w:t>
      </w:r>
      <w:r>
        <w:rPr>
          <w:spacing w:val="-6"/>
        </w:rPr>
        <w:t> </w:t>
      </w:r>
      <w:r>
        <w:rPr/>
        <w:t>underscores the</w:t>
      </w:r>
      <w:r>
        <w:rPr>
          <w:spacing w:val="-1"/>
        </w:rPr>
        <w:t> </w:t>
      </w:r>
      <w:r>
        <w:rPr/>
        <w:t>need for</w:t>
      </w:r>
      <w:r>
        <w:rPr>
          <w:spacing w:val="3"/>
        </w:rPr>
        <w:t> </w:t>
      </w:r>
      <w:r>
        <w:rPr/>
        <w:t>the </w:t>
      </w:r>
      <w:r>
        <w:rPr>
          <w:spacing w:val="-2"/>
        </w:rPr>
        <w:t>Government</w:t>
      </w:r>
    </w:p>
    <w:p>
      <w:pPr>
        <w:spacing w:after="0" w:line="360" w:lineRule="auto"/>
        <w:jc w:val="both"/>
        <w:sectPr>
          <w:pgSz w:w="12240" w:h="15840"/>
          <w:pgMar w:header="0" w:footer="1036" w:top="1360" w:bottom="1220" w:left="1200" w:right="600"/>
        </w:sectPr>
      </w:pPr>
    </w:p>
    <w:p>
      <w:pPr>
        <w:pStyle w:val="BodyText"/>
        <w:spacing w:line="360" w:lineRule="auto" w:before="74"/>
        <w:ind w:left="240" w:right="835"/>
        <w:jc w:val="both"/>
      </w:pPr>
      <w:r>
        <w:rPr/>
        <w:t>via departments and agencies to be transparent in utilizing housing funds prudently and ensuring that monies are provided for housing works as at when due, and proper monitoring of budget funds is carried out during budget implementation or</w:t>
      </w:r>
      <w:r>
        <w:rPr>
          <w:spacing w:val="80"/>
        </w:rPr>
        <w:t> </w:t>
      </w:r>
      <w:r>
        <w:rPr/>
        <w:t>project execution. This is to further</w:t>
      </w:r>
      <w:r>
        <w:rPr>
          <w:spacing w:val="40"/>
        </w:rPr>
        <w:t> </w:t>
      </w:r>
      <w:r>
        <w:rPr/>
        <w:t>achieve efficiency in the entire housing budgetary process from formulation to execution and ensure effective housing delivery.</w:t>
      </w:r>
    </w:p>
    <w:p>
      <w:pPr>
        <w:pStyle w:val="BodyText"/>
        <w:spacing w:before="232"/>
      </w:pPr>
    </w:p>
    <w:p>
      <w:pPr>
        <w:pStyle w:val="Heading4"/>
        <w:numPr>
          <w:ilvl w:val="1"/>
          <w:numId w:val="3"/>
        </w:numPr>
        <w:tabs>
          <w:tab w:pos="600" w:val="left" w:leader="none"/>
        </w:tabs>
        <w:spacing w:line="240" w:lineRule="auto" w:before="0" w:after="0"/>
        <w:ind w:left="600" w:right="0" w:hanging="360"/>
        <w:jc w:val="both"/>
      </w:pPr>
      <w:r>
        <w:rPr/>
        <w:t>Punctuated</w:t>
      </w:r>
      <w:r>
        <w:rPr>
          <w:spacing w:val="-4"/>
        </w:rPr>
        <w:t> </w:t>
      </w:r>
      <w:r>
        <w:rPr/>
        <w:t>Equilibrium:</w:t>
      </w:r>
      <w:r>
        <w:rPr>
          <w:spacing w:val="-2"/>
        </w:rPr>
        <w:t> </w:t>
      </w:r>
      <w:r>
        <w:rPr/>
        <w:t>The</w:t>
      </w:r>
      <w:r>
        <w:rPr>
          <w:spacing w:val="-2"/>
        </w:rPr>
        <w:t> </w:t>
      </w:r>
      <w:r>
        <w:rPr/>
        <w:t>Agenda-Based</w:t>
      </w:r>
      <w:r>
        <w:rPr>
          <w:spacing w:val="-2"/>
        </w:rPr>
        <w:t> </w:t>
      </w:r>
      <w:r>
        <w:rPr/>
        <w:t>Theory</w:t>
      </w:r>
      <w:r>
        <w:rPr>
          <w:spacing w:val="-2"/>
        </w:rPr>
        <w:t> </w:t>
      </w:r>
      <w:r>
        <w:rPr/>
        <w:t>of</w:t>
      </w:r>
      <w:r>
        <w:rPr>
          <w:spacing w:val="-1"/>
        </w:rPr>
        <w:t> </w:t>
      </w:r>
      <w:r>
        <w:rPr>
          <w:spacing w:val="-2"/>
        </w:rPr>
        <w:t>Budgeting</w:t>
      </w:r>
    </w:p>
    <w:p>
      <w:pPr>
        <w:pStyle w:val="BodyText"/>
        <w:spacing w:line="360" w:lineRule="auto" w:before="204"/>
        <w:ind w:left="240" w:right="831"/>
        <w:jc w:val="both"/>
      </w:pPr>
      <w:r>
        <w:rPr/>
        <w:t>Key (1987) describes budgeting as the process of deciding whether to allocate more resources to activity X over activity Y. As such, he considered budgets as a process for deciding who gets what and how much. In other words, public budgeting is a reflection of priorities and constraints—what gets put on the agenda and what does not. Punctuated equilibrium is a theory that reflects efforts to control and shift the priorities addressed on the agenda.</w:t>
      </w:r>
    </w:p>
    <w:p>
      <w:pPr>
        <w:pStyle w:val="BodyText"/>
        <w:spacing w:before="36"/>
      </w:pPr>
    </w:p>
    <w:p>
      <w:pPr>
        <w:pStyle w:val="BodyText"/>
        <w:spacing w:line="360" w:lineRule="auto"/>
        <w:ind w:left="240" w:right="836"/>
        <w:jc w:val="both"/>
      </w:pPr>
      <w:r>
        <w:rPr/>
        <w:t>Baumgartner and Jones (1993) propounded the theory of ―punctuated equilibrium‖ which addresses</w:t>
      </w:r>
      <w:r>
        <w:rPr>
          <w:spacing w:val="-2"/>
        </w:rPr>
        <w:t> </w:t>
      </w:r>
      <w:r>
        <w:rPr/>
        <w:t>both</w:t>
      </w:r>
      <w:r>
        <w:rPr>
          <w:spacing w:val="-3"/>
        </w:rPr>
        <w:t> </w:t>
      </w:r>
      <w:r>
        <w:rPr/>
        <w:t>incremental</w:t>
      </w:r>
      <w:r>
        <w:rPr>
          <w:spacing w:val="-3"/>
        </w:rPr>
        <w:t> </w:t>
      </w:r>
      <w:r>
        <w:rPr/>
        <w:t>and</w:t>
      </w:r>
      <w:r>
        <w:rPr>
          <w:spacing w:val="-3"/>
        </w:rPr>
        <w:t> </w:t>
      </w:r>
      <w:r>
        <w:rPr/>
        <w:t>large</w:t>
      </w:r>
      <w:r>
        <w:rPr>
          <w:spacing w:val="-2"/>
        </w:rPr>
        <w:t> </w:t>
      </w:r>
      <w:r>
        <w:rPr/>
        <w:t>budget</w:t>
      </w:r>
      <w:r>
        <w:rPr>
          <w:spacing w:val="-1"/>
        </w:rPr>
        <w:t> </w:t>
      </w:r>
      <w:r>
        <w:rPr/>
        <w:t>changes. It</w:t>
      </w:r>
      <w:r>
        <w:rPr>
          <w:spacing w:val="-1"/>
        </w:rPr>
        <w:t> </w:t>
      </w:r>
      <w:r>
        <w:rPr/>
        <w:t>asserts</w:t>
      </w:r>
      <w:r>
        <w:rPr>
          <w:spacing w:val="-3"/>
        </w:rPr>
        <w:t> </w:t>
      </w:r>
      <w:r>
        <w:rPr/>
        <w:t>that there</w:t>
      </w:r>
      <w:r>
        <w:rPr>
          <w:spacing w:val="-4"/>
        </w:rPr>
        <w:t> </w:t>
      </w:r>
      <w:r>
        <w:rPr/>
        <w:t>is</w:t>
      </w:r>
      <w:r>
        <w:rPr>
          <w:spacing w:val="-3"/>
        </w:rPr>
        <w:t> </w:t>
      </w:r>
      <w:r>
        <w:rPr/>
        <w:t>a</w:t>
      </w:r>
      <w:r>
        <w:rPr>
          <w:spacing w:val="-3"/>
        </w:rPr>
        <w:t> </w:t>
      </w:r>
      <w:r>
        <w:rPr/>
        <w:t>state</w:t>
      </w:r>
      <w:r>
        <w:rPr>
          <w:spacing w:val="-2"/>
        </w:rPr>
        <w:t> </w:t>
      </w:r>
      <w:r>
        <w:rPr/>
        <w:t>of</w:t>
      </w:r>
      <w:r>
        <w:rPr>
          <w:spacing w:val="-2"/>
        </w:rPr>
        <w:t> </w:t>
      </w:r>
      <w:r>
        <w:rPr/>
        <w:t>equilibrium followed by a punctuated change followed again by equilibrium. The state of equilibrium is during quiet periods of incremental change. Punctuations are breaks from the equilibrium norm.</w:t>
      </w:r>
    </w:p>
    <w:p>
      <w:pPr>
        <w:pStyle w:val="BodyText"/>
      </w:pPr>
    </w:p>
    <w:p>
      <w:pPr>
        <w:pStyle w:val="BodyText"/>
        <w:spacing w:line="360" w:lineRule="auto"/>
        <w:ind w:left="240" w:right="833"/>
        <w:jc w:val="both"/>
      </w:pPr>
      <w:r>
        <w:rPr/>
        <w:t>Punctuated equilibrium is an agenda-based theory. The official agenda is where decisions are made and policies are chosen for implementation. The process of deciding which issues are placed on the agenda is competitive. This competition is due to the cognitive limitation of the decision makers. Like incrementalism, punctuated equilibrium recognizes the individual‘s</w:t>
      </w:r>
      <w:r>
        <w:rPr>
          <w:spacing w:val="40"/>
        </w:rPr>
        <w:t> </w:t>
      </w:r>
      <w:r>
        <w:rPr/>
        <w:t>limited ability to process information. The decision maker cannot address all problems simultaneously. Jones et al. (1996) and Jordan (1999) concur with this view by stating that neither</w:t>
      </w:r>
      <w:r>
        <w:rPr>
          <w:spacing w:val="-3"/>
        </w:rPr>
        <w:t> </w:t>
      </w:r>
      <w:r>
        <w:rPr/>
        <w:t>individuals,</w:t>
      </w:r>
      <w:r>
        <w:rPr>
          <w:spacing w:val="-3"/>
        </w:rPr>
        <w:t> </w:t>
      </w:r>
      <w:r>
        <w:rPr/>
        <w:t>private</w:t>
      </w:r>
      <w:r>
        <w:rPr>
          <w:spacing w:val="-3"/>
        </w:rPr>
        <w:t> </w:t>
      </w:r>
      <w:r>
        <w:rPr/>
        <w:t>organizations</w:t>
      </w:r>
      <w:r>
        <w:rPr>
          <w:spacing w:val="-3"/>
        </w:rPr>
        <w:t> </w:t>
      </w:r>
      <w:r>
        <w:rPr/>
        <w:t>nor</w:t>
      </w:r>
      <w:r>
        <w:rPr>
          <w:spacing w:val="-3"/>
        </w:rPr>
        <w:t> </w:t>
      </w:r>
      <w:r>
        <w:rPr/>
        <w:t>public</w:t>
      </w:r>
      <w:r>
        <w:rPr>
          <w:spacing w:val="40"/>
        </w:rPr>
        <w:t> </w:t>
      </w:r>
      <w:r>
        <w:rPr/>
        <w:t>institutions</w:t>
      </w:r>
      <w:r>
        <w:rPr>
          <w:spacing w:val="-3"/>
        </w:rPr>
        <w:t> </w:t>
      </w:r>
      <w:r>
        <w:rPr/>
        <w:t>can</w:t>
      </w:r>
      <w:r>
        <w:rPr>
          <w:spacing w:val="-3"/>
        </w:rPr>
        <w:t> </w:t>
      </w:r>
      <w:r>
        <w:rPr/>
        <w:t>attend</w:t>
      </w:r>
      <w:r>
        <w:rPr>
          <w:spacing w:val="-3"/>
        </w:rPr>
        <w:t> </w:t>
      </w:r>
      <w:r>
        <w:rPr/>
        <w:t>to</w:t>
      </w:r>
      <w:r>
        <w:rPr>
          <w:spacing w:val="-3"/>
        </w:rPr>
        <w:t> </w:t>
      </w:r>
      <w:r>
        <w:rPr/>
        <w:t>all</w:t>
      </w:r>
      <w:r>
        <w:rPr>
          <w:spacing w:val="-3"/>
        </w:rPr>
        <w:t> </w:t>
      </w:r>
      <w:r>
        <w:rPr/>
        <w:t>policy</w:t>
      </w:r>
      <w:r>
        <w:rPr>
          <w:spacing w:val="-7"/>
        </w:rPr>
        <w:t> </w:t>
      </w:r>
      <w:r>
        <w:rPr/>
        <w:t>problems simultaneously; therefore, shifts in attention cause punctuations. Therefore, successful participants in this agenda-setting process will see their problems addressed, while others will not. Within a political and often crowded environment, it is understandable that some issues do not make it to the agenda for consideration. Therefore, it is important to attract attention so that the issue is distinguishable in the crowd.</w:t>
      </w:r>
    </w:p>
    <w:p>
      <w:pPr>
        <w:spacing w:after="0" w:line="360" w:lineRule="auto"/>
        <w:jc w:val="both"/>
        <w:sectPr>
          <w:pgSz w:w="12240" w:h="15840"/>
          <w:pgMar w:header="0" w:footer="1036" w:top="1360" w:bottom="1220" w:left="1200" w:right="600"/>
        </w:sectPr>
      </w:pPr>
    </w:p>
    <w:p>
      <w:pPr>
        <w:pStyle w:val="BodyText"/>
        <w:spacing w:line="360" w:lineRule="auto" w:before="74"/>
        <w:ind w:left="240" w:right="833"/>
        <w:jc w:val="both"/>
      </w:pPr>
      <w:r>
        <w:rPr/>
        <w:t>Kingdon (1984) discusses three mechanisms used for bringing problems to the attention of budget decision makers. One mechanism is </w:t>
      </w:r>
      <w:r>
        <w:rPr>
          <w:i/>
        </w:rPr>
        <w:t>indicators</w:t>
      </w:r>
      <w:r>
        <w:rPr/>
        <w:t>, such as infant mortality rates. Indicators are used to assess the magnitude of a problem and to recognize changes in a problem. A change in an indicator could mean a change in the state or condition of a system. For example, an increase</w:t>
      </w:r>
      <w:r>
        <w:rPr>
          <w:spacing w:val="-3"/>
        </w:rPr>
        <w:t> </w:t>
      </w:r>
      <w:r>
        <w:rPr/>
        <w:t>in</w:t>
      </w:r>
      <w:r>
        <w:rPr>
          <w:spacing w:val="-2"/>
        </w:rPr>
        <w:t> </w:t>
      </w:r>
      <w:r>
        <w:rPr/>
        <w:t>infant</w:t>
      </w:r>
      <w:r>
        <w:rPr>
          <w:spacing w:val="-2"/>
        </w:rPr>
        <w:t> </w:t>
      </w:r>
      <w:r>
        <w:rPr/>
        <w:t>mortality</w:t>
      </w:r>
      <w:r>
        <w:rPr>
          <w:spacing w:val="-7"/>
        </w:rPr>
        <w:t> </w:t>
      </w:r>
      <w:r>
        <w:rPr/>
        <w:t>rates</w:t>
      </w:r>
      <w:r>
        <w:rPr>
          <w:spacing w:val="-2"/>
        </w:rPr>
        <w:t> </w:t>
      </w:r>
      <w:r>
        <w:rPr/>
        <w:t>may</w:t>
      </w:r>
      <w:r>
        <w:rPr>
          <w:spacing w:val="-7"/>
        </w:rPr>
        <w:t> </w:t>
      </w:r>
      <w:r>
        <w:rPr/>
        <w:t>indicate</w:t>
      </w:r>
      <w:r>
        <w:rPr>
          <w:spacing w:val="-3"/>
        </w:rPr>
        <w:t> </w:t>
      </w:r>
      <w:r>
        <w:rPr/>
        <w:t>the</w:t>
      </w:r>
      <w:r>
        <w:rPr>
          <w:spacing w:val="-1"/>
        </w:rPr>
        <w:t> </w:t>
      </w:r>
      <w:r>
        <w:rPr/>
        <w:t>need</w:t>
      </w:r>
      <w:r>
        <w:rPr>
          <w:spacing w:val="-2"/>
        </w:rPr>
        <w:t> </w:t>
      </w:r>
      <w:r>
        <w:rPr/>
        <w:t>to provide</w:t>
      </w:r>
      <w:r>
        <w:rPr>
          <w:spacing w:val="-2"/>
        </w:rPr>
        <w:t> </w:t>
      </w:r>
      <w:r>
        <w:rPr/>
        <w:t>more</w:t>
      </w:r>
      <w:r>
        <w:rPr>
          <w:spacing w:val="-3"/>
        </w:rPr>
        <w:t> </w:t>
      </w:r>
      <w:r>
        <w:rPr/>
        <w:t>funding</w:t>
      </w:r>
      <w:r>
        <w:rPr>
          <w:spacing w:val="-4"/>
        </w:rPr>
        <w:t> </w:t>
      </w:r>
      <w:r>
        <w:rPr/>
        <w:t>for</w:t>
      </w:r>
      <w:r>
        <w:rPr>
          <w:spacing w:val="-2"/>
        </w:rPr>
        <w:t> </w:t>
      </w:r>
      <w:r>
        <w:rPr/>
        <w:t>prenatal</w:t>
      </w:r>
      <w:r>
        <w:rPr>
          <w:spacing w:val="-2"/>
        </w:rPr>
        <w:t> </w:t>
      </w:r>
      <w:r>
        <w:rPr/>
        <w:t>care. In the area of housing provision, an indicator could be population density of slums.</w:t>
      </w:r>
    </w:p>
    <w:p>
      <w:pPr>
        <w:pStyle w:val="BodyText"/>
      </w:pPr>
    </w:p>
    <w:p>
      <w:pPr>
        <w:pStyle w:val="BodyText"/>
        <w:spacing w:line="360" w:lineRule="auto" w:before="1"/>
        <w:ind w:left="240" w:right="836"/>
        <w:jc w:val="both"/>
      </w:pPr>
      <w:r>
        <w:rPr/>
        <w:t>Another mechanism is the </w:t>
      </w:r>
      <w:r>
        <w:rPr>
          <w:i/>
        </w:rPr>
        <w:t>focusing </w:t>
      </w:r>
      <w:r>
        <w:rPr/>
        <w:t>mechanism, which includes events, crises, and symbols. The focusing mechanism reinforces preexisting perceptions, serves as an early warning, or combines with</w:t>
      </w:r>
      <w:r>
        <w:rPr>
          <w:spacing w:val="-2"/>
        </w:rPr>
        <w:t> </w:t>
      </w:r>
      <w:r>
        <w:rPr/>
        <w:t>other</w:t>
      </w:r>
      <w:r>
        <w:rPr>
          <w:spacing w:val="-2"/>
        </w:rPr>
        <w:t> </w:t>
      </w:r>
      <w:r>
        <w:rPr/>
        <w:t>events</w:t>
      </w:r>
      <w:r>
        <w:rPr>
          <w:spacing w:val="-2"/>
        </w:rPr>
        <w:t> </w:t>
      </w:r>
      <w:r>
        <w:rPr/>
        <w:t>to</w:t>
      </w:r>
      <w:r>
        <w:rPr>
          <w:spacing w:val="-2"/>
        </w:rPr>
        <w:t> </w:t>
      </w:r>
      <w:r>
        <w:rPr/>
        <w:t>draw</w:t>
      </w:r>
      <w:r>
        <w:rPr>
          <w:spacing w:val="-1"/>
        </w:rPr>
        <w:t> </w:t>
      </w:r>
      <w:r>
        <w:rPr/>
        <w:t>attention.</w:t>
      </w:r>
      <w:r>
        <w:rPr>
          <w:spacing w:val="-2"/>
        </w:rPr>
        <w:t> </w:t>
      </w:r>
      <w:r>
        <w:rPr/>
        <w:t>An</w:t>
      </w:r>
      <w:r>
        <w:rPr>
          <w:spacing w:val="-1"/>
        </w:rPr>
        <w:t> </w:t>
      </w:r>
      <w:r>
        <w:rPr/>
        <w:t>example</w:t>
      </w:r>
      <w:r>
        <w:rPr>
          <w:spacing w:val="-3"/>
        </w:rPr>
        <w:t> </w:t>
      </w:r>
      <w:r>
        <w:rPr/>
        <w:t>of</w:t>
      </w:r>
      <w:r>
        <w:rPr>
          <w:spacing w:val="-1"/>
        </w:rPr>
        <w:t> </w:t>
      </w:r>
      <w:r>
        <w:rPr/>
        <w:t>this</w:t>
      </w:r>
      <w:r>
        <w:rPr>
          <w:spacing w:val="-2"/>
        </w:rPr>
        <w:t> </w:t>
      </w:r>
      <w:r>
        <w:rPr/>
        <w:t>mechanism</w:t>
      </w:r>
      <w:r>
        <w:rPr>
          <w:spacing w:val="-2"/>
        </w:rPr>
        <w:t> </w:t>
      </w:r>
      <w:r>
        <w:rPr/>
        <w:t>is</w:t>
      </w:r>
      <w:r>
        <w:rPr>
          <w:spacing w:val="-2"/>
        </w:rPr>
        <w:t> </w:t>
      </w:r>
      <w:r>
        <w:rPr/>
        <w:t>the</w:t>
      </w:r>
      <w:r>
        <w:rPr>
          <w:spacing w:val="-1"/>
        </w:rPr>
        <w:t> </w:t>
      </w:r>
      <w:r>
        <w:rPr/>
        <w:t>UN</w:t>
      </w:r>
      <w:r>
        <w:rPr>
          <w:spacing w:val="-2"/>
        </w:rPr>
        <w:t> </w:t>
      </w:r>
      <w:r>
        <w:rPr/>
        <w:t>building</w:t>
      </w:r>
      <w:r>
        <w:rPr>
          <w:spacing w:val="-4"/>
        </w:rPr>
        <w:t> </w:t>
      </w:r>
      <w:r>
        <w:rPr/>
        <w:t>bombings. Both of these focusing events or crises led to concern over domestic</w:t>
      </w:r>
      <w:r>
        <w:rPr>
          <w:spacing w:val="-1"/>
        </w:rPr>
        <w:t> </w:t>
      </w:r>
      <w:r>
        <w:rPr/>
        <w:t>terrorism and the funding</w:t>
      </w:r>
      <w:r>
        <w:rPr>
          <w:spacing w:val="-3"/>
        </w:rPr>
        <w:t> </w:t>
      </w:r>
      <w:r>
        <w:rPr/>
        <w:t>of federal law enforcement agencies.</w:t>
      </w:r>
    </w:p>
    <w:p>
      <w:pPr>
        <w:pStyle w:val="BodyText"/>
        <w:spacing w:before="138"/>
      </w:pPr>
    </w:p>
    <w:p>
      <w:pPr>
        <w:pStyle w:val="BodyText"/>
        <w:spacing w:line="360" w:lineRule="auto"/>
        <w:ind w:left="240" w:right="831"/>
        <w:jc w:val="both"/>
      </w:pPr>
      <w:r>
        <w:rPr/>
        <w:t>The third mechanism is the </w:t>
      </w:r>
      <w:r>
        <w:rPr>
          <w:i/>
        </w:rPr>
        <w:t>feedback </w:t>
      </w:r>
      <w:r>
        <w:rPr/>
        <w:t>mechanism. This mechanism provides information by responding to a condition. Formal feedback may include systematic monitoring and evaluation studies, and informal feedback includes citizen complaints. Because feedback may</w:t>
      </w:r>
      <w:r>
        <w:rPr>
          <w:spacing w:val="-3"/>
        </w:rPr>
        <w:t> </w:t>
      </w:r>
      <w:r>
        <w:rPr/>
        <w:t>be positive or negative, bureaucrats may try to highlight or limit the flow of feedback to policy makers.</w:t>
      </w:r>
    </w:p>
    <w:p>
      <w:pPr>
        <w:pStyle w:val="BodyText"/>
        <w:spacing w:before="138"/>
      </w:pPr>
    </w:p>
    <w:p>
      <w:pPr>
        <w:pStyle w:val="BodyText"/>
        <w:spacing w:line="360" w:lineRule="auto"/>
        <w:ind w:left="240" w:right="833"/>
        <w:jc w:val="both"/>
      </w:pPr>
      <w:r>
        <w:rPr/>
        <w:t>A critical part of attracting</w:t>
      </w:r>
      <w:r>
        <w:rPr>
          <w:spacing w:val="-1"/>
        </w:rPr>
        <w:t> </w:t>
      </w:r>
      <w:r>
        <w:rPr/>
        <w:t>attention to a budget issue is the problem definition. The definition of a problem influences how budget decision makers view the problem and subsequently impact how</w:t>
      </w:r>
      <w:r>
        <w:rPr>
          <w:spacing w:val="-2"/>
        </w:rPr>
        <w:t> </w:t>
      </w:r>
      <w:r>
        <w:rPr/>
        <w:t>or</w:t>
      </w:r>
      <w:r>
        <w:rPr>
          <w:spacing w:val="-2"/>
        </w:rPr>
        <w:t> </w:t>
      </w:r>
      <w:r>
        <w:rPr/>
        <w:t>whether</w:t>
      </w:r>
      <w:r>
        <w:rPr>
          <w:spacing w:val="-2"/>
        </w:rPr>
        <w:t> </w:t>
      </w:r>
      <w:r>
        <w:rPr/>
        <w:t>they</w:t>
      </w:r>
      <w:r>
        <w:rPr>
          <w:spacing w:val="-5"/>
        </w:rPr>
        <w:t> </w:t>
      </w:r>
      <w:r>
        <w:rPr/>
        <w:t>address</w:t>
      </w:r>
      <w:r>
        <w:rPr>
          <w:spacing w:val="-2"/>
        </w:rPr>
        <w:t> </w:t>
      </w:r>
      <w:r>
        <w:rPr/>
        <w:t>the</w:t>
      </w:r>
      <w:r>
        <w:rPr>
          <w:spacing w:val="-1"/>
        </w:rPr>
        <w:t> </w:t>
      </w:r>
      <w:r>
        <w:rPr/>
        <w:t>problem.</w:t>
      </w:r>
      <w:r>
        <w:rPr>
          <w:spacing w:val="-2"/>
        </w:rPr>
        <w:t> </w:t>
      </w:r>
      <w:r>
        <w:rPr/>
        <w:t>Problem</w:t>
      </w:r>
      <w:r>
        <w:rPr>
          <w:spacing w:val="-2"/>
        </w:rPr>
        <w:t> </w:t>
      </w:r>
      <w:r>
        <w:rPr/>
        <w:t>definitions</w:t>
      </w:r>
      <w:r>
        <w:rPr>
          <w:spacing w:val="-2"/>
        </w:rPr>
        <w:t> </w:t>
      </w:r>
      <w:r>
        <w:rPr/>
        <w:t>seek to</w:t>
      </w:r>
      <w:r>
        <w:rPr>
          <w:spacing w:val="-2"/>
        </w:rPr>
        <w:t> </w:t>
      </w:r>
      <w:r>
        <w:rPr/>
        <w:t>place</w:t>
      </w:r>
      <w:r>
        <w:rPr>
          <w:spacing w:val="-3"/>
        </w:rPr>
        <w:t> </w:t>
      </w:r>
      <w:r>
        <w:rPr/>
        <w:t>the</w:t>
      </w:r>
      <w:r>
        <w:rPr>
          <w:spacing w:val="-1"/>
        </w:rPr>
        <w:t> </w:t>
      </w:r>
      <w:r>
        <w:rPr/>
        <w:t>problem within</w:t>
      </w:r>
      <w:r>
        <w:rPr>
          <w:spacing w:val="-2"/>
        </w:rPr>
        <w:t> </w:t>
      </w:r>
      <w:r>
        <w:rPr/>
        <w:t>a certain context or a frame of reference, making the image of the problem becomes more defined. Schneider and Ingram (1993) argue that the image determines whether the issue is perceived in a negative or positive context. Rochefort and Cobb (1993) also argue that certain portrayals such</w:t>
      </w:r>
      <w:r>
        <w:rPr>
          <w:spacing w:val="40"/>
        </w:rPr>
        <w:t> </w:t>
      </w:r>
      <w:r>
        <w:rPr/>
        <w:t>as urgency or novelty can increase attention.</w:t>
      </w:r>
    </w:p>
    <w:p>
      <w:pPr>
        <w:pStyle w:val="BodyText"/>
        <w:spacing w:before="139"/>
      </w:pPr>
    </w:p>
    <w:p>
      <w:pPr>
        <w:pStyle w:val="BodyText"/>
        <w:spacing w:line="360" w:lineRule="auto"/>
        <w:ind w:left="240" w:right="837"/>
        <w:jc w:val="both"/>
      </w:pPr>
      <w:r>
        <w:rPr/>
        <w:t>Furthermore. Portz (1996) states that not all problem definitions are created equal and because budget decision makers cannot address all issues simultaneously, some issues are removed from the agenda or fade away. Kingdon (1984) provides a number of reasons for the fading of an</w:t>
      </w:r>
      <w:r>
        <w:rPr>
          <w:spacing w:val="40"/>
        </w:rPr>
        <w:t> </w:t>
      </w:r>
      <w:r>
        <w:rPr/>
        <w:t>issue. One explanation is that attention to a problem will continue to grow until there is negative feedback.</w:t>
      </w:r>
      <w:r>
        <w:rPr>
          <w:spacing w:val="74"/>
        </w:rPr>
        <w:t> </w:t>
      </w:r>
      <w:r>
        <w:rPr/>
        <w:t>Not</w:t>
      </w:r>
      <w:r>
        <w:rPr>
          <w:spacing w:val="71"/>
        </w:rPr>
        <w:t> </w:t>
      </w:r>
      <w:r>
        <w:rPr/>
        <w:t>only</w:t>
      </w:r>
      <w:r>
        <w:rPr>
          <w:spacing w:val="66"/>
        </w:rPr>
        <w:t> </w:t>
      </w:r>
      <w:r>
        <w:rPr/>
        <w:t>are</w:t>
      </w:r>
      <w:r>
        <w:rPr>
          <w:spacing w:val="72"/>
        </w:rPr>
        <w:t> </w:t>
      </w:r>
      <w:r>
        <w:rPr/>
        <w:t>their</w:t>
      </w:r>
      <w:r>
        <w:rPr>
          <w:spacing w:val="73"/>
        </w:rPr>
        <w:t> </w:t>
      </w:r>
      <w:r>
        <w:rPr/>
        <w:t>advocates</w:t>
      </w:r>
      <w:r>
        <w:rPr>
          <w:spacing w:val="77"/>
        </w:rPr>
        <w:t> </w:t>
      </w:r>
      <w:r>
        <w:rPr/>
        <w:t>or</w:t>
      </w:r>
      <w:r>
        <w:rPr>
          <w:spacing w:val="73"/>
        </w:rPr>
        <w:t> </w:t>
      </w:r>
      <w:r>
        <w:rPr/>
        <w:t>policy</w:t>
      </w:r>
      <w:r>
        <w:rPr>
          <w:spacing w:val="69"/>
        </w:rPr>
        <w:t> </w:t>
      </w:r>
      <w:r>
        <w:rPr/>
        <w:t>entrepreneurs</w:t>
      </w:r>
      <w:r>
        <w:rPr>
          <w:spacing w:val="74"/>
        </w:rPr>
        <w:t> </w:t>
      </w:r>
      <w:r>
        <w:rPr/>
        <w:t>working</w:t>
      </w:r>
      <w:r>
        <w:rPr>
          <w:spacing w:val="69"/>
        </w:rPr>
        <w:t> </w:t>
      </w:r>
      <w:r>
        <w:rPr/>
        <w:t>to</w:t>
      </w:r>
      <w:r>
        <w:rPr>
          <w:spacing w:val="74"/>
        </w:rPr>
        <w:t> </w:t>
      </w:r>
      <w:r>
        <w:rPr/>
        <w:t>maintain</w:t>
      </w:r>
      <w:r>
        <w:rPr>
          <w:spacing w:val="74"/>
        </w:rPr>
        <w:t> </w:t>
      </w:r>
      <w:r>
        <w:rPr>
          <w:spacing w:val="-2"/>
        </w:rPr>
        <w:t>their</w:t>
      </w:r>
    </w:p>
    <w:p>
      <w:pPr>
        <w:spacing w:after="0" w:line="360" w:lineRule="auto"/>
        <w:jc w:val="both"/>
        <w:sectPr>
          <w:pgSz w:w="12240" w:h="15840"/>
          <w:pgMar w:header="0" w:footer="1036" w:top="1360" w:bottom="1220" w:left="1200" w:right="600"/>
        </w:sectPr>
      </w:pPr>
    </w:p>
    <w:p>
      <w:pPr>
        <w:pStyle w:val="BodyText"/>
        <w:spacing w:line="360" w:lineRule="auto" w:before="74"/>
        <w:ind w:left="240" w:right="837"/>
        <w:jc w:val="both"/>
      </w:pPr>
      <w:r>
        <w:rPr/>
        <w:t>positions on the agenda, there usually are participants that are actively opposing that issue‘s position on the agenda as well. This opposition, especially when well organized, can create negative feedback that puts the issue‘s position into question. Another is when the novelty</w:t>
      </w:r>
      <w:r>
        <w:rPr>
          <w:spacing w:val="-2"/>
        </w:rPr>
        <w:t> </w:t>
      </w:r>
      <w:r>
        <w:rPr/>
        <w:t>of the issue has ended. The problem may no longer pose a threat, or has ended. The failure to effectively address or solve a problem obviously leads to its lower prominence on the agenda. Timeliness is also important. Kingdon‘s final explanation is that the</w:t>
      </w:r>
      <w:r>
        <w:rPr>
          <w:spacing w:val="-1"/>
        </w:rPr>
        <w:t> </w:t>
      </w:r>
      <w:r>
        <w:rPr/>
        <w:t>spotlight on a problem fades when there is realization that the financial and social cost of the solution is enormous. Portz (1996)</w:t>
      </w:r>
      <w:r>
        <w:rPr>
          <w:spacing w:val="-1"/>
        </w:rPr>
        <w:t> </w:t>
      </w:r>
      <w:r>
        <w:rPr/>
        <w:t>argues that having a</w:t>
      </w:r>
      <w:r>
        <w:rPr>
          <w:spacing w:val="-1"/>
        </w:rPr>
        <w:t> </w:t>
      </w:r>
      <w:r>
        <w:rPr/>
        <w:t>viable</w:t>
      </w:r>
      <w:r>
        <w:rPr>
          <w:spacing w:val="-1"/>
        </w:rPr>
        <w:t> </w:t>
      </w:r>
      <w:r>
        <w:rPr/>
        <w:t>solution is critical. The</w:t>
      </w:r>
      <w:r>
        <w:rPr>
          <w:spacing w:val="-2"/>
        </w:rPr>
        <w:t> </w:t>
      </w:r>
      <w:r>
        <w:rPr/>
        <w:t>budget problem cannot be addressed if the solution is outside of the scope of the decision makers.</w:t>
      </w:r>
    </w:p>
    <w:p>
      <w:pPr>
        <w:pStyle w:val="BodyText"/>
        <w:spacing w:before="139"/>
      </w:pPr>
    </w:p>
    <w:p>
      <w:pPr>
        <w:pStyle w:val="BodyText"/>
        <w:spacing w:line="360" w:lineRule="auto"/>
        <w:ind w:left="240" w:right="835"/>
        <w:jc w:val="both"/>
      </w:pPr>
      <w:r>
        <w:rPr/>
        <w:t>The process that an issue, such as housing must go through to get on the agenda of the government is the foundation of punctuated equilibrium. The massive need for housing, calls for large budgetary shifts, hence priorities should be adjusted and reflecting it in the budget expenditure.</w:t>
      </w:r>
      <w:r>
        <w:rPr>
          <w:spacing w:val="40"/>
        </w:rPr>
        <w:t> </w:t>
      </w:r>
      <w:r>
        <w:rPr/>
        <w:t>This will also help the government budget for the future, i.e. the longer term, since most annual budgets often ignore the long-term.</w:t>
      </w:r>
    </w:p>
    <w:p>
      <w:pPr>
        <w:pStyle w:val="BodyText"/>
        <w:spacing w:before="69"/>
      </w:pPr>
    </w:p>
    <w:p>
      <w:pPr>
        <w:pStyle w:val="BodyText"/>
        <w:spacing w:line="360" w:lineRule="auto"/>
        <w:ind w:left="240" w:right="837"/>
        <w:jc w:val="both"/>
      </w:pPr>
      <w:r>
        <w:rPr/>
        <w:t>An indicator, such as high population density in Anambra State, should drive the need for this housing priority. In addition to this, when events such as increase in crime rate, unemployment are on the increase, it also informs the need for government to focus on the area of housing provision,</w:t>
      </w:r>
      <w:r>
        <w:rPr>
          <w:spacing w:val="-2"/>
        </w:rPr>
        <w:t> </w:t>
      </w:r>
      <w:r>
        <w:rPr/>
        <w:t>since</w:t>
      </w:r>
      <w:r>
        <w:rPr>
          <w:spacing w:val="-4"/>
        </w:rPr>
        <w:t> </w:t>
      </w:r>
      <w:r>
        <w:rPr/>
        <w:t>housing construction</w:t>
      </w:r>
      <w:r>
        <w:rPr>
          <w:spacing w:val="-2"/>
        </w:rPr>
        <w:t> </w:t>
      </w:r>
      <w:r>
        <w:rPr/>
        <w:t>also creates employment and</w:t>
      </w:r>
      <w:r>
        <w:rPr>
          <w:spacing w:val="-2"/>
        </w:rPr>
        <w:t> </w:t>
      </w:r>
      <w:r>
        <w:rPr/>
        <w:t>reduces pressure</w:t>
      </w:r>
      <w:r>
        <w:rPr>
          <w:spacing w:val="-1"/>
        </w:rPr>
        <w:t> </w:t>
      </w:r>
      <w:r>
        <w:rPr/>
        <w:t>on youths</w:t>
      </w:r>
      <w:r>
        <w:rPr>
          <w:spacing w:val="-2"/>
        </w:rPr>
        <w:t> </w:t>
      </w:r>
      <w:r>
        <w:rPr/>
        <w:t>to source for financial means of paying exorbitant rents or building their houses. It is also paramount that a feedbac</w:t>
      </w:r>
      <w:r>
        <w:rPr>
          <w:i/>
        </w:rPr>
        <w:t>k </w:t>
      </w:r>
      <w:r>
        <w:rPr/>
        <w:t>mechanism is in place to provide feedback from citizens on how well their housing needs are being catered for.</w:t>
      </w:r>
    </w:p>
    <w:p>
      <w:pPr>
        <w:pStyle w:val="BodyText"/>
        <w:spacing w:before="138"/>
      </w:pPr>
    </w:p>
    <w:p>
      <w:pPr>
        <w:pStyle w:val="BodyText"/>
        <w:spacing w:line="360" w:lineRule="auto" w:before="1"/>
        <w:ind w:left="240" w:right="837"/>
        <w:jc w:val="both"/>
      </w:pPr>
      <w:r>
        <w:rPr/>
        <w:t>In summary, the benefit of the budgeting application of punctuated equilibrium is that it brings the agenda into focus. Budget activity does not take place out of tradition but rather in the</w:t>
      </w:r>
      <w:r>
        <w:rPr>
          <w:spacing w:val="40"/>
        </w:rPr>
        <w:t> </w:t>
      </w:r>
      <w:r>
        <w:rPr/>
        <w:t>context of the official agenda. The agenda-setting process is made up of individuals, groups, and events competing for the attention of decision makers. This perspective of budgeting is more aligned with budgeting as a reflection of priorities.</w:t>
      </w:r>
    </w:p>
    <w:p>
      <w:pPr>
        <w:spacing w:after="0" w:line="360" w:lineRule="auto"/>
        <w:jc w:val="both"/>
        <w:sectPr>
          <w:pgSz w:w="12240" w:h="15840"/>
          <w:pgMar w:header="0" w:footer="1036" w:top="1360" w:bottom="1220" w:left="1200" w:right="600"/>
        </w:sectPr>
      </w:pPr>
    </w:p>
    <w:p>
      <w:pPr>
        <w:pStyle w:val="Heading4"/>
        <w:numPr>
          <w:ilvl w:val="1"/>
          <w:numId w:val="3"/>
        </w:numPr>
        <w:tabs>
          <w:tab w:pos="600" w:val="left" w:leader="none"/>
        </w:tabs>
        <w:spacing w:line="240" w:lineRule="auto" w:before="79" w:after="0"/>
        <w:ind w:left="600" w:right="0" w:hanging="360"/>
        <w:jc w:val="both"/>
      </w:pPr>
      <w:r>
        <w:rPr/>
        <w:t>The</w:t>
      </w:r>
      <w:r>
        <w:rPr>
          <w:spacing w:val="-2"/>
        </w:rPr>
        <w:t> </w:t>
      </w:r>
      <w:r>
        <w:rPr/>
        <w:t>Positivist</w:t>
      </w:r>
      <w:r>
        <w:rPr>
          <w:spacing w:val="-1"/>
        </w:rPr>
        <w:t> </w:t>
      </w:r>
      <w:r>
        <w:rPr/>
        <w:t>Theory</w:t>
      </w:r>
      <w:r>
        <w:rPr>
          <w:spacing w:val="-1"/>
        </w:rPr>
        <w:t> </w:t>
      </w:r>
      <w:r>
        <w:rPr/>
        <w:t>of</w:t>
      </w:r>
      <w:r>
        <w:rPr>
          <w:spacing w:val="1"/>
        </w:rPr>
        <w:t> </w:t>
      </w:r>
      <w:r>
        <w:rPr>
          <w:spacing w:val="-2"/>
        </w:rPr>
        <w:t>Housing</w:t>
      </w:r>
    </w:p>
    <w:p>
      <w:pPr>
        <w:pStyle w:val="BodyText"/>
        <w:spacing w:line="360" w:lineRule="auto" w:before="132"/>
        <w:ind w:left="240" w:right="838"/>
        <w:jc w:val="both"/>
      </w:pPr>
      <w:r>
        <w:rPr/>
        <w:t>The term ―Positivism‖ was popularized in the first half of the 19th Century by the French sociologist and philosopher, Auguste Comte (1798-1857) who is considered to be the father of the positivist movement. The positivist theory, which best suits the context of this research is the socio-economic view. It states as follows:</w:t>
      </w:r>
    </w:p>
    <w:p>
      <w:pPr>
        <w:pStyle w:val="ListParagraph"/>
        <w:numPr>
          <w:ilvl w:val="2"/>
          <w:numId w:val="3"/>
        </w:numPr>
        <w:tabs>
          <w:tab w:pos="958" w:val="left" w:leader="none"/>
        </w:tabs>
        <w:spacing w:line="240" w:lineRule="auto" w:before="0" w:after="0"/>
        <w:ind w:left="958" w:right="0" w:hanging="485"/>
        <w:jc w:val="both"/>
        <w:rPr>
          <w:sz w:val="24"/>
        </w:rPr>
      </w:pPr>
      <w:r>
        <w:rPr>
          <w:sz w:val="24"/>
        </w:rPr>
        <w:t>Housing</w:t>
      </w:r>
      <w:r>
        <w:rPr>
          <w:spacing w:val="-4"/>
          <w:sz w:val="24"/>
        </w:rPr>
        <w:t> </w:t>
      </w:r>
      <w:r>
        <w:rPr>
          <w:sz w:val="24"/>
        </w:rPr>
        <w:t>is</w:t>
      </w:r>
      <w:r>
        <w:rPr>
          <w:spacing w:val="-1"/>
          <w:sz w:val="24"/>
        </w:rPr>
        <w:t> </w:t>
      </w:r>
      <w:r>
        <w:rPr>
          <w:sz w:val="24"/>
        </w:rPr>
        <w:t>an item</w:t>
      </w:r>
      <w:r>
        <w:rPr>
          <w:spacing w:val="-1"/>
          <w:sz w:val="24"/>
        </w:rPr>
        <w:t> </w:t>
      </w:r>
      <w:r>
        <w:rPr>
          <w:sz w:val="24"/>
        </w:rPr>
        <w:t>of</w:t>
      </w:r>
      <w:r>
        <w:rPr>
          <w:spacing w:val="-1"/>
          <w:sz w:val="24"/>
        </w:rPr>
        <w:t> </w:t>
      </w:r>
      <w:r>
        <w:rPr>
          <w:sz w:val="24"/>
        </w:rPr>
        <w:t>consumption for</w:t>
      </w:r>
      <w:r>
        <w:rPr>
          <w:spacing w:val="-1"/>
          <w:sz w:val="24"/>
        </w:rPr>
        <w:t> </w:t>
      </w:r>
      <w:r>
        <w:rPr>
          <w:sz w:val="24"/>
        </w:rPr>
        <w:t>all</w:t>
      </w:r>
      <w:r>
        <w:rPr>
          <w:spacing w:val="-1"/>
          <w:sz w:val="24"/>
        </w:rPr>
        <w:t> </w:t>
      </w:r>
      <w:r>
        <w:rPr>
          <w:sz w:val="24"/>
        </w:rPr>
        <w:t>social </w:t>
      </w:r>
      <w:r>
        <w:rPr>
          <w:spacing w:val="-2"/>
          <w:sz w:val="24"/>
        </w:rPr>
        <w:t>groups;</w:t>
      </w:r>
    </w:p>
    <w:p>
      <w:pPr>
        <w:pStyle w:val="ListParagraph"/>
        <w:numPr>
          <w:ilvl w:val="2"/>
          <w:numId w:val="3"/>
        </w:numPr>
        <w:tabs>
          <w:tab w:pos="958" w:val="left" w:leader="none"/>
          <w:tab w:pos="960" w:val="left" w:leader="none"/>
        </w:tabs>
        <w:spacing w:line="360" w:lineRule="auto" w:before="140" w:after="0"/>
        <w:ind w:left="960" w:right="838" w:hanging="555"/>
        <w:jc w:val="both"/>
        <w:rPr>
          <w:sz w:val="24"/>
        </w:rPr>
      </w:pPr>
      <w:r>
        <w:rPr>
          <w:sz w:val="24"/>
        </w:rPr>
        <w:t>Government</w:t>
      </w:r>
      <w:r>
        <w:rPr>
          <w:spacing w:val="-1"/>
          <w:sz w:val="24"/>
        </w:rPr>
        <w:t> </w:t>
      </w:r>
      <w:r>
        <w:rPr>
          <w:sz w:val="24"/>
        </w:rPr>
        <w:t>authorities</w:t>
      </w:r>
      <w:r>
        <w:rPr>
          <w:spacing w:val="-3"/>
          <w:sz w:val="24"/>
        </w:rPr>
        <w:t> </w:t>
      </w:r>
      <w:r>
        <w:rPr>
          <w:sz w:val="24"/>
        </w:rPr>
        <w:t>should</w:t>
      </w:r>
      <w:r>
        <w:rPr>
          <w:spacing w:val="-3"/>
          <w:sz w:val="24"/>
        </w:rPr>
        <w:t> </w:t>
      </w:r>
      <w:r>
        <w:rPr>
          <w:sz w:val="24"/>
        </w:rPr>
        <w:t>make</w:t>
      </w:r>
      <w:r>
        <w:rPr>
          <w:spacing w:val="-4"/>
          <w:sz w:val="24"/>
        </w:rPr>
        <w:t> </w:t>
      </w:r>
      <w:r>
        <w:rPr>
          <w:sz w:val="24"/>
        </w:rPr>
        <w:t>housing</w:t>
      </w:r>
      <w:r>
        <w:rPr>
          <w:spacing w:val="-6"/>
          <w:sz w:val="24"/>
        </w:rPr>
        <w:t> </w:t>
      </w:r>
      <w:r>
        <w:rPr>
          <w:sz w:val="24"/>
        </w:rPr>
        <w:t>available</w:t>
      </w:r>
      <w:r>
        <w:rPr>
          <w:spacing w:val="-1"/>
          <w:sz w:val="24"/>
        </w:rPr>
        <w:t> </w:t>
      </w:r>
      <w:r>
        <w:rPr>
          <w:sz w:val="24"/>
        </w:rPr>
        <w:t>to</w:t>
      </w:r>
      <w:r>
        <w:rPr>
          <w:spacing w:val="-3"/>
          <w:sz w:val="24"/>
        </w:rPr>
        <w:t> </w:t>
      </w:r>
      <w:r>
        <w:rPr>
          <w:sz w:val="24"/>
        </w:rPr>
        <w:t>all</w:t>
      </w:r>
      <w:r>
        <w:rPr>
          <w:spacing w:val="-3"/>
          <w:sz w:val="24"/>
        </w:rPr>
        <w:t> </w:t>
      </w:r>
      <w:r>
        <w:rPr>
          <w:sz w:val="24"/>
        </w:rPr>
        <w:t>community</w:t>
      </w:r>
      <w:r>
        <w:rPr>
          <w:spacing w:val="-8"/>
          <w:sz w:val="24"/>
        </w:rPr>
        <w:t> </w:t>
      </w:r>
      <w:r>
        <w:rPr>
          <w:sz w:val="24"/>
        </w:rPr>
        <w:t>members</w:t>
      </w:r>
      <w:r>
        <w:rPr>
          <w:spacing w:val="-1"/>
          <w:sz w:val="24"/>
        </w:rPr>
        <w:t> </w:t>
      </w:r>
      <w:r>
        <w:rPr>
          <w:sz w:val="24"/>
        </w:rPr>
        <w:t>as</w:t>
      </w:r>
      <w:r>
        <w:rPr>
          <w:spacing w:val="-3"/>
          <w:sz w:val="24"/>
        </w:rPr>
        <w:t> </w:t>
      </w:r>
      <w:r>
        <w:rPr>
          <w:sz w:val="24"/>
        </w:rPr>
        <w:t>part of government's obligation to achieve justice by distributing available services to all community members. This in turn, will guarantee loyalty from the citizens.</w:t>
      </w:r>
    </w:p>
    <w:p>
      <w:pPr>
        <w:pStyle w:val="BodyText"/>
        <w:spacing w:before="35"/>
      </w:pPr>
    </w:p>
    <w:p>
      <w:pPr>
        <w:pStyle w:val="BodyText"/>
        <w:spacing w:line="360" w:lineRule="auto"/>
        <w:ind w:left="240" w:right="836"/>
        <w:jc w:val="both"/>
      </w:pPr>
      <w:r>
        <w:rPr/>
        <w:t>Housing provision should therefore, not be discriminatory, or biased, but should cut across all classes of individuals, irrespective of their social or societal status. This is reinforced by the UN Universal Declaration on Human Rights was issued in 1948 recognizing for the</w:t>
      </w:r>
      <w:r>
        <w:rPr>
          <w:spacing w:val="40"/>
        </w:rPr>
        <w:t> </w:t>
      </w:r>
      <w:r>
        <w:rPr/>
        <w:t>first time the human right for housing (Soliman, 1996). According to Ezenagu (2000), housing is synonymous with shelter: and for that shelter to pass the criteria of habitability, it must meet minimum standards. This means that every nation must set an attainable level of housing that the nation‘s inhabitants must attain, irrespective</w:t>
      </w:r>
      <w:r>
        <w:rPr>
          <w:spacing w:val="-1"/>
        </w:rPr>
        <w:t> </w:t>
      </w:r>
      <w:r>
        <w:rPr/>
        <w:t>of income, level of education, religion or political affiliation. Housing, thus, affects virtually every individual in any society including the homeless and destitute.</w:t>
      </w:r>
      <w:r>
        <w:rPr>
          <w:spacing w:val="-3"/>
        </w:rPr>
        <w:t> </w:t>
      </w:r>
      <w:r>
        <w:rPr/>
        <w:t>Thus,</w:t>
      </w:r>
      <w:r>
        <w:rPr>
          <w:spacing w:val="-3"/>
        </w:rPr>
        <w:t> </w:t>
      </w:r>
      <w:r>
        <w:rPr/>
        <w:t>individuals</w:t>
      </w:r>
      <w:r>
        <w:rPr>
          <w:spacing w:val="-3"/>
        </w:rPr>
        <w:t> </w:t>
      </w:r>
      <w:r>
        <w:rPr/>
        <w:t>of</w:t>
      </w:r>
      <w:r>
        <w:rPr>
          <w:spacing w:val="-3"/>
        </w:rPr>
        <w:t> </w:t>
      </w:r>
      <w:r>
        <w:rPr/>
        <w:t>all</w:t>
      </w:r>
      <w:r>
        <w:rPr>
          <w:spacing w:val="-3"/>
        </w:rPr>
        <w:t> </w:t>
      </w:r>
      <w:r>
        <w:rPr/>
        <w:t>social</w:t>
      </w:r>
      <w:r>
        <w:rPr>
          <w:spacing w:val="-1"/>
        </w:rPr>
        <w:t> </w:t>
      </w:r>
      <w:r>
        <w:rPr/>
        <w:t>groups</w:t>
      </w:r>
      <w:r>
        <w:rPr>
          <w:spacing w:val="-2"/>
        </w:rPr>
        <w:t> </w:t>
      </w:r>
      <w:r>
        <w:rPr/>
        <w:t>require</w:t>
      </w:r>
      <w:r>
        <w:rPr>
          <w:spacing w:val="-4"/>
        </w:rPr>
        <w:t> </w:t>
      </w:r>
      <w:r>
        <w:rPr/>
        <w:t>housing,</w:t>
      </w:r>
      <w:r>
        <w:rPr>
          <w:spacing w:val="-3"/>
        </w:rPr>
        <w:t> </w:t>
      </w:r>
      <w:r>
        <w:rPr/>
        <w:t>but</w:t>
      </w:r>
      <w:r>
        <w:rPr>
          <w:spacing w:val="-3"/>
        </w:rPr>
        <w:t> </w:t>
      </w:r>
      <w:r>
        <w:rPr/>
        <w:t>the</w:t>
      </w:r>
      <w:r>
        <w:rPr>
          <w:spacing w:val="-2"/>
        </w:rPr>
        <w:t> </w:t>
      </w:r>
      <w:r>
        <w:rPr/>
        <w:t>need</w:t>
      </w:r>
      <w:r>
        <w:rPr>
          <w:spacing w:val="-3"/>
        </w:rPr>
        <w:t> </w:t>
      </w:r>
      <w:r>
        <w:rPr/>
        <w:t>is</w:t>
      </w:r>
      <w:r>
        <w:rPr>
          <w:spacing w:val="-3"/>
        </w:rPr>
        <w:t> </w:t>
      </w:r>
      <w:r>
        <w:rPr/>
        <w:t>palpable</w:t>
      </w:r>
      <w:r>
        <w:rPr>
          <w:spacing w:val="-2"/>
        </w:rPr>
        <w:t> </w:t>
      </w:r>
      <w:r>
        <w:rPr/>
        <w:t>for those of the low and middle income bracket as well as the destitute who have no means of affording</w:t>
      </w:r>
      <w:r>
        <w:rPr>
          <w:spacing w:val="40"/>
        </w:rPr>
        <w:t> </w:t>
      </w:r>
      <w:r>
        <w:rPr/>
        <w:t>the exorbitant prices of houses, hence the need for government intervention.</w:t>
      </w:r>
    </w:p>
    <w:p>
      <w:pPr>
        <w:pStyle w:val="BodyText"/>
        <w:spacing w:before="139"/>
      </w:pPr>
    </w:p>
    <w:p>
      <w:pPr>
        <w:pStyle w:val="BodyText"/>
        <w:spacing w:line="360" w:lineRule="auto"/>
        <w:ind w:left="240" w:right="837"/>
        <w:jc w:val="both"/>
      </w:pPr>
      <w:r>
        <w:rPr/>
        <w:t>To emphasize the need for housing, Ibem and Amole (2010) describe housing as an integral part of human settlement that fulfils basic need, and has a profound impact on the quality of life, health, welfare as well as productivity of man. Similarly, Jiboye (2009) surmises that housing is universally</w:t>
      </w:r>
      <w:r>
        <w:rPr>
          <w:spacing w:val="-1"/>
        </w:rPr>
        <w:t> </w:t>
      </w:r>
      <w:r>
        <w:rPr/>
        <w:t>accepted as the second most important human need after food. From the foregoing, it can be construed that housing represents one of the most basic human needs and the government has a duty to provide it for its citizenry. Every human thus, deserves a decent and affordable housing, because without affordable housing, the provision of other amenities is greatly at risk.</w:t>
      </w:r>
    </w:p>
    <w:p>
      <w:pPr>
        <w:pStyle w:val="BodyText"/>
        <w:spacing w:line="360" w:lineRule="auto" w:before="276"/>
        <w:ind w:left="240" w:right="837"/>
        <w:jc w:val="both"/>
      </w:pPr>
      <w:r>
        <w:rPr/>
        <w:t>Grimes (1976), also explains that housing need is the minimum shelter or accommodation required</w:t>
      </w:r>
      <w:r>
        <w:rPr>
          <w:spacing w:val="43"/>
        </w:rPr>
        <w:t> </w:t>
      </w:r>
      <w:r>
        <w:rPr/>
        <w:t>to</w:t>
      </w:r>
      <w:r>
        <w:rPr>
          <w:spacing w:val="44"/>
        </w:rPr>
        <w:t> </w:t>
      </w:r>
      <w:r>
        <w:rPr/>
        <w:t>meet</w:t>
      </w:r>
      <w:r>
        <w:rPr>
          <w:spacing w:val="44"/>
        </w:rPr>
        <w:t> </w:t>
      </w:r>
      <w:r>
        <w:rPr/>
        <w:t>the</w:t>
      </w:r>
      <w:r>
        <w:rPr>
          <w:spacing w:val="43"/>
        </w:rPr>
        <w:t> </w:t>
      </w:r>
      <w:r>
        <w:rPr/>
        <w:t>basic</w:t>
      </w:r>
      <w:r>
        <w:rPr>
          <w:spacing w:val="44"/>
        </w:rPr>
        <w:t> </w:t>
      </w:r>
      <w:r>
        <w:rPr/>
        <w:t>minimum</w:t>
      </w:r>
      <w:r>
        <w:rPr>
          <w:spacing w:val="42"/>
        </w:rPr>
        <w:t> </w:t>
      </w:r>
      <w:r>
        <w:rPr/>
        <w:t>requirement</w:t>
      </w:r>
      <w:r>
        <w:rPr>
          <w:spacing w:val="44"/>
        </w:rPr>
        <w:t> </w:t>
      </w:r>
      <w:r>
        <w:rPr/>
        <w:t>of</w:t>
      </w:r>
      <w:r>
        <w:rPr>
          <w:spacing w:val="43"/>
        </w:rPr>
        <w:t> </w:t>
      </w:r>
      <w:r>
        <w:rPr/>
        <w:t>a</w:t>
      </w:r>
      <w:r>
        <w:rPr>
          <w:spacing w:val="43"/>
        </w:rPr>
        <w:t> </w:t>
      </w:r>
      <w:r>
        <w:rPr/>
        <w:t>family</w:t>
      </w:r>
      <w:r>
        <w:rPr>
          <w:spacing w:val="37"/>
        </w:rPr>
        <w:t> </w:t>
      </w:r>
      <w:r>
        <w:rPr/>
        <w:t>or</w:t>
      </w:r>
      <w:r>
        <w:rPr>
          <w:spacing w:val="43"/>
        </w:rPr>
        <w:t> </w:t>
      </w:r>
      <w:r>
        <w:rPr/>
        <w:t>an</w:t>
      </w:r>
      <w:r>
        <w:rPr>
          <w:spacing w:val="44"/>
        </w:rPr>
        <w:t> </w:t>
      </w:r>
      <w:r>
        <w:rPr/>
        <w:t>individual.</w:t>
      </w:r>
      <w:r>
        <w:rPr>
          <w:spacing w:val="44"/>
        </w:rPr>
        <w:t>  </w:t>
      </w:r>
      <w:r>
        <w:rPr/>
        <w:t>It</w:t>
      </w:r>
      <w:r>
        <w:rPr>
          <w:spacing w:val="45"/>
        </w:rPr>
        <w:t> </w:t>
      </w:r>
      <w:r>
        <w:rPr/>
        <w:t>relates</w:t>
      </w:r>
      <w:r>
        <w:rPr>
          <w:spacing w:val="44"/>
        </w:rPr>
        <w:t> </w:t>
      </w:r>
      <w:r>
        <w:rPr>
          <w:spacing w:val="-5"/>
        </w:rPr>
        <w:t>to</w:t>
      </w:r>
    </w:p>
    <w:p>
      <w:pPr>
        <w:spacing w:after="0" w:line="360" w:lineRule="auto"/>
        <w:jc w:val="both"/>
        <w:sectPr>
          <w:pgSz w:w="12240" w:h="15840"/>
          <w:pgMar w:header="0" w:footer="1036" w:top="1360" w:bottom="1220" w:left="1200" w:right="600"/>
        </w:sectPr>
      </w:pPr>
    </w:p>
    <w:p>
      <w:pPr>
        <w:pStyle w:val="BodyText"/>
        <w:spacing w:line="360" w:lineRule="auto" w:before="74"/>
        <w:ind w:left="240" w:right="835"/>
        <w:jc w:val="both"/>
      </w:pPr>
      <w:r>
        <w:rPr/>
        <w:t>standards of accommodation deemed acceptable by society. Similarly, Onibokun (1982), opines that housing need is the extent to which the</w:t>
      </w:r>
      <w:r>
        <w:rPr>
          <w:spacing w:val="-1"/>
        </w:rPr>
        <w:t> </w:t>
      </w:r>
      <w:r>
        <w:rPr/>
        <w:t>supply</w:t>
      </w:r>
      <w:r>
        <w:rPr>
          <w:spacing w:val="-3"/>
        </w:rPr>
        <w:t> </w:t>
      </w:r>
      <w:r>
        <w:rPr/>
        <w:t>of adequate housing falls short of the demand of households in terms of their psychological and physiological needs. Needleman(1965) notes that housing to be the extent to which the quantity and quality of existing accommodation falls short of</w:t>
      </w:r>
      <w:r>
        <w:rPr>
          <w:spacing w:val="-1"/>
        </w:rPr>
        <w:t> </w:t>
      </w:r>
      <w:r>
        <w:rPr/>
        <w:t>what is required to provide</w:t>
      </w:r>
      <w:r>
        <w:rPr>
          <w:spacing w:val="-1"/>
        </w:rPr>
        <w:t> </w:t>
      </w:r>
      <w:r>
        <w:rPr/>
        <w:t>each household or</w:t>
      </w:r>
      <w:r>
        <w:rPr>
          <w:spacing w:val="-1"/>
        </w:rPr>
        <w:t> </w:t>
      </w:r>
      <w:r>
        <w:rPr/>
        <w:t>person</w:t>
      </w:r>
      <w:r>
        <w:rPr>
          <w:spacing w:val="-1"/>
        </w:rPr>
        <w:t> </w:t>
      </w:r>
      <w:r>
        <w:rPr/>
        <w:t>with accommodation of</w:t>
      </w:r>
      <w:r>
        <w:rPr>
          <w:spacing w:val="-1"/>
        </w:rPr>
        <w:t> </w:t>
      </w:r>
      <w:r>
        <w:rPr/>
        <w:t>a</w:t>
      </w:r>
      <w:r>
        <w:rPr>
          <w:spacing w:val="-1"/>
        </w:rPr>
        <w:t> </w:t>
      </w:r>
      <w:r>
        <w:rPr/>
        <w:t>specified minimum standard or above. It is pertinent at this juncture to mention that housing need is something</w:t>
      </w:r>
      <w:r>
        <w:rPr>
          <w:spacing w:val="-5"/>
        </w:rPr>
        <w:t> </w:t>
      </w:r>
      <w:r>
        <w:rPr/>
        <w:t>more</w:t>
      </w:r>
      <w:r>
        <w:rPr>
          <w:spacing w:val="-4"/>
        </w:rPr>
        <w:t> </w:t>
      </w:r>
      <w:r>
        <w:rPr/>
        <w:t>than</w:t>
      </w:r>
      <w:r>
        <w:rPr>
          <w:spacing w:val="-2"/>
        </w:rPr>
        <w:t> </w:t>
      </w:r>
      <w:r>
        <w:rPr/>
        <w:t>numerical</w:t>
      </w:r>
      <w:r>
        <w:rPr>
          <w:spacing w:val="-2"/>
        </w:rPr>
        <w:t> </w:t>
      </w:r>
      <w:r>
        <w:rPr/>
        <w:t>quantity</w:t>
      </w:r>
      <w:r>
        <w:rPr>
          <w:spacing w:val="-7"/>
        </w:rPr>
        <w:t> </w:t>
      </w:r>
      <w:r>
        <w:rPr/>
        <w:t>of</w:t>
      </w:r>
      <w:r>
        <w:rPr>
          <w:spacing w:val="-2"/>
        </w:rPr>
        <w:t> </w:t>
      </w:r>
      <w:r>
        <w:rPr/>
        <w:t>dwelling.</w:t>
      </w:r>
      <w:r>
        <w:rPr>
          <w:spacing w:val="-2"/>
        </w:rPr>
        <w:t> </w:t>
      </w:r>
      <w:r>
        <w:rPr/>
        <w:t>As further explained</w:t>
      </w:r>
      <w:r>
        <w:rPr>
          <w:spacing w:val="-2"/>
        </w:rPr>
        <w:t> </w:t>
      </w:r>
      <w:r>
        <w:rPr/>
        <w:t>by</w:t>
      </w:r>
      <w:r>
        <w:rPr>
          <w:spacing w:val="-7"/>
        </w:rPr>
        <w:t> </w:t>
      </w:r>
      <w:r>
        <w:rPr/>
        <w:t>Needleman</w:t>
      </w:r>
      <w:r>
        <w:rPr>
          <w:spacing w:val="-1"/>
        </w:rPr>
        <w:t> </w:t>
      </w:r>
      <w:r>
        <w:rPr/>
        <w:t>(1965), neighbourhood conditions, structure, internal adequacies of dwelling units, number of people in the household and their peculiar requirements and traditions combine to constitute different</w:t>
      </w:r>
      <w:r>
        <w:rPr>
          <w:spacing w:val="40"/>
        </w:rPr>
        <w:t> </w:t>
      </w:r>
      <w:r>
        <w:rPr/>
        <w:t>needs for individual families and households.</w:t>
      </w:r>
    </w:p>
    <w:p>
      <w:pPr>
        <w:pStyle w:val="BodyText"/>
        <w:spacing w:before="71"/>
      </w:pPr>
    </w:p>
    <w:p>
      <w:pPr>
        <w:pStyle w:val="BodyText"/>
        <w:spacing w:line="360" w:lineRule="auto"/>
        <w:ind w:left="240" w:right="840"/>
        <w:jc w:val="both"/>
      </w:pPr>
      <w:r>
        <w:rPr/>
        <w:t>Ezenagu (2000), argues that housing need is fairly difficult to measure precisely due to the fact that the range and degree of need varies considerably. However, a minimum standard of housing necessary for a household to meet its physiological requirements can be taken as housing need. Housing need is thus primarily concerned with meeting the basic housing requirements of all households without regard to whether they can afford it or not.</w:t>
      </w:r>
    </w:p>
    <w:p>
      <w:pPr>
        <w:pStyle w:val="BodyText"/>
        <w:spacing w:before="69"/>
      </w:pPr>
    </w:p>
    <w:p>
      <w:pPr>
        <w:pStyle w:val="BodyText"/>
        <w:spacing w:line="360" w:lineRule="auto"/>
        <w:ind w:left="240" w:right="833"/>
        <w:jc w:val="both"/>
      </w:pPr>
      <w:r>
        <w:rPr/>
        <w:t>The idea of basic minimum standards is often subjective and relative in meaning (Grant, 1976; Ezenagu, 2000). What may be acceptable as minimum standard in country A may not be acceptable</w:t>
      </w:r>
      <w:r>
        <w:rPr>
          <w:spacing w:val="-3"/>
        </w:rPr>
        <w:t> </w:t>
      </w:r>
      <w:r>
        <w:rPr/>
        <w:t>in country</w:t>
      </w:r>
      <w:r>
        <w:rPr>
          <w:spacing w:val="-5"/>
        </w:rPr>
        <w:t> </w:t>
      </w:r>
      <w:r>
        <w:rPr/>
        <w:t>B. Using</w:t>
      </w:r>
      <w:r>
        <w:rPr>
          <w:spacing w:val="-2"/>
        </w:rPr>
        <w:t> </w:t>
      </w:r>
      <w:r>
        <w:rPr/>
        <w:t>Nigeria</w:t>
      </w:r>
      <w:r>
        <w:rPr>
          <w:spacing w:val="-2"/>
        </w:rPr>
        <w:t> </w:t>
      </w:r>
      <w:r>
        <w:rPr/>
        <w:t>as an</w:t>
      </w:r>
      <w:r>
        <w:rPr>
          <w:spacing w:val="-1"/>
        </w:rPr>
        <w:t> </w:t>
      </w:r>
      <w:r>
        <w:rPr/>
        <w:t>example,</w:t>
      </w:r>
      <w:r>
        <w:rPr>
          <w:spacing w:val="-2"/>
        </w:rPr>
        <w:t> </w:t>
      </w:r>
      <w:r>
        <w:rPr/>
        <w:t>variations as</w:t>
      </w:r>
      <w:r>
        <w:rPr>
          <w:spacing w:val="-2"/>
        </w:rPr>
        <w:t> </w:t>
      </w:r>
      <w:r>
        <w:rPr/>
        <w:t>to what</w:t>
      </w:r>
      <w:r>
        <w:rPr>
          <w:spacing w:val="-2"/>
        </w:rPr>
        <w:t> </w:t>
      </w:r>
      <w:r>
        <w:rPr/>
        <w:t>constitutes</w:t>
      </w:r>
      <w:r>
        <w:rPr>
          <w:spacing w:val="-2"/>
        </w:rPr>
        <w:t> </w:t>
      </w:r>
      <w:r>
        <w:rPr/>
        <w:t>minimum standard may exist within numerous geo-ethnic groups. Another pertinent issue is who sets the standards. Standards are sometimes determined by professional groups, or by politicians and administrators. Often the standards set by the professionals are considered objective, however a peculiarity of housing standards is that in most cases, they are not formulated by the users of the housing goods and services (Grant, 1976).</w:t>
      </w:r>
    </w:p>
    <w:p>
      <w:pPr>
        <w:pStyle w:val="BodyText"/>
        <w:spacing w:before="34"/>
      </w:pPr>
    </w:p>
    <w:p>
      <w:pPr>
        <w:pStyle w:val="BodyText"/>
        <w:spacing w:line="360" w:lineRule="auto" w:before="1"/>
        <w:ind w:left="240" w:right="835"/>
        <w:jc w:val="both"/>
      </w:pPr>
      <w:r>
        <w:rPr/>
        <w:t>Standards can be based on preferences of users of housing, sometimes called subjective or felt needs because they were not set by professionals. Standards can also determined by the market, through the ability of individuals to pay or afford housing. This approach is equally subjective. These illustrations indicate that it is not always easy to establish housing needs for the citizens, since standards can differ. Grant (1976) further maintains that there seems to be an impossibility of</w:t>
      </w:r>
      <w:r>
        <w:rPr>
          <w:spacing w:val="4"/>
        </w:rPr>
        <w:t> </w:t>
      </w:r>
      <w:r>
        <w:rPr/>
        <w:t>objectively</w:t>
      </w:r>
      <w:r>
        <w:rPr>
          <w:spacing w:val="2"/>
        </w:rPr>
        <w:t> </w:t>
      </w:r>
      <w:r>
        <w:rPr/>
        <w:t>establishing</w:t>
      </w:r>
      <w:r>
        <w:rPr>
          <w:spacing w:val="5"/>
        </w:rPr>
        <w:t> </w:t>
      </w:r>
      <w:r>
        <w:rPr/>
        <w:t>housing</w:t>
      </w:r>
      <w:r>
        <w:rPr>
          <w:spacing w:val="4"/>
        </w:rPr>
        <w:t> </w:t>
      </w:r>
      <w:r>
        <w:rPr/>
        <w:t>needs</w:t>
      </w:r>
      <w:r>
        <w:rPr>
          <w:spacing w:val="7"/>
        </w:rPr>
        <w:t> </w:t>
      </w:r>
      <w:r>
        <w:rPr/>
        <w:t>apart</w:t>
      </w:r>
      <w:r>
        <w:rPr>
          <w:spacing w:val="7"/>
        </w:rPr>
        <w:t> </w:t>
      </w:r>
      <w:r>
        <w:rPr/>
        <w:t>from</w:t>
      </w:r>
      <w:r>
        <w:rPr>
          <w:spacing w:val="7"/>
        </w:rPr>
        <w:t> </w:t>
      </w:r>
      <w:r>
        <w:rPr/>
        <w:t>the</w:t>
      </w:r>
      <w:r>
        <w:rPr>
          <w:spacing w:val="6"/>
        </w:rPr>
        <w:t> </w:t>
      </w:r>
      <w:r>
        <w:rPr/>
        <w:t>standards</w:t>
      </w:r>
      <w:r>
        <w:rPr>
          <w:spacing w:val="7"/>
        </w:rPr>
        <w:t> </w:t>
      </w:r>
      <w:r>
        <w:rPr/>
        <w:t>and</w:t>
      </w:r>
      <w:r>
        <w:rPr>
          <w:spacing w:val="6"/>
        </w:rPr>
        <w:t> </w:t>
      </w:r>
      <w:r>
        <w:rPr/>
        <w:t>values</w:t>
      </w:r>
      <w:r>
        <w:rPr>
          <w:spacing w:val="6"/>
        </w:rPr>
        <w:t> </w:t>
      </w:r>
      <w:r>
        <w:rPr/>
        <w:t>of</w:t>
      </w:r>
      <w:r>
        <w:rPr>
          <w:spacing w:val="7"/>
        </w:rPr>
        <w:t> </w:t>
      </w:r>
      <w:r>
        <w:rPr/>
        <w:t>society</w:t>
      </w:r>
      <w:r>
        <w:rPr>
          <w:spacing w:val="2"/>
        </w:rPr>
        <w:t> </w:t>
      </w:r>
      <w:r>
        <w:rPr/>
        <w:t>at</w:t>
      </w:r>
      <w:r>
        <w:rPr>
          <w:spacing w:val="8"/>
        </w:rPr>
        <w:t> </w:t>
      </w:r>
      <w:r>
        <w:rPr>
          <w:spacing w:val="-2"/>
        </w:rPr>
        <w:t>large.</w:t>
      </w:r>
    </w:p>
    <w:p>
      <w:pPr>
        <w:spacing w:after="0" w:line="360" w:lineRule="auto"/>
        <w:jc w:val="both"/>
        <w:sectPr>
          <w:pgSz w:w="12240" w:h="15840"/>
          <w:pgMar w:header="0" w:footer="1036" w:top="1360" w:bottom="1220" w:left="1200" w:right="600"/>
        </w:sectPr>
      </w:pPr>
    </w:p>
    <w:p>
      <w:pPr>
        <w:pStyle w:val="BodyText"/>
        <w:spacing w:line="360" w:lineRule="auto" w:before="74"/>
        <w:ind w:left="240" w:right="835"/>
        <w:jc w:val="both"/>
      </w:pPr>
      <w:r>
        <w:rPr/>
        <w:t>Nevertheless, the standard of housing should not fall below the accepted social and health norm (United Nations, 1973). This reinforces the need for grass root interaction of the government</w:t>
      </w:r>
      <w:r>
        <w:rPr>
          <w:spacing w:val="40"/>
        </w:rPr>
        <w:t> </w:t>
      </w:r>
      <w:r>
        <w:rPr/>
        <w:t>with the citizens or potential users of housing.</w:t>
      </w:r>
    </w:p>
    <w:p>
      <w:pPr>
        <w:pStyle w:val="BodyText"/>
        <w:spacing w:before="35"/>
      </w:pPr>
    </w:p>
    <w:p>
      <w:pPr>
        <w:pStyle w:val="BodyText"/>
        <w:spacing w:line="360" w:lineRule="auto"/>
        <w:ind w:left="240" w:right="836"/>
        <w:jc w:val="both"/>
      </w:pPr>
      <w:r>
        <w:rPr/>
        <w:t>Housing need can be estimated for a group of people across a geographical space, be it a city, state or even a nation (United Nations, 1973; Grant, 1976; Ezenagu, 2000). There are two main components</w:t>
      </w:r>
      <w:r>
        <w:rPr>
          <w:spacing w:val="18"/>
        </w:rPr>
        <w:t> </w:t>
      </w:r>
      <w:r>
        <w:rPr/>
        <w:t>of</w:t>
      </w:r>
      <w:r>
        <w:rPr>
          <w:spacing w:val="19"/>
        </w:rPr>
        <w:t> </w:t>
      </w:r>
      <w:r>
        <w:rPr/>
        <w:t>housing</w:t>
      </w:r>
      <w:r>
        <w:rPr>
          <w:spacing w:val="18"/>
        </w:rPr>
        <w:t> </w:t>
      </w:r>
      <w:r>
        <w:rPr/>
        <w:t>needs,</w:t>
      </w:r>
      <w:r>
        <w:rPr>
          <w:spacing w:val="20"/>
        </w:rPr>
        <w:t> </w:t>
      </w:r>
      <w:r>
        <w:rPr/>
        <w:t>namely</w:t>
      </w:r>
      <w:r>
        <w:rPr>
          <w:spacing w:val="16"/>
        </w:rPr>
        <w:t> </w:t>
      </w:r>
      <w:r>
        <w:rPr/>
        <w:t>(i)</w:t>
      </w:r>
      <w:r>
        <w:rPr>
          <w:spacing w:val="19"/>
        </w:rPr>
        <w:t> </w:t>
      </w:r>
      <w:r>
        <w:rPr/>
        <w:t>existing</w:t>
      </w:r>
      <w:r>
        <w:rPr>
          <w:spacing w:val="17"/>
        </w:rPr>
        <w:t> </w:t>
      </w:r>
      <w:r>
        <w:rPr/>
        <w:t>shortages</w:t>
      </w:r>
      <w:r>
        <w:rPr>
          <w:spacing w:val="21"/>
        </w:rPr>
        <w:t> </w:t>
      </w:r>
      <w:r>
        <w:rPr/>
        <w:t>or</w:t>
      </w:r>
      <w:r>
        <w:rPr>
          <w:spacing w:val="19"/>
        </w:rPr>
        <w:t> </w:t>
      </w:r>
      <w:r>
        <w:rPr/>
        <w:t>accumulated</w:t>
      </w:r>
      <w:r>
        <w:rPr>
          <w:spacing w:val="21"/>
        </w:rPr>
        <w:t> </w:t>
      </w:r>
      <w:r>
        <w:rPr/>
        <w:t>housing</w:t>
      </w:r>
      <w:r>
        <w:rPr>
          <w:spacing w:val="17"/>
        </w:rPr>
        <w:t> </w:t>
      </w:r>
      <w:r>
        <w:rPr/>
        <w:t>needs</w:t>
      </w:r>
      <w:r>
        <w:rPr>
          <w:spacing w:val="21"/>
        </w:rPr>
        <w:t> </w:t>
      </w:r>
      <w:r>
        <w:rPr>
          <w:spacing w:val="-5"/>
        </w:rPr>
        <w:t>and</w:t>
      </w:r>
    </w:p>
    <w:p>
      <w:pPr>
        <w:pStyle w:val="BodyText"/>
        <w:spacing w:line="360" w:lineRule="auto"/>
        <w:ind w:left="240" w:right="836"/>
        <w:jc w:val="both"/>
      </w:pPr>
      <w:r>
        <w:rPr/>
        <w:t>(ii) future housing needs. In a developing country like Nigeria, estimating housing needs is very difficult, due to paucity or scarcity of data.</w:t>
      </w:r>
      <w:r>
        <w:rPr>
          <w:spacing w:val="40"/>
        </w:rPr>
        <w:t> </w:t>
      </w:r>
      <w:r>
        <w:rPr/>
        <w:t>Institute for Housing Studies (IHS) (1989) suggests three steps in estimating housing accommodation needed in a locality. These steps are:</w:t>
      </w:r>
    </w:p>
    <w:p>
      <w:pPr>
        <w:pStyle w:val="ListParagraph"/>
        <w:numPr>
          <w:ilvl w:val="3"/>
          <w:numId w:val="3"/>
        </w:numPr>
        <w:tabs>
          <w:tab w:pos="959" w:val="left" w:leader="none"/>
        </w:tabs>
        <w:spacing w:line="240" w:lineRule="auto" w:before="1" w:after="0"/>
        <w:ind w:left="959" w:right="0" w:hanging="359"/>
        <w:jc w:val="both"/>
        <w:rPr>
          <w:sz w:val="24"/>
        </w:rPr>
      </w:pPr>
      <w:r>
        <w:rPr>
          <w:sz w:val="24"/>
        </w:rPr>
        <w:t>How</w:t>
      </w:r>
      <w:r>
        <w:rPr>
          <w:spacing w:val="-1"/>
          <w:sz w:val="24"/>
        </w:rPr>
        <w:t> </w:t>
      </w:r>
      <w:r>
        <w:rPr>
          <w:sz w:val="24"/>
        </w:rPr>
        <w:t>many</w:t>
      </w:r>
      <w:r>
        <w:rPr>
          <w:spacing w:val="-5"/>
          <w:sz w:val="24"/>
        </w:rPr>
        <w:t> </w:t>
      </w:r>
      <w:r>
        <w:rPr>
          <w:sz w:val="24"/>
        </w:rPr>
        <w:t>people;</w:t>
      </w:r>
      <w:r>
        <w:rPr>
          <w:spacing w:val="1"/>
          <w:sz w:val="24"/>
        </w:rPr>
        <w:t> </w:t>
      </w:r>
      <w:r>
        <w:rPr>
          <w:sz w:val="24"/>
        </w:rPr>
        <w:t>that</w:t>
      </w:r>
      <w:r>
        <w:rPr>
          <w:spacing w:val="1"/>
          <w:sz w:val="24"/>
        </w:rPr>
        <w:t> </w:t>
      </w:r>
      <w:r>
        <w:rPr>
          <w:sz w:val="24"/>
        </w:rPr>
        <w:t>is, the</w:t>
      </w:r>
      <w:r>
        <w:rPr>
          <w:spacing w:val="1"/>
          <w:sz w:val="24"/>
        </w:rPr>
        <w:t> </w:t>
      </w:r>
      <w:r>
        <w:rPr>
          <w:sz w:val="24"/>
        </w:rPr>
        <w:t>population of</w:t>
      </w:r>
      <w:r>
        <w:rPr>
          <w:spacing w:val="1"/>
          <w:sz w:val="24"/>
        </w:rPr>
        <w:t> </w:t>
      </w:r>
      <w:r>
        <w:rPr>
          <w:sz w:val="24"/>
        </w:rPr>
        <w:t>the</w:t>
      </w:r>
      <w:r>
        <w:rPr>
          <w:spacing w:val="-1"/>
          <w:sz w:val="24"/>
        </w:rPr>
        <w:t> </w:t>
      </w:r>
      <w:r>
        <w:rPr>
          <w:sz w:val="24"/>
        </w:rPr>
        <w:t>people</w:t>
      </w:r>
      <w:r>
        <w:rPr>
          <w:spacing w:val="1"/>
          <w:sz w:val="24"/>
        </w:rPr>
        <w:t> </w:t>
      </w:r>
      <w:r>
        <w:rPr>
          <w:spacing w:val="-2"/>
          <w:sz w:val="24"/>
        </w:rPr>
        <w:t>involved.</w:t>
      </w:r>
    </w:p>
    <w:p>
      <w:pPr>
        <w:pStyle w:val="ListParagraph"/>
        <w:numPr>
          <w:ilvl w:val="3"/>
          <w:numId w:val="3"/>
        </w:numPr>
        <w:tabs>
          <w:tab w:pos="959" w:val="left" w:leader="none"/>
        </w:tabs>
        <w:spacing w:line="240" w:lineRule="auto" w:before="137" w:after="0"/>
        <w:ind w:left="959" w:right="0" w:hanging="359"/>
        <w:jc w:val="both"/>
        <w:rPr>
          <w:sz w:val="24"/>
        </w:rPr>
      </w:pPr>
      <w:r>
        <w:rPr>
          <w:sz w:val="24"/>
        </w:rPr>
        <w:t>How</w:t>
      </w:r>
      <w:r>
        <w:rPr>
          <w:spacing w:val="-1"/>
          <w:sz w:val="24"/>
        </w:rPr>
        <w:t> </w:t>
      </w:r>
      <w:r>
        <w:rPr>
          <w:sz w:val="24"/>
        </w:rPr>
        <w:t>many</w:t>
      </w:r>
      <w:r>
        <w:rPr>
          <w:spacing w:val="-5"/>
          <w:sz w:val="24"/>
        </w:rPr>
        <w:t> </w:t>
      </w:r>
      <w:r>
        <w:rPr>
          <w:sz w:val="24"/>
        </w:rPr>
        <w:t>households</w:t>
      </w:r>
      <w:r>
        <w:rPr>
          <w:spacing w:val="1"/>
          <w:sz w:val="24"/>
        </w:rPr>
        <w:t> </w:t>
      </w:r>
      <w:r>
        <w:rPr>
          <w:sz w:val="24"/>
        </w:rPr>
        <w:t>–</w:t>
      </w:r>
      <w:r>
        <w:rPr>
          <w:spacing w:val="2"/>
          <w:sz w:val="24"/>
        </w:rPr>
        <w:t> </w:t>
      </w:r>
      <w:r>
        <w:rPr>
          <w:sz w:val="24"/>
        </w:rPr>
        <w:t>this refers to family</w:t>
      </w:r>
      <w:r>
        <w:rPr>
          <w:spacing w:val="-4"/>
          <w:sz w:val="24"/>
        </w:rPr>
        <w:t> </w:t>
      </w:r>
      <w:r>
        <w:rPr>
          <w:spacing w:val="-2"/>
          <w:sz w:val="24"/>
        </w:rPr>
        <w:t>units.</w:t>
      </w:r>
    </w:p>
    <w:p>
      <w:pPr>
        <w:pStyle w:val="ListParagraph"/>
        <w:numPr>
          <w:ilvl w:val="3"/>
          <w:numId w:val="3"/>
        </w:numPr>
        <w:tabs>
          <w:tab w:pos="959" w:val="left" w:leader="none"/>
        </w:tabs>
        <w:spacing w:line="240" w:lineRule="auto" w:before="139" w:after="0"/>
        <w:ind w:left="959" w:right="0" w:hanging="359"/>
        <w:jc w:val="both"/>
        <w:rPr>
          <w:sz w:val="24"/>
        </w:rPr>
      </w:pPr>
      <w:r>
        <w:rPr>
          <w:sz w:val="24"/>
        </w:rPr>
        <w:t>How</w:t>
      </w:r>
      <w:r>
        <w:rPr>
          <w:spacing w:val="1"/>
          <w:sz w:val="24"/>
        </w:rPr>
        <w:t> </w:t>
      </w:r>
      <w:r>
        <w:rPr>
          <w:sz w:val="24"/>
        </w:rPr>
        <w:t>many</w:t>
      </w:r>
      <w:r>
        <w:rPr>
          <w:spacing w:val="-3"/>
          <w:sz w:val="24"/>
        </w:rPr>
        <w:t> </w:t>
      </w:r>
      <w:r>
        <w:rPr>
          <w:spacing w:val="-2"/>
          <w:sz w:val="24"/>
        </w:rPr>
        <w:t>dwellings.</w:t>
      </w:r>
    </w:p>
    <w:p>
      <w:pPr>
        <w:pStyle w:val="BodyText"/>
        <w:spacing w:before="103"/>
      </w:pPr>
    </w:p>
    <w:p>
      <w:pPr>
        <w:pStyle w:val="BodyText"/>
        <w:spacing w:line="360" w:lineRule="auto"/>
        <w:ind w:left="240" w:right="837"/>
        <w:jc w:val="both"/>
      </w:pPr>
      <w:r>
        <w:rPr/>
        <w:t>The first measure determines the target population whose housing needs are to be met. The second reveals the number of households requiring dwelling units while the third measure brings out the difference between need established and the number of existing dwellings. It is simply</w:t>
      </w:r>
      <w:r>
        <w:rPr>
          <w:spacing w:val="40"/>
        </w:rPr>
        <w:t> </w:t>
      </w:r>
      <w:r>
        <w:rPr/>
        <w:t>the number of dwellings needed in order to actually meet all known housing needs.</w:t>
      </w:r>
    </w:p>
    <w:p>
      <w:pPr>
        <w:pStyle w:val="BodyText"/>
        <w:spacing w:before="1"/>
      </w:pPr>
    </w:p>
    <w:p>
      <w:pPr>
        <w:pStyle w:val="BodyText"/>
        <w:spacing w:line="360" w:lineRule="auto"/>
        <w:ind w:left="240" w:right="833"/>
        <w:jc w:val="both"/>
      </w:pPr>
      <w:r>
        <w:rPr/>
        <w:t>Onibokun (1982) asserts that housing need is a socio-geo-political goal. The key performance</w:t>
      </w:r>
      <w:r>
        <w:rPr>
          <w:spacing w:val="40"/>
        </w:rPr>
        <w:t> </w:t>
      </w:r>
      <w:r>
        <w:rPr/>
        <w:t>test on needs estimate is population acceptance. Thus, the derivation of this need would</w:t>
      </w:r>
      <w:r>
        <w:rPr>
          <w:spacing w:val="40"/>
        </w:rPr>
        <w:t> </w:t>
      </w:r>
      <w:r>
        <w:rPr/>
        <w:t>necessary be dependent not only on broad societal goals, but more significantly on the versatile quantitative and qualitative as well as the psychological and socio-economic components of individual household‘s needs in the different levels of society at different time periods and over different geographical or cultural areas.</w:t>
      </w:r>
    </w:p>
    <w:p>
      <w:pPr>
        <w:pStyle w:val="BodyText"/>
        <w:spacing w:line="360" w:lineRule="auto" w:before="241"/>
        <w:ind w:left="240" w:right="837"/>
        <w:jc w:val="both"/>
      </w:pPr>
      <w:r>
        <w:rPr/>
        <w:t>IHS (1989) maintains that in estimating housing needs for</w:t>
      </w:r>
      <w:r>
        <w:rPr>
          <w:spacing w:val="-1"/>
        </w:rPr>
        <w:t> </w:t>
      </w:r>
      <w:r>
        <w:rPr/>
        <w:t>the citizens, provision should be</w:t>
      </w:r>
      <w:r>
        <w:rPr>
          <w:spacing w:val="-1"/>
        </w:rPr>
        <w:t> </w:t>
      </w:r>
      <w:r>
        <w:rPr/>
        <w:t>made for</w:t>
      </w:r>
      <w:r>
        <w:rPr>
          <w:spacing w:val="-3"/>
        </w:rPr>
        <w:t> </w:t>
      </w:r>
      <w:r>
        <w:rPr/>
        <w:t>the</w:t>
      </w:r>
      <w:r>
        <w:rPr>
          <w:spacing w:val="-2"/>
        </w:rPr>
        <w:t> </w:t>
      </w:r>
      <w:r>
        <w:rPr/>
        <w:t>existing</w:t>
      </w:r>
      <w:r>
        <w:rPr>
          <w:spacing w:val="-3"/>
        </w:rPr>
        <w:t> </w:t>
      </w:r>
      <w:r>
        <w:rPr/>
        <w:t>resident</w:t>
      </w:r>
      <w:r>
        <w:rPr>
          <w:spacing w:val="-1"/>
        </w:rPr>
        <w:t> </w:t>
      </w:r>
      <w:r>
        <w:rPr/>
        <w:t>population,</w:t>
      </w:r>
      <w:r>
        <w:rPr>
          <w:spacing w:val="-1"/>
        </w:rPr>
        <w:t> </w:t>
      </w:r>
      <w:r>
        <w:rPr/>
        <w:t>forecast</w:t>
      </w:r>
      <w:r>
        <w:rPr>
          <w:spacing w:val="-1"/>
        </w:rPr>
        <w:t> </w:t>
      </w:r>
      <w:r>
        <w:rPr/>
        <w:t>of</w:t>
      </w:r>
      <w:r>
        <w:rPr>
          <w:spacing w:val="-2"/>
        </w:rPr>
        <w:t> </w:t>
      </w:r>
      <w:r>
        <w:rPr/>
        <w:t>future</w:t>
      </w:r>
      <w:r>
        <w:rPr>
          <w:spacing w:val="-3"/>
        </w:rPr>
        <w:t> </w:t>
      </w:r>
      <w:r>
        <w:rPr/>
        <w:t>resident</w:t>
      </w:r>
      <w:r>
        <w:rPr>
          <w:spacing w:val="-1"/>
        </w:rPr>
        <w:t> </w:t>
      </w:r>
      <w:r>
        <w:rPr/>
        <w:t>population</w:t>
      </w:r>
      <w:r>
        <w:rPr>
          <w:spacing w:val="-1"/>
        </w:rPr>
        <w:t> </w:t>
      </w:r>
      <w:r>
        <w:rPr/>
        <w:t>in</w:t>
      </w:r>
      <w:r>
        <w:rPr>
          <w:spacing w:val="-1"/>
        </w:rPr>
        <w:t> </w:t>
      </w:r>
      <w:r>
        <w:rPr/>
        <w:t>terms</w:t>
      </w:r>
      <w:r>
        <w:rPr>
          <w:spacing w:val="-1"/>
        </w:rPr>
        <w:t> </w:t>
      </w:r>
      <w:r>
        <w:rPr/>
        <w:t>of</w:t>
      </w:r>
      <w:r>
        <w:rPr>
          <w:spacing w:val="-2"/>
        </w:rPr>
        <w:t> </w:t>
      </w:r>
      <w:r>
        <w:rPr/>
        <w:t>households, assessment of present and future requirements and finally allocation of land for residential use. Housing needs are multi-faceted and they encompass the quantitative need, the issue of quality and standard, psychological as well as physiological needs (Onibokun, 1982; IHS, 1989).</w:t>
      </w:r>
    </w:p>
    <w:p>
      <w:pPr>
        <w:spacing w:after="0" w:line="360" w:lineRule="auto"/>
        <w:jc w:val="both"/>
        <w:sectPr>
          <w:pgSz w:w="12240" w:h="15840"/>
          <w:pgMar w:header="0" w:footer="1036" w:top="1360" w:bottom="1220" w:left="1200" w:right="600"/>
        </w:sectPr>
      </w:pPr>
    </w:p>
    <w:p>
      <w:pPr>
        <w:pStyle w:val="BodyText"/>
        <w:spacing w:line="360" w:lineRule="auto" w:before="74"/>
        <w:ind w:left="240" w:right="833"/>
        <w:jc w:val="both"/>
      </w:pPr>
      <w:r>
        <w:rPr/>
        <w:t>Furthermore, Grant (1976) stresses, that the fundamental objective of meeting housing needs by the</w:t>
      </w:r>
      <w:r>
        <w:rPr>
          <w:spacing w:val="-1"/>
        </w:rPr>
        <w:t> </w:t>
      </w:r>
      <w:r>
        <w:rPr/>
        <w:t>government is to ensure</w:t>
      </w:r>
      <w:r>
        <w:rPr>
          <w:spacing w:val="-1"/>
        </w:rPr>
        <w:t> </w:t>
      </w:r>
      <w:r>
        <w:rPr/>
        <w:t>efficient and satisfactory</w:t>
      </w:r>
      <w:r>
        <w:rPr>
          <w:spacing w:val="-5"/>
        </w:rPr>
        <w:t> </w:t>
      </w:r>
      <w:r>
        <w:rPr/>
        <w:t>housing for</w:t>
      </w:r>
      <w:r>
        <w:rPr>
          <w:spacing w:val="-2"/>
        </w:rPr>
        <w:t> </w:t>
      </w:r>
      <w:r>
        <w:rPr/>
        <w:t>the existing</w:t>
      </w:r>
      <w:r>
        <w:rPr>
          <w:spacing w:val="-3"/>
        </w:rPr>
        <w:t> </w:t>
      </w:r>
      <w:r>
        <w:rPr/>
        <w:t>resident population as well as well as meeting their future demand. Households vary in need due to inherent differences, and consideration of these attributes will certainly lead to providing needs</w:t>
      </w:r>
      <w:r>
        <w:rPr>
          <w:spacing w:val="80"/>
        </w:rPr>
        <w:t> </w:t>
      </w:r>
      <w:r>
        <w:rPr/>
        <w:t>acceptable to various groups of persons or households.</w:t>
      </w:r>
    </w:p>
    <w:p>
      <w:pPr>
        <w:pStyle w:val="BodyText"/>
        <w:spacing w:before="138"/>
      </w:pPr>
    </w:p>
    <w:p>
      <w:pPr>
        <w:pStyle w:val="BodyText"/>
        <w:spacing w:line="360" w:lineRule="auto" w:before="1"/>
        <w:ind w:left="240" w:right="836"/>
        <w:jc w:val="both"/>
      </w:pPr>
      <w:r>
        <w:rPr/>
        <w:t>There are various strategies for meeting household needs, including government policies and programmes related to urban renewal, slum upgrading and clearance, slum improvement/rehabilitation, direct mass housing construction, sites and services schemes, provision of mortgage credit facilities (Ezenagu, 2000). However, government policies and programmes must not be formulated without first, establishing the housing needs of the people. Data</w:t>
      </w:r>
      <w:r>
        <w:rPr>
          <w:spacing w:val="-2"/>
        </w:rPr>
        <w:t> </w:t>
      </w:r>
      <w:r>
        <w:rPr/>
        <w:t>will</w:t>
      </w:r>
      <w:r>
        <w:rPr>
          <w:spacing w:val="-2"/>
        </w:rPr>
        <w:t> </w:t>
      </w:r>
      <w:r>
        <w:rPr/>
        <w:t>be</w:t>
      </w:r>
      <w:r>
        <w:rPr>
          <w:spacing w:val="-1"/>
        </w:rPr>
        <w:t> </w:t>
      </w:r>
      <w:r>
        <w:rPr/>
        <w:t>required</w:t>
      </w:r>
      <w:r>
        <w:rPr>
          <w:spacing w:val="-2"/>
        </w:rPr>
        <w:t> </w:t>
      </w:r>
      <w:r>
        <w:rPr/>
        <w:t>to</w:t>
      </w:r>
      <w:r>
        <w:rPr>
          <w:spacing w:val="-2"/>
        </w:rPr>
        <w:t> </w:t>
      </w:r>
      <w:r>
        <w:rPr/>
        <w:t>establish</w:t>
      </w:r>
      <w:r>
        <w:rPr>
          <w:spacing w:val="-2"/>
        </w:rPr>
        <w:t> </w:t>
      </w:r>
      <w:r>
        <w:rPr/>
        <w:t>such</w:t>
      </w:r>
      <w:r>
        <w:rPr>
          <w:spacing w:val="-2"/>
        </w:rPr>
        <w:t> </w:t>
      </w:r>
      <w:r>
        <w:rPr/>
        <w:t>needs and where</w:t>
      </w:r>
      <w:r>
        <w:rPr>
          <w:spacing w:val="-2"/>
        </w:rPr>
        <w:t> </w:t>
      </w:r>
      <w:r>
        <w:rPr/>
        <w:t>they</w:t>
      </w:r>
      <w:r>
        <w:rPr>
          <w:spacing w:val="-7"/>
        </w:rPr>
        <w:t> </w:t>
      </w:r>
      <w:r>
        <w:rPr/>
        <w:t>are</w:t>
      </w:r>
      <w:r>
        <w:rPr>
          <w:spacing w:val="-4"/>
        </w:rPr>
        <w:t> </w:t>
      </w:r>
      <w:r>
        <w:rPr/>
        <w:t>not available,</w:t>
      </w:r>
      <w:r>
        <w:rPr>
          <w:spacing w:val="-2"/>
        </w:rPr>
        <w:t> </w:t>
      </w:r>
      <w:r>
        <w:rPr/>
        <w:t>establishing</w:t>
      </w:r>
      <w:r>
        <w:rPr>
          <w:spacing w:val="-2"/>
        </w:rPr>
        <w:t> </w:t>
      </w:r>
      <w:r>
        <w:rPr/>
        <w:t>a</w:t>
      </w:r>
      <w:r>
        <w:rPr>
          <w:spacing w:val="-3"/>
        </w:rPr>
        <w:t> </w:t>
      </w:r>
      <w:r>
        <w:rPr/>
        <w:t>data bank will be worthwhile.</w:t>
      </w:r>
    </w:p>
    <w:p>
      <w:pPr>
        <w:pStyle w:val="BodyText"/>
        <w:spacing w:line="360" w:lineRule="auto" w:before="275"/>
        <w:ind w:left="240" w:right="833"/>
        <w:jc w:val="both"/>
      </w:pPr>
      <w:r>
        <w:rPr/>
        <w:t>From the foregoing, it would seem that the positivist theory suggests that housing is a right for every individual and government plays a very important role in filling the housing needs of its citizens, i.e., making housing available to community members and bridging the gap between housing supply and demand. The Nigerian government is not left out, as this constitutes part of its statutory obligation. The Government can effectively achieve this, by making concerted efforts in establishing housing needs of all groups of citizens via carrying out extensive research in order to obtain data on citizen needs. No doubt this can be very challenging owing to housing budget cutbacks, poor housing budget procedures, lack of political will and blatant disregard for public/mass housing schemes (Afolayan, 1987; Bichi, 2002).</w:t>
      </w:r>
    </w:p>
    <w:p>
      <w:pPr>
        <w:pStyle w:val="BodyText"/>
        <w:spacing w:before="240"/>
      </w:pPr>
    </w:p>
    <w:p>
      <w:pPr>
        <w:pStyle w:val="Heading3"/>
        <w:ind w:left="240" w:firstLine="0"/>
      </w:pPr>
      <w:r>
        <w:rPr/>
        <w:t>2.6.</w:t>
      </w:r>
      <w:r>
        <w:rPr>
          <w:spacing w:val="-8"/>
        </w:rPr>
        <w:t> </w:t>
      </w:r>
      <w:r>
        <w:rPr/>
        <w:t>Citizen</w:t>
      </w:r>
      <w:r>
        <w:rPr>
          <w:spacing w:val="-8"/>
        </w:rPr>
        <w:t> </w:t>
      </w:r>
      <w:r>
        <w:rPr/>
        <w:t>Participation</w:t>
      </w:r>
      <w:r>
        <w:rPr>
          <w:spacing w:val="-6"/>
        </w:rPr>
        <w:t> </w:t>
      </w:r>
      <w:r>
        <w:rPr>
          <w:spacing w:val="-2"/>
        </w:rPr>
        <w:t>Theory</w:t>
      </w:r>
    </w:p>
    <w:p>
      <w:pPr>
        <w:pStyle w:val="BodyText"/>
        <w:spacing w:line="360" w:lineRule="auto" w:before="145"/>
        <w:ind w:left="240" w:right="836"/>
        <w:jc w:val="both"/>
      </w:pPr>
      <w:r>
        <w:rPr/>
        <w:t>The roots of citizen participation can be traced to ancient Greece and Colonial New England. However, Spiegel (1968) is largely credited with the citizen participation theory. Spiegel (1968) states that citizen participation is a desired and necessary part of community development activities that meaningfully ties programs to people. Similarly, Cogan and Sharpe (1986) assert that</w:t>
      </w:r>
      <w:r>
        <w:rPr>
          <w:spacing w:val="62"/>
        </w:rPr>
        <w:t> </w:t>
      </w:r>
      <w:r>
        <w:rPr/>
        <w:t>citizen</w:t>
      </w:r>
      <w:r>
        <w:rPr>
          <w:spacing w:val="63"/>
        </w:rPr>
        <w:t> </w:t>
      </w:r>
      <w:r>
        <w:rPr/>
        <w:t>participation</w:t>
      </w:r>
      <w:r>
        <w:rPr>
          <w:spacing w:val="62"/>
        </w:rPr>
        <w:t> </w:t>
      </w:r>
      <w:r>
        <w:rPr/>
        <w:t>is</w:t>
      </w:r>
      <w:r>
        <w:rPr>
          <w:spacing w:val="63"/>
        </w:rPr>
        <w:t> </w:t>
      </w:r>
      <w:r>
        <w:rPr/>
        <w:t>a</w:t>
      </w:r>
      <w:r>
        <w:rPr>
          <w:spacing w:val="61"/>
        </w:rPr>
        <w:t> </w:t>
      </w:r>
      <w:r>
        <w:rPr/>
        <w:t>process</w:t>
      </w:r>
      <w:r>
        <w:rPr>
          <w:spacing w:val="63"/>
        </w:rPr>
        <w:t> </w:t>
      </w:r>
      <w:r>
        <w:rPr/>
        <w:t>which</w:t>
      </w:r>
      <w:r>
        <w:rPr>
          <w:spacing w:val="65"/>
        </w:rPr>
        <w:t> </w:t>
      </w:r>
      <w:r>
        <w:rPr/>
        <w:t>provides</w:t>
      </w:r>
      <w:r>
        <w:rPr>
          <w:spacing w:val="62"/>
        </w:rPr>
        <w:t> </w:t>
      </w:r>
      <w:r>
        <w:rPr/>
        <w:t>private</w:t>
      </w:r>
      <w:r>
        <w:rPr>
          <w:spacing w:val="62"/>
        </w:rPr>
        <w:t> </w:t>
      </w:r>
      <w:r>
        <w:rPr/>
        <w:t>individuals</w:t>
      </w:r>
      <w:r>
        <w:rPr>
          <w:spacing w:val="62"/>
        </w:rPr>
        <w:t> </w:t>
      </w:r>
      <w:r>
        <w:rPr/>
        <w:t>an</w:t>
      </w:r>
      <w:r>
        <w:rPr>
          <w:spacing w:val="63"/>
        </w:rPr>
        <w:t> </w:t>
      </w:r>
      <w:r>
        <w:rPr/>
        <w:t>opportunity</w:t>
      </w:r>
      <w:r>
        <w:rPr>
          <w:spacing w:val="58"/>
        </w:rPr>
        <w:t> </w:t>
      </w:r>
      <w:r>
        <w:rPr>
          <w:spacing w:val="-5"/>
        </w:rPr>
        <w:t>to</w:t>
      </w:r>
    </w:p>
    <w:p>
      <w:pPr>
        <w:spacing w:after="0" w:line="360" w:lineRule="auto"/>
        <w:jc w:val="both"/>
        <w:sectPr>
          <w:pgSz w:w="12240" w:h="15840"/>
          <w:pgMar w:header="0" w:footer="1036" w:top="1360" w:bottom="1220" w:left="1200" w:right="600"/>
        </w:sectPr>
      </w:pPr>
    </w:p>
    <w:p>
      <w:pPr>
        <w:pStyle w:val="BodyText"/>
        <w:spacing w:line="360" w:lineRule="auto" w:before="74"/>
        <w:ind w:left="240" w:right="847"/>
        <w:jc w:val="both"/>
      </w:pPr>
      <w:r>
        <w:rPr/>
        <w:t>influence or have a direct voice in public decisions. It has long been a component of the democratic decision-making process.</w:t>
      </w:r>
    </w:p>
    <w:p>
      <w:pPr>
        <w:pStyle w:val="BodyText"/>
        <w:spacing w:before="192"/>
      </w:pPr>
    </w:p>
    <w:p>
      <w:pPr>
        <w:pStyle w:val="BodyText"/>
        <w:spacing w:line="360" w:lineRule="auto" w:before="1"/>
        <w:ind w:left="240" w:right="842"/>
        <w:jc w:val="both"/>
      </w:pPr>
      <w:r>
        <w:rPr/>
        <w:t>Nnanna (2010) opines that citizen participation is one of the community development strategies geared towards involving community members in the development process. It is predicated on the</w:t>
      </w:r>
      <w:r>
        <w:rPr>
          <w:spacing w:val="-2"/>
        </w:rPr>
        <w:t> </w:t>
      </w:r>
      <w:r>
        <w:rPr/>
        <w:t>axiom</w:t>
      </w:r>
      <w:r>
        <w:rPr>
          <w:spacing w:val="-2"/>
        </w:rPr>
        <w:t> </w:t>
      </w:r>
      <w:r>
        <w:rPr/>
        <w:t>that</w:t>
      </w:r>
      <w:r>
        <w:rPr>
          <w:spacing w:val="-1"/>
        </w:rPr>
        <w:t> </w:t>
      </w:r>
      <w:r>
        <w:rPr/>
        <w:t>genuine</w:t>
      </w:r>
      <w:r>
        <w:rPr>
          <w:spacing w:val="-2"/>
        </w:rPr>
        <w:t> </w:t>
      </w:r>
      <w:r>
        <w:rPr/>
        <w:t>and</w:t>
      </w:r>
      <w:r>
        <w:rPr>
          <w:spacing w:val="-2"/>
        </w:rPr>
        <w:t> </w:t>
      </w:r>
      <w:r>
        <w:rPr/>
        <w:t>sustainable</w:t>
      </w:r>
      <w:r>
        <w:rPr>
          <w:spacing w:val="-3"/>
        </w:rPr>
        <w:t> </w:t>
      </w:r>
      <w:r>
        <w:rPr/>
        <w:t>development</w:t>
      </w:r>
      <w:r>
        <w:rPr>
          <w:spacing w:val="-2"/>
        </w:rPr>
        <w:t> </w:t>
      </w:r>
      <w:r>
        <w:rPr/>
        <w:t>and</w:t>
      </w:r>
      <w:r>
        <w:rPr>
          <w:spacing w:val="-2"/>
        </w:rPr>
        <w:t> </w:t>
      </w:r>
      <w:r>
        <w:rPr/>
        <w:t>change</w:t>
      </w:r>
      <w:r>
        <w:rPr>
          <w:spacing w:val="-2"/>
        </w:rPr>
        <w:t> </w:t>
      </w:r>
      <w:r>
        <w:rPr/>
        <w:t>can</w:t>
      </w:r>
      <w:r>
        <w:rPr>
          <w:spacing w:val="-2"/>
        </w:rPr>
        <w:t> </w:t>
      </w:r>
      <w:r>
        <w:rPr/>
        <w:t>only</w:t>
      </w:r>
      <w:r>
        <w:rPr>
          <w:spacing w:val="-3"/>
        </w:rPr>
        <w:t> </w:t>
      </w:r>
      <w:r>
        <w:rPr/>
        <w:t>be</w:t>
      </w:r>
      <w:r>
        <w:rPr>
          <w:spacing w:val="-3"/>
        </w:rPr>
        <w:t> </w:t>
      </w:r>
      <w:r>
        <w:rPr/>
        <w:t>made</w:t>
      </w:r>
      <w:r>
        <w:rPr>
          <w:spacing w:val="-2"/>
        </w:rPr>
        <w:t> </w:t>
      </w:r>
      <w:r>
        <w:rPr/>
        <w:t>possible</w:t>
      </w:r>
      <w:r>
        <w:rPr>
          <w:spacing w:val="-2"/>
        </w:rPr>
        <w:t> </w:t>
      </w:r>
      <w:r>
        <w:rPr/>
        <w:t>when people are carried along in planning, monitoring and in sharing the benefits of development projects and programmes.</w:t>
      </w:r>
    </w:p>
    <w:p>
      <w:pPr>
        <w:pStyle w:val="BodyText"/>
        <w:spacing w:before="193"/>
      </w:pPr>
    </w:p>
    <w:p>
      <w:pPr>
        <w:pStyle w:val="BodyText"/>
        <w:spacing w:line="360" w:lineRule="auto" w:before="1"/>
        <w:ind w:left="240" w:right="836"/>
        <w:jc w:val="both"/>
      </w:pPr>
      <w:r>
        <w:rPr/>
        <w:t>According</w:t>
      </w:r>
      <w:r>
        <w:rPr>
          <w:spacing w:val="-1"/>
        </w:rPr>
        <w:t> </w:t>
      </w:r>
      <w:r>
        <w:rPr/>
        <w:t>to Omuruyi (2001), the involvement of the local people in the development process is imperative taking into consideration the fact that local inhabitants are more equipped with the requisite knowledge that can be exploited to engineer development.</w:t>
      </w:r>
      <w:r>
        <w:rPr>
          <w:spacing w:val="40"/>
        </w:rPr>
        <w:t> </w:t>
      </w:r>
      <w:r>
        <w:rPr/>
        <w:t>Citizen participation is akin to the bottom-top development strategy, which places premium on harnessing the cognitive and material strength of the grassroots populace as against the top-bottom approach, where the views and ideas of community people are considered or utilized while designing projects aimed at enhancing</w:t>
      </w:r>
      <w:r>
        <w:rPr>
          <w:spacing w:val="-3"/>
        </w:rPr>
        <w:t> </w:t>
      </w:r>
      <w:r>
        <w:rPr/>
        <w:t>the</w:t>
      </w:r>
      <w:r>
        <w:rPr>
          <w:spacing w:val="-1"/>
        </w:rPr>
        <w:t> </w:t>
      </w:r>
      <w:r>
        <w:rPr/>
        <w:t>economic development of their community. This is expressed in the saying</w:t>
      </w:r>
      <w:r>
        <w:rPr>
          <w:spacing w:val="-3"/>
        </w:rPr>
        <w:t> </w:t>
      </w:r>
      <w:r>
        <w:rPr/>
        <w:t>that he who wears the shoe knows where it pinches.</w:t>
      </w:r>
    </w:p>
    <w:p>
      <w:pPr>
        <w:pStyle w:val="BodyText"/>
        <w:spacing w:before="62"/>
      </w:pPr>
    </w:p>
    <w:p>
      <w:pPr>
        <w:pStyle w:val="BodyText"/>
        <w:spacing w:line="360" w:lineRule="auto" w:before="1"/>
        <w:ind w:left="240" w:right="836"/>
        <w:jc w:val="both"/>
      </w:pPr>
      <w:r>
        <w:rPr/>
        <w:t>Cogan and Sharpe (1986), note that, there are a variety of techniques available to planners to solicit public input in the planning process. These forms of public involvement are described as </w:t>
      </w:r>
      <w:r>
        <w:rPr>
          <w:spacing w:val="-2"/>
        </w:rPr>
        <w:t>follows:</w:t>
      </w:r>
    </w:p>
    <w:p>
      <w:pPr>
        <w:pStyle w:val="ListParagraph"/>
        <w:numPr>
          <w:ilvl w:val="0"/>
          <w:numId w:val="5"/>
        </w:numPr>
        <w:tabs>
          <w:tab w:pos="958" w:val="left" w:leader="none"/>
          <w:tab w:pos="960" w:val="left" w:leader="none"/>
        </w:tabs>
        <w:spacing w:line="360" w:lineRule="auto" w:before="0" w:after="0"/>
        <w:ind w:left="960" w:right="841" w:hanging="360"/>
        <w:jc w:val="both"/>
        <w:rPr>
          <w:sz w:val="24"/>
        </w:rPr>
      </w:pPr>
      <w:r>
        <w:rPr>
          <w:sz w:val="24"/>
        </w:rPr>
        <w:t>Publicity: Publicity techniques are designed to persuade and build or facilitate public support, relating to citizens as passive consumers.</w:t>
      </w:r>
    </w:p>
    <w:p>
      <w:pPr>
        <w:pStyle w:val="ListParagraph"/>
        <w:numPr>
          <w:ilvl w:val="0"/>
          <w:numId w:val="5"/>
        </w:numPr>
        <w:tabs>
          <w:tab w:pos="958" w:val="left" w:leader="none"/>
          <w:tab w:pos="960" w:val="left" w:leader="none"/>
        </w:tabs>
        <w:spacing w:line="360" w:lineRule="auto" w:before="0" w:after="0"/>
        <w:ind w:left="960" w:right="846" w:hanging="360"/>
        <w:jc w:val="both"/>
        <w:rPr>
          <w:sz w:val="24"/>
        </w:rPr>
      </w:pPr>
      <w:r>
        <w:rPr>
          <w:sz w:val="24"/>
        </w:rPr>
        <w:t>Public Education: Public education programs present or disseminate relatively complete and balanced information so that citizens may draw their own conclusions.</w:t>
      </w:r>
    </w:p>
    <w:p>
      <w:pPr>
        <w:pStyle w:val="ListParagraph"/>
        <w:numPr>
          <w:ilvl w:val="0"/>
          <w:numId w:val="5"/>
        </w:numPr>
        <w:tabs>
          <w:tab w:pos="958" w:val="left" w:leader="none"/>
          <w:tab w:pos="960" w:val="left" w:leader="none"/>
        </w:tabs>
        <w:spacing w:line="360" w:lineRule="auto" w:before="0" w:after="0"/>
        <w:ind w:left="960" w:right="843" w:hanging="360"/>
        <w:jc w:val="both"/>
        <w:rPr>
          <w:sz w:val="24"/>
        </w:rPr>
      </w:pPr>
      <w:r>
        <w:rPr>
          <w:sz w:val="24"/>
        </w:rPr>
        <w:t>Public Input: Public input techniques collect information or solicit ideas and opinions from citizens. They are most effective when combined with feedback mechanisms which inform participants of the extent to which their input has influenced ultimate decisions.</w:t>
      </w:r>
    </w:p>
    <w:p>
      <w:pPr>
        <w:pStyle w:val="ListParagraph"/>
        <w:numPr>
          <w:ilvl w:val="0"/>
          <w:numId w:val="5"/>
        </w:numPr>
        <w:tabs>
          <w:tab w:pos="958" w:val="left" w:leader="none"/>
          <w:tab w:pos="960" w:val="left" w:leader="none"/>
        </w:tabs>
        <w:spacing w:line="360" w:lineRule="auto" w:before="1" w:after="0"/>
        <w:ind w:left="960" w:right="845" w:hanging="360"/>
        <w:jc w:val="both"/>
        <w:rPr>
          <w:sz w:val="24"/>
        </w:rPr>
      </w:pPr>
      <w:r>
        <w:rPr>
          <w:sz w:val="24"/>
        </w:rPr>
        <w:t>Public Interaction: Public interaction techniques facilitate the exchange of information (two-way</w:t>
      </w:r>
      <w:r>
        <w:rPr>
          <w:spacing w:val="40"/>
          <w:sz w:val="24"/>
        </w:rPr>
        <w:t> </w:t>
      </w:r>
      <w:r>
        <w:rPr>
          <w:sz w:val="24"/>
        </w:rPr>
        <w:t>communication)</w:t>
      </w:r>
      <w:r>
        <w:rPr>
          <w:spacing w:val="40"/>
          <w:sz w:val="24"/>
        </w:rPr>
        <w:t> </w:t>
      </w:r>
      <w:r>
        <w:rPr>
          <w:sz w:val="24"/>
        </w:rPr>
        <w:t>and</w:t>
      </w:r>
      <w:r>
        <w:rPr>
          <w:spacing w:val="40"/>
          <w:sz w:val="24"/>
        </w:rPr>
        <w:t> </w:t>
      </w:r>
      <w:r>
        <w:rPr>
          <w:sz w:val="24"/>
        </w:rPr>
        <w:t>ideas</w:t>
      </w:r>
      <w:r>
        <w:rPr>
          <w:spacing w:val="40"/>
          <w:sz w:val="24"/>
        </w:rPr>
        <w:t> </w:t>
      </w:r>
      <w:r>
        <w:rPr>
          <w:sz w:val="24"/>
        </w:rPr>
        <w:t>among</w:t>
      </w:r>
      <w:r>
        <w:rPr>
          <w:spacing w:val="40"/>
          <w:sz w:val="24"/>
        </w:rPr>
        <w:t> </w:t>
      </w:r>
      <w:r>
        <w:rPr>
          <w:sz w:val="24"/>
        </w:rPr>
        <w:t>citizens,</w:t>
      </w:r>
      <w:r>
        <w:rPr>
          <w:spacing w:val="40"/>
          <w:sz w:val="24"/>
        </w:rPr>
        <w:t> </w:t>
      </w:r>
      <w:r>
        <w:rPr>
          <w:sz w:val="24"/>
        </w:rPr>
        <w:t>planners,</w:t>
      </w:r>
      <w:r>
        <w:rPr>
          <w:spacing w:val="40"/>
          <w:sz w:val="24"/>
        </w:rPr>
        <w:t> </w:t>
      </w:r>
      <w:r>
        <w:rPr>
          <w:sz w:val="24"/>
        </w:rPr>
        <w:t>and</w:t>
      </w:r>
      <w:r>
        <w:rPr>
          <w:spacing w:val="40"/>
          <w:sz w:val="24"/>
        </w:rPr>
        <w:t> </w:t>
      </w:r>
      <w:r>
        <w:rPr>
          <w:sz w:val="24"/>
        </w:rPr>
        <w:t>decision</w:t>
      </w:r>
      <w:r>
        <w:rPr>
          <w:spacing w:val="40"/>
          <w:sz w:val="24"/>
        </w:rPr>
        <w:t> </w:t>
      </w:r>
      <w:r>
        <w:rPr>
          <w:sz w:val="24"/>
        </w:rPr>
        <w:t>makers.</w:t>
      </w:r>
    </w:p>
    <w:p>
      <w:pPr>
        <w:spacing w:after="0" w:line="360" w:lineRule="auto"/>
        <w:jc w:val="both"/>
        <w:rPr>
          <w:sz w:val="24"/>
        </w:rPr>
        <w:sectPr>
          <w:pgSz w:w="12240" w:h="15840"/>
          <w:pgMar w:header="0" w:footer="1036" w:top="1360" w:bottom="1220" w:left="1200" w:right="600"/>
        </w:sectPr>
      </w:pPr>
    </w:p>
    <w:p>
      <w:pPr>
        <w:pStyle w:val="BodyText"/>
        <w:spacing w:line="360" w:lineRule="auto" w:before="74"/>
        <w:ind w:left="960" w:right="840"/>
      </w:pPr>
      <w:r>
        <w:rPr/>
        <w:t>When</w:t>
      </w:r>
      <w:r>
        <w:rPr>
          <w:spacing w:val="33"/>
        </w:rPr>
        <w:t> </w:t>
      </w:r>
      <w:r>
        <w:rPr/>
        <w:t>these</w:t>
      </w:r>
      <w:r>
        <w:rPr>
          <w:spacing w:val="31"/>
        </w:rPr>
        <w:t> </w:t>
      </w:r>
      <w:r>
        <w:rPr/>
        <w:t>techniques</w:t>
      </w:r>
      <w:r>
        <w:rPr>
          <w:spacing w:val="35"/>
        </w:rPr>
        <w:t> </w:t>
      </w:r>
      <w:r>
        <w:rPr/>
        <w:t>are</w:t>
      </w:r>
      <w:r>
        <w:rPr>
          <w:spacing w:val="33"/>
        </w:rPr>
        <w:t> </w:t>
      </w:r>
      <w:r>
        <w:rPr/>
        <w:t>effectively</w:t>
      </w:r>
      <w:r>
        <w:rPr>
          <w:spacing w:val="27"/>
        </w:rPr>
        <w:t> </w:t>
      </w:r>
      <w:r>
        <w:rPr/>
        <w:t>utilized,</w:t>
      </w:r>
      <w:r>
        <w:rPr>
          <w:spacing w:val="32"/>
        </w:rPr>
        <w:t> </w:t>
      </w:r>
      <w:r>
        <w:rPr/>
        <w:t>each</w:t>
      </w:r>
      <w:r>
        <w:rPr>
          <w:spacing w:val="32"/>
        </w:rPr>
        <w:t> </w:t>
      </w:r>
      <w:r>
        <w:rPr/>
        <w:t>participant</w:t>
      </w:r>
      <w:r>
        <w:rPr>
          <w:spacing w:val="33"/>
        </w:rPr>
        <w:t> </w:t>
      </w:r>
      <w:r>
        <w:rPr/>
        <w:t>has</w:t>
      </w:r>
      <w:r>
        <w:rPr>
          <w:spacing w:val="33"/>
        </w:rPr>
        <w:t> </w:t>
      </w:r>
      <w:r>
        <w:rPr/>
        <w:t>the</w:t>
      </w:r>
      <w:r>
        <w:rPr>
          <w:spacing w:val="34"/>
        </w:rPr>
        <w:t> </w:t>
      </w:r>
      <w:r>
        <w:rPr/>
        <w:t>opportunity</w:t>
      </w:r>
      <w:r>
        <w:rPr>
          <w:spacing w:val="27"/>
        </w:rPr>
        <w:t> </w:t>
      </w:r>
      <w:r>
        <w:rPr/>
        <w:t>to express his or her views, respond to the ideas of others, and work toward consensus.</w:t>
      </w:r>
    </w:p>
    <w:p>
      <w:pPr>
        <w:pStyle w:val="ListParagraph"/>
        <w:numPr>
          <w:ilvl w:val="0"/>
          <w:numId w:val="5"/>
        </w:numPr>
        <w:tabs>
          <w:tab w:pos="960" w:val="left" w:leader="none"/>
        </w:tabs>
        <w:spacing w:line="360" w:lineRule="auto" w:before="1" w:after="0"/>
        <w:ind w:left="960" w:right="845" w:hanging="360"/>
        <w:jc w:val="left"/>
        <w:rPr>
          <w:sz w:val="24"/>
        </w:rPr>
      </w:pPr>
      <w:r>
        <w:rPr>
          <w:sz w:val="24"/>
        </w:rPr>
        <w:t>Public</w:t>
      </w:r>
      <w:r>
        <w:rPr>
          <w:spacing w:val="38"/>
          <w:sz w:val="24"/>
        </w:rPr>
        <w:t> </w:t>
      </w:r>
      <w:r>
        <w:rPr>
          <w:sz w:val="24"/>
        </w:rPr>
        <w:t>Partnership:</w:t>
      </w:r>
      <w:r>
        <w:rPr>
          <w:spacing w:val="39"/>
          <w:sz w:val="24"/>
        </w:rPr>
        <w:t> </w:t>
      </w:r>
      <w:r>
        <w:rPr>
          <w:sz w:val="24"/>
        </w:rPr>
        <w:t>Public</w:t>
      </w:r>
      <w:r>
        <w:rPr>
          <w:spacing w:val="38"/>
          <w:sz w:val="24"/>
        </w:rPr>
        <w:t> </w:t>
      </w:r>
      <w:r>
        <w:rPr>
          <w:sz w:val="24"/>
        </w:rPr>
        <w:t>partnerships</w:t>
      </w:r>
      <w:r>
        <w:rPr>
          <w:spacing w:val="39"/>
          <w:sz w:val="24"/>
        </w:rPr>
        <w:t> </w:t>
      </w:r>
      <w:r>
        <w:rPr>
          <w:sz w:val="24"/>
        </w:rPr>
        <w:t>offer</w:t>
      </w:r>
      <w:r>
        <w:rPr>
          <w:spacing w:val="40"/>
          <w:sz w:val="24"/>
        </w:rPr>
        <w:t> </w:t>
      </w:r>
      <w:r>
        <w:rPr>
          <w:sz w:val="24"/>
        </w:rPr>
        <w:t>citizens</w:t>
      </w:r>
      <w:r>
        <w:rPr>
          <w:spacing w:val="39"/>
          <w:sz w:val="24"/>
        </w:rPr>
        <w:t> </w:t>
      </w:r>
      <w:r>
        <w:rPr>
          <w:sz w:val="24"/>
        </w:rPr>
        <w:t>a</w:t>
      </w:r>
      <w:r>
        <w:rPr>
          <w:spacing w:val="38"/>
          <w:sz w:val="24"/>
        </w:rPr>
        <w:t> </w:t>
      </w:r>
      <w:r>
        <w:rPr>
          <w:sz w:val="24"/>
        </w:rPr>
        <w:t>formalized</w:t>
      </w:r>
      <w:r>
        <w:rPr>
          <w:spacing w:val="38"/>
          <w:sz w:val="24"/>
        </w:rPr>
        <w:t> </w:t>
      </w:r>
      <w:r>
        <w:rPr>
          <w:sz w:val="24"/>
        </w:rPr>
        <w:t>role</w:t>
      </w:r>
      <w:r>
        <w:rPr>
          <w:spacing w:val="37"/>
          <w:sz w:val="24"/>
        </w:rPr>
        <w:t> </w:t>
      </w:r>
      <w:r>
        <w:rPr>
          <w:sz w:val="24"/>
        </w:rPr>
        <w:t>in</w:t>
      </w:r>
      <w:r>
        <w:rPr>
          <w:spacing w:val="38"/>
          <w:sz w:val="24"/>
        </w:rPr>
        <w:t> </w:t>
      </w:r>
      <w:r>
        <w:rPr>
          <w:sz w:val="24"/>
        </w:rPr>
        <w:t>shaping</w:t>
      </w:r>
      <w:r>
        <w:rPr>
          <w:spacing w:val="37"/>
          <w:sz w:val="24"/>
        </w:rPr>
        <w:t> </w:t>
      </w:r>
      <w:r>
        <w:rPr>
          <w:sz w:val="24"/>
        </w:rPr>
        <w:t>the ultimate decisions. It is aimed at securing advice and consent.</w:t>
      </w:r>
    </w:p>
    <w:p>
      <w:pPr>
        <w:pStyle w:val="BodyText"/>
        <w:spacing w:line="360" w:lineRule="auto" w:before="242"/>
        <w:ind w:left="240" w:right="838"/>
        <w:jc w:val="both"/>
      </w:pPr>
      <w:r>
        <w:rPr/>
        <w:t>A key point that Cogan and Sharpe (1986) make is that the number of citizens who can be involved is inversely related to the level of active involvement. For example, public relations efforts can reach a larger number of citizens, while public partnership limits participation to a </w:t>
      </w:r>
      <w:r>
        <w:rPr>
          <w:spacing w:val="-4"/>
        </w:rPr>
        <w:t>few.</w:t>
      </w:r>
    </w:p>
    <w:p>
      <w:pPr>
        <w:pStyle w:val="BodyText"/>
        <w:spacing w:before="34"/>
      </w:pPr>
    </w:p>
    <w:p>
      <w:pPr>
        <w:pStyle w:val="BodyText"/>
        <w:spacing w:line="360" w:lineRule="auto"/>
        <w:ind w:left="240" w:right="834"/>
        <w:jc w:val="both"/>
      </w:pPr>
      <w:r>
        <w:rPr/>
        <w:t>Beierle (1999) also provides a comprehensive array of strategies to employ in constructing effective participatory practices. Commonly cited strategies are careful selection of a representative group of stakeholders; a transparent decision-making process to build trust among the participants; clear authority in decision-making; competent and unbiased group facilitators; regular meetings; and adequate financial resources to support the group process through the potentially long learning and decision-making process.</w:t>
      </w:r>
    </w:p>
    <w:p>
      <w:pPr>
        <w:pStyle w:val="BodyText"/>
        <w:spacing w:before="138"/>
      </w:pPr>
    </w:p>
    <w:p>
      <w:pPr>
        <w:pStyle w:val="BodyText"/>
        <w:spacing w:line="360" w:lineRule="auto"/>
        <w:ind w:left="240" w:right="836"/>
        <w:jc w:val="both"/>
      </w:pPr>
      <w:r>
        <w:rPr/>
        <w:t>Bridges (1974) cites five advantages to be gained from active participation in community</w:t>
      </w:r>
      <w:r>
        <w:rPr>
          <w:spacing w:val="-6"/>
        </w:rPr>
        <w:t> </w:t>
      </w:r>
      <w:r>
        <w:rPr/>
        <w:t>affairs. These include: (a) citizens can bring desired change by expressing their desires either individually or through a community group (b) the individual learns how to make the desired changes (c) citizens learn to understand and appreciate the individual needs and interests of all community groups (d) the citizen learns how to resolve conflicting interests for the general welfare of the group and (e) the individual begins to understand group dynamics as it applies to mixed groups.</w:t>
      </w:r>
    </w:p>
    <w:p>
      <w:pPr>
        <w:pStyle w:val="BodyText"/>
        <w:spacing w:before="27"/>
      </w:pPr>
    </w:p>
    <w:p>
      <w:pPr>
        <w:pStyle w:val="BodyText"/>
        <w:spacing w:line="360" w:lineRule="auto" w:before="1"/>
        <w:ind w:left="240" w:right="832"/>
        <w:jc w:val="both"/>
      </w:pPr>
      <w:r>
        <w:rPr/>
        <w:t>Ikpeme(1983), notes that public involvement results in better decisions. He argues that community decisions that involve citizens are more likely to be acceptable to the local people. Citizen participation serves to check and balance political activities. Participation allows fuller access to benefits of a democratic society (Homans, 1974). Citizen participation in the decision- making process reduces the likelihood of leaders making self-serving decisions. Cahn and Jean (1968) suggest that there are three rationales for citizen participation:</w:t>
      </w:r>
    </w:p>
    <w:p>
      <w:pPr>
        <w:spacing w:after="0" w:line="360" w:lineRule="auto"/>
        <w:jc w:val="both"/>
        <w:sectPr>
          <w:pgSz w:w="12240" w:h="15840"/>
          <w:pgMar w:header="0" w:footer="1036" w:top="1360" w:bottom="1220" w:left="1200" w:right="600"/>
        </w:sectPr>
      </w:pPr>
    </w:p>
    <w:p>
      <w:pPr>
        <w:pStyle w:val="ListParagraph"/>
        <w:numPr>
          <w:ilvl w:val="1"/>
          <w:numId w:val="5"/>
        </w:numPr>
        <w:tabs>
          <w:tab w:pos="958" w:val="left" w:leader="none"/>
          <w:tab w:pos="960" w:val="left" w:leader="none"/>
        </w:tabs>
        <w:spacing w:line="360" w:lineRule="auto" w:before="74" w:after="0"/>
        <w:ind w:left="960" w:right="840" w:hanging="360"/>
        <w:jc w:val="both"/>
        <w:rPr>
          <w:sz w:val="24"/>
        </w:rPr>
      </w:pPr>
      <w:r>
        <w:rPr>
          <w:sz w:val="24"/>
        </w:rPr>
        <w:t>Knowing that one can participate promotes dignity and self-sufficiency within the </w:t>
      </w:r>
      <w:r>
        <w:rPr>
          <w:spacing w:val="-2"/>
          <w:sz w:val="24"/>
        </w:rPr>
        <w:t>individuals.</w:t>
      </w:r>
    </w:p>
    <w:p>
      <w:pPr>
        <w:pStyle w:val="ListParagraph"/>
        <w:numPr>
          <w:ilvl w:val="1"/>
          <w:numId w:val="5"/>
        </w:numPr>
        <w:tabs>
          <w:tab w:pos="958" w:val="left" w:leader="none"/>
        </w:tabs>
        <w:spacing w:line="240" w:lineRule="auto" w:before="1" w:after="0"/>
        <w:ind w:left="958" w:right="0" w:hanging="358"/>
        <w:jc w:val="both"/>
        <w:rPr>
          <w:sz w:val="24"/>
        </w:rPr>
      </w:pPr>
      <w:r>
        <w:rPr>
          <w:sz w:val="24"/>
        </w:rPr>
        <w:t>It</w:t>
      </w:r>
      <w:r>
        <w:rPr>
          <w:spacing w:val="-3"/>
          <w:sz w:val="24"/>
        </w:rPr>
        <w:t> </w:t>
      </w:r>
      <w:r>
        <w:rPr>
          <w:sz w:val="24"/>
        </w:rPr>
        <w:t>taps</w:t>
      </w:r>
      <w:r>
        <w:rPr>
          <w:spacing w:val="-1"/>
          <w:sz w:val="24"/>
        </w:rPr>
        <w:t> </w:t>
      </w:r>
      <w:r>
        <w:rPr>
          <w:sz w:val="24"/>
        </w:rPr>
        <w:t>the energies</w:t>
      </w:r>
      <w:r>
        <w:rPr>
          <w:spacing w:val="-1"/>
          <w:sz w:val="24"/>
        </w:rPr>
        <w:t> </w:t>
      </w:r>
      <w:r>
        <w:rPr>
          <w:sz w:val="24"/>
        </w:rPr>
        <w:t>and</w:t>
      </w:r>
      <w:r>
        <w:rPr>
          <w:spacing w:val="-2"/>
          <w:sz w:val="24"/>
        </w:rPr>
        <w:t> </w:t>
      </w:r>
      <w:r>
        <w:rPr>
          <w:sz w:val="24"/>
        </w:rPr>
        <w:t>resources</w:t>
      </w:r>
      <w:r>
        <w:rPr>
          <w:spacing w:val="-1"/>
          <w:sz w:val="24"/>
        </w:rPr>
        <w:t> </w:t>
      </w:r>
      <w:r>
        <w:rPr>
          <w:sz w:val="24"/>
        </w:rPr>
        <w:t>of</w:t>
      </w:r>
      <w:r>
        <w:rPr>
          <w:spacing w:val="-1"/>
          <w:sz w:val="24"/>
        </w:rPr>
        <w:t> </w:t>
      </w:r>
      <w:r>
        <w:rPr>
          <w:sz w:val="24"/>
        </w:rPr>
        <w:t>individual</w:t>
      </w:r>
      <w:r>
        <w:rPr>
          <w:spacing w:val="-1"/>
          <w:sz w:val="24"/>
        </w:rPr>
        <w:t> </w:t>
      </w:r>
      <w:r>
        <w:rPr>
          <w:sz w:val="24"/>
        </w:rPr>
        <w:t>citizens</w:t>
      </w:r>
      <w:r>
        <w:rPr>
          <w:spacing w:val="3"/>
          <w:sz w:val="24"/>
        </w:rPr>
        <w:t> </w:t>
      </w:r>
      <w:r>
        <w:rPr>
          <w:sz w:val="24"/>
        </w:rPr>
        <w:t>within</w:t>
      </w:r>
      <w:r>
        <w:rPr>
          <w:spacing w:val="-1"/>
          <w:sz w:val="24"/>
        </w:rPr>
        <w:t> </w:t>
      </w:r>
      <w:r>
        <w:rPr>
          <w:sz w:val="24"/>
        </w:rPr>
        <w:t>the </w:t>
      </w:r>
      <w:r>
        <w:rPr>
          <w:spacing w:val="-2"/>
          <w:sz w:val="24"/>
        </w:rPr>
        <w:t>community.</w:t>
      </w:r>
    </w:p>
    <w:p>
      <w:pPr>
        <w:pStyle w:val="ListParagraph"/>
        <w:numPr>
          <w:ilvl w:val="1"/>
          <w:numId w:val="5"/>
        </w:numPr>
        <w:tabs>
          <w:tab w:pos="957" w:val="left" w:leader="none"/>
          <w:tab w:pos="960" w:val="left" w:leader="none"/>
        </w:tabs>
        <w:spacing w:line="360" w:lineRule="auto" w:before="136" w:after="0"/>
        <w:ind w:left="960" w:right="842" w:hanging="360"/>
        <w:jc w:val="both"/>
        <w:rPr>
          <w:sz w:val="24"/>
        </w:rPr>
      </w:pPr>
      <w:r>
        <w:rPr>
          <w:sz w:val="24"/>
        </w:rPr>
        <w:t>It provides a source of special insight, information, knowledge and experience, which contributes to the soundness of government decisions like infrastructure budgeting.</w:t>
      </w:r>
    </w:p>
    <w:p>
      <w:pPr>
        <w:pStyle w:val="BodyText"/>
        <w:spacing w:line="360" w:lineRule="auto" w:before="202"/>
        <w:ind w:left="240" w:right="837"/>
        <w:jc w:val="both"/>
      </w:pPr>
      <w:r>
        <w:rPr/>
        <w:t>Thomas (1995) and Beierle (1999) stress that the citizen participation process can help the citizens on one hand and aid government decision making on the other. In view of this, they group the advantages of citizen participation as follows:</w:t>
      </w:r>
    </w:p>
    <w:p>
      <w:pPr>
        <w:pStyle w:val="ListParagraph"/>
        <w:numPr>
          <w:ilvl w:val="2"/>
          <w:numId w:val="5"/>
        </w:numPr>
        <w:tabs>
          <w:tab w:pos="959" w:val="left" w:leader="none"/>
        </w:tabs>
        <w:spacing w:line="240" w:lineRule="auto" w:before="201" w:after="0"/>
        <w:ind w:left="959" w:right="0" w:hanging="359"/>
        <w:jc w:val="both"/>
        <w:rPr>
          <w:sz w:val="24"/>
        </w:rPr>
      </w:pPr>
      <w:r>
        <w:rPr>
          <w:sz w:val="24"/>
        </w:rPr>
        <w:t>Decision</w:t>
      </w:r>
      <w:r>
        <w:rPr>
          <w:spacing w:val="-3"/>
          <w:sz w:val="24"/>
        </w:rPr>
        <w:t> </w:t>
      </w:r>
      <w:r>
        <w:rPr>
          <w:spacing w:val="-2"/>
          <w:sz w:val="24"/>
        </w:rPr>
        <w:t>Process:</w:t>
      </w:r>
    </w:p>
    <w:p>
      <w:pPr>
        <w:pStyle w:val="ListParagraph"/>
        <w:numPr>
          <w:ilvl w:val="3"/>
          <w:numId w:val="5"/>
        </w:numPr>
        <w:tabs>
          <w:tab w:pos="1680" w:val="left" w:leader="none"/>
        </w:tabs>
        <w:spacing w:line="360" w:lineRule="auto" w:before="137" w:after="0"/>
        <w:ind w:left="1680" w:right="838" w:hanging="488"/>
        <w:jc w:val="left"/>
        <w:rPr>
          <w:sz w:val="24"/>
        </w:rPr>
      </w:pPr>
      <w:r>
        <w:rPr>
          <w:sz w:val="24"/>
        </w:rPr>
        <w:t>Citizens</w:t>
      </w:r>
      <w:r>
        <w:rPr>
          <w:spacing w:val="-2"/>
          <w:sz w:val="24"/>
        </w:rPr>
        <w:t> </w:t>
      </w:r>
      <w:r>
        <w:rPr>
          <w:sz w:val="24"/>
        </w:rPr>
        <w:t>learn</w:t>
      </w:r>
      <w:r>
        <w:rPr>
          <w:spacing w:val="-1"/>
          <w:sz w:val="24"/>
        </w:rPr>
        <w:t> </w:t>
      </w:r>
      <w:r>
        <w:rPr>
          <w:sz w:val="24"/>
        </w:rPr>
        <w:t>from</w:t>
      </w:r>
      <w:r>
        <w:rPr>
          <w:spacing w:val="-2"/>
          <w:sz w:val="24"/>
        </w:rPr>
        <w:t> </w:t>
      </w:r>
      <w:r>
        <w:rPr>
          <w:sz w:val="24"/>
        </w:rPr>
        <w:t>and inform government</w:t>
      </w:r>
      <w:r>
        <w:rPr>
          <w:spacing w:val="-2"/>
          <w:sz w:val="24"/>
        </w:rPr>
        <w:t> </w:t>
      </w:r>
      <w:r>
        <w:rPr>
          <w:sz w:val="24"/>
        </w:rPr>
        <w:t>representatives,</w:t>
      </w:r>
      <w:r>
        <w:rPr>
          <w:spacing w:val="-3"/>
          <w:sz w:val="24"/>
        </w:rPr>
        <w:t> </w:t>
      </w:r>
      <w:r>
        <w:rPr>
          <w:sz w:val="24"/>
        </w:rPr>
        <w:t>while</w:t>
      </w:r>
      <w:r>
        <w:rPr>
          <w:spacing w:val="-3"/>
          <w:sz w:val="24"/>
        </w:rPr>
        <w:t> </w:t>
      </w:r>
      <w:r>
        <w:rPr>
          <w:sz w:val="24"/>
        </w:rPr>
        <w:t>the</w:t>
      </w:r>
      <w:r>
        <w:rPr>
          <w:spacing w:val="-1"/>
          <w:sz w:val="24"/>
        </w:rPr>
        <w:t> </w:t>
      </w:r>
      <w:r>
        <w:rPr>
          <w:sz w:val="24"/>
        </w:rPr>
        <w:t>government in turn learns from and informs citizens;</w:t>
      </w:r>
    </w:p>
    <w:p>
      <w:pPr>
        <w:pStyle w:val="ListParagraph"/>
        <w:numPr>
          <w:ilvl w:val="3"/>
          <w:numId w:val="5"/>
        </w:numPr>
        <w:tabs>
          <w:tab w:pos="1680" w:val="left" w:leader="none"/>
        </w:tabs>
        <w:spacing w:line="360" w:lineRule="auto" w:before="0" w:after="0"/>
        <w:ind w:left="1680" w:right="845" w:hanging="555"/>
        <w:jc w:val="left"/>
        <w:rPr>
          <w:sz w:val="24"/>
        </w:rPr>
      </w:pPr>
      <w:r>
        <w:rPr>
          <w:sz w:val="24"/>
        </w:rPr>
        <w:t>Citizens</w:t>
      </w:r>
      <w:r>
        <w:rPr>
          <w:spacing w:val="80"/>
          <w:sz w:val="24"/>
        </w:rPr>
        <w:t> </w:t>
      </w:r>
      <w:r>
        <w:rPr>
          <w:sz w:val="24"/>
        </w:rPr>
        <w:t>persuade</w:t>
      </w:r>
      <w:r>
        <w:rPr>
          <w:spacing w:val="80"/>
          <w:sz w:val="24"/>
        </w:rPr>
        <w:t> </w:t>
      </w:r>
      <w:r>
        <w:rPr>
          <w:sz w:val="24"/>
        </w:rPr>
        <w:t>and</w:t>
      </w:r>
      <w:r>
        <w:rPr>
          <w:spacing w:val="80"/>
          <w:sz w:val="24"/>
        </w:rPr>
        <w:t> </w:t>
      </w:r>
      <w:r>
        <w:rPr>
          <w:sz w:val="24"/>
        </w:rPr>
        <w:t>enlighten</w:t>
      </w:r>
      <w:r>
        <w:rPr>
          <w:spacing w:val="80"/>
          <w:sz w:val="24"/>
        </w:rPr>
        <w:t> </w:t>
      </w:r>
      <w:r>
        <w:rPr>
          <w:sz w:val="24"/>
        </w:rPr>
        <w:t>citizens,</w:t>
      </w:r>
      <w:r>
        <w:rPr>
          <w:spacing w:val="80"/>
          <w:sz w:val="24"/>
        </w:rPr>
        <w:t> </w:t>
      </w:r>
      <w:r>
        <w:rPr>
          <w:sz w:val="24"/>
        </w:rPr>
        <w:t>while</w:t>
      </w:r>
      <w:r>
        <w:rPr>
          <w:spacing w:val="80"/>
          <w:sz w:val="24"/>
        </w:rPr>
        <w:t> </w:t>
      </w:r>
      <w:r>
        <w:rPr>
          <w:sz w:val="24"/>
        </w:rPr>
        <w:t>the</w:t>
      </w:r>
      <w:r>
        <w:rPr>
          <w:spacing w:val="80"/>
          <w:sz w:val="24"/>
        </w:rPr>
        <w:t> </w:t>
      </w:r>
      <w:r>
        <w:rPr>
          <w:sz w:val="24"/>
        </w:rPr>
        <w:t>government</w:t>
      </w:r>
      <w:r>
        <w:rPr>
          <w:spacing w:val="80"/>
          <w:sz w:val="24"/>
        </w:rPr>
        <w:t> </w:t>
      </w:r>
      <w:r>
        <w:rPr>
          <w:sz w:val="24"/>
        </w:rPr>
        <w:t>persuades citizens, build trust and allay anxiety or hostility;</w:t>
      </w:r>
    </w:p>
    <w:p>
      <w:pPr>
        <w:pStyle w:val="ListParagraph"/>
        <w:numPr>
          <w:ilvl w:val="3"/>
          <w:numId w:val="5"/>
        </w:numPr>
        <w:tabs>
          <w:tab w:pos="1680" w:val="left" w:leader="none"/>
        </w:tabs>
        <w:spacing w:line="360" w:lineRule="auto" w:before="0" w:after="0"/>
        <w:ind w:left="1680" w:right="837" w:hanging="620"/>
        <w:jc w:val="left"/>
        <w:rPr>
          <w:sz w:val="24"/>
        </w:rPr>
      </w:pPr>
      <w:r>
        <w:rPr>
          <w:sz w:val="24"/>
        </w:rPr>
        <w:t>Citizens</w:t>
      </w:r>
      <w:r>
        <w:rPr>
          <w:spacing w:val="32"/>
          <w:sz w:val="24"/>
        </w:rPr>
        <w:t> </w:t>
      </w:r>
      <w:r>
        <w:rPr>
          <w:sz w:val="24"/>
        </w:rPr>
        <w:t>gain</w:t>
      </w:r>
      <w:r>
        <w:rPr>
          <w:spacing w:val="32"/>
          <w:sz w:val="24"/>
        </w:rPr>
        <w:t> </w:t>
      </w:r>
      <w:r>
        <w:rPr>
          <w:sz w:val="24"/>
        </w:rPr>
        <w:t>skills</w:t>
      </w:r>
      <w:r>
        <w:rPr>
          <w:spacing w:val="32"/>
          <w:sz w:val="24"/>
        </w:rPr>
        <w:t> </w:t>
      </w:r>
      <w:r>
        <w:rPr>
          <w:sz w:val="24"/>
        </w:rPr>
        <w:t>for</w:t>
      </w:r>
      <w:r>
        <w:rPr>
          <w:spacing w:val="30"/>
          <w:sz w:val="24"/>
        </w:rPr>
        <w:t> </w:t>
      </w:r>
      <w:r>
        <w:rPr>
          <w:sz w:val="24"/>
        </w:rPr>
        <w:t>activist</w:t>
      </w:r>
      <w:r>
        <w:rPr>
          <w:spacing w:val="32"/>
          <w:sz w:val="24"/>
        </w:rPr>
        <w:t> </w:t>
      </w:r>
      <w:r>
        <w:rPr>
          <w:sz w:val="24"/>
        </w:rPr>
        <w:t>citizenship,</w:t>
      </w:r>
      <w:r>
        <w:rPr>
          <w:spacing w:val="31"/>
          <w:sz w:val="24"/>
        </w:rPr>
        <w:t> </w:t>
      </w:r>
      <w:r>
        <w:rPr>
          <w:sz w:val="24"/>
        </w:rPr>
        <w:t>and</w:t>
      </w:r>
      <w:r>
        <w:rPr>
          <w:spacing w:val="29"/>
          <w:sz w:val="24"/>
        </w:rPr>
        <w:t> </w:t>
      </w:r>
      <w:r>
        <w:rPr>
          <w:sz w:val="24"/>
        </w:rPr>
        <w:t>the</w:t>
      </w:r>
      <w:r>
        <w:rPr>
          <w:spacing w:val="31"/>
          <w:sz w:val="24"/>
        </w:rPr>
        <w:t> </w:t>
      </w:r>
      <w:r>
        <w:rPr>
          <w:sz w:val="24"/>
        </w:rPr>
        <w:t>government</w:t>
      </w:r>
      <w:r>
        <w:rPr>
          <w:spacing w:val="32"/>
          <w:sz w:val="24"/>
        </w:rPr>
        <w:t> </w:t>
      </w:r>
      <w:r>
        <w:rPr>
          <w:sz w:val="24"/>
        </w:rPr>
        <w:t>builds</w:t>
      </w:r>
      <w:r>
        <w:rPr>
          <w:spacing w:val="32"/>
          <w:sz w:val="24"/>
        </w:rPr>
        <w:t> </w:t>
      </w:r>
      <w:r>
        <w:rPr>
          <w:sz w:val="24"/>
        </w:rPr>
        <w:t>strategic alliances and gains legitimacy of decisions.</w:t>
      </w:r>
    </w:p>
    <w:p>
      <w:pPr>
        <w:pStyle w:val="ListParagraph"/>
        <w:numPr>
          <w:ilvl w:val="2"/>
          <w:numId w:val="5"/>
        </w:numPr>
        <w:tabs>
          <w:tab w:pos="960" w:val="left" w:leader="none"/>
        </w:tabs>
        <w:spacing w:line="360" w:lineRule="auto" w:before="243" w:after="0"/>
        <w:ind w:left="960" w:right="838" w:hanging="360"/>
        <w:jc w:val="both"/>
        <w:rPr>
          <w:sz w:val="24"/>
        </w:rPr>
      </w:pPr>
      <w:r>
        <w:rPr>
          <w:sz w:val="24"/>
        </w:rPr>
        <w:t>Outcomes: Citizens break gridlock; achieve outcomes, gain some control over policy process and better policy and implementation decisions are achieved. Government also achieves their intended programmes, avoid litigation costs and actualize overall policy </w:t>
      </w:r>
      <w:r>
        <w:rPr>
          <w:spacing w:val="-2"/>
          <w:sz w:val="24"/>
        </w:rPr>
        <w:t>implementation.</w:t>
      </w:r>
    </w:p>
    <w:p>
      <w:pPr>
        <w:pStyle w:val="BodyText"/>
        <w:spacing w:before="67"/>
      </w:pPr>
    </w:p>
    <w:p>
      <w:pPr>
        <w:pStyle w:val="BodyText"/>
        <w:spacing w:line="360" w:lineRule="auto"/>
        <w:ind w:left="240" w:right="836"/>
        <w:jc w:val="both"/>
      </w:pPr>
      <w:r>
        <w:rPr/>
        <w:t>Arguments for enhanced citizen participation often rest on the merits of the process and the</w:t>
      </w:r>
      <w:r>
        <w:rPr>
          <w:spacing w:val="40"/>
        </w:rPr>
        <w:t> </w:t>
      </w:r>
      <w:r>
        <w:rPr/>
        <w:t>belief</w:t>
      </w:r>
      <w:r>
        <w:rPr>
          <w:spacing w:val="-2"/>
        </w:rPr>
        <w:t> </w:t>
      </w:r>
      <w:r>
        <w:rPr/>
        <w:t>that an engaged</w:t>
      </w:r>
      <w:r>
        <w:rPr>
          <w:spacing w:val="-2"/>
        </w:rPr>
        <w:t> </w:t>
      </w:r>
      <w:r>
        <w:rPr/>
        <w:t>citizenry</w:t>
      </w:r>
      <w:r>
        <w:rPr>
          <w:spacing w:val="-7"/>
        </w:rPr>
        <w:t> </w:t>
      </w:r>
      <w:r>
        <w:rPr/>
        <w:t>is</w:t>
      </w:r>
      <w:r>
        <w:rPr>
          <w:spacing w:val="-2"/>
        </w:rPr>
        <w:t> </w:t>
      </w:r>
      <w:r>
        <w:rPr/>
        <w:t>better</w:t>
      </w:r>
      <w:r>
        <w:rPr>
          <w:spacing w:val="-1"/>
        </w:rPr>
        <w:t> </w:t>
      </w:r>
      <w:r>
        <w:rPr/>
        <w:t>than</w:t>
      </w:r>
      <w:r>
        <w:rPr>
          <w:spacing w:val="-1"/>
        </w:rPr>
        <w:t> </w:t>
      </w:r>
      <w:r>
        <w:rPr/>
        <w:t>a</w:t>
      </w:r>
      <w:r>
        <w:rPr>
          <w:spacing w:val="-3"/>
        </w:rPr>
        <w:t> </w:t>
      </w:r>
      <w:r>
        <w:rPr/>
        <w:t>passive</w:t>
      </w:r>
      <w:r>
        <w:rPr>
          <w:spacing w:val="-2"/>
        </w:rPr>
        <w:t> </w:t>
      </w:r>
      <w:r>
        <w:rPr/>
        <w:t>citizenry</w:t>
      </w:r>
      <w:r>
        <w:rPr>
          <w:spacing w:val="-5"/>
        </w:rPr>
        <w:t> </w:t>
      </w:r>
      <w:r>
        <w:rPr/>
        <w:t>(Arnstein, 1969;</w:t>
      </w:r>
      <w:r>
        <w:rPr>
          <w:spacing w:val="-2"/>
        </w:rPr>
        <w:t> </w:t>
      </w:r>
      <w:r>
        <w:rPr/>
        <w:t>King, Feltey, &amp; Susel,</w:t>
      </w:r>
      <w:r>
        <w:rPr>
          <w:spacing w:val="-4"/>
        </w:rPr>
        <w:t> </w:t>
      </w:r>
      <w:r>
        <w:rPr/>
        <w:t>1998).</w:t>
      </w:r>
      <w:r>
        <w:rPr>
          <w:spacing w:val="-3"/>
        </w:rPr>
        <w:t> </w:t>
      </w:r>
      <w:r>
        <w:rPr/>
        <w:t>With</w:t>
      </w:r>
      <w:r>
        <w:rPr>
          <w:spacing w:val="-3"/>
        </w:rPr>
        <w:t> </w:t>
      </w:r>
      <w:r>
        <w:rPr/>
        <w:t>citizen</w:t>
      </w:r>
      <w:r>
        <w:rPr>
          <w:spacing w:val="-3"/>
        </w:rPr>
        <w:t> </w:t>
      </w:r>
      <w:r>
        <w:rPr/>
        <w:t>participation,</w:t>
      </w:r>
      <w:r>
        <w:rPr>
          <w:spacing w:val="-3"/>
        </w:rPr>
        <w:t> </w:t>
      </w:r>
      <w:r>
        <w:rPr/>
        <w:t>formulated</w:t>
      </w:r>
      <w:r>
        <w:rPr>
          <w:spacing w:val="-3"/>
        </w:rPr>
        <w:t> </w:t>
      </w:r>
      <w:r>
        <w:rPr/>
        <w:t>policies</w:t>
      </w:r>
      <w:r>
        <w:rPr>
          <w:spacing w:val="-3"/>
        </w:rPr>
        <w:t> </w:t>
      </w:r>
      <w:r>
        <w:rPr/>
        <w:t>might</w:t>
      </w:r>
      <w:r>
        <w:rPr>
          <w:spacing w:val="-3"/>
        </w:rPr>
        <w:t> </w:t>
      </w:r>
      <w:r>
        <w:rPr/>
        <w:t>be</w:t>
      </w:r>
      <w:r>
        <w:rPr>
          <w:spacing w:val="-3"/>
        </w:rPr>
        <w:t> </w:t>
      </w:r>
      <w:r>
        <w:rPr/>
        <w:t>more</w:t>
      </w:r>
      <w:r>
        <w:rPr>
          <w:spacing w:val="-2"/>
        </w:rPr>
        <w:t> </w:t>
      </w:r>
      <w:r>
        <w:rPr/>
        <w:t>realistically</w:t>
      </w:r>
      <w:r>
        <w:rPr>
          <w:spacing w:val="-6"/>
        </w:rPr>
        <w:t> </w:t>
      </w:r>
      <w:r>
        <w:rPr/>
        <w:t>grounded in citizen preferences. Incorporating a role for citizens into government decision-making will produce more public-preference decision-making (Oldfield, 1990).</w:t>
      </w:r>
    </w:p>
    <w:p>
      <w:pPr>
        <w:pStyle w:val="BodyText"/>
        <w:spacing w:before="139"/>
      </w:pPr>
    </w:p>
    <w:p>
      <w:pPr>
        <w:pStyle w:val="BodyText"/>
        <w:spacing w:line="360" w:lineRule="auto"/>
        <w:ind w:left="240" w:right="834"/>
        <w:jc w:val="both"/>
      </w:pPr>
      <w:r>
        <w:rPr/>
        <w:t>According to Cogan and Sharpe (1986), many organizations choose to exclude or minimize public participation in planning efforts claiming citizen participation is too expensive and time consuming, yet, many citizen participation programs are initiated in response to public reaction</w:t>
      </w:r>
      <w:r>
        <w:rPr>
          <w:spacing w:val="40"/>
        </w:rPr>
        <w:t> </w:t>
      </w:r>
      <w:r>
        <w:rPr/>
        <w:t>to</w:t>
      </w:r>
      <w:r>
        <w:rPr>
          <w:spacing w:val="5"/>
        </w:rPr>
        <w:t> </w:t>
      </w:r>
      <w:r>
        <w:rPr/>
        <w:t>a</w:t>
      </w:r>
      <w:r>
        <w:rPr>
          <w:spacing w:val="7"/>
        </w:rPr>
        <w:t> </w:t>
      </w:r>
      <w:r>
        <w:rPr/>
        <w:t>proposed</w:t>
      </w:r>
      <w:r>
        <w:rPr>
          <w:spacing w:val="8"/>
        </w:rPr>
        <w:t> </w:t>
      </w:r>
      <w:r>
        <w:rPr/>
        <w:t>project</w:t>
      </w:r>
      <w:r>
        <w:rPr>
          <w:spacing w:val="8"/>
        </w:rPr>
        <w:t> </w:t>
      </w:r>
      <w:r>
        <w:rPr/>
        <w:t>or</w:t>
      </w:r>
      <w:r>
        <w:rPr>
          <w:spacing w:val="7"/>
        </w:rPr>
        <w:t> </w:t>
      </w:r>
      <w:r>
        <w:rPr/>
        <w:t>action.</w:t>
      </w:r>
      <w:r>
        <w:rPr>
          <w:spacing w:val="8"/>
        </w:rPr>
        <w:t> </w:t>
      </w:r>
      <w:r>
        <w:rPr/>
        <w:t>However,</w:t>
      </w:r>
      <w:r>
        <w:rPr>
          <w:spacing w:val="7"/>
        </w:rPr>
        <w:t> </w:t>
      </w:r>
      <w:r>
        <w:rPr/>
        <w:t>there</w:t>
      </w:r>
      <w:r>
        <w:rPr>
          <w:spacing w:val="6"/>
        </w:rPr>
        <w:t> </w:t>
      </w:r>
      <w:r>
        <w:rPr/>
        <w:t>are</w:t>
      </w:r>
      <w:r>
        <w:rPr>
          <w:spacing w:val="5"/>
        </w:rPr>
        <w:t> </w:t>
      </w:r>
      <w:r>
        <w:rPr/>
        <w:t>tangible</w:t>
      </w:r>
      <w:r>
        <w:rPr>
          <w:spacing w:val="7"/>
        </w:rPr>
        <w:t> </w:t>
      </w:r>
      <w:r>
        <w:rPr/>
        <w:t>benefits</w:t>
      </w:r>
      <w:r>
        <w:rPr>
          <w:spacing w:val="8"/>
        </w:rPr>
        <w:t> </w:t>
      </w:r>
      <w:r>
        <w:rPr/>
        <w:t>that</w:t>
      </w:r>
      <w:r>
        <w:rPr>
          <w:spacing w:val="8"/>
        </w:rPr>
        <w:t> </w:t>
      </w:r>
      <w:r>
        <w:rPr/>
        <w:t>can</w:t>
      </w:r>
      <w:r>
        <w:rPr>
          <w:spacing w:val="8"/>
        </w:rPr>
        <w:t> </w:t>
      </w:r>
      <w:r>
        <w:rPr/>
        <w:t>be</w:t>
      </w:r>
      <w:r>
        <w:rPr>
          <w:spacing w:val="7"/>
        </w:rPr>
        <w:t> </w:t>
      </w:r>
      <w:r>
        <w:rPr/>
        <w:t>derived</w:t>
      </w:r>
      <w:r>
        <w:rPr>
          <w:spacing w:val="8"/>
        </w:rPr>
        <w:t> </w:t>
      </w:r>
      <w:r>
        <w:rPr/>
        <w:t>from</w:t>
      </w:r>
      <w:r>
        <w:rPr>
          <w:spacing w:val="8"/>
        </w:rPr>
        <w:t> </w:t>
      </w:r>
      <w:r>
        <w:rPr>
          <w:spacing w:val="-5"/>
        </w:rPr>
        <w:t>an</w:t>
      </w:r>
    </w:p>
    <w:p>
      <w:pPr>
        <w:spacing w:after="0" w:line="360" w:lineRule="auto"/>
        <w:jc w:val="both"/>
        <w:sectPr>
          <w:pgSz w:w="12240" w:h="15840"/>
          <w:pgMar w:header="0" w:footer="1036" w:top="1360" w:bottom="1220" w:left="1200" w:right="600"/>
        </w:sectPr>
      </w:pPr>
    </w:p>
    <w:p>
      <w:pPr>
        <w:pStyle w:val="BodyText"/>
        <w:spacing w:line="360" w:lineRule="auto" w:before="74"/>
        <w:ind w:left="240" w:right="840"/>
      </w:pPr>
      <w:r>
        <w:rPr/>
        <w:t>effective citizen involvement program. Cogan and Sharpe (1986) identify five benefits of citizen participation to the planning process:</w:t>
      </w:r>
    </w:p>
    <w:p>
      <w:pPr>
        <w:pStyle w:val="ListParagraph"/>
        <w:numPr>
          <w:ilvl w:val="0"/>
          <w:numId w:val="6"/>
        </w:numPr>
        <w:tabs>
          <w:tab w:pos="959" w:val="left" w:leader="none"/>
        </w:tabs>
        <w:spacing w:line="240" w:lineRule="auto" w:before="1" w:after="0"/>
        <w:ind w:left="959" w:right="0" w:hanging="359"/>
        <w:jc w:val="left"/>
        <w:rPr>
          <w:sz w:val="24"/>
        </w:rPr>
      </w:pPr>
      <w:r>
        <w:rPr>
          <w:sz w:val="24"/>
        </w:rPr>
        <w:t>Information</w:t>
      </w:r>
      <w:r>
        <w:rPr>
          <w:spacing w:val="-3"/>
          <w:sz w:val="24"/>
        </w:rPr>
        <w:t> </w:t>
      </w:r>
      <w:r>
        <w:rPr>
          <w:sz w:val="24"/>
        </w:rPr>
        <w:t>and</w:t>
      </w:r>
      <w:r>
        <w:rPr>
          <w:spacing w:val="-1"/>
          <w:sz w:val="24"/>
        </w:rPr>
        <w:t> </w:t>
      </w:r>
      <w:r>
        <w:rPr>
          <w:sz w:val="24"/>
        </w:rPr>
        <w:t>ideas</w:t>
      </w:r>
      <w:r>
        <w:rPr>
          <w:spacing w:val="-1"/>
          <w:sz w:val="24"/>
        </w:rPr>
        <w:t> </w:t>
      </w:r>
      <w:r>
        <w:rPr>
          <w:sz w:val="24"/>
        </w:rPr>
        <w:t>on</w:t>
      </w:r>
      <w:r>
        <w:rPr>
          <w:spacing w:val="1"/>
          <w:sz w:val="24"/>
        </w:rPr>
        <w:t> </w:t>
      </w:r>
      <w:r>
        <w:rPr>
          <w:sz w:val="24"/>
        </w:rPr>
        <w:t>public</w:t>
      </w:r>
      <w:r>
        <w:rPr>
          <w:spacing w:val="-1"/>
          <w:sz w:val="24"/>
        </w:rPr>
        <w:t> </w:t>
      </w:r>
      <w:r>
        <w:rPr>
          <w:spacing w:val="-2"/>
          <w:sz w:val="24"/>
        </w:rPr>
        <w:t>issues;</w:t>
      </w:r>
    </w:p>
    <w:p>
      <w:pPr>
        <w:pStyle w:val="ListParagraph"/>
        <w:numPr>
          <w:ilvl w:val="0"/>
          <w:numId w:val="6"/>
        </w:numPr>
        <w:tabs>
          <w:tab w:pos="959" w:val="left" w:leader="none"/>
        </w:tabs>
        <w:spacing w:line="240" w:lineRule="auto" w:before="136" w:after="0"/>
        <w:ind w:left="959" w:right="0" w:hanging="359"/>
        <w:jc w:val="left"/>
        <w:rPr>
          <w:sz w:val="24"/>
        </w:rPr>
      </w:pPr>
      <w:r>
        <w:rPr>
          <w:sz w:val="24"/>
        </w:rPr>
        <w:t>Public</w:t>
      </w:r>
      <w:r>
        <w:rPr>
          <w:spacing w:val="-2"/>
          <w:sz w:val="24"/>
        </w:rPr>
        <w:t> </w:t>
      </w:r>
      <w:r>
        <w:rPr>
          <w:sz w:val="24"/>
        </w:rPr>
        <w:t>Support for</w:t>
      </w:r>
      <w:r>
        <w:rPr>
          <w:spacing w:val="-1"/>
          <w:sz w:val="24"/>
        </w:rPr>
        <w:t> </w:t>
      </w:r>
      <w:r>
        <w:rPr>
          <w:sz w:val="24"/>
        </w:rPr>
        <w:t>planning</w:t>
      </w:r>
      <w:r>
        <w:rPr>
          <w:spacing w:val="-3"/>
          <w:sz w:val="24"/>
        </w:rPr>
        <w:t> </w:t>
      </w:r>
      <w:r>
        <w:rPr>
          <w:spacing w:val="-2"/>
          <w:sz w:val="24"/>
        </w:rPr>
        <w:t>decisions;</w:t>
      </w:r>
    </w:p>
    <w:p>
      <w:pPr>
        <w:pStyle w:val="ListParagraph"/>
        <w:numPr>
          <w:ilvl w:val="0"/>
          <w:numId w:val="6"/>
        </w:numPr>
        <w:tabs>
          <w:tab w:pos="959" w:val="left" w:leader="none"/>
        </w:tabs>
        <w:spacing w:line="240" w:lineRule="auto" w:before="140" w:after="0"/>
        <w:ind w:left="959" w:right="0" w:hanging="359"/>
        <w:jc w:val="left"/>
        <w:rPr>
          <w:sz w:val="24"/>
        </w:rPr>
      </w:pPr>
      <w:r>
        <w:rPr>
          <w:sz w:val="24"/>
        </w:rPr>
        <w:t>Avoidance</w:t>
      </w:r>
      <w:r>
        <w:rPr>
          <w:spacing w:val="-2"/>
          <w:sz w:val="24"/>
        </w:rPr>
        <w:t> </w:t>
      </w:r>
      <w:r>
        <w:rPr>
          <w:sz w:val="24"/>
        </w:rPr>
        <w:t>of protracted</w:t>
      </w:r>
      <w:r>
        <w:rPr>
          <w:spacing w:val="1"/>
          <w:sz w:val="24"/>
        </w:rPr>
        <w:t> </w:t>
      </w:r>
      <w:r>
        <w:rPr>
          <w:sz w:val="24"/>
        </w:rPr>
        <w:t>conflicts</w:t>
      </w:r>
      <w:r>
        <w:rPr>
          <w:spacing w:val="-1"/>
          <w:sz w:val="24"/>
        </w:rPr>
        <w:t> </w:t>
      </w:r>
      <w:r>
        <w:rPr>
          <w:sz w:val="24"/>
        </w:rPr>
        <w:t>and costly</w:t>
      </w:r>
      <w:r>
        <w:rPr>
          <w:spacing w:val="-5"/>
          <w:sz w:val="24"/>
        </w:rPr>
        <w:t> </w:t>
      </w:r>
      <w:r>
        <w:rPr>
          <w:spacing w:val="-2"/>
          <w:sz w:val="24"/>
        </w:rPr>
        <w:t>delays;</w:t>
      </w:r>
    </w:p>
    <w:p>
      <w:pPr>
        <w:pStyle w:val="ListParagraph"/>
        <w:numPr>
          <w:ilvl w:val="0"/>
          <w:numId w:val="6"/>
        </w:numPr>
        <w:tabs>
          <w:tab w:pos="959" w:val="left" w:leader="none"/>
        </w:tabs>
        <w:spacing w:line="240" w:lineRule="auto" w:before="136" w:after="0"/>
        <w:ind w:left="959" w:right="0" w:hanging="359"/>
        <w:jc w:val="left"/>
        <w:rPr>
          <w:sz w:val="24"/>
        </w:rPr>
      </w:pPr>
      <w:r>
        <w:rPr>
          <w:sz w:val="24"/>
        </w:rPr>
        <w:t>Reservoir</w:t>
      </w:r>
      <w:r>
        <w:rPr>
          <w:spacing w:val="-4"/>
          <w:sz w:val="24"/>
        </w:rPr>
        <w:t> </w:t>
      </w:r>
      <w:r>
        <w:rPr>
          <w:sz w:val="24"/>
        </w:rPr>
        <w:t>of</w:t>
      </w:r>
      <w:r>
        <w:rPr>
          <w:spacing w:val="1"/>
          <w:sz w:val="24"/>
        </w:rPr>
        <w:t> </w:t>
      </w:r>
      <w:r>
        <w:rPr>
          <w:sz w:val="24"/>
        </w:rPr>
        <w:t>good will which can</w:t>
      </w:r>
      <w:r>
        <w:rPr>
          <w:spacing w:val="-1"/>
          <w:sz w:val="24"/>
        </w:rPr>
        <w:t> </w:t>
      </w:r>
      <w:r>
        <w:rPr>
          <w:sz w:val="24"/>
        </w:rPr>
        <w:t>carry</w:t>
      </w:r>
      <w:r>
        <w:rPr>
          <w:spacing w:val="-5"/>
          <w:sz w:val="24"/>
        </w:rPr>
        <w:t> </w:t>
      </w:r>
      <w:r>
        <w:rPr>
          <w:sz w:val="24"/>
        </w:rPr>
        <w:t>over to future</w:t>
      </w:r>
      <w:r>
        <w:rPr>
          <w:spacing w:val="-1"/>
          <w:sz w:val="24"/>
        </w:rPr>
        <w:t> </w:t>
      </w:r>
      <w:r>
        <w:rPr>
          <w:sz w:val="24"/>
        </w:rPr>
        <w:t>decisions </w:t>
      </w:r>
      <w:r>
        <w:rPr>
          <w:spacing w:val="-5"/>
          <w:sz w:val="24"/>
        </w:rPr>
        <w:t>and</w:t>
      </w:r>
    </w:p>
    <w:p>
      <w:pPr>
        <w:pStyle w:val="ListParagraph"/>
        <w:numPr>
          <w:ilvl w:val="0"/>
          <w:numId w:val="6"/>
        </w:numPr>
        <w:tabs>
          <w:tab w:pos="959" w:val="left" w:leader="none"/>
        </w:tabs>
        <w:spacing w:line="240" w:lineRule="auto" w:before="140" w:after="0"/>
        <w:ind w:left="959" w:right="0" w:hanging="359"/>
        <w:jc w:val="left"/>
        <w:rPr>
          <w:sz w:val="24"/>
        </w:rPr>
      </w:pPr>
      <w:r>
        <w:rPr>
          <w:sz w:val="24"/>
        </w:rPr>
        <w:t>Spirit</w:t>
      </w:r>
      <w:r>
        <w:rPr>
          <w:spacing w:val="-1"/>
          <w:sz w:val="24"/>
        </w:rPr>
        <w:t> </w:t>
      </w:r>
      <w:r>
        <w:rPr>
          <w:sz w:val="24"/>
        </w:rPr>
        <w:t>of</w:t>
      </w:r>
      <w:r>
        <w:rPr>
          <w:spacing w:val="-1"/>
          <w:sz w:val="24"/>
        </w:rPr>
        <w:t> </w:t>
      </w:r>
      <w:r>
        <w:rPr>
          <w:sz w:val="24"/>
        </w:rPr>
        <w:t>cooperation</w:t>
      </w:r>
      <w:r>
        <w:rPr>
          <w:spacing w:val="-1"/>
          <w:sz w:val="24"/>
        </w:rPr>
        <w:t> </w:t>
      </w:r>
      <w:r>
        <w:rPr>
          <w:sz w:val="24"/>
        </w:rPr>
        <w:t>and trust</w:t>
      </w:r>
      <w:r>
        <w:rPr>
          <w:spacing w:val="-1"/>
          <w:sz w:val="24"/>
        </w:rPr>
        <w:t> </w:t>
      </w:r>
      <w:r>
        <w:rPr>
          <w:sz w:val="24"/>
        </w:rPr>
        <w:t>between</w:t>
      </w:r>
      <w:r>
        <w:rPr>
          <w:spacing w:val="-1"/>
          <w:sz w:val="24"/>
        </w:rPr>
        <w:t> </w:t>
      </w:r>
      <w:r>
        <w:rPr>
          <w:sz w:val="24"/>
        </w:rPr>
        <w:t>the agency</w:t>
      </w:r>
      <w:r>
        <w:rPr>
          <w:spacing w:val="-3"/>
          <w:sz w:val="24"/>
        </w:rPr>
        <w:t> </w:t>
      </w:r>
      <w:r>
        <w:rPr>
          <w:sz w:val="24"/>
        </w:rPr>
        <w:t>and</w:t>
      </w:r>
      <w:r>
        <w:rPr>
          <w:spacing w:val="-1"/>
          <w:sz w:val="24"/>
        </w:rPr>
        <w:t> </w:t>
      </w:r>
      <w:r>
        <w:rPr>
          <w:sz w:val="24"/>
        </w:rPr>
        <w:t>the</w:t>
      </w:r>
      <w:r>
        <w:rPr>
          <w:spacing w:val="-1"/>
          <w:sz w:val="24"/>
        </w:rPr>
        <w:t> </w:t>
      </w:r>
      <w:r>
        <w:rPr>
          <w:spacing w:val="-2"/>
          <w:sz w:val="24"/>
        </w:rPr>
        <w:t>public.</w:t>
      </w:r>
    </w:p>
    <w:p>
      <w:pPr>
        <w:pStyle w:val="BodyText"/>
        <w:spacing w:before="95"/>
      </w:pPr>
    </w:p>
    <w:p>
      <w:pPr>
        <w:pStyle w:val="BodyText"/>
        <w:spacing w:line="360" w:lineRule="auto" w:before="1"/>
        <w:ind w:left="240" w:right="838"/>
        <w:jc w:val="both"/>
      </w:pPr>
      <w:r>
        <w:rPr/>
        <w:t>The theory of citizen participation applies to a large extent to the Nigerian public budgeting scenario. One of the major problems facing the participatory approach especially when</w:t>
      </w:r>
      <w:r>
        <w:rPr>
          <w:spacing w:val="40"/>
        </w:rPr>
        <w:t> </w:t>
      </w:r>
      <w:r>
        <w:rPr/>
        <w:t>budgeting decisions are being made, is lack of political commitment and government support. This assertion is corroborated by Eustella (2004), who surmised that for any development approach/strategy</w:t>
      </w:r>
      <w:r>
        <w:rPr>
          <w:spacing w:val="-8"/>
        </w:rPr>
        <w:t> </w:t>
      </w:r>
      <w:r>
        <w:rPr/>
        <w:t>to</w:t>
      </w:r>
      <w:r>
        <w:rPr>
          <w:spacing w:val="-3"/>
        </w:rPr>
        <w:t> </w:t>
      </w:r>
      <w:r>
        <w:rPr/>
        <w:t>succeed,</w:t>
      </w:r>
      <w:r>
        <w:rPr>
          <w:spacing w:val="-1"/>
        </w:rPr>
        <w:t> </w:t>
      </w:r>
      <w:r>
        <w:rPr/>
        <w:t>government</w:t>
      </w:r>
      <w:r>
        <w:rPr>
          <w:spacing w:val="-3"/>
        </w:rPr>
        <w:t> </w:t>
      </w:r>
      <w:r>
        <w:rPr/>
        <w:t>at</w:t>
      </w:r>
      <w:r>
        <w:rPr>
          <w:spacing w:val="-3"/>
        </w:rPr>
        <w:t> </w:t>
      </w:r>
      <w:r>
        <w:rPr/>
        <w:t>various</w:t>
      </w:r>
      <w:r>
        <w:rPr>
          <w:spacing w:val="-3"/>
        </w:rPr>
        <w:t> </w:t>
      </w:r>
      <w:r>
        <w:rPr/>
        <w:t>levels</w:t>
      </w:r>
      <w:r>
        <w:rPr>
          <w:spacing w:val="-3"/>
        </w:rPr>
        <w:t> </w:t>
      </w:r>
      <w:r>
        <w:rPr/>
        <w:t>need</w:t>
      </w:r>
      <w:r>
        <w:rPr>
          <w:spacing w:val="-3"/>
        </w:rPr>
        <w:t> </w:t>
      </w:r>
      <w:r>
        <w:rPr/>
        <w:t>to</w:t>
      </w:r>
      <w:r>
        <w:rPr>
          <w:spacing w:val="-1"/>
        </w:rPr>
        <w:t> </w:t>
      </w:r>
      <w:r>
        <w:rPr/>
        <w:t>accept</w:t>
      </w:r>
      <w:r>
        <w:rPr>
          <w:spacing w:val="-3"/>
        </w:rPr>
        <w:t> </w:t>
      </w:r>
      <w:r>
        <w:rPr/>
        <w:t>it</w:t>
      </w:r>
      <w:r>
        <w:rPr>
          <w:spacing w:val="-3"/>
        </w:rPr>
        <w:t> </w:t>
      </w:r>
      <w:r>
        <w:rPr/>
        <w:t>and</w:t>
      </w:r>
      <w:r>
        <w:rPr>
          <w:spacing w:val="-3"/>
        </w:rPr>
        <w:t> </w:t>
      </w:r>
      <w:r>
        <w:rPr/>
        <w:t>make</w:t>
      </w:r>
      <w:r>
        <w:rPr>
          <w:spacing w:val="-4"/>
        </w:rPr>
        <w:t> </w:t>
      </w:r>
      <w:r>
        <w:rPr/>
        <w:t>committed efforts to see to its general acceptance and implementation.</w:t>
      </w:r>
    </w:p>
    <w:p>
      <w:pPr>
        <w:pStyle w:val="BodyText"/>
        <w:spacing w:before="228"/>
      </w:pPr>
    </w:p>
    <w:p>
      <w:pPr>
        <w:pStyle w:val="BodyText"/>
        <w:spacing w:line="360" w:lineRule="auto"/>
        <w:ind w:left="240" w:right="838"/>
        <w:jc w:val="both"/>
      </w:pPr>
      <w:r>
        <w:rPr/>
        <w:t>In addition to this, Onwuka and Nnodu (2010) maintain that one major factor that hampers development in Nigeria is the communication gap between local efforts and national</w:t>
      </w:r>
      <w:r>
        <w:rPr>
          <w:spacing w:val="40"/>
        </w:rPr>
        <w:t> </w:t>
      </w:r>
      <w:r>
        <w:rPr/>
        <w:t>programmes or policies. This involves public participation. Such communication will increase opportunities for community members to be involved in determining their destiny. Several good government programmes have failed because participation is lacking. In addition to this, despite huge annual budgets dearth of</w:t>
      </w:r>
      <w:r>
        <w:rPr>
          <w:spacing w:val="-1"/>
        </w:rPr>
        <w:t> </w:t>
      </w:r>
      <w:r>
        <w:rPr/>
        <w:t>vital infrastructure</w:t>
      </w:r>
      <w:r>
        <w:rPr>
          <w:spacing w:val="-1"/>
        </w:rPr>
        <w:t> </w:t>
      </w:r>
      <w:r>
        <w:rPr/>
        <w:t>like</w:t>
      </w:r>
      <w:r>
        <w:rPr>
          <w:spacing w:val="-1"/>
        </w:rPr>
        <w:t> </w:t>
      </w:r>
      <w:r>
        <w:rPr/>
        <w:t>housing still abound because of the</w:t>
      </w:r>
      <w:r>
        <w:rPr>
          <w:spacing w:val="-1"/>
        </w:rPr>
        <w:t> </w:t>
      </w:r>
      <w:r>
        <w:rPr/>
        <w:t>lack of citizen participation.</w:t>
      </w:r>
    </w:p>
    <w:p>
      <w:pPr>
        <w:spacing w:after="0" w:line="360" w:lineRule="auto"/>
        <w:jc w:val="both"/>
        <w:sectPr>
          <w:pgSz w:w="12240" w:h="15840"/>
          <w:pgMar w:header="0" w:footer="1036" w:top="1360" w:bottom="1220" w:left="1200" w:right="600"/>
        </w:sectPr>
      </w:pPr>
    </w:p>
    <w:p>
      <w:pPr>
        <w:pStyle w:val="Heading3"/>
        <w:numPr>
          <w:ilvl w:val="1"/>
          <w:numId w:val="7"/>
        </w:numPr>
        <w:tabs>
          <w:tab w:pos="628" w:val="left" w:leader="none"/>
        </w:tabs>
        <w:spacing w:line="240" w:lineRule="auto" w:before="60" w:after="0"/>
        <w:ind w:left="628" w:right="0" w:hanging="388"/>
        <w:jc w:val="both"/>
      </w:pPr>
      <w:r>
        <w:rPr/>
        <w:t>The</w:t>
      </w:r>
      <w:r>
        <w:rPr>
          <w:spacing w:val="-8"/>
        </w:rPr>
        <w:t> </w:t>
      </w:r>
      <w:r>
        <w:rPr/>
        <w:t>Conceptual</w:t>
      </w:r>
      <w:r>
        <w:rPr>
          <w:spacing w:val="-8"/>
        </w:rPr>
        <w:t> </w:t>
      </w:r>
      <w:r>
        <w:rPr>
          <w:spacing w:val="-2"/>
        </w:rPr>
        <w:t>Framework</w:t>
      </w:r>
    </w:p>
    <w:p>
      <w:pPr>
        <w:pStyle w:val="BodyText"/>
        <w:spacing w:line="360" w:lineRule="auto" w:before="144"/>
        <w:ind w:left="240" w:right="835"/>
        <w:jc w:val="both"/>
      </w:pPr>
      <w:r>
        <w:rPr/>
        <w:t>The concepts of performance and participation were considered appropriate and thus were</w:t>
      </w:r>
      <w:r>
        <w:rPr>
          <w:spacing w:val="40"/>
        </w:rPr>
        <w:t> </w:t>
      </w:r>
      <w:r>
        <w:rPr/>
        <w:t>chosen as the conceptual framework for this research, since they are the underlying ideas that explain effective budget performance by the public sector or government to provide or deliver housing facilities for the citizens.</w:t>
      </w:r>
    </w:p>
    <w:p>
      <w:pPr>
        <w:pStyle w:val="BodyText"/>
        <w:spacing w:before="132"/>
      </w:pPr>
    </w:p>
    <w:p>
      <w:pPr>
        <w:pStyle w:val="Heading4"/>
        <w:numPr>
          <w:ilvl w:val="2"/>
          <w:numId w:val="7"/>
        </w:numPr>
        <w:tabs>
          <w:tab w:pos="780" w:val="left" w:leader="none"/>
        </w:tabs>
        <w:spacing w:line="240" w:lineRule="auto" w:before="0" w:after="0"/>
        <w:ind w:left="780" w:right="0" w:hanging="540"/>
        <w:jc w:val="both"/>
      </w:pPr>
      <w:r>
        <w:rPr/>
        <w:t>The</w:t>
      </w:r>
      <w:r>
        <w:rPr>
          <w:spacing w:val="-2"/>
        </w:rPr>
        <w:t> </w:t>
      </w:r>
      <w:r>
        <w:rPr/>
        <w:t>Concept</w:t>
      </w:r>
      <w:r>
        <w:rPr>
          <w:spacing w:val="-2"/>
        </w:rPr>
        <w:t> </w:t>
      </w:r>
      <w:r>
        <w:rPr/>
        <w:t>of</w:t>
      </w:r>
      <w:r>
        <w:rPr>
          <w:spacing w:val="1"/>
        </w:rPr>
        <w:t> </w:t>
      </w:r>
      <w:r>
        <w:rPr>
          <w:spacing w:val="-2"/>
        </w:rPr>
        <w:t>Performance</w:t>
      </w:r>
    </w:p>
    <w:p>
      <w:pPr>
        <w:pStyle w:val="BodyText"/>
        <w:spacing w:line="360" w:lineRule="auto" w:before="132"/>
        <w:ind w:left="240" w:right="832"/>
        <w:jc w:val="both"/>
      </w:pPr>
      <w:r>
        <w:rPr/>
        <w:t>Generally, the concept of performance is used everywhere and applies to everything including</w:t>
      </w:r>
      <w:r>
        <w:rPr>
          <w:spacing w:val="40"/>
        </w:rPr>
        <w:t> </w:t>
      </w:r>
      <w:r>
        <w:rPr/>
        <w:t>the manufacture of cars, people or group benchmarking, business analysis, human resources and consumer advocacy. The performance concept covers many topics and criteria which can be categorized as physical, functional, environmental, economical, psychological and social. These aspects depend on the situation and context (Szigeti and Davis, 2005). Vujovic (2012) also asserts that the concept of performance is context or system specific, and it assumes a clear statement of objectives against which performance is measured. Hence, performance depends on the situational context and public sector objectives. In the light of the foregoing complex reality of performance, no single definition will suffice. However, one can come to grips with the idea</w:t>
      </w:r>
      <w:r>
        <w:rPr>
          <w:spacing w:val="40"/>
        </w:rPr>
        <w:t> </w:t>
      </w:r>
      <w:r>
        <w:rPr/>
        <w:t>of performance as how well a product or service fulfils the planned purpose or objective. It can also be referred to as the production of valid results. According to Curristine </w:t>
      </w:r>
      <w:r>
        <w:rPr>
          <w:i/>
        </w:rPr>
        <w:t>et al. </w:t>
      </w:r>
      <w:r>
        <w:rPr/>
        <w:t>(2007), performance means the yield or results of activities carried out in relation to the purposes being pursued. Its objective is to strengthen the degree to which organizations achieve their goals.</w:t>
      </w:r>
    </w:p>
    <w:p>
      <w:pPr>
        <w:pStyle w:val="BodyText"/>
        <w:spacing w:before="140"/>
      </w:pPr>
    </w:p>
    <w:p>
      <w:pPr>
        <w:pStyle w:val="BodyText"/>
        <w:spacing w:line="360" w:lineRule="auto"/>
        <w:ind w:left="240" w:right="836"/>
        <w:jc w:val="both"/>
      </w:pPr>
      <w:r>
        <w:rPr/>
        <w:t>The focus of this research is on budget performance by public organizations or the government, an area with large potential for improving the operations and efficiency the budgeting process in the</w:t>
      </w:r>
      <w:r>
        <w:rPr>
          <w:spacing w:val="-2"/>
        </w:rPr>
        <w:t> </w:t>
      </w:r>
      <w:r>
        <w:rPr/>
        <w:t>public</w:t>
      </w:r>
      <w:r>
        <w:rPr>
          <w:spacing w:val="-2"/>
        </w:rPr>
        <w:t> </w:t>
      </w:r>
      <w:r>
        <w:rPr/>
        <w:t>sector and</w:t>
      </w:r>
      <w:r>
        <w:rPr>
          <w:spacing w:val="-1"/>
        </w:rPr>
        <w:t> </w:t>
      </w:r>
      <w:r>
        <w:rPr/>
        <w:t>ultimately ensuring</w:t>
      </w:r>
      <w:r>
        <w:rPr>
          <w:spacing w:val="-3"/>
        </w:rPr>
        <w:t> </w:t>
      </w:r>
      <w:r>
        <w:rPr/>
        <w:t>housing</w:t>
      </w:r>
      <w:r>
        <w:rPr>
          <w:spacing w:val="-1"/>
        </w:rPr>
        <w:t> </w:t>
      </w:r>
      <w:r>
        <w:rPr/>
        <w:t>provision for</w:t>
      </w:r>
      <w:r>
        <w:rPr>
          <w:spacing w:val="-2"/>
        </w:rPr>
        <w:t> </w:t>
      </w:r>
      <w:r>
        <w:rPr/>
        <w:t>the</w:t>
      </w:r>
      <w:r>
        <w:rPr>
          <w:spacing w:val="-2"/>
        </w:rPr>
        <w:t> </w:t>
      </w:r>
      <w:r>
        <w:rPr/>
        <w:t>citizenry. Thus, when</w:t>
      </w:r>
      <w:r>
        <w:rPr>
          <w:spacing w:val="-1"/>
        </w:rPr>
        <w:t> </w:t>
      </w:r>
      <w:r>
        <w:rPr/>
        <w:t>treating the concept of performance in this section, budget performance will be explained with respect to public sector activities since the former is a critical function of the latter in achieving its objectives.The concept of performance is central to budgeting, since its underlying principle focuses on what a budget is required to achieve via proficient means of preparation. This implies that the</w:t>
      </w:r>
      <w:r>
        <w:rPr>
          <w:spacing w:val="-1"/>
        </w:rPr>
        <w:t> </w:t>
      </w:r>
      <w:r>
        <w:rPr/>
        <w:t>allocated</w:t>
      </w:r>
      <w:r>
        <w:rPr>
          <w:spacing w:val="-1"/>
        </w:rPr>
        <w:t> </w:t>
      </w:r>
      <w:r>
        <w:rPr/>
        <w:t>budget is evaluated to determine whether</w:t>
      </w:r>
      <w:r>
        <w:rPr>
          <w:spacing w:val="-1"/>
        </w:rPr>
        <w:t> </w:t>
      </w:r>
      <w:r>
        <w:rPr/>
        <w:t>the objectives are</w:t>
      </w:r>
      <w:r>
        <w:rPr>
          <w:spacing w:val="-2"/>
        </w:rPr>
        <w:t> </w:t>
      </w:r>
      <w:r>
        <w:rPr/>
        <w:t>realized in terms of citizen/user needs, expectations and satisfaction.</w:t>
      </w:r>
    </w:p>
    <w:p>
      <w:pPr>
        <w:spacing w:after="0" w:line="360" w:lineRule="auto"/>
        <w:jc w:val="both"/>
        <w:sectPr>
          <w:pgSz w:w="12240" w:h="15840"/>
          <w:pgMar w:header="0" w:footer="1036" w:top="1380" w:bottom="1220" w:left="1200" w:right="600"/>
        </w:sectPr>
      </w:pPr>
    </w:p>
    <w:p>
      <w:pPr>
        <w:pStyle w:val="BodyText"/>
        <w:spacing w:line="360" w:lineRule="auto" w:before="74"/>
        <w:ind w:left="240" w:right="833"/>
        <w:jc w:val="both"/>
      </w:pPr>
      <w:r>
        <w:rPr/>
        <w:t>Improving public sector performance is a critical means to improving the quality of services provided (McKinsey, 2011). According to Curristine (2005), enhancing public sector performance has taken on a new urgency as governments face mounting demands on public expenditure, calls for higher quality services and, in some countries, a public increasingly unwilling to pay higher taxes. To address these challenges, the public sector needs to enhance their performance by adopting new and improved approaches to budgeting. These approaches seek</w:t>
      </w:r>
      <w:r>
        <w:rPr>
          <w:spacing w:val="-1"/>
        </w:rPr>
        <w:t> </w:t>
      </w:r>
      <w:r>
        <w:rPr/>
        <w:t>to</w:t>
      </w:r>
      <w:r>
        <w:rPr>
          <w:spacing w:val="-1"/>
        </w:rPr>
        <w:t> </w:t>
      </w:r>
      <w:r>
        <w:rPr/>
        <w:t>move</w:t>
      </w:r>
      <w:r>
        <w:rPr>
          <w:spacing w:val="-2"/>
        </w:rPr>
        <w:t> </w:t>
      </w:r>
      <w:r>
        <w:rPr/>
        <w:t>the</w:t>
      </w:r>
      <w:r>
        <w:rPr>
          <w:spacing w:val="-2"/>
        </w:rPr>
        <w:t> </w:t>
      </w:r>
      <w:r>
        <w:rPr/>
        <w:t>focus</w:t>
      </w:r>
      <w:r>
        <w:rPr>
          <w:spacing w:val="-1"/>
        </w:rPr>
        <w:t> </w:t>
      </w:r>
      <w:r>
        <w:rPr/>
        <w:t>of</w:t>
      </w:r>
      <w:r>
        <w:rPr>
          <w:spacing w:val="-2"/>
        </w:rPr>
        <w:t> </w:t>
      </w:r>
      <w:r>
        <w:rPr/>
        <w:t>budgeting</w:t>
      </w:r>
      <w:r>
        <w:rPr>
          <w:spacing w:val="-3"/>
        </w:rPr>
        <w:t> </w:t>
      </w:r>
      <w:r>
        <w:rPr/>
        <w:t>away</w:t>
      </w:r>
      <w:r>
        <w:rPr>
          <w:spacing w:val="-8"/>
        </w:rPr>
        <w:t> </w:t>
      </w:r>
      <w:r>
        <w:rPr/>
        <w:t>from</w:t>
      </w:r>
      <w:r>
        <w:rPr>
          <w:spacing w:val="-2"/>
        </w:rPr>
        <w:t> </w:t>
      </w:r>
      <w:r>
        <w:rPr/>
        <w:t>inputs</w:t>
      </w:r>
      <w:r>
        <w:rPr>
          <w:spacing w:val="-1"/>
        </w:rPr>
        <w:t> </w:t>
      </w:r>
      <w:r>
        <w:rPr/>
        <w:t>towards</w:t>
      </w:r>
      <w:r>
        <w:rPr>
          <w:spacing w:val="-2"/>
        </w:rPr>
        <w:t> </w:t>
      </w:r>
      <w:r>
        <w:rPr/>
        <w:t>results. To</w:t>
      </w:r>
      <w:r>
        <w:rPr>
          <w:spacing w:val="-2"/>
        </w:rPr>
        <w:t> </w:t>
      </w:r>
      <w:r>
        <w:rPr/>
        <w:t>this</w:t>
      </w:r>
      <w:r>
        <w:rPr>
          <w:spacing w:val="-1"/>
        </w:rPr>
        <w:t> </w:t>
      </w:r>
      <w:r>
        <w:rPr/>
        <w:t>end,</w:t>
      </w:r>
      <w:r>
        <w:rPr>
          <w:spacing w:val="-1"/>
        </w:rPr>
        <w:t> </w:t>
      </w:r>
      <w:r>
        <w:rPr/>
        <w:t>organizations should be flexible in order to improve performance. They are then held accountable for results measured in the form of outputs and outcomes. Thus, performance supports better decision making by politicians and public organizations, which leads to improved efficiency,</w:t>
      </w:r>
      <w:r>
        <w:rPr>
          <w:spacing w:val="40"/>
        </w:rPr>
        <w:t> </w:t>
      </w:r>
      <w:r>
        <w:rPr/>
        <w:t>effectiveness and accountability, and ultimately, enhanced outcomes for the citizens and society at</w:t>
      </w:r>
      <w:r>
        <w:rPr>
          <w:spacing w:val="-2"/>
        </w:rPr>
        <w:t> </w:t>
      </w:r>
      <w:r>
        <w:rPr/>
        <w:t>large.</w:t>
      </w:r>
      <w:r>
        <w:rPr>
          <w:spacing w:val="-2"/>
        </w:rPr>
        <w:t> </w:t>
      </w:r>
      <w:r>
        <w:rPr/>
        <w:t>Curristine</w:t>
      </w:r>
      <w:r>
        <w:rPr>
          <w:spacing w:val="-3"/>
        </w:rPr>
        <w:t> </w:t>
      </w:r>
      <w:r>
        <w:rPr/>
        <w:t>(2005)</w:t>
      </w:r>
      <w:r>
        <w:rPr>
          <w:spacing w:val="-2"/>
        </w:rPr>
        <w:t> </w:t>
      </w:r>
      <w:r>
        <w:rPr/>
        <w:t>further</w:t>
      </w:r>
      <w:r>
        <w:rPr>
          <w:spacing w:val="-2"/>
        </w:rPr>
        <w:t> </w:t>
      </w:r>
      <w:r>
        <w:rPr/>
        <w:t>stresses,</w:t>
      </w:r>
      <w:r>
        <w:rPr>
          <w:spacing w:val="-2"/>
        </w:rPr>
        <w:t> </w:t>
      </w:r>
      <w:r>
        <w:rPr/>
        <w:t>that</w:t>
      </w:r>
      <w:r>
        <w:rPr>
          <w:spacing w:val="-2"/>
        </w:rPr>
        <w:t> </w:t>
      </w:r>
      <w:r>
        <w:rPr/>
        <w:t>the</w:t>
      </w:r>
      <w:r>
        <w:rPr>
          <w:spacing w:val="-1"/>
        </w:rPr>
        <w:t> </w:t>
      </w:r>
      <w:r>
        <w:rPr/>
        <w:t>desire</w:t>
      </w:r>
      <w:r>
        <w:rPr>
          <w:spacing w:val="-3"/>
        </w:rPr>
        <w:t> </w:t>
      </w:r>
      <w:r>
        <w:rPr/>
        <w:t>to</w:t>
      </w:r>
      <w:r>
        <w:rPr>
          <w:spacing w:val="-2"/>
        </w:rPr>
        <w:t> </w:t>
      </w:r>
      <w:r>
        <w:rPr/>
        <w:t>improve</w:t>
      </w:r>
      <w:r>
        <w:rPr>
          <w:spacing w:val="-4"/>
        </w:rPr>
        <w:t> </w:t>
      </w:r>
      <w:r>
        <w:rPr/>
        <w:t>public</w:t>
      </w:r>
      <w:r>
        <w:rPr>
          <w:spacing w:val="-1"/>
        </w:rPr>
        <w:t> </w:t>
      </w:r>
      <w:r>
        <w:rPr/>
        <w:t>sector</w:t>
      </w:r>
      <w:r>
        <w:rPr>
          <w:spacing w:val="-2"/>
        </w:rPr>
        <w:t> </w:t>
      </w:r>
      <w:r>
        <w:rPr/>
        <w:t>performance</w:t>
      </w:r>
      <w:r>
        <w:rPr>
          <w:spacing w:val="-3"/>
        </w:rPr>
        <w:t> </w:t>
      </w:r>
      <w:r>
        <w:rPr/>
        <w:t>is not new. Governments have always wanted results from their spending and regulation. What is new is that, increasingly, governments are facing overall spending constraints. With insufficient money to spend, more attention must be given to achieving better results from existing funds.</w:t>
      </w:r>
    </w:p>
    <w:p>
      <w:pPr>
        <w:pStyle w:val="BodyText"/>
        <w:spacing w:before="139"/>
      </w:pPr>
    </w:p>
    <w:p>
      <w:pPr>
        <w:pStyle w:val="BodyText"/>
        <w:spacing w:line="360" w:lineRule="auto" w:before="1"/>
        <w:ind w:left="240" w:right="837"/>
        <w:jc w:val="both"/>
      </w:pPr>
      <w:r>
        <w:rPr/>
        <w:t>In the traditional public sector bureaucracy, performance is driven by ensuring compliance with set rules and regulations, controlling</w:t>
      </w:r>
      <w:r>
        <w:rPr>
          <w:spacing w:val="-1"/>
        </w:rPr>
        <w:t> </w:t>
      </w:r>
      <w:r>
        <w:rPr/>
        <w:t>inputs, and adhering</w:t>
      </w:r>
      <w:r>
        <w:rPr>
          <w:spacing w:val="-2"/>
        </w:rPr>
        <w:t> </w:t>
      </w:r>
      <w:r>
        <w:rPr/>
        <w:t>to the public sector ethos or principles. This system generally worked well when governments had less complex and more standardised tasks to perform – and when complying with a set of rules was considered more important than efficiency or effectiveness. However, this system has been criticized, because the tendency is to become more focused on process than on results, and this provides weak incentives to use funds efficiently to achieve objectives (Curristine, 2005).</w:t>
      </w:r>
    </w:p>
    <w:p>
      <w:pPr>
        <w:pStyle w:val="BodyText"/>
        <w:spacing w:before="138"/>
      </w:pPr>
    </w:p>
    <w:p>
      <w:pPr>
        <w:pStyle w:val="BodyText"/>
        <w:spacing w:line="360" w:lineRule="auto"/>
        <w:ind w:left="240" w:right="841"/>
        <w:jc w:val="both"/>
      </w:pPr>
      <w:r>
        <w:rPr/>
        <w:t>Improving performance in the public sector can relieve the financial pressure of shrinking budgets, while serving communities and citizens. McKinsey (2011) asserts that the public sector can deliver improvements on par with those achieved by the private sector, by:</w:t>
      </w:r>
    </w:p>
    <w:p>
      <w:pPr>
        <w:pStyle w:val="ListParagraph"/>
        <w:numPr>
          <w:ilvl w:val="3"/>
          <w:numId w:val="7"/>
        </w:numPr>
        <w:tabs>
          <w:tab w:pos="960" w:val="left" w:leader="none"/>
        </w:tabs>
        <w:spacing w:line="240" w:lineRule="auto" w:before="228" w:after="0"/>
        <w:ind w:left="960" w:right="0" w:hanging="487"/>
        <w:jc w:val="left"/>
        <w:rPr>
          <w:sz w:val="24"/>
        </w:rPr>
      </w:pPr>
      <w:r>
        <w:rPr>
          <w:sz w:val="24"/>
        </w:rPr>
        <w:t>Setting</w:t>
      </w:r>
      <w:r>
        <w:rPr>
          <w:spacing w:val="-3"/>
          <w:sz w:val="24"/>
        </w:rPr>
        <w:t> </w:t>
      </w:r>
      <w:r>
        <w:rPr>
          <w:sz w:val="24"/>
        </w:rPr>
        <w:t>clear,</w:t>
      </w:r>
      <w:r>
        <w:rPr>
          <w:spacing w:val="-1"/>
          <w:sz w:val="24"/>
        </w:rPr>
        <w:t> </w:t>
      </w:r>
      <w:r>
        <w:rPr>
          <w:sz w:val="24"/>
        </w:rPr>
        <w:t>long</w:t>
      </w:r>
      <w:r>
        <w:rPr>
          <w:spacing w:val="-1"/>
          <w:sz w:val="24"/>
        </w:rPr>
        <w:t> </w:t>
      </w:r>
      <w:r>
        <w:rPr>
          <w:sz w:val="24"/>
        </w:rPr>
        <w:t>range aspirations</w:t>
      </w:r>
      <w:r>
        <w:rPr>
          <w:spacing w:val="-1"/>
          <w:sz w:val="24"/>
        </w:rPr>
        <w:t> </w:t>
      </w:r>
      <w:r>
        <w:rPr>
          <w:sz w:val="24"/>
        </w:rPr>
        <w:t>for</w:t>
      </w:r>
      <w:r>
        <w:rPr>
          <w:spacing w:val="-2"/>
          <w:sz w:val="24"/>
        </w:rPr>
        <w:t> performance;</w:t>
      </w:r>
    </w:p>
    <w:p>
      <w:pPr>
        <w:pStyle w:val="ListParagraph"/>
        <w:numPr>
          <w:ilvl w:val="3"/>
          <w:numId w:val="7"/>
        </w:numPr>
        <w:tabs>
          <w:tab w:pos="960" w:val="left" w:leader="none"/>
        </w:tabs>
        <w:spacing w:line="240" w:lineRule="auto" w:before="139" w:after="0"/>
        <w:ind w:left="960" w:right="0" w:hanging="554"/>
        <w:jc w:val="left"/>
        <w:rPr>
          <w:sz w:val="24"/>
        </w:rPr>
      </w:pPr>
      <w:r>
        <w:rPr>
          <w:sz w:val="24"/>
        </w:rPr>
        <w:t>Intensifying</w:t>
      </w:r>
      <w:r>
        <w:rPr>
          <w:spacing w:val="-4"/>
          <w:sz w:val="24"/>
        </w:rPr>
        <w:t> </w:t>
      </w:r>
      <w:r>
        <w:rPr>
          <w:sz w:val="24"/>
        </w:rPr>
        <w:t>efforts</w:t>
      </w:r>
      <w:r>
        <w:rPr>
          <w:spacing w:val="-1"/>
          <w:sz w:val="24"/>
        </w:rPr>
        <w:t> </w:t>
      </w:r>
      <w:r>
        <w:rPr>
          <w:sz w:val="24"/>
        </w:rPr>
        <w:t>to</w:t>
      </w:r>
      <w:r>
        <w:rPr>
          <w:spacing w:val="-2"/>
          <w:sz w:val="24"/>
        </w:rPr>
        <w:t> </w:t>
      </w:r>
      <w:r>
        <w:rPr>
          <w:sz w:val="24"/>
        </w:rPr>
        <w:t>measure</w:t>
      </w:r>
      <w:r>
        <w:rPr>
          <w:spacing w:val="-2"/>
          <w:sz w:val="24"/>
        </w:rPr>
        <w:t> </w:t>
      </w:r>
      <w:r>
        <w:rPr>
          <w:sz w:val="24"/>
        </w:rPr>
        <w:t>public</w:t>
      </w:r>
      <w:r>
        <w:rPr>
          <w:spacing w:val="-2"/>
          <w:sz w:val="24"/>
        </w:rPr>
        <w:t> </w:t>
      </w:r>
      <w:r>
        <w:rPr>
          <w:sz w:val="24"/>
        </w:rPr>
        <w:t>sector</w:t>
      </w:r>
      <w:r>
        <w:rPr>
          <w:spacing w:val="-1"/>
          <w:sz w:val="24"/>
        </w:rPr>
        <w:t> </w:t>
      </w:r>
      <w:r>
        <w:rPr>
          <w:spacing w:val="-2"/>
          <w:sz w:val="24"/>
        </w:rPr>
        <w:t>performance;</w:t>
      </w:r>
    </w:p>
    <w:p>
      <w:pPr>
        <w:pStyle w:val="ListParagraph"/>
        <w:numPr>
          <w:ilvl w:val="3"/>
          <w:numId w:val="7"/>
        </w:numPr>
        <w:tabs>
          <w:tab w:pos="960" w:val="left" w:leader="none"/>
        </w:tabs>
        <w:spacing w:line="360" w:lineRule="auto" w:before="137" w:after="0"/>
        <w:ind w:left="960" w:right="844" w:hanging="620"/>
        <w:jc w:val="left"/>
        <w:rPr>
          <w:sz w:val="24"/>
        </w:rPr>
      </w:pPr>
      <w:r>
        <w:rPr>
          <w:sz w:val="24"/>
        </w:rPr>
        <w:t>Putting</w:t>
      </w:r>
      <w:r>
        <w:rPr>
          <w:spacing w:val="28"/>
          <w:sz w:val="24"/>
        </w:rPr>
        <w:t> </w:t>
      </w:r>
      <w:r>
        <w:rPr>
          <w:sz w:val="24"/>
        </w:rPr>
        <w:t>performance</w:t>
      </w:r>
      <w:r>
        <w:rPr>
          <w:spacing w:val="29"/>
          <w:sz w:val="24"/>
        </w:rPr>
        <w:t> </w:t>
      </w:r>
      <w:r>
        <w:rPr>
          <w:sz w:val="24"/>
        </w:rPr>
        <w:t>data</w:t>
      </w:r>
      <w:r>
        <w:rPr>
          <w:spacing w:val="29"/>
          <w:sz w:val="24"/>
        </w:rPr>
        <w:t> </w:t>
      </w:r>
      <w:r>
        <w:rPr>
          <w:sz w:val="24"/>
        </w:rPr>
        <w:t>at</w:t>
      </w:r>
      <w:r>
        <w:rPr>
          <w:spacing w:val="30"/>
          <w:sz w:val="24"/>
        </w:rPr>
        <w:t> </w:t>
      </w:r>
      <w:r>
        <w:rPr>
          <w:sz w:val="24"/>
        </w:rPr>
        <w:t>the</w:t>
      </w:r>
      <w:r>
        <w:rPr>
          <w:spacing w:val="29"/>
          <w:sz w:val="24"/>
        </w:rPr>
        <w:t> </w:t>
      </w:r>
      <w:r>
        <w:rPr>
          <w:sz w:val="24"/>
        </w:rPr>
        <w:t>heart</w:t>
      </w:r>
      <w:r>
        <w:rPr>
          <w:spacing w:val="30"/>
          <w:sz w:val="24"/>
        </w:rPr>
        <w:t> </w:t>
      </w:r>
      <w:r>
        <w:rPr>
          <w:sz w:val="24"/>
        </w:rPr>
        <w:t>of</w:t>
      </w:r>
      <w:r>
        <w:rPr>
          <w:spacing w:val="29"/>
          <w:sz w:val="24"/>
        </w:rPr>
        <w:t> </w:t>
      </w:r>
      <w:r>
        <w:rPr>
          <w:sz w:val="24"/>
        </w:rPr>
        <w:t>decisions</w:t>
      </w:r>
      <w:r>
        <w:rPr>
          <w:spacing w:val="30"/>
          <w:sz w:val="24"/>
        </w:rPr>
        <w:t> </w:t>
      </w:r>
      <w:r>
        <w:rPr>
          <w:sz w:val="24"/>
        </w:rPr>
        <w:t>about</w:t>
      </w:r>
      <w:r>
        <w:rPr>
          <w:spacing w:val="30"/>
          <w:sz w:val="24"/>
        </w:rPr>
        <w:t> </w:t>
      </w:r>
      <w:r>
        <w:rPr>
          <w:sz w:val="24"/>
        </w:rPr>
        <w:t>making</w:t>
      </w:r>
      <w:r>
        <w:rPr>
          <w:spacing w:val="27"/>
          <w:sz w:val="24"/>
        </w:rPr>
        <w:t> </w:t>
      </w:r>
      <w:r>
        <w:rPr>
          <w:sz w:val="24"/>
        </w:rPr>
        <w:t>policy</w:t>
      </w:r>
      <w:r>
        <w:rPr>
          <w:spacing w:val="27"/>
          <w:sz w:val="24"/>
        </w:rPr>
        <w:t> </w:t>
      </w:r>
      <w:r>
        <w:rPr>
          <w:sz w:val="24"/>
        </w:rPr>
        <w:t>and</w:t>
      </w:r>
      <w:r>
        <w:rPr>
          <w:spacing w:val="30"/>
          <w:sz w:val="24"/>
        </w:rPr>
        <w:t> </w:t>
      </w:r>
      <w:r>
        <w:rPr>
          <w:sz w:val="24"/>
        </w:rPr>
        <w:t>delivering public services;</w:t>
      </w:r>
    </w:p>
    <w:p>
      <w:pPr>
        <w:spacing w:after="0" w:line="360" w:lineRule="auto"/>
        <w:jc w:val="left"/>
        <w:rPr>
          <w:sz w:val="24"/>
        </w:rPr>
        <w:sectPr>
          <w:pgSz w:w="12240" w:h="15840"/>
          <w:pgMar w:header="0" w:footer="1036" w:top="1360" w:bottom="1220" w:left="1200" w:right="600"/>
        </w:sectPr>
      </w:pPr>
    </w:p>
    <w:p>
      <w:pPr>
        <w:pStyle w:val="ListParagraph"/>
        <w:numPr>
          <w:ilvl w:val="3"/>
          <w:numId w:val="7"/>
        </w:numPr>
        <w:tabs>
          <w:tab w:pos="960" w:val="left" w:leader="none"/>
        </w:tabs>
        <w:spacing w:line="360" w:lineRule="auto" w:before="74" w:after="0"/>
        <w:ind w:left="960" w:right="843" w:hanging="608"/>
        <w:jc w:val="left"/>
        <w:rPr>
          <w:sz w:val="24"/>
        </w:rPr>
      </w:pPr>
      <w:r>
        <w:rPr>
          <w:sz w:val="24"/>
        </w:rPr>
        <w:t>Holding</w:t>
      </w:r>
      <w:r>
        <w:rPr>
          <w:spacing w:val="40"/>
          <w:sz w:val="24"/>
        </w:rPr>
        <w:t> </w:t>
      </w:r>
      <w:r>
        <w:rPr>
          <w:sz w:val="24"/>
        </w:rPr>
        <w:t>regular,</w:t>
      </w:r>
      <w:r>
        <w:rPr>
          <w:spacing w:val="40"/>
          <w:sz w:val="24"/>
        </w:rPr>
        <w:t> </w:t>
      </w:r>
      <w:r>
        <w:rPr>
          <w:sz w:val="24"/>
        </w:rPr>
        <w:t>collaborative</w:t>
      </w:r>
      <w:r>
        <w:rPr>
          <w:spacing w:val="40"/>
          <w:sz w:val="24"/>
        </w:rPr>
        <w:t> </w:t>
      </w:r>
      <w:r>
        <w:rPr>
          <w:sz w:val="24"/>
        </w:rPr>
        <w:t>decisions</w:t>
      </w:r>
      <w:r>
        <w:rPr>
          <w:spacing w:val="40"/>
          <w:sz w:val="24"/>
        </w:rPr>
        <w:t> </w:t>
      </w:r>
      <w:r>
        <w:rPr>
          <w:sz w:val="24"/>
        </w:rPr>
        <w:t>on</w:t>
      </w:r>
      <w:r>
        <w:rPr>
          <w:spacing w:val="40"/>
          <w:sz w:val="24"/>
        </w:rPr>
        <w:t> </w:t>
      </w:r>
      <w:r>
        <w:rPr>
          <w:sz w:val="24"/>
        </w:rPr>
        <w:t>performance</w:t>
      </w:r>
      <w:r>
        <w:rPr>
          <w:spacing w:val="40"/>
          <w:sz w:val="24"/>
        </w:rPr>
        <w:t> </w:t>
      </w:r>
      <w:r>
        <w:rPr>
          <w:sz w:val="24"/>
        </w:rPr>
        <w:t>with</w:t>
      </w:r>
      <w:r>
        <w:rPr>
          <w:spacing w:val="40"/>
          <w:sz w:val="24"/>
        </w:rPr>
        <w:t> </w:t>
      </w:r>
      <w:r>
        <w:rPr>
          <w:sz w:val="24"/>
        </w:rPr>
        <w:t>those</w:t>
      </w:r>
      <w:r>
        <w:rPr>
          <w:spacing w:val="40"/>
          <w:sz w:val="24"/>
        </w:rPr>
        <w:t> </w:t>
      </w:r>
      <w:r>
        <w:rPr>
          <w:sz w:val="24"/>
        </w:rPr>
        <w:t>accountable</w:t>
      </w:r>
      <w:r>
        <w:rPr>
          <w:spacing w:val="40"/>
          <w:sz w:val="24"/>
        </w:rPr>
        <w:t> </w:t>
      </w:r>
      <w:r>
        <w:rPr>
          <w:sz w:val="24"/>
        </w:rPr>
        <w:t>for</w:t>
      </w:r>
      <w:r>
        <w:rPr>
          <w:spacing w:val="40"/>
          <w:sz w:val="24"/>
        </w:rPr>
        <w:t> </w:t>
      </w:r>
      <w:r>
        <w:rPr>
          <w:sz w:val="24"/>
        </w:rPr>
        <w:t>delivering progress and</w:t>
      </w:r>
    </w:p>
    <w:p>
      <w:pPr>
        <w:pStyle w:val="ListParagraph"/>
        <w:numPr>
          <w:ilvl w:val="3"/>
          <w:numId w:val="7"/>
        </w:numPr>
        <w:tabs>
          <w:tab w:pos="960" w:val="left" w:leader="none"/>
        </w:tabs>
        <w:spacing w:line="360" w:lineRule="auto" w:before="1" w:after="0"/>
        <w:ind w:left="960" w:right="838" w:hanging="540"/>
        <w:jc w:val="left"/>
        <w:rPr>
          <w:sz w:val="24"/>
        </w:rPr>
      </w:pPr>
      <w:r>
        <w:rPr>
          <w:sz w:val="24"/>
        </w:rPr>
        <w:t>Establishing comprehensive, sustained performance improvement programs that are led by deeply engaged public leaders- both elected officials and professionals.</w:t>
      </w:r>
    </w:p>
    <w:p>
      <w:pPr>
        <w:pStyle w:val="BodyText"/>
        <w:spacing w:before="136"/>
      </w:pPr>
    </w:p>
    <w:p>
      <w:pPr>
        <w:pStyle w:val="BodyText"/>
        <w:spacing w:line="360" w:lineRule="auto"/>
        <w:ind w:left="240" w:right="839"/>
        <w:jc w:val="both"/>
      </w:pPr>
      <w:r>
        <w:rPr/>
        <w:t>Meeting these performance imperatives is not always easy. Delivering change on this scale is inevitably complex and particularly so in government, where the concerns of many stakeholders must be addressed. These difficulties explain why there have been too many failed or abandoned projects. Comparing</w:t>
      </w:r>
      <w:r>
        <w:rPr>
          <w:spacing w:val="-2"/>
        </w:rPr>
        <w:t> </w:t>
      </w:r>
      <w:r>
        <w:rPr/>
        <w:t>different public</w:t>
      </w:r>
      <w:r>
        <w:rPr>
          <w:spacing w:val="-1"/>
        </w:rPr>
        <w:t> </w:t>
      </w:r>
      <w:r>
        <w:rPr/>
        <w:t>sector</w:t>
      </w:r>
      <w:r>
        <w:rPr>
          <w:spacing w:val="-1"/>
        </w:rPr>
        <w:t> </w:t>
      </w:r>
      <w:r>
        <w:rPr/>
        <w:t>departments in the same country, similar government activities or operations in different countries can provide the insights needed to shape performance improvement efforts. It is also pertinent to explain the underlying causes of differentiated performance. Public sector leaders need to understand the relative importance of each causal factor or performance driver to decide where and how to intervene to improve performance and prioritize scarce resources (McKinsey, 2011).</w:t>
      </w:r>
    </w:p>
    <w:p>
      <w:pPr>
        <w:pStyle w:val="BodyText"/>
        <w:spacing w:before="139"/>
      </w:pPr>
    </w:p>
    <w:p>
      <w:pPr>
        <w:pStyle w:val="BodyText"/>
        <w:spacing w:line="360" w:lineRule="auto"/>
        <w:ind w:left="240" w:right="839"/>
        <w:jc w:val="both"/>
      </w:pPr>
      <w:r>
        <w:rPr/>
        <w:t>McKinsey (2011) also emphasizes the critical importance of taking an integrated approach to making policy and delivering public services. Policies developed without considering execution can fail to account for the resources required and how they must reflect citizen needs. At the same time, excellence in the delivery of government services can be just as important to performance measurement. To begin planning a scheme, it is critically important to separate the effects of various interrelated drivers of performance to isolate the ones that can be addressed most effectively.</w:t>
      </w:r>
    </w:p>
    <w:p>
      <w:pPr>
        <w:pStyle w:val="BodyText"/>
        <w:spacing w:before="139"/>
      </w:pPr>
    </w:p>
    <w:p>
      <w:pPr>
        <w:pStyle w:val="BodyText"/>
        <w:spacing w:line="360" w:lineRule="auto"/>
        <w:ind w:left="240" w:right="836"/>
        <w:jc w:val="both"/>
      </w:pPr>
      <w:r>
        <w:rPr/>
        <w:t>It is imperative to note, that in the view of Curristine (2005), the strongest trend in performance currently, is the introduction of performance-oriented budgeting and performance management. Broadly, performance management covers performance information, evaluation, performance monitoring, assessment and performance reporting. These can also be regarded as mechanisms used to assess the efficiency and effectiveness of public programmes and agencies.</w:t>
      </w:r>
    </w:p>
    <w:p>
      <w:pPr>
        <w:pStyle w:val="BodyText"/>
        <w:spacing w:before="35"/>
      </w:pPr>
    </w:p>
    <w:p>
      <w:pPr>
        <w:pStyle w:val="BodyText"/>
        <w:spacing w:line="360" w:lineRule="auto" w:before="1"/>
        <w:ind w:left="240" w:right="842"/>
        <w:jc w:val="both"/>
      </w:pPr>
      <w:r>
        <w:rPr/>
        <w:t>According to Profiroiu (2001), assessing public organizational performance is difficult, caused</w:t>
      </w:r>
      <w:r>
        <w:rPr>
          <w:spacing w:val="40"/>
        </w:rPr>
        <w:t> </w:t>
      </w:r>
      <w:r>
        <w:rPr/>
        <w:t>by</w:t>
      </w:r>
      <w:r>
        <w:rPr>
          <w:spacing w:val="1"/>
        </w:rPr>
        <w:t> </w:t>
      </w:r>
      <w:r>
        <w:rPr/>
        <w:t>the</w:t>
      </w:r>
      <w:r>
        <w:rPr>
          <w:spacing w:val="8"/>
        </w:rPr>
        <w:t> </w:t>
      </w:r>
      <w:r>
        <w:rPr/>
        <w:t>difficulties</w:t>
      </w:r>
      <w:r>
        <w:rPr>
          <w:spacing w:val="7"/>
        </w:rPr>
        <w:t> </w:t>
      </w:r>
      <w:r>
        <w:rPr/>
        <w:t>that</w:t>
      </w:r>
      <w:r>
        <w:rPr>
          <w:spacing w:val="8"/>
        </w:rPr>
        <w:t> </w:t>
      </w:r>
      <w:r>
        <w:rPr/>
        <w:t>exist</w:t>
      </w:r>
      <w:r>
        <w:rPr>
          <w:spacing w:val="7"/>
        </w:rPr>
        <w:t> </w:t>
      </w:r>
      <w:r>
        <w:rPr/>
        <w:t>in</w:t>
      </w:r>
      <w:r>
        <w:rPr>
          <w:spacing w:val="7"/>
        </w:rPr>
        <w:t> </w:t>
      </w:r>
      <w:r>
        <w:rPr/>
        <w:t>the</w:t>
      </w:r>
      <w:r>
        <w:rPr>
          <w:spacing w:val="6"/>
        </w:rPr>
        <w:t> </w:t>
      </w:r>
      <w:r>
        <w:rPr/>
        <w:t>definition</w:t>
      </w:r>
      <w:r>
        <w:rPr>
          <w:spacing w:val="5"/>
        </w:rPr>
        <w:t> </w:t>
      </w:r>
      <w:r>
        <w:rPr/>
        <w:t>of</w:t>
      </w:r>
      <w:r>
        <w:rPr>
          <w:spacing w:val="6"/>
        </w:rPr>
        <w:t> </w:t>
      </w:r>
      <w:r>
        <w:rPr/>
        <w:t>performance:</w:t>
      </w:r>
      <w:r>
        <w:rPr>
          <w:spacing w:val="7"/>
        </w:rPr>
        <w:t> </w:t>
      </w:r>
      <w:r>
        <w:rPr/>
        <w:t>the</w:t>
      </w:r>
      <w:r>
        <w:rPr>
          <w:spacing w:val="8"/>
        </w:rPr>
        <w:t> </w:t>
      </w:r>
      <w:r>
        <w:rPr/>
        <w:t>first</w:t>
      </w:r>
      <w:r>
        <w:rPr>
          <w:spacing w:val="6"/>
        </w:rPr>
        <w:t> </w:t>
      </w:r>
      <w:r>
        <w:rPr/>
        <w:t>difficulty</w:t>
      </w:r>
      <w:r>
        <w:rPr>
          <w:spacing w:val="2"/>
        </w:rPr>
        <w:t> </w:t>
      </w:r>
      <w:r>
        <w:rPr/>
        <w:t>appears</w:t>
      </w:r>
      <w:r>
        <w:rPr>
          <w:spacing w:val="8"/>
        </w:rPr>
        <w:t> </w:t>
      </w:r>
      <w:r>
        <w:rPr/>
        <w:t>from</w:t>
      </w:r>
      <w:r>
        <w:rPr>
          <w:spacing w:val="7"/>
        </w:rPr>
        <w:t> </w:t>
      </w:r>
      <w:r>
        <w:rPr>
          <w:spacing w:val="-5"/>
        </w:rPr>
        <w:t>the</w:t>
      </w:r>
    </w:p>
    <w:p>
      <w:pPr>
        <w:spacing w:after="0" w:line="360" w:lineRule="auto"/>
        <w:jc w:val="both"/>
        <w:sectPr>
          <w:pgSz w:w="12240" w:h="15840"/>
          <w:pgMar w:header="0" w:footer="1036" w:top="1360" w:bottom="1220" w:left="1200" w:right="600"/>
        </w:sectPr>
      </w:pPr>
    </w:p>
    <w:p>
      <w:pPr>
        <w:pStyle w:val="BodyText"/>
        <w:spacing w:line="360" w:lineRule="auto" w:before="74"/>
        <w:ind w:left="240" w:right="836"/>
        <w:jc w:val="both"/>
      </w:pPr>
      <w:r>
        <w:rPr/>
        <w:t>meaning of the concept of performance; the second appears from the way the performances are obtained, and the third from evaluating the performance. Figure 2.2 helps explains Profiroiu‘s view of performance. Measuring public sector performance, in the conception of the author, implies taking into consideration the distinction between: the means used (inputs), the process (throughput), the product (output) and the effect achieved (outcome). Performance assessment can be achieved through some measurement categories, namely:</w:t>
      </w:r>
    </w:p>
    <w:p>
      <w:pPr>
        <w:pStyle w:val="ListParagraph"/>
        <w:numPr>
          <w:ilvl w:val="4"/>
          <w:numId w:val="7"/>
        </w:numPr>
        <w:tabs>
          <w:tab w:pos="960" w:val="left" w:leader="none"/>
        </w:tabs>
        <w:spacing w:line="360" w:lineRule="auto" w:before="207" w:after="0"/>
        <w:ind w:left="960" w:right="835" w:hanging="360"/>
        <w:jc w:val="both"/>
        <w:rPr>
          <w:sz w:val="24"/>
        </w:rPr>
      </w:pPr>
      <w:r>
        <w:rPr>
          <w:sz w:val="24"/>
        </w:rPr>
        <w:t>Measuring</w:t>
      </w:r>
      <w:r>
        <w:rPr>
          <w:spacing w:val="-3"/>
          <w:sz w:val="24"/>
        </w:rPr>
        <w:t> </w:t>
      </w:r>
      <w:r>
        <w:rPr>
          <w:sz w:val="24"/>
        </w:rPr>
        <w:t>the</w:t>
      </w:r>
      <w:r>
        <w:rPr>
          <w:spacing w:val="-1"/>
          <w:sz w:val="24"/>
        </w:rPr>
        <w:t> </w:t>
      </w:r>
      <w:r>
        <w:rPr>
          <w:sz w:val="24"/>
        </w:rPr>
        <w:t>resource</w:t>
      </w:r>
      <w:r>
        <w:rPr>
          <w:spacing w:val="-1"/>
          <w:sz w:val="24"/>
        </w:rPr>
        <w:t> </w:t>
      </w:r>
      <w:r>
        <w:rPr>
          <w:sz w:val="24"/>
        </w:rPr>
        <w:t>economy, which can be determined by</w:t>
      </w:r>
      <w:r>
        <w:rPr>
          <w:spacing w:val="-3"/>
          <w:sz w:val="24"/>
        </w:rPr>
        <w:t> </w:t>
      </w:r>
      <w:r>
        <w:rPr>
          <w:sz w:val="24"/>
        </w:rPr>
        <w:t>comparing</w:t>
      </w:r>
      <w:r>
        <w:rPr>
          <w:spacing w:val="-3"/>
          <w:sz w:val="24"/>
        </w:rPr>
        <w:t> </w:t>
      </w:r>
      <w:r>
        <w:rPr>
          <w:sz w:val="24"/>
        </w:rPr>
        <w:t>the price</w:t>
      </w:r>
      <w:r>
        <w:rPr>
          <w:spacing w:val="-2"/>
          <w:sz w:val="24"/>
        </w:rPr>
        <w:t> </w:t>
      </w:r>
      <w:r>
        <w:rPr>
          <w:sz w:val="24"/>
        </w:rPr>
        <w:t>of</w:t>
      </w:r>
      <w:r>
        <w:rPr>
          <w:spacing w:val="-1"/>
          <w:sz w:val="24"/>
        </w:rPr>
        <w:t> </w:t>
      </w:r>
      <w:r>
        <w:rPr>
          <w:sz w:val="24"/>
        </w:rPr>
        <w:t>the inputs with the designated value.</w:t>
      </w:r>
    </w:p>
    <w:p>
      <w:pPr>
        <w:pStyle w:val="ListParagraph"/>
        <w:numPr>
          <w:ilvl w:val="4"/>
          <w:numId w:val="7"/>
        </w:numPr>
        <w:tabs>
          <w:tab w:pos="960" w:val="left" w:leader="none"/>
        </w:tabs>
        <w:spacing w:line="360" w:lineRule="auto" w:before="1" w:after="0"/>
        <w:ind w:left="960" w:right="840" w:hanging="360"/>
        <w:jc w:val="both"/>
        <w:rPr>
          <w:sz w:val="24"/>
        </w:rPr>
      </w:pPr>
      <w:r>
        <w:rPr>
          <w:sz w:val="24"/>
        </w:rPr>
        <w:t>Measuring the costs, which involves measuring in monetary expression the resource consumption in order to provide a particular service.</w:t>
      </w:r>
    </w:p>
    <w:p>
      <w:pPr>
        <w:pStyle w:val="ListParagraph"/>
        <w:numPr>
          <w:ilvl w:val="4"/>
          <w:numId w:val="7"/>
        </w:numPr>
        <w:tabs>
          <w:tab w:pos="960" w:val="left" w:leader="none"/>
        </w:tabs>
        <w:spacing w:line="360" w:lineRule="auto" w:before="0" w:after="0"/>
        <w:ind w:left="960" w:right="838" w:hanging="360"/>
        <w:jc w:val="both"/>
        <w:rPr>
          <w:sz w:val="24"/>
        </w:rPr>
      </w:pPr>
      <w:r>
        <w:rPr>
          <w:sz w:val="24"/>
        </w:rPr>
        <w:t>Measuring the efficiency, which takes into account the obtained result in relation to the resources used, and a project is effective if the maximum results are achieved with a</w:t>
      </w:r>
      <w:r>
        <w:rPr>
          <w:spacing w:val="40"/>
          <w:sz w:val="24"/>
        </w:rPr>
        <w:t> </w:t>
      </w:r>
      <w:r>
        <w:rPr>
          <w:sz w:val="24"/>
        </w:rPr>
        <w:t>given level of resources, or if it uses the minimum resources for a certain level of the </w:t>
      </w:r>
      <w:r>
        <w:rPr>
          <w:spacing w:val="-2"/>
          <w:sz w:val="24"/>
        </w:rPr>
        <w:t>result.</w:t>
      </w:r>
    </w:p>
    <w:p>
      <w:pPr>
        <w:pStyle w:val="ListParagraph"/>
        <w:numPr>
          <w:ilvl w:val="4"/>
          <w:numId w:val="7"/>
        </w:numPr>
        <w:tabs>
          <w:tab w:pos="960" w:val="left" w:leader="none"/>
        </w:tabs>
        <w:spacing w:line="360" w:lineRule="auto" w:before="0" w:after="0"/>
        <w:ind w:left="960" w:right="839" w:hanging="360"/>
        <w:jc w:val="both"/>
        <w:rPr>
          <w:sz w:val="24"/>
        </w:rPr>
      </w:pPr>
      <w:r>
        <w:rPr>
          <w:sz w:val="24"/>
        </w:rPr>
        <w:t>Measuring the effectiveness, which is quantified by the ratio of the actual result to its expected level. The process of measuring the effectiveness faces difficulties concerning the assessment and the quantification of the results, which often have non-physical form, and cannot be directly measurable. The results of the public projects can have both economic and social nature.</w:t>
      </w:r>
    </w:p>
    <w:p>
      <w:pPr>
        <w:pStyle w:val="ListParagraph"/>
        <w:numPr>
          <w:ilvl w:val="4"/>
          <w:numId w:val="7"/>
        </w:numPr>
        <w:tabs>
          <w:tab w:pos="960" w:val="left" w:leader="none"/>
        </w:tabs>
        <w:spacing w:line="360" w:lineRule="auto" w:before="0" w:after="0"/>
        <w:ind w:left="960" w:right="833" w:hanging="360"/>
        <w:jc w:val="both"/>
        <w:rPr>
          <w:sz w:val="24"/>
        </w:rPr>
      </w:pPr>
      <w:r>
        <w:rPr>
          <w:sz w:val="24"/>
        </w:rPr>
        <w:t>Measuring the quality of services, which is designed to follow the degree to which the public product/service satisfies the requirements of the citizens. In this sense, the quality includes the effectiveness of a project. The deficiency of this method consists in the fact that the quality</w:t>
      </w:r>
      <w:r>
        <w:rPr>
          <w:spacing w:val="-7"/>
          <w:sz w:val="24"/>
        </w:rPr>
        <w:t> </w:t>
      </w:r>
      <w:r>
        <w:rPr>
          <w:sz w:val="24"/>
        </w:rPr>
        <w:t>is a vague concept and far too complex that</w:t>
      </w:r>
      <w:r>
        <w:rPr>
          <w:spacing w:val="-2"/>
          <w:sz w:val="24"/>
        </w:rPr>
        <w:t> </w:t>
      </w:r>
      <w:r>
        <w:rPr>
          <w:sz w:val="24"/>
        </w:rPr>
        <w:t>is not</w:t>
      </w:r>
      <w:r>
        <w:rPr>
          <w:spacing w:val="-1"/>
          <w:sz w:val="24"/>
        </w:rPr>
        <w:t> </w:t>
      </w:r>
      <w:r>
        <w:rPr>
          <w:sz w:val="24"/>
        </w:rPr>
        <w:t>sufficiently</w:t>
      </w:r>
      <w:r>
        <w:rPr>
          <w:spacing w:val="-4"/>
          <w:sz w:val="24"/>
        </w:rPr>
        <w:t> </w:t>
      </w:r>
      <w:r>
        <w:rPr>
          <w:sz w:val="24"/>
        </w:rPr>
        <w:t>reflected by indicators. The concept of quality encompasses not only the quality of the service</w:t>
      </w:r>
      <w:r>
        <w:rPr>
          <w:spacing w:val="80"/>
          <w:sz w:val="24"/>
        </w:rPr>
        <w:t> </w:t>
      </w:r>
      <w:r>
        <w:rPr>
          <w:sz w:val="24"/>
        </w:rPr>
        <w:t>offered, but also the quality of the process and the quality of the system.</w:t>
      </w:r>
    </w:p>
    <w:p>
      <w:pPr>
        <w:pStyle w:val="ListParagraph"/>
        <w:numPr>
          <w:ilvl w:val="4"/>
          <w:numId w:val="7"/>
        </w:numPr>
        <w:tabs>
          <w:tab w:pos="958" w:val="left" w:leader="none"/>
        </w:tabs>
        <w:spacing w:line="240" w:lineRule="auto" w:before="0" w:after="0"/>
        <w:ind w:left="958" w:right="0" w:hanging="358"/>
        <w:jc w:val="both"/>
        <w:rPr>
          <w:sz w:val="24"/>
        </w:rPr>
      </w:pPr>
      <w:r>
        <w:rPr>
          <w:sz w:val="24"/>
        </w:rPr>
        <w:t>Measuring</w:t>
      </w:r>
      <w:r>
        <w:rPr>
          <w:spacing w:val="-4"/>
          <w:sz w:val="24"/>
        </w:rPr>
        <w:t> </w:t>
      </w:r>
      <w:r>
        <w:rPr>
          <w:sz w:val="24"/>
        </w:rPr>
        <w:t>the</w:t>
      </w:r>
      <w:r>
        <w:rPr>
          <w:spacing w:val="-1"/>
          <w:sz w:val="24"/>
        </w:rPr>
        <w:t> </w:t>
      </w:r>
      <w:r>
        <w:rPr>
          <w:sz w:val="24"/>
        </w:rPr>
        <w:t>financial</w:t>
      </w:r>
      <w:r>
        <w:rPr>
          <w:spacing w:val="2"/>
          <w:sz w:val="24"/>
        </w:rPr>
        <w:t> </w:t>
      </w:r>
      <w:r>
        <w:rPr>
          <w:spacing w:val="-2"/>
          <w:sz w:val="24"/>
        </w:rPr>
        <w:t>performance</w:t>
      </w:r>
    </w:p>
    <w:p>
      <w:pPr>
        <w:pStyle w:val="ListParagraph"/>
        <w:numPr>
          <w:ilvl w:val="4"/>
          <w:numId w:val="7"/>
        </w:numPr>
        <w:tabs>
          <w:tab w:pos="958" w:val="left" w:leader="none"/>
        </w:tabs>
        <w:spacing w:line="240" w:lineRule="auto" w:before="139" w:after="0"/>
        <w:ind w:left="958" w:right="0" w:hanging="358"/>
        <w:jc w:val="both"/>
        <w:rPr>
          <w:sz w:val="24"/>
        </w:rPr>
      </w:pPr>
      <w:r>
        <w:rPr>
          <w:sz w:val="24"/>
        </w:rPr>
        <w:t>Measuring</w:t>
      </w:r>
      <w:r>
        <w:rPr>
          <w:spacing w:val="-4"/>
          <w:sz w:val="24"/>
        </w:rPr>
        <w:t> </w:t>
      </w:r>
      <w:r>
        <w:rPr>
          <w:sz w:val="24"/>
        </w:rPr>
        <w:t>the</w:t>
      </w:r>
      <w:r>
        <w:rPr>
          <w:spacing w:val="-1"/>
          <w:sz w:val="24"/>
        </w:rPr>
        <w:t> </w:t>
      </w:r>
      <w:r>
        <w:rPr>
          <w:sz w:val="24"/>
        </w:rPr>
        <w:t>overall </w:t>
      </w:r>
      <w:r>
        <w:rPr>
          <w:spacing w:val="-2"/>
          <w:sz w:val="24"/>
        </w:rPr>
        <w:t>performance</w:t>
      </w:r>
    </w:p>
    <w:p>
      <w:pPr>
        <w:spacing w:after="0" w:line="240" w:lineRule="auto"/>
        <w:jc w:val="both"/>
        <w:rPr>
          <w:sz w:val="24"/>
        </w:rPr>
        <w:sectPr>
          <w:pgSz w:w="12240" w:h="15840"/>
          <w:pgMar w:header="0" w:footer="1036" w:top="1360" w:bottom="1220" w:left="1200" w:right="600"/>
        </w:sectPr>
      </w:pPr>
    </w:p>
    <w:p>
      <w:pPr>
        <w:pStyle w:val="BodyText"/>
      </w:pPr>
    </w:p>
    <w:p>
      <w:pPr>
        <w:pStyle w:val="BodyText"/>
      </w:pPr>
    </w:p>
    <w:p>
      <w:pPr>
        <w:pStyle w:val="BodyText"/>
      </w:pPr>
    </w:p>
    <w:p>
      <w:pPr>
        <w:pStyle w:val="BodyText"/>
      </w:pPr>
    </w:p>
    <w:p>
      <w:pPr>
        <w:pStyle w:val="BodyText"/>
        <w:spacing w:before="70"/>
      </w:pPr>
    </w:p>
    <w:p>
      <w:pPr>
        <w:pStyle w:val="BodyText"/>
        <w:spacing w:before="1"/>
        <w:ind w:right="1516"/>
        <w:jc w:val="center"/>
      </w:pPr>
      <w:r>
        <w:rPr/>
        <mc:AlternateContent>
          <mc:Choice Requires="wps">
            <w:drawing>
              <wp:anchor distT="0" distB="0" distL="0" distR="0" allowOverlap="1" layoutInCell="1" locked="0" behindDoc="1" simplePos="0" relativeHeight="478093824">
                <wp:simplePos x="0" y="0"/>
                <wp:positionH relativeFrom="page">
                  <wp:posOffset>908050</wp:posOffset>
                </wp:positionH>
                <wp:positionV relativeFrom="paragraph">
                  <wp:posOffset>-924485</wp:posOffset>
                </wp:positionV>
                <wp:extent cx="5733415" cy="1346200"/>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5733415" cy="1346200"/>
                          <a:chExt cx="5733415" cy="1346200"/>
                        </a:xfrm>
                      </wpg:grpSpPr>
                      <wps:wsp>
                        <wps:cNvPr id="32" name="Graphic 32"/>
                        <wps:cNvSpPr/>
                        <wps:spPr>
                          <a:xfrm>
                            <a:off x="512445" y="230250"/>
                            <a:ext cx="4493260" cy="920750"/>
                          </a:xfrm>
                          <a:custGeom>
                            <a:avLst/>
                            <a:gdLst/>
                            <a:ahLst/>
                            <a:cxnLst/>
                            <a:rect l="l" t="t" r="r" b="b"/>
                            <a:pathLst>
                              <a:path w="4493260" h="920750">
                                <a:moveTo>
                                  <a:pt x="1574800" y="16764"/>
                                </a:moveTo>
                                <a:lnTo>
                                  <a:pt x="1469644" y="0"/>
                                </a:lnTo>
                                <a:lnTo>
                                  <a:pt x="1479169" y="30289"/>
                                </a:lnTo>
                                <a:lnTo>
                                  <a:pt x="86106" y="468960"/>
                                </a:lnTo>
                                <a:lnTo>
                                  <a:pt x="76581" y="438658"/>
                                </a:lnTo>
                                <a:lnTo>
                                  <a:pt x="0" y="512699"/>
                                </a:lnTo>
                                <a:lnTo>
                                  <a:pt x="105156" y="529463"/>
                                </a:lnTo>
                                <a:lnTo>
                                  <a:pt x="97116" y="503936"/>
                                </a:lnTo>
                                <a:lnTo>
                                  <a:pt x="95618" y="499186"/>
                                </a:lnTo>
                                <a:lnTo>
                                  <a:pt x="1488681" y="60515"/>
                                </a:lnTo>
                                <a:lnTo>
                                  <a:pt x="1498219" y="90805"/>
                                </a:lnTo>
                                <a:lnTo>
                                  <a:pt x="1565732" y="25527"/>
                                </a:lnTo>
                                <a:lnTo>
                                  <a:pt x="1574800" y="16764"/>
                                </a:lnTo>
                                <a:close/>
                              </a:path>
                              <a:path w="4493260" h="920750">
                                <a:moveTo>
                                  <a:pt x="4011930" y="872744"/>
                                </a:moveTo>
                                <a:lnTo>
                                  <a:pt x="3980180" y="856869"/>
                                </a:lnTo>
                                <a:lnTo>
                                  <a:pt x="3916680" y="825119"/>
                                </a:lnTo>
                                <a:lnTo>
                                  <a:pt x="3916680" y="856869"/>
                                </a:lnTo>
                                <a:lnTo>
                                  <a:pt x="729615" y="856869"/>
                                </a:lnTo>
                                <a:lnTo>
                                  <a:pt x="729615" y="825119"/>
                                </a:lnTo>
                                <a:lnTo>
                                  <a:pt x="634365" y="872744"/>
                                </a:lnTo>
                                <a:lnTo>
                                  <a:pt x="729615" y="920369"/>
                                </a:lnTo>
                                <a:lnTo>
                                  <a:pt x="729615" y="888619"/>
                                </a:lnTo>
                                <a:lnTo>
                                  <a:pt x="3916680" y="888619"/>
                                </a:lnTo>
                                <a:lnTo>
                                  <a:pt x="3916680" y="920369"/>
                                </a:lnTo>
                                <a:lnTo>
                                  <a:pt x="3980180" y="888619"/>
                                </a:lnTo>
                                <a:lnTo>
                                  <a:pt x="4011930" y="872744"/>
                                </a:lnTo>
                                <a:close/>
                              </a:path>
                              <a:path w="4493260" h="920750">
                                <a:moveTo>
                                  <a:pt x="4493260" y="574929"/>
                                </a:moveTo>
                                <a:lnTo>
                                  <a:pt x="4481284" y="562102"/>
                                </a:lnTo>
                                <a:lnTo>
                                  <a:pt x="4420616" y="497078"/>
                                </a:lnTo>
                                <a:lnTo>
                                  <a:pt x="4409516" y="526846"/>
                                </a:lnTo>
                                <a:lnTo>
                                  <a:pt x="3089465" y="35153"/>
                                </a:lnTo>
                                <a:lnTo>
                                  <a:pt x="3091535" y="29591"/>
                                </a:lnTo>
                                <a:lnTo>
                                  <a:pt x="3100578" y="5334"/>
                                </a:lnTo>
                                <a:lnTo>
                                  <a:pt x="2994660" y="16764"/>
                                </a:lnTo>
                                <a:lnTo>
                                  <a:pt x="3067304" y="94615"/>
                                </a:lnTo>
                                <a:lnTo>
                                  <a:pt x="3078391" y="64858"/>
                                </a:lnTo>
                                <a:lnTo>
                                  <a:pt x="4398442" y="556552"/>
                                </a:lnTo>
                                <a:lnTo>
                                  <a:pt x="4387342" y="586359"/>
                                </a:lnTo>
                                <a:lnTo>
                                  <a:pt x="4493260" y="574929"/>
                                </a:lnTo>
                                <a:close/>
                              </a:path>
                            </a:pathLst>
                          </a:custGeom>
                          <a:solidFill>
                            <a:srgbClr val="000000"/>
                          </a:solidFill>
                        </wps:spPr>
                        <wps:bodyPr wrap="square" lIns="0" tIns="0" rIns="0" bIns="0" rtlCol="0">
                          <a:prstTxWarp prst="textNoShape">
                            <a:avLst/>
                          </a:prstTxWarp>
                          <a:noAutofit/>
                        </wps:bodyPr>
                      </wps:wsp>
                      <wps:wsp>
                        <wps:cNvPr id="33" name="Textbox 33"/>
                        <wps:cNvSpPr txBox="1"/>
                        <wps:spPr>
                          <a:xfrm>
                            <a:off x="273354" y="230250"/>
                            <a:ext cx="1814195" cy="529590"/>
                          </a:xfrm>
                          <a:prstGeom prst="rect">
                            <a:avLst/>
                          </a:prstGeom>
                        </wps:spPr>
                        <wps:txbx>
                          <w:txbxContent>
                            <w:p>
                              <w:pPr>
                                <w:spacing w:before="266"/>
                                <w:ind w:left="0" w:right="0" w:firstLine="0"/>
                                <w:jc w:val="left"/>
                                <w:rPr>
                                  <w:sz w:val="24"/>
                                </w:rPr>
                              </w:pPr>
                              <w:r>
                                <w:rPr>
                                  <w:spacing w:val="-2"/>
                                  <w:sz w:val="24"/>
                                </w:rPr>
                                <w:t>Effectiveness</w:t>
                              </w:r>
                            </w:p>
                          </w:txbxContent>
                        </wps:txbx>
                        <wps:bodyPr wrap="square" lIns="0" tIns="0" rIns="0" bIns="0" rtlCol="0">
                          <a:noAutofit/>
                        </wps:bodyPr>
                      </wps:wsp>
                      <wps:wsp>
                        <wps:cNvPr id="34" name="Textbox 34"/>
                        <wps:cNvSpPr txBox="1"/>
                        <wps:spPr>
                          <a:xfrm>
                            <a:off x="2087245" y="31750"/>
                            <a:ext cx="1419860" cy="448309"/>
                          </a:xfrm>
                          <a:prstGeom prst="rect">
                            <a:avLst/>
                          </a:prstGeom>
                          <a:ln w="63500" cmpd="thickThin">
                            <a:solidFill>
                              <a:srgbClr val="C0504D"/>
                            </a:solidFill>
                            <a:prstDash val="solid"/>
                          </a:ln>
                        </wps:spPr>
                        <wps:txbx>
                          <w:txbxContent>
                            <w:p>
                              <w:pPr>
                                <w:spacing w:before="68"/>
                                <w:ind w:left="0" w:right="0" w:firstLine="0"/>
                                <w:jc w:val="center"/>
                                <w:rPr>
                                  <w:sz w:val="24"/>
                                </w:rPr>
                              </w:pPr>
                              <w:r>
                                <w:rPr>
                                  <w:spacing w:val="-2"/>
                                  <w:sz w:val="24"/>
                                </w:rPr>
                                <w:t>Results</w:t>
                              </w:r>
                            </w:p>
                          </w:txbxContent>
                        </wps:txbx>
                        <wps:bodyPr wrap="square" lIns="0" tIns="0" rIns="0" bIns="0" rtlCol="0">
                          <a:noAutofit/>
                        </wps:bodyPr>
                      </wps:wsp>
                      <wps:wsp>
                        <wps:cNvPr id="35" name="Textbox 35"/>
                        <wps:cNvSpPr txBox="1"/>
                        <wps:spPr>
                          <a:xfrm>
                            <a:off x="3507104" y="235584"/>
                            <a:ext cx="1498600" cy="581025"/>
                          </a:xfrm>
                          <a:prstGeom prst="rect">
                            <a:avLst/>
                          </a:prstGeom>
                        </wps:spPr>
                        <wps:txbx>
                          <w:txbxContent>
                            <w:p>
                              <w:pPr>
                                <w:spacing w:before="257"/>
                                <w:ind w:left="1302" w:right="0" w:firstLine="0"/>
                                <w:jc w:val="left"/>
                                <w:rPr>
                                  <w:sz w:val="24"/>
                                </w:rPr>
                              </w:pPr>
                              <w:r>
                                <w:rPr>
                                  <w:spacing w:val="-2"/>
                                  <w:sz w:val="24"/>
                                </w:rPr>
                                <w:t>Efficiency</w:t>
                              </w:r>
                            </w:p>
                          </w:txbxContent>
                        </wps:txbx>
                        <wps:bodyPr wrap="square" lIns="0" tIns="0" rIns="0" bIns="0" rtlCol="0">
                          <a:noAutofit/>
                        </wps:bodyPr>
                      </wps:wsp>
                      <wps:wsp>
                        <wps:cNvPr id="36" name="Textbox 36"/>
                        <wps:cNvSpPr txBox="1"/>
                        <wps:spPr>
                          <a:xfrm>
                            <a:off x="4524375" y="867410"/>
                            <a:ext cx="1177290" cy="447040"/>
                          </a:xfrm>
                          <a:prstGeom prst="rect">
                            <a:avLst/>
                          </a:prstGeom>
                          <a:ln w="63500" cmpd="thickThin">
                            <a:solidFill>
                              <a:srgbClr val="C0504D"/>
                            </a:solidFill>
                            <a:prstDash val="solid"/>
                          </a:ln>
                        </wps:spPr>
                        <wps:txbx>
                          <w:txbxContent>
                            <w:p>
                              <w:pPr>
                                <w:spacing w:before="64"/>
                                <w:ind w:left="505" w:right="0" w:firstLine="0"/>
                                <w:jc w:val="left"/>
                                <w:rPr>
                                  <w:sz w:val="24"/>
                                </w:rPr>
                              </w:pPr>
                              <w:r>
                                <w:rPr>
                                  <w:spacing w:val="-2"/>
                                  <w:sz w:val="24"/>
                                </w:rPr>
                                <w:t>Actions</w:t>
                              </w:r>
                            </w:p>
                          </w:txbxContent>
                        </wps:txbx>
                        <wps:bodyPr wrap="square" lIns="0" tIns="0" rIns="0" bIns="0" rtlCol="0">
                          <a:noAutofit/>
                        </wps:bodyPr>
                      </wps:wsp>
                      <wps:wsp>
                        <wps:cNvPr id="37" name="Textbox 37"/>
                        <wps:cNvSpPr txBox="1"/>
                        <wps:spPr>
                          <a:xfrm>
                            <a:off x="31750" y="805180"/>
                            <a:ext cx="1115060" cy="427990"/>
                          </a:xfrm>
                          <a:prstGeom prst="rect">
                            <a:avLst/>
                          </a:prstGeom>
                          <a:ln w="63500" cmpd="thickThin">
                            <a:solidFill>
                              <a:srgbClr val="C0504D"/>
                            </a:solidFill>
                            <a:prstDash val="solid"/>
                          </a:ln>
                        </wps:spPr>
                        <wps:txbx>
                          <w:txbxContent>
                            <w:p>
                              <w:pPr>
                                <w:spacing w:before="66"/>
                                <w:ind w:left="143" w:right="0" w:firstLine="0"/>
                                <w:jc w:val="left"/>
                                <w:rPr>
                                  <w:sz w:val="24"/>
                                </w:rPr>
                              </w:pPr>
                              <w:r>
                                <w:rPr>
                                  <w:spacing w:val="-2"/>
                                  <w:sz w:val="24"/>
                                </w:rPr>
                                <w:t>Objectives</w:t>
                              </w:r>
                            </w:p>
                          </w:txbxContent>
                        </wps:txbx>
                        <wps:bodyPr wrap="square" lIns="0" tIns="0" rIns="0" bIns="0" rtlCol="0">
                          <a:noAutofit/>
                        </wps:bodyPr>
                      </wps:wsp>
                    </wpg:wgp>
                  </a:graphicData>
                </a:graphic>
              </wp:anchor>
            </w:drawing>
          </mc:Choice>
          <mc:Fallback>
            <w:pict>
              <v:group style="position:absolute;margin-left:71.5pt;margin-top:-72.794144pt;width:451.45pt;height:106pt;mso-position-horizontal-relative:page;mso-position-vertical-relative:paragraph;z-index:-25222656" id="docshapegroup31" coordorigin="1430,-1456" coordsize="9029,2120">
                <v:shape style="position:absolute;left:2237;top:-1094;width:7076;height:1450" id="docshape32" coordorigin="2237,-1093" coordsize="7076,1450" path="m4717,-1067l4551,-1093,4566,-1046,2373,-355,2358,-402,2237,-286,2403,-259,2390,-300,2388,-307,4581,-998,4596,-950,4703,-1053,4717,-1067xm8555,281l8505,256,8405,206,8405,256,3386,256,3386,206,3236,281,3386,356,3386,306,8405,306,8405,356,8505,306,8555,281xm9313,-188l9294,-208,9199,-310,9181,-264,7102,-1038,7106,-1047,7120,-1085,6953,-1067,7067,-944,7085,-991,9164,-217,9146,-170,9313,-188xe" filled="true" fillcolor="#000000" stroked="false">
                  <v:path arrowok="t"/>
                  <v:fill type="solid"/>
                </v:shape>
                <v:shape style="position:absolute;left:1860;top:-1094;width:2857;height:834" type="#_x0000_t202" id="docshape33" filled="false" stroked="false">
                  <v:textbox inset="0,0,0,0">
                    <w:txbxContent>
                      <w:p>
                        <w:pPr>
                          <w:spacing w:before="266"/>
                          <w:ind w:left="0" w:right="0" w:firstLine="0"/>
                          <w:jc w:val="left"/>
                          <w:rPr>
                            <w:sz w:val="24"/>
                          </w:rPr>
                        </w:pPr>
                        <w:r>
                          <w:rPr>
                            <w:spacing w:val="-2"/>
                            <w:sz w:val="24"/>
                          </w:rPr>
                          <w:t>Effectiveness</w:t>
                        </w:r>
                      </w:p>
                    </w:txbxContent>
                  </v:textbox>
                  <w10:wrap type="none"/>
                </v:shape>
                <v:shape style="position:absolute;left:4717;top:-1406;width:2236;height:706" type="#_x0000_t202" id="docshape34" filled="false" stroked="true" strokeweight="5pt" strokecolor="#c0504d">
                  <v:textbox inset="0,0,0,0">
                    <w:txbxContent>
                      <w:p>
                        <w:pPr>
                          <w:spacing w:before="68"/>
                          <w:ind w:left="0" w:right="0" w:firstLine="0"/>
                          <w:jc w:val="center"/>
                          <w:rPr>
                            <w:sz w:val="24"/>
                          </w:rPr>
                        </w:pPr>
                        <w:r>
                          <w:rPr>
                            <w:spacing w:val="-2"/>
                            <w:sz w:val="24"/>
                          </w:rPr>
                          <w:t>Results</w:t>
                        </w:r>
                      </w:p>
                    </w:txbxContent>
                  </v:textbox>
                  <v:stroke linestyle="thickThin" dashstyle="solid"/>
                  <w10:wrap type="none"/>
                </v:shape>
                <v:shape style="position:absolute;left:6953;top:-1085;width:2360;height:915" type="#_x0000_t202" id="docshape35" filled="false" stroked="false">
                  <v:textbox inset="0,0,0,0">
                    <w:txbxContent>
                      <w:p>
                        <w:pPr>
                          <w:spacing w:before="257"/>
                          <w:ind w:left="1302" w:right="0" w:firstLine="0"/>
                          <w:jc w:val="left"/>
                          <w:rPr>
                            <w:sz w:val="24"/>
                          </w:rPr>
                        </w:pPr>
                        <w:r>
                          <w:rPr>
                            <w:spacing w:val="-2"/>
                            <w:sz w:val="24"/>
                          </w:rPr>
                          <w:t>Efficiency</w:t>
                        </w:r>
                      </w:p>
                    </w:txbxContent>
                  </v:textbox>
                  <w10:wrap type="none"/>
                </v:shape>
                <v:shape style="position:absolute;left:8555;top:-90;width:1854;height:704" type="#_x0000_t202" id="docshape36" filled="false" stroked="true" strokeweight="5pt" strokecolor="#c0504d">
                  <v:textbox inset="0,0,0,0">
                    <w:txbxContent>
                      <w:p>
                        <w:pPr>
                          <w:spacing w:before="64"/>
                          <w:ind w:left="505" w:right="0" w:firstLine="0"/>
                          <w:jc w:val="left"/>
                          <w:rPr>
                            <w:sz w:val="24"/>
                          </w:rPr>
                        </w:pPr>
                        <w:r>
                          <w:rPr>
                            <w:spacing w:val="-2"/>
                            <w:sz w:val="24"/>
                          </w:rPr>
                          <w:t>Actions</w:t>
                        </w:r>
                      </w:p>
                    </w:txbxContent>
                  </v:textbox>
                  <v:stroke linestyle="thickThin" dashstyle="solid"/>
                  <w10:wrap type="none"/>
                </v:shape>
                <v:shape style="position:absolute;left:1480;top:-188;width:1756;height:674" type="#_x0000_t202" id="docshape37" filled="false" stroked="true" strokeweight="5pt" strokecolor="#c0504d">
                  <v:textbox inset="0,0,0,0">
                    <w:txbxContent>
                      <w:p>
                        <w:pPr>
                          <w:spacing w:before="66"/>
                          <w:ind w:left="143" w:right="0" w:firstLine="0"/>
                          <w:jc w:val="left"/>
                          <w:rPr>
                            <w:sz w:val="24"/>
                          </w:rPr>
                        </w:pPr>
                        <w:r>
                          <w:rPr>
                            <w:spacing w:val="-2"/>
                            <w:sz w:val="24"/>
                          </w:rPr>
                          <w:t>Objectives</w:t>
                        </w:r>
                      </w:p>
                    </w:txbxContent>
                  </v:textbox>
                  <v:stroke linestyle="thickThin" dashstyle="solid"/>
                  <w10:wrap type="none"/>
                </v:shape>
                <w10:wrap type="none"/>
              </v:group>
            </w:pict>
          </mc:Fallback>
        </mc:AlternateContent>
      </w:r>
      <w:r>
        <w:rPr>
          <w:spacing w:val="-2"/>
        </w:rPr>
        <w:t>Budgeting</w:t>
      </w:r>
    </w:p>
    <w:p>
      <w:pPr>
        <w:pStyle w:val="BodyText"/>
      </w:pPr>
    </w:p>
    <w:p>
      <w:pPr>
        <w:pStyle w:val="BodyText"/>
        <w:spacing w:before="67"/>
      </w:pPr>
    </w:p>
    <w:p>
      <w:pPr>
        <w:spacing w:before="0"/>
        <w:ind w:left="240" w:right="0" w:firstLine="0"/>
        <w:jc w:val="both"/>
        <w:rPr>
          <w:sz w:val="24"/>
        </w:rPr>
      </w:pPr>
      <w:r>
        <w:rPr>
          <w:b/>
          <w:sz w:val="24"/>
        </w:rPr>
        <w:t>Figure</w:t>
      </w:r>
      <w:r>
        <w:rPr>
          <w:b/>
          <w:spacing w:val="-4"/>
          <w:sz w:val="24"/>
        </w:rPr>
        <w:t> </w:t>
      </w:r>
      <w:r>
        <w:rPr>
          <w:b/>
          <w:sz w:val="24"/>
        </w:rPr>
        <w:t>2.2.</w:t>
      </w:r>
      <w:r>
        <w:rPr>
          <w:b/>
          <w:spacing w:val="-1"/>
          <w:sz w:val="24"/>
        </w:rPr>
        <w:t> </w:t>
      </w:r>
      <w:r>
        <w:rPr>
          <w:sz w:val="24"/>
        </w:rPr>
        <w:t>The</w:t>
      </w:r>
      <w:r>
        <w:rPr>
          <w:spacing w:val="-2"/>
          <w:sz w:val="24"/>
        </w:rPr>
        <w:t> </w:t>
      </w:r>
      <w:r>
        <w:rPr>
          <w:sz w:val="24"/>
        </w:rPr>
        <w:t>triangle of</w:t>
      </w:r>
      <w:r>
        <w:rPr>
          <w:spacing w:val="-2"/>
          <w:sz w:val="24"/>
        </w:rPr>
        <w:t> </w:t>
      </w:r>
      <w:r>
        <w:rPr>
          <w:sz w:val="24"/>
        </w:rPr>
        <w:t>performance</w:t>
      </w:r>
      <w:r>
        <w:rPr>
          <w:spacing w:val="-2"/>
          <w:sz w:val="24"/>
        </w:rPr>
        <w:t> </w:t>
      </w:r>
      <w:r>
        <w:rPr>
          <w:sz w:val="24"/>
        </w:rPr>
        <w:t>(Profiroiu,</w:t>
      </w:r>
      <w:r>
        <w:rPr>
          <w:spacing w:val="1"/>
          <w:sz w:val="24"/>
        </w:rPr>
        <w:t> </w:t>
      </w:r>
      <w:r>
        <w:rPr>
          <w:spacing w:val="-2"/>
          <w:sz w:val="24"/>
        </w:rPr>
        <w:t>2001)</w:t>
      </w:r>
    </w:p>
    <w:p>
      <w:pPr>
        <w:pStyle w:val="BodyText"/>
      </w:pPr>
    </w:p>
    <w:p>
      <w:pPr>
        <w:pStyle w:val="BodyText"/>
        <w:spacing w:before="231"/>
      </w:pPr>
    </w:p>
    <w:p>
      <w:pPr>
        <w:pStyle w:val="Heading4"/>
        <w:numPr>
          <w:ilvl w:val="2"/>
          <w:numId w:val="7"/>
        </w:numPr>
        <w:tabs>
          <w:tab w:pos="780" w:val="left" w:leader="none"/>
        </w:tabs>
        <w:spacing w:line="240" w:lineRule="auto" w:before="0" w:after="0"/>
        <w:ind w:left="780" w:right="0" w:hanging="540"/>
        <w:jc w:val="both"/>
      </w:pPr>
      <w:r>
        <w:rPr/>
        <w:t>Performance</w:t>
      </w:r>
      <w:r>
        <w:rPr>
          <w:spacing w:val="-5"/>
        </w:rPr>
        <w:t> </w:t>
      </w:r>
      <w:r>
        <w:rPr>
          <w:spacing w:val="-2"/>
        </w:rPr>
        <w:t>Determinants</w:t>
      </w:r>
    </w:p>
    <w:p>
      <w:pPr>
        <w:pStyle w:val="BodyText"/>
        <w:spacing w:line="360" w:lineRule="auto" w:before="132"/>
        <w:ind w:left="240" w:right="838"/>
        <w:jc w:val="both"/>
      </w:pPr>
      <w:r>
        <w:rPr/>
        <w:t>To understand the concept of performance, two terms, namely; efficiency and effectiveness will help to explain for instance; not only the relationship between housing users (citizens) and those who provide the budget for the housing (public sector or the government), but the manner of preparation and allocation of the budget for housing delivery.</w:t>
      </w:r>
      <w:r>
        <w:rPr>
          <w:spacing w:val="80"/>
        </w:rPr>
        <w:t> </w:t>
      </w:r>
      <w:r>
        <w:rPr/>
        <w:t>In fact, efficiency and effectiveness have been described as central terms used in assessing and measuring the performance of organizations and processes (Mouzas, 2006; Heli, 2011). According to Ilona and Evelina (2013), effectiveness and efficiency are exclusive performance measures, which organizations can use to assess performance. In general, performance in public organizations,</w:t>
      </w:r>
      <w:r>
        <w:rPr>
          <w:spacing w:val="40"/>
        </w:rPr>
        <w:t> </w:t>
      </w:r>
      <w:r>
        <w:rPr/>
        <w:t>can be defined as an appropriate combination of efficiency and effectiveness (Heli, 2011).</w:t>
      </w:r>
    </w:p>
    <w:p>
      <w:pPr>
        <w:pStyle w:val="BodyText"/>
        <w:spacing w:before="138"/>
      </w:pPr>
    </w:p>
    <w:p>
      <w:pPr>
        <w:pStyle w:val="BodyText"/>
        <w:spacing w:line="360" w:lineRule="auto" w:before="1"/>
        <w:ind w:left="240" w:right="837"/>
        <w:jc w:val="both"/>
      </w:pPr>
      <w:r>
        <w:rPr/>
        <w:t>Creiu et al. (2007) define efficiency as getting the maximum possible results with a given level</w:t>
      </w:r>
      <w:r>
        <w:rPr>
          <w:spacing w:val="40"/>
        </w:rPr>
        <w:t> </w:t>
      </w:r>
      <w:r>
        <w:rPr/>
        <w:t>of resources or a smaller one. It is measured as a ratio between inputs and outputs, while effectiveness means achieving the defined objectives. Efficiency is oriented towards successful input transformation into outputs, where effectiveness measures how outputs interact with the economic and social environment (Ilona and Evelina, 2013). In view of this, efficiency of public budgeting implies a relation between the economic and social effects resulting from implementing a budget program and the effort made to finance that program.</w:t>
      </w:r>
    </w:p>
    <w:p>
      <w:pPr>
        <w:pStyle w:val="BodyText"/>
        <w:spacing w:before="138"/>
      </w:pPr>
    </w:p>
    <w:p>
      <w:pPr>
        <w:pStyle w:val="BodyText"/>
        <w:spacing w:line="360" w:lineRule="auto" w:before="1"/>
        <w:ind w:left="240" w:right="836"/>
        <w:jc w:val="both"/>
      </w:pPr>
      <w:r>
        <w:rPr/>
        <w:t>Drucker (1977) distinguished efficiency and effectiveness by associating efficiency to ―doing things right‖ and effectiveness to ―doing the right things‖. However, high efficiency does not stand</w:t>
      </w:r>
      <w:r>
        <w:rPr>
          <w:spacing w:val="27"/>
        </w:rPr>
        <w:t> </w:t>
      </w:r>
      <w:r>
        <w:rPr/>
        <w:t>for</w:t>
      </w:r>
      <w:r>
        <w:rPr>
          <w:spacing w:val="28"/>
        </w:rPr>
        <w:t> </w:t>
      </w:r>
      <w:r>
        <w:rPr/>
        <w:t>high</w:t>
      </w:r>
      <w:r>
        <w:rPr>
          <w:spacing w:val="30"/>
        </w:rPr>
        <w:t> </w:t>
      </w:r>
      <w:r>
        <w:rPr/>
        <w:t>effectiveness</w:t>
      </w:r>
      <w:r>
        <w:rPr>
          <w:spacing w:val="30"/>
        </w:rPr>
        <w:t> </w:t>
      </w:r>
      <w:r>
        <w:rPr/>
        <w:t>(Eccles,1991).</w:t>
      </w:r>
      <w:r>
        <w:rPr>
          <w:spacing w:val="33"/>
        </w:rPr>
        <w:t> </w:t>
      </w:r>
      <w:r>
        <w:rPr/>
        <w:t>Drucker</w:t>
      </w:r>
      <w:r>
        <w:rPr>
          <w:spacing w:val="30"/>
        </w:rPr>
        <w:t> </w:t>
      </w:r>
      <w:r>
        <w:rPr/>
        <w:t>(2001)</w:t>
      </w:r>
      <w:r>
        <w:rPr>
          <w:spacing w:val="29"/>
        </w:rPr>
        <w:t> </w:t>
      </w:r>
      <w:r>
        <w:rPr/>
        <w:t>believes</w:t>
      </w:r>
      <w:r>
        <w:rPr>
          <w:spacing w:val="30"/>
        </w:rPr>
        <w:t> </w:t>
      </w:r>
      <w:r>
        <w:rPr/>
        <w:t>that</w:t>
      </w:r>
      <w:r>
        <w:rPr>
          <w:spacing w:val="33"/>
        </w:rPr>
        <w:t> </w:t>
      </w:r>
      <w:r>
        <w:rPr/>
        <w:t>there</w:t>
      </w:r>
      <w:r>
        <w:rPr>
          <w:spacing w:val="29"/>
        </w:rPr>
        <w:t> </w:t>
      </w:r>
      <w:r>
        <w:rPr/>
        <w:t>is</w:t>
      </w:r>
      <w:r>
        <w:rPr>
          <w:spacing w:val="30"/>
        </w:rPr>
        <w:t> </w:t>
      </w:r>
      <w:r>
        <w:rPr/>
        <w:t>no</w:t>
      </w:r>
      <w:r>
        <w:rPr>
          <w:spacing w:val="30"/>
        </w:rPr>
        <w:t> </w:t>
      </w:r>
      <w:r>
        <w:rPr>
          <w:spacing w:val="-2"/>
        </w:rPr>
        <w:t>efficiency</w:t>
      </w:r>
    </w:p>
    <w:p>
      <w:pPr>
        <w:spacing w:after="0" w:line="360" w:lineRule="auto"/>
        <w:jc w:val="both"/>
        <w:sectPr>
          <w:pgSz w:w="12240" w:h="15840"/>
          <w:pgMar w:header="0" w:footer="1036" w:top="1640" w:bottom="1220" w:left="1200" w:right="600"/>
        </w:sectPr>
      </w:pPr>
    </w:p>
    <w:p>
      <w:pPr>
        <w:pStyle w:val="BodyText"/>
        <w:spacing w:line="360" w:lineRule="auto" w:before="74"/>
        <w:ind w:left="240" w:right="841"/>
        <w:jc w:val="both"/>
      </w:pPr>
      <w:r>
        <w:rPr/>
        <w:t>without effectiveness, because it is more important to do well what you have proposed (the effectiveness) than do well something else that was not necessarily concerned. The relationship between efficiency and effectiveness is that of a part to the whole, the effectiveness is a</w:t>
      </w:r>
      <w:r>
        <w:rPr>
          <w:spacing w:val="40"/>
        </w:rPr>
        <w:t> </w:t>
      </w:r>
      <w:r>
        <w:rPr/>
        <w:t>necessary condition to achieving efficiency.</w:t>
      </w:r>
    </w:p>
    <w:p>
      <w:pPr>
        <w:pStyle w:val="BodyText"/>
        <w:spacing w:before="137"/>
      </w:pPr>
    </w:p>
    <w:p>
      <w:pPr>
        <w:pStyle w:val="BodyText"/>
        <w:spacing w:line="360" w:lineRule="auto"/>
        <w:ind w:left="240" w:right="833"/>
        <w:jc w:val="both"/>
      </w:pPr>
      <w:r>
        <w:rPr/>
        <w:t>A measure of effectiveness assesses the ability of an organization to attain its pre-determined goals and objectives. Thus, effectiveness is the extent to which the policy objectives of an organization</w:t>
      </w:r>
      <w:r>
        <w:rPr>
          <w:spacing w:val="-1"/>
        </w:rPr>
        <w:t> </w:t>
      </w:r>
      <w:r>
        <w:rPr/>
        <w:t>are</w:t>
      </w:r>
      <w:r>
        <w:rPr>
          <w:spacing w:val="-3"/>
        </w:rPr>
        <w:t> </w:t>
      </w:r>
      <w:r>
        <w:rPr/>
        <w:t>achieved or</w:t>
      </w:r>
      <w:r>
        <w:rPr>
          <w:spacing w:val="-2"/>
        </w:rPr>
        <w:t> </w:t>
      </w:r>
      <w:r>
        <w:rPr/>
        <w:t>the</w:t>
      </w:r>
      <w:r>
        <w:rPr>
          <w:spacing w:val="-2"/>
        </w:rPr>
        <w:t> </w:t>
      </w:r>
      <w:r>
        <w:rPr/>
        <w:t>extent</w:t>
      </w:r>
      <w:r>
        <w:rPr>
          <w:spacing w:val="-1"/>
        </w:rPr>
        <w:t> </w:t>
      </w:r>
      <w:r>
        <w:rPr/>
        <w:t>to</w:t>
      </w:r>
      <w:r>
        <w:rPr>
          <w:spacing w:val="-3"/>
        </w:rPr>
        <w:t> </w:t>
      </w:r>
      <w:r>
        <w:rPr/>
        <w:t>which</w:t>
      </w:r>
      <w:r>
        <w:rPr>
          <w:spacing w:val="-1"/>
        </w:rPr>
        <w:t> </w:t>
      </w:r>
      <w:r>
        <w:rPr/>
        <w:t>the</w:t>
      </w:r>
      <w:r>
        <w:rPr>
          <w:spacing w:val="-2"/>
        </w:rPr>
        <w:t> </w:t>
      </w:r>
      <w:r>
        <w:rPr/>
        <w:t>manager</w:t>
      </w:r>
      <w:r>
        <w:rPr>
          <w:spacing w:val="-2"/>
        </w:rPr>
        <w:t> </w:t>
      </w:r>
      <w:r>
        <w:rPr/>
        <w:t>achieves</w:t>
      </w:r>
      <w:r>
        <w:rPr>
          <w:spacing w:val="-1"/>
        </w:rPr>
        <w:t> </w:t>
      </w:r>
      <w:r>
        <w:rPr/>
        <w:t>the</w:t>
      </w:r>
      <w:r>
        <w:rPr>
          <w:spacing w:val="-2"/>
        </w:rPr>
        <w:t> </w:t>
      </w:r>
      <w:r>
        <w:rPr/>
        <w:t>output</w:t>
      </w:r>
      <w:r>
        <w:rPr>
          <w:spacing w:val="-1"/>
        </w:rPr>
        <w:t> </w:t>
      </w:r>
      <w:r>
        <w:rPr/>
        <w:t>requirements</w:t>
      </w:r>
      <w:r>
        <w:rPr>
          <w:spacing w:val="-1"/>
        </w:rPr>
        <w:t> </w:t>
      </w:r>
      <w:r>
        <w:rPr/>
        <w:t>of the job, by what he achieves rather than what he does (Redding, 1970; Asmild </w:t>
      </w:r>
      <w:r>
        <w:rPr>
          <w:i/>
        </w:rPr>
        <w:t>et al</w:t>
      </w:r>
      <w:r>
        <w:rPr/>
        <w:t>., 2007). Effectiveness depends on judging observable actions or behaviours leading to the accomplishment of organizational goals (Willcocks, 1992). It shows the success of the resources used in achieving the objectives set (Mandl, Dierx, &amp; Ilzkovitz, 2008).</w:t>
      </w:r>
    </w:p>
    <w:p>
      <w:pPr>
        <w:pStyle w:val="BodyText"/>
        <w:spacing w:before="139"/>
      </w:pPr>
    </w:p>
    <w:p>
      <w:pPr>
        <w:pStyle w:val="BodyText"/>
        <w:spacing w:line="360" w:lineRule="auto"/>
        <w:ind w:left="240" w:right="833"/>
        <w:jc w:val="both"/>
      </w:pPr>
      <w:r>
        <w:rPr/>
        <w:t>According to Mihaiu, Opreana, &amp; Critescu (2010), measuring effectiveness requires: (a) estimating the costs, the resources consumed in the effort; (b) estimating the results, or the outputs; (c) comparing</w:t>
      </w:r>
      <w:r>
        <w:rPr>
          <w:spacing w:val="-3"/>
        </w:rPr>
        <w:t> </w:t>
      </w:r>
      <w:r>
        <w:rPr/>
        <w:t>both. When the results obtained are low, compared to the</w:t>
      </w:r>
      <w:r>
        <w:rPr>
          <w:spacing w:val="-1"/>
        </w:rPr>
        <w:t> </w:t>
      </w:r>
      <w:r>
        <w:rPr/>
        <w:t>resources spent, the organization is regarded as underperforming. In view of this, the public sector has being almost universally designated as ineffective because of the alleged low level of that often characterizes it However, identifying and measuring inputs and outputs in the public sector is generally a difficult operation. It is difficult to assess in money. The difficulty of measuring efficiency in the public sector is largely caused by the inability to quantify accurately the effects (outputs) such as improving quality of human life, providing social and environmental needs.</w:t>
      </w:r>
    </w:p>
    <w:p>
      <w:pPr>
        <w:pStyle w:val="BodyText"/>
        <w:spacing w:before="139"/>
      </w:pPr>
    </w:p>
    <w:p>
      <w:pPr>
        <w:pStyle w:val="BodyText"/>
        <w:spacing w:line="360" w:lineRule="auto"/>
        <w:ind w:left="240" w:right="840"/>
        <w:jc w:val="both"/>
      </w:pPr>
      <w:r>
        <w:rPr/>
        <w:t>Mandl</w:t>
      </w:r>
      <w:r>
        <w:rPr>
          <w:spacing w:val="-1"/>
        </w:rPr>
        <w:t> </w:t>
      </w:r>
      <w:r>
        <w:rPr>
          <w:i/>
        </w:rPr>
        <w:t>et</w:t>
      </w:r>
      <w:r>
        <w:rPr>
          <w:i/>
          <w:spacing w:val="-1"/>
        </w:rPr>
        <w:t> </w:t>
      </w:r>
      <w:r>
        <w:rPr>
          <w:i/>
        </w:rPr>
        <w:t>al</w:t>
      </w:r>
      <w:r>
        <w:rPr/>
        <w:t>.</w:t>
      </w:r>
      <w:r>
        <w:rPr>
          <w:spacing w:val="-1"/>
        </w:rPr>
        <w:t> </w:t>
      </w:r>
      <w:r>
        <w:rPr/>
        <w:t>(2008)</w:t>
      </w:r>
      <w:r>
        <w:rPr>
          <w:spacing w:val="-2"/>
        </w:rPr>
        <w:t> </w:t>
      </w:r>
      <w:r>
        <w:rPr/>
        <w:t>distinguish</w:t>
      </w:r>
      <w:r>
        <w:rPr>
          <w:spacing w:val="-1"/>
        </w:rPr>
        <w:t> </w:t>
      </w:r>
      <w:r>
        <w:rPr/>
        <w:t>between</w:t>
      </w:r>
      <w:r>
        <w:rPr>
          <w:spacing w:val="-1"/>
        </w:rPr>
        <w:t> </w:t>
      </w:r>
      <w:r>
        <w:rPr/>
        <w:t>two</w:t>
      </w:r>
      <w:r>
        <w:rPr>
          <w:spacing w:val="-1"/>
        </w:rPr>
        <w:t> </w:t>
      </w:r>
      <w:r>
        <w:rPr/>
        <w:t>types</w:t>
      </w:r>
      <w:r>
        <w:rPr>
          <w:spacing w:val="-1"/>
        </w:rPr>
        <w:t> </w:t>
      </w:r>
      <w:r>
        <w:rPr/>
        <w:t>of</w:t>
      </w:r>
      <w:r>
        <w:rPr>
          <w:spacing w:val="-2"/>
        </w:rPr>
        <w:t> </w:t>
      </w:r>
      <w:r>
        <w:rPr/>
        <w:t>efficiency,</w:t>
      </w:r>
      <w:r>
        <w:rPr>
          <w:spacing w:val="-1"/>
        </w:rPr>
        <w:t> </w:t>
      </w:r>
      <w:r>
        <w:rPr/>
        <w:t>namely:</w:t>
      </w:r>
      <w:r>
        <w:rPr>
          <w:spacing w:val="-1"/>
        </w:rPr>
        <w:t> </w:t>
      </w:r>
      <w:r>
        <w:rPr/>
        <w:t>technical and</w:t>
      </w:r>
      <w:r>
        <w:rPr>
          <w:spacing w:val="-1"/>
        </w:rPr>
        <w:t> </w:t>
      </w:r>
      <w:r>
        <w:rPr/>
        <w:t>allocative efficiency. Technical efficiency measures the pure relation between inputs and outputs.</w:t>
      </w:r>
      <w:r>
        <w:rPr>
          <w:spacing w:val="40"/>
        </w:rPr>
        <w:t> </w:t>
      </w:r>
      <w:r>
        <w:rPr/>
        <w:t>Technical efficiency gains are a movement towards best practice. However, not every form of technical efficiency makes economic sense, and this is captured by allocative efficiency, which introduces costs and benefits. Allocative efficiency reflects the link between the optimal combination of inputs taking into account costs and benefits</w:t>
      </w:r>
      <w:r>
        <w:rPr>
          <w:spacing w:val="-3"/>
        </w:rPr>
        <w:t> </w:t>
      </w:r>
      <w:r>
        <w:rPr/>
        <w:t>and the output achieved. Thus, the measurement</w:t>
      </w:r>
      <w:r>
        <w:rPr>
          <w:spacing w:val="1"/>
        </w:rPr>
        <w:t> </w:t>
      </w:r>
      <w:r>
        <w:rPr/>
        <w:t>of</w:t>
      </w:r>
      <w:r>
        <w:rPr>
          <w:spacing w:val="2"/>
        </w:rPr>
        <w:t> </w:t>
      </w:r>
      <w:r>
        <w:rPr/>
        <w:t>allocative</w:t>
      </w:r>
      <w:r>
        <w:rPr>
          <w:spacing w:val="2"/>
        </w:rPr>
        <w:t> </w:t>
      </w:r>
      <w:r>
        <w:rPr/>
        <w:t>efficiency</w:t>
      </w:r>
      <w:r>
        <w:rPr>
          <w:spacing w:val="-2"/>
        </w:rPr>
        <w:t> </w:t>
      </w:r>
      <w:r>
        <w:rPr/>
        <w:t>requires</w:t>
      </w:r>
      <w:r>
        <w:rPr>
          <w:spacing w:val="3"/>
        </w:rPr>
        <w:t> </w:t>
      </w:r>
      <w:r>
        <w:rPr/>
        <w:t>in-depth</w:t>
      </w:r>
      <w:r>
        <w:rPr>
          <w:spacing w:val="4"/>
        </w:rPr>
        <w:t> </w:t>
      </w:r>
      <w:r>
        <w:rPr/>
        <w:t>analyses</w:t>
      </w:r>
      <w:r>
        <w:rPr>
          <w:spacing w:val="3"/>
        </w:rPr>
        <w:t> </w:t>
      </w:r>
      <w:r>
        <w:rPr/>
        <w:t>of</w:t>
      </w:r>
      <w:r>
        <w:rPr>
          <w:spacing w:val="2"/>
        </w:rPr>
        <w:t> </w:t>
      </w:r>
      <w:r>
        <w:rPr/>
        <w:t>the</w:t>
      </w:r>
      <w:r>
        <w:rPr>
          <w:spacing w:val="3"/>
        </w:rPr>
        <w:t> </w:t>
      </w:r>
      <w:r>
        <w:rPr/>
        <w:t>area</w:t>
      </w:r>
      <w:r>
        <w:rPr>
          <w:spacing w:val="2"/>
        </w:rPr>
        <w:t> </w:t>
      </w:r>
      <w:r>
        <w:rPr/>
        <w:t>in</w:t>
      </w:r>
      <w:r>
        <w:rPr>
          <w:spacing w:val="4"/>
        </w:rPr>
        <w:t> </w:t>
      </w:r>
      <w:r>
        <w:rPr/>
        <w:t>question</w:t>
      </w:r>
      <w:r>
        <w:rPr>
          <w:spacing w:val="3"/>
        </w:rPr>
        <w:t> </w:t>
      </w:r>
      <w:r>
        <w:rPr/>
        <w:t>as</w:t>
      </w:r>
      <w:r>
        <w:rPr>
          <w:spacing w:val="3"/>
        </w:rPr>
        <w:t> </w:t>
      </w:r>
      <w:r>
        <w:rPr/>
        <w:t>well</w:t>
      </w:r>
      <w:r>
        <w:rPr>
          <w:spacing w:val="5"/>
        </w:rPr>
        <w:t> </w:t>
      </w:r>
      <w:r>
        <w:rPr>
          <w:spacing w:val="-5"/>
        </w:rPr>
        <w:t>as</w:t>
      </w:r>
    </w:p>
    <w:p>
      <w:pPr>
        <w:spacing w:after="0" w:line="360" w:lineRule="auto"/>
        <w:jc w:val="both"/>
        <w:sectPr>
          <w:pgSz w:w="12240" w:h="15840"/>
          <w:pgMar w:header="0" w:footer="1036" w:top="1360" w:bottom="1220" w:left="1200" w:right="600"/>
        </w:sectPr>
      </w:pPr>
    </w:p>
    <w:p>
      <w:pPr>
        <w:pStyle w:val="BodyText"/>
        <w:spacing w:line="360" w:lineRule="auto" w:before="74"/>
        <w:ind w:left="240" w:right="839"/>
        <w:jc w:val="both"/>
      </w:pPr>
      <w:r>
        <w:rPr/>
        <w:t>information on the broad country-specific strategies and most notably information on input</w:t>
      </w:r>
      <w:r>
        <w:rPr>
          <w:spacing w:val="40"/>
        </w:rPr>
        <w:t> </w:t>
      </w:r>
      <w:r>
        <w:rPr/>
        <w:t>prices (Herrerea, 2005).</w:t>
      </w:r>
    </w:p>
    <w:p>
      <w:pPr>
        <w:pStyle w:val="BodyText"/>
        <w:spacing w:before="137"/>
      </w:pPr>
    </w:p>
    <w:p>
      <w:pPr>
        <w:pStyle w:val="BodyText"/>
        <w:spacing w:line="360" w:lineRule="auto"/>
        <w:ind w:left="240" w:right="838"/>
        <w:jc w:val="both"/>
      </w:pPr>
      <w:r>
        <w:rPr/>
        <w:t>Furthermore, Mandl </w:t>
      </w:r>
      <w:r>
        <w:rPr>
          <w:i/>
        </w:rPr>
        <w:t>et al</w:t>
      </w:r>
      <w:r>
        <w:rPr/>
        <w:t>. (2008) stress that effectiveness implies a relationship between outputs and outcomes. In this sense the distinction between the output and the outcome must be made. For example, for housing, an output is represented by the degree of house ownership, and the outcome can be the level of public housing development of the active population of that country. Thus, the effects resulted from the implementation of a program (outcomes) are influenced by</w:t>
      </w:r>
      <w:r>
        <w:rPr>
          <w:spacing w:val="40"/>
        </w:rPr>
        <w:t> </w:t>
      </w:r>
      <w:r>
        <w:rPr/>
        <w:t>the results (outputs), as</w:t>
      </w:r>
      <w:r>
        <w:rPr>
          <w:spacing w:val="-1"/>
        </w:rPr>
        <w:t> </w:t>
      </w:r>
      <w:r>
        <w:rPr/>
        <w:t>well as by</w:t>
      </w:r>
      <w:r>
        <w:rPr>
          <w:spacing w:val="-6"/>
        </w:rPr>
        <w:t> </w:t>
      </w:r>
      <w:r>
        <w:rPr/>
        <w:t>other external factors. Therefore, effectiveness, illustrating</w:t>
      </w:r>
      <w:r>
        <w:rPr>
          <w:spacing w:val="-1"/>
        </w:rPr>
        <w:t> </w:t>
      </w:r>
      <w:r>
        <w:rPr/>
        <w:t>the success with which resources were used in order to achieve the objectives pursued, is harder to achieve than efficiency, since the latter is not influenced by outside factors (OECD, 2004).</w:t>
      </w:r>
    </w:p>
    <w:p>
      <w:pPr>
        <w:pStyle w:val="BodyText"/>
        <w:spacing w:before="37"/>
      </w:pPr>
    </w:p>
    <w:p>
      <w:pPr>
        <w:pStyle w:val="BodyText"/>
        <w:ind w:left="240"/>
        <w:jc w:val="both"/>
      </w:pPr>
      <w:r>
        <w:rPr/>
        <w:t>The</w:t>
      </w:r>
      <w:r>
        <w:rPr>
          <w:spacing w:val="-5"/>
        </w:rPr>
        <w:t> </w:t>
      </w:r>
      <w:r>
        <w:rPr/>
        <w:t>direct</w:t>
      </w:r>
      <w:r>
        <w:rPr>
          <w:spacing w:val="-1"/>
        </w:rPr>
        <w:t> </w:t>
      </w:r>
      <w:r>
        <w:rPr/>
        <w:t>factors of</w:t>
      </w:r>
      <w:r>
        <w:rPr>
          <w:spacing w:val="-1"/>
        </w:rPr>
        <w:t> </w:t>
      </w:r>
      <w:r>
        <w:rPr/>
        <w:t>influence</w:t>
      </w:r>
      <w:r>
        <w:rPr>
          <w:spacing w:val="-2"/>
        </w:rPr>
        <w:t> </w:t>
      </w:r>
      <w:r>
        <w:rPr/>
        <w:t>of</w:t>
      </w:r>
      <w:r>
        <w:rPr>
          <w:spacing w:val="1"/>
        </w:rPr>
        <w:t> </w:t>
      </w:r>
      <w:r>
        <w:rPr/>
        <w:t>efficiency</w:t>
      </w:r>
      <w:r>
        <w:rPr>
          <w:spacing w:val="-4"/>
        </w:rPr>
        <w:t> </w:t>
      </w:r>
      <w:r>
        <w:rPr/>
        <w:t>are</w:t>
      </w:r>
      <w:r>
        <w:rPr>
          <w:spacing w:val="2"/>
        </w:rPr>
        <w:t> </w:t>
      </w:r>
      <w:r>
        <w:rPr/>
        <w:t>as</w:t>
      </w:r>
      <w:r>
        <w:rPr>
          <w:spacing w:val="2"/>
        </w:rPr>
        <w:t> </w:t>
      </w:r>
      <w:r>
        <w:rPr>
          <w:spacing w:val="-2"/>
        </w:rPr>
        <w:t>follows:</w:t>
      </w:r>
    </w:p>
    <w:p>
      <w:pPr>
        <w:pStyle w:val="ListParagraph"/>
        <w:numPr>
          <w:ilvl w:val="0"/>
          <w:numId w:val="8"/>
        </w:numPr>
        <w:tabs>
          <w:tab w:pos="960" w:val="left" w:leader="none"/>
        </w:tabs>
        <w:spacing w:line="360" w:lineRule="auto" w:before="137" w:after="0"/>
        <w:ind w:left="960" w:right="836" w:hanging="360"/>
        <w:jc w:val="both"/>
        <w:rPr>
          <w:sz w:val="24"/>
        </w:rPr>
      </w:pPr>
      <w:r>
        <w:rPr>
          <w:sz w:val="24"/>
        </w:rPr>
        <w:t>The inputs. In the public sector the resources are much harder to quantify than in the private</w:t>
      </w:r>
      <w:r>
        <w:rPr>
          <w:spacing w:val="-2"/>
          <w:sz w:val="24"/>
        </w:rPr>
        <w:t> </w:t>
      </w:r>
      <w:r>
        <w:rPr>
          <w:sz w:val="24"/>
        </w:rPr>
        <w:t>sector, because</w:t>
      </w:r>
      <w:r>
        <w:rPr>
          <w:spacing w:val="-2"/>
          <w:sz w:val="24"/>
        </w:rPr>
        <w:t> </w:t>
      </w:r>
      <w:r>
        <w:rPr>
          <w:sz w:val="24"/>
        </w:rPr>
        <w:t>most times,</w:t>
      </w:r>
      <w:r>
        <w:rPr>
          <w:spacing w:val="-1"/>
          <w:sz w:val="24"/>
        </w:rPr>
        <w:t> </w:t>
      </w:r>
      <w:r>
        <w:rPr>
          <w:sz w:val="24"/>
        </w:rPr>
        <w:t>the</w:t>
      </w:r>
      <w:r>
        <w:rPr>
          <w:spacing w:val="-2"/>
          <w:sz w:val="24"/>
        </w:rPr>
        <w:t> </w:t>
      </w:r>
      <w:r>
        <w:rPr>
          <w:sz w:val="24"/>
        </w:rPr>
        <w:t>public</w:t>
      </w:r>
      <w:r>
        <w:rPr>
          <w:spacing w:val="-2"/>
          <w:sz w:val="24"/>
        </w:rPr>
        <w:t> </w:t>
      </w:r>
      <w:r>
        <w:rPr>
          <w:sz w:val="24"/>
        </w:rPr>
        <w:t>services</w:t>
      </w:r>
      <w:r>
        <w:rPr>
          <w:spacing w:val="-1"/>
          <w:sz w:val="24"/>
        </w:rPr>
        <w:t> </w:t>
      </w:r>
      <w:r>
        <w:rPr>
          <w:sz w:val="24"/>
        </w:rPr>
        <w:t>overlap and</w:t>
      </w:r>
      <w:r>
        <w:rPr>
          <w:spacing w:val="-1"/>
          <w:sz w:val="24"/>
        </w:rPr>
        <w:t> </w:t>
      </w:r>
      <w:r>
        <w:rPr>
          <w:sz w:val="24"/>
        </w:rPr>
        <w:t>resources</w:t>
      </w:r>
      <w:r>
        <w:rPr>
          <w:spacing w:val="-1"/>
          <w:sz w:val="24"/>
        </w:rPr>
        <w:t> </w:t>
      </w:r>
      <w:r>
        <w:rPr>
          <w:sz w:val="24"/>
        </w:rPr>
        <w:t>from</w:t>
      </w:r>
      <w:r>
        <w:rPr>
          <w:spacing w:val="-1"/>
          <w:sz w:val="24"/>
        </w:rPr>
        <w:t> </w:t>
      </w:r>
      <w:r>
        <w:rPr>
          <w:sz w:val="24"/>
        </w:rPr>
        <w:t>several sources are used. But, in general, the inputs are given by the expenses incurred for the </w:t>
      </w:r>
      <w:r>
        <w:rPr>
          <w:spacing w:val="-2"/>
          <w:sz w:val="24"/>
        </w:rPr>
        <w:t>project.</w:t>
      </w:r>
    </w:p>
    <w:p>
      <w:pPr>
        <w:pStyle w:val="ListParagraph"/>
        <w:numPr>
          <w:ilvl w:val="0"/>
          <w:numId w:val="8"/>
        </w:numPr>
        <w:tabs>
          <w:tab w:pos="960" w:val="left" w:leader="none"/>
        </w:tabs>
        <w:spacing w:line="360" w:lineRule="auto" w:before="1" w:after="0"/>
        <w:ind w:left="960" w:right="839" w:hanging="360"/>
        <w:jc w:val="both"/>
        <w:rPr>
          <w:sz w:val="24"/>
        </w:rPr>
      </w:pPr>
      <w:r>
        <w:rPr>
          <w:sz w:val="24"/>
        </w:rPr>
        <w:t>The outputs. They are more difficult to quantify in the public sector than the inputs, because they</w:t>
      </w:r>
      <w:r>
        <w:rPr>
          <w:spacing w:val="-1"/>
          <w:sz w:val="24"/>
        </w:rPr>
        <w:t> </w:t>
      </w:r>
      <w:r>
        <w:rPr>
          <w:sz w:val="24"/>
        </w:rPr>
        <w:t>can have both an economic and a social dimension. In the private sector the outputs have a market value; they are easily evaluated, while in the public sector this process is cumbersome, and involves much more forecasting. To evaluate the outputs from the public sector, we must first define some indicators that will be evaluated, and through which a level of efficiency will be determined. The mechanism is complicated and kind of vague in some areas (Mandl </w:t>
      </w:r>
      <w:r>
        <w:rPr>
          <w:i/>
          <w:sz w:val="24"/>
        </w:rPr>
        <w:t>et al</w:t>
      </w:r>
      <w:r>
        <w:rPr>
          <w:sz w:val="24"/>
        </w:rPr>
        <w:t>., 2008).</w:t>
      </w:r>
    </w:p>
    <w:p>
      <w:pPr>
        <w:pStyle w:val="BodyText"/>
        <w:spacing w:before="138"/>
      </w:pPr>
    </w:p>
    <w:p>
      <w:pPr>
        <w:pStyle w:val="BodyText"/>
        <w:spacing w:line="360" w:lineRule="auto"/>
        <w:ind w:left="240" w:right="837"/>
        <w:jc w:val="both"/>
      </w:pPr>
      <w:r>
        <w:rPr/>
        <w:t>Effectiveness on the other hand has as influence factors; the outputs, the outcomes and the environmental factors. The latter, the environmental factors (such as lifestyle and various socio- economic influences) exercise a major influence over the effectiveness. The quality of the public administration is a factor that affects both the efficiency with which the public money are used and</w:t>
      </w:r>
      <w:r>
        <w:rPr>
          <w:spacing w:val="20"/>
        </w:rPr>
        <w:t> </w:t>
      </w:r>
      <w:r>
        <w:rPr/>
        <w:t>the</w:t>
      </w:r>
      <w:r>
        <w:rPr>
          <w:spacing w:val="19"/>
        </w:rPr>
        <w:t> </w:t>
      </w:r>
      <w:r>
        <w:rPr/>
        <w:t>effectiveness.</w:t>
      </w:r>
      <w:r>
        <w:rPr>
          <w:spacing w:val="21"/>
        </w:rPr>
        <w:t> </w:t>
      </w:r>
      <w:r>
        <w:rPr/>
        <w:t>Corruption</w:t>
      </w:r>
      <w:r>
        <w:rPr>
          <w:spacing w:val="20"/>
        </w:rPr>
        <w:t> </w:t>
      </w:r>
      <w:r>
        <w:rPr/>
        <w:t>is</w:t>
      </w:r>
      <w:r>
        <w:rPr>
          <w:spacing w:val="22"/>
        </w:rPr>
        <w:t> </w:t>
      </w:r>
      <w:r>
        <w:rPr/>
        <w:t>another</w:t>
      </w:r>
      <w:r>
        <w:rPr>
          <w:spacing w:val="19"/>
        </w:rPr>
        <w:t> </w:t>
      </w:r>
      <w:r>
        <w:rPr/>
        <w:t>external</w:t>
      </w:r>
      <w:r>
        <w:rPr>
          <w:spacing w:val="21"/>
        </w:rPr>
        <w:t> </w:t>
      </w:r>
      <w:r>
        <w:rPr/>
        <w:t>factor</w:t>
      </w:r>
      <w:r>
        <w:rPr>
          <w:spacing w:val="20"/>
        </w:rPr>
        <w:t> </w:t>
      </w:r>
      <w:r>
        <w:rPr/>
        <w:t>that</w:t>
      </w:r>
      <w:r>
        <w:rPr>
          <w:spacing w:val="21"/>
        </w:rPr>
        <w:t> </w:t>
      </w:r>
      <w:r>
        <w:rPr/>
        <w:t>influences</w:t>
      </w:r>
      <w:r>
        <w:rPr>
          <w:spacing w:val="20"/>
        </w:rPr>
        <w:t> </w:t>
      </w:r>
      <w:r>
        <w:rPr/>
        <w:t>the</w:t>
      </w:r>
      <w:r>
        <w:rPr>
          <w:spacing w:val="20"/>
        </w:rPr>
        <w:t> </w:t>
      </w:r>
      <w:r>
        <w:rPr/>
        <w:t>effects</w:t>
      </w:r>
      <w:r>
        <w:rPr>
          <w:spacing w:val="21"/>
        </w:rPr>
        <w:t> </w:t>
      </w:r>
      <w:r>
        <w:rPr/>
        <w:t>of</w:t>
      </w:r>
      <w:r>
        <w:rPr>
          <w:spacing w:val="20"/>
        </w:rPr>
        <w:t> </w:t>
      </w:r>
      <w:r>
        <w:rPr>
          <w:spacing w:val="-2"/>
        </w:rPr>
        <w:t>public</w:t>
      </w:r>
    </w:p>
    <w:p>
      <w:pPr>
        <w:spacing w:after="0" w:line="360" w:lineRule="auto"/>
        <w:jc w:val="both"/>
        <w:sectPr>
          <w:pgSz w:w="12240" w:h="15840"/>
          <w:pgMar w:header="0" w:footer="1036" w:top="1360" w:bottom="1220" w:left="1200" w:right="600"/>
        </w:sectPr>
      </w:pPr>
    </w:p>
    <w:p>
      <w:pPr>
        <w:pStyle w:val="BodyText"/>
        <w:spacing w:line="360" w:lineRule="auto" w:before="74"/>
        <w:ind w:left="240" w:right="843"/>
        <w:jc w:val="both"/>
      </w:pPr>
      <w:r>
        <w:rPr/>
        <w:t>policies. The effects covered by a project (the outcomes) are often achieved within a longer horizon, and more outputs are needed in order to achieve an outcome (Mandl </w:t>
      </w:r>
      <w:r>
        <w:rPr>
          <w:i/>
        </w:rPr>
        <w:t>et al</w:t>
      </w:r>
      <w:r>
        <w:rPr/>
        <w:t>., 2008).</w:t>
      </w:r>
    </w:p>
    <w:p>
      <w:pPr>
        <w:pStyle w:val="BodyText"/>
        <w:spacing w:before="137"/>
      </w:pPr>
    </w:p>
    <w:p>
      <w:pPr>
        <w:pStyle w:val="BodyText"/>
        <w:spacing w:line="360" w:lineRule="auto"/>
        <w:ind w:left="298" w:right="844"/>
        <w:jc w:val="both"/>
      </w:pPr>
      <w:r>
        <w:rPr/>
        <w:t>In summary, measures aimed at monitoring efficiency are mainly concerned with the relationship between input and output variables while those aimed at monitoring effectiveness are concerned with the extent to which achieved outcomes are compared with stated objectives. At a strategic level, for example, the public sector; the appropriateness of chosen objectives against policy direction are evaluated. These relationships are shown in Figure 2.3.</w:t>
      </w:r>
    </w:p>
    <w:p>
      <w:pPr>
        <w:pStyle w:val="BodyText"/>
        <w:rPr>
          <w:sz w:val="19"/>
        </w:rPr>
      </w:pPr>
      <w:r>
        <w:rPr/>
        <mc:AlternateContent>
          <mc:Choice Requires="wps">
            <w:drawing>
              <wp:anchor distT="0" distB="0" distL="0" distR="0" allowOverlap="1" layoutInCell="1" locked="0" behindDoc="1" simplePos="0" relativeHeight="487590400">
                <wp:simplePos x="0" y="0"/>
                <wp:positionH relativeFrom="page">
                  <wp:posOffset>1209675</wp:posOffset>
                </wp:positionH>
                <wp:positionV relativeFrom="paragraph">
                  <wp:posOffset>154476</wp:posOffset>
                </wp:positionV>
                <wp:extent cx="5356225" cy="2082800"/>
                <wp:effectExtent l="0" t="0" r="0" b="0"/>
                <wp:wrapTopAndBottom/>
                <wp:docPr id="38" name="Group 38"/>
                <wp:cNvGraphicFramePr>
                  <a:graphicFrameLocks/>
                </wp:cNvGraphicFramePr>
                <a:graphic>
                  <a:graphicData uri="http://schemas.microsoft.com/office/word/2010/wordprocessingGroup">
                    <wpg:wgp>
                      <wpg:cNvPr id="38" name="Group 38"/>
                      <wpg:cNvGrpSpPr/>
                      <wpg:grpSpPr>
                        <a:xfrm>
                          <a:off x="0" y="0"/>
                          <a:ext cx="5356225" cy="2082800"/>
                          <a:chExt cx="5356225" cy="2082800"/>
                        </a:xfrm>
                      </wpg:grpSpPr>
                      <wps:wsp>
                        <wps:cNvPr id="39" name="Graphic 39"/>
                        <wps:cNvSpPr/>
                        <wps:spPr>
                          <a:xfrm>
                            <a:off x="1355725" y="25399"/>
                            <a:ext cx="1638300" cy="429259"/>
                          </a:xfrm>
                          <a:custGeom>
                            <a:avLst/>
                            <a:gdLst/>
                            <a:ahLst/>
                            <a:cxnLst/>
                            <a:rect l="l" t="t" r="r" b="b"/>
                            <a:pathLst>
                              <a:path w="1638300" h="429259">
                                <a:moveTo>
                                  <a:pt x="1638300" y="0"/>
                                </a:moveTo>
                                <a:lnTo>
                                  <a:pt x="1606550" y="0"/>
                                </a:lnTo>
                                <a:lnTo>
                                  <a:pt x="1606550" y="19050"/>
                                </a:lnTo>
                                <a:lnTo>
                                  <a:pt x="1619250" y="19050"/>
                                </a:lnTo>
                                <a:lnTo>
                                  <a:pt x="1619250" y="38100"/>
                                </a:lnTo>
                                <a:lnTo>
                                  <a:pt x="1619250" y="390525"/>
                                </a:lnTo>
                                <a:lnTo>
                                  <a:pt x="1619250" y="391160"/>
                                </a:lnTo>
                                <a:lnTo>
                                  <a:pt x="38100" y="391160"/>
                                </a:lnTo>
                                <a:lnTo>
                                  <a:pt x="38100" y="390525"/>
                                </a:lnTo>
                                <a:lnTo>
                                  <a:pt x="1600200" y="390525"/>
                                </a:lnTo>
                                <a:lnTo>
                                  <a:pt x="1619250" y="390525"/>
                                </a:lnTo>
                                <a:lnTo>
                                  <a:pt x="1619250" y="38100"/>
                                </a:lnTo>
                                <a:lnTo>
                                  <a:pt x="1600200" y="38100"/>
                                </a:lnTo>
                                <a:lnTo>
                                  <a:pt x="1600200" y="384175"/>
                                </a:lnTo>
                                <a:lnTo>
                                  <a:pt x="38100" y="384175"/>
                                </a:lnTo>
                                <a:lnTo>
                                  <a:pt x="19050" y="384175"/>
                                </a:lnTo>
                                <a:lnTo>
                                  <a:pt x="19050" y="19050"/>
                                </a:lnTo>
                                <a:lnTo>
                                  <a:pt x="6350" y="19050"/>
                                </a:lnTo>
                                <a:lnTo>
                                  <a:pt x="6350" y="0"/>
                                </a:lnTo>
                                <a:lnTo>
                                  <a:pt x="0" y="0"/>
                                </a:lnTo>
                                <a:lnTo>
                                  <a:pt x="0" y="19050"/>
                                </a:lnTo>
                                <a:lnTo>
                                  <a:pt x="0" y="410210"/>
                                </a:lnTo>
                                <a:lnTo>
                                  <a:pt x="0" y="429260"/>
                                </a:lnTo>
                                <a:lnTo>
                                  <a:pt x="1638300" y="429260"/>
                                </a:lnTo>
                                <a:lnTo>
                                  <a:pt x="1638300" y="410210"/>
                                </a:lnTo>
                                <a:lnTo>
                                  <a:pt x="1619250" y="410210"/>
                                </a:lnTo>
                                <a:lnTo>
                                  <a:pt x="1619250" y="409575"/>
                                </a:lnTo>
                                <a:lnTo>
                                  <a:pt x="1638300" y="409575"/>
                                </a:lnTo>
                                <a:lnTo>
                                  <a:pt x="1638300" y="19050"/>
                                </a:lnTo>
                                <a:lnTo>
                                  <a:pt x="1638300" y="0"/>
                                </a:lnTo>
                                <a:close/>
                              </a:path>
                            </a:pathLst>
                          </a:custGeom>
                          <a:solidFill>
                            <a:srgbClr val="7E7E7E">
                              <a:alpha val="50195"/>
                            </a:srgbClr>
                          </a:solidFill>
                        </wps:spPr>
                        <wps:bodyPr wrap="square" lIns="0" tIns="0" rIns="0" bIns="0" rtlCol="0">
                          <a:prstTxWarp prst="textNoShape">
                            <a:avLst/>
                          </a:prstTxWarp>
                          <a:noAutofit/>
                        </wps:bodyPr>
                      </wps:wsp>
                      <wps:wsp>
                        <wps:cNvPr id="40" name="Graphic 40"/>
                        <wps:cNvSpPr/>
                        <wps:spPr>
                          <a:xfrm>
                            <a:off x="1362075" y="19050"/>
                            <a:ext cx="1600200" cy="390525"/>
                          </a:xfrm>
                          <a:custGeom>
                            <a:avLst/>
                            <a:gdLst/>
                            <a:ahLst/>
                            <a:cxnLst/>
                            <a:rect l="l" t="t" r="r" b="b"/>
                            <a:pathLst>
                              <a:path w="1600200" h="390525">
                                <a:moveTo>
                                  <a:pt x="0" y="390525"/>
                                </a:moveTo>
                                <a:lnTo>
                                  <a:pt x="1600200" y="390525"/>
                                </a:lnTo>
                                <a:lnTo>
                                  <a:pt x="1600200" y="0"/>
                                </a:lnTo>
                                <a:lnTo>
                                  <a:pt x="0" y="0"/>
                                </a:lnTo>
                                <a:lnTo>
                                  <a:pt x="0" y="390525"/>
                                </a:lnTo>
                                <a:close/>
                              </a:path>
                            </a:pathLst>
                          </a:custGeom>
                          <a:ln w="38100">
                            <a:solidFill>
                              <a:srgbClr val="F1F1F1"/>
                            </a:solidFill>
                            <a:prstDash val="solid"/>
                          </a:ln>
                        </wps:spPr>
                        <wps:bodyPr wrap="square" lIns="0" tIns="0" rIns="0" bIns="0" rtlCol="0">
                          <a:prstTxWarp prst="textNoShape">
                            <a:avLst/>
                          </a:prstTxWarp>
                          <a:noAutofit/>
                        </wps:bodyPr>
                      </wps:wsp>
                      <wps:wsp>
                        <wps:cNvPr id="41" name="Graphic 41"/>
                        <wps:cNvSpPr/>
                        <wps:spPr>
                          <a:xfrm>
                            <a:off x="1355725" y="577849"/>
                            <a:ext cx="1638300" cy="400050"/>
                          </a:xfrm>
                          <a:custGeom>
                            <a:avLst/>
                            <a:gdLst/>
                            <a:ahLst/>
                            <a:cxnLst/>
                            <a:rect l="l" t="t" r="r" b="b"/>
                            <a:pathLst>
                              <a:path w="1638300" h="400050">
                                <a:moveTo>
                                  <a:pt x="1638300" y="0"/>
                                </a:moveTo>
                                <a:lnTo>
                                  <a:pt x="1606550" y="0"/>
                                </a:lnTo>
                                <a:lnTo>
                                  <a:pt x="1606550" y="19050"/>
                                </a:lnTo>
                                <a:lnTo>
                                  <a:pt x="1619250" y="19050"/>
                                </a:lnTo>
                                <a:lnTo>
                                  <a:pt x="1619250" y="38100"/>
                                </a:lnTo>
                                <a:lnTo>
                                  <a:pt x="1600200" y="38100"/>
                                </a:lnTo>
                                <a:lnTo>
                                  <a:pt x="1600200" y="355600"/>
                                </a:lnTo>
                                <a:lnTo>
                                  <a:pt x="38100" y="355600"/>
                                </a:lnTo>
                                <a:lnTo>
                                  <a:pt x="19050" y="355600"/>
                                </a:lnTo>
                                <a:lnTo>
                                  <a:pt x="19050" y="19050"/>
                                </a:lnTo>
                                <a:lnTo>
                                  <a:pt x="6350" y="19050"/>
                                </a:lnTo>
                                <a:lnTo>
                                  <a:pt x="6350" y="0"/>
                                </a:lnTo>
                                <a:lnTo>
                                  <a:pt x="0" y="0"/>
                                </a:lnTo>
                                <a:lnTo>
                                  <a:pt x="0" y="19050"/>
                                </a:lnTo>
                                <a:lnTo>
                                  <a:pt x="0" y="381000"/>
                                </a:lnTo>
                                <a:lnTo>
                                  <a:pt x="0" y="400050"/>
                                </a:lnTo>
                                <a:lnTo>
                                  <a:pt x="1638300" y="400050"/>
                                </a:lnTo>
                                <a:lnTo>
                                  <a:pt x="1638300" y="381000"/>
                                </a:lnTo>
                                <a:lnTo>
                                  <a:pt x="1638300" y="19050"/>
                                </a:lnTo>
                                <a:lnTo>
                                  <a:pt x="1638300" y="0"/>
                                </a:lnTo>
                                <a:close/>
                              </a:path>
                            </a:pathLst>
                          </a:custGeom>
                          <a:solidFill>
                            <a:srgbClr val="7E7E7E">
                              <a:alpha val="50195"/>
                            </a:srgbClr>
                          </a:solidFill>
                        </wps:spPr>
                        <wps:bodyPr wrap="square" lIns="0" tIns="0" rIns="0" bIns="0" rtlCol="0">
                          <a:prstTxWarp prst="textNoShape">
                            <a:avLst/>
                          </a:prstTxWarp>
                          <a:noAutofit/>
                        </wps:bodyPr>
                      </wps:wsp>
                      <wps:wsp>
                        <wps:cNvPr id="42" name="Graphic 42"/>
                        <wps:cNvSpPr/>
                        <wps:spPr>
                          <a:xfrm>
                            <a:off x="1362075" y="571500"/>
                            <a:ext cx="1600200" cy="361950"/>
                          </a:xfrm>
                          <a:custGeom>
                            <a:avLst/>
                            <a:gdLst/>
                            <a:ahLst/>
                            <a:cxnLst/>
                            <a:rect l="l" t="t" r="r" b="b"/>
                            <a:pathLst>
                              <a:path w="1600200" h="361950">
                                <a:moveTo>
                                  <a:pt x="0" y="361950"/>
                                </a:moveTo>
                                <a:lnTo>
                                  <a:pt x="1600200" y="361950"/>
                                </a:lnTo>
                                <a:lnTo>
                                  <a:pt x="1600200" y="0"/>
                                </a:lnTo>
                                <a:lnTo>
                                  <a:pt x="0" y="0"/>
                                </a:lnTo>
                                <a:lnTo>
                                  <a:pt x="0" y="361950"/>
                                </a:lnTo>
                                <a:close/>
                              </a:path>
                            </a:pathLst>
                          </a:custGeom>
                          <a:ln w="38100">
                            <a:solidFill>
                              <a:srgbClr val="F1F1F1"/>
                            </a:solidFill>
                            <a:prstDash val="solid"/>
                          </a:ln>
                        </wps:spPr>
                        <wps:bodyPr wrap="square" lIns="0" tIns="0" rIns="0" bIns="0" rtlCol="0">
                          <a:prstTxWarp prst="textNoShape">
                            <a:avLst/>
                          </a:prstTxWarp>
                          <a:noAutofit/>
                        </wps:bodyPr>
                      </wps:wsp>
                      <wps:wsp>
                        <wps:cNvPr id="43" name="Graphic 43"/>
                        <wps:cNvSpPr/>
                        <wps:spPr>
                          <a:xfrm>
                            <a:off x="1355725" y="1140459"/>
                            <a:ext cx="1638300" cy="400050"/>
                          </a:xfrm>
                          <a:custGeom>
                            <a:avLst/>
                            <a:gdLst/>
                            <a:ahLst/>
                            <a:cxnLst/>
                            <a:rect l="l" t="t" r="r" b="b"/>
                            <a:pathLst>
                              <a:path w="1638300" h="400050">
                                <a:moveTo>
                                  <a:pt x="1638300" y="0"/>
                                </a:moveTo>
                                <a:lnTo>
                                  <a:pt x="1606550" y="0"/>
                                </a:lnTo>
                                <a:lnTo>
                                  <a:pt x="1606550" y="19050"/>
                                </a:lnTo>
                                <a:lnTo>
                                  <a:pt x="1619250" y="19050"/>
                                </a:lnTo>
                                <a:lnTo>
                                  <a:pt x="1619250" y="37465"/>
                                </a:lnTo>
                                <a:lnTo>
                                  <a:pt x="1619250" y="361315"/>
                                </a:lnTo>
                                <a:lnTo>
                                  <a:pt x="1619250" y="361950"/>
                                </a:lnTo>
                                <a:lnTo>
                                  <a:pt x="38100" y="361950"/>
                                </a:lnTo>
                                <a:lnTo>
                                  <a:pt x="38100" y="361315"/>
                                </a:lnTo>
                                <a:lnTo>
                                  <a:pt x="1600200" y="361315"/>
                                </a:lnTo>
                                <a:lnTo>
                                  <a:pt x="1619250" y="361315"/>
                                </a:lnTo>
                                <a:lnTo>
                                  <a:pt x="1619250" y="37465"/>
                                </a:lnTo>
                                <a:lnTo>
                                  <a:pt x="1600200" y="37465"/>
                                </a:lnTo>
                                <a:lnTo>
                                  <a:pt x="1600200" y="354965"/>
                                </a:lnTo>
                                <a:lnTo>
                                  <a:pt x="38100" y="354965"/>
                                </a:lnTo>
                                <a:lnTo>
                                  <a:pt x="19050" y="354965"/>
                                </a:lnTo>
                                <a:lnTo>
                                  <a:pt x="19050" y="19050"/>
                                </a:lnTo>
                                <a:lnTo>
                                  <a:pt x="6350" y="19050"/>
                                </a:lnTo>
                                <a:lnTo>
                                  <a:pt x="6350" y="0"/>
                                </a:lnTo>
                                <a:lnTo>
                                  <a:pt x="0" y="0"/>
                                </a:lnTo>
                                <a:lnTo>
                                  <a:pt x="0" y="19050"/>
                                </a:lnTo>
                                <a:lnTo>
                                  <a:pt x="0" y="381000"/>
                                </a:lnTo>
                                <a:lnTo>
                                  <a:pt x="0" y="400050"/>
                                </a:lnTo>
                                <a:lnTo>
                                  <a:pt x="1638300" y="400050"/>
                                </a:lnTo>
                                <a:lnTo>
                                  <a:pt x="1638300" y="381000"/>
                                </a:lnTo>
                                <a:lnTo>
                                  <a:pt x="1619250" y="381000"/>
                                </a:lnTo>
                                <a:lnTo>
                                  <a:pt x="1619250" y="380365"/>
                                </a:lnTo>
                                <a:lnTo>
                                  <a:pt x="1638300" y="380365"/>
                                </a:lnTo>
                                <a:lnTo>
                                  <a:pt x="1638300" y="19050"/>
                                </a:lnTo>
                                <a:lnTo>
                                  <a:pt x="1638300" y="18415"/>
                                </a:lnTo>
                                <a:lnTo>
                                  <a:pt x="1638300" y="0"/>
                                </a:lnTo>
                                <a:close/>
                              </a:path>
                            </a:pathLst>
                          </a:custGeom>
                          <a:solidFill>
                            <a:srgbClr val="7E7E7E">
                              <a:alpha val="50195"/>
                            </a:srgbClr>
                          </a:solidFill>
                        </wps:spPr>
                        <wps:bodyPr wrap="square" lIns="0" tIns="0" rIns="0" bIns="0" rtlCol="0">
                          <a:prstTxWarp prst="textNoShape">
                            <a:avLst/>
                          </a:prstTxWarp>
                          <a:noAutofit/>
                        </wps:bodyPr>
                      </wps:wsp>
                      <wps:wsp>
                        <wps:cNvPr id="44" name="Graphic 44"/>
                        <wps:cNvSpPr/>
                        <wps:spPr>
                          <a:xfrm>
                            <a:off x="1362075" y="1133475"/>
                            <a:ext cx="1600200" cy="361950"/>
                          </a:xfrm>
                          <a:custGeom>
                            <a:avLst/>
                            <a:gdLst/>
                            <a:ahLst/>
                            <a:cxnLst/>
                            <a:rect l="l" t="t" r="r" b="b"/>
                            <a:pathLst>
                              <a:path w="1600200" h="361950">
                                <a:moveTo>
                                  <a:pt x="1600200" y="0"/>
                                </a:moveTo>
                                <a:lnTo>
                                  <a:pt x="0" y="0"/>
                                </a:lnTo>
                                <a:lnTo>
                                  <a:pt x="0" y="361950"/>
                                </a:lnTo>
                                <a:lnTo>
                                  <a:pt x="1600200" y="361950"/>
                                </a:lnTo>
                                <a:lnTo>
                                  <a:pt x="1600200" y="0"/>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1362075" y="1133475"/>
                            <a:ext cx="1600200" cy="361950"/>
                          </a:xfrm>
                          <a:custGeom>
                            <a:avLst/>
                            <a:gdLst/>
                            <a:ahLst/>
                            <a:cxnLst/>
                            <a:rect l="l" t="t" r="r" b="b"/>
                            <a:pathLst>
                              <a:path w="1600200" h="361950">
                                <a:moveTo>
                                  <a:pt x="0" y="361950"/>
                                </a:moveTo>
                                <a:lnTo>
                                  <a:pt x="1600200" y="361950"/>
                                </a:lnTo>
                                <a:lnTo>
                                  <a:pt x="1600200" y="0"/>
                                </a:lnTo>
                                <a:lnTo>
                                  <a:pt x="0" y="0"/>
                                </a:lnTo>
                                <a:lnTo>
                                  <a:pt x="0" y="361950"/>
                                </a:lnTo>
                                <a:close/>
                              </a:path>
                            </a:pathLst>
                          </a:custGeom>
                          <a:ln w="38100">
                            <a:solidFill>
                              <a:srgbClr val="F1F1F1"/>
                            </a:solidFill>
                            <a:prstDash val="solid"/>
                          </a:ln>
                        </wps:spPr>
                        <wps:bodyPr wrap="square" lIns="0" tIns="0" rIns="0" bIns="0" rtlCol="0">
                          <a:prstTxWarp prst="textNoShape">
                            <a:avLst/>
                          </a:prstTxWarp>
                          <a:noAutofit/>
                        </wps:bodyPr>
                      </wps:wsp>
                      <wps:wsp>
                        <wps:cNvPr id="46" name="Graphic 46"/>
                        <wps:cNvSpPr/>
                        <wps:spPr>
                          <a:xfrm>
                            <a:off x="1355725" y="1720849"/>
                            <a:ext cx="1638300" cy="361950"/>
                          </a:xfrm>
                          <a:custGeom>
                            <a:avLst/>
                            <a:gdLst/>
                            <a:ahLst/>
                            <a:cxnLst/>
                            <a:rect l="l" t="t" r="r" b="b"/>
                            <a:pathLst>
                              <a:path w="1638300" h="361950">
                                <a:moveTo>
                                  <a:pt x="1638300" y="0"/>
                                </a:moveTo>
                                <a:lnTo>
                                  <a:pt x="1606550" y="0"/>
                                </a:lnTo>
                                <a:lnTo>
                                  <a:pt x="1606550" y="19050"/>
                                </a:lnTo>
                                <a:lnTo>
                                  <a:pt x="1619250" y="19050"/>
                                </a:lnTo>
                                <a:lnTo>
                                  <a:pt x="1619250" y="37465"/>
                                </a:lnTo>
                                <a:lnTo>
                                  <a:pt x="1619250" y="323215"/>
                                </a:lnTo>
                                <a:lnTo>
                                  <a:pt x="1619250" y="323850"/>
                                </a:lnTo>
                                <a:lnTo>
                                  <a:pt x="38100" y="323850"/>
                                </a:lnTo>
                                <a:lnTo>
                                  <a:pt x="38100" y="323215"/>
                                </a:lnTo>
                                <a:lnTo>
                                  <a:pt x="1600200" y="323215"/>
                                </a:lnTo>
                                <a:lnTo>
                                  <a:pt x="1619250" y="323215"/>
                                </a:lnTo>
                                <a:lnTo>
                                  <a:pt x="1619250" y="37465"/>
                                </a:lnTo>
                                <a:lnTo>
                                  <a:pt x="1600200" y="37465"/>
                                </a:lnTo>
                                <a:lnTo>
                                  <a:pt x="1600200" y="316865"/>
                                </a:lnTo>
                                <a:lnTo>
                                  <a:pt x="38100" y="316865"/>
                                </a:lnTo>
                                <a:lnTo>
                                  <a:pt x="19050" y="316865"/>
                                </a:lnTo>
                                <a:lnTo>
                                  <a:pt x="19050" y="19050"/>
                                </a:lnTo>
                                <a:lnTo>
                                  <a:pt x="6350" y="19050"/>
                                </a:lnTo>
                                <a:lnTo>
                                  <a:pt x="6350" y="0"/>
                                </a:lnTo>
                                <a:lnTo>
                                  <a:pt x="0" y="0"/>
                                </a:lnTo>
                                <a:lnTo>
                                  <a:pt x="0" y="19050"/>
                                </a:lnTo>
                                <a:lnTo>
                                  <a:pt x="0" y="342900"/>
                                </a:lnTo>
                                <a:lnTo>
                                  <a:pt x="0" y="361950"/>
                                </a:lnTo>
                                <a:lnTo>
                                  <a:pt x="1638300" y="361950"/>
                                </a:lnTo>
                                <a:lnTo>
                                  <a:pt x="1638300" y="342900"/>
                                </a:lnTo>
                                <a:lnTo>
                                  <a:pt x="1619250" y="342900"/>
                                </a:lnTo>
                                <a:lnTo>
                                  <a:pt x="1619250" y="342265"/>
                                </a:lnTo>
                                <a:lnTo>
                                  <a:pt x="1638300" y="342265"/>
                                </a:lnTo>
                                <a:lnTo>
                                  <a:pt x="1638300" y="19050"/>
                                </a:lnTo>
                                <a:lnTo>
                                  <a:pt x="1638300" y="18415"/>
                                </a:lnTo>
                                <a:lnTo>
                                  <a:pt x="1638300" y="0"/>
                                </a:lnTo>
                                <a:close/>
                              </a:path>
                            </a:pathLst>
                          </a:custGeom>
                          <a:solidFill>
                            <a:srgbClr val="7E7E7E">
                              <a:alpha val="50195"/>
                            </a:srgbClr>
                          </a:solidFill>
                        </wps:spPr>
                        <wps:bodyPr wrap="square" lIns="0" tIns="0" rIns="0" bIns="0" rtlCol="0">
                          <a:prstTxWarp prst="textNoShape">
                            <a:avLst/>
                          </a:prstTxWarp>
                          <a:noAutofit/>
                        </wps:bodyPr>
                      </wps:wsp>
                      <wps:wsp>
                        <wps:cNvPr id="47" name="Graphic 47"/>
                        <wps:cNvSpPr/>
                        <wps:spPr>
                          <a:xfrm>
                            <a:off x="1362075" y="1713864"/>
                            <a:ext cx="1600200" cy="323850"/>
                          </a:xfrm>
                          <a:custGeom>
                            <a:avLst/>
                            <a:gdLst/>
                            <a:ahLst/>
                            <a:cxnLst/>
                            <a:rect l="l" t="t" r="r" b="b"/>
                            <a:pathLst>
                              <a:path w="1600200" h="323850">
                                <a:moveTo>
                                  <a:pt x="0" y="323850"/>
                                </a:moveTo>
                                <a:lnTo>
                                  <a:pt x="1600200" y="323850"/>
                                </a:lnTo>
                                <a:lnTo>
                                  <a:pt x="1600200" y="0"/>
                                </a:lnTo>
                                <a:lnTo>
                                  <a:pt x="0" y="0"/>
                                </a:lnTo>
                                <a:lnTo>
                                  <a:pt x="0" y="323850"/>
                                </a:lnTo>
                                <a:close/>
                              </a:path>
                            </a:pathLst>
                          </a:custGeom>
                          <a:ln w="38100">
                            <a:solidFill>
                              <a:srgbClr val="F1F1F1"/>
                            </a:solidFill>
                            <a:prstDash val="solid"/>
                          </a:ln>
                        </wps:spPr>
                        <wps:bodyPr wrap="square" lIns="0" tIns="0" rIns="0" bIns="0" rtlCol="0">
                          <a:prstTxWarp prst="textNoShape">
                            <a:avLst/>
                          </a:prstTxWarp>
                          <a:noAutofit/>
                        </wps:bodyPr>
                      </wps:wsp>
                      <wps:wsp>
                        <wps:cNvPr id="48" name="Graphic 48"/>
                        <wps:cNvSpPr/>
                        <wps:spPr>
                          <a:xfrm>
                            <a:off x="12700" y="1197609"/>
                            <a:ext cx="1152525" cy="495300"/>
                          </a:xfrm>
                          <a:custGeom>
                            <a:avLst/>
                            <a:gdLst/>
                            <a:ahLst/>
                            <a:cxnLst/>
                            <a:rect l="l" t="t" r="r" b="b"/>
                            <a:pathLst>
                              <a:path w="1152525" h="495300">
                                <a:moveTo>
                                  <a:pt x="1152525" y="0"/>
                                </a:moveTo>
                                <a:lnTo>
                                  <a:pt x="1133475" y="0"/>
                                </a:lnTo>
                                <a:lnTo>
                                  <a:pt x="1133475" y="456565"/>
                                </a:lnTo>
                                <a:lnTo>
                                  <a:pt x="1133475" y="457200"/>
                                </a:lnTo>
                                <a:lnTo>
                                  <a:pt x="38100" y="457200"/>
                                </a:lnTo>
                                <a:lnTo>
                                  <a:pt x="38100" y="456565"/>
                                </a:lnTo>
                                <a:lnTo>
                                  <a:pt x="1114425" y="456565"/>
                                </a:lnTo>
                                <a:lnTo>
                                  <a:pt x="1133475" y="456565"/>
                                </a:lnTo>
                                <a:lnTo>
                                  <a:pt x="1133475" y="0"/>
                                </a:lnTo>
                                <a:lnTo>
                                  <a:pt x="1120775" y="0"/>
                                </a:lnTo>
                                <a:lnTo>
                                  <a:pt x="1120775" y="19050"/>
                                </a:lnTo>
                                <a:lnTo>
                                  <a:pt x="1120775" y="37465"/>
                                </a:lnTo>
                                <a:lnTo>
                                  <a:pt x="1114425" y="37465"/>
                                </a:lnTo>
                                <a:lnTo>
                                  <a:pt x="1114425" y="450215"/>
                                </a:lnTo>
                                <a:lnTo>
                                  <a:pt x="38100" y="450215"/>
                                </a:lnTo>
                                <a:lnTo>
                                  <a:pt x="19050" y="450215"/>
                                </a:lnTo>
                                <a:lnTo>
                                  <a:pt x="19050" y="19050"/>
                                </a:lnTo>
                                <a:lnTo>
                                  <a:pt x="6350" y="19050"/>
                                </a:lnTo>
                                <a:lnTo>
                                  <a:pt x="6350" y="0"/>
                                </a:lnTo>
                                <a:lnTo>
                                  <a:pt x="0" y="0"/>
                                </a:lnTo>
                                <a:lnTo>
                                  <a:pt x="0" y="19050"/>
                                </a:lnTo>
                                <a:lnTo>
                                  <a:pt x="0" y="476250"/>
                                </a:lnTo>
                                <a:lnTo>
                                  <a:pt x="0" y="495300"/>
                                </a:lnTo>
                                <a:lnTo>
                                  <a:pt x="1152525" y="495300"/>
                                </a:lnTo>
                                <a:lnTo>
                                  <a:pt x="1152525" y="476250"/>
                                </a:lnTo>
                                <a:lnTo>
                                  <a:pt x="1133475" y="476250"/>
                                </a:lnTo>
                                <a:lnTo>
                                  <a:pt x="1133475" y="475615"/>
                                </a:lnTo>
                                <a:lnTo>
                                  <a:pt x="1152525" y="475615"/>
                                </a:lnTo>
                                <a:lnTo>
                                  <a:pt x="1152525" y="19050"/>
                                </a:lnTo>
                                <a:lnTo>
                                  <a:pt x="1152525" y="18415"/>
                                </a:lnTo>
                                <a:lnTo>
                                  <a:pt x="1152525" y="0"/>
                                </a:lnTo>
                                <a:close/>
                              </a:path>
                            </a:pathLst>
                          </a:custGeom>
                          <a:solidFill>
                            <a:srgbClr val="7E7E7E">
                              <a:alpha val="50195"/>
                            </a:srgbClr>
                          </a:solidFill>
                        </wps:spPr>
                        <wps:bodyPr wrap="square" lIns="0" tIns="0" rIns="0" bIns="0" rtlCol="0">
                          <a:prstTxWarp prst="textNoShape">
                            <a:avLst/>
                          </a:prstTxWarp>
                          <a:noAutofit/>
                        </wps:bodyPr>
                      </wps:wsp>
                      <wps:wsp>
                        <wps:cNvPr id="49" name="Graphic 49"/>
                        <wps:cNvSpPr/>
                        <wps:spPr>
                          <a:xfrm>
                            <a:off x="19050" y="1190625"/>
                            <a:ext cx="1114425" cy="457200"/>
                          </a:xfrm>
                          <a:custGeom>
                            <a:avLst/>
                            <a:gdLst/>
                            <a:ahLst/>
                            <a:cxnLst/>
                            <a:rect l="l" t="t" r="r" b="b"/>
                            <a:pathLst>
                              <a:path w="1114425" h="457200">
                                <a:moveTo>
                                  <a:pt x="1114425" y="0"/>
                                </a:moveTo>
                                <a:lnTo>
                                  <a:pt x="0" y="0"/>
                                </a:lnTo>
                                <a:lnTo>
                                  <a:pt x="0" y="457200"/>
                                </a:lnTo>
                                <a:lnTo>
                                  <a:pt x="1114425" y="457200"/>
                                </a:lnTo>
                                <a:lnTo>
                                  <a:pt x="1114425" y="0"/>
                                </a:lnTo>
                                <a:close/>
                              </a:path>
                            </a:pathLst>
                          </a:custGeom>
                          <a:solidFill>
                            <a:srgbClr val="000000"/>
                          </a:solidFill>
                        </wps:spPr>
                        <wps:bodyPr wrap="square" lIns="0" tIns="0" rIns="0" bIns="0" rtlCol="0">
                          <a:prstTxWarp prst="textNoShape">
                            <a:avLst/>
                          </a:prstTxWarp>
                          <a:noAutofit/>
                        </wps:bodyPr>
                      </wps:wsp>
                      <wps:wsp>
                        <wps:cNvPr id="50" name="Graphic 50"/>
                        <wps:cNvSpPr/>
                        <wps:spPr>
                          <a:xfrm>
                            <a:off x="19050" y="1190625"/>
                            <a:ext cx="1114425" cy="457200"/>
                          </a:xfrm>
                          <a:custGeom>
                            <a:avLst/>
                            <a:gdLst/>
                            <a:ahLst/>
                            <a:cxnLst/>
                            <a:rect l="l" t="t" r="r" b="b"/>
                            <a:pathLst>
                              <a:path w="1114425" h="457200">
                                <a:moveTo>
                                  <a:pt x="0" y="457200"/>
                                </a:moveTo>
                                <a:lnTo>
                                  <a:pt x="1114425" y="457200"/>
                                </a:lnTo>
                                <a:lnTo>
                                  <a:pt x="1114425" y="0"/>
                                </a:lnTo>
                                <a:lnTo>
                                  <a:pt x="0" y="0"/>
                                </a:lnTo>
                                <a:lnTo>
                                  <a:pt x="0" y="457200"/>
                                </a:lnTo>
                                <a:close/>
                              </a:path>
                            </a:pathLst>
                          </a:custGeom>
                          <a:ln w="38100">
                            <a:solidFill>
                              <a:srgbClr val="F1F1F1"/>
                            </a:solidFill>
                            <a:prstDash val="solid"/>
                          </a:ln>
                        </wps:spPr>
                        <wps:bodyPr wrap="square" lIns="0" tIns="0" rIns="0" bIns="0" rtlCol="0">
                          <a:prstTxWarp prst="textNoShape">
                            <a:avLst/>
                          </a:prstTxWarp>
                          <a:noAutofit/>
                        </wps:bodyPr>
                      </wps:wsp>
                      <wps:wsp>
                        <wps:cNvPr id="51" name="Graphic 51"/>
                        <wps:cNvSpPr/>
                        <wps:spPr>
                          <a:xfrm>
                            <a:off x="3260725" y="219709"/>
                            <a:ext cx="1323975" cy="495300"/>
                          </a:xfrm>
                          <a:custGeom>
                            <a:avLst/>
                            <a:gdLst/>
                            <a:ahLst/>
                            <a:cxnLst/>
                            <a:rect l="l" t="t" r="r" b="b"/>
                            <a:pathLst>
                              <a:path w="1323975" h="495300">
                                <a:moveTo>
                                  <a:pt x="1323975" y="0"/>
                                </a:moveTo>
                                <a:lnTo>
                                  <a:pt x="1292225" y="0"/>
                                </a:lnTo>
                                <a:lnTo>
                                  <a:pt x="1292225" y="19050"/>
                                </a:lnTo>
                                <a:lnTo>
                                  <a:pt x="1304925" y="19050"/>
                                </a:lnTo>
                                <a:lnTo>
                                  <a:pt x="1304925" y="37465"/>
                                </a:lnTo>
                                <a:lnTo>
                                  <a:pt x="1304925" y="456565"/>
                                </a:lnTo>
                                <a:lnTo>
                                  <a:pt x="1304925" y="457200"/>
                                </a:lnTo>
                                <a:lnTo>
                                  <a:pt x="38100" y="457200"/>
                                </a:lnTo>
                                <a:lnTo>
                                  <a:pt x="38100" y="456565"/>
                                </a:lnTo>
                                <a:lnTo>
                                  <a:pt x="1285875" y="456565"/>
                                </a:lnTo>
                                <a:lnTo>
                                  <a:pt x="1304925" y="456565"/>
                                </a:lnTo>
                                <a:lnTo>
                                  <a:pt x="1304925" y="37465"/>
                                </a:lnTo>
                                <a:lnTo>
                                  <a:pt x="1285875" y="37465"/>
                                </a:lnTo>
                                <a:lnTo>
                                  <a:pt x="1285875" y="450215"/>
                                </a:lnTo>
                                <a:lnTo>
                                  <a:pt x="38100" y="450215"/>
                                </a:lnTo>
                                <a:lnTo>
                                  <a:pt x="19050" y="450215"/>
                                </a:lnTo>
                                <a:lnTo>
                                  <a:pt x="19050" y="19050"/>
                                </a:lnTo>
                                <a:lnTo>
                                  <a:pt x="6350" y="19050"/>
                                </a:lnTo>
                                <a:lnTo>
                                  <a:pt x="6350" y="0"/>
                                </a:lnTo>
                                <a:lnTo>
                                  <a:pt x="0" y="0"/>
                                </a:lnTo>
                                <a:lnTo>
                                  <a:pt x="0" y="19050"/>
                                </a:lnTo>
                                <a:lnTo>
                                  <a:pt x="0" y="476250"/>
                                </a:lnTo>
                                <a:lnTo>
                                  <a:pt x="0" y="495300"/>
                                </a:lnTo>
                                <a:lnTo>
                                  <a:pt x="1323975" y="495300"/>
                                </a:lnTo>
                                <a:lnTo>
                                  <a:pt x="1323975" y="476250"/>
                                </a:lnTo>
                                <a:lnTo>
                                  <a:pt x="1304925" y="476250"/>
                                </a:lnTo>
                                <a:lnTo>
                                  <a:pt x="1304925" y="475615"/>
                                </a:lnTo>
                                <a:lnTo>
                                  <a:pt x="1323975" y="475615"/>
                                </a:lnTo>
                                <a:lnTo>
                                  <a:pt x="1323975" y="19050"/>
                                </a:lnTo>
                                <a:lnTo>
                                  <a:pt x="1323975" y="18415"/>
                                </a:lnTo>
                                <a:lnTo>
                                  <a:pt x="1323975" y="0"/>
                                </a:lnTo>
                                <a:close/>
                              </a:path>
                            </a:pathLst>
                          </a:custGeom>
                          <a:solidFill>
                            <a:srgbClr val="7E7E7E">
                              <a:alpha val="50195"/>
                            </a:srgbClr>
                          </a:solidFill>
                        </wps:spPr>
                        <wps:bodyPr wrap="square" lIns="0" tIns="0" rIns="0" bIns="0" rtlCol="0">
                          <a:prstTxWarp prst="textNoShape">
                            <a:avLst/>
                          </a:prstTxWarp>
                          <a:noAutofit/>
                        </wps:bodyPr>
                      </wps:wsp>
                      <wps:wsp>
                        <wps:cNvPr id="52" name="Graphic 52"/>
                        <wps:cNvSpPr/>
                        <wps:spPr>
                          <a:xfrm>
                            <a:off x="3267075" y="212725"/>
                            <a:ext cx="1285875" cy="457200"/>
                          </a:xfrm>
                          <a:custGeom>
                            <a:avLst/>
                            <a:gdLst/>
                            <a:ahLst/>
                            <a:cxnLst/>
                            <a:rect l="l" t="t" r="r" b="b"/>
                            <a:pathLst>
                              <a:path w="1285875" h="457200">
                                <a:moveTo>
                                  <a:pt x="1285875" y="0"/>
                                </a:moveTo>
                                <a:lnTo>
                                  <a:pt x="0" y="0"/>
                                </a:lnTo>
                                <a:lnTo>
                                  <a:pt x="0" y="457200"/>
                                </a:lnTo>
                                <a:lnTo>
                                  <a:pt x="1285875" y="457200"/>
                                </a:lnTo>
                                <a:lnTo>
                                  <a:pt x="1285875" y="0"/>
                                </a:lnTo>
                                <a:close/>
                              </a:path>
                            </a:pathLst>
                          </a:custGeom>
                          <a:solidFill>
                            <a:srgbClr val="000000"/>
                          </a:solidFill>
                        </wps:spPr>
                        <wps:bodyPr wrap="square" lIns="0" tIns="0" rIns="0" bIns="0" rtlCol="0">
                          <a:prstTxWarp prst="textNoShape">
                            <a:avLst/>
                          </a:prstTxWarp>
                          <a:noAutofit/>
                        </wps:bodyPr>
                      </wps:wsp>
                      <wps:wsp>
                        <wps:cNvPr id="53" name="Graphic 53"/>
                        <wps:cNvSpPr/>
                        <wps:spPr>
                          <a:xfrm>
                            <a:off x="3267075" y="212725"/>
                            <a:ext cx="1285875" cy="457200"/>
                          </a:xfrm>
                          <a:custGeom>
                            <a:avLst/>
                            <a:gdLst/>
                            <a:ahLst/>
                            <a:cxnLst/>
                            <a:rect l="l" t="t" r="r" b="b"/>
                            <a:pathLst>
                              <a:path w="1285875" h="457200">
                                <a:moveTo>
                                  <a:pt x="0" y="457200"/>
                                </a:moveTo>
                                <a:lnTo>
                                  <a:pt x="1285875" y="457200"/>
                                </a:lnTo>
                                <a:lnTo>
                                  <a:pt x="1285875" y="0"/>
                                </a:lnTo>
                                <a:lnTo>
                                  <a:pt x="0" y="0"/>
                                </a:lnTo>
                                <a:lnTo>
                                  <a:pt x="0" y="457200"/>
                                </a:lnTo>
                                <a:close/>
                              </a:path>
                            </a:pathLst>
                          </a:custGeom>
                          <a:ln w="38100">
                            <a:solidFill>
                              <a:srgbClr val="F1F1F1"/>
                            </a:solidFill>
                            <a:prstDash val="solid"/>
                          </a:ln>
                        </wps:spPr>
                        <wps:bodyPr wrap="square" lIns="0" tIns="0" rIns="0" bIns="0" rtlCol="0">
                          <a:prstTxWarp prst="textNoShape">
                            <a:avLst/>
                          </a:prstTxWarp>
                          <a:noAutofit/>
                        </wps:bodyPr>
                      </wps:wsp>
                      <wps:wsp>
                        <wps:cNvPr id="54" name="Graphic 54"/>
                        <wps:cNvSpPr/>
                        <wps:spPr>
                          <a:xfrm>
                            <a:off x="3432175" y="958849"/>
                            <a:ext cx="723900" cy="381000"/>
                          </a:xfrm>
                          <a:custGeom>
                            <a:avLst/>
                            <a:gdLst/>
                            <a:ahLst/>
                            <a:cxnLst/>
                            <a:rect l="l" t="t" r="r" b="b"/>
                            <a:pathLst>
                              <a:path w="723900" h="381000">
                                <a:moveTo>
                                  <a:pt x="723900" y="0"/>
                                </a:moveTo>
                                <a:lnTo>
                                  <a:pt x="692150" y="0"/>
                                </a:lnTo>
                                <a:lnTo>
                                  <a:pt x="692150" y="19050"/>
                                </a:lnTo>
                                <a:lnTo>
                                  <a:pt x="692150" y="38100"/>
                                </a:lnTo>
                                <a:lnTo>
                                  <a:pt x="685800" y="38100"/>
                                </a:lnTo>
                                <a:lnTo>
                                  <a:pt x="685800" y="336550"/>
                                </a:lnTo>
                                <a:lnTo>
                                  <a:pt x="38100" y="336550"/>
                                </a:lnTo>
                                <a:lnTo>
                                  <a:pt x="19050" y="336550"/>
                                </a:lnTo>
                                <a:lnTo>
                                  <a:pt x="19050" y="19050"/>
                                </a:lnTo>
                                <a:lnTo>
                                  <a:pt x="6350" y="19050"/>
                                </a:lnTo>
                                <a:lnTo>
                                  <a:pt x="6350" y="0"/>
                                </a:lnTo>
                                <a:lnTo>
                                  <a:pt x="0" y="0"/>
                                </a:lnTo>
                                <a:lnTo>
                                  <a:pt x="0" y="19050"/>
                                </a:lnTo>
                                <a:lnTo>
                                  <a:pt x="0" y="361950"/>
                                </a:lnTo>
                                <a:lnTo>
                                  <a:pt x="0" y="381000"/>
                                </a:lnTo>
                                <a:lnTo>
                                  <a:pt x="6350" y="381000"/>
                                </a:lnTo>
                                <a:lnTo>
                                  <a:pt x="6350" y="361950"/>
                                </a:lnTo>
                                <a:lnTo>
                                  <a:pt x="19050" y="361950"/>
                                </a:lnTo>
                                <a:lnTo>
                                  <a:pt x="692150" y="361950"/>
                                </a:lnTo>
                                <a:lnTo>
                                  <a:pt x="692150" y="381000"/>
                                </a:lnTo>
                                <a:lnTo>
                                  <a:pt x="723900" y="381000"/>
                                </a:lnTo>
                                <a:lnTo>
                                  <a:pt x="723900" y="361950"/>
                                </a:lnTo>
                                <a:lnTo>
                                  <a:pt x="723900" y="19050"/>
                                </a:lnTo>
                                <a:lnTo>
                                  <a:pt x="723900" y="0"/>
                                </a:lnTo>
                                <a:close/>
                              </a:path>
                            </a:pathLst>
                          </a:custGeom>
                          <a:solidFill>
                            <a:srgbClr val="7E7E7E">
                              <a:alpha val="50195"/>
                            </a:srgbClr>
                          </a:solidFill>
                        </wps:spPr>
                        <wps:bodyPr wrap="square" lIns="0" tIns="0" rIns="0" bIns="0" rtlCol="0">
                          <a:prstTxWarp prst="textNoShape">
                            <a:avLst/>
                          </a:prstTxWarp>
                          <a:noAutofit/>
                        </wps:bodyPr>
                      </wps:wsp>
                      <wps:wsp>
                        <wps:cNvPr id="55" name="Graphic 55"/>
                        <wps:cNvSpPr/>
                        <wps:spPr>
                          <a:xfrm>
                            <a:off x="3438525" y="952500"/>
                            <a:ext cx="685800" cy="342900"/>
                          </a:xfrm>
                          <a:custGeom>
                            <a:avLst/>
                            <a:gdLst/>
                            <a:ahLst/>
                            <a:cxnLst/>
                            <a:rect l="l" t="t" r="r" b="b"/>
                            <a:pathLst>
                              <a:path w="685800" h="342900">
                                <a:moveTo>
                                  <a:pt x="685800" y="0"/>
                                </a:moveTo>
                                <a:lnTo>
                                  <a:pt x="0" y="0"/>
                                </a:lnTo>
                                <a:lnTo>
                                  <a:pt x="0" y="342900"/>
                                </a:lnTo>
                                <a:lnTo>
                                  <a:pt x="685800" y="342900"/>
                                </a:lnTo>
                                <a:lnTo>
                                  <a:pt x="685800" y="0"/>
                                </a:lnTo>
                                <a:close/>
                              </a:path>
                            </a:pathLst>
                          </a:custGeom>
                          <a:solidFill>
                            <a:srgbClr val="000000"/>
                          </a:solidFill>
                        </wps:spPr>
                        <wps:bodyPr wrap="square" lIns="0" tIns="0" rIns="0" bIns="0" rtlCol="0">
                          <a:prstTxWarp prst="textNoShape">
                            <a:avLst/>
                          </a:prstTxWarp>
                          <a:noAutofit/>
                        </wps:bodyPr>
                      </wps:wsp>
                      <wps:wsp>
                        <wps:cNvPr id="56" name="Graphic 56"/>
                        <wps:cNvSpPr/>
                        <wps:spPr>
                          <a:xfrm>
                            <a:off x="3438525" y="952500"/>
                            <a:ext cx="685800" cy="342900"/>
                          </a:xfrm>
                          <a:custGeom>
                            <a:avLst/>
                            <a:gdLst/>
                            <a:ahLst/>
                            <a:cxnLst/>
                            <a:rect l="l" t="t" r="r" b="b"/>
                            <a:pathLst>
                              <a:path w="685800" h="342900">
                                <a:moveTo>
                                  <a:pt x="0" y="342900"/>
                                </a:moveTo>
                                <a:lnTo>
                                  <a:pt x="685800" y="342900"/>
                                </a:lnTo>
                                <a:lnTo>
                                  <a:pt x="685800" y="0"/>
                                </a:lnTo>
                                <a:lnTo>
                                  <a:pt x="0" y="0"/>
                                </a:lnTo>
                                <a:lnTo>
                                  <a:pt x="0" y="342900"/>
                                </a:lnTo>
                                <a:close/>
                              </a:path>
                            </a:pathLst>
                          </a:custGeom>
                          <a:ln w="38100">
                            <a:solidFill>
                              <a:srgbClr val="F1F1F1"/>
                            </a:solidFill>
                            <a:prstDash val="solid"/>
                          </a:ln>
                        </wps:spPr>
                        <wps:bodyPr wrap="square" lIns="0" tIns="0" rIns="0" bIns="0" rtlCol="0">
                          <a:prstTxWarp prst="textNoShape">
                            <a:avLst/>
                          </a:prstTxWarp>
                          <a:noAutofit/>
                        </wps:bodyPr>
                      </wps:wsp>
                      <wps:wsp>
                        <wps:cNvPr id="57" name="Graphic 57"/>
                        <wps:cNvSpPr/>
                        <wps:spPr>
                          <a:xfrm>
                            <a:off x="3432175" y="1320799"/>
                            <a:ext cx="723900" cy="372110"/>
                          </a:xfrm>
                          <a:custGeom>
                            <a:avLst/>
                            <a:gdLst/>
                            <a:ahLst/>
                            <a:cxnLst/>
                            <a:rect l="l" t="t" r="r" b="b"/>
                            <a:pathLst>
                              <a:path w="723900" h="372110">
                                <a:moveTo>
                                  <a:pt x="723900" y="0"/>
                                </a:moveTo>
                                <a:lnTo>
                                  <a:pt x="704850" y="0"/>
                                </a:lnTo>
                                <a:lnTo>
                                  <a:pt x="704850" y="333375"/>
                                </a:lnTo>
                                <a:lnTo>
                                  <a:pt x="704850" y="334010"/>
                                </a:lnTo>
                                <a:lnTo>
                                  <a:pt x="38100" y="334010"/>
                                </a:lnTo>
                                <a:lnTo>
                                  <a:pt x="38100" y="333375"/>
                                </a:lnTo>
                                <a:lnTo>
                                  <a:pt x="685800" y="333375"/>
                                </a:lnTo>
                                <a:lnTo>
                                  <a:pt x="704850" y="333375"/>
                                </a:lnTo>
                                <a:lnTo>
                                  <a:pt x="704850" y="0"/>
                                </a:lnTo>
                                <a:lnTo>
                                  <a:pt x="692150" y="0"/>
                                </a:lnTo>
                                <a:lnTo>
                                  <a:pt x="692150" y="19050"/>
                                </a:lnTo>
                                <a:lnTo>
                                  <a:pt x="692150" y="38100"/>
                                </a:lnTo>
                                <a:lnTo>
                                  <a:pt x="685800" y="38100"/>
                                </a:lnTo>
                                <a:lnTo>
                                  <a:pt x="685800" y="327025"/>
                                </a:lnTo>
                                <a:lnTo>
                                  <a:pt x="38100" y="327025"/>
                                </a:lnTo>
                                <a:lnTo>
                                  <a:pt x="19050" y="327025"/>
                                </a:lnTo>
                                <a:lnTo>
                                  <a:pt x="19050" y="19050"/>
                                </a:lnTo>
                                <a:lnTo>
                                  <a:pt x="6350" y="19050"/>
                                </a:lnTo>
                                <a:lnTo>
                                  <a:pt x="6350" y="0"/>
                                </a:lnTo>
                                <a:lnTo>
                                  <a:pt x="0" y="0"/>
                                </a:lnTo>
                                <a:lnTo>
                                  <a:pt x="0" y="19050"/>
                                </a:lnTo>
                                <a:lnTo>
                                  <a:pt x="0" y="353060"/>
                                </a:lnTo>
                                <a:lnTo>
                                  <a:pt x="0" y="372110"/>
                                </a:lnTo>
                                <a:lnTo>
                                  <a:pt x="723900" y="372110"/>
                                </a:lnTo>
                                <a:lnTo>
                                  <a:pt x="723900" y="353060"/>
                                </a:lnTo>
                                <a:lnTo>
                                  <a:pt x="704850" y="353060"/>
                                </a:lnTo>
                                <a:lnTo>
                                  <a:pt x="704850" y="352425"/>
                                </a:lnTo>
                                <a:lnTo>
                                  <a:pt x="723900" y="352425"/>
                                </a:lnTo>
                                <a:lnTo>
                                  <a:pt x="723900" y="19050"/>
                                </a:lnTo>
                                <a:lnTo>
                                  <a:pt x="723900" y="0"/>
                                </a:lnTo>
                                <a:close/>
                              </a:path>
                            </a:pathLst>
                          </a:custGeom>
                          <a:solidFill>
                            <a:srgbClr val="7E7E7E">
                              <a:alpha val="50195"/>
                            </a:srgbClr>
                          </a:solidFill>
                        </wps:spPr>
                        <wps:bodyPr wrap="square" lIns="0" tIns="0" rIns="0" bIns="0" rtlCol="0">
                          <a:prstTxWarp prst="textNoShape">
                            <a:avLst/>
                          </a:prstTxWarp>
                          <a:noAutofit/>
                        </wps:bodyPr>
                      </wps:wsp>
                      <wps:wsp>
                        <wps:cNvPr id="58" name="Graphic 58"/>
                        <wps:cNvSpPr/>
                        <wps:spPr>
                          <a:xfrm>
                            <a:off x="3438525" y="1314450"/>
                            <a:ext cx="685800" cy="333375"/>
                          </a:xfrm>
                          <a:custGeom>
                            <a:avLst/>
                            <a:gdLst/>
                            <a:ahLst/>
                            <a:cxnLst/>
                            <a:rect l="l" t="t" r="r" b="b"/>
                            <a:pathLst>
                              <a:path w="685800" h="333375">
                                <a:moveTo>
                                  <a:pt x="0" y="333375"/>
                                </a:moveTo>
                                <a:lnTo>
                                  <a:pt x="685800" y="333375"/>
                                </a:lnTo>
                                <a:lnTo>
                                  <a:pt x="685800" y="0"/>
                                </a:lnTo>
                                <a:lnTo>
                                  <a:pt x="0" y="0"/>
                                </a:lnTo>
                                <a:lnTo>
                                  <a:pt x="0" y="333375"/>
                                </a:lnTo>
                                <a:close/>
                              </a:path>
                            </a:pathLst>
                          </a:custGeom>
                          <a:ln w="38100">
                            <a:solidFill>
                              <a:srgbClr val="F1F1F1"/>
                            </a:solidFill>
                            <a:prstDash val="solid"/>
                          </a:ln>
                        </wps:spPr>
                        <wps:bodyPr wrap="square" lIns="0" tIns="0" rIns="0" bIns="0" rtlCol="0">
                          <a:prstTxWarp prst="textNoShape">
                            <a:avLst/>
                          </a:prstTxWarp>
                          <a:noAutofit/>
                        </wps:bodyPr>
                      </wps:wsp>
                      <wps:wsp>
                        <wps:cNvPr id="59" name="Graphic 59"/>
                        <wps:cNvSpPr/>
                        <wps:spPr>
                          <a:xfrm>
                            <a:off x="4375150" y="1045209"/>
                            <a:ext cx="981075" cy="495300"/>
                          </a:xfrm>
                          <a:custGeom>
                            <a:avLst/>
                            <a:gdLst/>
                            <a:ahLst/>
                            <a:cxnLst/>
                            <a:rect l="l" t="t" r="r" b="b"/>
                            <a:pathLst>
                              <a:path w="981075" h="495300">
                                <a:moveTo>
                                  <a:pt x="981075" y="0"/>
                                </a:moveTo>
                                <a:lnTo>
                                  <a:pt x="962025" y="0"/>
                                </a:lnTo>
                                <a:lnTo>
                                  <a:pt x="962025" y="456565"/>
                                </a:lnTo>
                                <a:lnTo>
                                  <a:pt x="962025" y="457200"/>
                                </a:lnTo>
                                <a:lnTo>
                                  <a:pt x="38100" y="457200"/>
                                </a:lnTo>
                                <a:lnTo>
                                  <a:pt x="38100" y="456565"/>
                                </a:lnTo>
                                <a:lnTo>
                                  <a:pt x="942975" y="456565"/>
                                </a:lnTo>
                                <a:lnTo>
                                  <a:pt x="962025" y="456565"/>
                                </a:lnTo>
                                <a:lnTo>
                                  <a:pt x="962025" y="0"/>
                                </a:lnTo>
                                <a:lnTo>
                                  <a:pt x="949325" y="0"/>
                                </a:lnTo>
                                <a:lnTo>
                                  <a:pt x="949325" y="19050"/>
                                </a:lnTo>
                                <a:lnTo>
                                  <a:pt x="949325" y="37465"/>
                                </a:lnTo>
                                <a:lnTo>
                                  <a:pt x="942975" y="37465"/>
                                </a:lnTo>
                                <a:lnTo>
                                  <a:pt x="942975" y="450215"/>
                                </a:lnTo>
                                <a:lnTo>
                                  <a:pt x="38100" y="450215"/>
                                </a:lnTo>
                                <a:lnTo>
                                  <a:pt x="19050" y="450215"/>
                                </a:lnTo>
                                <a:lnTo>
                                  <a:pt x="19050" y="19050"/>
                                </a:lnTo>
                                <a:lnTo>
                                  <a:pt x="6350" y="19050"/>
                                </a:lnTo>
                                <a:lnTo>
                                  <a:pt x="6350" y="0"/>
                                </a:lnTo>
                                <a:lnTo>
                                  <a:pt x="0" y="0"/>
                                </a:lnTo>
                                <a:lnTo>
                                  <a:pt x="0" y="19050"/>
                                </a:lnTo>
                                <a:lnTo>
                                  <a:pt x="0" y="476250"/>
                                </a:lnTo>
                                <a:lnTo>
                                  <a:pt x="0" y="495300"/>
                                </a:lnTo>
                                <a:lnTo>
                                  <a:pt x="981075" y="495300"/>
                                </a:lnTo>
                                <a:lnTo>
                                  <a:pt x="981075" y="476250"/>
                                </a:lnTo>
                                <a:lnTo>
                                  <a:pt x="962025" y="476250"/>
                                </a:lnTo>
                                <a:lnTo>
                                  <a:pt x="962025" y="475615"/>
                                </a:lnTo>
                                <a:lnTo>
                                  <a:pt x="981075" y="475615"/>
                                </a:lnTo>
                                <a:lnTo>
                                  <a:pt x="981075" y="19050"/>
                                </a:lnTo>
                                <a:lnTo>
                                  <a:pt x="981075" y="18415"/>
                                </a:lnTo>
                                <a:lnTo>
                                  <a:pt x="981075" y="0"/>
                                </a:lnTo>
                                <a:close/>
                              </a:path>
                            </a:pathLst>
                          </a:custGeom>
                          <a:solidFill>
                            <a:srgbClr val="7E7E7E">
                              <a:alpha val="50195"/>
                            </a:srgbClr>
                          </a:solidFill>
                        </wps:spPr>
                        <wps:bodyPr wrap="square" lIns="0" tIns="0" rIns="0" bIns="0" rtlCol="0">
                          <a:prstTxWarp prst="textNoShape">
                            <a:avLst/>
                          </a:prstTxWarp>
                          <a:noAutofit/>
                        </wps:bodyPr>
                      </wps:wsp>
                      <wps:wsp>
                        <wps:cNvPr id="60" name="Graphic 60"/>
                        <wps:cNvSpPr/>
                        <wps:spPr>
                          <a:xfrm>
                            <a:off x="4381500" y="1038225"/>
                            <a:ext cx="942975" cy="457200"/>
                          </a:xfrm>
                          <a:custGeom>
                            <a:avLst/>
                            <a:gdLst/>
                            <a:ahLst/>
                            <a:cxnLst/>
                            <a:rect l="l" t="t" r="r" b="b"/>
                            <a:pathLst>
                              <a:path w="942975" h="457200">
                                <a:moveTo>
                                  <a:pt x="0" y="457200"/>
                                </a:moveTo>
                                <a:lnTo>
                                  <a:pt x="942975" y="457200"/>
                                </a:lnTo>
                                <a:lnTo>
                                  <a:pt x="942975" y="0"/>
                                </a:lnTo>
                                <a:lnTo>
                                  <a:pt x="0" y="0"/>
                                </a:lnTo>
                                <a:lnTo>
                                  <a:pt x="0" y="457200"/>
                                </a:lnTo>
                                <a:close/>
                              </a:path>
                            </a:pathLst>
                          </a:custGeom>
                          <a:ln w="38100">
                            <a:solidFill>
                              <a:srgbClr val="F1F1F1"/>
                            </a:solidFill>
                            <a:prstDash val="solid"/>
                          </a:ln>
                        </wps:spPr>
                        <wps:bodyPr wrap="square" lIns="0" tIns="0" rIns="0" bIns="0" rtlCol="0">
                          <a:prstTxWarp prst="textNoShape">
                            <a:avLst/>
                          </a:prstTxWarp>
                          <a:noAutofit/>
                        </wps:bodyPr>
                      </wps:wsp>
                      <wps:wsp>
                        <wps:cNvPr id="61" name="Graphic 61"/>
                        <wps:cNvSpPr/>
                        <wps:spPr>
                          <a:xfrm>
                            <a:off x="1203325" y="806450"/>
                            <a:ext cx="152400" cy="1162050"/>
                          </a:xfrm>
                          <a:custGeom>
                            <a:avLst/>
                            <a:gdLst/>
                            <a:ahLst/>
                            <a:cxnLst/>
                            <a:rect l="l" t="t" r="r" b="b"/>
                            <a:pathLst>
                              <a:path w="152400" h="1162050">
                                <a:moveTo>
                                  <a:pt x="152400" y="0"/>
                                </a:moveTo>
                                <a:lnTo>
                                  <a:pt x="122759" y="7602"/>
                                </a:lnTo>
                                <a:lnTo>
                                  <a:pt x="98536" y="28336"/>
                                </a:lnTo>
                                <a:lnTo>
                                  <a:pt x="82194" y="59096"/>
                                </a:lnTo>
                                <a:lnTo>
                                  <a:pt x="76200" y="96774"/>
                                </a:lnTo>
                                <a:lnTo>
                                  <a:pt x="76200" y="484124"/>
                                </a:lnTo>
                                <a:lnTo>
                                  <a:pt x="70205" y="521874"/>
                                </a:lnTo>
                                <a:lnTo>
                                  <a:pt x="53863" y="552672"/>
                                </a:lnTo>
                                <a:lnTo>
                                  <a:pt x="29640" y="573420"/>
                                </a:lnTo>
                                <a:lnTo>
                                  <a:pt x="0" y="581025"/>
                                </a:lnTo>
                                <a:lnTo>
                                  <a:pt x="29640" y="588627"/>
                                </a:lnTo>
                                <a:lnTo>
                                  <a:pt x="53863" y="609361"/>
                                </a:lnTo>
                                <a:lnTo>
                                  <a:pt x="70205" y="640121"/>
                                </a:lnTo>
                                <a:lnTo>
                                  <a:pt x="76200" y="677799"/>
                                </a:lnTo>
                                <a:lnTo>
                                  <a:pt x="76200" y="1065149"/>
                                </a:lnTo>
                                <a:lnTo>
                                  <a:pt x="82194" y="1102899"/>
                                </a:lnTo>
                                <a:lnTo>
                                  <a:pt x="98536" y="1133697"/>
                                </a:lnTo>
                                <a:lnTo>
                                  <a:pt x="122759" y="1154445"/>
                                </a:lnTo>
                                <a:lnTo>
                                  <a:pt x="152400" y="1162050"/>
                                </a:lnTo>
                                <a:lnTo>
                                  <a:pt x="152400" y="0"/>
                                </a:lnTo>
                                <a:close/>
                              </a:path>
                            </a:pathLst>
                          </a:custGeom>
                          <a:solidFill>
                            <a:srgbClr val="612322">
                              <a:alpha val="50195"/>
                            </a:srgbClr>
                          </a:solidFill>
                        </wps:spPr>
                        <wps:bodyPr wrap="square" lIns="0" tIns="0" rIns="0" bIns="0" rtlCol="0">
                          <a:prstTxWarp prst="textNoShape">
                            <a:avLst/>
                          </a:prstTxWarp>
                          <a:noAutofit/>
                        </wps:bodyPr>
                      </wps:wsp>
                      <wps:wsp>
                        <wps:cNvPr id="62" name="Graphic 62"/>
                        <wps:cNvSpPr/>
                        <wps:spPr>
                          <a:xfrm>
                            <a:off x="1203325" y="806450"/>
                            <a:ext cx="152400" cy="1162050"/>
                          </a:xfrm>
                          <a:custGeom>
                            <a:avLst/>
                            <a:gdLst/>
                            <a:ahLst/>
                            <a:cxnLst/>
                            <a:rect l="l" t="t" r="r" b="b"/>
                            <a:pathLst>
                              <a:path w="152400" h="1162050">
                                <a:moveTo>
                                  <a:pt x="152400" y="0"/>
                                </a:moveTo>
                                <a:lnTo>
                                  <a:pt x="122759" y="7602"/>
                                </a:lnTo>
                                <a:lnTo>
                                  <a:pt x="98536" y="28336"/>
                                </a:lnTo>
                                <a:lnTo>
                                  <a:pt x="82194" y="59096"/>
                                </a:lnTo>
                                <a:lnTo>
                                  <a:pt x="76200" y="96774"/>
                                </a:lnTo>
                                <a:lnTo>
                                  <a:pt x="76200" y="484124"/>
                                </a:lnTo>
                                <a:lnTo>
                                  <a:pt x="70205" y="521874"/>
                                </a:lnTo>
                                <a:lnTo>
                                  <a:pt x="53863" y="552672"/>
                                </a:lnTo>
                                <a:lnTo>
                                  <a:pt x="29640" y="573420"/>
                                </a:lnTo>
                                <a:lnTo>
                                  <a:pt x="0" y="581025"/>
                                </a:lnTo>
                                <a:lnTo>
                                  <a:pt x="29640" y="588627"/>
                                </a:lnTo>
                                <a:lnTo>
                                  <a:pt x="53863" y="609361"/>
                                </a:lnTo>
                                <a:lnTo>
                                  <a:pt x="70205" y="640121"/>
                                </a:lnTo>
                                <a:lnTo>
                                  <a:pt x="76200" y="677799"/>
                                </a:lnTo>
                                <a:lnTo>
                                  <a:pt x="76200" y="1065149"/>
                                </a:lnTo>
                                <a:lnTo>
                                  <a:pt x="82194" y="1102899"/>
                                </a:lnTo>
                                <a:lnTo>
                                  <a:pt x="98536" y="1133697"/>
                                </a:lnTo>
                                <a:lnTo>
                                  <a:pt x="122759" y="1154445"/>
                                </a:lnTo>
                                <a:lnTo>
                                  <a:pt x="152400" y="1162050"/>
                                </a:lnTo>
                              </a:path>
                            </a:pathLst>
                          </a:custGeom>
                          <a:ln w="38100">
                            <a:solidFill>
                              <a:srgbClr val="612322"/>
                            </a:solidFill>
                            <a:prstDash val="solid"/>
                          </a:ln>
                        </wps:spPr>
                        <wps:bodyPr wrap="square" lIns="0" tIns="0" rIns="0" bIns="0" rtlCol="0">
                          <a:prstTxWarp prst="textNoShape">
                            <a:avLst/>
                          </a:prstTxWarp>
                          <a:noAutofit/>
                        </wps:bodyPr>
                      </wps:wsp>
                      <wps:wsp>
                        <wps:cNvPr id="63" name="Graphic 63"/>
                        <wps:cNvSpPr/>
                        <wps:spPr>
                          <a:xfrm>
                            <a:off x="1190625" y="781050"/>
                            <a:ext cx="152400" cy="1162050"/>
                          </a:xfrm>
                          <a:custGeom>
                            <a:avLst/>
                            <a:gdLst/>
                            <a:ahLst/>
                            <a:cxnLst/>
                            <a:rect l="l" t="t" r="r" b="b"/>
                            <a:pathLst>
                              <a:path w="152400" h="1162050">
                                <a:moveTo>
                                  <a:pt x="152400" y="0"/>
                                </a:moveTo>
                                <a:lnTo>
                                  <a:pt x="122759" y="7602"/>
                                </a:lnTo>
                                <a:lnTo>
                                  <a:pt x="98536" y="28336"/>
                                </a:lnTo>
                                <a:lnTo>
                                  <a:pt x="82194" y="59096"/>
                                </a:lnTo>
                                <a:lnTo>
                                  <a:pt x="76200" y="96774"/>
                                </a:lnTo>
                                <a:lnTo>
                                  <a:pt x="76200" y="484124"/>
                                </a:lnTo>
                                <a:lnTo>
                                  <a:pt x="70205" y="521874"/>
                                </a:lnTo>
                                <a:lnTo>
                                  <a:pt x="53863" y="552672"/>
                                </a:lnTo>
                                <a:lnTo>
                                  <a:pt x="29640" y="573420"/>
                                </a:lnTo>
                                <a:lnTo>
                                  <a:pt x="0" y="581025"/>
                                </a:lnTo>
                                <a:lnTo>
                                  <a:pt x="29640" y="588627"/>
                                </a:lnTo>
                                <a:lnTo>
                                  <a:pt x="53863" y="609361"/>
                                </a:lnTo>
                                <a:lnTo>
                                  <a:pt x="70205" y="640121"/>
                                </a:lnTo>
                                <a:lnTo>
                                  <a:pt x="76200" y="677799"/>
                                </a:lnTo>
                                <a:lnTo>
                                  <a:pt x="76200" y="1065149"/>
                                </a:lnTo>
                                <a:lnTo>
                                  <a:pt x="82194" y="1102899"/>
                                </a:lnTo>
                                <a:lnTo>
                                  <a:pt x="98536" y="1133697"/>
                                </a:lnTo>
                                <a:lnTo>
                                  <a:pt x="122759" y="1154445"/>
                                </a:lnTo>
                                <a:lnTo>
                                  <a:pt x="152400" y="1162050"/>
                                </a:lnTo>
                                <a:lnTo>
                                  <a:pt x="152400" y="0"/>
                                </a:lnTo>
                                <a:close/>
                              </a:path>
                            </a:pathLst>
                          </a:custGeom>
                          <a:solidFill>
                            <a:srgbClr val="C0504D"/>
                          </a:solidFill>
                        </wps:spPr>
                        <wps:bodyPr wrap="square" lIns="0" tIns="0" rIns="0" bIns="0" rtlCol="0">
                          <a:prstTxWarp prst="textNoShape">
                            <a:avLst/>
                          </a:prstTxWarp>
                          <a:noAutofit/>
                        </wps:bodyPr>
                      </wps:wsp>
                      <wps:wsp>
                        <wps:cNvPr id="64" name="Graphic 64"/>
                        <wps:cNvSpPr/>
                        <wps:spPr>
                          <a:xfrm>
                            <a:off x="1190625" y="781050"/>
                            <a:ext cx="152400" cy="1162050"/>
                          </a:xfrm>
                          <a:custGeom>
                            <a:avLst/>
                            <a:gdLst/>
                            <a:ahLst/>
                            <a:cxnLst/>
                            <a:rect l="l" t="t" r="r" b="b"/>
                            <a:pathLst>
                              <a:path w="152400" h="1162050">
                                <a:moveTo>
                                  <a:pt x="152400" y="0"/>
                                </a:moveTo>
                                <a:lnTo>
                                  <a:pt x="122759" y="7602"/>
                                </a:lnTo>
                                <a:lnTo>
                                  <a:pt x="98536" y="28336"/>
                                </a:lnTo>
                                <a:lnTo>
                                  <a:pt x="82194" y="59096"/>
                                </a:lnTo>
                                <a:lnTo>
                                  <a:pt x="76200" y="96774"/>
                                </a:lnTo>
                                <a:lnTo>
                                  <a:pt x="76200" y="484124"/>
                                </a:lnTo>
                                <a:lnTo>
                                  <a:pt x="70205" y="521874"/>
                                </a:lnTo>
                                <a:lnTo>
                                  <a:pt x="53863" y="552672"/>
                                </a:lnTo>
                                <a:lnTo>
                                  <a:pt x="29640" y="573420"/>
                                </a:lnTo>
                                <a:lnTo>
                                  <a:pt x="0" y="581025"/>
                                </a:lnTo>
                                <a:lnTo>
                                  <a:pt x="29640" y="588627"/>
                                </a:lnTo>
                                <a:lnTo>
                                  <a:pt x="53863" y="609361"/>
                                </a:lnTo>
                                <a:lnTo>
                                  <a:pt x="70205" y="640121"/>
                                </a:lnTo>
                                <a:lnTo>
                                  <a:pt x="76200" y="677799"/>
                                </a:lnTo>
                                <a:lnTo>
                                  <a:pt x="76200" y="1065149"/>
                                </a:lnTo>
                                <a:lnTo>
                                  <a:pt x="82194" y="1102899"/>
                                </a:lnTo>
                                <a:lnTo>
                                  <a:pt x="98536" y="1133697"/>
                                </a:lnTo>
                                <a:lnTo>
                                  <a:pt x="122759" y="1154445"/>
                                </a:lnTo>
                                <a:lnTo>
                                  <a:pt x="152400" y="1162050"/>
                                </a:lnTo>
                              </a:path>
                            </a:pathLst>
                          </a:custGeom>
                          <a:ln w="38100">
                            <a:solidFill>
                              <a:srgbClr val="F1F1F1"/>
                            </a:solidFill>
                            <a:prstDash val="solid"/>
                          </a:ln>
                        </wps:spPr>
                        <wps:bodyPr wrap="square" lIns="0" tIns="0" rIns="0" bIns="0" rtlCol="0">
                          <a:prstTxWarp prst="textNoShape">
                            <a:avLst/>
                          </a:prstTxWarp>
                          <a:noAutofit/>
                        </wps:bodyPr>
                      </wps:wsp>
                      <wps:wsp>
                        <wps:cNvPr id="65" name="Graphic 65"/>
                        <wps:cNvSpPr/>
                        <wps:spPr>
                          <a:xfrm>
                            <a:off x="3051175" y="149225"/>
                            <a:ext cx="152400" cy="657225"/>
                          </a:xfrm>
                          <a:custGeom>
                            <a:avLst/>
                            <a:gdLst/>
                            <a:ahLst/>
                            <a:cxnLst/>
                            <a:rect l="l" t="t" r="r" b="b"/>
                            <a:pathLst>
                              <a:path w="152400" h="657225">
                                <a:moveTo>
                                  <a:pt x="0" y="0"/>
                                </a:moveTo>
                                <a:lnTo>
                                  <a:pt x="0" y="657225"/>
                                </a:lnTo>
                                <a:lnTo>
                                  <a:pt x="29640" y="652922"/>
                                </a:lnTo>
                                <a:lnTo>
                                  <a:pt x="53863" y="641191"/>
                                </a:lnTo>
                                <a:lnTo>
                                  <a:pt x="70205" y="623792"/>
                                </a:lnTo>
                                <a:lnTo>
                                  <a:pt x="76200" y="602488"/>
                                </a:lnTo>
                                <a:lnTo>
                                  <a:pt x="76200" y="383413"/>
                                </a:lnTo>
                                <a:lnTo>
                                  <a:pt x="82194" y="362088"/>
                                </a:lnTo>
                                <a:lnTo>
                                  <a:pt x="98536" y="344646"/>
                                </a:lnTo>
                                <a:lnTo>
                                  <a:pt x="122759" y="332870"/>
                                </a:lnTo>
                                <a:lnTo>
                                  <a:pt x="152400" y="328549"/>
                                </a:lnTo>
                                <a:lnTo>
                                  <a:pt x="122759" y="324246"/>
                                </a:lnTo>
                                <a:lnTo>
                                  <a:pt x="98536" y="312515"/>
                                </a:lnTo>
                                <a:lnTo>
                                  <a:pt x="82194" y="295116"/>
                                </a:lnTo>
                                <a:lnTo>
                                  <a:pt x="76200" y="273812"/>
                                </a:lnTo>
                                <a:lnTo>
                                  <a:pt x="76200" y="54737"/>
                                </a:lnTo>
                                <a:lnTo>
                                  <a:pt x="70205" y="33432"/>
                                </a:lnTo>
                                <a:lnTo>
                                  <a:pt x="53863" y="16033"/>
                                </a:lnTo>
                                <a:lnTo>
                                  <a:pt x="29640" y="4302"/>
                                </a:lnTo>
                                <a:lnTo>
                                  <a:pt x="0" y="0"/>
                                </a:lnTo>
                                <a:close/>
                              </a:path>
                            </a:pathLst>
                          </a:custGeom>
                          <a:solidFill>
                            <a:srgbClr val="612322">
                              <a:alpha val="50195"/>
                            </a:srgbClr>
                          </a:solidFill>
                        </wps:spPr>
                        <wps:bodyPr wrap="square" lIns="0" tIns="0" rIns="0" bIns="0" rtlCol="0">
                          <a:prstTxWarp prst="textNoShape">
                            <a:avLst/>
                          </a:prstTxWarp>
                          <a:noAutofit/>
                        </wps:bodyPr>
                      </wps:wsp>
                      <wps:wsp>
                        <wps:cNvPr id="66" name="Graphic 66"/>
                        <wps:cNvSpPr/>
                        <wps:spPr>
                          <a:xfrm>
                            <a:off x="3051175" y="149225"/>
                            <a:ext cx="152400" cy="657225"/>
                          </a:xfrm>
                          <a:custGeom>
                            <a:avLst/>
                            <a:gdLst/>
                            <a:ahLst/>
                            <a:cxnLst/>
                            <a:rect l="l" t="t" r="r" b="b"/>
                            <a:pathLst>
                              <a:path w="152400" h="657225">
                                <a:moveTo>
                                  <a:pt x="0" y="0"/>
                                </a:moveTo>
                                <a:lnTo>
                                  <a:pt x="29640" y="4302"/>
                                </a:lnTo>
                                <a:lnTo>
                                  <a:pt x="53863" y="16033"/>
                                </a:lnTo>
                                <a:lnTo>
                                  <a:pt x="70205" y="33432"/>
                                </a:lnTo>
                                <a:lnTo>
                                  <a:pt x="76200" y="54737"/>
                                </a:lnTo>
                                <a:lnTo>
                                  <a:pt x="76200" y="273812"/>
                                </a:lnTo>
                                <a:lnTo>
                                  <a:pt x="82194" y="295116"/>
                                </a:lnTo>
                                <a:lnTo>
                                  <a:pt x="98536" y="312515"/>
                                </a:lnTo>
                                <a:lnTo>
                                  <a:pt x="122759" y="324246"/>
                                </a:lnTo>
                                <a:lnTo>
                                  <a:pt x="152400" y="328549"/>
                                </a:lnTo>
                                <a:lnTo>
                                  <a:pt x="122759" y="332870"/>
                                </a:lnTo>
                                <a:lnTo>
                                  <a:pt x="98536" y="344646"/>
                                </a:lnTo>
                                <a:lnTo>
                                  <a:pt x="82194" y="362088"/>
                                </a:lnTo>
                                <a:lnTo>
                                  <a:pt x="76200" y="383413"/>
                                </a:lnTo>
                                <a:lnTo>
                                  <a:pt x="76200" y="602488"/>
                                </a:lnTo>
                                <a:lnTo>
                                  <a:pt x="70205" y="623792"/>
                                </a:lnTo>
                                <a:lnTo>
                                  <a:pt x="53863" y="641191"/>
                                </a:lnTo>
                                <a:lnTo>
                                  <a:pt x="29640" y="652922"/>
                                </a:lnTo>
                                <a:lnTo>
                                  <a:pt x="0" y="657225"/>
                                </a:lnTo>
                              </a:path>
                            </a:pathLst>
                          </a:custGeom>
                          <a:ln w="38100">
                            <a:solidFill>
                              <a:srgbClr val="612322"/>
                            </a:solidFill>
                            <a:prstDash val="solid"/>
                          </a:ln>
                        </wps:spPr>
                        <wps:bodyPr wrap="square" lIns="0" tIns="0" rIns="0" bIns="0" rtlCol="0">
                          <a:prstTxWarp prst="textNoShape">
                            <a:avLst/>
                          </a:prstTxWarp>
                          <a:noAutofit/>
                        </wps:bodyPr>
                      </wps:wsp>
                      <wps:wsp>
                        <wps:cNvPr id="67" name="Graphic 67"/>
                        <wps:cNvSpPr/>
                        <wps:spPr>
                          <a:xfrm>
                            <a:off x="3038475" y="123825"/>
                            <a:ext cx="152400" cy="657225"/>
                          </a:xfrm>
                          <a:custGeom>
                            <a:avLst/>
                            <a:gdLst/>
                            <a:ahLst/>
                            <a:cxnLst/>
                            <a:rect l="l" t="t" r="r" b="b"/>
                            <a:pathLst>
                              <a:path w="152400" h="657225">
                                <a:moveTo>
                                  <a:pt x="0" y="0"/>
                                </a:moveTo>
                                <a:lnTo>
                                  <a:pt x="0" y="657225"/>
                                </a:lnTo>
                                <a:lnTo>
                                  <a:pt x="29640" y="652922"/>
                                </a:lnTo>
                                <a:lnTo>
                                  <a:pt x="53863" y="641191"/>
                                </a:lnTo>
                                <a:lnTo>
                                  <a:pt x="70205" y="623792"/>
                                </a:lnTo>
                                <a:lnTo>
                                  <a:pt x="76200" y="602488"/>
                                </a:lnTo>
                                <a:lnTo>
                                  <a:pt x="76200" y="383413"/>
                                </a:lnTo>
                                <a:lnTo>
                                  <a:pt x="82194" y="362088"/>
                                </a:lnTo>
                                <a:lnTo>
                                  <a:pt x="98536" y="344646"/>
                                </a:lnTo>
                                <a:lnTo>
                                  <a:pt x="122759" y="332870"/>
                                </a:lnTo>
                                <a:lnTo>
                                  <a:pt x="152400" y="328549"/>
                                </a:lnTo>
                                <a:lnTo>
                                  <a:pt x="122759" y="324246"/>
                                </a:lnTo>
                                <a:lnTo>
                                  <a:pt x="98536" y="312515"/>
                                </a:lnTo>
                                <a:lnTo>
                                  <a:pt x="82194" y="295116"/>
                                </a:lnTo>
                                <a:lnTo>
                                  <a:pt x="76200" y="273812"/>
                                </a:lnTo>
                                <a:lnTo>
                                  <a:pt x="76200" y="54737"/>
                                </a:lnTo>
                                <a:lnTo>
                                  <a:pt x="70205" y="33432"/>
                                </a:lnTo>
                                <a:lnTo>
                                  <a:pt x="53863" y="16033"/>
                                </a:lnTo>
                                <a:lnTo>
                                  <a:pt x="29640" y="4302"/>
                                </a:lnTo>
                                <a:lnTo>
                                  <a:pt x="0" y="0"/>
                                </a:lnTo>
                                <a:close/>
                              </a:path>
                            </a:pathLst>
                          </a:custGeom>
                          <a:solidFill>
                            <a:srgbClr val="C0504D"/>
                          </a:solidFill>
                        </wps:spPr>
                        <wps:bodyPr wrap="square" lIns="0" tIns="0" rIns="0" bIns="0" rtlCol="0">
                          <a:prstTxWarp prst="textNoShape">
                            <a:avLst/>
                          </a:prstTxWarp>
                          <a:noAutofit/>
                        </wps:bodyPr>
                      </wps:wsp>
                      <wps:wsp>
                        <wps:cNvPr id="68" name="Graphic 68"/>
                        <wps:cNvSpPr/>
                        <wps:spPr>
                          <a:xfrm>
                            <a:off x="3038475" y="123825"/>
                            <a:ext cx="152400" cy="657225"/>
                          </a:xfrm>
                          <a:custGeom>
                            <a:avLst/>
                            <a:gdLst/>
                            <a:ahLst/>
                            <a:cxnLst/>
                            <a:rect l="l" t="t" r="r" b="b"/>
                            <a:pathLst>
                              <a:path w="152400" h="657225">
                                <a:moveTo>
                                  <a:pt x="0" y="0"/>
                                </a:moveTo>
                                <a:lnTo>
                                  <a:pt x="29640" y="4302"/>
                                </a:lnTo>
                                <a:lnTo>
                                  <a:pt x="53863" y="16033"/>
                                </a:lnTo>
                                <a:lnTo>
                                  <a:pt x="70205" y="33432"/>
                                </a:lnTo>
                                <a:lnTo>
                                  <a:pt x="76200" y="54737"/>
                                </a:lnTo>
                                <a:lnTo>
                                  <a:pt x="76200" y="273812"/>
                                </a:lnTo>
                                <a:lnTo>
                                  <a:pt x="82194" y="295116"/>
                                </a:lnTo>
                                <a:lnTo>
                                  <a:pt x="98536" y="312515"/>
                                </a:lnTo>
                                <a:lnTo>
                                  <a:pt x="122759" y="324246"/>
                                </a:lnTo>
                                <a:lnTo>
                                  <a:pt x="152400" y="328549"/>
                                </a:lnTo>
                                <a:lnTo>
                                  <a:pt x="122759" y="332870"/>
                                </a:lnTo>
                                <a:lnTo>
                                  <a:pt x="98536" y="344646"/>
                                </a:lnTo>
                                <a:lnTo>
                                  <a:pt x="82194" y="362088"/>
                                </a:lnTo>
                                <a:lnTo>
                                  <a:pt x="76200" y="383413"/>
                                </a:lnTo>
                                <a:lnTo>
                                  <a:pt x="76200" y="602488"/>
                                </a:lnTo>
                                <a:lnTo>
                                  <a:pt x="70205" y="623792"/>
                                </a:lnTo>
                                <a:lnTo>
                                  <a:pt x="53863" y="641191"/>
                                </a:lnTo>
                                <a:lnTo>
                                  <a:pt x="29640" y="652922"/>
                                </a:lnTo>
                                <a:lnTo>
                                  <a:pt x="0" y="657225"/>
                                </a:lnTo>
                              </a:path>
                            </a:pathLst>
                          </a:custGeom>
                          <a:ln w="38100">
                            <a:solidFill>
                              <a:srgbClr val="F1F1F1"/>
                            </a:solidFill>
                            <a:prstDash val="solid"/>
                          </a:ln>
                        </wps:spPr>
                        <wps:bodyPr wrap="square" lIns="0" tIns="0" rIns="0" bIns="0" rtlCol="0">
                          <a:prstTxWarp prst="textNoShape">
                            <a:avLst/>
                          </a:prstTxWarp>
                          <a:noAutofit/>
                        </wps:bodyPr>
                      </wps:wsp>
                      <wps:wsp>
                        <wps:cNvPr id="69" name="Graphic 69"/>
                        <wps:cNvSpPr/>
                        <wps:spPr>
                          <a:xfrm>
                            <a:off x="3200400" y="1133475"/>
                            <a:ext cx="1270" cy="361950"/>
                          </a:xfrm>
                          <a:custGeom>
                            <a:avLst/>
                            <a:gdLst/>
                            <a:ahLst/>
                            <a:cxnLst/>
                            <a:rect l="l" t="t" r="r" b="b"/>
                            <a:pathLst>
                              <a:path w="0" h="361950">
                                <a:moveTo>
                                  <a:pt x="0" y="0"/>
                                </a:moveTo>
                                <a:lnTo>
                                  <a:pt x="0" y="361950"/>
                                </a:lnTo>
                              </a:path>
                            </a:pathLst>
                          </a:custGeom>
                          <a:ln w="31750">
                            <a:solidFill>
                              <a:srgbClr val="000000"/>
                            </a:solidFill>
                            <a:prstDash val="solid"/>
                          </a:ln>
                        </wps:spPr>
                        <wps:bodyPr wrap="square" lIns="0" tIns="0" rIns="0" bIns="0" rtlCol="0">
                          <a:prstTxWarp prst="textNoShape">
                            <a:avLst/>
                          </a:prstTxWarp>
                          <a:noAutofit/>
                        </wps:bodyPr>
                      </wps:wsp>
                      <wps:wsp>
                        <wps:cNvPr id="70" name="Graphic 70"/>
                        <wps:cNvSpPr/>
                        <wps:spPr>
                          <a:xfrm>
                            <a:off x="4194175" y="1063625"/>
                            <a:ext cx="152400" cy="457200"/>
                          </a:xfrm>
                          <a:custGeom>
                            <a:avLst/>
                            <a:gdLst/>
                            <a:ahLst/>
                            <a:cxnLst/>
                            <a:rect l="l" t="t" r="r" b="b"/>
                            <a:pathLst>
                              <a:path w="152400" h="457200">
                                <a:moveTo>
                                  <a:pt x="0" y="0"/>
                                </a:moveTo>
                                <a:lnTo>
                                  <a:pt x="0" y="457200"/>
                                </a:lnTo>
                                <a:lnTo>
                                  <a:pt x="29640" y="454211"/>
                                </a:lnTo>
                                <a:lnTo>
                                  <a:pt x="53863" y="446055"/>
                                </a:lnTo>
                                <a:lnTo>
                                  <a:pt x="70205" y="433947"/>
                                </a:lnTo>
                                <a:lnTo>
                                  <a:pt x="76200" y="419100"/>
                                </a:lnTo>
                                <a:lnTo>
                                  <a:pt x="76200" y="266700"/>
                                </a:lnTo>
                                <a:lnTo>
                                  <a:pt x="82194" y="251852"/>
                                </a:lnTo>
                                <a:lnTo>
                                  <a:pt x="98536" y="239744"/>
                                </a:lnTo>
                                <a:lnTo>
                                  <a:pt x="122759" y="231588"/>
                                </a:lnTo>
                                <a:lnTo>
                                  <a:pt x="152400" y="228600"/>
                                </a:lnTo>
                                <a:lnTo>
                                  <a:pt x="122759" y="225611"/>
                                </a:lnTo>
                                <a:lnTo>
                                  <a:pt x="98536" y="217455"/>
                                </a:lnTo>
                                <a:lnTo>
                                  <a:pt x="82194" y="205347"/>
                                </a:lnTo>
                                <a:lnTo>
                                  <a:pt x="76200" y="190500"/>
                                </a:lnTo>
                                <a:lnTo>
                                  <a:pt x="76200" y="38100"/>
                                </a:lnTo>
                                <a:lnTo>
                                  <a:pt x="70205" y="23252"/>
                                </a:lnTo>
                                <a:lnTo>
                                  <a:pt x="53863" y="11144"/>
                                </a:lnTo>
                                <a:lnTo>
                                  <a:pt x="29640" y="2988"/>
                                </a:lnTo>
                                <a:lnTo>
                                  <a:pt x="0" y="0"/>
                                </a:lnTo>
                                <a:close/>
                              </a:path>
                            </a:pathLst>
                          </a:custGeom>
                          <a:solidFill>
                            <a:srgbClr val="612322">
                              <a:alpha val="50195"/>
                            </a:srgbClr>
                          </a:solidFill>
                        </wps:spPr>
                        <wps:bodyPr wrap="square" lIns="0" tIns="0" rIns="0" bIns="0" rtlCol="0">
                          <a:prstTxWarp prst="textNoShape">
                            <a:avLst/>
                          </a:prstTxWarp>
                          <a:noAutofit/>
                        </wps:bodyPr>
                      </wps:wsp>
                      <wps:wsp>
                        <wps:cNvPr id="71" name="Graphic 71"/>
                        <wps:cNvSpPr/>
                        <wps:spPr>
                          <a:xfrm>
                            <a:off x="4194175" y="1063625"/>
                            <a:ext cx="152400" cy="457200"/>
                          </a:xfrm>
                          <a:custGeom>
                            <a:avLst/>
                            <a:gdLst/>
                            <a:ahLst/>
                            <a:cxnLst/>
                            <a:rect l="l" t="t" r="r" b="b"/>
                            <a:pathLst>
                              <a:path w="152400" h="457200">
                                <a:moveTo>
                                  <a:pt x="0" y="0"/>
                                </a:moveTo>
                                <a:lnTo>
                                  <a:pt x="29640" y="2988"/>
                                </a:lnTo>
                                <a:lnTo>
                                  <a:pt x="53863" y="11144"/>
                                </a:lnTo>
                                <a:lnTo>
                                  <a:pt x="70205" y="23252"/>
                                </a:lnTo>
                                <a:lnTo>
                                  <a:pt x="76200" y="38100"/>
                                </a:lnTo>
                                <a:lnTo>
                                  <a:pt x="76200" y="190500"/>
                                </a:lnTo>
                                <a:lnTo>
                                  <a:pt x="82194" y="205347"/>
                                </a:lnTo>
                                <a:lnTo>
                                  <a:pt x="98536" y="217455"/>
                                </a:lnTo>
                                <a:lnTo>
                                  <a:pt x="122759" y="225611"/>
                                </a:lnTo>
                                <a:lnTo>
                                  <a:pt x="152400" y="228600"/>
                                </a:lnTo>
                                <a:lnTo>
                                  <a:pt x="122759" y="231588"/>
                                </a:lnTo>
                                <a:lnTo>
                                  <a:pt x="98536" y="239744"/>
                                </a:lnTo>
                                <a:lnTo>
                                  <a:pt x="82194" y="251852"/>
                                </a:lnTo>
                                <a:lnTo>
                                  <a:pt x="76200" y="266700"/>
                                </a:lnTo>
                                <a:lnTo>
                                  <a:pt x="76200" y="419100"/>
                                </a:lnTo>
                                <a:lnTo>
                                  <a:pt x="70205" y="433947"/>
                                </a:lnTo>
                                <a:lnTo>
                                  <a:pt x="53863" y="446055"/>
                                </a:lnTo>
                                <a:lnTo>
                                  <a:pt x="29640" y="454211"/>
                                </a:lnTo>
                                <a:lnTo>
                                  <a:pt x="0" y="457200"/>
                                </a:lnTo>
                              </a:path>
                            </a:pathLst>
                          </a:custGeom>
                          <a:ln w="38100">
                            <a:solidFill>
                              <a:srgbClr val="612322"/>
                            </a:solidFill>
                            <a:prstDash val="solid"/>
                          </a:ln>
                        </wps:spPr>
                        <wps:bodyPr wrap="square" lIns="0" tIns="0" rIns="0" bIns="0" rtlCol="0">
                          <a:prstTxWarp prst="textNoShape">
                            <a:avLst/>
                          </a:prstTxWarp>
                          <a:noAutofit/>
                        </wps:bodyPr>
                      </wps:wsp>
                      <wps:wsp>
                        <wps:cNvPr id="72" name="Graphic 72"/>
                        <wps:cNvSpPr/>
                        <wps:spPr>
                          <a:xfrm>
                            <a:off x="4181475" y="1038225"/>
                            <a:ext cx="152400" cy="457200"/>
                          </a:xfrm>
                          <a:custGeom>
                            <a:avLst/>
                            <a:gdLst/>
                            <a:ahLst/>
                            <a:cxnLst/>
                            <a:rect l="l" t="t" r="r" b="b"/>
                            <a:pathLst>
                              <a:path w="152400" h="457200">
                                <a:moveTo>
                                  <a:pt x="0" y="0"/>
                                </a:moveTo>
                                <a:lnTo>
                                  <a:pt x="0" y="457200"/>
                                </a:lnTo>
                                <a:lnTo>
                                  <a:pt x="29640" y="454211"/>
                                </a:lnTo>
                                <a:lnTo>
                                  <a:pt x="53863" y="446055"/>
                                </a:lnTo>
                                <a:lnTo>
                                  <a:pt x="70205" y="433947"/>
                                </a:lnTo>
                                <a:lnTo>
                                  <a:pt x="76200" y="419100"/>
                                </a:lnTo>
                                <a:lnTo>
                                  <a:pt x="76200" y="266700"/>
                                </a:lnTo>
                                <a:lnTo>
                                  <a:pt x="82194" y="251852"/>
                                </a:lnTo>
                                <a:lnTo>
                                  <a:pt x="98536" y="239744"/>
                                </a:lnTo>
                                <a:lnTo>
                                  <a:pt x="122759" y="231588"/>
                                </a:lnTo>
                                <a:lnTo>
                                  <a:pt x="152400" y="228600"/>
                                </a:lnTo>
                                <a:lnTo>
                                  <a:pt x="122759" y="225611"/>
                                </a:lnTo>
                                <a:lnTo>
                                  <a:pt x="98536" y="217455"/>
                                </a:lnTo>
                                <a:lnTo>
                                  <a:pt x="82194" y="205347"/>
                                </a:lnTo>
                                <a:lnTo>
                                  <a:pt x="76200" y="190500"/>
                                </a:lnTo>
                                <a:lnTo>
                                  <a:pt x="76200" y="38100"/>
                                </a:lnTo>
                                <a:lnTo>
                                  <a:pt x="70205" y="23252"/>
                                </a:lnTo>
                                <a:lnTo>
                                  <a:pt x="53863" y="11144"/>
                                </a:lnTo>
                                <a:lnTo>
                                  <a:pt x="29640" y="2988"/>
                                </a:lnTo>
                                <a:lnTo>
                                  <a:pt x="0" y="0"/>
                                </a:lnTo>
                                <a:close/>
                              </a:path>
                            </a:pathLst>
                          </a:custGeom>
                          <a:solidFill>
                            <a:srgbClr val="C0504D"/>
                          </a:solidFill>
                        </wps:spPr>
                        <wps:bodyPr wrap="square" lIns="0" tIns="0" rIns="0" bIns="0" rtlCol="0">
                          <a:prstTxWarp prst="textNoShape">
                            <a:avLst/>
                          </a:prstTxWarp>
                          <a:noAutofit/>
                        </wps:bodyPr>
                      </wps:wsp>
                      <wps:wsp>
                        <wps:cNvPr id="73" name="Graphic 73"/>
                        <wps:cNvSpPr/>
                        <wps:spPr>
                          <a:xfrm>
                            <a:off x="4181475" y="1038225"/>
                            <a:ext cx="152400" cy="457200"/>
                          </a:xfrm>
                          <a:custGeom>
                            <a:avLst/>
                            <a:gdLst/>
                            <a:ahLst/>
                            <a:cxnLst/>
                            <a:rect l="l" t="t" r="r" b="b"/>
                            <a:pathLst>
                              <a:path w="152400" h="457200">
                                <a:moveTo>
                                  <a:pt x="0" y="0"/>
                                </a:moveTo>
                                <a:lnTo>
                                  <a:pt x="29640" y="2988"/>
                                </a:lnTo>
                                <a:lnTo>
                                  <a:pt x="53863" y="11144"/>
                                </a:lnTo>
                                <a:lnTo>
                                  <a:pt x="70205" y="23252"/>
                                </a:lnTo>
                                <a:lnTo>
                                  <a:pt x="76200" y="38100"/>
                                </a:lnTo>
                                <a:lnTo>
                                  <a:pt x="76200" y="190500"/>
                                </a:lnTo>
                                <a:lnTo>
                                  <a:pt x="82194" y="205347"/>
                                </a:lnTo>
                                <a:lnTo>
                                  <a:pt x="98536" y="217455"/>
                                </a:lnTo>
                                <a:lnTo>
                                  <a:pt x="122759" y="225611"/>
                                </a:lnTo>
                                <a:lnTo>
                                  <a:pt x="152400" y="228600"/>
                                </a:lnTo>
                                <a:lnTo>
                                  <a:pt x="122759" y="231588"/>
                                </a:lnTo>
                                <a:lnTo>
                                  <a:pt x="98536" y="239744"/>
                                </a:lnTo>
                                <a:lnTo>
                                  <a:pt x="82194" y="251852"/>
                                </a:lnTo>
                                <a:lnTo>
                                  <a:pt x="76200" y="266700"/>
                                </a:lnTo>
                                <a:lnTo>
                                  <a:pt x="76200" y="419100"/>
                                </a:lnTo>
                                <a:lnTo>
                                  <a:pt x="70205" y="433947"/>
                                </a:lnTo>
                                <a:lnTo>
                                  <a:pt x="53863" y="446055"/>
                                </a:lnTo>
                                <a:lnTo>
                                  <a:pt x="29640" y="454211"/>
                                </a:lnTo>
                                <a:lnTo>
                                  <a:pt x="0" y="457200"/>
                                </a:lnTo>
                              </a:path>
                            </a:pathLst>
                          </a:custGeom>
                          <a:ln w="38100">
                            <a:solidFill>
                              <a:srgbClr val="F1F1F1"/>
                            </a:solidFill>
                            <a:prstDash val="solid"/>
                          </a:ln>
                        </wps:spPr>
                        <wps:bodyPr wrap="square" lIns="0" tIns="0" rIns="0" bIns="0" rtlCol="0">
                          <a:prstTxWarp prst="textNoShape">
                            <a:avLst/>
                          </a:prstTxWarp>
                          <a:noAutofit/>
                        </wps:bodyPr>
                      </wps:wsp>
                      <wps:wsp>
                        <wps:cNvPr id="74" name="Graphic 74"/>
                        <wps:cNvSpPr/>
                        <wps:spPr>
                          <a:xfrm>
                            <a:off x="2962275" y="1133475"/>
                            <a:ext cx="476250" cy="361950"/>
                          </a:xfrm>
                          <a:custGeom>
                            <a:avLst/>
                            <a:gdLst/>
                            <a:ahLst/>
                            <a:cxnLst/>
                            <a:rect l="l" t="t" r="r" b="b"/>
                            <a:pathLst>
                              <a:path w="476250" h="361950">
                                <a:moveTo>
                                  <a:pt x="238125" y="0"/>
                                </a:moveTo>
                                <a:lnTo>
                                  <a:pt x="476250" y="0"/>
                                </a:lnTo>
                              </a:path>
                              <a:path w="476250" h="361950">
                                <a:moveTo>
                                  <a:pt x="238125" y="361950"/>
                                </a:moveTo>
                                <a:lnTo>
                                  <a:pt x="476250" y="361950"/>
                                </a:lnTo>
                              </a:path>
                              <a:path w="476250" h="361950">
                                <a:moveTo>
                                  <a:pt x="0" y="161925"/>
                                </a:moveTo>
                                <a:lnTo>
                                  <a:pt x="238125" y="161925"/>
                                </a:lnTo>
                              </a:path>
                            </a:pathLst>
                          </a:custGeom>
                          <a:ln w="31750">
                            <a:solidFill>
                              <a:srgbClr val="000000"/>
                            </a:solidFill>
                            <a:prstDash val="solid"/>
                          </a:ln>
                        </wps:spPr>
                        <wps:bodyPr wrap="square" lIns="0" tIns="0" rIns="0" bIns="0" rtlCol="0">
                          <a:prstTxWarp prst="textNoShape">
                            <a:avLst/>
                          </a:prstTxWarp>
                          <a:noAutofit/>
                        </wps:bodyPr>
                      </wps:wsp>
                      <wps:wsp>
                        <wps:cNvPr id="75" name="Textbox 75"/>
                        <wps:cNvSpPr txBox="1"/>
                        <wps:spPr>
                          <a:xfrm>
                            <a:off x="1381125" y="1666875"/>
                            <a:ext cx="1555750" cy="351790"/>
                          </a:xfrm>
                          <a:prstGeom prst="rect">
                            <a:avLst/>
                          </a:prstGeom>
                          <a:solidFill>
                            <a:srgbClr val="000000"/>
                          </a:solidFill>
                        </wps:spPr>
                        <wps:txbx>
                          <w:txbxContent>
                            <w:p>
                              <w:pPr>
                                <w:spacing w:before="175"/>
                                <w:ind w:left="742" w:right="0" w:firstLine="0"/>
                                <w:jc w:val="left"/>
                                <w:rPr>
                                  <w:rFonts w:ascii="Calibri"/>
                                  <w:color w:val="000000"/>
                                  <w:sz w:val="22"/>
                                </w:rPr>
                              </w:pPr>
                              <w:r>
                                <w:rPr>
                                  <w:rFonts w:ascii="Calibri"/>
                                  <w:color w:val="FFFFFF"/>
                                  <w:spacing w:val="-2"/>
                                  <w:sz w:val="22"/>
                                </w:rPr>
                                <w:t>Outcomes</w:t>
                              </w:r>
                            </w:p>
                          </w:txbxContent>
                        </wps:txbx>
                        <wps:bodyPr wrap="square" lIns="0" tIns="0" rIns="0" bIns="0" rtlCol="0">
                          <a:noAutofit/>
                        </wps:bodyPr>
                      </wps:wsp>
                      <wps:wsp>
                        <wps:cNvPr id="76" name="Textbox 76"/>
                        <wps:cNvSpPr txBox="1"/>
                        <wps:spPr>
                          <a:xfrm>
                            <a:off x="3457575" y="1338262"/>
                            <a:ext cx="647700" cy="277495"/>
                          </a:xfrm>
                          <a:prstGeom prst="rect">
                            <a:avLst/>
                          </a:prstGeom>
                          <a:solidFill>
                            <a:srgbClr val="000000"/>
                          </a:solidFill>
                        </wps:spPr>
                        <wps:txbx>
                          <w:txbxContent>
                            <w:p>
                              <w:pPr>
                                <w:spacing w:before="66"/>
                                <w:ind w:left="144" w:right="0" w:firstLine="0"/>
                                <w:jc w:val="left"/>
                                <w:rPr>
                                  <w:rFonts w:ascii="Calibri"/>
                                  <w:color w:val="000000"/>
                                  <w:sz w:val="22"/>
                                </w:rPr>
                              </w:pPr>
                              <w:r>
                                <w:rPr>
                                  <w:rFonts w:ascii="Calibri"/>
                                  <w:color w:val="FFFFFF"/>
                                  <w:spacing w:val="-2"/>
                                  <w:sz w:val="22"/>
                                </w:rPr>
                                <w:t>Output</w:t>
                              </w:r>
                            </w:p>
                          </w:txbxContent>
                        </wps:txbx>
                        <wps:bodyPr wrap="square" lIns="0" tIns="0" rIns="0" bIns="0" rtlCol="0">
                          <a:noAutofit/>
                        </wps:bodyPr>
                      </wps:wsp>
                      <wps:wsp>
                        <wps:cNvPr id="77" name="Textbox 77"/>
                        <wps:cNvSpPr txBox="1"/>
                        <wps:spPr>
                          <a:xfrm>
                            <a:off x="1381125" y="1152525"/>
                            <a:ext cx="1555750" cy="323850"/>
                          </a:xfrm>
                          <a:prstGeom prst="rect">
                            <a:avLst/>
                          </a:prstGeom>
                        </wps:spPr>
                        <wps:txbx>
                          <w:txbxContent>
                            <w:p>
                              <w:pPr>
                                <w:spacing w:before="73"/>
                                <w:ind w:left="793" w:right="0" w:firstLine="0"/>
                                <w:jc w:val="left"/>
                                <w:rPr>
                                  <w:rFonts w:ascii="Calibri"/>
                                  <w:sz w:val="22"/>
                                </w:rPr>
                              </w:pPr>
                              <w:r>
                                <w:rPr>
                                  <w:rFonts w:ascii="Calibri"/>
                                  <w:color w:val="FFFFFF"/>
                                  <w:spacing w:val="-2"/>
                                  <w:sz w:val="22"/>
                                </w:rPr>
                                <w:t>Strategy</w:t>
                              </w:r>
                            </w:p>
                          </w:txbxContent>
                        </wps:txbx>
                        <wps:bodyPr wrap="square" lIns="0" tIns="0" rIns="0" bIns="0" rtlCol="0">
                          <a:noAutofit/>
                        </wps:bodyPr>
                      </wps:wsp>
                      <wps:wsp>
                        <wps:cNvPr id="78" name="Textbox 78"/>
                        <wps:cNvSpPr txBox="1"/>
                        <wps:spPr>
                          <a:xfrm>
                            <a:off x="4400550" y="1057275"/>
                            <a:ext cx="898525" cy="419100"/>
                          </a:xfrm>
                          <a:prstGeom prst="rect">
                            <a:avLst/>
                          </a:prstGeom>
                          <a:solidFill>
                            <a:srgbClr val="000000"/>
                          </a:solidFill>
                        </wps:spPr>
                        <wps:txbx>
                          <w:txbxContent>
                            <w:p>
                              <w:pPr>
                                <w:spacing w:line="310" w:lineRule="atLeast" w:before="28"/>
                                <w:ind w:left="144" w:right="402" w:firstLine="0"/>
                                <w:jc w:val="left"/>
                                <w:rPr>
                                  <w:rFonts w:ascii="Calibri"/>
                                  <w:color w:val="000000"/>
                                  <w:sz w:val="22"/>
                                </w:rPr>
                              </w:pPr>
                              <w:r>
                                <w:rPr>
                                  <w:rFonts w:ascii="Calibri"/>
                                  <w:color w:val="FFFFFF"/>
                                  <w:spacing w:val="-2"/>
                                  <w:sz w:val="22"/>
                                </w:rPr>
                                <w:t>Efficiency measures</w:t>
                              </w:r>
                            </w:p>
                          </w:txbxContent>
                        </wps:txbx>
                        <wps:bodyPr wrap="square" lIns="0" tIns="0" rIns="0" bIns="0" rtlCol="0">
                          <a:noAutofit/>
                        </wps:bodyPr>
                      </wps:wsp>
                      <wps:wsp>
                        <wps:cNvPr id="79" name="Textbox 79"/>
                        <wps:cNvSpPr txBox="1"/>
                        <wps:spPr>
                          <a:xfrm>
                            <a:off x="3457575" y="968375"/>
                            <a:ext cx="647700" cy="313055"/>
                          </a:xfrm>
                          <a:prstGeom prst="rect">
                            <a:avLst/>
                          </a:prstGeom>
                        </wps:spPr>
                        <wps:txbx>
                          <w:txbxContent>
                            <w:p>
                              <w:pPr>
                                <w:spacing w:before="77"/>
                                <w:ind w:left="144" w:right="0" w:firstLine="0"/>
                                <w:jc w:val="left"/>
                                <w:rPr>
                                  <w:rFonts w:ascii="Calibri"/>
                                  <w:sz w:val="22"/>
                                </w:rPr>
                              </w:pPr>
                              <w:r>
                                <w:rPr>
                                  <w:rFonts w:ascii="Calibri"/>
                                  <w:color w:val="FFFFFF"/>
                                  <w:spacing w:val="-2"/>
                                  <w:sz w:val="22"/>
                                </w:rPr>
                                <w:t>Input</w:t>
                              </w:r>
                            </w:p>
                          </w:txbxContent>
                        </wps:txbx>
                        <wps:bodyPr wrap="square" lIns="0" tIns="0" rIns="0" bIns="0" rtlCol="0">
                          <a:noAutofit/>
                        </wps:bodyPr>
                      </wps:wsp>
                      <wps:wsp>
                        <wps:cNvPr id="80" name="Textbox 80"/>
                        <wps:cNvSpPr txBox="1"/>
                        <wps:spPr>
                          <a:xfrm>
                            <a:off x="1381125" y="590550"/>
                            <a:ext cx="1555750" cy="327025"/>
                          </a:xfrm>
                          <a:prstGeom prst="rect">
                            <a:avLst/>
                          </a:prstGeom>
                          <a:solidFill>
                            <a:srgbClr val="000000"/>
                          </a:solidFill>
                        </wps:spPr>
                        <wps:txbx>
                          <w:txbxContent>
                            <w:p>
                              <w:pPr>
                                <w:spacing w:before="72"/>
                                <w:ind w:left="793" w:right="0" w:firstLine="0"/>
                                <w:jc w:val="left"/>
                                <w:rPr>
                                  <w:rFonts w:ascii="Calibri"/>
                                  <w:color w:val="000000"/>
                                  <w:sz w:val="22"/>
                                </w:rPr>
                              </w:pPr>
                              <w:r>
                                <w:rPr>
                                  <w:rFonts w:ascii="Calibri"/>
                                  <w:color w:val="FFFFFF"/>
                                  <w:spacing w:val="-2"/>
                                  <w:sz w:val="22"/>
                                </w:rPr>
                                <w:t>Objectives</w:t>
                              </w:r>
                            </w:p>
                          </w:txbxContent>
                        </wps:txbx>
                        <wps:bodyPr wrap="square" lIns="0" tIns="0" rIns="0" bIns="0" rtlCol="0">
                          <a:noAutofit/>
                        </wps:bodyPr>
                      </wps:wsp>
                      <wps:wsp>
                        <wps:cNvPr id="81" name="Textbox 81"/>
                        <wps:cNvSpPr txBox="1"/>
                        <wps:spPr>
                          <a:xfrm>
                            <a:off x="3286125" y="231775"/>
                            <a:ext cx="1241425" cy="419100"/>
                          </a:xfrm>
                          <a:prstGeom prst="rect">
                            <a:avLst/>
                          </a:prstGeom>
                        </wps:spPr>
                        <wps:txbx>
                          <w:txbxContent>
                            <w:p>
                              <w:pPr>
                                <w:spacing w:line="310" w:lineRule="atLeast" w:before="27"/>
                                <w:ind w:left="145" w:right="325" w:firstLine="0"/>
                                <w:jc w:val="left"/>
                                <w:rPr>
                                  <w:rFonts w:ascii="Calibri"/>
                                  <w:sz w:val="22"/>
                                </w:rPr>
                              </w:pPr>
                              <w:r>
                                <w:rPr>
                                  <w:rFonts w:ascii="Calibri"/>
                                  <w:color w:val="FFFFFF"/>
                                  <w:spacing w:val="-2"/>
                                  <w:sz w:val="22"/>
                                </w:rPr>
                                <w:t>Appropriateness measures</w:t>
                              </w:r>
                            </w:p>
                          </w:txbxContent>
                        </wps:txbx>
                        <wps:bodyPr wrap="square" lIns="0" tIns="0" rIns="0" bIns="0" rtlCol="0">
                          <a:noAutofit/>
                        </wps:bodyPr>
                      </wps:wsp>
                      <wps:wsp>
                        <wps:cNvPr id="82" name="Textbox 82"/>
                        <wps:cNvSpPr txBox="1"/>
                        <wps:spPr>
                          <a:xfrm>
                            <a:off x="1381125" y="38100"/>
                            <a:ext cx="1555750" cy="352425"/>
                          </a:xfrm>
                          <a:prstGeom prst="rect">
                            <a:avLst/>
                          </a:prstGeom>
                          <a:solidFill>
                            <a:srgbClr val="000000"/>
                          </a:solidFill>
                        </wps:spPr>
                        <wps:txbx>
                          <w:txbxContent>
                            <w:p>
                              <w:pPr>
                                <w:spacing w:before="71"/>
                                <w:ind w:left="0" w:right="140" w:firstLine="0"/>
                                <w:jc w:val="center"/>
                                <w:rPr>
                                  <w:rFonts w:ascii="Calibri"/>
                                  <w:color w:val="000000"/>
                                  <w:sz w:val="22"/>
                                </w:rPr>
                              </w:pPr>
                              <w:r>
                                <w:rPr>
                                  <w:rFonts w:ascii="Calibri"/>
                                  <w:color w:val="FFFFFF"/>
                                  <w:spacing w:val="-2"/>
                                  <w:sz w:val="22"/>
                                </w:rPr>
                                <w:t>Policy</w:t>
                              </w:r>
                            </w:p>
                          </w:txbxContent>
                        </wps:txbx>
                        <wps:bodyPr wrap="square" lIns="0" tIns="0" rIns="0" bIns="0" rtlCol="0">
                          <a:noAutofit/>
                        </wps:bodyPr>
                      </wps:wsp>
                      <wps:wsp>
                        <wps:cNvPr id="83" name="Textbox 83"/>
                        <wps:cNvSpPr txBox="1"/>
                        <wps:spPr>
                          <a:xfrm>
                            <a:off x="38100" y="1209675"/>
                            <a:ext cx="1076325" cy="419100"/>
                          </a:xfrm>
                          <a:prstGeom prst="rect">
                            <a:avLst/>
                          </a:prstGeom>
                        </wps:spPr>
                        <wps:txbx>
                          <w:txbxContent>
                            <w:p>
                              <w:pPr>
                                <w:spacing w:line="310" w:lineRule="atLeast" w:before="28"/>
                                <w:ind w:left="145" w:right="372" w:firstLine="0"/>
                                <w:jc w:val="left"/>
                                <w:rPr>
                                  <w:rFonts w:ascii="Calibri"/>
                                  <w:sz w:val="22"/>
                                </w:rPr>
                              </w:pPr>
                              <w:r>
                                <w:rPr>
                                  <w:rFonts w:ascii="Calibri"/>
                                  <w:color w:val="FFFFFF"/>
                                  <w:spacing w:val="-2"/>
                                  <w:sz w:val="22"/>
                                </w:rPr>
                                <w:t>Effectiveness measures</w:t>
                              </w:r>
                            </w:p>
                          </w:txbxContent>
                        </wps:txbx>
                        <wps:bodyPr wrap="square" lIns="0" tIns="0" rIns="0" bIns="0" rtlCol="0">
                          <a:noAutofit/>
                        </wps:bodyPr>
                      </wps:wsp>
                    </wpg:wgp>
                  </a:graphicData>
                </a:graphic>
              </wp:anchor>
            </w:drawing>
          </mc:Choice>
          <mc:Fallback>
            <w:pict>
              <v:group style="position:absolute;margin-left:95.25pt;margin-top:12.163477pt;width:421.75pt;height:164pt;mso-position-horizontal-relative:page;mso-position-vertical-relative:paragraph;z-index:-15726080;mso-wrap-distance-left:0;mso-wrap-distance-right:0" id="docshapegroup38" coordorigin="1905,243" coordsize="8435,3280">
                <v:shape style="position:absolute;left:4040;top:283;width:2580;height:676" id="docshape39" coordorigin="4040,283" coordsize="2580,676" path="m6620,283l6570,283,6570,313,6590,313,6590,343,6590,898,6590,899,4100,899,4100,898,6560,898,6590,898,6590,343,6560,343,6560,888,4100,888,4070,888,4070,313,4050,313,4050,283,4040,283,4040,313,4040,929,4040,959,6620,959,6620,929,6590,929,6590,928,6620,928,6620,313,6620,283xe" filled="true" fillcolor="#7e7e7e" stroked="false">
                  <v:path arrowok="t"/>
                  <v:fill opacity="32896f" type="solid"/>
                </v:shape>
                <v:rect style="position:absolute;left:4050;top:273;width:2520;height:615" id="docshape40" filled="false" stroked="true" strokeweight="3pt" strokecolor="#f1f1f1">
                  <v:stroke dashstyle="solid"/>
                </v:rect>
                <v:shape style="position:absolute;left:4040;top:1153;width:2580;height:630" id="docshape41" coordorigin="4040,1153" coordsize="2580,630" path="m6620,1153l6570,1153,6570,1183,6590,1183,6590,1213,6560,1213,6560,1713,4100,1713,4070,1713,4070,1183,4050,1183,4050,1153,4040,1153,4040,1183,4040,1753,4040,1783,6620,1783,6620,1753,6620,1183,6620,1153xe" filled="true" fillcolor="#7e7e7e" stroked="false">
                  <v:path arrowok="t"/>
                  <v:fill opacity="32896f" type="solid"/>
                </v:shape>
                <v:rect style="position:absolute;left:4050;top:1143;width:2520;height:570" id="docshape42" filled="false" stroked="true" strokeweight="3pt" strokecolor="#f1f1f1">
                  <v:stroke dashstyle="solid"/>
                </v:rect>
                <v:shape style="position:absolute;left:4040;top:2039;width:2580;height:630" id="docshape43" coordorigin="4040,2039" coordsize="2580,630" path="m6620,2039l6570,2039,6570,2069,6590,2069,6590,2098,6590,2608,6590,2609,4100,2609,4100,2608,6560,2608,6590,2608,6590,2098,6560,2098,6560,2598,4100,2598,4070,2598,4070,2069,4050,2069,4050,2039,4040,2039,4040,2069,4040,2639,4040,2669,6620,2669,6620,2639,6590,2639,6590,2638,6620,2638,6620,2069,6620,2068,6620,2039xe" filled="true" fillcolor="#7e7e7e" stroked="false">
                  <v:path arrowok="t"/>
                  <v:fill opacity="32896f" type="solid"/>
                </v:shape>
                <v:rect style="position:absolute;left:4050;top:2028;width:2520;height:570" id="docshape44" filled="true" fillcolor="#000000" stroked="false">
                  <v:fill type="solid"/>
                </v:rect>
                <v:rect style="position:absolute;left:4050;top:2028;width:2520;height:570" id="docshape45" filled="false" stroked="true" strokeweight="3pt" strokecolor="#f1f1f1">
                  <v:stroke dashstyle="solid"/>
                </v:rect>
                <v:shape style="position:absolute;left:4040;top:2953;width:2580;height:570" id="docshape46" coordorigin="4040,2953" coordsize="2580,570" path="m6620,2953l6570,2953,6570,2983,6590,2983,6590,3012,6590,3462,6590,3463,4100,3463,4100,3462,6560,3462,6590,3462,6590,3012,6560,3012,6560,3452,4100,3452,4070,3452,4070,2983,4050,2983,4050,2953,4040,2953,4040,2983,4040,3493,4040,3523,6620,3523,6620,3493,6590,3493,6590,3492,6620,3492,6620,2983,6620,2982,6620,2953xe" filled="true" fillcolor="#7e7e7e" stroked="false">
                  <v:path arrowok="t"/>
                  <v:fill opacity="32896f" type="solid"/>
                </v:shape>
                <v:rect style="position:absolute;left:4050;top:2942;width:2520;height:510" id="docshape47" filled="false" stroked="true" strokeweight="3pt" strokecolor="#f1f1f1">
                  <v:stroke dashstyle="solid"/>
                </v:rect>
                <v:shape style="position:absolute;left:1925;top:2129;width:1815;height:780" id="docshape48" coordorigin="1925,2129" coordsize="1815,780" path="m3740,2129l3710,2129,3710,2848,3710,2849,1985,2849,1985,2848,3680,2848,3710,2848,3710,2129,3690,2129,3690,2159,3690,2188,3680,2188,3680,2838,1985,2838,1955,2838,1955,2159,1935,2159,1935,2129,1925,2129,1925,2159,1925,2879,1925,2909,3740,2909,3740,2879,3710,2879,3710,2878,3740,2878,3740,2159,3740,2158,3740,2129xe" filled="true" fillcolor="#7e7e7e" stroked="false">
                  <v:path arrowok="t"/>
                  <v:fill opacity="32896f" type="solid"/>
                </v:shape>
                <v:rect style="position:absolute;left:1935;top:2118;width:1755;height:720" id="docshape49" filled="true" fillcolor="#000000" stroked="false">
                  <v:fill type="solid"/>
                </v:rect>
                <v:rect style="position:absolute;left:1935;top:2118;width:1755;height:720" id="docshape50" filled="false" stroked="true" strokeweight="3pt" strokecolor="#f1f1f1">
                  <v:stroke dashstyle="solid"/>
                </v:rect>
                <v:shape style="position:absolute;left:7040;top:589;width:2085;height:780" id="docshape51" coordorigin="7040,589" coordsize="2085,780" path="m9125,589l9075,589,9075,619,9095,619,9095,648,9095,1308,9095,1309,7100,1309,7100,1308,9065,1308,9095,1308,9095,648,9065,648,9065,1298,7100,1298,7070,1298,7070,619,7050,619,7050,589,7040,589,7040,619,7040,1339,7040,1369,9125,1369,9125,1339,9095,1339,9095,1338,9125,1338,9125,619,9125,618,9125,589xe" filled="true" fillcolor="#7e7e7e" stroked="false">
                  <v:path arrowok="t"/>
                  <v:fill opacity="32896f" type="solid"/>
                </v:shape>
                <v:rect style="position:absolute;left:7050;top:578;width:2025;height:720" id="docshape52" filled="true" fillcolor="#000000" stroked="false">
                  <v:fill type="solid"/>
                </v:rect>
                <v:rect style="position:absolute;left:7050;top:578;width:2025;height:720" id="docshape53" filled="false" stroked="true" strokeweight="3pt" strokecolor="#f1f1f1">
                  <v:stroke dashstyle="solid"/>
                </v:rect>
                <v:shape style="position:absolute;left:7310;top:1753;width:1140;height:600" id="docshape54" coordorigin="7310,1753" coordsize="1140,600" path="m8450,1753l8400,1753,8400,1783,8400,1813,8390,1813,8390,2283,7370,2283,7340,2283,7340,1783,7320,1783,7320,1753,7310,1753,7310,1783,7310,2323,7310,2353,7320,2353,7320,2323,7340,2323,8400,2323,8400,2353,8450,2353,8450,2323,8450,1783,8450,1753xe" filled="true" fillcolor="#7e7e7e" stroked="false">
                  <v:path arrowok="t"/>
                  <v:fill opacity="32896f" type="solid"/>
                </v:shape>
                <v:rect style="position:absolute;left:7320;top:1743;width:1080;height:540" id="docshape55" filled="true" fillcolor="#000000" stroked="false">
                  <v:fill type="solid"/>
                </v:rect>
                <v:rect style="position:absolute;left:7320;top:1743;width:1080;height:540" id="docshape56" filled="false" stroked="true" strokeweight="3pt" strokecolor="#f1f1f1">
                  <v:stroke dashstyle="solid"/>
                </v:rect>
                <v:shape style="position:absolute;left:7310;top:2323;width:1140;height:586" id="docshape57" coordorigin="7310,2323" coordsize="1140,586" path="m8450,2323l8420,2323,8420,2848,8420,2849,7370,2849,7370,2848,8390,2848,8420,2848,8420,2323,8400,2323,8400,2353,8400,2383,8390,2383,8390,2838,7370,2838,7340,2838,7340,2353,7320,2353,7320,2323,7310,2323,7310,2353,7310,2879,7310,2909,8450,2909,8450,2879,8420,2879,8420,2878,8450,2878,8450,2353,8450,2323xe" filled="true" fillcolor="#7e7e7e" stroked="false">
                  <v:path arrowok="t"/>
                  <v:fill opacity="32896f" type="solid"/>
                </v:shape>
                <v:rect style="position:absolute;left:7320;top:2313;width:1080;height:525" id="docshape58" filled="false" stroked="true" strokeweight="3pt" strokecolor="#f1f1f1">
                  <v:stroke dashstyle="solid"/>
                </v:rect>
                <v:shape style="position:absolute;left:8795;top:1889;width:1545;height:780" id="docshape59" coordorigin="8795,1889" coordsize="1545,780" path="m10340,1889l10310,1889,10310,2608,10310,2609,8855,2609,8855,2608,10280,2608,10310,2608,10310,1889,10290,1889,10290,1919,10290,1948,10280,1948,10280,2598,8855,2598,8825,2598,8825,1919,8805,1919,8805,1889,8795,1889,8795,1919,8795,2639,8795,2669,10340,2669,10340,2639,10310,2639,10310,2638,10340,2638,10340,1919,10340,1918,10340,1889xe" filled="true" fillcolor="#7e7e7e" stroked="false">
                  <v:path arrowok="t"/>
                  <v:fill opacity="32896f" type="solid"/>
                </v:shape>
                <v:rect style="position:absolute;left:8805;top:1878;width:1485;height:720" id="docshape60" filled="false" stroked="true" strokeweight="3pt" strokecolor="#f1f1f1">
                  <v:stroke dashstyle="solid"/>
                </v:rect>
                <v:shape style="position:absolute;left:3800;top:1513;width:240;height:1830" id="docshape61" coordorigin="3800,1513" coordsize="240,1830" path="m4040,1513l3993,1525,3955,1558,3929,1606,3920,1666,3920,2276,3911,2335,3885,2384,3847,2416,3800,2428,3847,2440,3885,2473,3911,2521,3920,2581,3920,3191,3929,3250,3955,3299,3993,3331,4040,3343,4040,1513xe" filled="true" fillcolor="#612322" stroked="false">
                  <v:path arrowok="t"/>
                  <v:fill opacity="32896f" type="solid"/>
                </v:shape>
                <v:shape style="position:absolute;left:3800;top:1513;width:240;height:1830" id="docshape62" coordorigin="3800,1513" coordsize="240,1830" path="m4040,1513l3993,1525,3955,1558,3929,1606,3920,1666,3920,2276,3911,2335,3885,2384,3847,2416,3800,2428,3847,2440,3885,2473,3911,2521,3920,2581,3920,3191,3929,3250,3955,3299,3993,3331,4040,3343e" filled="false" stroked="true" strokeweight="3pt" strokecolor="#612322">
                  <v:path arrowok="t"/>
                  <v:stroke dashstyle="solid"/>
                </v:shape>
                <v:shape style="position:absolute;left:3780;top:1473;width:240;height:1830" id="docshape63" coordorigin="3780,1473" coordsize="240,1830" path="m4020,1473l3973,1485,3935,1518,3909,1566,3900,1626,3900,2236,3891,2295,3865,2344,3827,2376,3780,2388,3827,2400,3865,2433,3891,2481,3900,2541,3900,3151,3909,3210,3935,3259,3973,3291,4020,3303,4020,1473xe" filled="true" fillcolor="#c0504d" stroked="false">
                  <v:path arrowok="t"/>
                  <v:fill type="solid"/>
                </v:shape>
                <v:shape style="position:absolute;left:3780;top:1473;width:240;height:1830" id="docshape64" coordorigin="3780,1473" coordsize="240,1830" path="m4020,1473l3973,1485,3935,1518,3909,1566,3900,1626,3900,2236,3891,2295,3865,2344,3827,2376,3780,2388,3827,2400,3865,2433,3891,2481,3900,2541,3900,3151,3909,3210,3935,3259,3973,3291,4020,3303e" filled="false" stroked="true" strokeweight="3pt" strokecolor="#f1f1f1">
                  <v:path arrowok="t"/>
                  <v:stroke dashstyle="solid"/>
                </v:shape>
                <v:shape style="position:absolute;left:6710;top:478;width:240;height:1035" id="docshape65" coordorigin="6710,478" coordsize="240,1035" path="m6710,478l6710,1513,6757,1506,6795,1488,6821,1461,6830,1427,6830,1082,6839,1048,6865,1021,6903,1002,6950,996,6903,989,6865,970,6839,943,6830,909,6830,564,6821,531,6795,504,6757,485,6710,478xe" filled="true" fillcolor="#612322" stroked="false">
                  <v:path arrowok="t"/>
                  <v:fill opacity="32896f" type="solid"/>
                </v:shape>
                <v:shape style="position:absolute;left:6710;top:478;width:240;height:1035" id="docshape66" coordorigin="6710,478" coordsize="240,1035" path="m6710,478l6757,485,6795,504,6821,531,6830,564,6830,909,6839,943,6865,970,6903,989,6950,996,6903,1002,6865,1021,6839,1048,6830,1082,6830,1427,6821,1461,6795,1488,6757,1506,6710,1513e" filled="false" stroked="true" strokeweight="3pt" strokecolor="#612322">
                  <v:path arrowok="t"/>
                  <v:stroke dashstyle="solid"/>
                </v:shape>
                <v:shape style="position:absolute;left:6690;top:438;width:240;height:1035" id="docshape67" coordorigin="6690,438" coordsize="240,1035" path="m6690,438l6690,1473,6737,1466,6775,1448,6801,1421,6810,1387,6810,1042,6819,1008,6845,981,6883,962,6930,956,6883,949,6845,930,6819,903,6810,869,6810,524,6801,491,6775,464,6737,445,6690,438xe" filled="true" fillcolor="#c0504d" stroked="false">
                  <v:path arrowok="t"/>
                  <v:fill type="solid"/>
                </v:shape>
                <v:shape style="position:absolute;left:6690;top:438;width:240;height:1035" id="docshape68" coordorigin="6690,438" coordsize="240,1035" path="m6690,438l6737,445,6775,464,6801,491,6810,524,6810,869,6819,903,6845,930,6883,949,6930,956,6883,962,6845,981,6819,1008,6810,1042,6810,1387,6801,1421,6775,1448,6737,1466,6690,1473e" filled="false" stroked="true" strokeweight="3pt" strokecolor="#f1f1f1">
                  <v:path arrowok="t"/>
                  <v:stroke dashstyle="solid"/>
                </v:shape>
                <v:line style="position:absolute" from="6945,2028" to="6945,2598" stroked="true" strokeweight="2.5pt" strokecolor="#000000">
                  <v:stroke dashstyle="solid"/>
                </v:line>
                <v:shape style="position:absolute;left:8510;top:1918;width:240;height:720" id="docshape69" coordorigin="8510,1918" coordsize="240,720" path="m8510,1918l8510,2638,8557,2634,8595,2621,8621,2602,8630,2578,8630,2338,8639,2315,8665,2296,8703,2283,8750,2278,8703,2274,8665,2261,8639,2242,8630,2218,8630,1978,8621,1955,8595,1936,8557,1923,8510,1918xe" filled="true" fillcolor="#612322" stroked="false">
                  <v:path arrowok="t"/>
                  <v:fill opacity="32896f" type="solid"/>
                </v:shape>
                <v:shape style="position:absolute;left:8510;top:1918;width:240;height:720" id="docshape70" coordorigin="8510,1918" coordsize="240,720" path="m8510,1918l8557,1923,8595,1936,8621,1955,8630,1978,8630,2218,8639,2242,8665,2261,8703,2274,8750,2278,8703,2283,8665,2296,8639,2315,8630,2338,8630,2578,8621,2602,8595,2621,8557,2634,8510,2638e" filled="false" stroked="true" strokeweight="3pt" strokecolor="#612322">
                  <v:path arrowok="t"/>
                  <v:stroke dashstyle="solid"/>
                </v:shape>
                <v:shape style="position:absolute;left:8490;top:1878;width:240;height:720" id="docshape71" coordorigin="8490,1878" coordsize="240,720" path="m8490,1878l8490,2598,8537,2594,8575,2581,8601,2562,8610,2538,8610,2298,8619,2275,8645,2256,8683,2243,8730,2238,8683,2234,8645,2221,8619,2202,8610,2178,8610,1938,8601,1915,8575,1896,8537,1883,8490,1878xe" filled="true" fillcolor="#c0504d" stroked="false">
                  <v:path arrowok="t"/>
                  <v:fill type="solid"/>
                </v:shape>
                <v:shape style="position:absolute;left:8490;top:1878;width:240;height:720" id="docshape72" coordorigin="8490,1878" coordsize="240,720" path="m8490,1878l8537,1883,8575,1896,8601,1915,8610,1938,8610,2178,8619,2202,8645,2221,8683,2234,8730,2238,8683,2243,8645,2256,8619,2275,8610,2298,8610,2538,8601,2562,8575,2581,8537,2594,8490,2598e" filled="false" stroked="true" strokeweight="3pt" strokecolor="#f1f1f1">
                  <v:path arrowok="t"/>
                  <v:stroke dashstyle="solid"/>
                </v:shape>
                <v:shape style="position:absolute;left:6570;top:2028;width:750;height:570" id="docshape73" coordorigin="6570,2028" coordsize="750,570" path="m6945,2028l7320,2028m6945,2598l7320,2598m6570,2283l6945,2283e" filled="false" stroked="true" strokeweight="2.5pt" strokecolor="#000000">
                  <v:path arrowok="t"/>
                  <v:stroke dashstyle="solid"/>
                </v:shape>
                <v:shape style="position:absolute;left:4080;top:2868;width:2450;height:554" type="#_x0000_t202" id="docshape74" filled="true" fillcolor="#000000" stroked="false">
                  <v:textbox inset="0,0,0,0">
                    <w:txbxContent>
                      <w:p>
                        <w:pPr>
                          <w:spacing w:before="175"/>
                          <w:ind w:left="742" w:right="0" w:firstLine="0"/>
                          <w:jc w:val="left"/>
                          <w:rPr>
                            <w:rFonts w:ascii="Calibri"/>
                            <w:color w:val="000000"/>
                            <w:sz w:val="22"/>
                          </w:rPr>
                        </w:pPr>
                        <w:r>
                          <w:rPr>
                            <w:rFonts w:ascii="Calibri"/>
                            <w:color w:val="FFFFFF"/>
                            <w:spacing w:val="-2"/>
                            <w:sz w:val="22"/>
                          </w:rPr>
                          <w:t>Outcomes</w:t>
                        </w:r>
                      </w:p>
                    </w:txbxContent>
                  </v:textbox>
                  <v:fill type="solid"/>
                  <w10:wrap type="none"/>
                </v:shape>
                <v:shape style="position:absolute;left:7350;top:2350;width:1020;height:437" type="#_x0000_t202" id="docshape75" filled="true" fillcolor="#000000" stroked="false">
                  <v:textbox inset="0,0,0,0">
                    <w:txbxContent>
                      <w:p>
                        <w:pPr>
                          <w:spacing w:before="66"/>
                          <w:ind w:left="144" w:right="0" w:firstLine="0"/>
                          <w:jc w:val="left"/>
                          <w:rPr>
                            <w:rFonts w:ascii="Calibri"/>
                            <w:color w:val="000000"/>
                            <w:sz w:val="22"/>
                          </w:rPr>
                        </w:pPr>
                        <w:r>
                          <w:rPr>
                            <w:rFonts w:ascii="Calibri"/>
                            <w:color w:val="FFFFFF"/>
                            <w:spacing w:val="-2"/>
                            <w:sz w:val="22"/>
                          </w:rPr>
                          <w:t>Output</w:t>
                        </w:r>
                      </w:p>
                    </w:txbxContent>
                  </v:textbox>
                  <v:fill type="solid"/>
                  <w10:wrap type="none"/>
                </v:shape>
                <v:shape style="position:absolute;left:4080;top:2058;width:2450;height:510" type="#_x0000_t202" id="docshape76" filled="false" stroked="false">
                  <v:textbox inset="0,0,0,0">
                    <w:txbxContent>
                      <w:p>
                        <w:pPr>
                          <w:spacing w:before="73"/>
                          <w:ind w:left="793" w:right="0" w:firstLine="0"/>
                          <w:jc w:val="left"/>
                          <w:rPr>
                            <w:rFonts w:ascii="Calibri"/>
                            <w:sz w:val="22"/>
                          </w:rPr>
                        </w:pPr>
                        <w:r>
                          <w:rPr>
                            <w:rFonts w:ascii="Calibri"/>
                            <w:color w:val="FFFFFF"/>
                            <w:spacing w:val="-2"/>
                            <w:sz w:val="22"/>
                          </w:rPr>
                          <w:t>Strategy</w:t>
                        </w:r>
                      </w:p>
                    </w:txbxContent>
                  </v:textbox>
                  <w10:wrap type="none"/>
                </v:shape>
                <v:shape style="position:absolute;left:8835;top:1908;width:1415;height:660" type="#_x0000_t202" id="docshape77" filled="true" fillcolor="#000000" stroked="false">
                  <v:textbox inset="0,0,0,0">
                    <w:txbxContent>
                      <w:p>
                        <w:pPr>
                          <w:spacing w:line="310" w:lineRule="atLeast" w:before="28"/>
                          <w:ind w:left="144" w:right="402" w:firstLine="0"/>
                          <w:jc w:val="left"/>
                          <w:rPr>
                            <w:rFonts w:ascii="Calibri"/>
                            <w:color w:val="000000"/>
                            <w:sz w:val="22"/>
                          </w:rPr>
                        </w:pPr>
                        <w:r>
                          <w:rPr>
                            <w:rFonts w:ascii="Calibri"/>
                            <w:color w:val="FFFFFF"/>
                            <w:spacing w:val="-2"/>
                            <w:sz w:val="22"/>
                          </w:rPr>
                          <w:t>Efficiency measures</w:t>
                        </w:r>
                      </w:p>
                    </w:txbxContent>
                  </v:textbox>
                  <v:fill type="solid"/>
                  <w10:wrap type="none"/>
                </v:shape>
                <v:shape style="position:absolute;left:7350;top:1768;width:1020;height:493" type="#_x0000_t202" id="docshape78" filled="false" stroked="false">
                  <v:textbox inset="0,0,0,0">
                    <w:txbxContent>
                      <w:p>
                        <w:pPr>
                          <w:spacing w:before="77"/>
                          <w:ind w:left="144" w:right="0" w:firstLine="0"/>
                          <w:jc w:val="left"/>
                          <w:rPr>
                            <w:rFonts w:ascii="Calibri"/>
                            <w:sz w:val="22"/>
                          </w:rPr>
                        </w:pPr>
                        <w:r>
                          <w:rPr>
                            <w:rFonts w:ascii="Calibri"/>
                            <w:color w:val="FFFFFF"/>
                            <w:spacing w:val="-2"/>
                            <w:sz w:val="22"/>
                          </w:rPr>
                          <w:t>Input</w:t>
                        </w:r>
                      </w:p>
                    </w:txbxContent>
                  </v:textbox>
                  <w10:wrap type="none"/>
                </v:shape>
                <v:shape style="position:absolute;left:4080;top:1173;width:2450;height:515" type="#_x0000_t202" id="docshape79" filled="true" fillcolor="#000000" stroked="false">
                  <v:textbox inset="0,0,0,0">
                    <w:txbxContent>
                      <w:p>
                        <w:pPr>
                          <w:spacing w:before="72"/>
                          <w:ind w:left="793" w:right="0" w:firstLine="0"/>
                          <w:jc w:val="left"/>
                          <w:rPr>
                            <w:rFonts w:ascii="Calibri"/>
                            <w:color w:val="000000"/>
                            <w:sz w:val="22"/>
                          </w:rPr>
                        </w:pPr>
                        <w:r>
                          <w:rPr>
                            <w:rFonts w:ascii="Calibri"/>
                            <w:color w:val="FFFFFF"/>
                            <w:spacing w:val="-2"/>
                            <w:sz w:val="22"/>
                          </w:rPr>
                          <w:t>Objectives</w:t>
                        </w:r>
                      </w:p>
                    </w:txbxContent>
                  </v:textbox>
                  <v:fill type="solid"/>
                  <w10:wrap type="none"/>
                </v:shape>
                <v:shape style="position:absolute;left:7080;top:608;width:1955;height:660" type="#_x0000_t202" id="docshape80" filled="false" stroked="false">
                  <v:textbox inset="0,0,0,0">
                    <w:txbxContent>
                      <w:p>
                        <w:pPr>
                          <w:spacing w:line="310" w:lineRule="atLeast" w:before="27"/>
                          <w:ind w:left="145" w:right="325" w:firstLine="0"/>
                          <w:jc w:val="left"/>
                          <w:rPr>
                            <w:rFonts w:ascii="Calibri"/>
                            <w:sz w:val="22"/>
                          </w:rPr>
                        </w:pPr>
                        <w:r>
                          <w:rPr>
                            <w:rFonts w:ascii="Calibri"/>
                            <w:color w:val="FFFFFF"/>
                            <w:spacing w:val="-2"/>
                            <w:sz w:val="22"/>
                          </w:rPr>
                          <w:t>Appropriateness measures</w:t>
                        </w:r>
                      </w:p>
                    </w:txbxContent>
                  </v:textbox>
                  <w10:wrap type="none"/>
                </v:shape>
                <v:shape style="position:absolute;left:4080;top:303;width:2450;height:555" type="#_x0000_t202" id="docshape81" filled="true" fillcolor="#000000" stroked="false">
                  <v:textbox inset="0,0,0,0">
                    <w:txbxContent>
                      <w:p>
                        <w:pPr>
                          <w:spacing w:before="71"/>
                          <w:ind w:left="0" w:right="140" w:firstLine="0"/>
                          <w:jc w:val="center"/>
                          <w:rPr>
                            <w:rFonts w:ascii="Calibri"/>
                            <w:color w:val="000000"/>
                            <w:sz w:val="22"/>
                          </w:rPr>
                        </w:pPr>
                        <w:r>
                          <w:rPr>
                            <w:rFonts w:ascii="Calibri"/>
                            <w:color w:val="FFFFFF"/>
                            <w:spacing w:val="-2"/>
                            <w:sz w:val="22"/>
                          </w:rPr>
                          <w:t>Policy</w:t>
                        </w:r>
                      </w:p>
                    </w:txbxContent>
                  </v:textbox>
                  <v:fill type="solid"/>
                  <w10:wrap type="none"/>
                </v:shape>
                <v:shape style="position:absolute;left:1965;top:2148;width:1695;height:660" type="#_x0000_t202" id="docshape82" filled="false" stroked="false">
                  <v:textbox inset="0,0,0,0">
                    <w:txbxContent>
                      <w:p>
                        <w:pPr>
                          <w:spacing w:line="310" w:lineRule="atLeast" w:before="28"/>
                          <w:ind w:left="145" w:right="372" w:firstLine="0"/>
                          <w:jc w:val="left"/>
                          <w:rPr>
                            <w:rFonts w:ascii="Calibri"/>
                            <w:sz w:val="22"/>
                          </w:rPr>
                        </w:pPr>
                        <w:r>
                          <w:rPr>
                            <w:rFonts w:ascii="Calibri"/>
                            <w:color w:val="FFFFFF"/>
                            <w:spacing w:val="-2"/>
                            <w:sz w:val="22"/>
                          </w:rPr>
                          <w:t>Effectiveness measures</w:t>
                        </w:r>
                      </w:p>
                    </w:txbxContent>
                  </v:textbox>
                  <w10:wrap type="none"/>
                </v:shape>
                <w10:wrap type="topAndBottom"/>
              </v:group>
            </w:pict>
          </mc:Fallback>
        </mc:AlternateContent>
      </w:r>
    </w:p>
    <w:p>
      <w:pPr>
        <w:pStyle w:val="BodyText"/>
        <w:spacing w:before="86"/>
      </w:pPr>
    </w:p>
    <w:p>
      <w:pPr>
        <w:pStyle w:val="BodyText"/>
        <w:spacing w:before="1"/>
        <w:ind w:left="240"/>
        <w:jc w:val="both"/>
      </w:pPr>
      <w:r>
        <w:rPr>
          <w:b/>
        </w:rPr>
        <w:t>Figure</w:t>
      </w:r>
      <w:r>
        <w:rPr>
          <w:b/>
          <w:spacing w:val="-2"/>
        </w:rPr>
        <w:t> </w:t>
      </w:r>
      <w:r>
        <w:rPr>
          <w:b/>
        </w:rPr>
        <w:t>2.3.</w:t>
      </w:r>
      <w:r>
        <w:rPr>
          <w:b/>
          <w:spacing w:val="-1"/>
        </w:rPr>
        <w:t> </w:t>
      </w:r>
      <w:r>
        <w:rPr/>
        <w:t>Performance measurements</w:t>
      </w:r>
      <w:r>
        <w:rPr>
          <w:spacing w:val="-1"/>
        </w:rPr>
        <w:t> </w:t>
      </w:r>
      <w:r>
        <w:rPr/>
        <w:t>in</w:t>
      </w:r>
      <w:r>
        <w:rPr>
          <w:spacing w:val="-1"/>
        </w:rPr>
        <w:t> </w:t>
      </w:r>
      <w:r>
        <w:rPr/>
        <w:t>the</w:t>
      </w:r>
      <w:r>
        <w:rPr>
          <w:spacing w:val="-1"/>
        </w:rPr>
        <w:t> </w:t>
      </w:r>
      <w:r>
        <w:rPr/>
        <w:t>public</w:t>
      </w:r>
      <w:r>
        <w:rPr>
          <w:spacing w:val="-2"/>
        </w:rPr>
        <w:t> </w:t>
      </w:r>
      <w:r>
        <w:rPr/>
        <w:t>sector</w:t>
      </w:r>
      <w:r>
        <w:rPr>
          <w:spacing w:val="-2"/>
        </w:rPr>
        <w:t> </w:t>
      </w:r>
      <w:r>
        <w:rPr/>
        <w:t>(Then</w:t>
      </w:r>
      <w:r>
        <w:rPr>
          <w:spacing w:val="-1"/>
        </w:rPr>
        <w:t> </w:t>
      </w:r>
      <w:r>
        <w:rPr/>
        <w:t>and</w:t>
      </w:r>
      <w:r>
        <w:rPr>
          <w:spacing w:val="-1"/>
        </w:rPr>
        <w:t> </w:t>
      </w:r>
      <w:r>
        <w:rPr/>
        <w:t>Tan,</w:t>
      </w:r>
      <w:r>
        <w:rPr>
          <w:spacing w:val="1"/>
        </w:rPr>
        <w:t> </w:t>
      </w:r>
      <w:r>
        <w:rPr>
          <w:spacing w:val="-2"/>
        </w:rPr>
        <w:t>2002)</w:t>
      </w:r>
    </w:p>
    <w:p>
      <w:pPr>
        <w:pStyle w:val="BodyText"/>
        <w:spacing w:before="146"/>
      </w:pPr>
    </w:p>
    <w:p>
      <w:pPr>
        <w:pStyle w:val="Heading4"/>
        <w:numPr>
          <w:ilvl w:val="2"/>
          <w:numId w:val="7"/>
        </w:numPr>
        <w:tabs>
          <w:tab w:pos="780" w:val="left" w:leader="none"/>
        </w:tabs>
        <w:spacing w:line="240" w:lineRule="auto" w:before="0" w:after="0"/>
        <w:ind w:left="780" w:right="0" w:hanging="540"/>
        <w:jc w:val="both"/>
      </w:pPr>
      <w:r>
        <w:rPr/>
        <w:t>An</w:t>
      </w:r>
      <w:r>
        <w:rPr>
          <w:spacing w:val="-3"/>
        </w:rPr>
        <w:t> </w:t>
      </w:r>
      <w:r>
        <w:rPr/>
        <w:t>Overview</w:t>
      </w:r>
      <w:r>
        <w:rPr>
          <w:spacing w:val="-1"/>
        </w:rPr>
        <w:t> </w:t>
      </w:r>
      <w:r>
        <w:rPr/>
        <w:t>of</w:t>
      </w:r>
      <w:r>
        <w:rPr>
          <w:spacing w:val="-1"/>
        </w:rPr>
        <w:t> </w:t>
      </w:r>
      <w:r>
        <w:rPr/>
        <w:t>Performance</w:t>
      </w:r>
      <w:r>
        <w:rPr>
          <w:spacing w:val="-1"/>
        </w:rPr>
        <w:t> </w:t>
      </w:r>
      <w:r>
        <w:rPr>
          <w:spacing w:val="-2"/>
        </w:rPr>
        <w:t>Management</w:t>
      </w:r>
    </w:p>
    <w:p>
      <w:pPr>
        <w:pStyle w:val="BodyText"/>
        <w:spacing w:line="360" w:lineRule="auto" w:before="132"/>
        <w:ind w:left="240" w:right="835"/>
        <w:jc w:val="both"/>
      </w:pPr>
      <w:r>
        <w:rPr/>
        <w:t>Performance management is the process of setting agreed objectives and monitoring progress against these objectives. The performance information gained from this process can be used to make management decisions about prioritisation and the allocation of resources to confirm or improve policy decisions (Curristine, 2005). Performance management also has diverse definitions: it can refer to corporate management or systems for evaluating and assessing or measuring performance. A more holistic definition, is that it is a management cycle under which programme performance objectives and targets are determined, actual performance is measured and reported, and this information feeds into decisions about programme funding (OECD, 2005; Northern Territory Government (2012).</w:t>
      </w:r>
    </w:p>
    <w:p>
      <w:pPr>
        <w:spacing w:after="0" w:line="360" w:lineRule="auto"/>
        <w:jc w:val="both"/>
        <w:sectPr>
          <w:pgSz w:w="12240" w:h="15840"/>
          <w:pgMar w:header="0" w:footer="1036" w:top="1360" w:bottom="1220" w:left="1200" w:right="600"/>
        </w:sectPr>
      </w:pPr>
    </w:p>
    <w:p>
      <w:pPr>
        <w:pStyle w:val="BodyText"/>
        <w:spacing w:line="360" w:lineRule="auto" w:before="74"/>
        <w:ind w:left="240" w:right="839"/>
        <w:jc w:val="both"/>
      </w:pPr>
      <w:r>
        <w:rPr/>
        <w:t>The problem for public organizations is that improvements in performance take time to achieve but the</w:t>
      </w:r>
      <w:r>
        <w:rPr>
          <w:spacing w:val="-1"/>
        </w:rPr>
        <w:t> </w:t>
      </w:r>
      <w:r>
        <w:rPr/>
        <w:t>electoral pressures are such</w:t>
      </w:r>
      <w:r>
        <w:rPr>
          <w:spacing w:val="-1"/>
        </w:rPr>
        <w:t> </w:t>
      </w:r>
      <w:r>
        <w:rPr/>
        <w:t>that they</w:t>
      </w:r>
      <w:r>
        <w:rPr>
          <w:spacing w:val="-5"/>
        </w:rPr>
        <w:t> </w:t>
      </w:r>
      <w:r>
        <w:rPr/>
        <w:t>need to show</w:t>
      </w:r>
      <w:r>
        <w:rPr>
          <w:spacing w:val="-1"/>
        </w:rPr>
        <w:t> </w:t>
      </w:r>
      <w:r>
        <w:rPr/>
        <w:t>improvements in the</w:t>
      </w:r>
      <w:r>
        <w:rPr>
          <w:spacing w:val="-1"/>
        </w:rPr>
        <w:t> </w:t>
      </w:r>
      <w:r>
        <w:rPr/>
        <w:t>short term.</w:t>
      </w:r>
      <w:r>
        <w:rPr>
          <w:spacing w:val="-1"/>
        </w:rPr>
        <w:t> </w:t>
      </w:r>
      <w:r>
        <w:rPr/>
        <w:t>Some governments believe that the public will be more convinced that services have improved by the presentation of numerical performance information. However, even with numerical information there are questions about quality and accuracy. While governments present performance results as objective evaluations, this information, depending on the nature of the political system, can become part of the political conflict between the government and the opposition. This is more a problem</w:t>
      </w:r>
      <w:r>
        <w:rPr>
          <w:spacing w:val="-3"/>
        </w:rPr>
        <w:t> </w:t>
      </w:r>
      <w:r>
        <w:rPr/>
        <w:t>in</w:t>
      </w:r>
      <w:r>
        <w:rPr>
          <w:spacing w:val="-3"/>
        </w:rPr>
        <w:t> </w:t>
      </w:r>
      <w:r>
        <w:rPr/>
        <w:t>political</w:t>
      </w:r>
      <w:r>
        <w:rPr>
          <w:spacing w:val="-3"/>
        </w:rPr>
        <w:t> </w:t>
      </w:r>
      <w:r>
        <w:rPr/>
        <w:t>contexts</w:t>
      </w:r>
      <w:r>
        <w:rPr>
          <w:spacing w:val="-3"/>
        </w:rPr>
        <w:t> </w:t>
      </w:r>
      <w:r>
        <w:rPr/>
        <w:t>where</w:t>
      </w:r>
      <w:r>
        <w:rPr>
          <w:spacing w:val="-5"/>
        </w:rPr>
        <w:t> </w:t>
      </w:r>
      <w:r>
        <w:rPr/>
        <w:t>the</w:t>
      </w:r>
      <w:r>
        <w:rPr>
          <w:spacing w:val="-3"/>
        </w:rPr>
        <w:t> </w:t>
      </w:r>
      <w:r>
        <w:rPr/>
        <w:t>norm</w:t>
      </w:r>
      <w:r>
        <w:rPr>
          <w:spacing w:val="-3"/>
        </w:rPr>
        <w:t> </w:t>
      </w:r>
      <w:r>
        <w:rPr/>
        <w:t>is</w:t>
      </w:r>
      <w:r>
        <w:rPr>
          <w:spacing w:val="-3"/>
        </w:rPr>
        <w:t> </w:t>
      </w:r>
      <w:r>
        <w:rPr/>
        <w:t>adversarial</w:t>
      </w:r>
      <w:r>
        <w:rPr>
          <w:spacing w:val="-1"/>
        </w:rPr>
        <w:t> </w:t>
      </w:r>
      <w:r>
        <w:rPr/>
        <w:t>rather</w:t>
      </w:r>
      <w:r>
        <w:rPr>
          <w:spacing w:val="-3"/>
        </w:rPr>
        <w:t> </w:t>
      </w:r>
      <w:r>
        <w:rPr/>
        <w:t>than</w:t>
      </w:r>
      <w:r>
        <w:rPr>
          <w:spacing w:val="-1"/>
        </w:rPr>
        <w:t> </w:t>
      </w:r>
      <w:r>
        <w:rPr/>
        <w:t>consensual</w:t>
      </w:r>
      <w:r>
        <w:rPr>
          <w:spacing w:val="-3"/>
        </w:rPr>
        <w:t> </w:t>
      </w:r>
      <w:r>
        <w:rPr/>
        <w:t>politics.</w:t>
      </w:r>
      <w:r>
        <w:rPr>
          <w:spacing w:val="-1"/>
        </w:rPr>
        <w:t> </w:t>
      </w:r>
      <w:r>
        <w:rPr/>
        <w:t>In</w:t>
      </w:r>
      <w:r>
        <w:rPr>
          <w:spacing w:val="-3"/>
        </w:rPr>
        <w:t> </w:t>
      </w:r>
      <w:r>
        <w:rPr/>
        <w:t>this context, the opposition can use the very same results to discredit the government‘s performance and to raise questions about their objectivity.</w:t>
      </w:r>
    </w:p>
    <w:p>
      <w:pPr>
        <w:pStyle w:val="BodyText"/>
        <w:spacing w:before="138"/>
      </w:pPr>
    </w:p>
    <w:p>
      <w:pPr>
        <w:pStyle w:val="BodyText"/>
        <w:spacing w:line="360" w:lineRule="auto"/>
        <w:ind w:left="240" w:right="838"/>
        <w:jc w:val="both"/>
      </w:pPr>
      <w:r>
        <w:rPr/>
        <w:t>A related issue is whether the public and interest groups are willing to accept the government‘s presentation of performance results. Performance results are generally aggregated outcomes for the whole country, a region or a single large institution. Even if accurate, the general conclusion may be at odds with some individual experience. Thus it is almost inevitable that performance results will be</w:t>
      </w:r>
      <w:r>
        <w:rPr>
          <w:spacing w:val="-1"/>
        </w:rPr>
        <w:t> </w:t>
      </w:r>
      <w:r>
        <w:rPr/>
        <w:t>challenged on the</w:t>
      </w:r>
      <w:r>
        <w:rPr>
          <w:spacing w:val="-1"/>
        </w:rPr>
        <w:t> </w:t>
      </w:r>
      <w:r>
        <w:rPr/>
        <w:t>basis of</w:t>
      </w:r>
      <w:r>
        <w:rPr>
          <w:spacing w:val="-1"/>
        </w:rPr>
        <w:t> </w:t>
      </w:r>
      <w:r>
        <w:rPr/>
        <w:t>that experience. The</w:t>
      </w:r>
      <w:r>
        <w:rPr>
          <w:spacing w:val="-1"/>
        </w:rPr>
        <w:t> </w:t>
      </w:r>
      <w:r>
        <w:rPr/>
        <w:t>views of</w:t>
      </w:r>
      <w:r>
        <w:rPr>
          <w:spacing w:val="-1"/>
        </w:rPr>
        <w:t> </w:t>
      </w:r>
      <w:r>
        <w:rPr/>
        <w:t>the public</w:t>
      </w:r>
      <w:r>
        <w:rPr>
          <w:spacing w:val="-1"/>
        </w:rPr>
        <w:t> </w:t>
      </w:r>
      <w:r>
        <w:rPr/>
        <w:t>are</w:t>
      </w:r>
      <w:r>
        <w:rPr>
          <w:spacing w:val="-2"/>
        </w:rPr>
        <w:t> </w:t>
      </w:r>
      <w:r>
        <w:rPr/>
        <w:t>more</w:t>
      </w:r>
      <w:r>
        <w:rPr>
          <w:spacing w:val="-1"/>
        </w:rPr>
        <w:t> </w:t>
      </w:r>
      <w:r>
        <w:rPr/>
        <w:t>likely to reflect personal experiences or views presented in the media rather than the government‘s performance reporting (Curristine, 2005). A great deal of rhetoric has surrounded the</w:t>
      </w:r>
      <w:r>
        <w:rPr>
          <w:spacing w:val="40"/>
        </w:rPr>
        <w:t> </w:t>
      </w:r>
      <w:r>
        <w:rPr/>
        <w:t>introduction of performance management. Supporters claim that it has the capacity to transform public organizations‘ processes. However, it is important that it should not be seen as a panacea and that governments have realistic expectations about what it can achieve and the time needed</w:t>
      </w:r>
      <w:r>
        <w:rPr>
          <w:spacing w:val="40"/>
        </w:rPr>
        <w:t> </w:t>
      </w:r>
      <w:r>
        <w:rPr/>
        <w:t>to reach these objectives.</w:t>
      </w:r>
    </w:p>
    <w:p>
      <w:pPr>
        <w:spacing w:after="0" w:line="360" w:lineRule="auto"/>
        <w:jc w:val="both"/>
        <w:sectPr>
          <w:pgSz w:w="12240" w:h="15840"/>
          <w:pgMar w:header="0" w:footer="1036" w:top="1360" w:bottom="1220" w:left="1200" w:right="600"/>
        </w:sectPr>
      </w:pPr>
    </w:p>
    <w:p>
      <w:pPr>
        <w:pStyle w:val="Heading4"/>
        <w:numPr>
          <w:ilvl w:val="2"/>
          <w:numId w:val="7"/>
        </w:numPr>
        <w:tabs>
          <w:tab w:pos="780" w:val="left" w:leader="none"/>
        </w:tabs>
        <w:spacing w:line="240" w:lineRule="auto" w:before="79" w:after="0"/>
        <w:ind w:left="780" w:right="0" w:hanging="540"/>
        <w:jc w:val="both"/>
      </w:pPr>
      <w:r>
        <w:rPr/>
        <w:t>Performance</w:t>
      </w:r>
      <w:r>
        <w:rPr>
          <w:spacing w:val="-7"/>
        </w:rPr>
        <w:t> </w:t>
      </w:r>
      <w:r>
        <w:rPr>
          <w:spacing w:val="-2"/>
        </w:rPr>
        <w:t>Information</w:t>
      </w:r>
    </w:p>
    <w:p>
      <w:pPr>
        <w:pStyle w:val="BodyText"/>
        <w:spacing w:line="360" w:lineRule="auto" w:before="132"/>
        <w:ind w:left="240" w:right="835"/>
        <w:jc w:val="both"/>
      </w:pPr>
      <w:r>
        <w:rPr/>
        <w:t>Performance information refers to the status and progress information about schedule activities, deliverables, budget, resources. It is used as an input for several processes e.g. to </w:t>
      </w:r>
      <w:hyperlink r:id="rId23">
        <w:r>
          <w:rPr/>
          <w:t>estimate</w:t>
        </w:r>
      </w:hyperlink>
      <w:r>
        <w:rPr/>
        <w:t> work remaining to complete the project (Curristine, 2005; Department of National Treasury, South Africa (2010). Performance information can also be referred to as the raw data of the project‘s status, or the ‗as of now‘ status of the processes. It refers to what work has been completed, or how much time has been elapsed, or the cost incurred. It provides us information about the current status of the </w:t>
      </w:r>
      <w:hyperlink r:id="rId24">
        <w:r>
          <w:rPr/>
          <w:t>project</w:t>
        </w:r>
      </w:hyperlink>
      <w:r>
        <w:rPr/>
        <w:t> deliverables. This information is utilized in performance measurements and the performance reporting.</w:t>
      </w:r>
    </w:p>
    <w:p>
      <w:pPr>
        <w:pStyle w:val="BodyText"/>
        <w:spacing w:before="1"/>
      </w:pPr>
    </w:p>
    <w:p>
      <w:pPr>
        <w:pStyle w:val="BodyText"/>
        <w:ind w:left="240"/>
        <w:jc w:val="both"/>
      </w:pPr>
      <w:r>
        <w:rPr/>
        <w:t>Performance</w:t>
      </w:r>
      <w:r>
        <w:rPr>
          <w:spacing w:val="-3"/>
        </w:rPr>
        <w:t> </w:t>
      </w:r>
      <w:r>
        <w:rPr/>
        <w:t>information</w:t>
      </w:r>
      <w:r>
        <w:rPr>
          <w:spacing w:val="1"/>
        </w:rPr>
        <w:t> </w:t>
      </w:r>
      <w:r>
        <w:rPr/>
        <w:t>includes,</w:t>
      </w:r>
      <w:r>
        <w:rPr>
          <w:spacing w:val="-1"/>
        </w:rPr>
        <w:t> </w:t>
      </w:r>
      <w:r>
        <w:rPr/>
        <w:t>but</w:t>
      </w:r>
      <w:r>
        <w:rPr>
          <w:spacing w:val="-2"/>
        </w:rPr>
        <w:t> </w:t>
      </w:r>
      <w:r>
        <w:rPr/>
        <w:t>is</w:t>
      </w:r>
      <w:r>
        <w:rPr>
          <w:spacing w:val="-1"/>
        </w:rPr>
        <w:t> </w:t>
      </w:r>
      <w:r>
        <w:rPr/>
        <w:t>not</w:t>
      </w:r>
      <w:r>
        <w:rPr>
          <w:spacing w:val="-1"/>
        </w:rPr>
        <w:t> </w:t>
      </w:r>
      <w:r>
        <w:rPr/>
        <w:t>limited</w:t>
      </w:r>
      <w:r>
        <w:rPr>
          <w:spacing w:val="-1"/>
        </w:rPr>
        <w:t> </w:t>
      </w:r>
      <w:r>
        <w:rPr>
          <w:spacing w:val="-5"/>
        </w:rPr>
        <w:t>to:</w:t>
      </w:r>
    </w:p>
    <w:p>
      <w:pPr>
        <w:pStyle w:val="ListParagraph"/>
        <w:numPr>
          <w:ilvl w:val="0"/>
          <w:numId w:val="9"/>
        </w:numPr>
        <w:tabs>
          <w:tab w:pos="960" w:val="left" w:leader="none"/>
        </w:tabs>
        <w:spacing w:line="240" w:lineRule="auto" w:before="139" w:after="0"/>
        <w:ind w:left="960" w:right="0" w:hanging="360"/>
        <w:jc w:val="left"/>
        <w:rPr>
          <w:sz w:val="24"/>
        </w:rPr>
      </w:pPr>
      <w:r>
        <w:rPr>
          <w:b/>
          <w:sz w:val="24"/>
        </w:rPr>
        <w:t>Scope:</w:t>
      </w:r>
      <w:r>
        <w:rPr>
          <w:b/>
          <w:spacing w:val="-2"/>
          <w:sz w:val="24"/>
        </w:rPr>
        <w:t> </w:t>
      </w:r>
      <w:r>
        <w:rPr>
          <w:sz w:val="24"/>
        </w:rPr>
        <w:t>How</w:t>
      </w:r>
      <w:r>
        <w:rPr>
          <w:spacing w:val="-1"/>
          <w:sz w:val="24"/>
        </w:rPr>
        <w:t> </w:t>
      </w:r>
      <w:r>
        <w:rPr>
          <w:sz w:val="24"/>
        </w:rPr>
        <w:t>much of</w:t>
      </w:r>
      <w:r>
        <w:rPr>
          <w:spacing w:val="-3"/>
          <w:sz w:val="24"/>
        </w:rPr>
        <w:t> </w:t>
      </w:r>
      <w:r>
        <w:rPr>
          <w:sz w:val="24"/>
        </w:rPr>
        <w:t>the</w:t>
      </w:r>
      <w:r>
        <w:rPr>
          <w:spacing w:val="1"/>
          <w:sz w:val="24"/>
        </w:rPr>
        <w:t> </w:t>
      </w:r>
      <w:r>
        <w:rPr>
          <w:sz w:val="24"/>
        </w:rPr>
        <w:t>scope</w:t>
      </w:r>
      <w:r>
        <w:rPr>
          <w:spacing w:val="-1"/>
          <w:sz w:val="24"/>
        </w:rPr>
        <w:t> </w:t>
      </w:r>
      <w:r>
        <w:rPr>
          <w:sz w:val="24"/>
        </w:rPr>
        <w:t>of</w:t>
      </w:r>
      <w:r>
        <w:rPr>
          <w:spacing w:val="-1"/>
          <w:sz w:val="24"/>
        </w:rPr>
        <w:t> </w:t>
      </w:r>
      <w:r>
        <w:rPr>
          <w:sz w:val="24"/>
        </w:rPr>
        <w:t>the</w:t>
      </w:r>
      <w:r>
        <w:rPr>
          <w:spacing w:val="-2"/>
          <w:sz w:val="24"/>
        </w:rPr>
        <w:t> </w:t>
      </w:r>
      <w:r>
        <w:rPr>
          <w:sz w:val="24"/>
        </w:rPr>
        <w:t>work has</w:t>
      </w:r>
      <w:r>
        <w:rPr>
          <w:spacing w:val="-1"/>
          <w:sz w:val="24"/>
        </w:rPr>
        <w:t> </w:t>
      </w:r>
      <w:r>
        <w:rPr>
          <w:sz w:val="24"/>
        </w:rPr>
        <w:t>been physically</w:t>
      </w:r>
      <w:r>
        <w:rPr>
          <w:spacing w:val="-3"/>
          <w:sz w:val="24"/>
        </w:rPr>
        <w:t> </w:t>
      </w:r>
      <w:r>
        <w:rPr>
          <w:spacing w:val="-2"/>
          <w:sz w:val="24"/>
        </w:rPr>
        <w:t>completed?</w:t>
      </w:r>
    </w:p>
    <w:p>
      <w:pPr>
        <w:pStyle w:val="ListParagraph"/>
        <w:numPr>
          <w:ilvl w:val="0"/>
          <w:numId w:val="9"/>
        </w:numPr>
        <w:tabs>
          <w:tab w:pos="958" w:val="left" w:leader="none"/>
          <w:tab w:pos="960" w:val="left" w:leader="none"/>
        </w:tabs>
        <w:spacing w:line="360" w:lineRule="auto" w:before="137" w:after="0"/>
        <w:ind w:left="960" w:right="846" w:hanging="360"/>
        <w:jc w:val="left"/>
        <w:rPr>
          <w:sz w:val="24"/>
        </w:rPr>
      </w:pPr>
      <w:r>
        <w:rPr>
          <w:b/>
          <w:sz w:val="24"/>
        </w:rPr>
        <w:t>Time:</w:t>
      </w:r>
      <w:r>
        <w:rPr>
          <w:b/>
          <w:spacing w:val="39"/>
          <w:sz w:val="24"/>
        </w:rPr>
        <w:t> </w:t>
      </w:r>
      <w:r>
        <w:rPr>
          <w:sz w:val="24"/>
        </w:rPr>
        <w:t>Schedule</w:t>
      </w:r>
      <w:r>
        <w:rPr>
          <w:spacing w:val="39"/>
          <w:sz w:val="24"/>
        </w:rPr>
        <w:t> </w:t>
      </w:r>
      <w:r>
        <w:rPr>
          <w:sz w:val="24"/>
        </w:rPr>
        <w:t>progress;</w:t>
      </w:r>
      <w:r>
        <w:rPr>
          <w:spacing w:val="40"/>
          <w:sz w:val="24"/>
        </w:rPr>
        <w:t> </w:t>
      </w:r>
      <w:r>
        <w:rPr>
          <w:sz w:val="24"/>
        </w:rPr>
        <w:t>e.g.</w:t>
      </w:r>
      <w:r>
        <w:rPr>
          <w:spacing w:val="39"/>
          <w:sz w:val="24"/>
        </w:rPr>
        <w:t> </w:t>
      </w:r>
      <w:r>
        <w:rPr>
          <w:sz w:val="24"/>
        </w:rPr>
        <w:t>status</w:t>
      </w:r>
      <w:r>
        <w:rPr>
          <w:spacing w:val="40"/>
          <w:sz w:val="24"/>
        </w:rPr>
        <w:t> </w:t>
      </w:r>
      <w:r>
        <w:rPr>
          <w:sz w:val="24"/>
        </w:rPr>
        <w:t>of</w:t>
      </w:r>
      <w:r>
        <w:rPr>
          <w:spacing w:val="39"/>
          <w:sz w:val="24"/>
        </w:rPr>
        <w:t> </w:t>
      </w:r>
      <w:r>
        <w:rPr>
          <w:sz w:val="24"/>
        </w:rPr>
        <w:t>activities;</w:t>
      </w:r>
      <w:r>
        <w:rPr>
          <w:spacing w:val="40"/>
          <w:sz w:val="24"/>
        </w:rPr>
        <w:t> </w:t>
      </w:r>
      <w:r>
        <w:rPr>
          <w:sz w:val="24"/>
        </w:rPr>
        <w:t>i.e.</w:t>
      </w:r>
      <w:r>
        <w:rPr>
          <w:spacing w:val="39"/>
          <w:sz w:val="24"/>
        </w:rPr>
        <w:t> </w:t>
      </w:r>
      <w:r>
        <w:rPr>
          <w:sz w:val="24"/>
        </w:rPr>
        <w:t>how</w:t>
      </w:r>
      <w:r>
        <w:rPr>
          <w:spacing w:val="39"/>
          <w:sz w:val="24"/>
        </w:rPr>
        <w:t> </w:t>
      </w:r>
      <w:r>
        <w:rPr>
          <w:sz w:val="24"/>
        </w:rPr>
        <w:t>many</w:t>
      </w:r>
      <w:r>
        <w:rPr>
          <w:spacing w:val="32"/>
          <w:sz w:val="24"/>
        </w:rPr>
        <w:t> </w:t>
      </w:r>
      <w:r>
        <w:rPr>
          <w:sz w:val="24"/>
        </w:rPr>
        <w:t>activities</w:t>
      </w:r>
      <w:r>
        <w:rPr>
          <w:spacing w:val="39"/>
          <w:sz w:val="24"/>
        </w:rPr>
        <w:t> </w:t>
      </w:r>
      <w:r>
        <w:rPr>
          <w:sz w:val="24"/>
        </w:rPr>
        <w:t>have</w:t>
      </w:r>
      <w:r>
        <w:rPr>
          <w:spacing w:val="39"/>
          <w:sz w:val="24"/>
        </w:rPr>
        <w:t> </w:t>
      </w:r>
      <w:r>
        <w:rPr>
          <w:sz w:val="24"/>
        </w:rPr>
        <w:t>been completed, and how many have been started and their current status, etc.</w:t>
      </w:r>
    </w:p>
    <w:p>
      <w:pPr>
        <w:pStyle w:val="ListParagraph"/>
        <w:numPr>
          <w:ilvl w:val="0"/>
          <w:numId w:val="9"/>
        </w:numPr>
        <w:tabs>
          <w:tab w:pos="960" w:val="left" w:leader="none"/>
        </w:tabs>
        <w:spacing w:line="240" w:lineRule="auto" w:before="0" w:after="0"/>
        <w:ind w:left="960" w:right="0" w:hanging="360"/>
        <w:jc w:val="left"/>
        <w:rPr>
          <w:sz w:val="24"/>
        </w:rPr>
      </w:pPr>
      <w:r>
        <w:rPr>
          <w:b/>
          <w:sz w:val="24"/>
        </w:rPr>
        <w:t>Cost:</w:t>
      </w:r>
      <w:r>
        <w:rPr>
          <w:b/>
          <w:spacing w:val="-2"/>
          <w:sz w:val="24"/>
        </w:rPr>
        <w:t> </w:t>
      </w:r>
      <w:r>
        <w:rPr>
          <w:sz w:val="24"/>
        </w:rPr>
        <w:t>How</w:t>
      </w:r>
      <w:r>
        <w:rPr>
          <w:spacing w:val="-2"/>
          <w:sz w:val="24"/>
        </w:rPr>
        <w:t> </w:t>
      </w:r>
      <w:r>
        <w:rPr>
          <w:sz w:val="24"/>
        </w:rPr>
        <w:t>much</w:t>
      </w:r>
      <w:r>
        <w:rPr>
          <w:spacing w:val="1"/>
          <w:sz w:val="24"/>
        </w:rPr>
        <w:t> </w:t>
      </w:r>
      <w:r>
        <w:rPr>
          <w:sz w:val="24"/>
        </w:rPr>
        <w:t>cost</w:t>
      </w:r>
      <w:r>
        <w:rPr>
          <w:spacing w:val="-1"/>
          <w:sz w:val="24"/>
        </w:rPr>
        <w:t> </w:t>
      </w:r>
      <w:r>
        <w:rPr>
          <w:sz w:val="24"/>
        </w:rPr>
        <w:t>has</w:t>
      </w:r>
      <w:r>
        <w:rPr>
          <w:spacing w:val="-1"/>
          <w:sz w:val="24"/>
        </w:rPr>
        <w:t> </w:t>
      </w:r>
      <w:r>
        <w:rPr>
          <w:sz w:val="24"/>
        </w:rPr>
        <w:t>been incurred</w:t>
      </w:r>
      <w:r>
        <w:rPr>
          <w:spacing w:val="-1"/>
          <w:sz w:val="24"/>
        </w:rPr>
        <w:t> </w:t>
      </w:r>
      <w:r>
        <w:rPr>
          <w:sz w:val="24"/>
        </w:rPr>
        <w:t>to </w:t>
      </w:r>
      <w:r>
        <w:rPr>
          <w:spacing w:val="-2"/>
          <w:sz w:val="24"/>
        </w:rPr>
        <w:t>date?</w:t>
      </w:r>
    </w:p>
    <w:p>
      <w:pPr>
        <w:pStyle w:val="ListParagraph"/>
        <w:numPr>
          <w:ilvl w:val="0"/>
          <w:numId w:val="9"/>
        </w:numPr>
        <w:tabs>
          <w:tab w:pos="958" w:val="left" w:leader="none"/>
          <w:tab w:pos="960" w:val="left" w:leader="none"/>
        </w:tabs>
        <w:spacing w:line="360" w:lineRule="auto" w:before="140" w:after="0"/>
        <w:ind w:left="960" w:right="840" w:hanging="360"/>
        <w:jc w:val="both"/>
        <w:rPr>
          <w:sz w:val="24"/>
        </w:rPr>
      </w:pPr>
      <w:r>
        <w:rPr>
          <w:b/>
          <w:sz w:val="24"/>
        </w:rPr>
        <w:t>Quality: </w:t>
      </w:r>
      <w:r>
        <w:rPr>
          <w:sz w:val="24"/>
        </w:rPr>
        <w:t>Here technical performance measurements are noted. For example, characteristics of product; i.e. physical properties, quality metrics, number of defects and rejection rate, etc.</w:t>
      </w:r>
    </w:p>
    <w:p>
      <w:pPr>
        <w:pStyle w:val="ListParagraph"/>
        <w:numPr>
          <w:ilvl w:val="0"/>
          <w:numId w:val="9"/>
        </w:numPr>
        <w:tabs>
          <w:tab w:pos="958" w:val="left" w:leader="none"/>
          <w:tab w:pos="960" w:val="left" w:leader="none"/>
        </w:tabs>
        <w:spacing w:line="360" w:lineRule="auto" w:before="0" w:after="0"/>
        <w:ind w:left="960" w:right="840" w:hanging="360"/>
        <w:jc w:val="both"/>
        <w:rPr>
          <w:sz w:val="24"/>
        </w:rPr>
      </w:pPr>
      <w:r>
        <w:rPr>
          <w:b/>
          <w:sz w:val="24"/>
        </w:rPr>
        <w:t>Risks: </w:t>
      </w:r>
      <w:r>
        <w:rPr>
          <w:sz w:val="24"/>
        </w:rPr>
        <w:t>Risks status which includes how many identified and unidentified risks have occurred, how many new risks have been identified, effectiveness of response plan, how much contingency, or management reserve has been utilized.</w:t>
      </w:r>
    </w:p>
    <w:p>
      <w:pPr>
        <w:pStyle w:val="ListParagraph"/>
        <w:numPr>
          <w:ilvl w:val="0"/>
          <w:numId w:val="9"/>
        </w:numPr>
        <w:tabs>
          <w:tab w:pos="958" w:val="left" w:leader="none"/>
          <w:tab w:pos="960" w:val="left" w:leader="none"/>
        </w:tabs>
        <w:spacing w:line="360" w:lineRule="auto" w:before="0" w:after="0"/>
        <w:ind w:left="960" w:right="841" w:hanging="360"/>
        <w:jc w:val="both"/>
        <w:rPr>
          <w:sz w:val="24"/>
        </w:rPr>
      </w:pPr>
      <w:r>
        <w:rPr>
          <w:b/>
          <w:sz w:val="24"/>
        </w:rPr>
        <w:t>Procurement:</w:t>
      </w:r>
      <w:r>
        <w:rPr>
          <w:b/>
          <w:spacing w:val="-2"/>
          <w:sz w:val="24"/>
        </w:rPr>
        <w:t> </w:t>
      </w:r>
      <w:r>
        <w:rPr>
          <w:sz w:val="24"/>
        </w:rPr>
        <w:t>Procurement</w:t>
      </w:r>
      <w:r>
        <w:rPr>
          <w:spacing w:val="-2"/>
          <w:sz w:val="24"/>
        </w:rPr>
        <w:t> </w:t>
      </w:r>
      <w:r>
        <w:rPr>
          <w:sz w:val="24"/>
        </w:rPr>
        <w:t>related activities;</w:t>
      </w:r>
      <w:r>
        <w:rPr>
          <w:spacing w:val="-2"/>
          <w:sz w:val="24"/>
        </w:rPr>
        <w:t> </w:t>
      </w:r>
      <w:r>
        <w:rPr>
          <w:sz w:val="24"/>
        </w:rPr>
        <w:t>e.g. how</w:t>
      </w:r>
      <w:r>
        <w:rPr>
          <w:spacing w:val="-2"/>
          <w:sz w:val="24"/>
        </w:rPr>
        <w:t> </w:t>
      </w:r>
      <w:r>
        <w:rPr>
          <w:sz w:val="24"/>
        </w:rPr>
        <w:t>much</w:t>
      </w:r>
      <w:r>
        <w:rPr>
          <w:spacing w:val="-2"/>
          <w:sz w:val="24"/>
        </w:rPr>
        <w:t> </w:t>
      </w:r>
      <w:r>
        <w:rPr>
          <w:sz w:val="24"/>
        </w:rPr>
        <w:t>material</w:t>
      </w:r>
      <w:r>
        <w:rPr>
          <w:spacing w:val="-2"/>
          <w:sz w:val="24"/>
        </w:rPr>
        <w:t> </w:t>
      </w:r>
      <w:r>
        <w:rPr>
          <w:sz w:val="24"/>
        </w:rPr>
        <w:t>supplies</w:t>
      </w:r>
      <w:r>
        <w:rPr>
          <w:spacing w:val="-2"/>
          <w:sz w:val="24"/>
        </w:rPr>
        <w:t> </w:t>
      </w:r>
      <w:r>
        <w:rPr>
          <w:sz w:val="24"/>
        </w:rPr>
        <w:t>have</w:t>
      </w:r>
      <w:r>
        <w:rPr>
          <w:spacing w:val="-2"/>
          <w:sz w:val="24"/>
        </w:rPr>
        <w:t> </w:t>
      </w:r>
      <w:r>
        <w:rPr>
          <w:sz w:val="24"/>
        </w:rPr>
        <w:t>been delivered by the supplier, and how much money is paid to the contractor, etc.</w:t>
      </w:r>
    </w:p>
    <w:p>
      <w:pPr>
        <w:pStyle w:val="BodyText"/>
        <w:spacing w:before="137"/>
      </w:pPr>
    </w:p>
    <w:p>
      <w:pPr>
        <w:pStyle w:val="BodyText"/>
        <w:spacing w:line="360" w:lineRule="auto"/>
        <w:ind w:left="240" w:right="837"/>
        <w:jc w:val="both"/>
      </w:pPr>
      <w:r>
        <w:rPr/>
        <w:t>According to Parmenter (2007) all organizations keep records and notes of their activities or operations. This simple checking becomes monitoring when information is collected routinely and systematically against a plan. Inputs</w:t>
      </w:r>
      <w:r>
        <w:rPr>
          <w:b/>
        </w:rPr>
        <w:t>, </w:t>
      </w:r>
      <w:r>
        <w:rPr/>
        <w:t>outputs (specific elements of service), outcomes (specific products or elements of service provided by the organization), outcomes (changes or difference made as a result of the organization‘s outputs) and impacts (longer-term or broader changes)</w:t>
      </w:r>
      <w:r>
        <w:rPr>
          <w:spacing w:val="34"/>
        </w:rPr>
        <w:t> </w:t>
      </w:r>
      <w:r>
        <w:rPr/>
        <w:t>are</w:t>
      </w:r>
      <w:r>
        <w:rPr>
          <w:spacing w:val="30"/>
        </w:rPr>
        <w:t> </w:t>
      </w:r>
      <w:r>
        <w:rPr/>
        <w:t>usually</w:t>
      </w:r>
      <w:r>
        <w:rPr>
          <w:spacing w:val="27"/>
        </w:rPr>
        <w:t> </w:t>
      </w:r>
      <w:r>
        <w:rPr/>
        <w:t>monitored.</w:t>
      </w:r>
      <w:r>
        <w:rPr>
          <w:spacing w:val="33"/>
        </w:rPr>
        <w:t> </w:t>
      </w:r>
      <w:r>
        <w:rPr/>
        <w:t>Finding</w:t>
      </w:r>
      <w:r>
        <w:rPr>
          <w:spacing w:val="29"/>
        </w:rPr>
        <w:t> </w:t>
      </w:r>
      <w:r>
        <w:rPr/>
        <w:t>ways</w:t>
      </w:r>
      <w:r>
        <w:rPr>
          <w:spacing w:val="32"/>
        </w:rPr>
        <w:t> </w:t>
      </w:r>
      <w:r>
        <w:rPr/>
        <w:t>to</w:t>
      </w:r>
      <w:r>
        <w:rPr>
          <w:spacing w:val="36"/>
        </w:rPr>
        <w:t> </w:t>
      </w:r>
      <w:r>
        <w:rPr/>
        <w:t>collect</w:t>
      </w:r>
      <w:r>
        <w:rPr>
          <w:spacing w:val="32"/>
        </w:rPr>
        <w:t> </w:t>
      </w:r>
      <w:r>
        <w:rPr/>
        <w:t>monitoring</w:t>
      </w:r>
      <w:r>
        <w:rPr>
          <w:spacing w:val="30"/>
        </w:rPr>
        <w:t> </w:t>
      </w:r>
      <w:r>
        <w:rPr/>
        <w:t>information</w:t>
      </w:r>
      <w:r>
        <w:rPr>
          <w:spacing w:val="33"/>
        </w:rPr>
        <w:t> </w:t>
      </w:r>
      <w:r>
        <w:rPr/>
        <w:t>is</w:t>
      </w:r>
      <w:r>
        <w:rPr>
          <w:spacing w:val="33"/>
        </w:rPr>
        <w:t> </w:t>
      </w:r>
      <w:r>
        <w:rPr/>
        <w:t>also</w:t>
      </w:r>
      <w:r>
        <w:rPr>
          <w:spacing w:val="33"/>
        </w:rPr>
        <w:t> </w:t>
      </w:r>
      <w:r>
        <w:rPr/>
        <w:t>a</w:t>
      </w:r>
      <w:r>
        <w:rPr>
          <w:spacing w:val="32"/>
        </w:rPr>
        <w:t> </w:t>
      </w:r>
      <w:r>
        <w:rPr>
          <w:spacing w:val="-5"/>
        </w:rPr>
        <w:t>key</w:t>
      </w:r>
    </w:p>
    <w:p>
      <w:pPr>
        <w:spacing w:after="0" w:line="360" w:lineRule="auto"/>
        <w:jc w:val="both"/>
        <w:sectPr>
          <w:pgSz w:w="12240" w:h="15840"/>
          <w:pgMar w:header="0" w:footer="1036" w:top="1360" w:bottom="1220" w:left="1200" w:right="600"/>
        </w:sectPr>
      </w:pPr>
    </w:p>
    <w:p>
      <w:pPr>
        <w:pStyle w:val="BodyText"/>
        <w:spacing w:line="360" w:lineRule="auto" w:before="74"/>
        <w:ind w:left="240" w:right="846"/>
        <w:jc w:val="both"/>
      </w:pPr>
      <w:r>
        <w:rPr/>
        <w:t>part of monitoring and evaluation. Tools for collecting data can be grouped under four basic heads: surveys and questionnaires, observation</w:t>
      </w:r>
      <w:r>
        <w:rPr>
          <w:b/>
        </w:rPr>
        <w:t>, </w:t>
      </w:r>
      <w:r>
        <w:rPr/>
        <w:t>interviews</w:t>
      </w:r>
      <w:r>
        <w:rPr>
          <w:b/>
        </w:rPr>
        <w:t>, </w:t>
      </w:r>
      <w:r>
        <w:rPr/>
        <w:t>keeping records and notes.</w:t>
      </w:r>
    </w:p>
    <w:p>
      <w:pPr>
        <w:pStyle w:val="BodyText"/>
        <w:spacing w:before="137"/>
      </w:pPr>
    </w:p>
    <w:p>
      <w:pPr>
        <w:pStyle w:val="BodyText"/>
        <w:spacing w:line="360" w:lineRule="auto"/>
        <w:ind w:left="240" w:right="833"/>
        <w:jc w:val="both"/>
      </w:pPr>
      <w:r>
        <w:rPr/>
        <w:t>Performance information is potentially, limitless, complex and expensive to collect. Any formal system of gathering such information must of necessity be highly selective. There are limits to how much information decision makers can use; people have ―bounded rationality‖ and so do organisations. Decisions are taken by busy, often distracted ministers and directors who operate under complex incentives. Providing them with more information does not necessarily help their decision making and may actively hinder it (Department of National Treasury, South Africa (2010).</w:t>
      </w:r>
      <w:r>
        <w:rPr>
          <w:spacing w:val="-3"/>
        </w:rPr>
        <w:t> </w:t>
      </w:r>
      <w:r>
        <w:rPr/>
        <w:t>According</w:t>
      </w:r>
      <w:r>
        <w:rPr>
          <w:spacing w:val="-5"/>
        </w:rPr>
        <w:t> </w:t>
      </w:r>
      <w:r>
        <w:rPr/>
        <w:t>to</w:t>
      </w:r>
      <w:r>
        <w:rPr>
          <w:spacing w:val="-3"/>
        </w:rPr>
        <w:t> </w:t>
      </w:r>
      <w:r>
        <w:rPr/>
        <w:t>Curristine</w:t>
      </w:r>
      <w:r>
        <w:rPr>
          <w:spacing w:val="-4"/>
        </w:rPr>
        <w:t> </w:t>
      </w:r>
      <w:r>
        <w:rPr/>
        <w:t>(2007),</w:t>
      </w:r>
      <w:r>
        <w:rPr>
          <w:spacing w:val="-3"/>
        </w:rPr>
        <w:t> </w:t>
      </w:r>
      <w:r>
        <w:rPr/>
        <w:t>the</w:t>
      </w:r>
      <w:r>
        <w:rPr>
          <w:spacing w:val="-2"/>
        </w:rPr>
        <w:t> </w:t>
      </w:r>
      <w:r>
        <w:rPr/>
        <w:t>use</w:t>
      </w:r>
      <w:r>
        <w:rPr>
          <w:spacing w:val="-3"/>
        </w:rPr>
        <w:t> </w:t>
      </w:r>
      <w:r>
        <w:rPr/>
        <w:t>of performance</w:t>
      </w:r>
      <w:r>
        <w:rPr>
          <w:spacing w:val="-2"/>
        </w:rPr>
        <w:t> </w:t>
      </w:r>
      <w:r>
        <w:rPr/>
        <w:t>information</w:t>
      </w:r>
      <w:r>
        <w:rPr>
          <w:spacing w:val="-1"/>
        </w:rPr>
        <w:t> </w:t>
      </w:r>
      <w:r>
        <w:rPr/>
        <w:t>in</w:t>
      </w:r>
      <w:r>
        <w:rPr>
          <w:spacing w:val="-3"/>
        </w:rPr>
        <w:t> </w:t>
      </w:r>
      <w:r>
        <w:rPr/>
        <w:t>the</w:t>
      </w:r>
      <w:r>
        <w:rPr>
          <w:spacing w:val="-4"/>
        </w:rPr>
        <w:t> </w:t>
      </w:r>
      <w:r>
        <w:rPr/>
        <w:t>budget</w:t>
      </w:r>
      <w:r>
        <w:rPr>
          <w:spacing w:val="-3"/>
        </w:rPr>
        <w:t> </w:t>
      </w:r>
      <w:r>
        <w:rPr/>
        <w:t>process seeks to move the focus of decision making in budgeting away from inputs (how much money can I get?) towards measurable results (what can I achieve with this money?). The key performance information variables are shown in figure 2.4.</w:t>
      </w:r>
    </w:p>
    <w:p>
      <w:pPr>
        <w:pStyle w:val="BodyText"/>
        <w:rPr>
          <w:sz w:val="20"/>
        </w:rPr>
      </w:pPr>
    </w:p>
    <w:p>
      <w:pPr>
        <w:pStyle w:val="BodyText"/>
        <w:rPr>
          <w:sz w:val="20"/>
        </w:rPr>
      </w:pPr>
    </w:p>
    <w:p>
      <w:pPr>
        <w:pStyle w:val="BodyText"/>
        <w:spacing w:before="141"/>
        <w:rPr>
          <w:sz w:val="20"/>
        </w:rPr>
      </w:pPr>
      <w:r>
        <w:rPr/>
        <w:drawing>
          <wp:anchor distT="0" distB="0" distL="0" distR="0" allowOverlap="1" layoutInCell="1" locked="0" behindDoc="1" simplePos="0" relativeHeight="487590912">
            <wp:simplePos x="0" y="0"/>
            <wp:positionH relativeFrom="page">
              <wp:posOffset>967174</wp:posOffset>
            </wp:positionH>
            <wp:positionV relativeFrom="paragraph">
              <wp:posOffset>251370</wp:posOffset>
            </wp:positionV>
            <wp:extent cx="5636449" cy="3361182"/>
            <wp:effectExtent l="0" t="0" r="0" b="0"/>
            <wp:wrapTopAndBottom/>
            <wp:docPr id="84" name="Image 84"/>
            <wp:cNvGraphicFramePr>
              <a:graphicFrameLocks/>
            </wp:cNvGraphicFramePr>
            <a:graphic>
              <a:graphicData uri="http://schemas.openxmlformats.org/drawingml/2006/picture">
                <pic:pic>
                  <pic:nvPicPr>
                    <pic:cNvPr id="84" name="Image 84"/>
                    <pic:cNvPicPr/>
                  </pic:nvPicPr>
                  <pic:blipFill>
                    <a:blip r:embed="rId25" cstate="print"/>
                    <a:stretch>
                      <a:fillRect/>
                    </a:stretch>
                  </pic:blipFill>
                  <pic:spPr>
                    <a:xfrm>
                      <a:off x="0" y="0"/>
                      <a:ext cx="5636449" cy="3361182"/>
                    </a:xfrm>
                    <a:prstGeom prst="rect">
                      <a:avLst/>
                    </a:prstGeom>
                  </pic:spPr>
                </pic:pic>
              </a:graphicData>
            </a:graphic>
          </wp:anchor>
        </w:drawing>
      </w:r>
    </w:p>
    <w:p>
      <w:pPr>
        <w:pStyle w:val="BodyText"/>
        <w:spacing w:before="213"/>
        <w:ind w:left="240" w:right="836"/>
        <w:jc w:val="both"/>
      </w:pPr>
      <w:r>
        <w:rPr>
          <w:b/>
        </w:rPr>
        <w:t>Figure 2.4. </w:t>
      </w:r>
      <w:r>
        <w:rPr/>
        <w:t>Key performance information variables (South African Department of National Treasury, 2010)</w:t>
      </w:r>
    </w:p>
    <w:p>
      <w:pPr>
        <w:spacing w:after="0"/>
        <w:jc w:val="both"/>
        <w:sectPr>
          <w:pgSz w:w="12240" w:h="15840"/>
          <w:pgMar w:header="0" w:footer="1036" w:top="1360" w:bottom="1220" w:left="1200" w:right="600"/>
        </w:sectPr>
      </w:pPr>
    </w:p>
    <w:p>
      <w:pPr>
        <w:pStyle w:val="BodyText"/>
        <w:spacing w:before="74"/>
        <w:ind w:left="240"/>
        <w:jc w:val="both"/>
      </w:pPr>
      <w:r>
        <w:rPr/>
        <w:t>A</w:t>
      </w:r>
      <w:r>
        <w:rPr>
          <w:spacing w:val="-3"/>
        </w:rPr>
        <w:t> </w:t>
      </w:r>
      <w:r>
        <w:rPr/>
        <w:t>number</w:t>
      </w:r>
      <w:r>
        <w:rPr>
          <w:spacing w:val="-1"/>
        </w:rPr>
        <w:t> </w:t>
      </w:r>
      <w:r>
        <w:rPr/>
        <w:t>of</w:t>
      </w:r>
      <w:r>
        <w:rPr>
          <w:spacing w:val="-3"/>
        </w:rPr>
        <w:t> </w:t>
      </w:r>
      <w:r>
        <w:rPr/>
        <w:t>benefits can</w:t>
      </w:r>
      <w:r>
        <w:rPr>
          <w:spacing w:val="1"/>
        </w:rPr>
        <w:t> </w:t>
      </w:r>
      <w:r>
        <w:rPr/>
        <w:t>be</w:t>
      </w:r>
      <w:r>
        <w:rPr>
          <w:spacing w:val="-2"/>
        </w:rPr>
        <w:t> </w:t>
      </w:r>
      <w:r>
        <w:rPr/>
        <w:t>derived</w:t>
      </w:r>
      <w:r>
        <w:rPr>
          <w:spacing w:val="2"/>
        </w:rPr>
        <w:t> </w:t>
      </w:r>
      <w:r>
        <w:rPr/>
        <w:t>from</w:t>
      </w:r>
      <w:r>
        <w:rPr>
          <w:spacing w:val="-1"/>
        </w:rPr>
        <w:t> </w:t>
      </w:r>
      <w:r>
        <w:rPr/>
        <w:t>the</w:t>
      </w:r>
      <w:r>
        <w:rPr>
          <w:spacing w:val="-2"/>
        </w:rPr>
        <w:t> </w:t>
      </w:r>
      <w:r>
        <w:rPr/>
        <w:t>use</w:t>
      </w:r>
      <w:r>
        <w:rPr>
          <w:spacing w:val="1"/>
        </w:rPr>
        <w:t> </w:t>
      </w:r>
      <w:r>
        <w:rPr/>
        <w:t>of</w:t>
      </w:r>
      <w:r>
        <w:rPr>
          <w:spacing w:val="-2"/>
        </w:rPr>
        <w:t> </w:t>
      </w:r>
      <w:r>
        <w:rPr/>
        <w:t>performance</w:t>
      </w:r>
      <w:r>
        <w:rPr>
          <w:spacing w:val="-2"/>
        </w:rPr>
        <w:t> </w:t>
      </w:r>
      <w:r>
        <w:rPr/>
        <w:t>information </w:t>
      </w:r>
      <w:r>
        <w:rPr>
          <w:spacing w:val="-2"/>
        </w:rPr>
        <w:t>(PI):</w:t>
      </w:r>
    </w:p>
    <w:p>
      <w:pPr>
        <w:pStyle w:val="ListParagraph"/>
        <w:numPr>
          <w:ilvl w:val="0"/>
          <w:numId w:val="10"/>
        </w:numPr>
        <w:tabs>
          <w:tab w:pos="959" w:val="left" w:leader="none"/>
        </w:tabs>
        <w:spacing w:line="240" w:lineRule="auto" w:before="137" w:after="0"/>
        <w:ind w:left="959" w:right="0" w:hanging="359"/>
        <w:jc w:val="both"/>
        <w:rPr>
          <w:sz w:val="24"/>
        </w:rPr>
      </w:pPr>
      <w:r>
        <w:rPr>
          <w:sz w:val="24"/>
        </w:rPr>
        <w:t>It generates</w:t>
      </w:r>
      <w:r>
        <w:rPr>
          <w:spacing w:val="-1"/>
          <w:sz w:val="24"/>
        </w:rPr>
        <w:t> </w:t>
      </w:r>
      <w:r>
        <w:rPr>
          <w:sz w:val="24"/>
        </w:rPr>
        <w:t>a</w:t>
      </w:r>
      <w:r>
        <w:rPr>
          <w:spacing w:val="-3"/>
          <w:sz w:val="24"/>
        </w:rPr>
        <w:t> </w:t>
      </w:r>
      <w:r>
        <w:rPr>
          <w:sz w:val="24"/>
        </w:rPr>
        <w:t>sharper focus</w:t>
      </w:r>
      <w:r>
        <w:rPr>
          <w:spacing w:val="-1"/>
          <w:sz w:val="24"/>
        </w:rPr>
        <w:t> </w:t>
      </w:r>
      <w:r>
        <w:rPr>
          <w:sz w:val="24"/>
        </w:rPr>
        <w:t>on</w:t>
      </w:r>
      <w:r>
        <w:rPr>
          <w:spacing w:val="-1"/>
          <w:sz w:val="24"/>
        </w:rPr>
        <w:t> </w:t>
      </w:r>
      <w:r>
        <w:rPr>
          <w:sz w:val="24"/>
        </w:rPr>
        <w:t>results</w:t>
      </w:r>
      <w:r>
        <w:rPr>
          <w:spacing w:val="-1"/>
          <w:sz w:val="24"/>
        </w:rPr>
        <w:t> </w:t>
      </w:r>
      <w:r>
        <w:rPr>
          <w:sz w:val="24"/>
        </w:rPr>
        <w:t>within</w:t>
      </w:r>
      <w:r>
        <w:rPr>
          <w:spacing w:val="2"/>
          <w:sz w:val="24"/>
        </w:rPr>
        <w:t> </w:t>
      </w:r>
      <w:r>
        <w:rPr>
          <w:sz w:val="24"/>
        </w:rPr>
        <w:t>the</w:t>
      </w:r>
      <w:r>
        <w:rPr>
          <w:spacing w:val="-1"/>
          <w:sz w:val="24"/>
        </w:rPr>
        <w:t> </w:t>
      </w:r>
      <w:r>
        <w:rPr>
          <w:spacing w:val="-2"/>
          <w:sz w:val="24"/>
        </w:rPr>
        <w:t>government.</w:t>
      </w:r>
    </w:p>
    <w:p>
      <w:pPr>
        <w:pStyle w:val="ListParagraph"/>
        <w:numPr>
          <w:ilvl w:val="0"/>
          <w:numId w:val="10"/>
        </w:numPr>
        <w:tabs>
          <w:tab w:pos="960" w:val="left" w:leader="none"/>
        </w:tabs>
        <w:spacing w:line="360" w:lineRule="auto" w:before="139" w:after="0"/>
        <w:ind w:left="960" w:right="846" w:hanging="360"/>
        <w:jc w:val="both"/>
        <w:rPr>
          <w:sz w:val="24"/>
        </w:rPr>
      </w:pPr>
      <w:r>
        <w:rPr>
          <w:sz w:val="24"/>
        </w:rPr>
        <w:t>It provides more and better information on government goals and priorities, and on how different programmes contribute to achieve these goals.</w:t>
      </w:r>
    </w:p>
    <w:p>
      <w:pPr>
        <w:pStyle w:val="ListParagraph"/>
        <w:numPr>
          <w:ilvl w:val="0"/>
          <w:numId w:val="10"/>
        </w:numPr>
        <w:tabs>
          <w:tab w:pos="960" w:val="left" w:leader="none"/>
        </w:tabs>
        <w:spacing w:line="360" w:lineRule="auto" w:before="1" w:after="0"/>
        <w:ind w:left="960" w:right="847" w:hanging="360"/>
        <w:jc w:val="both"/>
        <w:rPr>
          <w:sz w:val="24"/>
        </w:rPr>
      </w:pPr>
      <w:r>
        <w:rPr>
          <w:sz w:val="24"/>
        </w:rPr>
        <w:t>It encourages a greater emphasis on planning and acts as a signaling device that provides key actors with details on what is working and what is not.</w:t>
      </w:r>
    </w:p>
    <w:p>
      <w:pPr>
        <w:pStyle w:val="ListParagraph"/>
        <w:numPr>
          <w:ilvl w:val="0"/>
          <w:numId w:val="10"/>
        </w:numPr>
        <w:tabs>
          <w:tab w:pos="960" w:val="left" w:leader="none"/>
        </w:tabs>
        <w:spacing w:line="360" w:lineRule="auto" w:before="0" w:after="0"/>
        <w:ind w:left="960" w:right="836" w:hanging="360"/>
        <w:jc w:val="both"/>
        <w:rPr>
          <w:sz w:val="24"/>
        </w:rPr>
      </w:pPr>
      <w:r>
        <w:rPr>
          <w:sz w:val="24"/>
        </w:rPr>
        <w:t>It improves transparency by providing more and better information to legislature and to the public, and has the potential to improve public management and efficiency. involves the efficient allocation of public expenditure in accordance with government priorities.</w:t>
      </w:r>
    </w:p>
    <w:p>
      <w:pPr>
        <w:pStyle w:val="ListParagraph"/>
        <w:numPr>
          <w:ilvl w:val="0"/>
          <w:numId w:val="10"/>
        </w:numPr>
        <w:tabs>
          <w:tab w:pos="960" w:val="left" w:leader="none"/>
        </w:tabs>
        <w:spacing w:line="360" w:lineRule="auto" w:before="0" w:after="0"/>
        <w:ind w:left="960" w:right="839" w:hanging="360"/>
        <w:jc w:val="both"/>
        <w:rPr>
          <w:sz w:val="24"/>
        </w:rPr>
      </w:pPr>
      <w:r>
        <w:rPr>
          <w:sz w:val="24"/>
        </w:rPr>
        <w:t>It improves allocative efficiency by providing the government with information that facilitates the allocation of funds towards high-performing programmes and which are preferred by the citizens</w:t>
      </w:r>
    </w:p>
    <w:p>
      <w:pPr>
        <w:pStyle w:val="BodyText"/>
        <w:spacing w:line="360" w:lineRule="auto" w:before="240"/>
        <w:ind w:left="240" w:right="840"/>
      </w:pPr>
      <w:r>
        <w:rPr/>
        <w:t>According to Curristine (2005) and OECD (2005), performance information is important for effective</w:t>
      </w:r>
      <w:r>
        <w:rPr>
          <w:spacing w:val="-7"/>
        </w:rPr>
        <w:t> </w:t>
      </w:r>
      <w:r>
        <w:rPr/>
        <w:t>management,</w:t>
      </w:r>
      <w:r>
        <w:rPr>
          <w:spacing w:val="-6"/>
        </w:rPr>
        <w:t> </w:t>
      </w:r>
      <w:r>
        <w:rPr/>
        <w:t>including</w:t>
      </w:r>
      <w:r>
        <w:rPr>
          <w:spacing w:val="-7"/>
        </w:rPr>
        <w:t> </w:t>
      </w:r>
      <w:r>
        <w:rPr/>
        <w:t>planning,</w:t>
      </w:r>
      <w:r>
        <w:rPr>
          <w:spacing w:val="-6"/>
        </w:rPr>
        <w:t> </w:t>
      </w:r>
      <w:r>
        <w:rPr/>
        <w:t>budgeting,</w:t>
      </w:r>
      <w:r>
        <w:rPr>
          <w:spacing w:val="-6"/>
        </w:rPr>
        <w:t> </w:t>
      </w:r>
      <w:r>
        <w:rPr/>
        <w:t>implementation,</w:t>
      </w:r>
      <w:r>
        <w:rPr>
          <w:spacing w:val="-6"/>
        </w:rPr>
        <w:t> </w:t>
      </w:r>
      <w:r>
        <w:rPr/>
        <w:t>reporting,</w:t>
      </w:r>
      <w:r>
        <w:rPr>
          <w:spacing w:val="-6"/>
        </w:rPr>
        <w:t> </w:t>
      </w:r>
      <w:r>
        <w:rPr/>
        <w:t>monitoring</w:t>
      </w:r>
      <w:r>
        <w:rPr>
          <w:spacing w:val="-6"/>
        </w:rPr>
        <w:t> </w:t>
      </w:r>
      <w:r>
        <w:rPr/>
        <w:t>and evaluation. It helps to assess and improve policies in:</w:t>
      </w:r>
    </w:p>
    <w:p>
      <w:pPr>
        <w:pStyle w:val="ListParagraph"/>
        <w:numPr>
          <w:ilvl w:val="3"/>
          <w:numId w:val="7"/>
        </w:numPr>
        <w:tabs>
          <w:tab w:pos="960" w:val="left" w:leader="none"/>
        </w:tabs>
        <w:spacing w:line="240" w:lineRule="auto" w:before="2" w:after="0"/>
        <w:ind w:left="960" w:right="0" w:hanging="487"/>
        <w:jc w:val="left"/>
        <w:rPr>
          <w:sz w:val="24"/>
        </w:rPr>
      </w:pPr>
      <w:r>
        <w:rPr>
          <w:sz w:val="24"/>
        </w:rPr>
        <w:t>Managerial</w:t>
      </w:r>
      <w:r>
        <w:rPr>
          <w:spacing w:val="-1"/>
          <w:sz w:val="24"/>
        </w:rPr>
        <w:t> </w:t>
      </w:r>
      <w:r>
        <w:rPr>
          <w:sz w:val="24"/>
        </w:rPr>
        <w:t>analysis,</w:t>
      </w:r>
      <w:r>
        <w:rPr>
          <w:spacing w:val="-1"/>
          <w:sz w:val="24"/>
        </w:rPr>
        <w:t> </w:t>
      </w:r>
      <w:r>
        <w:rPr>
          <w:sz w:val="24"/>
        </w:rPr>
        <w:t>direction</w:t>
      </w:r>
      <w:r>
        <w:rPr>
          <w:spacing w:val="-1"/>
          <w:sz w:val="24"/>
        </w:rPr>
        <w:t> </w:t>
      </w:r>
      <w:r>
        <w:rPr>
          <w:sz w:val="24"/>
        </w:rPr>
        <w:t>and</w:t>
      </w:r>
      <w:r>
        <w:rPr>
          <w:spacing w:val="-1"/>
          <w:sz w:val="24"/>
        </w:rPr>
        <w:t> </w:t>
      </w:r>
      <w:r>
        <w:rPr>
          <w:sz w:val="24"/>
        </w:rPr>
        <w:t>control</w:t>
      </w:r>
      <w:r>
        <w:rPr>
          <w:spacing w:val="-1"/>
          <w:sz w:val="24"/>
        </w:rPr>
        <w:t> </w:t>
      </w:r>
      <w:r>
        <w:rPr>
          <w:sz w:val="24"/>
        </w:rPr>
        <w:t>of</w:t>
      </w:r>
      <w:r>
        <w:rPr>
          <w:spacing w:val="-1"/>
          <w:sz w:val="24"/>
        </w:rPr>
        <w:t> </w:t>
      </w:r>
      <w:r>
        <w:rPr>
          <w:sz w:val="24"/>
        </w:rPr>
        <w:t>public</w:t>
      </w:r>
      <w:r>
        <w:rPr>
          <w:spacing w:val="-1"/>
          <w:sz w:val="24"/>
        </w:rPr>
        <w:t> </w:t>
      </w:r>
      <w:r>
        <w:rPr>
          <w:spacing w:val="-2"/>
          <w:sz w:val="24"/>
        </w:rPr>
        <w:t>services;</w:t>
      </w:r>
    </w:p>
    <w:p>
      <w:pPr>
        <w:pStyle w:val="ListParagraph"/>
        <w:numPr>
          <w:ilvl w:val="3"/>
          <w:numId w:val="7"/>
        </w:numPr>
        <w:tabs>
          <w:tab w:pos="960" w:val="left" w:leader="none"/>
        </w:tabs>
        <w:spacing w:line="240" w:lineRule="auto" w:before="137" w:after="0"/>
        <w:ind w:left="960" w:right="0" w:hanging="554"/>
        <w:jc w:val="left"/>
        <w:rPr>
          <w:sz w:val="24"/>
        </w:rPr>
      </w:pPr>
      <w:r>
        <w:rPr>
          <w:sz w:val="24"/>
        </w:rPr>
        <w:t>Budgetary</w:t>
      </w:r>
      <w:r>
        <w:rPr>
          <w:spacing w:val="-5"/>
          <w:sz w:val="24"/>
        </w:rPr>
        <w:t> </w:t>
      </w:r>
      <w:r>
        <w:rPr>
          <w:spacing w:val="-2"/>
          <w:sz w:val="24"/>
        </w:rPr>
        <w:t>analysis;</w:t>
      </w:r>
    </w:p>
    <w:p>
      <w:pPr>
        <w:pStyle w:val="ListParagraph"/>
        <w:numPr>
          <w:ilvl w:val="3"/>
          <w:numId w:val="7"/>
        </w:numPr>
        <w:tabs>
          <w:tab w:pos="960" w:val="left" w:leader="none"/>
        </w:tabs>
        <w:spacing w:line="240" w:lineRule="auto" w:before="139" w:after="0"/>
        <w:ind w:left="960" w:right="0" w:hanging="619"/>
        <w:jc w:val="left"/>
        <w:rPr>
          <w:sz w:val="24"/>
        </w:rPr>
      </w:pPr>
      <w:r>
        <w:rPr>
          <w:sz w:val="24"/>
        </w:rPr>
        <w:t>Legislative</w:t>
      </w:r>
      <w:r>
        <w:rPr>
          <w:spacing w:val="-4"/>
          <w:sz w:val="24"/>
        </w:rPr>
        <w:t> </w:t>
      </w:r>
      <w:r>
        <w:rPr>
          <w:sz w:val="24"/>
        </w:rPr>
        <w:t>oversight</w:t>
      </w:r>
      <w:r>
        <w:rPr>
          <w:spacing w:val="-1"/>
          <w:sz w:val="24"/>
        </w:rPr>
        <w:t> </w:t>
      </w:r>
      <w:r>
        <w:rPr>
          <w:sz w:val="24"/>
        </w:rPr>
        <w:t>of</w:t>
      </w:r>
      <w:r>
        <w:rPr>
          <w:spacing w:val="-2"/>
          <w:sz w:val="24"/>
        </w:rPr>
        <w:t> </w:t>
      </w:r>
      <w:r>
        <w:rPr>
          <w:sz w:val="24"/>
        </w:rPr>
        <w:t>the</w:t>
      </w:r>
      <w:r>
        <w:rPr>
          <w:spacing w:val="-1"/>
          <w:sz w:val="24"/>
        </w:rPr>
        <w:t> </w:t>
      </w:r>
      <w:r>
        <w:rPr>
          <w:sz w:val="24"/>
        </w:rPr>
        <w:t>executive</w:t>
      </w:r>
      <w:r>
        <w:rPr>
          <w:spacing w:val="-2"/>
          <w:sz w:val="24"/>
        </w:rPr>
        <w:t> </w:t>
      </w:r>
      <w:r>
        <w:rPr>
          <w:spacing w:val="-5"/>
          <w:sz w:val="24"/>
        </w:rPr>
        <w:t>and</w:t>
      </w:r>
    </w:p>
    <w:p>
      <w:pPr>
        <w:pStyle w:val="ListParagraph"/>
        <w:numPr>
          <w:ilvl w:val="3"/>
          <w:numId w:val="7"/>
        </w:numPr>
        <w:tabs>
          <w:tab w:pos="960" w:val="left" w:leader="none"/>
        </w:tabs>
        <w:spacing w:line="240" w:lineRule="auto" w:before="137" w:after="0"/>
        <w:ind w:left="960" w:right="0" w:hanging="607"/>
        <w:jc w:val="left"/>
        <w:rPr>
          <w:sz w:val="24"/>
        </w:rPr>
      </w:pPr>
      <w:r>
        <w:rPr>
          <w:sz w:val="24"/>
        </w:rPr>
        <w:t>Public</w:t>
      </w:r>
      <w:r>
        <w:rPr>
          <w:spacing w:val="-1"/>
          <w:sz w:val="24"/>
        </w:rPr>
        <w:t> </w:t>
      </w:r>
      <w:r>
        <w:rPr>
          <w:spacing w:val="-2"/>
          <w:sz w:val="24"/>
        </w:rPr>
        <w:t>accountability</w:t>
      </w:r>
    </w:p>
    <w:p>
      <w:pPr>
        <w:pStyle w:val="BodyText"/>
        <w:spacing w:before="139"/>
      </w:pPr>
    </w:p>
    <w:p>
      <w:pPr>
        <w:pStyle w:val="BodyText"/>
        <w:spacing w:line="360" w:lineRule="auto"/>
        <w:ind w:left="240" w:right="833"/>
        <w:jc w:val="both"/>
      </w:pPr>
      <w:r>
        <w:rPr/>
        <w:t>Castro (2011) however, maintains that results of the public sector, including budget allocations, presents its own set of information challenges. First, collecting information on performance indicators is not easy. For example, output indicators are mainly</w:t>
      </w:r>
      <w:r>
        <w:rPr>
          <w:spacing w:val="-1"/>
        </w:rPr>
        <w:t> </w:t>
      </w:r>
      <w:r>
        <w:rPr/>
        <w:t>based on administrative records (day-to-day data produced by programs on their own), which can be very weak in many developing countries. Outcome indicators, on the other hand, often rely more on statistical estimations (discrete observations obtained through survey approximations), which in many countries are not collected regularly enough to inform critical government decisions. In such weak institutional environments, national statistics offices should be considered a valuable </w:t>
      </w:r>
      <w:r>
        <w:rPr>
          <w:spacing w:val="-2"/>
        </w:rPr>
        <w:t>resource.</w:t>
      </w:r>
    </w:p>
    <w:p>
      <w:pPr>
        <w:spacing w:after="0" w:line="360" w:lineRule="auto"/>
        <w:jc w:val="both"/>
        <w:sectPr>
          <w:pgSz w:w="12240" w:h="15840"/>
          <w:pgMar w:header="0" w:footer="1036" w:top="1360" w:bottom="1220" w:left="1200" w:right="600"/>
        </w:sectPr>
      </w:pPr>
    </w:p>
    <w:p>
      <w:pPr>
        <w:pStyle w:val="BodyText"/>
        <w:spacing w:line="360" w:lineRule="auto" w:before="74"/>
        <w:ind w:left="240" w:right="835"/>
        <w:jc w:val="both"/>
      </w:pPr>
      <w:r>
        <w:rPr/>
        <w:t>Second, performance information needs analysis. Even if good information exists, it cannot be considered performance information until it is processed and organized in a structured, accessible, and timely manner. Utilization strongly relies on sound analysis rather than on the existence of large volumes of indicators. The challenge is, therefore, who should conduct such analysis and how, so that the information can be digestible and useful for decision makers. Because</w:t>
      </w:r>
      <w:r>
        <w:rPr>
          <w:spacing w:val="-2"/>
        </w:rPr>
        <w:t> </w:t>
      </w:r>
      <w:r>
        <w:rPr/>
        <w:t>this</w:t>
      </w:r>
      <w:r>
        <w:rPr>
          <w:spacing w:val="-2"/>
        </w:rPr>
        <w:t> </w:t>
      </w:r>
      <w:r>
        <w:rPr/>
        <w:t>analysis</w:t>
      </w:r>
      <w:r>
        <w:rPr>
          <w:spacing w:val="-1"/>
        </w:rPr>
        <w:t> </w:t>
      </w:r>
      <w:r>
        <w:rPr/>
        <w:t>can</w:t>
      </w:r>
      <w:r>
        <w:rPr>
          <w:spacing w:val="-1"/>
        </w:rPr>
        <w:t> </w:t>
      </w:r>
      <w:r>
        <w:rPr/>
        <w:t>be</w:t>
      </w:r>
      <w:r>
        <w:rPr>
          <w:spacing w:val="-4"/>
        </w:rPr>
        <w:t> </w:t>
      </w:r>
      <w:r>
        <w:rPr/>
        <w:t>demanding</w:t>
      </w:r>
      <w:r>
        <w:rPr>
          <w:spacing w:val="-5"/>
        </w:rPr>
        <w:t> </w:t>
      </w:r>
      <w:r>
        <w:rPr/>
        <w:t>and</w:t>
      </w:r>
      <w:r>
        <w:rPr>
          <w:spacing w:val="-3"/>
        </w:rPr>
        <w:t> </w:t>
      </w:r>
      <w:r>
        <w:rPr/>
        <w:t>time</w:t>
      </w:r>
      <w:r>
        <w:rPr>
          <w:spacing w:val="-2"/>
        </w:rPr>
        <w:t> </w:t>
      </w:r>
      <w:r>
        <w:rPr/>
        <w:t>consuming, it</w:t>
      </w:r>
      <w:r>
        <w:rPr>
          <w:spacing w:val="-1"/>
        </w:rPr>
        <w:t> </w:t>
      </w:r>
      <w:r>
        <w:rPr/>
        <w:t>requires</w:t>
      </w:r>
      <w:r>
        <w:rPr>
          <w:spacing w:val="-3"/>
        </w:rPr>
        <w:t> </w:t>
      </w:r>
      <w:r>
        <w:rPr/>
        <w:t>a</w:t>
      </w:r>
      <w:r>
        <w:rPr>
          <w:spacing w:val="-2"/>
        </w:rPr>
        <w:t> </w:t>
      </w:r>
      <w:r>
        <w:rPr/>
        <w:t>technical</w:t>
      </w:r>
      <w:r>
        <w:rPr>
          <w:spacing w:val="-1"/>
        </w:rPr>
        <w:t> </w:t>
      </w:r>
      <w:r>
        <w:rPr/>
        <w:t>unit</w:t>
      </w:r>
      <w:r>
        <w:rPr>
          <w:spacing w:val="-3"/>
        </w:rPr>
        <w:t> </w:t>
      </w:r>
      <w:r>
        <w:rPr/>
        <w:t>made</w:t>
      </w:r>
      <w:r>
        <w:rPr>
          <w:spacing w:val="-3"/>
        </w:rPr>
        <w:t> </w:t>
      </w:r>
      <w:r>
        <w:rPr/>
        <w:t>up of sufficient capable professionals who specialize in conducting regular assessments and reporting performance information within the government. Experience also shows that it takes time and practice to develop quality and timely performance information, which in turn requires direct knowledge of the specific policies and programs to identify with precision what will be measured (Northern Territory Government, 2012).</w:t>
      </w:r>
    </w:p>
    <w:p>
      <w:pPr>
        <w:pStyle w:val="BodyText"/>
        <w:spacing w:before="185"/>
      </w:pPr>
    </w:p>
    <w:p>
      <w:pPr>
        <w:pStyle w:val="Heading4"/>
        <w:numPr>
          <w:ilvl w:val="2"/>
          <w:numId w:val="7"/>
        </w:numPr>
        <w:tabs>
          <w:tab w:pos="780" w:val="left" w:leader="none"/>
        </w:tabs>
        <w:spacing w:line="240" w:lineRule="auto" w:before="0" w:after="0"/>
        <w:ind w:left="780" w:right="0" w:hanging="540"/>
        <w:jc w:val="both"/>
      </w:pPr>
      <w:r>
        <w:rPr/>
        <w:t>Performance</w:t>
      </w:r>
      <w:r>
        <w:rPr>
          <w:spacing w:val="-3"/>
        </w:rPr>
        <w:t> </w:t>
      </w:r>
      <w:r>
        <w:rPr/>
        <w:t>Measurement</w:t>
      </w:r>
      <w:r>
        <w:rPr>
          <w:spacing w:val="-3"/>
        </w:rPr>
        <w:t> </w:t>
      </w:r>
      <w:r>
        <w:rPr/>
        <w:t>and</w:t>
      </w:r>
      <w:r>
        <w:rPr>
          <w:spacing w:val="-3"/>
        </w:rPr>
        <w:t> </w:t>
      </w:r>
      <w:r>
        <w:rPr>
          <w:spacing w:val="-2"/>
        </w:rPr>
        <w:t>Reporting</w:t>
      </w:r>
    </w:p>
    <w:p>
      <w:pPr>
        <w:pStyle w:val="BodyText"/>
        <w:spacing w:line="360" w:lineRule="auto" w:before="134"/>
        <w:ind w:left="240" w:right="832"/>
        <w:jc w:val="both"/>
      </w:pPr>
      <w:r>
        <w:rPr/>
        <w:t>Performance measurement was developed some 60 years ago as part of efforts to introduce program budgeting techniques in the United States. The very</w:t>
      </w:r>
      <w:r>
        <w:rPr>
          <w:spacing w:val="-3"/>
        </w:rPr>
        <w:t> </w:t>
      </w:r>
      <w:r>
        <w:rPr/>
        <w:t>first attempt at performance budget was initiated</w:t>
      </w:r>
      <w:r>
        <w:rPr>
          <w:spacing w:val="-1"/>
        </w:rPr>
        <w:t> </w:t>
      </w:r>
      <w:r>
        <w:rPr/>
        <w:t>by</w:t>
      </w:r>
      <w:r>
        <w:rPr>
          <w:spacing w:val="-8"/>
        </w:rPr>
        <w:t> </w:t>
      </w:r>
      <w:r>
        <w:rPr/>
        <w:t>the</w:t>
      </w:r>
      <w:r>
        <w:rPr>
          <w:spacing w:val="-1"/>
        </w:rPr>
        <w:t> </w:t>
      </w:r>
      <w:r>
        <w:rPr/>
        <w:t>first Hoover</w:t>
      </w:r>
      <w:r>
        <w:rPr>
          <w:spacing w:val="-1"/>
        </w:rPr>
        <w:t> </w:t>
      </w:r>
      <w:r>
        <w:rPr/>
        <w:t>Commission in</w:t>
      </w:r>
      <w:r>
        <w:rPr>
          <w:spacing w:val="-2"/>
        </w:rPr>
        <w:t> </w:t>
      </w:r>
      <w:r>
        <w:rPr/>
        <w:t>1949. The</w:t>
      </w:r>
      <w:r>
        <w:rPr>
          <w:spacing w:val="-2"/>
        </w:rPr>
        <w:t> </w:t>
      </w:r>
      <w:r>
        <w:rPr/>
        <w:t>main intent</w:t>
      </w:r>
      <w:r>
        <w:rPr>
          <w:spacing w:val="-2"/>
        </w:rPr>
        <w:t> </w:t>
      </w:r>
      <w:r>
        <w:rPr/>
        <w:t>was to downsize</w:t>
      </w:r>
      <w:r>
        <w:rPr>
          <w:spacing w:val="-1"/>
        </w:rPr>
        <w:t> </w:t>
      </w:r>
      <w:r>
        <w:rPr/>
        <w:t>the</w:t>
      </w:r>
      <w:r>
        <w:rPr>
          <w:spacing w:val="-1"/>
        </w:rPr>
        <w:t> </w:t>
      </w:r>
      <w:r>
        <w:rPr/>
        <w:t>post- World War II government by specifying expected outputs rather than focusing directly at expenditure items (Vujovic, 2012).</w:t>
      </w:r>
    </w:p>
    <w:p>
      <w:pPr>
        <w:pStyle w:val="BodyText"/>
        <w:spacing w:before="139"/>
      </w:pPr>
    </w:p>
    <w:p>
      <w:pPr>
        <w:pStyle w:val="BodyText"/>
        <w:spacing w:line="360" w:lineRule="auto"/>
        <w:ind w:left="240" w:right="836"/>
        <w:jc w:val="both"/>
      </w:pPr>
      <w:r>
        <w:rPr/>
        <w:t>During the last decade there has been an upsurge of interest in performance measurement from developing countries, emerging and transition economies. As detailed in recent studies, such as that of World Bank (2010); growing number of countries in Latin America, Asia and Europe are considering performance improvements on very wide and diverse front. What all these diverse attempts at performance budgeting have in common is the desire to demonstrate increased influence of policy analysis on budget preparation, improve the quality of support for strategic decision-making, incorporate performance information in the budget system, and show greater accountability of the government. Performance measurement thus, aims at improving effectiveness, efficiency, and accountability of programs in achieving desired outcomes (Henri, </w:t>
      </w:r>
      <w:r>
        <w:rPr>
          <w:spacing w:val="-2"/>
        </w:rPr>
        <w:t>2008).</w:t>
      </w:r>
    </w:p>
    <w:p>
      <w:pPr>
        <w:spacing w:after="0" w:line="360" w:lineRule="auto"/>
        <w:jc w:val="both"/>
        <w:sectPr>
          <w:pgSz w:w="12240" w:h="15840"/>
          <w:pgMar w:header="0" w:footer="1036" w:top="1360" w:bottom="1220" w:left="1200" w:right="600"/>
        </w:sectPr>
      </w:pPr>
    </w:p>
    <w:p>
      <w:pPr>
        <w:pStyle w:val="BodyText"/>
        <w:spacing w:line="360" w:lineRule="auto" w:before="74"/>
        <w:ind w:left="240" w:right="833"/>
        <w:jc w:val="both"/>
      </w:pPr>
      <w:r>
        <w:rPr/>
        <w:t>Henri (2008) further emphasizes that performance measurement focuses on quantifying the effectiveness and the efficiency of a process or action with a set of metrics. According to Neely (1999), performance measurement represents management and control systems that produce information to be shared with internal and external users. It plays a key role in the development of strategic plans and evaluating the achievement of organizational objectives (Ittner and</w:t>
      </w:r>
      <w:r>
        <w:rPr>
          <w:spacing w:val="40"/>
        </w:rPr>
        <w:t> </w:t>
      </w:r>
      <w:r>
        <w:rPr/>
        <w:t>Larcker, 1998) as well as acting as a signaling and learning device (Simons, 1990). Similarly, Castro (2011) asserts that performance measurement is an essential part of a broader process often referred to as performance based management or managing for results, the objective of which is to improve efficiency, effectiveness, and accountability in government.</w:t>
      </w:r>
    </w:p>
    <w:p>
      <w:pPr>
        <w:pStyle w:val="BodyText"/>
        <w:spacing w:before="161"/>
      </w:pPr>
    </w:p>
    <w:p>
      <w:pPr>
        <w:pStyle w:val="BodyText"/>
        <w:spacing w:line="360" w:lineRule="auto"/>
        <w:ind w:left="240" w:right="831"/>
        <w:jc w:val="both"/>
      </w:pPr>
      <w:r>
        <w:rPr/>
        <w:t>Otley</w:t>
      </w:r>
      <w:r>
        <w:rPr>
          <w:spacing w:val="-4"/>
        </w:rPr>
        <w:t> </w:t>
      </w:r>
      <w:r>
        <w:rPr/>
        <w:t>(1999); Kaplan and Norton (2001)</w:t>
      </w:r>
      <w:r>
        <w:rPr>
          <w:spacing w:val="40"/>
        </w:rPr>
        <w:t> </w:t>
      </w:r>
      <w:r>
        <w:rPr/>
        <w:t>also maintain that measurement of performance clearly presents where (i) stakeholder interests determine the organizational key objectives, (ii)</w:t>
      </w:r>
      <w:r>
        <w:rPr>
          <w:spacing w:val="40"/>
        </w:rPr>
        <w:t> </w:t>
      </w:r>
      <w:r>
        <w:rPr/>
        <w:t>strategies and plans are formulated and adopted, and the processes and activities required are identified, (iii) performance is measured and rewarded, and (iv) feedback is provided. However, the latter step gives precedence to the learning process that is enhanced by the opportunity to revise ineffective strategies and foster the emergence of new ones. In order to stimulate learning and contribute to strategy formulation, performance measurement systems focus attention on strategic priorities, create visibility within the organization to ensure coordination, inspire action and enhance communication considered essential to learning (Vitale and Mavrinac, 1995). By providing and measuring information on critical uncertainties, it helps focus organizational attention and efforts toward those uncertainties. The discussions, debates, action plans, ideas and tests throughout the organization foster learning that encourages the gradual emergence of new strategies and tactics. More than just being a diagnostic system, performance measurement also represents an interactive device (Simons, 1990; Nanni </w:t>
      </w:r>
      <w:r>
        <w:rPr>
          <w:i/>
        </w:rPr>
        <w:t>et al</w:t>
      </w:r>
      <w:r>
        <w:rPr/>
        <w:t>., 1992).</w:t>
      </w:r>
    </w:p>
    <w:p>
      <w:pPr>
        <w:pStyle w:val="BodyText"/>
        <w:spacing w:before="141"/>
      </w:pPr>
    </w:p>
    <w:p>
      <w:pPr>
        <w:pStyle w:val="BodyText"/>
        <w:spacing w:line="360" w:lineRule="auto"/>
        <w:ind w:left="240" w:right="839"/>
        <w:jc w:val="both"/>
      </w:pPr>
      <w:r>
        <w:rPr/>
        <w:t>The use of performance measurement is associated mainly with control of accomplishment of organizational objectives and strategy implementation. Performance measurement is thus implicitly</w:t>
      </w:r>
      <w:r>
        <w:rPr>
          <w:spacing w:val="-4"/>
        </w:rPr>
        <w:t> </w:t>
      </w:r>
      <w:r>
        <w:rPr/>
        <w:t>linked to the notion of diagnostic control systems (Simons, 2000), described as formal feedback systems used to monitor organizational outcomes and correct deviations from preset standards of performance.</w:t>
      </w:r>
    </w:p>
    <w:p>
      <w:pPr>
        <w:spacing w:after="0" w:line="360" w:lineRule="auto"/>
        <w:jc w:val="both"/>
        <w:sectPr>
          <w:pgSz w:w="12240" w:h="15840"/>
          <w:pgMar w:header="0" w:footer="1036" w:top="1360" w:bottom="1220" w:left="1200" w:right="600"/>
        </w:sectPr>
      </w:pPr>
    </w:p>
    <w:p>
      <w:pPr>
        <w:pStyle w:val="BodyText"/>
        <w:spacing w:line="360" w:lineRule="auto" w:before="74"/>
        <w:ind w:left="240" w:right="834"/>
        <w:jc w:val="both"/>
      </w:pPr>
      <w:r>
        <w:rPr/>
        <w:t>Performance measurement encompasses several uses that have been summarized above by</w:t>
      </w:r>
      <w:r>
        <w:rPr>
          <w:spacing w:val="40"/>
        </w:rPr>
        <w:t> </w:t>
      </w:r>
      <w:r>
        <w:rPr/>
        <w:t>means of five elements: decision-making, control, signaling, education and learning as well as external communication (Simons, 2000). A stakeholder approach defines the contribution of performance measurement according to three roles: coordination, monitoring and diagnosis (Atkinson </w:t>
      </w:r>
      <w:r>
        <w:rPr>
          <w:i/>
        </w:rPr>
        <w:t>et al</w:t>
      </w:r>
      <w:r>
        <w:rPr/>
        <w:t>., 1997). The coordinating role refers to the decision makers‘ attention that must be focused on organizations‘ primary and secondary objectives. The monitoring aspect is associated with the measurement and reporting of performance in meeting stakeholders requirements. The diagnosis role refers to analysis of cause and effect relationships.</w:t>
      </w:r>
    </w:p>
    <w:p>
      <w:pPr>
        <w:pStyle w:val="BodyText"/>
        <w:spacing w:before="145"/>
      </w:pPr>
    </w:p>
    <w:p>
      <w:pPr>
        <w:pStyle w:val="BodyText"/>
        <w:spacing w:line="360" w:lineRule="auto"/>
        <w:ind w:left="240" w:right="834"/>
        <w:jc w:val="both"/>
      </w:pPr>
      <w:r>
        <w:rPr/>
        <w:t>OECD (2007) in a survey of countries, confirmed that the primary objective of introducing Performance</w:t>
      </w:r>
      <w:r>
        <w:rPr>
          <w:spacing w:val="-4"/>
        </w:rPr>
        <w:t> </w:t>
      </w:r>
      <w:r>
        <w:rPr/>
        <w:t>measurement</w:t>
      </w:r>
      <w:r>
        <w:rPr>
          <w:spacing w:val="-1"/>
        </w:rPr>
        <w:t> </w:t>
      </w:r>
      <w:r>
        <w:rPr/>
        <w:t>systems</w:t>
      </w:r>
      <w:r>
        <w:rPr>
          <w:spacing w:val="-3"/>
        </w:rPr>
        <w:t> </w:t>
      </w:r>
      <w:r>
        <w:rPr/>
        <w:t>is</w:t>
      </w:r>
      <w:r>
        <w:rPr>
          <w:spacing w:val="-3"/>
        </w:rPr>
        <w:t> </w:t>
      </w:r>
      <w:r>
        <w:rPr/>
        <w:t>to:</w:t>
      </w:r>
      <w:r>
        <w:rPr>
          <w:spacing w:val="-2"/>
        </w:rPr>
        <w:t> </w:t>
      </w:r>
      <w:r>
        <w:rPr/>
        <w:t>improve</w:t>
      </w:r>
      <w:r>
        <w:rPr>
          <w:spacing w:val="-2"/>
        </w:rPr>
        <w:t> </w:t>
      </w:r>
      <w:r>
        <w:rPr/>
        <w:t>efficiency</w:t>
      </w:r>
      <w:r>
        <w:rPr>
          <w:spacing w:val="-6"/>
        </w:rPr>
        <w:t> </w:t>
      </w:r>
      <w:r>
        <w:rPr/>
        <w:t>and</w:t>
      </w:r>
      <w:r>
        <w:rPr>
          <w:spacing w:val="-1"/>
        </w:rPr>
        <w:t> </w:t>
      </w:r>
      <w:r>
        <w:rPr/>
        <w:t>effectiveness</w:t>
      </w:r>
      <w:r>
        <w:rPr>
          <w:spacing w:val="-3"/>
        </w:rPr>
        <w:t> </w:t>
      </w:r>
      <w:r>
        <w:rPr/>
        <w:t>of</w:t>
      </w:r>
      <w:r>
        <w:rPr>
          <w:spacing w:val="-2"/>
        </w:rPr>
        <w:t> </w:t>
      </w:r>
      <w:r>
        <w:rPr/>
        <w:t>government</w:t>
      </w:r>
      <w:r>
        <w:rPr>
          <w:spacing w:val="-1"/>
        </w:rPr>
        <w:t> </w:t>
      </w:r>
      <w:r>
        <w:rPr/>
        <w:t>(its organizational units, programs and budget as a whole); and provide the executive and legislative branch of government with specific performance information to enhance decision making and improve setting future targets and priorities. The secondary objectives identified by the survey were</w:t>
      </w:r>
      <w:r>
        <w:rPr>
          <w:spacing w:val="-4"/>
        </w:rPr>
        <w:t> </w:t>
      </w:r>
      <w:r>
        <w:rPr/>
        <w:t>to:</w:t>
      </w:r>
      <w:r>
        <w:rPr>
          <w:spacing w:val="-1"/>
        </w:rPr>
        <w:t> </w:t>
      </w:r>
      <w:r>
        <w:rPr/>
        <w:t>help</w:t>
      </w:r>
      <w:r>
        <w:rPr>
          <w:spacing w:val="-2"/>
        </w:rPr>
        <w:t> </w:t>
      </w:r>
      <w:r>
        <w:rPr/>
        <w:t>reduce</w:t>
      </w:r>
      <w:r>
        <w:rPr>
          <w:spacing w:val="-3"/>
        </w:rPr>
        <w:t> </w:t>
      </w:r>
      <w:r>
        <w:rPr/>
        <w:t>expenditures; reallocate</w:t>
      </w:r>
      <w:r>
        <w:rPr>
          <w:spacing w:val="-3"/>
        </w:rPr>
        <w:t> </w:t>
      </w:r>
      <w:r>
        <w:rPr/>
        <w:t>resources between</w:t>
      </w:r>
      <w:r>
        <w:rPr>
          <w:spacing w:val="-2"/>
        </w:rPr>
        <w:t> </w:t>
      </w:r>
      <w:r>
        <w:rPr/>
        <w:t>activities</w:t>
      </w:r>
      <w:r>
        <w:rPr>
          <w:spacing w:val="-3"/>
        </w:rPr>
        <w:t> </w:t>
      </w:r>
      <w:r>
        <w:rPr/>
        <w:t>/</w:t>
      </w:r>
      <w:r>
        <w:rPr>
          <w:spacing w:val="-2"/>
        </w:rPr>
        <w:t> </w:t>
      </w:r>
      <w:r>
        <w:rPr/>
        <w:t>programs and</w:t>
      </w:r>
      <w:r>
        <w:rPr>
          <w:spacing w:val="-2"/>
        </w:rPr>
        <w:t> </w:t>
      </w:r>
      <w:r>
        <w:rPr/>
        <w:t>provide a basis for monitoring (by the Ministry of Finance or by audit institutions).</w:t>
      </w:r>
    </w:p>
    <w:p>
      <w:pPr>
        <w:pStyle w:val="BodyText"/>
        <w:spacing w:before="139"/>
      </w:pPr>
    </w:p>
    <w:p>
      <w:pPr>
        <w:pStyle w:val="BodyText"/>
        <w:spacing w:line="360" w:lineRule="auto"/>
        <w:ind w:left="240" w:right="838"/>
        <w:jc w:val="both"/>
      </w:pPr>
      <w:r>
        <w:rPr/>
        <w:t>An effective system of performance measurement and reporting is critical if the public sector is to achieve its policy goals in a way that is transparent and accountable. Doyle (2014) stresses</w:t>
      </w:r>
      <w:r>
        <w:rPr>
          <w:spacing w:val="40"/>
        </w:rPr>
        <w:t> </w:t>
      </w:r>
      <w:r>
        <w:rPr/>
        <w:t>that performance measurement system aims to:</w:t>
      </w:r>
    </w:p>
    <w:p>
      <w:pPr>
        <w:pStyle w:val="ListParagraph"/>
        <w:numPr>
          <w:ilvl w:val="0"/>
          <w:numId w:val="11"/>
        </w:numPr>
        <w:tabs>
          <w:tab w:pos="959" w:val="left" w:leader="none"/>
        </w:tabs>
        <w:spacing w:line="240" w:lineRule="auto" w:before="1" w:after="0"/>
        <w:ind w:left="959" w:right="0" w:hanging="359"/>
        <w:jc w:val="both"/>
        <w:rPr>
          <w:sz w:val="24"/>
        </w:rPr>
      </w:pPr>
      <w:r>
        <w:rPr>
          <w:sz w:val="24"/>
        </w:rPr>
        <w:t>Fully</w:t>
      </w:r>
      <w:r>
        <w:rPr>
          <w:spacing w:val="-8"/>
          <w:sz w:val="24"/>
        </w:rPr>
        <w:t> </w:t>
      </w:r>
      <w:r>
        <w:rPr>
          <w:sz w:val="24"/>
        </w:rPr>
        <w:t>inform government's resource</w:t>
      </w:r>
      <w:r>
        <w:rPr>
          <w:spacing w:val="-2"/>
          <w:sz w:val="24"/>
        </w:rPr>
        <w:t> </w:t>
      </w:r>
      <w:r>
        <w:rPr>
          <w:sz w:val="24"/>
        </w:rPr>
        <w:t>allocation to best</w:t>
      </w:r>
      <w:r>
        <w:rPr>
          <w:spacing w:val="-1"/>
          <w:sz w:val="24"/>
        </w:rPr>
        <w:t> </w:t>
      </w:r>
      <w:r>
        <w:rPr>
          <w:sz w:val="24"/>
        </w:rPr>
        <w:t>achieve</w:t>
      </w:r>
      <w:r>
        <w:rPr>
          <w:spacing w:val="-2"/>
          <w:sz w:val="24"/>
        </w:rPr>
        <w:t> </w:t>
      </w:r>
      <w:r>
        <w:rPr>
          <w:sz w:val="24"/>
        </w:rPr>
        <w:t>its policy</w:t>
      </w:r>
      <w:r>
        <w:rPr>
          <w:spacing w:val="-3"/>
          <w:sz w:val="24"/>
        </w:rPr>
        <w:t> </w:t>
      </w:r>
      <w:r>
        <w:rPr>
          <w:spacing w:val="-2"/>
          <w:sz w:val="24"/>
        </w:rPr>
        <w:t>goals;</w:t>
      </w:r>
    </w:p>
    <w:p>
      <w:pPr>
        <w:pStyle w:val="ListParagraph"/>
        <w:numPr>
          <w:ilvl w:val="0"/>
          <w:numId w:val="11"/>
        </w:numPr>
        <w:tabs>
          <w:tab w:pos="960" w:val="left" w:leader="none"/>
        </w:tabs>
        <w:spacing w:line="360" w:lineRule="auto" w:before="137" w:after="0"/>
        <w:ind w:left="960" w:right="844" w:hanging="360"/>
        <w:jc w:val="both"/>
        <w:rPr>
          <w:sz w:val="24"/>
        </w:rPr>
      </w:pPr>
      <w:r>
        <w:rPr>
          <w:sz w:val="24"/>
        </w:rPr>
        <w:t>Help departments to understand how well they are meeting government's performance expectations, and provide the basis for them to continually improve their performance</w:t>
      </w:r>
      <w:r>
        <w:rPr>
          <w:spacing w:val="40"/>
          <w:sz w:val="24"/>
        </w:rPr>
        <w:t> </w:t>
      </w:r>
      <w:r>
        <w:rPr>
          <w:spacing w:val="-4"/>
          <w:sz w:val="24"/>
        </w:rPr>
        <w:t>and</w:t>
      </w:r>
    </w:p>
    <w:p>
      <w:pPr>
        <w:pStyle w:val="ListParagraph"/>
        <w:numPr>
          <w:ilvl w:val="0"/>
          <w:numId w:val="11"/>
        </w:numPr>
        <w:tabs>
          <w:tab w:pos="960" w:val="left" w:leader="none"/>
        </w:tabs>
        <w:spacing w:line="360" w:lineRule="auto" w:before="1" w:after="0"/>
        <w:ind w:left="960" w:right="843" w:hanging="360"/>
        <w:jc w:val="both"/>
        <w:rPr>
          <w:sz w:val="24"/>
        </w:rPr>
      </w:pPr>
      <w:r>
        <w:rPr>
          <w:sz w:val="24"/>
        </w:rPr>
        <w:t>Enable the community to understand the challenges facing government, and its achievements in addressing these and areas for further focus.</w:t>
      </w:r>
    </w:p>
    <w:p>
      <w:pPr>
        <w:pStyle w:val="BodyText"/>
        <w:spacing w:before="104"/>
      </w:pPr>
    </w:p>
    <w:p>
      <w:pPr>
        <w:pStyle w:val="BodyText"/>
        <w:spacing w:line="360" w:lineRule="auto"/>
        <w:ind w:left="240" w:right="834"/>
        <w:jc w:val="both"/>
      </w:pPr>
      <w:r>
        <w:rPr/>
        <w:t>The performance requirements are communicated through a series of guides that are part of the government's budget and financial management guidance. The effective implementation of the performance</w:t>
      </w:r>
      <w:r>
        <w:rPr>
          <w:spacing w:val="58"/>
          <w:w w:val="150"/>
        </w:rPr>
        <w:t> </w:t>
      </w:r>
      <w:r>
        <w:rPr/>
        <w:t>measurement</w:t>
      </w:r>
      <w:r>
        <w:rPr>
          <w:spacing w:val="62"/>
          <w:w w:val="150"/>
        </w:rPr>
        <w:t> </w:t>
      </w:r>
      <w:r>
        <w:rPr/>
        <w:t>and</w:t>
      </w:r>
      <w:r>
        <w:rPr>
          <w:spacing w:val="61"/>
          <w:w w:val="150"/>
        </w:rPr>
        <w:t> </w:t>
      </w:r>
      <w:r>
        <w:rPr/>
        <w:t>reporting</w:t>
      </w:r>
      <w:r>
        <w:rPr>
          <w:spacing w:val="60"/>
          <w:w w:val="150"/>
        </w:rPr>
        <w:t> </w:t>
      </w:r>
      <w:r>
        <w:rPr/>
        <w:t>system</w:t>
      </w:r>
      <w:r>
        <w:rPr>
          <w:spacing w:val="61"/>
          <w:w w:val="150"/>
        </w:rPr>
        <w:t> </w:t>
      </w:r>
      <w:r>
        <w:rPr/>
        <w:t>is</w:t>
      </w:r>
      <w:r>
        <w:rPr>
          <w:spacing w:val="66"/>
          <w:w w:val="150"/>
        </w:rPr>
        <w:t> </w:t>
      </w:r>
      <w:r>
        <w:rPr/>
        <w:t>critical</w:t>
      </w:r>
      <w:r>
        <w:rPr>
          <w:spacing w:val="62"/>
          <w:w w:val="150"/>
        </w:rPr>
        <w:t> </w:t>
      </w:r>
      <w:r>
        <w:rPr/>
        <w:t>if</w:t>
      </w:r>
      <w:r>
        <w:rPr>
          <w:spacing w:val="61"/>
          <w:w w:val="150"/>
        </w:rPr>
        <w:t> </w:t>
      </w:r>
      <w:r>
        <w:rPr/>
        <w:t>government</w:t>
      </w:r>
      <w:r>
        <w:rPr>
          <w:spacing w:val="62"/>
          <w:w w:val="150"/>
        </w:rPr>
        <w:t> </w:t>
      </w:r>
      <w:r>
        <w:rPr/>
        <w:t>is</w:t>
      </w:r>
      <w:r>
        <w:rPr>
          <w:spacing w:val="62"/>
          <w:w w:val="150"/>
        </w:rPr>
        <w:t> </w:t>
      </w:r>
      <w:r>
        <w:rPr/>
        <w:t>to</w:t>
      </w:r>
      <w:r>
        <w:rPr>
          <w:spacing w:val="60"/>
          <w:w w:val="150"/>
        </w:rPr>
        <w:t> </w:t>
      </w:r>
      <w:r>
        <w:rPr/>
        <w:t>be</w:t>
      </w:r>
      <w:r>
        <w:rPr>
          <w:spacing w:val="61"/>
          <w:w w:val="150"/>
        </w:rPr>
        <w:t> </w:t>
      </w:r>
      <w:r>
        <w:rPr>
          <w:spacing w:val="-2"/>
        </w:rPr>
        <w:t>fully</w:t>
      </w:r>
    </w:p>
    <w:p>
      <w:pPr>
        <w:spacing w:after="0" w:line="360" w:lineRule="auto"/>
        <w:jc w:val="both"/>
        <w:sectPr>
          <w:pgSz w:w="12240" w:h="15840"/>
          <w:pgMar w:header="0" w:footer="1036" w:top="1360" w:bottom="1220" w:left="1200" w:right="600"/>
        </w:sectPr>
      </w:pPr>
    </w:p>
    <w:p>
      <w:pPr>
        <w:pStyle w:val="BodyText"/>
        <w:spacing w:line="360" w:lineRule="auto" w:before="74"/>
        <w:ind w:left="240" w:right="837"/>
        <w:jc w:val="both"/>
      </w:pPr>
      <w:r>
        <w:rPr/>
        <w:t>accountable for past performance and prepared to meet the significant performance challenges facing the state (Doyle, 2014).</w:t>
      </w:r>
    </w:p>
    <w:p>
      <w:pPr>
        <w:pStyle w:val="BodyText"/>
        <w:spacing w:before="137"/>
      </w:pPr>
    </w:p>
    <w:p>
      <w:pPr>
        <w:pStyle w:val="BodyText"/>
        <w:spacing w:line="360" w:lineRule="auto"/>
        <w:ind w:left="240" w:right="841"/>
        <w:jc w:val="both"/>
      </w:pPr>
      <w:r>
        <w:rPr/>
        <w:t>Figure</w:t>
      </w:r>
      <w:r>
        <w:rPr>
          <w:spacing w:val="-3"/>
        </w:rPr>
        <w:t> </w:t>
      </w:r>
      <w:r>
        <w:rPr/>
        <w:t>2.5</w:t>
      </w:r>
      <w:r>
        <w:rPr>
          <w:spacing w:val="-1"/>
        </w:rPr>
        <w:t> </w:t>
      </w:r>
      <w:r>
        <w:rPr/>
        <w:t>describes</w:t>
      </w:r>
      <w:r>
        <w:rPr>
          <w:spacing w:val="-1"/>
        </w:rPr>
        <w:t> </w:t>
      </w:r>
      <w:r>
        <w:rPr/>
        <w:t>the design</w:t>
      </w:r>
      <w:r>
        <w:rPr>
          <w:spacing w:val="-1"/>
        </w:rPr>
        <w:t> </w:t>
      </w:r>
      <w:r>
        <w:rPr/>
        <w:t>of a</w:t>
      </w:r>
      <w:r>
        <w:rPr>
          <w:spacing w:val="-2"/>
        </w:rPr>
        <w:t> </w:t>
      </w:r>
      <w:r>
        <w:rPr/>
        <w:t>performance measurement and</w:t>
      </w:r>
      <w:r>
        <w:rPr>
          <w:spacing w:val="-1"/>
        </w:rPr>
        <w:t> </w:t>
      </w:r>
      <w:r>
        <w:rPr/>
        <w:t>reporting</w:t>
      </w:r>
      <w:r>
        <w:rPr>
          <w:spacing w:val="-3"/>
        </w:rPr>
        <w:t> </w:t>
      </w:r>
      <w:r>
        <w:rPr/>
        <w:t>system</w:t>
      </w:r>
      <w:r>
        <w:rPr>
          <w:spacing w:val="-1"/>
        </w:rPr>
        <w:t> </w:t>
      </w:r>
      <w:r>
        <w:rPr/>
        <w:t>and</w:t>
      </w:r>
      <w:r>
        <w:rPr>
          <w:spacing w:val="-1"/>
        </w:rPr>
        <w:t> </w:t>
      </w:r>
      <w:r>
        <w:rPr/>
        <w:t>how</w:t>
      </w:r>
      <w:r>
        <w:rPr>
          <w:spacing w:val="-2"/>
        </w:rPr>
        <w:t> </w:t>
      </w:r>
      <w:r>
        <w:rPr/>
        <w:t>the components are meant to combine to measure effectiveness and efficiency. According to Doyle (2014), this system clearly explains to government, legislature and the wider community how performance is:</w:t>
      </w:r>
    </w:p>
    <w:p>
      <w:pPr>
        <w:pStyle w:val="ListParagraph"/>
        <w:numPr>
          <w:ilvl w:val="0"/>
          <w:numId w:val="12"/>
        </w:numPr>
        <w:tabs>
          <w:tab w:pos="960" w:val="left" w:leader="none"/>
        </w:tabs>
        <w:spacing w:line="360" w:lineRule="auto" w:before="0" w:after="0"/>
        <w:ind w:left="960" w:right="836" w:hanging="360"/>
        <w:jc w:val="both"/>
        <w:rPr>
          <w:sz w:val="24"/>
        </w:rPr>
      </w:pPr>
      <w:r>
        <w:rPr>
          <w:b/>
          <w:sz w:val="24"/>
        </w:rPr>
        <w:t>Effective and Efficient</w:t>
      </w:r>
      <w:r>
        <w:rPr>
          <w:sz w:val="24"/>
        </w:rPr>
        <w:t>—by delivering budgeted outputs according to prescribed quantity, quality, timing and cost targets. Demonstrating how well departments' activities and outputs are contributing to government‘s intended outcomes for the community through quantitative, objective indicators—for example measuring improved housing, safety, health.</w:t>
      </w:r>
    </w:p>
    <w:p>
      <w:pPr>
        <w:pStyle w:val="ListParagraph"/>
        <w:numPr>
          <w:ilvl w:val="0"/>
          <w:numId w:val="12"/>
        </w:numPr>
        <w:tabs>
          <w:tab w:pos="960" w:val="left" w:leader="none"/>
        </w:tabs>
        <w:spacing w:line="360" w:lineRule="auto" w:before="2" w:after="0"/>
        <w:ind w:left="960" w:right="839" w:hanging="360"/>
        <w:jc w:val="both"/>
        <w:rPr>
          <w:sz w:val="24"/>
        </w:rPr>
      </w:pPr>
      <w:r>
        <w:rPr>
          <w:b/>
          <w:sz w:val="24"/>
        </w:rPr>
        <w:t>Sustainable</w:t>
      </w:r>
      <w:r>
        <w:rPr>
          <w:sz w:val="24"/>
        </w:rPr>
        <w:t>—based on a longer-term appreciation of future challenges, their</w:t>
      </w:r>
      <w:r>
        <w:rPr>
          <w:spacing w:val="40"/>
          <w:sz w:val="24"/>
        </w:rPr>
        <w:t> </w:t>
      </w:r>
      <w:r>
        <w:rPr>
          <w:sz w:val="24"/>
        </w:rPr>
        <w:t>performance implications and the type of reforms necessary to sustain and improve </w:t>
      </w:r>
      <w:r>
        <w:rPr>
          <w:spacing w:val="-2"/>
          <w:sz w:val="24"/>
        </w:rPr>
        <w:t>performance.</w:t>
      </w:r>
    </w:p>
    <w:p>
      <w:pPr>
        <w:pStyle w:val="BodyText"/>
        <w:spacing w:line="360" w:lineRule="auto" w:before="208" w:after="4"/>
        <w:ind w:left="240" w:right="837"/>
        <w:jc w:val="both"/>
      </w:pPr>
      <w:r>
        <w:rPr/>
        <w:t>This system requires departments to measure and benchmark efficiency by: setting output performance measures that demonstrate the efficiency and effectiveness of output delivery and value for money and also enabling 'meaningful comparison and benchmarking over time (s</w:t>
      </w:r>
      <w:r>
        <w:rPr>
          <w:i/>
        </w:rPr>
        <w:t>ee figure 2.5</w:t>
      </w:r>
      <w:r>
        <w:rPr/>
        <w:t>).</w:t>
      </w:r>
    </w:p>
    <w:p>
      <w:pPr>
        <w:pStyle w:val="BodyText"/>
        <w:ind w:left="270"/>
        <w:rPr>
          <w:sz w:val="20"/>
        </w:rPr>
      </w:pPr>
      <w:r>
        <w:rPr>
          <w:sz w:val="20"/>
        </w:rPr>
        <w:drawing>
          <wp:inline distT="0" distB="0" distL="0" distR="0">
            <wp:extent cx="5734257" cy="2084355"/>
            <wp:effectExtent l="0" t="0" r="0" b="0"/>
            <wp:docPr id="85" name="Image 85"/>
            <wp:cNvGraphicFramePr>
              <a:graphicFrameLocks/>
            </wp:cNvGraphicFramePr>
            <a:graphic>
              <a:graphicData uri="http://schemas.openxmlformats.org/drawingml/2006/picture">
                <pic:pic>
                  <pic:nvPicPr>
                    <pic:cNvPr id="85" name="Image 85"/>
                    <pic:cNvPicPr/>
                  </pic:nvPicPr>
                  <pic:blipFill>
                    <a:blip r:embed="rId26" cstate="print"/>
                    <a:stretch>
                      <a:fillRect/>
                    </a:stretch>
                  </pic:blipFill>
                  <pic:spPr>
                    <a:xfrm>
                      <a:off x="0" y="0"/>
                      <a:ext cx="5734257" cy="2084355"/>
                    </a:xfrm>
                    <a:prstGeom prst="rect">
                      <a:avLst/>
                    </a:prstGeom>
                  </pic:spPr>
                </pic:pic>
              </a:graphicData>
            </a:graphic>
          </wp:inline>
        </w:drawing>
      </w:r>
      <w:r>
        <w:rPr>
          <w:sz w:val="20"/>
        </w:rPr>
      </w:r>
    </w:p>
    <w:p>
      <w:pPr>
        <w:pStyle w:val="BodyText"/>
        <w:spacing w:before="122"/>
        <w:ind w:left="240"/>
        <w:jc w:val="both"/>
      </w:pPr>
      <w:r>
        <w:rPr>
          <w:b/>
        </w:rPr>
        <w:t>Figure</w:t>
      </w:r>
      <w:r>
        <w:rPr>
          <w:b/>
          <w:spacing w:val="-2"/>
        </w:rPr>
        <w:t> </w:t>
      </w:r>
      <w:r>
        <w:rPr>
          <w:b/>
        </w:rPr>
        <w:t>2.5.</w:t>
      </w:r>
      <w:r>
        <w:rPr>
          <w:b/>
          <w:spacing w:val="-1"/>
        </w:rPr>
        <w:t> </w:t>
      </w:r>
      <w:r>
        <w:rPr/>
        <w:t>Components</w:t>
      </w:r>
      <w:r>
        <w:rPr>
          <w:spacing w:val="1"/>
        </w:rPr>
        <w:t> </w:t>
      </w:r>
      <w:r>
        <w:rPr/>
        <w:t>of</w:t>
      </w:r>
      <w:r>
        <w:rPr>
          <w:spacing w:val="-2"/>
        </w:rPr>
        <w:t> </w:t>
      </w:r>
      <w:r>
        <w:rPr/>
        <w:t>a</w:t>
      </w:r>
      <w:r>
        <w:rPr>
          <w:spacing w:val="-2"/>
        </w:rPr>
        <w:t> </w:t>
      </w:r>
      <w:r>
        <w:rPr/>
        <w:t>performance</w:t>
      </w:r>
      <w:r>
        <w:rPr>
          <w:spacing w:val="-2"/>
        </w:rPr>
        <w:t> </w:t>
      </w:r>
      <w:r>
        <w:rPr/>
        <w:t>measurement</w:t>
      </w:r>
      <w:r>
        <w:rPr>
          <w:spacing w:val="-1"/>
        </w:rPr>
        <w:t> </w:t>
      </w:r>
      <w:r>
        <w:rPr/>
        <w:t>system</w:t>
      </w:r>
      <w:r>
        <w:rPr>
          <w:spacing w:val="-1"/>
        </w:rPr>
        <w:t> </w:t>
      </w:r>
      <w:r>
        <w:rPr/>
        <w:t>(Doyle, </w:t>
      </w:r>
      <w:r>
        <w:rPr>
          <w:spacing w:val="-2"/>
        </w:rPr>
        <w:t>2014)</w:t>
      </w:r>
    </w:p>
    <w:p>
      <w:pPr>
        <w:pStyle w:val="BodyText"/>
        <w:spacing w:before="139"/>
      </w:pPr>
    </w:p>
    <w:p>
      <w:pPr>
        <w:pStyle w:val="BodyText"/>
        <w:spacing w:line="360" w:lineRule="auto" w:before="1"/>
        <w:ind w:left="240" w:right="834"/>
        <w:jc w:val="both"/>
      </w:pPr>
      <w:r>
        <w:rPr/>
        <w:t>With these in place, the public sector would have made significant progress in transforming performance</w:t>
      </w:r>
      <w:r>
        <w:rPr>
          <w:spacing w:val="24"/>
        </w:rPr>
        <w:t> </w:t>
      </w:r>
      <w:r>
        <w:rPr/>
        <w:t>measurement</w:t>
      </w:r>
      <w:r>
        <w:rPr>
          <w:spacing w:val="25"/>
        </w:rPr>
        <w:t> </w:t>
      </w:r>
      <w:r>
        <w:rPr/>
        <w:t>and</w:t>
      </w:r>
      <w:r>
        <w:rPr>
          <w:spacing w:val="25"/>
        </w:rPr>
        <w:t> </w:t>
      </w:r>
      <w:r>
        <w:rPr/>
        <w:t>reporting</w:t>
      </w:r>
      <w:r>
        <w:rPr>
          <w:spacing w:val="25"/>
        </w:rPr>
        <w:t> </w:t>
      </w:r>
      <w:r>
        <w:rPr/>
        <w:t>from</w:t>
      </w:r>
      <w:r>
        <w:rPr>
          <w:spacing w:val="25"/>
        </w:rPr>
        <w:t> </w:t>
      </w:r>
      <w:r>
        <w:rPr/>
        <w:t>an</w:t>
      </w:r>
      <w:r>
        <w:rPr>
          <w:spacing w:val="27"/>
        </w:rPr>
        <w:t> </w:t>
      </w:r>
      <w:r>
        <w:rPr/>
        <w:t>output-focused</w:t>
      </w:r>
      <w:r>
        <w:rPr>
          <w:spacing w:val="24"/>
        </w:rPr>
        <w:t> </w:t>
      </w:r>
      <w:r>
        <w:rPr/>
        <w:t>system</w:t>
      </w:r>
      <w:r>
        <w:rPr>
          <w:spacing w:val="27"/>
        </w:rPr>
        <w:t> </w:t>
      </w:r>
      <w:r>
        <w:rPr/>
        <w:t>without</w:t>
      </w:r>
      <w:r>
        <w:rPr>
          <w:spacing w:val="25"/>
        </w:rPr>
        <w:t> </w:t>
      </w:r>
      <w:r>
        <w:rPr/>
        <w:t>connection</w:t>
      </w:r>
      <w:r>
        <w:rPr>
          <w:spacing w:val="26"/>
        </w:rPr>
        <w:t> </w:t>
      </w:r>
      <w:r>
        <w:rPr>
          <w:spacing w:val="-5"/>
        </w:rPr>
        <w:t>to</w:t>
      </w:r>
    </w:p>
    <w:p>
      <w:pPr>
        <w:spacing w:after="0" w:line="360" w:lineRule="auto"/>
        <w:jc w:val="both"/>
        <w:sectPr>
          <w:pgSz w:w="12240" w:h="15840"/>
          <w:pgMar w:header="0" w:footer="1036" w:top="1360" w:bottom="1220" w:left="1200" w:right="600"/>
        </w:sectPr>
      </w:pPr>
    </w:p>
    <w:p>
      <w:pPr>
        <w:pStyle w:val="BodyText"/>
        <w:spacing w:line="360" w:lineRule="auto" w:before="74"/>
        <w:ind w:left="240" w:right="839"/>
        <w:jc w:val="both"/>
      </w:pPr>
      <w:r>
        <w:rPr/>
        <w:t>government's policy objectives to an integrated system of outputs and outcomes that explains performance and identifies emerging risks and the strategies that are likely to drive improved outcomes in the medium to long term (Doyle, 2014).</w:t>
      </w:r>
    </w:p>
    <w:p>
      <w:pPr>
        <w:pStyle w:val="BodyText"/>
        <w:spacing w:before="172"/>
      </w:pPr>
    </w:p>
    <w:p>
      <w:pPr>
        <w:pStyle w:val="BodyText"/>
        <w:spacing w:line="360" w:lineRule="auto"/>
        <w:ind w:left="240" w:right="840"/>
      </w:pPr>
      <w:r>
        <w:rPr/>
        <w:t>However, implementing this performance measurement system can be very challenging because it requires:</w:t>
      </w:r>
    </w:p>
    <w:p>
      <w:pPr>
        <w:pStyle w:val="ListParagraph"/>
        <w:numPr>
          <w:ilvl w:val="3"/>
          <w:numId w:val="7"/>
        </w:numPr>
        <w:tabs>
          <w:tab w:pos="960" w:val="left" w:leader="none"/>
        </w:tabs>
        <w:spacing w:line="240" w:lineRule="auto" w:before="0" w:after="0"/>
        <w:ind w:left="960" w:right="0" w:hanging="487"/>
        <w:jc w:val="left"/>
        <w:rPr>
          <w:sz w:val="24"/>
        </w:rPr>
      </w:pPr>
      <w:r>
        <w:rPr>
          <w:sz w:val="24"/>
        </w:rPr>
        <w:t>The</w:t>
      </w:r>
      <w:r>
        <w:rPr>
          <w:spacing w:val="-2"/>
          <w:sz w:val="24"/>
        </w:rPr>
        <w:t> </w:t>
      </w:r>
      <w:r>
        <w:rPr>
          <w:sz w:val="24"/>
        </w:rPr>
        <w:t>commitment</w:t>
      </w:r>
      <w:r>
        <w:rPr>
          <w:spacing w:val="-1"/>
          <w:sz w:val="24"/>
        </w:rPr>
        <w:t> </w:t>
      </w:r>
      <w:r>
        <w:rPr>
          <w:sz w:val="24"/>
        </w:rPr>
        <w:t>of</w:t>
      </w:r>
      <w:r>
        <w:rPr>
          <w:spacing w:val="-1"/>
          <w:sz w:val="24"/>
        </w:rPr>
        <w:t> </w:t>
      </w:r>
      <w:r>
        <w:rPr>
          <w:spacing w:val="-2"/>
          <w:sz w:val="24"/>
        </w:rPr>
        <w:t>government;</w:t>
      </w:r>
    </w:p>
    <w:p>
      <w:pPr>
        <w:pStyle w:val="ListParagraph"/>
        <w:numPr>
          <w:ilvl w:val="3"/>
          <w:numId w:val="7"/>
        </w:numPr>
        <w:tabs>
          <w:tab w:pos="960" w:val="left" w:leader="none"/>
        </w:tabs>
        <w:spacing w:line="360" w:lineRule="auto" w:before="139" w:after="0"/>
        <w:ind w:left="960" w:right="835" w:hanging="555"/>
        <w:jc w:val="left"/>
        <w:rPr>
          <w:sz w:val="24"/>
        </w:rPr>
      </w:pPr>
      <w:r>
        <w:rPr>
          <w:sz w:val="24"/>
        </w:rPr>
        <w:t>Proactive central agency leadership, providing clear guidance, effective support and the capability to monitor progress and overcome implementation barriers and</w:t>
      </w:r>
    </w:p>
    <w:p>
      <w:pPr>
        <w:pStyle w:val="ListParagraph"/>
        <w:numPr>
          <w:ilvl w:val="3"/>
          <w:numId w:val="7"/>
        </w:numPr>
        <w:tabs>
          <w:tab w:pos="960" w:val="left" w:leader="none"/>
        </w:tabs>
        <w:spacing w:line="360" w:lineRule="auto" w:before="1" w:after="0"/>
        <w:ind w:left="960" w:right="838" w:hanging="620"/>
        <w:jc w:val="left"/>
        <w:rPr>
          <w:sz w:val="24"/>
        </w:rPr>
      </w:pPr>
      <w:r>
        <w:rPr>
          <w:sz w:val="24"/>
        </w:rPr>
        <w:t>Committed</w:t>
      </w:r>
      <w:r>
        <w:rPr>
          <w:spacing w:val="40"/>
          <w:sz w:val="24"/>
        </w:rPr>
        <w:t> </w:t>
      </w:r>
      <w:r>
        <w:rPr>
          <w:sz w:val="24"/>
        </w:rPr>
        <w:t>and</w:t>
      </w:r>
      <w:r>
        <w:rPr>
          <w:spacing w:val="40"/>
          <w:sz w:val="24"/>
        </w:rPr>
        <w:t> </w:t>
      </w:r>
      <w:r>
        <w:rPr>
          <w:sz w:val="24"/>
        </w:rPr>
        <w:t>capable</w:t>
      </w:r>
      <w:r>
        <w:rPr>
          <w:spacing w:val="40"/>
          <w:sz w:val="24"/>
        </w:rPr>
        <w:t> </w:t>
      </w:r>
      <w:r>
        <w:rPr>
          <w:sz w:val="24"/>
        </w:rPr>
        <w:t>departments,</w:t>
      </w:r>
      <w:r>
        <w:rPr>
          <w:spacing w:val="40"/>
          <w:sz w:val="24"/>
        </w:rPr>
        <w:t> </w:t>
      </w:r>
      <w:r>
        <w:rPr>
          <w:sz w:val="24"/>
        </w:rPr>
        <w:t>with</w:t>
      </w:r>
      <w:r>
        <w:rPr>
          <w:spacing w:val="40"/>
          <w:sz w:val="24"/>
        </w:rPr>
        <w:t> </w:t>
      </w:r>
      <w:r>
        <w:rPr>
          <w:sz w:val="24"/>
        </w:rPr>
        <w:t>the</w:t>
      </w:r>
      <w:r>
        <w:rPr>
          <w:spacing w:val="40"/>
          <w:sz w:val="24"/>
        </w:rPr>
        <w:t> </w:t>
      </w:r>
      <w:r>
        <w:rPr>
          <w:sz w:val="24"/>
        </w:rPr>
        <w:t>conceptual</w:t>
      </w:r>
      <w:r>
        <w:rPr>
          <w:spacing w:val="40"/>
          <w:sz w:val="24"/>
        </w:rPr>
        <w:t> </w:t>
      </w:r>
      <w:r>
        <w:rPr>
          <w:sz w:val="24"/>
        </w:rPr>
        <w:t>and</w:t>
      </w:r>
      <w:r>
        <w:rPr>
          <w:spacing w:val="40"/>
          <w:sz w:val="24"/>
        </w:rPr>
        <w:t> </w:t>
      </w:r>
      <w:r>
        <w:rPr>
          <w:sz w:val="24"/>
        </w:rPr>
        <w:t>technical</w:t>
      </w:r>
      <w:r>
        <w:rPr>
          <w:spacing w:val="40"/>
          <w:sz w:val="24"/>
        </w:rPr>
        <w:t> </w:t>
      </w:r>
      <w:r>
        <w:rPr>
          <w:sz w:val="24"/>
        </w:rPr>
        <w:t>strength</w:t>
      </w:r>
      <w:r>
        <w:rPr>
          <w:spacing w:val="73"/>
          <w:sz w:val="24"/>
        </w:rPr>
        <w:t> </w:t>
      </w:r>
      <w:r>
        <w:rPr>
          <w:sz w:val="24"/>
        </w:rPr>
        <w:t>to</w:t>
      </w:r>
      <w:r>
        <w:rPr>
          <w:spacing w:val="80"/>
          <w:sz w:val="24"/>
        </w:rPr>
        <w:t> </w:t>
      </w:r>
      <w:r>
        <w:rPr>
          <w:sz w:val="24"/>
        </w:rPr>
        <w:t>redefine approaches to measuring and reporting performance.</w:t>
      </w:r>
    </w:p>
    <w:p>
      <w:pPr>
        <w:pStyle w:val="BodyText"/>
        <w:spacing w:before="137"/>
      </w:pPr>
    </w:p>
    <w:p>
      <w:pPr>
        <w:pStyle w:val="BodyText"/>
        <w:spacing w:line="360" w:lineRule="auto"/>
        <w:ind w:left="240" w:right="835"/>
        <w:jc w:val="both"/>
      </w:pPr>
      <w:r>
        <w:rPr/>
        <w:t>Curristine (2005) corroborates the assertions of Doyle (2014) by stating that many organizations still struggle</w:t>
      </w:r>
      <w:r>
        <w:rPr>
          <w:spacing w:val="-2"/>
        </w:rPr>
        <w:t> </w:t>
      </w:r>
      <w:r>
        <w:rPr/>
        <w:t>with</w:t>
      </w:r>
      <w:r>
        <w:rPr>
          <w:spacing w:val="-1"/>
        </w:rPr>
        <w:t> </w:t>
      </w:r>
      <w:r>
        <w:rPr/>
        <w:t>issues</w:t>
      </w:r>
      <w:r>
        <w:rPr>
          <w:spacing w:val="-1"/>
        </w:rPr>
        <w:t> </w:t>
      </w:r>
      <w:r>
        <w:rPr/>
        <w:t>of performance</w:t>
      </w:r>
      <w:r>
        <w:rPr>
          <w:spacing w:val="-2"/>
        </w:rPr>
        <w:t> </w:t>
      </w:r>
      <w:r>
        <w:rPr/>
        <w:t>measurement;</w:t>
      </w:r>
      <w:r>
        <w:rPr>
          <w:spacing w:val="-1"/>
        </w:rPr>
        <w:t> </w:t>
      </w:r>
      <w:r>
        <w:rPr/>
        <w:t>this</w:t>
      </w:r>
      <w:r>
        <w:rPr>
          <w:spacing w:val="-3"/>
        </w:rPr>
        <w:t> </w:t>
      </w:r>
      <w:r>
        <w:rPr/>
        <w:t>is</w:t>
      </w:r>
      <w:r>
        <w:rPr>
          <w:spacing w:val="-1"/>
        </w:rPr>
        <w:t> </w:t>
      </w:r>
      <w:r>
        <w:rPr/>
        <w:t>especially</w:t>
      </w:r>
      <w:r>
        <w:rPr>
          <w:spacing w:val="-8"/>
        </w:rPr>
        <w:t> </w:t>
      </w:r>
      <w:r>
        <w:rPr/>
        <w:t>the</w:t>
      </w:r>
      <w:r>
        <w:rPr>
          <w:spacing w:val="-2"/>
        </w:rPr>
        <w:t> </w:t>
      </w:r>
      <w:r>
        <w:rPr/>
        <w:t>case</w:t>
      </w:r>
      <w:r>
        <w:rPr>
          <w:spacing w:val="-2"/>
        </w:rPr>
        <w:t> </w:t>
      </w:r>
      <w:r>
        <w:rPr/>
        <w:t>for outcomes.</w:t>
      </w:r>
      <w:r>
        <w:rPr>
          <w:spacing w:val="-1"/>
        </w:rPr>
        <w:t> </w:t>
      </w:r>
      <w:r>
        <w:rPr/>
        <w:t>A key challenge is obtaining good quality information which is valid, reliable, and timely. Numerous challenges, as stated below, can be encountered including setting clear objectives, finding accurate measures of performance and having good systems of data collection.</w:t>
      </w:r>
    </w:p>
    <w:p>
      <w:pPr>
        <w:pStyle w:val="ListParagraph"/>
        <w:numPr>
          <w:ilvl w:val="0"/>
          <w:numId w:val="13"/>
        </w:numPr>
        <w:tabs>
          <w:tab w:pos="960" w:val="left" w:leader="none"/>
        </w:tabs>
        <w:spacing w:line="360" w:lineRule="auto" w:before="208" w:after="0"/>
        <w:ind w:left="960" w:right="842" w:hanging="360"/>
        <w:jc w:val="both"/>
        <w:rPr>
          <w:sz w:val="24"/>
        </w:rPr>
      </w:pPr>
      <w:r>
        <w:rPr>
          <w:sz w:val="24"/>
        </w:rPr>
        <w:t>Setting objectives: Setting clear objectives can be a problem when there is no agreement on what the mission is, or there are diverse missions, overlapping and fragmented programmes, and stakeholders with different interests.</w:t>
      </w:r>
    </w:p>
    <w:p>
      <w:pPr>
        <w:pStyle w:val="ListParagraph"/>
        <w:numPr>
          <w:ilvl w:val="0"/>
          <w:numId w:val="13"/>
        </w:numPr>
        <w:tabs>
          <w:tab w:pos="960" w:val="left" w:leader="none"/>
        </w:tabs>
        <w:spacing w:line="360" w:lineRule="auto" w:before="0" w:after="0"/>
        <w:ind w:left="960" w:right="834" w:hanging="360"/>
        <w:jc w:val="both"/>
        <w:rPr>
          <w:sz w:val="24"/>
        </w:rPr>
      </w:pPr>
      <w:r>
        <w:rPr>
          <w:sz w:val="24"/>
        </w:rPr>
        <w:t>Finding accurate measures of performance: The design of measures is made difficult by finding measures for specific activities, and by relating what a programme actually contributes towards achieving specific outcomes. Output and outcome measures each present a different set of challenges (OECD, 2002). Outcomes are technically more difficult to measure; they are complex and involve the interaction of many factors, planned and unplanned. Also, there are problems with time lag issues and in some cases the results are not within the control of the government. Outcomes, however, have a strong appeal for the public and politicians.</w:t>
      </w:r>
    </w:p>
    <w:p>
      <w:pPr>
        <w:pStyle w:val="ListParagraph"/>
        <w:numPr>
          <w:ilvl w:val="0"/>
          <w:numId w:val="13"/>
        </w:numPr>
        <w:tabs>
          <w:tab w:pos="960" w:val="left" w:leader="none"/>
        </w:tabs>
        <w:spacing w:line="360" w:lineRule="auto" w:before="0" w:after="0"/>
        <w:ind w:left="960" w:right="834" w:hanging="360"/>
        <w:jc w:val="both"/>
        <w:rPr>
          <w:sz w:val="24"/>
        </w:rPr>
      </w:pPr>
      <w:r>
        <w:rPr>
          <w:sz w:val="24"/>
        </w:rPr>
        <w:t>Establishing</w:t>
      </w:r>
      <w:r>
        <w:rPr>
          <w:spacing w:val="-2"/>
          <w:sz w:val="24"/>
        </w:rPr>
        <w:t> </w:t>
      </w:r>
      <w:r>
        <w:rPr>
          <w:sz w:val="24"/>
        </w:rPr>
        <w:t>and</w:t>
      </w:r>
      <w:r>
        <w:rPr>
          <w:spacing w:val="-1"/>
          <w:sz w:val="24"/>
        </w:rPr>
        <w:t> </w:t>
      </w:r>
      <w:r>
        <w:rPr>
          <w:sz w:val="24"/>
        </w:rPr>
        <w:t>maintaining</w:t>
      </w:r>
      <w:r>
        <w:rPr>
          <w:spacing w:val="-3"/>
          <w:sz w:val="24"/>
        </w:rPr>
        <w:t> </w:t>
      </w:r>
      <w:r>
        <w:rPr>
          <w:sz w:val="24"/>
        </w:rPr>
        <w:t>systems</w:t>
      </w:r>
      <w:r>
        <w:rPr>
          <w:spacing w:val="-1"/>
          <w:sz w:val="24"/>
        </w:rPr>
        <w:t> </w:t>
      </w:r>
      <w:r>
        <w:rPr>
          <w:sz w:val="24"/>
        </w:rPr>
        <w:t>of data collection: To</w:t>
      </w:r>
      <w:r>
        <w:rPr>
          <w:spacing w:val="-2"/>
          <w:sz w:val="24"/>
        </w:rPr>
        <w:t> </w:t>
      </w:r>
      <w:r>
        <w:rPr>
          <w:sz w:val="24"/>
        </w:rPr>
        <w:t>ensure</w:t>
      </w:r>
      <w:r>
        <w:rPr>
          <w:spacing w:val="-1"/>
          <w:sz w:val="24"/>
        </w:rPr>
        <w:t> </w:t>
      </w:r>
      <w:r>
        <w:rPr>
          <w:sz w:val="24"/>
        </w:rPr>
        <w:t>quality,</w:t>
      </w:r>
      <w:r>
        <w:rPr>
          <w:spacing w:val="-1"/>
          <w:sz w:val="24"/>
        </w:rPr>
        <w:t> </w:t>
      </w:r>
      <w:r>
        <w:rPr>
          <w:sz w:val="24"/>
        </w:rPr>
        <w:t>there</w:t>
      </w:r>
      <w:r>
        <w:rPr>
          <w:spacing w:val="-2"/>
          <w:sz w:val="24"/>
        </w:rPr>
        <w:t> </w:t>
      </w:r>
      <w:r>
        <w:rPr>
          <w:sz w:val="24"/>
        </w:rPr>
        <w:t>needs</w:t>
      </w:r>
      <w:r>
        <w:rPr>
          <w:spacing w:val="-1"/>
          <w:sz w:val="24"/>
        </w:rPr>
        <w:t> </w:t>
      </w:r>
      <w:r>
        <w:rPr>
          <w:sz w:val="24"/>
        </w:rPr>
        <w:t>to be a process by which data collected are verified and validated. However, setting up and maintaining</w:t>
      </w:r>
      <w:r>
        <w:rPr>
          <w:spacing w:val="40"/>
          <w:sz w:val="24"/>
        </w:rPr>
        <w:t> </w:t>
      </w:r>
      <w:r>
        <w:rPr>
          <w:sz w:val="24"/>
        </w:rPr>
        <w:t>these</w:t>
      </w:r>
      <w:r>
        <w:rPr>
          <w:spacing w:val="40"/>
          <w:sz w:val="24"/>
        </w:rPr>
        <w:t> </w:t>
      </w:r>
      <w:r>
        <w:rPr>
          <w:sz w:val="24"/>
        </w:rPr>
        <w:t>systems</w:t>
      </w:r>
      <w:r>
        <w:rPr>
          <w:spacing w:val="40"/>
          <w:sz w:val="24"/>
        </w:rPr>
        <w:t> </w:t>
      </w:r>
      <w:r>
        <w:rPr>
          <w:sz w:val="24"/>
        </w:rPr>
        <w:t>can</w:t>
      </w:r>
      <w:r>
        <w:rPr>
          <w:spacing w:val="40"/>
          <w:sz w:val="24"/>
        </w:rPr>
        <w:t> </w:t>
      </w:r>
      <w:r>
        <w:rPr>
          <w:sz w:val="24"/>
        </w:rPr>
        <w:t>be</w:t>
      </w:r>
      <w:r>
        <w:rPr>
          <w:spacing w:val="40"/>
          <w:sz w:val="24"/>
        </w:rPr>
        <w:t> </w:t>
      </w:r>
      <w:r>
        <w:rPr>
          <w:sz w:val="24"/>
        </w:rPr>
        <w:t>both</w:t>
      </w:r>
      <w:r>
        <w:rPr>
          <w:spacing w:val="40"/>
          <w:sz w:val="24"/>
        </w:rPr>
        <w:t> </w:t>
      </w:r>
      <w:r>
        <w:rPr>
          <w:sz w:val="24"/>
        </w:rPr>
        <w:t>complex</w:t>
      </w:r>
      <w:r>
        <w:rPr>
          <w:spacing w:val="40"/>
          <w:sz w:val="24"/>
        </w:rPr>
        <w:t> </w:t>
      </w:r>
      <w:r>
        <w:rPr>
          <w:sz w:val="24"/>
        </w:rPr>
        <w:t>and</w:t>
      </w:r>
      <w:r>
        <w:rPr>
          <w:spacing w:val="40"/>
          <w:sz w:val="24"/>
        </w:rPr>
        <w:t> </w:t>
      </w:r>
      <w:r>
        <w:rPr>
          <w:sz w:val="24"/>
        </w:rPr>
        <w:t>costly.</w:t>
      </w:r>
      <w:r>
        <w:rPr>
          <w:spacing w:val="40"/>
          <w:sz w:val="24"/>
        </w:rPr>
        <w:t> </w:t>
      </w:r>
      <w:r>
        <w:rPr>
          <w:sz w:val="24"/>
        </w:rPr>
        <w:t>Information</w:t>
      </w:r>
      <w:r>
        <w:rPr>
          <w:spacing w:val="40"/>
          <w:sz w:val="24"/>
        </w:rPr>
        <w:t> </w:t>
      </w:r>
      <w:r>
        <w:rPr>
          <w:sz w:val="24"/>
        </w:rPr>
        <w:t>can</w:t>
      </w:r>
      <w:r>
        <w:rPr>
          <w:spacing w:val="40"/>
          <w:sz w:val="24"/>
        </w:rPr>
        <w:t> </w:t>
      </w:r>
      <w:r>
        <w:rPr>
          <w:sz w:val="24"/>
        </w:rPr>
        <w:t>help</w:t>
      </w:r>
      <w:r>
        <w:rPr>
          <w:spacing w:val="40"/>
          <w:sz w:val="24"/>
        </w:rPr>
        <w:t> </w:t>
      </w:r>
      <w:r>
        <w:rPr>
          <w:sz w:val="24"/>
        </w:rPr>
        <w:t>to</w:t>
      </w:r>
    </w:p>
    <w:p>
      <w:pPr>
        <w:spacing w:after="0" w:line="360" w:lineRule="auto"/>
        <w:jc w:val="both"/>
        <w:rPr>
          <w:sz w:val="24"/>
        </w:rPr>
        <w:sectPr>
          <w:pgSz w:w="12240" w:h="15840"/>
          <w:pgMar w:header="0" w:footer="1036" w:top="1360" w:bottom="1220" w:left="1200" w:right="600"/>
        </w:sectPr>
      </w:pPr>
    </w:p>
    <w:p>
      <w:pPr>
        <w:pStyle w:val="BodyText"/>
        <w:spacing w:line="360" w:lineRule="auto" w:before="74"/>
        <w:ind w:left="960" w:right="834"/>
        <w:jc w:val="both"/>
      </w:pPr>
      <w:r>
        <w:rPr/>
        <w:t>improve standards and provide some legitimacy for the reported results. It is especially challenging to assure the quality of the data when agencies are dependent on third parties to provide the information.</w:t>
      </w:r>
    </w:p>
    <w:p>
      <w:pPr>
        <w:pStyle w:val="BodyText"/>
        <w:spacing w:before="138"/>
      </w:pPr>
    </w:p>
    <w:p>
      <w:pPr>
        <w:pStyle w:val="BodyText"/>
        <w:spacing w:line="360" w:lineRule="auto" w:before="1"/>
        <w:ind w:left="960" w:right="833"/>
        <w:jc w:val="both"/>
      </w:pPr>
      <w:r>
        <w:rPr/>
        <w:t>Hatry</w:t>
      </w:r>
      <w:r>
        <w:rPr>
          <w:spacing w:val="-3"/>
        </w:rPr>
        <w:t> </w:t>
      </w:r>
      <w:r>
        <w:rPr/>
        <w:t>(1999); Wang (2000); Kaplan and Norton (2001) state that one of the main reasons for the failure of performance measurement system is that it is often designed by individuals other than their actual users (Jääskeläinen, 2010) also asserts that many studies have identified an essential problem of measurement systems in the public sector is that they try to measure everything instead of focusing on core areas.</w:t>
      </w:r>
    </w:p>
    <w:p>
      <w:pPr>
        <w:pStyle w:val="BodyText"/>
      </w:pPr>
    </w:p>
    <w:p>
      <w:pPr>
        <w:pStyle w:val="BodyText"/>
        <w:spacing w:before="143"/>
      </w:pPr>
    </w:p>
    <w:p>
      <w:pPr>
        <w:pStyle w:val="Heading4"/>
        <w:numPr>
          <w:ilvl w:val="2"/>
          <w:numId w:val="7"/>
        </w:numPr>
        <w:tabs>
          <w:tab w:pos="780" w:val="left" w:leader="none"/>
        </w:tabs>
        <w:spacing w:line="240" w:lineRule="auto" w:before="0" w:after="0"/>
        <w:ind w:left="780" w:right="0" w:hanging="540"/>
        <w:jc w:val="both"/>
      </w:pPr>
      <w:r>
        <w:rPr/>
        <w:t>Performance</w:t>
      </w:r>
      <w:r>
        <w:rPr>
          <w:spacing w:val="-4"/>
        </w:rPr>
        <w:t> </w:t>
      </w:r>
      <w:r>
        <w:rPr/>
        <w:t>Indicators</w:t>
      </w:r>
      <w:r>
        <w:rPr>
          <w:spacing w:val="-2"/>
        </w:rPr>
        <w:t> </w:t>
      </w:r>
      <w:r>
        <w:rPr/>
        <w:t>and</w:t>
      </w:r>
      <w:r>
        <w:rPr>
          <w:spacing w:val="-2"/>
        </w:rPr>
        <w:t> Targets</w:t>
      </w:r>
    </w:p>
    <w:p>
      <w:pPr>
        <w:pStyle w:val="BodyText"/>
        <w:spacing w:line="360" w:lineRule="auto" w:before="132"/>
        <w:ind w:left="240" w:right="836"/>
        <w:jc w:val="both"/>
      </w:pPr>
      <w:r>
        <w:rPr/>
        <w:t>Reh (2010) maintains that once an organization has analyzed its mission, identified all its stakeholders, and defined its goals, it needs a way to measure progress toward those goals. Performance Indicators (PIs) are those measurements. PIs are regarded as quantifiable measurements or metrics agreed to beforehand, that reflect the critical success factors of an organization. (PIs) have thus been defined as a set of quantifiable measures that an organization uses to gauge or compare performance in terms of meeting their strategic and operational goals. However, in its simplest form, a PI is a type of performance measurement that helps understand how an organization or department is performing.</w:t>
      </w:r>
    </w:p>
    <w:p>
      <w:pPr>
        <w:pStyle w:val="BodyText"/>
        <w:spacing w:before="140"/>
      </w:pPr>
    </w:p>
    <w:p>
      <w:pPr>
        <w:pStyle w:val="BodyText"/>
        <w:spacing w:line="360" w:lineRule="auto"/>
        <w:ind w:left="240" w:right="838"/>
        <w:jc w:val="both"/>
      </w:pPr>
      <w:r>
        <w:rPr/>
        <w:t>PIs are also referred to as "key success indicators (KSI) and are considered as measurable value that demonstrates how effectively an organization is achieving its key business goals and objectives. Thus, organizations use PIs to evaluate their success at reaching targets or evaluate factors that are crucial to their success. PIs also differ depending on the organization. PIs can be quantitative (numerical) or qualitative (related to people's perception or experience) and they are usually developed when setting aims and objectives. PIs can also assess the quality of service delivery (e.g., access, reliability) or customer satisfaction (e.g., user or customer complaints, responses to surveys). A good PI acts as a compass that helps the organization understand whether</w:t>
      </w:r>
      <w:r>
        <w:rPr>
          <w:spacing w:val="18"/>
        </w:rPr>
        <w:t> </w:t>
      </w:r>
      <w:r>
        <w:rPr/>
        <w:t>it</w:t>
      </w:r>
      <w:r>
        <w:rPr>
          <w:spacing w:val="22"/>
        </w:rPr>
        <w:t> </w:t>
      </w:r>
      <w:r>
        <w:rPr/>
        <w:t>is</w:t>
      </w:r>
      <w:r>
        <w:rPr>
          <w:spacing w:val="23"/>
        </w:rPr>
        <w:t> </w:t>
      </w:r>
      <w:r>
        <w:rPr/>
        <w:t>taking</w:t>
      </w:r>
      <w:r>
        <w:rPr>
          <w:spacing w:val="19"/>
        </w:rPr>
        <w:t> </w:t>
      </w:r>
      <w:r>
        <w:rPr/>
        <w:t>the</w:t>
      </w:r>
      <w:r>
        <w:rPr>
          <w:spacing w:val="21"/>
        </w:rPr>
        <w:t> </w:t>
      </w:r>
      <w:r>
        <w:rPr/>
        <w:t>right</w:t>
      </w:r>
      <w:r>
        <w:rPr>
          <w:spacing w:val="23"/>
        </w:rPr>
        <w:t> </w:t>
      </w:r>
      <w:r>
        <w:rPr/>
        <w:t>path</w:t>
      </w:r>
      <w:r>
        <w:rPr>
          <w:spacing w:val="25"/>
        </w:rPr>
        <w:t> </w:t>
      </w:r>
      <w:r>
        <w:rPr/>
        <w:t>or</w:t>
      </w:r>
      <w:r>
        <w:rPr>
          <w:spacing w:val="21"/>
        </w:rPr>
        <w:t> </w:t>
      </w:r>
      <w:r>
        <w:rPr/>
        <w:t>making</w:t>
      </w:r>
      <w:r>
        <w:rPr>
          <w:spacing w:val="20"/>
        </w:rPr>
        <w:t> </w:t>
      </w:r>
      <w:r>
        <w:rPr/>
        <w:t>progress</w:t>
      </w:r>
      <w:r>
        <w:rPr>
          <w:spacing w:val="23"/>
        </w:rPr>
        <w:t> </w:t>
      </w:r>
      <w:r>
        <w:rPr/>
        <w:t>toward</w:t>
      </w:r>
      <w:r>
        <w:rPr>
          <w:spacing w:val="21"/>
        </w:rPr>
        <w:t> </w:t>
      </w:r>
      <w:r>
        <w:rPr/>
        <w:t>its</w:t>
      </w:r>
      <w:r>
        <w:rPr>
          <w:spacing w:val="23"/>
        </w:rPr>
        <w:t> </w:t>
      </w:r>
      <w:r>
        <w:rPr/>
        <w:t>strategic</w:t>
      </w:r>
      <w:r>
        <w:rPr>
          <w:spacing w:val="23"/>
        </w:rPr>
        <w:t> </w:t>
      </w:r>
      <w:r>
        <w:rPr/>
        <w:t>goals.</w:t>
      </w:r>
      <w:r>
        <w:rPr>
          <w:spacing w:val="27"/>
        </w:rPr>
        <w:t> </w:t>
      </w:r>
      <w:r>
        <w:rPr/>
        <w:t>In</w:t>
      </w:r>
      <w:r>
        <w:rPr>
          <w:spacing w:val="22"/>
        </w:rPr>
        <w:t> </w:t>
      </w:r>
      <w:r>
        <w:rPr/>
        <w:t>order</w:t>
      </w:r>
      <w:r>
        <w:rPr>
          <w:spacing w:val="21"/>
        </w:rPr>
        <w:t> </w:t>
      </w:r>
      <w:r>
        <w:rPr/>
        <w:t>to</w:t>
      </w:r>
      <w:r>
        <w:rPr>
          <w:spacing w:val="23"/>
        </w:rPr>
        <w:t> </w:t>
      </w:r>
      <w:r>
        <w:rPr>
          <w:spacing w:val="-5"/>
        </w:rPr>
        <w:t>be</w:t>
      </w:r>
    </w:p>
    <w:p>
      <w:pPr>
        <w:spacing w:after="0" w:line="360" w:lineRule="auto"/>
        <w:jc w:val="both"/>
        <w:sectPr>
          <w:pgSz w:w="12240" w:h="15840"/>
          <w:pgMar w:header="0" w:footer="1036" w:top="1360" w:bottom="1220" w:left="1200" w:right="600"/>
        </w:sectPr>
      </w:pPr>
    </w:p>
    <w:p>
      <w:pPr>
        <w:pStyle w:val="BodyText"/>
        <w:spacing w:line="360" w:lineRule="auto" w:before="74"/>
        <w:ind w:left="240" w:right="846"/>
        <w:jc w:val="both"/>
      </w:pPr>
      <w:r>
        <w:rPr/>
        <w:t>evaluated, PIs are linked to target values, so that the value of the measure can be assessed as meeting expectations or not.</w:t>
      </w:r>
    </w:p>
    <w:p>
      <w:pPr>
        <w:pStyle w:val="BodyText"/>
        <w:spacing w:before="137"/>
      </w:pPr>
    </w:p>
    <w:p>
      <w:pPr>
        <w:pStyle w:val="BodyText"/>
        <w:spacing w:line="360" w:lineRule="auto"/>
        <w:ind w:left="240" w:right="838"/>
        <w:jc w:val="both"/>
      </w:pPr>
      <w:r>
        <w:rPr/>
        <w:t>With respect to the public sector, Vujovic (2012) asserts that performance indicators depend on the budget context and public sector objectives. In an output based budget system, the primary focus of performance measurement is on output (i.e. delivery of services). In that context, performance</w:t>
      </w:r>
      <w:r>
        <w:rPr>
          <w:spacing w:val="-3"/>
        </w:rPr>
        <w:t> </w:t>
      </w:r>
      <w:r>
        <w:rPr/>
        <w:t>indicators</w:t>
      </w:r>
      <w:r>
        <w:rPr>
          <w:spacing w:val="-2"/>
        </w:rPr>
        <w:t> </w:t>
      </w:r>
      <w:r>
        <w:rPr/>
        <w:t>emphasize</w:t>
      </w:r>
      <w:r>
        <w:rPr>
          <w:spacing w:val="-3"/>
        </w:rPr>
        <w:t> </w:t>
      </w:r>
      <w:r>
        <w:rPr/>
        <w:t>technical</w:t>
      </w:r>
      <w:r>
        <w:rPr>
          <w:spacing w:val="-2"/>
        </w:rPr>
        <w:t> </w:t>
      </w:r>
      <w:r>
        <w:rPr/>
        <w:t>and</w:t>
      </w:r>
      <w:r>
        <w:rPr>
          <w:spacing w:val="-2"/>
        </w:rPr>
        <w:t> </w:t>
      </w:r>
      <w:r>
        <w:rPr/>
        <w:t>economic</w:t>
      </w:r>
      <w:r>
        <w:rPr>
          <w:spacing w:val="-3"/>
        </w:rPr>
        <w:t> </w:t>
      </w:r>
      <w:r>
        <w:rPr/>
        <w:t>efficiency</w:t>
      </w:r>
      <w:r>
        <w:rPr>
          <w:spacing w:val="-6"/>
        </w:rPr>
        <w:t> </w:t>
      </w:r>
      <w:r>
        <w:rPr/>
        <w:t>in</w:t>
      </w:r>
      <w:r>
        <w:rPr>
          <w:spacing w:val="-2"/>
        </w:rPr>
        <w:t> </w:t>
      </w:r>
      <w:r>
        <w:rPr/>
        <w:t>producing</w:t>
      </w:r>
      <w:r>
        <w:rPr>
          <w:spacing w:val="-4"/>
        </w:rPr>
        <w:t> </w:t>
      </w:r>
      <w:r>
        <w:rPr/>
        <w:t>desired</w:t>
      </w:r>
      <w:r>
        <w:rPr>
          <w:spacing w:val="-2"/>
        </w:rPr>
        <w:t> </w:t>
      </w:r>
      <w:r>
        <w:rPr/>
        <w:t>output (services) under existing budget constraint. In result or outcome-focused budget systems performance is measured with respect to the achievement of desired results. Performance indicators are focused on both output and results, i.e. budget/program impact on outcomes. Indicators can measure a broad range of dimensions of an activity including the perceptions of service users, the increase in quality or quantity of a service and improvements in assets or infrastructure of a government (Northern Territory Government, 2012).</w:t>
      </w:r>
    </w:p>
    <w:p>
      <w:pPr>
        <w:pStyle w:val="BodyText"/>
        <w:spacing w:before="140"/>
      </w:pPr>
    </w:p>
    <w:p>
      <w:pPr>
        <w:pStyle w:val="BodyText"/>
        <w:spacing w:line="360" w:lineRule="auto" w:before="1"/>
        <w:ind w:left="240" w:right="844"/>
        <w:jc w:val="both"/>
      </w:pPr>
      <w:r>
        <w:rPr/>
        <w:t>Furthermore, Northern Territory Government (2012) observes that a performance indicator for a public budget is designed to show how much progress is being made towards meeting the planned objectives within the performance context. These objectives are developed within the constraints,</w:t>
      </w:r>
      <w:r>
        <w:rPr>
          <w:spacing w:val="-1"/>
        </w:rPr>
        <w:t> </w:t>
      </w:r>
      <w:r>
        <w:rPr/>
        <w:t>opportunities,</w:t>
      </w:r>
      <w:r>
        <w:rPr>
          <w:spacing w:val="-1"/>
        </w:rPr>
        <w:t> </w:t>
      </w:r>
      <w:r>
        <w:rPr/>
        <w:t>resources and context</w:t>
      </w:r>
      <w:r>
        <w:rPr>
          <w:spacing w:val="-1"/>
        </w:rPr>
        <w:t> </w:t>
      </w:r>
      <w:r>
        <w:rPr/>
        <w:t>that</w:t>
      </w:r>
      <w:r>
        <w:rPr>
          <w:spacing w:val="-1"/>
        </w:rPr>
        <w:t> </w:t>
      </w:r>
      <w:r>
        <w:rPr/>
        <w:t>the</w:t>
      </w:r>
      <w:r>
        <w:rPr>
          <w:spacing w:val="-2"/>
        </w:rPr>
        <w:t> </w:t>
      </w:r>
      <w:r>
        <w:rPr/>
        <w:t>public</w:t>
      </w:r>
      <w:r>
        <w:rPr>
          <w:spacing w:val="-2"/>
        </w:rPr>
        <w:t> </w:t>
      </w:r>
      <w:r>
        <w:rPr/>
        <w:t>sector operates</w:t>
      </w:r>
      <w:r>
        <w:rPr>
          <w:spacing w:val="-2"/>
        </w:rPr>
        <w:t> </w:t>
      </w:r>
      <w:r>
        <w:rPr/>
        <w:t>in.</w:t>
      </w:r>
      <w:r>
        <w:rPr>
          <w:spacing w:val="-1"/>
        </w:rPr>
        <w:t> </w:t>
      </w:r>
      <w:r>
        <w:rPr/>
        <w:t>The context</w:t>
      </w:r>
      <w:r>
        <w:rPr>
          <w:spacing w:val="-1"/>
        </w:rPr>
        <w:t> </w:t>
      </w:r>
      <w:r>
        <w:rPr/>
        <w:t>of an indicator allows the interpretation of the indicator. This may include:</w:t>
      </w:r>
    </w:p>
    <w:p>
      <w:pPr>
        <w:pStyle w:val="ListParagraph"/>
        <w:numPr>
          <w:ilvl w:val="3"/>
          <w:numId w:val="7"/>
        </w:numPr>
        <w:tabs>
          <w:tab w:pos="958" w:val="left" w:leader="none"/>
        </w:tabs>
        <w:spacing w:line="275" w:lineRule="exact" w:before="0" w:after="0"/>
        <w:ind w:left="958" w:right="0" w:hanging="485"/>
        <w:jc w:val="both"/>
        <w:rPr>
          <w:sz w:val="24"/>
        </w:rPr>
      </w:pPr>
      <w:r>
        <w:rPr>
          <w:sz w:val="24"/>
        </w:rPr>
        <w:t>A</w:t>
      </w:r>
      <w:r>
        <w:rPr>
          <w:spacing w:val="-2"/>
          <w:sz w:val="24"/>
        </w:rPr>
        <w:t> </w:t>
      </w:r>
      <w:r>
        <w:rPr>
          <w:sz w:val="24"/>
        </w:rPr>
        <w:t>predetermined</w:t>
      </w:r>
      <w:r>
        <w:rPr>
          <w:spacing w:val="-2"/>
          <w:sz w:val="24"/>
        </w:rPr>
        <w:t> target;</w:t>
      </w:r>
    </w:p>
    <w:p>
      <w:pPr>
        <w:pStyle w:val="ListParagraph"/>
        <w:numPr>
          <w:ilvl w:val="3"/>
          <w:numId w:val="7"/>
        </w:numPr>
        <w:tabs>
          <w:tab w:pos="959" w:val="left" w:leader="none"/>
        </w:tabs>
        <w:spacing w:line="240" w:lineRule="auto" w:before="139" w:after="0"/>
        <w:ind w:left="959" w:right="0" w:hanging="553"/>
        <w:jc w:val="both"/>
        <w:rPr>
          <w:sz w:val="24"/>
        </w:rPr>
      </w:pPr>
      <w:r>
        <w:rPr>
          <w:sz w:val="24"/>
        </w:rPr>
        <w:t>A</w:t>
      </w:r>
      <w:r>
        <w:rPr>
          <w:spacing w:val="-1"/>
          <w:sz w:val="24"/>
        </w:rPr>
        <w:t> </w:t>
      </w:r>
      <w:r>
        <w:rPr>
          <w:sz w:val="24"/>
        </w:rPr>
        <w:t>trend in</w:t>
      </w:r>
      <w:r>
        <w:rPr>
          <w:spacing w:val="-1"/>
          <w:sz w:val="24"/>
        </w:rPr>
        <w:t> </w:t>
      </w:r>
      <w:r>
        <w:rPr>
          <w:sz w:val="24"/>
        </w:rPr>
        <w:t>performance</w:t>
      </w:r>
      <w:r>
        <w:rPr>
          <w:spacing w:val="-1"/>
          <w:sz w:val="24"/>
        </w:rPr>
        <w:t> </w:t>
      </w:r>
      <w:r>
        <w:rPr>
          <w:sz w:val="24"/>
        </w:rPr>
        <w:t>over</w:t>
      </w:r>
      <w:r>
        <w:rPr>
          <w:spacing w:val="-1"/>
          <w:sz w:val="24"/>
        </w:rPr>
        <w:t> </w:t>
      </w:r>
      <w:r>
        <w:rPr>
          <w:sz w:val="24"/>
        </w:rPr>
        <w:t>time</w:t>
      </w:r>
      <w:r>
        <w:rPr>
          <w:spacing w:val="1"/>
          <w:sz w:val="24"/>
        </w:rPr>
        <w:t> </w:t>
      </w:r>
      <w:r>
        <w:rPr>
          <w:spacing w:val="-5"/>
          <w:sz w:val="24"/>
        </w:rPr>
        <w:t>and</w:t>
      </w:r>
    </w:p>
    <w:p>
      <w:pPr>
        <w:pStyle w:val="ListParagraph"/>
        <w:numPr>
          <w:ilvl w:val="3"/>
          <w:numId w:val="7"/>
        </w:numPr>
        <w:tabs>
          <w:tab w:pos="958" w:val="left" w:leader="none"/>
        </w:tabs>
        <w:spacing w:line="240" w:lineRule="auto" w:before="137" w:after="0"/>
        <w:ind w:left="958" w:right="0" w:hanging="617"/>
        <w:jc w:val="both"/>
        <w:rPr>
          <w:sz w:val="24"/>
        </w:rPr>
      </w:pPr>
      <w:r>
        <w:rPr>
          <w:sz w:val="24"/>
        </w:rPr>
        <w:t>Benchmarked</w:t>
      </w:r>
      <w:r>
        <w:rPr>
          <w:spacing w:val="-2"/>
          <w:sz w:val="24"/>
        </w:rPr>
        <w:t> </w:t>
      </w:r>
      <w:r>
        <w:rPr>
          <w:sz w:val="24"/>
        </w:rPr>
        <w:t>relative</w:t>
      </w:r>
      <w:r>
        <w:rPr>
          <w:spacing w:val="-3"/>
          <w:sz w:val="24"/>
        </w:rPr>
        <w:t> </w:t>
      </w:r>
      <w:r>
        <w:rPr>
          <w:spacing w:val="-2"/>
          <w:sz w:val="24"/>
        </w:rPr>
        <w:t>performance.</w:t>
      </w:r>
    </w:p>
    <w:p>
      <w:pPr>
        <w:pStyle w:val="BodyText"/>
        <w:spacing w:line="360" w:lineRule="auto" w:before="276"/>
        <w:ind w:left="240" w:right="840"/>
        <w:jc w:val="both"/>
      </w:pPr>
      <w:r>
        <w:rPr/>
        <w:t>This contextual information allows public organizations to determine performance through comparisons with previous performance over time. This implies that indicators should remain reasonably consistent from year to year so that performance can be tracked. Performance indicators can come from any part of the process to achieve an objective. However for the purpose of budget planning and reporting they usually have more meaning if they connected to the outputs or outcome of the planned activity.</w:t>
      </w:r>
    </w:p>
    <w:p>
      <w:pPr>
        <w:pStyle w:val="BodyText"/>
      </w:pPr>
    </w:p>
    <w:p>
      <w:pPr>
        <w:pStyle w:val="BodyText"/>
        <w:spacing w:line="360" w:lineRule="auto"/>
        <w:ind w:left="240" w:right="838"/>
        <w:jc w:val="both"/>
      </w:pPr>
      <w:r>
        <w:rPr/>
        <w:t>In the view of Schiavo-Campo and Tommasi (1999), selecting the right PI to track and evaluate program</w:t>
      </w:r>
      <w:r>
        <w:rPr>
          <w:spacing w:val="29"/>
        </w:rPr>
        <w:t>  </w:t>
      </w:r>
      <w:r>
        <w:rPr/>
        <w:t>performance</w:t>
      </w:r>
      <w:r>
        <w:rPr>
          <w:spacing w:val="29"/>
        </w:rPr>
        <w:t>  </w:t>
      </w:r>
      <w:r>
        <w:rPr/>
        <w:t>in</w:t>
      </w:r>
      <w:r>
        <w:rPr>
          <w:spacing w:val="30"/>
        </w:rPr>
        <w:t>  </w:t>
      </w:r>
      <w:r>
        <w:rPr/>
        <w:t>public</w:t>
      </w:r>
      <w:r>
        <w:rPr>
          <w:spacing w:val="29"/>
        </w:rPr>
        <w:t>  </w:t>
      </w:r>
      <w:r>
        <w:rPr/>
        <w:t>organizations</w:t>
      </w:r>
      <w:r>
        <w:rPr>
          <w:spacing w:val="30"/>
        </w:rPr>
        <w:t>  </w:t>
      </w:r>
      <w:r>
        <w:rPr/>
        <w:t>requires</w:t>
      </w:r>
      <w:r>
        <w:rPr>
          <w:spacing w:val="31"/>
        </w:rPr>
        <w:t>  </w:t>
      </w:r>
      <w:r>
        <w:rPr/>
        <w:t>an</w:t>
      </w:r>
      <w:r>
        <w:rPr>
          <w:spacing w:val="29"/>
        </w:rPr>
        <w:t>  </w:t>
      </w:r>
      <w:r>
        <w:rPr/>
        <w:t>understanding</w:t>
      </w:r>
      <w:r>
        <w:rPr>
          <w:spacing w:val="29"/>
        </w:rPr>
        <w:t>  </w:t>
      </w:r>
      <w:r>
        <w:rPr/>
        <w:t>of</w:t>
      </w:r>
      <w:r>
        <w:rPr>
          <w:spacing w:val="29"/>
        </w:rPr>
        <w:t>  </w:t>
      </w:r>
      <w:r>
        <w:rPr/>
        <w:t>the</w:t>
      </w:r>
      <w:r>
        <w:rPr>
          <w:spacing w:val="29"/>
        </w:rPr>
        <w:t>  </w:t>
      </w:r>
      <w:r>
        <w:rPr>
          <w:spacing w:val="-2"/>
        </w:rPr>
        <w:t>causal</w:t>
      </w:r>
    </w:p>
    <w:p>
      <w:pPr>
        <w:spacing w:after="0" w:line="360" w:lineRule="auto"/>
        <w:jc w:val="both"/>
        <w:sectPr>
          <w:pgSz w:w="12240" w:h="15840"/>
          <w:pgMar w:header="0" w:footer="1036" w:top="1360" w:bottom="1220" w:left="1200" w:right="600"/>
        </w:sectPr>
      </w:pPr>
    </w:p>
    <w:p>
      <w:pPr>
        <w:pStyle w:val="BodyText"/>
        <w:spacing w:line="360" w:lineRule="auto" w:before="74"/>
        <w:ind w:left="240" w:right="837"/>
        <w:jc w:val="both"/>
      </w:pPr>
      <w:r>
        <w:rPr/>
        <w:t>relationships, i.e. what cause leads to what result. Indicators of causes and results are important elements in monitoring and evaluating program performance. The value of results-focused indicators is limited. Whereas cause indicators generally reflect the use of a public resource, results (good and bad) could potentially be influenced by a host of factors outside the control of government,</w:t>
      </w:r>
      <w:r>
        <w:rPr>
          <w:spacing w:val="-4"/>
        </w:rPr>
        <w:t> </w:t>
      </w:r>
      <w:r>
        <w:rPr/>
        <w:t>such</w:t>
      </w:r>
      <w:r>
        <w:rPr>
          <w:spacing w:val="-2"/>
        </w:rPr>
        <w:t> </w:t>
      </w:r>
      <w:r>
        <w:rPr/>
        <w:t>as</w:t>
      </w:r>
      <w:r>
        <w:rPr>
          <w:spacing w:val="-4"/>
        </w:rPr>
        <w:t> </w:t>
      </w:r>
      <w:r>
        <w:rPr/>
        <w:t>economic</w:t>
      </w:r>
      <w:r>
        <w:rPr>
          <w:spacing w:val="-5"/>
        </w:rPr>
        <w:t> </w:t>
      </w:r>
      <w:r>
        <w:rPr/>
        <w:t>fluctuations,</w:t>
      </w:r>
      <w:r>
        <w:rPr>
          <w:spacing w:val="-4"/>
        </w:rPr>
        <w:t> </w:t>
      </w:r>
      <w:r>
        <w:rPr/>
        <w:t>demographic</w:t>
      </w:r>
      <w:r>
        <w:rPr>
          <w:spacing w:val="-4"/>
        </w:rPr>
        <w:t> </w:t>
      </w:r>
      <w:r>
        <w:rPr/>
        <w:t>changes,</w:t>
      </w:r>
      <w:r>
        <w:rPr>
          <w:spacing w:val="-2"/>
        </w:rPr>
        <w:t> </w:t>
      </w:r>
      <w:r>
        <w:rPr/>
        <w:t>an</w:t>
      </w:r>
      <w:r>
        <w:rPr>
          <w:spacing w:val="-4"/>
        </w:rPr>
        <w:t> </w:t>
      </w:r>
      <w:r>
        <w:rPr/>
        <w:t>exogenous</w:t>
      </w:r>
      <w:r>
        <w:rPr>
          <w:spacing w:val="-4"/>
        </w:rPr>
        <w:t> </w:t>
      </w:r>
      <w:r>
        <w:rPr/>
        <w:t>rise</w:t>
      </w:r>
      <w:r>
        <w:rPr>
          <w:spacing w:val="-5"/>
        </w:rPr>
        <w:t> </w:t>
      </w:r>
      <w:r>
        <w:rPr/>
        <w:t>in</w:t>
      </w:r>
      <w:r>
        <w:rPr>
          <w:spacing w:val="-4"/>
        </w:rPr>
        <w:t> </w:t>
      </w:r>
      <w:r>
        <w:rPr/>
        <w:t>transport costs, or changes induced by other policies and programs.</w:t>
      </w:r>
    </w:p>
    <w:p>
      <w:pPr>
        <w:pStyle w:val="BodyText"/>
        <w:spacing w:before="137"/>
      </w:pPr>
    </w:p>
    <w:p>
      <w:pPr>
        <w:pStyle w:val="BodyText"/>
        <w:spacing w:line="360" w:lineRule="auto"/>
        <w:ind w:left="240" w:right="841"/>
        <w:jc w:val="both"/>
      </w:pPr>
      <w:r>
        <w:rPr/>
        <w:t>According to McGill (2006); IMF (2009) and Rozner (2013), PIs are by no means a new phenomenon. In the public sector, growing interest in PIs has been driven by more complex factors, including the following:</w:t>
      </w:r>
    </w:p>
    <w:p>
      <w:pPr>
        <w:pStyle w:val="ListParagraph"/>
        <w:numPr>
          <w:ilvl w:val="4"/>
          <w:numId w:val="7"/>
        </w:numPr>
        <w:tabs>
          <w:tab w:pos="959" w:val="left" w:leader="none"/>
        </w:tabs>
        <w:spacing w:line="240" w:lineRule="auto" w:before="2" w:after="0"/>
        <w:ind w:left="959" w:right="0" w:hanging="359"/>
        <w:jc w:val="both"/>
        <w:rPr>
          <w:sz w:val="24"/>
        </w:rPr>
      </w:pPr>
      <w:r>
        <w:rPr>
          <w:sz w:val="24"/>
        </w:rPr>
        <w:t>Increasing</w:t>
      </w:r>
      <w:r>
        <w:rPr>
          <w:spacing w:val="-5"/>
          <w:sz w:val="24"/>
        </w:rPr>
        <w:t> </w:t>
      </w:r>
      <w:r>
        <w:rPr>
          <w:sz w:val="24"/>
        </w:rPr>
        <w:t>citizen</w:t>
      </w:r>
      <w:r>
        <w:rPr>
          <w:spacing w:val="-2"/>
          <w:sz w:val="24"/>
        </w:rPr>
        <w:t> </w:t>
      </w:r>
      <w:r>
        <w:rPr>
          <w:sz w:val="24"/>
        </w:rPr>
        <w:t>demands</w:t>
      </w:r>
      <w:r>
        <w:rPr>
          <w:spacing w:val="-2"/>
          <w:sz w:val="24"/>
        </w:rPr>
        <w:t> </w:t>
      </w:r>
      <w:r>
        <w:rPr>
          <w:sz w:val="24"/>
        </w:rPr>
        <w:t>for</w:t>
      </w:r>
      <w:r>
        <w:rPr>
          <w:spacing w:val="-2"/>
          <w:sz w:val="24"/>
        </w:rPr>
        <w:t> </w:t>
      </w:r>
      <w:r>
        <w:rPr>
          <w:sz w:val="24"/>
        </w:rPr>
        <w:t>government </w:t>
      </w:r>
      <w:r>
        <w:rPr>
          <w:spacing w:val="-2"/>
          <w:sz w:val="24"/>
        </w:rPr>
        <w:t>accountability;</w:t>
      </w:r>
    </w:p>
    <w:p>
      <w:pPr>
        <w:pStyle w:val="ListParagraph"/>
        <w:numPr>
          <w:ilvl w:val="4"/>
          <w:numId w:val="7"/>
        </w:numPr>
        <w:tabs>
          <w:tab w:pos="959" w:val="left" w:leader="none"/>
        </w:tabs>
        <w:spacing w:line="240" w:lineRule="auto" w:before="137" w:after="0"/>
        <w:ind w:left="959" w:right="0" w:hanging="359"/>
        <w:jc w:val="both"/>
        <w:rPr>
          <w:sz w:val="24"/>
        </w:rPr>
      </w:pPr>
      <w:r>
        <w:rPr>
          <w:sz w:val="24"/>
        </w:rPr>
        <w:t>Increasing</w:t>
      </w:r>
      <w:r>
        <w:rPr>
          <w:spacing w:val="-4"/>
          <w:sz w:val="24"/>
        </w:rPr>
        <w:t> </w:t>
      </w:r>
      <w:r>
        <w:rPr>
          <w:sz w:val="24"/>
        </w:rPr>
        <w:t>legislative</w:t>
      </w:r>
      <w:r>
        <w:rPr>
          <w:spacing w:val="-2"/>
          <w:sz w:val="24"/>
        </w:rPr>
        <w:t> </w:t>
      </w:r>
      <w:r>
        <w:rPr>
          <w:sz w:val="24"/>
        </w:rPr>
        <w:t>scrutiny</w:t>
      </w:r>
      <w:r>
        <w:rPr>
          <w:spacing w:val="-7"/>
          <w:sz w:val="24"/>
        </w:rPr>
        <w:t> </w:t>
      </w:r>
      <w:r>
        <w:rPr>
          <w:sz w:val="24"/>
        </w:rPr>
        <w:t>of government</w:t>
      </w:r>
      <w:r>
        <w:rPr>
          <w:spacing w:val="-1"/>
          <w:sz w:val="24"/>
        </w:rPr>
        <w:t> </w:t>
      </w:r>
      <w:r>
        <w:rPr>
          <w:spacing w:val="-2"/>
          <w:sz w:val="24"/>
        </w:rPr>
        <w:t>operations;</w:t>
      </w:r>
    </w:p>
    <w:p>
      <w:pPr>
        <w:pStyle w:val="ListParagraph"/>
        <w:numPr>
          <w:ilvl w:val="4"/>
          <w:numId w:val="7"/>
        </w:numPr>
        <w:tabs>
          <w:tab w:pos="959" w:val="left" w:leader="none"/>
        </w:tabs>
        <w:spacing w:line="240" w:lineRule="auto" w:before="139" w:after="0"/>
        <w:ind w:left="959" w:right="0" w:hanging="359"/>
        <w:jc w:val="left"/>
        <w:rPr>
          <w:sz w:val="24"/>
        </w:rPr>
      </w:pPr>
      <w:r>
        <w:rPr>
          <w:sz w:val="24"/>
        </w:rPr>
        <w:t>Ongoing</w:t>
      </w:r>
      <w:r>
        <w:rPr>
          <w:spacing w:val="-4"/>
          <w:sz w:val="24"/>
        </w:rPr>
        <w:t> </w:t>
      </w:r>
      <w:r>
        <w:rPr>
          <w:sz w:val="24"/>
        </w:rPr>
        <w:t>shifts from input-</w:t>
      </w:r>
      <w:r>
        <w:rPr>
          <w:spacing w:val="-2"/>
          <w:sz w:val="24"/>
        </w:rPr>
        <w:t> </w:t>
      </w:r>
      <w:r>
        <w:rPr>
          <w:sz w:val="24"/>
        </w:rPr>
        <w:t>to program-</w:t>
      </w:r>
      <w:r>
        <w:rPr>
          <w:spacing w:val="-1"/>
          <w:sz w:val="24"/>
        </w:rPr>
        <w:t> </w:t>
      </w:r>
      <w:r>
        <w:rPr>
          <w:sz w:val="24"/>
        </w:rPr>
        <w:t>and</w:t>
      </w:r>
      <w:r>
        <w:rPr>
          <w:spacing w:val="-1"/>
          <w:sz w:val="24"/>
        </w:rPr>
        <w:t> </w:t>
      </w:r>
      <w:r>
        <w:rPr>
          <w:sz w:val="24"/>
        </w:rPr>
        <w:t>performance-based budgeting</w:t>
      </w:r>
      <w:r>
        <w:rPr>
          <w:spacing w:val="59"/>
          <w:sz w:val="24"/>
        </w:rPr>
        <w:t> </w:t>
      </w:r>
      <w:r>
        <w:rPr>
          <w:spacing w:val="-5"/>
          <w:sz w:val="24"/>
        </w:rPr>
        <w:t>and</w:t>
      </w:r>
    </w:p>
    <w:p>
      <w:pPr>
        <w:pStyle w:val="ListParagraph"/>
        <w:numPr>
          <w:ilvl w:val="4"/>
          <w:numId w:val="7"/>
        </w:numPr>
        <w:tabs>
          <w:tab w:pos="960" w:val="left" w:leader="none"/>
        </w:tabs>
        <w:spacing w:line="360" w:lineRule="auto" w:before="137" w:after="0"/>
        <w:ind w:left="960" w:right="836" w:hanging="360"/>
        <w:jc w:val="left"/>
        <w:rPr>
          <w:sz w:val="24"/>
        </w:rPr>
      </w:pPr>
      <w:r>
        <w:rPr>
          <w:sz w:val="24"/>
        </w:rPr>
        <w:t>Mounting fiscal pressures and the resulting need</w:t>
      </w:r>
      <w:r>
        <w:rPr>
          <w:spacing w:val="23"/>
          <w:sz w:val="24"/>
        </w:rPr>
        <w:t> </w:t>
      </w:r>
      <w:r>
        <w:rPr>
          <w:sz w:val="24"/>
        </w:rPr>
        <w:t>to use public funds</w:t>
      </w:r>
      <w:r>
        <w:rPr>
          <w:spacing w:val="26"/>
          <w:sz w:val="24"/>
        </w:rPr>
        <w:t> </w:t>
      </w:r>
      <w:r>
        <w:rPr>
          <w:sz w:val="24"/>
        </w:rPr>
        <w:t>and</w:t>
      </w:r>
      <w:r>
        <w:rPr>
          <w:spacing w:val="23"/>
          <w:sz w:val="24"/>
        </w:rPr>
        <w:t> </w:t>
      </w:r>
      <w:r>
        <w:rPr>
          <w:sz w:val="24"/>
        </w:rPr>
        <w:t>deliver public</w:t>
      </w:r>
      <w:r>
        <w:rPr>
          <w:spacing w:val="40"/>
          <w:sz w:val="24"/>
        </w:rPr>
        <w:t> </w:t>
      </w:r>
      <w:r>
        <w:rPr>
          <w:sz w:val="24"/>
        </w:rPr>
        <w:t>services as efficiently and effectively as possible.</w:t>
      </w:r>
    </w:p>
    <w:p>
      <w:pPr>
        <w:pStyle w:val="BodyText"/>
        <w:spacing w:before="139"/>
      </w:pPr>
    </w:p>
    <w:p>
      <w:pPr>
        <w:pStyle w:val="BodyText"/>
        <w:spacing w:line="360" w:lineRule="auto" w:before="1"/>
        <w:ind w:left="240" w:right="837"/>
        <w:jc w:val="both"/>
      </w:pPr>
      <w:r>
        <w:rPr/>
        <w:t>Against this backdrop, PIs have become an important part of the suite of tools used to systematically monitor, evaluate, and continuously improve service performance. In and of themselves, PIs cannot improve performance. However, they do provide ―signposts‖ that signal progress toward goals and objectives as well as opportunities for improvement. Rozner (2013) further opines that PIs provide feedback to inform and improve public service delivery and promoting accountability by demonstrating to stakeholders the results that government is </w:t>
      </w:r>
      <w:r>
        <w:rPr>
          <w:spacing w:val="-2"/>
        </w:rPr>
        <w:t>achieving.</w:t>
      </w:r>
    </w:p>
    <w:p>
      <w:pPr>
        <w:pStyle w:val="BodyText"/>
        <w:spacing w:before="138"/>
      </w:pPr>
    </w:p>
    <w:p>
      <w:pPr>
        <w:pStyle w:val="BodyText"/>
        <w:spacing w:line="360" w:lineRule="auto"/>
        <w:ind w:left="240" w:right="840"/>
      </w:pPr>
      <w:r>
        <w:rPr/>
        <w:t>In the same vein, Curristine (2005) maintains that well-designed PIs help public sector decision makers to do a number of things, including:</w:t>
      </w:r>
    </w:p>
    <w:p>
      <w:pPr>
        <w:pStyle w:val="ListParagraph"/>
        <w:numPr>
          <w:ilvl w:val="0"/>
          <w:numId w:val="14"/>
        </w:numPr>
        <w:tabs>
          <w:tab w:pos="959" w:val="left" w:leader="none"/>
        </w:tabs>
        <w:spacing w:line="240" w:lineRule="auto" w:before="1" w:after="0"/>
        <w:ind w:left="959" w:right="0" w:hanging="359"/>
        <w:jc w:val="left"/>
        <w:rPr>
          <w:sz w:val="24"/>
        </w:rPr>
      </w:pPr>
      <w:r>
        <w:rPr>
          <w:sz w:val="24"/>
        </w:rPr>
        <w:t>Establish</w:t>
      </w:r>
      <w:r>
        <w:rPr>
          <w:spacing w:val="-3"/>
          <w:sz w:val="24"/>
        </w:rPr>
        <w:t> </w:t>
      </w:r>
      <w:r>
        <w:rPr>
          <w:sz w:val="24"/>
        </w:rPr>
        <w:t>baseline</w:t>
      </w:r>
      <w:r>
        <w:rPr>
          <w:spacing w:val="-1"/>
          <w:sz w:val="24"/>
        </w:rPr>
        <w:t> </w:t>
      </w:r>
      <w:r>
        <w:rPr>
          <w:sz w:val="24"/>
        </w:rPr>
        <w:t>information</w:t>
      </w:r>
      <w:r>
        <w:rPr>
          <w:spacing w:val="-1"/>
          <w:sz w:val="24"/>
        </w:rPr>
        <w:t> </w:t>
      </w:r>
      <w:r>
        <w:rPr>
          <w:sz w:val="24"/>
        </w:rPr>
        <w:t>(i.e., the</w:t>
      </w:r>
      <w:r>
        <w:rPr>
          <w:spacing w:val="-1"/>
          <w:sz w:val="24"/>
        </w:rPr>
        <w:t> </w:t>
      </w:r>
      <w:r>
        <w:rPr>
          <w:sz w:val="24"/>
        </w:rPr>
        <w:t>current</w:t>
      </w:r>
      <w:r>
        <w:rPr>
          <w:spacing w:val="-1"/>
          <w:sz w:val="24"/>
        </w:rPr>
        <w:t> </w:t>
      </w:r>
      <w:r>
        <w:rPr>
          <w:sz w:val="24"/>
        </w:rPr>
        <w:t>state of</w:t>
      </w:r>
      <w:r>
        <w:rPr>
          <w:spacing w:val="-2"/>
          <w:sz w:val="24"/>
        </w:rPr>
        <w:t> performance);</w:t>
      </w:r>
    </w:p>
    <w:p>
      <w:pPr>
        <w:pStyle w:val="ListParagraph"/>
        <w:numPr>
          <w:ilvl w:val="0"/>
          <w:numId w:val="14"/>
        </w:numPr>
        <w:tabs>
          <w:tab w:pos="959" w:val="left" w:leader="none"/>
        </w:tabs>
        <w:spacing w:line="240" w:lineRule="auto" w:before="137" w:after="0"/>
        <w:ind w:left="959" w:right="0" w:hanging="359"/>
        <w:jc w:val="left"/>
        <w:rPr>
          <w:sz w:val="24"/>
        </w:rPr>
      </w:pPr>
      <w:r>
        <w:rPr>
          <w:sz w:val="24"/>
        </w:rPr>
        <w:t>Set</w:t>
      </w:r>
      <w:r>
        <w:rPr>
          <w:spacing w:val="-4"/>
          <w:sz w:val="24"/>
        </w:rPr>
        <w:t> </w:t>
      </w:r>
      <w:r>
        <w:rPr>
          <w:sz w:val="24"/>
        </w:rPr>
        <w:t>performance</w:t>
      </w:r>
      <w:r>
        <w:rPr>
          <w:spacing w:val="-2"/>
          <w:sz w:val="24"/>
        </w:rPr>
        <w:t> </w:t>
      </w:r>
      <w:r>
        <w:rPr>
          <w:sz w:val="24"/>
        </w:rPr>
        <w:t>standards</w:t>
      </w:r>
      <w:r>
        <w:rPr>
          <w:spacing w:val="-1"/>
          <w:sz w:val="24"/>
        </w:rPr>
        <w:t> </w:t>
      </w:r>
      <w:r>
        <w:rPr>
          <w:sz w:val="24"/>
        </w:rPr>
        <w:t>and</w:t>
      </w:r>
      <w:r>
        <w:rPr>
          <w:spacing w:val="-2"/>
          <w:sz w:val="24"/>
        </w:rPr>
        <w:t> </w:t>
      </w:r>
      <w:r>
        <w:rPr>
          <w:sz w:val="24"/>
        </w:rPr>
        <w:t>targets</w:t>
      </w:r>
      <w:r>
        <w:rPr>
          <w:spacing w:val="-1"/>
          <w:sz w:val="24"/>
        </w:rPr>
        <w:t> </w:t>
      </w:r>
      <w:r>
        <w:rPr>
          <w:sz w:val="24"/>
        </w:rPr>
        <w:t>to</w:t>
      </w:r>
      <w:r>
        <w:rPr>
          <w:spacing w:val="-1"/>
          <w:sz w:val="24"/>
        </w:rPr>
        <w:t> </w:t>
      </w:r>
      <w:r>
        <w:rPr>
          <w:sz w:val="24"/>
        </w:rPr>
        <w:t>motivate continuous</w:t>
      </w:r>
      <w:r>
        <w:rPr>
          <w:spacing w:val="-1"/>
          <w:sz w:val="24"/>
        </w:rPr>
        <w:t> </w:t>
      </w:r>
      <w:r>
        <w:rPr>
          <w:spacing w:val="-2"/>
          <w:sz w:val="24"/>
        </w:rPr>
        <w:t>improvement;</w:t>
      </w:r>
    </w:p>
    <w:p>
      <w:pPr>
        <w:pStyle w:val="ListParagraph"/>
        <w:numPr>
          <w:ilvl w:val="0"/>
          <w:numId w:val="14"/>
        </w:numPr>
        <w:tabs>
          <w:tab w:pos="959" w:val="left" w:leader="none"/>
        </w:tabs>
        <w:spacing w:line="240" w:lineRule="auto" w:before="139" w:after="0"/>
        <w:ind w:left="959" w:right="0" w:hanging="359"/>
        <w:jc w:val="left"/>
        <w:rPr>
          <w:sz w:val="24"/>
        </w:rPr>
      </w:pPr>
      <w:r>
        <w:rPr>
          <w:sz w:val="24"/>
        </w:rPr>
        <w:t>Measure</w:t>
      </w:r>
      <w:r>
        <w:rPr>
          <w:spacing w:val="-2"/>
          <w:sz w:val="24"/>
        </w:rPr>
        <w:t> </w:t>
      </w:r>
      <w:r>
        <w:rPr>
          <w:sz w:val="24"/>
        </w:rPr>
        <w:t>and</w:t>
      </w:r>
      <w:r>
        <w:rPr>
          <w:spacing w:val="-1"/>
          <w:sz w:val="24"/>
        </w:rPr>
        <w:t> </w:t>
      </w:r>
      <w:r>
        <w:rPr>
          <w:sz w:val="24"/>
        </w:rPr>
        <w:t>report</w:t>
      </w:r>
      <w:r>
        <w:rPr>
          <w:spacing w:val="-1"/>
          <w:sz w:val="24"/>
        </w:rPr>
        <w:t> </w:t>
      </w:r>
      <w:r>
        <w:rPr>
          <w:sz w:val="24"/>
        </w:rPr>
        <w:t>improvements</w:t>
      </w:r>
      <w:r>
        <w:rPr>
          <w:spacing w:val="-1"/>
          <w:sz w:val="24"/>
        </w:rPr>
        <w:t> </w:t>
      </w:r>
      <w:r>
        <w:rPr>
          <w:sz w:val="24"/>
        </w:rPr>
        <w:t>over</w:t>
      </w:r>
      <w:r>
        <w:rPr>
          <w:spacing w:val="-1"/>
          <w:sz w:val="24"/>
        </w:rPr>
        <w:t> </w:t>
      </w:r>
      <w:r>
        <w:rPr>
          <w:spacing w:val="-2"/>
          <w:sz w:val="24"/>
        </w:rPr>
        <w:t>time;</w:t>
      </w:r>
    </w:p>
    <w:p>
      <w:pPr>
        <w:pStyle w:val="ListParagraph"/>
        <w:numPr>
          <w:ilvl w:val="0"/>
          <w:numId w:val="14"/>
        </w:numPr>
        <w:tabs>
          <w:tab w:pos="959" w:val="left" w:leader="none"/>
        </w:tabs>
        <w:spacing w:line="240" w:lineRule="auto" w:before="137" w:after="0"/>
        <w:ind w:left="959" w:right="0" w:hanging="359"/>
        <w:jc w:val="left"/>
        <w:rPr>
          <w:sz w:val="24"/>
        </w:rPr>
      </w:pPr>
      <w:r>
        <w:rPr>
          <w:sz w:val="24"/>
        </w:rPr>
        <w:t>Compare</w:t>
      </w:r>
      <w:r>
        <w:rPr>
          <w:spacing w:val="-3"/>
          <w:sz w:val="24"/>
        </w:rPr>
        <w:t> </w:t>
      </w:r>
      <w:r>
        <w:rPr>
          <w:sz w:val="24"/>
        </w:rPr>
        <w:t>performance</w:t>
      </w:r>
      <w:r>
        <w:rPr>
          <w:spacing w:val="-2"/>
          <w:sz w:val="24"/>
        </w:rPr>
        <w:t> </w:t>
      </w:r>
      <w:r>
        <w:rPr>
          <w:sz w:val="24"/>
        </w:rPr>
        <w:t>across</w:t>
      </w:r>
      <w:r>
        <w:rPr>
          <w:spacing w:val="-2"/>
          <w:sz w:val="24"/>
        </w:rPr>
        <w:t> </w:t>
      </w:r>
      <w:r>
        <w:rPr>
          <w:sz w:val="24"/>
        </w:rPr>
        <w:t>geographic</w:t>
      </w:r>
      <w:r>
        <w:rPr>
          <w:spacing w:val="-1"/>
          <w:sz w:val="24"/>
        </w:rPr>
        <w:t> </w:t>
      </w:r>
      <w:r>
        <w:rPr>
          <w:sz w:val="24"/>
        </w:rPr>
        <w:t>locations</w:t>
      </w:r>
      <w:r>
        <w:rPr>
          <w:spacing w:val="2"/>
          <w:sz w:val="24"/>
        </w:rPr>
        <w:t> </w:t>
      </w:r>
      <w:r>
        <w:rPr>
          <w:spacing w:val="-10"/>
          <w:sz w:val="24"/>
        </w:rPr>
        <w:t>;</w:t>
      </w:r>
    </w:p>
    <w:p>
      <w:pPr>
        <w:pStyle w:val="ListParagraph"/>
        <w:numPr>
          <w:ilvl w:val="0"/>
          <w:numId w:val="14"/>
        </w:numPr>
        <w:tabs>
          <w:tab w:pos="959" w:val="left" w:leader="none"/>
        </w:tabs>
        <w:spacing w:line="240" w:lineRule="auto" w:before="139" w:after="0"/>
        <w:ind w:left="959" w:right="0" w:hanging="359"/>
        <w:jc w:val="left"/>
        <w:rPr>
          <w:sz w:val="24"/>
        </w:rPr>
      </w:pPr>
      <w:r>
        <w:rPr>
          <w:sz w:val="24"/>
        </w:rPr>
        <w:t>Benchmark</w:t>
      </w:r>
      <w:r>
        <w:rPr>
          <w:spacing w:val="-4"/>
          <w:sz w:val="24"/>
        </w:rPr>
        <w:t> </w:t>
      </w:r>
      <w:r>
        <w:rPr>
          <w:sz w:val="24"/>
        </w:rPr>
        <w:t>performance against</w:t>
      </w:r>
      <w:r>
        <w:rPr>
          <w:spacing w:val="-1"/>
          <w:sz w:val="24"/>
        </w:rPr>
        <w:t> </w:t>
      </w:r>
      <w:r>
        <w:rPr>
          <w:sz w:val="24"/>
        </w:rPr>
        <w:t>regional</w:t>
      </w:r>
      <w:r>
        <w:rPr>
          <w:spacing w:val="-2"/>
          <w:sz w:val="24"/>
        </w:rPr>
        <w:t> </w:t>
      </w:r>
      <w:r>
        <w:rPr>
          <w:sz w:val="24"/>
        </w:rPr>
        <w:t>and</w:t>
      </w:r>
      <w:r>
        <w:rPr>
          <w:spacing w:val="-1"/>
          <w:sz w:val="24"/>
        </w:rPr>
        <w:t> </w:t>
      </w:r>
      <w:r>
        <w:rPr>
          <w:sz w:val="24"/>
        </w:rPr>
        <w:t>international</w:t>
      </w:r>
      <w:r>
        <w:rPr>
          <w:spacing w:val="-1"/>
          <w:sz w:val="24"/>
        </w:rPr>
        <w:t> </w:t>
      </w:r>
      <w:r>
        <w:rPr>
          <w:sz w:val="24"/>
        </w:rPr>
        <w:t>peers</w:t>
      </w:r>
      <w:r>
        <w:rPr>
          <w:spacing w:val="-2"/>
          <w:sz w:val="24"/>
        </w:rPr>
        <w:t> </w:t>
      </w:r>
      <w:r>
        <w:rPr>
          <w:sz w:val="24"/>
        </w:rPr>
        <w:t>or</w:t>
      </w:r>
      <w:r>
        <w:rPr>
          <w:spacing w:val="-3"/>
          <w:sz w:val="24"/>
        </w:rPr>
        <w:t> </w:t>
      </w:r>
      <w:r>
        <w:rPr>
          <w:sz w:val="24"/>
        </w:rPr>
        <w:t>norms</w:t>
      </w:r>
      <w:r>
        <w:rPr>
          <w:spacing w:val="4"/>
          <w:sz w:val="24"/>
        </w:rPr>
        <w:t> </w:t>
      </w:r>
      <w:r>
        <w:rPr>
          <w:spacing w:val="-5"/>
          <w:sz w:val="24"/>
        </w:rPr>
        <w:t>and</w:t>
      </w:r>
    </w:p>
    <w:p>
      <w:pPr>
        <w:spacing w:after="0" w:line="240" w:lineRule="auto"/>
        <w:jc w:val="left"/>
        <w:rPr>
          <w:sz w:val="24"/>
        </w:rPr>
        <w:sectPr>
          <w:pgSz w:w="12240" w:h="15840"/>
          <w:pgMar w:header="0" w:footer="1036" w:top="1360" w:bottom="1220" w:left="1200" w:right="600"/>
        </w:sectPr>
      </w:pPr>
    </w:p>
    <w:p>
      <w:pPr>
        <w:pStyle w:val="ListParagraph"/>
        <w:numPr>
          <w:ilvl w:val="0"/>
          <w:numId w:val="14"/>
        </w:numPr>
        <w:tabs>
          <w:tab w:pos="960" w:val="left" w:leader="none"/>
        </w:tabs>
        <w:spacing w:line="240" w:lineRule="auto" w:before="74" w:after="0"/>
        <w:ind w:left="960" w:right="0" w:hanging="360"/>
        <w:jc w:val="left"/>
        <w:rPr>
          <w:sz w:val="24"/>
        </w:rPr>
      </w:pPr>
      <w:r>
        <w:rPr>
          <w:sz w:val="24"/>
        </w:rPr>
        <w:t>Allow</w:t>
      </w:r>
      <w:r>
        <w:rPr>
          <w:spacing w:val="-3"/>
          <w:sz w:val="24"/>
        </w:rPr>
        <w:t> </w:t>
      </w:r>
      <w:r>
        <w:rPr>
          <w:sz w:val="24"/>
        </w:rPr>
        <w:t>stakeholders</w:t>
      </w:r>
      <w:r>
        <w:rPr>
          <w:spacing w:val="-1"/>
          <w:sz w:val="24"/>
        </w:rPr>
        <w:t> </w:t>
      </w:r>
      <w:r>
        <w:rPr>
          <w:sz w:val="24"/>
        </w:rPr>
        <w:t>to independently</w:t>
      </w:r>
      <w:r>
        <w:rPr>
          <w:spacing w:val="-6"/>
          <w:sz w:val="24"/>
        </w:rPr>
        <w:t> </w:t>
      </w:r>
      <w:r>
        <w:rPr>
          <w:sz w:val="24"/>
        </w:rPr>
        <w:t>judge</w:t>
      </w:r>
      <w:r>
        <w:rPr>
          <w:spacing w:val="-1"/>
          <w:sz w:val="24"/>
        </w:rPr>
        <w:t> </w:t>
      </w:r>
      <w:r>
        <w:rPr>
          <w:spacing w:val="-2"/>
          <w:sz w:val="24"/>
        </w:rPr>
        <w:t>performance.</w:t>
      </w:r>
    </w:p>
    <w:p>
      <w:pPr>
        <w:pStyle w:val="BodyText"/>
      </w:pPr>
    </w:p>
    <w:p>
      <w:pPr>
        <w:pStyle w:val="BodyText"/>
      </w:pPr>
    </w:p>
    <w:p>
      <w:pPr>
        <w:pStyle w:val="BodyText"/>
        <w:spacing w:line="360" w:lineRule="auto" w:before="1"/>
        <w:ind w:left="240" w:right="837"/>
        <w:jc w:val="both"/>
      </w:pPr>
      <w:r>
        <w:rPr/>
        <w:t>However,</w:t>
      </w:r>
      <w:r>
        <w:rPr>
          <w:spacing w:val="-1"/>
        </w:rPr>
        <w:t> </w:t>
      </w:r>
      <w:r>
        <w:rPr/>
        <w:t>Curristine (2005)</w:t>
      </w:r>
      <w:r>
        <w:rPr>
          <w:spacing w:val="-1"/>
        </w:rPr>
        <w:t> </w:t>
      </w:r>
      <w:r>
        <w:rPr/>
        <w:t>further</w:t>
      </w:r>
      <w:r>
        <w:rPr>
          <w:spacing w:val="-1"/>
        </w:rPr>
        <w:t> </w:t>
      </w:r>
      <w:r>
        <w:rPr/>
        <w:t>notes that though, performance</w:t>
      </w:r>
      <w:r>
        <w:rPr>
          <w:spacing w:val="-1"/>
        </w:rPr>
        <w:t> </w:t>
      </w:r>
      <w:r>
        <w:rPr/>
        <w:t>indicators and targets provide a snapshot of performance in time they</w:t>
      </w:r>
      <w:r>
        <w:rPr>
          <w:spacing w:val="-2"/>
        </w:rPr>
        <w:t> </w:t>
      </w:r>
      <w:r>
        <w:rPr/>
        <w:t>do not provide a guide to future performance nor do they explain why a target has been achieved. Therefore, when making decisions about the performance, it is important to consider</w:t>
      </w:r>
      <w:r>
        <w:rPr>
          <w:spacing w:val="-1"/>
        </w:rPr>
        <w:t> </w:t>
      </w:r>
      <w:r>
        <w:rPr/>
        <w:t>different types of</w:t>
      </w:r>
      <w:r>
        <w:rPr>
          <w:spacing w:val="-1"/>
        </w:rPr>
        <w:t> </w:t>
      </w:r>
      <w:r>
        <w:rPr/>
        <w:t>performance</w:t>
      </w:r>
      <w:r>
        <w:rPr>
          <w:spacing w:val="-1"/>
        </w:rPr>
        <w:t> </w:t>
      </w:r>
      <w:r>
        <w:rPr/>
        <w:t>information. To obtain an encompassing picture of programme performance, evaluations and performance indicators can</w:t>
      </w:r>
      <w:r>
        <w:rPr>
          <w:spacing w:val="80"/>
        </w:rPr>
        <w:t> </w:t>
      </w:r>
      <w:r>
        <w:rPr/>
        <w:t>be considered with other formal and informal sources of information and feedback. Unlike targets, evaluations can explain the results of a policy or programme and what changes will improve its performance.</w:t>
      </w:r>
    </w:p>
    <w:p>
      <w:pPr>
        <w:pStyle w:val="BodyText"/>
      </w:pPr>
    </w:p>
    <w:p>
      <w:pPr>
        <w:pStyle w:val="BodyText"/>
      </w:pPr>
    </w:p>
    <w:p>
      <w:pPr>
        <w:pStyle w:val="BodyText"/>
        <w:spacing w:line="360" w:lineRule="auto"/>
        <w:ind w:left="240" w:right="836"/>
        <w:jc w:val="both"/>
      </w:pPr>
      <w:r>
        <w:rPr/>
        <w:t>Performance</w:t>
      </w:r>
      <w:r>
        <w:rPr>
          <w:spacing w:val="-1"/>
        </w:rPr>
        <w:t> </w:t>
      </w:r>
      <w:r>
        <w:rPr/>
        <w:t>targets help to clarify</w:t>
      </w:r>
      <w:r>
        <w:rPr>
          <w:spacing w:val="-5"/>
        </w:rPr>
        <w:t> </w:t>
      </w:r>
      <w:r>
        <w:rPr/>
        <w:t>performance</w:t>
      </w:r>
      <w:r>
        <w:rPr>
          <w:spacing w:val="-1"/>
        </w:rPr>
        <w:t> </w:t>
      </w:r>
      <w:r>
        <w:rPr/>
        <w:t>expectations for</w:t>
      </w:r>
      <w:r>
        <w:rPr>
          <w:spacing w:val="-2"/>
        </w:rPr>
        <w:t> </w:t>
      </w:r>
      <w:r>
        <w:rPr/>
        <w:t>an organisation for</w:t>
      </w:r>
      <w:r>
        <w:rPr>
          <w:spacing w:val="-2"/>
        </w:rPr>
        <w:t> </w:t>
      </w:r>
      <w:r>
        <w:rPr/>
        <w:t>a given time period (Curristine, 2005). Organizations however, continue to struggle with the issues of target level and numbers. There are problems with setting targets too low and/or too high. Setting targets too low means that agencies are not challenged to improve performance. Setting them too high, while it can motivate organisations, also creates unrealistic expectations and situations in which agencies will fail (Perrin, 2002). It takes time to get the right level and to get the comparative</w:t>
      </w:r>
      <w:r>
        <w:rPr>
          <w:spacing w:val="-1"/>
        </w:rPr>
        <w:t> </w:t>
      </w:r>
      <w:r>
        <w:rPr/>
        <w:t>data</w:t>
      </w:r>
      <w:r>
        <w:rPr>
          <w:spacing w:val="-1"/>
        </w:rPr>
        <w:t> </w:t>
      </w:r>
      <w:r>
        <w:rPr/>
        <w:t>to realise</w:t>
      </w:r>
      <w:r>
        <w:rPr>
          <w:spacing w:val="-1"/>
        </w:rPr>
        <w:t> </w:t>
      </w:r>
      <w:r>
        <w:rPr/>
        <w:t>that targets are set at too high or too low a</w:t>
      </w:r>
      <w:r>
        <w:rPr>
          <w:spacing w:val="-1"/>
        </w:rPr>
        <w:t> </w:t>
      </w:r>
      <w:r>
        <w:rPr/>
        <w:t>level. Another</w:t>
      </w:r>
      <w:r>
        <w:rPr>
          <w:spacing w:val="-1"/>
        </w:rPr>
        <w:t> </w:t>
      </w:r>
      <w:r>
        <w:rPr/>
        <w:t>challenge</w:t>
      </w:r>
      <w:r>
        <w:rPr>
          <w:spacing w:val="-1"/>
        </w:rPr>
        <w:t> </w:t>
      </w:r>
      <w:r>
        <w:rPr/>
        <w:t>is the issue of avoiding distorting behavior. This is a challenge for the public sector. Possible perverse effects include goal distortion – that is, organisations focusing on a few specific indicators and targets, usually the most achievable at the expense of the overall objectives or programme. In extreme cases of goal distortion, agencies or staff, under pressure to meet targets, may deliberately present misleading information.</w:t>
      </w:r>
    </w:p>
    <w:p>
      <w:pPr>
        <w:pStyle w:val="BodyText"/>
        <w:spacing w:before="138"/>
      </w:pPr>
    </w:p>
    <w:p>
      <w:pPr>
        <w:pStyle w:val="BodyText"/>
        <w:spacing w:line="360" w:lineRule="auto"/>
        <w:ind w:left="240" w:right="839"/>
        <w:jc w:val="both"/>
      </w:pPr>
      <w:r>
        <w:rPr/>
        <w:t>Mackay (2007) and Parmenter (2007)</w:t>
      </w:r>
      <w:r>
        <w:rPr>
          <w:spacing w:val="40"/>
        </w:rPr>
        <w:t> </w:t>
      </w:r>
      <w:r>
        <w:rPr/>
        <w:t>explicate that once a broad framework for monitoring has been set up, making clear the planned outputs and outcomes, some realistic indicators are then identified, against which information can be collected. Indicators are thus specific, observable characteristics that can be assessed or measured to show the quality or quantity of aspects of the organisation, its resources, its process, or the results of its activities. The most common</w:t>
      </w:r>
      <w:r>
        <w:rPr>
          <w:spacing w:val="40"/>
        </w:rPr>
        <w:t> </w:t>
      </w:r>
      <w:r>
        <w:rPr/>
        <w:t>indicators relate to outputs and </w:t>
      </w:r>
      <w:hyperlink r:id="rId27">
        <w:r>
          <w:rPr/>
          <w:t>outcomes</w:t>
        </w:r>
      </w:hyperlink>
      <w:r>
        <w:rPr/>
        <w:t>, and there is need to distinguish between the two. Output</w:t>
      </w:r>
      <w:r>
        <w:rPr>
          <w:spacing w:val="70"/>
        </w:rPr>
        <w:t> </w:t>
      </w:r>
      <w:r>
        <w:rPr/>
        <w:t>indicators</w:t>
      </w:r>
      <w:r>
        <w:rPr>
          <w:spacing w:val="71"/>
        </w:rPr>
        <w:t> </w:t>
      </w:r>
      <w:r>
        <w:rPr/>
        <w:t>demonstrate</w:t>
      </w:r>
      <w:r>
        <w:rPr>
          <w:spacing w:val="69"/>
        </w:rPr>
        <w:t> </w:t>
      </w:r>
      <w:r>
        <w:rPr/>
        <w:t>the</w:t>
      </w:r>
      <w:r>
        <w:rPr>
          <w:spacing w:val="70"/>
        </w:rPr>
        <w:t> </w:t>
      </w:r>
      <w:r>
        <w:rPr/>
        <w:t>work</w:t>
      </w:r>
      <w:r>
        <w:rPr>
          <w:spacing w:val="69"/>
        </w:rPr>
        <w:t> </w:t>
      </w:r>
      <w:r>
        <w:rPr/>
        <w:t>the</w:t>
      </w:r>
      <w:r>
        <w:rPr>
          <w:spacing w:val="70"/>
        </w:rPr>
        <w:t> </w:t>
      </w:r>
      <w:r>
        <w:rPr/>
        <w:t>organisation</w:t>
      </w:r>
      <w:r>
        <w:rPr>
          <w:spacing w:val="69"/>
        </w:rPr>
        <w:t> </w:t>
      </w:r>
      <w:r>
        <w:rPr/>
        <w:t>does</w:t>
      </w:r>
      <w:r>
        <w:rPr>
          <w:spacing w:val="71"/>
        </w:rPr>
        <w:t> </w:t>
      </w:r>
      <w:r>
        <w:rPr/>
        <w:t>and</w:t>
      </w:r>
      <w:r>
        <w:rPr>
          <w:spacing w:val="69"/>
        </w:rPr>
        <w:t> </w:t>
      </w:r>
      <w:r>
        <w:rPr/>
        <w:t>show</w:t>
      </w:r>
      <w:r>
        <w:rPr>
          <w:spacing w:val="70"/>
        </w:rPr>
        <w:t> </w:t>
      </w:r>
      <w:r>
        <w:rPr/>
        <w:t>progress</w:t>
      </w:r>
      <w:r>
        <w:rPr>
          <w:spacing w:val="71"/>
        </w:rPr>
        <w:t> </w:t>
      </w:r>
      <w:r>
        <w:rPr>
          <w:spacing w:val="-2"/>
        </w:rPr>
        <w:t>towards</w:t>
      </w:r>
    </w:p>
    <w:p>
      <w:pPr>
        <w:spacing w:after="0" w:line="360" w:lineRule="auto"/>
        <w:jc w:val="both"/>
        <w:sectPr>
          <w:pgSz w:w="12240" w:h="15840"/>
          <w:pgMar w:header="0" w:footer="1036" w:top="1360" w:bottom="1220" w:left="1200" w:right="600"/>
        </w:sectPr>
      </w:pPr>
    </w:p>
    <w:p>
      <w:pPr>
        <w:pStyle w:val="BodyText"/>
        <w:spacing w:line="360" w:lineRule="auto" w:before="74"/>
        <w:ind w:left="240" w:right="839"/>
        <w:jc w:val="both"/>
      </w:pPr>
      <w:r>
        <w:rPr/>
        <w:t>meeting its objectives, while outcome indicators demonstrate changes which take place as a</w:t>
      </w:r>
      <w:r>
        <w:rPr>
          <w:spacing w:val="40"/>
        </w:rPr>
        <w:t> </w:t>
      </w:r>
      <w:r>
        <w:rPr/>
        <w:t>result of the organisation‘s work, and show progress towards meeting specific aims. Targets can now be set against the indicators, and monitoring will demonstrate whether these have been </w:t>
      </w:r>
      <w:r>
        <w:rPr>
          <w:spacing w:val="-2"/>
        </w:rPr>
        <w:t>achieved.</w:t>
      </w:r>
    </w:p>
    <w:p>
      <w:pPr>
        <w:pStyle w:val="BodyText"/>
        <w:spacing w:before="137"/>
      </w:pPr>
    </w:p>
    <w:p>
      <w:pPr>
        <w:pStyle w:val="BodyText"/>
        <w:spacing w:line="360" w:lineRule="auto"/>
        <w:ind w:left="240" w:right="835"/>
        <w:jc w:val="both"/>
      </w:pPr>
      <w:r>
        <w:rPr/>
        <w:t>It is imperative that whatever PIs are</w:t>
      </w:r>
      <w:r>
        <w:rPr>
          <w:spacing w:val="-1"/>
        </w:rPr>
        <w:t> </w:t>
      </w:r>
      <w:r>
        <w:rPr/>
        <w:t>selected, they</w:t>
      </w:r>
      <w:r>
        <w:rPr>
          <w:spacing w:val="-1"/>
        </w:rPr>
        <w:t> </w:t>
      </w:r>
      <w:r>
        <w:rPr/>
        <w:t>must reflect the organization's goals, must be key to its success, and must be quantifiable (measurable) (If a PI is going to be of any value,</w:t>
      </w:r>
      <w:r>
        <w:rPr>
          <w:spacing w:val="40"/>
        </w:rPr>
        <w:t> </w:t>
      </w:r>
      <w:r>
        <w:rPr/>
        <w:t>there must be a way to accurately define and measure it).PIs usually are long-term</w:t>
      </w:r>
      <w:r>
        <w:rPr>
          <w:spacing w:val="40"/>
        </w:rPr>
        <w:t> </w:t>
      </w:r>
      <w:r>
        <w:rPr/>
        <w:t>considerations. The definition of what they are and how they are measured do not change often. The goal for a particular PI may change as the organization's goals change, or as it gets closer to achieving a goal. PIs should also reflect the range of the organization‘s activities and the perspective of the stakeholders interested in the services of the organization (Parmenter, 2007).</w:t>
      </w:r>
    </w:p>
    <w:p>
      <w:pPr>
        <w:pStyle w:val="BodyText"/>
        <w:spacing w:before="139"/>
      </w:pPr>
    </w:p>
    <w:p>
      <w:pPr>
        <w:pStyle w:val="BodyText"/>
        <w:spacing w:line="360" w:lineRule="auto"/>
        <w:ind w:left="240" w:right="839"/>
        <w:jc w:val="both"/>
      </w:pPr>
      <w:r>
        <w:rPr/>
        <w:t>In addition to this, indicators to be used should best be restricted to key performance indicators that are directly linked to service delivery and budget. Too many performance indicators can result in excessive amounts of time collecting data that is not being used to inform decision making. However, too little performance information can lead to uninformed decision making and a lack of assessment about the progress made towards achieving objectives. So the number and type of indicator is best determined by the decisions that need to be made and the information that needs to be communicated (Northern Territory Government, 2012).</w:t>
      </w:r>
    </w:p>
    <w:p>
      <w:pPr>
        <w:pStyle w:val="BodyText"/>
        <w:spacing w:before="139"/>
      </w:pPr>
    </w:p>
    <w:p>
      <w:pPr>
        <w:pStyle w:val="BodyText"/>
        <w:spacing w:line="360" w:lineRule="auto"/>
        <w:ind w:left="240" w:right="837"/>
        <w:jc w:val="both"/>
      </w:pPr>
      <w:r>
        <w:rPr/>
        <w:t>Parmenter (2007) also stresses that when setting PIs, that 'what gets measured gets done'. If only three PIs are set, this is what people will focus on and other areas of the organization‘s</w:t>
      </w:r>
      <w:r>
        <w:rPr>
          <w:spacing w:val="40"/>
        </w:rPr>
        <w:t> </w:t>
      </w:r>
      <w:r>
        <w:rPr/>
        <w:t>operations may be neglected. Organizations should aim to set indicators that are both qualitative and quantitative and incorporate the breadth and depth its services. The following outlines some critical questions that organizations should ask when setting PIs:</w:t>
      </w:r>
    </w:p>
    <w:p>
      <w:pPr>
        <w:pStyle w:val="ListParagraph"/>
        <w:numPr>
          <w:ilvl w:val="0"/>
          <w:numId w:val="15"/>
        </w:numPr>
        <w:tabs>
          <w:tab w:pos="958" w:val="left" w:leader="none"/>
        </w:tabs>
        <w:spacing w:line="240" w:lineRule="auto" w:before="2" w:after="0"/>
        <w:ind w:left="958" w:right="0" w:hanging="358"/>
        <w:jc w:val="both"/>
        <w:rPr>
          <w:sz w:val="24"/>
        </w:rPr>
      </w:pPr>
      <w:r>
        <w:rPr>
          <w:sz w:val="24"/>
        </w:rPr>
        <w:t>What</w:t>
      </w:r>
      <w:r>
        <w:rPr>
          <w:spacing w:val="-3"/>
          <w:sz w:val="24"/>
        </w:rPr>
        <w:t> </w:t>
      </w:r>
      <w:r>
        <w:rPr>
          <w:sz w:val="24"/>
        </w:rPr>
        <w:t>activities</w:t>
      </w:r>
      <w:r>
        <w:rPr>
          <w:spacing w:val="-2"/>
          <w:sz w:val="24"/>
        </w:rPr>
        <w:t> </w:t>
      </w:r>
      <w:r>
        <w:rPr>
          <w:sz w:val="24"/>
        </w:rPr>
        <w:t>and</w:t>
      </w:r>
      <w:r>
        <w:rPr>
          <w:spacing w:val="-2"/>
          <w:sz w:val="24"/>
        </w:rPr>
        <w:t> </w:t>
      </w:r>
      <w:r>
        <w:rPr>
          <w:sz w:val="24"/>
        </w:rPr>
        <w:t>services</w:t>
      </w:r>
      <w:r>
        <w:rPr>
          <w:spacing w:val="-2"/>
          <w:sz w:val="24"/>
        </w:rPr>
        <w:t> </w:t>
      </w:r>
      <w:r>
        <w:rPr>
          <w:sz w:val="24"/>
        </w:rPr>
        <w:t>do</w:t>
      </w:r>
      <w:r>
        <w:rPr>
          <w:spacing w:val="2"/>
          <w:sz w:val="24"/>
        </w:rPr>
        <w:t> </w:t>
      </w:r>
      <w:r>
        <w:rPr>
          <w:sz w:val="24"/>
        </w:rPr>
        <w:t>you</w:t>
      </w:r>
      <w:r>
        <w:rPr>
          <w:spacing w:val="-2"/>
          <w:sz w:val="24"/>
        </w:rPr>
        <w:t> provide?</w:t>
      </w:r>
    </w:p>
    <w:p>
      <w:pPr>
        <w:pStyle w:val="ListParagraph"/>
        <w:numPr>
          <w:ilvl w:val="0"/>
          <w:numId w:val="15"/>
        </w:numPr>
        <w:tabs>
          <w:tab w:pos="958" w:val="left" w:leader="none"/>
        </w:tabs>
        <w:spacing w:line="240" w:lineRule="auto" w:before="137" w:after="0"/>
        <w:ind w:left="958" w:right="0" w:hanging="358"/>
        <w:jc w:val="both"/>
        <w:rPr>
          <w:sz w:val="24"/>
        </w:rPr>
      </w:pPr>
      <w:r>
        <w:rPr>
          <w:sz w:val="24"/>
        </w:rPr>
        <w:t>What</w:t>
      </w:r>
      <w:r>
        <w:rPr>
          <w:spacing w:val="-2"/>
          <w:sz w:val="24"/>
        </w:rPr>
        <w:t> </w:t>
      </w:r>
      <w:r>
        <w:rPr>
          <w:sz w:val="24"/>
        </w:rPr>
        <w:t>are</w:t>
      </w:r>
      <w:r>
        <w:rPr>
          <w:spacing w:val="2"/>
          <w:sz w:val="24"/>
        </w:rPr>
        <w:t> </w:t>
      </w:r>
      <w:r>
        <w:rPr>
          <w:sz w:val="24"/>
        </w:rPr>
        <w:t>you</w:t>
      </w:r>
      <w:r>
        <w:rPr>
          <w:spacing w:val="-2"/>
          <w:sz w:val="24"/>
        </w:rPr>
        <w:t> </w:t>
      </w:r>
      <w:r>
        <w:rPr>
          <w:sz w:val="24"/>
        </w:rPr>
        <w:t>trying</w:t>
      </w:r>
      <w:r>
        <w:rPr>
          <w:spacing w:val="-4"/>
          <w:sz w:val="24"/>
        </w:rPr>
        <w:t> </w:t>
      </w:r>
      <w:r>
        <w:rPr>
          <w:sz w:val="24"/>
        </w:rPr>
        <w:t>to</w:t>
      </w:r>
      <w:r>
        <w:rPr>
          <w:spacing w:val="-1"/>
          <w:sz w:val="24"/>
        </w:rPr>
        <w:t> </w:t>
      </w:r>
      <w:r>
        <w:rPr>
          <w:sz w:val="24"/>
        </w:rPr>
        <w:t>achieve</w:t>
      </w:r>
      <w:r>
        <w:rPr>
          <w:spacing w:val="-3"/>
          <w:sz w:val="24"/>
        </w:rPr>
        <w:t> </w:t>
      </w:r>
      <w:r>
        <w:rPr>
          <w:sz w:val="24"/>
        </w:rPr>
        <w:t>for</w:t>
      </w:r>
      <w:r>
        <w:rPr>
          <w:spacing w:val="3"/>
          <w:sz w:val="24"/>
        </w:rPr>
        <w:t> </w:t>
      </w:r>
      <w:r>
        <w:rPr>
          <w:sz w:val="24"/>
        </w:rPr>
        <w:t>your stakeholder</w:t>
      </w:r>
      <w:r>
        <w:rPr>
          <w:spacing w:val="-1"/>
          <w:sz w:val="24"/>
        </w:rPr>
        <w:t> </w:t>
      </w:r>
      <w:r>
        <w:rPr>
          <w:spacing w:val="-2"/>
          <w:sz w:val="24"/>
        </w:rPr>
        <w:t>groups?</w:t>
      </w:r>
    </w:p>
    <w:p>
      <w:pPr>
        <w:pStyle w:val="ListParagraph"/>
        <w:numPr>
          <w:ilvl w:val="0"/>
          <w:numId w:val="15"/>
        </w:numPr>
        <w:tabs>
          <w:tab w:pos="958" w:val="left" w:leader="none"/>
          <w:tab w:pos="960" w:val="left" w:leader="none"/>
        </w:tabs>
        <w:spacing w:line="360" w:lineRule="auto" w:before="139" w:after="0"/>
        <w:ind w:left="960" w:right="844" w:hanging="360"/>
        <w:jc w:val="both"/>
        <w:rPr>
          <w:sz w:val="24"/>
        </w:rPr>
      </w:pPr>
      <w:r>
        <w:rPr>
          <w:sz w:val="24"/>
        </w:rPr>
        <w:t>What would you expect to see at different points in the process and at the end that indicates you will achieve or have achieved your aims and objectives?</w:t>
      </w:r>
    </w:p>
    <w:p>
      <w:pPr>
        <w:spacing w:after="0" w:line="360" w:lineRule="auto"/>
        <w:jc w:val="both"/>
        <w:rPr>
          <w:sz w:val="24"/>
        </w:rPr>
        <w:sectPr>
          <w:pgSz w:w="12240" w:h="15840"/>
          <w:pgMar w:header="0" w:footer="1036" w:top="1360" w:bottom="1220" w:left="1200" w:right="600"/>
        </w:sectPr>
      </w:pPr>
    </w:p>
    <w:p>
      <w:pPr>
        <w:pStyle w:val="ListParagraph"/>
        <w:numPr>
          <w:ilvl w:val="0"/>
          <w:numId w:val="15"/>
        </w:numPr>
        <w:tabs>
          <w:tab w:pos="958" w:val="left" w:leader="none"/>
          <w:tab w:pos="960" w:val="left" w:leader="none"/>
        </w:tabs>
        <w:spacing w:line="360" w:lineRule="auto" w:before="74" w:after="0"/>
        <w:ind w:left="960" w:right="840" w:hanging="360"/>
        <w:jc w:val="both"/>
        <w:rPr>
          <w:sz w:val="24"/>
        </w:rPr>
      </w:pPr>
      <w:r>
        <w:rPr>
          <w:sz w:val="24"/>
        </w:rPr>
        <w:t>What standards of performance achievement do you already have, for example requirements from funders, local authorities or regulatory bodies?</w:t>
      </w:r>
    </w:p>
    <w:p>
      <w:pPr>
        <w:pStyle w:val="BodyText"/>
        <w:spacing w:before="104"/>
        <w:ind w:left="240"/>
      </w:pPr>
      <w:r>
        <w:rPr/>
        <w:t>To</w:t>
      </w:r>
      <w:r>
        <w:rPr>
          <w:spacing w:val="-1"/>
        </w:rPr>
        <w:t> </w:t>
      </w:r>
      <w:r>
        <w:rPr/>
        <w:t>be</w:t>
      </w:r>
      <w:r>
        <w:rPr>
          <w:spacing w:val="-2"/>
        </w:rPr>
        <w:t> </w:t>
      </w:r>
      <w:r>
        <w:rPr/>
        <w:t>effective,</w:t>
      </w:r>
      <w:r>
        <w:rPr>
          <w:spacing w:val="2"/>
        </w:rPr>
        <w:t> </w:t>
      </w:r>
      <w:r>
        <w:rPr/>
        <w:t>a</w:t>
      </w:r>
      <w:r>
        <w:rPr>
          <w:spacing w:val="-1"/>
        </w:rPr>
        <w:t> </w:t>
      </w:r>
      <w:r>
        <w:rPr/>
        <w:t>PI</w:t>
      </w:r>
      <w:r>
        <w:rPr>
          <w:spacing w:val="-4"/>
        </w:rPr>
        <w:t> </w:t>
      </w:r>
      <w:r>
        <w:rPr>
          <w:spacing w:val="-2"/>
        </w:rPr>
        <w:t>must:</w:t>
      </w:r>
    </w:p>
    <w:p>
      <w:pPr>
        <w:pStyle w:val="ListParagraph"/>
        <w:numPr>
          <w:ilvl w:val="0"/>
          <w:numId w:val="16"/>
        </w:numPr>
        <w:tabs>
          <w:tab w:pos="960" w:val="left" w:leader="none"/>
        </w:tabs>
        <w:spacing w:line="240" w:lineRule="auto" w:before="139" w:after="0"/>
        <w:ind w:left="960" w:right="0" w:hanging="360"/>
        <w:jc w:val="left"/>
        <w:rPr>
          <w:sz w:val="24"/>
        </w:rPr>
      </w:pPr>
      <w:r>
        <w:rPr>
          <w:sz w:val="24"/>
        </w:rPr>
        <w:t>Be</w:t>
      </w:r>
      <w:r>
        <w:rPr>
          <w:spacing w:val="-3"/>
          <w:sz w:val="24"/>
        </w:rPr>
        <w:t> </w:t>
      </w:r>
      <w:r>
        <w:rPr>
          <w:sz w:val="24"/>
        </w:rPr>
        <w:t>well-defined</w:t>
      </w:r>
      <w:r>
        <w:rPr>
          <w:spacing w:val="-1"/>
          <w:sz w:val="24"/>
        </w:rPr>
        <w:t> </w:t>
      </w:r>
      <w:r>
        <w:rPr>
          <w:sz w:val="24"/>
        </w:rPr>
        <w:t>and</w:t>
      </w:r>
      <w:r>
        <w:rPr>
          <w:spacing w:val="-1"/>
          <w:sz w:val="24"/>
        </w:rPr>
        <w:t> </w:t>
      </w:r>
      <w:r>
        <w:rPr>
          <w:spacing w:val="-2"/>
          <w:sz w:val="24"/>
        </w:rPr>
        <w:t>quantifiable;</w:t>
      </w:r>
    </w:p>
    <w:p>
      <w:pPr>
        <w:pStyle w:val="ListParagraph"/>
        <w:numPr>
          <w:ilvl w:val="0"/>
          <w:numId w:val="16"/>
        </w:numPr>
        <w:tabs>
          <w:tab w:pos="958" w:val="left" w:leader="none"/>
        </w:tabs>
        <w:spacing w:line="240" w:lineRule="auto" w:before="137" w:after="0"/>
        <w:ind w:left="958" w:right="0" w:hanging="358"/>
        <w:jc w:val="left"/>
        <w:rPr>
          <w:sz w:val="24"/>
        </w:rPr>
      </w:pPr>
      <w:r>
        <w:rPr>
          <w:sz w:val="24"/>
        </w:rPr>
        <w:t>Actually</w:t>
      </w:r>
      <w:r>
        <w:rPr>
          <w:spacing w:val="-5"/>
          <w:sz w:val="24"/>
        </w:rPr>
        <w:t> </w:t>
      </w:r>
      <w:r>
        <w:rPr>
          <w:sz w:val="24"/>
        </w:rPr>
        <w:t>be</w:t>
      </w:r>
      <w:r>
        <w:rPr>
          <w:spacing w:val="-1"/>
          <w:sz w:val="24"/>
        </w:rPr>
        <w:t> </w:t>
      </w:r>
      <w:r>
        <w:rPr>
          <w:sz w:val="24"/>
        </w:rPr>
        <w:t>crucial</w:t>
      </w:r>
      <w:r>
        <w:rPr>
          <w:spacing w:val="1"/>
          <w:sz w:val="24"/>
        </w:rPr>
        <w:t> </w:t>
      </w:r>
      <w:r>
        <w:rPr>
          <w:sz w:val="24"/>
        </w:rPr>
        <w:t>to achieving</w:t>
      </w:r>
      <w:r>
        <w:rPr>
          <w:spacing w:val="-3"/>
          <w:sz w:val="24"/>
        </w:rPr>
        <w:t> </w:t>
      </w:r>
      <w:r>
        <w:rPr>
          <w:sz w:val="24"/>
        </w:rPr>
        <w:t>organizational </w:t>
      </w:r>
      <w:r>
        <w:rPr>
          <w:spacing w:val="-2"/>
          <w:sz w:val="24"/>
        </w:rPr>
        <w:t>goals;</w:t>
      </w:r>
    </w:p>
    <w:p>
      <w:pPr>
        <w:pStyle w:val="ListParagraph"/>
        <w:numPr>
          <w:ilvl w:val="0"/>
          <w:numId w:val="16"/>
        </w:numPr>
        <w:tabs>
          <w:tab w:pos="960" w:val="left" w:leader="none"/>
        </w:tabs>
        <w:spacing w:line="240" w:lineRule="auto" w:before="139" w:after="0"/>
        <w:ind w:left="960" w:right="0" w:hanging="360"/>
        <w:jc w:val="left"/>
        <w:rPr>
          <w:sz w:val="24"/>
        </w:rPr>
      </w:pPr>
      <w:r>
        <w:rPr>
          <w:sz w:val="24"/>
        </w:rPr>
        <w:t>Be</w:t>
      </w:r>
      <w:r>
        <w:rPr>
          <w:spacing w:val="-5"/>
          <w:sz w:val="24"/>
        </w:rPr>
        <w:t> </w:t>
      </w:r>
      <w:r>
        <w:rPr>
          <w:sz w:val="24"/>
        </w:rPr>
        <w:t>applicable</w:t>
      </w:r>
      <w:r>
        <w:rPr>
          <w:spacing w:val="-1"/>
          <w:sz w:val="24"/>
        </w:rPr>
        <w:t> </w:t>
      </w:r>
      <w:r>
        <w:rPr>
          <w:sz w:val="24"/>
        </w:rPr>
        <w:t>to</w:t>
      </w:r>
      <w:r>
        <w:rPr>
          <w:spacing w:val="-1"/>
          <w:sz w:val="24"/>
        </w:rPr>
        <w:t> </w:t>
      </w:r>
      <w:r>
        <w:rPr>
          <w:sz w:val="24"/>
        </w:rPr>
        <w:t>the</w:t>
      </w:r>
      <w:r>
        <w:rPr>
          <w:spacing w:val="-1"/>
          <w:sz w:val="24"/>
        </w:rPr>
        <w:t> </w:t>
      </w:r>
      <w:r>
        <w:rPr>
          <w:sz w:val="24"/>
        </w:rPr>
        <w:t>organization‘s</w:t>
      </w:r>
      <w:r>
        <w:rPr>
          <w:spacing w:val="-3"/>
          <w:sz w:val="24"/>
        </w:rPr>
        <w:t> </w:t>
      </w:r>
      <w:r>
        <w:rPr>
          <w:sz w:val="24"/>
        </w:rPr>
        <w:t>Line</w:t>
      </w:r>
      <w:r>
        <w:rPr>
          <w:spacing w:val="-2"/>
          <w:sz w:val="24"/>
        </w:rPr>
        <w:t> </w:t>
      </w:r>
      <w:r>
        <w:rPr>
          <w:sz w:val="24"/>
        </w:rPr>
        <w:t>of</w:t>
      </w:r>
      <w:r>
        <w:rPr>
          <w:spacing w:val="-1"/>
          <w:sz w:val="24"/>
        </w:rPr>
        <w:t> </w:t>
      </w:r>
      <w:r>
        <w:rPr>
          <w:sz w:val="24"/>
        </w:rPr>
        <w:t>operations</w:t>
      </w:r>
      <w:r>
        <w:rPr>
          <w:spacing w:val="2"/>
          <w:sz w:val="24"/>
        </w:rPr>
        <w:t> </w:t>
      </w:r>
      <w:r>
        <w:rPr>
          <w:spacing w:val="-5"/>
          <w:sz w:val="24"/>
        </w:rPr>
        <w:t>and</w:t>
      </w:r>
    </w:p>
    <w:p>
      <w:pPr>
        <w:pStyle w:val="ListParagraph"/>
        <w:numPr>
          <w:ilvl w:val="0"/>
          <w:numId w:val="16"/>
        </w:numPr>
        <w:tabs>
          <w:tab w:pos="958" w:val="left" w:leader="none"/>
        </w:tabs>
        <w:spacing w:line="240" w:lineRule="auto" w:before="137" w:after="0"/>
        <w:ind w:left="958" w:right="0" w:hanging="358"/>
        <w:jc w:val="left"/>
        <w:rPr>
          <w:sz w:val="24"/>
        </w:rPr>
      </w:pPr>
      <w:r>
        <w:rPr>
          <w:sz w:val="24"/>
        </w:rPr>
        <w:t>Be</w:t>
      </w:r>
      <w:r>
        <w:rPr>
          <w:spacing w:val="-4"/>
          <w:sz w:val="24"/>
        </w:rPr>
        <w:t> </w:t>
      </w:r>
      <w:r>
        <w:rPr>
          <w:sz w:val="24"/>
        </w:rPr>
        <w:t>thoroughly</w:t>
      </w:r>
      <w:r>
        <w:rPr>
          <w:spacing w:val="-5"/>
          <w:sz w:val="24"/>
        </w:rPr>
        <w:t> </w:t>
      </w:r>
      <w:r>
        <w:rPr>
          <w:sz w:val="24"/>
        </w:rPr>
        <w:t>communicated throughout the</w:t>
      </w:r>
      <w:r>
        <w:rPr>
          <w:spacing w:val="-1"/>
          <w:sz w:val="24"/>
        </w:rPr>
        <w:t> </w:t>
      </w:r>
      <w:r>
        <w:rPr>
          <w:spacing w:val="-2"/>
          <w:sz w:val="24"/>
        </w:rPr>
        <w:t>organization.</w:t>
      </w:r>
    </w:p>
    <w:p>
      <w:pPr>
        <w:pStyle w:val="BodyText"/>
        <w:spacing w:before="21"/>
      </w:pPr>
    </w:p>
    <w:p>
      <w:pPr>
        <w:pStyle w:val="BodyText"/>
        <w:ind w:left="240" w:right="840"/>
      </w:pPr>
      <w:r>
        <w:rPr/>
        <w:t>Table</w:t>
      </w:r>
      <w:r>
        <w:rPr>
          <w:spacing w:val="35"/>
        </w:rPr>
        <w:t> </w:t>
      </w:r>
      <w:r>
        <w:rPr/>
        <w:t>2.1</w:t>
      </w:r>
      <w:r>
        <w:rPr>
          <w:spacing w:val="36"/>
        </w:rPr>
        <w:t> </w:t>
      </w:r>
      <w:r>
        <w:rPr/>
        <w:t>shows</w:t>
      </w:r>
      <w:r>
        <w:rPr>
          <w:spacing w:val="35"/>
        </w:rPr>
        <w:t> </w:t>
      </w:r>
      <w:r>
        <w:rPr/>
        <w:t>essential</w:t>
      </w:r>
      <w:r>
        <w:rPr>
          <w:spacing w:val="35"/>
        </w:rPr>
        <w:t> </w:t>
      </w:r>
      <w:r>
        <w:rPr/>
        <w:t>information</w:t>
      </w:r>
      <w:r>
        <w:rPr>
          <w:spacing w:val="36"/>
        </w:rPr>
        <w:t> </w:t>
      </w:r>
      <w:r>
        <w:rPr/>
        <w:t>required</w:t>
      </w:r>
      <w:r>
        <w:rPr>
          <w:spacing w:val="37"/>
        </w:rPr>
        <w:t> </w:t>
      </w:r>
      <w:r>
        <w:rPr/>
        <w:t>to</w:t>
      </w:r>
      <w:r>
        <w:rPr>
          <w:spacing w:val="36"/>
        </w:rPr>
        <w:t> </w:t>
      </w:r>
      <w:r>
        <w:rPr/>
        <w:t>communicate</w:t>
      </w:r>
      <w:r>
        <w:rPr>
          <w:spacing w:val="35"/>
        </w:rPr>
        <w:t> </w:t>
      </w:r>
      <w:r>
        <w:rPr/>
        <w:t>performance</w:t>
      </w:r>
      <w:r>
        <w:rPr>
          <w:spacing w:val="34"/>
        </w:rPr>
        <w:t> </w:t>
      </w:r>
      <w:r>
        <w:rPr/>
        <w:t>indicators</w:t>
      </w:r>
      <w:r>
        <w:rPr>
          <w:spacing w:val="35"/>
        </w:rPr>
        <w:t> </w:t>
      </w:r>
      <w:r>
        <w:rPr/>
        <w:t>in</w:t>
      </w:r>
      <w:r>
        <w:rPr>
          <w:spacing w:val="36"/>
        </w:rPr>
        <w:t> </w:t>
      </w:r>
      <w:r>
        <w:rPr/>
        <w:t>an </w:t>
      </w:r>
      <w:r>
        <w:rPr>
          <w:spacing w:val="-2"/>
        </w:rPr>
        <w:t>organization.</w:t>
      </w:r>
    </w:p>
    <w:p>
      <w:pPr>
        <w:pStyle w:val="BodyText"/>
        <w:spacing w:before="121"/>
      </w:pPr>
    </w:p>
    <w:p>
      <w:pPr>
        <w:pStyle w:val="BodyText"/>
        <w:ind w:left="240"/>
      </w:pPr>
      <w:r>
        <w:rPr>
          <w:b/>
        </w:rPr>
        <w:t>Table</w:t>
      </w:r>
      <w:r>
        <w:rPr>
          <w:b/>
          <w:spacing w:val="-4"/>
        </w:rPr>
        <w:t> </w:t>
      </w:r>
      <w:r>
        <w:rPr>
          <w:b/>
        </w:rPr>
        <w:t>2.1.</w:t>
      </w:r>
      <w:r>
        <w:rPr>
          <w:b/>
          <w:spacing w:val="-1"/>
        </w:rPr>
        <w:t> </w:t>
      </w:r>
      <w:r>
        <w:rPr/>
        <w:t>Information</w:t>
      </w:r>
      <w:r>
        <w:rPr>
          <w:spacing w:val="-2"/>
        </w:rPr>
        <w:t> </w:t>
      </w:r>
      <w:r>
        <w:rPr/>
        <w:t>required</w:t>
      </w:r>
      <w:r>
        <w:rPr>
          <w:spacing w:val="-2"/>
        </w:rPr>
        <w:t> </w:t>
      </w:r>
      <w:r>
        <w:rPr/>
        <w:t>for</w:t>
      </w:r>
      <w:r>
        <w:rPr>
          <w:spacing w:val="-2"/>
        </w:rPr>
        <w:t> </w:t>
      </w:r>
      <w:r>
        <w:rPr/>
        <w:t>communicating</w:t>
      </w:r>
      <w:r>
        <w:rPr>
          <w:spacing w:val="-4"/>
        </w:rPr>
        <w:t> </w:t>
      </w:r>
      <w:r>
        <w:rPr/>
        <w:t>Performance</w:t>
      </w:r>
      <w:r>
        <w:rPr>
          <w:spacing w:val="-1"/>
        </w:rPr>
        <w:t> </w:t>
      </w:r>
      <w:r>
        <w:rPr>
          <w:spacing w:val="-2"/>
        </w:rPr>
        <w:t>Indicators</w:t>
      </w:r>
    </w:p>
    <w:p>
      <w:pPr>
        <w:pStyle w:val="BodyText"/>
        <w:spacing w:before="4"/>
        <w:rPr>
          <w:sz w:val="20"/>
        </w:rPr>
      </w:pPr>
    </w:p>
    <w:tbl>
      <w:tblPr>
        <w:tblW w:w="0" w:type="auto"/>
        <w:jc w:val="left"/>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8"/>
        <w:gridCol w:w="2009"/>
        <w:gridCol w:w="1783"/>
        <w:gridCol w:w="1718"/>
        <w:gridCol w:w="1647"/>
      </w:tblGrid>
      <w:tr>
        <w:trPr>
          <w:trHeight w:val="378" w:hRule="atLeast"/>
        </w:trPr>
        <w:tc>
          <w:tcPr>
            <w:tcW w:w="2088" w:type="dxa"/>
            <w:shd w:val="clear" w:color="auto" w:fill="4F81BC"/>
          </w:tcPr>
          <w:p>
            <w:pPr>
              <w:pStyle w:val="TableParagraph"/>
              <w:spacing w:line="251" w:lineRule="exact"/>
              <w:ind w:left="107"/>
              <w:rPr>
                <w:b/>
                <w:sz w:val="22"/>
              </w:rPr>
            </w:pPr>
            <w:r>
              <w:rPr>
                <w:b/>
                <w:color w:val="FFFFFF"/>
                <w:spacing w:val="-2"/>
                <w:sz w:val="22"/>
              </w:rPr>
              <w:t>Indicators</w:t>
            </w:r>
          </w:p>
        </w:tc>
        <w:tc>
          <w:tcPr>
            <w:tcW w:w="2009" w:type="dxa"/>
            <w:shd w:val="clear" w:color="auto" w:fill="4F81BC"/>
          </w:tcPr>
          <w:p>
            <w:pPr>
              <w:pStyle w:val="TableParagraph"/>
              <w:spacing w:line="251" w:lineRule="exact"/>
              <w:ind w:left="107"/>
              <w:rPr>
                <w:b/>
                <w:sz w:val="22"/>
              </w:rPr>
            </w:pPr>
            <w:r>
              <w:rPr>
                <w:b/>
                <w:color w:val="FFFFFF"/>
                <w:spacing w:val="-2"/>
                <w:sz w:val="22"/>
              </w:rPr>
              <w:t>Measurement</w:t>
            </w:r>
          </w:p>
        </w:tc>
        <w:tc>
          <w:tcPr>
            <w:tcW w:w="1783" w:type="dxa"/>
            <w:shd w:val="clear" w:color="auto" w:fill="4F81BC"/>
          </w:tcPr>
          <w:p>
            <w:pPr>
              <w:pStyle w:val="TableParagraph"/>
              <w:spacing w:line="251" w:lineRule="exact"/>
              <w:ind w:left="108"/>
              <w:rPr>
                <w:b/>
                <w:sz w:val="22"/>
              </w:rPr>
            </w:pPr>
            <w:r>
              <w:rPr>
                <w:b/>
                <w:color w:val="FFFFFF"/>
                <w:spacing w:val="-2"/>
                <w:sz w:val="22"/>
              </w:rPr>
              <w:t>Source</w:t>
            </w:r>
          </w:p>
        </w:tc>
        <w:tc>
          <w:tcPr>
            <w:tcW w:w="1718" w:type="dxa"/>
            <w:shd w:val="clear" w:color="auto" w:fill="4F81BC"/>
          </w:tcPr>
          <w:p>
            <w:pPr>
              <w:pStyle w:val="TableParagraph"/>
              <w:spacing w:line="251" w:lineRule="exact"/>
              <w:ind w:left="108"/>
              <w:rPr>
                <w:b/>
                <w:sz w:val="22"/>
              </w:rPr>
            </w:pPr>
            <w:r>
              <w:rPr>
                <w:b/>
                <w:color w:val="FFFFFF"/>
                <w:spacing w:val="-2"/>
                <w:sz w:val="22"/>
              </w:rPr>
              <w:t>Explanation</w:t>
            </w:r>
          </w:p>
        </w:tc>
        <w:tc>
          <w:tcPr>
            <w:tcW w:w="1647" w:type="dxa"/>
            <w:shd w:val="clear" w:color="auto" w:fill="4F81BC"/>
          </w:tcPr>
          <w:p>
            <w:pPr>
              <w:pStyle w:val="TableParagraph"/>
              <w:spacing w:line="251" w:lineRule="exact"/>
              <w:ind w:left="109"/>
              <w:rPr>
                <w:b/>
                <w:sz w:val="22"/>
              </w:rPr>
            </w:pPr>
            <w:r>
              <w:rPr>
                <w:b/>
                <w:color w:val="FFFFFF"/>
                <w:spacing w:val="-2"/>
                <w:sz w:val="22"/>
              </w:rPr>
              <w:t>Representation</w:t>
            </w:r>
          </w:p>
        </w:tc>
      </w:tr>
      <w:tr>
        <w:trPr>
          <w:trHeight w:val="983" w:hRule="atLeast"/>
        </w:trPr>
        <w:tc>
          <w:tcPr>
            <w:tcW w:w="2088" w:type="dxa"/>
            <w:shd w:val="clear" w:color="auto" w:fill="4F81BC"/>
          </w:tcPr>
          <w:p>
            <w:pPr>
              <w:pStyle w:val="TableParagraph"/>
              <w:spacing w:line="225" w:lineRule="exact"/>
              <w:ind w:left="107"/>
              <w:rPr>
                <w:sz w:val="20"/>
              </w:rPr>
            </w:pPr>
            <w:r>
              <w:rPr>
                <w:color w:val="FFFFFF"/>
                <w:sz w:val="20"/>
              </w:rPr>
              <w:t>Housing</w:t>
            </w:r>
            <w:r>
              <w:rPr>
                <w:color w:val="FFFFFF"/>
                <w:spacing w:val="-8"/>
                <w:sz w:val="20"/>
              </w:rPr>
              <w:t> </w:t>
            </w:r>
            <w:r>
              <w:rPr>
                <w:color w:val="FFFFFF"/>
                <w:spacing w:val="-2"/>
                <w:sz w:val="20"/>
              </w:rPr>
              <w:t>Construction</w:t>
            </w:r>
          </w:p>
        </w:tc>
        <w:tc>
          <w:tcPr>
            <w:tcW w:w="2009" w:type="dxa"/>
            <w:shd w:val="clear" w:color="auto" w:fill="4F81BC"/>
          </w:tcPr>
          <w:p>
            <w:pPr>
              <w:pStyle w:val="TableParagraph"/>
              <w:ind w:left="107" w:right="918"/>
              <w:rPr>
                <w:sz w:val="19"/>
              </w:rPr>
            </w:pPr>
            <w:r>
              <w:rPr>
                <w:color w:val="FFFFFF"/>
                <w:sz w:val="19"/>
              </w:rPr>
              <w:t>Percent of budget</w:t>
            </w:r>
            <w:r>
              <w:rPr>
                <w:color w:val="FFFFFF"/>
                <w:spacing w:val="-12"/>
                <w:sz w:val="19"/>
              </w:rPr>
              <w:t> </w:t>
            </w:r>
            <w:r>
              <w:rPr>
                <w:color w:val="FFFFFF"/>
                <w:sz w:val="19"/>
              </w:rPr>
              <w:t>spent on housing </w:t>
            </w:r>
            <w:r>
              <w:rPr>
                <w:color w:val="FFFFFF"/>
                <w:spacing w:val="-2"/>
                <w:sz w:val="19"/>
              </w:rPr>
              <w:t>construction</w:t>
            </w:r>
          </w:p>
        </w:tc>
        <w:tc>
          <w:tcPr>
            <w:tcW w:w="1783" w:type="dxa"/>
            <w:shd w:val="clear" w:color="auto" w:fill="4F81BC"/>
          </w:tcPr>
          <w:p>
            <w:pPr>
              <w:pStyle w:val="TableParagraph"/>
              <w:ind w:left="108" w:right="192"/>
              <w:rPr>
                <w:sz w:val="19"/>
              </w:rPr>
            </w:pPr>
            <w:r>
              <w:rPr>
                <w:color w:val="FFFFFF"/>
                <w:spacing w:val="-2"/>
                <w:sz w:val="19"/>
              </w:rPr>
              <w:t>Ministry‘s/Agency/ Department‘s financial</w:t>
            </w:r>
            <w:r>
              <w:rPr>
                <w:color w:val="FFFFFF"/>
                <w:spacing w:val="80"/>
                <w:sz w:val="19"/>
              </w:rPr>
              <w:t> </w:t>
            </w:r>
            <w:r>
              <w:rPr>
                <w:color w:val="FFFFFF"/>
                <w:spacing w:val="-2"/>
                <w:sz w:val="19"/>
              </w:rPr>
              <w:t>statements</w:t>
            </w:r>
          </w:p>
        </w:tc>
        <w:tc>
          <w:tcPr>
            <w:tcW w:w="1718" w:type="dxa"/>
            <w:shd w:val="clear" w:color="auto" w:fill="4F81BC"/>
          </w:tcPr>
          <w:p>
            <w:pPr>
              <w:pStyle w:val="TableParagraph"/>
              <w:spacing w:line="237" w:lineRule="auto"/>
              <w:ind w:left="108" w:right="42"/>
              <w:rPr>
                <w:sz w:val="19"/>
              </w:rPr>
            </w:pPr>
            <w:r>
              <w:rPr>
                <w:color w:val="FFFFFF"/>
                <w:sz w:val="19"/>
              </w:rPr>
              <w:t>Annual amount spent</w:t>
            </w:r>
            <w:r>
              <w:rPr>
                <w:color w:val="FFFFFF"/>
                <w:spacing w:val="-12"/>
                <w:sz w:val="19"/>
              </w:rPr>
              <w:t> </w:t>
            </w:r>
            <w:r>
              <w:rPr>
                <w:color w:val="FFFFFF"/>
                <w:sz w:val="19"/>
              </w:rPr>
              <w:t>by</w:t>
            </w:r>
            <w:r>
              <w:rPr>
                <w:color w:val="FFFFFF"/>
                <w:spacing w:val="-12"/>
                <w:sz w:val="19"/>
              </w:rPr>
              <w:t> </w:t>
            </w:r>
            <w:r>
              <w:rPr>
                <w:color w:val="FFFFFF"/>
                <w:sz w:val="19"/>
              </w:rPr>
              <w:t>30</w:t>
            </w:r>
            <w:r>
              <w:rPr>
                <w:color w:val="FFFFFF"/>
                <w:spacing w:val="-12"/>
                <w:sz w:val="19"/>
              </w:rPr>
              <w:t> </w:t>
            </w:r>
            <w:r>
              <w:rPr>
                <w:color w:val="FFFFFF"/>
                <w:sz w:val="19"/>
              </w:rPr>
              <w:t>June each year</w:t>
            </w:r>
          </w:p>
        </w:tc>
        <w:tc>
          <w:tcPr>
            <w:tcW w:w="1647" w:type="dxa"/>
            <w:shd w:val="clear" w:color="auto" w:fill="4F81BC"/>
          </w:tcPr>
          <w:p>
            <w:pPr>
              <w:pStyle w:val="TableParagraph"/>
              <w:ind w:left="109" w:right="126"/>
              <w:rPr>
                <w:sz w:val="19"/>
              </w:rPr>
            </w:pPr>
            <w:r>
              <w:rPr>
                <w:color w:val="FFFFFF"/>
                <w:sz w:val="19"/>
              </w:rPr>
              <w:t>Graph</w:t>
            </w:r>
            <w:r>
              <w:rPr>
                <w:color w:val="FFFFFF"/>
                <w:spacing w:val="-12"/>
                <w:sz w:val="19"/>
              </w:rPr>
              <w:t> </w:t>
            </w:r>
            <w:r>
              <w:rPr>
                <w:color w:val="FFFFFF"/>
                <w:sz w:val="19"/>
              </w:rPr>
              <w:t>of</w:t>
            </w:r>
            <w:r>
              <w:rPr>
                <w:color w:val="FFFFFF"/>
                <w:spacing w:val="-12"/>
                <w:sz w:val="19"/>
              </w:rPr>
              <w:t> </w:t>
            </w:r>
            <w:r>
              <w:rPr>
                <w:color w:val="FFFFFF"/>
                <w:sz w:val="19"/>
              </w:rPr>
              <w:t>percent of budget spent compared with previous years</w:t>
            </w:r>
          </w:p>
        </w:tc>
      </w:tr>
    </w:tbl>
    <w:p>
      <w:pPr>
        <w:pStyle w:val="BodyText"/>
        <w:spacing w:before="101"/>
        <w:ind w:left="240"/>
      </w:pPr>
      <w:r>
        <w:rPr>
          <w:b/>
        </w:rPr>
        <w:t>Source:</w:t>
      </w:r>
      <w:r>
        <w:rPr>
          <w:b/>
          <w:spacing w:val="-2"/>
        </w:rPr>
        <w:t> </w:t>
      </w:r>
      <w:r>
        <w:rPr/>
        <w:t>Adapted</w:t>
      </w:r>
      <w:r>
        <w:rPr>
          <w:spacing w:val="-1"/>
        </w:rPr>
        <w:t> </w:t>
      </w:r>
      <w:r>
        <w:rPr/>
        <w:t>from</w:t>
      </w:r>
      <w:r>
        <w:rPr>
          <w:spacing w:val="-1"/>
        </w:rPr>
        <w:t> </w:t>
      </w:r>
      <w:r>
        <w:rPr/>
        <w:t>Northern Territory</w:t>
      </w:r>
      <w:r>
        <w:rPr>
          <w:spacing w:val="-6"/>
        </w:rPr>
        <w:t> </w:t>
      </w:r>
      <w:r>
        <w:rPr/>
        <w:t>Government </w:t>
      </w:r>
      <w:r>
        <w:rPr>
          <w:spacing w:val="-2"/>
        </w:rPr>
        <w:t>(2012)</w:t>
      </w:r>
    </w:p>
    <w:p>
      <w:pPr>
        <w:pStyle w:val="BodyText"/>
        <w:spacing w:before="83"/>
      </w:pPr>
    </w:p>
    <w:p>
      <w:pPr>
        <w:pStyle w:val="BodyText"/>
        <w:spacing w:line="360" w:lineRule="auto" w:before="1"/>
        <w:ind w:left="240" w:right="844"/>
        <w:jc w:val="both"/>
      </w:pPr>
      <w:r>
        <w:rPr/>
        <w:t>Castro (2011) asserts that the process of performance measurement involves the use of PIs to assess the degree to which intended results are being achieved. But for indicators to be relevant, timely, and of sufficient quality to facilitate better government decisions, certain technical elements need to be considered in their selection: These elements are as follows:</w:t>
      </w:r>
    </w:p>
    <w:p>
      <w:pPr>
        <w:pStyle w:val="ListParagraph"/>
        <w:numPr>
          <w:ilvl w:val="0"/>
          <w:numId w:val="17"/>
        </w:numPr>
        <w:tabs>
          <w:tab w:pos="959" w:val="left" w:leader="none"/>
        </w:tabs>
        <w:spacing w:line="240" w:lineRule="auto" w:before="0" w:after="0"/>
        <w:ind w:left="959" w:right="0" w:hanging="359"/>
        <w:jc w:val="both"/>
        <w:rPr>
          <w:sz w:val="24"/>
        </w:rPr>
      </w:pPr>
      <w:r>
        <w:rPr>
          <w:sz w:val="24"/>
        </w:rPr>
        <w:t>Establishing</w:t>
      </w:r>
      <w:r>
        <w:rPr>
          <w:spacing w:val="-3"/>
          <w:sz w:val="24"/>
        </w:rPr>
        <w:t> </w:t>
      </w:r>
      <w:r>
        <w:rPr>
          <w:sz w:val="24"/>
        </w:rPr>
        <w:t>goals,</w:t>
      </w:r>
      <w:r>
        <w:rPr>
          <w:spacing w:val="-1"/>
          <w:sz w:val="24"/>
        </w:rPr>
        <w:t> </w:t>
      </w:r>
      <w:r>
        <w:rPr>
          <w:sz w:val="24"/>
        </w:rPr>
        <w:t>outcomes</w:t>
      </w:r>
      <w:r>
        <w:rPr>
          <w:spacing w:val="-1"/>
          <w:sz w:val="24"/>
        </w:rPr>
        <w:t> </w:t>
      </w:r>
      <w:r>
        <w:rPr>
          <w:sz w:val="24"/>
        </w:rPr>
        <w:t>and </w:t>
      </w:r>
      <w:r>
        <w:rPr>
          <w:spacing w:val="-2"/>
          <w:sz w:val="24"/>
        </w:rPr>
        <w:t>outputs;</w:t>
      </w:r>
    </w:p>
    <w:p>
      <w:pPr>
        <w:pStyle w:val="ListParagraph"/>
        <w:numPr>
          <w:ilvl w:val="0"/>
          <w:numId w:val="17"/>
        </w:numPr>
        <w:tabs>
          <w:tab w:pos="959" w:val="left" w:leader="none"/>
        </w:tabs>
        <w:spacing w:line="240" w:lineRule="auto" w:before="137" w:after="0"/>
        <w:ind w:left="959" w:right="0" w:hanging="359"/>
        <w:jc w:val="both"/>
        <w:rPr>
          <w:sz w:val="24"/>
        </w:rPr>
      </w:pPr>
      <w:r>
        <w:rPr>
          <w:sz w:val="24"/>
        </w:rPr>
        <w:t>Defining</w:t>
      </w:r>
      <w:r>
        <w:rPr>
          <w:spacing w:val="-4"/>
          <w:sz w:val="24"/>
        </w:rPr>
        <w:t> </w:t>
      </w:r>
      <w:r>
        <w:rPr>
          <w:sz w:val="24"/>
        </w:rPr>
        <w:t>targets</w:t>
      </w:r>
      <w:r>
        <w:rPr>
          <w:spacing w:val="-1"/>
          <w:sz w:val="24"/>
        </w:rPr>
        <w:t> </w:t>
      </w:r>
      <w:r>
        <w:rPr>
          <w:sz w:val="24"/>
        </w:rPr>
        <w:t>and</w:t>
      </w:r>
      <w:r>
        <w:rPr>
          <w:spacing w:val="-1"/>
          <w:sz w:val="24"/>
        </w:rPr>
        <w:t> </w:t>
      </w:r>
      <w:r>
        <w:rPr>
          <w:sz w:val="24"/>
        </w:rPr>
        <w:t>setting</w:t>
      </w:r>
      <w:r>
        <w:rPr>
          <w:spacing w:val="-3"/>
          <w:sz w:val="24"/>
        </w:rPr>
        <w:t> </w:t>
      </w:r>
      <w:r>
        <w:rPr>
          <w:sz w:val="24"/>
        </w:rPr>
        <w:t>performance </w:t>
      </w:r>
      <w:r>
        <w:rPr>
          <w:spacing w:val="-2"/>
          <w:sz w:val="24"/>
        </w:rPr>
        <w:t>indicators;</w:t>
      </w:r>
    </w:p>
    <w:p>
      <w:pPr>
        <w:pStyle w:val="ListParagraph"/>
        <w:numPr>
          <w:ilvl w:val="0"/>
          <w:numId w:val="17"/>
        </w:numPr>
        <w:tabs>
          <w:tab w:pos="959" w:val="left" w:leader="none"/>
        </w:tabs>
        <w:spacing w:line="240" w:lineRule="auto" w:before="139" w:after="0"/>
        <w:ind w:left="959" w:right="0" w:hanging="359"/>
        <w:jc w:val="left"/>
        <w:rPr>
          <w:sz w:val="24"/>
        </w:rPr>
      </w:pPr>
      <w:r>
        <w:rPr>
          <w:sz w:val="24"/>
        </w:rPr>
        <w:t>Linking</w:t>
      </w:r>
      <w:r>
        <w:rPr>
          <w:spacing w:val="-4"/>
          <w:sz w:val="24"/>
        </w:rPr>
        <w:t> </w:t>
      </w:r>
      <w:r>
        <w:rPr>
          <w:sz w:val="24"/>
        </w:rPr>
        <w:t>funding</w:t>
      </w:r>
      <w:r>
        <w:rPr>
          <w:spacing w:val="-3"/>
          <w:sz w:val="24"/>
        </w:rPr>
        <w:t> </w:t>
      </w:r>
      <w:r>
        <w:rPr>
          <w:sz w:val="24"/>
        </w:rPr>
        <w:t>to</w:t>
      </w:r>
      <w:r>
        <w:rPr>
          <w:spacing w:val="-1"/>
          <w:sz w:val="24"/>
        </w:rPr>
        <w:t> </w:t>
      </w:r>
      <w:r>
        <w:rPr>
          <w:sz w:val="24"/>
        </w:rPr>
        <w:t>results with</w:t>
      </w:r>
      <w:r>
        <w:rPr>
          <w:spacing w:val="-1"/>
          <w:sz w:val="24"/>
        </w:rPr>
        <w:t> </w:t>
      </w:r>
      <w:r>
        <w:rPr>
          <w:sz w:val="24"/>
        </w:rPr>
        <w:t>performance</w:t>
      </w:r>
      <w:r>
        <w:rPr>
          <w:spacing w:val="-1"/>
          <w:sz w:val="24"/>
        </w:rPr>
        <w:t> </w:t>
      </w:r>
      <w:r>
        <w:rPr>
          <w:spacing w:val="-2"/>
          <w:sz w:val="24"/>
        </w:rPr>
        <w:t>indicators;</w:t>
      </w:r>
    </w:p>
    <w:p>
      <w:pPr>
        <w:pStyle w:val="ListParagraph"/>
        <w:numPr>
          <w:ilvl w:val="0"/>
          <w:numId w:val="17"/>
        </w:numPr>
        <w:tabs>
          <w:tab w:pos="959" w:val="left" w:leader="none"/>
        </w:tabs>
        <w:spacing w:line="240" w:lineRule="auto" w:before="137" w:after="0"/>
        <w:ind w:left="959" w:right="0" w:hanging="359"/>
        <w:jc w:val="both"/>
        <w:rPr>
          <w:sz w:val="24"/>
        </w:rPr>
      </w:pPr>
      <w:r>
        <w:rPr>
          <w:sz w:val="24"/>
        </w:rPr>
        <w:t>Consultation</w:t>
      </w:r>
      <w:r>
        <w:rPr>
          <w:spacing w:val="-3"/>
          <w:sz w:val="24"/>
        </w:rPr>
        <w:t> </w:t>
      </w:r>
      <w:r>
        <w:rPr>
          <w:sz w:val="24"/>
        </w:rPr>
        <w:t>on</w:t>
      </w:r>
      <w:r>
        <w:rPr>
          <w:spacing w:val="-1"/>
          <w:sz w:val="24"/>
        </w:rPr>
        <w:t> </w:t>
      </w:r>
      <w:r>
        <w:rPr>
          <w:sz w:val="24"/>
        </w:rPr>
        <w:t>and</w:t>
      </w:r>
      <w:r>
        <w:rPr>
          <w:spacing w:val="-1"/>
          <w:sz w:val="24"/>
        </w:rPr>
        <w:t> </w:t>
      </w:r>
      <w:r>
        <w:rPr>
          <w:sz w:val="24"/>
        </w:rPr>
        <w:t>validation</w:t>
      </w:r>
      <w:r>
        <w:rPr>
          <w:spacing w:val="-1"/>
          <w:sz w:val="24"/>
        </w:rPr>
        <w:t> </w:t>
      </w:r>
      <w:r>
        <w:rPr>
          <w:sz w:val="24"/>
        </w:rPr>
        <w:t>of</w:t>
      </w:r>
      <w:r>
        <w:rPr>
          <w:spacing w:val="-2"/>
          <w:sz w:val="24"/>
        </w:rPr>
        <w:t> </w:t>
      </w:r>
      <w:r>
        <w:rPr>
          <w:sz w:val="24"/>
        </w:rPr>
        <w:t>indicators </w:t>
      </w:r>
      <w:r>
        <w:rPr>
          <w:spacing w:val="-5"/>
          <w:sz w:val="24"/>
        </w:rPr>
        <w:t>and</w:t>
      </w:r>
    </w:p>
    <w:p>
      <w:pPr>
        <w:pStyle w:val="ListParagraph"/>
        <w:numPr>
          <w:ilvl w:val="0"/>
          <w:numId w:val="17"/>
        </w:numPr>
        <w:tabs>
          <w:tab w:pos="959" w:val="left" w:leader="none"/>
        </w:tabs>
        <w:spacing w:line="240" w:lineRule="auto" w:before="139" w:after="0"/>
        <w:ind w:left="959" w:right="0" w:hanging="359"/>
        <w:jc w:val="both"/>
        <w:rPr>
          <w:sz w:val="24"/>
        </w:rPr>
      </w:pPr>
      <w:r>
        <w:rPr>
          <w:sz w:val="24"/>
        </w:rPr>
        <w:t>Monitoring</w:t>
      </w:r>
      <w:r>
        <w:rPr>
          <w:spacing w:val="-3"/>
          <w:sz w:val="24"/>
        </w:rPr>
        <w:t> </w:t>
      </w:r>
      <w:r>
        <w:rPr>
          <w:spacing w:val="-2"/>
          <w:sz w:val="24"/>
        </w:rPr>
        <w:t>system</w:t>
      </w:r>
    </w:p>
    <w:p>
      <w:pPr>
        <w:pStyle w:val="BodyText"/>
        <w:spacing w:before="104"/>
      </w:pPr>
    </w:p>
    <w:p>
      <w:pPr>
        <w:pStyle w:val="BodyText"/>
        <w:spacing w:line="360" w:lineRule="auto"/>
        <w:ind w:left="240" w:right="836"/>
        <w:jc w:val="both"/>
      </w:pPr>
      <w:r>
        <w:rPr/>
        <w:t>Schiavo-Campo and Tommasi (1999) note that there are numerous advantages of designing indicators that are consistent and are able to be used over a long period of time. The advantages are as follows:</w:t>
      </w:r>
    </w:p>
    <w:p>
      <w:pPr>
        <w:pStyle w:val="ListParagraph"/>
        <w:numPr>
          <w:ilvl w:val="0"/>
          <w:numId w:val="18"/>
        </w:numPr>
        <w:tabs>
          <w:tab w:pos="960" w:val="left" w:leader="none"/>
        </w:tabs>
        <w:spacing w:line="360" w:lineRule="auto" w:before="0" w:after="0"/>
        <w:ind w:left="960" w:right="839" w:hanging="360"/>
        <w:jc w:val="both"/>
        <w:rPr>
          <w:sz w:val="24"/>
        </w:rPr>
      </w:pPr>
      <w:r>
        <w:rPr>
          <w:sz w:val="24"/>
        </w:rPr>
        <w:t>The data collection required to inform the indicators can be built into the day to day operations so that it does not become an onerous and costly one-off task.</w:t>
      </w:r>
    </w:p>
    <w:p>
      <w:pPr>
        <w:spacing w:after="0" w:line="360" w:lineRule="auto"/>
        <w:jc w:val="both"/>
        <w:rPr>
          <w:sz w:val="24"/>
        </w:rPr>
        <w:sectPr>
          <w:pgSz w:w="12240" w:h="15840"/>
          <w:pgMar w:header="0" w:footer="1036" w:top="1360" w:bottom="1220" w:left="1200" w:right="600"/>
        </w:sectPr>
      </w:pPr>
    </w:p>
    <w:p>
      <w:pPr>
        <w:pStyle w:val="ListParagraph"/>
        <w:numPr>
          <w:ilvl w:val="0"/>
          <w:numId w:val="18"/>
        </w:numPr>
        <w:tabs>
          <w:tab w:pos="960" w:val="left" w:leader="none"/>
        </w:tabs>
        <w:spacing w:line="360" w:lineRule="auto" w:before="74" w:after="0"/>
        <w:ind w:left="960" w:right="836" w:hanging="360"/>
        <w:jc w:val="both"/>
        <w:rPr>
          <w:sz w:val="24"/>
        </w:rPr>
      </w:pPr>
      <w:r>
        <w:rPr>
          <w:sz w:val="24"/>
        </w:rPr>
        <w:t>The cost, both financial and time, of gathering data is progressively reduced through efficiencies gained through it being a repeated operational task with well developed capture and storage systems.</w:t>
      </w:r>
    </w:p>
    <w:p>
      <w:pPr>
        <w:pStyle w:val="ListParagraph"/>
        <w:numPr>
          <w:ilvl w:val="0"/>
          <w:numId w:val="18"/>
        </w:numPr>
        <w:tabs>
          <w:tab w:pos="960" w:val="left" w:leader="none"/>
        </w:tabs>
        <w:spacing w:line="360" w:lineRule="auto" w:before="0" w:after="0"/>
        <w:ind w:left="960" w:right="836" w:hanging="360"/>
        <w:jc w:val="both"/>
        <w:rPr>
          <w:sz w:val="24"/>
        </w:rPr>
      </w:pPr>
      <w:r>
        <w:rPr>
          <w:sz w:val="24"/>
        </w:rPr>
        <w:t>Management, constituents and other interested stakeholders become familiar with the indicator and are able to better understand its meaning and context.</w:t>
      </w:r>
    </w:p>
    <w:p>
      <w:pPr>
        <w:pStyle w:val="ListParagraph"/>
        <w:numPr>
          <w:ilvl w:val="0"/>
          <w:numId w:val="18"/>
        </w:numPr>
        <w:tabs>
          <w:tab w:pos="960" w:val="left" w:leader="none"/>
        </w:tabs>
        <w:spacing w:line="360" w:lineRule="auto" w:before="0" w:after="0"/>
        <w:ind w:left="960" w:right="845" w:hanging="360"/>
        <w:jc w:val="both"/>
        <w:rPr>
          <w:sz w:val="24"/>
        </w:rPr>
      </w:pPr>
      <w:r>
        <w:rPr>
          <w:sz w:val="24"/>
        </w:rPr>
        <w:t>Indicators become useful when appropriate comparisons are developed. Benchmarks can then be established which validate the goals of the organization.</w:t>
      </w:r>
    </w:p>
    <w:p>
      <w:pPr>
        <w:pStyle w:val="ListParagraph"/>
        <w:numPr>
          <w:ilvl w:val="0"/>
          <w:numId w:val="18"/>
        </w:numPr>
        <w:tabs>
          <w:tab w:pos="960" w:val="left" w:leader="none"/>
        </w:tabs>
        <w:spacing w:line="360" w:lineRule="auto" w:before="0" w:after="0"/>
        <w:ind w:left="960" w:right="839" w:hanging="360"/>
        <w:jc w:val="both"/>
        <w:rPr>
          <w:sz w:val="24"/>
        </w:rPr>
      </w:pPr>
      <w:r>
        <w:rPr>
          <w:sz w:val="24"/>
        </w:rPr>
        <w:t>Indicators</w:t>
      </w:r>
      <w:r>
        <w:rPr>
          <w:spacing w:val="-4"/>
          <w:sz w:val="24"/>
        </w:rPr>
        <w:t> </w:t>
      </w:r>
      <w:r>
        <w:rPr>
          <w:sz w:val="24"/>
        </w:rPr>
        <w:t>provide</w:t>
      </w:r>
      <w:r>
        <w:rPr>
          <w:spacing w:val="-4"/>
          <w:sz w:val="24"/>
        </w:rPr>
        <w:t> </w:t>
      </w:r>
      <w:r>
        <w:rPr>
          <w:sz w:val="24"/>
        </w:rPr>
        <w:t>an</w:t>
      </w:r>
      <w:r>
        <w:rPr>
          <w:spacing w:val="-4"/>
          <w:sz w:val="24"/>
        </w:rPr>
        <w:t> </w:t>
      </w:r>
      <w:r>
        <w:rPr>
          <w:sz w:val="24"/>
        </w:rPr>
        <w:t>understandable</w:t>
      </w:r>
      <w:r>
        <w:rPr>
          <w:spacing w:val="-4"/>
          <w:sz w:val="24"/>
        </w:rPr>
        <w:t> </w:t>
      </w:r>
      <w:r>
        <w:rPr>
          <w:sz w:val="24"/>
        </w:rPr>
        <w:t>method</w:t>
      </w:r>
      <w:r>
        <w:rPr>
          <w:spacing w:val="-4"/>
          <w:sz w:val="24"/>
        </w:rPr>
        <w:t> </w:t>
      </w:r>
      <w:r>
        <w:rPr>
          <w:sz w:val="24"/>
        </w:rPr>
        <w:t>for</w:t>
      </w:r>
      <w:r>
        <w:rPr>
          <w:spacing w:val="-4"/>
          <w:sz w:val="24"/>
        </w:rPr>
        <w:t> </w:t>
      </w:r>
      <w:r>
        <w:rPr>
          <w:sz w:val="24"/>
        </w:rPr>
        <w:t>making</w:t>
      </w:r>
      <w:r>
        <w:rPr>
          <w:spacing w:val="-5"/>
          <w:sz w:val="24"/>
        </w:rPr>
        <w:t> </w:t>
      </w:r>
      <w:r>
        <w:rPr>
          <w:sz w:val="24"/>
        </w:rPr>
        <w:t>assessments</w:t>
      </w:r>
      <w:r>
        <w:rPr>
          <w:spacing w:val="-3"/>
          <w:sz w:val="24"/>
        </w:rPr>
        <w:t> </w:t>
      </w:r>
      <w:r>
        <w:rPr>
          <w:sz w:val="24"/>
        </w:rPr>
        <w:t>and</w:t>
      </w:r>
      <w:r>
        <w:rPr>
          <w:spacing w:val="-3"/>
          <w:sz w:val="24"/>
        </w:rPr>
        <w:t> </w:t>
      </w:r>
      <w:r>
        <w:rPr>
          <w:sz w:val="24"/>
        </w:rPr>
        <w:t>communicating performance information to stakeholders.</w:t>
      </w:r>
    </w:p>
    <w:p>
      <w:pPr>
        <w:pStyle w:val="ListParagraph"/>
        <w:numPr>
          <w:ilvl w:val="0"/>
          <w:numId w:val="18"/>
        </w:numPr>
        <w:tabs>
          <w:tab w:pos="958" w:val="left" w:leader="none"/>
          <w:tab w:pos="960" w:val="left" w:leader="none"/>
        </w:tabs>
        <w:spacing w:line="360" w:lineRule="auto" w:before="0" w:after="0"/>
        <w:ind w:left="960" w:right="837" w:hanging="360"/>
        <w:jc w:val="both"/>
        <w:rPr>
          <w:sz w:val="24"/>
        </w:rPr>
      </w:pPr>
      <w:r>
        <w:rPr>
          <w:sz w:val="24"/>
        </w:rPr>
        <w:t>PIs can efficiently and effectively show key aspects of complex actions and processes with</w:t>
      </w:r>
      <w:r>
        <w:rPr>
          <w:spacing w:val="-2"/>
          <w:sz w:val="24"/>
        </w:rPr>
        <w:t> </w:t>
      </w:r>
      <w:r>
        <w:rPr>
          <w:sz w:val="24"/>
        </w:rPr>
        <w:t>visual</w:t>
      </w:r>
      <w:r>
        <w:rPr>
          <w:spacing w:val="-2"/>
          <w:sz w:val="24"/>
        </w:rPr>
        <w:t> </w:t>
      </w:r>
      <w:r>
        <w:rPr>
          <w:sz w:val="24"/>
        </w:rPr>
        <w:t>information</w:t>
      </w:r>
      <w:r>
        <w:rPr>
          <w:spacing w:val="-2"/>
          <w:sz w:val="24"/>
        </w:rPr>
        <w:t> </w:t>
      </w:r>
      <w:r>
        <w:rPr>
          <w:sz w:val="24"/>
        </w:rPr>
        <w:t>and</w:t>
      </w:r>
      <w:r>
        <w:rPr>
          <w:spacing w:val="-2"/>
          <w:sz w:val="24"/>
        </w:rPr>
        <w:t> </w:t>
      </w:r>
      <w:r>
        <w:rPr>
          <w:sz w:val="24"/>
        </w:rPr>
        <w:t>succinct</w:t>
      </w:r>
      <w:r>
        <w:rPr>
          <w:spacing w:val="-2"/>
          <w:sz w:val="24"/>
        </w:rPr>
        <w:t> </w:t>
      </w:r>
      <w:r>
        <w:rPr>
          <w:sz w:val="24"/>
        </w:rPr>
        <w:t>explanations.</w:t>
      </w:r>
      <w:r>
        <w:rPr>
          <w:spacing w:val="-2"/>
          <w:sz w:val="24"/>
        </w:rPr>
        <w:t> </w:t>
      </w:r>
      <w:r>
        <w:rPr>
          <w:sz w:val="24"/>
        </w:rPr>
        <w:t>This</w:t>
      </w:r>
      <w:r>
        <w:rPr>
          <w:spacing w:val="-2"/>
          <w:sz w:val="24"/>
        </w:rPr>
        <w:t> </w:t>
      </w:r>
      <w:r>
        <w:rPr>
          <w:sz w:val="24"/>
        </w:rPr>
        <w:t>can</w:t>
      </w:r>
      <w:r>
        <w:rPr>
          <w:spacing w:val="-2"/>
          <w:sz w:val="24"/>
        </w:rPr>
        <w:t> </w:t>
      </w:r>
      <w:r>
        <w:rPr>
          <w:sz w:val="24"/>
        </w:rPr>
        <w:t>include</w:t>
      </w:r>
      <w:r>
        <w:rPr>
          <w:spacing w:val="-3"/>
          <w:sz w:val="24"/>
        </w:rPr>
        <w:t> </w:t>
      </w:r>
      <w:r>
        <w:rPr>
          <w:sz w:val="24"/>
        </w:rPr>
        <w:t>graphs, tables,</w:t>
      </w:r>
      <w:r>
        <w:rPr>
          <w:spacing w:val="-2"/>
          <w:sz w:val="24"/>
        </w:rPr>
        <w:t> </w:t>
      </w:r>
      <w:r>
        <w:rPr>
          <w:sz w:val="24"/>
        </w:rPr>
        <w:t>scales, and scorecards.</w:t>
      </w:r>
    </w:p>
    <w:p>
      <w:pPr>
        <w:pStyle w:val="BodyText"/>
        <w:spacing w:before="138"/>
      </w:pPr>
    </w:p>
    <w:p>
      <w:pPr>
        <w:pStyle w:val="BodyText"/>
        <w:spacing w:line="360" w:lineRule="auto"/>
        <w:ind w:left="240" w:right="836"/>
        <w:jc w:val="both"/>
      </w:pPr>
      <w:r>
        <w:rPr/>
        <w:t>In summary, PIs allow comparison over time if they are reliable. Once an indicator has been chosen and the measurement source identified a ministry, department or agency can continue to use the same indicator consistently over many years if the associated objective is still relevant. This provides the audience with a way to see if council performance is continuously improving over time (Parmenter, 2007).</w:t>
      </w:r>
    </w:p>
    <w:p>
      <w:pPr>
        <w:pStyle w:val="BodyText"/>
        <w:spacing w:before="139"/>
      </w:pPr>
    </w:p>
    <w:p>
      <w:pPr>
        <w:pStyle w:val="BodyText"/>
        <w:spacing w:line="360" w:lineRule="auto"/>
        <w:ind w:left="240" w:right="839"/>
        <w:jc w:val="both"/>
      </w:pPr>
      <w:r>
        <w:rPr/>
        <w:t>There are a number of general characteristics that can help to ensure that proposed PIs will be useful and effective. In the view of Drucker (1954) and Rozner (2013), PIs can be identified and used in any context, but the objective should be to select those measures that have certain inherent qualities that deliver the most value as a tool for policy analysis, performance improvement, and communication of results. The acronym ―SMART‖ is often used to refer to the characteristics of good PIs. Each letter of the acronym represents an important characteristic.</w:t>
      </w:r>
    </w:p>
    <w:p>
      <w:pPr>
        <w:pStyle w:val="BodyText"/>
        <w:spacing w:line="360" w:lineRule="auto" w:before="243"/>
        <w:ind w:left="240" w:right="845"/>
        <w:jc w:val="both"/>
      </w:pPr>
      <w:r>
        <w:rPr/>
        <w:t>To determine whether the PI meets the criteria for each characteristic, the following checklist should be considered:</w:t>
      </w:r>
    </w:p>
    <w:p>
      <w:pPr>
        <w:pStyle w:val="ListParagraph"/>
        <w:numPr>
          <w:ilvl w:val="0"/>
          <w:numId w:val="19"/>
        </w:numPr>
        <w:tabs>
          <w:tab w:pos="957" w:val="left" w:leader="none"/>
          <w:tab w:pos="960" w:val="left" w:leader="none"/>
        </w:tabs>
        <w:spacing w:line="360" w:lineRule="auto" w:before="0" w:after="0"/>
        <w:ind w:left="960" w:right="843" w:hanging="488"/>
        <w:jc w:val="both"/>
        <w:rPr>
          <w:sz w:val="24"/>
        </w:rPr>
      </w:pPr>
      <w:r>
        <w:rPr>
          <w:b/>
          <w:sz w:val="24"/>
        </w:rPr>
        <w:t>Specific: </w:t>
      </w:r>
      <w:r>
        <w:rPr>
          <w:sz w:val="24"/>
        </w:rPr>
        <w:t>Does the indicator convey at a glance what it is measuring, and how the measurement is derived? PIs should communicate clearly to the public what the organization is doing. Is the PI precise and unambiguous?</w:t>
      </w:r>
    </w:p>
    <w:p>
      <w:pPr>
        <w:spacing w:after="0" w:line="360" w:lineRule="auto"/>
        <w:jc w:val="both"/>
        <w:rPr>
          <w:sz w:val="24"/>
        </w:rPr>
        <w:sectPr>
          <w:pgSz w:w="12240" w:h="15840"/>
          <w:pgMar w:header="0" w:footer="1036" w:top="1360" w:bottom="1220" w:left="1200" w:right="600"/>
        </w:sectPr>
      </w:pPr>
    </w:p>
    <w:p>
      <w:pPr>
        <w:pStyle w:val="ListParagraph"/>
        <w:numPr>
          <w:ilvl w:val="0"/>
          <w:numId w:val="19"/>
        </w:numPr>
        <w:tabs>
          <w:tab w:pos="958" w:val="left" w:leader="none"/>
          <w:tab w:pos="960" w:val="left" w:leader="none"/>
        </w:tabs>
        <w:spacing w:line="360" w:lineRule="auto" w:before="74" w:after="0"/>
        <w:ind w:left="960" w:right="841" w:hanging="555"/>
        <w:jc w:val="both"/>
        <w:rPr>
          <w:sz w:val="24"/>
        </w:rPr>
      </w:pPr>
      <w:r>
        <w:rPr>
          <w:b/>
          <w:sz w:val="24"/>
        </w:rPr>
        <w:t>Measurable: </w:t>
      </w:r>
      <w:r>
        <w:rPr>
          <w:sz w:val="24"/>
        </w:rPr>
        <w:t>Can the measurement be expressed as an objective value (e.g., number of persons or percentage of the working population housed)? Do reliable data exist? Can they be easily collected?</w:t>
      </w:r>
      <w:r>
        <w:rPr>
          <w:spacing w:val="40"/>
          <w:sz w:val="24"/>
        </w:rPr>
        <w:t> </w:t>
      </w:r>
      <w:r>
        <w:rPr>
          <w:sz w:val="24"/>
        </w:rPr>
        <w:t>Is the PI appropriate to the subject?</w:t>
      </w:r>
    </w:p>
    <w:p>
      <w:pPr>
        <w:pStyle w:val="ListParagraph"/>
        <w:numPr>
          <w:ilvl w:val="0"/>
          <w:numId w:val="19"/>
        </w:numPr>
        <w:tabs>
          <w:tab w:pos="957" w:val="left" w:leader="none"/>
          <w:tab w:pos="960" w:val="left" w:leader="none"/>
        </w:tabs>
        <w:spacing w:line="360" w:lineRule="auto" w:before="0" w:after="0"/>
        <w:ind w:left="960" w:right="841" w:hanging="620"/>
        <w:jc w:val="both"/>
        <w:rPr>
          <w:sz w:val="24"/>
        </w:rPr>
      </w:pPr>
      <w:r>
        <w:rPr>
          <w:b/>
          <w:sz w:val="24"/>
        </w:rPr>
        <w:t>Achievable: </w:t>
      </w:r>
      <w:r>
        <w:rPr>
          <w:sz w:val="24"/>
        </w:rPr>
        <w:t>Does the indicator measure something within the program or activity‘s manageable control? Is the PI of a reasonable cost?</w:t>
      </w:r>
    </w:p>
    <w:p>
      <w:pPr>
        <w:pStyle w:val="ListParagraph"/>
        <w:numPr>
          <w:ilvl w:val="0"/>
          <w:numId w:val="19"/>
        </w:numPr>
        <w:tabs>
          <w:tab w:pos="958" w:val="left" w:leader="none"/>
          <w:tab w:pos="960" w:val="left" w:leader="none"/>
        </w:tabs>
        <w:spacing w:line="360" w:lineRule="auto" w:before="0" w:after="0"/>
        <w:ind w:left="960" w:right="840" w:hanging="608"/>
        <w:jc w:val="both"/>
        <w:rPr>
          <w:sz w:val="24"/>
        </w:rPr>
      </w:pPr>
      <w:r>
        <w:rPr>
          <w:b/>
          <w:sz w:val="24"/>
        </w:rPr>
        <w:t>Relevant: </w:t>
      </w:r>
      <w:r>
        <w:rPr>
          <w:sz w:val="24"/>
        </w:rPr>
        <w:t>Does the indicator measure the most important result of the activity? Does the PI serve to assess performance?</w:t>
      </w:r>
    </w:p>
    <w:p>
      <w:pPr>
        <w:pStyle w:val="ListParagraph"/>
        <w:numPr>
          <w:ilvl w:val="0"/>
          <w:numId w:val="19"/>
        </w:numPr>
        <w:tabs>
          <w:tab w:pos="960" w:val="left" w:leader="none"/>
        </w:tabs>
        <w:spacing w:line="360" w:lineRule="auto" w:before="0" w:after="0"/>
        <w:ind w:left="960" w:right="841" w:hanging="540"/>
        <w:jc w:val="both"/>
        <w:rPr>
          <w:sz w:val="24"/>
        </w:rPr>
      </w:pPr>
      <w:r>
        <w:rPr>
          <w:b/>
          <w:sz w:val="24"/>
        </w:rPr>
        <w:t>Time-bound or Time phased or Trackable: </w:t>
      </w:r>
      <w:r>
        <w:rPr>
          <w:sz w:val="24"/>
        </w:rPr>
        <w:t>Is there a deadline for achieving the performance indicator? Are data reported at sufficiently regular intervals to support tracking and management decision making?</w:t>
      </w:r>
    </w:p>
    <w:p>
      <w:pPr>
        <w:pStyle w:val="BodyText"/>
        <w:spacing w:before="138"/>
      </w:pPr>
    </w:p>
    <w:p>
      <w:pPr>
        <w:pStyle w:val="BodyText"/>
        <w:spacing w:line="360" w:lineRule="auto"/>
        <w:ind w:left="240" w:right="836"/>
        <w:jc w:val="both"/>
      </w:pPr>
      <w:r>
        <w:rPr/>
        <w:t>Different sources offer different definitions or characteristics for the ―SMART‖ acronym, because in reality, there are more than five issues to consider when evaluating the merits of one performance measure or another. For instance, Schiavo-Campo and Tommasi (1999) opine that the quality of PIs must align with the CREAM test, which means PIs should be clear, relevant, economic, adequate and monitorable. It helps, however, to have the above criteria as a handy checklist when exploring and developing PIs.</w:t>
      </w:r>
    </w:p>
    <w:p>
      <w:pPr>
        <w:pStyle w:val="BodyText"/>
        <w:spacing w:before="243"/>
      </w:pPr>
    </w:p>
    <w:p>
      <w:pPr>
        <w:pStyle w:val="BodyText"/>
        <w:spacing w:line="360" w:lineRule="auto"/>
        <w:ind w:left="240" w:right="836"/>
        <w:jc w:val="both"/>
      </w:pPr>
      <w:r>
        <w:rPr/>
        <w:t>PIs come in many combinations and permutations. For instance, Reh (2010) suggest that, undoubtedly, Key performance indicators define a set of values against which to measure, but there is a raw set of values, which are fed to systems in charge of summarizing the information. These raw set of values are called </w:t>
      </w:r>
      <w:r>
        <w:rPr>
          <w:i/>
        </w:rPr>
        <w:t>indicators</w:t>
      </w:r>
      <w:r>
        <w:rPr/>
        <w:t>. Indicators identifiable and marked as possible candidates for PIs can be summarized into the following sub-categories:</w:t>
      </w:r>
    </w:p>
    <w:p>
      <w:pPr>
        <w:pStyle w:val="ListParagraph"/>
        <w:numPr>
          <w:ilvl w:val="0"/>
          <w:numId w:val="20"/>
        </w:numPr>
        <w:tabs>
          <w:tab w:pos="958" w:val="left" w:leader="none"/>
        </w:tabs>
        <w:spacing w:line="275" w:lineRule="exact" w:before="0" w:after="0"/>
        <w:ind w:left="958" w:right="0" w:hanging="464"/>
        <w:jc w:val="both"/>
        <w:rPr>
          <w:sz w:val="24"/>
        </w:rPr>
      </w:pPr>
      <w:r>
        <w:rPr>
          <w:sz w:val="24"/>
        </w:rPr>
        <w:t>Quantitative</w:t>
      </w:r>
      <w:r>
        <w:rPr>
          <w:spacing w:val="-1"/>
          <w:sz w:val="24"/>
        </w:rPr>
        <w:t> </w:t>
      </w:r>
      <w:r>
        <w:rPr>
          <w:sz w:val="24"/>
        </w:rPr>
        <w:t>indicators:</w:t>
      </w:r>
      <w:r>
        <w:rPr>
          <w:spacing w:val="-1"/>
          <w:sz w:val="24"/>
        </w:rPr>
        <w:t> </w:t>
      </w:r>
      <w:r>
        <w:rPr>
          <w:sz w:val="24"/>
        </w:rPr>
        <w:t>that can</w:t>
      </w:r>
      <w:r>
        <w:rPr>
          <w:spacing w:val="-1"/>
          <w:sz w:val="24"/>
        </w:rPr>
        <w:t> </w:t>
      </w:r>
      <w:r>
        <w:rPr>
          <w:sz w:val="24"/>
        </w:rPr>
        <w:t>be</w:t>
      </w:r>
      <w:r>
        <w:rPr>
          <w:spacing w:val="-2"/>
          <w:sz w:val="24"/>
        </w:rPr>
        <w:t> </w:t>
      </w:r>
      <w:r>
        <w:rPr>
          <w:sz w:val="24"/>
        </w:rPr>
        <w:t>presented with</w:t>
      </w:r>
      <w:r>
        <w:rPr>
          <w:spacing w:val="-1"/>
          <w:sz w:val="24"/>
        </w:rPr>
        <w:t> </w:t>
      </w:r>
      <w:r>
        <w:rPr>
          <w:sz w:val="24"/>
        </w:rPr>
        <w:t>a </w:t>
      </w:r>
      <w:r>
        <w:rPr>
          <w:spacing w:val="-2"/>
          <w:sz w:val="24"/>
        </w:rPr>
        <w:t>number.</w:t>
      </w:r>
    </w:p>
    <w:p>
      <w:pPr>
        <w:pStyle w:val="ListParagraph"/>
        <w:numPr>
          <w:ilvl w:val="0"/>
          <w:numId w:val="20"/>
        </w:numPr>
        <w:tabs>
          <w:tab w:pos="960" w:val="left" w:leader="none"/>
        </w:tabs>
        <w:spacing w:line="240" w:lineRule="auto" w:before="139" w:after="0"/>
        <w:ind w:left="960" w:right="0" w:hanging="521"/>
        <w:jc w:val="left"/>
        <w:rPr>
          <w:sz w:val="24"/>
        </w:rPr>
      </w:pPr>
      <w:r>
        <w:rPr>
          <w:sz w:val="24"/>
        </w:rPr>
        <w:t>Qualitative</w:t>
      </w:r>
      <w:r>
        <w:rPr>
          <w:spacing w:val="-4"/>
          <w:sz w:val="24"/>
        </w:rPr>
        <w:t> </w:t>
      </w:r>
      <w:r>
        <w:rPr>
          <w:sz w:val="24"/>
        </w:rPr>
        <w:t>indicators:</w:t>
      </w:r>
      <w:r>
        <w:rPr>
          <w:spacing w:val="-1"/>
          <w:sz w:val="24"/>
        </w:rPr>
        <w:t> </w:t>
      </w:r>
      <w:r>
        <w:rPr>
          <w:sz w:val="24"/>
        </w:rPr>
        <w:t>that</w:t>
      </w:r>
      <w:r>
        <w:rPr>
          <w:spacing w:val="-1"/>
          <w:sz w:val="24"/>
        </w:rPr>
        <w:t> </w:t>
      </w:r>
      <w:r>
        <w:rPr>
          <w:sz w:val="24"/>
        </w:rPr>
        <w:t>can't</w:t>
      </w:r>
      <w:r>
        <w:rPr>
          <w:spacing w:val="-1"/>
          <w:sz w:val="24"/>
        </w:rPr>
        <w:t> </w:t>
      </w:r>
      <w:r>
        <w:rPr>
          <w:sz w:val="24"/>
        </w:rPr>
        <w:t>be</w:t>
      </w:r>
      <w:r>
        <w:rPr>
          <w:spacing w:val="-1"/>
          <w:sz w:val="24"/>
        </w:rPr>
        <w:t> </w:t>
      </w:r>
      <w:r>
        <w:rPr>
          <w:sz w:val="24"/>
        </w:rPr>
        <w:t>presented as</w:t>
      </w:r>
      <w:r>
        <w:rPr>
          <w:spacing w:val="-1"/>
          <w:sz w:val="24"/>
        </w:rPr>
        <w:t> </w:t>
      </w:r>
      <w:r>
        <w:rPr>
          <w:sz w:val="24"/>
        </w:rPr>
        <w:t>a </w:t>
      </w:r>
      <w:r>
        <w:rPr>
          <w:spacing w:val="-2"/>
          <w:sz w:val="24"/>
        </w:rPr>
        <w:t>numerically,</w:t>
      </w:r>
    </w:p>
    <w:p>
      <w:pPr>
        <w:pStyle w:val="ListParagraph"/>
        <w:numPr>
          <w:ilvl w:val="0"/>
          <w:numId w:val="20"/>
        </w:numPr>
        <w:tabs>
          <w:tab w:pos="960" w:val="left" w:leader="none"/>
        </w:tabs>
        <w:spacing w:line="240" w:lineRule="auto" w:before="138" w:after="0"/>
        <w:ind w:left="960" w:right="0" w:hanging="576"/>
        <w:jc w:val="left"/>
        <w:rPr>
          <w:sz w:val="24"/>
        </w:rPr>
      </w:pPr>
      <w:r>
        <w:rPr>
          <w:sz w:val="24"/>
        </w:rPr>
        <w:t>Leading</w:t>
      </w:r>
      <w:r>
        <w:rPr>
          <w:spacing w:val="-6"/>
          <w:sz w:val="24"/>
        </w:rPr>
        <w:t> </w:t>
      </w:r>
      <w:r>
        <w:rPr>
          <w:sz w:val="24"/>
        </w:rPr>
        <w:t>indicators:</w:t>
      </w:r>
      <w:r>
        <w:rPr>
          <w:spacing w:val="59"/>
          <w:sz w:val="24"/>
        </w:rPr>
        <w:t> </w:t>
      </w:r>
      <w:r>
        <w:rPr>
          <w:sz w:val="24"/>
        </w:rPr>
        <w:t>that</w:t>
      </w:r>
      <w:r>
        <w:rPr>
          <w:spacing w:val="2"/>
          <w:sz w:val="24"/>
        </w:rPr>
        <w:t> </w:t>
      </w:r>
      <w:r>
        <w:rPr>
          <w:sz w:val="24"/>
        </w:rPr>
        <w:t>can</w:t>
      </w:r>
      <w:r>
        <w:rPr>
          <w:spacing w:val="-1"/>
          <w:sz w:val="24"/>
        </w:rPr>
        <w:t> </w:t>
      </w:r>
      <w:r>
        <w:rPr>
          <w:sz w:val="24"/>
        </w:rPr>
        <w:t>predict the</w:t>
      </w:r>
      <w:r>
        <w:rPr>
          <w:spacing w:val="-2"/>
          <w:sz w:val="24"/>
        </w:rPr>
        <w:t> </w:t>
      </w:r>
      <w:r>
        <w:rPr>
          <w:sz w:val="24"/>
        </w:rPr>
        <w:t>outcome</w:t>
      </w:r>
      <w:r>
        <w:rPr>
          <w:spacing w:val="1"/>
          <w:sz w:val="24"/>
        </w:rPr>
        <w:t> </w:t>
      </w:r>
      <w:r>
        <w:rPr>
          <w:sz w:val="24"/>
        </w:rPr>
        <w:t>of</w:t>
      </w:r>
      <w:r>
        <w:rPr>
          <w:spacing w:val="-2"/>
          <w:sz w:val="24"/>
        </w:rPr>
        <w:t> </w:t>
      </w:r>
      <w:r>
        <w:rPr>
          <w:sz w:val="24"/>
        </w:rPr>
        <w:t>a</w:t>
      </w:r>
      <w:r>
        <w:rPr>
          <w:spacing w:val="-1"/>
          <w:sz w:val="24"/>
        </w:rPr>
        <w:t> </w:t>
      </w:r>
      <w:r>
        <w:rPr>
          <w:sz w:val="24"/>
        </w:rPr>
        <w:t>process</w:t>
      </w:r>
      <w:r>
        <w:rPr>
          <w:spacing w:val="1"/>
          <w:sz w:val="24"/>
        </w:rPr>
        <w:t> </w:t>
      </w:r>
      <w:r>
        <w:rPr>
          <w:sz w:val="24"/>
        </w:rPr>
        <w:t>or</w:t>
      </w:r>
      <w:r>
        <w:rPr>
          <w:spacing w:val="-1"/>
          <w:sz w:val="24"/>
        </w:rPr>
        <w:t> </w:t>
      </w:r>
      <w:r>
        <w:rPr>
          <w:spacing w:val="-2"/>
          <w:sz w:val="24"/>
        </w:rPr>
        <w:t>activity.</w:t>
      </w:r>
    </w:p>
    <w:p>
      <w:pPr>
        <w:pStyle w:val="ListParagraph"/>
        <w:numPr>
          <w:ilvl w:val="0"/>
          <w:numId w:val="20"/>
        </w:numPr>
        <w:tabs>
          <w:tab w:pos="960" w:val="left" w:leader="none"/>
        </w:tabs>
        <w:spacing w:line="240" w:lineRule="auto" w:before="139" w:after="0"/>
        <w:ind w:left="960" w:right="0" w:hanging="566"/>
        <w:jc w:val="left"/>
        <w:rPr>
          <w:sz w:val="24"/>
        </w:rPr>
      </w:pPr>
      <w:r>
        <w:rPr>
          <w:sz w:val="24"/>
        </w:rPr>
        <w:t>Lagging</w:t>
      </w:r>
      <w:r>
        <w:rPr>
          <w:spacing w:val="-6"/>
          <w:sz w:val="24"/>
        </w:rPr>
        <w:t> </w:t>
      </w:r>
      <w:r>
        <w:rPr>
          <w:sz w:val="24"/>
        </w:rPr>
        <w:t>indicators:</w:t>
      </w:r>
      <w:r>
        <w:rPr>
          <w:spacing w:val="58"/>
          <w:sz w:val="24"/>
        </w:rPr>
        <w:t> </w:t>
      </w:r>
      <w:r>
        <w:rPr>
          <w:sz w:val="24"/>
        </w:rPr>
        <w:t>that</w:t>
      </w:r>
      <w:r>
        <w:rPr>
          <w:spacing w:val="-1"/>
          <w:sz w:val="24"/>
        </w:rPr>
        <w:t> </w:t>
      </w:r>
      <w:r>
        <w:rPr>
          <w:sz w:val="24"/>
        </w:rPr>
        <w:t>presents</w:t>
      </w:r>
      <w:r>
        <w:rPr>
          <w:spacing w:val="-1"/>
          <w:sz w:val="24"/>
        </w:rPr>
        <w:t> </w:t>
      </w:r>
      <w:r>
        <w:rPr>
          <w:sz w:val="24"/>
        </w:rPr>
        <w:t>the</w:t>
      </w:r>
      <w:r>
        <w:rPr>
          <w:spacing w:val="-2"/>
          <w:sz w:val="24"/>
        </w:rPr>
        <w:t> </w:t>
      </w:r>
      <w:r>
        <w:rPr>
          <w:sz w:val="24"/>
        </w:rPr>
        <w:t>activity‘s</w:t>
      </w:r>
      <w:r>
        <w:rPr>
          <w:spacing w:val="-1"/>
          <w:sz w:val="24"/>
        </w:rPr>
        <w:t> </w:t>
      </w:r>
      <w:r>
        <w:rPr>
          <w:sz w:val="24"/>
        </w:rPr>
        <w:t>success</w:t>
      </w:r>
      <w:r>
        <w:rPr>
          <w:spacing w:val="-1"/>
          <w:sz w:val="24"/>
        </w:rPr>
        <w:t> </w:t>
      </w:r>
      <w:r>
        <w:rPr>
          <w:sz w:val="24"/>
        </w:rPr>
        <w:t>or </w:t>
      </w:r>
      <w:r>
        <w:rPr>
          <w:spacing w:val="-2"/>
          <w:sz w:val="24"/>
        </w:rPr>
        <w:t>failure</w:t>
      </w:r>
    </w:p>
    <w:p>
      <w:pPr>
        <w:pStyle w:val="ListParagraph"/>
        <w:numPr>
          <w:ilvl w:val="0"/>
          <w:numId w:val="20"/>
        </w:numPr>
        <w:tabs>
          <w:tab w:pos="960" w:val="left" w:leader="none"/>
        </w:tabs>
        <w:spacing w:line="360" w:lineRule="auto" w:before="137" w:after="0"/>
        <w:ind w:left="960" w:right="843" w:hanging="509"/>
        <w:jc w:val="left"/>
        <w:rPr>
          <w:sz w:val="24"/>
        </w:rPr>
      </w:pPr>
      <w:r>
        <w:rPr>
          <w:sz w:val="24"/>
        </w:rPr>
        <w:t>Input</w:t>
      </w:r>
      <w:r>
        <w:rPr>
          <w:spacing w:val="-2"/>
          <w:sz w:val="24"/>
        </w:rPr>
        <w:t> </w:t>
      </w:r>
      <w:r>
        <w:rPr>
          <w:sz w:val="24"/>
        </w:rPr>
        <w:t>indicators:</w:t>
      </w:r>
      <w:r>
        <w:rPr>
          <w:spacing w:val="-2"/>
          <w:sz w:val="24"/>
        </w:rPr>
        <w:t> </w:t>
      </w:r>
      <w:r>
        <w:rPr>
          <w:sz w:val="24"/>
        </w:rPr>
        <w:t>that</w:t>
      </w:r>
      <w:r>
        <w:rPr>
          <w:spacing w:val="-2"/>
          <w:sz w:val="24"/>
        </w:rPr>
        <w:t> </w:t>
      </w:r>
      <w:r>
        <w:rPr>
          <w:sz w:val="24"/>
        </w:rPr>
        <w:t>measure</w:t>
      </w:r>
      <w:r>
        <w:rPr>
          <w:spacing w:val="-4"/>
          <w:sz w:val="24"/>
        </w:rPr>
        <w:t> </w:t>
      </w:r>
      <w:r>
        <w:rPr>
          <w:sz w:val="24"/>
        </w:rPr>
        <w:t>the</w:t>
      </w:r>
      <w:r>
        <w:rPr>
          <w:spacing w:val="-3"/>
          <w:sz w:val="24"/>
        </w:rPr>
        <w:t> </w:t>
      </w:r>
      <w:r>
        <w:rPr>
          <w:sz w:val="24"/>
        </w:rPr>
        <w:t>amount</w:t>
      </w:r>
      <w:r>
        <w:rPr>
          <w:spacing w:val="-2"/>
          <w:sz w:val="24"/>
        </w:rPr>
        <w:t> </w:t>
      </w:r>
      <w:r>
        <w:rPr>
          <w:sz w:val="24"/>
        </w:rPr>
        <w:t>of</w:t>
      </w:r>
      <w:r>
        <w:rPr>
          <w:spacing w:val="-3"/>
          <w:sz w:val="24"/>
        </w:rPr>
        <w:t> </w:t>
      </w:r>
      <w:r>
        <w:rPr>
          <w:sz w:val="24"/>
        </w:rPr>
        <w:t>resources</w:t>
      </w:r>
      <w:r>
        <w:rPr>
          <w:spacing w:val="-2"/>
          <w:sz w:val="24"/>
        </w:rPr>
        <w:t> </w:t>
      </w:r>
      <w:r>
        <w:rPr>
          <w:sz w:val="24"/>
        </w:rPr>
        <w:t>consumed</w:t>
      </w:r>
      <w:r>
        <w:rPr>
          <w:spacing w:val="-2"/>
          <w:sz w:val="24"/>
        </w:rPr>
        <w:t> </w:t>
      </w:r>
      <w:r>
        <w:rPr>
          <w:sz w:val="24"/>
        </w:rPr>
        <w:t>during</w:t>
      </w:r>
      <w:r>
        <w:rPr>
          <w:spacing w:val="-5"/>
          <w:sz w:val="24"/>
        </w:rPr>
        <w:t> </w:t>
      </w:r>
      <w:r>
        <w:rPr>
          <w:sz w:val="24"/>
        </w:rPr>
        <w:t>the</w:t>
      </w:r>
      <w:r>
        <w:rPr>
          <w:spacing w:val="-3"/>
          <w:sz w:val="24"/>
        </w:rPr>
        <w:t> </w:t>
      </w:r>
      <w:r>
        <w:rPr>
          <w:sz w:val="24"/>
        </w:rPr>
        <w:t>generation</w:t>
      </w:r>
      <w:r>
        <w:rPr>
          <w:spacing w:val="-2"/>
          <w:sz w:val="24"/>
        </w:rPr>
        <w:t> </w:t>
      </w:r>
      <w:r>
        <w:rPr>
          <w:sz w:val="24"/>
        </w:rPr>
        <w:t>of the outcome</w:t>
      </w:r>
    </w:p>
    <w:p>
      <w:pPr>
        <w:pStyle w:val="ListParagraph"/>
        <w:numPr>
          <w:ilvl w:val="0"/>
          <w:numId w:val="20"/>
        </w:numPr>
        <w:tabs>
          <w:tab w:pos="960" w:val="left" w:leader="none"/>
        </w:tabs>
        <w:spacing w:line="240" w:lineRule="auto" w:before="0" w:after="0"/>
        <w:ind w:left="960" w:right="0" w:hanging="566"/>
        <w:jc w:val="left"/>
        <w:rPr>
          <w:sz w:val="24"/>
        </w:rPr>
      </w:pPr>
      <w:r>
        <w:rPr>
          <w:sz w:val="24"/>
        </w:rPr>
        <w:t>Process</w:t>
      </w:r>
      <w:r>
        <w:rPr>
          <w:spacing w:val="-3"/>
          <w:sz w:val="24"/>
        </w:rPr>
        <w:t> </w:t>
      </w:r>
      <w:r>
        <w:rPr>
          <w:sz w:val="24"/>
        </w:rPr>
        <w:t>indicators:</w:t>
      </w:r>
      <w:r>
        <w:rPr>
          <w:spacing w:val="60"/>
          <w:sz w:val="24"/>
        </w:rPr>
        <w:t> </w:t>
      </w:r>
      <w:r>
        <w:rPr>
          <w:sz w:val="24"/>
        </w:rPr>
        <w:t>that</w:t>
      </w:r>
      <w:r>
        <w:rPr>
          <w:spacing w:val="-1"/>
          <w:sz w:val="24"/>
        </w:rPr>
        <w:t> </w:t>
      </w:r>
      <w:r>
        <w:rPr>
          <w:sz w:val="24"/>
        </w:rPr>
        <w:t>represent the efficiency</w:t>
      </w:r>
      <w:r>
        <w:rPr>
          <w:spacing w:val="-5"/>
          <w:sz w:val="24"/>
        </w:rPr>
        <w:t> </w:t>
      </w:r>
      <w:r>
        <w:rPr>
          <w:sz w:val="24"/>
        </w:rPr>
        <w:t>or the productivity</w:t>
      </w:r>
      <w:r>
        <w:rPr>
          <w:spacing w:val="-5"/>
          <w:sz w:val="24"/>
        </w:rPr>
        <w:t> </w:t>
      </w:r>
      <w:r>
        <w:rPr>
          <w:sz w:val="24"/>
        </w:rPr>
        <w:t>of</w:t>
      </w:r>
      <w:r>
        <w:rPr>
          <w:spacing w:val="-1"/>
          <w:sz w:val="24"/>
        </w:rPr>
        <w:t> </w:t>
      </w:r>
      <w:r>
        <w:rPr>
          <w:sz w:val="24"/>
        </w:rPr>
        <w:t>the</w:t>
      </w:r>
      <w:r>
        <w:rPr>
          <w:spacing w:val="-1"/>
          <w:sz w:val="24"/>
        </w:rPr>
        <w:t> </w:t>
      </w:r>
      <w:r>
        <w:rPr>
          <w:spacing w:val="-2"/>
          <w:sz w:val="24"/>
        </w:rPr>
        <w:t>process</w:t>
      </w:r>
    </w:p>
    <w:p>
      <w:pPr>
        <w:pStyle w:val="ListParagraph"/>
        <w:numPr>
          <w:ilvl w:val="0"/>
          <w:numId w:val="20"/>
        </w:numPr>
        <w:tabs>
          <w:tab w:pos="960" w:val="left" w:leader="none"/>
        </w:tabs>
        <w:spacing w:line="240" w:lineRule="auto" w:before="139" w:after="0"/>
        <w:ind w:left="960" w:right="0" w:hanging="622"/>
        <w:jc w:val="left"/>
        <w:rPr>
          <w:sz w:val="24"/>
        </w:rPr>
      </w:pPr>
      <w:r>
        <w:rPr>
          <w:sz w:val="24"/>
        </w:rPr>
        <w:t>Output</w:t>
      </w:r>
      <w:r>
        <w:rPr>
          <w:spacing w:val="-3"/>
          <w:sz w:val="24"/>
        </w:rPr>
        <w:t> </w:t>
      </w:r>
      <w:r>
        <w:rPr>
          <w:sz w:val="24"/>
        </w:rPr>
        <w:t>indicators: that</w:t>
      </w:r>
      <w:r>
        <w:rPr>
          <w:spacing w:val="-1"/>
          <w:sz w:val="24"/>
        </w:rPr>
        <w:t> </w:t>
      </w:r>
      <w:r>
        <w:rPr>
          <w:sz w:val="24"/>
        </w:rPr>
        <w:t>reflect the</w:t>
      </w:r>
      <w:r>
        <w:rPr>
          <w:spacing w:val="-2"/>
          <w:sz w:val="24"/>
        </w:rPr>
        <w:t> </w:t>
      </w:r>
      <w:r>
        <w:rPr>
          <w:sz w:val="24"/>
        </w:rPr>
        <w:t>outcome</w:t>
      </w:r>
      <w:r>
        <w:rPr>
          <w:spacing w:val="-2"/>
          <w:sz w:val="24"/>
        </w:rPr>
        <w:t> </w:t>
      </w:r>
      <w:r>
        <w:rPr>
          <w:sz w:val="24"/>
        </w:rPr>
        <w:t>or</w:t>
      </w:r>
      <w:r>
        <w:rPr>
          <w:spacing w:val="-1"/>
          <w:sz w:val="24"/>
        </w:rPr>
        <w:t> </w:t>
      </w:r>
      <w:r>
        <w:rPr>
          <w:sz w:val="24"/>
        </w:rPr>
        <w:t>results of</w:t>
      </w:r>
      <w:r>
        <w:rPr>
          <w:spacing w:val="-1"/>
          <w:sz w:val="24"/>
        </w:rPr>
        <w:t> </w:t>
      </w:r>
      <w:r>
        <w:rPr>
          <w:sz w:val="24"/>
        </w:rPr>
        <w:t>the</w:t>
      </w:r>
      <w:r>
        <w:rPr>
          <w:spacing w:val="-1"/>
          <w:sz w:val="24"/>
        </w:rPr>
        <w:t> </w:t>
      </w:r>
      <w:r>
        <w:rPr>
          <w:sz w:val="24"/>
        </w:rPr>
        <w:t>process</w:t>
      </w:r>
      <w:r>
        <w:rPr>
          <w:spacing w:val="2"/>
          <w:sz w:val="24"/>
        </w:rPr>
        <w:t> </w:t>
      </w:r>
      <w:r>
        <w:rPr>
          <w:spacing w:val="-2"/>
          <w:sz w:val="24"/>
        </w:rPr>
        <w:t>activities</w:t>
      </w:r>
    </w:p>
    <w:p>
      <w:pPr>
        <w:spacing w:after="0" w:line="240" w:lineRule="auto"/>
        <w:jc w:val="left"/>
        <w:rPr>
          <w:sz w:val="24"/>
        </w:rPr>
        <w:sectPr>
          <w:pgSz w:w="12240" w:h="15840"/>
          <w:pgMar w:header="0" w:footer="1036" w:top="1360" w:bottom="1220" w:left="1200" w:right="600"/>
        </w:sectPr>
      </w:pPr>
    </w:p>
    <w:p>
      <w:pPr>
        <w:pStyle w:val="ListParagraph"/>
        <w:numPr>
          <w:ilvl w:val="0"/>
          <w:numId w:val="20"/>
        </w:numPr>
        <w:tabs>
          <w:tab w:pos="960" w:val="left" w:leader="none"/>
        </w:tabs>
        <w:spacing w:line="240" w:lineRule="auto" w:before="74" w:after="0"/>
        <w:ind w:left="960" w:right="0" w:hanging="677"/>
        <w:jc w:val="left"/>
        <w:rPr>
          <w:sz w:val="24"/>
        </w:rPr>
      </w:pPr>
      <w:r>
        <w:rPr>
          <w:sz w:val="24"/>
        </w:rPr>
        <w:t>Practical</w:t>
      </w:r>
      <w:r>
        <w:rPr>
          <w:spacing w:val="-4"/>
          <w:sz w:val="24"/>
        </w:rPr>
        <w:t> </w:t>
      </w:r>
      <w:r>
        <w:rPr>
          <w:sz w:val="24"/>
        </w:rPr>
        <w:t>indicators:</w:t>
      </w:r>
      <w:r>
        <w:rPr>
          <w:spacing w:val="57"/>
          <w:sz w:val="24"/>
        </w:rPr>
        <w:t> </w:t>
      </w:r>
      <w:r>
        <w:rPr>
          <w:sz w:val="24"/>
        </w:rPr>
        <w:t>that interface</w:t>
      </w:r>
      <w:r>
        <w:rPr>
          <w:spacing w:val="-3"/>
          <w:sz w:val="24"/>
        </w:rPr>
        <w:t> </w:t>
      </w:r>
      <w:r>
        <w:rPr>
          <w:sz w:val="24"/>
        </w:rPr>
        <w:t>with</w:t>
      </w:r>
      <w:r>
        <w:rPr>
          <w:spacing w:val="-1"/>
          <w:sz w:val="24"/>
        </w:rPr>
        <w:t> </w:t>
      </w:r>
      <w:r>
        <w:rPr>
          <w:sz w:val="24"/>
        </w:rPr>
        <w:t>existing</w:t>
      </w:r>
      <w:r>
        <w:rPr>
          <w:spacing w:val="-4"/>
          <w:sz w:val="24"/>
        </w:rPr>
        <w:t> </w:t>
      </w:r>
      <w:r>
        <w:rPr>
          <w:sz w:val="24"/>
        </w:rPr>
        <w:t>organization‘s </w:t>
      </w:r>
      <w:r>
        <w:rPr>
          <w:spacing w:val="-2"/>
          <w:sz w:val="24"/>
        </w:rPr>
        <w:t>processes.</w:t>
      </w:r>
    </w:p>
    <w:p>
      <w:pPr>
        <w:pStyle w:val="ListParagraph"/>
        <w:numPr>
          <w:ilvl w:val="0"/>
          <w:numId w:val="20"/>
        </w:numPr>
        <w:tabs>
          <w:tab w:pos="960" w:val="left" w:leader="none"/>
        </w:tabs>
        <w:spacing w:line="240" w:lineRule="auto" w:before="137" w:after="0"/>
        <w:ind w:left="960" w:right="0" w:hanging="566"/>
        <w:jc w:val="left"/>
        <w:rPr>
          <w:sz w:val="24"/>
        </w:rPr>
      </w:pPr>
      <w:r>
        <w:rPr>
          <w:sz w:val="24"/>
        </w:rPr>
        <w:t>Directional</w:t>
      </w:r>
      <w:r>
        <w:rPr>
          <w:spacing w:val="-1"/>
          <w:sz w:val="24"/>
        </w:rPr>
        <w:t> </w:t>
      </w:r>
      <w:r>
        <w:rPr>
          <w:sz w:val="24"/>
        </w:rPr>
        <w:t>indicators:</w:t>
      </w:r>
      <w:r>
        <w:rPr>
          <w:spacing w:val="-2"/>
          <w:sz w:val="24"/>
        </w:rPr>
        <w:t> </w:t>
      </w:r>
      <w:r>
        <w:rPr>
          <w:sz w:val="24"/>
        </w:rPr>
        <w:t>specifying</w:t>
      </w:r>
      <w:r>
        <w:rPr>
          <w:spacing w:val="-2"/>
          <w:sz w:val="24"/>
        </w:rPr>
        <w:t> </w:t>
      </w:r>
      <w:r>
        <w:rPr>
          <w:sz w:val="24"/>
        </w:rPr>
        <w:t>whether</w:t>
      </w:r>
      <w:r>
        <w:rPr>
          <w:spacing w:val="-1"/>
          <w:sz w:val="24"/>
        </w:rPr>
        <w:t> </w:t>
      </w:r>
      <w:r>
        <w:rPr>
          <w:sz w:val="24"/>
        </w:rPr>
        <w:t>or</w:t>
      </w:r>
      <w:r>
        <w:rPr>
          <w:spacing w:val="-3"/>
          <w:sz w:val="24"/>
        </w:rPr>
        <w:t> </w:t>
      </w:r>
      <w:r>
        <w:rPr>
          <w:sz w:val="24"/>
        </w:rPr>
        <w:t>not</w:t>
      </w:r>
      <w:r>
        <w:rPr>
          <w:spacing w:val="-1"/>
          <w:sz w:val="24"/>
        </w:rPr>
        <w:t> </w:t>
      </w:r>
      <w:r>
        <w:rPr>
          <w:sz w:val="24"/>
        </w:rPr>
        <w:t>an</w:t>
      </w:r>
      <w:r>
        <w:rPr>
          <w:spacing w:val="-1"/>
          <w:sz w:val="24"/>
        </w:rPr>
        <w:t> </w:t>
      </w:r>
      <w:r>
        <w:rPr>
          <w:sz w:val="24"/>
        </w:rPr>
        <w:t>organization</w:t>
      </w:r>
      <w:r>
        <w:rPr>
          <w:spacing w:val="-1"/>
          <w:sz w:val="24"/>
        </w:rPr>
        <w:t> </w:t>
      </w:r>
      <w:r>
        <w:rPr>
          <w:sz w:val="24"/>
        </w:rPr>
        <w:t>is</w:t>
      </w:r>
      <w:r>
        <w:rPr>
          <w:spacing w:val="-1"/>
          <w:sz w:val="24"/>
        </w:rPr>
        <w:t> </w:t>
      </w:r>
      <w:r>
        <w:rPr>
          <w:sz w:val="24"/>
        </w:rPr>
        <w:t>getting</w:t>
      </w:r>
      <w:r>
        <w:rPr>
          <w:spacing w:val="-1"/>
          <w:sz w:val="24"/>
        </w:rPr>
        <w:t> </w:t>
      </w:r>
      <w:r>
        <w:rPr>
          <w:spacing w:val="-2"/>
          <w:sz w:val="24"/>
        </w:rPr>
        <w:t>better.</w:t>
      </w:r>
    </w:p>
    <w:p>
      <w:pPr>
        <w:pStyle w:val="ListParagraph"/>
        <w:numPr>
          <w:ilvl w:val="0"/>
          <w:numId w:val="20"/>
        </w:numPr>
        <w:tabs>
          <w:tab w:pos="960" w:val="left" w:leader="none"/>
        </w:tabs>
        <w:spacing w:line="240" w:lineRule="auto" w:before="139" w:after="0"/>
        <w:ind w:left="960" w:right="0" w:hanging="509"/>
        <w:jc w:val="left"/>
        <w:rPr>
          <w:sz w:val="24"/>
        </w:rPr>
      </w:pPr>
      <w:r>
        <w:rPr>
          <w:sz w:val="24"/>
        </w:rPr>
        <w:t>Actionable</w:t>
      </w:r>
      <w:r>
        <w:rPr>
          <w:spacing w:val="-3"/>
          <w:sz w:val="24"/>
        </w:rPr>
        <w:t> </w:t>
      </w:r>
      <w:r>
        <w:rPr>
          <w:sz w:val="24"/>
        </w:rPr>
        <w:t>indicators:</w:t>
      </w:r>
      <w:r>
        <w:rPr>
          <w:spacing w:val="59"/>
          <w:sz w:val="24"/>
        </w:rPr>
        <w:t> </w:t>
      </w:r>
      <w:r>
        <w:rPr>
          <w:sz w:val="24"/>
        </w:rPr>
        <w:t>are</w:t>
      </w:r>
      <w:r>
        <w:rPr>
          <w:spacing w:val="-2"/>
          <w:sz w:val="24"/>
        </w:rPr>
        <w:t> </w:t>
      </w:r>
      <w:r>
        <w:rPr>
          <w:sz w:val="24"/>
        </w:rPr>
        <w:t>sufficiently</w:t>
      </w:r>
      <w:r>
        <w:rPr>
          <w:spacing w:val="-5"/>
          <w:sz w:val="24"/>
        </w:rPr>
        <w:t> </w:t>
      </w:r>
      <w:r>
        <w:rPr>
          <w:sz w:val="24"/>
        </w:rPr>
        <w:t>in</w:t>
      </w:r>
      <w:r>
        <w:rPr>
          <w:spacing w:val="-1"/>
          <w:sz w:val="24"/>
        </w:rPr>
        <w:t> </w:t>
      </w:r>
      <w:r>
        <w:rPr>
          <w:sz w:val="24"/>
        </w:rPr>
        <w:t>an organization's</w:t>
      </w:r>
      <w:r>
        <w:rPr>
          <w:spacing w:val="-1"/>
          <w:sz w:val="24"/>
        </w:rPr>
        <w:t> </w:t>
      </w:r>
      <w:r>
        <w:rPr>
          <w:sz w:val="24"/>
        </w:rPr>
        <w:t>control to</w:t>
      </w:r>
      <w:r>
        <w:rPr>
          <w:spacing w:val="-1"/>
          <w:sz w:val="24"/>
        </w:rPr>
        <w:t> </w:t>
      </w:r>
      <w:r>
        <w:rPr>
          <w:sz w:val="24"/>
        </w:rPr>
        <w:t>effect</w:t>
      </w:r>
      <w:r>
        <w:rPr>
          <w:spacing w:val="2"/>
          <w:sz w:val="24"/>
        </w:rPr>
        <w:t> </w:t>
      </w:r>
      <w:r>
        <w:rPr>
          <w:spacing w:val="-2"/>
          <w:sz w:val="24"/>
        </w:rPr>
        <w:t>change.</w:t>
      </w:r>
    </w:p>
    <w:p>
      <w:pPr>
        <w:pStyle w:val="ListParagraph"/>
        <w:numPr>
          <w:ilvl w:val="0"/>
          <w:numId w:val="20"/>
        </w:numPr>
        <w:tabs>
          <w:tab w:pos="960" w:val="left" w:leader="none"/>
        </w:tabs>
        <w:spacing w:line="240" w:lineRule="auto" w:before="137" w:after="0"/>
        <w:ind w:left="960" w:right="0" w:hanging="566"/>
        <w:jc w:val="left"/>
        <w:rPr>
          <w:sz w:val="24"/>
        </w:rPr>
      </w:pPr>
      <w:r>
        <w:rPr>
          <w:sz w:val="24"/>
        </w:rPr>
        <w:t>Financial</w:t>
      </w:r>
      <w:r>
        <w:rPr>
          <w:spacing w:val="-4"/>
          <w:sz w:val="24"/>
        </w:rPr>
        <w:t> </w:t>
      </w:r>
      <w:r>
        <w:rPr>
          <w:sz w:val="24"/>
        </w:rPr>
        <w:t>indicators:</w:t>
      </w:r>
      <w:r>
        <w:rPr>
          <w:spacing w:val="-1"/>
          <w:sz w:val="24"/>
        </w:rPr>
        <w:t> </w:t>
      </w:r>
      <w:r>
        <w:rPr>
          <w:sz w:val="24"/>
        </w:rPr>
        <w:t>used</w:t>
      </w:r>
      <w:r>
        <w:rPr>
          <w:spacing w:val="-1"/>
          <w:sz w:val="24"/>
        </w:rPr>
        <w:t> </w:t>
      </w:r>
      <w:r>
        <w:rPr>
          <w:sz w:val="24"/>
        </w:rPr>
        <w:t>in</w:t>
      </w:r>
      <w:r>
        <w:rPr>
          <w:spacing w:val="-1"/>
          <w:sz w:val="24"/>
        </w:rPr>
        <w:t> </w:t>
      </w:r>
      <w:hyperlink r:id="rId28">
        <w:r>
          <w:rPr>
            <w:sz w:val="24"/>
          </w:rPr>
          <w:t>performance</w:t>
        </w:r>
        <w:r>
          <w:rPr>
            <w:spacing w:val="-2"/>
            <w:sz w:val="24"/>
          </w:rPr>
          <w:t> measurement</w:t>
        </w:r>
      </w:hyperlink>
      <w:r>
        <w:rPr>
          <w:spacing w:val="-2"/>
          <w:sz w:val="24"/>
        </w:rPr>
        <w:t>.</w:t>
      </w:r>
    </w:p>
    <w:p>
      <w:pPr>
        <w:pStyle w:val="BodyText"/>
      </w:pPr>
    </w:p>
    <w:p>
      <w:pPr>
        <w:pStyle w:val="BodyText"/>
      </w:pPr>
    </w:p>
    <w:p>
      <w:pPr>
        <w:pStyle w:val="BodyText"/>
        <w:ind w:left="240"/>
        <w:jc w:val="both"/>
      </w:pPr>
      <w:r>
        <w:rPr/>
        <w:t>According</w:t>
      </w:r>
      <w:r>
        <w:rPr>
          <w:spacing w:val="-4"/>
        </w:rPr>
        <w:t> </w:t>
      </w:r>
      <w:r>
        <w:rPr/>
        <w:t>to the</w:t>
      </w:r>
      <w:r>
        <w:rPr>
          <w:spacing w:val="-2"/>
        </w:rPr>
        <w:t> </w:t>
      </w:r>
      <w:r>
        <w:rPr/>
        <w:t>Northern Territory</w:t>
      </w:r>
      <w:r>
        <w:rPr>
          <w:spacing w:val="-6"/>
        </w:rPr>
        <w:t> </w:t>
      </w:r>
      <w:r>
        <w:rPr/>
        <w:t>Government (2012),</w:t>
      </w:r>
      <w:r>
        <w:rPr>
          <w:spacing w:val="-1"/>
        </w:rPr>
        <w:t> </w:t>
      </w:r>
      <w:r>
        <w:rPr/>
        <w:t>PIs</w:t>
      </w:r>
      <w:r>
        <w:rPr>
          <w:spacing w:val="2"/>
        </w:rPr>
        <w:t> </w:t>
      </w:r>
      <w:r>
        <w:rPr/>
        <w:t>are</w:t>
      </w:r>
      <w:r>
        <w:rPr>
          <w:spacing w:val="-3"/>
        </w:rPr>
        <w:t> </w:t>
      </w:r>
      <w:r>
        <w:rPr/>
        <w:t>usually</w:t>
      </w:r>
      <w:r>
        <w:rPr>
          <w:spacing w:val="-3"/>
        </w:rPr>
        <w:t> </w:t>
      </w:r>
      <w:r>
        <w:rPr/>
        <w:t>grouped </w:t>
      </w:r>
      <w:r>
        <w:rPr>
          <w:spacing w:val="-2"/>
        </w:rPr>
        <w:t>into:</w:t>
      </w:r>
    </w:p>
    <w:p>
      <w:pPr>
        <w:pStyle w:val="ListParagraph"/>
        <w:numPr>
          <w:ilvl w:val="1"/>
          <w:numId w:val="20"/>
        </w:numPr>
        <w:tabs>
          <w:tab w:pos="959" w:val="left" w:leader="none"/>
        </w:tabs>
        <w:spacing w:line="240" w:lineRule="auto" w:before="140" w:after="0"/>
        <w:ind w:left="959" w:right="0" w:hanging="359"/>
        <w:jc w:val="left"/>
        <w:rPr>
          <w:sz w:val="24"/>
        </w:rPr>
      </w:pPr>
      <w:r>
        <w:rPr>
          <w:b/>
          <w:sz w:val="24"/>
        </w:rPr>
        <w:t>Efficiency</w:t>
      </w:r>
      <w:r>
        <w:rPr>
          <w:b/>
          <w:spacing w:val="-1"/>
          <w:sz w:val="24"/>
        </w:rPr>
        <w:t> </w:t>
      </w:r>
      <w:r>
        <w:rPr>
          <w:b/>
          <w:sz w:val="24"/>
        </w:rPr>
        <w:t>indicators</w:t>
      </w:r>
      <w:r>
        <w:rPr>
          <w:sz w:val="24"/>
        </w:rPr>
        <w:t>:</w:t>
      </w:r>
      <w:r>
        <w:rPr>
          <w:spacing w:val="-1"/>
          <w:sz w:val="24"/>
        </w:rPr>
        <w:t> </w:t>
      </w:r>
      <w:r>
        <w:rPr>
          <w:sz w:val="24"/>
        </w:rPr>
        <w:t>The</w:t>
      </w:r>
      <w:r>
        <w:rPr>
          <w:spacing w:val="-3"/>
          <w:sz w:val="24"/>
        </w:rPr>
        <w:t> </w:t>
      </w:r>
      <w:r>
        <w:rPr>
          <w:sz w:val="24"/>
        </w:rPr>
        <w:t>way</w:t>
      </w:r>
      <w:r>
        <w:rPr>
          <w:spacing w:val="-6"/>
          <w:sz w:val="24"/>
        </w:rPr>
        <w:t> </w:t>
      </w:r>
      <w:r>
        <w:rPr>
          <w:sz w:val="24"/>
        </w:rPr>
        <w:t>that</w:t>
      </w:r>
      <w:r>
        <w:rPr>
          <w:spacing w:val="-1"/>
          <w:sz w:val="24"/>
        </w:rPr>
        <w:t> </w:t>
      </w:r>
      <w:r>
        <w:rPr>
          <w:sz w:val="24"/>
        </w:rPr>
        <w:t>resources</w:t>
      </w:r>
      <w:r>
        <w:rPr>
          <w:spacing w:val="-1"/>
          <w:sz w:val="24"/>
        </w:rPr>
        <w:t> </w:t>
      </w:r>
      <w:r>
        <w:rPr>
          <w:sz w:val="24"/>
        </w:rPr>
        <w:t>are</w:t>
      </w:r>
      <w:r>
        <w:rPr>
          <w:spacing w:val="2"/>
          <w:sz w:val="24"/>
        </w:rPr>
        <w:t> </w:t>
      </w:r>
      <w:r>
        <w:rPr>
          <w:sz w:val="24"/>
        </w:rPr>
        <w:t>transferred</w:t>
      </w:r>
      <w:r>
        <w:rPr>
          <w:spacing w:val="-1"/>
          <w:sz w:val="24"/>
        </w:rPr>
        <w:t> </w:t>
      </w:r>
      <w:r>
        <w:rPr>
          <w:sz w:val="24"/>
        </w:rPr>
        <w:t>into</w:t>
      </w:r>
      <w:r>
        <w:rPr>
          <w:spacing w:val="1"/>
          <w:sz w:val="24"/>
        </w:rPr>
        <w:t> </w:t>
      </w:r>
      <w:r>
        <w:rPr>
          <w:sz w:val="24"/>
        </w:rPr>
        <w:t>goods</w:t>
      </w:r>
      <w:r>
        <w:rPr>
          <w:spacing w:val="-1"/>
          <w:sz w:val="24"/>
        </w:rPr>
        <w:t> </w:t>
      </w:r>
      <w:r>
        <w:rPr>
          <w:sz w:val="24"/>
        </w:rPr>
        <w:t>and </w:t>
      </w:r>
      <w:r>
        <w:rPr>
          <w:spacing w:val="-2"/>
          <w:sz w:val="24"/>
        </w:rPr>
        <w:t>services.</w:t>
      </w:r>
    </w:p>
    <w:p>
      <w:pPr>
        <w:pStyle w:val="ListParagraph"/>
        <w:numPr>
          <w:ilvl w:val="1"/>
          <w:numId w:val="20"/>
        </w:numPr>
        <w:tabs>
          <w:tab w:pos="960" w:val="left" w:leader="none"/>
        </w:tabs>
        <w:spacing w:line="360" w:lineRule="auto" w:before="136" w:after="0"/>
        <w:ind w:left="960" w:right="877" w:hanging="360"/>
        <w:jc w:val="left"/>
        <w:rPr>
          <w:sz w:val="24"/>
        </w:rPr>
      </w:pPr>
      <w:r>
        <w:rPr>
          <w:b/>
          <w:sz w:val="24"/>
        </w:rPr>
        <w:t>Quality</w:t>
      </w:r>
      <w:r>
        <w:rPr>
          <w:b/>
          <w:spacing w:val="-3"/>
          <w:sz w:val="24"/>
        </w:rPr>
        <w:t> </w:t>
      </w:r>
      <w:r>
        <w:rPr>
          <w:b/>
          <w:sz w:val="24"/>
        </w:rPr>
        <w:t>indicators</w:t>
      </w:r>
      <w:r>
        <w:rPr>
          <w:sz w:val="24"/>
        </w:rPr>
        <w:t>:</w:t>
      </w:r>
      <w:r>
        <w:rPr>
          <w:spacing w:val="-3"/>
          <w:sz w:val="24"/>
        </w:rPr>
        <w:t> </w:t>
      </w:r>
      <w:r>
        <w:rPr>
          <w:sz w:val="24"/>
        </w:rPr>
        <w:t>The</w:t>
      </w:r>
      <w:r>
        <w:rPr>
          <w:spacing w:val="-5"/>
          <w:sz w:val="24"/>
        </w:rPr>
        <w:t> </w:t>
      </w:r>
      <w:r>
        <w:rPr>
          <w:sz w:val="24"/>
        </w:rPr>
        <w:t>quality</w:t>
      </w:r>
      <w:r>
        <w:rPr>
          <w:spacing w:val="-7"/>
          <w:sz w:val="24"/>
        </w:rPr>
        <w:t> </w:t>
      </w:r>
      <w:r>
        <w:rPr>
          <w:sz w:val="24"/>
        </w:rPr>
        <w:t>of</w:t>
      </w:r>
      <w:r>
        <w:rPr>
          <w:spacing w:val="-2"/>
          <w:sz w:val="24"/>
        </w:rPr>
        <w:t> </w:t>
      </w:r>
      <w:r>
        <w:rPr>
          <w:sz w:val="24"/>
        </w:rPr>
        <w:t>goods</w:t>
      </w:r>
      <w:r>
        <w:rPr>
          <w:spacing w:val="-3"/>
          <w:sz w:val="24"/>
        </w:rPr>
        <w:t> </w:t>
      </w:r>
      <w:r>
        <w:rPr>
          <w:sz w:val="24"/>
        </w:rPr>
        <w:t>and</w:t>
      </w:r>
      <w:r>
        <w:rPr>
          <w:spacing w:val="-3"/>
          <w:sz w:val="24"/>
        </w:rPr>
        <w:t> </w:t>
      </w:r>
      <w:r>
        <w:rPr>
          <w:sz w:val="24"/>
        </w:rPr>
        <w:t>services,</w:t>
      </w:r>
      <w:r>
        <w:rPr>
          <w:spacing w:val="-3"/>
          <w:sz w:val="24"/>
        </w:rPr>
        <w:t> </w:t>
      </w:r>
      <w:r>
        <w:rPr>
          <w:sz w:val="24"/>
        </w:rPr>
        <w:t>how</w:t>
      </w:r>
      <w:r>
        <w:rPr>
          <w:spacing w:val="-3"/>
          <w:sz w:val="24"/>
        </w:rPr>
        <w:t> </w:t>
      </w:r>
      <w:r>
        <w:rPr>
          <w:sz w:val="24"/>
        </w:rPr>
        <w:t>well</w:t>
      </w:r>
      <w:r>
        <w:rPr>
          <w:spacing w:val="-3"/>
          <w:sz w:val="24"/>
        </w:rPr>
        <w:t> </w:t>
      </w:r>
      <w:r>
        <w:rPr>
          <w:sz w:val="24"/>
        </w:rPr>
        <w:t>they</w:t>
      </w:r>
      <w:r>
        <w:rPr>
          <w:spacing w:val="-7"/>
          <w:sz w:val="24"/>
        </w:rPr>
        <w:t> </w:t>
      </w:r>
      <w:r>
        <w:rPr>
          <w:sz w:val="24"/>
        </w:rPr>
        <w:t>are</w:t>
      </w:r>
      <w:r>
        <w:rPr>
          <w:spacing w:val="-5"/>
          <w:sz w:val="24"/>
        </w:rPr>
        <w:t> </w:t>
      </w:r>
      <w:r>
        <w:rPr>
          <w:sz w:val="24"/>
        </w:rPr>
        <w:t>delivered</w:t>
      </w:r>
      <w:r>
        <w:rPr>
          <w:spacing w:val="-3"/>
          <w:sz w:val="24"/>
        </w:rPr>
        <w:t> </w:t>
      </w:r>
      <w:r>
        <w:rPr>
          <w:sz w:val="24"/>
        </w:rPr>
        <w:t>to</w:t>
      </w:r>
      <w:r>
        <w:rPr>
          <w:spacing w:val="-3"/>
          <w:sz w:val="24"/>
        </w:rPr>
        <w:t> </w:t>
      </w:r>
      <w:r>
        <w:rPr>
          <w:sz w:val="24"/>
        </w:rPr>
        <w:t>the constituency and to what extent they are satisfied.</w:t>
      </w:r>
    </w:p>
    <w:p>
      <w:pPr>
        <w:pStyle w:val="ListParagraph"/>
        <w:numPr>
          <w:ilvl w:val="1"/>
          <w:numId w:val="20"/>
        </w:numPr>
        <w:tabs>
          <w:tab w:pos="960" w:val="left" w:leader="none"/>
        </w:tabs>
        <w:spacing w:line="360" w:lineRule="auto" w:before="1" w:after="0"/>
        <w:ind w:left="960" w:right="1414" w:hanging="360"/>
        <w:jc w:val="left"/>
        <w:rPr>
          <w:sz w:val="24"/>
        </w:rPr>
      </w:pPr>
      <w:r>
        <w:rPr>
          <w:b/>
          <w:sz w:val="24"/>
        </w:rPr>
        <w:t>Effectiveness</w:t>
      </w:r>
      <w:r>
        <w:rPr>
          <w:b/>
          <w:spacing w:val="-4"/>
          <w:sz w:val="24"/>
        </w:rPr>
        <w:t> </w:t>
      </w:r>
      <w:r>
        <w:rPr>
          <w:b/>
          <w:sz w:val="24"/>
        </w:rPr>
        <w:t>indicators</w:t>
      </w:r>
      <w:r>
        <w:rPr>
          <w:sz w:val="24"/>
        </w:rPr>
        <w:t>:</w:t>
      </w:r>
      <w:r>
        <w:rPr>
          <w:spacing w:val="-4"/>
          <w:sz w:val="24"/>
        </w:rPr>
        <w:t> </w:t>
      </w:r>
      <w:r>
        <w:rPr>
          <w:sz w:val="24"/>
        </w:rPr>
        <w:t>How</w:t>
      </w:r>
      <w:r>
        <w:rPr>
          <w:spacing w:val="-5"/>
          <w:sz w:val="24"/>
        </w:rPr>
        <w:t> </w:t>
      </w:r>
      <w:r>
        <w:rPr>
          <w:sz w:val="24"/>
        </w:rPr>
        <w:t>well</w:t>
      </w:r>
      <w:r>
        <w:rPr>
          <w:spacing w:val="-4"/>
          <w:sz w:val="24"/>
        </w:rPr>
        <w:t> </w:t>
      </w:r>
      <w:r>
        <w:rPr>
          <w:sz w:val="24"/>
        </w:rPr>
        <w:t>the</w:t>
      </w:r>
      <w:r>
        <w:rPr>
          <w:spacing w:val="-4"/>
          <w:sz w:val="24"/>
        </w:rPr>
        <w:t> </w:t>
      </w:r>
      <w:r>
        <w:rPr>
          <w:sz w:val="24"/>
        </w:rPr>
        <w:t>service</w:t>
      </w:r>
      <w:r>
        <w:rPr>
          <w:spacing w:val="-5"/>
          <w:sz w:val="24"/>
        </w:rPr>
        <w:t> </w:t>
      </w:r>
      <w:r>
        <w:rPr>
          <w:sz w:val="24"/>
        </w:rPr>
        <w:t>delivery</w:t>
      </w:r>
      <w:r>
        <w:rPr>
          <w:spacing w:val="-7"/>
          <w:sz w:val="24"/>
        </w:rPr>
        <w:t> </w:t>
      </w:r>
      <w:r>
        <w:rPr>
          <w:sz w:val="24"/>
        </w:rPr>
        <w:t>compares</w:t>
      </w:r>
      <w:r>
        <w:rPr>
          <w:spacing w:val="-4"/>
          <w:sz w:val="24"/>
        </w:rPr>
        <w:t> </w:t>
      </w:r>
      <w:r>
        <w:rPr>
          <w:sz w:val="24"/>
        </w:rPr>
        <w:t>with</w:t>
      </w:r>
      <w:r>
        <w:rPr>
          <w:spacing w:val="-4"/>
          <w:sz w:val="24"/>
        </w:rPr>
        <w:t> </w:t>
      </w:r>
      <w:r>
        <w:rPr>
          <w:sz w:val="24"/>
        </w:rPr>
        <w:t>the</w:t>
      </w:r>
      <w:r>
        <w:rPr>
          <w:spacing w:val="-4"/>
          <w:sz w:val="24"/>
        </w:rPr>
        <w:t> </w:t>
      </w:r>
      <w:r>
        <w:rPr>
          <w:sz w:val="24"/>
        </w:rPr>
        <w:t>planned purpose or objective.</w:t>
      </w:r>
    </w:p>
    <w:p>
      <w:pPr>
        <w:pStyle w:val="BodyText"/>
      </w:pPr>
    </w:p>
    <w:p>
      <w:pPr>
        <w:pStyle w:val="BodyText"/>
        <w:spacing w:line="360" w:lineRule="auto"/>
        <w:ind w:left="240" w:right="837"/>
        <w:jc w:val="both"/>
      </w:pPr>
      <w:r>
        <w:rPr/>
        <w:t>The most insightful of explanations on the variants of PIs is perhaps that provided by Rozner (2013). According to Rozner, for the sake of alignment and consistency, PIs are broadly divided into four categories, namely: inputs, processes, outputs, and outcomes. These indicators are commonly accompanied by specific measures of efficiency. Each indicator type is described </w:t>
      </w:r>
      <w:r>
        <w:rPr>
          <w:spacing w:val="-2"/>
        </w:rPr>
        <w:t>below.</w:t>
      </w:r>
    </w:p>
    <w:p>
      <w:pPr>
        <w:pStyle w:val="ListParagraph"/>
        <w:numPr>
          <w:ilvl w:val="0"/>
          <w:numId w:val="21"/>
        </w:numPr>
        <w:tabs>
          <w:tab w:pos="611" w:val="left" w:leader="none"/>
        </w:tabs>
        <w:spacing w:line="360" w:lineRule="auto" w:before="208" w:after="0"/>
        <w:ind w:left="240" w:right="836" w:firstLine="0"/>
        <w:jc w:val="both"/>
        <w:rPr>
          <w:sz w:val="24"/>
        </w:rPr>
      </w:pPr>
      <w:r>
        <w:rPr>
          <w:b/>
          <w:sz w:val="24"/>
        </w:rPr>
        <w:t>Input indicators </w:t>
      </w:r>
      <w:r>
        <w:rPr>
          <w:sz w:val="24"/>
        </w:rPr>
        <w:t>measure resources, both human and financial, devoted to a particular program or activity (e.g., number of workers/staff/professionals). They can also include, among other items, buildings, money, equipment, buildings, supplies, and personnel. Input indicators</w:t>
      </w:r>
      <w:r>
        <w:rPr>
          <w:spacing w:val="40"/>
          <w:sz w:val="24"/>
        </w:rPr>
        <w:t> </w:t>
      </w:r>
      <w:r>
        <w:rPr>
          <w:sz w:val="24"/>
        </w:rPr>
        <w:t>can also include measures of characteristics of a target population (e.g., number of persons eligible for owning houses).</w:t>
      </w:r>
    </w:p>
    <w:p>
      <w:pPr>
        <w:pStyle w:val="BodyText"/>
        <w:spacing w:before="35"/>
      </w:pPr>
    </w:p>
    <w:p>
      <w:pPr>
        <w:pStyle w:val="ListParagraph"/>
        <w:numPr>
          <w:ilvl w:val="0"/>
          <w:numId w:val="21"/>
        </w:numPr>
        <w:tabs>
          <w:tab w:pos="551" w:val="left" w:leader="none"/>
        </w:tabs>
        <w:spacing w:line="360" w:lineRule="auto" w:before="0" w:after="0"/>
        <w:ind w:left="240" w:right="833" w:firstLine="0"/>
        <w:jc w:val="both"/>
        <w:rPr>
          <w:sz w:val="24"/>
        </w:rPr>
      </w:pPr>
      <w:r>
        <w:rPr>
          <w:b/>
          <w:sz w:val="24"/>
        </w:rPr>
        <w:t>Process indicators </w:t>
      </w:r>
      <w:r>
        <w:rPr>
          <w:sz w:val="24"/>
        </w:rPr>
        <w:t>look at the ways in which goods and services are provided. For instance, in the context of construction, they often measure the consistency or timeliness of activities carried out in constructing buildings, roads, bridges and others and in some cases, compliance with specifications.</w:t>
      </w:r>
    </w:p>
    <w:p>
      <w:pPr>
        <w:pStyle w:val="BodyText"/>
        <w:spacing w:before="35"/>
      </w:pPr>
    </w:p>
    <w:p>
      <w:pPr>
        <w:pStyle w:val="ListParagraph"/>
        <w:numPr>
          <w:ilvl w:val="0"/>
          <w:numId w:val="21"/>
        </w:numPr>
        <w:tabs>
          <w:tab w:pos="606" w:val="left" w:leader="none"/>
        </w:tabs>
        <w:spacing w:line="360" w:lineRule="auto" w:before="0" w:after="0"/>
        <w:ind w:left="240" w:right="837" w:firstLine="0"/>
        <w:jc w:val="both"/>
        <w:rPr>
          <w:sz w:val="24"/>
        </w:rPr>
      </w:pPr>
      <w:r>
        <w:rPr>
          <w:b/>
          <w:sz w:val="24"/>
        </w:rPr>
        <w:t>Output indicators </w:t>
      </w:r>
      <w:r>
        <w:rPr>
          <w:sz w:val="24"/>
        </w:rPr>
        <w:t>measure the quantity of goods and services produced, the results of process activities, or the efficiency/efficacy of those activities (e.g., buildings produced, roads </w:t>
      </w:r>
      <w:r>
        <w:rPr>
          <w:spacing w:val="-2"/>
          <w:sz w:val="24"/>
        </w:rPr>
        <w:t>paved).</w:t>
      </w:r>
    </w:p>
    <w:p>
      <w:pPr>
        <w:spacing w:after="0" w:line="360" w:lineRule="auto"/>
        <w:jc w:val="both"/>
        <w:rPr>
          <w:sz w:val="24"/>
        </w:rPr>
        <w:sectPr>
          <w:pgSz w:w="12240" w:h="15840"/>
          <w:pgMar w:header="0" w:footer="1036" w:top="1360" w:bottom="1220" w:left="1200" w:right="600"/>
        </w:sectPr>
      </w:pPr>
    </w:p>
    <w:p>
      <w:pPr>
        <w:pStyle w:val="ListParagraph"/>
        <w:numPr>
          <w:ilvl w:val="0"/>
          <w:numId w:val="21"/>
        </w:numPr>
        <w:tabs>
          <w:tab w:pos="585" w:val="left" w:leader="none"/>
        </w:tabs>
        <w:spacing w:line="360" w:lineRule="auto" w:before="74" w:after="0"/>
        <w:ind w:left="240" w:right="836" w:firstLine="0"/>
        <w:jc w:val="both"/>
        <w:rPr>
          <w:sz w:val="24"/>
        </w:rPr>
      </w:pPr>
      <w:r>
        <w:rPr>
          <w:b/>
          <w:sz w:val="24"/>
        </w:rPr>
        <w:t>Outcome indicators </w:t>
      </w:r>
      <w:r>
        <w:rPr>
          <w:sz w:val="24"/>
        </w:rPr>
        <w:t>measure the broader results achieved through the provision of goods</w:t>
      </w:r>
      <w:r>
        <w:rPr>
          <w:spacing w:val="40"/>
          <w:sz w:val="24"/>
        </w:rPr>
        <w:t> </w:t>
      </w:r>
      <w:r>
        <w:rPr>
          <w:sz w:val="24"/>
        </w:rPr>
        <w:t>and services. These indicators can exist at various levels: population, agency, program, and/or activity. Population-level indicators measure changes in the condition or well-being of citizens, families, or communities. Changes in population-level indicators are often long-term results of the efforts of a number of different programs, agencies, and initiatives. Agency-level indicators measure results for which a ministry, department, or agency is responsible, while program or activity-level indicators measure the results for which a program or activity is responsible. Agency- and program-level outcome indicators are often defined more narrowly than those pertaining to the population as a whole; for example, housing ownership among a specific age bracket of the population. Identification of appropriate indicator levels helps to ensure that expectations are not set unrealistically high.</w:t>
      </w:r>
    </w:p>
    <w:p>
      <w:pPr>
        <w:pStyle w:val="BodyText"/>
        <w:spacing w:before="36"/>
      </w:pPr>
    </w:p>
    <w:p>
      <w:pPr>
        <w:pStyle w:val="ListParagraph"/>
        <w:numPr>
          <w:ilvl w:val="0"/>
          <w:numId w:val="21"/>
        </w:numPr>
        <w:tabs>
          <w:tab w:pos="568" w:val="left" w:leader="none"/>
        </w:tabs>
        <w:spacing w:line="360" w:lineRule="auto" w:before="0" w:after="0"/>
        <w:ind w:left="240" w:right="838" w:firstLine="0"/>
        <w:jc w:val="both"/>
        <w:rPr>
          <w:sz w:val="24"/>
        </w:rPr>
      </w:pPr>
      <w:r>
        <w:rPr>
          <w:b/>
          <w:sz w:val="24"/>
        </w:rPr>
        <w:t>Efficiency indicators </w:t>
      </w:r>
      <w:r>
        <w:rPr>
          <w:sz w:val="24"/>
        </w:rPr>
        <w:t>describe how well a given level of resources produces outputs (e.g., percentage of work progress per day</w:t>
      </w:r>
      <w:r>
        <w:rPr>
          <w:spacing w:val="-5"/>
          <w:sz w:val="24"/>
        </w:rPr>
        <w:t> </w:t>
      </w:r>
      <w:r>
        <w:rPr>
          <w:sz w:val="24"/>
        </w:rPr>
        <w:t>or month). They</w:t>
      </w:r>
      <w:r>
        <w:rPr>
          <w:spacing w:val="-3"/>
          <w:sz w:val="24"/>
        </w:rPr>
        <w:t> </w:t>
      </w:r>
      <w:r>
        <w:rPr>
          <w:sz w:val="24"/>
        </w:rPr>
        <w:t>can also describe the level of work process efficiency, including tasks (administrative or site) involved in operating or executing a particular program or service, which can be useful for planning and program managers in assessing program performance and funding requirements.</w:t>
      </w:r>
    </w:p>
    <w:p>
      <w:pPr>
        <w:pStyle w:val="BodyText"/>
        <w:spacing w:before="139"/>
      </w:pPr>
    </w:p>
    <w:p>
      <w:pPr>
        <w:pStyle w:val="BodyText"/>
        <w:spacing w:line="360" w:lineRule="auto"/>
        <w:ind w:left="240" w:right="839"/>
        <w:jc w:val="both"/>
      </w:pPr>
      <w:r>
        <w:rPr/>
        <w:t>Schiavo-Campo and Tommasi (1999) note that once a program‘s objectives are established and PIs are selected to measure performance, the ministry or agency staff responsible for planning, budgeting, monitoring and evaluation and must work with other relevant authorities to agree on performance targets. A performance target combines the selected indicator with a target level, specifying the quantitative degree or amount of performance the program is expected to achieve by a specific date, given the planned structure and funding level. A performance target, thus, provides an unambiguous definition of success. It signals what is important. It tells people what is expected and by when.</w:t>
      </w:r>
    </w:p>
    <w:p>
      <w:pPr>
        <w:pStyle w:val="BodyText"/>
        <w:spacing w:before="137"/>
      </w:pPr>
    </w:p>
    <w:p>
      <w:pPr>
        <w:pStyle w:val="BodyText"/>
        <w:spacing w:line="360" w:lineRule="auto" w:before="1"/>
        <w:ind w:left="240" w:right="839"/>
        <w:jc w:val="both"/>
      </w:pPr>
      <w:r>
        <w:rPr/>
        <w:t>Spending ministries annually must vie for scarce budgetary resources and, at times, allocations will decrease (or increase), necessitating adjustments to the target levels for relevant</w:t>
      </w:r>
      <w:r>
        <w:rPr>
          <w:spacing w:val="40"/>
        </w:rPr>
        <w:t> </w:t>
      </w:r>
      <w:r>
        <w:rPr/>
        <w:t>performance indicators. Generally speaking, the type of indicator will be an important determinant</w:t>
      </w:r>
      <w:r>
        <w:rPr>
          <w:spacing w:val="59"/>
        </w:rPr>
        <w:t> </w:t>
      </w:r>
      <w:r>
        <w:rPr/>
        <w:t>in</w:t>
      </w:r>
      <w:r>
        <w:rPr>
          <w:spacing w:val="61"/>
        </w:rPr>
        <w:t> </w:t>
      </w:r>
      <w:r>
        <w:rPr/>
        <w:t>deciding</w:t>
      </w:r>
      <w:r>
        <w:rPr>
          <w:spacing w:val="62"/>
        </w:rPr>
        <w:t> </w:t>
      </w:r>
      <w:r>
        <w:rPr/>
        <w:t>how</w:t>
      </w:r>
      <w:r>
        <w:rPr>
          <w:spacing w:val="60"/>
        </w:rPr>
        <w:t> </w:t>
      </w:r>
      <w:r>
        <w:rPr/>
        <w:t>much</w:t>
      </w:r>
      <w:r>
        <w:rPr>
          <w:spacing w:val="63"/>
        </w:rPr>
        <w:t> </w:t>
      </w:r>
      <w:r>
        <w:rPr/>
        <w:t>the</w:t>
      </w:r>
      <w:r>
        <w:rPr>
          <w:spacing w:val="60"/>
        </w:rPr>
        <w:t> </w:t>
      </w:r>
      <w:r>
        <w:rPr/>
        <w:t>target</w:t>
      </w:r>
      <w:r>
        <w:rPr>
          <w:spacing w:val="65"/>
        </w:rPr>
        <w:t> </w:t>
      </w:r>
      <w:r>
        <w:rPr/>
        <w:t>level</w:t>
      </w:r>
      <w:r>
        <w:rPr>
          <w:spacing w:val="61"/>
        </w:rPr>
        <w:t> </w:t>
      </w:r>
      <w:r>
        <w:rPr/>
        <w:t>should</w:t>
      </w:r>
      <w:r>
        <w:rPr>
          <w:spacing w:val="62"/>
        </w:rPr>
        <w:t> </w:t>
      </w:r>
      <w:r>
        <w:rPr/>
        <w:t>change</w:t>
      </w:r>
      <w:r>
        <w:rPr>
          <w:spacing w:val="62"/>
        </w:rPr>
        <w:t> </w:t>
      </w:r>
      <w:r>
        <w:rPr/>
        <w:t>when</w:t>
      </w:r>
      <w:r>
        <w:rPr>
          <w:spacing w:val="62"/>
        </w:rPr>
        <w:t> </w:t>
      </w:r>
      <w:r>
        <w:rPr/>
        <w:t>the</w:t>
      </w:r>
      <w:r>
        <w:rPr>
          <w:spacing w:val="63"/>
        </w:rPr>
        <w:t> </w:t>
      </w:r>
      <w:r>
        <w:rPr/>
        <w:t>funding</w:t>
      </w:r>
      <w:r>
        <w:rPr>
          <w:spacing w:val="61"/>
        </w:rPr>
        <w:t> </w:t>
      </w:r>
      <w:r>
        <w:rPr>
          <w:spacing w:val="-2"/>
        </w:rPr>
        <w:t>level</w:t>
      </w:r>
    </w:p>
    <w:p>
      <w:pPr>
        <w:spacing w:after="0" w:line="360" w:lineRule="auto"/>
        <w:jc w:val="both"/>
        <w:sectPr>
          <w:pgSz w:w="12240" w:h="15840"/>
          <w:pgMar w:header="0" w:footer="1036" w:top="1360" w:bottom="1220" w:left="1200" w:right="600"/>
        </w:sectPr>
      </w:pPr>
    </w:p>
    <w:p>
      <w:pPr>
        <w:pStyle w:val="BodyText"/>
        <w:spacing w:line="360" w:lineRule="auto" w:before="74"/>
        <w:ind w:left="240" w:right="835"/>
        <w:jc w:val="both"/>
      </w:pPr>
      <w:r>
        <w:rPr/>
        <w:t>changes. Target levels for input, process, output, and some efficiency indicators will often</w:t>
      </w:r>
      <w:r>
        <w:rPr>
          <w:spacing w:val="40"/>
        </w:rPr>
        <w:t> </w:t>
      </w:r>
      <w:r>
        <w:rPr/>
        <w:t>change when budget allocations change, because these indicators measure results that are</w:t>
      </w:r>
      <w:r>
        <w:rPr>
          <w:spacing w:val="-1"/>
        </w:rPr>
        <w:t> </w:t>
      </w:r>
      <w:r>
        <w:rPr/>
        <w:t>closely tied to the expenditure of funds. If the same direct results of government action can be achieved with less money, then it may</w:t>
      </w:r>
      <w:r>
        <w:rPr>
          <w:spacing w:val="-3"/>
        </w:rPr>
        <w:t> </w:t>
      </w:r>
      <w:r>
        <w:rPr/>
        <w:t>be appropriate to reduce funding. Conversely, increased allocations might be justified if one can demonstrate, through reporting on PIs, that greater results could be achieved with even more money.</w:t>
      </w:r>
    </w:p>
    <w:p>
      <w:pPr>
        <w:pStyle w:val="BodyText"/>
      </w:pPr>
    </w:p>
    <w:p>
      <w:pPr>
        <w:pStyle w:val="BodyText"/>
        <w:spacing w:line="360" w:lineRule="auto" w:before="1"/>
        <w:ind w:left="240" w:right="838"/>
        <w:jc w:val="both"/>
      </w:pPr>
      <w:r>
        <w:rPr/>
        <w:t>Developing and using PIs requires systematic processes and methods for gathering, managing, analyzing, distributing, and ultimately reporting performance information. Therefore, once PIs and targets have been developed, it is necessary to establish:</w:t>
      </w:r>
    </w:p>
    <w:p>
      <w:pPr>
        <w:pStyle w:val="ListParagraph"/>
        <w:numPr>
          <w:ilvl w:val="1"/>
          <w:numId w:val="21"/>
        </w:numPr>
        <w:tabs>
          <w:tab w:pos="960" w:val="left" w:leader="none"/>
        </w:tabs>
        <w:spacing w:line="275" w:lineRule="exact" w:before="0" w:after="0"/>
        <w:ind w:left="960" w:right="0" w:hanging="487"/>
        <w:jc w:val="left"/>
        <w:rPr>
          <w:sz w:val="24"/>
        </w:rPr>
      </w:pPr>
      <w:r>
        <w:rPr>
          <w:sz w:val="24"/>
        </w:rPr>
        <w:t>The</w:t>
      </w:r>
      <w:r>
        <w:rPr>
          <w:spacing w:val="-3"/>
          <w:sz w:val="24"/>
        </w:rPr>
        <w:t> </w:t>
      </w:r>
      <w:r>
        <w:rPr>
          <w:sz w:val="24"/>
        </w:rPr>
        <w:t>minimum data</w:t>
      </w:r>
      <w:r>
        <w:rPr>
          <w:spacing w:val="-1"/>
          <w:sz w:val="24"/>
        </w:rPr>
        <w:t> </w:t>
      </w:r>
      <w:r>
        <w:rPr>
          <w:sz w:val="24"/>
        </w:rPr>
        <w:t>that</w:t>
      </w:r>
      <w:r>
        <w:rPr>
          <w:spacing w:val="-1"/>
          <w:sz w:val="24"/>
        </w:rPr>
        <w:t> </w:t>
      </w:r>
      <w:r>
        <w:rPr>
          <w:sz w:val="24"/>
        </w:rPr>
        <w:t>need to be </w:t>
      </w:r>
      <w:r>
        <w:rPr>
          <w:spacing w:val="-2"/>
          <w:sz w:val="24"/>
        </w:rPr>
        <w:t>collected;</w:t>
      </w:r>
    </w:p>
    <w:p>
      <w:pPr>
        <w:pStyle w:val="ListParagraph"/>
        <w:numPr>
          <w:ilvl w:val="1"/>
          <w:numId w:val="21"/>
        </w:numPr>
        <w:tabs>
          <w:tab w:pos="960" w:val="left" w:leader="none"/>
        </w:tabs>
        <w:spacing w:line="360" w:lineRule="auto" w:before="139" w:after="0"/>
        <w:ind w:left="960" w:right="835" w:hanging="555"/>
        <w:jc w:val="left"/>
        <w:rPr>
          <w:sz w:val="24"/>
        </w:rPr>
      </w:pPr>
      <w:r>
        <w:rPr>
          <w:sz w:val="24"/>
        </w:rPr>
        <w:t>Data sources: for example: Population-based sources(censuses, surveys) and</w:t>
      </w:r>
      <w:r>
        <w:rPr>
          <w:spacing w:val="28"/>
          <w:sz w:val="24"/>
        </w:rPr>
        <w:t> </w:t>
      </w:r>
      <w:r>
        <w:rPr>
          <w:sz w:val="24"/>
        </w:rPr>
        <w:t>Institution based sources (organization‘s records for tracking revenue and costs);</w:t>
      </w:r>
    </w:p>
    <w:p>
      <w:pPr>
        <w:pStyle w:val="ListParagraph"/>
        <w:numPr>
          <w:ilvl w:val="1"/>
          <w:numId w:val="21"/>
        </w:numPr>
        <w:tabs>
          <w:tab w:pos="960" w:val="left" w:leader="none"/>
        </w:tabs>
        <w:spacing w:line="240" w:lineRule="auto" w:before="0" w:after="0"/>
        <w:ind w:left="960" w:right="0" w:hanging="619"/>
        <w:jc w:val="left"/>
        <w:rPr>
          <w:sz w:val="24"/>
        </w:rPr>
      </w:pPr>
      <w:r>
        <w:rPr>
          <w:sz w:val="24"/>
        </w:rPr>
        <w:t>Data</w:t>
      </w:r>
      <w:r>
        <w:rPr>
          <w:spacing w:val="-2"/>
          <w:sz w:val="24"/>
        </w:rPr>
        <w:t> </w:t>
      </w:r>
      <w:r>
        <w:rPr>
          <w:sz w:val="24"/>
        </w:rPr>
        <w:t>collection</w:t>
      </w:r>
      <w:r>
        <w:rPr>
          <w:spacing w:val="-1"/>
          <w:sz w:val="24"/>
        </w:rPr>
        <w:t> </w:t>
      </w:r>
      <w:r>
        <w:rPr>
          <w:sz w:val="24"/>
        </w:rPr>
        <w:t>methods</w:t>
      </w:r>
      <w:r>
        <w:rPr>
          <w:spacing w:val="-1"/>
          <w:sz w:val="24"/>
        </w:rPr>
        <w:t> </w:t>
      </w:r>
      <w:r>
        <w:rPr>
          <w:spacing w:val="-5"/>
          <w:sz w:val="24"/>
        </w:rPr>
        <w:t>and</w:t>
      </w:r>
    </w:p>
    <w:p>
      <w:pPr>
        <w:pStyle w:val="ListParagraph"/>
        <w:numPr>
          <w:ilvl w:val="1"/>
          <w:numId w:val="21"/>
        </w:numPr>
        <w:tabs>
          <w:tab w:pos="960" w:val="left" w:leader="none"/>
        </w:tabs>
        <w:spacing w:line="360" w:lineRule="auto" w:before="137" w:after="0"/>
        <w:ind w:left="960" w:right="846" w:hanging="608"/>
        <w:jc w:val="left"/>
        <w:rPr>
          <w:sz w:val="24"/>
        </w:rPr>
      </w:pPr>
      <w:r>
        <w:rPr>
          <w:sz w:val="24"/>
        </w:rPr>
        <w:t>Policies,</w:t>
      </w:r>
      <w:r>
        <w:rPr>
          <w:spacing w:val="40"/>
          <w:sz w:val="24"/>
        </w:rPr>
        <w:t> </w:t>
      </w:r>
      <w:r>
        <w:rPr>
          <w:sz w:val="24"/>
        </w:rPr>
        <w:t>capacities,</w:t>
      </w:r>
      <w:r>
        <w:rPr>
          <w:spacing w:val="40"/>
          <w:sz w:val="24"/>
        </w:rPr>
        <w:t> </w:t>
      </w:r>
      <w:r>
        <w:rPr>
          <w:sz w:val="24"/>
        </w:rPr>
        <w:t>and</w:t>
      </w:r>
      <w:r>
        <w:rPr>
          <w:spacing w:val="40"/>
          <w:sz w:val="24"/>
        </w:rPr>
        <w:t> </w:t>
      </w:r>
      <w:r>
        <w:rPr>
          <w:sz w:val="24"/>
        </w:rPr>
        <w:t>infrastructure</w:t>
      </w:r>
      <w:r>
        <w:rPr>
          <w:spacing w:val="40"/>
          <w:sz w:val="24"/>
        </w:rPr>
        <w:t> </w:t>
      </w:r>
      <w:r>
        <w:rPr>
          <w:sz w:val="24"/>
        </w:rPr>
        <w:t>needed</w:t>
      </w:r>
      <w:r>
        <w:rPr>
          <w:spacing w:val="40"/>
          <w:sz w:val="24"/>
        </w:rPr>
        <w:t> </w:t>
      </w:r>
      <w:r>
        <w:rPr>
          <w:sz w:val="24"/>
        </w:rPr>
        <w:t>to</w:t>
      </w:r>
      <w:r>
        <w:rPr>
          <w:spacing w:val="40"/>
          <w:sz w:val="24"/>
        </w:rPr>
        <w:t> </w:t>
      </w:r>
      <w:r>
        <w:rPr>
          <w:sz w:val="24"/>
        </w:rPr>
        <w:t>support</w:t>
      </w:r>
      <w:r>
        <w:rPr>
          <w:spacing w:val="40"/>
          <w:sz w:val="24"/>
        </w:rPr>
        <w:t> </w:t>
      </w:r>
      <w:r>
        <w:rPr>
          <w:sz w:val="24"/>
        </w:rPr>
        <w:t>data</w:t>
      </w:r>
      <w:r>
        <w:rPr>
          <w:spacing w:val="40"/>
          <w:sz w:val="24"/>
        </w:rPr>
        <w:t> </w:t>
      </w:r>
      <w:r>
        <w:rPr>
          <w:sz w:val="24"/>
        </w:rPr>
        <w:t>access,</w:t>
      </w:r>
      <w:r>
        <w:rPr>
          <w:spacing w:val="40"/>
          <w:sz w:val="24"/>
        </w:rPr>
        <w:t> </w:t>
      </w:r>
      <w:r>
        <w:rPr>
          <w:sz w:val="24"/>
        </w:rPr>
        <w:t>processing,</w:t>
      </w:r>
      <w:r>
        <w:rPr>
          <w:spacing w:val="40"/>
          <w:sz w:val="24"/>
        </w:rPr>
        <w:t> </w:t>
      </w:r>
      <w:r>
        <w:rPr>
          <w:sz w:val="24"/>
        </w:rPr>
        <w:t>and </w:t>
      </w:r>
      <w:r>
        <w:rPr>
          <w:spacing w:val="-2"/>
          <w:sz w:val="24"/>
        </w:rPr>
        <w:t>management.</w:t>
      </w:r>
    </w:p>
    <w:p>
      <w:pPr>
        <w:pStyle w:val="BodyText"/>
        <w:spacing w:line="360" w:lineRule="auto" w:before="168"/>
        <w:ind w:left="240" w:right="836"/>
        <w:jc w:val="both"/>
      </w:pPr>
      <w:r>
        <w:rPr/>
        <w:t>As described above, PI data elements should be collected and recorded, to the extent possible, at their source, including as part of routine service delivery. The frequency of data collection, therefore, can vary from daily to monthly, or less often, depending on the nature of the event being captured. However, For the purpose of monitoring PIs, it may not always be necessary to process those data with the same frequency as they are collected. The frequency of data analysis and reporting will depend on the urgency of decisions to be made based on the PI or the level of monitoring required (Schiavo-Campo and Tommasi, 1999; Gash, Hallsworth, &amp; Akash, 2009).</w:t>
      </w:r>
    </w:p>
    <w:p>
      <w:pPr>
        <w:pStyle w:val="BodyText"/>
        <w:spacing w:before="69"/>
      </w:pPr>
    </w:p>
    <w:p>
      <w:pPr>
        <w:pStyle w:val="BodyText"/>
        <w:spacing w:line="360" w:lineRule="auto"/>
        <w:ind w:left="240" w:right="839"/>
        <w:jc w:val="both"/>
      </w:pPr>
      <w:r>
        <w:rPr/>
        <w:t>In an attempt to delineate between the levels of implementing PIs, Castro (2011) states that the task of setting performance indicators must differentiate between high (macro) and low (micro) levels of results in the government‘s implementation chain. The high level refers to the external influence of all programs and includes impacts, outcomes and outputs, which are primarily of interest to national planning and budget officers. The low level alludes to internal program management and involves outputs, activities and inputs, which are mostly of concern to the</w:t>
      </w:r>
      <w:r>
        <w:rPr>
          <w:spacing w:val="40"/>
        </w:rPr>
        <w:t> </w:t>
      </w:r>
      <w:r>
        <w:rPr/>
        <w:t>sector</w:t>
      </w:r>
      <w:r>
        <w:rPr>
          <w:spacing w:val="21"/>
        </w:rPr>
        <w:t> </w:t>
      </w:r>
      <w:r>
        <w:rPr/>
        <w:t>and</w:t>
      </w:r>
      <w:r>
        <w:rPr>
          <w:spacing w:val="25"/>
        </w:rPr>
        <w:t> </w:t>
      </w:r>
      <w:r>
        <w:rPr/>
        <w:t>agency</w:t>
      </w:r>
      <w:r>
        <w:rPr>
          <w:spacing w:val="20"/>
        </w:rPr>
        <w:t> </w:t>
      </w:r>
      <w:r>
        <w:rPr/>
        <w:t>budget</w:t>
      </w:r>
      <w:r>
        <w:rPr>
          <w:spacing w:val="28"/>
        </w:rPr>
        <w:t> </w:t>
      </w:r>
      <w:r>
        <w:rPr/>
        <w:t>and</w:t>
      </w:r>
      <w:r>
        <w:rPr>
          <w:spacing w:val="25"/>
        </w:rPr>
        <w:t> </w:t>
      </w:r>
      <w:r>
        <w:rPr/>
        <w:t>program</w:t>
      </w:r>
      <w:r>
        <w:rPr>
          <w:spacing w:val="24"/>
        </w:rPr>
        <w:t> </w:t>
      </w:r>
      <w:r>
        <w:rPr/>
        <w:t>officials.</w:t>
      </w:r>
      <w:r>
        <w:rPr>
          <w:spacing w:val="27"/>
        </w:rPr>
        <w:t> </w:t>
      </w:r>
      <w:r>
        <w:rPr/>
        <w:t>Both</w:t>
      </w:r>
      <w:r>
        <w:rPr>
          <w:spacing w:val="25"/>
        </w:rPr>
        <w:t> </w:t>
      </w:r>
      <w:r>
        <w:rPr/>
        <w:t>sides</w:t>
      </w:r>
      <w:r>
        <w:rPr>
          <w:spacing w:val="25"/>
        </w:rPr>
        <w:t> </w:t>
      </w:r>
      <w:r>
        <w:rPr/>
        <w:t>of</w:t>
      </w:r>
      <w:r>
        <w:rPr>
          <w:spacing w:val="24"/>
        </w:rPr>
        <w:t> </w:t>
      </w:r>
      <w:r>
        <w:rPr/>
        <w:t>the</w:t>
      </w:r>
      <w:r>
        <w:rPr>
          <w:spacing w:val="23"/>
        </w:rPr>
        <w:t> </w:t>
      </w:r>
      <w:r>
        <w:rPr/>
        <w:t>results</w:t>
      </w:r>
      <w:r>
        <w:rPr>
          <w:spacing w:val="25"/>
        </w:rPr>
        <w:t> </w:t>
      </w:r>
      <w:r>
        <w:rPr/>
        <w:t>chain</w:t>
      </w:r>
      <w:r>
        <w:rPr>
          <w:spacing w:val="25"/>
        </w:rPr>
        <w:t> </w:t>
      </w:r>
      <w:r>
        <w:rPr/>
        <w:t>are</w:t>
      </w:r>
      <w:r>
        <w:rPr>
          <w:spacing w:val="25"/>
        </w:rPr>
        <w:t> </w:t>
      </w:r>
      <w:r>
        <w:rPr/>
        <w:t>crucial</w:t>
      </w:r>
      <w:r>
        <w:rPr>
          <w:spacing w:val="25"/>
        </w:rPr>
        <w:t> </w:t>
      </w:r>
      <w:r>
        <w:rPr>
          <w:spacing w:val="-5"/>
        </w:rPr>
        <w:t>for</w:t>
      </w:r>
    </w:p>
    <w:p>
      <w:pPr>
        <w:spacing w:after="0" w:line="360" w:lineRule="auto"/>
        <w:jc w:val="both"/>
        <w:sectPr>
          <w:pgSz w:w="12240" w:h="15840"/>
          <w:pgMar w:header="0" w:footer="1036" w:top="1360" w:bottom="1220" w:left="1200" w:right="600"/>
        </w:sectPr>
      </w:pPr>
    </w:p>
    <w:p>
      <w:pPr>
        <w:pStyle w:val="BodyText"/>
        <w:spacing w:line="360" w:lineRule="auto" w:before="74"/>
        <w:ind w:left="240" w:right="839"/>
        <w:jc w:val="both"/>
      </w:pPr>
      <w:r>
        <w:rPr/>
        <w:t>measuring performance, and outputs are the ―bridge‖ between the high and low sides of the government‘s implementation (</w:t>
      </w:r>
      <w:r>
        <w:rPr>
          <w:i/>
        </w:rPr>
        <w:t>see Table 2.2</w:t>
      </w:r>
      <w:r>
        <w:rPr/>
        <w:t>).</w:t>
      </w:r>
    </w:p>
    <w:p>
      <w:pPr>
        <w:pStyle w:val="BodyText"/>
        <w:spacing w:before="274"/>
        <w:ind w:left="240"/>
      </w:pPr>
      <w:r>
        <w:rPr>
          <w:b/>
        </w:rPr>
        <w:t>Table</w:t>
      </w:r>
      <w:r>
        <w:rPr>
          <w:b/>
          <w:spacing w:val="-4"/>
        </w:rPr>
        <w:t> </w:t>
      </w:r>
      <w:r>
        <w:rPr>
          <w:b/>
        </w:rPr>
        <w:t>2.2.</w:t>
      </w:r>
      <w:r>
        <w:rPr>
          <w:b/>
          <w:spacing w:val="-1"/>
        </w:rPr>
        <w:t> </w:t>
      </w:r>
      <w:r>
        <w:rPr/>
        <w:t>Performance</w:t>
      </w:r>
      <w:r>
        <w:rPr>
          <w:spacing w:val="1"/>
        </w:rPr>
        <w:t> </w:t>
      </w:r>
      <w:r>
        <w:rPr/>
        <w:t>Indicators</w:t>
      </w:r>
      <w:r>
        <w:rPr>
          <w:spacing w:val="-1"/>
        </w:rPr>
        <w:t> </w:t>
      </w:r>
      <w:r>
        <w:rPr/>
        <w:t>and</w:t>
      </w:r>
      <w:r>
        <w:rPr>
          <w:spacing w:val="-2"/>
        </w:rPr>
        <w:t> </w:t>
      </w:r>
      <w:r>
        <w:rPr/>
        <w:t>the</w:t>
      </w:r>
      <w:r>
        <w:rPr>
          <w:spacing w:val="-1"/>
        </w:rPr>
        <w:t> </w:t>
      </w:r>
      <w:r>
        <w:rPr/>
        <w:t>Results</w:t>
      </w:r>
      <w:r>
        <w:rPr>
          <w:spacing w:val="1"/>
        </w:rPr>
        <w:t> </w:t>
      </w:r>
      <w:r>
        <w:rPr/>
        <w:t>Chain at</w:t>
      </w:r>
      <w:r>
        <w:rPr>
          <w:spacing w:val="-1"/>
        </w:rPr>
        <w:t> </w:t>
      </w:r>
      <w:r>
        <w:rPr/>
        <w:t>different</w:t>
      </w:r>
      <w:r>
        <w:rPr>
          <w:spacing w:val="-2"/>
        </w:rPr>
        <w:t> </w:t>
      </w:r>
      <w:r>
        <w:rPr/>
        <w:t>levels</w:t>
      </w:r>
      <w:r>
        <w:rPr>
          <w:spacing w:val="1"/>
        </w:rPr>
        <w:t> </w:t>
      </w:r>
      <w:r>
        <w:rPr/>
        <w:t>of</w:t>
      </w:r>
      <w:r>
        <w:rPr>
          <w:spacing w:val="-2"/>
        </w:rPr>
        <w:t> Government</w:t>
      </w:r>
    </w:p>
    <w:p>
      <w:pPr>
        <w:pStyle w:val="BodyText"/>
        <w:spacing w:before="8" w:after="1"/>
        <w:rPr>
          <w:sz w:val="15"/>
        </w:rPr>
      </w:pPr>
    </w:p>
    <w:tbl>
      <w:tblPr>
        <w:tblW w:w="0" w:type="auto"/>
        <w:jc w:val="left"/>
        <w:tblInd w:w="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89"/>
        <w:gridCol w:w="2177"/>
        <w:gridCol w:w="1275"/>
        <w:gridCol w:w="1640"/>
        <w:gridCol w:w="2355"/>
      </w:tblGrid>
      <w:tr>
        <w:trPr>
          <w:trHeight w:val="690" w:hRule="atLeast"/>
        </w:trPr>
        <w:tc>
          <w:tcPr>
            <w:tcW w:w="3766" w:type="dxa"/>
            <w:gridSpan w:val="2"/>
            <w:tcBorders>
              <w:top w:val="single" w:sz="8" w:space="0" w:color="4AACC5"/>
              <w:bottom w:val="single" w:sz="8" w:space="0" w:color="4AACC5"/>
            </w:tcBorders>
          </w:tcPr>
          <w:p>
            <w:pPr>
              <w:pStyle w:val="TableParagraph"/>
              <w:ind w:left="775" w:firstLine="348"/>
              <w:rPr>
                <w:b/>
                <w:sz w:val="20"/>
              </w:rPr>
            </w:pPr>
            <w:r>
              <w:rPr>
                <w:b/>
                <w:sz w:val="20"/>
              </w:rPr>
              <w:t>Micro/Managerial level </w:t>
            </w:r>
            <w:r>
              <w:rPr>
                <w:b/>
                <w:spacing w:val="-2"/>
                <w:sz w:val="20"/>
              </w:rPr>
              <w:t>(Sector/Department/Agency)</w:t>
            </w:r>
          </w:p>
        </w:tc>
        <w:tc>
          <w:tcPr>
            <w:tcW w:w="1275" w:type="dxa"/>
            <w:tcBorders>
              <w:top w:val="single" w:sz="8" w:space="0" w:color="4AACC5"/>
              <w:bottom w:val="single" w:sz="8" w:space="0" w:color="4AACC5"/>
            </w:tcBorders>
          </w:tcPr>
          <w:p>
            <w:pPr>
              <w:pStyle w:val="TableParagraph"/>
              <w:rPr>
                <w:sz w:val="22"/>
              </w:rPr>
            </w:pPr>
          </w:p>
        </w:tc>
        <w:tc>
          <w:tcPr>
            <w:tcW w:w="3995" w:type="dxa"/>
            <w:gridSpan w:val="2"/>
            <w:tcBorders>
              <w:top w:val="single" w:sz="8" w:space="0" w:color="4AACC5"/>
              <w:bottom w:val="single" w:sz="8" w:space="0" w:color="4AACC5"/>
            </w:tcBorders>
          </w:tcPr>
          <w:p>
            <w:pPr>
              <w:pStyle w:val="TableParagraph"/>
              <w:ind w:left="525" w:right="275" w:firstLine="554"/>
              <w:rPr>
                <w:b/>
                <w:sz w:val="20"/>
              </w:rPr>
            </w:pPr>
            <w:r>
              <w:rPr>
                <w:b/>
                <w:sz w:val="20"/>
              </w:rPr>
              <w:t>Macro/Influence level (National</w:t>
            </w:r>
            <w:r>
              <w:rPr>
                <w:b/>
                <w:spacing w:val="-13"/>
                <w:sz w:val="20"/>
              </w:rPr>
              <w:t> </w:t>
            </w:r>
            <w:r>
              <w:rPr>
                <w:b/>
                <w:sz w:val="20"/>
              </w:rPr>
              <w:t>Budget/</w:t>
            </w:r>
            <w:r>
              <w:rPr>
                <w:b/>
                <w:spacing w:val="-12"/>
                <w:sz w:val="20"/>
              </w:rPr>
              <w:t> </w:t>
            </w:r>
            <w:r>
              <w:rPr>
                <w:b/>
                <w:sz w:val="20"/>
              </w:rPr>
              <w:t>Planning</w:t>
            </w:r>
            <w:r>
              <w:rPr>
                <w:b/>
                <w:spacing w:val="-13"/>
                <w:sz w:val="20"/>
              </w:rPr>
              <w:t> </w:t>
            </w:r>
            <w:r>
              <w:rPr>
                <w:b/>
                <w:sz w:val="20"/>
              </w:rPr>
              <w:t>Office)</w:t>
            </w:r>
          </w:p>
        </w:tc>
      </w:tr>
      <w:tr>
        <w:trPr>
          <w:trHeight w:val="460" w:hRule="atLeast"/>
        </w:trPr>
        <w:tc>
          <w:tcPr>
            <w:tcW w:w="1589" w:type="dxa"/>
            <w:tcBorders>
              <w:top w:val="single" w:sz="8" w:space="0" w:color="4AACC5"/>
              <w:bottom w:val="single" w:sz="8" w:space="0" w:color="4AACC5"/>
            </w:tcBorders>
            <w:shd w:val="clear" w:color="auto" w:fill="D2EAF0"/>
          </w:tcPr>
          <w:p>
            <w:pPr>
              <w:pStyle w:val="TableParagraph"/>
              <w:spacing w:line="223" w:lineRule="exact"/>
              <w:ind w:left="122"/>
              <w:rPr>
                <w:sz w:val="20"/>
              </w:rPr>
            </w:pPr>
            <w:r>
              <w:rPr>
                <w:spacing w:val="-2"/>
                <w:sz w:val="20"/>
              </w:rPr>
              <w:t>Inputs</w:t>
            </w:r>
          </w:p>
        </w:tc>
        <w:tc>
          <w:tcPr>
            <w:tcW w:w="2177" w:type="dxa"/>
            <w:tcBorders>
              <w:top w:val="single" w:sz="8" w:space="0" w:color="4AACC5"/>
              <w:bottom w:val="single" w:sz="8" w:space="0" w:color="4AACC5"/>
            </w:tcBorders>
            <w:shd w:val="clear" w:color="auto" w:fill="D2EAF0"/>
          </w:tcPr>
          <w:p>
            <w:pPr>
              <w:pStyle w:val="TableParagraph"/>
              <w:spacing w:line="223" w:lineRule="exact"/>
              <w:ind w:left="441"/>
              <w:rPr>
                <w:sz w:val="20"/>
              </w:rPr>
            </w:pPr>
            <w:r>
              <w:rPr>
                <w:spacing w:val="-2"/>
                <w:sz w:val="20"/>
              </w:rPr>
              <w:t>Activities</w:t>
            </w:r>
          </w:p>
        </w:tc>
        <w:tc>
          <w:tcPr>
            <w:tcW w:w="1275" w:type="dxa"/>
            <w:tcBorders>
              <w:top w:val="single" w:sz="8" w:space="0" w:color="4AACC5"/>
              <w:bottom w:val="single" w:sz="8" w:space="0" w:color="4AACC5"/>
            </w:tcBorders>
            <w:shd w:val="clear" w:color="auto" w:fill="D2EAF0"/>
          </w:tcPr>
          <w:p>
            <w:pPr>
              <w:pStyle w:val="TableParagraph"/>
              <w:spacing w:line="223" w:lineRule="exact"/>
              <w:ind w:left="384"/>
              <w:rPr>
                <w:sz w:val="20"/>
              </w:rPr>
            </w:pPr>
            <w:r>
              <w:rPr>
                <w:spacing w:val="-2"/>
                <w:sz w:val="20"/>
              </w:rPr>
              <w:t>Outputs</w:t>
            </w:r>
          </w:p>
        </w:tc>
        <w:tc>
          <w:tcPr>
            <w:tcW w:w="1640" w:type="dxa"/>
            <w:tcBorders>
              <w:top w:val="single" w:sz="8" w:space="0" w:color="4AACC5"/>
              <w:bottom w:val="single" w:sz="8" w:space="0" w:color="4AACC5"/>
            </w:tcBorders>
            <w:shd w:val="clear" w:color="auto" w:fill="D2EAF0"/>
          </w:tcPr>
          <w:p>
            <w:pPr>
              <w:pStyle w:val="TableParagraph"/>
              <w:spacing w:line="223" w:lineRule="exact"/>
              <w:ind w:left="189"/>
              <w:rPr>
                <w:sz w:val="20"/>
              </w:rPr>
            </w:pPr>
            <w:r>
              <w:rPr>
                <w:spacing w:val="-2"/>
                <w:sz w:val="20"/>
              </w:rPr>
              <w:t>Outcomes</w:t>
            </w:r>
          </w:p>
        </w:tc>
        <w:tc>
          <w:tcPr>
            <w:tcW w:w="2355" w:type="dxa"/>
            <w:tcBorders>
              <w:top w:val="single" w:sz="8" w:space="0" w:color="4AACC5"/>
              <w:bottom w:val="single" w:sz="8" w:space="0" w:color="4AACC5"/>
            </w:tcBorders>
            <w:shd w:val="clear" w:color="auto" w:fill="D2EAF0"/>
          </w:tcPr>
          <w:p>
            <w:pPr>
              <w:pStyle w:val="TableParagraph"/>
              <w:spacing w:line="223" w:lineRule="exact"/>
              <w:ind w:left="479"/>
              <w:rPr>
                <w:sz w:val="20"/>
              </w:rPr>
            </w:pPr>
            <w:r>
              <w:rPr>
                <w:sz w:val="20"/>
              </w:rPr>
              <w:t>Goals</w:t>
            </w:r>
            <w:r>
              <w:rPr>
                <w:spacing w:val="-5"/>
                <w:sz w:val="20"/>
              </w:rPr>
              <w:t> </w:t>
            </w:r>
            <w:r>
              <w:rPr>
                <w:spacing w:val="-2"/>
                <w:sz w:val="20"/>
              </w:rPr>
              <w:t>(Impacts)</w:t>
            </w:r>
          </w:p>
        </w:tc>
      </w:tr>
      <w:tr>
        <w:trPr>
          <w:trHeight w:val="921" w:hRule="atLeast"/>
        </w:trPr>
        <w:tc>
          <w:tcPr>
            <w:tcW w:w="3766" w:type="dxa"/>
            <w:gridSpan w:val="2"/>
            <w:tcBorders>
              <w:top w:val="single" w:sz="8" w:space="0" w:color="4AACC5"/>
              <w:bottom w:val="single" w:sz="8" w:space="0" w:color="4AACC5"/>
            </w:tcBorders>
          </w:tcPr>
          <w:p>
            <w:pPr>
              <w:pStyle w:val="TableParagraph"/>
              <w:spacing w:line="228" w:lineRule="exact"/>
              <w:ind w:left="134"/>
              <w:jc w:val="center"/>
              <w:rPr>
                <w:b/>
                <w:sz w:val="20"/>
              </w:rPr>
            </w:pPr>
            <w:r>
              <w:rPr>
                <w:b/>
                <w:spacing w:val="-2"/>
                <w:sz w:val="20"/>
              </w:rPr>
              <w:t>Efficiency</w:t>
            </w:r>
          </w:p>
        </w:tc>
        <w:tc>
          <w:tcPr>
            <w:tcW w:w="1275" w:type="dxa"/>
            <w:tcBorders>
              <w:top w:val="single" w:sz="8" w:space="0" w:color="4AACC5"/>
              <w:bottom w:val="single" w:sz="8" w:space="0" w:color="4AACC5"/>
            </w:tcBorders>
          </w:tcPr>
          <w:p>
            <w:pPr>
              <w:pStyle w:val="TableParagraph"/>
              <w:rPr>
                <w:sz w:val="22"/>
              </w:rPr>
            </w:pPr>
          </w:p>
        </w:tc>
        <w:tc>
          <w:tcPr>
            <w:tcW w:w="3995" w:type="dxa"/>
            <w:gridSpan w:val="2"/>
            <w:tcBorders>
              <w:top w:val="single" w:sz="8" w:space="0" w:color="4AACC5"/>
              <w:bottom w:val="single" w:sz="8" w:space="0" w:color="4AACC5"/>
            </w:tcBorders>
          </w:tcPr>
          <w:p>
            <w:pPr>
              <w:pStyle w:val="TableParagraph"/>
              <w:spacing w:line="228" w:lineRule="exact"/>
              <w:ind w:right="2"/>
              <w:jc w:val="center"/>
              <w:rPr>
                <w:b/>
                <w:sz w:val="20"/>
              </w:rPr>
            </w:pPr>
            <w:r>
              <w:rPr>
                <w:b/>
                <w:spacing w:val="-2"/>
                <w:sz w:val="20"/>
              </w:rPr>
              <w:t>Effectiveness</w:t>
            </w:r>
          </w:p>
        </w:tc>
      </w:tr>
      <w:tr>
        <w:trPr>
          <w:trHeight w:val="227" w:hRule="atLeast"/>
        </w:trPr>
        <w:tc>
          <w:tcPr>
            <w:tcW w:w="1589" w:type="dxa"/>
            <w:tcBorders>
              <w:top w:val="single" w:sz="8" w:space="0" w:color="4AACC5"/>
            </w:tcBorders>
            <w:shd w:val="clear" w:color="auto" w:fill="D2EAF0"/>
          </w:tcPr>
          <w:p>
            <w:pPr>
              <w:pStyle w:val="TableParagraph"/>
              <w:spacing w:line="208" w:lineRule="exact"/>
              <w:ind w:left="122"/>
              <w:rPr>
                <w:sz w:val="20"/>
              </w:rPr>
            </w:pPr>
            <w:r>
              <w:rPr>
                <w:sz w:val="20"/>
              </w:rPr>
              <w:t>Resources</w:t>
            </w:r>
            <w:r>
              <w:rPr>
                <w:spacing w:val="-11"/>
                <w:sz w:val="20"/>
              </w:rPr>
              <w:t> </w:t>
            </w:r>
            <w:r>
              <w:rPr>
                <w:spacing w:val="-5"/>
                <w:sz w:val="20"/>
              </w:rPr>
              <w:t>to</w:t>
            </w:r>
          </w:p>
        </w:tc>
        <w:tc>
          <w:tcPr>
            <w:tcW w:w="2177" w:type="dxa"/>
            <w:tcBorders>
              <w:top w:val="single" w:sz="8" w:space="0" w:color="4AACC5"/>
            </w:tcBorders>
            <w:shd w:val="clear" w:color="auto" w:fill="D2EAF0"/>
          </w:tcPr>
          <w:p>
            <w:pPr>
              <w:pStyle w:val="TableParagraph"/>
              <w:spacing w:line="208" w:lineRule="exact"/>
              <w:ind w:left="441"/>
              <w:rPr>
                <w:sz w:val="20"/>
              </w:rPr>
            </w:pPr>
            <w:r>
              <w:rPr>
                <w:sz w:val="20"/>
              </w:rPr>
              <w:t>Tasks</w:t>
            </w:r>
            <w:r>
              <w:rPr>
                <w:spacing w:val="-6"/>
                <w:sz w:val="20"/>
              </w:rPr>
              <w:t> </w:t>
            </w:r>
            <w:r>
              <w:rPr>
                <w:spacing w:val="-2"/>
                <w:sz w:val="20"/>
              </w:rPr>
              <w:t>undertaken</w:t>
            </w:r>
          </w:p>
        </w:tc>
        <w:tc>
          <w:tcPr>
            <w:tcW w:w="1275" w:type="dxa"/>
            <w:tcBorders>
              <w:top w:val="single" w:sz="8" w:space="0" w:color="4AACC5"/>
            </w:tcBorders>
            <w:shd w:val="clear" w:color="auto" w:fill="D2EAF0"/>
          </w:tcPr>
          <w:p>
            <w:pPr>
              <w:pStyle w:val="TableParagraph"/>
              <w:spacing w:line="208" w:lineRule="exact"/>
              <w:ind w:left="333"/>
              <w:rPr>
                <w:sz w:val="20"/>
              </w:rPr>
            </w:pPr>
            <w:r>
              <w:rPr>
                <w:spacing w:val="-2"/>
                <w:sz w:val="20"/>
              </w:rPr>
              <w:t>Products/</w:t>
            </w:r>
          </w:p>
        </w:tc>
        <w:tc>
          <w:tcPr>
            <w:tcW w:w="1640" w:type="dxa"/>
            <w:tcBorders>
              <w:top w:val="single" w:sz="8" w:space="0" w:color="4AACC5"/>
            </w:tcBorders>
            <w:shd w:val="clear" w:color="auto" w:fill="D2EAF0"/>
          </w:tcPr>
          <w:p>
            <w:pPr>
              <w:pStyle w:val="TableParagraph"/>
              <w:spacing w:line="208" w:lineRule="exact"/>
              <w:ind w:left="139"/>
              <w:rPr>
                <w:sz w:val="20"/>
              </w:rPr>
            </w:pPr>
            <w:r>
              <w:rPr>
                <w:spacing w:val="-2"/>
                <w:sz w:val="20"/>
              </w:rPr>
              <w:t>Intermediate</w:t>
            </w:r>
          </w:p>
        </w:tc>
        <w:tc>
          <w:tcPr>
            <w:tcW w:w="2355" w:type="dxa"/>
            <w:tcBorders>
              <w:top w:val="single" w:sz="8" w:space="0" w:color="4AACC5"/>
            </w:tcBorders>
            <w:shd w:val="clear" w:color="auto" w:fill="D2EAF0"/>
          </w:tcPr>
          <w:p>
            <w:pPr>
              <w:pStyle w:val="TableParagraph"/>
              <w:spacing w:line="208" w:lineRule="exact"/>
              <w:ind w:left="479"/>
              <w:rPr>
                <w:sz w:val="20"/>
              </w:rPr>
            </w:pPr>
            <w:r>
              <w:rPr>
                <w:spacing w:val="-2"/>
                <w:sz w:val="20"/>
              </w:rPr>
              <w:t>Long-</w:t>
            </w:r>
            <w:r>
              <w:rPr>
                <w:spacing w:val="-4"/>
                <w:sz w:val="20"/>
              </w:rPr>
              <w:t>term</w:t>
            </w:r>
          </w:p>
        </w:tc>
      </w:tr>
      <w:tr>
        <w:trPr>
          <w:trHeight w:val="230" w:hRule="atLeast"/>
        </w:trPr>
        <w:tc>
          <w:tcPr>
            <w:tcW w:w="1589" w:type="dxa"/>
            <w:shd w:val="clear" w:color="auto" w:fill="D2EAF0"/>
          </w:tcPr>
          <w:p>
            <w:pPr>
              <w:pStyle w:val="TableParagraph"/>
              <w:spacing w:line="210" w:lineRule="exact"/>
              <w:ind w:left="122"/>
              <w:rPr>
                <w:sz w:val="20"/>
              </w:rPr>
            </w:pPr>
            <w:r>
              <w:rPr>
                <w:spacing w:val="-2"/>
                <w:sz w:val="20"/>
              </w:rPr>
              <w:t>produce</w:t>
            </w:r>
          </w:p>
        </w:tc>
        <w:tc>
          <w:tcPr>
            <w:tcW w:w="2177" w:type="dxa"/>
            <w:shd w:val="clear" w:color="auto" w:fill="D2EAF0"/>
          </w:tcPr>
          <w:p>
            <w:pPr>
              <w:pStyle w:val="TableParagraph"/>
              <w:spacing w:line="210" w:lineRule="exact"/>
              <w:ind w:left="441"/>
              <w:rPr>
                <w:sz w:val="20"/>
              </w:rPr>
            </w:pPr>
            <w:r>
              <w:rPr>
                <w:spacing w:val="-5"/>
                <w:sz w:val="20"/>
              </w:rPr>
              <w:t>to</w:t>
            </w:r>
          </w:p>
        </w:tc>
        <w:tc>
          <w:tcPr>
            <w:tcW w:w="1275" w:type="dxa"/>
            <w:shd w:val="clear" w:color="auto" w:fill="D2EAF0"/>
          </w:tcPr>
          <w:p>
            <w:pPr>
              <w:pStyle w:val="TableParagraph"/>
              <w:spacing w:line="210" w:lineRule="exact"/>
              <w:ind w:left="333"/>
              <w:rPr>
                <w:sz w:val="20"/>
              </w:rPr>
            </w:pPr>
            <w:r>
              <w:rPr>
                <w:spacing w:val="-2"/>
                <w:sz w:val="20"/>
              </w:rPr>
              <w:t>services</w:t>
            </w:r>
          </w:p>
        </w:tc>
        <w:tc>
          <w:tcPr>
            <w:tcW w:w="1640" w:type="dxa"/>
            <w:shd w:val="clear" w:color="auto" w:fill="D2EAF0"/>
          </w:tcPr>
          <w:p>
            <w:pPr>
              <w:pStyle w:val="TableParagraph"/>
              <w:spacing w:line="210" w:lineRule="exact"/>
              <w:ind w:left="139"/>
              <w:rPr>
                <w:sz w:val="20"/>
              </w:rPr>
            </w:pPr>
            <w:r>
              <w:rPr>
                <w:sz w:val="20"/>
              </w:rPr>
              <w:t>effects</w:t>
            </w:r>
            <w:r>
              <w:rPr>
                <w:spacing w:val="-9"/>
                <w:sz w:val="20"/>
              </w:rPr>
              <w:t> </w:t>
            </w:r>
            <w:r>
              <w:rPr>
                <w:spacing w:val="-5"/>
                <w:sz w:val="20"/>
              </w:rPr>
              <w:t>of</w:t>
            </w:r>
          </w:p>
        </w:tc>
        <w:tc>
          <w:tcPr>
            <w:tcW w:w="2355" w:type="dxa"/>
            <w:shd w:val="clear" w:color="auto" w:fill="D2EAF0"/>
          </w:tcPr>
          <w:p>
            <w:pPr>
              <w:pStyle w:val="TableParagraph"/>
              <w:spacing w:line="210" w:lineRule="exact"/>
              <w:ind w:left="479"/>
              <w:rPr>
                <w:sz w:val="20"/>
              </w:rPr>
            </w:pPr>
            <w:r>
              <w:rPr>
                <w:spacing w:val="-2"/>
                <w:sz w:val="20"/>
              </w:rPr>
              <w:t>improvement</w:t>
            </w:r>
            <w:r>
              <w:rPr>
                <w:spacing w:val="7"/>
                <w:sz w:val="20"/>
              </w:rPr>
              <w:t> </w:t>
            </w:r>
            <w:r>
              <w:rPr>
                <w:spacing w:val="-5"/>
                <w:sz w:val="20"/>
              </w:rPr>
              <w:t>in</w:t>
            </w:r>
          </w:p>
        </w:tc>
      </w:tr>
      <w:tr>
        <w:trPr>
          <w:trHeight w:val="230" w:hRule="atLeast"/>
        </w:trPr>
        <w:tc>
          <w:tcPr>
            <w:tcW w:w="1589" w:type="dxa"/>
            <w:shd w:val="clear" w:color="auto" w:fill="D2EAF0"/>
          </w:tcPr>
          <w:p>
            <w:pPr>
              <w:pStyle w:val="TableParagraph"/>
              <w:spacing w:line="210" w:lineRule="exact"/>
              <w:ind w:left="122"/>
              <w:rPr>
                <w:sz w:val="20"/>
              </w:rPr>
            </w:pPr>
            <w:r>
              <w:rPr>
                <w:spacing w:val="-2"/>
                <w:sz w:val="20"/>
              </w:rPr>
              <w:t>outputs</w:t>
            </w:r>
          </w:p>
        </w:tc>
        <w:tc>
          <w:tcPr>
            <w:tcW w:w="2177" w:type="dxa"/>
            <w:shd w:val="clear" w:color="auto" w:fill="D2EAF0"/>
          </w:tcPr>
          <w:p>
            <w:pPr>
              <w:pStyle w:val="TableParagraph"/>
              <w:spacing w:line="210" w:lineRule="exact"/>
              <w:ind w:left="441"/>
              <w:rPr>
                <w:sz w:val="20"/>
              </w:rPr>
            </w:pPr>
            <w:r>
              <w:rPr>
                <w:spacing w:val="-2"/>
                <w:sz w:val="20"/>
              </w:rPr>
              <w:t>transform</w:t>
            </w:r>
          </w:p>
        </w:tc>
        <w:tc>
          <w:tcPr>
            <w:tcW w:w="1275" w:type="dxa"/>
            <w:shd w:val="clear" w:color="auto" w:fill="D2EAF0"/>
          </w:tcPr>
          <w:p>
            <w:pPr>
              <w:pStyle w:val="TableParagraph"/>
              <w:spacing w:line="210" w:lineRule="exact"/>
              <w:ind w:left="333"/>
              <w:rPr>
                <w:sz w:val="20"/>
              </w:rPr>
            </w:pPr>
            <w:r>
              <w:rPr>
                <w:spacing w:val="-2"/>
                <w:sz w:val="20"/>
              </w:rPr>
              <w:t>produced/</w:t>
            </w:r>
          </w:p>
        </w:tc>
        <w:tc>
          <w:tcPr>
            <w:tcW w:w="1640" w:type="dxa"/>
            <w:shd w:val="clear" w:color="auto" w:fill="D2EAF0"/>
          </w:tcPr>
          <w:p>
            <w:pPr>
              <w:pStyle w:val="TableParagraph"/>
              <w:spacing w:line="210" w:lineRule="exact"/>
              <w:ind w:left="139"/>
              <w:rPr>
                <w:sz w:val="20"/>
              </w:rPr>
            </w:pPr>
            <w:r>
              <w:rPr>
                <w:sz w:val="20"/>
              </w:rPr>
              <w:t>outputs</w:t>
            </w:r>
            <w:r>
              <w:rPr>
                <w:spacing w:val="-10"/>
                <w:sz w:val="20"/>
              </w:rPr>
              <w:t> </w:t>
            </w:r>
            <w:r>
              <w:rPr>
                <w:spacing w:val="-5"/>
                <w:sz w:val="20"/>
              </w:rPr>
              <w:t>on</w:t>
            </w:r>
          </w:p>
        </w:tc>
        <w:tc>
          <w:tcPr>
            <w:tcW w:w="2355" w:type="dxa"/>
            <w:shd w:val="clear" w:color="auto" w:fill="D2EAF0"/>
          </w:tcPr>
          <w:p>
            <w:pPr>
              <w:pStyle w:val="TableParagraph"/>
              <w:spacing w:line="210" w:lineRule="exact"/>
              <w:ind w:left="479"/>
              <w:rPr>
                <w:sz w:val="20"/>
              </w:rPr>
            </w:pPr>
            <w:r>
              <w:rPr>
                <w:spacing w:val="-2"/>
                <w:sz w:val="20"/>
              </w:rPr>
              <w:t>beneficiaries</w:t>
            </w:r>
          </w:p>
        </w:tc>
      </w:tr>
      <w:tr>
        <w:trPr>
          <w:trHeight w:val="229" w:hRule="atLeast"/>
        </w:trPr>
        <w:tc>
          <w:tcPr>
            <w:tcW w:w="1589" w:type="dxa"/>
            <w:shd w:val="clear" w:color="auto" w:fill="D2EAF0"/>
          </w:tcPr>
          <w:p>
            <w:pPr>
              <w:pStyle w:val="TableParagraph"/>
              <w:rPr>
                <w:sz w:val="16"/>
              </w:rPr>
            </w:pPr>
          </w:p>
        </w:tc>
        <w:tc>
          <w:tcPr>
            <w:tcW w:w="2177" w:type="dxa"/>
            <w:shd w:val="clear" w:color="auto" w:fill="D2EAF0"/>
          </w:tcPr>
          <w:p>
            <w:pPr>
              <w:pStyle w:val="TableParagraph"/>
              <w:spacing w:line="209" w:lineRule="exact"/>
              <w:ind w:left="441"/>
              <w:rPr>
                <w:sz w:val="20"/>
              </w:rPr>
            </w:pPr>
            <w:r>
              <w:rPr>
                <w:sz w:val="20"/>
              </w:rPr>
              <w:t>inputs</w:t>
            </w:r>
            <w:r>
              <w:rPr>
                <w:spacing w:val="-7"/>
                <w:sz w:val="20"/>
              </w:rPr>
              <w:t> </w:t>
            </w:r>
            <w:r>
              <w:rPr>
                <w:spacing w:val="-4"/>
                <w:sz w:val="20"/>
              </w:rPr>
              <w:t>into</w:t>
            </w:r>
          </w:p>
        </w:tc>
        <w:tc>
          <w:tcPr>
            <w:tcW w:w="1275" w:type="dxa"/>
            <w:shd w:val="clear" w:color="auto" w:fill="D2EAF0"/>
          </w:tcPr>
          <w:p>
            <w:pPr>
              <w:pStyle w:val="TableParagraph"/>
              <w:spacing w:line="209" w:lineRule="exact"/>
              <w:ind w:left="333"/>
              <w:rPr>
                <w:sz w:val="20"/>
              </w:rPr>
            </w:pPr>
            <w:r>
              <w:rPr>
                <w:spacing w:val="-2"/>
                <w:sz w:val="20"/>
              </w:rPr>
              <w:t>delivered</w:t>
            </w:r>
          </w:p>
        </w:tc>
        <w:tc>
          <w:tcPr>
            <w:tcW w:w="1640" w:type="dxa"/>
            <w:shd w:val="clear" w:color="auto" w:fill="D2EAF0"/>
          </w:tcPr>
          <w:p>
            <w:pPr>
              <w:pStyle w:val="TableParagraph"/>
              <w:spacing w:line="209" w:lineRule="exact"/>
              <w:ind w:left="139"/>
              <w:rPr>
                <w:sz w:val="20"/>
              </w:rPr>
            </w:pPr>
            <w:r>
              <w:rPr>
                <w:spacing w:val="-2"/>
                <w:sz w:val="20"/>
              </w:rPr>
              <w:t>beneficiaries</w:t>
            </w:r>
          </w:p>
        </w:tc>
        <w:tc>
          <w:tcPr>
            <w:tcW w:w="2355" w:type="dxa"/>
            <w:shd w:val="clear" w:color="auto" w:fill="D2EAF0"/>
          </w:tcPr>
          <w:p>
            <w:pPr>
              <w:pStyle w:val="TableParagraph"/>
              <w:rPr>
                <w:sz w:val="16"/>
              </w:rPr>
            </w:pPr>
          </w:p>
        </w:tc>
      </w:tr>
      <w:tr>
        <w:trPr>
          <w:trHeight w:val="233" w:hRule="atLeast"/>
        </w:trPr>
        <w:tc>
          <w:tcPr>
            <w:tcW w:w="1589" w:type="dxa"/>
            <w:tcBorders>
              <w:bottom w:val="single" w:sz="8" w:space="0" w:color="4AACC5"/>
            </w:tcBorders>
            <w:shd w:val="clear" w:color="auto" w:fill="D2EAF0"/>
          </w:tcPr>
          <w:p>
            <w:pPr>
              <w:pStyle w:val="TableParagraph"/>
              <w:rPr>
                <w:sz w:val="16"/>
              </w:rPr>
            </w:pPr>
          </w:p>
        </w:tc>
        <w:tc>
          <w:tcPr>
            <w:tcW w:w="2177" w:type="dxa"/>
            <w:tcBorders>
              <w:bottom w:val="single" w:sz="8" w:space="0" w:color="4AACC5"/>
            </w:tcBorders>
            <w:shd w:val="clear" w:color="auto" w:fill="D2EAF0"/>
          </w:tcPr>
          <w:p>
            <w:pPr>
              <w:pStyle w:val="TableParagraph"/>
              <w:spacing w:line="214" w:lineRule="exact"/>
              <w:ind w:left="441"/>
              <w:rPr>
                <w:sz w:val="20"/>
              </w:rPr>
            </w:pPr>
            <w:r>
              <w:rPr>
                <w:spacing w:val="-2"/>
                <w:sz w:val="20"/>
              </w:rPr>
              <w:t>outputs</w:t>
            </w:r>
          </w:p>
        </w:tc>
        <w:tc>
          <w:tcPr>
            <w:tcW w:w="1275" w:type="dxa"/>
            <w:tcBorders>
              <w:bottom w:val="single" w:sz="8" w:space="0" w:color="4AACC5"/>
            </w:tcBorders>
            <w:shd w:val="clear" w:color="auto" w:fill="D2EAF0"/>
          </w:tcPr>
          <w:p>
            <w:pPr>
              <w:pStyle w:val="TableParagraph"/>
              <w:rPr>
                <w:sz w:val="16"/>
              </w:rPr>
            </w:pPr>
          </w:p>
        </w:tc>
        <w:tc>
          <w:tcPr>
            <w:tcW w:w="1640" w:type="dxa"/>
            <w:tcBorders>
              <w:bottom w:val="single" w:sz="8" w:space="0" w:color="4AACC5"/>
            </w:tcBorders>
            <w:shd w:val="clear" w:color="auto" w:fill="D2EAF0"/>
          </w:tcPr>
          <w:p>
            <w:pPr>
              <w:pStyle w:val="TableParagraph"/>
              <w:rPr>
                <w:sz w:val="16"/>
              </w:rPr>
            </w:pPr>
          </w:p>
        </w:tc>
        <w:tc>
          <w:tcPr>
            <w:tcW w:w="2355" w:type="dxa"/>
            <w:tcBorders>
              <w:bottom w:val="single" w:sz="8" w:space="0" w:color="4AACC5"/>
            </w:tcBorders>
            <w:shd w:val="clear" w:color="auto" w:fill="D2EAF0"/>
          </w:tcPr>
          <w:p>
            <w:pPr>
              <w:pStyle w:val="TableParagraph"/>
              <w:rPr>
                <w:sz w:val="16"/>
              </w:rPr>
            </w:pPr>
          </w:p>
        </w:tc>
      </w:tr>
    </w:tbl>
    <w:p>
      <w:pPr>
        <w:spacing w:before="0"/>
        <w:ind w:left="240" w:right="0" w:firstLine="0"/>
        <w:jc w:val="left"/>
        <w:rPr>
          <w:sz w:val="24"/>
        </w:rPr>
      </w:pPr>
      <w:r>
        <w:rPr>
          <w:b/>
          <w:sz w:val="24"/>
        </w:rPr>
        <w:t>Source:</w:t>
      </w:r>
      <w:r>
        <w:rPr>
          <w:b/>
          <w:spacing w:val="-3"/>
          <w:sz w:val="24"/>
        </w:rPr>
        <w:t> </w:t>
      </w:r>
      <w:r>
        <w:rPr>
          <w:sz w:val="24"/>
        </w:rPr>
        <w:t>Castro</w:t>
      </w:r>
      <w:r>
        <w:rPr>
          <w:spacing w:val="-2"/>
          <w:sz w:val="24"/>
        </w:rPr>
        <w:t> (2011)</w:t>
      </w:r>
    </w:p>
    <w:p>
      <w:pPr>
        <w:pStyle w:val="BodyText"/>
      </w:pPr>
    </w:p>
    <w:p>
      <w:pPr>
        <w:pStyle w:val="BodyText"/>
        <w:spacing w:before="95"/>
      </w:pPr>
    </w:p>
    <w:p>
      <w:pPr>
        <w:pStyle w:val="Heading4"/>
        <w:numPr>
          <w:ilvl w:val="2"/>
          <w:numId w:val="7"/>
        </w:numPr>
        <w:tabs>
          <w:tab w:pos="780" w:val="left" w:leader="none"/>
        </w:tabs>
        <w:spacing w:line="240" w:lineRule="auto" w:before="0" w:after="0"/>
        <w:ind w:left="780" w:right="0" w:hanging="540"/>
        <w:jc w:val="left"/>
      </w:pPr>
      <w:r>
        <w:rPr/>
        <w:t>Budget </w:t>
      </w:r>
      <w:r>
        <w:rPr>
          <w:spacing w:val="-2"/>
        </w:rPr>
        <w:t>Performance</w:t>
      </w:r>
    </w:p>
    <w:p>
      <w:pPr>
        <w:pStyle w:val="BodyText"/>
        <w:spacing w:before="132"/>
        <w:ind w:left="240"/>
      </w:pPr>
      <w:r>
        <w:rPr/>
        <w:t>Omolehinwa</w:t>
      </w:r>
      <w:r>
        <w:rPr>
          <w:spacing w:val="-5"/>
        </w:rPr>
        <w:t> </w:t>
      </w:r>
      <w:r>
        <w:rPr/>
        <w:t>(2014)</w:t>
      </w:r>
      <w:r>
        <w:rPr>
          <w:spacing w:val="-1"/>
        </w:rPr>
        <w:t> </w:t>
      </w:r>
      <w:r>
        <w:rPr/>
        <w:t>defines</w:t>
      </w:r>
      <w:r>
        <w:rPr>
          <w:spacing w:val="-1"/>
        </w:rPr>
        <w:t> </w:t>
      </w:r>
      <w:r>
        <w:rPr/>
        <w:t>budget performance</w:t>
      </w:r>
      <w:r>
        <w:rPr>
          <w:spacing w:val="1"/>
        </w:rPr>
        <w:t> </w:t>
      </w:r>
      <w:r>
        <w:rPr/>
        <w:t>as</w:t>
      </w:r>
      <w:r>
        <w:rPr>
          <w:spacing w:val="-1"/>
        </w:rPr>
        <w:t> </w:t>
      </w:r>
      <w:r>
        <w:rPr/>
        <w:t>the extent to</w:t>
      </w:r>
      <w:r>
        <w:rPr>
          <w:spacing w:val="-1"/>
        </w:rPr>
        <w:t> </w:t>
      </w:r>
      <w:r>
        <w:rPr/>
        <w:t>which the</w:t>
      </w:r>
      <w:r>
        <w:rPr>
          <w:spacing w:val="-1"/>
        </w:rPr>
        <w:t> </w:t>
      </w:r>
      <w:r>
        <w:rPr>
          <w:spacing w:val="-2"/>
        </w:rPr>
        <w:t>budget:</w:t>
      </w:r>
    </w:p>
    <w:p>
      <w:pPr>
        <w:pStyle w:val="ListParagraph"/>
        <w:numPr>
          <w:ilvl w:val="0"/>
          <w:numId w:val="22"/>
        </w:numPr>
        <w:tabs>
          <w:tab w:pos="959" w:val="left" w:leader="none"/>
        </w:tabs>
        <w:spacing w:line="240" w:lineRule="auto" w:before="139" w:after="0"/>
        <w:ind w:left="959" w:right="0" w:hanging="359"/>
        <w:jc w:val="both"/>
        <w:rPr>
          <w:sz w:val="24"/>
        </w:rPr>
      </w:pPr>
      <w:r>
        <w:rPr>
          <w:sz w:val="24"/>
        </w:rPr>
        <w:t>Provides</w:t>
      </w:r>
      <w:r>
        <w:rPr>
          <w:spacing w:val="-4"/>
          <w:sz w:val="24"/>
        </w:rPr>
        <w:t> </w:t>
      </w:r>
      <w:r>
        <w:rPr>
          <w:sz w:val="24"/>
        </w:rPr>
        <w:t>infrastructural</w:t>
      </w:r>
      <w:r>
        <w:rPr>
          <w:spacing w:val="-1"/>
          <w:sz w:val="24"/>
        </w:rPr>
        <w:t> </w:t>
      </w:r>
      <w:r>
        <w:rPr>
          <w:sz w:val="24"/>
        </w:rPr>
        <w:t>facilities</w:t>
      </w:r>
      <w:r>
        <w:rPr>
          <w:spacing w:val="-1"/>
          <w:sz w:val="24"/>
        </w:rPr>
        <w:t> </w:t>
      </w:r>
      <w:r>
        <w:rPr>
          <w:sz w:val="24"/>
        </w:rPr>
        <w:t>for</w:t>
      </w:r>
      <w:r>
        <w:rPr>
          <w:spacing w:val="-3"/>
          <w:sz w:val="24"/>
        </w:rPr>
        <w:t> </w:t>
      </w:r>
      <w:r>
        <w:rPr>
          <w:sz w:val="24"/>
        </w:rPr>
        <w:t>all</w:t>
      </w:r>
      <w:r>
        <w:rPr>
          <w:spacing w:val="-1"/>
          <w:sz w:val="24"/>
        </w:rPr>
        <w:t> </w:t>
      </w:r>
      <w:r>
        <w:rPr>
          <w:spacing w:val="-2"/>
          <w:sz w:val="24"/>
        </w:rPr>
        <w:t>citizens;</w:t>
      </w:r>
    </w:p>
    <w:p>
      <w:pPr>
        <w:pStyle w:val="ListParagraph"/>
        <w:numPr>
          <w:ilvl w:val="0"/>
          <w:numId w:val="22"/>
        </w:numPr>
        <w:tabs>
          <w:tab w:pos="960" w:val="left" w:leader="none"/>
        </w:tabs>
        <w:spacing w:line="360" w:lineRule="auto" w:before="137" w:after="0"/>
        <w:ind w:left="960" w:right="843" w:hanging="360"/>
        <w:jc w:val="both"/>
        <w:rPr>
          <w:sz w:val="24"/>
        </w:rPr>
      </w:pPr>
      <w:r>
        <w:rPr>
          <w:sz w:val="24"/>
        </w:rPr>
        <w:t>Facilitates economic growth and development, without having to allow a few people to monopolize the resources of the state;</w:t>
      </w:r>
    </w:p>
    <w:p>
      <w:pPr>
        <w:pStyle w:val="ListParagraph"/>
        <w:numPr>
          <w:ilvl w:val="0"/>
          <w:numId w:val="22"/>
        </w:numPr>
        <w:tabs>
          <w:tab w:pos="960" w:val="left" w:leader="none"/>
        </w:tabs>
        <w:spacing w:line="360" w:lineRule="auto" w:before="0" w:after="0"/>
        <w:ind w:left="960" w:right="844" w:hanging="360"/>
        <w:jc w:val="both"/>
        <w:rPr>
          <w:sz w:val="24"/>
        </w:rPr>
      </w:pPr>
      <w:r>
        <w:rPr>
          <w:sz w:val="24"/>
        </w:rPr>
        <w:t>Provides the enabling environment for business activities to thrive, including security for all, affordable interest rate;</w:t>
      </w:r>
    </w:p>
    <w:p>
      <w:pPr>
        <w:pStyle w:val="ListParagraph"/>
        <w:numPr>
          <w:ilvl w:val="0"/>
          <w:numId w:val="22"/>
        </w:numPr>
        <w:tabs>
          <w:tab w:pos="960" w:val="left" w:leader="none"/>
        </w:tabs>
        <w:spacing w:line="360" w:lineRule="auto" w:before="0" w:after="0"/>
        <w:ind w:left="960" w:right="842" w:hanging="360"/>
        <w:jc w:val="both"/>
        <w:rPr>
          <w:sz w:val="24"/>
        </w:rPr>
      </w:pPr>
      <w:r>
        <w:rPr>
          <w:sz w:val="24"/>
        </w:rPr>
        <w:t>Convince the generality of the citizens that they are not excluded from the resource allocation as the government is thinking about them, thereby encouraging them to pay their taxes.</w:t>
      </w:r>
    </w:p>
    <w:p>
      <w:pPr>
        <w:pStyle w:val="BodyText"/>
        <w:spacing w:before="139"/>
      </w:pPr>
    </w:p>
    <w:p>
      <w:pPr>
        <w:pStyle w:val="BodyText"/>
        <w:spacing w:line="360" w:lineRule="auto"/>
        <w:ind w:left="240" w:right="837"/>
        <w:jc w:val="both"/>
      </w:pPr>
      <w:r>
        <w:rPr/>
        <w:t>From the foregoing, it is obvious that the</w:t>
      </w:r>
      <w:r>
        <w:rPr>
          <w:spacing w:val="-1"/>
        </w:rPr>
        <w:t> </w:t>
      </w:r>
      <w:r>
        <w:rPr/>
        <w:t>implementation of budget is one</w:t>
      </w:r>
      <w:r>
        <w:rPr>
          <w:spacing w:val="-1"/>
        </w:rPr>
        <w:t> </w:t>
      </w:r>
      <w:r>
        <w:rPr/>
        <w:t>of the key</w:t>
      </w:r>
      <w:r>
        <w:rPr>
          <w:spacing w:val="-3"/>
        </w:rPr>
        <w:t> </w:t>
      </w:r>
      <w:r>
        <w:rPr/>
        <w:t>instruments of public service delivery as well as development. Efficiency and effectiveness of a public</w:t>
      </w:r>
      <w:r>
        <w:rPr>
          <w:spacing w:val="40"/>
        </w:rPr>
        <w:t> </w:t>
      </w:r>
      <w:r>
        <w:rPr/>
        <w:t>budget refers to the interplay of relationships between inputs, outputs and final outcomes of budget objectives. This means that if the final outcomes of a public budget cannot be reached, inputs, activities and outputs mean little or nothing (Amakom, 2013).</w:t>
      </w:r>
    </w:p>
    <w:p>
      <w:pPr>
        <w:spacing w:after="0" w:line="360" w:lineRule="auto"/>
        <w:jc w:val="both"/>
        <w:sectPr>
          <w:pgSz w:w="12240" w:h="15840"/>
          <w:pgMar w:header="0" w:footer="1036" w:top="1360" w:bottom="1220" w:left="1200" w:right="600"/>
        </w:sectPr>
      </w:pPr>
    </w:p>
    <w:p>
      <w:pPr>
        <w:pStyle w:val="BodyText"/>
        <w:spacing w:before="74"/>
        <w:ind w:left="240"/>
      </w:pPr>
      <w:r>
        <w:rPr/>
        <w:t>Rozner</w:t>
      </w:r>
      <w:r>
        <w:rPr>
          <w:spacing w:val="-4"/>
        </w:rPr>
        <w:t> </w:t>
      </w:r>
      <w:r>
        <w:rPr/>
        <w:t>(2013)</w:t>
      </w:r>
      <w:r>
        <w:rPr>
          <w:spacing w:val="-2"/>
        </w:rPr>
        <w:t> </w:t>
      </w:r>
      <w:r>
        <w:rPr/>
        <w:t>explains</w:t>
      </w:r>
      <w:r>
        <w:rPr>
          <w:spacing w:val="-1"/>
        </w:rPr>
        <w:t> </w:t>
      </w:r>
      <w:r>
        <w:rPr/>
        <w:t>the</w:t>
      </w:r>
      <w:r>
        <w:rPr>
          <w:spacing w:val="-3"/>
        </w:rPr>
        <w:t> </w:t>
      </w:r>
      <w:r>
        <w:rPr/>
        <w:t>components</w:t>
      </w:r>
      <w:r>
        <w:rPr>
          <w:spacing w:val="-1"/>
        </w:rPr>
        <w:t> </w:t>
      </w:r>
      <w:r>
        <w:rPr/>
        <w:t>of</w:t>
      </w:r>
      <w:r>
        <w:rPr>
          <w:spacing w:val="-1"/>
        </w:rPr>
        <w:t> </w:t>
      </w:r>
      <w:r>
        <w:rPr/>
        <w:t>budget performance as</w:t>
      </w:r>
      <w:r>
        <w:rPr>
          <w:spacing w:val="-1"/>
        </w:rPr>
        <w:t> </w:t>
      </w:r>
      <w:r>
        <w:rPr>
          <w:spacing w:val="-2"/>
        </w:rPr>
        <w:t>follows:</w:t>
      </w:r>
    </w:p>
    <w:p>
      <w:pPr>
        <w:pStyle w:val="ListParagraph"/>
        <w:numPr>
          <w:ilvl w:val="0"/>
          <w:numId w:val="23"/>
        </w:numPr>
        <w:tabs>
          <w:tab w:pos="959" w:val="left" w:leader="none"/>
        </w:tabs>
        <w:spacing w:line="240" w:lineRule="auto" w:before="137" w:after="0"/>
        <w:ind w:left="959" w:right="0" w:hanging="359"/>
        <w:jc w:val="left"/>
        <w:rPr>
          <w:sz w:val="24"/>
        </w:rPr>
      </w:pPr>
      <w:r>
        <w:rPr>
          <w:b/>
          <w:sz w:val="24"/>
        </w:rPr>
        <w:t>Inputs:</w:t>
      </w:r>
      <w:r>
        <w:rPr>
          <w:b/>
          <w:spacing w:val="-2"/>
          <w:sz w:val="24"/>
        </w:rPr>
        <w:t> </w:t>
      </w:r>
      <w:r>
        <w:rPr>
          <w:sz w:val="24"/>
        </w:rPr>
        <w:t>The</w:t>
      </w:r>
      <w:r>
        <w:rPr>
          <w:spacing w:val="-2"/>
          <w:sz w:val="24"/>
        </w:rPr>
        <w:t> </w:t>
      </w:r>
      <w:r>
        <w:rPr>
          <w:sz w:val="24"/>
        </w:rPr>
        <w:t>resources</w:t>
      </w:r>
      <w:r>
        <w:rPr>
          <w:spacing w:val="-1"/>
          <w:sz w:val="24"/>
        </w:rPr>
        <w:t> </w:t>
      </w:r>
      <w:r>
        <w:rPr>
          <w:sz w:val="24"/>
        </w:rPr>
        <w:t>that the</w:t>
      </w:r>
      <w:r>
        <w:rPr>
          <w:spacing w:val="-1"/>
          <w:sz w:val="24"/>
        </w:rPr>
        <w:t> </w:t>
      </w:r>
      <w:r>
        <w:rPr>
          <w:sz w:val="24"/>
        </w:rPr>
        <w:t>budget program</w:t>
      </w:r>
      <w:r>
        <w:rPr>
          <w:spacing w:val="-1"/>
          <w:sz w:val="24"/>
        </w:rPr>
        <w:t> </w:t>
      </w:r>
      <w:r>
        <w:rPr>
          <w:sz w:val="24"/>
        </w:rPr>
        <w:t>uses</w:t>
      </w:r>
      <w:r>
        <w:rPr>
          <w:spacing w:val="-1"/>
          <w:sz w:val="24"/>
        </w:rPr>
        <w:t> </w:t>
      </w:r>
      <w:r>
        <w:rPr>
          <w:sz w:val="24"/>
        </w:rPr>
        <w:t>in the</w:t>
      </w:r>
      <w:r>
        <w:rPr>
          <w:spacing w:val="-2"/>
          <w:sz w:val="24"/>
        </w:rPr>
        <w:t> </w:t>
      </w:r>
      <w:r>
        <w:rPr>
          <w:sz w:val="24"/>
        </w:rPr>
        <w:t>delivery</w:t>
      </w:r>
      <w:r>
        <w:rPr>
          <w:spacing w:val="-5"/>
          <w:sz w:val="24"/>
        </w:rPr>
        <w:t> </w:t>
      </w:r>
      <w:r>
        <w:rPr>
          <w:sz w:val="24"/>
        </w:rPr>
        <w:t>of</w:t>
      </w:r>
      <w:r>
        <w:rPr>
          <w:spacing w:val="1"/>
          <w:sz w:val="24"/>
        </w:rPr>
        <w:t> </w:t>
      </w:r>
      <w:r>
        <w:rPr>
          <w:sz w:val="24"/>
        </w:rPr>
        <w:t>goods</w:t>
      </w:r>
      <w:r>
        <w:rPr>
          <w:spacing w:val="-1"/>
          <w:sz w:val="24"/>
        </w:rPr>
        <w:t> </w:t>
      </w:r>
      <w:r>
        <w:rPr>
          <w:sz w:val="24"/>
        </w:rPr>
        <w:t>and</w:t>
      </w:r>
      <w:r>
        <w:rPr>
          <w:spacing w:val="-1"/>
          <w:sz w:val="24"/>
        </w:rPr>
        <w:t> </w:t>
      </w:r>
      <w:r>
        <w:rPr>
          <w:spacing w:val="-2"/>
          <w:sz w:val="24"/>
        </w:rPr>
        <w:t>services.</w:t>
      </w:r>
    </w:p>
    <w:p>
      <w:pPr>
        <w:pStyle w:val="ListParagraph"/>
        <w:numPr>
          <w:ilvl w:val="0"/>
          <w:numId w:val="23"/>
        </w:numPr>
        <w:tabs>
          <w:tab w:pos="960" w:val="left" w:leader="none"/>
        </w:tabs>
        <w:spacing w:line="360" w:lineRule="auto" w:before="139" w:after="0"/>
        <w:ind w:left="960" w:right="836" w:hanging="360"/>
        <w:jc w:val="left"/>
        <w:rPr>
          <w:sz w:val="24"/>
        </w:rPr>
      </w:pPr>
      <w:r>
        <w:rPr>
          <w:b/>
          <w:sz w:val="24"/>
        </w:rPr>
        <w:t>Activities</w:t>
      </w:r>
      <w:r>
        <w:rPr>
          <w:sz w:val="24"/>
        </w:rPr>
        <w:t>:</w:t>
      </w:r>
      <w:r>
        <w:rPr>
          <w:spacing w:val="73"/>
          <w:sz w:val="24"/>
        </w:rPr>
        <w:t> </w:t>
      </w:r>
      <w:r>
        <w:rPr>
          <w:sz w:val="24"/>
        </w:rPr>
        <w:t>The</w:t>
      </w:r>
      <w:r>
        <w:rPr>
          <w:spacing w:val="73"/>
          <w:sz w:val="24"/>
        </w:rPr>
        <w:t> </w:t>
      </w:r>
      <w:r>
        <w:rPr>
          <w:sz w:val="24"/>
        </w:rPr>
        <w:t>processes</w:t>
      </w:r>
      <w:r>
        <w:rPr>
          <w:spacing w:val="72"/>
          <w:sz w:val="24"/>
        </w:rPr>
        <w:t> </w:t>
      </w:r>
      <w:r>
        <w:rPr>
          <w:sz w:val="24"/>
        </w:rPr>
        <w:t>and</w:t>
      </w:r>
      <w:r>
        <w:rPr>
          <w:spacing w:val="74"/>
          <w:sz w:val="24"/>
        </w:rPr>
        <w:t> </w:t>
      </w:r>
      <w:r>
        <w:rPr>
          <w:sz w:val="24"/>
        </w:rPr>
        <w:t>actions</w:t>
      </w:r>
      <w:r>
        <w:rPr>
          <w:spacing w:val="72"/>
          <w:sz w:val="24"/>
        </w:rPr>
        <w:t> </w:t>
      </w:r>
      <w:r>
        <w:rPr>
          <w:sz w:val="24"/>
        </w:rPr>
        <w:t>undertaken</w:t>
      </w:r>
      <w:r>
        <w:rPr>
          <w:spacing w:val="72"/>
          <w:sz w:val="24"/>
        </w:rPr>
        <w:t> </w:t>
      </w:r>
      <w:r>
        <w:rPr>
          <w:sz w:val="24"/>
        </w:rPr>
        <w:t>to</w:t>
      </w:r>
      <w:r>
        <w:rPr>
          <w:spacing w:val="73"/>
          <w:sz w:val="24"/>
        </w:rPr>
        <w:t> </w:t>
      </w:r>
      <w:r>
        <w:rPr>
          <w:sz w:val="24"/>
        </w:rPr>
        <w:t>achieve</w:t>
      </w:r>
      <w:r>
        <w:rPr>
          <w:spacing w:val="73"/>
          <w:sz w:val="24"/>
        </w:rPr>
        <w:t> </w:t>
      </w:r>
      <w:r>
        <w:rPr>
          <w:sz w:val="24"/>
        </w:rPr>
        <w:t>the</w:t>
      </w:r>
      <w:r>
        <w:rPr>
          <w:spacing w:val="77"/>
          <w:sz w:val="24"/>
        </w:rPr>
        <w:t> </w:t>
      </w:r>
      <w:r>
        <w:rPr>
          <w:sz w:val="24"/>
        </w:rPr>
        <w:t>budget</w:t>
      </w:r>
      <w:r>
        <w:rPr>
          <w:spacing w:val="76"/>
          <w:sz w:val="24"/>
        </w:rPr>
        <w:t> </w:t>
      </w:r>
      <w:r>
        <w:rPr>
          <w:sz w:val="24"/>
        </w:rPr>
        <w:t>program‘s </w:t>
      </w:r>
      <w:r>
        <w:rPr>
          <w:spacing w:val="-2"/>
          <w:sz w:val="24"/>
        </w:rPr>
        <w:t>objective(s).</w:t>
      </w:r>
    </w:p>
    <w:p>
      <w:pPr>
        <w:pStyle w:val="ListParagraph"/>
        <w:numPr>
          <w:ilvl w:val="0"/>
          <w:numId w:val="23"/>
        </w:numPr>
        <w:tabs>
          <w:tab w:pos="959" w:val="left" w:leader="none"/>
        </w:tabs>
        <w:spacing w:line="240" w:lineRule="auto" w:before="1" w:after="0"/>
        <w:ind w:left="959" w:right="0" w:hanging="359"/>
        <w:jc w:val="left"/>
        <w:rPr>
          <w:sz w:val="24"/>
        </w:rPr>
      </w:pPr>
      <w:r>
        <w:rPr>
          <w:b/>
          <w:sz w:val="24"/>
        </w:rPr>
        <w:t>Outputs:</w:t>
      </w:r>
      <w:r>
        <w:rPr>
          <w:b/>
          <w:spacing w:val="-2"/>
          <w:sz w:val="24"/>
        </w:rPr>
        <w:t> </w:t>
      </w:r>
      <w:r>
        <w:rPr>
          <w:sz w:val="24"/>
        </w:rPr>
        <w:t>The</w:t>
      </w:r>
      <w:r>
        <w:rPr>
          <w:spacing w:val="-3"/>
          <w:sz w:val="24"/>
        </w:rPr>
        <w:t> </w:t>
      </w:r>
      <w:r>
        <w:rPr>
          <w:sz w:val="24"/>
        </w:rPr>
        <w:t>products,</w:t>
      </w:r>
      <w:r>
        <w:rPr>
          <w:spacing w:val="-1"/>
          <w:sz w:val="24"/>
        </w:rPr>
        <w:t> </w:t>
      </w:r>
      <w:r>
        <w:rPr>
          <w:sz w:val="24"/>
        </w:rPr>
        <w:t>services,</w:t>
      </w:r>
      <w:r>
        <w:rPr>
          <w:spacing w:val="-1"/>
          <w:sz w:val="24"/>
        </w:rPr>
        <w:t> </w:t>
      </w:r>
      <w:r>
        <w:rPr>
          <w:sz w:val="24"/>
        </w:rPr>
        <w:t>or results</w:t>
      </w:r>
      <w:r>
        <w:rPr>
          <w:spacing w:val="-1"/>
          <w:sz w:val="24"/>
        </w:rPr>
        <w:t> </w:t>
      </w:r>
      <w:r>
        <w:rPr>
          <w:sz w:val="24"/>
        </w:rPr>
        <w:t>that</w:t>
      </w:r>
      <w:r>
        <w:rPr>
          <w:spacing w:val="-1"/>
          <w:sz w:val="24"/>
        </w:rPr>
        <w:t> </w:t>
      </w:r>
      <w:r>
        <w:rPr>
          <w:sz w:val="24"/>
        </w:rPr>
        <w:t>the budget</w:t>
      </w:r>
      <w:r>
        <w:rPr>
          <w:spacing w:val="-1"/>
          <w:sz w:val="24"/>
        </w:rPr>
        <w:t> </w:t>
      </w:r>
      <w:r>
        <w:rPr>
          <w:sz w:val="24"/>
        </w:rPr>
        <w:t>program</w:t>
      </w:r>
      <w:r>
        <w:rPr>
          <w:spacing w:val="-1"/>
          <w:sz w:val="24"/>
        </w:rPr>
        <w:t> </w:t>
      </w:r>
      <w:r>
        <w:rPr>
          <w:spacing w:val="-2"/>
          <w:sz w:val="24"/>
        </w:rPr>
        <w:t>delivers.</w:t>
      </w:r>
    </w:p>
    <w:p>
      <w:pPr>
        <w:pStyle w:val="ListParagraph"/>
        <w:numPr>
          <w:ilvl w:val="0"/>
          <w:numId w:val="23"/>
        </w:numPr>
        <w:tabs>
          <w:tab w:pos="960" w:val="left" w:leader="none"/>
          <w:tab w:pos="2282" w:val="left" w:leader="none"/>
          <w:tab w:pos="2875" w:val="left" w:leader="none"/>
          <w:tab w:pos="3931" w:val="left" w:leader="none"/>
          <w:tab w:pos="4816" w:val="left" w:leader="none"/>
          <w:tab w:pos="5313" w:val="left" w:leader="none"/>
          <w:tab w:pos="6277" w:val="left" w:leader="none"/>
          <w:tab w:pos="6788" w:val="left" w:leader="none"/>
          <w:tab w:pos="7954" w:val="left" w:leader="none"/>
          <w:tab w:pos="9397" w:val="left" w:leader="none"/>
        </w:tabs>
        <w:spacing w:line="360" w:lineRule="auto" w:before="136" w:after="0"/>
        <w:ind w:left="960" w:right="837" w:hanging="360"/>
        <w:jc w:val="left"/>
        <w:rPr>
          <w:sz w:val="24"/>
        </w:rPr>
      </w:pPr>
      <w:r>
        <w:rPr>
          <w:b/>
          <w:spacing w:val="-2"/>
          <w:sz w:val="24"/>
        </w:rPr>
        <w:t>Outcomes:</w:t>
      </w:r>
      <w:r>
        <w:rPr>
          <w:b/>
          <w:sz w:val="24"/>
        </w:rPr>
        <w:tab/>
      </w:r>
      <w:r>
        <w:rPr>
          <w:spacing w:val="-4"/>
          <w:sz w:val="24"/>
        </w:rPr>
        <w:t>The</w:t>
      </w:r>
      <w:r>
        <w:rPr>
          <w:sz w:val="24"/>
        </w:rPr>
        <w:tab/>
      </w:r>
      <w:r>
        <w:rPr>
          <w:spacing w:val="-2"/>
          <w:sz w:val="24"/>
        </w:rPr>
        <w:t>resulting</w:t>
      </w:r>
      <w:r>
        <w:rPr>
          <w:sz w:val="24"/>
        </w:rPr>
        <w:tab/>
      </w:r>
      <w:r>
        <w:rPr>
          <w:spacing w:val="-2"/>
          <w:sz w:val="24"/>
        </w:rPr>
        <w:t>benefit</w:t>
      </w:r>
      <w:r>
        <w:rPr>
          <w:sz w:val="24"/>
        </w:rPr>
        <w:tab/>
      </w:r>
      <w:r>
        <w:rPr>
          <w:spacing w:val="-4"/>
          <w:sz w:val="24"/>
        </w:rPr>
        <w:t>for</w:t>
      </w:r>
      <w:r>
        <w:rPr>
          <w:sz w:val="24"/>
        </w:rPr>
        <w:tab/>
      </w:r>
      <w:r>
        <w:rPr>
          <w:spacing w:val="-2"/>
          <w:sz w:val="24"/>
        </w:rPr>
        <w:t>society;</w:t>
      </w:r>
      <w:r>
        <w:rPr>
          <w:sz w:val="24"/>
        </w:rPr>
        <w:tab/>
      </w:r>
      <w:r>
        <w:rPr>
          <w:spacing w:val="-4"/>
          <w:sz w:val="24"/>
        </w:rPr>
        <w:t>the</w:t>
      </w:r>
      <w:r>
        <w:rPr>
          <w:sz w:val="24"/>
        </w:rPr>
        <w:tab/>
      </w:r>
      <w:r>
        <w:rPr>
          <w:spacing w:val="-2"/>
          <w:sz w:val="24"/>
        </w:rPr>
        <w:t>long-term</w:t>
      </w:r>
      <w:r>
        <w:rPr>
          <w:sz w:val="24"/>
        </w:rPr>
        <w:tab/>
      </w:r>
      <w:r>
        <w:rPr>
          <w:spacing w:val="-2"/>
          <w:sz w:val="24"/>
        </w:rPr>
        <w:t>consequence</w:t>
      </w:r>
      <w:r>
        <w:rPr>
          <w:sz w:val="24"/>
        </w:rPr>
        <w:tab/>
      </w:r>
      <w:r>
        <w:rPr>
          <w:spacing w:val="-6"/>
          <w:sz w:val="24"/>
        </w:rPr>
        <w:t>of </w:t>
      </w:r>
      <w:r>
        <w:rPr>
          <w:sz w:val="24"/>
        </w:rPr>
        <w:t>government/public sector budget actions.</w:t>
      </w:r>
    </w:p>
    <w:p>
      <w:pPr>
        <w:pStyle w:val="BodyText"/>
        <w:spacing w:line="360" w:lineRule="auto" w:before="243"/>
        <w:ind w:left="240" w:right="838"/>
        <w:jc w:val="both"/>
      </w:pPr>
      <w:r>
        <w:rPr/>
        <w:t>Rozner (2013) further depicts a typical example of the application of these components in Table </w:t>
      </w:r>
      <w:r>
        <w:rPr>
          <w:spacing w:val="-4"/>
        </w:rPr>
        <w:t>2.3.</w:t>
      </w:r>
    </w:p>
    <w:p>
      <w:pPr>
        <w:pStyle w:val="BodyText"/>
        <w:spacing w:before="137"/>
      </w:pPr>
    </w:p>
    <w:p>
      <w:pPr>
        <w:spacing w:before="0"/>
        <w:ind w:left="240" w:right="0" w:firstLine="0"/>
        <w:jc w:val="left"/>
        <w:rPr>
          <w:sz w:val="24"/>
        </w:rPr>
      </w:pPr>
      <w:r>
        <w:rPr>
          <w:b/>
          <w:sz w:val="24"/>
        </w:rPr>
        <w:t>Table</w:t>
      </w:r>
      <w:r>
        <w:rPr>
          <w:b/>
          <w:spacing w:val="-3"/>
          <w:sz w:val="24"/>
        </w:rPr>
        <w:t> </w:t>
      </w:r>
      <w:r>
        <w:rPr>
          <w:b/>
          <w:sz w:val="24"/>
        </w:rPr>
        <w:t>2.3.</w:t>
      </w:r>
      <w:r>
        <w:rPr>
          <w:b/>
          <w:spacing w:val="-2"/>
          <w:sz w:val="24"/>
        </w:rPr>
        <w:t> </w:t>
      </w:r>
      <w:r>
        <w:rPr>
          <w:sz w:val="24"/>
        </w:rPr>
        <w:t>Components</w:t>
      </w:r>
      <w:r>
        <w:rPr>
          <w:spacing w:val="-2"/>
          <w:sz w:val="24"/>
        </w:rPr>
        <w:t> </w:t>
      </w:r>
      <w:r>
        <w:rPr>
          <w:sz w:val="24"/>
        </w:rPr>
        <w:t>of</w:t>
      </w:r>
      <w:r>
        <w:rPr>
          <w:spacing w:val="-2"/>
          <w:sz w:val="24"/>
        </w:rPr>
        <w:t> </w:t>
      </w:r>
      <w:r>
        <w:rPr>
          <w:sz w:val="24"/>
        </w:rPr>
        <w:t>Assessing</w:t>
      </w:r>
      <w:r>
        <w:rPr>
          <w:spacing w:val="-1"/>
          <w:sz w:val="24"/>
        </w:rPr>
        <w:t> </w:t>
      </w:r>
      <w:r>
        <w:rPr>
          <w:sz w:val="24"/>
        </w:rPr>
        <w:t>Budget</w:t>
      </w:r>
      <w:r>
        <w:rPr>
          <w:spacing w:val="-1"/>
          <w:sz w:val="24"/>
        </w:rPr>
        <w:t> </w:t>
      </w:r>
      <w:r>
        <w:rPr>
          <w:spacing w:val="-2"/>
          <w:sz w:val="24"/>
        </w:rPr>
        <w:t>Performance.</w:t>
      </w:r>
    </w:p>
    <w:p>
      <w:pPr>
        <w:pStyle w:val="BodyText"/>
        <w:spacing w:before="52"/>
        <w:rPr>
          <w:sz w:val="20"/>
        </w:rPr>
      </w:pPr>
    </w:p>
    <w:tbl>
      <w:tblPr>
        <w:tblW w:w="0" w:type="auto"/>
        <w:jc w:val="left"/>
        <w:tblInd w:w="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6"/>
        <w:gridCol w:w="2250"/>
        <w:gridCol w:w="2539"/>
        <w:gridCol w:w="2195"/>
      </w:tblGrid>
      <w:tr>
        <w:trPr>
          <w:trHeight w:val="414" w:hRule="atLeast"/>
        </w:trPr>
        <w:tc>
          <w:tcPr>
            <w:tcW w:w="2386" w:type="dxa"/>
            <w:tcBorders>
              <w:top w:val="single" w:sz="4" w:space="0" w:color="000000"/>
              <w:bottom w:val="single" w:sz="4" w:space="0" w:color="000000"/>
            </w:tcBorders>
          </w:tcPr>
          <w:p>
            <w:pPr>
              <w:pStyle w:val="TableParagraph"/>
              <w:spacing w:before="1"/>
              <w:ind w:left="115"/>
              <w:rPr>
                <w:b/>
                <w:sz w:val="24"/>
              </w:rPr>
            </w:pPr>
            <w:r>
              <w:rPr>
                <w:b/>
                <w:spacing w:val="-2"/>
                <w:sz w:val="24"/>
              </w:rPr>
              <w:t>INPUTS</w:t>
            </w:r>
          </w:p>
        </w:tc>
        <w:tc>
          <w:tcPr>
            <w:tcW w:w="2250" w:type="dxa"/>
            <w:tcBorders>
              <w:top w:val="single" w:sz="4" w:space="0" w:color="000000"/>
              <w:bottom w:val="single" w:sz="4" w:space="0" w:color="000000"/>
            </w:tcBorders>
          </w:tcPr>
          <w:p>
            <w:pPr>
              <w:pStyle w:val="TableParagraph"/>
              <w:spacing w:before="1"/>
              <w:ind w:left="108"/>
              <w:rPr>
                <w:b/>
                <w:sz w:val="24"/>
              </w:rPr>
            </w:pPr>
            <w:r>
              <w:rPr>
                <w:b/>
                <w:spacing w:val="-2"/>
                <w:sz w:val="24"/>
              </w:rPr>
              <w:t>ACTIVITIES</w:t>
            </w:r>
          </w:p>
        </w:tc>
        <w:tc>
          <w:tcPr>
            <w:tcW w:w="2539" w:type="dxa"/>
            <w:tcBorders>
              <w:top w:val="single" w:sz="4" w:space="0" w:color="000000"/>
              <w:bottom w:val="single" w:sz="4" w:space="0" w:color="000000"/>
            </w:tcBorders>
          </w:tcPr>
          <w:p>
            <w:pPr>
              <w:pStyle w:val="TableParagraph"/>
              <w:spacing w:before="1"/>
              <w:ind w:left="253"/>
              <w:rPr>
                <w:b/>
                <w:sz w:val="24"/>
              </w:rPr>
            </w:pPr>
            <w:r>
              <w:rPr>
                <w:b/>
                <w:spacing w:val="-2"/>
                <w:sz w:val="24"/>
              </w:rPr>
              <w:t>OUTPUTS</w:t>
            </w:r>
          </w:p>
        </w:tc>
        <w:tc>
          <w:tcPr>
            <w:tcW w:w="2195" w:type="dxa"/>
            <w:tcBorders>
              <w:top w:val="single" w:sz="4" w:space="0" w:color="000000"/>
              <w:bottom w:val="single" w:sz="4" w:space="0" w:color="000000"/>
            </w:tcBorders>
          </w:tcPr>
          <w:p>
            <w:pPr>
              <w:pStyle w:val="TableParagraph"/>
              <w:spacing w:before="1"/>
              <w:ind w:left="107"/>
              <w:rPr>
                <w:b/>
                <w:sz w:val="24"/>
              </w:rPr>
            </w:pPr>
            <w:r>
              <w:rPr>
                <w:b/>
                <w:spacing w:val="-2"/>
                <w:sz w:val="24"/>
              </w:rPr>
              <w:t>OUTCOMES</w:t>
            </w:r>
          </w:p>
        </w:tc>
      </w:tr>
      <w:tr>
        <w:trPr>
          <w:trHeight w:val="506" w:hRule="atLeast"/>
        </w:trPr>
        <w:tc>
          <w:tcPr>
            <w:tcW w:w="2386" w:type="dxa"/>
            <w:tcBorders>
              <w:top w:val="single" w:sz="4" w:space="0" w:color="000000"/>
              <w:bottom w:val="single" w:sz="4" w:space="0" w:color="000000"/>
            </w:tcBorders>
          </w:tcPr>
          <w:p>
            <w:pPr>
              <w:pStyle w:val="TableParagraph"/>
              <w:spacing w:line="247" w:lineRule="exact"/>
              <w:ind w:left="115"/>
              <w:rPr>
                <w:sz w:val="22"/>
              </w:rPr>
            </w:pPr>
            <w:r>
              <w:rPr>
                <w:sz w:val="22"/>
              </w:rPr>
              <w:t>Money,</w:t>
            </w:r>
            <w:r>
              <w:rPr>
                <w:spacing w:val="-4"/>
                <w:sz w:val="22"/>
              </w:rPr>
              <w:t> </w:t>
            </w:r>
            <w:r>
              <w:rPr>
                <w:sz w:val="22"/>
              </w:rPr>
              <w:t>Asphalt,</w:t>
            </w:r>
            <w:r>
              <w:rPr>
                <w:spacing w:val="-6"/>
                <w:sz w:val="22"/>
              </w:rPr>
              <w:t> </w:t>
            </w:r>
            <w:r>
              <w:rPr>
                <w:spacing w:val="-2"/>
                <w:sz w:val="22"/>
              </w:rPr>
              <w:t>paving</w:t>
            </w:r>
          </w:p>
          <w:p>
            <w:pPr>
              <w:pStyle w:val="TableParagraph"/>
              <w:spacing w:line="238" w:lineRule="exact" w:before="1"/>
              <w:ind w:left="115"/>
              <w:rPr>
                <w:sz w:val="22"/>
              </w:rPr>
            </w:pPr>
            <w:r>
              <w:rPr>
                <w:sz w:val="22"/>
              </w:rPr>
              <w:t>machines,</w:t>
            </w:r>
            <w:r>
              <w:rPr>
                <w:spacing w:val="-4"/>
                <w:sz w:val="22"/>
              </w:rPr>
              <w:t> </w:t>
            </w:r>
            <w:r>
              <w:rPr>
                <w:spacing w:val="-2"/>
                <w:sz w:val="22"/>
              </w:rPr>
              <w:t>labour,</w:t>
            </w:r>
          </w:p>
        </w:tc>
        <w:tc>
          <w:tcPr>
            <w:tcW w:w="2250" w:type="dxa"/>
            <w:tcBorders>
              <w:top w:val="single" w:sz="4" w:space="0" w:color="000000"/>
              <w:bottom w:val="single" w:sz="4" w:space="0" w:color="000000"/>
            </w:tcBorders>
          </w:tcPr>
          <w:p>
            <w:pPr>
              <w:pStyle w:val="TableParagraph"/>
              <w:spacing w:line="247" w:lineRule="exact"/>
              <w:ind w:left="108"/>
              <w:rPr>
                <w:sz w:val="22"/>
              </w:rPr>
            </w:pPr>
            <w:r>
              <w:rPr>
                <w:sz w:val="22"/>
              </w:rPr>
              <w:t>Road</w:t>
            </w:r>
            <w:r>
              <w:rPr>
                <w:spacing w:val="-3"/>
                <w:sz w:val="22"/>
              </w:rPr>
              <w:t> </w:t>
            </w:r>
            <w:r>
              <w:rPr>
                <w:spacing w:val="-2"/>
                <w:sz w:val="22"/>
              </w:rPr>
              <w:t>paving</w:t>
            </w:r>
          </w:p>
        </w:tc>
        <w:tc>
          <w:tcPr>
            <w:tcW w:w="2539" w:type="dxa"/>
            <w:tcBorders>
              <w:top w:val="single" w:sz="4" w:space="0" w:color="000000"/>
              <w:bottom w:val="single" w:sz="4" w:space="0" w:color="000000"/>
            </w:tcBorders>
          </w:tcPr>
          <w:p>
            <w:pPr>
              <w:pStyle w:val="TableParagraph"/>
              <w:spacing w:line="247" w:lineRule="exact"/>
              <w:ind w:left="253"/>
              <w:rPr>
                <w:sz w:val="22"/>
              </w:rPr>
            </w:pPr>
            <w:r>
              <w:rPr>
                <w:sz w:val="22"/>
              </w:rPr>
              <w:t>KM</w:t>
            </w:r>
            <w:r>
              <w:rPr>
                <w:spacing w:val="-2"/>
                <w:sz w:val="22"/>
              </w:rPr>
              <w:t> </w:t>
            </w:r>
            <w:r>
              <w:rPr>
                <w:sz w:val="22"/>
              </w:rPr>
              <w:t>of</w:t>
            </w:r>
            <w:r>
              <w:rPr>
                <w:spacing w:val="-2"/>
                <w:sz w:val="22"/>
              </w:rPr>
              <w:t> </w:t>
            </w:r>
            <w:r>
              <w:rPr>
                <w:sz w:val="22"/>
              </w:rPr>
              <w:t>road</w:t>
            </w:r>
            <w:r>
              <w:rPr>
                <w:spacing w:val="-1"/>
                <w:sz w:val="22"/>
              </w:rPr>
              <w:t> </w:t>
            </w:r>
            <w:r>
              <w:rPr>
                <w:spacing w:val="-2"/>
                <w:sz w:val="22"/>
              </w:rPr>
              <w:t>surfaced</w:t>
            </w:r>
          </w:p>
        </w:tc>
        <w:tc>
          <w:tcPr>
            <w:tcW w:w="2195" w:type="dxa"/>
            <w:tcBorders>
              <w:top w:val="single" w:sz="4" w:space="0" w:color="000000"/>
              <w:bottom w:val="single" w:sz="4" w:space="0" w:color="000000"/>
            </w:tcBorders>
          </w:tcPr>
          <w:p>
            <w:pPr>
              <w:pStyle w:val="TableParagraph"/>
              <w:spacing w:line="247" w:lineRule="exact"/>
              <w:ind w:left="107"/>
              <w:rPr>
                <w:sz w:val="22"/>
              </w:rPr>
            </w:pPr>
            <w:r>
              <w:rPr>
                <w:sz w:val="22"/>
              </w:rPr>
              <w:t>Reduced</w:t>
            </w:r>
            <w:r>
              <w:rPr>
                <w:spacing w:val="-7"/>
                <w:sz w:val="22"/>
              </w:rPr>
              <w:t> </w:t>
            </w:r>
            <w:r>
              <w:rPr>
                <w:sz w:val="22"/>
              </w:rPr>
              <w:t>travel</w:t>
            </w:r>
            <w:r>
              <w:rPr>
                <w:spacing w:val="-1"/>
                <w:sz w:val="22"/>
              </w:rPr>
              <w:t> </w:t>
            </w:r>
            <w:r>
              <w:rPr>
                <w:spacing w:val="-4"/>
                <w:sz w:val="22"/>
              </w:rPr>
              <w:t>time,</w:t>
            </w:r>
          </w:p>
          <w:p>
            <w:pPr>
              <w:pStyle w:val="TableParagraph"/>
              <w:spacing w:line="238" w:lineRule="exact" w:before="1"/>
              <w:ind w:left="107"/>
              <w:rPr>
                <w:sz w:val="22"/>
              </w:rPr>
            </w:pPr>
            <w:r>
              <w:rPr>
                <w:sz w:val="22"/>
              </w:rPr>
              <w:t>lower</w:t>
            </w:r>
            <w:r>
              <w:rPr>
                <w:spacing w:val="-4"/>
                <w:sz w:val="22"/>
              </w:rPr>
              <w:t> </w:t>
            </w:r>
            <w:r>
              <w:rPr>
                <w:sz w:val="22"/>
              </w:rPr>
              <w:t>cost of</w:t>
            </w:r>
            <w:r>
              <w:rPr>
                <w:spacing w:val="-3"/>
                <w:sz w:val="22"/>
              </w:rPr>
              <w:t> </w:t>
            </w:r>
            <w:r>
              <w:rPr>
                <w:spacing w:val="-2"/>
                <w:sz w:val="22"/>
              </w:rPr>
              <w:t>business</w:t>
            </w:r>
          </w:p>
        </w:tc>
      </w:tr>
      <w:tr>
        <w:trPr>
          <w:trHeight w:val="2025" w:hRule="atLeast"/>
        </w:trPr>
        <w:tc>
          <w:tcPr>
            <w:tcW w:w="2386" w:type="dxa"/>
            <w:tcBorders>
              <w:top w:val="single" w:sz="4" w:space="0" w:color="000000"/>
              <w:bottom w:val="single" w:sz="4" w:space="0" w:color="000000"/>
            </w:tcBorders>
          </w:tcPr>
          <w:p>
            <w:pPr>
              <w:pStyle w:val="TableParagraph"/>
              <w:ind w:left="115" w:right="146"/>
              <w:rPr>
                <w:sz w:val="22"/>
              </w:rPr>
            </w:pPr>
            <w:r>
              <w:rPr>
                <w:spacing w:val="-2"/>
                <w:sz w:val="22"/>
              </w:rPr>
              <w:t>Money/allocation, </w:t>
            </w:r>
            <w:r>
              <w:rPr>
                <w:sz w:val="22"/>
              </w:rPr>
              <w:t>materials, manpower (client‘s and contractor‘s staff, consultants,</w:t>
            </w:r>
            <w:r>
              <w:rPr>
                <w:spacing w:val="-14"/>
                <w:sz w:val="22"/>
              </w:rPr>
              <w:t> </w:t>
            </w:r>
            <w:r>
              <w:rPr>
                <w:sz w:val="22"/>
              </w:rPr>
              <w:t>skilled</w:t>
            </w:r>
            <w:r>
              <w:rPr>
                <w:spacing w:val="-14"/>
                <w:sz w:val="22"/>
              </w:rPr>
              <w:t> </w:t>
            </w:r>
            <w:r>
              <w:rPr>
                <w:sz w:val="22"/>
              </w:rPr>
              <w:t>and unskilled labour),plant</w:t>
            </w:r>
          </w:p>
          <w:p>
            <w:pPr>
              <w:pStyle w:val="TableParagraph"/>
              <w:spacing w:line="252" w:lineRule="exact"/>
              <w:ind w:left="115"/>
              <w:rPr>
                <w:sz w:val="22"/>
              </w:rPr>
            </w:pPr>
            <w:r>
              <w:rPr>
                <w:sz w:val="22"/>
              </w:rPr>
              <w:t>and equipment, </w:t>
            </w:r>
            <w:r>
              <w:rPr>
                <w:spacing w:val="-2"/>
                <w:sz w:val="22"/>
              </w:rPr>
              <w:t>management/monitoring</w:t>
            </w:r>
          </w:p>
        </w:tc>
        <w:tc>
          <w:tcPr>
            <w:tcW w:w="2250" w:type="dxa"/>
            <w:tcBorders>
              <w:top w:val="single" w:sz="4" w:space="0" w:color="000000"/>
              <w:bottom w:val="single" w:sz="4" w:space="0" w:color="000000"/>
            </w:tcBorders>
          </w:tcPr>
          <w:p>
            <w:pPr>
              <w:pStyle w:val="TableParagraph"/>
              <w:spacing w:line="247" w:lineRule="exact"/>
              <w:ind w:left="108"/>
              <w:rPr>
                <w:sz w:val="22"/>
              </w:rPr>
            </w:pPr>
            <w:r>
              <w:rPr>
                <w:sz w:val="22"/>
              </w:rPr>
              <w:t>Housing</w:t>
            </w:r>
            <w:r>
              <w:rPr>
                <w:spacing w:val="-4"/>
                <w:sz w:val="22"/>
              </w:rPr>
              <w:t> </w:t>
            </w:r>
            <w:r>
              <w:rPr>
                <w:spacing w:val="-2"/>
                <w:sz w:val="22"/>
              </w:rPr>
              <w:t>construction</w:t>
            </w:r>
          </w:p>
        </w:tc>
        <w:tc>
          <w:tcPr>
            <w:tcW w:w="2539" w:type="dxa"/>
            <w:tcBorders>
              <w:top w:val="single" w:sz="4" w:space="0" w:color="000000"/>
              <w:bottom w:val="single" w:sz="4" w:space="0" w:color="000000"/>
            </w:tcBorders>
          </w:tcPr>
          <w:p>
            <w:pPr>
              <w:pStyle w:val="TableParagraph"/>
              <w:tabs>
                <w:tab w:pos="1260" w:val="left" w:leader="none"/>
                <w:tab w:pos="1733" w:val="left" w:leader="none"/>
              </w:tabs>
              <w:spacing w:line="242" w:lineRule="auto"/>
              <w:ind w:left="253" w:right="103"/>
              <w:rPr>
                <w:sz w:val="22"/>
              </w:rPr>
            </w:pPr>
            <w:r>
              <w:rPr>
                <w:spacing w:val="-2"/>
                <w:sz w:val="22"/>
              </w:rPr>
              <w:t>Number</w:t>
            </w:r>
            <w:r>
              <w:rPr>
                <w:sz w:val="22"/>
              </w:rPr>
              <w:tab/>
            </w:r>
            <w:r>
              <w:rPr>
                <w:spacing w:val="-6"/>
                <w:sz w:val="22"/>
              </w:rPr>
              <w:t>of</w:t>
            </w:r>
            <w:r>
              <w:rPr>
                <w:sz w:val="22"/>
              </w:rPr>
              <w:tab/>
            </w:r>
            <w:r>
              <w:rPr>
                <w:spacing w:val="-2"/>
                <w:sz w:val="22"/>
              </w:rPr>
              <w:t>housing </w:t>
            </w:r>
            <w:r>
              <w:rPr>
                <w:sz w:val="22"/>
              </w:rPr>
              <w:t>units per year</w:t>
            </w:r>
          </w:p>
        </w:tc>
        <w:tc>
          <w:tcPr>
            <w:tcW w:w="2195" w:type="dxa"/>
            <w:tcBorders>
              <w:top w:val="single" w:sz="4" w:space="0" w:color="000000"/>
              <w:bottom w:val="single" w:sz="4" w:space="0" w:color="000000"/>
            </w:tcBorders>
          </w:tcPr>
          <w:p>
            <w:pPr>
              <w:pStyle w:val="TableParagraph"/>
              <w:ind w:left="107" w:right="169"/>
              <w:rPr>
                <w:sz w:val="22"/>
              </w:rPr>
            </w:pPr>
            <w:r>
              <w:rPr>
                <w:sz w:val="22"/>
              </w:rPr>
              <w:t>Improved home ownership and residents‘</w:t>
            </w:r>
            <w:r>
              <w:rPr>
                <w:spacing w:val="-14"/>
                <w:sz w:val="22"/>
              </w:rPr>
              <w:t> </w:t>
            </w:r>
            <w:r>
              <w:rPr>
                <w:sz w:val="22"/>
              </w:rPr>
              <w:t>satisfaction</w:t>
            </w:r>
          </w:p>
        </w:tc>
      </w:tr>
    </w:tbl>
    <w:p>
      <w:pPr>
        <w:spacing w:before="175"/>
        <w:ind w:left="240" w:right="0" w:firstLine="0"/>
        <w:jc w:val="left"/>
        <w:rPr>
          <w:sz w:val="24"/>
        </w:rPr>
      </w:pPr>
      <w:r>
        <w:rPr>
          <w:b/>
          <w:sz w:val="24"/>
        </w:rPr>
        <w:t>Source:</w:t>
      </w:r>
      <w:r>
        <w:rPr>
          <w:b/>
          <w:spacing w:val="-2"/>
          <w:sz w:val="24"/>
        </w:rPr>
        <w:t> </w:t>
      </w:r>
      <w:r>
        <w:rPr>
          <w:sz w:val="24"/>
        </w:rPr>
        <w:t>Adapted</w:t>
      </w:r>
      <w:r>
        <w:rPr>
          <w:spacing w:val="-1"/>
          <w:sz w:val="24"/>
        </w:rPr>
        <w:t> </w:t>
      </w:r>
      <w:r>
        <w:rPr>
          <w:sz w:val="24"/>
        </w:rPr>
        <w:t>from</w:t>
      </w:r>
      <w:r>
        <w:rPr>
          <w:spacing w:val="-1"/>
          <w:sz w:val="24"/>
        </w:rPr>
        <w:t> </w:t>
      </w:r>
      <w:r>
        <w:rPr>
          <w:sz w:val="24"/>
        </w:rPr>
        <w:t>Rozner</w:t>
      </w:r>
      <w:r>
        <w:rPr>
          <w:spacing w:val="-1"/>
          <w:sz w:val="24"/>
        </w:rPr>
        <w:t> </w:t>
      </w:r>
      <w:r>
        <w:rPr>
          <w:spacing w:val="-2"/>
          <w:sz w:val="24"/>
        </w:rPr>
        <w:t>(2013)</w:t>
      </w:r>
    </w:p>
    <w:p>
      <w:pPr>
        <w:pStyle w:val="BodyText"/>
        <w:spacing w:before="182"/>
      </w:pPr>
    </w:p>
    <w:p>
      <w:pPr>
        <w:pStyle w:val="BodyText"/>
        <w:spacing w:line="360" w:lineRule="auto"/>
        <w:ind w:left="240" w:right="842"/>
        <w:jc w:val="both"/>
      </w:pPr>
      <w:r>
        <w:rPr/>
        <w:t>Traditionally, governments did little to justify the use of budget funds. They only had to provide evidence that budget resources under their control were used in line with the prevailing laws, rules and standards. The traditional accountability ended with a simple proof of (cost and input) compliance. Related performance measures were narrowly defined and focused on compliance with rules/standards and observance of constraints on inputs (Vujovic, 2012).</w:t>
      </w:r>
    </w:p>
    <w:p>
      <w:pPr>
        <w:pStyle w:val="BodyText"/>
        <w:spacing w:before="139"/>
      </w:pPr>
    </w:p>
    <w:p>
      <w:pPr>
        <w:pStyle w:val="BodyText"/>
        <w:spacing w:line="360" w:lineRule="auto"/>
        <w:ind w:left="240" w:right="836"/>
        <w:jc w:val="both"/>
      </w:pPr>
      <w:r>
        <w:rPr/>
        <w:t>Furthermore, as Vujovic (2012) informs; without questioning the importance of such basic compliance monitoring, citizens increasingly demanded to know more what has been done with their taxes. Civil and political pressures pushed the governments to augment the concept of accountability</w:t>
      </w:r>
      <w:r>
        <w:rPr>
          <w:spacing w:val="22"/>
        </w:rPr>
        <w:t> </w:t>
      </w:r>
      <w:r>
        <w:rPr/>
        <w:t>and</w:t>
      </w:r>
      <w:r>
        <w:rPr>
          <w:spacing w:val="27"/>
        </w:rPr>
        <w:t> </w:t>
      </w:r>
      <w:r>
        <w:rPr/>
        <w:t>provide</w:t>
      </w:r>
      <w:r>
        <w:rPr>
          <w:spacing w:val="26"/>
        </w:rPr>
        <w:t> </w:t>
      </w:r>
      <w:r>
        <w:rPr/>
        <w:t>systematic</w:t>
      </w:r>
      <w:r>
        <w:rPr>
          <w:spacing w:val="29"/>
        </w:rPr>
        <w:t> </w:t>
      </w:r>
      <w:r>
        <w:rPr/>
        <w:t>evidence</w:t>
      </w:r>
      <w:r>
        <w:rPr>
          <w:spacing w:val="29"/>
        </w:rPr>
        <w:t> </w:t>
      </w:r>
      <w:r>
        <w:rPr/>
        <w:t>on</w:t>
      </w:r>
      <w:r>
        <w:rPr>
          <w:spacing w:val="27"/>
        </w:rPr>
        <w:t> </w:t>
      </w:r>
      <w:r>
        <w:rPr/>
        <w:t>what</w:t>
      </w:r>
      <w:r>
        <w:rPr>
          <w:spacing w:val="28"/>
        </w:rPr>
        <w:t> </w:t>
      </w:r>
      <w:r>
        <w:rPr/>
        <w:t>has</w:t>
      </w:r>
      <w:r>
        <w:rPr>
          <w:spacing w:val="27"/>
        </w:rPr>
        <w:t> </w:t>
      </w:r>
      <w:r>
        <w:rPr/>
        <w:t>been</w:t>
      </w:r>
      <w:r>
        <w:rPr>
          <w:spacing w:val="27"/>
        </w:rPr>
        <w:t> </w:t>
      </w:r>
      <w:r>
        <w:rPr/>
        <w:t>done</w:t>
      </w:r>
      <w:r>
        <w:rPr>
          <w:spacing w:val="26"/>
        </w:rPr>
        <w:t> </w:t>
      </w:r>
      <w:r>
        <w:rPr/>
        <w:t>with</w:t>
      </w:r>
      <w:r>
        <w:rPr>
          <w:spacing w:val="28"/>
        </w:rPr>
        <w:t> </w:t>
      </w:r>
      <w:r>
        <w:rPr/>
        <w:t>budget</w:t>
      </w:r>
      <w:r>
        <w:rPr>
          <w:spacing w:val="28"/>
        </w:rPr>
        <w:t> </w:t>
      </w:r>
      <w:r>
        <w:rPr>
          <w:spacing w:val="-2"/>
        </w:rPr>
        <w:t>resources.</w:t>
      </w:r>
    </w:p>
    <w:p>
      <w:pPr>
        <w:spacing w:after="0" w:line="360" w:lineRule="auto"/>
        <w:jc w:val="both"/>
        <w:sectPr>
          <w:pgSz w:w="12240" w:h="15840"/>
          <w:pgMar w:header="0" w:footer="1036" w:top="1360" w:bottom="1220" w:left="1200" w:right="600"/>
        </w:sectPr>
      </w:pPr>
    </w:p>
    <w:p>
      <w:pPr>
        <w:pStyle w:val="BodyText"/>
        <w:spacing w:line="360" w:lineRule="auto" w:before="74"/>
        <w:ind w:left="240" w:right="837"/>
        <w:jc w:val="both"/>
      </w:pPr>
      <w:r>
        <w:rPr/>
        <w:t>Gradually, governments expanded the reporting to include typical output measures (miles of roads paved, number of public houses built, number of renovated public schools and new</w:t>
      </w:r>
      <w:r>
        <w:rPr>
          <w:spacing w:val="40"/>
        </w:rPr>
        <w:t> </w:t>
      </w:r>
      <w:r>
        <w:rPr/>
        <w:t>hospital beds, number of treated patients with communicable diseases, number high school graduates etc.). Accordingly, with output based budgeting, the measurement of performance shifted towards monitoring technical and economic efficiency in the production of public sector goods and services, while performance indicators reflected the need to eliminate technical inefficiencies and secure economic efficiency (i.e. employ optimal combination of resources) in the production of public goods and delivery public services.</w:t>
      </w:r>
    </w:p>
    <w:p>
      <w:pPr>
        <w:pStyle w:val="BodyText"/>
        <w:spacing w:before="241"/>
      </w:pPr>
    </w:p>
    <w:p>
      <w:pPr>
        <w:pStyle w:val="BodyText"/>
        <w:spacing w:line="360" w:lineRule="auto"/>
        <w:ind w:left="240" w:right="837"/>
        <w:jc w:val="both"/>
      </w:pPr>
      <w:r>
        <w:rPr/>
        <w:t>However, budget performance measurement in the public sector poses special challenges since it is not always clear what the ultimate objective is and what aspects of program performance should be measured to confirm efficacy. Credible performance measurement starts from a good and detailed understanding of the program whose performance is to be measured. Often this requires full analysis of the program to arrive at its constituent parts and properly understand</w:t>
      </w:r>
      <w:r>
        <w:rPr>
          <w:spacing w:val="40"/>
        </w:rPr>
        <w:t> </w:t>
      </w:r>
      <w:r>
        <w:rPr/>
        <w:t>how all components fit together to produce outputs and desired outcomes. Once the ultimate outcome is understood, it is relatively easy to design a consistent set of performance indicators</w:t>
      </w:r>
      <w:r>
        <w:rPr>
          <w:spacing w:val="40"/>
        </w:rPr>
        <w:t> </w:t>
      </w:r>
      <w:r>
        <w:rPr/>
        <w:t>on the basis of standard selection criteria. Furthermore, there may be situations where ultimate outcomes are intentionally misstated due to unresolved tensions between multiple objectives or due to hidden political agendas (McKinsey, 2011).</w:t>
      </w:r>
    </w:p>
    <w:p>
      <w:pPr>
        <w:pStyle w:val="BodyText"/>
        <w:spacing w:before="140"/>
      </w:pPr>
    </w:p>
    <w:p>
      <w:pPr>
        <w:pStyle w:val="BodyText"/>
        <w:spacing w:line="360" w:lineRule="auto"/>
        <w:ind w:left="240" w:right="837"/>
        <w:jc w:val="both"/>
      </w:pPr>
      <w:r>
        <w:rPr/>
        <w:t>Although budget performance measurement in the public sector is a complex technical exercise, its rationale is often profoundly political. Recent drive to improve performance measurement enables strong, meaningful and credible accountability between government and the citizens. Performance</w:t>
      </w:r>
      <w:r>
        <w:rPr>
          <w:spacing w:val="-1"/>
        </w:rPr>
        <w:t> </w:t>
      </w:r>
      <w:r>
        <w:rPr/>
        <w:t>measurement makes it possible</w:t>
      </w:r>
      <w:r>
        <w:rPr>
          <w:spacing w:val="-1"/>
        </w:rPr>
        <w:t> </w:t>
      </w:r>
      <w:r>
        <w:rPr/>
        <w:t>for government to demonstrate</w:t>
      </w:r>
      <w:r>
        <w:rPr>
          <w:spacing w:val="-1"/>
        </w:rPr>
        <w:t> </w:t>
      </w:r>
      <w:r>
        <w:rPr/>
        <w:t>to the</w:t>
      </w:r>
      <w:r>
        <w:rPr>
          <w:spacing w:val="-1"/>
        </w:rPr>
        <w:t> </w:t>
      </w:r>
      <w:r>
        <w:rPr/>
        <w:t>public</w:t>
      </w:r>
      <w:r>
        <w:rPr>
          <w:spacing w:val="-1"/>
        </w:rPr>
        <w:t> </w:t>
      </w:r>
      <w:r>
        <w:rPr/>
        <w:t>and the legislature that it is contributing to outcomes that matter. In order to close the apparent gaps between the delivery of public goods and services and the achievement of long-term objectives (Ruffner, </w:t>
      </w:r>
      <w:r>
        <w:rPr>
          <w:i/>
        </w:rPr>
        <w:t>et al</w:t>
      </w:r>
      <w:r>
        <w:rPr/>
        <w:t>., 2005). There are many</w:t>
      </w:r>
      <w:r>
        <w:rPr>
          <w:spacing w:val="-3"/>
        </w:rPr>
        <w:t> </w:t>
      </w:r>
      <w:r>
        <w:rPr/>
        <w:t>examples in the long history</w:t>
      </w:r>
      <w:r>
        <w:rPr>
          <w:spacing w:val="-3"/>
        </w:rPr>
        <w:t> </w:t>
      </w:r>
      <w:r>
        <w:rPr/>
        <w:t>of budget reforms where the stated program objective (e.g. build x number of low cost housing units to help the low income families) was actually a convenient and publicly appealing cover for completely different true political objective (e.g. resolve a pressing contentious issue and remove the endless political debates on housing to address more important social and economic problems).</w:t>
      </w:r>
    </w:p>
    <w:p>
      <w:pPr>
        <w:spacing w:after="0" w:line="360" w:lineRule="auto"/>
        <w:jc w:val="both"/>
        <w:sectPr>
          <w:pgSz w:w="12240" w:h="15840"/>
          <w:pgMar w:header="0" w:footer="1036" w:top="1360" w:bottom="1220" w:left="1200" w:right="600"/>
        </w:sectPr>
      </w:pPr>
    </w:p>
    <w:p>
      <w:pPr>
        <w:pStyle w:val="BodyText"/>
        <w:spacing w:line="360" w:lineRule="auto" w:before="74"/>
        <w:ind w:left="240" w:right="838"/>
        <w:jc w:val="both"/>
      </w:pPr>
      <w:r>
        <w:rPr/>
        <w:t>According to Creiu </w:t>
      </w:r>
      <w:r>
        <w:rPr>
          <w:i/>
        </w:rPr>
        <w:t>et al</w:t>
      </w:r>
      <w:r>
        <w:rPr/>
        <w:t>. (2007), assessing budget performance involves the use of performance indicators</w:t>
      </w:r>
      <w:r>
        <w:rPr>
          <w:spacing w:val="-2"/>
        </w:rPr>
        <w:t> </w:t>
      </w:r>
      <w:r>
        <w:rPr/>
        <w:t>to</w:t>
      </w:r>
      <w:r>
        <w:rPr>
          <w:spacing w:val="-2"/>
        </w:rPr>
        <w:t> </w:t>
      </w:r>
      <w:r>
        <w:rPr/>
        <w:t>assess</w:t>
      </w:r>
      <w:r>
        <w:rPr>
          <w:spacing w:val="-2"/>
        </w:rPr>
        <w:t> </w:t>
      </w:r>
      <w:r>
        <w:rPr/>
        <w:t>actual</w:t>
      </w:r>
      <w:r>
        <w:rPr>
          <w:spacing w:val="-2"/>
        </w:rPr>
        <w:t> </w:t>
      </w:r>
      <w:r>
        <w:rPr/>
        <w:t>progress</w:t>
      </w:r>
      <w:r>
        <w:rPr>
          <w:spacing w:val="-2"/>
        </w:rPr>
        <w:t> </w:t>
      </w:r>
      <w:r>
        <w:rPr/>
        <w:t>compared</w:t>
      </w:r>
      <w:r>
        <w:rPr>
          <w:spacing w:val="-2"/>
        </w:rPr>
        <w:t> </w:t>
      </w:r>
      <w:r>
        <w:rPr/>
        <w:t>with previously</w:t>
      </w:r>
      <w:r>
        <w:rPr>
          <w:spacing w:val="-6"/>
        </w:rPr>
        <w:t> </w:t>
      </w:r>
      <w:r>
        <w:rPr/>
        <w:t>set</w:t>
      </w:r>
      <w:r>
        <w:rPr>
          <w:spacing w:val="-2"/>
        </w:rPr>
        <w:t> </w:t>
      </w:r>
      <w:r>
        <w:rPr/>
        <w:t>targets. Budget</w:t>
      </w:r>
      <w:r>
        <w:rPr>
          <w:spacing w:val="-2"/>
        </w:rPr>
        <w:t> </w:t>
      </w:r>
      <w:r>
        <w:rPr/>
        <w:t>programming</w:t>
      </w:r>
      <w:r>
        <w:rPr>
          <w:spacing w:val="-4"/>
        </w:rPr>
        <w:t> </w:t>
      </w:r>
      <w:r>
        <w:rPr/>
        <w:t>is very important to define objectives and only such an approach allows a consistent assessment of how public money is spent, that is rational and transparent. To eliminate subjectivity and arbitrariness in the allocation of budgetary resources, budget management must assess correctly "the 3 E's" – economy, effectiveness and efficiency of resource use:</w:t>
      </w:r>
    </w:p>
    <w:p>
      <w:pPr>
        <w:pStyle w:val="ListParagraph"/>
        <w:numPr>
          <w:ilvl w:val="0"/>
          <w:numId w:val="24"/>
        </w:numPr>
        <w:tabs>
          <w:tab w:pos="960" w:val="left" w:leader="none"/>
        </w:tabs>
        <w:spacing w:line="360" w:lineRule="auto" w:before="104" w:after="0"/>
        <w:ind w:left="960" w:right="838" w:hanging="360"/>
        <w:jc w:val="left"/>
        <w:rPr>
          <w:sz w:val="24"/>
        </w:rPr>
      </w:pPr>
      <w:r>
        <w:rPr>
          <w:sz w:val="24"/>
        </w:rPr>
        <w:t>Economy</w:t>
      </w:r>
      <w:r>
        <w:rPr>
          <w:spacing w:val="80"/>
          <w:sz w:val="24"/>
        </w:rPr>
        <w:t> </w:t>
      </w:r>
      <w:r>
        <w:rPr>
          <w:sz w:val="24"/>
        </w:rPr>
        <w:t>–</w:t>
      </w:r>
      <w:r>
        <w:rPr>
          <w:spacing w:val="80"/>
          <w:sz w:val="24"/>
        </w:rPr>
        <w:t> </w:t>
      </w:r>
      <w:r>
        <w:rPr>
          <w:sz w:val="24"/>
        </w:rPr>
        <w:t>minimizing</w:t>
      </w:r>
      <w:r>
        <w:rPr>
          <w:spacing w:val="80"/>
          <w:sz w:val="24"/>
        </w:rPr>
        <w:t> </w:t>
      </w:r>
      <w:r>
        <w:rPr>
          <w:sz w:val="24"/>
        </w:rPr>
        <w:t>the</w:t>
      </w:r>
      <w:r>
        <w:rPr>
          <w:spacing w:val="80"/>
          <w:sz w:val="24"/>
        </w:rPr>
        <w:t> </w:t>
      </w:r>
      <w:r>
        <w:rPr>
          <w:sz w:val="24"/>
        </w:rPr>
        <w:t>cost</w:t>
      </w:r>
      <w:r>
        <w:rPr>
          <w:spacing w:val="80"/>
          <w:sz w:val="24"/>
        </w:rPr>
        <w:t> </w:t>
      </w:r>
      <w:r>
        <w:rPr>
          <w:sz w:val="24"/>
        </w:rPr>
        <w:t>of</w:t>
      </w:r>
      <w:r>
        <w:rPr>
          <w:spacing w:val="80"/>
          <w:sz w:val="24"/>
        </w:rPr>
        <w:t> </w:t>
      </w:r>
      <w:r>
        <w:rPr>
          <w:sz w:val="24"/>
        </w:rPr>
        <w:t>resources</w:t>
      </w:r>
      <w:r>
        <w:rPr>
          <w:spacing w:val="80"/>
          <w:sz w:val="24"/>
        </w:rPr>
        <w:t> </w:t>
      </w:r>
      <w:r>
        <w:rPr>
          <w:sz w:val="24"/>
        </w:rPr>
        <w:t>to</w:t>
      </w:r>
      <w:r>
        <w:rPr>
          <w:spacing w:val="80"/>
          <w:sz w:val="24"/>
        </w:rPr>
        <w:t> </w:t>
      </w:r>
      <w:r>
        <w:rPr>
          <w:sz w:val="24"/>
        </w:rPr>
        <w:t>achieve</w:t>
      </w:r>
      <w:r>
        <w:rPr>
          <w:spacing w:val="80"/>
          <w:sz w:val="24"/>
        </w:rPr>
        <w:t> </w:t>
      </w:r>
      <w:r>
        <w:rPr>
          <w:sz w:val="24"/>
        </w:rPr>
        <w:t>expected</w:t>
      </w:r>
      <w:r>
        <w:rPr>
          <w:spacing w:val="80"/>
          <w:sz w:val="24"/>
        </w:rPr>
        <w:t> </w:t>
      </w:r>
      <w:r>
        <w:rPr>
          <w:sz w:val="24"/>
        </w:rPr>
        <w:t>results</w:t>
      </w:r>
      <w:r>
        <w:rPr>
          <w:spacing w:val="80"/>
          <w:sz w:val="24"/>
        </w:rPr>
        <w:t> </w:t>
      </w:r>
      <w:r>
        <w:rPr>
          <w:sz w:val="24"/>
        </w:rPr>
        <w:t>while</w:t>
      </w:r>
      <w:r>
        <w:rPr>
          <w:spacing w:val="40"/>
          <w:sz w:val="24"/>
        </w:rPr>
        <w:t> </w:t>
      </w:r>
      <w:r>
        <w:rPr>
          <w:sz w:val="24"/>
        </w:rPr>
        <w:t>maintaining quality outcomes;</w:t>
      </w:r>
    </w:p>
    <w:p>
      <w:pPr>
        <w:pStyle w:val="ListParagraph"/>
        <w:numPr>
          <w:ilvl w:val="0"/>
          <w:numId w:val="24"/>
        </w:numPr>
        <w:tabs>
          <w:tab w:pos="960" w:val="left" w:leader="none"/>
        </w:tabs>
        <w:spacing w:line="360" w:lineRule="auto" w:before="1" w:after="0"/>
        <w:ind w:left="960" w:right="838" w:hanging="360"/>
        <w:jc w:val="left"/>
        <w:rPr>
          <w:sz w:val="24"/>
        </w:rPr>
      </w:pPr>
      <w:r>
        <w:rPr>
          <w:sz w:val="24"/>
        </w:rPr>
        <w:t>Effectiveness</w:t>
      </w:r>
      <w:r>
        <w:rPr>
          <w:spacing w:val="72"/>
          <w:sz w:val="24"/>
        </w:rPr>
        <w:t> </w:t>
      </w:r>
      <w:r>
        <w:rPr>
          <w:sz w:val="24"/>
        </w:rPr>
        <w:t>–</w:t>
      </w:r>
      <w:r>
        <w:rPr>
          <w:spacing w:val="71"/>
          <w:sz w:val="24"/>
        </w:rPr>
        <w:t> </w:t>
      </w:r>
      <w:r>
        <w:rPr>
          <w:sz w:val="24"/>
        </w:rPr>
        <w:t>degree</w:t>
      </w:r>
      <w:r>
        <w:rPr>
          <w:spacing w:val="72"/>
          <w:sz w:val="24"/>
        </w:rPr>
        <w:t> </w:t>
      </w:r>
      <w:r>
        <w:rPr>
          <w:sz w:val="24"/>
        </w:rPr>
        <w:t>of</w:t>
      </w:r>
      <w:r>
        <w:rPr>
          <w:spacing w:val="70"/>
          <w:sz w:val="24"/>
        </w:rPr>
        <w:t> </w:t>
      </w:r>
      <w:r>
        <w:rPr>
          <w:sz w:val="24"/>
        </w:rPr>
        <w:t>fulfillment</w:t>
      </w:r>
      <w:r>
        <w:rPr>
          <w:spacing w:val="72"/>
          <w:sz w:val="24"/>
        </w:rPr>
        <w:t> </w:t>
      </w:r>
      <w:r>
        <w:rPr>
          <w:sz w:val="24"/>
        </w:rPr>
        <w:t>of</w:t>
      </w:r>
      <w:r>
        <w:rPr>
          <w:spacing w:val="70"/>
          <w:sz w:val="24"/>
        </w:rPr>
        <w:t> </w:t>
      </w:r>
      <w:r>
        <w:rPr>
          <w:sz w:val="24"/>
        </w:rPr>
        <w:t>objectives</w:t>
      </w:r>
      <w:r>
        <w:rPr>
          <w:spacing w:val="76"/>
          <w:sz w:val="24"/>
        </w:rPr>
        <w:t> </w:t>
      </w:r>
      <w:r>
        <w:rPr>
          <w:sz w:val="24"/>
        </w:rPr>
        <w:t>and</w:t>
      </w:r>
      <w:r>
        <w:rPr>
          <w:spacing w:val="71"/>
          <w:sz w:val="24"/>
        </w:rPr>
        <w:t> </w:t>
      </w:r>
      <w:r>
        <w:rPr>
          <w:sz w:val="24"/>
        </w:rPr>
        <w:t>effect</w:t>
      </w:r>
      <w:r>
        <w:rPr>
          <w:spacing w:val="72"/>
          <w:sz w:val="24"/>
        </w:rPr>
        <w:t> </w:t>
      </w:r>
      <w:r>
        <w:rPr>
          <w:sz w:val="24"/>
        </w:rPr>
        <w:t>relationship</w:t>
      </w:r>
      <w:r>
        <w:rPr>
          <w:spacing w:val="71"/>
          <w:sz w:val="24"/>
        </w:rPr>
        <w:t> </w:t>
      </w:r>
      <w:r>
        <w:rPr>
          <w:sz w:val="24"/>
        </w:rPr>
        <w:t>between projected and actual results;</w:t>
      </w:r>
    </w:p>
    <w:p>
      <w:pPr>
        <w:pStyle w:val="ListParagraph"/>
        <w:numPr>
          <w:ilvl w:val="0"/>
          <w:numId w:val="24"/>
        </w:numPr>
        <w:tabs>
          <w:tab w:pos="960" w:val="left" w:leader="none"/>
        </w:tabs>
        <w:spacing w:line="360" w:lineRule="auto" w:before="0" w:after="0"/>
        <w:ind w:left="960" w:right="839" w:hanging="360"/>
        <w:jc w:val="left"/>
        <w:rPr>
          <w:sz w:val="24"/>
        </w:rPr>
      </w:pPr>
      <w:r>
        <w:rPr>
          <w:sz w:val="24"/>
        </w:rPr>
        <w:t>Efficiency</w:t>
      </w:r>
      <w:r>
        <w:rPr>
          <w:spacing w:val="-4"/>
          <w:sz w:val="24"/>
        </w:rPr>
        <w:t> </w:t>
      </w:r>
      <w:r>
        <w:rPr>
          <w:sz w:val="24"/>
        </w:rPr>
        <w:t>–</w:t>
      </w:r>
      <w:r>
        <w:rPr>
          <w:spacing w:val="-3"/>
          <w:sz w:val="24"/>
        </w:rPr>
        <w:t> </w:t>
      </w:r>
      <w:r>
        <w:rPr>
          <w:sz w:val="24"/>
        </w:rPr>
        <w:t>obtain</w:t>
      </w:r>
      <w:r>
        <w:rPr>
          <w:spacing w:val="-3"/>
          <w:sz w:val="24"/>
        </w:rPr>
        <w:t> </w:t>
      </w:r>
      <w:r>
        <w:rPr>
          <w:sz w:val="24"/>
        </w:rPr>
        <w:t>the</w:t>
      </w:r>
      <w:r>
        <w:rPr>
          <w:spacing w:val="-3"/>
          <w:sz w:val="24"/>
        </w:rPr>
        <w:t> </w:t>
      </w:r>
      <w:r>
        <w:rPr>
          <w:sz w:val="24"/>
        </w:rPr>
        <w:t>maximum</w:t>
      </w:r>
      <w:r>
        <w:rPr>
          <w:spacing w:val="-3"/>
          <w:sz w:val="24"/>
        </w:rPr>
        <w:t> </w:t>
      </w:r>
      <w:r>
        <w:rPr>
          <w:sz w:val="24"/>
        </w:rPr>
        <w:t>possible</w:t>
      </w:r>
      <w:r>
        <w:rPr>
          <w:spacing w:val="-3"/>
          <w:sz w:val="24"/>
        </w:rPr>
        <w:t> </w:t>
      </w:r>
      <w:r>
        <w:rPr>
          <w:sz w:val="24"/>
        </w:rPr>
        <w:t>results with</w:t>
      </w:r>
      <w:r>
        <w:rPr>
          <w:spacing w:val="-3"/>
          <w:sz w:val="24"/>
        </w:rPr>
        <w:t> </w:t>
      </w:r>
      <w:r>
        <w:rPr>
          <w:sz w:val="24"/>
        </w:rPr>
        <w:t>a</w:t>
      </w:r>
      <w:r>
        <w:rPr>
          <w:spacing w:val="-2"/>
          <w:sz w:val="24"/>
        </w:rPr>
        <w:t> </w:t>
      </w:r>
      <w:r>
        <w:rPr>
          <w:sz w:val="24"/>
        </w:rPr>
        <w:t>given</w:t>
      </w:r>
      <w:r>
        <w:rPr>
          <w:spacing w:val="-1"/>
          <w:sz w:val="24"/>
        </w:rPr>
        <w:t> </w:t>
      </w:r>
      <w:r>
        <w:rPr>
          <w:sz w:val="24"/>
        </w:rPr>
        <w:t>level</w:t>
      </w:r>
      <w:r>
        <w:rPr>
          <w:spacing w:val="-1"/>
          <w:sz w:val="24"/>
        </w:rPr>
        <w:t> </w:t>
      </w:r>
      <w:r>
        <w:rPr>
          <w:sz w:val="24"/>
        </w:rPr>
        <w:t>of</w:t>
      </w:r>
      <w:r>
        <w:rPr>
          <w:spacing w:val="-2"/>
          <w:sz w:val="24"/>
        </w:rPr>
        <w:t> </w:t>
      </w:r>
      <w:r>
        <w:rPr>
          <w:sz w:val="24"/>
        </w:rPr>
        <w:t>resources</w:t>
      </w:r>
      <w:r>
        <w:rPr>
          <w:spacing w:val="-3"/>
          <w:sz w:val="24"/>
        </w:rPr>
        <w:t> </w:t>
      </w:r>
      <w:r>
        <w:rPr>
          <w:sz w:val="24"/>
        </w:rPr>
        <w:t>or</w:t>
      </w:r>
      <w:r>
        <w:rPr>
          <w:spacing w:val="-3"/>
          <w:sz w:val="24"/>
        </w:rPr>
        <w:t> </w:t>
      </w:r>
      <w:r>
        <w:rPr>
          <w:sz w:val="24"/>
        </w:rPr>
        <w:t>lower one (Axelrod, 1995; Ruffner, </w:t>
      </w:r>
      <w:r>
        <w:rPr>
          <w:i/>
          <w:sz w:val="24"/>
        </w:rPr>
        <w:t>et al</w:t>
      </w:r>
      <w:r>
        <w:rPr>
          <w:sz w:val="24"/>
        </w:rPr>
        <w:t>. 2005).</w:t>
      </w:r>
    </w:p>
    <w:p>
      <w:pPr>
        <w:pStyle w:val="BodyText"/>
        <w:spacing w:before="206"/>
      </w:pPr>
    </w:p>
    <w:p>
      <w:pPr>
        <w:pStyle w:val="BodyText"/>
        <w:spacing w:line="360" w:lineRule="auto"/>
        <w:ind w:left="240" w:right="833"/>
        <w:jc w:val="both"/>
      </w:pPr>
      <w:r>
        <w:rPr/>
        <w:t>Budget planning takes time, because it is based on information available at that time and the estimated completion of future actions. Undoubtedly, the reality or implementation may not go</w:t>
      </w:r>
      <w:r>
        <w:rPr>
          <w:spacing w:val="40"/>
        </w:rPr>
        <w:t> </w:t>
      </w:r>
      <w:r>
        <w:rPr/>
        <w:t>as</w:t>
      </w:r>
      <w:r>
        <w:rPr>
          <w:spacing w:val="-1"/>
        </w:rPr>
        <w:t> </w:t>
      </w:r>
      <w:r>
        <w:rPr/>
        <w:t>planned, since there could</w:t>
      </w:r>
      <w:r>
        <w:rPr>
          <w:spacing w:val="-1"/>
        </w:rPr>
        <w:t> </w:t>
      </w:r>
      <w:r>
        <w:rPr/>
        <w:t>be</w:t>
      </w:r>
      <w:r>
        <w:rPr>
          <w:spacing w:val="-2"/>
        </w:rPr>
        <w:t> </w:t>
      </w:r>
      <w:r>
        <w:rPr/>
        <w:t>major deviations. However, from</w:t>
      </w:r>
      <w:r>
        <w:rPr>
          <w:spacing w:val="-1"/>
        </w:rPr>
        <w:t> </w:t>
      </w:r>
      <w:r>
        <w:rPr/>
        <w:t>the budgeted</w:t>
      </w:r>
      <w:r>
        <w:rPr>
          <w:spacing w:val="-2"/>
        </w:rPr>
        <w:t> </w:t>
      </w:r>
      <w:r>
        <w:rPr/>
        <w:t>perspective (both negative and positive), it is important that the budgetary system is not rigid and should have sufficient</w:t>
      </w:r>
      <w:r>
        <w:rPr>
          <w:spacing w:val="-1"/>
        </w:rPr>
        <w:t> </w:t>
      </w:r>
      <w:r>
        <w:rPr/>
        <w:t>flexibility</w:t>
      </w:r>
      <w:r>
        <w:rPr>
          <w:spacing w:val="-7"/>
        </w:rPr>
        <w:t> </w:t>
      </w:r>
      <w:r>
        <w:rPr/>
        <w:t>that ensure</w:t>
      </w:r>
      <w:r>
        <w:rPr>
          <w:spacing w:val="-2"/>
        </w:rPr>
        <w:t> </w:t>
      </w:r>
      <w:r>
        <w:rPr/>
        <w:t>adaptation</w:t>
      </w:r>
      <w:r>
        <w:rPr>
          <w:spacing w:val="-1"/>
        </w:rPr>
        <w:t> </w:t>
      </w:r>
      <w:r>
        <w:rPr/>
        <w:t>to</w:t>
      </w:r>
      <w:r>
        <w:rPr>
          <w:spacing w:val="-1"/>
        </w:rPr>
        <w:t> </w:t>
      </w:r>
      <w:r>
        <w:rPr/>
        <w:t>risks</w:t>
      </w:r>
      <w:r>
        <w:rPr>
          <w:spacing w:val="-1"/>
        </w:rPr>
        <w:t> </w:t>
      </w:r>
      <w:r>
        <w:rPr/>
        <w:t>and</w:t>
      </w:r>
      <w:r>
        <w:rPr>
          <w:spacing w:val="-1"/>
        </w:rPr>
        <w:t> </w:t>
      </w:r>
      <w:r>
        <w:rPr/>
        <w:t>opportunities.</w:t>
      </w:r>
      <w:r>
        <w:rPr>
          <w:spacing w:val="-1"/>
        </w:rPr>
        <w:t> </w:t>
      </w:r>
      <w:r>
        <w:rPr/>
        <w:t>During</w:t>
      </w:r>
      <w:r>
        <w:rPr>
          <w:spacing w:val="-3"/>
        </w:rPr>
        <w:t> </w:t>
      </w:r>
      <w:r>
        <w:rPr/>
        <w:t>budget execution,</w:t>
      </w:r>
      <w:r>
        <w:rPr>
          <w:spacing w:val="-1"/>
        </w:rPr>
        <w:t> </w:t>
      </w:r>
      <w:r>
        <w:rPr/>
        <w:t>it is particularly important to monitor results and take corrective actions. No budget planning system</w:t>
      </w:r>
      <w:r>
        <w:rPr>
          <w:spacing w:val="-1"/>
        </w:rPr>
        <w:t> </w:t>
      </w:r>
      <w:r>
        <w:rPr/>
        <w:t>can</w:t>
      </w:r>
      <w:r>
        <w:rPr>
          <w:spacing w:val="-1"/>
        </w:rPr>
        <w:t> </w:t>
      </w:r>
      <w:r>
        <w:rPr/>
        <w:t>be</w:t>
      </w:r>
      <w:r>
        <w:rPr>
          <w:spacing w:val="-2"/>
        </w:rPr>
        <w:t> </w:t>
      </w:r>
      <w:r>
        <w:rPr/>
        <w:t>successful without adequate</w:t>
      </w:r>
      <w:r>
        <w:rPr>
          <w:spacing w:val="-2"/>
        </w:rPr>
        <w:t> </w:t>
      </w:r>
      <w:r>
        <w:rPr/>
        <w:t>and</w:t>
      </w:r>
      <w:r>
        <w:rPr>
          <w:spacing w:val="-1"/>
        </w:rPr>
        <w:t> </w:t>
      </w:r>
      <w:r>
        <w:rPr/>
        <w:t>effective</w:t>
      </w:r>
      <w:r>
        <w:rPr>
          <w:spacing w:val="-2"/>
        </w:rPr>
        <w:t> </w:t>
      </w:r>
      <w:r>
        <w:rPr/>
        <w:t>control.</w:t>
      </w:r>
      <w:r>
        <w:rPr>
          <w:spacing w:val="-1"/>
        </w:rPr>
        <w:t> </w:t>
      </w:r>
      <w:r>
        <w:rPr/>
        <w:t>The</w:t>
      </w:r>
      <w:r>
        <w:rPr>
          <w:spacing w:val="-3"/>
        </w:rPr>
        <w:t> </w:t>
      </w:r>
      <w:r>
        <w:rPr/>
        <w:t>budget</w:t>
      </w:r>
      <w:r>
        <w:rPr>
          <w:spacing w:val="-1"/>
        </w:rPr>
        <w:t> </w:t>
      </w:r>
      <w:r>
        <w:rPr/>
        <w:t>is</w:t>
      </w:r>
      <w:r>
        <w:rPr>
          <w:spacing w:val="-1"/>
        </w:rPr>
        <w:t> </w:t>
      </w:r>
      <w:r>
        <w:rPr/>
        <w:t>closely</w:t>
      </w:r>
      <w:r>
        <w:rPr>
          <w:spacing w:val="-9"/>
        </w:rPr>
        <w:t> </w:t>
      </w:r>
      <w:r>
        <w:rPr/>
        <w:t>connected with the</w:t>
      </w:r>
      <w:r>
        <w:rPr>
          <w:spacing w:val="-1"/>
        </w:rPr>
        <w:t> </w:t>
      </w:r>
      <w:r>
        <w:rPr/>
        <w:t>control. A</w:t>
      </w:r>
      <w:r>
        <w:rPr>
          <w:spacing w:val="-1"/>
        </w:rPr>
        <w:t> </w:t>
      </w:r>
      <w:r>
        <w:rPr/>
        <w:t>well prepared budget cannot be placed in a</w:t>
      </w:r>
      <w:r>
        <w:rPr>
          <w:spacing w:val="-1"/>
        </w:rPr>
        <w:t> </w:t>
      </w:r>
      <w:r>
        <w:rPr/>
        <w:t>shelf</w:t>
      </w:r>
      <w:r>
        <w:rPr>
          <w:spacing w:val="-1"/>
        </w:rPr>
        <w:t> </w:t>
      </w:r>
      <w:r>
        <w:rPr/>
        <w:t>and left</w:t>
      </w:r>
      <w:r>
        <w:rPr>
          <w:spacing w:val="-1"/>
        </w:rPr>
        <w:t> </w:t>
      </w:r>
      <w:r>
        <w:rPr/>
        <w:t>there. It is important to continuously compare at fixed interval (monthly, quarterly) deviations between actual performance and the budgeted performance (Creiu </w:t>
      </w:r>
      <w:r>
        <w:rPr>
          <w:i/>
        </w:rPr>
        <w:t>et al</w:t>
      </w:r>
      <w:r>
        <w:rPr/>
        <w:t>., 2007).</w:t>
      </w:r>
    </w:p>
    <w:p>
      <w:pPr>
        <w:pStyle w:val="BodyText"/>
        <w:spacing w:before="140"/>
      </w:pPr>
    </w:p>
    <w:p>
      <w:pPr>
        <w:pStyle w:val="BodyText"/>
        <w:spacing w:line="360" w:lineRule="auto"/>
        <w:ind w:left="240" w:right="831"/>
        <w:jc w:val="both"/>
      </w:pPr>
      <w:r>
        <w:rPr/>
        <w:t>The economic crisis and the ever growing budget deficit are an excellent opportunity to finally move to planning medium and long term. Public budgets should be projected to a period of four years. Rather than try to implement all activities in a single year, they are phased in periods of four years. Progress is usually measured only in terms of performance, and according to worldwide practice of budgetary organizations, performance measurement is generally directed</w:t>
      </w:r>
      <w:r>
        <w:rPr>
          <w:spacing w:val="40"/>
        </w:rPr>
        <w:t> </w:t>
      </w:r>
      <w:r>
        <w:rPr/>
        <w:t>to either</w:t>
      </w:r>
      <w:r>
        <w:rPr>
          <w:spacing w:val="-1"/>
        </w:rPr>
        <w:t> </w:t>
      </w:r>
      <w:r>
        <w:rPr/>
        <w:t>the target (output) or</w:t>
      </w:r>
      <w:r>
        <w:rPr>
          <w:spacing w:val="-1"/>
        </w:rPr>
        <w:t> </w:t>
      </w:r>
      <w:r>
        <w:rPr/>
        <w:t>by</w:t>
      </w:r>
      <w:r>
        <w:rPr>
          <w:spacing w:val="-2"/>
        </w:rPr>
        <w:t> </w:t>
      </w:r>
      <w:r>
        <w:rPr/>
        <w:t>performance</w:t>
      </w:r>
      <w:r>
        <w:rPr>
          <w:spacing w:val="-1"/>
        </w:rPr>
        <w:t> </w:t>
      </w:r>
      <w:r>
        <w:rPr/>
        <w:t>indicators (outcome) In addition, performance and the</w:t>
      </w:r>
      <w:r>
        <w:rPr>
          <w:spacing w:val="17"/>
        </w:rPr>
        <w:t> </w:t>
      </w:r>
      <w:r>
        <w:rPr/>
        <w:t>execution</w:t>
      </w:r>
      <w:r>
        <w:rPr>
          <w:spacing w:val="21"/>
        </w:rPr>
        <w:t> </w:t>
      </w:r>
      <w:r>
        <w:rPr/>
        <w:t>of</w:t>
      </w:r>
      <w:r>
        <w:rPr>
          <w:spacing w:val="21"/>
        </w:rPr>
        <w:t> </w:t>
      </w:r>
      <w:r>
        <w:rPr/>
        <w:t>public</w:t>
      </w:r>
      <w:r>
        <w:rPr>
          <w:spacing w:val="22"/>
        </w:rPr>
        <w:t> </w:t>
      </w:r>
      <w:r>
        <w:rPr/>
        <w:t>budgets</w:t>
      </w:r>
      <w:r>
        <w:rPr>
          <w:spacing w:val="21"/>
        </w:rPr>
        <w:t> </w:t>
      </w:r>
      <w:r>
        <w:rPr/>
        <w:t>must</w:t>
      </w:r>
      <w:r>
        <w:rPr>
          <w:spacing w:val="22"/>
        </w:rPr>
        <w:t> </w:t>
      </w:r>
      <w:r>
        <w:rPr/>
        <w:t>be</w:t>
      </w:r>
      <w:r>
        <w:rPr>
          <w:spacing w:val="24"/>
        </w:rPr>
        <w:t> </w:t>
      </w:r>
      <w:r>
        <w:rPr/>
        <w:t>transparent</w:t>
      </w:r>
      <w:r>
        <w:rPr>
          <w:spacing w:val="21"/>
        </w:rPr>
        <w:t> </w:t>
      </w:r>
      <w:r>
        <w:rPr/>
        <w:t>to</w:t>
      </w:r>
      <w:r>
        <w:rPr>
          <w:spacing w:val="21"/>
        </w:rPr>
        <w:t> </w:t>
      </w:r>
      <w:r>
        <w:rPr/>
        <w:t>the</w:t>
      </w:r>
      <w:r>
        <w:rPr>
          <w:spacing w:val="20"/>
        </w:rPr>
        <w:t> </w:t>
      </w:r>
      <w:r>
        <w:rPr/>
        <w:t>public.</w:t>
      </w:r>
      <w:r>
        <w:rPr>
          <w:spacing w:val="20"/>
        </w:rPr>
        <w:t> </w:t>
      </w:r>
      <w:r>
        <w:rPr/>
        <w:t>As</w:t>
      </w:r>
      <w:r>
        <w:rPr>
          <w:spacing w:val="22"/>
        </w:rPr>
        <w:t> </w:t>
      </w:r>
      <w:r>
        <w:rPr/>
        <w:t>public</w:t>
      </w:r>
      <w:r>
        <w:rPr>
          <w:spacing w:val="20"/>
        </w:rPr>
        <w:t> </w:t>
      </w:r>
      <w:r>
        <w:rPr/>
        <w:t>information,</w:t>
      </w:r>
      <w:r>
        <w:rPr>
          <w:spacing w:val="21"/>
        </w:rPr>
        <w:t> </w:t>
      </w:r>
      <w:r>
        <w:rPr>
          <w:spacing w:val="-2"/>
        </w:rPr>
        <w:t>there</w:t>
      </w:r>
    </w:p>
    <w:p>
      <w:pPr>
        <w:spacing w:after="0" w:line="360" w:lineRule="auto"/>
        <w:jc w:val="both"/>
        <w:sectPr>
          <w:pgSz w:w="12240" w:h="15840"/>
          <w:pgMar w:header="0" w:footer="1036" w:top="1360" w:bottom="1220" w:left="1200" w:right="600"/>
        </w:sectPr>
      </w:pPr>
    </w:p>
    <w:p>
      <w:pPr>
        <w:pStyle w:val="BodyText"/>
        <w:spacing w:line="360" w:lineRule="auto" w:before="74"/>
        <w:ind w:left="240" w:right="837"/>
        <w:jc w:val="both"/>
      </w:pPr>
      <w:r>
        <w:rPr/>
        <w:t>are</w:t>
      </w:r>
      <w:r>
        <w:rPr>
          <w:spacing w:val="-3"/>
        </w:rPr>
        <w:t> </w:t>
      </w:r>
      <w:r>
        <w:rPr/>
        <w:t>quite</w:t>
      </w:r>
      <w:r>
        <w:rPr>
          <w:spacing w:val="-2"/>
        </w:rPr>
        <w:t> </w:t>
      </w:r>
      <w:r>
        <w:rPr/>
        <w:t>a few</w:t>
      </w:r>
      <w:r>
        <w:rPr>
          <w:spacing w:val="-2"/>
        </w:rPr>
        <w:t> </w:t>
      </w:r>
      <w:r>
        <w:rPr/>
        <w:t>data</w:t>
      </w:r>
      <w:r>
        <w:rPr>
          <w:spacing w:val="-2"/>
        </w:rPr>
        <w:t> </w:t>
      </w:r>
      <w:r>
        <w:rPr/>
        <w:t>on</w:t>
      </w:r>
      <w:r>
        <w:rPr>
          <w:spacing w:val="-1"/>
        </w:rPr>
        <w:t> </w:t>
      </w:r>
      <w:r>
        <w:rPr/>
        <w:t>budget</w:t>
      </w:r>
      <w:r>
        <w:rPr>
          <w:spacing w:val="-1"/>
        </w:rPr>
        <w:t> </w:t>
      </w:r>
      <w:r>
        <w:rPr/>
        <w:t>implementation</w:t>
      </w:r>
      <w:r>
        <w:rPr>
          <w:spacing w:val="-1"/>
        </w:rPr>
        <w:t> </w:t>
      </w:r>
      <w:r>
        <w:rPr/>
        <w:t>of various</w:t>
      </w:r>
      <w:r>
        <w:rPr>
          <w:spacing w:val="-1"/>
        </w:rPr>
        <w:t> </w:t>
      </w:r>
      <w:r>
        <w:rPr/>
        <w:t>public</w:t>
      </w:r>
      <w:r>
        <w:rPr>
          <w:spacing w:val="-2"/>
        </w:rPr>
        <w:t> </w:t>
      </w:r>
      <w:r>
        <w:rPr/>
        <w:t>entities as compared</w:t>
      </w:r>
      <w:r>
        <w:rPr>
          <w:spacing w:val="-1"/>
        </w:rPr>
        <w:t> </w:t>
      </w:r>
      <w:r>
        <w:rPr/>
        <w:t>the</w:t>
      </w:r>
      <w:r>
        <w:rPr>
          <w:spacing w:val="-2"/>
        </w:rPr>
        <w:t> </w:t>
      </w:r>
      <w:r>
        <w:rPr/>
        <w:t>original budgets,</w:t>
      </w:r>
      <w:r>
        <w:rPr>
          <w:spacing w:val="-1"/>
        </w:rPr>
        <w:t> </w:t>
      </w:r>
      <w:r>
        <w:rPr/>
        <w:t>or</w:t>
      </w:r>
      <w:r>
        <w:rPr>
          <w:spacing w:val="-2"/>
        </w:rPr>
        <w:t> </w:t>
      </w:r>
      <w:r>
        <w:rPr/>
        <w:t>complete</w:t>
      </w:r>
      <w:r>
        <w:rPr>
          <w:spacing w:val="-2"/>
        </w:rPr>
        <w:t> </w:t>
      </w:r>
      <w:r>
        <w:rPr/>
        <w:t>data</w:t>
      </w:r>
      <w:r>
        <w:rPr>
          <w:spacing w:val="-2"/>
        </w:rPr>
        <w:t> </w:t>
      </w:r>
      <w:r>
        <w:rPr/>
        <w:t>about</w:t>
      </w:r>
      <w:r>
        <w:rPr>
          <w:spacing w:val="-1"/>
        </w:rPr>
        <w:t> </w:t>
      </w:r>
      <w:r>
        <w:rPr/>
        <w:t>budget</w:t>
      </w:r>
      <w:r>
        <w:rPr>
          <w:spacing w:val="-1"/>
        </w:rPr>
        <w:t> </w:t>
      </w:r>
      <w:r>
        <w:rPr/>
        <w:t>revisions and</w:t>
      </w:r>
      <w:r>
        <w:rPr>
          <w:spacing w:val="-1"/>
        </w:rPr>
        <w:t> </w:t>
      </w:r>
      <w:r>
        <w:rPr/>
        <w:t>their</w:t>
      </w:r>
      <w:r>
        <w:rPr>
          <w:spacing w:val="-2"/>
        </w:rPr>
        <w:t> </w:t>
      </w:r>
      <w:r>
        <w:rPr/>
        <w:t>justification</w:t>
      </w:r>
      <w:r>
        <w:rPr>
          <w:spacing w:val="-1"/>
        </w:rPr>
        <w:t> </w:t>
      </w:r>
      <w:r>
        <w:rPr/>
        <w:t>should</w:t>
      </w:r>
      <w:r>
        <w:rPr>
          <w:spacing w:val="-1"/>
        </w:rPr>
        <w:t> </w:t>
      </w:r>
      <w:r>
        <w:rPr/>
        <w:t>be</w:t>
      </w:r>
      <w:r>
        <w:rPr>
          <w:spacing w:val="-2"/>
        </w:rPr>
        <w:t> </w:t>
      </w:r>
      <w:r>
        <w:rPr/>
        <w:t>made</w:t>
      </w:r>
      <w:r>
        <w:rPr>
          <w:spacing w:val="-3"/>
        </w:rPr>
        <w:t> </w:t>
      </w:r>
      <w:r>
        <w:rPr/>
        <w:t>known</w:t>
      </w:r>
      <w:r>
        <w:rPr>
          <w:spacing w:val="-2"/>
        </w:rPr>
        <w:t> </w:t>
      </w:r>
      <w:r>
        <w:rPr/>
        <w:t>to citizens (Creiu </w:t>
      </w:r>
      <w:r>
        <w:rPr>
          <w:i/>
        </w:rPr>
        <w:t>et al</w:t>
      </w:r>
      <w:r>
        <w:rPr/>
        <w:t>., 2007).</w:t>
      </w:r>
    </w:p>
    <w:p>
      <w:pPr>
        <w:pStyle w:val="BodyText"/>
        <w:spacing w:before="138"/>
      </w:pPr>
    </w:p>
    <w:p>
      <w:pPr>
        <w:pStyle w:val="BodyText"/>
        <w:spacing w:line="360" w:lineRule="auto" w:before="1"/>
        <w:ind w:left="240" w:right="835"/>
        <w:jc w:val="both"/>
      </w:pPr>
      <w:r>
        <w:rPr/>
        <w:t>Iceland Ministry of Finance (2006) established that many western governments have developed systematic procedures to link government budget appropriations to performance targets. To this end, good information is required concerning the performance of public services and the cost of improving the performance. Careful budget design requires a variety of information. The main task is to determine what information is useful in determining budget amounts at various stages of the budget process in order to improve the decision-making process. The task is to determine what data is required and how much should be spent to obtain it.</w:t>
      </w:r>
    </w:p>
    <w:p>
      <w:pPr>
        <w:pStyle w:val="BodyText"/>
        <w:spacing w:before="241"/>
      </w:pPr>
    </w:p>
    <w:p>
      <w:pPr>
        <w:pStyle w:val="BodyText"/>
        <w:spacing w:line="360" w:lineRule="auto" w:before="1"/>
        <w:ind w:left="240" w:right="834"/>
        <w:jc w:val="both"/>
      </w:pPr>
      <w:r>
        <w:rPr/>
        <w:t>Budget performance targets have to be reviewed every two years. In every case it is expected to be clear who is responsible for delivering progress towards individual targets, such that the chain of responsibility is clear at all stages. Reaching specific targets always has a cost, and although targets and performance information are used in tandem, there cannot be an automatic link between the setting of a target and the actual budget appropriation. Since performance information is important, it is imperative that it is trustworthy. A number of methods are used to verify such information and assess budget performance results. The dissemination of budget performance information to the public and other interested parties is also important. The assembly of performance data is also useful to call attention to areas that need to be reassessed, while using formula for allocating funds is generally favourable, although they turn out to be quite complicated, since they</w:t>
      </w:r>
      <w:r>
        <w:rPr>
          <w:spacing w:val="-1"/>
        </w:rPr>
        <w:t> </w:t>
      </w:r>
      <w:r>
        <w:rPr/>
        <w:t>demand increased performance monitoring, and a formal review of performance measurements for purposes of data confirmation (Iceland Ministry of Finance, </w:t>
      </w:r>
      <w:r>
        <w:rPr>
          <w:spacing w:val="-2"/>
        </w:rPr>
        <w:t>2006).</w:t>
      </w:r>
    </w:p>
    <w:p>
      <w:pPr>
        <w:pStyle w:val="BodyText"/>
      </w:pPr>
    </w:p>
    <w:p>
      <w:pPr>
        <w:pStyle w:val="BodyText"/>
      </w:pPr>
    </w:p>
    <w:p>
      <w:pPr>
        <w:pStyle w:val="BodyText"/>
        <w:spacing w:line="360" w:lineRule="auto"/>
        <w:ind w:left="240" w:right="832"/>
        <w:jc w:val="both"/>
      </w:pPr>
      <w:r>
        <w:rPr/>
        <w:t>In a study carried out by Doyle (2014), the transition of the Australian government to output- based budgeting (funding departmental inputs to it funding departments to deliver outputs to specific standards, as the means of achieving policy goals) did not fully address the budget performance</w:t>
      </w:r>
      <w:r>
        <w:rPr>
          <w:spacing w:val="-4"/>
        </w:rPr>
        <w:t> </w:t>
      </w:r>
      <w:r>
        <w:rPr/>
        <w:t>issue</w:t>
      </w:r>
      <w:r>
        <w:rPr>
          <w:spacing w:val="-2"/>
        </w:rPr>
        <w:t> </w:t>
      </w:r>
      <w:r>
        <w:rPr/>
        <w:t>because</w:t>
      </w:r>
      <w:r>
        <w:rPr>
          <w:spacing w:val="-4"/>
        </w:rPr>
        <w:t> </w:t>
      </w:r>
      <w:r>
        <w:rPr/>
        <w:t>of</w:t>
      </w:r>
      <w:r>
        <w:rPr>
          <w:spacing w:val="-3"/>
        </w:rPr>
        <w:t> </w:t>
      </w:r>
      <w:r>
        <w:rPr/>
        <w:t>the</w:t>
      </w:r>
      <w:r>
        <w:rPr>
          <w:spacing w:val="-3"/>
        </w:rPr>
        <w:t> </w:t>
      </w:r>
      <w:r>
        <w:rPr/>
        <w:t>absence</w:t>
      </w:r>
      <w:r>
        <w:rPr>
          <w:spacing w:val="-4"/>
        </w:rPr>
        <w:t> </w:t>
      </w:r>
      <w:r>
        <w:rPr/>
        <w:t>of</w:t>
      </w:r>
      <w:r>
        <w:rPr>
          <w:spacing w:val="-2"/>
        </w:rPr>
        <w:t> </w:t>
      </w:r>
      <w:r>
        <w:rPr/>
        <w:t>comprehensive</w:t>
      </w:r>
      <w:r>
        <w:rPr>
          <w:spacing w:val="-3"/>
        </w:rPr>
        <w:t> </w:t>
      </w:r>
      <w:r>
        <w:rPr/>
        <w:t>information</w:t>
      </w:r>
      <w:r>
        <w:rPr>
          <w:spacing w:val="-3"/>
        </w:rPr>
        <w:t> </w:t>
      </w:r>
      <w:r>
        <w:rPr/>
        <w:t>on</w:t>
      </w:r>
      <w:r>
        <w:rPr>
          <w:spacing w:val="-3"/>
        </w:rPr>
        <w:t> </w:t>
      </w:r>
      <w:r>
        <w:rPr/>
        <w:t>outcomes.</w:t>
      </w:r>
      <w:r>
        <w:rPr>
          <w:spacing w:val="-1"/>
        </w:rPr>
        <w:t> </w:t>
      </w:r>
      <w:r>
        <w:rPr/>
        <w:t>In view</w:t>
      </w:r>
      <w:r>
        <w:rPr>
          <w:spacing w:val="-4"/>
        </w:rPr>
        <w:t> </w:t>
      </w:r>
      <w:r>
        <w:rPr/>
        <w:t>of this,</w:t>
      </w:r>
      <w:r>
        <w:rPr>
          <w:spacing w:val="25"/>
        </w:rPr>
        <w:t> </w:t>
      </w:r>
      <w:r>
        <w:rPr/>
        <w:t>in</w:t>
      </w:r>
      <w:r>
        <w:rPr>
          <w:spacing w:val="29"/>
        </w:rPr>
        <w:t> </w:t>
      </w:r>
      <w:r>
        <w:rPr/>
        <w:t>2011,</w:t>
      </w:r>
      <w:r>
        <w:rPr>
          <w:spacing w:val="28"/>
        </w:rPr>
        <w:t> </w:t>
      </w:r>
      <w:r>
        <w:rPr/>
        <w:t>the</w:t>
      </w:r>
      <w:r>
        <w:rPr>
          <w:spacing w:val="27"/>
        </w:rPr>
        <w:t> </w:t>
      </w:r>
      <w:r>
        <w:rPr/>
        <w:t>government</w:t>
      </w:r>
      <w:r>
        <w:rPr>
          <w:spacing w:val="31"/>
        </w:rPr>
        <w:t> </w:t>
      </w:r>
      <w:r>
        <w:rPr/>
        <w:t>amended</w:t>
      </w:r>
      <w:r>
        <w:rPr>
          <w:spacing w:val="28"/>
        </w:rPr>
        <w:t> </w:t>
      </w:r>
      <w:r>
        <w:rPr/>
        <w:t>the</w:t>
      </w:r>
      <w:r>
        <w:rPr>
          <w:spacing w:val="27"/>
        </w:rPr>
        <w:t> </w:t>
      </w:r>
      <w:r>
        <w:rPr/>
        <w:t>budget</w:t>
      </w:r>
      <w:r>
        <w:rPr>
          <w:spacing w:val="29"/>
        </w:rPr>
        <w:t> </w:t>
      </w:r>
      <w:r>
        <w:rPr/>
        <w:t>framework</w:t>
      </w:r>
      <w:r>
        <w:rPr>
          <w:spacing w:val="27"/>
        </w:rPr>
        <w:t> </w:t>
      </w:r>
      <w:r>
        <w:rPr/>
        <w:t>by</w:t>
      </w:r>
      <w:r>
        <w:rPr>
          <w:spacing w:val="22"/>
        </w:rPr>
        <w:t> </w:t>
      </w:r>
      <w:r>
        <w:rPr/>
        <w:t>requiring</w:t>
      </w:r>
      <w:r>
        <w:rPr>
          <w:spacing w:val="26"/>
        </w:rPr>
        <w:t> </w:t>
      </w:r>
      <w:r>
        <w:rPr/>
        <w:t>departments</w:t>
      </w:r>
      <w:r>
        <w:rPr>
          <w:spacing w:val="29"/>
        </w:rPr>
        <w:t> </w:t>
      </w:r>
      <w:r>
        <w:rPr/>
        <w:t>in</w:t>
      </w:r>
      <w:r>
        <w:rPr>
          <w:spacing w:val="29"/>
        </w:rPr>
        <w:t> </w:t>
      </w:r>
      <w:r>
        <w:rPr>
          <w:spacing w:val="-5"/>
        </w:rPr>
        <w:t>the</w:t>
      </w:r>
    </w:p>
    <w:p>
      <w:pPr>
        <w:spacing w:after="0" w:line="360" w:lineRule="auto"/>
        <w:jc w:val="both"/>
        <w:sectPr>
          <w:pgSz w:w="12240" w:h="15840"/>
          <w:pgMar w:header="0" w:footer="1036" w:top="1360" w:bottom="1220" w:left="1200" w:right="600"/>
        </w:sectPr>
      </w:pPr>
    </w:p>
    <w:p>
      <w:pPr>
        <w:pStyle w:val="BodyText"/>
        <w:spacing w:line="360" w:lineRule="auto" w:before="74"/>
        <w:ind w:left="240" w:right="835"/>
        <w:jc w:val="both"/>
      </w:pPr>
      <w:r>
        <w:rPr/>
        <w:t>public sector to</w:t>
      </w:r>
      <w:r>
        <w:rPr>
          <w:spacing w:val="40"/>
        </w:rPr>
        <w:t> </w:t>
      </w:r>
      <w:r>
        <w:rPr/>
        <w:t>(a) include objectives (intended outcomes) in Budget Papers to better show how departmental outputs will benefit the community (b)clearly show how outputs influence or link</w:t>
      </w:r>
      <w:r>
        <w:rPr>
          <w:spacing w:val="40"/>
        </w:rPr>
        <w:t> </w:t>
      </w:r>
      <w:r>
        <w:rPr/>
        <w:t>to objectives (c)include objective indicators as statistical and rigorous measures of the contribution</w:t>
      </w:r>
      <w:r>
        <w:rPr>
          <w:spacing w:val="-1"/>
        </w:rPr>
        <w:t> </w:t>
      </w:r>
      <w:r>
        <w:rPr/>
        <w:t>of</w:t>
      </w:r>
      <w:r>
        <w:rPr>
          <w:spacing w:val="-1"/>
        </w:rPr>
        <w:t> </w:t>
      </w:r>
      <w:r>
        <w:rPr/>
        <w:t>outputs</w:t>
      </w:r>
      <w:r>
        <w:rPr>
          <w:spacing w:val="-1"/>
        </w:rPr>
        <w:t> </w:t>
      </w:r>
      <w:r>
        <w:rPr/>
        <w:t>to</w:t>
      </w:r>
      <w:r>
        <w:rPr>
          <w:spacing w:val="-2"/>
        </w:rPr>
        <w:t> </w:t>
      </w:r>
      <w:r>
        <w:rPr/>
        <w:t>achieving</w:t>
      </w:r>
      <w:r>
        <w:rPr>
          <w:spacing w:val="-3"/>
        </w:rPr>
        <w:t> </w:t>
      </w:r>
      <w:r>
        <w:rPr/>
        <w:t>specific</w:t>
      </w:r>
      <w:r>
        <w:rPr>
          <w:spacing w:val="-1"/>
        </w:rPr>
        <w:t> </w:t>
      </w:r>
      <w:r>
        <w:rPr/>
        <w:t>objectives</w:t>
      </w:r>
      <w:r>
        <w:rPr>
          <w:spacing w:val="-1"/>
        </w:rPr>
        <w:t> </w:t>
      </w:r>
      <w:r>
        <w:rPr/>
        <w:t>and</w:t>
      </w:r>
      <w:r>
        <w:rPr>
          <w:spacing w:val="-1"/>
        </w:rPr>
        <w:t> </w:t>
      </w:r>
      <w:r>
        <w:rPr/>
        <w:t>(d)</w:t>
      </w:r>
      <w:r>
        <w:rPr>
          <w:spacing w:val="-2"/>
        </w:rPr>
        <w:t> </w:t>
      </w:r>
      <w:r>
        <w:rPr/>
        <w:t>develop</w:t>
      </w:r>
      <w:r>
        <w:rPr>
          <w:spacing w:val="-1"/>
        </w:rPr>
        <w:t> </w:t>
      </w:r>
      <w:r>
        <w:rPr/>
        <w:t>a</w:t>
      </w:r>
      <w:r>
        <w:rPr>
          <w:spacing w:val="-1"/>
        </w:rPr>
        <w:t> </w:t>
      </w:r>
      <w:r>
        <w:rPr/>
        <w:t>four-year</w:t>
      </w:r>
      <w:r>
        <w:rPr>
          <w:spacing w:val="-1"/>
        </w:rPr>
        <w:t> </w:t>
      </w:r>
      <w:r>
        <w:rPr/>
        <w:t>corporate</w:t>
      </w:r>
      <w:r>
        <w:rPr>
          <w:spacing w:val="-1"/>
        </w:rPr>
        <w:t> </w:t>
      </w:r>
      <w:r>
        <w:rPr/>
        <w:t>and 10-year long-term plans to inform budget decisions, by analyzing challenges, and proposing mitigation strategies.</w:t>
      </w:r>
    </w:p>
    <w:p>
      <w:pPr>
        <w:pStyle w:val="BodyText"/>
        <w:spacing w:before="185"/>
      </w:pPr>
    </w:p>
    <w:p>
      <w:pPr>
        <w:pStyle w:val="BodyText"/>
        <w:spacing w:line="360" w:lineRule="auto"/>
        <w:ind w:left="240" w:right="833"/>
        <w:jc w:val="both"/>
      </w:pPr>
      <w:r>
        <w:rPr/>
        <w:t>In the Nigerian setting however, Omolehinwa (2014) advises that; to achieve performance</w:t>
      </w:r>
      <w:r>
        <w:rPr>
          <w:spacing w:val="80"/>
        </w:rPr>
        <w:t> </w:t>
      </w:r>
      <w:r>
        <w:rPr/>
        <w:t>targets or enhance budget performance, there must be clarity of roles and responsibilities for the various officials and institutions in order to know the job specifications, provision of relevant information to the various stakeholders at the right time in order to assist in taking the right decisions, preparation of the budget on a timely basis and approved, before the beginning of a financial year, allocating resources to programmes on the basis of the country‘s priorities and programme effectiveness, avoidance of overloading of MDAs‘ budgets so that they can have the absorptive capacity to implement the budget. In order for the MDAs to take capital budget implementation seriously, there should be a stable commitment of funds so that the MDAs can plan ahead in the knowledge that there will be no sudden cut-off of funds at the implementation </w:t>
      </w:r>
      <w:r>
        <w:rPr>
          <w:spacing w:val="-2"/>
        </w:rPr>
        <w:t>stage.</w:t>
      </w:r>
    </w:p>
    <w:p>
      <w:pPr>
        <w:pStyle w:val="BodyText"/>
        <w:spacing w:before="231"/>
      </w:pPr>
    </w:p>
    <w:p>
      <w:pPr>
        <w:pStyle w:val="BodyText"/>
        <w:spacing w:line="360" w:lineRule="auto"/>
        <w:ind w:left="240" w:right="835"/>
        <w:jc w:val="both"/>
      </w:pPr>
      <w:r>
        <w:rPr/>
        <w:t>Omolehinwa (2014) further proposes that the government should not resort to escapism by including in the capital budget, projects that it has no intention of implementing in the first instance, only to turn around later to start looking for excuses for not implementing them. The government should also be able to determine the actual work done by the contractors so that disagreement will not cause delay in budget implementation. The budget system should be able</w:t>
      </w:r>
      <w:r>
        <w:rPr>
          <w:spacing w:val="40"/>
        </w:rPr>
        <w:t> </w:t>
      </w:r>
      <w:r>
        <w:rPr/>
        <w:t>to provide feedback to government on the progress of the programmes or projects as it relates to performance</w:t>
      </w:r>
      <w:r>
        <w:rPr>
          <w:spacing w:val="-2"/>
        </w:rPr>
        <w:t> </w:t>
      </w:r>
      <w:r>
        <w:rPr/>
        <w:t>of costs,</w:t>
      </w:r>
      <w:r>
        <w:rPr>
          <w:spacing w:val="-1"/>
        </w:rPr>
        <w:t> </w:t>
      </w:r>
      <w:r>
        <w:rPr/>
        <w:t>targets</w:t>
      </w:r>
      <w:r>
        <w:rPr>
          <w:spacing w:val="-1"/>
        </w:rPr>
        <w:t> </w:t>
      </w:r>
      <w:r>
        <w:rPr/>
        <w:t>and</w:t>
      </w:r>
      <w:r>
        <w:rPr>
          <w:spacing w:val="-1"/>
        </w:rPr>
        <w:t> </w:t>
      </w:r>
      <w:r>
        <w:rPr/>
        <w:t>time</w:t>
      </w:r>
      <w:r>
        <w:rPr>
          <w:spacing w:val="-2"/>
        </w:rPr>
        <w:t> </w:t>
      </w:r>
      <w:r>
        <w:rPr/>
        <w:t>schedule</w:t>
      </w:r>
      <w:r>
        <w:rPr>
          <w:spacing w:val="-2"/>
        </w:rPr>
        <w:t> </w:t>
      </w:r>
      <w:r>
        <w:rPr/>
        <w:t>in</w:t>
      </w:r>
      <w:r>
        <w:rPr>
          <w:spacing w:val="-1"/>
        </w:rPr>
        <w:t> </w:t>
      </w:r>
      <w:r>
        <w:rPr/>
        <w:t>comparison</w:t>
      </w:r>
      <w:r>
        <w:rPr>
          <w:spacing w:val="-1"/>
        </w:rPr>
        <w:t> </w:t>
      </w:r>
      <w:r>
        <w:rPr/>
        <w:t>with</w:t>
      </w:r>
      <w:r>
        <w:rPr>
          <w:spacing w:val="-1"/>
        </w:rPr>
        <w:t> </w:t>
      </w:r>
      <w:r>
        <w:rPr/>
        <w:t>the</w:t>
      </w:r>
      <w:r>
        <w:rPr>
          <w:spacing w:val="-2"/>
        </w:rPr>
        <w:t> </w:t>
      </w:r>
      <w:r>
        <w:rPr/>
        <w:t>original</w:t>
      </w:r>
      <w:r>
        <w:rPr>
          <w:spacing w:val="-1"/>
        </w:rPr>
        <w:t> </w:t>
      </w:r>
      <w:r>
        <w:rPr/>
        <w:t>plan. The reports received by the government on budget implementation should be also able to assist the government to review or modify programmes or projects and to serve as a basis of further resource allocation</w:t>
      </w:r>
    </w:p>
    <w:p>
      <w:pPr>
        <w:spacing w:after="0" w:line="360" w:lineRule="auto"/>
        <w:jc w:val="both"/>
        <w:sectPr>
          <w:pgSz w:w="12240" w:h="15840"/>
          <w:pgMar w:header="0" w:footer="1036" w:top="1360" w:bottom="1220" w:left="1200" w:right="600"/>
        </w:sectPr>
      </w:pPr>
    </w:p>
    <w:p>
      <w:pPr>
        <w:pStyle w:val="BodyText"/>
        <w:spacing w:line="360" w:lineRule="auto" w:before="74"/>
        <w:ind w:left="240" w:right="832"/>
        <w:jc w:val="both"/>
      </w:pPr>
      <w:r>
        <w:rPr/>
        <w:t>As the final submissions of Omolehinwa</w:t>
      </w:r>
      <w:r>
        <w:rPr>
          <w:spacing w:val="-1"/>
        </w:rPr>
        <w:t> </w:t>
      </w:r>
      <w:r>
        <w:rPr/>
        <w:t>(2014); the budget system should be able to identify</w:t>
      </w:r>
      <w:r>
        <w:rPr>
          <w:spacing w:val="-4"/>
        </w:rPr>
        <w:t> </w:t>
      </w:r>
      <w:r>
        <w:rPr/>
        <w:t>the problems affecting the implementation of the budget, if any and suggest solutions as to how any identified implementation problems can be resolved not only</w:t>
      </w:r>
      <w:r>
        <w:rPr>
          <w:spacing w:val="-5"/>
        </w:rPr>
        <w:t> </w:t>
      </w:r>
      <w:r>
        <w:rPr/>
        <w:t>in the present but also</w:t>
      </w:r>
      <w:r>
        <w:rPr>
          <w:spacing w:val="-1"/>
        </w:rPr>
        <w:t> </w:t>
      </w:r>
      <w:r>
        <w:rPr/>
        <w:t>in the future. As much as possible, the citizens should be carried along by the government so that the budget reflects their preferences, the MDAs should carry along not only the other tiers of government but also the host communities in the implementation of the capital projects, there must be in</w:t>
      </w:r>
      <w:r>
        <w:rPr>
          <w:spacing w:val="40"/>
        </w:rPr>
        <w:t> </w:t>
      </w:r>
      <w:r>
        <w:rPr/>
        <w:t>place managerial culture that promotes compliance with formal rules.</w:t>
      </w:r>
    </w:p>
    <w:p>
      <w:pPr>
        <w:pStyle w:val="BodyText"/>
      </w:pPr>
    </w:p>
    <w:p>
      <w:pPr>
        <w:pStyle w:val="BodyText"/>
        <w:spacing w:before="146"/>
      </w:pPr>
    </w:p>
    <w:p>
      <w:pPr>
        <w:pStyle w:val="Heading4"/>
        <w:numPr>
          <w:ilvl w:val="2"/>
          <w:numId w:val="7"/>
        </w:numPr>
        <w:tabs>
          <w:tab w:pos="780" w:val="left" w:leader="none"/>
        </w:tabs>
        <w:spacing w:line="240" w:lineRule="auto" w:before="1" w:after="0"/>
        <w:ind w:left="780" w:right="0" w:hanging="540"/>
        <w:jc w:val="both"/>
      </w:pPr>
      <w:r>
        <w:rPr/>
        <w:t>The</w:t>
      </w:r>
      <w:r>
        <w:rPr>
          <w:spacing w:val="-2"/>
        </w:rPr>
        <w:t> </w:t>
      </w:r>
      <w:r>
        <w:rPr/>
        <w:t>Role</w:t>
      </w:r>
      <w:r>
        <w:rPr>
          <w:spacing w:val="-2"/>
        </w:rPr>
        <w:t> </w:t>
      </w:r>
      <w:r>
        <w:rPr/>
        <w:t>of Budget</w:t>
      </w:r>
      <w:r>
        <w:rPr>
          <w:spacing w:val="-1"/>
        </w:rPr>
        <w:t> </w:t>
      </w:r>
      <w:r>
        <w:rPr/>
        <w:t>Performance</w:t>
      </w:r>
      <w:r>
        <w:rPr>
          <w:spacing w:val="-2"/>
        </w:rPr>
        <w:t> </w:t>
      </w:r>
      <w:r>
        <w:rPr/>
        <w:t>in Housing</w:t>
      </w:r>
      <w:r>
        <w:rPr>
          <w:spacing w:val="-1"/>
        </w:rPr>
        <w:t> </w:t>
      </w:r>
      <w:r>
        <w:rPr>
          <w:spacing w:val="-2"/>
        </w:rPr>
        <w:t>Delivery</w:t>
      </w:r>
    </w:p>
    <w:p>
      <w:pPr>
        <w:pStyle w:val="BodyText"/>
        <w:spacing w:line="360" w:lineRule="auto" w:before="134"/>
        <w:ind w:left="240" w:right="837"/>
        <w:jc w:val="both"/>
      </w:pPr>
      <w:r>
        <w:rPr/>
        <w:t>Within the context of this research, the variables considered for budget performance for housing provision by the public sector include accuracy of data on housing needs, citizen participation, duration of the budget preparation, mechanism for evaluating housing budget funds during implementation, involvement of cost professionals like the Quantity Surveyor in the budget process.</w:t>
      </w:r>
      <w:r>
        <w:rPr>
          <w:spacing w:val="40"/>
        </w:rPr>
        <w:t> </w:t>
      </w:r>
      <w:r>
        <w:rPr/>
        <w:t>Housing budget performance therefore depends on the extent to which the housing budgeting process meets the expectations of the citizens in terms of the above measures. The evaluation of these measures involves the collection of both quantitative and qualitative data.</w:t>
      </w:r>
    </w:p>
    <w:p>
      <w:pPr>
        <w:pStyle w:val="BodyText"/>
        <w:spacing w:before="136"/>
      </w:pPr>
    </w:p>
    <w:p>
      <w:pPr>
        <w:pStyle w:val="BodyText"/>
        <w:spacing w:line="360" w:lineRule="auto"/>
        <w:ind w:left="240" w:right="836"/>
        <w:jc w:val="both"/>
      </w:pPr>
      <w:r>
        <w:rPr/>
        <w:t>Unlike the private sector, where profit provides handy metrics or performance, in the public sector, gauging performance is complex. Public sector needs to understand its inputs (finance, staff, equipment) and output (such as number and quality of houses provided annually) and outcomes (such as improvement in housing delivery over a number of years), public policy outcomes-the eventual impact on society and are affected by multiple factors, some of which are affected by multiple factors, some of them beyond government control (McKinsey, 2011).</w:t>
      </w:r>
    </w:p>
    <w:p>
      <w:pPr>
        <w:pStyle w:val="BodyText"/>
        <w:spacing w:before="159"/>
      </w:pPr>
    </w:p>
    <w:p>
      <w:pPr>
        <w:pStyle w:val="BodyText"/>
        <w:spacing w:line="360" w:lineRule="auto"/>
        <w:ind w:left="240" w:right="841"/>
        <w:jc w:val="both"/>
      </w:pPr>
      <w:r>
        <w:rPr/>
        <w:t>Few sectors of the economy</w:t>
      </w:r>
      <w:r>
        <w:rPr>
          <w:spacing w:val="-3"/>
        </w:rPr>
        <w:t> </w:t>
      </w:r>
      <w:r>
        <w:rPr/>
        <w:t>depend on performance metrics as much as the housing sector does. Within any housing system, there can be many indicators of performance such as the facility level (bungalows, block of flats, duplexes). These indicators are systematically measured, aggregated, and tracked at higher levels. These performance indicators, or KPIs, are used</w:t>
      </w:r>
      <w:r>
        <w:rPr>
          <w:spacing w:val="40"/>
        </w:rPr>
        <w:t> </w:t>
      </w:r>
      <w:r>
        <w:rPr/>
        <w:t>because they highlight those aspects of performance that are integral above all others in</w:t>
      </w:r>
      <w:r>
        <w:rPr>
          <w:spacing w:val="40"/>
        </w:rPr>
        <w:t> </w:t>
      </w:r>
      <w:r>
        <w:rPr/>
        <w:t>providing insights on attaining the housing sector goals (Rozner, 2013).</w:t>
      </w:r>
    </w:p>
    <w:p>
      <w:pPr>
        <w:spacing w:after="0" w:line="360" w:lineRule="auto"/>
        <w:jc w:val="both"/>
        <w:sectPr>
          <w:pgSz w:w="12240" w:h="15840"/>
          <w:pgMar w:header="0" w:footer="1036" w:top="1360" w:bottom="1220" w:left="1200" w:right="600"/>
        </w:sectPr>
      </w:pPr>
    </w:p>
    <w:p>
      <w:pPr>
        <w:pStyle w:val="BodyText"/>
        <w:spacing w:line="360" w:lineRule="auto" w:before="74"/>
        <w:ind w:left="240" w:right="833"/>
        <w:jc w:val="both"/>
      </w:pPr>
      <w:r>
        <w:rPr/>
        <w:t>Nevertheless, it is possible to identify appropriate measures to track every element of public sector performance: inputs, outputs and outcomes. For instance, to gauge the quality of housing provided, the number of rented houses- among a multitude of other indicators. While not a complete measure of outcome of housing policy, it is a good indicator- a high rate of tenancy is associated with dearth of public housing delivery. Qualitative measures such as perceptions of citizens are also important indicators of housing budget performance.</w:t>
      </w:r>
    </w:p>
    <w:p>
      <w:pPr>
        <w:pStyle w:val="BodyText"/>
        <w:spacing w:before="159"/>
      </w:pPr>
    </w:p>
    <w:p>
      <w:pPr>
        <w:pStyle w:val="BodyText"/>
        <w:spacing w:line="360" w:lineRule="auto"/>
        <w:ind w:left="240" w:right="839"/>
        <w:jc w:val="both"/>
      </w:pPr>
      <w:r>
        <w:rPr/>
        <w:t>The delivery of housing services can be improved in two ways: by improving productivity or financial management. These performance drivers are often mixed up, but each is measured in a different way and requires different improvement tactics. Productivity can be realized as improved outputs – for instance increasing the number of houses provided on an annual basis. This can be achieved by a range of measures, such as better training on taking statistics of housing needs and precisely segmenting or prioritizing citizen needs.</w:t>
      </w:r>
    </w:p>
    <w:p>
      <w:pPr>
        <w:pStyle w:val="BodyText"/>
        <w:spacing w:before="193"/>
      </w:pPr>
    </w:p>
    <w:p>
      <w:pPr>
        <w:pStyle w:val="BodyText"/>
        <w:spacing w:line="360" w:lineRule="auto"/>
        <w:ind w:left="240" w:right="836"/>
        <w:jc w:val="both"/>
      </w:pPr>
      <w:r>
        <w:rPr/>
        <w:t>Sound financial management can be realized by reducing revenue ‗leaks‘ through better fraud detection. Distinguishing between different drivers of performance in this way equips public sector decision makers to make better decisions on how to improve budget performance and determine where to focus time and resources (McKinsey, 2011). In other words, underlying performance culture should be underpinned by transparency. Transparency will only create pressure for improvement, if the metrics are robust and clear.</w:t>
      </w:r>
    </w:p>
    <w:p>
      <w:pPr>
        <w:pStyle w:val="BodyText"/>
        <w:spacing w:before="159"/>
      </w:pPr>
    </w:p>
    <w:p>
      <w:pPr>
        <w:pStyle w:val="BodyText"/>
        <w:spacing w:line="360" w:lineRule="auto"/>
        <w:ind w:left="240" w:right="831"/>
        <w:jc w:val="both"/>
      </w:pPr>
      <w:r>
        <w:rPr/>
        <w:t>To improve housing budget performance, the public sector must think beyond redrawing the</w:t>
      </w:r>
      <w:r>
        <w:rPr>
          <w:spacing w:val="40"/>
        </w:rPr>
        <w:t> </w:t>
      </w:r>
      <w:r>
        <w:rPr/>
        <w:t>lines and boxes on the organizational chart:</w:t>
      </w:r>
      <w:r>
        <w:rPr>
          <w:spacing w:val="40"/>
        </w:rPr>
        <w:t> </w:t>
      </w:r>
      <w:r>
        <w:rPr/>
        <w:t>every stakeholder must be involved on a day-to-day basis. This requires ensuring that talent is able to move across agencies, functions and geographies as necessary to best serve the public. A similar scenario is involving housing cost professionals in the housing</w:t>
      </w:r>
      <w:r>
        <w:rPr>
          <w:spacing w:val="-1"/>
        </w:rPr>
        <w:t> </w:t>
      </w:r>
      <w:r>
        <w:rPr/>
        <w:t>budget decision making</w:t>
      </w:r>
      <w:r>
        <w:rPr>
          <w:spacing w:val="-1"/>
        </w:rPr>
        <w:t> </w:t>
      </w:r>
      <w:r>
        <w:rPr/>
        <w:t>of the public sector. Whatever the rationale, restructuring housing budget is unlikely</w:t>
      </w:r>
      <w:r>
        <w:rPr>
          <w:spacing w:val="-3"/>
        </w:rPr>
        <w:t> </w:t>
      </w:r>
      <w:r>
        <w:rPr/>
        <w:t>to deliver value, unless the right changes are made, both to formal roles and responsibilities and, more importantly, to underlying mindsets and behaviours. An extension of this issue is persuading people to change how they work, which is rarely and easy task.</w:t>
      </w:r>
    </w:p>
    <w:p>
      <w:pPr>
        <w:spacing w:after="0" w:line="360" w:lineRule="auto"/>
        <w:jc w:val="both"/>
        <w:sectPr>
          <w:pgSz w:w="12240" w:h="15840"/>
          <w:pgMar w:header="0" w:footer="1036" w:top="1360" w:bottom="1220" w:left="1200" w:right="600"/>
        </w:sectPr>
      </w:pPr>
    </w:p>
    <w:p>
      <w:pPr>
        <w:pStyle w:val="BodyText"/>
        <w:spacing w:line="360" w:lineRule="auto" w:before="74"/>
        <w:ind w:left="240" w:right="834"/>
        <w:jc w:val="both"/>
      </w:pPr>
      <w:r>
        <w:rPr/>
        <w:t>In summary, the</w:t>
      </w:r>
      <w:r>
        <w:rPr>
          <w:spacing w:val="-1"/>
        </w:rPr>
        <w:t> </w:t>
      </w:r>
      <w:r>
        <w:rPr/>
        <w:t>message is that budget performance is based on the</w:t>
      </w:r>
      <w:r>
        <w:rPr>
          <w:spacing w:val="-1"/>
        </w:rPr>
        <w:t> </w:t>
      </w:r>
      <w:r>
        <w:rPr/>
        <w:t>practice</w:t>
      </w:r>
      <w:r>
        <w:rPr>
          <w:spacing w:val="-1"/>
        </w:rPr>
        <w:t> </w:t>
      </w:r>
      <w:r>
        <w:rPr/>
        <w:t>of</w:t>
      </w:r>
      <w:r>
        <w:rPr>
          <w:spacing w:val="-1"/>
        </w:rPr>
        <w:t> </w:t>
      </w:r>
      <w:r>
        <w:rPr/>
        <w:t>thinking</w:t>
      </w:r>
      <w:r>
        <w:rPr>
          <w:spacing w:val="-2"/>
        </w:rPr>
        <w:t> </w:t>
      </w:r>
      <w:r>
        <w:rPr/>
        <w:t>in terms of goals rather than means. It therefore depends not only on the measurability of variables but also on what factors are being considered and the methodology to be used. A good and effective budget performance system provides direct benefits to both the public organization and the society at large, by a rigorous and focused approach to the achievement of goals (Then and Tan, 2002). An important issue in the process is to understand what factors to be evaluated and this is necessary</w:t>
      </w:r>
      <w:r>
        <w:rPr>
          <w:spacing w:val="-7"/>
        </w:rPr>
        <w:t> </w:t>
      </w:r>
      <w:r>
        <w:rPr/>
        <w:t>to</w:t>
      </w:r>
      <w:r>
        <w:rPr>
          <w:spacing w:val="-2"/>
        </w:rPr>
        <w:t> </w:t>
      </w:r>
      <w:r>
        <w:rPr/>
        <w:t>achieve</w:t>
      </w:r>
      <w:r>
        <w:rPr>
          <w:spacing w:val="-2"/>
        </w:rPr>
        <w:t> </w:t>
      </w:r>
      <w:r>
        <w:rPr/>
        <w:t>the</w:t>
      </w:r>
      <w:r>
        <w:rPr>
          <w:spacing w:val="-1"/>
        </w:rPr>
        <w:t> </w:t>
      </w:r>
      <w:r>
        <w:rPr/>
        <w:t>desired</w:t>
      </w:r>
      <w:r>
        <w:rPr>
          <w:spacing w:val="-2"/>
        </w:rPr>
        <w:t> </w:t>
      </w:r>
      <w:r>
        <w:rPr/>
        <w:t>results.</w:t>
      </w:r>
      <w:r>
        <w:rPr>
          <w:spacing w:val="-2"/>
        </w:rPr>
        <w:t> </w:t>
      </w:r>
      <w:r>
        <w:rPr/>
        <w:t>A good</w:t>
      </w:r>
      <w:r>
        <w:rPr>
          <w:spacing w:val="-2"/>
        </w:rPr>
        <w:t> </w:t>
      </w:r>
      <w:r>
        <w:rPr/>
        <w:t>budget</w:t>
      </w:r>
      <w:r>
        <w:rPr>
          <w:spacing w:val="-1"/>
        </w:rPr>
        <w:t> </w:t>
      </w:r>
      <w:r>
        <w:rPr/>
        <w:t>performance</w:t>
      </w:r>
      <w:r>
        <w:rPr>
          <w:spacing w:val="-3"/>
        </w:rPr>
        <w:t> </w:t>
      </w:r>
      <w:r>
        <w:rPr/>
        <w:t>process</w:t>
      </w:r>
      <w:r>
        <w:rPr>
          <w:spacing w:val="-2"/>
        </w:rPr>
        <w:t> </w:t>
      </w:r>
      <w:r>
        <w:rPr/>
        <w:t>must</w:t>
      </w:r>
      <w:r>
        <w:rPr>
          <w:spacing w:val="-2"/>
        </w:rPr>
        <w:t> </w:t>
      </w:r>
      <w:r>
        <w:rPr/>
        <w:t>have</w:t>
      </w:r>
      <w:r>
        <w:rPr>
          <w:spacing w:val="-4"/>
        </w:rPr>
        <w:t> </w:t>
      </w:r>
      <w:r>
        <w:rPr/>
        <w:t>three</w:t>
      </w:r>
      <w:r>
        <w:rPr>
          <w:spacing w:val="-3"/>
        </w:rPr>
        <w:t> </w:t>
      </w:r>
      <w:r>
        <w:rPr/>
        <w:t>key </w:t>
      </w:r>
      <w:r>
        <w:rPr>
          <w:spacing w:val="-2"/>
        </w:rPr>
        <w:t>aims:</w:t>
      </w:r>
    </w:p>
    <w:p>
      <w:pPr>
        <w:pStyle w:val="ListParagraph"/>
        <w:numPr>
          <w:ilvl w:val="3"/>
          <w:numId w:val="7"/>
        </w:numPr>
        <w:tabs>
          <w:tab w:pos="1015" w:val="left" w:leader="none"/>
        </w:tabs>
        <w:spacing w:line="240" w:lineRule="auto" w:before="1" w:after="0"/>
        <w:ind w:left="1015" w:right="0" w:hanging="485"/>
        <w:jc w:val="both"/>
        <w:rPr>
          <w:sz w:val="24"/>
        </w:rPr>
      </w:pPr>
      <w:r>
        <w:rPr>
          <w:sz w:val="24"/>
        </w:rPr>
        <w:t>The</w:t>
      </w:r>
      <w:r>
        <w:rPr>
          <w:spacing w:val="-2"/>
          <w:sz w:val="24"/>
        </w:rPr>
        <w:t> </w:t>
      </w:r>
      <w:r>
        <w:rPr>
          <w:sz w:val="24"/>
        </w:rPr>
        <w:t>subjectivity</w:t>
      </w:r>
      <w:r>
        <w:rPr>
          <w:spacing w:val="-5"/>
          <w:sz w:val="24"/>
        </w:rPr>
        <w:t> </w:t>
      </w:r>
      <w:r>
        <w:rPr>
          <w:sz w:val="24"/>
        </w:rPr>
        <w:t>of</w:t>
      </w:r>
      <w:r>
        <w:rPr>
          <w:spacing w:val="1"/>
          <w:sz w:val="24"/>
        </w:rPr>
        <w:t> </w:t>
      </w:r>
      <w:r>
        <w:rPr>
          <w:sz w:val="24"/>
        </w:rPr>
        <w:t>assessment should be </w:t>
      </w:r>
      <w:r>
        <w:rPr>
          <w:spacing w:val="-2"/>
          <w:sz w:val="24"/>
        </w:rPr>
        <w:t>minimized;</w:t>
      </w:r>
    </w:p>
    <w:p>
      <w:pPr>
        <w:pStyle w:val="ListParagraph"/>
        <w:numPr>
          <w:ilvl w:val="3"/>
          <w:numId w:val="7"/>
        </w:numPr>
        <w:tabs>
          <w:tab w:pos="1016" w:val="left" w:leader="none"/>
          <w:tab w:pos="1018" w:val="left" w:leader="none"/>
        </w:tabs>
        <w:spacing w:line="360" w:lineRule="auto" w:before="137" w:after="0"/>
        <w:ind w:left="1018" w:right="835" w:hanging="555"/>
        <w:jc w:val="both"/>
        <w:rPr>
          <w:sz w:val="24"/>
        </w:rPr>
      </w:pPr>
      <w:r>
        <w:rPr>
          <w:sz w:val="24"/>
        </w:rPr>
        <w:t>The assessment should provide a consistently reliable result when used on similar projects; and</w:t>
      </w:r>
    </w:p>
    <w:p>
      <w:pPr>
        <w:pStyle w:val="ListParagraph"/>
        <w:numPr>
          <w:ilvl w:val="3"/>
          <w:numId w:val="7"/>
        </w:numPr>
        <w:tabs>
          <w:tab w:pos="1016" w:val="left" w:leader="none"/>
        </w:tabs>
        <w:spacing w:line="240" w:lineRule="auto" w:before="0" w:after="0"/>
        <w:ind w:left="1016" w:right="0" w:hanging="620"/>
        <w:jc w:val="both"/>
        <w:rPr>
          <w:sz w:val="24"/>
        </w:rPr>
      </w:pPr>
      <w:r>
        <w:rPr>
          <w:sz w:val="24"/>
        </w:rPr>
        <w:t>The</w:t>
      </w:r>
      <w:r>
        <w:rPr>
          <w:spacing w:val="-5"/>
          <w:sz w:val="24"/>
        </w:rPr>
        <w:t> </w:t>
      </w:r>
      <w:r>
        <w:rPr>
          <w:sz w:val="24"/>
        </w:rPr>
        <w:t>result</w:t>
      </w:r>
      <w:r>
        <w:rPr>
          <w:spacing w:val="-1"/>
          <w:sz w:val="24"/>
        </w:rPr>
        <w:t> </w:t>
      </w:r>
      <w:r>
        <w:rPr>
          <w:sz w:val="24"/>
        </w:rPr>
        <w:t>should</w:t>
      </w:r>
      <w:r>
        <w:rPr>
          <w:spacing w:val="-1"/>
          <w:sz w:val="24"/>
        </w:rPr>
        <w:t> </w:t>
      </w:r>
      <w:r>
        <w:rPr>
          <w:sz w:val="24"/>
        </w:rPr>
        <w:t>offer</w:t>
      </w:r>
      <w:r>
        <w:rPr>
          <w:spacing w:val="-1"/>
          <w:sz w:val="24"/>
        </w:rPr>
        <w:t> </w:t>
      </w:r>
      <w:r>
        <w:rPr>
          <w:sz w:val="24"/>
        </w:rPr>
        <w:t>a</w:t>
      </w:r>
      <w:r>
        <w:rPr>
          <w:spacing w:val="-1"/>
          <w:sz w:val="24"/>
        </w:rPr>
        <w:t> </w:t>
      </w:r>
      <w:r>
        <w:rPr>
          <w:sz w:val="24"/>
        </w:rPr>
        <w:t>meaningful</w:t>
      </w:r>
      <w:r>
        <w:rPr>
          <w:spacing w:val="-1"/>
          <w:sz w:val="24"/>
        </w:rPr>
        <w:t> </w:t>
      </w:r>
      <w:r>
        <w:rPr>
          <w:sz w:val="24"/>
        </w:rPr>
        <w:t>indication</w:t>
      </w:r>
      <w:r>
        <w:rPr>
          <w:spacing w:val="-1"/>
          <w:sz w:val="24"/>
        </w:rPr>
        <w:t> </w:t>
      </w:r>
      <w:r>
        <w:rPr>
          <w:sz w:val="24"/>
        </w:rPr>
        <w:t>of the</w:t>
      </w:r>
      <w:r>
        <w:rPr>
          <w:spacing w:val="-1"/>
          <w:sz w:val="24"/>
        </w:rPr>
        <w:t> </w:t>
      </w:r>
      <w:r>
        <w:rPr>
          <w:sz w:val="24"/>
        </w:rPr>
        <w:t>budget‘s</w:t>
      </w:r>
      <w:r>
        <w:rPr>
          <w:spacing w:val="-1"/>
          <w:sz w:val="24"/>
        </w:rPr>
        <w:t> </w:t>
      </w:r>
      <w:r>
        <w:rPr>
          <w:sz w:val="24"/>
        </w:rPr>
        <w:t>total</w:t>
      </w:r>
      <w:r>
        <w:rPr>
          <w:spacing w:val="-1"/>
          <w:sz w:val="24"/>
        </w:rPr>
        <w:t> </w:t>
      </w:r>
      <w:r>
        <w:rPr>
          <w:spacing w:val="-2"/>
          <w:sz w:val="24"/>
        </w:rPr>
        <w:t>performance.</w:t>
      </w:r>
    </w:p>
    <w:p>
      <w:pPr>
        <w:pStyle w:val="BodyText"/>
        <w:spacing w:before="132"/>
      </w:pPr>
    </w:p>
    <w:p>
      <w:pPr>
        <w:pStyle w:val="BodyText"/>
        <w:spacing w:line="360" w:lineRule="auto"/>
        <w:ind w:left="240" w:right="834"/>
        <w:jc w:val="both"/>
      </w:pPr>
      <w:r>
        <w:rPr/>
        <w:t>Clearly, drawing upon this, the message again is that public organizations must recognize the contribution of budget performance to the achievement of their organizational and societal objectives and targets such as housing. To respond to changing economic environment, the benefits</w:t>
      </w:r>
      <w:r>
        <w:rPr>
          <w:spacing w:val="-1"/>
        </w:rPr>
        <w:t> </w:t>
      </w:r>
      <w:r>
        <w:rPr/>
        <w:t>derived</w:t>
      </w:r>
      <w:r>
        <w:rPr>
          <w:spacing w:val="-1"/>
        </w:rPr>
        <w:t> </w:t>
      </w:r>
      <w:r>
        <w:rPr/>
        <w:t>from</w:t>
      </w:r>
      <w:r>
        <w:rPr>
          <w:spacing w:val="-2"/>
        </w:rPr>
        <w:t> </w:t>
      </w:r>
      <w:r>
        <w:rPr/>
        <w:t>budgeting</w:t>
      </w:r>
      <w:r>
        <w:rPr>
          <w:spacing w:val="-1"/>
        </w:rPr>
        <w:t> </w:t>
      </w:r>
      <w:r>
        <w:rPr/>
        <w:t>transcends</w:t>
      </w:r>
      <w:r>
        <w:rPr>
          <w:spacing w:val="-1"/>
        </w:rPr>
        <w:t> </w:t>
      </w:r>
      <w:r>
        <w:rPr/>
        <w:t>merely</w:t>
      </w:r>
      <w:r>
        <w:rPr>
          <w:spacing w:val="-3"/>
        </w:rPr>
        <w:t> </w:t>
      </w:r>
      <w:r>
        <w:rPr/>
        <w:t>providing</w:t>
      </w:r>
      <w:r>
        <w:rPr>
          <w:spacing w:val="-4"/>
        </w:rPr>
        <w:t> </w:t>
      </w:r>
      <w:r>
        <w:rPr/>
        <w:t>technical</w:t>
      </w:r>
      <w:r>
        <w:rPr>
          <w:spacing w:val="-1"/>
        </w:rPr>
        <w:t> </w:t>
      </w:r>
      <w:r>
        <w:rPr/>
        <w:t>solutions</w:t>
      </w:r>
      <w:r>
        <w:rPr>
          <w:spacing w:val="-1"/>
        </w:rPr>
        <w:t> </w:t>
      </w:r>
      <w:r>
        <w:rPr/>
        <w:t>to</w:t>
      </w:r>
      <w:r>
        <w:rPr>
          <w:spacing w:val="-1"/>
        </w:rPr>
        <w:t> </w:t>
      </w:r>
      <w:r>
        <w:rPr/>
        <w:t>public</w:t>
      </w:r>
      <w:r>
        <w:rPr>
          <w:spacing w:val="-2"/>
        </w:rPr>
        <w:t> </w:t>
      </w:r>
      <w:r>
        <w:rPr/>
        <w:t>sector; rather it also impacts on the financial performance of public organizations. Then and Tan (2002) agree that within an organizational setting, budget performance also provides a basis for monitoring achievements from the budget policy to final outcomes.</w:t>
      </w:r>
    </w:p>
    <w:p>
      <w:pPr>
        <w:pStyle w:val="BodyText"/>
        <w:spacing w:before="202"/>
      </w:pPr>
    </w:p>
    <w:p>
      <w:pPr>
        <w:pStyle w:val="Heading3"/>
        <w:numPr>
          <w:ilvl w:val="1"/>
          <w:numId w:val="7"/>
        </w:numPr>
        <w:tabs>
          <w:tab w:pos="628" w:val="left" w:leader="none"/>
        </w:tabs>
        <w:spacing w:line="240" w:lineRule="auto" w:before="0" w:after="0"/>
        <w:ind w:left="628" w:right="0" w:hanging="388"/>
        <w:jc w:val="both"/>
      </w:pPr>
      <w:r>
        <w:rPr/>
        <w:t>The</w:t>
      </w:r>
      <w:r>
        <w:rPr>
          <w:spacing w:val="-6"/>
        </w:rPr>
        <w:t> </w:t>
      </w:r>
      <w:r>
        <w:rPr/>
        <w:t>Concept</w:t>
      </w:r>
      <w:r>
        <w:rPr>
          <w:spacing w:val="-3"/>
        </w:rPr>
        <w:t> </w:t>
      </w:r>
      <w:r>
        <w:rPr/>
        <w:t>of</w:t>
      </w:r>
      <w:r>
        <w:rPr>
          <w:spacing w:val="-5"/>
        </w:rPr>
        <w:t> </w:t>
      </w:r>
      <w:r>
        <w:rPr>
          <w:spacing w:val="-2"/>
        </w:rPr>
        <w:t>Participation</w:t>
      </w:r>
    </w:p>
    <w:p>
      <w:pPr>
        <w:pStyle w:val="BodyText"/>
        <w:spacing w:line="360" w:lineRule="auto" w:before="144"/>
        <w:ind w:left="240" w:right="834"/>
        <w:jc w:val="both"/>
      </w:pPr>
      <w:r>
        <w:rPr/>
        <w:t>According to Roberts (2003), two questions are central to the nature of participation: Who is a citizen and how should the citizen participate in government decision making? Responses to these questions have varied. Those who value indirect citizenship participation, or representative democracy, cite the dangers, costs, and logistical difficulties of involving all members of a society. Those who value direct citizenship participation cite increased state legitimacy and the benefits of social learning when all citizens are involved.</w:t>
      </w:r>
    </w:p>
    <w:p>
      <w:pPr>
        <w:pStyle w:val="BodyText"/>
        <w:spacing w:before="140"/>
      </w:pPr>
    </w:p>
    <w:p>
      <w:pPr>
        <w:pStyle w:val="BodyText"/>
        <w:ind w:left="240"/>
        <w:jc w:val="both"/>
      </w:pPr>
      <w:r>
        <w:rPr/>
        <w:t>Roberts</w:t>
      </w:r>
      <w:r>
        <w:rPr>
          <w:spacing w:val="34"/>
        </w:rPr>
        <w:t>  </w:t>
      </w:r>
      <w:r>
        <w:rPr/>
        <w:t>(2003)</w:t>
      </w:r>
      <w:r>
        <w:rPr>
          <w:spacing w:val="33"/>
        </w:rPr>
        <w:t>  </w:t>
      </w:r>
      <w:r>
        <w:rPr/>
        <w:t>further</w:t>
      </w:r>
      <w:r>
        <w:rPr>
          <w:spacing w:val="35"/>
        </w:rPr>
        <w:t>  </w:t>
      </w:r>
      <w:r>
        <w:rPr/>
        <w:t>states</w:t>
      </w:r>
      <w:r>
        <w:rPr>
          <w:spacing w:val="34"/>
        </w:rPr>
        <w:t>  </w:t>
      </w:r>
      <w:r>
        <w:rPr/>
        <w:t>that</w:t>
      </w:r>
      <w:r>
        <w:rPr>
          <w:spacing w:val="34"/>
        </w:rPr>
        <w:t>  </w:t>
      </w:r>
      <w:r>
        <w:rPr/>
        <w:t>available</w:t>
      </w:r>
      <w:r>
        <w:rPr>
          <w:spacing w:val="35"/>
        </w:rPr>
        <w:t>  </w:t>
      </w:r>
      <w:r>
        <w:rPr/>
        <w:t>data</w:t>
      </w:r>
      <w:r>
        <w:rPr>
          <w:spacing w:val="34"/>
        </w:rPr>
        <w:t>  </w:t>
      </w:r>
      <w:r>
        <w:rPr/>
        <w:t>on</w:t>
      </w:r>
      <w:r>
        <w:rPr>
          <w:spacing w:val="34"/>
        </w:rPr>
        <w:t>  </w:t>
      </w:r>
      <w:r>
        <w:rPr/>
        <w:t>citizen</w:t>
      </w:r>
      <w:r>
        <w:rPr>
          <w:spacing w:val="34"/>
        </w:rPr>
        <w:t>  </w:t>
      </w:r>
      <w:r>
        <w:rPr/>
        <w:t>participation</w:t>
      </w:r>
      <w:r>
        <w:rPr>
          <w:spacing w:val="34"/>
        </w:rPr>
        <w:t>  </w:t>
      </w:r>
      <w:r>
        <w:rPr/>
        <w:t>come</w:t>
      </w:r>
      <w:r>
        <w:rPr>
          <w:spacing w:val="33"/>
        </w:rPr>
        <w:t>  </w:t>
      </w:r>
      <w:r>
        <w:rPr>
          <w:spacing w:val="-4"/>
        </w:rPr>
        <w:t>from</w:t>
      </w:r>
    </w:p>
    <w:p>
      <w:pPr>
        <w:pStyle w:val="BodyText"/>
        <w:spacing w:before="137"/>
        <w:ind w:left="240"/>
        <w:jc w:val="both"/>
      </w:pPr>
      <w:r>
        <w:rPr/>
        <w:t>―experiments‖</w:t>
      </w:r>
      <w:r>
        <w:rPr>
          <w:spacing w:val="15"/>
        </w:rPr>
        <w:t> </w:t>
      </w:r>
      <w:r>
        <w:rPr/>
        <w:t>in</w:t>
      </w:r>
      <w:r>
        <w:rPr>
          <w:spacing w:val="16"/>
        </w:rPr>
        <w:t> </w:t>
      </w:r>
      <w:r>
        <w:rPr/>
        <w:t>different</w:t>
      </w:r>
      <w:r>
        <w:rPr>
          <w:spacing w:val="16"/>
        </w:rPr>
        <w:t> </w:t>
      </w:r>
      <w:r>
        <w:rPr/>
        <w:t>programs</w:t>
      </w:r>
      <w:r>
        <w:rPr>
          <w:spacing w:val="16"/>
        </w:rPr>
        <w:t> </w:t>
      </w:r>
      <w:r>
        <w:rPr/>
        <w:t>(e.g.</w:t>
      </w:r>
      <w:r>
        <w:rPr>
          <w:spacing w:val="15"/>
        </w:rPr>
        <w:t> </w:t>
      </w:r>
      <w:r>
        <w:rPr/>
        <w:t>Model</w:t>
      </w:r>
      <w:r>
        <w:rPr>
          <w:spacing w:val="17"/>
        </w:rPr>
        <w:t> </w:t>
      </w:r>
      <w:r>
        <w:rPr/>
        <w:t>cities</w:t>
      </w:r>
      <w:r>
        <w:rPr>
          <w:spacing w:val="16"/>
        </w:rPr>
        <w:t> </w:t>
      </w:r>
      <w:r>
        <w:rPr/>
        <w:t>of</w:t>
      </w:r>
      <w:r>
        <w:rPr>
          <w:spacing w:val="15"/>
        </w:rPr>
        <w:t> </w:t>
      </w:r>
      <w:r>
        <w:rPr/>
        <w:t>the</w:t>
      </w:r>
      <w:r>
        <w:rPr>
          <w:spacing w:val="15"/>
        </w:rPr>
        <w:t> </w:t>
      </w:r>
      <w:r>
        <w:rPr/>
        <w:t>world)</w:t>
      </w:r>
      <w:r>
        <w:rPr>
          <w:spacing w:val="15"/>
        </w:rPr>
        <w:t> </w:t>
      </w:r>
      <w:r>
        <w:rPr/>
        <w:t>and</w:t>
      </w:r>
      <w:r>
        <w:rPr>
          <w:spacing w:val="17"/>
        </w:rPr>
        <w:t> </w:t>
      </w:r>
      <w:r>
        <w:rPr/>
        <w:t>different</w:t>
      </w:r>
      <w:r>
        <w:rPr>
          <w:spacing w:val="16"/>
        </w:rPr>
        <w:t> </w:t>
      </w:r>
      <w:r>
        <w:rPr/>
        <w:t>sectors</w:t>
      </w:r>
      <w:r>
        <w:rPr>
          <w:spacing w:val="18"/>
        </w:rPr>
        <w:t> </w:t>
      </w:r>
      <w:r>
        <w:rPr>
          <w:spacing w:val="-2"/>
        </w:rPr>
        <w:t>(e.g.</w:t>
      </w:r>
    </w:p>
    <w:p>
      <w:pPr>
        <w:spacing w:after="0"/>
        <w:jc w:val="both"/>
        <w:sectPr>
          <w:pgSz w:w="12240" w:h="15840"/>
          <w:pgMar w:header="0" w:footer="1036" w:top="1360" w:bottom="1220" w:left="1200" w:right="600"/>
        </w:sectPr>
      </w:pPr>
    </w:p>
    <w:p>
      <w:pPr>
        <w:pStyle w:val="BodyText"/>
        <w:spacing w:line="360" w:lineRule="auto" w:before="74"/>
        <w:ind w:left="240" w:right="834"/>
        <w:jc w:val="both"/>
      </w:pPr>
      <w:r>
        <w:rPr/>
        <w:t>education, social services, health and infrastructure). They also come from explorations of</w:t>
      </w:r>
      <w:r>
        <w:rPr>
          <w:spacing w:val="80"/>
        </w:rPr>
        <w:t> </w:t>
      </w:r>
      <w:r>
        <w:rPr/>
        <w:t>citizen</w:t>
      </w:r>
      <w:r>
        <w:rPr>
          <w:spacing w:val="-1"/>
        </w:rPr>
        <w:t> </w:t>
      </w:r>
      <w:r>
        <w:rPr/>
        <w:t>participation</w:t>
      </w:r>
      <w:r>
        <w:rPr>
          <w:spacing w:val="-1"/>
        </w:rPr>
        <w:t> </w:t>
      </w:r>
      <w:r>
        <w:rPr/>
        <w:t>at</w:t>
      </w:r>
      <w:r>
        <w:rPr>
          <w:spacing w:val="-1"/>
        </w:rPr>
        <w:t> </w:t>
      </w:r>
      <w:r>
        <w:rPr/>
        <w:t>the</w:t>
      </w:r>
      <w:r>
        <w:rPr>
          <w:spacing w:val="-2"/>
        </w:rPr>
        <w:t> </w:t>
      </w:r>
      <w:r>
        <w:rPr/>
        <w:t>individual, group,</w:t>
      </w:r>
      <w:r>
        <w:rPr>
          <w:spacing w:val="-2"/>
        </w:rPr>
        <w:t> </w:t>
      </w:r>
      <w:r>
        <w:rPr/>
        <w:t>inter-group,</w:t>
      </w:r>
      <w:r>
        <w:rPr>
          <w:spacing w:val="-1"/>
        </w:rPr>
        <w:t> </w:t>
      </w:r>
      <w:r>
        <w:rPr/>
        <w:t>and network levels.</w:t>
      </w:r>
      <w:r>
        <w:rPr>
          <w:spacing w:val="-1"/>
        </w:rPr>
        <w:t> </w:t>
      </w:r>
      <w:r>
        <w:rPr/>
        <w:t>Citizens</w:t>
      </w:r>
      <w:r>
        <w:rPr>
          <w:spacing w:val="-1"/>
        </w:rPr>
        <w:t> </w:t>
      </w:r>
      <w:r>
        <w:rPr/>
        <w:t>participate as individuals when they vote, respond to surveys and attend hearings. Citizens participate as group members when they join advocacy and voluntary groups and participate in citizen panels and advisory committees. Citizens participate as members of large groups when they join stakeholder collaborations that bring together competing interests groups, administrators, and politicians to craft and implement public policy. Citizens also participate as members in a network, especially those reliant on the internet and information technology, when they push issues on the political agenda that have been neglected or avoided by formal authority.</w:t>
      </w:r>
    </w:p>
    <w:p>
      <w:pPr>
        <w:pStyle w:val="BodyText"/>
        <w:spacing w:before="139"/>
      </w:pPr>
    </w:p>
    <w:p>
      <w:pPr>
        <w:pStyle w:val="BodyText"/>
        <w:spacing w:line="360" w:lineRule="auto"/>
        <w:ind w:left="240" w:right="835"/>
        <w:jc w:val="both"/>
      </w:pPr>
      <w:r>
        <w:rPr/>
        <w:t>Citizenship</w:t>
      </w:r>
      <w:r>
        <w:rPr>
          <w:spacing w:val="-3"/>
        </w:rPr>
        <w:t> </w:t>
      </w:r>
      <w:r>
        <w:rPr/>
        <w:t>participation</w:t>
      </w:r>
      <w:r>
        <w:rPr>
          <w:spacing w:val="-3"/>
        </w:rPr>
        <w:t> </w:t>
      </w:r>
      <w:r>
        <w:rPr/>
        <w:t>is</w:t>
      </w:r>
      <w:r>
        <w:rPr>
          <w:spacing w:val="-3"/>
        </w:rPr>
        <w:t> </w:t>
      </w:r>
      <w:r>
        <w:rPr/>
        <w:t>the</w:t>
      </w:r>
      <w:r>
        <w:rPr>
          <w:spacing w:val="-3"/>
        </w:rPr>
        <w:t> </w:t>
      </w:r>
      <w:r>
        <w:rPr/>
        <w:t>cornerstone</w:t>
      </w:r>
      <w:r>
        <w:rPr>
          <w:spacing w:val="-4"/>
        </w:rPr>
        <w:t> </w:t>
      </w:r>
      <w:r>
        <w:rPr/>
        <w:t>of</w:t>
      </w:r>
      <w:r>
        <w:rPr>
          <w:spacing w:val="-1"/>
        </w:rPr>
        <w:t> </w:t>
      </w:r>
      <w:r>
        <w:rPr/>
        <w:t>any</w:t>
      </w:r>
      <w:r>
        <w:rPr>
          <w:spacing w:val="-3"/>
        </w:rPr>
        <w:t> </w:t>
      </w:r>
      <w:r>
        <w:rPr/>
        <w:t>democratic</w:t>
      </w:r>
      <w:r>
        <w:rPr>
          <w:spacing w:val="-2"/>
        </w:rPr>
        <w:t> </w:t>
      </w:r>
      <w:r>
        <w:rPr/>
        <w:t>government</w:t>
      </w:r>
      <w:r>
        <w:rPr>
          <w:spacing w:val="-1"/>
        </w:rPr>
        <w:t> </w:t>
      </w:r>
      <w:r>
        <w:rPr/>
        <w:t>in</w:t>
      </w:r>
      <w:r>
        <w:rPr>
          <w:spacing w:val="-3"/>
        </w:rPr>
        <w:t> </w:t>
      </w:r>
      <w:r>
        <w:rPr/>
        <w:t>the</w:t>
      </w:r>
      <w:r>
        <w:rPr>
          <w:spacing w:val="-3"/>
        </w:rPr>
        <w:t> </w:t>
      </w:r>
      <w:r>
        <w:rPr/>
        <w:t>world</w:t>
      </w:r>
      <w:r>
        <w:rPr>
          <w:spacing w:val="-3"/>
        </w:rPr>
        <w:t> </w:t>
      </w:r>
      <w:r>
        <w:rPr/>
        <w:t>today,</w:t>
      </w:r>
      <w:r>
        <w:rPr>
          <w:spacing w:val="-2"/>
        </w:rPr>
        <w:t> </w:t>
      </w:r>
      <w:r>
        <w:rPr/>
        <w:t>but there is still a deep ambivalence about citizens directly participating in their government. For instance, advocates or proponents such as Box (1998) push for greater citizen involvement to curb the abuses of a representative system; they propose direct rather than indirect citizen involvement, since in their opinion. Words such as developmental, educative, therapeutic, integrative, legitimating, protective of freedom, instrumental and realistic, characterizes some of the basic arguments in support of direct citizen participation.</w:t>
      </w:r>
    </w:p>
    <w:p>
      <w:pPr>
        <w:pStyle w:val="BodyText"/>
        <w:spacing w:before="139"/>
      </w:pPr>
    </w:p>
    <w:p>
      <w:pPr>
        <w:pStyle w:val="BodyText"/>
        <w:spacing w:line="360" w:lineRule="auto"/>
        <w:ind w:left="240" w:right="832"/>
        <w:jc w:val="both"/>
      </w:pPr>
      <w:r>
        <w:rPr/>
        <w:t>Opponents to direct participation regard direct citizen participation with distrust (Dahl, 1989). They doubt the ability of the masses to make a positive contribution to governance; in fact, they are viewed as a potential threat to the system and are incapable of action other than a stampede. Citizens lack the special training and resources needed to be cogent about complex policy problems. In their view, substantive involvement by citizens in governance is unworkable, however desirable it may be. Words like false notion (people being are either too passionate and selfish or too passive and apathetic), inefficient, politically naïve, unrealistic, disruptive and dangerous summarise the arguments of opponents to direct participation.</w:t>
      </w:r>
    </w:p>
    <w:p>
      <w:pPr>
        <w:pStyle w:val="BodyText"/>
        <w:spacing w:before="138"/>
      </w:pPr>
    </w:p>
    <w:p>
      <w:pPr>
        <w:pStyle w:val="BodyText"/>
        <w:spacing w:line="360" w:lineRule="auto"/>
        <w:ind w:left="240" w:right="842"/>
        <w:jc w:val="both"/>
      </w:pPr>
      <w:r>
        <w:rPr/>
        <w:t>Proponents are of the stance, that the active role of citizens in governance is an important ideal (Box, 1998; Skocpol and Fiorina, 1999). Direct participation keeps community life vital and public institutions accountable. It resolves conflict through ―a participatory</w:t>
      </w:r>
      <w:r>
        <w:rPr>
          <w:spacing w:val="-1"/>
        </w:rPr>
        <w:t> </w:t>
      </w:r>
      <w:r>
        <w:rPr/>
        <w:t>process of ongoing, proximate</w:t>
      </w:r>
      <w:r>
        <w:rPr>
          <w:spacing w:val="44"/>
        </w:rPr>
        <w:t> </w:t>
      </w:r>
      <w:r>
        <w:rPr/>
        <w:t>self-legislation</w:t>
      </w:r>
      <w:r>
        <w:rPr>
          <w:spacing w:val="46"/>
        </w:rPr>
        <w:t> </w:t>
      </w:r>
      <w:r>
        <w:rPr/>
        <w:t>and</w:t>
      </w:r>
      <w:r>
        <w:rPr>
          <w:spacing w:val="46"/>
        </w:rPr>
        <w:t> </w:t>
      </w:r>
      <w:r>
        <w:rPr/>
        <w:t>the</w:t>
      </w:r>
      <w:r>
        <w:rPr>
          <w:spacing w:val="47"/>
        </w:rPr>
        <w:t> </w:t>
      </w:r>
      <w:r>
        <w:rPr/>
        <w:t>creation</w:t>
      </w:r>
      <w:r>
        <w:rPr>
          <w:spacing w:val="46"/>
        </w:rPr>
        <w:t> </w:t>
      </w:r>
      <w:r>
        <w:rPr/>
        <w:t>of</w:t>
      </w:r>
      <w:r>
        <w:rPr>
          <w:spacing w:val="48"/>
        </w:rPr>
        <w:t> </w:t>
      </w:r>
      <w:r>
        <w:rPr/>
        <w:t>a</w:t>
      </w:r>
      <w:r>
        <w:rPr>
          <w:spacing w:val="47"/>
        </w:rPr>
        <w:t> </w:t>
      </w:r>
      <w:r>
        <w:rPr/>
        <w:t>political</w:t>
      </w:r>
      <w:r>
        <w:rPr>
          <w:spacing w:val="48"/>
        </w:rPr>
        <w:t> </w:t>
      </w:r>
      <w:r>
        <w:rPr/>
        <w:t>community</w:t>
      </w:r>
      <w:r>
        <w:rPr>
          <w:spacing w:val="41"/>
        </w:rPr>
        <w:t> </w:t>
      </w:r>
      <w:r>
        <w:rPr/>
        <w:t>capable</w:t>
      </w:r>
      <w:r>
        <w:rPr>
          <w:spacing w:val="46"/>
        </w:rPr>
        <w:t> </w:t>
      </w:r>
      <w:r>
        <w:rPr/>
        <w:t>of</w:t>
      </w:r>
      <w:r>
        <w:rPr>
          <w:spacing w:val="47"/>
        </w:rPr>
        <w:t> </w:t>
      </w:r>
      <w:r>
        <w:rPr>
          <w:spacing w:val="-2"/>
        </w:rPr>
        <w:t>transforming</w:t>
      </w:r>
    </w:p>
    <w:p>
      <w:pPr>
        <w:spacing w:after="0" w:line="360" w:lineRule="auto"/>
        <w:jc w:val="both"/>
        <w:sectPr>
          <w:pgSz w:w="12240" w:h="15840"/>
          <w:pgMar w:header="0" w:footer="1036" w:top="1360" w:bottom="1220" w:left="1200" w:right="600"/>
        </w:sectPr>
      </w:pPr>
    </w:p>
    <w:p>
      <w:pPr>
        <w:pStyle w:val="BodyText"/>
        <w:spacing w:line="360" w:lineRule="auto" w:before="74"/>
        <w:ind w:left="240" w:right="840"/>
        <w:jc w:val="both"/>
      </w:pPr>
      <w:r>
        <w:rPr/>
        <w:t>dependent private individuals into free citizens and partial and private interests into public goods (Barber, 1984). Proponents argue that citizens have the knowledge and the ability to participate more fully in the political, technical, and administrative decisions that affect them and they have demonstrated this capability when they have been given the chance. Most important, it is their right to be engaged in the decisions that touch their lives (Barber, 1984; Box, 1998).</w:t>
      </w:r>
    </w:p>
    <w:p>
      <w:pPr>
        <w:pStyle w:val="BodyText"/>
        <w:spacing w:before="138"/>
      </w:pPr>
    </w:p>
    <w:p>
      <w:pPr>
        <w:pStyle w:val="BodyText"/>
        <w:spacing w:line="360" w:lineRule="auto" w:before="1"/>
        <w:ind w:left="240" w:right="835"/>
        <w:jc w:val="both"/>
      </w:pPr>
      <w:r>
        <w:rPr/>
        <w:t>Opponents on the other hand, also view direct participation with skepticism, even wariness. Indirect citizen participation has its advantages. It protects citizens from the dangers of direct involvement. It buffers them from uninformed public opinion; it prevents the tyranny of the majority; and it serves as a check on corruption. It also meets the needs of a complex, postindustrial society that requires technical, political, and administrative expertise to function. Unlike public officials, citizens do not have the time or the interest to deliberate for the purpose of developing informed public judgment. They either do not know how to participate, do not want to, or do not even care to try. Given the size and complexity of the modern nation state, direct citizen participation is not a realistic or feasible expectation (Dahl, 1989).</w:t>
      </w:r>
    </w:p>
    <w:p>
      <w:pPr>
        <w:pStyle w:val="BodyText"/>
        <w:spacing w:line="360" w:lineRule="auto" w:before="275"/>
        <w:ind w:left="240" w:right="841"/>
        <w:jc w:val="both"/>
      </w:pPr>
      <w:r>
        <w:rPr/>
        <w:t>The</w:t>
      </w:r>
      <w:r>
        <w:rPr>
          <w:spacing w:val="-2"/>
        </w:rPr>
        <w:t> </w:t>
      </w:r>
      <w:r>
        <w:rPr/>
        <w:t>literature</w:t>
      </w:r>
      <w:r>
        <w:rPr>
          <w:spacing w:val="-1"/>
        </w:rPr>
        <w:t> </w:t>
      </w:r>
      <w:r>
        <w:rPr/>
        <w:t>built up around participation is complex. As</w:t>
      </w:r>
      <w:r>
        <w:rPr>
          <w:spacing w:val="-1"/>
        </w:rPr>
        <w:t> </w:t>
      </w:r>
      <w:r>
        <w:rPr/>
        <w:t>a</w:t>
      </w:r>
      <w:r>
        <w:rPr>
          <w:spacing w:val="-1"/>
        </w:rPr>
        <w:t> </w:t>
      </w:r>
      <w:r>
        <w:rPr/>
        <w:t>contested concept (Day, 1997) notes that it is not surprising</w:t>
      </w:r>
      <w:r>
        <w:rPr>
          <w:spacing w:val="-1"/>
        </w:rPr>
        <w:t> </w:t>
      </w:r>
      <w:r>
        <w:rPr/>
        <w:t>that it is plagued with definitional problems.</w:t>
      </w:r>
      <w:r>
        <w:rPr>
          <w:spacing w:val="-10"/>
        </w:rPr>
        <w:t> </w:t>
      </w:r>
      <w:r>
        <w:rPr/>
        <w:t>Citizenship participation can refer to a range of different actions by different people (Pateman, 1970). For some, citizen participation is a legal concept, while to others, it is substantive concept.</w:t>
      </w:r>
    </w:p>
    <w:p>
      <w:pPr>
        <w:pStyle w:val="BodyText"/>
        <w:spacing w:before="140"/>
      </w:pPr>
    </w:p>
    <w:p>
      <w:pPr>
        <w:pStyle w:val="BodyText"/>
        <w:spacing w:line="360" w:lineRule="auto"/>
        <w:ind w:left="240" w:right="837"/>
        <w:jc w:val="both"/>
      </w:pPr>
      <w:r>
        <w:rPr/>
        <w:t>As a legal concept, it is a political status or role conferred upon people (Cooper, 1984). Legal definitions emphasize the procedural aspects of involvement—the extent to which citizenship is defined in constitutions and statutes that prescribe the qualifications, rights, and obligations within</w:t>
      </w:r>
      <w:r>
        <w:rPr>
          <w:spacing w:val="-3"/>
        </w:rPr>
        <w:t> </w:t>
      </w:r>
      <w:r>
        <w:rPr/>
        <w:t>a</w:t>
      </w:r>
      <w:r>
        <w:rPr>
          <w:spacing w:val="-4"/>
        </w:rPr>
        <w:t> </w:t>
      </w:r>
      <w:r>
        <w:rPr/>
        <w:t>particular</w:t>
      </w:r>
      <w:r>
        <w:rPr>
          <w:spacing w:val="-2"/>
        </w:rPr>
        <w:t> </w:t>
      </w:r>
      <w:r>
        <w:rPr/>
        <w:t>government‘s</w:t>
      </w:r>
      <w:r>
        <w:rPr>
          <w:spacing w:val="-4"/>
        </w:rPr>
        <w:t> </w:t>
      </w:r>
      <w:r>
        <w:rPr/>
        <w:t>jurisdiction</w:t>
      </w:r>
      <w:r>
        <w:rPr>
          <w:spacing w:val="-3"/>
        </w:rPr>
        <w:t> </w:t>
      </w:r>
      <w:r>
        <w:rPr/>
        <w:t>(Cooper,</w:t>
      </w:r>
      <w:r>
        <w:rPr>
          <w:spacing w:val="-3"/>
        </w:rPr>
        <w:t> </w:t>
      </w:r>
      <w:r>
        <w:rPr/>
        <w:t>1984).</w:t>
      </w:r>
      <w:r>
        <w:rPr>
          <w:spacing w:val="-3"/>
        </w:rPr>
        <w:t> </w:t>
      </w:r>
      <w:r>
        <w:rPr/>
        <w:t>Citizens</w:t>
      </w:r>
      <w:r>
        <w:rPr>
          <w:spacing w:val="-4"/>
        </w:rPr>
        <w:t> </w:t>
      </w:r>
      <w:r>
        <w:rPr/>
        <w:t>owe</w:t>
      </w:r>
      <w:r>
        <w:rPr>
          <w:spacing w:val="-5"/>
        </w:rPr>
        <w:t> </w:t>
      </w:r>
      <w:r>
        <w:rPr/>
        <w:t>allegiance</w:t>
      </w:r>
      <w:r>
        <w:rPr>
          <w:spacing w:val="-4"/>
        </w:rPr>
        <w:t> </w:t>
      </w:r>
      <w:r>
        <w:rPr/>
        <w:t>to</w:t>
      </w:r>
      <w:r>
        <w:rPr>
          <w:spacing w:val="-3"/>
        </w:rPr>
        <w:t> </w:t>
      </w:r>
      <w:r>
        <w:rPr/>
        <w:t>the</w:t>
      </w:r>
      <w:r>
        <w:rPr>
          <w:spacing w:val="-4"/>
        </w:rPr>
        <w:t> </w:t>
      </w:r>
      <w:r>
        <w:rPr/>
        <w:t>State or nation, must abide the laws, and risk their lives for the national defense (Rosener, 1978). In turn, citizens are guaranteed the rights of voting and formal equality.</w:t>
      </w:r>
    </w:p>
    <w:p>
      <w:pPr>
        <w:pStyle w:val="BodyText"/>
        <w:spacing w:before="138"/>
      </w:pPr>
    </w:p>
    <w:p>
      <w:pPr>
        <w:pStyle w:val="BodyText"/>
        <w:spacing w:line="360" w:lineRule="auto"/>
        <w:ind w:left="240" w:right="839"/>
        <w:jc w:val="both"/>
      </w:pPr>
      <w:r>
        <w:rPr/>
        <w:t>As a substatintive concept, it is ethical and sociological. It draws from the idea of community,</w:t>
      </w:r>
      <w:r>
        <w:rPr>
          <w:spacing w:val="40"/>
        </w:rPr>
        <w:t> </w:t>
      </w:r>
      <w:r>
        <w:rPr/>
        <w:t>the concept of duty, and emphasises on civility, all rolled into</w:t>
      </w:r>
      <w:r>
        <w:rPr>
          <w:spacing w:val="-1"/>
        </w:rPr>
        <w:t> </w:t>
      </w:r>
      <w:r>
        <w:rPr/>
        <w:t>one (Dimock, 1990). For example, the</w:t>
      </w:r>
      <w:r>
        <w:rPr>
          <w:spacing w:val="-1"/>
        </w:rPr>
        <w:t> </w:t>
      </w:r>
      <w:r>
        <w:rPr/>
        <w:t>Greek</w:t>
      </w:r>
      <w:r>
        <w:rPr>
          <w:spacing w:val="1"/>
        </w:rPr>
        <w:t> </w:t>
      </w:r>
      <w:r>
        <w:rPr/>
        <w:t>philosophers viewed</w:t>
      </w:r>
      <w:r>
        <w:rPr>
          <w:spacing w:val="1"/>
        </w:rPr>
        <w:t> </w:t>
      </w:r>
      <w:r>
        <w:rPr/>
        <w:t>―citizenship</w:t>
      </w:r>
      <w:r>
        <w:rPr>
          <w:spacing w:val="1"/>
        </w:rPr>
        <w:t> </w:t>
      </w:r>
      <w:r>
        <w:rPr/>
        <w:t>as</w:t>
      </w:r>
      <w:r>
        <w:rPr>
          <w:spacing w:val="1"/>
        </w:rPr>
        <w:t> </w:t>
      </w:r>
      <w:r>
        <w:rPr/>
        <w:t>the main goal</w:t>
      </w:r>
      <w:r>
        <w:rPr>
          <w:spacing w:val="1"/>
        </w:rPr>
        <w:t> </w:t>
      </w:r>
      <w:r>
        <w:rPr/>
        <w:t>of life‖</w:t>
      </w:r>
      <w:r>
        <w:rPr>
          <w:spacing w:val="2"/>
        </w:rPr>
        <w:t> </w:t>
      </w:r>
      <w:r>
        <w:rPr/>
        <w:t>(Dimock,</w:t>
      </w:r>
      <w:r>
        <w:rPr>
          <w:spacing w:val="1"/>
        </w:rPr>
        <w:t> </w:t>
      </w:r>
      <w:r>
        <w:rPr/>
        <w:t>1990). Central</w:t>
      </w:r>
      <w:r>
        <w:rPr>
          <w:spacing w:val="1"/>
        </w:rPr>
        <w:t> </w:t>
      </w:r>
      <w:r>
        <w:rPr>
          <w:spacing w:val="-5"/>
        </w:rPr>
        <w:t>to</w:t>
      </w:r>
    </w:p>
    <w:p>
      <w:pPr>
        <w:spacing w:after="0" w:line="360" w:lineRule="auto"/>
        <w:jc w:val="both"/>
        <w:sectPr>
          <w:pgSz w:w="12240" w:h="15840"/>
          <w:pgMar w:header="0" w:footer="1036" w:top="1360" w:bottom="1220" w:left="1200" w:right="600"/>
        </w:sectPr>
      </w:pPr>
    </w:p>
    <w:p>
      <w:pPr>
        <w:pStyle w:val="BodyText"/>
        <w:spacing w:line="360" w:lineRule="auto" w:before="74"/>
        <w:ind w:left="240" w:right="836"/>
        <w:jc w:val="both"/>
      </w:pPr>
      <w:r>
        <w:rPr/>
        <w:t>this ideal is the belief that government must be guided by a moral purpose—the realization of values in the lives of its citizens (Hart, 1984). The citizen‘s primary responsibility is to know what those values are, why they should believe in them, and what the implications for action might be. Furthermore, each individual should act as an independent and responsible moral</w:t>
      </w:r>
      <w:r>
        <w:rPr>
          <w:spacing w:val="40"/>
        </w:rPr>
        <w:t> </w:t>
      </w:r>
      <w:r>
        <w:rPr/>
        <w:t>agent. If any</w:t>
      </w:r>
      <w:r>
        <w:rPr>
          <w:spacing w:val="-5"/>
        </w:rPr>
        <w:t> </w:t>
      </w:r>
      <w:r>
        <w:rPr/>
        <w:t>situation should compromise</w:t>
      </w:r>
      <w:r>
        <w:rPr>
          <w:spacing w:val="-1"/>
        </w:rPr>
        <w:t> </w:t>
      </w:r>
      <w:r>
        <w:rPr/>
        <w:t>values, the</w:t>
      </w:r>
      <w:r>
        <w:rPr>
          <w:spacing w:val="-1"/>
        </w:rPr>
        <w:t> </w:t>
      </w:r>
      <w:r>
        <w:rPr/>
        <w:t>citizen has to act with civility</w:t>
      </w:r>
      <w:r>
        <w:rPr>
          <w:spacing w:val="-5"/>
        </w:rPr>
        <w:t> </w:t>
      </w:r>
      <w:r>
        <w:rPr/>
        <w:t>in defense</w:t>
      </w:r>
      <w:r>
        <w:rPr>
          <w:spacing w:val="-1"/>
        </w:rPr>
        <w:t> </w:t>
      </w:r>
      <w:r>
        <w:rPr/>
        <w:t>of those values (Hart, 1984).</w:t>
      </w:r>
    </w:p>
    <w:p>
      <w:pPr>
        <w:pStyle w:val="BodyText"/>
        <w:spacing w:before="137"/>
      </w:pPr>
    </w:p>
    <w:p>
      <w:pPr>
        <w:pStyle w:val="BodyText"/>
        <w:spacing w:line="360" w:lineRule="auto"/>
        <w:ind w:left="240" w:right="839"/>
        <w:jc w:val="both"/>
      </w:pPr>
      <w:r>
        <w:rPr/>
        <w:t>The substantive perception of participation is however, more encompassing, because it</w:t>
      </w:r>
      <w:r>
        <w:rPr>
          <w:spacing w:val="40"/>
        </w:rPr>
        <w:t> </w:t>
      </w:r>
      <w:r>
        <w:rPr/>
        <w:t>comprises both collective and individual virtue and moral purpose. Its scope is broader than the legal definition suggests and it extends</w:t>
      </w:r>
      <w:r>
        <w:rPr>
          <w:spacing w:val="-1"/>
        </w:rPr>
        <w:t> </w:t>
      </w:r>
      <w:r>
        <w:rPr/>
        <w:t>not only</w:t>
      </w:r>
      <w:r>
        <w:rPr>
          <w:spacing w:val="-8"/>
        </w:rPr>
        <w:t> </w:t>
      </w:r>
      <w:r>
        <w:rPr/>
        <w:t>to formal governmental arrangements, but it also includes voluntary organizations and community involvement. Its focus is on building and sustaining community—political, economic, and social—and the development of the community‘s values, norms, and traditions (Cooper, 1984). Its requirements are a sense of responsibility and civic devotion to one‘s commonwealth and a dedication to human and environmental betterment throughout the world (Dimock, 1990).</w:t>
      </w:r>
    </w:p>
    <w:p>
      <w:pPr>
        <w:pStyle w:val="BodyText"/>
        <w:spacing w:before="148"/>
      </w:pPr>
    </w:p>
    <w:p>
      <w:pPr>
        <w:pStyle w:val="BodyText"/>
        <w:spacing w:line="360" w:lineRule="auto"/>
        <w:ind w:left="240" w:right="836"/>
        <w:jc w:val="both"/>
      </w:pPr>
      <w:r>
        <w:rPr/>
        <w:t>The definition of Arnstein‘s (1969) is illustrative of the latter when she incorporates substantive interests of the polity, such as race, class and gender, to define citizen participation as a categorical term for citizen power. It is the redistribution of power that enables the have-not citizens,</w:t>
      </w:r>
      <w:r>
        <w:rPr>
          <w:spacing w:val="-3"/>
        </w:rPr>
        <w:t> </w:t>
      </w:r>
      <w:r>
        <w:rPr/>
        <w:t>presently</w:t>
      </w:r>
      <w:r>
        <w:rPr>
          <w:spacing w:val="-6"/>
        </w:rPr>
        <w:t> </w:t>
      </w:r>
      <w:r>
        <w:rPr/>
        <w:t>excluded</w:t>
      </w:r>
      <w:r>
        <w:rPr>
          <w:spacing w:val="-3"/>
        </w:rPr>
        <w:t> </w:t>
      </w:r>
      <w:r>
        <w:rPr/>
        <w:t>from</w:t>
      </w:r>
      <w:r>
        <w:rPr>
          <w:spacing w:val="-3"/>
        </w:rPr>
        <w:t> </w:t>
      </w:r>
      <w:r>
        <w:rPr/>
        <w:t>the</w:t>
      </w:r>
      <w:r>
        <w:rPr>
          <w:spacing w:val="-3"/>
        </w:rPr>
        <w:t> </w:t>
      </w:r>
      <w:r>
        <w:rPr/>
        <w:t>politics</w:t>
      </w:r>
      <w:r>
        <w:rPr>
          <w:spacing w:val="-3"/>
        </w:rPr>
        <w:t> </w:t>
      </w:r>
      <w:r>
        <w:rPr/>
        <w:t>and</w:t>
      </w:r>
      <w:r>
        <w:rPr>
          <w:spacing w:val="-2"/>
        </w:rPr>
        <w:t> </w:t>
      </w:r>
      <w:r>
        <w:rPr/>
        <w:t>economic</w:t>
      </w:r>
      <w:r>
        <w:rPr>
          <w:spacing w:val="-4"/>
        </w:rPr>
        <w:t> </w:t>
      </w:r>
      <w:r>
        <w:rPr/>
        <w:t>processes,</w:t>
      </w:r>
      <w:r>
        <w:rPr>
          <w:spacing w:val="-3"/>
        </w:rPr>
        <w:t> </w:t>
      </w:r>
      <w:r>
        <w:rPr/>
        <w:t>to</w:t>
      </w:r>
      <w:r>
        <w:rPr>
          <w:spacing w:val="-3"/>
        </w:rPr>
        <w:t> </w:t>
      </w:r>
      <w:r>
        <w:rPr/>
        <w:t>be</w:t>
      </w:r>
      <w:r>
        <w:rPr>
          <w:spacing w:val="-2"/>
        </w:rPr>
        <w:t> </w:t>
      </w:r>
      <w:r>
        <w:rPr/>
        <w:t>deliberately</w:t>
      </w:r>
      <w:r>
        <w:rPr>
          <w:spacing w:val="-7"/>
        </w:rPr>
        <w:t> </w:t>
      </w:r>
      <w:r>
        <w:rPr/>
        <w:t>included in the future. It is the strategy by which the have-nots join in determining how information is shared, goals and policies are set, resources are allocated, programs are operated, and other benefits like contracts and patronage are obtained.</w:t>
      </w:r>
    </w:p>
    <w:p>
      <w:pPr>
        <w:pStyle w:val="BodyText"/>
        <w:spacing w:before="145"/>
      </w:pPr>
    </w:p>
    <w:p>
      <w:pPr>
        <w:pStyle w:val="BodyText"/>
        <w:spacing w:line="360" w:lineRule="auto" w:before="1"/>
        <w:ind w:left="240" w:right="833"/>
        <w:jc w:val="both"/>
      </w:pPr>
      <w:r>
        <w:rPr/>
        <w:t>This research adopts the substantive</w:t>
      </w:r>
      <w:r>
        <w:rPr>
          <w:spacing w:val="-1"/>
        </w:rPr>
        <w:t> </w:t>
      </w:r>
      <w:r>
        <w:rPr/>
        <w:t>definition that includes the</w:t>
      </w:r>
      <w:r>
        <w:rPr>
          <w:spacing w:val="-1"/>
        </w:rPr>
        <w:t> </w:t>
      </w:r>
      <w:r>
        <w:rPr/>
        <w:t>important elements of</w:t>
      </w:r>
      <w:r>
        <w:rPr>
          <w:spacing w:val="-1"/>
        </w:rPr>
        <w:t> </w:t>
      </w:r>
      <w:r>
        <w:rPr/>
        <w:t>power</w:t>
      </w:r>
      <w:r>
        <w:rPr>
          <w:spacing w:val="-1"/>
        </w:rPr>
        <w:t> </w:t>
      </w:r>
      <w:r>
        <w:rPr/>
        <w:t>and decision making. Direct citizen participation is defined herein as the process by which members of a society (those not holding office or administrative positions in government) share power</w:t>
      </w:r>
      <w:r>
        <w:rPr>
          <w:spacing w:val="40"/>
        </w:rPr>
        <w:t> </w:t>
      </w:r>
      <w:r>
        <w:rPr/>
        <w:t>with public officials in making substantive decisions related to the community. The preference here is that it is more inclusive and extends to all types of citizens. Citizens come in many different</w:t>
      </w:r>
      <w:r>
        <w:rPr>
          <w:spacing w:val="-2"/>
        </w:rPr>
        <w:t> </w:t>
      </w:r>
      <w:r>
        <w:rPr/>
        <w:t>stripes</w:t>
      </w:r>
      <w:r>
        <w:rPr>
          <w:spacing w:val="-2"/>
        </w:rPr>
        <w:t> </w:t>
      </w:r>
      <w:r>
        <w:rPr/>
        <w:t>and</w:t>
      </w:r>
      <w:r>
        <w:rPr>
          <w:spacing w:val="-3"/>
        </w:rPr>
        <w:t> </w:t>
      </w:r>
      <w:r>
        <w:rPr/>
        <w:t>colors;</w:t>
      </w:r>
      <w:r>
        <w:rPr>
          <w:spacing w:val="-2"/>
        </w:rPr>
        <w:t> </w:t>
      </w:r>
      <w:r>
        <w:rPr/>
        <w:t>focusing</w:t>
      </w:r>
      <w:r>
        <w:rPr>
          <w:spacing w:val="-2"/>
        </w:rPr>
        <w:t> </w:t>
      </w:r>
      <w:r>
        <w:rPr/>
        <w:t>on</w:t>
      </w:r>
      <w:r>
        <w:rPr>
          <w:spacing w:val="-2"/>
        </w:rPr>
        <w:t> </w:t>
      </w:r>
      <w:r>
        <w:rPr/>
        <w:t>one</w:t>
      </w:r>
      <w:r>
        <w:rPr>
          <w:spacing w:val="-3"/>
        </w:rPr>
        <w:t> </w:t>
      </w:r>
      <w:r>
        <w:rPr/>
        <w:t>type</w:t>
      </w:r>
      <w:r>
        <w:rPr>
          <w:spacing w:val="-1"/>
        </w:rPr>
        <w:t> </w:t>
      </w:r>
      <w:r>
        <w:rPr/>
        <w:t>of</w:t>
      </w:r>
      <w:r>
        <w:rPr>
          <w:spacing w:val="-3"/>
        </w:rPr>
        <w:t> </w:t>
      </w:r>
      <w:r>
        <w:rPr/>
        <w:t>citizen</w:t>
      </w:r>
      <w:r>
        <w:rPr>
          <w:spacing w:val="-2"/>
        </w:rPr>
        <w:t> </w:t>
      </w:r>
      <w:r>
        <w:rPr/>
        <w:t>to</w:t>
      </w:r>
      <w:r>
        <w:rPr>
          <w:spacing w:val="-2"/>
        </w:rPr>
        <w:t> </w:t>
      </w:r>
      <w:r>
        <w:rPr/>
        <w:t>the</w:t>
      </w:r>
      <w:r>
        <w:rPr>
          <w:spacing w:val="-3"/>
        </w:rPr>
        <w:t> </w:t>
      </w:r>
      <w:r>
        <w:rPr/>
        <w:t>exclusion</w:t>
      </w:r>
      <w:r>
        <w:rPr>
          <w:spacing w:val="-2"/>
        </w:rPr>
        <w:t> </w:t>
      </w:r>
      <w:r>
        <w:rPr/>
        <w:t>of</w:t>
      </w:r>
      <w:r>
        <w:rPr>
          <w:spacing w:val="-2"/>
        </w:rPr>
        <w:t> </w:t>
      </w:r>
      <w:r>
        <w:rPr/>
        <w:t>others</w:t>
      </w:r>
      <w:r>
        <w:rPr>
          <w:spacing w:val="-2"/>
        </w:rPr>
        <w:t> </w:t>
      </w:r>
      <w:r>
        <w:rPr/>
        <w:t>subverts</w:t>
      </w:r>
      <w:r>
        <w:rPr>
          <w:spacing w:val="-2"/>
        </w:rPr>
        <w:t> </w:t>
      </w:r>
      <w:r>
        <w:rPr/>
        <w:t>the concept.</w:t>
      </w:r>
      <w:r>
        <w:rPr>
          <w:spacing w:val="71"/>
        </w:rPr>
        <w:t> </w:t>
      </w:r>
      <w:r>
        <w:rPr/>
        <w:t>Although</w:t>
      </w:r>
      <w:r>
        <w:rPr>
          <w:spacing w:val="73"/>
        </w:rPr>
        <w:t> </w:t>
      </w:r>
      <w:r>
        <w:rPr/>
        <w:t>redistribution</w:t>
      </w:r>
      <w:r>
        <w:rPr>
          <w:spacing w:val="74"/>
        </w:rPr>
        <w:t> </w:t>
      </w:r>
      <w:r>
        <w:rPr/>
        <w:t>of</w:t>
      </w:r>
      <w:r>
        <w:rPr>
          <w:spacing w:val="72"/>
        </w:rPr>
        <w:t> </w:t>
      </w:r>
      <w:r>
        <w:rPr/>
        <w:t>power</w:t>
      </w:r>
      <w:r>
        <w:rPr>
          <w:spacing w:val="72"/>
        </w:rPr>
        <w:t> </w:t>
      </w:r>
      <w:r>
        <w:rPr/>
        <w:t>may</w:t>
      </w:r>
      <w:r>
        <w:rPr>
          <w:spacing w:val="71"/>
        </w:rPr>
        <w:t> </w:t>
      </w:r>
      <w:r>
        <w:rPr/>
        <w:t>be</w:t>
      </w:r>
      <w:r>
        <w:rPr>
          <w:spacing w:val="72"/>
        </w:rPr>
        <w:t> </w:t>
      </w:r>
      <w:r>
        <w:rPr/>
        <w:t>an</w:t>
      </w:r>
      <w:r>
        <w:rPr>
          <w:spacing w:val="74"/>
        </w:rPr>
        <w:t> </w:t>
      </w:r>
      <w:r>
        <w:rPr/>
        <w:t>intention</w:t>
      </w:r>
      <w:r>
        <w:rPr>
          <w:spacing w:val="73"/>
        </w:rPr>
        <w:t> </w:t>
      </w:r>
      <w:r>
        <w:rPr/>
        <w:t>or</w:t>
      </w:r>
      <w:r>
        <w:rPr>
          <w:spacing w:val="72"/>
        </w:rPr>
        <w:t> </w:t>
      </w:r>
      <w:r>
        <w:rPr/>
        <w:t>an</w:t>
      </w:r>
      <w:r>
        <w:rPr>
          <w:spacing w:val="74"/>
        </w:rPr>
        <w:t> </w:t>
      </w:r>
      <w:r>
        <w:rPr/>
        <w:t>outcome</w:t>
      </w:r>
      <w:r>
        <w:rPr>
          <w:spacing w:val="72"/>
        </w:rPr>
        <w:t> </w:t>
      </w:r>
      <w:r>
        <w:rPr/>
        <w:t>of</w:t>
      </w:r>
      <w:r>
        <w:rPr>
          <w:spacing w:val="73"/>
        </w:rPr>
        <w:t> </w:t>
      </w:r>
      <w:r>
        <w:rPr>
          <w:spacing w:val="-2"/>
        </w:rPr>
        <w:t>citizen</w:t>
      </w:r>
    </w:p>
    <w:p>
      <w:pPr>
        <w:spacing w:after="0" w:line="360" w:lineRule="auto"/>
        <w:jc w:val="both"/>
        <w:sectPr>
          <w:pgSz w:w="12240" w:h="15840"/>
          <w:pgMar w:header="0" w:footer="1036" w:top="1360" w:bottom="1220" w:left="1200" w:right="600"/>
        </w:sectPr>
      </w:pPr>
    </w:p>
    <w:p>
      <w:pPr>
        <w:pStyle w:val="BodyText"/>
        <w:spacing w:line="360" w:lineRule="auto" w:before="74"/>
        <w:ind w:left="240" w:right="839"/>
        <w:jc w:val="both"/>
      </w:pPr>
      <w:r>
        <w:rPr/>
        <w:t>participation, it should not be a limiting factor in its definition. The most logical differentiation among participants is between those who hold elected and administrative government positions and those</w:t>
      </w:r>
      <w:r>
        <w:rPr>
          <w:spacing w:val="-1"/>
        </w:rPr>
        <w:t> </w:t>
      </w:r>
      <w:r>
        <w:rPr/>
        <w:t>who</w:t>
      </w:r>
      <w:r>
        <w:rPr>
          <w:spacing w:val="-1"/>
        </w:rPr>
        <w:t> </w:t>
      </w:r>
      <w:r>
        <w:rPr/>
        <w:t>do not. In this sense,</w:t>
      </w:r>
      <w:r>
        <w:rPr>
          <w:spacing w:val="-1"/>
        </w:rPr>
        <w:t> </w:t>
      </w:r>
      <w:r>
        <w:rPr/>
        <w:t>citizen participation would refer</w:t>
      </w:r>
      <w:r>
        <w:rPr>
          <w:spacing w:val="-1"/>
        </w:rPr>
        <w:t> </w:t>
      </w:r>
      <w:r>
        <w:rPr/>
        <w:t>to those</w:t>
      </w:r>
      <w:r>
        <w:rPr>
          <w:spacing w:val="-1"/>
        </w:rPr>
        <w:t> </w:t>
      </w:r>
      <w:r>
        <w:rPr/>
        <w:t>members</w:t>
      </w:r>
      <w:r>
        <w:rPr>
          <w:spacing w:val="-1"/>
        </w:rPr>
        <w:t> </w:t>
      </w:r>
      <w:r>
        <w:rPr/>
        <w:t>of society who serve without pay and do not have formal governmental decision making authority in the formulation or implementation of public policy. The focus is on direct participation (when citizens are personally</w:t>
      </w:r>
      <w:r>
        <w:rPr>
          <w:spacing w:val="-3"/>
        </w:rPr>
        <w:t> </w:t>
      </w:r>
      <w:r>
        <w:rPr/>
        <w:t>involved and actively</w:t>
      </w:r>
      <w:r>
        <w:rPr>
          <w:spacing w:val="-3"/>
        </w:rPr>
        <w:t> </w:t>
      </w:r>
      <w:r>
        <w:rPr/>
        <w:t>engaged) as opposed to indirect participation (when citizens elect others to represent them) in the decision process.</w:t>
      </w:r>
    </w:p>
    <w:p>
      <w:pPr>
        <w:pStyle w:val="BodyText"/>
        <w:spacing w:before="146"/>
      </w:pPr>
    </w:p>
    <w:p>
      <w:pPr>
        <w:pStyle w:val="BodyText"/>
        <w:spacing w:line="360" w:lineRule="auto"/>
        <w:ind w:left="240" w:right="841"/>
        <w:jc w:val="both"/>
      </w:pPr>
      <w:r>
        <w:rPr/>
        <w:t>There are however dilemmas that have to be addressed if direct citizen participation is to be treated more seriously in the society. They include:</w:t>
      </w:r>
    </w:p>
    <w:p>
      <w:pPr>
        <w:pStyle w:val="ListParagraph"/>
        <w:numPr>
          <w:ilvl w:val="0"/>
          <w:numId w:val="25"/>
        </w:numPr>
        <w:tabs>
          <w:tab w:pos="960" w:val="left" w:leader="none"/>
        </w:tabs>
        <w:spacing w:line="360" w:lineRule="auto" w:before="1" w:after="0"/>
        <w:ind w:left="960" w:right="836" w:hanging="360"/>
        <w:jc w:val="both"/>
        <w:rPr>
          <w:sz w:val="24"/>
        </w:rPr>
      </w:pPr>
      <w:r>
        <w:rPr>
          <w:b/>
          <w:sz w:val="24"/>
        </w:rPr>
        <w:t>Size: </w:t>
      </w:r>
      <w:r>
        <w:rPr>
          <w:sz w:val="24"/>
        </w:rPr>
        <w:t>The modern administrative state is very large and complex. Direct citizen involvement will have to accommodate numerous groups and individuals. Direct participation was formulated for small groups meeting face-to-face and operating in relatively constrained public spaces. How can direct citizen participation overcome the limitations of scale (Dahl, 1989; Fishkin, 1991)?</w:t>
      </w:r>
    </w:p>
    <w:p>
      <w:pPr>
        <w:pStyle w:val="ListParagraph"/>
        <w:numPr>
          <w:ilvl w:val="0"/>
          <w:numId w:val="25"/>
        </w:numPr>
        <w:tabs>
          <w:tab w:pos="960" w:val="left" w:leader="none"/>
        </w:tabs>
        <w:spacing w:line="360" w:lineRule="auto" w:before="0" w:after="0"/>
        <w:ind w:left="960" w:right="837" w:hanging="360"/>
        <w:jc w:val="both"/>
        <w:rPr>
          <w:sz w:val="24"/>
        </w:rPr>
      </w:pPr>
      <w:r>
        <w:rPr>
          <w:b/>
          <w:sz w:val="24"/>
        </w:rPr>
        <w:t>Excluded or oppressed groups</w:t>
      </w:r>
      <w:r>
        <w:rPr>
          <w:sz w:val="24"/>
        </w:rPr>
        <w:t>: There are disadvantaged citizens who have been systematically excluded from representative decision making (Dahl, 1989; Sanders, 1997). Will there be room in the participatory process for ethnic and religious minorities, indigenous peoples, women, the old, youth, the unemployed, the underclass, and recent immigrants? And who will speak for future generations?</w:t>
      </w:r>
    </w:p>
    <w:p>
      <w:pPr>
        <w:pStyle w:val="ListParagraph"/>
        <w:numPr>
          <w:ilvl w:val="0"/>
          <w:numId w:val="25"/>
        </w:numPr>
        <w:tabs>
          <w:tab w:pos="960" w:val="left" w:leader="none"/>
        </w:tabs>
        <w:spacing w:line="360" w:lineRule="auto" w:before="0" w:after="0"/>
        <w:ind w:left="960" w:right="834" w:hanging="360"/>
        <w:jc w:val="both"/>
        <w:rPr>
          <w:sz w:val="24"/>
        </w:rPr>
      </w:pPr>
      <w:r>
        <w:rPr>
          <w:b/>
          <w:sz w:val="24"/>
        </w:rPr>
        <w:t>Risk: </w:t>
      </w:r>
      <w:r>
        <w:rPr>
          <w:sz w:val="24"/>
        </w:rPr>
        <w:t>Many complex technologies pose substantial hazards and risks to individuals, communities, regions, or even to the entire planet. Imposition of risks on people without even</w:t>
      </w:r>
      <w:r>
        <w:rPr>
          <w:spacing w:val="-1"/>
          <w:sz w:val="24"/>
        </w:rPr>
        <w:t> </w:t>
      </w:r>
      <w:r>
        <w:rPr>
          <w:sz w:val="24"/>
        </w:rPr>
        <w:t>their</w:t>
      </w:r>
      <w:r>
        <w:rPr>
          <w:spacing w:val="-2"/>
          <w:sz w:val="24"/>
        </w:rPr>
        <w:t> </w:t>
      </w:r>
      <w:r>
        <w:rPr>
          <w:sz w:val="24"/>
        </w:rPr>
        <w:t>tacit</w:t>
      </w:r>
      <w:r>
        <w:rPr>
          <w:spacing w:val="-1"/>
          <w:sz w:val="24"/>
        </w:rPr>
        <w:t> </w:t>
      </w:r>
      <w:r>
        <w:rPr>
          <w:sz w:val="24"/>
        </w:rPr>
        <w:t>consent</w:t>
      </w:r>
      <w:r>
        <w:rPr>
          <w:spacing w:val="-1"/>
          <w:sz w:val="24"/>
        </w:rPr>
        <w:t> </w:t>
      </w:r>
      <w:r>
        <w:rPr>
          <w:sz w:val="24"/>
        </w:rPr>
        <w:t>is</w:t>
      </w:r>
      <w:r>
        <w:rPr>
          <w:spacing w:val="-1"/>
          <w:sz w:val="24"/>
        </w:rPr>
        <w:t> </w:t>
      </w:r>
      <w:r>
        <w:rPr>
          <w:sz w:val="24"/>
        </w:rPr>
        <w:t>an</w:t>
      </w:r>
      <w:r>
        <w:rPr>
          <w:spacing w:val="-1"/>
          <w:sz w:val="24"/>
        </w:rPr>
        <w:t> </w:t>
      </w:r>
      <w:r>
        <w:rPr>
          <w:sz w:val="24"/>
        </w:rPr>
        <w:t>act</w:t>
      </w:r>
      <w:r>
        <w:rPr>
          <w:spacing w:val="-1"/>
          <w:sz w:val="24"/>
        </w:rPr>
        <w:t> </w:t>
      </w:r>
      <w:r>
        <w:rPr>
          <w:sz w:val="24"/>
        </w:rPr>
        <w:t>of cruelty.</w:t>
      </w:r>
      <w:r>
        <w:rPr>
          <w:spacing w:val="-1"/>
          <w:sz w:val="24"/>
        </w:rPr>
        <w:t> </w:t>
      </w:r>
      <w:r>
        <w:rPr>
          <w:sz w:val="24"/>
        </w:rPr>
        <w:t>Those</w:t>
      </w:r>
      <w:r>
        <w:rPr>
          <w:spacing w:val="-2"/>
          <w:sz w:val="24"/>
        </w:rPr>
        <w:t> </w:t>
      </w:r>
      <w:r>
        <w:rPr>
          <w:sz w:val="24"/>
        </w:rPr>
        <w:t>exposed</w:t>
      </w:r>
      <w:r>
        <w:rPr>
          <w:spacing w:val="-2"/>
          <w:sz w:val="24"/>
        </w:rPr>
        <w:t> </w:t>
      </w:r>
      <w:r>
        <w:rPr>
          <w:sz w:val="24"/>
        </w:rPr>
        <w:t>to</w:t>
      </w:r>
      <w:r>
        <w:rPr>
          <w:spacing w:val="-1"/>
          <w:sz w:val="24"/>
        </w:rPr>
        <w:t> </w:t>
      </w:r>
      <w:r>
        <w:rPr>
          <w:sz w:val="24"/>
        </w:rPr>
        <w:t>risks (chemical,</w:t>
      </w:r>
      <w:r>
        <w:rPr>
          <w:spacing w:val="-1"/>
          <w:sz w:val="24"/>
        </w:rPr>
        <w:t> </w:t>
      </w:r>
      <w:r>
        <w:rPr>
          <w:sz w:val="24"/>
        </w:rPr>
        <w:t>radioactive, and biotechnological hazards) are capable of political mobilization, that they threaten the stability of the political-economic order, and thus place legitimation at issue (Drysek, 1996). How do we deal with these risks?</w:t>
      </w:r>
    </w:p>
    <w:p>
      <w:pPr>
        <w:pStyle w:val="ListParagraph"/>
        <w:numPr>
          <w:ilvl w:val="0"/>
          <w:numId w:val="25"/>
        </w:numPr>
        <w:tabs>
          <w:tab w:pos="960" w:val="left" w:leader="none"/>
        </w:tabs>
        <w:spacing w:line="360" w:lineRule="auto" w:before="1" w:after="0"/>
        <w:ind w:left="960" w:right="841" w:hanging="360"/>
        <w:jc w:val="both"/>
        <w:rPr>
          <w:sz w:val="24"/>
        </w:rPr>
      </w:pPr>
      <w:r>
        <w:rPr>
          <w:b/>
          <w:sz w:val="24"/>
        </w:rPr>
        <w:t>Technology and expertise: </w:t>
      </w:r>
      <w:r>
        <w:rPr>
          <w:sz w:val="24"/>
        </w:rPr>
        <w:t>Citizens find it difficult to compete with professionals in terms of their knowledge, information, and expertise (Drysek and Torgerson, 1993). Administrative and technical elites crowd out both citizens and their representatives in</w:t>
      </w:r>
      <w:r>
        <w:rPr>
          <w:spacing w:val="40"/>
          <w:sz w:val="24"/>
        </w:rPr>
        <w:t> </w:t>
      </w:r>
      <w:r>
        <w:rPr>
          <w:sz w:val="24"/>
        </w:rPr>
        <w:t>the participatory process. How can ordinary citizens participate in the decisions made about complex technologies, especially</w:t>
      </w:r>
      <w:r>
        <w:rPr>
          <w:spacing w:val="-6"/>
          <w:sz w:val="24"/>
        </w:rPr>
        <w:t> </w:t>
      </w:r>
      <w:r>
        <w:rPr>
          <w:sz w:val="24"/>
        </w:rPr>
        <w:t>when there can be wide</w:t>
      </w:r>
      <w:r>
        <w:rPr>
          <w:spacing w:val="-1"/>
          <w:sz w:val="24"/>
        </w:rPr>
        <w:t> </w:t>
      </w:r>
      <w:r>
        <w:rPr>
          <w:sz w:val="24"/>
        </w:rPr>
        <w:t>disagreements among</w:t>
      </w:r>
      <w:r>
        <w:rPr>
          <w:spacing w:val="-1"/>
          <w:sz w:val="24"/>
        </w:rPr>
        <w:t> </w:t>
      </w:r>
      <w:r>
        <w:rPr>
          <w:sz w:val="24"/>
        </w:rPr>
        <w:t>the</w:t>
      </w:r>
    </w:p>
    <w:p>
      <w:pPr>
        <w:spacing w:after="0" w:line="360" w:lineRule="auto"/>
        <w:jc w:val="both"/>
        <w:rPr>
          <w:sz w:val="24"/>
        </w:rPr>
        <w:sectPr>
          <w:pgSz w:w="12240" w:h="15840"/>
          <w:pgMar w:header="0" w:footer="1036" w:top="1360" w:bottom="1220" w:left="1200" w:right="600"/>
        </w:sectPr>
      </w:pPr>
    </w:p>
    <w:p>
      <w:pPr>
        <w:pStyle w:val="BodyText"/>
        <w:spacing w:line="360" w:lineRule="auto" w:before="74"/>
        <w:ind w:left="960" w:right="843"/>
        <w:jc w:val="both"/>
      </w:pPr>
      <w:r>
        <w:rPr/>
        <w:t>experts and the costs of gaining the knowledge, information and expertise to stay current in these debates can be prohibitive?</w:t>
      </w:r>
    </w:p>
    <w:p>
      <w:pPr>
        <w:pStyle w:val="ListParagraph"/>
        <w:numPr>
          <w:ilvl w:val="0"/>
          <w:numId w:val="25"/>
        </w:numPr>
        <w:tabs>
          <w:tab w:pos="960" w:val="left" w:leader="none"/>
        </w:tabs>
        <w:spacing w:line="360" w:lineRule="auto" w:before="1" w:after="0"/>
        <w:ind w:left="960" w:right="834" w:hanging="360"/>
        <w:jc w:val="both"/>
        <w:rPr>
          <w:sz w:val="24"/>
        </w:rPr>
      </w:pPr>
      <w:r>
        <w:rPr>
          <w:b/>
          <w:sz w:val="24"/>
        </w:rPr>
        <w:t>Time and crises: </w:t>
      </w:r>
      <w:r>
        <w:rPr>
          <w:sz w:val="24"/>
        </w:rPr>
        <w:t>We are in an era of accelerating crises. Decisions often have to be</w:t>
      </w:r>
      <w:r>
        <w:rPr>
          <w:spacing w:val="40"/>
          <w:sz w:val="24"/>
        </w:rPr>
        <w:t> </w:t>
      </w:r>
      <w:r>
        <w:rPr>
          <w:sz w:val="24"/>
        </w:rPr>
        <w:t>taken quickly without involving large numbers of people. There may not be time for large-group deliberations. Besides the decision costs involved in reaching agreements (Fishkin, 1997), citizens may not have a great deal of time to give to participatory processes (Grant, 1994). How will we deal with time constraints and crises?</w:t>
      </w:r>
    </w:p>
    <w:p>
      <w:pPr>
        <w:pStyle w:val="ListParagraph"/>
        <w:numPr>
          <w:ilvl w:val="0"/>
          <w:numId w:val="25"/>
        </w:numPr>
        <w:tabs>
          <w:tab w:pos="958" w:val="left" w:leader="none"/>
          <w:tab w:pos="960" w:val="left" w:leader="none"/>
        </w:tabs>
        <w:spacing w:line="360" w:lineRule="auto" w:before="0" w:after="0"/>
        <w:ind w:left="960" w:right="841" w:hanging="360"/>
        <w:jc w:val="both"/>
        <w:rPr>
          <w:sz w:val="24"/>
        </w:rPr>
      </w:pPr>
      <w:r>
        <w:rPr>
          <w:b/>
          <w:sz w:val="24"/>
        </w:rPr>
        <w:t>The common good: </w:t>
      </w:r>
      <w:r>
        <w:rPr>
          <w:sz w:val="24"/>
        </w:rPr>
        <w:t>Direct participation may not truly reflect the common good. The common good depends on deliberation not just assurance of political equality or the capture of public opinion through the latest polls, faxes, 800 numbers, computers and other technological marvels. Power to the people does not necessarily</w:t>
      </w:r>
      <w:r>
        <w:rPr>
          <w:spacing w:val="-4"/>
          <w:sz w:val="24"/>
        </w:rPr>
        <w:t> </w:t>
      </w:r>
      <w:r>
        <w:rPr>
          <w:sz w:val="24"/>
        </w:rPr>
        <w:t>produce thoughtful deliberative power. Incentives have moved us toward direct democracy at the cost of deliberative democracy (Fishkin, 1991). How can direct democracy be more deliberative to enable people to think more seriously and fully about public issues?</w:t>
      </w:r>
    </w:p>
    <w:p>
      <w:pPr>
        <w:pStyle w:val="BodyText"/>
        <w:spacing w:before="137"/>
      </w:pPr>
    </w:p>
    <w:p>
      <w:pPr>
        <w:pStyle w:val="BodyText"/>
        <w:spacing w:line="360" w:lineRule="auto"/>
        <w:ind w:left="240" w:right="839"/>
        <w:jc w:val="both"/>
      </w:pPr>
      <w:r>
        <w:rPr/>
        <w:t>It is imperative to note that direct citizen participation can manifest at all levels of government, although it tends to be more evident locally and regionally due to problems of scale. We find its expression in programs and policy areas such as education, policing, health and social services, justice and environmental systems, economic, community and infrastructural development. Citizens also are involved throughout all stages of policymaking—analysis, initiation, formulation, implementation and evaluation (Roberts, 2003).</w:t>
      </w:r>
    </w:p>
    <w:p>
      <w:pPr>
        <w:pStyle w:val="BodyText"/>
      </w:pPr>
    </w:p>
    <w:p>
      <w:pPr>
        <w:pStyle w:val="BodyText"/>
        <w:spacing w:before="42"/>
      </w:pPr>
    </w:p>
    <w:p>
      <w:pPr>
        <w:pStyle w:val="Heading4"/>
        <w:numPr>
          <w:ilvl w:val="2"/>
          <w:numId w:val="7"/>
        </w:numPr>
        <w:tabs>
          <w:tab w:pos="899" w:val="left" w:leader="none"/>
        </w:tabs>
        <w:spacing w:line="240" w:lineRule="auto" w:before="0" w:after="0"/>
        <w:ind w:left="899" w:right="0" w:hanging="659"/>
        <w:jc w:val="both"/>
      </w:pPr>
      <w:r>
        <w:rPr/>
        <w:t>Essential</w:t>
      </w:r>
      <w:r>
        <w:rPr>
          <w:spacing w:val="-1"/>
        </w:rPr>
        <w:t> </w:t>
      </w:r>
      <w:r>
        <w:rPr/>
        <w:t>Features</w:t>
      </w:r>
      <w:r>
        <w:rPr>
          <w:spacing w:val="-1"/>
        </w:rPr>
        <w:t> </w:t>
      </w:r>
      <w:r>
        <w:rPr/>
        <w:t>of </w:t>
      </w:r>
      <w:r>
        <w:rPr>
          <w:spacing w:val="-2"/>
        </w:rPr>
        <w:t>Participation</w:t>
      </w:r>
    </w:p>
    <w:p>
      <w:pPr>
        <w:pStyle w:val="BodyText"/>
        <w:spacing w:line="360" w:lineRule="auto" w:before="132"/>
        <w:ind w:left="240" w:right="842"/>
        <w:jc w:val="both"/>
      </w:pPr>
      <w:r>
        <w:rPr/>
        <w:t>One of the essential features of participatory approach is that in matters relating to community development, especially with respect to intellectual contributions, group or community members are treated and regarded as equals (Nnanna, 2010). In other words, the opinions and ideas of all members are duly considered and accepted based on the relevance of the issue at hand.</w:t>
      </w:r>
    </w:p>
    <w:p>
      <w:pPr>
        <w:pStyle w:val="BodyText"/>
        <w:spacing w:before="192"/>
      </w:pPr>
    </w:p>
    <w:p>
      <w:pPr>
        <w:pStyle w:val="BodyText"/>
        <w:spacing w:line="360" w:lineRule="auto" w:before="1"/>
        <w:ind w:left="240" w:right="834"/>
        <w:jc w:val="both"/>
      </w:pPr>
      <w:r>
        <w:rPr/>
        <w:t>In</w:t>
      </w:r>
      <w:r>
        <w:rPr>
          <w:spacing w:val="-1"/>
        </w:rPr>
        <w:t> </w:t>
      </w:r>
      <w:r>
        <w:rPr/>
        <w:t>the</w:t>
      </w:r>
      <w:r>
        <w:rPr>
          <w:spacing w:val="-2"/>
        </w:rPr>
        <w:t> </w:t>
      </w:r>
      <w:r>
        <w:rPr/>
        <w:t>participatory</w:t>
      </w:r>
      <w:r>
        <w:rPr>
          <w:spacing w:val="-8"/>
        </w:rPr>
        <w:t> </w:t>
      </w:r>
      <w:r>
        <w:rPr/>
        <w:t>approach,</w:t>
      </w:r>
      <w:r>
        <w:rPr>
          <w:spacing w:val="-1"/>
        </w:rPr>
        <w:t> </w:t>
      </w:r>
      <w:r>
        <w:rPr/>
        <w:t>the</w:t>
      </w:r>
      <w:r>
        <w:rPr>
          <w:spacing w:val="-2"/>
        </w:rPr>
        <w:t> </w:t>
      </w:r>
      <w:r>
        <w:rPr/>
        <w:t>culture</w:t>
      </w:r>
      <w:r>
        <w:rPr>
          <w:spacing w:val="-2"/>
        </w:rPr>
        <w:t> </w:t>
      </w:r>
      <w:r>
        <w:rPr/>
        <w:t>of</w:t>
      </w:r>
      <w:r>
        <w:rPr>
          <w:spacing w:val="-2"/>
        </w:rPr>
        <w:t> </w:t>
      </w:r>
      <w:r>
        <w:rPr/>
        <w:t>silence</w:t>
      </w:r>
      <w:r>
        <w:rPr>
          <w:spacing w:val="-2"/>
        </w:rPr>
        <w:t> </w:t>
      </w:r>
      <w:r>
        <w:rPr/>
        <w:t>which</w:t>
      </w:r>
      <w:r>
        <w:rPr>
          <w:spacing w:val="-1"/>
        </w:rPr>
        <w:t> </w:t>
      </w:r>
      <w:r>
        <w:rPr/>
        <w:t>characterizes</w:t>
      </w:r>
      <w:r>
        <w:rPr>
          <w:spacing w:val="-1"/>
        </w:rPr>
        <w:t> </w:t>
      </w:r>
      <w:r>
        <w:rPr/>
        <w:t>the</w:t>
      </w:r>
      <w:r>
        <w:rPr>
          <w:spacing w:val="-2"/>
        </w:rPr>
        <w:t> </w:t>
      </w:r>
      <w:r>
        <w:rPr/>
        <w:t>elitist</w:t>
      </w:r>
      <w:r>
        <w:rPr>
          <w:spacing w:val="-3"/>
        </w:rPr>
        <w:t> </w:t>
      </w:r>
      <w:r>
        <w:rPr/>
        <w:t>and</w:t>
      </w:r>
      <w:r>
        <w:rPr>
          <w:spacing w:val="-1"/>
        </w:rPr>
        <w:t> </w:t>
      </w:r>
      <w:r>
        <w:rPr/>
        <w:t>top-bottom development model is broken and discouraged. This is achieved mostly through education, enlightenment</w:t>
      </w:r>
      <w:r>
        <w:rPr>
          <w:spacing w:val="51"/>
        </w:rPr>
        <w:t> </w:t>
      </w:r>
      <w:r>
        <w:rPr/>
        <w:t>and</w:t>
      </w:r>
      <w:r>
        <w:rPr>
          <w:spacing w:val="50"/>
        </w:rPr>
        <w:t> </w:t>
      </w:r>
      <w:r>
        <w:rPr/>
        <w:t>sensitization</w:t>
      </w:r>
      <w:r>
        <w:rPr>
          <w:spacing w:val="50"/>
        </w:rPr>
        <w:t> </w:t>
      </w:r>
      <w:r>
        <w:rPr/>
        <w:t>of</w:t>
      </w:r>
      <w:r>
        <w:rPr>
          <w:spacing w:val="49"/>
        </w:rPr>
        <w:t> </w:t>
      </w:r>
      <w:r>
        <w:rPr/>
        <w:t>community</w:t>
      </w:r>
      <w:r>
        <w:rPr>
          <w:spacing w:val="45"/>
        </w:rPr>
        <w:t> </w:t>
      </w:r>
      <w:r>
        <w:rPr/>
        <w:t>members</w:t>
      </w:r>
      <w:r>
        <w:rPr>
          <w:spacing w:val="49"/>
        </w:rPr>
        <w:t> </w:t>
      </w:r>
      <w:r>
        <w:rPr/>
        <w:t>especially</w:t>
      </w:r>
      <w:r>
        <w:rPr>
          <w:spacing w:val="45"/>
        </w:rPr>
        <w:t> </w:t>
      </w:r>
      <w:r>
        <w:rPr/>
        <w:t>the</w:t>
      </w:r>
      <w:r>
        <w:rPr>
          <w:spacing w:val="51"/>
        </w:rPr>
        <w:t> </w:t>
      </w:r>
      <w:r>
        <w:rPr/>
        <w:t>poor,</w:t>
      </w:r>
      <w:r>
        <w:rPr>
          <w:spacing w:val="49"/>
        </w:rPr>
        <w:t> </w:t>
      </w:r>
      <w:r>
        <w:rPr/>
        <w:t>with</w:t>
      </w:r>
      <w:r>
        <w:rPr>
          <w:spacing w:val="50"/>
        </w:rPr>
        <w:t> </w:t>
      </w:r>
      <w:r>
        <w:rPr/>
        <w:t>a</w:t>
      </w:r>
      <w:r>
        <w:rPr>
          <w:spacing w:val="49"/>
        </w:rPr>
        <w:t> </w:t>
      </w:r>
      <w:r>
        <w:rPr/>
        <w:t>view</w:t>
      </w:r>
      <w:r>
        <w:rPr>
          <w:spacing w:val="51"/>
        </w:rPr>
        <w:t> </w:t>
      </w:r>
      <w:r>
        <w:rPr>
          <w:spacing w:val="-5"/>
        </w:rPr>
        <w:t>to</w:t>
      </w:r>
    </w:p>
    <w:p>
      <w:pPr>
        <w:spacing w:after="0" w:line="360" w:lineRule="auto"/>
        <w:jc w:val="both"/>
        <w:sectPr>
          <w:pgSz w:w="12240" w:h="15840"/>
          <w:pgMar w:header="0" w:footer="1036" w:top="1360" w:bottom="1220" w:left="1200" w:right="600"/>
        </w:sectPr>
      </w:pPr>
    </w:p>
    <w:p>
      <w:pPr>
        <w:pStyle w:val="BodyText"/>
        <w:spacing w:line="360" w:lineRule="auto" w:before="74"/>
        <w:ind w:left="240" w:right="834"/>
        <w:jc w:val="both"/>
      </w:pPr>
      <w:r>
        <w:rPr/>
        <w:t>awakening their consciousness to the fact that they have the ability and potential to contribute meaningfully to the development process.</w:t>
      </w:r>
    </w:p>
    <w:p>
      <w:pPr>
        <w:pStyle w:val="BodyText"/>
        <w:spacing w:before="192"/>
      </w:pPr>
    </w:p>
    <w:p>
      <w:pPr>
        <w:pStyle w:val="BodyText"/>
        <w:spacing w:line="360" w:lineRule="auto" w:before="1"/>
        <w:ind w:left="240" w:right="835"/>
        <w:jc w:val="both"/>
      </w:pPr>
      <w:r>
        <w:rPr/>
        <w:t>In the participatory approach, premium is placed on dialogue as a veritable tool and means of generating ideas and solutions to development objectives. Dialogue is akin to ‗brainstorming‘ gives room for and encourages free and active contribution, participation and interaction by all members of a group or community in efforts aimed at solving a common problem. This is premised on the notion that two or more good heads are better than one and as such, when more people are involved in the decision making process as regards solving community development objectives, better results are achieved.</w:t>
      </w:r>
    </w:p>
    <w:p>
      <w:pPr>
        <w:pStyle w:val="BodyText"/>
        <w:spacing w:before="160"/>
      </w:pPr>
    </w:p>
    <w:p>
      <w:pPr>
        <w:pStyle w:val="BodyText"/>
        <w:spacing w:line="360" w:lineRule="auto"/>
        <w:ind w:left="240" w:right="837"/>
        <w:jc w:val="both"/>
      </w:pPr>
      <w:r>
        <w:rPr/>
        <w:t>Another characteristic feature of the participatory approach is that community members are made, ab-initio to understand that whatever development project or programme that is being executed</w:t>
      </w:r>
      <w:r>
        <w:rPr>
          <w:spacing w:val="-2"/>
        </w:rPr>
        <w:t> </w:t>
      </w:r>
      <w:r>
        <w:rPr/>
        <w:t>in</w:t>
      </w:r>
      <w:r>
        <w:rPr>
          <w:spacing w:val="-2"/>
        </w:rPr>
        <w:t> </w:t>
      </w:r>
      <w:r>
        <w:rPr/>
        <w:t>their</w:t>
      </w:r>
      <w:r>
        <w:rPr>
          <w:spacing w:val="-1"/>
        </w:rPr>
        <w:t> </w:t>
      </w:r>
      <w:r>
        <w:rPr/>
        <w:t>communities</w:t>
      </w:r>
      <w:r>
        <w:rPr>
          <w:spacing w:val="-2"/>
        </w:rPr>
        <w:t> </w:t>
      </w:r>
      <w:r>
        <w:rPr/>
        <w:t>belongs</w:t>
      </w:r>
      <w:r>
        <w:rPr>
          <w:spacing w:val="-2"/>
        </w:rPr>
        <w:t> </w:t>
      </w:r>
      <w:r>
        <w:rPr/>
        <w:t>to</w:t>
      </w:r>
      <w:r>
        <w:rPr>
          <w:spacing w:val="-2"/>
        </w:rPr>
        <w:t> </w:t>
      </w:r>
      <w:r>
        <w:rPr/>
        <w:t>them</w:t>
      </w:r>
      <w:r>
        <w:rPr>
          <w:spacing w:val="-2"/>
        </w:rPr>
        <w:t> </w:t>
      </w:r>
      <w:r>
        <w:rPr/>
        <w:t>essentially</w:t>
      </w:r>
      <w:r>
        <w:rPr>
          <w:spacing w:val="-7"/>
        </w:rPr>
        <w:t> </w:t>
      </w:r>
      <w:r>
        <w:rPr/>
        <w:t>and</w:t>
      </w:r>
      <w:r>
        <w:rPr>
          <w:spacing w:val="-2"/>
        </w:rPr>
        <w:t> </w:t>
      </w:r>
      <w:r>
        <w:rPr/>
        <w:t>not</w:t>
      </w:r>
      <w:r>
        <w:rPr>
          <w:spacing w:val="-2"/>
        </w:rPr>
        <w:t> </w:t>
      </w:r>
      <w:r>
        <w:rPr/>
        <w:t>to government.</w:t>
      </w:r>
      <w:r>
        <w:rPr>
          <w:spacing w:val="-2"/>
        </w:rPr>
        <w:t> </w:t>
      </w:r>
      <w:r>
        <w:rPr/>
        <w:t>This</w:t>
      </w:r>
      <w:r>
        <w:rPr>
          <w:spacing w:val="-2"/>
        </w:rPr>
        <w:t> </w:t>
      </w:r>
      <w:r>
        <w:rPr/>
        <w:t>serves</w:t>
      </w:r>
      <w:r>
        <w:rPr>
          <w:spacing w:val="-2"/>
        </w:rPr>
        <w:t> </w:t>
      </w:r>
      <w:r>
        <w:rPr/>
        <w:t>the purpose of not just enlisting their full participation in planning and execution of projects, but making them custodians of the projects.</w:t>
      </w:r>
      <w:r>
        <w:rPr>
          <w:spacing w:val="40"/>
        </w:rPr>
        <w:t> </w:t>
      </w:r>
      <w:r>
        <w:rPr/>
        <w:t>Participatory approach presupposes the active participation and involvement of people in the planning, execution and control of projects that will benefit them. This demands a degree of training and orientation of community members to make for meaningful participation and contribution (Nnanna, 2010).</w:t>
      </w:r>
    </w:p>
    <w:p>
      <w:pPr>
        <w:pStyle w:val="BodyText"/>
        <w:spacing w:before="63"/>
      </w:pPr>
    </w:p>
    <w:p>
      <w:pPr>
        <w:pStyle w:val="BodyText"/>
        <w:spacing w:line="360" w:lineRule="auto"/>
        <w:ind w:left="240" w:right="840"/>
      </w:pPr>
      <w:r>
        <w:rPr/>
        <w:t>How</w:t>
      </w:r>
      <w:r>
        <w:rPr>
          <w:spacing w:val="40"/>
        </w:rPr>
        <w:t> </w:t>
      </w:r>
      <w:r>
        <w:rPr/>
        <w:t>best</w:t>
      </w:r>
      <w:r>
        <w:rPr>
          <w:spacing w:val="40"/>
        </w:rPr>
        <w:t> </w:t>
      </w:r>
      <w:r>
        <w:rPr/>
        <w:t>to</w:t>
      </w:r>
      <w:r>
        <w:rPr>
          <w:spacing w:val="40"/>
        </w:rPr>
        <w:t> </w:t>
      </w:r>
      <w:r>
        <w:rPr/>
        <w:t>accomplish</w:t>
      </w:r>
      <w:r>
        <w:rPr>
          <w:spacing w:val="40"/>
        </w:rPr>
        <w:t> </w:t>
      </w:r>
      <w:r>
        <w:rPr/>
        <w:t>meaningful</w:t>
      </w:r>
      <w:r>
        <w:rPr>
          <w:spacing w:val="40"/>
        </w:rPr>
        <w:t> </w:t>
      </w:r>
      <w:r>
        <w:rPr/>
        <w:t>citizen</w:t>
      </w:r>
      <w:r>
        <w:rPr>
          <w:spacing w:val="40"/>
        </w:rPr>
        <w:t> </w:t>
      </w:r>
      <w:r>
        <w:rPr/>
        <w:t>participation</w:t>
      </w:r>
      <w:r>
        <w:rPr>
          <w:spacing w:val="40"/>
        </w:rPr>
        <w:t> </w:t>
      </w:r>
      <w:r>
        <w:rPr/>
        <w:t>or</w:t>
      </w:r>
      <w:r>
        <w:rPr>
          <w:spacing w:val="40"/>
        </w:rPr>
        <w:t> </w:t>
      </w:r>
      <w:r>
        <w:rPr/>
        <w:t>involve</w:t>
      </w:r>
      <w:r>
        <w:rPr>
          <w:spacing w:val="40"/>
        </w:rPr>
        <w:t> </w:t>
      </w:r>
      <w:r>
        <w:rPr/>
        <w:t>citizens</w:t>
      </w:r>
      <w:r>
        <w:rPr>
          <w:spacing w:val="40"/>
        </w:rPr>
        <w:t> </w:t>
      </w:r>
      <w:r>
        <w:rPr/>
        <w:t>in</w:t>
      </w:r>
      <w:r>
        <w:rPr>
          <w:spacing w:val="40"/>
        </w:rPr>
        <w:t> </w:t>
      </w:r>
      <w:r>
        <w:rPr/>
        <w:t>government decision</w:t>
      </w:r>
      <w:r>
        <w:rPr>
          <w:spacing w:val="-3"/>
        </w:rPr>
        <w:t> </w:t>
      </w:r>
      <w:r>
        <w:rPr/>
        <w:t>processes</w:t>
      </w:r>
      <w:r>
        <w:rPr>
          <w:spacing w:val="-3"/>
        </w:rPr>
        <w:t> </w:t>
      </w:r>
      <w:r>
        <w:rPr/>
        <w:t>is</w:t>
      </w:r>
      <w:r>
        <w:rPr>
          <w:spacing w:val="-3"/>
        </w:rPr>
        <w:t> </w:t>
      </w:r>
      <w:r>
        <w:rPr/>
        <w:t>a</w:t>
      </w:r>
      <w:r>
        <w:rPr>
          <w:spacing w:val="-2"/>
        </w:rPr>
        <w:t> </w:t>
      </w:r>
      <w:r>
        <w:rPr/>
        <w:t>complex</w:t>
      </w:r>
      <w:r>
        <w:rPr>
          <w:spacing w:val="-1"/>
        </w:rPr>
        <w:t> </w:t>
      </w:r>
      <w:r>
        <w:rPr/>
        <w:t>puzzle</w:t>
      </w:r>
      <w:r>
        <w:rPr>
          <w:spacing w:val="-3"/>
        </w:rPr>
        <w:t> </w:t>
      </w:r>
      <w:r>
        <w:rPr/>
        <w:t>and</w:t>
      </w:r>
      <w:r>
        <w:rPr>
          <w:spacing w:val="-3"/>
        </w:rPr>
        <w:t> </w:t>
      </w:r>
      <w:r>
        <w:rPr/>
        <w:t>has</w:t>
      </w:r>
      <w:r>
        <w:rPr>
          <w:spacing w:val="-3"/>
        </w:rPr>
        <w:t> </w:t>
      </w:r>
      <w:r>
        <w:rPr/>
        <w:t>long</w:t>
      </w:r>
      <w:r>
        <w:rPr>
          <w:spacing w:val="-6"/>
        </w:rPr>
        <w:t> </w:t>
      </w:r>
      <w:r>
        <w:rPr/>
        <w:t>being</w:t>
      </w:r>
      <w:r>
        <w:rPr>
          <w:spacing w:val="-3"/>
        </w:rPr>
        <w:t> </w:t>
      </w:r>
      <w:r>
        <w:rPr/>
        <w:t>a concern</w:t>
      </w:r>
      <w:r>
        <w:rPr>
          <w:spacing w:val="-3"/>
        </w:rPr>
        <w:t> </w:t>
      </w:r>
      <w:r>
        <w:rPr/>
        <w:t>for</w:t>
      </w:r>
      <w:r>
        <w:rPr>
          <w:spacing w:val="-3"/>
        </w:rPr>
        <w:t> </w:t>
      </w:r>
      <w:r>
        <w:rPr/>
        <w:t>nations.</w:t>
      </w:r>
      <w:r>
        <w:rPr>
          <w:spacing w:val="-1"/>
        </w:rPr>
        <w:t> </w:t>
      </w:r>
      <w:r>
        <w:rPr/>
        <w:t>However,</w:t>
      </w:r>
      <w:r>
        <w:rPr>
          <w:spacing w:val="-4"/>
        </w:rPr>
        <w:t> </w:t>
      </w:r>
      <w:r>
        <w:rPr/>
        <w:t>urban scholars</w:t>
      </w:r>
      <w:r>
        <w:rPr>
          <w:spacing w:val="78"/>
        </w:rPr>
        <w:t> </w:t>
      </w:r>
      <w:r>
        <w:rPr/>
        <w:t>such</w:t>
      </w:r>
      <w:r>
        <w:rPr>
          <w:spacing w:val="79"/>
        </w:rPr>
        <w:t> </w:t>
      </w:r>
      <w:r>
        <w:rPr/>
        <w:t>as</w:t>
      </w:r>
      <w:r>
        <w:rPr>
          <w:spacing w:val="78"/>
        </w:rPr>
        <w:t> </w:t>
      </w:r>
      <w:r>
        <w:rPr/>
        <w:t>Saltzstein</w:t>
      </w:r>
      <w:r>
        <w:rPr>
          <w:spacing w:val="80"/>
        </w:rPr>
        <w:t> </w:t>
      </w:r>
      <w:r>
        <w:rPr/>
        <w:t>(2003),</w:t>
      </w:r>
      <w:r>
        <w:rPr>
          <w:spacing w:val="78"/>
        </w:rPr>
        <w:t> </w:t>
      </w:r>
      <w:r>
        <w:rPr/>
        <w:t>suggest</w:t>
      </w:r>
      <w:r>
        <w:rPr>
          <w:spacing w:val="79"/>
        </w:rPr>
        <w:t> </w:t>
      </w:r>
      <w:r>
        <w:rPr/>
        <w:t>that</w:t>
      </w:r>
      <w:r>
        <w:rPr>
          <w:spacing w:val="78"/>
        </w:rPr>
        <w:t> </w:t>
      </w:r>
      <w:r>
        <w:rPr/>
        <w:t>the</w:t>
      </w:r>
      <w:r>
        <w:rPr>
          <w:spacing w:val="77"/>
        </w:rPr>
        <w:t> </w:t>
      </w:r>
      <w:r>
        <w:rPr/>
        <w:t>local</w:t>
      </w:r>
      <w:r>
        <w:rPr>
          <w:spacing w:val="80"/>
        </w:rPr>
        <w:t> </w:t>
      </w:r>
      <w:r>
        <w:rPr/>
        <w:t>government</w:t>
      </w:r>
      <w:r>
        <w:rPr>
          <w:spacing w:val="78"/>
        </w:rPr>
        <w:t> </w:t>
      </w:r>
      <w:r>
        <w:rPr/>
        <w:t>level</w:t>
      </w:r>
      <w:r>
        <w:rPr>
          <w:spacing w:val="78"/>
        </w:rPr>
        <w:t> </w:t>
      </w:r>
      <w:r>
        <w:rPr/>
        <w:t>has</w:t>
      </w:r>
      <w:r>
        <w:rPr>
          <w:spacing w:val="78"/>
        </w:rPr>
        <w:t> </w:t>
      </w:r>
      <w:r>
        <w:rPr/>
        <w:t>the</w:t>
      </w:r>
      <w:r>
        <w:rPr>
          <w:spacing w:val="80"/>
        </w:rPr>
        <w:t> </w:t>
      </w:r>
      <w:r>
        <w:rPr/>
        <w:t>best opportunity to promote face-to-face interaction between the elected officials and the populace after all, the citizens represent key stakeholders for government programs and their input should be solicited since they</w:t>
      </w:r>
      <w:r>
        <w:rPr>
          <w:spacing w:val="-2"/>
        </w:rPr>
        <w:t> </w:t>
      </w:r>
      <w:r>
        <w:rPr/>
        <w:t>have the highest stake, that is they</w:t>
      </w:r>
      <w:r>
        <w:rPr>
          <w:spacing w:val="-2"/>
        </w:rPr>
        <w:t> </w:t>
      </w:r>
      <w:r>
        <w:rPr/>
        <w:t>are the ones most likely</w:t>
      </w:r>
      <w:r>
        <w:rPr>
          <w:spacing w:val="-2"/>
        </w:rPr>
        <w:t> </w:t>
      </w:r>
      <w:r>
        <w:rPr/>
        <w:t>to be impacted by the decisions being made (Aimee, 2001; Ebdon, 2002).</w:t>
      </w:r>
    </w:p>
    <w:p>
      <w:pPr>
        <w:pStyle w:val="BodyText"/>
        <w:spacing w:before="136"/>
      </w:pPr>
    </w:p>
    <w:p>
      <w:pPr>
        <w:pStyle w:val="BodyText"/>
        <w:spacing w:line="360" w:lineRule="auto" w:before="1"/>
        <w:ind w:left="240" w:right="838"/>
        <w:jc w:val="both"/>
      </w:pPr>
      <w:r>
        <w:rPr/>
        <w:t>Boschken (1992) supports this conclusion when he indicates that if an organization does not know its stakeholders, what they want from the organization and how they judge performance, there</w:t>
      </w:r>
      <w:r>
        <w:rPr>
          <w:spacing w:val="11"/>
        </w:rPr>
        <w:t> </w:t>
      </w:r>
      <w:r>
        <w:rPr/>
        <w:t>is</w:t>
      </w:r>
      <w:r>
        <w:rPr>
          <w:spacing w:val="14"/>
        </w:rPr>
        <w:t> </w:t>
      </w:r>
      <w:r>
        <w:rPr/>
        <w:t>little</w:t>
      </w:r>
      <w:r>
        <w:rPr>
          <w:spacing w:val="13"/>
        </w:rPr>
        <w:t> </w:t>
      </w:r>
      <w:r>
        <w:rPr/>
        <w:t>likelihood</w:t>
      </w:r>
      <w:r>
        <w:rPr>
          <w:spacing w:val="14"/>
        </w:rPr>
        <w:t> </w:t>
      </w:r>
      <w:r>
        <w:rPr/>
        <w:t>that</w:t>
      </w:r>
      <w:r>
        <w:rPr>
          <w:spacing w:val="14"/>
        </w:rPr>
        <w:t> </w:t>
      </w:r>
      <w:r>
        <w:rPr/>
        <w:t>they</w:t>
      </w:r>
      <w:r>
        <w:rPr>
          <w:spacing w:val="11"/>
        </w:rPr>
        <w:t> </w:t>
      </w:r>
      <w:r>
        <w:rPr/>
        <w:t>will</w:t>
      </w:r>
      <w:r>
        <w:rPr>
          <w:spacing w:val="14"/>
        </w:rPr>
        <w:t> </w:t>
      </w:r>
      <w:r>
        <w:rPr/>
        <w:t>be</w:t>
      </w:r>
      <w:r>
        <w:rPr>
          <w:spacing w:val="14"/>
        </w:rPr>
        <w:t> </w:t>
      </w:r>
      <w:r>
        <w:rPr/>
        <w:t>able</w:t>
      </w:r>
      <w:r>
        <w:rPr>
          <w:spacing w:val="15"/>
        </w:rPr>
        <w:t> </w:t>
      </w:r>
      <w:r>
        <w:rPr/>
        <w:t>to</w:t>
      </w:r>
      <w:r>
        <w:rPr>
          <w:spacing w:val="14"/>
        </w:rPr>
        <w:t> </w:t>
      </w:r>
      <w:r>
        <w:rPr/>
        <w:t>satisfy</w:t>
      </w:r>
      <w:r>
        <w:rPr>
          <w:spacing w:val="9"/>
        </w:rPr>
        <w:t> </w:t>
      </w:r>
      <w:r>
        <w:rPr/>
        <w:t>their</w:t>
      </w:r>
      <w:r>
        <w:rPr>
          <w:spacing w:val="13"/>
        </w:rPr>
        <w:t> </w:t>
      </w:r>
      <w:r>
        <w:rPr/>
        <w:t>key</w:t>
      </w:r>
      <w:r>
        <w:rPr>
          <w:spacing w:val="9"/>
        </w:rPr>
        <w:t> </w:t>
      </w:r>
      <w:r>
        <w:rPr/>
        <w:t>stakeholders.</w:t>
      </w:r>
      <w:r>
        <w:rPr>
          <w:spacing w:val="13"/>
        </w:rPr>
        <w:t> </w:t>
      </w:r>
      <w:r>
        <w:rPr/>
        <w:t>He</w:t>
      </w:r>
      <w:r>
        <w:rPr>
          <w:spacing w:val="15"/>
        </w:rPr>
        <w:t> </w:t>
      </w:r>
      <w:r>
        <w:rPr/>
        <w:t>also</w:t>
      </w:r>
      <w:r>
        <w:rPr>
          <w:spacing w:val="15"/>
        </w:rPr>
        <w:t> </w:t>
      </w:r>
      <w:r>
        <w:rPr>
          <w:spacing w:val="-2"/>
        </w:rPr>
        <w:t>suggests</w:t>
      </w:r>
    </w:p>
    <w:p>
      <w:pPr>
        <w:spacing w:after="0" w:line="360" w:lineRule="auto"/>
        <w:jc w:val="both"/>
        <w:sectPr>
          <w:pgSz w:w="12240" w:h="15840"/>
          <w:pgMar w:header="0" w:footer="1036" w:top="1360" w:bottom="1220" w:left="1200" w:right="600"/>
        </w:sectPr>
      </w:pPr>
    </w:p>
    <w:p>
      <w:pPr>
        <w:pStyle w:val="BodyText"/>
        <w:spacing w:line="360" w:lineRule="auto" w:before="74"/>
        <w:ind w:left="240" w:right="844"/>
        <w:jc w:val="both"/>
      </w:pPr>
      <w:r>
        <w:rPr/>
        <w:t>that more important than having great numbers of participants is to purposively select participants to represent the range of stakeholder views</w:t>
      </w:r>
    </w:p>
    <w:p>
      <w:pPr>
        <w:pStyle w:val="BodyText"/>
        <w:spacing w:before="132"/>
      </w:pPr>
    </w:p>
    <w:p>
      <w:pPr>
        <w:pStyle w:val="BodyText"/>
        <w:spacing w:line="360" w:lineRule="auto" w:before="1"/>
        <w:ind w:left="240" w:right="844"/>
        <w:jc w:val="both"/>
      </w:pPr>
      <w:r>
        <w:rPr/>
        <w:t>A successful citizen participation program must be integral to the planning process and focused on its unique needs; designed to function within available resources of time, personnel, and money; and responsive to the citizen participants (Cogan and Sharpe,1986).Because of these reasons, specific projects demand different approaches to public involvement. However, Cogan and Sharpe indicate that most successful citizen participation programs contain some common elements. To be effective, they suggest that citizen participation programs must:</w:t>
      </w:r>
    </w:p>
    <w:p>
      <w:pPr>
        <w:pStyle w:val="ListParagraph"/>
        <w:numPr>
          <w:ilvl w:val="3"/>
          <w:numId w:val="7"/>
        </w:numPr>
        <w:tabs>
          <w:tab w:pos="958" w:val="left" w:leader="none"/>
        </w:tabs>
        <w:spacing w:line="274" w:lineRule="exact" w:before="0" w:after="0"/>
        <w:ind w:left="958" w:right="0" w:hanging="485"/>
        <w:jc w:val="both"/>
        <w:rPr>
          <w:sz w:val="24"/>
        </w:rPr>
      </w:pPr>
      <w:r>
        <w:rPr>
          <w:sz w:val="24"/>
        </w:rPr>
        <w:t>Meet</w:t>
      </w:r>
      <w:r>
        <w:rPr>
          <w:spacing w:val="-3"/>
          <w:sz w:val="24"/>
        </w:rPr>
        <w:t> </w:t>
      </w:r>
      <w:r>
        <w:rPr>
          <w:sz w:val="24"/>
        </w:rPr>
        <w:t>legal</w:t>
      </w:r>
      <w:r>
        <w:rPr>
          <w:spacing w:val="-2"/>
          <w:sz w:val="24"/>
        </w:rPr>
        <w:t> requirements;</w:t>
      </w:r>
    </w:p>
    <w:p>
      <w:pPr>
        <w:pStyle w:val="ListParagraph"/>
        <w:numPr>
          <w:ilvl w:val="3"/>
          <w:numId w:val="7"/>
        </w:numPr>
        <w:tabs>
          <w:tab w:pos="960" w:val="left" w:leader="none"/>
        </w:tabs>
        <w:spacing w:line="240" w:lineRule="auto" w:before="139" w:after="0"/>
        <w:ind w:left="960" w:right="0" w:hanging="554"/>
        <w:jc w:val="left"/>
        <w:rPr>
          <w:sz w:val="24"/>
        </w:rPr>
      </w:pPr>
      <w:r>
        <w:rPr>
          <w:sz w:val="24"/>
        </w:rPr>
        <w:t>Clearly</w:t>
      </w:r>
      <w:r>
        <w:rPr>
          <w:spacing w:val="-5"/>
          <w:sz w:val="24"/>
        </w:rPr>
        <w:t> </w:t>
      </w:r>
      <w:r>
        <w:rPr>
          <w:sz w:val="24"/>
        </w:rPr>
        <w:t>articulate goals</w:t>
      </w:r>
      <w:r>
        <w:rPr>
          <w:spacing w:val="-1"/>
          <w:sz w:val="24"/>
        </w:rPr>
        <w:t> </w:t>
      </w:r>
      <w:r>
        <w:rPr>
          <w:sz w:val="24"/>
        </w:rPr>
        <w:t>and</w:t>
      </w:r>
      <w:r>
        <w:rPr>
          <w:spacing w:val="-1"/>
          <w:sz w:val="24"/>
        </w:rPr>
        <w:t> </w:t>
      </w:r>
      <w:r>
        <w:rPr>
          <w:spacing w:val="-2"/>
          <w:sz w:val="24"/>
        </w:rPr>
        <w:t>objectives;</w:t>
      </w:r>
    </w:p>
    <w:p>
      <w:pPr>
        <w:pStyle w:val="ListParagraph"/>
        <w:numPr>
          <w:ilvl w:val="3"/>
          <w:numId w:val="7"/>
        </w:numPr>
        <w:tabs>
          <w:tab w:pos="960" w:val="left" w:leader="none"/>
        </w:tabs>
        <w:spacing w:line="240" w:lineRule="auto" w:before="137" w:after="0"/>
        <w:ind w:left="960" w:right="0" w:hanging="619"/>
        <w:jc w:val="left"/>
        <w:rPr>
          <w:sz w:val="24"/>
        </w:rPr>
      </w:pPr>
      <w:r>
        <w:rPr>
          <w:sz w:val="24"/>
        </w:rPr>
        <w:t>Command</w:t>
      </w:r>
      <w:r>
        <w:rPr>
          <w:spacing w:val="-2"/>
          <w:sz w:val="24"/>
        </w:rPr>
        <w:t> </w:t>
      </w:r>
      <w:r>
        <w:rPr>
          <w:sz w:val="24"/>
        </w:rPr>
        <w:t>political</w:t>
      </w:r>
      <w:r>
        <w:rPr>
          <w:spacing w:val="-1"/>
          <w:sz w:val="24"/>
        </w:rPr>
        <w:t> </w:t>
      </w:r>
      <w:r>
        <w:rPr>
          <w:spacing w:val="-2"/>
          <w:sz w:val="24"/>
        </w:rPr>
        <w:t>support;</w:t>
      </w:r>
    </w:p>
    <w:p>
      <w:pPr>
        <w:pStyle w:val="ListParagraph"/>
        <w:numPr>
          <w:ilvl w:val="3"/>
          <w:numId w:val="7"/>
        </w:numPr>
        <w:tabs>
          <w:tab w:pos="960" w:val="left" w:leader="none"/>
        </w:tabs>
        <w:spacing w:line="240" w:lineRule="auto" w:before="139" w:after="0"/>
        <w:ind w:left="960" w:right="0" w:hanging="607"/>
        <w:jc w:val="left"/>
        <w:rPr>
          <w:sz w:val="24"/>
        </w:rPr>
      </w:pPr>
      <w:r>
        <w:rPr>
          <w:sz w:val="24"/>
        </w:rPr>
        <w:t>Be</w:t>
      </w:r>
      <w:r>
        <w:rPr>
          <w:spacing w:val="-2"/>
          <w:sz w:val="24"/>
        </w:rPr>
        <w:t> </w:t>
      </w:r>
      <w:r>
        <w:rPr>
          <w:sz w:val="24"/>
        </w:rPr>
        <w:t>an</w:t>
      </w:r>
      <w:r>
        <w:rPr>
          <w:spacing w:val="-1"/>
          <w:sz w:val="24"/>
        </w:rPr>
        <w:t> </w:t>
      </w:r>
      <w:r>
        <w:rPr>
          <w:sz w:val="24"/>
        </w:rPr>
        <w:t>integral part</w:t>
      </w:r>
      <w:r>
        <w:rPr>
          <w:spacing w:val="-1"/>
          <w:sz w:val="24"/>
        </w:rPr>
        <w:t> </w:t>
      </w:r>
      <w:r>
        <w:rPr>
          <w:sz w:val="24"/>
        </w:rPr>
        <w:t>of</w:t>
      </w:r>
      <w:r>
        <w:rPr>
          <w:spacing w:val="-2"/>
          <w:sz w:val="24"/>
        </w:rPr>
        <w:t> </w:t>
      </w:r>
      <w:r>
        <w:rPr>
          <w:sz w:val="24"/>
        </w:rPr>
        <w:t>the</w:t>
      </w:r>
      <w:r>
        <w:rPr>
          <w:spacing w:val="1"/>
          <w:sz w:val="24"/>
        </w:rPr>
        <w:t> </w:t>
      </w:r>
      <w:r>
        <w:rPr>
          <w:sz w:val="24"/>
        </w:rPr>
        <w:t>decision</w:t>
      </w:r>
      <w:r>
        <w:rPr>
          <w:spacing w:val="-1"/>
          <w:sz w:val="24"/>
        </w:rPr>
        <w:t> </w:t>
      </w:r>
      <w:r>
        <w:rPr>
          <w:sz w:val="24"/>
        </w:rPr>
        <w:t>making</w:t>
      </w:r>
      <w:r>
        <w:rPr>
          <w:spacing w:val="-3"/>
          <w:sz w:val="24"/>
        </w:rPr>
        <w:t> </w:t>
      </w:r>
      <w:r>
        <w:rPr>
          <w:spacing w:val="-2"/>
          <w:sz w:val="24"/>
        </w:rPr>
        <w:t>structure;</w:t>
      </w:r>
    </w:p>
    <w:p>
      <w:pPr>
        <w:pStyle w:val="ListParagraph"/>
        <w:numPr>
          <w:ilvl w:val="3"/>
          <w:numId w:val="7"/>
        </w:numPr>
        <w:tabs>
          <w:tab w:pos="960" w:val="left" w:leader="none"/>
        </w:tabs>
        <w:spacing w:line="240" w:lineRule="auto" w:before="137" w:after="0"/>
        <w:ind w:left="960" w:right="0" w:hanging="540"/>
        <w:jc w:val="left"/>
        <w:rPr>
          <w:sz w:val="24"/>
        </w:rPr>
      </w:pPr>
      <w:r>
        <w:rPr>
          <w:sz w:val="24"/>
        </w:rPr>
        <w:t>Receive</w:t>
      </w:r>
      <w:r>
        <w:rPr>
          <w:spacing w:val="-2"/>
          <w:sz w:val="24"/>
        </w:rPr>
        <w:t> </w:t>
      </w:r>
      <w:r>
        <w:rPr>
          <w:sz w:val="24"/>
        </w:rPr>
        <w:t>adequate</w:t>
      </w:r>
      <w:r>
        <w:rPr>
          <w:spacing w:val="-1"/>
          <w:sz w:val="24"/>
        </w:rPr>
        <w:t> </w:t>
      </w:r>
      <w:r>
        <w:rPr>
          <w:sz w:val="24"/>
        </w:rPr>
        <w:t>funding,</w:t>
      </w:r>
      <w:r>
        <w:rPr>
          <w:spacing w:val="-1"/>
          <w:sz w:val="24"/>
        </w:rPr>
        <w:t> </w:t>
      </w:r>
      <w:r>
        <w:rPr>
          <w:sz w:val="24"/>
        </w:rPr>
        <w:t>staff,</w:t>
      </w:r>
      <w:r>
        <w:rPr>
          <w:spacing w:val="-2"/>
          <w:sz w:val="24"/>
        </w:rPr>
        <w:t> </w:t>
      </w:r>
      <w:r>
        <w:rPr>
          <w:sz w:val="24"/>
        </w:rPr>
        <w:t>and</w:t>
      </w:r>
      <w:r>
        <w:rPr>
          <w:spacing w:val="-1"/>
          <w:sz w:val="24"/>
        </w:rPr>
        <w:t> </w:t>
      </w:r>
      <w:r>
        <w:rPr>
          <w:spacing w:val="-2"/>
          <w:sz w:val="24"/>
        </w:rPr>
        <w:t>time;</w:t>
      </w:r>
    </w:p>
    <w:p>
      <w:pPr>
        <w:pStyle w:val="ListParagraph"/>
        <w:numPr>
          <w:ilvl w:val="3"/>
          <w:numId w:val="7"/>
        </w:numPr>
        <w:tabs>
          <w:tab w:pos="960" w:val="left" w:leader="none"/>
        </w:tabs>
        <w:spacing w:line="240" w:lineRule="auto" w:before="139" w:after="0"/>
        <w:ind w:left="960" w:right="0" w:hanging="607"/>
        <w:jc w:val="left"/>
        <w:rPr>
          <w:sz w:val="24"/>
        </w:rPr>
      </w:pPr>
      <w:r>
        <w:rPr>
          <w:sz w:val="24"/>
        </w:rPr>
        <w:t>Identify</w:t>
      </w:r>
      <w:r>
        <w:rPr>
          <w:spacing w:val="-6"/>
          <w:sz w:val="24"/>
        </w:rPr>
        <w:t> </w:t>
      </w:r>
      <w:r>
        <w:rPr>
          <w:sz w:val="24"/>
        </w:rPr>
        <w:t>concerned</w:t>
      </w:r>
      <w:r>
        <w:rPr>
          <w:spacing w:val="-1"/>
          <w:sz w:val="24"/>
        </w:rPr>
        <w:t> </w:t>
      </w:r>
      <w:r>
        <w:rPr>
          <w:sz w:val="24"/>
        </w:rPr>
        <w:t>or affected</w:t>
      </w:r>
      <w:r>
        <w:rPr>
          <w:spacing w:val="-1"/>
          <w:sz w:val="24"/>
        </w:rPr>
        <w:t> </w:t>
      </w:r>
      <w:r>
        <w:rPr>
          <w:sz w:val="24"/>
        </w:rPr>
        <w:t>publics; </w:t>
      </w:r>
      <w:r>
        <w:rPr>
          <w:spacing w:val="-5"/>
          <w:sz w:val="24"/>
        </w:rPr>
        <w:t>and</w:t>
      </w:r>
    </w:p>
    <w:p>
      <w:pPr>
        <w:pStyle w:val="ListParagraph"/>
        <w:numPr>
          <w:ilvl w:val="3"/>
          <w:numId w:val="7"/>
        </w:numPr>
        <w:tabs>
          <w:tab w:pos="960" w:val="left" w:leader="none"/>
        </w:tabs>
        <w:spacing w:line="240" w:lineRule="auto" w:before="137" w:after="0"/>
        <w:ind w:left="960" w:right="0" w:hanging="674"/>
        <w:jc w:val="left"/>
        <w:rPr>
          <w:sz w:val="24"/>
        </w:rPr>
      </w:pPr>
      <w:r>
        <w:rPr>
          <w:sz w:val="24"/>
        </w:rPr>
        <w:t>Delineate</w:t>
      </w:r>
      <w:r>
        <w:rPr>
          <w:spacing w:val="-4"/>
          <w:sz w:val="24"/>
        </w:rPr>
        <w:t> </w:t>
      </w:r>
      <w:r>
        <w:rPr>
          <w:sz w:val="24"/>
        </w:rPr>
        <w:t>clear</w:t>
      </w:r>
      <w:r>
        <w:rPr>
          <w:spacing w:val="-1"/>
          <w:sz w:val="24"/>
        </w:rPr>
        <w:t> </w:t>
      </w:r>
      <w:r>
        <w:rPr>
          <w:sz w:val="24"/>
        </w:rPr>
        <w:t>roles</w:t>
      </w:r>
      <w:r>
        <w:rPr>
          <w:spacing w:val="-2"/>
          <w:sz w:val="24"/>
        </w:rPr>
        <w:t> </w:t>
      </w:r>
      <w:r>
        <w:rPr>
          <w:sz w:val="24"/>
        </w:rPr>
        <w:t>and</w:t>
      </w:r>
      <w:r>
        <w:rPr>
          <w:spacing w:val="-1"/>
          <w:sz w:val="24"/>
        </w:rPr>
        <w:t> </w:t>
      </w:r>
      <w:r>
        <w:rPr>
          <w:sz w:val="24"/>
        </w:rPr>
        <w:t>responsibilities</w:t>
      </w:r>
      <w:r>
        <w:rPr>
          <w:spacing w:val="-2"/>
          <w:sz w:val="24"/>
        </w:rPr>
        <w:t> </w:t>
      </w:r>
      <w:r>
        <w:rPr>
          <w:sz w:val="24"/>
        </w:rPr>
        <w:t>for</w:t>
      </w:r>
      <w:r>
        <w:rPr>
          <w:spacing w:val="-2"/>
          <w:sz w:val="24"/>
        </w:rPr>
        <w:t> participants.</w:t>
      </w:r>
    </w:p>
    <w:p>
      <w:pPr>
        <w:pStyle w:val="BodyText"/>
        <w:spacing w:line="360" w:lineRule="auto" w:before="139"/>
        <w:ind w:left="240" w:right="840"/>
      </w:pPr>
      <w:r>
        <w:rPr/>
        <w:t>A</w:t>
      </w:r>
      <w:r>
        <w:rPr>
          <w:spacing w:val="80"/>
        </w:rPr>
        <w:t> </w:t>
      </w:r>
      <w:r>
        <w:rPr/>
        <w:t>program</w:t>
      </w:r>
      <w:r>
        <w:rPr>
          <w:spacing w:val="80"/>
        </w:rPr>
        <w:t> </w:t>
      </w:r>
      <w:r>
        <w:rPr/>
        <w:t>that</w:t>
      </w:r>
      <w:r>
        <w:rPr>
          <w:spacing w:val="80"/>
        </w:rPr>
        <w:t> </w:t>
      </w:r>
      <w:r>
        <w:rPr/>
        <w:t>incorporates</w:t>
      </w:r>
      <w:r>
        <w:rPr>
          <w:spacing w:val="80"/>
        </w:rPr>
        <w:t> </w:t>
      </w:r>
      <w:r>
        <w:rPr/>
        <w:t>these</w:t>
      </w:r>
      <w:r>
        <w:rPr>
          <w:spacing w:val="80"/>
        </w:rPr>
        <w:t> </w:t>
      </w:r>
      <w:r>
        <w:rPr/>
        <w:t>elements</w:t>
      </w:r>
      <w:r>
        <w:rPr>
          <w:spacing w:val="80"/>
        </w:rPr>
        <w:t> </w:t>
      </w:r>
      <w:r>
        <w:rPr/>
        <w:t>will</w:t>
      </w:r>
      <w:r>
        <w:rPr>
          <w:spacing w:val="80"/>
        </w:rPr>
        <w:t> </w:t>
      </w:r>
      <w:r>
        <w:rPr/>
        <w:t>generally</w:t>
      </w:r>
      <w:r>
        <w:rPr>
          <w:spacing w:val="80"/>
        </w:rPr>
        <w:t> </w:t>
      </w:r>
      <w:r>
        <w:rPr/>
        <w:t>be</w:t>
      </w:r>
      <w:r>
        <w:rPr>
          <w:spacing w:val="80"/>
        </w:rPr>
        <w:t> </w:t>
      </w:r>
      <w:r>
        <w:rPr/>
        <w:t>effective</w:t>
      </w:r>
      <w:r>
        <w:rPr>
          <w:spacing w:val="80"/>
        </w:rPr>
        <w:t> </w:t>
      </w:r>
      <w:r>
        <w:rPr/>
        <w:t>in</w:t>
      </w:r>
      <w:r>
        <w:rPr>
          <w:spacing w:val="80"/>
        </w:rPr>
        <w:t> </w:t>
      </w:r>
      <w:r>
        <w:rPr/>
        <w:t>meeting</w:t>
      </w:r>
      <w:r>
        <w:rPr>
          <w:spacing w:val="80"/>
        </w:rPr>
        <w:t> </w:t>
      </w:r>
      <w:r>
        <w:rPr/>
        <w:t>the expectations of both the planner and the participants.</w:t>
      </w:r>
    </w:p>
    <w:p>
      <w:pPr>
        <w:pStyle w:val="BodyText"/>
        <w:spacing w:before="34"/>
      </w:pPr>
    </w:p>
    <w:p>
      <w:pPr>
        <w:pStyle w:val="BodyText"/>
        <w:spacing w:line="360" w:lineRule="auto"/>
        <w:ind w:left="240" w:right="835"/>
        <w:jc w:val="both"/>
      </w:pPr>
      <w:r>
        <w:rPr/>
        <w:t>Thomas (1995) and Beierle (1999) outline a number of considerations that may be described as ideal indicators for the implementation of enhanced citizen participation in agency decision- making. They group them into low-cost and high-cost indicators. They are as follows:</w:t>
      </w:r>
    </w:p>
    <w:p>
      <w:pPr>
        <w:pStyle w:val="Heading4"/>
        <w:numPr>
          <w:ilvl w:val="0"/>
          <w:numId w:val="26"/>
        </w:numPr>
        <w:tabs>
          <w:tab w:pos="645" w:val="left" w:leader="none"/>
        </w:tabs>
        <w:spacing w:line="240" w:lineRule="auto" w:before="212" w:after="0"/>
        <w:ind w:left="645" w:right="0" w:hanging="359"/>
        <w:jc w:val="left"/>
      </w:pPr>
      <w:r>
        <w:rPr/>
        <w:t>Low-Cost </w:t>
      </w:r>
      <w:r>
        <w:rPr>
          <w:spacing w:val="-2"/>
        </w:rPr>
        <w:t>Indicators</w:t>
      </w:r>
    </w:p>
    <w:p>
      <w:pPr>
        <w:pStyle w:val="ListParagraph"/>
        <w:numPr>
          <w:ilvl w:val="1"/>
          <w:numId w:val="26"/>
        </w:numPr>
        <w:tabs>
          <w:tab w:pos="960" w:val="left" w:leader="none"/>
        </w:tabs>
        <w:spacing w:line="240" w:lineRule="auto" w:before="133" w:after="0"/>
        <w:ind w:left="960" w:right="0" w:hanging="487"/>
        <w:jc w:val="left"/>
        <w:rPr>
          <w:sz w:val="24"/>
        </w:rPr>
      </w:pPr>
      <w:r>
        <w:rPr>
          <w:sz w:val="24"/>
        </w:rPr>
        <w:t>Citizens</w:t>
      </w:r>
      <w:r>
        <w:rPr>
          <w:spacing w:val="-3"/>
          <w:sz w:val="24"/>
        </w:rPr>
        <w:t> </w:t>
      </w:r>
      <w:r>
        <w:rPr>
          <w:sz w:val="24"/>
        </w:rPr>
        <w:t>readily</w:t>
      </w:r>
      <w:r>
        <w:rPr>
          <w:spacing w:val="-6"/>
          <w:sz w:val="24"/>
        </w:rPr>
        <w:t> </w:t>
      </w:r>
      <w:r>
        <w:rPr>
          <w:sz w:val="24"/>
        </w:rPr>
        <w:t>volunteer for</w:t>
      </w:r>
      <w:r>
        <w:rPr>
          <w:spacing w:val="-2"/>
          <w:sz w:val="24"/>
        </w:rPr>
        <w:t> </w:t>
      </w:r>
      <w:r>
        <w:rPr>
          <w:sz w:val="24"/>
        </w:rPr>
        <w:t>projects that</w:t>
      </w:r>
      <w:r>
        <w:rPr>
          <w:spacing w:val="-1"/>
          <w:sz w:val="24"/>
        </w:rPr>
        <w:t> </w:t>
      </w:r>
      <w:r>
        <w:rPr>
          <w:sz w:val="24"/>
        </w:rPr>
        <w:t>benefit the</w:t>
      </w:r>
      <w:r>
        <w:rPr>
          <w:spacing w:val="-2"/>
          <w:sz w:val="24"/>
        </w:rPr>
        <w:t> </w:t>
      </w:r>
      <w:r>
        <w:rPr>
          <w:sz w:val="24"/>
        </w:rPr>
        <w:t>entire</w:t>
      </w:r>
      <w:r>
        <w:rPr>
          <w:spacing w:val="-2"/>
          <w:sz w:val="24"/>
        </w:rPr>
        <w:t> community.</w:t>
      </w:r>
    </w:p>
    <w:p>
      <w:pPr>
        <w:pStyle w:val="ListParagraph"/>
        <w:numPr>
          <w:ilvl w:val="1"/>
          <w:numId w:val="26"/>
        </w:numPr>
        <w:tabs>
          <w:tab w:pos="960" w:val="left" w:leader="none"/>
        </w:tabs>
        <w:spacing w:line="360" w:lineRule="auto" w:before="139" w:after="0"/>
        <w:ind w:left="960" w:right="841" w:hanging="555"/>
        <w:jc w:val="left"/>
        <w:rPr>
          <w:sz w:val="24"/>
        </w:rPr>
      </w:pPr>
      <w:r>
        <w:rPr>
          <w:sz w:val="24"/>
        </w:rPr>
        <w:t>Key</w:t>
      </w:r>
      <w:r>
        <w:rPr>
          <w:spacing w:val="40"/>
          <w:sz w:val="24"/>
        </w:rPr>
        <w:t> </w:t>
      </w:r>
      <w:r>
        <w:rPr>
          <w:sz w:val="24"/>
        </w:rPr>
        <w:t>stakeholders</w:t>
      </w:r>
      <w:r>
        <w:rPr>
          <w:spacing w:val="40"/>
          <w:sz w:val="24"/>
        </w:rPr>
        <w:t> </w:t>
      </w:r>
      <w:r>
        <w:rPr>
          <w:sz w:val="24"/>
        </w:rPr>
        <w:t>are</w:t>
      </w:r>
      <w:r>
        <w:rPr>
          <w:spacing w:val="40"/>
          <w:sz w:val="24"/>
        </w:rPr>
        <w:t> </w:t>
      </w:r>
      <w:r>
        <w:rPr>
          <w:sz w:val="24"/>
        </w:rPr>
        <w:t>not</w:t>
      </w:r>
      <w:r>
        <w:rPr>
          <w:spacing w:val="40"/>
          <w:sz w:val="24"/>
        </w:rPr>
        <w:t> </w:t>
      </w:r>
      <w:r>
        <w:rPr>
          <w:sz w:val="24"/>
        </w:rPr>
        <w:t>too</w:t>
      </w:r>
      <w:r>
        <w:rPr>
          <w:spacing w:val="40"/>
          <w:sz w:val="24"/>
        </w:rPr>
        <w:t> </w:t>
      </w:r>
      <w:r>
        <w:rPr>
          <w:sz w:val="24"/>
        </w:rPr>
        <w:t>geographically</w:t>
      </w:r>
      <w:r>
        <w:rPr>
          <w:spacing w:val="40"/>
          <w:sz w:val="24"/>
        </w:rPr>
        <w:t> </w:t>
      </w:r>
      <w:r>
        <w:rPr>
          <w:sz w:val="24"/>
        </w:rPr>
        <w:t>dispersed</w:t>
      </w:r>
      <w:r>
        <w:rPr>
          <w:spacing w:val="40"/>
          <w:sz w:val="24"/>
        </w:rPr>
        <w:t> </w:t>
      </w:r>
      <w:r>
        <w:rPr>
          <w:sz w:val="24"/>
        </w:rPr>
        <w:t>participants</w:t>
      </w:r>
      <w:r>
        <w:rPr>
          <w:spacing w:val="40"/>
          <w:sz w:val="24"/>
        </w:rPr>
        <w:t> </w:t>
      </w:r>
      <w:r>
        <w:rPr>
          <w:sz w:val="24"/>
        </w:rPr>
        <w:t>can</w:t>
      </w:r>
      <w:r>
        <w:rPr>
          <w:spacing w:val="40"/>
          <w:sz w:val="24"/>
        </w:rPr>
        <w:t> </w:t>
      </w:r>
      <w:r>
        <w:rPr>
          <w:sz w:val="24"/>
        </w:rPr>
        <w:t>easily</w:t>
      </w:r>
      <w:r>
        <w:rPr>
          <w:spacing w:val="40"/>
          <w:sz w:val="24"/>
        </w:rPr>
        <w:t> </w:t>
      </w:r>
      <w:r>
        <w:rPr>
          <w:sz w:val="24"/>
        </w:rPr>
        <w:t>reach</w:t>
      </w:r>
      <w:r>
        <w:rPr>
          <w:spacing w:val="40"/>
          <w:sz w:val="24"/>
        </w:rPr>
        <w:t> </w:t>
      </w:r>
      <w:r>
        <w:rPr>
          <w:spacing w:val="-2"/>
          <w:sz w:val="24"/>
        </w:rPr>
        <w:t>meetings.</w:t>
      </w:r>
    </w:p>
    <w:p>
      <w:pPr>
        <w:pStyle w:val="ListParagraph"/>
        <w:numPr>
          <w:ilvl w:val="1"/>
          <w:numId w:val="26"/>
        </w:numPr>
        <w:tabs>
          <w:tab w:pos="960" w:val="left" w:leader="none"/>
        </w:tabs>
        <w:spacing w:line="360" w:lineRule="auto" w:before="0" w:after="0"/>
        <w:ind w:left="960" w:right="846" w:hanging="620"/>
        <w:jc w:val="left"/>
        <w:rPr>
          <w:sz w:val="24"/>
        </w:rPr>
      </w:pPr>
      <w:r>
        <w:rPr>
          <w:sz w:val="24"/>
        </w:rPr>
        <w:t>Citizens have enough income to attend meetings without harming their ability</w:t>
      </w:r>
      <w:r>
        <w:rPr>
          <w:spacing w:val="-1"/>
          <w:sz w:val="24"/>
        </w:rPr>
        <w:t> </w:t>
      </w:r>
      <w:r>
        <w:rPr>
          <w:sz w:val="24"/>
        </w:rPr>
        <w:t>to provide for their families.</w:t>
      </w:r>
    </w:p>
    <w:p>
      <w:pPr>
        <w:pStyle w:val="ListParagraph"/>
        <w:numPr>
          <w:ilvl w:val="1"/>
          <w:numId w:val="26"/>
        </w:numPr>
        <w:tabs>
          <w:tab w:pos="960" w:val="left" w:leader="none"/>
        </w:tabs>
        <w:spacing w:line="360" w:lineRule="auto" w:before="0" w:after="0"/>
        <w:ind w:left="960" w:right="836" w:hanging="608"/>
        <w:jc w:val="left"/>
        <w:rPr>
          <w:sz w:val="24"/>
        </w:rPr>
      </w:pPr>
      <w:r>
        <w:rPr>
          <w:sz w:val="24"/>
        </w:rPr>
        <w:t>The community is</w:t>
      </w:r>
      <w:r>
        <w:rPr>
          <w:spacing w:val="28"/>
          <w:sz w:val="24"/>
        </w:rPr>
        <w:t> </w:t>
      </w:r>
      <w:r>
        <w:rPr>
          <w:sz w:val="24"/>
        </w:rPr>
        <w:t>homogenous,</w:t>
      </w:r>
      <w:r>
        <w:rPr>
          <w:spacing w:val="28"/>
          <w:sz w:val="24"/>
        </w:rPr>
        <w:t> </w:t>
      </w:r>
      <w:r>
        <w:rPr>
          <w:sz w:val="24"/>
        </w:rPr>
        <w:t>so</w:t>
      </w:r>
      <w:r>
        <w:rPr>
          <w:spacing w:val="28"/>
          <w:sz w:val="24"/>
        </w:rPr>
        <w:t> </w:t>
      </w:r>
      <w:r>
        <w:rPr>
          <w:sz w:val="24"/>
        </w:rPr>
        <w:t>the</w:t>
      </w:r>
      <w:r>
        <w:rPr>
          <w:spacing w:val="29"/>
          <w:sz w:val="24"/>
        </w:rPr>
        <w:t> </w:t>
      </w:r>
      <w:r>
        <w:rPr>
          <w:sz w:val="24"/>
        </w:rPr>
        <w:t>group</w:t>
      </w:r>
      <w:r>
        <w:rPr>
          <w:spacing w:val="27"/>
          <w:sz w:val="24"/>
        </w:rPr>
        <w:t> </w:t>
      </w:r>
      <w:r>
        <w:rPr>
          <w:sz w:val="24"/>
        </w:rPr>
        <w:t>requires</w:t>
      </w:r>
      <w:r>
        <w:rPr>
          <w:spacing w:val="28"/>
          <w:sz w:val="24"/>
        </w:rPr>
        <w:t> </w:t>
      </w:r>
      <w:r>
        <w:rPr>
          <w:sz w:val="24"/>
        </w:rPr>
        <w:t>fewer</w:t>
      </w:r>
      <w:r>
        <w:rPr>
          <w:spacing w:val="27"/>
          <w:sz w:val="24"/>
        </w:rPr>
        <w:t> </w:t>
      </w:r>
      <w:r>
        <w:rPr>
          <w:sz w:val="24"/>
        </w:rPr>
        <w:t>representatives</w:t>
      </w:r>
      <w:r>
        <w:rPr>
          <w:spacing w:val="28"/>
          <w:sz w:val="24"/>
        </w:rPr>
        <w:t> </w:t>
      </w:r>
      <w:r>
        <w:rPr>
          <w:sz w:val="24"/>
        </w:rPr>
        <w:t>of</w:t>
      </w:r>
      <w:r>
        <w:rPr>
          <w:spacing w:val="27"/>
          <w:sz w:val="24"/>
        </w:rPr>
        <w:t> </w:t>
      </w:r>
      <w:r>
        <w:rPr>
          <w:sz w:val="24"/>
        </w:rPr>
        <w:t>interest groups. Smaller groups speed decision-making.</w:t>
      </w:r>
    </w:p>
    <w:p>
      <w:pPr>
        <w:spacing w:after="0" w:line="360" w:lineRule="auto"/>
        <w:jc w:val="left"/>
        <w:rPr>
          <w:sz w:val="24"/>
        </w:rPr>
        <w:sectPr>
          <w:pgSz w:w="12240" w:h="15840"/>
          <w:pgMar w:header="0" w:footer="1036" w:top="1360" w:bottom="1220" w:left="1200" w:right="600"/>
        </w:sectPr>
      </w:pPr>
    </w:p>
    <w:p>
      <w:pPr>
        <w:pStyle w:val="ListParagraph"/>
        <w:numPr>
          <w:ilvl w:val="1"/>
          <w:numId w:val="26"/>
        </w:numPr>
        <w:tabs>
          <w:tab w:pos="960" w:val="left" w:leader="none"/>
        </w:tabs>
        <w:spacing w:line="360" w:lineRule="auto" w:before="74" w:after="0"/>
        <w:ind w:left="960" w:right="843" w:hanging="540"/>
        <w:jc w:val="left"/>
        <w:rPr>
          <w:sz w:val="24"/>
        </w:rPr>
      </w:pPr>
      <w:r>
        <w:rPr>
          <w:sz w:val="24"/>
        </w:rPr>
        <w:t>The</w:t>
      </w:r>
      <w:r>
        <w:rPr>
          <w:spacing w:val="40"/>
          <w:sz w:val="24"/>
        </w:rPr>
        <w:t> </w:t>
      </w:r>
      <w:r>
        <w:rPr>
          <w:sz w:val="24"/>
        </w:rPr>
        <w:t>topic</w:t>
      </w:r>
      <w:r>
        <w:rPr>
          <w:spacing w:val="40"/>
          <w:sz w:val="24"/>
        </w:rPr>
        <w:t> </w:t>
      </w:r>
      <w:r>
        <w:rPr>
          <w:sz w:val="24"/>
        </w:rPr>
        <w:t>does</w:t>
      </w:r>
      <w:r>
        <w:rPr>
          <w:spacing w:val="40"/>
          <w:sz w:val="24"/>
        </w:rPr>
        <w:t> </w:t>
      </w:r>
      <w:r>
        <w:rPr>
          <w:sz w:val="24"/>
        </w:rPr>
        <w:t>not</w:t>
      </w:r>
      <w:r>
        <w:rPr>
          <w:spacing w:val="40"/>
          <w:sz w:val="24"/>
        </w:rPr>
        <w:t> </w:t>
      </w:r>
      <w:r>
        <w:rPr>
          <w:sz w:val="24"/>
        </w:rPr>
        <w:t>require</w:t>
      </w:r>
      <w:r>
        <w:rPr>
          <w:spacing w:val="40"/>
          <w:sz w:val="24"/>
        </w:rPr>
        <w:t> </w:t>
      </w:r>
      <w:r>
        <w:rPr>
          <w:sz w:val="24"/>
        </w:rPr>
        <w:t>representatives</w:t>
      </w:r>
      <w:r>
        <w:rPr>
          <w:spacing w:val="40"/>
          <w:sz w:val="24"/>
        </w:rPr>
        <w:t> </w:t>
      </w:r>
      <w:r>
        <w:rPr>
          <w:sz w:val="24"/>
        </w:rPr>
        <w:t>to</w:t>
      </w:r>
      <w:r>
        <w:rPr>
          <w:spacing w:val="40"/>
          <w:sz w:val="24"/>
        </w:rPr>
        <w:t> </w:t>
      </w:r>
      <w:r>
        <w:rPr>
          <w:sz w:val="24"/>
        </w:rPr>
        <w:t>master</w:t>
      </w:r>
      <w:r>
        <w:rPr>
          <w:spacing w:val="40"/>
          <w:sz w:val="24"/>
        </w:rPr>
        <w:t> </w:t>
      </w:r>
      <w:r>
        <w:rPr>
          <w:sz w:val="24"/>
        </w:rPr>
        <w:t>complex</w:t>
      </w:r>
      <w:r>
        <w:rPr>
          <w:spacing w:val="40"/>
          <w:sz w:val="24"/>
        </w:rPr>
        <w:t> </w:t>
      </w:r>
      <w:r>
        <w:rPr>
          <w:sz w:val="24"/>
        </w:rPr>
        <w:t>technical</w:t>
      </w:r>
      <w:r>
        <w:rPr>
          <w:spacing w:val="40"/>
          <w:sz w:val="24"/>
        </w:rPr>
        <w:t> </w:t>
      </w:r>
      <w:r>
        <w:rPr>
          <w:sz w:val="24"/>
        </w:rPr>
        <w:t>information</w:t>
      </w:r>
      <w:r>
        <w:rPr>
          <w:spacing w:val="40"/>
          <w:sz w:val="24"/>
        </w:rPr>
        <w:t> </w:t>
      </w:r>
      <w:r>
        <w:rPr>
          <w:spacing w:val="-2"/>
          <w:sz w:val="24"/>
        </w:rPr>
        <w:t>quickly.</w:t>
      </w:r>
    </w:p>
    <w:p>
      <w:pPr>
        <w:pStyle w:val="Heading4"/>
        <w:numPr>
          <w:ilvl w:val="0"/>
          <w:numId w:val="26"/>
        </w:numPr>
        <w:tabs>
          <w:tab w:pos="645" w:val="left" w:leader="none"/>
        </w:tabs>
        <w:spacing w:line="240" w:lineRule="auto" w:before="248" w:after="0"/>
        <w:ind w:left="645" w:right="0" w:hanging="359"/>
        <w:jc w:val="left"/>
      </w:pPr>
      <w:r>
        <w:rPr/>
        <w:t>High-Benefit</w:t>
      </w:r>
      <w:r>
        <w:rPr>
          <w:spacing w:val="-1"/>
        </w:rPr>
        <w:t> </w:t>
      </w:r>
      <w:r>
        <w:rPr>
          <w:spacing w:val="-2"/>
        </w:rPr>
        <w:t>Indicators</w:t>
      </w:r>
    </w:p>
    <w:p>
      <w:pPr>
        <w:pStyle w:val="ListParagraph"/>
        <w:numPr>
          <w:ilvl w:val="1"/>
          <w:numId w:val="26"/>
        </w:numPr>
        <w:tabs>
          <w:tab w:pos="960" w:val="left" w:leader="none"/>
        </w:tabs>
        <w:spacing w:line="240" w:lineRule="auto" w:before="132" w:after="0"/>
        <w:ind w:left="960" w:right="0" w:hanging="487"/>
        <w:jc w:val="left"/>
        <w:rPr>
          <w:sz w:val="24"/>
        </w:rPr>
      </w:pPr>
      <w:r>
        <w:rPr>
          <w:sz w:val="24"/>
        </w:rPr>
        <w:t>The</w:t>
      </w:r>
      <w:r>
        <w:rPr>
          <w:spacing w:val="-3"/>
          <w:sz w:val="24"/>
        </w:rPr>
        <w:t> </w:t>
      </w:r>
      <w:r>
        <w:rPr>
          <w:sz w:val="24"/>
        </w:rPr>
        <w:t>issue</w:t>
      </w:r>
      <w:r>
        <w:rPr>
          <w:spacing w:val="-2"/>
          <w:sz w:val="24"/>
        </w:rPr>
        <w:t> </w:t>
      </w:r>
      <w:r>
        <w:rPr>
          <w:sz w:val="24"/>
        </w:rPr>
        <w:t>is gridlocked</w:t>
      </w:r>
      <w:r>
        <w:rPr>
          <w:spacing w:val="-1"/>
          <w:sz w:val="24"/>
        </w:rPr>
        <w:t> </w:t>
      </w:r>
      <w:r>
        <w:rPr>
          <w:sz w:val="24"/>
        </w:rPr>
        <w:t>and</w:t>
      </w:r>
      <w:r>
        <w:rPr>
          <w:spacing w:val="-1"/>
          <w:sz w:val="24"/>
        </w:rPr>
        <w:t> </w:t>
      </w:r>
      <w:r>
        <w:rPr>
          <w:sz w:val="24"/>
        </w:rPr>
        <w:t>a</w:t>
      </w:r>
      <w:r>
        <w:rPr>
          <w:spacing w:val="-1"/>
          <w:sz w:val="24"/>
        </w:rPr>
        <w:t> </w:t>
      </w:r>
      <w:r>
        <w:rPr>
          <w:sz w:val="24"/>
        </w:rPr>
        <w:t>citizen</w:t>
      </w:r>
      <w:r>
        <w:rPr>
          <w:spacing w:val="-1"/>
          <w:sz w:val="24"/>
        </w:rPr>
        <w:t> </w:t>
      </w:r>
      <w:r>
        <w:rPr>
          <w:sz w:val="24"/>
        </w:rPr>
        <w:t>mandate is</w:t>
      </w:r>
      <w:r>
        <w:rPr>
          <w:spacing w:val="-1"/>
          <w:sz w:val="24"/>
        </w:rPr>
        <w:t> </w:t>
      </w:r>
      <w:r>
        <w:rPr>
          <w:sz w:val="24"/>
        </w:rPr>
        <w:t>needed</w:t>
      </w:r>
      <w:r>
        <w:rPr>
          <w:spacing w:val="-1"/>
          <w:sz w:val="24"/>
        </w:rPr>
        <w:t> </w:t>
      </w:r>
      <w:r>
        <w:rPr>
          <w:sz w:val="24"/>
        </w:rPr>
        <w:t>to break</w:t>
      </w:r>
      <w:r>
        <w:rPr>
          <w:spacing w:val="-1"/>
          <w:sz w:val="24"/>
        </w:rPr>
        <w:t> </w:t>
      </w:r>
      <w:r>
        <w:rPr>
          <w:sz w:val="24"/>
        </w:rPr>
        <w:t>the</w:t>
      </w:r>
      <w:r>
        <w:rPr>
          <w:spacing w:val="1"/>
          <w:sz w:val="24"/>
        </w:rPr>
        <w:t> </w:t>
      </w:r>
      <w:r>
        <w:rPr>
          <w:spacing w:val="-2"/>
          <w:sz w:val="24"/>
        </w:rPr>
        <w:t>gridlock.</w:t>
      </w:r>
    </w:p>
    <w:p>
      <w:pPr>
        <w:pStyle w:val="ListParagraph"/>
        <w:numPr>
          <w:ilvl w:val="1"/>
          <w:numId w:val="26"/>
        </w:numPr>
        <w:tabs>
          <w:tab w:pos="960" w:val="left" w:leader="none"/>
        </w:tabs>
        <w:spacing w:line="360" w:lineRule="auto" w:before="139" w:after="0"/>
        <w:ind w:left="960" w:right="1564" w:hanging="555"/>
        <w:jc w:val="left"/>
        <w:rPr>
          <w:sz w:val="24"/>
        </w:rPr>
      </w:pPr>
      <w:r>
        <w:rPr>
          <w:sz w:val="24"/>
        </w:rPr>
        <w:t>Hostility</w:t>
      </w:r>
      <w:r>
        <w:rPr>
          <w:spacing w:val="-10"/>
          <w:sz w:val="24"/>
        </w:rPr>
        <w:t> </w:t>
      </w:r>
      <w:r>
        <w:rPr>
          <w:sz w:val="24"/>
        </w:rPr>
        <w:t>toward</w:t>
      </w:r>
      <w:r>
        <w:rPr>
          <w:spacing w:val="-3"/>
          <w:sz w:val="24"/>
        </w:rPr>
        <w:t> </w:t>
      </w:r>
      <w:r>
        <w:rPr>
          <w:sz w:val="24"/>
        </w:rPr>
        <w:t>government</w:t>
      </w:r>
      <w:r>
        <w:rPr>
          <w:spacing w:val="-4"/>
          <w:sz w:val="24"/>
        </w:rPr>
        <w:t> </w:t>
      </w:r>
      <w:r>
        <w:rPr>
          <w:sz w:val="24"/>
        </w:rPr>
        <w:t>entities</w:t>
      </w:r>
      <w:r>
        <w:rPr>
          <w:spacing w:val="-4"/>
          <w:sz w:val="24"/>
        </w:rPr>
        <w:t> </w:t>
      </w:r>
      <w:r>
        <w:rPr>
          <w:sz w:val="24"/>
        </w:rPr>
        <w:t>is</w:t>
      </w:r>
      <w:r>
        <w:rPr>
          <w:spacing w:val="-4"/>
          <w:sz w:val="24"/>
        </w:rPr>
        <w:t> </w:t>
      </w:r>
      <w:r>
        <w:rPr>
          <w:sz w:val="24"/>
        </w:rPr>
        <w:t>high,</w:t>
      </w:r>
      <w:r>
        <w:rPr>
          <w:spacing w:val="-4"/>
          <w:sz w:val="24"/>
        </w:rPr>
        <w:t> </w:t>
      </w:r>
      <w:r>
        <w:rPr>
          <w:sz w:val="24"/>
        </w:rPr>
        <w:t>and</w:t>
      </w:r>
      <w:r>
        <w:rPr>
          <w:spacing w:val="-2"/>
          <w:sz w:val="24"/>
        </w:rPr>
        <w:t> </w:t>
      </w:r>
      <w:r>
        <w:rPr>
          <w:sz w:val="24"/>
        </w:rPr>
        <w:t>the</w:t>
      </w:r>
      <w:r>
        <w:rPr>
          <w:spacing w:val="-4"/>
          <w:sz w:val="24"/>
        </w:rPr>
        <w:t> </w:t>
      </w:r>
      <w:r>
        <w:rPr>
          <w:sz w:val="24"/>
        </w:rPr>
        <w:t>agency</w:t>
      </w:r>
      <w:r>
        <w:rPr>
          <w:spacing w:val="-8"/>
          <w:sz w:val="24"/>
        </w:rPr>
        <w:t> </w:t>
      </w:r>
      <w:r>
        <w:rPr>
          <w:sz w:val="24"/>
        </w:rPr>
        <w:t>seeks</w:t>
      </w:r>
      <w:r>
        <w:rPr>
          <w:spacing w:val="-4"/>
          <w:sz w:val="24"/>
        </w:rPr>
        <w:t> </w:t>
      </w:r>
      <w:r>
        <w:rPr>
          <w:sz w:val="24"/>
        </w:rPr>
        <w:t>validation</w:t>
      </w:r>
      <w:r>
        <w:rPr>
          <w:spacing w:val="-4"/>
          <w:sz w:val="24"/>
        </w:rPr>
        <w:t> </w:t>
      </w:r>
      <w:r>
        <w:rPr>
          <w:sz w:val="24"/>
        </w:rPr>
        <w:t>from community members to successfully implement policy.</w:t>
      </w:r>
    </w:p>
    <w:p>
      <w:pPr>
        <w:pStyle w:val="ListParagraph"/>
        <w:numPr>
          <w:ilvl w:val="1"/>
          <w:numId w:val="26"/>
        </w:numPr>
        <w:tabs>
          <w:tab w:pos="960" w:val="left" w:leader="none"/>
        </w:tabs>
        <w:spacing w:line="360" w:lineRule="auto" w:before="0" w:after="0"/>
        <w:ind w:left="960" w:right="1465" w:hanging="620"/>
        <w:jc w:val="left"/>
        <w:rPr>
          <w:sz w:val="24"/>
        </w:rPr>
      </w:pPr>
      <w:r>
        <w:rPr>
          <w:sz w:val="24"/>
        </w:rPr>
        <w:t>Community</w:t>
      </w:r>
      <w:r>
        <w:rPr>
          <w:spacing w:val="-11"/>
          <w:sz w:val="24"/>
        </w:rPr>
        <w:t> </w:t>
      </w:r>
      <w:r>
        <w:rPr>
          <w:sz w:val="24"/>
        </w:rPr>
        <w:t>representatives</w:t>
      </w:r>
      <w:r>
        <w:rPr>
          <w:spacing w:val="-3"/>
          <w:sz w:val="24"/>
        </w:rPr>
        <w:t> </w:t>
      </w:r>
      <w:r>
        <w:rPr>
          <w:sz w:val="24"/>
        </w:rPr>
        <w:t>with</w:t>
      </w:r>
      <w:r>
        <w:rPr>
          <w:spacing w:val="-3"/>
          <w:sz w:val="24"/>
        </w:rPr>
        <w:t> </w:t>
      </w:r>
      <w:r>
        <w:rPr>
          <w:sz w:val="24"/>
        </w:rPr>
        <w:t>particularly</w:t>
      </w:r>
      <w:r>
        <w:rPr>
          <w:spacing w:val="-8"/>
          <w:sz w:val="24"/>
        </w:rPr>
        <w:t> </w:t>
      </w:r>
      <w:r>
        <w:rPr>
          <w:sz w:val="24"/>
        </w:rPr>
        <w:t>strong</w:t>
      </w:r>
      <w:r>
        <w:rPr>
          <w:spacing w:val="-6"/>
          <w:sz w:val="24"/>
        </w:rPr>
        <w:t> </w:t>
      </w:r>
      <w:r>
        <w:rPr>
          <w:sz w:val="24"/>
        </w:rPr>
        <w:t>influence</w:t>
      </w:r>
      <w:r>
        <w:rPr>
          <w:spacing w:val="-4"/>
          <w:sz w:val="24"/>
        </w:rPr>
        <w:t> </w:t>
      </w:r>
      <w:r>
        <w:rPr>
          <w:sz w:val="24"/>
        </w:rPr>
        <w:t>in</w:t>
      </w:r>
      <w:r>
        <w:rPr>
          <w:spacing w:val="-3"/>
          <w:sz w:val="24"/>
        </w:rPr>
        <w:t> </w:t>
      </w:r>
      <w:r>
        <w:rPr>
          <w:sz w:val="24"/>
        </w:rPr>
        <w:t>the</w:t>
      </w:r>
      <w:r>
        <w:rPr>
          <w:spacing w:val="-4"/>
          <w:sz w:val="24"/>
        </w:rPr>
        <w:t> </w:t>
      </w:r>
      <w:r>
        <w:rPr>
          <w:sz w:val="24"/>
        </w:rPr>
        <w:t>community</w:t>
      </w:r>
      <w:r>
        <w:rPr>
          <w:spacing w:val="-8"/>
          <w:sz w:val="24"/>
        </w:rPr>
        <w:t> </w:t>
      </w:r>
      <w:r>
        <w:rPr>
          <w:sz w:val="24"/>
        </w:rPr>
        <w:t>are willing to serve as representatives.</w:t>
      </w:r>
    </w:p>
    <w:p>
      <w:pPr>
        <w:pStyle w:val="ListParagraph"/>
        <w:numPr>
          <w:ilvl w:val="1"/>
          <w:numId w:val="26"/>
        </w:numPr>
        <w:tabs>
          <w:tab w:pos="960" w:val="left" w:leader="none"/>
        </w:tabs>
        <w:spacing w:line="274" w:lineRule="exact" w:before="0" w:after="0"/>
        <w:ind w:left="960" w:right="0" w:hanging="607"/>
        <w:jc w:val="left"/>
        <w:rPr>
          <w:sz w:val="24"/>
        </w:rPr>
      </w:pPr>
      <w:r>
        <w:rPr>
          <w:sz w:val="24"/>
        </w:rPr>
        <w:t>The</w:t>
      </w:r>
      <w:r>
        <w:rPr>
          <w:spacing w:val="-3"/>
          <w:sz w:val="24"/>
        </w:rPr>
        <w:t> </w:t>
      </w:r>
      <w:r>
        <w:rPr>
          <w:sz w:val="24"/>
        </w:rPr>
        <w:t>group</w:t>
      </w:r>
      <w:r>
        <w:rPr>
          <w:spacing w:val="-1"/>
          <w:sz w:val="24"/>
        </w:rPr>
        <w:t> </w:t>
      </w:r>
      <w:r>
        <w:rPr>
          <w:sz w:val="24"/>
        </w:rPr>
        <w:t>facilitator</w:t>
      </w:r>
      <w:r>
        <w:rPr>
          <w:spacing w:val="-1"/>
          <w:sz w:val="24"/>
        </w:rPr>
        <w:t> </w:t>
      </w:r>
      <w:r>
        <w:rPr>
          <w:sz w:val="24"/>
        </w:rPr>
        <w:t>has</w:t>
      </w:r>
      <w:r>
        <w:rPr>
          <w:spacing w:val="1"/>
          <w:sz w:val="24"/>
        </w:rPr>
        <w:t> </w:t>
      </w:r>
      <w:r>
        <w:rPr>
          <w:sz w:val="24"/>
        </w:rPr>
        <w:t>credibility</w:t>
      </w:r>
      <w:r>
        <w:rPr>
          <w:spacing w:val="-6"/>
          <w:sz w:val="24"/>
        </w:rPr>
        <w:t> </w:t>
      </w:r>
      <w:r>
        <w:rPr>
          <w:sz w:val="24"/>
        </w:rPr>
        <w:t>with</w:t>
      </w:r>
      <w:r>
        <w:rPr>
          <w:spacing w:val="-1"/>
          <w:sz w:val="24"/>
        </w:rPr>
        <w:t> </w:t>
      </w:r>
      <w:r>
        <w:rPr>
          <w:sz w:val="24"/>
        </w:rPr>
        <w:t>all </w:t>
      </w:r>
      <w:r>
        <w:rPr>
          <w:spacing w:val="-2"/>
          <w:sz w:val="24"/>
        </w:rPr>
        <w:t>representatives.</w:t>
      </w:r>
    </w:p>
    <w:p>
      <w:pPr>
        <w:pStyle w:val="ListParagraph"/>
        <w:numPr>
          <w:ilvl w:val="1"/>
          <w:numId w:val="26"/>
        </w:numPr>
        <w:tabs>
          <w:tab w:pos="960" w:val="left" w:leader="none"/>
        </w:tabs>
        <w:spacing w:line="360" w:lineRule="auto" w:before="139" w:after="0"/>
        <w:ind w:left="960" w:right="977" w:hanging="540"/>
        <w:jc w:val="left"/>
        <w:rPr>
          <w:sz w:val="24"/>
        </w:rPr>
      </w:pPr>
      <w:r>
        <w:rPr>
          <w:sz w:val="24"/>
        </w:rPr>
        <w:t>The</w:t>
      </w:r>
      <w:r>
        <w:rPr>
          <w:spacing w:val="-8"/>
          <w:sz w:val="24"/>
        </w:rPr>
        <w:t> </w:t>
      </w:r>
      <w:r>
        <w:rPr>
          <w:sz w:val="24"/>
        </w:rPr>
        <w:t>issue</w:t>
      </w:r>
      <w:r>
        <w:rPr>
          <w:spacing w:val="-7"/>
          <w:sz w:val="24"/>
        </w:rPr>
        <w:t> </w:t>
      </w:r>
      <w:r>
        <w:rPr>
          <w:sz w:val="24"/>
        </w:rPr>
        <w:t>is</w:t>
      </w:r>
      <w:r>
        <w:rPr>
          <w:spacing w:val="-7"/>
          <w:sz w:val="24"/>
        </w:rPr>
        <w:t> </w:t>
      </w:r>
      <w:r>
        <w:rPr>
          <w:sz w:val="24"/>
        </w:rPr>
        <w:t>of</w:t>
      </w:r>
      <w:r>
        <w:rPr>
          <w:spacing w:val="-6"/>
          <w:sz w:val="24"/>
        </w:rPr>
        <w:t> </w:t>
      </w:r>
      <w:r>
        <w:rPr>
          <w:sz w:val="24"/>
        </w:rPr>
        <w:t>high</w:t>
      </w:r>
      <w:r>
        <w:rPr>
          <w:spacing w:val="-6"/>
          <w:sz w:val="24"/>
        </w:rPr>
        <w:t> </w:t>
      </w:r>
      <w:r>
        <w:rPr>
          <w:sz w:val="24"/>
        </w:rPr>
        <w:t>interest</w:t>
      </w:r>
      <w:r>
        <w:rPr>
          <w:spacing w:val="-6"/>
          <w:sz w:val="24"/>
        </w:rPr>
        <w:t> </w:t>
      </w:r>
      <w:r>
        <w:rPr>
          <w:sz w:val="24"/>
        </w:rPr>
        <w:t>to</w:t>
      </w:r>
      <w:r>
        <w:rPr>
          <w:spacing w:val="-6"/>
          <w:sz w:val="24"/>
        </w:rPr>
        <w:t> </w:t>
      </w:r>
      <w:r>
        <w:rPr>
          <w:sz w:val="24"/>
        </w:rPr>
        <w:t>stakeholders,</w:t>
      </w:r>
      <w:r>
        <w:rPr>
          <w:spacing w:val="-6"/>
          <w:sz w:val="24"/>
        </w:rPr>
        <w:t> </w:t>
      </w:r>
      <w:r>
        <w:rPr>
          <w:sz w:val="24"/>
        </w:rPr>
        <w:t>and</w:t>
      </w:r>
      <w:r>
        <w:rPr>
          <w:spacing w:val="-5"/>
          <w:sz w:val="24"/>
        </w:rPr>
        <w:t> </w:t>
      </w:r>
      <w:r>
        <w:rPr>
          <w:sz w:val="24"/>
        </w:rPr>
        <w:t>may</w:t>
      </w:r>
      <w:r>
        <w:rPr>
          <w:spacing w:val="-8"/>
          <w:sz w:val="24"/>
        </w:rPr>
        <w:t> </w:t>
      </w:r>
      <w:r>
        <w:rPr>
          <w:sz w:val="24"/>
        </w:rPr>
        <w:t>even</w:t>
      </w:r>
      <w:r>
        <w:rPr>
          <w:spacing w:val="-6"/>
          <w:sz w:val="24"/>
        </w:rPr>
        <w:t> </w:t>
      </w:r>
      <w:r>
        <w:rPr>
          <w:sz w:val="24"/>
        </w:rPr>
        <w:t>be</w:t>
      </w:r>
      <w:r>
        <w:rPr>
          <w:spacing w:val="-5"/>
          <w:sz w:val="24"/>
        </w:rPr>
        <w:t> </w:t>
      </w:r>
      <w:r>
        <w:rPr>
          <w:sz w:val="24"/>
        </w:rPr>
        <w:t>considered</w:t>
      </w:r>
      <w:r>
        <w:rPr>
          <w:spacing w:val="-4"/>
          <w:sz w:val="24"/>
        </w:rPr>
        <w:t> </w:t>
      </w:r>
      <w:r>
        <w:rPr>
          <w:sz w:val="24"/>
        </w:rPr>
        <w:t>at</w:t>
      </w:r>
      <w:r>
        <w:rPr>
          <w:spacing w:val="-6"/>
          <w:sz w:val="24"/>
        </w:rPr>
        <w:t> </w:t>
      </w:r>
      <w:r>
        <w:rPr>
          <w:sz w:val="24"/>
        </w:rPr>
        <w:t>‗crisis</w:t>
      </w:r>
      <w:r>
        <w:rPr>
          <w:spacing w:val="-7"/>
          <w:sz w:val="24"/>
        </w:rPr>
        <w:t> </w:t>
      </w:r>
      <w:r>
        <w:rPr>
          <w:sz w:val="24"/>
        </w:rPr>
        <w:t>stage‘ if actions are not changed.</w:t>
      </w:r>
    </w:p>
    <w:p>
      <w:pPr>
        <w:pStyle w:val="BodyText"/>
        <w:spacing w:before="96"/>
      </w:pPr>
    </w:p>
    <w:p>
      <w:pPr>
        <w:pStyle w:val="BodyText"/>
        <w:spacing w:line="360" w:lineRule="auto"/>
        <w:ind w:left="240" w:right="922"/>
        <w:jc w:val="both"/>
      </w:pPr>
      <w:r>
        <w:rPr/>
        <w:t>Cogan</w:t>
      </w:r>
      <w:r>
        <w:rPr>
          <w:spacing w:val="-3"/>
        </w:rPr>
        <w:t> </w:t>
      </w:r>
      <w:r>
        <w:rPr/>
        <w:t>and</w:t>
      </w:r>
      <w:r>
        <w:rPr>
          <w:spacing w:val="-3"/>
        </w:rPr>
        <w:t> </w:t>
      </w:r>
      <w:r>
        <w:rPr/>
        <w:t>Sharpe</w:t>
      </w:r>
      <w:r>
        <w:rPr>
          <w:spacing w:val="-3"/>
        </w:rPr>
        <w:t> </w:t>
      </w:r>
      <w:r>
        <w:rPr/>
        <w:t>(1986)</w:t>
      </w:r>
      <w:r>
        <w:rPr>
          <w:spacing w:val="-2"/>
        </w:rPr>
        <w:t> </w:t>
      </w:r>
      <w:r>
        <w:rPr/>
        <w:t>also</w:t>
      </w:r>
      <w:r>
        <w:rPr>
          <w:spacing w:val="-3"/>
        </w:rPr>
        <w:t> </w:t>
      </w:r>
      <w:r>
        <w:rPr/>
        <w:t>suggest</w:t>
      </w:r>
      <w:r>
        <w:rPr>
          <w:spacing w:val="-3"/>
        </w:rPr>
        <w:t> </w:t>
      </w:r>
      <w:r>
        <w:rPr/>
        <w:t>that</w:t>
      </w:r>
      <w:r>
        <w:rPr>
          <w:spacing w:val="-3"/>
        </w:rPr>
        <w:t> </w:t>
      </w:r>
      <w:r>
        <w:rPr/>
        <w:t>citizen</w:t>
      </w:r>
      <w:r>
        <w:rPr>
          <w:spacing w:val="-3"/>
        </w:rPr>
        <w:t> </w:t>
      </w:r>
      <w:r>
        <w:rPr/>
        <w:t>participation</w:t>
      </w:r>
      <w:r>
        <w:rPr>
          <w:spacing w:val="-3"/>
        </w:rPr>
        <w:t> </w:t>
      </w:r>
      <w:r>
        <w:rPr/>
        <w:t>programs</w:t>
      </w:r>
      <w:r>
        <w:rPr>
          <w:spacing w:val="-1"/>
        </w:rPr>
        <w:t> </w:t>
      </w:r>
      <w:r>
        <w:rPr/>
        <w:t>can</w:t>
      </w:r>
      <w:r>
        <w:rPr>
          <w:spacing w:val="-3"/>
        </w:rPr>
        <w:t> </w:t>
      </w:r>
      <w:r>
        <w:rPr/>
        <w:t>make</w:t>
      </w:r>
      <w:r>
        <w:rPr>
          <w:spacing w:val="-5"/>
        </w:rPr>
        <w:t> </w:t>
      </w:r>
      <w:r>
        <w:rPr/>
        <w:t>the</w:t>
      </w:r>
      <w:r>
        <w:rPr>
          <w:spacing w:val="-4"/>
        </w:rPr>
        <w:t> </w:t>
      </w:r>
      <w:r>
        <w:rPr/>
        <w:t>planning process and planners more effective by:</w:t>
      </w:r>
    </w:p>
    <w:p>
      <w:pPr>
        <w:pStyle w:val="ListParagraph"/>
        <w:numPr>
          <w:ilvl w:val="2"/>
          <w:numId w:val="26"/>
        </w:numPr>
        <w:tabs>
          <w:tab w:pos="959" w:val="left" w:leader="none"/>
        </w:tabs>
        <w:spacing w:line="240" w:lineRule="auto" w:before="0" w:after="0"/>
        <w:ind w:left="959" w:right="0" w:hanging="359"/>
        <w:jc w:val="left"/>
        <w:rPr>
          <w:sz w:val="24"/>
        </w:rPr>
      </w:pPr>
      <w:r>
        <w:rPr>
          <w:sz w:val="24"/>
        </w:rPr>
        <w:t>Reducing</w:t>
      </w:r>
      <w:r>
        <w:rPr>
          <w:spacing w:val="-3"/>
          <w:sz w:val="24"/>
        </w:rPr>
        <w:t> </w:t>
      </w:r>
      <w:r>
        <w:rPr>
          <w:sz w:val="24"/>
        </w:rPr>
        <w:t>isolation</w:t>
      </w:r>
      <w:r>
        <w:rPr>
          <w:spacing w:val="-1"/>
          <w:sz w:val="24"/>
        </w:rPr>
        <w:t> </w:t>
      </w:r>
      <w:r>
        <w:rPr>
          <w:sz w:val="24"/>
        </w:rPr>
        <w:t>of</w:t>
      </w:r>
      <w:r>
        <w:rPr>
          <w:spacing w:val="-2"/>
          <w:sz w:val="24"/>
        </w:rPr>
        <w:t> </w:t>
      </w:r>
      <w:r>
        <w:rPr>
          <w:sz w:val="24"/>
        </w:rPr>
        <w:t>the planner</w:t>
      </w:r>
      <w:r>
        <w:rPr>
          <w:spacing w:val="-1"/>
          <w:sz w:val="24"/>
        </w:rPr>
        <w:t> </w:t>
      </w:r>
      <w:r>
        <w:rPr>
          <w:sz w:val="24"/>
        </w:rPr>
        <w:t>from</w:t>
      </w:r>
      <w:r>
        <w:rPr>
          <w:spacing w:val="-1"/>
          <w:sz w:val="24"/>
        </w:rPr>
        <w:t> </w:t>
      </w:r>
      <w:r>
        <w:rPr>
          <w:sz w:val="24"/>
        </w:rPr>
        <w:t>the</w:t>
      </w:r>
      <w:r>
        <w:rPr>
          <w:spacing w:val="-1"/>
          <w:sz w:val="24"/>
        </w:rPr>
        <w:t> </w:t>
      </w:r>
      <w:r>
        <w:rPr>
          <w:spacing w:val="-2"/>
          <w:sz w:val="24"/>
        </w:rPr>
        <w:t>public;</w:t>
      </w:r>
    </w:p>
    <w:p>
      <w:pPr>
        <w:pStyle w:val="ListParagraph"/>
        <w:numPr>
          <w:ilvl w:val="2"/>
          <w:numId w:val="26"/>
        </w:numPr>
        <w:tabs>
          <w:tab w:pos="959" w:val="left" w:leader="none"/>
        </w:tabs>
        <w:spacing w:line="240" w:lineRule="auto" w:before="140" w:after="0"/>
        <w:ind w:left="959" w:right="0" w:hanging="359"/>
        <w:jc w:val="left"/>
        <w:rPr>
          <w:sz w:val="24"/>
        </w:rPr>
      </w:pPr>
      <w:r>
        <w:rPr>
          <w:sz w:val="24"/>
        </w:rPr>
        <w:t>Generating</w:t>
      </w:r>
      <w:r>
        <w:rPr>
          <w:spacing w:val="-3"/>
          <w:sz w:val="24"/>
        </w:rPr>
        <w:t> </w:t>
      </w:r>
      <w:r>
        <w:rPr>
          <w:sz w:val="24"/>
        </w:rPr>
        <w:t>a</w:t>
      </w:r>
      <w:r>
        <w:rPr>
          <w:spacing w:val="-2"/>
          <w:sz w:val="24"/>
        </w:rPr>
        <w:t> </w:t>
      </w:r>
      <w:r>
        <w:rPr>
          <w:sz w:val="24"/>
        </w:rPr>
        <w:t>spirit</w:t>
      </w:r>
      <w:r>
        <w:rPr>
          <w:spacing w:val="-1"/>
          <w:sz w:val="24"/>
        </w:rPr>
        <w:t> </w:t>
      </w:r>
      <w:r>
        <w:rPr>
          <w:sz w:val="24"/>
        </w:rPr>
        <w:t>of</w:t>
      </w:r>
      <w:r>
        <w:rPr>
          <w:spacing w:val="-1"/>
          <w:sz w:val="24"/>
        </w:rPr>
        <w:t> </w:t>
      </w:r>
      <w:r>
        <w:rPr>
          <w:sz w:val="24"/>
        </w:rPr>
        <w:t>cooperation</w:t>
      </w:r>
      <w:r>
        <w:rPr>
          <w:spacing w:val="-1"/>
          <w:sz w:val="24"/>
        </w:rPr>
        <w:t> </w:t>
      </w:r>
      <w:r>
        <w:rPr>
          <w:sz w:val="24"/>
        </w:rPr>
        <w:t>and</w:t>
      </w:r>
      <w:r>
        <w:rPr>
          <w:spacing w:val="-1"/>
          <w:sz w:val="24"/>
        </w:rPr>
        <w:t> </w:t>
      </w:r>
      <w:r>
        <w:rPr>
          <w:spacing w:val="-2"/>
          <w:sz w:val="24"/>
        </w:rPr>
        <w:t>trust;</w:t>
      </w:r>
    </w:p>
    <w:p>
      <w:pPr>
        <w:pStyle w:val="ListParagraph"/>
        <w:numPr>
          <w:ilvl w:val="2"/>
          <w:numId w:val="26"/>
        </w:numPr>
        <w:tabs>
          <w:tab w:pos="959" w:val="left" w:leader="none"/>
        </w:tabs>
        <w:spacing w:line="240" w:lineRule="auto" w:before="137" w:after="0"/>
        <w:ind w:left="959" w:right="0" w:hanging="359"/>
        <w:jc w:val="left"/>
        <w:rPr>
          <w:sz w:val="24"/>
        </w:rPr>
      </w:pPr>
      <w:r>
        <w:rPr>
          <w:sz w:val="24"/>
        </w:rPr>
        <w:t>Providing</w:t>
      </w:r>
      <w:r>
        <w:rPr>
          <w:spacing w:val="-4"/>
          <w:sz w:val="24"/>
        </w:rPr>
        <w:t> </w:t>
      </w:r>
      <w:r>
        <w:rPr>
          <w:sz w:val="24"/>
        </w:rPr>
        <w:t>opportunities</w:t>
      </w:r>
      <w:r>
        <w:rPr>
          <w:spacing w:val="-1"/>
          <w:sz w:val="24"/>
        </w:rPr>
        <w:t> </w:t>
      </w:r>
      <w:r>
        <w:rPr>
          <w:sz w:val="24"/>
        </w:rPr>
        <w:t>to</w:t>
      </w:r>
      <w:r>
        <w:rPr>
          <w:spacing w:val="-1"/>
          <w:sz w:val="24"/>
        </w:rPr>
        <w:t> </w:t>
      </w:r>
      <w:r>
        <w:rPr>
          <w:sz w:val="24"/>
        </w:rPr>
        <w:t>disseminate</w:t>
      </w:r>
      <w:r>
        <w:rPr>
          <w:spacing w:val="-1"/>
          <w:sz w:val="24"/>
        </w:rPr>
        <w:t> </w:t>
      </w:r>
      <w:r>
        <w:rPr>
          <w:spacing w:val="-2"/>
          <w:sz w:val="24"/>
        </w:rPr>
        <w:t>information;</w:t>
      </w:r>
    </w:p>
    <w:p>
      <w:pPr>
        <w:pStyle w:val="ListParagraph"/>
        <w:numPr>
          <w:ilvl w:val="2"/>
          <w:numId w:val="26"/>
        </w:numPr>
        <w:tabs>
          <w:tab w:pos="959" w:val="left" w:leader="none"/>
        </w:tabs>
        <w:spacing w:line="240" w:lineRule="auto" w:before="139" w:after="0"/>
        <w:ind w:left="959" w:right="0" w:hanging="359"/>
        <w:jc w:val="left"/>
        <w:rPr>
          <w:sz w:val="24"/>
        </w:rPr>
      </w:pPr>
      <w:r>
        <w:rPr>
          <w:sz w:val="24"/>
        </w:rPr>
        <w:t>Identifying</w:t>
      </w:r>
      <w:r>
        <w:rPr>
          <w:spacing w:val="-3"/>
          <w:sz w:val="24"/>
        </w:rPr>
        <w:t> </w:t>
      </w:r>
      <w:r>
        <w:rPr>
          <w:sz w:val="24"/>
        </w:rPr>
        <w:t>additional</w:t>
      </w:r>
      <w:r>
        <w:rPr>
          <w:spacing w:val="-1"/>
          <w:sz w:val="24"/>
        </w:rPr>
        <w:t> </w:t>
      </w:r>
      <w:r>
        <w:rPr>
          <w:sz w:val="24"/>
        </w:rPr>
        <w:t>dimensions</w:t>
      </w:r>
      <w:r>
        <w:rPr>
          <w:spacing w:val="-2"/>
          <w:sz w:val="24"/>
        </w:rPr>
        <w:t> </w:t>
      </w:r>
      <w:r>
        <w:rPr>
          <w:sz w:val="24"/>
        </w:rPr>
        <w:t>of</w:t>
      </w:r>
      <w:r>
        <w:rPr>
          <w:spacing w:val="-1"/>
          <w:sz w:val="24"/>
        </w:rPr>
        <w:t> </w:t>
      </w:r>
      <w:r>
        <w:rPr>
          <w:sz w:val="24"/>
        </w:rPr>
        <w:t>inquiry</w:t>
      </w:r>
      <w:r>
        <w:rPr>
          <w:spacing w:val="-6"/>
          <w:sz w:val="24"/>
        </w:rPr>
        <w:t> </w:t>
      </w:r>
      <w:r>
        <w:rPr>
          <w:sz w:val="24"/>
        </w:rPr>
        <w:t>and</w:t>
      </w:r>
      <w:r>
        <w:rPr>
          <w:spacing w:val="1"/>
          <w:sz w:val="24"/>
        </w:rPr>
        <w:t> </w:t>
      </w:r>
      <w:r>
        <w:rPr>
          <w:spacing w:val="-2"/>
          <w:sz w:val="24"/>
        </w:rPr>
        <w:t>research;</w:t>
      </w:r>
    </w:p>
    <w:p>
      <w:pPr>
        <w:pStyle w:val="ListParagraph"/>
        <w:numPr>
          <w:ilvl w:val="2"/>
          <w:numId w:val="26"/>
        </w:numPr>
        <w:tabs>
          <w:tab w:pos="959" w:val="left" w:leader="none"/>
        </w:tabs>
        <w:spacing w:line="240" w:lineRule="auto" w:before="137" w:after="0"/>
        <w:ind w:left="959" w:right="0" w:hanging="359"/>
        <w:jc w:val="left"/>
        <w:rPr>
          <w:sz w:val="24"/>
        </w:rPr>
      </w:pPr>
      <w:r>
        <w:rPr>
          <w:sz w:val="24"/>
        </w:rPr>
        <w:t>Assisting</w:t>
      </w:r>
      <w:r>
        <w:rPr>
          <w:spacing w:val="-7"/>
          <w:sz w:val="24"/>
        </w:rPr>
        <w:t> </w:t>
      </w:r>
      <w:r>
        <w:rPr>
          <w:sz w:val="24"/>
        </w:rPr>
        <w:t>in</w:t>
      </w:r>
      <w:r>
        <w:rPr>
          <w:spacing w:val="-1"/>
          <w:sz w:val="24"/>
        </w:rPr>
        <w:t> </w:t>
      </w:r>
      <w:r>
        <w:rPr>
          <w:sz w:val="24"/>
        </w:rPr>
        <w:t>identifying</w:t>
      </w:r>
      <w:r>
        <w:rPr>
          <w:spacing w:val="-4"/>
          <w:sz w:val="24"/>
        </w:rPr>
        <w:t> </w:t>
      </w:r>
      <w:r>
        <w:rPr>
          <w:sz w:val="24"/>
        </w:rPr>
        <w:t>alternative</w:t>
      </w:r>
      <w:r>
        <w:rPr>
          <w:spacing w:val="-2"/>
          <w:sz w:val="24"/>
        </w:rPr>
        <w:t> solutions;</w:t>
      </w:r>
    </w:p>
    <w:p>
      <w:pPr>
        <w:pStyle w:val="ListParagraph"/>
        <w:numPr>
          <w:ilvl w:val="2"/>
          <w:numId w:val="26"/>
        </w:numPr>
        <w:tabs>
          <w:tab w:pos="958" w:val="left" w:leader="none"/>
        </w:tabs>
        <w:spacing w:line="240" w:lineRule="auto" w:before="139" w:after="0"/>
        <w:ind w:left="958" w:right="0" w:hanging="358"/>
        <w:jc w:val="left"/>
        <w:rPr>
          <w:sz w:val="24"/>
        </w:rPr>
      </w:pPr>
      <w:r>
        <w:rPr>
          <w:sz w:val="24"/>
        </w:rPr>
        <w:t>Providing</w:t>
      </w:r>
      <w:r>
        <w:rPr>
          <w:spacing w:val="-4"/>
          <w:sz w:val="24"/>
        </w:rPr>
        <w:t> </w:t>
      </w:r>
      <w:r>
        <w:rPr>
          <w:sz w:val="24"/>
        </w:rPr>
        <w:t>legitimacy</w:t>
      </w:r>
      <w:r>
        <w:rPr>
          <w:spacing w:val="-6"/>
          <w:sz w:val="24"/>
        </w:rPr>
        <w:t> </w:t>
      </w:r>
      <w:r>
        <w:rPr>
          <w:sz w:val="24"/>
        </w:rPr>
        <w:t>to the</w:t>
      </w:r>
      <w:r>
        <w:rPr>
          <w:spacing w:val="-2"/>
          <w:sz w:val="24"/>
        </w:rPr>
        <w:t> </w:t>
      </w:r>
      <w:r>
        <w:rPr>
          <w:sz w:val="24"/>
        </w:rPr>
        <w:t>planning</w:t>
      </w:r>
      <w:r>
        <w:rPr>
          <w:spacing w:val="-1"/>
          <w:sz w:val="24"/>
        </w:rPr>
        <w:t> </w:t>
      </w:r>
      <w:r>
        <w:rPr>
          <w:sz w:val="24"/>
        </w:rPr>
        <w:t>effort</w:t>
      </w:r>
      <w:r>
        <w:rPr>
          <w:spacing w:val="-1"/>
          <w:sz w:val="24"/>
        </w:rPr>
        <w:t> </w:t>
      </w:r>
      <w:r>
        <w:rPr>
          <w:sz w:val="24"/>
        </w:rPr>
        <w:t>and</w:t>
      </w:r>
      <w:r>
        <w:rPr>
          <w:spacing w:val="-1"/>
          <w:sz w:val="24"/>
        </w:rPr>
        <w:t> </w:t>
      </w:r>
      <w:r>
        <w:rPr>
          <w:sz w:val="24"/>
        </w:rPr>
        <w:t>political credibility</w:t>
      </w:r>
      <w:r>
        <w:rPr>
          <w:spacing w:val="-6"/>
          <w:sz w:val="24"/>
        </w:rPr>
        <w:t> </w:t>
      </w:r>
      <w:r>
        <w:rPr>
          <w:sz w:val="24"/>
        </w:rPr>
        <w:t>of the</w:t>
      </w:r>
      <w:r>
        <w:rPr>
          <w:spacing w:val="-1"/>
          <w:sz w:val="24"/>
        </w:rPr>
        <w:t> </w:t>
      </w:r>
      <w:r>
        <w:rPr>
          <w:sz w:val="24"/>
        </w:rPr>
        <w:t>agency; </w:t>
      </w:r>
      <w:r>
        <w:rPr>
          <w:spacing w:val="-5"/>
          <w:sz w:val="24"/>
        </w:rPr>
        <w:t>and</w:t>
      </w:r>
    </w:p>
    <w:p>
      <w:pPr>
        <w:pStyle w:val="ListParagraph"/>
        <w:numPr>
          <w:ilvl w:val="2"/>
          <w:numId w:val="26"/>
        </w:numPr>
        <w:tabs>
          <w:tab w:pos="958" w:val="left" w:leader="none"/>
        </w:tabs>
        <w:spacing w:line="240" w:lineRule="auto" w:before="137" w:after="0"/>
        <w:ind w:left="958" w:right="0" w:hanging="358"/>
        <w:jc w:val="left"/>
        <w:rPr>
          <w:sz w:val="24"/>
        </w:rPr>
      </w:pPr>
      <w:r>
        <w:rPr>
          <w:sz w:val="24"/>
        </w:rPr>
        <w:t>Increasing</w:t>
      </w:r>
      <w:r>
        <w:rPr>
          <w:spacing w:val="-3"/>
          <w:sz w:val="24"/>
        </w:rPr>
        <w:t> </w:t>
      </w:r>
      <w:r>
        <w:rPr>
          <w:sz w:val="24"/>
        </w:rPr>
        <w:t>public</w:t>
      </w:r>
      <w:r>
        <w:rPr>
          <w:spacing w:val="-2"/>
          <w:sz w:val="24"/>
        </w:rPr>
        <w:t> support.</w:t>
      </w:r>
    </w:p>
    <w:p>
      <w:pPr>
        <w:pStyle w:val="BodyText"/>
        <w:spacing w:before="139"/>
      </w:pPr>
    </w:p>
    <w:p>
      <w:pPr>
        <w:pStyle w:val="BodyText"/>
        <w:spacing w:line="360" w:lineRule="auto"/>
        <w:ind w:left="240" w:right="836"/>
        <w:jc w:val="both"/>
      </w:pPr>
      <w:r>
        <w:rPr/>
        <w:t>Well-planned citizen involvement programs relate the expectations of both the citizens and the planner. Arnstein's "ladder of citizen participation" (see Figure 9) can assist the planner in determining his or her perceptions of a program's purpose and compare this with the anticipated perceptions of citizen participants. In successful citizen involvement programs, the disparity between the planner's and the participant's expectations in minimal. If expectations are different, conflict is probable. This conflict is damaging to the planning process (as well as the agency's reputation), and to the relationship between the participants and the planner. Often, it is</w:t>
      </w:r>
      <w:r>
        <w:rPr>
          <w:spacing w:val="40"/>
        </w:rPr>
        <w:t> </w:t>
      </w:r>
      <w:r>
        <w:rPr/>
        <w:t>avoidable because its source is in conflicting expectations rather than conflicting demands (Cogan, </w:t>
      </w:r>
      <w:r>
        <w:rPr>
          <w:i/>
        </w:rPr>
        <w:t>et al</w:t>
      </w:r>
      <w:r>
        <w:rPr/>
        <w:t>., 1986).</w:t>
      </w:r>
    </w:p>
    <w:p>
      <w:pPr>
        <w:spacing w:after="0" w:line="360" w:lineRule="auto"/>
        <w:jc w:val="both"/>
        <w:sectPr>
          <w:pgSz w:w="12240" w:h="15840"/>
          <w:pgMar w:header="0" w:footer="1036" w:top="1360" w:bottom="1220" w:left="1200" w:right="600"/>
        </w:sectPr>
      </w:pPr>
    </w:p>
    <w:p>
      <w:pPr>
        <w:pStyle w:val="Heading4"/>
        <w:numPr>
          <w:ilvl w:val="2"/>
          <w:numId w:val="7"/>
        </w:numPr>
        <w:tabs>
          <w:tab w:pos="899" w:val="left" w:leader="none"/>
        </w:tabs>
        <w:spacing w:line="240" w:lineRule="auto" w:before="76" w:after="0"/>
        <w:ind w:left="899" w:right="0" w:hanging="659"/>
        <w:jc w:val="both"/>
      </w:pPr>
      <w:r>
        <w:rPr/>
        <w:t>The</w:t>
      </w:r>
      <w:r>
        <w:rPr>
          <w:spacing w:val="-3"/>
        </w:rPr>
        <w:t> </w:t>
      </w:r>
      <w:r>
        <w:rPr/>
        <w:t>Ladder</w:t>
      </w:r>
      <w:r>
        <w:rPr>
          <w:spacing w:val="-2"/>
        </w:rPr>
        <w:t> </w:t>
      </w:r>
      <w:r>
        <w:rPr/>
        <w:t>of</w:t>
      </w:r>
      <w:r>
        <w:rPr>
          <w:spacing w:val="-1"/>
        </w:rPr>
        <w:t> </w:t>
      </w:r>
      <w:r>
        <w:rPr/>
        <w:t>Citizen</w:t>
      </w:r>
      <w:r>
        <w:rPr>
          <w:spacing w:val="1"/>
        </w:rPr>
        <w:t> </w:t>
      </w:r>
      <w:r>
        <w:rPr>
          <w:spacing w:val="-2"/>
        </w:rPr>
        <w:t>Participation</w:t>
      </w:r>
    </w:p>
    <w:p>
      <w:pPr>
        <w:pStyle w:val="BodyText"/>
        <w:spacing w:line="360" w:lineRule="auto" w:before="118"/>
        <w:ind w:left="240" w:right="839"/>
        <w:jc w:val="both"/>
      </w:pPr>
      <w:r>
        <w:rPr/>
        <w:t>The</w:t>
      </w:r>
      <w:r>
        <w:rPr>
          <w:spacing w:val="-9"/>
        </w:rPr>
        <w:t> </w:t>
      </w:r>
      <w:r>
        <w:rPr/>
        <w:t>―ladder</w:t>
      </w:r>
      <w:r>
        <w:rPr>
          <w:spacing w:val="-9"/>
        </w:rPr>
        <w:t> </w:t>
      </w:r>
      <w:r>
        <w:rPr/>
        <w:t>of</w:t>
      </w:r>
      <w:r>
        <w:rPr>
          <w:spacing w:val="-9"/>
        </w:rPr>
        <w:t> </w:t>
      </w:r>
      <w:r>
        <w:rPr/>
        <w:t>citizen</w:t>
      </w:r>
      <w:r>
        <w:rPr>
          <w:spacing w:val="-8"/>
        </w:rPr>
        <w:t> </w:t>
      </w:r>
      <w:r>
        <w:rPr/>
        <w:t>participation‖</w:t>
      </w:r>
      <w:r>
        <w:rPr>
          <w:spacing w:val="-9"/>
        </w:rPr>
        <w:t> </w:t>
      </w:r>
      <w:r>
        <w:rPr/>
        <w:t>was</w:t>
      </w:r>
      <w:r>
        <w:rPr>
          <w:spacing w:val="-8"/>
        </w:rPr>
        <w:t> </w:t>
      </w:r>
      <w:r>
        <w:rPr/>
        <w:t>first</w:t>
      </w:r>
      <w:r>
        <w:rPr>
          <w:spacing w:val="-5"/>
        </w:rPr>
        <w:t> </w:t>
      </w:r>
      <w:r>
        <w:rPr/>
        <w:t>described</w:t>
      </w:r>
      <w:r>
        <w:rPr>
          <w:spacing w:val="-8"/>
        </w:rPr>
        <w:t> </w:t>
      </w:r>
      <w:r>
        <w:rPr/>
        <w:t>by</w:t>
      </w:r>
      <w:r>
        <w:rPr>
          <w:spacing w:val="-12"/>
        </w:rPr>
        <w:t> </w:t>
      </w:r>
      <w:r>
        <w:rPr/>
        <w:t>Arnstein</w:t>
      </w:r>
      <w:r>
        <w:rPr>
          <w:spacing w:val="-6"/>
        </w:rPr>
        <w:t> </w:t>
      </w:r>
      <w:r>
        <w:rPr/>
        <w:t>(1969).</w:t>
      </w:r>
      <w:r>
        <w:rPr>
          <w:spacing w:val="-9"/>
        </w:rPr>
        <w:t> </w:t>
      </w:r>
      <w:r>
        <w:rPr/>
        <w:t>This</w:t>
      </w:r>
      <w:r>
        <w:rPr>
          <w:spacing w:val="-8"/>
        </w:rPr>
        <w:t> </w:t>
      </w:r>
      <w:r>
        <w:rPr/>
        <w:t>theory</w:t>
      </w:r>
      <w:r>
        <w:rPr>
          <w:spacing w:val="-12"/>
        </w:rPr>
        <w:t> </w:t>
      </w:r>
      <w:r>
        <w:rPr/>
        <w:t>provides an overview of the different ways the public can be involved in decision making. It describes eight levels of participation, which are divided into three main categories. Even though it was first published over 40 years ago, planners, architects, politicians, power holders and many</w:t>
      </w:r>
      <w:r>
        <w:rPr>
          <w:spacing w:val="40"/>
        </w:rPr>
        <w:t> </w:t>
      </w:r>
      <w:r>
        <w:rPr/>
        <w:t>others</w:t>
      </w:r>
      <w:r>
        <w:rPr>
          <w:spacing w:val="-2"/>
        </w:rPr>
        <w:t> </w:t>
      </w:r>
      <w:r>
        <w:rPr/>
        <w:t>still</w:t>
      </w:r>
      <w:r>
        <w:rPr>
          <w:spacing w:val="-2"/>
        </w:rPr>
        <w:t> </w:t>
      </w:r>
      <w:r>
        <w:rPr/>
        <w:t>acknowledge</w:t>
      </w:r>
      <w:r>
        <w:rPr>
          <w:spacing w:val="-1"/>
        </w:rPr>
        <w:t> </w:t>
      </w:r>
      <w:r>
        <w:rPr/>
        <w:t>these</w:t>
      </w:r>
      <w:r>
        <w:rPr>
          <w:spacing w:val="-4"/>
        </w:rPr>
        <w:t> </w:t>
      </w:r>
      <w:r>
        <w:rPr/>
        <w:t>different</w:t>
      </w:r>
      <w:r>
        <w:rPr>
          <w:spacing w:val="-2"/>
        </w:rPr>
        <w:t> </w:t>
      </w:r>
      <w:r>
        <w:rPr/>
        <w:t>levels</w:t>
      </w:r>
      <w:r>
        <w:rPr>
          <w:spacing w:val="-2"/>
        </w:rPr>
        <w:t> </w:t>
      </w:r>
      <w:r>
        <w:rPr/>
        <w:t>of</w:t>
      </w:r>
      <w:r>
        <w:rPr>
          <w:spacing w:val="-3"/>
        </w:rPr>
        <w:t> </w:t>
      </w:r>
      <w:r>
        <w:rPr/>
        <w:t>participation.</w:t>
      </w:r>
      <w:r>
        <w:rPr>
          <w:spacing w:val="-2"/>
        </w:rPr>
        <w:t> </w:t>
      </w:r>
      <w:r>
        <w:rPr/>
        <w:t>These</w:t>
      </w:r>
      <w:r>
        <w:rPr>
          <w:spacing w:val="-3"/>
        </w:rPr>
        <w:t> </w:t>
      </w:r>
      <w:r>
        <w:rPr/>
        <w:t>levels can</w:t>
      </w:r>
      <w:r>
        <w:rPr>
          <w:spacing w:val="-2"/>
        </w:rPr>
        <w:t> </w:t>
      </w:r>
      <w:r>
        <w:rPr/>
        <w:t>be</w:t>
      </w:r>
      <w:r>
        <w:rPr>
          <w:spacing w:val="-3"/>
        </w:rPr>
        <w:t> </w:t>
      </w:r>
      <w:r>
        <w:rPr/>
        <w:t>represented</w:t>
      </w:r>
      <w:r>
        <w:rPr>
          <w:spacing w:val="-3"/>
        </w:rPr>
        <w:t> </w:t>
      </w:r>
      <w:r>
        <w:rPr/>
        <w:t>as a ladder, as shown in Figure 2.6.</w:t>
      </w:r>
    </w:p>
    <w:p>
      <w:pPr>
        <w:pStyle w:val="BodyText"/>
        <w:rPr>
          <w:sz w:val="20"/>
        </w:rPr>
      </w:pPr>
    </w:p>
    <w:p>
      <w:pPr>
        <w:pStyle w:val="BodyText"/>
        <w:spacing w:before="141"/>
        <w:rPr>
          <w:sz w:val="20"/>
        </w:rPr>
      </w:pPr>
      <w:r>
        <w:rPr/>
        <w:drawing>
          <wp:anchor distT="0" distB="0" distL="0" distR="0" allowOverlap="1" layoutInCell="1" locked="0" behindDoc="1" simplePos="0" relativeHeight="487591424">
            <wp:simplePos x="0" y="0"/>
            <wp:positionH relativeFrom="page">
              <wp:posOffset>1129984</wp:posOffset>
            </wp:positionH>
            <wp:positionV relativeFrom="paragraph">
              <wp:posOffset>251298</wp:posOffset>
            </wp:positionV>
            <wp:extent cx="2646223" cy="3135249"/>
            <wp:effectExtent l="0" t="0" r="0" b="0"/>
            <wp:wrapTopAndBottom/>
            <wp:docPr id="86" name="Image 86" descr="Eight rungs on the ladder of citizen participation"/>
            <wp:cNvGraphicFramePr>
              <a:graphicFrameLocks/>
            </wp:cNvGraphicFramePr>
            <a:graphic>
              <a:graphicData uri="http://schemas.openxmlformats.org/drawingml/2006/picture">
                <pic:pic>
                  <pic:nvPicPr>
                    <pic:cNvPr id="86" name="Image 86" descr="Eight rungs on the ladder of citizen participation"/>
                    <pic:cNvPicPr/>
                  </pic:nvPicPr>
                  <pic:blipFill>
                    <a:blip r:embed="rId29" cstate="print"/>
                    <a:stretch>
                      <a:fillRect/>
                    </a:stretch>
                  </pic:blipFill>
                  <pic:spPr>
                    <a:xfrm>
                      <a:off x="0" y="0"/>
                      <a:ext cx="2646223" cy="3135249"/>
                    </a:xfrm>
                    <a:prstGeom prst="rect">
                      <a:avLst/>
                    </a:prstGeom>
                  </pic:spPr>
                </pic:pic>
              </a:graphicData>
            </a:graphic>
          </wp:anchor>
        </w:drawing>
      </w:r>
    </w:p>
    <w:p>
      <w:pPr>
        <w:pStyle w:val="BodyText"/>
      </w:pPr>
    </w:p>
    <w:p>
      <w:pPr>
        <w:pStyle w:val="BodyText"/>
        <w:spacing w:before="78"/>
      </w:pPr>
    </w:p>
    <w:p>
      <w:pPr>
        <w:pStyle w:val="BodyText"/>
        <w:spacing w:before="1"/>
        <w:ind w:left="240"/>
        <w:jc w:val="both"/>
      </w:pPr>
      <w:r>
        <w:rPr>
          <w:b/>
        </w:rPr>
        <w:t>Figure</w:t>
      </w:r>
      <w:r>
        <w:rPr>
          <w:b/>
          <w:spacing w:val="-3"/>
        </w:rPr>
        <w:t> </w:t>
      </w:r>
      <w:r>
        <w:rPr>
          <w:b/>
        </w:rPr>
        <w:t>2.6:</w:t>
      </w:r>
      <w:r>
        <w:rPr>
          <w:b/>
          <w:spacing w:val="-3"/>
        </w:rPr>
        <w:t> </w:t>
      </w:r>
      <w:r>
        <w:rPr/>
        <w:t>The</w:t>
      </w:r>
      <w:r>
        <w:rPr>
          <w:spacing w:val="-1"/>
        </w:rPr>
        <w:t> </w:t>
      </w:r>
      <w:r>
        <w:rPr/>
        <w:t>Ladder</w:t>
      </w:r>
      <w:r>
        <w:rPr>
          <w:spacing w:val="-1"/>
        </w:rPr>
        <w:t> </w:t>
      </w:r>
      <w:r>
        <w:rPr/>
        <w:t>of</w:t>
      </w:r>
      <w:r>
        <w:rPr>
          <w:spacing w:val="-3"/>
        </w:rPr>
        <w:t> </w:t>
      </w:r>
      <w:r>
        <w:rPr/>
        <w:t>Citizen</w:t>
      </w:r>
      <w:r>
        <w:rPr>
          <w:spacing w:val="1"/>
        </w:rPr>
        <w:t> </w:t>
      </w:r>
      <w:r>
        <w:rPr/>
        <w:t>Participation</w:t>
      </w:r>
      <w:r>
        <w:rPr>
          <w:spacing w:val="-2"/>
        </w:rPr>
        <w:t> </w:t>
      </w:r>
      <w:r>
        <w:rPr/>
        <w:t>(Arnstein,</w:t>
      </w:r>
      <w:r>
        <w:rPr>
          <w:spacing w:val="-1"/>
        </w:rPr>
        <w:t> </w:t>
      </w:r>
      <w:r>
        <w:rPr>
          <w:spacing w:val="-2"/>
        </w:rPr>
        <w:t>1969)</w:t>
      </w:r>
    </w:p>
    <w:p>
      <w:pPr>
        <w:pStyle w:val="BodyText"/>
        <w:spacing w:before="141"/>
      </w:pPr>
    </w:p>
    <w:p>
      <w:pPr>
        <w:pStyle w:val="BodyText"/>
        <w:spacing w:line="360" w:lineRule="auto"/>
        <w:ind w:left="240" w:right="833"/>
        <w:jc w:val="both"/>
      </w:pPr>
      <w:r>
        <w:rPr/>
        <w:t>Arnstein(1969) categorizes the first two levels in her ladder of citizen participation as </w:t>
      </w:r>
      <w:r>
        <w:rPr>
          <w:i/>
        </w:rPr>
        <w:t>non- participation</w:t>
      </w:r>
      <w:r>
        <w:rPr/>
        <w:t>, this is where the public is not directly involved and may be manipulated into thinking</w:t>
      </w:r>
      <w:r>
        <w:rPr>
          <w:spacing w:val="-1"/>
        </w:rPr>
        <w:t> </w:t>
      </w:r>
      <w:r>
        <w:rPr/>
        <w:t>they</w:t>
      </w:r>
      <w:r>
        <w:rPr>
          <w:spacing w:val="-4"/>
        </w:rPr>
        <w:t> </w:t>
      </w:r>
      <w:r>
        <w:rPr/>
        <w:t>are part of decision making, where</w:t>
      </w:r>
      <w:r>
        <w:rPr>
          <w:spacing w:val="-1"/>
        </w:rPr>
        <w:t> </w:t>
      </w:r>
      <w:r>
        <w:rPr/>
        <w:t>the power holders have created a phony</w:t>
      </w:r>
      <w:r>
        <w:rPr>
          <w:spacing w:val="-2"/>
        </w:rPr>
        <w:t> </w:t>
      </w:r>
      <w:r>
        <w:rPr/>
        <w:t>form of participation, perhaps around a decision already made. At the first level there is </w:t>
      </w:r>
      <w:r>
        <w:rPr>
          <w:i/>
        </w:rPr>
        <w:t>manipulation </w:t>
      </w:r>
      <w:r>
        <w:rPr/>
        <w:t>where people are ―educated‖ and may be advised to sign proposals they believe to be in their interest. The second level of the participation, which Arnstein calls </w:t>
      </w:r>
      <w:r>
        <w:rPr>
          <w:i/>
        </w:rPr>
        <w:t>therapy, </w:t>
      </w:r>
      <w:r>
        <w:rPr/>
        <w:t>involves the power holders</w:t>
      </w:r>
      <w:r>
        <w:rPr>
          <w:spacing w:val="30"/>
        </w:rPr>
        <w:t> </w:t>
      </w:r>
      <w:r>
        <w:rPr/>
        <w:t>―curing‖</w:t>
      </w:r>
      <w:r>
        <w:rPr>
          <w:spacing w:val="29"/>
        </w:rPr>
        <w:t> </w:t>
      </w:r>
      <w:r>
        <w:rPr/>
        <w:t>the</w:t>
      </w:r>
      <w:r>
        <w:rPr>
          <w:spacing w:val="30"/>
        </w:rPr>
        <w:t> </w:t>
      </w:r>
      <w:r>
        <w:rPr/>
        <w:t>people.</w:t>
      </w:r>
      <w:r>
        <w:rPr>
          <w:spacing w:val="29"/>
        </w:rPr>
        <w:t> </w:t>
      </w:r>
      <w:r>
        <w:rPr/>
        <w:t>The</w:t>
      </w:r>
      <w:r>
        <w:rPr>
          <w:spacing w:val="30"/>
        </w:rPr>
        <w:t> </w:t>
      </w:r>
      <w:r>
        <w:rPr/>
        <w:t>power</w:t>
      </w:r>
      <w:r>
        <w:rPr>
          <w:spacing w:val="29"/>
        </w:rPr>
        <w:t> </w:t>
      </w:r>
      <w:r>
        <w:rPr/>
        <w:t>holders</w:t>
      </w:r>
      <w:r>
        <w:rPr>
          <w:spacing w:val="32"/>
        </w:rPr>
        <w:t> </w:t>
      </w:r>
      <w:r>
        <w:rPr/>
        <w:t>promise</w:t>
      </w:r>
      <w:r>
        <w:rPr>
          <w:spacing w:val="30"/>
        </w:rPr>
        <w:t> </w:t>
      </w:r>
      <w:r>
        <w:rPr/>
        <w:t>to</w:t>
      </w:r>
      <w:r>
        <w:rPr>
          <w:spacing w:val="30"/>
        </w:rPr>
        <w:t> </w:t>
      </w:r>
      <w:r>
        <w:rPr/>
        <w:t>assist</w:t>
      </w:r>
      <w:r>
        <w:rPr>
          <w:spacing w:val="31"/>
        </w:rPr>
        <w:t> </w:t>
      </w:r>
      <w:r>
        <w:rPr/>
        <w:t>the</w:t>
      </w:r>
      <w:r>
        <w:rPr>
          <w:spacing w:val="29"/>
        </w:rPr>
        <w:t> </w:t>
      </w:r>
      <w:r>
        <w:rPr/>
        <w:t>citizens</w:t>
      </w:r>
      <w:r>
        <w:rPr>
          <w:spacing w:val="30"/>
        </w:rPr>
        <w:t> </w:t>
      </w:r>
      <w:r>
        <w:rPr/>
        <w:t>and</w:t>
      </w:r>
      <w:r>
        <w:rPr>
          <w:spacing w:val="31"/>
        </w:rPr>
        <w:t> </w:t>
      </w:r>
      <w:r>
        <w:rPr/>
        <w:t>have</w:t>
      </w:r>
      <w:r>
        <w:rPr>
          <w:spacing w:val="29"/>
        </w:rPr>
        <w:t> </w:t>
      </w:r>
      <w:r>
        <w:rPr>
          <w:spacing w:val="-4"/>
        </w:rPr>
        <w:t>them</w:t>
      </w:r>
    </w:p>
    <w:p>
      <w:pPr>
        <w:spacing w:after="0" w:line="360" w:lineRule="auto"/>
        <w:jc w:val="both"/>
        <w:sectPr>
          <w:pgSz w:w="12240" w:h="15840"/>
          <w:pgMar w:header="0" w:footer="1036" w:top="1360" w:bottom="1220" w:left="1200" w:right="600"/>
        </w:sectPr>
      </w:pPr>
    </w:p>
    <w:p>
      <w:pPr>
        <w:pStyle w:val="BodyText"/>
        <w:spacing w:line="360" w:lineRule="auto" w:before="74"/>
        <w:ind w:left="240" w:right="841"/>
        <w:jc w:val="both"/>
      </w:pPr>
      <w:r>
        <w:rPr/>
        <w:t>engage in different activities where their opinions may be ―cured‖, and in the end accepted by the citizens.</w:t>
      </w:r>
    </w:p>
    <w:p>
      <w:pPr>
        <w:pStyle w:val="BodyText"/>
      </w:pPr>
    </w:p>
    <w:p>
      <w:pPr>
        <w:pStyle w:val="BodyText"/>
        <w:spacing w:line="360" w:lineRule="auto" w:before="1"/>
        <w:ind w:left="240" w:right="839"/>
        <w:jc w:val="both"/>
      </w:pPr>
      <w:r>
        <w:rPr/>
        <w:t>Arnstein refers to the third, fourth and fifth levels as </w:t>
      </w:r>
      <w:r>
        <w:rPr>
          <w:i/>
        </w:rPr>
        <w:t>tokenism</w:t>
      </w:r>
      <w:r>
        <w:rPr/>
        <w:t>. This is where</w:t>
      </w:r>
      <w:r>
        <w:rPr>
          <w:spacing w:val="-1"/>
        </w:rPr>
        <w:t> </w:t>
      </w:r>
      <w:r>
        <w:rPr/>
        <w:t>the citizens become involved but only to certain extent. The </w:t>
      </w:r>
      <w:r>
        <w:rPr>
          <w:i/>
        </w:rPr>
        <w:t>informing </w:t>
      </w:r>
      <w:r>
        <w:rPr/>
        <w:t>level is where the citizens are informed of what is happening. This is a one-way information process, where people receive the information in newspapers, in the media, online or by other means. </w:t>
      </w:r>
      <w:r>
        <w:rPr>
          <w:i/>
        </w:rPr>
        <w:t>Consultation </w:t>
      </w:r>
      <w:r>
        <w:rPr/>
        <w:t>is the fourth step, in which citizens‘ opinions can start to affect the power holder‘s opinion. This is a common form of</w:t>
      </w:r>
      <w:r>
        <w:rPr>
          <w:spacing w:val="40"/>
        </w:rPr>
        <w:t> </w:t>
      </w:r>
      <w:r>
        <w:rPr/>
        <w:t>citizen participation utilized in urban planning. If consultation and information is taken into account as part of the planning process, this can be effective. However, if the consultation and information is not taken into consideration at the end of</w:t>
      </w:r>
      <w:r>
        <w:rPr>
          <w:spacing w:val="-1"/>
        </w:rPr>
        <w:t> </w:t>
      </w:r>
      <w:r>
        <w:rPr/>
        <w:t>the</w:t>
      </w:r>
      <w:r>
        <w:rPr>
          <w:spacing w:val="-1"/>
        </w:rPr>
        <w:t> </w:t>
      </w:r>
      <w:r>
        <w:rPr/>
        <w:t>day, this step</w:t>
      </w:r>
      <w:r>
        <w:rPr>
          <w:spacing w:val="-1"/>
        </w:rPr>
        <w:t> </w:t>
      </w:r>
      <w:r>
        <w:rPr/>
        <w:t>will be</w:t>
      </w:r>
      <w:r>
        <w:rPr>
          <w:spacing w:val="-1"/>
        </w:rPr>
        <w:t> </w:t>
      </w:r>
      <w:r>
        <w:rPr/>
        <w:t>of</w:t>
      </w:r>
      <w:r>
        <w:rPr>
          <w:spacing w:val="-1"/>
        </w:rPr>
        <w:t> </w:t>
      </w:r>
      <w:r>
        <w:rPr/>
        <w:t>limited</w:t>
      </w:r>
      <w:r>
        <w:rPr>
          <w:spacing w:val="-1"/>
        </w:rPr>
        <w:t> </w:t>
      </w:r>
      <w:r>
        <w:rPr/>
        <w:t>value and could therefore fall back into the non-participating level.</w:t>
      </w:r>
    </w:p>
    <w:p>
      <w:pPr>
        <w:pStyle w:val="BodyText"/>
        <w:spacing w:line="360" w:lineRule="auto" w:before="275"/>
        <w:ind w:left="240" w:right="836"/>
        <w:jc w:val="both"/>
      </w:pPr>
      <w:r>
        <w:rPr/>
        <w:t>The fifth level in Arnstein‘s ladder is where a citizens‘ opinion will start influencing the power holder‘s decision. Arnstein calls this level in the ladder </w:t>
      </w:r>
      <w:r>
        <w:rPr>
          <w:i/>
        </w:rPr>
        <w:t>placation</w:t>
      </w:r>
      <w:r>
        <w:rPr/>
        <w:t>. At this level, citizens may be hand-picked</w:t>
      </w:r>
      <w:r>
        <w:rPr>
          <w:spacing w:val="-1"/>
        </w:rPr>
        <w:t> </w:t>
      </w:r>
      <w:r>
        <w:rPr/>
        <w:t>to</w:t>
      </w:r>
      <w:r>
        <w:rPr>
          <w:spacing w:val="-1"/>
        </w:rPr>
        <w:t> </w:t>
      </w:r>
      <w:r>
        <w:rPr/>
        <w:t>sit on</w:t>
      </w:r>
      <w:r>
        <w:rPr>
          <w:spacing w:val="-1"/>
        </w:rPr>
        <w:t> </w:t>
      </w:r>
      <w:r>
        <w:rPr/>
        <w:t>a</w:t>
      </w:r>
      <w:r>
        <w:rPr>
          <w:spacing w:val="-2"/>
        </w:rPr>
        <w:t> </w:t>
      </w:r>
      <w:r>
        <w:rPr/>
        <w:t>governing</w:t>
      </w:r>
      <w:r>
        <w:rPr>
          <w:spacing w:val="-4"/>
        </w:rPr>
        <w:t> </w:t>
      </w:r>
      <w:r>
        <w:rPr/>
        <w:t>board</w:t>
      </w:r>
      <w:r>
        <w:rPr>
          <w:spacing w:val="-2"/>
        </w:rPr>
        <w:t> </w:t>
      </w:r>
      <w:r>
        <w:rPr/>
        <w:t>that</w:t>
      </w:r>
      <w:r>
        <w:rPr>
          <w:spacing w:val="-1"/>
        </w:rPr>
        <w:t> </w:t>
      </w:r>
      <w:r>
        <w:rPr/>
        <w:t>makes</w:t>
      </w:r>
      <w:r>
        <w:rPr>
          <w:spacing w:val="-1"/>
        </w:rPr>
        <w:t> </w:t>
      </w:r>
      <w:r>
        <w:rPr/>
        <w:t>decisions</w:t>
      </w:r>
      <w:r>
        <w:rPr>
          <w:spacing w:val="-1"/>
        </w:rPr>
        <w:t> </w:t>
      </w:r>
      <w:r>
        <w:rPr/>
        <w:t>on</w:t>
      </w:r>
      <w:r>
        <w:rPr>
          <w:spacing w:val="-1"/>
        </w:rPr>
        <w:t> </w:t>
      </w:r>
      <w:r>
        <w:rPr/>
        <w:t>the</w:t>
      </w:r>
      <w:r>
        <w:rPr>
          <w:spacing w:val="-2"/>
        </w:rPr>
        <w:t> </w:t>
      </w:r>
      <w:r>
        <w:rPr/>
        <w:t>planning</w:t>
      </w:r>
      <w:r>
        <w:rPr>
          <w:spacing w:val="-4"/>
        </w:rPr>
        <w:t> </w:t>
      </w:r>
      <w:r>
        <w:rPr/>
        <w:t>process.</w:t>
      </w:r>
      <w:r>
        <w:rPr>
          <w:spacing w:val="-1"/>
        </w:rPr>
        <w:t> </w:t>
      </w:r>
      <w:r>
        <w:rPr/>
        <w:t>According to Arnstein, this process is more likely to work if the board members are equally split (citizens and power holders), so the citizens cannot be outvoted in the process. The last category in the participation ladder is what Arnstein calls </w:t>
      </w:r>
      <w:r>
        <w:rPr>
          <w:i/>
        </w:rPr>
        <w:t>citizen power</w:t>
      </w:r>
      <w:r>
        <w:rPr/>
        <w:t>. This is where the citizens get to influence the decision making directly. At the sixth level the power holders and citizens create a </w:t>
      </w:r>
      <w:r>
        <w:rPr>
          <w:i/>
        </w:rPr>
        <w:t>partnership</w:t>
      </w:r>
      <w:r>
        <w:rPr/>
        <w:t>. Arnstein considers partnership relatively high on her ladder as she believes this can keep both citizens and power holders content.</w:t>
      </w:r>
    </w:p>
    <w:p>
      <w:pPr>
        <w:pStyle w:val="BodyText"/>
        <w:spacing w:before="36"/>
      </w:pPr>
    </w:p>
    <w:p>
      <w:pPr>
        <w:pStyle w:val="BodyText"/>
        <w:spacing w:line="360" w:lineRule="auto"/>
        <w:ind w:left="240" w:right="840"/>
        <w:jc w:val="both"/>
      </w:pPr>
      <w:r>
        <w:rPr/>
        <w:t>The seventh level is what Arnstein calls </w:t>
      </w:r>
      <w:r>
        <w:rPr>
          <w:i/>
        </w:rPr>
        <w:t>delegated power</w:t>
      </w:r>
      <w:r>
        <w:rPr/>
        <w:t>. At this level the citizens can start taking control, and the</w:t>
      </w:r>
      <w:r>
        <w:rPr>
          <w:spacing w:val="-1"/>
        </w:rPr>
        <w:t> </w:t>
      </w:r>
      <w:r>
        <w:rPr/>
        <w:t>power</w:t>
      </w:r>
      <w:r>
        <w:rPr>
          <w:spacing w:val="-1"/>
        </w:rPr>
        <w:t> </w:t>
      </w:r>
      <w:r>
        <w:rPr/>
        <w:t>holders</w:t>
      </w:r>
      <w:r>
        <w:rPr>
          <w:spacing w:val="-1"/>
        </w:rPr>
        <w:t> </w:t>
      </w:r>
      <w:r>
        <w:rPr/>
        <w:t>need to start negotiating with the citizens. Compared to the example given for </w:t>
      </w:r>
      <w:r>
        <w:rPr>
          <w:i/>
        </w:rPr>
        <w:t>placation </w:t>
      </w:r>
      <w:r>
        <w:rPr/>
        <w:t>(the fifth level), the majority of the board members would be the citizens. This would mean that the power holders would need to negotiate decisions with the board members.</w:t>
      </w:r>
    </w:p>
    <w:p>
      <w:pPr>
        <w:pStyle w:val="BodyText"/>
        <w:spacing w:before="35"/>
      </w:pPr>
    </w:p>
    <w:p>
      <w:pPr>
        <w:pStyle w:val="BodyText"/>
        <w:spacing w:line="360" w:lineRule="auto"/>
        <w:ind w:left="240" w:right="839"/>
        <w:jc w:val="both"/>
      </w:pPr>
      <w:r>
        <w:rPr/>
        <w:t>The final level is what Arnstein calls </w:t>
      </w:r>
      <w:r>
        <w:rPr>
          <w:i/>
        </w:rPr>
        <w:t>citizen control</w:t>
      </w:r>
      <w:r>
        <w:rPr/>
        <w:t>. The words describe this level, since it gives the citizens the power to decide. This can be achieved through referendums, but since those are often</w:t>
      </w:r>
      <w:r>
        <w:rPr>
          <w:spacing w:val="25"/>
        </w:rPr>
        <w:t> </w:t>
      </w:r>
      <w:r>
        <w:rPr/>
        <w:t>costly</w:t>
      </w:r>
      <w:r>
        <w:rPr>
          <w:spacing w:val="23"/>
        </w:rPr>
        <w:t> </w:t>
      </w:r>
      <w:r>
        <w:rPr/>
        <w:t>and</w:t>
      </w:r>
      <w:r>
        <w:rPr>
          <w:spacing w:val="28"/>
        </w:rPr>
        <w:t> </w:t>
      </w:r>
      <w:r>
        <w:rPr/>
        <w:t>difficult</w:t>
      </w:r>
      <w:r>
        <w:rPr>
          <w:spacing w:val="29"/>
        </w:rPr>
        <w:t> </w:t>
      </w:r>
      <w:r>
        <w:rPr/>
        <w:t>to</w:t>
      </w:r>
      <w:r>
        <w:rPr>
          <w:spacing w:val="29"/>
        </w:rPr>
        <w:t> </w:t>
      </w:r>
      <w:r>
        <w:rPr/>
        <w:t>arrange</w:t>
      </w:r>
      <w:r>
        <w:rPr>
          <w:spacing w:val="27"/>
        </w:rPr>
        <w:t> </w:t>
      </w:r>
      <w:r>
        <w:rPr/>
        <w:t>it</w:t>
      </w:r>
      <w:r>
        <w:rPr>
          <w:spacing w:val="29"/>
        </w:rPr>
        <w:t> </w:t>
      </w:r>
      <w:r>
        <w:rPr/>
        <w:t>would</w:t>
      </w:r>
      <w:r>
        <w:rPr>
          <w:spacing w:val="28"/>
        </w:rPr>
        <w:t> </w:t>
      </w:r>
      <w:r>
        <w:rPr/>
        <w:t>most</w:t>
      </w:r>
      <w:r>
        <w:rPr>
          <w:spacing w:val="29"/>
        </w:rPr>
        <w:t> </w:t>
      </w:r>
      <w:r>
        <w:rPr/>
        <w:t>likely</w:t>
      </w:r>
      <w:r>
        <w:rPr>
          <w:spacing w:val="23"/>
        </w:rPr>
        <w:t> </w:t>
      </w:r>
      <w:r>
        <w:rPr/>
        <w:t>slow</w:t>
      </w:r>
      <w:r>
        <w:rPr>
          <w:spacing w:val="28"/>
        </w:rPr>
        <w:t> </w:t>
      </w:r>
      <w:r>
        <w:rPr/>
        <w:t>down</w:t>
      </w:r>
      <w:r>
        <w:rPr>
          <w:spacing w:val="28"/>
        </w:rPr>
        <w:t> </w:t>
      </w:r>
      <w:r>
        <w:rPr/>
        <w:t>the</w:t>
      </w:r>
      <w:r>
        <w:rPr>
          <w:spacing w:val="32"/>
        </w:rPr>
        <w:t> </w:t>
      </w:r>
      <w:r>
        <w:rPr/>
        <w:t>process</w:t>
      </w:r>
      <w:r>
        <w:rPr>
          <w:spacing w:val="29"/>
        </w:rPr>
        <w:t> </w:t>
      </w:r>
      <w:r>
        <w:rPr>
          <w:spacing w:val="-2"/>
        </w:rPr>
        <w:t>substantially.</w:t>
      </w:r>
    </w:p>
    <w:p>
      <w:pPr>
        <w:spacing w:after="0" w:line="360" w:lineRule="auto"/>
        <w:jc w:val="both"/>
        <w:sectPr>
          <w:pgSz w:w="12240" w:h="15840"/>
          <w:pgMar w:header="0" w:footer="1036" w:top="1360" w:bottom="1220" w:left="1200" w:right="600"/>
        </w:sectPr>
      </w:pPr>
    </w:p>
    <w:p>
      <w:pPr>
        <w:pStyle w:val="BodyText"/>
        <w:spacing w:line="360" w:lineRule="auto" w:before="74"/>
        <w:ind w:left="240" w:right="840"/>
        <w:jc w:val="both"/>
      </w:pPr>
      <w:r>
        <w:rPr/>
        <w:t>They are therefore often only utilized for larger decisions. In many cases, local authorities do</w:t>
      </w:r>
      <w:r>
        <w:rPr>
          <w:spacing w:val="40"/>
        </w:rPr>
        <w:t> </w:t>
      </w:r>
      <w:r>
        <w:rPr/>
        <w:t>not, however, give</w:t>
      </w:r>
      <w:r>
        <w:rPr>
          <w:spacing w:val="-1"/>
        </w:rPr>
        <w:t> </w:t>
      </w:r>
      <w:r>
        <w:rPr/>
        <w:t>their citizens full control in such</w:t>
      </w:r>
      <w:r>
        <w:rPr>
          <w:spacing w:val="-1"/>
        </w:rPr>
        <w:t> </w:t>
      </w:r>
      <w:r>
        <w:rPr/>
        <w:t>elections, but treat the results instead only</w:t>
      </w:r>
      <w:r>
        <w:rPr>
          <w:spacing w:val="-3"/>
        </w:rPr>
        <w:t> </w:t>
      </w:r>
      <w:r>
        <w:rPr/>
        <w:t>as advisory for the final decision made by the city council or other such decision making bodies.</w:t>
      </w:r>
    </w:p>
    <w:p>
      <w:pPr>
        <w:pStyle w:val="BodyText"/>
        <w:spacing w:before="167"/>
      </w:pPr>
    </w:p>
    <w:p>
      <w:pPr>
        <w:pStyle w:val="Heading4"/>
        <w:numPr>
          <w:ilvl w:val="2"/>
          <w:numId w:val="7"/>
        </w:numPr>
        <w:tabs>
          <w:tab w:pos="899" w:val="left" w:leader="none"/>
        </w:tabs>
        <w:spacing w:line="240" w:lineRule="auto" w:before="0" w:after="0"/>
        <w:ind w:left="899" w:right="0" w:hanging="659"/>
        <w:jc w:val="both"/>
      </w:pPr>
      <w:r>
        <w:rPr/>
        <w:t>Supportive</w:t>
      </w:r>
      <w:r>
        <w:rPr>
          <w:spacing w:val="-5"/>
        </w:rPr>
        <w:t> </w:t>
      </w:r>
      <w:r>
        <w:rPr/>
        <w:t>Conditions</w:t>
      </w:r>
      <w:r>
        <w:rPr>
          <w:spacing w:val="-1"/>
        </w:rPr>
        <w:t> </w:t>
      </w:r>
      <w:r>
        <w:rPr/>
        <w:t>for</w:t>
      </w:r>
      <w:r>
        <w:rPr>
          <w:spacing w:val="-2"/>
        </w:rPr>
        <w:t> </w:t>
      </w:r>
      <w:r>
        <w:rPr/>
        <w:t>Effective </w:t>
      </w:r>
      <w:r>
        <w:rPr>
          <w:spacing w:val="-2"/>
        </w:rPr>
        <w:t>Participation</w:t>
      </w:r>
    </w:p>
    <w:p>
      <w:pPr>
        <w:pStyle w:val="BodyText"/>
        <w:spacing w:line="360" w:lineRule="auto" w:before="132"/>
        <w:ind w:left="240" w:right="840"/>
        <w:jc w:val="both"/>
      </w:pPr>
      <w:r>
        <w:rPr/>
        <w:t>Ebdon and Aimee (2006) suggest four groups of factors that must be considered: the structure of the city, the types of participants, the mechanisms used to foster participation and the process itself. Table 2.4 summarizes these groups of factors and their corresponding conditions.</w:t>
      </w:r>
    </w:p>
    <w:p>
      <w:pPr>
        <w:pStyle w:val="BodyText"/>
        <w:spacing w:before="242"/>
        <w:ind w:left="240"/>
        <w:jc w:val="both"/>
      </w:pPr>
      <w:r>
        <w:rPr>
          <w:b/>
        </w:rPr>
        <w:t>Table</w:t>
      </w:r>
      <w:r>
        <w:rPr>
          <w:b/>
          <w:spacing w:val="-2"/>
        </w:rPr>
        <w:t> </w:t>
      </w:r>
      <w:r>
        <w:rPr>
          <w:b/>
        </w:rPr>
        <w:t>2.4.</w:t>
      </w:r>
      <w:r>
        <w:rPr>
          <w:b/>
          <w:spacing w:val="-1"/>
        </w:rPr>
        <w:t> </w:t>
      </w:r>
      <w:r>
        <w:rPr/>
        <w:t>Supportive</w:t>
      </w:r>
      <w:r>
        <w:rPr>
          <w:spacing w:val="-2"/>
        </w:rPr>
        <w:t> </w:t>
      </w:r>
      <w:r>
        <w:rPr/>
        <w:t>conditions</w:t>
      </w:r>
      <w:r>
        <w:rPr>
          <w:spacing w:val="-1"/>
        </w:rPr>
        <w:t> </w:t>
      </w:r>
      <w:r>
        <w:rPr/>
        <w:t>leading</w:t>
      </w:r>
      <w:r>
        <w:rPr>
          <w:spacing w:val="-3"/>
        </w:rPr>
        <w:t> </w:t>
      </w:r>
      <w:r>
        <w:rPr/>
        <w:t>to</w:t>
      </w:r>
      <w:r>
        <w:rPr>
          <w:spacing w:val="-1"/>
        </w:rPr>
        <w:t> </w:t>
      </w:r>
      <w:r>
        <w:rPr/>
        <w:t>desired</w:t>
      </w:r>
      <w:r>
        <w:rPr>
          <w:spacing w:val="-1"/>
        </w:rPr>
        <w:t> </w:t>
      </w:r>
      <w:r>
        <w:rPr/>
        <w:t>participation </w:t>
      </w:r>
      <w:r>
        <w:rPr>
          <w:spacing w:val="-2"/>
        </w:rPr>
        <w:t>outcomes</w:t>
      </w:r>
    </w:p>
    <w:p>
      <w:pPr>
        <w:pStyle w:val="BodyText"/>
        <w:spacing w:before="7"/>
        <w:rPr>
          <w:sz w:val="12"/>
        </w:rPr>
      </w:pPr>
    </w:p>
    <w:tbl>
      <w:tblPr>
        <w:tblW w:w="0" w:type="auto"/>
        <w:jc w:val="left"/>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1"/>
        <w:gridCol w:w="7021"/>
      </w:tblGrid>
      <w:tr>
        <w:trPr>
          <w:trHeight w:val="505" w:hRule="atLeast"/>
        </w:trPr>
        <w:tc>
          <w:tcPr>
            <w:tcW w:w="2071" w:type="dxa"/>
          </w:tcPr>
          <w:p>
            <w:pPr>
              <w:pStyle w:val="TableParagraph"/>
              <w:spacing w:line="252" w:lineRule="exact"/>
              <w:ind w:left="107" w:right="524"/>
              <w:rPr>
                <w:b/>
                <w:sz w:val="22"/>
              </w:rPr>
            </w:pPr>
            <w:r>
              <w:rPr>
                <w:b/>
                <w:sz w:val="22"/>
              </w:rPr>
              <w:t>Factor Group/ Variable</w:t>
            </w:r>
            <w:r>
              <w:rPr>
                <w:b/>
                <w:spacing w:val="-14"/>
                <w:sz w:val="22"/>
              </w:rPr>
              <w:t> </w:t>
            </w:r>
            <w:r>
              <w:rPr>
                <w:b/>
                <w:sz w:val="22"/>
              </w:rPr>
              <w:t>Name</w:t>
            </w:r>
          </w:p>
        </w:tc>
        <w:tc>
          <w:tcPr>
            <w:tcW w:w="7021" w:type="dxa"/>
          </w:tcPr>
          <w:p>
            <w:pPr>
              <w:pStyle w:val="TableParagraph"/>
              <w:spacing w:before="20"/>
              <w:ind w:left="105"/>
              <w:rPr>
                <w:b/>
                <w:sz w:val="22"/>
              </w:rPr>
            </w:pPr>
            <w:r>
              <w:rPr>
                <w:b/>
                <w:sz w:val="22"/>
              </w:rPr>
              <w:t>Description</w:t>
            </w:r>
            <w:r>
              <w:rPr>
                <w:b/>
                <w:spacing w:val="-6"/>
                <w:sz w:val="22"/>
              </w:rPr>
              <w:t> </w:t>
            </w:r>
            <w:r>
              <w:rPr>
                <w:b/>
                <w:sz w:val="22"/>
              </w:rPr>
              <w:t>of</w:t>
            </w:r>
            <w:r>
              <w:rPr>
                <w:b/>
                <w:spacing w:val="-5"/>
                <w:sz w:val="22"/>
              </w:rPr>
              <w:t> </w:t>
            </w:r>
            <w:r>
              <w:rPr>
                <w:b/>
                <w:sz w:val="22"/>
              </w:rPr>
              <w:t>Supportive</w:t>
            </w:r>
            <w:r>
              <w:rPr>
                <w:b/>
                <w:spacing w:val="-7"/>
                <w:sz w:val="22"/>
              </w:rPr>
              <w:t> </w:t>
            </w:r>
            <w:r>
              <w:rPr>
                <w:b/>
                <w:spacing w:val="-2"/>
                <w:sz w:val="22"/>
              </w:rPr>
              <w:t>Condition</w:t>
            </w:r>
          </w:p>
        </w:tc>
      </w:tr>
      <w:tr>
        <w:trPr>
          <w:trHeight w:val="1033" w:hRule="atLeast"/>
        </w:trPr>
        <w:tc>
          <w:tcPr>
            <w:tcW w:w="2071" w:type="dxa"/>
          </w:tcPr>
          <w:p>
            <w:pPr>
              <w:pStyle w:val="TableParagraph"/>
              <w:spacing w:line="226" w:lineRule="exact"/>
              <w:ind w:left="107"/>
              <w:rPr>
                <w:b/>
                <w:sz w:val="20"/>
              </w:rPr>
            </w:pPr>
            <w:r>
              <w:rPr>
                <w:b/>
                <w:sz w:val="20"/>
              </w:rPr>
              <w:t>City</w:t>
            </w:r>
            <w:r>
              <w:rPr>
                <w:b/>
                <w:spacing w:val="-3"/>
                <w:sz w:val="20"/>
              </w:rPr>
              <w:t> </w:t>
            </w:r>
            <w:r>
              <w:rPr>
                <w:b/>
                <w:spacing w:val="-2"/>
                <w:sz w:val="20"/>
              </w:rPr>
              <w:t>Structure</w:t>
            </w:r>
          </w:p>
          <w:p>
            <w:pPr>
              <w:pStyle w:val="TableParagraph"/>
              <w:spacing w:line="227" w:lineRule="exact"/>
              <w:ind w:left="107"/>
              <w:rPr>
                <w:sz w:val="20"/>
              </w:rPr>
            </w:pPr>
            <w:r>
              <w:rPr>
                <w:spacing w:val="-4"/>
                <w:sz w:val="20"/>
              </w:rPr>
              <w:t>Size</w:t>
            </w:r>
          </w:p>
          <w:p>
            <w:pPr>
              <w:pStyle w:val="TableParagraph"/>
              <w:ind w:left="107" w:right="339"/>
              <w:rPr>
                <w:sz w:val="20"/>
              </w:rPr>
            </w:pPr>
            <w:r>
              <w:rPr>
                <w:sz w:val="20"/>
              </w:rPr>
              <w:t>Form of Govt. Legal</w:t>
            </w:r>
            <w:r>
              <w:rPr>
                <w:spacing w:val="-13"/>
                <w:sz w:val="20"/>
              </w:rPr>
              <w:t> </w:t>
            </w:r>
            <w:r>
              <w:rPr>
                <w:sz w:val="20"/>
              </w:rPr>
              <w:t>Requirements</w:t>
            </w:r>
          </w:p>
        </w:tc>
        <w:tc>
          <w:tcPr>
            <w:tcW w:w="7021" w:type="dxa"/>
          </w:tcPr>
          <w:p>
            <w:pPr>
              <w:pStyle w:val="TableParagraph"/>
              <w:spacing w:before="223"/>
              <w:ind w:left="105" w:right="1241"/>
              <w:rPr>
                <w:sz w:val="20"/>
              </w:rPr>
            </w:pPr>
            <w:r>
              <w:rPr>
                <w:sz w:val="20"/>
              </w:rPr>
              <w:t>Larger</w:t>
            </w:r>
            <w:r>
              <w:rPr>
                <w:spacing w:val="-5"/>
                <w:sz w:val="20"/>
              </w:rPr>
              <w:t> </w:t>
            </w:r>
            <w:r>
              <w:rPr>
                <w:sz w:val="20"/>
              </w:rPr>
              <w:t>cities</w:t>
            </w:r>
            <w:r>
              <w:rPr>
                <w:spacing w:val="-7"/>
                <w:sz w:val="20"/>
              </w:rPr>
              <w:t> </w:t>
            </w:r>
            <w:r>
              <w:rPr>
                <w:sz w:val="20"/>
              </w:rPr>
              <w:t>are</w:t>
            </w:r>
            <w:r>
              <w:rPr>
                <w:spacing w:val="-4"/>
                <w:sz w:val="20"/>
              </w:rPr>
              <w:t> </w:t>
            </w:r>
            <w:r>
              <w:rPr>
                <w:sz w:val="20"/>
              </w:rPr>
              <w:t>more</w:t>
            </w:r>
            <w:r>
              <w:rPr>
                <w:spacing w:val="-6"/>
                <w:sz w:val="20"/>
              </w:rPr>
              <w:t> </w:t>
            </w:r>
            <w:r>
              <w:rPr>
                <w:sz w:val="20"/>
              </w:rPr>
              <w:t>likely</w:t>
            </w:r>
            <w:r>
              <w:rPr>
                <w:spacing w:val="-7"/>
                <w:sz w:val="20"/>
              </w:rPr>
              <w:t> </w:t>
            </w:r>
            <w:r>
              <w:rPr>
                <w:sz w:val="20"/>
              </w:rPr>
              <w:t>to</w:t>
            </w:r>
            <w:r>
              <w:rPr>
                <w:spacing w:val="-5"/>
                <w:sz w:val="20"/>
              </w:rPr>
              <w:t> </w:t>
            </w:r>
            <w:r>
              <w:rPr>
                <w:sz w:val="20"/>
              </w:rPr>
              <w:t>structure</w:t>
            </w:r>
            <w:r>
              <w:rPr>
                <w:spacing w:val="-6"/>
                <w:sz w:val="20"/>
              </w:rPr>
              <w:t> </w:t>
            </w:r>
            <w:r>
              <w:rPr>
                <w:sz w:val="20"/>
              </w:rPr>
              <w:t>participation</w:t>
            </w:r>
            <w:r>
              <w:rPr>
                <w:spacing w:val="-7"/>
                <w:sz w:val="20"/>
              </w:rPr>
              <w:t> </w:t>
            </w:r>
            <w:r>
              <w:rPr>
                <w:sz w:val="20"/>
              </w:rPr>
              <w:t>opportunities City</w:t>
            </w:r>
            <w:r>
              <w:rPr>
                <w:spacing w:val="-7"/>
                <w:sz w:val="20"/>
              </w:rPr>
              <w:t> </w:t>
            </w:r>
            <w:r>
              <w:rPr>
                <w:sz w:val="20"/>
              </w:rPr>
              <w:t>manager</w:t>
            </w:r>
            <w:r>
              <w:rPr>
                <w:spacing w:val="-4"/>
                <w:sz w:val="20"/>
              </w:rPr>
              <w:t> </w:t>
            </w:r>
            <w:r>
              <w:rPr>
                <w:sz w:val="20"/>
              </w:rPr>
              <w:t>will</w:t>
            </w:r>
            <w:r>
              <w:rPr>
                <w:spacing w:val="-7"/>
                <w:sz w:val="20"/>
              </w:rPr>
              <w:t> </w:t>
            </w:r>
            <w:r>
              <w:rPr>
                <w:sz w:val="20"/>
              </w:rPr>
              <w:t>emphasize</w:t>
            </w:r>
            <w:r>
              <w:rPr>
                <w:spacing w:val="-4"/>
                <w:sz w:val="20"/>
              </w:rPr>
              <w:t> </w:t>
            </w:r>
            <w:r>
              <w:rPr>
                <w:sz w:val="20"/>
              </w:rPr>
              <w:t>and</w:t>
            </w:r>
            <w:r>
              <w:rPr>
                <w:spacing w:val="-5"/>
                <w:sz w:val="20"/>
              </w:rPr>
              <w:t> </w:t>
            </w:r>
            <w:r>
              <w:rPr>
                <w:sz w:val="20"/>
              </w:rPr>
              <w:t>council</w:t>
            </w:r>
            <w:r>
              <w:rPr>
                <w:spacing w:val="-4"/>
                <w:sz w:val="20"/>
              </w:rPr>
              <w:t> </w:t>
            </w:r>
            <w:r>
              <w:rPr>
                <w:sz w:val="20"/>
              </w:rPr>
              <w:t>will</w:t>
            </w:r>
            <w:r>
              <w:rPr>
                <w:spacing w:val="-7"/>
                <w:sz w:val="20"/>
              </w:rPr>
              <w:t> </w:t>
            </w:r>
            <w:r>
              <w:rPr>
                <w:sz w:val="20"/>
              </w:rPr>
              <w:t>support</w:t>
            </w:r>
            <w:r>
              <w:rPr>
                <w:spacing w:val="-7"/>
                <w:sz w:val="20"/>
              </w:rPr>
              <w:t> </w:t>
            </w:r>
            <w:r>
              <w:rPr>
                <w:spacing w:val="-2"/>
                <w:sz w:val="20"/>
              </w:rPr>
              <w:t>participation</w:t>
            </w:r>
          </w:p>
          <w:p>
            <w:pPr>
              <w:pStyle w:val="TableParagraph"/>
              <w:spacing w:line="228" w:lineRule="exact"/>
              <w:ind w:left="105"/>
              <w:rPr>
                <w:sz w:val="20"/>
              </w:rPr>
            </w:pPr>
            <w:r>
              <w:rPr>
                <w:sz w:val="20"/>
              </w:rPr>
              <w:t>Structured</w:t>
            </w:r>
            <w:r>
              <w:rPr>
                <w:spacing w:val="-5"/>
                <w:sz w:val="20"/>
              </w:rPr>
              <w:t> </w:t>
            </w:r>
            <w:r>
              <w:rPr>
                <w:sz w:val="20"/>
              </w:rPr>
              <w:t>to</w:t>
            </w:r>
            <w:r>
              <w:rPr>
                <w:spacing w:val="-4"/>
                <w:sz w:val="20"/>
              </w:rPr>
              <w:t> </w:t>
            </w:r>
            <w:r>
              <w:rPr>
                <w:sz w:val="20"/>
              </w:rPr>
              <w:t>foster</w:t>
            </w:r>
            <w:r>
              <w:rPr>
                <w:spacing w:val="-4"/>
                <w:sz w:val="20"/>
              </w:rPr>
              <w:t> </w:t>
            </w:r>
            <w:r>
              <w:rPr>
                <w:sz w:val="20"/>
              </w:rPr>
              <w:t>the</w:t>
            </w:r>
            <w:r>
              <w:rPr>
                <w:spacing w:val="-6"/>
                <w:sz w:val="20"/>
              </w:rPr>
              <w:t> </w:t>
            </w:r>
            <w:r>
              <w:rPr>
                <w:sz w:val="20"/>
              </w:rPr>
              <w:t>incorporation</w:t>
            </w:r>
            <w:r>
              <w:rPr>
                <w:spacing w:val="-6"/>
                <w:sz w:val="20"/>
              </w:rPr>
              <w:t> </w:t>
            </w:r>
            <w:r>
              <w:rPr>
                <w:sz w:val="20"/>
              </w:rPr>
              <w:t>of</w:t>
            </w:r>
            <w:r>
              <w:rPr>
                <w:spacing w:val="-7"/>
                <w:sz w:val="20"/>
              </w:rPr>
              <w:t> </w:t>
            </w:r>
            <w:r>
              <w:rPr>
                <w:sz w:val="20"/>
              </w:rPr>
              <w:t>citizen</w:t>
            </w:r>
            <w:r>
              <w:rPr>
                <w:spacing w:val="-6"/>
                <w:sz w:val="20"/>
              </w:rPr>
              <w:t> </w:t>
            </w:r>
            <w:r>
              <w:rPr>
                <w:sz w:val="20"/>
              </w:rPr>
              <w:t>input during</w:t>
            </w:r>
            <w:r>
              <w:rPr>
                <w:spacing w:val="-4"/>
                <w:sz w:val="20"/>
              </w:rPr>
              <w:t> </w:t>
            </w:r>
            <w:r>
              <w:rPr>
                <w:sz w:val="20"/>
              </w:rPr>
              <w:t>resource</w:t>
            </w:r>
            <w:r>
              <w:rPr>
                <w:spacing w:val="-5"/>
                <w:sz w:val="20"/>
              </w:rPr>
              <w:t> </w:t>
            </w:r>
            <w:r>
              <w:rPr>
                <w:spacing w:val="-2"/>
                <w:sz w:val="20"/>
              </w:rPr>
              <w:t>allocation</w:t>
            </w:r>
          </w:p>
        </w:tc>
      </w:tr>
      <w:tr>
        <w:trPr>
          <w:trHeight w:val="1034" w:hRule="atLeast"/>
        </w:trPr>
        <w:tc>
          <w:tcPr>
            <w:tcW w:w="2071" w:type="dxa"/>
          </w:tcPr>
          <w:p>
            <w:pPr>
              <w:pStyle w:val="TableParagraph"/>
              <w:spacing w:line="237" w:lineRule="auto"/>
              <w:ind w:left="107" w:right="777"/>
              <w:rPr>
                <w:sz w:val="20"/>
              </w:rPr>
            </w:pPr>
            <w:r>
              <w:rPr>
                <w:b/>
                <w:spacing w:val="-2"/>
                <w:sz w:val="20"/>
              </w:rPr>
              <w:t>Participants </w:t>
            </w:r>
            <w:r>
              <w:rPr>
                <w:spacing w:val="-2"/>
                <w:sz w:val="20"/>
              </w:rPr>
              <w:t>Invitation Selection Reasons</w:t>
            </w:r>
          </w:p>
        </w:tc>
        <w:tc>
          <w:tcPr>
            <w:tcW w:w="7021" w:type="dxa"/>
          </w:tcPr>
          <w:p>
            <w:pPr>
              <w:pStyle w:val="TableParagraph"/>
              <w:spacing w:before="223"/>
              <w:ind w:left="105" w:right="1711"/>
              <w:rPr>
                <w:sz w:val="20"/>
              </w:rPr>
            </w:pPr>
            <w:r>
              <w:rPr>
                <w:sz w:val="20"/>
              </w:rPr>
              <w:t>Council encourage participation as valuable interaction Purposive</w:t>
            </w:r>
            <w:r>
              <w:rPr>
                <w:spacing w:val="-5"/>
                <w:sz w:val="20"/>
              </w:rPr>
              <w:t> </w:t>
            </w:r>
            <w:r>
              <w:rPr>
                <w:sz w:val="20"/>
              </w:rPr>
              <w:t>criteria</w:t>
            </w:r>
            <w:r>
              <w:rPr>
                <w:spacing w:val="-5"/>
                <w:sz w:val="20"/>
              </w:rPr>
              <w:t> </w:t>
            </w:r>
            <w:r>
              <w:rPr>
                <w:sz w:val="20"/>
              </w:rPr>
              <w:t>to</w:t>
            </w:r>
            <w:r>
              <w:rPr>
                <w:spacing w:val="-4"/>
                <w:sz w:val="20"/>
              </w:rPr>
              <w:t> </w:t>
            </w:r>
            <w:r>
              <w:rPr>
                <w:sz w:val="20"/>
              </w:rPr>
              <w:t>foster</w:t>
            </w:r>
            <w:r>
              <w:rPr>
                <w:spacing w:val="-4"/>
                <w:sz w:val="20"/>
              </w:rPr>
              <w:t> </w:t>
            </w:r>
            <w:r>
              <w:rPr>
                <w:sz w:val="20"/>
              </w:rPr>
              <w:t>opportunity</w:t>
            </w:r>
            <w:r>
              <w:rPr>
                <w:spacing w:val="-9"/>
                <w:sz w:val="20"/>
              </w:rPr>
              <w:t> </w:t>
            </w:r>
            <w:r>
              <w:rPr>
                <w:sz w:val="20"/>
              </w:rPr>
              <w:t>as</w:t>
            </w:r>
            <w:r>
              <w:rPr>
                <w:spacing w:val="-3"/>
                <w:sz w:val="20"/>
              </w:rPr>
              <w:t> </w:t>
            </w:r>
            <w:r>
              <w:rPr>
                <w:sz w:val="20"/>
              </w:rPr>
              <w:t>well</w:t>
            </w:r>
            <w:r>
              <w:rPr>
                <w:spacing w:val="-5"/>
                <w:sz w:val="20"/>
              </w:rPr>
              <w:t> </w:t>
            </w:r>
            <w:r>
              <w:rPr>
                <w:sz w:val="20"/>
              </w:rPr>
              <w:t>as</w:t>
            </w:r>
            <w:r>
              <w:rPr>
                <w:spacing w:val="-6"/>
                <w:sz w:val="20"/>
              </w:rPr>
              <w:t> </w:t>
            </w:r>
            <w:r>
              <w:rPr>
                <w:sz w:val="20"/>
              </w:rPr>
              <w:t>representation Citizens</w:t>
            </w:r>
            <w:r>
              <w:rPr>
                <w:spacing w:val="-6"/>
                <w:sz w:val="20"/>
              </w:rPr>
              <w:t> </w:t>
            </w:r>
            <w:r>
              <w:rPr>
                <w:sz w:val="20"/>
              </w:rPr>
              <w:t>doing</w:t>
            </w:r>
            <w:r>
              <w:rPr>
                <w:spacing w:val="-6"/>
                <w:sz w:val="20"/>
              </w:rPr>
              <w:t> </w:t>
            </w:r>
            <w:r>
              <w:rPr>
                <w:sz w:val="20"/>
              </w:rPr>
              <w:t>civic</w:t>
            </w:r>
            <w:r>
              <w:rPr>
                <w:spacing w:val="-4"/>
                <w:sz w:val="20"/>
              </w:rPr>
              <w:t> </w:t>
            </w:r>
            <w:r>
              <w:rPr>
                <w:sz w:val="20"/>
              </w:rPr>
              <w:t>duty,</w:t>
            </w:r>
            <w:r>
              <w:rPr>
                <w:spacing w:val="-3"/>
                <w:sz w:val="20"/>
              </w:rPr>
              <w:t> </w:t>
            </w:r>
            <w:r>
              <w:rPr>
                <w:sz w:val="20"/>
              </w:rPr>
              <w:t>not</w:t>
            </w:r>
            <w:r>
              <w:rPr>
                <w:spacing w:val="-3"/>
                <w:sz w:val="20"/>
              </w:rPr>
              <w:t> </w:t>
            </w:r>
            <w:r>
              <w:rPr>
                <w:sz w:val="20"/>
              </w:rPr>
              <w:t>because</w:t>
            </w:r>
            <w:r>
              <w:rPr>
                <w:spacing w:val="-5"/>
                <w:sz w:val="20"/>
              </w:rPr>
              <w:t> </w:t>
            </w:r>
            <w:r>
              <w:rPr>
                <w:sz w:val="20"/>
              </w:rPr>
              <w:t>of</w:t>
            </w:r>
            <w:r>
              <w:rPr>
                <w:spacing w:val="-7"/>
                <w:sz w:val="20"/>
              </w:rPr>
              <w:t> </w:t>
            </w:r>
            <w:r>
              <w:rPr>
                <w:sz w:val="20"/>
              </w:rPr>
              <w:t>isolated</w:t>
            </w:r>
            <w:r>
              <w:rPr>
                <w:spacing w:val="-3"/>
                <w:sz w:val="20"/>
              </w:rPr>
              <w:t> </w:t>
            </w:r>
            <w:r>
              <w:rPr>
                <w:spacing w:val="-2"/>
                <w:sz w:val="20"/>
              </w:rPr>
              <w:t>dissatisfaction</w:t>
            </w:r>
          </w:p>
        </w:tc>
      </w:tr>
      <w:tr>
        <w:trPr>
          <w:trHeight w:val="1151" w:hRule="atLeast"/>
        </w:trPr>
        <w:tc>
          <w:tcPr>
            <w:tcW w:w="2071" w:type="dxa"/>
          </w:tcPr>
          <w:p>
            <w:pPr>
              <w:pStyle w:val="TableParagraph"/>
              <w:ind w:left="107" w:right="777"/>
              <w:rPr>
                <w:sz w:val="20"/>
              </w:rPr>
            </w:pPr>
            <w:r>
              <w:rPr>
                <w:b/>
                <w:spacing w:val="-2"/>
                <w:sz w:val="20"/>
              </w:rPr>
              <w:t>Mechanisms </w:t>
            </w:r>
            <w:r>
              <w:rPr>
                <w:spacing w:val="-2"/>
                <w:sz w:val="20"/>
              </w:rPr>
              <w:t>Opportunities Timing Coverage</w:t>
            </w:r>
          </w:p>
        </w:tc>
        <w:tc>
          <w:tcPr>
            <w:tcW w:w="7021" w:type="dxa"/>
          </w:tcPr>
          <w:p>
            <w:pPr>
              <w:pStyle w:val="TableParagraph"/>
              <w:spacing w:before="224"/>
              <w:ind w:left="105"/>
              <w:rPr>
                <w:sz w:val="20"/>
              </w:rPr>
            </w:pPr>
            <w:r>
              <w:rPr>
                <w:sz w:val="20"/>
              </w:rPr>
              <w:t>Multiple</w:t>
            </w:r>
            <w:r>
              <w:rPr>
                <w:spacing w:val="-6"/>
                <w:sz w:val="20"/>
              </w:rPr>
              <w:t> </w:t>
            </w:r>
            <w:r>
              <w:rPr>
                <w:sz w:val="20"/>
              </w:rPr>
              <w:t>opportunities</w:t>
            </w:r>
            <w:r>
              <w:rPr>
                <w:spacing w:val="-6"/>
                <w:sz w:val="20"/>
              </w:rPr>
              <w:t> </w:t>
            </w:r>
            <w:r>
              <w:rPr>
                <w:sz w:val="20"/>
              </w:rPr>
              <w:t>for</w:t>
            </w:r>
            <w:r>
              <w:rPr>
                <w:spacing w:val="-6"/>
                <w:sz w:val="20"/>
              </w:rPr>
              <w:t> </w:t>
            </w:r>
            <w:r>
              <w:rPr>
                <w:sz w:val="20"/>
              </w:rPr>
              <w:t>access</w:t>
            </w:r>
            <w:r>
              <w:rPr>
                <w:spacing w:val="-6"/>
                <w:sz w:val="20"/>
              </w:rPr>
              <w:t> </w:t>
            </w:r>
            <w:r>
              <w:rPr>
                <w:sz w:val="20"/>
              </w:rPr>
              <w:t>and</w:t>
            </w:r>
            <w:r>
              <w:rPr>
                <w:spacing w:val="-4"/>
                <w:sz w:val="20"/>
              </w:rPr>
              <w:t> </w:t>
            </w:r>
            <w:r>
              <w:rPr>
                <w:spacing w:val="-2"/>
                <w:sz w:val="20"/>
              </w:rPr>
              <w:t>interactive</w:t>
            </w:r>
          </w:p>
          <w:p>
            <w:pPr>
              <w:pStyle w:val="TableParagraph"/>
              <w:ind w:left="105"/>
              <w:rPr>
                <w:sz w:val="20"/>
              </w:rPr>
            </w:pPr>
            <w:r>
              <w:rPr>
                <w:sz w:val="20"/>
              </w:rPr>
              <w:t>Early</w:t>
            </w:r>
            <w:r>
              <w:rPr>
                <w:spacing w:val="-8"/>
                <w:sz w:val="20"/>
              </w:rPr>
              <w:t> </w:t>
            </w:r>
            <w:r>
              <w:rPr>
                <w:sz w:val="20"/>
              </w:rPr>
              <w:t>in</w:t>
            </w:r>
            <w:r>
              <w:rPr>
                <w:spacing w:val="-4"/>
                <w:sz w:val="20"/>
              </w:rPr>
              <w:t> </w:t>
            </w:r>
            <w:r>
              <w:rPr>
                <w:sz w:val="20"/>
              </w:rPr>
              <w:t>process,</w:t>
            </w:r>
            <w:r>
              <w:rPr>
                <w:spacing w:val="-3"/>
                <w:sz w:val="20"/>
              </w:rPr>
              <w:t> </w:t>
            </w:r>
            <w:r>
              <w:rPr>
                <w:sz w:val="20"/>
              </w:rPr>
              <w:t>sufficient,</w:t>
            </w:r>
            <w:r>
              <w:rPr>
                <w:spacing w:val="-3"/>
                <w:sz w:val="20"/>
              </w:rPr>
              <w:t> </w:t>
            </w:r>
            <w:r>
              <w:rPr>
                <w:sz w:val="20"/>
              </w:rPr>
              <w:t>but</w:t>
            </w:r>
            <w:r>
              <w:rPr>
                <w:spacing w:val="-4"/>
                <w:sz w:val="20"/>
              </w:rPr>
              <w:t> </w:t>
            </w:r>
            <w:r>
              <w:rPr>
                <w:sz w:val="20"/>
              </w:rPr>
              <w:t>not</w:t>
            </w:r>
            <w:r>
              <w:rPr>
                <w:spacing w:val="-4"/>
                <w:sz w:val="20"/>
              </w:rPr>
              <w:t> </w:t>
            </w:r>
            <w:r>
              <w:rPr>
                <w:sz w:val="20"/>
              </w:rPr>
              <w:t>an</w:t>
            </w:r>
            <w:r>
              <w:rPr>
                <w:spacing w:val="-5"/>
                <w:sz w:val="20"/>
              </w:rPr>
              <w:t> </w:t>
            </w:r>
            <w:r>
              <w:rPr>
                <w:sz w:val="20"/>
              </w:rPr>
              <w:t>unusually</w:t>
            </w:r>
            <w:r>
              <w:rPr>
                <w:spacing w:val="43"/>
                <w:sz w:val="20"/>
              </w:rPr>
              <w:t> </w:t>
            </w:r>
            <w:r>
              <w:rPr>
                <w:sz w:val="20"/>
              </w:rPr>
              <w:t>large</w:t>
            </w:r>
            <w:r>
              <w:rPr>
                <w:spacing w:val="-3"/>
                <w:sz w:val="20"/>
              </w:rPr>
              <w:t> </w:t>
            </w:r>
            <w:r>
              <w:rPr>
                <w:spacing w:val="-2"/>
                <w:sz w:val="20"/>
              </w:rPr>
              <w:t>duration</w:t>
            </w:r>
          </w:p>
          <w:p>
            <w:pPr>
              <w:pStyle w:val="TableParagraph"/>
              <w:spacing w:line="230" w:lineRule="atLeast"/>
              <w:ind w:left="105"/>
              <w:rPr>
                <w:sz w:val="20"/>
              </w:rPr>
            </w:pPr>
            <w:r>
              <w:rPr>
                <w:sz w:val="20"/>
              </w:rPr>
              <w:t>City wide concerns or large societal interests</w:t>
            </w:r>
            <w:r>
              <w:rPr>
                <w:spacing w:val="40"/>
                <w:sz w:val="20"/>
              </w:rPr>
              <w:t> </w:t>
            </w:r>
            <w:r>
              <w:rPr>
                <w:sz w:val="20"/>
              </w:rPr>
              <w:t>rather than single issue or geographic </w:t>
            </w:r>
            <w:r>
              <w:rPr>
                <w:spacing w:val="-2"/>
                <w:sz w:val="20"/>
              </w:rPr>
              <w:t>focus</w:t>
            </w:r>
          </w:p>
        </w:tc>
      </w:tr>
      <w:tr>
        <w:trPr>
          <w:trHeight w:val="1034" w:hRule="atLeast"/>
        </w:trPr>
        <w:tc>
          <w:tcPr>
            <w:tcW w:w="2071" w:type="dxa"/>
          </w:tcPr>
          <w:p>
            <w:pPr>
              <w:pStyle w:val="TableParagraph"/>
              <w:spacing w:line="237" w:lineRule="auto"/>
              <w:ind w:left="107" w:right="777"/>
              <w:rPr>
                <w:sz w:val="20"/>
              </w:rPr>
            </w:pPr>
            <w:r>
              <w:rPr>
                <w:b/>
                <w:spacing w:val="-2"/>
                <w:sz w:val="20"/>
              </w:rPr>
              <w:t>Process </w:t>
            </w:r>
            <w:r>
              <w:rPr>
                <w:spacing w:val="-2"/>
                <w:sz w:val="20"/>
              </w:rPr>
              <w:t>Purpose Format Preferences</w:t>
            </w:r>
          </w:p>
        </w:tc>
        <w:tc>
          <w:tcPr>
            <w:tcW w:w="7021" w:type="dxa"/>
          </w:tcPr>
          <w:p>
            <w:pPr>
              <w:pStyle w:val="TableParagraph"/>
              <w:spacing w:before="223"/>
              <w:ind w:left="105" w:right="77"/>
              <w:rPr>
                <w:sz w:val="20"/>
              </w:rPr>
            </w:pPr>
            <w:r>
              <w:rPr>
                <w:sz w:val="20"/>
              </w:rPr>
              <w:t>Explicitly stated and ensures sufficient education/knowledge/information transfer Presents materials in laymen‘s terms (tables, charts, graphs, comparisons) Participants</w:t>
            </w:r>
            <w:r>
              <w:rPr>
                <w:spacing w:val="-6"/>
                <w:sz w:val="20"/>
              </w:rPr>
              <w:t> </w:t>
            </w:r>
            <w:r>
              <w:rPr>
                <w:sz w:val="20"/>
              </w:rPr>
              <w:t>reveal</w:t>
            </w:r>
            <w:r>
              <w:rPr>
                <w:spacing w:val="-3"/>
                <w:sz w:val="20"/>
              </w:rPr>
              <w:t> </w:t>
            </w:r>
            <w:r>
              <w:rPr>
                <w:sz w:val="20"/>
              </w:rPr>
              <w:t>sincere</w:t>
            </w:r>
            <w:r>
              <w:rPr>
                <w:spacing w:val="-5"/>
                <w:sz w:val="20"/>
              </w:rPr>
              <w:t> </w:t>
            </w:r>
            <w:r>
              <w:rPr>
                <w:sz w:val="20"/>
              </w:rPr>
              <w:t>preferences</w:t>
            </w:r>
            <w:r>
              <w:rPr>
                <w:spacing w:val="-6"/>
                <w:sz w:val="20"/>
              </w:rPr>
              <w:t> </w:t>
            </w:r>
            <w:r>
              <w:rPr>
                <w:sz w:val="20"/>
              </w:rPr>
              <w:t>that weights</w:t>
            </w:r>
            <w:r>
              <w:rPr>
                <w:spacing w:val="-6"/>
                <w:sz w:val="20"/>
              </w:rPr>
              <w:t> </w:t>
            </w:r>
            <w:r>
              <w:rPr>
                <w:sz w:val="20"/>
              </w:rPr>
              <w:t>the</w:t>
            </w:r>
            <w:r>
              <w:rPr>
                <w:spacing w:val="-5"/>
                <w:sz w:val="20"/>
              </w:rPr>
              <w:t> </w:t>
            </w:r>
            <w:r>
              <w:rPr>
                <w:sz w:val="20"/>
              </w:rPr>
              <w:t>relative</w:t>
            </w:r>
            <w:r>
              <w:rPr>
                <w:spacing w:val="-5"/>
                <w:sz w:val="20"/>
              </w:rPr>
              <w:t> </w:t>
            </w:r>
            <w:r>
              <w:rPr>
                <w:sz w:val="20"/>
              </w:rPr>
              <w:t>importance</w:t>
            </w:r>
            <w:r>
              <w:rPr>
                <w:spacing w:val="-5"/>
                <w:sz w:val="20"/>
              </w:rPr>
              <w:t> </w:t>
            </w:r>
            <w:r>
              <w:rPr>
                <w:sz w:val="20"/>
              </w:rPr>
              <w:t>of</w:t>
            </w:r>
            <w:r>
              <w:rPr>
                <w:spacing w:val="-7"/>
                <w:sz w:val="20"/>
              </w:rPr>
              <w:t> </w:t>
            </w:r>
            <w:r>
              <w:rPr>
                <w:sz w:val="20"/>
              </w:rPr>
              <w:t>items</w:t>
            </w:r>
          </w:p>
        </w:tc>
      </w:tr>
      <w:tr>
        <w:trPr>
          <w:trHeight w:val="805" w:hRule="atLeast"/>
        </w:trPr>
        <w:tc>
          <w:tcPr>
            <w:tcW w:w="2071" w:type="dxa"/>
          </w:tcPr>
          <w:p>
            <w:pPr>
              <w:pStyle w:val="TableParagraph"/>
              <w:spacing w:line="228" w:lineRule="exact"/>
              <w:ind w:left="107"/>
              <w:rPr>
                <w:b/>
                <w:sz w:val="20"/>
              </w:rPr>
            </w:pPr>
            <w:r>
              <w:rPr>
                <w:b/>
                <w:sz w:val="20"/>
              </w:rPr>
              <w:t>Desired</w:t>
            </w:r>
            <w:r>
              <w:rPr>
                <w:b/>
                <w:spacing w:val="-7"/>
                <w:sz w:val="20"/>
              </w:rPr>
              <w:t> </w:t>
            </w:r>
            <w:r>
              <w:rPr>
                <w:b/>
                <w:spacing w:val="-2"/>
                <w:sz w:val="20"/>
              </w:rPr>
              <w:t>Outcomes</w:t>
            </w:r>
          </w:p>
        </w:tc>
        <w:tc>
          <w:tcPr>
            <w:tcW w:w="7021" w:type="dxa"/>
          </w:tcPr>
          <w:p>
            <w:pPr>
              <w:pStyle w:val="TableParagraph"/>
              <w:ind w:left="105" w:right="2624"/>
              <w:rPr>
                <w:sz w:val="20"/>
              </w:rPr>
            </w:pPr>
            <w:r>
              <w:rPr>
                <w:sz w:val="20"/>
              </w:rPr>
              <w:t>Decision makers use information for stated purpose Two-way</w:t>
            </w:r>
            <w:r>
              <w:rPr>
                <w:spacing w:val="-11"/>
                <w:sz w:val="20"/>
              </w:rPr>
              <w:t> </w:t>
            </w:r>
            <w:r>
              <w:rPr>
                <w:sz w:val="20"/>
              </w:rPr>
              <w:t>communication</w:t>
            </w:r>
            <w:r>
              <w:rPr>
                <w:spacing w:val="-9"/>
                <w:sz w:val="20"/>
              </w:rPr>
              <w:t> </w:t>
            </w:r>
            <w:r>
              <w:rPr>
                <w:sz w:val="20"/>
              </w:rPr>
              <w:t>and</w:t>
            </w:r>
            <w:r>
              <w:rPr>
                <w:spacing w:val="-5"/>
                <w:sz w:val="20"/>
              </w:rPr>
              <w:t> </w:t>
            </w:r>
            <w:r>
              <w:rPr>
                <w:sz w:val="20"/>
              </w:rPr>
              <w:t>feedback</w:t>
            </w:r>
            <w:r>
              <w:rPr>
                <w:spacing w:val="-9"/>
                <w:sz w:val="20"/>
              </w:rPr>
              <w:t> </w:t>
            </w:r>
            <w:r>
              <w:rPr>
                <w:sz w:val="20"/>
              </w:rPr>
              <w:t>on</w:t>
            </w:r>
            <w:r>
              <w:rPr>
                <w:spacing w:val="-9"/>
                <w:sz w:val="20"/>
              </w:rPr>
              <w:t> </w:t>
            </w:r>
            <w:r>
              <w:rPr>
                <w:sz w:val="20"/>
              </w:rPr>
              <w:t>utilization Participants are satisfied and perceive impact</w:t>
            </w:r>
          </w:p>
        </w:tc>
      </w:tr>
    </w:tbl>
    <w:p>
      <w:pPr>
        <w:spacing w:before="0"/>
        <w:ind w:left="240" w:right="0" w:firstLine="0"/>
        <w:jc w:val="both"/>
        <w:rPr>
          <w:sz w:val="24"/>
        </w:rPr>
      </w:pPr>
      <w:r>
        <w:rPr>
          <w:b/>
          <w:sz w:val="24"/>
        </w:rPr>
        <w:t>Source:</w:t>
      </w:r>
      <w:r>
        <w:rPr>
          <w:b/>
          <w:spacing w:val="-2"/>
          <w:sz w:val="24"/>
        </w:rPr>
        <w:t> </w:t>
      </w:r>
      <w:r>
        <w:rPr>
          <w:sz w:val="24"/>
        </w:rPr>
        <w:t>Ebdon</w:t>
      </w:r>
      <w:r>
        <w:rPr>
          <w:spacing w:val="-1"/>
          <w:sz w:val="24"/>
        </w:rPr>
        <w:t> </w:t>
      </w:r>
      <w:r>
        <w:rPr>
          <w:sz w:val="24"/>
        </w:rPr>
        <w:t>and</w:t>
      </w:r>
      <w:r>
        <w:rPr>
          <w:spacing w:val="-1"/>
          <w:sz w:val="24"/>
        </w:rPr>
        <w:t> </w:t>
      </w:r>
      <w:r>
        <w:rPr>
          <w:sz w:val="24"/>
        </w:rPr>
        <w:t>Aimee</w:t>
      </w:r>
      <w:r>
        <w:rPr>
          <w:spacing w:val="-2"/>
          <w:sz w:val="24"/>
        </w:rPr>
        <w:t> (2006)</w:t>
      </w:r>
    </w:p>
    <w:p>
      <w:pPr>
        <w:pStyle w:val="BodyText"/>
        <w:spacing w:before="176"/>
      </w:pPr>
    </w:p>
    <w:p>
      <w:pPr>
        <w:pStyle w:val="Heading4"/>
        <w:numPr>
          <w:ilvl w:val="2"/>
          <w:numId w:val="7"/>
        </w:numPr>
        <w:tabs>
          <w:tab w:pos="899" w:val="left" w:leader="none"/>
        </w:tabs>
        <w:spacing w:line="240" w:lineRule="auto" w:before="0" w:after="0"/>
        <w:ind w:left="899" w:right="0" w:hanging="659"/>
        <w:jc w:val="both"/>
      </w:pPr>
      <w:r>
        <w:rPr/>
        <w:t>Citizen</w:t>
      </w:r>
      <w:r>
        <w:rPr>
          <w:spacing w:val="-1"/>
        </w:rPr>
        <w:t> </w:t>
      </w:r>
      <w:r>
        <w:rPr/>
        <w:t>Participation</w:t>
      </w:r>
      <w:r>
        <w:rPr>
          <w:spacing w:val="-2"/>
        </w:rPr>
        <w:t> </w:t>
      </w:r>
      <w:r>
        <w:rPr/>
        <w:t>in</w:t>
      </w:r>
      <w:r>
        <w:rPr>
          <w:spacing w:val="-2"/>
        </w:rPr>
        <w:t> </w:t>
      </w:r>
      <w:r>
        <w:rPr/>
        <w:t>the</w:t>
      </w:r>
      <w:r>
        <w:rPr>
          <w:spacing w:val="-2"/>
        </w:rPr>
        <w:t> </w:t>
      </w:r>
      <w:r>
        <w:rPr/>
        <w:t>Budget</w:t>
      </w:r>
      <w:r>
        <w:rPr>
          <w:spacing w:val="-2"/>
        </w:rPr>
        <w:t> Process</w:t>
      </w:r>
    </w:p>
    <w:p>
      <w:pPr>
        <w:pStyle w:val="BodyText"/>
        <w:spacing w:line="360" w:lineRule="auto" w:before="134"/>
        <w:ind w:left="240" w:right="838"/>
        <w:jc w:val="both"/>
      </w:pPr>
      <w:r>
        <w:rPr/>
        <w:t>Calls</w:t>
      </w:r>
      <w:r>
        <w:rPr>
          <w:spacing w:val="-3"/>
        </w:rPr>
        <w:t> </w:t>
      </w:r>
      <w:r>
        <w:rPr/>
        <w:t>for</w:t>
      </w:r>
      <w:r>
        <w:rPr>
          <w:spacing w:val="-4"/>
        </w:rPr>
        <w:t> </w:t>
      </w:r>
      <w:r>
        <w:rPr/>
        <w:t>citizen</w:t>
      </w:r>
      <w:r>
        <w:rPr>
          <w:spacing w:val="-3"/>
        </w:rPr>
        <w:t> </w:t>
      </w:r>
      <w:r>
        <w:rPr/>
        <w:t>participation</w:t>
      </w:r>
      <w:r>
        <w:rPr>
          <w:spacing w:val="-3"/>
        </w:rPr>
        <w:t> </w:t>
      </w:r>
      <w:r>
        <w:rPr/>
        <w:t>in</w:t>
      </w:r>
      <w:r>
        <w:rPr>
          <w:spacing w:val="-3"/>
        </w:rPr>
        <w:t> </w:t>
      </w:r>
      <w:r>
        <w:rPr/>
        <w:t>resource</w:t>
      </w:r>
      <w:r>
        <w:rPr>
          <w:spacing w:val="-4"/>
        </w:rPr>
        <w:t> </w:t>
      </w:r>
      <w:r>
        <w:rPr/>
        <w:t>allocation decisions</w:t>
      </w:r>
      <w:r>
        <w:rPr>
          <w:spacing w:val="-3"/>
        </w:rPr>
        <w:t> </w:t>
      </w:r>
      <w:r>
        <w:rPr/>
        <w:t>have</w:t>
      </w:r>
      <w:r>
        <w:rPr>
          <w:spacing w:val="-4"/>
        </w:rPr>
        <w:t> </w:t>
      </w:r>
      <w:r>
        <w:rPr/>
        <w:t>been</w:t>
      </w:r>
      <w:r>
        <w:rPr>
          <w:spacing w:val="-3"/>
        </w:rPr>
        <w:t> </w:t>
      </w:r>
      <w:r>
        <w:rPr/>
        <w:t>heard</w:t>
      </w:r>
      <w:r>
        <w:rPr>
          <w:spacing w:val="-3"/>
        </w:rPr>
        <w:t> </w:t>
      </w:r>
      <w:r>
        <w:rPr/>
        <w:t>in</w:t>
      </w:r>
      <w:r>
        <w:rPr>
          <w:spacing w:val="-3"/>
        </w:rPr>
        <w:t> </w:t>
      </w:r>
      <w:r>
        <w:rPr/>
        <w:t>the</w:t>
      </w:r>
      <w:r>
        <w:rPr>
          <w:spacing w:val="-2"/>
        </w:rPr>
        <w:t> </w:t>
      </w:r>
      <w:r>
        <w:rPr/>
        <w:t>past.</w:t>
      </w:r>
      <w:r>
        <w:rPr>
          <w:spacing w:val="-3"/>
        </w:rPr>
        <w:t> </w:t>
      </w:r>
      <w:r>
        <w:rPr/>
        <w:t>During the early 1900s, Frederick Cleveland, noted that government should be both responsive and efficient and that ensuring effective government decisions was the duty of both elected officials and citizens. The introduction of rational administration separated from value driven political decisions</w:t>
      </w:r>
      <w:r>
        <w:rPr>
          <w:spacing w:val="17"/>
        </w:rPr>
        <w:t> </w:t>
      </w:r>
      <w:r>
        <w:rPr/>
        <w:t>might</w:t>
      </w:r>
      <w:r>
        <w:rPr>
          <w:spacing w:val="20"/>
        </w:rPr>
        <w:t> </w:t>
      </w:r>
      <w:r>
        <w:rPr/>
        <w:t>have</w:t>
      </w:r>
      <w:r>
        <w:rPr>
          <w:spacing w:val="19"/>
        </w:rPr>
        <w:t> </w:t>
      </w:r>
      <w:r>
        <w:rPr/>
        <w:t>signaled</w:t>
      </w:r>
      <w:r>
        <w:rPr>
          <w:spacing w:val="19"/>
        </w:rPr>
        <w:t> </w:t>
      </w:r>
      <w:r>
        <w:rPr/>
        <w:t>an</w:t>
      </w:r>
      <w:r>
        <w:rPr>
          <w:spacing w:val="20"/>
        </w:rPr>
        <w:t> </w:t>
      </w:r>
      <w:r>
        <w:rPr/>
        <w:t>ideal</w:t>
      </w:r>
      <w:r>
        <w:rPr>
          <w:spacing w:val="20"/>
        </w:rPr>
        <w:t> </w:t>
      </w:r>
      <w:r>
        <w:rPr/>
        <w:t>opportunity</w:t>
      </w:r>
      <w:r>
        <w:rPr>
          <w:spacing w:val="18"/>
        </w:rPr>
        <w:t> </w:t>
      </w:r>
      <w:r>
        <w:rPr/>
        <w:t>to</w:t>
      </w:r>
      <w:r>
        <w:rPr>
          <w:spacing w:val="20"/>
        </w:rPr>
        <w:t> </w:t>
      </w:r>
      <w:r>
        <w:rPr/>
        <w:t>solicit</w:t>
      </w:r>
      <w:r>
        <w:rPr>
          <w:spacing w:val="21"/>
        </w:rPr>
        <w:t> </w:t>
      </w:r>
      <w:r>
        <w:rPr/>
        <w:t>input</w:t>
      </w:r>
      <w:r>
        <w:rPr>
          <w:spacing w:val="21"/>
        </w:rPr>
        <w:t> </w:t>
      </w:r>
      <w:r>
        <w:rPr/>
        <w:t>from</w:t>
      </w:r>
      <w:r>
        <w:rPr>
          <w:spacing w:val="20"/>
        </w:rPr>
        <w:t> </w:t>
      </w:r>
      <w:r>
        <w:rPr/>
        <w:t>the</w:t>
      </w:r>
      <w:r>
        <w:rPr>
          <w:spacing w:val="19"/>
        </w:rPr>
        <w:t> </w:t>
      </w:r>
      <w:r>
        <w:rPr/>
        <w:t>citizenry</w:t>
      </w:r>
      <w:r>
        <w:rPr>
          <w:spacing w:val="15"/>
        </w:rPr>
        <w:t> </w:t>
      </w:r>
      <w:r>
        <w:rPr>
          <w:spacing w:val="-2"/>
        </w:rPr>
        <w:t>regarding</w:t>
      </w:r>
    </w:p>
    <w:p>
      <w:pPr>
        <w:spacing w:after="0" w:line="360" w:lineRule="auto"/>
        <w:jc w:val="both"/>
        <w:sectPr>
          <w:pgSz w:w="12240" w:h="15840"/>
          <w:pgMar w:header="0" w:footer="1036" w:top="1360" w:bottom="1220" w:left="1200" w:right="600"/>
        </w:sectPr>
      </w:pPr>
    </w:p>
    <w:p>
      <w:pPr>
        <w:pStyle w:val="BodyText"/>
        <w:spacing w:line="360" w:lineRule="auto" w:before="74"/>
        <w:ind w:left="240" w:right="839"/>
        <w:jc w:val="both"/>
      </w:pPr>
      <w:r>
        <w:rPr/>
        <w:t>budgetary preferences. However, the emphasis on technical expertise brought about by the call for rational analysis silenced the average citizen and shifted control over the debate to government officials (Kelly and Rivenbark, 2006).</w:t>
      </w:r>
    </w:p>
    <w:p>
      <w:pPr>
        <w:pStyle w:val="BodyText"/>
        <w:spacing w:before="28"/>
      </w:pPr>
    </w:p>
    <w:p>
      <w:pPr>
        <w:pStyle w:val="BodyText"/>
        <w:spacing w:line="360" w:lineRule="auto"/>
        <w:ind w:left="240" w:right="833"/>
        <w:jc w:val="both"/>
      </w:pPr>
      <w:r>
        <w:rPr/>
        <w:t>Citizen participation in government budgeting processes or decisions is a topic that has received attention for many decades. Many State and local governments are currently struggling with fiscal stress - in some cases, the worst they have experienced in decades (Ebdon and Franklin, 2006).</w:t>
      </w:r>
      <w:r>
        <w:rPr>
          <w:spacing w:val="40"/>
        </w:rPr>
        <w:t> </w:t>
      </w:r>
      <w:r>
        <w:rPr/>
        <w:t>Painful decisions are required regarding spending and service reductions. Many governments are struggling with how to include citizens in budgetary decision making. Thus,</w:t>
      </w:r>
      <w:r>
        <w:rPr>
          <w:spacing w:val="80"/>
        </w:rPr>
        <w:t> </w:t>
      </w:r>
      <w:r>
        <w:rPr/>
        <w:t>this appears to be an important time for citizens to play a role in helping elected officials determine the best solutions for government and the community. Participation in the budgetary process can be very useful in educating the public about key trade-offs and gaining valuable</w:t>
      </w:r>
      <w:r>
        <w:rPr>
          <w:spacing w:val="40"/>
        </w:rPr>
        <w:t> </w:t>
      </w:r>
      <w:r>
        <w:rPr/>
        <w:t>input from citizens about their priorities and preferences.</w:t>
      </w:r>
    </w:p>
    <w:p>
      <w:pPr>
        <w:pStyle w:val="BodyText"/>
        <w:spacing w:before="165"/>
      </w:pPr>
    </w:p>
    <w:p>
      <w:pPr>
        <w:pStyle w:val="BodyText"/>
        <w:spacing w:line="360" w:lineRule="auto" w:before="1"/>
        <w:ind w:left="240" w:right="833"/>
        <w:jc w:val="both"/>
      </w:pPr>
      <w:r>
        <w:rPr/>
        <w:t>For a nation like Nigeria, which has for a long time suffered under the weight of the misconceived notion that budgeting decisions for most major development projects like road construction, electricity, water supply, and housing should be carried out by the government alone, makes it an arduous and onerous task enlightening and re-orienting the citizenry otherwise? Much is required to convince an average Nigerian into believing that he should, as a duty contribute to projects initiated by the government.</w:t>
      </w:r>
    </w:p>
    <w:p>
      <w:pPr>
        <w:pStyle w:val="BodyText"/>
        <w:spacing w:before="158"/>
      </w:pPr>
    </w:p>
    <w:p>
      <w:pPr>
        <w:pStyle w:val="BodyText"/>
        <w:spacing w:line="360" w:lineRule="auto" w:before="1"/>
        <w:ind w:left="240" w:right="836"/>
        <w:jc w:val="both"/>
      </w:pPr>
      <w:r>
        <w:rPr/>
        <w:t>For</w:t>
      </w:r>
      <w:r>
        <w:rPr>
          <w:spacing w:val="-1"/>
        </w:rPr>
        <w:t> </w:t>
      </w:r>
      <w:r>
        <w:rPr/>
        <w:t>the community</w:t>
      </w:r>
      <w:r>
        <w:rPr>
          <w:spacing w:val="-5"/>
        </w:rPr>
        <w:t> </w:t>
      </w:r>
      <w:r>
        <w:rPr/>
        <w:t>to buy</w:t>
      </w:r>
      <w:r>
        <w:rPr>
          <w:spacing w:val="-3"/>
        </w:rPr>
        <w:t> </w:t>
      </w:r>
      <w:r>
        <w:rPr/>
        <w:t>into project decisions, it needs to be</w:t>
      </w:r>
      <w:r>
        <w:rPr>
          <w:spacing w:val="-1"/>
        </w:rPr>
        <w:t> </w:t>
      </w:r>
      <w:r>
        <w:rPr/>
        <w:t>involved from the</w:t>
      </w:r>
      <w:r>
        <w:rPr>
          <w:spacing w:val="-1"/>
        </w:rPr>
        <w:t> </w:t>
      </w:r>
      <w:r>
        <w:rPr/>
        <w:t>initial stages of plan formulation, through planning, and design to execution and evaluation. In Anambra State</w:t>
      </w:r>
      <w:r>
        <w:rPr>
          <w:spacing w:val="40"/>
        </w:rPr>
        <w:t> </w:t>
      </w:r>
      <w:r>
        <w:rPr/>
        <w:t>for example, communities are directed to monitor project execution in their jurisdictions when the contract specifications are not known to them. What do they monitor? For them to monitor effectively, the contract terms must be known to them. Similarly, for them to participate fully in such project development, they should have been carried along, when the budget provision for such projects were been made and not when it has already been approved and published. For community participation in the budgeting process to work, a great deal of openness is required from</w:t>
      </w:r>
      <w:r>
        <w:rPr>
          <w:spacing w:val="11"/>
        </w:rPr>
        <w:t> </w:t>
      </w:r>
      <w:r>
        <w:rPr/>
        <w:t>government.</w:t>
      </w:r>
      <w:r>
        <w:rPr>
          <w:spacing w:val="11"/>
        </w:rPr>
        <w:t> </w:t>
      </w:r>
      <w:r>
        <w:rPr/>
        <w:t>After</w:t>
      </w:r>
      <w:r>
        <w:rPr>
          <w:spacing w:val="12"/>
        </w:rPr>
        <w:t> </w:t>
      </w:r>
      <w:r>
        <w:rPr/>
        <w:t>all,</w:t>
      </w:r>
      <w:r>
        <w:rPr>
          <w:spacing w:val="10"/>
        </w:rPr>
        <w:t> </w:t>
      </w:r>
      <w:r>
        <w:rPr/>
        <w:t>as</w:t>
      </w:r>
      <w:r>
        <w:rPr>
          <w:spacing w:val="13"/>
        </w:rPr>
        <w:t> </w:t>
      </w:r>
      <w:r>
        <w:rPr/>
        <w:t>Peter</w:t>
      </w:r>
      <w:r>
        <w:rPr>
          <w:spacing w:val="10"/>
        </w:rPr>
        <w:t> </w:t>
      </w:r>
      <w:r>
        <w:rPr/>
        <w:t>Obi,</w:t>
      </w:r>
      <w:r>
        <w:rPr>
          <w:spacing w:val="12"/>
        </w:rPr>
        <w:t> </w:t>
      </w:r>
      <w:r>
        <w:rPr/>
        <w:t>a</w:t>
      </w:r>
      <w:r>
        <w:rPr>
          <w:spacing w:val="12"/>
        </w:rPr>
        <w:t> </w:t>
      </w:r>
      <w:r>
        <w:rPr/>
        <w:t>former</w:t>
      </w:r>
      <w:r>
        <w:rPr>
          <w:spacing w:val="10"/>
        </w:rPr>
        <w:t> </w:t>
      </w:r>
      <w:r>
        <w:rPr/>
        <w:t>Governor</w:t>
      </w:r>
      <w:r>
        <w:rPr>
          <w:spacing w:val="11"/>
        </w:rPr>
        <w:t> </w:t>
      </w:r>
      <w:r>
        <w:rPr/>
        <w:t>of</w:t>
      </w:r>
      <w:r>
        <w:rPr>
          <w:spacing w:val="12"/>
        </w:rPr>
        <w:t> </w:t>
      </w:r>
      <w:r>
        <w:rPr/>
        <w:t>Anambra</w:t>
      </w:r>
      <w:r>
        <w:rPr>
          <w:spacing w:val="11"/>
        </w:rPr>
        <w:t> </w:t>
      </w:r>
      <w:r>
        <w:rPr/>
        <w:t>State</w:t>
      </w:r>
      <w:r>
        <w:rPr>
          <w:spacing w:val="9"/>
        </w:rPr>
        <w:t> </w:t>
      </w:r>
      <w:r>
        <w:rPr/>
        <w:t>says,</w:t>
      </w:r>
      <w:r>
        <w:rPr>
          <w:spacing w:val="13"/>
        </w:rPr>
        <w:t> </w:t>
      </w:r>
      <w:r>
        <w:rPr/>
        <w:t>the</w:t>
      </w:r>
      <w:r>
        <w:rPr>
          <w:spacing w:val="11"/>
        </w:rPr>
        <w:t> </w:t>
      </w:r>
      <w:r>
        <w:rPr>
          <w:spacing w:val="-2"/>
        </w:rPr>
        <w:t>money</w:t>
      </w:r>
    </w:p>
    <w:p>
      <w:pPr>
        <w:spacing w:after="0" w:line="360" w:lineRule="auto"/>
        <w:jc w:val="both"/>
        <w:sectPr>
          <w:pgSz w:w="12240" w:h="15840"/>
          <w:pgMar w:header="0" w:footer="1036" w:top="1360" w:bottom="1220" w:left="1200" w:right="600"/>
        </w:sectPr>
      </w:pPr>
    </w:p>
    <w:p>
      <w:pPr>
        <w:pStyle w:val="BodyText"/>
        <w:spacing w:line="360" w:lineRule="auto" w:before="74"/>
        <w:ind w:left="240" w:right="844"/>
        <w:jc w:val="both"/>
      </w:pPr>
      <w:r>
        <w:rPr/>
        <w:t>for projects belong to the people. If that is so, vigilance and monitoring on the part of the community demands full knowledge.</w:t>
      </w:r>
    </w:p>
    <w:p>
      <w:pPr>
        <w:pStyle w:val="BodyText"/>
        <w:spacing w:before="159"/>
      </w:pPr>
    </w:p>
    <w:p>
      <w:pPr>
        <w:pStyle w:val="BodyText"/>
        <w:spacing w:line="360" w:lineRule="auto"/>
        <w:ind w:left="240" w:right="834"/>
        <w:jc w:val="both"/>
      </w:pPr>
      <w:r>
        <w:rPr/>
        <w:t>From the foregoing, we can say that if the public budgeting problem in Nigeria will ever be solved, then public participation becomes inevitable; if the housing budgeting problem in Anambra State can be meaningfully handled, then public participation must be resorted to. Cook (1975) notes that citizen participation can legitimize a program, its plans, actions and leadership. To legitimize can often mean the difference between success and failure. Unsupported leaders can become discouraged and drop activities that are potentially beneficial to community residents. Without this support, scores of worthwhile housing projects would never be achieved in many communities of Anambra State.</w:t>
      </w:r>
    </w:p>
    <w:p>
      <w:pPr>
        <w:pStyle w:val="BodyText"/>
        <w:spacing w:before="229"/>
      </w:pPr>
    </w:p>
    <w:p>
      <w:pPr>
        <w:pStyle w:val="BodyText"/>
        <w:spacing w:line="360" w:lineRule="auto"/>
        <w:ind w:left="240" w:right="838"/>
        <w:jc w:val="both"/>
      </w:pPr>
      <w:r>
        <w:rPr/>
        <w:t>This research has, as one of its problem variables, the absence of voluntary citizen participation in housing budget decisions of the government. Hence, citizens do not just participate or get involved</w:t>
      </w:r>
      <w:r>
        <w:rPr>
          <w:spacing w:val="-2"/>
        </w:rPr>
        <w:t> </w:t>
      </w:r>
      <w:r>
        <w:rPr/>
        <w:t>in</w:t>
      </w:r>
      <w:r>
        <w:rPr>
          <w:spacing w:val="-2"/>
        </w:rPr>
        <w:t> </w:t>
      </w:r>
      <w:r>
        <w:rPr/>
        <w:t>housing</w:t>
      </w:r>
      <w:r>
        <w:rPr>
          <w:spacing w:val="-4"/>
        </w:rPr>
        <w:t> </w:t>
      </w:r>
      <w:r>
        <w:rPr/>
        <w:t>budget</w:t>
      </w:r>
      <w:r>
        <w:rPr>
          <w:spacing w:val="-2"/>
        </w:rPr>
        <w:t> </w:t>
      </w:r>
      <w:r>
        <w:rPr/>
        <w:t>decisions,</w:t>
      </w:r>
      <w:r>
        <w:rPr>
          <w:spacing w:val="-2"/>
        </w:rPr>
        <w:t> </w:t>
      </w:r>
      <w:r>
        <w:rPr/>
        <w:t>they</w:t>
      </w:r>
      <w:r>
        <w:rPr>
          <w:spacing w:val="-7"/>
        </w:rPr>
        <w:t> </w:t>
      </w:r>
      <w:r>
        <w:rPr/>
        <w:t>must</w:t>
      </w:r>
      <w:r>
        <w:rPr>
          <w:spacing w:val="-2"/>
        </w:rPr>
        <w:t> </w:t>
      </w:r>
      <w:r>
        <w:rPr/>
        <w:t>also</w:t>
      </w:r>
      <w:r>
        <w:rPr>
          <w:spacing w:val="-2"/>
        </w:rPr>
        <w:t> </w:t>
      </w:r>
      <w:r>
        <w:rPr/>
        <w:t>be</w:t>
      </w:r>
      <w:r>
        <w:rPr>
          <w:spacing w:val="-2"/>
        </w:rPr>
        <w:t> </w:t>
      </w:r>
      <w:r>
        <w:rPr/>
        <w:t>carried</w:t>
      </w:r>
      <w:r>
        <w:rPr>
          <w:spacing w:val="-2"/>
        </w:rPr>
        <w:t> </w:t>
      </w:r>
      <w:r>
        <w:rPr/>
        <w:t>along;</w:t>
      </w:r>
      <w:r>
        <w:rPr>
          <w:spacing w:val="-2"/>
        </w:rPr>
        <w:t> </w:t>
      </w:r>
      <w:r>
        <w:rPr/>
        <w:t>and</w:t>
      </w:r>
      <w:r>
        <w:rPr>
          <w:spacing w:val="-2"/>
        </w:rPr>
        <w:t> </w:t>
      </w:r>
      <w:r>
        <w:rPr/>
        <w:t>their</w:t>
      </w:r>
      <w:r>
        <w:rPr>
          <w:spacing w:val="-2"/>
        </w:rPr>
        <w:t> </w:t>
      </w:r>
      <w:r>
        <w:rPr/>
        <w:t>opinions</w:t>
      </w:r>
      <w:r>
        <w:rPr>
          <w:spacing w:val="-2"/>
        </w:rPr>
        <w:t> </w:t>
      </w:r>
      <w:r>
        <w:rPr/>
        <w:t>must</w:t>
      </w:r>
      <w:r>
        <w:rPr>
          <w:spacing w:val="-2"/>
        </w:rPr>
        <w:t> </w:t>
      </w:r>
      <w:r>
        <w:rPr/>
        <w:t>be sought</w:t>
      </w:r>
      <w:r>
        <w:rPr>
          <w:spacing w:val="-3"/>
        </w:rPr>
        <w:t> </w:t>
      </w:r>
      <w:r>
        <w:rPr/>
        <w:t>before</w:t>
      </w:r>
      <w:r>
        <w:rPr>
          <w:spacing w:val="-2"/>
        </w:rPr>
        <w:t> </w:t>
      </w:r>
      <w:r>
        <w:rPr/>
        <w:t>final</w:t>
      </w:r>
      <w:r>
        <w:rPr>
          <w:spacing w:val="-3"/>
        </w:rPr>
        <w:t> </w:t>
      </w:r>
      <w:r>
        <w:rPr/>
        <w:t>budget</w:t>
      </w:r>
      <w:r>
        <w:rPr>
          <w:spacing w:val="-3"/>
        </w:rPr>
        <w:t> </w:t>
      </w:r>
      <w:r>
        <w:rPr/>
        <w:t>approvals.</w:t>
      </w:r>
      <w:r>
        <w:rPr>
          <w:spacing w:val="-1"/>
        </w:rPr>
        <w:t> </w:t>
      </w:r>
      <w:r>
        <w:rPr/>
        <w:t>In</w:t>
      </w:r>
      <w:r>
        <w:rPr>
          <w:spacing w:val="-3"/>
        </w:rPr>
        <w:t> </w:t>
      </w:r>
      <w:r>
        <w:rPr/>
        <w:t>other</w:t>
      </w:r>
      <w:r>
        <w:rPr>
          <w:spacing w:val="-3"/>
        </w:rPr>
        <w:t> </w:t>
      </w:r>
      <w:r>
        <w:rPr/>
        <w:t>words,</w:t>
      </w:r>
      <w:r>
        <w:rPr>
          <w:spacing w:val="-3"/>
        </w:rPr>
        <w:t> </w:t>
      </w:r>
      <w:r>
        <w:rPr/>
        <w:t>citizen</w:t>
      </w:r>
      <w:r>
        <w:rPr>
          <w:spacing w:val="-3"/>
        </w:rPr>
        <w:t> </w:t>
      </w:r>
      <w:r>
        <w:rPr/>
        <w:t>participation</w:t>
      </w:r>
      <w:r>
        <w:rPr>
          <w:spacing w:val="-1"/>
        </w:rPr>
        <w:t> </w:t>
      </w:r>
      <w:r>
        <w:rPr/>
        <w:t>begins</w:t>
      </w:r>
      <w:r>
        <w:rPr>
          <w:spacing w:val="-1"/>
        </w:rPr>
        <w:t> </w:t>
      </w:r>
      <w:r>
        <w:rPr/>
        <w:t>when</w:t>
      </w:r>
      <w:r>
        <w:rPr>
          <w:spacing w:val="-3"/>
        </w:rPr>
        <w:t> </w:t>
      </w:r>
      <w:r>
        <w:rPr/>
        <w:t>the</w:t>
      </w:r>
      <w:r>
        <w:rPr>
          <w:spacing w:val="-2"/>
        </w:rPr>
        <w:t> </w:t>
      </w:r>
      <w:r>
        <w:rPr/>
        <w:t>public for whom policies are made are carried along from the on-set of the making of the policies or decisions guiding the allocation of housing budgets till the time of executing the housing </w:t>
      </w:r>
      <w:r>
        <w:rPr>
          <w:spacing w:val="-2"/>
        </w:rPr>
        <w:t>schemes.</w:t>
      </w:r>
    </w:p>
    <w:p>
      <w:pPr>
        <w:spacing w:after="0" w:line="360" w:lineRule="auto"/>
        <w:jc w:val="both"/>
        <w:sectPr>
          <w:pgSz w:w="12240" w:h="15840"/>
          <w:pgMar w:header="0" w:footer="1036" w:top="1360" w:bottom="1220" w:left="1200" w:right="600"/>
        </w:sectPr>
      </w:pPr>
    </w:p>
    <w:p>
      <w:pPr>
        <w:pStyle w:val="Heading1"/>
        <w:ind w:right="595"/>
      </w:pPr>
      <w:r>
        <w:rPr/>
        <w:t>CHAPTER</w:t>
      </w:r>
      <w:r>
        <w:rPr>
          <w:spacing w:val="-8"/>
        </w:rPr>
        <w:t> </w:t>
      </w:r>
      <w:r>
        <w:rPr>
          <w:spacing w:val="-2"/>
        </w:rPr>
        <w:t>THREE</w:t>
      </w:r>
    </w:p>
    <w:p>
      <w:pPr>
        <w:pStyle w:val="Heading2"/>
      </w:pPr>
      <w:r>
        <w:rPr/>
        <w:t>REVIEW</w:t>
      </w:r>
      <w:r>
        <w:rPr>
          <w:spacing w:val="-8"/>
        </w:rPr>
        <w:t> </w:t>
      </w:r>
      <w:r>
        <w:rPr/>
        <w:t>OF</w:t>
      </w:r>
      <w:r>
        <w:rPr>
          <w:spacing w:val="-9"/>
        </w:rPr>
        <w:t> </w:t>
      </w:r>
      <w:r>
        <w:rPr/>
        <w:t>RELATED</w:t>
      </w:r>
      <w:r>
        <w:rPr>
          <w:spacing w:val="-8"/>
        </w:rPr>
        <w:t> </w:t>
      </w:r>
      <w:r>
        <w:rPr>
          <w:spacing w:val="-2"/>
        </w:rPr>
        <w:t>LITERATURE</w:t>
      </w:r>
    </w:p>
    <w:p>
      <w:pPr>
        <w:pStyle w:val="BodyText"/>
        <w:rPr>
          <w:b/>
          <w:sz w:val="26"/>
        </w:rPr>
      </w:pPr>
    </w:p>
    <w:p>
      <w:pPr>
        <w:pStyle w:val="BodyText"/>
        <w:spacing w:before="1"/>
        <w:rPr>
          <w:b/>
          <w:sz w:val="26"/>
        </w:rPr>
      </w:pPr>
    </w:p>
    <w:p>
      <w:pPr>
        <w:pStyle w:val="Heading3"/>
        <w:numPr>
          <w:ilvl w:val="1"/>
          <w:numId w:val="27"/>
        </w:numPr>
        <w:tabs>
          <w:tab w:pos="628" w:val="left" w:leader="none"/>
        </w:tabs>
        <w:spacing w:line="240" w:lineRule="auto" w:before="0" w:after="0"/>
        <w:ind w:left="628" w:right="0" w:hanging="388"/>
        <w:jc w:val="both"/>
      </w:pPr>
      <w:r>
        <w:rPr/>
        <w:t>Overview</w:t>
      </w:r>
      <w:r>
        <w:rPr>
          <w:spacing w:val="-7"/>
        </w:rPr>
        <w:t> </w:t>
      </w:r>
      <w:r>
        <w:rPr/>
        <w:t>of</w:t>
      </w:r>
      <w:r>
        <w:rPr>
          <w:spacing w:val="-11"/>
        </w:rPr>
        <w:t> </w:t>
      </w:r>
      <w:r>
        <w:rPr>
          <w:spacing w:val="-2"/>
        </w:rPr>
        <w:t>Budgeting</w:t>
      </w:r>
    </w:p>
    <w:p>
      <w:pPr>
        <w:pStyle w:val="BodyText"/>
        <w:spacing w:line="360" w:lineRule="auto" w:before="144"/>
        <w:ind w:left="240" w:right="835"/>
        <w:jc w:val="both"/>
      </w:pPr>
      <w:r>
        <w:rPr/>
        <w:t>In the traditional sense, the primary purpose of preparing a budget is to understand and control costs (Fagbenle and Owolabi, 2004).</w:t>
      </w:r>
      <w:r>
        <w:rPr>
          <w:spacing w:val="40"/>
        </w:rPr>
        <w:t> </w:t>
      </w:r>
      <w:r>
        <w:rPr/>
        <w:t>This notion of budget has transformed into using budget proposal as an instrument for individual, public and private policy. It is useful to all parties involved in a project as a planning and control tool. Budget could be employed by the client to get priorities among projects competing for limited resources. It enables the client to set the machinery in motion for meeting the interim valuations as when due and also used to justify the elimination of</w:t>
      </w:r>
      <w:r>
        <w:rPr>
          <w:spacing w:val="-1"/>
        </w:rPr>
        <w:t> </w:t>
      </w:r>
      <w:r>
        <w:rPr/>
        <w:t>uneconomic</w:t>
      </w:r>
      <w:r>
        <w:rPr>
          <w:spacing w:val="-1"/>
        </w:rPr>
        <w:t> </w:t>
      </w:r>
      <w:r>
        <w:rPr/>
        <w:t>project(s) as well as the</w:t>
      </w:r>
      <w:r>
        <w:rPr>
          <w:spacing w:val="-1"/>
        </w:rPr>
        <w:t> </w:t>
      </w:r>
      <w:r>
        <w:rPr/>
        <w:t>revision of</w:t>
      </w:r>
      <w:r>
        <w:rPr>
          <w:spacing w:val="-1"/>
        </w:rPr>
        <w:t> </w:t>
      </w:r>
      <w:r>
        <w:rPr/>
        <w:t>his objectives to meet the</w:t>
      </w:r>
      <w:r>
        <w:rPr>
          <w:spacing w:val="-1"/>
        </w:rPr>
        <w:t> </w:t>
      </w:r>
      <w:r>
        <w:rPr/>
        <w:t>demand of a project. Budget could also be employed by the consultants as cost control tool in managing projects in order to meet clients‘ requirements of function and ensuring completion on time within the set cost and required quality standards.</w:t>
      </w:r>
    </w:p>
    <w:p>
      <w:pPr>
        <w:pStyle w:val="BodyText"/>
        <w:spacing w:before="138"/>
      </w:pPr>
    </w:p>
    <w:p>
      <w:pPr>
        <w:pStyle w:val="BodyText"/>
        <w:spacing w:line="360" w:lineRule="auto"/>
        <w:ind w:left="240" w:right="837"/>
        <w:jc w:val="both"/>
      </w:pPr>
      <w:r>
        <w:rPr/>
        <w:t>Several authors have provided useful definitions of budget, and a number of them are examined as follows: The Chartered Institute of Cost and Management Accountants (CICMA) (2003) defines budget as a comprehensive and coordinated plan qualified or expressed</w:t>
      </w:r>
      <w:r>
        <w:rPr>
          <w:spacing w:val="40"/>
        </w:rPr>
        <w:t> </w:t>
      </w:r>
      <w:r>
        <w:rPr/>
        <w:t>in financial or monetary terms, prepared and approved prior to a defined period of time, usually showing planned income to be generated or expenditure to be incurred during that period and the capital</w:t>
      </w:r>
      <w:r>
        <w:rPr>
          <w:spacing w:val="40"/>
        </w:rPr>
        <w:t> </w:t>
      </w:r>
      <w:r>
        <w:rPr/>
        <w:t>to be employed to attain a given objective. Thus, a well prepared budget acts as a mechanism to plan operations or activities.</w:t>
      </w:r>
    </w:p>
    <w:p>
      <w:pPr>
        <w:pStyle w:val="BodyText"/>
        <w:spacing w:before="139"/>
      </w:pPr>
    </w:p>
    <w:p>
      <w:pPr>
        <w:pStyle w:val="BodyText"/>
        <w:spacing w:line="360" w:lineRule="auto"/>
        <w:ind w:left="240" w:right="835"/>
        <w:jc w:val="both"/>
      </w:pPr>
      <w:r>
        <w:rPr/>
        <w:t>The two aspects of every operation are revenues and expenses, and the budget must plan for revenue and expenses related to a specific operation. Planning should not only be done for revenue and expenses, but the resources necessary to carry out operations. CICMA (2003) also maintain that a budget is an action plan, simple or complex set out to be pursued from the first month of the year to the end of the year (i.e. annually) or it can also be done quarterly. This plan details all projected inflows and outflows during some future period and shows how to allocate limited financial resources to achieve them. A budget states the course of future action, and thus serves</w:t>
      </w:r>
      <w:r>
        <w:rPr>
          <w:spacing w:val="15"/>
        </w:rPr>
        <w:t> </w:t>
      </w:r>
      <w:r>
        <w:rPr/>
        <w:t>management‘s</w:t>
      </w:r>
      <w:r>
        <w:rPr>
          <w:spacing w:val="16"/>
        </w:rPr>
        <w:t> </w:t>
      </w:r>
      <w:r>
        <w:rPr/>
        <w:t>primary</w:t>
      </w:r>
      <w:r>
        <w:rPr>
          <w:spacing w:val="12"/>
        </w:rPr>
        <w:t> </w:t>
      </w:r>
      <w:r>
        <w:rPr/>
        <w:t>functions</w:t>
      </w:r>
      <w:r>
        <w:rPr>
          <w:spacing w:val="17"/>
        </w:rPr>
        <w:t> </w:t>
      </w:r>
      <w:r>
        <w:rPr/>
        <w:t>in</w:t>
      </w:r>
      <w:r>
        <w:rPr>
          <w:spacing w:val="17"/>
        </w:rPr>
        <w:t> </w:t>
      </w:r>
      <w:r>
        <w:rPr/>
        <w:t>the</w:t>
      </w:r>
      <w:r>
        <w:rPr>
          <w:spacing w:val="17"/>
        </w:rPr>
        <w:t> </w:t>
      </w:r>
      <w:r>
        <w:rPr/>
        <w:t>same</w:t>
      </w:r>
      <w:r>
        <w:rPr>
          <w:spacing w:val="16"/>
        </w:rPr>
        <w:t> </w:t>
      </w:r>
      <w:r>
        <w:rPr/>
        <w:t>manner</w:t>
      </w:r>
      <w:r>
        <w:rPr>
          <w:spacing w:val="16"/>
        </w:rPr>
        <w:t> </w:t>
      </w:r>
      <w:r>
        <w:rPr/>
        <w:t>that</w:t>
      </w:r>
      <w:r>
        <w:rPr>
          <w:spacing w:val="17"/>
        </w:rPr>
        <w:t> </w:t>
      </w:r>
      <w:r>
        <w:rPr/>
        <w:t>the</w:t>
      </w:r>
      <w:r>
        <w:rPr>
          <w:spacing w:val="16"/>
        </w:rPr>
        <w:t> </w:t>
      </w:r>
      <w:r>
        <w:rPr/>
        <w:t>architect‘s</w:t>
      </w:r>
      <w:r>
        <w:rPr>
          <w:spacing w:val="22"/>
        </w:rPr>
        <w:t> </w:t>
      </w:r>
      <w:r>
        <w:rPr/>
        <w:t>blue</w:t>
      </w:r>
      <w:r>
        <w:rPr>
          <w:spacing w:val="16"/>
        </w:rPr>
        <w:t> </w:t>
      </w:r>
      <w:r>
        <w:rPr/>
        <w:t>prints</w:t>
      </w:r>
      <w:r>
        <w:rPr>
          <w:spacing w:val="18"/>
        </w:rPr>
        <w:t> </w:t>
      </w:r>
      <w:r>
        <w:rPr>
          <w:spacing w:val="-4"/>
        </w:rPr>
        <w:t>aids</w:t>
      </w:r>
    </w:p>
    <w:p>
      <w:pPr>
        <w:spacing w:after="0" w:line="360" w:lineRule="auto"/>
        <w:jc w:val="both"/>
        <w:sectPr>
          <w:pgSz w:w="12240" w:h="15840"/>
          <w:pgMar w:header="0" w:footer="1036" w:top="1360" w:bottom="1220" w:left="1200" w:right="600"/>
        </w:sectPr>
      </w:pPr>
    </w:p>
    <w:p>
      <w:pPr>
        <w:pStyle w:val="BodyText"/>
        <w:spacing w:line="360" w:lineRule="auto" w:before="74"/>
        <w:ind w:left="240" w:right="838"/>
        <w:jc w:val="both"/>
      </w:pPr>
      <w:r>
        <w:rPr/>
        <w:t>the builder</w:t>
      </w:r>
      <w:r>
        <w:rPr>
          <w:spacing w:val="40"/>
        </w:rPr>
        <w:t> </w:t>
      </w:r>
      <w:r>
        <w:rPr/>
        <w:t>and the navigators flight plan aids the pilots. Individuals and families often use of budgeting techniques as an aid to careful management of their resources while budgets play an important role in operating</w:t>
      </w:r>
      <w:r>
        <w:rPr>
          <w:spacing w:val="-1"/>
        </w:rPr>
        <w:t> </w:t>
      </w:r>
      <w:r>
        <w:rPr/>
        <w:t>most instrumental plans of the government from rural school districts and small villages to gigantic agencies of the federal government. Idris (2009) further stresses that budgeting does not stop at the establishment of specific goals for future operations but there must be a periodic comparison of actual results with these goals.</w:t>
      </w:r>
    </w:p>
    <w:p>
      <w:pPr>
        <w:pStyle w:val="BodyText"/>
        <w:spacing w:line="360" w:lineRule="auto" w:before="243"/>
        <w:ind w:left="240" w:right="838"/>
        <w:jc w:val="both"/>
      </w:pPr>
      <w:r>
        <w:rPr/>
        <w:t>According to Muhammed (2009), the objectives of a budget are to: (i) assist/ direct managers to plan for a business policy over a defined period of time for an organization (ii) coordinate all the functions of an organization in such a manner that the different departments of the organization can be brought together and reconcile into a common cost (iii) evaluate performance and cost at the end of the budget period by making comparisons between actual and the target set in the budget, in order to determine any deviation and the correlation measure that may be taken without delay and (iv) serve as a guide and useful device for influencing managerial behavior</w:t>
      </w:r>
      <w:r>
        <w:rPr>
          <w:spacing w:val="40"/>
        </w:rPr>
        <w:t> </w:t>
      </w:r>
      <w:r>
        <w:rPr/>
        <w:t>and motivating managers to perform in line with the organizational goals</w:t>
      </w:r>
      <w:r>
        <w:rPr>
          <w:spacing w:val="40"/>
        </w:rPr>
        <w:t> </w:t>
      </w:r>
      <w:r>
        <w:rPr/>
        <w:t>and objectives by clearly defining the responsibilities and target for each unit.</w:t>
      </w:r>
    </w:p>
    <w:p>
      <w:pPr>
        <w:pStyle w:val="BodyText"/>
        <w:spacing w:line="360" w:lineRule="auto" w:before="252"/>
        <w:ind w:left="240" w:right="836"/>
        <w:jc w:val="both"/>
      </w:pPr>
      <w:r>
        <w:rPr/>
        <w:t>Budgets can be used by both private and public organizations and budget processes can broadly be classified as either capital or operating budgets. According to Muhammed (2009), capital budgeting or investment appraisal is a process concerned with analyzing, evaluating and</w:t>
      </w:r>
      <w:r>
        <w:rPr>
          <w:spacing w:val="40"/>
        </w:rPr>
        <w:t> </w:t>
      </w:r>
      <w:r>
        <w:rPr/>
        <w:t>selecting the most profitable project for investment. A capital budget is concerned with current investment that will pay for itself and yield acceptable rate of returns over its life span. It entails determining</w:t>
      </w:r>
      <w:r>
        <w:rPr>
          <w:spacing w:val="-1"/>
        </w:rPr>
        <w:t> </w:t>
      </w:r>
      <w:r>
        <w:rPr/>
        <w:t>whether an organization's long</w:t>
      </w:r>
      <w:r>
        <w:rPr>
          <w:spacing w:val="-1"/>
        </w:rPr>
        <w:t> </w:t>
      </w:r>
      <w:r>
        <w:rPr/>
        <w:t>term </w:t>
      </w:r>
      <w:hyperlink r:id="rId30">
        <w:r>
          <w:rPr/>
          <w:t>investments</w:t>
        </w:r>
      </w:hyperlink>
      <w:r>
        <w:rPr/>
        <w:t> or ventures such as a new building, new machinery or plant, new products, and research development projects are worth the funding of cash through the firm's capitalization structure (debt, equity or retained earnings). It is simply the process of allocating resources for major </w:t>
      </w:r>
      <w:hyperlink r:id="rId31">
        <w:r>
          <w:rPr/>
          <w:t>capital</w:t>
        </w:r>
      </w:hyperlink>
      <w:r>
        <w:rPr/>
        <w:t>, or investment, expenditures. One of the primary goals of capital budgeting investments is to increase the value of the firm to the shareholders. Hence, it seeks to evaluate potential expenses or investments that are large in</w:t>
      </w:r>
      <w:r>
        <w:rPr>
          <w:spacing w:val="40"/>
        </w:rPr>
        <w:t> </w:t>
      </w:r>
      <w:r>
        <w:rPr/>
        <w:t>nature (Patel, 2009). On the other hand, an operating budget is a </w:t>
      </w:r>
      <w:hyperlink r:id="rId32">
        <w:r>
          <w:rPr/>
          <w:t>plan</w:t>
        </w:r>
      </w:hyperlink>
      <w:r>
        <w:rPr/>
        <w:t> for </w:t>
      </w:r>
      <w:hyperlink r:id="rId33">
        <w:r>
          <w:rPr/>
          <w:t>expenditures</w:t>
        </w:r>
      </w:hyperlink>
      <w:r>
        <w:rPr/>
        <w:t> </w:t>
      </w:r>
      <w:hyperlink r:id="rId34">
        <w:r>
          <w:rPr/>
          <w:t>required</w:t>
        </w:r>
      </w:hyperlink>
      <w:r>
        <w:rPr>
          <w:spacing w:val="80"/>
        </w:rPr>
        <w:t> </w:t>
      </w:r>
      <w:r>
        <w:rPr/>
        <w:t>to </w:t>
      </w:r>
      <w:hyperlink r:id="rId35">
        <w:r>
          <w:rPr/>
          <w:t>maintain</w:t>
        </w:r>
      </w:hyperlink>
      <w:r>
        <w:rPr/>
        <w:t> the functioning of a </w:t>
      </w:r>
      <w:hyperlink r:id="rId36">
        <w:r>
          <w:rPr/>
          <w:t>business venture</w:t>
        </w:r>
      </w:hyperlink>
      <w:r>
        <w:rPr/>
        <w:t> or public </w:t>
      </w:r>
      <w:hyperlink r:id="rId37">
        <w:r>
          <w:rPr/>
          <w:t>organization</w:t>
        </w:r>
      </w:hyperlink>
      <w:r>
        <w:rPr/>
        <w:t>. For example, a </w:t>
      </w:r>
      <w:hyperlink r:id="rId38">
        <w:r>
          <w:rPr/>
          <w:t>typical</w:t>
        </w:r>
      </w:hyperlink>
      <w:r>
        <w:rPr/>
        <w:t> </w:t>
      </w:r>
      <w:hyperlink r:id="rId39">
        <w:r>
          <w:rPr/>
          <w:t>operational</w:t>
        </w:r>
      </w:hyperlink>
      <w:r>
        <w:rPr>
          <w:spacing w:val="61"/>
        </w:rPr>
        <w:t> </w:t>
      </w:r>
      <w:r>
        <w:rPr/>
        <w:t>budget</w:t>
      </w:r>
      <w:r>
        <w:rPr>
          <w:spacing w:val="64"/>
        </w:rPr>
        <w:t> </w:t>
      </w:r>
      <w:r>
        <w:rPr/>
        <w:t>might</w:t>
      </w:r>
      <w:r>
        <w:rPr>
          <w:spacing w:val="64"/>
        </w:rPr>
        <w:t> </w:t>
      </w:r>
      <w:r>
        <w:rPr/>
        <w:t>include</w:t>
      </w:r>
      <w:r>
        <w:rPr>
          <w:spacing w:val="62"/>
        </w:rPr>
        <w:t> </w:t>
      </w:r>
      <w:r>
        <w:rPr/>
        <w:t>anticipated</w:t>
      </w:r>
      <w:r>
        <w:rPr>
          <w:spacing w:val="68"/>
        </w:rPr>
        <w:t> </w:t>
      </w:r>
      <w:hyperlink r:id="rId40">
        <w:r>
          <w:rPr/>
          <w:t>material</w:t>
        </w:r>
      </w:hyperlink>
      <w:r>
        <w:rPr/>
        <w:t>,</w:t>
      </w:r>
      <w:r>
        <w:rPr>
          <w:spacing w:val="63"/>
        </w:rPr>
        <w:t> </w:t>
      </w:r>
      <w:r>
        <w:rPr/>
        <w:t>machine</w:t>
      </w:r>
      <w:r>
        <w:rPr>
          <w:spacing w:val="65"/>
        </w:rPr>
        <w:t> </w:t>
      </w:r>
      <w:r>
        <w:rPr/>
        <w:t>and</w:t>
      </w:r>
      <w:r>
        <w:rPr>
          <w:spacing w:val="64"/>
        </w:rPr>
        <w:t> </w:t>
      </w:r>
      <w:hyperlink r:id="rId41">
        <w:r>
          <w:rPr/>
          <w:t>labor/man</w:t>
        </w:r>
        <w:r>
          <w:rPr>
            <w:spacing w:val="63"/>
          </w:rPr>
          <w:t> </w:t>
        </w:r>
        <w:r>
          <w:rPr/>
          <w:t>power</w:t>
        </w:r>
        <w:r>
          <w:rPr>
            <w:spacing w:val="62"/>
          </w:rPr>
          <w:t> </w:t>
        </w:r>
        <w:r>
          <w:rPr>
            <w:spacing w:val="-2"/>
          </w:rPr>
          <w:t>costs</w:t>
        </w:r>
      </w:hyperlink>
    </w:p>
    <w:p>
      <w:pPr>
        <w:spacing w:after="0" w:line="360" w:lineRule="auto"/>
        <w:jc w:val="both"/>
        <w:sectPr>
          <w:pgSz w:w="12240" w:h="15840"/>
          <w:pgMar w:header="0" w:footer="1036" w:top="1360" w:bottom="1220" w:left="1200" w:right="600"/>
        </w:sectPr>
      </w:pPr>
    </w:p>
    <w:p>
      <w:pPr>
        <w:pStyle w:val="BodyText"/>
        <w:spacing w:line="360" w:lineRule="auto" w:before="74"/>
        <w:ind w:left="240" w:right="840"/>
        <w:jc w:val="both"/>
      </w:pPr>
      <w:r>
        <w:rPr/>
        <w:t>needed to run the </w:t>
      </w:r>
      <w:hyperlink r:id="rId42">
        <w:r>
          <w:rPr/>
          <w:t>business</w:t>
        </w:r>
      </w:hyperlink>
      <w:r>
        <w:rPr/>
        <w:t> and to </w:t>
      </w:r>
      <w:hyperlink r:id="rId43">
        <w:r>
          <w:rPr/>
          <w:t>manufacture</w:t>
        </w:r>
      </w:hyperlink>
      <w:r>
        <w:rPr/>
        <w:t> </w:t>
      </w:r>
      <w:hyperlink r:id="rId44">
        <w:r>
          <w:rPr/>
          <w:t>products</w:t>
        </w:r>
      </w:hyperlink>
      <w:r>
        <w:rPr/>
        <w:t> or </w:t>
      </w:r>
      <w:hyperlink r:id="rId45">
        <w:r>
          <w:rPr/>
          <w:t>provide</w:t>
        </w:r>
      </w:hyperlink>
      <w:r>
        <w:rPr/>
        <w:t> </w:t>
      </w:r>
      <w:hyperlink r:id="rId46">
        <w:r>
          <w:rPr/>
          <w:t>services.</w:t>
        </w:r>
      </w:hyperlink>
      <w:r>
        <w:rPr/>
        <w:t> Operating budgets are usually completed in advance of the accounting period (Oladapo, 2001; Patel, 2009).</w:t>
      </w:r>
    </w:p>
    <w:p>
      <w:pPr>
        <w:pStyle w:val="BodyText"/>
      </w:pPr>
    </w:p>
    <w:p>
      <w:pPr>
        <w:pStyle w:val="BodyText"/>
        <w:spacing w:line="360" w:lineRule="auto" w:before="1"/>
        <w:ind w:left="240" w:right="833"/>
        <w:jc w:val="both"/>
      </w:pPr>
      <w:r>
        <w:rPr/>
        <w:t>Capital budgeting decisions, both at federal, state or local Government level poses some challenges. It is however a part of strategic planning. Strategic investment decisions comprise future investment directions, rate of growth and growth strategies. This process provides an impetus for the generation of ideas. Ideas are studied and evaluated in the capital budgeting process and many decisions are taken in this process. Oladapo (2001) states that budgetary planning for capital projects is very topical at a time where the downward trend in economic fortunes. Such downward trends have adverse and disturbing effects particularly on the building and construction industry. The effects are evident by the number of abandoned capital project sites, which are not-only on the increase, but are fast becoming a source of concern. Oladapo (2001) further laments that the major reason attributable to most abandoned projects is poor budgetary</w:t>
      </w:r>
      <w:r>
        <w:rPr>
          <w:spacing w:val="-1"/>
        </w:rPr>
        <w:t> </w:t>
      </w:r>
      <w:r>
        <w:rPr/>
        <w:t>planning. The present approach, to project budget planning, execution and monitoring is open to abuses and inefficiency, which calls for urgent action by the government or public </w:t>
      </w:r>
      <w:r>
        <w:rPr>
          <w:spacing w:val="-2"/>
        </w:rPr>
        <w:t>sector.</w:t>
      </w:r>
    </w:p>
    <w:p>
      <w:pPr>
        <w:pStyle w:val="BodyText"/>
      </w:pPr>
    </w:p>
    <w:p>
      <w:pPr>
        <w:pStyle w:val="BodyText"/>
        <w:spacing w:before="250"/>
      </w:pPr>
    </w:p>
    <w:p>
      <w:pPr>
        <w:pStyle w:val="Heading3"/>
        <w:numPr>
          <w:ilvl w:val="2"/>
          <w:numId w:val="27"/>
        </w:numPr>
        <w:tabs>
          <w:tab w:pos="822" w:val="left" w:leader="none"/>
        </w:tabs>
        <w:spacing w:line="240" w:lineRule="auto" w:before="0" w:after="0"/>
        <w:ind w:left="822" w:right="0" w:hanging="582"/>
        <w:jc w:val="left"/>
      </w:pPr>
      <w:r>
        <w:rPr/>
        <w:t>Public</w:t>
      </w:r>
      <w:r>
        <w:rPr>
          <w:spacing w:val="-7"/>
        </w:rPr>
        <w:t> </w:t>
      </w:r>
      <w:r>
        <w:rPr/>
        <w:t>Sector</w:t>
      </w:r>
      <w:r>
        <w:rPr>
          <w:spacing w:val="-7"/>
        </w:rPr>
        <w:t> </w:t>
      </w:r>
      <w:r>
        <w:rPr>
          <w:spacing w:val="-2"/>
        </w:rPr>
        <w:t>Budgeting</w:t>
      </w:r>
    </w:p>
    <w:p>
      <w:pPr>
        <w:pStyle w:val="BodyText"/>
        <w:spacing w:line="360" w:lineRule="auto" w:before="274"/>
        <w:ind w:left="240" w:right="839"/>
        <w:jc w:val="both"/>
      </w:pPr>
      <w:r>
        <w:rPr/>
        <w:t>According to Emma (2001); Ugwu (2006); Ekewealor (2007); Malgwi and Unegbu (2012), the word ‗Budget‘ was derived from the French word ‗Bougettte‘ meaning a wallet or leather bag. The</w:t>
      </w:r>
      <w:r>
        <w:rPr>
          <w:spacing w:val="-1"/>
        </w:rPr>
        <w:t> </w:t>
      </w:r>
      <w:r>
        <w:rPr/>
        <w:t>word was first used in 1733 by</w:t>
      </w:r>
      <w:r>
        <w:rPr>
          <w:spacing w:val="-4"/>
        </w:rPr>
        <w:t> </w:t>
      </w:r>
      <w:r>
        <w:rPr/>
        <w:t>Mr Wapole, the British Chancellor of Exchequer in England, who used to carry his official papers in a leather bag to the House of Commons. These official papers contained the yearly financial plan which he would place before the house (Edwards, </w:t>
      </w:r>
      <w:r>
        <w:rPr>
          <w:spacing w:val="-2"/>
        </w:rPr>
        <w:t>1945)</w:t>
      </w:r>
    </w:p>
    <w:p>
      <w:pPr>
        <w:pStyle w:val="BodyText"/>
        <w:spacing w:line="360" w:lineRule="auto" w:before="207"/>
        <w:ind w:left="240" w:right="836"/>
        <w:jc w:val="both"/>
      </w:pPr>
      <w:r>
        <w:rPr/>
        <w:t>Hence, budget in its literary</w:t>
      </w:r>
      <w:r>
        <w:rPr>
          <w:spacing w:val="-4"/>
        </w:rPr>
        <w:t> </w:t>
      </w:r>
      <w:r>
        <w:rPr/>
        <w:t>sense</w:t>
      </w:r>
      <w:r>
        <w:rPr>
          <w:spacing w:val="-1"/>
        </w:rPr>
        <w:t> </w:t>
      </w:r>
      <w:r>
        <w:rPr/>
        <w:t>means a</w:t>
      </w:r>
      <w:r>
        <w:rPr>
          <w:spacing w:val="-1"/>
        </w:rPr>
        <w:t> </w:t>
      </w:r>
      <w:r>
        <w:rPr/>
        <w:t>leather bag</w:t>
      </w:r>
      <w:r>
        <w:rPr>
          <w:spacing w:val="-2"/>
        </w:rPr>
        <w:t> </w:t>
      </w:r>
      <w:r>
        <w:rPr/>
        <w:t>or</w:t>
      </w:r>
      <w:r>
        <w:rPr>
          <w:spacing w:val="-1"/>
        </w:rPr>
        <w:t> </w:t>
      </w:r>
      <w:r>
        <w:rPr/>
        <w:t>satchel to carry</w:t>
      </w:r>
      <w:r>
        <w:rPr>
          <w:spacing w:val="-4"/>
        </w:rPr>
        <w:t> </w:t>
      </w:r>
      <w:r>
        <w:rPr/>
        <w:t>official papers</w:t>
      </w:r>
      <w:r>
        <w:rPr>
          <w:spacing w:val="-1"/>
        </w:rPr>
        <w:t> </w:t>
      </w:r>
      <w:r>
        <w:rPr/>
        <w:t>in. From this association, it came to mean those papers themselves, more specifically the papers</w:t>
      </w:r>
      <w:r>
        <w:rPr>
          <w:spacing w:val="40"/>
        </w:rPr>
        <w:t> </w:t>
      </w:r>
      <w:r>
        <w:rPr/>
        <w:t>containing the financial proposals for the year or those plans of government finances submitted for the approval of the legislature (Ugoo, 2008).</w:t>
      </w:r>
      <w:r>
        <w:rPr>
          <w:spacing w:val="40"/>
        </w:rPr>
        <w:t> </w:t>
      </w:r>
      <w:r>
        <w:rPr/>
        <w:t>Thus, Budget is British in origin and has been accepted by other countries from there, including Nigeria.</w:t>
      </w:r>
    </w:p>
    <w:p>
      <w:pPr>
        <w:spacing w:after="0" w:line="360" w:lineRule="auto"/>
        <w:jc w:val="both"/>
        <w:sectPr>
          <w:pgSz w:w="12240" w:h="15840"/>
          <w:pgMar w:header="0" w:footer="1036" w:top="1360" w:bottom="1220" w:left="1200" w:right="600"/>
        </w:sectPr>
      </w:pPr>
    </w:p>
    <w:p>
      <w:pPr>
        <w:pStyle w:val="Heading4"/>
        <w:numPr>
          <w:ilvl w:val="2"/>
          <w:numId w:val="27"/>
        </w:numPr>
        <w:tabs>
          <w:tab w:pos="720" w:val="left" w:leader="none"/>
        </w:tabs>
        <w:spacing w:line="240" w:lineRule="auto" w:before="79" w:after="0"/>
        <w:ind w:left="720" w:right="0" w:hanging="480"/>
        <w:jc w:val="both"/>
        <w:rPr>
          <w:sz w:val="22"/>
        </w:rPr>
      </w:pPr>
      <w:r>
        <w:rPr/>
        <w:t>`</w:t>
      </w:r>
      <w:r>
        <w:rPr>
          <w:spacing w:val="-4"/>
        </w:rPr>
        <w:t> </w:t>
      </w:r>
      <w:r>
        <w:rPr/>
        <w:t>The</w:t>
      </w:r>
      <w:r>
        <w:rPr>
          <w:spacing w:val="-2"/>
        </w:rPr>
        <w:t> </w:t>
      </w:r>
      <w:r>
        <w:rPr/>
        <w:t>need</w:t>
      </w:r>
      <w:r>
        <w:rPr>
          <w:spacing w:val="-1"/>
        </w:rPr>
        <w:t> </w:t>
      </w:r>
      <w:r>
        <w:rPr/>
        <w:t>for</w:t>
      </w:r>
      <w:r>
        <w:rPr>
          <w:spacing w:val="-2"/>
        </w:rPr>
        <w:t> </w:t>
      </w:r>
      <w:r>
        <w:rPr/>
        <w:t>Public</w:t>
      </w:r>
      <w:r>
        <w:rPr>
          <w:spacing w:val="-1"/>
        </w:rPr>
        <w:t> </w:t>
      </w:r>
      <w:r>
        <w:rPr>
          <w:spacing w:val="-2"/>
        </w:rPr>
        <w:t>Budgeting</w:t>
      </w:r>
    </w:p>
    <w:p>
      <w:pPr>
        <w:pStyle w:val="BodyText"/>
        <w:spacing w:line="360" w:lineRule="auto" w:before="132"/>
        <w:ind w:left="240" w:right="831"/>
        <w:jc w:val="both"/>
      </w:pPr>
      <w:r>
        <w:rPr/>
        <w:t>Ugoo (2008) opines that the needs and demands that make claims on government resources are limitless; yet the resources to meet all these demands and claims are limited. There is therefore the need for a financial plan which not only mobilizes public resources but endeavours to</w:t>
      </w:r>
      <w:r>
        <w:rPr>
          <w:spacing w:val="40"/>
        </w:rPr>
        <w:t> </w:t>
      </w:r>
      <w:r>
        <w:rPr/>
        <w:t>allocate the same to the competing needs of the society. The scope and content of a budget</w:t>
      </w:r>
      <w:r>
        <w:rPr>
          <w:spacing w:val="40"/>
        </w:rPr>
        <w:t> </w:t>
      </w:r>
      <w:r>
        <w:rPr/>
        <w:t>differs from place to place and country to country, according to the participants in the budgetary process and the underlying norms, values, interests and the economic goals of the budgetary actors. Wealthy</w:t>
      </w:r>
      <w:r>
        <w:rPr>
          <w:spacing w:val="-3"/>
        </w:rPr>
        <w:t> </w:t>
      </w:r>
      <w:r>
        <w:rPr/>
        <w:t>nations such as the USA, Germany, Japan, France and Saudi Arabia are likely</w:t>
      </w:r>
      <w:r>
        <w:rPr>
          <w:spacing w:val="-3"/>
        </w:rPr>
        <w:t> </w:t>
      </w:r>
      <w:r>
        <w:rPr/>
        <w:t>to have large annual budgets. On the other hand, poor states such as Togo, Republic of Benin,</w:t>
      </w:r>
      <w:r>
        <w:rPr>
          <w:spacing w:val="40"/>
        </w:rPr>
        <w:t> </w:t>
      </w:r>
      <w:r>
        <w:rPr/>
        <w:t>Chad, Malawi and Lesotho have small annual budgets.</w:t>
      </w:r>
    </w:p>
    <w:p>
      <w:pPr>
        <w:pStyle w:val="BodyText"/>
        <w:spacing w:before="72"/>
      </w:pPr>
    </w:p>
    <w:p>
      <w:pPr>
        <w:pStyle w:val="BodyText"/>
        <w:spacing w:line="360" w:lineRule="auto"/>
        <w:ind w:left="240" w:right="836"/>
        <w:jc w:val="both"/>
      </w:pPr>
      <w:r>
        <w:rPr/>
        <w:t>Whatever the size and the content of a country‘s budget, it is often meant to serve as a plan of action for those who will implement it, but there is often a wide gap between the intentions of those who prepare the budget and actual accomplishment. Although the language of the budget may require that certain objectives and goals be accomplished through planned expenditure at</w:t>
      </w:r>
      <w:r>
        <w:rPr>
          <w:spacing w:val="80"/>
        </w:rPr>
        <w:t> </w:t>
      </w:r>
      <w:r>
        <w:rPr/>
        <w:t>the</w:t>
      </w:r>
      <w:r>
        <w:rPr>
          <w:spacing w:val="-2"/>
        </w:rPr>
        <w:t> </w:t>
      </w:r>
      <w:r>
        <w:rPr/>
        <w:t>end</w:t>
      </w:r>
      <w:r>
        <w:rPr>
          <w:spacing w:val="-2"/>
        </w:rPr>
        <w:t> </w:t>
      </w:r>
      <w:r>
        <w:rPr/>
        <w:t>of</w:t>
      </w:r>
      <w:r>
        <w:rPr>
          <w:spacing w:val="-2"/>
        </w:rPr>
        <w:t> </w:t>
      </w:r>
      <w:r>
        <w:rPr/>
        <w:t>the</w:t>
      </w:r>
      <w:r>
        <w:rPr>
          <w:spacing w:val="-2"/>
        </w:rPr>
        <w:t> </w:t>
      </w:r>
      <w:r>
        <w:rPr/>
        <w:t>financial year,</w:t>
      </w:r>
      <w:r>
        <w:rPr>
          <w:spacing w:val="-1"/>
        </w:rPr>
        <w:t> </w:t>
      </w:r>
      <w:r>
        <w:rPr/>
        <w:t>investigations</w:t>
      </w:r>
      <w:r>
        <w:rPr>
          <w:spacing w:val="-2"/>
        </w:rPr>
        <w:t> </w:t>
      </w:r>
      <w:r>
        <w:rPr/>
        <w:t>in</w:t>
      </w:r>
      <w:r>
        <w:rPr>
          <w:spacing w:val="-2"/>
        </w:rPr>
        <w:t> </w:t>
      </w:r>
      <w:r>
        <w:rPr/>
        <w:t>public organizations</w:t>
      </w:r>
      <w:r>
        <w:rPr>
          <w:spacing w:val="-2"/>
        </w:rPr>
        <w:t> </w:t>
      </w:r>
      <w:r>
        <w:rPr/>
        <w:t>may</w:t>
      </w:r>
      <w:r>
        <w:rPr>
          <w:spacing w:val="-5"/>
        </w:rPr>
        <w:t> </w:t>
      </w:r>
      <w:r>
        <w:rPr/>
        <w:t>reveal</w:t>
      </w:r>
      <w:r>
        <w:rPr>
          <w:spacing w:val="-2"/>
        </w:rPr>
        <w:t> </w:t>
      </w:r>
      <w:r>
        <w:rPr/>
        <w:t>that</w:t>
      </w:r>
      <w:r>
        <w:rPr>
          <w:spacing w:val="-2"/>
        </w:rPr>
        <w:t> </w:t>
      </w:r>
      <w:r>
        <w:rPr/>
        <w:t>no funds have been spent for these goals and objectives, rather, funds have been diverted to unbudgeted</w:t>
      </w:r>
      <w:r>
        <w:rPr>
          <w:spacing w:val="40"/>
        </w:rPr>
        <w:t> </w:t>
      </w:r>
      <w:r>
        <w:rPr/>
        <w:t>projects or expenditures. Sometimes, certain stated objectives are not attended to because there are</w:t>
      </w:r>
      <w:r>
        <w:rPr>
          <w:spacing w:val="-5"/>
        </w:rPr>
        <w:t> </w:t>
      </w:r>
      <w:r>
        <w:rPr/>
        <w:t>no</w:t>
      </w:r>
      <w:r>
        <w:rPr>
          <w:spacing w:val="-1"/>
        </w:rPr>
        <w:t> </w:t>
      </w:r>
      <w:r>
        <w:rPr/>
        <w:t>funds</w:t>
      </w:r>
      <w:r>
        <w:rPr>
          <w:spacing w:val="-3"/>
        </w:rPr>
        <w:t> </w:t>
      </w:r>
      <w:r>
        <w:rPr/>
        <w:t>to</w:t>
      </w:r>
      <w:r>
        <w:rPr>
          <w:spacing w:val="-3"/>
        </w:rPr>
        <w:t> </w:t>
      </w:r>
      <w:r>
        <w:rPr/>
        <w:t>implement</w:t>
      </w:r>
      <w:r>
        <w:rPr>
          <w:spacing w:val="-1"/>
        </w:rPr>
        <w:t> </w:t>
      </w:r>
      <w:r>
        <w:rPr/>
        <w:t>them.</w:t>
      </w:r>
      <w:r>
        <w:rPr>
          <w:spacing w:val="-1"/>
        </w:rPr>
        <w:t> </w:t>
      </w:r>
      <w:r>
        <w:rPr/>
        <w:t>In</w:t>
      </w:r>
      <w:r>
        <w:rPr>
          <w:spacing w:val="-3"/>
        </w:rPr>
        <w:t> </w:t>
      </w:r>
      <w:r>
        <w:rPr/>
        <w:t>some</w:t>
      </w:r>
      <w:r>
        <w:rPr>
          <w:spacing w:val="-4"/>
        </w:rPr>
        <w:t> </w:t>
      </w:r>
      <w:r>
        <w:rPr/>
        <w:t>other</w:t>
      </w:r>
      <w:r>
        <w:rPr>
          <w:spacing w:val="-3"/>
        </w:rPr>
        <w:t> </w:t>
      </w:r>
      <w:r>
        <w:rPr/>
        <w:t>circumstances</w:t>
      </w:r>
      <w:r>
        <w:rPr>
          <w:spacing w:val="-3"/>
        </w:rPr>
        <w:t> </w:t>
      </w:r>
      <w:r>
        <w:rPr/>
        <w:t>vital</w:t>
      </w:r>
      <w:r>
        <w:rPr>
          <w:spacing w:val="-3"/>
        </w:rPr>
        <w:t> </w:t>
      </w:r>
      <w:r>
        <w:rPr/>
        <w:t>projects</w:t>
      </w:r>
      <w:r>
        <w:rPr>
          <w:spacing w:val="-1"/>
        </w:rPr>
        <w:t> </w:t>
      </w:r>
      <w:r>
        <w:rPr/>
        <w:t>have</w:t>
      </w:r>
      <w:r>
        <w:rPr>
          <w:spacing w:val="-4"/>
        </w:rPr>
        <w:t> </w:t>
      </w:r>
      <w:r>
        <w:rPr/>
        <w:t>been</w:t>
      </w:r>
      <w:r>
        <w:rPr>
          <w:spacing w:val="-1"/>
        </w:rPr>
        <w:t> </w:t>
      </w:r>
      <w:r>
        <w:rPr/>
        <w:t>abandoned because of financial mismanagement, hence the need for proper budgeting.</w:t>
      </w:r>
    </w:p>
    <w:p>
      <w:pPr>
        <w:pStyle w:val="BodyText"/>
        <w:spacing w:before="211"/>
      </w:pPr>
    </w:p>
    <w:p>
      <w:pPr>
        <w:pStyle w:val="Heading4"/>
        <w:numPr>
          <w:ilvl w:val="2"/>
          <w:numId w:val="27"/>
        </w:numPr>
        <w:tabs>
          <w:tab w:pos="720" w:val="left" w:leader="none"/>
        </w:tabs>
        <w:spacing w:line="240" w:lineRule="auto" w:before="0" w:after="0"/>
        <w:ind w:left="720" w:right="0" w:hanging="480"/>
        <w:jc w:val="both"/>
        <w:rPr>
          <w:sz w:val="22"/>
        </w:rPr>
      </w:pPr>
      <w:r>
        <w:rPr/>
        <w:t>`</w:t>
      </w:r>
      <w:r>
        <w:rPr>
          <w:spacing w:val="-2"/>
        </w:rPr>
        <w:t> </w:t>
      </w:r>
      <w:r>
        <w:rPr/>
        <w:t>Meaning</w:t>
      </w:r>
      <w:r>
        <w:rPr>
          <w:spacing w:val="-1"/>
        </w:rPr>
        <w:t> </w:t>
      </w:r>
      <w:r>
        <w:rPr/>
        <w:t>and</w:t>
      </w:r>
      <w:r>
        <w:rPr>
          <w:spacing w:val="-2"/>
        </w:rPr>
        <w:t> </w:t>
      </w:r>
      <w:r>
        <w:rPr/>
        <w:t>Definition</w:t>
      </w:r>
      <w:r>
        <w:rPr>
          <w:spacing w:val="-1"/>
        </w:rPr>
        <w:t> </w:t>
      </w:r>
      <w:r>
        <w:rPr/>
        <w:t>of</w:t>
      </w:r>
      <w:r>
        <w:rPr>
          <w:spacing w:val="-1"/>
        </w:rPr>
        <w:t> </w:t>
      </w:r>
      <w:r>
        <w:rPr/>
        <w:t>Public</w:t>
      </w:r>
      <w:r>
        <w:rPr>
          <w:spacing w:val="-2"/>
        </w:rPr>
        <w:t> Budgeting</w:t>
      </w:r>
    </w:p>
    <w:p>
      <w:pPr>
        <w:pStyle w:val="BodyText"/>
        <w:spacing w:line="360" w:lineRule="auto" w:before="134"/>
        <w:ind w:left="240" w:right="834"/>
        <w:jc w:val="both"/>
      </w:pPr>
      <w:r>
        <w:rPr/>
        <w:t>Public sector budgeting, sometimes called government budgeting is concerned with the estimation of proposed expenditures for specific purposes and period and it embodies the means for controlling the estimated amounts to be raised as well as the proposed amounts to be spent</w:t>
      </w:r>
      <w:r>
        <w:rPr>
          <w:spacing w:val="80"/>
        </w:rPr>
        <w:t> </w:t>
      </w:r>
      <w:r>
        <w:rPr/>
        <w:t>for specific objects. It is a programme that guides all activities relating to collection and expenditure. It is a frame-work of the accounts by which transactions affecting such collections and expenditures are recorded (Ugoo, 2008). According to Ugoo (2008), a budget need not always</w:t>
      </w:r>
      <w:r>
        <w:rPr>
          <w:spacing w:val="-2"/>
        </w:rPr>
        <w:t> </w:t>
      </w:r>
      <w:r>
        <w:rPr/>
        <w:t>be</w:t>
      </w:r>
      <w:r>
        <w:rPr>
          <w:spacing w:val="-1"/>
        </w:rPr>
        <w:t> </w:t>
      </w:r>
      <w:r>
        <w:rPr/>
        <w:t>annual, as</w:t>
      </w:r>
      <w:r>
        <w:rPr>
          <w:spacing w:val="-2"/>
        </w:rPr>
        <w:t> </w:t>
      </w:r>
      <w:r>
        <w:rPr/>
        <w:t>there</w:t>
      </w:r>
      <w:r>
        <w:rPr>
          <w:spacing w:val="-3"/>
        </w:rPr>
        <w:t> </w:t>
      </w:r>
      <w:r>
        <w:rPr/>
        <w:t>may</w:t>
      </w:r>
      <w:r>
        <w:rPr>
          <w:spacing w:val="-7"/>
        </w:rPr>
        <w:t> </w:t>
      </w:r>
      <w:r>
        <w:rPr/>
        <w:t>be</w:t>
      </w:r>
      <w:r>
        <w:rPr>
          <w:spacing w:val="-3"/>
        </w:rPr>
        <w:t> </w:t>
      </w:r>
      <w:r>
        <w:rPr/>
        <w:t>long-term</w:t>
      </w:r>
      <w:r>
        <w:rPr>
          <w:spacing w:val="-2"/>
        </w:rPr>
        <w:t> </w:t>
      </w:r>
      <w:r>
        <w:rPr/>
        <w:t>budget</w:t>
      </w:r>
      <w:r>
        <w:rPr>
          <w:spacing w:val="-2"/>
        </w:rPr>
        <w:t> </w:t>
      </w:r>
      <w:r>
        <w:rPr/>
        <w:t>covering</w:t>
      </w:r>
      <w:r>
        <w:rPr>
          <w:spacing w:val="-2"/>
        </w:rPr>
        <w:t> </w:t>
      </w:r>
      <w:r>
        <w:rPr/>
        <w:t>many</w:t>
      </w:r>
      <w:r>
        <w:rPr>
          <w:spacing w:val="-3"/>
        </w:rPr>
        <w:t> </w:t>
      </w:r>
      <w:r>
        <w:rPr/>
        <w:t>years,</w:t>
      </w:r>
      <w:r>
        <w:rPr>
          <w:spacing w:val="-1"/>
        </w:rPr>
        <w:t> </w:t>
      </w:r>
      <w:r>
        <w:rPr/>
        <w:t>or</w:t>
      </w:r>
      <w:r>
        <w:rPr>
          <w:spacing w:val="-3"/>
        </w:rPr>
        <w:t> </w:t>
      </w:r>
      <w:r>
        <w:rPr/>
        <w:t>short-term,</w:t>
      </w:r>
      <w:r>
        <w:rPr>
          <w:spacing w:val="-2"/>
        </w:rPr>
        <w:t> </w:t>
      </w:r>
      <w:r>
        <w:rPr/>
        <w:t>monthly or even weekly budget. However, in public sector budgeting or budgets of governmental authorities,</w:t>
      </w:r>
      <w:r>
        <w:rPr>
          <w:spacing w:val="66"/>
        </w:rPr>
        <w:t> </w:t>
      </w:r>
      <w:r>
        <w:rPr/>
        <w:t>it</w:t>
      </w:r>
      <w:r>
        <w:rPr>
          <w:spacing w:val="69"/>
        </w:rPr>
        <w:t> </w:t>
      </w:r>
      <w:r>
        <w:rPr/>
        <w:t>is</w:t>
      </w:r>
      <w:r>
        <w:rPr>
          <w:spacing w:val="69"/>
        </w:rPr>
        <w:t> </w:t>
      </w:r>
      <w:r>
        <w:rPr/>
        <w:t>almost</w:t>
      </w:r>
      <w:r>
        <w:rPr>
          <w:spacing w:val="69"/>
        </w:rPr>
        <w:t> </w:t>
      </w:r>
      <w:r>
        <w:rPr/>
        <w:t>universal</w:t>
      </w:r>
      <w:r>
        <w:rPr>
          <w:spacing w:val="69"/>
        </w:rPr>
        <w:t> </w:t>
      </w:r>
      <w:r>
        <w:rPr/>
        <w:t>practice</w:t>
      </w:r>
      <w:r>
        <w:rPr>
          <w:spacing w:val="67"/>
        </w:rPr>
        <w:t> </w:t>
      </w:r>
      <w:r>
        <w:rPr/>
        <w:t>to</w:t>
      </w:r>
      <w:r>
        <w:rPr>
          <w:spacing w:val="71"/>
        </w:rPr>
        <w:t> </w:t>
      </w:r>
      <w:r>
        <w:rPr/>
        <w:t>prepare</w:t>
      </w:r>
      <w:r>
        <w:rPr>
          <w:spacing w:val="67"/>
        </w:rPr>
        <w:t> </w:t>
      </w:r>
      <w:r>
        <w:rPr/>
        <w:t>budgets</w:t>
      </w:r>
      <w:r>
        <w:rPr>
          <w:spacing w:val="70"/>
        </w:rPr>
        <w:t> </w:t>
      </w:r>
      <w:r>
        <w:rPr/>
        <w:t>on</w:t>
      </w:r>
      <w:r>
        <w:rPr>
          <w:spacing w:val="68"/>
        </w:rPr>
        <w:t> </w:t>
      </w:r>
      <w:r>
        <w:rPr/>
        <w:t>an</w:t>
      </w:r>
      <w:r>
        <w:rPr>
          <w:spacing w:val="72"/>
        </w:rPr>
        <w:t> </w:t>
      </w:r>
      <w:r>
        <w:rPr/>
        <w:t>annual</w:t>
      </w:r>
      <w:r>
        <w:rPr>
          <w:spacing w:val="68"/>
        </w:rPr>
        <w:t> </w:t>
      </w:r>
      <w:r>
        <w:rPr/>
        <w:t>basis.</w:t>
      </w:r>
      <w:r>
        <w:rPr>
          <w:spacing w:val="69"/>
        </w:rPr>
        <w:t> </w:t>
      </w:r>
      <w:r>
        <w:rPr>
          <w:spacing w:val="-2"/>
        </w:rPr>
        <w:t>Several</w:t>
      </w:r>
    </w:p>
    <w:p>
      <w:pPr>
        <w:spacing w:after="0" w:line="360" w:lineRule="auto"/>
        <w:jc w:val="both"/>
        <w:sectPr>
          <w:pgSz w:w="12240" w:h="15840"/>
          <w:pgMar w:header="0" w:footer="1036" w:top="1360" w:bottom="1220" w:left="1200" w:right="600"/>
        </w:sectPr>
      </w:pPr>
    </w:p>
    <w:p>
      <w:pPr>
        <w:pStyle w:val="BodyText"/>
        <w:spacing w:line="360" w:lineRule="auto" w:before="74"/>
        <w:ind w:left="240" w:right="839"/>
        <w:jc w:val="both"/>
      </w:pPr>
      <w:r>
        <w:rPr/>
        <w:t>definitions of public budgeting abound, and the following comprises a number of them.</w:t>
      </w:r>
      <w:r>
        <w:rPr>
          <w:spacing w:val="40"/>
        </w:rPr>
        <w:t> </w:t>
      </w:r>
      <w:r>
        <w:rPr/>
        <w:t>However, it is</w:t>
      </w:r>
      <w:r>
        <w:rPr>
          <w:spacing w:val="-1"/>
        </w:rPr>
        <w:t> </w:t>
      </w:r>
      <w:r>
        <w:rPr/>
        <w:t>instructive to note</w:t>
      </w:r>
      <w:r>
        <w:rPr>
          <w:spacing w:val="-2"/>
        </w:rPr>
        <w:t> </w:t>
      </w:r>
      <w:r>
        <w:rPr/>
        <w:t>that the various</w:t>
      </w:r>
      <w:r>
        <w:rPr>
          <w:spacing w:val="-1"/>
        </w:rPr>
        <w:t> </w:t>
      </w:r>
      <w:r>
        <w:rPr/>
        <w:t>definitions of budgeting depend on the authors‘ </w:t>
      </w:r>
      <w:r>
        <w:rPr>
          <w:spacing w:val="-2"/>
        </w:rPr>
        <w:t>perspectives.</w:t>
      </w:r>
    </w:p>
    <w:p>
      <w:pPr>
        <w:pStyle w:val="BodyText"/>
        <w:spacing w:before="138"/>
      </w:pPr>
    </w:p>
    <w:p>
      <w:pPr>
        <w:pStyle w:val="BodyText"/>
        <w:spacing w:line="360" w:lineRule="auto" w:before="1"/>
        <w:ind w:left="240" w:right="835"/>
        <w:jc w:val="both"/>
      </w:pPr>
      <w:r>
        <w:rPr/>
        <w:t>In its contemporary sense, budget means the plan of the expenditure and revenue to balance that expenditure, of usually a public authority (Ugoo, 2008). According to Muhammed (2009), it is a blue print of a projected plan of action for the forthcoming year including government decision and policies. From the definitions of Ugoo and Muhammed, budget can thus, be surmised in the following simple terms; a plan of work; a prediction; a link between financial resources and human behaviours to accomplish policy objectives and a mechanism for making choices among alternative expenditures. Emma (2001) describes a budget as a financial projection of the government showing</w:t>
      </w:r>
      <w:r>
        <w:rPr>
          <w:spacing w:val="-1"/>
        </w:rPr>
        <w:t> </w:t>
      </w:r>
      <w:r>
        <w:rPr/>
        <w:t>income and expenditure in the year. In the view of Ekewealor (2007) it is a financial statement or better still, the document which contains estimates of the revenue and expenditure for a year.</w:t>
      </w:r>
    </w:p>
    <w:p>
      <w:pPr>
        <w:pStyle w:val="BodyText"/>
        <w:spacing w:before="137"/>
      </w:pPr>
    </w:p>
    <w:p>
      <w:pPr>
        <w:pStyle w:val="BodyText"/>
        <w:spacing w:line="360" w:lineRule="auto"/>
        <w:ind w:left="240" w:right="836"/>
        <w:jc w:val="both"/>
      </w:pPr>
      <w:r>
        <w:rPr/>
        <w:t>The definition of Ekwealor (2007) concurs with that provided by the Nigerian Constitution (1999), which defines a budget as the annual financial statement containing an estimate of all anticipated revenue and expenditure of the government for the coming year. Premchand (1990) provides two useful descriptions of a public budget. First, it is a pre-determined statement of management policy</w:t>
      </w:r>
      <w:r>
        <w:rPr>
          <w:spacing w:val="-3"/>
        </w:rPr>
        <w:t> </w:t>
      </w:r>
      <w:r>
        <w:rPr/>
        <w:t>during a given budget period which provides a standard for comparison with the results actually achieved. Second, it is the process of formulating into a plan all the estimates of income and expenditure of an organization with the ultimate intention of directing, coordinating and controlling the monetary commitments of such organization towards the attainment of its goals and objectives. Premchand (1990) further states that a public budget consists of projected inflows and outflows of an organization in order to map out plans to be achieved at the specified period of time and achieve set targets.</w:t>
      </w:r>
    </w:p>
    <w:p>
      <w:pPr>
        <w:pStyle w:val="BodyText"/>
        <w:spacing w:before="36"/>
      </w:pPr>
    </w:p>
    <w:p>
      <w:pPr>
        <w:pStyle w:val="BodyText"/>
        <w:spacing w:line="360" w:lineRule="auto" w:before="1"/>
        <w:ind w:left="240" w:right="838"/>
        <w:jc w:val="both"/>
      </w:pPr>
      <w:r>
        <w:rPr/>
        <w:t>Perhaps, one of the most comprehensive definitions of a public budget is that provided by</w:t>
      </w:r>
      <w:r>
        <w:rPr>
          <w:spacing w:val="40"/>
        </w:rPr>
        <w:t> </w:t>
      </w:r>
      <w:r>
        <w:rPr/>
        <w:t>Meyers (1999) and Ugwu (2006); they</w:t>
      </w:r>
      <w:r>
        <w:rPr>
          <w:spacing w:val="-3"/>
        </w:rPr>
        <w:t> </w:t>
      </w:r>
      <w:r>
        <w:rPr/>
        <w:t>define a public budget as a government plan quantified in monetary</w:t>
      </w:r>
      <w:r>
        <w:rPr>
          <w:spacing w:val="-7"/>
        </w:rPr>
        <w:t> </w:t>
      </w:r>
      <w:r>
        <w:rPr/>
        <w:t>terms,</w:t>
      </w:r>
      <w:r>
        <w:rPr>
          <w:spacing w:val="-2"/>
        </w:rPr>
        <w:t> </w:t>
      </w:r>
      <w:r>
        <w:rPr/>
        <w:t>prepared</w:t>
      </w:r>
      <w:r>
        <w:rPr>
          <w:spacing w:val="-2"/>
        </w:rPr>
        <w:t> </w:t>
      </w:r>
      <w:r>
        <w:rPr/>
        <w:t>and</w:t>
      </w:r>
      <w:r>
        <w:rPr>
          <w:spacing w:val="-2"/>
        </w:rPr>
        <w:t> </w:t>
      </w:r>
      <w:r>
        <w:rPr/>
        <w:t>approved</w:t>
      </w:r>
      <w:r>
        <w:rPr>
          <w:spacing w:val="-2"/>
        </w:rPr>
        <w:t> </w:t>
      </w:r>
      <w:r>
        <w:rPr/>
        <w:t>prior</w:t>
      </w:r>
      <w:r>
        <w:rPr>
          <w:spacing w:val="-3"/>
        </w:rPr>
        <w:t> </w:t>
      </w:r>
      <w:r>
        <w:rPr/>
        <w:t>to a</w:t>
      </w:r>
      <w:r>
        <w:rPr>
          <w:spacing w:val="-1"/>
        </w:rPr>
        <w:t> </w:t>
      </w:r>
      <w:r>
        <w:rPr/>
        <w:t>defined period</w:t>
      </w:r>
      <w:r>
        <w:rPr>
          <w:spacing w:val="-2"/>
        </w:rPr>
        <w:t> </w:t>
      </w:r>
      <w:r>
        <w:rPr/>
        <w:t>of</w:t>
      </w:r>
      <w:r>
        <w:rPr>
          <w:spacing w:val="-2"/>
        </w:rPr>
        <w:t> </w:t>
      </w:r>
      <w:r>
        <w:rPr/>
        <w:t>time</w:t>
      </w:r>
      <w:r>
        <w:rPr>
          <w:spacing w:val="-3"/>
        </w:rPr>
        <w:t> </w:t>
      </w:r>
      <w:r>
        <w:rPr/>
        <w:t>usually</w:t>
      </w:r>
      <w:r>
        <w:rPr>
          <w:spacing w:val="-7"/>
        </w:rPr>
        <w:t> </w:t>
      </w:r>
      <w:r>
        <w:rPr/>
        <w:t>showing</w:t>
      </w:r>
      <w:r>
        <w:rPr>
          <w:spacing w:val="-5"/>
        </w:rPr>
        <w:t> </w:t>
      </w:r>
      <w:r>
        <w:rPr/>
        <w:t>income to</w:t>
      </w:r>
      <w:r>
        <w:rPr>
          <w:spacing w:val="56"/>
        </w:rPr>
        <w:t> </w:t>
      </w:r>
      <w:r>
        <w:rPr/>
        <w:t>be</w:t>
      </w:r>
      <w:r>
        <w:rPr>
          <w:spacing w:val="55"/>
        </w:rPr>
        <w:t> </w:t>
      </w:r>
      <w:r>
        <w:rPr/>
        <w:t>generated</w:t>
      </w:r>
      <w:r>
        <w:rPr>
          <w:spacing w:val="56"/>
        </w:rPr>
        <w:t> </w:t>
      </w:r>
      <w:r>
        <w:rPr/>
        <w:t>and/or</w:t>
      </w:r>
      <w:r>
        <w:rPr>
          <w:spacing w:val="58"/>
        </w:rPr>
        <w:t> </w:t>
      </w:r>
      <w:r>
        <w:rPr/>
        <w:t>expenditure</w:t>
      </w:r>
      <w:r>
        <w:rPr>
          <w:spacing w:val="55"/>
        </w:rPr>
        <w:t> </w:t>
      </w:r>
      <w:r>
        <w:rPr/>
        <w:t>to</w:t>
      </w:r>
      <w:r>
        <w:rPr>
          <w:spacing w:val="57"/>
        </w:rPr>
        <w:t> </w:t>
      </w:r>
      <w:r>
        <w:rPr/>
        <w:t>be</w:t>
      </w:r>
      <w:r>
        <w:rPr>
          <w:spacing w:val="55"/>
        </w:rPr>
        <w:t> </w:t>
      </w:r>
      <w:r>
        <w:rPr/>
        <w:t>incurred</w:t>
      </w:r>
      <w:r>
        <w:rPr>
          <w:spacing w:val="56"/>
        </w:rPr>
        <w:t> </w:t>
      </w:r>
      <w:r>
        <w:rPr/>
        <w:t>during</w:t>
      </w:r>
      <w:r>
        <w:rPr>
          <w:spacing w:val="54"/>
        </w:rPr>
        <w:t> </w:t>
      </w:r>
      <w:r>
        <w:rPr/>
        <w:t>that</w:t>
      </w:r>
      <w:r>
        <w:rPr>
          <w:spacing w:val="56"/>
        </w:rPr>
        <w:t> </w:t>
      </w:r>
      <w:r>
        <w:rPr/>
        <w:t>period</w:t>
      </w:r>
      <w:r>
        <w:rPr>
          <w:spacing w:val="58"/>
        </w:rPr>
        <w:t> </w:t>
      </w:r>
      <w:r>
        <w:rPr/>
        <w:t>and</w:t>
      </w:r>
      <w:r>
        <w:rPr>
          <w:spacing w:val="57"/>
        </w:rPr>
        <w:t> </w:t>
      </w:r>
      <w:r>
        <w:rPr/>
        <w:t>the</w:t>
      </w:r>
      <w:r>
        <w:rPr>
          <w:spacing w:val="55"/>
        </w:rPr>
        <w:t> </w:t>
      </w:r>
      <w:r>
        <w:rPr/>
        <w:t>capital</w:t>
      </w:r>
      <w:r>
        <w:rPr>
          <w:spacing w:val="56"/>
        </w:rPr>
        <w:t> </w:t>
      </w:r>
      <w:r>
        <w:rPr/>
        <w:t>to</w:t>
      </w:r>
      <w:r>
        <w:rPr>
          <w:spacing w:val="57"/>
        </w:rPr>
        <w:t> </w:t>
      </w:r>
      <w:r>
        <w:rPr>
          <w:spacing w:val="-5"/>
        </w:rPr>
        <w:t>be</w:t>
      </w:r>
    </w:p>
    <w:p>
      <w:pPr>
        <w:spacing w:after="0" w:line="360" w:lineRule="auto"/>
        <w:jc w:val="both"/>
        <w:sectPr>
          <w:pgSz w:w="12240" w:h="15840"/>
          <w:pgMar w:header="0" w:footer="1036" w:top="1360" w:bottom="1220" w:left="1200" w:right="600"/>
        </w:sectPr>
      </w:pPr>
    </w:p>
    <w:p>
      <w:pPr>
        <w:pStyle w:val="BodyText"/>
        <w:spacing w:line="360" w:lineRule="auto" w:before="74"/>
        <w:ind w:left="240" w:right="835"/>
        <w:jc w:val="both"/>
      </w:pPr>
      <w:r>
        <w:rPr/>
        <w:t>employed to attain a given objective. However,</w:t>
      </w:r>
      <w:r>
        <w:rPr>
          <w:spacing w:val="-1"/>
        </w:rPr>
        <w:t> </w:t>
      </w:r>
      <w:r>
        <w:rPr/>
        <w:t>the</w:t>
      </w:r>
      <w:r>
        <w:rPr>
          <w:spacing w:val="-1"/>
        </w:rPr>
        <w:t> </w:t>
      </w:r>
      <w:r>
        <w:rPr/>
        <w:t>quantification is not limited</w:t>
      </w:r>
      <w:r>
        <w:rPr>
          <w:spacing w:val="-1"/>
        </w:rPr>
        <w:t> </w:t>
      </w:r>
      <w:r>
        <w:rPr/>
        <w:t>to only</w:t>
      </w:r>
      <w:r>
        <w:rPr>
          <w:spacing w:val="-5"/>
        </w:rPr>
        <w:t> </w:t>
      </w:r>
      <w:r>
        <w:rPr/>
        <w:t>monetary items. It may include non monetary items such as labour hours required, number or personnel required in a department or agency. Lucy (1993) sees a public budget as a quantitative</w:t>
      </w:r>
      <w:r>
        <w:rPr>
          <w:spacing w:val="40"/>
        </w:rPr>
        <w:t> </w:t>
      </w:r>
      <w:r>
        <w:rPr/>
        <w:t>expression of a government plan of action prepared in advance, while Saifullahi and Abubakar (2013) explicate budget as an aggregate policy instrument for organizing and articulating governmental goals and objectives often expressed in terms of programmes and projects. It is usually accompanied by a financial plan and the instruments for not only attaining some pre- determined goals but also for imposing checks and balance on the relationship between the government and the governed.</w:t>
      </w:r>
    </w:p>
    <w:p>
      <w:pPr>
        <w:pStyle w:val="BodyText"/>
        <w:spacing w:before="5"/>
      </w:pPr>
    </w:p>
    <w:p>
      <w:pPr>
        <w:pStyle w:val="BodyText"/>
        <w:spacing w:line="360" w:lineRule="auto"/>
        <w:ind w:left="240" w:right="838"/>
        <w:jc w:val="both"/>
      </w:pPr>
      <w:r>
        <w:rPr/>
        <w:t>Budget is synonymous with planning, since both are concerned with systematic, rational, intelligent, articulate measures and control. It could be perceived as a public policy ready for implementation. In short, it is a distributive policy. Hence it facilitates the distribution of resources to individual units of the government. The resource of the government is broken and distributed to other</w:t>
      </w:r>
      <w:r>
        <w:rPr>
          <w:spacing w:val="-2"/>
        </w:rPr>
        <w:t> </w:t>
      </w:r>
      <w:r>
        <w:rPr/>
        <w:t>units for</w:t>
      </w:r>
      <w:r>
        <w:rPr>
          <w:spacing w:val="-2"/>
        </w:rPr>
        <w:t> </w:t>
      </w:r>
      <w:r>
        <w:rPr/>
        <w:t>their</w:t>
      </w:r>
      <w:r>
        <w:rPr>
          <w:spacing w:val="-1"/>
        </w:rPr>
        <w:t> </w:t>
      </w:r>
      <w:r>
        <w:rPr/>
        <w:t>different goals. It</w:t>
      </w:r>
      <w:r>
        <w:rPr>
          <w:spacing w:val="-1"/>
        </w:rPr>
        <w:t> </w:t>
      </w:r>
      <w:r>
        <w:rPr/>
        <w:t>is pertinent to note</w:t>
      </w:r>
      <w:r>
        <w:rPr>
          <w:spacing w:val="-1"/>
        </w:rPr>
        <w:t> </w:t>
      </w:r>
      <w:r>
        <w:rPr/>
        <w:t>that Budgeting</w:t>
      </w:r>
      <w:r>
        <w:rPr>
          <w:spacing w:val="-3"/>
        </w:rPr>
        <w:t> </w:t>
      </w:r>
      <w:r>
        <w:rPr/>
        <w:t>should not be seen as exclusive responsibility</w:t>
      </w:r>
      <w:r>
        <w:rPr>
          <w:spacing w:val="-3"/>
        </w:rPr>
        <w:t> </w:t>
      </w:r>
      <w:r>
        <w:rPr/>
        <w:t>of the government finance officer. When budgets are handled by only those with accounting or finance background, it makes the formats and methodologies assume accounting or financial orientation, a budget should be easily understood by all stakeholders (Emma, 2001; Ekewealor, 2007).</w:t>
      </w:r>
    </w:p>
    <w:p>
      <w:pPr>
        <w:pStyle w:val="BodyText"/>
        <w:spacing w:line="360" w:lineRule="auto" w:before="242"/>
        <w:ind w:left="240" w:right="837"/>
        <w:jc w:val="both"/>
      </w:pPr>
      <w:r>
        <w:rPr/>
        <w:t>Nwosu as cited in Ugoo (2008) explains that a budget as a document contains words and figures which proposes expenditure for certain items and purposes. The words describe items of expenditure such as salary, education, health services, transport, public works and services. Figures are also attached to each item or purpose.</w:t>
      </w:r>
      <w:r>
        <w:rPr>
          <w:spacing w:val="-1"/>
        </w:rPr>
        <w:t> </w:t>
      </w:r>
      <w:r>
        <w:rPr/>
        <w:t>In this sense, a budget becomes a link between the financial resources and human behavior to accomplish an objective. In a more general sense, budgeting is concerned with the translation of financial resources into human purposes. Invariably, those who prepare public budgets intend that they should provide guide for future events and behavior.</w:t>
      </w:r>
    </w:p>
    <w:p>
      <w:pPr>
        <w:pStyle w:val="BodyText"/>
        <w:spacing w:before="1"/>
      </w:pPr>
    </w:p>
    <w:p>
      <w:pPr>
        <w:pStyle w:val="BodyText"/>
        <w:spacing w:line="360" w:lineRule="auto"/>
        <w:ind w:left="240" w:right="842"/>
        <w:jc w:val="both"/>
      </w:pPr>
      <w:r>
        <w:rPr/>
        <w:t>From the foregoing contributions of various authors, four essential elements of a budget can be extracted as follows:</w:t>
      </w:r>
    </w:p>
    <w:p>
      <w:pPr>
        <w:pStyle w:val="ListParagraph"/>
        <w:numPr>
          <w:ilvl w:val="3"/>
          <w:numId w:val="27"/>
        </w:numPr>
        <w:tabs>
          <w:tab w:pos="959" w:val="left" w:leader="none"/>
        </w:tabs>
        <w:spacing w:line="240" w:lineRule="auto" w:before="0" w:after="0"/>
        <w:ind w:left="959" w:right="0" w:hanging="359"/>
        <w:jc w:val="left"/>
        <w:rPr>
          <w:sz w:val="24"/>
        </w:rPr>
      </w:pPr>
      <w:r>
        <w:rPr>
          <w:sz w:val="24"/>
        </w:rPr>
        <w:t>It</w:t>
      </w:r>
      <w:r>
        <w:rPr>
          <w:spacing w:val="-1"/>
          <w:sz w:val="24"/>
        </w:rPr>
        <w:t> </w:t>
      </w:r>
      <w:r>
        <w:rPr>
          <w:sz w:val="24"/>
        </w:rPr>
        <w:t>is</w:t>
      </w:r>
      <w:r>
        <w:rPr>
          <w:spacing w:val="-1"/>
          <w:sz w:val="24"/>
        </w:rPr>
        <w:t> </w:t>
      </w:r>
      <w:r>
        <w:rPr>
          <w:sz w:val="24"/>
        </w:rPr>
        <w:t>a</w:t>
      </w:r>
      <w:r>
        <w:rPr>
          <w:spacing w:val="59"/>
          <w:sz w:val="24"/>
        </w:rPr>
        <w:t> </w:t>
      </w:r>
      <w:r>
        <w:rPr>
          <w:sz w:val="24"/>
        </w:rPr>
        <w:t>financial</w:t>
      </w:r>
      <w:r>
        <w:rPr>
          <w:spacing w:val="-1"/>
          <w:sz w:val="24"/>
        </w:rPr>
        <w:t> </w:t>
      </w:r>
      <w:r>
        <w:rPr>
          <w:sz w:val="24"/>
        </w:rPr>
        <w:t>plan</w:t>
      </w:r>
      <w:r>
        <w:rPr>
          <w:spacing w:val="-1"/>
          <w:sz w:val="24"/>
        </w:rPr>
        <w:t> </w:t>
      </w:r>
      <w:r>
        <w:rPr>
          <w:sz w:val="24"/>
        </w:rPr>
        <w:t>of </w:t>
      </w:r>
      <w:r>
        <w:rPr>
          <w:spacing w:val="-2"/>
          <w:sz w:val="24"/>
        </w:rPr>
        <w:t>operations;</w:t>
      </w:r>
    </w:p>
    <w:p>
      <w:pPr>
        <w:spacing w:after="0" w:line="240" w:lineRule="auto"/>
        <w:jc w:val="left"/>
        <w:rPr>
          <w:sz w:val="24"/>
        </w:rPr>
        <w:sectPr>
          <w:pgSz w:w="12240" w:h="15840"/>
          <w:pgMar w:header="0" w:footer="1036" w:top="1360" w:bottom="1220" w:left="1200" w:right="600"/>
        </w:sectPr>
      </w:pPr>
    </w:p>
    <w:p>
      <w:pPr>
        <w:pStyle w:val="ListParagraph"/>
        <w:numPr>
          <w:ilvl w:val="3"/>
          <w:numId w:val="27"/>
        </w:numPr>
        <w:tabs>
          <w:tab w:pos="959" w:val="left" w:leader="none"/>
        </w:tabs>
        <w:spacing w:line="240" w:lineRule="auto" w:before="74" w:after="0"/>
        <w:ind w:left="959" w:right="0" w:hanging="359"/>
        <w:jc w:val="left"/>
        <w:rPr>
          <w:sz w:val="24"/>
        </w:rPr>
      </w:pPr>
      <w:r>
        <w:rPr>
          <w:sz w:val="24"/>
        </w:rPr>
        <w:t>It</w:t>
      </w:r>
      <w:r>
        <w:rPr>
          <w:spacing w:val="-1"/>
          <w:sz w:val="24"/>
        </w:rPr>
        <w:t> </w:t>
      </w:r>
      <w:r>
        <w:rPr>
          <w:sz w:val="24"/>
        </w:rPr>
        <w:t>is or a</w:t>
      </w:r>
      <w:r>
        <w:rPr>
          <w:spacing w:val="-1"/>
          <w:sz w:val="24"/>
        </w:rPr>
        <w:t> </w:t>
      </w:r>
      <w:r>
        <w:rPr>
          <w:sz w:val="24"/>
        </w:rPr>
        <w:t>fixed period which</w:t>
      </w:r>
      <w:r>
        <w:rPr>
          <w:spacing w:val="-1"/>
          <w:sz w:val="24"/>
        </w:rPr>
        <w:t> </w:t>
      </w:r>
      <w:r>
        <w:rPr>
          <w:sz w:val="24"/>
        </w:rPr>
        <w:t>is</w:t>
      </w:r>
      <w:r>
        <w:rPr>
          <w:spacing w:val="1"/>
          <w:sz w:val="24"/>
        </w:rPr>
        <w:t> </w:t>
      </w:r>
      <w:r>
        <w:rPr>
          <w:sz w:val="24"/>
        </w:rPr>
        <w:t>normally</w:t>
      </w:r>
      <w:r>
        <w:rPr>
          <w:spacing w:val="-5"/>
          <w:sz w:val="24"/>
        </w:rPr>
        <w:t> </w:t>
      </w:r>
      <w:r>
        <w:rPr>
          <w:sz w:val="24"/>
        </w:rPr>
        <w:t>one</w:t>
      </w:r>
      <w:r>
        <w:rPr>
          <w:spacing w:val="3"/>
          <w:sz w:val="24"/>
        </w:rPr>
        <w:t> </w:t>
      </w:r>
      <w:r>
        <w:rPr>
          <w:spacing w:val="-4"/>
          <w:sz w:val="24"/>
        </w:rPr>
        <w:t>year;</w:t>
      </w:r>
    </w:p>
    <w:p>
      <w:pPr>
        <w:pStyle w:val="ListParagraph"/>
        <w:numPr>
          <w:ilvl w:val="3"/>
          <w:numId w:val="27"/>
        </w:numPr>
        <w:tabs>
          <w:tab w:pos="959" w:val="left" w:leader="none"/>
        </w:tabs>
        <w:spacing w:line="240" w:lineRule="auto" w:before="137" w:after="0"/>
        <w:ind w:left="959" w:right="0" w:hanging="359"/>
        <w:jc w:val="left"/>
        <w:rPr>
          <w:sz w:val="24"/>
        </w:rPr>
      </w:pPr>
      <w:r>
        <w:rPr>
          <w:sz w:val="24"/>
        </w:rPr>
        <w:t>It</w:t>
      </w:r>
      <w:r>
        <w:rPr>
          <w:spacing w:val="-3"/>
          <w:sz w:val="24"/>
        </w:rPr>
        <w:t> </w:t>
      </w:r>
      <w:r>
        <w:rPr>
          <w:sz w:val="24"/>
        </w:rPr>
        <w:t>contains</w:t>
      </w:r>
      <w:r>
        <w:rPr>
          <w:spacing w:val="-1"/>
          <w:sz w:val="24"/>
        </w:rPr>
        <w:t> </w:t>
      </w:r>
      <w:r>
        <w:rPr>
          <w:sz w:val="24"/>
        </w:rPr>
        <w:t>both</w:t>
      </w:r>
      <w:r>
        <w:rPr>
          <w:spacing w:val="-1"/>
          <w:sz w:val="24"/>
        </w:rPr>
        <w:t> </w:t>
      </w:r>
      <w:r>
        <w:rPr>
          <w:sz w:val="24"/>
        </w:rPr>
        <w:t>estimated</w:t>
      </w:r>
      <w:r>
        <w:rPr>
          <w:spacing w:val="-1"/>
          <w:sz w:val="24"/>
        </w:rPr>
        <w:t> </w:t>
      </w:r>
      <w:r>
        <w:rPr>
          <w:sz w:val="24"/>
        </w:rPr>
        <w:t>incomes</w:t>
      </w:r>
      <w:r>
        <w:rPr>
          <w:spacing w:val="-2"/>
          <w:sz w:val="24"/>
        </w:rPr>
        <w:t> </w:t>
      </w:r>
      <w:r>
        <w:rPr>
          <w:sz w:val="24"/>
        </w:rPr>
        <w:t>and</w:t>
      </w:r>
      <w:r>
        <w:rPr>
          <w:spacing w:val="-1"/>
          <w:sz w:val="24"/>
        </w:rPr>
        <w:t> </w:t>
      </w:r>
      <w:r>
        <w:rPr>
          <w:sz w:val="24"/>
        </w:rPr>
        <w:t>expenditures</w:t>
      </w:r>
      <w:r>
        <w:rPr>
          <w:spacing w:val="-1"/>
          <w:sz w:val="24"/>
        </w:rPr>
        <w:t> </w:t>
      </w:r>
      <w:r>
        <w:rPr>
          <w:spacing w:val="-5"/>
          <w:sz w:val="24"/>
        </w:rPr>
        <w:t>and</w:t>
      </w:r>
    </w:p>
    <w:p>
      <w:pPr>
        <w:pStyle w:val="ListParagraph"/>
        <w:numPr>
          <w:ilvl w:val="3"/>
          <w:numId w:val="27"/>
        </w:numPr>
        <w:tabs>
          <w:tab w:pos="959" w:val="left" w:leader="none"/>
        </w:tabs>
        <w:spacing w:line="240" w:lineRule="auto" w:before="139" w:after="0"/>
        <w:ind w:left="959" w:right="0" w:hanging="359"/>
        <w:jc w:val="left"/>
        <w:rPr>
          <w:sz w:val="24"/>
        </w:rPr>
      </w:pPr>
      <w:r>
        <w:rPr>
          <w:sz w:val="24"/>
        </w:rPr>
        <w:t>It</w:t>
      </w:r>
      <w:r>
        <w:rPr>
          <w:spacing w:val="-4"/>
          <w:sz w:val="24"/>
        </w:rPr>
        <w:t> </w:t>
      </w:r>
      <w:r>
        <w:rPr>
          <w:sz w:val="24"/>
        </w:rPr>
        <w:t>enables</w:t>
      </w:r>
      <w:r>
        <w:rPr>
          <w:spacing w:val="-1"/>
          <w:sz w:val="24"/>
        </w:rPr>
        <w:t> </w:t>
      </w:r>
      <w:r>
        <w:rPr>
          <w:sz w:val="24"/>
        </w:rPr>
        <w:t>authorization</w:t>
      </w:r>
      <w:r>
        <w:rPr>
          <w:spacing w:val="-1"/>
          <w:sz w:val="24"/>
        </w:rPr>
        <w:t> </w:t>
      </w:r>
      <w:r>
        <w:rPr>
          <w:sz w:val="24"/>
        </w:rPr>
        <w:t>to</w:t>
      </w:r>
      <w:r>
        <w:rPr>
          <w:spacing w:val="-1"/>
          <w:sz w:val="24"/>
        </w:rPr>
        <w:t> </w:t>
      </w:r>
      <w:r>
        <w:rPr>
          <w:sz w:val="24"/>
        </w:rPr>
        <w:t>collect</w:t>
      </w:r>
      <w:r>
        <w:rPr>
          <w:spacing w:val="-1"/>
          <w:sz w:val="24"/>
        </w:rPr>
        <w:t> </w:t>
      </w:r>
      <w:r>
        <w:rPr>
          <w:sz w:val="24"/>
        </w:rPr>
        <w:t>incomes</w:t>
      </w:r>
      <w:r>
        <w:rPr>
          <w:spacing w:val="-2"/>
          <w:sz w:val="24"/>
        </w:rPr>
        <w:t> </w:t>
      </w:r>
      <w:r>
        <w:rPr>
          <w:sz w:val="24"/>
        </w:rPr>
        <w:t>and</w:t>
      </w:r>
      <w:r>
        <w:rPr>
          <w:spacing w:val="-1"/>
          <w:sz w:val="24"/>
        </w:rPr>
        <w:t> </w:t>
      </w:r>
      <w:r>
        <w:rPr>
          <w:sz w:val="24"/>
        </w:rPr>
        <w:t>incur</w:t>
      </w:r>
      <w:r>
        <w:rPr>
          <w:spacing w:val="-2"/>
          <w:sz w:val="24"/>
        </w:rPr>
        <w:t> </w:t>
      </w:r>
      <w:r>
        <w:rPr>
          <w:sz w:val="24"/>
        </w:rPr>
        <w:t>expenses</w:t>
      </w:r>
      <w:r>
        <w:rPr>
          <w:spacing w:val="-1"/>
          <w:sz w:val="24"/>
        </w:rPr>
        <w:t> </w:t>
      </w:r>
      <w:r>
        <w:rPr>
          <w:sz w:val="24"/>
        </w:rPr>
        <w:t>once </w:t>
      </w:r>
      <w:r>
        <w:rPr>
          <w:spacing w:val="-2"/>
          <w:sz w:val="24"/>
        </w:rPr>
        <w:t>approved.</w:t>
      </w:r>
    </w:p>
    <w:p>
      <w:pPr>
        <w:pStyle w:val="BodyText"/>
        <w:spacing w:before="166"/>
      </w:pPr>
    </w:p>
    <w:p>
      <w:pPr>
        <w:pStyle w:val="BodyText"/>
        <w:spacing w:line="360" w:lineRule="auto"/>
        <w:ind w:left="240" w:right="839"/>
        <w:jc w:val="both"/>
      </w:pPr>
      <w:r>
        <w:rPr/>
        <w:t>Premchand (1990) opines that with the expansion of modern state, government budget has come to occupy great importance in modern society. The effort of every state to create social welfare, has intensified the importance of budget. Budget is the heart of the government because it is essential in authoritative allocation of resources. Budgeting is a top level management device which demands the active involvement of the Head of Finance and other top notches in the government. In multitude of cases, a budget committee is formed comprising among other</w:t>
      </w:r>
      <w:r>
        <w:rPr>
          <w:spacing w:val="40"/>
        </w:rPr>
        <w:t> </w:t>
      </w:r>
      <w:r>
        <w:rPr/>
        <w:t>things; the heads of the major departments, the Chief Executive or his deputy may head the committee or the Head of Finance may be called upon to head the committee. However, in all circumstances, the role of the Head of Finance as a major member of the committee or as the Head of the Committee is very crucial.</w:t>
      </w:r>
    </w:p>
    <w:p>
      <w:pPr>
        <w:pStyle w:val="BodyText"/>
        <w:spacing w:before="200"/>
      </w:pPr>
    </w:p>
    <w:p>
      <w:pPr>
        <w:pStyle w:val="BodyText"/>
        <w:spacing w:line="360" w:lineRule="auto"/>
        <w:ind w:left="240" w:right="844"/>
        <w:jc w:val="both"/>
      </w:pPr>
      <w:r>
        <w:rPr/>
        <w:t>Budgeting involves extensive decision making, and as a rational exercise, resource allocation calls for prudency. Emma (2001) emphasizes that in order to ensure proper resource allocation, the following steps to public budgeting are necessary:</w:t>
      </w:r>
    </w:p>
    <w:p>
      <w:pPr>
        <w:pStyle w:val="ListParagraph"/>
        <w:numPr>
          <w:ilvl w:val="0"/>
          <w:numId w:val="28"/>
        </w:numPr>
        <w:tabs>
          <w:tab w:pos="959" w:val="left" w:leader="none"/>
        </w:tabs>
        <w:spacing w:line="240" w:lineRule="auto" w:before="2" w:after="0"/>
        <w:ind w:left="959" w:right="0" w:hanging="359"/>
        <w:jc w:val="left"/>
        <w:rPr>
          <w:sz w:val="24"/>
        </w:rPr>
      </w:pPr>
      <w:r>
        <w:rPr>
          <w:sz w:val="24"/>
        </w:rPr>
        <w:t>Determine</w:t>
      </w:r>
      <w:r>
        <w:rPr>
          <w:spacing w:val="-6"/>
          <w:sz w:val="24"/>
        </w:rPr>
        <w:t> </w:t>
      </w:r>
      <w:r>
        <w:rPr>
          <w:sz w:val="24"/>
        </w:rPr>
        <w:t>the</w:t>
      </w:r>
      <w:r>
        <w:rPr>
          <w:spacing w:val="-1"/>
          <w:sz w:val="24"/>
        </w:rPr>
        <w:t> </w:t>
      </w:r>
      <w:r>
        <w:rPr>
          <w:sz w:val="24"/>
        </w:rPr>
        <w:t>available</w:t>
      </w:r>
      <w:r>
        <w:rPr>
          <w:spacing w:val="-2"/>
          <w:sz w:val="24"/>
        </w:rPr>
        <w:t> </w:t>
      </w:r>
      <w:r>
        <w:rPr>
          <w:sz w:val="24"/>
        </w:rPr>
        <w:t>resources at your</w:t>
      </w:r>
      <w:r>
        <w:rPr>
          <w:spacing w:val="-3"/>
          <w:sz w:val="24"/>
        </w:rPr>
        <w:t> </w:t>
      </w:r>
      <w:r>
        <w:rPr>
          <w:sz w:val="24"/>
        </w:rPr>
        <w:t>disposal or</w:t>
      </w:r>
      <w:r>
        <w:rPr>
          <w:spacing w:val="-2"/>
          <w:sz w:val="24"/>
        </w:rPr>
        <w:t> </w:t>
      </w:r>
      <w:r>
        <w:rPr>
          <w:sz w:val="24"/>
        </w:rPr>
        <w:t>realistic</w:t>
      </w:r>
      <w:r>
        <w:rPr>
          <w:spacing w:val="-3"/>
          <w:sz w:val="24"/>
        </w:rPr>
        <w:t> </w:t>
      </w:r>
      <w:r>
        <w:rPr>
          <w:sz w:val="24"/>
        </w:rPr>
        <w:t>revenue</w:t>
      </w:r>
      <w:r>
        <w:rPr>
          <w:spacing w:val="-1"/>
          <w:sz w:val="24"/>
        </w:rPr>
        <w:t> </w:t>
      </w:r>
      <w:r>
        <w:rPr>
          <w:spacing w:val="-2"/>
          <w:sz w:val="24"/>
        </w:rPr>
        <w:t>expected.</w:t>
      </w:r>
    </w:p>
    <w:p>
      <w:pPr>
        <w:pStyle w:val="ListParagraph"/>
        <w:numPr>
          <w:ilvl w:val="0"/>
          <w:numId w:val="28"/>
        </w:numPr>
        <w:tabs>
          <w:tab w:pos="960" w:val="left" w:leader="none"/>
        </w:tabs>
        <w:spacing w:line="360" w:lineRule="auto" w:before="137" w:after="0"/>
        <w:ind w:left="960" w:right="841" w:hanging="360"/>
        <w:jc w:val="left"/>
        <w:rPr>
          <w:sz w:val="24"/>
        </w:rPr>
      </w:pPr>
      <w:r>
        <w:rPr>
          <w:sz w:val="24"/>
        </w:rPr>
        <w:t>Set the objectives over which the resources should be undertaken (what you will do with the money).</w:t>
      </w:r>
    </w:p>
    <w:p>
      <w:pPr>
        <w:pStyle w:val="ListParagraph"/>
        <w:numPr>
          <w:ilvl w:val="0"/>
          <w:numId w:val="28"/>
        </w:numPr>
        <w:tabs>
          <w:tab w:pos="959" w:val="left" w:leader="none"/>
        </w:tabs>
        <w:spacing w:line="240" w:lineRule="auto" w:before="0" w:after="0"/>
        <w:ind w:left="959" w:right="0" w:hanging="359"/>
        <w:jc w:val="left"/>
        <w:rPr>
          <w:sz w:val="24"/>
        </w:rPr>
      </w:pPr>
      <w:r>
        <w:rPr>
          <w:sz w:val="24"/>
        </w:rPr>
        <w:t>Define</w:t>
      </w:r>
      <w:r>
        <w:rPr>
          <w:spacing w:val="-3"/>
          <w:sz w:val="24"/>
        </w:rPr>
        <w:t> </w:t>
      </w:r>
      <w:r>
        <w:rPr>
          <w:sz w:val="24"/>
        </w:rPr>
        <w:t>the</w:t>
      </w:r>
      <w:r>
        <w:rPr>
          <w:spacing w:val="-1"/>
          <w:sz w:val="24"/>
        </w:rPr>
        <w:t> </w:t>
      </w:r>
      <w:r>
        <w:rPr>
          <w:spacing w:val="-2"/>
          <w:sz w:val="24"/>
        </w:rPr>
        <w:t>objectives.</w:t>
      </w:r>
    </w:p>
    <w:p>
      <w:pPr>
        <w:pStyle w:val="ListParagraph"/>
        <w:numPr>
          <w:ilvl w:val="0"/>
          <w:numId w:val="28"/>
        </w:numPr>
        <w:tabs>
          <w:tab w:pos="959" w:val="left" w:leader="none"/>
        </w:tabs>
        <w:spacing w:line="240" w:lineRule="auto" w:before="137" w:after="0"/>
        <w:ind w:left="959" w:right="0" w:hanging="359"/>
        <w:jc w:val="left"/>
        <w:rPr>
          <w:sz w:val="24"/>
        </w:rPr>
      </w:pPr>
      <w:r>
        <w:rPr>
          <w:sz w:val="24"/>
        </w:rPr>
        <w:t>Rank</w:t>
      </w:r>
      <w:r>
        <w:rPr>
          <w:spacing w:val="-1"/>
          <w:sz w:val="24"/>
        </w:rPr>
        <w:t> </w:t>
      </w:r>
      <w:r>
        <w:rPr>
          <w:sz w:val="24"/>
        </w:rPr>
        <w:t>the</w:t>
      </w:r>
      <w:r>
        <w:rPr>
          <w:spacing w:val="-1"/>
          <w:sz w:val="24"/>
        </w:rPr>
        <w:t> </w:t>
      </w:r>
      <w:r>
        <w:rPr>
          <w:sz w:val="24"/>
        </w:rPr>
        <w:t>objectives</w:t>
      </w:r>
      <w:r>
        <w:rPr>
          <w:spacing w:val="-1"/>
          <w:sz w:val="24"/>
        </w:rPr>
        <w:t> </w:t>
      </w:r>
      <w:r>
        <w:rPr>
          <w:sz w:val="24"/>
        </w:rPr>
        <w:t>in order</w:t>
      </w:r>
      <w:r>
        <w:rPr>
          <w:spacing w:val="-1"/>
          <w:sz w:val="24"/>
        </w:rPr>
        <w:t> </w:t>
      </w:r>
      <w:r>
        <w:rPr>
          <w:sz w:val="24"/>
        </w:rPr>
        <w:t>of</w:t>
      </w:r>
      <w:r>
        <w:rPr>
          <w:spacing w:val="-2"/>
          <w:sz w:val="24"/>
        </w:rPr>
        <w:t> priority.</w:t>
      </w:r>
    </w:p>
    <w:p>
      <w:pPr>
        <w:pStyle w:val="ListParagraph"/>
        <w:numPr>
          <w:ilvl w:val="0"/>
          <w:numId w:val="28"/>
        </w:numPr>
        <w:tabs>
          <w:tab w:pos="960" w:val="left" w:leader="none"/>
        </w:tabs>
        <w:spacing w:line="360" w:lineRule="auto" w:before="139" w:after="0"/>
        <w:ind w:left="960" w:right="841" w:hanging="360"/>
        <w:jc w:val="left"/>
        <w:rPr>
          <w:sz w:val="24"/>
        </w:rPr>
      </w:pPr>
      <w:r>
        <w:rPr>
          <w:sz w:val="24"/>
        </w:rPr>
        <w:t>Determine</w:t>
      </w:r>
      <w:r>
        <w:rPr>
          <w:spacing w:val="27"/>
          <w:sz w:val="24"/>
        </w:rPr>
        <w:t> </w:t>
      </w:r>
      <w:r>
        <w:rPr>
          <w:sz w:val="24"/>
        </w:rPr>
        <w:t>the</w:t>
      </w:r>
      <w:r>
        <w:rPr>
          <w:spacing w:val="27"/>
          <w:sz w:val="24"/>
        </w:rPr>
        <w:t> </w:t>
      </w:r>
      <w:r>
        <w:rPr>
          <w:sz w:val="24"/>
        </w:rPr>
        <w:t>alternative</w:t>
      </w:r>
      <w:r>
        <w:rPr>
          <w:spacing w:val="27"/>
          <w:sz w:val="24"/>
        </w:rPr>
        <w:t> </w:t>
      </w:r>
      <w:r>
        <w:rPr>
          <w:sz w:val="24"/>
        </w:rPr>
        <w:t>courses</w:t>
      </w:r>
      <w:r>
        <w:rPr>
          <w:spacing w:val="28"/>
          <w:sz w:val="24"/>
        </w:rPr>
        <w:t> </w:t>
      </w:r>
      <w:r>
        <w:rPr>
          <w:sz w:val="24"/>
        </w:rPr>
        <w:t>of</w:t>
      </w:r>
      <w:r>
        <w:rPr>
          <w:spacing w:val="27"/>
          <w:sz w:val="24"/>
        </w:rPr>
        <w:t> </w:t>
      </w:r>
      <w:r>
        <w:rPr>
          <w:sz w:val="24"/>
        </w:rPr>
        <w:t>action</w:t>
      </w:r>
      <w:r>
        <w:rPr>
          <w:spacing w:val="27"/>
          <w:sz w:val="24"/>
        </w:rPr>
        <w:t> </w:t>
      </w:r>
      <w:r>
        <w:rPr>
          <w:sz w:val="24"/>
        </w:rPr>
        <w:t>for</w:t>
      </w:r>
      <w:r>
        <w:rPr>
          <w:spacing w:val="28"/>
          <w:sz w:val="24"/>
        </w:rPr>
        <w:t> </w:t>
      </w:r>
      <w:r>
        <w:rPr>
          <w:sz w:val="24"/>
        </w:rPr>
        <w:t>the</w:t>
      </w:r>
      <w:r>
        <w:rPr>
          <w:spacing w:val="27"/>
          <w:sz w:val="24"/>
        </w:rPr>
        <w:t> </w:t>
      </w:r>
      <w:r>
        <w:rPr>
          <w:sz w:val="24"/>
        </w:rPr>
        <w:t>attainment</w:t>
      </w:r>
      <w:r>
        <w:rPr>
          <w:spacing w:val="28"/>
          <w:sz w:val="24"/>
        </w:rPr>
        <w:t> </w:t>
      </w:r>
      <w:r>
        <w:rPr>
          <w:sz w:val="24"/>
        </w:rPr>
        <w:t>of</w:t>
      </w:r>
      <w:r>
        <w:rPr>
          <w:spacing w:val="27"/>
          <w:sz w:val="24"/>
        </w:rPr>
        <w:t> </w:t>
      </w:r>
      <w:r>
        <w:rPr>
          <w:sz w:val="24"/>
        </w:rPr>
        <w:t>the</w:t>
      </w:r>
      <w:r>
        <w:rPr>
          <w:spacing w:val="27"/>
          <w:sz w:val="24"/>
        </w:rPr>
        <w:t> </w:t>
      </w:r>
      <w:r>
        <w:rPr>
          <w:sz w:val="24"/>
        </w:rPr>
        <w:t>objectives(way of </w:t>
      </w:r>
      <w:r>
        <w:rPr>
          <w:spacing w:val="-2"/>
          <w:sz w:val="24"/>
        </w:rPr>
        <w:t>achievement).</w:t>
      </w:r>
    </w:p>
    <w:p>
      <w:pPr>
        <w:pStyle w:val="ListParagraph"/>
        <w:numPr>
          <w:ilvl w:val="0"/>
          <w:numId w:val="28"/>
        </w:numPr>
        <w:tabs>
          <w:tab w:pos="960" w:val="left" w:leader="none"/>
        </w:tabs>
        <w:spacing w:line="240" w:lineRule="auto" w:before="1" w:after="0"/>
        <w:ind w:left="960" w:right="0" w:hanging="360"/>
        <w:jc w:val="left"/>
        <w:rPr>
          <w:sz w:val="24"/>
        </w:rPr>
      </w:pPr>
      <w:r>
        <w:rPr>
          <w:sz w:val="24"/>
        </w:rPr>
        <w:t>Evaluate</w:t>
      </w:r>
      <w:r>
        <w:rPr>
          <w:spacing w:val="-3"/>
          <w:sz w:val="24"/>
        </w:rPr>
        <w:t> </w:t>
      </w:r>
      <w:r>
        <w:rPr>
          <w:sz w:val="24"/>
        </w:rPr>
        <w:t>the</w:t>
      </w:r>
      <w:r>
        <w:rPr>
          <w:spacing w:val="-1"/>
          <w:sz w:val="24"/>
        </w:rPr>
        <w:t> </w:t>
      </w:r>
      <w:r>
        <w:rPr>
          <w:sz w:val="24"/>
        </w:rPr>
        <w:t>alternative</w:t>
      </w:r>
      <w:r>
        <w:rPr>
          <w:spacing w:val="-2"/>
          <w:sz w:val="24"/>
        </w:rPr>
        <w:t> </w:t>
      </w:r>
      <w:r>
        <w:rPr>
          <w:sz w:val="24"/>
        </w:rPr>
        <w:t>courses</w:t>
      </w:r>
      <w:r>
        <w:rPr>
          <w:spacing w:val="-1"/>
          <w:sz w:val="24"/>
        </w:rPr>
        <w:t> </w:t>
      </w:r>
      <w:r>
        <w:rPr>
          <w:sz w:val="24"/>
        </w:rPr>
        <w:t>of</w:t>
      </w:r>
      <w:r>
        <w:rPr>
          <w:spacing w:val="-1"/>
          <w:sz w:val="24"/>
        </w:rPr>
        <w:t> </w:t>
      </w:r>
      <w:r>
        <w:rPr>
          <w:spacing w:val="-2"/>
          <w:sz w:val="24"/>
        </w:rPr>
        <w:t>action.</w:t>
      </w:r>
    </w:p>
    <w:p>
      <w:pPr>
        <w:pStyle w:val="ListParagraph"/>
        <w:numPr>
          <w:ilvl w:val="0"/>
          <w:numId w:val="28"/>
        </w:numPr>
        <w:tabs>
          <w:tab w:pos="958" w:val="left" w:leader="none"/>
        </w:tabs>
        <w:spacing w:line="240" w:lineRule="auto" w:before="136" w:after="0"/>
        <w:ind w:left="958" w:right="0" w:hanging="358"/>
        <w:jc w:val="left"/>
        <w:rPr>
          <w:sz w:val="24"/>
        </w:rPr>
      </w:pPr>
      <w:r>
        <w:rPr>
          <w:sz w:val="24"/>
        </w:rPr>
        <w:t>Establish</w:t>
      </w:r>
      <w:r>
        <w:rPr>
          <w:spacing w:val="-1"/>
          <w:sz w:val="24"/>
        </w:rPr>
        <w:t> </w:t>
      </w:r>
      <w:r>
        <w:rPr>
          <w:sz w:val="24"/>
        </w:rPr>
        <w:t>decision</w:t>
      </w:r>
      <w:r>
        <w:rPr>
          <w:spacing w:val="-1"/>
          <w:sz w:val="24"/>
        </w:rPr>
        <w:t> </w:t>
      </w:r>
      <w:r>
        <w:rPr>
          <w:sz w:val="24"/>
        </w:rPr>
        <w:t>criteria</w:t>
      </w:r>
      <w:r>
        <w:rPr>
          <w:spacing w:val="-2"/>
          <w:sz w:val="24"/>
        </w:rPr>
        <w:t> </w:t>
      </w:r>
      <w:r>
        <w:rPr>
          <w:sz w:val="24"/>
        </w:rPr>
        <w:t>(principles</w:t>
      </w:r>
      <w:r>
        <w:rPr>
          <w:spacing w:val="-1"/>
          <w:sz w:val="24"/>
        </w:rPr>
        <w:t> </w:t>
      </w:r>
      <w:r>
        <w:rPr>
          <w:sz w:val="24"/>
        </w:rPr>
        <w:t>or </w:t>
      </w:r>
      <w:r>
        <w:rPr>
          <w:spacing w:val="-2"/>
          <w:sz w:val="24"/>
        </w:rPr>
        <w:t>bases).</w:t>
      </w:r>
    </w:p>
    <w:p>
      <w:pPr>
        <w:pStyle w:val="ListParagraph"/>
        <w:numPr>
          <w:ilvl w:val="0"/>
          <w:numId w:val="28"/>
        </w:numPr>
        <w:tabs>
          <w:tab w:pos="959" w:val="left" w:leader="none"/>
        </w:tabs>
        <w:spacing w:line="240" w:lineRule="auto" w:before="140" w:after="0"/>
        <w:ind w:left="959" w:right="0" w:hanging="359"/>
        <w:jc w:val="left"/>
        <w:rPr>
          <w:sz w:val="24"/>
        </w:rPr>
      </w:pPr>
      <w:r>
        <w:rPr>
          <w:sz w:val="24"/>
        </w:rPr>
        <w:t>Allocate</w:t>
      </w:r>
      <w:r>
        <w:rPr>
          <w:spacing w:val="-1"/>
          <w:sz w:val="24"/>
        </w:rPr>
        <w:t> </w:t>
      </w:r>
      <w:r>
        <w:rPr>
          <w:sz w:val="24"/>
        </w:rPr>
        <w:t>the</w:t>
      </w:r>
      <w:r>
        <w:rPr>
          <w:spacing w:val="-2"/>
          <w:sz w:val="24"/>
        </w:rPr>
        <w:t> resources.</w:t>
      </w:r>
    </w:p>
    <w:p>
      <w:pPr>
        <w:pStyle w:val="ListParagraph"/>
        <w:numPr>
          <w:ilvl w:val="0"/>
          <w:numId w:val="28"/>
        </w:numPr>
        <w:tabs>
          <w:tab w:pos="960" w:val="left" w:leader="none"/>
        </w:tabs>
        <w:spacing w:line="240" w:lineRule="auto" w:before="136" w:after="0"/>
        <w:ind w:left="960" w:right="0" w:hanging="360"/>
        <w:jc w:val="left"/>
        <w:rPr>
          <w:sz w:val="24"/>
        </w:rPr>
      </w:pPr>
      <w:r>
        <w:rPr>
          <w:sz w:val="24"/>
        </w:rPr>
        <w:t>Establish</w:t>
      </w:r>
      <w:r>
        <w:rPr>
          <w:spacing w:val="-1"/>
          <w:sz w:val="24"/>
        </w:rPr>
        <w:t> </w:t>
      </w:r>
      <w:r>
        <w:rPr>
          <w:sz w:val="24"/>
        </w:rPr>
        <w:t>control</w:t>
      </w:r>
      <w:r>
        <w:rPr>
          <w:spacing w:val="-1"/>
          <w:sz w:val="24"/>
        </w:rPr>
        <w:t> </w:t>
      </w:r>
      <w:r>
        <w:rPr>
          <w:sz w:val="24"/>
        </w:rPr>
        <w:t>measure</w:t>
      </w:r>
      <w:r>
        <w:rPr>
          <w:spacing w:val="-2"/>
          <w:sz w:val="24"/>
        </w:rPr>
        <w:t> </w:t>
      </w:r>
      <w:r>
        <w:rPr>
          <w:sz w:val="24"/>
        </w:rPr>
        <w:t>and</w:t>
      </w:r>
      <w:r>
        <w:rPr>
          <w:spacing w:val="-1"/>
          <w:sz w:val="24"/>
        </w:rPr>
        <w:t> </w:t>
      </w:r>
      <w:r>
        <w:rPr>
          <w:sz w:val="24"/>
        </w:rPr>
        <w:t>feedback </w:t>
      </w:r>
      <w:r>
        <w:rPr>
          <w:spacing w:val="-2"/>
          <w:sz w:val="24"/>
        </w:rPr>
        <w:t>mechanism.</w:t>
      </w:r>
    </w:p>
    <w:p>
      <w:pPr>
        <w:pStyle w:val="ListParagraph"/>
        <w:numPr>
          <w:ilvl w:val="0"/>
          <w:numId w:val="28"/>
        </w:numPr>
        <w:tabs>
          <w:tab w:pos="960" w:val="left" w:leader="none"/>
        </w:tabs>
        <w:spacing w:line="240" w:lineRule="auto" w:before="140" w:after="0"/>
        <w:ind w:left="960" w:right="0" w:hanging="360"/>
        <w:jc w:val="left"/>
        <w:rPr>
          <w:sz w:val="24"/>
        </w:rPr>
      </w:pPr>
      <w:r>
        <w:rPr>
          <w:sz w:val="24"/>
        </w:rPr>
        <w:t>Adjustment</w:t>
      </w:r>
      <w:r>
        <w:rPr>
          <w:spacing w:val="-1"/>
          <w:sz w:val="24"/>
        </w:rPr>
        <w:t> </w:t>
      </w:r>
      <w:r>
        <w:rPr>
          <w:sz w:val="24"/>
        </w:rPr>
        <w:t>of future</w:t>
      </w:r>
      <w:r>
        <w:rPr>
          <w:spacing w:val="-2"/>
          <w:sz w:val="24"/>
        </w:rPr>
        <w:t> </w:t>
      </w:r>
      <w:r>
        <w:rPr>
          <w:sz w:val="24"/>
        </w:rPr>
        <w:t>plans</w:t>
      </w:r>
      <w:r>
        <w:rPr>
          <w:spacing w:val="-1"/>
          <w:sz w:val="24"/>
        </w:rPr>
        <w:t> </w:t>
      </w:r>
      <w:r>
        <w:rPr>
          <w:sz w:val="24"/>
        </w:rPr>
        <w:t>and objectives for</w:t>
      </w:r>
      <w:r>
        <w:rPr>
          <w:spacing w:val="-3"/>
          <w:sz w:val="24"/>
        </w:rPr>
        <w:t> </w:t>
      </w:r>
      <w:r>
        <w:rPr>
          <w:sz w:val="24"/>
        </w:rPr>
        <w:t>purposes of</w:t>
      </w:r>
      <w:r>
        <w:rPr>
          <w:spacing w:val="-2"/>
          <w:sz w:val="24"/>
        </w:rPr>
        <w:t> </w:t>
      </w:r>
      <w:r>
        <w:rPr>
          <w:sz w:val="24"/>
        </w:rPr>
        <w:t>future </w:t>
      </w:r>
      <w:r>
        <w:rPr>
          <w:spacing w:val="-2"/>
          <w:sz w:val="24"/>
        </w:rPr>
        <w:t>allocation.</w:t>
      </w:r>
    </w:p>
    <w:p>
      <w:pPr>
        <w:spacing w:after="0" w:line="240" w:lineRule="auto"/>
        <w:jc w:val="left"/>
        <w:rPr>
          <w:sz w:val="24"/>
        </w:rPr>
        <w:sectPr>
          <w:pgSz w:w="12240" w:h="15840"/>
          <w:pgMar w:header="0" w:footer="1036" w:top="1360" w:bottom="1220" w:left="1200" w:right="600"/>
        </w:sectPr>
      </w:pPr>
    </w:p>
    <w:p>
      <w:pPr>
        <w:pStyle w:val="Heading4"/>
        <w:numPr>
          <w:ilvl w:val="2"/>
          <w:numId w:val="27"/>
        </w:numPr>
        <w:tabs>
          <w:tab w:pos="780" w:val="left" w:leader="none"/>
        </w:tabs>
        <w:spacing w:line="240" w:lineRule="auto" w:before="79" w:after="0"/>
        <w:ind w:left="780" w:right="0" w:hanging="540"/>
        <w:jc w:val="both"/>
      </w:pPr>
      <w:r>
        <w:rPr/>
        <w:t>Significance</w:t>
      </w:r>
      <w:r>
        <w:rPr>
          <w:spacing w:val="-3"/>
        </w:rPr>
        <w:t> </w:t>
      </w:r>
      <w:r>
        <w:rPr/>
        <w:t>of Public</w:t>
      </w:r>
      <w:r>
        <w:rPr>
          <w:spacing w:val="-2"/>
        </w:rPr>
        <w:t> Budgeting</w:t>
      </w:r>
    </w:p>
    <w:p>
      <w:pPr>
        <w:pStyle w:val="BodyText"/>
        <w:spacing w:line="360" w:lineRule="auto" w:before="132"/>
        <w:ind w:left="240" w:right="836"/>
        <w:jc w:val="both"/>
      </w:pPr>
      <w:r>
        <w:rPr/>
        <w:t>CICMA (2003) suggests that any government that plans to undertake economic and other activities</w:t>
      </w:r>
      <w:r>
        <w:rPr>
          <w:spacing w:val="-2"/>
        </w:rPr>
        <w:t> </w:t>
      </w:r>
      <w:r>
        <w:rPr/>
        <w:t>must</w:t>
      </w:r>
      <w:r>
        <w:rPr>
          <w:spacing w:val="-2"/>
        </w:rPr>
        <w:t> </w:t>
      </w:r>
      <w:r>
        <w:rPr/>
        <w:t>have</w:t>
      </w:r>
      <w:r>
        <w:rPr>
          <w:spacing w:val="-3"/>
        </w:rPr>
        <w:t> </w:t>
      </w:r>
      <w:r>
        <w:rPr/>
        <w:t>some</w:t>
      </w:r>
      <w:r>
        <w:rPr>
          <w:spacing w:val="-3"/>
        </w:rPr>
        <w:t> </w:t>
      </w:r>
      <w:r>
        <w:rPr/>
        <w:t>policies</w:t>
      </w:r>
      <w:r>
        <w:rPr>
          <w:spacing w:val="-2"/>
        </w:rPr>
        <w:t> </w:t>
      </w:r>
      <w:r>
        <w:rPr/>
        <w:t>they</w:t>
      </w:r>
      <w:r>
        <w:rPr>
          <w:spacing w:val="-5"/>
        </w:rPr>
        <w:t> </w:t>
      </w:r>
      <w:r>
        <w:rPr/>
        <w:t>follow.</w:t>
      </w:r>
      <w:r>
        <w:rPr>
          <w:spacing w:val="-2"/>
        </w:rPr>
        <w:t> </w:t>
      </w:r>
      <w:r>
        <w:rPr/>
        <w:t>These</w:t>
      </w:r>
      <w:r>
        <w:rPr>
          <w:spacing w:val="-3"/>
        </w:rPr>
        <w:t> </w:t>
      </w:r>
      <w:r>
        <w:rPr/>
        <w:t>activities</w:t>
      </w:r>
      <w:r>
        <w:rPr>
          <w:spacing w:val="-2"/>
        </w:rPr>
        <w:t> </w:t>
      </w:r>
      <w:r>
        <w:rPr/>
        <w:t>and</w:t>
      </w:r>
      <w:r>
        <w:rPr>
          <w:spacing w:val="-2"/>
        </w:rPr>
        <w:t> </w:t>
      </w:r>
      <w:r>
        <w:rPr/>
        <w:t>policies</w:t>
      </w:r>
      <w:r>
        <w:rPr>
          <w:spacing w:val="-2"/>
        </w:rPr>
        <w:t> </w:t>
      </w:r>
      <w:r>
        <w:rPr/>
        <w:t>can only</w:t>
      </w:r>
      <w:r>
        <w:rPr>
          <w:spacing w:val="-5"/>
        </w:rPr>
        <w:t> </w:t>
      </w:r>
      <w:r>
        <w:rPr/>
        <w:t>be</w:t>
      </w:r>
      <w:r>
        <w:rPr>
          <w:spacing w:val="-1"/>
        </w:rPr>
        <w:t> </w:t>
      </w:r>
      <w:r>
        <w:rPr/>
        <w:t>achieved by collecting the necessary incurring expenditures and revenues. The government usually describes the intentions and policies that it will pursue in the next financial year and draw up a financial plan or a budget. In fact, for any</w:t>
      </w:r>
      <w:r>
        <w:rPr>
          <w:spacing w:val="-1"/>
        </w:rPr>
        <w:t> </w:t>
      </w:r>
      <w:r>
        <w:rPr/>
        <w:t>government to function effectively, it must embark on realistic policies in which to convert available resources to the development needs of the state. This is the primary purpose of a public budget (Chark, 1995; Fagbenle and Owolabi, 2004; Jumare,</w:t>
      </w:r>
      <w:r>
        <w:rPr>
          <w:spacing w:val="-1"/>
        </w:rPr>
        <w:t> </w:t>
      </w:r>
      <w:r>
        <w:rPr/>
        <w:t>2009).</w:t>
      </w:r>
      <w:r>
        <w:rPr>
          <w:spacing w:val="-1"/>
        </w:rPr>
        <w:t> </w:t>
      </w:r>
      <w:r>
        <w:rPr/>
        <w:t>According</w:t>
      </w:r>
      <w:r>
        <w:rPr>
          <w:spacing w:val="-4"/>
        </w:rPr>
        <w:t> </w:t>
      </w:r>
      <w:r>
        <w:rPr/>
        <w:t>to Idris</w:t>
      </w:r>
      <w:r>
        <w:rPr>
          <w:spacing w:val="-1"/>
        </w:rPr>
        <w:t> </w:t>
      </w:r>
      <w:r>
        <w:rPr/>
        <w:t>(2009),</w:t>
      </w:r>
      <w:r>
        <w:rPr>
          <w:spacing w:val="-2"/>
        </w:rPr>
        <w:t> </w:t>
      </w:r>
      <w:r>
        <w:rPr/>
        <w:t>a</w:t>
      </w:r>
      <w:r>
        <w:rPr>
          <w:spacing w:val="-2"/>
        </w:rPr>
        <w:t> </w:t>
      </w:r>
      <w:r>
        <w:rPr/>
        <w:t>public</w:t>
      </w:r>
      <w:r>
        <w:rPr>
          <w:spacing w:val="-2"/>
        </w:rPr>
        <w:t> </w:t>
      </w:r>
      <w:r>
        <w:rPr/>
        <w:t>budget</w:t>
      </w:r>
      <w:r>
        <w:rPr>
          <w:spacing w:val="-1"/>
        </w:rPr>
        <w:t> </w:t>
      </w:r>
      <w:r>
        <w:rPr/>
        <w:t>provides</w:t>
      </w:r>
      <w:r>
        <w:rPr>
          <w:spacing w:val="-2"/>
        </w:rPr>
        <w:t> </w:t>
      </w:r>
      <w:r>
        <w:rPr/>
        <w:t>the</w:t>
      </w:r>
      <w:r>
        <w:rPr>
          <w:spacing w:val="-2"/>
        </w:rPr>
        <w:t> </w:t>
      </w:r>
      <w:r>
        <w:rPr/>
        <w:t>standards</w:t>
      </w:r>
      <w:r>
        <w:rPr>
          <w:spacing w:val="-2"/>
        </w:rPr>
        <w:t> </w:t>
      </w:r>
      <w:r>
        <w:rPr/>
        <w:t>by</w:t>
      </w:r>
      <w:r>
        <w:rPr>
          <w:spacing w:val="-6"/>
        </w:rPr>
        <w:t> </w:t>
      </w:r>
      <w:r>
        <w:rPr/>
        <w:t>which</w:t>
      </w:r>
      <w:r>
        <w:rPr>
          <w:spacing w:val="-1"/>
        </w:rPr>
        <w:t> </w:t>
      </w:r>
      <w:r>
        <w:rPr/>
        <w:t>actual achievement is measured. It serves as a basis for reviewing past performance of the government for the previous year and also states what the government intends to do in the following year.</w:t>
      </w:r>
    </w:p>
    <w:p>
      <w:pPr>
        <w:pStyle w:val="BodyText"/>
        <w:spacing w:before="37"/>
      </w:pPr>
    </w:p>
    <w:p>
      <w:pPr>
        <w:pStyle w:val="BodyText"/>
        <w:spacing w:line="360" w:lineRule="auto"/>
        <w:ind w:left="240" w:right="837"/>
        <w:jc w:val="both"/>
      </w:pPr>
      <w:r>
        <w:rPr/>
        <w:t>Ugoo (2008) stresses that all large public organizations prepare annual budgets. To many, the term budget connotes a restraining influence on action, hence many people either as individuals or members of organizations seem to develop a negative attitude to budgeting. Since resources available are not always sufficient to service the needs or opportunities which the organizations would like to serve, budgeting remains the most tactical instrument for both decision making as well as allocation of resources. The annual budgeting procedure can be therefore be seen to be perhaps the single most important decision and control routine from both organizational and economic points of view. From an organizational point of view, the leadership is able to use estimated revenues and expenditures to arrive at a planned allocation of resources. From an economic</w:t>
      </w:r>
      <w:r>
        <w:rPr>
          <w:spacing w:val="-1"/>
        </w:rPr>
        <w:t> </w:t>
      </w:r>
      <w:r>
        <w:rPr/>
        <w:t>view</w:t>
      </w:r>
      <w:r>
        <w:rPr>
          <w:spacing w:val="-1"/>
        </w:rPr>
        <w:t> </w:t>
      </w:r>
      <w:r>
        <w:rPr/>
        <w:t>point, the short-</w:t>
      </w:r>
      <w:r>
        <w:rPr>
          <w:spacing w:val="-1"/>
        </w:rPr>
        <w:t> </w:t>
      </w:r>
      <w:r>
        <w:rPr/>
        <w:t>term</w:t>
      </w:r>
      <w:r>
        <w:rPr>
          <w:spacing w:val="-1"/>
        </w:rPr>
        <w:t> </w:t>
      </w:r>
      <w:r>
        <w:rPr/>
        <w:t>budget constitutes</w:t>
      </w:r>
      <w:r>
        <w:rPr>
          <w:spacing w:val="-1"/>
        </w:rPr>
        <w:t> </w:t>
      </w:r>
      <w:r>
        <w:rPr/>
        <w:t>an important determinant of</w:t>
      </w:r>
      <w:r>
        <w:rPr>
          <w:spacing w:val="-1"/>
        </w:rPr>
        <w:t> </w:t>
      </w:r>
      <w:r>
        <w:rPr/>
        <w:t>a number of economic decisions.</w:t>
      </w:r>
    </w:p>
    <w:p>
      <w:pPr>
        <w:pStyle w:val="BodyText"/>
        <w:spacing w:before="139"/>
      </w:pPr>
    </w:p>
    <w:p>
      <w:pPr>
        <w:pStyle w:val="BodyText"/>
        <w:spacing w:line="360" w:lineRule="auto"/>
        <w:ind w:left="240" w:right="838"/>
        <w:jc w:val="both"/>
      </w:pPr>
      <w:r>
        <w:rPr/>
        <w:t>According to Holmes (1998) and Fort (2012), the original purpose of a budget was purely financial- to provide money for government expenditure. It has however, metamorphosed into a plan</w:t>
      </w:r>
      <w:r>
        <w:rPr>
          <w:spacing w:val="-2"/>
        </w:rPr>
        <w:t> </w:t>
      </w:r>
      <w:r>
        <w:rPr/>
        <w:t>to</w:t>
      </w:r>
      <w:r>
        <w:rPr>
          <w:spacing w:val="-1"/>
        </w:rPr>
        <w:t> </w:t>
      </w:r>
      <w:r>
        <w:rPr/>
        <w:t>secure</w:t>
      </w:r>
      <w:r>
        <w:rPr>
          <w:spacing w:val="-3"/>
        </w:rPr>
        <w:t> </w:t>
      </w:r>
      <w:r>
        <w:rPr/>
        <w:t>the right</w:t>
      </w:r>
      <w:r>
        <w:rPr>
          <w:spacing w:val="-1"/>
        </w:rPr>
        <w:t> </w:t>
      </w:r>
      <w:r>
        <w:rPr/>
        <w:t>relationship</w:t>
      </w:r>
      <w:r>
        <w:rPr>
          <w:spacing w:val="-1"/>
        </w:rPr>
        <w:t> </w:t>
      </w:r>
      <w:r>
        <w:rPr/>
        <w:t>between income</w:t>
      </w:r>
      <w:r>
        <w:rPr>
          <w:spacing w:val="-2"/>
        </w:rPr>
        <w:t> </w:t>
      </w:r>
      <w:r>
        <w:rPr/>
        <w:t>and expenditure;</w:t>
      </w:r>
      <w:r>
        <w:rPr>
          <w:spacing w:val="-1"/>
        </w:rPr>
        <w:t> </w:t>
      </w:r>
      <w:r>
        <w:rPr/>
        <w:t>as</w:t>
      </w:r>
      <w:r>
        <w:rPr>
          <w:spacing w:val="-1"/>
        </w:rPr>
        <w:t> </w:t>
      </w:r>
      <w:r>
        <w:rPr/>
        <w:t>an authorization</w:t>
      </w:r>
      <w:r>
        <w:rPr>
          <w:spacing w:val="-1"/>
        </w:rPr>
        <w:t> </w:t>
      </w:r>
      <w:r>
        <w:rPr/>
        <w:t>to</w:t>
      </w:r>
      <w:r>
        <w:rPr>
          <w:spacing w:val="-1"/>
        </w:rPr>
        <w:t> </w:t>
      </w:r>
      <w:r>
        <w:rPr/>
        <w:t>raise and spend the amounts specified on various endeavours and finally as a means of control of expenditure. This is why Ekwealor (2007) maintains that public budget is a device to aid management or the chief executive in operating an organization more effectively. It can be said</w:t>
      </w:r>
      <w:r>
        <w:rPr>
          <w:spacing w:val="40"/>
        </w:rPr>
        <w:t> </w:t>
      </w:r>
      <w:r>
        <w:rPr/>
        <w:t>to</w:t>
      </w:r>
      <w:r>
        <w:rPr>
          <w:spacing w:val="-3"/>
        </w:rPr>
        <w:t> </w:t>
      </w:r>
      <w:r>
        <w:rPr/>
        <w:t>mean setting</w:t>
      </w:r>
      <w:r>
        <w:rPr>
          <w:spacing w:val="-4"/>
        </w:rPr>
        <w:t> </w:t>
      </w:r>
      <w:r>
        <w:rPr/>
        <w:t>of</w:t>
      </w:r>
      <w:r>
        <w:rPr>
          <w:spacing w:val="1"/>
        </w:rPr>
        <w:t> </w:t>
      </w:r>
      <w:r>
        <w:rPr/>
        <w:t>concrete</w:t>
      </w:r>
      <w:r>
        <w:rPr>
          <w:spacing w:val="-1"/>
        </w:rPr>
        <w:t> </w:t>
      </w:r>
      <w:r>
        <w:rPr/>
        <w:t>goals in financial</w:t>
      </w:r>
      <w:r>
        <w:rPr>
          <w:spacing w:val="-1"/>
        </w:rPr>
        <w:t> </w:t>
      </w:r>
      <w:r>
        <w:rPr/>
        <w:t>terms. Ekewealor</w:t>
      </w:r>
      <w:r>
        <w:rPr>
          <w:spacing w:val="-1"/>
        </w:rPr>
        <w:t> </w:t>
      </w:r>
      <w:r>
        <w:rPr/>
        <w:t>(2007) further</w:t>
      </w:r>
      <w:r>
        <w:rPr>
          <w:spacing w:val="-1"/>
        </w:rPr>
        <w:t> </w:t>
      </w:r>
      <w:r>
        <w:rPr/>
        <w:t>submits that </w:t>
      </w:r>
      <w:r>
        <w:rPr>
          <w:spacing w:val="-2"/>
        </w:rPr>
        <w:t>public</w:t>
      </w:r>
    </w:p>
    <w:p>
      <w:pPr>
        <w:spacing w:after="0" w:line="360" w:lineRule="auto"/>
        <w:jc w:val="both"/>
        <w:sectPr>
          <w:pgSz w:w="12240" w:h="15840"/>
          <w:pgMar w:header="0" w:footer="1036" w:top="1360" w:bottom="1220" w:left="1200" w:right="600"/>
        </w:sectPr>
      </w:pPr>
    </w:p>
    <w:p>
      <w:pPr>
        <w:pStyle w:val="BodyText"/>
        <w:spacing w:line="360" w:lineRule="auto" w:before="74"/>
        <w:ind w:left="240" w:right="834"/>
        <w:jc w:val="both"/>
      </w:pPr>
      <w:r>
        <w:rPr/>
        <w:t>budget should be a document through which the Chief Executive prepares before fund raising or presenting to a fund granting authority, which he also uses as a basis in making a report</w:t>
      </w:r>
      <w:r>
        <w:rPr>
          <w:spacing w:val="40"/>
        </w:rPr>
        <w:t> </w:t>
      </w:r>
      <w:r>
        <w:rPr/>
        <w:t>regarding the manner in which he or his subordinates have administered affairs during the last completed year. He also uses it to show the present condition of public treasury and on the basis of such information sets forth his programme of work for the year to come and the manner in which he proposes that such work should be financed.</w:t>
      </w:r>
    </w:p>
    <w:p>
      <w:pPr>
        <w:pStyle w:val="BodyText"/>
        <w:spacing w:before="3"/>
      </w:pPr>
    </w:p>
    <w:p>
      <w:pPr>
        <w:pStyle w:val="BodyText"/>
        <w:spacing w:line="360" w:lineRule="auto"/>
        <w:ind w:left="240" w:right="836"/>
        <w:jc w:val="both"/>
      </w:pPr>
      <w:r>
        <w:rPr/>
        <w:t>A budget can be regarded as a form of contract. The executive and national legislature agree to make money available under specified conditions, while the various</w:t>
      </w:r>
      <w:r>
        <w:rPr>
          <w:spacing w:val="40"/>
        </w:rPr>
        <w:t> </w:t>
      </w:r>
      <w:r>
        <w:rPr/>
        <w:t>ministries, departments, boards, commissions and agencies agree to spend the funds in ways that have been agreed upon. Consequently, budgeting is not merely a one way process in which the executive makes proposals or prepare the estimate, the legislature approves or authorizes and the administrators implement. To</w:t>
      </w:r>
      <w:r>
        <w:rPr>
          <w:spacing w:val="-1"/>
        </w:rPr>
        <w:t> </w:t>
      </w:r>
      <w:r>
        <w:rPr/>
        <w:t>the</w:t>
      </w:r>
      <w:r>
        <w:rPr>
          <w:spacing w:val="-1"/>
        </w:rPr>
        <w:t> </w:t>
      </w:r>
      <w:r>
        <w:rPr/>
        <w:t>extent</w:t>
      </w:r>
      <w:r>
        <w:rPr>
          <w:spacing w:val="-3"/>
        </w:rPr>
        <w:t> </w:t>
      </w:r>
      <w:r>
        <w:rPr/>
        <w:t>that a</w:t>
      </w:r>
      <w:r>
        <w:rPr>
          <w:spacing w:val="-1"/>
        </w:rPr>
        <w:t> </w:t>
      </w:r>
      <w:r>
        <w:rPr/>
        <w:t>budget is carried</w:t>
      </w:r>
      <w:r>
        <w:rPr>
          <w:spacing w:val="-1"/>
        </w:rPr>
        <w:t> </w:t>
      </w:r>
      <w:r>
        <w:rPr/>
        <w:t>or</w:t>
      </w:r>
      <w:r>
        <w:rPr>
          <w:spacing w:val="-1"/>
        </w:rPr>
        <w:t> </w:t>
      </w:r>
      <w:r>
        <w:rPr/>
        <w:t>passed, it imposes</w:t>
      </w:r>
      <w:r>
        <w:rPr>
          <w:spacing w:val="-1"/>
        </w:rPr>
        <w:t> </w:t>
      </w:r>
      <w:r>
        <w:rPr/>
        <w:t>a</w:t>
      </w:r>
      <w:r>
        <w:rPr>
          <w:spacing w:val="-1"/>
        </w:rPr>
        <w:t> </w:t>
      </w:r>
      <w:r>
        <w:rPr/>
        <w:t>set of</w:t>
      </w:r>
      <w:r>
        <w:rPr>
          <w:spacing w:val="-1"/>
        </w:rPr>
        <w:t> </w:t>
      </w:r>
      <w:r>
        <w:rPr/>
        <w:t>mutual obligations and control upon the contracting parties (Jumare, 2009). In view of this, recalcitrant ministers</w:t>
      </w:r>
      <w:r>
        <w:rPr>
          <w:spacing w:val="40"/>
        </w:rPr>
        <w:t> </w:t>
      </w:r>
      <w:r>
        <w:rPr/>
        <w:t>can also be disciplined through substantial cuts in their future budgets (Emma, 2001; Ekewealor, </w:t>
      </w:r>
      <w:r>
        <w:rPr>
          <w:spacing w:val="-2"/>
        </w:rPr>
        <w:t>2007).</w:t>
      </w:r>
    </w:p>
    <w:p>
      <w:pPr>
        <w:pStyle w:val="BodyText"/>
        <w:spacing w:before="139"/>
      </w:pPr>
    </w:p>
    <w:p>
      <w:pPr>
        <w:pStyle w:val="BodyText"/>
        <w:spacing w:line="360" w:lineRule="auto"/>
        <w:ind w:left="240" w:right="837"/>
        <w:jc w:val="both"/>
      </w:pPr>
      <w:r>
        <w:rPr/>
        <w:t>In a sense, a budget also serves as a communication network especially during preparation, because each participant receives information on the preferences of others and transmits his own preferences and interests through the decisions and choices he makes.</w:t>
      </w:r>
      <w:r>
        <w:rPr>
          <w:spacing w:val="40"/>
        </w:rPr>
        <w:t> </w:t>
      </w:r>
      <w:r>
        <w:rPr/>
        <w:t>It also serves as an instrument of control because limits are set on the amount of money specific ministries, departments, agencies can spend within a given financial year. They are not expected to incur extra or additional expenses without supplementary appropriations or funds transfer (Fagbenle and Owolabi, 2004).</w:t>
      </w:r>
    </w:p>
    <w:p>
      <w:pPr>
        <w:pStyle w:val="BodyText"/>
        <w:spacing w:before="139"/>
      </w:pPr>
    </w:p>
    <w:p>
      <w:pPr>
        <w:pStyle w:val="BodyText"/>
        <w:spacing w:line="360" w:lineRule="auto"/>
        <w:ind w:left="240" w:right="839"/>
        <w:jc w:val="both"/>
      </w:pPr>
      <w:r>
        <w:rPr/>
        <w:t>Ekewealor (2007) posits that the budgetary process is an exercise which generates interests among varied interests and groups such as those members of legislatives, and executives, professional bodies, traders, contractors and in-fact the ordinary citizen. This is so because the fundamental question of who gets what from the government is answered in a typical budget, be it national or local. It is often presented with a considerable wealth of judgment, reflection and imagination.</w:t>
      </w:r>
      <w:r>
        <w:rPr>
          <w:spacing w:val="21"/>
        </w:rPr>
        <w:t> </w:t>
      </w:r>
      <w:r>
        <w:rPr/>
        <w:t>Budgets</w:t>
      </w:r>
      <w:r>
        <w:rPr>
          <w:spacing w:val="24"/>
        </w:rPr>
        <w:t> </w:t>
      </w:r>
      <w:r>
        <w:rPr/>
        <w:t>also</w:t>
      </w:r>
      <w:r>
        <w:rPr>
          <w:spacing w:val="23"/>
        </w:rPr>
        <w:t> </w:t>
      </w:r>
      <w:r>
        <w:rPr/>
        <w:t>have</w:t>
      </w:r>
      <w:r>
        <w:rPr>
          <w:spacing w:val="22"/>
        </w:rPr>
        <w:t> </w:t>
      </w:r>
      <w:r>
        <w:rPr/>
        <w:t>been</w:t>
      </w:r>
      <w:r>
        <w:rPr>
          <w:spacing w:val="23"/>
        </w:rPr>
        <w:t> </w:t>
      </w:r>
      <w:r>
        <w:rPr/>
        <w:t>said</w:t>
      </w:r>
      <w:r>
        <w:rPr>
          <w:spacing w:val="23"/>
        </w:rPr>
        <w:t> </w:t>
      </w:r>
      <w:r>
        <w:rPr/>
        <w:t>not</w:t>
      </w:r>
      <w:r>
        <w:rPr>
          <w:spacing w:val="24"/>
        </w:rPr>
        <w:t> </w:t>
      </w:r>
      <w:r>
        <w:rPr/>
        <w:t>to</w:t>
      </w:r>
      <w:r>
        <w:rPr>
          <w:spacing w:val="24"/>
        </w:rPr>
        <w:t> </w:t>
      </w:r>
      <w:r>
        <w:rPr/>
        <w:t>be</w:t>
      </w:r>
      <w:r>
        <w:rPr>
          <w:spacing w:val="21"/>
        </w:rPr>
        <w:t> </w:t>
      </w:r>
      <w:r>
        <w:rPr/>
        <w:t>merely</w:t>
      </w:r>
      <w:r>
        <w:rPr>
          <w:spacing w:val="18"/>
        </w:rPr>
        <w:t> </w:t>
      </w:r>
      <w:r>
        <w:rPr/>
        <w:t>matters</w:t>
      </w:r>
      <w:r>
        <w:rPr>
          <w:spacing w:val="23"/>
        </w:rPr>
        <w:t> </w:t>
      </w:r>
      <w:r>
        <w:rPr/>
        <w:t>of</w:t>
      </w:r>
      <w:r>
        <w:rPr>
          <w:spacing w:val="22"/>
        </w:rPr>
        <w:t> </w:t>
      </w:r>
      <w:r>
        <w:rPr/>
        <w:t>arithmetic</w:t>
      </w:r>
      <w:r>
        <w:rPr>
          <w:spacing w:val="22"/>
        </w:rPr>
        <w:t> </w:t>
      </w:r>
      <w:r>
        <w:rPr/>
        <w:t>and</w:t>
      </w:r>
      <w:r>
        <w:rPr>
          <w:spacing w:val="23"/>
        </w:rPr>
        <w:t> </w:t>
      </w:r>
      <w:r>
        <w:rPr>
          <w:spacing w:val="-2"/>
        </w:rPr>
        <w:t>statistical</w:t>
      </w:r>
    </w:p>
    <w:p>
      <w:pPr>
        <w:spacing w:after="0" w:line="360" w:lineRule="auto"/>
        <w:jc w:val="both"/>
        <w:sectPr>
          <w:pgSz w:w="12240" w:h="15840"/>
          <w:pgMar w:header="0" w:footer="1036" w:top="1360" w:bottom="1220" w:left="1200" w:right="600"/>
        </w:sectPr>
      </w:pPr>
    </w:p>
    <w:p>
      <w:pPr>
        <w:pStyle w:val="BodyText"/>
        <w:spacing w:line="360" w:lineRule="auto" w:before="74"/>
        <w:ind w:left="240" w:right="839"/>
        <w:jc w:val="both"/>
      </w:pPr>
      <w:r>
        <w:rPr/>
        <w:t>figures. In several ways, they embody the main desires, interests and hopes of the society. According to Ekwealor, public budgets also publicize the activities of government as well as instill responsibility and accountability in the government structure and expenditure. Since a budget contains a detailed description of the estimated receipts and proposed expenditures and disbursements under the various heads. It enables authorities decide individual items of revenue and expenditures in the overall context of the plan.</w:t>
      </w:r>
    </w:p>
    <w:p>
      <w:pPr>
        <w:pStyle w:val="BodyText"/>
        <w:spacing w:before="108"/>
      </w:pPr>
    </w:p>
    <w:p>
      <w:pPr>
        <w:pStyle w:val="BodyText"/>
        <w:spacing w:line="360" w:lineRule="auto" w:before="1"/>
        <w:ind w:left="240" w:right="842"/>
        <w:jc w:val="both"/>
      </w:pPr>
      <w:r>
        <w:rPr/>
        <w:t>Furthermore, Ekewealor (2007) posits that, being the financial plan of the government, the budget is a device for consolidating the various interests, objectives, desires and needs of the people into a programme whereby they may jointly provide for their safety, convenience and comfort. The budget is the most significant single current document relating to the social and economic affairs of the people and the proposed programme of the government for the implementation of these affairs. Budget speech of a finance minister often unveils the entire and fiscal programmes of the government. However, how these programmes are and should be executed often raise important issues.</w:t>
      </w:r>
    </w:p>
    <w:p>
      <w:pPr>
        <w:pStyle w:val="BodyText"/>
        <w:spacing w:before="36"/>
      </w:pPr>
    </w:p>
    <w:p>
      <w:pPr>
        <w:pStyle w:val="BodyText"/>
        <w:spacing w:line="360" w:lineRule="auto" w:before="1"/>
        <w:ind w:left="240" w:right="833"/>
        <w:jc w:val="both"/>
      </w:pPr>
      <w:r>
        <w:rPr/>
        <w:t>From the foregoing, it can be surmised that public budgets are produced for the following reasons: (a) to aid the planning of annual operations (b) to</w:t>
      </w:r>
      <w:r>
        <w:rPr>
          <w:spacing w:val="80"/>
        </w:rPr>
        <w:t> </w:t>
      </w:r>
      <w:r>
        <w:rPr/>
        <w:t>coordinate the activities of the</w:t>
      </w:r>
      <w:r>
        <w:rPr>
          <w:spacing w:val="40"/>
        </w:rPr>
        <w:t> </w:t>
      </w:r>
      <w:r>
        <w:rPr/>
        <w:t>various parts of the organization and to ensure that parts are in harmony with one another (c) to communicate plans to the various responsibility centre/unit officer (d) to motivate officers and managers to strive to achieve the organizational goals (e) to control activities and (f) to evaluate the performance of officers.</w:t>
      </w:r>
    </w:p>
    <w:p>
      <w:pPr>
        <w:pStyle w:val="BodyText"/>
        <w:spacing w:before="245"/>
      </w:pPr>
    </w:p>
    <w:p>
      <w:pPr>
        <w:pStyle w:val="Heading4"/>
        <w:numPr>
          <w:ilvl w:val="2"/>
          <w:numId w:val="27"/>
        </w:numPr>
        <w:tabs>
          <w:tab w:pos="720" w:val="left" w:leader="none"/>
        </w:tabs>
        <w:spacing w:line="240" w:lineRule="auto" w:before="0" w:after="0"/>
        <w:ind w:left="720" w:right="0" w:hanging="480"/>
        <w:jc w:val="both"/>
        <w:rPr>
          <w:sz w:val="22"/>
        </w:rPr>
      </w:pPr>
      <w:r>
        <w:rPr/>
        <w:t>`</w:t>
      </w:r>
      <w:r>
        <w:rPr>
          <w:spacing w:val="-4"/>
        </w:rPr>
        <w:t> </w:t>
      </w:r>
      <w:r>
        <w:rPr/>
        <w:t>Advantages</w:t>
      </w:r>
      <w:r>
        <w:rPr>
          <w:spacing w:val="-2"/>
        </w:rPr>
        <w:t> </w:t>
      </w:r>
      <w:r>
        <w:rPr/>
        <w:t>of</w:t>
      </w:r>
      <w:r>
        <w:rPr>
          <w:spacing w:val="-1"/>
        </w:rPr>
        <w:t> </w:t>
      </w:r>
      <w:r>
        <w:rPr/>
        <w:t>Public</w:t>
      </w:r>
      <w:r>
        <w:rPr>
          <w:spacing w:val="-2"/>
        </w:rPr>
        <w:t> Budgeting</w:t>
      </w:r>
    </w:p>
    <w:p>
      <w:pPr>
        <w:pStyle w:val="BodyText"/>
        <w:spacing w:before="238"/>
        <w:ind w:left="240"/>
        <w:jc w:val="both"/>
      </w:pPr>
      <w:r>
        <w:rPr/>
        <w:t>Public</w:t>
      </w:r>
      <w:r>
        <w:rPr>
          <w:spacing w:val="-4"/>
        </w:rPr>
        <w:t> </w:t>
      </w:r>
      <w:r>
        <w:rPr/>
        <w:t>budgeting</w:t>
      </w:r>
      <w:r>
        <w:rPr>
          <w:spacing w:val="-3"/>
        </w:rPr>
        <w:t> </w:t>
      </w:r>
      <w:r>
        <w:rPr/>
        <w:t>as</w:t>
      </w:r>
      <w:r>
        <w:rPr>
          <w:spacing w:val="-1"/>
        </w:rPr>
        <w:t> </w:t>
      </w:r>
      <w:r>
        <w:rPr/>
        <w:t>stated by</w:t>
      </w:r>
      <w:r>
        <w:rPr>
          <w:spacing w:val="-5"/>
        </w:rPr>
        <w:t> </w:t>
      </w:r>
      <w:r>
        <w:rPr/>
        <w:t>(Ugoo,</w:t>
      </w:r>
      <w:r>
        <w:rPr>
          <w:spacing w:val="-1"/>
        </w:rPr>
        <w:t> </w:t>
      </w:r>
      <w:r>
        <w:rPr/>
        <w:t>2008)</w:t>
      </w:r>
      <w:r>
        <w:rPr>
          <w:spacing w:val="-1"/>
        </w:rPr>
        <w:t> </w:t>
      </w:r>
      <w:r>
        <w:rPr/>
        <w:t>offer</w:t>
      </w:r>
      <w:r>
        <w:rPr>
          <w:spacing w:val="-1"/>
        </w:rPr>
        <w:t> </w:t>
      </w:r>
      <w:r>
        <w:rPr/>
        <w:t>the</w:t>
      </w:r>
      <w:r>
        <w:rPr>
          <w:spacing w:val="-1"/>
        </w:rPr>
        <w:t> </w:t>
      </w:r>
      <w:r>
        <w:rPr/>
        <w:t>following</w:t>
      </w:r>
      <w:r>
        <w:rPr>
          <w:spacing w:val="-1"/>
        </w:rPr>
        <w:t> </w:t>
      </w:r>
      <w:r>
        <w:rPr>
          <w:spacing w:val="-2"/>
        </w:rPr>
        <w:t>advantages:</w:t>
      </w:r>
    </w:p>
    <w:p>
      <w:pPr>
        <w:pStyle w:val="ListParagraph"/>
        <w:numPr>
          <w:ilvl w:val="0"/>
          <w:numId w:val="29"/>
        </w:numPr>
        <w:tabs>
          <w:tab w:pos="960" w:val="left" w:leader="none"/>
        </w:tabs>
        <w:spacing w:line="360" w:lineRule="auto" w:before="137" w:after="0"/>
        <w:ind w:left="960" w:right="841" w:hanging="360"/>
        <w:jc w:val="both"/>
        <w:rPr>
          <w:sz w:val="24"/>
        </w:rPr>
      </w:pPr>
      <w:r>
        <w:rPr>
          <w:b/>
          <w:sz w:val="24"/>
        </w:rPr>
        <w:t>Action is based on study</w:t>
      </w:r>
      <w:r>
        <w:rPr>
          <w:sz w:val="24"/>
        </w:rPr>
        <w:t>: Owing to the fact that executives and operating heads make the plans which they are bound to execute when approved, careful study becomes imperative before any action is taken. The failure or success of the budget plan is a function of not only execution but how well they are articulated.</w:t>
      </w:r>
    </w:p>
    <w:p>
      <w:pPr>
        <w:pStyle w:val="ListParagraph"/>
        <w:numPr>
          <w:ilvl w:val="0"/>
          <w:numId w:val="29"/>
        </w:numPr>
        <w:tabs>
          <w:tab w:pos="960" w:val="left" w:leader="none"/>
        </w:tabs>
        <w:spacing w:line="360" w:lineRule="auto" w:before="0" w:after="0"/>
        <w:ind w:left="960" w:right="838" w:hanging="360"/>
        <w:jc w:val="both"/>
        <w:rPr>
          <w:sz w:val="24"/>
        </w:rPr>
      </w:pPr>
      <w:r>
        <w:rPr>
          <w:b/>
          <w:sz w:val="24"/>
        </w:rPr>
        <w:t>Co-operation is secured in the entire organization: </w:t>
      </w:r>
      <w:r>
        <w:rPr>
          <w:sz w:val="24"/>
        </w:rPr>
        <w:t>Operating heads and all who have something</w:t>
      </w:r>
      <w:r>
        <w:rPr>
          <w:spacing w:val="12"/>
          <w:sz w:val="24"/>
        </w:rPr>
        <w:t> </w:t>
      </w:r>
      <w:r>
        <w:rPr>
          <w:sz w:val="24"/>
        </w:rPr>
        <w:t>to</w:t>
      </w:r>
      <w:r>
        <w:rPr>
          <w:spacing w:val="15"/>
          <w:sz w:val="24"/>
        </w:rPr>
        <w:t> </w:t>
      </w:r>
      <w:r>
        <w:rPr>
          <w:sz w:val="24"/>
        </w:rPr>
        <w:t>do</w:t>
      </w:r>
      <w:r>
        <w:rPr>
          <w:spacing w:val="14"/>
          <w:sz w:val="24"/>
        </w:rPr>
        <w:t> </w:t>
      </w:r>
      <w:r>
        <w:rPr>
          <w:sz w:val="24"/>
        </w:rPr>
        <w:t>with</w:t>
      </w:r>
      <w:r>
        <w:rPr>
          <w:spacing w:val="15"/>
          <w:sz w:val="24"/>
        </w:rPr>
        <w:t> </w:t>
      </w:r>
      <w:r>
        <w:rPr>
          <w:sz w:val="24"/>
        </w:rPr>
        <w:t>operations</w:t>
      </w:r>
      <w:r>
        <w:rPr>
          <w:spacing w:val="14"/>
          <w:sz w:val="24"/>
        </w:rPr>
        <w:t> </w:t>
      </w:r>
      <w:r>
        <w:rPr>
          <w:sz w:val="24"/>
        </w:rPr>
        <w:t>assist</w:t>
      </w:r>
      <w:r>
        <w:rPr>
          <w:spacing w:val="15"/>
          <w:sz w:val="24"/>
        </w:rPr>
        <w:t> </w:t>
      </w:r>
      <w:r>
        <w:rPr>
          <w:sz w:val="24"/>
        </w:rPr>
        <w:t>in</w:t>
      </w:r>
      <w:r>
        <w:rPr>
          <w:spacing w:val="15"/>
          <w:sz w:val="24"/>
        </w:rPr>
        <w:t> </w:t>
      </w:r>
      <w:r>
        <w:rPr>
          <w:sz w:val="24"/>
        </w:rPr>
        <w:t>the</w:t>
      </w:r>
      <w:r>
        <w:rPr>
          <w:spacing w:val="14"/>
          <w:sz w:val="24"/>
        </w:rPr>
        <w:t> </w:t>
      </w:r>
      <w:r>
        <w:rPr>
          <w:sz w:val="24"/>
        </w:rPr>
        <w:t>formulation</w:t>
      </w:r>
      <w:r>
        <w:rPr>
          <w:spacing w:val="14"/>
          <w:sz w:val="24"/>
        </w:rPr>
        <w:t> </w:t>
      </w:r>
      <w:r>
        <w:rPr>
          <w:sz w:val="24"/>
        </w:rPr>
        <w:t>of</w:t>
      </w:r>
      <w:r>
        <w:rPr>
          <w:spacing w:val="13"/>
          <w:sz w:val="24"/>
        </w:rPr>
        <w:t> </w:t>
      </w:r>
      <w:r>
        <w:rPr>
          <w:sz w:val="24"/>
        </w:rPr>
        <w:t>the</w:t>
      </w:r>
      <w:r>
        <w:rPr>
          <w:spacing w:val="14"/>
          <w:sz w:val="24"/>
        </w:rPr>
        <w:t> </w:t>
      </w:r>
      <w:r>
        <w:rPr>
          <w:sz w:val="24"/>
        </w:rPr>
        <w:t>best</w:t>
      </w:r>
      <w:r>
        <w:rPr>
          <w:spacing w:val="15"/>
          <w:sz w:val="24"/>
        </w:rPr>
        <w:t> </w:t>
      </w:r>
      <w:r>
        <w:rPr>
          <w:sz w:val="24"/>
        </w:rPr>
        <w:t>operating</w:t>
      </w:r>
      <w:r>
        <w:rPr>
          <w:spacing w:val="12"/>
          <w:sz w:val="24"/>
        </w:rPr>
        <w:t> </w:t>
      </w:r>
      <w:r>
        <w:rPr>
          <w:sz w:val="24"/>
        </w:rPr>
        <w:t>plans</w:t>
      </w:r>
      <w:r>
        <w:rPr>
          <w:spacing w:val="14"/>
          <w:sz w:val="24"/>
        </w:rPr>
        <w:t> </w:t>
      </w:r>
      <w:r>
        <w:rPr>
          <w:sz w:val="24"/>
        </w:rPr>
        <w:t>for</w:t>
      </w:r>
    </w:p>
    <w:p>
      <w:pPr>
        <w:spacing w:after="0" w:line="360" w:lineRule="auto"/>
        <w:jc w:val="both"/>
        <w:rPr>
          <w:sz w:val="24"/>
        </w:rPr>
        <w:sectPr>
          <w:pgSz w:w="12240" w:h="15840"/>
          <w:pgMar w:header="0" w:footer="1036" w:top="1360" w:bottom="1220" w:left="1200" w:right="600"/>
        </w:sectPr>
      </w:pPr>
    </w:p>
    <w:p>
      <w:pPr>
        <w:pStyle w:val="BodyText"/>
        <w:spacing w:line="360" w:lineRule="auto" w:before="74"/>
        <w:ind w:left="960" w:right="846"/>
        <w:jc w:val="both"/>
      </w:pPr>
      <w:r>
        <w:rPr/>
        <w:t>the organization. As such, the result of their work represents the judgment of the entire </w:t>
      </w:r>
      <w:r>
        <w:rPr>
          <w:spacing w:val="-2"/>
        </w:rPr>
        <w:t>organization.</w:t>
      </w:r>
    </w:p>
    <w:p>
      <w:pPr>
        <w:pStyle w:val="ListParagraph"/>
        <w:numPr>
          <w:ilvl w:val="0"/>
          <w:numId w:val="29"/>
        </w:numPr>
        <w:tabs>
          <w:tab w:pos="960" w:val="left" w:leader="none"/>
        </w:tabs>
        <w:spacing w:line="360" w:lineRule="auto" w:before="1" w:after="0"/>
        <w:ind w:left="960" w:right="840" w:hanging="360"/>
        <w:jc w:val="both"/>
        <w:rPr>
          <w:sz w:val="24"/>
        </w:rPr>
      </w:pPr>
      <w:r>
        <w:rPr>
          <w:b/>
          <w:sz w:val="24"/>
        </w:rPr>
        <w:t>Policies are established</w:t>
      </w:r>
      <w:r>
        <w:rPr>
          <w:sz w:val="24"/>
        </w:rPr>
        <w:t>: There are declarations of policies in the budget, in that</w:t>
      </w:r>
      <w:r>
        <w:rPr>
          <w:spacing w:val="40"/>
          <w:sz w:val="24"/>
        </w:rPr>
        <w:t> </w:t>
      </w:r>
      <w:r>
        <w:rPr>
          <w:sz w:val="24"/>
        </w:rPr>
        <w:t>emphasis is given on the essentials of projects to be undertaken. A system of priorities is often established especially where there are limited resources.</w:t>
      </w:r>
    </w:p>
    <w:p>
      <w:pPr>
        <w:pStyle w:val="ListParagraph"/>
        <w:numPr>
          <w:ilvl w:val="0"/>
          <w:numId w:val="29"/>
        </w:numPr>
        <w:tabs>
          <w:tab w:pos="960" w:val="left" w:leader="none"/>
        </w:tabs>
        <w:spacing w:line="360" w:lineRule="auto" w:before="3" w:after="0"/>
        <w:ind w:left="960" w:right="842" w:hanging="360"/>
        <w:jc w:val="both"/>
        <w:rPr>
          <w:sz w:val="24"/>
        </w:rPr>
      </w:pPr>
      <w:r>
        <w:rPr>
          <w:b/>
          <w:sz w:val="24"/>
        </w:rPr>
        <w:t>Programmes for activities are related to expected or available resources and economic conditions: </w:t>
      </w:r>
      <w:r>
        <w:rPr>
          <w:sz w:val="24"/>
        </w:rPr>
        <w:t>There is a holistic consideration of the economy of the nation in budgeting of public expenditure. Government‘s spending may be contracted or expanded depending on the realities of the economy.</w:t>
      </w:r>
    </w:p>
    <w:p>
      <w:pPr>
        <w:pStyle w:val="ListParagraph"/>
        <w:numPr>
          <w:ilvl w:val="0"/>
          <w:numId w:val="29"/>
        </w:numPr>
        <w:tabs>
          <w:tab w:pos="960" w:val="left" w:leader="none"/>
        </w:tabs>
        <w:spacing w:line="360" w:lineRule="auto" w:before="0" w:after="0"/>
        <w:ind w:left="960" w:right="838" w:hanging="360"/>
        <w:jc w:val="both"/>
        <w:rPr>
          <w:sz w:val="24"/>
        </w:rPr>
      </w:pPr>
      <w:r>
        <w:rPr>
          <w:b/>
          <w:sz w:val="24"/>
        </w:rPr>
        <w:t>Development of balanced programmes: </w:t>
      </w:r>
      <w:r>
        <w:rPr>
          <w:sz w:val="24"/>
        </w:rPr>
        <w:t>The priority and essentiality of projects are studied</w:t>
      </w:r>
      <w:r>
        <w:rPr>
          <w:spacing w:val="-2"/>
          <w:sz w:val="24"/>
        </w:rPr>
        <w:t> </w:t>
      </w:r>
      <w:r>
        <w:rPr>
          <w:sz w:val="24"/>
        </w:rPr>
        <w:t>and</w:t>
      </w:r>
      <w:r>
        <w:rPr>
          <w:spacing w:val="-2"/>
          <w:sz w:val="24"/>
        </w:rPr>
        <w:t> </w:t>
      </w:r>
      <w:r>
        <w:rPr>
          <w:sz w:val="24"/>
        </w:rPr>
        <w:t>related</w:t>
      </w:r>
      <w:r>
        <w:rPr>
          <w:spacing w:val="-2"/>
          <w:sz w:val="24"/>
        </w:rPr>
        <w:t> </w:t>
      </w:r>
      <w:r>
        <w:rPr>
          <w:sz w:val="24"/>
        </w:rPr>
        <w:t>to</w:t>
      </w:r>
      <w:r>
        <w:rPr>
          <w:spacing w:val="-2"/>
          <w:sz w:val="24"/>
        </w:rPr>
        <w:t> </w:t>
      </w:r>
      <w:r>
        <w:rPr>
          <w:sz w:val="24"/>
        </w:rPr>
        <w:t>the</w:t>
      </w:r>
      <w:r>
        <w:rPr>
          <w:spacing w:val="-1"/>
          <w:sz w:val="24"/>
        </w:rPr>
        <w:t> </w:t>
      </w:r>
      <w:r>
        <w:rPr>
          <w:sz w:val="24"/>
        </w:rPr>
        <w:t>end</w:t>
      </w:r>
      <w:r>
        <w:rPr>
          <w:spacing w:val="-2"/>
          <w:sz w:val="24"/>
        </w:rPr>
        <w:t> </w:t>
      </w:r>
      <w:r>
        <w:rPr>
          <w:sz w:val="24"/>
        </w:rPr>
        <w:t>in</w:t>
      </w:r>
      <w:r>
        <w:rPr>
          <w:spacing w:val="-2"/>
          <w:sz w:val="24"/>
        </w:rPr>
        <w:t> </w:t>
      </w:r>
      <w:r>
        <w:rPr>
          <w:sz w:val="24"/>
        </w:rPr>
        <w:t>view</w:t>
      </w:r>
      <w:r>
        <w:rPr>
          <w:spacing w:val="-1"/>
          <w:sz w:val="24"/>
        </w:rPr>
        <w:t> </w:t>
      </w:r>
      <w:r>
        <w:rPr>
          <w:sz w:val="24"/>
        </w:rPr>
        <w:t>before</w:t>
      </w:r>
      <w:r>
        <w:rPr>
          <w:spacing w:val="-4"/>
          <w:sz w:val="24"/>
        </w:rPr>
        <w:t> </w:t>
      </w:r>
      <w:r>
        <w:rPr>
          <w:sz w:val="24"/>
        </w:rPr>
        <w:t>determining</w:t>
      </w:r>
      <w:r>
        <w:rPr>
          <w:spacing w:val="-4"/>
          <w:sz w:val="24"/>
        </w:rPr>
        <w:t> </w:t>
      </w:r>
      <w:r>
        <w:rPr>
          <w:sz w:val="24"/>
        </w:rPr>
        <w:t>how</w:t>
      </w:r>
      <w:r>
        <w:rPr>
          <w:spacing w:val="-2"/>
          <w:sz w:val="24"/>
        </w:rPr>
        <w:t> </w:t>
      </w:r>
      <w:r>
        <w:rPr>
          <w:sz w:val="24"/>
        </w:rPr>
        <w:t>money</w:t>
      </w:r>
      <w:r>
        <w:rPr>
          <w:spacing w:val="-7"/>
          <w:sz w:val="24"/>
        </w:rPr>
        <w:t> </w:t>
      </w:r>
      <w:r>
        <w:rPr>
          <w:sz w:val="24"/>
        </w:rPr>
        <w:t>should</w:t>
      </w:r>
      <w:r>
        <w:rPr>
          <w:spacing w:val="-2"/>
          <w:sz w:val="24"/>
        </w:rPr>
        <w:t> </w:t>
      </w:r>
      <w:r>
        <w:rPr>
          <w:sz w:val="24"/>
        </w:rPr>
        <w:t>be</w:t>
      </w:r>
      <w:r>
        <w:rPr>
          <w:spacing w:val="-3"/>
          <w:sz w:val="24"/>
        </w:rPr>
        <w:t> </w:t>
      </w:r>
      <w:r>
        <w:rPr>
          <w:sz w:val="24"/>
        </w:rPr>
        <w:t>spent and what is to be expected in the prosecution of chosen projects or actions.</w:t>
      </w:r>
    </w:p>
    <w:p>
      <w:pPr>
        <w:pStyle w:val="ListParagraph"/>
        <w:numPr>
          <w:ilvl w:val="0"/>
          <w:numId w:val="29"/>
        </w:numPr>
        <w:tabs>
          <w:tab w:pos="958" w:val="left" w:leader="none"/>
          <w:tab w:pos="960" w:val="left" w:leader="none"/>
        </w:tabs>
        <w:spacing w:line="360" w:lineRule="auto" w:before="0" w:after="0"/>
        <w:ind w:left="960" w:right="838" w:hanging="360"/>
        <w:jc w:val="both"/>
        <w:rPr>
          <w:sz w:val="24"/>
        </w:rPr>
      </w:pPr>
      <w:r>
        <w:rPr>
          <w:b/>
          <w:sz w:val="24"/>
        </w:rPr>
        <w:t>Attainment of coordinated effort: </w:t>
      </w:r>
      <w:r>
        <w:rPr>
          <w:sz w:val="24"/>
        </w:rPr>
        <w:t>In the budgetary process, coordination of all departments, units, divisions or agencies is necessary, because without that, concerted action cannot be attained.</w:t>
      </w:r>
    </w:p>
    <w:p>
      <w:pPr>
        <w:pStyle w:val="ListParagraph"/>
        <w:numPr>
          <w:ilvl w:val="0"/>
          <w:numId w:val="29"/>
        </w:numPr>
        <w:tabs>
          <w:tab w:pos="958" w:val="left" w:leader="none"/>
          <w:tab w:pos="960" w:val="left" w:leader="none"/>
        </w:tabs>
        <w:spacing w:line="360" w:lineRule="auto" w:before="0" w:after="0"/>
        <w:ind w:left="960" w:right="835" w:hanging="360"/>
        <w:jc w:val="both"/>
        <w:rPr>
          <w:sz w:val="24"/>
        </w:rPr>
      </w:pPr>
      <w:r>
        <w:rPr>
          <w:b/>
          <w:sz w:val="24"/>
        </w:rPr>
        <w:t>Control of operations: </w:t>
      </w:r>
      <w:r>
        <w:rPr>
          <w:sz w:val="24"/>
        </w:rPr>
        <w:t>In a sound and efficient budgetary system, there is a control mechanism for expenditures. Expenditures are tied to projections and estimations that have already been done. This helps to determine deviations from pre-determined goals.</w:t>
      </w:r>
    </w:p>
    <w:p>
      <w:pPr>
        <w:pStyle w:val="ListParagraph"/>
        <w:numPr>
          <w:ilvl w:val="0"/>
          <w:numId w:val="29"/>
        </w:numPr>
        <w:tabs>
          <w:tab w:pos="960" w:val="left" w:leader="none"/>
        </w:tabs>
        <w:spacing w:line="360" w:lineRule="auto" w:before="0" w:after="0"/>
        <w:ind w:left="960" w:right="838" w:hanging="360"/>
        <w:jc w:val="both"/>
        <w:rPr>
          <w:sz w:val="24"/>
        </w:rPr>
      </w:pPr>
      <w:r>
        <w:rPr>
          <w:b/>
          <w:sz w:val="24"/>
        </w:rPr>
        <w:t>Revelation of organizational weakness: </w:t>
      </w:r>
      <w:r>
        <w:rPr>
          <w:sz w:val="24"/>
        </w:rPr>
        <w:t>In the execution of plans, responsibilities are delegated. Responsibility</w:t>
      </w:r>
      <w:r>
        <w:rPr>
          <w:spacing w:val="-3"/>
          <w:sz w:val="24"/>
        </w:rPr>
        <w:t> </w:t>
      </w:r>
      <w:r>
        <w:rPr>
          <w:sz w:val="24"/>
        </w:rPr>
        <w:t>can only</w:t>
      </w:r>
      <w:r>
        <w:rPr>
          <w:spacing w:val="-1"/>
          <w:sz w:val="24"/>
        </w:rPr>
        <w:t> </w:t>
      </w:r>
      <w:r>
        <w:rPr>
          <w:sz w:val="24"/>
        </w:rPr>
        <w:t>be accepted if authority is delineated. Where</w:t>
      </w:r>
      <w:r>
        <w:rPr>
          <w:spacing w:val="-1"/>
          <w:sz w:val="24"/>
        </w:rPr>
        <w:t> </w:t>
      </w:r>
      <w:r>
        <w:rPr>
          <w:sz w:val="24"/>
        </w:rPr>
        <w:t>plans are developed and responsibilities for</w:t>
      </w:r>
      <w:r>
        <w:rPr>
          <w:spacing w:val="-1"/>
          <w:sz w:val="24"/>
        </w:rPr>
        <w:t> </w:t>
      </w:r>
      <w:r>
        <w:rPr>
          <w:sz w:val="24"/>
        </w:rPr>
        <w:t>accomplishments are</w:t>
      </w:r>
      <w:r>
        <w:rPr>
          <w:spacing w:val="-2"/>
          <w:sz w:val="24"/>
        </w:rPr>
        <w:t> </w:t>
      </w:r>
      <w:r>
        <w:rPr>
          <w:sz w:val="24"/>
        </w:rPr>
        <w:t>delegated, weaknesses and lapses if any, in the organization will be revealed.</w:t>
      </w:r>
    </w:p>
    <w:p>
      <w:pPr>
        <w:pStyle w:val="ListParagraph"/>
        <w:numPr>
          <w:ilvl w:val="0"/>
          <w:numId w:val="29"/>
        </w:numPr>
        <w:tabs>
          <w:tab w:pos="958" w:val="left" w:leader="none"/>
          <w:tab w:pos="960" w:val="left" w:leader="none"/>
        </w:tabs>
        <w:spacing w:line="360" w:lineRule="auto" w:before="0" w:after="0"/>
        <w:ind w:left="960" w:right="842" w:hanging="360"/>
        <w:jc w:val="both"/>
        <w:rPr>
          <w:sz w:val="24"/>
        </w:rPr>
      </w:pPr>
      <w:r>
        <w:rPr>
          <w:b/>
          <w:sz w:val="24"/>
        </w:rPr>
        <w:t>Prevention of waste: </w:t>
      </w:r>
      <w:r>
        <w:rPr>
          <w:sz w:val="24"/>
        </w:rPr>
        <w:t>Owing</w:t>
      </w:r>
      <w:r>
        <w:rPr>
          <w:spacing w:val="-1"/>
          <w:sz w:val="24"/>
        </w:rPr>
        <w:t> </w:t>
      </w:r>
      <w:r>
        <w:rPr>
          <w:sz w:val="24"/>
        </w:rPr>
        <w:t>to the fact that budgeting analyzes the reasons for proposed expenditures in advance, waste and embarking on white elephant projects are prevented. A good budgetary system does not allow for abandoning projects as enough studies</w:t>
      </w:r>
      <w:r>
        <w:rPr>
          <w:spacing w:val="40"/>
          <w:sz w:val="24"/>
        </w:rPr>
        <w:t> </w:t>
      </w:r>
      <w:r>
        <w:rPr>
          <w:sz w:val="24"/>
        </w:rPr>
        <w:t>would have been carried out before subsequent approvals.</w:t>
      </w:r>
    </w:p>
    <w:p>
      <w:pPr>
        <w:pStyle w:val="BodyText"/>
        <w:spacing w:line="360" w:lineRule="auto" w:before="225"/>
        <w:ind w:left="240" w:right="838"/>
        <w:jc w:val="both"/>
      </w:pPr>
      <w:r>
        <w:rPr/>
        <w:t>In the view of Chark (1995), the advantages of a public budget cannot be overemphasized because it compels management to plan for the future, helps to coordinate, integrate and balance the efforts of various departments in the light of the various objectives of the organization, facilitates control by providing definite expectations, improves quality of communication, helps to</w:t>
      </w:r>
      <w:r>
        <w:rPr>
          <w:spacing w:val="7"/>
        </w:rPr>
        <w:t> </w:t>
      </w:r>
      <w:r>
        <w:rPr/>
        <w:t>optimize</w:t>
      </w:r>
      <w:r>
        <w:rPr>
          <w:spacing w:val="7"/>
        </w:rPr>
        <w:t> </w:t>
      </w:r>
      <w:r>
        <w:rPr/>
        <w:t>the</w:t>
      </w:r>
      <w:r>
        <w:rPr>
          <w:spacing w:val="7"/>
        </w:rPr>
        <w:t> </w:t>
      </w:r>
      <w:r>
        <w:rPr/>
        <w:t>use</w:t>
      </w:r>
      <w:r>
        <w:rPr>
          <w:spacing w:val="7"/>
        </w:rPr>
        <w:t> </w:t>
      </w:r>
      <w:r>
        <w:rPr/>
        <w:t>of</w:t>
      </w:r>
      <w:r>
        <w:rPr>
          <w:spacing w:val="7"/>
        </w:rPr>
        <w:t> </w:t>
      </w:r>
      <w:r>
        <w:rPr/>
        <w:t>the</w:t>
      </w:r>
      <w:r>
        <w:rPr>
          <w:spacing w:val="7"/>
        </w:rPr>
        <w:t> </w:t>
      </w:r>
      <w:r>
        <w:rPr/>
        <w:t>organization‘s</w:t>
      </w:r>
      <w:r>
        <w:rPr>
          <w:spacing w:val="6"/>
        </w:rPr>
        <w:t> </w:t>
      </w:r>
      <w:r>
        <w:rPr/>
        <w:t>resources,</w:t>
      </w:r>
      <w:r>
        <w:rPr>
          <w:spacing w:val="8"/>
        </w:rPr>
        <w:t> </w:t>
      </w:r>
      <w:r>
        <w:rPr/>
        <w:t>increases</w:t>
      </w:r>
      <w:r>
        <w:rPr>
          <w:spacing w:val="8"/>
        </w:rPr>
        <w:t> </w:t>
      </w:r>
      <w:r>
        <w:rPr/>
        <w:t>morals,</w:t>
      </w:r>
      <w:r>
        <w:rPr>
          <w:spacing w:val="9"/>
        </w:rPr>
        <w:t> </w:t>
      </w:r>
      <w:r>
        <w:rPr/>
        <w:t>develops</w:t>
      </w:r>
      <w:r>
        <w:rPr>
          <w:spacing w:val="9"/>
        </w:rPr>
        <w:t> </w:t>
      </w:r>
      <w:r>
        <w:rPr/>
        <w:t>an</w:t>
      </w:r>
      <w:r>
        <w:rPr>
          <w:spacing w:val="8"/>
        </w:rPr>
        <w:t> </w:t>
      </w:r>
      <w:r>
        <w:rPr/>
        <w:t>atmosphere</w:t>
      </w:r>
      <w:r>
        <w:rPr>
          <w:spacing w:val="8"/>
        </w:rPr>
        <w:t> </w:t>
      </w:r>
      <w:r>
        <w:rPr>
          <w:spacing w:val="-5"/>
        </w:rPr>
        <w:t>of</w:t>
      </w:r>
    </w:p>
    <w:p>
      <w:pPr>
        <w:spacing w:after="0" w:line="360" w:lineRule="auto"/>
        <w:jc w:val="both"/>
        <w:sectPr>
          <w:pgSz w:w="12240" w:h="15840"/>
          <w:pgMar w:header="0" w:footer="1036" w:top="1360" w:bottom="1220" w:left="1200" w:right="600"/>
        </w:sectPr>
      </w:pPr>
    </w:p>
    <w:p>
      <w:pPr>
        <w:pStyle w:val="BodyText"/>
        <w:spacing w:line="360" w:lineRule="auto" w:before="74"/>
        <w:ind w:left="240" w:right="840"/>
        <w:jc w:val="both"/>
      </w:pPr>
      <w:r>
        <w:rPr/>
        <w:t>cost consciousness, permits management to focus attention on significant matters and measures efficiency and inefficiency.</w:t>
      </w:r>
    </w:p>
    <w:p>
      <w:pPr>
        <w:pStyle w:val="BodyText"/>
        <w:spacing w:before="142"/>
      </w:pPr>
    </w:p>
    <w:p>
      <w:pPr>
        <w:pStyle w:val="Heading4"/>
        <w:numPr>
          <w:ilvl w:val="2"/>
          <w:numId w:val="27"/>
        </w:numPr>
        <w:tabs>
          <w:tab w:pos="720" w:val="left" w:leader="none"/>
        </w:tabs>
        <w:spacing w:line="240" w:lineRule="auto" w:before="0" w:after="0"/>
        <w:ind w:left="720" w:right="0" w:hanging="480"/>
        <w:jc w:val="both"/>
        <w:rPr>
          <w:sz w:val="22"/>
        </w:rPr>
      </w:pPr>
      <w:r>
        <w:rPr/>
        <w:t>`</w:t>
      </w:r>
      <w:r>
        <w:rPr>
          <w:spacing w:val="-2"/>
        </w:rPr>
        <w:t> </w:t>
      </w:r>
      <w:r>
        <w:rPr/>
        <w:t>Factors</w:t>
      </w:r>
      <w:r>
        <w:rPr>
          <w:spacing w:val="-1"/>
        </w:rPr>
        <w:t> </w:t>
      </w:r>
      <w:r>
        <w:rPr/>
        <w:t>influencing</w:t>
      </w:r>
      <w:r>
        <w:rPr>
          <w:spacing w:val="-2"/>
        </w:rPr>
        <w:t> </w:t>
      </w:r>
      <w:r>
        <w:rPr/>
        <w:t>Public</w:t>
      </w:r>
      <w:r>
        <w:rPr>
          <w:spacing w:val="-2"/>
        </w:rPr>
        <w:t> </w:t>
      </w:r>
      <w:r>
        <w:rPr/>
        <w:t>Budgeting</w:t>
      </w:r>
      <w:r>
        <w:rPr>
          <w:spacing w:val="-1"/>
        </w:rPr>
        <w:t> </w:t>
      </w:r>
      <w:r>
        <w:rPr>
          <w:spacing w:val="-2"/>
        </w:rPr>
        <w:t>decisions</w:t>
      </w:r>
    </w:p>
    <w:p>
      <w:pPr>
        <w:pStyle w:val="BodyText"/>
        <w:spacing w:line="360" w:lineRule="auto" w:before="135"/>
        <w:ind w:left="240" w:right="836"/>
        <w:jc w:val="both"/>
      </w:pPr>
      <w:r>
        <w:rPr/>
        <w:t>Government</w:t>
      </w:r>
      <w:r>
        <w:rPr>
          <w:spacing w:val="-1"/>
        </w:rPr>
        <w:t> </w:t>
      </w:r>
      <w:r>
        <w:rPr/>
        <w:t>budget</w:t>
      </w:r>
      <w:r>
        <w:rPr>
          <w:spacing w:val="-1"/>
        </w:rPr>
        <w:t> </w:t>
      </w:r>
      <w:r>
        <w:rPr/>
        <w:t>has</w:t>
      </w:r>
      <w:r>
        <w:rPr>
          <w:spacing w:val="-1"/>
        </w:rPr>
        <w:t> </w:t>
      </w:r>
      <w:r>
        <w:rPr/>
        <w:t>been</w:t>
      </w:r>
      <w:r>
        <w:rPr>
          <w:spacing w:val="-1"/>
        </w:rPr>
        <w:t> </w:t>
      </w:r>
      <w:r>
        <w:rPr/>
        <w:t>described</w:t>
      </w:r>
      <w:r>
        <w:rPr>
          <w:spacing w:val="-1"/>
        </w:rPr>
        <w:t> </w:t>
      </w:r>
      <w:r>
        <w:rPr/>
        <w:t>as</w:t>
      </w:r>
      <w:r>
        <w:rPr>
          <w:spacing w:val="-1"/>
        </w:rPr>
        <w:t> </w:t>
      </w:r>
      <w:r>
        <w:rPr/>
        <w:t>a</w:t>
      </w:r>
      <w:r>
        <w:rPr>
          <w:spacing w:val="-2"/>
        </w:rPr>
        <w:t> </w:t>
      </w:r>
      <w:r>
        <w:rPr/>
        <w:t>stabilizer</w:t>
      </w:r>
      <w:r>
        <w:rPr>
          <w:spacing w:val="-2"/>
        </w:rPr>
        <w:t> </w:t>
      </w:r>
      <w:r>
        <w:rPr/>
        <w:t>because</w:t>
      </w:r>
      <w:r>
        <w:rPr>
          <w:spacing w:val="-2"/>
        </w:rPr>
        <w:t> </w:t>
      </w:r>
      <w:r>
        <w:rPr/>
        <w:t>if</w:t>
      </w:r>
      <w:r>
        <w:rPr>
          <w:spacing w:val="-2"/>
        </w:rPr>
        <w:t> </w:t>
      </w:r>
      <w:r>
        <w:rPr/>
        <w:t>properly</w:t>
      </w:r>
      <w:r>
        <w:rPr>
          <w:spacing w:val="-6"/>
        </w:rPr>
        <w:t> </w:t>
      </w:r>
      <w:r>
        <w:rPr/>
        <w:t>used,</w:t>
      </w:r>
      <w:r>
        <w:rPr>
          <w:spacing w:val="-1"/>
        </w:rPr>
        <w:t> </w:t>
      </w:r>
      <w:r>
        <w:rPr/>
        <w:t>as</w:t>
      </w:r>
      <w:r>
        <w:rPr>
          <w:spacing w:val="-1"/>
        </w:rPr>
        <w:t> </w:t>
      </w:r>
      <w:r>
        <w:rPr/>
        <w:t>a</w:t>
      </w:r>
      <w:r>
        <w:rPr>
          <w:spacing w:val="-2"/>
        </w:rPr>
        <w:t> </w:t>
      </w:r>
      <w:r>
        <w:rPr/>
        <w:t>fiscal</w:t>
      </w:r>
      <w:r>
        <w:rPr>
          <w:spacing w:val="-1"/>
        </w:rPr>
        <w:t> </w:t>
      </w:r>
      <w:r>
        <w:rPr/>
        <w:t>policy, can stabilize an economy (CICMA, 2003). The public budget as an instrument of economic policy dictates the direction of the economy and expresses intentions regarding the utilization of the community‘s resources. In operational terms, it leads to the determination of growth and investment goals (Ugoo, 2008). At the national level, the budget is concerned with the macroeconomic balance in the economy. The policy options in this regard include specification of the amount of growth that is compatible with factors such as employment and price stability. Government</w:t>
      </w:r>
      <w:r>
        <w:rPr>
          <w:spacing w:val="-1"/>
        </w:rPr>
        <w:t> </w:t>
      </w:r>
      <w:r>
        <w:rPr/>
        <w:t>budgeting</w:t>
      </w:r>
      <w:r>
        <w:rPr>
          <w:spacing w:val="-4"/>
        </w:rPr>
        <w:t> </w:t>
      </w:r>
      <w:r>
        <w:rPr/>
        <w:t>provides</w:t>
      </w:r>
      <w:r>
        <w:rPr>
          <w:spacing w:val="-1"/>
        </w:rPr>
        <w:t> </w:t>
      </w:r>
      <w:r>
        <w:rPr/>
        <w:t>the</w:t>
      </w:r>
      <w:r>
        <w:rPr>
          <w:spacing w:val="-2"/>
        </w:rPr>
        <w:t> </w:t>
      </w:r>
      <w:r>
        <w:rPr/>
        <w:t>basis</w:t>
      </w:r>
      <w:r>
        <w:rPr>
          <w:spacing w:val="-1"/>
        </w:rPr>
        <w:t> </w:t>
      </w:r>
      <w:r>
        <w:rPr/>
        <w:t>for</w:t>
      </w:r>
      <w:r>
        <w:rPr>
          <w:spacing w:val="-3"/>
        </w:rPr>
        <w:t> </w:t>
      </w:r>
      <w:r>
        <w:rPr/>
        <w:t>legislative</w:t>
      </w:r>
      <w:r>
        <w:rPr>
          <w:spacing w:val="-2"/>
        </w:rPr>
        <w:t> </w:t>
      </w:r>
      <w:r>
        <w:rPr/>
        <w:t>control,</w:t>
      </w:r>
      <w:r>
        <w:rPr>
          <w:spacing w:val="-1"/>
        </w:rPr>
        <w:t> </w:t>
      </w:r>
      <w:r>
        <w:rPr/>
        <w:t>authorization</w:t>
      </w:r>
      <w:r>
        <w:rPr>
          <w:spacing w:val="-1"/>
        </w:rPr>
        <w:t> </w:t>
      </w:r>
      <w:r>
        <w:rPr/>
        <w:t>and</w:t>
      </w:r>
      <w:r>
        <w:rPr>
          <w:spacing w:val="-1"/>
        </w:rPr>
        <w:t> </w:t>
      </w:r>
      <w:r>
        <w:rPr/>
        <w:t>accountability to the legislature and provides a base for executive management within ministries and departments (Ugoo, 2008).</w:t>
      </w:r>
    </w:p>
    <w:p>
      <w:pPr>
        <w:pStyle w:val="BodyText"/>
        <w:spacing w:before="137"/>
      </w:pPr>
    </w:p>
    <w:p>
      <w:pPr>
        <w:pStyle w:val="BodyText"/>
        <w:spacing w:line="360" w:lineRule="auto"/>
        <w:ind w:left="240" w:right="846"/>
        <w:jc w:val="both"/>
      </w:pPr>
      <w:r>
        <w:rPr/>
        <w:t>According to Emma (2001), budgeting in the government is not for formality sake, or for the interest of knowing how income keeps pace with expenditure. The following comprise reasons why governments must prepare budgets:</w:t>
      </w:r>
    </w:p>
    <w:p>
      <w:pPr>
        <w:pStyle w:val="ListParagraph"/>
        <w:numPr>
          <w:ilvl w:val="0"/>
          <w:numId w:val="30"/>
        </w:numPr>
        <w:tabs>
          <w:tab w:pos="524" w:val="left" w:leader="none"/>
        </w:tabs>
        <w:spacing w:line="360" w:lineRule="auto" w:before="228" w:after="0"/>
        <w:ind w:left="240" w:right="834" w:firstLine="0"/>
        <w:jc w:val="both"/>
        <w:rPr>
          <w:sz w:val="24"/>
        </w:rPr>
      </w:pPr>
      <w:r>
        <w:rPr>
          <w:b/>
          <w:sz w:val="24"/>
        </w:rPr>
        <w:t>Resource allocation: </w:t>
      </w:r>
      <w:r>
        <w:rPr>
          <w:sz w:val="24"/>
        </w:rPr>
        <w:t>Resource is always scarce and thus should always be prudently used. The budget provides a rational basis for allocating resources to various sectors of the polity. It is evident that the governments (at all levels or tiers) are faced with multi-dimensional</w:t>
      </w:r>
      <w:r>
        <w:rPr>
          <w:spacing w:val="80"/>
          <w:sz w:val="24"/>
        </w:rPr>
        <w:t> </w:t>
      </w:r>
      <w:r>
        <w:rPr>
          <w:sz w:val="24"/>
        </w:rPr>
        <w:t>development programmes and other needs. The lean resources could only be prudently and equitably allocated through the tool of budget.</w:t>
      </w:r>
    </w:p>
    <w:p>
      <w:pPr>
        <w:pStyle w:val="ListParagraph"/>
        <w:numPr>
          <w:ilvl w:val="0"/>
          <w:numId w:val="30"/>
        </w:numPr>
        <w:tabs>
          <w:tab w:pos="550" w:val="left" w:leader="none"/>
        </w:tabs>
        <w:spacing w:line="360" w:lineRule="auto" w:before="138" w:after="0"/>
        <w:ind w:left="240" w:right="838" w:firstLine="0"/>
        <w:jc w:val="both"/>
        <w:rPr>
          <w:sz w:val="24"/>
        </w:rPr>
      </w:pPr>
      <w:r>
        <w:rPr>
          <w:b/>
          <w:sz w:val="24"/>
        </w:rPr>
        <w:t>Legal basis for authorization of expenditure: </w:t>
      </w:r>
      <w:r>
        <w:rPr>
          <w:sz w:val="24"/>
        </w:rPr>
        <w:t>From the foregoing discussions, it can be deduced that the constitutions of governments demand that the estimates of the revenue and expenditure must be laid before the appropriate authorities for authorization subsequent to </w:t>
      </w:r>
      <w:r>
        <w:rPr>
          <w:spacing w:val="-2"/>
          <w:sz w:val="24"/>
        </w:rPr>
        <w:t>expenditure.</w:t>
      </w:r>
    </w:p>
    <w:p>
      <w:pPr>
        <w:pStyle w:val="ListParagraph"/>
        <w:numPr>
          <w:ilvl w:val="0"/>
          <w:numId w:val="30"/>
        </w:numPr>
        <w:tabs>
          <w:tab w:pos="493" w:val="left" w:leader="none"/>
        </w:tabs>
        <w:spacing w:line="360" w:lineRule="auto" w:before="137" w:after="0"/>
        <w:ind w:left="240" w:right="835" w:firstLine="0"/>
        <w:jc w:val="both"/>
        <w:rPr>
          <w:sz w:val="24"/>
        </w:rPr>
      </w:pPr>
      <w:r>
        <w:rPr>
          <w:b/>
          <w:sz w:val="24"/>
        </w:rPr>
        <w:t>Macro-economic Framework: </w:t>
      </w:r>
      <w:r>
        <w:rPr>
          <w:sz w:val="24"/>
        </w:rPr>
        <w:t>The litmus test of government budgets is its effect on macro- economic indicators such as employment, price stability, inflation, national income parameters and</w:t>
      </w:r>
      <w:r>
        <w:rPr>
          <w:spacing w:val="14"/>
          <w:sz w:val="24"/>
        </w:rPr>
        <w:t> </w:t>
      </w:r>
      <w:r>
        <w:rPr>
          <w:sz w:val="24"/>
        </w:rPr>
        <w:t>general</w:t>
      </w:r>
      <w:r>
        <w:rPr>
          <w:spacing w:val="12"/>
          <w:sz w:val="24"/>
        </w:rPr>
        <w:t> </w:t>
      </w:r>
      <w:r>
        <w:rPr>
          <w:sz w:val="24"/>
        </w:rPr>
        <w:t>well</w:t>
      </w:r>
      <w:r>
        <w:rPr>
          <w:spacing w:val="12"/>
          <w:sz w:val="24"/>
        </w:rPr>
        <w:t> </w:t>
      </w:r>
      <w:r>
        <w:rPr>
          <w:sz w:val="24"/>
        </w:rPr>
        <w:t>being</w:t>
      </w:r>
      <w:r>
        <w:rPr>
          <w:spacing w:val="9"/>
          <w:sz w:val="24"/>
        </w:rPr>
        <w:t> </w:t>
      </w:r>
      <w:r>
        <w:rPr>
          <w:sz w:val="24"/>
        </w:rPr>
        <w:t>of</w:t>
      </w:r>
      <w:r>
        <w:rPr>
          <w:spacing w:val="12"/>
          <w:sz w:val="24"/>
        </w:rPr>
        <w:t> </w:t>
      </w:r>
      <w:r>
        <w:rPr>
          <w:sz w:val="24"/>
        </w:rPr>
        <w:t>the</w:t>
      </w:r>
      <w:r>
        <w:rPr>
          <w:spacing w:val="11"/>
          <w:sz w:val="24"/>
        </w:rPr>
        <w:t> </w:t>
      </w:r>
      <w:r>
        <w:rPr>
          <w:sz w:val="24"/>
        </w:rPr>
        <w:t>citizenry</w:t>
      </w:r>
      <w:r>
        <w:rPr>
          <w:spacing w:val="6"/>
          <w:sz w:val="24"/>
        </w:rPr>
        <w:t> </w:t>
      </w:r>
      <w:r>
        <w:rPr>
          <w:sz w:val="24"/>
        </w:rPr>
        <w:t>(Ani,</w:t>
      </w:r>
      <w:r>
        <w:rPr>
          <w:spacing w:val="11"/>
          <w:sz w:val="24"/>
        </w:rPr>
        <w:t> </w:t>
      </w:r>
      <w:r>
        <w:rPr>
          <w:sz w:val="24"/>
        </w:rPr>
        <w:t>1999).</w:t>
      </w:r>
      <w:r>
        <w:rPr>
          <w:spacing w:val="11"/>
          <w:sz w:val="24"/>
        </w:rPr>
        <w:t> </w:t>
      </w:r>
      <w:r>
        <w:rPr>
          <w:sz w:val="24"/>
        </w:rPr>
        <w:t>This</w:t>
      </w:r>
      <w:r>
        <w:rPr>
          <w:spacing w:val="13"/>
          <w:sz w:val="24"/>
        </w:rPr>
        <w:t> </w:t>
      </w:r>
      <w:r>
        <w:rPr>
          <w:sz w:val="24"/>
        </w:rPr>
        <w:t>is</w:t>
      </w:r>
      <w:r>
        <w:rPr>
          <w:spacing w:val="14"/>
          <w:sz w:val="24"/>
        </w:rPr>
        <w:t> </w:t>
      </w:r>
      <w:r>
        <w:rPr>
          <w:sz w:val="24"/>
        </w:rPr>
        <w:t>greatly</w:t>
      </w:r>
      <w:r>
        <w:rPr>
          <w:spacing w:val="9"/>
          <w:sz w:val="24"/>
        </w:rPr>
        <w:t> </w:t>
      </w:r>
      <w:r>
        <w:rPr>
          <w:sz w:val="24"/>
        </w:rPr>
        <w:t>accomplished</w:t>
      </w:r>
      <w:r>
        <w:rPr>
          <w:spacing w:val="11"/>
          <w:sz w:val="24"/>
        </w:rPr>
        <w:t> </w:t>
      </w:r>
      <w:r>
        <w:rPr>
          <w:sz w:val="24"/>
        </w:rPr>
        <w:t>by</w:t>
      </w:r>
      <w:r>
        <w:rPr>
          <w:spacing w:val="6"/>
          <w:sz w:val="24"/>
        </w:rPr>
        <w:t> </w:t>
      </w:r>
      <w:r>
        <w:rPr>
          <w:sz w:val="24"/>
        </w:rPr>
        <w:t>the</w:t>
      </w:r>
      <w:r>
        <w:rPr>
          <w:spacing w:val="11"/>
          <w:sz w:val="24"/>
        </w:rPr>
        <w:t> </w:t>
      </w:r>
      <w:r>
        <w:rPr>
          <w:spacing w:val="-2"/>
          <w:sz w:val="24"/>
        </w:rPr>
        <w:t>budget.</w:t>
      </w:r>
    </w:p>
    <w:p>
      <w:pPr>
        <w:spacing w:after="0" w:line="360" w:lineRule="auto"/>
        <w:jc w:val="both"/>
        <w:rPr>
          <w:sz w:val="24"/>
        </w:rPr>
        <w:sectPr>
          <w:pgSz w:w="12240" w:h="15840"/>
          <w:pgMar w:header="0" w:footer="1036" w:top="1360" w:bottom="1220" w:left="1200" w:right="600"/>
        </w:sectPr>
      </w:pPr>
    </w:p>
    <w:p>
      <w:pPr>
        <w:pStyle w:val="BodyText"/>
        <w:spacing w:line="360" w:lineRule="auto" w:before="74"/>
        <w:ind w:left="240" w:right="838"/>
        <w:jc w:val="both"/>
      </w:pPr>
      <w:r>
        <w:rPr/>
        <w:t>Thus, government budget is a fiscal instrument which generally sets out monetary policies.</w:t>
      </w:r>
      <w:r>
        <w:rPr>
          <w:spacing w:val="40"/>
        </w:rPr>
        <w:t> </w:t>
      </w:r>
      <w:r>
        <w:rPr/>
        <w:t>These affect the various macro-economic indicators outlined above.</w:t>
      </w:r>
    </w:p>
    <w:p>
      <w:pPr>
        <w:pStyle w:val="ListParagraph"/>
        <w:numPr>
          <w:ilvl w:val="0"/>
          <w:numId w:val="30"/>
        </w:numPr>
        <w:tabs>
          <w:tab w:pos="519" w:val="left" w:leader="none"/>
        </w:tabs>
        <w:spacing w:line="360" w:lineRule="auto" w:before="207" w:after="0"/>
        <w:ind w:left="240" w:right="838" w:firstLine="0"/>
        <w:jc w:val="both"/>
        <w:rPr>
          <w:sz w:val="24"/>
        </w:rPr>
      </w:pPr>
      <w:r>
        <w:rPr>
          <w:b/>
          <w:sz w:val="24"/>
        </w:rPr>
        <w:t>Accountability and Probity: </w:t>
      </w:r>
      <w:r>
        <w:rPr>
          <w:sz w:val="24"/>
        </w:rPr>
        <w:t>The budget serves as an instrument to inform the citizenry</w:t>
      </w:r>
      <w:r>
        <w:rPr>
          <w:spacing w:val="-1"/>
          <w:sz w:val="24"/>
        </w:rPr>
        <w:t> </w:t>
      </w:r>
      <w:r>
        <w:rPr>
          <w:sz w:val="24"/>
        </w:rPr>
        <w:t>how their money has been spent and the plan of the government on future expenditure. When this is done, there is every tendency that embezzlement, misappropriation and mismanagement of government would reduce.</w:t>
      </w:r>
    </w:p>
    <w:p>
      <w:pPr>
        <w:pStyle w:val="BodyText"/>
        <w:spacing w:before="230"/>
      </w:pPr>
    </w:p>
    <w:p>
      <w:pPr>
        <w:pStyle w:val="Heading4"/>
        <w:numPr>
          <w:ilvl w:val="2"/>
          <w:numId w:val="27"/>
        </w:numPr>
        <w:tabs>
          <w:tab w:pos="720" w:val="left" w:leader="none"/>
        </w:tabs>
        <w:spacing w:line="240" w:lineRule="auto" w:before="0" w:after="0"/>
        <w:ind w:left="720" w:right="0" w:hanging="480"/>
        <w:jc w:val="both"/>
        <w:rPr>
          <w:sz w:val="22"/>
        </w:rPr>
      </w:pPr>
      <w:r>
        <w:rPr/>
        <w:t>`</w:t>
      </w:r>
      <w:r>
        <w:rPr>
          <w:spacing w:val="-4"/>
        </w:rPr>
        <w:t> </w:t>
      </w:r>
      <w:r>
        <w:rPr/>
        <w:t>Principles</w:t>
      </w:r>
      <w:r>
        <w:rPr>
          <w:spacing w:val="-1"/>
        </w:rPr>
        <w:t> </w:t>
      </w:r>
      <w:r>
        <w:rPr/>
        <w:t>of</w:t>
      </w:r>
      <w:r>
        <w:rPr>
          <w:spacing w:val="-1"/>
        </w:rPr>
        <w:t> </w:t>
      </w:r>
      <w:r>
        <w:rPr/>
        <w:t>good</w:t>
      </w:r>
      <w:r>
        <w:rPr>
          <w:spacing w:val="-1"/>
        </w:rPr>
        <w:t> </w:t>
      </w:r>
      <w:r>
        <w:rPr/>
        <w:t>Public</w:t>
      </w:r>
      <w:r>
        <w:rPr>
          <w:spacing w:val="-2"/>
        </w:rPr>
        <w:t> Budgeting</w:t>
      </w:r>
    </w:p>
    <w:p>
      <w:pPr>
        <w:pStyle w:val="BodyText"/>
        <w:spacing w:line="360" w:lineRule="auto" w:before="135"/>
        <w:ind w:left="240" w:right="843"/>
        <w:jc w:val="both"/>
      </w:pPr>
      <w:r>
        <w:rPr/>
        <w:t>According to Ekewealor (2007), there are no rigid principles or rules for budget making, but the following have been formed on the basis of long experience in leading countries.</w:t>
      </w:r>
    </w:p>
    <w:p>
      <w:pPr>
        <w:pStyle w:val="ListParagraph"/>
        <w:numPr>
          <w:ilvl w:val="0"/>
          <w:numId w:val="31"/>
        </w:numPr>
        <w:tabs>
          <w:tab w:pos="960" w:val="left" w:leader="none"/>
        </w:tabs>
        <w:spacing w:line="360" w:lineRule="auto" w:before="1" w:after="0"/>
        <w:ind w:left="960" w:right="835" w:hanging="360"/>
        <w:jc w:val="both"/>
        <w:rPr>
          <w:sz w:val="24"/>
        </w:rPr>
      </w:pPr>
      <w:r>
        <w:rPr>
          <w:b/>
          <w:sz w:val="24"/>
        </w:rPr>
        <w:t>Principle of the chief executive for the formulation of the budget: </w:t>
      </w:r>
      <w:r>
        <w:rPr>
          <w:sz w:val="24"/>
        </w:rPr>
        <w:t>As the chief executive is responsible for running the administration, he is in the best position to say that funds are required for it. It should therefore be the duty of the chief executive to formulate the budget. In Nigeria, it is the Office of Budget, in England, it is the Treasury, and in U.S.A., it is the Bureau of Budget. These offices help their Chief Executives in preparing the budget and advised by a body of specialists.</w:t>
      </w:r>
    </w:p>
    <w:p>
      <w:pPr>
        <w:pStyle w:val="ListParagraph"/>
        <w:numPr>
          <w:ilvl w:val="0"/>
          <w:numId w:val="32"/>
        </w:numPr>
        <w:tabs>
          <w:tab w:pos="960" w:val="left" w:leader="none"/>
        </w:tabs>
        <w:spacing w:line="360" w:lineRule="auto" w:before="0" w:after="0"/>
        <w:ind w:left="960" w:right="841" w:hanging="360"/>
        <w:jc w:val="both"/>
        <w:rPr>
          <w:b/>
          <w:sz w:val="24"/>
        </w:rPr>
      </w:pPr>
      <w:r>
        <w:rPr>
          <w:b/>
          <w:sz w:val="24"/>
        </w:rPr>
        <w:t>Principle of Balanced Budget: </w:t>
      </w:r>
      <w:r>
        <w:rPr>
          <w:sz w:val="24"/>
        </w:rPr>
        <w:t>The Budget should be balanced, that is, the estimated expenditure should not exceed the revenue or income. When the amounts of the expenditure and revenue in a budget are equal or nearly so, it is called a Balanced</w:t>
      </w:r>
      <w:r>
        <w:rPr>
          <w:spacing w:val="40"/>
          <w:sz w:val="24"/>
        </w:rPr>
        <w:t> </w:t>
      </w:r>
      <w:r>
        <w:rPr>
          <w:sz w:val="24"/>
        </w:rPr>
        <w:t>Budget‘ If the expenditure is less that the revenue, it is termed ‗Surplus Budget‘ and if the expenditure is more than the estimated revenue, it is called a ‗Deficit Budget‘.</w:t>
      </w:r>
    </w:p>
    <w:p>
      <w:pPr>
        <w:pStyle w:val="ListParagraph"/>
        <w:numPr>
          <w:ilvl w:val="0"/>
          <w:numId w:val="32"/>
        </w:numPr>
        <w:tabs>
          <w:tab w:pos="958" w:val="left" w:leader="none"/>
          <w:tab w:pos="960" w:val="left" w:leader="none"/>
        </w:tabs>
        <w:spacing w:line="360" w:lineRule="auto" w:before="0" w:after="0"/>
        <w:ind w:left="960" w:right="839" w:hanging="360"/>
        <w:jc w:val="both"/>
        <w:rPr>
          <w:b/>
          <w:sz w:val="24"/>
        </w:rPr>
      </w:pPr>
      <w:r>
        <w:rPr>
          <w:b/>
          <w:sz w:val="24"/>
        </w:rPr>
        <w:t>Principle of estimate being on cash basis: </w:t>
      </w:r>
      <w:r>
        <w:rPr>
          <w:sz w:val="24"/>
        </w:rPr>
        <w:t>This means that budgets should be prepared on the basis of actual receipts and expenditure expected during the year and not on the basis of receipts which are to be realized in some other years or expenditures which was ordered in the year. For example, if certain sums of account of arrears of tax relating to the year1989 – 1990 are realized in 1990-1991, they should be shown in the receipts estimates of the year and not the former.</w:t>
      </w:r>
    </w:p>
    <w:p>
      <w:pPr>
        <w:pStyle w:val="ListParagraph"/>
        <w:numPr>
          <w:ilvl w:val="0"/>
          <w:numId w:val="32"/>
        </w:numPr>
        <w:tabs>
          <w:tab w:pos="960" w:val="left" w:leader="none"/>
        </w:tabs>
        <w:spacing w:line="360" w:lineRule="auto" w:before="0" w:after="0"/>
        <w:ind w:left="960" w:right="836" w:hanging="360"/>
        <w:jc w:val="both"/>
        <w:rPr>
          <w:b/>
          <w:sz w:val="24"/>
        </w:rPr>
      </w:pPr>
      <w:r>
        <w:rPr>
          <w:b/>
          <w:sz w:val="24"/>
        </w:rPr>
        <w:t>Principle</w:t>
      </w:r>
      <w:r>
        <w:rPr>
          <w:b/>
          <w:spacing w:val="-2"/>
          <w:sz w:val="24"/>
        </w:rPr>
        <w:t> </w:t>
      </w:r>
      <w:r>
        <w:rPr>
          <w:b/>
          <w:sz w:val="24"/>
        </w:rPr>
        <w:t>of Budget</w:t>
      </w:r>
      <w:r>
        <w:rPr>
          <w:b/>
          <w:spacing w:val="-2"/>
          <w:sz w:val="24"/>
        </w:rPr>
        <w:t> </w:t>
      </w:r>
      <w:r>
        <w:rPr>
          <w:b/>
          <w:sz w:val="24"/>
        </w:rPr>
        <w:t>on</w:t>
      </w:r>
      <w:r>
        <w:rPr>
          <w:b/>
          <w:spacing w:val="-3"/>
          <w:sz w:val="24"/>
        </w:rPr>
        <w:t> </w:t>
      </w:r>
      <w:r>
        <w:rPr>
          <w:b/>
          <w:sz w:val="24"/>
        </w:rPr>
        <w:t>the</w:t>
      </w:r>
      <w:r>
        <w:rPr>
          <w:b/>
          <w:spacing w:val="-2"/>
          <w:sz w:val="24"/>
        </w:rPr>
        <w:t> </w:t>
      </w:r>
      <w:r>
        <w:rPr>
          <w:b/>
          <w:sz w:val="24"/>
        </w:rPr>
        <w:t>basis</w:t>
      </w:r>
      <w:r>
        <w:rPr>
          <w:b/>
          <w:spacing w:val="-1"/>
          <w:sz w:val="24"/>
        </w:rPr>
        <w:t> </w:t>
      </w:r>
      <w:r>
        <w:rPr>
          <w:b/>
          <w:sz w:val="24"/>
        </w:rPr>
        <w:t>of Gross</w:t>
      </w:r>
      <w:r>
        <w:rPr>
          <w:b/>
          <w:spacing w:val="-1"/>
          <w:sz w:val="24"/>
        </w:rPr>
        <w:t> </w:t>
      </w:r>
      <w:r>
        <w:rPr>
          <w:b/>
          <w:sz w:val="24"/>
        </w:rPr>
        <w:t>and</w:t>
      </w:r>
      <w:r>
        <w:rPr>
          <w:b/>
          <w:spacing w:val="-3"/>
          <w:sz w:val="24"/>
        </w:rPr>
        <w:t> </w:t>
      </w:r>
      <w:r>
        <w:rPr>
          <w:b/>
          <w:sz w:val="24"/>
        </w:rPr>
        <w:t>not on</w:t>
      </w:r>
      <w:r>
        <w:rPr>
          <w:b/>
          <w:spacing w:val="-1"/>
          <w:sz w:val="24"/>
        </w:rPr>
        <w:t> </w:t>
      </w:r>
      <w:r>
        <w:rPr>
          <w:b/>
          <w:sz w:val="24"/>
        </w:rPr>
        <w:t>Net:</w:t>
      </w:r>
      <w:r>
        <w:rPr>
          <w:b/>
          <w:spacing w:val="-2"/>
          <w:sz w:val="24"/>
        </w:rPr>
        <w:t> </w:t>
      </w:r>
      <w:r>
        <w:rPr>
          <w:sz w:val="24"/>
        </w:rPr>
        <w:t>This</w:t>
      </w:r>
      <w:r>
        <w:rPr>
          <w:spacing w:val="-1"/>
          <w:sz w:val="24"/>
        </w:rPr>
        <w:t> </w:t>
      </w:r>
      <w:r>
        <w:rPr>
          <w:sz w:val="24"/>
        </w:rPr>
        <w:t>principle</w:t>
      </w:r>
      <w:r>
        <w:rPr>
          <w:spacing w:val="-2"/>
          <w:sz w:val="24"/>
        </w:rPr>
        <w:t> </w:t>
      </w:r>
      <w:r>
        <w:rPr>
          <w:sz w:val="24"/>
        </w:rPr>
        <w:t>means</w:t>
      </w:r>
      <w:r>
        <w:rPr>
          <w:spacing w:val="-1"/>
          <w:sz w:val="24"/>
        </w:rPr>
        <w:t> </w:t>
      </w:r>
      <w:r>
        <w:rPr>
          <w:sz w:val="24"/>
        </w:rPr>
        <w:t>that</w:t>
      </w:r>
      <w:r>
        <w:rPr>
          <w:spacing w:val="-1"/>
          <w:sz w:val="24"/>
        </w:rPr>
        <w:t> </w:t>
      </w:r>
      <w:r>
        <w:rPr>
          <w:sz w:val="24"/>
        </w:rPr>
        <w:t>all transactions both of receipts and expenditure should be fully</w:t>
      </w:r>
      <w:r>
        <w:rPr>
          <w:spacing w:val="-3"/>
          <w:sz w:val="24"/>
        </w:rPr>
        <w:t> </w:t>
      </w:r>
      <w:r>
        <w:rPr>
          <w:sz w:val="24"/>
        </w:rPr>
        <w:t>shown in the budget and not merely the resultant net position. For example, if there is a department with an estimated</w:t>
      </w:r>
    </w:p>
    <w:p>
      <w:pPr>
        <w:spacing w:after="0" w:line="360" w:lineRule="auto"/>
        <w:jc w:val="both"/>
        <w:rPr>
          <w:sz w:val="24"/>
        </w:rPr>
        <w:sectPr>
          <w:pgSz w:w="12240" w:h="15840"/>
          <w:pgMar w:header="0" w:footer="1036" w:top="1360" w:bottom="1220" w:left="1200" w:right="600"/>
        </w:sectPr>
      </w:pPr>
    </w:p>
    <w:p>
      <w:pPr>
        <w:pStyle w:val="BodyText"/>
        <w:spacing w:line="360" w:lineRule="auto" w:before="74"/>
        <w:ind w:left="960" w:right="839"/>
        <w:jc w:val="both"/>
      </w:pPr>
      <w:r>
        <w:rPr/>
        <w:t>expenditure of N30 and receipt of N25, it should be shown in both expenditure and receipts and not only the net charge of N5.</w:t>
      </w:r>
    </w:p>
    <w:p>
      <w:pPr>
        <w:pStyle w:val="ListParagraph"/>
        <w:numPr>
          <w:ilvl w:val="0"/>
          <w:numId w:val="32"/>
        </w:numPr>
        <w:tabs>
          <w:tab w:pos="958" w:val="left" w:leader="none"/>
          <w:tab w:pos="960" w:val="left" w:leader="none"/>
        </w:tabs>
        <w:spacing w:line="360" w:lineRule="auto" w:before="1" w:after="0"/>
        <w:ind w:left="960" w:right="844" w:hanging="360"/>
        <w:jc w:val="both"/>
        <w:rPr>
          <w:b/>
          <w:sz w:val="24"/>
        </w:rPr>
      </w:pPr>
      <w:r>
        <w:rPr>
          <w:b/>
          <w:sz w:val="24"/>
        </w:rPr>
        <w:t>Principle of close estimating: </w:t>
      </w:r>
      <w:r>
        <w:rPr>
          <w:sz w:val="24"/>
        </w:rPr>
        <w:t>Close estimating means that the estimate should be as exact as possible. There should neither be too much of over estimating nor under estimating. If there is over estimating of expenditure, people will have to be</w:t>
      </w:r>
      <w:r>
        <w:rPr>
          <w:spacing w:val="40"/>
          <w:sz w:val="24"/>
        </w:rPr>
        <w:t> </w:t>
      </w:r>
      <w:r>
        <w:rPr>
          <w:sz w:val="24"/>
        </w:rPr>
        <w:t>unnecessarily taxed and if there is underestimating, the whole budget may be thrown out of gear when it comes to execution.</w:t>
      </w:r>
    </w:p>
    <w:p>
      <w:pPr>
        <w:pStyle w:val="ListParagraph"/>
        <w:numPr>
          <w:ilvl w:val="0"/>
          <w:numId w:val="32"/>
        </w:numPr>
        <w:tabs>
          <w:tab w:pos="960" w:val="left" w:leader="none"/>
        </w:tabs>
        <w:spacing w:line="360" w:lineRule="auto" w:before="0" w:after="0"/>
        <w:ind w:left="960" w:right="836" w:hanging="360"/>
        <w:jc w:val="both"/>
        <w:rPr>
          <w:b/>
          <w:sz w:val="24"/>
        </w:rPr>
      </w:pPr>
      <w:r>
        <w:rPr>
          <w:b/>
          <w:sz w:val="24"/>
        </w:rPr>
        <w:t>Principle</w:t>
      </w:r>
      <w:r>
        <w:rPr>
          <w:b/>
          <w:spacing w:val="-2"/>
          <w:sz w:val="24"/>
        </w:rPr>
        <w:t> </w:t>
      </w:r>
      <w:r>
        <w:rPr>
          <w:b/>
          <w:sz w:val="24"/>
        </w:rPr>
        <w:t>of annuality</w:t>
      </w:r>
      <w:r>
        <w:rPr>
          <w:b/>
          <w:spacing w:val="-2"/>
          <w:sz w:val="24"/>
        </w:rPr>
        <w:t> </w:t>
      </w:r>
      <w:r>
        <w:rPr>
          <w:b/>
          <w:sz w:val="24"/>
        </w:rPr>
        <w:t>of the</w:t>
      </w:r>
      <w:r>
        <w:rPr>
          <w:b/>
          <w:spacing w:val="-2"/>
          <w:sz w:val="24"/>
        </w:rPr>
        <w:t> </w:t>
      </w:r>
      <w:r>
        <w:rPr>
          <w:b/>
          <w:sz w:val="24"/>
        </w:rPr>
        <w:t>Budget: </w:t>
      </w:r>
      <w:r>
        <w:rPr>
          <w:sz w:val="24"/>
        </w:rPr>
        <w:t>This</w:t>
      </w:r>
      <w:r>
        <w:rPr>
          <w:spacing w:val="-1"/>
          <w:sz w:val="24"/>
        </w:rPr>
        <w:t> </w:t>
      </w:r>
      <w:r>
        <w:rPr>
          <w:sz w:val="24"/>
        </w:rPr>
        <w:t>means</w:t>
      </w:r>
      <w:r>
        <w:rPr>
          <w:spacing w:val="-1"/>
          <w:sz w:val="24"/>
        </w:rPr>
        <w:t> </w:t>
      </w:r>
      <w:r>
        <w:rPr>
          <w:sz w:val="24"/>
        </w:rPr>
        <w:t>that the</w:t>
      </w:r>
      <w:r>
        <w:rPr>
          <w:spacing w:val="-2"/>
          <w:sz w:val="24"/>
        </w:rPr>
        <w:t> </w:t>
      </w:r>
      <w:r>
        <w:rPr>
          <w:sz w:val="24"/>
        </w:rPr>
        <w:t>Budget</w:t>
      </w:r>
      <w:r>
        <w:rPr>
          <w:spacing w:val="-1"/>
          <w:sz w:val="24"/>
        </w:rPr>
        <w:t> </w:t>
      </w:r>
      <w:r>
        <w:rPr>
          <w:sz w:val="24"/>
        </w:rPr>
        <w:t>should</w:t>
      </w:r>
      <w:r>
        <w:rPr>
          <w:spacing w:val="-1"/>
          <w:sz w:val="24"/>
        </w:rPr>
        <w:t> </w:t>
      </w:r>
      <w:r>
        <w:rPr>
          <w:sz w:val="24"/>
        </w:rPr>
        <w:t>be</w:t>
      </w:r>
      <w:r>
        <w:rPr>
          <w:spacing w:val="-2"/>
          <w:sz w:val="24"/>
        </w:rPr>
        <w:t> </w:t>
      </w:r>
      <w:r>
        <w:rPr>
          <w:sz w:val="24"/>
        </w:rPr>
        <w:t>prepared</w:t>
      </w:r>
      <w:r>
        <w:rPr>
          <w:spacing w:val="-1"/>
          <w:sz w:val="24"/>
        </w:rPr>
        <w:t> </w:t>
      </w:r>
      <w:r>
        <w:rPr>
          <w:sz w:val="24"/>
        </w:rPr>
        <w:t>on an annual basis. In other words, it means that the legislature should grant money to the executive</w:t>
      </w:r>
      <w:r>
        <w:rPr>
          <w:spacing w:val="-1"/>
          <w:sz w:val="24"/>
        </w:rPr>
        <w:t> </w:t>
      </w:r>
      <w:r>
        <w:rPr>
          <w:sz w:val="24"/>
        </w:rPr>
        <w:t>for</w:t>
      </w:r>
      <w:r>
        <w:rPr>
          <w:spacing w:val="-2"/>
          <w:sz w:val="24"/>
        </w:rPr>
        <w:t> </w:t>
      </w:r>
      <w:r>
        <w:rPr>
          <w:sz w:val="24"/>
        </w:rPr>
        <w:t>one year.</w:t>
      </w:r>
      <w:r>
        <w:rPr>
          <w:spacing w:val="-1"/>
          <w:sz w:val="24"/>
        </w:rPr>
        <w:t> </w:t>
      </w:r>
      <w:r>
        <w:rPr>
          <w:sz w:val="24"/>
        </w:rPr>
        <w:t>But annuality</w:t>
      </w:r>
      <w:r>
        <w:rPr>
          <w:spacing w:val="-8"/>
          <w:sz w:val="24"/>
        </w:rPr>
        <w:t> </w:t>
      </w:r>
      <w:r>
        <w:rPr>
          <w:sz w:val="24"/>
        </w:rPr>
        <w:t>of</w:t>
      </w:r>
      <w:r>
        <w:rPr>
          <w:spacing w:val="-1"/>
          <w:sz w:val="24"/>
        </w:rPr>
        <w:t> </w:t>
      </w:r>
      <w:r>
        <w:rPr>
          <w:sz w:val="24"/>
        </w:rPr>
        <w:t>the</w:t>
      </w:r>
      <w:r>
        <w:rPr>
          <w:spacing w:val="-1"/>
          <w:sz w:val="24"/>
        </w:rPr>
        <w:t> </w:t>
      </w:r>
      <w:r>
        <w:rPr>
          <w:sz w:val="24"/>
        </w:rPr>
        <w:t>Budget does not</w:t>
      </w:r>
      <w:r>
        <w:rPr>
          <w:spacing w:val="-2"/>
          <w:sz w:val="24"/>
        </w:rPr>
        <w:t> </w:t>
      </w:r>
      <w:r>
        <w:rPr>
          <w:sz w:val="24"/>
        </w:rPr>
        <w:t>mean that there</w:t>
      </w:r>
      <w:r>
        <w:rPr>
          <w:spacing w:val="-1"/>
          <w:sz w:val="24"/>
        </w:rPr>
        <w:t> </w:t>
      </w:r>
      <w:r>
        <w:rPr>
          <w:sz w:val="24"/>
        </w:rPr>
        <w:t>should be</w:t>
      </w:r>
      <w:r>
        <w:rPr>
          <w:spacing w:val="-1"/>
          <w:sz w:val="24"/>
        </w:rPr>
        <w:t> </w:t>
      </w:r>
      <w:r>
        <w:rPr>
          <w:sz w:val="24"/>
        </w:rPr>
        <w:t>no long</w:t>
      </w:r>
      <w:r>
        <w:rPr>
          <w:spacing w:val="-3"/>
          <w:sz w:val="24"/>
        </w:rPr>
        <w:t> </w:t>
      </w:r>
      <w:r>
        <w:rPr>
          <w:sz w:val="24"/>
        </w:rPr>
        <w:t>term</w:t>
      </w:r>
      <w:r>
        <w:rPr>
          <w:spacing w:val="-1"/>
          <w:sz w:val="24"/>
        </w:rPr>
        <w:t> </w:t>
      </w:r>
      <w:r>
        <w:rPr>
          <w:sz w:val="24"/>
        </w:rPr>
        <w:t>planning.</w:t>
      </w:r>
      <w:r>
        <w:rPr>
          <w:spacing w:val="-1"/>
          <w:sz w:val="24"/>
        </w:rPr>
        <w:t> </w:t>
      </w:r>
      <w:r>
        <w:rPr>
          <w:sz w:val="24"/>
        </w:rPr>
        <w:t>For</w:t>
      </w:r>
      <w:r>
        <w:rPr>
          <w:spacing w:val="-2"/>
          <w:sz w:val="24"/>
        </w:rPr>
        <w:t> </w:t>
      </w:r>
      <w:r>
        <w:rPr>
          <w:sz w:val="24"/>
        </w:rPr>
        <w:t>example,</w:t>
      </w:r>
      <w:r>
        <w:rPr>
          <w:spacing w:val="-1"/>
          <w:sz w:val="24"/>
        </w:rPr>
        <w:t> </w:t>
      </w:r>
      <w:r>
        <w:rPr>
          <w:sz w:val="24"/>
        </w:rPr>
        <w:t>the</w:t>
      </w:r>
      <w:r>
        <w:rPr>
          <w:spacing w:val="-2"/>
          <w:sz w:val="24"/>
        </w:rPr>
        <w:t> </w:t>
      </w:r>
      <w:r>
        <w:rPr>
          <w:sz w:val="24"/>
        </w:rPr>
        <w:t>policy</w:t>
      </w:r>
      <w:r>
        <w:rPr>
          <w:spacing w:val="-4"/>
          <w:sz w:val="24"/>
        </w:rPr>
        <w:t> </w:t>
      </w:r>
      <w:r>
        <w:rPr>
          <w:sz w:val="24"/>
        </w:rPr>
        <w:t>of</w:t>
      </w:r>
      <w:r>
        <w:rPr>
          <w:spacing w:val="-2"/>
          <w:sz w:val="24"/>
        </w:rPr>
        <w:t> </w:t>
      </w:r>
      <w:r>
        <w:rPr>
          <w:sz w:val="24"/>
        </w:rPr>
        <w:t>planned</w:t>
      </w:r>
      <w:r>
        <w:rPr>
          <w:spacing w:val="-1"/>
          <w:sz w:val="24"/>
        </w:rPr>
        <w:t> </w:t>
      </w:r>
      <w:r>
        <w:rPr>
          <w:sz w:val="24"/>
        </w:rPr>
        <w:t>development</w:t>
      </w:r>
      <w:r>
        <w:rPr>
          <w:spacing w:val="-1"/>
          <w:sz w:val="24"/>
        </w:rPr>
        <w:t> </w:t>
      </w:r>
      <w:r>
        <w:rPr>
          <w:sz w:val="24"/>
        </w:rPr>
        <w:t>does</w:t>
      </w:r>
      <w:r>
        <w:rPr>
          <w:spacing w:val="-2"/>
          <w:sz w:val="24"/>
        </w:rPr>
        <w:t> </w:t>
      </w:r>
      <w:r>
        <w:rPr>
          <w:sz w:val="24"/>
        </w:rPr>
        <w:t>have</w:t>
      </w:r>
      <w:r>
        <w:rPr>
          <w:spacing w:val="-2"/>
          <w:sz w:val="24"/>
        </w:rPr>
        <w:t> </w:t>
      </w:r>
      <w:r>
        <w:rPr>
          <w:sz w:val="24"/>
        </w:rPr>
        <w:t>long-term budgeting usually 5 years, but these long-term plans do not involve actual voting of appropriations for the legislature, though it may be called upon approve the plan in </w:t>
      </w:r>
      <w:r>
        <w:rPr>
          <w:spacing w:val="-2"/>
          <w:sz w:val="24"/>
        </w:rPr>
        <w:t>principle.</w:t>
      </w:r>
    </w:p>
    <w:p>
      <w:pPr>
        <w:pStyle w:val="ListParagraph"/>
        <w:numPr>
          <w:ilvl w:val="0"/>
          <w:numId w:val="32"/>
        </w:numPr>
        <w:tabs>
          <w:tab w:pos="958" w:val="left" w:leader="none"/>
          <w:tab w:pos="960" w:val="left" w:leader="none"/>
        </w:tabs>
        <w:spacing w:line="360" w:lineRule="auto" w:before="1" w:after="0"/>
        <w:ind w:left="960" w:right="839" w:hanging="360"/>
        <w:jc w:val="both"/>
        <w:rPr>
          <w:b/>
          <w:sz w:val="24"/>
        </w:rPr>
      </w:pPr>
      <w:r>
        <w:rPr>
          <w:b/>
          <w:sz w:val="24"/>
        </w:rPr>
        <w:t>Principle of rules of lapses: </w:t>
      </w:r>
      <w:r>
        <w:rPr>
          <w:sz w:val="24"/>
        </w:rPr>
        <w:t>The annuality principle of budgeting also implies that money left unspent during the year for which it was sanctioned must lapse to the public treasury</w:t>
      </w:r>
      <w:r>
        <w:rPr>
          <w:spacing w:val="-5"/>
          <w:sz w:val="24"/>
        </w:rPr>
        <w:t> </w:t>
      </w:r>
      <w:r>
        <w:rPr>
          <w:sz w:val="24"/>
        </w:rPr>
        <w:t>and the government cannot spend</w:t>
      </w:r>
      <w:r>
        <w:rPr>
          <w:spacing w:val="-1"/>
          <w:sz w:val="24"/>
        </w:rPr>
        <w:t> </w:t>
      </w:r>
      <w:r>
        <w:rPr>
          <w:sz w:val="24"/>
        </w:rPr>
        <w:t>it unless it is re-sanctioned in the</w:t>
      </w:r>
      <w:r>
        <w:rPr>
          <w:spacing w:val="-1"/>
          <w:sz w:val="24"/>
        </w:rPr>
        <w:t> </w:t>
      </w:r>
      <w:r>
        <w:rPr>
          <w:sz w:val="24"/>
        </w:rPr>
        <w:t>budget of</w:t>
      </w:r>
      <w:r>
        <w:rPr>
          <w:spacing w:val="-1"/>
          <w:sz w:val="24"/>
        </w:rPr>
        <w:t> </w:t>
      </w:r>
      <w:r>
        <w:rPr>
          <w:sz w:val="24"/>
        </w:rPr>
        <w:t>the next year.</w:t>
      </w:r>
    </w:p>
    <w:p>
      <w:pPr>
        <w:pStyle w:val="ListParagraph"/>
        <w:numPr>
          <w:ilvl w:val="0"/>
          <w:numId w:val="32"/>
        </w:numPr>
        <w:tabs>
          <w:tab w:pos="958" w:val="left" w:leader="none"/>
          <w:tab w:pos="960" w:val="left" w:leader="none"/>
        </w:tabs>
        <w:spacing w:line="360" w:lineRule="auto" w:before="0" w:after="0"/>
        <w:ind w:left="960" w:right="836" w:hanging="360"/>
        <w:jc w:val="both"/>
        <w:rPr>
          <w:sz w:val="24"/>
        </w:rPr>
      </w:pPr>
      <w:r>
        <w:rPr>
          <w:b/>
          <w:sz w:val="24"/>
        </w:rPr>
        <w:t>Principle of the unity of the Budget: </w:t>
      </w:r>
      <w:r>
        <w:rPr>
          <w:sz w:val="24"/>
        </w:rPr>
        <w:t>It is also an important principle of budget-making that the government should have a single budget incorporating all revenues as well as expenditures of the government. With this, it will be very easy to know the financial position of the government. But if there be a number of department wise budgets, some</w:t>
      </w:r>
      <w:r>
        <w:rPr>
          <w:spacing w:val="40"/>
          <w:sz w:val="24"/>
        </w:rPr>
        <w:t> </w:t>
      </w:r>
      <w:r>
        <w:rPr>
          <w:sz w:val="24"/>
        </w:rPr>
        <w:t>of them may show surplus and others deficit thereby making it impossible to know the</w:t>
      </w:r>
      <w:r>
        <w:rPr>
          <w:spacing w:val="40"/>
          <w:sz w:val="24"/>
        </w:rPr>
        <w:t> </w:t>
      </w:r>
      <w:r>
        <w:rPr>
          <w:sz w:val="24"/>
        </w:rPr>
        <w:t>net financial position of the government as a whole except by complicated calculations and adjustments.</w:t>
      </w:r>
    </w:p>
    <w:p>
      <w:pPr>
        <w:spacing w:after="0" w:line="360" w:lineRule="auto"/>
        <w:jc w:val="both"/>
        <w:rPr>
          <w:sz w:val="24"/>
        </w:rPr>
        <w:sectPr>
          <w:pgSz w:w="12240" w:h="15840"/>
          <w:pgMar w:header="0" w:footer="1036" w:top="1360" w:bottom="1220" w:left="1200" w:right="600"/>
        </w:sectPr>
      </w:pPr>
    </w:p>
    <w:p>
      <w:pPr>
        <w:pStyle w:val="Heading4"/>
        <w:numPr>
          <w:ilvl w:val="2"/>
          <w:numId w:val="27"/>
        </w:numPr>
        <w:tabs>
          <w:tab w:pos="720" w:val="left" w:leader="none"/>
        </w:tabs>
        <w:spacing w:line="240" w:lineRule="auto" w:before="79" w:after="0"/>
        <w:ind w:left="720" w:right="0" w:hanging="480"/>
        <w:jc w:val="both"/>
        <w:rPr>
          <w:sz w:val="22"/>
        </w:rPr>
      </w:pPr>
      <w:r>
        <w:rPr/>
        <w:t>`</w:t>
      </w:r>
      <w:r>
        <w:rPr>
          <w:spacing w:val="-5"/>
        </w:rPr>
        <w:t> </w:t>
      </w:r>
      <w:r>
        <w:rPr/>
        <w:t>Classifications</w:t>
      </w:r>
      <w:r>
        <w:rPr>
          <w:spacing w:val="-2"/>
        </w:rPr>
        <w:t> </w:t>
      </w:r>
      <w:r>
        <w:rPr/>
        <w:t>of</w:t>
      </w:r>
      <w:r>
        <w:rPr>
          <w:spacing w:val="-3"/>
        </w:rPr>
        <w:t> </w:t>
      </w:r>
      <w:r>
        <w:rPr/>
        <w:t>Public</w:t>
      </w:r>
      <w:r>
        <w:rPr>
          <w:spacing w:val="-2"/>
        </w:rPr>
        <w:t> Budgets</w:t>
      </w:r>
    </w:p>
    <w:p>
      <w:pPr>
        <w:pStyle w:val="BodyText"/>
        <w:spacing w:line="360" w:lineRule="auto" w:before="238"/>
        <w:ind w:left="240" w:right="842"/>
        <w:jc w:val="both"/>
      </w:pPr>
      <w:r>
        <w:rPr/>
        <w:t>According</w:t>
      </w:r>
      <w:r>
        <w:rPr>
          <w:spacing w:val="-1"/>
        </w:rPr>
        <w:t> </w:t>
      </w:r>
      <w:r>
        <w:rPr/>
        <w:t>to Emma (2001) and Muhammed (2009), a budget comes in two dimensions, namely: short and long term budgets.</w:t>
      </w:r>
    </w:p>
    <w:p>
      <w:pPr>
        <w:pStyle w:val="ListParagraph"/>
        <w:numPr>
          <w:ilvl w:val="0"/>
          <w:numId w:val="33"/>
        </w:numPr>
        <w:tabs>
          <w:tab w:pos="587" w:val="left" w:leader="none"/>
        </w:tabs>
        <w:spacing w:line="360" w:lineRule="auto" w:before="67" w:after="0"/>
        <w:ind w:left="240" w:right="834" w:firstLine="0"/>
        <w:jc w:val="both"/>
        <w:rPr>
          <w:sz w:val="24"/>
        </w:rPr>
      </w:pPr>
      <w:r>
        <w:rPr>
          <w:b/>
          <w:sz w:val="24"/>
        </w:rPr>
        <w:t>Short Term Budgets: </w:t>
      </w:r>
      <w:r>
        <w:rPr>
          <w:sz w:val="24"/>
        </w:rPr>
        <w:t>In most cases, this is known as ‗recurrent budget‘ and it normally covers a period of one year. It is used in the day-to-day running of the organization and actual performance. This type of budget forms a substantial base for the preparation of future budgets.</w:t>
      </w:r>
    </w:p>
    <w:p>
      <w:pPr>
        <w:pStyle w:val="ListParagraph"/>
        <w:numPr>
          <w:ilvl w:val="0"/>
          <w:numId w:val="33"/>
        </w:numPr>
        <w:tabs>
          <w:tab w:pos="582" w:val="left" w:leader="none"/>
        </w:tabs>
        <w:spacing w:line="360" w:lineRule="auto" w:before="138" w:after="0"/>
        <w:ind w:left="240" w:right="835" w:firstLine="0"/>
        <w:jc w:val="both"/>
        <w:rPr>
          <w:sz w:val="24"/>
        </w:rPr>
      </w:pPr>
      <w:r>
        <w:rPr>
          <w:b/>
          <w:sz w:val="24"/>
        </w:rPr>
        <w:t>Long Term Budgets: </w:t>
      </w:r>
      <w:r>
        <w:rPr>
          <w:sz w:val="24"/>
        </w:rPr>
        <w:t>This type of budget is mostly concerned with capital revenue and expenditure over a long planning horizon. This type of budget may cover up to a period of five years or more as the case may be. But it has some shortcomings. First is that it does not include items that may outlive their usefulness before the expiration of the life span of the budget. Furthermore, budgeting is normally based on forecast and the longer the period of the forecast, the weaker the forecast.</w:t>
      </w:r>
    </w:p>
    <w:p>
      <w:pPr>
        <w:pStyle w:val="BodyText"/>
        <w:spacing w:before="140"/>
      </w:pPr>
    </w:p>
    <w:p>
      <w:pPr>
        <w:pStyle w:val="BodyText"/>
        <w:spacing w:line="360" w:lineRule="auto"/>
        <w:ind w:left="240" w:right="842"/>
        <w:jc w:val="both"/>
      </w:pPr>
      <w:r>
        <w:rPr/>
        <w:t>Long term budgets need to be revised regularly, to ensure that they are realistic. Annual budgets are normally revised annually and for each annual revision, the long term plan is equally revised annually. This is necessary because within a year, economic political, social or cultural changes may necessitate revision of the year‘s budget and such revision may lead to minor or major adjustments which may also lead to modification of the long term budget.</w:t>
      </w:r>
    </w:p>
    <w:p>
      <w:pPr>
        <w:pStyle w:val="BodyText"/>
        <w:spacing w:before="182"/>
      </w:pPr>
    </w:p>
    <w:p>
      <w:pPr>
        <w:pStyle w:val="Heading4"/>
        <w:numPr>
          <w:ilvl w:val="2"/>
          <w:numId w:val="27"/>
        </w:numPr>
        <w:tabs>
          <w:tab w:pos="720" w:val="left" w:leader="none"/>
        </w:tabs>
        <w:spacing w:line="240" w:lineRule="auto" w:before="0" w:after="0"/>
        <w:ind w:left="720" w:right="0" w:hanging="480"/>
        <w:jc w:val="both"/>
        <w:rPr>
          <w:sz w:val="22"/>
        </w:rPr>
      </w:pPr>
      <w:r>
        <w:rPr/>
        <w:t>`</w:t>
      </w:r>
      <w:r>
        <w:rPr>
          <w:spacing w:val="-2"/>
        </w:rPr>
        <w:t> </w:t>
      </w:r>
      <w:r>
        <w:rPr/>
        <w:t>Causes</w:t>
      </w:r>
      <w:r>
        <w:rPr>
          <w:spacing w:val="-1"/>
        </w:rPr>
        <w:t> </w:t>
      </w:r>
      <w:r>
        <w:rPr/>
        <w:t>of</w:t>
      </w:r>
      <w:r>
        <w:rPr>
          <w:spacing w:val="-1"/>
        </w:rPr>
        <w:t> </w:t>
      </w:r>
      <w:r>
        <w:rPr/>
        <w:t>Public</w:t>
      </w:r>
      <w:r>
        <w:rPr>
          <w:spacing w:val="-2"/>
        </w:rPr>
        <w:t> </w:t>
      </w:r>
      <w:r>
        <w:rPr/>
        <w:t>Budget</w:t>
      </w:r>
      <w:r>
        <w:rPr>
          <w:spacing w:val="-1"/>
        </w:rPr>
        <w:t> </w:t>
      </w:r>
      <w:r>
        <w:rPr>
          <w:spacing w:val="-2"/>
        </w:rPr>
        <w:t>failure</w:t>
      </w:r>
    </w:p>
    <w:p>
      <w:pPr>
        <w:pStyle w:val="BodyText"/>
        <w:spacing w:line="360" w:lineRule="auto" w:before="235"/>
        <w:ind w:left="240" w:right="837"/>
        <w:jc w:val="both"/>
      </w:pPr>
      <w:r>
        <w:rPr/>
        <w:t>Emma (2001); Ugwu (2006); Ekewealor (2007); Ugoo (2008) and Fort (2012) share similar opinions that violation of the principles of budget formulation leads to budget failure and this manifests in the following ways: (a) performance generally falls short of the budgeted expectations due to the growing laxity in implementation procedure whereby there is no strict adherence to the budgetary control measures which their budgets contain (b) the growing tendency of government budgets to be prepared before the modality for their implementation is fully articulated (c) it takes unduly long time to pass legitimate budget proposals before the relevant decrees are promulgated with the consequence that new activities are held back (d) unstable value of the currency, as a result of which budget amounts get tripled at the implementation</w:t>
      </w:r>
      <w:r>
        <w:rPr>
          <w:spacing w:val="42"/>
        </w:rPr>
        <w:t>  </w:t>
      </w:r>
      <w:r>
        <w:rPr/>
        <w:t>stage</w:t>
      </w:r>
      <w:r>
        <w:rPr>
          <w:spacing w:val="44"/>
        </w:rPr>
        <w:t>  </w:t>
      </w:r>
      <w:r>
        <w:rPr/>
        <w:t>(e)</w:t>
      </w:r>
      <w:r>
        <w:rPr>
          <w:spacing w:val="42"/>
        </w:rPr>
        <w:t>  </w:t>
      </w:r>
      <w:r>
        <w:rPr/>
        <w:t>distortion</w:t>
      </w:r>
      <w:r>
        <w:rPr>
          <w:spacing w:val="43"/>
        </w:rPr>
        <w:t>  </w:t>
      </w:r>
      <w:r>
        <w:rPr/>
        <w:t>of</w:t>
      </w:r>
      <w:r>
        <w:rPr>
          <w:spacing w:val="42"/>
        </w:rPr>
        <w:t>  </w:t>
      </w:r>
      <w:r>
        <w:rPr/>
        <w:t>budget</w:t>
      </w:r>
      <w:r>
        <w:rPr>
          <w:spacing w:val="43"/>
        </w:rPr>
        <w:t>  </w:t>
      </w:r>
      <w:r>
        <w:rPr/>
        <w:t>plans</w:t>
      </w:r>
      <w:r>
        <w:rPr>
          <w:spacing w:val="42"/>
        </w:rPr>
        <w:t>  </w:t>
      </w:r>
      <w:r>
        <w:rPr/>
        <w:t>and</w:t>
      </w:r>
      <w:r>
        <w:rPr>
          <w:spacing w:val="43"/>
        </w:rPr>
        <w:t>  </w:t>
      </w:r>
      <w:r>
        <w:rPr/>
        <w:t>indiscipline</w:t>
      </w:r>
      <w:r>
        <w:rPr>
          <w:spacing w:val="42"/>
        </w:rPr>
        <w:t>  </w:t>
      </w:r>
      <w:r>
        <w:rPr/>
        <w:t>during</w:t>
      </w:r>
      <w:r>
        <w:rPr>
          <w:spacing w:val="41"/>
        </w:rPr>
        <w:t>  </w:t>
      </w:r>
      <w:r>
        <w:rPr>
          <w:spacing w:val="-2"/>
        </w:rPr>
        <w:t>budget</w:t>
      </w:r>
    </w:p>
    <w:p>
      <w:pPr>
        <w:spacing w:after="0" w:line="360" w:lineRule="auto"/>
        <w:jc w:val="both"/>
        <w:sectPr>
          <w:pgSz w:w="12240" w:h="15840"/>
          <w:pgMar w:header="0" w:footer="1036" w:top="1360" w:bottom="1220" w:left="1200" w:right="600"/>
        </w:sectPr>
      </w:pPr>
    </w:p>
    <w:p>
      <w:pPr>
        <w:pStyle w:val="BodyText"/>
        <w:spacing w:line="360" w:lineRule="auto" w:before="74"/>
        <w:ind w:left="240" w:right="838"/>
        <w:jc w:val="both"/>
      </w:pPr>
      <w:r>
        <w:rPr/>
        <w:t>implementation (f) no formal planning units staffed by professionals in most government agencies. This is a hindrance to effective budget planning (g) over planning, i.e. stipulating more projects than available resources are taken because of political undertone in order to fulfill campaign promises (h)</w:t>
      </w:r>
      <w:r>
        <w:rPr>
          <w:spacing w:val="-2"/>
        </w:rPr>
        <w:t> </w:t>
      </w:r>
      <w:r>
        <w:rPr/>
        <w:t>the</w:t>
      </w:r>
      <w:r>
        <w:rPr>
          <w:spacing w:val="-1"/>
        </w:rPr>
        <w:t> </w:t>
      </w:r>
      <w:r>
        <w:rPr/>
        <w:t>cost of</w:t>
      </w:r>
      <w:r>
        <w:rPr>
          <w:spacing w:val="-1"/>
        </w:rPr>
        <w:t> </w:t>
      </w:r>
      <w:r>
        <w:rPr/>
        <w:t>performing</w:t>
      </w:r>
      <w:r>
        <w:rPr>
          <w:spacing w:val="-3"/>
        </w:rPr>
        <w:t> </w:t>
      </w:r>
      <w:r>
        <w:rPr/>
        <w:t>statutory</w:t>
      </w:r>
      <w:r>
        <w:rPr>
          <w:spacing w:val="-5"/>
        </w:rPr>
        <w:t> </w:t>
      </w:r>
      <w:r>
        <w:rPr/>
        <w:t>functions is too heavy</w:t>
      </w:r>
      <w:r>
        <w:rPr>
          <w:spacing w:val="-5"/>
        </w:rPr>
        <w:t> </w:t>
      </w:r>
      <w:r>
        <w:rPr/>
        <w:t>that little</w:t>
      </w:r>
      <w:r>
        <w:rPr>
          <w:spacing w:val="-1"/>
        </w:rPr>
        <w:t> </w:t>
      </w:r>
      <w:r>
        <w:rPr/>
        <w:t>is left for other projects. There is thus, no need to plan for what cannot be implemented (i) some federal and security agencies like police, armed forces, etc make demands on the lean resources which the government is forced to meet, since some of the demands are not covered by the budget, it constitutes a source of planning error (j) untimely release of funds and (k) absence of accurate data for planning purposes.</w:t>
      </w:r>
      <w:r>
        <w:rPr>
          <w:spacing w:val="40"/>
        </w:rPr>
        <w:t> </w:t>
      </w:r>
      <w:r>
        <w:rPr/>
        <w:t>Preparation of budget needs absolute reliance on accurate data such as schools, transportation, housing, health and other social data.</w:t>
      </w:r>
    </w:p>
    <w:p>
      <w:pPr>
        <w:pStyle w:val="BodyText"/>
        <w:spacing w:before="263"/>
      </w:pPr>
    </w:p>
    <w:p>
      <w:pPr>
        <w:pStyle w:val="Heading4"/>
        <w:numPr>
          <w:ilvl w:val="2"/>
          <w:numId w:val="27"/>
        </w:numPr>
        <w:tabs>
          <w:tab w:pos="840" w:val="left" w:leader="none"/>
        </w:tabs>
        <w:spacing w:line="240" w:lineRule="auto" w:before="0" w:after="0"/>
        <w:ind w:left="840" w:right="0" w:hanging="600"/>
        <w:jc w:val="left"/>
        <w:rPr>
          <w:sz w:val="22"/>
        </w:rPr>
      </w:pPr>
      <w:r>
        <w:rPr/>
        <w:t>`</w:t>
      </w:r>
      <w:r>
        <w:rPr>
          <w:spacing w:val="-3"/>
        </w:rPr>
        <w:t> </w:t>
      </w:r>
      <w:r>
        <w:rPr/>
        <w:t>Public</w:t>
      </w:r>
      <w:r>
        <w:rPr>
          <w:spacing w:val="-2"/>
        </w:rPr>
        <w:t> </w:t>
      </w:r>
      <w:r>
        <w:rPr/>
        <w:t>Budgeting</w:t>
      </w:r>
      <w:r>
        <w:rPr>
          <w:spacing w:val="-1"/>
        </w:rPr>
        <w:t> </w:t>
      </w:r>
      <w:r>
        <w:rPr>
          <w:spacing w:val="-2"/>
        </w:rPr>
        <w:t>Techniques</w:t>
      </w:r>
    </w:p>
    <w:p>
      <w:pPr>
        <w:pStyle w:val="BodyText"/>
        <w:spacing w:line="360" w:lineRule="auto" w:before="235"/>
        <w:ind w:left="240" w:right="840"/>
        <w:jc w:val="both"/>
      </w:pPr>
      <w:r>
        <w:rPr/>
        <w:t>Budgeting in the public sector can be viewed as more problematic than in the private sector and this makes the alignment of the budget process with intended outcomes a complex task, hence</w:t>
      </w:r>
      <w:r>
        <w:rPr>
          <w:spacing w:val="40"/>
        </w:rPr>
        <w:t> </w:t>
      </w:r>
      <w:r>
        <w:rPr/>
        <w:t>the employment of different approaches to budget preparation. Methods of budgeting deals with how the budget estimates are compiled. Each however comes with its strength and weaknesses. The various budgeting techniques to be discussed are outlined as follows:</w:t>
      </w:r>
    </w:p>
    <w:p>
      <w:pPr>
        <w:pStyle w:val="ListParagraph"/>
        <w:numPr>
          <w:ilvl w:val="0"/>
          <w:numId w:val="34"/>
        </w:numPr>
        <w:tabs>
          <w:tab w:pos="960" w:val="left" w:leader="none"/>
        </w:tabs>
        <w:spacing w:line="240" w:lineRule="auto" w:before="2" w:after="0"/>
        <w:ind w:left="960" w:right="0" w:hanging="360"/>
        <w:jc w:val="left"/>
        <w:rPr>
          <w:sz w:val="24"/>
        </w:rPr>
      </w:pPr>
      <w:r>
        <w:rPr>
          <w:sz w:val="24"/>
        </w:rPr>
        <w:t>Lump</w:t>
      </w:r>
      <w:r>
        <w:rPr>
          <w:spacing w:val="-2"/>
          <w:sz w:val="24"/>
        </w:rPr>
        <w:t> </w:t>
      </w:r>
      <w:r>
        <w:rPr>
          <w:sz w:val="24"/>
        </w:rPr>
        <w:t>sum</w:t>
      </w:r>
      <w:r>
        <w:rPr>
          <w:spacing w:val="-1"/>
          <w:sz w:val="24"/>
        </w:rPr>
        <w:t> </w:t>
      </w:r>
      <w:r>
        <w:rPr>
          <w:spacing w:val="-2"/>
          <w:sz w:val="24"/>
        </w:rPr>
        <w:t>Budgeting</w:t>
      </w:r>
    </w:p>
    <w:p>
      <w:pPr>
        <w:pStyle w:val="ListParagraph"/>
        <w:numPr>
          <w:ilvl w:val="0"/>
          <w:numId w:val="34"/>
        </w:numPr>
        <w:tabs>
          <w:tab w:pos="960" w:val="left" w:leader="none"/>
        </w:tabs>
        <w:spacing w:line="240" w:lineRule="auto" w:before="135" w:after="0"/>
        <w:ind w:left="960" w:right="0" w:hanging="360"/>
        <w:jc w:val="left"/>
        <w:rPr>
          <w:sz w:val="24"/>
        </w:rPr>
      </w:pPr>
      <w:r>
        <w:rPr>
          <w:sz w:val="24"/>
        </w:rPr>
        <w:t>Traditional/Line</w:t>
      </w:r>
      <w:r>
        <w:rPr>
          <w:spacing w:val="-4"/>
          <w:sz w:val="24"/>
        </w:rPr>
        <w:t> </w:t>
      </w:r>
      <w:r>
        <w:rPr>
          <w:sz w:val="24"/>
        </w:rPr>
        <w:t>item</w:t>
      </w:r>
      <w:r>
        <w:rPr>
          <w:spacing w:val="-1"/>
          <w:sz w:val="24"/>
        </w:rPr>
        <w:t> </w:t>
      </w:r>
      <w:r>
        <w:rPr>
          <w:spacing w:val="-2"/>
          <w:sz w:val="24"/>
        </w:rPr>
        <w:t>Budgeting</w:t>
      </w:r>
    </w:p>
    <w:p>
      <w:pPr>
        <w:pStyle w:val="ListParagraph"/>
        <w:numPr>
          <w:ilvl w:val="0"/>
          <w:numId w:val="34"/>
        </w:numPr>
        <w:tabs>
          <w:tab w:pos="960" w:val="left" w:leader="none"/>
        </w:tabs>
        <w:spacing w:line="240" w:lineRule="auto" w:before="138" w:after="0"/>
        <w:ind w:left="960" w:right="0" w:hanging="360"/>
        <w:jc w:val="left"/>
        <w:rPr>
          <w:sz w:val="24"/>
        </w:rPr>
      </w:pPr>
      <w:r>
        <w:rPr>
          <w:sz w:val="24"/>
        </w:rPr>
        <w:t>Incremental</w:t>
      </w:r>
      <w:r>
        <w:rPr>
          <w:spacing w:val="-4"/>
          <w:sz w:val="24"/>
        </w:rPr>
        <w:t> </w:t>
      </w:r>
      <w:r>
        <w:rPr>
          <w:spacing w:val="-2"/>
          <w:sz w:val="24"/>
        </w:rPr>
        <w:t>Budgeting</w:t>
      </w:r>
    </w:p>
    <w:p>
      <w:pPr>
        <w:pStyle w:val="ListParagraph"/>
        <w:numPr>
          <w:ilvl w:val="0"/>
          <w:numId w:val="34"/>
        </w:numPr>
        <w:tabs>
          <w:tab w:pos="960" w:val="left" w:leader="none"/>
        </w:tabs>
        <w:spacing w:line="240" w:lineRule="auto" w:before="138" w:after="0"/>
        <w:ind w:left="960" w:right="0" w:hanging="360"/>
        <w:jc w:val="left"/>
        <w:rPr>
          <w:sz w:val="24"/>
        </w:rPr>
      </w:pPr>
      <w:r>
        <w:rPr>
          <w:sz w:val="24"/>
        </w:rPr>
        <w:t>Zero-base</w:t>
      </w:r>
      <w:r>
        <w:rPr>
          <w:spacing w:val="-4"/>
          <w:sz w:val="24"/>
        </w:rPr>
        <w:t> </w:t>
      </w:r>
      <w:r>
        <w:rPr>
          <w:sz w:val="24"/>
        </w:rPr>
        <w:t>Budgeting</w:t>
      </w:r>
      <w:r>
        <w:rPr>
          <w:spacing w:val="-3"/>
          <w:sz w:val="24"/>
        </w:rPr>
        <w:t> </w:t>
      </w:r>
      <w:r>
        <w:rPr>
          <w:spacing w:val="-4"/>
          <w:sz w:val="24"/>
        </w:rPr>
        <w:t>(ZBB)</w:t>
      </w:r>
    </w:p>
    <w:p>
      <w:pPr>
        <w:pStyle w:val="ListParagraph"/>
        <w:numPr>
          <w:ilvl w:val="0"/>
          <w:numId w:val="34"/>
        </w:numPr>
        <w:tabs>
          <w:tab w:pos="960" w:val="left" w:leader="none"/>
        </w:tabs>
        <w:spacing w:line="240" w:lineRule="auto" w:before="136" w:after="0"/>
        <w:ind w:left="960" w:right="0" w:hanging="360"/>
        <w:jc w:val="left"/>
        <w:rPr>
          <w:sz w:val="24"/>
        </w:rPr>
      </w:pPr>
      <w:r>
        <w:rPr>
          <w:sz w:val="24"/>
        </w:rPr>
        <w:t>Planning</w:t>
      </w:r>
      <w:r>
        <w:rPr>
          <w:spacing w:val="-4"/>
          <w:sz w:val="24"/>
        </w:rPr>
        <w:t> </w:t>
      </w:r>
      <w:r>
        <w:rPr>
          <w:sz w:val="24"/>
        </w:rPr>
        <w:t>Programming</w:t>
      </w:r>
      <w:r>
        <w:rPr>
          <w:spacing w:val="-4"/>
          <w:sz w:val="24"/>
        </w:rPr>
        <w:t> </w:t>
      </w:r>
      <w:r>
        <w:rPr>
          <w:sz w:val="24"/>
        </w:rPr>
        <w:t>Budgeting</w:t>
      </w:r>
      <w:r>
        <w:rPr>
          <w:spacing w:val="-4"/>
          <w:sz w:val="24"/>
        </w:rPr>
        <w:t> </w:t>
      </w:r>
      <w:r>
        <w:rPr>
          <w:sz w:val="24"/>
        </w:rPr>
        <w:t>System</w:t>
      </w:r>
      <w:r>
        <w:rPr>
          <w:spacing w:val="-1"/>
          <w:sz w:val="24"/>
        </w:rPr>
        <w:t> </w:t>
      </w:r>
      <w:r>
        <w:rPr>
          <w:spacing w:val="-2"/>
          <w:sz w:val="24"/>
        </w:rPr>
        <w:t>(PPBS)</w:t>
      </w:r>
    </w:p>
    <w:p>
      <w:pPr>
        <w:pStyle w:val="ListParagraph"/>
        <w:numPr>
          <w:ilvl w:val="0"/>
          <w:numId w:val="34"/>
        </w:numPr>
        <w:tabs>
          <w:tab w:pos="960" w:val="left" w:leader="none"/>
        </w:tabs>
        <w:spacing w:line="240" w:lineRule="auto" w:before="138" w:after="0"/>
        <w:ind w:left="960" w:right="0" w:hanging="360"/>
        <w:jc w:val="left"/>
        <w:rPr>
          <w:sz w:val="24"/>
        </w:rPr>
      </w:pPr>
      <w:r>
        <w:rPr>
          <w:sz w:val="24"/>
        </w:rPr>
        <w:t>Performance</w:t>
      </w:r>
      <w:r>
        <w:rPr>
          <w:spacing w:val="-3"/>
          <w:sz w:val="24"/>
        </w:rPr>
        <w:t> </w:t>
      </w:r>
      <w:r>
        <w:rPr>
          <w:spacing w:val="-2"/>
          <w:sz w:val="24"/>
        </w:rPr>
        <w:t>Budgeting</w:t>
      </w:r>
    </w:p>
    <w:p>
      <w:pPr>
        <w:pStyle w:val="ListParagraph"/>
        <w:numPr>
          <w:ilvl w:val="0"/>
          <w:numId w:val="34"/>
        </w:numPr>
        <w:tabs>
          <w:tab w:pos="960" w:val="left" w:leader="none"/>
        </w:tabs>
        <w:spacing w:line="240" w:lineRule="auto" w:before="138" w:after="0"/>
        <w:ind w:left="960" w:right="0" w:hanging="360"/>
        <w:jc w:val="left"/>
        <w:rPr>
          <w:sz w:val="24"/>
        </w:rPr>
      </w:pPr>
      <w:r>
        <w:rPr>
          <w:sz w:val="24"/>
        </w:rPr>
        <w:t>Priority-based</w:t>
      </w:r>
      <w:r>
        <w:rPr>
          <w:spacing w:val="-4"/>
          <w:sz w:val="24"/>
        </w:rPr>
        <w:t> </w:t>
      </w:r>
      <w:r>
        <w:rPr>
          <w:spacing w:val="-2"/>
          <w:sz w:val="24"/>
        </w:rPr>
        <w:t>Budgeting</w:t>
      </w:r>
    </w:p>
    <w:p>
      <w:pPr>
        <w:pStyle w:val="ListParagraph"/>
        <w:numPr>
          <w:ilvl w:val="0"/>
          <w:numId w:val="34"/>
        </w:numPr>
        <w:tabs>
          <w:tab w:pos="960" w:val="left" w:leader="none"/>
        </w:tabs>
        <w:spacing w:line="240" w:lineRule="auto" w:before="136" w:after="0"/>
        <w:ind w:left="960" w:right="0" w:hanging="360"/>
        <w:jc w:val="left"/>
        <w:rPr>
          <w:sz w:val="24"/>
        </w:rPr>
      </w:pPr>
      <w:r>
        <w:rPr>
          <w:sz w:val="24"/>
        </w:rPr>
        <w:t>Participatory</w:t>
      </w:r>
      <w:r>
        <w:rPr>
          <w:spacing w:val="-4"/>
          <w:sz w:val="24"/>
        </w:rPr>
        <w:t> </w:t>
      </w:r>
      <w:r>
        <w:rPr>
          <w:spacing w:val="-2"/>
          <w:sz w:val="24"/>
        </w:rPr>
        <w:t>Budgeting</w:t>
      </w:r>
    </w:p>
    <w:p>
      <w:pPr>
        <w:pStyle w:val="BodyText"/>
        <w:spacing w:before="138"/>
        <w:ind w:left="240"/>
      </w:pPr>
      <w:r>
        <w:rPr/>
        <w:t>Certain</w:t>
      </w:r>
      <w:r>
        <w:rPr>
          <w:spacing w:val="-1"/>
        </w:rPr>
        <w:t> </w:t>
      </w:r>
      <w:r>
        <w:rPr/>
        <w:t>types</w:t>
      </w:r>
      <w:r>
        <w:rPr>
          <w:spacing w:val="-1"/>
        </w:rPr>
        <w:t> </w:t>
      </w:r>
      <w:r>
        <w:rPr/>
        <w:t>of</w:t>
      </w:r>
      <w:r>
        <w:rPr>
          <w:spacing w:val="-1"/>
        </w:rPr>
        <w:t> </w:t>
      </w:r>
      <w:r>
        <w:rPr/>
        <w:t>budgets</w:t>
      </w:r>
      <w:r>
        <w:rPr>
          <w:spacing w:val="1"/>
        </w:rPr>
        <w:t> </w:t>
      </w:r>
      <w:r>
        <w:rPr/>
        <w:t>can</w:t>
      </w:r>
      <w:r>
        <w:rPr>
          <w:spacing w:val="-1"/>
        </w:rPr>
        <w:t> </w:t>
      </w:r>
      <w:r>
        <w:rPr/>
        <w:t>be</w:t>
      </w:r>
      <w:r>
        <w:rPr>
          <w:spacing w:val="-1"/>
        </w:rPr>
        <w:t> </w:t>
      </w:r>
      <w:r>
        <w:rPr/>
        <w:t>prepared</w:t>
      </w:r>
      <w:r>
        <w:rPr>
          <w:spacing w:val="-1"/>
        </w:rPr>
        <w:t> </w:t>
      </w:r>
      <w:r>
        <w:rPr/>
        <w:t>under</w:t>
      </w:r>
      <w:r>
        <w:rPr>
          <w:spacing w:val="-1"/>
        </w:rPr>
        <w:t> </w:t>
      </w:r>
      <w:r>
        <w:rPr/>
        <w:t>uncertain</w:t>
      </w:r>
      <w:r>
        <w:rPr>
          <w:spacing w:val="-1"/>
        </w:rPr>
        <w:t> </w:t>
      </w:r>
      <w:r>
        <w:rPr/>
        <w:t>conditions,</w:t>
      </w:r>
      <w:r>
        <w:rPr>
          <w:spacing w:val="-1"/>
        </w:rPr>
        <w:t> </w:t>
      </w:r>
      <w:r>
        <w:rPr/>
        <w:t>they</w:t>
      </w:r>
      <w:r>
        <w:rPr>
          <w:spacing w:val="-5"/>
        </w:rPr>
        <w:t> </w:t>
      </w:r>
      <w:r>
        <w:rPr>
          <w:spacing w:val="-2"/>
        </w:rPr>
        <w:t>include:</w:t>
      </w:r>
    </w:p>
    <w:p>
      <w:pPr>
        <w:pStyle w:val="ListParagraph"/>
        <w:numPr>
          <w:ilvl w:val="0"/>
          <w:numId w:val="34"/>
        </w:numPr>
        <w:tabs>
          <w:tab w:pos="960" w:val="left" w:leader="none"/>
        </w:tabs>
        <w:spacing w:line="240" w:lineRule="auto" w:before="137" w:after="0"/>
        <w:ind w:left="960" w:right="0" w:hanging="360"/>
        <w:jc w:val="left"/>
        <w:rPr>
          <w:sz w:val="24"/>
        </w:rPr>
      </w:pPr>
      <w:r>
        <w:rPr>
          <w:sz w:val="24"/>
        </w:rPr>
        <w:t>Rolling</w:t>
      </w:r>
      <w:r>
        <w:rPr>
          <w:spacing w:val="-2"/>
          <w:sz w:val="24"/>
        </w:rPr>
        <w:t> Budget</w:t>
      </w:r>
    </w:p>
    <w:p>
      <w:pPr>
        <w:pStyle w:val="ListParagraph"/>
        <w:numPr>
          <w:ilvl w:val="0"/>
          <w:numId w:val="34"/>
        </w:numPr>
        <w:tabs>
          <w:tab w:pos="960" w:val="left" w:leader="none"/>
        </w:tabs>
        <w:spacing w:line="240" w:lineRule="auto" w:before="138" w:after="0"/>
        <w:ind w:left="960" w:right="0" w:hanging="360"/>
        <w:jc w:val="left"/>
        <w:rPr>
          <w:sz w:val="24"/>
        </w:rPr>
      </w:pPr>
      <w:r>
        <w:rPr>
          <w:sz w:val="24"/>
        </w:rPr>
        <w:t>Contingency</w:t>
      </w:r>
      <w:r>
        <w:rPr>
          <w:spacing w:val="-4"/>
          <w:sz w:val="24"/>
        </w:rPr>
        <w:t> </w:t>
      </w:r>
      <w:r>
        <w:rPr>
          <w:spacing w:val="-2"/>
          <w:sz w:val="24"/>
        </w:rPr>
        <w:t>Budget</w:t>
      </w:r>
    </w:p>
    <w:p>
      <w:pPr>
        <w:spacing w:after="0" w:line="240" w:lineRule="auto"/>
        <w:jc w:val="left"/>
        <w:rPr>
          <w:sz w:val="24"/>
        </w:rPr>
        <w:sectPr>
          <w:pgSz w:w="12240" w:h="15840"/>
          <w:pgMar w:header="0" w:footer="1036" w:top="1360" w:bottom="1220" w:left="1200" w:right="600"/>
        </w:sectPr>
      </w:pPr>
    </w:p>
    <w:p>
      <w:pPr>
        <w:pStyle w:val="Heading4"/>
        <w:numPr>
          <w:ilvl w:val="0"/>
          <w:numId w:val="35"/>
        </w:numPr>
        <w:tabs>
          <w:tab w:pos="577" w:val="left" w:leader="none"/>
        </w:tabs>
        <w:spacing w:line="240" w:lineRule="auto" w:before="79" w:after="0"/>
        <w:ind w:left="577" w:right="0" w:hanging="337"/>
        <w:jc w:val="both"/>
      </w:pPr>
      <w:r>
        <w:rPr/>
        <w:t>Lump</w:t>
      </w:r>
      <w:r>
        <w:rPr>
          <w:spacing w:val="-1"/>
        </w:rPr>
        <w:t> </w:t>
      </w:r>
      <w:r>
        <w:rPr/>
        <w:t>sum</w:t>
      </w:r>
      <w:r>
        <w:rPr>
          <w:spacing w:val="-4"/>
        </w:rPr>
        <w:t> </w:t>
      </w:r>
      <w:r>
        <w:rPr>
          <w:spacing w:val="-2"/>
        </w:rPr>
        <w:t>Budgeting</w:t>
      </w:r>
    </w:p>
    <w:p>
      <w:pPr>
        <w:pStyle w:val="BodyText"/>
        <w:spacing w:line="360" w:lineRule="auto" w:before="132"/>
        <w:ind w:left="240" w:right="838"/>
        <w:jc w:val="both"/>
      </w:pPr>
      <w:r>
        <w:rPr/>
        <w:t>This method of budgeting was used until about World War I. In lump sum budgets, agency, ministry</w:t>
      </w:r>
      <w:r>
        <w:rPr>
          <w:spacing w:val="-2"/>
        </w:rPr>
        <w:t> </w:t>
      </w:r>
      <w:r>
        <w:rPr/>
        <w:t>or department funds were fixed as an overall amount with little political control on how to spend it. In modern times, public agencies hardly use such lump sum budgets. Small scale contracts could be based on lump sums, where detailing each of the items could be time consuming and more costly (Chartered Institute of Public Finance and Accountancy (CIPFA), </w:t>
      </w:r>
      <w:r>
        <w:rPr>
          <w:spacing w:val="-2"/>
        </w:rPr>
        <w:t>2009).</w:t>
      </w:r>
    </w:p>
    <w:p>
      <w:pPr>
        <w:pStyle w:val="Heading4"/>
        <w:numPr>
          <w:ilvl w:val="0"/>
          <w:numId w:val="35"/>
        </w:numPr>
        <w:tabs>
          <w:tab w:pos="593" w:val="left" w:leader="none"/>
        </w:tabs>
        <w:spacing w:line="240" w:lineRule="auto" w:before="214" w:after="0"/>
        <w:ind w:left="593" w:right="0" w:hanging="353"/>
        <w:jc w:val="both"/>
      </w:pPr>
      <w:r>
        <w:rPr/>
        <w:t>Traditional/Line</w:t>
      </w:r>
      <w:r>
        <w:rPr>
          <w:spacing w:val="-4"/>
        </w:rPr>
        <w:t> </w:t>
      </w:r>
      <w:r>
        <w:rPr/>
        <w:t>Item</w:t>
      </w:r>
      <w:r>
        <w:rPr>
          <w:spacing w:val="-5"/>
        </w:rPr>
        <w:t> </w:t>
      </w:r>
      <w:r>
        <w:rPr>
          <w:spacing w:val="-2"/>
        </w:rPr>
        <w:t>Budgeting</w:t>
      </w:r>
    </w:p>
    <w:p>
      <w:pPr>
        <w:pStyle w:val="BodyText"/>
        <w:spacing w:line="360" w:lineRule="auto" w:before="133"/>
        <w:ind w:left="240" w:right="841"/>
        <w:jc w:val="both"/>
      </w:pPr>
      <w:r>
        <w:rPr/>
        <w:t>Ekwealor (2007) and Ugoo (2008) define line item budgeting as a financial plan showing estimated expenditure which is expressed in terms of the kind of item or objects to be purchased or maintained, as well as the estimated revenue required to finance them during a specified period, usually a year. The main purpose is to design the budget in a way that will ensure the accountability of spending officers.</w:t>
      </w:r>
    </w:p>
    <w:p>
      <w:pPr>
        <w:pStyle w:val="BodyText"/>
        <w:spacing w:line="360" w:lineRule="auto" w:before="207"/>
        <w:ind w:left="240" w:right="839"/>
        <w:jc w:val="both"/>
      </w:pPr>
      <w:r>
        <w:rPr/>
        <w:t>Similarly, CIPFA (2009) maintains that this method of budgeting outlines the items on which money will be spent, but may not necessarily provide information on what exactly will be done. Each line item is given the same weight or importance even though some are more complex. Generally a line item budget has categories such as personnel, equipment, maintenance, etc. Revenue sources are linked to each item of expenditure, providing a greater degree of relationship between revenue source and expenditure.</w:t>
      </w:r>
    </w:p>
    <w:p>
      <w:pPr>
        <w:pStyle w:val="BodyText"/>
        <w:spacing w:line="360" w:lineRule="auto" w:before="207"/>
        <w:ind w:left="240" w:right="838"/>
        <w:jc w:val="both"/>
      </w:pPr>
      <w:r>
        <w:rPr/>
        <w:t>Ekwealor (2007) further stresses that traditional budgeting is not output oriented for it is measured in terms of financial inputs. Thus, those who propose, debate or decide on the budget are in no position to make meaningful judgments upon them, because they do not know what outputs</w:t>
      </w:r>
      <w:r>
        <w:rPr>
          <w:spacing w:val="-2"/>
        </w:rPr>
        <w:t> </w:t>
      </w:r>
      <w:r>
        <w:rPr/>
        <w:t>are</w:t>
      </w:r>
      <w:r>
        <w:rPr>
          <w:spacing w:val="-3"/>
        </w:rPr>
        <w:t> </w:t>
      </w:r>
      <w:r>
        <w:rPr/>
        <w:t>being</w:t>
      </w:r>
      <w:r>
        <w:rPr>
          <w:spacing w:val="-2"/>
        </w:rPr>
        <w:t> </w:t>
      </w:r>
      <w:r>
        <w:rPr/>
        <w:t>achieved</w:t>
      </w:r>
      <w:r>
        <w:rPr>
          <w:spacing w:val="-2"/>
        </w:rPr>
        <w:t> </w:t>
      </w:r>
      <w:r>
        <w:rPr/>
        <w:t>with</w:t>
      </w:r>
      <w:r>
        <w:rPr>
          <w:spacing w:val="-2"/>
        </w:rPr>
        <w:t> </w:t>
      </w:r>
      <w:r>
        <w:rPr/>
        <w:t>either</w:t>
      </w:r>
      <w:r>
        <w:rPr>
          <w:spacing w:val="-4"/>
        </w:rPr>
        <w:t> </w:t>
      </w:r>
      <w:r>
        <w:rPr/>
        <w:t>more</w:t>
      </w:r>
      <w:r>
        <w:rPr>
          <w:spacing w:val="-3"/>
        </w:rPr>
        <w:t> </w:t>
      </w:r>
      <w:r>
        <w:rPr/>
        <w:t>or</w:t>
      </w:r>
      <w:r>
        <w:rPr>
          <w:spacing w:val="-1"/>
        </w:rPr>
        <w:t> </w:t>
      </w:r>
      <w:r>
        <w:rPr/>
        <w:t>less funds.</w:t>
      </w:r>
      <w:r>
        <w:rPr>
          <w:spacing w:val="-2"/>
        </w:rPr>
        <w:t> </w:t>
      </w:r>
      <w:r>
        <w:rPr/>
        <w:t>They</w:t>
      </w:r>
      <w:r>
        <w:rPr>
          <w:spacing w:val="-5"/>
        </w:rPr>
        <w:t> </w:t>
      </w:r>
      <w:r>
        <w:rPr/>
        <w:t>are</w:t>
      </w:r>
      <w:r>
        <w:rPr>
          <w:spacing w:val="-3"/>
        </w:rPr>
        <w:t> </w:t>
      </w:r>
      <w:r>
        <w:rPr/>
        <w:t>forced</w:t>
      </w:r>
      <w:r>
        <w:rPr>
          <w:spacing w:val="-2"/>
        </w:rPr>
        <w:t> </w:t>
      </w:r>
      <w:r>
        <w:rPr/>
        <w:t>to</w:t>
      </w:r>
      <w:r>
        <w:rPr>
          <w:spacing w:val="-2"/>
        </w:rPr>
        <w:t> </w:t>
      </w:r>
      <w:r>
        <w:rPr/>
        <w:t>treat</w:t>
      </w:r>
      <w:r>
        <w:rPr>
          <w:spacing w:val="-2"/>
        </w:rPr>
        <w:t> </w:t>
      </w:r>
      <w:r>
        <w:rPr/>
        <w:t>budget</w:t>
      </w:r>
      <w:r>
        <w:rPr>
          <w:spacing w:val="-2"/>
        </w:rPr>
        <w:t> </w:t>
      </w:r>
      <w:r>
        <w:rPr/>
        <w:t>making as a non-rational process because they work in an information vacuum. The result is ritualistic budget behaviour. Those who spend public money do so in the belief that any failure to spend in the current period may result in a reduced budget in future years or periods. Consequently, when they prepare budgets, they allow a margin to accommodate the expected cuts of budget </w:t>
      </w:r>
      <w:r>
        <w:rPr>
          <w:spacing w:val="-2"/>
        </w:rPr>
        <w:t>examiners/committees.</w:t>
      </w:r>
    </w:p>
    <w:p>
      <w:pPr>
        <w:spacing w:after="0" w:line="360" w:lineRule="auto"/>
        <w:jc w:val="both"/>
        <w:sectPr>
          <w:pgSz w:w="12240" w:h="15840"/>
          <w:pgMar w:header="0" w:footer="1036" w:top="1360" w:bottom="1220" w:left="1200" w:right="600"/>
        </w:sectPr>
      </w:pPr>
    </w:p>
    <w:p>
      <w:pPr>
        <w:pStyle w:val="BodyText"/>
        <w:spacing w:line="360" w:lineRule="auto" w:before="74"/>
        <w:ind w:left="240" w:right="838"/>
        <w:jc w:val="both"/>
      </w:pPr>
      <w:r>
        <w:rPr/>
        <w:t>Therefore, the major emphasis of this budgeting system is on financial control and</w:t>
      </w:r>
      <w:r>
        <w:rPr>
          <w:spacing w:val="40"/>
        </w:rPr>
        <w:t> </w:t>
      </w:r>
      <w:r>
        <w:rPr/>
        <w:t>accountability. There is no effort to specify the objectives and purposes for which expenditures are made. It does not involve long range planning and there is an absence of programme structure. It is highly criticized for being fragmented, non-pragmatic and non-sequential. It therefore presents an incomplete picture of programmes and instead of portraying the programmes and discussing what the ministries or departments are trying to accomplish, it talks about items or objects of expenditure in no particular context. Moreover, the traditional budgeting enhances the gamesmanship of burying money in figures by managers.</w:t>
      </w:r>
    </w:p>
    <w:p>
      <w:pPr>
        <w:pStyle w:val="BodyText"/>
        <w:spacing w:line="360" w:lineRule="auto" w:before="241"/>
        <w:ind w:left="240" w:right="839"/>
        <w:jc w:val="both"/>
      </w:pPr>
      <w:r>
        <w:rPr/>
        <w:t>According to Ugoo (2008), the major shortcomings of the traditional system are: (i) emphasis on cost and expenditure and not on service outputs which are to be financed (ii) it funds</w:t>
      </w:r>
      <w:r>
        <w:rPr>
          <w:spacing w:val="40"/>
        </w:rPr>
        <w:t> </w:t>
      </w:r>
      <w:r>
        <w:rPr/>
        <w:t>programmes of low or expired usefulness on an over-generous scale (iii) It fails to fund new programmes of high priority and it fails to clarify the cost of alternative methods of achieving programme objectives.</w:t>
      </w:r>
    </w:p>
    <w:p>
      <w:pPr>
        <w:pStyle w:val="BodyText"/>
        <w:spacing w:before="143"/>
      </w:pPr>
    </w:p>
    <w:p>
      <w:pPr>
        <w:pStyle w:val="Heading4"/>
        <w:numPr>
          <w:ilvl w:val="0"/>
          <w:numId w:val="35"/>
        </w:numPr>
        <w:tabs>
          <w:tab w:pos="564" w:val="left" w:leader="none"/>
        </w:tabs>
        <w:spacing w:line="240" w:lineRule="auto" w:before="0" w:after="0"/>
        <w:ind w:left="564" w:right="0" w:hanging="324"/>
        <w:jc w:val="both"/>
      </w:pPr>
      <w:r>
        <w:rPr/>
        <w:t>Incremental</w:t>
      </w:r>
      <w:r>
        <w:rPr>
          <w:spacing w:val="-4"/>
        </w:rPr>
        <w:t> </w:t>
      </w:r>
      <w:r>
        <w:rPr>
          <w:spacing w:val="-2"/>
        </w:rPr>
        <w:t>Budgeting</w:t>
      </w:r>
    </w:p>
    <w:p>
      <w:pPr>
        <w:pStyle w:val="BodyText"/>
        <w:spacing w:line="360" w:lineRule="auto" w:before="135"/>
        <w:ind w:left="240" w:right="832"/>
        <w:jc w:val="both"/>
      </w:pPr>
      <w:r>
        <w:rPr/>
        <w:t>Muhammed (2009) states that this is a system of budgeting, where the proposed year budget depends on the previous year budget, which is used as a base. Hence, the pervious budget is a basis for the current budget by increasing or decreasing the level of activity or expenditure. According to Fozzard (2001), in the incremental budget, the previous year‘s budget is carried forward for the next annual budget. It is adjusted for known factors such as new legislative requirements, additional resources, service developments, anticipated price and wage inflation and</w:t>
      </w:r>
      <w:r>
        <w:rPr>
          <w:spacing w:val="-2"/>
        </w:rPr>
        <w:t> </w:t>
      </w:r>
      <w:r>
        <w:rPr/>
        <w:t>so</w:t>
      </w:r>
      <w:r>
        <w:rPr>
          <w:spacing w:val="-2"/>
        </w:rPr>
        <w:t> </w:t>
      </w:r>
      <w:r>
        <w:rPr/>
        <w:t>on.</w:t>
      </w:r>
      <w:r>
        <w:rPr>
          <w:spacing w:val="-2"/>
        </w:rPr>
        <w:t> </w:t>
      </w:r>
      <w:r>
        <w:rPr/>
        <w:t>The</w:t>
      </w:r>
      <w:r>
        <w:rPr>
          <w:spacing w:val="-3"/>
        </w:rPr>
        <w:t> </w:t>
      </w:r>
      <w:r>
        <w:rPr/>
        <w:t>process</w:t>
      </w:r>
      <w:r>
        <w:rPr>
          <w:spacing w:val="-2"/>
        </w:rPr>
        <w:t> </w:t>
      </w:r>
      <w:r>
        <w:rPr/>
        <w:t>is mainly</w:t>
      </w:r>
      <w:r>
        <w:rPr>
          <w:spacing w:val="-7"/>
        </w:rPr>
        <w:t> </w:t>
      </w:r>
      <w:r>
        <w:rPr/>
        <w:t>concerned</w:t>
      </w:r>
      <w:r>
        <w:rPr>
          <w:spacing w:val="-2"/>
        </w:rPr>
        <w:t> </w:t>
      </w:r>
      <w:r>
        <w:rPr/>
        <w:t>with</w:t>
      </w:r>
      <w:r>
        <w:rPr>
          <w:spacing w:val="-2"/>
        </w:rPr>
        <w:t> </w:t>
      </w:r>
      <w:r>
        <w:rPr/>
        <w:t>the</w:t>
      </w:r>
      <w:r>
        <w:rPr>
          <w:spacing w:val="-3"/>
        </w:rPr>
        <w:t> </w:t>
      </w:r>
      <w:r>
        <w:rPr/>
        <w:t>incremental</w:t>
      </w:r>
      <w:r>
        <w:rPr>
          <w:spacing w:val="-2"/>
        </w:rPr>
        <w:t> </w:t>
      </w:r>
      <w:r>
        <w:rPr/>
        <w:t>(or</w:t>
      </w:r>
      <w:r>
        <w:rPr>
          <w:spacing w:val="-3"/>
        </w:rPr>
        <w:t> </w:t>
      </w:r>
      <w:r>
        <w:rPr/>
        <w:t>marginal)</w:t>
      </w:r>
      <w:r>
        <w:rPr>
          <w:spacing w:val="-2"/>
        </w:rPr>
        <w:t> </w:t>
      </w:r>
      <w:r>
        <w:rPr/>
        <w:t>adjustments</w:t>
      </w:r>
      <w:r>
        <w:rPr>
          <w:spacing w:val="-2"/>
        </w:rPr>
        <w:t> </w:t>
      </w:r>
      <w:r>
        <w:rPr/>
        <w:t>to</w:t>
      </w:r>
      <w:r>
        <w:rPr>
          <w:spacing w:val="-2"/>
        </w:rPr>
        <w:t> </w:t>
      </w:r>
      <w:r>
        <w:rPr/>
        <w:t>the current budgeted allowance.</w:t>
      </w:r>
    </w:p>
    <w:p>
      <w:pPr>
        <w:pStyle w:val="BodyText"/>
        <w:spacing w:before="34"/>
      </w:pPr>
    </w:p>
    <w:p>
      <w:pPr>
        <w:pStyle w:val="BodyText"/>
        <w:spacing w:line="360" w:lineRule="auto"/>
        <w:ind w:left="240" w:right="840"/>
        <w:jc w:val="both"/>
      </w:pPr>
      <w:r>
        <w:rPr/>
        <w:t>Ugwu (2006) and Ugoo (2008), in an attempt to explain this technique, surmise that before the annual budget is prepared, a base should be determined from which the process will begin, then the current level of operating activity and current budgeted allowances for existing activities is taken as the starting point for preparing the next annual budget. The base is then adjusted for changes, which are expected to occur during the new budget period. Hence, this budget process</w:t>
      </w:r>
      <w:r>
        <w:rPr>
          <w:spacing w:val="40"/>
        </w:rPr>
        <w:t> </w:t>
      </w:r>
      <w:r>
        <w:rPr/>
        <w:t>is</w:t>
      </w:r>
      <w:r>
        <w:rPr>
          <w:spacing w:val="50"/>
        </w:rPr>
        <w:t> </w:t>
      </w:r>
      <w:r>
        <w:rPr/>
        <w:t>concerned</w:t>
      </w:r>
      <w:r>
        <w:rPr>
          <w:spacing w:val="49"/>
        </w:rPr>
        <w:t> </w:t>
      </w:r>
      <w:r>
        <w:rPr/>
        <w:t>with</w:t>
      </w:r>
      <w:r>
        <w:rPr>
          <w:spacing w:val="50"/>
        </w:rPr>
        <w:t> </w:t>
      </w:r>
      <w:r>
        <w:rPr/>
        <w:t>increment</w:t>
      </w:r>
      <w:r>
        <w:rPr>
          <w:spacing w:val="49"/>
        </w:rPr>
        <w:t> </w:t>
      </w:r>
      <w:r>
        <w:rPr/>
        <w:t>in</w:t>
      </w:r>
      <w:r>
        <w:rPr>
          <w:spacing w:val="50"/>
        </w:rPr>
        <w:t> </w:t>
      </w:r>
      <w:r>
        <w:rPr/>
        <w:t>expenditure</w:t>
      </w:r>
      <w:r>
        <w:rPr>
          <w:spacing w:val="48"/>
        </w:rPr>
        <w:t> </w:t>
      </w:r>
      <w:r>
        <w:rPr/>
        <w:t>which</w:t>
      </w:r>
      <w:r>
        <w:rPr>
          <w:spacing w:val="50"/>
        </w:rPr>
        <w:t> </w:t>
      </w:r>
      <w:r>
        <w:rPr/>
        <w:t>will</w:t>
      </w:r>
      <w:r>
        <w:rPr>
          <w:spacing w:val="49"/>
        </w:rPr>
        <w:t> </w:t>
      </w:r>
      <w:r>
        <w:rPr/>
        <w:t>occur</w:t>
      </w:r>
      <w:r>
        <w:rPr>
          <w:spacing w:val="49"/>
        </w:rPr>
        <w:t> </w:t>
      </w:r>
      <w:r>
        <w:rPr/>
        <w:t>during</w:t>
      </w:r>
      <w:r>
        <w:rPr>
          <w:spacing w:val="46"/>
        </w:rPr>
        <w:t> </w:t>
      </w:r>
      <w:r>
        <w:rPr/>
        <w:t>the</w:t>
      </w:r>
      <w:r>
        <w:rPr>
          <w:spacing w:val="49"/>
        </w:rPr>
        <w:t> </w:t>
      </w:r>
      <w:r>
        <w:rPr/>
        <w:t>budget</w:t>
      </w:r>
      <w:r>
        <w:rPr>
          <w:spacing w:val="49"/>
        </w:rPr>
        <w:t> </w:t>
      </w:r>
      <w:r>
        <w:rPr/>
        <w:t>period.</w:t>
      </w:r>
      <w:r>
        <w:rPr>
          <w:spacing w:val="52"/>
        </w:rPr>
        <w:t> </w:t>
      </w:r>
      <w:r>
        <w:rPr>
          <w:spacing w:val="-5"/>
        </w:rPr>
        <w:t>For</w:t>
      </w:r>
    </w:p>
    <w:p>
      <w:pPr>
        <w:spacing w:after="0" w:line="360" w:lineRule="auto"/>
        <w:jc w:val="both"/>
        <w:sectPr>
          <w:pgSz w:w="12240" w:h="15840"/>
          <w:pgMar w:header="0" w:footer="1036" w:top="1360" w:bottom="1220" w:left="1200" w:right="600"/>
        </w:sectPr>
      </w:pPr>
    </w:p>
    <w:p>
      <w:pPr>
        <w:pStyle w:val="BodyText"/>
        <w:spacing w:line="360" w:lineRule="auto" w:before="74"/>
        <w:ind w:left="240" w:right="845"/>
        <w:jc w:val="both"/>
      </w:pPr>
      <w:r>
        <w:rPr/>
        <w:t>instance, allowance for budgeted expenses is based on previous budgeted allowance plus an increase to cover higher prices caused by inflation.</w:t>
      </w:r>
    </w:p>
    <w:p>
      <w:pPr>
        <w:pStyle w:val="BodyText"/>
      </w:pPr>
    </w:p>
    <w:p>
      <w:pPr>
        <w:pStyle w:val="BodyText"/>
        <w:spacing w:line="360" w:lineRule="auto" w:before="1"/>
        <w:ind w:left="240" w:right="834"/>
        <w:jc w:val="both"/>
      </w:pPr>
      <w:r>
        <w:rPr/>
        <w:t>Furthermore, CIPFA (2009) maintains that a key characteristic of the approach is that budget preparation is a process of negotiation and compromise. ―Incremental budgeting is therefore based on a fundamentally different view of decision making than more rational approaches. This is because negotiated settlements between interested parties require willingness to compromise.</w:t>
      </w:r>
      <w:r>
        <w:rPr>
          <w:spacing w:val="40"/>
        </w:rPr>
        <w:t> </w:t>
      </w:r>
      <w:r>
        <w:rPr/>
        <w:t>If consensus breaks down, compromise cannot be reached and the incremental process becomes invalid. According to In view of this, CIPFA (2009) stress that use of this method requires a relatively stable form of representative government.</w:t>
      </w:r>
    </w:p>
    <w:p>
      <w:pPr>
        <w:pStyle w:val="BodyText"/>
        <w:spacing w:before="172"/>
      </w:pPr>
    </w:p>
    <w:p>
      <w:pPr>
        <w:pStyle w:val="BodyText"/>
        <w:spacing w:line="360" w:lineRule="auto"/>
        <w:ind w:left="240" w:right="836"/>
        <w:jc w:val="both"/>
      </w:pPr>
      <w:r>
        <w:rPr/>
        <w:t>Fozzard (2001) and CIPFA (2009) further opine that the process of the incremental budget itself is straightforward. The key stages are: (i) establishing the base: decide what is committed expenditure and then make adjustments to reflect unavoidable changes, for example: full-year effects of the capital programme (ii)adding to the implications of the development budget to reflect proposed growth and (iii) aggregating and producing the new budget.</w:t>
      </w:r>
    </w:p>
    <w:p>
      <w:pPr>
        <w:pStyle w:val="BodyText"/>
        <w:spacing w:before="2"/>
      </w:pPr>
    </w:p>
    <w:p>
      <w:pPr>
        <w:pStyle w:val="BodyText"/>
        <w:spacing w:line="360" w:lineRule="auto"/>
        <w:ind w:left="240" w:right="847"/>
        <w:jc w:val="both"/>
      </w:pPr>
      <w:r>
        <w:rPr/>
        <w:t>The following advantages are associated with the use of the incremental budgeting approach, as Ugwu (2006) and CIPFA (2009) point out:</w:t>
      </w:r>
    </w:p>
    <w:p>
      <w:pPr>
        <w:pStyle w:val="ListParagraph"/>
        <w:numPr>
          <w:ilvl w:val="1"/>
          <w:numId w:val="35"/>
        </w:numPr>
        <w:tabs>
          <w:tab w:pos="960" w:val="left" w:leader="none"/>
        </w:tabs>
        <w:spacing w:line="360" w:lineRule="auto" w:before="0" w:after="0"/>
        <w:ind w:left="960" w:right="843" w:hanging="360"/>
        <w:jc w:val="both"/>
        <w:rPr>
          <w:sz w:val="24"/>
        </w:rPr>
      </w:pPr>
      <w:r>
        <w:rPr>
          <w:sz w:val="24"/>
        </w:rPr>
        <w:t>It is easily understood (as it is retrospective), makes marginal changes and secures agreement through negotiation;</w:t>
      </w:r>
    </w:p>
    <w:p>
      <w:pPr>
        <w:pStyle w:val="ListParagraph"/>
        <w:numPr>
          <w:ilvl w:val="1"/>
          <w:numId w:val="35"/>
        </w:numPr>
        <w:tabs>
          <w:tab w:pos="959" w:val="left" w:leader="none"/>
        </w:tabs>
        <w:spacing w:line="240" w:lineRule="auto" w:before="0" w:after="0"/>
        <w:ind w:left="959" w:right="0" w:hanging="359"/>
        <w:jc w:val="both"/>
        <w:rPr>
          <w:sz w:val="24"/>
        </w:rPr>
      </w:pPr>
      <w:r>
        <w:rPr>
          <w:sz w:val="24"/>
        </w:rPr>
        <w:t>It</w:t>
      </w:r>
      <w:r>
        <w:rPr>
          <w:spacing w:val="-3"/>
          <w:sz w:val="24"/>
        </w:rPr>
        <w:t> </w:t>
      </w:r>
      <w:r>
        <w:rPr>
          <w:sz w:val="24"/>
        </w:rPr>
        <w:t>is</w:t>
      </w:r>
      <w:r>
        <w:rPr>
          <w:spacing w:val="-1"/>
          <w:sz w:val="24"/>
        </w:rPr>
        <w:t> </w:t>
      </w:r>
      <w:r>
        <w:rPr>
          <w:sz w:val="24"/>
        </w:rPr>
        <w:t>administratively</w:t>
      </w:r>
      <w:r>
        <w:rPr>
          <w:spacing w:val="-6"/>
          <w:sz w:val="24"/>
        </w:rPr>
        <w:t> </w:t>
      </w:r>
      <w:r>
        <w:rPr>
          <w:sz w:val="24"/>
        </w:rPr>
        <w:t>straightforward</w:t>
      </w:r>
      <w:r>
        <w:rPr>
          <w:spacing w:val="-1"/>
          <w:sz w:val="24"/>
        </w:rPr>
        <w:t> </w:t>
      </w:r>
      <w:r>
        <w:rPr>
          <w:sz w:val="24"/>
        </w:rPr>
        <w:t>(and</w:t>
      </w:r>
      <w:r>
        <w:rPr>
          <w:spacing w:val="-1"/>
          <w:sz w:val="24"/>
        </w:rPr>
        <w:t> </w:t>
      </w:r>
      <w:r>
        <w:rPr>
          <w:sz w:val="24"/>
        </w:rPr>
        <w:t>therefore</w:t>
      </w:r>
      <w:r>
        <w:rPr>
          <w:spacing w:val="-1"/>
          <w:sz w:val="24"/>
        </w:rPr>
        <w:t> </w:t>
      </w:r>
      <w:r>
        <w:rPr>
          <w:spacing w:val="-2"/>
          <w:sz w:val="24"/>
        </w:rPr>
        <w:t>cheap);</w:t>
      </w:r>
    </w:p>
    <w:p>
      <w:pPr>
        <w:pStyle w:val="ListParagraph"/>
        <w:numPr>
          <w:ilvl w:val="1"/>
          <w:numId w:val="35"/>
        </w:numPr>
        <w:tabs>
          <w:tab w:pos="960" w:val="left" w:leader="none"/>
        </w:tabs>
        <w:spacing w:line="360" w:lineRule="auto" w:before="137" w:after="0"/>
        <w:ind w:left="960" w:right="838" w:hanging="360"/>
        <w:jc w:val="both"/>
        <w:rPr>
          <w:sz w:val="24"/>
        </w:rPr>
      </w:pPr>
      <w:r>
        <w:rPr>
          <w:sz w:val="24"/>
        </w:rPr>
        <w:t>It allows policy makers to concentrate of the key areas of change. Ministers, elected representatives and senior officials are not required to study long and detailed budgetary documents and</w:t>
      </w:r>
    </w:p>
    <w:p>
      <w:pPr>
        <w:pStyle w:val="ListParagraph"/>
        <w:numPr>
          <w:ilvl w:val="1"/>
          <w:numId w:val="35"/>
        </w:numPr>
        <w:tabs>
          <w:tab w:pos="959" w:val="left" w:leader="none"/>
        </w:tabs>
        <w:spacing w:line="240" w:lineRule="auto" w:before="1" w:after="0"/>
        <w:ind w:left="959" w:right="0" w:hanging="359"/>
        <w:jc w:val="both"/>
        <w:rPr>
          <w:sz w:val="24"/>
        </w:rPr>
      </w:pPr>
      <w:r>
        <w:rPr>
          <w:sz w:val="24"/>
        </w:rPr>
        <w:t>It</w:t>
      </w:r>
      <w:r>
        <w:rPr>
          <w:spacing w:val="-3"/>
          <w:sz w:val="24"/>
        </w:rPr>
        <w:t> </w:t>
      </w:r>
      <w:r>
        <w:rPr>
          <w:sz w:val="24"/>
        </w:rPr>
        <w:t>is particularly</w:t>
      </w:r>
      <w:r>
        <w:rPr>
          <w:spacing w:val="-6"/>
          <w:sz w:val="24"/>
        </w:rPr>
        <w:t> </w:t>
      </w:r>
      <w:r>
        <w:rPr>
          <w:sz w:val="24"/>
        </w:rPr>
        <w:t>useful where</w:t>
      </w:r>
      <w:r>
        <w:rPr>
          <w:spacing w:val="-3"/>
          <w:sz w:val="24"/>
        </w:rPr>
        <w:t> </w:t>
      </w:r>
      <w:r>
        <w:rPr>
          <w:sz w:val="24"/>
        </w:rPr>
        <w:t>outputs are</w:t>
      </w:r>
      <w:r>
        <w:rPr>
          <w:spacing w:val="-2"/>
          <w:sz w:val="24"/>
        </w:rPr>
        <w:t> </w:t>
      </w:r>
      <w:r>
        <w:rPr>
          <w:sz w:val="24"/>
        </w:rPr>
        <w:t>difficult</w:t>
      </w:r>
      <w:r>
        <w:rPr>
          <w:spacing w:val="2"/>
          <w:sz w:val="24"/>
        </w:rPr>
        <w:t> </w:t>
      </w:r>
      <w:r>
        <w:rPr>
          <w:sz w:val="24"/>
        </w:rPr>
        <w:t>to </w:t>
      </w:r>
      <w:r>
        <w:rPr>
          <w:spacing w:val="-2"/>
          <w:sz w:val="24"/>
        </w:rPr>
        <w:t>define/quantify.</w:t>
      </w:r>
    </w:p>
    <w:p>
      <w:pPr>
        <w:pStyle w:val="BodyText"/>
        <w:spacing w:before="137"/>
      </w:pPr>
    </w:p>
    <w:p>
      <w:pPr>
        <w:pStyle w:val="BodyText"/>
        <w:spacing w:line="360" w:lineRule="auto" w:before="1"/>
        <w:ind w:left="240" w:right="840"/>
        <w:jc w:val="both"/>
      </w:pPr>
      <w:r>
        <w:rPr/>
        <w:t>However, Ugwu (2006) also asserts that the major disadvantage of this technique is that it perpetuates or prolongs any past inefficiencies.</w:t>
      </w:r>
      <w:r>
        <w:rPr>
          <w:spacing w:val="40"/>
        </w:rPr>
        <w:t> </w:t>
      </w:r>
      <w:r>
        <w:rPr/>
        <w:t>CIPFA (2009) outline the following as the disadvantages of incremental budgeting:</w:t>
      </w:r>
    </w:p>
    <w:p>
      <w:pPr>
        <w:pStyle w:val="ListParagraph"/>
        <w:numPr>
          <w:ilvl w:val="0"/>
          <w:numId w:val="36"/>
        </w:numPr>
        <w:tabs>
          <w:tab w:pos="960" w:val="left" w:leader="none"/>
        </w:tabs>
        <w:spacing w:line="360" w:lineRule="auto" w:before="0" w:after="0"/>
        <w:ind w:left="960" w:right="1509" w:hanging="360"/>
        <w:jc w:val="both"/>
        <w:rPr>
          <w:sz w:val="24"/>
        </w:rPr>
      </w:pPr>
      <w:r>
        <w:rPr>
          <w:sz w:val="24"/>
        </w:rPr>
        <w:t>Backward</w:t>
      </w:r>
      <w:r>
        <w:rPr>
          <w:spacing w:val="-4"/>
          <w:sz w:val="24"/>
        </w:rPr>
        <w:t> </w:t>
      </w:r>
      <w:r>
        <w:rPr>
          <w:sz w:val="24"/>
        </w:rPr>
        <w:t>looking</w:t>
      </w:r>
      <w:r>
        <w:rPr>
          <w:spacing w:val="-6"/>
          <w:sz w:val="24"/>
        </w:rPr>
        <w:t> </w:t>
      </w:r>
      <w:r>
        <w:rPr>
          <w:sz w:val="24"/>
        </w:rPr>
        <w:t>–</w:t>
      </w:r>
      <w:r>
        <w:rPr>
          <w:spacing w:val="-4"/>
          <w:sz w:val="24"/>
        </w:rPr>
        <w:t> </w:t>
      </w:r>
      <w:r>
        <w:rPr>
          <w:sz w:val="24"/>
        </w:rPr>
        <w:t>it</w:t>
      </w:r>
      <w:r>
        <w:rPr>
          <w:spacing w:val="-4"/>
          <w:sz w:val="24"/>
        </w:rPr>
        <w:t> </w:t>
      </w:r>
      <w:r>
        <w:rPr>
          <w:sz w:val="24"/>
        </w:rPr>
        <w:t>focuses</w:t>
      </w:r>
      <w:r>
        <w:rPr>
          <w:spacing w:val="-4"/>
          <w:sz w:val="24"/>
        </w:rPr>
        <w:t> </w:t>
      </w:r>
      <w:r>
        <w:rPr>
          <w:sz w:val="24"/>
        </w:rPr>
        <w:t>more</w:t>
      </w:r>
      <w:r>
        <w:rPr>
          <w:spacing w:val="-6"/>
          <w:sz w:val="24"/>
        </w:rPr>
        <w:t> </w:t>
      </w:r>
      <w:r>
        <w:rPr>
          <w:sz w:val="24"/>
        </w:rPr>
        <w:t>on</w:t>
      </w:r>
      <w:r>
        <w:rPr>
          <w:spacing w:val="-4"/>
          <w:sz w:val="24"/>
        </w:rPr>
        <w:t> </w:t>
      </w:r>
      <w:r>
        <w:rPr>
          <w:sz w:val="24"/>
        </w:rPr>
        <w:t>the</w:t>
      </w:r>
      <w:r>
        <w:rPr>
          <w:spacing w:val="-4"/>
          <w:sz w:val="24"/>
        </w:rPr>
        <w:t> </w:t>
      </w:r>
      <w:r>
        <w:rPr>
          <w:sz w:val="24"/>
        </w:rPr>
        <w:t>previous</w:t>
      </w:r>
      <w:r>
        <w:rPr>
          <w:spacing w:val="-4"/>
          <w:sz w:val="24"/>
        </w:rPr>
        <w:t> </w:t>
      </w:r>
      <w:r>
        <w:rPr>
          <w:sz w:val="24"/>
        </w:rPr>
        <w:t>budget</w:t>
      </w:r>
      <w:r>
        <w:rPr>
          <w:spacing w:val="-4"/>
          <w:sz w:val="24"/>
        </w:rPr>
        <w:t> </w:t>
      </w:r>
      <w:r>
        <w:rPr>
          <w:sz w:val="24"/>
        </w:rPr>
        <w:t>than</w:t>
      </w:r>
      <w:r>
        <w:rPr>
          <w:spacing w:val="-2"/>
          <w:sz w:val="24"/>
        </w:rPr>
        <w:t> </w:t>
      </w:r>
      <w:r>
        <w:rPr>
          <w:sz w:val="24"/>
        </w:rPr>
        <w:t>future</w:t>
      </w:r>
      <w:r>
        <w:rPr>
          <w:spacing w:val="-5"/>
          <w:sz w:val="24"/>
        </w:rPr>
        <w:t> </w:t>
      </w:r>
      <w:r>
        <w:rPr>
          <w:sz w:val="24"/>
        </w:rPr>
        <w:t>operational requirements and objectives;</w:t>
      </w:r>
    </w:p>
    <w:p>
      <w:pPr>
        <w:spacing w:after="0" w:line="360" w:lineRule="auto"/>
        <w:jc w:val="both"/>
        <w:rPr>
          <w:sz w:val="24"/>
        </w:rPr>
        <w:sectPr>
          <w:pgSz w:w="12240" w:h="15840"/>
          <w:pgMar w:header="0" w:footer="1036" w:top="1360" w:bottom="1220" w:left="1200" w:right="600"/>
        </w:sectPr>
      </w:pPr>
    </w:p>
    <w:p>
      <w:pPr>
        <w:pStyle w:val="ListParagraph"/>
        <w:numPr>
          <w:ilvl w:val="0"/>
          <w:numId w:val="36"/>
        </w:numPr>
        <w:tabs>
          <w:tab w:pos="959" w:val="left" w:leader="none"/>
        </w:tabs>
        <w:spacing w:line="240" w:lineRule="auto" w:before="74" w:after="0"/>
        <w:ind w:left="959" w:right="0" w:hanging="359"/>
        <w:jc w:val="left"/>
        <w:rPr>
          <w:sz w:val="24"/>
        </w:rPr>
      </w:pPr>
      <w:r>
        <w:rPr>
          <w:sz w:val="24"/>
        </w:rPr>
        <w:t>Does</w:t>
      </w:r>
      <w:r>
        <w:rPr>
          <w:spacing w:val="-2"/>
          <w:sz w:val="24"/>
        </w:rPr>
        <w:t> </w:t>
      </w:r>
      <w:r>
        <w:rPr>
          <w:sz w:val="24"/>
        </w:rPr>
        <w:t>not</w:t>
      </w:r>
      <w:r>
        <w:rPr>
          <w:spacing w:val="-1"/>
          <w:sz w:val="24"/>
        </w:rPr>
        <w:t> </w:t>
      </w:r>
      <w:r>
        <w:rPr>
          <w:sz w:val="24"/>
        </w:rPr>
        <w:t>allow</w:t>
      </w:r>
      <w:r>
        <w:rPr>
          <w:spacing w:val="-2"/>
          <w:sz w:val="24"/>
        </w:rPr>
        <w:t> </w:t>
      </w:r>
      <w:r>
        <w:rPr>
          <w:sz w:val="24"/>
        </w:rPr>
        <w:t>for</w:t>
      </w:r>
      <w:r>
        <w:rPr>
          <w:spacing w:val="-2"/>
          <w:sz w:val="24"/>
        </w:rPr>
        <w:t> </w:t>
      </w:r>
      <w:r>
        <w:rPr>
          <w:sz w:val="24"/>
        </w:rPr>
        <w:t>overall</w:t>
      </w:r>
      <w:r>
        <w:rPr>
          <w:spacing w:val="-1"/>
          <w:sz w:val="24"/>
        </w:rPr>
        <w:t> </w:t>
      </w:r>
      <w:r>
        <w:rPr>
          <w:sz w:val="24"/>
        </w:rPr>
        <w:t>performance</w:t>
      </w:r>
      <w:r>
        <w:rPr>
          <w:spacing w:val="-2"/>
          <w:sz w:val="24"/>
        </w:rPr>
        <w:t> overview;</w:t>
      </w:r>
    </w:p>
    <w:p>
      <w:pPr>
        <w:pStyle w:val="ListParagraph"/>
        <w:numPr>
          <w:ilvl w:val="0"/>
          <w:numId w:val="36"/>
        </w:numPr>
        <w:tabs>
          <w:tab w:pos="959" w:val="left" w:leader="none"/>
        </w:tabs>
        <w:spacing w:line="240" w:lineRule="auto" w:before="137" w:after="0"/>
        <w:ind w:left="959" w:right="0" w:hanging="359"/>
        <w:jc w:val="left"/>
        <w:rPr>
          <w:sz w:val="24"/>
        </w:rPr>
      </w:pPr>
      <w:r>
        <w:rPr>
          <w:sz w:val="24"/>
        </w:rPr>
        <w:t>Does</w:t>
      </w:r>
      <w:r>
        <w:rPr>
          <w:spacing w:val="-2"/>
          <w:sz w:val="24"/>
        </w:rPr>
        <w:t> </w:t>
      </w:r>
      <w:r>
        <w:rPr>
          <w:sz w:val="24"/>
        </w:rPr>
        <w:t>not help</w:t>
      </w:r>
      <w:r>
        <w:rPr>
          <w:spacing w:val="-1"/>
          <w:sz w:val="24"/>
        </w:rPr>
        <w:t> </w:t>
      </w:r>
      <w:r>
        <w:rPr>
          <w:sz w:val="24"/>
        </w:rPr>
        <w:t>managers</w:t>
      </w:r>
      <w:r>
        <w:rPr>
          <w:spacing w:val="-1"/>
          <w:sz w:val="24"/>
        </w:rPr>
        <w:t> </w:t>
      </w:r>
      <w:r>
        <w:rPr>
          <w:sz w:val="24"/>
        </w:rPr>
        <w:t>identify</w:t>
      </w:r>
      <w:r>
        <w:rPr>
          <w:spacing w:val="-5"/>
          <w:sz w:val="24"/>
        </w:rPr>
        <w:t> </w:t>
      </w:r>
      <w:r>
        <w:rPr>
          <w:sz w:val="24"/>
        </w:rPr>
        <w:t>budgetary</w:t>
      </w:r>
      <w:r>
        <w:rPr>
          <w:spacing w:val="-5"/>
          <w:sz w:val="24"/>
        </w:rPr>
        <w:t> </w:t>
      </w:r>
      <w:r>
        <w:rPr>
          <w:spacing w:val="-2"/>
          <w:sz w:val="24"/>
        </w:rPr>
        <w:t>‗slack‘;</w:t>
      </w:r>
    </w:p>
    <w:p>
      <w:pPr>
        <w:pStyle w:val="ListParagraph"/>
        <w:numPr>
          <w:ilvl w:val="0"/>
          <w:numId w:val="36"/>
        </w:numPr>
        <w:tabs>
          <w:tab w:pos="960" w:val="left" w:leader="none"/>
        </w:tabs>
        <w:spacing w:line="360" w:lineRule="auto" w:before="139" w:after="0"/>
        <w:ind w:left="960" w:right="1791" w:hanging="360"/>
        <w:jc w:val="left"/>
        <w:rPr>
          <w:sz w:val="24"/>
        </w:rPr>
      </w:pPr>
      <w:r>
        <w:rPr>
          <w:sz w:val="24"/>
        </w:rPr>
        <w:t>Often</w:t>
      </w:r>
      <w:r>
        <w:rPr>
          <w:spacing w:val="-3"/>
          <w:sz w:val="24"/>
        </w:rPr>
        <w:t> </w:t>
      </w:r>
      <w:r>
        <w:rPr>
          <w:sz w:val="24"/>
        </w:rPr>
        <w:t>underpinned</w:t>
      </w:r>
      <w:r>
        <w:rPr>
          <w:spacing w:val="-3"/>
          <w:sz w:val="24"/>
        </w:rPr>
        <w:t> </w:t>
      </w:r>
      <w:r>
        <w:rPr>
          <w:sz w:val="24"/>
        </w:rPr>
        <w:t>by</w:t>
      </w:r>
      <w:r>
        <w:rPr>
          <w:spacing w:val="-8"/>
          <w:sz w:val="24"/>
        </w:rPr>
        <w:t> </w:t>
      </w:r>
      <w:r>
        <w:rPr>
          <w:sz w:val="24"/>
        </w:rPr>
        <w:t>data</w:t>
      </w:r>
      <w:r>
        <w:rPr>
          <w:spacing w:val="-3"/>
          <w:sz w:val="24"/>
        </w:rPr>
        <w:t> </w:t>
      </w:r>
      <w:r>
        <w:rPr>
          <w:sz w:val="24"/>
        </w:rPr>
        <w:t>or</w:t>
      </w:r>
      <w:r>
        <w:rPr>
          <w:spacing w:val="-5"/>
          <w:sz w:val="24"/>
        </w:rPr>
        <w:t> </w:t>
      </w:r>
      <w:r>
        <w:rPr>
          <w:sz w:val="24"/>
        </w:rPr>
        <w:t>service</w:t>
      </w:r>
      <w:r>
        <w:rPr>
          <w:spacing w:val="-4"/>
          <w:sz w:val="24"/>
        </w:rPr>
        <w:t> </w:t>
      </w:r>
      <w:r>
        <w:rPr>
          <w:sz w:val="24"/>
        </w:rPr>
        <w:t>provision</w:t>
      </w:r>
      <w:r>
        <w:rPr>
          <w:spacing w:val="-3"/>
          <w:sz w:val="24"/>
        </w:rPr>
        <w:t> </w:t>
      </w:r>
      <w:r>
        <w:rPr>
          <w:sz w:val="24"/>
        </w:rPr>
        <w:t>which</w:t>
      </w:r>
      <w:r>
        <w:rPr>
          <w:spacing w:val="-3"/>
          <w:sz w:val="24"/>
        </w:rPr>
        <w:t> </w:t>
      </w:r>
      <w:r>
        <w:rPr>
          <w:sz w:val="24"/>
        </w:rPr>
        <w:t>is</w:t>
      </w:r>
      <w:r>
        <w:rPr>
          <w:spacing w:val="-3"/>
          <w:sz w:val="24"/>
        </w:rPr>
        <w:t> </w:t>
      </w:r>
      <w:r>
        <w:rPr>
          <w:sz w:val="24"/>
        </w:rPr>
        <w:t>no</w:t>
      </w:r>
      <w:r>
        <w:rPr>
          <w:spacing w:val="-3"/>
          <w:sz w:val="24"/>
        </w:rPr>
        <w:t> </w:t>
      </w:r>
      <w:r>
        <w:rPr>
          <w:sz w:val="24"/>
        </w:rPr>
        <w:t>longer</w:t>
      </w:r>
      <w:r>
        <w:rPr>
          <w:spacing w:val="-2"/>
          <w:sz w:val="24"/>
        </w:rPr>
        <w:t> </w:t>
      </w:r>
      <w:r>
        <w:rPr>
          <w:sz w:val="24"/>
        </w:rPr>
        <w:t>relevant or</w:t>
      </w:r>
      <w:r>
        <w:rPr>
          <w:spacing w:val="-4"/>
          <w:sz w:val="24"/>
        </w:rPr>
        <w:t> </w:t>
      </w:r>
      <w:r>
        <w:rPr>
          <w:sz w:val="24"/>
        </w:rPr>
        <w:t>is inconsistent with new priorities;</w:t>
      </w:r>
    </w:p>
    <w:p>
      <w:pPr>
        <w:pStyle w:val="ListParagraph"/>
        <w:numPr>
          <w:ilvl w:val="0"/>
          <w:numId w:val="36"/>
        </w:numPr>
        <w:tabs>
          <w:tab w:pos="959" w:val="left" w:leader="none"/>
        </w:tabs>
        <w:spacing w:line="240" w:lineRule="auto" w:before="1" w:after="0"/>
        <w:ind w:left="959" w:right="0" w:hanging="359"/>
        <w:jc w:val="left"/>
        <w:rPr>
          <w:sz w:val="24"/>
        </w:rPr>
      </w:pPr>
      <w:r>
        <w:rPr>
          <w:sz w:val="24"/>
        </w:rPr>
        <w:t>Encourages</w:t>
      </w:r>
      <w:r>
        <w:rPr>
          <w:spacing w:val="-11"/>
          <w:sz w:val="24"/>
        </w:rPr>
        <w:t> </w:t>
      </w:r>
      <w:r>
        <w:rPr>
          <w:sz w:val="24"/>
        </w:rPr>
        <w:t>systemic</w:t>
      </w:r>
      <w:r>
        <w:rPr>
          <w:spacing w:val="-11"/>
          <w:sz w:val="24"/>
        </w:rPr>
        <w:t> </w:t>
      </w:r>
      <w:r>
        <w:rPr>
          <w:sz w:val="24"/>
        </w:rPr>
        <w:t>inertia</w:t>
      </w:r>
      <w:r>
        <w:rPr>
          <w:spacing w:val="-11"/>
          <w:sz w:val="24"/>
        </w:rPr>
        <w:t> </w:t>
      </w:r>
      <w:r>
        <w:rPr>
          <w:sz w:val="24"/>
        </w:rPr>
        <w:t>and</w:t>
      </w:r>
      <w:r>
        <w:rPr>
          <w:spacing w:val="-10"/>
          <w:sz w:val="24"/>
        </w:rPr>
        <w:t> </w:t>
      </w:r>
      <w:r>
        <w:rPr>
          <w:sz w:val="24"/>
        </w:rPr>
        <w:t>‗empire</w:t>
      </w:r>
      <w:r>
        <w:rPr>
          <w:spacing w:val="-11"/>
          <w:sz w:val="24"/>
        </w:rPr>
        <w:t> </w:t>
      </w:r>
      <w:r>
        <w:rPr>
          <w:spacing w:val="-2"/>
          <w:sz w:val="24"/>
        </w:rPr>
        <w:t>building‘;</w:t>
      </w:r>
    </w:p>
    <w:p>
      <w:pPr>
        <w:pStyle w:val="ListParagraph"/>
        <w:numPr>
          <w:ilvl w:val="0"/>
          <w:numId w:val="36"/>
        </w:numPr>
        <w:tabs>
          <w:tab w:pos="960" w:val="left" w:leader="none"/>
        </w:tabs>
        <w:spacing w:line="240" w:lineRule="auto" w:before="136" w:after="0"/>
        <w:ind w:left="960" w:right="0" w:hanging="360"/>
        <w:jc w:val="left"/>
        <w:rPr>
          <w:sz w:val="24"/>
        </w:rPr>
      </w:pPr>
      <w:r>
        <w:rPr>
          <w:sz w:val="24"/>
        </w:rPr>
        <w:t>Tends</w:t>
      </w:r>
      <w:r>
        <w:rPr>
          <w:spacing w:val="-1"/>
          <w:sz w:val="24"/>
        </w:rPr>
        <w:t> </w:t>
      </w:r>
      <w:r>
        <w:rPr>
          <w:sz w:val="24"/>
        </w:rPr>
        <w:t>to</w:t>
      </w:r>
      <w:r>
        <w:rPr>
          <w:spacing w:val="-1"/>
          <w:sz w:val="24"/>
        </w:rPr>
        <w:t> </w:t>
      </w:r>
      <w:r>
        <w:rPr>
          <w:sz w:val="24"/>
        </w:rPr>
        <w:t>be</w:t>
      </w:r>
      <w:r>
        <w:rPr>
          <w:spacing w:val="-2"/>
          <w:sz w:val="24"/>
        </w:rPr>
        <w:t> </w:t>
      </w:r>
      <w:r>
        <w:rPr>
          <w:sz w:val="24"/>
        </w:rPr>
        <w:t>reactive</w:t>
      </w:r>
      <w:r>
        <w:rPr>
          <w:spacing w:val="-2"/>
          <w:sz w:val="24"/>
        </w:rPr>
        <w:t> </w:t>
      </w:r>
      <w:r>
        <w:rPr>
          <w:sz w:val="24"/>
        </w:rPr>
        <w:t>rather</w:t>
      </w:r>
      <w:r>
        <w:rPr>
          <w:spacing w:val="-1"/>
          <w:sz w:val="24"/>
        </w:rPr>
        <w:t> </w:t>
      </w:r>
      <w:r>
        <w:rPr>
          <w:sz w:val="24"/>
        </w:rPr>
        <w:t>than</w:t>
      </w:r>
      <w:r>
        <w:rPr>
          <w:spacing w:val="-1"/>
          <w:sz w:val="24"/>
        </w:rPr>
        <w:t> </w:t>
      </w:r>
      <w:r>
        <w:rPr>
          <w:sz w:val="24"/>
        </w:rPr>
        <w:t>proactive,</w:t>
      </w:r>
      <w:r>
        <w:rPr>
          <w:spacing w:val="-1"/>
          <w:sz w:val="24"/>
        </w:rPr>
        <w:t> </w:t>
      </w:r>
      <w:r>
        <w:rPr>
          <w:spacing w:val="-5"/>
          <w:sz w:val="24"/>
        </w:rPr>
        <w:t>and</w:t>
      </w:r>
    </w:p>
    <w:p>
      <w:pPr>
        <w:pStyle w:val="ListParagraph"/>
        <w:numPr>
          <w:ilvl w:val="0"/>
          <w:numId w:val="36"/>
        </w:numPr>
        <w:tabs>
          <w:tab w:pos="958" w:val="left" w:leader="none"/>
        </w:tabs>
        <w:spacing w:line="240" w:lineRule="auto" w:before="140" w:after="0"/>
        <w:ind w:left="958" w:right="0" w:hanging="358"/>
        <w:jc w:val="left"/>
        <w:rPr>
          <w:sz w:val="24"/>
        </w:rPr>
      </w:pPr>
      <w:r>
        <w:rPr>
          <w:sz w:val="24"/>
        </w:rPr>
        <w:t>Assumes</w:t>
      </w:r>
      <w:r>
        <w:rPr>
          <w:spacing w:val="-1"/>
          <w:sz w:val="24"/>
        </w:rPr>
        <w:t> </w:t>
      </w:r>
      <w:r>
        <w:rPr>
          <w:sz w:val="24"/>
        </w:rPr>
        <w:t>existing</w:t>
      </w:r>
      <w:r>
        <w:rPr>
          <w:spacing w:val="-3"/>
          <w:sz w:val="24"/>
        </w:rPr>
        <w:t> </w:t>
      </w:r>
      <w:r>
        <w:rPr>
          <w:sz w:val="24"/>
        </w:rPr>
        <w:t>budgets</w:t>
      </w:r>
      <w:r>
        <w:rPr>
          <w:spacing w:val="-1"/>
          <w:sz w:val="24"/>
        </w:rPr>
        <w:t> </w:t>
      </w:r>
      <w:r>
        <w:rPr>
          <w:sz w:val="24"/>
        </w:rPr>
        <w:t>are</w:t>
      </w:r>
      <w:r>
        <w:rPr>
          <w:spacing w:val="-2"/>
          <w:sz w:val="24"/>
        </w:rPr>
        <w:t> </w:t>
      </w:r>
      <w:r>
        <w:rPr>
          <w:sz w:val="24"/>
        </w:rPr>
        <w:t>relevant</w:t>
      </w:r>
      <w:r>
        <w:rPr>
          <w:spacing w:val="-1"/>
          <w:sz w:val="24"/>
        </w:rPr>
        <w:t> </w:t>
      </w:r>
      <w:r>
        <w:rPr>
          <w:sz w:val="24"/>
        </w:rPr>
        <w:t>and</w:t>
      </w:r>
      <w:r>
        <w:rPr>
          <w:spacing w:val="-1"/>
          <w:sz w:val="24"/>
        </w:rPr>
        <w:t> </w:t>
      </w:r>
      <w:r>
        <w:rPr>
          <w:spacing w:val="-2"/>
          <w:sz w:val="24"/>
        </w:rPr>
        <w:t>satisfactory.</w:t>
      </w:r>
    </w:p>
    <w:p>
      <w:pPr>
        <w:pStyle w:val="BodyText"/>
      </w:pPr>
    </w:p>
    <w:p>
      <w:pPr>
        <w:pStyle w:val="BodyText"/>
        <w:spacing w:before="142"/>
      </w:pPr>
    </w:p>
    <w:p>
      <w:pPr>
        <w:pStyle w:val="Heading4"/>
        <w:numPr>
          <w:ilvl w:val="0"/>
          <w:numId w:val="35"/>
        </w:numPr>
        <w:tabs>
          <w:tab w:pos="593" w:val="left" w:leader="none"/>
        </w:tabs>
        <w:spacing w:line="240" w:lineRule="auto" w:before="0" w:after="0"/>
        <w:ind w:left="593" w:right="0" w:hanging="353"/>
        <w:jc w:val="both"/>
      </w:pPr>
      <w:r>
        <w:rPr/>
        <w:t>Zero-</w:t>
      </w:r>
      <w:r>
        <w:rPr>
          <w:spacing w:val="-5"/>
        </w:rPr>
        <w:t> </w:t>
      </w:r>
      <w:r>
        <w:rPr/>
        <w:t>base</w:t>
      </w:r>
      <w:r>
        <w:rPr>
          <w:spacing w:val="-1"/>
        </w:rPr>
        <w:t> </w:t>
      </w:r>
      <w:r>
        <w:rPr>
          <w:spacing w:val="-2"/>
        </w:rPr>
        <w:t>Budgeting</w:t>
      </w:r>
    </w:p>
    <w:p>
      <w:pPr>
        <w:pStyle w:val="BodyText"/>
        <w:spacing w:line="360" w:lineRule="auto" w:before="134"/>
        <w:ind w:left="240" w:right="837"/>
        <w:jc w:val="both"/>
      </w:pPr>
      <w:r>
        <w:rPr/>
        <w:t>Zero-base budgeting (ZBB) is a rational budgeting technique, which was first introduced in Georgia in 1972 and subsequently to the federal government of the USA in 1976, by President Carter</w:t>
      </w:r>
      <w:r>
        <w:rPr>
          <w:spacing w:val="-4"/>
        </w:rPr>
        <w:t> </w:t>
      </w:r>
      <w:r>
        <w:rPr/>
        <w:t>(Phyrr,</w:t>
      </w:r>
      <w:r>
        <w:rPr>
          <w:spacing w:val="-2"/>
        </w:rPr>
        <w:t> </w:t>
      </w:r>
      <w:r>
        <w:rPr/>
        <w:t>1970;</w:t>
      </w:r>
      <w:r>
        <w:rPr>
          <w:spacing w:val="-4"/>
        </w:rPr>
        <w:t> </w:t>
      </w:r>
      <w:r>
        <w:rPr/>
        <w:t>Griesemer,</w:t>
      </w:r>
      <w:r>
        <w:rPr>
          <w:spacing w:val="-4"/>
        </w:rPr>
        <w:t> </w:t>
      </w:r>
      <w:r>
        <w:rPr/>
        <w:t>1983).</w:t>
      </w:r>
      <w:r>
        <w:rPr>
          <w:spacing w:val="40"/>
        </w:rPr>
        <w:t> </w:t>
      </w:r>
      <w:r>
        <w:rPr/>
        <w:t>Okoye</w:t>
      </w:r>
      <w:r>
        <w:rPr>
          <w:spacing w:val="-4"/>
        </w:rPr>
        <w:t> </w:t>
      </w:r>
      <w:r>
        <w:rPr/>
        <w:t>(1997);</w:t>
      </w:r>
      <w:r>
        <w:rPr>
          <w:spacing w:val="-4"/>
        </w:rPr>
        <w:t> </w:t>
      </w:r>
      <w:r>
        <w:rPr/>
        <w:t>Ekwealor</w:t>
      </w:r>
      <w:r>
        <w:rPr>
          <w:spacing w:val="-3"/>
        </w:rPr>
        <w:t> </w:t>
      </w:r>
      <w:r>
        <w:rPr/>
        <w:t>(2007)</w:t>
      </w:r>
      <w:r>
        <w:rPr>
          <w:spacing w:val="-3"/>
        </w:rPr>
        <w:t> </w:t>
      </w:r>
      <w:r>
        <w:rPr/>
        <w:t>and</w:t>
      </w:r>
      <w:r>
        <w:rPr>
          <w:spacing w:val="-4"/>
        </w:rPr>
        <w:t> </w:t>
      </w:r>
      <w:r>
        <w:rPr/>
        <w:t>Ugwu</w:t>
      </w:r>
      <w:r>
        <w:rPr>
          <w:spacing w:val="-4"/>
        </w:rPr>
        <w:t> </w:t>
      </w:r>
      <w:r>
        <w:rPr/>
        <w:t>(2006)</w:t>
      </w:r>
      <w:r>
        <w:rPr>
          <w:spacing w:val="-4"/>
        </w:rPr>
        <w:t> </w:t>
      </w:r>
      <w:r>
        <w:rPr/>
        <w:t>define a ZBB as one based on the goals and activities of the present year. The technique has nothing to do with the previous year‘s activities. Hence, it is regarded as the direct opposite of the incremental budget. Similarly, Obikeze and Obi (2004) and Muhammed (2009) stress</w:t>
      </w:r>
      <w:r>
        <w:rPr>
          <w:spacing w:val="40"/>
        </w:rPr>
        <w:t> </w:t>
      </w:r>
      <w:r>
        <w:rPr/>
        <w:t>that this method of budgeting starts from zero level or fresh, rather than merely adding or subtracting</w:t>
      </w:r>
      <w:r>
        <w:rPr>
          <w:spacing w:val="40"/>
        </w:rPr>
        <w:t> </w:t>
      </w:r>
      <w:r>
        <w:rPr/>
        <w:t>from previous budget. This is a budgeting process which requires the budgeter to justify his</w:t>
      </w:r>
      <w:r>
        <w:rPr>
          <w:spacing w:val="40"/>
        </w:rPr>
        <w:t> </w:t>
      </w:r>
      <w:r>
        <w:rPr/>
        <w:t>entire budget from scratch.</w:t>
      </w:r>
    </w:p>
    <w:p>
      <w:pPr>
        <w:pStyle w:val="BodyText"/>
        <w:spacing w:before="139"/>
      </w:pPr>
    </w:p>
    <w:p>
      <w:pPr>
        <w:pStyle w:val="BodyText"/>
        <w:spacing w:line="360" w:lineRule="auto"/>
        <w:ind w:left="240" w:right="835"/>
        <w:jc w:val="both"/>
      </w:pPr>
      <w:r>
        <w:rPr/>
        <w:t>ZBB essentially utilizes the programme structure as a framework for making decisions and the concept</w:t>
      </w:r>
      <w:r>
        <w:rPr>
          <w:spacing w:val="-1"/>
        </w:rPr>
        <w:t> </w:t>
      </w:r>
      <w:r>
        <w:rPr/>
        <w:t>behind</w:t>
      </w:r>
      <w:r>
        <w:rPr>
          <w:spacing w:val="-1"/>
        </w:rPr>
        <w:t> </w:t>
      </w:r>
      <w:r>
        <w:rPr/>
        <w:t>this</w:t>
      </w:r>
      <w:r>
        <w:rPr>
          <w:spacing w:val="-1"/>
        </w:rPr>
        <w:t> </w:t>
      </w:r>
      <w:r>
        <w:rPr/>
        <w:t>technique</w:t>
      </w:r>
      <w:r>
        <w:rPr>
          <w:spacing w:val="-2"/>
        </w:rPr>
        <w:t> </w:t>
      </w:r>
      <w:r>
        <w:rPr/>
        <w:t>is</w:t>
      </w:r>
      <w:r>
        <w:rPr>
          <w:spacing w:val="-1"/>
        </w:rPr>
        <w:t> </w:t>
      </w:r>
      <w:r>
        <w:rPr/>
        <w:t>that</w:t>
      </w:r>
      <w:r>
        <w:rPr>
          <w:spacing w:val="-1"/>
        </w:rPr>
        <w:t> </w:t>
      </w:r>
      <w:r>
        <w:rPr/>
        <w:t>existing</w:t>
      </w:r>
      <w:r>
        <w:rPr>
          <w:spacing w:val="-3"/>
        </w:rPr>
        <w:t> </w:t>
      </w:r>
      <w:r>
        <w:rPr/>
        <w:t>programs</w:t>
      </w:r>
      <w:r>
        <w:rPr>
          <w:spacing w:val="-1"/>
        </w:rPr>
        <w:t> </w:t>
      </w:r>
      <w:r>
        <w:rPr/>
        <w:t>and</w:t>
      </w:r>
      <w:r>
        <w:rPr>
          <w:spacing w:val="-1"/>
        </w:rPr>
        <w:t> </w:t>
      </w:r>
      <w:r>
        <w:rPr/>
        <w:t>activities</w:t>
      </w:r>
      <w:r>
        <w:rPr>
          <w:spacing w:val="-2"/>
        </w:rPr>
        <w:t> </w:t>
      </w:r>
      <w:r>
        <w:rPr/>
        <w:t>should</w:t>
      </w:r>
      <w:r>
        <w:rPr>
          <w:spacing w:val="-1"/>
        </w:rPr>
        <w:t> </w:t>
      </w:r>
      <w:r>
        <w:rPr/>
        <w:t>not</w:t>
      </w:r>
      <w:r>
        <w:rPr>
          <w:spacing w:val="-1"/>
        </w:rPr>
        <w:t> </w:t>
      </w:r>
      <w:r>
        <w:rPr/>
        <w:t>automatically</w:t>
      </w:r>
      <w:r>
        <w:rPr>
          <w:spacing w:val="-8"/>
        </w:rPr>
        <w:t> </w:t>
      </w:r>
      <w:r>
        <w:rPr/>
        <w:t>be funded, but rather should have to justify their continuation as part of the annual budget cycle. Each program or project is thus vulnerable to zero funding. In its pure form, zero-based budgeting prepares budget estimates starting from zero. It disregards what was allocated and spent in the previous financial year, in other words, a program expires after a certain time unless specifically renewed. It assumes all projects are new (Edwards, 1945; Austin and Cheek, 1979). Budget from zero entails allocating resources without taking the previous year into account. It means each expenditure objective has to be justified on an annual basis. According to Ekwealor (2007)</w:t>
      </w:r>
      <w:r>
        <w:rPr>
          <w:spacing w:val="-2"/>
        </w:rPr>
        <w:t> </w:t>
      </w:r>
      <w:r>
        <w:rPr/>
        <w:t>and Ugoo (2008), ZBB</w:t>
      </w:r>
      <w:r>
        <w:rPr>
          <w:spacing w:val="-2"/>
        </w:rPr>
        <w:t> </w:t>
      </w:r>
      <w:r>
        <w:rPr/>
        <w:t>process is</w:t>
      </w:r>
      <w:r>
        <w:rPr>
          <w:spacing w:val="-1"/>
        </w:rPr>
        <w:t> </w:t>
      </w:r>
      <w:r>
        <w:rPr/>
        <w:t>interested</w:t>
      </w:r>
      <w:r>
        <w:rPr>
          <w:spacing w:val="-1"/>
        </w:rPr>
        <w:t> </w:t>
      </w:r>
      <w:r>
        <w:rPr/>
        <w:t>in</w:t>
      </w:r>
      <w:r>
        <w:rPr>
          <w:spacing w:val="-1"/>
        </w:rPr>
        <w:t> </w:t>
      </w:r>
      <w:r>
        <w:rPr/>
        <w:t>addressing</w:t>
      </w:r>
      <w:r>
        <w:rPr>
          <w:spacing w:val="-1"/>
        </w:rPr>
        <w:t> </w:t>
      </w:r>
      <w:r>
        <w:rPr/>
        <w:t>the following</w:t>
      </w:r>
      <w:r>
        <w:rPr>
          <w:spacing w:val="-2"/>
        </w:rPr>
        <w:t> </w:t>
      </w:r>
      <w:r>
        <w:rPr/>
        <w:t>questions: (a)</w:t>
      </w:r>
      <w:r>
        <w:rPr>
          <w:spacing w:val="-2"/>
        </w:rPr>
        <w:t> </w:t>
      </w:r>
      <w:r>
        <w:rPr/>
        <w:t>are the current activities efficient and effective? and (b)should current activities be eliminated or reduced to fund higher priority new programmes</w:t>
      </w:r>
    </w:p>
    <w:p>
      <w:pPr>
        <w:spacing w:after="0" w:line="360" w:lineRule="auto"/>
        <w:jc w:val="both"/>
        <w:sectPr>
          <w:pgSz w:w="12240" w:h="15840"/>
          <w:pgMar w:header="0" w:footer="1036" w:top="1360" w:bottom="1220" w:left="1200" w:right="600"/>
        </w:sectPr>
      </w:pPr>
    </w:p>
    <w:p>
      <w:pPr>
        <w:pStyle w:val="BodyText"/>
        <w:spacing w:line="360" w:lineRule="auto" w:before="60"/>
        <w:ind w:left="240" w:right="842"/>
        <w:jc w:val="both"/>
      </w:pPr>
      <w:r>
        <w:rPr/>
        <w:t>According</w:t>
      </w:r>
      <w:r>
        <w:rPr>
          <w:spacing w:val="-2"/>
        </w:rPr>
        <w:t> </w:t>
      </w:r>
      <w:r>
        <w:rPr/>
        <w:t>to Ekwealor (2007), ZBB</w:t>
      </w:r>
      <w:r>
        <w:rPr>
          <w:spacing w:val="-1"/>
        </w:rPr>
        <w:t> </w:t>
      </w:r>
      <w:r>
        <w:rPr/>
        <w:t>involves identifying</w:t>
      </w:r>
      <w:r>
        <w:rPr>
          <w:spacing w:val="-2"/>
        </w:rPr>
        <w:t> </w:t>
      </w:r>
      <w:r>
        <w:rPr/>
        <w:t>decision units, analyzing each decision unit in ‗decision package‘, evaluating and ranking all decision packages to develop the appropriations request and finally, preparing the detailed operating budgets reflecting those decision packages approved in the budget appropriation.</w:t>
      </w:r>
    </w:p>
    <w:p>
      <w:pPr>
        <w:pStyle w:val="BodyText"/>
        <w:spacing w:before="139"/>
      </w:pPr>
    </w:p>
    <w:p>
      <w:pPr>
        <w:pStyle w:val="BodyText"/>
        <w:spacing w:line="360" w:lineRule="auto"/>
        <w:ind w:left="240" w:right="842"/>
        <w:jc w:val="both"/>
      </w:pPr>
      <w:r>
        <w:rPr/>
        <w:t>The advantages that accrue from employing the ZBB, as the Northern Ireland Assembly (NIA)(2010) and Ekwealor (2007) assert, are as follows:</w:t>
      </w:r>
    </w:p>
    <w:p>
      <w:pPr>
        <w:pStyle w:val="ListParagraph"/>
        <w:numPr>
          <w:ilvl w:val="0"/>
          <w:numId w:val="37"/>
        </w:numPr>
        <w:tabs>
          <w:tab w:pos="957" w:val="left" w:leader="none"/>
          <w:tab w:pos="960" w:val="left" w:leader="none"/>
        </w:tabs>
        <w:spacing w:line="360" w:lineRule="auto" w:before="0" w:after="0"/>
        <w:ind w:left="960" w:right="842" w:hanging="488"/>
        <w:jc w:val="both"/>
        <w:rPr>
          <w:sz w:val="24"/>
        </w:rPr>
      </w:pPr>
      <w:r>
        <w:rPr>
          <w:sz w:val="24"/>
        </w:rPr>
        <w:t>Efficient allocation of resources: This is because resources are allocated to sectors not as</w:t>
      </w:r>
      <w:r>
        <w:rPr>
          <w:spacing w:val="40"/>
          <w:sz w:val="24"/>
        </w:rPr>
        <w:t> </w:t>
      </w:r>
      <w:r>
        <w:rPr>
          <w:sz w:val="24"/>
        </w:rPr>
        <w:t>a matter of routine, but on the basis of importance or usefulness of the programme to the overall objective of the year‘s budget;</w:t>
      </w:r>
    </w:p>
    <w:p>
      <w:pPr>
        <w:pStyle w:val="ListParagraph"/>
        <w:numPr>
          <w:ilvl w:val="0"/>
          <w:numId w:val="37"/>
        </w:numPr>
        <w:tabs>
          <w:tab w:pos="958" w:val="left" w:leader="none"/>
          <w:tab w:pos="960" w:val="left" w:leader="none"/>
        </w:tabs>
        <w:spacing w:line="360" w:lineRule="auto" w:before="0" w:after="0"/>
        <w:ind w:left="960" w:right="841" w:hanging="555"/>
        <w:jc w:val="both"/>
        <w:rPr>
          <w:sz w:val="24"/>
        </w:rPr>
      </w:pPr>
      <w:r>
        <w:rPr>
          <w:sz w:val="24"/>
        </w:rPr>
        <w:t>Reduction of waste in government spending. The annual review of programmes helps the government to terminate or modify programmes that are not performing well. It also makes programme managers to sit up and</w:t>
      </w:r>
    </w:p>
    <w:p>
      <w:pPr>
        <w:pStyle w:val="ListParagraph"/>
        <w:numPr>
          <w:ilvl w:val="0"/>
          <w:numId w:val="37"/>
        </w:numPr>
        <w:tabs>
          <w:tab w:pos="957" w:val="left" w:leader="none"/>
          <w:tab w:pos="960" w:val="left" w:leader="none"/>
        </w:tabs>
        <w:spacing w:line="360" w:lineRule="auto" w:before="1" w:after="0"/>
        <w:ind w:left="960" w:right="833" w:hanging="620"/>
        <w:jc w:val="both"/>
        <w:rPr>
          <w:sz w:val="24"/>
        </w:rPr>
      </w:pPr>
      <w:r>
        <w:rPr>
          <w:sz w:val="24"/>
        </w:rPr>
        <w:t>It incorporates planning, policymaking and performance evaluation into the budgetary process, thereby leading to better planning, decision making and ultimately better management of government programmes.</w:t>
      </w:r>
    </w:p>
    <w:p>
      <w:pPr>
        <w:pStyle w:val="BodyText"/>
        <w:spacing w:before="139"/>
      </w:pPr>
    </w:p>
    <w:p>
      <w:pPr>
        <w:pStyle w:val="BodyText"/>
        <w:ind w:left="240"/>
        <w:jc w:val="both"/>
      </w:pPr>
      <w:r>
        <w:rPr/>
        <w:t>The</w:t>
      </w:r>
      <w:r>
        <w:rPr>
          <w:spacing w:val="-3"/>
        </w:rPr>
        <w:t> </w:t>
      </w:r>
      <w:r>
        <w:rPr/>
        <w:t>demerits</w:t>
      </w:r>
      <w:r>
        <w:rPr>
          <w:spacing w:val="-1"/>
        </w:rPr>
        <w:t> </w:t>
      </w:r>
      <w:r>
        <w:rPr/>
        <w:t>of</w:t>
      </w:r>
      <w:r>
        <w:rPr>
          <w:spacing w:val="-1"/>
        </w:rPr>
        <w:t> </w:t>
      </w:r>
      <w:r>
        <w:rPr/>
        <w:t>this</w:t>
      </w:r>
      <w:r>
        <w:rPr>
          <w:spacing w:val="-1"/>
        </w:rPr>
        <w:t> </w:t>
      </w:r>
      <w:r>
        <w:rPr/>
        <w:t>type of</w:t>
      </w:r>
      <w:r>
        <w:rPr>
          <w:spacing w:val="-1"/>
        </w:rPr>
        <w:t> </w:t>
      </w:r>
      <w:r>
        <w:rPr/>
        <w:t>budgeting</w:t>
      </w:r>
      <w:r>
        <w:rPr>
          <w:spacing w:val="-1"/>
        </w:rPr>
        <w:t> </w:t>
      </w:r>
      <w:r>
        <w:rPr>
          <w:spacing w:val="-4"/>
        </w:rPr>
        <w:t>are:</w:t>
      </w:r>
    </w:p>
    <w:p>
      <w:pPr>
        <w:pStyle w:val="ListParagraph"/>
        <w:numPr>
          <w:ilvl w:val="0"/>
          <w:numId w:val="38"/>
        </w:numPr>
        <w:tabs>
          <w:tab w:pos="957" w:val="left" w:leader="none"/>
          <w:tab w:pos="960" w:val="left" w:leader="none"/>
        </w:tabs>
        <w:spacing w:line="360" w:lineRule="auto" w:before="137" w:after="0"/>
        <w:ind w:left="960" w:right="841" w:hanging="488"/>
        <w:jc w:val="both"/>
        <w:rPr>
          <w:sz w:val="24"/>
        </w:rPr>
      </w:pPr>
      <w:r>
        <w:rPr>
          <w:sz w:val="24"/>
        </w:rPr>
        <w:t>Managers feel</w:t>
      </w:r>
      <w:r>
        <w:rPr>
          <w:spacing w:val="-1"/>
          <w:sz w:val="24"/>
        </w:rPr>
        <w:t> </w:t>
      </w:r>
      <w:r>
        <w:rPr>
          <w:sz w:val="24"/>
        </w:rPr>
        <w:t>threatened as a</w:t>
      </w:r>
      <w:r>
        <w:rPr>
          <w:spacing w:val="-2"/>
          <w:sz w:val="24"/>
        </w:rPr>
        <w:t> </w:t>
      </w:r>
      <w:r>
        <w:rPr>
          <w:sz w:val="24"/>
        </w:rPr>
        <w:t>result of effective evaluation</w:t>
      </w:r>
      <w:r>
        <w:rPr>
          <w:spacing w:val="-1"/>
          <w:sz w:val="24"/>
        </w:rPr>
        <w:t> </w:t>
      </w:r>
      <w:r>
        <w:rPr>
          <w:sz w:val="24"/>
        </w:rPr>
        <w:t>of</w:t>
      </w:r>
      <w:r>
        <w:rPr>
          <w:spacing w:val="-2"/>
          <w:sz w:val="24"/>
        </w:rPr>
        <w:t> </w:t>
      </w:r>
      <w:r>
        <w:rPr>
          <w:sz w:val="24"/>
        </w:rPr>
        <w:t>their</w:t>
      </w:r>
      <w:r>
        <w:rPr>
          <w:spacing w:val="-2"/>
          <w:sz w:val="24"/>
        </w:rPr>
        <w:t> </w:t>
      </w:r>
      <w:r>
        <w:rPr>
          <w:sz w:val="24"/>
        </w:rPr>
        <w:t>programmes. It seems like a trial on their part and if they</w:t>
      </w:r>
      <w:r>
        <w:rPr>
          <w:spacing w:val="-3"/>
          <w:sz w:val="24"/>
        </w:rPr>
        <w:t> </w:t>
      </w:r>
      <w:r>
        <w:rPr>
          <w:sz w:val="24"/>
        </w:rPr>
        <w:t>are not able to manage their programmes properly</w:t>
      </w:r>
      <w:r>
        <w:rPr>
          <w:spacing w:val="-3"/>
          <w:sz w:val="24"/>
        </w:rPr>
        <w:t> </w:t>
      </w:r>
      <w:r>
        <w:rPr>
          <w:sz w:val="24"/>
        </w:rPr>
        <w:t>and defend them, the programmes could be scrapped;</w:t>
      </w:r>
    </w:p>
    <w:p>
      <w:pPr>
        <w:pStyle w:val="ListParagraph"/>
        <w:numPr>
          <w:ilvl w:val="0"/>
          <w:numId w:val="38"/>
        </w:numPr>
        <w:tabs>
          <w:tab w:pos="958" w:val="left" w:leader="none"/>
          <w:tab w:pos="960" w:val="left" w:leader="none"/>
        </w:tabs>
        <w:spacing w:line="360" w:lineRule="auto" w:before="1" w:after="0"/>
        <w:ind w:left="960" w:right="846" w:hanging="555"/>
        <w:jc w:val="both"/>
        <w:rPr>
          <w:sz w:val="24"/>
        </w:rPr>
      </w:pPr>
      <w:r>
        <w:rPr>
          <w:sz w:val="24"/>
        </w:rPr>
        <w:t>It requires a great deal of effective administration, communication and training of managers who will be involved in the analysis and</w:t>
      </w:r>
    </w:p>
    <w:p>
      <w:pPr>
        <w:pStyle w:val="ListParagraph"/>
        <w:numPr>
          <w:ilvl w:val="0"/>
          <w:numId w:val="38"/>
        </w:numPr>
        <w:tabs>
          <w:tab w:pos="957" w:val="left" w:leader="none"/>
          <w:tab w:pos="960" w:val="left" w:leader="none"/>
        </w:tabs>
        <w:spacing w:line="360" w:lineRule="auto" w:before="0" w:after="0"/>
        <w:ind w:left="960" w:right="843" w:hanging="620"/>
        <w:jc w:val="both"/>
        <w:rPr>
          <w:sz w:val="24"/>
        </w:rPr>
      </w:pPr>
      <w:r>
        <w:rPr>
          <w:sz w:val="24"/>
        </w:rPr>
        <w:t>It is rigorous to adopt because of identifying appropriate decision units, developing adequate data to produce an effective analysis. The contents if some programmes are not well defined which makes analysis less than perfect.</w:t>
      </w:r>
    </w:p>
    <w:p>
      <w:pPr>
        <w:pStyle w:val="BodyText"/>
        <w:spacing w:before="38"/>
      </w:pPr>
    </w:p>
    <w:p>
      <w:pPr>
        <w:pStyle w:val="Heading4"/>
        <w:numPr>
          <w:ilvl w:val="0"/>
          <w:numId w:val="35"/>
        </w:numPr>
        <w:tabs>
          <w:tab w:pos="565" w:val="left" w:leader="none"/>
        </w:tabs>
        <w:spacing w:line="240" w:lineRule="auto" w:before="0" w:after="0"/>
        <w:ind w:left="565" w:right="0" w:hanging="325"/>
        <w:jc w:val="both"/>
      </w:pPr>
      <w:r>
        <w:rPr/>
        <w:t>Performance</w:t>
      </w:r>
      <w:r>
        <w:rPr>
          <w:spacing w:val="-7"/>
        </w:rPr>
        <w:t> </w:t>
      </w:r>
      <w:r>
        <w:rPr>
          <w:spacing w:val="-2"/>
        </w:rPr>
        <w:t>Budgeting</w:t>
      </w:r>
    </w:p>
    <w:p>
      <w:pPr>
        <w:pStyle w:val="BodyText"/>
        <w:spacing w:line="360" w:lineRule="auto" w:before="134"/>
        <w:ind w:left="240" w:right="841"/>
        <w:jc w:val="both"/>
      </w:pPr>
      <w:r>
        <w:rPr/>
        <w:t>According to Ekwealor (2007), this method of budgeting originated in the USA in the 1930s and recommended by the Hoover Commission of 1949. The essential nature of this budgeting technique</w:t>
      </w:r>
      <w:r>
        <w:rPr>
          <w:spacing w:val="35"/>
        </w:rPr>
        <w:t> </w:t>
      </w:r>
      <w:r>
        <w:rPr/>
        <w:t>is</w:t>
      </w:r>
      <w:r>
        <w:rPr>
          <w:spacing w:val="38"/>
        </w:rPr>
        <w:t> </w:t>
      </w:r>
      <w:r>
        <w:rPr/>
        <w:t>that</w:t>
      </w:r>
      <w:r>
        <w:rPr>
          <w:spacing w:val="40"/>
        </w:rPr>
        <w:t> </w:t>
      </w:r>
      <w:r>
        <w:rPr/>
        <w:t>the</w:t>
      </w:r>
      <w:r>
        <w:rPr>
          <w:spacing w:val="37"/>
        </w:rPr>
        <w:t> </w:t>
      </w:r>
      <w:r>
        <w:rPr/>
        <w:t>whole</w:t>
      </w:r>
      <w:r>
        <w:rPr>
          <w:spacing w:val="37"/>
        </w:rPr>
        <w:t> </w:t>
      </w:r>
      <w:r>
        <w:rPr/>
        <w:t>budgetary</w:t>
      </w:r>
      <w:r>
        <w:rPr>
          <w:spacing w:val="35"/>
        </w:rPr>
        <w:t> </w:t>
      </w:r>
      <w:r>
        <w:rPr/>
        <w:t>concept</w:t>
      </w:r>
      <w:r>
        <w:rPr>
          <w:spacing w:val="38"/>
        </w:rPr>
        <w:t> </w:t>
      </w:r>
      <w:r>
        <w:rPr/>
        <w:t>of</w:t>
      </w:r>
      <w:r>
        <w:rPr>
          <w:spacing w:val="37"/>
        </w:rPr>
        <w:t> </w:t>
      </w:r>
      <w:r>
        <w:rPr/>
        <w:t>the</w:t>
      </w:r>
      <w:r>
        <w:rPr>
          <w:spacing w:val="40"/>
        </w:rPr>
        <w:t> </w:t>
      </w:r>
      <w:r>
        <w:rPr/>
        <w:t>federal</w:t>
      </w:r>
      <w:r>
        <w:rPr>
          <w:spacing w:val="41"/>
        </w:rPr>
        <w:t> </w:t>
      </w:r>
      <w:r>
        <w:rPr/>
        <w:t>government</w:t>
      </w:r>
      <w:r>
        <w:rPr>
          <w:spacing w:val="38"/>
        </w:rPr>
        <w:t> </w:t>
      </w:r>
      <w:r>
        <w:rPr/>
        <w:t>is</w:t>
      </w:r>
      <w:r>
        <w:rPr>
          <w:spacing w:val="38"/>
        </w:rPr>
        <w:t> </w:t>
      </w:r>
      <w:r>
        <w:rPr/>
        <w:t>fashioned</w:t>
      </w:r>
      <w:r>
        <w:rPr>
          <w:spacing w:val="38"/>
        </w:rPr>
        <w:t> </w:t>
      </w:r>
      <w:r>
        <w:rPr/>
        <w:t>by</w:t>
      </w:r>
      <w:r>
        <w:rPr>
          <w:spacing w:val="35"/>
        </w:rPr>
        <w:t> </w:t>
      </w:r>
      <w:r>
        <w:rPr>
          <w:spacing w:val="-5"/>
        </w:rPr>
        <w:t>the</w:t>
      </w:r>
    </w:p>
    <w:p>
      <w:pPr>
        <w:spacing w:after="0" w:line="360" w:lineRule="auto"/>
        <w:jc w:val="both"/>
        <w:sectPr>
          <w:pgSz w:w="12240" w:h="15840"/>
          <w:pgMar w:header="0" w:footer="1036" w:top="1600" w:bottom="1220" w:left="1200" w:right="600"/>
        </w:sectPr>
      </w:pPr>
    </w:p>
    <w:p>
      <w:pPr>
        <w:pStyle w:val="BodyText"/>
        <w:spacing w:line="360" w:lineRule="auto" w:before="74"/>
        <w:ind w:left="240" w:right="845"/>
        <w:jc w:val="both"/>
      </w:pPr>
      <w:r>
        <w:rPr/>
        <w:t>adoption of a budgeting based upon functions, activities and projects‖ The focus is essentially</w:t>
      </w:r>
      <w:r>
        <w:rPr>
          <w:spacing w:val="-1"/>
        </w:rPr>
        <w:t> </w:t>
      </w:r>
      <w:r>
        <w:rPr/>
        <w:t>on functional costing and work measurement. Decisions based on this method of budgeting relate costs to budgeted performance (budgeting control).</w:t>
      </w:r>
    </w:p>
    <w:p>
      <w:pPr>
        <w:pStyle w:val="BodyText"/>
        <w:spacing w:before="35"/>
      </w:pPr>
    </w:p>
    <w:p>
      <w:pPr>
        <w:pStyle w:val="BodyText"/>
        <w:spacing w:line="360" w:lineRule="auto"/>
        <w:ind w:left="240" w:right="838"/>
        <w:jc w:val="both"/>
      </w:pPr>
      <w:r>
        <w:rPr/>
        <w:t>In the view of the Andrews (2004); CIPFA (2009), the main aim of this approach is to connect performance information with the allocation and management of resources. Performance-based budgets need to contain information on the following elements:</w:t>
      </w:r>
    </w:p>
    <w:p>
      <w:pPr>
        <w:pStyle w:val="ListParagraph"/>
        <w:numPr>
          <w:ilvl w:val="0"/>
          <w:numId w:val="39"/>
        </w:numPr>
        <w:tabs>
          <w:tab w:pos="958" w:val="left" w:leader="none"/>
        </w:tabs>
        <w:spacing w:line="275" w:lineRule="exact" w:before="0" w:after="0"/>
        <w:ind w:left="958" w:right="0" w:hanging="485"/>
        <w:jc w:val="both"/>
        <w:rPr>
          <w:sz w:val="24"/>
        </w:rPr>
      </w:pPr>
      <w:r>
        <w:rPr>
          <w:sz w:val="24"/>
        </w:rPr>
        <w:t>inputs (measured in monetary</w:t>
      </w:r>
      <w:r>
        <w:rPr>
          <w:spacing w:val="-5"/>
          <w:sz w:val="24"/>
        </w:rPr>
        <w:t> </w:t>
      </w:r>
      <w:r>
        <w:rPr>
          <w:spacing w:val="-2"/>
          <w:sz w:val="24"/>
        </w:rPr>
        <w:t>terms);</w:t>
      </w:r>
    </w:p>
    <w:p>
      <w:pPr>
        <w:pStyle w:val="ListParagraph"/>
        <w:numPr>
          <w:ilvl w:val="0"/>
          <w:numId w:val="39"/>
        </w:numPr>
        <w:tabs>
          <w:tab w:pos="960" w:val="left" w:leader="none"/>
        </w:tabs>
        <w:spacing w:line="240" w:lineRule="auto" w:before="140" w:after="0"/>
        <w:ind w:left="960" w:right="0" w:hanging="554"/>
        <w:jc w:val="left"/>
        <w:rPr>
          <w:sz w:val="24"/>
        </w:rPr>
      </w:pPr>
      <w:r>
        <w:rPr>
          <w:sz w:val="24"/>
        </w:rPr>
        <w:t>outputs (units of </w:t>
      </w:r>
      <w:r>
        <w:rPr>
          <w:spacing w:val="-2"/>
          <w:sz w:val="24"/>
        </w:rPr>
        <w:t>output);</w:t>
      </w:r>
    </w:p>
    <w:p>
      <w:pPr>
        <w:pStyle w:val="ListParagraph"/>
        <w:numPr>
          <w:ilvl w:val="0"/>
          <w:numId w:val="39"/>
        </w:numPr>
        <w:tabs>
          <w:tab w:pos="960" w:val="left" w:leader="none"/>
        </w:tabs>
        <w:spacing w:line="240" w:lineRule="auto" w:before="137" w:after="0"/>
        <w:ind w:left="960" w:right="0" w:hanging="619"/>
        <w:jc w:val="left"/>
        <w:rPr>
          <w:sz w:val="24"/>
        </w:rPr>
      </w:pPr>
      <w:r>
        <w:rPr>
          <w:sz w:val="24"/>
        </w:rPr>
        <w:t>efficiency/productivity</w:t>
      </w:r>
      <w:r>
        <w:rPr>
          <w:spacing w:val="-7"/>
          <w:sz w:val="24"/>
        </w:rPr>
        <w:t> </w:t>
      </w:r>
      <w:r>
        <w:rPr>
          <w:sz w:val="24"/>
        </w:rPr>
        <w:t>data</w:t>
      </w:r>
      <w:r>
        <w:rPr>
          <w:spacing w:val="-1"/>
          <w:sz w:val="24"/>
        </w:rPr>
        <w:t> </w:t>
      </w:r>
      <w:r>
        <w:rPr>
          <w:sz w:val="24"/>
        </w:rPr>
        <w:t>(cost</w:t>
      </w:r>
      <w:r>
        <w:rPr>
          <w:spacing w:val="-2"/>
          <w:sz w:val="24"/>
        </w:rPr>
        <w:t> </w:t>
      </w:r>
      <w:r>
        <w:rPr>
          <w:sz w:val="24"/>
        </w:rPr>
        <w:t>per</w:t>
      </w:r>
      <w:r>
        <w:rPr>
          <w:spacing w:val="-1"/>
          <w:sz w:val="24"/>
        </w:rPr>
        <w:t> </w:t>
      </w:r>
      <w:r>
        <w:rPr>
          <w:sz w:val="24"/>
        </w:rPr>
        <w:t>activity)</w:t>
      </w:r>
      <w:r>
        <w:rPr>
          <w:spacing w:val="-1"/>
          <w:sz w:val="24"/>
        </w:rPr>
        <w:t> </w:t>
      </w:r>
      <w:r>
        <w:rPr>
          <w:spacing w:val="-5"/>
          <w:sz w:val="24"/>
        </w:rPr>
        <w:t>and</w:t>
      </w:r>
    </w:p>
    <w:p>
      <w:pPr>
        <w:pStyle w:val="ListParagraph"/>
        <w:numPr>
          <w:ilvl w:val="0"/>
          <w:numId w:val="39"/>
        </w:numPr>
        <w:tabs>
          <w:tab w:pos="960" w:val="left" w:leader="none"/>
        </w:tabs>
        <w:spacing w:line="240" w:lineRule="auto" w:before="139" w:after="0"/>
        <w:ind w:left="960" w:right="0" w:hanging="607"/>
        <w:jc w:val="left"/>
        <w:rPr>
          <w:sz w:val="24"/>
        </w:rPr>
      </w:pPr>
      <w:r>
        <w:rPr>
          <w:sz w:val="24"/>
        </w:rPr>
        <w:t>effectiveness</w:t>
      </w:r>
      <w:r>
        <w:rPr>
          <w:spacing w:val="-3"/>
          <w:sz w:val="24"/>
        </w:rPr>
        <w:t> </w:t>
      </w:r>
      <w:r>
        <w:rPr>
          <w:sz w:val="24"/>
        </w:rPr>
        <w:t>information</w:t>
      </w:r>
      <w:r>
        <w:rPr>
          <w:spacing w:val="-3"/>
          <w:sz w:val="24"/>
        </w:rPr>
        <w:t> </w:t>
      </w:r>
      <w:r>
        <w:rPr>
          <w:sz w:val="24"/>
        </w:rPr>
        <w:t>(level</w:t>
      </w:r>
      <w:r>
        <w:rPr>
          <w:spacing w:val="-2"/>
          <w:sz w:val="24"/>
        </w:rPr>
        <w:t> </w:t>
      </w:r>
      <w:r>
        <w:rPr>
          <w:sz w:val="24"/>
        </w:rPr>
        <w:t>of</w:t>
      </w:r>
      <w:r>
        <w:rPr>
          <w:spacing w:val="-2"/>
          <w:sz w:val="24"/>
        </w:rPr>
        <w:t> </w:t>
      </w:r>
      <w:r>
        <w:rPr>
          <w:sz w:val="24"/>
        </w:rPr>
        <w:t>goal </w:t>
      </w:r>
      <w:r>
        <w:rPr>
          <w:spacing w:val="-2"/>
          <w:sz w:val="24"/>
        </w:rPr>
        <w:t>achievement).</w:t>
      </w:r>
    </w:p>
    <w:p>
      <w:pPr>
        <w:pStyle w:val="BodyText"/>
      </w:pPr>
    </w:p>
    <w:p>
      <w:pPr>
        <w:pStyle w:val="BodyText"/>
      </w:pPr>
    </w:p>
    <w:p>
      <w:pPr>
        <w:pStyle w:val="BodyText"/>
        <w:spacing w:line="360" w:lineRule="auto"/>
        <w:ind w:left="240" w:right="840"/>
        <w:jc w:val="both"/>
      </w:pPr>
      <w:r>
        <w:rPr/>
        <w:t>Similar to zero-based budgeting, the performance-based approach begins at a policy level with the organisation developing goals and explicit policy objectives. Managers then must develop relevant performance measures which will track the achievement of these objectives.</w:t>
      </w:r>
    </w:p>
    <w:p>
      <w:pPr>
        <w:pStyle w:val="BodyText"/>
        <w:spacing w:line="360" w:lineRule="auto"/>
        <w:ind w:left="240" w:right="836"/>
        <w:jc w:val="both"/>
      </w:pPr>
      <w:r>
        <w:rPr/>
        <w:t>These performance objectives are then integrated with budget preparation to allow for the alignment of spending plans with performance reporting at the time the budget process is initiated. At the end of each budget period performance-based audits can be completed, which measure the results of programmes using the same performance measures produced in the budgeting process (CIPFA, 2009). A fundamental question however arises though: to what</w:t>
      </w:r>
      <w:r>
        <w:rPr>
          <w:spacing w:val="40"/>
        </w:rPr>
        <w:t> </w:t>
      </w:r>
      <w:r>
        <w:rPr/>
        <w:t>extent is performance information available? Secondly, is that performance information used at each stage of the budget decision-making</w:t>
      </w:r>
      <w:r>
        <w:rPr>
          <w:spacing w:val="-1"/>
        </w:rPr>
        <w:t> </w:t>
      </w:r>
      <w:r>
        <w:rPr/>
        <w:t>process (i.e. preparation, approval, execution and audit </w:t>
      </w:r>
      <w:r>
        <w:rPr>
          <w:spacing w:val="-2"/>
        </w:rPr>
        <w:t>evaluation)?</w:t>
      </w:r>
    </w:p>
    <w:p>
      <w:pPr>
        <w:pStyle w:val="BodyText"/>
        <w:spacing w:line="360" w:lineRule="auto" w:before="242"/>
        <w:ind w:left="240" w:right="840"/>
        <w:jc w:val="both"/>
      </w:pPr>
      <w:r>
        <w:rPr/>
        <w:t>According to Andrews (2004), performance budgeting is flavoured by figures and estimates, stressing programmes, activities and projects and its purpose is to focus on programmes and thereby enable analysts to compute per unit or per activity costs for each programme in order to determine how efficiently money was spent. Performance budgeting emphasizes more management orientation by seeking to bring more management supervision on the budget. However, it does not involve any long range and integrated planning with programme structure as target of performance.</w:t>
      </w:r>
    </w:p>
    <w:p>
      <w:pPr>
        <w:spacing w:after="0" w:line="360" w:lineRule="auto"/>
        <w:jc w:val="both"/>
        <w:sectPr>
          <w:pgSz w:w="12240" w:h="15840"/>
          <w:pgMar w:header="0" w:footer="1036" w:top="1360" w:bottom="1220" w:left="1200" w:right="600"/>
        </w:sectPr>
      </w:pPr>
    </w:p>
    <w:p>
      <w:pPr>
        <w:pStyle w:val="BodyText"/>
        <w:spacing w:line="360" w:lineRule="auto" w:before="74"/>
        <w:ind w:left="240" w:right="835"/>
        <w:jc w:val="both"/>
      </w:pPr>
      <w:r>
        <w:rPr/>
        <w:t>In a similar vein, Young (2003) states that a performance budget classifies expenditures by administrative units, by functions, and by items. It includes outputs as well as inputs to government activity. Administrative skills are emphasized; activities are given preference over item purchases; management responsibility is centralized. It involves: (i) formulation and adoption of a plan of activities and programs for a time period; (ii) funding, i.e. relating program costs and performance to resources; and (iii) execution, i.e. achievement of the plan within the time frame.</w:t>
      </w:r>
    </w:p>
    <w:p>
      <w:pPr>
        <w:pStyle w:val="BodyText"/>
        <w:spacing w:line="362" w:lineRule="auto" w:before="275"/>
        <w:ind w:left="240" w:right="842"/>
        <w:jc w:val="both"/>
      </w:pPr>
      <w:r>
        <w:rPr/>
        <w:t>The fundamental setbacks associated with performance budgeting according to Andrews (2004) are as follows:</w:t>
      </w:r>
    </w:p>
    <w:p>
      <w:pPr>
        <w:pStyle w:val="ListParagraph"/>
        <w:numPr>
          <w:ilvl w:val="0"/>
          <w:numId w:val="40"/>
        </w:numPr>
        <w:tabs>
          <w:tab w:pos="1005" w:val="left" w:leader="none"/>
          <w:tab w:pos="1008" w:val="left" w:leader="none"/>
        </w:tabs>
        <w:spacing w:line="360" w:lineRule="auto" w:before="0" w:after="0"/>
        <w:ind w:left="1008" w:right="839" w:hanging="488"/>
        <w:jc w:val="both"/>
        <w:rPr>
          <w:sz w:val="24"/>
        </w:rPr>
      </w:pPr>
      <w:r>
        <w:rPr>
          <w:sz w:val="24"/>
        </w:rPr>
        <w:t>Translating strategic goals and objectives into performance measures can be very difficult. In many public services, outcomes are difficult to measure and there is a tendency to fall back upon less appropriate output and input measures;</w:t>
      </w:r>
    </w:p>
    <w:p>
      <w:pPr>
        <w:pStyle w:val="ListParagraph"/>
        <w:numPr>
          <w:ilvl w:val="0"/>
          <w:numId w:val="40"/>
        </w:numPr>
        <w:tabs>
          <w:tab w:pos="1007" w:val="left" w:leader="none"/>
        </w:tabs>
        <w:spacing w:line="240" w:lineRule="auto" w:before="0" w:after="0"/>
        <w:ind w:left="1007" w:right="0" w:hanging="553"/>
        <w:jc w:val="both"/>
        <w:rPr>
          <w:sz w:val="24"/>
        </w:rPr>
      </w:pPr>
      <w:r>
        <w:rPr>
          <w:sz w:val="24"/>
        </w:rPr>
        <w:t>Systems</w:t>
      </w:r>
      <w:r>
        <w:rPr>
          <w:spacing w:val="-3"/>
          <w:sz w:val="24"/>
        </w:rPr>
        <w:t> </w:t>
      </w:r>
      <w:r>
        <w:rPr>
          <w:sz w:val="24"/>
        </w:rPr>
        <w:t>for</w:t>
      </w:r>
      <w:r>
        <w:rPr>
          <w:spacing w:val="-1"/>
          <w:sz w:val="24"/>
        </w:rPr>
        <w:t> </w:t>
      </w:r>
      <w:r>
        <w:rPr>
          <w:sz w:val="24"/>
        </w:rPr>
        <w:t>collecting</w:t>
      </w:r>
      <w:r>
        <w:rPr>
          <w:spacing w:val="-2"/>
          <w:sz w:val="24"/>
        </w:rPr>
        <w:t> </w:t>
      </w:r>
      <w:r>
        <w:rPr>
          <w:sz w:val="24"/>
        </w:rPr>
        <w:t>cost and performance</w:t>
      </w:r>
      <w:r>
        <w:rPr>
          <w:spacing w:val="-2"/>
          <w:sz w:val="24"/>
        </w:rPr>
        <w:t> </w:t>
      </w:r>
      <w:r>
        <w:rPr>
          <w:sz w:val="24"/>
        </w:rPr>
        <w:t>information may</w:t>
      </w:r>
      <w:r>
        <w:rPr>
          <w:spacing w:val="-5"/>
          <w:sz w:val="24"/>
        </w:rPr>
        <w:t> </w:t>
      </w:r>
      <w:r>
        <w:rPr>
          <w:sz w:val="24"/>
        </w:rPr>
        <w:t>need</w:t>
      </w:r>
      <w:r>
        <w:rPr>
          <w:spacing w:val="-1"/>
          <w:sz w:val="24"/>
        </w:rPr>
        <w:t> </w:t>
      </w:r>
      <w:r>
        <w:rPr>
          <w:sz w:val="24"/>
        </w:rPr>
        <w:t>to be </w:t>
      </w:r>
      <w:r>
        <w:rPr>
          <w:spacing w:val="-2"/>
          <w:sz w:val="24"/>
        </w:rPr>
        <w:t>developed;</w:t>
      </w:r>
    </w:p>
    <w:p>
      <w:pPr>
        <w:pStyle w:val="ListParagraph"/>
        <w:numPr>
          <w:ilvl w:val="0"/>
          <w:numId w:val="40"/>
        </w:numPr>
        <w:tabs>
          <w:tab w:pos="1006" w:val="left" w:leader="none"/>
          <w:tab w:pos="1008" w:val="left" w:leader="none"/>
        </w:tabs>
        <w:spacing w:line="360" w:lineRule="auto" w:before="134" w:after="0"/>
        <w:ind w:left="1008" w:right="836" w:hanging="622"/>
        <w:jc w:val="both"/>
        <w:rPr>
          <w:sz w:val="24"/>
        </w:rPr>
      </w:pPr>
      <w:r>
        <w:rPr>
          <w:sz w:val="24"/>
        </w:rPr>
        <w:t>Problems may exist in respect of presenting this information to those making decisions on budgets. Information may need to be presented in appropriate formats to a variety of </w:t>
      </w:r>
      <w:r>
        <w:rPr>
          <w:spacing w:val="-2"/>
          <w:sz w:val="24"/>
        </w:rPr>
        <w:t>users;</w:t>
      </w:r>
    </w:p>
    <w:p>
      <w:pPr>
        <w:pStyle w:val="ListParagraph"/>
        <w:numPr>
          <w:ilvl w:val="0"/>
          <w:numId w:val="40"/>
        </w:numPr>
        <w:tabs>
          <w:tab w:pos="1006" w:val="left" w:leader="none"/>
          <w:tab w:pos="1008" w:val="left" w:leader="none"/>
        </w:tabs>
        <w:spacing w:line="360" w:lineRule="auto" w:before="1" w:after="0"/>
        <w:ind w:left="1008" w:right="836" w:hanging="608"/>
        <w:jc w:val="both"/>
        <w:rPr>
          <w:sz w:val="24"/>
        </w:rPr>
      </w:pPr>
      <w:r>
        <w:rPr>
          <w:sz w:val="24"/>
        </w:rPr>
        <w:t>There may be procedural problems caused by failure to change existing budgeting rules and processes. Organizations continue to publish budget and performance in separate </w:t>
      </w:r>
      <w:r>
        <w:rPr>
          <w:spacing w:val="-2"/>
          <w:sz w:val="24"/>
        </w:rPr>
        <w:t>documents;</w:t>
      </w:r>
    </w:p>
    <w:p>
      <w:pPr>
        <w:pStyle w:val="ListParagraph"/>
        <w:numPr>
          <w:ilvl w:val="0"/>
          <w:numId w:val="40"/>
        </w:numPr>
        <w:tabs>
          <w:tab w:pos="1008" w:val="left" w:leader="none"/>
        </w:tabs>
        <w:spacing w:line="360" w:lineRule="auto" w:before="0" w:after="0"/>
        <w:ind w:left="1008" w:right="843" w:hanging="540"/>
        <w:jc w:val="both"/>
        <w:rPr>
          <w:sz w:val="24"/>
        </w:rPr>
      </w:pPr>
      <w:r>
        <w:rPr>
          <w:sz w:val="24"/>
        </w:rPr>
        <w:t>Lack of political acceptance may prevail. Performance information represents a threat to the ‗political‘ aspect of budgetary</w:t>
      </w:r>
      <w:r>
        <w:rPr>
          <w:spacing w:val="-1"/>
          <w:sz w:val="24"/>
        </w:rPr>
        <w:t> </w:t>
      </w:r>
      <w:r>
        <w:rPr>
          <w:sz w:val="24"/>
        </w:rPr>
        <w:t>decision making, since its explicit measurements tend to limit the discretion politicians can exercise;</w:t>
      </w:r>
    </w:p>
    <w:p>
      <w:pPr>
        <w:pStyle w:val="ListParagraph"/>
        <w:numPr>
          <w:ilvl w:val="0"/>
          <w:numId w:val="40"/>
        </w:numPr>
        <w:tabs>
          <w:tab w:pos="1006" w:val="left" w:leader="none"/>
          <w:tab w:pos="1008" w:val="left" w:leader="none"/>
        </w:tabs>
        <w:spacing w:line="360" w:lineRule="auto" w:before="1" w:after="0"/>
        <w:ind w:left="1008" w:right="843" w:hanging="608"/>
        <w:jc w:val="both"/>
        <w:rPr>
          <w:sz w:val="24"/>
        </w:rPr>
      </w:pPr>
      <w:r>
        <w:rPr>
          <w:sz w:val="24"/>
        </w:rPr>
        <w:t>Management may</w:t>
      </w:r>
      <w:r>
        <w:rPr>
          <w:spacing w:val="-4"/>
          <w:sz w:val="24"/>
        </w:rPr>
        <w:t> </w:t>
      </w:r>
      <w:r>
        <w:rPr>
          <w:sz w:val="24"/>
        </w:rPr>
        <w:t>not accept a performance budgeting</w:t>
      </w:r>
      <w:r>
        <w:rPr>
          <w:spacing w:val="-1"/>
          <w:sz w:val="24"/>
        </w:rPr>
        <w:t> </w:t>
      </w:r>
      <w:r>
        <w:rPr>
          <w:sz w:val="24"/>
        </w:rPr>
        <w:t>process. There are often problems in defining who is accountable for performance and managers may fear that they will be reprimanded for failure to achieve published performance targets, and thus may try to avoid being accountable.</w:t>
      </w:r>
    </w:p>
    <w:p>
      <w:pPr>
        <w:spacing w:after="0" w:line="360" w:lineRule="auto"/>
        <w:jc w:val="both"/>
        <w:rPr>
          <w:sz w:val="24"/>
        </w:rPr>
        <w:sectPr>
          <w:pgSz w:w="12240" w:h="15840"/>
          <w:pgMar w:header="0" w:footer="1036" w:top="1360" w:bottom="1220" w:left="1200" w:right="600"/>
        </w:sectPr>
      </w:pPr>
    </w:p>
    <w:p>
      <w:pPr>
        <w:pStyle w:val="Heading4"/>
        <w:numPr>
          <w:ilvl w:val="0"/>
          <w:numId w:val="35"/>
        </w:numPr>
        <w:tabs>
          <w:tab w:pos="539" w:val="left" w:leader="none"/>
        </w:tabs>
        <w:spacing w:line="240" w:lineRule="auto" w:before="79" w:after="0"/>
        <w:ind w:left="539" w:right="0" w:hanging="299"/>
        <w:jc w:val="both"/>
      </w:pPr>
      <w:r>
        <w:rPr/>
        <w:t>Planning</w:t>
      </w:r>
      <w:r>
        <w:rPr>
          <w:spacing w:val="-2"/>
        </w:rPr>
        <w:t> </w:t>
      </w:r>
      <w:r>
        <w:rPr/>
        <w:t>Programming</w:t>
      </w:r>
      <w:r>
        <w:rPr>
          <w:spacing w:val="-2"/>
        </w:rPr>
        <w:t> </w:t>
      </w:r>
      <w:r>
        <w:rPr/>
        <w:t>Budgeting</w:t>
      </w:r>
      <w:r>
        <w:rPr>
          <w:spacing w:val="-2"/>
        </w:rPr>
        <w:t> </w:t>
      </w:r>
      <w:r>
        <w:rPr/>
        <w:t>System</w:t>
      </w:r>
      <w:r>
        <w:rPr>
          <w:spacing w:val="-5"/>
        </w:rPr>
        <w:t> </w:t>
      </w:r>
      <w:r>
        <w:rPr>
          <w:spacing w:val="-2"/>
        </w:rPr>
        <w:t>(PPBS)</w:t>
      </w:r>
    </w:p>
    <w:p>
      <w:pPr>
        <w:pStyle w:val="BodyText"/>
        <w:spacing w:line="360" w:lineRule="auto" w:before="202"/>
        <w:ind w:left="240" w:right="837"/>
        <w:jc w:val="both"/>
      </w:pPr>
      <w:r>
        <w:rPr/>
        <w:t>PPBS was developed by economists and system analysts working at the RAND Corporation in the</w:t>
      </w:r>
      <w:r>
        <w:rPr>
          <w:spacing w:val="-1"/>
        </w:rPr>
        <w:t> </w:t>
      </w:r>
      <w:r>
        <w:rPr/>
        <w:t>early</w:t>
      </w:r>
      <w:r>
        <w:rPr>
          <w:spacing w:val="-5"/>
        </w:rPr>
        <w:t> </w:t>
      </w:r>
      <w:r>
        <w:rPr/>
        <w:t>sixties and was introduced for all United States Agencies</w:t>
      </w:r>
      <w:r>
        <w:rPr>
          <w:spacing w:val="-1"/>
        </w:rPr>
        <w:t> </w:t>
      </w:r>
      <w:r>
        <w:rPr/>
        <w:t>by</w:t>
      </w:r>
      <w:r>
        <w:rPr>
          <w:spacing w:val="-5"/>
        </w:rPr>
        <w:t> </w:t>
      </w:r>
      <w:r>
        <w:rPr/>
        <w:t>President Johnson in 1965. It is a cost control and budgeting system which seeks to present purposes and objectives for which funds are required. It tries to determine or identify goals and objectives, select</w:t>
      </w:r>
      <w:r>
        <w:rPr>
          <w:spacing w:val="40"/>
        </w:rPr>
        <w:t> </w:t>
      </w:r>
      <w:r>
        <w:rPr/>
        <w:t>programmes that best achieve the goals, outlines projects and activities needed to implement the programme and converts all these to monetary values (Okoye,1997; Ekwealor, 2007; Ugoo, 2008). It also presents expenditure in terms of programmes, sub programmes (rather than mere items) and the alternative courses of implementing them with analysis of cost and benefit.</w:t>
      </w:r>
    </w:p>
    <w:p>
      <w:pPr>
        <w:pStyle w:val="BodyText"/>
        <w:spacing w:before="140"/>
      </w:pPr>
    </w:p>
    <w:p>
      <w:pPr>
        <w:pStyle w:val="BodyText"/>
        <w:spacing w:line="360" w:lineRule="auto"/>
        <w:ind w:left="240" w:right="839"/>
        <w:jc w:val="both"/>
      </w:pPr>
      <w:r>
        <w:rPr/>
        <w:t>This type of budget is common in public finance. It entails the government budgeting for a long period of time, but the ideas of PPBS are almost the same with the ZBB at the end of each planning period. The result would be thoroughly reviewed and modified to suit another planning period. It provides regular procedures for viewing goals and objectives, for selecting and planning programs over a period of years in terms of output and resources (Obikeze and Obi, 2004; Muhammed, 2009). According to CIPFA (2009), PPBS involves four stages of budget making: (i) planning, where program goals are defined; (ii) programming, where different alternatives of achieving the goals are identified; (iii) evaluation, where the costs and benefits of the various alternatives are evaluated; (iv) implementation, where the best alternatives are adopted for implementation.</w:t>
      </w:r>
    </w:p>
    <w:p>
      <w:pPr>
        <w:pStyle w:val="BodyText"/>
        <w:spacing w:before="137"/>
      </w:pPr>
    </w:p>
    <w:p>
      <w:pPr>
        <w:pStyle w:val="BodyText"/>
        <w:spacing w:line="360" w:lineRule="auto" w:before="1"/>
        <w:ind w:left="240" w:right="840"/>
      </w:pPr>
      <w:r>
        <w:rPr/>
        <w:t>The</w:t>
      </w:r>
      <w:r>
        <w:rPr>
          <w:spacing w:val="-2"/>
        </w:rPr>
        <w:t> </w:t>
      </w:r>
      <w:r>
        <w:rPr/>
        <w:t>PPBS</w:t>
      </w:r>
      <w:r>
        <w:rPr>
          <w:spacing w:val="-1"/>
        </w:rPr>
        <w:t> </w:t>
      </w:r>
      <w:r>
        <w:rPr/>
        <w:t>in</w:t>
      </w:r>
      <w:r>
        <w:rPr>
          <w:spacing w:val="-1"/>
        </w:rPr>
        <w:t> </w:t>
      </w:r>
      <w:r>
        <w:rPr/>
        <w:t>the</w:t>
      </w:r>
      <w:r>
        <w:rPr>
          <w:spacing w:val="-1"/>
        </w:rPr>
        <w:t> </w:t>
      </w:r>
      <w:r>
        <w:rPr/>
        <w:t>view</w:t>
      </w:r>
      <w:r>
        <w:rPr>
          <w:spacing w:val="-1"/>
        </w:rPr>
        <w:t> </w:t>
      </w:r>
      <w:r>
        <w:rPr/>
        <w:t>of</w:t>
      </w:r>
      <w:r>
        <w:rPr>
          <w:spacing w:val="80"/>
        </w:rPr>
        <w:t> </w:t>
      </w:r>
      <w:r>
        <w:rPr/>
        <w:t>the</w:t>
      </w:r>
      <w:r>
        <w:rPr>
          <w:spacing w:val="-1"/>
        </w:rPr>
        <w:t> </w:t>
      </w:r>
      <w:r>
        <w:rPr/>
        <w:t>Northern Ireland</w:t>
      </w:r>
      <w:r>
        <w:rPr>
          <w:spacing w:val="-1"/>
        </w:rPr>
        <w:t> </w:t>
      </w:r>
      <w:r>
        <w:rPr/>
        <w:t>Assembly</w:t>
      </w:r>
      <w:r>
        <w:rPr>
          <w:spacing w:val="-5"/>
        </w:rPr>
        <w:t> </w:t>
      </w:r>
      <w:r>
        <w:rPr/>
        <w:t>(2010)</w:t>
      </w:r>
      <w:r>
        <w:rPr>
          <w:spacing w:val="-1"/>
        </w:rPr>
        <w:t> </w:t>
      </w:r>
      <w:r>
        <w:rPr/>
        <w:t>has</w:t>
      </w:r>
      <w:r>
        <w:rPr>
          <w:spacing w:val="-1"/>
        </w:rPr>
        <w:t> </w:t>
      </w:r>
      <w:r>
        <w:rPr/>
        <w:t>attracted</w:t>
      </w:r>
      <w:r>
        <w:rPr>
          <w:spacing w:val="-1"/>
        </w:rPr>
        <w:t> </w:t>
      </w:r>
      <w:r>
        <w:rPr/>
        <w:t>various</w:t>
      </w:r>
      <w:r>
        <w:rPr>
          <w:spacing w:val="-1"/>
        </w:rPr>
        <w:t> </w:t>
      </w:r>
      <w:r>
        <w:rPr/>
        <w:t>criticisms, among which are:</w:t>
      </w:r>
    </w:p>
    <w:p>
      <w:pPr>
        <w:pStyle w:val="ListParagraph"/>
        <w:numPr>
          <w:ilvl w:val="0"/>
          <w:numId w:val="41"/>
        </w:numPr>
        <w:tabs>
          <w:tab w:pos="960" w:val="left" w:leader="none"/>
        </w:tabs>
        <w:spacing w:line="240" w:lineRule="auto" w:before="0" w:after="0"/>
        <w:ind w:left="960" w:right="0" w:hanging="487"/>
        <w:jc w:val="left"/>
        <w:rPr>
          <w:sz w:val="24"/>
        </w:rPr>
      </w:pPr>
      <w:r>
        <w:rPr>
          <w:sz w:val="24"/>
        </w:rPr>
        <w:t>It is costly</w:t>
      </w:r>
      <w:r>
        <w:rPr>
          <w:spacing w:val="-5"/>
          <w:sz w:val="24"/>
        </w:rPr>
        <w:t> </w:t>
      </w:r>
      <w:r>
        <w:rPr>
          <w:sz w:val="24"/>
        </w:rPr>
        <w:t>and time </w:t>
      </w:r>
      <w:r>
        <w:rPr>
          <w:spacing w:val="-2"/>
          <w:sz w:val="24"/>
        </w:rPr>
        <w:t>consuming;</w:t>
      </w:r>
    </w:p>
    <w:p>
      <w:pPr>
        <w:pStyle w:val="ListParagraph"/>
        <w:numPr>
          <w:ilvl w:val="0"/>
          <w:numId w:val="41"/>
        </w:numPr>
        <w:tabs>
          <w:tab w:pos="960" w:val="left" w:leader="none"/>
        </w:tabs>
        <w:spacing w:line="240" w:lineRule="auto" w:before="136" w:after="0"/>
        <w:ind w:left="960" w:right="0" w:hanging="554"/>
        <w:jc w:val="left"/>
        <w:rPr>
          <w:sz w:val="24"/>
        </w:rPr>
      </w:pPr>
      <w:r>
        <w:rPr>
          <w:sz w:val="24"/>
        </w:rPr>
        <w:t>It</w:t>
      </w:r>
      <w:r>
        <w:rPr>
          <w:spacing w:val="-1"/>
          <w:sz w:val="24"/>
        </w:rPr>
        <w:t> </w:t>
      </w:r>
      <w:r>
        <w:rPr>
          <w:sz w:val="24"/>
        </w:rPr>
        <w:t>is</w:t>
      </w:r>
      <w:r>
        <w:rPr>
          <w:spacing w:val="-1"/>
          <w:sz w:val="24"/>
        </w:rPr>
        <w:t> </w:t>
      </w:r>
      <w:r>
        <w:rPr>
          <w:sz w:val="24"/>
        </w:rPr>
        <w:t>over</w:t>
      </w:r>
      <w:r>
        <w:rPr>
          <w:spacing w:val="1"/>
          <w:sz w:val="24"/>
        </w:rPr>
        <w:t> </w:t>
      </w:r>
      <w:r>
        <w:rPr>
          <w:sz w:val="24"/>
        </w:rPr>
        <w:t>ambitious</w:t>
      </w:r>
      <w:r>
        <w:rPr>
          <w:spacing w:val="-1"/>
          <w:sz w:val="24"/>
        </w:rPr>
        <w:t> </w:t>
      </w:r>
      <w:r>
        <w:rPr>
          <w:sz w:val="24"/>
        </w:rPr>
        <w:t>in its</w:t>
      </w:r>
      <w:r>
        <w:rPr>
          <w:spacing w:val="-4"/>
          <w:sz w:val="24"/>
        </w:rPr>
        <w:t> </w:t>
      </w:r>
      <w:r>
        <w:rPr>
          <w:sz w:val="24"/>
        </w:rPr>
        <w:t>attempt to</w:t>
      </w:r>
      <w:r>
        <w:rPr>
          <w:spacing w:val="59"/>
          <w:sz w:val="24"/>
        </w:rPr>
        <w:t> </w:t>
      </w:r>
      <w:r>
        <w:rPr>
          <w:sz w:val="24"/>
        </w:rPr>
        <w:t>bring</w:t>
      </w:r>
      <w:r>
        <w:rPr>
          <w:spacing w:val="-4"/>
          <w:sz w:val="24"/>
        </w:rPr>
        <w:t> </w:t>
      </w:r>
      <w:r>
        <w:rPr>
          <w:sz w:val="24"/>
        </w:rPr>
        <w:t>sweeping</w:t>
      </w:r>
      <w:r>
        <w:rPr>
          <w:spacing w:val="-3"/>
          <w:sz w:val="24"/>
        </w:rPr>
        <w:t> </w:t>
      </w:r>
      <w:r>
        <w:rPr>
          <w:sz w:val="24"/>
        </w:rPr>
        <w:t>changes</w:t>
      </w:r>
      <w:r>
        <w:rPr>
          <w:spacing w:val="-1"/>
          <w:sz w:val="24"/>
        </w:rPr>
        <w:t> </w:t>
      </w:r>
      <w:r>
        <w:rPr>
          <w:sz w:val="24"/>
        </w:rPr>
        <w:t>into the</w:t>
      </w:r>
      <w:r>
        <w:rPr>
          <w:spacing w:val="-1"/>
          <w:sz w:val="24"/>
        </w:rPr>
        <w:t> </w:t>
      </w:r>
      <w:r>
        <w:rPr>
          <w:sz w:val="24"/>
        </w:rPr>
        <w:t>budgetary</w:t>
      </w:r>
      <w:r>
        <w:rPr>
          <w:spacing w:val="-5"/>
          <w:sz w:val="24"/>
        </w:rPr>
        <w:t> </w:t>
      </w:r>
      <w:r>
        <w:rPr>
          <w:spacing w:val="-2"/>
          <w:sz w:val="24"/>
        </w:rPr>
        <w:t>process;</w:t>
      </w:r>
    </w:p>
    <w:p>
      <w:pPr>
        <w:pStyle w:val="ListParagraph"/>
        <w:numPr>
          <w:ilvl w:val="0"/>
          <w:numId w:val="41"/>
        </w:numPr>
        <w:tabs>
          <w:tab w:pos="960" w:val="left" w:leader="none"/>
        </w:tabs>
        <w:spacing w:line="240" w:lineRule="auto" w:before="140" w:after="0"/>
        <w:ind w:left="960" w:right="0" w:hanging="619"/>
        <w:jc w:val="left"/>
        <w:rPr>
          <w:sz w:val="24"/>
        </w:rPr>
      </w:pPr>
      <w:r>
        <w:rPr>
          <w:sz w:val="24"/>
        </w:rPr>
        <w:t>It</w:t>
      </w:r>
      <w:r>
        <w:rPr>
          <w:spacing w:val="-3"/>
          <w:sz w:val="24"/>
        </w:rPr>
        <w:t> </w:t>
      </w:r>
      <w:r>
        <w:rPr>
          <w:sz w:val="24"/>
        </w:rPr>
        <w:t>is difficult to identify</w:t>
      </w:r>
      <w:r>
        <w:rPr>
          <w:spacing w:val="-5"/>
          <w:sz w:val="24"/>
        </w:rPr>
        <w:t> </w:t>
      </w:r>
      <w:r>
        <w:rPr>
          <w:sz w:val="24"/>
        </w:rPr>
        <w:t>and</w:t>
      </w:r>
      <w:r>
        <w:rPr>
          <w:spacing w:val="-1"/>
          <w:sz w:val="24"/>
        </w:rPr>
        <w:t> </w:t>
      </w:r>
      <w:r>
        <w:rPr>
          <w:sz w:val="24"/>
        </w:rPr>
        <w:t>quantify</w:t>
      </w:r>
      <w:r>
        <w:rPr>
          <w:spacing w:val="-5"/>
          <w:sz w:val="24"/>
        </w:rPr>
        <w:t> </w:t>
      </w:r>
      <w:r>
        <w:rPr>
          <w:sz w:val="24"/>
        </w:rPr>
        <w:t>objectives in</w:t>
      </w:r>
      <w:r>
        <w:rPr>
          <w:spacing w:val="2"/>
          <w:sz w:val="24"/>
        </w:rPr>
        <w:t> </w:t>
      </w:r>
      <w:r>
        <w:rPr>
          <w:sz w:val="24"/>
        </w:rPr>
        <w:t>the public </w:t>
      </w:r>
      <w:r>
        <w:rPr>
          <w:spacing w:val="-2"/>
          <w:sz w:val="24"/>
        </w:rPr>
        <w:t>sector;</w:t>
      </w:r>
    </w:p>
    <w:p>
      <w:pPr>
        <w:pStyle w:val="ListParagraph"/>
        <w:numPr>
          <w:ilvl w:val="0"/>
          <w:numId w:val="41"/>
        </w:numPr>
        <w:tabs>
          <w:tab w:pos="960" w:val="left" w:leader="none"/>
        </w:tabs>
        <w:spacing w:line="360" w:lineRule="auto" w:before="137" w:after="0"/>
        <w:ind w:left="960" w:right="840" w:hanging="608"/>
        <w:jc w:val="left"/>
        <w:rPr>
          <w:sz w:val="24"/>
        </w:rPr>
      </w:pPr>
      <w:r>
        <w:rPr>
          <w:sz w:val="24"/>
        </w:rPr>
        <w:t>It has a centralizing bias by concentrating too much</w:t>
      </w:r>
      <w:r>
        <w:rPr>
          <w:spacing w:val="40"/>
          <w:sz w:val="24"/>
        </w:rPr>
        <w:t> </w:t>
      </w:r>
      <w:r>
        <w:rPr>
          <w:sz w:val="24"/>
        </w:rPr>
        <w:t>budgetary power in the hands of the president and agency heads;</w:t>
      </w:r>
    </w:p>
    <w:p>
      <w:pPr>
        <w:pStyle w:val="ListParagraph"/>
        <w:numPr>
          <w:ilvl w:val="0"/>
          <w:numId w:val="41"/>
        </w:numPr>
        <w:tabs>
          <w:tab w:pos="960" w:val="left" w:leader="none"/>
        </w:tabs>
        <w:spacing w:line="240" w:lineRule="auto" w:before="0" w:after="0"/>
        <w:ind w:left="960" w:right="0" w:hanging="540"/>
        <w:jc w:val="left"/>
        <w:rPr>
          <w:sz w:val="24"/>
        </w:rPr>
      </w:pPr>
      <w:r>
        <w:rPr>
          <w:sz w:val="24"/>
        </w:rPr>
        <w:t>Its</w:t>
      </w:r>
      <w:r>
        <w:rPr>
          <w:spacing w:val="-4"/>
          <w:sz w:val="24"/>
        </w:rPr>
        <w:t> </w:t>
      </w:r>
      <w:r>
        <w:rPr>
          <w:sz w:val="24"/>
        </w:rPr>
        <w:t>insistence</w:t>
      </w:r>
      <w:r>
        <w:rPr>
          <w:spacing w:val="-3"/>
          <w:sz w:val="24"/>
        </w:rPr>
        <w:t> </w:t>
      </w:r>
      <w:r>
        <w:rPr>
          <w:sz w:val="24"/>
        </w:rPr>
        <w:t>on</w:t>
      </w:r>
      <w:r>
        <w:rPr>
          <w:spacing w:val="-1"/>
          <w:sz w:val="24"/>
        </w:rPr>
        <w:t> </w:t>
      </w:r>
      <w:r>
        <w:rPr>
          <w:sz w:val="24"/>
        </w:rPr>
        <w:t>qualification</w:t>
      </w:r>
      <w:r>
        <w:rPr>
          <w:spacing w:val="-2"/>
          <w:sz w:val="24"/>
        </w:rPr>
        <w:t> </w:t>
      </w:r>
      <w:r>
        <w:rPr>
          <w:sz w:val="24"/>
        </w:rPr>
        <w:t>tends</w:t>
      </w:r>
      <w:r>
        <w:rPr>
          <w:spacing w:val="-2"/>
          <w:sz w:val="24"/>
        </w:rPr>
        <w:t> </w:t>
      </w:r>
      <w:r>
        <w:rPr>
          <w:sz w:val="24"/>
        </w:rPr>
        <w:t>to</w:t>
      </w:r>
      <w:r>
        <w:rPr>
          <w:spacing w:val="-1"/>
          <w:sz w:val="24"/>
        </w:rPr>
        <w:t> </w:t>
      </w:r>
      <w:r>
        <w:rPr>
          <w:sz w:val="24"/>
        </w:rPr>
        <w:t>neglect</w:t>
      </w:r>
      <w:r>
        <w:rPr>
          <w:spacing w:val="-2"/>
          <w:sz w:val="24"/>
        </w:rPr>
        <w:t> </w:t>
      </w:r>
      <w:r>
        <w:rPr>
          <w:sz w:val="24"/>
        </w:rPr>
        <w:t>intangible</w:t>
      </w:r>
      <w:r>
        <w:rPr>
          <w:spacing w:val="-3"/>
          <w:sz w:val="24"/>
        </w:rPr>
        <w:t> </w:t>
      </w:r>
      <w:r>
        <w:rPr>
          <w:sz w:val="24"/>
        </w:rPr>
        <w:t>or</w:t>
      </w:r>
      <w:r>
        <w:rPr>
          <w:spacing w:val="-1"/>
          <w:sz w:val="24"/>
        </w:rPr>
        <w:t> </w:t>
      </w:r>
      <w:r>
        <w:rPr>
          <w:sz w:val="24"/>
        </w:rPr>
        <w:t>unquantifiable</w:t>
      </w:r>
      <w:r>
        <w:rPr>
          <w:spacing w:val="-1"/>
          <w:sz w:val="24"/>
        </w:rPr>
        <w:t> </w:t>
      </w:r>
      <w:r>
        <w:rPr>
          <w:sz w:val="24"/>
        </w:rPr>
        <w:t>benefits</w:t>
      </w:r>
      <w:r>
        <w:rPr>
          <w:spacing w:val="-1"/>
          <w:sz w:val="24"/>
        </w:rPr>
        <w:t> </w:t>
      </w:r>
      <w:r>
        <w:rPr>
          <w:spacing w:val="-5"/>
          <w:sz w:val="24"/>
        </w:rPr>
        <w:t>and</w:t>
      </w:r>
    </w:p>
    <w:p>
      <w:pPr>
        <w:pStyle w:val="ListParagraph"/>
        <w:numPr>
          <w:ilvl w:val="0"/>
          <w:numId w:val="41"/>
        </w:numPr>
        <w:tabs>
          <w:tab w:pos="960" w:val="left" w:leader="none"/>
        </w:tabs>
        <w:spacing w:line="240" w:lineRule="auto" w:before="139" w:after="0"/>
        <w:ind w:left="960" w:right="0" w:hanging="607"/>
        <w:jc w:val="left"/>
        <w:rPr>
          <w:sz w:val="24"/>
        </w:rPr>
      </w:pPr>
      <w:r>
        <w:rPr>
          <w:sz w:val="24"/>
        </w:rPr>
        <w:t>Outcomes</w:t>
      </w:r>
      <w:r>
        <w:rPr>
          <w:spacing w:val="-1"/>
          <w:sz w:val="24"/>
        </w:rPr>
        <w:t> </w:t>
      </w:r>
      <w:r>
        <w:rPr>
          <w:sz w:val="24"/>
        </w:rPr>
        <w:t>can be</w:t>
      </w:r>
      <w:r>
        <w:rPr>
          <w:spacing w:val="-1"/>
          <w:sz w:val="24"/>
        </w:rPr>
        <w:t> </w:t>
      </w:r>
      <w:r>
        <w:rPr>
          <w:sz w:val="24"/>
        </w:rPr>
        <w:t>difficult to </w:t>
      </w:r>
      <w:r>
        <w:rPr>
          <w:spacing w:val="-2"/>
          <w:sz w:val="24"/>
        </w:rPr>
        <w:t>measure.</w:t>
      </w:r>
    </w:p>
    <w:p>
      <w:pPr>
        <w:spacing w:after="0" w:line="240" w:lineRule="auto"/>
        <w:jc w:val="left"/>
        <w:rPr>
          <w:sz w:val="24"/>
        </w:rPr>
        <w:sectPr>
          <w:pgSz w:w="12240" w:h="15840"/>
          <w:pgMar w:header="0" w:footer="1036" w:top="1360" w:bottom="1220" w:left="1200" w:right="600"/>
        </w:sectPr>
      </w:pPr>
    </w:p>
    <w:p>
      <w:pPr>
        <w:pStyle w:val="BodyText"/>
        <w:spacing w:before="74"/>
        <w:ind w:left="240"/>
      </w:pPr>
      <w:r>
        <w:rPr/>
        <w:t>Ekwealor</w:t>
      </w:r>
      <w:r>
        <w:rPr>
          <w:spacing w:val="-3"/>
        </w:rPr>
        <w:t> </w:t>
      </w:r>
      <w:r>
        <w:rPr/>
        <w:t>(2007)</w:t>
      </w:r>
      <w:r>
        <w:rPr>
          <w:spacing w:val="-1"/>
        </w:rPr>
        <w:t> </w:t>
      </w:r>
      <w:r>
        <w:rPr/>
        <w:t>outlines</w:t>
      </w:r>
      <w:r>
        <w:rPr>
          <w:spacing w:val="-1"/>
        </w:rPr>
        <w:t> </w:t>
      </w:r>
      <w:r>
        <w:rPr/>
        <w:t>the</w:t>
      </w:r>
      <w:r>
        <w:rPr>
          <w:spacing w:val="-1"/>
        </w:rPr>
        <w:t> </w:t>
      </w:r>
      <w:r>
        <w:rPr/>
        <w:t>following</w:t>
      </w:r>
      <w:r>
        <w:rPr>
          <w:spacing w:val="-4"/>
        </w:rPr>
        <w:t> </w:t>
      </w:r>
      <w:r>
        <w:rPr/>
        <w:t>advantages derived</w:t>
      </w:r>
      <w:r>
        <w:rPr>
          <w:spacing w:val="-1"/>
        </w:rPr>
        <w:t> </w:t>
      </w:r>
      <w:r>
        <w:rPr/>
        <w:t>from</w:t>
      </w:r>
      <w:r>
        <w:rPr>
          <w:spacing w:val="1"/>
        </w:rPr>
        <w:t> </w:t>
      </w:r>
      <w:r>
        <w:rPr/>
        <w:t>the</w:t>
      </w:r>
      <w:r>
        <w:rPr>
          <w:spacing w:val="-1"/>
        </w:rPr>
        <w:t> </w:t>
      </w:r>
      <w:r>
        <w:rPr/>
        <w:t>use</w:t>
      </w:r>
      <w:r>
        <w:rPr>
          <w:spacing w:val="-2"/>
        </w:rPr>
        <w:t> </w:t>
      </w:r>
      <w:r>
        <w:rPr/>
        <w:t>of</w:t>
      </w:r>
      <w:r>
        <w:rPr>
          <w:spacing w:val="1"/>
        </w:rPr>
        <w:t> </w:t>
      </w:r>
      <w:r>
        <w:rPr>
          <w:spacing w:val="-2"/>
        </w:rPr>
        <w:t>PPBS:</w:t>
      </w:r>
    </w:p>
    <w:p>
      <w:pPr>
        <w:pStyle w:val="ListParagraph"/>
        <w:numPr>
          <w:ilvl w:val="0"/>
          <w:numId w:val="42"/>
        </w:numPr>
        <w:tabs>
          <w:tab w:pos="960" w:val="left" w:leader="none"/>
        </w:tabs>
        <w:spacing w:line="360" w:lineRule="auto" w:before="137" w:after="0"/>
        <w:ind w:left="960" w:right="841" w:hanging="488"/>
        <w:jc w:val="left"/>
        <w:rPr>
          <w:sz w:val="24"/>
        </w:rPr>
      </w:pPr>
      <w:r>
        <w:rPr>
          <w:sz w:val="24"/>
        </w:rPr>
        <w:t>It</w:t>
      </w:r>
      <w:r>
        <w:rPr>
          <w:spacing w:val="30"/>
          <w:sz w:val="24"/>
        </w:rPr>
        <w:t> </w:t>
      </w:r>
      <w:r>
        <w:rPr>
          <w:sz w:val="24"/>
        </w:rPr>
        <w:t>increases</w:t>
      </w:r>
      <w:r>
        <w:rPr>
          <w:spacing w:val="30"/>
          <w:sz w:val="24"/>
        </w:rPr>
        <w:t> </w:t>
      </w:r>
      <w:r>
        <w:rPr>
          <w:sz w:val="24"/>
        </w:rPr>
        <w:t>the</w:t>
      </w:r>
      <w:r>
        <w:rPr>
          <w:spacing w:val="29"/>
          <w:sz w:val="24"/>
        </w:rPr>
        <w:t> </w:t>
      </w:r>
      <w:r>
        <w:rPr>
          <w:sz w:val="24"/>
        </w:rPr>
        <w:t>responsibility and</w:t>
      </w:r>
      <w:r>
        <w:rPr>
          <w:spacing w:val="30"/>
          <w:sz w:val="24"/>
        </w:rPr>
        <w:t> </w:t>
      </w:r>
      <w:r>
        <w:rPr>
          <w:sz w:val="24"/>
        </w:rPr>
        <w:t>accountability</w:t>
      </w:r>
      <w:r>
        <w:rPr>
          <w:spacing w:val="27"/>
          <w:sz w:val="24"/>
        </w:rPr>
        <w:t> </w:t>
      </w:r>
      <w:r>
        <w:rPr>
          <w:sz w:val="24"/>
        </w:rPr>
        <w:t>of</w:t>
      </w:r>
      <w:r>
        <w:rPr>
          <w:spacing w:val="29"/>
          <w:sz w:val="24"/>
        </w:rPr>
        <w:t> </w:t>
      </w:r>
      <w:r>
        <w:rPr>
          <w:sz w:val="24"/>
        </w:rPr>
        <w:t>management</w:t>
      </w:r>
      <w:r>
        <w:rPr>
          <w:spacing w:val="32"/>
          <w:sz w:val="24"/>
        </w:rPr>
        <w:t> </w:t>
      </w:r>
      <w:r>
        <w:rPr>
          <w:sz w:val="24"/>
        </w:rPr>
        <w:t>and</w:t>
      </w:r>
      <w:r>
        <w:rPr>
          <w:spacing w:val="30"/>
          <w:sz w:val="24"/>
        </w:rPr>
        <w:t> </w:t>
      </w:r>
      <w:r>
        <w:rPr>
          <w:sz w:val="24"/>
        </w:rPr>
        <w:t>ensures</w:t>
      </w:r>
      <w:r>
        <w:rPr>
          <w:spacing w:val="30"/>
          <w:sz w:val="24"/>
        </w:rPr>
        <w:t> </w:t>
      </w:r>
      <w:r>
        <w:rPr>
          <w:sz w:val="24"/>
        </w:rPr>
        <w:t>that</w:t>
      </w:r>
      <w:r>
        <w:rPr>
          <w:spacing w:val="30"/>
          <w:sz w:val="24"/>
        </w:rPr>
        <w:t> </w:t>
      </w:r>
      <w:r>
        <w:rPr>
          <w:sz w:val="24"/>
        </w:rPr>
        <w:t>only feasible projects are included in the budget estimates;</w:t>
      </w:r>
    </w:p>
    <w:p>
      <w:pPr>
        <w:pStyle w:val="ListParagraph"/>
        <w:numPr>
          <w:ilvl w:val="0"/>
          <w:numId w:val="42"/>
        </w:numPr>
        <w:tabs>
          <w:tab w:pos="960" w:val="left" w:leader="none"/>
        </w:tabs>
        <w:spacing w:line="360" w:lineRule="auto" w:before="0" w:after="0"/>
        <w:ind w:left="960" w:right="844" w:hanging="555"/>
        <w:jc w:val="left"/>
        <w:rPr>
          <w:sz w:val="24"/>
        </w:rPr>
      </w:pPr>
      <w:r>
        <w:rPr>
          <w:sz w:val="24"/>
        </w:rPr>
        <w:t>It permits greater co-ordination of programmes and projects with the result that a system wide goal oriented and directed planning is achieved by the government;</w:t>
      </w:r>
    </w:p>
    <w:p>
      <w:pPr>
        <w:pStyle w:val="ListParagraph"/>
        <w:numPr>
          <w:ilvl w:val="0"/>
          <w:numId w:val="42"/>
        </w:numPr>
        <w:tabs>
          <w:tab w:pos="960" w:val="left" w:leader="none"/>
        </w:tabs>
        <w:spacing w:line="360" w:lineRule="auto" w:before="0" w:after="0"/>
        <w:ind w:left="960" w:right="847" w:hanging="620"/>
        <w:jc w:val="left"/>
        <w:rPr>
          <w:sz w:val="24"/>
        </w:rPr>
      </w:pPr>
      <w:r>
        <w:rPr>
          <w:sz w:val="24"/>
        </w:rPr>
        <w:t>It</w:t>
      </w:r>
      <w:r>
        <w:rPr>
          <w:spacing w:val="35"/>
          <w:sz w:val="24"/>
        </w:rPr>
        <w:t> </w:t>
      </w:r>
      <w:r>
        <w:rPr>
          <w:sz w:val="24"/>
        </w:rPr>
        <w:t>makes</w:t>
      </w:r>
      <w:r>
        <w:rPr>
          <w:spacing w:val="35"/>
          <w:sz w:val="24"/>
        </w:rPr>
        <w:t> </w:t>
      </w:r>
      <w:r>
        <w:rPr>
          <w:sz w:val="24"/>
        </w:rPr>
        <w:t>it</w:t>
      </w:r>
      <w:r>
        <w:rPr>
          <w:spacing w:val="38"/>
          <w:sz w:val="24"/>
        </w:rPr>
        <w:t> </w:t>
      </w:r>
      <w:r>
        <w:rPr>
          <w:sz w:val="24"/>
        </w:rPr>
        <w:t>easier</w:t>
      </w:r>
      <w:r>
        <w:rPr>
          <w:spacing w:val="36"/>
          <w:sz w:val="24"/>
        </w:rPr>
        <w:t> </w:t>
      </w:r>
      <w:r>
        <w:rPr>
          <w:sz w:val="24"/>
        </w:rPr>
        <w:t>for</w:t>
      </w:r>
      <w:r>
        <w:rPr>
          <w:spacing w:val="35"/>
          <w:sz w:val="24"/>
        </w:rPr>
        <w:t> </w:t>
      </w:r>
      <w:r>
        <w:rPr>
          <w:sz w:val="24"/>
        </w:rPr>
        <w:t>priorities</w:t>
      </w:r>
      <w:r>
        <w:rPr>
          <w:spacing w:val="35"/>
          <w:sz w:val="24"/>
        </w:rPr>
        <w:t> </w:t>
      </w:r>
      <w:r>
        <w:rPr>
          <w:sz w:val="24"/>
        </w:rPr>
        <w:t>to</w:t>
      </w:r>
      <w:r>
        <w:rPr>
          <w:spacing w:val="35"/>
          <w:sz w:val="24"/>
        </w:rPr>
        <w:t> </w:t>
      </w:r>
      <w:r>
        <w:rPr>
          <w:sz w:val="24"/>
        </w:rPr>
        <w:t>be</w:t>
      </w:r>
      <w:r>
        <w:rPr>
          <w:spacing w:val="34"/>
          <w:sz w:val="24"/>
        </w:rPr>
        <w:t> </w:t>
      </w:r>
      <w:r>
        <w:rPr>
          <w:sz w:val="24"/>
        </w:rPr>
        <w:t>established</w:t>
      </w:r>
      <w:r>
        <w:rPr>
          <w:spacing w:val="34"/>
          <w:sz w:val="24"/>
        </w:rPr>
        <w:t> </w:t>
      </w:r>
      <w:r>
        <w:rPr>
          <w:sz w:val="24"/>
        </w:rPr>
        <w:t>and</w:t>
      </w:r>
      <w:r>
        <w:rPr>
          <w:spacing w:val="35"/>
          <w:sz w:val="24"/>
        </w:rPr>
        <w:t> </w:t>
      </w:r>
      <w:r>
        <w:rPr>
          <w:sz w:val="24"/>
        </w:rPr>
        <w:t>for</w:t>
      </w:r>
      <w:r>
        <w:rPr>
          <w:spacing w:val="34"/>
          <w:sz w:val="24"/>
        </w:rPr>
        <w:t> </w:t>
      </w:r>
      <w:r>
        <w:rPr>
          <w:sz w:val="24"/>
        </w:rPr>
        <w:t>performance</w:t>
      </w:r>
      <w:r>
        <w:rPr>
          <w:spacing w:val="36"/>
          <w:sz w:val="24"/>
        </w:rPr>
        <w:t> </w:t>
      </w:r>
      <w:r>
        <w:rPr>
          <w:sz w:val="24"/>
        </w:rPr>
        <w:t>to</w:t>
      </w:r>
      <w:r>
        <w:rPr>
          <w:spacing w:val="37"/>
          <w:sz w:val="24"/>
        </w:rPr>
        <w:t> </w:t>
      </w:r>
      <w:r>
        <w:rPr>
          <w:sz w:val="24"/>
        </w:rPr>
        <w:t>be</w:t>
      </w:r>
      <w:r>
        <w:rPr>
          <w:spacing w:val="34"/>
          <w:sz w:val="24"/>
        </w:rPr>
        <w:t> </w:t>
      </w:r>
      <w:r>
        <w:rPr>
          <w:sz w:val="24"/>
        </w:rPr>
        <w:t>measured </w:t>
      </w:r>
      <w:r>
        <w:rPr>
          <w:spacing w:val="-2"/>
          <w:sz w:val="24"/>
        </w:rPr>
        <w:t>effectively;</w:t>
      </w:r>
    </w:p>
    <w:p>
      <w:pPr>
        <w:pStyle w:val="ListParagraph"/>
        <w:numPr>
          <w:ilvl w:val="0"/>
          <w:numId w:val="42"/>
        </w:numPr>
        <w:tabs>
          <w:tab w:pos="960" w:val="left" w:leader="none"/>
        </w:tabs>
        <w:spacing w:line="360" w:lineRule="auto" w:before="0" w:after="0"/>
        <w:ind w:left="960" w:right="843" w:hanging="608"/>
        <w:jc w:val="left"/>
        <w:rPr>
          <w:sz w:val="24"/>
        </w:rPr>
      </w:pPr>
      <w:r>
        <w:rPr>
          <w:sz w:val="24"/>
        </w:rPr>
        <w:t>It make it easier for workers to know what objectives their units are pursuing and work</w:t>
      </w:r>
      <w:r>
        <w:rPr>
          <w:spacing w:val="80"/>
          <w:sz w:val="24"/>
        </w:rPr>
        <w:t> </w:t>
      </w:r>
      <w:r>
        <w:rPr>
          <w:sz w:val="24"/>
        </w:rPr>
        <w:t>towards achieving such objectives;</w:t>
      </w:r>
    </w:p>
    <w:p>
      <w:pPr>
        <w:pStyle w:val="ListParagraph"/>
        <w:numPr>
          <w:ilvl w:val="0"/>
          <w:numId w:val="42"/>
        </w:numPr>
        <w:tabs>
          <w:tab w:pos="960" w:val="left" w:leader="none"/>
        </w:tabs>
        <w:spacing w:line="360" w:lineRule="auto" w:before="1" w:after="0"/>
        <w:ind w:left="960" w:right="843" w:hanging="540"/>
        <w:jc w:val="left"/>
        <w:rPr>
          <w:sz w:val="24"/>
        </w:rPr>
      </w:pPr>
      <w:r>
        <w:rPr>
          <w:sz w:val="24"/>
        </w:rPr>
        <w:t>It minimizes the excessive influence of politics on budgeting and as such improves the</w:t>
      </w:r>
      <w:r>
        <w:rPr>
          <w:spacing w:val="80"/>
          <w:w w:val="150"/>
          <w:sz w:val="24"/>
        </w:rPr>
        <w:t> </w:t>
      </w:r>
      <w:r>
        <w:rPr>
          <w:sz w:val="24"/>
        </w:rPr>
        <w:t>policy making process.</w:t>
      </w:r>
    </w:p>
    <w:p>
      <w:pPr>
        <w:pStyle w:val="BodyText"/>
        <w:spacing w:before="144"/>
      </w:pPr>
    </w:p>
    <w:p>
      <w:pPr>
        <w:pStyle w:val="Heading4"/>
        <w:numPr>
          <w:ilvl w:val="0"/>
          <w:numId w:val="35"/>
        </w:numPr>
        <w:tabs>
          <w:tab w:pos="579" w:val="left" w:leader="none"/>
        </w:tabs>
        <w:spacing w:line="240" w:lineRule="auto" w:before="0" w:after="0"/>
        <w:ind w:left="579" w:right="0" w:hanging="339"/>
        <w:jc w:val="both"/>
      </w:pPr>
      <w:r>
        <w:rPr/>
        <w:t>Priority-</w:t>
      </w:r>
      <w:r>
        <w:rPr>
          <w:spacing w:val="-2"/>
        </w:rPr>
        <w:t> </w:t>
      </w:r>
      <w:r>
        <w:rPr/>
        <w:t>based</w:t>
      </w:r>
      <w:r>
        <w:rPr>
          <w:spacing w:val="-1"/>
        </w:rPr>
        <w:t> </w:t>
      </w:r>
      <w:r>
        <w:rPr>
          <w:spacing w:val="-2"/>
        </w:rPr>
        <w:t>Budgeting</w:t>
      </w:r>
    </w:p>
    <w:p>
      <w:pPr>
        <w:pStyle w:val="BodyText"/>
        <w:spacing w:line="360" w:lineRule="auto" w:before="132"/>
        <w:ind w:left="240" w:right="835"/>
        <w:jc w:val="both"/>
      </w:pPr>
      <w:r>
        <w:rPr/>
        <w:t>Priority-based budgeting is a modification of the zero-based approach. It focuses on corporate priorities and allocates growth and savings in budgets accordingly. It is based on a thorough on- going review of departmental services. According to CIPFA (2009), the review requires a statement of the objectives/purpose of the service; targets/standards the service is trying to achieve, and; various thresholds at which the service could operate.</w:t>
      </w:r>
      <w:r>
        <w:rPr>
          <w:spacing w:val="40"/>
        </w:rPr>
        <w:t> </w:t>
      </w:r>
      <w:r>
        <w:rPr/>
        <w:t>Based on analysis of these statements, elements of spending by each department or unit could be classed as essential/highly desirable/beneficial and this information would be presented to decision makers.</w:t>
      </w:r>
    </w:p>
    <w:p>
      <w:pPr>
        <w:pStyle w:val="BodyText"/>
        <w:spacing w:before="144"/>
      </w:pPr>
    </w:p>
    <w:p>
      <w:pPr>
        <w:pStyle w:val="Heading4"/>
        <w:numPr>
          <w:ilvl w:val="0"/>
          <w:numId w:val="35"/>
        </w:numPr>
        <w:tabs>
          <w:tab w:pos="593" w:val="left" w:leader="none"/>
        </w:tabs>
        <w:spacing w:line="240" w:lineRule="auto" w:before="0" w:after="0"/>
        <w:ind w:left="593" w:right="0" w:hanging="353"/>
        <w:jc w:val="both"/>
      </w:pPr>
      <w:r>
        <w:rPr/>
        <w:t>Participatory</w:t>
      </w:r>
      <w:r>
        <w:rPr>
          <w:spacing w:val="-6"/>
        </w:rPr>
        <w:t> </w:t>
      </w:r>
      <w:r>
        <w:rPr>
          <w:spacing w:val="-2"/>
        </w:rPr>
        <w:t>Budgeting</w:t>
      </w:r>
    </w:p>
    <w:p>
      <w:pPr>
        <w:pStyle w:val="BodyText"/>
        <w:spacing w:line="360" w:lineRule="auto" w:before="134"/>
        <w:ind w:left="240" w:right="836"/>
        <w:jc w:val="both"/>
      </w:pPr>
      <w:r>
        <w:rPr/>
        <w:t>This approach is used primarily by the local government in Great Britain. It however originated in Brazil in the mid-1980s. Participatory budgeting attempts to give local groups ownership of the budgetary process. Local communities have a say in prioritizing services or projects through activity</w:t>
      </w:r>
      <w:r>
        <w:rPr>
          <w:spacing w:val="-4"/>
        </w:rPr>
        <w:t> </w:t>
      </w:r>
      <w:r>
        <w:rPr/>
        <w:t>such as community-led debate, neighbourhood votes and public meetings (CIPFA, 2009; Northern Ireland Assembly, 2010). For a successful participatory budget, selected projects and programmes have to be localized in nature. In some respects, participatory budgeting has the potential to empower communities and raise the level of democratic input to decision making. However, its nature limits the scope of functional areas to which it can be applied.</w:t>
      </w:r>
    </w:p>
    <w:p>
      <w:pPr>
        <w:spacing w:after="0" w:line="360" w:lineRule="auto"/>
        <w:jc w:val="both"/>
        <w:sectPr>
          <w:pgSz w:w="12240" w:h="15840"/>
          <w:pgMar w:header="0" w:footer="1036" w:top="1360" w:bottom="1220" w:left="1200" w:right="600"/>
        </w:sectPr>
      </w:pPr>
    </w:p>
    <w:p>
      <w:pPr>
        <w:pStyle w:val="BodyText"/>
        <w:spacing w:before="74"/>
        <w:ind w:right="1590"/>
        <w:jc w:val="right"/>
      </w:pPr>
      <w:r>
        <w:rPr/>
        <w:t>According</w:t>
      </w:r>
      <w:r>
        <w:rPr>
          <w:spacing w:val="-6"/>
        </w:rPr>
        <w:t> </w:t>
      </w:r>
      <w:r>
        <w:rPr/>
        <w:t>to CIPFA</w:t>
      </w:r>
      <w:r>
        <w:rPr>
          <w:spacing w:val="1"/>
        </w:rPr>
        <w:t> </w:t>
      </w:r>
      <w:r>
        <w:rPr/>
        <w:t>(2009), participatory</w:t>
      </w:r>
      <w:r>
        <w:rPr>
          <w:spacing w:val="-5"/>
        </w:rPr>
        <w:t> </w:t>
      </w:r>
      <w:r>
        <w:rPr/>
        <w:t>budgeting</w:t>
      </w:r>
      <w:r>
        <w:rPr>
          <w:spacing w:val="-4"/>
        </w:rPr>
        <w:t> </w:t>
      </w:r>
      <w:r>
        <w:rPr/>
        <w:t>is based on the</w:t>
      </w:r>
      <w:r>
        <w:rPr>
          <w:spacing w:val="-1"/>
        </w:rPr>
        <w:t> </w:t>
      </w:r>
      <w:r>
        <w:rPr/>
        <w:t>following</w:t>
      </w:r>
      <w:r>
        <w:rPr>
          <w:spacing w:val="-2"/>
        </w:rPr>
        <w:t> principles:</w:t>
      </w:r>
    </w:p>
    <w:p>
      <w:pPr>
        <w:pStyle w:val="ListParagraph"/>
        <w:numPr>
          <w:ilvl w:val="0"/>
          <w:numId w:val="43"/>
        </w:numPr>
        <w:tabs>
          <w:tab w:pos="487" w:val="left" w:leader="none"/>
        </w:tabs>
        <w:spacing w:line="240" w:lineRule="auto" w:before="137" w:after="0"/>
        <w:ind w:left="487" w:right="1530" w:hanging="487"/>
        <w:jc w:val="right"/>
        <w:rPr>
          <w:sz w:val="24"/>
        </w:rPr>
      </w:pPr>
      <w:r>
        <w:rPr>
          <w:sz w:val="24"/>
        </w:rPr>
        <w:t>Citizens‘</w:t>
      </w:r>
      <w:r>
        <w:rPr>
          <w:spacing w:val="-4"/>
          <w:sz w:val="24"/>
        </w:rPr>
        <w:t> </w:t>
      </w:r>
      <w:r>
        <w:rPr>
          <w:sz w:val="24"/>
        </w:rPr>
        <w:t>groups</w:t>
      </w:r>
      <w:r>
        <w:rPr>
          <w:spacing w:val="-2"/>
          <w:sz w:val="24"/>
        </w:rPr>
        <w:t> </w:t>
      </w:r>
      <w:r>
        <w:rPr>
          <w:sz w:val="24"/>
        </w:rPr>
        <w:t>have</w:t>
      </w:r>
      <w:r>
        <w:rPr>
          <w:spacing w:val="-2"/>
          <w:sz w:val="24"/>
        </w:rPr>
        <w:t> </w:t>
      </w:r>
      <w:r>
        <w:rPr>
          <w:sz w:val="24"/>
        </w:rPr>
        <w:t>as much</w:t>
      </w:r>
      <w:r>
        <w:rPr>
          <w:spacing w:val="-1"/>
          <w:sz w:val="24"/>
        </w:rPr>
        <w:t> </w:t>
      </w:r>
      <w:r>
        <w:rPr>
          <w:sz w:val="24"/>
        </w:rPr>
        <w:t>power</w:t>
      </w:r>
      <w:r>
        <w:rPr>
          <w:spacing w:val="-2"/>
          <w:sz w:val="24"/>
        </w:rPr>
        <w:t> </w:t>
      </w:r>
      <w:r>
        <w:rPr>
          <w:sz w:val="24"/>
        </w:rPr>
        <w:t>as</w:t>
      </w:r>
      <w:r>
        <w:rPr>
          <w:spacing w:val="-2"/>
          <w:sz w:val="24"/>
        </w:rPr>
        <w:t> </w:t>
      </w:r>
      <w:r>
        <w:rPr>
          <w:sz w:val="24"/>
        </w:rPr>
        <w:t>possible</w:t>
      </w:r>
      <w:r>
        <w:rPr>
          <w:spacing w:val="-2"/>
          <w:sz w:val="24"/>
        </w:rPr>
        <w:t> </w:t>
      </w:r>
      <w:r>
        <w:rPr>
          <w:sz w:val="24"/>
        </w:rPr>
        <w:t>in</w:t>
      </w:r>
      <w:r>
        <w:rPr>
          <w:spacing w:val="-1"/>
          <w:sz w:val="24"/>
        </w:rPr>
        <w:t> </w:t>
      </w:r>
      <w:r>
        <w:rPr>
          <w:sz w:val="24"/>
        </w:rPr>
        <w:t>the</w:t>
      </w:r>
      <w:r>
        <w:rPr>
          <w:spacing w:val="-2"/>
          <w:sz w:val="24"/>
        </w:rPr>
        <w:t> </w:t>
      </w:r>
      <w:r>
        <w:rPr>
          <w:sz w:val="24"/>
        </w:rPr>
        <w:t>decision-making</w:t>
      </w:r>
      <w:r>
        <w:rPr>
          <w:spacing w:val="-4"/>
          <w:sz w:val="24"/>
        </w:rPr>
        <w:t> </w:t>
      </w:r>
      <w:r>
        <w:rPr>
          <w:sz w:val="24"/>
        </w:rPr>
        <w:t>process;</w:t>
      </w:r>
      <w:r>
        <w:rPr>
          <w:spacing w:val="3"/>
          <w:sz w:val="24"/>
        </w:rPr>
        <w:t> </w:t>
      </w:r>
      <w:r>
        <w:rPr>
          <w:spacing w:val="-10"/>
          <w:sz w:val="24"/>
        </w:rPr>
        <w:t>\</w:t>
      </w:r>
    </w:p>
    <w:p>
      <w:pPr>
        <w:pStyle w:val="ListParagraph"/>
        <w:numPr>
          <w:ilvl w:val="0"/>
          <w:numId w:val="43"/>
        </w:numPr>
        <w:tabs>
          <w:tab w:pos="959" w:val="left" w:leader="none"/>
        </w:tabs>
        <w:spacing w:line="240" w:lineRule="auto" w:before="139" w:after="0"/>
        <w:ind w:left="959" w:right="0" w:hanging="553"/>
        <w:jc w:val="both"/>
        <w:rPr>
          <w:sz w:val="24"/>
        </w:rPr>
      </w:pPr>
      <w:r>
        <w:rPr>
          <w:sz w:val="24"/>
        </w:rPr>
        <w:t>Representation</w:t>
      </w:r>
      <w:r>
        <w:rPr>
          <w:spacing w:val="-2"/>
          <w:sz w:val="24"/>
        </w:rPr>
        <w:t> </w:t>
      </w:r>
      <w:r>
        <w:rPr>
          <w:sz w:val="24"/>
        </w:rPr>
        <w:t>must</w:t>
      </w:r>
      <w:r>
        <w:rPr>
          <w:spacing w:val="-1"/>
          <w:sz w:val="24"/>
        </w:rPr>
        <w:t> </w:t>
      </w:r>
      <w:r>
        <w:rPr>
          <w:sz w:val="24"/>
        </w:rPr>
        <w:t>be</w:t>
      </w:r>
      <w:r>
        <w:rPr>
          <w:spacing w:val="-2"/>
          <w:sz w:val="24"/>
        </w:rPr>
        <w:t> </w:t>
      </w:r>
      <w:r>
        <w:rPr>
          <w:sz w:val="24"/>
        </w:rPr>
        <w:t>fair</w:t>
      </w:r>
      <w:r>
        <w:rPr>
          <w:spacing w:val="-1"/>
          <w:sz w:val="24"/>
        </w:rPr>
        <w:t> </w:t>
      </w:r>
      <w:r>
        <w:rPr>
          <w:sz w:val="24"/>
        </w:rPr>
        <w:t>and</w:t>
      </w:r>
      <w:r>
        <w:rPr>
          <w:spacing w:val="-1"/>
          <w:sz w:val="24"/>
        </w:rPr>
        <w:t> </w:t>
      </w:r>
      <w:r>
        <w:rPr>
          <w:spacing w:val="-2"/>
          <w:sz w:val="24"/>
        </w:rPr>
        <w:t>equitable;</w:t>
      </w:r>
    </w:p>
    <w:p>
      <w:pPr>
        <w:pStyle w:val="ListParagraph"/>
        <w:numPr>
          <w:ilvl w:val="0"/>
          <w:numId w:val="43"/>
        </w:numPr>
        <w:tabs>
          <w:tab w:pos="957" w:val="left" w:leader="none"/>
          <w:tab w:pos="960" w:val="left" w:leader="none"/>
        </w:tabs>
        <w:spacing w:line="360" w:lineRule="auto" w:before="137" w:after="0"/>
        <w:ind w:left="960" w:right="843" w:hanging="620"/>
        <w:jc w:val="both"/>
        <w:rPr>
          <w:sz w:val="24"/>
        </w:rPr>
      </w:pPr>
      <w:r>
        <w:rPr>
          <w:sz w:val="24"/>
        </w:rPr>
        <w:t>Appropriate training is given to participatory groups. This may require a dedicated council team;</w:t>
      </w:r>
    </w:p>
    <w:p>
      <w:pPr>
        <w:pStyle w:val="ListParagraph"/>
        <w:numPr>
          <w:ilvl w:val="0"/>
          <w:numId w:val="43"/>
        </w:numPr>
        <w:tabs>
          <w:tab w:pos="958" w:val="left" w:leader="none"/>
          <w:tab w:pos="960" w:val="left" w:leader="none"/>
        </w:tabs>
        <w:spacing w:line="360" w:lineRule="auto" w:before="0" w:after="0"/>
        <w:ind w:left="960" w:right="838" w:hanging="608"/>
        <w:jc w:val="both"/>
        <w:rPr>
          <w:sz w:val="24"/>
        </w:rPr>
      </w:pPr>
      <w:r>
        <w:rPr>
          <w:sz w:val="24"/>
        </w:rPr>
        <w:t>There is some commonality/theme in the type of budget/grant being allocated e.g. regeneration; neighbourhood development; project based, so that decision making can be made by reference to some benchmark or standard;</w:t>
      </w:r>
    </w:p>
    <w:p>
      <w:pPr>
        <w:pStyle w:val="ListParagraph"/>
        <w:numPr>
          <w:ilvl w:val="0"/>
          <w:numId w:val="43"/>
        </w:numPr>
        <w:tabs>
          <w:tab w:pos="959" w:val="left" w:leader="none"/>
        </w:tabs>
        <w:spacing w:line="240" w:lineRule="auto" w:before="2" w:after="0"/>
        <w:ind w:left="959" w:right="0" w:hanging="539"/>
        <w:jc w:val="both"/>
        <w:rPr>
          <w:sz w:val="24"/>
        </w:rPr>
      </w:pPr>
      <w:r>
        <w:rPr>
          <w:sz w:val="24"/>
        </w:rPr>
        <w:t>The</w:t>
      </w:r>
      <w:r>
        <w:rPr>
          <w:spacing w:val="-3"/>
          <w:sz w:val="24"/>
        </w:rPr>
        <w:t> </w:t>
      </w:r>
      <w:r>
        <w:rPr>
          <w:sz w:val="24"/>
        </w:rPr>
        <w:t>process</w:t>
      </w:r>
      <w:r>
        <w:rPr>
          <w:spacing w:val="-1"/>
          <w:sz w:val="24"/>
        </w:rPr>
        <w:t> </w:t>
      </w:r>
      <w:r>
        <w:rPr>
          <w:sz w:val="24"/>
        </w:rPr>
        <w:t>is</w:t>
      </w:r>
      <w:r>
        <w:rPr>
          <w:spacing w:val="-2"/>
          <w:sz w:val="24"/>
        </w:rPr>
        <w:t> </w:t>
      </w:r>
      <w:r>
        <w:rPr>
          <w:sz w:val="24"/>
        </w:rPr>
        <w:t>linked directly</w:t>
      </w:r>
      <w:r>
        <w:rPr>
          <w:spacing w:val="-5"/>
          <w:sz w:val="24"/>
        </w:rPr>
        <w:t> </w:t>
      </w:r>
      <w:r>
        <w:rPr>
          <w:sz w:val="24"/>
        </w:rPr>
        <w:t>to</w:t>
      </w:r>
      <w:r>
        <w:rPr>
          <w:spacing w:val="-1"/>
          <w:sz w:val="24"/>
        </w:rPr>
        <w:t> </w:t>
      </w:r>
      <w:r>
        <w:rPr>
          <w:sz w:val="24"/>
        </w:rPr>
        <w:t>the</w:t>
      </w:r>
      <w:r>
        <w:rPr>
          <w:spacing w:val="1"/>
          <w:sz w:val="24"/>
        </w:rPr>
        <w:t> </w:t>
      </w:r>
      <w:r>
        <w:rPr>
          <w:sz w:val="24"/>
        </w:rPr>
        <w:t>council‘s</w:t>
      </w:r>
      <w:r>
        <w:rPr>
          <w:spacing w:val="-2"/>
          <w:sz w:val="24"/>
        </w:rPr>
        <w:t> </w:t>
      </w:r>
      <w:r>
        <w:rPr>
          <w:sz w:val="24"/>
        </w:rPr>
        <w:t>budget-making</w:t>
      </w:r>
      <w:r>
        <w:rPr>
          <w:spacing w:val="-2"/>
          <w:sz w:val="24"/>
        </w:rPr>
        <w:t> </w:t>
      </w:r>
      <w:r>
        <w:rPr>
          <w:sz w:val="24"/>
        </w:rPr>
        <w:t>process </w:t>
      </w:r>
      <w:r>
        <w:rPr>
          <w:spacing w:val="-5"/>
          <w:sz w:val="24"/>
        </w:rPr>
        <w:t>and</w:t>
      </w:r>
    </w:p>
    <w:p>
      <w:pPr>
        <w:pStyle w:val="ListParagraph"/>
        <w:numPr>
          <w:ilvl w:val="0"/>
          <w:numId w:val="43"/>
        </w:numPr>
        <w:tabs>
          <w:tab w:pos="958" w:val="left" w:leader="none"/>
          <w:tab w:pos="960" w:val="left" w:leader="none"/>
        </w:tabs>
        <w:spacing w:line="360" w:lineRule="auto" w:before="137" w:after="0"/>
        <w:ind w:left="960" w:right="835" w:hanging="608"/>
        <w:jc w:val="both"/>
        <w:rPr>
          <w:sz w:val="24"/>
        </w:rPr>
      </w:pPr>
      <w:r>
        <w:rPr>
          <w:sz w:val="24"/>
        </w:rPr>
        <w:t>It is generally targeted at ‗hard to reach‘ groups not otherwise involved in decision- making processes – thus making the biggest gains.</w:t>
      </w:r>
    </w:p>
    <w:p>
      <w:pPr>
        <w:pStyle w:val="BodyText"/>
        <w:spacing w:before="173"/>
        <w:ind w:left="240"/>
        <w:jc w:val="both"/>
      </w:pPr>
      <w:r>
        <w:rPr/>
        <w:t>The</w:t>
      </w:r>
      <w:r>
        <w:rPr>
          <w:spacing w:val="-3"/>
        </w:rPr>
        <w:t> </w:t>
      </w:r>
      <w:r>
        <w:rPr/>
        <w:t>potential advantages</w:t>
      </w:r>
      <w:r>
        <w:rPr>
          <w:spacing w:val="1"/>
        </w:rPr>
        <w:t> </w:t>
      </w:r>
      <w:r>
        <w:rPr/>
        <w:t>of the</w:t>
      </w:r>
      <w:r>
        <w:rPr>
          <w:spacing w:val="-3"/>
        </w:rPr>
        <w:t> </w:t>
      </w:r>
      <w:r>
        <w:rPr/>
        <w:t>participatory</w:t>
      </w:r>
      <w:r>
        <w:rPr>
          <w:spacing w:val="-3"/>
        </w:rPr>
        <w:t> </w:t>
      </w:r>
      <w:r>
        <w:rPr/>
        <w:t>approach </w:t>
      </w:r>
      <w:r>
        <w:rPr>
          <w:spacing w:val="-2"/>
        </w:rPr>
        <w:t>include:</w:t>
      </w:r>
    </w:p>
    <w:p>
      <w:pPr>
        <w:pStyle w:val="ListParagraph"/>
        <w:numPr>
          <w:ilvl w:val="0"/>
          <w:numId w:val="44"/>
        </w:numPr>
        <w:tabs>
          <w:tab w:pos="960" w:val="left" w:leader="none"/>
        </w:tabs>
        <w:spacing w:line="240" w:lineRule="auto" w:before="139" w:after="0"/>
        <w:ind w:left="960" w:right="0" w:hanging="487"/>
        <w:jc w:val="left"/>
        <w:rPr>
          <w:sz w:val="24"/>
        </w:rPr>
      </w:pPr>
      <w:r>
        <w:rPr>
          <w:sz w:val="24"/>
        </w:rPr>
        <w:t>Improved</w:t>
      </w:r>
      <w:r>
        <w:rPr>
          <w:spacing w:val="-4"/>
          <w:sz w:val="24"/>
        </w:rPr>
        <w:t> </w:t>
      </w:r>
      <w:r>
        <w:rPr>
          <w:sz w:val="24"/>
        </w:rPr>
        <w:t>decision-</w:t>
      </w:r>
      <w:r>
        <w:rPr>
          <w:spacing w:val="-2"/>
          <w:sz w:val="24"/>
        </w:rPr>
        <w:t>making;</w:t>
      </w:r>
    </w:p>
    <w:p>
      <w:pPr>
        <w:pStyle w:val="ListParagraph"/>
        <w:numPr>
          <w:ilvl w:val="0"/>
          <w:numId w:val="44"/>
        </w:numPr>
        <w:tabs>
          <w:tab w:pos="960" w:val="left" w:leader="none"/>
        </w:tabs>
        <w:spacing w:line="240" w:lineRule="auto" w:before="137" w:after="0"/>
        <w:ind w:left="960" w:right="0" w:hanging="554"/>
        <w:jc w:val="left"/>
        <w:rPr>
          <w:sz w:val="24"/>
        </w:rPr>
      </w:pPr>
      <w:r>
        <w:rPr>
          <w:sz w:val="24"/>
        </w:rPr>
        <w:t>Better</w:t>
      </w:r>
      <w:r>
        <w:rPr>
          <w:spacing w:val="-2"/>
          <w:sz w:val="24"/>
        </w:rPr>
        <w:t> </w:t>
      </w:r>
      <w:r>
        <w:rPr>
          <w:sz w:val="24"/>
        </w:rPr>
        <w:t>understanding</w:t>
      </w:r>
      <w:r>
        <w:rPr>
          <w:spacing w:val="-3"/>
          <w:sz w:val="24"/>
        </w:rPr>
        <w:t> </w:t>
      </w:r>
      <w:r>
        <w:rPr>
          <w:sz w:val="24"/>
        </w:rPr>
        <w:t>of</w:t>
      </w:r>
      <w:r>
        <w:rPr>
          <w:spacing w:val="-2"/>
          <w:sz w:val="24"/>
        </w:rPr>
        <w:t> </w:t>
      </w:r>
      <w:r>
        <w:rPr>
          <w:sz w:val="24"/>
        </w:rPr>
        <w:t>budgeting</w:t>
      </w:r>
      <w:r>
        <w:rPr>
          <w:spacing w:val="-3"/>
          <w:sz w:val="24"/>
        </w:rPr>
        <w:t> </w:t>
      </w:r>
      <w:r>
        <w:rPr>
          <w:spacing w:val="-2"/>
          <w:sz w:val="24"/>
        </w:rPr>
        <w:t>processes;</w:t>
      </w:r>
    </w:p>
    <w:p>
      <w:pPr>
        <w:pStyle w:val="ListParagraph"/>
        <w:numPr>
          <w:ilvl w:val="0"/>
          <w:numId w:val="44"/>
        </w:numPr>
        <w:tabs>
          <w:tab w:pos="960" w:val="left" w:leader="none"/>
        </w:tabs>
        <w:spacing w:line="360" w:lineRule="auto" w:before="139" w:after="0"/>
        <w:ind w:left="960" w:right="1286" w:hanging="620"/>
        <w:jc w:val="left"/>
        <w:rPr>
          <w:sz w:val="24"/>
        </w:rPr>
      </w:pPr>
      <w:r>
        <w:rPr>
          <w:sz w:val="24"/>
        </w:rPr>
        <w:t>People</w:t>
      </w:r>
      <w:r>
        <w:rPr>
          <w:spacing w:val="-3"/>
          <w:sz w:val="24"/>
        </w:rPr>
        <w:t> </w:t>
      </w:r>
      <w:r>
        <w:rPr>
          <w:sz w:val="24"/>
        </w:rPr>
        <w:t>will</w:t>
      </w:r>
      <w:r>
        <w:rPr>
          <w:spacing w:val="-3"/>
          <w:sz w:val="24"/>
        </w:rPr>
        <w:t> </w:t>
      </w:r>
      <w:r>
        <w:rPr>
          <w:sz w:val="24"/>
        </w:rPr>
        <w:t>take</w:t>
      </w:r>
      <w:r>
        <w:rPr>
          <w:spacing w:val="-4"/>
          <w:sz w:val="24"/>
        </w:rPr>
        <w:t> </w:t>
      </w:r>
      <w:r>
        <w:rPr>
          <w:sz w:val="24"/>
        </w:rPr>
        <w:t>ownership</w:t>
      </w:r>
      <w:r>
        <w:rPr>
          <w:spacing w:val="-3"/>
          <w:sz w:val="24"/>
        </w:rPr>
        <w:t> </w:t>
      </w:r>
      <w:r>
        <w:rPr>
          <w:sz w:val="24"/>
        </w:rPr>
        <w:t>of</w:t>
      </w:r>
      <w:r>
        <w:rPr>
          <w:spacing w:val="-3"/>
          <w:sz w:val="24"/>
        </w:rPr>
        <w:t> </w:t>
      </w:r>
      <w:r>
        <w:rPr>
          <w:sz w:val="24"/>
        </w:rPr>
        <w:t>actions</w:t>
      </w:r>
      <w:r>
        <w:rPr>
          <w:spacing w:val="-3"/>
          <w:sz w:val="24"/>
        </w:rPr>
        <w:t> </w:t>
      </w:r>
      <w:r>
        <w:rPr>
          <w:sz w:val="24"/>
        </w:rPr>
        <w:t>where</w:t>
      </w:r>
      <w:r>
        <w:rPr>
          <w:spacing w:val="-4"/>
          <w:sz w:val="24"/>
        </w:rPr>
        <w:t> </w:t>
      </w:r>
      <w:r>
        <w:rPr>
          <w:sz w:val="24"/>
        </w:rPr>
        <w:t>they</w:t>
      </w:r>
      <w:r>
        <w:rPr>
          <w:spacing w:val="-6"/>
          <w:sz w:val="24"/>
        </w:rPr>
        <w:t> </w:t>
      </w:r>
      <w:r>
        <w:rPr>
          <w:sz w:val="24"/>
        </w:rPr>
        <w:t>have</w:t>
      </w:r>
      <w:r>
        <w:rPr>
          <w:spacing w:val="-4"/>
          <w:sz w:val="24"/>
        </w:rPr>
        <w:t> </w:t>
      </w:r>
      <w:r>
        <w:rPr>
          <w:sz w:val="24"/>
        </w:rPr>
        <w:t>been</w:t>
      </w:r>
      <w:r>
        <w:rPr>
          <w:spacing w:val="-3"/>
          <w:sz w:val="24"/>
        </w:rPr>
        <w:t> </w:t>
      </w:r>
      <w:r>
        <w:rPr>
          <w:sz w:val="24"/>
        </w:rPr>
        <w:t>involved</w:t>
      </w:r>
      <w:r>
        <w:rPr>
          <w:spacing w:val="-3"/>
          <w:sz w:val="24"/>
        </w:rPr>
        <w:t> </w:t>
      </w:r>
      <w:r>
        <w:rPr>
          <w:sz w:val="24"/>
        </w:rPr>
        <w:t>in</w:t>
      </w:r>
      <w:r>
        <w:rPr>
          <w:spacing w:val="-3"/>
          <w:sz w:val="24"/>
        </w:rPr>
        <w:t> </w:t>
      </w:r>
      <w:r>
        <w:rPr>
          <w:sz w:val="24"/>
        </w:rPr>
        <w:t>the</w:t>
      </w:r>
      <w:r>
        <w:rPr>
          <w:spacing w:val="-4"/>
          <w:sz w:val="24"/>
        </w:rPr>
        <w:t> </w:t>
      </w:r>
      <w:r>
        <w:rPr>
          <w:sz w:val="24"/>
        </w:rPr>
        <w:t>decision- making process;</w:t>
      </w:r>
    </w:p>
    <w:p>
      <w:pPr>
        <w:pStyle w:val="ListParagraph"/>
        <w:numPr>
          <w:ilvl w:val="0"/>
          <w:numId w:val="44"/>
        </w:numPr>
        <w:tabs>
          <w:tab w:pos="960" w:val="left" w:leader="none"/>
        </w:tabs>
        <w:spacing w:line="240" w:lineRule="auto" w:before="1" w:after="0"/>
        <w:ind w:left="960" w:right="0" w:hanging="607"/>
        <w:jc w:val="left"/>
        <w:rPr>
          <w:sz w:val="24"/>
        </w:rPr>
      </w:pPr>
      <w:r>
        <w:rPr>
          <w:sz w:val="24"/>
        </w:rPr>
        <w:t>Projects</w:t>
      </w:r>
      <w:r>
        <w:rPr>
          <w:spacing w:val="-1"/>
          <w:sz w:val="24"/>
        </w:rPr>
        <w:t> </w:t>
      </w:r>
      <w:r>
        <w:rPr>
          <w:sz w:val="24"/>
        </w:rPr>
        <w:t>more</w:t>
      </w:r>
      <w:r>
        <w:rPr>
          <w:spacing w:val="-2"/>
          <w:sz w:val="24"/>
        </w:rPr>
        <w:t> </w:t>
      </w:r>
      <w:r>
        <w:rPr>
          <w:sz w:val="24"/>
        </w:rPr>
        <w:t>likely</w:t>
      </w:r>
      <w:r>
        <w:rPr>
          <w:spacing w:val="-6"/>
          <w:sz w:val="24"/>
        </w:rPr>
        <w:t> </w:t>
      </w:r>
      <w:r>
        <w:rPr>
          <w:sz w:val="24"/>
        </w:rPr>
        <w:t>to</w:t>
      </w:r>
      <w:r>
        <w:rPr>
          <w:spacing w:val="-1"/>
          <w:sz w:val="24"/>
        </w:rPr>
        <w:t> </w:t>
      </w:r>
      <w:r>
        <w:rPr>
          <w:sz w:val="24"/>
        </w:rPr>
        <w:t>be</w:t>
      </w:r>
      <w:r>
        <w:rPr>
          <w:spacing w:val="-2"/>
          <w:sz w:val="24"/>
        </w:rPr>
        <w:t> </w:t>
      </w:r>
      <w:r>
        <w:rPr>
          <w:sz w:val="24"/>
        </w:rPr>
        <w:t>delivered </w:t>
      </w:r>
      <w:r>
        <w:rPr>
          <w:spacing w:val="-2"/>
          <w:sz w:val="24"/>
        </w:rPr>
        <w:t>transparently;</w:t>
      </w:r>
    </w:p>
    <w:p>
      <w:pPr>
        <w:pStyle w:val="ListParagraph"/>
        <w:numPr>
          <w:ilvl w:val="0"/>
          <w:numId w:val="44"/>
        </w:numPr>
        <w:tabs>
          <w:tab w:pos="960" w:val="left" w:leader="none"/>
        </w:tabs>
        <w:spacing w:line="240" w:lineRule="auto" w:before="137" w:after="0"/>
        <w:ind w:left="960" w:right="0" w:hanging="540"/>
        <w:jc w:val="left"/>
        <w:rPr>
          <w:sz w:val="24"/>
        </w:rPr>
      </w:pPr>
      <w:r>
        <w:rPr>
          <w:sz w:val="24"/>
        </w:rPr>
        <w:t>Less</w:t>
      </w:r>
      <w:r>
        <w:rPr>
          <w:spacing w:val="1"/>
          <w:sz w:val="24"/>
        </w:rPr>
        <w:t> </w:t>
      </w:r>
      <w:r>
        <w:rPr>
          <w:sz w:val="24"/>
        </w:rPr>
        <w:t>cynicism</w:t>
      </w:r>
      <w:r>
        <w:rPr>
          <w:spacing w:val="-1"/>
          <w:sz w:val="24"/>
        </w:rPr>
        <w:t> </w:t>
      </w:r>
      <w:r>
        <w:rPr>
          <w:sz w:val="24"/>
        </w:rPr>
        <w:t>or apathy</w:t>
      </w:r>
      <w:r>
        <w:rPr>
          <w:spacing w:val="-6"/>
          <w:sz w:val="24"/>
        </w:rPr>
        <w:t> </w:t>
      </w:r>
      <w:r>
        <w:rPr>
          <w:sz w:val="24"/>
        </w:rPr>
        <w:t>towards</w:t>
      </w:r>
      <w:r>
        <w:rPr>
          <w:spacing w:val="-1"/>
          <w:sz w:val="24"/>
        </w:rPr>
        <w:t> </w:t>
      </w:r>
      <w:r>
        <w:rPr>
          <w:sz w:val="24"/>
        </w:rPr>
        <w:t>the</w:t>
      </w:r>
      <w:r>
        <w:rPr>
          <w:spacing w:val="-1"/>
          <w:sz w:val="24"/>
        </w:rPr>
        <w:t> </w:t>
      </w:r>
      <w:r>
        <w:rPr>
          <w:sz w:val="24"/>
        </w:rPr>
        <w:t>local</w:t>
      </w:r>
      <w:r>
        <w:rPr>
          <w:spacing w:val="-1"/>
          <w:sz w:val="24"/>
        </w:rPr>
        <w:t> </w:t>
      </w:r>
      <w:r>
        <w:rPr>
          <w:sz w:val="24"/>
        </w:rPr>
        <w:t>authority</w:t>
      </w:r>
      <w:r>
        <w:rPr>
          <w:spacing w:val="-3"/>
          <w:sz w:val="24"/>
        </w:rPr>
        <w:t> </w:t>
      </w:r>
      <w:r>
        <w:rPr>
          <w:spacing w:val="-5"/>
          <w:sz w:val="24"/>
        </w:rPr>
        <w:t>and</w:t>
      </w:r>
    </w:p>
    <w:p>
      <w:pPr>
        <w:pStyle w:val="ListParagraph"/>
        <w:numPr>
          <w:ilvl w:val="0"/>
          <w:numId w:val="44"/>
        </w:numPr>
        <w:tabs>
          <w:tab w:pos="960" w:val="left" w:leader="none"/>
        </w:tabs>
        <w:spacing w:line="240" w:lineRule="auto" w:before="139" w:after="0"/>
        <w:ind w:left="960" w:right="0" w:hanging="607"/>
        <w:jc w:val="left"/>
        <w:rPr>
          <w:sz w:val="24"/>
        </w:rPr>
      </w:pPr>
      <w:r>
        <w:rPr>
          <w:sz w:val="24"/>
        </w:rPr>
        <w:t>Reaching</w:t>
      </w:r>
      <w:r>
        <w:rPr>
          <w:spacing w:val="-5"/>
          <w:sz w:val="24"/>
        </w:rPr>
        <w:t> </w:t>
      </w:r>
      <w:r>
        <w:rPr>
          <w:sz w:val="24"/>
        </w:rPr>
        <w:t>parts</w:t>
      </w:r>
      <w:r>
        <w:rPr>
          <w:spacing w:val="1"/>
          <w:sz w:val="24"/>
        </w:rPr>
        <w:t> </w:t>
      </w:r>
      <w:r>
        <w:rPr>
          <w:sz w:val="24"/>
        </w:rPr>
        <w:t>of</w:t>
      </w:r>
      <w:r>
        <w:rPr>
          <w:spacing w:val="-1"/>
          <w:sz w:val="24"/>
        </w:rPr>
        <w:t> </w:t>
      </w:r>
      <w:r>
        <w:rPr>
          <w:sz w:val="24"/>
        </w:rPr>
        <w:t>the community</w:t>
      </w:r>
      <w:r>
        <w:rPr>
          <w:spacing w:val="-8"/>
          <w:sz w:val="24"/>
        </w:rPr>
        <w:t> </w:t>
      </w:r>
      <w:r>
        <w:rPr>
          <w:sz w:val="24"/>
        </w:rPr>
        <w:t>otherwise excluded</w:t>
      </w:r>
      <w:r>
        <w:rPr>
          <w:spacing w:val="1"/>
          <w:sz w:val="24"/>
        </w:rPr>
        <w:t> </w:t>
      </w:r>
      <w:r>
        <w:rPr>
          <w:sz w:val="24"/>
        </w:rPr>
        <w:t>from</w:t>
      </w:r>
      <w:r>
        <w:rPr>
          <w:spacing w:val="1"/>
          <w:sz w:val="24"/>
        </w:rPr>
        <w:t> </w:t>
      </w:r>
      <w:r>
        <w:rPr>
          <w:sz w:val="24"/>
        </w:rPr>
        <w:t>decision-</w:t>
      </w:r>
      <w:r>
        <w:rPr>
          <w:spacing w:val="-2"/>
          <w:sz w:val="24"/>
        </w:rPr>
        <w:t>making.</w:t>
      </w:r>
    </w:p>
    <w:p>
      <w:pPr>
        <w:pStyle w:val="BodyText"/>
        <w:spacing w:before="103"/>
      </w:pPr>
    </w:p>
    <w:p>
      <w:pPr>
        <w:pStyle w:val="BodyText"/>
        <w:ind w:left="240"/>
        <w:jc w:val="both"/>
      </w:pPr>
      <w:r>
        <w:rPr/>
        <w:t>The</w:t>
      </w:r>
      <w:r>
        <w:rPr>
          <w:spacing w:val="-3"/>
        </w:rPr>
        <w:t> </w:t>
      </w:r>
      <w:r>
        <w:rPr/>
        <w:t>possible</w:t>
      </w:r>
      <w:r>
        <w:rPr>
          <w:spacing w:val="-1"/>
        </w:rPr>
        <w:t> </w:t>
      </w:r>
      <w:r>
        <w:rPr/>
        <w:t>disadvantages </w:t>
      </w:r>
      <w:r>
        <w:rPr>
          <w:spacing w:val="-4"/>
        </w:rPr>
        <w:t>are:</w:t>
      </w:r>
    </w:p>
    <w:p>
      <w:pPr>
        <w:pStyle w:val="ListParagraph"/>
        <w:numPr>
          <w:ilvl w:val="0"/>
          <w:numId w:val="45"/>
        </w:numPr>
        <w:tabs>
          <w:tab w:pos="960" w:val="left" w:leader="none"/>
        </w:tabs>
        <w:spacing w:line="240" w:lineRule="auto" w:before="137" w:after="0"/>
        <w:ind w:left="960" w:right="0" w:hanging="487"/>
        <w:jc w:val="left"/>
        <w:rPr>
          <w:sz w:val="24"/>
        </w:rPr>
      </w:pPr>
      <w:r>
        <w:rPr>
          <w:sz w:val="24"/>
        </w:rPr>
        <w:t>The</w:t>
      </w:r>
      <w:r>
        <w:rPr>
          <w:spacing w:val="-3"/>
          <w:sz w:val="24"/>
        </w:rPr>
        <w:t> </w:t>
      </w:r>
      <w:r>
        <w:rPr>
          <w:sz w:val="24"/>
        </w:rPr>
        <w:t>ministry, agency</w:t>
      </w:r>
      <w:r>
        <w:rPr>
          <w:spacing w:val="-6"/>
          <w:sz w:val="24"/>
        </w:rPr>
        <w:t> </w:t>
      </w:r>
      <w:r>
        <w:rPr>
          <w:sz w:val="24"/>
        </w:rPr>
        <w:t>or</w:t>
      </w:r>
      <w:r>
        <w:rPr>
          <w:spacing w:val="1"/>
          <w:sz w:val="24"/>
        </w:rPr>
        <w:t> </w:t>
      </w:r>
      <w:r>
        <w:rPr>
          <w:sz w:val="24"/>
        </w:rPr>
        <w:t>department may</w:t>
      </w:r>
      <w:r>
        <w:rPr>
          <w:spacing w:val="-6"/>
          <w:sz w:val="24"/>
        </w:rPr>
        <w:t> </w:t>
      </w:r>
      <w:r>
        <w:rPr>
          <w:sz w:val="24"/>
        </w:rPr>
        <w:t>be</w:t>
      </w:r>
      <w:r>
        <w:rPr>
          <w:spacing w:val="-1"/>
          <w:sz w:val="24"/>
        </w:rPr>
        <w:t> </w:t>
      </w:r>
      <w:r>
        <w:rPr>
          <w:sz w:val="24"/>
        </w:rPr>
        <w:t>seen</w:t>
      </w:r>
      <w:r>
        <w:rPr>
          <w:spacing w:val="2"/>
          <w:sz w:val="24"/>
        </w:rPr>
        <w:t> </w:t>
      </w:r>
      <w:r>
        <w:rPr>
          <w:sz w:val="24"/>
        </w:rPr>
        <w:t>as</w:t>
      </w:r>
      <w:r>
        <w:rPr>
          <w:spacing w:val="-1"/>
          <w:sz w:val="24"/>
        </w:rPr>
        <w:t> </w:t>
      </w:r>
      <w:r>
        <w:rPr>
          <w:sz w:val="24"/>
        </w:rPr>
        <w:t>abrogating</w:t>
      </w:r>
      <w:r>
        <w:rPr>
          <w:spacing w:val="-3"/>
          <w:sz w:val="24"/>
        </w:rPr>
        <w:t> </w:t>
      </w:r>
      <w:r>
        <w:rPr>
          <w:sz w:val="24"/>
        </w:rPr>
        <w:t>its </w:t>
      </w:r>
      <w:r>
        <w:rPr>
          <w:spacing w:val="-2"/>
          <w:sz w:val="24"/>
        </w:rPr>
        <w:t>responsibilities;</w:t>
      </w:r>
    </w:p>
    <w:p>
      <w:pPr>
        <w:pStyle w:val="ListParagraph"/>
        <w:numPr>
          <w:ilvl w:val="0"/>
          <w:numId w:val="45"/>
        </w:numPr>
        <w:tabs>
          <w:tab w:pos="960" w:val="left" w:leader="none"/>
        </w:tabs>
        <w:spacing w:line="240" w:lineRule="auto" w:before="139" w:after="0"/>
        <w:ind w:left="960" w:right="0" w:hanging="554"/>
        <w:jc w:val="left"/>
        <w:rPr>
          <w:sz w:val="24"/>
        </w:rPr>
      </w:pPr>
      <w:r>
        <w:rPr>
          <w:sz w:val="24"/>
        </w:rPr>
        <w:t>Participation</w:t>
      </w:r>
      <w:r>
        <w:rPr>
          <w:spacing w:val="-2"/>
          <w:sz w:val="24"/>
        </w:rPr>
        <w:t> </w:t>
      </w:r>
      <w:r>
        <w:rPr>
          <w:sz w:val="24"/>
        </w:rPr>
        <w:t>may</w:t>
      </w:r>
      <w:r>
        <w:rPr>
          <w:spacing w:val="-5"/>
          <w:sz w:val="24"/>
        </w:rPr>
        <w:t> </w:t>
      </w:r>
      <w:r>
        <w:rPr>
          <w:sz w:val="24"/>
        </w:rPr>
        <w:t>be</w:t>
      </w:r>
      <w:r>
        <w:rPr>
          <w:spacing w:val="-1"/>
          <w:sz w:val="24"/>
        </w:rPr>
        <w:t> </w:t>
      </w:r>
      <w:r>
        <w:rPr>
          <w:spacing w:val="-4"/>
          <w:sz w:val="24"/>
        </w:rPr>
        <w:t>low;</w:t>
      </w:r>
    </w:p>
    <w:p>
      <w:pPr>
        <w:pStyle w:val="ListParagraph"/>
        <w:numPr>
          <w:ilvl w:val="0"/>
          <w:numId w:val="45"/>
        </w:numPr>
        <w:tabs>
          <w:tab w:pos="960" w:val="left" w:leader="none"/>
        </w:tabs>
        <w:spacing w:line="360" w:lineRule="auto" w:before="137" w:after="0"/>
        <w:ind w:left="960" w:right="844" w:hanging="620"/>
        <w:jc w:val="left"/>
        <w:rPr>
          <w:sz w:val="24"/>
        </w:rPr>
      </w:pPr>
      <w:r>
        <w:rPr>
          <w:sz w:val="24"/>
        </w:rPr>
        <w:t>Decisions</w:t>
      </w:r>
      <w:r>
        <w:rPr>
          <w:spacing w:val="28"/>
          <w:sz w:val="24"/>
        </w:rPr>
        <w:t> </w:t>
      </w:r>
      <w:r>
        <w:rPr>
          <w:sz w:val="24"/>
        </w:rPr>
        <w:t>may</w:t>
      </w:r>
      <w:r>
        <w:rPr>
          <w:spacing w:val="23"/>
          <w:sz w:val="24"/>
        </w:rPr>
        <w:t> </w:t>
      </w:r>
      <w:r>
        <w:rPr>
          <w:sz w:val="24"/>
        </w:rPr>
        <w:t>be</w:t>
      </w:r>
      <w:r>
        <w:rPr>
          <w:spacing w:val="27"/>
          <w:sz w:val="24"/>
        </w:rPr>
        <w:t> </w:t>
      </w:r>
      <w:r>
        <w:rPr>
          <w:sz w:val="24"/>
        </w:rPr>
        <w:t>biased</w:t>
      </w:r>
      <w:r>
        <w:rPr>
          <w:spacing w:val="27"/>
          <w:sz w:val="24"/>
        </w:rPr>
        <w:t> </w:t>
      </w:r>
      <w:r>
        <w:rPr>
          <w:sz w:val="24"/>
        </w:rPr>
        <w:t>towards</w:t>
      </w:r>
      <w:r>
        <w:rPr>
          <w:spacing w:val="27"/>
          <w:sz w:val="24"/>
        </w:rPr>
        <w:t> </w:t>
      </w:r>
      <w:r>
        <w:rPr>
          <w:sz w:val="24"/>
        </w:rPr>
        <w:t>those</w:t>
      </w:r>
      <w:r>
        <w:rPr>
          <w:spacing w:val="30"/>
          <w:sz w:val="24"/>
        </w:rPr>
        <w:t> </w:t>
      </w:r>
      <w:r>
        <w:rPr>
          <w:sz w:val="24"/>
        </w:rPr>
        <w:t>groups</w:t>
      </w:r>
      <w:r>
        <w:rPr>
          <w:spacing w:val="29"/>
          <w:sz w:val="24"/>
        </w:rPr>
        <w:t> </w:t>
      </w:r>
      <w:r>
        <w:rPr>
          <w:sz w:val="24"/>
        </w:rPr>
        <w:t>who</w:t>
      </w:r>
      <w:r>
        <w:rPr>
          <w:spacing w:val="27"/>
          <w:sz w:val="24"/>
        </w:rPr>
        <w:t> </w:t>
      </w:r>
      <w:r>
        <w:rPr>
          <w:sz w:val="24"/>
        </w:rPr>
        <w:t>can</w:t>
      </w:r>
      <w:r>
        <w:rPr>
          <w:spacing w:val="30"/>
          <w:sz w:val="24"/>
        </w:rPr>
        <w:t> </w:t>
      </w:r>
      <w:r>
        <w:rPr>
          <w:sz w:val="24"/>
        </w:rPr>
        <w:t>articulate</w:t>
      </w:r>
      <w:r>
        <w:rPr>
          <w:spacing w:val="27"/>
          <w:sz w:val="24"/>
        </w:rPr>
        <w:t> </w:t>
      </w:r>
      <w:r>
        <w:rPr>
          <w:sz w:val="24"/>
        </w:rPr>
        <w:t>their</w:t>
      </w:r>
      <w:r>
        <w:rPr>
          <w:spacing w:val="30"/>
          <w:sz w:val="24"/>
        </w:rPr>
        <w:t> </w:t>
      </w:r>
      <w:r>
        <w:rPr>
          <w:sz w:val="24"/>
        </w:rPr>
        <w:t>need</w:t>
      </w:r>
      <w:r>
        <w:rPr>
          <w:spacing w:val="27"/>
          <w:sz w:val="24"/>
        </w:rPr>
        <w:t> </w:t>
      </w:r>
      <w:r>
        <w:rPr>
          <w:sz w:val="24"/>
        </w:rPr>
        <w:t>over</w:t>
      </w:r>
      <w:r>
        <w:rPr>
          <w:spacing w:val="27"/>
          <w:sz w:val="24"/>
        </w:rPr>
        <w:t> </w:t>
      </w:r>
      <w:r>
        <w:rPr>
          <w:sz w:val="24"/>
        </w:rPr>
        <w:t>true </w:t>
      </w:r>
      <w:r>
        <w:rPr>
          <w:spacing w:val="-4"/>
          <w:sz w:val="24"/>
        </w:rPr>
        <w:t>need;</w:t>
      </w:r>
    </w:p>
    <w:p>
      <w:pPr>
        <w:pStyle w:val="ListParagraph"/>
        <w:numPr>
          <w:ilvl w:val="0"/>
          <w:numId w:val="45"/>
        </w:numPr>
        <w:tabs>
          <w:tab w:pos="960" w:val="left" w:leader="none"/>
        </w:tabs>
        <w:spacing w:line="240" w:lineRule="auto" w:before="1" w:after="0"/>
        <w:ind w:left="960" w:right="0" w:hanging="607"/>
        <w:jc w:val="left"/>
        <w:rPr>
          <w:sz w:val="24"/>
        </w:rPr>
      </w:pPr>
      <w:r>
        <w:rPr>
          <w:sz w:val="24"/>
        </w:rPr>
        <w:t>Budget</w:t>
      </w:r>
      <w:r>
        <w:rPr>
          <w:spacing w:val="-3"/>
          <w:sz w:val="24"/>
        </w:rPr>
        <w:t> </w:t>
      </w:r>
      <w:r>
        <w:rPr>
          <w:sz w:val="24"/>
        </w:rPr>
        <w:t>allocations may</w:t>
      </w:r>
      <w:r>
        <w:rPr>
          <w:spacing w:val="-5"/>
          <w:sz w:val="24"/>
        </w:rPr>
        <w:t> </w:t>
      </w:r>
      <w:r>
        <w:rPr>
          <w:sz w:val="24"/>
        </w:rPr>
        <w:t>be</w:t>
      </w:r>
      <w:r>
        <w:rPr>
          <w:spacing w:val="-1"/>
          <w:sz w:val="24"/>
        </w:rPr>
        <w:t> </w:t>
      </w:r>
      <w:r>
        <w:rPr>
          <w:sz w:val="24"/>
        </w:rPr>
        <w:t>one-off and</w:t>
      </w:r>
      <w:r>
        <w:rPr>
          <w:spacing w:val="2"/>
          <w:sz w:val="24"/>
        </w:rPr>
        <w:t> </w:t>
      </w:r>
      <w:r>
        <w:rPr>
          <w:sz w:val="24"/>
        </w:rPr>
        <w:t>give rise</w:t>
      </w:r>
      <w:r>
        <w:rPr>
          <w:spacing w:val="-1"/>
          <w:sz w:val="24"/>
        </w:rPr>
        <w:t> </w:t>
      </w:r>
      <w:r>
        <w:rPr>
          <w:sz w:val="24"/>
        </w:rPr>
        <w:t>to problems of continuity</w:t>
      </w:r>
      <w:r>
        <w:rPr>
          <w:spacing w:val="-5"/>
          <w:sz w:val="24"/>
        </w:rPr>
        <w:t> </w:t>
      </w:r>
      <w:r>
        <w:rPr>
          <w:sz w:val="24"/>
        </w:rPr>
        <w:t>of </w:t>
      </w:r>
      <w:r>
        <w:rPr>
          <w:spacing w:val="-2"/>
          <w:sz w:val="24"/>
        </w:rPr>
        <w:t>funding;</w:t>
      </w:r>
    </w:p>
    <w:p>
      <w:pPr>
        <w:pStyle w:val="ListParagraph"/>
        <w:numPr>
          <w:ilvl w:val="0"/>
          <w:numId w:val="45"/>
        </w:numPr>
        <w:tabs>
          <w:tab w:pos="960" w:val="left" w:leader="none"/>
        </w:tabs>
        <w:spacing w:line="360" w:lineRule="auto" w:before="139" w:after="0"/>
        <w:ind w:left="960" w:right="833" w:hanging="540"/>
        <w:jc w:val="left"/>
        <w:rPr>
          <w:sz w:val="24"/>
        </w:rPr>
      </w:pPr>
      <w:r>
        <w:rPr>
          <w:sz w:val="24"/>
        </w:rPr>
        <w:t>Many</w:t>
      </w:r>
      <w:r>
        <w:rPr>
          <w:spacing w:val="32"/>
          <w:sz w:val="24"/>
        </w:rPr>
        <w:t> </w:t>
      </w:r>
      <w:r>
        <w:rPr>
          <w:sz w:val="24"/>
        </w:rPr>
        <w:t>key</w:t>
      </w:r>
      <w:r>
        <w:rPr>
          <w:spacing w:val="32"/>
          <w:sz w:val="24"/>
        </w:rPr>
        <w:t> </w:t>
      </w:r>
      <w:r>
        <w:rPr>
          <w:sz w:val="24"/>
        </w:rPr>
        <w:t>local</w:t>
      </w:r>
      <w:r>
        <w:rPr>
          <w:spacing w:val="38"/>
          <w:sz w:val="24"/>
        </w:rPr>
        <w:t> </w:t>
      </w:r>
      <w:r>
        <w:rPr>
          <w:sz w:val="24"/>
        </w:rPr>
        <w:t>services,</w:t>
      </w:r>
      <w:r>
        <w:rPr>
          <w:spacing w:val="37"/>
          <w:sz w:val="24"/>
        </w:rPr>
        <w:t> </w:t>
      </w:r>
      <w:r>
        <w:rPr>
          <w:sz w:val="24"/>
        </w:rPr>
        <w:t>of</w:t>
      </w:r>
      <w:r>
        <w:rPr>
          <w:spacing w:val="36"/>
          <w:sz w:val="24"/>
        </w:rPr>
        <w:t> </w:t>
      </w:r>
      <w:r>
        <w:rPr>
          <w:sz w:val="24"/>
        </w:rPr>
        <w:t>community</w:t>
      </w:r>
      <w:r>
        <w:rPr>
          <w:spacing w:val="30"/>
          <w:sz w:val="24"/>
        </w:rPr>
        <w:t> </w:t>
      </w:r>
      <w:r>
        <w:rPr>
          <w:sz w:val="24"/>
        </w:rPr>
        <w:t>interest,</w:t>
      </w:r>
      <w:r>
        <w:rPr>
          <w:spacing w:val="40"/>
          <w:sz w:val="24"/>
        </w:rPr>
        <w:t> </w:t>
      </w:r>
      <w:r>
        <w:rPr>
          <w:sz w:val="24"/>
        </w:rPr>
        <w:t>are</w:t>
      </w:r>
      <w:r>
        <w:rPr>
          <w:spacing w:val="35"/>
          <w:sz w:val="24"/>
        </w:rPr>
        <w:t> </w:t>
      </w:r>
      <w:r>
        <w:rPr>
          <w:sz w:val="24"/>
        </w:rPr>
        <w:t>outside</w:t>
      </w:r>
      <w:r>
        <w:rPr>
          <w:spacing w:val="36"/>
          <w:sz w:val="24"/>
        </w:rPr>
        <w:t> </w:t>
      </w:r>
      <w:r>
        <w:rPr>
          <w:sz w:val="24"/>
        </w:rPr>
        <w:t>local</w:t>
      </w:r>
      <w:r>
        <w:rPr>
          <w:spacing w:val="38"/>
          <w:sz w:val="24"/>
        </w:rPr>
        <w:t> </w:t>
      </w:r>
      <w:r>
        <w:rPr>
          <w:sz w:val="24"/>
        </w:rPr>
        <w:t>government</w:t>
      </w:r>
      <w:r>
        <w:rPr>
          <w:spacing w:val="40"/>
          <w:sz w:val="24"/>
        </w:rPr>
        <w:t> </w:t>
      </w:r>
      <w:r>
        <w:rPr>
          <w:sz w:val="24"/>
        </w:rPr>
        <w:t>control may need formal partnership arrangements to make progress;</w:t>
      </w:r>
    </w:p>
    <w:p>
      <w:pPr>
        <w:pStyle w:val="ListParagraph"/>
        <w:numPr>
          <w:ilvl w:val="0"/>
          <w:numId w:val="45"/>
        </w:numPr>
        <w:tabs>
          <w:tab w:pos="960" w:val="left" w:leader="none"/>
        </w:tabs>
        <w:spacing w:line="360" w:lineRule="auto" w:before="0" w:after="0"/>
        <w:ind w:left="960" w:right="845" w:hanging="608"/>
        <w:jc w:val="left"/>
        <w:rPr>
          <w:sz w:val="24"/>
        </w:rPr>
      </w:pPr>
      <w:r>
        <w:rPr>
          <w:sz w:val="24"/>
        </w:rPr>
        <w:t>Organisations which benefit from additional funding may not necessarily adhere to the</w:t>
      </w:r>
      <w:r>
        <w:rPr>
          <w:spacing w:val="80"/>
          <w:sz w:val="24"/>
        </w:rPr>
        <w:t> </w:t>
      </w:r>
      <w:r>
        <w:rPr>
          <w:sz w:val="24"/>
        </w:rPr>
        <w:t>same budgetary/financial disciplines and procedures as other public bodies.</w:t>
      </w:r>
    </w:p>
    <w:p>
      <w:pPr>
        <w:spacing w:after="0" w:line="360" w:lineRule="auto"/>
        <w:jc w:val="left"/>
        <w:rPr>
          <w:sz w:val="24"/>
        </w:rPr>
        <w:sectPr>
          <w:pgSz w:w="12240" w:h="15840"/>
          <w:pgMar w:header="0" w:footer="1036" w:top="1360" w:bottom="1220" w:left="1200" w:right="600"/>
        </w:sectPr>
      </w:pPr>
    </w:p>
    <w:p>
      <w:pPr>
        <w:pStyle w:val="Heading4"/>
        <w:numPr>
          <w:ilvl w:val="0"/>
          <w:numId w:val="35"/>
        </w:numPr>
        <w:tabs>
          <w:tab w:pos="525" w:val="left" w:leader="none"/>
        </w:tabs>
        <w:spacing w:line="240" w:lineRule="auto" w:before="79" w:after="0"/>
        <w:ind w:left="525" w:right="0" w:hanging="285"/>
        <w:jc w:val="both"/>
      </w:pPr>
      <w:r>
        <w:rPr/>
        <w:t>Rolling/Continuous</w:t>
      </w:r>
      <w:r>
        <w:rPr>
          <w:spacing w:val="-5"/>
        </w:rPr>
        <w:t> </w:t>
      </w:r>
      <w:r>
        <w:rPr>
          <w:spacing w:val="-2"/>
        </w:rPr>
        <w:t>Budget</w:t>
      </w:r>
    </w:p>
    <w:p>
      <w:pPr>
        <w:pStyle w:val="BodyText"/>
        <w:spacing w:line="360" w:lineRule="auto" w:before="132"/>
        <w:ind w:left="240" w:right="839"/>
        <w:jc w:val="both"/>
      </w:pPr>
      <w:r>
        <w:rPr/>
        <w:t>A rolling budget can be defined as a budget constantly updated by adding a further period, e.g. a month or quarter and removing the earliest period (CIPFA, 2009).</w:t>
      </w:r>
      <w:r>
        <w:rPr>
          <w:spacing w:val="40"/>
        </w:rPr>
        <w:t> </w:t>
      </w:r>
      <w:r>
        <w:rPr/>
        <w:t>According to Muhammed (2009), it is a short term budget where the annual budget is broken down into weekly, monthly, fortnightly or quarterly. A quarterly rolling process, therefore, would mean that a budget would be prepared every three months, each time rolling forward for one year. The first quarter would be planned in great detail and remaining quarters less so, reflecting the uncertainty about the long-term of the organisation. According to CIPFA (2009), on the control side, the budget will provide a more reliable standard against which to judge performance.</w:t>
      </w:r>
    </w:p>
    <w:p>
      <w:pPr>
        <w:pStyle w:val="BodyText"/>
        <w:spacing w:before="1"/>
      </w:pPr>
    </w:p>
    <w:p>
      <w:pPr>
        <w:pStyle w:val="BodyText"/>
        <w:ind w:left="240"/>
      </w:pPr>
      <w:r>
        <w:rPr/>
        <w:t>The</w:t>
      </w:r>
      <w:r>
        <w:rPr>
          <w:spacing w:val="-5"/>
        </w:rPr>
        <w:t> </w:t>
      </w:r>
      <w:r>
        <w:rPr/>
        <w:t>potential</w:t>
      </w:r>
      <w:r>
        <w:rPr>
          <w:spacing w:val="-1"/>
        </w:rPr>
        <w:t> </w:t>
      </w:r>
      <w:r>
        <w:rPr/>
        <w:t>advantages</w:t>
      </w:r>
      <w:r>
        <w:rPr>
          <w:spacing w:val="2"/>
        </w:rPr>
        <w:t> </w:t>
      </w:r>
      <w:r>
        <w:rPr/>
        <w:t>of</w:t>
      </w:r>
      <w:r>
        <w:rPr>
          <w:spacing w:val="-1"/>
        </w:rPr>
        <w:t> </w:t>
      </w:r>
      <w:r>
        <w:rPr/>
        <w:t>using</w:t>
      </w:r>
      <w:r>
        <w:rPr>
          <w:spacing w:val="-3"/>
        </w:rPr>
        <w:t> </w:t>
      </w:r>
      <w:r>
        <w:rPr/>
        <w:t>rolling</w:t>
      </w:r>
      <w:r>
        <w:rPr>
          <w:spacing w:val="-3"/>
        </w:rPr>
        <w:t> </w:t>
      </w:r>
      <w:r>
        <w:rPr/>
        <w:t>budgets</w:t>
      </w:r>
      <w:r>
        <w:rPr>
          <w:spacing w:val="1"/>
        </w:rPr>
        <w:t> </w:t>
      </w:r>
      <w:r>
        <w:rPr/>
        <w:t>as CIPFA</w:t>
      </w:r>
      <w:r>
        <w:rPr>
          <w:spacing w:val="-1"/>
        </w:rPr>
        <w:t> </w:t>
      </w:r>
      <w:r>
        <w:rPr/>
        <w:t>(2009)</w:t>
      </w:r>
      <w:r>
        <w:rPr>
          <w:spacing w:val="-2"/>
        </w:rPr>
        <w:t> </w:t>
      </w:r>
      <w:r>
        <w:rPr/>
        <w:t>put it</w:t>
      </w:r>
      <w:r>
        <w:rPr>
          <w:spacing w:val="-1"/>
        </w:rPr>
        <w:t> </w:t>
      </w:r>
      <w:r>
        <w:rPr/>
        <w:t>are</w:t>
      </w:r>
      <w:r>
        <w:rPr>
          <w:spacing w:val="-1"/>
        </w:rPr>
        <w:t> </w:t>
      </w:r>
      <w:r>
        <w:rPr>
          <w:spacing w:val="-2"/>
        </w:rPr>
        <w:t>that:</w:t>
      </w:r>
    </w:p>
    <w:p>
      <w:pPr>
        <w:pStyle w:val="ListParagraph"/>
        <w:numPr>
          <w:ilvl w:val="0"/>
          <w:numId w:val="46"/>
        </w:numPr>
        <w:tabs>
          <w:tab w:pos="960" w:val="left" w:leader="none"/>
        </w:tabs>
        <w:spacing w:line="360" w:lineRule="auto" w:before="139" w:after="0"/>
        <w:ind w:left="960" w:right="1328" w:hanging="488"/>
        <w:jc w:val="left"/>
        <w:rPr>
          <w:sz w:val="24"/>
        </w:rPr>
      </w:pPr>
      <w:r>
        <w:rPr>
          <w:sz w:val="24"/>
        </w:rPr>
        <w:t>They</w:t>
      </w:r>
      <w:r>
        <w:rPr>
          <w:spacing w:val="-6"/>
          <w:sz w:val="24"/>
        </w:rPr>
        <w:t> </w:t>
      </w:r>
      <w:r>
        <w:rPr>
          <w:sz w:val="24"/>
        </w:rPr>
        <w:t>reduce</w:t>
      </w:r>
      <w:r>
        <w:rPr>
          <w:spacing w:val="-4"/>
          <w:sz w:val="24"/>
        </w:rPr>
        <w:t> </w:t>
      </w:r>
      <w:r>
        <w:rPr>
          <w:sz w:val="24"/>
        </w:rPr>
        <w:t>uncertainty</w:t>
      </w:r>
      <w:r>
        <w:rPr>
          <w:spacing w:val="-6"/>
          <w:sz w:val="24"/>
        </w:rPr>
        <w:t> </w:t>
      </w:r>
      <w:r>
        <w:rPr>
          <w:sz w:val="24"/>
        </w:rPr>
        <w:t>in</w:t>
      </w:r>
      <w:r>
        <w:rPr>
          <w:spacing w:val="-3"/>
          <w:sz w:val="24"/>
        </w:rPr>
        <w:t> </w:t>
      </w:r>
      <w:r>
        <w:rPr>
          <w:sz w:val="24"/>
        </w:rPr>
        <w:t>budgeting</w:t>
      </w:r>
      <w:r>
        <w:rPr>
          <w:spacing w:val="-6"/>
          <w:sz w:val="24"/>
        </w:rPr>
        <w:t> </w:t>
      </w:r>
      <w:r>
        <w:rPr>
          <w:sz w:val="24"/>
        </w:rPr>
        <w:t>which</w:t>
      </w:r>
      <w:r>
        <w:rPr>
          <w:spacing w:val="-3"/>
          <w:sz w:val="24"/>
        </w:rPr>
        <w:t> </w:t>
      </w:r>
      <w:r>
        <w:rPr>
          <w:sz w:val="24"/>
        </w:rPr>
        <w:t>is</w:t>
      </w:r>
      <w:r>
        <w:rPr>
          <w:spacing w:val="-3"/>
          <w:sz w:val="24"/>
        </w:rPr>
        <w:t> </w:t>
      </w:r>
      <w:r>
        <w:rPr>
          <w:sz w:val="24"/>
        </w:rPr>
        <w:t>important</w:t>
      </w:r>
      <w:r>
        <w:rPr>
          <w:spacing w:val="-3"/>
          <w:sz w:val="24"/>
        </w:rPr>
        <w:t> </w:t>
      </w:r>
      <w:r>
        <w:rPr>
          <w:sz w:val="24"/>
        </w:rPr>
        <w:t>in</w:t>
      </w:r>
      <w:r>
        <w:rPr>
          <w:spacing w:val="-3"/>
          <w:sz w:val="24"/>
        </w:rPr>
        <w:t> </w:t>
      </w:r>
      <w:r>
        <w:rPr>
          <w:sz w:val="24"/>
        </w:rPr>
        <w:t>highly</w:t>
      </w:r>
      <w:r>
        <w:rPr>
          <w:spacing w:val="-8"/>
          <w:sz w:val="24"/>
        </w:rPr>
        <w:t> </w:t>
      </w:r>
      <w:r>
        <w:rPr>
          <w:sz w:val="24"/>
        </w:rPr>
        <w:t>volatile</w:t>
      </w:r>
      <w:r>
        <w:rPr>
          <w:spacing w:val="-2"/>
          <w:sz w:val="24"/>
        </w:rPr>
        <w:t> </w:t>
      </w:r>
      <w:r>
        <w:rPr>
          <w:sz w:val="24"/>
        </w:rPr>
        <w:t>industries where sales levels and prices may fluctuate;</w:t>
      </w:r>
    </w:p>
    <w:p>
      <w:pPr>
        <w:pStyle w:val="ListParagraph"/>
        <w:numPr>
          <w:ilvl w:val="0"/>
          <w:numId w:val="46"/>
        </w:numPr>
        <w:tabs>
          <w:tab w:pos="960" w:val="left" w:leader="none"/>
        </w:tabs>
        <w:spacing w:line="240" w:lineRule="auto" w:before="0" w:after="0"/>
        <w:ind w:left="960" w:right="0" w:hanging="554"/>
        <w:jc w:val="left"/>
        <w:rPr>
          <w:sz w:val="24"/>
        </w:rPr>
      </w:pPr>
      <w:r>
        <w:rPr>
          <w:sz w:val="24"/>
        </w:rPr>
        <w:t>Managers</w:t>
      </w:r>
      <w:r>
        <w:rPr>
          <w:spacing w:val="-2"/>
          <w:sz w:val="24"/>
        </w:rPr>
        <w:t> </w:t>
      </w:r>
      <w:r>
        <w:rPr>
          <w:sz w:val="24"/>
        </w:rPr>
        <w:t>need</w:t>
      </w:r>
      <w:r>
        <w:rPr>
          <w:spacing w:val="-1"/>
          <w:sz w:val="24"/>
        </w:rPr>
        <w:t> </w:t>
      </w:r>
      <w:r>
        <w:rPr>
          <w:sz w:val="24"/>
        </w:rPr>
        <w:t>to</w:t>
      </w:r>
      <w:r>
        <w:rPr>
          <w:spacing w:val="-1"/>
          <w:sz w:val="24"/>
        </w:rPr>
        <w:t> </w:t>
      </w:r>
      <w:r>
        <w:rPr>
          <w:sz w:val="24"/>
        </w:rPr>
        <w:t>reassess</w:t>
      </w:r>
      <w:r>
        <w:rPr>
          <w:spacing w:val="-1"/>
          <w:sz w:val="24"/>
        </w:rPr>
        <w:t> </w:t>
      </w:r>
      <w:r>
        <w:rPr>
          <w:sz w:val="24"/>
        </w:rPr>
        <w:t>the</w:t>
      </w:r>
      <w:r>
        <w:rPr>
          <w:spacing w:val="-1"/>
          <w:sz w:val="24"/>
        </w:rPr>
        <w:t> </w:t>
      </w:r>
      <w:r>
        <w:rPr>
          <w:sz w:val="24"/>
        </w:rPr>
        <w:t>budget</w:t>
      </w:r>
      <w:r>
        <w:rPr>
          <w:spacing w:val="-1"/>
          <w:sz w:val="24"/>
        </w:rPr>
        <w:t> </w:t>
      </w:r>
      <w:r>
        <w:rPr>
          <w:spacing w:val="-2"/>
          <w:sz w:val="24"/>
        </w:rPr>
        <w:t>frequently;</w:t>
      </w:r>
    </w:p>
    <w:p>
      <w:pPr>
        <w:pStyle w:val="ListParagraph"/>
        <w:numPr>
          <w:ilvl w:val="0"/>
          <w:numId w:val="46"/>
        </w:numPr>
        <w:tabs>
          <w:tab w:pos="960" w:val="left" w:leader="none"/>
        </w:tabs>
        <w:spacing w:line="240" w:lineRule="auto" w:before="137" w:after="0"/>
        <w:ind w:left="960" w:right="0" w:hanging="619"/>
        <w:jc w:val="left"/>
        <w:rPr>
          <w:sz w:val="24"/>
        </w:rPr>
      </w:pPr>
      <w:r>
        <w:rPr>
          <w:sz w:val="24"/>
        </w:rPr>
        <w:t>More</w:t>
      </w:r>
      <w:r>
        <w:rPr>
          <w:spacing w:val="-3"/>
          <w:sz w:val="24"/>
        </w:rPr>
        <w:t> </w:t>
      </w:r>
      <w:r>
        <w:rPr>
          <w:sz w:val="24"/>
        </w:rPr>
        <w:t>realistic</w:t>
      </w:r>
      <w:r>
        <w:rPr>
          <w:spacing w:val="-2"/>
          <w:sz w:val="24"/>
        </w:rPr>
        <w:t> </w:t>
      </w:r>
      <w:r>
        <w:rPr>
          <w:sz w:val="24"/>
        </w:rPr>
        <w:t>budgets will</w:t>
      </w:r>
      <w:r>
        <w:rPr>
          <w:spacing w:val="-1"/>
          <w:sz w:val="24"/>
        </w:rPr>
        <w:t> </w:t>
      </w:r>
      <w:r>
        <w:rPr>
          <w:sz w:val="24"/>
        </w:rPr>
        <w:t>aid</w:t>
      </w:r>
      <w:r>
        <w:rPr>
          <w:spacing w:val="-1"/>
          <w:sz w:val="24"/>
        </w:rPr>
        <w:t> </w:t>
      </w:r>
      <w:r>
        <w:rPr>
          <w:sz w:val="24"/>
        </w:rPr>
        <w:t>motivation </w:t>
      </w:r>
      <w:r>
        <w:rPr>
          <w:spacing w:val="-5"/>
          <w:sz w:val="24"/>
        </w:rPr>
        <w:t>and</w:t>
      </w:r>
    </w:p>
    <w:p>
      <w:pPr>
        <w:pStyle w:val="ListParagraph"/>
        <w:numPr>
          <w:ilvl w:val="0"/>
          <w:numId w:val="46"/>
        </w:numPr>
        <w:tabs>
          <w:tab w:pos="960" w:val="left" w:leader="none"/>
        </w:tabs>
        <w:spacing w:line="360" w:lineRule="auto" w:before="140" w:after="0"/>
        <w:ind w:left="960" w:right="1387" w:hanging="608"/>
        <w:jc w:val="left"/>
        <w:rPr>
          <w:sz w:val="24"/>
        </w:rPr>
      </w:pPr>
      <w:r>
        <w:rPr>
          <w:sz w:val="24"/>
        </w:rPr>
        <w:t>Planning</w:t>
      </w:r>
      <w:r>
        <w:rPr>
          <w:spacing w:val="-7"/>
          <w:sz w:val="24"/>
        </w:rPr>
        <w:t> </w:t>
      </w:r>
      <w:r>
        <w:rPr>
          <w:sz w:val="24"/>
        </w:rPr>
        <w:t>and</w:t>
      </w:r>
      <w:r>
        <w:rPr>
          <w:spacing w:val="-4"/>
          <w:sz w:val="24"/>
        </w:rPr>
        <w:t> </w:t>
      </w:r>
      <w:r>
        <w:rPr>
          <w:sz w:val="24"/>
        </w:rPr>
        <w:t>control</w:t>
      </w:r>
      <w:r>
        <w:rPr>
          <w:spacing w:val="-4"/>
          <w:sz w:val="24"/>
        </w:rPr>
        <w:t> </w:t>
      </w:r>
      <w:r>
        <w:rPr>
          <w:sz w:val="24"/>
        </w:rPr>
        <w:t>will</w:t>
      </w:r>
      <w:r>
        <w:rPr>
          <w:spacing w:val="-2"/>
          <w:sz w:val="24"/>
        </w:rPr>
        <w:t> </w:t>
      </w:r>
      <w:r>
        <w:rPr>
          <w:sz w:val="24"/>
        </w:rPr>
        <w:t>always</w:t>
      </w:r>
      <w:r>
        <w:rPr>
          <w:spacing w:val="-4"/>
          <w:sz w:val="24"/>
        </w:rPr>
        <w:t> </w:t>
      </w:r>
      <w:r>
        <w:rPr>
          <w:sz w:val="24"/>
        </w:rPr>
        <w:t>be</w:t>
      </w:r>
      <w:r>
        <w:rPr>
          <w:spacing w:val="-4"/>
          <w:sz w:val="24"/>
        </w:rPr>
        <w:t> </w:t>
      </w:r>
      <w:r>
        <w:rPr>
          <w:sz w:val="24"/>
        </w:rPr>
        <w:t>based</w:t>
      </w:r>
      <w:r>
        <w:rPr>
          <w:spacing w:val="-4"/>
          <w:sz w:val="24"/>
        </w:rPr>
        <w:t> </w:t>
      </w:r>
      <w:r>
        <w:rPr>
          <w:sz w:val="24"/>
        </w:rPr>
        <w:t>on</w:t>
      </w:r>
      <w:r>
        <w:rPr>
          <w:spacing w:val="-4"/>
          <w:sz w:val="24"/>
        </w:rPr>
        <w:t> </w:t>
      </w:r>
      <w:r>
        <w:rPr>
          <w:sz w:val="24"/>
        </w:rPr>
        <w:t>up-to-date</w:t>
      </w:r>
      <w:r>
        <w:rPr>
          <w:spacing w:val="-4"/>
          <w:sz w:val="24"/>
        </w:rPr>
        <w:t> </w:t>
      </w:r>
      <w:r>
        <w:rPr>
          <w:sz w:val="24"/>
        </w:rPr>
        <w:t>information</w:t>
      </w:r>
      <w:r>
        <w:rPr>
          <w:spacing w:val="-4"/>
          <w:sz w:val="24"/>
        </w:rPr>
        <w:t> </w:t>
      </w:r>
      <w:r>
        <w:rPr>
          <w:sz w:val="24"/>
        </w:rPr>
        <w:t>which</w:t>
      </w:r>
      <w:r>
        <w:rPr>
          <w:spacing w:val="-3"/>
          <w:sz w:val="24"/>
        </w:rPr>
        <w:t> </w:t>
      </w:r>
      <w:r>
        <w:rPr>
          <w:sz w:val="24"/>
        </w:rPr>
        <w:t>covers</w:t>
      </w:r>
      <w:r>
        <w:rPr>
          <w:spacing w:val="-4"/>
          <w:sz w:val="24"/>
        </w:rPr>
        <w:t> </w:t>
      </w:r>
      <w:r>
        <w:rPr>
          <w:sz w:val="24"/>
        </w:rPr>
        <w:t>a significant period into the future.</w:t>
      </w:r>
    </w:p>
    <w:p>
      <w:pPr>
        <w:pStyle w:val="BodyText"/>
        <w:spacing w:before="240"/>
        <w:ind w:left="240"/>
      </w:pPr>
      <w:r>
        <w:rPr/>
        <w:t>The</w:t>
      </w:r>
      <w:r>
        <w:rPr>
          <w:spacing w:val="-3"/>
        </w:rPr>
        <w:t> </w:t>
      </w:r>
      <w:r>
        <w:rPr/>
        <w:t>disadvantages of rolling</w:t>
      </w:r>
      <w:r>
        <w:rPr>
          <w:spacing w:val="-2"/>
        </w:rPr>
        <w:t> </w:t>
      </w:r>
      <w:r>
        <w:rPr/>
        <w:t>budgeting</w:t>
      </w:r>
      <w:r>
        <w:rPr>
          <w:spacing w:val="-3"/>
        </w:rPr>
        <w:t> </w:t>
      </w:r>
      <w:r>
        <w:rPr/>
        <w:t>are</w:t>
      </w:r>
      <w:r>
        <w:rPr>
          <w:spacing w:val="-1"/>
        </w:rPr>
        <w:t> </w:t>
      </w:r>
      <w:r>
        <w:rPr>
          <w:spacing w:val="-2"/>
        </w:rPr>
        <w:t>that:</w:t>
      </w:r>
    </w:p>
    <w:p>
      <w:pPr>
        <w:pStyle w:val="ListParagraph"/>
        <w:numPr>
          <w:ilvl w:val="0"/>
          <w:numId w:val="47"/>
        </w:numPr>
        <w:tabs>
          <w:tab w:pos="960" w:val="left" w:leader="none"/>
        </w:tabs>
        <w:spacing w:line="240" w:lineRule="auto" w:before="139" w:after="0"/>
        <w:ind w:left="960" w:right="0" w:hanging="487"/>
        <w:jc w:val="left"/>
        <w:rPr>
          <w:sz w:val="24"/>
        </w:rPr>
      </w:pPr>
      <w:r>
        <w:rPr>
          <w:sz w:val="24"/>
        </w:rPr>
        <w:t>It</w:t>
      </w:r>
      <w:r>
        <w:rPr>
          <w:spacing w:val="-4"/>
          <w:sz w:val="24"/>
        </w:rPr>
        <w:t> </w:t>
      </w:r>
      <w:r>
        <w:rPr>
          <w:sz w:val="24"/>
        </w:rPr>
        <w:t>is</w:t>
      </w:r>
      <w:r>
        <w:rPr>
          <w:spacing w:val="-1"/>
          <w:sz w:val="24"/>
        </w:rPr>
        <w:t> </w:t>
      </w:r>
      <w:r>
        <w:rPr>
          <w:sz w:val="24"/>
        </w:rPr>
        <w:t>time</w:t>
      </w:r>
      <w:r>
        <w:rPr>
          <w:spacing w:val="-1"/>
          <w:sz w:val="24"/>
        </w:rPr>
        <w:t> </w:t>
      </w:r>
      <w:r>
        <w:rPr>
          <w:sz w:val="24"/>
        </w:rPr>
        <w:t>and</w:t>
      </w:r>
      <w:r>
        <w:rPr>
          <w:spacing w:val="-1"/>
          <w:sz w:val="24"/>
        </w:rPr>
        <w:t> </w:t>
      </w:r>
      <w:r>
        <w:rPr>
          <w:sz w:val="24"/>
        </w:rPr>
        <w:t>resource</w:t>
      </w:r>
      <w:r>
        <w:rPr>
          <w:spacing w:val="-2"/>
          <w:sz w:val="24"/>
        </w:rPr>
        <w:t> intensive;</w:t>
      </w:r>
    </w:p>
    <w:p>
      <w:pPr>
        <w:pStyle w:val="ListParagraph"/>
        <w:numPr>
          <w:ilvl w:val="0"/>
          <w:numId w:val="47"/>
        </w:numPr>
        <w:tabs>
          <w:tab w:pos="960" w:val="left" w:leader="none"/>
        </w:tabs>
        <w:spacing w:line="240" w:lineRule="auto" w:before="137" w:after="0"/>
        <w:ind w:left="960" w:right="0" w:hanging="554"/>
        <w:jc w:val="left"/>
        <w:rPr>
          <w:sz w:val="24"/>
        </w:rPr>
      </w:pPr>
      <w:r>
        <w:rPr>
          <w:sz w:val="24"/>
        </w:rPr>
        <w:t>Managers</w:t>
      </w:r>
      <w:r>
        <w:rPr>
          <w:spacing w:val="-1"/>
          <w:sz w:val="24"/>
        </w:rPr>
        <w:t> </w:t>
      </w:r>
      <w:r>
        <w:rPr>
          <w:sz w:val="24"/>
        </w:rPr>
        <w:t>may</w:t>
      </w:r>
      <w:r>
        <w:rPr>
          <w:spacing w:val="-4"/>
          <w:sz w:val="24"/>
        </w:rPr>
        <w:t> </w:t>
      </w:r>
      <w:r>
        <w:rPr>
          <w:sz w:val="24"/>
        </w:rPr>
        <w:t>find the</w:t>
      </w:r>
      <w:r>
        <w:rPr>
          <w:spacing w:val="-1"/>
          <w:sz w:val="24"/>
        </w:rPr>
        <w:t> </w:t>
      </w:r>
      <w:r>
        <w:rPr>
          <w:sz w:val="24"/>
        </w:rPr>
        <w:t>constant revision</w:t>
      </w:r>
      <w:r>
        <w:rPr>
          <w:spacing w:val="-1"/>
          <w:sz w:val="24"/>
        </w:rPr>
        <w:t> </w:t>
      </w:r>
      <w:r>
        <w:rPr>
          <w:sz w:val="24"/>
        </w:rPr>
        <w:t>of</w:t>
      </w:r>
      <w:r>
        <w:rPr>
          <w:spacing w:val="-1"/>
          <w:sz w:val="24"/>
        </w:rPr>
        <w:t> </w:t>
      </w:r>
      <w:r>
        <w:rPr>
          <w:sz w:val="24"/>
        </w:rPr>
        <w:t>budgets</w:t>
      </w:r>
      <w:r>
        <w:rPr>
          <w:spacing w:val="-1"/>
          <w:sz w:val="24"/>
        </w:rPr>
        <w:t> </w:t>
      </w:r>
      <w:r>
        <w:rPr>
          <w:sz w:val="24"/>
        </w:rPr>
        <w:t>disruptive and</w:t>
      </w:r>
      <w:r>
        <w:rPr>
          <w:spacing w:val="-1"/>
          <w:sz w:val="24"/>
        </w:rPr>
        <w:t> </w:t>
      </w:r>
      <w:r>
        <w:rPr>
          <w:sz w:val="24"/>
        </w:rPr>
        <w:t>unsettling</w:t>
      </w:r>
      <w:r>
        <w:rPr>
          <w:spacing w:val="-3"/>
          <w:sz w:val="24"/>
        </w:rPr>
        <w:t> </w:t>
      </w:r>
      <w:r>
        <w:rPr>
          <w:spacing w:val="-5"/>
          <w:sz w:val="24"/>
        </w:rPr>
        <w:t>and</w:t>
      </w:r>
    </w:p>
    <w:p>
      <w:pPr>
        <w:pStyle w:val="ListParagraph"/>
        <w:numPr>
          <w:ilvl w:val="0"/>
          <w:numId w:val="47"/>
        </w:numPr>
        <w:tabs>
          <w:tab w:pos="960" w:val="left" w:leader="none"/>
        </w:tabs>
        <w:spacing w:line="240" w:lineRule="auto" w:before="139" w:after="0"/>
        <w:ind w:left="960" w:right="0" w:hanging="619"/>
        <w:jc w:val="left"/>
        <w:rPr>
          <w:sz w:val="24"/>
        </w:rPr>
      </w:pPr>
      <w:r>
        <w:rPr>
          <w:sz w:val="24"/>
        </w:rPr>
        <w:t>Continuous updating</w:t>
      </w:r>
      <w:r>
        <w:rPr>
          <w:spacing w:val="-3"/>
          <w:sz w:val="24"/>
        </w:rPr>
        <w:t> </w:t>
      </w:r>
      <w:r>
        <w:rPr>
          <w:sz w:val="24"/>
        </w:rPr>
        <w:t>may</w:t>
      </w:r>
      <w:r>
        <w:rPr>
          <w:spacing w:val="-4"/>
          <w:sz w:val="24"/>
        </w:rPr>
        <w:t> </w:t>
      </w:r>
      <w:r>
        <w:rPr>
          <w:sz w:val="24"/>
        </w:rPr>
        <w:t>not be justified</w:t>
      </w:r>
      <w:r>
        <w:rPr>
          <w:spacing w:val="-1"/>
          <w:sz w:val="24"/>
        </w:rPr>
        <w:t> </w:t>
      </w:r>
      <w:r>
        <w:rPr>
          <w:sz w:val="24"/>
        </w:rPr>
        <w:t>where</w:t>
      </w:r>
      <w:r>
        <w:rPr>
          <w:spacing w:val="-2"/>
          <w:sz w:val="24"/>
        </w:rPr>
        <w:t> </w:t>
      </w:r>
      <w:r>
        <w:rPr>
          <w:sz w:val="24"/>
        </w:rPr>
        <w:t>the</w:t>
      </w:r>
      <w:r>
        <w:rPr>
          <w:spacing w:val="-1"/>
          <w:sz w:val="24"/>
        </w:rPr>
        <w:t> </w:t>
      </w:r>
      <w:r>
        <w:rPr>
          <w:sz w:val="24"/>
        </w:rPr>
        <w:t>changes are</w:t>
      </w:r>
      <w:r>
        <w:rPr>
          <w:spacing w:val="-1"/>
          <w:sz w:val="24"/>
        </w:rPr>
        <w:t> </w:t>
      </w:r>
      <w:r>
        <w:rPr>
          <w:sz w:val="24"/>
        </w:rPr>
        <w:t>not </w:t>
      </w:r>
      <w:r>
        <w:rPr>
          <w:spacing w:val="-2"/>
          <w:sz w:val="24"/>
        </w:rPr>
        <w:t>continuous.</w:t>
      </w:r>
    </w:p>
    <w:p>
      <w:pPr>
        <w:pStyle w:val="BodyText"/>
      </w:pPr>
    </w:p>
    <w:p>
      <w:pPr>
        <w:pStyle w:val="BodyText"/>
        <w:spacing w:line="360" w:lineRule="auto"/>
        <w:ind w:left="240" w:right="845"/>
        <w:jc w:val="both"/>
      </w:pPr>
      <w:r>
        <w:rPr/>
        <w:t>There are fairly evident problems with attempting to introduce rolling budgets in the public sector. Public bodies usually have fixed limits over the budget period, and unless the overall system of budgeting is changed, it would be difficult to introduce for certain departments or agencies (CIPFA, 2009).</w:t>
      </w:r>
    </w:p>
    <w:p>
      <w:pPr>
        <w:pStyle w:val="Heading4"/>
        <w:numPr>
          <w:ilvl w:val="0"/>
          <w:numId w:val="35"/>
        </w:numPr>
        <w:tabs>
          <w:tab w:pos="537" w:val="left" w:leader="none"/>
        </w:tabs>
        <w:spacing w:line="240" w:lineRule="auto" w:before="258" w:after="0"/>
        <w:ind w:left="537" w:right="0" w:hanging="297"/>
        <w:jc w:val="both"/>
      </w:pPr>
      <w:r>
        <w:rPr/>
        <w:t>Contingency</w:t>
      </w:r>
      <w:r>
        <w:rPr>
          <w:spacing w:val="-2"/>
        </w:rPr>
        <w:t> Budgeting</w:t>
      </w:r>
    </w:p>
    <w:p>
      <w:pPr>
        <w:pStyle w:val="BodyText"/>
        <w:spacing w:line="360" w:lineRule="auto" w:before="134"/>
        <w:ind w:left="240" w:right="833"/>
        <w:jc w:val="both"/>
      </w:pPr>
      <w:r>
        <w:rPr/>
        <w:t>Contingency budgeting is useful for new organisations where detailed budgeting is difficult because there is no past experience to draw upon. The absence of reliable detail is compensated for by a contingency budget to cover as many areas as required. The use of contingency budgeting</w:t>
      </w:r>
      <w:r>
        <w:rPr>
          <w:spacing w:val="41"/>
        </w:rPr>
        <w:t> </w:t>
      </w:r>
      <w:r>
        <w:rPr/>
        <w:t>ultimately</w:t>
      </w:r>
      <w:r>
        <w:rPr>
          <w:spacing w:val="41"/>
        </w:rPr>
        <w:t> </w:t>
      </w:r>
      <w:r>
        <w:rPr/>
        <w:t>assists</w:t>
      </w:r>
      <w:r>
        <w:rPr>
          <w:spacing w:val="47"/>
        </w:rPr>
        <w:t> </w:t>
      </w:r>
      <w:r>
        <w:rPr/>
        <w:t>in</w:t>
      </w:r>
      <w:r>
        <w:rPr>
          <w:spacing w:val="44"/>
        </w:rPr>
        <w:t> </w:t>
      </w:r>
      <w:r>
        <w:rPr/>
        <w:t>ensuring</w:t>
      </w:r>
      <w:r>
        <w:rPr>
          <w:spacing w:val="44"/>
        </w:rPr>
        <w:t> </w:t>
      </w:r>
      <w:r>
        <w:rPr/>
        <w:t>best</w:t>
      </w:r>
      <w:r>
        <w:rPr>
          <w:spacing w:val="47"/>
        </w:rPr>
        <w:t> </w:t>
      </w:r>
      <w:r>
        <w:rPr/>
        <w:t>practice</w:t>
      </w:r>
      <w:r>
        <w:rPr>
          <w:spacing w:val="44"/>
        </w:rPr>
        <w:t> </w:t>
      </w:r>
      <w:r>
        <w:rPr/>
        <w:t>as</w:t>
      </w:r>
      <w:r>
        <w:rPr>
          <w:spacing w:val="47"/>
        </w:rPr>
        <w:t> </w:t>
      </w:r>
      <w:r>
        <w:rPr/>
        <w:t>it</w:t>
      </w:r>
      <w:r>
        <w:rPr>
          <w:spacing w:val="47"/>
        </w:rPr>
        <w:t> </w:t>
      </w:r>
      <w:r>
        <w:rPr/>
        <w:t>requires</w:t>
      </w:r>
      <w:r>
        <w:rPr>
          <w:spacing w:val="47"/>
        </w:rPr>
        <w:t> </w:t>
      </w:r>
      <w:r>
        <w:rPr/>
        <w:t>organisations</w:t>
      </w:r>
      <w:r>
        <w:rPr>
          <w:spacing w:val="47"/>
        </w:rPr>
        <w:t> </w:t>
      </w:r>
      <w:r>
        <w:rPr/>
        <w:t>to</w:t>
      </w:r>
      <w:r>
        <w:rPr>
          <w:spacing w:val="44"/>
        </w:rPr>
        <w:t> </w:t>
      </w:r>
      <w:r>
        <w:rPr>
          <w:spacing w:val="-2"/>
        </w:rPr>
        <w:t>evaluate</w:t>
      </w:r>
    </w:p>
    <w:p>
      <w:pPr>
        <w:spacing w:after="0" w:line="360" w:lineRule="auto"/>
        <w:jc w:val="both"/>
        <w:sectPr>
          <w:pgSz w:w="12240" w:h="15840"/>
          <w:pgMar w:header="0" w:footer="1036" w:top="1360" w:bottom="1220" w:left="1200" w:right="600"/>
        </w:sectPr>
      </w:pPr>
    </w:p>
    <w:p>
      <w:pPr>
        <w:pStyle w:val="BodyText"/>
        <w:spacing w:line="360" w:lineRule="auto" w:before="74"/>
        <w:ind w:left="240" w:right="842"/>
        <w:jc w:val="both"/>
      </w:pPr>
      <w:r>
        <w:rPr/>
        <w:t>alternative scenarios and develop contingency</w:t>
      </w:r>
      <w:r>
        <w:rPr>
          <w:spacing w:val="-1"/>
        </w:rPr>
        <w:t> </w:t>
      </w:r>
      <w:r>
        <w:rPr/>
        <w:t>plans to ensure that project implementation risk is minimised. Sophisticated techniques using contingency</w:t>
      </w:r>
      <w:r>
        <w:rPr>
          <w:spacing w:val="-1"/>
        </w:rPr>
        <w:t> </w:t>
      </w:r>
      <w:r>
        <w:rPr/>
        <w:t>budgeting are increasingly being used to deliver IT projects where up to 50% of allocated budgets may be set aside after the essential or minimum expenditures are determined. This means that alternative strategies can be used in the event of project failure or delay. In these scenarios budgets are viewed more as a guide to an efficient expenditure pattern (CIPFA, 2009; Northern Ireland Assembly, 2010).</w:t>
      </w:r>
    </w:p>
    <w:p>
      <w:pPr>
        <w:pStyle w:val="BodyText"/>
        <w:spacing w:before="212"/>
      </w:pPr>
    </w:p>
    <w:p>
      <w:pPr>
        <w:pStyle w:val="Heading4"/>
        <w:numPr>
          <w:ilvl w:val="2"/>
          <w:numId w:val="27"/>
        </w:numPr>
        <w:tabs>
          <w:tab w:pos="899" w:val="left" w:leader="none"/>
        </w:tabs>
        <w:spacing w:line="240" w:lineRule="auto" w:before="0" w:after="0"/>
        <w:ind w:left="899" w:right="0" w:hanging="659"/>
        <w:jc w:val="both"/>
      </w:pPr>
      <w:r>
        <w:rPr/>
        <w:t>The</w:t>
      </w:r>
      <w:r>
        <w:rPr>
          <w:spacing w:val="-4"/>
        </w:rPr>
        <w:t> </w:t>
      </w:r>
      <w:r>
        <w:rPr/>
        <w:t>Nigerian Public</w:t>
      </w:r>
      <w:r>
        <w:rPr>
          <w:spacing w:val="-2"/>
        </w:rPr>
        <w:t> </w:t>
      </w:r>
      <w:r>
        <w:rPr/>
        <w:t>Budgeting</w:t>
      </w:r>
      <w:r>
        <w:rPr>
          <w:spacing w:val="-2"/>
        </w:rPr>
        <w:t> System</w:t>
      </w:r>
    </w:p>
    <w:p>
      <w:pPr>
        <w:pStyle w:val="BodyText"/>
        <w:spacing w:line="360" w:lineRule="auto" w:before="134"/>
        <w:ind w:left="240" w:right="834"/>
        <w:jc w:val="both"/>
      </w:pPr>
      <w:r>
        <w:rPr/>
        <w:t>According</w:t>
      </w:r>
      <w:r>
        <w:rPr>
          <w:spacing w:val="-5"/>
        </w:rPr>
        <w:t> </w:t>
      </w:r>
      <w:r>
        <w:rPr/>
        <w:t>to</w:t>
      </w:r>
      <w:r>
        <w:rPr>
          <w:spacing w:val="-2"/>
        </w:rPr>
        <w:t> </w:t>
      </w:r>
      <w:r>
        <w:rPr/>
        <w:t>Malgwi</w:t>
      </w:r>
      <w:r>
        <w:rPr>
          <w:spacing w:val="-2"/>
        </w:rPr>
        <w:t> </w:t>
      </w:r>
      <w:r>
        <w:rPr/>
        <w:t>and</w:t>
      </w:r>
      <w:r>
        <w:rPr>
          <w:spacing w:val="-2"/>
        </w:rPr>
        <w:t> </w:t>
      </w:r>
      <w:r>
        <w:rPr/>
        <w:t>Unegbu</w:t>
      </w:r>
      <w:r>
        <w:rPr>
          <w:spacing w:val="-2"/>
        </w:rPr>
        <w:t> </w:t>
      </w:r>
      <w:r>
        <w:rPr/>
        <w:t>(2012),</w:t>
      </w:r>
      <w:r>
        <w:rPr>
          <w:spacing w:val="-2"/>
        </w:rPr>
        <w:t> </w:t>
      </w:r>
      <w:r>
        <w:rPr/>
        <w:t>the</w:t>
      </w:r>
      <w:r>
        <w:rPr>
          <w:spacing w:val="-2"/>
        </w:rPr>
        <w:t> </w:t>
      </w:r>
      <w:r>
        <w:rPr/>
        <w:t>Nigerian</w:t>
      </w:r>
      <w:r>
        <w:rPr>
          <w:spacing w:val="-1"/>
        </w:rPr>
        <w:t> </w:t>
      </w:r>
      <w:r>
        <w:rPr/>
        <w:t>government</w:t>
      </w:r>
      <w:r>
        <w:rPr>
          <w:spacing w:val="-2"/>
        </w:rPr>
        <w:t> </w:t>
      </w:r>
      <w:r>
        <w:rPr/>
        <w:t>use</w:t>
      </w:r>
      <w:r>
        <w:rPr>
          <w:spacing w:val="-1"/>
        </w:rPr>
        <w:t> </w:t>
      </w:r>
      <w:r>
        <w:rPr/>
        <w:t>budgets</w:t>
      </w:r>
      <w:r>
        <w:rPr>
          <w:spacing w:val="-1"/>
        </w:rPr>
        <w:t> </w:t>
      </w:r>
      <w:r>
        <w:rPr/>
        <w:t>as</w:t>
      </w:r>
      <w:r>
        <w:rPr>
          <w:spacing w:val="-2"/>
        </w:rPr>
        <w:t> </w:t>
      </w:r>
      <w:r>
        <w:rPr/>
        <w:t>a guiding</w:t>
      </w:r>
      <w:r>
        <w:rPr>
          <w:spacing w:val="-5"/>
        </w:rPr>
        <w:t> </w:t>
      </w:r>
      <w:r>
        <w:rPr/>
        <w:t>tool for planning and control of its resources. This involves knowing how much money the country earns and spends over a defined period. Hence, budgets in Nigeria not only serves as an instrument of revenue/expenditure estimation but also as a catalyst for mitigating corruption in the use of public resources for the good of the state. Nigerian budgets can also be regarded as a plan for financing the activities of the Nigerian government during a fixed future period, usually one year;</w:t>
      </w:r>
      <w:r>
        <w:rPr>
          <w:spacing w:val="-1"/>
        </w:rPr>
        <w:t> </w:t>
      </w:r>
      <w:r>
        <w:rPr/>
        <w:t>prepared and submitted by</w:t>
      </w:r>
      <w:r>
        <w:rPr>
          <w:spacing w:val="-8"/>
        </w:rPr>
        <w:t> </w:t>
      </w:r>
      <w:r>
        <w:rPr/>
        <w:t>the</w:t>
      </w:r>
      <w:r>
        <w:rPr>
          <w:spacing w:val="-1"/>
        </w:rPr>
        <w:t> </w:t>
      </w:r>
      <w:r>
        <w:rPr/>
        <w:t>executive</w:t>
      </w:r>
      <w:r>
        <w:rPr>
          <w:spacing w:val="-1"/>
        </w:rPr>
        <w:t> </w:t>
      </w:r>
      <w:r>
        <w:rPr/>
        <w:t>to the</w:t>
      </w:r>
      <w:r>
        <w:rPr>
          <w:spacing w:val="-1"/>
        </w:rPr>
        <w:t> </w:t>
      </w:r>
      <w:r>
        <w:rPr/>
        <w:t>legislature</w:t>
      </w:r>
      <w:r>
        <w:rPr>
          <w:spacing w:val="-1"/>
        </w:rPr>
        <w:t> </w:t>
      </w:r>
      <w:r>
        <w:rPr/>
        <w:t>whose approval is absolutely essential before the plan can be executed. Under a military</w:t>
      </w:r>
      <w:r>
        <w:rPr>
          <w:spacing w:val="-2"/>
        </w:rPr>
        <w:t> </w:t>
      </w:r>
      <w:r>
        <w:rPr/>
        <w:t>dispensation, it is a plan prepared and submitted by the executive to the Supreme Military Council (SMC)/Armed Forces Ruling Council (AFRC) for approval. The basis for budget preparation in Nigeria is the financial year; from 1st January to 31st December. The date of commencement however varies in different countries. For example, in England and U.S.A, it is 1st July and 30th June (Ugoo, 2008).</w:t>
      </w:r>
    </w:p>
    <w:p>
      <w:pPr>
        <w:pStyle w:val="BodyText"/>
        <w:spacing w:line="360" w:lineRule="auto" w:before="275"/>
        <w:ind w:left="240" w:right="837"/>
        <w:jc w:val="both"/>
      </w:pPr>
      <w:r>
        <w:rPr/>
        <w:t>Every year, Nigerians are treated to the rituals of budget announcement. Nigerians look forward to this yearly</w:t>
      </w:r>
      <w:r>
        <w:rPr>
          <w:spacing w:val="-3"/>
        </w:rPr>
        <w:t> </w:t>
      </w:r>
      <w:r>
        <w:rPr/>
        <w:t>affair</w:t>
      </w:r>
      <w:r>
        <w:rPr>
          <w:spacing w:val="-1"/>
        </w:rPr>
        <w:t> </w:t>
      </w:r>
      <w:r>
        <w:rPr/>
        <w:t>because</w:t>
      </w:r>
      <w:r>
        <w:rPr>
          <w:spacing w:val="-1"/>
        </w:rPr>
        <w:t> </w:t>
      </w:r>
      <w:r>
        <w:rPr/>
        <w:t>it has become the</w:t>
      </w:r>
      <w:r>
        <w:rPr>
          <w:spacing w:val="-1"/>
        </w:rPr>
        <w:t> </w:t>
      </w:r>
      <w:r>
        <w:rPr/>
        <w:t>medium through which government informs of</w:t>
      </w:r>
      <w:r>
        <w:rPr>
          <w:spacing w:val="-1"/>
        </w:rPr>
        <w:t> </w:t>
      </w:r>
      <w:r>
        <w:rPr/>
        <w:t>the handling</w:t>
      </w:r>
      <w:r>
        <w:rPr>
          <w:spacing w:val="-5"/>
        </w:rPr>
        <w:t> </w:t>
      </w:r>
      <w:r>
        <w:rPr/>
        <w:t>of</w:t>
      </w:r>
      <w:r>
        <w:rPr>
          <w:spacing w:val="-3"/>
        </w:rPr>
        <w:t> </w:t>
      </w:r>
      <w:r>
        <w:rPr/>
        <w:t>the</w:t>
      </w:r>
      <w:r>
        <w:rPr>
          <w:spacing w:val="-1"/>
        </w:rPr>
        <w:t> </w:t>
      </w:r>
      <w:r>
        <w:rPr/>
        <w:t>economy</w:t>
      </w:r>
      <w:r>
        <w:rPr>
          <w:spacing w:val="-5"/>
        </w:rPr>
        <w:t> </w:t>
      </w:r>
      <w:r>
        <w:rPr/>
        <w:t>in</w:t>
      </w:r>
      <w:r>
        <w:rPr>
          <w:spacing w:val="-2"/>
        </w:rPr>
        <w:t> </w:t>
      </w:r>
      <w:r>
        <w:rPr/>
        <w:t>the</w:t>
      </w:r>
      <w:r>
        <w:rPr>
          <w:spacing w:val="-3"/>
        </w:rPr>
        <w:t> </w:t>
      </w:r>
      <w:r>
        <w:rPr/>
        <w:t>previous year,</w:t>
      </w:r>
      <w:r>
        <w:rPr>
          <w:spacing w:val="-1"/>
        </w:rPr>
        <w:t> </w:t>
      </w:r>
      <w:r>
        <w:rPr/>
        <w:t>the</w:t>
      </w:r>
      <w:r>
        <w:rPr>
          <w:spacing w:val="-1"/>
        </w:rPr>
        <w:t> </w:t>
      </w:r>
      <w:r>
        <w:rPr/>
        <w:t>direction</w:t>
      </w:r>
      <w:r>
        <w:rPr>
          <w:spacing w:val="-2"/>
        </w:rPr>
        <w:t> </w:t>
      </w:r>
      <w:r>
        <w:rPr/>
        <w:t>of</w:t>
      </w:r>
      <w:r>
        <w:rPr>
          <w:spacing w:val="-1"/>
        </w:rPr>
        <w:t> </w:t>
      </w:r>
      <w:r>
        <w:rPr/>
        <w:t>the</w:t>
      </w:r>
      <w:r>
        <w:rPr>
          <w:spacing w:val="-2"/>
        </w:rPr>
        <w:t> </w:t>
      </w:r>
      <w:r>
        <w:rPr/>
        <w:t>present year‘s</w:t>
      </w:r>
      <w:r>
        <w:rPr>
          <w:spacing w:val="-1"/>
        </w:rPr>
        <w:t> </w:t>
      </w:r>
      <w:r>
        <w:rPr/>
        <w:t>economic</w:t>
      </w:r>
      <w:r>
        <w:rPr>
          <w:spacing w:val="-3"/>
        </w:rPr>
        <w:t> </w:t>
      </w:r>
      <w:r>
        <w:rPr/>
        <w:t>policy and the prospect for the future. Yearly budgets in Nigeria are usually characterized by certain philosophical phrases which are reflections of the prevailing economic circumstances and</w:t>
      </w:r>
      <w:r>
        <w:rPr>
          <w:spacing w:val="40"/>
        </w:rPr>
        <w:t> </w:t>
      </w:r>
      <w:r>
        <w:rPr/>
        <w:t>method the leadership is adopting to realize the development objectives given that circumstance. We therefore have budgets with such phrases as </w:t>
      </w:r>
      <w:r>
        <w:rPr>
          <w:i/>
        </w:rPr>
        <w:t>‘Budget of Hope’, ‘Austerity Budget’, ‘Belt tightening Budget’, ‘Budget of relief’, ‘Budget of Reconstruction’, ‘Budget of Redemption</w:t>
      </w:r>
      <w:r>
        <w:rPr/>
        <w:t>‘.</w:t>
      </w:r>
      <w:r>
        <w:rPr>
          <w:spacing w:val="40"/>
        </w:rPr>
        <w:t> </w:t>
      </w:r>
      <w:r>
        <w:rPr/>
        <w:t>These are all philosophical reflections in both a boom and recessed economy (Fort, 2012).</w:t>
      </w:r>
    </w:p>
    <w:p>
      <w:pPr>
        <w:spacing w:after="0" w:line="360" w:lineRule="auto"/>
        <w:jc w:val="both"/>
        <w:sectPr>
          <w:pgSz w:w="12240" w:h="15840"/>
          <w:pgMar w:header="0" w:footer="1036" w:top="1360" w:bottom="1220" w:left="1200" w:right="600"/>
        </w:sectPr>
      </w:pPr>
    </w:p>
    <w:p>
      <w:pPr>
        <w:pStyle w:val="BodyText"/>
        <w:spacing w:line="360" w:lineRule="auto" w:before="74"/>
        <w:ind w:left="240" w:right="838"/>
        <w:jc w:val="both"/>
      </w:pPr>
      <w:r>
        <w:rPr/>
        <w:t>Ugoo (2008) submits that some of the main objectives which Nigerian budgets have tried to stress in the past are: efficient utilization of limited resources through the re-ordering of government priorities; reduced government expenditure; re-engagement of the traditional resource base neglected because of the rich oil sector; fight against inflationary</w:t>
      </w:r>
      <w:r>
        <w:rPr>
          <w:spacing w:val="-3"/>
        </w:rPr>
        <w:t> </w:t>
      </w:r>
      <w:r>
        <w:rPr/>
        <w:t>pressure; income redistribution;</w:t>
      </w:r>
      <w:r>
        <w:rPr>
          <w:spacing w:val="-1"/>
        </w:rPr>
        <w:t> </w:t>
      </w:r>
      <w:r>
        <w:rPr/>
        <w:t>self-sufficiency</w:t>
      </w:r>
      <w:r>
        <w:rPr>
          <w:spacing w:val="-6"/>
        </w:rPr>
        <w:t> </w:t>
      </w:r>
      <w:r>
        <w:rPr/>
        <w:t>in</w:t>
      </w:r>
      <w:r>
        <w:rPr>
          <w:spacing w:val="-1"/>
        </w:rPr>
        <w:t> </w:t>
      </w:r>
      <w:r>
        <w:rPr/>
        <w:t>food</w:t>
      </w:r>
      <w:r>
        <w:rPr>
          <w:spacing w:val="-2"/>
        </w:rPr>
        <w:t> </w:t>
      </w:r>
      <w:r>
        <w:rPr/>
        <w:t>through agricultural</w:t>
      </w:r>
      <w:r>
        <w:rPr>
          <w:spacing w:val="-1"/>
        </w:rPr>
        <w:t> </w:t>
      </w:r>
      <w:r>
        <w:rPr/>
        <w:t>production; greater</w:t>
      </w:r>
      <w:r>
        <w:rPr>
          <w:spacing w:val="-3"/>
        </w:rPr>
        <w:t> </w:t>
      </w:r>
      <w:r>
        <w:rPr/>
        <w:t>incentives</w:t>
      </w:r>
      <w:r>
        <w:rPr>
          <w:spacing w:val="-1"/>
        </w:rPr>
        <w:t> </w:t>
      </w:r>
      <w:r>
        <w:rPr/>
        <w:t>to</w:t>
      </w:r>
      <w:r>
        <w:rPr>
          <w:spacing w:val="-1"/>
        </w:rPr>
        <w:t> </w:t>
      </w:r>
      <w:r>
        <w:rPr/>
        <w:t>local industries and an increase in the export of traditional produce in order to influence the balance of payments position and release pressure on the dwindling external reserve level</w:t>
      </w:r>
    </w:p>
    <w:p>
      <w:pPr>
        <w:pStyle w:val="BodyText"/>
        <w:spacing w:line="360" w:lineRule="auto" w:before="275"/>
        <w:ind w:left="240" w:right="840"/>
        <w:jc w:val="both"/>
      </w:pPr>
      <w:r>
        <w:rPr/>
        <w:t>Apart from the aforementioned main objectives which Nigerian budgets have tried to achieve, Ugoo</w:t>
      </w:r>
      <w:r>
        <w:rPr>
          <w:spacing w:val="-1"/>
        </w:rPr>
        <w:t> </w:t>
      </w:r>
      <w:r>
        <w:rPr/>
        <w:t>(2008)</w:t>
      </w:r>
      <w:r>
        <w:rPr>
          <w:spacing w:val="-2"/>
        </w:rPr>
        <w:t> </w:t>
      </w:r>
      <w:r>
        <w:rPr/>
        <w:t>also</w:t>
      </w:r>
      <w:r>
        <w:rPr>
          <w:spacing w:val="-1"/>
        </w:rPr>
        <w:t> </w:t>
      </w:r>
      <w:r>
        <w:rPr/>
        <w:t>states</w:t>
      </w:r>
      <w:r>
        <w:rPr>
          <w:spacing w:val="-1"/>
        </w:rPr>
        <w:t> </w:t>
      </w:r>
      <w:r>
        <w:rPr/>
        <w:t>that</w:t>
      </w:r>
      <w:r>
        <w:rPr>
          <w:spacing w:val="-1"/>
        </w:rPr>
        <w:t> </w:t>
      </w:r>
      <w:r>
        <w:rPr/>
        <w:t>there</w:t>
      </w:r>
      <w:r>
        <w:rPr>
          <w:spacing w:val="-2"/>
        </w:rPr>
        <w:t> </w:t>
      </w:r>
      <w:r>
        <w:rPr/>
        <w:t>are</w:t>
      </w:r>
      <w:r>
        <w:rPr>
          <w:spacing w:val="-2"/>
        </w:rPr>
        <w:t> </w:t>
      </w:r>
      <w:r>
        <w:rPr/>
        <w:t>the</w:t>
      </w:r>
      <w:r>
        <w:rPr>
          <w:spacing w:val="-2"/>
        </w:rPr>
        <w:t> </w:t>
      </w:r>
      <w:r>
        <w:rPr/>
        <w:t>broad</w:t>
      </w:r>
      <w:r>
        <w:rPr>
          <w:spacing w:val="-1"/>
        </w:rPr>
        <w:t> </w:t>
      </w:r>
      <w:r>
        <w:rPr/>
        <w:t>national</w:t>
      </w:r>
      <w:r>
        <w:rPr>
          <w:spacing w:val="-1"/>
        </w:rPr>
        <w:t> </w:t>
      </w:r>
      <w:r>
        <w:rPr/>
        <w:t>objectives</w:t>
      </w:r>
      <w:r>
        <w:rPr>
          <w:spacing w:val="-1"/>
        </w:rPr>
        <w:t> </w:t>
      </w:r>
      <w:r>
        <w:rPr/>
        <w:t>which</w:t>
      </w:r>
      <w:r>
        <w:rPr>
          <w:spacing w:val="-1"/>
        </w:rPr>
        <w:t> </w:t>
      </w:r>
      <w:r>
        <w:rPr/>
        <w:t>also</w:t>
      </w:r>
      <w:r>
        <w:rPr>
          <w:spacing w:val="-1"/>
        </w:rPr>
        <w:t> </w:t>
      </w:r>
      <w:r>
        <w:rPr/>
        <w:t>has</w:t>
      </w:r>
      <w:r>
        <w:rPr>
          <w:spacing w:val="-1"/>
        </w:rPr>
        <w:t> </w:t>
      </w:r>
      <w:r>
        <w:rPr/>
        <w:t>to</w:t>
      </w:r>
      <w:r>
        <w:rPr>
          <w:spacing w:val="-1"/>
        </w:rPr>
        <w:t> </w:t>
      </w:r>
      <w:r>
        <w:rPr/>
        <w:t>be</w:t>
      </w:r>
      <w:r>
        <w:rPr>
          <w:spacing w:val="-2"/>
        </w:rPr>
        <w:t> </w:t>
      </w:r>
      <w:r>
        <w:rPr/>
        <w:t>achieved through the budget. They are: increase in per-capita income, more even distribution of income, reduction in the level of unemployment, increase in the supply of high level manpower, diversification</w:t>
      </w:r>
      <w:r>
        <w:rPr>
          <w:spacing w:val="-2"/>
        </w:rPr>
        <w:t> </w:t>
      </w:r>
      <w:r>
        <w:rPr/>
        <w:t>of</w:t>
      </w:r>
      <w:r>
        <w:rPr>
          <w:spacing w:val="-2"/>
        </w:rPr>
        <w:t> </w:t>
      </w:r>
      <w:r>
        <w:rPr/>
        <w:t>the</w:t>
      </w:r>
      <w:r>
        <w:rPr>
          <w:spacing w:val="-1"/>
        </w:rPr>
        <w:t> </w:t>
      </w:r>
      <w:r>
        <w:rPr/>
        <w:t>economy,</w:t>
      </w:r>
      <w:r>
        <w:rPr>
          <w:spacing w:val="-1"/>
        </w:rPr>
        <w:t> </w:t>
      </w:r>
      <w:r>
        <w:rPr/>
        <w:t>balanced</w:t>
      </w:r>
      <w:r>
        <w:rPr>
          <w:spacing w:val="-2"/>
        </w:rPr>
        <w:t> </w:t>
      </w:r>
      <w:r>
        <w:rPr/>
        <w:t>development,</w:t>
      </w:r>
      <w:r>
        <w:rPr>
          <w:spacing w:val="-1"/>
        </w:rPr>
        <w:t> </w:t>
      </w:r>
      <w:r>
        <w:rPr/>
        <w:t>and</w:t>
      </w:r>
      <w:r>
        <w:rPr>
          <w:spacing w:val="-1"/>
        </w:rPr>
        <w:t> </w:t>
      </w:r>
      <w:r>
        <w:rPr/>
        <w:t>indigenization</w:t>
      </w:r>
      <w:r>
        <w:rPr>
          <w:spacing w:val="-2"/>
        </w:rPr>
        <w:t> </w:t>
      </w:r>
      <w:r>
        <w:rPr/>
        <w:t>of</w:t>
      </w:r>
      <w:r>
        <w:rPr>
          <w:spacing w:val="-2"/>
        </w:rPr>
        <w:t> </w:t>
      </w:r>
      <w:r>
        <w:rPr/>
        <w:t>economic</w:t>
      </w:r>
      <w:r>
        <w:rPr>
          <w:spacing w:val="-2"/>
        </w:rPr>
        <w:t> activities.</w:t>
      </w:r>
    </w:p>
    <w:p>
      <w:pPr>
        <w:pStyle w:val="BodyText"/>
        <w:spacing w:before="139"/>
      </w:pPr>
    </w:p>
    <w:p>
      <w:pPr>
        <w:pStyle w:val="BodyText"/>
        <w:spacing w:line="360" w:lineRule="auto"/>
        <w:ind w:left="240" w:right="840"/>
        <w:jc w:val="both"/>
      </w:pPr>
      <w:r>
        <w:rPr/>
        <w:t>Ugwu (2006) explains that the Nigerian annual budget is divided into either twelve monthly periods or a year. Alternatively, the annual budget may be broken down by months for the first three months and by quarters for the remaining nine months. The quarterly budgets are then developed on a monthly basis as the year proceeds. This process is known as continuous or rolling budgeting and ensures that a twelve month budget is always available.</w:t>
      </w:r>
    </w:p>
    <w:p>
      <w:pPr>
        <w:pStyle w:val="BodyText"/>
        <w:spacing w:before="139"/>
      </w:pPr>
    </w:p>
    <w:p>
      <w:pPr>
        <w:pStyle w:val="BodyText"/>
        <w:spacing w:line="360" w:lineRule="auto"/>
        <w:ind w:left="240" w:right="836"/>
        <w:jc w:val="both"/>
      </w:pPr>
      <w:r>
        <w:rPr/>
        <w:t>According to Ugoo (2008), under the administration of the annual budget in Nigeria, the budget preparation process requires a call circular to the various departments, establishments, ministry</w:t>
      </w:r>
      <w:r>
        <w:rPr>
          <w:spacing w:val="40"/>
        </w:rPr>
        <w:t> </w:t>
      </w:r>
      <w:r>
        <w:rPr/>
        <w:t>or representatives who are expected to participate in the budget discussion as well as serve as budget committees. The budget committee</w:t>
      </w:r>
      <w:r>
        <w:rPr>
          <w:spacing w:val="-2"/>
        </w:rPr>
        <w:t> </w:t>
      </w:r>
      <w:r>
        <w:rPr/>
        <w:t>constituted</w:t>
      </w:r>
      <w:r>
        <w:rPr>
          <w:spacing w:val="-1"/>
        </w:rPr>
        <w:t> </w:t>
      </w:r>
      <w:r>
        <w:rPr/>
        <w:t>usually</w:t>
      </w:r>
      <w:r>
        <w:rPr>
          <w:spacing w:val="-3"/>
        </w:rPr>
        <w:t> </w:t>
      </w:r>
      <w:r>
        <w:rPr/>
        <w:t>consists of</w:t>
      </w:r>
      <w:r>
        <w:rPr>
          <w:spacing w:val="-1"/>
        </w:rPr>
        <w:t> </w:t>
      </w:r>
      <w:r>
        <w:rPr/>
        <w:t>high level officers</w:t>
      </w:r>
      <w:r>
        <w:rPr>
          <w:spacing w:val="-1"/>
        </w:rPr>
        <w:t> </w:t>
      </w:r>
      <w:r>
        <w:rPr/>
        <w:t>who represent the major segment of the organization. The person who heads the budget committee is known as the budget director whose is saddled with the duty of receiving departmental or organizational submissions for onward transmission to the chairman for authentication and verification. The major task of the committee is to ensure that budgets are realistically</w:t>
      </w:r>
      <w:r>
        <w:rPr>
          <w:spacing w:val="40"/>
        </w:rPr>
        <w:t> </w:t>
      </w:r>
      <w:r>
        <w:rPr/>
        <w:t>established and that they are satisfactorily coordinated.</w:t>
      </w:r>
    </w:p>
    <w:p>
      <w:pPr>
        <w:pStyle w:val="BodyText"/>
        <w:spacing w:before="69"/>
      </w:pPr>
    </w:p>
    <w:p>
      <w:pPr>
        <w:pStyle w:val="BodyText"/>
        <w:spacing w:line="360" w:lineRule="auto"/>
        <w:ind w:left="240" w:right="842"/>
        <w:jc w:val="both"/>
      </w:pPr>
      <w:r>
        <w:rPr/>
        <w:t>The normal procedure is for functional heads to present their budget to the committee for approval.</w:t>
      </w:r>
      <w:r>
        <w:rPr>
          <w:spacing w:val="64"/>
        </w:rPr>
        <w:t> </w:t>
      </w:r>
      <w:r>
        <w:rPr/>
        <w:t>The</w:t>
      </w:r>
      <w:r>
        <w:rPr>
          <w:spacing w:val="65"/>
        </w:rPr>
        <w:t> </w:t>
      </w:r>
      <w:r>
        <w:rPr/>
        <w:t>committee</w:t>
      </w:r>
      <w:r>
        <w:rPr>
          <w:spacing w:val="63"/>
        </w:rPr>
        <w:t> </w:t>
      </w:r>
      <w:r>
        <w:rPr/>
        <w:t>will</w:t>
      </w:r>
      <w:r>
        <w:rPr>
          <w:spacing w:val="64"/>
        </w:rPr>
        <w:t> </w:t>
      </w:r>
      <w:r>
        <w:rPr/>
        <w:t>prepare</w:t>
      </w:r>
      <w:r>
        <w:rPr>
          <w:spacing w:val="66"/>
        </w:rPr>
        <w:t> </w:t>
      </w:r>
      <w:r>
        <w:rPr/>
        <w:t>a</w:t>
      </w:r>
      <w:r>
        <w:rPr>
          <w:spacing w:val="62"/>
        </w:rPr>
        <w:t> </w:t>
      </w:r>
      <w:r>
        <w:rPr/>
        <w:t>budget</w:t>
      </w:r>
      <w:r>
        <w:rPr>
          <w:spacing w:val="65"/>
        </w:rPr>
        <w:t> </w:t>
      </w:r>
      <w:r>
        <w:rPr/>
        <w:t>manual</w:t>
      </w:r>
      <w:r>
        <w:rPr>
          <w:spacing w:val="64"/>
        </w:rPr>
        <w:t> </w:t>
      </w:r>
      <w:r>
        <w:rPr/>
        <w:t>which</w:t>
      </w:r>
      <w:r>
        <w:rPr>
          <w:spacing w:val="66"/>
        </w:rPr>
        <w:t> </w:t>
      </w:r>
      <w:r>
        <w:rPr/>
        <w:t>is</w:t>
      </w:r>
      <w:r>
        <w:rPr>
          <w:spacing w:val="64"/>
        </w:rPr>
        <w:t> </w:t>
      </w:r>
      <w:r>
        <w:rPr/>
        <w:t>expected</w:t>
      </w:r>
      <w:r>
        <w:rPr>
          <w:spacing w:val="64"/>
        </w:rPr>
        <w:t> </w:t>
      </w:r>
      <w:r>
        <w:rPr/>
        <w:t>to</w:t>
      </w:r>
      <w:r>
        <w:rPr>
          <w:spacing w:val="66"/>
        </w:rPr>
        <w:t> </w:t>
      </w:r>
      <w:r>
        <w:rPr/>
        <w:t>describe</w:t>
      </w:r>
      <w:r>
        <w:rPr>
          <w:spacing w:val="63"/>
        </w:rPr>
        <w:t> </w:t>
      </w:r>
      <w:r>
        <w:rPr>
          <w:spacing w:val="-5"/>
        </w:rPr>
        <w:t>the</w:t>
      </w:r>
    </w:p>
    <w:p>
      <w:pPr>
        <w:spacing w:after="0" w:line="360" w:lineRule="auto"/>
        <w:jc w:val="both"/>
        <w:sectPr>
          <w:pgSz w:w="12240" w:h="15840"/>
          <w:pgMar w:header="0" w:footer="1036" w:top="1360" w:bottom="1220" w:left="1200" w:right="600"/>
        </w:sectPr>
      </w:pPr>
    </w:p>
    <w:p>
      <w:pPr>
        <w:pStyle w:val="BodyText"/>
        <w:spacing w:line="360" w:lineRule="auto" w:before="74"/>
        <w:ind w:left="240" w:right="836"/>
        <w:jc w:val="both"/>
      </w:pPr>
      <w:r>
        <w:rPr/>
        <w:t>objectives and procedures involved in the budgeting process and it will provide a useful</w:t>
      </w:r>
      <w:r>
        <w:rPr>
          <w:spacing w:val="40"/>
        </w:rPr>
        <w:t> </w:t>
      </w:r>
      <w:r>
        <w:rPr/>
        <w:t>reference source for officers responsible for budget preparation. In addition, the manual may include a time table which specifies the order in which the budgets should be prepared and the dates when they should be presented to the budget committee. The manual should be circulated</w:t>
      </w:r>
      <w:r>
        <w:rPr>
          <w:spacing w:val="40"/>
        </w:rPr>
        <w:t> </w:t>
      </w:r>
      <w:r>
        <w:rPr/>
        <w:t>to all individuals, who are responsible for preparing budgets. The important stages are as</w:t>
      </w:r>
      <w:r>
        <w:rPr>
          <w:spacing w:val="80"/>
        </w:rPr>
        <w:t> </w:t>
      </w:r>
      <w:r>
        <w:rPr>
          <w:spacing w:val="-2"/>
        </w:rPr>
        <w:t>follows:</w:t>
      </w:r>
    </w:p>
    <w:p>
      <w:pPr>
        <w:pStyle w:val="ListParagraph"/>
        <w:numPr>
          <w:ilvl w:val="3"/>
          <w:numId w:val="27"/>
        </w:numPr>
        <w:tabs>
          <w:tab w:pos="960" w:val="left" w:leader="none"/>
        </w:tabs>
        <w:spacing w:line="360" w:lineRule="auto" w:before="1" w:after="0"/>
        <w:ind w:left="960" w:right="845" w:hanging="360"/>
        <w:jc w:val="left"/>
        <w:rPr>
          <w:sz w:val="24"/>
        </w:rPr>
      </w:pPr>
      <w:r>
        <w:rPr>
          <w:sz w:val="24"/>
        </w:rPr>
        <w:t>Communicating details of budget policy guidelines to those people responsible for their preparation of the budgets;</w:t>
      </w:r>
    </w:p>
    <w:p>
      <w:pPr>
        <w:pStyle w:val="ListParagraph"/>
        <w:numPr>
          <w:ilvl w:val="3"/>
          <w:numId w:val="27"/>
        </w:numPr>
        <w:tabs>
          <w:tab w:pos="959" w:val="left" w:leader="none"/>
        </w:tabs>
        <w:spacing w:line="240" w:lineRule="auto" w:before="0" w:after="0"/>
        <w:ind w:left="959" w:right="0" w:hanging="359"/>
        <w:jc w:val="left"/>
        <w:rPr>
          <w:sz w:val="24"/>
        </w:rPr>
      </w:pPr>
      <w:r>
        <w:rPr>
          <w:sz w:val="24"/>
        </w:rPr>
        <w:t>Determination</w:t>
      </w:r>
      <w:r>
        <w:rPr>
          <w:spacing w:val="-2"/>
          <w:sz w:val="24"/>
        </w:rPr>
        <w:t> </w:t>
      </w:r>
      <w:r>
        <w:rPr>
          <w:sz w:val="24"/>
        </w:rPr>
        <w:t>of</w:t>
      </w:r>
      <w:r>
        <w:rPr>
          <w:spacing w:val="-2"/>
          <w:sz w:val="24"/>
        </w:rPr>
        <w:t> </w:t>
      </w:r>
      <w:r>
        <w:rPr>
          <w:sz w:val="24"/>
        </w:rPr>
        <w:t>factors that</w:t>
      </w:r>
      <w:r>
        <w:rPr>
          <w:spacing w:val="-1"/>
          <w:sz w:val="24"/>
        </w:rPr>
        <w:t> </w:t>
      </w:r>
      <w:r>
        <w:rPr>
          <w:sz w:val="24"/>
        </w:rPr>
        <w:t>restrict</w:t>
      </w:r>
      <w:r>
        <w:rPr>
          <w:spacing w:val="-1"/>
          <w:sz w:val="24"/>
        </w:rPr>
        <w:t> </w:t>
      </w:r>
      <w:r>
        <w:rPr>
          <w:spacing w:val="-2"/>
          <w:sz w:val="24"/>
        </w:rPr>
        <w:t>performance;</w:t>
      </w:r>
    </w:p>
    <w:p>
      <w:pPr>
        <w:pStyle w:val="ListParagraph"/>
        <w:numPr>
          <w:ilvl w:val="3"/>
          <w:numId w:val="27"/>
        </w:numPr>
        <w:tabs>
          <w:tab w:pos="959" w:val="left" w:leader="none"/>
        </w:tabs>
        <w:spacing w:line="240" w:lineRule="auto" w:before="137" w:after="0"/>
        <w:ind w:left="959" w:right="0" w:hanging="359"/>
        <w:jc w:val="left"/>
        <w:rPr>
          <w:sz w:val="24"/>
        </w:rPr>
      </w:pPr>
      <w:r>
        <w:rPr>
          <w:sz w:val="24"/>
        </w:rPr>
        <w:t>Preparation</w:t>
      </w:r>
      <w:r>
        <w:rPr>
          <w:spacing w:val="-2"/>
          <w:sz w:val="24"/>
        </w:rPr>
        <w:t> </w:t>
      </w:r>
      <w:r>
        <w:rPr>
          <w:sz w:val="24"/>
        </w:rPr>
        <w:t>of</w:t>
      </w:r>
      <w:r>
        <w:rPr>
          <w:spacing w:val="-2"/>
          <w:sz w:val="24"/>
        </w:rPr>
        <w:t> </w:t>
      </w:r>
      <w:r>
        <w:rPr>
          <w:sz w:val="24"/>
        </w:rPr>
        <w:t>various</w:t>
      </w:r>
      <w:r>
        <w:rPr>
          <w:spacing w:val="-1"/>
          <w:sz w:val="24"/>
        </w:rPr>
        <w:t> </w:t>
      </w:r>
      <w:r>
        <w:rPr>
          <w:spacing w:val="-2"/>
          <w:sz w:val="24"/>
        </w:rPr>
        <w:t>budgets;</w:t>
      </w:r>
    </w:p>
    <w:p>
      <w:pPr>
        <w:pStyle w:val="ListParagraph"/>
        <w:numPr>
          <w:ilvl w:val="3"/>
          <w:numId w:val="27"/>
        </w:numPr>
        <w:tabs>
          <w:tab w:pos="959" w:val="left" w:leader="none"/>
        </w:tabs>
        <w:spacing w:line="240" w:lineRule="auto" w:before="139" w:after="0"/>
        <w:ind w:left="959" w:right="0" w:hanging="359"/>
        <w:jc w:val="left"/>
        <w:rPr>
          <w:sz w:val="24"/>
        </w:rPr>
      </w:pPr>
      <w:r>
        <w:rPr>
          <w:sz w:val="24"/>
        </w:rPr>
        <w:t>Negotiation</w:t>
      </w:r>
      <w:r>
        <w:rPr>
          <w:spacing w:val="-1"/>
          <w:sz w:val="24"/>
        </w:rPr>
        <w:t> </w:t>
      </w:r>
      <w:r>
        <w:rPr>
          <w:sz w:val="24"/>
        </w:rPr>
        <w:t>of</w:t>
      </w:r>
      <w:r>
        <w:rPr>
          <w:spacing w:val="-2"/>
          <w:sz w:val="24"/>
        </w:rPr>
        <w:t> </w:t>
      </w:r>
      <w:r>
        <w:rPr>
          <w:sz w:val="24"/>
        </w:rPr>
        <w:t>budgets</w:t>
      </w:r>
      <w:r>
        <w:rPr>
          <w:spacing w:val="-1"/>
          <w:sz w:val="24"/>
        </w:rPr>
        <w:t> </w:t>
      </w:r>
      <w:r>
        <w:rPr>
          <w:sz w:val="24"/>
        </w:rPr>
        <w:t>with </w:t>
      </w:r>
      <w:r>
        <w:rPr>
          <w:spacing w:val="-2"/>
          <w:sz w:val="24"/>
        </w:rPr>
        <w:t>superiors;</w:t>
      </w:r>
    </w:p>
    <w:p>
      <w:pPr>
        <w:pStyle w:val="ListParagraph"/>
        <w:numPr>
          <w:ilvl w:val="3"/>
          <w:numId w:val="27"/>
        </w:numPr>
        <w:tabs>
          <w:tab w:pos="959" w:val="left" w:leader="none"/>
        </w:tabs>
        <w:spacing w:line="240" w:lineRule="auto" w:before="137" w:after="0"/>
        <w:ind w:left="959" w:right="0" w:hanging="359"/>
        <w:jc w:val="left"/>
        <w:rPr>
          <w:sz w:val="24"/>
        </w:rPr>
      </w:pPr>
      <w:r>
        <w:rPr>
          <w:sz w:val="24"/>
        </w:rPr>
        <w:t>Coordination</w:t>
      </w:r>
      <w:r>
        <w:rPr>
          <w:spacing w:val="-4"/>
          <w:sz w:val="24"/>
        </w:rPr>
        <w:t> </w:t>
      </w:r>
      <w:r>
        <w:rPr>
          <w:sz w:val="24"/>
        </w:rPr>
        <w:t>and</w:t>
      </w:r>
      <w:r>
        <w:rPr>
          <w:spacing w:val="-1"/>
          <w:sz w:val="24"/>
        </w:rPr>
        <w:t> </w:t>
      </w:r>
      <w:r>
        <w:rPr>
          <w:sz w:val="24"/>
        </w:rPr>
        <w:t>review of</w:t>
      </w:r>
      <w:r>
        <w:rPr>
          <w:spacing w:val="-2"/>
          <w:sz w:val="24"/>
        </w:rPr>
        <w:t> </w:t>
      </w:r>
      <w:r>
        <w:rPr>
          <w:sz w:val="24"/>
        </w:rPr>
        <w:t>budgets</w:t>
      </w:r>
      <w:r>
        <w:rPr>
          <w:spacing w:val="-1"/>
          <w:sz w:val="24"/>
        </w:rPr>
        <w:t> </w:t>
      </w:r>
      <w:r>
        <w:rPr>
          <w:spacing w:val="-5"/>
          <w:sz w:val="24"/>
        </w:rPr>
        <w:t>and</w:t>
      </w:r>
    </w:p>
    <w:p>
      <w:pPr>
        <w:pStyle w:val="ListParagraph"/>
        <w:numPr>
          <w:ilvl w:val="3"/>
          <w:numId w:val="27"/>
        </w:numPr>
        <w:tabs>
          <w:tab w:pos="958" w:val="left" w:leader="none"/>
        </w:tabs>
        <w:spacing w:line="240" w:lineRule="auto" w:before="139" w:after="0"/>
        <w:ind w:left="958" w:right="0" w:hanging="358"/>
        <w:jc w:val="left"/>
        <w:rPr>
          <w:sz w:val="24"/>
        </w:rPr>
      </w:pPr>
      <w:r>
        <w:rPr>
          <w:sz w:val="24"/>
        </w:rPr>
        <w:t>Ongoing</w:t>
      </w:r>
      <w:r>
        <w:rPr>
          <w:spacing w:val="-4"/>
          <w:sz w:val="24"/>
        </w:rPr>
        <w:t> </w:t>
      </w:r>
      <w:r>
        <w:rPr>
          <w:sz w:val="24"/>
        </w:rPr>
        <w:t>review</w:t>
      </w:r>
      <w:r>
        <w:rPr>
          <w:spacing w:val="-1"/>
          <w:sz w:val="24"/>
        </w:rPr>
        <w:t> </w:t>
      </w:r>
      <w:r>
        <w:rPr>
          <w:sz w:val="24"/>
        </w:rPr>
        <w:t>of </w:t>
      </w:r>
      <w:r>
        <w:rPr>
          <w:spacing w:val="-2"/>
          <w:sz w:val="24"/>
        </w:rPr>
        <w:t>budgets.</w:t>
      </w:r>
    </w:p>
    <w:p>
      <w:pPr>
        <w:pStyle w:val="BodyText"/>
      </w:pPr>
    </w:p>
    <w:p>
      <w:pPr>
        <w:pStyle w:val="BodyText"/>
      </w:pPr>
    </w:p>
    <w:p>
      <w:pPr>
        <w:pStyle w:val="BodyText"/>
        <w:spacing w:line="360" w:lineRule="auto"/>
        <w:ind w:left="240" w:right="840"/>
        <w:jc w:val="both"/>
      </w:pPr>
      <w:r>
        <w:rPr/>
        <w:t>On receipt of the budget submission from the committee, the chairman is expected to go through the documents, make any necessary adjustment, corrections, modifications, additions based on the mission or corporate objectives, and then for-ward it to the legislative arm of the council as a bill document. The legislative council reads the budget document carefully, discuss every aspect of it, make</w:t>
      </w:r>
      <w:r>
        <w:rPr>
          <w:spacing w:val="-1"/>
        </w:rPr>
        <w:t> </w:t>
      </w:r>
      <w:r>
        <w:rPr/>
        <w:t>any</w:t>
      </w:r>
      <w:r>
        <w:rPr>
          <w:spacing w:val="-2"/>
        </w:rPr>
        <w:t> </w:t>
      </w:r>
      <w:r>
        <w:rPr/>
        <w:t>amendment if any</w:t>
      </w:r>
      <w:r>
        <w:rPr>
          <w:spacing w:val="-4"/>
        </w:rPr>
        <w:t> </w:t>
      </w:r>
      <w:r>
        <w:rPr/>
        <w:t>and send it to the Executive for</w:t>
      </w:r>
      <w:r>
        <w:rPr>
          <w:spacing w:val="-1"/>
        </w:rPr>
        <w:t> </w:t>
      </w:r>
      <w:r>
        <w:rPr/>
        <w:t>his consent and authentication. Once the executive sign the document, it becomes a legal document to use for spending and control of money at any tier of government. It should be noted that any department,</w:t>
      </w:r>
      <w:r>
        <w:rPr>
          <w:spacing w:val="40"/>
        </w:rPr>
        <w:t> </w:t>
      </w:r>
      <w:r>
        <w:rPr/>
        <w:t>establishment or ministry has a vote on which funds can be drawn.</w:t>
      </w:r>
    </w:p>
    <w:p>
      <w:pPr>
        <w:pStyle w:val="BodyText"/>
        <w:spacing w:before="68"/>
      </w:pPr>
    </w:p>
    <w:p>
      <w:pPr>
        <w:pStyle w:val="BodyText"/>
        <w:spacing w:line="360" w:lineRule="auto"/>
        <w:ind w:left="240" w:right="843"/>
        <w:jc w:val="both"/>
      </w:pPr>
      <w:r>
        <w:rPr/>
        <w:t>It is pertinent to note that the key indicator of performance and growth is the embedment of budget discipline at all the tiers of government, thus money spent must be justified and satisfied by all the established budgetary and budget monitoring organs (Ugwu, 2006; Ugoo,2008;</w:t>
      </w:r>
      <w:r>
        <w:rPr>
          <w:spacing w:val="40"/>
        </w:rPr>
        <w:t> </w:t>
      </w:r>
      <w:r>
        <w:rPr/>
        <w:t>Malgwi and Unegbu, 2012).</w:t>
      </w:r>
    </w:p>
    <w:p>
      <w:pPr>
        <w:spacing w:after="0" w:line="360" w:lineRule="auto"/>
        <w:jc w:val="both"/>
        <w:sectPr>
          <w:pgSz w:w="12240" w:h="15840"/>
          <w:pgMar w:header="0" w:footer="1036" w:top="1360" w:bottom="1220" w:left="1200" w:right="600"/>
        </w:sectPr>
      </w:pPr>
    </w:p>
    <w:p>
      <w:pPr>
        <w:pStyle w:val="Heading4"/>
        <w:numPr>
          <w:ilvl w:val="2"/>
          <w:numId w:val="27"/>
        </w:numPr>
        <w:tabs>
          <w:tab w:pos="839" w:val="left" w:leader="none"/>
        </w:tabs>
        <w:spacing w:line="240" w:lineRule="auto" w:before="79" w:after="0"/>
        <w:ind w:left="839" w:right="0" w:hanging="599"/>
        <w:jc w:val="both"/>
        <w:rPr>
          <w:sz w:val="22"/>
        </w:rPr>
      </w:pPr>
      <w:r>
        <w:rPr/>
        <w:t>`</w:t>
      </w:r>
      <w:r>
        <w:rPr>
          <w:spacing w:val="-1"/>
        </w:rPr>
        <w:t> </w:t>
      </w:r>
      <w:r>
        <w:rPr/>
        <w:t>Basis</w:t>
      </w:r>
      <w:r>
        <w:rPr>
          <w:spacing w:val="-1"/>
        </w:rPr>
        <w:t> </w:t>
      </w:r>
      <w:r>
        <w:rPr/>
        <w:t>for</w:t>
      </w:r>
      <w:r>
        <w:rPr>
          <w:spacing w:val="-2"/>
        </w:rPr>
        <w:t> </w:t>
      </w:r>
      <w:r>
        <w:rPr/>
        <w:t>Budget</w:t>
      </w:r>
      <w:r>
        <w:rPr>
          <w:spacing w:val="-1"/>
        </w:rPr>
        <w:t> </w:t>
      </w:r>
      <w:r>
        <w:rPr/>
        <w:t>preparation in </w:t>
      </w:r>
      <w:r>
        <w:rPr>
          <w:spacing w:val="-2"/>
        </w:rPr>
        <w:t>Nigeria</w:t>
      </w:r>
    </w:p>
    <w:p>
      <w:pPr>
        <w:pStyle w:val="BodyText"/>
        <w:spacing w:line="360" w:lineRule="auto" w:before="132"/>
        <w:ind w:left="240" w:right="833"/>
        <w:jc w:val="both"/>
      </w:pPr>
      <w:r>
        <w:rPr/>
        <w:t>According to Ekewealor (2007), if a budget is to be a realistic plan of operations, it should be based on some factors. Any change in the budgetary framework should be sufficiently justified by an annotation explaining the reasons for the change. The major factors on which public</w:t>
      </w:r>
      <w:r>
        <w:rPr>
          <w:spacing w:val="40"/>
        </w:rPr>
        <w:t> </w:t>
      </w:r>
      <w:r>
        <w:rPr/>
        <w:t>budget in Nigeria are based include:</w:t>
      </w:r>
    </w:p>
    <w:p>
      <w:pPr>
        <w:pStyle w:val="ListParagraph"/>
        <w:numPr>
          <w:ilvl w:val="0"/>
          <w:numId w:val="48"/>
        </w:numPr>
        <w:tabs>
          <w:tab w:pos="958" w:val="left" w:leader="none"/>
          <w:tab w:pos="960" w:val="left" w:leader="none"/>
        </w:tabs>
        <w:spacing w:line="360" w:lineRule="auto" w:before="0" w:after="0"/>
        <w:ind w:left="960" w:right="844" w:hanging="360"/>
        <w:jc w:val="both"/>
        <w:rPr>
          <w:sz w:val="24"/>
        </w:rPr>
      </w:pPr>
      <w:r>
        <w:rPr>
          <w:sz w:val="24"/>
        </w:rPr>
        <w:t>The body of laws or rules governing the budget format, timing and procedure (the Constitution of the Federal Republic of Nigeria, and Federal Guideline on each annual budget and the Call Circular).</w:t>
      </w:r>
    </w:p>
    <w:p>
      <w:pPr>
        <w:pStyle w:val="ListParagraph"/>
        <w:numPr>
          <w:ilvl w:val="0"/>
          <w:numId w:val="48"/>
        </w:numPr>
        <w:tabs>
          <w:tab w:pos="958" w:val="left" w:leader="none"/>
        </w:tabs>
        <w:spacing w:line="240" w:lineRule="auto" w:before="2" w:after="0"/>
        <w:ind w:left="958" w:right="0" w:hanging="358"/>
        <w:jc w:val="both"/>
        <w:rPr>
          <w:sz w:val="24"/>
        </w:rPr>
      </w:pPr>
      <w:r>
        <w:rPr>
          <w:sz w:val="24"/>
        </w:rPr>
        <w:t>The</w:t>
      </w:r>
      <w:r>
        <w:rPr>
          <w:spacing w:val="-3"/>
          <w:sz w:val="24"/>
        </w:rPr>
        <w:t> </w:t>
      </w:r>
      <w:r>
        <w:rPr>
          <w:sz w:val="24"/>
        </w:rPr>
        <w:t>forces</w:t>
      </w:r>
      <w:r>
        <w:rPr>
          <w:spacing w:val="-1"/>
          <w:sz w:val="24"/>
        </w:rPr>
        <w:t> </w:t>
      </w:r>
      <w:r>
        <w:rPr>
          <w:sz w:val="24"/>
        </w:rPr>
        <w:t>of</w:t>
      </w:r>
      <w:r>
        <w:rPr>
          <w:spacing w:val="-1"/>
          <w:sz w:val="24"/>
        </w:rPr>
        <w:t> </w:t>
      </w:r>
      <w:r>
        <w:rPr>
          <w:sz w:val="24"/>
        </w:rPr>
        <w:t>public</w:t>
      </w:r>
      <w:r>
        <w:rPr>
          <w:spacing w:val="-1"/>
          <w:sz w:val="24"/>
        </w:rPr>
        <w:t> </w:t>
      </w:r>
      <w:r>
        <w:rPr>
          <w:sz w:val="24"/>
        </w:rPr>
        <w:t>life which</w:t>
      </w:r>
      <w:r>
        <w:rPr>
          <w:spacing w:val="-1"/>
          <w:sz w:val="24"/>
        </w:rPr>
        <w:t> </w:t>
      </w:r>
      <w:r>
        <w:rPr>
          <w:sz w:val="24"/>
        </w:rPr>
        <w:t>utilize</w:t>
      </w:r>
      <w:r>
        <w:rPr>
          <w:spacing w:val="-2"/>
          <w:sz w:val="24"/>
        </w:rPr>
        <w:t> </w:t>
      </w:r>
      <w:r>
        <w:rPr>
          <w:sz w:val="24"/>
        </w:rPr>
        <w:t>the</w:t>
      </w:r>
      <w:r>
        <w:rPr>
          <w:spacing w:val="-1"/>
          <w:sz w:val="24"/>
        </w:rPr>
        <w:t> </w:t>
      </w:r>
      <w:r>
        <w:rPr>
          <w:sz w:val="24"/>
        </w:rPr>
        <w:t>Budget as</w:t>
      </w:r>
      <w:r>
        <w:rPr>
          <w:spacing w:val="-1"/>
          <w:sz w:val="24"/>
        </w:rPr>
        <w:t> </w:t>
      </w:r>
      <w:r>
        <w:rPr>
          <w:sz w:val="24"/>
        </w:rPr>
        <w:t>an</w:t>
      </w:r>
      <w:r>
        <w:rPr>
          <w:spacing w:val="-1"/>
          <w:sz w:val="24"/>
        </w:rPr>
        <w:t> </w:t>
      </w:r>
      <w:r>
        <w:rPr>
          <w:sz w:val="24"/>
        </w:rPr>
        <w:t>instrument</w:t>
      </w:r>
      <w:r>
        <w:rPr>
          <w:spacing w:val="-1"/>
          <w:sz w:val="24"/>
        </w:rPr>
        <w:t> </w:t>
      </w:r>
      <w:r>
        <w:rPr>
          <w:sz w:val="24"/>
        </w:rPr>
        <w:t>of </w:t>
      </w:r>
      <w:r>
        <w:rPr>
          <w:spacing w:val="-2"/>
          <w:sz w:val="24"/>
        </w:rPr>
        <w:t>probity.</w:t>
      </w:r>
    </w:p>
    <w:p>
      <w:pPr>
        <w:pStyle w:val="ListParagraph"/>
        <w:numPr>
          <w:ilvl w:val="0"/>
          <w:numId w:val="48"/>
        </w:numPr>
        <w:tabs>
          <w:tab w:pos="957" w:val="left" w:leader="none"/>
          <w:tab w:pos="960" w:val="left" w:leader="none"/>
        </w:tabs>
        <w:spacing w:line="360" w:lineRule="auto" w:before="137" w:after="0"/>
        <w:ind w:left="960" w:right="843" w:hanging="360"/>
        <w:jc w:val="both"/>
        <w:rPr>
          <w:sz w:val="24"/>
        </w:rPr>
      </w:pPr>
      <w:r>
        <w:rPr>
          <w:sz w:val="24"/>
        </w:rPr>
        <w:t>The administrative establishments within the executive arm which initiates, formulates, seeks approval and supervises the execution of the budget (that is, Ministry of Finance and Economic Development and each controlling Ministry/Non Ministerial Department).</w:t>
      </w:r>
    </w:p>
    <w:p>
      <w:pPr>
        <w:pStyle w:val="ListParagraph"/>
        <w:numPr>
          <w:ilvl w:val="0"/>
          <w:numId w:val="48"/>
        </w:numPr>
        <w:tabs>
          <w:tab w:pos="960" w:val="left" w:leader="none"/>
        </w:tabs>
        <w:spacing w:line="360" w:lineRule="auto" w:before="1" w:after="0"/>
        <w:ind w:left="960" w:right="840" w:hanging="360"/>
        <w:jc w:val="both"/>
        <w:rPr>
          <w:sz w:val="24"/>
        </w:rPr>
      </w:pPr>
      <w:r>
        <w:rPr>
          <w:sz w:val="24"/>
        </w:rPr>
        <w:t>The</w:t>
      </w:r>
      <w:r>
        <w:rPr>
          <w:spacing w:val="-6"/>
          <w:sz w:val="24"/>
        </w:rPr>
        <w:t> </w:t>
      </w:r>
      <w:r>
        <w:rPr>
          <w:sz w:val="24"/>
        </w:rPr>
        <w:t>legislative</w:t>
      </w:r>
      <w:r>
        <w:rPr>
          <w:spacing w:val="-5"/>
          <w:sz w:val="24"/>
        </w:rPr>
        <w:t> </w:t>
      </w:r>
      <w:r>
        <w:rPr>
          <w:sz w:val="24"/>
        </w:rPr>
        <w:t>element</w:t>
      </w:r>
      <w:r>
        <w:rPr>
          <w:spacing w:val="-2"/>
          <w:sz w:val="24"/>
        </w:rPr>
        <w:t> </w:t>
      </w:r>
      <w:r>
        <w:rPr>
          <w:sz w:val="24"/>
        </w:rPr>
        <w:t>which</w:t>
      </w:r>
      <w:r>
        <w:rPr>
          <w:spacing w:val="-4"/>
          <w:sz w:val="24"/>
        </w:rPr>
        <w:t> </w:t>
      </w:r>
      <w:r>
        <w:rPr>
          <w:sz w:val="24"/>
        </w:rPr>
        <w:t>determines</w:t>
      </w:r>
      <w:r>
        <w:rPr>
          <w:spacing w:val="-4"/>
          <w:sz w:val="24"/>
        </w:rPr>
        <w:t> </w:t>
      </w:r>
      <w:r>
        <w:rPr>
          <w:sz w:val="24"/>
        </w:rPr>
        <w:t>the</w:t>
      </w:r>
      <w:r>
        <w:rPr>
          <w:spacing w:val="-5"/>
          <w:sz w:val="24"/>
        </w:rPr>
        <w:t> </w:t>
      </w:r>
      <w:r>
        <w:rPr>
          <w:sz w:val="24"/>
        </w:rPr>
        <w:t>rules</w:t>
      </w:r>
      <w:r>
        <w:rPr>
          <w:spacing w:val="-4"/>
          <w:sz w:val="24"/>
        </w:rPr>
        <w:t> </w:t>
      </w:r>
      <w:r>
        <w:rPr>
          <w:sz w:val="24"/>
        </w:rPr>
        <w:t>within</w:t>
      </w:r>
      <w:r>
        <w:rPr>
          <w:spacing w:val="-4"/>
          <w:sz w:val="24"/>
        </w:rPr>
        <w:t> </w:t>
      </w:r>
      <w:r>
        <w:rPr>
          <w:sz w:val="24"/>
        </w:rPr>
        <w:t>which</w:t>
      </w:r>
      <w:r>
        <w:rPr>
          <w:spacing w:val="-4"/>
          <w:sz w:val="24"/>
        </w:rPr>
        <w:t> </w:t>
      </w:r>
      <w:r>
        <w:rPr>
          <w:sz w:val="24"/>
        </w:rPr>
        <w:t>administrative</w:t>
      </w:r>
      <w:r>
        <w:rPr>
          <w:spacing w:val="-5"/>
          <w:sz w:val="24"/>
        </w:rPr>
        <w:t> </w:t>
      </w:r>
      <w:r>
        <w:rPr>
          <w:sz w:val="24"/>
        </w:rPr>
        <w:t>aspiration and performance are to be carried out(the Legislature Successive Constitutions of the Federal Republic of Nigeria and the Relevant Decrees e.g. Decree 50 of 6th December, </w:t>
      </w:r>
      <w:r>
        <w:rPr>
          <w:spacing w:val="-2"/>
          <w:sz w:val="24"/>
        </w:rPr>
        <w:t>1991).</w:t>
      </w:r>
    </w:p>
    <w:p>
      <w:pPr>
        <w:pStyle w:val="ListParagraph"/>
        <w:numPr>
          <w:ilvl w:val="0"/>
          <w:numId w:val="48"/>
        </w:numPr>
        <w:tabs>
          <w:tab w:pos="960" w:val="left" w:leader="none"/>
        </w:tabs>
        <w:spacing w:line="360" w:lineRule="auto" w:before="1" w:after="0"/>
        <w:ind w:left="960" w:right="841" w:hanging="360"/>
        <w:jc w:val="both"/>
        <w:rPr>
          <w:sz w:val="24"/>
        </w:rPr>
      </w:pPr>
      <w:r>
        <w:rPr>
          <w:sz w:val="24"/>
        </w:rPr>
        <w:t>The productive capacity of the community as modified by the extent to which this capacity may reasonably be expected to be diverted to this public sector (Internal Revenue Effort).</w:t>
      </w:r>
    </w:p>
    <w:p>
      <w:pPr>
        <w:pStyle w:val="ListParagraph"/>
        <w:numPr>
          <w:ilvl w:val="0"/>
          <w:numId w:val="48"/>
        </w:numPr>
        <w:tabs>
          <w:tab w:pos="960" w:val="left" w:leader="none"/>
        </w:tabs>
        <w:spacing w:line="360" w:lineRule="auto" w:before="0" w:after="0"/>
        <w:ind w:left="960" w:right="842" w:hanging="360"/>
        <w:jc w:val="both"/>
        <w:rPr>
          <w:sz w:val="24"/>
        </w:rPr>
      </w:pPr>
      <w:r>
        <w:rPr>
          <w:sz w:val="24"/>
        </w:rPr>
        <w:t>Relationships which exist between the Federal and State Governments between the Federal and Local Governments and between State and Local Governments.</w:t>
      </w:r>
    </w:p>
    <w:p>
      <w:pPr>
        <w:pStyle w:val="ListParagraph"/>
        <w:numPr>
          <w:ilvl w:val="0"/>
          <w:numId w:val="48"/>
        </w:numPr>
        <w:tabs>
          <w:tab w:pos="958" w:val="left" w:leader="none"/>
          <w:tab w:pos="960" w:val="left" w:leader="none"/>
        </w:tabs>
        <w:spacing w:line="360" w:lineRule="auto" w:before="0" w:after="0"/>
        <w:ind w:left="960" w:right="840" w:hanging="360"/>
        <w:jc w:val="both"/>
        <w:rPr>
          <w:sz w:val="24"/>
        </w:rPr>
      </w:pPr>
      <w:r>
        <w:rPr>
          <w:sz w:val="24"/>
        </w:rPr>
        <w:t>The political factor which includes the promised amenities as articulated in the manifesto of the party in power or as the case may be, in the avowed policy of a military </w:t>
      </w:r>
      <w:r>
        <w:rPr>
          <w:spacing w:val="-2"/>
          <w:sz w:val="24"/>
        </w:rPr>
        <w:t>Government.</w:t>
      </w:r>
    </w:p>
    <w:p>
      <w:pPr>
        <w:pStyle w:val="BodyText"/>
        <w:spacing w:before="142"/>
      </w:pPr>
    </w:p>
    <w:p>
      <w:pPr>
        <w:pStyle w:val="Heading4"/>
        <w:numPr>
          <w:ilvl w:val="2"/>
          <w:numId w:val="27"/>
        </w:numPr>
        <w:tabs>
          <w:tab w:pos="839" w:val="left" w:leader="none"/>
        </w:tabs>
        <w:spacing w:line="240" w:lineRule="auto" w:before="0" w:after="0"/>
        <w:ind w:left="839" w:right="0" w:hanging="599"/>
        <w:jc w:val="both"/>
        <w:rPr>
          <w:sz w:val="22"/>
        </w:rPr>
      </w:pPr>
      <w:r>
        <w:rPr/>
        <w:t>`</w:t>
      </w:r>
      <w:r>
        <w:rPr>
          <w:spacing w:val="-1"/>
        </w:rPr>
        <w:t> </w:t>
      </w:r>
      <w:r>
        <w:rPr/>
        <w:t>The</w:t>
      </w:r>
      <w:r>
        <w:rPr>
          <w:spacing w:val="-2"/>
        </w:rPr>
        <w:t> </w:t>
      </w:r>
      <w:r>
        <w:rPr/>
        <w:t>Roles</w:t>
      </w:r>
      <w:r>
        <w:rPr>
          <w:spacing w:val="-1"/>
        </w:rPr>
        <w:t> </w:t>
      </w:r>
      <w:r>
        <w:rPr/>
        <w:t>of the</w:t>
      </w:r>
      <w:r>
        <w:rPr>
          <w:spacing w:val="-2"/>
        </w:rPr>
        <w:t> </w:t>
      </w:r>
      <w:r>
        <w:rPr/>
        <w:t>Key</w:t>
      </w:r>
      <w:r>
        <w:rPr>
          <w:spacing w:val="1"/>
        </w:rPr>
        <w:t> </w:t>
      </w:r>
      <w:r>
        <w:rPr/>
        <w:t>Players</w:t>
      </w:r>
      <w:r>
        <w:rPr>
          <w:spacing w:val="-1"/>
        </w:rPr>
        <w:t> </w:t>
      </w:r>
      <w:r>
        <w:rPr/>
        <w:t>in</w:t>
      </w:r>
      <w:r>
        <w:rPr>
          <w:spacing w:val="-1"/>
        </w:rPr>
        <w:t> </w:t>
      </w:r>
      <w:r>
        <w:rPr/>
        <w:t>the</w:t>
      </w:r>
      <w:r>
        <w:rPr>
          <w:spacing w:val="-1"/>
        </w:rPr>
        <w:t> </w:t>
      </w:r>
      <w:r>
        <w:rPr/>
        <w:t>Nigerian</w:t>
      </w:r>
      <w:r>
        <w:rPr>
          <w:spacing w:val="-1"/>
        </w:rPr>
        <w:t> </w:t>
      </w:r>
      <w:r>
        <w:rPr/>
        <w:t>Public</w:t>
      </w:r>
      <w:r>
        <w:rPr>
          <w:spacing w:val="-1"/>
        </w:rPr>
        <w:t> </w:t>
      </w:r>
      <w:r>
        <w:rPr/>
        <w:t>Budget</w:t>
      </w:r>
      <w:r>
        <w:rPr>
          <w:spacing w:val="-1"/>
        </w:rPr>
        <w:t> </w:t>
      </w:r>
      <w:r>
        <w:rPr>
          <w:spacing w:val="-2"/>
        </w:rPr>
        <w:t>System</w:t>
      </w:r>
    </w:p>
    <w:p>
      <w:pPr>
        <w:pStyle w:val="ListParagraph"/>
        <w:numPr>
          <w:ilvl w:val="0"/>
          <w:numId w:val="49"/>
        </w:numPr>
        <w:tabs>
          <w:tab w:pos="498" w:val="left" w:leader="none"/>
        </w:tabs>
        <w:spacing w:line="240" w:lineRule="auto" w:before="243" w:after="0"/>
        <w:ind w:left="498" w:right="0" w:hanging="258"/>
        <w:jc w:val="both"/>
        <w:rPr>
          <w:b/>
          <w:sz w:val="24"/>
        </w:rPr>
      </w:pPr>
      <w:r>
        <w:rPr>
          <w:b/>
          <w:sz w:val="24"/>
        </w:rPr>
        <w:t>The</w:t>
      </w:r>
      <w:r>
        <w:rPr>
          <w:b/>
          <w:spacing w:val="-1"/>
          <w:sz w:val="24"/>
        </w:rPr>
        <w:t> </w:t>
      </w:r>
      <w:r>
        <w:rPr>
          <w:b/>
          <w:spacing w:val="-2"/>
          <w:sz w:val="24"/>
        </w:rPr>
        <w:t>Executive</w:t>
      </w:r>
    </w:p>
    <w:p>
      <w:pPr>
        <w:pStyle w:val="BodyText"/>
        <w:spacing w:line="360" w:lineRule="auto" w:before="132"/>
        <w:ind w:left="240" w:right="837"/>
        <w:jc w:val="both"/>
      </w:pPr>
      <w:r>
        <w:rPr/>
        <w:t>The Chief executive is responsible for formulation of the final policy of the government and the preparation of</w:t>
      </w:r>
      <w:r>
        <w:rPr>
          <w:spacing w:val="-1"/>
        </w:rPr>
        <w:t> </w:t>
      </w:r>
      <w:r>
        <w:rPr/>
        <w:t>the estimates</w:t>
      </w:r>
      <w:r>
        <w:rPr>
          <w:spacing w:val="-1"/>
        </w:rPr>
        <w:t> </w:t>
      </w:r>
      <w:r>
        <w:rPr/>
        <w:t>of</w:t>
      </w:r>
      <w:r>
        <w:rPr>
          <w:spacing w:val="-1"/>
        </w:rPr>
        <w:t> </w:t>
      </w:r>
      <w:r>
        <w:rPr/>
        <w:t>expenditure and revenue</w:t>
      </w:r>
      <w:r>
        <w:rPr>
          <w:spacing w:val="-1"/>
        </w:rPr>
        <w:t> </w:t>
      </w:r>
      <w:r>
        <w:rPr/>
        <w:t>for</w:t>
      </w:r>
      <w:r>
        <w:rPr>
          <w:spacing w:val="-1"/>
        </w:rPr>
        <w:t> </w:t>
      </w:r>
      <w:r>
        <w:rPr/>
        <w:t>the financial year.</w:t>
      </w:r>
      <w:r>
        <w:rPr>
          <w:spacing w:val="-1"/>
        </w:rPr>
        <w:t> </w:t>
      </w:r>
      <w:r>
        <w:rPr/>
        <w:t>Thus, according</w:t>
      </w:r>
      <w:r>
        <w:rPr>
          <w:spacing w:val="-3"/>
        </w:rPr>
        <w:t> </w:t>
      </w:r>
      <w:r>
        <w:rPr/>
        <w:t>to 1999 constitution of Nigeria, Chapter 5, Section 79, the president shall cause to be prepared and laid</w:t>
      </w:r>
      <w:r>
        <w:rPr>
          <w:spacing w:val="10"/>
        </w:rPr>
        <w:t> </w:t>
      </w:r>
      <w:r>
        <w:rPr/>
        <w:t>before</w:t>
      </w:r>
      <w:r>
        <w:rPr>
          <w:spacing w:val="12"/>
        </w:rPr>
        <w:t> </w:t>
      </w:r>
      <w:r>
        <w:rPr/>
        <w:t>the</w:t>
      </w:r>
      <w:r>
        <w:rPr>
          <w:spacing w:val="12"/>
        </w:rPr>
        <w:t> </w:t>
      </w:r>
      <w:r>
        <w:rPr/>
        <w:t>House</w:t>
      </w:r>
      <w:r>
        <w:rPr>
          <w:spacing w:val="11"/>
        </w:rPr>
        <w:t> </w:t>
      </w:r>
      <w:r>
        <w:rPr/>
        <w:t>of</w:t>
      </w:r>
      <w:r>
        <w:rPr>
          <w:spacing w:val="14"/>
        </w:rPr>
        <w:t> </w:t>
      </w:r>
      <w:r>
        <w:rPr/>
        <w:t>the</w:t>
      </w:r>
      <w:r>
        <w:rPr>
          <w:spacing w:val="12"/>
        </w:rPr>
        <w:t> </w:t>
      </w:r>
      <w:r>
        <w:rPr/>
        <w:t>National</w:t>
      </w:r>
      <w:r>
        <w:rPr>
          <w:spacing w:val="15"/>
        </w:rPr>
        <w:t> </w:t>
      </w:r>
      <w:r>
        <w:rPr/>
        <w:t>Legislature</w:t>
      </w:r>
      <w:r>
        <w:rPr>
          <w:spacing w:val="12"/>
        </w:rPr>
        <w:t> </w:t>
      </w:r>
      <w:r>
        <w:rPr/>
        <w:t>not</w:t>
      </w:r>
      <w:r>
        <w:rPr>
          <w:spacing w:val="12"/>
        </w:rPr>
        <w:t> </w:t>
      </w:r>
      <w:r>
        <w:rPr/>
        <w:t>later</w:t>
      </w:r>
      <w:r>
        <w:rPr>
          <w:spacing w:val="12"/>
        </w:rPr>
        <w:t> </w:t>
      </w:r>
      <w:r>
        <w:rPr/>
        <w:t>than</w:t>
      </w:r>
      <w:r>
        <w:rPr>
          <w:spacing w:val="12"/>
        </w:rPr>
        <w:t> </w:t>
      </w:r>
      <w:r>
        <w:rPr/>
        <w:t>60</w:t>
      </w:r>
      <w:r>
        <w:rPr>
          <w:spacing w:val="13"/>
        </w:rPr>
        <w:t> </w:t>
      </w:r>
      <w:r>
        <w:rPr/>
        <w:t>days</w:t>
      </w:r>
      <w:r>
        <w:rPr>
          <w:spacing w:val="13"/>
        </w:rPr>
        <w:t> </w:t>
      </w:r>
      <w:r>
        <w:rPr/>
        <w:t>before</w:t>
      </w:r>
      <w:r>
        <w:rPr>
          <w:spacing w:val="12"/>
        </w:rPr>
        <w:t> </w:t>
      </w:r>
      <w:r>
        <w:rPr/>
        <w:t>the</w:t>
      </w:r>
      <w:r>
        <w:rPr>
          <w:spacing w:val="12"/>
        </w:rPr>
        <w:t> </w:t>
      </w:r>
      <w:r>
        <w:rPr/>
        <w:t>expiration</w:t>
      </w:r>
      <w:r>
        <w:rPr>
          <w:spacing w:val="13"/>
        </w:rPr>
        <w:t> </w:t>
      </w:r>
      <w:r>
        <w:rPr>
          <w:spacing w:val="-5"/>
        </w:rPr>
        <w:t>of</w:t>
      </w:r>
    </w:p>
    <w:p>
      <w:pPr>
        <w:spacing w:after="0" w:line="360" w:lineRule="auto"/>
        <w:jc w:val="both"/>
        <w:sectPr>
          <w:pgSz w:w="12240" w:h="15840"/>
          <w:pgMar w:header="0" w:footer="1036" w:top="1360" w:bottom="1220" w:left="1200" w:right="600"/>
        </w:sectPr>
      </w:pPr>
    </w:p>
    <w:p>
      <w:pPr>
        <w:pStyle w:val="BodyText"/>
        <w:spacing w:line="360" w:lineRule="auto" w:before="74"/>
        <w:ind w:left="240" w:right="833"/>
        <w:jc w:val="both"/>
      </w:pPr>
      <w:r>
        <w:rPr/>
        <w:t>the financial year, estimate of the revenue and expenditure of the federation for the following year. He is assisted in this job by a central department (Emma, 2001). The estimate prepared by the disbursing officers is reviewed by the head of department who gives to the estimates final shape and then includes them in the budget. In addition to this, the executive shall observe and comply</w:t>
      </w:r>
      <w:r>
        <w:rPr>
          <w:spacing w:val="-5"/>
        </w:rPr>
        <w:t> </w:t>
      </w:r>
      <w:r>
        <w:rPr/>
        <w:t>with</w:t>
      </w:r>
      <w:r>
        <w:rPr>
          <w:spacing w:val="-2"/>
        </w:rPr>
        <w:t> </w:t>
      </w:r>
      <w:r>
        <w:rPr/>
        <w:t>the</w:t>
      </w:r>
      <w:r>
        <w:rPr>
          <w:spacing w:val="-1"/>
        </w:rPr>
        <w:t> </w:t>
      </w:r>
      <w:r>
        <w:rPr/>
        <w:t>checks</w:t>
      </w:r>
      <w:r>
        <w:rPr>
          <w:spacing w:val="-2"/>
        </w:rPr>
        <w:t> </w:t>
      </w:r>
      <w:r>
        <w:rPr/>
        <w:t>and</w:t>
      </w:r>
      <w:r>
        <w:rPr>
          <w:spacing w:val="-2"/>
        </w:rPr>
        <w:t> </w:t>
      </w:r>
      <w:r>
        <w:rPr/>
        <w:t>balances</w:t>
      </w:r>
      <w:r>
        <w:rPr>
          <w:spacing w:val="-2"/>
        </w:rPr>
        <w:t> </w:t>
      </w:r>
      <w:r>
        <w:rPr/>
        <w:t>spelt</w:t>
      </w:r>
      <w:r>
        <w:rPr>
          <w:spacing w:val="-2"/>
        </w:rPr>
        <w:t> </w:t>
      </w:r>
      <w:r>
        <w:rPr/>
        <w:t>out</w:t>
      </w:r>
      <w:r>
        <w:rPr>
          <w:spacing w:val="-2"/>
        </w:rPr>
        <w:t> </w:t>
      </w:r>
      <w:r>
        <w:rPr/>
        <w:t>in</w:t>
      </w:r>
      <w:r>
        <w:rPr>
          <w:spacing w:val="-2"/>
        </w:rPr>
        <w:t> </w:t>
      </w:r>
      <w:r>
        <w:rPr/>
        <w:t>the</w:t>
      </w:r>
      <w:r>
        <w:rPr>
          <w:spacing w:val="-3"/>
        </w:rPr>
        <w:t> </w:t>
      </w:r>
      <w:r>
        <w:rPr/>
        <w:t>existing guidelines</w:t>
      </w:r>
      <w:r>
        <w:rPr>
          <w:spacing w:val="-1"/>
        </w:rPr>
        <w:t> </w:t>
      </w:r>
      <w:r>
        <w:rPr/>
        <w:t>and</w:t>
      </w:r>
      <w:r>
        <w:rPr>
          <w:spacing w:val="-2"/>
        </w:rPr>
        <w:t> </w:t>
      </w:r>
      <w:r>
        <w:rPr/>
        <w:t>financial</w:t>
      </w:r>
      <w:r>
        <w:rPr>
          <w:spacing w:val="-2"/>
        </w:rPr>
        <w:t> </w:t>
      </w:r>
      <w:r>
        <w:rPr/>
        <w:t>regulations governing receipt and disbursement of public funds and shall be liable for any breach thereof.</w:t>
      </w:r>
    </w:p>
    <w:p>
      <w:pPr>
        <w:pStyle w:val="BodyText"/>
        <w:spacing w:line="360" w:lineRule="auto" w:before="243"/>
        <w:ind w:left="240" w:right="837"/>
        <w:jc w:val="both"/>
      </w:pPr>
      <w:r>
        <w:rPr/>
        <w:t>The Chief executive shall also face periodic checks in order to ensure full adherence to the financial control and management Act of 1958 and all its amendments. To this end, all instructions relating to expenditure (budget) of public funds shall be in writing. The executive shall maintain liaison with the legislature and the leader of the legislature vis-à-vis budget planning and implementations. Consequently, the executive shall at the end of the year present his budget proposals to the legislature for it to consider and approve.</w:t>
      </w:r>
    </w:p>
    <w:p>
      <w:pPr>
        <w:pStyle w:val="BodyText"/>
        <w:spacing w:before="142"/>
      </w:pPr>
    </w:p>
    <w:p>
      <w:pPr>
        <w:pStyle w:val="Heading4"/>
        <w:numPr>
          <w:ilvl w:val="0"/>
          <w:numId w:val="49"/>
        </w:numPr>
        <w:tabs>
          <w:tab w:pos="513" w:val="left" w:leader="none"/>
        </w:tabs>
        <w:spacing w:line="240" w:lineRule="auto" w:before="0" w:after="0"/>
        <w:ind w:left="513" w:right="0" w:hanging="273"/>
        <w:jc w:val="both"/>
      </w:pPr>
      <w:r>
        <w:rPr/>
        <w:t>The</w:t>
      </w:r>
      <w:r>
        <w:rPr>
          <w:spacing w:val="-1"/>
        </w:rPr>
        <w:t> </w:t>
      </w:r>
      <w:r>
        <w:rPr>
          <w:spacing w:val="-2"/>
        </w:rPr>
        <w:t>Legislature</w:t>
      </w:r>
    </w:p>
    <w:p>
      <w:pPr>
        <w:pStyle w:val="BodyText"/>
        <w:spacing w:line="360" w:lineRule="auto" w:before="133"/>
        <w:ind w:left="240" w:right="835"/>
        <w:jc w:val="both"/>
      </w:pPr>
      <w:r>
        <w:rPr/>
        <w:t>According to the democratic principle, no tax can be levied or collected and no expenditures can be made by the government except with the previous consent of the legislature. The executive makes the demands and the legislature grants them (Emma, 2001).It may also be noted that in parliament countries, the legislature performs its functions under the leadership of the executive. Though, constitutionally, the legislature has the power to exercise on account of party control. The majority of members belong to the same party to which the executive belongs. They are under party discipline and cannot vote against the financial proposals brought by their government. However, in USA, the legislature is not subject to such control by the executive.</w:t>
      </w:r>
    </w:p>
    <w:p>
      <w:pPr>
        <w:pStyle w:val="BodyText"/>
        <w:spacing w:line="360" w:lineRule="auto" w:before="243"/>
        <w:ind w:left="240" w:right="841"/>
        <w:jc w:val="both"/>
      </w:pPr>
      <w:r>
        <w:rPr/>
        <w:t>At the Local government level, the local government council, which is the legislative arm consists of the deputy</w:t>
      </w:r>
      <w:r>
        <w:rPr>
          <w:spacing w:val="-5"/>
        </w:rPr>
        <w:t> </w:t>
      </w:r>
      <w:r>
        <w:rPr/>
        <w:t>leader and councilors (Nigerian Constitution,</w:t>
      </w:r>
      <w:r>
        <w:rPr>
          <w:spacing w:val="-1"/>
        </w:rPr>
        <w:t> </w:t>
      </w:r>
      <w:r>
        <w:rPr/>
        <w:t>1999).</w:t>
      </w:r>
      <w:r>
        <w:rPr>
          <w:spacing w:val="-1"/>
        </w:rPr>
        <w:t> </w:t>
      </w:r>
      <w:r>
        <w:rPr/>
        <w:t>This arm of the Local government has the responsibility to debate, approve or amend the annual budget subject to the chairman‘s vote which may be set aside by two thirds majority of the members of the Local Government Council. In addition to this, the legislature examines and debates the monthly statements of income and expenditure rendered to it by the executive.</w:t>
      </w:r>
    </w:p>
    <w:p>
      <w:pPr>
        <w:spacing w:after="0" w:line="360" w:lineRule="auto"/>
        <w:jc w:val="both"/>
        <w:sectPr>
          <w:pgSz w:w="12240" w:h="15840"/>
          <w:pgMar w:header="0" w:footer="1036" w:top="1360" w:bottom="1220" w:left="1200" w:right="600"/>
        </w:sectPr>
      </w:pPr>
    </w:p>
    <w:p>
      <w:pPr>
        <w:pStyle w:val="Heading4"/>
        <w:numPr>
          <w:ilvl w:val="0"/>
          <w:numId w:val="49"/>
        </w:numPr>
        <w:tabs>
          <w:tab w:pos="485" w:val="left" w:leader="none"/>
        </w:tabs>
        <w:spacing w:line="240" w:lineRule="auto" w:before="79" w:after="0"/>
        <w:ind w:left="485" w:right="0" w:hanging="245"/>
        <w:jc w:val="both"/>
      </w:pPr>
      <w:r>
        <w:rPr/>
        <w:t>Heads</w:t>
      </w:r>
      <w:r>
        <w:rPr>
          <w:spacing w:val="-1"/>
        </w:rPr>
        <w:t> </w:t>
      </w:r>
      <w:r>
        <w:rPr/>
        <w:t>of </w:t>
      </w:r>
      <w:r>
        <w:rPr>
          <w:spacing w:val="-2"/>
        </w:rPr>
        <w:t>Departments</w:t>
      </w:r>
    </w:p>
    <w:p>
      <w:pPr>
        <w:pStyle w:val="BodyText"/>
        <w:spacing w:line="360" w:lineRule="auto" w:before="132"/>
        <w:ind w:left="240" w:right="840"/>
        <w:jc w:val="both"/>
      </w:pPr>
      <w:r>
        <w:rPr/>
        <w:t>As</w:t>
      </w:r>
      <w:r>
        <w:rPr>
          <w:spacing w:val="-2"/>
        </w:rPr>
        <w:t> </w:t>
      </w:r>
      <w:r>
        <w:rPr/>
        <w:t>soon</w:t>
      </w:r>
      <w:r>
        <w:rPr>
          <w:spacing w:val="-1"/>
        </w:rPr>
        <w:t> </w:t>
      </w:r>
      <w:r>
        <w:rPr/>
        <w:t>as</w:t>
      </w:r>
      <w:r>
        <w:rPr>
          <w:spacing w:val="-1"/>
        </w:rPr>
        <w:t> </w:t>
      </w:r>
      <w:r>
        <w:rPr/>
        <w:t>the</w:t>
      </w:r>
      <w:r>
        <w:rPr>
          <w:spacing w:val="-2"/>
        </w:rPr>
        <w:t> </w:t>
      </w:r>
      <w:r>
        <w:rPr/>
        <w:t>budget</w:t>
      </w:r>
      <w:r>
        <w:rPr>
          <w:spacing w:val="-1"/>
        </w:rPr>
        <w:t> </w:t>
      </w:r>
      <w:r>
        <w:rPr/>
        <w:t>is</w:t>
      </w:r>
      <w:r>
        <w:rPr>
          <w:spacing w:val="-3"/>
        </w:rPr>
        <w:t> </w:t>
      </w:r>
      <w:r>
        <w:rPr/>
        <w:t>passed</w:t>
      </w:r>
      <w:r>
        <w:rPr>
          <w:spacing w:val="-1"/>
        </w:rPr>
        <w:t> </w:t>
      </w:r>
      <w:r>
        <w:rPr/>
        <w:t>by</w:t>
      </w:r>
      <w:r>
        <w:rPr>
          <w:spacing w:val="-5"/>
        </w:rPr>
        <w:t> </w:t>
      </w:r>
      <w:r>
        <w:rPr/>
        <w:t>the legislature, the</w:t>
      </w:r>
      <w:r>
        <w:rPr>
          <w:spacing w:val="-2"/>
        </w:rPr>
        <w:t> </w:t>
      </w:r>
      <w:r>
        <w:rPr/>
        <w:t>controlling</w:t>
      </w:r>
      <w:r>
        <w:rPr>
          <w:spacing w:val="-3"/>
        </w:rPr>
        <w:t> </w:t>
      </w:r>
      <w:r>
        <w:rPr/>
        <w:t>officer, who</w:t>
      </w:r>
      <w:r>
        <w:rPr>
          <w:spacing w:val="-2"/>
        </w:rPr>
        <w:t> </w:t>
      </w:r>
      <w:r>
        <w:rPr/>
        <w:t>is</w:t>
      </w:r>
      <w:r>
        <w:rPr>
          <w:spacing w:val="-1"/>
        </w:rPr>
        <w:t> </w:t>
      </w:r>
      <w:r>
        <w:rPr/>
        <w:t>usually</w:t>
      </w:r>
      <w:r>
        <w:rPr>
          <w:spacing w:val="-8"/>
        </w:rPr>
        <w:t> </w:t>
      </w:r>
      <w:r>
        <w:rPr/>
        <w:t>the</w:t>
      </w:r>
      <w:r>
        <w:rPr>
          <w:spacing w:val="-2"/>
        </w:rPr>
        <w:t> </w:t>
      </w:r>
      <w:r>
        <w:rPr/>
        <w:t>head of the department allocates funds to the disbursing officers who are responsible for the disbursement of money. The controlling officer has to keep constant watch on the funds. It is his duty to see that first; no expenditure exceeds the amount voted by the legislature. Second; no money spent by any officer is in excess of his authority (Ekewealor, 2007).</w:t>
      </w:r>
    </w:p>
    <w:p>
      <w:pPr>
        <w:pStyle w:val="BodyText"/>
        <w:spacing w:before="21"/>
      </w:pPr>
    </w:p>
    <w:p>
      <w:pPr>
        <w:pStyle w:val="Heading4"/>
        <w:numPr>
          <w:ilvl w:val="0"/>
          <w:numId w:val="49"/>
        </w:numPr>
        <w:tabs>
          <w:tab w:pos="513" w:val="left" w:leader="none"/>
        </w:tabs>
        <w:spacing w:line="240" w:lineRule="auto" w:before="0" w:after="0"/>
        <w:ind w:left="513" w:right="0" w:hanging="273"/>
        <w:jc w:val="both"/>
      </w:pPr>
      <w:r>
        <w:rPr>
          <w:spacing w:val="-2"/>
        </w:rPr>
        <w:t>Audit:</w:t>
      </w:r>
    </w:p>
    <w:p>
      <w:pPr>
        <w:pStyle w:val="BodyText"/>
        <w:spacing w:line="360" w:lineRule="auto" w:before="134"/>
        <w:ind w:left="240" w:right="839"/>
        <w:jc w:val="both"/>
      </w:pPr>
      <w:r>
        <w:rPr/>
        <w:t>A very important agency of finance control is the audit department. In Nigeria,</w:t>
      </w:r>
      <w:r>
        <w:rPr>
          <w:spacing w:val="23"/>
        </w:rPr>
        <w:t> </w:t>
      </w:r>
      <w:r>
        <w:rPr/>
        <w:t>audit is headed</w:t>
      </w:r>
      <w:r>
        <w:rPr>
          <w:spacing w:val="40"/>
        </w:rPr>
        <w:t> </w:t>
      </w:r>
      <w:r>
        <w:rPr/>
        <w:t>by</w:t>
      </w:r>
      <w:r>
        <w:rPr>
          <w:spacing w:val="-5"/>
        </w:rPr>
        <w:t> </w:t>
      </w:r>
      <w:r>
        <w:rPr/>
        <w:t>the</w:t>
      </w:r>
      <w:r>
        <w:rPr>
          <w:spacing w:val="-1"/>
        </w:rPr>
        <w:t> </w:t>
      </w:r>
      <w:r>
        <w:rPr/>
        <w:t>Auditor-General</w:t>
      </w:r>
      <w:r>
        <w:rPr>
          <w:spacing w:val="-1"/>
        </w:rPr>
        <w:t> </w:t>
      </w:r>
      <w:r>
        <w:rPr/>
        <w:t>of</w:t>
      </w:r>
      <w:r>
        <w:rPr>
          <w:spacing w:val="-1"/>
        </w:rPr>
        <w:t> </w:t>
      </w:r>
      <w:r>
        <w:rPr/>
        <w:t>the</w:t>
      </w:r>
      <w:r>
        <w:rPr>
          <w:spacing w:val="-2"/>
        </w:rPr>
        <w:t> </w:t>
      </w:r>
      <w:r>
        <w:rPr/>
        <w:t>Federation.</w:t>
      </w:r>
      <w:r>
        <w:rPr>
          <w:spacing w:val="-1"/>
        </w:rPr>
        <w:t> </w:t>
      </w:r>
      <w:r>
        <w:rPr/>
        <w:t>The</w:t>
      </w:r>
      <w:r>
        <w:rPr>
          <w:spacing w:val="-2"/>
        </w:rPr>
        <w:t> </w:t>
      </w:r>
      <w:r>
        <w:rPr/>
        <w:t>function</w:t>
      </w:r>
      <w:r>
        <w:rPr>
          <w:spacing w:val="-1"/>
        </w:rPr>
        <w:t> </w:t>
      </w:r>
      <w:r>
        <w:rPr/>
        <w:t>of</w:t>
      </w:r>
      <w:r>
        <w:rPr>
          <w:spacing w:val="-1"/>
        </w:rPr>
        <w:t> </w:t>
      </w:r>
      <w:r>
        <w:rPr/>
        <w:t>the</w:t>
      </w:r>
      <w:r>
        <w:rPr>
          <w:spacing w:val="-2"/>
        </w:rPr>
        <w:t> </w:t>
      </w:r>
      <w:r>
        <w:rPr/>
        <w:t>audit</w:t>
      </w:r>
      <w:r>
        <w:rPr>
          <w:spacing w:val="-1"/>
        </w:rPr>
        <w:t> </w:t>
      </w:r>
      <w:r>
        <w:rPr/>
        <w:t>is</w:t>
      </w:r>
      <w:r>
        <w:rPr>
          <w:spacing w:val="-2"/>
        </w:rPr>
        <w:t> </w:t>
      </w:r>
      <w:r>
        <w:rPr/>
        <w:t>to</w:t>
      </w:r>
      <w:r>
        <w:rPr>
          <w:spacing w:val="-1"/>
        </w:rPr>
        <w:t> </w:t>
      </w:r>
      <w:r>
        <w:rPr/>
        <w:t>exercise</w:t>
      </w:r>
      <w:r>
        <w:rPr>
          <w:spacing w:val="-1"/>
        </w:rPr>
        <w:t> </w:t>
      </w:r>
      <w:r>
        <w:rPr/>
        <w:t>control</w:t>
      </w:r>
      <w:r>
        <w:rPr>
          <w:spacing w:val="-1"/>
        </w:rPr>
        <w:t> </w:t>
      </w:r>
      <w:r>
        <w:rPr/>
        <w:t>over</w:t>
      </w:r>
      <w:r>
        <w:rPr>
          <w:spacing w:val="-1"/>
        </w:rPr>
        <w:t> </w:t>
      </w:r>
      <w:r>
        <w:rPr/>
        <w:t>the drawing of the money from the public exchequer or treasury according to the budget. It also examines the accounts, ascertain and points out to the legislature the cases of expenditure contrary to grants made by the legislature (Ugoo, 2008).</w:t>
      </w:r>
    </w:p>
    <w:p>
      <w:pPr>
        <w:pStyle w:val="BodyText"/>
        <w:spacing w:before="93"/>
      </w:pPr>
    </w:p>
    <w:p>
      <w:pPr>
        <w:pStyle w:val="BodyText"/>
        <w:spacing w:line="360" w:lineRule="auto"/>
        <w:ind w:left="240" w:right="837"/>
        <w:jc w:val="both"/>
      </w:pPr>
      <w:r>
        <w:rPr/>
        <w:t>In an attempt to provide a concise summary of the major players in the budget cycle at the Federal Government level, Muhammed (2009) explained that the president‘s duty is to ask the budget department in the Federal Ministry submit budget proposal for the year; the budget department will then ask the various Ministries/Departments to forward their budget proposals. The president forwards the budget to the National Assembly for verification and approval, the budget will be sent back to the president and then to the Ministry of Finance. The budget will also be sent to the office of the Accountant General of the Federation and then back to the Ministries/Departments,</w:t>
      </w:r>
      <w:r>
        <w:rPr>
          <w:spacing w:val="-2"/>
        </w:rPr>
        <w:t> </w:t>
      </w:r>
      <w:r>
        <w:rPr/>
        <w:t>Auditor</w:t>
      </w:r>
      <w:r>
        <w:rPr>
          <w:spacing w:val="-4"/>
        </w:rPr>
        <w:t> </w:t>
      </w:r>
      <w:r>
        <w:rPr/>
        <w:t>General</w:t>
      </w:r>
      <w:r>
        <w:rPr>
          <w:spacing w:val="-2"/>
        </w:rPr>
        <w:t> </w:t>
      </w:r>
      <w:r>
        <w:rPr/>
        <w:t>for</w:t>
      </w:r>
      <w:r>
        <w:rPr>
          <w:spacing w:val="-4"/>
        </w:rPr>
        <w:t> </w:t>
      </w:r>
      <w:r>
        <w:rPr/>
        <w:t>audit</w:t>
      </w:r>
      <w:r>
        <w:rPr>
          <w:spacing w:val="-4"/>
        </w:rPr>
        <w:t> </w:t>
      </w:r>
      <w:r>
        <w:rPr/>
        <w:t>and</w:t>
      </w:r>
      <w:r>
        <w:rPr>
          <w:spacing w:val="-4"/>
        </w:rPr>
        <w:t> </w:t>
      </w:r>
      <w:r>
        <w:rPr/>
        <w:t>finally,</w:t>
      </w:r>
      <w:r>
        <w:rPr>
          <w:spacing w:val="-4"/>
        </w:rPr>
        <w:t> </w:t>
      </w:r>
      <w:r>
        <w:rPr/>
        <w:t>the</w:t>
      </w:r>
      <w:r>
        <w:rPr>
          <w:spacing w:val="-5"/>
        </w:rPr>
        <w:t> </w:t>
      </w:r>
      <w:r>
        <w:rPr/>
        <w:t>National</w:t>
      </w:r>
      <w:r>
        <w:rPr>
          <w:spacing w:val="-4"/>
        </w:rPr>
        <w:t> </w:t>
      </w:r>
      <w:r>
        <w:rPr/>
        <w:t>Assembly.</w:t>
      </w:r>
      <w:r>
        <w:rPr>
          <w:spacing w:val="-2"/>
        </w:rPr>
        <w:t> </w:t>
      </w:r>
      <w:r>
        <w:rPr/>
        <w:t>Figure 3.1 captures the Nigerian federal budget players as well as the connections of their roles.</w:t>
      </w:r>
    </w:p>
    <w:p>
      <w:pPr>
        <w:spacing w:after="0" w:line="360" w:lineRule="auto"/>
        <w:jc w:val="both"/>
        <w:sectPr>
          <w:pgSz w:w="12240" w:h="15840"/>
          <w:pgMar w:header="0" w:footer="1036" w:top="1360" w:bottom="1220" w:left="1200" w:right="600"/>
        </w:sectPr>
      </w:pPr>
    </w:p>
    <w:p>
      <w:pPr>
        <w:pStyle w:val="BodyText"/>
        <w:tabs>
          <w:tab w:pos="5941" w:val="left" w:leader="none"/>
        </w:tabs>
        <w:spacing w:before="74"/>
        <w:ind w:left="2881"/>
      </w:pPr>
      <w:r>
        <w:rPr/>
        <mc:AlternateContent>
          <mc:Choice Requires="wps">
            <w:drawing>
              <wp:anchor distT="0" distB="0" distL="0" distR="0" allowOverlap="1" layoutInCell="1" locked="0" behindDoc="1" simplePos="0" relativeHeight="478095872">
                <wp:simplePos x="0" y="0"/>
                <wp:positionH relativeFrom="page">
                  <wp:posOffset>957580</wp:posOffset>
                </wp:positionH>
                <wp:positionV relativeFrom="paragraph">
                  <wp:posOffset>154939</wp:posOffset>
                </wp:positionV>
                <wp:extent cx="5511165" cy="3086100"/>
                <wp:effectExtent l="0" t="0" r="0" b="0"/>
                <wp:wrapNone/>
                <wp:docPr id="87" name="Group 87"/>
                <wp:cNvGraphicFramePr>
                  <a:graphicFrameLocks/>
                </wp:cNvGraphicFramePr>
                <a:graphic>
                  <a:graphicData uri="http://schemas.microsoft.com/office/word/2010/wordprocessingGroup">
                    <wpg:wgp>
                      <wpg:cNvPr id="87" name="Group 87"/>
                      <wpg:cNvGrpSpPr/>
                      <wpg:grpSpPr>
                        <a:xfrm>
                          <a:off x="0" y="0"/>
                          <a:ext cx="5511165" cy="3086100"/>
                          <a:chExt cx="5511165" cy="3086100"/>
                        </a:xfrm>
                      </wpg:grpSpPr>
                      <wps:wsp>
                        <wps:cNvPr id="88" name="Graphic 88"/>
                        <wps:cNvSpPr/>
                        <wps:spPr>
                          <a:xfrm>
                            <a:off x="2078355" y="2514599"/>
                            <a:ext cx="1397000" cy="571500"/>
                          </a:xfrm>
                          <a:custGeom>
                            <a:avLst/>
                            <a:gdLst/>
                            <a:ahLst/>
                            <a:cxnLst/>
                            <a:rect l="l" t="t" r="r" b="b"/>
                            <a:pathLst>
                              <a:path w="1397000" h="571500">
                                <a:moveTo>
                                  <a:pt x="1346200" y="50800"/>
                                </a:moveTo>
                                <a:lnTo>
                                  <a:pt x="1333500" y="50800"/>
                                </a:lnTo>
                                <a:lnTo>
                                  <a:pt x="1333500" y="63500"/>
                                </a:lnTo>
                                <a:lnTo>
                                  <a:pt x="1333500" y="508000"/>
                                </a:lnTo>
                                <a:lnTo>
                                  <a:pt x="63500" y="508000"/>
                                </a:lnTo>
                                <a:lnTo>
                                  <a:pt x="63500" y="63500"/>
                                </a:lnTo>
                                <a:lnTo>
                                  <a:pt x="1333500" y="63500"/>
                                </a:lnTo>
                                <a:lnTo>
                                  <a:pt x="1333500" y="50800"/>
                                </a:lnTo>
                                <a:lnTo>
                                  <a:pt x="50800" y="50800"/>
                                </a:lnTo>
                                <a:lnTo>
                                  <a:pt x="50800" y="63500"/>
                                </a:lnTo>
                                <a:lnTo>
                                  <a:pt x="50800" y="508000"/>
                                </a:lnTo>
                                <a:lnTo>
                                  <a:pt x="50800" y="520700"/>
                                </a:lnTo>
                                <a:lnTo>
                                  <a:pt x="1346200" y="520700"/>
                                </a:lnTo>
                                <a:lnTo>
                                  <a:pt x="1346200" y="508000"/>
                                </a:lnTo>
                                <a:lnTo>
                                  <a:pt x="1346200" y="63500"/>
                                </a:lnTo>
                                <a:lnTo>
                                  <a:pt x="1346200" y="50800"/>
                                </a:lnTo>
                                <a:close/>
                              </a:path>
                              <a:path w="1397000" h="571500">
                                <a:moveTo>
                                  <a:pt x="1397000" y="0"/>
                                </a:moveTo>
                                <a:lnTo>
                                  <a:pt x="1358900" y="0"/>
                                </a:lnTo>
                                <a:lnTo>
                                  <a:pt x="1358900" y="38100"/>
                                </a:lnTo>
                                <a:lnTo>
                                  <a:pt x="1358900" y="533400"/>
                                </a:lnTo>
                                <a:lnTo>
                                  <a:pt x="38100" y="533400"/>
                                </a:lnTo>
                                <a:lnTo>
                                  <a:pt x="38100" y="38100"/>
                                </a:lnTo>
                                <a:lnTo>
                                  <a:pt x="1358900" y="38100"/>
                                </a:lnTo>
                                <a:lnTo>
                                  <a:pt x="1358900" y="0"/>
                                </a:lnTo>
                                <a:lnTo>
                                  <a:pt x="0" y="0"/>
                                </a:lnTo>
                                <a:lnTo>
                                  <a:pt x="0" y="38100"/>
                                </a:lnTo>
                                <a:lnTo>
                                  <a:pt x="0" y="533400"/>
                                </a:lnTo>
                                <a:lnTo>
                                  <a:pt x="0" y="571500"/>
                                </a:lnTo>
                                <a:lnTo>
                                  <a:pt x="1397000" y="571500"/>
                                </a:lnTo>
                                <a:lnTo>
                                  <a:pt x="1397000" y="533400"/>
                                </a:lnTo>
                                <a:lnTo>
                                  <a:pt x="1397000" y="38100"/>
                                </a:lnTo>
                                <a:lnTo>
                                  <a:pt x="1397000" y="0"/>
                                </a:lnTo>
                                <a:close/>
                              </a:path>
                            </a:pathLst>
                          </a:custGeom>
                          <a:solidFill>
                            <a:srgbClr val="C0504D"/>
                          </a:solidFill>
                        </wps:spPr>
                        <wps:bodyPr wrap="square" lIns="0" tIns="0" rIns="0" bIns="0" rtlCol="0">
                          <a:prstTxWarp prst="textNoShape">
                            <a:avLst/>
                          </a:prstTxWarp>
                          <a:noAutofit/>
                        </wps:bodyPr>
                      </wps:wsp>
                      <wps:wsp>
                        <wps:cNvPr id="89" name="Graphic 89"/>
                        <wps:cNvSpPr/>
                        <wps:spPr>
                          <a:xfrm>
                            <a:off x="644525" y="89534"/>
                            <a:ext cx="4192270" cy="2729230"/>
                          </a:xfrm>
                          <a:custGeom>
                            <a:avLst/>
                            <a:gdLst/>
                            <a:ahLst/>
                            <a:cxnLst/>
                            <a:rect l="l" t="t" r="r" b="b"/>
                            <a:pathLst>
                              <a:path w="4192270" h="2729230">
                                <a:moveTo>
                                  <a:pt x="95250" y="1139190"/>
                                </a:moveTo>
                                <a:lnTo>
                                  <a:pt x="63500" y="1139190"/>
                                </a:lnTo>
                                <a:lnTo>
                                  <a:pt x="63500" y="479425"/>
                                </a:lnTo>
                                <a:lnTo>
                                  <a:pt x="31750" y="479425"/>
                                </a:lnTo>
                                <a:lnTo>
                                  <a:pt x="31750" y="1139190"/>
                                </a:lnTo>
                                <a:lnTo>
                                  <a:pt x="0" y="1139190"/>
                                </a:lnTo>
                                <a:lnTo>
                                  <a:pt x="47625" y="1234440"/>
                                </a:lnTo>
                                <a:lnTo>
                                  <a:pt x="87312" y="1155065"/>
                                </a:lnTo>
                                <a:lnTo>
                                  <a:pt x="95250" y="1139190"/>
                                </a:lnTo>
                                <a:close/>
                              </a:path>
                              <a:path w="4192270" h="2729230">
                                <a:moveTo>
                                  <a:pt x="1445895" y="2715895"/>
                                </a:moveTo>
                                <a:lnTo>
                                  <a:pt x="1428267" y="2685542"/>
                                </a:lnTo>
                                <a:lnTo>
                                  <a:pt x="1392428" y="2623820"/>
                                </a:lnTo>
                                <a:lnTo>
                                  <a:pt x="1374990" y="2650299"/>
                                </a:lnTo>
                                <a:lnTo>
                                  <a:pt x="56388" y="1783207"/>
                                </a:lnTo>
                                <a:lnTo>
                                  <a:pt x="38862" y="1809623"/>
                                </a:lnTo>
                                <a:lnTo>
                                  <a:pt x="1357553" y="2676817"/>
                                </a:lnTo>
                                <a:lnTo>
                                  <a:pt x="1340104" y="2703322"/>
                                </a:lnTo>
                                <a:lnTo>
                                  <a:pt x="1445895" y="2715895"/>
                                </a:lnTo>
                                <a:close/>
                              </a:path>
                              <a:path w="4192270" h="2729230">
                                <a:moveTo>
                                  <a:pt x="1445895" y="164465"/>
                                </a:moveTo>
                                <a:lnTo>
                                  <a:pt x="902335" y="164465"/>
                                </a:lnTo>
                                <a:lnTo>
                                  <a:pt x="902335" y="132715"/>
                                </a:lnTo>
                                <a:lnTo>
                                  <a:pt x="807085" y="180340"/>
                                </a:lnTo>
                                <a:lnTo>
                                  <a:pt x="902335" y="227965"/>
                                </a:lnTo>
                                <a:lnTo>
                                  <a:pt x="902335" y="196215"/>
                                </a:lnTo>
                                <a:lnTo>
                                  <a:pt x="1445895" y="196215"/>
                                </a:lnTo>
                                <a:lnTo>
                                  <a:pt x="1445895" y="164465"/>
                                </a:lnTo>
                                <a:close/>
                              </a:path>
                              <a:path w="4192270" h="2729230">
                                <a:moveTo>
                                  <a:pt x="1774825" y="2362200"/>
                                </a:moveTo>
                                <a:lnTo>
                                  <a:pt x="1743075" y="2362200"/>
                                </a:lnTo>
                                <a:lnTo>
                                  <a:pt x="1743075" y="1796415"/>
                                </a:lnTo>
                                <a:lnTo>
                                  <a:pt x="1711312" y="1796415"/>
                                </a:lnTo>
                                <a:lnTo>
                                  <a:pt x="1711312" y="2362200"/>
                                </a:lnTo>
                                <a:lnTo>
                                  <a:pt x="1679562" y="2362200"/>
                                </a:lnTo>
                                <a:lnTo>
                                  <a:pt x="1727200" y="2457450"/>
                                </a:lnTo>
                                <a:lnTo>
                                  <a:pt x="1766887" y="2378075"/>
                                </a:lnTo>
                                <a:lnTo>
                                  <a:pt x="1774825" y="2362200"/>
                                </a:lnTo>
                                <a:close/>
                              </a:path>
                              <a:path w="4192270" h="2729230">
                                <a:moveTo>
                                  <a:pt x="1774825" y="1139190"/>
                                </a:moveTo>
                                <a:lnTo>
                                  <a:pt x="1743075" y="1139190"/>
                                </a:lnTo>
                                <a:lnTo>
                                  <a:pt x="1743075" y="479425"/>
                                </a:lnTo>
                                <a:lnTo>
                                  <a:pt x="1711312" y="479425"/>
                                </a:lnTo>
                                <a:lnTo>
                                  <a:pt x="1711312" y="1139190"/>
                                </a:lnTo>
                                <a:lnTo>
                                  <a:pt x="1679562" y="1139190"/>
                                </a:lnTo>
                                <a:lnTo>
                                  <a:pt x="1727200" y="1234440"/>
                                </a:lnTo>
                                <a:lnTo>
                                  <a:pt x="1766887" y="1155065"/>
                                </a:lnTo>
                                <a:lnTo>
                                  <a:pt x="1774825" y="1139190"/>
                                </a:lnTo>
                                <a:close/>
                              </a:path>
                              <a:path w="4192270" h="2729230">
                                <a:moveTo>
                                  <a:pt x="2520950" y="1891665"/>
                                </a:moveTo>
                                <a:lnTo>
                                  <a:pt x="2513012" y="1875790"/>
                                </a:lnTo>
                                <a:lnTo>
                                  <a:pt x="2473325" y="1796415"/>
                                </a:lnTo>
                                <a:lnTo>
                                  <a:pt x="2425700" y="1891665"/>
                                </a:lnTo>
                                <a:lnTo>
                                  <a:pt x="2457450" y="1891665"/>
                                </a:lnTo>
                                <a:lnTo>
                                  <a:pt x="2457450" y="2457450"/>
                                </a:lnTo>
                                <a:lnTo>
                                  <a:pt x="2489200" y="2457450"/>
                                </a:lnTo>
                                <a:lnTo>
                                  <a:pt x="2489200" y="1891665"/>
                                </a:lnTo>
                                <a:lnTo>
                                  <a:pt x="2520950" y="1891665"/>
                                </a:lnTo>
                                <a:close/>
                              </a:path>
                              <a:path w="4192270" h="2729230">
                                <a:moveTo>
                                  <a:pt x="2580005" y="574675"/>
                                </a:moveTo>
                                <a:lnTo>
                                  <a:pt x="2572067" y="558800"/>
                                </a:lnTo>
                                <a:lnTo>
                                  <a:pt x="2532380" y="479425"/>
                                </a:lnTo>
                                <a:lnTo>
                                  <a:pt x="2484755" y="574675"/>
                                </a:lnTo>
                                <a:lnTo>
                                  <a:pt x="2516505" y="574675"/>
                                </a:lnTo>
                                <a:lnTo>
                                  <a:pt x="2516505" y="1179195"/>
                                </a:lnTo>
                                <a:lnTo>
                                  <a:pt x="2548255" y="1179195"/>
                                </a:lnTo>
                                <a:lnTo>
                                  <a:pt x="2548255" y="574675"/>
                                </a:lnTo>
                                <a:lnTo>
                                  <a:pt x="2580005" y="574675"/>
                                </a:lnTo>
                                <a:close/>
                              </a:path>
                              <a:path w="4192270" h="2729230">
                                <a:moveTo>
                                  <a:pt x="3501390" y="325755"/>
                                </a:moveTo>
                                <a:lnTo>
                                  <a:pt x="3469640" y="309880"/>
                                </a:lnTo>
                                <a:lnTo>
                                  <a:pt x="3406140" y="278130"/>
                                </a:lnTo>
                                <a:lnTo>
                                  <a:pt x="3406140" y="309880"/>
                                </a:lnTo>
                                <a:lnTo>
                                  <a:pt x="2799080" y="309880"/>
                                </a:lnTo>
                                <a:lnTo>
                                  <a:pt x="2799080" y="341630"/>
                                </a:lnTo>
                                <a:lnTo>
                                  <a:pt x="3406140" y="341630"/>
                                </a:lnTo>
                                <a:lnTo>
                                  <a:pt x="3406140" y="373380"/>
                                </a:lnTo>
                                <a:lnTo>
                                  <a:pt x="3469640" y="341630"/>
                                </a:lnTo>
                                <a:lnTo>
                                  <a:pt x="3501390" y="325755"/>
                                </a:lnTo>
                                <a:close/>
                              </a:path>
                              <a:path w="4192270" h="2729230">
                                <a:moveTo>
                                  <a:pt x="3501390" y="31750"/>
                                </a:moveTo>
                                <a:lnTo>
                                  <a:pt x="2894330" y="31750"/>
                                </a:lnTo>
                                <a:lnTo>
                                  <a:pt x="2894330" y="0"/>
                                </a:lnTo>
                                <a:lnTo>
                                  <a:pt x="2799080" y="47625"/>
                                </a:lnTo>
                                <a:lnTo>
                                  <a:pt x="2894330" y="95250"/>
                                </a:lnTo>
                                <a:lnTo>
                                  <a:pt x="2894330" y="63500"/>
                                </a:lnTo>
                                <a:lnTo>
                                  <a:pt x="3501390" y="63500"/>
                                </a:lnTo>
                                <a:lnTo>
                                  <a:pt x="3501390" y="31750"/>
                                </a:lnTo>
                                <a:close/>
                              </a:path>
                              <a:path w="4192270" h="2729230">
                                <a:moveTo>
                                  <a:pt x="4170680" y="574675"/>
                                </a:moveTo>
                                <a:lnTo>
                                  <a:pt x="4162742" y="558800"/>
                                </a:lnTo>
                                <a:lnTo>
                                  <a:pt x="4123055" y="479425"/>
                                </a:lnTo>
                                <a:lnTo>
                                  <a:pt x="4075430" y="574675"/>
                                </a:lnTo>
                                <a:lnTo>
                                  <a:pt x="4107180" y="574675"/>
                                </a:lnTo>
                                <a:lnTo>
                                  <a:pt x="4107180" y="1179195"/>
                                </a:lnTo>
                                <a:lnTo>
                                  <a:pt x="4138930" y="1179195"/>
                                </a:lnTo>
                                <a:lnTo>
                                  <a:pt x="4138930" y="574675"/>
                                </a:lnTo>
                                <a:lnTo>
                                  <a:pt x="4170680" y="574675"/>
                                </a:lnTo>
                                <a:close/>
                              </a:path>
                              <a:path w="4192270" h="2729230">
                                <a:moveTo>
                                  <a:pt x="4192270" y="1796415"/>
                                </a:moveTo>
                                <a:lnTo>
                                  <a:pt x="4086479" y="1809115"/>
                                </a:lnTo>
                                <a:lnTo>
                                  <a:pt x="4104030" y="1835683"/>
                                </a:lnTo>
                                <a:lnTo>
                                  <a:pt x="2790317" y="2702687"/>
                                </a:lnTo>
                                <a:lnTo>
                                  <a:pt x="2807843" y="2729103"/>
                                </a:lnTo>
                                <a:lnTo>
                                  <a:pt x="4121543" y="1862150"/>
                                </a:lnTo>
                                <a:lnTo>
                                  <a:pt x="4139057" y="1888617"/>
                                </a:lnTo>
                                <a:lnTo>
                                  <a:pt x="4174667" y="1826895"/>
                                </a:lnTo>
                                <a:lnTo>
                                  <a:pt x="4192270" y="1796415"/>
                                </a:lnTo>
                                <a:close/>
                              </a:path>
                            </a:pathLst>
                          </a:custGeom>
                          <a:solidFill>
                            <a:srgbClr val="000000"/>
                          </a:solidFill>
                        </wps:spPr>
                        <wps:bodyPr wrap="square" lIns="0" tIns="0" rIns="0" bIns="0" rtlCol="0">
                          <a:prstTxWarp prst="textNoShape">
                            <a:avLst/>
                          </a:prstTxWarp>
                          <a:noAutofit/>
                        </wps:bodyPr>
                      </wps:wsp>
                      <wps:wsp>
                        <wps:cNvPr id="90" name="Graphic 90"/>
                        <wps:cNvSpPr/>
                        <wps:spPr>
                          <a:xfrm>
                            <a:off x="42544" y="1323975"/>
                            <a:ext cx="1409065" cy="561340"/>
                          </a:xfrm>
                          <a:custGeom>
                            <a:avLst/>
                            <a:gdLst/>
                            <a:ahLst/>
                            <a:cxnLst/>
                            <a:rect l="l" t="t" r="r" b="b"/>
                            <a:pathLst>
                              <a:path w="1409065" h="561340">
                                <a:moveTo>
                                  <a:pt x="1409064" y="0"/>
                                </a:moveTo>
                                <a:lnTo>
                                  <a:pt x="0" y="0"/>
                                </a:lnTo>
                                <a:lnTo>
                                  <a:pt x="0" y="561340"/>
                                </a:lnTo>
                                <a:lnTo>
                                  <a:pt x="1409064" y="561340"/>
                                </a:lnTo>
                                <a:lnTo>
                                  <a:pt x="1409064" y="0"/>
                                </a:lnTo>
                                <a:close/>
                              </a:path>
                            </a:pathLst>
                          </a:custGeom>
                          <a:solidFill>
                            <a:srgbClr val="FFFFFF"/>
                          </a:solidFill>
                        </wps:spPr>
                        <wps:bodyPr wrap="square" lIns="0" tIns="0" rIns="0" bIns="0" rtlCol="0">
                          <a:prstTxWarp prst="textNoShape">
                            <a:avLst/>
                          </a:prstTxWarp>
                          <a:noAutofit/>
                        </wps:bodyPr>
                      </wps:wsp>
                      <wps:wsp>
                        <wps:cNvPr id="91" name="Textbox 91"/>
                        <wps:cNvSpPr txBox="1"/>
                        <wps:spPr>
                          <a:xfrm>
                            <a:off x="3781425" y="635254"/>
                            <a:ext cx="83820" cy="140335"/>
                          </a:xfrm>
                          <a:prstGeom prst="rect">
                            <a:avLst/>
                          </a:prstGeom>
                        </wps:spPr>
                        <wps:txbx>
                          <w:txbxContent>
                            <w:p>
                              <w:pPr>
                                <w:spacing w:line="221" w:lineRule="exact" w:before="0"/>
                                <w:ind w:left="0" w:right="0" w:firstLine="0"/>
                                <w:jc w:val="left"/>
                                <w:rPr>
                                  <w:rFonts w:ascii="Calibri"/>
                                  <w:sz w:val="22"/>
                                </w:rPr>
                              </w:pPr>
                              <w:r>
                                <w:rPr>
                                  <w:rFonts w:ascii="Calibri"/>
                                  <w:spacing w:val="-10"/>
                                  <w:sz w:val="22"/>
                                </w:rPr>
                                <w:t>5</w:t>
                              </w:r>
                            </w:p>
                          </w:txbxContent>
                        </wps:txbx>
                        <wps:bodyPr wrap="square" lIns="0" tIns="0" rIns="0" bIns="0" rtlCol="0">
                          <a:noAutofit/>
                        </wps:bodyPr>
                      </wps:wsp>
                      <wps:wsp>
                        <wps:cNvPr id="92" name="Textbox 92"/>
                        <wps:cNvSpPr txBox="1"/>
                        <wps:spPr>
                          <a:xfrm>
                            <a:off x="527050" y="1017777"/>
                            <a:ext cx="83820" cy="140335"/>
                          </a:xfrm>
                          <a:prstGeom prst="rect">
                            <a:avLst/>
                          </a:prstGeom>
                        </wps:spPr>
                        <wps:txbx>
                          <w:txbxContent>
                            <w:p>
                              <w:pPr>
                                <w:spacing w:line="221" w:lineRule="exact" w:before="0"/>
                                <w:ind w:left="0" w:right="0" w:firstLine="0"/>
                                <w:jc w:val="left"/>
                                <w:rPr>
                                  <w:rFonts w:ascii="Calibri"/>
                                  <w:sz w:val="22"/>
                                </w:rPr>
                              </w:pPr>
                              <w:r>
                                <w:rPr>
                                  <w:rFonts w:ascii="Calibri"/>
                                  <w:spacing w:val="-10"/>
                                  <w:sz w:val="22"/>
                                </w:rPr>
                                <w:t>8</w:t>
                              </w:r>
                            </w:p>
                          </w:txbxContent>
                        </wps:txbx>
                        <wps:bodyPr wrap="square" lIns="0" tIns="0" rIns="0" bIns="0" rtlCol="0">
                          <a:noAutofit/>
                        </wps:bodyPr>
                      </wps:wsp>
                      <wps:wsp>
                        <wps:cNvPr id="93" name="Textbox 93"/>
                        <wps:cNvSpPr txBox="1"/>
                        <wps:spPr>
                          <a:xfrm>
                            <a:off x="2177923" y="1017777"/>
                            <a:ext cx="83820" cy="140335"/>
                          </a:xfrm>
                          <a:prstGeom prst="rect">
                            <a:avLst/>
                          </a:prstGeom>
                        </wps:spPr>
                        <wps:txbx>
                          <w:txbxContent>
                            <w:p>
                              <w:pPr>
                                <w:spacing w:line="221" w:lineRule="exact" w:before="0"/>
                                <w:ind w:left="0" w:right="0" w:firstLine="0"/>
                                <w:jc w:val="left"/>
                                <w:rPr>
                                  <w:rFonts w:ascii="Calibri"/>
                                  <w:sz w:val="22"/>
                                </w:rPr>
                              </w:pPr>
                              <w:r>
                                <w:rPr>
                                  <w:rFonts w:ascii="Calibri"/>
                                  <w:spacing w:val="-10"/>
                                  <w:sz w:val="22"/>
                                </w:rPr>
                                <w:t>1</w:t>
                              </w:r>
                            </w:p>
                          </w:txbxContent>
                        </wps:txbx>
                        <wps:bodyPr wrap="square" lIns="0" tIns="0" rIns="0" bIns="0" rtlCol="0">
                          <a:noAutofit/>
                        </wps:bodyPr>
                      </wps:wsp>
                      <wps:wsp>
                        <wps:cNvPr id="94" name="Textbox 94"/>
                        <wps:cNvSpPr txBox="1"/>
                        <wps:spPr>
                          <a:xfrm>
                            <a:off x="3005150" y="1017777"/>
                            <a:ext cx="83820" cy="140335"/>
                          </a:xfrm>
                          <a:prstGeom prst="rect">
                            <a:avLst/>
                          </a:prstGeom>
                        </wps:spPr>
                        <wps:txbx>
                          <w:txbxContent>
                            <w:p>
                              <w:pPr>
                                <w:spacing w:line="221" w:lineRule="exact" w:before="0"/>
                                <w:ind w:left="0" w:right="0" w:firstLine="0"/>
                                <w:jc w:val="left"/>
                                <w:rPr>
                                  <w:rFonts w:ascii="Calibri"/>
                                  <w:sz w:val="22"/>
                                </w:rPr>
                              </w:pPr>
                              <w:r>
                                <w:rPr>
                                  <w:rFonts w:ascii="Calibri"/>
                                  <w:spacing w:val="-10"/>
                                  <w:sz w:val="22"/>
                                </w:rPr>
                                <w:t>4</w:t>
                              </w:r>
                            </w:p>
                          </w:txbxContent>
                        </wps:txbx>
                        <wps:bodyPr wrap="square" lIns="0" tIns="0" rIns="0" bIns="0" rtlCol="0">
                          <a:noAutofit/>
                        </wps:bodyPr>
                      </wps:wsp>
                      <wps:wsp>
                        <wps:cNvPr id="95" name="Textbox 95"/>
                        <wps:cNvSpPr txBox="1"/>
                        <wps:spPr>
                          <a:xfrm>
                            <a:off x="2232786" y="2165730"/>
                            <a:ext cx="83820" cy="140335"/>
                          </a:xfrm>
                          <a:prstGeom prst="rect">
                            <a:avLst/>
                          </a:prstGeom>
                        </wps:spPr>
                        <wps:txbx>
                          <w:txbxContent>
                            <w:p>
                              <w:pPr>
                                <w:spacing w:line="221" w:lineRule="exact" w:before="0"/>
                                <w:ind w:left="0" w:right="0" w:firstLine="0"/>
                                <w:jc w:val="left"/>
                                <w:rPr>
                                  <w:rFonts w:ascii="Calibri"/>
                                  <w:sz w:val="22"/>
                                </w:rPr>
                              </w:pPr>
                              <w:r>
                                <w:rPr>
                                  <w:rFonts w:ascii="Calibri"/>
                                  <w:spacing w:val="-10"/>
                                  <w:sz w:val="22"/>
                                </w:rPr>
                                <w:t>2</w:t>
                              </w:r>
                            </w:p>
                          </w:txbxContent>
                        </wps:txbx>
                        <wps:bodyPr wrap="square" lIns="0" tIns="0" rIns="0" bIns="0" rtlCol="0">
                          <a:noAutofit/>
                        </wps:bodyPr>
                      </wps:wsp>
                      <wps:wsp>
                        <wps:cNvPr id="96" name="Textbox 96"/>
                        <wps:cNvSpPr txBox="1"/>
                        <wps:spPr>
                          <a:xfrm>
                            <a:off x="3220592" y="2165730"/>
                            <a:ext cx="83820" cy="140335"/>
                          </a:xfrm>
                          <a:prstGeom prst="rect">
                            <a:avLst/>
                          </a:prstGeom>
                        </wps:spPr>
                        <wps:txbx>
                          <w:txbxContent>
                            <w:p>
                              <w:pPr>
                                <w:spacing w:line="221" w:lineRule="exact" w:before="0"/>
                                <w:ind w:left="0" w:right="0" w:firstLine="0"/>
                                <w:jc w:val="left"/>
                                <w:rPr>
                                  <w:rFonts w:ascii="Calibri"/>
                                  <w:sz w:val="22"/>
                                </w:rPr>
                              </w:pPr>
                              <w:r>
                                <w:rPr>
                                  <w:rFonts w:ascii="Calibri"/>
                                  <w:spacing w:val="-10"/>
                                  <w:sz w:val="22"/>
                                </w:rPr>
                                <w:t>3</w:t>
                              </w:r>
                            </w:p>
                          </w:txbxContent>
                        </wps:txbx>
                        <wps:bodyPr wrap="square" lIns="0" tIns="0" rIns="0" bIns="0" rtlCol="0">
                          <a:noAutofit/>
                        </wps:bodyPr>
                      </wps:wsp>
                      <wps:wsp>
                        <wps:cNvPr id="97" name="Textbox 97"/>
                        <wps:cNvSpPr txBox="1"/>
                        <wps:spPr>
                          <a:xfrm>
                            <a:off x="1569847" y="2549779"/>
                            <a:ext cx="83820" cy="140335"/>
                          </a:xfrm>
                          <a:prstGeom prst="rect">
                            <a:avLst/>
                          </a:prstGeom>
                        </wps:spPr>
                        <wps:txbx>
                          <w:txbxContent>
                            <w:p>
                              <w:pPr>
                                <w:spacing w:line="221" w:lineRule="exact" w:before="0"/>
                                <w:ind w:left="0" w:right="0" w:firstLine="0"/>
                                <w:jc w:val="left"/>
                                <w:rPr>
                                  <w:rFonts w:ascii="Calibri"/>
                                  <w:sz w:val="22"/>
                                </w:rPr>
                              </w:pPr>
                              <w:r>
                                <w:rPr>
                                  <w:rFonts w:ascii="Calibri"/>
                                  <w:spacing w:val="-10"/>
                                  <w:sz w:val="22"/>
                                </w:rPr>
                                <w:t>9</w:t>
                              </w:r>
                            </w:p>
                          </w:txbxContent>
                        </wps:txbx>
                        <wps:bodyPr wrap="square" lIns="0" tIns="0" rIns="0" bIns="0" rtlCol="0">
                          <a:noAutofit/>
                        </wps:bodyPr>
                      </wps:wsp>
                      <wps:wsp>
                        <wps:cNvPr id="98" name="Textbox 98"/>
                        <wps:cNvSpPr txBox="1"/>
                        <wps:spPr>
                          <a:xfrm>
                            <a:off x="3945531" y="2549779"/>
                            <a:ext cx="83820" cy="140335"/>
                          </a:xfrm>
                          <a:prstGeom prst="rect">
                            <a:avLst/>
                          </a:prstGeom>
                        </wps:spPr>
                        <wps:txbx>
                          <w:txbxContent>
                            <w:p>
                              <w:pPr>
                                <w:spacing w:line="221" w:lineRule="exact" w:before="0"/>
                                <w:ind w:left="0" w:right="0" w:firstLine="0"/>
                                <w:jc w:val="left"/>
                                <w:rPr>
                                  <w:rFonts w:ascii="Calibri"/>
                                  <w:sz w:val="22"/>
                                </w:rPr>
                              </w:pPr>
                              <w:r>
                                <w:rPr>
                                  <w:rFonts w:ascii="Calibri"/>
                                  <w:spacing w:val="-10"/>
                                  <w:sz w:val="22"/>
                                </w:rPr>
                                <w:t>1</w:t>
                              </w:r>
                            </w:p>
                          </w:txbxContent>
                        </wps:txbx>
                        <wps:bodyPr wrap="square" lIns="0" tIns="0" rIns="0" bIns="0" rtlCol="0">
                          <a:noAutofit/>
                        </wps:bodyPr>
                      </wps:wsp>
                      <wps:wsp>
                        <wps:cNvPr id="99" name="Textbox 99"/>
                        <wps:cNvSpPr txBox="1"/>
                        <wps:spPr>
                          <a:xfrm>
                            <a:off x="2129154" y="2552700"/>
                            <a:ext cx="1282700" cy="495300"/>
                          </a:xfrm>
                          <a:prstGeom prst="rect">
                            <a:avLst/>
                          </a:prstGeom>
                        </wps:spPr>
                        <wps:txbx>
                          <w:txbxContent>
                            <w:p>
                              <w:pPr>
                                <w:spacing w:before="112"/>
                                <w:ind w:left="213" w:right="0" w:firstLine="0"/>
                                <w:jc w:val="left"/>
                                <w:rPr>
                                  <w:rFonts w:ascii="Calibri"/>
                                  <w:b/>
                                  <w:sz w:val="18"/>
                                </w:rPr>
                              </w:pPr>
                              <w:r>
                                <w:rPr>
                                  <w:rFonts w:ascii="Calibri"/>
                                  <w:b/>
                                  <w:spacing w:val="-2"/>
                                  <w:sz w:val="18"/>
                                </w:rPr>
                                <w:t>Ministry/Department</w:t>
                              </w:r>
                            </w:p>
                          </w:txbxContent>
                        </wps:txbx>
                        <wps:bodyPr wrap="square" lIns="0" tIns="0" rIns="0" bIns="0" rtlCol="0">
                          <a:noAutofit/>
                        </wps:bodyPr>
                      </wps:wsp>
                      <wps:wsp>
                        <wps:cNvPr id="100" name="Textbox 100"/>
                        <wps:cNvSpPr txBox="1"/>
                        <wps:spPr>
                          <a:xfrm>
                            <a:off x="2090420" y="1324610"/>
                            <a:ext cx="1353185" cy="561340"/>
                          </a:xfrm>
                          <a:prstGeom prst="rect">
                            <a:avLst/>
                          </a:prstGeom>
                          <a:ln w="63500" cmpd="thickThin">
                            <a:solidFill>
                              <a:srgbClr val="C0504D"/>
                            </a:solidFill>
                            <a:prstDash val="solid"/>
                          </a:ln>
                        </wps:spPr>
                        <wps:txbx>
                          <w:txbxContent>
                            <w:p>
                              <w:pPr>
                                <w:spacing w:before="70"/>
                                <w:ind w:left="272" w:right="0" w:firstLine="0"/>
                                <w:jc w:val="left"/>
                                <w:rPr>
                                  <w:rFonts w:ascii="Calibri"/>
                                  <w:b/>
                                  <w:sz w:val="18"/>
                                </w:rPr>
                              </w:pPr>
                              <w:r>
                                <w:rPr>
                                  <w:rFonts w:ascii="Calibri"/>
                                  <w:b/>
                                  <w:sz w:val="18"/>
                                </w:rPr>
                                <w:t>Budget</w:t>
                              </w:r>
                              <w:r>
                                <w:rPr>
                                  <w:rFonts w:ascii="Calibri"/>
                                  <w:b/>
                                  <w:spacing w:val="-2"/>
                                  <w:sz w:val="18"/>
                                </w:rPr>
                                <w:t> Department</w:t>
                              </w:r>
                            </w:p>
                          </w:txbxContent>
                        </wps:txbx>
                        <wps:bodyPr wrap="square" lIns="0" tIns="0" rIns="0" bIns="0" rtlCol="0">
                          <a:noAutofit/>
                        </wps:bodyPr>
                      </wps:wsp>
                      <wps:wsp>
                        <wps:cNvPr id="101" name="Textbox 101"/>
                        <wps:cNvSpPr txBox="1"/>
                        <wps:spPr>
                          <a:xfrm>
                            <a:off x="42544" y="1324610"/>
                            <a:ext cx="1409065" cy="561340"/>
                          </a:xfrm>
                          <a:prstGeom prst="rect">
                            <a:avLst/>
                          </a:prstGeom>
                          <a:ln w="63500" cmpd="thickThin">
                            <a:solidFill>
                              <a:srgbClr val="C0504D"/>
                            </a:solidFill>
                            <a:prstDash val="solid"/>
                          </a:ln>
                        </wps:spPr>
                        <wps:txbx>
                          <w:txbxContent>
                            <w:p>
                              <w:pPr>
                                <w:spacing w:before="70"/>
                                <w:ind w:left="144" w:right="0" w:firstLine="0"/>
                                <w:jc w:val="left"/>
                                <w:rPr>
                                  <w:rFonts w:ascii="Calibri"/>
                                  <w:b/>
                                  <w:sz w:val="18"/>
                                </w:rPr>
                              </w:pPr>
                              <w:r>
                                <w:rPr>
                                  <w:rFonts w:ascii="Calibri"/>
                                  <w:b/>
                                  <w:sz w:val="18"/>
                                </w:rPr>
                                <w:t>Accountant</w:t>
                              </w:r>
                              <w:r>
                                <w:rPr>
                                  <w:rFonts w:ascii="Calibri"/>
                                  <w:b/>
                                  <w:spacing w:val="-6"/>
                                  <w:sz w:val="18"/>
                                </w:rPr>
                                <w:t> </w:t>
                              </w:r>
                              <w:r>
                                <w:rPr>
                                  <w:rFonts w:ascii="Calibri"/>
                                  <w:b/>
                                  <w:spacing w:val="-2"/>
                                  <w:sz w:val="18"/>
                                </w:rPr>
                                <w:t>General</w:t>
                              </w:r>
                            </w:p>
                          </w:txbxContent>
                        </wps:txbx>
                        <wps:bodyPr wrap="square" lIns="0" tIns="0" rIns="0" bIns="0" rtlCol="0">
                          <a:noAutofit/>
                        </wps:bodyPr>
                      </wps:wsp>
                      <wps:wsp>
                        <wps:cNvPr id="102" name="Textbox 102"/>
                        <wps:cNvSpPr txBox="1"/>
                        <wps:spPr>
                          <a:xfrm>
                            <a:off x="4145915" y="1268730"/>
                            <a:ext cx="1333500" cy="617220"/>
                          </a:xfrm>
                          <a:prstGeom prst="rect">
                            <a:avLst/>
                          </a:prstGeom>
                          <a:ln w="63500" cmpd="thickThin">
                            <a:solidFill>
                              <a:srgbClr val="C0504D"/>
                            </a:solidFill>
                            <a:prstDash val="solid"/>
                          </a:ln>
                        </wps:spPr>
                        <wps:txbx>
                          <w:txbxContent>
                            <w:p>
                              <w:pPr>
                                <w:spacing w:before="72"/>
                                <w:ind w:left="400" w:right="0" w:firstLine="0"/>
                                <w:jc w:val="left"/>
                                <w:rPr>
                                  <w:rFonts w:ascii="Calibri"/>
                                  <w:b/>
                                  <w:sz w:val="18"/>
                                </w:rPr>
                              </w:pPr>
                              <w:r>
                                <w:rPr>
                                  <w:rFonts w:ascii="Calibri"/>
                                  <w:b/>
                                  <w:sz w:val="18"/>
                                </w:rPr>
                                <w:t>Auditor</w:t>
                              </w:r>
                              <w:r>
                                <w:rPr>
                                  <w:rFonts w:ascii="Calibri"/>
                                  <w:b/>
                                  <w:spacing w:val="-6"/>
                                  <w:sz w:val="18"/>
                                </w:rPr>
                                <w:t> </w:t>
                              </w:r>
                              <w:r>
                                <w:rPr>
                                  <w:rFonts w:ascii="Calibri"/>
                                  <w:b/>
                                  <w:spacing w:val="-2"/>
                                  <w:sz w:val="18"/>
                                </w:rPr>
                                <w:t>General</w:t>
                              </w:r>
                            </w:p>
                          </w:txbxContent>
                        </wps:txbx>
                        <wps:bodyPr wrap="square" lIns="0" tIns="0" rIns="0" bIns="0" rtlCol="0">
                          <a:noAutofit/>
                        </wps:bodyPr>
                      </wps:wsp>
                      <wps:wsp>
                        <wps:cNvPr id="103" name="Textbox 103"/>
                        <wps:cNvSpPr txBox="1"/>
                        <wps:spPr>
                          <a:xfrm>
                            <a:off x="4145915" y="31750"/>
                            <a:ext cx="1333500" cy="537210"/>
                          </a:xfrm>
                          <a:prstGeom prst="rect">
                            <a:avLst/>
                          </a:prstGeom>
                          <a:ln w="63500" cmpd="thickThin">
                            <a:solidFill>
                              <a:srgbClr val="C0504D"/>
                            </a:solidFill>
                            <a:prstDash val="solid"/>
                          </a:ln>
                        </wps:spPr>
                        <wps:txbx>
                          <w:txbxContent>
                            <w:p>
                              <w:pPr>
                                <w:spacing w:before="71"/>
                                <w:ind w:left="302" w:right="0" w:firstLine="0"/>
                                <w:jc w:val="left"/>
                                <w:rPr>
                                  <w:rFonts w:ascii="Calibri"/>
                                  <w:b/>
                                  <w:sz w:val="18"/>
                                </w:rPr>
                              </w:pPr>
                              <w:r>
                                <w:rPr>
                                  <w:rFonts w:ascii="Calibri"/>
                                  <w:b/>
                                  <w:sz w:val="18"/>
                                </w:rPr>
                                <w:t>National</w:t>
                              </w:r>
                              <w:r>
                                <w:rPr>
                                  <w:rFonts w:ascii="Calibri"/>
                                  <w:b/>
                                  <w:spacing w:val="-6"/>
                                  <w:sz w:val="18"/>
                                </w:rPr>
                                <w:t> </w:t>
                              </w:r>
                              <w:r>
                                <w:rPr>
                                  <w:rFonts w:ascii="Calibri"/>
                                  <w:b/>
                                  <w:spacing w:val="-2"/>
                                  <w:sz w:val="18"/>
                                </w:rPr>
                                <w:t>Assembly</w:t>
                              </w:r>
                            </w:p>
                          </w:txbxContent>
                        </wps:txbx>
                        <wps:bodyPr wrap="square" lIns="0" tIns="0" rIns="0" bIns="0" rtlCol="0">
                          <a:noAutofit/>
                        </wps:bodyPr>
                      </wps:wsp>
                      <wps:wsp>
                        <wps:cNvPr id="104" name="Textbox 104"/>
                        <wps:cNvSpPr txBox="1"/>
                        <wps:spPr>
                          <a:xfrm>
                            <a:off x="2090420" y="31750"/>
                            <a:ext cx="1353185" cy="537210"/>
                          </a:xfrm>
                          <a:prstGeom prst="rect">
                            <a:avLst/>
                          </a:prstGeom>
                          <a:ln w="63500" cmpd="thickThin">
                            <a:solidFill>
                              <a:srgbClr val="C0504D"/>
                            </a:solidFill>
                            <a:prstDash val="solid"/>
                          </a:ln>
                        </wps:spPr>
                        <wps:txbx>
                          <w:txbxContent>
                            <w:p>
                              <w:pPr>
                                <w:spacing w:before="71"/>
                                <w:ind w:left="658" w:right="0" w:firstLine="0"/>
                                <w:jc w:val="left"/>
                                <w:rPr>
                                  <w:rFonts w:ascii="Calibri"/>
                                  <w:b/>
                                  <w:sz w:val="18"/>
                                </w:rPr>
                              </w:pPr>
                              <w:r>
                                <w:rPr>
                                  <w:rFonts w:ascii="Calibri"/>
                                  <w:b/>
                                  <w:spacing w:val="-2"/>
                                  <w:sz w:val="18"/>
                                </w:rPr>
                                <w:t>President</w:t>
                              </w:r>
                            </w:p>
                          </w:txbxContent>
                        </wps:txbx>
                        <wps:bodyPr wrap="square" lIns="0" tIns="0" rIns="0" bIns="0" rtlCol="0">
                          <a:noAutofit/>
                        </wps:bodyPr>
                      </wps:wsp>
                      <wps:wsp>
                        <wps:cNvPr id="105" name="Textbox 105"/>
                        <wps:cNvSpPr txBox="1"/>
                        <wps:spPr>
                          <a:xfrm>
                            <a:off x="31750" y="31750"/>
                            <a:ext cx="1419860" cy="537210"/>
                          </a:xfrm>
                          <a:prstGeom prst="rect">
                            <a:avLst/>
                          </a:prstGeom>
                          <a:ln w="63500" cmpd="thickThin">
                            <a:solidFill>
                              <a:srgbClr val="C0504D"/>
                            </a:solidFill>
                            <a:prstDash val="solid"/>
                          </a:ln>
                        </wps:spPr>
                        <wps:txbx>
                          <w:txbxContent>
                            <w:p>
                              <w:pPr>
                                <w:spacing w:before="71"/>
                                <w:ind w:left="350" w:right="0" w:firstLine="0"/>
                                <w:jc w:val="left"/>
                                <w:rPr>
                                  <w:rFonts w:ascii="Calibri"/>
                                  <w:b/>
                                  <w:sz w:val="18"/>
                                </w:rPr>
                              </w:pPr>
                              <w:r>
                                <w:rPr>
                                  <w:rFonts w:ascii="Calibri"/>
                                  <w:b/>
                                  <w:sz w:val="18"/>
                                </w:rPr>
                                <w:t>Ministry</w:t>
                              </w:r>
                              <w:r>
                                <w:rPr>
                                  <w:rFonts w:ascii="Calibri"/>
                                  <w:b/>
                                  <w:spacing w:val="-3"/>
                                  <w:sz w:val="18"/>
                                </w:rPr>
                                <w:t> </w:t>
                              </w:r>
                              <w:r>
                                <w:rPr>
                                  <w:rFonts w:ascii="Calibri"/>
                                  <w:b/>
                                  <w:sz w:val="18"/>
                                </w:rPr>
                                <w:t>of</w:t>
                              </w:r>
                              <w:r>
                                <w:rPr>
                                  <w:rFonts w:ascii="Calibri"/>
                                  <w:b/>
                                  <w:spacing w:val="-3"/>
                                  <w:sz w:val="18"/>
                                </w:rPr>
                                <w:t> </w:t>
                              </w:r>
                              <w:r>
                                <w:rPr>
                                  <w:rFonts w:ascii="Calibri"/>
                                  <w:b/>
                                  <w:spacing w:val="-2"/>
                                  <w:sz w:val="18"/>
                                </w:rPr>
                                <w:t>Finance</w:t>
                              </w:r>
                            </w:p>
                          </w:txbxContent>
                        </wps:txbx>
                        <wps:bodyPr wrap="square" lIns="0" tIns="0" rIns="0" bIns="0" rtlCol="0">
                          <a:noAutofit/>
                        </wps:bodyPr>
                      </wps:wsp>
                    </wpg:wgp>
                  </a:graphicData>
                </a:graphic>
              </wp:anchor>
            </w:drawing>
          </mc:Choice>
          <mc:Fallback>
            <w:pict>
              <v:group style="position:absolute;margin-left:75.400002pt;margin-top:12.2pt;width:433.95pt;height:243pt;mso-position-horizontal-relative:page;mso-position-vertical-relative:paragraph;z-index:-25220608" id="docshapegroup83" coordorigin="1508,244" coordsize="8679,4860">
                <v:shape style="position:absolute;left:4781;top:4204;width:2200;height:900" id="docshape84" coordorigin="4781,4204" coordsize="2200,900" path="m6901,4284l6881,4284,6881,4304,6881,5004,4881,5004,4881,4304,6881,4304,6881,4284,4861,4284,4861,4304,4861,5004,4861,5024,6901,5024,6901,5004,6901,4304,6901,4284xm6981,4204l6921,4204,6921,4264,6921,5044,4841,5044,4841,4264,6921,4264,6921,4204,4781,4204,4781,4264,4781,5044,4781,5104,6981,5104,6981,5044,6981,4264,6981,4204xe" filled="true" fillcolor="#c0504d" stroked="false">
                  <v:path arrowok="t"/>
                  <v:fill type="solid"/>
                </v:shape>
                <v:shape style="position:absolute;left:2523;top:385;width:6602;height:4298" id="docshape85" coordorigin="2523,385" coordsize="6602,4298" path="m2673,2179l2623,2179,2623,1140,2573,1140,2573,2179,2523,2179,2598,2329,2661,2204,2673,2179xm4800,4662l4772,4614,4716,4517,4688,4559,2612,3193,2584,3235,4661,4600,4633,4642,4800,4662xm4800,644l3944,644,3944,594,3794,669,3944,744,3944,694,4800,694,4800,644xm5318,4105l5268,4105,5268,3214,5218,3214,5218,4105,5168,4105,5243,4255,5306,4130,5318,4105xm5318,2179l5268,2179,5268,1140,5218,1140,5218,2179,5168,2179,5243,2329,5306,2204,5318,2179xm6493,3364l6481,3339,6418,3214,6343,3364,6393,3364,6393,4255,6443,4255,6443,3364,6493,3364xm6586,1290l6574,1265,6511,1140,6436,1290,6486,1290,6486,2242,6536,2242,6536,1290,6586,1290xm8037,898l7987,873,7887,823,7887,873,6931,873,6931,923,7887,923,7887,973,7987,923,8037,898xm8037,435l7081,435,7081,385,6931,460,7081,535,7081,485,8037,485,8037,435xm9091,1290l9079,1265,9016,1140,8941,1290,8991,1290,8991,2242,9041,2242,9041,1290,9091,1290xm9125,3214l8958,3234,8986,3276,6917,4641,6945,4683,9014,3318,9041,3359,9097,3262,9125,3214xe" filled="true" fillcolor="#000000" stroked="false">
                  <v:path arrowok="t"/>
                  <v:fill type="solid"/>
                </v:shape>
                <v:rect style="position:absolute;left:1575;top:2329;width:2219;height:884" id="docshape86" filled="true" fillcolor="#ffffff" stroked="false">
                  <v:fill type="solid"/>
                </v:rect>
                <v:shape style="position:absolute;left:7463;top:1244;width:132;height:221" type="#_x0000_t202" id="docshape87" filled="false" stroked="false">
                  <v:textbox inset="0,0,0,0">
                    <w:txbxContent>
                      <w:p>
                        <w:pPr>
                          <w:spacing w:line="221" w:lineRule="exact" w:before="0"/>
                          <w:ind w:left="0" w:right="0" w:firstLine="0"/>
                          <w:jc w:val="left"/>
                          <w:rPr>
                            <w:rFonts w:ascii="Calibri"/>
                            <w:sz w:val="22"/>
                          </w:rPr>
                        </w:pPr>
                        <w:r>
                          <w:rPr>
                            <w:rFonts w:ascii="Calibri"/>
                            <w:spacing w:val="-10"/>
                            <w:sz w:val="22"/>
                          </w:rPr>
                          <w:t>5</w:t>
                        </w:r>
                      </w:p>
                    </w:txbxContent>
                  </v:textbox>
                  <w10:wrap type="none"/>
                </v:shape>
                <v:shape style="position:absolute;left:2338;top:1846;width:132;height:221" type="#_x0000_t202" id="docshape88" filled="false" stroked="false">
                  <v:textbox inset="0,0,0,0">
                    <w:txbxContent>
                      <w:p>
                        <w:pPr>
                          <w:spacing w:line="221" w:lineRule="exact" w:before="0"/>
                          <w:ind w:left="0" w:right="0" w:firstLine="0"/>
                          <w:jc w:val="left"/>
                          <w:rPr>
                            <w:rFonts w:ascii="Calibri"/>
                            <w:sz w:val="22"/>
                          </w:rPr>
                        </w:pPr>
                        <w:r>
                          <w:rPr>
                            <w:rFonts w:ascii="Calibri"/>
                            <w:spacing w:val="-10"/>
                            <w:sz w:val="22"/>
                          </w:rPr>
                          <w:t>8</w:t>
                        </w:r>
                      </w:p>
                    </w:txbxContent>
                  </v:textbox>
                  <w10:wrap type="none"/>
                </v:shape>
                <v:shape style="position:absolute;left:4937;top:1846;width:132;height:221" type="#_x0000_t202" id="docshape89" filled="false" stroked="false">
                  <v:textbox inset="0,0,0,0">
                    <w:txbxContent>
                      <w:p>
                        <w:pPr>
                          <w:spacing w:line="221" w:lineRule="exact" w:before="0"/>
                          <w:ind w:left="0" w:right="0" w:firstLine="0"/>
                          <w:jc w:val="left"/>
                          <w:rPr>
                            <w:rFonts w:ascii="Calibri"/>
                            <w:sz w:val="22"/>
                          </w:rPr>
                        </w:pPr>
                        <w:r>
                          <w:rPr>
                            <w:rFonts w:ascii="Calibri"/>
                            <w:spacing w:val="-10"/>
                            <w:sz w:val="22"/>
                          </w:rPr>
                          <w:t>1</w:t>
                        </w:r>
                      </w:p>
                    </w:txbxContent>
                  </v:textbox>
                  <w10:wrap type="none"/>
                </v:shape>
                <v:shape style="position:absolute;left:6240;top:1846;width:132;height:221" type="#_x0000_t202" id="docshape90" filled="false" stroked="false">
                  <v:textbox inset="0,0,0,0">
                    <w:txbxContent>
                      <w:p>
                        <w:pPr>
                          <w:spacing w:line="221" w:lineRule="exact" w:before="0"/>
                          <w:ind w:left="0" w:right="0" w:firstLine="0"/>
                          <w:jc w:val="left"/>
                          <w:rPr>
                            <w:rFonts w:ascii="Calibri"/>
                            <w:sz w:val="22"/>
                          </w:rPr>
                        </w:pPr>
                        <w:r>
                          <w:rPr>
                            <w:rFonts w:ascii="Calibri"/>
                            <w:spacing w:val="-10"/>
                            <w:sz w:val="22"/>
                          </w:rPr>
                          <w:t>4</w:t>
                        </w:r>
                      </w:p>
                    </w:txbxContent>
                  </v:textbox>
                  <w10:wrap type="none"/>
                </v:shape>
                <v:shape style="position:absolute;left:5024;top:3654;width:132;height:221" type="#_x0000_t202" id="docshape91" filled="false" stroked="false">
                  <v:textbox inset="0,0,0,0">
                    <w:txbxContent>
                      <w:p>
                        <w:pPr>
                          <w:spacing w:line="221" w:lineRule="exact" w:before="0"/>
                          <w:ind w:left="0" w:right="0" w:firstLine="0"/>
                          <w:jc w:val="left"/>
                          <w:rPr>
                            <w:rFonts w:ascii="Calibri"/>
                            <w:sz w:val="22"/>
                          </w:rPr>
                        </w:pPr>
                        <w:r>
                          <w:rPr>
                            <w:rFonts w:ascii="Calibri"/>
                            <w:spacing w:val="-10"/>
                            <w:sz w:val="22"/>
                          </w:rPr>
                          <w:t>2</w:t>
                        </w:r>
                      </w:p>
                    </w:txbxContent>
                  </v:textbox>
                  <w10:wrap type="none"/>
                </v:shape>
                <v:shape style="position:absolute;left:6579;top:3654;width:132;height:221" type="#_x0000_t202" id="docshape92" filled="false" stroked="false">
                  <v:textbox inset="0,0,0,0">
                    <w:txbxContent>
                      <w:p>
                        <w:pPr>
                          <w:spacing w:line="221" w:lineRule="exact" w:before="0"/>
                          <w:ind w:left="0" w:right="0" w:firstLine="0"/>
                          <w:jc w:val="left"/>
                          <w:rPr>
                            <w:rFonts w:ascii="Calibri"/>
                            <w:sz w:val="22"/>
                          </w:rPr>
                        </w:pPr>
                        <w:r>
                          <w:rPr>
                            <w:rFonts w:ascii="Calibri"/>
                            <w:spacing w:val="-10"/>
                            <w:sz w:val="22"/>
                          </w:rPr>
                          <w:t>3</w:t>
                        </w:r>
                      </w:p>
                    </w:txbxContent>
                  </v:textbox>
                  <w10:wrap type="none"/>
                </v:shape>
                <v:shape style="position:absolute;left:3980;top:4259;width:132;height:221" type="#_x0000_t202" id="docshape93" filled="false" stroked="false">
                  <v:textbox inset="0,0,0,0">
                    <w:txbxContent>
                      <w:p>
                        <w:pPr>
                          <w:spacing w:line="221" w:lineRule="exact" w:before="0"/>
                          <w:ind w:left="0" w:right="0" w:firstLine="0"/>
                          <w:jc w:val="left"/>
                          <w:rPr>
                            <w:rFonts w:ascii="Calibri"/>
                            <w:sz w:val="22"/>
                          </w:rPr>
                        </w:pPr>
                        <w:r>
                          <w:rPr>
                            <w:rFonts w:ascii="Calibri"/>
                            <w:spacing w:val="-10"/>
                            <w:sz w:val="22"/>
                          </w:rPr>
                          <w:t>9</w:t>
                        </w:r>
                      </w:p>
                    </w:txbxContent>
                  </v:textbox>
                  <w10:wrap type="none"/>
                </v:shape>
                <v:shape style="position:absolute;left:7721;top:4259;width:132;height:221" type="#_x0000_t202" id="docshape94" filled="false" stroked="false">
                  <v:textbox inset="0,0,0,0">
                    <w:txbxContent>
                      <w:p>
                        <w:pPr>
                          <w:spacing w:line="221" w:lineRule="exact" w:before="0"/>
                          <w:ind w:left="0" w:right="0" w:firstLine="0"/>
                          <w:jc w:val="left"/>
                          <w:rPr>
                            <w:rFonts w:ascii="Calibri"/>
                            <w:sz w:val="22"/>
                          </w:rPr>
                        </w:pPr>
                        <w:r>
                          <w:rPr>
                            <w:rFonts w:ascii="Calibri"/>
                            <w:spacing w:val="-10"/>
                            <w:sz w:val="22"/>
                          </w:rPr>
                          <w:t>1</w:t>
                        </w:r>
                      </w:p>
                    </w:txbxContent>
                  </v:textbox>
                  <w10:wrap type="none"/>
                </v:shape>
                <v:shape style="position:absolute;left:4861;top:4264;width:2020;height:780" type="#_x0000_t202" id="docshape95" filled="false" stroked="false">
                  <v:textbox inset="0,0,0,0">
                    <w:txbxContent>
                      <w:p>
                        <w:pPr>
                          <w:spacing w:before="112"/>
                          <w:ind w:left="213" w:right="0" w:firstLine="0"/>
                          <w:jc w:val="left"/>
                          <w:rPr>
                            <w:rFonts w:ascii="Calibri"/>
                            <w:b/>
                            <w:sz w:val="18"/>
                          </w:rPr>
                        </w:pPr>
                        <w:r>
                          <w:rPr>
                            <w:rFonts w:ascii="Calibri"/>
                            <w:b/>
                            <w:spacing w:val="-2"/>
                            <w:sz w:val="18"/>
                          </w:rPr>
                          <w:t>Ministry/Department</w:t>
                        </w:r>
                      </w:p>
                    </w:txbxContent>
                  </v:textbox>
                  <w10:wrap type="none"/>
                </v:shape>
                <v:shape style="position:absolute;left:4800;top:2330;width:2131;height:884" type="#_x0000_t202" id="docshape96" filled="false" stroked="true" strokeweight="5pt" strokecolor="#c0504d">
                  <v:textbox inset="0,0,0,0">
                    <w:txbxContent>
                      <w:p>
                        <w:pPr>
                          <w:spacing w:before="70"/>
                          <w:ind w:left="272" w:right="0" w:firstLine="0"/>
                          <w:jc w:val="left"/>
                          <w:rPr>
                            <w:rFonts w:ascii="Calibri"/>
                            <w:b/>
                            <w:sz w:val="18"/>
                          </w:rPr>
                        </w:pPr>
                        <w:r>
                          <w:rPr>
                            <w:rFonts w:ascii="Calibri"/>
                            <w:b/>
                            <w:sz w:val="18"/>
                          </w:rPr>
                          <w:t>Budget</w:t>
                        </w:r>
                        <w:r>
                          <w:rPr>
                            <w:rFonts w:ascii="Calibri"/>
                            <w:b/>
                            <w:spacing w:val="-2"/>
                            <w:sz w:val="18"/>
                          </w:rPr>
                          <w:t> Department</w:t>
                        </w:r>
                      </w:p>
                    </w:txbxContent>
                  </v:textbox>
                  <v:stroke linestyle="thickThin" dashstyle="solid"/>
                  <w10:wrap type="none"/>
                </v:shape>
                <v:shape style="position:absolute;left:1575;top:2330;width:2219;height:884" type="#_x0000_t202" id="docshape97" filled="false" stroked="true" strokeweight="5pt" strokecolor="#c0504d">
                  <v:textbox inset="0,0,0,0">
                    <w:txbxContent>
                      <w:p>
                        <w:pPr>
                          <w:spacing w:before="70"/>
                          <w:ind w:left="144" w:right="0" w:firstLine="0"/>
                          <w:jc w:val="left"/>
                          <w:rPr>
                            <w:rFonts w:ascii="Calibri"/>
                            <w:b/>
                            <w:sz w:val="18"/>
                          </w:rPr>
                        </w:pPr>
                        <w:r>
                          <w:rPr>
                            <w:rFonts w:ascii="Calibri"/>
                            <w:b/>
                            <w:sz w:val="18"/>
                          </w:rPr>
                          <w:t>Accountant</w:t>
                        </w:r>
                        <w:r>
                          <w:rPr>
                            <w:rFonts w:ascii="Calibri"/>
                            <w:b/>
                            <w:spacing w:val="-6"/>
                            <w:sz w:val="18"/>
                          </w:rPr>
                          <w:t> </w:t>
                        </w:r>
                        <w:r>
                          <w:rPr>
                            <w:rFonts w:ascii="Calibri"/>
                            <w:b/>
                            <w:spacing w:val="-2"/>
                            <w:sz w:val="18"/>
                          </w:rPr>
                          <w:t>General</w:t>
                        </w:r>
                      </w:p>
                    </w:txbxContent>
                  </v:textbox>
                  <v:stroke linestyle="thickThin" dashstyle="solid"/>
                  <w10:wrap type="none"/>
                </v:shape>
                <v:shape style="position:absolute;left:8037;top:2242;width:2100;height:972" type="#_x0000_t202" id="docshape98" filled="false" stroked="true" strokeweight="5pt" strokecolor="#c0504d">
                  <v:textbox inset="0,0,0,0">
                    <w:txbxContent>
                      <w:p>
                        <w:pPr>
                          <w:spacing w:before="72"/>
                          <w:ind w:left="400" w:right="0" w:firstLine="0"/>
                          <w:jc w:val="left"/>
                          <w:rPr>
                            <w:rFonts w:ascii="Calibri"/>
                            <w:b/>
                            <w:sz w:val="18"/>
                          </w:rPr>
                        </w:pPr>
                        <w:r>
                          <w:rPr>
                            <w:rFonts w:ascii="Calibri"/>
                            <w:b/>
                            <w:sz w:val="18"/>
                          </w:rPr>
                          <w:t>Auditor</w:t>
                        </w:r>
                        <w:r>
                          <w:rPr>
                            <w:rFonts w:ascii="Calibri"/>
                            <w:b/>
                            <w:spacing w:val="-6"/>
                            <w:sz w:val="18"/>
                          </w:rPr>
                          <w:t> </w:t>
                        </w:r>
                        <w:r>
                          <w:rPr>
                            <w:rFonts w:ascii="Calibri"/>
                            <w:b/>
                            <w:spacing w:val="-2"/>
                            <w:sz w:val="18"/>
                          </w:rPr>
                          <w:t>General</w:t>
                        </w:r>
                      </w:p>
                    </w:txbxContent>
                  </v:textbox>
                  <v:stroke linestyle="thickThin" dashstyle="solid"/>
                  <w10:wrap type="none"/>
                </v:shape>
                <v:shape style="position:absolute;left:8037;top:294;width:2100;height:846" type="#_x0000_t202" id="docshape99" filled="false" stroked="true" strokeweight="5pt" strokecolor="#c0504d">
                  <v:textbox inset="0,0,0,0">
                    <w:txbxContent>
                      <w:p>
                        <w:pPr>
                          <w:spacing w:before="71"/>
                          <w:ind w:left="302" w:right="0" w:firstLine="0"/>
                          <w:jc w:val="left"/>
                          <w:rPr>
                            <w:rFonts w:ascii="Calibri"/>
                            <w:b/>
                            <w:sz w:val="18"/>
                          </w:rPr>
                        </w:pPr>
                        <w:r>
                          <w:rPr>
                            <w:rFonts w:ascii="Calibri"/>
                            <w:b/>
                            <w:sz w:val="18"/>
                          </w:rPr>
                          <w:t>National</w:t>
                        </w:r>
                        <w:r>
                          <w:rPr>
                            <w:rFonts w:ascii="Calibri"/>
                            <w:b/>
                            <w:spacing w:val="-6"/>
                            <w:sz w:val="18"/>
                          </w:rPr>
                          <w:t> </w:t>
                        </w:r>
                        <w:r>
                          <w:rPr>
                            <w:rFonts w:ascii="Calibri"/>
                            <w:b/>
                            <w:spacing w:val="-2"/>
                            <w:sz w:val="18"/>
                          </w:rPr>
                          <w:t>Assembly</w:t>
                        </w:r>
                      </w:p>
                    </w:txbxContent>
                  </v:textbox>
                  <v:stroke linestyle="thickThin" dashstyle="solid"/>
                  <w10:wrap type="none"/>
                </v:shape>
                <v:shape style="position:absolute;left:4800;top:294;width:2131;height:846" type="#_x0000_t202" id="docshape100" filled="false" stroked="true" strokeweight="5pt" strokecolor="#c0504d">
                  <v:textbox inset="0,0,0,0">
                    <w:txbxContent>
                      <w:p>
                        <w:pPr>
                          <w:spacing w:before="71"/>
                          <w:ind w:left="658" w:right="0" w:firstLine="0"/>
                          <w:jc w:val="left"/>
                          <w:rPr>
                            <w:rFonts w:ascii="Calibri"/>
                            <w:b/>
                            <w:sz w:val="18"/>
                          </w:rPr>
                        </w:pPr>
                        <w:r>
                          <w:rPr>
                            <w:rFonts w:ascii="Calibri"/>
                            <w:b/>
                            <w:spacing w:val="-2"/>
                            <w:sz w:val="18"/>
                          </w:rPr>
                          <w:t>President</w:t>
                        </w:r>
                      </w:p>
                    </w:txbxContent>
                  </v:textbox>
                  <v:stroke linestyle="thickThin" dashstyle="solid"/>
                  <w10:wrap type="none"/>
                </v:shape>
                <v:shape style="position:absolute;left:1558;top:294;width:2236;height:846" type="#_x0000_t202" id="docshape101" filled="false" stroked="true" strokeweight="5pt" strokecolor="#c0504d">
                  <v:textbox inset="0,0,0,0">
                    <w:txbxContent>
                      <w:p>
                        <w:pPr>
                          <w:spacing w:before="71"/>
                          <w:ind w:left="350" w:right="0" w:firstLine="0"/>
                          <w:jc w:val="left"/>
                          <w:rPr>
                            <w:rFonts w:ascii="Calibri"/>
                            <w:b/>
                            <w:sz w:val="18"/>
                          </w:rPr>
                        </w:pPr>
                        <w:r>
                          <w:rPr>
                            <w:rFonts w:ascii="Calibri"/>
                            <w:b/>
                            <w:sz w:val="18"/>
                          </w:rPr>
                          <w:t>Ministry</w:t>
                        </w:r>
                        <w:r>
                          <w:rPr>
                            <w:rFonts w:ascii="Calibri"/>
                            <w:b/>
                            <w:spacing w:val="-3"/>
                            <w:sz w:val="18"/>
                          </w:rPr>
                          <w:t> </w:t>
                        </w:r>
                        <w:r>
                          <w:rPr>
                            <w:rFonts w:ascii="Calibri"/>
                            <w:b/>
                            <w:sz w:val="18"/>
                          </w:rPr>
                          <w:t>of</w:t>
                        </w:r>
                        <w:r>
                          <w:rPr>
                            <w:rFonts w:ascii="Calibri"/>
                            <w:b/>
                            <w:spacing w:val="-3"/>
                            <w:sz w:val="18"/>
                          </w:rPr>
                          <w:t> </w:t>
                        </w:r>
                        <w:r>
                          <w:rPr>
                            <w:rFonts w:ascii="Calibri"/>
                            <w:b/>
                            <w:spacing w:val="-2"/>
                            <w:sz w:val="18"/>
                          </w:rPr>
                          <w:t>Finance</w:t>
                        </w:r>
                      </w:p>
                    </w:txbxContent>
                  </v:textbox>
                  <v:stroke linestyle="thickThin" dashstyle="solid"/>
                  <w10:wrap type="none"/>
                </v:shape>
                <w10:wrap type="none"/>
              </v:group>
            </w:pict>
          </mc:Fallback>
        </mc:AlternateContent>
      </w:r>
      <w:r>
        <w:rPr>
          <w:spacing w:val="-10"/>
        </w:rPr>
        <w:t>7</w:t>
      </w:r>
      <w:r>
        <w:rPr/>
        <w:tab/>
      </w:r>
      <w:r>
        <w:rPr>
          <w:spacing w:val="-10"/>
        </w:rPr>
        <w:t>6</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8"/>
        <w:rPr>
          <w:sz w:val="22"/>
        </w:rPr>
      </w:pPr>
    </w:p>
    <w:p>
      <w:pPr>
        <w:spacing w:before="0"/>
        <w:ind w:left="0" w:right="2227" w:firstLine="0"/>
        <w:jc w:val="right"/>
        <w:rPr>
          <w:rFonts w:ascii="Calibri"/>
          <w:sz w:val="22"/>
        </w:rPr>
      </w:pPr>
      <w:r>
        <w:rPr>
          <w:rFonts w:ascii="Calibri"/>
          <w:spacing w:val="-5"/>
          <w:sz w:val="22"/>
        </w:rPr>
        <w:t>11</w: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85"/>
        <w:rPr>
          <w:rFonts w:ascii="Calibri"/>
        </w:rPr>
      </w:pPr>
    </w:p>
    <w:p>
      <w:pPr>
        <w:pStyle w:val="BodyText"/>
        <w:ind w:left="240"/>
        <w:jc w:val="both"/>
      </w:pPr>
      <w:r>
        <w:rPr>
          <w:b/>
        </w:rPr>
        <w:t>Figure</w:t>
      </w:r>
      <w:r>
        <w:rPr>
          <w:b/>
          <w:spacing w:val="-5"/>
        </w:rPr>
        <w:t> </w:t>
      </w:r>
      <w:r>
        <w:rPr>
          <w:b/>
        </w:rPr>
        <w:t>3.1</w:t>
      </w:r>
      <w:r>
        <w:rPr/>
        <w:t>.</w:t>
      </w:r>
      <w:r>
        <w:rPr>
          <w:spacing w:val="-1"/>
        </w:rPr>
        <w:t> </w:t>
      </w:r>
      <w:r>
        <w:rPr/>
        <w:t>Participants</w:t>
      </w:r>
      <w:r>
        <w:rPr>
          <w:spacing w:val="-1"/>
        </w:rPr>
        <w:t> </w:t>
      </w:r>
      <w:r>
        <w:rPr/>
        <w:t>in</w:t>
      </w:r>
      <w:r>
        <w:rPr>
          <w:spacing w:val="-2"/>
        </w:rPr>
        <w:t> </w:t>
      </w:r>
      <w:r>
        <w:rPr/>
        <w:t>the</w:t>
      </w:r>
      <w:r>
        <w:rPr>
          <w:spacing w:val="-1"/>
        </w:rPr>
        <w:t> </w:t>
      </w:r>
      <w:r>
        <w:rPr/>
        <w:t>Federal</w:t>
      </w:r>
      <w:r>
        <w:rPr>
          <w:spacing w:val="-1"/>
        </w:rPr>
        <w:t> </w:t>
      </w:r>
      <w:r>
        <w:rPr/>
        <w:t>Government</w:t>
      </w:r>
      <w:r>
        <w:rPr>
          <w:spacing w:val="-2"/>
        </w:rPr>
        <w:t> </w:t>
      </w:r>
      <w:r>
        <w:rPr/>
        <w:t>Budget</w:t>
      </w:r>
      <w:r>
        <w:rPr>
          <w:spacing w:val="-1"/>
        </w:rPr>
        <w:t> </w:t>
      </w:r>
      <w:r>
        <w:rPr/>
        <w:t>Cycle</w:t>
      </w:r>
      <w:r>
        <w:rPr>
          <w:spacing w:val="-1"/>
        </w:rPr>
        <w:t> </w:t>
      </w:r>
      <w:r>
        <w:rPr/>
        <w:t>(Muhammed,</w:t>
      </w:r>
      <w:r>
        <w:rPr>
          <w:spacing w:val="2"/>
        </w:rPr>
        <w:t> </w:t>
      </w:r>
      <w:r>
        <w:rPr>
          <w:spacing w:val="-2"/>
        </w:rPr>
        <w:t>2009)</w:t>
      </w:r>
    </w:p>
    <w:p>
      <w:pPr>
        <w:pStyle w:val="BodyText"/>
      </w:pPr>
    </w:p>
    <w:p>
      <w:pPr>
        <w:pStyle w:val="BodyText"/>
        <w:spacing w:before="14"/>
      </w:pPr>
    </w:p>
    <w:p>
      <w:pPr>
        <w:pStyle w:val="Heading4"/>
        <w:numPr>
          <w:ilvl w:val="2"/>
          <w:numId w:val="27"/>
        </w:numPr>
        <w:tabs>
          <w:tab w:pos="839" w:val="left" w:leader="none"/>
        </w:tabs>
        <w:spacing w:line="240" w:lineRule="auto" w:before="1" w:after="0"/>
        <w:ind w:left="839" w:right="0" w:hanging="599"/>
        <w:jc w:val="both"/>
        <w:rPr>
          <w:sz w:val="22"/>
        </w:rPr>
      </w:pPr>
      <w:r>
        <w:rPr/>
        <w:t>`</w:t>
      </w:r>
      <w:r>
        <w:rPr>
          <w:spacing w:val="-2"/>
        </w:rPr>
        <w:t> </w:t>
      </w:r>
      <w:r>
        <w:rPr/>
        <w:t>Processes/Stages</w:t>
      </w:r>
      <w:r>
        <w:rPr>
          <w:spacing w:val="1"/>
        </w:rPr>
        <w:t> </w:t>
      </w:r>
      <w:r>
        <w:rPr/>
        <w:t>of</w:t>
      </w:r>
      <w:r>
        <w:rPr>
          <w:spacing w:val="-1"/>
        </w:rPr>
        <w:t> </w:t>
      </w:r>
      <w:r>
        <w:rPr/>
        <w:t>Public</w:t>
      </w:r>
      <w:r>
        <w:rPr>
          <w:spacing w:val="-2"/>
        </w:rPr>
        <w:t> </w:t>
      </w:r>
      <w:r>
        <w:rPr/>
        <w:t>Budgeting</w:t>
      </w:r>
      <w:r>
        <w:rPr>
          <w:spacing w:val="-3"/>
        </w:rPr>
        <w:t> </w:t>
      </w:r>
      <w:r>
        <w:rPr/>
        <w:t>in</w:t>
      </w:r>
      <w:r>
        <w:rPr>
          <w:spacing w:val="-3"/>
        </w:rPr>
        <w:t> </w:t>
      </w:r>
      <w:r>
        <w:rPr>
          <w:spacing w:val="-2"/>
        </w:rPr>
        <w:t>Nigeria</w:t>
      </w:r>
    </w:p>
    <w:p>
      <w:pPr>
        <w:pStyle w:val="BodyText"/>
        <w:spacing w:line="360" w:lineRule="auto" w:before="134"/>
        <w:ind w:left="240" w:right="837"/>
        <w:jc w:val="both"/>
      </w:pPr>
      <w:r>
        <w:rPr/>
        <w:t>The fundamental requirements of the budgetary process or cycle are firmly established by the Nigerian Constitution (1999). The specifics are contained in the various laws, decrees, regulations and instructions. The budget cycle is a complete set of events occurring in the same sequence, every year and culminating in the approved budgets. The ‗president-in-council‘ articulates the government objectives in terms of economic, social and other welfare parameters, and the ‗Budget and Planning Ministry‘ sends a call circular inviting all ministries and parastatals to submit advance proposals of their estimates for the forthcoming financial year, beginning in the following January, according to budget guidelines.</w:t>
      </w:r>
    </w:p>
    <w:p>
      <w:pPr>
        <w:pStyle w:val="BodyText"/>
        <w:spacing w:before="137"/>
      </w:pPr>
    </w:p>
    <w:p>
      <w:pPr>
        <w:pStyle w:val="BodyText"/>
        <w:spacing w:line="360" w:lineRule="auto" w:before="1"/>
        <w:ind w:left="240" w:right="838"/>
        <w:jc w:val="both"/>
      </w:pPr>
      <w:r>
        <w:rPr/>
        <w:t>According to Emma (2001), the budget in the bureaucracy and all other government institutions is normally</w:t>
      </w:r>
      <w:r>
        <w:rPr>
          <w:spacing w:val="-2"/>
        </w:rPr>
        <w:t> </w:t>
      </w:r>
      <w:r>
        <w:rPr/>
        <w:t>an annual event with a life cycle starting from 1st January</w:t>
      </w:r>
      <w:r>
        <w:rPr>
          <w:spacing w:val="-4"/>
        </w:rPr>
        <w:t> </w:t>
      </w:r>
      <w:r>
        <w:rPr/>
        <w:t>to 31st December of every year. As obtains in the first, second and third tiers of the Nigerian government, the budget cycle normally spans through four stages viz:</w:t>
      </w:r>
    </w:p>
    <w:p>
      <w:pPr>
        <w:pStyle w:val="ListParagraph"/>
        <w:numPr>
          <w:ilvl w:val="0"/>
          <w:numId w:val="50"/>
        </w:numPr>
        <w:tabs>
          <w:tab w:pos="959" w:val="left" w:leader="none"/>
        </w:tabs>
        <w:spacing w:line="240" w:lineRule="auto" w:before="0" w:after="0"/>
        <w:ind w:left="959" w:right="0" w:hanging="359"/>
        <w:jc w:val="both"/>
        <w:rPr>
          <w:sz w:val="24"/>
        </w:rPr>
      </w:pPr>
      <w:r>
        <w:rPr>
          <w:sz w:val="24"/>
        </w:rPr>
        <w:t>Formulation/Preparation</w:t>
      </w:r>
      <w:r>
        <w:rPr>
          <w:spacing w:val="-6"/>
          <w:sz w:val="24"/>
        </w:rPr>
        <w:t> </w:t>
      </w:r>
      <w:r>
        <w:rPr>
          <w:spacing w:val="-4"/>
          <w:sz w:val="24"/>
        </w:rPr>
        <w:t>stage</w:t>
      </w:r>
    </w:p>
    <w:p>
      <w:pPr>
        <w:pStyle w:val="ListParagraph"/>
        <w:numPr>
          <w:ilvl w:val="0"/>
          <w:numId w:val="50"/>
        </w:numPr>
        <w:tabs>
          <w:tab w:pos="959" w:val="left" w:leader="none"/>
        </w:tabs>
        <w:spacing w:line="240" w:lineRule="auto" w:before="139" w:after="0"/>
        <w:ind w:left="959" w:right="0" w:hanging="359"/>
        <w:jc w:val="both"/>
        <w:rPr>
          <w:sz w:val="24"/>
        </w:rPr>
      </w:pPr>
      <w:r>
        <w:rPr>
          <w:sz w:val="24"/>
        </w:rPr>
        <w:t>Authorization</w:t>
      </w:r>
      <w:r>
        <w:rPr>
          <w:spacing w:val="-3"/>
          <w:sz w:val="24"/>
        </w:rPr>
        <w:t> </w:t>
      </w:r>
      <w:r>
        <w:rPr>
          <w:spacing w:val="-4"/>
          <w:sz w:val="24"/>
        </w:rPr>
        <w:t>stage</w:t>
      </w:r>
    </w:p>
    <w:p>
      <w:pPr>
        <w:pStyle w:val="ListParagraph"/>
        <w:numPr>
          <w:ilvl w:val="0"/>
          <w:numId w:val="50"/>
        </w:numPr>
        <w:tabs>
          <w:tab w:pos="959" w:val="left" w:leader="none"/>
        </w:tabs>
        <w:spacing w:line="240" w:lineRule="auto" w:before="137" w:after="0"/>
        <w:ind w:left="959" w:right="0" w:hanging="359"/>
        <w:jc w:val="left"/>
        <w:rPr>
          <w:sz w:val="24"/>
        </w:rPr>
      </w:pPr>
      <w:r>
        <w:rPr>
          <w:sz w:val="24"/>
        </w:rPr>
        <w:t>Implementation/execution</w:t>
      </w:r>
      <w:r>
        <w:rPr>
          <w:spacing w:val="-5"/>
          <w:sz w:val="24"/>
        </w:rPr>
        <w:t> </w:t>
      </w:r>
      <w:r>
        <w:rPr>
          <w:spacing w:val="-4"/>
          <w:sz w:val="24"/>
        </w:rPr>
        <w:t>stage</w:t>
      </w:r>
    </w:p>
    <w:p>
      <w:pPr>
        <w:spacing w:after="0" w:line="240" w:lineRule="auto"/>
        <w:jc w:val="left"/>
        <w:rPr>
          <w:sz w:val="24"/>
        </w:rPr>
        <w:sectPr>
          <w:pgSz w:w="12240" w:h="15840"/>
          <w:pgMar w:header="0" w:footer="1036" w:top="1360" w:bottom="1220" w:left="1200" w:right="600"/>
        </w:sectPr>
      </w:pPr>
    </w:p>
    <w:p>
      <w:pPr>
        <w:pStyle w:val="ListParagraph"/>
        <w:numPr>
          <w:ilvl w:val="0"/>
          <w:numId w:val="50"/>
        </w:numPr>
        <w:tabs>
          <w:tab w:pos="959" w:val="left" w:leader="none"/>
        </w:tabs>
        <w:spacing w:line="240" w:lineRule="auto" w:before="74" w:after="0"/>
        <w:ind w:left="959" w:right="0" w:hanging="359"/>
        <w:jc w:val="left"/>
        <w:rPr>
          <w:sz w:val="24"/>
        </w:rPr>
      </w:pPr>
      <w:r>
        <w:rPr>
          <w:sz w:val="24"/>
        </w:rPr>
        <w:t>Monitoring,</w:t>
      </w:r>
      <w:r>
        <w:rPr>
          <w:spacing w:val="-2"/>
          <w:sz w:val="24"/>
        </w:rPr>
        <w:t> </w:t>
      </w:r>
      <w:r>
        <w:rPr>
          <w:sz w:val="24"/>
        </w:rPr>
        <w:t>evaluation</w:t>
      </w:r>
      <w:r>
        <w:rPr>
          <w:spacing w:val="-1"/>
          <w:sz w:val="24"/>
        </w:rPr>
        <w:t> </w:t>
      </w:r>
      <w:r>
        <w:rPr>
          <w:sz w:val="24"/>
        </w:rPr>
        <w:t>and</w:t>
      </w:r>
      <w:r>
        <w:rPr>
          <w:spacing w:val="-1"/>
          <w:sz w:val="24"/>
        </w:rPr>
        <w:t> </w:t>
      </w:r>
      <w:r>
        <w:rPr>
          <w:sz w:val="24"/>
        </w:rPr>
        <w:t>feed</w:t>
      </w:r>
      <w:r>
        <w:rPr>
          <w:spacing w:val="-1"/>
          <w:sz w:val="24"/>
        </w:rPr>
        <w:t> </w:t>
      </w:r>
      <w:r>
        <w:rPr>
          <w:sz w:val="24"/>
        </w:rPr>
        <w:t>back</w:t>
      </w:r>
      <w:r>
        <w:rPr>
          <w:spacing w:val="-1"/>
          <w:sz w:val="24"/>
        </w:rPr>
        <w:t> </w:t>
      </w:r>
      <w:r>
        <w:rPr>
          <w:spacing w:val="-4"/>
          <w:sz w:val="24"/>
        </w:rPr>
        <w:t>stage</w:t>
      </w:r>
    </w:p>
    <w:p>
      <w:pPr>
        <w:pStyle w:val="BodyText"/>
        <w:spacing w:before="137"/>
        <w:ind w:left="240"/>
      </w:pPr>
      <w:r>
        <w:rPr/>
        <w:t>Ugoo</w:t>
      </w:r>
      <w:r>
        <w:rPr>
          <w:spacing w:val="1"/>
        </w:rPr>
        <w:t> </w:t>
      </w:r>
      <w:r>
        <w:rPr/>
        <w:t>(2008)</w:t>
      </w:r>
      <w:r>
        <w:rPr>
          <w:spacing w:val="-1"/>
        </w:rPr>
        <w:t> </w:t>
      </w:r>
      <w:r>
        <w:rPr/>
        <w:t>represents</w:t>
      </w:r>
      <w:r>
        <w:rPr>
          <w:spacing w:val="-1"/>
        </w:rPr>
        <w:t> </w:t>
      </w:r>
      <w:r>
        <w:rPr/>
        <w:t>the</w:t>
      </w:r>
      <w:r>
        <w:rPr>
          <w:spacing w:val="-2"/>
        </w:rPr>
        <w:t> </w:t>
      </w:r>
      <w:r>
        <w:rPr/>
        <w:t>annual</w:t>
      </w:r>
      <w:r>
        <w:rPr>
          <w:spacing w:val="-1"/>
        </w:rPr>
        <w:t> </w:t>
      </w:r>
      <w:r>
        <w:rPr/>
        <w:t>budget</w:t>
      </w:r>
      <w:r>
        <w:rPr>
          <w:spacing w:val="1"/>
        </w:rPr>
        <w:t> </w:t>
      </w:r>
      <w:r>
        <w:rPr/>
        <w:t>cycle pictorially</w:t>
      </w:r>
      <w:r>
        <w:rPr>
          <w:spacing w:val="-4"/>
        </w:rPr>
        <w:t> </w:t>
      </w:r>
      <w:r>
        <w:rPr/>
        <w:t>as</w:t>
      </w:r>
      <w:r>
        <w:rPr>
          <w:spacing w:val="-1"/>
        </w:rPr>
        <w:t> </w:t>
      </w:r>
      <w:r>
        <w:rPr/>
        <w:t>shown</w:t>
      </w:r>
      <w:r>
        <w:rPr>
          <w:spacing w:val="-1"/>
        </w:rPr>
        <w:t> </w:t>
      </w:r>
      <w:r>
        <w:rPr/>
        <w:t>in</w:t>
      </w:r>
      <w:r>
        <w:rPr>
          <w:spacing w:val="-1"/>
        </w:rPr>
        <w:t> </w:t>
      </w:r>
      <w:r>
        <w:rPr/>
        <w:t>figure</w:t>
      </w:r>
      <w:r>
        <w:rPr>
          <w:spacing w:val="2"/>
        </w:rPr>
        <w:t> </w:t>
      </w:r>
      <w:r>
        <w:rPr>
          <w:spacing w:val="-4"/>
        </w:rPr>
        <w:t>3.2.</w:t>
      </w:r>
    </w:p>
    <w:p>
      <w:pPr>
        <w:pStyle w:val="BodyText"/>
        <w:spacing w:before="225"/>
        <w:rPr>
          <w:sz w:val="20"/>
        </w:rPr>
      </w:pPr>
      <w:r>
        <w:rPr/>
        <mc:AlternateContent>
          <mc:Choice Requires="wps">
            <w:drawing>
              <wp:anchor distT="0" distB="0" distL="0" distR="0" allowOverlap="1" layoutInCell="1" locked="0" behindDoc="1" simplePos="0" relativeHeight="487592448">
                <wp:simplePos x="0" y="0"/>
                <wp:positionH relativeFrom="page">
                  <wp:posOffset>854075</wp:posOffset>
                </wp:positionH>
                <wp:positionV relativeFrom="paragraph">
                  <wp:posOffset>304194</wp:posOffset>
                </wp:positionV>
                <wp:extent cx="5420995" cy="2379980"/>
                <wp:effectExtent l="0" t="0" r="0" b="0"/>
                <wp:wrapTopAndBottom/>
                <wp:docPr id="106" name="Group 106"/>
                <wp:cNvGraphicFramePr>
                  <a:graphicFrameLocks/>
                </wp:cNvGraphicFramePr>
                <a:graphic>
                  <a:graphicData uri="http://schemas.microsoft.com/office/word/2010/wordprocessingGroup">
                    <wpg:wgp>
                      <wpg:cNvPr id="106" name="Group 106"/>
                      <wpg:cNvGrpSpPr/>
                      <wpg:grpSpPr>
                        <a:xfrm>
                          <a:off x="0" y="0"/>
                          <a:ext cx="5420995" cy="2379980"/>
                          <a:chExt cx="5420995" cy="2379980"/>
                        </a:xfrm>
                      </wpg:grpSpPr>
                      <wps:wsp>
                        <wps:cNvPr id="107" name="Graphic 107"/>
                        <wps:cNvSpPr/>
                        <wps:spPr>
                          <a:xfrm>
                            <a:off x="1949450" y="25399"/>
                            <a:ext cx="1638300" cy="429259"/>
                          </a:xfrm>
                          <a:custGeom>
                            <a:avLst/>
                            <a:gdLst/>
                            <a:ahLst/>
                            <a:cxnLst/>
                            <a:rect l="l" t="t" r="r" b="b"/>
                            <a:pathLst>
                              <a:path w="1638300" h="429259">
                                <a:moveTo>
                                  <a:pt x="1638300" y="0"/>
                                </a:moveTo>
                                <a:lnTo>
                                  <a:pt x="1606550" y="0"/>
                                </a:lnTo>
                                <a:lnTo>
                                  <a:pt x="1606550" y="19050"/>
                                </a:lnTo>
                                <a:lnTo>
                                  <a:pt x="1619250" y="19050"/>
                                </a:lnTo>
                                <a:lnTo>
                                  <a:pt x="1619250" y="38100"/>
                                </a:lnTo>
                                <a:lnTo>
                                  <a:pt x="1619250" y="390525"/>
                                </a:lnTo>
                                <a:lnTo>
                                  <a:pt x="1619250" y="391160"/>
                                </a:lnTo>
                                <a:lnTo>
                                  <a:pt x="38100" y="391160"/>
                                </a:lnTo>
                                <a:lnTo>
                                  <a:pt x="38100" y="390525"/>
                                </a:lnTo>
                                <a:lnTo>
                                  <a:pt x="1600200" y="390525"/>
                                </a:lnTo>
                                <a:lnTo>
                                  <a:pt x="1619250" y="390525"/>
                                </a:lnTo>
                                <a:lnTo>
                                  <a:pt x="1619250" y="38100"/>
                                </a:lnTo>
                                <a:lnTo>
                                  <a:pt x="1600200" y="38100"/>
                                </a:lnTo>
                                <a:lnTo>
                                  <a:pt x="1600200" y="384175"/>
                                </a:lnTo>
                                <a:lnTo>
                                  <a:pt x="38100" y="384175"/>
                                </a:lnTo>
                                <a:lnTo>
                                  <a:pt x="19050" y="384175"/>
                                </a:lnTo>
                                <a:lnTo>
                                  <a:pt x="19050" y="19050"/>
                                </a:lnTo>
                                <a:lnTo>
                                  <a:pt x="6350" y="19050"/>
                                </a:lnTo>
                                <a:lnTo>
                                  <a:pt x="6350" y="0"/>
                                </a:lnTo>
                                <a:lnTo>
                                  <a:pt x="0" y="0"/>
                                </a:lnTo>
                                <a:lnTo>
                                  <a:pt x="0" y="19050"/>
                                </a:lnTo>
                                <a:lnTo>
                                  <a:pt x="0" y="410210"/>
                                </a:lnTo>
                                <a:lnTo>
                                  <a:pt x="0" y="429260"/>
                                </a:lnTo>
                                <a:lnTo>
                                  <a:pt x="1638300" y="429260"/>
                                </a:lnTo>
                                <a:lnTo>
                                  <a:pt x="1638300" y="410210"/>
                                </a:lnTo>
                                <a:lnTo>
                                  <a:pt x="1619250" y="410210"/>
                                </a:lnTo>
                                <a:lnTo>
                                  <a:pt x="1619250" y="409575"/>
                                </a:lnTo>
                                <a:lnTo>
                                  <a:pt x="1638300" y="409575"/>
                                </a:lnTo>
                                <a:lnTo>
                                  <a:pt x="1638300" y="19050"/>
                                </a:lnTo>
                                <a:lnTo>
                                  <a:pt x="1638300" y="0"/>
                                </a:lnTo>
                                <a:close/>
                              </a:path>
                            </a:pathLst>
                          </a:custGeom>
                          <a:solidFill>
                            <a:srgbClr val="7E7E7E">
                              <a:alpha val="50195"/>
                            </a:srgbClr>
                          </a:solidFill>
                        </wps:spPr>
                        <wps:bodyPr wrap="square" lIns="0" tIns="0" rIns="0" bIns="0" rtlCol="0">
                          <a:prstTxWarp prst="textNoShape">
                            <a:avLst/>
                          </a:prstTxWarp>
                          <a:noAutofit/>
                        </wps:bodyPr>
                      </wps:wsp>
                      <wps:wsp>
                        <wps:cNvPr id="108" name="Graphic 108"/>
                        <wps:cNvSpPr/>
                        <wps:spPr>
                          <a:xfrm>
                            <a:off x="1955800" y="19050"/>
                            <a:ext cx="1600200" cy="390525"/>
                          </a:xfrm>
                          <a:custGeom>
                            <a:avLst/>
                            <a:gdLst/>
                            <a:ahLst/>
                            <a:cxnLst/>
                            <a:rect l="l" t="t" r="r" b="b"/>
                            <a:pathLst>
                              <a:path w="1600200" h="390525">
                                <a:moveTo>
                                  <a:pt x="1600200" y="0"/>
                                </a:moveTo>
                                <a:lnTo>
                                  <a:pt x="0" y="0"/>
                                </a:lnTo>
                                <a:lnTo>
                                  <a:pt x="0" y="390525"/>
                                </a:lnTo>
                                <a:lnTo>
                                  <a:pt x="1600200" y="390525"/>
                                </a:lnTo>
                                <a:lnTo>
                                  <a:pt x="1600200" y="0"/>
                                </a:lnTo>
                                <a:close/>
                              </a:path>
                            </a:pathLst>
                          </a:custGeom>
                          <a:solidFill>
                            <a:srgbClr val="000000"/>
                          </a:solidFill>
                        </wps:spPr>
                        <wps:bodyPr wrap="square" lIns="0" tIns="0" rIns="0" bIns="0" rtlCol="0">
                          <a:prstTxWarp prst="textNoShape">
                            <a:avLst/>
                          </a:prstTxWarp>
                          <a:noAutofit/>
                        </wps:bodyPr>
                      </wps:wsp>
                      <wps:wsp>
                        <wps:cNvPr id="109" name="Graphic 109"/>
                        <wps:cNvSpPr/>
                        <wps:spPr>
                          <a:xfrm>
                            <a:off x="1955800" y="19050"/>
                            <a:ext cx="1600200" cy="390525"/>
                          </a:xfrm>
                          <a:custGeom>
                            <a:avLst/>
                            <a:gdLst/>
                            <a:ahLst/>
                            <a:cxnLst/>
                            <a:rect l="l" t="t" r="r" b="b"/>
                            <a:pathLst>
                              <a:path w="1600200" h="390525">
                                <a:moveTo>
                                  <a:pt x="0" y="390525"/>
                                </a:moveTo>
                                <a:lnTo>
                                  <a:pt x="1600200" y="390525"/>
                                </a:lnTo>
                                <a:lnTo>
                                  <a:pt x="1600200" y="0"/>
                                </a:lnTo>
                                <a:lnTo>
                                  <a:pt x="0" y="0"/>
                                </a:lnTo>
                                <a:lnTo>
                                  <a:pt x="0" y="390525"/>
                                </a:lnTo>
                                <a:close/>
                              </a:path>
                            </a:pathLst>
                          </a:custGeom>
                          <a:ln w="38100">
                            <a:solidFill>
                              <a:srgbClr val="F1F1F1"/>
                            </a:solidFill>
                            <a:prstDash val="solid"/>
                          </a:ln>
                        </wps:spPr>
                        <wps:bodyPr wrap="square" lIns="0" tIns="0" rIns="0" bIns="0" rtlCol="0">
                          <a:prstTxWarp prst="textNoShape">
                            <a:avLst/>
                          </a:prstTxWarp>
                          <a:noAutofit/>
                        </wps:bodyPr>
                      </wps:wsp>
                      <wps:wsp>
                        <wps:cNvPr id="110" name="Graphic 110"/>
                        <wps:cNvSpPr/>
                        <wps:spPr>
                          <a:xfrm>
                            <a:off x="12700" y="910589"/>
                            <a:ext cx="1638300" cy="400050"/>
                          </a:xfrm>
                          <a:custGeom>
                            <a:avLst/>
                            <a:gdLst/>
                            <a:ahLst/>
                            <a:cxnLst/>
                            <a:rect l="l" t="t" r="r" b="b"/>
                            <a:pathLst>
                              <a:path w="1638300" h="400050">
                                <a:moveTo>
                                  <a:pt x="1638300" y="0"/>
                                </a:moveTo>
                                <a:lnTo>
                                  <a:pt x="1606550" y="0"/>
                                </a:lnTo>
                                <a:lnTo>
                                  <a:pt x="1606550" y="19050"/>
                                </a:lnTo>
                                <a:lnTo>
                                  <a:pt x="1619250" y="19050"/>
                                </a:lnTo>
                                <a:lnTo>
                                  <a:pt x="1619250" y="37465"/>
                                </a:lnTo>
                                <a:lnTo>
                                  <a:pt x="1619250" y="361315"/>
                                </a:lnTo>
                                <a:lnTo>
                                  <a:pt x="1619250" y="361950"/>
                                </a:lnTo>
                                <a:lnTo>
                                  <a:pt x="38100" y="361950"/>
                                </a:lnTo>
                                <a:lnTo>
                                  <a:pt x="38100" y="361315"/>
                                </a:lnTo>
                                <a:lnTo>
                                  <a:pt x="1600200" y="361315"/>
                                </a:lnTo>
                                <a:lnTo>
                                  <a:pt x="1619250" y="361315"/>
                                </a:lnTo>
                                <a:lnTo>
                                  <a:pt x="1619250" y="37465"/>
                                </a:lnTo>
                                <a:lnTo>
                                  <a:pt x="1600200" y="37465"/>
                                </a:lnTo>
                                <a:lnTo>
                                  <a:pt x="1600200" y="354965"/>
                                </a:lnTo>
                                <a:lnTo>
                                  <a:pt x="38100" y="354965"/>
                                </a:lnTo>
                                <a:lnTo>
                                  <a:pt x="19050" y="354965"/>
                                </a:lnTo>
                                <a:lnTo>
                                  <a:pt x="19050" y="19050"/>
                                </a:lnTo>
                                <a:lnTo>
                                  <a:pt x="6350" y="19050"/>
                                </a:lnTo>
                                <a:lnTo>
                                  <a:pt x="6350" y="0"/>
                                </a:lnTo>
                                <a:lnTo>
                                  <a:pt x="0" y="0"/>
                                </a:lnTo>
                                <a:lnTo>
                                  <a:pt x="0" y="19050"/>
                                </a:lnTo>
                                <a:lnTo>
                                  <a:pt x="0" y="381000"/>
                                </a:lnTo>
                                <a:lnTo>
                                  <a:pt x="0" y="400050"/>
                                </a:lnTo>
                                <a:lnTo>
                                  <a:pt x="1638300" y="400050"/>
                                </a:lnTo>
                                <a:lnTo>
                                  <a:pt x="1638300" y="381000"/>
                                </a:lnTo>
                                <a:lnTo>
                                  <a:pt x="1619250" y="381000"/>
                                </a:lnTo>
                                <a:lnTo>
                                  <a:pt x="1619250" y="380365"/>
                                </a:lnTo>
                                <a:lnTo>
                                  <a:pt x="1638300" y="380365"/>
                                </a:lnTo>
                                <a:lnTo>
                                  <a:pt x="1638300" y="19050"/>
                                </a:lnTo>
                                <a:lnTo>
                                  <a:pt x="1638300" y="18415"/>
                                </a:lnTo>
                                <a:lnTo>
                                  <a:pt x="1638300" y="0"/>
                                </a:lnTo>
                                <a:close/>
                              </a:path>
                            </a:pathLst>
                          </a:custGeom>
                          <a:solidFill>
                            <a:srgbClr val="7E7E7E">
                              <a:alpha val="50195"/>
                            </a:srgbClr>
                          </a:solidFill>
                        </wps:spPr>
                        <wps:bodyPr wrap="square" lIns="0" tIns="0" rIns="0" bIns="0" rtlCol="0">
                          <a:prstTxWarp prst="textNoShape">
                            <a:avLst/>
                          </a:prstTxWarp>
                          <a:noAutofit/>
                        </wps:bodyPr>
                      </wps:wsp>
                      <wps:wsp>
                        <wps:cNvPr id="111" name="Graphic 111"/>
                        <wps:cNvSpPr/>
                        <wps:spPr>
                          <a:xfrm>
                            <a:off x="19050" y="903605"/>
                            <a:ext cx="1600200" cy="361950"/>
                          </a:xfrm>
                          <a:custGeom>
                            <a:avLst/>
                            <a:gdLst/>
                            <a:ahLst/>
                            <a:cxnLst/>
                            <a:rect l="l" t="t" r="r" b="b"/>
                            <a:pathLst>
                              <a:path w="1600200" h="361950">
                                <a:moveTo>
                                  <a:pt x="1600200" y="0"/>
                                </a:moveTo>
                                <a:lnTo>
                                  <a:pt x="0" y="0"/>
                                </a:lnTo>
                                <a:lnTo>
                                  <a:pt x="0" y="361950"/>
                                </a:lnTo>
                                <a:lnTo>
                                  <a:pt x="1600200" y="361950"/>
                                </a:lnTo>
                                <a:lnTo>
                                  <a:pt x="1600200" y="0"/>
                                </a:lnTo>
                                <a:close/>
                              </a:path>
                            </a:pathLst>
                          </a:custGeom>
                          <a:solidFill>
                            <a:srgbClr val="000000"/>
                          </a:solidFill>
                        </wps:spPr>
                        <wps:bodyPr wrap="square" lIns="0" tIns="0" rIns="0" bIns="0" rtlCol="0">
                          <a:prstTxWarp prst="textNoShape">
                            <a:avLst/>
                          </a:prstTxWarp>
                          <a:noAutofit/>
                        </wps:bodyPr>
                      </wps:wsp>
                      <wps:wsp>
                        <wps:cNvPr id="112" name="Graphic 112"/>
                        <wps:cNvSpPr/>
                        <wps:spPr>
                          <a:xfrm>
                            <a:off x="19050" y="903605"/>
                            <a:ext cx="1600200" cy="361950"/>
                          </a:xfrm>
                          <a:custGeom>
                            <a:avLst/>
                            <a:gdLst/>
                            <a:ahLst/>
                            <a:cxnLst/>
                            <a:rect l="l" t="t" r="r" b="b"/>
                            <a:pathLst>
                              <a:path w="1600200" h="361950">
                                <a:moveTo>
                                  <a:pt x="0" y="361950"/>
                                </a:moveTo>
                                <a:lnTo>
                                  <a:pt x="1600200" y="361950"/>
                                </a:lnTo>
                                <a:lnTo>
                                  <a:pt x="1600200" y="0"/>
                                </a:lnTo>
                                <a:lnTo>
                                  <a:pt x="0" y="0"/>
                                </a:lnTo>
                                <a:lnTo>
                                  <a:pt x="0" y="361950"/>
                                </a:lnTo>
                                <a:close/>
                              </a:path>
                            </a:pathLst>
                          </a:custGeom>
                          <a:ln w="38100">
                            <a:solidFill>
                              <a:srgbClr val="F1F1F1"/>
                            </a:solidFill>
                            <a:prstDash val="solid"/>
                          </a:ln>
                        </wps:spPr>
                        <wps:bodyPr wrap="square" lIns="0" tIns="0" rIns="0" bIns="0" rtlCol="0">
                          <a:prstTxWarp prst="textNoShape">
                            <a:avLst/>
                          </a:prstTxWarp>
                          <a:noAutofit/>
                        </wps:bodyPr>
                      </wps:wsp>
                      <wps:wsp>
                        <wps:cNvPr id="113" name="Graphic 113"/>
                        <wps:cNvSpPr/>
                        <wps:spPr>
                          <a:xfrm>
                            <a:off x="1924685" y="1979929"/>
                            <a:ext cx="1638300" cy="400050"/>
                          </a:xfrm>
                          <a:custGeom>
                            <a:avLst/>
                            <a:gdLst/>
                            <a:ahLst/>
                            <a:cxnLst/>
                            <a:rect l="l" t="t" r="r" b="b"/>
                            <a:pathLst>
                              <a:path w="1638300" h="400050">
                                <a:moveTo>
                                  <a:pt x="1638300" y="0"/>
                                </a:moveTo>
                                <a:lnTo>
                                  <a:pt x="1606550" y="0"/>
                                </a:lnTo>
                                <a:lnTo>
                                  <a:pt x="1606550" y="19050"/>
                                </a:lnTo>
                                <a:lnTo>
                                  <a:pt x="1619250" y="19050"/>
                                </a:lnTo>
                                <a:lnTo>
                                  <a:pt x="1619250" y="38100"/>
                                </a:lnTo>
                                <a:lnTo>
                                  <a:pt x="1600200" y="38100"/>
                                </a:lnTo>
                                <a:lnTo>
                                  <a:pt x="1600200" y="355600"/>
                                </a:lnTo>
                                <a:lnTo>
                                  <a:pt x="38100" y="355600"/>
                                </a:lnTo>
                                <a:lnTo>
                                  <a:pt x="19050" y="355600"/>
                                </a:lnTo>
                                <a:lnTo>
                                  <a:pt x="19050" y="19050"/>
                                </a:lnTo>
                                <a:lnTo>
                                  <a:pt x="6350" y="19050"/>
                                </a:lnTo>
                                <a:lnTo>
                                  <a:pt x="6350" y="0"/>
                                </a:lnTo>
                                <a:lnTo>
                                  <a:pt x="0" y="0"/>
                                </a:lnTo>
                                <a:lnTo>
                                  <a:pt x="0" y="19050"/>
                                </a:lnTo>
                                <a:lnTo>
                                  <a:pt x="0" y="381000"/>
                                </a:lnTo>
                                <a:lnTo>
                                  <a:pt x="0" y="400050"/>
                                </a:lnTo>
                                <a:lnTo>
                                  <a:pt x="1638300" y="400050"/>
                                </a:lnTo>
                                <a:lnTo>
                                  <a:pt x="1638300" y="381000"/>
                                </a:lnTo>
                                <a:lnTo>
                                  <a:pt x="1638300" y="19050"/>
                                </a:lnTo>
                                <a:lnTo>
                                  <a:pt x="1638300" y="0"/>
                                </a:lnTo>
                                <a:close/>
                              </a:path>
                            </a:pathLst>
                          </a:custGeom>
                          <a:solidFill>
                            <a:srgbClr val="7E7E7E">
                              <a:alpha val="50195"/>
                            </a:srgbClr>
                          </a:solidFill>
                        </wps:spPr>
                        <wps:bodyPr wrap="square" lIns="0" tIns="0" rIns="0" bIns="0" rtlCol="0">
                          <a:prstTxWarp prst="textNoShape">
                            <a:avLst/>
                          </a:prstTxWarp>
                          <a:noAutofit/>
                        </wps:bodyPr>
                      </wps:wsp>
                      <wps:wsp>
                        <wps:cNvPr id="114" name="Graphic 114"/>
                        <wps:cNvSpPr/>
                        <wps:spPr>
                          <a:xfrm>
                            <a:off x="1931035" y="1973579"/>
                            <a:ext cx="1600200" cy="361950"/>
                          </a:xfrm>
                          <a:custGeom>
                            <a:avLst/>
                            <a:gdLst/>
                            <a:ahLst/>
                            <a:cxnLst/>
                            <a:rect l="l" t="t" r="r" b="b"/>
                            <a:pathLst>
                              <a:path w="1600200" h="361950">
                                <a:moveTo>
                                  <a:pt x="1600200" y="0"/>
                                </a:moveTo>
                                <a:lnTo>
                                  <a:pt x="0" y="0"/>
                                </a:lnTo>
                                <a:lnTo>
                                  <a:pt x="0" y="361950"/>
                                </a:lnTo>
                                <a:lnTo>
                                  <a:pt x="1600200" y="361950"/>
                                </a:lnTo>
                                <a:lnTo>
                                  <a:pt x="1600200" y="0"/>
                                </a:lnTo>
                                <a:close/>
                              </a:path>
                            </a:pathLst>
                          </a:custGeom>
                          <a:solidFill>
                            <a:srgbClr val="000000"/>
                          </a:solidFill>
                        </wps:spPr>
                        <wps:bodyPr wrap="square" lIns="0" tIns="0" rIns="0" bIns="0" rtlCol="0">
                          <a:prstTxWarp prst="textNoShape">
                            <a:avLst/>
                          </a:prstTxWarp>
                          <a:noAutofit/>
                        </wps:bodyPr>
                      </wps:wsp>
                      <wps:wsp>
                        <wps:cNvPr id="115" name="Graphic 115"/>
                        <wps:cNvSpPr/>
                        <wps:spPr>
                          <a:xfrm>
                            <a:off x="1931035" y="1973579"/>
                            <a:ext cx="1600200" cy="361950"/>
                          </a:xfrm>
                          <a:custGeom>
                            <a:avLst/>
                            <a:gdLst/>
                            <a:ahLst/>
                            <a:cxnLst/>
                            <a:rect l="l" t="t" r="r" b="b"/>
                            <a:pathLst>
                              <a:path w="1600200" h="361950">
                                <a:moveTo>
                                  <a:pt x="0" y="361950"/>
                                </a:moveTo>
                                <a:lnTo>
                                  <a:pt x="1600200" y="361950"/>
                                </a:lnTo>
                                <a:lnTo>
                                  <a:pt x="1600200" y="0"/>
                                </a:lnTo>
                                <a:lnTo>
                                  <a:pt x="0" y="0"/>
                                </a:lnTo>
                                <a:lnTo>
                                  <a:pt x="0" y="361950"/>
                                </a:lnTo>
                                <a:close/>
                              </a:path>
                            </a:pathLst>
                          </a:custGeom>
                          <a:ln w="38100">
                            <a:solidFill>
                              <a:srgbClr val="F1F1F1"/>
                            </a:solidFill>
                            <a:prstDash val="solid"/>
                          </a:ln>
                        </wps:spPr>
                        <wps:bodyPr wrap="square" lIns="0" tIns="0" rIns="0" bIns="0" rtlCol="0">
                          <a:prstTxWarp prst="textNoShape">
                            <a:avLst/>
                          </a:prstTxWarp>
                          <a:noAutofit/>
                        </wps:bodyPr>
                      </wps:wsp>
                      <wps:wsp>
                        <wps:cNvPr id="116" name="Graphic 116"/>
                        <wps:cNvSpPr/>
                        <wps:spPr>
                          <a:xfrm>
                            <a:off x="4097020" y="910589"/>
                            <a:ext cx="1323975" cy="495300"/>
                          </a:xfrm>
                          <a:custGeom>
                            <a:avLst/>
                            <a:gdLst/>
                            <a:ahLst/>
                            <a:cxnLst/>
                            <a:rect l="l" t="t" r="r" b="b"/>
                            <a:pathLst>
                              <a:path w="1323975" h="495300">
                                <a:moveTo>
                                  <a:pt x="1323975" y="0"/>
                                </a:moveTo>
                                <a:lnTo>
                                  <a:pt x="1292225" y="0"/>
                                </a:lnTo>
                                <a:lnTo>
                                  <a:pt x="1292225" y="19050"/>
                                </a:lnTo>
                                <a:lnTo>
                                  <a:pt x="1304925" y="19050"/>
                                </a:lnTo>
                                <a:lnTo>
                                  <a:pt x="1304925" y="37465"/>
                                </a:lnTo>
                                <a:lnTo>
                                  <a:pt x="1304925" y="456565"/>
                                </a:lnTo>
                                <a:lnTo>
                                  <a:pt x="1304925" y="457200"/>
                                </a:lnTo>
                                <a:lnTo>
                                  <a:pt x="38100" y="457200"/>
                                </a:lnTo>
                                <a:lnTo>
                                  <a:pt x="38100" y="456565"/>
                                </a:lnTo>
                                <a:lnTo>
                                  <a:pt x="1285875" y="456565"/>
                                </a:lnTo>
                                <a:lnTo>
                                  <a:pt x="1304925" y="456565"/>
                                </a:lnTo>
                                <a:lnTo>
                                  <a:pt x="1304925" y="37465"/>
                                </a:lnTo>
                                <a:lnTo>
                                  <a:pt x="1285875" y="37465"/>
                                </a:lnTo>
                                <a:lnTo>
                                  <a:pt x="1285875" y="450215"/>
                                </a:lnTo>
                                <a:lnTo>
                                  <a:pt x="38100" y="450215"/>
                                </a:lnTo>
                                <a:lnTo>
                                  <a:pt x="19050" y="450215"/>
                                </a:lnTo>
                                <a:lnTo>
                                  <a:pt x="19050" y="19050"/>
                                </a:lnTo>
                                <a:lnTo>
                                  <a:pt x="6350" y="19050"/>
                                </a:lnTo>
                                <a:lnTo>
                                  <a:pt x="6350" y="0"/>
                                </a:lnTo>
                                <a:lnTo>
                                  <a:pt x="0" y="0"/>
                                </a:lnTo>
                                <a:lnTo>
                                  <a:pt x="0" y="19050"/>
                                </a:lnTo>
                                <a:lnTo>
                                  <a:pt x="0" y="476250"/>
                                </a:lnTo>
                                <a:lnTo>
                                  <a:pt x="0" y="495300"/>
                                </a:lnTo>
                                <a:lnTo>
                                  <a:pt x="1323975" y="495300"/>
                                </a:lnTo>
                                <a:lnTo>
                                  <a:pt x="1323975" y="476250"/>
                                </a:lnTo>
                                <a:lnTo>
                                  <a:pt x="1304925" y="476250"/>
                                </a:lnTo>
                                <a:lnTo>
                                  <a:pt x="1304925" y="475615"/>
                                </a:lnTo>
                                <a:lnTo>
                                  <a:pt x="1323975" y="475615"/>
                                </a:lnTo>
                                <a:lnTo>
                                  <a:pt x="1323975" y="19050"/>
                                </a:lnTo>
                                <a:lnTo>
                                  <a:pt x="1323975" y="18415"/>
                                </a:lnTo>
                                <a:lnTo>
                                  <a:pt x="1323975" y="0"/>
                                </a:lnTo>
                                <a:close/>
                              </a:path>
                            </a:pathLst>
                          </a:custGeom>
                          <a:solidFill>
                            <a:srgbClr val="7E7E7E">
                              <a:alpha val="50195"/>
                            </a:srgbClr>
                          </a:solidFill>
                        </wps:spPr>
                        <wps:bodyPr wrap="square" lIns="0" tIns="0" rIns="0" bIns="0" rtlCol="0">
                          <a:prstTxWarp prst="textNoShape">
                            <a:avLst/>
                          </a:prstTxWarp>
                          <a:noAutofit/>
                        </wps:bodyPr>
                      </wps:wsp>
                      <wps:wsp>
                        <wps:cNvPr id="117" name="Graphic 117"/>
                        <wps:cNvSpPr/>
                        <wps:spPr>
                          <a:xfrm>
                            <a:off x="4103370" y="903605"/>
                            <a:ext cx="1285875" cy="457200"/>
                          </a:xfrm>
                          <a:custGeom>
                            <a:avLst/>
                            <a:gdLst/>
                            <a:ahLst/>
                            <a:cxnLst/>
                            <a:rect l="l" t="t" r="r" b="b"/>
                            <a:pathLst>
                              <a:path w="1285875" h="457200">
                                <a:moveTo>
                                  <a:pt x="1285875" y="0"/>
                                </a:moveTo>
                                <a:lnTo>
                                  <a:pt x="0" y="0"/>
                                </a:lnTo>
                                <a:lnTo>
                                  <a:pt x="0" y="457200"/>
                                </a:lnTo>
                                <a:lnTo>
                                  <a:pt x="1285875" y="457200"/>
                                </a:lnTo>
                                <a:lnTo>
                                  <a:pt x="1285875" y="0"/>
                                </a:lnTo>
                                <a:close/>
                              </a:path>
                            </a:pathLst>
                          </a:custGeom>
                          <a:solidFill>
                            <a:srgbClr val="000000"/>
                          </a:solidFill>
                        </wps:spPr>
                        <wps:bodyPr wrap="square" lIns="0" tIns="0" rIns="0" bIns="0" rtlCol="0">
                          <a:prstTxWarp prst="textNoShape">
                            <a:avLst/>
                          </a:prstTxWarp>
                          <a:noAutofit/>
                        </wps:bodyPr>
                      </wps:wsp>
                      <wps:wsp>
                        <wps:cNvPr id="118" name="Graphic 118"/>
                        <wps:cNvSpPr/>
                        <wps:spPr>
                          <a:xfrm>
                            <a:off x="4103370" y="903605"/>
                            <a:ext cx="1285875" cy="457200"/>
                          </a:xfrm>
                          <a:custGeom>
                            <a:avLst/>
                            <a:gdLst/>
                            <a:ahLst/>
                            <a:cxnLst/>
                            <a:rect l="l" t="t" r="r" b="b"/>
                            <a:pathLst>
                              <a:path w="1285875" h="457200">
                                <a:moveTo>
                                  <a:pt x="0" y="457200"/>
                                </a:moveTo>
                                <a:lnTo>
                                  <a:pt x="1285875" y="457200"/>
                                </a:lnTo>
                                <a:lnTo>
                                  <a:pt x="1285875" y="0"/>
                                </a:lnTo>
                                <a:lnTo>
                                  <a:pt x="0" y="0"/>
                                </a:lnTo>
                                <a:lnTo>
                                  <a:pt x="0" y="457200"/>
                                </a:lnTo>
                                <a:close/>
                              </a:path>
                            </a:pathLst>
                          </a:custGeom>
                          <a:ln w="38100">
                            <a:solidFill>
                              <a:srgbClr val="F1F1F1"/>
                            </a:solidFill>
                            <a:prstDash val="solid"/>
                          </a:ln>
                        </wps:spPr>
                        <wps:bodyPr wrap="square" lIns="0" tIns="0" rIns="0" bIns="0" rtlCol="0">
                          <a:prstTxWarp prst="textNoShape">
                            <a:avLst/>
                          </a:prstTxWarp>
                          <a:noAutofit/>
                        </wps:bodyPr>
                      </wps:wsp>
                      <wps:wsp>
                        <wps:cNvPr id="119" name="Graphic 119"/>
                        <wps:cNvSpPr/>
                        <wps:spPr>
                          <a:xfrm>
                            <a:off x="694817" y="163829"/>
                            <a:ext cx="4004945" cy="1995170"/>
                          </a:xfrm>
                          <a:custGeom>
                            <a:avLst/>
                            <a:gdLst/>
                            <a:ahLst/>
                            <a:cxnLst/>
                            <a:rect l="l" t="t" r="r" b="b"/>
                            <a:pathLst>
                              <a:path w="4004945" h="1995170">
                                <a:moveTo>
                                  <a:pt x="1236472" y="1969897"/>
                                </a:moveTo>
                                <a:lnTo>
                                  <a:pt x="176364" y="1148156"/>
                                </a:lnTo>
                                <a:lnTo>
                                  <a:pt x="183908" y="1138428"/>
                                </a:lnTo>
                                <a:lnTo>
                                  <a:pt x="195834" y="1123061"/>
                                </a:lnTo>
                                <a:lnTo>
                                  <a:pt x="91313" y="1102360"/>
                                </a:lnTo>
                                <a:lnTo>
                                  <a:pt x="137414" y="1198372"/>
                                </a:lnTo>
                                <a:lnTo>
                                  <a:pt x="156845" y="1173327"/>
                                </a:lnTo>
                                <a:lnTo>
                                  <a:pt x="1216914" y="1995043"/>
                                </a:lnTo>
                                <a:lnTo>
                                  <a:pt x="1236472" y="1969897"/>
                                </a:lnTo>
                                <a:close/>
                              </a:path>
                              <a:path w="4004945" h="1995170">
                                <a:moveTo>
                                  <a:pt x="1260983" y="73660"/>
                                </a:moveTo>
                                <a:lnTo>
                                  <a:pt x="1154557" y="76327"/>
                                </a:lnTo>
                                <a:lnTo>
                                  <a:pt x="1169428" y="104317"/>
                                </a:lnTo>
                                <a:lnTo>
                                  <a:pt x="0" y="725805"/>
                                </a:lnTo>
                                <a:lnTo>
                                  <a:pt x="14986" y="753745"/>
                                </a:lnTo>
                                <a:lnTo>
                                  <a:pt x="1184363" y="132410"/>
                                </a:lnTo>
                                <a:lnTo>
                                  <a:pt x="1199261" y="160401"/>
                                </a:lnTo>
                                <a:lnTo>
                                  <a:pt x="1244434" y="96901"/>
                                </a:lnTo>
                                <a:lnTo>
                                  <a:pt x="1260983" y="73660"/>
                                </a:lnTo>
                                <a:close/>
                              </a:path>
                              <a:path w="4004945" h="1995170">
                                <a:moveTo>
                                  <a:pt x="3995928" y="739775"/>
                                </a:moveTo>
                                <a:lnTo>
                                  <a:pt x="3978364" y="710311"/>
                                </a:lnTo>
                                <a:lnTo>
                                  <a:pt x="3941445" y="648335"/>
                                </a:lnTo>
                                <a:lnTo>
                                  <a:pt x="3924262" y="675093"/>
                                </a:lnTo>
                                <a:lnTo>
                                  <a:pt x="2869692" y="0"/>
                                </a:lnTo>
                                <a:lnTo>
                                  <a:pt x="2852674" y="26670"/>
                                </a:lnTo>
                                <a:lnTo>
                                  <a:pt x="3907142" y="701776"/>
                                </a:lnTo>
                                <a:lnTo>
                                  <a:pt x="3890010" y="728472"/>
                                </a:lnTo>
                                <a:lnTo>
                                  <a:pt x="3995928" y="739775"/>
                                </a:lnTo>
                                <a:close/>
                              </a:path>
                              <a:path w="4004945" h="1995170">
                                <a:moveTo>
                                  <a:pt x="4004945" y="1210691"/>
                                </a:moveTo>
                                <a:lnTo>
                                  <a:pt x="3986911" y="1184529"/>
                                </a:lnTo>
                                <a:lnTo>
                                  <a:pt x="2930525" y="1915261"/>
                                </a:lnTo>
                                <a:lnTo>
                                  <a:pt x="2912491" y="1889125"/>
                                </a:lnTo>
                                <a:lnTo>
                                  <a:pt x="2861183" y="1982470"/>
                                </a:lnTo>
                                <a:lnTo>
                                  <a:pt x="2966593" y="1967484"/>
                                </a:lnTo>
                                <a:lnTo>
                                  <a:pt x="2954744" y="1950339"/>
                                </a:lnTo>
                                <a:lnTo>
                                  <a:pt x="2948521" y="1941322"/>
                                </a:lnTo>
                                <a:lnTo>
                                  <a:pt x="4004945" y="1210691"/>
                                </a:lnTo>
                                <a:close/>
                              </a:path>
                            </a:pathLst>
                          </a:custGeom>
                          <a:solidFill>
                            <a:srgbClr val="000000"/>
                          </a:solidFill>
                        </wps:spPr>
                        <wps:bodyPr wrap="square" lIns="0" tIns="0" rIns="0" bIns="0" rtlCol="0">
                          <a:prstTxWarp prst="textNoShape">
                            <a:avLst/>
                          </a:prstTxWarp>
                          <a:noAutofit/>
                        </wps:bodyPr>
                      </wps:wsp>
                      <wps:wsp>
                        <wps:cNvPr id="120" name="Textbox 120"/>
                        <wps:cNvSpPr txBox="1"/>
                        <wps:spPr>
                          <a:xfrm>
                            <a:off x="1950085" y="1992629"/>
                            <a:ext cx="1562100" cy="323850"/>
                          </a:xfrm>
                          <a:prstGeom prst="rect">
                            <a:avLst/>
                          </a:prstGeom>
                        </wps:spPr>
                        <wps:txbx>
                          <w:txbxContent>
                            <w:p>
                              <w:pPr>
                                <w:spacing w:before="68"/>
                                <w:ind w:left="745" w:right="0" w:firstLine="0"/>
                                <w:jc w:val="left"/>
                                <w:rPr>
                                  <w:sz w:val="24"/>
                                </w:rPr>
                              </w:pPr>
                              <w:r>
                                <w:rPr>
                                  <w:color w:val="FFFFFF"/>
                                  <w:spacing w:val="-2"/>
                                  <w:sz w:val="24"/>
                                </w:rPr>
                                <w:t>Execution</w:t>
                              </w:r>
                            </w:p>
                          </w:txbxContent>
                        </wps:txbx>
                        <wps:bodyPr wrap="square" lIns="0" tIns="0" rIns="0" bIns="0" rtlCol="0">
                          <a:noAutofit/>
                        </wps:bodyPr>
                      </wps:wsp>
                      <wps:wsp>
                        <wps:cNvPr id="121" name="Textbox 121"/>
                        <wps:cNvSpPr txBox="1"/>
                        <wps:spPr>
                          <a:xfrm>
                            <a:off x="4122420" y="922655"/>
                            <a:ext cx="1247775" cy="419100"/>
                          </a:xfrm>
                          <a:prstGeom prst="rect">
                            <a:avLst/>
                          </a:prstGeom>
                        </wps:spPr>
                        <wps:txbx>
                          <w:txbxContent>
                            <w:p>
                              <w:pPr>
                                <w:spacing w:before="67"/>
                                <w:ind w:left="317" w:right="0" w:firstLine="0"/>
                                <w:jc w:val="left"/>
                                <w:rPr>
                                  <w:sz w:val="24"/>
                                </w:rPr>
                              </w:pPr>
                              <w:r>
                                <w:rPr>
                                  <w:color w:val="FFFFFF"/>
                                  <w:spacing w:val="-2"/>
                                  <w:sz w:val="24"/>
                                </w:rPr>
                                <w:t>Authorization</w:t>
                              </w:r>
                            </w:p>
                          </w:txbxContent>
                        </wps:txbx>
                        <wps:bodyPr wrap="square" lIns="0" tIns="0" rIns="0" bIns="0" rtlCol="0">
                          <a:noAutofit/>
                        </wps:bodyPr>
                      </wps:wsp>
                      <wps:wsp>
                        <wps:cNvPr id="122" name="Textbox 122"/>
                        <wps:cNvSpPr txBox="1"/>
                        <wps:spPr>
                          <a:xfrm>
                            <a:off x="38100" y="922655"/>
                            <a:ext cx="1562100" cy="323850"/>
                          </a:xfrm>
                          <a:prstGeom prst="rect">
                            <a:avLst/>
                          </a:prstGeom>
                        </wps:spPr>
                        <wps:txbx>
                          <w:txbxContent>
                            <w:p>
                              <w:pPr>
                                <w:spacing w:before="67"/>
                                <w:ind w:left="515" w:right="0" w:firstLine="0"/>
                                <w:jc w:val="left"/>
                                <w:rPr>
                                  <w:sz w:val="24"/>
                                </w:rPr>
                              </w:pPr>
                              <w:r>
                                <w:rPr>
                                  <w:color w:val="FFFFFF"/>
                                  <w:spacing w:val="-2"/>
                                  <w:sz w:val="24"/>
                                </w:rPr>
                                <w:t>Accountability</w:t>
                              </w:r>
                            </w:p>
                          </w:txbxContent>
                        </wps:txbx>
                        <wps:bodyPr wrap="square" lIns="0" tIns="0" rIns="0" bIns="0" rtlCol="0">
                          <a:noAutofit/>
                        </wps:bodyPr>
                      </wps:wsp>
                      <wps:wsp>
                        <wps:cNvPr id="123" name="Textbox 123"/>
                        <wps:cNvSpPr txBox="1"/>
                        <wps:spPr>
                          <a:xfrm>
                            <a:off x="1974850" y="38100"/>
                            <a:ext cx="1562100" cy="352425"/>
                          </a:xfrm>
                          <a:prstGeom prst="rect">
                            <a:avLst/>
                          </a:prstGeom>
                        </wps:spPr>
                        <wps:txbx>
                          <w:txbxContent>
                            <w:p>
                              <w:pPr>
                                <w:spacing w:before="66"/>
                                <w:ind w:left="636" w:right="0" w:firstLine="0"/>
                                <w:jc w:val="left"/>
                                <w:rPr>
                                  <w:sz w:val="24"/>
                                </w:rPr>
                              </w:pPr>
                              <w:r>
                                <w:rPr>
                                  <w:color w:val="FFFFFF"/>
                                  <w:spacing w:val="-2"/>
                                  <w:sz w:val="24"/>
                                </w:rPr>
                                <w:t>Formulation</w:t>
                              </w:r>
                            </w:p>
                          </w:txbxContent>
                        </wps:txbx>
                        <wps:bodyPr wrap="square" lIns="0" tIns="0" rIns="0" bIns="0" rtlCol="0">
                          <a:noAutofit/>
                        </wps:bodyPr>
                      </wps:wsp>
                    </wpg:wgp>
                  </a:graphicData>
                </a:graphic>
              </wp:anchor>
            </w:drawing>
          </mc:Choice>
          <mc:Fallback>
            <w:pict>
              <v:group style="position:absolute;margin-left:67.25pt;margin-top:23.952343pt;width:426.85pt;height:187.4pt;mso-position-horizontal-relative:page;mso-position-vertical-relative:paragraph;z-index:-15724032;mso-wrap-distance-left:0;mso-wrap-distance-right:0" id="docshapegroup102" coordorigin="1345,479" coordsize="8537,3748">
                <v:shape style="position:absolute;left:4415;top:519;width:2580;height:676" id="docshape103" coordorigin="4415,519" coordsize="2580,676" path="m6995,519l6945,519,6945,549,6965,549,6965,579,6965,1134,6965,1135,4475,1135,4475,1134,6935,1134,6965,1134,6965,579,6935,579,6935,1124,4475,1124,4445,1124,4445,549,4425,549,4425,519,4415,519,4415,549,4415,1165,4415,1195,6995,1195,6995,1165,6965,1165,6965,1164,6995,1164,6995,549,6995,519xe" filled="true" fillcolor="#7e7e7e" stroked="false">
                  <v:path arrowok="t"/>
                  <v:fill opacity="32896f" type="solid"/>
                </v:shape>
                <v:rect style="position:absolute;left:4425;top:509;width:2520;height:615" id="docshape104" filled="true" fillcolor="#000000" stroked="false">
                  <v:fill type="solid"/>
                </v:rect>
                <v:rect style="position:absolute;left:4425;top:509;width:2520;height:615" id="docshape105" filled="false" stroked="true" strokeweight="3pt" strokecolor="#f1f1f1">
                  <v:stroke dashstyle="solid"/>
                </v:rect>
                <v:shape style="position:absolute;left:1365;top:1913;width:2580;height:630" id="docshape106" coordorigin="1365,1913" coordsize="2580,630" path="m3945,1913l3895,1913,3895,1943,3915,1943,3915,1972,3915,2482,3915,2483,1425,2483,1425,2482,3885,2482,3915,2482,3915,1972,3885,1972,3885,2472,1425,2472,1395,2472,1395,1943,1375,1943,1375,1913,1365,1913,1365,1943,1365,2513,1365,2543,3945,2543,3945,2513,3915,2513,3915,2512,3945,2512,3945,1943,3945,1942,3945,1913xe" filled="true" fillcolor="#7e7e7e" stroked="false">
                  <v:path arrowok="t"/>
                  <v:fill opacity="32896f" type="solid"/>
                </v:shape>
                <v:rect style="position:absolute;left:1375;top:1902;width:2520;height:570" id="docshape107" filled="true" fillcolor="#000000" stroked="false">
                  <v:fill type="solid"/>
                </v:rect>
                <v:rect style="position:absolute;left:1375;top:1902;width:2520;height:570" id="docshape108" filled="false" stroked="true" strokeweight="3pt" strokecolor="#f1f1f1">
                  <v:stroke dashstyle="solid"/>
                </v:rect>
                <v:shape style="position:absolute;left:4376;top:3597;width:2580;height:630" id="docshape109" coordorigin="4376,3597" coordsize="2580,630" path="m6956,3597l6906,3597,6906,3627,6926,3627,6926,3657,6896,3657,6896,4157,4436,4157,4406,4157,4406,3627,4386,3627,4386,3597,4376,3597,4376,3627,4376,4197,4376,4227,6956,4227,6956,4197,6956,3627,6956,3597xe" filled="true" fillcolor="#7e7e7e" stroked="false">
                  <v:path arrowok="t"/>
                  <v:fill opacity="32896f" type="solid"/>
                </v:shape>
                <v:rect style="position:absolute;left:4386;top:3587;width:2520;height:570" id="docshape110" filled="true" fillcolor="#000000" stroked="false">
                  <v:fill type="solid"/>
                </v:rect>
                <v:rect style="position:absolute;left:4386;top:3587;width:2520;height:570" id="docshape111" filled="false" stroked="true" strokeweight="3pt" strokecolor="#f1f1f1">
                  <v:stroke dashstyle="solid"/>
                </v:rect>
                <v:shape style="position:absolute;left:7797;top:1913;width:2085;height:780" id="docshape112" coordorigin="7797,1913" coordsize="2085,780" path="m9882,1913l9832,1913,9832,1943,9852,1943,9852,1972,9852,2632,9852,2633,7857,2633,7857,2632,9822,2632,9852,2632,9852,1972,9822,1972,9822,2622,7857,2622,7827,2622,7827,1943,7807,1943,7807,1913,7797,1913,7797,1943,7797,2663,7797,2693,9882,2693,9882,2663,9852,2663,9852,2662,9882,2662,9882,1943,9882,1942,9882,1913xe" filled="true" fillcolor="#7e7e7e" stroked="false">
                  <v:path arrowok="t"/>
                  <v:fill opacity="32896f" type="solid"/>
                </v:shape>
                <v:rect style="position:absolute;left:7807;top:1902;width:2025;height:720" id="docshape113" filled="true" fillcolor="#000000" stroked="false">
                  <v:fill type="solid"/>
                </v:rect>
                <v:rect style="position:absolute;left:7807;top:1902;width:2025;height:720" id="docshape114" filled="false" stroked="true" strokeweight="3pt" strokecolor="#f1f1f1">
                  <v:stroke dashstyle="solid"/>
                </v:rect>
                <v:shape style="position:absolute;left:2439;top:737;width:6307;height:3142" id="docshape115" coordorigin="2439,737" coordsize="6307,3142" path="m4386,3839l2717,2545,2729,2530,2748,2506,2583,2473,2656,2624,2686,2585,4356,3879,4386,3839xm4425,853l4257,857,4281,901,2439,1880,2463,1924,4304,946,4328,990,4399,890,4425,853xm8732,1902l8704,1856,8646,1758,8619,1800,6958,737,6932,779,8592,1842,8565,1884,8732,1902xm8746,2644l8718,2602,7054,3753,7026,3712,6945,3859,7111,3835,7092,3808,7083,3794,8746,2644xe" filled="true" fillcolor="#000000" stroked="false">
                  <v:path arrowok="t"/>
                  <v:fill type="solid"/>
                </v:shape>
                <v:shape style="position:absolute;left:4416;top:3617;width:2460;height:510" type="#_x0000_t202" id="docshape116" filled="false" stroked="false">
                  <v:textbox inset="0,0,0,0">
                    <w:txbxContent>
                      <w:p>
                        <w:pPr>
                          <w:spacing w:before="68"/>
                          <w:ind w:left="745" w:right="0" w:firstLine="0"/>
                          <w:jc w:val="left"/>
                          <w:rPr>
                            <w:sz w:val="24"/>
                          </w:rPr>
                        </w:pPr>
                        <w:r>
                          <w:rPr>
                            <w:color w:val="FFFFFF"/>
                            <w:spacing w:val="-2"/>
                            <w:sz w:val="24"/>
                          </w:rPr>
                          <w:t>Execution</w:t>
                        </w:r>
                      </w:p>
                    </w:txbxContent>
                  </v:textbox>
                  <w10:wrap type="none"/>
                </v:shape>
                <v:shape style="position:absolute;left:7837;top:1932;width:1965;height:660" type="#_x0000_t202" id="docshape117" filled="false" stroked="false">
                  <v:textbox inset="0,0,0,0">
                    <w:txbxContent>
                      <w:p>
                        <w:pPr>
                          <w:spacing w:before="67"/>
                          <w:ind w:left="317" w:right="0" w:firstLine="0"/>
                          <w:jc w:val="left"/>
                          <w:rPr>
                            <w:sz w:val="24"/>
                          </w:rPr>
                        </w:pPr>
                        <w:r>
                          <w:rPr>
                            <w:color w:val="FFFFFF"/>
                            <w:spacing w:val="-2"/>
                            <w:sz w:val="24"/>
                          </w:rPr>
                          <w:t>Authorization</w:t>
                        </w:r>
                      </w:p>
                    </w:txbxContent>
                  </v:textbox>
                  <w10:wrap type="none"/>
                </v:shape>
                <v:shape style="position:absolute;left:1405;top:1932;width:2460;height:510" type="#_x0000_t202" id="docshape118" filled="false" stroked="false">
                  <v:textbox inset="0,0,0,0">
                    <w:txbxContent>
                      <w:p>
                        <w:pPr>
                          <w:spacing w:before="67"/>
                          <w:ind w:left="515" w:right="0" w:firstLine="0"/>
                          <w:jc w:val="left"/>
                          <w:rPr>
                            <w:sz w:val="24"/>
                          </w:rPr>
                        </w:pPr>
                        <w:r>
                          <w:rPr>
                            <w:color w:val="FFFFFF"/>
                            <w:spacing w:val="-2"/>
                            <w:sz w:val="24"/>
                          </w:rPr>
                          <w:t>Accountability</w:t>
                        </w:r>
                      </w:p>
                    </w:txbxContent>
                  </v:textbox>
                  <w10:wrap type="none"/>
                </v:shape>
                <v:shape style="position:absolute;left:4455;top:539;width:2460;height:555" type="#_x0000_t202" id="docshape119" filled="false" stroked="false">
                  <v:textbox inset="0,0,0,0">
                    <w:txbxContent>
                      <w:p>
                        <w:pPr>
                          <w:spacing w:before="66"/>
                          <w:ind w:left="636" w:right="0" w:firstLine="0"/>
                          <w:jc w:val="left"/>
                          <w:rPr>
                            <w:sz w:val="24"/>
                          </w:rPr>
                        </w:pPr>
                        <w:r>
                          <w:rPr>
                            <w:color w:val="FFFFFF"/>
                            <w:spacing w:val="-2"/>
                            <w:sz w:val="24"/>
                          </w:rPr>
                          <w:t>Formulation</w:t>
                        </w:r>
                      </w:p>
                    </w:txbxContent>
                  </v:textbox>
                  <w10:wrap type="none"/>
                </v:shape>
                <w10:wrap type="topAndBottom"/>
              </v:group>
            </w:pict>
          </mc:Fallback>
        </mc:AlternateContent>
      </w:r>
    </w:p>
    <w:p>
      <w:pPr>
        <w:pStyle w:val="BodyText"/>
        <w:ind w:left="240"/>
      </w:pPr>
      <w:r>
        <w:rPr>
          <w:b/>
        </w:rPr>
        <w:t>Figure</w:t>
      </w:r>
      <w:r>
        <w:rPr>
          <w:b/>
          <w:spacing w:val="-2"/>
        </w:rPr>
        <w:t> </w:t>
      </w:r>
      <w:r>
        <w:rPr>
          <w:b/>
        </w:rPr>
        <w:t>3.2</w:t>
      </w:r>
      <w:r>
        <w:rPr/>
        <w:t>.</w:t>
      </w:r>
      <w:r>
        <w:rPr>
          <w:spacing w:val="-1"/>
        </w:rPr>
        <w:t> </w:t>
      </w:r>
      <w:r>
        <w:rPr/>
        <w:t>The</w:t>
      </w:r>
      <w:r>
        <w:rPr>
          <w:spacing w:val="-2"/>
        </w:rPr>
        <w:t> </w:t>
      </w:r>
      <w:r>
        <w:rPr/>
        <w:t>Public</w:t>
      </w:r>
      <w:r>
        <w:rPr>
          <w:spacing w:val="-2"/>
        </w:rPr>
        <w:t> </w:t>
      </w:r>
      <w:r>
        <w:rPr/>
        <w:t>Budget</w:t>
      </w:r>
      <w:r>
        <w:rPr>
          <w:spacing w:val="-1"/>
        </w:rPr>
        <w:t> </w:t>
      </w:r>
      <w:r>
        <w:rPr/>
        <w:t>Process/Cycle</w:t>
      </w:r>
      <w:r>
        <w:rPr>
          <w:spacing w:val="-2"/>
        </w:rPr>
        <w:t> </w:t>
      </w:r>
      <w:r>
        <w:rPr/>
        <w:t>(Ugoo, </w:t>
      </w:r>
      <w:r>
        <w:rPr>
          <w:spacing w:val="-2"/>
        </w:rPr>
        <w:t>2008)</w:t>
      </w:r>
    </w:p>
    <w:p>
      <w:pPr>
        <w:pStyle w:val="BodyText"/>
        <w:spacing w:before="115"/>
      </w:pPr>
    </w:p>
    <w:p>
      <w:pPr>
        <w:pStyle w:val="Heading4"/>
        <w:numPr>
          <w:ilvl w:val="0"/>
          <w:numId w:val="51"/>
        </w:numPr>
        <w:tabs>
          <w:tab w:pos="577" w:val="left" w:leader="none"/>
        </w:tabs>
        <w:spacing w:line="240" w:lineRule="auto" w:before="0" w:after="0"/>
        <w:ind w:left="577" w:right="0" w:hanging="337"/>
        <w:jc w:val="both"/>
      </w:pPr>
      <w:r>
        <w:rPr/>
        <w:t>The</w:t>
      </w:r>
      <w:r>
        <w:rPr>
          <w:spacing w:val="-6"/>
        </w:rPr>
        <w:t> </w:t>
      </w:r>
      <w:r>
        <w:rPr/>
        <w:t>Formulation/Preparation</w:t>
      </w:r>
      <w:r>
        <w:rPr>
          <w:spacing w:val="-3"/>
        </w:rPr>
        <w:t> </w:t>
      </w:r>
      <w:r>
        <w:rPr>
          <w:spacing w:val="-2"/>
        </w:rPr>
        <w:t>Stage</w:t>
      </w:r>
    </w:p>
    <w:p>
      <w:pPr>
        <w:pStyle w:val="BodyText"/>
        <w:spacing w:line="360" w:lineRule="auto" w:before="133"/>
        <w:ind w:left="240" w:right="835"/>
        <w:jc w:val="both"/>
      </w:pPr>
      <w:r>
        <w:rPr/>
        <w:t>This is the first phase of the budgetary process and covers estimation of government revenues</w:t>
      </w:r>
      <w:r>
        <w:rPr>
          <w:spacing w:val="40"/>
        </w:rPr>
        <w:t> </w:t>
      </w:r>
      <w:r>
        <w:rPr/>
        <w:t>and expenditures, the determination of budgetary priorities and activities within the constraints imposed by available revenues and by borrowing limits, the translation of approved limits, the translation</w:t>
      </w:r>
      <w:r>
        <w:rPr>
          <w:spacing w:val="-1"/>
        </w:rPr>
        <w:t> </w:t>
      </w:r>
      <w:r>
        <w:rPr/>
        <w:t>of</w:t>
      </w:r>
      <w:r>
        <w:rPr>
          <w:spacing w:val="-2"/>
        </w:rPr>
        <w:t> </w:t>
      </w:r>
      <w:r>
        <w:rPr/>
        <w:t>approved</w:t>
      </w:r>
      <w:r>
        <w:rPr>
          <w:spacing w:val="-1"/>
        </w:rPr>
        <w:t> </w:t>
      </w:r>
      <w:r>
        <w:rPr/>
        <w:t>priorities</w:t>
      </w:r>
      <w:r>
        <w:rPr>
          <w:spacing w:val="-2"/>
        </w:rPr>
        <w:t> </w:t>
      </w:r>
      <w:r>
        <w:rPr/>
        <w:t>and</w:t>
      </w:r>
      <w:r>
        <w:rPr>
          <w:spacing w:val="-1"/>
        </w:rPr>
        <w:t> </w:t>
      </w:r>
      <w:r>
        <w:rPr/>
        <w:t>activities</w:t>
      </w:r>
      <w:r>
        <w:rPr>
          <w:spacing w:val="-2"/>
        </w:rPr>
        <w:t> </w:t>
      </w:r>
      <w:r>
        <w:rPr/>
        <w:t>into</w:t>
      </w:r>
      <w:r>
        <w:rPr>
          <w:spacing w:val="-1"/>
        </w:rPr>
        <w:t> </w:t>
      </w:r>
      <w:r>
        <w:rPr/>
        <w:t>expenditure</w:t>
      </w:r>
      <w:r>
        <w:rPr>
          <w:spacing w:val="-2"/>
        </w:rPr>
        <w:t> </w:t>
      </w:r>
      <w:r>
        <w:rPr/>
        <w:t>levels.</w:t>
      </w:r>
      <w:r>
        <w:rPr>
          <w:spacing w:val="-1"/>
        </w:rPr>
        <w:t> </w:t>
      </w:r>
      <w:r>
        <w:rPr/>
        <w:t>Estimates</w:t>
      </w:r>
      <w:r>
        <w:rPr>
          <w:spacing w:val="-1"/>
        </w:rPr>
        <w:t> </w:t>
      </w:r>
      <w:r>
        <w:rPr/>
        <w:t>are</w:t>
      </w:r>
      <w:r>
        <w:rPr>
          <w:spacing w:val="-3"/>
        </w:rPr>
        <w:t> </w:t>
      </w:r>
      <w:r>
        <w:rPr/>
        <w:t>prepared</w:t>
      </w:r>
      <w:r>
        <w:rPr>
          <w:spacing w:val="-1"/>
        </w:rPr>
        <w:t> </w:t>
      </w:r>
      <w:r>
        <w:rPr/>
        <w:t>by the various administrative units and other agencies of government, collated and reviewed and endorsed by the Ministry/Non-Ministerial departments to the various departments and where applicable, to the Parastatals, Agencies, Commissions or Tertiary institutions under its control, hence, budget proposals by the departments are first collected and collated by the Budget Sub- Committee within the Ministry for initial scrutiny, summarization and recommendation to the Ministry of Finance. It is finalized by the president and then submitted to the legislature as a</w:t>
      </w:r>
      <w:r>
        <w:rPr>
          <w:spacing w:val="40"/>
        </w:rPr>
        <w:t> </w:t>
      </w:r>
      <w:r>
        <w:rPr/>
        <w:t>basis for the preparation of the annual Appropriation Act (Ugoo, 2008).</w:t>
      </w:r>
    </w:p>
    <w:p>
      <w:pPr>
        <w:pStyle w:val="BodyText"/>
      </w:pPr>
    </w:p>
    <w:p>
      <w:pPr>
        <w:pStyle w:val="BodyText"/>
        <w:spacing w:line="360" w:lineRule="auto"/>
        <w:ind w:left="240" w:right="838"/>
        <w:jc w:val="both"/>
      </w:pPr>
      <w:r>
        <w:rPr/>
        <w:t>According to Emma (2001), at this stage, the budget and planning officer on the advice of the executive</w:t>
      </w:r>
      <w:r>
        <w:rPr>
          <w:spacing w:val="-4"/>
        </w:rPr>
        <w:t> </w:t>
      </w:r>
      <w:r>
        <w:rPr/>
        <w:t>prepares</w:t>
      </w:r>
      <w:r>
        <w:rPr>
          <w:spacing w:val="-3"/>
        </w:rPr>
        <w:t> </w:t>
      </w:r>
      <w:r>
        <w:rPr/>
        <w:t>circular</w:t>
      </w:r>
      <w:r>
        <w:rPr>
          <w:spacing w:val="-3"/>
        </w:rPr>
        <w:t> </w:t>
      </w:r>
      <w:r>
        <w:rPr/>
        <w:t>to</w:t>
      </w:r>
      <w:r>
        <w:rPr>
          <w:spacing w:val="-3"/>
        </w:rPr>
        <w:t> </w:t>
      </w:r>
      <w:r>
        <w:rPr/>
        <w:t>all</w:t>
      </w:r>
      <w:r>
        <w:rPr>
          <w:spacing w:val="-3"/>
        </w:rPr>
        <w:t> </w:t>
      </w:r>
      <w:r>
        <w:rPr/>
        <w:t>departments</w:t>
      </w:r>
      <w:r>
        <w:rPr>
          <w:spacing w:val="-3"/>
        </w:rPr>
        <w:t> </w:t>
      </w:r>
      <w:r>
        <w:rPr/>
        <w:t>and</w:t>
      </w:r>
      <w:r>
        <w:rPr>
          <w:spacing w:val="-2"/>
        </w:rPr>
        <w:t> </w:t>
      </w:r>
      <w:r>
        <w:rPr/>
        <w:t>units</w:t>
      </w:r>
      <w:r>
        <w:rPr>
          <w:spacing w:val="-3"/>
        </w:rPr>
        <w:t> </w:t>
      </w:r>
      <w:r>
        <w:rPr/>
        <w:t>normally</w:t>
      </w:r>
      <w:r>
        <w:rPr>
          <w:spacing w:val="-7"/>
        </w:rPr>
        <w:t> </w:t>
      </w:r>
      <w:r>
        <w:rPr/>
        <w:t>between</w:t>
      </w:r>
      <w:r>
        <w:rPr>
          <w:spacing w:val="-3"/>
        </w:rPr>
        <w:t> </w:t>
      </w:r>
      <w:r>
        <w:rPr/>
        <w:t>June</w:t>
      </w:r>
      <w:r>
        <w:rPr>
          <w:spacing w:val="-4"/>
        </w:rPr>
        <w:t> </w:t>
      </w:r>
      <w:r>
        <w:rPr/>
        <w:t>and</w:t>
      </w:r>
      <w:r>
        <w:rPr>
          <w:spacing w:val="-3"/>
        </w:rPr>
        <w:t> </w:t>
      </w:r>
      <w:r>
        <w:rPr/>
        <w:t>August</w:t>
      </w:r>
      <w:r>
        <w:rPr>
          <w:spacing w:val="-3"/>
        </w:rPr>
        <w:t> </w:t>
      </w:r>
      <w:r>
        <w:rPr/>
        <w:t>of</w:t>
      </w:r>
      <w:r>
        <w:rPr>
          <w:spacing w:val="-3"/>
        </w:rPr>
        <w:t> </w:t>
      </w:r>
      <w:r>
        <w:rPr/>
        <w:t>the preceding year. Similarly, Ekewealor (2007) notes that budget preparation is formally initiated yearly, about five months to the end of the financial year. The circular invites the people concerned</w:t>
      </w:r>
      <w:r>
        <w:rPr>
          <w:spacing w:val="15"/>
        </w:rPr>
        <w:t> </w:t>
      </w:r>
      <w:r>
        <w:rPr/>
        <w:t>to</w:t>
      </w:r>
      <w:r>
        <w:rPr>
          <w:spacing w:val="21"/>
        </w:rPr>
        <w:t> </w:t>
      </w:r>
      <w:r>
        <w:rPr/>
        <w:t>prepare</w:t>
      </w:r>
      <w:r>
        <w:rPr>
          <w:spacing w:val="18"/>
        </w:rPr>
        <w:t> </w:t>
      </w:r>
      <w:r>
        <w:rPr/>
        <w:t>their</w:t>
      </w:r>
      <w:r>
        <w:rPr>
          <w:spacing w:val="18"/>
        </w:rPr>
        <w:t> </w:t>
      </w:r>
      <w:r>
        <w:rPr/>
        <w:t>estimates</w:t>
      </w:r>
      <w:r>
        <w:rPr>
          <w:spacing w:val="18"/>
        </w:rPr>
        <w:t> </w:t>
      </w:r>
      <w:r>
        <w:rPr/>
        <w:t>in</w:t>
      </w:r>
      <w:r>
        <w:rPr>
          <w:spacing w:val="21"/>
        </w:rPr>
        <w:t> </w:t>
      </w:r>
      <w:r>
        <w:rPr/>
        <w:t>respect</w:t>
      </w:r>
      <w:r>
        <w:rPr>
          <w:spacing w:val="19"/>
        </w:rPr>
        <w:t> </w:t>
      </w:r>
      <w:r>
        <w:rPr/>
        <w:t>of</w:t>
      </w:r>
      <w:r>
        <w:rPr>
          <w:spacing w:val="19"/>
        </w:rPr>
        <w:t> </w:t>
      </w:r>
      <w:r>
        <w:rPr/>
        <w:t>expected</w:t>
      </w:r>
      <w:r>
        <w:rPr>
          <w:spacing w:val="20"/>
        </w:rPr>
        <w:t> </w:t>
      </w:r>
      <w:r>
        <w:rPr/>
        <w:t>revenue</w:t>
      </w:r>
      <w:r>
        <w:rPr>
          <w:spacing w:val="19"/>
        </w:rPr>
        <w:t> </w:t>
      </w:r>
      <w:r>
        <w:rPr/>
        <w:t>(if</w:t>
      </w:r>
      <w:r>
        <w:rPr>
          <w:spacing w:val="18"/>
        </w:rPr>
        <w:t> </w:t>
      </w:r>
      <w:r>
        <w:rPr/>
        <w:t>any)</w:t>
      </w:r>
      <w:r>
        <w:rPr>
          <w:spacing w:val="21"/>
        </w:rPr>
        <w:t> </w:t>
      </w:r>
      <w:r>
        <w:rPr/>
        <w:t>and</w:t>
      </w:r>
      <w:r>
        <w:rPr>
          <w:spacing w:val="21"/>
        </w:rPr>
        <w:t> </w:t>
      </w:r>
      <w:r>
        <w:rPr/>
        <w:t>expenditure</w:t>
      </w:r>
      <w:r>
        <w:rPr>
          <w:spacing w:val="18"/>
        </w:rPr>
        <w:t> </w:t>
      </w:r>
      <w:r>
        <w:rPr>
          <w:spacing w:val="-5"/>
        </w:rPr>
        <w:t>of</w:t>
      </w:r>
    </w:p>
    <w:p>
      <w:pPr>
        <w:spacing w:after="0" w:line="360" w:lineRule="auto"/>
        <w:jc w:val="both"/>
        <w:sectPr>
          <w:pgSz w:w="12240" w:h="15840"/>
          <w:pgMar w:header="0" w:footer="1036" w:top="1360" w:bottom="1220" w:left="1200" w:right="600"/>
        </w:sectPr>
      </w:pPr>
    </w:p>
    <w:p>
      <w:pPr>
        <w:pStyle w:val="BodyText"/>
        <w:spacing w:line="360" w:lineRule="auto" w:before="74"/>
        <w:ind w:left="240" w:right="837"/>
        <w:jc w:val="both"/>
      </w:pPr>
      <w:r>
        <w:rPr/>
        <w:t>their</w:t>
      </w:r>
      <w:r>
        <w:rPr>
          <w:spacing w:val="-1"/>
        </w:rPr>
        <w:t> </w:t>
      </w:r>
      <w:r>
        <w:rPr/>
        <w:t>departments for the following year. . The</w:t>
      </w:r>
      <w:r>
        <w:rPr>
          <w:spacing w:val="-1"/>
        </w:rPr>
        <w:t> </w:t>
      </w:r>
      <w:r>
        <w:rPr/>
        <w:t>necessary</w:t>
      </w:r>
      <w:r>
        <w:rPr>
          <w:spacing w:val="-3"/>
        </w:rPr>
        <w:t> </w:t>
      </w:r>
      <w:r>
        <w:rPr/>
        <w:t>formats for</w:t>
      </w:r>
      <w:r>
        <w:rPr>
          <w:spacing w:val="-2"/>
        </w:rPr>
        <w:t> </w:t>
      </w:r>
      <w:r>
        <w:rPr/>
        <w:t>the preparation of each type of proposal are also enclosed within the Circular. When the estimates are received, they are usually compiled by the budget and planning unit in the form of draft estimates in readiness for the finance committee‘s consideration.</w:t>
      </w:r>
    </w:p>
    <w:p>
      <w:pPr>
        <w:pStyle w:val="BodyText"/>
        <w:spacing w:before="34"/>
      </w:pPr>
    </w:p>
    <w:p>
      <w:pPr>
        <w:pStyle w:val="BodyText"/>
        <w:spacing w:line="360" w:lineRule="auto"/>
        <w:ind w:left="240" w:right="834"/>
        <w:jc w:val="both"/>
      </w:pPr>
      <w:r>
        <w:rPr/>
        <w:t>The estimate of revenue comprises all avenues available for government to source their revenue. It is pertinent to remark that before revenue estimates are made, the actual collection of the previous two years should be considered with necessary adjustments arising from demographic changes and variation in tariff structure if any. The expenditure estimates in like manner are usually prepared in two parts: Recurrent expenditure and Capital expenditure. Recurrent expenditure (comprising recurrent revenue and expenditure) includes the money required for the day-to-day running of the government‘s programmes and services which reoccur from year to year. The disbursement must be made at regular intervals. Capital estimates (comprising capital receipts and expenditures) on the other hand usually involves large sums of money meant for government projects and programmes. Provision is normally made to cover projects that could continue the subsequent fiscal year.</w:t>
      </w:r>
    </w:p>
    <w:p>
      <w:pPr>
        <w:pStyle w:val="BodyText"/>
        <w:spacing w:before="70"/>
      </w:pPr>
    </w:p>
    <w:p>
      <w:pPr>
        <w:pStyle w:val="BodyText"/>
        <w:spacing w:line="360" w:lineRule="auto"/>
        <w:ind w:left="240" w:right="839"/>
        <w:jc w:val="both"/>
      </w:pPr>
      <w:r>
        <w:rPr/>
        <w:t>When the draft estimates have been completed, it is then presented to the legislative committee for further scrutiny</w:t>
      </w:r>
      <w:r>
        <w:rPr>
          <w:spacing w:val="-3"/>
        </w:rPr>
        <w:t> </w:t>
      </w:r>
      <w:r>
        <w:rPr/>
        <w:t>and consideration. It is the duty of the committee also to consider application for reallocation of funds and supplementary</w:t>
      </w:r>
      <w:r>
        <w:rPr>
          <w:spacing w:val="-4"/>
        </w:rPr>
        <w:t> </w:t>
      </w:r>
      <w:r>
        <w:rPr/>
        <w:t>estimates and make appropriate recommendations to the executive. The final budget submission made to the National Assembly by</w:t>
      </w:r>
      <w:r>
        <w:rPr>
          <w:spacing w:val="-3"/>
        </w:rPr>
        <w:t> </w:t>
      </w:r>
      <w:r>
        <w:rPr/>
        <w:t>the president is in form of a Budget speech supplemented by analysis and statements containing details of revenue, expenditure and debt, as well as an assessment of the anticipated impact of the budget on the country</w:t>
      </w:r>
      <w:r>
        <w:rPr>
          <w:spacing w:val="-6"/>
        </w:rPr>
        <w:t> </w:t>
      </w:r>
      <w:r>
        <w:rPr/>
        <w:t>as</w:t>
      </w:r>
      <w:r>
        <w:rPr>
          <w:spacing w:val="-1"/>
        </w:rPr>
        <w:t> </w:t>
      </w:r>
      <w:r>
        <w:rPr/>
        <w:t>a</w:t>
      </w:r>
      <w:r>
        <w:rPr>
          <w:spacing w:val="-4"/>
        </w:rPr>
        <w:t> </w:t>
      </w:r>
      <w:r>
        <w:rPr/>
        <w:t>whole.</w:t>
      </w:r>
      <w:r>
        <w:rPr>
          <w:spacing w:val="-1"/>
        </w:rPr>
        <w:t> </w:t>
      </w:r>
      <w:r>
        <w:rPr/>
        <w:t>Details</w:t>
      </w:r>
      <w:r>
        <w:rPr>
          <w:spacing w:val="-3"/>
        </w:rPr>
        <w:t> </w:t>
      </w:r>
      <w:r>
        <w:rPr/>
        <w:t>of</w:t>
      </w:r>
      <w:r>
        <w:rPr>
          <w:spacing w:val="-1"/>
        </w:rPr>
        <w:t> </w:t>
      </w:r>
      <w:r>
        <w:rPr/>
        <w:t>government</w:t>
      </w:r>
      <w:r>
        <w:rPr>
          <w:spacing w:val="-3"/>
        </w:rPr>
        <w:t> </w:t>
      </w:r>
      <w:r>
        <w:rPr/>
        <w:t>operations</w:t>
      </w:r>
      <w:r>
        <w:rPr>
          <w:spacing w:val="-3"/>
        </w:rPr>
        <w:t> </w:t>
      </w:r>
      <w:r>
        <w:rPr/>
        <w:t>for</w:t>
      </w:r>
      <w:r>
        <w:rPr>
          <w:spacing w:val="-5"/>
        </w:rPr>
        <w:t> </w:t>
      </w:r>
      <w:r>
        <w:rPr/>
        <w:t>the</w:t>
      </w:r>
      <w:r>
        <w:rPr>
          <w:spacing w:val="-3"/>
        </w:rPr>
        <w:t> </w:t>
      </w:r>
      <w:r>
        <w:rPr/>
        <w:t>budget year</w:t>
      </w:r>
      <w:r>
        <w:rPr>
          <w:spacing w:val="-2"/>
        </w:rPr>
        <w:t> </w:t>
      </w:r>
      <w:r>
        <w:rPr/>
        <w:t>and</w:t>
      </w:r>
      <w:r>
        <w:rPr>
          <w:spacing w:val="-3"/>
        </w:rPr>
        <w:t> </w:t>
      </w:r>
      <w:r>
        <w:rPr/>
        <w:t>for</w:t>
      </w:r>
      <w:r>
        <w:rPr>
          <w:spacing w:val="-3"/>
        </w:rPr>
        <w:t> </w:t>
      </w:r>
      <w:r>
        <w:rPr/>
        <w:t>past</w:t>
      </w:r>
      <w:r>
        <w:rPr>
          <w:spacing w:val="-3"/>
        </w:rPr>
        <w:t> </w:t>
      </w:r>
      <w:r>
        <w:rPr/>
        <w:t>and</w:t>
      </w:r>
      <w:r>
        <w:rPr>
          <w:spacing w:val="-2"/>
        </w:rPr>
        <w:t> </w:t>
      </w:r>
      <w:r>
        <w:rPr/>
        <w:t>current years are also included in the statement.</w:t>
      </w:r>
    </w:p>
    <w:p>
      <w:pPr>
        <w:pStyle w:val="BodyText"/>
        <w:spacing w:before="145"/>
      </w:pPr>
    </w:p>
    <w:p>
      <w:pPr>
        <w:pStyle w:val="Heading4"/>
        <w:numPr>
          <w:ilvl w:val="0"/>
          <w:numId w:val="51"/>
        </w:numPr>
        <w:tabs>
          <w:tab w:pos="593" w:val="left" w:leader="none"/>
        </w:tabs>
        <w:spacing w:line="240" w:lineRule="auto" w:before="0" w:after="0"/>
        <w:ind w:left="593" w:right="0" w:hanging="353"/>
        <w:jc w:val="both"/>
      </w:pPr>
      <w:r>
        <w:rPr/>
        <w:t>The</w:t>
      </w:r>
      <w:r>
        <w:rPr>
          <w:spacing w:val="-3"/>
        </w:rPr>
        <w:t> </w:t>
      </w:r>
      <w:r>
        <w:rPr/>
        <w:t>Authorization </w:t>
      </w:r>
      <w:r>
        <w:rPr>
          <w:spacing w:val="-2"/>
        </w:rPr>
        <w:t>Stage</w:t>
      </w:r>
    </w:p>
    <w:p>
      <w:pPr>
        <w:pStyle w:val="BodyText"/>
        <w:spacing w:line="360" w:lineRule="auto" w:before="132"/>
        <w:ind w:left="240" w:right="840"/>
        <w:jc w:val="both"/>
      </w:pPr>
      <w:r>
        <w:rPr/>
        <w:t>This constitutes the second phase of the budgetary process, where legislative approval is either given or not to the proposals. The legislative committee has the mandate to authorize the budget. No disbursement of fund is made without first obtaining the authority. The legislature reviews and modifies the budget proposals of the president and formulates an Appropriation Bill following the</w:t>
      </w:r>
      <w:r>
        <w:rPr>
          <w:spacing w:val="2"/>
        </w:rPr>
        <w:t> </w:t>
      </w:r>
      <w:r>
        <w:rPr/>
        <w:t>process</w:t>
      </w:r>
      <w:r>
        <w:rPr>
          <w:spacing w:val="6"/>
        </w:rPr>
        <w:t> </w:t>
      </w:r>
      <w:r>
        <w:rPr/>
        <w:t>established</w:t>
      </w:r>
      <w:r>
        <w:rPr>
          <w:spacing w:val="1"/>
        </w:rPr>
        <w:t> </w:t>
      </w:r>
      <w:r>
        <w:rPr/>
        <w:t>by</w:t>
      </w:r>
      <w:r>
        <w:rPr>
          <w:spacing w:val="-2"/>
        </w:rPr>
        <w:t> </w:t>
      </w:r>
      <w:r>
        <w:rPr/>
        <w:t>the</w:t>
      </w:r>
      <w:r>
        <w:rPr>
          <w:spacing w:val="4"/>
        </w:rPr>
        <w:t> </w:t>
      </w:r>
      <w:r>
        <w:rPr/>
        <w:t>constitution,</w:t>
      </w:r>
      <w:r>
        <w:rPr>
          <w:spacing w:val="3"/>
        </w:rPr>
        <w:t> </w:t>
      </w:r>
      <w:r>
        <w:rPr/>
        <w:t>which</w:t>
      </w:r>
      <w:r>
        <w:rPr>
          <w:spacing w:val="2"/>
        </w:rPr>
        <w:t> </w:t>
      </w:r>
      <w:r>
        <w:rPr/>
        <w:t>specifies</w:t>
      </w:r>
      <w:r>
        <w:rPr>
          <w:spacing w:val="4"/>
        </w:rPr>
        <w:t> </w:t>
      </w:r>
      <w:r>
        <w:rPr/>
        <w:t>that</w:t>
      </w:r>
      <w:r>
        <w:rPr>
          <w:spacing w:val="5"/>
        </w:rPr>
        <w:t> </w:t>
      </w:r>
      <w:r>
        <w:rPr/>
        <w:t>no</w:t>
      </w:r>
      <w:r>
        <w:rPr>
          <w:spacing w:val="2"/>
        </w:rPr>
        <w:t> </w:t>
      </w:r>
      <w:r>
        <w:rPr/>
        <w:t>money</w:t>
      </w:r>
      <w:r>
        <w:rPr>
          <w:spacing w:val="-2"/>
        </w:rPr>
        <w:t> </w:t>
      </w:r>
      <w:r>
        <w:rPr/>
        <w:t>may be</w:t>
      </w:r>
      <w:r>
        <w:rPr>
          <w:spacing w:val="4"/>
        </w:rPr>
        <w:t> </w:t>
      </w:r>
      <w:r>
        <w:rPr>
          <w:spacing w:val="-4"/>
        </w:rPr>
        <w:t>paid</w:t>
      </w:r>
    </w:p>
    <w:p>
      <w:pPr>
        <w:spacing w:after="0" w:line="360" w:lineRule="auto"/>
        <w:jc w:val="both"/>
        <w:sectPr>
          <w:pgSz w:w="12240" w:h="15840"/>
          <w:pgMar w:header="0" w:footer="1036" w:top="1360" w:bottom="1220" w:left="1200" w:right="600"/>
        </w:sectPr>
      </w:pPr>
    </w:p>
    <w:p>
      <w:pPr>
        <w:pStyle w:val="BodyText"/>
        <w:spacing w:line="360" w:lineRule="auto" w:before="74"/>
        <w:ind w:left="240" w:right="836"/>
        <w:jc w:val="both"/>
      </w:pPr>
      <w:r>
        <w:rPr/>
        <w:t>from the treasury except in accordance with an appropriation made by law (Emma, 2001; Ugoo, </w:t>
      </w:r>
      <w:r>
        <w:rPr>
          <w:spacing w:val="-2"/>
        </w:rPr>
        <w:t>2008).</w:t>
      </w:r>
    </w:p>
    <w:p>
      <w:pPr>
        <w:pStyle w:val="BodyText"/>
        <w:spacing w:before="137"/>
      </w:pPr>
    </w:p>
    <w:p>
      <w:pPr>
        <w:pStyle w:val="BodyText"/>
        <w:spacing w:line="360" w:lineRule="auto"/>
        <w:ind w:left="240" w:right="837"/>
        <w:jc w:val="both"/>
      </w:pPr>
      <w:r>
        <w:rPr/>
        <w:t>There is a special legislative advisory body the Joint Finance Committee which closely scrutinizes the budget proposals before legislative approval. Appropriations are approved by the legislative body in the form of (i) a General Appropriations Law which covers most of the expenditures of the government, (ii) Supplemental Appropriations Laws that are passed from time to time and (iii) certain automatic appropriations intended for specific purposes. As in other laws passed by the legislature, the Nigerian constitution provides for an approval of the Appropriations Act by the president.</w:t>
      </w:r>
    </w:p>
    <w:p>
      <w:pPr>
        <w:pStyle w:val="BodyText"/>
        <w:spacing w:before="144"/>
      </w:pPr>
    </w:p>
    <w:p>
      <w:pPr>
        <w:pStyle w:val="Heading4"/>
        <w:numPr>
          <w:ilvl w:val="0"/>
          <w:numId w:val="51"/>
        </w:numPr>
        <w:tabs>
          <w:tab w:pos="564" w:val="left" w:leader="none"/>
        </w:tabs>
        <w:spacing w:line="240" w:lineRule="auto" w:before="0" w:after="0"/>
        <w:ind w:left="564" w:right="0" w:hanging="324"/>
        <w:jc w:val="both"/>
      </w:pPr>
      <w:r>
        <w:rPr/>
        <w:t>The</w:t>
      </w:r>
      <w:r>
        <w:rPr>
          <w:spacing w:val="-4"/>
        </w:rPr>
        <w:t> </w:t>
      </w:r>
      <w:r>
        <w:rPr/>
        <w:t>Execution</w:t>
      </w:r>
      <w:r>
        <w:rPr>
          <w:spacing w:val="-1"/>
        </w:rPr>
        <w:t> </w:t>
      </w:r>
      <w:r>
        <w:rPr>
          <w:spacing w:val="-2"/>
        </w:rPr>
        <w:t>Stage</w:t>
      </w:r>
    </w:p>
    <w:p>
      <w:pPr>
        <w:pStyle w:val="BodyText"/>
        <w:spacing w:line="360" w:lineRule="auto" w:before="134"/>
        <w:ind w:left="240" w:right="837"/>
        <w:jc w:val="both"/>
      </w:pPr>
      <w:r>
        <w:rPr/>
        <w:t>This phase</w:t>
      </w:r>
      <w:r>
        <w:rPr>
          <w:spacing w:val="-1"/>
        </w:rPr>
        <w:t> </w:t>
      </w:r>
      <w:r>
        <w:rPr/>
        <w:t>is distinctly</w:t>
      </w:r>
      <w:r>
        <w:rPr>
          <w:spacing w:val="-8"/>
        </w:rPr>
        <w:t> </w:t>
      </w:r>
      <w:r>
        <w:rPr/>
        <w:t>different from</w:t>
      </w:r>
      <w:r>
        <w:rPr>
          <w:spacing w:val="-1"/>
        </w:rPr>
        <w:t> </w:t>
      </w:r>
      <w:r>
        <w:rPr/>
        <w:t>the</w:t>
      </w:r>
      <w:r>
        <w:rPr>
          <w:spacing w:val="-1"/>
        </w:rPr>
        <w:t> </w:t>
      </w:r>
      <w:r>
        <w:rPr/>
        <w:t>earlier</w:t>
      </w:r>
      <w:r>
        <w:rPr>
          <w:spacing w:val="-1"/>
        </w:rPr>
        <w:t> </w:t>
      </w:r>
      <w:r>
        <w:rPr/>
        <w:t>two stages because</w:t>
      </w:r>
      <w:r>
        <w:rPr>
          <w:spacing w:val="-1"/>
        </w:rPr>
        <w:t> </w:t>
      </w:r>
      <w:r>
        <w:rPr/>
        <w:t>during this phase, the</w:t>
      </w:r>
      <w:r>
        <w:rPr>
          <w:spacing w:val="-1"/>
        </w:rPr>
        <w:t> </w:t>
      </w:r>
      <w:r>
        <w:rPr/>
        <w:t>results which are the reasons for the entire cycle are achieved. Specifically, it covers the various operational aspects of budgeting, such as the establishment of obligatory authority ceilings, the evaluation of work and financial plans for individual activities, the continuing review of government fiscal position, the regulation of funds release, the implementation of each payment schedule and other related activities (Emma, 2001; Ugoo, 2008).This phase is further sub- divided into the Implementation and Monitoring and Evaluation stages.</w:t>
      </w:r>
    </w:p>
    <w:p>
      <w:pPr>
        <w:pStyle w:val="ListParagraph"/>
        <w:numPr>
          <w:ilvl w:val="1"/>
          <w:numId w:val="51"/>
        </w:numPr>
        <w:tabs>
          <w:tab w:pos="958" w:val="left" w:leader="none"/>
          <w:tab w:pos="960" w:val="left" w:leader="none"/>
        </w:tabs>
        <w:spacing w:line="360" w:lineRule="auto" w:before="206" w:after="0"/>
        <w:ind w:left="960" w:right="836" w:hanging="360"/>
        <w:jc w:val="both"/>
        <w:rPr>
          <w:sz w:val="24"/>
        </w:rPr>
      </w:pPr>
      <w:r>
        <w:rPr>
          <w:b/>
          <w:sz w:val="24"/>
        </w:rPr>
        <w:t>Implementation</w:t>
      </w:r>
      <w:r>
        <w:rPr>
          <w:sz w:val="24"/>
        </w:rPr>
        <w:t>: This is the process of disbursement and collection of funds. It is a harder task than the preparation because budget as a distributive policy can only make its intended impact only when the implementation is smooth and strictly carried out. The most important aspect of budget implementation is the revenue generation aspect. The success or failure of the entire budget if the revenue projections are not met, the expenditure projection, stands the chances of failing. The state has various ways of generating</w:t>
      </w:r>
      <w:r>
        <w:rPr>
          <w:spacing w:val="-4"/>
          <w:sz w:val="24"/>
        </w:rPr>
        <w:t> </w:t>
      </w:r>
      <w:r>
        <w:rPr>
          <w:sz w:val="24"/>
        </w:rPr>
        <w:t>revenue</w:t>
      </w:r>
      <w:r>
        <w:rPr>
          <w:spacing w:val="-2"/>
          <w:sz w:val="24"/>
        </w:rPr>
        <w:t> </w:t>
      </w:r>
      <w:r>
        <w:rPr>
          <w:sz w:val="24"/>
        </w:rPr>
        <w:t>including</w:t>
      </w:r>
      <w:r>
        <w:rPr>
          <w:spacing w:val="-3"/>
          <w:sz w:val="24"/>
        </w:rPr>
        <w:t> </w:t>
      </w:r>
      <w:r>
        <w:rPr>
          <w:sz w:val="24"/>
        </w:rPr>
        <w:t>different</w:t>
      </w:r>
      <w:r>
        <w:rPr>
          <w:spacing w:val="-1"/>
          <w:sz w:val="24"/>
        </w:rPr>
        <w:t> </w:t>
      </w:r>
      <w:r>
        <w:rPr>
          <w:sz w:val="24"/>
        </w:rPr>
        <w:t>taxes</w:t>
      </w:r>
      <w:r>
        <w:rPr>
          <w:spacing w:val="-1"/>
          <w:sz w:val="24"/>
        </w:rPr>
        <w:t> </w:t>
      </w:r>
      <w:r>
        <w:rPr>
          <w:sz w:val="24"/>
        </w:rPr>
        <w:t>like</w:t>
      </w:r>
      <w:r>
        <w:rPr>
          <w:spacing w:val="-2"/>
          <w:sz w:val="24"/>
        </w:rPr>
        <w:t> </w:t>
      </w:r>
      <w:r>
        <w:rPr>
          <w:sz w:val="24"/>
        </w:rPr>
        <w:t>income</w:t>
      </w:r>
      <w:r>
        <w:rPr>
          <w:spacing w:val="-2"/>
          <w:sz w:val="24"/>
        </w:rPr>
        <w:t> </w:t>
      </w:r>
      <w:r>
        <w:rPr>
          <w:sz w:val="24"/>
        </w:rPr>
        <w:t>tax,</w:t>
      </w:r>
      <w:r>
        <w:rPr>
          <w:spacing w:val="-1"/>
          <w:sz w:val="24"/>
        </w:rPr>
        <w:t> </w:t>
      </w:r>
      <w:r>
        <w:rPr>
          <w:sz w:val="24"/>
        </w:rPr>
        <w:t>pay-as- you- earn</w:t>
      </w:r>
      <w:r>
        <w:rPr>
          <w:spacing w:val="-2"/>
          <w:sz w:val="24"/>
        </w:rPr>
        <w:t> </w:t>
      </w:r>
      <w:r>
        <w:rPr>
          <w:sz w:val="24"/>
        </w:rPr>
        <w:t>and</w:t>
      </w:r>
      <w:r>
        <w:rPr>
          <w:spacing w:val="-1"/>
          <w:sz w:val="24"/>
        </w:rPr>
        <w:t> </w:t>
      </w:r>
      <w:r>
        <w:rPr>
          <w:sz w:val="24"/>
        </w:rPr>
        <w:t>Value Added tax (VAT).</w:t>
      </w:r>
    </w:p>
    <w:p>
      <w:pPr>
        <w:pStyle w:val="ListParagraph"/>
        <w:numPr>
          <w:ilvl w:val="1"/>
          <w:numId w:val="51"/>
        </w:numPr>
        <w:tabs>
          <w:tab w:pos="958" w:val="left" w:leader="none"/>
          <w:tab w:pos="960" w:val="left" w:leader="none"/>
        </w:tabs>
        <w:spacing w:line="360" w:lineRule="auto" w:before="174" w:after="0"/>
        <w:ind w:left="960" w:right="842" w:hanging="360"/>
        <w:jc w:val="both"/>
        <w:rPr>
          <w:sz w:val="24"/>
        </w:rPr>
      </w:pPr>
      <w:r>
        <w:rPr>
          <w:b/>
          <w:sz w:val="24"/>
        </w:rPr>
        <w:t>Monitoring and Evaluation (M&amp;E): </w:t>
      </w:r>
      <w:r>
        <w:rPr>
          <w:sz w:val="24"/>
        </w:rPr>
        <w:t>The budget is monitored through various agencies of the bureaucracy or government. The audit department plays a vital role in this regard. Heads</w:t>
      </w:r>
      <w:r>
        <w:rPr>
          <w:spacing w:val="60"/>
          <w:sz w:val="24"/>
        </w:rPr>
        <w:t> </w:t>
      </w:r>
      <w:r>
        <w:rPr>
          <w:sz w:val="24"/>
        </w:rPr>
        <w:t>of</w:t>
      </w:r>
      <w:r>
        <w:rPr>
          <w:spacing w:val="59"/>
          <w:sz w:val="24"/>
        </w:rPr>
        <w:t> </w:t>
      </w:r>
      <w:r>
        <w:rPr>
          <w:sz w:val="24"/>
        </w:rPr>
        <w:t>various</w:t>
      </w:r>
      <w:r>
        <w:rPr>
          <w:spacing w:val="60"/>
          <w:sz w:val="24"/>
        </w:rPr>
        <w:t> </w:t>
      </w:r>
      <w:r>
        <w:rPr>
          <w:sz w:val="24"/>
        </w:rPr>
        <w:t>ministerial</w:t>
      </w:r>
      <w:r>
        <w:rPr>
          <w:spacing w:val="61"/>
          <w:sz w:val="24"/>
        </w:rPr>
        <w:t> </w:t>
      </w:r>
      <w:r>
        <w:rPr>
          <w:sz w:val="24"/>
        </w:rPr>
        <w:t>and</w:t>
      </w:r>
      <w:r>
        <w:rPr>
          <w:spacing w:val="62"/>
          <w:sz w:val="24"/>
        </w:rPr>
        <w:t> </w:t>
      </w:r>
      <w:r>
        <w:rPr>
          <w:sz w:val="24"/>
        </w:rPr>
        <w:t>para-ministerial</w:t>
      </w:r>
      <w:r>
        <w:rPr>
          <w:spacing w:val="61"/>
          <w:sz w:val="24"/>
        </w:rPr>
        <w:t> </w:t>
      </w:r>
      <w:r>
        <w:rPr>
          <w:sz w:val="24"/>
        </w:rPr>
        <w:t>departments</w:t>
      </w:r>
      <w:r>
        <w:rPr>
          <w:spacing w:val="61"/>
          <w:sz w:val="24"/>
        </w:rPr>
        <w:t> </w:t>
      </w:r>
      <w:r>
        <w:rPr>
          <w:sz w:val="24"/>
        </w:rPr>
        <w:t>report</w:t>
      </w:r>
      <w:r>
        <w:rPr>
          <w:spacing w:val="60"/>
          <w:sz w:val="24"/>
        </w:rPr>
        <w:t> </w:t>
      </w:r>
      <w:r>
        <w:rPr>
          <w:sz w:val="24"/>
        </w:rPr>
        <w:t>on</w:t>
      </w:r>
      <w:r>
        <w:rPr>
          <w:spacing w:val="60"/>
          <w:sz w:val="24"/>
        </w:rPr>
        <w:t> </w:t>
      </w:r>
      <w:r>
        <w:rPr>
          <w:sz w:val="24"/>
        </w:rPr>
        <w:t>the</w:t>
      </w:r>
      <w:r>
        <w:rPr>
          <w:spacing w:val="62"/>
          <w:sz w:val="24"/>
        </w:rPr>
        <w:t> </w:t>
      </w:r>
      <w:r>
        <w:rPr>
          <w:sz w:val="24"/>
        </w:rPr>
        <w:t>general</w:t>
      </w:r>
    </w:p>
    <w:p>
      <w:pPr>
        <w:spacing w:after="0" w:line="360" w:lineRule="auto"/>
        <w:jc w:val="both"/>
        <w:rPr>
          <w:sz w:val="24"/>
        </w:rPr>
        <w:sectPr>
          <w:pgSz w:w="12240" w:h="15840"/>
          <w:pgMar w:header="0" w:footer="1036" w:top="1360" w:bottom="1220" w:left="1200" w:right="600"/>
        </w:sectPr>
      </w:pPr>
    </w:p>
    <w:p>
      <w:pPr>
        <w:pStyle w:val="BodyText"/>
        <w:spacing w:line="360" w:lineRule="auto" w:before="74"/>
        <w:ind w:left="960" w:right="840"/>
        <w:jc w:val="both"/>
      </w:pPr>
      <w:r>
        <w:rPr/>
        <w:t>pattern of the expenditure. Heads of department also report on the progress of programmes, projects and services carried out by their departments. These reports make for proper monitoring and evaluation, which undoubtedly guides the budget of the next year. Control reports will usually be in the form of figures, tabulations, though sometimes, the necessary information may be conveyed more coherently by graphs and </w:t>
      </w:r>
      <w:r>
        <w:rPr>
          <w:spacing w:val="-2"/>
        </w:rPr>
        <w:t>charts.</w:t>
      </w:r>
    </w:p>
    <w:p>
      <w:pPr>
        <w:pStyle w:val="BodyText"/>
        <w:spacing w:before="137"/>
      </w:pPr>
    </w:p>
    <w:p>
      <w:pPr>
        <w:pStyle w:val="BodyText"/>
        <w:spacing w:line="360" w:lineRule="auto"/>
        <w:ind w:left="240" w:right="839"/>
        <w:jc w:val="both"/>
      </w:pPr>
      <w:r>
        <w:rPr/>
        <w:t>In</w:t>
      </w:r>
      <w:r>
        <w:rPr>
          <w:spacing w:val="-1"/>
        </w:rPr>
        <w:t> </w:t>
      </w:r>
      <w:r>
        <w:rPr/>
        <w:t>an</w:t>
      </w:r>
      <w:r>
        <w:rPr>
          <w:spacing w:val="-3"/>
        </w:rPr>
        <w:t> </w:t>
      </w:r>
      <w:r>
        <w:rPr/>
        <w:t>attempt</w:t>
      </w:r>
      <w:r>
        <w:rPr>
          <w:spacing w:val="-3"/>
        </w:rPr>
        <w:t> </w:t>
      </w:r>
      <w:r>
        <w:rPr/>
        <w:t>to</w:t>
      </w:r>
      <w:r>
        <w:rPr>
          <w:spacing w:val="-3"/>
        </w:rPr>
        <w:t> </w:t>
      </w:r>
      <w:r>
        <w:rPr/>
        <w:t>explicate</w:t>
      </w:r>
      <w:r>
        <w:rPr>
          <w:spacing w:val="-2"/>
        </w:rPr>
        <w:t> </w:t>
      </w:r>
      <w:r>
        <w:rPr/>
        <w:t>the</w:t>
      </w:r>
      <w:r>
        <w:rPr>
          <w:spacing w:val="-3"/>
        </w:rPr>
        <w:t> </w:t>
      </w:r>
      <w:r>
        <w:rPr/>
        <w:t>format</w:t>
      </w:r>
      <w:r>
        <w:rPr>
          <w:spacing w:val="-3"/>
        </w:rPr>
        <w:t> </w:t>
      </w:r>
      <w:r>
        <w:rPr/>
        <w:t>of</w:t>
      </w:r>
      <w:r>
        <w:rPr>
          <w:spacing w:val="-4"/>
        </w:rPr>
        <w:t> </w:t>
      </w:r>
      <w:r>
        <w:rPr/>
        <w:t>the</w:t>
      </w:r>
      <w:r>
        <w:rPr>
          <w:spacing w:val="-4"/>
        </w:rPr>
        <w:t> </w:t>
      </w:r>
      <w:r>
        <w:rPr/>
        <w:t>control</w:t>
      </w:r>
      <w:r>
        <w:rPr>
          <w:spacing w:val="-1"/>
        </w:rPr>
        <w:t> </w:t>
      </w:r>
      <w:r>
        <w:rPr/>
        <w:t>report,</w:t>
      </w:r>
      <w:r>
        <w:rPr>
          <w:spacing w:val="-3"/>
        </w:rPr>
        <w:t> </w:t>
      </w:r>
      <w:r>
        <w:rPr/>
        <w:t>Eze</w:t>
      </w:r>
      <w:r>
        <w:rPr>
          <w:spacing w:val="-4"/>
        </w:rPr>
        <w:t> </w:t>
      </w:r>
      <w:r>
        <w:rPr/>
        <w:t>(2000)</w:t>
      </w:r>
      <w:r>
        <w:rPr>
          <w:spacing w:val="-3"/>
        </w:rPr>
        <w:t> </w:t>
      </w:r>
      <w:r>
        <w:rPr/>
        <w:t>states</w:t>
      </w:r>
      <w:r>
        <w:rPr>
          <w:spacing w:val="-2"/>
        </w:rPr>
        <w:t> </w:t>
      </w:r>
      <w:r>
        <w:rPr/>
        <w:t>that</w:t>
      </w:r>
      <w:r>
        <w:rPr>
          <w:spacing w:val="-3"/>
        </w:rPr>
        <w:t> </w:t>
      </w:r>
      <w:r>
        <w:rPr/>
        <w:t>the</w:t>
      </w:r>
      <w:r>
        <w:rPr>
          <w:spacing w:val="-3"/>
        </w:rPr>
        <w:t> </w:t>
      </w:r>
      <w:r>
        <w:rPr/>
        <w:t>report</w:t>
      </w:r>
      <w:r>
        <w:rPr>
          <w:spacing w:val="-3"/>
        </w:rPr>
        <w:t> </w:t>
      </w:r>
      <w:r>
        <w:rPr/>
        <w:t>should be clearly headed and the period shown, information not relevant to the purpose for which the control report was prepared should be omitted, the report should not attempt to portray such information that clarity is lost, the names of the persons preparing the reports and the recipients should be given, simplicity should be encouraged and the use of technical accounting jargons</w:t>
      </w:r>
      <w:r>
        <w:rPr>
          <w:spacing w:val="40"/>
        </w:rPr>
        <w:t> </w:t>
      </w:r>
      <w:r>
        <w:rPr/>
        <w:t>and terms should be avoided, information included in each report should be limited to the sphere of the person to whom it</w:t>
      </w:r>
      <w:r>
        <w:rPr>
          <w:spacing w:val="-1"/>
        </w:rPr>
        <w:t> </w:t>
      </w:r>
      <w:r>
        <w:rPr/>
        <w:t>is furnished, promptness in the preparation of the report or statement</w:t>
      </w:r>
      <w:r>
        <w:rPr>
          <w:spacing w:val="40"/>
        </w:rPr>
        <w:t> </w:t>
      </w:r>
      <w:r>
        <w:rPr/>
        <w:t>is preferred to absolute accuracy, as their purpose is not merely to convey information but to convey it promptly for immediate action and finally, all returns should be reviewed periodically to ensure that they are still necessary</w:t>
      </w:r>
    </w:p>
    <w:p>
      <w:pPr>
        <w:pStyle w:val="BodyText"/>
        <w:spacing w:before="213"/>
      </w:pPr>
    </w:p>
    <w:p>
      <w:pPr>
        <w:pStyle w:val="Heading4"/>
        <w:numPr>
          <w:ilvl w:val="2"/>
          <w:numId w:val="27"/>
        </w:numPr>
        <w:tabs>
          <w:tab w:pos="899" w:val="left" w:leader="none"/>
        </w:tabs>
        <w:spacing w:line="240" w:lineRule="auto" w:before="0" w:after="0"/>
        <w:ind w:left="899" w:right="0" w:hanging="659"/>
        <w:jc w:val="both"/>
      </w:pPr>
      <w:r>
        <w:rPr/>
        <w:t>Budget</w:t>
      </w:r>
      <w:r>
        <w:rPr>
          <w:spacing w:val="-2"/>
        </w:rPr>
        <w:t> </w:t>
      </w:r>
      <w:r>
        <w:rPr/>
        <w:t>Planning,</w:t>
      </w:r>
      <w:r>
        <w:rPr>
          <w:spacing w:val="-4"/>
        </w:rPr>
        <w:t> </w:t>
      </w:r>
      <w:r>
        <w:rPr/>
        <w:t>Control</w:t>
      </w:r>
      <w:r>
        <w:rPr>
          <w:spacing w:val="-1"/>
        </w:rPr>
        <w:t> </w:t>
      </w:r>
      <w:r>
        <w:rPr/>
        <w:t>and</w:t>
      </w:r>
      <w:r>
        <w:rPr>
          <w:spacing w:val="-1"/>
        </w:rPr>
        <w:t> </w:t>
      </w:r>
      <w:r>
        <w:rPr/>
        <w:t>Accountability</w:t>
      </w:r>
      <w:r>
        <w:rPr>
          <w:spacing w:val="2"/>
        </w:rPr>
        <w:t> </w:t>
      </w:r>
      <w:r>
        <w:rPr/>
        <w:t>in </w:t>
      </w:r>
      <w:r>
        <w:rPr>
          <w:spacing w:val="-2"/>
        </w:rPr>
        <w:t>Nigeria</w:t>
      </w:r>
    </w:p>
    <w:p>
      <w:pPr>
        <w:pStyle w:val="BodyText"/>
        <w:spacing w:line="360" w:lineRule="auto" w:before="134"/>
        <w:ind w:left="240" w:right="838"/>
        <w:jc w:val="both"/>
      </w:pPr>
      <w:r>
        <w:rPr/>
        <w:t>According to Eze (2000) and Ekewealor(2007), budgetary planning includes the preparation of forecast of development of the economy. This will have a major bearing on the Perspective Plan which is a long term plan for between 15 and 20 years and on the Rolling Plan which is a medium term plan for three years. The latter has in its train hindsight on the previous year in perspective for the following years. Policies on investments and borrowing needs and possibilities are also addressed. Furthermore, decisions in selecting key factors are extremely important,</w:t>
      </w:r>
      <w:r>
        <w:rPr>
          <w:spacing w:val="-3"/>
        </w:rPr>
        <w:t> </w:t>
      </w:r>
      <w:r>
        <w:rPr/>
        <w:t>because</w:t>
      </w:r>
      <w:r>
        <w:rPr>
          <w:spacing w:val="-4"/>
        </w:rPr>
        <w:t> </w:t>
      </w:r>
      <w:r>
        <w:rPr/>
        <w:t>this</w:t>
      </w:r>
      <w:r>
        <w:rPr>
          <w:spacing w:val="-3"/>
        </w:rPr>
        <w:t> </w:t>
      </w:r>
      <w:r>
        <w:rPr/>
        <w:t>is</w:t>
      </w:r>
      <w:r>
        <w:rPr>
          <w:spacing w:val="-3"/>
        </w:rPr>
        <w:t> </w:t>
      </w:r>
      <w:r>
        <w:rPr/>
        <w:t>where</w:t>
      </w:r>
      <w:r>
        <w:rPr>
          <w:spacing w:val="-4"/>
        </w:rPr>
        <w:t> </w:t>
      </w:r>
      <w:r>
        <w:rPr/>
        <w:t>the</w:t>
      </w:r>
      <w:r>
        <w:rPr>
          <w:spacing w:val="-2"/>
        </w:rPr>
        <w:t> </w:t>
      </w:r>
      <w:r>
        <w:rPr/>
        <w:t>factors</w:t>
      </w:r>
      <w:r>
        <w:rPr>
          <w:spacing w:val="-1"/>
        </w:rPr>
        <w:t> </w:t>
      </w:r>
      <w:r>
        <w:rPr/>
        <w:t>that</w:t>
      </w:r>
      <w:r>
        <w:rPr>
          <w:spacing w:val="-3"/>
        </w:rPr>
        <w:t> </w:t>
      </w:r>
      <w:r>
        <w:rPr/>
        <w:t>will</w:t>
      </w:r>
      <w:r>
        <w:rPr>
          <w:spacing w:val="-3"/>
        </w:rPr>
        <w:t> </w:t>
      </w:r>
      <w:r>
        <w:rPr/>
        <w:t>lead</w:t>
      </w:r>
      <w:r>
        <w:rPr>
          <w:spacing w:val="-3"/>
        </w:rPr>
        <w:t> </w:t>
      </w:r>
      <w:r>
        <w:rPr/>
        <w:t>to</w:t>
      </w:r>
      <w:r>
        <w:rPr>
          <w:spacing w:val="-3"/>
        </w:rPr>
        <w:t> </w:t>
      </w:r>
      <w:r>
        <w:rPr/>
        <w:t>success</w:t>
      </w:r>
      <w:r>
        <w:rPr>
          <w:spacing w:val="-3"/>
        </w:rPr>
        <w:t> </w:t>
      </w:r>
      <w:r>
        <w:rPr/>
        <w:t>are</w:t>
      </w:r>
      <w:r>
        <w:rPr>
          <w:spacing w:val="-5"/>
        </w:rPr>
        <w:t> </w:t>
      </w:r>
      <w:r>
        <w:rPr/>
        <w:t>identified.</w:t>
      </w:r>
      <w:r>
        <w:rPr>
          <w:spacing w:val="-1"/>
        </w:rPr>
        <w:t> </w:t>
      </w:r>
      <w:r>
        <w:rPr/>
        <w:t>In</w:t>
      </w:r>
      <w:r>
        <w:rPr>
          <w:spacing w:val="-1"/>
        </w:rPr>
        <w:t> </w:t>
      </w:r>
      <w:r>
        <w:rPr/>
        <w:t>government budget, one of such factors is revenue. The higher the revenue expectation is, the higher the probability of budgetary success. However, it has to be noted that proper management of actual revenue is as important as the generation of higher revenue than envisaged in the budget. Good plans are marred at the altar of execution and this is exemplified in failed projects.</w:t>
      </w:r>
    </w:p>
    <w:p>
      <w:pPr>
        <w:spacing w:after="0" w:line="360" w:lineRule="auto"/>
        <w:jc w:val="both"/>
        <w:sectPr>
          <w:pgSz w:w="12240" w:h="15840"/>
          <w:pgMar w:header="0" w:footer="1036" w:top="1360" w:bottom="1220" w:left="1200" w:right="600"/>
        </w:sectPr>
      </w:pPr>
    </w:p>
    <w:p>
      <w:pPr>
        <w:pStyle w:val="BodyText"/>
        <w:spacing w:line="360" w:lineRule="auto" w:before="74"/>
        <w:ind w:left="240" w:right="841"/>
        <w:jc w:val="both"/>
      </w:pPr>
      <w:r>
        <w:rPr/>
        <w:t>Ekewealor (2007) defines budgetary control as the control through the appropriate use of Budgets. Ekewealor further summarizes the requirements for effective budgetary control as </w:t>
      </w:r>
      <w:r>
        <w:rPr>
          <w:spacing w:val="-2"/>
        </w:rPr>
        <w:t>follows:</w:t>
      </w:r>
    </w:p>
    <w:p>
      <w:pPr>
        <w:pStyle w:val="ListParagraph"/>
        <w:numPr>
          <w:ilvl w:val="0"/>
          <w:numId w:val="52"/>
        </w:numPr>
        <w:tabs>
          <w:tab w:pos="1680" w:val="left" w:leader="none"/>
        </w:tabs>
        <w:spacing w:line="360" w:lineRule="auto" w:before="0" w:after="0"/>
        <w:ind w:left="1680" w:right="841" w:hanging="488"/>
        <w:jc w:val="left"/>
        <w:rPr>
          <w:sz w:val="24"/>
        </w:rPr>
      </w:pPr>
      <w:r>
        <w:rPr>
          <w:sz w:val="24"/>
        </w:rPr>
        <w:t>Clear</w:t>
      </w:r>
      <w:r>
        <w:rPr>
          <w:spacing w:val="40"/>
          <w:sz w:val="24"/>
        </w:rPr>
        <w:t> </w:t>
      </w:r>
      <w:r>
        <w:rPr>
          <w:sz w:val="24"/>
        </w:rPr>
        <w:t>objectives</w:t>
      </w:r>
      <w:r>
        <w:rPr>
          <w:spacing w:val="40"/>
          <w:sz w:val="24"/>
        </w:rPr>
        <w:t> </w:t>
      </w:r>
      <w:r>
        <w:rPr>
          <w:sz w:val="24"/>
        </w:rPr>
        <w:t>or</w:t>
      </w:r>
      <w:r>
        <w:rPr>
          <w:spacing w:val="40"/>
          <w:sz w:val="24"/>
        </w:rPr>
        <w:t> </w:t>
      </w:r>
      <w:r>
        <w:rPr>
          <w:sz w:val="24"/>
        </w:rPr>
        <w:t>goals</w:t>
      </w:r>
      <w:r>
        <w:rPr>
          <w:spacing w:val="40"/>
          <w:sz w:val="24"/>
        </w:rPr>
        <w:t> </w:t>
      </w:r>
      <w:r>
        <w:rPr>
          <w:sz w:val="24"/>
        </w:rPr>
        <w:t>for</w:t>
      </w:r>
      <w:r>
        <w:rPr>
          <w:spacing w:val="40"/>
          <w:sz w:val="24"/>
        </w:rPr>
        <w:t> </w:t>
      </w:r>
      <w:r>
        <w:rPr>
          <w:sz w:val="24"/>
        </w:rPr>
        <w:t>the</w:t>
      </w:r>
      <w:r>
        <w:rPr>
          <w:spacing w:val="40"/>
          <w:sz w:val="24"/>
        </w:rPr>
        <w:t> </w:t>
      </w:r>
      <w:r>
        <w:rPr>
          <w:sz w:val="24"/>
        </w:rPr>
        <w:t>budget</w:t>
      </w:r>
      <w:r>
        <w:rPr>
          <w:spacing w:val="40"/>
          <w:sz w:val="24"/>
        </w:rPr>
        <w:t> </w:t>
      </w:r>
      <w:r>
        <w:rPr>
          <w:sz w:val="24"/>
        </w:rPr>
        <w:t>period.</w:t>
      </w:r>
      <w:r>
        <w:rPr>
          <w:spacing w:val="40"/>
          <w:sz w:val="24"/>
        </w:rPr>
        <w:t> </w:t>
      </w:r>
      <w:r>
        <w:rPr>
          <w:sz w:val="24"/>
        </w:rPr>
        <w:t>These</w:t>
      </w:r>
      <w:r>
        <w:rPr>
          <w:spacing w:val="40"/>
          <w:sz w:val="24"/>
        </w:rPr>
        <w:t> </w:t>
      </w:r>
      <w:r>
        <w:rPr>
          <w:sz w:val="24"/>
        </w:rPr>
        <w:t>goals</w:t>
      </w:r>
      <w:r>
        <w:rPr>
          <w:spacing w:val="40"/>
          <w:sz w:val="24"/>
        </w:rPr>
        <w:t> </w:t>
      </w:r>
      <w:r>
        <w:rPr>
          <w:sz w:val="24"/>
        </w:rPr>
        <w:t>are</w:t>
      </w:r>
      <w:r>
        <w:rPr>
          <w:spacing w:val="40"/>
          <w:sz w:val="24"/>
        </w:rPr>
        <w:t> </w:t>
      </w:r>
      <w:r>
        <w:rPr>
          <w:sz w:val="24"/>
        </w:rPr>
        <w:t>expressed</w:t>
      </w:r>
      <w:r>
        <w:rPr>
          <w:spacing w:val="40"/>
          <w:sz w:val="24"/>
        </w:rPr>
        <w:t> </w:t>
      </w:r>
      <w:r>
        <w:rPr>
          <w:sz w:val="24"/>
        </w:rPr>
        <w:t>in quantifiable and measurable terms.</w:t>
      </w:r>
    </w:p>
    <w:p>
      <w:pPr>
        <w:pStyle w:val="ListParagraph"/>
        <w:numPr>
          <w:ilvl w:val="0"/>
          <w:numId w:val="52"/>
        </w:numPr>
        <w:tabs>
          <w:tab w:pos="1680" w:val="left" w:leader="none"/>
        </w:tabs>
        <w:spacing w:line="360" w:lineRule="auto" w:before="0" w:after="0"/>
        <w:ind w:left="1680" w:right="843" w:hanging="555"/>
        <w:jc w:val="left"/>
        <w:rPr>
          <w:sz w:val="24"/>
        </w:rPr>
      </w:pPr>
      <w:r>
        <w:rPr>
          <w:sz w:val="24"/>
        </w:rPr>
        <w:t>A tight and realistic Budget indicating the clearly, resources requirements for the attainment of goals. This covers revenue generation and cost requirements.</w:t>
      </w:r>
    </w:p>
    <w:p>
      <w:pPr>
        <w:pStyle w:val="ListParagraph"/>
        <w:numPr>
          <w:ilvl w:val="0"/>
          <w:numId w:val="52"/>
        </w:numPr>
        <w:tabs>
          <w:tab w:pos="1680" w:val="left" w:leader="none"/>
        </w:tabs>
        <w:spacing w:line="360" w:lineRule="auto" w:before="0" w:after="0"/>
        <w:ind w:left="1680" w:right="843" w:hanging="620"/>
        <w:jc w:val="left"/>
        <w:rPr>
          <w:sz w:val="24"/>
        </w:rPr>
      </w:pPr>
      <w:r>
        <w:rPr>
          <w:sz w:val="24"/>
        </w:rPr>
        <w:t>Breaking</w:t>
      </w:r>
      <w:r>
        <w:rPr>
          <w:spacing w:val="40"/>
          <w:sz w:val="24"/>
        </w:rPr>
        <w:t> </w:t>
      </w:r>
      <w:r>
        <w:rPr>
          <w:sz w:val="24"/>
        </w:rPr>
        <w:t>down</w:t>
      </w:r>
      <w:r>
        <w:rPr>
          <w:spacing w:val="40"/>
          <w:sz w:val="24"/>
        </w:rPr>
        <w:t> </w:t>
      </w:r>
      <w:r>
        <w:rPr>
          <w:sz w:val="24"/>
        </w:rPr>
        <w:t>goals</w:t>
      </w:r>
      <w:r>
        <w:rPr>
          <w:spacing w:val="40"/>
          <w:sz w:val="24"/>
        </w:rPr>
        <w:t> </w:t>
      </w:r>
      <w:r>
        <w:rPr>
          <w:sz w:val="24"/>
        </w:rPr>
        <w:t>into</w:t>
      </w:r>
      <w:r>
        <w:rPr>
          <w:spacing w:val="40"/>
          <w:sz w:val="24"/>
        </w:rPr>
        <w:t> </w:t>
      </w:r>
      <w:r>
        <w:rPr>
          <w:sz w:val="24"/>
        </w:rPr>
        <w:t>sub-goals</w:t>
      </w:r>
      <w:r>
        <w:rPr>
          <w:spacing w:val="40"/>
          <w:sz w:val="24"/>
        </w:rPr>
        <w:t> </w:t>
      </w:r>
      <w:r>
        <w:rPr>
          <w:sz w:val="24"/>
        </w:rPr>
        <w:t>attainable</w:t>
      </w:r>
      <w:r>
        <w:rPr>
          <w:spacing w:val="40"/>
          <w:sz w:val="24"/>
        </w:rPr>
        <w:t> </w:t>
      </w:r>
      <w:r>
        <w:rPr>
          <w:sz w:val="24"/>
        </w:rPr>
        <w:t>in</w:t>
      </w:r>
      <w:r>
        <w:rPr>
          <w:spacing w:val="40"/>
          <w:sz w:val="24"/>
        </w:rPr>
        <w:t> </w:t>
      </w:r>
      <w:r>
        <w:rPr>
          <w:sz w:val="24"/>
        </w:rPr>
        <w:t>mini</w:t>
      </w:r>
      <w:r>
        <w:rPr>
          <w:spacing w:val="40"/>
          <w:sz w:val="24"/>
        </w:rPr>
        <w:t> </w:t>
      </w:r>
      <w:r>
        <w:rPr>
          <w:sz w:val="24"/>
        </w:rPr>
        <w:t>periods</w:t>
      </w:r>
      <w:r>
        <w:rPr>
          <w:spacing w:val="40"/>
          <w:sz w:val="24"/>
        </w:rPr>
        <w:t> </w:t>
      </w:r>
      <w:r>
        <w:rPr>
          <w:sz w:val="24"/>
        </w:rPr>
        <w:t>e.g.</w:t>
      </w:r>
      <w:r>
        <w:rPr>
          <w:spacing w:val="40"/>
          <w:sz w:val="24"/>
        </w:rPr>
        <w:t> </w:t>
      </w:r>
      <w:r>
        <w:rPr>
          <w:sz w:val="24"/>
        </w:rPr>
        <w:t>monthly, quarterly, half yearly, etc.</w:t>
      </w:r>
    </w:p>
    <w:p>
      <w:pPr>
        <w:pStyle w:val="ListParagraph"/>
        <w:numPr>
          <w:ilvl w:val="0"/>
          <w:numId w:val="52"/>
        </w:numPr>
        <w:tabs>
          <w:tab w:pos="1680" w:val="left" w:leader="none"/>
        </w:tabs>
        <w:spacing w:line="360" w:lineRule="auto" w:before="0" w:after="0"/>
        <w:ind w:left="1680" w:right="843" w:hanging="608"/>
        <w:jc w:val="left"/>
        <w:rPr>
          <w:sz w:val="24"/>
        </w:rPr>
      </w:pPr>
      <w:r>
        <w:rPr>
          <w:sz w:val="24"/>
        </w:rPr>
        <w:t>A</w:t>
      </w:r>
      <w:r>
        <w:rPr>
          <w:spacing w:val="40"/>
          <w:sz w:val="24"/>
        </w:rPr>
        <w:t> </w:t>
      </w:r>
      <w:r>
        <w:rPr>
          <w:sz w:val="24"/>
        </w:rPr>
        <w:t>comparison</w:t>
      </w:r>
      <w:r>
        <w:rPr>
          <w:spacing w:val="40"/>
          <w:sz w:val="24"/>
        </w:rPr>
        <w:t> </w:t>
      </w:r>
      <w:r>
        <w:rPr>
          <w:sz w:val="24"/>
        </w:rPr>
        <w:t>of</w:t>
      </w:r>
      <w:r>
        <w:rPr>
          <w:spacing w:val="40"/>
          <w:sz w:val="24"/>
        </w:rPr>
        <w:t> </w:t>
      </w:r>
      <w:r>
        <w:rPr>
          <w:sz w:val="24"/>
        </w:rPr>
        <w:t>the</w:t>
      </w:r>
      <w:r>
        <w:rPr>
          <w:spacing w:val="40"/>
          <w:sz w:val="24"/>
        </w:rPr>
        <w:t> </w:t>
      </w:r>
      <w:r>
        <w:rPr>
          <w:sz w:val="24"/>
        </w:rPr>
        <w:t>variances</w:t>
      </w:r>
      <w:r>
        <w:rPr>
          <w:spacing w:val="40"/>
          <w:sz w:val="24"/>
        </w:rPr>
        <w:t> </w:t>
      </w:r>
      <w:r>
        <w:rPr>
          <w:sz w:val="24"/>
        </w:rPr>
        <w:t>into</w:t>
      </w:r>
      <w:r>
        <w:rPr>
          <w:spacing w:val="40"/>
          <w:sz w:val="24"/>
        </w:rPr>
        <w:t> </w:t>
      </w:r>
      <w:r>
        <w:rPr>
          <w:sz w:val="24"/>
        </w:rPr>
        <w:t>various</w:t>
      </w:r>
      <w:r>
        <w:rPr>
          <w:spacing w:val="40"/>
          <w:sz w:val="24"/>
        </w:rPr>
        <w:t> </w:t>
      </w:r>
      <w:r>
        <w:rPr>
          <w:sz w:val="24"/>
        </w:rPr>
        <w:t>segments</w:t>
      </w:r>
      <w:r>
        <w:rPr>
          <w:spacing w:val="40"/>
          <w:sz w:val="24"/>
        </w:rPr>
        <w:t> </w:t>
      </w:r>
      <w:r>
        <w:rPr>
          <w:sz w:val="24"/>
        </w:rPr>
        <w:t>of</w:t>
      </w:r>
      <w:r>
        <w:rPr>
          <w:spacing w:val="40"/>
          <w:sz w:val="24"/>
        </w:rPr>
        <w:t> </w:t>
      </w:r>
      <w:r>
        <w:rPr>
          <w:sz w:val="24"/>
        </w:rPr>
        <w:t>causes</w:t>
      </w:r>
      <w:r>
        <w:rPr>
          <w:spacing w:val="40"/>
          <w:sz w:val="24"/>
        </w:rPr>
        <w:t> </w:t>
      </w:r>
      <w:r>
        <w:rPr>
          <w:sz w:val="24"/>
        </w:rPr>
        <w:t>to</w:t>
      </w:r>
      <w:r>
        <w:rPr>
          <w:spacing w:val="40"/>
          <w:sz w:val="24"/>
        </w:rPr>
        <w:t> </w:t>
      </w:r>
      <w:r>
        <w:rPr>
          <w:sz w:val="24"/>
        </w:rPr>
        <w:t>aid</w:t>
      </w:r>
      <w:r>
        <w:rPr>
          <w:spacing w:val="40"/>
          <w:sz w:val="24"/>
        </w:rPr>
        <w:t> </w:t>
      </w:r>
      <w:r>
        <w:rPr>
          <w:sz w:val="24"/>
        </w:rPr>
        <w:t>future forecasts and corrects the imperfection of the past.</w:t>
      </w:r>
    </w:p>
    <w:p>
      <w:pPr>
        <w:pStyle w:val="BodyText"/>
        <w:spacing w:line="360" w:lineRule="auto"/>
        <w:ind w:left="240" w:right="841"/>
        <w:jc w:val="both"/>
      </w:pPr>
      <w:r>
        <w:rPr/>
        <w:t>Budgetary control advocates the exercise of discipline in the Budget implementation. This is exemplified in the laid down financial instructions of States Government, financial Memoranda for the Local Government and financial regulations for the Federal Government.</w:t>
      </w:r>
    </w:p>
    <w:p>
      <w:pPr>
        <w:pStyle w:val="BodyText"/>
        <w:spacing w:before="1"/>
      </w:pPr>
    </w:p>
    <w:p>
      <w:pPr>
        <w:pStyle w:val="BodyText"/>
        <w:spacing w:line="360" w:lineRule="auto" w:before="1"/>
        <w:ind w:left="240" w:right="841"/>
        <w:jc w:val="both"/>
      </w:pPr>
      <w:r>
        <w:rPr/>
        <w:t>Eze (2000) maintains that budget accountability begins with an audit of the accounts produced during the execution phase, preferably, by an auditor independent of the administration. If the categories in place in the budget relates specifically to incomes and expenditures, which is the case when a traditional budget is in operation as in most states in</w:t>
      </w:r>
      <w:r>
        <w:rPr>
          <w:spacing w:val="-1"/>
        </w:rPr>
        <w:t> </w:t>
      </w:r>
      <w:r>
        <w:rPr/>
        <w:t>Nigeria presently, the audit can lead only to judicial proceedings against officials suspected of dishonest spending.</w:t>
      </w:r>
    </w:p>
    <w:p>
      <w:pPr>
        <w:pStyle w:val="BodyText"/>
        <w:spacing w:line="360" w:lineRule="auto" w:before="275"/>
        <w:ind w:left="240" w:right="844"/>
        <w:jc w:val="both"/>
      </w:pPr>
      <w:r>
        <w:rPr/>
        <w:t>However, if the budget also includes quantified programme budgets, then the audit can respectively judge efficiency and effectiveness. Judgments of efficiency and effectiveness are highly relevant to formulation of the budget for the following year.</w:t>
      </w:r>
    </w:p>
    <w:p>
      <w:pPr>
        <w:pStyle w:val="BodyText"/>
        <w:spacing w:before="143"/>
      </w:pPr>
    </w:p>
    <w:p>
      <w:pPr>
        <w:pStyle w:val="Heading4"/>
        <w:numPr>
          <w:ilvl w:val="2"/>
          <w:numId w:val="27"/>
        </w:numPr>
        <w:tabs>
          <w:tab w:pos="839" w:val="left" w:leader="none"/>
        </w:tabs>
        <w:spacing w:line="240" w:lineRule="auto" w:before="0" w:after="0"/>
        <w:ind w:left="839" w:right="0" w:hanging="599"/>
        <w:jc w:val="both"/>
        <w:rPr>
          <w:sz w:val="22"/>
        </w:rPr>
      </w:pPr>
      <w:r>
        <w:rPr/>
        <w:t>`</w:t>
      </w:r>
      <w:r>
        <w:rPr>
          <w:spacing w:val="-2"/>
        </w:rPr>
        <w:t> </w:t>
      </w:r>
      <w:r>
        <w:rPr/>
        <w:t>Components</w:t>
      </w:r>
      <w:r>
        <w:rPr>
          <w:spacing w:val="-2"/>
        </w:rPr>
        <w:t> </w:t>
      </w:r>
      <w:r>
        <w:rPr/>
        <w:t>of</w:t>
      </w:r>
      <w:r>
        <w:rPr>
          <w:spacing w:val="-2"/>
        </w:rPr>
        <w:t> </w:t>
      </w:r>
      <w:r>
        <w:rPr/>
        <w:t>the</w:t>
      </w:r>
      <w:r>
        <w:rPr>
          <w:spacing w:val="-3"/>
        </w:rPr>
        <w:t> </w:t>
      </w:r>
      <w:r>
        <w:rPr/>
        <w:t>Nigerian</w:t>
      </w:r>
      <w:r>
        <w:rPr>
          <w:spacing w:val="-1"/>
        </w:rPr>
        <w:t> </w:t>
      </w:r>
      <w:r>
        <w:rPr/>
        <w:t>Public</w:t>
      </w:r>
      <w:r>
        <w:rPr>
          <w:spacing w:val="-2"/>
        </w:rPr>
        <w:t> Budget</w:t>
      </w:r>
    </w:p>
    <w:p>
      <w:pPr>
        <w:pStyle w:val="BodyText"/>
        <w:spacing w:line="360" w:lineRule="auto" w:before="135"/>
        <w:ind w:left="240" w:right="838"/>
        <w:jc w:val="both"/>
      </w:pPr>
      <w:r>
        <w:rPr/>
        <w:t>Ekewealor (2007) states that States‘ share of Federation Account which is normally supplied by the federal Government to the Ministry of Finance comprises:</w:t>
      </w:r>
    </w:p>
    <w:p>
      <w:pPr>
        <w:pStyle w:val="ListParagraph"/>
        <w:numPr>
          <w:ilvl w:val="0"/>
          <w:numId w:val="53"/>
        </w:numPr>
        <w:tabs>
          <w:tab w:pos="960" w:val="left" w:leader="none"/>
        </w:tabs>
        <w:spacing w:line="360" w:lineRule="auto" w:before="0" w:after="0"/>
        <w:ind w:left="960" w:right="837" w:hanging="360"/>
        <w:jc w:val="both"/>
        <w:rPr>
          <w:sz w:val="24"/>
        </w:rPr>
      </w:pPr>
      <w:r>
        <w:rPr>
          <w:b/>
          <w:sz w:val="24"/>
        </w:rPr>
        <w:t>Consolidated Revenue Fund charges: </w:t>
      </w:r>
      <w:r>
        <w:rPr>
          <w:sz w:val="24"/>
        </w:rPr>
        <w:t>This includes proposal on salaries and</w:t>
      </w:r>
      <w:r>
        <w:rPr>
          <w:spacing w:val="40"/>
          <w:sz w:val="24"/>
        </w:rPr>
        <w:t> </w:t>
      </w:r>
      <w:r>
        <w:rPr>
          <w:sz w:val="24"/>
        </w:rPr>
        <w:t>allowances of statutory office holders, provision is made for known public debts including debts owed to suppliers and contractors and provision for Staff Pensions and </w:t>
      </w:r>
      <w:r>
        <w:rPr>
          <w:spacing w:val="-2"/>
          <w:sz w:val="24"/>
        </w:rPr>
        <w:t>Gratuities.</w:t>
      </w:r>
    </w:p>
    <w:p>
      <w:pPr>
        <w:spacing w:after="0" w:line="360" w:lineRule="auto"/>
        <w:jc w:val="both"/>
        <w:rPr>
          <w:sz w:val="24"/>
        </w:rPr>
        <w:sectPr>
          <w:pgSz w:w="12240" w:h="15840"/>
          <w:pgMar w:header="0" w:footer="1036" w:top="1360" w:bottom="1220" w:left="1200" w:right="600"/>
        </w:sectPr>
      </w:pPr>
    </w:p>
    <w:p>
      <w:pPr>
        <w:pStyle w:val="ListParagraph"/>
        <w:numPr>
          <w:ilvl w:val="0"/>
          <w:numId w:val="53"/>
        </w:numPr>
        <w:tabs>
          <w:tab w:pos="958" w:val="left" w:leader="none"/>
          <w:tab w:pos="960" w:val="left" w:leader="none"/>
        </w:tabs>
        <w:spacing w:line="360" w:lineRule="auto" w:before="74" w:after="0"/>
        <w:ind w:left="960" w:right="838" w:hanging="360"/>
        <w:jc w:val="both"/>
        <w:rPr>
          <w:sz w:val="24"/>
        </w:rPr>
      </w:pPr>
      <w:r>
        <w:rPr>
          <w:b/>
          <w:sz w:val="24"/>
        </w:rPr>
        <w:t>Personnel Costs: </w:t>
      </w:r>
      <w:r>
        <w:rPr>
          <w:sz w:val="24"/>
        </w:rPr>
        <w:t>Comprising provisions for salaries and attributed allowances to staff. Prior to this, an adequate, comprehensive and up-to-date Nominal Roll of staff should be provided or presented, with sufficient data. Hence, the Nominal Roll must be in agreement with the list in the Personnel Costs Estimate proposals.</w:t>
      </w:r>
    </w:p>
    <w:p>
      <w:pPr>
        <w:pStyle w:val="ListParagraph"/>
        <w:numPr>
          <w:ilvl w:val="0"/>
          <w:numId w:val="53"/>
        </w:numPr>
        <w:tabs>
          <w:tab w:pos="960" w:val="left" w:leader="none"/>
          <w:tab w:pos="2361" w:val="left" w:leader="none"/>
          <w:tab w:pos="4352" w:val="left" w:leader="none"/>
          <w:tab w:pos="7113" w:val="left" w:leader="none"/>
          <w:tab w:pos="8449" w:val="left" w:leader="none"/>
        </w:tabs>
        <w:spacing w:line="360" w:lineRule="auto" w:before="1" w:after="0"/>
        <w:ind w:left="960" w:right="840" w:hanging="360"/>
        <w:jc w:val="both"/>
        <w:rPr>
          <w:sz w:val="24"/>
        </w:rPr>
      </w:pPr>
      <w:r>
        <w:rPr>
          <w:b/>
          <w:sz w:val="24"/>
        </w:rPr>
        <w:t>Overhead Costs: </w:t>
      </w:r>
      <w:r>
        <w:rPr>
          <w:sz w:val="24"/>
        </w:rPr>
        <w:t>Overhead costs proposals are usually made in the prescribed format</w:t>
      </w:r>
      <w:r>
        <w:rPr>
          <w:spacing w:val="40"/>
          <w:sz w:val="24"/>
        </w:rPr>
        <w:t> </w:t>
      </w:r>
      <w:r>
        <w:rPr>
          <w:spacing w:val="-4"/>
          <w:sz w:val="24"/>
        </w:rPr>
        <w:t>and</w:t>
      </w:r>
      <w:r>
        <w:rPr>
          <w:sz w:val="24"/>
        </w:rPr>
        <w:tab/>
      </w:r>
      <w:r>
        <w:rPr>
          <w:spacing w:val="-2"/>
          <w:sz w:val="24"/>
        </w:rPr>
        <w:t>constitute</w:t>
      </w:r>
      <w:r>
        <w:rPr>
          <w:sz w:val="24"/>
        </w:rPr>
        <w:tab/>
      </w:r>
      <w:r>
        <w:rPr>
          <w:spacing w:val="-2"/>
          <w:sz w:val="24"/>
        </w:rPr>
        <w:t>recommendations</w:t>
      </w:r>
      <w:r>
        <w:rPr>
          <w:sz w:val="24"/>
        </w:rPr>
        <w:tab/>
      </w:r>
      <w:r>
        <w:rPr>
          <w:spacing w:val="-4"/>
          <w:sz w:val="24"/>
        </w:rPr>
        <w:t>for</w:t>
      </w:r>
      <w:r>
        <w:rPr>
          <w:sz w:val="24"/>
        </w:rPr>
        <w:tab/>
      </w:r>
      <w:r>
        <w:rPr>
          <w:spacing w:val="-2"/>
          <w:sz w:val="24"/>
        </w:rPr>
        <w:t>subventions </w:t>
      </w:r>
      <w:r>
        <w:rPr>
          <w:sz w:val="24"/>
        </w:rPr>
        <w:t>(funding/payments/allowances/assistance) to Parastatals, Commissions, Tertiary Institutions and Agencies.</w:t>
      </w:r>
    </w:p>
    <w:p>
      <w:pPr>
        <w:pStyle w:val="ListParagraph"/>
        <w:numPr>
          <w:ilvl w:val="0"/>
          <w:numId w:val="53"/>
        </w:numPr>
        <w:tabs>
          <w:tab w:pos="958" w:val="left" w:leader="none"/>
          <w:tab w:pos="960" w:val="left" w:leader="none"/>
        </w:tabs>
        <w:spacing w:line="360" w:lineRule="auto" w:before="0" w:after="0"/>
        <w:ind w:left="960" w:right="837" w:hanging="360"/>
        <w:jc w:val="both"/>
        <w:rPr>
          <w:sz w:val="24"/>
        </w:rPr>
      </w:pPr>
      <w:r>
        <w:rPr>
          <w:b/>
          <w:sz w:val="24"/>
        </w:rPr>
        <w:t>Capital Expenditure Estimate: </w:t>
      </w:r>
      <w:r>
        <w:rPr>
          <w:sz w:val="24"/>
        </w:rPr>
        <w:t>The Capital Expenditure Estimate proposals are predicted on the Rolling Plan. Before a provision is made in the annual Capital Expenditure Budget, it must have been entrenched in the Rolling Plan. Usually, top priority is given to care and establishment of on-going projects that have attained more than 70% completion level and on-going projects considered critical to the fulfillment of the statutory responsibilities of the Government.</w:t>
      </w:r>
    </w:p>
    <w:p>
      <w:pPr>
        <w:pStyle w:val="ListParagraph"/>
        <w:numPr>
          <w:ilvl w:val="0"/>
          <w:numId w:val="53"/>
        </w:numPr>
        <w:tabs>
          <w:tab w:pos="960" w:val="left" w:leader="none"/>
        </w:tabs>
        <w:spacing w:line="360" w:lineRule="auto" w:before="1" w:after="0"/>
        <w:ind w:left="960" w:right="839" w:hanging="360"/>
        <w:jc w:val="both"/>
        <w:rPr>
          <w:sz w:val="24"/>
        </w:rPr>
      </w:pPr>
      <w:r>
        <w:rPr>
          <w:b/>
          <w:sz w:val="24"/>
        </w:rPr>
        <w:t>Capital Receipts: </w:t>
      </w:r>
      <w:r>
        <w:rPr>
          <w:sz w:val="24"/>
        </w:rPr>
        <w:t>Ministries/Non-Ministerial Departments will provide for Capital Receipts only if the related projects are funds specific and the funds are obtainable from Donor Agencies/Loans from internal and external sources. The Ministry of Finance</w:t>
      </w:r>
      <w:r>
        <w:rPr>
          <w:spacing w:val="40"/>
          <w:sz w:val="24"/>
        </w:rPr>
        <w:t> </w:t>
      </w:r>
      <w:r>
        <w:rPr>
          <w:sz w:val="24"/>
        </w:rPr>
        <w:t>will have adequate records of such funds flow and will eventually provide for all Capital Receipts which are made up of: Recurrent Surplus transferred to Capital Development Fund,</w:t>
      </w:r>
      <w:r>
        <w:rPr>
          <w:spacing w:val="-4"/>
          <w:sz w:val="24"/>
        </w:rPr>
        <w:t> </w:t>
      </w:r>
      <w:r>
        <w:rPr>
          <w:sz w:val="24"/>
        </w:rPr>
        <w:t>savings</w:t>
      </w:r>
      <w:r>
        <w:rPr>
          <w:spacing w:val="-4"/>
          <w:sz w:val="24"/>
        </w:rPr>
        <w:t> </w:t>
      </w:r>
      <w:r>
        <w:rPr>
          <w:sz w:val="24"/>
        </w:rPr>
        <w:t>from</w:t>
      </w:r>
      <w:r>
        <w:rPr>
          <w:spacing w:val="-4"/>
          <w:sz w:val="24"/>
        </w:rPr>
        <w:t> </w:t>
      </w:r>
      <w:r>
        <w:rPr>
          <w:sz w:val="24"/>
        </w:rPr>
        <w:t>the</w:t>
      </w:r>
      <w:r>
        <w:rPr>
          <w:spacing w:val="-3"/>
          <w:sz w:val="24"/>
        </w:rPr>
        <w:t> </w:t>
      </w:r>
      <w:r>
        <w:rPr>
          <w:sz w:val="24"/>
        </w:rPr>
        <w:t>previous</w:t>
      </w:r>
      <w:r>
        <w:rPr>
          <w:spacing w:val="-2"/>
          <w:sz w:val="24"/>
        </w:rPr>
        <w:t> </w:t>
      </w:r>
      <w:r>
        <w:rPr>
          <w:sz w:val="24"/>
        </w:rPr>
        <w:t>year,</w:t>
      </w:r>
      <w:r>
        <w:rPr>
          <w:spacing w:val="-4"/>
          <w:sz w:val="24"/>
        </w:rPr>
        <w:t> </w:t>
      </w:r>
      <w:r>
        <w:rPr>
          <w:sz w:val="24"/>
        </w:rPr>
        <w:t>external</w:t>
      </w:r>
      <w:r>
        <w:rPr>
          <w:spacing w:val="-4"/>
          <w:sz w:val="24"/>
        </w:rPr>
        <w:t> </w:t>
      </w:r>
      <w:r>
        <w:rPr>
          <w:sz w:val="24"/>
        </w:rPr>
        <w:t>loans(if</w:t>
      </w:r>
      <w:r>
        <w:rPr>
          <w:spacing w:val="-5"/>
          <w:sz w:val="24"/>
        </w:rPr>
        <w:t> </w:t>
      </w:r>
      <w:r>
        <w:rPr>
          <w:sz w:val="24"/>
        </w:rPr>
        <w:t>any),</w:t>
      </w:r>
      <w:r>
        <w:rPr>
          <w:spacing w:val="-4"/>
          <w:sz w:val="24"/>
        </w:rPr>
        <w:t> </w:t>
      </w:r>
      <w:r>
        <w:rPr>
          <w:sz w:val="24"/>
        </w:rPr>
        <w:t>internal</w:t>
      </w:r>
      <w:r>
        <w:rPr>
          <w:spacing w:val="-4"/>
          <w:sz w:val="24"/>
        </w:rPr>
        <w:t> </w:t>
      </w:r>
      <w:r>
        <w:rPr>
          <w:sz w:val="24"/>
        </w:rPr>
        <w:t>loans(if</w:t>
      </w:r>
      <w:r>
        <w:rPr>
          <w:spacing w:val="-4"/>
          <w:sz w:val="24"/>
        </w:rPr>
        <w:t> </w:t>
      </w:r>
      <w:r>
        <w:rPr>
          <w:sz w:val="24"/>
        </w:rPr>
        <w:t>any),</w:t>
      </w:r>
      <w:r>
        <w:rPr>
          <w:spacing w:val="-4"/>
          <w:sz w:val="24"/>
        </w:rPr>
        <w:t> </w:t>
      </w:r>
      <w:r>
        <w:rPr>
          <w:sz w:val="24"/>
        </w:rPr>
        <w:t>Grants (if any) and miscellaneous.</w:t>
      </w:r>
    </w:p>
    <w:p>
      <w:pPr>
        <w:pStyle w:val="BodyText"/>
        <w:spacing w:before="246"/>
      </w:pPr>
    </w:p>
    <w:p>
      <w:pPr>
        <w:pStyle w:val="Heading4"/>
        <w:numPr>
          <w:ilvl w:val="2"/>
          <w:numId w:val="27"/>
        </w:numPr>
        <w:tabs>
          <w:tab w:pos="839" w:val="left" w:leader="none"/>
        </w:tabs>
        <w:spacing w:line="240" w:lineRule="auto" w:before="0" w:after="0"/>
        <w:ind w:left="839" w:right="0" w:hanging="599"/>
        <w:jc w:val="both"/>
        <w:rPr>
          <w:sz w:val="22"/>
        </w:rPr>
      </w:pPr>
      <w:r>
        <w:rPr/>
        <w:t>`</w:t>
      </w:r>
      <w:r>
        <w:rPr>
          <w:spacing w:val="-2"/>
        </w:rPr>
        <w:t> </w:t>
      </w:r>
      <w:r>
        <w:rPr/>
        <w:t>Flexibility</w:t>
      </w:r>
      <w:r>
        <w:rPr>
          <w:spacing w:val="-1"/>
        </w:rPr>
        <w:t> </w:t>
      </w:r>
      <w:r>
        <w:rPr/>
        <w:t>of</w:t>
      </w:r>
      <w:r>
        <w:rPr>
          <w:spacing w:val="-1"/>
        </w:rPr>
        <w:t> </w:t>
      </w:r>
      <w:r>
        <w:rPr/>
        <w:t>Government</w:t>
      </w:r>
      <w:r>
        <w:rPr>
          <w:spacing w:val="-2"/>
        </w:rPr>
        <w:t> </w:t>
      </w:r>
      <w:r>
        <w:rPr/>
        <w:t>Budgeting</w:t>
      </w:r>
      <w:r>
        <w:rPr>
          <w:spacing w:val="-1"/>
        </w:rPr>
        <w:t> </w:t>
      </w:r>
      <w:r>
        <w:rPr/>
        <w:t>in</w:t>
      </w:r>
      <w:r>
        <w:rPr>
          <w:spacing w:val="-3"/>
        </w:rPr>
        <w:t> </w:t>
      </w:r>
      <w:r>
        <w:rPr>
          <w:spacing w:val="-2"/>
        </w:rPr>
        <w:t>Nigeria</w:t>
      </w:r>
    </w:p>
    <w:p>
      <w:pPr>
        <w:pStyle w:val="BodyText"/>
        <w:spacing w:line="360" w:lineRule="auto" w:before="235"/>
        <w:ind w:left="240" w:right="840"/>
        <w:jc w:val="both"/>
      </w:pPr>
      <w:r>
        <w:rPr/>
        <w:t>According</w:t>
      </w:r>
      <w:r>
        <w:rPr>
          <w:spacing w:val="-1"/>
        </w:rPr>
        <w:t> </w:t>
      </w:r>
      <w:r>
        <w:rPr/>
        <w:t>to Eze (2000); Ekewealor (2007) and Ugoo (2008), most public sector budgets can be regarded as fixed budgets as the level of resources often determines the level of activity and service provision. These resource levels are usually established in advance of the financial year. Normally, all government budgets are classified and coded according to the type and vote. This enables money to be allocated to specific identification purposes. No transfer is permissible between votes. This limitation enhances control exercised by the system. However, occasions may</w:t>
      </w:r>
      <w:r>
        <w:rPr>
          <w:spacing w:val="15"/>
        </w:rPr>
        <w:t> </w:t>
      </w:r>
      <w:r>
        <w:rPr/>
        <w:t>arise</w:t>
      </w:r>
      <w:r>
        <w:rPr>
          <w:spacing w:val="22"/>
        </w:rPr>
        <w:t> </w:t>
      </w:r>
      <w:r>
        <w:rPr/>
        <w:t>where</w:t>
      </w:r>
      <w:r>
        <w:rPr>
          <w:spacing w:val="22"/>
        </w:rPr>
        <w:t> </w:t>
      </w:r>
      <w:r>
        <w:rPr/>
        <w:t>more</w:t>
      </w:r>
      <w:r>
        <w:rPr>
          <w:spacing w:val="22"/>
        </w:rPr>
        <w:t> </w:t>
      </w:r>
      <w:r>
        <w:rPr/>
        <w:t>funds</w:t>
      </w:r>
      <w:r>
        <w:rPr>
          <w:spacing w:val="23"/>
        </w:rPr>
        <w:t> </w:t>
      </w:r>
      <w:r>
        <w:rPr/>
        <w:t>are</w:t>
      </w:r>
      <w:r>
        <w:rPr>
          <w:spacing w:val="22"/>
        </w:rPr>
        <w:t> </w:t>
      </w:r>
      <w:r>
        <w:rPr/>
        <w:t>needed</w:t>
      </w:r>
      <w:r>
        <w:rPr>
          <w:spacing w:val="23"/>
        </w:rPr>
        <w:t> </w:t>
      </w:r>
      <w:r>
        <w:rPr/>
        <w:t>and</w:t>
      </w:r>
      <w:r>
        <w:rPr>
          <w:spacing w:val="23"/>
        </w:rPr>
        <w:t> </w:t>
      </w:r>
      <w:r>
        <w:rPr/>
        <w:t>have</w:t>
      </w:r>
      <w:r>
        <w:rPr>
          <w:spacing w:val="21"/>
        </w:rPr>
        <w:t> </w:t>
      </w:r>
      <w:r>
        <w:rPr/>
        <w:t>to</w:t>
      </w:r>
      <w:r>
        <w:rPr>
          <w:spacing w:val="24"/>
        </w:rPr>
        <w:t> </w:t>
      </w:r>
      <w:r>
        <w:rPr/>
        <w:t>be</w:t>
      </w:r>
      <w:r>
        <w:rPr>
          <w:spacing w:val="22"/>
        </w:rPr>
        <w:t> </w:t>
      </w:r>
      <w:r>
        <w:rPr/>
        <w:t>provided</w:t>
      </w:r>
      <w:r>
        <w:rPr>
          <w:spacing w:val="23"/>
        </w:rPr>
        <w:t> </w:t>
      </w:r>
      <w:r>
        <w:rPr/>
        <w:t>after</w:t>
      </w:r>
      <w:r>
        <w:rPr>
          <w:spacing w:val="22"/>
        </w:rPr>
        <w:t> </w:t>
      </w:r>
      <w:r>
        <w:rPr/>
        <w:t>preparation</w:t>
      </w:r>
      <w:r>
        <w:rPr>
          <w:spacing w:val="23"/>
        </w:rPr>
        <w:t> </w:t>
      </w:r>
      <w:r>
        <w:rPr/>
        <w:t>of</w:t>
      </w:r>
      <w:r>
        <w:rPr>
          <w:spacing w:val="23"/>
        </w:rPr>
        <w:t> </w:t>
      </w:r>
      <w:r>
        <w:rPr/>
        <w:t>the</w:t>
      </w:r>
      <w:r>
        <w:rPr>
          <w:spacing w:val="23"/>
        </w:rPr>
        <w:t> </w:t>
      </w:r>
      <w:r>
        <w:rPr>
          <w:spacing w:val="-4"/>
        </w:rPr>
        <w:t>main</w:t>
      </w:r>
    </w:p>
    <w:p>
      <w:pPr>
        <w:spacing w:after="0" w:line="360" w:lineRule="auto"/>
        <w:jc w:val="both"/>
        <w:sectPr>
          <w:pgSz w:w="12240" w:h="15840"/>
          <w:pgMar w:header="0" w:footer="1036" w:top="1360" w:bottom="1220" w:left="1200" w:right="600"/>
        </w:sectPr>
      </w:pPr>
    </w:p>
    <w:p>
      <w:pPr>
        <w:pStyle w:val="BodyText"/>
        <w:spacing w:line="360" w:lineRule="auto" w:before="74"/>
        <w:ind w:left="240" w:right="842"/>
        <w:jc w:val="both"/>
      </w:pPr>
      <w:r>
        <w:rPr/>
        <w:t>budget. In such a situation, a Supplementary Appropriation Bill is presented to the legislature within 30 days for the purposes of replacing the amount so advanced.</w:t>
      </w:r>
    </w:p>
    <w:p>
      <w:pPr>
        <w:pStyle w:val="BodyText"/>
        <w:spacing w:line="360" w:lineRule="auto" w:before="104"/>
        <w:ind w:left="240" w:right="843"/>
        <w:jc w:val="both"/>
      </w:pPr>
      <w:r>
        <w:rPr/>
        <w:t>Terms such as vehement, supplementary estimates and contingency fund depict flexibility of government budgets and are explained as follows:</w:t>
      </w:r>
    </w:p>
    <w:p>
      <w:pPr>
        <w:pStyle w:val="ListParagraph"/>
        <w:numPr>
          <w:ilvl w:val="0"/>
          <w:numId w:val="54"/>
        </w:numPr>
        <w:tabs>
          <w:tab w:pos="960" w:val="left" w:leader="none"/>
        </w:tabs>
        <w:spacing w:line="360" w:lineRule="auto" w:before="0" w:after="0"/>
        <w:ind w:left="960" w:right="836" w:hanging="360"/>
        <w:jc w:val="both"/>
        <w:rPr>
          <w:sz w:val="24"/>
        </w:rPr>
      </w:pPr>
      <w:r>
        <w:rPr>
          <w:b/>
          <w:sz w:val="24"/>
        </w:rPr>
        <w:t>Vehement</w:t>
      </w:r>
      <w:r>
        <w:rPr>
          <w:sz w:val="24"/>
        </w:rPr>
        <w:t>: This refers to the transfer of funds between sub-heads of expenditure within the same head.</w:t>
      </w:r>
    </w:p>
    <w:p>
      <w:pPr>
        <w:pStyle w:val="ListParagraph"/>
        <w:numPr>
          <w:ilvl w:val="0"/>
          <w:numId w:val="54"/>
        </w:numPr>
        <w:tabs>
          <w:tab w:pos="960" w:val="left" w:leader="none"/>
        </w:tabs>
        <w:spacing w:line="360" w:lineRule="auto" w:before="0" w:after="0"/>
        <w:ind w:left="960" w:right="843" w:hanging="360"/>
        <w:jc w:val="both"/>
        <w:rPr>
          <w:sz w:val="24"/>
        </w:rPr>
      </w:pPr>
      <w:r>
        <w:rPr>
          <w:b/>
          <w:sz w:val="24"/>
        </w:rPr>
        <w:t>Supplement estimates</w:t>
      </w:r>
      <w:r>
        <w:rPr>
          <w:sz w:val="24"/>
        </w:rPr>
        <w:t>: By the constitutional provision, supplementary estimates are made if in respect of any financial year, it is found:</w:t>
      </w:r>
    </w:p>
    <w:p>
      <w:pPr>
        <w:pStyle w:val="ListParagraph"/>
        <w:numPr>
          <w:ilvl w:val="1"/>
          <w:numId w:val="54"/>
        </w:numPr>
        <w:tabs>
          <w:tab w:pos="1679" w:val="left" w:leader="none"/>
        </w:tabs>
        <w:spacing w:line="240" w:lineRule="auto" w:before="1" w:after="0"/>
        <w:ind w:left="1679" w:right="0" w:hanging="486"/>
        <w:jc w:val="both"/>
        <w:rPr>
          <w:sz w:val="24"/>
        </w:rPr>
      </w:pPr>
      <w:r>
        <w:rPr>
          <w:sz w:val="24"/>
        </w:rPr>
        <w:t>That</w:t>
      </w:r>
      <w:r>
        <w:rPr>
          <w:spacing w:val="-2"/>
          <w:sz w:val="24"/>
        </w:rPr>
        <w:t> </w:t>
      </w:r>
      <w:r>
        <w:rPr>
          <w:sz w:val="24"/>
        </w:rPr>
        <w:t>the</w:t>
      </w:r>
      <w:r>
        <w:rPr>
          <w:spacing w:val="-2"/>
          <w:sz w:val="24"/>
        </w:rPr>
        <w:t> </w:t>
      </w:r>
      <w:r>
        <w:rPr>
          <w:sz w:val="24"/>
        </w:rPr>
        <w:t>amount</w:t>
      </w:r>
      <w:r>
        <w:rPr>
          <w:spacing w:val="-1"/>
          <w:sz w:val="24"/>
        </w:rPr>
        <w:t> </w:t>
      </w:r>
      <w:r>
        <w:rPr>
          <w:sz w:val="24"/>
        </w:rPr>
        <w:t>appropriated</w:t>
      </w:r>
      <w:r>
        <w:rPr>
          <w:spacing w:val="-1"/>
          <w:sz w:val="24"/>
        </w:rPr>
        <w:t> </w:t>
      </w:r>
      <w:r>
        <w:rPr>
          <w:sz w:val="24"/>
        </w:rPr>
        <w:t>for</w:t>
      </w:r>
      <w:r>
        <w:rPr>
          <w:spacing w:val="-2"/>
          <w:sz w:val="24"/>
        </w:rPr>
        <w:t> </w:t>
      </w:r>
      <w:r>
        <w:rPr>
          <w:sz w:val="24"/>
        </w:rPr>
        <w:t>the</w:t>
      </w:r>
      <w:r>
        <w:rPr>
          <w:spacing w:val="-1"/>
          <w:sz w:val="24"/>
        </w:rPr>
        <w:t> </w:t>
      </w:r>
      <w:r>
        <w:rPr>
          <w:sz w:val="24"/>
        </w:rPr>
        <w:t>payment</w:t>
      </w:r>
      <w:r>
        <w:rPr>
          <w:spacing w:val="-1"/>
          <w:sz w:val="24"/>
        </w:rPr>
        <w:t> </w:t>
      </w:r>
      <w:r>
        <w:rPr>
          <w:sz w:val="24"/>
        </w:rPr>
        <w:t>is</w:t>
      </w:r>
      <w:r>
        <w:rPr>
          <w:spacing w:val="-1"/>
          <w:sz w:val="24"/>
        </w:rPr>
        <w:t> </w:t>
      </w:r>
      <w:r>
        <w:rPr>
          <w:sz w:val="24"/>
        </w:rPr>
        <w:t>insufficient,</w:t>
      </w:r>
      <w:r>
        <w:rPr>
          <w:spacing w:val="-1"/>
          <w:sz w:val="24"/>
        </w:rPr>
        <w:t> </w:t>
      </w:r>
      <w:r>
        <w:rPr>
          <w:spacing w:val="-5"/>
          <w:sz w:val="24"/>
        </w:rPr>
        <w:t>or</w:t>
      </w:r>
    </w:p>
    <w:p>
      <w:pPr>
        <w:pStyle w:val="ListParagraph"/>
        <w:numPr>
          <w:ilvl w:val="1"/>
          <w:numId w:val="54"/>
        </w:numPr>
        <w:tabs>
          <w:tab w:pos="1678" w:val="left" w:leader="none"/>
          <w:tab w:pos="1680" w:val="left" w:leader="none"/>
        </w:tabs>
        <w:spacing w:line="360" w:lineRule="auto" w:before="136" w:after="0"/>
        <w:ind w:left="1680" w:right="836" w:hanging="555"/>
        <w:jc w:val="both"/>
        <w:rPr>
          <w:sz w:val="24"/>
        </w:rPr>
      </w:pPr>
      <w:r>
        <w:rPr>
          <w:sz w:val="24"/>
        </w:rPr>
        <w:t>That a need has arisen for the expenditure for a purpose for which no amount has been appropriated by the laws, a supplementary estimate showing the sums required shall be laid before the House and the heads of any such expenditure</w:t>
      </w:r>
      <w:r>
        <w:rPr>
          <w:spacing w:val="40"/>
          <w:sz w:val="24"/>
        </w:rPr>
        <w:t> </w:t>
      </w:r>
      <w:r>
        <w:rPr>
          <w:sz w:val="24"/>
        </w:rPr>
        <w:t>shall be included in ‗Supplementary Appropriation Law‘.</w:t>
      </w:r>
    </w:p>
    <w:p>
      <w:pPr>
        <w:pStyle w:val="ListParagraph"/>
        <w:numPr>
          <w:ilvl w:val="0"/>
          <w:numId w:val="54"/>
        </w:numPr>
        <w:tabs>
          <w:tab w:pos="960" w:val="left" w:leader="none"/>
        </w:tabs>
        <w:spacing w:line="360" w:lineRule="auto" w:before="0" w:after="0"/>
        <w:ind w:left="960" w:right="840" w:hanging="360"/>
        <w:jc w:val="both"/>
        <w:rPr>
          <w:sz w:val="24"/>
        </w:rPr>
      </w:pPr>
      <w:r>
        <w:rPr>
          <w:b/>
          <w:sz w:val="24"/>
        </w:rPr>
        <w:t>Contingency Fund</w:t>
      </w:r>
      <w:r>
        <w:rPr>
          <w:sz w:val="24"/>
        </w:rPr>
        <w:t>: Flexibility is also offered by the use of contingency fund. When there is an unforeseen and urgent need, advance is made from the contingency fund to meet the need.</w:t>
      </w:r>
      <w:r>
        <w:rPr>
          <w:spacing w:val="40"/>
          <w:sz w:val="24"/>
        </w:rPr>
        <w:t> </w:t>
      </w:r>
      <w:r>
        <w:rPr>
          <w:sz w:val="24"/>
        </w:rPr>
        <w:t>Thereafter, supplementary estimates shall be presented and a Supplementary Appropriation Bill is presented within 30 days for the purposes of replacing the amount so advanced.</w:t>
      </w:r>
    </w:p>
    <w:p>
      <w:pPr>
        <w:pStyle w:val="BodyText"/>
        <w:spacing w:before="144"/>
      </w:pPr>
    </w:p>
    <w:p>
      <w:pPr>
        <w:pStyle w:val="Heading4"/>
        <w:numPr>
          <w:ilvl w:val="2"/>
          <w:numId w:val="27"/>
        </w:numPr>
        <w:tabs>
          <w:tab w:pos="839" w:val="left" w:leader="none"/>
        </w:tabs>
        <w:spacing w:line="240" w:lineRule="auto" w:before="0" w:after="0"/>
        <w:ind w:left="839" w:right="0" w:hanging="599"/>
        <w:jc w:val="both"/>
        <w:rPr>
          <w:sz w:val="22"/>
        </w:rPr>
      </w:pPr>
      <w:r>
        <w:rPr/>
        <w:t>`</w:t>
      </w:r>
      <w:r>
        <w:rPr>
          <w:spacing w:val="-3"/>
        </w:rPr>
        <w:t> </w:t>
      </w:r>
      <w:r>
        <w:rPr/>
        <w:t>Characteristics</w:t>
      </w:r>
      <w:r>
        <w:rPr>
          <w:spacing w:val="-1"/>
        </w:rPr>
        <w:t> </w:t>
      </w:r>
      <w:r>
        <w:rPr/>
        <w:t>of</w:t>
      </w:r>
      <w:r>
        <w:rPr>
          <w:spacing w:val="-1"/>
        </w:rPr>
        <w:t> </w:t>
      </w:r>
      <w:r>
        <w:rPr/>
        <w:t>Budget</w:t>
      </w:r>
      <w:r>
        <w:rPr>
          <w:spacing w:val="-2"/>
        </w:rPr>
        <w:t> </w:t>
      </w:r>
      <w:r>
        <w:rPr/>
        <w:t>Administration</w:t>
      </w:r>
      <w:r>
        <w:rPr>
          <w:spacing w:val="-2"/>
        </w:rPr>
        <w:t> </w:t>
      </w:r>
      <w:r>
        <w:rPr/>
        <w:t>in</w:t>
      </w:r>
      <w:r>
        <w:rPr>
          <w:spacing w:val="-1"/>
        </w:rPr>
        <w:t> </w:t>
      </w:r>
      <w:r>
        <w:rPr>
          <w:spacing w:val="-2"/>
        </w:rPr>
        <w:t>Nigeria</w:t>
      </w:r>
    </w:p>
    <w:p>
      <w:pPr>
        <w:pStyle w:val="BodyText"/>
        <w:spacing w:line="360" w:lineRule="auto" w:before="238"/>
        <w:ind w:left="240" w:right="846"/>
        <w:jc w:val="both"/>
      </w:pPr>
      <w:r>
        <w:rPr/>
        <w:t>Emma (2001) explicates that for public budget in Nigeria to be efficient and effective, it must have certain essential features, namely: a budget period, a budget center, a limiting factor, a budget committee, a budget officer and a budget timetable.</w:t>
      </w:r>
    </w:p>
    <w:p>
      <w:pPr>
        <w:pStyle w:val="ListParagraph"/>
        <w:numPr>
          <w:ilvl w:val="0"/>
          <w:numId w:val="55"/>
        </w:numPr>
        <w:tabs>
          <w:tab w:pos="589" w:val="left" w:leader="none"/>
        </w:tabs>
        <w:spacing w:line="360" w:lineRule="auto" w:before="171" w:after="0"/>
        <w:ind w:left="240" w:right="838" w:firstLine="0"/>
        <w:jc w:val="both"/>
        <w:rPr>
          <w:sz w:val="24"/>
        </w:rPr>
      </w:pPr>
      <w:r>
        <w:rPr>
          <w:b/>
          <w:sz w:val="24"/>
        </w:rPr>
        <w:t>Budget Period: </w:t>
      </w:r>
      <w:r>
        <w:rPr>
          <w:sz w:val="24"/>
        </w:rPr>
        <w:t>This is the period covered by the Budget. It is the period for which forecast can be reasonably made in an organization. It is customary to use the budget as the unit of time for</w:t>
      </w:r>
      <w:r>
        <w:rPr>
          <w:spacing w:val="-2"/>
          <w:sz w:val="24"/>
        </w:rPr>
        <w:t> </w:t>
      </w:r>
      <w:r>
        <w:rPr>
          <w:sz w:val="24"/>
        </w:rPr>
        <w:t>which the</w:t>
      </w:r>
      <w:r>
        <w:rPr>
          <w:spacing w:val="-1"/>
          <w:sz w:val="24"/>
        </w:rPr>
        <w:t> </w:t>
      </w:r>
      <w:r>
        <w:rPr>
          <w:sz w:val="24"/>
        </w:rPr>
        <w:t>vital comparison of</w:t>
      </w:r>
      <w:r>
        <w:rPr>
          <w:spacing w:val="-1"/>
          <w:sz w:val="24"/>
        </w:rPr>
        <w:t> </w:t>
      </w:r>
      <w:r>
        <w:rPr>
          <w:sz w:val="24"/>
        </w:rPr>
        <w:t>the</w:t>
      </w:r>
      <w:r>
        <w:rPr>
          <w:spacing w:val="-1"/>
          <w:sz w:val="24"/>
        </w:rPr>
        <w:t> </w:t>
      </w:r>
      <w:r>
        <w:rPr>
          <w:sz w:val="24"/>
        </w:rPr>
        <w:t>actual expenditure</w:t>
      </w:r>
      <w:r>
        <w:rPr>
          <w:spacing w:val="-1"/>
          <w:sz w:val="24"/>
        </w:rPr>
        <w:t> </w:t>
      </w:r>
      <w:r>
        <w:rPr>
          <w:sz w:val="24"/>
        </w:rPr>
        <w:t>to which budget is made. In many</w:t>
      </w:r>
      <w:r>
        <w:rPr>
          <w:spacing w:val="-5"/>
          <w:sz w:val="24"/>
        </w:rPr>
        <w:t> </w:t>
      </w:r>
      <w:r>
        <w:rPr>
          <w:sz w:val="24"/>
        </w:rPr>
        <w:t>cases, a budget for a long period is built up as a general objective of an organization, but supplemented by a short period budgets prepared in greater details for the attainment of the objective.</w:t>
      </w:r>
    </w:p>
    <w:p>
      <w:pPr>
        <w:pStyle w:val="BodyText"/>
        <w:spacing w:line="360" w:lineRule="auto" w:before="209"/>
        <w:ind w:left="240" w:right="841"/>
        <w:jc w:val="both"/>
      </w:pPr>
      <w:r>
        <w:rPr/>
        <w:t>The short period budget is compared period by period with the long term budget so that the management</w:t>
      </w:r>
      <w:r>
        <w:rPr>
          <w:spacing w:val="27"/>
        </w:rPr>
        <w:t> </w:t>
      </w:r>
      <w:r>
        <w:rPr/>
        <w:t>can</w:t>
      </w:r>
      <w:r>
        <w:rPr>
          <w:spacing w:val="30"/>
        </w:rPr>
        <w:t> </w:t>
      </w:r>
      <w:r>
        <w:rPr/>
        <w:t>see</w:t>
      </w:r>
      <w:r>
        <w:rPr>
          <w:spacing w:val="29"/>
        </w:rPr>
        <w:t> </w:t>
      </w:r>
      <w:r>
        <w:rPr/>
        <w:t>if</w:t>
      </w:r>
      <w:r>
        <w:rPr>
          <w:spacing w:val="33"/>
        </w:rPr>
        <w:t> </w:t>
      </w:r>
      <w:r>
        <w:rPr/>
        <w:t>and</w:t>
      </w:r>
      <w:r>
        <w:rPr>
          <w:spacing w:val="30"/>
        </w:rPr>
        <w:t> </w:t>
      </w:r>
      <w:r>
        <w:rPr/>
        <w:t>how</w:t>
      </w:r>
      <w:r>
        <w:rPr>
          <w:spacing w:val="29"/>
        </w:rPr>
        <w:t> </w:t>
      </w:r>
      <w:r>
        <w:rPr/>
        <w:t>projects</w:t>
      </w:r>
      <w:r>
        <w:rPr>
          <w:spacing w:val="31"/>
        </w:rPr>
        <w:t> </w:t>
      </w:r>
      <w:r>
        <w:rPr/>
        <w:t>are</w:t>
      </w:r>
      <w:r>
        <w:rPr>
          <w:spacing w:val="33"/>
        </w:rPr>
        <w:t> </w:t>
      </w:r>
      <w:r>
        <w:rPr/>
        <w:t>progressing</w:t>
      </w:r>
      <w:r>
        <w:rPr>
          <w:spacing w:val="28"/>
        </w:rPr>
        <w:t> </w:t>
      </w:r>
      <w:r>
        <w:rPr/>
        <w:t>satisfactorily</w:t>
      </w:r>
      <w:r>
        <w:rPr>
          <w:spacing w:val="28"/>
        </w:rPr>
        <w:t> </w:t>
      </w:r>
      <w:r>
        <w:rPr/>
        <w:t>along</w:t>
      </w:r>
      <w:r>
        <w:rPr>
          <w:spacing w:val="28"/>
        </w:rPr>
        <w:t> </w:t>
      </w:r>
      <w:r>
        <w:rPr/>
        <w:t>the</w:t>
      </w:r>
      <w:r>
        <w:rPr>
          <w:spacing w:val="32"/>
        </w:rPr>
        <w:t> </w:t>
      </w:r>
      <w:r>
        <w:rPr/>
        <w:t>general</w:t>
      </w:r>
      <w:r>
        <w:rPr>
          <w:spacing w:val="31"/>
        </w:rPr>
        <w:t> </w:t>
      </w:r>
      <w:r>
        <w:rPr>
          <w:spacing w:val="-2"/>
        </w:rPr>
        <w:t>lines</w:t>
      </w:r>
    </w:p>
    <w:p>
      <w:pPr>
        <w:spacing w:after="0" w:line="360" w:lineRule="auto"/>
        <w:jc w:val="both"/>
        <w:sectPr>
          <w:pgSz w:w="12240" w:h="15840"/>
          <w:pgMar w:header="0" w:footer="1036" w:top="1360" w:bottom="1220" w:left="1200" w:right="600"/>
        </w:sectPr>
      </w:pPr>
    </w:p>
    <w:p>
      <w:pPr>
        <w:pStyle w:val="BodyText"/>
        <w:spacing w:line="360" w:lineRule="auto" w:before="74"/>
        <w:ind w:left="240" w:right="840"/>
      </w:pPr>
      <w:r>
        <w:rPr/>
        <w:t>laid down. In some cases, the long term budgets are made as a result of experience on the short</w:t>
      </w:r>
      <w:r>
        <w:rPr>
          <w:spacing w:val="40"/>
        </w:rPr>
        <w:t> </w:t>
      </w:r>
      <w:r>
        <w:rPr/>
        <w:t>term budgets.</w:t>
      </w:r>
    </w:p>
    <w:p>
      <w:pPr>
        <w:pStyle w:val="ListParagraph"/>
        <w:numPr>
          <w:ilvl w:val="0"/>
          <w:numId w:val="55"/>
        </w:numPr>
        <w:tabs>
          <w:tab w:pos="621" w:val="left" w:leader="none"/>
        </w:tabs>
        <w:spacing w:line="360" w:lineRule="auto" w:before="207" w:after="0"/>
        <w:ind w:left="240" w:right="839" w:firstLine="0"/>
        <w:jc w:val="both"/>
        <w:rPr>
          <w:sz w:val="24"/>
        </w:rPr>
      </w:pPr>
      <w:r>
        <w:rPr>
          <w:b/>
          <w:sz w:val="24"/>
        </w:rPr>
        <w:t>Budget Centre: </w:t>
      </w:r>
      <w:r>
        <w:rPr>
          <w:sz w:val="24"/>
        </w:rPr>
        <w:t>Control in budgeting could only be attained through people, thus, budget allocation and actual cost approvals have to be assigned to people who can be held accountable for its control. Therefore, an organization is broken down into budget centre like departments, units, sections. A budget centre is thus a location to which cost may be changed like those mentioned above, and the responsibility of this cost being wholly and exclusively borne by a single member of the organization. For example, the head of a department is such a single member that can be held responsible for the department‘s budget votes.</w:t>
      </w:r>
    </w:p>
    <w:p>
      <w:pPr>
        <w:pStyle w:val="ListParagraph"/>
        <w:numPr>
          <w:ilvl w:val="0"/>
          <w:numId w:val="55"/>
        </w:numPr>
        <w:tabs>
          <w:tab w:pos="591" w:val="left" w:leader="none"/>
        </w:tabs>
        <w:spacing w:line="360" w:lineRule="auto" w:before="172" w:after="0"/>
        <w:ind w:left="240" w:right="839" w:firstLine="0"/>
        <w:jc w:val="both"/>
        <w:rPr>
          <w:sz w:val="24"/>
        </w:rPr>
      </w:pPr>
      <w:r>
        <w:rPr>
          <w:b/>
          <w:sz w:val="24"/>
        </w:rPr>
        <w:t>Principal Budget Factor of Limiting Factor:</w:t>
      </w:r>
      <w:r>
        <w:rPr>
          <w:b/>
          <w:spacing w:val="40"/>
          <w:sz w:val="24"/>
        </w:rPr>
        <w:t> </w:t>
      </w:r>
      <w:r>
        <w:rPr>
          <w:sz w:val="24"/>
        </w:rPr>
        <w:t>Certain factors hinder the expansion of an organization. For instance, in a trading organization, such factor could be sales, but in the Bureaucracy or public organizations, it is fund. However, there are other factors which may also limit enterprise activities, such as shortage of manpower, machinery, fund, space. Where a limitation</w:t>
      </w:r>
      <w:r>
        <w:rPr>
          <w:spacing w:val="-4"/>
          <w:sz w:val="24"/>
        </w:rPr>
        <w:t> </w:t>
      </w:r>
      <w:r>
        <w:rPr>
          <w:sz w:val="24"/>
        </w:rPr>
        <w:t>is</w:t>
      </w:r>
      <w:r>
        <w:rPr>
          <w:spacing w:val="-4"/>
          <w:sz w:val="24"/>
        </w:rPr>
        <w:t> </w:t>
      </w:r>
      <w:r>
        <w:rPr>
          <w:sz w:val="24"/>
        </w:rPr>
        <w:t>imposed</w:t>
      </w:r>
      <w:r>
        <w:rPr>
          <w:spacing w:val="-5"/>
          <w:sz w:val="24"/>
        </w:rPr>
        <w:t> </w:t>
      </w:r>
      <w:r>
        <w:rPr>
          <w:sz w:val="24"/>
        </w:rPr>
        <w:t>by</w:t>
      </w:r>
      <w:r>
        <w:rPr>
          <w:spacing w:val="-10"/>
          <w:sz w:val="24"/>
        </w:rPr>
        <w:t> </w:t>
      </w:r>
      <w:r>
        <w:rPr>
          <w:sz w:val="24"/>
        </w:rPr>
        <w:t>any</w:t>
      </w:r>
      <w:r>
        <w:rPr>
          <w:spacing w:val="-7"/>
          <w:sz w:val="24"/>
        </w:rPr>
        <w:t> </w:t>
      </w:r>
      <w:r>
        <w:rPr>
          <w:sz w:val="24"/>
        </w:rPr>
        <w:t>of</w:t>
      </w:r>
      <w:r>
        <w:rPr>
          <w:spacing w:val="-5"/>
          <w:sz w:val="24"/>
        </w:rPr>
        <w:t> </w:t>
      </w:r>
      <w:r>
        <w:rPr>
          <w:sz w:val="24"/>
        </w:rPr>
        <w:t>the</w:t>
      </w:r>
      <w:r>
        <w:rPr>
          <w:spacing w:val="-3"/>
          <w:sz w:val="24"/>
        </w:rPr>
        <w:t> </w:t>
      </w:r>
      <w:r>
        <w:rPr>
          <w:sz w:val="24"/>
        </w:rPr>
        <w:t>underlying</w:t>
      </w:r>
      <w:r>
        <w:rPr>
          <w:spacing w:val="-7"/>
          <w:sz w:val="24"/>
        </w:rPr>
        <w:t> </w:t>
      </w:r>
      <w:r>
        <w:rPr>
          <w:sz w:val="24"/>
        </w:rPr>
        <w:t>factors,</w:t>
      </w:r>
      <w:r>
        <w:rPr>
          <w:spacing w:val="-4"/>
          <w:sz w:val="24"/>
        </w:rPr>
        <w:t> </w:t>
      </w:r>
      <w:r>
        <w:rPr>
          <w:sz w:val="24"/>
        </w:rPr>
        <w:t>it</w:t>
      </w:r>
      <w:r>
        <w:rPr>
          <w:spacing w:val="-4"/>
          <w:sz w:val="24"/>
        </w:rPr>
        <w:t> </w:t>
      </w:r>
      <w:r>
        <w:rPr>
          <w:sz w:val="24"/>
        </w:rPr>
        <w:t>is</w:t>
      </w:r>
      <w:r>
        <w:rPr>
          <w:spacing w:val="-5"/>
          <w:sz w:val="24"/>
        </w:rPr>
        <w:t> </w:t>
      </w:r>
      <w:r>
        <w:rPr>
          <w:sz w:val="24"/>
        </w:rPr>
        <w:t>known</w:t>
      </w:r>
      <w:r>
        <w:rPr>
          <w:spacing w:val="-4"/>
          <w:sz w:val="24"/>
        </w:rPr>
        <w:t> </w:t>
      </w:r>
      <w:r>
        <w:rPr>
          <w:sz w:val="24"/>
        </w:rPr>
        <w:t>as</w:t>
      </w:r>
      <w:r>
        <w:rPr>
          <w:spacing w:val="-5"/>
          <w:sz w:val="24"/>
        </w:rPr>
        <w:t> </w:t>
      </w:r>
      <w:r>
        <w:rPr>
          <w:sz w:val="24"/>
        </w:rPr>
        <w:t>‗principal</w:t>
      </w:r>
      <w:r>
        <w:rPr>
          <w:spacing w:val="-4"/>
          <w:sz w:val="24"/>
        </w:rPr>
        <w:t> </w:t>
      </w:r>
      <w:r>
        <w:rPr>
          <w:sz w:val="24"/>
        </w:rPr>
        <w:t>budget</w:t>
      </w:r>
      <w:r>
        <w:rPr>
          <w:spacing w:val="-4"/>
          <w:sz w:val="24"/>
        </w:rPr>
        <w:t> </w:t>
      </w:r>
      <w:r>
        <w:rPr>
          <w:sz w:val="24"/>
        </w:rPr>
        <w:t>factor‘</w:t>
      </w:r>
      <w:r>
        <w:rPr>
          <w:spacing w:val="-3"/>
          <w:sz w:val="24"/>
        </w:rPr>
        <w:t> </w:t>
      </w:r>
      <w:r>
        <w:rPr>
          <w:sz w:val="24"/>
        </w:rPr>
        <w:t>for the particular organization concerned.</w:t>
      </w:r>
      <w:r>
        <w:rPr>
          <w:spacing w:val="40"/>
          <w:sz w:val="24"/>
        </w:rPr>
        <w:t> </w:t>
      </w:r>
      <w:r>
        <w:rPr>
          <w:sz w:val="24"/>
        </w:rPr>
        <w:t>It must therefore be determined and its values (effects) assessed before any other factor is budgeted for. The main objective of the management is to make plans which will ensure that the principal budget factor is utilized to a maximum. In some cases, principal budget factor or limiting factor does not remain constant and if the limitations imposed by one factor are removed, then another factor takes its place.</w:t>
      </w:r>
    </w:p>
    <w:p>
      <w:pPr>
        <w:pStyle w:val="ListParagraph"/>
        <w:numPr>
          <w:ilvl w:val="0"/>
          <w:numId w:val="55"/>
        </w:numPr>
        <w:tabs>
          <w:tab w:pos="616" w:val="left" w:leader="none"/>
        </w:tabs>
        <w:spacing w:line="360" w:lineRule="auto" w:before="265" w:after="0"/>
        <w:ind w:left="240" w:right="838" w:firstLine="0"/>
        <w:jc w:val="both"/>
        <w:rPr>
          <w:sz w:val="24"/>
        </w:rPr>
      </w:pPr>
      <w:r>
        <w:rPr>
          <w:b/>
          <w:sz w:val="24"/>
        </w:rPr>
        <w:t>Budget Committee: </w:t>
      </w:r>
      <w:r>
        <w:rPr>
          <w:sz w:val="24"/>
        </w:rPr>
        <w:t>It is important to have a coordinating authority which is necessary to resolve difficulties and disputes which arises between the departmental heads in relation to the budget they submitted. It must be borne in mind that the aim of budgeting is to produce a</w:t>
      </w:r>
      <w:r>
        <w:rPr>
          <w:spacing w:val="40"/>
          <w:sz w:val="24"/>
        </w:rPr>
        <w:t> </w:t>
      </w:r>
      <w:r>
        <w:rPr>
          <w:sz w:val="24"/>
        </w:rPr>
        <w:t>forecast of how all the various sections of the business should behave, decision of this nature are that of the chief executive, though a committee is normally appointed, which comprises the departmental heads. This committee is called the ‗budget committee‘.</w:t>
      </w:r>
    </w:p>
    <w:p>
      <w:pPr>
        <w:pStyle w:val="ListParagraph"/>
        <w:numPr>
          <w:ilvl w:val="0"/>
          <w:numId w:val="55"/>
        </w:numPr>
        <w:tabs>
          <w:tab w:pos="587" w:val="left" w:leader="none"/>
        </w:tabs>
        <w:spacing w:line="360" w:lineRule="auto" w:before="275" w:after="0"/>
        <w:ind w:left="240" w:right="845" w:firstLine="0"/>
        <w:jc w:val="both"/>
        <w:rPr>
          <w:sz w:val="24"/>
        </w:rPr>
      </w:pPr>
      <w:r>
        <w:rPr>
          <w:b/>
          <w:sz w:val="24"/>
        </w:rPr>
        <w:t>Budget Officer: </w:t>
      </w:r>
      <w:r>
        <w:rPr>
          <w:sz w:val="24"/>
        </w:rPr>
        <w:t>In addition to the budget committee, a budget officer is always appointed and his work is essentially that of a secretary to the committee and entails the following </w:t>
      </w:r>
      <w:r>
        <w:rPr>
          <w:spacing w:val="-2"/>
          <w:sz w:val="24"/>
        </w:rPr>
        <w:t>functions:</w:t>
      </w:r>
    </w:p>
    <w:p>
      <w:pPr>
        <w:spacing w:after="0" w:line="360" w:lineRule="auto"/>
        <w:jc w:val="both"/>
        <w:rPr>
          <w:sz w:val="24"/>
        </w:rPr>
        <w:sectPr>
          <w:pgSz w:w="12240" w:h="15840"/>
          <w:pgMar w:header="0" w:footer="1036" w:top="1360" w:bottom="1220" w:left="1200" w:right="600"/>
        </w:sectPr>
      </w:pPr>
    </w:p>
    <w:p>
      <w:pPr>
        <w:pStyle w:val="ListParagraph"/>
        <w:numPr>
          <w:ilvl w:val="1"/>
          <w:numId w:val="55"/>
        </w:numPr>
        <w:tabs>
          <w:tab w:pos="960" w:val="left" w:leader="none"/>
        </w:tabs>
        <w:spacing w:line="360" w:lineRule="auto" w:before="74" w:after="0"/>
        <w:ind w:left="960" w:right="840" w:hanging="488"/>
        <w:jc w:val="left"/>
        <w:rPr>
          <w:sz w:val="24"/>
        </w:rPr>
      </w:pPr>
      <w:r>
        <w:rPr>
          <w:sz w:val="24"/>
        </w:rPr>
        <w:t>Ensuring</w:t>
      </w:r>
      <w:r>
        <w:rPr>
          <w:spacing w:val="32"/>
          <w:sz w:val="24"/>
        </w:rPr>
        <w:t> </w:t>
      </w:r>
      <w:r>
        <w:rPr>
          <w:sz w:val="24"/>
        </w:rPr>
        <w:t>that</w:t>
      </w:r>
      <w:r>
        <w:rPr>
          <w:spacing w:val="34"/>
          <w:sz w:val="24"/>
        </w:rPr>
        <w:t> </w:t>
      </w:r>
      <w:r>
        <w:rPr>
          <w:sz w:val="24"/>
        </w:rPr>
        <w:t>the</w:t>
      </w:r>
      <w:r>
        <w:rPr>
          <w:spacing w:val="33"/>
          <w:sz w:val="24"/>
        </w:rPr>
        <w:t> </w:t>
      </w:r>
      <w:r>
        <w:rPr>
          <w:sz w:val="24"/>
        </w:rPr>
        <w:t>committee‘s</w:t>
      </w:r>
      <w:r>
        <w:rPr>
          <w:spacing w:val="33"/>
          <w:sz w:val="24"/>
        </w:rPr>
        <w:t> </w:t>
      </w:r>
      <w:r>
        <w:rPr>
          <w:sz w:val="24"/>
        </w:rPr>
        <w:t>secretarial</w:t>
      </w:r>
      <w:r>
        <w:rPr>
          <w:spacing w:val="34"/>
          <w:sz w:val="24"/>
        </w:rPr>
        <w:t> </w:t>
      </w:r>
      <w:r>
        <w:rPr>
          <w:sz w:val="24"/>
        </w:rPr>
        <w:t>work</w:t>
      </w:r>
      <w:r>
        <w:rPr>
          <w:spacing w:val="34"/>
          <w:sz w:val="24"/>
        </w:rPr>
        <w:t> </w:t>
      </w:r>
      <w:r>
        <w:rPr>
          <w:sz w:val="24"/>
        </w:rPr>
        <w:t>is</w:t>
      </w:r>
      <w:r>
        <w:rPr>
          <w:spacing w:val="34"/>
          <w:sz w:val="24"/>
        </w:rPr>
        <w:t> </w:t>
      </w:r>
      <w:r>
        <w:rPr>
          <w:sz w:val="24"/>
        </w:rPr>
        <w:t>carried</w:t>
      </w:r>
      <w:r>
        <w:rPr>
          <w:spacing w:val="33"/>
          <w:sz w:val="24"/>
        </w:rPr>
        <w:t> </w:t>
      </w:r>
      <w:r>
        <w:rPr>
          <w:sz w:val="24"/>
        </w:rPr>
        <w:t>out</w:t>
      </w:r>
      <w:r>
        <w:rPr>
          <w:spacing w:val="37"/>
          <w:sz w:val="24"/>
        </w:rPr>
        <w:t> </w:t>
      </w:r>
      <w:r>
        <w:rPr>
          <w:sz w:val="24"/>
        </w:rPr>
        <w:t>–</w:t>
      </w:r>
      <w:r>
        <w:rPr>
          <w:spacing w:val="34"/>
          <w:sz w:val="24"/>
        </w:rPr>
        <w:t> </w:t>
      </w:r>
      <w:r>
        <w:rPr>
          <w:sz w:val="24"/>
        </w:rPr>
        <w:t>preparation</w:t>
      </w:r>
      <w:r>
        <w:rPr>
          <w:spacing w:val="34"/>
          <w:sz w:val="24"/>
        </w:rPr>
        <w:t> </w:t>
      </w:r>
      <w:r>
        <w:rPr>
          <w:sz w:val="24"/>
        </w:rPr>
        <w:t>of</w:t>
      </w:r>
      <w:r>
        <w:rPr>
          <w:spacing w:val="33"/>
          <w:sz w:val="24"/>
        </w:rPr>
        <w:t> </w:t>
      </w:r>
      <w:r>
        <w:rPr>
          <w:sz w:val="24"/>
        </w:rPr>
        <w:t>agenda, minutes and sending notices of meeting;</w:t>
      </w:r>
    </w:p>
    <w:p>
      <w:pPr>
        <w:pStyle w:val="ListParagraph"/>
        <w:numPr>
          <w:ilvl w:val="1"/>
          <w:numId w:val="55"/>
        </w:numPr>
        <w:tabs>
          <w:tab w:pos="960" w:val="left" w:leader="none"/>
        </w:tabs>
        <w:spacing w:line="240" w:lineRule="auto" w:before="1" w:after="0"/>
        <w:ind w:left="960" w:right="0" w:hanging="554"/>
        <w:jc w:val="left"/>
        <w:rPr>
          <w:sz w:val="24"/>
        </w:rPr>
      </w:pPr>
      <w:r>
        <w:rPr>
          <w:sz w:val="24"/>
        </w:rPr>
        <w:t>Ensuring</w:t>
      </w:r>
      <w:r>
        <w:rPr>
          <w:spacing w:val="-6"/>
          <w:sz w:val="24"/>
        </w:rPr>
        <w:t> </w:t>
      </w:r>
      <w:r>
        <w:rPr>
          <w:sz w:val="24"/>
        </w:rPr>
        <w:t>that</w:t>
      </w:r>
      <w:r>
        <w:rPr>
          <w:spacing w:val="-1"/>
          <w:sz w:val="24"/>
        </w:rPr>
        <w:t> </w:t>
      </w:r>
      <w:r>
        <w:rPr>
          <w:sz w:val="24"/>
        </w:rPr>
        <w:t>the committee‘s</w:t>
      </w:r>
      <w:r>
        <w:rPr>
          <w:spacing w:val="-2"/>
          <w:sz w:val="24"/>
        </w:rPr>
        <w:t> </w:t>
      </w:r>
      <w:r>
        <w:rPr>
          <w:sz w:val="24"/>
        </w:rPr>
        <w:t>instructions</w:t>
      </w:r>
      <w:r>
        <w:rPr>
          <w:spacing w:val="-2"/>
          <w:sz w:val="24"/>
        </w:rPr>
        <w:t> </w:t>
      </w:r>
      <w:r>
        <w:rPr>
          <w:sz w:val="24"/>
        </w:rPr>
        <w:t>are</w:t>
      </w:r>
      <w:r>
        <w:rPr>
          <w:spacing w:val="-2"/>
          <w:sz w:val="24"/>
        </w:rPr>
        <w:t> </w:t>
      </w:r>
      <w:r>
        <w:rPr>
          <w:sz w:val="24"/>
        </w:rPr>
        <w:t>passed</w:t>
      </w:r>
      <w:r>
        <w:rPr>
          <w:spacing w:val="-1"/>
          <w:sz w:val="24"/>
        </w:rPr>
        <w:t> </w:t>
      </w:r>
      <w:r>
        <w:rPr>
          <w:sz w:val="24"/>
        </w:rPr>
        <w:t>to</w:t>
      </w:r>
      <w:r>
        <w:rPr>
          <w:spacing w:val="-1"/>
          <w:sz w:val="24"/>
        </w:rPr>
        <w:t> </w:t>
      </w:r>
      <w:r>
        <w:rPr>
          <w:sz w:val="24"/>
        </w:rPr>
        <w:t>the</w:t>
      </w:r>
      <w:r>
        <w:rPr>
          <w:spacing w:val="-2"/>
          <w:sz w:val="24"/>
        </w:rPr>
        <w:t> </w:t>
      </w:r>
      <w:r>
        <w:rPr>
          <w:sz w:val="24"/>
        </w:rPr>
        <w:t>appropriate</w:t>
      </w:r>
      <w:r>
        <w:rPr>
          <w:spacing w:val="-2"/>
          <w:sz w:val="24"/>
        </w:rPr>
        <w:t> people;</w:t>
      </w:r>
    </w:p>
    <w:p>
      <w:pPr>
        <w:pStyle w:val="ListParagraph"/>
        <w:numPr>
          <w:ilvl w:val="1"/>
          <w:numId w:val="55"/>
        </w:numPr>
        <w:tabs>
          <w:tab w:pos="960" w:val="left" w:leader="none"/>
        </w:tabs>
        <w:spacing w:line="240" w:lineRule="auto" w:before="136" w:after="0"/>
        <w:ind w:left="960" w:right="0" w:hanging="619"/>
        <w:jc w:val="left"/>
        <w:rPr>
          <w:sz w:val="24"/>
        </w:rPr>
      </w:pPr>
      <w:r>
        <w:rPr>
          <w:sz w:val="24"/>
        </w:rPr>
        <w:t>Collecting</w:t>
      </w:r>
      <w:r>
        <w:rPr>
          <w:spacing w:val="-6"/>
          <w:sz w:val="24"/>
        </w:rPr>
        <w:t> </w:t>
      </w:r>
      <w:r>
        <w:rPr>
          <w:sz w:val="24"/>
        </w:rPr>
        <w:t>data</w:t>
      </w:r>
      <w:r>
        <w:rPr>
          <w:spacing w:val="1"/>
          <w:sz w:val="24"/>
        </w:rPr>
        <w:t> </w:t>
      </w:r>
      <w:r>
        <w:rPr>
          <w:sz w:val="24"/>
        </w:rPr>
        <w:t>and opinions</w:t>
      </w:r>
      <w:r>
        <w:rPr>
          <w:spacing w:val="-1"/>
          <w:sz w:val="24"/>
        </w:rPr>
        <w:t> </w:t>
      </w:r>
      <w:r>
        <w:rPr>
          <w:sz w:val="24"/>
        </w:rPr>
        <w:t>for</w:t>
      </w:r>
      <w:r>
        <w:rPr>
          <w:spacing w:val="-2"/>
          <w:sz w:val="24"/>
        </w:rPr>
        <w:t> </w:t>
      </w:r>
      <w:r>
        <w:rPr>
          <w:sz w:val="24"/>
        </w:rPr>
        <w:t>consideration</w:t>
      </w:r>
      <w:r>
        <w:rPr>
          <w:spacing w:val="-1"/>
          <w:sz w:val="24"/>
        </w:rPr>
        <w:t> </w:t>
      </w:r>
      <w:r>
        <w:rPr>
          <w:sz w:val="24"/>
        </w:rPr>
        <w:t>by</w:t>
      </w:r>
      <w:r>
        <w:rPr>
          <w:spacing w:val="-5"/>
          <w:sz w:val="24"/>
        </w:rPr>
        <w:t> </w:t>
      </w:r>
      <w:r>
        <w:rPr>
          <w:sz w:val="24"/>
        </w:rPr>
        <w:t>the</w:t>
      </w:r>
      <w:r>
        <w:rPr>
          <w:spacing w:val="-1"/>
          <w:sz w:val="24"/>
        </w:rPr>
        <w:t> </w:t>
      </w:r>
      <w:r>
        <w:rPr>
          <w:sz w:val="24"/>
        </w:rPr>
        <w:t>budget </w:t>
      </w:r>
      <w:r>
        <w:rPr>
          <w:spacing w:val="-2"/>
          <w:sz w:val="24"/>
        </w:rPr>
        <w:t>committee;</w:t>
      </w:r>
    </w:p>
    <w:p>
      <w:pPr>
        <w:pStyle w:val="ListParagraph"/>
        <w:numPr>
          <w:ilvl w:val="1"/>
          <w:numId w:val="55"/>
        </w:numPr>
        <w:tabs>
          <w:tab w:pos="960" w:val="left" w:leader="none"/>
        </w:tabs>
        <w:spacing w:line="360" w:lineRule="auto" w:before="140" w:after="0"/>
        <w:ind w:left="960" w:right="841" w:hanging="608"/>
        <w:jc w:val="left"/>
        <w:rPr>
          <w:sz w:val="24"/>
        </w:rPr>
      </w:pPr>
      <w:r>
        <w:rPr>
          <w:sz w:val="24"/>
        </w:rPr>
        <w:t>Keeping managers and departmental heads abreast of the budget time table by ensuring</w:t>
      </w:r>
      <w:r>
        <w:rPr>
          <w:spacing w:val="40"/>
          <w:sz w:val="24"/>
        </w:rPr>
        <w:t> </w:t>
      </w:r>
      <w:r>
        <w:rPr>
          <w:sz w:val="24"/>
        </w:rPr>
        <w:t>that they submit their preliminary budgets according to schedules or in time and</w:t>
      </w:r>
    </w:p>
    <w:p>
      <w:pPr>
        <w:pStyle w:val="ListParagraph"/>
        <w:numPr>
          <w:ilvl w:val="1"/>
          <w:numId w:val="55"/>
        </w:numPr>
        <w:tabs>
          <w:tab w:pos="960" w:val="left" w:leader="none"/>
        </w:tabs>
        <w:spacing w:line="240" w:lineRule="auto" w:before="0" w:after="0"/>
        <w:ind w:left="960" w:right="0" w:hanging="540"/>
        <w:jc w:val="left"/>
        <w:rPr>
          <w:sz w:val="24"/>
        </w:rPr>
      </w:pPr>
      <w:r>
        <w:rPr>
          <w:sz w:val="24"/>
        </w:rPr>
        <w:t>Coordinating</w:t>
      </w:r>
      <w:r>
        <w:rPr>
          <w:spacing w:val="-6"/>
          <w:sz w:val="24"/>
        </w:rPr>
        <w:t> </w:t>
      </w:r>
      <w:r>
        <w:rPr>
          <w:sz w:val="24"/>
        </w:rPr>
        <w:t>and briefing</w:t>
      </w:r>
      <w:r>
        <w:rPr>
          <w:spacing w:val="-3"/>
          <w:sz w:val="24"/>
        </w:rPr>
        <w:t> </w:t>
      </w:r>
      <w:r>
        <w:rPr>
          <w:sz w:val="24"/>
        </w:rPr>
        <w:t>members</w:t>
      </w:r>
      <w:r>
        <w:rPr>
          <w:spacing w:val="-1"/>
          <w:sz w:val="24"/>
        </w:rPr>
        <w:t> </w:t>
      </w:r>
      <w:r>
        <w:rPr>
          <w:sz w:val="24"/>
        </w:rPr>
        <w:t>of</w:t>
      </w:r>
      <w:r>
        <w:rPr>
          <w:spacing w:val="-2"/>
          <w:sz w:val="24"/>
        </w:rPr>
        <w:t> </w:t>
      </w:r>
      <w:r>
        <w:rPr>
          <w:sz w:val="24"/>
        </w:rPr>
        <w:t>the committee</w:t>
      </w:r>
      <w:r>
        <w:rPr>
          <w:spacing w:val="-2"/>
          <w:sz w:val="24"/>
        </w:rPr>
        <w:t> </w:t>
      </w:r>
      <w:r>
        <w:rPr>
          <w:sz w:val="24"/>
        </w:rPr>
        <w:t>on budget </w:t>
      </w:r>
      <w:r>
        <w:rPr>
          <w:spacing w:val="-2"/>
          <w:sz w:val="24"/>
        </w:rPr>
        <w:t>matters.</w:t>
      </w:r>
    </w:p>
    <w:p>
      <w:pPr>
        <w:pStyle w:val="BodyText"/>
        <w:spacing w:line="360" w:lineRule="auto" w:before="136"/>
        <w:ind w:left="600" w:right="840"/>
      </w:pPr>
      <w:r>
        <w:rPr/>
        <w:t>The</w:t>
      </w:r>
      <w:r>
        <w:rPr>
          <w:spacing w:val="40"/>
        </w:rPr>
        <w:t> </w:t>
      </w:r>
      <w:r>
        <w:rPr/>
        <w:t>budget</w:t>
      </w:r>
      <w:r>
        <w:rPr>
          <w:spacing w:val="63"/>
        </w:rPr>
        <w:t> </w:t>
      </w:r>
      <w:r>
        <w:rPr/>
        <w:t>officer</w:t>
      </w:r>
      <w:r>
        <w:rPr>
          <w:spacing w:val="40"/>
        </w:rPr>
        <w:t> </w:t>
      </w:r>
      <w:r>
        <w:rPr/>
        <w:t>in</w:t>
      </w:r>
      <w:r>
        <w:rPr>
          <w:spacing w:val="65"/>
        </w:rPr>
        <w:t> </w:t>
      </w:r>
      <w:r>
        <w:rPr/>
        <w:t>many</w:t>
      </w:r>
      <w:r>
        <w:rPr>
          <w:spacing w:val="40"/>
        </w:rPr>
        <w:t> </w:t>
      </w:r>
      <w:r>
        <w:rPr/>
        <w:t>cases</w:t>
      </w:r>
      <w:r>
        <w:rPr>
          <w:spacing w:val="40"/>
        </w:rPr>
        <w:t> </w:t>
      </w:r>
      <w:r>
        <w:rPr/>
        <w:t>is</w:t>
      </w:r>
      <w:r>
        <w:rPr>
          <w:spacing w:val="63"/>
        </w:rPr>
        <w:t> </w:t>
      </w:r>
      <w:r>
        <w:rPr/>
        <w:t>normally</w:t>
      </w:r>
      <w:r>
        <w:rPr>
          <w:spacing w:val="40"/>
        </w:rPr>
        <w:t> </w:t>
      </w:r>
      <w:r>
        <w:rPr/>
        <w:t>an</w:t>
      </w:r>
      <w:r>
        <w:rPr>
          <w:spacing w:val="40"/>
        </w:rPr>
        <w:t> </w:t>
      </w:r>
      <w:r>
        <w:rPr/>
        <w:t>accountant</w:t>
      </w:r>
      <w:r>
        <w:rPr>
          <w:spacing w:val="40"/>
        </w:rPr>
        <w:t> </w:t>
      </w:r>
      <w:r>
        <w:rPr/>
        <w:t>or</w:t>
      </w:r>
      <w:r>
        <w:rPr>
          <w:spacing w:val="40"/>
        </w:rPr>
        <w:t> </w:t>
      </w:r>
      <w:r>
        <w:rPr/>
        <w:t>someone</w:t>
      </w:r>
      <w:r>
        <w:rPr>
          <w:spacing w:val="40"/>
        </w:rPr>
        <w:t> </w:t>
      </w:r>
      <w:r>
        <w:rPr/>
        <w:t>with</w:t>
      </w:r>
      <w:r>
        <w:rPr>
          <w:spacing w:val="63"/>
        </w:rPr>
        <w:t> </w:t>
      </w:r>
      <w:r>
        <w:rPr/>
        <w:t>finance </w:t>
      </w:r>
      <w:r>
        <w:rPr>
          <w:spacing w:val="-2"/>
        </w:rPr>
        <w:t>background.</w:t>
      </w:r>
    </w:p>
    <w:p>
      <w:pPr>
        <w:pStyle w:val="ListParagraph"/>
        <w:numPr>
          <w:ilvl w:val="0"/>
          <w:numId w:val="55"/>
        </w:numPr>
        <w:tabs>
          <w:tab w:pos="550" w:val="left" w:leader="none"/>
        </w:tabs>
        <w:spacing w:line="360" w:lineRule="auto" w:before="210" w:after="0"/>
        <w:ind w:left="240" w:right="838" w:firstLine="0"/>
        <w:jc w:val="both"/>
        <w:rPr>
          <w:sz w:val="24"/>
        </w:rPr>
      </w:pPr>
      <w:r>
        <w:rPr>
          <w:b/>
          <w:sz w:val="24"/>
        </w:rPr>
        <w:t>Budget Time Table: </w:t>
      </w:r>
      <w:r>
        <w:rPr>
          <w:sz w:val="24"/>
        </w:rPr>
        <w:t>Before preparing the major budget, it is imperative to prepare many of the smaller but key budgets. If these smaller budgets are not completed quickly, then the preparation of the major budget would be held up which in turn will delay the summary budget and ultimately the master budget. Delay in issuing the master budget is awful. A budget</w:t>
      </w:r>
      <w:r>
        <w:rPr>
          <w:spacing w:val="40"/>
          <w:sz w:val="24"/>
        </w:rPr>
        <w:t> </w:t>
      </w:r>
      <w:r>
        <w:rPr>
          <w:sz w:val="24"/>
        </w:rPr>
        <w:t>produced after the start of the period for which it was meant to control has very much reduced value and may delay operations and activities or projects.</w:t>
      </w:r>
    </w:p>
    <w:p>
      <w:pPr>
        <w:pStyle w:val="BodyText"/>
        <w:spacing w:line="360" w:lineRule="auto" w:before="240"/>
        <w:ind w:left="240" w:right="838"/>
        <w:jc w:val="both"/>
      </w:pPr>
      <w:r>
        <w:rPr/>
        <w:t>In order for the master budget to be issued before the period begins, it is necessary to prepare a carefully articulated time table for all budget activities. Onah (1998)</w:t>
      </w:r>
      <w:r>
        <w:rPr>
          <w:spacing w:val="40"/>
        </w:rPr>
        <w:t> </w:t>
      </w:r>
      <w:r>
        <w:rPr/>
        <w:t>stresses that this time table must be rigidly adhered to, since delays in preparation of budgets can lead to serious consequences. Table 3.1 shows the time table for the budgetary process used by the Local </w:t>
      </w:r>
      <w:r>
        <w:rPr>
          <w:spacing w:val="-2"/>
        </w:rPr>
        <w:t>Government.</w:t>
      </w:r>
    </w:p>
    <w:p>
      <w:pPr>
        <w:spacing w:after="0" w:line="360" w:lineRule="auto"/>
        <w:jc w:val="both"/>
        <w:sectPr>
          <w:pgSz w:w="12240" w:h="15840"/>
          <w:pgMar w:header="0" w:footer="1036" w:top="1360" w:bottom="1220" w:left="1200" w:right="600"/>
        </w:sectPr>
      </w:pPr>
    </w:p>
    <w:p>
      <w:pPr>
        <w:pStyle w:val="BodyText"/>
        <w:spacing w:before="72"/>
        <w:ind w:left="240"/>
      </w:pPr>
      <w:r>
        <w:rPr>
          <w:b/>
        </w:rPr>
        <w:t>Table</w:t>
      </w:r>
      <w:r>
        <w:rPr>
          <w:b/>
          <w:spacing w:val="-1"/>
        </w:rPr>
        <w:t> </w:t>
      </w:r>
      <w:r>
        <w:rPr>
          <w:b/>
        </w:rPr>
        <w:t>3.1</w:t>
      </w:r>
      <w:r>
        <w:rPr/>
        <w:t>.</w:t>
      </w:r>
      <w:r>
        <w:rPr>
          <w:spacing w:val="58"/>
        </w:rPr>
        <w:t> </w:t>
      </w:r>
      <w:r>
        <w:rPr/>
        <w:t>Time</w:t>
      </w:r>
      <w:r>
        <w:rPr>
          <w:spacing w:val="-1"/>
        </w:rPr>
        <w:t> </w:t>
      </w:r>
      <w:r>
        <w:rPr/>
        <w:t>table</w:t>
      </w:r>
      <w:r>
        <w:rPr>
          <w:spacing w:val="-1"/>
        </w:rPr>
        <w:t> </w:t>
      </w:r>
      <w:r>
        <w:rPr/>
        <w:t>for</w:t>
      </w:r>
      <w:r>
        <w:rPr>
          <w:spacing w:val="-2"/>
        </w:rPr>
        <w:t> </w:t>
      </w:r>
      <w:r>
        <w:rPr/>
        <w:t>the</w:t>
      </w:r>
      <w:r>
        <w:rPr>
          <w:spacing w:val="-1"/>
        </w:rPr>
        <w:t> </w:t>
      </w:r>
      <w:r>
        <w:rPr/>
        <w:t>budget process</w:t>
      </w:r>
      <w:r>
        <w:rPr>
          <w:spacing w:val="-1"/>
        </w:rPr>
        <w:t> </w:t>
      </w:r>
      <w:r>
        <w:rPr/>
        <w:t>(Peculiar</w:t>
      </w:r>
      <w:r>
        <w:rPr>
          <w:spacing w:val="-1"/>
        </w:rPr>
        <w:t> </w:t>
      </w:r>
      <w:r>
        <w:rPr/>
        <w:t>to</w:t>
      </w:r>
      <w:r>
        <w:rPr>
          <w:spacing w:val="-1"/>
        </w:rPr>
        <w:t> </w:t>
      </w:r>
      <w:r>
        <w:rPr/>
        <w:t>the Local</w:t>
      </w:r>
      <w:r>
        <w:rPr>
          <w:spacing w:val="-1"/>
        </w:rPr>
        <w:t> </w:t>
      </w:r>
      <w:r>
        <w:rPr/>
        <w:t>Government </w:t>
      </w:r>
      <w:r>
        <w:rPr>
          <w:spacing w:val="-2"/>
        </w:rPr>
        <w:t>System)</w:t>
      </w:r>
    </w:p>
    <w:p>
      <w:pPr>
        <w:pStyle w:val="BodyText"/>
        <w:spacing w:before="9"/>
        <w:rPr>
          <w:sz w:val="16"/>
        </w:rPr>
      </w:pPr>
    </w:p>
    <w:tbl>
      <w:tblPr>
        <w:tblW w:w="0" w:type="auto"/>
        <w:jc w:val="left"/>
        <w:tblInd w:w="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3"/>
        <w:gridCol w:w="6861"/>
      </w:tblGrid>
      <w:tr>
        <w:trPr>
          <w:trHeight w:val="421" w:hRule="atLeast"/>
        </w:trPr>
        <w:tc>
          <w:tcPr>
            <w:tcW w:w="2353" w:type="dxa"/>
            <w:tcBorders>
              <w:top w:val="single" w:sz="8" w:space="0" w:color="4AACC5"/>
              <w:bottom w:val="single" w:sz="18" w:space="0" w:color="4AACC5"/>
            </w:tcBorders>
          </w:tcPr>
          <w:p>
            <w:pPr>
              <w:pStyle w:val="TableParagraph"/>
              <w:spacing w:line="251" w:lineRule="exact"/>
              <w:ind w:left="122"/>
              <w:rPr>
                <w:b/>
                <w:sz w:val="22"/>
              </w:rPr>
            </w:pPr>
            <w:r>
              <w:rPr>
                <w:b/>
                <w:spacing w:val="-4"/>
                <w:sz w:val="22"/>
              </w:rPr>
              <w:t>Time</w:t>
            </w:r>
          </w:p>
        </w:tc>
        <w:tc>
          <w:tcPr>
            <w:tcW w:w="6861" w:type="dxa"/>
            <w:tcBorders>
              <w:top w:val="single" w:sz="8" w:space="0" w:color="4AACC5"/>
              <w:bottom w:val="single" w:sz="18" w:space="0" w:color="4AACC5"/>
            </w:tcBorders>
          </w:tcPr>
          <w:p>
            <w:pPr>
              <w:pStyle w:val="TableParagraph"/>
              <w:spacing w:line="251" w:lineRule="exact"/>
              <w:ind w:left="313"/>
              <w:rPr>
                <w:b/>
                <w:sz w:val="22"/>
              </w:rPr>
            </w:pPr>
            <w:r>
              <w:rPr>
                <w:b/>
                <w:spacing w:val="-2"/>
                <w:sz w:val="22"/>
              </w:rPr>
              <w:t>Activity</w:t>
            </w:r>
          </w:p>
        </w:tc>
      </w:tr>
      <w:tr>
        <w:trPr>
          <w:trHeight w:val="497" w:hRule="atLeast"/>
        </w:trPr>
        <w:tc>
          <w:tcPr>
            <w:tcW w:w="2353" w:type="dxa"/>
            <w:tcBorders>
              <w:top w:val="single" w:sz="18" w:space="0" w:color="4AACC5"/>
              <w:bottom w:val="single" w:sz="8" w:space="0" w:color="4AACC5"/>
            </w:tcBorders>
            <w:shd w:val="clear" w:color="auto" w:fill="D2EAF0"/>
          </w:tcPr>
          <w:p>
            <w:pPr>
              <w:pStyle w:val="TableParagraph"/>
              <w:spacing w:line="225" w:lineRule="exact"/>
              <w:ind w:left="122"/>
              <w:rPr>
                <w:sz w:val="20"/>
              </w:rPr>
            </w:pPr>
            <w:r>
              <w:rPr>
                <w:sz w:val="20"/>
              </w:rPr>
              <w:t>1st</w:t>
            </w:r>
            <w:r>
              <w:rPr>
                <w:spacing w:val="-4"/>
                <w:sz w:val="20"/>
              </w:rPr>
              <w:t> June</w:t>
            </w:r>
          </w:p>
        </w:tc>
        <w:tc>
          <w:tcPr>
            <w:tcW w:w="6861" w:type="dxa"/>
            <w:tcBorders>
              <w:top w:val="single" w:sz="18" w:space="0" w:color="4AACC5"/>
              <w:bottom w:val="single" w:sz="8" w:space="0" w:color="4AACC5"/>
            </w:tcBorders>
            <w:shd w:val="clear" w:color="auto" w:fill="D2EAF0"/>
          </w:tcPr>
          <w:p>
            <w:pPr>
              <w:pStyle w:val="TableParagraph"/>
              <w:spacing w:line="237" w:lineRule="auto"/>
              <w:ind w:left="313" w:right="972"/>
              <w:rPr>
                <w:sz w:val="20"/>
              </w:rPr>
            </w:pPr>
            <w:r>
              <w:rPr>
                <w:sz w:val="20"/>
              </w:rPr>
              <w:t>Issue</w:t>
            </w:r>
            <w:r>
              <w:rPr>
                <w:spacing w:val="40"/>
                <w:sz w:val="20"/>
              </w:rPr>
              <w:t> </w:t>
            </w:r>
            <w:r>
              <w:rPr>
                <w:sz w:val="20"/>
              </w:rPr>
              <w:t>of</w:t>
            </w:r>
            <w:r>
              <w:rPr>
                <w:spacing w:val="40"/>
                <w:sz w:val="20"/>
              </w:rPr>
              <w:t> </w:t>
            </w:r>
            <w:r>
              <w:rPr>
                <w:sz w:val="20"/>
              </w:rPr>
              <w:t>call</w:t>
            </w:r>
            <w:r>
              <w:rPr>
                <w:spacing w:val="40"/>
                <w:sz w:val="20"/>
              </w:rPr>
              <w:t> </w:t>
            </w:r>
            <w:r>
              <w:rPr>
                <w:sz w:val="20"/>
              </w:rPr>
              <w:t>circular</w:t>
            </w:r>
            <w:r>
              <w:rPr>
                <w:spacing w:val="40"/>
                <w:sz w:val="20"/>
              </w:rPr>
              <w:t> </w:t>
            </w:r>
            <w:r>
              <w:rPr>
                <w:sz w:val="20"/>
              </w:rPr>
              <w:t>by</w:t>
            </w:r>
            <w:r>
              <w:rPr>
                <w:spacing w:val="40"/>
                <w:sz w:val="20"/>
              </w:rPr>
              <w:t> </w:t>
            </w:r>
            <w:r>
              <w:rPr>
                <w:sz w:val="20"/>
              </w:rPr>
              <w:t>the</w:t>
            </w:r>
            <w:r>
              <w:rPr>
                <w:spacing w:val="40"/>
                <w:sz w:val="20"/>
              </w:rPr>
              <w:t> </w:t>
            </w:r>
            <w:r>
              <w:rPr>
                <w:sz w:val="20"/>
              </w:rPr>
              <w:t>local</w:t>
            </w:r>
            <w:r>
              <w:rPr>
                <w:spacing w:val="40"/>
                <w:sz w:val="20"/>
              </w:rPr>
              <w:t> </w:t>
            </w:r>
            <w:r>
              <w:rPr>
                <w:sz w:val="20"/>
              </w:rPr>
              <w:t>government</w:t>
            </w:r>
            <w:r>
              <w:rPr>
                <w:spacing w:val="40"/>
                <w:sz w:val="20"/>
              </w:rPr>
              <w:t> </w:t>
            </w:r>
            <w:r>
              <w:rPr>
                <w:sz w:val="20"/>
              </w:rPr>
              <w:t>executive</w:t>
            </w:r>
            <w:r>
              <w:rPr>
                <w:spacing w:val="40"/>
                <w:sz w:val="20"/>
              </w:rPr>
              <w:t> </w:t>
            </w:r>
            <w:r>
              <w:rPr>
                <w:sz w:val="20"/>
              </w:rPr>
              <w:t>committee to the treasurer</w:t>
            </w:r>
          </w:p>
        </w:tc>
      </w:tr>
      <w:tr>
        <w:trPr>
          <w:trHeight w:val="498" w:hRule="atLeast"/>
        </w:trPr>
        <w:tc>
          <w:tcPr>
            <w:tcW w:w="2353" w:type="dxa"/>
            <w:tcBorders>
              <w:top w:val="single" w:sz="8" w:space="0" w:color="4AACC5"/>
              <w:bottom w:val="single" w:sz="8" w:space="0" w:color="4AACC5"/>
            </w:tcBorders>
          </w:tcPr>
          <w:p>
            <w:pPr>
              <w:pStyle w:val="TableParagraph"/>
              <w:spacing w:line="223" w:lineRule="exact"/>
              <w:ind w:left="122"/>
              <w:rPr>
                <w:sz w:val="20"/>
              </w:rPr>
            </w:pPr>
            <w:r>
              <w:rPr>
                <w:sz w:val="20"/>
              </w:rPr>
              <w:t>Not</w:t>
            </w:r>
            <w:r>
              <w:rPr>
                <w:spacing w:val="-5"/>
                <w:sz w:val="20"/>
              </w:rPr>
              <w:t> </w:t>
            </w:r>
            <w:r>
              <w:rPr>
                <w:sz w:val="20"/>
              </w:rPr>
              <w:t>later</w:t>
            </w:r>
            <w:r>
              <w:rPr>
                <w:spacing w:val="-2"/>
                <w:sz w:val="20"/>
              </w:rPr>
              <w:t> </w:t>
            </w:r>
            <w:r>
              <w:rPr>
                <w:sz w:val="20"/>
              </w:rPr>
              <w:t>than</w:t>
            </w:r>
            <w:r>
              <w:rPr>
                <w:spacing w:val="-4"/>
                <w:sz w:val="20"/>
              </w:rPr>
              <w:t> </w:t>
            </w:r>
            <w:r>
              <w:rPr>
                <w:sz w:val="20"/>
              </w:rPr>
              <w:t>10th</w:t>
            </w:r>
            <w:r>
              <w:rPr>
                <w:spacing w:val="-5"/>
                <w:sz w:val="20"/>
              </w:rPr>
              <w:t> </w:t>
            </w:r>
            <w:r>
              <w:rPr>
                <w:spacing w:val="-4"/>
                <w:sz w:val="20"/>
              </w:rPr>
              <w:t>June</w:t>
            </w:r>
          </w:p>
        </w:tc>
        <w:tc>
          <w:tcPr>
            <w:tcW w:w="6861" w:type="dxa"/>
            <w:tcBorders>
              <w:top w:val="single" w:sz="8" w:space="0" w:color="4AACC5"/>
              <w:bottom w:val="single" w:sz="8" w:space="0" w:color="4AACC5"/>
            </w:tcBorders>
          </w:tcPr>
          <w:p>
            <w:pPr>
              <w:pStyle w:val="TableParagraph"/>
              <w:ind w:left="313" w:right="972"/>
              <w:rPr>
                <w:sz w:val="20"/>
              </w:rPr>
            </w:pPr>
            <w:r>
              <w:rPr>
                <w:sz w:val="20"/>
              </w:rPr>
              <w:t>Issue</w:t>
            </w:r>
            <w:r>
              <w:rPr>
                <w:spacing w:val="77"/>
                <w:sz w:val="20"/>
              </w:rPr>
              <w:t> </w:t>
            </w:r>
            <w:r>
              <w:rPr>
                <w:sz w:val="20"/>
              </w:rPr>
              <w:t>of</w:t>
            </w:r>
            <w:r>
              <w:rPr>
                <w:spacing w:val="75"/>
                <w:sz w:val="20"/>
              </w:rPr>
              <w:t> </w:t>
            </w:r>
            <w:r>
              <w:rPr>
                <w:sz w:val="20"/>
              </w:rPr>
              <w:t>call</w:t>
            </w:r>
            <w:r>
              <w:rPr>
                <w:spacing w:val="76"/>
                <w:sz w:val="20"/>
              </w:rPr>
              <w:t> </w:t>
            </w:r>
            <w:r>
              <w:rPr>
                <w:sz w:val="20"/>
              </w:rPr>
              <w:t>circular</w:t>
            </w:r>
            <w:r>
              <w:rPr>
                <w:spacing w:val="77"/>
                <w:sz w:val="20"/>
              </w:rPr>
              <w:t> </w:t>
            </w:r>
            <w:r>
              <w:rPr>
                <w:sz w:val="20"/>
              </w:rPr>
              <w:t>by</w:t>
            </w:r>
            <w:r>
              <w:rPr>
                <w:spacing w:val="73"/>
                <w:sz w:val="20"/>
              </w:rPr>
              <w:t> </w:t>
            </w:r>
            <w:r>
              <w:rPr>
                <w:sz w:val="20"/>
              </w:rPr>
              <w:t>the</w:t>
            </w:r>
            <w:r>
              <w:rPr>
                <w:spacing w:val="77"/>
                <w:sz w:val="20"/>
              </w:rPr>
              <w:t> </w:t>
            </w:r>
            <w:r>
              <w:rPr>
                <w:sz w:val="20"/>
              </w:rPr>
              <w:t>treasurer</w:t>
            </w:r>
            <w:r>
              <w:rPr>
                <w:spacing w:val="77"/>
                <w:sz w:val="20"/>
              </w:rPr>
              <w:t> </w:t>
            </w:r>
            <w:r>
              <w:rPr>
                <w:sz w:val="20"/>
              </w:rPr>
              <w:t>to</w:t>
            </w:r>
            <w:r>
              <w:rPr>
                <w:spacing w:val="80"/>
                <w:sz w:val="20"/>
              </w:rPr>
              <w:t> </w:t>
            </w:r>
            <w:r>
              <w:rPr>
                <w:sz w:val="20"/>
              </w:rPr>
              <w:t>the</w:t>
            </w:r>
            <w:r>
              <w:rPr>
                <w:spacing w:val="77"/>
                <w:sz w:val="20"/>
              </w:rPr>
              <w:t> </w:t>
            </w:r>
            <w:r>
              <w:rPr>
                <w:sz w:val="20"/>
              </w:rPr>
              <w:t>Heads</w:t>
            </w:r>
            <w:r>
              <w:rPr>
                <w:spacing w:val="76"/>
                <w:sz w:val="20"/>
              </w:rPr>
              <w:t> </w:t>
            </w:r>
            <w:r>
              <w:rPr>
                <w:sz w:val="20"/>
              </w:rPr>
              <w:t>of </w:t>
            </w:r>
            <w:r>
              <w:rPr>
                <w:spacing w:val="-2"/>
                <w:sz w:val="20"/>
              </w:rPr>
              <w:t>Department</w:t>
            </w:r>
          </w:p>
        </w:tc>
      </w:tr>
      <w:tr>
        <w:trPr>
          <w:trHeight w:val="690" w:hRule="atLeast"/>
        </w:trPr>
        <w:tc>
          <w:tcPr>
            <w:tcW w:w="2353" w:type="dxa"/>
            <w:tcBorders>
              <w:top w:val="single" w:sz="8" w:space="0" w:color="4AACC5"/>
              <w:bottom w:val="single" w:sz="8" w:space="0" w:color="4AACC5"/>
            </w:tcBorders>
            <w:shd w:val="clear" w:color="auto" w:fill="D2EAF0"/>
          </w:tcPr>
          <w:p>
            <w:pPr>
              <w:pStyle w:val="TableParagraph"/>
              <w:spacing w:before="223"/>
              <w:ind w:left="122"/>
              <w:rPr>
                <w:sz w:val="20"/>
              </w:rPr>
            </w:pPr>
            <w:r>
              <w:rPr>
                <w:sz w:val="20"/>
              </w:rPr>
              <w:t>10th</w:t>
            </w:r>
            <w:r>
              <w:rPr>
                <w:spacing w:val="-4"/>
                <w:sz w:val="20"/>
              </w:rPr>
              <w:t> June</w:t>
            </w:r>
          </w:p>
        </w:tc>
        <w:tc>
          <w:tcPr>
            <w:tcW w:w="6861" w:type="dxa"/>
            <w:tcBorders>
              <w:top w:val="single" w:sz="8" w:space="0" w:color="4AACC5"/>
              <w:bottom w:val="single" w:sz="8" w:space="0" w:color="4AACC5"/>
            </w:tcBorders>
            <w:shd w:val="clear" w:color="auto" w:fill="D2EAF0"/>
          </w:tcPr>
          <w:p>
            <w:pPr>
              <w:pStyle w:val="TableParagraph"/>
              <w:spacing w:before="223"/>
              <w:ind w:left="313"/>
              <w:rPr>
                <w:sz w:val="20"/>
              </w:rPr>
            </w:pPr>
            <w:r>
              <w:rPr>
                <w:sz w:val="20"/>
              </w:rPr>
              <w:t>Submission</w:t>
            </w:r>
            <w:r>
              <w:rPr>
                <w:spacing w:val="-7"/>
                <w:sz w:val="20"/>
              </w:rPr>
              <w:t> </w:t>
            </w:r>
            <w:r>
              <w:rPr>
                <w:sz w:val="20"/>
              </w:rPr>
              <w:t>of</w:t>
            </w:r>
            <w:r>
              <w:rPr>
                <w:spacing w:val="-7"/>
                <w:sz w:val="20"/>
              </w:rPr>
              <w:t> </w:t>
            </w:r>
            <w:r>
              <w:rPr>
                <w:sz w:val="20"/>
              </w:rPr>
              <w:t>departmental</w:t>
            </w:r>
            <w:r>
              <w:rPr>
                <w:spacing w:val="-5"/>
                <w:sz w:val="20"/>
              </w:rPr>
              <w:t> </w:t>
            </w:r>
            <w:r>
              <w:rPr>
                <w:sz w:val="20"/>
              </w:rPr>
              <w:t>estimate</w:t>
            </w:r>
            <w:r>
              <w:rPr>
                <w:spacing w:val="-6"/>
                <w:sz w:val="20"/>
              </w:rPr>
              <w:t> </w:t>
            </w:r>
            <w:r>
              <w:rPr>
                <w:sz w:val="20"/>
              </w:rPr>
              <w:t>proposals</w:t>
            </w:r>
            <w:r>
              <w:rPr>
                <w:spacing w:val="-6"/>
                <w:sz w:val="20"/>
              </w:rPr>
              <w:t> </w:t>
            </w:r>
            <w:r>
              <w:rPr>
                <w:sz w:val="20"/>
              </w:rPr>
              <w:t>to</w:t>
            </w:r>
            <w:r>
              <w:rPr>
                <w:spacing w:val="-5"/>
                <w:sz w:val="20"/>
              </w:rPr>
              <w:t> </w:t>
            </w:r>
            <w:r>
              <w:rPr>
                <w:sz w:val="20"/>
              </w:rPr>
              <w:t>the</w:t>
            </w:r>
            <w:r>
              <w:rPr>
                <w:spacing w:val="-5"/>
                <w:sz w:val="20"/>
              </w:rPr>
              <w:t> </w:t>
            </w:r>
            <w:r>
              <w:rPr>
                <w:spacing w:val="-2"/>
                <w:sz w:val="20"/>
              </w:rPr>
              <w:t>treasurer.</w:t>
            </w:r>
          </w:p>
        </w:tc>
      </w:tr>
      <w:tr>
        <w:trPr>
          <w:trHeight w:val="647" w:hRule="atLeast"/>
        </w:trPr>
        <w:tc>
          <w:tcPr>
            <w:tcW w:w="2353" w:type="dxa"/>
            <w:tcBorders>
              <w:top w:val="single" w:sz="8" w:space="0" w:color="4AACC5"/>
              <w:bottom w:val="single" w:sz="8" w:space="0" w:color="4AACC5"/>
            </w:tcBorders>
          </w:tcPr>
          <w:p>
            <w:pPr>
              <w:pStyle w:val="TableParagraph"/>
              <w:ind w:left="122" w:right="210"/>
              <w:rPr>
                <w:sz w:val="20"/>
              </w:rPr>
            </w:pPr>
            <w:r>
              <w:rPr>
                <w:sz w:val="20"/>
              </w:rPr>
              <w:t>Not</w:t>
            </w:r>
            <w:r>
              <w:rPr>
                <w:spacing w:val="80"/>
                <w:sz w:val="20"/>
              </w:rPr>
              <w:t> </w:t>
            </w:r>
            <w:r>
              <w:rPr>
                <w:sz w:val="20"/>
              </w:rPr>
              <w:t>later</w:t>
            </w:r>
            <w:r>
              <w:rPr>
                <w:spacing w:val="80"/>
                <w:sz w:val="20"/>
              </w:rPr>
              <w:t> </w:t>
            </w:r>
            <w:r>
              <w:rPr>
                <w:sz w:val="20"/>
              </w:rPr>
              <w:t>than</w:t>
            </w:r>
            <w:r>
              <w:rPr>
                <w:spacing w:val="80"/>
                <w:sz w:val="20"/>
              </w:rPr>
              <w:t> </w:t>
            </w:r>
            <w:r>
              <w:rPr>
                <w:sz w:val="20"/>
              </w:rPr>
              <w:t>31st </w:t>
            </w:r>
            <w:r>
              <w:rPr>
                <w:spacing w:val="-4"/>
                <w:sz w:val="20"/>
              </w:rPr>
              <w:t>July</w:t>
            </w:r>
          </w:p>
        </w:tc>
        <w:tc>
          <w:tcPr>
            <w:tcW w:w="6861" w:type="dxa"/>
            <w:tcBorders>
              <w:top w:val="single" w:sz="8" w:space="0" w:color="4AACC5"/>
              <w:bottom w:val="single" w:sz="8" w:space="0" w:color="4AACC5"/>
            </w:tcBorders>
          </w:tcPr>
          <w:p>
            <w:pPr>
              <w:pStyle w:val="TableParagraph"/>
              <w:ind w:left="313"/>
              <w:rPr>
                <w:sz w:val="20"/>
              </w:rPr>
            </w:pPr>
            <w:r>
              <w:rPr>
                <w:sz w:val="20"/>
              </w:rPr>
              <w:t>Submission</w:t>
            </w:r>
            <w:r>
              <w:rPr>
                <w:spacing w:val="40"/>
                <w:sz w:val="20"/>
              </w:rPr>
              <w:t> </w:t>
            </w:r>
            <w:r>
              <w:rPr>
                <w:sz w:val="20"/>
              </w:rPr>
              <w:t>of</w:t>
            </w:r>
            <w:r>
              <w:rPr>
                <w:spacing w:val="40"/>
                <w:sz w:val="20"/>
              </w:rPr>
              <w:t> </w:t>
            </w:r>
            <w:r>
              <w:rPr>
                <w:sz w:val="20"/>
              </w:rPr>
              <w:t>Treasurer‘s</w:t>
            </w:r>
            <w:r>
              <w:rPr>
                <w:spacing w:val="40"/>
                <w:sz w:val="20"/>
              </w:rPr>
              <w:t> </w:t>
            </w:r>
            <w:r>
              <w:rPr>
                <w:sz w:val="20"/>
              </w:rPr>
              <w:t>summary</w:t>
            </w:r>
            <w:r>
              <w:rPr>
                <w:spacing w:val="40"/>
                <w:sz w:val="20"/>
              </w:rPr>
              <w:t> </w:t>
            </w:r>
            <w:r>
              <w:rPr>
                <w:sz w:val="20"/>
              </w:rPr>
              <w:t>of</w:t>
            </w:r>
            <w:r>
              <w:rPr>
                <w:spacing w:val="40"/>
                <w:sz w:val="20"/>
              </w:rPr>
              <w:t> </w:t>
            </w:r>
            <w:r>
              <w:rPr>
                <w:sz w:val="20"/>
              </w:rPr>
              <w:t>departmental</w:t>
            </w:r>
            <w:r>
              <w:rPr>
                <w:spacing w:val="40"/>
                <w:sz w:val="20"/>
              </w:rPr>
              <w:t> </w:t>
            </w:r>
            <w:r>
              <w:rPr>
                <w:sz w:val="20"/>
              </w:rPr>
              <w:t>estimate</w:t>
            </w:r>
            <w:r>
              <w:rPr>
                <w:spacing w:val="40"/>
                <w:sz w:val="20"/>
              </w:rPr>
              <w:t> </w:t>
            </w:r>
            <w:r>
              <w:rPr>
                <w:sz w:val="20"/>
              </w:rPr>
              <w:t>proposals</w:t>
            </w:r>
            <w:r>
              <w:rPr>
                <w:spacing w:val="40"/>
                <w:sz w:val="20"/>
              </w:rPr>
              <w:t> </w:t>
            </w:r>
            <w:r>
              <w:rPr>
                <w:sz w:val="20"/>
              </w:rPr>
              <w:t>to</w:t>
            </w:r>
            <w:r>
              <w:rPr>
                <w:spacing w:val="40"/>
                <w:sz w:val="20"/>
              </w:rPr>
              <w:t> </w:t>
            </w:r>
            <w:r>
              <w:rPr>
                <w:sz w:val="20"/>
              </w:rPr>
              <w:t>Executive Committee.</w:t>
            </w:r>
          </w:p>
        </w:tc>
      </w:tr>
      <w:tr>
        <w:trPr>
          <w:trHeight w:val="525" w:hRule="atLeast"/>
        </w:trPr>
        <w:tc>
          <w:tcPr>
            <w:tcW w:w="2353" w:type="dxa"/>
            <w:tcBorders>
              <w:top w:val="single" w:sz="8" w:space="0" w:color="4AACC5"/>
              <w:bottom w:val="single" w:sz="8" w:space="0" w:color="4AACC5"/>
            </w:tcBorders>
            <w:shd w:val="clear" w:color="auto" w:fill="D2EAF0"/>
          </w:tcPr>
          <w:p>
            <w:pPr>
              <w:pStyle w:val="TableParagraph"/>
              <w:spacing w:line="225" w:lineRule="exact"/>
              <w:ind w:left="172"/>
              <w:rPr>
                <w:sz w:val="20"/>
              </w:rPr>
            </w:pPr>
            <w:r>
              <w:rPr>
                <w:sz w:val="20"/>
              </w:rPr>
              <w:t>31st</w:t>
            </w:r>
            <w:r>
              <w:rPr>
                <w:spacing w:val="-4"/>
                <w:sz w:val="20"/>
              </w:rPr>
              <w:t> July</w:t>
            </w:r>
          </w:p>
        </w:tc>
        <w:tc>
          <w:tcPr>
            <w:tcW w:w="6861" w:type="dxa"/>
            <w:tcBorders>
              <w:top w:val="single" w:sz="8" w:space="0" w:color="4AACC5"/>
              <w:bottom w:val="single" w:sz="8" w:space="0" w:color="4AACC5"/>
            </w:tcBorders>
            <w:shd w:val="clear" w:color="auto" w:fill="D2EAF0"/>
          </w:tcPr>
          <w:p>
            <w:pPr>
              <w:pStyle w:val="TableParagraph"/>
              <w:spacing w:line="225" w:lineRule="exact"/>
              <w:ind w:left="313"/>
              <w:rPr>
                <w:sz w:val="20"/>
              </w:rPr>
            </w:pPr>
            <w:r>
              <w:rPr>
                <w:sz w:val="20"/>
              </w:rPr>
              <w:t>Submission</w:t>
            </w:r>
            <w:r>
              <w:rPr>
                <w:spacing w:val="-7"/>
                <w:sz w:val="20"/>
              </w:rPr>
              <w:t> </w:t>
            </w:r>
            <w:r>
              <w:rPr>
                <w:sz w:val="20"/>
              </w:rPr>
              <w:t>of</w:t>
            </w:r>
            <w:r>
              <w:rPr>
                <w:spacing w:val="-6"/>
                <w:sz w:val="20"/>
              </w:rPr>
              <w:t> </w:t>
            </w:r>
            <w:r>
              <w:rPr>
                <w:sz w:val="20"/>
              </w:rPr>
              <w:t>amended</w:t>
            </w:r>
            <w:r>
              <w:rPr>
                <w:spacing w:val="-5"/>
                <w:sz w:val="20"/>
              </w:rPr>
              <w:t> </w:t>
            </w:r>
            <w:r>
              <w:rPr>
                <w:sz w:val="20"/>
              </w:rPr>
              <w:t>estimate</w:t>
            </w:r>
            <w:r>
              <w:rPr>
                <w:spacing w:val="-5"/>
                <w:sz w:val="20"/>
              </w:rPr>
              <w:t> </w:t>
            </w:r>
            <w:r>
              <w:rPr>
                <w:sz w:val="20"/>
              </w:rPr>
              <w:t>proposals</w:t>
            </w:r>
            <w:r>
              <w:rPr>
                <w:spacing w:val="-7"/>
                <w:sz w:val="20"/>
              </w:rPr>
              <w:t> </w:t>
            </w:r>
            <w:r>
              <w:rPr>
                <w:sz w:val="20"/>
              </w:rPr>
              <w:t>to</w:t>
            </w:r>
            <w:r>
              <w:rPr>
                <w:spacing w:val="-5"/>
                <w:sz w:val="20"/>
              </w:rPr>
              <w:t> </w:t>
            </w:r>
            <w:r>
              <w:rPr>
                <w:sz w:val="20"/>
              </w:rPr>
              <w:t>the</w:t>
            </w:r>
            <w:r>
              <w:rPr>
                <w:spacing w:val="-5"/>
                <w:sz w:val="20"/>
              </w:rPr>
              <w:t> </w:t>
            </w:r>
            <w:r>
              <w:rPr>
                <w:spacing w:val="-2"/>
                <w:sz w:val="20"/>
              </w:rPr>
              <w:t>Council</w:t>
            </w:r>
          </w:p>
        </w:tc>
      </w:tr>
      <w:tr>
        <w:trPr>
          <w:trHeight w:val="460" w:hRule="atLeast"/>
        </w:trPr>
        <w:tc>
          <w:tcPr>
            <w:tcW w:w="2353" w:type="dxa"/>
            <w:tcBorders>
              <w:top w:val="single" w:sz="8" w:space="0" w:color="4AACC5"/>
              <w:bottom w:val="single" w:sz="8" w:space="0" w:color="4AACC5"/>
            </w:tcBorders>
          </w:tcPr>
          <w:p>
            <w:pPr>
              <w:pStyle w:val="TableParagraph"/>
              <w:spacing w:line="223" w:lineRule="exact"/>
              <w:ind w:left="122"/>
              <w:rPr>
                <w:sz w:val="20"/>
              </w:rPr>
            </w:pPr>
            <w:r>
              <w:rPr>
                <w:sz w:val="20"/>
              </w:rPr>
              <w:t>Not</w:t>
            </w:r>
            <w:r>
              <w:rPr>
                <w:spacing w:val="30"/>
                <w:sz w:val="20"/>
              </w:rPr>
              <w:t>  </w:t>
            </w:r>
            <w:r>
              <w:rPr>
                <w:sz w:val="20"/>
              </w:rPr>
              <w:t>later</w:t>
            </w:r>
            <w:r>
              <w:rPr>
                <w:spacing w:val="31"/>
                <w:sz w:val="20"/>
              </w:rPr>
              <w:t>  </w:t>
            </w:r>
            <w:r>
              <w:rPr>
                <w:sz w:val="20"/>
              </w:rPr>
              <w:t>than</w:t>
            </w:r>
            <w:r>
              <w:rPr>
                <w:spacing w:val="31"/>
                <w:sz w:val="20"/>
              </w:rPr>
              <w:t>  </w:t>
            </w:r>
            <w:r>
              <w:rPr>
                <w:spacing w:val="-4"/>
                <w:sz w:val="20"/>
              </w:rPr>
              <w:t>15th</w:t>
            </w:r>
          </w:p>
          <w:p>
            <w:pPr>
              <w:pStyle w:val="TableParagraph"/>
              <w:spacing w:line="217" w:lineRule="exact"/>
              <w:ind w:left="122"/>
              <w:rPr>
                <w:sz w:val="20"/>
              </w:rPr>
            </w:pPr>
            <w:r>
              <w:rPr>
                <w:spacing w:val="-2"/>
                <w:sz w:val="20"/>
              </w:rPr>
              <w:t>December</w:t>
            </w:r>
          </w:p>
        </w:tc>
        <w:tc>
          <w:tcPr>
            <w:tcW w:w="6861" w:type="dxa"/>
            <w:tcBorders>
              <w:top w:val="single" w:sz="8" w:space="0" w:color="4AACC5"/>
              <w:bottom w:val="single" w:sz="8" w:space="0" w:color="4AACC5"/>
            </w:tcBorders>
          </w:tcPr>
          <w:p>
            <w:pPr>
              <w:pStyle w:val="TableParagraph"/>
              <w:spacing w:line="223" w:lineRule="exact"/>
              <w:ind w:left="313"/>
              <w:rPr>
                <w:sz w:val="20"/>
              </w:rPr>
            </w:pPr>
            <w:r>
              <w:rPr>
                <w:sz w:val="20"/>
              </w:rPr>
              <w:t>Approval</w:t>
            </w:r>
            <w:r>
              <w:rPr>
                <w:spacing w:val="-5"/>
                <w:sz w:val="20"/>
              </w:rPr>
              <w:t> </w:t>
            </w:r>
            <w:r>
              <w:rPr>
                <w:sz w:val="20"/>
              </w:rPr>
              <w:t>of</w:t>
            </w:r>
            <w:r>
              <w:rPr>
                <w:spacing w:val="-6"/>
                <w:sz w:val="20"/>
              </w:rPr>
              <w:t> </w:t>
            </w:r>
            <w:r>
              <w:rPr>
                <w:sz w:val="20"/>
              </w:rPr>
              <w:t>Estimates</w:t>
            </w:r>
            <w:r>
              <w:rPr>
                <w:spacing w:val="-5"/>
                <w:sz w:val="20"/>
              </w:rPr>
              <w:t> </w:t>
            </w:r>
            <w:r>
              <w:rPr>
                <w:sz w:val="20"/>
              </w:rPr>
              <w:t>by</w:t>
            </w:r>
            <w:r>
              <w:rPr>
                <w:spacing w:val="-7"/>
                <w:sz w:val="20"/>
              </w:rPr>
              <w:t> </w:t>
            </w:r>
            <w:r>
              <w:rPr>
                <w:spacing w:val="-2"/>
                <w:sz w:val="20"/>
              </w:rPr>
              <w:t>Council</w:t>
            </w:r>
          </w:p>
        </w:tc>
      </w:tr>
      <w:tr>
        <w:trPr>
          <w:trHeight w:val="459" w:hRule="atLeast"/>
        </w:trPr>
        <w:tc>
          <w:tcPr>
            <w:tcW w:w="2353" w:type="dxa"/>
            <w:tcBorders>
              <w:top w:val="single" w:sz="8" w:space="0" w:color="4AACC5"/>
              <w:bottom w:val="double" w:sz="6" w:space="0" w:color="4AACC5"/>
            </w:tcBorders>
            <w:shd w:val="clear" w:color="auto" w:fill="D2EAF0"/>
          </w:tcPr>
          <w:p>
            <w:pPr>
              <w:pStyle w:val="TableParagraph"/>
              <w:spacing w:line="223" w:lineRule="exact"/>
              <w:ind w:left="122"/>
              <w:rPr>
                <w:sz w:val="20"/>
              </w:rPr>
            </w:pPr>
            <w:r>
              <w:rPr>
                <w:sz w:val="20"/>
              </w:rPr>
              <w:t>Not</w:t>
            </w:r>
            <w:r>
              <w:rPr>
                <w:spacing w:val="34"/>
                <w:sz w:val="20"/>
              </w:rPr>
              <w:t>  </w:t>
            </w:r>
            <w:r>
              <w:rPr>
                <w:sz w:val="20"/>
              </w:rPr>
              <w:t>later</w:t>
            </w:r>
            <w:r>
              <w:rPr>
                <w:spacing w:val="34"/>
                <w:sz w:val="20"/>
              </w:rPr>
              <w:t>  </w:t>
            </w:r>
            <w:r>
              <w:rPr>
                <w:sz w:val="20"/>
              </w:rPr>
              <w:t>than</w:t>
            </w:r>
            <w:r>
              <w:rPr>
                <w:spacing w:val="34"/>
                <w:sz w:val="20"/>
              </w:rPr>
              <w:t>  </w:t>
            </w:r>
            <w:r>
              <w:rPr>
                <w:spacing w:val="-4"/>
                <w:sz w:val="20"/>
              </w:rPr>
              <w:t>31st</w:t>
            </w:r>
          </w:p>
          <w:p>
            <w:pPr>
              <w:pStyle w:val="TableParagraph"/>
              <w:spacing w:line="216" w:lineRule="exact"/>
              <w:ind w:left="122"/>
              <w:rPr>
                <w:sz w:val="20"/>
              </w:rPr>
            </w:pPr>
            <w:r>
              <w:rPr>
                <w:spacing w:val="-2"/>
                <w:sz w:val="20"/>
              </w:rPr>
              <w:t>December</w:t>
            </w:r>
          </w:p>
        </w:tc>
        <w:tc>
          <w:tcPr>
            <w:tcW w:w="6861" w:type="dxa"/>
            <w:tcBorders>
              <w:top w:val="single" w:sz="8" w:space="0" w:color="4AACC5"/>
              <w:bottom w:val="double" w:sz="6" w:space="0" w:color="4AACC5"/>
            </w:tcBorders>
            <w:shd w:val="clear" w:color="auto" w:fill="D2EAF0"/>
          </w:tcPr>
          <w:p>
            <w:pPr>
              <w:pStyle w:val="TableParagraph"/>
              <w:spacing w:line="223" w:lineRule="exact"/>
              <w:ind w:left="313"/>
              <w:rPr>
                <w:sz w:val="20"/>
              </w:rPr>
            </w:pPr>
            <w:r>
              <w:rPr>
                <w:sz w:val="20"/>
              </w:rPr>
              <w:t>Forwarding</w:t>
            </w:r>
            <w:r>
              <w:rPr>
                <w:spacing w:val="-8"/>
                <w:sz w:val="20"/>
              </w:rPr>
              <w:t> </w:t>
            </w:r>
            <w:r>
              <w:rPr>
                <w:sz w:val="20"/>
              </w:rPr>
              <w:t>approved</w:t>
            </w:r>
            <w:r>
              <w:rPr>
                <w:spacing w:val="-5"/>
                <w:sz w:val="20"/>
              </w:rPr>
              <w:t> </w:t>
            </w:r>
            <w:r>
              <w:rPr>
                <w:sz w:val="20"/>
              </w:rPr>
              <w:t>estimate</w:t>
            </w:r>
            <w:r>
              <w:rPr>
                <w:spacing w:val="-5"/>
                <w:sz w:val="20"/>
              </w:rPr>
              <w:t> </w:t>
            </w:r>
            <w:r>
              <w:rPr>
                <w:sz w:val="20"/>
              </w:rPr>
              <w:t>to</w:t>
            </w:r>
            <w:r>
              <w:rPr>
                <w:spacing w:val="-6"/>
                <w:sz w:val="20"/>
              </w:rPr>
              <w:t> </w:t>
            </w:r>
            <w:r>
              <w:rPr>
                <w:sz w:val="20"/>
              </w:rPr>
              <w:t>the</w:t>
            </w:r>
            <w:r>
              <w:rPr>
                <w:spacing w:val="-6"/>
                <w:sz w:val="20"/>
              </w:rPr>
              <w:t> </w:t>
            </w:r>
            <w:r>
              <w:rPr>
                <w:spacing w:val="-2"/>
                <w:sz w:val="20"/>
              </w:rPr>
              <w:t>Governor</w:t>
            </w:r>
          </w:p>
        </w:tc>
      </w:tr>
      <w:tr>
        <w:trPr>
          <w:trHeight w:val="459" w:hRule="atLeast"/>
        </w:trPr>
        <w:tc>
          <w:tcPr>
            <w:tcW w:w="2353" w:type="dxa"/>
            <w:tcBorders>
              <w:top w:val="double" w:sz="6" w:space="0" w:color="4AACC5"/>
              <w:bottom w:val="single" w:sz="8" w:space="0" w:color="4AACC5"/>
            </w:tcBorders>
          </w:tcPr>
          <w:p>
            <w:pPr>
              <w:pStyle w:val="TableParagraph"/>
              <w:tabs>
                <w:tab w:pos="748" w:val="left" w:leader="none"/>
                <w:tab w:pos="1297" w:val="left" w:leader="none"/>
                <w:tab w:pos="1724" w:val="left" w:leader="none"/>
              </w:tabs>
              <w:spacing w:line="222" w:lineRule="exact"/>
              <w:ind w:left="122"/>
              <w:rPr>
                <w:sz w:val="20"/>
              </w:rPr>
            </w:pPr>
            <w:r>
              <w:rPr>
                <w:spacing w:val="-2"/>
                <w:sz w:val="20"/>
              </w:rPr>
              <w:t>First</w:t>
            </w:r>
            <w:r>
              <w:rPr>
                <w:sz w:val="20"/>
              </w:rPr>
              <w:tab/>
            </w:r>
            <w:r>
              <w:rPr>
                <w:spacing w:val="-5"/>
                <w:sz w:val="20"/>
              </w:rPr>
              <w:t>day</w:t>
            </w:r>
            <w:r>
              <w:rPr>
                <w:sz w:val="20"/>
              </w:rPr>
              <w:tab/>
            </w:r>
            <w:r>
              <w:rPr>
                <w:spacing w:val="-5"/>
                <w:sz w:val="20"/>
              </w:rPr>
              <w:t>of</w:t>
            </w:r>
            <w:r>
              <w:rPr>
                <w:sz w:val="20"/>
              </w:rPr>
              <w:tab/>
            </w:r>
            <w:r>
              <w:rPr>
                <w:spacing w:val="-5"/>
                <w:sz w:val="20"/>
              </w:rPr>
              <w:t>the</w:t>
            </w:r>
          </w:p>
          <w:p>
            <w:pPr>
              <w:pStyle w:val="TableParagraph"/>
              <w:spacing w:line="217" w:lineRule="exact"/>
              <w:ind w:left="122"/>
              <w:rPr>
                <w:sz w:val="20"/>
              </w:rPr>
            </w:pPr>
            <w:r>
              <w:rPr>
                <w:sz w:val="20"/>
              </w:rPr>
              <w:t>financial</w:t>
            </w:r>
            <w:r>
              <w:rPr>
                <w:spacing w:val="-6"/>
                <w:sz w:val="20"/>
              </w:rPr>
              <w:t> </w:t>
            </w:r>
            <w:r>
              <w:rPr>
                <w:spacing w:val="-4"/>
                <w:sz w:val="20"/>
              </w:rPr>
              <w:t>year</w:t>
            </w:r>
          </w:p>
        </w:tc>
        <w:tc>
          <w:tcPr>
            <w:tcW w:w="6861" w:type="dxa"/>
            <w:tcBorders>
              <w:top w:val="double" w:sz="6" w:space="0" w:color="4AACC5"/>
              <w:bottom w:val="single" w:sz="8" w:space="0" w:color="4AACC5"/>
            </w:tcBorders>
          </w:tcPr>
          <w:p>
            <w:pPr>
              <w:pStyle w:val="TableParagraph"/>
              <w:spacing w:line="222" w:lineRule="exact"/>
              <w:ind w:left="313"/>
              <w:rPr>
                <w:sz w:val="20"/>
              </w:rPr>
            </w:pPr>
            <w:r>
              <w:rPr>
                <w:sz w:val="20"/>
              </w:rPr>
              <w:t>Implementation</w:t>
            </w:r>
            <w:r>
              <w:rPr>
                <w:spacing w:val="-8"/>
                <w:sz w:val="20"/>
              </w:rPr>
              <w:t> </w:t>
            </w:r>
            <w:r>
              <w:rPr>
                <w:sz w:val="20"/>
              </w:rPr>
              <w:t>of</w:t>
            </w:r>
            <w:r>
              <w:rPr>
                <w:spacing w:val="-9"/>
                <w:sz w:val="20"/>
              </w:rPr>
              <w:t> </w:t>
            </w:r>
            <w:r>
              <w:rPr>
                <w:spacing w:val="-2"/>
                <w:sz w:val="20"/>
              </w:rPr>
              <w:t>estimates</w:t>
            </w:r>
          </w:p>
        </w:tc>
      </w:tr>
    </w:tbl>
    <w:p>
      <w:pPr>
        <w:spacing w:before="0"/>
        <w:ind w:left="240" w:right="0" w:firstLine="0"/>
        <w:jc w:val="left"/>
        <w:rPr>
          <w:sz w:val="24"/>
        </w:rPr>
      </w:pPr>
      <w:r>
        <w:rPr>
          <w:b/>
          <w:sz w:val="24"/>
        </w:rPr>
        <w:t>Source</w:t>
      </w:r>
      <w:r>
        <w:rPr>
          <w:sz w:val="24"/>
        </w:rPr>
        <w:t>:</w:t>
      </w:r>
      <w:r>
        <w:rPr>
          <w:spacing w:val="-2"/>
          <w:sz w:val="24"/>
        </w:rPr>
        <w:t> </w:t>
      </w:r>
      <w:r>
        <w:rPr>
          <w:sz w:val="24"/>
        </w:rPr>
        <w:t>Onah</w:t>
      </w:r>
      <w:r>
        <w:rPr>
          <w:spacing w:val="-2"/>
          <w:sz w:val="24"/>
        </w:rPr>
        <w:t> (1998)</w:t>
      </w:r>
    </w:p>
    <w:p>
      <w:pPr>
        <w:pStyle w:val="BodyText"/>
        <w:spacing w:before="239"/>
      </w:pPr>
    </w:p>
    <w:p>
      <w:pPr>
        <w:pStyle w:val="ListParagraph"/>
        <w:numPr>
          <w:ilvl w:val="0"/>
          <w:numId w:val="55"/>
        </w:numPr>
        <w:tabs>
          <w:tab w:pos="625" w:val="left" w:leader="none"/>
        </w:tabs>
        <w:spacing w:line="360" w:lineRule="auto" w:before="0" w:after="0"/>
        <w:ind w:left="240" w:right="838" w:firstLine="0"/>
        <w:jc w:val="both"/>
        <w:rPr>
          <w:sz w:val="24"/>
        </w:rPr>
      </w:pPr>
      <w:r>
        <w:rPr>
          <w:b/>
          <w:sz w:val="24"/>
        </w:rPr>
        <w:t>Budget Manual: </w:t>
      </w:r>
      <w:r>
        <w:rPr>
          <w:sz w:val="24"/>
        </w:rPr>
        <w:t>To assist everyone engaged in budgeting and budget administration, a budget manual is normally issued. A budget manual is a document that sets out such matters as the responsibilities of people engaged in the routine operation of the budget. It also indicates the control measures required by the budget operators. The manual also sets out persons involved in budgeting and budgetary control to enable them maximize their contribution to the budget compilation and their benefits from the control data ultimately reported back to them.</w:t>
      </w:r>
    </w:p>
    <w:p>
      <w:pPr>
        <w:pStyle w:val="BodyText"/>
      </w:pPr>
    </w:p>
    <w:p>
      <w:pPr>
        <w:pStyle w:val="BodyText"/>
        <w:spacing w:before="6"/>
      </w:pPr>
    </w:p>
    <w:p>
      <w:pPr>
        <w:pStyle w:val="Heading3"/>
        <w:numPr>
          <w:ilvl w:val="1"/>
          <w:numId w:val="27"/>
        </w:numPr>
        <w:tabs>
          <w:tab w:pos="628" w:val="left" w:leader="none"/>
        </w:tabs>
        <w:spacing w:line="240" w:lineRule="auto" w:before="0" w:after="0"/>
        <w:ind w:left="628" w:right="0" w:hanging="388"/>
        <w:jc w:val="both"/>
      </w:pPr>
      <w:r>
        <w:rPr/>
        <w:t>Overview</w:t>
      </w:r>
      <w:r>
        <w:rPr>
          <w:spacing w:val="-3"/>
        </w:rPr>
        <w:t> </w:t>
      </w:r>
      <w:r>
        <w:rPr/>
        <w:t>of</w:t>
      </w:r>
      <w:r>
        <w:rPr>
          <w:spacing w:val="-7"/>
        </w:rPr>
        <w:t> </w:t>
      </w:r>
      <w:r>
        <w:rPr>
          <w:spacing w:val="-2"/>
        </w:rPr>
        <w:t>Housing</w:t>
      </w:r>
    </w:p>
    <w:p>
      <w:pPr>
        <w:pStyle w:val="Heading4"/>
        <w:numPr>
          <w:ilvl w:val="2"/>
          <w:numId w:val="27"/>
        </w:numPr>
        <w:tabs>
          <w:tab w:pos="780" w:val="left" w:leader="none"/>
        </w:tabs>
        <w:spacing w:line="240" w:lineRule="auto" w:before="253" w:after="0"/>
        <w:ind w:left="780" w:right="0" w:hanging="540"/>
        <w:jc w:val="both"/>
      </w:pPr>
      <w:r>
        <w:rPr/>
        <w:t>Definition</w:t>
      </w:r>
      <w:r>
        <w:rPr>
          <w:spacing w:val="-2"/>
        </w:rPr>
        <w:t> </w:t>
      </w:r>
      <w:r>
        <w:rPr/>
        <w:t>and</w:t>
      </w:r>
      <w:r>
        <w:rPr>
          <w:spacing w:val="-1"/>
        </w:rPr>
        <w:t> </w:t>
      </w:r>
      <w:r>
        <w:rPr/>
        <w:t>Meaning</w:t>
      </w:r>
      <w:r>
        <w:rPr>
          <w:spacing w:val="-2"/>
        </w:rPr>
        <w:t> </w:t>
      </w:r>
      <w:r>
        <w:rPr/>
        <w:t>of </w:t>
      </w:r>
      <w:r>
        <w:rPr>
          <w:spacing w:val="-2"/>
        </w:rPr>
        <w:t>Housing</w:t>
      </w:r>
    </w:p>
    <w:p>
      <w:pPr>
        <w:pStyle w:val="BodyText"/>
        <w:spacing w:line="360" w:lineRule="auto" w:before="132"/>
        <w:ind w:left="240" w:right="839"/>
        <w:jc w:val="both"/>
      </w:pPr>
      <w:r>
        <w:rPr/>
        <w:t>Oliver (2006) and Banham (2007) opine that residential spaces can be classified into three levels namely</w:t>
      </w:r>
      <w:r>
        <w:rPr>
          <w:spacing w:val="-3"/>
        </w:rPr>
        <w:t> </w:t>
      </w:r>
      <w:r>
        <w:rPr/>
        <w:t>shelter, home and house. Unlike a house, a home is much more than a physical structure. Shelters are provided to protect people, whereas the creation of a home represents deep social structures.</w:t>
      </w:r>
      <w:r>
        <w:rPr>
          <w:spacing w:val="-3"/>
        </w:rPr>
        <w:t> </w:t>
      </w:r>
      <w:r>
        <w:rPr/>
        <w:t>According</w:t>
      </w:r>
      <w:r>
        <w:rPr>
          <w:spacing w:val="-5"/>
        </w:rPr>
        <w:t> </w:t>
      </w:r>
      <w:r>
        <w:rPr/>
        <w:t>to</w:t>
      </w:r>
      <w:r>
        <w:rPr>
          <w:spacing w:val="-3"/>
        </w:rPr>
        <w:t> </w:t>
      </w:r>
      <w:r>
        <w:rPr/>
        <w:t>Oliver</w:t>
      </w:r>
      <w:r>
        <w:rPr>
          <w:spacing w:val="-4"/>
        </w:rPr>
        <w:t> </w:t>
      </w:r>
      <w:r>
        <w:rPr/>
        <w:t>(2006),</w:t>
      </w:r>
      <w:r>
        <w:rPr>
          <w:spacing w:val="-3"/>
        </w:rPr>
        <w:t> </w:t>
      </w:r>
      <w:r>
        <w:rPr/>
        <w:t>‗house‘</w:t>
      </w:r>
      <w:r>
        <w:rPr>
          <w:spacing w:val="-3"/>
        </w:rPr>
        <w:t> </w:t>
      </w:r>
      <w:r>
        <w:rPr/>
        <w:t>means</w:t>
      </w:r>
      <w:r>
        <w:rPr>
          <w:spacing w:val="-3"/>
        </w:rPr>
        <w:t> </w:t>
      </w:r>
      <w:r>
        <w:rPr/>
        <w:t>a</w:t>
      </w:r>
      <w:r>
        <w:rPr>
          <w:spacing w:val="-3"/>
        </w:rPr>
        <w:t> </w:t>
      </w:r>
      <w:r>
        <w:rPr/>
        <w:t>‗small</w:t>
      </w:r>
      <w:r>
        <w:rPr>
          <w:spacing w:val="-3"/>
        </w:rPr>
        <w:t> </w:t>
      </w:r>
      <w:r>
        <w:rPr/>
        <w:t>dwelling‘</w:t>
      </w:r>
      <w:r>
        <w:rPr>
          <w:spacing w:val="-3"/>
        </w:rPr>
        <w:t> </w:t>
      </w:r>
      <w:r>
        <w:rPr/>
        <w:t>describing</w:t>
      </w:r>
      <w:r>
        <w:rPr>
          <w:spacing w:val="-5"/>
        </w:rPr>
        <w:t> </w:t>
      </w:r>
      <w:r>
        <w:rPr/>
        <w:t>the</w:t>
      </w:r>
      <w:r>
        <w:rPr>
          <w:spacing w:val="-3"/>
        </w:rPr>
        <w:t> </w:t>
      </w:r>
      <w:r>
        <w:rPr/>
        <w:t>physical structure of the building. Morakinyo, Okunola, Ogunrayewa, &amp; Dada (2015) explicate housing provision for the citizenry as the gradual, continual and replicable process of meeting the</w:t>
      </w:r>
      <w:r>
        <w:rPr>
          <w:spacing w:val="40"/>
        </w:rPr>
        <w:t> </w:t>
      </w:r>
      <w:r>
        <w:rPr/>
        <w:t>housing</w:t>
      </w:r>
      <w:r>
        <w:rPr>
          <w:spacing w:val="3"/>
        </w:rPr>
        <w:t> </w:t>
      </w:r>
      <w:r>
        <w:rPr/>
        <w:t>needs</w:t>
      </w:r>
      <w:r>
        <w:rPr>
          <w:spacing w:val="9"/>
        </w:rPr>
        <w:t> </w:t>
      </w:r>
      <w:r>
        <w:rPr/>
        <w:t>of</w:t>
      </w:r>
      <w:r>
        <w:rPr>
          <w:spacing w:val="8"/>
        </w:rPr>
        <w:t> </w:t>
      </w:r>
      <w:r>
        <w:rPr/>
        <w:t>the</w:t>
      </w:r>
      <w:r>
        <w:rPr>
          <w:spacing w:val="8"/>
        </w:rPr>
        <w:t> </w:t>
      </w:r>
      <w:r>
        <w:rPr/>
        <w:t>populace,</w:t>
      </w:r>
      <w:r>
        <w:rPr>
          <w:spacing w:val="9"/>
        </w:rPr>
        <w:t> </w:t>
      </w:r>
      <w:r>
        <w:rPr/>
        <w:t>the</w:t>
      </w:r>
      <w:r>
        <w:rPr>
          <w:spacing w:val="8"/>
        </w:rPr>
        <w:t> </w:t>
      </w:r>
      <w:r>
        <w:rPr/>
        <w:t>vast</w:t>
      </w:r>
      <w:r>
        <w:rPr>
          <w:spacing w:val="10"/>
        </w:rPr>
        <w:t> </w:t>
      </w:r>
      <w:r>
        <w:rPr/>
        <w:t>majority</w:t>
      </w:r>
      <w:r>
        <w:rPr>
          <w:spacing w:val="4"/>
        </w:rPr>
        <w:t> </w:t>
      </w:r>
      <w:r>
        <w:rPr/>
        <w:t>of</w:t>
      </w:r>
      <w:r>
        <w:rPr>
          <w:spacing w:val="7"/>
        </w:rPr>
        <w:t> </w:t>
      </w:r>
      <w:r>
        <w:rPr/>
        <w:t>who</w:t>
      </w:r>
      <w:r>
        <w:rPr>
          <w:spacing w:val="8"/>
        </w:rPr>
        <w:t> </w:t>
      </w:r>
      <w:r>
        <w:rPr/>
        <w:t>are</w:t>
      </w:r>
      <w:r>
        <w:rPr>
          <w:spacing w:val="7"/>
        </w:rPr>
        <w:t> </w:t>
      </w:r>
      <w:r>
        <w:rPr/>
        <w:t>poor</w:t>
      </w:r>
      <w:r>
        <w:rPr>
          <w:spacing w:val="8"/>
        </w:rPr>
        <w:t> </w:t>
      </w:r>
      <w:r>
        <w:rPr/>
        <w:t>and</w:t>
      </w:r>
      <w:r>
        <w:rPr>
          <w:spacing w:val="9"/>
        </w:rPr>
        <w:t> </w:t>
      </w:r>
      <w:r>
        <w:rPr/>
        <w:t>are</w:t>
      </w:r>
      <w:r>
        <w:rPr>
          <w:spacing w:val="7"/>
        </w:rPr>
        <w:t> </w:t>
      </w:r>
      <w:r>
        <w:rPr/>
        <w:t>incapable</w:t>
      </w:r>
      <w:r>
        <w:rPr>
          <w:spacing w:val="8"/>
        </w:rPr>
        <w:t> </w:t>
      </w:r>
      <w:r>
        <w:rPr/>
        <w:t>of</w:t>
      </w:r>
      <w:r>
        <w:rPr>
          <w:spacing w:val="8"/>
        </w:rPr>
        <w:t> </w:t>
      </w:r>
      <w:r>
        <w:rPr>
          <w:spacing w:val="-2"/>
        </w:rPr>
        <w:t>providing</w:t>
      </w:r>
    </w:p>
    <w:p>
      <w:pPr>
        <w:spacing w:after="0" w:line="360" w:lineRule="auto"/>
        <w:jc w:val="both"/>
        <w:sectPr>
          <w:pgSz w:w="12240" w:h="15840"/>
          <w:pgMar w:header="0" w:footer="1036" w:top="1360" w:bottom="1220" w:left="1200" w:right="600"/>
        </w:sectPr>
      </w:pPr>
    </w:p>
    <w:p>
      <w:pPr>
        <w:pStyle w:val="BodyText"/>
        <w:spacing w:line="360" w:lineRule="auto" w:before="74"/>
        <w:ind w:left="240" w:right="843"/>
        <w:jc w:val="both"/>
      </w:pPr>
      <w:r>
        <w:rPr/>
        <w:t>adequately for themselves. It ensures housing strategies that are stable and are not subject to the variations or fluctuations in the political circumstances of the country. Housing provision also requires proper definition of housing needs, and the participation of the private sector.</w:t>
      </w:r>
    </w:p>
    <w:p>
      <w:pPr>
        <w:pStyle w:val="BodyText"/>
        <w:spacing w:before="35"/>
      </w:pPr>
    </w:p>
    <w:p>
      <w:pPr>
        <w:pStyle w:val="BodyText"/>
        <w:spacing w:line="360" w:lineRule="auto"/>
        <w:ind w:left="240" w:right="839"/>
        <w:jc w:val="both"/>
      </w:pPr>
      <w:r>
        <w:rPr/>
        <w:t>The National Housing Policy (NHP)(2006) defines housing as the process of providing a large number of residential buildings on a permanent basis with adequate physical infrastructure and social</w:t>
      </w:r>
      <w:r>
        <w:rPr>
          <w:spacing w:val="-3"/>
        </w:rPr>
        <w:t> </w:t>
      </w:r>
      <w:r>
        <w:rPr/>
        <w:t>services</w:t>
      </w:r>
      <w:r>
        <w:rPr>
          <w:spacing w:val="-3"/>
        </w:rPr>
        <w:t> </w:t>
      </w:r>
      <w:r>
        <w:rPr/>
        <w:t>in</w:t>
      </w:r>
      <w:r>
        <w:rPr>
          <w:spacing w:val="-3"/>
        </w:rPr>
        <w:t> </w:t>
      </w:r>
      <w:r>
        <w:rPr/>
        <w:t>planned,</w:t>
      </w:r>
      <w:r>
        <w:rPr>
          <w:spacing w:val="-3"/>
        </w:rPr>
        <w:t> </w:t>
      </w:r>
      <w:r>
        <w:rPr/>
        <w:t>decent,</w:t>
      </w:r>
      <w:r>
        <w:rPr>
          <w:spacing w:val="-3"/>
        </w:rPr>
        <w:t> </w:t>
      </w:r>
      <w:r>
        <w:rPr/>
        <w:t>safe</w:t>
      </w:r>
      <w:r>
        <w:rPr>
          <w:spacing w:val="-3"/>
        </w:rPr>
        <w:t> </w:t>
      </w:r>
      <w:r>
        <w:rPr/>
        <w:t>and</w:t>
      </w:r>
      <w:r>
        <w:rPr>
          <w:spacing w:val="-3"/>
        </w:rPr>
        <w:t> </w:t>
      </w:r>
      <w:r>
        <w:rPr/>
        <w:t>sanitary</w:t>
      </w:r>
      <w:r>
        <w:rPr>
          <w:spacing w:val="-8"/>
        </w:rPr>
        <w:t> </w:t>
      </w:r>
      <w:r>
        <w:rPr/>
        <w:t>neighbourhoods</w:t>
      </w:r>
      <w:r>
        <w:rPr>
          <w:spacing w:val="-3"/>
        </w:rPr>
        <w:t> </w:t>
      </w:r>
      <w:r>
        <w:rPr/>
        <w:t>to</w:t>
      </w:r>
      <w:r>
        <w:rPr>
          <w:spacing w:val="-3"/>
        </w:rPr>
        <w:t> </w:t>
      </w:r>
      <w:r>
        <w:rPr/>
        <w:t>meet</w:t>
      </w:r>
      <w:r>
        <w:rPr>
          <w:spacing w:val="-3"/>
        </w:rPr>
        <w:t> </w:t>
      </w:r>
      <w:r>
        <w:rPr/>
        <w:t>the</w:t>
      </w:r>
      <w:r>
        <w:rPr>
          <w:spacing w:val="-4"/>
        </w:rPr>
        <w:t> </w:t>
      </w:r>
      <w:r>
        <w:rPr/>
        <w:t>basic</w:t>
      </w:r>
      <w:r>
        <w:rPr>
          <w:spacing w:val="-2"/>
        </w:rPr>
        <w:t> </w:t>
      </w:r>
      <w:r>
        <w:rPr/>
        <w:t>and</w:t>
      </w:r>
      <w:r>
        <w:rPr>
          <w:spacing w:val="-3"/>
        </w:rPr>
        <w:t> </w:t>
      </w:r>
      <w:r>
        <w:rPr/>
        <w:t>special needs of the population while Martins (1988) defines housing in an enlarged context, as shelter plus those important social services, infrastructure and utilities that go along to make a community or neighbourhood a livable environment.</w:t>
      </w:r>
    </w:p>
    <w:p>
      <w:pPr>
        <w:pStyle w:val="BodyText"/>
        <w:spacing w:line="360" w:lineRule="auto" w:before="270"/>
        <w:ind w:left="240" w:right="837"/>
        <w:jc w:val="both"/>
      </w:pPr>
      <w:r>
        <w:rPr/>
        <w:t>Grimes (1976) maintain that housing encompasses more far more than living space and shelter. Its nature and value are determined by the services it offers. These services are varied, including neighbourhood amenities, access to education, and health facilities, security. The worth of</w:t>
      </w:r>
      <w:r>
        <w:rPr>
          <w:spacing w:val="40"/>
        </w:rPr>
        <w:t> </w:t>
      </w:r>
      <w:r>
        <w:rPr/>
        <w:t>houses depends on quality considerations such as design , density, building materials, floor</w:t>
      </w:r>
      <w:r>
        <w:rPr>
          <w:spacing w:val="40"/>
        </w:rPr>
        <w:t> </w:t>
      </w:r>
      <w:r>
        <w:rPr/>
        <w:t>space, access to employment and other income-earning opportunities, public facilities, community services and ,markets.</w:t>
      </w:r>
    </w:p>
    <w:p>
      <w:pPr>
        <w:pStyle w:val="BodyText"/>
        <w:spacing w:line="360" w:lineRule="auto" w:before="200"/>
        <w:ind w:left="240" w:right="837"/>
        <w:jc w:val="both"/>
      </w:pPr>
      <w:r>
        <w:rPr/>
        <w:t>There are several types of housing types in Nigeria and some of them are common or popular with the populace. According to Ezenagu (2000), the foregoing comprises a list of common housing types, found in both the urban and rural areas of Nigeria.</w:t>
      </w:r>
    </w:p>
    <w:p>
      <w:pPr>
        <w:pStyle w:val="ListParagraph"/>
        <w:numPr>
          <w:ilvl w:val="3"/>
          <w:numId w:val="27"/>
        </w:numPr>
        <w:tabs>
          <w:tab w:pos="959" w:val="left" w:leader="none"/>
        </w:tabs>
        <w:spacing w:line="240" w:lineRule="auto" w:before="200" w:after="0"/>
        <w:ind w:left="959" w:right="0" w:hanging="359"/>
        <w:jc w:val="both"/>
        <w:rPr>
          <w:sz w:val="24"/>
        </w:rPr>
      </w:pPr>
      <w:r>
        <w:rPr>
          <w:sz w:val="24"/>
        </w:rPr>
        <w:t>Mud</w:t>
      </w:r>
      <w:r>
        <w:rPr>
          <w:spacing w:val="-1"/>
          <w:sz w:val="24"/>
        </w:rPr>
        <w:t> </w:t>
      </w:r>
      <w:r>
        <w:rPr>
          <w:sz w:val="24"/>
        </w:rPr>
        <w:t>Houses: Mostly</w:t>
      </w:r>
      <w:r>
        <w:rPr>
          <w:spacing w:val="-5"/>
          <w:sz w:val="24"/>
        </w:rPr>
        <w:t> </w:t>
      </w:r>
      <w:r>
        <w:rPr>
          <w:sz w:val="24"/>
        </w:rPr>
        <w:t>found in rural areas or in urban </w:t>
      </w:r>
      <w:r>
        <w:rPr>
          <w:spacing w:val="-2"/>
          <w:sz w:val="24"/>
        </w:rPr>
        <w:t>slums;</w:t>
      </w:r>
    </w:p>
    <w:p>
      <w:pPr>
        <w:pStyle w:val="ListParagraph"/>
        <w:numPr>
          <w:ilvl w:val="3"/>
          <w:numId w:val="27"/>
        </w:numPr>
        <w:tabs>
          <w:tab w:pos="960" w:val="left" w:leader="none"/>
        </w:tabs>
        <w:spacing w:line="360" w:lineRule="auto" w:before="137" w:after="0"/>
        <w:ind w:left="960" w:right="832" w:hanging="360"/>
        <w:jc w:val="both"/>
        <w:rPr>
          <w:sz w:val="24"/>
        </w:rPr>
      </w:pPr>
      <w:r>
        <w:rPr>
          <w:sz w:val="24"/>
        </w:rPr>
        <w:t>Bungalows: These are of different kinds such as (i) single family bungalows (ii)multi- tenement (iii) bungalows comprising blocks of flats;</w:t>
      </w:r>
    </w:p>
    <w:p>
      <w:pPr>
        <w:pStyle w:val="ListParagraph"/>
        <w:numPr>
          <w:ilvl w:val="3"/>
          <w:numId w:val="27"/>
        </w:numPr>
        <w:tabs>
          <w:tab w:pos="960" w:val="left" w:leader="none"/>
        </w:tabs>
        <w:spacing w:line="360" w:lineRule="auto" w:before="0" w:after="0"/>
        <w:ind w:left="960" w:right="836" w:hanging="360"/>
        <w:jc w:val="both"/>
        <w:rPr>
          <w:sz w:val="24"/>
        </w:rPr>
      </w:pPr>
      <w:r>
        <w:rPr>
          <w:sz w:val="24"/>
        </w:rPr>
        <w:t>Storey Buildings: These are in form of (i) single-family storey buildings (ii) storey buildings comprising blocks of either two or four flats (iii) storey buildings comprising multi-tenement storey buildings;</w:t>
      </w:r>
    </w:p>
    <w:p>
      <w:pPr>
        <w:pStyle w:val="ListParagraph"/>
        <w:numPr>
          <w:ilvl w:val="3"/>
          <w:numId w:val="27"/>
        </w:numPr>
        <w:tabs>
          <w:tab w:pos="960" w:val="left" w:leader="none"/>
        </w:tabs>
        <w:spacing w:line="360" w:lineRule="auto" w:before="2" w:after="0"/>
        <w:ind w:left="960" w:right="843" w:hanging="360"/>
        <w:jc w:val="both"/>
        <w:rPr>
          <w:sz w:val="24"/>
        </w:rPr>
      </w:pPr>
      <w:r>
        <w:rPr>
          <w:sz w:val="24"/>
        </w:rPr>
        <w:t>Block of Flats: These are apartment buildings or houses and could be one, two, three or multi storeys. Usually, the flats comprise one, two, three or more bedrooms;</w:t>
      </w:r>
    </w:p>
    <w:p>
      <w:pPr>
        <w:pStyle w:val="ListParagraph"/>
        <w:numPr>
          <w:ilvl w:val="3"/>
          <w:numId w:val="27"/>
        </w:numPr>
        <w:tabs>
          <w:tab w:pos="960" w:val="left" w:leader="none"/>
        </w:tabs>
        <w:spacing w:line="360" w:lineRule="auto" w:before="0" w:after="0"/>
        <w:ind w:left="960" w:right="846" w:hanging="360"/>
        <w:jc w:val="both"/>
        <w:rPr>
          <w:sz w:val="24"/>
        </w:rPr>
      </w:pPr>
      <w:r>
        <w:rPr>
          <w:sz w:val="24"/>
        </w:rPr>
        <w:t>Duplexes: These are storey buildings that are double or two fold nature. They are either detached or semi-detached and</w:t>
      </w:r>
    </w:p>
    <w:p>
      <w:pPr>
        <w:spacing w:after="0" w:line="360" w:lineRule="auto"/>
        <w:jc w:val="both"/>
        <w:rPr>
          <w:sz w:val="24"/>
        </w:rPr>
        <w:sectPr>
          <w:pgSz w:w="12240" w:h="15840"/>
          <w:pgMar w:header="0" w:footer="1036" w:top="1360" w:bottom="1220" w:left="1200" w:right="600"/>
        </w:sectPr>
      </w:pPr>
    </w:p>
    <w:p>
      <w:pPr>
        <w:pStyle w:val="ListParagraph"/>
        <w:numPr>
          <w:ilvl w:val="3"/>
          <w:numId w:val="27"/>
        </w:numPr>
        <w:tabs>
          <w:tab w:pos="958" w:val="left" w:leader="none"/>
          <w:tab w:pos="960" w:val="left" w:leader="none"/>
        </w:tabs>
        <w:spacing w:line="360" w:lineRule="auto" w:before="74" w:after="0"/>
        <w:ind w:left="960" w:right="842" w:hanging="360"/>
        <w:jc w:val="both"/>
        <w:rPr>
          <w:sz w:val="24"/>
        </w:rPr>
      </w:pPr>
      <w:r>
        <w:rPr>
          <w:sz w:val="24"/>
        </w:rPr>
        <w:t>Terrace Houses: This is a</w:t>
      </w:r>
      <w:r>
        <w:rPr>
          <w:spacing w:val="-2"/>
          <w:sz w:val="24"/>
        </w:rPr>
        <w:t> </w:t>
      </w:r>
      <w:r>
        <w:rPr>
          <w:sz w:val="24"/>
        </w:rPr>
        <w:t>continuous row of houses in one block but different from block of flats.</w:t>
      </w:r>
    </w:p>
    <w:p>
      <w:pPr>
        <w:pStyle w:val="BodyText"/>
        <w:spacing w:line="360" w:lineRule="auto" w:before="200"/>
        <w:ind w:left="240" w:right="834"/>
        <w:jc w:val="both"/>
      </w:pPr>
      <w:r>
        <w:rPr/>
        <w:t>According to United Nations (2006), housing is one of the foremost problems confronting governments all over the world. The problem is most acute in developing countries, though it varies from one country to another. Over time, the need for adequate shelter has continued to attract global attention especially in developing countries where the urbanization process has been growing at an alarming rate. The phenomenal rise in population, increase in number and size of most cities in the past decades have led to acute shortage of adequate dwelling units in many urban centers globally (Jiboye, 2009).Consequently, in recent time, the issue of housing</w:t>
      </w:r>
      <w:r>
        <w:rPr>
          <w:spacing w:val="40"/>
        </w:rPr>
        <w:t> </w:t>
      </w:r>
      <w:r>
        <w:rPr/>
        <w:t>has formed part of the major discussion in several global summits such as the 1992 Rio-de Janeiro summit on environment and development, the 1996 Habitat summit at Istanbul, the 2000 New York, United Nations Millennium Development Goals (MDGS) summit, 2002 World Summit in Johannesburg and the 2005 La Havana, UN sustainable Cities Documentation of Experience Programme (UN-Habitat, 2007; UNDPI, 2008).</w:t>
      </w:r>
    </w:p>
    <w:p>
      <w:pPr>
        <w:pStyle w:val="BodyText"/>
        <w:spacing w:before="34"/>
      </w:pPr>
    </w:p>
    <w:p>
      <w:pPr>
        <w:pStyle w:val="BodyText"/>
        <w:spacing w:line="360" w:lineRule="auto"/>
        <w:ind w:left="240" w:right="837"/>
        <w:jc w:val="both"/>
      </w:pPr>
      <w:r>
        <w:rPr/>
        <w:t>Okupe (2000) and Olusola (2002) maintain that with different policies and user solutions that abound for the purpose of reducing quantitative housing deficiency, it is possible to solve the problem, if housing were used only for shelter needs. However, in addition to serving as a</w:t>
      </w:r>
      <w:r>
        <w:rPr>
          <w:spacing w:val="40"/>
        </w:rPr>
        <w:t> </w:t>
      </w:r>
      <w:r>
        <w:rPr/>
        <w:t>shelter,</w:t>
      </w:r>
      <w:r>
        <w:rPr>
          <w:spacing w:val="-3"/>
        </w:rPr>
        <w:t> </w:t>
      </w:r>
      <w:r>
        <w:rPr/>
        <w:t>housing</w:t>
      </w:r>
      <w:r>
        <w:rPr>
          <w:spacing w:val="-5"/>
        </w:rPr>
        <w:t> </w:t>
      </w:r>
      <w:r>
        <w:rPr/>
        <w:t>is</w:t>
      </w:r>
      <w:r>
        <w:rPr>
          <w:spacing w:val="-1"/>
        </w:rPr>
        <w:t> </w:t>
      </w:r>
      <w:r>
        <w:rPr/>
        <w:t>also</w:t>
      </w:r>
      <w:r>
        <w:rPr>
          <w:spacing w:val="-3"/>
        </w:rPr>
        <w:t> </w:t>
      </w:r>
      <w:r>
        <w:rPr/>
        <w:t>a</w:t>
      </w:r>
      <w:r>
        <w:rPr>
          <w:spacing w:val="-2"/>
        </w:rPr>
        <w:t> </w:t>
      </w:r>
      <w:r>
        <w:rPr/>
        <w:t>produced</w:t>
      </w:r>
      <w:r>
        <w:rPr>
          <w:spacing w:val="-1"/>
        </w:rPr>
        <w:t> </w:t>
      </w:r>
      <w:r>
        <w:rPr/>
        <w:t>commodity,</w:t>
      </w:r>
      <w:r>
        <w:rPr>
          <w:spacing w:val="-3"/>
        </w:rPr>
        <w:t> </w:t>
      </w:r>
      <w:r>
        <w:rPr/>
        <w:t>consumer</w:t>
      </w:r>
      <w:r>
        <w:rPr>
          <w:spacing w:val="-3"/>
        </w:rPr>
        <w:t> </w:t>
      </w:r>
      <w:r>
        <w:rPr/>
        <w:t>good,</w:t>
      </w:r>
      <w:r>
        <w:rPr>
          <w:spacing w:val="-3"/>
        </w:rPr>
        <w:t> </w:t>
      </w:r>
      <w:r>
        <w:rPr/>
        <w:t>assurance</w:t>
      </w:r>
      <w:r>
        <w:rPr>
          <w:spacing w:val="-2"/>
        </w:rPr>
        <w:t> </w:t>
      </w:r>
      <w:r>
        <w:rPr/>
        <w:t>for</w:t>
      </w:r>
      <w:r>
        <w:rPr>
          <w:spacing w:val="-4"/>
        </w:rPr>
        <w:t> </w:t>
      </w:r>
      <w:r>
        <w:rPr/>
        <w:t>families</w:t>
      </w:r>
      <w:r>
        <w:rPr>
          <w:spacing w:val="-3"/>
        </w:rPr>
        <w:t> </w:t>
      </w:r>
      <w:r>
        <w:rPr/>
        <w:t>and</w:t>
      </w:r>
      <w:r>
        <w:rPr>
          <w:spacing w:val="-4"/>
        </w:rPr>
        <w:t> </w:t>
      </w:r>
      <w:r>
        <w:rPr/>
        <w:t>means used for reproducing social relations and an investment tool protecting the value of money against inflation</w:t>
      </w:r>
    </w:p>
    <w:p>
      <w:pPr>
        <w:pStyle w:val="BodyText"/>
      </w:pPr>
    </w:p>
    <w:p>
      <w:pPr>
        <w:pStyle w:val="BodyText"/>
        <w:spacing w:before="3"/>
      </w:pPr>
    </w:p>
    <w:p>
      <w:pPr>
        <w:pStyle w:val="Heading4"/>
        <w:numPr>
          <w:ilvl w:val="2"/>
          <w:numId w:val="27"/>
        </w:numPr>
        <w:tabs>
          <w:tab w:pos="780" w:val="left" w:leader="none"/>
        </w:tabs>
        <w:spacing w:line="240" w:lineRule="auto" w:before="0" w:after="0"/>
        <w:ind w:left="780" w:right="0" w:hanging="540"/>
        <w:jc w:val="both"/>
      </w:pPr>
      <w:r>
        <w:rPr/>
        <w:t>The</w:t>
      </w:r>
      <w:r>
        <w:rPr>
          <w:spacing w:val="-1"/>
        </w:rPr>
        <w:t> </w:t>
      </w:r>
      <w:r>
        <w:rPr/>
        <w:t>Importance</w:t>
      </w:r>
      <w:r>
        <w:rPr>
          <w:spacing w:val="-1"/>
        </w:rPr>
        <w:t> </w:t>
      </w:r>
      <w:r>
        <w:rPr/>
        <w:t>of</w:t>
      </w:r>
      <w:r>
        <w:rPr>
          <w:spacing w:val="3"/>
        </w:rPr>
        <w:t> </w:t>
      </w:r>
      <w:r>
        <w:rPr>
          <w:spacing w:val="-2"/>
        </w:rPr>
        <w:t>Housing</w:t>
      </w:r>
    </w:p>
    <w:p>
      <w:pPr>
        <w:pStyle w:val="BodyText"/>
        <w:spacing w:line="360" w:lineRule="auto" w:before="207"/>
        <w:ind w:left="240" w:right="838"/>
        <w:jc w:val="both"/>
      </w:pPr>
      <w:r>
        <w:rPr/>
        <w:t>According to Ezenagu (2000), the importance of housing cannot be overemphasized because a house is not just for one to live, but living itself. Thus, housing is valued not just for what it is, but for what it does. Housing is of supreme importance to man and represents one of the most basic human needs which has a profound impact on the health, welfare, social status, attitudes and economic productivity of an individual. It is also one of the best indications of a person‘s standard of living and of his or her place in society (Okupe, 2000; Morakinyo </w:t>
      </w:r>
      <w:r>
        <w:rPr>
          <w:i/>
        </w:rPr>
        <w:t>et. al</w:t>
      </w:r>
      <w:r>
        <w:rPr/>
        <w:t>., 2015). Morakinyo</w:t>
      </w:r>
      <w:r>
        <w:rPr>
          <w:spacing w:val="18"/>
        </w:rPr>
        <w:t> </w:t>
      </w:r>
      <w:r>
        <w:rPr>
          <w:i/>
        </w:rPr>
        <w:t>et.</w:t>
      </w:r>
      <w:r>
        <w:rPr>
          <w:i/>
          <w:spacing w:val="17"/>
        </w:rPr>
        <w:t> </w:t>
      </w:r>
      <w:r>
        <w:rPr>
          <w:i/>
        </w:rPr>
        <w:t>al</w:t>
      </w:r>
      <w:r>
        <w:rPr/>
        <w:t>.</w:t>
      </w:r>
      <w:r>
        <w:rPr>
          <w:spacing w:val="15"/>
        </w:rPr>
        <w:t> </w:t>
      </w:r>
      <w:r>
        <w:rPr/>
        <w:t>(2015)</w:t>
      </w:r>
      <w:r>
        <w:rPr>
          <w:spacing w:val="18"/>
        </w:rPr>
        <w:t> </w:t>
      </w:r>
      <w:r>
        <w:rPr/>
        <w:t>further</w:t>
      </w:r>
      <w:r>
        <w:rPr>
          <w:spacing w:val="17"/>
        </w:rPr>
        <w:t> </w:t>
      </w:r>
      <w:r>
        <w:rPr/>
        <w:t>stress</w:t>
      </w:r>
      <w:r>
        <w:rPr>
          <w:spacing w:val="16"/>
        </w:rPr>
        <w:t> </w:t>
      </w:r>
      <w:r>
        <w:rPr/>
        <w:t>that</w:t>
      </w:r>
      <w:r>
        <w:rPr>
          <w:spacing w:val="16"/>
        </w:rPr>
        <w:t> </w:t>
      </w:r>
      <w:r>
        <w:rPr/>
        <w:t>housing</w:t>
      </w:r>
      <w:r>
        <w:rPr>
          <w:spacing w:val="14"/>
        </w:rPr>
        <w:t> </w:t>
      </w:r>
      <w:r>
        <w:rPr/>
        <w:t>has</w:t>
      </w:r>
      <w:r>
        <w:rPr>
          <w:spacing w:val="15"/>
        </w:rPr>
        <w:t> </w:t>
      </w:r>
      <w:r>
        <w:rPr/>
        <w:t>a</w:t>
      </w:r>
      <w:r>
        <w:rPr>
          <w:spacing w:val="15"/>
        </w:rPr>
        <w:t> </w:t>
      </w:r>
      <w:r>
        <w:rPr/>
        <w:t>profound</w:t>
      </w:r>
      <w:r>
        <w:rPr>
          <w:spacing w:val="16"/>
        </w:rPr>
        <w:t> </w:t>
      </w:r>
      <w:r>
        <w:rPr/>
        <w:t>impact</w:t>
      </w:r>
      <w:r>
        <w:rPr>
          <w:spacing w:val="16"/>
        </w:rPr>
        <w:t> </w:t>
      </w:r>
      <w:r>
        <w:rPr/>
        <w:t>on</w:t>
      </w:r>
      <w:r>
        <w:rPr>
          <w:spacing w:val="16"/>
        </w:rPr>
        <w:t> </w:t>
      </w:r>
      <w:r>
        <w:rPr/>
        <w:t>social</w:t>
      </w:r>
      <w:r>
        <w:rPr>
          <w:spacing w:val="17"/>
        </w:rPr>
        <w:t> </w:t>
      </w:r>
      <w:r>
        <w:rPr>
          <w:spacing w:val="-2"/>
        </w:rPr>
        <w:t>interaction</w:t>
      </w:r>
    </w:p>
    <w:p>
      <w:pPr>
        <w:spacing w:after="0" w:line="360" w:lineRule="auto"/>
        <w:jc w:val="both"/>
        <w:sectPr>
          <w:pgSz w:w="12240" w:h="15840"/>
          <w:pgMar w:header="0" w:footer="1036" w:top="1360" w:bottom="1220" w:left="1200" w:right="600"/>
        </w:sectPr>
      </w:pPr>
    </w:p>
    <w:p>
      <w:pPr>
        <w:pStyle w:val="BodyText"/>
        <w:spacing w:line="360" w:lineRule="auto" w:before="74"/>
        <w:ind w:left="240" w:right="837"/>
        <w:jc w:val="both"/>
      </w:pPr>
      <w:r>
        <w:rPr/>
        <w:t>and general welfare of individuals and groups in any environment.</w:t>
      </w:r>
      <w:r>
        <w:rPr>
          <w:spacing w:val="80"/>
        </w:rPr>
        <w:t> </w:t>
      </w:r>
      <w:r>
        <w:rPr/>
        <w:t>Ural (2008) considers housing as a human habitat which is a dominant factor in the recognition of a society‘s success among the family of nations.</w:t>
      </w:r>
    </w:p>
    <w:p>
      <w:pPr>
        <w:pStyle w:val="BodyText"/>
        <w:spacing w:before="35"/>
      </w:pPr>
    </w:p>
    <w:p>
      <w:pPr>
        <w:pStyle w:val="BodyText"/>
        <w:spacing w:line="360" w:lineRule="auto"/>
        <w:ind w:left="240" w:right="838"/>
        <w:jc w:val="both"/>
      </w:pPr>
      <w:r>
        <w:rPr/>
        <w:t>Ebie (2009) concurs with the above positions by stating that housing is unarguably one of the basic necessities of man which used to be ranked second after food in the hierarchy of man‘s needs but is now regarded as the first and most important of all human rights. According to him, the importance attached to the provision of housing stems from the fact that housing in all its ramifications is more than mere shelter since embraces all social services and utilities that go to make a community or neighbourhood a livable environment. Housing being a right entails that</w:t>
      </w:r>
      <w:r>
        <w:rPr>
          <w:spacing w:val="40"/>
        </w:rPr>
        <w:t> </w:t>
      </w:r>
      <w:r>
        <w:rPr/>
        <w:t>all strata of a society including the less privileged members of the society, the old, the disadvantaged, the wondering psychotics should own or have access to decent, safe and sanitary housing accommodation at affordable disposal prices or rental with secure tenure.</w:t>
      </w:r>
    </w:p>
    <w:p>
      <w:pPr>
        <w:pStyle w:val="BodyText"/>
        <w:spacing w:before="36"/>
      </w:pPr>
    </w:p>
    <w:p>
      <w:pPr>
        <w:pStyle w:val="BodyText"/>
        <w:spacing w:line="360" w:lineRule="auto"/>
        <w:ind w:left="240" w:right="838"/>
        <w:jc w:val="both"/>
      </w:pPr>
      <w:r>
        <w:rPr/>
        <w:t>The housing sector also plays a more crucial role in the country‘s welfare as it directly affects</w:t>
      </w:r>
      <w:r>
        <w:rPr>
          <w:spacing w:val="40"/>
        </w:rPr>
        <w:t> </w:t>
      </w:r>
      <w:r>
        <w:rPr/>
        <w:t>not only the well-being of the citizenry, but also the performance of other sectors of the</w:t>
      </w:r>
      <w:r>
        <w:rPr>
          <w:spacing w:val="40"/>
        </w:rPr>
        <w:t> </w:t>
      </w:r>
      <w:r>
        <w:rPr/>
        <w:t>economy. Onibokun (2000) states that in many developing countries, housing construction</w:t>
      </w:r>
      <w:r>
        <w:rPr>
          <w:spacing w:val="40"/>
        </w:rPr>
        <w:t> </w:t>
      </w:r>
      <w:r>
        <w:rPr/>
        <w:t>makes up as much as 20 – 30 percent of gross fixed domestic capital formation.</w:t>
      </w:r>
      <w:r>
        <w:rPr>
          <w:spacing w:val="40"/>
        </w:rPr>
        <w:t> </w:t>
      </w:r>
      <w:r>
        <w:rPr/>
        <w:t>Housing construction accounts for about 2 to 5 percent of GDP in most developing countries. The true importance of housing may be greater than what we know or can imagine. In developing countries, there exists self-help construction as well as commercial activities by independent contractors. These are not reported at all and are greatly under-valued. This means that unrecorded investment arising basically from housing is substantial even in industrialized </w:t>
      </w:r>
      <w:r>
        <w:rPr>
          <w:spacing w:val="-2"/>
        </w:rPr>
        <w:t>countries.</w:t>
      </w:r>
    </w:p>
    <w:p>
      <w:pPr>
        <w:pStyle w:val="BodyText"/>
        <w:spacing w:before="68"/>
      </w:pPr>
    </w:p>
    <w:p>
      <w:pPr>
        <w:pStyle w:val="BodyText"/>
        <w:spacing w:line="360" w:lineRule="auto"/>
        <w:ind w:left="240" w:right="836"/>
        <w:jc w:val="both"/>
      </w:pPr>
      <w:r>
        <w:rPr/>
        <w:t>Burns</w:t>
      </w:r>
      <w:r>
        <w:rPr>
          <w:spacing w:val="-3"/>
        </w:rPr>
        <w:t> </w:t>
      </w:r>
      <w:r>
        <w:rPr/>
        <w:t>and</w:t>
      </w:r>
      <w:r>
        <w:rPr>
          <w:spacing w:val="-1"/>
        </w:rPr>
        <w:t> </w:t>
      </w:r>
      <w:r>
        <w:rPr/>
        <w:t>Grebler</w:t>
      </w:r>
      <w:r>
        <w:rPr>
          <w:spacing w:val="-3"/>
        </w:rPr>
        <w:t> </w:t>
      </w:r>
      <w:r>
        <w:rPr/>
        <w:t>(1977);</w:t>
      </w:r>
      <w:r>
        <w:rPr>
          <w:spacing w:val="-3"/>
        </w:rPr>
        <w:t> </w:t>
      </w:r>
      <w:r>
        <w:rPr/>
        <w:t>Ezenagu</w:t>
      </w:r>
      <w:r>
        <w:rPr>
          <w:spacing w:val="-1"/>
        </w:rPr>
        <w:t> </w:t>
      </w:r>
      <w:r>
        <w:rPr/>
        <w:t>(2000)</w:t>
      </w:r>
      <w:r>
        <w:rPr>
          <w:spacing w:val="-4"/>
        </w:rPr>
        <w:t> </w:t>
      </w:r>
      <w:r>
        <w:rPr/>
        <w:t>summarize</w:t>
      </w:r>
      <w:r>
        <w:rPr>
          <w:spacing w:val="-4"/>
        </w:rPr>
        <w:t> </w:t>
      </w:r>
      <w:r>
        <w:rPr/>
        <w:t>the</w:t>
      </w:r>
      <w:r>
        <w:rPr>
          <w:spacing w:val="-3"/>
        </w:rPr>
        <w:t> </w:t>
      </w:r>
      <w:r>
        <w:rPr/>
        <w:t>benefits</w:t>
      </w:r>
      <w:r>
        <w:rPr>
          <w:spacing w:val="-3"/>
        </w:rPr>
        <w:t> </w:t>
      </w:r>
      <w:r>
        <w:rPr/>
        <w:t>of</w:t>
      </w:r>
      <w:r>
        <w:rPr>
          <w:spacing w:val="-3"/>
        </w:rPr>
        <w:t> </w:t>
      </w:r>
      <w:r>
        <w:rPr/>
        <w:t>housing</w:t>
      </w:r>
      <w:r>
        <w:rPr>
          <w:spacing w:val="-5"/>
        </w:rPr>
        <w:t> </w:t>
      </w:r>
      <w:r>
        <w:rPr/>
        <w:t>to</w:t>
      </w:r>
      <w:r>
        <w:rPr>
          <w:spacing w:val="-3"/>
        </w:rPr>
        <w:t> </w:t>
      </w:r>
      <w:r>
        <w:rPr/>
        <w:t>man</w:t>
      </w:r>
      <w:r>
        <w:rPr>
          <w:spacing w:val="-3"/>
        </w:rPr>
        <w:t> </w:t>
      </w:r>
      <w:r>
        <w:rPr/>
        <w:t>and</w:t>
      </w:r>
      <w:r>
        <w:rPr>
          <w:spacing w:val="-3"/>
        </w:rPr>
        <w:t> </w:t>
      </w:r>
      <w:r>
        <w:rPr/>
        <w:t>society as follows: (i) provision of shelter/accommodation (ii) an investment, which yields flow of income (iii) source of social prestige/status (iv)employment generation (v) provides collateral security for loan (vi) a durable good which can be inherited (vii) contribution to physical development (viii) stimulates economic growth (ix)cultural significance: serves as the best physical</w:t>
      </w:r>
      <w:r>
        <w:rPr>
          <w:spacing w:val="42"/>
        </w:rPr>
        <w:t> </w:t>
      </w:r>
      <w:r>
        <w:rPr/>
        <w:t>and</w:t>
      </w:r>
      <w:r>
        <w:rPr>
          <w:spacing w:val="41"/>
        </w:rPr>
        <w:t> </w:t>
      </w:r>
      <w:r>
        <w:rPr/>
        <w:t>historical</w:t>
      </w:r>
      <w:r>
        <w:rPr>
          <w:spacing w:val="45"/>
        </w:rPr>
        <w:t> </w:t>
      </w:r>
      <w:r>
        <w:rPr/>
        <w:t>evidence</w:t>
      </w:r>
      <w:r>
        <w:rPr>
          <w:spacing w:val="43"/>
        </w:rPr>
        <w:t> </w:t>
      </w:r>
      <w:r>
        <w:rPr/>
        <w:t>of</w:t>
      </w:r>
      <w:r>
        <w:rPr>
          <w:spacing w:val="43"/>
        </w:rPr>
        <w:t> </w:t>
      </w:r>
      <w:r>
        <w:rPr/>
        <w:t>civilization,</w:t>
      </w:r>
      <w:r>
        <w:rPr>
          <w:spacing w:val="40"/>
        </w:rPr>
        <w:t> </w:t>
      </w:r>
      <w:r>
        <w:rPr/>
        <w:t>depicts</w:t>
      </w:r>
      <w:r>
        <w:rPr>
          <w:spacing w:val="42"/>
        </w:rPr>
        <w:t> </w:t>
      </w:r>
      <w:r>
        <w:rPr/>
        <w:t>values,</w:t>
      </w:r>
      <w:r>
        <w:rPr>
          <w:spacing w:val="42"/>
        </w:rPr>
        <w:t> </w:t>
      </w:r>
      <w:r>
        <w:rPr/>
        <w:t>norms</w:t>
      </w:r>
      <w:r>
        <w:rPr>
          <w:spacing w:val="45"/>
        </w:rPr>
        <w:t> </w:t>
      </w:r>
      <w:r>
        <w:rPr/>
        <w:t>of</w:t>
      </w:r>
      <w:r>
        <w:rPr>
          <w:spacing w:val="41"/>
        </w:rPr>
        <w:t> </w:t>
      </w:r>
      <w:r>
        <w:rPr/>
        <w:t>a</w:t>
      </w:r>
      <w:r>
        <w:rPr>
          <w:spacing w:val="41"/>
        </w:rPr>
        <w:t> </w:t>
      </w:r>
      <w:r>
        <w:rPr/>
        <w:t>tribes</w:t>
      </w:r>
      <w:r>
        <w:rPr>
          <w:spacing w:val="43"/>
        </w:rPr>
        <w:t> </w:t>
      </w:r>
      <w:r>
        <w:rPr/>
        <w:t>or</w:t>
      </w:r>
      <w:r>
        <w:rPr>
          <w:spacing w:val="43"/>
        </w:rPr>
        <w:t> </w:t>
      </w:r>
      <w:r>
        <w:rPr/>
        <w:t>race</w:t>
      </w:r>
      <w:r>
        <w:rPr>
          <w:spacing w:val="44"/>
        </w:rPr>
        <w:t> </w:t>
      </w:r>
      <w:r>
        <w:rPr>
          <w:spacing w:val="-5"/>
        </w:rPr>
        <w:t>(x)</w:t>
      </w:r>
    </w:p>
    <w:p>
      <w:pPr>
        <w:spacing w:after="0" w:line="360" w:lineRule="auto"/>
        <w:jc w:val="both"/>
        <w:sectPr>
          <w:pgSz w:w="12240" w:h="15840"/>
          <w:pgMar w:header="0" w:footer="1036" w:top="1360" w:bottom="1220" w:left="1200" w:right="600"/>
        </w:sectPr>
      </w:pPr>
    </w:p>
    <w:p>
      <w:pPr>
        <w:pStyle w:val="BodyText"/>
        <w:spacing w:line="360" w:lineRule="auto" w:before="74"/>
        <w:ind w:left="240" w:right="844"/>
        <w:jc w:val="both"/>
      </w:pPr>
      <w:r>
        <w:rPr/>
        <w:t>promotes communal life in terms of environment/sanitation purposes, maintenance of public properties, security, exercising</w:t>
      </w:r>
      <w:r>
        <w:rPr>
          <w:spacing w:val="40"/>
        </w:rPr>
        <w:t> </w:t>
      </w:r>
      <w:r>
        <w:rPr/>
        <w:t>civic duties, organization of rallies/protests.</w:t>
      </w:r>
    </w:p>
    <w:p>
      <w:pPr>
        <w:pStyle w:val="BodyText"/>
        <w:spacing w:before="209"/>
      </w:pPr>
    </w:p>
    <w:p>
      <w:pPr>
        <w:pStyle w:val="Heading4"/>
        <w:numPr>
          <w:ilvl w:val="2"/>
          <w:numId w:val="27"/>
        </w:numPr>
        <w:tabs>
          <w:tab w:pos="780" w:val="left" w:leader="none"/>
        </w:tabs>
        <w:spacing w:line="240" w:lineRule="auto" w:before="0" w:after="0"/>
        <w:ind w:left="240" w:right="1356" w:firstLine="0"/>
        <w:jc w:val="both"/>
      </w:pPr>
      <w:r>
        <w:rPr/>
        <w:t>An</w:t>
      </w:r>
      <w:r>
        <w:rPr>
          <w:spacing w:val="-3"/>
        </w:rPr>
        <w:t> </w:t>
      </w:r>
      <w:r>
        <w:rPr/>
        <w:t>insight</w:t>
      </w:r>
      <w:r>
        <w:rPr>
          <w:spacing w:val="-3"/>
        </w:rPr>
        <w:t> </w:t>
      </w:r>
      <w:r>
        <w:rPr/>
        <w:t>into</w:t>
      </w:r>
      <w:r>
        <w:rPr>
          <w:spacing w:val="-3"/>
        </w:rPr>
        <w:t> </w:t>
      </w:r>
      <w:r>
        <w:rPr/>
        <w:t>the</w:t>
      </w:r>
      <w:r>
        <w:rPr>
          <w:spacing w:val="-3"/>
        </w:rPr>
        <w:t> </w:t>
      </w:r>
      <w:r>
        <w:rPr/>
        <w:t>Low</w:t>
      </w:r>
      <w:r>
        <w:rPr>
          <w:spacing w:val="-2"/>
        </w:rPr>
        <w:t> </w:t>
      </w:r>
      <w:r>
        <w:rPr/>
        <w:t>and</w:t>
      </w:r>
      <w:r>
        <w:rPr>
          <w:spacing w:val="-3"/>
        </w:rPr>
        <w:t> </w:t>
      </w:r>
      <w:r>
        <w:rPr/>
        <w:t>Middle</w:t>
      </w:r>
      <w:r>
        <w:rPr>
          <w:spacing w:val="-3"/>
        </w:rPr>
        <w:t> </w:t>
      </w:r>
      <w:r>
        <w:rPr/>
        <w:t>Income</w:t>
      </w:r>
      <w:r>
        <w:rPr>
          <w:spacing w:val="-4"/>
        </w:rPr>
        <w:t> </w:t>
      </w:r>
      <w:r>
        <w:rPr/>
        <w:t>Groups</w:t>
      </w:r>
      <w:r>
        <w:rPr>
          <w:spacing w:val="-3"/>
        </w:rPr>
        <w:t> </w:t>
      </w:r>
      <w:r>
        <w:rPr/>
        <w:t>in</w:t>
      </w:r>
      <w:r>
        <w:rPr>
          <w:spacing w:val="-2"/>
        </w:rPr>
        <w:t> </w:t>
      </w:r>
      <w:r>
        <w:rPr/>
        <w:t>Nigeria</w:t>
      </w:r>
      <w:r>
        <w:rPr>
          <w:spacing w:val="-3"/>
        </w:rPr>
        <w:t> </w:t>
      </w:r>
      <w:r>
        <w:rPr/>
        <w:t>and</w:t>
      </w:r>
      <w:r>
        <w:rPr>
          <w:spacing w:val="-3"/>
        </w:rPr>
        <w:t> </w:t>
      </w:r>
      <w:r>
        <w:rPr/>
        <w:t>their</w:t>
      </w:r>
      <w:r>
        <w:rPr>
          <w:spacing w:val="-3"/>
        </w:rPr>
        <w:t> </w:t>
      </w:r>
      <w:r>
        <w:rPr/>
        <w:t>Housing </w:t>
      </w:r>
      <w:r>
        <w:rPr>
          <w:spacing w:val="-2"/>
        </w:rPr>
        <w:t>Predicaments</w:t>
      </w:r>
    </w:p>
    <w:p>
      <w:pPr>
        <w:pStyle w:val="BodyText"/>
        <w:spacing w:line="360" w:lineRule="auto" w:before="204"/>
        <w:ind w:left="240" w:right="835"/>
        <w:jc w:val="both"/>
      </w:pPr>
      <w:r>
        <w:rPr/>
        <w:t>Anokam (2016) opines that many Nigerians are willing to own houses but low income and inability to access housing funds through housing mortgage institutions have remained their major challenges. For instance, a recent study by the Millard Fuller Foundation, an international US based humanitarian organization, stated that most Nigerian workers are earning less than N500, 000 per annum or N40, 000 per month. The report also says about 80 per cent of</w:t>
      </w:r>
      <w:r>
        <w:rPr>
          <w:spacing w:val="80"/>
        </w:rPr>
        <w:t> </w:t>
      </w:r>
      <w:r>
        <w:rPr/>
        <w:t>Nigerians cannot afford a house that is more than N1 million naira.</w:t>
      </w:r>
    </w:p>
    <w:p>
      <w:pPr>
        <w:pStyle w:val="BodyText"/>
        <w:spacing w:before="37"/>
      </w:pPr>
    </w:p>
    <w:p>
      <w:pPr>
        <w:pStyle w:val="BodyText"/>
        <w:spacing w:line="360" w:lineRule="auto"/>
        <w:ind w:left="240" w:right="840"/>
      </w:pPr>
      <w:r>
        <w:rPr/>
        <w:t>According</w:t>
      </w:r>
      <w:r>
        <w:rPr>
          <w:spacing w:val="-5"/>
        </w:rPr>
        <w:t> </w:t>
      </w:r>
      <w:r>
        <w:rPr/>
        <w:t>to</w:t>
      </w:r>
      <w:r>
        <w:rPr>
          <w:spacing w:val="-2"/>
        </w:rPr>
        <w:t> </w:t>
      </w:r>
      <w:r>
        <w:rPr/>
        <w:t>Enhancing</w:t>
      </w:r>
      <w:r>
        <w:rPr>
          <w:spacing w:val="-5"/>
        </w:rPr>
        <w:t> </w:t>
      </w:r>
      <w:r>
        <w:rPr/>
        <w:t>Financial</w:t>
      </w:r>
      <w:r>
        <w:rPr>
          <w:spacing w:val="-1"/>
        </w:rPr>
        <w:t> </w:t>
      </w:r>
      <w:r>
        <w:rPr/>
        <w:t>Innovation</w:t>
      </w:r>
      <w:r>
        <w:rPr>
          <w:spacing w:val="-2"/>
        </w:rPr>
        <w:t> </w:t>
      </w:r>
      <w:r>
        <w:rPr/>
        <w:t>and</w:t>
      </w:r>
      <w:r>
        <w:rPr>
          <w:spacing w:val="-1"/>
        </w:rPr>
        <w:t> </w:t>
      </w:r>
      <w:r>
        <w:rPr/>
        <w:t>Access</w:t>
      </w:r>
      <w:r>
        <w:rPr>
          <w:spacing w:val="-2"/>
        </w:rPr>
        <w:t> </w:t>
      </w:r>
      <w:r>
        <w:rPr/>
        <w:t>(EFInA)</w:t>
      </w:r>
      <w:r>
        <w:rPr>
          <w:spacing w:val="-4"/>
        </w:rPr>
        <w:t> </w:t>
      </w:r>
      <w:r>
        <w:rPr/>
        <w:t>(2011),</w:t>
      </w:r>
      <w:r>
        <w:rPr>
          <w:spacing w:val="-3"/>
        </w:rPr>
        <w:t> </w:t>
      </w:r>
      <w:r>
        <w:rPr/>
        <w:t>the</w:t>
      </w:r>
      <w:r>
        <w:rPr>
          <w:spacing w:val="-3"/>
        </w:rPr>
        <w:t> </w:t>
      </w:r>
      <w:r>
        <w:rPr/>
        <w:t>following</w:t>
      </w:r>
      <w:r>
        <w:rPr>
          <w:spacing w:val="-4"/>
        </w:rPr>
        <w:t> </w:t>
      </w:r>
      <w:r>
        <w:rPr/>
        <w:t>features characterize the low income earners in Nigeria:</w:t>
      </w:r>
    </w:p>
    <w:p>
      <w:pPr>
        <w:pStyle w:val="ListParagraph"/>
        <w:numPr>
          <w:ilvl w:val="0"/>
          <w:numId w:val="56"/>
        </w:numPr>
        <w:tabs>
          <w:tab w:pos="959" w:val="left" w:leader="none"/>
        </w:tabs>
        <w:spacing w:line="240" w:lineRule="auto" w:before="0" w:after="0"/>
        <w:ind w:left="959" w:right="0" w:hanging="359"/>
        <w:jc w:val="left"/>
        <w:rPr>
          <w:sz w:val="24"/>
        </w:rPr>
      </w:pPr>
      <w:r>
        <w:rPr>
          <w:sz w:val="24"/>
        </w:rPr>
        <w:t>They</w:t>
      </w:r>
      <w:r>
        <w:rPr>
          <w:spacing w:val="-6"/>
          <w:sz w:val="24"/>
        </w:rPr>
        <w:t> </w:t>
      </w:r>
      <w:r>
        <w:rPr>
          <w:sz w:val="24"/>
        </w:rPr>
        <w:t>are</w:t>
      </w:r>
      <w:r>
        <w:rPr>
          <w:spacing w:val="-1"/>
          <w:sz w:val="24"/>
        </w:rPr>
        <w:t> </w:t>
      </w:r>
      <w:r>
        <w:rPr>
          <w:sz w:val="24"/>
        </w:rPr>
        <w:t>engaged</w:t>
      </w:r>
      <w:r>
        <w:rPr>
          <w:spacing w:val="-1"/>
          <w:sz w:val="24"/>
        </w:rPr>
        <w:t> </w:t>
      </w:r>
      <w:r>
        <w:rPr>
          <w:sz w:val="24"/>
        </w:rPr>
        <w:t>in</w:t>
      </w:r>
      <w:r>
        <w:rPr>
          <w:spacing w:val="2"/>
          <w:sz w:val="24"/>
        </w:rPr>
        <w:t> </w:t>
      </w:r>
      <w:r>
        <w:rPr>
          <w:sz w:val="24"/>
        </w:rPr>
        <w:t>both</w:t>
      </w:r>
      <w:r>
        <w:rPr>
          <w:spacing w:val="-1"/>
          <w:sz w:val="24"/>
        </w:rPr>
        <w:t> </w:t>
      </w:r>
      <w:r>
        <w:rPr>
          <w:sz w:val="24"/>
        </w:rPr>
        <w:t>formal and</w:t>
      </w:r>
      <w:r>
        <w:rPr>
          <w:spacing w:val="-1"/>
          <w:sz w:val="24"/>
        </w:rPr>
        <w:t> </w:t>
      </w:r>
      <w:r>
        <w:rPr>
          <w:sz w:val="24"/>
        </w:rPr>
        <w:t>informal sectors</w:t>
      </w:r>
      <w:r>
        <w:rPr>
          <w:spacing w:val="-1"/>
          <w:sz w:val="24"/>
        </w:rPr>
        <w:t> </w:t>
      </w:r>
      <w:r>
        <w:rPr>
          <w:sz w:val="24"/>
        </w:rPr>
        <w:t>of the</w:t>
      </w:r>
      <w:r>
        <w:rPr>
          <w:spacing w:val="-1"/>
          <w:sz w:val="24"/>
        </w:rPr>
        <w:t> </w:t>
      </w:r>
      <w:r>
        <w:rPr>
          <w:spacing w:val="-2"/>
          <w:sz w:val="24"/>
        </w:rPr>
        <w:t>economy;</w:t>
      </w:r>
    </w:p>
    <w:p>
      <w:pPr>
        <w:pStyle w:val="ListParagraph"/>
        <w:numPr>
          <w:ilvl w:val="0"/>
          <w:numId w:val="56"/>
        </w:numPr>
        <w:tabs>
          <w:tab w:pos="959" w:val="left" w:leader="none"/>
        </w:tabs>
        <w:spacing w:line="240" w:lineRule="auto" w:before="137" w:after="0"/>
        <w:ind w:left="959" w:right="0" w:hanging="359"/>
        <w:jc w:val="left"/>
        <w:rPr>
          <w:sz w:val="24"/>
        </w:rPr>
      </w:pPr>
      <w:r>
        <w:rPr>
          <w:sz w:val="24"/>
        </w:rPr>
        <w:t>Their</w:t>
      </w:r>
      <w:r>
        <w:rPr>
          <w:spacing w:val="-1"/>
          <w:sz w:val="24"/>
        </w:rPr>
        <w:t> </w:t>
      </w:r>
      <w:r>
        <w:rPr>
          <w:sz w:val="24"/>
        </w:rPr>
        <w:t>average</w:t>
      </w:r>
      <w:r>
        <w:rPr>
          <w:spacing w:val="-1"/>
          <w:sz w:val="24"/>
        </w:rPr>
        <w:t> </w:t>
      </w:r>
      <w:r>
        <w:rPr>
          <w:sz w:val="24"/>
        </w:rPr>
        <w:t>monthly</w:t>
      </w:r>
      <w:r>
        <w:rPr>
          <w:spacing w:val="-5"/>
          <w:sz w:val="24"/>
        </w:rPr>
        <w:t> </w:t>
      </w:r>
      <w:r>
        <w:rPr>
          <w:sz w:val="24"/>
        </w:rPr>
        <w:t>salary/take</w:t>
      </w:r>
      <w:r>
        <w:rPr>
          <w:spacing w:val="-1"/>
          <w:sz w:val="24"/>
        </w:rPr>
        <w:t> </w:t>
      </w:r>
      <w:r>
        <w:rPr>
          <w:sz w:val="24"/>
        </w:rPr>
        <w:t>home pay</w:t>
      </w:r>
      <w:r>
        <w:rPr>
          <w:spacing w:val="-4"/>
          <w:sz w:val="24"/>
        </w:rPr>
        <w:t> </w:t>
      </w:r>
      <w:r>
        <w:rPr>
          <w:sz w:val="24"/>
        </w:rPr>
        <w:t>ranges from N5,000 to </w:t>
      </w:r>
      <w:r>
        <w:rPr>
          <w:spacing w:val="-2"/>
          <w:sz w:val="24"/>
        </w:rPr>
        <w:t>N40,000;</w:t>
      </w:r>
    </w:p>
    <w:p>
      <w:pPr>
        <w:pStyle w:val="ListParagraph"/>
        <w:numPr>
          <w:ilvl w:val="0"/>
          <w:numId w:val="56"/>
        </w:numPr>
        <w:tabs>
          <w:tab w:pos="959" w:val="left" w:leader="none"/>
        </w:tabs>
        <w:spacing w:line="240" w:lineRule="auto" w:before="139" w:after="0"/>
        <w:ind w:left="959" w:right="0" w:hanging="359"/>
        <w:jc w:val="both"/>
        <w:rPr>
          <w:sz w:val="24"/>
        </w:rPr>
      </w:pPr>
      <w:r>
        <w:rPr>
          <w:sz w:val="24"/>
        </w:rPr>
        <w:t>Those</w:t>
      </w:r>
      <w:r>
        <w:rPr>
          <w:spacing w:val="-4"/>
          <w:sz w:val="24"/>
        </w:rPr>
        <w:t> </w:t>
      </w:r>
      <w:r>
        <w:rPr>
          <w:sz w:val="24"/>
        </w:rPr>
        <w:t>in</w:t>
      </w:r>
      <w:r>
        <w:rPr>
          <w:spacing w:val="-1"/>
          <w:sz w:val="24"/>
        </w:rPr>
        <w:t> </w:t>
      </w:r>
      <w:r>
        <w:rPr>
          <w:sz w:val="24"/>
        </w:rPr>
        <w:t>gainful employment</w:t>
      </w:r>
      <w:r>
        <w:rPr>
          <w:spacing w:val="-1"/>
          <w:sz w:val="24"/>
        </w:rPr>
        <w:t> </w:t>
      </w:r>
      <w:r>
        <w:rPr>
          <w:sz w:val="24"/>
        </w:rPr>
        <w:t>still engage</w:t>
      </w:r>
      <w:r>
        <w:rPr>
          <w:spacing w:val="-2"/>
          <w:sz w:val="24"/>
        </w:rPr>
        <w:t> </w:t>
      </w:r>
      <w:r>
        <w:rPr>
          <w:sz w:val="24"/>
        </w:rPr>
        <w:t>in one or</w:t>
      </w:r>
      <w:r>
        <w:rPr>
          <w:spacing w:val="-2"/>
          <w:sz w:val="24"/>
        </w:rPr>
        <w:t> </w:t>
      </w:r>
      <w:r>
        <w:rPr>
          <w:sz w:val="24"/>
        </w:rPr>
        <w:t>two businesses</w:t>
      </w:r>
      <w:r>
        <w:rPr>
          <w:spacing w:val="-1"/>
          <w:sz w:val="24"/>
        </w:rPr>
        <w:t> </w:t>
      </w:r>
      <w:r>
        <w:rPr>
          <w:sz w:val="24"/>
        </w:rPr>
        <w:t>to make</w:t>
      </w:r>
      <w:r>
        <w:rPr>
          <w:spacing w:val="-2"/>
          <w:sz w:val="24"/>
        </w:rPr>
        <w:t> </w:t>
      </w:r>
      <w:r>
        <w:rPr>
          <w:sz w:val="24"/>
        </w:rPr>
        <w:t>ends </w:t>
      </w:r>
      <w:r>
        <w:rPr>
          <w:spacing w:val="-2"/>
          <w:sz w:val="24"/>
        </w:rPr>
        <w:t>meet;</w:t>
      </w:r>
    </w:p>
    <w:p>
      <w:pPr>
        <w:pStyle w:val="ListParagraph"/>
        <w:numPr>
          <w:ilvl w:val="0"/>
          <w:numId w:val="56"/>
        </w:numPr>
        <w:tabs>
          <w:tab w:pos="960" w:val="left" w:leader="none"/>
        </w:tabs>
        <w:spacing w:line="360" w:lineRule="auto" w:before="138" w:after="0"/>
        <w:ind w:left="960" w:right="838" w:hanging="360"/>
        <w:jc w:val="both"/>
        <w:rPr>
          <w:sz w:val="24"/>
        </w:rPr>
      </w:pPr>
      <w:r>
        <w:rPr>
          <w:sz w:val="24"/>
        </w:rPr>
        <w:t>Some claim to get some irregular sums of money as gifts from relatives, friends and boyfriends, especially when in urgent need and</w:t>
      </w:r>
    </w:p>
    <w:p>
      <w:pPr>
        <w:pStyle w:val="ListParagraph"/>
        <w:numPr>
          <w:ilvl w:val="0"/>
          <w:numId w:val="56"/>
        </w:numPr>
        <w:tabs>
          <w:tab w:pos="960" w:val="left" w:leader="none"/>
        </w:tabs>
        <w:spacing w:line="360" w:lineRule="auto" w:before="0" w:after="0"/>
        <w:ind w:left="960" w:right="841" w:hanging="360"/>
        <w:jc w:val="both"/>
        <w:rPr>
          <w:sz w:val="24"/>
        </w:rPr>
      </w:pPr>
      <w:r>
        <w:rPr>
          <w:sz w:val="24"/>
        </w:rPr>
        <w:t>They also engage in some menial jobs and enjoy from the national cake doled out by </w:t>
      </w:r>
      <w:r>
        <w:rPr>
          <w:spacing w:val="-2"/>
          <w:sz w:val="24"/>
        </w:rPr>
        <w:t>politicians.</w:t>
      </w:r>
    </w:p>
    <w:p>
      <w:pPr>
        <w:pStyle w:val="BodyText"/>
        <w:spacing w:line="360" w:lineRule="auto" w:before="172"/>
        <w:ind w:left="240" w:right="835"/>
        <w:jc w:val="both"/>
      </w:pPr>
      <w:r>
        <w:rPr/>
        <w:t>The Federal Government of Nigeria (2004) through its National Housing Policy</w:t>
      </w:r>
      <w:r>
        <w:rPr>
          <w:spacing w:val="-2"/>
        </w:rPr>
        <w:t> </w:t>
      </w:r>
      <w:r>
        <w:rPr/>
        <w:t>defines the low- income</w:t>
      </w:r>
      <w:r>
        <w:rPr>
          <w:spacing w:val="-2"/>
        </w:rPr>
        <w:t> </w:t>
      </w:r>
      <w:r>
        <w:rPr/>
        <w:t>group</w:t>
      </w:r>
      <w:r>
        <w:rPr>
          <w:spacing w:val="-2"/>
        </w:rPr>
        <w:t> </w:t>
      </w:r>
      <w:r>
        <w:rPr/>
        <w:t>as</w:t>
      </w:r>
      <w:r>
        <w:rPr>
          <w:spacing w:val="-1"/>
        </w:rPr>
        <w:t> </w:t>
      </w:r>
      <w:r>
        <w:rPr/>
        <w:t>all</w:t>
      </w:r>
      <w:r>
        <w:rPr>
          <w:spacing w:val="-3"/>
        </w:rPr>
        <w:t> </w:t>
      </w:r>
      <w:r>
        <w:rPr/>
        <w:t>employees</w:t>
      </w:r>
      <w:r>
        <w:rPr>
          <w:spacing w:val="-1"/>
        </w:rPr>
        <w:t> </w:t>
      </w:r>
      <w:r>
        <w:rPr/>
        <w:t>and</w:t>
      </w:r>
      <w:r>
        <w:rPr>
          <w:spacing w:val="-3"/>
        </w:rPr>
        <w:t> </w:t>
      </w:r>
      <w:r>
        <w:rPr/>
        <w:t>self-employed persons</w:t>
      </w:r>
      <w:r>
        <w:rPr>
          <w:spacing w:val="-3"/>
        </w:rPr>
        <w:t> </w:t>
      </w:r>
      <w:r>
        <w:rPr/>
        <w:t>whose</w:t>
      </w:r>
      <w:r>
        <w:rPr>
          <w:spacing w:val="-4"/>
        </w:rPr>
        <w:t> </w:t>
      </w:r>
      <w:r>
        <w:rPr/>
        <w:t>annual</w:t>
      </w:r>
      <w:r>
        <w:rPr>
          <w:spacing w:val="-3"/>
        </w:rPr>
        <w:t> </w:t>
      </w:r>
      <w:r>
        <w:rPr/>
        <w:t>income</w:t>
      </w:r>
      <w:r>
        <w:rPr>
          <w:spacing w:val="-3"/>
        </w:rPr>
        <w:t> </w:t>
      </w:r>
      <w:r>
        <w:rPr/>
        <w:t>is</w:t>
      </w:r>
      <w:r>
        <w:rPr>
          <w:spacing w:val="-3"/>
        </w:rPr>
        <w:t> </w:t>
      </w:r>
      <w:r>
        <w:rPr/>
        <w:t>N100,</w:t>
      </w:r>
      <w:r>
        <w:rPr>
          <w:spacing w:val="-3"/>
        </w:rPr>
        <w:t> </w:t>
      </w:r>
      <w:r>
        <w:rPr/>
        <w:t>000:00 and below (i.e. the equivalent of salary grade level of 01-06 within the civil service) or whose annual income is 20% or below the maximum annual income of the highest salary grade level within the civil service structure at any given time, whichever is higher. In Nigeria 75% of the population</w:t>
      </w:r>
      <w:r>
        <w:rPr>
          <w:spacing w:val="-2"/>
        </w:rPr>
        <w:t> </w:t>
      </w:r>
      <w:r>
        <w:rPr/>
        <w:t>is</w:t>
      </w:r>
      <w:r>
        <w:rPr>
          <w:spacing w:val="-2"/>
        </w:rPr>
        <w:t> </w:t>
      </w:r>
      <w:r>
        <w:rPr/>
        <w:t>estimated</w:t>
      </w:r>
      <w:r>
        <w:rPr>
          <w:spacing w:val="-2"/>
        </w:rPr>
        <w:t> </w:t>
      </w:r>
      <w:r>
        <w:rPr/>
        <w:t>to</w:t>
      </w:r>
      <w:r>
        <w:rPr>
          <w:spacing w:val="-2"/>
        </w:rPr>
        <w:t> </w:t>
      </w:r>
      <w:r>
        <w:rPr/>
        <w:t>be</w:t>
      </w:r>
      <w:r>
        <w:rPr>
          <w:spacing w:val="-3"/>
        </w:rPr>
        <w:t> </w:t>
      </w:r>
      <w:r>
        <w:rPr/>
        <w:t>of</w:t>
      </w:r>
      <w:r>
        <w:rPr>
          <w:spacing w:val="-2"/>
        </w:rPr>
        <w:t> </w:t>
      </w:r>
      <w:r>
        <w:rPr/>
        <w:t>the</w:t>
      </w:r>
      <w:r>
        <w:rPr>
          <w:spacing w:val="-2"/>
        </w:rPr>
        <w:t> </w:t>
      </w:r>
      <w:r>
        <w:rPr/>
        <w:t>Low-income</w:t>
      </w:r>
      <w:r>
        <w:rPr>
          <w:spacing w:val="-1"/>
        </w:rPr>
        <w:t> </w:t>
      </w:r>
      <w:r>
        <w:rPr/>
        <w:t>group</w:t>
      </w:r>
      <w:r>
        <w:rPr>
          <w:spacing w:val="-2"/>
        </w:rPr>
        <w:t> </w:t>
      </w:r>
      <w:r>
        <w:rPr/>
        <w:t>or</w:t>
      </w:r>
      <w:r>
        <w:rPr>
          <w:spacing w:val="-2"/>
        </w:rPr>
        <w:t> </w:t>
      </w:r>
      <w:r>
        <w:rPr/>
        <w:t>fall</w:t>
      </w:r>
      <w:r>
        <w:rPr>
          <w:spacing w:val="-2"/>
        </w:rPr>
        <w:t> </w:t>
      </w:r>
      <w:r>
        <w:rPr/>
        <w:t>below the</w:t>
      </w:r>
      <w:r>
        <w:rPr>
          <w:spacing w:val="-2"/>
        </w:rPr>
        <w:t> </w:t>
      </w:r>
      <w:r>
        <w:rPr/>
        <w:t>poverty</w:t>
      </w:r>
      <w:r>
        <w:rPr>
          <w:spacing w:val="-7"/>
        </w:rPr>
        <w:t> </w:t>
      </w:r>
      <w:r>
        <w:rPr/>
        <w:t>line,</w:t>
      </w:r>
      <w:r>
        <w:rPr>
          <w:spacing w:val="-2"/>
        </w:rPr>
        <w:t> </w:t>
      </w:r>
      <w:r>
        <w:rPr/>
        <w:t>which</w:t>
      </w:r>
      <w:r>
        <w:rPr>
          <w:spacing w:val="-2"/>
        </w:rPr>
        <w:t> </w:t>
      </w:r>
      <w:r>
        <w:rPr/>
        <w:t>is</w:t>
      </w:r>
      <w:r>
        <w:rPr>
          <w:spacing w:val="-2"/>
        </w:rPr>
        <w:t> </w:t>
      </w:r>
      <w:r>
        <w:rPr/>
        <w:t>on the average of US$1 per day (Olotuah, 2006). In reality, most employees who work outside the public sector or outside the organized private sector, as well as many self-employed Nigerians earn well below the national minimum wage. This, by implication indicates that a majority of Nigerians fall into this category, which also forms the nucleus of the nation‘s economy.</w:t>
      </w:r>
    </w:p>
    <w:p>
      <w:pPr>
        <w:spacing w:after="0" w:line="360" w:lineRule="auto"/>
        <w:jc w:val="both"/>
        <w:sectPr>
          <w:pgSz w:w="12240" w:h="15840"/>
          <w:pgMar w:header="0" w:footer="1036" w:top="1360" w:bottom="1220" w:left="1200" w:right="600"/>
        </w:sectPr>
      </w:pPr>
    </w:p>
    <w:p>
      <w:pPr>
        <w:pStyle w:val="BodyText"/>
        <w:spacing w:line="360" w:lineRule="auto" w:before="74"/>
        <w:ind w:left="240" w:right="835"/>
        <w:jc w:val="both"/>
      </w:pPr>
      <w:r>
        <w:rPr/>
        <w:t>The current trend of development in the country is that private developers who engage in commercial housing affordable to the few privileged ones in the society do so mainly for profit making</w:t>
      </w:r>
      <w:r>
        <w:rPr>
          <w:spacing w:val="-3"/>
        </w:rPr>
        <w:t> </w:t>
      </w:r>
      <w:r>
        <w:rPr/>
        <w:t>and</w:t>
      </w:r>
      <w:r>
        <w:rPr>
          <w:spacing w:val="-2"/>
        </w:rPr>
        <w:t> </w:t>
      </w:r>
      <w:r>
        <w:rPr/>
        <w:t>not</w:t>
      </w:r>
      <w:r>
        <w:rPr>
          <w:spacing w:val="-2"/>
        </w:rPr>
        <w:t> </w:t>
      </w:r>
      <w:r>
        <w:rPr/>
        <w:t>for</w:t>
      </w:r>
      <w:r>
        <w:rPr>
          <w:spacing w:val="-2"/>
        </w:rPr>
        <w:t> </w:t>
      </w:r>
      <w:r>
        <w:rPr/>
        <w:t>the</w:t>
      </w:r>
      <w:r>
        <w:rPr>
          <w:spacing w:val="-4"/>
        </w:rPr>
        <w:t> </w:t>
      </w:r>
      <w:r>
        <w:rPr/>
        <w:t>masses</w:t>
      </w:r>
      <w:r>
        <w:rPr>
          <w:spacing w:val="-2"/>
        </w:rPr>
        <w:t> </w:t>
      </w:r>
      <w:r>
        <w:rPr/>
        <w:t>or</w:t>
      </w:r>
      <w:r>
        <w:rPr>
          <w:spacing w:val="-3"/>
        </w:rPr>
        <w:t> </w:t>
      </w:r>
      <w:r>
        <w:rPr/>
        <w:t>low income</w:t>
      </w:r>
      <w:r>
        <w:rPr>
          <w:spacing w:val="-1"/>
        </w:rPr>
        <w:t> </w:t>
      </w:r>
      <w:r>
        <w:rPr/>
        <w:t>earners.</w:t>
      </w:r>
      <w:r>
        <w:rPr>
          <w:spacing w:val="-2"/>
        </w:rPr>
        <w:t> </w:t>
      </w:r>
      <w:r>
        <w:rPr/>
        <w:t>Since</w:t>
      </w:r>
      <w:r>
        <w:rPr>
          <w:spacing w:val="-3"/>
        </w:rPr>
        <w:t> </w:t>
      </w:r>
      <w:r>
        <w:rPr/>
        <w:t>many</w:t>
      </w:r>
      <w:r>
        <w:rPr>
          <w:spacing w:val="-5"/>
        </w:rPr>
        <w:t> </w:t>
      </w:r>
      <w:r>
        <w:rPr/>
        <w:t>of</w:t>
      </w:r>
      <w:r>
        <w:rPr>
          <w:spacing w:val="-3"/>
        </w:rPr>
        <w:t> </w:t>
      </w:r>
      <w:r>
        <w:rPr/>
        <w:t>these</w:t>
      </w:r>
      <w:r>
        <w:rPr>
          <w:spacing w:val="-1"/>
        </w:rPr>
        <w:t> </w:t>
      </w:r>
      <w:r>
        <w:rPr/>
        <w:t>developers</w:t>
      </w:r>
      <w:r>
        <w:rPr>
          <w:spacing w:val="-2"/>
        </w:rPr>
        <w:t> </w:t>
      </w:r>
      <w:r>
        <w:rPr/>
        <w:t>operate</w:t>
      </w:r>
      <w:r>
        <w:rPr>
          <w:spacing w:val="-2"/>
        </w:rPr>
        <w:t> </w:t>
      </w:r>
      <w:r>
        <w:rPr/>
        <w:t>on short-term loans which must be recouped (Adedeji and Abiodun, 2014). In addition to this,</w:t>
      </w:r>
      <w:r>
        <w:rPr>
          <w:spacing w:val="40"/>
        </w:rPr>
        <w:t> </w:t>
      </w:r>
      <w:r>
        <w:rPr/>
        <w:t>public sector intervention in housing in Nigeria over the years encompasses:</w:t>
      </w:r>
      <w:r>
        <w:rPr>
          <w:spacing w:val="40"/>
        </w:rPr>
        <w:t> </w:t>
      </w:r>
      <w:r>
        <w:rPr/>
        <w:t>building of staff quarters; housing loans to workers; direct housing construction and sites-and-services programmes. These programmes, aside from direct house construction of low-cost houses by</w:t>
      </w:r>
      <w:r>
        <w:rPr>
          <w:spacing w:val="-3"/>
        </w:rPr>
        <w:t> </w:t>
      </w:r>
      <w:r>
        <w:rPr/>
        <w:t>the Federal</w:t>
      </w:r>
      <w:r>
        <w:rPr>
          <w:spacing w:val="-3"/>
        </w:rPr>
        <w:t> </w:t>
      </w:r>
      <w:r>
        <w:rPr/>
        <w:t>Government,</w:t>
      </w:r>
      <w:r>
        <w:rPr>
          <w:spacing w:val="-3"/>
        </w:rPr>
        <w:t> </w:t>
      </w:r>
      <w:r>
        <w:rPr/>
        <w:t>are</w:t>
      </w:r>
      <w:r>
        <w:rPr>
          <w:spacing w:val="-3"/>
        </w:rPr>
        <w:t> </w:t>
      </w:r>
      <w:r>
        <w:rPr/>
        <w:t>not</w:t>
      </w:r>
      <w:r>
        <w:rPr>
          <w:spacing w:val="-3"/>
        </w:rPr>
        <w:t> </w:t>
      </w:r>
      <w:r>
        <w:rPr/>
        <w:t>directed</w:t>
      </w:r>
      <w:r>
        <w:rPr>
          <w:spacing w:val="-3"/>
        </w:rPr>
        <w:t> </w:t>
      </w:r>
      <w:r>
        <w:rPr/>
        <w:t>at</w:t>
      </w:r>
      <w:r>
        <w:rPr>
          <w:spacing w:val="-3"/>
        </w:rPr>
        <w:t> </w:t>
      </w:r>
      <w:r>
        <w:rPr/>
        <w:t>low-income</w:t>
      </w:r>
      <w:r>
        <w:rPr>
          <w:spacing w:val="-3"/>
        </w:rPr>
        <w:t> </w:t>
      </w:r>
      <w:r>
        <w:rPr/>
        <w:t>earners.</w:t>
      </w:r>
      <w:r>
        <w:rPr>
          <w:spacing w:val="-1"/>
        </w:rPr>
        <w:t> </w:t>
      </w:r>
      <w:r>
        <w:rPr/>
        <w:t>In</w:t>
      </w:r>
      <w:r>
        <w:rPr>
          <w:spacing w:val="-1"/>
        </w:rPr>
        <w:t> </w:t>
      </w:r>
      <w:r>
        <w:rPr/>
        <w:t>fact,</w:t>
      </w:r>
      <w:r>
        <w:rPr>
          <w:spacing w:val="-2"/>
        </w:rPr>
        <w:t> </w:t>
      </w:r>
      <w:r>
        <w:rPr/>
        <w:t>various</w:t>
      </w:r>
      <w:r>
        <w:rPr>
          <w:spacing w:val="-3"/>
        </w:rPr>
        <w:t> </w:t>
      </w:r>
      <w:r>
        <w:rPr/>
        <w:t>civilian</w:t>
      </w:r>
      <w:r>
        <w:rPr>
          <w:spacing w:val="-3"/>
        </w:rPr>
        <w:t> </w:t>
      </w:r>
      <w:r>
        <w:rPr/>
        <w:t>and</w:t>
      </w:r>
      <w:r>
        <w:rPr>
          <w:spacing w:val="-3"/>
        </w:rPr>
        <w:t> </w:t>
      </w:r>
      <w:r>
        <w:rPr/>
        <w:t>military Governments have made concerted efforts to provide adequate housing to this group, but recent studies have shown that, the low income group has not adequately benefited from the Government programmes (Sani 2003).</w:t>
      </w:r>
    </w:p>
    <w:p>
      <w:pPr>
        <w:pStyle w:val="BodyText"/>
        <w:spacing w:before="103"/>
      </w:pPr>
    </w:p>
    <w:p>
      <w:pPr>
        <w:pStyle w:val="BodyText"/>
        <w:spacing w:line="360" w:lineRule="auto"/>
        <w:ind w:left="240" w:right="837"/>
        <w:jc w:val="both"/>
      </w:pPr>
      <w:r>
        <w:rPr/>
        <w:t>In summary, the low-income groups who constitute the majority of the Nigerian society are the most vulnerable and most affected</w:t>
      </w:r>
      <w:r>
        <w:rPr>
          <w:spacing w:val="-1"/>
        </w:rPr>
        <w:t> </w:t>
      </w:r>
      <w:r>
        <w:rPr/>
        <w:t>by</w:t>
      </w:r>
      <w:r>
        <w:rPr>
          <w:spacing w:val="-3"/>
        </w:rPr>
        <w:t> </w:t>
      </w:r>
      <w:r>
        <w:rPr/>
        <w:t>the</w:t>
      </w:r>
      <w:r>
        <w:rPr>
          <w:spacing w:val="-1"/>
        </w:rPr>
        <w:t> </w:t>
      </w:r>
      <w:r>
        <w:rPr/>
        <w:t>lack of housing facilities,</w:t>
      </w:r>
      <w:r>
        <w:rPr>
          <w:spacing w:val="-1"/>
        </w:rPr>
        <w:t> </w:t>
      </w:r>
      <w:r>
        <w:rPr/>
        <w:t>to the extent that high cost of housing</w:t>
      </w:r>
      <w:r>
        <w:rPr>
          <w:spacing w:val="-5"/>
        </w:rPr>
        <w:t> </w:t>
      </w:r>
      <w:r>
        <w:rPr/>
        <w:t>and the</w:t>
      </w:r>
      <w:r>
        <w:rPr>
          <w:spacing w:val="-1"/>
        </w:rPr>
        <w:t> </w:t>
      </w:r>
      <w:r>
        <w:rPr/>
        <w:t>affordability</w:t>
      </w:r>
      <w:r>
        <w:rPr>
          <w:spacing w:val="-8"/>
        </w:rPr>
        <w:t> </w:t>
      </w:r>
      <w:r>
        <w:rPr/>
        <w:t>gap</w:t>
      </w:r>
      <w:r>
        <w:rPr>
          <w:spacing w:val="-2"/>
        </w:rPr>
        <w:t> </w:t>
      </w:r>
      <w:r>
        <w:rPr/>
        <w:t>has</w:t>
      </w:r>
      <w:r>
        <w:rPr>
          <w:spacing w:val="-2"/>
        </w:rPr>
        <w:t> </w:t>
      </w:r>
      <w:r>
        <w:rPr/>
        <w:t>almost</w:t>
      </w:r>
      <w:r>
        <w:rPr>
          <w:spacing w:val="-2"/>
        </w:rPr>
        <w:t> </w:t>
      </w:r>
      <w:r>
        <w:rPr/>
        <w:t>eliminated</w:t>
      </w:r>
      <w:r>
        <w:rPr>
          <w:spacing w:val="-2"/>
        </w:rPr>
        <w:t> </w:t>
      </w:r>
      <w:r>
        <w:rPr/>
        <w:t>the</w:t>
      </w:r>
      <w:r>
        <w:rPr>
          <w:spacing w:val="-3"/>
        </w:rPr>
        <w:t> </w:t>
      </w:r>
      <w:r>
        <w:rPr/>
        <w:t>low-income</w:t>
      </w:r>
      <w:r>
        <w:rPr>
          <w:spacing w:val="-1"/>
        </w:rPr>
        <w:t> </w:t>
      </w:r>
      <w:r>
        <w:rPr/>
        <w:t>earners</w:t>
      </w:r>
      <w:r>
        <w:rPr>
          <w:spacing w:val="-2"/>
        </w:rPr>
        <w:t> </w:t>
      </w:r>
      <w:r>
        <w:rPr/>
        <w:t>from</w:t>
      </w:r>
      <w:r>
        <w:rPr>
          <w:spacing w:val="-2"/>
        </w:rPr>
        <w:t> </w:t>
      </w:r>
      <w:r>
        <w:rPr/>
        <w:t>the</w:t>
      </w:r>
      <w:r>
        <w:rPr>
          <w:spacing w:val="-2"/>
        </w:rPr>
        <w:t> </w:t>
      </w:r>
      <w:r>
        <w:rPr/>
        <w:t>housing market. In other words, rapid urbanization has made access to decent housing to be elusive to many low-income earners in most Nigerian cities (Aribigbola, 2008).</w:t>
      </w:r>
    </w:p>
    <w:p>
      <w:pPr>
        <w:pStyle w:val="BodyText"/>
        <w:spacing w:before="105"/>
      </w:pPr>
    </w:p>
    <w:p>
      <w:pPr>
        <w:pStyle w:val="BodyText"/>
        <w:spacing w:line="360" w:lineRule="auto"/>
        <w:ind w:left="240" w:right="837"/>
        <w:jc w:val="both"/>
      </w:pPr>
      <w:r>
        <w:rPr/>
        <w:t>On the other hand, the middle class (middle-income category) as defined by the African Development Bank (ADB) (2011), is a group of individuals or households with annual income exceeding</w:t>
      </w:r>
      <w:r>
        <w:rPr>
          <w:spacing w:val="-2"/>
        </w:rPr>
        <w:t> </w:t>
      </w:r>
      <w:r>
        <w:rPr/>
        <w:t>$3,900</w:t>
      </w:r>
      <w:r>
        <w:rPr>
          <w:spacing w:val="-2"/>
        </w:rPr>
        <w:t> </w:t>
      </w:r>
      <w:r>
        <w:rPr/>
        <w:t>(N627,900)</w:t>
      </w:r>
      <w:r>
        <w:rPr>
          <w:spacing w:val="-3"/>
        </w:rPr>
        <w:t> </w:t>
      </w:r>
      <w:r>
        <w:rPr/>
        <w:t>in</w:t>
      </w:r>
      <w:r>
        <w:rPr>
          <w:spacing w:val="-1"/>
        </w:rPr>
        <w:t> </w:t>
      </w:r>
      <w:r>
        <w:rPr/>
        <w:t>purchasing</w:t>
      </w:r>
      <w:r>
        <w:rPr>
          <w:spacing w:val="-2"/>
        </w:rPr>
        <w:t> </w:t>
      </w:r>
      <w:r>
        <w:rPr/>
        <w:t>power</w:t>
      </w:r>
      <w:r>
        <w:rPr>
          <w:spacing w:val="-2"/>
        </w:rPr>
        <w:t> </w:t>
      </w:r>
      <w:r>
        <w:rPr/>
        <w:t>parity.</w:t>
      </w:r>
      <w:r>
        <w:rPr>
          <w:spacing w:val="-2"/>
        </w:rPr>
        <w:t> </w:t>
      </w:r>
      <w:r>
        <w:rPr/>
        <w:t>The</w:t>
      </w:r>
      <w:r>
        <w:rPr>
          <w:spacing w:val="-3"/>
        </w:rPr>
        <w:t> </w:t>
      </w:r>
      <w:r>
        <w:rPr/>
        <w:t>middle</w:t>
      </w:r>
      <w:r>
        <w:rPr>
          <w:spacing w:val="-2"/>
        </w:rPr>
        <w:t> </w:t>
      </w:r>
      <w:r>
        <w:rPr/>
        <w:t>class is</w:t>
      </w:r>
      <w:r>
        <w:rPr>
          <w:spacing w:val="-2"/>
        </w:rPr>
        <w:t> </w:t>
      </w:r>
      <w:r>
        <w:rPr/>
        <w:t>also</w:t>
      </w:r>
      <w:r>
        <w:rPr>
          <w:spacing w:val="-2"/>
        </w:rPr>
        <w:t> </w:t>
      </w:r>
      <w:r>
        <w:rPr/>
        <w:t>defined</w:t>
      </w:r>
      <w:r>
        <w:rPr>
          <w:spacing w:val="-1"/>
        </w:rPr>
        <w:t> </w:t>
      </w:r>
      <w:r>
        <w:rPr/>
        <w:t>by</w:t>
      </w:r>
      <w:r>
        <w:rPr>
          <w:spacing w:val="-7"/>
        </w:rPr>
        <w:t> </w:t>
      </w:r>
      <w:r>
        <w:rPr/>
        <w:t>the ADB in relative terms, as individuals and households that fall between the 20th and 80th percentile of the consumption distribution. Three sub-categories of the middle-class in Africa were identified by ADB:</w:t>
      </w:r>
    </w:p>
    <w:p>
      <w:pPr>
        <w:pStyle w:val="ListParagraph"/>
        <w:numPr>
          <w:ilvl w:val="0"/>
          <w:numId w:val="57"/>
        </w:numPr>
        <w:tabs>
          <w:tab w:pos="960" w:val="left" w:leader="none"/>
        </w:tabs>
        <w:spacing w:line="360" w:lineRule="auto" w:before="1" w:after="0"/>
        <w:ind w:left="960" w:right="842" w:hanging="360"/>
        <w:jc w:val="both"/>
        <w:rPr>
          <w:sz w:val="24"/>
        </w:rPr>
      </w:pPr>
      <w:r>
        <w:rPr>
          <w:b/>
          <w:sz w:val="24"/>
        </w:rPr>
        <w:t>The floating class </w:t>
      </w:r>
      <w:r>
        <w:rPr>
          <w:sz w:val="24"/>
        </w:rPr>
        <w:t>– this group has per capita consumption levels of between $2 and $4 per day. This category is precariously close to the poor, and can easily fall back into </w:t>
      </w:r>
      <w:r>
        <w:rPr>
          <w:spacing w:val="-2"/>
          <w:sz w:val="24"/>
        </w:rPr>
        <w:t>poverty.</w:t>
      </w:r>
    </w:p>
    <w:p>
      <w:pPr>
        <w:pStyle w:val="ListParagraph"/>
        <w:numPr>
          <w:ilvl w:val="0"/>
          <w:numId w:val="57"/>
        </w:numPr>
        <w:tabs>
          <w:tab w:pos="960" w:val="left" w:leader="none"/>
        </w:tabs>
        <w:spacing w:line="360" w:lineRule="auto" w:before="0" w:after="0"/>
        <w:ind w:left="960" w:right="842" w:hanging="360"/>
        <w:jc w:val="both"/>
        <w:rPr>
          <w:sz w:val="24"/>
        </w:rPr>
      </w:pPr>
      <w:r>
        <w:rPr>
          <w:b/>
          <w:sz w:val="24"/>
        </w:rPr>
        <w:t>The lower-middle class </w:t>
      </w:r>
      <w:r>
        <w:rPr>
          <w:sz w:val="24"/>
        </w:rPr>
        <w:t>– this category has per capita consumption levels of $4 to $10 per day.</w:t>
      </w:r>
    </w:p>
    <w:p>
      <w:pPr>
        <w:pStyle w:val="ListParagraph"/>
        <w:numPr>
          <w:ilvl w:val="0"/>
          <w:numId w:val="57"/>
        </w:numPr>
        <w:tabs>
          <w:tab w:pos="960" w:val="left" w:leader="none"/>
        </w:tabs>
        <w:spacing w:line="360" w:lineRule="auto" w:before="0" w:after="0"/>
        <w:ind w:left="960" w:right="839" w:hanging="360"/>
        <w:jc w:val="both"/>
        <w:rPr>
          <w:sz w:val="24"/>
        </w:rPr>
      </w:pPr>
      <w:r>
        <w:rPr>
          <w:b/>
          <w:sz w:val="24"/>
        </w:rPr>
        <w:t>The upper-middle class </w:t>
      </w:r>
      <w:r>
        <w:rPr>
          <w:sz w:val="24"/>
        </w:rPr>
        <w:t>– this category has per capita consumption rates of $10 to $20 dollars per day.</w:t>
      </w:r>
    </w:p>
    <w:p>
      <w:pPr>
        <w:spacing w:after="0" w:line="360" w:lineRule="auto"/>
        <w:jc w:val="both"/>
        <w:rPr>
          <w:sz w:val="24"/>
        </w:rPr>
        <w:sectPr>
          <w:pgSz w:w="12240" w:h="15840"/>
          <w:pgMar w:header="0" w:footer="1036" w:top="1360" w:bottom="1220" w:left="1200" w:right="600"/>
        </w:sectPr>
      </w:pPr>
    </w:p>
    <w:p>
      <w:pPr>
        <w:pStyle w:val="BodyText"/>
        <w:spacing w:line="360" w:lineRule="auto" w:before="74"/>
        <w:ind w:left="240" w:right="835"/>
        <w:jc w:val="both"/>
      </w:pPr>
      <w:r>
        <w:rPr/>
        <w:t>Nigeria‘s middle class in 2010, including the floating class was put at 22.8% of the total population by the African Development Bank.</w:t>
      </w:r>
      <w:r>
        <w:rPr>
          <w:spacing w:val="80"/>
        </w:rPr>
        <w:t> </w:t>
      </w:r>
      <w:r>
        <w:rPr/>
        <w:t>The IMF also identified Nigeria as one of the most striking examples of a country with a growing middle class, with its GDP increasing five- fold from £29bn (N7.975tr) to £158bn (N43.45tr) between 2000 and 2011 (Smith and </w:t>
      </w:r>
      <w:r>
        <w:rPr>
          <w:spacing w:val="-2"/>
        </w:rPr>
        <w:t>Lamble,2011).</w:t>
      </w:r>
    </w:p>
    <w:p>
      <w:pPr>
        <w:pStyle w:val="BodyText"/>
        <w:spacing w:before="35"/>
      </w:pPr>
    </w:p>
    <w:p>
      <w:pPr>
        <w:pStyle w:val="BodyText"/>
        <w:spacing w:line="360" w:lineRule="auto"/>
        <w:ind w:left="240" w:right="835"/>
        <w:jc w:val="both"/>
      </w:pPr>
      <w:r>
        <w:rPr/>
        <w:t>The distinguishing characteristics of the middle class as identified in the survey by Renaissance Capital (2011) include better education than the poor, reduced likelihood of deriving income from subsistence farming or manual labour, increased likelihood of keeping salaried jobs or owning small businesses, and increased demand for adequate housing, including efficient supply and distribution of basic utilities and services. As stated in the ADB (2011) report, fostering the growth of the middle class should be of prime importance to policy makers, as the state of the middle class is a valid development indicator, associated with faster poverty reduction. Housing policies that target the well-being of the middle income can be a sure way of further growing the Nigerian economy.</w:t>
      </w:r>
    </w:p>
    <w:p>
      <w:pPr>
        <w:pStyle w:val="BodyText"/>
      </w:pPr>
    </w:p>
    <w:p>
      <w:pPr>
        <w:pStyle w:val="BodyText"/>
        <w:spacing w:before="29"/>
      </w:pPr>
    </w:p>
    <w:p>
      <w:pPr>
        <w:pStyle w:val="Heading4"/>
        <w:numPr>
          <w:ilvl w:val="2"/>
          <w:numId w:val="27"/>
        </w:numPr>
        <w:tabs>
          <w:tab w:pos="900" w:val="left" w:leader="none"/>
        </w:tabs>
        <w:spacing w:line="240" w:lineRule="auto" w:before="0" w:after="0"/>
        <w:ind w:left="900" w:right="0" w:hanging="660"/>
        <w:jc w:val="both"/>
      </w:pPr>
      <w:r>
        <w:rPr/>
        <w:t>Institutional</w:t>
      </w:r>
      <w:r>
        <w:rPr>
          <w:spacing w:val="-1"/>
        </w:rPr>
        <w:t> </w:t>
      </w:r>
      <w:r>
        <w:rPr/>
        <w:t>Structure</w:t>
      </w:r>
      <w:r>
        <w:rPr>
          <w:spacing w:val="-2"/>
        </w:rPr>
        <w:t> </w:t>
      </w:r>
      <w:r>
        <w:rPr/>
        <w:t>for</w:t>
      </w:r>
      <w:r>
        <w:rPr>
          <w:spacing w:val="-2"/>
        </w:rPr>
        <w:t> </w:t>
      </w:r>
      <w:r>
        <w:rPr/>
        <w:t>Housing in</w:t>
      </w:r>
      <w:r>
        <w:rPr>
          <w:spacing w:val="1"/>
        </w:rPr>
        <w:t> </w:t>
      </w:r>
      <w:r>
        <w:rPr>
          <w:spacing w:val="-2"/>
        </w:rPr>
        <w:t>Nigeria</w:t>
      </w:r>
    </w:p>
    <w:p>
      <w:pPr>
        <w:pStyle w:val="BodyText"/>
        <w:spacing w:line="360" w:lineRule="auto" w:before="132"/>
        <w:ind w:left="240" w:right="834"/>
        <w:jc w:val="both"/>
      </w:pPr>
      <w:r>
        <w:rPr/>
        <w:t>Several public and private sector institutions are directly or indirectly involved in housing in Nigeria; however, there is still the need for improved efficiency, collaboration and mechanisms among them to improve housing delivery. The institutional structure for housing is characterized by public, quasi-public and private sector organisations. The main public sector institutions involved in housing consist of government ministries/departments that provide the regulatory</w:t>
      </w:r>
      <w:r>
        <w:rPr>
          <w:spacing w:val="80"/>
        </w:rPr>
        <w:t> </w:t>
      </w:r>
      <w:r>
        <w:rPr/>
        <w:t>and administrative framework for housing delivery, while the role of each ministry is also necessary. The cumbersome and lengthy</w:t>
      </w:r>
      <w:r>
        <w:rPr>
          <w:spacing w:val="-4"/>
        </w:rPr>
        <w:t> </w:t>
      </w:r>
      <w:r>
        <w:rPr/>
        <w:t>regulatory</w:t>
      </w:r>
      <w:r>
        <w:rPr>
          <w:spacing w:val="-1"/>
        </w:rPr>
        <w:t> </w:t>
      </w:r>
      <w:r>
        <w:rPr/>
        <w:t>approval processes involved tend to limit the private sector participation in the housing industry because this process leads to inefficiencies, wastefulness,</w:t>
      </w:r>
      <w:r>
        <w:rPr>
          <w:spacing w:val="-2"/>
        </w:rPr>
        <w:t> </w:t>
      </w:r>
      <w:r>
        <w:rPr/>
        <w:t>exploitation,</w:t>
      </w:r>
      <w:r>
        <w:rPr>
          <w:spacing w:val="-4"/>
        </w:rPr>
        <w:t> </w:t>
      </w:r>
      <w:r>
        <w:rPr/>
        <w:t>delays</w:t>
      </w:r>
      <w:r>
        <w:rPr>
          <w:spacing w:val="-4"/>
        </w:rPr>
        <w:t> </w:t>
      </w:r>
      <w:r>
        <w:rPr/>
        <w:t>and</w:t>
      </w:r>
      <w:r>
        <w:rPr>
          <w:spacing w:val="-5"/>
        </w:rPr>
        <w:t> </w:t>
      </w:r>
      <w:r>
        <w:rPr/>
        <w:t>high</w:t>
      </w:r>
      <w:r>
        <w:rPr>
          <w:spacing w:val="-4"/>
        </w:rPr>
        <w:t> </w:t>
      </w:r>
      <w:r>
        <w:rPr/>
        <w:t>project</w:t>
      </w:r>
      <w:r>
        <w:rPr>
          <w:spacing w:val="-4"/>
        </w:rPr>
        <w:t> </w:t>
      </w:r>
      <w:r>
        <w:rPr/>
        <w:t>cost</w:t>
      </w:r>
      <w:r>
        <w:rPr>
          <w:spacing w:val="-4"/>
        </w:rPr>
        <w:t> </w:t>
      </w:r>
      <w:r>
        <w:rPr/>
        <w:t>(Daramola,</w:t>
      </w:r>
      <w:r>
        <w:rPr>
          <w:spacing w:val="-4"/>
        </w:rPr>
        <w:t> </w:t>
      </w:r>
      <w:r>
        <w:rPr/>
        <w:t>2004).</w:t>
      </w:r>
      <w:r>
        <w:rPr>
          <w:spacing w:val="-2"/>
        </w:rPr>
        <w:t> </w:t>
      </w:r>
      <w:r>
        <w:rPr/>
        <w:t>In</w:t>
      </w:r>
      <w:r>
        <w:rPr>
          <w:spacing w:val="-2"/>
        </w:rPr>
        <w:t> </w:t>
      </w:r>
      <w:r>
        <w:rPr/>
        <w:t>general,</w:t>
      </w:r>
      <w:r>
        <w:rPr>
          <w:spacing w:val="-4"/>
        </w:rPr>
        <w:t> </w:t>
      </w:r>
      <w:r>
        <w:rPr/>
        <w:t>inadequacy of financial and human resources are the main constraints to the efficient coordination, implementation and enforcement of the public sector‘s housing effort (Ebie, 2004). Table 3.2 outlines the key players in Nigerian housing delivery.</w:t>
      </w:r>
    </w:p>
    <w:p>
      <w:pPr>
        <w:spacing w:after="0" w:line="360" w:lineRule="auto"/>
        <w:jc w:val="both"/>
        <w:sectPr>
          <w:pgSz w:w="12240" w:h="15840"/>
          <w:pgMar w:header="0" w:footer="1036" w:top="1360" w:bottom="1220" w:left="1200" w:right="600"/>
        </w:sectPr>
      </w:pPr>
    </w:p>
    <w:p>
      <w:pPr>
        <w:spacing w:before="72"/>
        <w:ind w:left="300" w:right="0" w:firstLine="0"/>
        <w:jc w:val="left"/>
        <w:rPr>
          <w:sz w:val="24"/>
        </w:rPr>
      </w:pPr>
      <w:r>
        <w:rPr/>
        <w:drawing>
          <wp:anchor distT="0" distB="0" distL="0" distR="0" allowOverlap="1" layoutInCell="1" locked="0" behindDoc="1" simplePos="0" relativeHeight="487592960">
            <wp:simplePos x="0" y="0"/>
            <wp:positionH relativeFrom="page">
              <wp:posOffset>933450</wp:posOffset>
            </wp:positionH>
            <wp:positionV relativeFrom="paragraph">
              <wp:posOffset>236497</wp:posOffset>
            </wp:positionV>
            <wp:extent cx="5059548" cy="2074545"/>
            <wp:effectExtent l="0" t="0" r="0" b="0"/>
            <wp:wrapTopAndBottom/>
            <wp:docPr id="124" name="Image 124"/>
            <wp:cNvGraphicFramePr>
              <a:graphicFrameLocks/>
            </wp:cNvGraphicFramePr>
            <a:graphic>
              <a:graphicData uri="http://schemas.openxmlformats.org/drawingml/2006/picture">
                <pic:pic>
                  <pic:nvPicPr>
                    <pic:cNvPr id="124" name="Image 124"/>
                    <pic:cNvPicPr/>
                  </pic:nvPicPr>
                  <pic:blipFill>
                    <a:blip r:embed="rId47" cstate="print"/>
                    <a:stretch>
                      <a:fillRect/>
                    </a:stretch>
                  </pic:blipFill>
                  <pic:spPr>
                    <a:xfrm>
                      <a:off x="0" y="0"/>
                      <a:ext cx="5059548" cy="2074545"/>
                    </a:xfrm>
                    <a:prstGeom prst="rect">
                      <a:avLst/>
                    </a:prstGeom>
                  </pic:spPr>
                </pic:pic>
              </a:graphicData>
            </a:graphic>
          </wp:anchor>
        </w:drawing>
      </w:r>
      <w:r>
        <w:rPr>
          <w:b/>
          <w:sz w:val="24"/>
        </w:rPr>
        <w:t>Table</w:t>
      </w:r>
      <w:r>
        <w:rPr>
          <w:b/>
          <w:spacing w:val="-1"/>
          <w:sz w:val="24"/>
        </w:rPr>
        <w:t> </w:t>
      </w:r>
      <w:r>
        <w:rPr>
          <w:b/>
          <w:sz w:val="24"/>
        </w:rPr>
        <w:t>3.2.</w:t>
      </w:r>
      <w:r>
        <w:rPr>
          <w:b/>
          <w:spacing w:val="-1"/>
          <w:sz w:val="24"/>
        </w:rPr>
        <w:t> </w:t>
      </w:r>
      <w:r>
        <w:rPr>
          <w:sz w:val="24"/>
        </w:rPr>
        <w:t>Key</w:t>
      </w:r>
      <w:r>
        <w:rPr>
          <w:spacing w:val="-6"/>
          <w:sz w:val="24"/>
        </w:rPr>
        <w:t> </w:t>
      </w:r>
      <w:r>
        <w:rPr>
          <w:sz w:val="24"/>
        </w:rPr>
        <w:t>Players</w:t>
      </w:r>
      <w:r>
        <w:rPr>
          <w:spacing w:val="-1"/>
          <w:sz w:val="24"/>
        </w:rPr>
        <w:t> </w:t>
      </w:r>
      <w:r>
        <w:rPr>
          <w:sz w:val="24"/>
        </w:rPr>
        <w:t>in</w:t>
      </w:r>
      <w:r>
        <w:rPr>
          <w:spacing w:val="-1"/>
          <w:sz w:val="24"/>
        </w:rPr>
        <w:t> </w:t>
      </w:r>
      <w:r>
        <w:rPr>
          <w:sz w:val="24"/>
        </w:rPr>
        <w:t>Nigeria‘s</w:t>
      </w:r>
      <w:r>
        <w:rPr>
          <w:spacing w:val="-2"/>
          <w:sz w:val="24"/>
        </w:rPr>
        <w:t> </w:t>
      </w:r>
      <w:r>
        <w:rPr>
          <w:sz w:val="24"/>
        </w:rPr>
        <w:t>Housing</w:t>
      </w:r>
      <w:r>
        <w:rPr>
          <w:spacing w:val="-3"/>
          <w:sz w:val="24"/>
        </w:rPr>
        <w:t> </w:t>
      </w:r>
      <w:r>
        <w:rPr>
          <w:spacing w:val="-2"/>
          <w:sz w:val="24"/>
        </w:rPr>
        <w:t>Delivery</w:t>
      </w:r>
    </w:p>
    <w:p>
      <w:pPr>
        <w:pStyle w:val="BodyText"/>
        <w:ind w:left="240"/>
      </w:pPr>
      <w:r>
        <w:rPr>
          <w:b/>
        </w:rPr>
        <w:t>Source:</w:t>
      </w:r>
      <w:r>
        <w:rPr>
          <w:b/>
          <w:spacing w:val="58"/>
        </w:rPr>
        <w:t> </w:t>
      </w:r>
      <w:r>
        <w:rPr/>
        <w:t>Pison Housing Company</w:t>
      </w:r>
      <w:r>
        <w:rPr>
          <w:spacing w:val="-5"/>
        </w:rPr>
        <w:t> </w:t>
      </w:r>
      <w:r>
        <w:rPr/>
        <w:t>(2010); Olusola </w:t>
      </w:r>
      <w:r>
        <w:rPr>
          <w:spacing w:val="-2"/>
        </w:rPr>
        <w:t>(2014)</w:t>
      </w:r>
    </w:p>
    <w:p>
      <w:pPr>
        <w:pStyle w:val="BodyText"/>
        <w:spacing w:before="276"/>
        <w:ind w:left="240"/>
      </w:pPr>
      <w:r>
        <w:rPr/>
        <w:t>The</w:t>
      </w:r>
      <w:r>
        <w:rPr>
          <w:spacing w:val="-5"/>
        </w:rPr>
        <w:t> </w:t>
      </w:r>
      <w:r>
        <w:rPr/>
        <w:t>following</w:t>
      </w:r>
      <w:r>
        <w:rPr>
          <w:spacing w:val="-4"/>
        </w:rPr>
        <w:t> </w:t>
      </w:r>
      <w:r>
        <w:rPr/>
        <w:t>provides a background</w:t>
      </w:r>
      <w:r>
        <w:rPr>
          <w:spacing w:val="-2"/>
        </w:rPr>
        <w:t> </w:t>
      </w:r>
      <w:r>
        <w:rPr/>
        <w:t>of the</w:t>
      </w:r>
      <w:r>
        <w:rPr>
          <w:spacing w:val="-2"/>
        </w:rPr>
        <w:t> </w:t>
      </w:r>
      <w:r>
        <w:rPr/>
        <w:t>specific nature</w:t>
      </w:r>
      <w:r>
        <w:rPr>
          <w:spacing w:val="-3"/>
        </w:rPr>
        <w:t> </w:t>
      </w:r>
      <w:r>
        <w:rPr/>
        <w:t>and</w:t>
      </w:r>
      <w:r>
        <w:rPr>
          <w:spacing w:val="1"/>
        </w:rPr>
        <w:t> </w:t>
      </w:r>
      <w:r>
        <w:rPr/>
        <w:t>roles of</w:t>
      </w:r>
      <w:r>
        <w:rPr>
          <w:spacing w:val="-1"/>
        </w:rPr>
        <w:t> </w:t>
      </w:r>
      <w:r>
        <w:rPr/>
        <w:t>these</w:t>
      </w:r>
      <w:r>
        <w:rPr>
          <w:spacing w:val="-1"/>
        </w:rPr>
        <w:t> </w:t>
      </w:r>
      <w:r>
        <w:rPr>
          <w:spacing w:val="-2"/>
        </w:rPr>
        <w:t>players.</w:t>
      </w:r>
    </w:p>
    <w:p>
      <w:pPr>
        <w:pStyle w:val="BodyText"/>
        <w:spacing w:before="91"/>
      </w:pPr>
    </w:p>
    <w:p>
      <w:pPr>
        <w:pStyle w:val="ListParagraph"/>
        <w:numPr>
          <w:ilvl w:val="0"/>
          <w:numId w:val="58"/>
        </w:numPr>
        <w:tabs>
          <w:tab w:pos="651" w:val="left" w:leader="none"/>
        </w:tabs>
        <w:spacing w:line="360" w:lineRule="auto" w:before="0" w:after="0"/>
        <w:ind w:left="240" w:right="836" w:firstLine="0"/>
        <w:jc w:val="both"/>
        <w:rPr>
          <w:sz w:val="24"/>
        </w:rPr>
      </w:pPr>
      <w:r>
        <w:rPr>
          <w:b/>
          <w:sz w:val="24"/>
        </w:rPr>
        <w:t>Central Bank of Nigeria (CBN): </w:t>
      </w:r>
      <w:r>
        <w:rPr>
          <w:sz w:val="24"/>
        </w:rPr>
        <w:t>The CBN is the apex regulatory authority of the financial system. It was established by the Central Bank of Nigeria Act of 1958 and commenced operations in July</w:t>
      </w:r>
      <w:r>
        <w:rPr>
          <w:spacing w:val="-2"/>
          <w:sz w:val="24"/>
        </w:rPr>
        <w:t> </w:t>
      </w:r>
      <w:r>
        <w:rPr>
          <w:sz w:val="24"/>
        </w:rPr>
        <w:t>1959. Among its primary functions, the CBN promotes monetary</w:t>
      </w:r>
      <w:r>
        <w:rPr>
          <w:spacing w:val="-2"/>
          <w:sz w:val="24"/>
        </w:rPr>
        <w:t> </w:t>
      </w:r>
      <w:r>
        <w:rPr>
          <w:sz w:val="24"/>
        </w:rPr>
        <w:t>stability and a sound financial system and acts as banker and financial adviser to the federal government (Central Bank of Nigeria, 2008). It is the banker of last resort to the licensed 24 banks and approves licences to financial institutions, which include Deposit Money Banks, Primary Mortgage Institutions, Microfinance Banks, Finance companies, Bureaus De Change, and Development Finance Institutions (Federal Republic of Nigeria, 1991). In 2005, the federal government in conjunction with the CBN set up the Financial System Strategy (FSS) and year 2020 Mortgage committee (Nubi and Omirin, 2007).</w:t>
      </w:r>
    </w:p>
    <w:p>
      <w:pPr>
        <w:pStyle w:val="BodyText"/>
      </w:pPr>
    </w:p>
    <w:p>
      <w:pPr>
        <w:pStyle w:val="ListParagraph"/>
        <w:numPr>
          <w:ilvl w:val="0"/>
          <w:numId w:val="58"/>
        </w:numPr>
        <w:tabs>
          <w:tab w:pos="606" w:val="left" w:leader="none"/>
        </w:tabs>
        <w:spacing w:line="360" w:lineRule="auto" w:before="1" w:after="0"/>
        <w:ind w:left="240" w:right="836" w:firstLine="0"/>
        <w:jc w:val="both"/>
        <w:rPr>
          <w:sz w:val="24"/>
        </w:rPr>
      </w:pPr>
      <w:r>
        <w:rPr>
          <w:b/>
          <w:sz w:val="24"/>
        </w:rPr>
        <w:t>Federal Mortgage Bank of Nigeria (FMBN): The </w:t>
      </w:r>
      <w:r>
        <w:rPr>
          <w:sz w:val="24"/>
        </w:rPr>
        <w:t>FMBN is the apex mortgage institution in Nigeria with a broad mandate as follows: Link the capital market with the housing markets. Encourage the emergence and promoting the growth of viable primary</w:t>
      </w:r>
      <w:r>
        <w:rPr>
          <w:spacing w:val="-3"/>
          <w:sz w:val="24"/>
        </w:rPr>
        <w:t> </w:t>
      </w:r>
      <w:r>
        <w:rPr>
          <w:sz w:val="24"/>
        </w:rPr>
        <w:t>mortgage loan originators to serve the needs for housing delivery in Nigeria, mobilise domestic and foreign funds into the housing sector; collect and administer the National Housing Fund (NHF) in accordance with the provisions of the NHF Act, the NHTF, established in 1992, was aimed at addressing housing finance challenges in the low-income sector. It was formulated taking into consideration the housing demand gap and the difficulty of accessing finance (Bichi, 1997; Anugwom, 2005). Through</w:t>
      </w:r>
      <w:r>
        <w:rPr>
          <w:spacing w:val="40"/>
          <w:sz w:val="24"/>
        </w:rPr>
        <w:t> </w:t>
      </w:r>
      <w:r>
        <w:rPr>
          <w:sz w:val="24"/>
        </w:rPr>
        <w:t>commercial</w:t>
      </w:r>
      <w:r>
        <w:rPr>
          <w:spacing w:val="39"/>
          <w:sz w:val="24"/>
        </w:rPr>
        <w:t> </w:t>
      </w:r>
      <w:r>
        <w:rPr>
          <w:sz w:val="24"/>
        </w:rPr>
        <w:t>banks</w:t>
      </w:r>
      <w:r>
        <w:rPr>
          <w:spacing w:val="39"/>
          <w:sz w:val="24"/>
        </w:rPr>
        <w:t> </w:t>
      </w:r>
      <w:r>
        <w:rPr>
          <w:sz w:val="24"/>
        </w:rPr>
        <w:t>and</w:t>
      </w:r>
      <w:r>
        <w:rPr>
          <w:spacing w:val="39"/>
          <w:sz w:val="24"/>
        </w:rPr>
        <w:t> </w:t>
      </w:r>
      <w:r>
        <w:rPr>
          <w:sz w:val="24"/>
        </w:rPr>
        <w:t>other</w:t>
      </w:r>
      <w:r>
        <w:rPr>
          <w:spacing w:val="38"/>
          <w:sz w:val="24"/>
        </w:rPr>
        <w:t> </w:t>
      </w:r>
      <w:r>
        <w:rPr>
          <w:sz w:val="24"/>
        </w:rPr>
        <w:t>financial</w:t>
      </w:r>
      <w:r>
        <w:rPr>
          <w:spacing w:val="41"/>
          <w:sz w:val="24"/>
        </w:rPr>
        <w:t> </w:t>
      </w:r>
      <w:r>
        <w:rPr>
          <w:sz w:val="24"/>
        </w:rPr>
        <w:t>institutions,</w:t>
      </w:r>
      <w:r>
        <w:rPr>
          <w:spacing w:val="37"/>
          <w:sz w:val="24"/>
        </w:rPr>
        <w:t> </w:t>
      </w:r>
      <w:r>
        <w:rPr>
          <w:sz w:val="24"/>
        </w:rPr>
        <w:t>it</w:t>
      </w:r>
      <w:r>
        <w:rPr>
          <w:spacing w:val="40"/>
          <w:sz w:val="24"/>
        </w:rPr>
        <w:t> </w:t>
      </w:r>
      <w:r>
        <w:rPr>
          <w:sz w:val="24"/>
        </w:rPr>
        <w:t>was</w:t>
      </w:r>
      <w:r>
        <w:rPr>
          <w:spacing w:val="39"/>
          <w:sz w:val="24"/>
        </w:rPr>
        <w:t> </w:t>
      </w:r>
      <w:r>
        <w:rPr>
          <w:sz w:val="24"/>
        </w:rPr>
        <w:t>granted</w:t>
      </w:r>
      <w:r>
        <w:rPr>
          <w:spacing w:val="39"/>
          <w:sz w:val="24"/>
        </w:rPr>
        <w:t> </w:t>
      </w:r>
      <w:r>
        <w:rPr>
          <w:sz w:val="24"/>
        </w:rPr>
        <w:t>a</w:t>
      </w:r>
      <w:r>
        <w:rPr>
          <w:spacing w:val="38"/>
          <w:sz w:val="24"/>
        </w:rPr>
        <w:t> </w:t>
      </w:r>
      <w:r>
        <w:rPr>
          <w:sz w:val="24"/>
        </w:rPr>
        <w:t>take-off</w:t>
      </w:r>
      <w:r>
        <w:rPr>
          <w:spacing w:val="39"/>
          <w:sz w:val="24"/>
        </w:rPr>
        <w:t> </w:t>
      </w:r>
      <w:r>
        <w:rPr>
          <w:sz w:val="24"/>
        </w:rPr>
        <w:t>fund</w:t>
      </w:r>
      <w:r>
        <w:rPr>
          <w:spacing w:val="38"/>
          <w:sz w:val="24"/>
        </w:rPr>
        <w:t> </w:t>
      </w:r>
      <w:r>
        <w:rPr>
          <w:spacing w:val="-5"/>
          <w:sz w:val="24"/>
        </w:rPr>
        <w:t>of</w:t>
      </w:r>
    </w:p>
    <w:p>
      <w:pPr>
        <w:spacing w:after="0" w:line="360" w:lineRule="auto"/>
        <w:jc w:val="both"/>
        <w:rPr>
          <w:sz w:val="24"/>
        </w:rPr>
        <w:sectPr>
          <w:pgSz w:w="12240" w:h="15840"/>
          <w:pgMar w:header="0" w:footer="1036" w:top="1360" w:bottom="1220" w:left="1200" w:right="600"/>
        </w:sectPr>
      </w:pPr>
    </w:p>
    <w:p>
      <w:pPr>
        <w:pStyle w:val="BodyText"/>
        <w:spacing w:line="360" w:lineRule="auto" w:before="74"/>
        <w:ind w:left="240" w:right="839"/>
        <w:jc w:val="both"/>
      </w:pPr>
      <w:r>
        <w:rPr/>
        <w:t>N250 million (US$1.7 m). Key objectives of the fund include ensuring the provision of housing units is based on realistic standards that house-owners can afford, giving priority to housing programmed designed to benefit the low-income group and encouraging</w:t>
      </w:r>
      <w:r>
        <w:rPr>
          <w:spacing w:val="-1"/>
        </w:rPr>
        <w:t> </w:t>
      </w:r>
      <w:r>
        <w:rPr/>
        <w:t>every</w:t>
      </w:r>
      <w:r>
        <w:rPr>
          <w:spacing w:val="-4"/>
        </w:rPr>
        <w:t> </w:t>
      </w:r>
      <w:r>
        <w:rPr/>
        <w:t>household to own its house through the provision of credit or funding (Enuenwosu, 1985; Akinlusi, 2007).</w:t>
      </w:r>
    </w:p>
    <w:p>
      <w:pPr>
        <w:pStyle w:val="BodyText"/>
      </w:pPr>
    </w:p>
    <w:p>
      <w:pPr>
        <w:pStyle w:val="ListParagraph"/>
        <w:numPr>
          <w:ilvl w:val="0"/>
          <w:numId w:val="58"/>
        </w:numPr>
        <w:tabs>
          <w:tab w:pos="630" w:val="left" w:leader="none"/>
        </w:tabs>
        <w:spacing w:line="360" w:lineRule="auto" w:before="1" w:after="0"/>
        <w:ind w:left="240" w:right="839" w:firstLine="0"/>
        <w:jc w:val="both"/>
        <w:rPr>
          <w:sz w:val="24"/>
        </w:rPr>
      </w:pPr>
      <w:r>
        <w:rPr>
          <w:b/>
          <w:sz w:val="24"/>
        </w:rPr>
        <w:t>The Ministry of Lands, Housing and Urban Development: </w:t>
      </w:r>
      <w:r>
        <w:rPr>
          <w:sz w:val="24"/>
        </w:rPr>
        <w:t>The Ministry of Lands, Housing and Urban Development (formerly the Ministry of Housing, Urban Development and Environment) was created in 2002 with housing accorded for the first time a separate status free from the bureaucracy and financial stranglehold of the Ministry of Works. The Ministry of Lands, Housing and Urban Development‘s roles includes policy formation, setting standards for the sector, establishing building standards and codes for housing delivery, and safety in collaboration with relevant professional bodies (Mabogunje, 2003a).</w:t>
      </w:r>
    </w:p>
    <w:p>
      <w:pPr>
        <w:pStyle w:val="BodyText"/>
        <w:spacing w:before="102"/>
      </w:pPr>
    </w:p>
    <w:p>
      <w:pPr>
        <w:pStyle w:val="ListParagraph"/>
        <w:numPr>
          <w:ilvl w:val="0"/>
          <w:numId w:val="58"/>
        </w:numPr>
        <w:tabs>
          <w:tab w:pos="601" w:val="left" w:leader="none"/>
        </w:tabs>
        <w:spacing w:line="360" w:lineRule="auto" w:before="0" w:after="0"/>
        <w:ind w:left="240" w:right="838" w:firstLine="0"/>
        <w:jc w:val="both"/>
        <w:rPr>
          <w:sz w:val="24"/>
        </w:rPr>
      </w:pPr>
      <w:r>
        <w:rPr>
          <w:b/>
          <w:sz w:val="24"/>
        </w:rPr>
        <w:t>Housing Corporations: </w:t>
      </w:r>
      <w:r>
        <w:rPr>
          <w:sz w:val="24"/>
        </w:rPr>
        <w:t>Every State in Nigeria has an established State housing corporation to largely operate as property developers of the government. The corporations funding comes mainly</w:t>
      </w:r>
      <w:r>
        <w:rPr>
          <w:spacing w:val="-5"/>
          <w:sz w:val="24"/>
        </w:rPr>
        <w:t> </w:t>
      </w:r>
      <w:r>
        <w:rPr>
          <w:sz w:val="24"/>
        </w:rPr>
        <w:t>from</w:t>
      </w:r>
      <w:r>
        <w:rPr>
          <w:spacing w:val="-1"/>
          <w:sz w:val="24"/>
        </w:rPr>
        <w:t> </w:t>
      </w:r>
      <w:r>
        <w:rPr>
          <w:sz w:val="24"/>
        </w:rPr>
        <w:t>government</w:t>
      </w:r>
      <w:r>
        <w:rPr>
          <w:spacing w:val="-1"/>
          <w:sz w:val="24"/>
        </w:rPr>
        <w:t> </w:t>
      </w:r>
      <w:r>
        <w:rPr>
          <w:sz w:val="24"/>
        </w:rPr>
        <w:t>budget</w:t>
      </w:r>
      <w:r>
        <w:rPr>
          <w:spacing w:val="-1"/>
          <w:sz w:val="24"/>
        </w:rPr>
        <w:t> </w:t>
      </w:r>
      <w:r>
        <w:rPr>
          <w:sz w:val="24"/>
        </w:rPr>
        <w:t>allocations,</w:t>
      </w:r>
      <w:r>
        <w:rPr>
          <w:spacing w:val="-2"/>
          <w:sz w:val="24"/>
        </w:rPr>
        <w:t> </w:t>
      </w:r>
      <w:r>
        <w:rPr>
          <w:sz w:val="24"/>
        </w:rPr>
        <w:t>and units</w:t>
      </w:r>
      <w:r>
        <w:rPr>
          <w:spacing w:val="-2"/>
          <w:sz w:val="24"/>
        </w:rPr>
        <w:t> </w:t>
      </w:r>
      <w:r>
        <w:rPr>
          <w:sz w:val="24"/>
        </w:rPr>
        <w:t>are</w:t>
      </w:r>
      <w:r>
        <w:rPr>
          <w:spacing w:val="-1"/>
          <w:sz w:val="24"/>
        </w:rPr>
        <w:t> </w:t>
      </w:r>
      <w:r>
        <w:rPr>
          <w:sz w:val="24"/>
        </w:rPr>
        <w:t>usually</w:t>
      </w:r>
      <w:r>
        <w:rPr>
          <w:spacing w:val="-5"/>
          <w:sz w:val="24"/>
        </w:rPr>
        <w:t> </w:t>
      </w:r>
      <w:r>
        <w:rPr>
          <w:sz w:val="24"/>
        </w:rPr>
        <w:t>sold</w:t>
      </w:r>
      <w:r>
        <w:rPr>
          <w:spacing w:val="-2"/>
          <w:sz w:val="24"/>
        </w:rPr>
        <w:t> </w:t>
      </w:r>
      <w:r>
        <w:rPr>
          <w:sz w:val="24"/>
        </w:rPr>
        <w:t>for</w:t>
      </w:r>
      <w:r>
        <w:rPr>
          <w:spacing w:val="-1"/>
          <w:sz w:val="24"/>
        </w:rPr>
        <w:t> </w:t>
      </w:r>
      <w:r>
        <w:rPr>
          <w:sz w:val="24"/>
        </w:rPr>
        <w:t>cash.</w:t>
      </w:r>
      <w:r>
        <w:rPr>
          <w:spacing w:val="-2"/>
          <w:sz w:val="24"/>
        </w:rPr>
        <w:t> </w:t>
      </w:r>
      <w:r>
        <w:rPr>
          <w:sz w:val="24"/>
        </w:rPr>
        <w:t>Often</w:t>
      </w:r>
      <w:r>
        <w:rPr>
          <w:spacing w:val="-2"/>
          <w:sz w:val="24"/>
        </w:rPr>
        <w:t> </w:t>
      </w:r>
      <w:r>
        <w:rPr>
          <w:sz w:val="24"/>
        </w:rPr>
        <w:t>the</w:t>
      </w:r>
      <w:r>
        <w:rPr>
          <w:spacing w:val="-3"/>
          <w:sz w:val="24"/>
        </w:rPr>
        <w:t> </w:t>
      </w:r>
      <w:r>
        <w:rPr>
          <w:sz w:val="24"/>
        </w:rPr>
        <w:t>middle income earners are the target market for these developments. Buyers either pay cash or are allowed to make installment payments during the period of construction, as mortgage finance is not provided. However, the cumulative results from all of these initiatives remain inadequate.</w:t>
      </w:r>
      <w:r>
        <w:rPr>
          <w:spacing w:val="40"/>
          <w:sz w:val="24"/>
        </w:rPr>
        <w:t> </w:t>
      </w:r>
      <w:r>
        <w:rPr>
          <w:sz w:val="24"/>
        </w:rPr>
        <w:t>For example, the Lagos State Development and Property Corporation, the most active state housing corporation in Nigeria has produced less than 25,000 units since inception about 35</w:t>
      </w:r>
      <w:r>
        <w:rPr>
          <w:spacing w:val="40"/>
          <w:sz w:val="24"/>
        </w:rPr>
        <w:t> </w:t>
      </w:r>
      <w:r>
        <w:rPr>
          <w:sz w:val="24"/>
        </w:rPr>
        <w:t>years ago (Pison Housing Company, 2010).</w:t>
      </w:r>
    </w:p>
    <w:p>
      <w:pPr>
        <w:pStyle w:val="BodyText"/>
        <w:spacing w:before="72"/>
      </w:pPr>
    </w:p>
    <w:p>
      <w:pPr>
        <w:pStyle w:val="ListParagraph"/>
        <w:numPr>
          <w:ilvl w:val="0"/>
          <w:numId w:val="58"/>
        </w:numPr>
        <w:tabs>
          <w:tab w:pos="572" w:val="left" w:leader="none"/>
        </w:tabs>
        <w:spacing w:line="360" w:lineRule="auto" w:before="0" w:after="0"/>
        <w:ind w:left="240" w:right="837" w:firstLine="0"/>
        <w:jc w:val="both"/>
        <w:rPr>
          <w:sz w:val="24"/>
        </w:rPr>
      </w:pPr>
      <w:r>
        <w:rPr>
          <w:b/>
          <w:sz w:val="24"/>
        </w:rPr>
        <w:t>Private Developers: </w:t>
      </w:r>
      <w:r>
        <w:rPr>
          <w:sz w:val="24"/>
        </w:rPr>
        <w:t>Activities of private estate developers were concentrated in Lagos State in the early 1990s. Prior to that, private real estate developers had nominal success. A major operator between 1988 and 1993 was HFP Engineering Limited, which, under a joint venture agreement and using prefabricated technology, delivered over 2,500 units of housing including 1,434 units at Victoria Garden City, in Lagos. More recently, activities of private developers are now coordinated under the Real Estate Developers Association of Nigeria (REDAN). It comprises over 850 companies across the country (Pison Housing Company, 2010).</w:t>
      </w:r>
    </w:p>
    <w:p>
      <w:pPr>
        <w:spacing w:after="0" w:line="360" w:lineRule="auto"/>
        <w:jc w:val="both"/>
        <w:rPr>
          <w:sz w:val="24"/>
        </w:rPr>
        <w:sectPr>
          <w:pgSz w:w="12240" w:h="15840"/>
          <w:pgMar w:header="0" w:footer="1036" w:top="1360" w:bottom="1220" w:left="1200" w:right="600"/>
        </w:sectPr>
      </w:pPr>
    </w:p>
    <w:p>
      <w:pPr>
        <w:pStyle w:val="ListParagraph"/>
        <w:numPr>
          <w:ilvl w:val="2"/>
          <w:numId w:val="27"/>
        </w:numPr>
        <w:tabs>
          <w:tab w:pos="900" w:val="left" w:leader="none"/>
        </w:tabs>
        <w:spacing w:line="360" w:lineRule="auto" w:before="79" w:after="0"/>
        <w:ind w:left="240" w:right="836" w:firstLine="0"/>
        <w:jc w:val="both"/>
        <w:rPr>
          <w:b/>
          <w:sz w:val="24"/>
        </w:rPr>
      </w:pPr>
      <w:r>
        <w:rPr>
          <w:b/>
          <w:sz w:val="24"/>
        </w:rPr>
        <w:t>The</w:t>
      </w:r>
      <w:r>
        <w:rPr>
          <w:b/>
          <w:spacing w:val="-1"/>
          <w:sz w:val="24"/>
        </w:rPr>
        <w:t> </w:t>
      </w:r>
      <w:r>
        <w:rPr>
          <w:b/>
          <w:sz w:val="24"/>
        </w:rPr>
        <w:t>Present Housing Situation and Challenges</w:t>
      </w:r>
      <w:r>
        <w:rPr>
          <w:b/>
          <w:spacing w:val="-1"/>
          <w:sz w:val="24"/>
        </w:rPr>
        <w:t> </w:t>
      </w:r>
      <w:r>
        <w:rPr>
          <w:b/>
          <w:sz w:val="24"/>
        </w:rPr>
        <w:t>in Nigeria, and</w:t>
      </w:r>
      <w:r>
        <w:rPr>
          <w:b/>
          <w:spacing w:val="-2"/>
          <w:sz w:val="24"/>
        </w:rPr>
        <w:t> </w:t>
      </w:r>
      <w:r>
        <w:rPr>
          <w:b/>
          <w:sz w:val="24"/>
        </w:rPr>
        <w:t>Government’s</w:t>
      </w:r>
      <w:r>
        <w:rPr>
          <w:b/>
          <w:spacing w:val="-1"/>
          <w:sz w:val="24"/>
        </w:rPr>
        <w:t> </w:t>
      </w:r>
      <w:r>
        <w:rPr>
          <w:b/>
          <w:sz w:val="24"/>
        </w:rPr>
        <w:t>Efforts </w:t>
      </w:r>
      <w:r>
        <w:rPr>
          <w:sz w:val="24"/>
        </w:rPr>
        <w:t>The</w:t>
      </w:r>
      <w:r>
        <w:rPr>
          <w:spacing w:val="-2"/>
          <w:sz w:val="24"/>
        </w:rPr>
        <w:t> </w:t>
      </w:r>
      <w:r>
        <w:rPr>
          <w:sz w:val="24"/>
        </w:rPr>
        <w:t>right to adequate</w:t>
      </w:r>
      <w:r>
        <w:rPr>
          <w:spacing w:val="-1"/>
          <w:sz w:val="24"/>
        </w:rPr>
        <w:t> </w:t>
      </w:r>
      <w:r>
        <w:rPr>
          <w:sz w:val="24"/>
        </w:rPr>
        <w:t>housing</w:t>
      </w:r>
      <w:r>
        <w:rPr>
          <w:spacing w:val="-2"/>
          <w:sz w:val="24"/>
        </w:rPr>
        <w:t> </w:t>
      </w:r>
      <w:r>
        <w:rPr>
          <w:sz w:val="24"/>
        </w:rPr>
        <w:t>that is safe, secure, healthy, available and inexpensive</w:t>
      </w:r>
      <w:r>
        <w:rPr>
          <w:spacing w:val="-1"/>
          <w:sz w:val="24"/>
        </w:rPr>
        <w:t> </w:t>
      </w:r>
      <w:r>
        <w:rPr>
          <w:sz w:val="24"/>
        </w:rPr>
        <w:t>is enshrined in the Habitat Agenda the global call on human settlement and shelter (UN-Habitat,2006). Despite this essential role played by housing as a basic need, an adequate supply of this commodity has been lacking in virtually all societies throughout history. The situation is particularly serious in a developing country like Nigeria where population growth and urbanization are increasing very rapidly and where the gap between housing need and supply is greatest (Morakinyo </w:t>
      </w:r>
      <w:r>
        <w:rPr>
          <w:i/>
          <w:sz w:val="24"/>
        </w:rPr>
        <w:t>et al</w:t>
      </w:r>
      <w:r>
        <w:rPr>
          <w:sz w:val="24"/>
        </w:rPr>
        <w:t>., 2015).</w:t>
      </w:r>
    </w:p>
    <w:p>
      <w:pPr>
        <w:pStyle w:val="BodyText"/>
        <w:spacing w:before="30"/>
      </w:pPr>
    </w:p>
    <w:p>
      <w:pPr>
        <w:pStyle w:val="BodyText"/>
        <w:spacing w:line="360" w:lineRule="auto"/>
        <w:ind w:left="240" w:right="836"/>
        <w:jc w:val="both"/>
      </w:pPr>
      <w:r>
        <w:rPr/>
        <w:drawing>
          <wp:anchor distT="0" distB="0" distL="0" distR="0" allowOverlap="1" layoutInCell="1" locked="0" behindDoc="1" simplePos="0" relativeHeight="487593472">
            <wp:simplePos x="0" y="0"/>
            <wp:positionH relativeFrom="page">
              <wp:posOffset>952453</wp:posOffset>
            </wp:positionH>
            <wp:positionV relativeFrom="paragraph">
              <wp:posOffset>3186378</wp:posOffset>
            </wp:positionV>
            <wp:extent cx="5303961" cy="2187702"/>
            <wp:effectExtent l="0" t="0" r="0" b="0"/>
            <wp:wrapTopAndBottom/>
            <wp:docPr id="125" name="Image 125"/>
            <wp:cNvGraphicFramePr>
              <a:graphicFrameLocks/>
            </wp:cNvGraphicFramePr>
            <a:graphic>
              <a:graphicData uri="http://schemas.openxmlformats.org/drawingml/2006/picture">
                <pic:pic>
                  <pic:nvPicPr>
                    <pic:cNvPr id="125" name="Image 125"/>
                    <pic:cNvPicPr/>
                  </pic:nvPicPr>
                  <pic:blipFill>
                    <a:blip r:embed="rId48" cstate="print"/>
                    <a:stretch>
                      <a:fillRect/>
                    </a:stretch>
                  </pic:blipFill>
                  <pic:spPr>
                    <a:xfrm>
                      <a:off x="0" y="0"/>
                      <a:ext cx="5303961" cy="2187702"/>
                    </a:xfrm>
                    <a:prstGeom prst="rect">
                      <a:avLst/>
                    </a:prstGeom>
                  </pic:spPr>
                </pic:pic>
              </a:graphicData>
            </a:graphic>
          </wp:anchor>
        </w:drawing>
      </w:r>
      <w:r>
        <w:rPr/>
        <w:t>The</w:t>
      </w:r>
      <w:r>
        <w:rPr>
          <w:spacing w:val="-4"/>
        </w:rPr>
        <w:t> </w:t>
      </w:r>
      <w:r>
        <w:rPr/>
        <w:t>consistent</w:t>
      </w:r>
      <w:r>
        <w:rPr>
          <w:spacing w:val="-2"/>
        </w:rPr>
        <w:t> </w:t>
      </w:r>
      <w:r>
        <w:rPr/>
        <w:t>decline</w:t>
      </w:r>
      <w:r>
        <w:rPr>
          <w:spacing w:val="-1"/>
        </w:rPr>
        <w:t> </w:t>
      </w:r>
      <w:r>
        <w:rPr/>
        <w:t>in</w:t>
      </w:r>
      <w:r>
        <w:rPr>
          <w:spacing w:val="-2"/>
        </w:rPr>
        <w:t> </w:t>
      </w:r>
      <w:r>
        <w:rPr/>
        <w:t>economic growth and</w:t>
      </w:r>
      <w:r>
        <w:rPr>
          <w:spacing w:val="-2"/>
        </w:rPr>
        <w:t> </w:t>
      </w:r>
      <w:r>
        <w:rPr/>
        <w:t>development</w:t>
      </w:r>
      <w:r>
        <w:rPr>
          <w:spacing w:val="-2"/>
        </w:rPr>
        <w:t> </w:t>
      </w:r>
      <w:r>
        <w:rPr/>
        <w:t>in</w:t>
      </w:r>
      <w:r>
        <w:rPr>
          <w:spacing w:val="-2"/>
        </w:rPr>
        <w:t> </w:t>
      </w:r>
      <w:r>
        <w:rPr/>
        <w:t>the</w:t>
      </w:r>
      <w:r>
        <w:rPr>
          <w:spacing w:val="-1"/>
        </w:rPr>
        <w:t> </w:t>
      </w:r>
      <w:r>
        <w:rPr/>
        <w:t>face</w:t>
      </w:r>
      <w:r>
        <w:rPr>
          <w:spacing w:val="-1"/>
        </w:rPr>
        <w:t> </w:t>
      </w:r>
      <w:r>
        <w:rPr/>
        <w:t>of</w:t>
      </w:r>
      <w:r>
        <w:rPr>
          <w:spacing w:val="-1"/>
        </w:rPr>
        <w:t> </w:t>
      </w:r>
      <w:r>
        <w:rPr/>
        <w:t>rapid</w:t>
      </w:r>
      <w:r>
        <w:rPr>
          <w:spacing w:val="-2"/>
        </w:rPr>
        <w:t> </w:t>
      </w:r>
      <w:r>
        <w:rPr/>
        <w:t>urbanization</w:t>
      </w:r>
      <w:r>
        <w:rPr>
          <w:spacing w:val="-2"/>
        </w:rPr>
        <w:t> </w:t>
      </w:r>
      <w:r>
        <w:rPr/>
        <w:t>has resulted in a sharp increase in the number of poor people living in urban areas in Nigeria. There</w:t>
      </w:r>
      <w:r>
        <w:rPr>
          <w:spacing w:val="40"/>
        </w:rPr>
        <w:t> </w:t>
      </w:r>
      <w:r>
        <w:rPr/>
        <w:t>is no gain saying that Nigerian cities have continued to grow both spatially and demographically under conditions of economic stagnation and underdevelopment, which have led to high rate of unemployment and urban poverty. Although, the United Nations Population Fund (UNFPA) (2011) report reveals that around 64 percent of Nigerians live in poverty, figure 3.3 shows that urban poverty increased from 17.2 percent in 1980 to 58.2 percent in 1996, but declined to 43.2 percent in 2004 in Nigeria. One of the principal factors responsible for this development is the high rate of rural-urban migration, which has been heightened by the sharp disparities between urban and rural areas in terms of access to job opportunities, basic amenities and services and</w:t>
      </w:r>
      <w:r>
        <w:rPr>
          <w:spacing w:val="40"/>
        </w:rPr>
        <w:t> </w:t>
      </w:r>
      <w:r>
        <w:rPr/>
        <w:t>this has contributed a large proportion of low-income earners in urban slums who are unable to gain access to decent housing at affordable cost in Nigeria (Edewor, 2014).</w:t>
      </w:r>
    </w:p>
    <w:p>
      <w:pPr>
        <w:pStyle w:val="BodyText"/>
        <w:spacing w:before="41"/>
        <w:ind w:left="240"/>
        <w:jc w:val="both"/>
      </w:pPr>
      <w:r>
        <w:rPr>
          <w:b/>
        </w:rPr>
        <w:t>Figure</w:t>
      </w:r>
      <w:r>
        <w:rPr>
          <w:b/>
          <w:spacing w:val="-2"/>
        </w:rPr>
        <w:t> </w:t>
      </w:r>
      <w:r>
        <w:rPr>
          <w:b/>
        </w:rPr>
        <w:t>3.3:</w:t>
      </w:r>
      <w:r>
        <w:rPr>
          <w:b/>
          <w:spacing w:val="-2"/>
        </w:rPr>
        <w:t> </w:t>
      </w:r>
      <w:r>
        <w:rPr/>
        <w:t>Poverty</w:t>
      </w:r>
      <w:r>
        <w:rPr>
          <w:spacing w:val="-3"/>
        </w:rPr>
        <w:t> </w:t>
      </w:r>
      <w:r>
        <w:rPr/>
        <w:t>Incidence</w:t>
      </w:r>
      <w:r>
        <w:rPr>
          <w:spacing w:val="-2"/>
        </w:rPr>
        <w:t> </w:t>
      </w:r>
      <w:r>
        <w:rPr/>
        <w:t>in Nigeria</w:t>
      </w:r>
      <w:r>
        <w:rPr>
          <w:spacing w:val="-3"/>
        </w:rPr>
        <w:t> </w:t>
      </w:r>
      <w:r>
        <w:rPr/>
        <w:t>(1980</w:t>
      </w:r>
      <w:r>
        <w:rPr>
          <w:spacing w:val="1"/>
        </w:rPr>
        <w:t> </w:t>
      </w:r>
      <w:r>
        <w:rPr/>
        <w:t>–</w:t>
      </w:r>
      <w:r>
        <w:rPr>
          <w:spacing w:val="2"/>
        </w:rPr>
        <w:t> </w:t>
      </w:r>
      <w:r>
        <w:rPr/>
        <w:t>2004)</w:t>
      </w:r>
      <w:r>
        <w:rPr>
          <w:spacing w:val="-2"/>
        </w:rPr>
        <w:t> </w:t>
      </w:r>
      <w:r>
        <w:rPr/>
        <w:t>(FGN, </w:t>
      </w:r>
      <w:r>
        <w:rPr>
          <w:spacing w:val="-2"/>
        </w:rPr>
        <w:t>2006)</w:t>
      </w:r>
    </w:p>
    <w:p>
      <w:pPr>
        <w:spacing w:after="0"/>
        <w:jc w:val="both"/>
        <w:sectPr>
          <w:pgSz w:w="12240" w:h="15840"/>
          <w:pgMar w:header="0" w:footer="1036" w:top="1360" w:bottom="1220" w:left="1200" w:right="600"/>
        </w:sectPr>
      </w:pPr>
    </w:p>
    <w:p>
      <w:pPr>
        <w:pStyle w:val="BodyText"/>
        <w:spacing w:line="360" w:lineRule="auto" w:before="74"/>
        <w:ind w:left="240" w:right="835"/>
        <w:jc w:val="both"/>
      </w:pPr>
      <w:r>
        <w:rPr/>
        <w:t>Furthermore, Nigeria, Africa‘s largest economy, has one of the highest rates of urbanization put at around 5.8 percent (National Economic Empowerment and Development Strategy (NEEDS), 2004). It is among the countries with the worst urban housing situations in the world (UN- Habitat, 2006). This challenge is particularly</w:t>
      </w:r>
      <w:r>
        <w:rPr>
          <w:spacing w:val="-3"/>
        </w:rPr>
        <w:t> </w:t>
      </w:r>
      <w:r>
        <w:rPr/>
        <w:t>very critical among the urban poor and low-income earners (Mbamali and Okoli, 2002) who constitute about 80 percent of Nigeria‘s estimated 60 million urban residents (Aluko and Amidu, 2006).</w:t>
      </w:r>
    </w:p>
    <w:p>
      <w:pPr>
        <w:pStyle w:val="BodyText"/>
        <w:spacing w:before="34"/>
      </w:pPr>
    </w:p>
    <w:p>
      <w:pPr>
        <w:pStyle w:val="BodyText"/>
        <w:spacing w:line="360" w:lineRule="auto"/>
        <w:ind w:left="240" w:right="832"/>
        <w:jc w:val="both"/>
      </w:pPr>
      <w:r>
        <w:rPr/>
        <w:t>According</w:t>
      </w:r>
      <w:r>
        <w:rPr>
          <w:spacing w:val="-3"/>
        </w:rPr>
        <w:t> </w:t>
      </w:r>
      <w:r>
        <w:rPr/>
        <w:t>to Olusola</w:t>
      </w:r>
      <w:r>
        <w:rPr>
          <w:spacing w:val="-1"/>
        </w:rPr>
        <w:t> </w:t>
      </w:r>
      <w:r>
        <w:rPr/>
        <w:t>(2002),</w:t>
      </w:r>
      <w:r>
        <w:rPr>
          <w:spacing w:val="-1"/>
        </w:rPr>
        <w:t> </w:t>
      </w:r>
      <w:r>
        <w:rPr/>
        <w:t>the</w:t>
      </w:r>
      <w:r>
        <w:rPr>
          <w:spacing w:val="-1"/>
        </w:rPr>
        <w:t> </w:t>
      </w:r>
      <w:r>
        <w:rPr/>
        <w:t>housing</w:t>
      </w:r>
      <w:r>
        <w:rPr>
          <w:spacing w:val="-3"/>
        </w:rPr>
        <w:t> </w:t>
      </w:r>
      <w:r>
        <w:rPr/>
        <w:t>problem in Nigeria</w:t>
      </w:r>
      <w:r>
        <w:rPr>
          <w:spacing w:val="-1"/>
        </w:rPr>
        <w:t> </w:t>
      </w:r>
      <w:r>
        <w:rPr/>
        <w:t>basically</w:t>
      </w:r>
      <w:r>
        <w:rPr>
          <w:spacing w:val="-5"/>
        </w:rPr>
        <w:t> </w:t>
      </w:r>
      <w:r>
        <w:rPr/>
        <w:t>relates to quantitative and qualitative insufficiencies. This condition remains because housing has typically been regarded</w:t>
      </w:r>
      <w:r>
        <w:rPr>
          <w:spacing w:val="40"/>
        </w:rPr>
        <w:t> </w:t>
      </w:r>
      <w:r>
        <w:rPr/>
        <w:t>as an unwanted stepchild, a frustrating nuisance in the family of projects that constitutes development or economic programmes. Paradoxically, past theories of economic development regarded housing as a non-productive, durable consumption good or service with an extremely high capital output ratio. Nigeria</w:t>
      </w:r>
      <w:r>
        <w:rPr>
          <w:spacing w:val="-2"/>
        </w:rPr>
        <w:t> </w:t>
      </w:r>
      <w:r>
        <w:rPr/>
        <w:t>belongs to the category</w:t>
      </w:r>
      <w:r>
        <w:rPr>
          <w:spacing w:val="-3"/>
        </w:rPr>
        <w:t> </w:t>
      </w:r>
      <w:r>
        <w:rPr/>
        <w:t>of</w:t>
      </w:r>
      <w:r>
        <w:rPr>
          <w:spacing w:val="-1"/>
        </w:rPr>
        <w:t> </w:t>
      </w:r>
      <w:r>
        <w:rPr/>
        <w:t>countries where</w:t>
      </w:r>
      <w:r>
        <w:rPr>
          <w:spacing w:val="-1"/>
        </w:rPr>
        <w:t> </w:t>
      </w:r>
      <w:r>
        <w:rPr/>
        <w:t>the</w:t>
      </w:r>
      <w:r>
        <w:rPr>
          <w:spacing w:val="-1"/>
        </w:rPr>
        <w:t> </w:t>
      </w:r>
      <w:r>
        <w:rPr/>
        <w:t>above</w:t>
      </w:r>
      <w:r>
        <w:rPr>
          <w:spacing w:val="-1"/>
        </w:rPr>
        <w:t> </w:t>
      </w:r>
      <w:r>
        <w:rPr/>
        <w:t>conditions prevail (UN-Habitat, 2006).</w:t>
      </w:r>
    </w:p>
    <w:p>
      <w:pPr>
        <w:pStyle w:val="BodyText"/>
        <w:spacing w:line="360" w:lineRule="auto" w:before="259"/>
        <w:ind w:left="240" w:right="836"/>
        <w:jc w:val="both"/>
      </w:pPr>
      <w:r>
        <w:rPr/>
        <w:t>Ugonabo and Emoh (2013) corroborate the above views by surmising that there is massive shortage of housing in Nigeria and for too long, housing policies, programmes and deliveries of successive governments in Nigeria have failed to meet the aspirations and expectations of many citizens, particularly the low and middle-income earners. In addition to this, the housing affordability problem and slum-housing proliferation continue to constitute major challenges. According to a survey by Un-Habitat (2010), more than three-fifths of the total urban population in Nigeria still live in housing conditions described as slums as shown in Table 3.3.</w:t>
      </w:r>
    </w:p>
    <w:p>
      <w:pPr>
        <w:pStyle w:val="BodyText"/>
        <w:spacing w:before="160"/>
      </w:pPr>
    </w:p>
    <w:p>
      <w:pPr>
        <w:pStyle w:val="BodyText"/>
        <w:ind w:left="240"/>
        <w:jc w:val="both"/>
      </w:pPr>
      <w:r>
        <w:rPr/>
        <w:drawing>
          <wp:anchor distT="0" distB="0" distL="0" distR="0" allowOverlap="1" layoutInCell="1" locked="0" behindDoc="1" simplePos="0" relativeHeight="487593984">
            <wp:simplePos x="0" y="0"/>
            <wp:positionH relativeFrom="page">
              <wp:posOffset>933450</wp:posOffset>
            </wp:positionH>
            <wp:positionV relativeFrom="paragraph">
              <wp:posOffset>198165</wp:posOffset>
            </wp:positionV>
            <wp:extent cx="5712303" cy="1091184"/>
            <wp:effectExtent l="0" t="0" r="0" b="0"/>
            <wp:wrapTopAndBottom/>
            <wp:docPr id="126" name="Image 126"/>
            <wp:cNvGraphicFramePr>
              <a:graphicFrameLocks/>
            </wp:cNvGraphicFramePr>
            <a:graphic>
              <a:graphicData uri="http://schemas.openxmlformats.org/drawingml/2006/picture">
                <pic:pic>
                  <pic:nvPicPr>
                    <pic:cNvPr id="126" name="Image 126"/>
                    <pic:cNvPicPr/>
                  </pic:nvPicPr>
                  <pic:blipFill>
                    <a:blip r:embed="rId49" cstate="print"/>
                    <a:stretch>
                      <a:fillRect/>
                    </a:stretch>
                  </pic:blipFill>
                  <pic:spPr>
                    <a:xfrm>
                      <a:off x="0" y="0"/>
                      <a:ext cx="5712303" cy="1091184"/>
                    </a:xfrm>
                    <a:prstGeom prst="rect">
                      <a:avLst/>
                    </a:prstGeom>
                  </pic:spPr>
                </pic:pic>
              </a:graphicData>
            </a:graphic>
          </wp:anchor>
        </w:drawing>
      </w:r>
      <w:r>
        <w:rPr>
          <w:b/>
        </w:rPr>
        <w:t>Table</w:t>
      </w:r>
      <w:r>
        <w:rPr>
          <w:b/>
          <w:spacing w:val="-3"/>
        </w:rPr>
        <w:t> </w:t>
      </w:r>
      <w:r>
        <w:rPr>
          <w:b/>
        </w:rPr>
        <w:t>3.3.</w:t>
      </w:r>
      <w:r>
        <w:rPr>
          <w:b/>
          <w:spacing w:val="-1"/>
        </w:rPr>
        <w:t> </w:t>
      </w:r>
      <w:r>
        <w:rPr/>
        <w:t>Urban</w:t>
      </w:r>
      <w:r>
        <w:rPr>
          <w:spacing w:val="-1"/>
        </w:rPr>
        <w:t> </w:t>
      </w:r>
      <w:r>
        <w:rPr/>
        <w:t>Slum</w:t>
      </w:r>
      <w:r>
        <w:rPr>
          <w:spacing w:val="-2"/>
        </w:rPr>
        <w:t> </w:t>
      </w:r>
      <w:r>
        <w:rPr/>
        <w:t>Population</w:t>
      </w:r>
      <w:r>
        <w:rPr>
          <w:spacing w:val="-1"/>
        </w:rPr>
        <w:t> </w:t>
      </w:r>
      <w:r>
        <w:rPr/>
        <w:t>in</w:t>
      </w:r>
      <w:r>
        <w:rPr>
          <w:spacing w:val="-1"/>
        </w:rPr>
        <w:t> </w:t>
      </w:r>
      <w:r>
        <w:rPr/>
        <w:t>Nigeria</w:t>
      </w:r>
      <w:r>
        <w:rPr>
          <w:spacing w:val="-1"/>
        </w:rPr>
        <w:t> </w:t>
      </w:r>
      <w:r>
        <w:rPr>
          <w:spacing w:val="-2"/>
        </w:rPr>
        <w:t>(1990–2010)</w:t>
      </w:r>
    </w:p>
    <w:p>
      <w:pPr>
        <w:spacing w:before="0"/>
        <w:ind w:left="240" w:right="0" w:firstLine="0"/>
        <w:jc w:val="both"/>
        <w:rPr>
          <w:sz w:val="24"/>
        </w:rPr>
      </w:pPr>
      <w:r>
        <w:rPr>
          <w:b/>
          <w:sz w:val="24"/>
        </w:rPr>
        <w:t>Source:</w:t>
      </w:r>
      <w:r>
        <w:rPr>
          <w:b/>
          <w:spacing w:val="-5"/>
          <w:sz w:val="24"/>
        </w:rPr>
        <w:t> </w:t>
      </w:r>
      <w:r>
        <w:rPr>
          <w:sz w:val="24"/>
        </w:rPr>
        <w:t>UN-Habitat</w:t>
      </w:r>
      <w:r>
        <w:rPr>
          <w:spacing w:val="-3"/>
          <w:sz w:val="24"/>
        </w:rPr>
        <w:t> </w:t>
      </w:r>
      <w:r>
        <w:rPr>
          <w:spacing w:val="-2"/>
          <w:sz w:val="24"/>
        </w:rPr>
        <w:t>(2010)</w:t>
      </w:r>
    </w:p>
    <w:p>
      <w:pPr>
        <w:pStyle w:val="BodyText"/>
        <w:spacing w:line="360" w:lineRule="auto" w:before="231"/>
        <w:ind w:left="240" w:right="835"/>
        <w:jc w:val="both"/>
      </w:pPr>
      <w:r>
        <w:rPr/>
        <w:t>Pison Housing Company (2010) states that there are about 10.7 million houses in Nigeria. Irrespective</w:t>
      </w:r>
      <w:r>
        <w:rPr>
          <w:spacing w:val="-2"/>
        </w:rPr>
        <w:t> </w:t>
      </w:r>
      <w:r>
        <w:rPr/>
        <w:t>of</w:t>
      </w:r>
      <w:r>
        <w:rPr>
          <w:spacing w:val="-1"/>
        </w:rPr>
        <w:t> </w:t>
      </w:r>
      <w:r>
        <w:rPr/>
        <w:t>the</w:t>
      </w:r>
      <w:r>
        <w:rPr>
          <w:spacing w:val="-2"/>
        </w:rPr>
        <w:t> </w:t>
      </w:r>
      <w:r>
        <w:rPr/>
        <w:t>policies,</w:t>
      </w:r>
      <w:r>
        <w:rPr>
          <w:spacing w:val="-1"/>
        </w:rPr>
        <w:t> </w:t>
      </w:r>
      <w:r>
        <w:rPr/>
        <w:t>organisations</w:t>
      </w:r>
      <w:r>
        <w:rPr>
          <w:spacing w:val="-1"/>
        </w:rPr>
        <w:t> </w:t>
      </w:r>
      <w:r>
        <w:rPr/>
        <w:t>and</w:t>
      </w:r>
      <w:r>
        <w:rPr>
          <w:spacing w:val="-1"/>
        </w:rPr>
        <w:t> </w:t>
      </w:r>
      <w:r>
        <w:rPr/>
        <w:t>regulations</w:t>
      </w:r>
      <w:r>
        <w:rPr>
          <w:spacing w:val="-1"/>
        </w:rPr>
        <w:t> </w:t>
      </w:r>
      <w:r>
        <w:rPr/>
        <w:t>which</w:t>
      </w:r>
      <w:r>
        <w:rPr>
          <w:spacing w:val="-1"/>
        </w:rPr>
        <w:t> </w:t>
      </w:r>
      <w:r>
        <w:rPr/>
        <w:t>the</w:t>
      </w:r>
      <w:r>
        <w:rPr>
          <w:spacing w:val="-2"/>
        </w:rPr>
        <w:t> </w:t>
      </w:r>
      <w:r>
        <w:rPr/>
        <w:t>Nigerian</w:t>
      </w:r>
      <w:r>
        <w:rPr>
          <w:spacing w:val="-1"/>
        </w:rPr>
        <w:t> </w:t>
      </w:r>
      <w:r>
        <w:rPr/>
        <w:t>government</w:t>
      </w:r>
      <w:r>
        <w:rPr>
          <w:spacing w:val="-1"/>
        </w:rPr>
        <w:t> </w:t>
      </w:r>
      <w:r>
        <w:rPr/>
        <w:t>has</w:t>
      </w:r>
      <w:r>
        <w:rPr>
          <w:spacing w:val="-1"/>
        </w:rPr>
        <w:t> </w:t>
      </w:r>
      <w:r>
        <w:rPr/>
        <w:t>put in</w:t>
      </w:r>
      <w:r>
        <w:rPr>
          <w:spacing w:val="16"/>
        </w:rPr>
        <w:t> </w:t>
      </w:r>
      <w:r>
        <w:rPr/>
        <w:t>place</w:t>
      </w:r>
      <w:r>
        <w:rPr>
          <w:spacing w:val="15"/>
        </w:rPr>
        <w:t> </w:t>
      </w:r>
      <w:r>
        <w:rPr/>
        <w:t>since</w:t>
      </w:r>
      <w:r>
        <w:rPr>
          <w:spacing w:val="14"/>
        </w:rPr>
        <w:t> </w:t>
      </w:r>
      <w:r>
        <w:rPr/>
        <w:t>independence</w:t>
      </w:r>
      <w:r>
        <w:rPr>
          <w:spacing w:val="15"/>
        </w:rPr>
        <w:t> </w:t>
      </w:r>
      <w:r>
        <w:rPr/>
        <w:t>in</w:t>
      </w:r>
      <w:r>
        <w:rPr>
          <w:spacing w:val="16"/>
        </w:rPr>
        <w:t> </w:t>
      </w:r>
      <w:r>
        <w:rPr/>
        <w:t>1960,</w:t>
      </w:r>
      <w:r>
        <w:rPr>
          <w:spacing w:val="15"/>
        </w:rPr>
        <w:t> </w:t>
      </w:r>
      <w:r>
        <w:rPr/>
        <w:t>there</w:t>
      </w:r>
      <w:r>
        <w:rPr>
          <w:spacing w:val="15"/>
        </w:rPr>
        <w:t> </w:t>
      </w:r>
      <w:r>
        <w:rPr/>
        <w:t>is</w:t>
      </w:r>
      <w:r>
        <w:rPr>
          <w:spacing w:val="16"/>
        </w:rPr>
        <w:t> </w:t>
      </w:r>
      <w:r>
        <w:rPr/>
        <w:t>still</w:t>
      </w:r>
      <w:r>
        <w:rPr>
          <w:spacing w:val="15"/>
        </w:rPr>
        <w:t> </w:t>
      </w:r>
      <w:r>
        <w:rPr/>
        <w:t>a</w:t>
      </w:r>
      <w:r>
        <w:rPr>
          <w:spacing w:val="14"/>
        </w:rPr>
        <w:t> </w:t>
      </w:r>
      <w:r>
        <w:rPr/>
        <w:t>shortage</w:t>
      </w:r>
      <w:r>
        <w:rPr>
          <w:spacing w:val="15"/>
        </w:rPr>
        <w:t> </w:t>
      </w:r>
      <w:r>
        <w:rPr/>
        <w:t>of</w:t>
      </w:r>
      <w:r>
        <w:rPr>
          <w:spacing w:val="14"/>
        </w:rPr>
        <w:t> </w:t>
      </w:r>
      <w:r>
        <w:rPr/>
        <w:t>housing,</w:t>
      </w:r>
      <w:r>
        <w:rPr>
          <w:spacing w:val="16"/>
        </w:rPr>
        <w:t> </w:t>
      </w:r>
      <w:r>
        <w:rPr/>
        <w:t>especially</w:t>
      </w:r>
      <w:r>
        <w:rPr>
          <w:spacing w:val="11"/>
        </w:rPr>
        <w:t> </w:t>
      </w:r>
      <w:r>
        <w:rPr/>
        <w:t>for</w:t>
      </w:r>
      <w:r>
        <w:rPr>
          <w:spacing w:val="14"/>
        </w:rPr>
        <w:t> </w:t>
      </w:r>
      <w:r>
        <w:rPr/>
        <w:t>the</w:t>
      </w:r>
      <w:r>
        <w:rPr>
          <w:spacing w:val="16"/>
        </w:rPr>
        <w:t> </w:t>
      </w:r>
      <w:r>
        <w:rPr>
          <w:spacing w:val="-4"/>
        </w:rPr>
        <w:t>low-</w:t>
      </w:r>
    </w:p>
    <w:p>
      <w:pPr>
        <w:spacing w:after="0" w:line="360" w:lineRule="auto"/>
        <w:jc w:val="both"/>
        <w:sectPr>
          <w:pgSz w:w="12240" w:h="15840"/>
          <w:pgMar w:header="0" w:footer="1036" w:top="1360" w:bottom="1220" w:left="1200" w:right="600"/>
        </w:sectPr>
      </w:pPr>
    </w:p>
    <w:p>
      <w:pPr>
        <w:pStyle w:val="BodyText"/>
        <w:spacing w:line="360" w:lineRule="auto" w:before="74"/>
        <w:ind w:left="240" w:right="837"/>
        <w:jc w:val="both"/>
      </w:pPr>
      <w:r>
        <w:rPr/>
        <w:t>income section. The Federal Mortgage Bank of Nigeria (FMBN), which is answerable for the provision of mortgages to low-income earners through the National Housing Trust Fund</w:t>
      </w:r>
      <w:r>
        <w:rPr>
          <w:spacing w:val="40"/>
        </w:rPr>
        <w:t> </w:t>
      </w:r>
      <w:r>
        <w:rPr/>
        <w:t>(NHTF), has operational and financial capability</w:t>
      </w:r>
      <w:r>
        <w:rPr>
          <w:spacing w:val="-1"/>
        </w:rPr>
        <w:t> </w:t>
      </w:r>
      <w:r>
        <w:rPr/>
        <w:t>restraints that limit its efficiency. With this, the few low-income earners who own their houses usually obtain land and build incrementally with their funds, while the high-income house-owners buy with money, or mortgage finance, usually pay back over a maximum period of 10 years (Akinlusi, 2007).</w:t>
      </w:r>
    </w:p>
    <w:p>
      <w:pPr>
        <w:pStyle w:val="BodyText"/>
        <w:spacing w:before="70"/>
      </w:pPr>
    </w:p>
    <w:p>
      <w:pPr>
        <w:pStyle w:val="BodyText"/>
        <w:spacing w:line="360" w:lineRule="auto"/>
        <w:ind w:left="240" w:right="833"/>
        <w:jc w:val="both"/>
      </w:pPr>
      <w:r>
        <w:rPr/>
        <w:t>In recognition of the crucial role of housing in the economy, the Nigerian government has over the years initiated policies and programmes to address the housing challenges, but with little or no success. Experts have put the housing shortage in Nigeria as at 2005 at between 12million to 14 million (Adejumo, 2008: Oluwaluyi, 2008). According</w:t>
      </w:r>
      <w:r>
        <w:rPr>
          <w:spacing w:val="-3"/>
        </w:rPr>
        <w:t> </w:t>
      </w:r>
      <w:r>
        <w:rPr/>
        <w:t>to Babade</w:t>
      </w:r>
      <w:r>
        <w:rPr>
          <w:spacing w:val="-1"/>
        </w:rPr>
        <w:t> </w:t>
      </w:r>
      <w:r>
        <w:rPr/>
        <w:t>(2007), to adequately</w:t>
      </w:r>
      <w:r>
        <w:rPr>
          <w:spacing w:val="-5"/>
        </w:rPr>
        <w:t> </w:t>
      </w:r>
      <w:r>
        <w:rPr/>
        <w:t>house the</w:t>
      </w:r>
      <w:r>
        <w:rPr>
          <w:spacing w:val="-1"/>
        </w:rPr>
        <w:t> </w:t>
      </w:r>
      <w:r>
        <w:rPr/>
        <w:t>urban population in Nigeria, a</w:t>
      </w:r>
      <w:r>
        <w:rPr>
          <w:spacing w:val="-1"/>
        </w:rPr>
        <w:t> </w:t>
      </w:r>
      <w:r>
        <w:rPr/>
        <w:t>conservative figure</w:t>
      </w:r>
      <w:r>
        <w:rPr>
          <w:spacing w:val="-1"/>
        </w:rPr>
        <w:t> </w:t>
      </w:r>
      <w:r>
        <w:rPr/>
        <w:t>of 409,227 housing units should have</w:t>
      </w:r>
      <w:r>
        <w:rPr>
          <w:spacing w:val="-1"/>
        </w:rPr>
        <w:t> </w:t>
      </w:r>
      <w:r>
        <w:rPr/>
        <w:t>been constructed in 1990. Due to neglect, the figure rose to 783,042 units in 1995; 1,333,176 units in the year 2000; 1,543,318 units in 2003 and 2,171,603 units in 2010. This is serious considering the poor state of Nigeria‘s housing sector.</w:t>
      </w:r>
    </w:p>
    <w:p>
      <w:pPr>
        <w:pStyle w:val="BodyText"/>
        <w:spacing w:before="138"/>
      </w:pPr>
    </w:p>
    <w:p>
      <w:pPr>
        <w:pStyle w:val="BodyText"/>
        <w:spacing w:line="360" w:lineRule="auto"/>
        <w:ind w:left="240" w:right="836"/>
        <w:jc w:val="both"/>
      </w:pPr>
      <w:r>
        <w:rPr/>
        <w:t>The purpose of mass housing is to provide decent housing at reasonably reduced costs, to households unable to afford the heavy investment of acquiring land and building houses at prevailing</w:t>
      </w:r>
      <w:r>
        <w:rPr>
          <w:spacing w:val="-2"/>
        </w:rPr>
        <w:t> </w:t>
      </w:r>
      <w:r>
        <w:rPr/>
        <w:t>market</w:t>
      </w:r>
      <w:r>
        <w:rPr>
          <w:spacing w:val="-2"/>
        </w:rPr>
        <w:t> </w:t>
      </w:r>
      <w:r>
        <w:rPr/>
        <w:t>rates.</w:t>
      </w:r>
      <w:r>
        <w:rPr>
          <w:spacing w:val="40"/>
        </w:rPr>
        <w:t> </w:t>
      </w:r>
      <w:r>
        <w:rPr/>
        <w:t>Sadly, mass housing</w:t>
      </w:r>
      <w:r>
        <w:rPr>
          <w:spacing w:val="-2"/>
        </w:rPr>
        <w:t> </w:t>
      </w:r>
      <w:r>
        <w:rPr/>
        <w:t>provision</w:t>
      </w:r>
      <w:r>
        <w:rPr>
          <w:spacing w:val="-2"/>
        </w:rPr>
        <w:t> </w:t>
      </w:r>
      <w:r>
        <w:rPr/>
        <w:t>in</w:t>
      </w:r>
      <w:r>
        <w:rPr>
          <w:spacing w:val="-2"/>
        </w:rPr>
        <w:t> </w:t>
      </w:r>
      <w:r>
        <w:rPr/>
        <w:t>Nigeria</w:t>
      </w:r>
      <w:r>
        <w:rPr>
          <w:spacing w:val="-1"/>
        </w:rPr>
        <w:t> </w:t>
      </w:r>
      <w:r>
        <w:rPr/>
        <w:t>has</w:t>
      </w:r>
      <w:r>
        <w:rPr>
          <w:spacing w:val="-2"/>
        </w:rPr>
        <w:t> </w:t>
      </w:r>
      <w:r>
        <w:rPr/>
        <w:t>been</w:t>
      </w:r>
      <w:r>
        <w:rPr>
          <w:spacing w:val="-2"/>
        </w:rPr>
        <w:t> </w:t>
      </w:r>
      <w:r>
        <w:rPr/>
        <w:t>bedevilled</w:t>
      </w:r>
      <w:r>
        <w:rPr>
          <w:spacing w:val="-2"/>
        </w:rPr>
        <w:t> </w:t>
      </w:r>
      <w:r>
        <w:rPr/>
        <w:t>by</w:t>
      </w:r>
      <w:r>
        <w:rPr>
          <w:spacing w:val="-5"/>
        </w:rPr>
        <w:t> </w:t>
      </w:r>
      <w:r>
        <w:rPr/>
        <w:t>several challenges over the years. These challenges have been quantitative as well as qualitative (Ibem, Anosike, &amp; Azuh, 2011). Quantitative challenges manifest in housing deficits, which have persisted since independence. Housing deficit in Nigeria was estimated at 18 million units in 2008 (Onwuemenyi, 2008). This is expected to remain on the ascendancy, as provision of new housing units, has not been commensurate with natural population growth estimated at 3.2% per annum (NPC,2006)</w:t>
      </w:r>
      <w:r>
        <w:rPr>
          <w:spacing w:val="40"/>
        </w:rPr>
        <w:t> </w:t>
      </w:r>
      <w:r>
        <w:rPr/>
        <w:t>nor with the unabated spate of urbanisation in the country.</w:t>
      </w:r>
    </w:p>
    <w:p>
      <w:pPr>
        <w:pStyle w:val="BodyText"/>
        <w:spacing w:before="36"/>
      </w:pPr>
    </w:p>
    <w:p>
      <w:pPr>
        <w:pStyle w:val="BodyText"/>
        <w:spacing w:line="360" w:lineRule="auto"/>
        <w:ind w:left="240" w:right="839"/>
        <w:jc w:val="both"/>
      </w:pPr>
      <w:r>
        <w:rPr/>
        <w:t>In Nigeria, housing deficit as at 2007 stood at between 12 million to 14 million units by 2008, had risen to 18 million units (Onwuemenyi, 2008). Ajanlekoko (2001) estimated the national annual housing requirement at 600,000 units. Awosedo (2008) put the housing needs of Lagos alone at 170,000 units per annum in order to meet up with vision 2025. With an annual population growth rate of 3.2% (NPC, 2006)</w:t>
      </w:r>
      <w:r>
        <w:rPr>
          <w:spacing w:val="40"/>
        </w:rPr>
        <w:t> </w:t>
      </w:r>
      <w:r>
        <w:rPr/>
        <w:t>and rapid urbanisation, the housing deficit is expected</w:t>
      </w:r>
      <w:r>
        <w:rPr>
          <w:spacing w:val="20"/>
        </w:rPr>
        <w:t> </w:t>
      </w:r>
      <w:r>
        <w:rPr/>
        <w:t>to</w:t>
      </w:r>
      <w:r>
        <w:rPr>
          <w:spacing w:val="23"/>
        </w:rPr>
        <w:t> </w:t>
      </w:r>
      <w:r>
        <w:rPr/>
        <w:t>remain</w:t>
      </w:r>
      <w:r>
        <w:rPr>
          <w:spacing w:val="23"/>
        </w:rPr>
        <w:t> </w:t>
      </w:r>
      <w:r>
        <w:rPr/>
        <w:t>on</w:t>
      </w:r>
      <w:r>
        <w:rPr>
          <w:spacing w:val="22"/>
        </w:rPr>
        <w:t> </w:t>
      </w:r>
      <w:r>
        <w:rPr/>
        <w:t>the</w:t>
      </w:r>
      <w:r>
        <w:rPr>
          <w:spacing w:val="22"/>
        </w:rPr>
        <w:t> </w:t>
      </w:r>
      <w:r>
        <w:rPr/>
        <w:t>ascendancy.</w:t>
      </w:r>
      <w:r>
        <w:rPr>
          <w:spacing w:val="23"/>
        </w:rPr>
        <w:t> </w:t>
      </w:r>
      <w:r>
        <w:rPr/>
        <w:t>This</w:t>
      </w:r>
      <w:r>
        <w:rPr>
          <w:spacing w:val="23"/>
        </w:rPr>
        <w:t> </w:t>
      </w:r>
      <w:r>
        <w:rPr/>
        <w:t>is</w:t>
      </w:r>
      <w:r>
        <w:rPr>
          <w:spacing w:val="23"/>
        </w:rPr>
        <w:t> </w:t>
      </w:r>
      <w:r>
        <w:rPr/>
        <w:t>further</w:t>
      </w:r>
      <w:r>
        <w:rPr>
          <w:spacing w:val="22"/>
        </w:rPr>
        <w:t> </w:t>
      </w:r>
      <w:r>
        <w:rPr/>
        <w:t>compounded</w:t>
      </w:r>
      <w:r>
        <w:rPr>
          <w:spacing w:val="22"/>
        </w:rPr>
        <w:t> </w:t>
      </w:r>
      <w:r>
        <w:rPr/>
        <w:t>by</w:t>
      </w:r>
      <w:r>
        <w:rPr>
          <w:spacing w:val="17"/>
        </w:rPr>
        <w:t> </w:t>
      </w:r>
      <w:r>
        <w:rPr/>
        <w:t>the</w:t>
      </w:r>
      <w:r>
        <w:rPr>
          <w:spacing w:val="22"/>
        </w:rPr>
        <w:t> </w:t>
      </w:r>
      <w:r>
        <w:rPr/>
        <w:t>challenges</w:t>
      </w:r>
      <w:r>
        <w:rPr>
          <w:spacing w:val="23"/>
        </w:rPr>
        <w:t> </w:t>
      </w:r>
      <w:r>
        <w:rPr/>
        <w:t>faced</w:t>
      </w:r>
      <w:r>
        <w:rPr>
          <w:spacing w:val="23"/>
        </w:rPr>
        <w:t> </w:t>
      </w:r>
      <w:r>
        <w:rPr>
          <w:spacing w:val="-5"/>
        </w:rPr>
        <w:t>by</w:t>
      </w:r>
    </w:p>
    <w:p>
      <w:pPr>
        <w:spacing w:after="0" w:line="360" w:lineRule="auto"/>
        <w:jc w:val="both"/>
        <w:sectPr>
          <w:pgSz w:w="12240" w:h="15840"/>
          <w:pgMar w:header="0" w:footer="1036" w:top="1360" w:bottom="1220" w:left="1200" w:right="600"/>
        </w:sectPr>
      </w:pPr>
    </w:p>
    <w:p>
      <w:pPr>
        <w:pStyle w:val="BodyText"/>
        <w:spacing w:line="360" w:lineRule="auto" w:before="74"/>
        <w:ind w:left="240" w:right="840"/>
        <w:jc w:val="both"/>
      </w:pPr>
      <w:r>
        <w:rPr/>
        <w:t>government and its private sector partners in providing adequate housing, which include inadequate knowledge of the nature and scope of the country‘s housing problems, and a narrow concept of the housing need (Ayedun and Oluwatobi, 2011). Studies by several authors have shown that in spite of optimistic housing policies by the government since the 1960s, results</w:t>
      </w:r>
      <w:r>
        <w:rPr>
          <w:spacing w:val="40"/>
        </w:rPr>
        <w:t> </w:t>
      </w:r>
      <w:r>
        <w:rPr/>
        <w:t>have remained largely unimpressive, as housing provision has remained far short of policy projections (Ukoha and Beamish, 1996; Diogu, 2002; Jiboye, 2009).</w:t>
      </w:r>
    </w:p>
    <w:p>
      <w:pPr>
        <w:pStyle w:val="BodyText"/>
        <w:spacing w:before="70"/>
      </w:pPr>
    </w:p>
    <w:p>
      <w:pPr>
        <w:pStyle w:val="BodyText"/>
        <w:spacing w:line="360" w:lineRule="auto"/>
        <w:ind w:left="240" w:right="838"/>
        <w:jc w:val="both"/>
      </w:pPr>
      <w:r>
        <w:rPr/>
        <w:t>The</w:t>
      </w:r>
      <w:r>
        <w:rPr>
          <w:spacing w:val="-2"/>
        </w:rPr>
        <w:t> </w:t>
      </w:r>
      <w:r>
        <w:rPr/>
        <w:t>housing situation in Nigeria</w:t>
      </w:r>
      <w:r>
        <w:rPr>
          <w:spacing w:val="-2"/>
        </w:rPr>
        <w:t> </w:t>
      </w:r>
      <w:r>
        <w:rPr/>
        <w:t>puts existing</w:t>
      </w:r>
      <w:r>
        <w:rPr>
          <w:spacing w:val="-2"/>
        </w:rPr>
        <w:t> </w:t>
      </w:r>
      <w:r>
        <w:rPr/>
        <w:t>housing</w:t>
      </w:r>
      <w:r>
        <w:rPr>
          <w:spacing w:val="-2"/>
        </w:rPr>
        <w:t> </w:t>
      </w:r>
      <w:r>
        <w:rPr/>
        <w:t>stock at 23 per</w:t>
      </w:r>
      <w:r>
        <w:rPr>
          <w:spacing w:val="-1"/>
        </w:rPr>
        <w:t> </w:t>
      </w:r>
      <w:r>
        <w:rPr/>
        <w:t>1,000 inhabitants. Housing deficit is put at 15 million houses, while N12 trillion will be required to finance the deficit (Mabogunje 2003, 2004). This is about 4 times the annual national budget of Nigeria (Federal Housing Authority (FHA), 2007). Home prices and rents, on the other hand, have grown ahead</w:t>
      </w:r>
      <w:r>
        <w:rPr>
          <w:spacing w:val="40"/>
        </w:rPr>
        <w:t> </w:t>
      </w:r>
      <w:r>
        <w:rPr/>
        <w:t>of general inflation. Making matters worse, the composition of homes for sale and rent on the market has been inexorably shifting towards very expensive homes (Nubi, 2008). The National Rolling Plan(NRP) of 1990–1992 estimated housing deficit at 4.8 million. The 1991 housing policy estimated that 700,000 housing units are to be built each year if housing deficit is to be cancelled. In spite of a series of government policies towards housing delivery, one thing that is clear is that there exists a gap between housing supply and demand (Agbola, 1998; Olomolaiye, </w:t>
      </w:r>
      <w:r>
        <w:rPr>
          <w:spacing w:val="-2"/>
        </w:rPr>
        <w:t>1999).</w:t>
      </w:r>
    </w:p>
    <w:p>
      <w:pPr>
        <w:pStyle w:val="BodyText"/>
        <w:spacing w:before="70"/>
      </w:pPr>
    </w:p>
    <w:p>
      <w:pPr>
        <w:pStyle w:val="BodyText"/>
        <w:spacing w:line="360" w:lineRule="auto"/>
        <w:ind w:left="240" w:right="838"/>
        <w:jc w:val="both"/>
      </w:pPr>
      <w:r>
        <w:rPr/>
        <w:t>The Nigerian public sector has no doubt shown some concern in its social responsibility of ensuring adequate housing for the populace. It has been involved in housing intervention in the last eighty years through various programmes. The Nigerian National Housing Policy highlights the objective of government of ensuring accessibility to adequate housing by all Nigerians. The public sector has however recorded very poor level of success (Agbola, 1993).</w:t>
      </w:r>
    </w:p>
    <w:p>
      <w:pPr>
        <w:pStyle w:val="BodyText"/>
        <w:spacing w:before="127"/>
      </w:pPr>
    </w:p>
    <w:p>
      <w:pPr>
        <w:pStyle w:val="BodyText"/>
        <w:spacing w:line="360" w:lineRule="auto"/>
        <w:ind w:left="240" w:right="834"/>
        <w:jc w:val="both"/>
      </w:pPr>
      <w:r>
        <w:rPr/>
        <w:t>To lend credence to this view, Aduwo, Edewor, &amp; Ibem (2016) state that between 1975 and 2010, a number of mass/social housing programmes involving direct construction of housing by the government were</w:t>
      </w:r>
      <w:r>
        <w:rPr>
          <w:spacing w:val="-1"/>
        </w:rPr>
        <w:t> </w:t>
      </w:r>
      <w:r>
        <w:rPr/>
        <w:t>initiated by</w:t>
      </w:r>
      <w:r>
        <w:rPr>
          <w:spacing w:val="-5"/>
        </w:rPr>
        <w:t> </w:t>
      </w:r>
      <w:r>
        <w:rPr/>
        <w:t>both the Federal Military</w:t>
      </w:r>
      <w:r>
        <w:rPr>
          <w:spacing w:val="-3"/>
        </w:rPr>
        <w:t> </w:t>
      </w:r>
      <w:r>
        <w:rPr/>
        <w:t>and Civilian Governments in Nigeria. Some of these housing programmes included the National Low-Cost Housing Scheme (1975- 1980), Shagari‘s Low-Cost Housing Programme (1980-1985), the National Housing Programme (1994-1995), the National Prototype Housing Programme (2000-2003), the Presidential Housing Mandate</w:t>
      </w:r>
      <w:r>
        <w:rPr>
          <w:spacing w:val="74"/>
          <w:w w:val="150"/>
        </w:rPr>
        <w:t> </w:t>
      </w:r>
      <w:r>
        <w:rPr/>
        <w:t>Scheme</w:t>
      </w:r>
      <w:r>
        <w:rPr>
          <w:spacing w:val="77"/>
          <w:w w:val="150"/>
        </w:rPr>
        <w:t> </w:t>
      </w:r>
      <w:r>
        <w:rPr/>
        <w:t>(PMHS)</w:t>
      </w:r>
      <w:r>
        <w:rPr>
          <w:spacing w:val="76"/>
          <w:w w:val="150"/>
        </w:rPr>
        <w:t> </w:t>
      </w:r>
      <w:r>
        <w:rPr/>
        <w:t>(2004-2006)</w:t>
      </w:r>
      <w:r>
        <w:rPr>
          <w:spacing w:val="79"/>
          <w:w w:val="150"/>
        </w:rPr>
        <w:t> </w:t>
      </w:r>
      <w:r>
        <w:rPr/>
        <w:t>and</w:t>
      </w:r>
      <w:r>
        <w:rPr>
          <w:spacing w:val="80"/>
          <w:w w:val="150"/>
        </w:rPr>
        <w:t> </w:t>
      </w:r>
      <w:r>
        <w:rPr/>
        <w:t>PPP</w:t>
      </w:r>
      <w:r>
        <w:rPr>
          <w:spacing w:val="77"/>
          <w:w w:val="150"/>
        </w:rPr>
        <w:t> </w:t>
      </w:r>
      <w:r>
        <w:rPr/>
        <w:t>housing</w:t>
      </w:r>
      <w:r>
        <w:rPr>
          <w:spacing w:val="75"/>
          <w:w w:val="150"/>
        </w:rPr>
        <w:t> </w:t>
      </w:r>
      <w:r>
        <w:rPr/>
        <w:t>schemes.</w:t>
      </w:r>
      <w:r>
        <w:rPr>
          <w:spacing w:val="78"/>
          <w:w w:val="150"/>
        </w:rPr>
        <w:t> </w:t>
      </w:r>
      <w:r>
        <w:rPr/>
        <w:t>Although</w:t>
      </w:r>
      <w:r>
        <w:rPr>
          <w:spacing w:val="77"/>
          <w:w w:val="150"/>
        </w:rPr>
        <w:t> </w:t>
      </w:r>
      <w:r>
        <w:rPr/>
        <w:t>there</w:t>
      </w:r>
      <w:r>
        <w:rPr>
          <w:spacing w:val="78"/>
          <w:w w:val="150"/>
        </w:rPr>
        <w:t> </w:t>
      </w:r>
      <w:r>
        <w:rPr>
          <w:spacing w:val="-5"/>
        </w:rPr>
        <w:t>are</w:t>
      </w:r>
    </w:p>
    <w:p>
      <w:pPr>
        <w:spacing w:after="0" w:line="360" w:lineRule="auto"/>
        <w:jc w:val="both"/>
        <w:sectPr>
          <w:pgSz w:w="12240" w:h="15840"/>
          <w:pgMar w:header="0" w:footer="1036" w:top="1360" w:bottom="1220" w:left="1200" w:right="600"/>
        </w:sectPr>
      </w:pPr>
    </w:p>
    <w:p>
      <w:pPr>
        <w:pStyle w:val="BodyText"/>
        <w:spacing w:line="360" w:lineRule="auto" w:before="74"/>
        <w:ind w:left="240" w:right="837"/>
        <w:jc w:val="both"/>
      </w:pPr>
      <w:r>
        <w:rPr/>
        <w:t>conflicting figures on the actual number of housing units completed in each of these</w:t>
      </w:r>
      <w:r>
        <w:rPr>
          <w:spacing w:val="40"/>
        </w:rPr>
        <w:t> </w:t>
      </w:r>
      <w:r>
        <w:rPr/>
        <w:t>programmes, Table 3.4 shows that between 1962 and 2010 a total of 653,271 housing units were expected to be constructed in the different housing schemes across the country. However, only 95,594 housing units were actually constructed (the figure on the number of housing units constructed in the 2000-2003 period is not available, and thus excluded from the data in table</w:t>
      </w:r>
      <w:r>
        <w:rPr>
          <w:spacing w:val="80"/>
        </w:rPr>
        <w:t> </w:t>
      </w:r>
      <w:r>
        <w:rPr>
          <w:spacing w:val="-4"/>
        </w:rPr>
        <w:t>3.4.</w:t>
      </w:r>
    </w:p>
    <w:p>
      <w:pPr>
        <w:pStyle w:val="BodyText"/>
        <w:spacing w:before="101"/>
        <w:ind w:left="240" w:right="835"/>
        <w:jc w:val="both"/>
      </w:pPr>
      <w:r>
        <w:rPr/>
        <w:drawing>
          <wp:anchor distT="0" distB="0" distL="0" distR="0" allowOverlap="1" layoutInCell="1" locked="0" behindDoc="1" simplePos="0" relativeHeight="487594496">
            <wp:simplePos x="0" y="0"/>
            <wp:positionH relativeFrom="page">
              <wp:posOffset>933450</wp:posOffset>
            </wp:positionH>
            <wp:positionV relativeFrom="paragraph">
              <wp:posOffset>454339</wp:posOffset>
            </wp:positionV>
            <wp:extent cx="5726719" cy="1608201"/>
            <wp:effectExtent l="0" t="0" r="0" b="0"/>
            <wp:wrapTopAndBottom/>
            <wp:docPr id="127" name="Image 127"/>
            <wp:cNvGraphicFramePr>
              <a:graphicFrameLocks/>
            </wp:cNvGraphicFramePr>
            <a:graphic>
              <a:graphicData uri="http://schemas.openxmlformats.org/drawingml/2006/picture">
                <pic:pic>
                  <pic:nvPicPr>
                    <pic:cNvPr id="127" name="Image 127"/>
                    <pic:cNvPicPr/>
                  </pic:nvPicPr>
                  <pic:blipFill>
                    <a:blip r:embed="rId50" cstate="print"/>
                    <a:stretch>
                      <a:fillRect/>
                    </a:stretch>
                  </pic:blipFill>
                  <pic:spPr>
                    <a:xfrm>
                      <a:off x="0" y="0"/>
                      <a:ext cx="5726719" cy="1608201"/>
                    </a:xfrm>
                    <a:prstGeom prst="rect">
                      <a:avLst/>
                    </a:prstGeom>
                  </pic:spPr>
                </pic:pic>
              </a:graphicData>
            </a:graphic>
          </wp:anchor>
        </w:drawing>
      </w:r>
      <w:r>
        <w:rPr>
          <w:b/>
        </w:rPr>
        <w:t>Table 3.4. </w:t>
      </w:r>
      <w:r>
        <w:rPr/>
        <w:t>Implementation rate of low-cost Housing Schemes by the Federal Government of Nigeria (1962- 2010)</w:t>
      </w:r>
    </w:p>
    <w:p>
      <w:pPr>
        <w:spacing w:before="17"/>
        <w:ind w:left="240" w:right="0" w:firstLine="0"/>
        <w:jc w:val="both"/>
        <w:rPr>
          <w:sz w:val="24"/>
        </w:rPr>
      </w:pPr>
      <w:r>
        <w:rPr>
          <w:b/>
          <w:sz w:val="24"/>
        </w:rPr>
        <w:t>Source:</w:t>
      </w:r>
      <w:r>
        <w:rPr>
          <w:b/>
          <w:spacing w:val="-3"/>
          <w:sz w:val="24"/>
        </w:rPr>
        <w:t> </w:t>
      </w:r>
      <w:r>
        <w:rPr>
          <w:sz w:val="24"/>
        </w:rPr>
        <w:t>Onibokun</w:t>
      </w:r>
      <w:r>
        <w:rPr>
          <w:spacing w:val="-1"/>
          <w:sz w:val="24"/>
        </w:rPr>
        <w:t> </w:t>
      </w:r>
      <w:r>
        <w:rPr>
          <w:sz w:val="24"/>
        </w:rPr>
        <w:t>(1983);</w:t>
      </w:r>
      <w:r>
        <w:rPr>
          <w:spacing w:val="-2"/>
          <w:sz w:val="24"/>
        </w:rPr>
        <w:t> </w:t>
      </w:r>
      <w:r>
        <w:rPr>
          <w:sz w:val="24"/>
        </w:rPr>
        <w:t>UN-Habitat</w:t>
      </w:r>
      <w:r>
        <w:rPr>
          <w:spacing w:val="1"/>
          <w:sz w:val="24"/>
        </w:rPr>
        <w:t> </w:t>
      </w:r>
      <w:r>
        <w:rPr>
          <w:sz w:val="24"/>
        </w:rPr>
        <w:t>(2006); Ibem </w:t>
      </w:r>
      <w:r>
        <w:rPr>
          <w:i/>
          <w:sz w:val="24"/>
        </w:rPr>
        <w:t>et</w:t>
      </w:r>
      <w:r>
        <w:rPr>
          <w:i/>
          <w:spacing w:val="-1"/>
          <w:sz w:val="24"/>
        </w:rPr>
        <w:t> </w:t>
      </w:r>
      <w:r>
        <w:rPr>
          <w:i/>
          <w:sz w:val="24"/>
        </w:rPr>
        <w:t>al</w:t>
      </w:r>
      <w:r>
        <w:rPr>
          <w:sz w:val="24"/>
        </w:rPr>
        <w:t>.</w:t>
      </w:r>
      <w:r>
        <w:rPr>
          <w:spacing w:val="-1"/>
          <w:sz w:val="24"/>
        </w:rPr>
        <w:t> </w:t>
      </w:r>
      <w:r>
        <w:rPr>
          <w:spacing w:val="-2"/>
          <w:sz w:val="24"/>
        </w:rPr>
        <w:t>(2011)</w:t>
      </w:r>
    </w:p>
    <w:p>
      <w:pPr>
        <w:pStyle w:val="BodyText"/>
        <w:spacing w:before="2"/>
      </w:pPr>
    </w:p>
    <w:p>
      <w:pPr>
        <w:pStyle w:val="BodyText"/>
        <w:spacing w:line="360" w:lineRule="auto" w:before="1"/>
        <w:ind w:left="240" w:right="838"/>
        <w:jc w:val="both"/>
      </w:pPr>
      <w:r>
        <w:rPr/>
        <w:t>It is obvious from the foregoing that none of the previous public housing programmes achieved up to 50 percent of targeted number of housing units. Apart from the period between 2006 and 2010 in where there was 43 percent achievement, in other periods, the achievement levels were far less. Thus, the impact of these programmes in addressing the existing housing problems among low-income earners in the country can best be described as poor.</w:t>
      </w:r>
    </w:p>
    <w:p>
      <w:pPr>
        <w:pStyle w:val="BodyText"/>
        <w:spacing w:before="35"/>
      </w:pPr>
    </w:p>
    <w:p>
      <w:pPr>
        <w:pStyle w:val="BodyText"/>
        <w:spacing w:line="360" w:lineRule="auto"/>
        <w:ind w:left="240" w:right="836"/>
        <w:jc w:val="both"/>
      </w:pPr>
      <w:r>
        <w:rPr/>
        <w:t>A number of reasons have been adduced by Atolagbe (1997) and Philips (1997) for the poor performance of the Nigerian public sector in housing intervention, especially for the low-income earners. These include: wrong perception of the needs of low income earners, provision of too few houses which are nonetheless too expensive for low income earners and failure to stimulate the private sector for greater participation in housing delivery. According to Olowoyeye and Mshelgaru (2010), the major constraints to housing development in Nigeria are: land acquisition problems, high cost of building materials, inadequate infrastructure, inadequate skilled</w:t>
      </w:r>
      <w:r>
        <w:rPr>
          <w:spacing w:val="40"/>
        </w:rPr>
        <w:t> </w:t>
      </w:r>
      <w:r>
        <w:rPr/>
        <w:t>manpower and high cost of labour, difficulty in obtaining loan from the federal mortgage bank, poor implementation of government policies, guidelines, regulations and bye laws.</w:t>
      </w:r>
    </w:p>
    <w:p>
      <w:pPr>
        <w:spacing w:after="0" w:line="360" w:lineRule="auto"/>
        <w:jc w:val="both"/>
        <w:sectPr>
          <w:pgSz w:w="12240" w:h="15840"/>
          <w:pgMar w:header="0" w:footer="1036" w:top="1360" w:bottom="1220" w:left="1200" w:right="600"/>
        </w:sectPr>
      </w:pPr>
    </w:p>
    <w:p>
      <w:pPr>
        <w:pStyle w:val="BodyText"/>
        <w:spacing w:line="360" w:lineRule="auto" w:before="74"/>
        <w:ind w:left="240" w:right="836"/>
        <w:jc w:val="both"/>
      </w:pPr>
      <w:r>
        <w:rPr/>
        <w:t>Similarly, studies carried out by Ibem </w:t>
      </w:r>
      <w:r>
        <w:rPr>
          <w:i/>
        </w:rPr>
        <w:t>et al</w:t>
      </w:r>
      <w:r>
        <w:rPr/>
        <w:t>., (2011); Jambol, Molwus, &amp; Daniel (2013);</w:t>
      </w:r>
      <w:r>
        <w:rPr>
          <w:spacing w:val="40"/>
        </w:rPr>
        <w:t> </w:t>
      </w:r>
      <w:r>
        <w:rPr/>
        <w:t>Ibem, Opoko, &amp; Aduwo (2013) and Aduwo </w:t>
      </w:r>
      <w:r>
        <w:rPr>
          <w:i/>
        </w:rPr>
        <w:t>et al</w:t>
      </w:r>
      <w:r>
        <w:rPr/>
        <w:t>. (2016) advanced reasons for the failure of previous Federal and State mass housing schemes in Nigeria to: lack of adequate funding, corruption in</w:t>
      </w:r>
      <w:r>
        <w:rPr>
          <w:spacing w:val="40"/>
        </w:rPr>
        <w:t> </w:t>
      </w:r>
      <w:r>
        <w:rPr/>
        <w:t>the implementation and allocation of complete housing units, political interference and the lack of adequate monitoring and evaluation of the programmes, poor implementation strategies, lack of appropriate procurement regulations to address probity, accountability and efficiency concerns, the procurement process being handled by officers that lack relevant skills and knowledge,</w:t>
      </w:r>
      <w:r>
        <w:rPr>
          <w:spacing w:val="-2"/>
        </w:rPr>
        <w:t> </w:t>
      </w:r>
      <w:r>
        <w:rPr/>
        <w:t>uneven</w:t>
      </w:r>
      <w:r>
        <w:rPr>
          <w:spacing w:val="-2"/>
        </w:rPr>
        <w:t> </w:t>
      </w:r>
      <w:r>
        <w:rPr/>
        <w:t>spread of</w:t>
      </w:r>
      <w:r>
        <w:rPr>
          <w:spacing w:val="-3"/>
        </w:rPr>
        <w:t> </w:t>
      </w:r>
      <w:r>
        <w:rPr/>
        <w:t>housing</w:t>
      </w:r>
      <w:r>
        <w:rPr>
          <w:spacing w:val="-5"/>
        </w:rPr>
        <w:t> </w:t>
      </w:r>
      <w:r>
        <w:rPr/>
        <w:t>projects,</w:t>
      </w:r>
      <w:r>
        <w:rPr>
          <w:spacing w:val="-2"/>
        </w:rPr>
        <w:t> </w:t>
      </w:r>
      <w:r>
        <w:rPr/>
        <w:t>exclusion</w:t>
      </w:r>
      <w:r>
        <w:rPr>
          <w:spacing w:val="-2"/>
        </w:rPr>
        <w:t> </w:t>
      </w:r>
      <w:r>
        <w:rPr/>
        <w:t>and</w:t>
      </w:r>
      <w:r>
        <w:rPr>
          <w:spacing w:val="-2"/>
        </w:rPr>
        <w:t> </w:t>
      </w:r>
      <w:r>
        <w:rPr/>
        <w:t>deprivation</w:t>
      </w:r>
      <w:r>
        <w:rPr>
          <w:spacing w:val="-2"/>
        </w:rPr>
        <w:t> </w:t>
      </w:r>
      <w:r>
        <w:rPr/>
        <w:t>of</w:t>
      </w:r>
      <w:r>
        <w:rPr>
          <w:spacing w:val="-3"/>
        </w:rPr>
        <w:t> </w:t>
      </w:r>
      <w:r>
        <w:rPr/>
        <w:t>households</w:t>
      </w:r>
      <w:r>
        <w:rPr>
          <w:spacing w:val="-2"/>
        </w:rPr>
        <w:t> </w:t>
      </w:r>
      <w:r>
        <w:rPr/>
        <w:t>that</w:t>
      </w:r>
      <w:r>
        <w:rPr>
          <w:spacing w:val="-2"/>
        </w:rPr>
        <w:t> </w:t>
      </w:r>
      <w:r>
        <w:rPr/>
        <w:t>earn their incomes from the informal occupation, unequal access opportunity for intended beneficiaries, over-centralisation of roles</w:t>
      </w:r>
      <w:r>
        <w:rPr>
          <w:spacing w:val="40"/>
        </w:rPr>
        <w:t> </w:t>
      </w:r>
      <w:r>
        <w:rPr/>
        <w:t>in Federal Government line agencies which gives undue advantage to few individuals to monopolise</w:t>
      </w:r>
      <w:r>
        <w:rPr>
          <w:spacing w:val="-1"/>
        </w:rPr>
        <w:t> </w:t>
      </w:r>
      <w:r>
        <w:rPr/>
        <w:t>the implementation of housing processes, low organizational capacity of the three public agencies: National Building and Road Research Institute (NIBRRI), Association of Housing Corporations of Nigeria (AHCN) and the FMBN charged with the responsibility of implementing mass housing schemes (large volume of</w:t>
      </w:r>
      <w:r>
        <w:rPr>
          <w:spacing w:val="80"/>
        </w:rPr>
        <w:t> </w:t>
      </w:r>
      <w:r>
        <w:rPr/>
        <w:t>housing projects to implement at certain time also outweighed the administrative capacity of implementation agencies), the third tier of government; the LGAs and community-based organizations such as housing co-operative societies not been actively involved in housing schemes and representing the interest of the grassroots people, lack of participation of local</w:t>
      </w:r>
      <w:r>
        <w:rPr>
          <w:spacing w:val="40"/>
        </w:rPr>
        <w:t> </w:t>
      </w:r>
      <w:r>
        <w:rPr/>
        <w:t>urban authorities, non-governmental organizations, community development associations and other grass root organizations.</w:t>
      </w:r>
    </w:p>
    <w:p>
      <w:pPr>
        <w:pStyle w:val="BodyText"/>
        <w:spacing w:before="139"/>
      </w:pPr>
    </w:p>
    <w:p>
      <w:pPr>
        <w:pStyle w:val="BodyText"/>
        <w:spacing w:line="360" w:lineRule="auto"/>
        <w:ind w:left="240" w:right="835"/>
        <w:jc w:val="both"/>
      </w:pPr>
      <w:r>
        <w:rPr/>
        <w:t>With respect to participation, the previous housing efforts have so far been based on top-down approach, instead of the bottom-top approach.</w:t>
      </w:r>
      <w:r>
        <w:rPr>
          <w:spacing w:val="40"/>
        </w:rPr>
        <w:t> </w:t>
      </w:r>
      <w:r>
        <w:rPr/>
        <w:t>The Ibem </w:t>
      </w:r>
      <w:r>
        <w:rPr>
          <w:i/>
        </w:rPr>
        <w:t>et al</w:t>
      </w:r>
      <w:r>
        <w:rPr/>
        <w:t>., (2011); Jambol, Molwus, &amp; Daniel (2013); Ibem, Opoko, &amp; Aduwo (2013) and Aduwo </w:t>
      </w:r>
      <w:r>
        <w:rPr>
          <w:i/>
        </w:rPr>
        <w:t>et al</w:t>
      </w:r>
      <w:r>
        <w:rPr/>
        <w:t>. (2016) therefore contend that the prospects of low-income housing in Nigeria are contingent upon the adoption of community- based approaches. Others are: lack of adequate data on the exact number of low-income households who really need housing in Nigeria, i.e., poor data capturing on the rate of urban population growth which has been the bane of planning and programming in Nigeria.</w:t>
      </w:r>
    </w:p>
    <w:p>
      <w:pPr>
        <w:pStyle w:val="BodyText"/>
        <w:spacing w:before="69"/>
      </w:pPr>
    </w:p>
    <w:p>
      <w:pPr>
        <w:pStyle w:val="BodyText"/>
        <w:spacing w:line="360" w:lineRule="auto"/>
        <w:ind w:left="240" w:right="841"/>
        <w:jc w:val="both"/>
      </w:pPr>
      <w:r>
        <w:rPr/>
        <w:t>Although, a number of population censuses have been conducted in Nigeria, the results in many cases</w:t>
      </w:r>
      <w:r>
        <w:rPr>
          <w:spacing w:val="20"/>
        </w:rPr>
        <w:t> </w:t>
      </w:r>
      <w:r>
        <w:rPr/>
        <w:t>are</w:t>
      </w:r>
      <w:r>
        <w:rPr>
          <w:spacing w:val="18"/>
        </w:rPr>
        <w:t> </w:t>
      </w:r>
      <w:r>
        <w:rPr/>
        <w:t>still</w:t>
      </w:r>
      <w:r>
        <w:rPr>
          <w:spacing w:val="19"/>
        </w:rPr>
        <w:t> </w:t>
      </w:r>
      <w:r>
        <w:rPr/>
        <w:t>being</w:t>
      </w:r>
      <w:r>
        <w:rPr>
          <w:spacing w:val="18"/>
        </w:rPr>
        <w:t> </w:t>
      </w:r>
      <w:r>
        <w:rPr/>
        <w:t>contested.</w:t>
      </w:r>
      <w:r>
        <w:rPr>
          <w:spacing w:val="18"/>
        </w:rPr>
        <w:t> </w:t>
      </w:r>
      <w:r>
        <w:rPr/>
        <w:t>Hence,</w:t>
      </w:r>
      <w:r>
        <w:rPr>
          <w:spacing w:val="20"/>
        </w:rPr>
        <w:t> </w:t>
      </w:r>
      <w:r>
        <w:rPr/>
        <w:t>there</w:t>
      </w:r>
      <w:r>
        <w:rPr>
          <w:spacing w:val="18"/>
        </w:rPr>
        <w:t> </w:t>
      </w:r>
      <w:r>
        <w:rPr/>
        <w:t>are</w:t>
      </w:r>
      <w:r>
        <w:rPr>
          <w:spacing w:val="19"/>
        </w:rPr>
        <w:t> </w:t>
      </w:r>
      <w:r>
        <w:rPr/>
        <w:t>no</w:t>
      </w:r>
      <w:r>
        <w:rPr>
          <w:spacing w:val="18"/>
        </w:rPr>
        <w:t> </w:t>
      </w:r>
      <w:r>
        <w:rPr/>
        <w:t>accurate</w:t>
      </w:r>
      <w:r>
        <w:rPr>
          <w:spacing w:val="20"/>
        </w:rPr>
        <w:t> </w:t>
      </w:r>
      <w:r>
        <w:rPr/>
        <w:t>and</w:t>
      </w:r>
      <w:r>
        <w:rPr>
          <w:spacing w:val="20"/>
        </w:rPr>
        <w:t> </w:t>
      </w:r>
      <w:r>
        <w:rPr/>
        <w:t>reliable</w:t>
      </w:r>
      <w:r>
        <w:rPr>
          <w:spacing w:val="18"/>
        </w:rPr>
        <w:t> </w:t>
      </w:r>
      <w:r>
        <w:rPr/>
        <w:t>data</w:t>
      </w:r>
      <w:r>
        <w:rPr>
          <w:spacing w:val="18"/>
        </w:rPr>
        <w:t> </w:t>
      </w:r>
      <w:r>
        <w:rPr/>
        <w:t>on</w:t>
      </w:r>
      <w:r>
        <w:rPr>
          <w:spacing w:val="18"/>
        </w:rPr>
        <w:t> </w:t>
      </w:r>
      <w:r>
        <w:rPr/>
        <w:t>the</w:t>
      </w:r>
      <w:r>
        <w:rPr>
          <w:spacing w:val="18"/>
        </w:rPr>
        <w:t> </w:t>
      </w:r>
      <w:r>
        <w:rPr/>
        <w:t>number</w:t>
      </w:r>
      <w:r>
        <w:rPr>
          <w:spacing w:val="18"/>
        </w:rPr>
        <w:t> </w:t>
      </w:r>
      <w:r>
        <w:rPr>
          <w:spacing w:val="-5"/>
        </w:rPr>
        <w:t>of</w:t>
      </w:r>
    </w:p>
    <w:p>
      <w:pPr>
        <w:spacing w:after="0" w:line="360" w:lineRule="auto"/>
        <w:jc w:val="both"/>
        <w:sectPr>
          <w:pgSz w:w="12240" w:h="15840"/>
          <w:pgMar w:header="0" w:footer="1036" w:top="1360" w:bottom="1220" w:left="1200" w:right="600"/>
        </w:sectPr>
      </w:pPr>
    </w:p>
    <w:p>
      <w:pPr>
        <w:pStyle w:val="BodyText"/>
        <w:spacing w:line="360" w:lineRule="auto" w:before="74"/>
        <w:ind w:left="240" w:right="840"/>
        <w:jc w:val="both"/>
      </w:pPr>
      <w:r>
        <w:rPr/>
        <w:t>low-income households in urban areas for which provision is to be made. Without accurate data, it</w:t>
      </w:r>
      <w:r>
        <w:rPr>
          <w:spacing w:val="-1"/>
        </w:rPr>
        <w:t> </w:t>
      </w:r>
      <w:r>
        <w:rPr/>
        <w:t>is</w:t>
      </w:r>
      <w:r>
        <w:rPr>
          <w:spacing w:val="-1"/>
        </w:rPr>
        <w:t> </w:t>
      </w:r>
      <w:r>
        <w:rPr/>
        <w:t>difficult</w:t>
      </w:r>
      <w:r>
        <w:rPr>
          <w:spacing w:val="-1"/>
        </w:rPr>
        <w:t> </w:t>
      </w:r>
      <w:r>
        <w:rPr/>
        <w:t>to</w:t>
      </w:r>
      <w:r>
        <w:rPr>
          <w:spacing w:val="-1"/>
        </w:rPr>
        <w:t> </w:t>
      </w:r>
      <w:r>
        <w:rPr/>
        <w:t>generate effective</w:t>
      </w:r>
      <w:r>
        <w:rPr>
          <w:spacing w:val="-2"/>
        </w:rPr>
        <w:t> </w:t>
      </w:r>
      <w:r>
        <w:rPr/>
        <w:t>plans</w:t>
      </w:r>
      <w:r>
        <w:rPr>
          <w:spacing w:val="-2"/>
        </w:rPr>
        <w:t> </w:t>
      </w:r>
      <w:r>
        <w:rPr/>
        <w:t>and</w:t>
      </w:r>
      <w:r>
        <w:rPr>
          <w:spacing w:val="-1"/>
        </w:rPr>
        <w:t> </w:t>
      </w:r>
      <w:r>
        <w:rPr/>
        <w:t>programmes</w:t>
      </w:r>
      <w:r>
        <w:rPr>
          <w:spacing w:val="-1"/>
        </w:rPr>
        <w:t> </w:t>
      </w:r>
      <w:r>
        <w:rPr/>
        <w:t>that</w:t>
      </w:r>
      <w:r>
        <w:rPr>
          <w:spacing w:val="-1"/>
        </w:rPr>
        <w:t> </w:t>
      </w:r>
      <w:r>
        <w:rPr/>
        <w:t>would</w:t>
      </w:r>
      <w:r>
        <w:rPr>
          <w:spacing w:val="-1"/>
        </w:rPr>
        <w:t> </w:t>
      </w:r>
      <w:r>
        <w:rPr/>
        <w:t>have</w:t>
      </w:r>
      <w:r>
        <w:rPr>
          <w:spacing w:val="-2"/>
        </w:rPr>
        <w:t> </w:t>
      </w:r>
      <w:r>
        <w:rPr/>
        <w:t>tangible</w:t>
      </w:r>
      <w:r>
        <w:rPr>
          <w:spacing w:val="-2"/>
        </w:rPr>
        <w:t> </w:t>
      </w:r>
      <w:r>
        <w:rPr/>
        <w:t>impacts</w:t>
      </w:r>
      <w:r>
        <w:rPr>
          <w:spacing w:val="-1"/>
        </w:rPr>
        <w:t> </w:t>
      </w:r>
      <w:r>
        <w:rPr/>
        <w:t>on</w:t>
      </w:r>
      <w:r>
        <w:rPr>
          <w:spacing w:val="-1"/>
        </w:rPr>
        <w:t> </w:t>
      </w:r>
      <w:r>
        <w:rPr/>
        <w:t>the life of the people. This has been one of the principal challenges in the design of targeted housing programmes for</w:t>
      </w:r>
      <w:r>
        <w:rPr>
          <w:spacing w:val="-4"/>
        </w:rPr>
        <w:t> </w:t>
      </w:r>
      <w:r>
        <w:rPr/>
        <w:t>the</w:t>
      </w:r>
      <w:r>
        <w:rPr>
          <w:spacing w:val="-3"/>
        </w:rPr>
        <w:t> </w:t>
      </w:r>
      <w:r>
        <w:rPr/>
        <w:t>low-income</w:t>
      </w:r>
      <w:r>
        <w:rPr>
          <w:spacing w:val="-2"/>
        </w:rPr>
        <w:t> </w:t>
      </w:r>
      <w:r>
        <w:rPr/>
        <w:t>people</w:t>
      </w:r>
      <w:r>
        <w:rPr>
          <w:spacing w:val="-1"/>
        </w:rPr>
        <w:t> </w:t>
      </w:r>
      <w:r>
        <w:rPr/>
        <w:t>in</w:t>
      </w:r>
      <w:r>
        <w:rPr>
          <w:spacing w:val="-2"/>
        </w:rPr>
        <w:t> </w:t>
      </w:r>
      <w:r>
        <w:rPr/>
        <w:t>Nigerian</w:t>
      </w:r>
      <w:r>
        <w:rPr>
          <w:spacing w:val="-2"/>
        </w:rPr>
        <w:t> </w:t>
      </w:r>
      <w:r>
        <w:rPr/>
        <w:t>cities;</w:t>
      </w:r>
      <w:r>
        <w:rPr>
          <w:spacing w:val="-2"/>
        </w:rPr>
        <w:t> </w:t>
      </w:r>
      <w:r>
        <w:rPr/>
        <w:t>and thus</w:t>
      </w:r>
      <w:r>
        <w:rPr>
          <w:spacing w:val="-2"/>
        </w:rPr>
        <w:t> </w:t>
      </w:r>
      <w:r>
        <w:rPr/>
        <w:t>partly</w:t>
      </w:r>
      <w:r>
        <w:rPr>
          <w:spacing w:val="-5"/>
        </w:rPr>
        <w:t> </w:t>
      </w:r>
      <w:r>
        <w:rPr/>
        <w:t>accounts</w:t>
      </w:r>
      <w:r>
        <w:rPr>
          <w:spacing w:val="-2"/>
        </w:rPr>
        <w:t> </w:t>
      </w:r>
      <w:r>
        <w:rPr/>
        <w:t>for</w:t>
      </w:r>
      <w:r>
        <w:rPr>
          <w:spacing w:val="-2"/>
        </w:rPr>
        <w:t> </w:t>
      </w:r>
      <w:r>
        <w:rPr/>
        <w:t>the</w:t>
      </w:r>
      <w:r>
        <w:rPr>
          <w:spacing w:val="-2"/>
        </w:rPr>
        <w:t> </w:t>
      </w:r>
      <w:r>
        <w:rPr/>
        <w:t>failure of most public housing programmes in the country.</w:t>
      </w:r>
    </w:p>
    <w:p>
      <w:pPr>
        <w:pStyle w:val="BodyText"/>
        <w:spacing w:before="102"/>
      </w:pPr>
    </w:p>
    <w:p>
      <w:pPr>
        <w:pStyle w:val="BodyText"/>
        <w:spacing w:line="360" w:lineRule="auto" w:before="1"/>
        <w:ind w:left="240" w:right="837"/>
        <w:jc w:val="both"/>
      </w:pPr>
      <w:r>
        <w:rPr/>
        <w:t>Another reason for the poor performance and failure of public housing programmes by the Nigerian government as indicated by the Federal Government of Nigeria (2004), in its National Housing policy, is the lack of adequate monitoring and evaluation of housing policy implementation. This assertion was corroborated by Ibem and Amole (2010) who note that proper programme evaluation was rarely done in Nigeria, and as a result, it is very difficult to assess the real outcome of housing programmes in the country. The above tends to suggest two things. First is that there is inadequate evaluation research on public housing programmes in Nigeria. Second, proper evaluation of public housing programmes using appropriate evaluation tools and methods are rarely done in Nigeria. One of the key consequences of this is paucity of information on the actual outcome of previous and current approaches to solving the housing problems in this country. Table 3.5 shows the poor performance recorded by national housing programmes from 1975 – 1995.</w:t>
      </w:r>
    </w:p>
    <w:p>
      <w:pPr>
        <w:pStyle w:val="BodyText"/>
        <w:spacing w:before="114"/>
        <w:ind w:left="240"/>
        <w:jc w:val="both"/>
      </w:pPr>
      <w:r>
        <w:rPr>
          <w:b/>
        </w:rPr>
        <w:t>Table</w:t>
      </w:r>
      <w:r>
        <w:rPr>
          <w:b/>
          <w:spacing w:val="-5"/>
        </w:rPr>
        <w:t> </w:t>
      </w:r>
      <w:r>
        <w:rPr>
          <w:b/>
        </w:rPr>
        <w:t>3.5.</w:t>
      </w:r>
      <w:r>
        <w:rPr>
          <w:b/>
          <w:spacing w:val="-1"/>
        </w:rPr>
        <w:t> </w:t>
      </w:r>
      <w:r>
        <w:rPr/>
        <w:t>Performance</w:t>
      </w:r>
      <w:r>
        <w:rPr>
          <w:spacing w:val="-1"/>
        </w:rPr>
        <w:t> </w:t>
      </w:r>
      <w:r>
        <w:rPr/>
        <w:t>of</w:t>
      </w:r>
      <w:r>
        <w:rPr>
          <w:spacing w:val="-2"/>
        </w:rPr>
        <w:t> </w:t>
      </w:r>
      <w:r>
        <w:rPr/>
        <w:t>National</w:t>
      </w:r>
      <w:r>
        <w:rPr>
          <w:spacing w:val="-1"/>
        </w:rPr>
        <w:t> </w:t>
      </w:r>
      <w:r>
        <w:rPr/>
        <w:t>Housing</w:t>
      </w:r>
      <w:r>
        <w:rPr>
          <w:spacing w:val="-5"/>
        </w:rPr>
        <w:t> </w:t>
      </w:r>
      <w:r>
        <w:rPr/>
        <w:t>Programmes</w:t>
      </w:r>
      <w:r>
        <w:rPr>
          <w:spacing w:val="-1"/>
        </w:rPr>
        <w:t> </w:t>
      </w:r>
      <w:r>
        <w:rPr/>
        <w:t>from</w:t>
      </w:r>
      <w:r>
        <w:rPr>
          <w:spacing w:val="-1"/>
        </w:rPr>
        <w:t> </w:t>
      </w:r>
      <w:r>
        <w:rPr>
          <w:spacing w:val="-2"/>
        </w:rPr>
        <w:t>1975–1995</w:t>
      </w:r>
    </w:p>
    <w:p>
      <w:pPr>
        <w:spacing w:before="6"/>
        <w:ind w:left="240" w:right="0" w:firstLine="0"/>
        <w:jc w:val="left"/>
        <w:rPr>
          <w:b/>
          <w:sz w:val="2"/>
        </w:rPr>
      </w:pPr>
      <w:r>
        <w:rPr>
          <w:b/>
          <w:spacing w:val="-5"/>
          <w:sz w:val="2"/>
        </w:rPr>
        <w:t>&lt;&lt;</w:t>
      </w:r>
    </w:p>
    <w:p>
      <w:pPr>
        <w:pStyle w:val="BodyText"/>
        <w:spacing w:before="6" w:after="1"/>
        <w:rPr>
          <w:b/>
          <w:sz w:val="12"/>
        </w:rPr>
      </w:pPr>
    </w:p>
    <w:tbl>
      <w:tblPr>
        <w:tblW w:w="0" w:type="auto"/>
        <w:jc w:val="left"/>
        <w:tblInd w:w="250"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top w:w="0" w:type="dxa"/>
          <w:left w:w="0" w:type="dxa"/>
          <w:bottom w:w="0" w:type="dxa"/>
          <w:right w:w="0" w:type="dxa"/>
        </w:tblCellMar>
        <w:tblLook w:val="01E0"/>
      </w:tblPr>
      <w:tblGrid>
        <w:gridCol w:w="2359"/>
        <w:gridCol w:w="2069"/>
        <w:gridCol w:w="2251"/>
        <w:gridCol w:w="2249"/>
      </w:tblGrid>
      <w:tr>
        <w:trPr>
          <w:trHeight w:val="459" w:hRule="atLeast"/>
        </w:trPr>
        <w:tc>
          <w:tcPr>
            <w:tcW w:w="2359" w:type="dxa"/>
            <w:tcBorders>
              <w:bottom w:val="single" w:sz="18" w:space="0" w:color="4AACC5"/>
            </w:tcBorders>
          </w:tcPr>
          <w:p>
            <w:pPr>
              <w:pStyle w:val="TableParagraph"/>
              <w:spacing w:line="228" w:lineRule="exact"/>
              <w:ind w:left="107"/>
              <w:rPr>
                <w:b/>
                <w:sz w:val="20"/>
              </w:rPr>
            </w:pPr>
            <w:r>
              <w:rPr>
                <w:b/>
                <w:spacing w:val="-2"/>
                <w:sz w:val="20"/>
              </w:rPr>
              <w:t>Period</w:t>
            </w:r>
          </w:p>
        </w:tc>
        <w:tc>
          <w:tcPr>
            <w:tcW w:w="2069" w:type="dxa"/>
            <w:tcBorders>
              <w:bottom w:val="single" w:sz="18" w:space="0" w:color="4AACC5"/>
            </w:tcBorders>
          </w:tcPr>
          <w:p>
            <w:pPr>
              <w:pStyle w:val="TableParagraph"/>
              <w:spacing w:line="228" w:lineRule="exact"/>
              <w:ind w:left="105"/>
              <w:rPr>
                <w:b/>
                <w:sz w:val="20"/>
              </w:rPr>
            </w:pPr>
            <w:r>
              <w:rPr>
                <w:b/>
                <w:sz w:val="20"/>
              </w:rPr>
              <w:t>Planned</w:t>
            </w:r>
            <w:r>
              <w:rPr>
                <w:b/>
                <w:spacing w:val="-10"/>
                <w:sz w:val="20"/>
              </w:rPr>
              <w:t> </w:t>
            </w:r>
            <w:r>
              <w:rPr>
                <w:b/>
                <w:spacing w:val="-2"/>
                <w:sz w:val="20"/>
              </w:rPr>
              <w:t>output</w:t>
            </w:r>
          </w:p>
        </w:tc>
        <w:tc>
          <w:tcPr>
            <w:tcW w:w="2251" w:type="dxa"/>
            <w:tcBorders>
              <w:bottom w:val="single" w:sz="18" w:space="0" w:color="4AACC5"/>
            </w:tcBorders>
          </w:tcPr>
          <w:p>
            <w:pPr>
              <w:pStyle w:val="TableParagraph"/>
              <w:spacing w:line="228" w:lineRule="exact"/>
              <w:ind w:left="108"/>
              <w:rPr>
                <w:b/>
                <w:sz w:val="20"/>
              </w:rPr>
            </w:pPr>
            <w:r>
              <w:rPr>
                <w:b/>
                <w:spacing w:val="-2"/>
                <w:sz w:val="20"/>
              </w:rPr>
              <w:t>Achieved</w:t>
            </w:r>
          </w:p>
        </w:tc>
        <w:tc>
          <w:tcPr>
            <w:tcW w:w="2249" w:type="dxa"/>
            <w:tcBorders>
              <w:bottom w:val="single" w:sz="18" w:space="0" w:color="4AACC5"/>
            </w:tcBorders>
          </w:tcPr>
          <w:p>
            <w:pPr>
              <w:pStyle w:val="TableParagraph"/>
              <w:spacing w:line="228" w:lineRule="exact"/>
              <w:ind w:left="106"/>
              <w:rPr>
                <w:b/>
                <w:sz w:val="20"/>
              </w:rPr>
            </w:pPr>
            <w:r>
              <w:rPr>
                <w:b/>
                <w:sz w:val="20"/>
              </w:rPr>
              <w:t>%</w:t>
            </w:r>
            <w:r>
              <w:rPr>
                <w:b/>
                <w:spacing w:val="-2"/>
                <w:sz w:val="20"/>
              </w:rPr>
              <w:t> Achievement</w:t>
            </w:r>
          </w:p>
        </w:tc>
      </w:tr>
      <w:tr>
        <w:trPr>
          <w:trHeight w:val="1150" w:hRule="atLeast"/>
        </w:trPr>
        <w:tc>
          <w:tcPr>
            <w:tcW w:w="2359" w:type="dxa"/>
            <w:tcBorders>
              <w:top w:val="single" w:sz="18" w:space="0" w:color="4AACC5"/>
            </w:tcBorders>
            <w:shd w:val="clear" w:color="auto" w:fill="D2EAF0"/>
          </w:tcPr>
          <w:p>
            <w:pPr>
              <w:pStyle w:val="TableParagraph"/>
              <w:spacing w:line="227" w:lineRule="exact"/>
              <w:ind w:left="107"/>
              <w:rPr>
                <w:b/>
                <w:sz w:val="20"/>
              </w:rPr>
            </w:pPr>
            <w:r>
              <w:rPr>
                <w:b/>
                <w:sz w:val="20"/>
              </w:rPr>
              <w:t>1962</w:t>
            </w:r>
            <w:r>
              <w:rPr>
                <w:b/>
                <w:spacing w:val="-2"/>
                <w:sz w:val="20"/>
              </w:rPr>
              <w:t> </w:t>
            </w:r>
            <w:r>
              <w:rPr>
                <w:b/>
                <w:sz w:val="20"/>
              </w:rPr>
              <w:t>- </w:t>
            </w:r>
            <w:r>
              <w:rPr>
                <w:b/>
                <w:spacing w:val="-4"/>
                <w:sz w:val="20"/>
              </w:rPr>
              <w:t>1968</w:t>
            </w:r>
          </w:p>
          <w:p>
            <w:pPr>
              <w:pStyle w:val="TableParagraph"/>
              <w:ind w:left="107"/>
              <w:rPr>
                <w:b/>
                <w:sz w:val="20"/>
              </w:rPr>
            </w:pPr>
            <w:r>
              <w:rPr>
                <w:b/>
                <w:sz w:val="20"/>
              </w:rPr>
              <w:t>1970</w:t>
            </w:r>
            <w:r>
              <w:rPr>
                <w:b/>
                <w:spacing w:val="-2"/>
                <w:sz w:val="20"/>
              </w:rPr>
              <w:t> </w:t>
            </w:r>
            <w:r>
              <w:rPr>
                <w:b/>
                <w:sz w:val="20"/>
              </w:rPr>
              <w:t>- </w:t>
            </w:r>
            <w:r>
              <w:rPr>
                <w:b/>
                <w:spacing w:val="-4"/>
                <w:sz w:val="20"/>
              </w:rPr>
              <w:t>1974</w:t>
            </w:r>
          </w:p>
          <w:p>
            <w:pPr>
              <w:pStyle w:val="TableParagraph"/>
              <w:spacing w:before="1"/>
              <w:ind w:left="107"/>
              <w:rPr>
                <w:b/>
                <w:sz w:val="20"/>
              </w:rPr>
            </w:pPr>
            <w:r>
              <w:rPr>
                <w:b/>
                <w:sz w:val="20"/>
              </w:rPr>
              <w:t>1975</w:t>
            </w:r>
            <w:r>
              <w:rPr>
                <w:b/>
                <w:spacing w:val="-2"/>
                <w:sz w:val="20"/>
              </w:rPr>
              <w:t> </w:t>
            </w:r>
            <w:r>
              <w:rPr>
                <w:b/>
                <w:sz w:val="20"/>
              </w:rPr>
              <w:t>- </w:t>
            </w:r>
            <w:r>
              <w:rPr>
                <w:b/>
                <w:spacing w:val="-4"/>
                <w:sz w:val="20"/>
              </w:rPr>
              <w:t>1980</w:t>
            </w:r>
          </w:p>
          <w:p>
            <w:pPr>
              <w:pStyle w:val="TableParagraph"/>
              <w:ind w:left="107"/>
              <w:rPr>
                <w:b/>
                <w:sz w:val="20"/>
              </w:rPr>
            </w:pPr>
            <w:r>
              <w:rPr>
                <w:b/>
                <w:sz w:val="20"/>
              </w:rPr>
              <w:t>1981</w:t>
            </w:r>
            <w:r>
              <w:rPr>
                <w:b/>
                <w:spacing w:val="-2"/>
                <w:sz w:val="20"/>
              </w:rPr>
              <w:t> </w:t>
            </w:r>
            <w:r>
              <w:rPr>
                <w:b/>
                <w:sz w:val="20"/>
              </w:rPr>
              <w:t>- </w:t>
            </w:r>
            <w:r>
              <w:rPr>
                <w:b/>
                <w:spacing w:val="-4"/>
                <w:sz w:val="20"/>
              </w:rPr>
              <w:t>1985</w:t>
            </w:r>
          </w:p>
          <w:p>
            <w:pPr>
              <w:pStyle w:val="TableParagraph"/>
              <w:spacing w:line="212" w:lineRule="exact"/>
              <w:ind w:left="107"/>
              <w:rPr>
                <w:b/>
                <w:sz w:val="20"/>
              </w:rPr>
            </w:pPr>
            <w:r>
              <w:rPr>
                <w:b/>
                <w:sz w:val="20"/>
              </w:rPr>
              <w:t>1994</w:t>
            </w:r>
            <w:r>
              <w:rPr>
                <w:b/>
                <w:spacing w:val="-2"/>
                <w:sz w:val="20"/>
              </w:rPr>
              <w:t> </w:t>
            </w:r>
            <w:r>
              <w:rPr>
                <w:b/>
                <w:sz w:val="20"/>
              </w:rPr>
              <w:t>- </w:t>
            </w:r>
            <w:r>
              <w:rPr>
                <w:b/>
                <w:spacing w:val="-4"/>
                <w:sz w:val="20"/>
              </w:rPr>
              <w:t>1995</w:t>
            </w:r>
          </w:p>
        </w:tc>
        <w:tc>
          <w:tcPr>
            <w:tcW w:w="2069" w:type="dxa"/>
            <w:tcBorders>
              <w:top w:val="single" w:sz="18" w:space="0" w:color="4AACC5"/>
            </w:tcBorders>
            <w:shd w:val="clear" w:color="auto" w:fill="D2EAF0"/>
          </w:tcPr>
          <w:p>
            <w:pPr>
              <w:pStyle w:val="TableParagraph"/>
              <w:spacing w:line="222" w:lineRule="exact"/>
              <w:ind w:left="105"/>
              <w:rPr>
                <w:sz w:val="20"/>
              </w:rPr>
            </w:pPr>
            <w:r>
              <w:rPr>
                <w:spacing w:val="-2"/>
                <w:sz w:val="20"/>
              </w:rPr>
              <w:t>24,000</w:t>
            </w:r>
          </w:p>
          <w:p>
            <w:pPr>
              <w:pStyle w:val="TableParagraph"/>
              <w:ind w:left="105"/>
              <w:rPr>
                <w:sz w:val="20"/>
              </w:rPr>
            </w:pPr>
            <w:r>
              <w:rPr>
                <w:spacing w:val="-2"/>
                <w:sz w:val="20"/>
              </w:rPr>
              <w:t>54,000</w:t>
            </w:r>
          </w:p>
          <w:p>
            <w:pPr>
              <w:pStyle w:val="TableParagraph"/>
              <w:spacing w:before="1"/>
              <w:ind w:left="105"/>
              <w:rPr>
                <w:sz w:val="20"/>
              </w:rPr>
            </w:pPr>
            <w:r>
              <w:rPr>
                <w:spacing w:val="-2"/>
                <w:sz w:val="20"/>
              </w:rPr>
              <w:t>202,000</w:t>
            </w:r>
          </w:p>
          <w:p>
            <w:pPr>
              <w:pStyle w:val="TableParagraph"/>
              <w:ind w:left="105"/>
              <w:rPr>
                <w:sz w:val="20"/>
              </w:rPr>
            </w:pPr>
            <w:r>
              <w:rPr>
                <w:spacing w:val="-2"/>
                <w:sz w:val="20"/>
              </w:rPr>
              <w:t>200,000</w:t>
            </w:r>
          </w:p>
          <w:p>
            <w:pPr>
              <w:pStyle w:val="TableParagraph"/>
              <w:spacing w:line="217" w:lineRule="exact"/>
              <w:ind w:left="105"/>
              <w:rPr>
                <w:sz w:val="20"/>
              </w:rPr>
            </w:pPr>
            <w:r>
              <w:rPr>
                <w:spacing w:val="-2"/>
                <w:sz w:val="20"/>
              </w:rPr>
              <w:t>121,000</w:t>
            </w:r>
          </w:p>
        </w:tc>
        <w:tc>
          <w:tcPr>
            <w:tcW w:w="2251" w:type="dxa"/>
            <w:tcBorders>
              <w:top w:val="single" w:sz="18" w:space="0" w:color="4AACC5"/>
            </w:tcBorders>
            <w:shd w:val="clear" w:color="auto" w:fill="D2EAF0"/>
          </w:tcPr>
          <w:p>
            <w:pPr>
              <w:pStyle w:val="TableParagraph"/>
              <w:spacing w:line="222" w:lineRule="exact"/>
              <w:ind w:left="108"/>
              <w:rPr>
                <w:sz w:val="20"/>
              </w:rPr>
            </w:pPr>
            <w:r>
              <w:rPr>
                <w:spacing w:val="-5"/>
                <w:sz w:val="20"/>
              </w:rPr>
              <w:t>500</w:t>
            </w:r>
          </w:p>
          <w:p>
            <w:pPr>
              <w:pStyle w:val="TableParagraph"/>
              <w:ind w:left="108" w:right="1565"/>
              <w:rPr>
                <w:sz w:val="20"/>
              </w:rPr>
            </w:pPr>
            <w:r>
              <w:rPr>
                <w:spacing w:val="-10"/>
                <w:sz w:val="20"/>
              </w:rPr>
              <w:t>-</w:t>
            </w:r>
            <w:r>
              <w:rPr>
                <w:spacing w:val="-2"/>
                <w:sz w:val="20"/>
              </w:rPr>
              <w:t> 28,500</w:t>
            </w:r>
          </w:p>
          <w:p>
            <w:pPr>
              <w:pStyle w:val="TableParagraph"/>
              <w:spacing w:before="1"/>
              <w:ind w:left="108"/>
              <w:rPr>
                <w:sz w:val="20"/>
              </w:rPr>
            </w:pPr>
            <w:r>
              <w:rPr>
                <w:spacing w:val="-2"/>
                <w:sz w:val="20"/>
              </w:rPr>
              <w:t>47,200</w:t>
            </w:r>
          </w:p>
          <w:p>
            <w:pPr>
              <w:pStyle w:val="TableParagraph"/>
              <w:spacing w:line="217" w:lineRule="exact"/>
              <w:ind w:left="108"/>
              <w:rPr>
                <w:sz w:val="20"/>
              </w:rPr>
            </w:pPr>
            <w:r>
              <w:rPr>
                <w:spacing w:val="-2"/>
                <w:sz w:val="20"/>
              </w:rPr>
              <w:t>1,014</w:t>
            </w:r>
          </w:p>
        </w:tc>
        <w:tc>
          <w:tcPr>
            <w:tcW w:w="2249" w:type="dxa"/>
            <w:tcBorders>
              <w:top w:val="single" w:sz="18" w:space="0" w:color="4AACC5"/>
            </w:tcBorders>
            <w:shd w:val="clear" w:color="auto" w:fill="D2EAF0"/>
          </w:tcPr>
          <w:p>
            <w:pPr>
              <w:pStyle w:val="TableParagraph"/>
              <w:spacing w:line="222" w:lineRule="exact"/>
              <w:ind w:left="156"/>
              <w:rPr>
                <w:sz w:val="20"/>
              </w:rPr>
            </w:pPr>
            <w:r>
              <w:rPr>
                <w:spacing w:val="-5"/>
                <w:sz w:val="20"/>
              </w:rPr>
              <w:t>2.1</w:t>
            </w:r>
          </w:p>
          <w:p>
            <w:pPr>
              <w:pStyle w:val="TableParagraph"/>
              <w:ind w:left="106"/>
              <w:rPr>
                <w:sz w:val="20"/>
              </w:rPr>
            </w:pPr>
            <w:r>
              <w:rPr>
                <w:spacing w:val="-10"/>
                <w:sz w:val="20"/>
              </w:rPr>
              <w:t>0</w:t>
            </w:r>
          </w:p>
          <w:p>
            <w:pPr>
              <w:pStyle w:val="TableParagraph"/>
              <w:spacing w:before="1"/>
              <w:ind w:left="106"/>
              <w:rPr>
                <w:sz w:val="20"/>
              </w:rPr>
            </w:pPr>
            <w:r>
              <w:rPr>
                <w:spacing w:val="-4"/>
                <w:sz w:val="20"/>
              </w:rPr>
              <w:t>14.1</w:t>
            </w:r>
          </w:p>
          <w:p>
            <w:pPr>
              <w:pStyle w:val="TableParagraph"/>
              <w:ind w:left="106"/>
              <w:rPr>
                <w:sz w:val="20"/>
              </w:rPr>
            </w:pPr>
            <w:r>
              <w:rPr>
                <w:spacing w:val="-4"/>
                <w:sz w:val="20"/>
              </w:rPr>
              <w:t>23.6</w:t>
            </w:r>
          </w:p>
          <w:p>
            <w:pPr>
              <w:pStyle w:val="TableParagraph"/>
              <w:spacing w:line="217" w:lineRule="exact"/>
              <w:ind w:left="106"/>
              <w:rPr>
                <w:sz w:val="20"/>
              </w:rPr>
            </w:pPr>
            <w:r>
              <w:rPr>
                <w:spacing w:val="-5"/>
                <w:sz w:val="20"/>
              </w:rPr>
              <w:t>0.8</w:t>
            </w:r>
          </w:p>
        </w:tc>
      </w:tr>
    </w:tbl>
    <w:p>
      <w:pPr>
        <w:pStyle w:val="BodyText"/>
        <w:ind w:left="240"/>
        <w:jc w:val="both"/>
      </w:pPr>
      <w:r>
        <w:rPr>
          <w:b/>
        </w:rPr>
        <w:t>Source:</w:t>
      </w:r>
      <w:r>
        <w:rPr>
          <w:b/>
          <w:spacing w:val="-4"/>
        </w:rPr>
        <w:t> </w:t>
      </w:r>
      <w:r>
        <w:rPr/>
        <w:t>Pison Housing Company</w:t>
      </w:r>
      <w:r>
        <w:rPr>
          <w:spacing w:val="-5"/>
        </w:rPr>
        <w:t> </w:t>
      </w:r>
      <w:r>
        <w:rPr/>
        <w:t>(2010); Olusola </w:t>
      </w:r>
      <w:r>
        <w:rPr>
          <w:spacing w:val="-2"/>
        </w:rPr>
        <w:t>(2014)</w:t>
      </w:r>
    </w:p>
    <w:p>
      <w:pPr>
        <w:pStyle w:val="BodyText"/>
        <w:spacing w:line="360" w:lineRule="auto" w:before="225"/>
        <w:ind w:left="240" w:right="839"/>
        <w:jc w:val="both"/>
      </w:pPr>
      <w:r>
        <w:rPr/>
        <w:t>The major reason for housing programmes is to ameliorate or improve on existing poor housing conditions of individuals or groups of persons, and thus enhance their quality of life.</w:t>
      </w:r>
    </w:p>
    <w:p>
      <w:pPr>
        <w:pStyle w:val="BodyText"/>
        <w:spacing w:line="360" w:lineRule="auto" w:before="274"/>
        <w:ind w:left="240" w:right="837"/>
        <w:jc w:val="both"/>
      </w:pPr>
      <w:r>
        <w:rPr/>
        <w:t>Due to the multi-disciplinary nature of housing which cuts across disciplines such as housing studies, Architecture, Quantity Surveying, Building, Geography, Physical planning, Estate Management, Economics, Sociology and Public Administration just to mention this few, the purpose</w:t>
      </w:r>
      <w:r>
        <w:rPr>
          <w:spacing w:val="5"/>
        </w:rPr>
        <w:t> </w:t>
      </w:r>
      <w:r>
        <w:rPr/>
        <w:t>for</w:t>
      </w:r>
      <w:r>
        <w:rPr>
          <w:spacing w:val="6"/>
        </w:rPr>
        <w:t> </w:t>
      </w:r>
      <w:r>
        <w:rPr/>
        <w:t>evaluating</w:t>
      </w:r>
      <w:r>
        <w:rPr>
          <w:spacing w:val="4"/>
        </w:rPr>
        <w:t> </w:t>
      </w:r>
      <w:r>
        <w:rPr/>
        <w:t>housing</w:t>
      </w:r>
      <w:r>
        <w:rPr>
          <w:spacing w:val="4"/>
        </w:rPr>
        <w:t> </w:t>
      </w:r>
      <w:r>
        <w:rPr/>
        <w:t>programmes</w:t>
      </w:r>
      <w:r>
        <w:rPr>
          <w:spacing w:val="7"/>
        </w:rPr>
        <w:t> </w:t>
      </w:r>
      <w:r>
        <w:rPr/>
        <w:t>differs</w:t>
      </w:r>
      <w:r>
        <w:rPr>
          <w:spacing w:val="5"/>
        </w:rPr>
        <w:t> </w:t>
      </w:r>
      <w:r>
        <w:rPr/>
        <w:t>among</w:t>
      </w:r>
      <w:r>
        <w:rPr>
          <w:spacing w:val="6"/>
        </w:rPr>
        <w:t> </w:t>
      </w:r>
      <w:r>
        <w:rPr/>
        <w:t>researchers</w:t>
      </w:r>
      <w:r>
        <w:rPr>
          <w:spacing w:val="8"/>
        </w:rPr>
        <w:t> </w:t>
      </w:r>
      <w:r>
        <w:rPr/>
        <w:t>(Ibem</w:t>
      </w:r>
      <w:r>
        <w:rPr>
          <w:spacing w:val="7"/>
        </w:rPr>
        <w:t> </w:t>
      </w:r>
      <w:r>
        <w:rPr/>
        <w:t>and</w:t>
      </w:r>
      <w:r>
        <w:rPr>
          <w:spacing w:val="9"/>
        </w:rPr>
        <w:t> </w:t>
      </w:r>
      <w:r>
        <w:rPr/>
        <w:t>Amole,</w:t>
      </w:r>
      <w:r>
        <w:rPr>
          <w:spacing w:val="14"/>
        </w:rPr>
        <w:t> </w:t>
      </w:r>
      <w:r>
        <w:rPr>
          <w:spacing w:val="-2"/>
        </w:rPr>
        <w:t>2010).</w:t>
      </w:r>
    </w:p>
    <w:p>
      <w:pPr>
        <w:spacing w:after="0" w:line="360" w:lineRule="auto"/>
        <w:jc w:val="both"/>
        <w:sectPr>
          <w:pgSz w:w="12240" w:h="15840"/>
          <w:pgMar w:header="0" w:footer="1036" w:top="1360" w:bottom="1220" w:left="1200" w:right="600"/>
        </w:sectPr>
      </w:pPr>
    </w:p>
    <w:p>
      <w:pPr>
        <w:pStyle w:val="BodyText"/>
        <w:spacing w:line="360" w:lineRule="auto" w:before="74"/>
        <w:ind w:left="240" w:right="833"/>
        <w:jc w:val="both"/>
      </w:pPr>
      <w:r>
        <w:rPr/>
        <w:t>The most striking opinion is provided by Hanson, Lloyd, &amp; Lorimer (2004) who opine that evaluation of public housing stem from the need to document the problems of public housing, develop solutions to them and make recommendations and guidelines for future public housing policies and programmes.</w:t>
      </w:r>
    </w:p>
    <w:p>
      <w:pPr>
        <w:pStyle w:val="BodyText"/>
        <w:spacing w:before="137"/>
      </w:pPr>
    </w:p>
    <w:p>
      <w:pPr>
        <w:pStyle w:val="BodyText"/>
        <w:spacing w:line="360" w:lineRule="auto"/>
        <w:ind w:left="240" w:right="839"/>
        <w:jc w:val="both"/>
      </w:pPr>
      <w:r>
        <w:rPr/>
        <w:t>Furthermore, Osasona (1991) and Hanson </w:t>
      </w:r>
      <w:r>
        <w:rPr>
          <w:i/>
        </w:rPr>
        <w:t>et al</w:t>
      </w:r>
      <w:r>
        <w:rPr/>
        <w:t>. (2004) are of the view that evaluation of public housing is necessary in understanding the various policies underpinning public housing programmes and judging their effectiveness in operation On the other hand Arimah (2000) and Sengupta and Tipple (2007) viewed the evaluation of public housing as a way of developing parameters for assessing the performance of the public sector in housing delivery. In their opinion, the examination of the process and product of public housing is vital in measuring the performance of public housing sub-sector. McKinsey (2011) provides a logical framework that can guide public decision makers in implementing, as well as comparing the objectives and outcomes of public housing programmes, as shown in Table 3.6.</w:t>
      </w:r>
    </w:p>
    <w:p>
      <w:pPr>
        <w:pStyle w:val="BodyText"/>
        <w:spacing w:before="137"/>
      </w:pPr>
    </w:p>
    <w:p>
      <w:pPr>
        <w:pStyle w:val="BodyText"/>
        <w:ind w:left="240" w:right="837"/>
        <w:jc w:val="both"/>
      </w:pPr>
      <w:r>
        <w:rPr>
          <w:b/>
        </w:rPr>
        <w:t>Table 3.6. </w:t>
      </w:r>
      <w:r>
        <w:rPr/>
        <w:t>Logical Framework for comparing the objectives and outcome of public housing </w:t>
      </w:r>
      <w:r>
        <w:rPr>
          <w:spacing w:val="-2"/>
        </w:rPr>
        <w:t>programmes</w:t>
      </w:r>
    </w:p>
    <w:p>
      <w:pPr>
        <w:pStyle w:val="BodyText"/>
        <w:spacing w:before="2" w:after="1"/>
        <w:rPr>
          <w:sz w:val="13"/>
        </w:rPr>
      </w:pPr>
    </w:p>
    <w:tbl>
      <w:tblPr>
        <w:tblW w:w="0" w:type="auto"/>
        <w:jc w:val="left"/>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61"/>
        <w:gridCol w:w="3259"/>
        <w:gridCol w:w="2340"/>
      </w:tblGrid>
      <w:tr>
        <w:trPr>
          <w:trHeight w:val="758" w:hRule="atLeast"/>
        </w:trPr>
        <w:tc>
          <w:tcPr>
            <w:tcW w:w="3761" w:type="dxa"/>
          </w:tcPr>
          <w:p>
            <w:pPr>
              <w:pStyle w:val="TableParagraph"/>
              <w:spacing w:line="252" w:lineRule="exact"/>
              <w:ind w:left="107"/>
              <w:rPr>
                <w:b/>
                <w:sz w:val="22"/>
              </w:rPr>
            </w:pPr>
            <w:r>
              <w:rPr>
                <w:b/>
                <w:spacing w:val="-2"/>
                <w:sz w:val="22"/>
              </w:rPr>
              <w:t>Objectives</w:t>
            </w:r>
          </w:p>
        </w:tc>
        <w:tc>
          <w:tcPr>
            <w:tcW w:w="3259" w:type="dxa"/>
          </w:tcPr>
          <w:p>
            <w:pPr>
              <w:pStyle w:val="TableParagraph"/>
              <w:spacing w:line="252" w:lineRule="exact"/>
              <w:ind w:left="108"/>
              <w:rPr>
                <w:b/>
                <w:sz w:val="22"/>
              </w:rPr>
            </w:pPr>
            <w:r>
              <w:rPr>
                <w:b/>
                <w:spacing w:val="-2"/>
                <w:sz w:val="22"/>
              </w:rPr>
              <w:t>Indicator</w:t>
            </w:r>
          </w:p>
        </w:tc>
        <w:tc>
          <w:tcPr>
            <w:tcW w:w="2340" w:type="dxa"/>
          </w:tcPr>
          <w:p>
            <w:pPr>
              <w:pStyle w:val="TableParagraph"/>
              <w:ind w:left="108"/>
              <w:rPr>
                <w:b/>
                <w:sz w:val="22"/>
              </w:rPr>
            </w:pPr>
            <w:r>
              <w:rPr>
                <w:b/>
                <w:spacing w:val="-2"/>
                <w:sz w:val="22"/>
              </w:rPr>
              <w:t>Achievement </w:t>
            </w:r>
            <w:r>
              <w:rPr>
                <w:b/>
                <w:sz w:val="22"/>
              </w:rPr>
              <w:t>Level/Remarks</w:t>
            </w:r>
            <w:r>
              <w:rPr>
                <w:b/>
                <w:spacing w:val="-11"/>
                <w:sz w:val="22"/>
              </w:rPr>
              <w:t> </w:t>
            </w:r>
            <w:r>
              <w:rPr>
                <w:b/>
                <w:sz w:val="22"/>
              </w:rPr>
              <w:t>(below</w:t>
            </w:r>
          </w:p>
          <w:p>
            <w:pPr>
              <w:pStyle w:val="TableParagraph"/>
              <w:spacing w:line="233" w:lineRule="exact"/>
              <w:ind w:left="108"/>
              <w:rPr>
                <w:b/>
                <w:sz w:val="22"/>
              </w:rPr>
            </w:pPr>
            <w:r>
              <w:rPr>
                <w:b/>
                <w:sz w:val="22"/>
              </w:rPr>
              <w:t>or above</w:t>
            </w:r>
            <w:r>
              <w:rPr>
                <w:b/>
                <w:spacing w:val="-2"/>
                <w:sz w:val="22"/>
              </w:rPr>
              <w:t> average)</w:t>
            </w:r>
          </w:p>
        </w:tc>
      </w:tr>
      <w:tr>
        <w:trPr>
          <w:trHeight w:val="4852" w:hRule="atLeast"/>
        </w:trPr>
        <w:tc>
          <w:tcPr>
            <w:tcW w:w="3761" w:type="dxa"/>
          </w:tcPr>
          <w:p>
            <w:pPr>
              <w:pStyle w:val="TableParagraph"/>
              <w:ind w:left="107" w:right="447"/>
              <w:rPr>
                <w:sz w:val="20"/>
              </w:rPr>
            </w:pPr>
            <w:r>
              <w:rPr>
                <w:sz w:val="20"/>
              </w:rPr>
              <w:t>To evolve appropriate institutional framework</w:t>
            </w:r>
            <w:r>
              <w:rPr>
                <w:spacing w:val="-11"/>
                <w:sz w:val="20"/>
              </w:rPr>
              <w:t> </w:t>
            </w:r>
            <w:r>
              <w:rPr>
                <w:sz w:val="20"/>
              </w:rPr>
              <w:t>for</w:t>
            </w:r>
            <w:r>
              <w:rPr>
                <w:spacing w:val="-10"/>
                <w:sz w:val="20"/>
              </w:rPr>
              <w:t> </w:t>
            </w:r>
            <w:r>
              <w:rPr>
                <w:sz w:val="20"/>
              </w:rPr>
              <w:t>public</w:t>
            </w:r>
            <w:r>
              <w:rPr>
                <w:spacing w:val="-10"/>
                <w:sz w:val="20"/>
              </w:rPr>
              <w:t> </w:t>
            </w:r>
            <w:r>
              <w:rPr>
                <w:sz w:val="20"/>
              </w:rPr>
              <w:t>housing</w:t>
            </w:r>
            <w:r>
              <w:rPr>
                <w:spacing w:val="-11"/>
                <w:sz w:val="20"/>
              </w:rPr>
              <w:t> </w:t>
            </w:r>
            <w:r>
              <w:rPr>
                <w:sz w:val="20"/>
              </w:rPr>
              <w:t>delivery</w:t>
            </w:r>
          </w:p>
          <w:p>
            <w:pPr>
              <w:pStyle w:val="TableParagraph"/>
              <w:spacing w:before="178"/>
              <w:ind w:left="107"/>
              <w:rPr>
                <w:sz w:val="20"/>
              </w:rPr>
            </w:pPr>
            <w:r>
              <w:rPr>
                <w:sz w:val="20"/>
              </w:rPr>
              <w:t>To promote greater private sector participation</w:t>
            </w:r>
            <w:r>
              <w:rPr>
                <w:spacing w:val="-9"/>
                <w:sz w:val="20"/>
              </w:rPr>
              <w:t> </w:t>
            </w:r>
            <w:r>
              <w:rPr>
                <w:sz w:val="20"/>
              </w:rPr>
              <w:t>in</w:t>
            </w:r>
            <w:r>
              <w:rPr>
                <w:spacing w:val="-10"/>
                <w:sz w:val="20"/>
              </w:rPr>
              <w:t> </w:t>
            </w:r>
            <w:r>
              <w:rPr>
                <w:sz w:val="20"/>
              </w:rPr>
              <w:t>the</w:t>
            </w:r>
            <w:r>
              <w:rPr>
                <w:spacing w:val="-9"/>
                <w:sz w:val="20"/>
              </w:rPr>
              <w:t> </w:t>
            </w:r>
            <w:r>
              <w:rPr>
                <w:sz w:val="20"/>
              </w:rPr>
              <w:t>provision</w:t>
            </w:r>
            <w:r>
              <w:rPr>
                <w:spacing w:val="-8"/>
                <w:sz w:val="20"/>
              </w:rPr>
              <w:t> </w:t>
            </w:r>
            <w:r>
              <w:rPr>
                <w:sz w:val="20"/>
              </w:rPr>
              <w:t>of</w:t>
            </w:r>
            <w:r>
              <w:rPr>
                <w:spacing w:val="-10"/>
                <w:sz w:val="20"/>
              </w:rPr>
              <w:t> </w:t>
            </w:r>
            <w:r>
              <w:rPr>
                <w:sz w:val="20"/>
              </w:rPr>
              <w:t>housing.</w:t>
            </w:r>
          </w:p>
          <w:p>
            <w:pPr>
              <w:pStyle w:val="TableParagraph"/>
              <w:spacing w:before="184"/>
              <w:ind w:left="107" w:right="447"/>
              <w:rPr>
                <w:sz w:val="20"/>
              </w:rPr>
            </w:pPr>
            <w:r>
              <w:rPr>
                <w:sz w:val="20"/>
              </w:rPr>
              <w:t>To</w:t>
            </w:r>
            <w:r>
              <w:rPr>
                <w:spacing w:val="-9"/>
                <w:sz w:val="20"/>
              </w:rPr>
              <w:t> </w:t>
            </w:r>
            <w:r>
              <w:rPr>
                <w:sz w:val="20"/>
              </w:rPr>
              <w:t>enhance</w:t>
            </w:r>
            <w:r>
              <w:rPr>
                <w:spacing w:val="-5"/>
                <w:sz w:val="20"/>
              </w:rPr>
              <w:t> </w:t>
            </w:r>
            <w:r>
              <w:rPr>
                <w:sz w:val="20"/>
              </w:rPr>
              <w:t>home</w:t>
            </w:r>
            <w:r>
              <w:rPr>
                <w:spacing w:val="-8"/>
                <w:sz w:val="20"/>
              </w:rPr>
              <w:t> </w:t>
            </w:r>
            <w:r>
              <w:rPr>
                <w:sz w:val="20"/>
              </w:rPr>
              <w:t>ownership</w:t>
            </w:r>
            <w:r>
              <w:rPr>
                <w:spacing w:val="-7"/>
                <w:sz w:val="20"/>
              </w:rPr>
              <w:t> </w:t>
            </w:r>
            <w:r>
              <w:rPr>
                <w:sz w:val="20"/>
              </w:rPr>
              <w:t>among</w:t>
            </w:r>
            <w:r>
              <w:rPr>
                <w:spacing w:val="34"/>
                <w:sz w:val="20"/>
              </w:rPr>
              <w:t> </w:t>
            </w:r>
            <w:r>
              <w:rPr>
                <w:sz w:val="20"/>
              </w:rPr>
              <w:t>all socio-economic groups</w:t>
            </w:r>
          </w:p>
          <w:p>
            <w:pPr>
              <w:pStyle w:val="TableParagraph"/>
              <w:spacing w:before="229"/>
              <w:rPr>
                <w:sz w:val="20"/>
              </w:rPr>
            </w:pPr>
          </w:p>
          <w:p>
            <w:pPr>
              <w:pStyle w:val="TableParagraph"/>
              <w:ind w:left="107" w:right="206"/>
              <w:jc w:val="both"/>
              <w:rPr>
                <w:sz w:val="20"/>
              </w:rPr>
            </w:pPr>
            <w:r>
              <w:rPr>
                <w:sz w:val="20"/>
              </w:rPr>
              <w:t>To develop self-sufficient housing estates, secured</w:t>
            </w:r>
            <w:r>
              <w:rPr>
                <w:spacing w:val="-7"/>
                <w:sz w:val="20"/>
              </w:rPr>
              <w:t> </w:t>
            </w:r>
            <w:r>
              <w:rPr>
                <w:sz w:val="20"/>
              </w:rPr>
              <w:t>and</w:t>
            </w:r>
            <w:r>
              <w:rPr>
                <w:spacing w:val="-8"/>
                <w:sz w:val="20"/>
              </w:rPr>
              <w:t> </w:t>
            </w:r>
            <w:r>
              <w:rPr>
                <w:sz w:val="20"/>
              </w:rPr>
              <w:t>serene</w:t>
            </w:r>
            <w:r>
              <w:rPr>
                <w:spacing w:val="-9"/>
                <w:sz w:val="20"/>
              </w:rPr>
              <w:t> </w:t>
            </w:r>
            <w:r>
              <w:rPr>
                <w:sz w:val="20"/>
              </w:rPr>
              <w:t>environment</w:t>
            </w:r>
            <w:r>
              <w:rPr>
                <w:spacing w:val="-10"/>
                <w:sz w:val="20"/>
              </w:rPr>
              <w:t> </w:t>
            </w:r>
            <w:r>
              <w:rPr>
                <w:sz w:val="20"/>
              </w:rPr>
              <w:t>that</w:t>
            </w:r>
            <w:r>
              <w:rPr>
                <w:spacing w:val="-7"/>
                <w:sz w:val="20"/>
              </w:rPr>
              <w:t> </w:t>
            </w:r>
            <w:r>
              <w:rPr>
                <w:sz w:val="20"/>
              </w:rPr>
              <w:t>meets the daily challenges of all residents</w:t>
            </w:r>
          </w:p>
          <w:p>
            <w:pPr>
              <w:pStyle w:val="TableParagraph"/>
              <w:spacing w:before="2"/>
              <w:rPr>
                <w:sz w:val="20"/>
              </w:rPr>
            </w:pPr>
          </w:p>
          <w:p>
            <w:pPr>
              <w:pStyle w:val="TableParagraph"/>
              <w:ind w:left="107" w:right="447"/>
              <w:rPr>
                <w:sz w:val="20"/>
              </w:rPr>
            </w:pPr>
            <w:r>
              <w:rPr>
                <w:sz w:val="20"/>
              </w:rPr>
              <w:t>To</w:t>
            </w:r>
            <w:r>
              <w:rPr>
                <w:spacing w:val="-9"/>
                <w:sz w:val="20"/>
              </w:rPr>
              <w:t> </w:t>
            </w:r>
            <w:r>
              <w:rPr>
                <w:sz w:val="20"/>
              </w:rPr>
              <w:t>provide</w:t>
            </w:r>
            <w:r>
              <w:rPr>
                <w:spacing w:val="-8"/>
                <w:sz w:val="20"/>
              </w:rPr>
              <w:t> </w:t>
            </w:r>
            <w:r>
              <w:rPr>
                <w:sz w:val="20"/>
              </w:rPr>
              <w:t>adequate</w:t>
            </w:r>
            <w:r>
              <w:rPr>
                <w:spacing w:val="-8"/>
                <w:sz w:val="20"/>
              </w:rPr>
              <w:t> </w:t>
            </w:r>
            <w:r>
              <w:rPr>
                <w:sz w:val="20"/>
              </w:rPr>
              <w:t>housing</w:t>
            </w:r>
            <w:r>
              <w:rPr>
                <w:spacing w:val="-9"/>
                <w:sz w:val="20"/>
              </w:rPr>
              <w:t> </w:t>
            </w:r>
            <w:r>
              <w:rPr>
                <w:sz w:val="20"/>
              </w:rPr>
              <w:t>for</w:t>
            </w:r>
            <w:r>
              <w:rPr>
                <w:spacing w:val="-8"/>
                <w:sz w:val="20"/>
              </w:rPr>
              <w:t> </w:t>
            </w:r>
            <w:r>
              <w:rPr>
                <w:sz w:val="20"/>
              </w:rPr>
              <w:t>all interested persons in the State</w:t>
            </w:r>
          </w:p>
          <w:p>
            <w:pPr>
              <w:pStyle w:val="TableParagraph"/>
              <w:spacing w:before="68"/>
              <w:ind w:left="107"/>
              <w:rPr>
                <w:sz w:val="20"/>
              </w:rPr>
            </w:pPr>
            <w:r>
              <w:rPr>
                <w:sz w:val="20"/>
              </w:rPr>
              <w:t>To</w:t>
            </w:r>
            <w:r>
              <w:rPr>
                <w:spacing w:val="-7"/>
                <w:sz w:val="20"/>
              </w:rPr>
              <w:t> </w:t>
            </w:r>
            <w:r>
              <w:rPr>
                <w:sz w:val="20"/>
              </w:rPr>
              <w:t>improve</w:t>
            </w:r>
            <w:r>
              <w:rPr>
                <w:spacing w:val="-6"/>
                <w:sz w:val="20"/>
              </w:rPr>
              <w:t> </w:t>
            </w:r>
            <w:r>
              <w:rPr>
                <w:sz w:val="20"/>
              </w:rPr>
              <w:t>on</w:t>
            </w:r>
            <w:r>
              <w:rPr>
                <w:spacing w:val="-7"/>
                <w:sz w:val="20"/>
              </w:rPr>
              <w:t> </w:t>
            </w:r>
            <w:r>
              <w:rPr>
                <w:sz w:val="20"/>
              </w:rPr>
              <w:t>the</w:t>
            </w:r>
            <w:r>
              <w:rPr>
                <w:spacing w:val="-6"/>
                <w:sz w:val="20"/>
              </w:rPr>
              <w:t> </w:t>
            </w:r>
            <w:r>
              <w:rPr>
                <w:sz w:val="20"/>
              </w:rPr>
              <w:t>standard</w:t>
            </w:r>
            <w:r>
              <w:rPr>
                <w:spacing w:val="-5"/>
                <w:sz w:val="20"/>
              </w:rPr>
              <w:t> </w:t>
            </w:r>
            <w:r>
              <w:rPr>
                <w:sz w:val="20"/>
              </w:rPr>
              <w:t>of</w:t>
            </w:r>
            <w:r>
              <w:rPr>
                <w:spacing w:val="-8"/>
                <w:sz w:val="20"/>
              </w:rPr>
              <w:t> </w:t>
            </w:r>
            <w:r>
              <w:rPr>
                <w:sz w:val="20"/>
              </w:rPr>
              <w:t>living</w:t>
            </w:r>
            <w:r>
              <w:rPr>
                <w:spacing w:val="-7"/>
                <w:sz w:val="20"/>
              </w:rPr>
              <w:t> </w:t>
            </w:r>
            <w:r>
              <w:rPr>
                <w:sz w:val="20"/>
              </w:rPr>
              <w:t>of residents</w:t>
            </w:r>
            <w:r>
              <w:rPr>
                <w:spacing w:val="-5"/>
                <w:sz w:val="20"/>
              </w:rPr>
              <w:t> </w:t>
            </w:r>
            <w:r>
              <w:rPr>
                <w:sz w:val="20"/>
              </w:rPr>
              <w:t>of</w:t>
            </w:r>
            <w:r>
              <w:rPr>
                <w:spacing w:val="-6"/>
                <w:sz w:val="20"/>
              </w:rPr>
              <w:t> </w:t>
            </w:r>
            <w:r>
              <w:rPr>
                <w:sz w:val="20"/>
              </w:rPr>
              <w:t>public</w:t>
            </w:r>
            <w:r>
              <w:rPr>
                <w:spacing w:val="-4"/>
                <w:sz w:val="20"/>
              </w:rPr>
              <w:t> </w:t>
            </w:r>
            <w:r>
              <w:rPr>
                <w:sz w:val="20"/>
              </w:rPr>
              <w:t>housing</w:t>
            </w:r>
            <w:r>
              <w:rPr>
                <w:spacing w:val="-5"/>
                <w:sz w:val="20"/>
              </w:rPr>
              <w:t> </w:t>
            </w:r>
            <w:r>
              <w:rPr>
                <w:sz w:val="20"/>
              </w:rPr>
              <w:t>in</w:t>
            </w:r>
            <w:r>
              <w:rPr>
                <w:spacing w:val="-3"/>
                <w:sz w:val="20"/>
              </w:rPr>
              <w:t> </w:t>
            </w:r>
            <w:r>
              <w:rPr>
                <w:sz w:val="20"/>
              </w:rPr>
              <w:t>the</w:t>
            </w:r>
            <w:r>
              <w:rPr>
                <w:spacing w:val="-4"/>
                <w:sz w:val="20"/>
              </w:rPr>
              <w:t> </w:t>
            </w:r>
            <w:r>
              <w:rPr>
                <w:spacing w:val="-2"/>
                <w:sz w:val="20"/>
              </w:rPr>
              <w:t>State.</w:t>
            </w:r>
          </w:p>
          <w:p>
            <w:pPr>
              <w:pStyle w:val="TableParagraph"/>
              <w:spacing w:before="47"/>
              <w:ind w:left="107"/>
              <w:rPr>
                <w:sz w:val="20"/>
              </w:rPr>
            </w:pPr>
            <w:r>
              <w:rPr>
                <w:sz w:val="20"/>
              </w:rPr>
              <w:t>To</w:t>
            </w:r>
            <w:r>
              <w:rPr>
                <w:spacing w:val="-8"/>
                <w:sz w:val="20"/>
              </w:rPr>
              <w:t> </w:t>
            </w:r>
            <w:r>
              <w:rPr>
                <w:sz w:val="20"/>
              </w:rPr>
              <w:t>provide</w:t>
            </w:r>
            <w:r>
              <w:rPr>
                <w:spacing w:val="-7"/>
                <w:sz w:val="20"/>
              </w:rPr>
              <w:t> </w:t>
            </w:r>
            <w:r>
              <w:rPr>
                <w:sz w:val="20"/>
              </w:rPr>
              <w:t>………</w:t>
            </w:r>
            <w:r>
              <w:rPr>
                <w:spacing w:val="-7"/>
                <w:sz w:val="20"/>
              </w:rPr>
              <w:t> </w:t>
            </w:r>
            <w:r>
              <w:rPr>
                <w:sz w:val="20"/>
              </w:rPr>
              <w:t>number</w:t>
            </w:r>
            <w:r>
              <w:rPr>
                <w:spacing w:val="-6"/>
                <w:sz w:val="20"/>
              </w:rPr>
              <w:t> </w:t>
            </w:r>
            <w:r>
              <w:rPr>
                <w:sz w:val="20"/>
              </w:rPr>
              <w:t>of</w:t>
            </w:r>
            <w:r>
              <w:rPr>
                <w:spacing w:val="-4"/>
                <w:sz w:val="20"/>
              </w:rPr>
              <w:t> </w:t>
            </w:r>
            <w:r>
              <w:rPr>
                <w:sz w:val="20"/>
              </w:rPr>
              <w:t>housing</w:t>
            </w:r>
            <w:r>
              <w:rPr>
                <w:spacing w:val="-8"/>
                <w:sz w:val="20"/>
              </w:rPr>
              <w:t> </w:t>
            </w:r>
            <w:r>
              <w:rPr>
                <w:sz w:val="20"/>
              </w:rPr>
              <w:t>units between 2011 and</w:t>
            </w:r>
            <w:r>
              <w:rPr>
                <w:spacing w:val="40"/>
                <w:sz w:val="20"/>
              </w:rPr>
              <w:t> </w:t>
            </w:r>
            <w:r>
              <w:rPr>
                <w:sz w:val="20"/>
              </w:rPr>
              <w:t>2019.</w:t>
            </w:r>
          </w:p>
        </w:tc>
        <w:tc>
          <w:tcPr>
            <w:tcW w:w="3259" w:type="dxa"/>
          </w:tcPr>
          <w:p>
            <w:pPr>
              <w:pStyle w:val="TableParagraph"/>
              <w:ind w:left="108" w:right="189"/>
              <w:rPr>
                <w:sz w:val="20"/>
              </w:rPr>
            </w:pPr>
            <w:r>
              <w:rPr>
                <w:sz w:val="20"/>
              </w:rPr>
              <w:t>Public</w:t>
            </w:r>
            <w:r>
              <w:rPr>
                <w:spacing w:val="-13"/>
                <w:sz w:val="20"/>
              </w:rPr>
              <w:t> </w:t>
            </w:r>
            <w:r>
              <w:rPr>
                <w:sz w:val="20"/>
              </w:rPr>
              <w:t>housing</w:t>
            </w:r>
            <w:r>
              <w:rPr>
                <w:spacing w:val="-12"/>
                <w:sz w:val="20"/>
              </w:rPr>
              <w:t> </w:t>
            </w:r>
            <w:r>
              <w:rPr>
                <w:sz w:val="20"/>
              </w:rPr>
              <w:t>organizations‘ capacity in public housing</w:t>
            </w:r>
          </w:p>
          <w:p>
            <w:pPr>
              <w:pStyle w:val="TableParagraph"/>
              <w:spacing w:before="178"/>
              <w:ind w:left="108"/>
              <w:rPr>
                <w:sz w:val="20"/>
              </w:rPr>
            </w:pPr>
            <w:r>
              <w:rPr>
                <w:sz w:val="20"/>
              </w:rPr>
              <w:t>Public-Private</w:t>
            </w:r>
            <w:r>
              <w:rPr>
                <w:spacing w:val="-13"/>
                <w:sz w:val="20"/>
              </w:rPr>
              <w:t> </w:t>
            </w:r>
            <w:r>
              <w:rPr>
                <w:sz w:val="20"/>
              </w:rPr>
              <w:t>Partnership</w:t>
            </w:r>
            <w:r>
              <w:rPr>
                <w:spacing w:val="-12"/>
                <w:sz w:val="20"/>
              </w:rPr>
              <w:t> </w:t>
            </w:r>
            <w:r>
              <w:rPr>
                <w:sz w:val="20"/>
              </w:rPr>
              <w:t>housing delivery strategy</w:t>
            </w:r>
          </w:p>
          <w:p>
            <w:pPr>
              <w:pStyle w:val="TableParagraph"/>
              <w:spacing w:before="184"/>
              <w:ind w:left="108" w:right="189"/>
              <w:rPr>
                <w:sz w:val="20"/>
              </w:rPr>
            </w:pPr>
            <w:r>
              <w:rPr>
                <w:sz w:val="20"/>
              </w:rPr>
              <w:t>Tenure status of respondents Housing</w:t>
            </w:r>
            <w:r>
              <w:rPr>
                <w:spacing w:val="-13"/>
                <w:sz w:val="20"/>
              </w:rPr>
              <w:t> </w:t>
            </w:r>
            <w:r>
              <w:rPr>
                <w:sz w:val="20"/>
              </w:rPr>
              <w:t>affordability</w:t>
            </w:r>
            <w:r>
              <w:rPr>
                <w:spacing w:val="-12"/>
                <w:sz w:val="20"/>
              </w:rPr>
              <w:t> </w:t>
            </w:r>
            <w:r>
              <w:rPr>
                <w:sz w:val="20"/>
              </w:rPr>
              <w:t>among</w:t>
            </w:r>
            <w:r>
              <w:rPr>
                <w:spacing w:val="-13"/>
                <w:sz w:val="20"/>
              </w:rPr>
              <w:t> </w:t>
            </w:r>
            <w:r>
              <w:rPr>
                <w:sz w:val="20"/>
              </w:rPr>
              <w:t>target </w:t>
            </w:r>
            <w:r>
              <w:rPr>
                <w:spacing w:val="-2"/>
                <w:sz w:val="20"/>
              </w:rPr>
              <w:t>population</w:t>
            </w:r>
          </w:p>
          <w:p>
            <w:pPr>
              <w:pStyle w:val="TableParagraph"/>
              <w:spacing w:before="229"/>
              <w:ind w:left="108"/>
              <w:rPr>
                <w:sz w:val="20"/>
              </w:rPr>
            </w:pPr>
            <w:r>
              <w:rPr>
                <w:sz w:val="20"/>
              </w:rPr>
              <w:t>Provision</w:t>
            </w:r>
            <w:r>
              <w:rPr>
                <w:spacing w:val="-13"/>
                <w:sz w:val="20"/>
              </w:rPr>
              <w:t> </w:t>
            </w:r>
            <w:r>
              <w:rPr>
                <w:sz w:val="20"/>
              </w:rPr>
              <w:t>of</w:t>
            </w:r>
            <w:r>
              <w:rPr>
                <w:spacing w:val="-12"/>
                <w:sz w:val="20"/>
              </w:rPr>
              <w:t> </w:t>
            </w:r>
            <w:r>
              <w:rPr>
                <w:sz w:val="20"/>
              </w:rPr>
              <w:t>housing</w:t>
            </w:r>
            <w:r>
              <w:rPr>
                <w:spacing w:val="-13"/>
                <w:sz w:val="20"/>
              </w:rPr>
              <w:t> </w:t>
            </w:r>
            <w:r>
              <w:rPr>
                <w:sz w:val="20"/>
              </w:rPr>
              <w:t>services, infrastructure and access to neighbourhood facilities</w:t>
            </w:r>
          </w:p>
          <w:p>
            <w:pPr>
              <w:pStyle w:val="TableParagraph"/>
              <w:spacing w:before="2"/>
              <w:rPr>
                <w:sz w:val="20"/>
              </w:rPr>
            </w:pPr>
          </w:p>
          <w:p>
            <w:pPr>
              <w:pStyle w:val="TableParagraph"/>
              <w:ind w:left="108" w:right="1273"/>
              <w:rPr>
                <w:sz w:val="20"/>
              </w:rPr>
            </w:pPr>
            <w:r>
              <w:rPr>
                <w:sz w:val="20"/>
              </w:rPr>
              <w:t>Housing adequacy Residential</w:t>
            </w:r>
            <w:r>
              <w:rPr>
                <w:spacing w:val="-13"/>
                <w:sz w:val="20"/>
              </w:rPr>
              <w:t> </w:t>
            </w:r>
            <w:r>
              <w:rPr>
                <w:sz w:val="20"/>
              </w:rPr>
              <w:t>satisfaction</w:t>
            </w:r>
          </w:p>
          <w:p>
            <w:pPr>
              <w:pStyle w:val="TableParagraph"/>
              <w:spacing w:before="68"/>
              <w:ind w:left="108"/>
              <w:rPr>
                <w:sz w:val="20"/>
              </w:rPr>
            </w:pPr>
            <w:r>
              <w:rPr>
                <w:sz w:val="20"/>
              </w:rPr>
              <w:t>Residents‘</w:t>
            </w:r>
            <w:r>
              <w:rPr>
                <w:spacing w:val="-12"/>
                <w:sz w:val="20"/>
              </w:rPr>
              <w:t> </w:t>
            </w:r>
            <w:r>
              <w:rPr>
                <w:sz w:val="20"/>
              </w:rPr>
              <w:t>satisfaction</w:t>
            </w:r>
            <w:r>
              <w:rPr>
                <w:spacing w:val="-9"/>
                <w:sz w:val="20"/>
              </w:rPr>
              <w:t> </w:t>
            </w:r>
            <w:r>
              <w:rPr>
                <w:sz w:val="20"/>
              </w:rPr>
              <w:t>with</w:t>
            </w:r>
            <w:r>
              <w:rPr>
                <w:spacing w:val="-12"/>
                <w:sz w:val="20"/>
              </w:rPr>
              <w:t> </w:t>
            </w:r>
            <w:r>
              <w:rPr>
                <w:sz w:val="20"/>
              </w:rPr>
              <w:t>life</w:t>
            </w:r>
            <w:r>
              <w:rPr>
                <w:spacing w:val="-10"/>
                <w:sz w:val="20"/>
              </w:rPr>
              <w:t> </w:t>
            </w:r>
            <w:r>
              <w:rPr>
                <w:sz w:val="20"/>
              </w:rPr>
              <w:t>in public housing estates</w:t>
            </w:r>
          </w:p>
          <w:p>
            <w:pPr>
              <w:pStyle w:val="TableParagraph"/>
              <w:spacing w:before="47"/>
              <w:ind w:left="108"/>
              <w:rPr>
                <w:sz w:val="20"/>
              </w:rPr>
            </w:pPr>
            <w:r>
              <w:rPr>
                <w:sz w:val="20"/>
              </w:rPr>
              <w:t>Less</w:t>
            </w:r>
            <w:r>
              <w:rPr>
                <w:spacing w:val="-6"/>
                <w:sz w:val="20"/>
              </w:rPr>
              <w:t> </w:t>
            </w:r>
            <w:r>
              <w:rPr>
                <w:sz w:val="20"/>
              </w:rPr>
              <w:t>that</w:t>
            </w:r>
            <w:r>
              <w:rPr>
                <w:spacing w:val="-5"/>
                <w:sz w:val="20"/>
              </w:rPr>
              <w:t> </w:t>
            </w:r>
            <w:r>
              <w:rPr>
                <w:sz w:val="20"/>
              </w:rPr>
              <w:t>………</w:t>
            </w:r>
            <w:r>
              <w:rPr>
                <w:spacing w:val="-3"/>
                <w:sz w:val="20"/>
              </w:rPr>
              <w:t> </w:t>
            </w:r>
            <w:r>
              <w:rPr>
                <w:sz w:val="20"/>
              </w:rPr>
              <w:t>number</w:t>
            </w:r>
            <w:r>
              <w:rPr>
                <w:spacing w:val="-3"/>
                <w:sz w:val="20"/>
              </w:rPr>
              <w:t> </w:t>
            </w:r>
            <w:r>
              <w:rPr>
                <w:sz w:val="20"/>
              </w:rPr>
              <w:t>of</w:t>
            </w:r>
            <w:r>
              <w:rPr>
                <w:spacing w:val="-4"/>
                <w:sz w:val="20"/>
              </w:rPr>
              <w:t> </w:t>
            </w:r>
            <w:r>
              <w:rPr>
                <w:spacing w:val="-2"/>
                <w:sz w:val="20"/>
              </w:rPr>
              <w:t>housing</w:t>
            </w:r>
          </w:p>
          <w:p>
            <w:pPr>
              <w:pStyle w:val="TableParagraph"/>
              <w:spacing w:line="228" w:lineRule="exact"/>
              <w:ind w:left="108" w:right="189"/>
              <w:rPr>
                <w:sz w:val="20"/>
              </w:rPr>
            </w:pPr>
            <w:r>
              <w:rPr>
                <w:sz w:val="20"/>
              </w:rPr>
              <w:t>units</w:t>
            </w:r>
            <w:r>
              <w:rPr>
                <w:spacing w:val="-12"/>
                <w:sz w:val="20"/>
              </w:rPr>
              <w:t> </w:t>
            </w:r>
            <w:r>
              <w:rPr>
                <w:sz w:val="20"/>
              </w:rPr>
              <w:t>provided</w:t>
            </w:r>
            <w:r>
              <w:rPr>
                <w:spacing w:val="-11"/>
                <w:sz w:val="20"/>
              </w:rPr>
              <w:t> </w:t>
            </w:r>
            <w:r>
              <w:rPr>
                <w:sz w:val="20"/>
              </w:rPr>
              <w:t>between</w:t>
            </w:r>
            <w:r>
              <w:rPr>
                <w:spacing w:val="-12"/>
                <w:sz w:val="20"/>
              </w:rPr>
              <w:t> </w:t>
            </w:r>
            <w:r>
              <w:rPr>
                <w:sz w:val="20"/>
              </w:rPr>
              <w:t>2011</w:t>
            </w:r>
            <w:r>
              <w:rPr>
                <w:spacing w:val="-11"/>
                <w:sz w:val="20"/>
              </w:rPr>
              <w:t> </w:t>
            </w:r>
            <w:r>
              <w:rPr>
                <w:sz w:val="20"/>
              </w:rPr>
              <w:t>and </w:t>
            </w:r>
            <w:r>
              <w:rPr>
                <w:spacing w:val="-2"/>
                <w:sz w:val="20"/>
              </w:rPr>
              <w:t>2016.</w:t>
            </w:r>
          </w:p>
        </w:tc>
        <w:tc>
          <w:tcPr>
            <w:tcW w:w="2340" w:type="dxa"/>
          </w:tcPr>
          <w:p>
            <w:pPr>
              <w:pStyle w:val="TableParagraph"/>
              <w:rPr>
                <w:sz w:val="22"/>
              </w:rPr>
            </w:pPr>
          </w:p>
        </w:tc>
      </w:tr>
    </w:tbl>
    <w:p>
      <w:pPr>
        <w:spacing w:before="0"/>
        <w:ind w:left="240" w:right="0" w:firstLine="0"/>
        <w:jc w:val="both"/>
        <w:rPr>
          <w:sz w:val="24"/>
        </w:rPr>
      </w:pPr>
      <w:r>
        <w:rPr>
          <w:b/>
          <w:sz w:val="24"/>
        </w:rPr>
        <w:t>Source:</w:t>
      </w:r>
      <w:r>
        <w:rPr>
          <w:b/>
          <w:spacing w:val="-2"/>
          <w:sz w:val="24"/>
        </w:rPr>
        <w:t> </w:t>
      </w:r>
      <w:r>
        <w:rPr>
          <w:sz w:val="24"/>
        </w:rPr>
        <w:t>McKinsey</w:t>
      </w:r>
      <w:r>
        <w:rPr>
          <w:spacing w:val="-3"/>
          <w:sz w:val="24"/>
        </w:rPr>
        <w:t> </w:t>
      </w:r>
      <w:r>
        <w:rPr>
          <w:spacing w:val="-2"/>
          <w:sz w:val="24"/>
        </w:rPr>
        <w:t>(2011)</w:t>
      </w:r>
    </w:p>
    <w:p>
      <w:pPr>
        <w:spacing w:after="0"/>
        <w:jc w:val="both"/>
        <w:rPr>
          <w:sz w:val="24"/>
        </w:rPr>
        <w:sectPr>
          <w:pgSz w:w="12240" w:h="15840"/>
          <w:pgMar w:header="0" w:footer="1036" w:top="1360" w:bottom="1220" w:left="1200" w:right="600"/>
        </w:sectPr>
      </w:pPr>
    </w:p>
    <w:p>
      <w:pPr>
        <w:pStyle w:val="Heading4"/>
        <w:numPr>
          <w:ilvl w:val="2"/>
          <w:numId w:val="27"/>
        </w:numPr>
        <w:tabs>
          <w:tab w:pos="900" w:val="left" w:leader="none"/>
        </w:tabs>
        <w:spacing w:line="240" w:lineRule="auto" w:before="79" w:after="0"/>
        <w:ind w:left="900" w:right="0" w:hanging="660"/>
        <w:jc w:val="both"/>
      </w:pPr>
      <w:r>
        <w:rPr/>
        <w:t>Housing</w:t>
      </w:r>
      <w:r>
        <w:rPr>
          <w:spacing w:val="-2"/>
        </w:rPr>
        <w:t> </w:t>
      </w:r>
      <w:r>
        <w:rPr/>
        <w:t>Needs,</w:t>
      </w:r>
      <w:r>
        <w:rPr>
          <w:spacing w:val="-4"/>
        </w:rPr>
        <w:t> </w:t>
      </w:r>
      <w:r>
        <w:rPr/>
        <w:t>Demand</w:t>
      </w:r>
      <w:r>
        <w:rPr>
          <w:spacing w:val="-1"/>
        </w:rPr>
        <w:t> </w:t>
      </w:r>
      <w:r>
        <w:rPr/>
        <w:t>and</w:t>
      </w:r>
      <w:r>
        <w:rPr>
          <w:spacing w:val="-1"/>
        </w:rPr>
        <w:t> </w:t>
      </w:r>
      <w:r>
        <w:rPr/>
        <w:t>Supply</w:t>
      </w:r>
      <w:r>
        <w:rPr>
          <w:spacing w:val="-3"/>
        </w:rPr>
        <w:t> </w:t>
      </w:r>
      <w:r>
        <w:rPr/>
        <w:t>in</w:t>
      </w:r>
      <w:r>
        <w:rPr>
          <w:spacing w:val="-3"/>
        </w:rPr>
        <w:t> </w:t>
      </w:r>
      <w:r>
        <w:rPr>
          <w:spacing w:val="-2"/>
        </w:rPr>
        <w:t>Nigeria</w:t>
      </w:r>
    </w:p>
    <w:p>
      <w:pPr>
        <w:pStyle w:val="BodyText"/>
        <w:spacing w:line="360" w:lineRule="auto" w:before="132"/>
        <w:ind w:left="240" w:right="838"/>
        <w:jc w:val="both"/>
      </w:pPr>
      <w:r>
        <w:rPr/>
        <w:t>Nubi (2008) stresses that housing is a priority for the attainment of living standard and it is important to both rural and urban areas. These attribute make demand for housing to know no bound as population growth and urbanization are increase very rapidly and the gap between housing need and supply becomes widen. This housing deficit has continued to accumulate over the years as a result of poor housing policy implementation by successive governments in Nigeria. Onu and Onu (2012) corroborate this assertion by stating that the consequences of migration from rural areas to urban centers has been increasing at an alarming rate and this has resulted in the increase in housing demand in most of our urban centers in Nigeria. The rate of urbanisation in Nigeria has increased remarkably since the oil boom period which has consequently led to an unprecedented increase in population and resulting in high demand in housing. Sadly, the efforts of the government at all levels (Federal, State and Local) in making provision for adequate housing units for the Nigerian populace are yet to be fruitful (Israel and Bashiru, 2008).</w:t>
      </w:r>
    </w:p>
    <w:p>
      <w:pPr>
        <w:pStyle w:val="BodyText"/>
        <w:spacing w:before="2"/>
      </w:pPr>
    </w:p>
    <w:p>
      <w:pPr>
        <w:pStyle w:val="BodyText"/>
        <w:spacing w:line="360" w:lineRule="auto" w:before="1"/>
        <w:ind w:left="240" w:right="837"/>
        <w:jc w:val="both"/>
      </w:pPr>
      <w:r>
        <w:rPr/>
        <w:t>It is pertinent to note that housing</w:t>
      </w:r>
      <w:r>
        <w:rPr>
          <w:spacing w:val="-1"/>
        </w:rPr>
        <w:t> </w:t>
      </w:r>
      <w:r>
        <w:rPr/>
        <w:t>need relates to social housing</w:t>
      </w:r>
      <w:r>
        <w:rPr>
          <w:spacing w:val="-1"/>
        </w:rPr>
        <w:t> </w:t>
      </w:r>
      <w:r>
        <w:rPr/>
        <w:t>while housing</w:t>
      </w:r>
      <w:r>
        <w:rPr>
          <w:spacing w:val="-1"/>
        </w:rPr>
        <w:t> </w:t>
      </w:r>
      <w:r>
        <w:rPr/>
        <w:t>demand is related to private housing (Alison, 2004). Effective housing demand is different from Desire housing demand. Effective housing demand can be explained as a desire to buy</w:t>
      </w:r>
      <w:r>
        <w:rPr>
          <w:spacing w:val="-2"/>
        </w:rPr>
        <w:t> </w:t>
      </w:r>
      <w:r>
        <w:rPr/>
        <w:t>a house that is backed up with an ability to pay for it. On the other hand, Desire housing demand can be termed to be willingness to buy the house with the consumer‘s lack of the purchasing power to be able to buy the house. Until there is purchasing power in terms of money to buy the housing unit, such housing demand has not become effective housing demand. According to Maclennan </w:t>
      </w:r>
      <w:r>
        <w:rPr>
          <w:i/>
        </w:rPr>
        <w:t>et al. </w:t>
      </w:r>
      <w:r>
        <w:rPr/>
        <w:t>(1998) consumer housing demand for owner occupation, low cost home ownership options and housing affordability as ways of analysing the effectiveness of a housing market system.</w:t>
      </w:r>
    </w:p>
    <w:p>
      <w:pPr>
        <w:pStyle w:val="BodyText"/>
        <w:spacing w:before="69"/>
      </w:pPr>
    </w:p>
    <w:p>
      <w:pPr>
        <w:pStyle w:val="BodyText"/>
        <w:spacing w:line="360" w:lineRule="auto"/>
        <w:ind w:left="240" w:right="837"/>
        <w:jc w:val="both"/>
      </w:pPr>
      <w:r>
        <w:rPr/>
        <w:t>Bourne and Hitchcock (1978) opine that the main determinant of the housing demand is household</w:t>
      </w:r>
      <w:r>
        <w:rPr>
          <w:spacing w:val="-3"/>
        </w:rPr>
        <w:t> </w:t>
      </w:r>
      <w:r>
        <w:rPr/>
        <w:t>composition</w:t>
      </w:r>
      <w:r>
        <w:rPr>
          <w:spacing w:val="-3"/>
        </w:rPr>
        <w:t> </w:t>
      </w:r>
      <w:r>
        <w:rPr/>
        <w:t>while</w:t>
      </w:r>
      <w:r>
        <w:rPr>
          <w:spacing w:val="-3"/>
        </w:rPr>
        <w:t> </w:t>
      </w:r>
      <w:r>
        <w:rPr/>
        <w:t>other</w:t>
      </w:r>
      <w:r>
        <w:rPr>
          <w:spacing w:val="-2"/>
        </w:rPr>
        <w:t> </w:t>
      </w:r>
      <w:r>
        <w:rPr/>
        <w:t>factors</w:t>
      </w:r>
      <w:r>
        <w:rPr>
          <w:spacing w:val="-1"/>
        </w:rPr>
        <w:t> </w:t>
      </w:r>
      <w:r>
        <w:rPr/>
        <w:t>such</w:t>
      </w:r>
      <w:r>
        <w:rPr>
          <w:spacing w:val="-2"/>
        </w:rPr>
        <w:t> </w:t>
      </w:r>
      <w:r>
        <w:rPr/>
        <w:t>as</w:t>
      </w:r>
      <w:r>
        <w:rPr>
          <w:spacing w:val="-3"/>
        </w:rPr>
        <w:t> </w:t>
      </w:r>
      <w:r>
        <w:rPr/>
        <w:t>income,</w:t>
      </w:r>
      <w:r>
        <w:rPr>
          <w:spacing w:val="-4"/>
        </w:rPr>
        <w:t> </w:t>
      </w:r>
      <w:r>
        <w:rPr/>
        <w:t>price</w:t>
      </w:r>
      <w:r>
        <w:rPr>
          <w:spacing w:val="-4"/>
        </w:rPr>
        <w:t> </w:t>
      </w:r>
      <w:r>
        <w:rPr/>
        <w:t>of</w:t>
      </w:r>
      <w:r>
        <w:rPr>
          <w:spacing w:val="-3"/>
        </w:rPr>
        <w:t> </w:t>
      </w:r>
      <w:r>
        <w:rPr/>
        <w:t>housing,</w:t>
      </w:r>
      <w:r>
        <w:rPr>
          <w:spacing w:val="-1"/>
        </w:rPr>
        <w:t> </w:t>
      </w:r>
      <w:r>
        <w:rPr/>
        <w:t>cost</w:t>
      </w:r>
      <w:r>
        <w:rPr>
          <w:spacing w:val="-3"/>
        </w:rPr>
        <w:t> </w:t>
      </w:r>
      <w:r>
        <w:rPr/>
        <w:t>and</w:t>
      </w:r>
      <w:r>
        <w:rPr>
          <w:spacing w:val="-2"/>
        </w:rPr>
        <w:t> </w:t>
      </w:r>
      <w:r>
        <w:rPr/>
        <w:t>availability of credit, consumer preferences, investor preferences, prices of the substitutes and price of the complement also play a role.</w:t>
      </w:r>
      <w:r>
        <w:rPr>
          <w:spacing w:val="40"/>
        </w:rPr>
        <w:t> </w:t>
      </w:r>
      <w:r>
        <w:rPr/>
        <w:t>Housing demand in urban centres is a manifestation and reflection of different household desires to live in an urban centre (Todd, 2007, Akinyode and Tareef, 2013). Various reasons have been attributed to an increasing taste for urban living and these reasons</w:t>
      </w:r>
      <w:r>
        <w:rPr>
          <w:spacing w:val="44"/>
        </w:rPr>
        <w:t>  </w:t>
      </w:r>
      <w:r>
        <w:rPr/>
        <w:t>include:</w:t>
      </w:r>
      <w:r>
        <w:rPr>
          <w:spacing w:val="46"/>
        </w:rPr>
        <w:t>  </w:t>
      </w:r>
      <w:r>
        <w:rPr/>
        <w:t>employment</w:t>
      </w:r>
      <w:r>
        <w:rPr>
          <w:spacing w:val="46"/>
        </w:rPr>
        <w:t>  </w:t>
      </w:r>
      <w:r>
        <w:rPr/>
        <w:t>opportunity,</w:t>
      </w:r>
      <w:r>
        <w:rPr>
          <w:spacing w:val="47"/>
        </w:rPr>
        <w:t>  </w:t>
      </w:r>
      <w:r>
        <w:rPr/>
        <w:t>urban</w:t>
      </w:r>
      <w:r>
        <w:rPr>
          <w:spacing w:val="46"/>
        </w:rPr>
        <w:t>  </w:t>
      </w:r>
      <w:r>
        <w:rPr/>
        <w:t>amenities</w:t>
      </w:r>
      <w:r>
        <w:rPr>
          <w:spacing w:val="46"/>
        </w:rPr>
        <w:t>  </w:t>
      </w:r>
      <w:r>
        <w:rPr/>
        <w:t>and</w:t>
      </w:r>
      <w:r>
        <w:rPr>
          <w:spacing w:val="46"/>
        </w:rPr>
        <w:t>  </w:t>
      </w:r>
      <w:r>
        <w:rPr/>
        <w:t>utilities</w:t>
      </w:r>
      <w:r>
        <w:rPr>
          <w:spacing w:val="47"/>
        </w:rPr>
        <w:t>  </w:t>
      </w:r>
      <w:r>
        <w:rPr>
          <w:spacing w:val="-2"/>
        </w:rPr>
        <w:t>consumption</w:t>
      </w:r>
    </w:p>
    <w:p>
      <w:pPr>
        <w:spacing w:after="0" w:line="360" w:lineRule="auto"/>
        <w:jc w:val="both"/>
        <w:sectPr>
          <w:pgSz w:w="12240" w:h="15840"/>
          <w:pgMar w:header="0" w:footer="1036" w:top="1360" w:bottom="1220" w:left="1200" w:right="600"/>
        </w:sectPr>
      </w:pPr>
    </w:p>
    <w:p>
      <w:pPr>
        <w:pStyle w:val="BodyText"/>
        <w:spacing w:line="360" w:lineRule="auto" w:before="74"/>
        <w:ind w:left="240" w:right="838"/>
        <w:jc w:val="both"/>
      </w:pPr>
      <w:r>
        <w:rPr/>
        <w:t>opportunities. This situation has consequently led to housing shortage and most people are also found living in indecent buildings (Olayiwola </w:t>
      </w:r>
      <w:r>
        <w:rPr>
          <w:i/>
        </w:rPr>
        <w:t>et al</w:t>
      </w:r>
      <w:r>
        <w:rPr/>
        <w:t>., 2005) due to their socio-economic background which cannot cope with ever increasing prices of decent houses.</w:t>
      </w:r>
    </w:p>
    <w:p>
      <w:pPr>
        <w:pStyle w:val="BodyText"/>
        <w:spacing w:before="138"/>
      </w:pPr>
    </w:p>
    <w:p>
      <w:pPr>
        <w:pStyle w:val="BodyText"/>
        <w:spacing w:line="360" w:lineRule="auto" w:before="1"/>
        <w:ind w:left="240" w:right="835"/>
        <w:jc w:val="both"/>
      </w:pPr>
      <w:r>
        <w:rPr/>
        <w:t>Supply of housing units in Nigeria can be viewed from the formal and the informal sectors as shown in Table 3.7. The formal refers to supply</w:t>
      </w:r>
      <w:r>
        <w:rPr>
          <w:spacing w:val="-3"/>
        </w:rPr>
        <w:t> </w:t>
      </w:r>
      <w:r>
        <w:rPr/>
        <w:t>from the private sector and the various elements of</w:t>
      </w:r>
      <w:r>
        <w:rPr>
          <w:spacing w:val="-1"/>
        </w:rPr>
        <w:t> </w:t>
      </w:r>
      <w:r>
        <w:rPr/>
        <w:t>the</w:t>
      </w:r>
      <w:r>
        <w:rPr>
          <w:spacing w:val="-1"/>
        </w:rPr>
        <w:t> </w:t>
      </w:r>
      <w:r>
        <w:rPr/>
        <w:t>public</w:t>
      </w:r>
      <w:r>
        <w:rPr>
          <w:spacing w:val="-1"/>
        </w:rPr>
        <w:t> </w:t>
      </w:r>
      <w:r>
        <w:rPr/>
        <w:t>sector.</w:t>
      </w:r>
      <w:r>
        <w:rPr>
          <w:spacing w:val="-1"/>
        </w:rPr>
        <w:t> </w:t>
      </w:r>
      <w:r>
        <w:rPr/>
        <w:t>Okupe</w:t>
      </w:r>
      <w:r>
        <w:rPr>
          <w:spacing w:val="-1"/>
        </w:rPr>
        <w:t> </w:t>
      </w:r>
      <w:r>
        <w:rPr/>
        <w:t>(2000)</w:t>
      </w:r>
      <w:r>
        <w:rPr>
          <w:spacing w:val="-1"/>
        </w:rPr>
        <w:t> </w:t>
      </w:r>
      <w:r>
        <w:rPr/>
        <w:t>observes that the</w:t>
      </w:r>
      <w:r>
        <w:rPr>
          <w:spacing w:val="-1"/>
        </w:rPr>
        <w:t> </w:t>
      </w:r>
      <w:r>
        <w:rPr/>
        <w:t>history</w:t>
      </w:r>
      <w:r>
        <w:rPr>
          <w:spacing w:val="-5"/>
        </w:rPr>
        <w:t> </w:t>
      </w:r>
      <w:r>
        <w:rPr/>
        <w:t>of</w:t>
      </w:r>
      <w:r>
        <w:rPr>
          <w:spacing w:val="-1"/>
        </w:rPr>
        <w:t> </w:t>
      </w:r>
      <w:r>
        <w:rPr/>
        <w:t>housing</w:t>
      </w:r>
      <w:r>
        <w:rPr>
          <w:spacing w:val="-3"/>
        </w:rPr>
        <w:t> </w:t>
      </w:r>
      <w:r>
        <w:rPr/>
        <w:t>development in Nigeria</w:t>
      </w:r>
      <w:r>
        <w:rPr>
          <w:spacing w:val="-2"/>
        </w:rPr>
        <w:t> </w:t>
      </w:r>
      <w:r>
        <w:rPr/>
        <w:t>is that of the private sector driven. In short, the private sector contributes a larger proportion of housing stock in the country. This view is supported by Olusola (2002) who states that housing delivery in Nigeria is provided by either the government or private sector, but despite federal government</w:t>
      </w:r>
      <w:r>
        <w:rPr>
          <w:spacing w:val="-2"/>
        </w:rPr>
        <w:t> </w:t>
      </w:r>
      <w:r>
        <w:rPr/>
        <w:t>access</w:t>
      </w:r>
      <w:r>
        <w:rPr>
          <w:spacing w:val="-2"/>
        </w:rPr>
        <w:t> </w:t>
      </w:r>
      <w:r>
        <w:rPr/>
        <w:t>to</w:t>
      </w:r>
      <w:r>
        <w:rPr>
          <w:spacing w:val="-2"/>
        </w:rPr>
        <w:t> </w:t>
      </w:r>
      <w:r>
        <w:rPr/>
        <w:t>factors</w:t>
      </w:r>
      <w:r>
        <w:rPr>
          <w:spacing w:val="-2"/>
        </w:rPr>
        <w:t> </w:t>
      </w:r>
      <w:r>
        <w:rPr/>
        <w:t>of</w:t>
      </w:r>
      <w:r>
        <w:rPr>
          <w:spacing w:val="-3"/>
        </w:rPr>
        <w:t> </w:t>
      </w:r>
      <w:r>
        <w:rPr/>
        <w:t>housing</w:t>
      </w:r>
      <w:r>
        <w:rPr>
          <w:spacing w:val="-5"/>
        </w:rPr>
        <w:t> </w:t>
      </w:r>
      <w:r>
        <w:rPr/>
        <w:t>production, the</w:t>
      </w:r>
      <w:r>
        <w:rPr>
          <w:spacing w:val="-2"/>
        </w:rPr>
        <w:t> </w:t>
      </w:r>
      <w:r>
        <w:rPr/>
        <w:t>country</w:t>
      </w:r>
      <w:r>
        <w:rPr>
          <w:spacing w:val="-7"/>
        </w:rPr>
        <w:t> </w:t>
      </w:r>
      <w:r>
        <w:rPr/>
        <w:t>could at</w:t>
      </w:r>
      <w:r>
        <w:rPr>
          <w:spacing w:val="-2"/>
        </w:rPr>
        <w:t> </w:t>
      </w:r>
      <w:r>
        <w:rPr/>
        <w:t>best</w:t>
      </w:r>
      <w:r>
        <w:rPr>
          <w:spacing w:val="-2"/>
        </w:rPr>
        <w:t> </w:t>
      </w:r>
      <w:r>
        <w:rPr/>
        <w:t>expect</w:t>
      </w:r>
      <w:r>
        <w:rPr>
          <w:spacing w:val="-2"/>
        </w:rPr>
        <w:t> </w:t>
      </w:r>
      <w:r>
        <w:rPr/>
        <w:t>4.2</w:t>
      </w:r>
      <w:r>
        <w:rPr>
          <w:spacing w:val="-2"/>
        </w:rPr>
        <w:t> </w:t>
      </w:r>
      <w:r>
        <w:rPr/>
        <w:t>%</w:t>
      </w:r>
      <w:r>
        <w:rPr>
          <w:spacing w:val="-2"/>
        </w:rPr>
        <w:t> </w:t>
      </w:r>
      <w:r>
        <w:rPr/>
        <w:t>of</w:t>
      </w:r>
      <w:r>
        <w:rPr>
          <w:spacing w:val="-3"/>
        </w:rPr>
        <w:t> </w:t>
      </w:r>
      <w:r>
        <w:rPr/>
        <w:t>the annual requirement. Substantial contribution is still expected from other public and private sectors. It should be acknowledged that private sector developers account for most of urban housing in Nigeria (Federal Office of Statistics (FOS), 1983). Thus, various government strategies</w:t>
      </w:r>
      <w:r>
        <w:rPr>
          <w:spacing w:val="-4"/>
        </w:rPr>
        <w:t> </w:t>
      </w:r>
      <w:r>
        <w:rPr/>
        <w:t>formulated</w:t>
      </w:r>
      <w:r>
        <w:rPr>
          <w:spacing w:val="-4"/>
        </w:rPr>
        <w:t> </w:t>
      </w:r>
      <w:r>
        <w:rPr/>
        <w:t>towards</w:t>
      </w:r>
      <w:r>
        <w:rPr>
          <w:spacing w:val="-4"/>
        </w:rPr>
        <w:t> </w:t>
      </w:r>
      <w:r>
        <w:rPr/>
        <w:t>overcoming</w:t>
      </w:r>
      <w:r>
        <w:rPr>
          <w:spacing w:val="-4"/>
        </w:rPr>
        <w:t> </w:t>
      </w:r>
      <w:r>
        <w:rPr/>
        <w:t>the</w:t>
      </w:r>
      <w:r>
        <w:rPr>
          <w:spacing w:val="-4"/>
        </w:rPr>
        <w:t> </w:t>
      </w:r>
      <w:r>
        <w:rPr/>
        <w:t>enormous</w:t>
      </w:r>
      <w:r>
        <w:rPr>
          <w:spacing w:val="-4"/>
        </w:rPr>
        <w:t> </w:t>
      </w:r>
      <w:r>
        <w:rPr/>
        <w:t>shortage</w:t>
      </w:r>
      <w:r>
        <w:rPr>
          <w:spacing w:val="-5"/>
        </w:rPr>
        <w:t> </w:t>
      </w:r>
      <w:r>
        <w:rPr/>
        <w:t>through</w:t>
      </w:r>
      <w:r>
        <w:rPr>
          <w:spacing w:val="-4"/>
        </w:rPr>
        <w:t> </w:t>
      </w:r>
      <w:r>
        <w:rPr/>
        <w:t>several</w:t>
      </w:r>
      <w:r>
        <w:rPr>
          <w:spacing w:val="-4"/>
        </w:rPr>
        <w:t> </w:t>
      </w:r>
      <w:r>
        <w:rPr/>
        <w:t>housing</w:t>
      </w:r>
      <w:r>
        <w:rPr>
          <w:spacing w:val="-5"/>
        </w:rPr>
        <w:t> </w:t>
      </w:r>
      <w:r>
        <w:rPr/>
        <w:t>reform programmes, have failed and housing continues to be a mirage to the ordinary Nigerian.</w:t>
      </w:r>
    </w:p>
    <w:p>
      <w:pPr>
        <w:pStyle w:val="BodyText"/>
        <w:spacing w:before="70"/>
      </w:pPr>
    </w:p>
    <w:p>
      <w:pPr>
        <w:pStyle w:val="BodyText"/>
        <w:spacing w:line="360" w:lineRule="auto" w:before="1"/>
        <w:ind w:left="240" w:right="839"/>
        <w:jc w:val="both"/>
      </w:pPr>
      <w:r>
        <w:rPr/>
        <w:t>Consequently, Adejumo (2008) asserts that to meet ever-growing demand, Nigeria needs at least 100,000 new housing units annually. Existing housing stock in Nigeria is so dismal, yet studies show a direct correlation between affordable housing and better living standard. Estimates show that Nigeria needs an average of 1 million housing units per year not only to replenish decaying housing stock, but also to meet rising demand (Peterside, 2005).</w:t>
      </w:r>
    </w:p>
    <w:p>
      <w:pPr>
        <w:spacing w:before="272"/>
        <w:ind w:left="240" w:right="0" w:firstLine="0"/>
        <w:jc w:val="both"/>
        <w:rPr>
          <w:sz w:val="24"/>
        </w:rPr>
      </w:pPr>
      <w:r>
        <w:rPr/>
        <w:drawing>
          <wp:anchor distT="0" distB="0" distL="0" distR="0" allowOverlap="1" layoutInCell="1" locked="0" behindDoc="1" simplePos="0" relativeHeight="487595008">
            <wp:simplePos x="0" y="0"/>
            <wp:positionH relativeFrom="page">
              <wp:posOffset>933450</wp:posOffset>
            </wp:positionH>
            <wp:positionV relativeFrom="paragraph">
              <wp:posOffset>375808</wp:posOffset>
            </wp:positionV>
            <wp:extent cx="5020255" cy="1452562"/>
            <wp:effectExtent l="0" t="0" r="0" b="0"/>
            <wp:wrapTopAndBottom/>
            <wp:docPr id="128" name="Image 128"/>
            <wp:cNvGraphicFramePr>
              <a:graphicFrameLocks/>
            </wp:cNvGraphicFramePr>
            <a:graphic>
              <a:graphicData uri="http://schemas.openxmlformats.org/drawingml/2006/picture">
                <pic:pic>
                  <pic:nvPicPr>
                    <pic:cNvPr id="128" name="Image 128"/>
                    <pic:cNvPicPr/>
                  </pic:nvPicPr>
                  <pic:blipFill>
                    <a:blip r:embed="rId51" cstate="print"/>
                    <a:stretch>
                      <a:fillRect/>
                    </a:stretch>
                  </pic:blipFill>
                  <pic:spPr>
                    <a:xfrm>
                      <a:off x="0" y="0"/>
                      <a:ext cx="5020255" cy="1452562"/>
                    </a:xfrm>
                    <a:prstGeom prst="rect">
                      <a:avLst/>
                    </a:prstGeom>
                  </pic:spPr>
                </pic:pic>
              </a:graphicData>
            </a:graphic>
          </wp:anchor>
        </w:drawing>
      </w:r>
      <w:r>
        <w:rPr>
          <w:b/>
          <w:sz w:val="24"/>
        </w:rPr>
        <w:t>Table</w:t>
      </w:r>
      <w:r>
        <w:rPr>
          <w:b/>
          <w:spacing w:val="-1"/>
          <w:sz w:val="24"/>
        </w:rPr>
        <w:t> </w:t>
      </w:r>
      <w:r>
        <w:rPr>
          <w:b/>
          <w:sz w:val="24"/>
        </w:rPr>
        <w:t>3.7. </w:t>
      </w:r>
      <w:r>
        <w:rPr>
          <w:sz w:val="24"/>
        </w:rPr>
        <w:t>Suppliers</w:t>
      </w:r>
      <w:r>
        <w:rPr>
          <w:spacing w:val="-1"/>
          <w:sz w:val="24"/>
        </w:rPr>
        <w:t> </w:t>
      </w:r>
      <w:r>
        <w:rPr>
          <w:sz w:val="24"/>
        </w:rPr>
        <w:t>of</w:t>
      </w:r>
      <w:r>
        <w:rPr>
          <w:spacing w:val="-2"/>
          <w:sz w:val="24"/>
        </w:rPr>
        <w:t> </w:t>
      </w:r>
      <w:r>
        <w:rPr>
          <w:sz w:val="24"/>
        </w:rPr>
        <w:t>Housing</w:t>
      </w:r>
      <w:r>
        <w:rPr>
          <w:spacing w:val="-3"/>
          <w:sz w:val="24"/>
        </w:rPr>
        <w:t> </w:t>
      </w:r>
      <w:r>
        <w:rPr>
          <w:sz w:val="24"/>
        </w:rPr>
        <w:t>in </w:t>
      </w:r>
      <w:r>
        <w:rPr>
          <w:spacing w:val="-2"/>
          <w:sz w:val="24"/>
        </w:rPr>
        <w:t>Nigeria</w:t>
      </w:r>
    </w:p>
    <w:p>
      <w:pPr>
        <w:pStyle w:val="BodyText"/>
        <w:spacing w:before="17"/>
        <w:ind w:left="240"/>
        <w:jc w:val="both"/>
      </w:pPr>
      <w:r>
        <w:rPr/>
        <w:t>Source:</w:t>
      </w:r>
      <w:r>
        <w:rPr>
          <w:spacing w:val="-1"/>
        </w:rPr>
        <w:t> </w:t>
      </w:r>
      <w:r>
        <w:rPr/>
        <w:t>Pison</w:t>
      </w:r>
      <w:r>
        <w:rPr>
          <w:spacing w:val="-1"/>
        </w:rPr>
        <w:t> </w:t>
      </w:r>
      <w:r>
        <w:rPr/>
        <w:t>Housing</w:t>
      </w:r>
      <w:r>
        <w:rPr>
          <w:spacing w:val="-4"/>
        </w:rPr>
        <w:t> </w:t>
      </w:r>
      <w:r>
        <w:rPr/>
        <w:t>Company</w:t>
      </w:r>
      <w:r>
        <w:rPr>
          <w:spacing w:val="-5"/>
        </w:rPr>
        <w:t> </w:t>
      </w:r>
      <w:r>
        <w:rPr/>
        <w:t>(2010);</w:t>
      </w:r>
      <w:r>
        <w:rPr>
          <w:spacing w:val="-1"/>
        </w:rPr>
        <w:t> </w:t>
      </w:r>
      <w:r>
        <w:rPr/>
        <w:t>Morakinyo</w:t>
      </w:r>
      <w:r>
        <w:rPr>
          <w:spacing w:val="4"/>
        </w:rPr>
        <w:t> </w:t>
      </w:r>
      <w:r>
        <w:rPr>
          <w:i/>
        </w:rPr>
        <w:t>et</w:t>
      </w:r>
      <w:r>
        <w:rPr>
          <w:i/>
          <w:spacing w:val="-1"/>
        </w:rPr>
        <w:t> </w:t>
      </w:r>
      <w:r>
        <w:rPr>
          <w:i/>
        </w:rPr>
        <w:t>al</w:t>
      </w:r>
      <w:r>
        <w:rPr/>
        <w:t>. </w:t>
      </w:r>
      <w:r>
        <w:rPr>
          <w:spacing w:val="-2"/>
        </w:rPr>
        <w:t>(2015)</w:t>
      </w:r>
    </w:p>
    <w:p>
      <w:pPr>
        <w:spacing w:after="0"/>
        <w:jc w:val="both"/>
        <w:sectPr>
          <w:pgSz w:w="12240" w:h="15840"/>
          <w:pgMar w:header="0" w:footer="1036" w:top="1360" w:bottom="1220" w:left="1200" w:right="600"/>
        </w:sectPr>
      </w:pPr>
    </w:p>
    <w:p>
      <w:pPr>
        <w:pStyle w:val="BodyText"/>
        <w:spacing w:line="360" w:lineRule="auto" w:before="74"/>
        <w:ind w:left="240" w:right="839"/>
        <w:jc w:val="both"/>
      </w:pPr>
      <w:r>
        <w:rPr/>
        <w:t>Housing is supplied using land, labour and various inputs such as electricity and building materials. The quantity of the new supply is determined by the cost of these inputs, the price of the existing stock of houses and the technology of production. House prices and the growth rate of house price are the two measures identified by Todd (2007) of the intensity of urban housing demand.</w:t>
      </w:r>
      <w:r>
        <w:rPr>
          <w:spacing w:val="-1"/>
        </w:rPr>
        <w:t> </w:t>
      </w:r>
      <w:r>
        <w:rPr/>
        <w:t>According</w:t>
      </w:r>
      <w:r>
        <w:rPr>
          <w:spacing w:val="-3"/>
        </w:rPr>
        <w:t> </w:t>
      </w:r>
      <w:r>
        <w:rPr/>
        <w:t>to him, housing</w:t>
      </w:r>
      <w:r>
        <w:rPr>
          <w:spacing w:val="-3"/>
        </w:rPr>
        <w:t> </w:t>
      </w:r>
      <w:r>
        <w:rPr/>
        <w:t>is in inelastic</w:t>
      </w:r>
      <w:r>
        <w:rPr>
          <w:spacing w:val="-4"/>
        </w:rPr>
        <w:t> </w:t>
      </w:r>
      <w:r>
        <w:rPr/>
        <w:t>supply</w:t>
      </w:r>
      <w:r>
        <w:rPr>
          <w:spacing w:val="-8"/>
        </w:rPr>
        <w:t> </w:t>
      </w:r>
      <w:r>
        <w:rPr/>
        <w:t>in some</w:t>
      </w:r>
      <w:r>
        <w:rPr>
          <w:spacing w:val="-1"/>
        </w:rPr>
        <w:t> </w:t>
      </w:r>
      <w:r>
        <w:rPr/>
        <w:t>cities</w:t>
      </w:r>
      <w:r>
        <w:rPr>
          <w:spacing w:val="-1"/>
        </w:rPr>
        <w:t> </w:t>
      </w:r>
      <w:r>
        <w:rPr/>
        <w:t>either</w:t>
      </w:r>
      <w:r>
        <w:rPr>
          <w:spacing w:val="-1"/>
        </w:rPr>
        <w:t> </w:t>
      </w:r>
      <w:r>
        <w:rPr/>
        <w:t>through little</w:t>
      </w:r>
      <w:r>
        <w:rPr>
          <w:spacing w:val="-1"/>
        </w:rPr>
        <w:t> </w:t>
      </w:r>
      <w:r>
        <w:rPr/>
        <w:t>or</w:t>
      </w:r>
      <w:r>
        <w:rPr>
          <w:spacing w:val="-1"/>
        </w:rPr>
        <w:t> </w:t>
      </w:r>
      <w:r>
        <w:rPr/>
        <w:t>no open land, restriction of local regulations on development that make it prohibitively</w:t>
      </w:r>
      <w:r>
        <w:rPr>
          <w:spacing w:val="-5"/>
        </w:rPr>
        <w:t> </w:t>
      </w:r>
      <w:r>
        <w:rPr/>
        <w:t>expensive</w:t>
      </w:r>
      <w:r>
        <w:rPr>
          <w:spacing w:val="-1"/>
        </w:rPr>
        <w:t> </w:t>
      </w:r>
      <w:r>
        <w:rPr/>
        <w:t>or </w:t>
      </w:r>
      <w:r>
        <w:rPr>
          <w:spacing w:val="-2"/>
        </w:rPr>
        <w:t>slow.</w:t>
      </w:r>
    </w:p>
    <w:p>
      <w:pPr>
        <w:pStyle w:val="BodyText"/>
        <w:spacing w:before="35"/>
      </w:pPr>
    </w:p>
    <w:p>
      <w:pPr>
        <w:pStyle w:val="BodyText"/>
        <w:spacing w:line="360" w:lineRule="auto" w:before="1"/>
        <w:ind w:left="240" w:right="836"/>
        <w:jc w:val="both"/>
      </w:pPr>
      <w:r>
        <w:rPr/>
        <w:t>Morakinyo </w:t>
      </w:r>
      <w:r>
        <w:rPr>
          <w:i/>
        </w:rPr>
        <w:t>et al</w:t>
      </w:r>
      <w:r>
        <w:rPr/>
        <w:t>. (2015) identifies the following as the three major reasons for the inadequate housing supply in Nigeria:</w:t>
      </w:r>
      <w:r>
        <w:rPr>
          <w:spacing w:val="40"/>
        </w:rPr>
        <w:t> </w:t>
      </w:r>
      <w:r>
        <w:rPr/>
        <w:t>(i) shortage of qualified and experienced tradesmen; (ii) difficulty in acquiring land for construction and (iii) public housing not been able to meet the demand of Nigerians. Israel and Bashiru (2008) corroborate this view by stating that the materials cost of building, unbearable conditions on getting loan from the mortgage banks and government policies have been factors militating against bridging the gap in housing supply and demand. They therefore suggest the use of indigenous building materials and technology, provision of habitable houses at subsidize rate and amendment of some parts in 1978 land use act in order to assist in increasing housing delivery.</w:t>
      </w:r>
    </w:p>
    <w:p>
      <w:pPr>
        <w:pStyle w:val="BodyText"/>
        <w:spacing w:line="360" w:lineRule="auto" w:before="276"/>
        <w:ind w:left="240" w:right="836"/>
        <w:jc w:val="both"/>
      </w:pPr>
      <w:r>
        <w:rPr/>
        <w:t>Similarly, Ajanlekoko (2001) states that the Nigerian government is unable to match demand with the simultaneous provision of adequate housing and infrastructure). The factors responsible are complex, interrelated and interconnected and range from inadequate financial resources to low capacity in the public sector to implement many projects. Jambol </w:t>
      </w:r>
      <w:r>
        <w:rPr>
          <w:i/>
        </w:rPr>
        <w:t>et al</w:t>
      </w:r>
      <w:r>
        <w:rPr/>
        <w:t>. (2013) surmise the interactive issues influencing the supply of housing in Nigeria in figure 3.4.</w:t>
      </w:r>
    </w:p>
    <w:p>
      <w:pPr>
        <w:spacing w:after="0" w:line="360" w:lineRule="auto"/>
        <w:jc w:val="both"/>
        <w:sectPr>
          <w:pgSz w:w="12240" w:h="15840"/>
          <w:pgMar w:header="0" w:footer="1036" w:top="1360" w:bottom="1220" w:left="1200" w:right="600"/>
        </w:sectPr>
      </w:pPr>
    </w:p>
    <w:p>
      <w:pPr>
        <w:pStyle w:val="BodyText"/>
        <w:ind w:left="465"/>
        <w:rPr>
          <w:sz w:val="20"/>
        </w:rPr>
      </w:pPr>
      <w:r>
        <w:rPr>
          <w:sz w:val="20"/>
        </w:rPr>
        <mc:AlternateContent>
          <mc:Choice Requires="wps">
            <w:drawing>
              <wp:inline distT="0" distB="0" distL="0" distR="0">
                <wp:extent cx="5130800" cy="2665095"/>
                <wp:effectExtent l="0" t="0" r="0" b="1905"/>
                <wp:docPr id="129" name="Group 129"/>
                <wp:cNvGraphicFramePr>
                  <a:graphicFrameLocks/>
                </wp:cNvGraphicFramePr>
                <a:graphic>
                  <a:graphicData uri="http://schemas.microsoft.com/office/word/2010/wordprocessingGroup">
                    <wpg:wgp>
                      <wpg:cNvPr id="129" name="Group 129"/>
                      <wpg:cNvGrpSpPr/>
                      <wpg:grpSpPr>
                        <a:xfrm>
                          <a:off x="0" y="0"/>
                          <a:ext cx="5130800" cy="2665095"/>
                          <a:chExt cx="5130800" cy="2665095"/>
                        </a:xfrm>
                      </wpg:grpSpPr>
                      <wps:wsp>
                        <wps:cNvPr id="130" name="Graphic 130"/>
                        <wps:cNvSpPr/>
                        <wps:spPr>
                          <a:xfrm>
                            <a:off x="1756283" y="568832"/>
                            <a:ext cx="1701800" cy="1294130"/>
                          </a:xfrm>
                          <a:custGeom>
                            <a:avLst/>
                            <a:gdLst/>
                            <a:ahLst/>
                            <a:cxnLst/>
                            <a:rect l="l" t="t" r="r" b="b"/>
                            <a:pathLst>
                              <a:path w="1701800" h="1294130">
                                <a:moveTo>
                                  <a:pt x="1142492" y="1230122"/>
                                </a:moveTo>
                                <a:lnTo>
                                  <a:pt x="561467" y="1230617"/>
                                </a:lnTo>
                                <a:lnTo>
                                  <a:pt x="561467" y="1198880"/>
                                </a:lnTo>
                                <a:lnTo>
                                  <a:pt x="466217" y="1246632"/>
                                </a:lnTo>
                                <a:lnTo>
                                  <a:pt x="561467" y="1294130"/>
                                </a:lnTo>
                                <a:lnTo>
                                  <a:pt x="561467" y="1262380"/>
                                </a:lnTo>
                                <a:lnTo>
                                  <a:pt x="1142492" y="1261872"/>
                                </a:lnTo>
                                <a:lnTo>
                                  <a:pt x="1142492" y="1230122"/>
                                </a:lnTo>
                                <a:close/>
                              </a:path>
                              <a:path w="1701800" h="1294130">
                                <a:moveTo>
                                  <a:pt x="1701419" y="569468"/>
                                </a:moveTo>
                                <a:lnTo>
                                  <a:pt x="1688592" y="560197"/>
                                </a:lnTo>
                                <a:lnTo>
                                  <a:pt x="1671142" y="532003"/>
                                </a:lnTo>
                                <a:lnTo>
                                  <a:pt x="1632585" y="469646"/>
                                </a:lnTo>
                                <a:lnTo>
                                  <a:pt x="1615922" y="496620"/>
                                </a:lnTo>
                                <a:lnTo>
                                  <a:pt x="812419" y="0"/>
                                </a:lnTo>
                                <a:lnTo>
                                  <a:pt x="804037" y="13462"/>
                                </a:lnTo>
                                <a:lnTo>
                                  <a:pt x="698627" y="28194"/>
                                </a:lnTo>
                                <a:lnTo>
                                  <a:pt x="716572" y="54305"/>
                                </a:lnTo>
                                <a:lnTo>
                                  <a:pt x="0" y="547116"/>
                                </a:lnTo>
                                <a:lnTo>
                                  <a:pt x="9017" y="560197"/>
                                </a:lnTo>
                                <a:lnTo>
                                  <a:pt x="16637" y="666369"/>
                                </a:lnTo>
                                <a:lnTo>
                                  <a:pt x="43929" y="650214"/>
                                </a:lnTo>
                                <a:lnTo>
                                  <a:pt x="402463" y="1254125"/>
                                </a:lnTo>
                                <a:lnTo>
                                  <a:pt x="429641" y="1237869"/>
                                </a:lnTo>
                                <a:lnTo>
                                  <a:pt x="71208" y="634047"/>
                                </a:lnTo>
                                <a:lnTo>
                                  <a:pt x="94259" y="620395"/>
                                </a:lnTo>
                                <a:lnTo>
                                  <a:pt x="98552" y="617855"/>
                                </a:lnTo>
                                <a:lnTo>
                                  <a:pt x="23495" y="569531"/>
                                </a:lnTo>
                                <a:lnTo>
                                  <a:pt x="734580" y="80492"/>
                                </a:lnTo>
                                <a:lnTo>
                                  <a:pt x="752602" y="106680"/>
                                </a:lnTo>
                                <a:lnTo>
                                  <a:pt x="786447" y="45339"/>
                                </a:lnTo>
                                <a:lnTo>
                                  <a:pt x="796353" y="27368"/>
                                </a:lnTo>
                                <a:lnTo>
                                  <a:pt x="1599234" y="523646"/>
                                </a:lnTo>
                                <a:lnTo>
                                  <a:pt x="1582547" y="550672"/>
                                </a:lnTo>
                                <a:lnTo>
                                  <a:pt x="1670240" y="558558"/>
                                </a:lnTo>
                                <a:lnTo>
                                  <a:pt x="1234960" y="1159510"/>
                                </a:lnTo>
                                <a:lnTo>
                                  <a:pt x="1209294" y="1140968"/>
                                </a:lnTo>
                                <a:lnTo>
                                  <a:pt x="1192022" y="1245997"/>
                                </a:lnTo>
                                <a:lnTo>
                                  <a:pt x="1286510" y="1196721"/>
                                </a:lnTo>
                                <a:lnTo>
                                  <a:pt x="1278585" y="1191006"/>
                                </a:lnTo>
                                <a:lnTo>
                                  <a:pt x="1260767" y="1178140"/>
                                </a:lnTo>
                                <a:lnTo>
                                  <a:pt x="1701419" y="569468"/>
                                </a:lnTo>
                                <a:close/>
                              </a:path>
                            </a:pathLst>
                          </a:custGeom>
                          <a:solidFill>
                            <a:srgbClr val="000000"/>
                          </a:solidFill>
                        </wps:spPr>
                        <wps:bodyPr wrap="square" lIns="0" tIns="0" rIns="0" bIns="0" rtlCol="0">
                          <a:prstTxWarp prst="textNoShape">
                            <a:avLst/>
                          </a:prstTxWarp>
                          <a:noAutofit/>
                        </wps:bodyPr>
                      </wps:wsp>
                      <wps:wsp>
                        <wps:cNvPr id="131" name="Textbox 131"/>
                        <wps:cNvSpPr txBox="1"/>
                        <wps:spPr>
                          <a:xfrm>
                            <a:off x="2948304" y="1814829"/>
                            <a:ext cx="1838960" cy="834390"/>
                          </a:xfrm>
                          <a:prstGeom prst="rect">
                            <a:avLst/>
                          </a:prstGeom>
                          <a:ln w="31750">
                            <a:solidFill>
                              <a:srgbClr val="000000"/>
                            </a:solidFill>
                            <a:prstDash val="solid"/>
                          </a:ln>
                        </wps:spPr>
                        <wps:txbx>
                          <w:txbxContent>
                            <w:p>
                              <w:pPr>
                                <w:spacing w:line="240" w:lineRule="auto" w:before="67"/>
                                <w:ind w:left="157" w:right="155" w:firstLine="0"/>
                                <w:jc w:val="center"/>
                                <w:rPr>
                                  <w:sz w:val="20"/>
                                </w:rPr>
                              </w:pPr>
                              <w:r>
                                <w:rPr>
                                  <w:sz w:val="20"/>
                                </w:rPr>
                                <w:t>Administrative</w:t>
                              </w:r>
                              <w:r>
                                <w:rPr>
                                  <w:spacing w:val="-13"/>
                                  <w:sz w:val="20"/>
                                </w:rPr>
                                <w:t> </w:t>
                              </w:r>
                              <w:r>
                                <w:rPr>
                                  <w:sz w:val="20"/>
                                </w:rPr>
                                <w:t>incapacities</w:t>
                              </w:r>
                              <w:r>
                                <w:rPr>
                                  <w:spacing w:val="-13"/>
                                  <w:sz w:val="20"/>
                                </w:rPr>
                                <w:t> </w:t>
                              </w:r>
                              <w:r>
                                <w:rPr>
                                  <w:sz w:val="20"/>
                                </w:rPr>
                                <w:t>and Institutional</w:t>
                              </w:r>
                              <w:r>
                                <w:rPr>
                                  <w:spacing w:val="40"/>
                                  <w:sz w:val="20"/>
                                </w:rPr>
                                <w:t> </w:t>
                              </w:r>
                              <w:r>
                                <w:rPr>
                                  <w:sz w:val="20"/>
                                </w:rPr>
                                <w:t>restructuring due to State and Local government </w:t>
                              </w:r>
                              <w:r>
                                <w:rPr>
                                  <w:spacing w:val="-2"/>
                                  <w:sz w:val="20"/>
                                </w:rPr>
                                <w:t>creation</w:t>
                              </w:r>
                            </w:p>
                          </w:txbxContent>
                        </wps:txbx>
                        <wps:bodyPr wrap="square" lIns="0" tIns="0" rIns="0" bIns="0" rtlCol="0">
                          <a:noAutofit/>
                        </wps:bodyPr>
                      </wps:wsp>
                      <wps:wsp>
                        <wps:cNvPr id="132" name="Textbox 132"/>
                        <wps:cNvSpPr txBox="1"/>
                        <wps:spPr>
                          <a:xfrm>
                            <a:off x="274320" y="1814829"/>
                            <a:ext cx="1898014" cy="834390"/>
                          </a:xfrm>
                          <a:prstGeom prst="rect">
                            <a:avLst/>
                          </a:prstGeom>
                          <a:ln w="31750">
                            <a:solidFill>
                              <a:srgbClr val="000000"/>
                            </a:solidFill>
                            <a:prstDash val="solid"/>
                          </a:ln>
                        </wps:spPr>
                        <wps:txbx>
                          <w:txbxContent>
                            <w:p>
                              <w:pPr>
                                <w:spacing w:line="240" w:lineRule="auto" w:before="67"/>
                                <w:ind w:left="276" w:right="276" w:hanging="1"/>
                                <w:jc w:val="center"/>
                                <w:rPr>
                                  <w:sz w:val="20"/>
                                </w:rPr>
                              </w:pPr>
                              <w:r>
                                <w:rPr>
                                  <w:sz w:val="20"/>
                                </w:rPr>
                                <w:t>National Policies were legitimately</w:t>
                              </w:r>
                              <w:r>
                                <w:rPr>
                                  <w:spacing w:val="-13"/>
                                  <w:sz w:val="20"/>
                                </w:rPr>
                                <w:t> </w:t>
                              </w:r>
                              <w:r>
                                <w:rPr>
                                  <w:sz w:val="20"/>
                                </w:rPr>
                                <w:t>centralized:</w:t>
                              </w:r>
                              <w:r>
                                <w:rPr>
                                  <w:spacing w:val="-13"/>
                                  <w:sz w:val="20"/>
                                </w:rPr>
                                <w:t> </w:t>
                              </w:r>
                              <w:r>
                                <w:rPr>
                                  <w:sz w:val="20"/>
                                </w:rPr>
                                <w:t>State and</w:t>
                              </w:r>
                              <w:r>
                                <w:rPr>
                                  <w:spacing w:val="-8"/>
                                  <w:sz w:val="20"/>
                                </w:rPr>
                                <w:t> </w:t>
                              </w:r>
                              <w:r>
                                <w:rPr>
                                  <w:sz w:val="20"/>
                                </w:rPr>
                                <w:t>Local</w:t>
                              </w:r>
                              <w:r>
                                <w:rPr>
                                  <w:spacing w:val="-9"/>
                                  <w:sz w:val="20"/>
                                </w:rPr>
                                <w:t> </w:t>
                              </w:r>
                              <w:r>
                                <w:rPr>
                                  <w:sz w:val="20"/>
                                </w:rPr>
                                <w:t>governments</w:t>
                              </w:r>
                              <w:r>
                                <w:rPr>
                                  <w:spacing w:val="-9"/>
                                  <w:sz w:val="20"/>
                                </w:rPr>
                                <w:t> </w:t>
                              </w:r>
                              <w:r>
                                <w:rPr>
                                  <w:sz w:val="20"/>
                                </w:rPr>
                                <w:t>could not</w:t>
                              </w:r>
                              <w:r>
                                <w:rPr>
                                  <w:spacing w:val="40"/>
                                  <w:sz w:val="20"/>
                                </w:rPr>
                                <w:t> </w:t>
                              </w:r>
                              <w:r>
                                <w:rPr>
                                  <w:sz w:val="20"/>
                                </w:rPr>
                                <w:t>design policies that suit contextual conditions.</w:t>
                              </w:r>
                            </w:p>
                          </w:txbxContent>
                        </wps:txbx>
                        <wps:bodyPr wrap="square" lIns="0" tIns="0" rIns="0" bIns="0" rtlCol="0">
                          <a:noAutofit/>
                        </wps:bodyPr>
                      </wps:wsp>
                      <wps:wsp>
                        <wps:cNvPr id="133" name="Textbox 133"/>
                        <wps:cNvSpPr txBox="1"/>
                        <wps:spPr>
                          <a:xfrm>
                            <a:off x="3444875" y="870585"/>
                            <a:ext cx="1670050" cy="586740"/>
                          </a:xfrm>
                          <a:prstGeom prst="rect">
                            <a:avLst/>
                          </a:prstGeom>
                          <a:ln w="31750">
                            <a:solidFill>
                              <a:srgbClr val="000000"/>
                            </a:solidFill>
                            <a:prstDash val="solid"/>
                          </a:ln>
                        </wps:spPr>
                        <wps:txbx>
                          <w:txbxContent>
                            <w:p>
                              <w:pPr>
                                <w:spacing w:line="242" w:lineRule="auto" w:before="66"/>
                                <w:ind w:left="28" w:right="25" w:firstLine="0"/>
                                <w:jc w:val="center"/>
                                <w:rPr>
                                  <w:sz w:val="20"/>
                                </w:rPr>
                              </w:pPr>
                              <w:r>
                                <w:rPr>
                                  <w:sz w:val="20"/>
                                </w:rPr>
                                <w:t>Political instability (arising from</w:t>
                              </w:r>
                              <w:r>
                                <w:rPr>
                                  <w:spacing w:val="-13"/>
                                  <w:sz w:val="20"/>
                                </w:rPr>
                                <w:t> </w:t>
                              </w:r>
                              <w:r>
                                <w:rPr>
                                  <w:sz w:val="20"/>
                                </w:rPr>
                                <w:t>military</w:t>
                              </w:r>
                              <w:r>
                                <w:rPr>
                                  <w:spacing w:val="-13"/>
                                  <w:sz w:val="20"/>
                                </w:rPr>
                                <w:t> </w:t>
                              </w:r>
                              <w:r>
                                <w:rPr>
                                  <w:sz w:val="20"/>
                                </w:rPr>
                                <w:t>coups)</w:t>
                              </w:r>
                              <w:r>
                                <w:rPr>
                                  <w:spacing w:val="-13"/>
                                  <w:sz w:val="20"/>
                                </w:rPr>
                                <w:t> </w:t>
                              </w:r>
                              <w:r>
                                <w:rPr>
                                  <w:sz w:val="20"/>
                                </w:rPr>
                                <w:t>created difficulty in governance.</w:t>
                              </w:r>
                            </w:p>
                          </w:txbxContent>
                        </wps:txbx>
                        <wps:bodyPr wrap="square" lIns="0" tIns="0" rIns="0" bIns="0" rtlCol="0">
                          <a:noAutofit/>
                        </wps:bodyPr>
                      </wps:wsp>
                      <wps:wsp>
                        <wps:cNvPr id="134" name="Textbox 134"/>
                        <wps:cNvSpPr txBox="1"/>
                        <wps:spPr>
                          <a:xfrm>
                            <a:off x="15875" y="870585"/>
                            <a:ext cx="1749425" cy="566420"/>
                          </a:xfrm>
                          <a:prstGeom prst="rect">
                            <a:avLst/>
                          </a:prstGeom>
                          <a:ln w="31750">
                            <a:solidFill>
                              <a:srgbClr val="000000"/>
                            </a:solidFill>
                            <a:prstDash val="solid"/>
                          </a:ln>
                        </wps:spPr>
                        <wps:txbx>
                          <w:txbxContent>
                            <w:p>
                              <w:pPr>
                                <w:spacing w:line="242" w:lineRule="auto" w:before="66"/>
                                <w:ind w:left="145" w:right="163" w:firstLine="0"/>
                                <w:jc w:val="left"/>
                                <w:rPr>
                                  <w:sz w:val="20"/>
                                </w:rPr>
                              </w:pPr>
                              <w:r>
                                <w:rPr>
                                  <w:sz w:val="20"/>
                                </w:rPr>
                                <w:t>No separate policy for housing</w:t>
                              </w:r>
                              <w:r>
                                <w:rPr>
                                  <w:spacing w:val="-12"/>
                                  <w:sz w:val="20"/>
                                </w:rPr>
                                <w:t> </w:t>
                              </w:r>
                              <w:r>
                                <w:rPr>
                                  <w:sz w:val="20"/>
                                </w:rPr>
                                <w:t>and</w:t>
                              </w:r>
                              <w:r>
                                <w:rPr>
                                  <w:spacing w:val="-9"/>
                                  <w:sz w:val="20"/>
                                </w:rPr>
                                <w:t> </w:t>
                              </w:r>
                              <w:r>
                                <w:rPr>
                                  <w:sz w:val="20"/>
                                </w:rPr>
                                <w:t>fund</w:t>
                              </w:r>
                              <w:r>
                                <w:rPr>
                                  <w:spacing w:val="-11"/>
                                  <w:sz w:val="20"/>
                                </w:rPr>
                                <w:t> </w:t>
                              </w:r>
                              <w:r>
                                <w:rPr>
                                  <w:sz w:val="20"/>
                                </w:rPr>
                                <w:t>for</w:t>
                              </w:r>
                              <w:r>
                                <w:rPr>
                                  <w:spacing w:val="-12"/>
                                  <w:sz w:val="20"/>
                                </w:rPr>
                                <w:t> </w:t>
                              </w:r>
                              <w:r>
                                <w:rPr>
                                  <w:sz w:val="20"/>
                                </w:rPr>
                                <w:t>housing not always a priority</w:t>
                              </w:r>
                            </w:p>
                          </w:txbxContent>
                        </wps:txbx>
                        <wps:bodyPr wrap="square" lIns="0" tIns="0" rIns="0" bIns="0" rtlCol="0">
                          <a:noAutofit/>
                        </wps:bodyPr>
                      </wps:wsp>
                      <wps:wsp>
                        <wps:cNvPr id="135" name="Textbox 135"/>
                        <wps:cNvSpPr txBox="1"/>
                        <wps:spPr>
                          <a:xfrm>
                            <a:off x="1765300" y="15875"/>
                            <a:ext cx="1679575" cy="566420"/>
                          </a:xfrm>
                          <a:prstGeom prst="rect">
                            <a:avLst/>
                          </a:prstGeom>
                          <a:ln w="31750">
                            <a:solidFill>
                              <a:srgbClr val="000000"/>
                            </a:solidFill>
                            <a:prstDash val="solid"/>
                          </a:ln>
                        </wps:spPr>
                        <wps:txbx>
                          <w:txbxContent>
                            <w:p>
                              <w:pPr>
                                <w:spacing w:line="242" w:lineRule="auto" w:before="65"/>
                                <w:ind w:left="155" w:right="156" w:hanging="1"/>
                                <w:jc w:val="center"/>
                                <w:rPr>
                                  <w:sz w:val="20"/>
                                </w:rPr>
                              </w:pPr>
                              <w:r>
                                <w:rPr>
                                  <w:sz w:val="20"/>
                                </w:rPr>
                                <w:t>Development process (all sectors</w:t>
                              </w:r>
                              <w:r>
                                <w:rPr>
                                  <w:spacing w:val="-13"/>
                                  <w:sz w:val="20"/>
                                </w:rPr>
                                <w:t> </w:t>
                              </w:r>
                              <w:r>
                                <w:rPr>
                                  <w:sz w:val="20"/>
                                </w:rPr>
                                <w:t>competing</w:t>
                              </w:r>
                              <w:r>
                                <w:rPr>
                                  <w:spacing w:val="-13"/>
                                  <w:sz w:val="20"/>
                                </w:rPr>
                                <w:t> </w:t>
                              </w:r>
                              <w:r>
                                <w:rPr>
                                  <w:sz w:val="20"/>
                                </w:rPr>
                                <w:t>for</w:t>
                              </w:r>
                              <w:r>
                                <w:rPr>
                                  <w:spacing w:val="-13"/>
                                  <w:sz w:val="20"/>
                                </w:rPr>
                                <w:t> </w:t>
                              </w:r>
                              <w:r>
                                <w:rPr>
                                  <w:sz w:val="20"/>
                                </w:rPr>
                                <w:t>public </w:t>
                              </w:r>
                              <w:r>
                                <w:rPr>
                                  <w:spacing w:val="-2"/>
                                  <w:sz w:val="20"/>
                                </w:rPr>
                                <w:t>expenditure)</w:t>
                              </w:r>
                            </w:p>
                          </w:txbxContent>
                        </wps:txbx>
                        <wps:bodyPr wrap="square" lIns="0" tIns="0" rIns="0" bIns="0" rtlCol="0">
                          <a:noAutofit/>
                        </wps:bodyPr>
                      </wps:wsp>
                    </wpg:wgp>
                  </a:graphicData>
                </a:graphic>
              </wp:inline>
            </w:drawing>
          </mc:Choice>
          <mc:Fallback>
            <w:pict>
              <v:group style="width:404pt;height:209.85pt;mso-position-horizontal-relative:char;mso-position-vertical-relative:line" id="docshapegroup120" coordorigin="0,0" coordsize="8080,4197">
                <v:shape style="position:absolute;left:2765;top:895;width:2680;height:2038" id="docshape121" coordorigin="2766,896" coordsize="2680,2038" path="m4565,2833l3650,2834,3650,2784,3500,2859,3650,2934,3650,2884,3650,2884,4565,2883,4565,2833xm5445,1793l5425,1778,5398,1734,5337,1635,5311,1678,4045,896,4032,917,3866,940,3894,981,2766,1757,2780,1778,2792,1945,2835,1920,3400,2871,3442,2845,2878,1894,2914,1873,2921,1869,2803,1793,3923,1023,3951,1064,4004,967,4020,939,5284,1720,5258,1763,5396,1775,4711,2722,4670,2693,4643,2858,4792,2780,4779,2771,4751,2751,5445,1793xe" filled="true" fillcolor="#000000" stroked="false">
                  <v:path arrowok="t"/>
                  <v:fill type="solid"/>
                </v:shape>
                <v:shape style="position:absolute;left:4643;top:2858;width:2896;height:1314" type="#_x0000_t202" id="docshape122" filled="false" stroked="true" strokeweight="2.5pt" strokecolor="#000000">
                  <v:textbox inset="0,0,0,0">
                    <w:txbxContent>
                      <w:p>
                        <w:pPr>
                          <w:spacing w:line="240" w:lineRule="auto" w:before="67"/>
                          <w:ind w:left="157" w:right="155" w:firstLine="0"/>
                          <w:jc w:val="center"/>
                          <w:rPr>
                            <w:sz w:val="20"/>
                          </w:rPr>
                        </w:pPr>
                        <w:r>
                          <w:rPr>
                            <w:sz w:val="20"/>
                          </w:rPr>
                          <w:t>Administrative</w:t>
                        </w:r>
                        <w:r>
                          <w:rPr>
                            <w:spacing w:val="-13"/>
                            <w:sz w:val="20"/>
                          </w:rPr>
                          <w:t> </w:t>
                        </w:r>
                        <w:r>
                          <w:rPr>
                            <w:sz w:val="20"/>
                          </w:rPr>
                          <w:t>incapacities</w:t>
                        </w:r>
                        <w:r>
                          <w:rPr>
                            <w:spacing w:val="-13"/>
                            <w:sz w:val="20"/>
                          </w:rPr>
                          <w:t> </w:t>
                        </w:r>
                        <w:r>
                          <w:rPr>
                            <w:sz w:val="20"/>
                          </w:rPr>
                          <w:t>and Institutional</w:t>
                        </w:r>
                        <w:r>
                          <w:rPr>
                            <w:spacing w:val="40"/>
                            <w:sz w:val="20"/>
                          </w:rPr>
                          <w:t> </w:t>
                        </w:r>
                        <w:r>
                          <w:rPr>
                            <w:sz w:val="20"/>
                          </w:rPr>
                          <w:t>restructuring due to State and Local government </w:t>
                        </w:r>
                        <w:r>
                          <w:rPr>
                            <w:spacing w:val="-2"/>
                            <w:sz w:val="20"/>
                          </w:rPr>
                          <w:t>creation</w:t>
                        </w:r>
                      </w:p>
                    </w:txbxContent>
                  </v:textbox>
                  <v:stroke dashstyle="solid"/>
                  <w10:wrap type="none"/>
                </v:shape>
                <v:shape style="position:absolute;left:432;top:2858;width:2989;height:1314" type="#_x0000_t202" id="docshape123" filled="false" stroked="true" strokeweight="2.5pt" strokecolor="#000000">
                  <v:textbox inset="0,0,0,0">
                    <w:txbxContent>
                      <w:p>
                        <w:pPr>
                          <w:spacing w:line="240" w:lineRule="auto" w:before="67"/>
                          <w:ind w:left="276" w:right="276" w:hanging="1"/>
                          <w:jc w:val="center"/>
                          <w:rPr>
                            <w:sz w:val="20"/>
                          </w:rPr>
                        </w:pPr>
                        <w:r>
                          <w:rPr>
                            <w:sz w:val="20"/>
                          </w:rPr>
                          <w:t>National Policies were legitimately</w:t>
                        </w:r>
                        <w:r>
                          <w:rPr>
                            <w:spacing w:val="-13"/>
                            <w:sz w:val="20"/>
                          </w:rPr>
                          <w:t> </w:t>
                        </w:r>
                        <w:r>
                          <w:rPr>
                            <w:sz w:val="20"/>
                          </w:rPr>
                          <w:t>centralized:</w:t>
                        </w:r>
                        <w:r>
                          <w:rPr>
                            <w:spacing w:val="-13"/>
                            <w:sz w:val="20"/>
                          </w:rPr>
                          <w:t> </w:t>
                        </w:r>
                        <w:r>
                          <w:rPr>
                            <w:sz w:val="20"/>
                          </w:rPr>
                          <w:t>State and</w:t>
                        </w:r>
                        <w:r>
                          <w:rPr>
                            <w:spacing w:val="-8"/>
                            <w:sz w:val="20"/>
                          </w:rPr>
                          <w:t> </w:t>
                        </w:r>
                        <w:r>
                          <w:rPr>
                            <w:sz w:val="20"/>
                          </w:rPr>
                          <w:t>Local</w:t>
                        </w:r>
                        <w:r>
                          <w:rPr>
                            <w:spacing w:val="-9"/>
                            <w:sz w:val="20"/>
                          </w:rPr>
                          <w:t> </w:t>
                        </w:r>
                        <w:r>
                          <w:rPr>
                            <w:sz w:val="20"/>
                          </w:rPr>
                          <w:t>governments</w:t>
                        </w:r>
                        <w:r>
                          <w:rPr>
                            <w:spacing w:val="-9"/>
                            <w:sz w:val="20"/>
                          </w:rPr>
                          <w:t> </w:t>
                        </w:r>
                        <w:r>
                          <w:rPr>
                            <w:sz w:val="20"/>
                          </w:rPr>
                          <w:t>could not</w:t>
                        </w:r>
                        <w:r>
                          <w:rPr>
                            <w:spacing w:val="40"/>
                            <w:sz w:val="20"/>
                          </w:rPr>
                          <w:t> </w:t>
                        </w:r>
                        <w:r>
                          <w:rPr>
                            <w:sz w:val="20"/>
                          </w:rPr>
                          <w:t>design policies that suit contextual conditions.</w:t>
                        </w:r>
                      </w:p>
                    </w:txbxContent>
                  </v:textbox>
                  <v:stroke dashstyle="solid"/>
                  <w10:wrap type="none"/>
                </v:shape>
                <v:shape style="position:absolute;left:5425;top:1371;width:2630;height:924" type="#_x0000_t202" id="docshape124" filled="false" stroked="true" strokeweight="2.5pt" strokecolor="#000000">
                  <v:textbox inset="0,0,0,0">
                    <w:txbxContent>
                      <w:p>
                        <w:pPr>
                          <w:spacing w:line="242" w:lineRule="auto" w:before="66"/>
                          <w:ind w:left="28" w:right="25" w:firstLine="0"/>
                          <w:jc w:val="center"/>
                          <w:rPr>
                            <w:sz w:val="20"/>
                          </w:rPr>
                        </w:pPr>
                        <w:r>
                          <w:rPr>
                            <w:sz w:val="20"/>
                          </w:rPr>
                          <w:t>Political instability (arising from</w:t>
                        </w:r>
                        <w:r>
                          <w:rPr>
                            <w:spacing w:val="-13"/>
                            <w:sz w:val="20"/>
                          </w:rPr>
                          <w:t> </w:t>
                        </w:r>
                        <w:r>
                          <w:rPr>
                            <w:sz w:val="20"/>
                          </w:rPr>
                          <w:t>military</w:t>
                        </w:r>
                        <w:r>
                          <w:rPr>
                            <w:spacing w:val="-13"/>
                            <w:sz w:val="20"/>
                          </w:rPr>
                          <w:t> </w:t>
                        </w:r>
                        <w:r>
                          <w:rPr>
                            <w:sz w:val="20"/>
                          </w:rPr>
                          <w:t>coups)</w:t>
                        </w:r>
                        <w:r>
                          <w:rPr>
                            <w:spacing w:val="-13"/>
                            <w:sz w:val="20"/>
                          </w:rPr>
                          <w:t> </w:t>
                        </w:r>
                        <w:r>
                          <w:rPr>
                            <w:sz w:val="20"/>
                          </w:rPr>
                          <w:t>created difficulty in governance.</w:t>
                        </w:r>
                      </w:p>
                    </w:txbxContent>
                  </v:textbox>
                  <v:stroke dashstyle="solid"/>
                  <w10:wrap type="none"/>
                </v:shape>
                <v:shape style="position:absolute;left:25;top:1371;width:2755;height:892" type="#_x0000_t202" id="docshape125" filled="false" stroked="true" strokeweight="2.5pt" strokecolor="#000000">
                  <v:textbox inset="0,0,0,0">
                    <w:txbxContent>
                      <w:p>
                        <w:pPr>
                          <w:spacing w:line="242" w:lineRule="auto" w:before="66"/>
                          <w:ind w:left="145" w:right="163" w:firstLine="0"/>
                          <w:jc w:val="left"/>
                          <w:rPr>
                            <w:sz w:val="20"/>
                          </w:rPr>
                        </w:pPr>
                        <w:r>
                          <w:rPr>
                            <w:sz w:val="20"/>
                          </w:rPr>
                          <w:t>No separate policy for housing</w:t>
                        </w:r>
                        <w:r>
                          <w:rPr>
                            <w:spacing w:val="-12"/>
                            <w:sz w:val="20"/>
                          </w:rPr>
                          <w:t> </w:t>
                        </w:r>
                        <w:r>
                          <w:rPr>
                            <w:sz w:val="20"/>
                          </w:rPr>
                          <w:t>and</w:t>
                        </w:r>
                        <w:r>
                          <w:rPr>
                            <w:spacing w:val="-9"/>
                            <w:sz w:val="20"/>
                          </w:rPr>
                          <w:t> </w:t>
                        </w:r>
                        <w:r>
                          <w:rPr>
                            <w:sz w:val="20"/>
                          </w:rPr>
                          <w:t>fund</w:t>
                        </w:r>
                        <w:r>
                          <w:rPr>
                            <w:spacing w:val="-11"/>
                            <w:sz w:val="20"/>
                          </w:rPr>
                          <w:t> </w:t>
                        </w:r>
                        <w:r>
                          <w:rPr>
                            <w:sz w:val="20"/>
                          </w:rPr>
                          <w:t>for</w:t>
                        </w:r>
                        <w:r>
                          <w:rPr>
                            <w:spacing w:val="-12"/>
                            <w:sz w:val="20"/>
                          </w:rPr>
                          <w:t> </w:t>
                        </w:r>
                        <w:r>
                          <w:rPr>
                            <w:sz w:val="20"/>
                          </w:rPr>
                          <w:t>housing not always a priority</w:t>
                        </w:r>
                      </w:p>
                    </w:txbxContent>
                  </v:textbox>
                  <v:stroke dashstyle="solid"/>
                  <w10:wrap type="none"/>
                </v:shape>
                <v:shape style="position:absolute;left:2780;top:25;width:2645;height:892" type="#_x0000_t202" id="docshape126" filled="false" stroked="true" strokeweight="2.5pt" strokecolor="#000000">
                  <v:textbox inset="0,0,0,0">
                    <w:txbxContent>
                      <w:p>
                        <w:pPr>
                          <w:spacing w:line="242" w:lineRule="auto" w:before="65"/>
                          <w:ind w:left="155" w:right="156" w:hanging="1"/>
                          <w:jc w:val="center"/>
                          <w:rPr>
                            <w:sz w:val="20"/>
                          </w:rPr>
                        </w:pPr>
                        <w:r>
                          <w:rPr>
                            <w:sz w:val="20"/>
                          </w:rPr>
                          <w:t>Development process (all sectors</w:t>
                        </w:r>
                        <w:r>
                          <w:rPr>
                            <w:spacing w:val="-13"/>
                            <w:sz w:val="20"/>
                          </w:rPr>
                          <w:t> </w:t>
                        </w:r>
                        <w:r>
                          <w:rPr>
                            <w:sz w:val="20"/>
                          </w:rPr>
                          <w:t>competing</w:t>
                        </w:r>
                        <w:r>
                          <w:rPr>
                            <w:spacing w:val="-13"/>
                            <w:sz w:val="20"/>
                          </w:rPr>
                          <w:t> </w:t>
                        </w:r>
                        <w:r>
                          <w:rPr>
                            <w:sz w:val="20"/>
                          </w:rPr>
                          <w:t>for</w:t>
                        </w:r>
                        <w:r>
                          <w:rPr>
                            <w:spacing w:val="-13"/>
                            <w:sz w:val="20"/>
                          </w:rPr>
                          <w:t> </w:t>
                        </w:r>
                        <w:r>
                          <w:rPr>
                            <w:sz w:val="20"/>
                          </w:rPr>
                          <w:t>public </w:t>
                        </w:r>
                        <w:r>
                          <w:rPr>
                            <w:spacing w:val="-2"/>
                            <w:sz w:val="20"/>
                          </w:rPr>
                          <w:t>expenditure)</w:t>
                        </w:r>
                      </w:p>
                    </w:txbxContent>
                  </v:textbox>
                  <v:stroke dashstyle="solid"/>
                  <w10:wrap type="none"/>
                </v:shape>
              </v:group>
            </w:pict>
          </mc:Fallback>
        </mc:AlternateContent>
      </w:r>
      <w:r>
        <w:rPr>
          <w:sz w:val="20"/>
        </w:rPr>
      </w:r>
    </w:p>
    <w:p>
      <w:pPr>
        <w:pStyle w:val="BodyText"/>
        <w:spacing w:before="270"/>
        <w:ind w:left="240"/>
        <w:jc w:val="both"/>
      </w:pPr>
      <w:r>
        <w:rPr>
          <w:b/>
        </w:rPr>
        <w:t>Figure</w:t>
      </w:r>
      <w:r>
        <w:rPr>
          <w:b/>
          <w:spacing w:val="-2"/>
        </w:rPr>
        <w:t> </w:t>
      </w:r>
      <w:r>
        <w:rPr>
          <w:b/>
        </w:rPr>
        <w:t>3.4.</w:t>
      </w:r>
      <w:r>
        <w:rPr>
          <w:b/>
          <w:spacing w:val="4"/>
        </w:rPr>
        <w:t> </w:t>
      </w:r>
      <w:r>
        <w:rPr/>
        <w:t>Interactive</w:t>
      </w:r>
      <w:r>
        <w:rPr>
          <w:spacing w:val="-1"/>
        </w:rPr>
        <w:t> </w:t>
      </w:r>
      <w:r>
        <w:rPr/>
        <w:t>issues influencing</w:t>
      </w:r>
      <w:r>
        <w:rPr>
          <w:spacing w:val="-3"/>
        </w:rPr>
        <w:t> </w:t>
      </w:r>
      <w:r>
        <w:rPr/>
        <w:t>supply</w:t>
      </w:r>
      <w:r>
        <w:rPr>
          <w:spacing w:val="-5"/>
        </w:rPr>
        <w:t> </w:t>
      </w:r>
      <w:r>
        <w:rPr/>
        <w:t>of</w:t>
      </w:r>
      <w:r>
        <w:rPr>
          <w:spacing w:val="-1"/>
        </w:rPr>
        <w:t> </w:t>
      </w:r>
      <w:r>
        <w:rPr/>
        <w:t>housing</w:t>
      </w:r>
      <w:r>
        <w:rPr>
          <w:spacing w:val="-2"/>
        </w:rPr>
        <w:t> </w:t>
      </w:r>
      <w:r>
        <w:rPr/>
        <w:t>in Nigeria</w:t>
      </w:r>
      <w:r>
        <w:rPr>
          <w:spacing w:val="-2"/>
        </w:rPr>
        <w:t> </w:t>
      </w:r>
      <w:r>
        <w:rPr/>
        <w:t>(Jambol</w:t>
      </w:r>
      <w:r>
        <w:rPr>
          <w:spacing w:val="1"/>
        </w:rPr>
        <w:t> </w:t>
      </w:r>
      <w:r>
        <w:rPr>
          <w:i/>
        </w:rPr>
        <w:t>et al</w:t>
      </w:r>
      <w:r>
        <w:rPr/>
        <w:t>., </w:t>
      </w:r>
      <w:r>
        <w:rPr>
          <w:spacing w:val="-2"/>
        </w:rPr>
        <w:t>2013)</w:t>
      </w:r>
    </w:p>
    <w:p>
      <w:pPr>
        <w:pStyle w:val="BodyText"/>
        <w:spacing w:before="139"/>
      </w:pPr>
    </w:p>
    <w:p>
      <w:pPr>
        <w:pStyle w:val="BodyText"/>
        <w:spacing w:line="360" w:lineRule="auto"/>
        <w:ind w:left="240" w:right="838"/>
        <w:jc w:val="both"/>
      </w:pPr>
      <w:r>
        <w:rPr/>
        <w:t>The complexity and time duration in housing supply</w:t>
      </w:r>
      <w:r>
        <w:rPr>
          <w:spacing w:val="-2"/>
        </w:rPr>
        <w:t> </w:t>
      </w:r>
      <w:r>
        <w:rPr/>
        <w:t>is another major problem which contributes to the shortage of housing supply. Houses take a long time to construct and cannot easily be</w:t>
      </w:r>
      <w:r>
        <w:rPr>
          <w:spacing w:val="40"/>
        </w:rPr>
        <w:t> </w:t>
      </w:r>
      <w:r>
        <w:rPr/>
        <w:t>made ready for consumption if there are changes in demand. Housing supply hence, naturally responds slowly to supply, the minimum time for such a response being the time taken to mobilize all necessary resources o start and complete new buildings. Okechukwu (2009) is of opinion that there is need for proper understanding of the nature and complexity of housing production for the purpose of solving these problems. He explains this position by</w:t>
      </w:r>
      <w:r>
        <w:rPr>
          <w:spacing w:val="-5"/>
        </w:rPr>
        <w:t> </w:t>
      </w:r>
      <w:r>
        <w:rPr/>
        <w:t>attributing the slow rate of housing production to the bulky nature of building materials, high cost of their transportation to the site, high and diverse labour component, high initial cost of housing production due to interest rates and inflation.</w:t>
      </w:r>
    </w:p>
    <w:p>
      <w:pPr>
        <w:pStyle w:val="BodyText"/>
        <w:spacing w:before="104"/>
      </w:pPr>
    </w:p>
    <w:p>
      <w:pPr>
        <w:pStyle w:val="BodyText"/>
        <w:spacing w:line="360" w:lineRule="auto"/>
        <w:ind w:left="240" w:right="839"/>
        <w:jc w:val="both"/>
      </w:pPr>
      <w:r>
        <w:rPr/>
        <w:t>The wide gap between housing demand and supply is largely due to slow response of supply to demand. The housing market often suffers from lags in supply adjustments. That is, even if households</w:t>
      </w:r>
      <w:r>
        <w:rPr>
          <w:spacing w:val="-2"/>
        </w:rPr>
        <w:t> </w:t>
      </w:r>
      <w:r>
        <w:rPr/>
        <w:t>with</w:t>
      </w:r>
      <w:r>
        <w:rPr>
          <w:spacing w:val="-2"/>
        </w:rPr>
        <w:t> </w:t>
      </w:r>
      <w:r>
        <w:rPr/>
        <w:t>inadequate</w:t>
      </w:r>
      <w:r>
        <w:rPr>
          <w:spacing w:val="-2"/>
        </w:rPr>
        <w:t> </w:t>
      </w:r>
      <w:r>
        <w:rPr/>
        <w:t>housing</w:t>
      </w:r>
      <w:r>
        <w:rPr>
          <w:spacing w:val="-5"/>
        </w:rPr>
        <w:t> </w:t>
      </w:r>
      <w:r>
        <w:rPr/>
        <w:t>were</w:t>
      </w:r>
      <w:r>
        <w:rPr>
          <w:spacing w:val="-2"/>
        </w:rPr>
        <w:t> </w:t>
      </w:r>
      <w:r>
        <w:rPr/>
        <w:t>willing</w:t>
      </w:r>
      <w:r>
        <w:rPr>
          <w:spacing w:val="-2"/>
        </w:rPr>
        <w:t> </w:t>
      </w:r>
      <w:r>
        <w:rPr/>
        <w:t>and</w:t>
      </w:r>
      <w:r>
        <w:rPr>
          <w:spacing w:val="-2"/>
        </w:rPr>
        <w:t> </w:t>
      </w:r>
      <w:r>
        <w:rPr/>
        <w:t>able</w:t>
      </w:r>
      <w:r>
        <w:rPr>
          <w:spacing w:val="-2"/>
        </w:rPr>
        <w:t> </w:t>
      </w:r>
      <w:r>
        <w:rPr/>
        <w:t>to pay</w:t>
      </w:r>
      <w:r>
        <w:rPr>
          <w:spacing w:val="-5"/>
        </w:rPr>
        <w:t> </w:t>
      </w:r>
      <w:r>
        <w:rPr/>
        <w:t>for</w:t>
      </w:r>
      <w:r>
        <w:rPr>
          <w:spacing w:val="-4"/>
        </w:rPr>
        <w:t> </w:t>
      </w:r>
      <w:r>
        <w:rPr/>
        <w:t>better</w:t>
      </w:r>
      <w:r>
        <w:rPr>
          <w:spacing w:val="-1"/>
        </w:rPr>
        <w:t> </w:t>
      </w:r>
      <w:r>
        <w:rPr/>
        <w:t>housing,</w:t>
      </w:r>
      <w:r>
        <w:rPr>
          <w:spacing w:val="-2"/>
        </w:rPr>
        <w:t> </w:t>
      </w:r>
      <w:r>
        <w:rPr/>
        <w:t>the</w:t>
      </w:r>
      <w:r>
        <w:rPr>
          <w:spacing w:val="-1"/>
        </w:rPr>
        <w:t> </w:t>
      </w:r>
      <w:r>
        <w:rPr/>
        <w:t>response on the supply</w:t>
      </w:r>
      <w:r>
        <w:rPr>
          <w:spacing w:val="-2"/>
        </w:rPr>
        <w:t> </w:t>
      </w:r>
      <w:r>
        <w:rPr/>
        <w:t>side might be long in coming (Rothenberg and Edel, 1972). This is due to the long time it takes to build new houses in response to new demand. The rate of housing construction is not nearer in meeting existing demand in Nigeria. Ajanlekoko (2001) shares this view and concludes</w:t>
      </w:r>
      <w:r>
        <w:rPr>
          <w:spacing w:val="25"/>
        </w:rPr>
        <w:t> </w:t>
      </w:r>
      <w:r>
        <w:rPr/>
        <w:t>that</w:t>
      </w:r>
      <w:r>
        <w:rPr>
          <w:spacing w:val="25"/>
        </w:rPr>
        <w:t> </w:t>
      </w:r>
      <w:r>
        <w:rPr/>
        <w:t>the</w:t>
      </w:r>
      <w:r>
        <w:rPr>
          <w:spacing w:val="25"/>
        </w:rPr>
        <w:t> </w:t>
      </w:r>
      <w:r>
        <w:rPr/>
        <w:t>rate</w:t>
      </w:r>
      <w:r>
        <w:rPr>
          <w:spacing w:val="24"/>
        </w:rPr>
        <w:t> </w:t>
      </w:r>
      <w:r>
        <w:rPr/>
        <w:t>of</w:t>
      </w:r>
      <w:r>
        <w:rPr>
          <w:spacing w:val="24"/>
        </w:rPr>
        <w:t> </w:t>
      </w:r>
      <w:r>
        <w:rPr/>
        <w:t>housing</w:t>
      </w:r>
      <w:r>
        <w:rPr>
          <w:spacing w:val="23"/>
        </w:rPr>
        <w:t> </w:t>
      </w:r>
      <w:r>
        <w:rPr/>
        <w:t>construction</w:t>
      </w:r>
      <w:r>
        <w:rPr>
          <w:spacing w:val="25"/>
        </w:rPr>
        <w:t> </w:t>
      </w:r>
      <w:r>
        <w:rPr/>
        <w:t>is</w:t>
      </w:r>
      <w:r>
        <w:rPr>
          <w:spacing w:val="26"/>
        </w:rPr>
        <w:t> </w:t>
      </w:r>
      <w:r>
        <w:rPr/>
        <w:t>nowhere</w:t>
      </w:r>
      <w:r>
        <w:rPr>
          <w:spacing w:val="23"/>
        </w:rPr>
        <w:t> </w:t>
      </w:r>
      <w:r>
        <w:rPr/>
        <w:t>near</w:t>
      </w:r>
      <w:r>
        <w:rPr>
          <w:spacing w:val="24"/>
        </w:rPr>
        <w:t> </w:t>
      </w:r>
      <w:r>
        <w:rPr/>
        <w:t>meeting</w:t>
      </w:r>
      <w:r>
        <w:rPr>
          <w:spacing w:val="26"/>
        </w:rPr>
        <w:t> </w:t>
      </w:r>
      <w:r>
        <w:rPr/>
        <w:t>existing</w:t>
      </w:r>
      <w:r>
        <w:rPr>
          <w:spacing w:val="23"/>
        </w:rPr>
        <w:t> </w:t>
      </w:r>
      <w:r>
        <w:rPr/>
        <w:t>demand.</w:t>
      </w:r>
      <w:r>
        <w:rPr>
          <w:spacing w:val="25"/>
        </w:rPr>
        <w:t> </w:t>
      </w:r>
      <w:r>
        <w:rPr>
          <w:spacing w:val="-5"/>
        </w:rPr>
        <w:t>The</w:t>
      </w:r>
    </w:p>
    <w:p>
      <w:pPr>
        <w:spacing w:after="0" w:line="360" w:lineRule="auto"/>
        <w:jc w:val="both"/>
        <w:sectPr>
          <w:pgSz w:w="12240" w:h="15840"/>
          <w:pgMar w:header="0" w:footer="1036" w:top="1640" w:bottom="1220" w:left="1200" w:right="600"/>
        </w:sectPr>
      </w:pPr>
    </w:p>
    <w:p>
      <w:pPr>
        <w:pStyle w:val="BodyText"/>
        <w:spacing w:line="360" w:lineRule="auto" w:before="74"/>
        <w:ind w:left="240" w:right="839"/>
        <w:jc w:val="both"/>
      </w:pPr>
      <w:r>
        <w:rPr/>
        <w:t>failure of the private sector housing to accommodate the larger percentage of the populace most especially the poor, necessitated the direct public housing delivery option. Housing supply does not only reflect the ability to build; it also represents the historical stock of the past construction. Some cities such as St. Louis, Detroit and Philadephia in USA have an abundant supply of</w:t>
      </w:r>
      <w:r>
        <w:rPr>
          <w:spacing w:val="40"/>
        </w:rPr>
        <w:t> </w:t>
      </w:r>
      <w:r>
        <w:rPr/>
        <w:t>homes because they once were more desirable than they are today (Edward, 2010). In these places, housing prices are often lower than the cost of new construction, because of abundant </w:t>
      </w:r>
      <w:r>
        <w:rPr>
          <w:spacing w:val="-2"/>
        </w:rPr>
        <w:t>supply.</w:t>
      </w:r>
    </w:p>
    <w:p>
      <w:pPr>
        <w:pStyle w:val="BodyText"/>
        <w:spacing w:before="93"/>
      </w:pPr>
    </w:p>
    <w:p>
      <w:pPr>
        <w:pStyle w:val="BodyText"/>
        <w:spacing w:line="360" w:lineRule="auto"/>
        <w:ind w:left="240" w:right="834"/>
        <w:jc w:val="both"/>
      </w:pPr>
      <w:r>
        <w:rPr/>
        <w:t>According to Olusola (2014), the gap between need for housing and the capacity to acquire the desired housing type, has resulted in an effective demand crisis for affordable housing in the country. While it is clear there is a housing deficit, it is crucial to recognize that people can only acquire what they can afford. Affordable housing to low- and middle-income households is the affordability gap. Affordability gap has been defined by Olusola (2014) as the difference</w:t>
      </w:r>
      <w:r>
        <w:rPr>
          <w:spacing w:val="40"/>
        </w:rPr>
        <w:t> </w:t>
      </w:r>
      <w:r>
        <w:rPr/>
        <w:t>between the required monthly mortgage repayments on the least expensive house and the 33 % (an industry standard as recommended by the International Labour Organisation (ILO) that can be deducted from the total salary of a potential homeowner.</w:t>
      </w:r>
      <w:r>
        <w:rPr>
          <w:spacing w:val="40"/>
        </w:rPr>
        <w:t> </w:t>
      </w:r>
      <w:r>
        <w:rPr/>
        <w:t>The gap affects 52 % of the population or 65 million households. While some households achieve affordability with supplementary,</w:t>
      </w:r>
      <w:r>
        <w:rPr>
          <w:spacing w:val="-1"/>
        </w:rPr>
        <w:t> </w:t>
      </w:r>
      <w:r>
        <w:rPr/>
        <w:t>informal income,</w:t>
      </w:r>
      <w:r>
        <w:rPr>
          <w:spacing w:val="-1"/>
        </w:rPr>
        <w:t> </w:t>
      </w:r>
      <w:r>
        <w:rPr/>
        <w:t>this</w:t>
      </w:r>
      <w:r>
        <w:rPr>
          <w:spacing w:val="-1"/>
        </w:rPr>
        <w:t> </w:t>
      </w:r>
      <w:r>
        <w:rPr/>
        <w:t>is</w:t>
      </w:r>
      <w:r>
        <w:rPr>
          <w:spacing w:val="-1"/>
        </w:rPr>
        <w:t> </w:t>
      </w:r>
      <w:r>
        <w:rPr/>
        <w:t>not</w:t>
      </w:r>
      <w:r>
        <w:rPr>
          <w:spacing w:val="-1"/>
        </w:rPr>
        <w:t> </w:t>
      </w:r>
      <w:r>
        <w:rPr/>
        <w:t>counted</w:t>
      </w:r>
      <w:r>
        <w:rPr>
          <w:spacing w:val="-2"/>
        </w:rPr>
        <w:t> </w:t>
      </w:r>
      <w:r>
        <w:rPr/>
        <w:t>in</w:t>
      </w:r>
      <w:r>
        <w:rPr>
          <w:spacing w:val="-1"/>
        </w:rPr>
        <w:t> </w:t>
      </w:r>
      <w:r>
        <w:rPr/>
        <w:t>loan</w:t>
      </w:r>
      <w:r>
        <w:rPr>
          <w:spacing w:val="-2"/>
        </w:rPr>
        <w:t> </w:t>
      </w:r>
      <w:r>
        <w:rPr/>
        <w:t>origination</w:t>
      </w:r>
      <w:r>
        <w:rPr>
          <w:spacing w:val="-1"/>
        </w:rPr>
        <w:t> </w:t>
      </w:r>
      <w:r>
        <w:rPr/>
        <w:t>procedures. Affordability analysis shows that low-income earners can afford housing units at two million Naira</w:t>
      </w:r>
      <w:r>
        <w:rPr>
          <w:spacing w:val="40"/>
        </w:rPr>
        <w:t> </w:t>
      </w:r>
      <w:r>
        <w:rPr/>
        <w:t>(Morakinyo </w:t>
      </w:r>
      <w:r>
        <w:rPr>
          <w:i/>
        </w:rPr>
        <w:t>et al.</w:t>
      </w:r>
      <w:r>
        <w:rPr/>
        <w:t>, 2015). Analysis of population and population growth in Nigeria (</w:t>
      </w:r>
      <w:r>
        <w:rPr>
          <w:i/>
        </w:rPr>
        <w:t>see Table 3.8</w:t>
      </w:r>
      <w:r>
        <w:rPr/>
        <w:t>) and the stock of dwelling units help to understand affordability. As at 1991, the total dwelling units in Nigeria was estimated at 15.2million and more than 70% was in tenement rooms (called ‗face-me-I-face-you‘) (</w:t>
      </w:r>
      <w:r>
        <w:rPr>
          <w:i/>
        </w:rPr>
        <w:t>see Tables 3.9 and 3.10</w:t>
      </w:r>
      <w:r>
        <w:rPr/>
        <w:t>) Unfortunately, there is no more recent data</w:t>
      </w:r>
      <w:r>
        <w:rPr>
          <w:spacing w:val="-1"/>
        </w:rPr>
        <w:t> </w:t>
      </w:r>
      <w:r>
        <w:rPr/>
        <w:t>available.</w:t>
      </w:r>
      <w:r>
        <w:rPr>
          <w:spacing w:val="-1"/>
        </w:rPr>
        <w:t> </w:t>
      </w:r>
      <w:r>
        <w:rPr/>
        <w:t>However, a</w:t>
      </w:r>
      <w:r>
        <w:rPr>
          <w:spacing w:val="-1"/>
        </w:rPr>
        <w:t> </w:t>
      </w:r>
      <w:r>
        <w:rPr/>
        <w:t>study</w:t>
      </w:r>
      <w:r>
        <w:rPr>
          <w:spacing w:val="-3"/>
        </w:rPr>
        <w:t> </w:t>
      </w:r>
      <w:r>
        <w:rPr/>
        <w:t>carried out by</w:t>
      </w:r>
      <w:r>
        <w:rPr>
          <w:spacing w:val="-5"/>
        </w:rPr>
        <w:t> </w:t>
      </w:r>
      <w:r>
        <w:rPr/>
        <w:t>Onibokun (1990),</w:t>
      </w:r>
      <w:r>
        <w:rPr>
          <w:spacing w:val="-1"/>
        </w:rPr>
        <w:t> </w:t>
      </w:r>
      <w:r>
        <w:rPr/>
        <w:t>projected</w:t>
      </w:r>
      <w:r>
        <w:rPr>
          <w:spacing w:val="-1"/>
        </w:rPr>
        <w:t> </w:t>
      </w:r>
      <w:r>
        <w:rPr/>
        <w:t>housing</w:t>
      </w:r>
      <w:r>
        <w:rPr>
          <w:spacing w:val="-3"/>
        </w:rPr>
        <w:t> </w:t>
      </w:r>
      <w:r>
        <w:rPr/>
        <w:t>needs up to the year 2020 as shown in Table 3.11.</w:t>
      </w:r>
    </w:p>
    <w:p>
      <w:pPr>
        <w:spacing w:before="253"/>
        <w:ind w:left="240" w:right="0" w:firstLine="0"/>
        <w:jc w:val="both"/>
        <w:rPr>
          <w:sz w:val="24"/>
        </w:rPr>
      </w:pPr>
      <w:r>
        <w:rPr>
          <w:b/>
          <w:sz w:val="24"/>
        </w:rPr>
        <w:t>Table</w:t>
      </w:r>
      <w:r>
        <w:rPr>
          <w:b/>
          <w:spacing w:val="-1"/>
          <w:sz w:val="24"/>
        </w:rPr>
        <w:t> </w:t>
      </w:r>
      <w:r>
        <w:rPr>
          <w:b/>
          <w:sz w:val="24"/>
        </w:rPr>
        <w:t>3.8.</w:t>
      </w:r>
      <w:r>
        <w:rPr>
          <w:b/>
          <w:spacing w:val="-1"/>
          <w:sz w:val="24"/>
        </w:rPr>
        <w:t> </w:t>
      </w:r>
      <w:r>
        <w:rPr>
          <w:sz w:val="24"/>
        </w:rPr>
        <w:t>Nigerian</w:t>
      </w:r>
      <w:r>
        <w:rPr>
          <w:spacing w:val="-1"/>
          <w:sz w:val="24"/>
        </w:rPr>
        <w:t> </w:t>
      </w:r>
      <w:r>
        <w:rPr>
          <w:sz w:val="24"/>
        </w:rPr>
        <w:t>Population</w:t>
      </w:r>
      <w:r>
        <w:rPr>
          <w:spacing w:val="-1"/>
          <w:sz w:val="24"/>
        </w:rPr>
        <w:t> </w:t>
      </w:r>
      <w:r>
        <w:rPr>
          <w:sz w:val="24"/>
        </w:rPr>
        <w:t>and</w:t>
      </w:r>
      <w:r>
        <w:rPr>
          <w:spacing w:val="-1"/>
          <w:sz w:val="24"/>
        </w:rPr>
        <w:t> </w:t>
      </w:r>
      <w:r>
        <w:rPr>
          <w:sz w:val="24"/>
        </w:rPr>
        <w:t>Households -</w:t>
      </w:r>
      <w:r>
        <w:rPr>
          <w:spacing w:val="-4"/>
          <w:sz w:val="24"/>
        </w:rPr>
        <w:t>2006</w:t>
      </w:r>
    </w:p>
    <w:p>
      <w:pPr>
        <w:pStyle w:val="BodyText"/>
        <w:spacing w:before="78"/>
        <w:rPr>
          <w:sz w:val="20"/>
        </w:rPr>
      </w:pPr>
    </w:p>
    <w:tbl>
      <w:tblPr>
        <w:tblW w:w="0" w:type="auto"/>
        <w:jc w:val="left"/>
        <w:tblInd w:w="286"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top w:w="0" w:type="dxa"/>
          <w:left w:w="0" w:type="dxa"/>
          <w:bottom w:w="0" w:type="dxa"/>
          <w:right w:w="0" w:type="dxa"/>
        </w:tblCellMar>
        <w:tblLook w:val="01E0"/>
      </w:tblPr>
      <w:tblGrid>
        <w:gridCol w:w="2323"/>
        <w:gridCol w:w="2340"/>
        <w:gridCol w:w="2249"/>
      </w:tblGrid>
      <w:tr>
        <w:trPr>
          <w:trHeight w:val="689" w:hRule="atLeast"/>
        </w:trPr>
        <w:tc>
          <w:tcPr>
            <w:tcW w:w="2323" w:type="dxa"/>
            <w:tcBorders>
              <w:bottom w:val="single" w:sz="18" w:space="0" w:color="4AACC5"/>
            </w:tcBorders>
          </w:tcPr>
          <w:p>
            <w:pPr>
              <w:pStyle w:val="TableParagraph"/>
              <w:ind w:left="107"/>
              <w:rPr>
                <w:b/>
                <w:sz w:val="20"/>
              </w:rPr>
            </w:pPr>
            <w:r>
              <w:rPr>
                <w:b/>
                <w:sz w:val="20"/>
              </w:rPr>
              <w:t>Population</w:t>
            </w:r>
            <w:r>
              <w:rPr>
                <w:b/>
                <w:spacing w:val="-11"/>
                <w:sz w:val="20"/>
              </w:rPr>
              <w:t> </w:t>
            </w:r>
            <w:r>
              <w:rPr>
                <w:b/>
                <w:spacing w:val="-2"/>
                <w:sz w:val="20"/>
              </w:rPr>
              <w:t>(2006)</w:t>
            </w:r>
          </w:p>
        </w:tc>
        <w:tc>
          <w:tcPr>
            <w:tcW w:w="2340" w:type="dxa"/>
            <w:tcBorders>
              <w:bottom w:val="single" w:sz="18" w:space="0" w:color="4AACC5"/>
            </w:tcBorders>
          </w:tcPr>
          <w:p>
            <w:pPr>
              <w:pStyle w:val="TableParagraph"/>
              <w:ind w:left="105"/>
              <w:rPr>
                <w:b/>
                <w:sz w:val="20"/>
              </w:rPr>
            </w:pPr>
            <w:r>
              <w:rPr>
                <w:b/>
                <w:sz w:val="20"/>
              </w:rPr>
              <w:t>Number</w:t>
            </w:r>
            <w:r>
              <w:rPr>
                <w:b/>
                <w:spacing w:val="-5"/>
                <w:sz w:val="20"/>
              </w:rPr>
              <w:t> </w:t>
            </w:r>
            <w:r>
              <w:rPr>
                <w:b/>
                <w:sz w:val="20"/>
              </w:rPr>
              <w:t>of</w:t>
            </w:r>
            <w:r>
              <w:rPr>
                <w:b/>
                <w:spacing w:val="-4"/>
                <w:sz w:val="20"/>
              </w:rPr>
              <w:t> </w:t>
            </w:r>
            <w:r>
              <w:rPr>
                <w:b/>
                <w:spacing w:val="-2"/>
                <w:sz w:val="20"/>
              </w:rPr>
              <w:t>households</w:t>
            </w:r>
          </w:p>
        </w:tc>
        <w:tc>
          <w:tcPr>
            <w:tcW w:w="2249" w:type="dxa"/>
            <w:tcBorders>
              <w:bottom w:val="single" w:sz="18" w:space="0" w:color="4AACC5"/>
            </w:tcBorders>
          </w:tcPr>
          <w:p>
            <w:pPr>
              <w:pStyle w:val="TableParagraph"/>
              <w:ind w:left="105"/>
              <w:rPr>
                <w:b/>
                <w:sz w:val="20"/>
              </w:rPr>
            </w:pPr>
            <w:r>
              <w:rPr>
                <w:b/>
                <w:sz w:val="20"/>
              </w:rPr>
              <w:t>Population,</w:t>
            </w:r>
            <w:r>
              <w:rPr>
                <w:b/>
                <w:spacing w:val="-10"/>
                <w:sz w:val="20"/>
              </w:rPr>
              <w:t> </w:t>
            </w:r>
            <w:r>
              <w:rPr>
                <w:b/>
                <w:sz w:val="20"/>
              </w:rPr>
              <w:t>2010 (assumed</w:t>
            </w:r>
            <w:r>
              <w:rPr>
                <w:b/>
                <w:spacing w:val="-13"/>
                <w:sz w:val="20"/>
              </w:rPr>
              <w:t> </w:t>
            </w:r>
            <w:r>
              <w:rPr>
                <w:b/>
                <w:spacing w:val="-2"/>
                <w:sz w:val="20"/>
              </w:rPr>
              <w:t>growth</w:t>
            </w:r>
          </w:p>
          <w:p>
            <w:pPr>
              <w:pStyle w:val="TableParagraph"/>
              <w:spacing w:line="210" w:lineRule="exact"/>
              <w:ind w:left="105"/>
              <w:rPr>
                <w:b/>
                <w:sz w:val="20"/>
              </w:rPr>
            </w:pPr>
            <w:r>
              <w:rPr>
                <w:b/>
                <w:sz w:val="20"/>
              </w:rPr>
              <w:t>Rate</w:t>
            </w:r>
            <w:r>
              <w:rPr>
                <w:b/>
                <w:spacing w:val="-2"/>
                <w:sz w:val="20"/>
              </w:rPr>
              <w:t> </w:t>
            </w:r>
            <w:r>
              <w:rPr>
                <w:b/>
                <w:sz w:val="20"/>
              </w:rPr>
              <w:t>of</w:t>
            </w:r>
            <w:r>
              <w:rPr>
                <w:b/>
                <w:spacing w:val="-4"/>
                <w:sz w:val="20"/>
              </w:rPr>
              <w:t> </w:t>
            </w:r>
            <w:r>
              <w:rPr>
                <w:b/>
                <w:sz w:val="20"/>
              </w:rPr>
              <w:t>3.80</w:t>
            </w:r>
            <w:r>
              <w:rPr>
                <w:b/>
                <w:spacing w:val="-3"/>
                <w:sz w:val="20"/>
              </w:rPr>
              <w:t> </w:t>
            </w:r>
            <w:r>
              <w:rPr>
                <w:b/>
                <w:spacing w:val="-5"/>
                <w:sz w:val="20"/>
              </w:rPr>
              <w:t>%)</w:t>
            </w:r>
          </w:p>
        </w:tc>
      </w:tr>
      <w:tr>
        <w:trPr>
          <w:trHeight w:val="461" w:hRule="atLeast"/>
        </w:trPr>
        <w:tc>
          <w:tcPr>
            <w:tcW w:w="2323" w:type="dxa"/>
            <w:tcBorders>
              <w:top w:val="single" w:sz="18" w:space="0" w:color="4AACC5"/>
            </w:tcBorders>
            <w:shd w:val="clear" w:color="auto" w:fill="D2EAF0"/>
          </w:tcPr>
          <w:p>
            <w:pPr>
              <w:pStyle w:val="TableParagraph"/>
              <w:spacing w:line="230" w:lineRule="exact"/>
              <w:ind w:left="107"/>
              <w:rPr>
                <w:b/>
                <w:sz w:val="20"/>
              </w:rPr>
            </w:pPr>
            <w:r>
              <w:rPr>
                <w:b/>
                <w:sz w:val="20"/>
              </w:rPr>
              <w:t>140,</w:t>
            </w:r>
            <w:r>
              <w:rPr>
                <w:b/>
                <w:spacing w:val="-3"/>
                <w:sz w:val="20"/>
              </w:rPr>
              <w:t> </w:t>
            </w:r>
            <w:r>
              <w:rPr>
                <w:b/>
                <w:sz w:val="20"/>
              </w:rPr>
              <w:t>431,</w:t>
            </w:r>
            <w:r>
              <w:rPr>
                <w:b/>
                <w:spacing w:val="-2"/>
                <w:sz w:val="20"/>
              </w:rPr>
              <w:t> </w:t>
            </w:r>
            <w:r>
              <w:rPr>
                <w:b/>
                <w:spacing w:val="-5"/>
                <w:sz w:val="20"/>
              </w:rPr>
              <w:t>790</w:t>
            </w:r>
          </w:p>
        </w:tc>
        <w:tc>
          <w:tcPr>
            <w:tcW w:w="2340" w:type="dxa"/>
            <w:tcBorders>
              <w:top w:val="single" w:sz="18" w:space="0" w:color="4AACC5"/>
            </w:tcBorders>
            <w:shd w:val="clear" w:color="auto" w:fill="D2EAF0"/>
          </w:tcPr>
          <w:p>
            <w:pPr>
              <w:pStyle w:val="TableParagraph"/>
              <w:spacing w:line="225" w:lineRule="exact"/>
              <w:ind w:left="105"/>
              <w:rPr>
                <w:sz w:val="20"/>
              </w:rPr>
            </w:pPr>
            <w:r>
              <w:rPr>
                <w:spacing w:val="-2"/>
                <w:sz w:val="20"/>
              </w:rPr>
              <w:t>32,771,253</w:t>
            </w:r>
          </w:p>
        </w:tc>
        <w:tc>
          <w:tcPr>
            <w:tcW w:w="2249" w:type="dxa"/>
            <w:tcBorders>
              <w:top w:val="single" w:sz="18" w:space="0" w:color="4AACC5"/>
            </w:tcBorders>
            <w:shd w:val="clear" w:color="auto" w:fill="D2EAF0"/>
          </w:tcPr>
          <w:p>
            <w:pPr>
              <w:pStyle w:val="TableParagraph"/>
              <w:spacing w:line="225" w:lineRule="exact"/>
              <w:ind w:left="105"/>
              <w:rPr>
                <w:sz w:val="20"/>
              </w:rPr>
            </w:pPr>
            <w:r>
              <w:rPr>
                <w:spacing w:val="-2"/>
                <w:sz w:val="20"/>
              </w:rPr>
              <w:t>163,025,239</w:t>
            </w:r>
          </w:p>
        </w:tc>
      </w:tr>
    </w:tbl>
    <w:p>
      <w:pPr>
        <w:pStyle w:val="BodyText"/>
        <w:spacing w:before="177"/>
        <w:ind w:left="240"/>
        <w:jc w:val="both"/>
      </w:pPr>
      <w:r>
        <w:rPr>
          <w:b/>
        </w:rPr>
        <w:t>Source:</w:t>
      </w:r>
      <w:r>
        <w:rPr>
          <w:b/>
          <w:spacing w:val="-6"/>
        </w:rPr>
        <w:t> </w:t>
      </w:r>
      <w:r>
        <w:rPr/>
        <w:t>National Bureau of</w:t>
      </w:r>
      <w:r>
        <w:rPr>
          <w:spacing w:val="-2"/>
        </w:rPr>
        <w:t> </w:t>
      </w:r>
      <w:r>
        <w:rPr/>
        <w:t>Statistics</w:t>
      </w:r>
      <w:r>
        <w:rPr>
          <w:spacing w:val="-2"/>
        </w:rPr>
        <w:t> (2007)</w:t>
      </w:r>
    </w:p>
    <w:p>
      <w:pPr>
        <w:spacing w:after="0"/>
        <w:jc w:val="both"/>
        <w:sectPr>
          <w:pgSz w:w="12240" w:h="15840"/>
          <w:pgMar w:header="0" w:footer="1036" w:top="1360" w:bottom="1220" w:left="1200" w:right="600"/>
        </w:sectPr>
      </w:pPr>
    </w:p>
    <w:p>
      <w:pPr>
        <w:pStyle w:val="BodyText"/>
        <w:spacing w:before="72"/>
        <w:ind w:left="240"/>
      </w:pPr>
      <w:r>
        <w:rPr>
          <w:b/>
        </w:rPr>
        <w:t>Table</w:t>
      </w:r>
      <w:r>
        <w:rPr>
          <w:b/>
          <w:spacing w:val="-3"/>
        </w:rPr>
        <w:t> </w:t>
      </w:r>
      <w:r>
        <w:rPr>
          <w:b/>
        </w:rPr>
        <w:t>3.9. </w:t>
      </w:r>
      <w:r>
        <w:rPr/>
        <w:t>Estimated Housing</w:t>
      </w:r>
      <w:r>
        <w:rPr>
          <w:spacing w:val="-4"/>
        </w:rPr>
        <w:t> </w:t>
      </w:r>
      <w:r>
        <w:rPr/>
        <w:t>Stock, by</w:t>
      </w:r>
      <w:r>
        <w:rPr>
          <w:spacing w:val="-4"/>
        </w:rPr>
        <w:t> </w:t>
      </w:r>
      <w:r>
        <w:rPr/>
        <w:t>dwelling</w:t>
      </w:r>
      <w:r>
        <w:rPr>
          <w:spacing w:val="-2"/>
        </w:rPr>
        <w:t> </w:t>
      </w:r>
      <w:r>
        <w:rPr/>
        <w:t>types in Nigeria -</w:t>
      </w:r>
      <w:r>
        <w:rPr>
          <w:spacing w:val="-4"/>
        </w:rPr>
        <w:t>1991</w:t>
      </w:r>
    </w:p>
    <w:p>
      <w:pPr>
        <w:pStyle w:val="BodyText"/>
        <w:spacing w:before="7"/>
        <w:rPr>
          <w:sz w:val="11"/>
        </w:rPr>
      </w:pPr>
      <w:r>
        <w:rPr/>
        <w:drawing>
          <wp:anchor distT="0" distB="0" distL="0" distR="0" allowOverlap="1" layoutInCell="1" locked="0" behindDoc="1" simplePos="0" relativeHeight="487596032">
            <wp:simplePos x="0" y="0"/>
            <wp:positionH relativeFrom="page">
              <wp:posOffset>933450</wp:posOffset>
            </wp:positionH>
            <wp:positionV relativeFrom="paragraph">
              <wp:posOffset>100280</wp:posOffset>
            </wp:positionV>
            <wp:extent cx="5057086" cy="1866900"/>
            <wp:effectExtent l="0" t="0" r="0" b="0"/>
            <wp:wrapTopAndBottom/>
            <wp:docPr id="136" name="Image 136"/>
            <wp:cNvGraphicFramePr>
              <a:graphicFrameLocks/>
            </wp:cNvGraphicFramePr>
            <a:graphic>
              <a:graphicData uri="http://schemas.openxmlformats.org/drawingml/2006/picture">
                <pic:pic>
                  <pic:nvPicPr>
                    <pic:cNvPr id="136" name="Image 136"/>
                    <pic:cNvPicPr/>
                  </pic:nvPicPr>
                  <pic:blipFill>
                    <a:blip r:embed="rId52" cstate="print"/>
                    <a:stretch>
                      <a:fillRect/>
                    </a:stretch>
                  </pic:blipFill>
                  <pic:spPr>
                    <a:xfrm>
                      <a:off x="0" y="0"/>
                      <a:ext cx="5057086" cy="1866900"/>
                    </a:xfrm>
                    <a:prstGeom prst="rect">
                      <a:avLst/>
                    </a:prstGeom>
                  </pic:spPr>
                </pic:pic>
              </a:graphicData>
            </a:graphic>
          </wp:anchor>
        </w:drawing>
      </w:r>
    </w:p>
    <w:p>
      <w:pPr>
        <w:pStyle w:val="BodyText"/>
        <w:spacing w:before="133"/>
        <w:ind w:left="240"/>
      </w:pPr>
      <w:r>
        <w:rPr>
          <w:b/>
        </w:rPr>
        <w:t>Source:</w:t>
      </w:r>
      <w:r>
        <w:rPr>
          <w:b/>
          <w:spacing w:val="-5"/>
        </w:rPr>
        <w:t> </w:t>
      </w:r>
      <w:r>
        <w:rPr/>
        <w:t>UN-Habitat</w:t>
      </w:r>
      <w:r>
        <w:rPr>
          <w:spacing w:val="-1"/>
        </w:rPr>
        <w:t> </w:t>
      </w:r>
      <w:r>
        <w:rPr/>
        <w:t>(2001)</w:t>
      </w:r>
      <w:r>
        <w:rPr>
          <w:spacing w:val="-1"/>
        </w:rPr>
        <w:t> </w:t>
      </w:r>
      <w:r>
        <w:rPr/>
        <w:t>Report</w:t>
      </w:r>
      <w:r>
        <w:rPr>
          <w:spacing w:val="-1"/>
        </w:rPr>
        <w:t> </w:t>
      </w:r>
      <w:r>
        <w:rPr/>
        <w:t>on</w:t>
      </w:r>
      <w:r>
        <w:rPr>
          <w:spacing w:val="-1"/>
        </w:rPr>
        <w:t> </w:t>
      </w:r>
      <w:r>
        <w:rPr/>
        <w:t>National</w:t>
      </w:r>
      <w:r>
        <w:rPr>
          <w:spacing w:val="-1"/>
        </w:rPr>
        <w:t> </w:t>
      </w:r>
      <w:r>
        <w:rPr/>
        <w:t>Housing</w:t>
      </w:r>
      <w:r>
        <w:rPr>
          <w:spacing w:val="-4"/>
        </w:rPr>
        <w:t> </w:t>
      </w:r>
      <w:r>
        <w:rPr>
          <w:spacing w:val="-2"/>
        </w:rPr>
        <w:t>Trend</w:t>
      </w:r>
    </w:p>
    <w:p>
      <w:pPr>
        <w:pStyle w:val="BodyText"/>
      </w:pPr>
    </w:p>
    <w:p>
      <w:pPr>
        <w:pStyle w:val="BodyText"/>
        <w:spacing w:before="154"/>
      </w:pPr>
    </w:p>
    <w:p>
      <w:pPr>
        <w:spacing w:before="0"/>
        <w:ind w:left="240" w:right="0" w:firstLine="0"/>
        <w:jc w:val="left"/>
        <w:rPr>
          <w:sz w:val="24"/>
        </w:rPr>
      </w:pPr>
      <w:r>
        <w:rPr>
          <w:b/>
          <w:sz w:val="24"/>
        </w:rPr>
        <w:t>Table</w:t>
      </w:r>
      <w:r>
        <w:rPr>
          <w:b/>
          <w:spacing w:val="-1"/>
          <w:sz w:val="24"/>
        </w:rPr>
        <w:t> </w:t>
      </w:r>
      <w:r>
        <w:rPr>
          <w:b/>
          <w:sz w:val="24"/>
        </w:rPr>
        <w:t>3.10.</w:t>
      </w:r>
      <w:r>
        <w:rPr>
          <w:b/>
          <w:spacing w:val="-1"/>
          <w:sz w:val="24"/>
        </w:rPr>
        <w:t> </w:t>
      </w:r>
      <w:r>
        <w:rPr>
          <w:sz w:val="24"/>
        </w:rPr>
        <w:t>Housing</w:t>
      </w:r>
      <w:r>
        <w:rPr>
          <w:spacing w:val="-3"/>
          <w:sz w:val="24"/>
        </w:rPr>
        <w:t> </w:t>
      </w:r>
      <w:r>
        <w:rPr>
          <w:sz w:val="24"/>
        </w:rPr>
        <w:t>needs</w:t>
      </w:r>
      <w:r>
        <w:rPr>
          <w:spacing w:val="-1"/>
          <w:sz w:val="24"/>
        </w:rPr>
        <w:t> </w:t>
      </w:r>
      <w:r>
        <w:rPr>
          <w:sz w:val="24"/>
        </w:rPr>
        <w:t>in</w:t>
      </w:r>
      <w:r>
        <w:rPr>
          <w:spacing w:val="-1"/>
          <w:sz w:val="24"/>
        </w:rPr>
        <w:t> </w:t>
      </w:r>
      <w:r>
        <w:rPr>
          <w:sz w:val="24"/>
        </w:rPr>
        <w:t>Nigeria</w:t>
      </w:r>
      <w:r>
        <w:rPr>
          <w:spacing w:val="-1"/>
          <w:sz w:val="24"/>
        </w:rPr>
        <w:t> </w:t>
      </w:r>
      <w:r>
        <w:rPr>
          <w:sz w:val="24"/>
        </w:rPr>
        <w:t>(1991 – </w:t>
      </w:r>
      <w:r>
        <w:rPr>
          <w:spacing w:val="-2"/>
          <w:sz w:val="24"/>
        </w:rPr>
        <w:t>2001)</w:t>
      </w:r>
    </w:p>
    <w:p>
      <w:pPr>
        <w:pStyle w:val="BodyText"/>
        <w:spacing w:before="11"/>
        <w:rPr>
          <w:sz w:val="8"/>
        </w:rPr>
      </w:pPr>
      <w:r>
        <w:rPr/>
        <w:drawing>
          <wp:anchor distT="0" distB="0" distL="0" distR="0" allowOverlap="1" layoutInCell="1" locked="0" behindDoc="1" simplePos="0" relativeHeight="487596544">
            <wp:simplePos x="0" y="0"/>
            <wp:positionH relativeFrom="page">
              <wp:posOffset>933450</wp:posOffset>
            </wp:positionH>
            <wp:positionV relativeFrom="paragraph">
              <wp:posOffset>80768</wp:posOffset>
            </wp:positionV>
            <wp:extent cx="5704629" cy="906780"/>
            <wp:effectExtent l="0" t="0" r="0" b="0"/>
            <wp:wrapTopAndBottom/>
            <wp:docPr id="137" name="Image 137"/>
            <wp:cNvGraphicFramePr>
              <a:graphicFrameLocks/>
            </wp:cNvGraphicFramePr>
            <a:graphic>
              <a:graphicData uri="http://schemas.openxmlformats.org/drawingml/2006/picture">
                <pic:pic>
                  <pic:nvPicPr>
                    <pic:cNvPr id="137" name="Image 137"/>
                    <pic:cNvPicPr/>
                  </pic:nvPicPr>
                  <pic:blipFill>
                    <a:blip r:embed="rId53" cstate="print"/>
                    <a:stretch>
                      <a:fillRect/>
                    </a:stretch>
                  </pic:blipFill>
                  <pic:spPr>
                    <a:xfrm>
                      <a:off x="0" y="0"/>
                      <a:ext cx="5704629" cy="906780"/>
                    </a:xfrm>
                    <a:prstGeom prst="rect">
                      <a:avLst/>
                    </a:prstGeom>
                  </pic:spPr>
                </pic:pic>
              </a:graphicData>
            </a:graphic>
          </wp:anchor>
        </w:drawing>
      </w:r>
    </w:p>
    <w:p>
      <w:pPr>
        <w:spacing w:before="0"/>
        <w:ind w:left="240" w:right="0" w:firstLine="0"/>
        <w:jc w:val="left"/>
        <w:rPr>
          <w:sz w:val="24"/>
        </w:rPr>
      </w:pPr>
      <w:r>
        <w:rPr>
          <w:b/>
          <w:sz w:val="24"/>
        </w:rPr>
        <w:t>Source:</w:t>
      </w:r>
      <w:r>
        <w:rPr>
          <w:b/>
          <w:spacing w:val="-5"/>
          <w:sz w:val="24"/>
        </w:rPr>
        <w:t> </w:t>
      </w:r>
      <w:r>
        <w:rPr>
          <w:sz w:val="24"/>
        </w:rPr>
        <w:t>UN-Habitat</w:t>
      </w:r>
      <w:r>
        <w:rPr>
          <w:spacing w:val="-3"/>
          <w:sz w:val="24"/>
        </w:rPr>
        <w:t> </w:t>
      </w:r>
      <w:r>
        <w:rPr>
          <w:spacing w:val="-2"/>
          <w:sz w:val="24"/>
        </w:rPr>
        <w:t>(2002)</w:t>
      </w:r>
    </w:p>
    <w:p>
      <w:pPr>
        <w:pStyle w:val="BodyText"/>
      </w:pPr>
    </w:p>
    <w:p>
      <w:pPr>
        <w:pStyle w:val="BodyText"/>
      </w:pPr>
    </w:p>
    <w:p>
      <w:pPr>
        <w:pStyle w:val="BodyText"/>
        <w:spacing w:before="17"/>
      </w:pPr>
    </w:p>
    <w:p>
      <w:pPr>
        <w:pStyle w:val="BodyText"/>
        <w:ind w:left="240"/>
      </w:pPr>
      <w:r>
        <w:rPr>
          <w:b/>
        </w:rPr>
        <w:t>Table</w:t>
      </w:r>
      <w:r>
        <w:rPr>
          <w:b/>
          <w:spacing w:val="-1"/>
        </w:rPr>
        <w:t> </w:t>
      </w:r>
      <w:r>
        <w:rPr>
          <w:b/>
        </w:rPr>
        <w:t>3.11.</w:t>
      </w:r>
      <w:r>
        <w:rPr>
          <w:b/>
          <w:spacing w:val="-1"/>
        </w:rPr>
        <w:t> </w:t>
      </w:r>
      <w:r>
        <w:rPr/>
        <w:t>Estimated</w:t>
      </w:r>
      <w:r>
        <w:rPr>
          <w:spacing w:val="-1"/>
        </w:rPr>
        <w:t> </w:t>
      </w:r>
      <w:r>
        <w:rPr/>
        <w:t>Housing</w:t>
      </w:r>
      <w:r>
        <w:rPr>
          <w:spacing w:val="-3"/>
        </w:rPr>
        <w:t> </w:t>
      </w:r>
      <w:r>
        <w:rPr/>
        <w:t>needs in</w:t>
      </w:r>
      <w:r>
        <w:rPr>
          <w:spacing w:val="-1"/>
        </w:rPr>
        <w:t> </w:t>
      </w:r>
      <w:r>
        <w:rPr/>
        <w:t>Nigeria,</w:t>
      </w:r>
      <w:r>
        <w:rPr>
          <w:spacing w:val="1"/>
        </w:rPr>
        <w:t> </w:t>
      </w:r>
      <w:r>
        <w:rPr/>
        <w:t>between</w:t>
      </w:r>
      <w:r>
        <w:rPr>
          <w:spacing w:val="-1"/>
        </w:rPr>
        <w:t> </w:t>
      </w:r>
      <w:r>
        <w:rPr/>
        <w:t>1990</w:t>
      </w:r>
      <w:r>
        <w:rPr>
          <w:spacing w:val="-1"/>
        </w:rPr>
        <w:t> </w:t>
      </w:r>
      <w:r>
        <w:rPr/>
        <w:t>– </w:t>
      </w:r>
      <w:r>
        <w:rPr>
          <w:spacing w:val="-4"/>
        </w:rPr>
        <w:t>2020</w:t>
      </w:r>
    </w:p>
    <w:p>
      <w:pPr>
        <w:pStyle w:val="BodyText"/>
        <w:spacing w:before="8"/>
        <w:rPr>
          <w:sz w:val="12"/>
        </w:rPr>
      </w:pPr>
      <w:r>
        <w:rPr/>
        <w:drawing>
          <wp:anchor distT="0" distB="0" distL="0" distR="0" allowOverlap="1" layoutInCell="1" locked="0" behindDoc="1" simplePos="0" relativeHeight="487597056">
            <wp:simplePos x="0" y="0"/>
            <wp:positionH relativeFrom="page">
              <wp:posOffset>961997</wp:posOffset>
            </wp:positionH>
            <wp:positionV relativeFrom="paragraph">
              <wp:posOffset>108231</wp:posOffset>
            </wp:positionV>
            <wp:extent cx="5330773" cy="1254156"/>
            <wp:effectExtent l="0" t="0" r="0" b="0"/>
            <wp:wrapTopAndBottom/>
            <wp:docPr id="138" name="Image 138"/>
            <wp:cNvGraphicFramePr>
              <a:graphicFrameLocks/>
            </wp:cNvGraphicFramePr>
            <a:graphic>
              <a:graphicData uri="http://schemas.openxmlformats.org/drawingml/2006/picture">
                <pic:pic>
                  <pic:nvPicPr>
                    <pic:cNvPr id="138" name="Image 138"/>
                    <pic:cNvPicPr/>
                  </pic:nvPicPr>
                  <pic:blipFill>
                    <a:blip r:embed="rId54" cstate="print"/>
                    <a:stretch>
                      <a:fillRect/>
                    </a:stretch>
                  </pic:blipFill>
                  <pic:spPr>
                    <a:xfrm>
                      <a:off x="0" y="0"/>
                      <a:ext cx="5330773" cy="1254156"/>
                    </a:xfrm>
                    <a:prstGeom prst="rect">
                      <a:avLst/>
                    </a:prstGeom>
                  </pic:spPr>
                </pic:pic>
              </a:graphicData>
            </a:graphic>
          </wp:anchor>
        </w:drawing>
      </w:r>
    </w:p>
    <w:p>
      <w:pPr>
        <w:spacing w:before="130"/>
        <w:ind w:left="240" w:right="0" w:firstLine="0"/>
        <w:jc w:val="left"/>
        <w:rPr>
          <w:sz w:val="24"/>
        </w:rPr>
      </w:pPr>
      <w:r>
        <w:rPr>
          <w:b/>
          <w:sz w:val="24"/>
        </w:rPr>
        <w:t>Source:</w:t>
      </w:r>
      <w:r>
        <w:rPr>
          <w:b/>
          <w:spacing w:val="-3"/>
          <w:sz w:val="24"/>
        </w:rPr>
        <w:t> </w:t>
      </w:r>
      <w:r>
        <w:rPr>
          <w:sz w:val="24"/>
        </w:rPr>
        <w:t>Onibokun</w:t>
      </w:r>
      <w:r>
        <w:rPr>
          <w:spacing w:val="-1"/>
          <w:sz w:val="24"/>
        </w:rPr>
        <w:t> </w:t>
      </w:r>
      <w:r>
        <w:rPr>
          <w:spacing w:val="-2"/>
          <w:sz w:val="24"/>
        </w:rPr>
        <w:t>(1990)</w:t>
      </w:r>
    </w:p>
    <w:p>
      <w:pPr>
        <w:spacing w:after="0"/>
        <w:jc w:val="left"/>
        <w:rPr>
          <w:sz w:val="24"/>
        </w:rPr>
        <w:sectPr>
          <w:pgSz w:w="12240" w:h="15840"/>
          <w:pgMar w:header="0" w:footer="1036" w:top="1360" w:bottom="1220" w:left="1200" w:right="600"/>
        </w:sectPr>
      </w:pPr>
    </w:p>
    <w:p>
      <w:pPr>
        <w:pStyle w:val="Heading3"/>
        <w:numPr>
          <w:ilvl w:val="1"/>
          <w:numId w:val="27"/>
        </w:numPr>
        <w:tabs>
          <w:tab w:pos="628" w:val="left" w:leader="none"/>
        </w:tabs>
        <w:spacing w:line="240" w:lineRule="auto" w:before="60" w:after="0"/>
        <w:ind w:left="628" w:right="0" w:hanging="388"/>
        <w:jc w:val="both"/>
      </w:pPr>
      <w:r>
        <w:rPr/>
        <w:t>Housing</w:t>
      </w:r>
      <w:r>
        <w:rPr>
          <w:spacing w:val="-10"/>
        </w:rPr>
        <w:t> </w:t>
      </w:r>
      <w:r>
        <w:rPr>
          <w:spacing w:val="-2"/>
        </w:rPr>
        <w:t>Budgeting</w:t>
      </w:r>
    </w:p>
    <w:p>
      <w:pPr>
        <w:pStyle w:val="BodyText"/>
        <w:spacing w:line="360" w:lineRule="auto" w:before="144"/>
        <w:ind w:left="240" w:right="837"/>
        <w:jc w:val="both"/>
      </w:pPr>
      <w:r>
        <w:rPr/>
        <w:t>Housing budgeting essentially relates to housing procurement through budgetary allocation. The Economic and Social Rights Centre (2013) asserts that housing budgeting is aimed at enhancing the realization of the right to adequate housing ownership. This is in view of citizens‘ constitutional right to adequate shelter and a healthy living environment at affordable cost to all socio-economic groups, particularly the low-income earners. An appraisal of the budgetary allocation for</w:t>
      </w:r>
      <w:r>
        <w:rPr>
          <w:spacing w:val="-2"/>
        </w:rPr>
        <w:t> </w:t>
      </w:r>
      <w:r>
        <w:rPr/>
        <w:t>housing can be</w:t>
      </w:r>
      <w:r>
        <w:rPr>
          <w:spacing w:val="-1"/>
        </w:rPr>
        <w:t> </w:t>
      </w:r>
      <w:r>
        <w:rPr/>
        <w:t>a</w:t>
      </w:r>
      <w:r>
        <w:rPr>
          <w:spacing w:val="-1"/>
        </w:rPr>
        <w:t> </w:t>
      </w:r>
      <w:r>
        <w:rPr/>
        <w:t>starting point for</w:t>
      </w:r>
      <w:r>
        <w:rPr>
          <w:spacing w:val="-2"/>
        </w:rPr>
        <w:t> </w:t>
      </w:r>
      <w:r>
        <w:rPr/>
        <w:t>the</w:t>
      </w:r>
      <w:r>
        <w:rPr>
          <w:spacing w:val="-1"/>
        </w:rPr>
        <w:t> </w:t>
      </w:r>
      <w:r>
        <w:rPr/>
        <w:t>analysis of whether</w:t>
      </w:r>
      <w:r>
        <w:rPr>
          <w:spacing w:val="-1"/>
        </w:rPr>
        <w:t> </w:t>
      </w:r>
      <w:r>
        <w:rPr/>
        <w:t>or not the government is doing enough within its power to fulfill its obligations and enhance the attainment of this right, hence, financing of physical infrastructure for public housing sector in order to ensure successful housing delivery is substantially through budgetary allocations of the government.</w:t>
      </w:r>
    </w:p>
    <w:p>
      <w:pPr>
        <w:pStyle w:val="BodyText"/>
        <w:spacing w:before="122"/>
      </w:pPr>
    </w:p>
    <w:p>
      <w:pPr>
        <w:spacing w:line="360" w:lineRule="auto" w:before="0"/>
        <w:ind w:left="240" w:right="835" w:firstLine="0"/>
        <w:jc w:val="both"/>
        <w:rPr>
          <w:sz w:val="24"/>
        </w:rPr>
      </w:pPr>
      <w:r>
        <w:rPr>
          <w:sz w:val="24"/>
        </w:rPr>
        <w:t>Results of a study carried out by Mac-Barango and Shittu (2017) revealed that a strong positive relationship exists between budgetary allocation and prices of building materials from 1994 - 2004, implying that </w:t>
      </w:r>
      <w:r>
        <w:rPr>
          <w:sz w:val="23"/>
        </w:rPr>
        <w:t>the budgetary allocations to the housing sector can be predicted using values of the prices of the building materials. According to Mogbo (2001), wrong appraisals of the during a budgeting exercise for infrastructure in the public sector, is a major cause of poor performance that arises</w:t>
      </w:r>
      <w:r>
        <w:rPr>
          <w:spacing w:val="-3"/>
          <w:sz w:val="23"/>
        </w:rPr>
        <w:t> </w:t>
      </w:r>
      <w:r>
        <w:rPr>
          <w:sz w:val="23"/>
        </w:rPr>
        <w:t>from</w:t>
      </w:r>
      <w:r>
        <w:rPr>
          <w:spacing w:val="-2"/>
          <w:sz w:val="23"/>
        </w:rPr>
        <w:t> </w:t>
      </w:r>
      <w:r>
        <w:rPr>
          <w:sz w:val="23"/>
        </w:rPr>
        <w:t>inadequate</w:t>
      </w:r>
      <w:r>
        <w:rPr>
          <w:spacing w:val="-2"/>
          <w:sz w:val="23"/>
        </w:rPr>
        <w:t> </w:t>
      </w:r>
      <w:r>
        <w:rPr>
          <w:sz w:val="23"/>
        </w:rPr>
        <w:t>budgeting</w:t>
      </w:r>
      <w:r>
        <w:rPr>
          <w:spacing w:val="-5"/>
          <w:sz w:val="23"/>
        </w:rPr>
        <w:t> </w:t>
      </w:r>
      <w:r>
        <w:rPr>
          <w:sz w:val="23"/>
        </w:rPr>
        <w:t>and</w:t>
      </w:r>
      <w:r>
        <w:rPr>
          <w:spacing w:val="-2"/>
          <w:sz w:val="23"/>
        </w:rPr>
        <w:t> </w:t>
      </w:r>
      <w:r>
        <w:rPr>
          <w:sz w:val="23"/>
        </w:rPr>
        <w:t>that</w:t>
      </w:r>
      <w:r>
        <w:rPr>
          <w:spacing w:val="-2"/>
          <w:sz w:val="23"/>
        </w:rPr>
        <w:t> </w:t>
      </w:r>
      <w:r>
        <w:rPr>
          <w:sz w:val="23"/>
        </w:rPr>
        <w:t>budgetary</w:t>
      </w:r>
      <w:r>
        <w:rPr>
          <w:spacing w:val="-3"/>
          <w:sz w:val="23"/>
        </w:rPr>
        <w:t> </w:t>
      </w:r>
      <w:r>
        <w:rPr>
          <w:sz w:val="23"/>
        </w:rPr>
        <w:t>financing</w:t>
      </w:r>
      <w:r>
        <w:rPr>
          <w:spacing w:val="-5"/>
          <w:sz w:val="23"/>
        </w:rPr>
        <w:t> </w:t>
      </w:r>
      <w:r>
        <w:rPr>
          <w:sz w:val="23"/>
        </w:rPr>
        <w:t>correlates</w:t>
      </w:r>
      <w:r>
        <w:rPr>
          <w:spacing w:val="-3"/>
          <w:sz w:val="23"/>
        </w:rPr>
        <w:t> </w:t>
      </w:r>
      <w:r>
        <w:rPr>
          <w:sz w:val="23"/>
        </w:rPr>
        <w:t>with</w:t>
      </w:r>
      <w:r>
        <w:rPr>
          <w:spacing w:val="-2"/>
          <w:sz w:val="23"/>
        </w:rPr>
        <w:t> </w:t>
      </w:r>
      <w:r>
        <w:rPr>
          <w:sz w:val="23"/>
        </w:rPr>
        <w:t>physical</w:t>
      </w:r>
      <w:r>
        <w:rPr>
          <w:spacing w:val="-2"/>
          <w:sz w:val="23"/>
        </w:rPr>
        <w:t> </w:t>
      </w:r>
      <w:r>
        <w:rPr>
          <w:sz w:val="23"/>
        </w:rPr>
        <w:t>infrastructure. Anyadike (2002b) articulates reviews emphasizing budgetary planning as a tool for rational</w:t>
      </w:r>
      <w:r>
        <w:rPr>
          <w:spacing w:val="40"/>
          <w:sz w:val="23"/>
        </w:rPr>
        <w:t> </w:t>
      </w:r>
      <w:r>
        <w:rPr>
          <w:sz w:val="23"/>
        </w:rPr>
        <w:t>allocation of financial resources in the housing sector. </w:t>
      </w:r>
      <w:r>
        <w:rPr>
          <w:sz w:val="24"/>
        </w:rPr>
        <w:t>Alagidede (2012) also observes that government can, through its policies, either retard or stimulate the economy. It is able to achieve this through spending on physical infrastructure. Thus, the pace and pattern of investment in housing construction sector is critical, the sector establishes a number of inter sectoral linkages</w:t>
      </w:r>
      <w:r>
        <w:rPr>
          <w:spacing w:val="40"/>
          <w:sz w:val="24"/>
        </w:rPr>
        <w:t> </w:t>
      </w:r>
      <w:r>
        <w:rPr>
          <w:sz w:val="24"/>
        </w:rPr>
        <w:t>of the economy and produces multiplier effects.</w:t>
      </w:r>
    </w:p>
    <w:p>
      <w:pPr>
        <w:pStyle w:val="BodyText"/>
        <w:spacing w:before="137"/>
      </w:pPr>
    </w:p>
    <w:p>
      <w:pPr>
        <w:pStyle w:val="BodyText"/>
        <w:spacing w:line="360" w:lineRule="auto"/>
        <w:ind w:left="240" w:right="839"/>
        <w:jc w:val="both"/>
      </w:pPr>
      <w:r>
        <w:rPr/>
        <w:t>Budgetary allocations involve an analytic review process that translates the requirements and needs of the housing sector to financial and economic terms. Alagidede (2012) posits that the needs and requirement of the physical construction sector are labour, material and equipment which translate the techno-economic specifications produced, by the architectural, engineering and design services into concrete physical entities. Anyadike (2000), concludes that a thorough analysis</w:t>
      </w:r>
      <w:r>
        <w:rPr>
          <w:spacing w:val="48"/>
        </w:rPr>
        <w:t> </w:t>
      </w:r>
      <w:r>
        <w:rPr/>
        <w:t>of</w:t>
      </w:r>
      <w:r>
        <w:rPr>
          <w:spacing w:val="47"/>
        </w:rPr>
        <w:t> </w:t>
      </w:r>
      <w:r>
        <w:rPr/>
        <w:t>constituents‘</w:t>
      </w:r>
      <w:r>
        <w:rPr>
          <w:spacing w:val="50"/>
        </w:rPr>
        <w:t> </w:t>
      </w:r>
      <w:r>
        <w:rPr/>
        <w:t>of</w:t>
      </w:r>
      <w:r>
        <w:rPr>
          <w:spacing w:val="47"/>
        </w:rPr>
        <w:t> </w:t>
      </w:r>
      <w:r>
        <w:rPr/>
        <w:t>projects</w:t>
      </w:r>
      <w:r>
        <w:rPr>
          <w:spacing w:val="49"/>
        </w:rPr>
        <w:t> </w:t>
      </w:r>
      <w:r>
        <w:rPr/>
        <w:t>and</w:t>
      </w:r>
      <w:r>
        <w:rPr>
          <w:spacing w:val="48"/>
        </w:rPr>
        <w:t> </w:t>
      </w:r>
      <w:r>
        <w:rPr/>
        <w:t>their</w:t>
      </w:r>
      <w:r>
        <w:rPr>
          <w:spacing w:val="49"/>
        </w:rPr>
        <w:t> </w:t>
      </w:r>
      <w:r>
        <w:rPr/>
        <w:t>resources</w:t>
      </w:r>
      <w:r>
        <w:rPr>
          <w:spacing w:val="50"/>
        </w:rPr>
        <w:t> </w:t>
      </w:r>
      <w:r>
        <w:rPr/>
        <w:t>requirements</w:t>
      </w:r>
      <w:r>
        <w:rPr>
          <w:spacing w:val="49"/>
        </w:rPr>
        <w:t> </w:t>
      </w:r>
      <w:r>
        <w:rPr/>
        <w:t>form</w:t>
      </w:r>
      <w:r>
        <w:rPr>
          <w:spacing w:val="48"/>
        </w:rPr>
        <w:t> </w:t>
      </w:r>
      <w:r>
        <w:rPr/>
        <w:t>a</w:t>
      </w:r>
      <w:r>
        <w:rPr>
          <w:spacing w:val="49"/>
        </w:rPr>
        <w:t> </w:t>
      </w:r>
      <w:r>
        <w:rPr/>
        <w:t>good</w:t>
      </w:r>
      <w:r>
        <w:rPr>
          <w:spacing w:val="48"/>
        </w:rPr>
        <w:t> </w:t>
      </w:r>
      <w:r>
        <w:rPr/>
        <w:t>basis</w:t>
      </w:r>
      <w:r>
        <w:rPr>
          <w:spacing w:val="49"/>
        </w:rPr>
        <w:t> </w:t>
      </w:r>
      <w:r>
        <w:rPr>
          <w:spacing w:val="-5"/>
        </w:rPr>
        <w:t>for</w:t>
      </w:r>
    </w:p>
    <w:p>
      <w:pPr>
        <w:spacing w:after="0" w:line="360" w:lineRule="auto"/>
        <w:jc w:val="both"/>
        <w:sectPr>
          <w:pgSz w:w="12240" w:h="15840"/>
          <w:pgMar w:header="0" w:footer="1036" w:top="1380" w:bottom="1220" w:left="1200" w:right="600"/>
        </w:sectPr>
      </w:pPr>
    </w:p>
    <w:p>
      <w:pPr>
        <w:pStyle w:val="BodyText"/>
        <w:spacing w:line="360" w:lineRule="auto" w:before="74"/>
        <w:ind w:left="240" w:right="837"/>
        <w:jc w:val="both"/>
      </w:pPr>
      <w:r>
        <w:rPr/>
        <w:t>budgetary allocation and also cautions that budgetary allocation should not be undertaken</w:t>
      </w:r>
      <w:r>
        <w:rPr>
          <w:spacing w:val="40"/>
        </w:rPr>
        <w:t> </w:t>
      </w:r>
      <w:r>
        <w:rPr/>
        <w:t>without appropriate plans for continuous funding to completion.</w:t>
      </w:r>
    </w:p>
    <w:p>
      <w:pPr>
        <w:pStyle w:val="BodyText"/>
        <w:spacing w:before="137"/>
      </w:pPr>
    </w:p>
    <w:p>
      <w:pPr>
        <w:pStyle w:val="BodyText"/>
        <w:spacing w:line="360" w:lineRule="auto"/>
        <w:ind w:left="240" w:right="837"/>
        <w:jc w:val="both"/>
      </w:pPr>
      <w:r>
        <w:rPr/>
        <w:t>Mogbo (2001), links inadequate budgeting by the public sector to the low level of implementation of infrastructural development and emphases that the poor performance is</w:t>
      </w:r>
      <w:r>
        <w:rPr>
          <w:spacing w:val="40"/>
        </w:rPr>
        <w:t> </w:t>
      </w:r>
      <w:r>
        <w:rPr/>
        <w:t>caused by budget deficit. Uncompleted projects and outright abandonment are some of consequential effects which the lack of connectivity between the budget sizes and projects, they are expected to finance can cause (Nwuba, 2004; Alagidede, 2012). These observations are in line</w:t>
      </w:r>
      <w:r>
        <w:rPr>
          <w:spacing w:val="-1"/>
        </w:rPr>
        <w:t> </w:t>
      </w:r>
      <w:r>
        <w:rPr/>
        <w:t>with that of</w:t>
      </w:r>
      <w:r>
        <w:rPr>
          <w:spacing w:val="-1"/>
        </w:rPr>
        <w:t> </w:t>
      </w:r>
      <w:r>
        <w:rPr/>
        <w:t>the</w:t>
      </w:r>
      <w:r>
        <w:rPr>
          <w:spacing w:val="-1"/>
        </w:rPr>
        <w:t> </w:t>
      </w:r>
      <w:r>
        <w:rPr/>
        <w:t>Economic</w:t>
      </w:r>
      <w:r>
        <w:rPr>
          <w:spacing w:val="-1"/>
        </w:rPr>
        <w:t> </w:t>
      </w:r>
      <w:r>
        <w:rPr/>
        <w:t>and Social Rights Centre</w:t>
      </w:r>
      <w:r>
        <w:rPr>
          <w:spacing w:val="-2"/>
        </w:rPr>
        <w:t> </w:t>
      </w:r>
      <w:r>
        <w:rPr/>
        <w:t>(2013)</w:t>
      </w:r>
      <w:r>
        <w:rPr>
          <w:spacing w:val="-1"/>
        </w:rPr>
        <w:t> </w:t>
      </w:r>
      <w:r>
        <w:rPr/>
        <w:t>where</w:t>
      </w:r>
      <w:r>
        <w:rPr>
          <w:spacing w:val="-2"/>
        </w:rPr>
        <w:t> </w:t>
      </w:r>
      <w:r>
        <w:rPr/>
        <w:t>one percent of</w:t>
      </w:r>
      <w:r>
        <w:rPr>
          <w:spacing w:val="-1"/>
        </w:rPr>
        <w:t> </w:t>
      </w:r>
      <w:r>
        <w:rPr/>
        <w:t>the</w:t>
      </w:r>
      <w:r>
        <w:rPr>
          <w:spacing w:val="-1"/>
        </w:rPr>
        <w:t> </w:t>
      </w:r>
      <w:r>
        <w:rPr/>
        <w:t>national budget was allocated to the Ministry of Housing in Kenya. This was grossly inadequate to deal with the herculean task of providing housing, especially for to the growing numbers of the poor and middle income groups. In an attempt to address this issue, the Ministry</w:t>
      </w:r>
      <w:r>
        <w:rPr>
          <w:spacing w:val="-1"/>
        </w:rPr>
        <w:t> </w:t>
      </w:r>
      <w:r>
        <w:rPr/>
        <w:t>of Housing proposed far-reaching changes to the Housing Act to commit a higher percentage of annual national revenues to finance housing development</w:t>
      </w:r>
    </w:p>
    <w:p>
      <w:pPr>
        <w:pStyle w:val="BodyText"/>
        <w:spacing w:before="139"/>
      </w:pPr>
    </w:p>
    <w:p>
      <w:pPr>
        <w:pStyle w:val="BodyText"/>
        <w:spacing w:line="360" w:lineRule="auto"/>
        <w:ind w:left="240" w:right="835"/>
        <w:jc w:val="both"/>
      </w:pPr>
      <w:r>
        <w:rPr/>
        <w:t>Results of housing budget studies carried out by the Economic and Social Rights Centre (2013)</w:t>
      </w:r>
      <w:r>
        <w:rPr>
          <w:spacing w:val="40"/>
        </w:rPr>
        <w:t> </w:t>
      </w:r>
      <w:r>
        <w:rPr/>
        <w:t>in Kenya, revealed that: (i) despite housing being an indispensable part of human dignity there has been inadequate budgetary allocation for the provision of affordable housing, especially for the poor (ii) over time, the financial resources that have been allocated to the sector have been inadequate when compared to the required financial resources (iii)spending of budget allocations to the sector are bedeviled with myriads of challenges including; perpetual annual under- expenditure, under-collection of earmarked Appropriations, unsupported and unvouched expenditure (iv) there is lack of transparency in budget information from the housing sector. A review of budget information for housing from fiscal year 2007/08 reveals that detailed documents on housing financing are not available to the public. The readily available</w:t>
      </w:r>
      <w:r>
        <w:rPr>
          <w:spacing w:val="40"/>
        </w:rPr>
        <w:t> </w:t>
      </w:r>
      <w:r>
        <w:rPr/>
        <w:t>information is just estimates of expenditure books; which are highly aggregated and written in technical and sophisticated budget language (v) it is difficult to fully analyze the 2013/14 budget as it is highly aggregated, without any details of expenditure in the mentioned programs and (vi) the budget information is not in line with the constitutional requirements for transparency, accountability and fairness for their participation in the budgetary process.</w:t>
      </w:r>
    </w:p>
    <w:p>
      <w:pPr>
        <w:spacing w:after="0" w:line="360" w:lineRule="auto"/>
        <w:jc w:val="both"/>
        <w:sectPr>
          <w:pgSz w:w="12240" w:h="15840"/>
          <w:pgMar w:header="0" w:footer="1036" w:top="1360" w:bottom="1220" w:left="1200" w:right="600"/>
        </w:sectPr>
      </w:pPr>
    </w:p>
    <w:p>
      <w:pPr>
        <w:pStyle w:val="Heading4"/>
        <w:numPr>
          <w:ilvl w:val="2"/>
          <w:numId w:val="27"/>
        </w:numPr>
        <w:tabs>
          <w:tab w:pos="899" w:val="left" w:leader="none"/>
        </w:tabs>
        <w:spacing w:line="240" w:lineRule="auto" w:before="76" w:after="0"/>
        <w:ind w:left="899" w:right="0" w:hanging="659"/>
        <w:jc w:val="both"/>
      </w:pPr>
      <w:r>
        <w:rPr/>
        <w:t>Antecedents</w:t>
      </w:r>
      <w:r>
        <w:rPr>
          <w:spacing w:val="-2"/>
        </w:rPr>
        <w:t> </w:t>
      </w:r>
      <w:r>
        <w:rPr/>
        <w:t>of</w:t>
      </w:r>
      <w:r>
        <w:rPr>
          <w:spacing w:val="-2"/>
        </w:rPr>
        <w:t> </w:t>
      </w:r>
      <w:r>
        <w:rPr/>
        <w:t>Housing</w:t>
      </w:r>
      <w:r>
        <w:rPr>
          <w:spacing w:val="-1"/>
        </w:rPr>
        <w:t> </w:t>
      </w:r>
      <w:r>
        <w:rPr/>
        <w:t>Budgeting</w:t>
      </w:r>
      <w:r>
        <w:rPr>
          <w:spacing w:val="-2"/>
        </w:rPr>
        <w:t> </w:t>
      </w:r>
      <w:r>
        <w:rPr/>
        <w:t>in</w:t>
      </w:r>
      <w:r>
        <w:rPr>
          <w:spacing w:val="-1"/>
        </w:rPr>
        <w:t> </w:t>
      </w:r>
      <w:r>
        <w:rPr>
          <w:spacing w:val="-2"/>
        </w:rPr>
        <w:t>Nigeria</w:t>
      </w:r>
    </w:p>
    <w:p>
      <w:pPr>
        <w:pStyle w:val="BodyText"/>
        <w:spacing w:line="360" w:lineRule="auto" w:before="205"/>
        <w:ind w:left="240" w:right="836"/>
        <w:jc w:val="both"/>
      </w:pPr>
      <w:r>
        <w:rPr/>
        <w:t>Public expenditure for housing</w:t>
      </w:r>
      <w:r>
        <w:rPr>
          <w:spacing w:val="-1"/>
        </w:rPr>
        <w:t> </w:t>
      </w:r>
      <w:r>
        <w:rPr/>
        <w:t>first appeared in official government records in early</w:t>
      </w:r>
      <w:r>
        <w:rPr>
          <w:spacing w:val="-3"/>
        </w:rPr>
        <w:t> </w:t>
      </w:r>
      <w:r>
        <w:rPr/>
        <w:t>70s and this was in the</w:t>
      </w:r>
      <w:r>
        <w:rPr>
          <w:spacing w:val="-1"/>
        </w:rPr>
        <w:t> </w:t>
      </w:r>
      <w:r>
        <w:rPr/>
        <w:t>period when the</w:t>
      </w:r>
      <w:r>
        <w:rPr>
          <w:spacing w:val="-1"/>
        </w:rPr>
        <w:t> </w:t>
      </w:r>
      <w:r>
        <w:rPr/>
        <w:t>second NDP was being</w:t>
      </w:r>
      <w:r>
        <w:rPr>
          <w:spacing w:val="-3"/>
        </w:rPr>
        <w:t> </w:t>
      </w:r>
      <w:r>
        <w:rPr/>
        <w:t>implemented.</w:t>
      </w:r>
      <w:r>
        <w:rPr>
          <w:spacing w:val="-1"/>
        </w:rPr>
        <w:t> </w:t>
      </w:r>
      <w:r>
        <w:rPr/>
        <w:t>Prior</w:t>
      </w:r>
      <w:r>
        <w:rPr>
          <w:spacing w:val="-1"/>
        </w:rPr>
        <w:t> </w:t>
      </w:r>
      <w:r>
        <w:rPr/>
        <w:t>to this time,</w:t>
      </w:r>
      <w:r>
        <w:rPr>
          <w:spacing w:val="-1"/>
        </w:rPr>
        <w:t> </w:t>
      </w:r>
      <w:r>
        <w:rPr/>
        <w:t>other</w:t>
      </w:r>
      <w:r>
        <w:rPr>
          <w:spacing w:val="-2"/>
        </w:rPr>
        <w:t> </w:t>
      </w:r>
      <w:r>
        <w:rPr/>
        <w:t>welfare items such as health, education, social welfare, water supply received budget priority but this</w:t>
      </w:r>
      <w:r>
        <w:rPr>
          <w:spacing w:val="80"/>
        </w:rPr>
        <w:t> </w:t>
      </w:r>
      <w:r>
        <w:rPr/>
        <w:t>was not the case with housing. When housing first received budget attention, it was only the federal government that provided funding</w:t>
      </w:r>
      <w:r>
        <w:rPr>
          <w:spacing w:val="-3"/>
        </w:rPr>
        <w:t> </w:t>
      </w:r>
      <w:r>
        <w:rPr/>
        <w:t>while State</w:t>
      </w:r>
      <w:r>
        <w:rPr>
          <w:spacing w:val="-1"/>
        </w:rPr>
        <w:t> </w:t>
      </w:r>
      <w:r>
        <w:rPr/>
        <w:t>and Local governments did not (Ekundare, </w:t>
      </w:r>
      <w:r>
        <w:rPr>
          <w:spacing w:val="-2"/>
        </w:rPr>
        <w:t>1971).</w:t>
      </w:r>
    </w:p>
    <w:p>
      <w:pPr>
        <w:pStyle w:val="BodyText"/>
        <w:spacing w:before="36"/>
      </w:pPr>
    </w:p>
    <w:p>
      <w:pPr>
        <w:pStyle w:val="BodyText"/>
        <w:spacing w:line="360" w:lineRule="auto"/>
        <w:ind w:left="240" w:right="840"/>
        <w:jc w:val="both"/>
      </w:pPr>
      <w:r>
        <w:rPr/>
        <w:t>Similarly, the capital expenditure schedule shows that housing was not initially included but an afterthought allocation of N2.634 million was later made (Awotona, 1990). In the third and fourth</w:t>
      </w:r>
      <w:r>
        <w:rPr>
          <w:spacing w:val="-1"/>
        </w:rPr>
        <w:t> </w:t>
      </w:r>
      <w:r>
        <w:rPr/>
        <w:t>NDPs</w:t>
      </w:r>
      <w:r>
        <w:rPr>
          <w:spacing w:val="-1"/>
        </w:rPr>
        <w:t> </w:t>
      </w:r>
      <w:r>
        <w:rPr/>
        <w:t>and</w:t>
      </w:r>
      <w:r>
        <w:rPr>
          <w:spacing w:val="-1"/>
        </w:rPr>
        <w:t> </w:t>
      </w:r>
      <w:r>
        <w:rPr/>
        <w:t>the</w:t>
      </w:r>
      <w:r>
        <w:rPr>
          <w:spacing w:val="-2"/>
        </w:rPr>
        <w:t> </w:t>
      </w:r>
      <w:r>
        <w:rPr/>
        <w:t>fourth</w:t>
      </w:r>
      <w:r>
        <w:rPr>
          <w:spacing w:val="-1"/>
        </w:rPr>
        <w:t> </w:t>
      </w:r>
      <w:r>
        <w:rPr/>
        <w:t>NRP,</w:t>
      </w:r>
      <w:r>
        <w:rPr>
          <w:spacing w:val="-1"/>
        </w:rPr>
        <w:t> </w:t>
      </w:r>
      <w:r>
        <w:rPr/>
        <w:t>budget</w:t>
      </w:r>
      <w:r>
        <w:rPr>
          <w:spacing w:val="-1"/>
        </w:rPr>
        <w:t> </w:t>
      </w:r>
      <w:r>
        <w:rPr/>
        <w:t>estimates</w:t>
      </w:r>
      <w:r>
        <w:rPr>
          <w:spacing w:val="-1"/>
        </w:rPr>
        <w:t> </w:t>
      </w:r>
      <w:r>
        <w:rPr/>
        <w:t>(in</w:t>
      </w:r>
      <w:r>
        <w:rPr>
          <w:spacing w:val="-2"/>
        </w:rPr>
        <w:t> </w:t>
      </w:r>
      <w:r>
        <w:rPr/>
        <w:t>Nigerian</w:t>
      </w:r>
      <w:r>
        <w:rPr>
          <w:spacing w:val="-1"/>
        </w:rPr>
        <w:t> </w:t>
      </w:r>
      <w:r>
        <w:rPr/>
        <w:t>Naira)</w:t>
      </w:r>
      <w:r>
        <w:rPr>
          <w:spacing w:val="-2"/>
        </w:rPr>
        <w:t> </w:t>
      </w:r>
      <w:r>
        <w:rPr/>
        <w:t>of</w:t>
      </w:r>
      <w:r>
        <w:rPr>
          <w:spacing w:val="-2"/>
        </w:rPr>
        <w:t> </w:t>
      </w:r>
      <w:r>
        <w:rPr/>
        <w:t>N1.830</w:t>
      </w:r>
      <w:r>
        <w:rPr>
          <w:spacing w:val="-1"/>
        </w:rPr>
        <w:t> </w:t>
      </w:r>
      <w:r>
        <w:rPr/>
        <w:t>billion,</w:t>
      </w:r>
      <w:r>
        <w:rPr>
          <w:spacing w:val="-1"/>
        </w:rPr>
        <w:t> </w:t>
      </w:r>
      <w:r>
        <w:rPr/>
        <w:t>N2.686 billion and N2.0 billion were respectively provided by the federal government. The values of these amounts of monies were good in the periods at which the budgets were made because the exchange rate of Nigerian Naira(</w:t>
      </w:r>
      <w:r>
        <w:rPr>
          <w:dstrike/>
        </w:rPr>
        <w:t>N</w:t>
      </w:r>
      <w:r>
        <w:rPr>
          <w:strike w:val="0"/>
        </w:rPr>
        <w:t>) to US dollar ($) was almost at par and the inflation rate was at a single digit in some of the periods. The budgetary</w:t>
      </w:r>
      <w:r>
        <w:rPr>
          <w:strike w:val="0"/>
          <w:spacing w:val="-2"/>
        </w:rPr>
        <w:t> </w:t>
      </w:r>
      <w:r>
        <w:rPr>
          <w:strike w:val="0"/>
        </w:rPr>
        <w:t>provisions, number of houses projected to be provided and number of houses actually provided during these periods are presented in Table </w:t>
      </w:r>
      <w:r>
        <w:rPr>
          <w:strike w:val="0"/>
          <w:spacing w:val="-2"/>
        </w:rPr>
        <w:t>3.12.</w:t>
      </w:r>
    </w:p>
    <w:p>
      <w:pPr>
        <w:spacing w:before="274"/>
        <w:ind w:left="240" w:right="0" w:firstLine="0"/>
        <w:jc w:val="both"/>
        <w:rPr>
          <w:sz w:val="24"/>
        </w:rPr>
      </w:pPr>
      <w:r>
        <w:rPr/>
        <w:drawing>
          <wp:anchor distT="0" distB="0" distL="0" distR="0" allowOverlap="1" layoutInCell="1" locked="0" behindDoc="1" simplePos="0" relativeHeight="487597568">
            <wp:simplePos x="0" y="0"/>
            <wp:positionH relativeFrom="page">
              <wp:posOffset>933450</wp:posOffset>
            </wp:positionH>
            <wp:positionV relativeFrom="paragraph">
              <wp:posOffset>376123</wp:posOffset>
            </wp:positionV>
            <wp:extent cx="5306674" cy="2978467"/>
            <wp:effectExtent l="0" t="0" r="0" b="0"/>
            <wp:wrapTopAndBottom/>
            <wp:docPr id="139" name="Image 139"/>
            <wp:cNvGraphicFramePr>
              <a:graphicFrameLocks/>
            </wp:cNvGraphicFramePr>
            <a:graphic>
              <a:graphicData uri="http://schemas.openxmlformats.org/drawingml/2006/picture">
                <pic:pic>
                  <pic:nvPicPr>
                    <pic:cNvPr id="139" name="Image 139"/>
                    <pic:cNvPicPr/>
                  </pic:nvPicPr>
                  <pic:blipFill>
                    <a:blip r:embed="rId55" cstate="print"/>
                    <a:stretch>
                      <a:fillRect/>
                    </a:stretch>
                  </pic:blipFill>
                  <pic:spPr>
                    <a:xfrm>
                      <a:off x="0" y="0"/>
                      <a:ext cx="5306674" cy="2978467"/>
                    </a:xfrm>
                    <a:prstGeom prst="rect">
                      <a:avLst/>
                    </a:prstGeom>
                  </pic:spPr>
                </pic:pic>
              </a:graphicData>
            </a:graphic>
          </wp:anchor>
        </w:drawing>
      </w:r>
      <w:r>
        <w:rPr>
          <w:b/>
          <w:sz w:val="24"/>
        </w:rPr>
        <w:t>Table</w:t>
      </w:r>
      <w:r>
        <w:rPr>
          <w:b/>
          <w:spacing w:val="-3"/>
          <w:sz w:val="24"/>
        </w:rPr>
        <w:t> </w:t>
      </w:r>
      <w:r>
        <w:rPr>
          <w:b/>
          <w:sz w:val="24"/>
        </w:rPr>
        <w:t>3.12.</w:t>
      </w:r>
      <w:r>
        <w:rPr>
          <w:b/>
          <w:spacing w:val="-1"/>
          <w:sz w:val="24"/>
        </w:rPr>
        <w:t> </w:t>
      </w:r>
      <w:r>
        <w:rPr>
          <w:sz w:val="24"/>
        </w:rPr>
        <w:t>Federal</w:t>
      </w:r>
      <w:r>
        <w:rPr>
          <w:spacing w:val="-1"/>
          <w:sz w:val="24"/>
        </w:rPr>
        <w:t> </w:t>
      </w:r>
      <w:r>
        <w:rPr>
          <w:sz w:val="24"/>
        </w:rPr>
        <w:t>Government Housing</w:t>
      </w:r>
      <w:r>
        <w:rPr>
          <w:spacing w:val="-4"/>
          <w:sz w:val="24"/>
        </w:rPr>
        <w:t> </w:t>
      </w:r>
      <w:r>
        <w:rPr>
          <w:sz w:val="24"/>
        </w:rPr>
        <w:t>Budget</w:t>
      </w:r>
      <w:r>
        <w:rPr>
          <w:spacing w:val="-1"/>
          <w:sz w:val="24"/>
        </w:rPr>
        <w:t> </w:t>
      </w:r>
      <w:r>
        <w:rPr>
          <w:sz w:val="24"/>
        </w:rPr>
        <w:t>and </w:t>
      </w:r>
      <w:r>
        <w:rPr>
          <w:spacing w:val="-2"/>
          <w:sz w:val="24"/>
        </w:rPr>
        <w:t>Milestone</w:t>
      </w:r>
    </w:p>
    <w:p>
      <w:pPr>
        <w:pStyle w:val="BodyText"/>
        <w:spacing w:before="22"/>
        <w:ind w:left="240"/>
        <w:jc w:val="both"/>
      </w:pPr>
      <w:r>
        <w:rPr>
          <w:b/>
        </w:rPr>
        <w:t>Sources</w:t>
      </w:r>
      <w:r>
        <w:rPr/>
        <w:t>:</w:t>
      </w:r>
      <w:r>
        <w:rPr>
          <w:spacing w:val="-4"/>
        </w:rPr>
        <w:t> </w:t>
      </w:r>
      <w:r>
        <w:rPr/>
        <w:t>(*)</w:t>
      </w:r>
      <w:r>
        <w:rPr>
          <w:spacing w:val="-2"/>
        </w:rPr>
        <w:t> </w:t>
      </w:r>
      <w:r>
        <w:rPr/>
        <w:t>FGN</w:t>
      </w:r>
      <w:r>
        <w:rPr>
          <w:spacing w:val="-2"/>
        </w:rPr>
        <w:t> </w:t>
      </w:r>
      <w:r>
        <w:rPr/>
        <w:t>(1962);</w:t>
      </w:r>
      <w:r>
        <w:rPr>
          <w:spacing w:val="-2"/>
        </w:rPr>
        <w:t> </w:t>
      </w:r>
      <w:r>
        <w:rPr/>
        <w:t>(**)Ekundare,</w:t>
      </w:r>
      <w:r>
        <w:rPr>
          <w:spacing w:val="-1"/>
        </w:rPr>
        <w:t> </w:t>
      </w:r>
      <w:r>
        <w:rPr/>
        <w:t>(1971);</w:t>
      </w:r>
      <w:r>
        <w:rPr>
          <w:spacing w:val="-1"/>
        </w:rPr>
        <w:t> </w:t>
      </w:r>
      <w:r>
        <w:rPr/>
        <w:t>(***)Lewis</w:t>
      </w:r>
      <w:r>
        <w:rPr>
          <w:spacing w:val="-2"/>
        </w:rPr>
        <w:t> </w:t>
      </w:r>
      <w:r>
        <w:rPr/>
        <w:t>(1977);</w:t>
      </w:r>
      <w:r>
        <w:rPr>
          <w:spacing w:val="-1"/>
        </w:rPr>
        <w:t> </w:t>
      </w:r>
      <w:r>
        <w:rPr/>
        <w:t>(****)UNDP</w:t>
      </w:r>
      <w:r>
        <w:rPr>
          <w:spacing w:val="-1"/>
        </w:rPr>
        <w:t> </w:t>
      </w:r>
      <w:r>
        <w:rPr>
          <w:spacing w:val="-2"/>
        </w:rPr>
        <w:t>(1982)</w:t>
      </w:r>
    </w:p>
    <w:p>
      <w:pPr>
        <w:spacing w:after="0"/>
        <w:jc w:val="both"/>
        <w:sectPr>
          <w:pgSz w:w="12240" w:h="15840"/>
          <w:pgMar w:header="0" w:footer="1036" w:top="1360" w:bottom="1220" w:left="1200" w:right="600"/>
        </w:sectPr>
      </w:pPr>
    </w:p>
    <w:p>
      <w:pPr>
        <w:pStyle w:val="BodyText"/>
        <w:spacing w:line="360" w:lineRule="auto" w:before="74"/>
        <w:ind w:left="240" w:right="836"/>
        <w:jc w:val="both"/>
      </w:pPr>
      <w:r>
        <w:rPr/>
        <w:t>The participation of State governments in funding public housing started during the second NDP but like the federal government, they were not consistent in providing the funding. Awotona (1990) confirmed this evidence and also revealed that housing received less priority in State governments‘ budget compared to other welfare services. During the second NDP for instance, the aggregate expenditure of 11 states on health care services was N87.362 million, the expenditure on education was N179.542million and town and country planning including</w:t>
      </w:r>
      <w:r>
        <w:rPr>
          <w:spacing w:val="40"/>
        </w:rPr>
        <w:t> </w:t>
      </w:r>
      <w:r>
        <w:rPr/>
        <w:t>housing provision received an expenditure of N27.576 million. The situation was similar in subsequent NDPs and NRPs and more worrisome was the non participation of Local</w:t>
      </w:r>
      <w:r>
        <w:rPr>
          <w:spacing w:val="40"/>
        </w:rPr>
        <w:t> </w:t>
      </w:r>
      <w:r>
        <w:rPr/>
        <w:t>Government Councils (LGCs) in the funding of housing (Ikejiofor, 1999; Ademiluyi, 2010).</w:t>
      </w:r>
    </w:p>
    <w:p>
      <w:pPr>
        <w:pStyle w:val="BodyText"/>
      </w:pPr>
    </w:p>
    <w:p>
      <w:pPr>
        <w:pStyle w:val="BodyText"/>
        <w:spacing w:before="144"/>
      </w:pPr>
    </w:p>
    <w:p>
      <w:pPr>
        <w:pStyle w:val="Heading4"/>
        <w:numPr>
          <w:ilvl w:val="2"/>
          <w:numId w:val="27"/>
        </w:numPr>
        <w:tabs>
          <w:tab w:pos="780" w:val="left" w:leader="none"/>
        </w:tabs>
        <w:spacing w:line="240" w:lineRule="auto" w:before="0" w:after="0"/>
        <w:ind w:left="780" w:right="0" w:hanging="540"/>
        <w:jc w:val="both"/>
      </w:pPr>
      <w:r>
        <w:rPr/>
        <w:t>Criteria</w:t>
      </w:r>
      <w:r>
        <w:rPr>
          <w:spacing w:val="-3"/>
        </w:rPr>
        <w:t> </w:t>
      </w:r>
      <w:r>
        <w:rPr/>
        <w:t>for</w:t>
      </w:r>
      <w:r>
        <w:rPr>
          <w:spacing w:val="-1"/>
        </w:rPr>
        <w:t> </w:t>
      </w:r>
      <w:r>
        <w:rPr/>
        <w:t>Housing</w:t>
      </w:r>
      <w:r>
        <w:rPr>
          <w:spacing w:val="-1"/>
        </w:rPr>
        <w:t> </w:t>
      </w:r>
      <w:r>
        <w:rPr/>
        <w:t>Budget </w:t>
      </w:r>
      <w:r>
        <w:rPr>
          <w:spacing w:val="-2"/>
        </w:rPr>
        <w:t>Allocation</w:t>
      </w:r>
    </w:p>
    <w:p>
      <w:pPr>
        <w:pStyle w:val="BodyText"/>
        <w:spacing w:line="360" w:lineRule="auto" w:before="132"/>
        <w:ind w:left="240" w:right="836"/>
        <w:jc w:val="both"/>
      </w:pPr>
      <w:r>
        <w:rPr/>
        <w:t>Limited studies have been carried out to identify the criteria adopted or basis for allocating budget for public housing schemes. Majority of studies dwelt on criteria for general</w:t>
      </w:r>
      <w:r>
        <w:rPr>
          <w:spacing w:val="40"/>
        </w:rPr>
        <w:t> </w:t>
      </w:r>
      <w:r>
        <w:rPr/>
        <w:t>infrastructure budgeting. However, the closest to housing was carried out by Mogbo (2001) which</w:t>
      </w:r>
      <w:r>
        <w:rPr>
          <w:spacing w:val="-2"/>
        </w:rPr>
        <w:t> </w:t>
      </w:r>
      <w:r>
        <w:rPr/>
        <w:t>forms</w:t>
      </w:r>
      <w:r>
        <w:rPr>
          <w:spacing w:val="-1"/>
        </w:rPr>
        <w:t> </w:t>
      </w:r>
      <w:r>
        <w:rPr/>
        <w:t>an</w:t>
      </w:r>
      <w:r>
        <w:rPr>
          <w:spacing w:val="-1"/>
        </w:rPr>
        <w:t> </w:t>
      </w:r>
      <w:r>
        <w:rPr/>
        <w:t>excellent</w:t>
      </w:r>
      <w:r>
        <w:rPr>
          <w:spacing w:val="-2"/>
        </w:rPr>
        <w:t> </w:t>
      </w:r>
      <w:r>
        <w:rPr/>
        <w:t>basis</w:t>
      </w:r>
      <w:r>
        <w:rPr>
          <w:spacing w:val="-2"/>
        </w:rPr>
        <w:t> </w:t>
      </w:r>
      <w:r>
        <w:rPr/>
        <w:t>for</w:t>
      </w:r>
      <w:r>
        <w:rPr>
          <w:spacing w:val="-2"/>
        </w:rPr>
        <w:t> </w:t>
      </w:r>
      <w:r>
        <w:rPr/>
        <w:t>discussion</w:t>
      </w:r>
      <w:r>
        <w:rPr>
          <w:spacing w:val="-2"/>
        </w:rPr>
        <w:t> </w:t>
      </w:r>
      <w:r>
        <w:rPr/>
        <w:t>on</w:t>
      </w:r>
      <w:r>
        <w:rPr>
          <w:spacing w:val="-1"/>
        </w:rPr>
        <w:t> </w:t>
      </w:r>
      <w:r>
        <w:rPr/>
        <w:t>economic</w:t>
      </w:r>
      <w:r>
        <w:rPr>
          <w:spacing w:val="-3"/>
        </w:rPr>
        <w:t> </w:t>
      </w:r>
      <w:r>
        <w:rPr/>
        <w:t>and</w:t>
      </w:r>
      <w:r>
        <w:rPr>
          <w:spacing w:val="-1"/>
        </w:rPr>
        <w:t> </w:t>
      </w:r>
      <w:r>
        <w:rPr/>
        <w:t>financial</w:t>
      </w:r>
      <w:r>
        <w:rPr>
          <w:spacing w:val="-2"/>
        </w:rPr>
        <w:t> </w:t>
      </w:r>
      <w:r>
        <w:rPr/>
        <w:t>issues</w:t>
      </w:r>
      <w:r>
        <w:rPr>
          <w:spacing w:val="-2"/>
        </w:rPr>
        <w:t> </w:t>
      </w:r>
      <w:r>
        <w:rPr/>
        <w:t>and</w:t>
      </w:r>
      <w:r>
        <w:rPr>
          <w:spacing w:val="-2"/>
        </w:rPr>
        <w:t> </w:t>
      </w:r>
      <w:r>
        <w:rPr/>
        <w:t>variables</w:t>
      </w:r>
      <w:r>
        <w:rPr>
          <w:spacing w:val="-2"/>
        </w:rPr>
        <w:t> </w:t>
      </w:r>
      <w:r>
        <w:rPr/>
        <w:t>that should be considered as useful parameters that influence budgetary allocations and capital funding to the housing sector: They include derived revenue, anticipated revenue, gross national product (GNP) and gross domestic product (GDP), the final cost/m2 of previous project cost,</w:t>
      </w:r>
      <w:r>
        <w:rPr>
          <w:spacing w:val="40"/>
        </w:rPr>
        <w:t> </w:t>
      </w:r>
      <w:r>
        <w:rPr/>
        <w:t>past final and initial construction cost and time trends, the population (needs) to be served, the percent and past trends of the population for housing stock and citizens‘ preferences (Fozzard, </w:t>
      </w:r>
      <w:r>
        <w:rPr>
          <w:spacing w:val="-2"/>
        </w:rPr>
        <w:t>2001).</w:t>
      </w:r>
    </w:p>
    <w:p>
      <w:pPr>
        <w:pStyle w:val="BodyText"/>
        <w:spacing w:before="140"/>
      </w:pPr>
    </w:p>
    <w:p>
      <w:pPr>
        <w:pStyle w:val="BodyText"/>
        <w:spacing w:line="360" w:lineRule="auto"/>
        <w:ind w:left="240" w:right="839"/>
        <w:jc w:val="both"/>
      </w:pPr>
      <w:r>
        <w:rPr/>
        <w:t>Other studies such as Fort (2012), Opawole, Jagboro, Babalola &amp; Babatunde (2012), Lewis (1952) and Walker (1930) identified certain considerations in pubic budget allocation that will ensure successful implementation of public infrastructure. For instance, Opawole </w:t>
      </w:r>
      <w:r>
        <w:rPr>
          <w:i/>
        </w:rPr>
        <w:t>et al</w:t>
      </w:r>
      <w:r>
        <w:rPr/>
        <w:t>. (2012) in an attempt to proffer recommendations to address the poor spate of budget implementation in Osun State, suggested an infrastructural workshop, which is a workshop comprising representation of construction professionals, financial administrators and political executives specifically organised in the last quarter of the year to brainstorm on issues relating to infrastructure</w:t>
      </w:r>
      <w:r>
        <w:rPr>
          <w:spacing w:val="5"/>
        </w:rPr>
        <w:t> </w:t>
      </w:r>
      <w:r>
        <w:rPr/>
        <w:t>budget</w:t>
      </w:r>
      <w:r>
        <w:rPr>
          <w:spacing w:val="9"/>
        </w:rPr>
        <w:t> </w:t>
      </w:r>
      <w:r>
        <w:rPr/>
        <w:t>of</w:t>
      </w:r>
      <w:r>
        <w:rPr>
          <w:spacing w:val="11"/>
        </w:rPr>
        <w:t> </w:t>
      </w:r>
      <w:r>
        <w:rPr/>
        <w:t>next</w:t>
      </w:r>
      <w:r>
        <w:rPr>
          <w:spacing w:val="8"/>
        </w:rPr>
        <w:t> </w:t>
      </w:r>
      <w:r>
        <w:rPr/>
        <w:t>fiscal</w:t>
      </w:r>
      <w:r>
        <w:rPr>
          <w:spacing w:val="12"/>
        </w:rPr>
        <w:t> </w:t>
      </w:r>
      <w:r>
        <w:rPr/>
        <w:t>year.</w:t>
      </w:r>
      <w:r>
        <w:rPr>
          <w:spacing w:val="7"/>
        </w:rPr>
        <w:t> </w:t>
      </w:r>
      <w:r>
        <w:rPr/>
        <w:t>These</w:t>
      </w:r>
      <w:r>
        <w:rPr>
          <w:spacing w:val="8"/>
        </w:rPr>
        <w:t> </w:t>
      </w:r>
      <w:r>
        <w:rPr/>
        <w:t>issues</w:t>
      </w:r>
      <w:r>
        <w:rPr>
          <w:spacing w:val="9"/>
        </w:rPr>
        <w:t> </w:t>
      </w:r>
      <w:r>
        <w:rPr/>
        <w:t>among</w:t>
      </w:r>
      <w:r>
        <w:rPr>
          <w:spacing w:val="7"/>
        </w:rPr>
        <w:t> </w:t>
      </w:r>
      <w:r>
        <w:rPr/>
        <w:t>others</w:t>
      </w:r>
      <w:r>
        <w:rPr>
          <w:spacing w:val="7"/>
        </w:rPr>
        <w:t> </w:t>
      </w:r>
      <w:r>
        <w:rPr/>
        <w:t>would</w:t>
      </w:r>
      <w:r>
        <w:rPr>
          <w:spacing w:val="9"/>
        </w:rPr>
        <w:t> </w:t>
      </w:r>
      <w:r>
        <w:rPr/>
        <w:t>include</w:t>
      </w:r>
      <w:r>
        <w:rPr>
          <w:spacing w:val="8"/>
        </w:rPr>
        <w:t> </w:t>
      </w:r>
      <w:r>
        <w:rPr>
          <w:spacing w:val="-2"/>
        </w:rPr>
        <w:t>identification</w:t>
      </w:r>
    </w:p>
    <w:p>
      <w:pPr>
        <w:spacing w:after="0" w:line="360" w:lineRule="auto"/>
        <w:jc w:val="both"/>
        <w:sectPr>
          <w:pgSz w:w="12240" w:h="15840"/>
          <w:pgMar w:header="0" w:footer="1036" w:top="1360" w:bottom="1220" w:left="1200" w:right="600"/>
        </w:sectPr>
      </w:pPr>
    </w:p>
    <w:p>
      <w:pPr>
        <w:pStyle w:val="BodyText"/>
        <w:spacing w:line="360" w:lineRule="auto" w:before="74"/>
        <w:ind w:left="240" w:right="843"/>
        <w:jc w:val="both"/>
      </w:pPr>
      <w:r>
        <w:rPr/>
        <w:t>of the state infrastructure demand/need, technical evaluation of the projects, cost assessment of the projects to enhance connectivity between the projects and budget, consideration of the state revenue</w:t>
      </w:r>
      <w:r>
        <w:rPr>
          <w:spacing w:val="-3"/>
        </w:rPr>
        <w:t> </w:t>
      </w:r>
      <w:r>
        <w:rPr/>
        <w:t>and</w:t>
      </w:r>
      <w:r>
        <w:rPr>
          <w:spacing w:val="-2"/>
        </w:rPr>
        <w:t> </w:t>
      </w:r>
      <w:r>
        <w:rPr/>
        <w:t>allocation</w:t>
      </w:r>
      <w:r>
        <w:rPr>
          <w:spacing w:val="-4"/>
        </w:rPr>
        <w:t> </w:t>
      </w:r>
      <w:r>
        <w:rPr/>
        <w:t>intended</w:t>
      </w:r>
      <w:r>
        <w:rPr>
          <w:spacing w:val="-4"/>
        </w:rPr>
        <w:t> </w:t>
      </w:r>
      <w:r>
        <w:rPr/>
        <w:t>for</w:t>
      </w:r>
      <w:r>
        <w:rPr>
          <w:spacing w:val="-4"/>
        </w:rPr>
        <w:t> </w:t>
      </w:r>
      <w:r>
        <w:rPr/>
        <w:t>infrastructure</w:t>
      </w:r>
      <w:r>
        <w:rPr>
          <w:spacing w:val="-3"/>
        </w:rPr>
        <w:t> </w:t>
      </w:r>
      <w:r>
        <w:rPr/>
        <w:t>development</w:t>
      </w:r>
      <w:r>
        <w:rPr>
          <w:spacing w:val="-4"/>
        </w:rPr>
        <w:t> </w:t>
      </w:r>
      <w:r>
        <w:rPr/>
        <w:t>projects,</w:t>
      </w:r>
      <w:r>
        <w:rPr>
          <w:spacing w:val="-4"/>
        </w:rPr>
        <w:t> </w:t>
      </w:r>
      <w:r>
        <w:rPr/>
        <w:t>identification</w:t>
      </w:r>
      <w:r>
        <w:rPr>
          <w:spacing w:val="-4"/>
        </w:rPr>
        <w:t> </w:t>
      </w:r>
      <w:r>
        <w:rPr/>
        <w:t>of</w:t>
      </w:r>
      <w:r>
        <w:rPr>
          <w:spacing w:val="-3"/>
        </w:rPr>
        <w:t> </w:t>
      </w:r>
      <w:r>
        <w:rPr/>
        <w:t>projects demanding urgent attention that could be incorporated in the budget, and cost/benefit analysis of the projects among others.</w:t>
      </w:r>
    </w:p>
    <w:p>
      <w:pPr>
        <w:pStyle w:val="BodyText"/>
        <w:spacing w:line="360" w:lineRule="auto" w:before="275"/>
        <w:ind w:left="240" w:right="837"/>
        <w:jc w:val="both"/>
      </w:pPr>
      <w:r>
        <w:rPr/>
        <w:t>Fort (2012), stresses that in formulating a budget, a number of factors should be considered. Some of these factors include: a holistic needs assessment, a projection of what is to be done, given</w:t>
      </w:r>
      <w:r>
        <w:rPr>
          <w:spacing w:val="-2"/>
        </w:rPr>
        <w:t> </w:t>
      </w:r>
      <w:r>
        <w:rPr/>
        <w:t>an</w:t>
      </w:r>
      <w:r>
        <w:rPr>
          <w:spacing w:val="-1"/>
        </w:rPr>
        <w:t> </w:t>
      </w:r>
      <w:r>
        <w:rPr/>
        <w:t>expected</w:t>
      </w:r>
      <w:r>
        <w:rPr>
          <w:spacing w:val="-2"/>
        </w:rPr>
        <w:t> </w:t>
      </w:r>
      <w:r>
        <w:rPr/>
        <w:t>revenue</w:t>
      </w:r>
      <w:r>
        <w:rPr>
          <w:spacing w:val="-2"/>
        </w:rPr>
        <w:t> </w:t>
      </w:r>
      <w:r>
        <w:rPr/>
        <w:t>level,</w:t>
      </w:r>
      <w:r>
        <w:rPr>
          <w:spacing w:val="-1"/>
        </w:rPr>
        <w:t> </w:t>
      </w:r>
      <w:r>
        <w:rPr/>
        <w:t>the</w:t>
      </w:r>
      <w:r>
        <w:rPr>
          <w:spacing w:val="-2"/>
        </w:rPr>
        <w:t> </w:t>
      </w:r>
      <w:r>
        <w:rPr/>
        <w:t>reasons</w:t>
      </w:r>
      <w:r>
        <w:rPr>
          <w:spacing w:val="-1"/>
        </w:rPr>
        <w:t> </w:t>
      </w:r>
      <w:r>
        <w:rPr/>
        <w:t>for</w:t>
      </w:r>
      <w:r>
        <w:rPr>
          <w:spacing w:val="-3"/>
        </w:rPr>
        <w:t> </w:t>
      </w:r>
      <w:r>
        <w:rPr/>
        <w:t>the</w:t>
      </w:r>
      <w:r>
        <w:rPr>
          <w:spacing w:val="-2"/>
        </w:rPr>
        <w:t> </w:t>
      </w:r>
      <w:r>
        <w:rPr/>
        <w:t>successes</w:t>
      </w:r>
      <w:r>
        <w:rPr>
          <w:spacing w:val="-2"/>
        </w:rPr>
        <w:t> </w:t>
      </w:r>
      <w:r>
        <w:rPr/>
        <w:t>and</w:t>
      </w:r>
      <w:r>
        <w:rPr>
          <w:spacing w:val="-1"/>
        </w:rPr>
        <w:t> </w:t>
      </w:r>
      <w:r>
        <w:rPr/>
        <w:t>failures</w:t>
      </w:r>
      <w:r>
        <w:rPr>
          <w:spacing w:val="-1"/>
        </w:rPr>
        <w:t> </w:t>
      </w:r>
      <w:r>
        <w:rPr/>
        <w:t>of</w:t>
      </w:r>
      <w:r>
        <w:rPr>
          <w:spacing w:val="-2"/>
        </w:rPr>
        <w:t> </w:t>
      </w:r>
      <w:r>
        <w:rPr/>
        <w:t>the</w:t>
      </w:r>
      <w:r>
        <w:rPr>
          <w:spacing w:val="-2"/>
        </w:rPr>
        <w:t> </w:t>
      </w:r>
      <w:r>
        <w:rPr/>
        <w:t>current</w:t>
      </w:r>
      <w:r>
        <w:rPr>
          <w:spacing w:val="-1"/>
        </w:rPr>
        <w:t> </w:t>
      </w:r>
      <w:r>
        <w:rPr/>
        <w:t>and</w:t>
      </w:r>
      <w:r>
        <w:rPr>
          <w:spacing w:val="-1"/>
        </w:rPr>
        <w:t> </w:t>
      </w:r>
      <w:r>
        <w:rPr/>
        <w:t>past budget, the outstanding and priority projects, the present economic environment i.e. whether the economy</w:t>
      </w:r>
      <w:r>
        <w:rPr>
          <w:spacing w:val="-2"/>
        </w:rPr>
        <w:t> </w:t>
      </w:r>
      <w:r>
        <w:rPr/>
        <w:t>is expanding or contracting in terms of demand (reduction or deepening poverty</w:t>
      </w:r>
      <w:r>
        <w:rPr>
          <w:spacing w:val="-2"/>
        </w:rPr>
        <w:t> </w:t>
      </w:r>
      <w:r>
        <w:rPr/>
        <w:t>level), the output from production sectors such as manufacturing, services, construction and the socio- political environment.</w:t>
      </w:r>
    </w:p>
    <w:p>
      <w:pPr>
        <w:pStyle w:val="BodyText"/>
        <w:spacing w:line="360" w:lineRule="auto" w:before="233"/>
        <w:ind w:left="240" w:right="842"/>
        <w:jc w:val="both"/>
      </w:pPr>
      <w:r>
        <w:rPr/>
        <w:t>Anecdotal information gathered from E. Nonso (personal communication, February</w:t>
      </w:r>
      <w:r>
        <w:rPr>
          <w:spacing w:val="-2"/>
        </w:rPr>
        <w:t> </w:t>
      </w:r>
      <w:r>
        <w:rPr/>
        <w:t>23, 2017) in Anambra State, Nigeria, revealed that factors such as past performance of the sector, funds available at the time, budget ceiling and allocation of the previous year, percentage of the total revenue, past contribution of the sector to GDP, and sole discretion of the governor can serve as criteria for budget allocation in the State.</w:t>
      </w:r>
    </w:p>
    <w:p>
      <w:pPr>
        <w:pStyle w:val="BodyText"/>
        <w:spacing w:line="360" w:lineRule="auto" w:before="275"/>
        <w:ind w:left="240" w:right="840"/>
        <w:jc w:val="both"/>
      </w:pPr>
      <w:r>
        <w:rPr/>
        <w:t>Walker (1930) recognized the difficulty for politicians and budgeters to decide if one or another public object has greater claim. Walker had confidence that practical understanding could result from the ideal of marginal utility as a way to determine the appropriate distribution of government expenditures or inform allocation decisions. Similarly, Lewis (1952) offers a microeconomic solution to the problem; one that would increase the allocative efficiency.</w:t>
      </w:r>
      <w:r>
        <w:rPr>
          <w:spacing w:val="40"/>
        </w:rPr>
        <w:t> </w:t>
      </w:r>
      <w:r>
        <w:rPr/>
        <w:t>He argues that</w:t>
      </w:r>
      <w:r>
        <w:rPr>
          <w:spacing w:val="40"/>
        </w:rPr>
        <w:t> </w:t>
      </w:r>
      <w:r>
        <w:rPr/>
        <w:t>the traditional microeconomic theory, in particular the concept of marginal utility, could be used to determine the relative value of a good or service to justify resource allocation that in the aggregate would improve social welfare.</w:t>
      </w:r>
    </w:p>
    <w:p>
      <w:pPr>
        <w:spacing w:after="0" w:line="360" w:lineRule="auto"/>
        <w:jc w:val="both"/>
        <w:sectPr>
          <w:pgSz w:w="12240" w:h="15840"/>
          <w:pgMar w:header="0" w:footer="1036" w:top="1360" w:bottom="1220" w:left="1200" w:right="600"/>
        </w:sectPr>
      </w:pPr>
    </w:p>
    <w:p>
      <w:pPr>
        <w:pStyle w:val="Heading4"/>
        <w:numPr>
          <w:ilvl w:val="2"/>
          <w:numId w:val="27"/>
        </w:numPr>
        <w:tabs>
          <w:tab w:pos="780" w:val="left" w:leader="none"/>
        </w:tabs>
        <w:spacing w:line="240" w:lineRule="auto" w:before="79" w:after="0"/>
        <w:ind w:left="780" w:right="0" w:hanging="540"/>
        <w:jc w:val="both"/>
      </w:pPr>
      <w:r>
        <w:rPr/>
        <w:t>Factors</w:t>
      </w:r>
      <w:r>
        <w:rPr>
          <w:spacing w:val="-2"/>
        </w:rPr>
        <w:t> </w:t>
      </w:r>
      <w:r>
        <w:rPr/>
        <w:t>Affecting</w:t>
      </w:r>
      <w:r>
        <w:rPr>
          <w:spacing w:val="-1"/>
        </w:rPr>
        <w:t> </w:t>
      </w:r>
      <w:r>
        <w:rPr/>
        <w:t>Housing</w:t>
      </w:r>
      <w:r>
        <w:rPr>
          <w:spacing w:val="-3"/>
        </w:rPr>
        <w:t> </w:t>
      </w:r>
      <w:r>
        <w:rPr/>
        <w:t>Budget</w:t>
      </w:r>
      <w:r>
        <w:rPr>
          <w:spacing w:val="-1"/>
        </w:rPr>
        <w:t> </w:t>
      </w:r>
      <w:r>
        <w:rPr>
          <w:spacing w:val="-2"/>
        </w:rPr>
        <w:t>Performance</w:t>
      </w:r>
    </w:p>
    <w:p>
      <w:pPr>
        <w:pStyle w:val="BodyText"/>
        <w:spacing w:before="70"/>
        <w:rPr>
          <w:b/>
        </w:rPr>
      </w:pPr>
    </w:p>
    <w:p>
      <w:pPr>
        <w:pStyle w:val="ListParagraph"/>
        <w:numPr>
          <w:ilvl w:val="0"/>
          <w:numId w:val="59"/>
        </w:numPr>
        <w:tabs>
          <w:tab w:pos="579" w:val="left" w:leader="none"/>
        </w:tabs>
        <w:spacing w:line="240" w:lineRule="auto" w:before="0" w:after="0"/>
        <w:ind w:left="579" w:right="0" w:hanging="339"/>
        <w:jc w:val="both"/>
        <w:rPr>
          <w:b/>
          <w:sz w:val="24"/>
        </w:rPr>
      </w:pPr>
      <w:r>
        <w:rPr>
          <w:b/>
          <w:sz w:val="24"/>
        </w:rPr>
        <w:t>Poor</w:t>
      </w:r>
      <w:r>
        <w:rPr>
          <w:b/>
          <w:spacing w:val="-4"/>
          <w:sz w:val="24"/>
        </w:rPr>
        <w:t> </w:t>
      </w:r>
      <w:r>
        <w:rPr>
          <w:b/>
          <w:sz w:val="24"/>
        </w:rPr>
        <w:t>Budgetary</w:t>
      </w:r>
      <w:r>
        <w:rPr>
          <w:b/>
          <w:spacing w:val="-2"/>
          <w:sz w:val="24"/>
        </w:rPr>
        <w:t> </w:t>
      </w:r>
      <w:r>
        <w:rPr>
          <w:b/>
          <w:sz w:val="24"/>
        </w:rPr>
        <w:t>Allocation/Funding</w:t>
      </w:r>
      <w:r>
        <w:rPr>
          <w:b/>
          <w:spacing w:val="-2"/>
          <w:sz w:val="24"/>
        </w:rPr>
        <w:t> </w:t>
      </w:r>
      <w:r>
        <w:rPr>
          <w:b/>
          <w:sz w:val="24"/>
        </w:rPr>
        <w:t>and</w:t>
      </w:r>
      <w:r>
        <w:rPr>
          <w:b/>
          <w:spacing w:val="-2"/>
          <w:sz w:val="24"/>
        </w:rPr>
        <w:t> Planning</w:t>
      </w:r>
    </w:p>
    <w:p>
      <w:pPr>
        <w:pStyle w:val="BodyText"/>
        <w:spacing w:line="360" w:lineRule="auto" w:before="132"/>
        <w:ind w:left="240" w:right="835"/>
        <w:jc w:val="both"/>
      </w:pPr>
      <w:r>
        <w:rPr/>
        <w:t>A study by Omotor (2004) relating to infrastructure development in the educational sector identified the financing of educational infrastructural projects as substantially through public budgetary allocation and that poor funding is a major challenge in the development of educational sector in Nigeria. It concluded that financing is one of the most fundamental issues that is germane to the success of infrastructure development. Furthermore, a study carried out by Olayiwola and Adeleye (2005) on the challenges and problems of rural infrastructural development in Nigeria from 1960-1990 identified the major problems and challenges posed by the various rural infrastructural development as lack of spatial focus in rural development planning, lack of perceptual focus in the development plans, the restriction of means of rural infrastructural provision in public funding, and the lack of action and appropriate institutional arrangements for the execution of rural infrastructural programs. Oforeh (2006) identifies shortfall in budgetary allocation for infrastructure as the inability of the policy makers to plan adequately for the sector and thus consequently have impacted negatively on implementation of infrastructural</w:t>
      </w:r>
      <w:r>
        <w:rPr>
          <w:spacing w:val="-1"/>
        </w:rPr>
        <w:t> </w:t>
      </w:r>
      <w:r>
        <w:rPr/>
        <w:t>projects</w:t>
      </w:r>
      <w:r>
        <w:rPr>
          <w:spacing w:val="-1"/>
        </w:rPr>
        <w:t> </w:t>
      </w:r>
      <w:r>
        <w:rPr/>
        <w:t>in</w:t>
      </w:r>
      <w:r>
        <w:rPr>
          <w:spacing w:val="-1"/>
        </w:rPr>
        <w:t> </w:t>
      </w:r>
      <w:r>
        <w:rPr/>
        <w:t>Nigeria.</w:t>
      </w:r>
      <w:r>
        <w:rPr>
          <w:spacing w:val="-1"/>
        </w:rPr>
        <w:t> </w:t>
      </w:r>
      <w:r>
        <w:rPr/>
        <w:t>This</w:t>
      </w:r>
      <w:r>
        <w:rPr>
          <w:spacing w:val="-1"/>
        </w:rPr>
        <w:t> </w:t>
      </w:r>
      <w:r>
        <w:rPr/>
        <w:t>is</w:t>
      </w:r>
      <w:r>
        <w:rPr>
          <w:spacing w:val="-1"/>
        </w:rPr>
        <w:t> </w:t>
      </w:r>
      <w:r>
        <w:rPr/>
        <w:t>evident</w:t>
      </w:r>
      <w:r>
        <w:rPr>
          <w:spacing w:val="-3"/>
        </w:rPr>
        <w:t> </w:t>
      </w:r>
      <w:r>
        <w:rPr/>
        <w:t>from</w:t>
      </w:r>
      <w:r>
        <w:rPr>
          <w:spacing w:val="-2"/>
        </w:rPr>
        <w:t> </w:t>
      </w:r>
      <w:r>
        <w:rPr/>
        <w:t>the</w:t>
      </w:r>
      <w:r>
        <w:rPr>
          <w:spacing w:val="-2"/>
        </w:rPr>
        <w:t> </w:t>
      </w:r>
      <w:r>
        <w:rPr/>
        <w:t>present</w:t>
      </w:r>
      <w:r>
        <w:rPr>
          <w:spacing w:val="-1"/>
        </w:rPr>
        <w:t> </w:t>
      </w:r>
      <w:r>
        <w:rPr/>
        <w:t>level</w:t>
      </w:r>
      <w:r>
        <w:rPr>
          <w:spacing w:val="-1"/>
        </w:rPr>
        <w:t> </w:t>
      </w:r>
      <w:r>
        <w:rPr/>
        <w:t>of</w:t>
      </w:r>
      <w:r>
        <w:rPr>
          <w:spacing w:val="-2"/>
        </w:rPr>
        <w:t> </w:t>
      </w:r>
      <w:r>
        <w:rPr/>
        <w:t>stock</w:t>
      </w:r>
      <w:r>
        <w:rPr>
          <w:spacing w:val="-2"/>
        </w:rPr>
        <w:t> </w:t>
      </w:r>
      <w:r>
        <w:rPr/>
        <w:t>of</w:t>
      </w:r>
      <w:r>
        <w:rPr>
          <w:spacing w:val="-2"/>
        </w:rPr>
        <w:t> </w:t>
      </w:r>
      <w:r>
        <w:rPr/>
        <w:t>infrastructure in Nigeria.</w:t>
      </w:r>
    </w:p>
    <w:p>
      <w:pPr>
        <w:pStyle w:val="BodyText"/>
        <w:spacing w:line="360" w:lineRule="auto" w:before="255"/>
        <w:ind w:left="240" w:right="837"/>
        <w:jc w:val="both"/>
      </w:pPr>
      <w:r>
        <w:rPr/>
        <w:t>Opawole, Jagboro, &amp; Opawole (2016) also argue that budget allocation mechanisms play a greater role than corruption in explaining why infrastructure projects do not always come to fruition in Nigeria especially</w:t>
      </w:r>
      <w:r>
        <w:rPr>
          <w:spacing w:val="-1"/>
        </w:rPr>
        <w:t> </w:t>
      </w:r>
      <w:r>
        <w:rPr/>
        <w:t>in the transportation, housing, water, and rural/urban electrification projects. Results from their study revealed that the budget allocations in Osun State from 1999 - 2008, expressed as percentage of capital budget for education, rural/urban electrification, health, transportation, water, and housing are 14.98 %, 1.56 %, 7.71 %, 22.73 %, 14.8 %, and 1.43 % respectively</w:t>
      </w:r>
      <w:r>
        <w:rPr>
          <w:spacing w:val="1"/>
        </w:rPr>
        <w:t> </w:t>
      </w:r>
      <w:r>
        <w:rPr/>
        <w:t>while</w:t>
      </w:r>
      <w:r>
        <w:rPr>
          <w:spacing w:val="6"/>
        </w:rPr>
        <w:t> </w:t>
      </w:r>
      <w:r>
        <w:rPr/>
        <w:t>the</w:t>
      </w:r>
      <w:r>
        <w:rPr>
          <w:spacing w:val="6"/>
        </w:rPr>
        <w:t> </w:t>
      </w:r>
      <w:r>
        <w:rPr/>
        <w:t>mean</w:t>
      </w:r>
      <w:r>
        <w:rPr>
          <w:spacing w:val="6"/>
        </w:rPr>
        <w:t> </w:t>
      </w:r>
      <w:r>
        <w:rPr/>
        <w:t>allocation</w:t>
      </w:r>
      <w:r>
        <w:rPr>
          <w:spacing w:val="5"/>
        </w:rPr>
        <w:t> </w:t>
      </w:r>
      <w:r>
        <w:rPr/>
        <w:t>for</w:t>
      </w:r>
      <w:r>
        <w:rPr>
          <w:spacing w:val="7"/>
        </w:rPr>
        <w:t> </w:t>
      </w:r>
      <w:r>
        <w:rPr/>
        <w:t>the</w:t>
      </w:r>
      <w:r>
        <w:rPr>
          <w:spacing w:val="6"/>
        </w:rPr>
        <w:t> </w:t>
      </w:r>
      <w:r>
        <w:rPr/>
        <w:t>projects</w:t>
      </w:r>
      <w:r>
        <w:rPr>
          <w:spacing w:val="7"/>
        </w:rPr>
        <w:t> </w:t>
      </w:r>
      <w:r>
        <w:rPr/>
        <w:t>is</w:t>
      </w:r>
      <w:r>
        <w:rPr>
          <w:spacing w:val="6"/>
        </w:rPr>
        <w:t> </w:t>
      </w:r>
      <w:r>
        <w:rPr/>
        <w:t>6.60</w:t>
      </w:r>
      <w:r>
        <w:rPr>
          <w:spacing w:val="6"/>
        </w:rPr>
        <w:t> </w:t>
      </w:r>
      <w:r>
        <w:rPr/>
        <w:t>%,</w:t>
      </w:r>
      <w:r>
        <w:rPr>
          <w:spacing w:val="9"/>
        </w:rPr>
        <w:t> </w:t>
      </w:r>
      <w:r>
        <w:rPr/>
        <w:t>0.69</w:t>
      </w:r>
      <w:r>
        <w:rPr>
          <w:spacing w:val="6"/>
        </w:rPr>
        <w:t> </w:t>
      </w:r>
      <w:r>
        <w:rPr/>
        <w:t>%,</w:t>
      </w:r>
      <w:r>
        <w:rPr>
          <w:spacing w:val="10"/>
        </w:rPr>
        <w:t> </w:t>
      </w:r>
      <w:r>
        <w:rPr/>
        <w:t>3.39</w:t>
      </w:r>
      <w:r>
        <w:rPr>
          <w:spacing w:val="6"/>
        </w:rPr>
        <w:t> </w:t>
      </w:r>
      <w:r>
        <w:rPr/>
        <w:t>%,</w:t>
      </w:r>
      <w:r>
        <w:rPr>
          <w:spacing w:val="6"/>
        </w:rPr>
        <w:t> </w:t>
      </w:r>
      <w:r>
        <w:rPr/>
        <w:t>10.67</w:t>
      </w:r>
      <w:r>
        <w:rPr>
          <w:spacing w:val="9"/>
        </w:rPr>
        <w:t> </w:t>
      </w:r>
      <w:r>
        <w:rPr/>
        <w:t>%,</w:t>
      </w:r>
      <w:r>
        <w:rPr>
          <w:spacing w:val="6"/>
        </w:rPr>
        <w:t> </w:t>
      </w:r>
      <w:r>
        <w:rPr>
          <w:spacing w:val="-4"/>
        </w:rPr>
        <w:t>7.60</w:t>
      </w:r>
    </w:p>
    <w:p>
      <w:pPr>
        <w:pStyle w:val="BodyText"/>
        <w:spacing w:line="360" w:lineRule="auto"/>
        <w:ind w:left="240" w:right="838"/>
        <w:jc w:val="both"/>
      </w:pPr>
      <w:r>
        <w:rPr/>
        <w:t>%, and 0.62 %. Furthermore, the highest level of implementation (54.51 %) was obtained in health infrastructural projects. This is followed by education infrastructure with a mean percentage of 53.69 %. Housing infrastructure, transportation, rural/urban electrification, and water infrastructure projects were rated as executed at 36.69 %, 45.33 %, 46.44 %, and 49.36 %, respectively. The study concluded that the budget allocation is inadequate to cope with the level of</w:t>
      </w:r>
      <w:r>
        <w:rPr>
          <w:spacing w:val="9"/>
        </w:rPr>
        <w:t> </w:t>
      </w:r>
      <w:r>
        <w:rPr/>
        <w:t>projects</w:t>
      </w:r>
      <w:r>
        <w:rPr>
          <w:spacing w:val="13"/>
        </w:rPr>
        <w:t> </w:t>
      </w:r>
      <w:r>
        <w:rPr/>
        <w:t>proposed</w:t>
      </w:r>
      <w:r>
        <w:rPr>
          <w:spacing w:val="12"/>
        </w:rPr>
        <w:t> </w:t>
      </w:r>
      <w:r>
        <w:rPr/>
        <w:t>and</w:t>
      </w:r>
      <w:r>
        <w:rPr>
          <w:spacing w:val="15"/>
        </w:rPr>
        <w:t> </w:t>
      </w:r>
      <w:r>
        <w:rPr/>
        <w:t>the</w:t>
      </w:r>
      <w:r>
        <w:rPr>
          <w:spacing w:val="11"/>
        </w:rPr>
        <w:t> </w:t>
      </w:r>
      <w:r>
        <w:rPr/>
        <w:t>projects</w:t>
      </w:r>
      <w:r>
        <w:rPr>
          <w:spacing w:val="13"/>
        </w:rPr>
        <w:t> </w:t>
      </w:r>
      <w:r>
        <w:rPr/>
        <w:t>intended</w:t>
      </w:r>
      <w:r>
        <w:rPr>
          <w:spacing w:val="12"/>
        </w:rPr>
        <w:t> </w:t>
      </w:r>
      <w:r>
        <w:rPr/>
        <w:t>to</w:t>
      </w:r>
      <w:r>
        <w:rPr>
          <w:spacing w:val="11"/>
        </w:rPr>
        <w:t> </w:t>
      </w:r>
      <w:r>
        <w:rPr/>
        <w:t>be</w:t>
      </w:r>
      <w:r>
        <w:rPr>
          <w:spacing w:val="12"/>
        </w:rPr>
        <w:t> </w:t>
      </w:r>
      <w:r>
        <w:rPr/>
        <w:t>financed</w:t>
      </w:r>
      <w:r>
        <w:rPr>
          <w:spacing w:val="12"/>
        </w:rPr>
        <w:t> </w:t>
      </w:r>
      <w:r>
        <w:rPr/>
        <w:t>did</w:t>
      </w:r>
      <w:r>
        <w:rPr>
          <w:spacing w:val="13"/>
        </w:rPr>
        <w:t> </w:t>
      </w:r>
      <w:r>
        <w:rPr/>
        <w:t>not</w:t>
      </w:r>
      <w:r>
        <w:rPr>
          <w:spacing w:val="12"/>
        </w:rPr>
        <w:t> </w:t>
      </w:r>
      <w:r>
        <w:rPr/>
        <w:t>receive</w:t>
      </w:r>
      <w:r>
        <w:rPr>
          <w:spacing w:val="12"/>
        </w:rPr>
        <w:t> </w:t>
      </w:r>
      <w:r>
        <w:rPr/>
        <w:t>adequate</w:t>
      </w:r>
      <w:r>
        <w:rPr>
          <w:spacing w:val="12"/>
        </w:rPr>
        <w:t> </w:t>
      </w:r>
      <w:r>
        <w:rPr>
          <w:spacing w:val="-2"/>
        </w:rPr>
        <w:t>technical</w:t>
      </w:r>
    </w:p>
    <w:p>
      <w:pPr>
        <w:spacing w:after="0" w:line="360" w:lineRule="auto"/>
        <w:jc w:val="both"/>
        <w:sectPr>
          <w:pgSz w:w="12240" w:h="15840"/>
          <w:pgMar w:header="0" w:footer="1036" w:top="1360" w:bottom="1220" w:left="1200" w:right="600"/>
        </w:sectPr>
      </w:pPr>
    </w:p>
    <w:p>
      <w:pPr>
        <w:pStyle w:val="BodyText"/>
        <w:spacing w:line="360" w:lineRule="auto" w:before="74"/>
        <w:ind w:left="240" w:right="841"/>
        <w:jc w:val="both"/>
      </w:pPr>
      <w:r>
        <w:rPr/>
        <w:t>evaluation as evidenced by the level of implementation of public-financed infrastructure in Nigeria which is below average.</w:t>
      </w:r>
    </w:p>
    <w:p>
      <w:pPr>
        <w:pStyle w:val="Heading4"/>
        <w:numPr>
          <w:ilvl w:val="0"/>
          <w:numId w:val="59"/>
        </w:numPr>
        <w:tabs>
          <w:tab w:pos="593" w:val="left" w:leader="none"/>
        </w:tabs>
        <w:spacing w:line="240" w:lineRule="auto" w:before="257" w:after="0"/>
        <w:ind w:left="593" w:right="0" w:hanging="353"/>
        <w:jc w:val="both"/>
      </w:pPr>
      <w:r>
        <w:rPr/>
        <w:t>Low</w:t>
      </w:r>
      <w:r>
        <w:rPr>
          <w:spacing w:val="-2"/>
        </w:rPr>
        <w:t> </w:t>
      </w:r>
      <w:r>
        <w:rPr/>
        <w:t>Involvement</w:t>
      </w:r>
      <w:r>
        <w:rPr>
          <w:spacing w:val="-2"/>
        </w:rPr>
        <w:t> </w:t>
      </w:r>
      <w:r>
        <w:rPr/>
        <w:t>of</w:t>
      </w:r>
      <w:r>
        <w:rPr>
          <w:spacing w:val="-2"/>
        </w:rPr>
        <w:t> </w:t>
      </w:r>
      <w:r>
        <w:rPr/>
        <w:t>Construction</w:t>
      </w:r>
      <w:r>
        <w:rPr>
          <w:spacing w:val="-2"/>
        </w:rPr>
        <w:t> Professionals</w:t>
      </w:r>
    </w:p>
    <w:p>
      <w:pPr>
        <w:pStyle w:val="BodyText"/>
        <w:spacing w:line="360" w:lineRule="auto" w:before="135"/>
        <w:ind w:left="240" w:right="835"/>
        <w:jc w:val="both"/>
      </w:pPr>
      <w:r>
        <w:rPr/>
        <w:t>Budgeting for infrastructure sector at the macro level has been criticized to be dominated by the executive arm of the government with minimum input of the construction professionals (Mogbo, 2001; Oforeh, 2006). This was corroborated by Opawole, Jagboro, Babalola, &amp; Babatunde</w:t>
      </w:r>
      <w:r>
        <w:rPr>
          <w:spacing w:val="40"/>
        </w:rPr>
        <w:t> </w:t>
      </w:r>
      <w:r>
        <w:rPr/>
        <w:t>(2012) from results of their study, which identified low level of involvement of construction professionals in the budgeting process for the infrastructure sector. The fact that the contribution of construction professionals were ranked low in the activities involving pre budgetary</w:t>
      </w:r>
      <w:r>
        <w:rPr>
          <w:spacing w:val="-3"/>
        </w:rPr>
        <w:t> </w:t>
      </w:r>
      <w:r>
        <w:rPr/>
        <w:t>processes indicates that vital professional inputs of these professionals are neglected in preparation of the macro-economic framework for development of infrastructure sector; identification the state‘s infrastructure needs; technical and cost evaluation of infrastructure projects; preparation of budget estimate for infrastructure projects; and preparation of implementation plan of budget for infrastructure sector. This poses negative implication on the successful of implementation of projects as evident from cases of abandoned and suspended infrastructural projects budgeted. According to Oforeh (2006), policy makers who plan for infrastructure development in both the national and state budgets lack adequate knowledge of the complex technological processes of construction and the cost characteristics of infrastructure constructions. The implication of this</w:t>
      </w:r>
      <w:r>
        <w:rPr>
          <w:spacing w:val="-1"/>
        </w:rPr>
        <w:t> </w:t>
      </w:r>
      <w:r>
        <w:rPr/>
        <w:t>is that the involvement of construction professionals is beneficial to infrastructural development</w:t>
      </w:r>
      <w:r>
        <w:rPr>
          <w:spacing w:val="40"/>
        </w:rPr>
        <w:t> </w:t>
      </w:r>
      <w:r>
        <w:rPr/>
        <w:t>and their inputs or activities can enhance better connectivity between budget and the infrastructural projects.</w:t>
      </w:r>
    </w:p>
    <w:p>
      <w:pPr>
        <w:pStyle w:val="BodyText"/>
        <w:spacing w:before="109"/>
      </w:pPr>
    </w:p>
    <w:p>
      <w:pPr>
        <w:pStyle w:val="Heading4"/>
        <w:numPr>
          <w:ilvl w:val="0"/>
          <w:numId w:val="59"/>
        </w:numPr>
        <w:tabs>
          <w:tab w:pos="564" w:val="left" w:leader="none"/>
        </w:tabs>
        <w:spacing w:line="240" w:lineRule="auto" w:before="0" w:after="0"/>
        <w:ind w:left="564" w:right="0" w:hanging="324"/>
        <w:jc w:val="both"/>
      </w:pPr>
      <w:r>
        <w:rPr/>
        <w:t>Lack</w:t>
      </w:r>
      <w:r>
        <w:rPr>
          <w:spacing w:val="-1"/>
        </w:rPr>
        <w:t> </w:t>
      </w:r>
      <w:r>
        <w:rPr/>
        <w:t>of Political Will</w:t>
      </w:r>
      <w:r>
        <w:rPr>
          <w:spacing w:val="-1"/>
        </w:rPr>
        <w:t> </w:t>
      </w:r>
      <w:r>
        <w:rPr/>
        <w:t>and </w:t>
      </w:r>
      <w:r>
        <w:rPr>
          <w:spacing w:val="-2"/>
        </w:rPr>
        <w:t>Commitment</w:t>
      </w:r>
    </w:p>
    <w:p>
      <w:pPr>
        <w:pStyle w:val="BodyText"/>
        <w:spacing w:line="360" w:lineRule="auto" w:before="132"/>
        <w:ind w:left="240" w:right="834"/>
        <w:jc w:val="both"/>
      </w:pPr>
      <w:r>
        <w:rPr/>
        <w:t>The United States Agency for International Development (USAID) (2005) report identified the process of budgeting as a significant factor influencing infrastructure projects implementation in Nigeria. The study reported the major problems of the budgeting process as lack of political will and commitment to abide</w:t>
      </w:r>
      <w:r>
        <w:rPr>
          <w:spacing w:val="-1"/>
        </w:rPr>
        <w:t> </w:t>
      </w:r>
      <w:r>
        <w:rPr/>
        <w:t>by</w:t>
      </w:r>
      <w:r>
        <w:rPr>
          <w:spacing w:val="-5"/>
        </w:rPr>
        <w:t> </w:t>
      </w:r>
      <w:r>
        <w:rPr/>
        <w:t>stipulated rules and budget guidelines; inability</w:t>
      </w:r>
      <w:r>
        <w:rPr>
          <w:spacing w:val="-2"/>
        </w:rPr>
        <w:t> </w:t>
      </w:r>
      <w:r>
        <w:rPr/>
        <w:t>to develop a</w:t>
      </w:r>
      <w:r>
        <w:rPr>
          <w:spacing w:val="-1"/>
        </w:rPr>
        <w:t> </w:t>
      </w:r>
      <w:r>
        <w:rPr/>
        <w:t>macro- economic framework for budget formulation; ambiguities in the roles of various agencies involved in the</w:t>
      </w:r>
      <w:r>
        <w:rPr>
          <w:spacing w:val="-1"/>
        </w:rPr>
        <w:t> </w:t>
      </w:r>
      <w:r>
        <w:rPr/>
        <w:t>formulation and monitoring of</w:t>
      </w:r>
      <w:r>
        <w:rPr>
          <w:spacing w:val="-1"/>
        </w:rPr>
        <w:t> </w:t>
      </w:r>
      <w:r>
        <w:rPr/>
        <w:t>the budget; periodic changing</w:t>
      </w:r>
      <w:r>
        <w:rPr>
          <w:spacing w:val="-3"/>
        </w:rPr>
        <w:t> </w:t>
      </w:r>
      <w:r>
        <w:rPr/>
        <w:t>of</w:t>
      </w:r>
      <w:r>
        <w:rPr>
          <w:spacing w:val="-1"/>
        </w:rPr>
        <w:t> </w:t>
      </w:r>
      <w:r>
        <w:rPr/>
        <w:t>budget line</w:t>
      </w:r>
      <w:r>
        <w:rPr>
          <w:spacing w:val="-1"/>
        </w:rPr>
        <w:t> </w:t>
      </w:r>
      <w:r>
        <w:rPr/>
        <w:t>items classifications; lack of coordination in the disbursement of funds after budget approval and slow budget</w:t>
      </w:r>
      <w:r>
        <w:rPr>
          <w:spacing w:val="76"/>
        </w:rPr>
        <w:t> </w:t>
      </w:r>
      <w:r>
        <w:rPr/>
        <w:t>process</w:t>
      </w:r>
      <w:r>
        <w:rPr>
          <w:spacing w:val="76"/>
        </w:rPr>
        <w:t> </w:t>
      </w:r>
      <w:r>
        <w:rPr/>
        <w:t>fraught</w:t>
      </w:r>
      <w:r>
        <w:rPr>
          <w:spacing w:val="77"/>
        </w:rPr>
        <w:t> </w:t>
      </w:r>
      <w:r>
        <w:rPr/>
        <w:t>with</w:t>
      </w:r>
      <w:r>
        <w:rPr>
          <w:spacing w:val="78"/>
        </w:rPr>
        <w:t> </w:t>
      </w:r>
      <w:r>
        <w:rPr/>
        <w:t>errors.</w:t>
      </w:r>
      <w:r>
        <w:rPr>
          <w:spacing w:val="75"/>
        </w:rPr>
        <w:t> </w:t>
      </w:r>
      <w:r>
        <w:rPr/>
        <w:t>The</w:t>
      </w:r>
      <w:r>
        <w:rPr>
          <w:spacing w:val="76"/>
        </w:rPr>
        <w:t> </w:t>
      </w:r>
      <w:r>
        <w:rPr/>
        <w:t>findings</w:t>
      </w:r>
      <w:r>
        <w:rPr>
          <w:spacing w:val="79"/>
        </w:rPr>
        <w:t> </w:t>
      </w:r>
      <w:r>
        <w:rPr/>
        <w:t>established</w:t>
      </w:r>
      <w:r>
        <w:rPr>
          <w:spacing w:val="74"/>
        </w:rPr>
        <w:t> </w:t>
      </w:r>
      <w:r>
        <w:rPr/>
        <w:t>by</w:t>
      </w:r>
      <w:r>
        <w:rPr>
          <w:spacing w:val="71"/>
        </w:rPr>
        <w:t> </w:t>
      </w:r>
      <w:r>
        <w:rPr/>
        <w:t>USAID</w:t>
      </w:r>
      <w:r>
        <w:rPr>
          <w:spacing w:val="75"/>
        </w:rPr>
        <w:t> </w:t>
      </w:r>
      <w:r>
        <w:rPr/>
        <w:t>(2005)</w:t>
      </w:r>
      <w:r>
        <w:rPr>
          <w:spacing w:val="74"/>
        </w:rPr>
        <w:t> </w:t>
      </w:r>
      <w:r>
        <w:rPr/>
        <w:t>was</w:t>
      </w:r>
      <w:r>
        <w:rPr>
          <w:spacing w:val="78"/>
        </w:rPr>
        <w:t> </w:t>
      </w:r>
      <w:r>
        <w:rPr>
          <w:spacing w:val="-4"/>
        </w:rPr>
        <w:t>also</w:t>
      </w:r>
    </w:p>
    <w:p>
      <w:pPr>
        <w:spacing w:after="0" w:line="360" w:lineRule="auto"/>
        <w:jc w:val="both"/>
        <w:sectPr>
          <w:pgSz w:w="12240" w:h="15840"/>
          <w:pgMar w:header="0" w:footer="1036" w:top="1360" w:bottom="1220" w:left="1200" w:right="600"/>
        </w:sectPr>
      </w:pPr>
    </w:p>
    <w:p>
      <w:pPr>
        <w:pStyle w:val="BodyText"/>
        <w:spacing w:line="360" w:lineRule="auto" w:before="74"/>
        <w:ind w:left="240" w:right="835"/>
        <w:jc w:val="both"/>
      </w:pPr>
      <w:r>
        <w:rPr/>
        <w:t>corroborated by the assertion of Olomola (2009) and Opawole </w:t>
      </w:r>
      <w:r>
        <w:rPr>
          <w:i/>
        </w:rPr>
        <w:t>et al</w:t>
      </w:r>
      <w:r>
        <w:rPr/>
        <w:t>. (2012), that the non- incorporation of the opinions of construction professionals in budgeting process for</w:t>
      </w:r>
      <w:r>
        <w:rPr>
          <w:spacing w:val="80"/>
        </w:rPr>
        <w:t> </w:t>
      </w:r>
      <w:r>
        <w:rPr/>
        <w:t>infrastructure development suggests that the budgeting process is dominated by political executive opinion by which this poses as a significant factor affecting the performance of implementation of infrastructure budgets in Nigeria.</w:t>
      </w:r>
    </w:p>
    <w:p>
      <w:pPr>
        <w:pStyle w:val="BodyText"/>
        <w:spacing w:before="141"/>
      </w:pPr>
    </w:p>
    <w:p>
      <w:pPr>
        <w:pStyle w:val="Heading4"/>
        <w:numPr>
          <w:ilvl w:val="0"/>
          <w:numId w:val="59"/>
        </w:numPr>
        <w:tabs>
          <w:tab w:pos="748" w:val="left" w:leader="none"/>
          <w:tab w:pos="780" w:val="left" w:leader="none"/>
        </w:tabs>
        <w:spacing w:line="240" w:lineRule="auto" w:before="0" w:after="0"/>
        <w:ind w:left="780" w:right="841" w:hanging="540"/>
        <w:jc w:val="both"/>
      </w:pPr>
      <w:r>
        <w:rPr/>
        <w:t>Budget Indiscipline, Poor Policy Implementation, Bureaucracy and General </w:t>
      </w:r>
      <w:r>
        <w:rPr>
          <w:spacing w:val="-2"/>
        </w:rPr>
        <w:t>Inefficiency</w:t>
      </w:r>
    </w:p>
    <w:p>
      <w:pPr>
        <w:pStyle w:val="BodyText"/>
        <w:spacing w:line="360" w:lineRule="auto" w:before="204"/>
        <w:ind w:left="240" w:right="837"/>
        <w:jc w:val="both"/>
      </w:pPr>
      <w:r>
        <w:rPr/>
        <w:t>One of the major concerns of the Nigerian government from the inception of the democratic civilian administration in 1999 was the rate of extra budgetary</w:t>
      </w:r>
      <w:r>
        <w:rPr>
          <w:spacing w:val="-2"/>
        </w:rPr>
        <w:t> </w:t>
      </w:r>
      <w:r>
        <w:rPr/>
        <w:t>spending, and blatant disregard to budget rules perpetrated by previous (military) administrations (Ben-Caleb and Agbude, 2013). Specifically, during the military regimes, the budget process was said to be thrown into disarray with major defects which precluded the budget from performing its role effectively as a tool for economic transformation, rather pressurized the nation into economic instability (Obasanjo, 1999). Consequently, a number of budget related reforms like the Medium Term Expenditure Framework (MTEF) 2005 was introduced into the Nigeria budget process to bring the economy back on track with the new democratic agenda and to deliver value to the people. (Garba, 2011). The reforms centered on five major aspects namely; administrative procedures, budget preparation, management of government spending, budget implementation, as well as budget monitoring and evaluation. They were intended to achieve the following objectives among others; reduce the cost of governance, improve the management of resources by curtailing extravagances, increasing the level of productivity and efficiency, as well as ensure budget discipline (i.e. adherence to limits) (Olomola, 2009; Government Integrated Financial Management Information System (GIFMIS), 2011).</w:t>
      </w:r>
    </w:p>
    <w:p>
      <w:pPr>
        <w:pStyle w:val="BodyText"/>
        <w:spacing w:before="36"/>
      </w:pPr>
    </w:p>
    <w:p>
      <w:pPr>
        <w:pStyle w:val="BodyText"/>
        <w:spacing w:line="360" w:lineRule="auto"/>
        <w:ind w:left="240" w:right="837"/>
        <w:jc w:val="both"/>
      </w:pPr>
      <w:r>
        <w:rPr/>
        <w:t>The MTEF was introduced into the Nigerian budgetary process in 2005; although it‘s legal backing came via the Fiscal Responsibility Act in 2007. According to Pascua (2005), MTEF entails</w:t>
      </w:r>
      <w:r>
        <w:rPr>
          <w:spacing w:val="-1"/>
        </w:rPr>
        <w:t> </w:t>
      </w:r>
      <w:r>
        <w:rPr/>
        <w:t>annual</w:t>
      </w:r>
      <w:r>
        <w:rPr>
          <w:spacing w:val="-1"/>
        </w:rPr>
        <w:t> </w:t>
      </w:r>
      <w:r>
        <w:rPr/>
        <w:t>budgeting</w:t>
      </w:r>
      <w:r>
        <w:rPr>
          <w:spacing w:val="-1"/>
        </w:rPr>
        <w:t> </w:t>
      </w:r>
      <w:r>
        <w:rPr/>
        <w:t>system</w:t>
      </w:r>
      <w:r>
        <w:rPr>
          <w:spacing w:val="-1"/>
        </w:rPr>
        <w:t> </w:t>
      </w:r>
      <w:r>
        <w:rPr/>
        <w:t>in</w:t>
      </w:r>
      <w:r>
        <w:rPr>
          <w:spacing w:val="-1"/>
        </w:rPr>
        <w:t> </w:t>
      </w:r>
      <w:r>
        <w:rPr/>
        <w:t>which</w:t>
      </w:r>
      <w:r>
        <w:rPr>
          <w:spacing w:val="-1"/>
        </w:rPr>
        <w:t> </w:t>
      </w:r>
      <w:r>
        <w:rPr/>
        <w:t>budget decisions</w:t>
      </w:r>
      <w:r>
        <w:rPr>
          <w:spacing w:val="-1"/>
        </w:rPr>
        <w:t> </w:t>
      </w:r>
      <w:r>
        <w:rPr/>
        <w:t>relating</w:t>
      </w:r>
      <w:r>
        <w:rPr>
          <w:spacing w:val="-4"/>
        </w:rPr>
        <w:t> </w:t>
      </w:r>
      <w:r>
        <w:rPr/>
        <w:t>to</w:t>
      </w:r>
      <w:r>
        <w:rPr>
          <w:spacing w:val="-1"/>
        </w:rPr>
        <w:t> </w:t>
      </w:r>
      <w:r>
        <w:rPr/>
        <w:t>new programs</w:t>
      </w:r>
      <w:r>
        <w:rPr>
          <w:spacing w:val="-1"/>
        </w:rPr>
        <w:t> </w:t>
      </w:r>
      <w:r>
        <w:rPr/>
        <w:t>and projects are made at every budget preparation session based on three-year fiscal scenarios, to ensure that projects financed for the next three years will be approved under the annual system and will be consistent with the baseline budgeting approach. Its emphasis is on a multi-year (three years) budget</w:t>
      </w:r>
      <w:r>
        <w:rPr>
          <w:spacing w:val="8"/>
        </w:rPr>
        <w:t> </w:t>
      </w:r>
      <w:r>
        <w:rPr/>
        <w:t>packaging.</w:t>
      </w:r>
      <w:r>
        <w:rPr>
          <w:spacing w:val="5"/>
        </w:rPr>
        <w:t> </w:t>
      </w:r>
      <w:r>
        <w:rPr/>
        <w:t>The</w:t>
      </w:r>
      <w:r>
        <w:rPr>
          <w:spacing w:val="6"/>
        </w:rPr>
        <w:t> </w:t>
      </w:r>
      <w:r>
        <w:rPr/>
        <w:t>specific</w:t>
      </w:r>
      <w:r>
        <w:rPr>
          <w:spacing w:val="7"/>
        </w:rPr>
        <w:t> </w:t>
      </w:r>
      <w:r>
        <w:rPr/>
        <w:t>objectives</w:t>
      </w:r>
      <w:r>
        <w:rPr>
          <w:spacing w:val="8"/>
        </w:rPr>
        <w:t> </w:t>
      </w:r>
      <w:r>
        <w:rPr/>
        <w:t>for</w:t>
      </w:r>
      <w:r>
        <w:rPr>
          <w:spacing w:val="5"/>
        </w:rPr>
        <w:t> </w:t>
      </w:r>
      <w:r>
        <w:rPr/>
        <w:t>the</w:t>
      </w:r>
      <w:r>
        <w:rPr>
          <w:spacing w:val="7"/>
        </w:rPr>
        <w:t> </w:t>
      </w:r>
      <w:r>
        <w:rPr/>
        <w:t>adoption</w:t>
      </w:r>
      <w:r>
        <w:rPr>
          <w:spacing w:val="5"/>
        </w:rPr>
        <w:t> </w:t>
      </w:r>
      <w:r>
        <w:rPr/>
        <w:t>of</w:t>
      </w:r>
      <w:r>
        <w:rPr>
          <w:spacing w:val="8"/>
        </w:rPr>
        <w:t> </w:t>
      </w:r>
      <w:r>
        <w:rPr/>
        <w:t>MTEF</w:t>
      </w:r>
      <w:r>
        <w:rPr>
          <w:spacing w:val="6"/>
        </w:rPr>
        <w:t> </w:t>
      </w:r>
      <w:r>
        <w:rPr/>
        <w:t>in</w:t>
      </w:r>
      <w:r>
        <w:rPr>
          <w:spacing w:val="6"/>
        </w:rPr>
        <w:t> </w:t>
      </w:r>
      <w:r>
        <w:rPr/>
        <w:t>Nigeria</w:t>
      </w:r>
      <w:r>
        <w:rPr>
          <w:spacing w:val="8"/>
        </w:rPr>
        <w:t> </w:t>
      </w:r>
      <w:r>
        <w:rPr/>
        <w:t>were</w:t>
      </w:r>
      <w:r>
        <w:rPr>
          <w:spacing w:val="5"/>
        </w:rPr>
        <w:t> </w:t>
      </w:r>
      <w:r>
        <w:rPr/>
        <w:t>to</w:t>
      </w:r>
      <w:r>
        <w:rPr>
          <w:spacing w:val="7"/>
        </w:rPr>
        <w:t> </w:t>
      </w:r>
      <w:r>
        <w:rPr>
          <w:spacing w:val="-2"/>
        </w:rPr>
        <w:t>improve</w:t>
      </w:r>
    </w:p>
    <w:p>
      <w:pPr>
        <w:spacing w:after="0" w:line="360" w:lineRule="auto"/>
        <w:jc w:val="both"/>
        <w:sectPr>
          <w:pgSz w:w="12240" w:h="15840"/>
          <w:pgMar w:header="0" w:footer="1036" w:top="1360" w:bottom="1220" w:left="1200" w:right="600"/>
        </w:sectPr>
      </w:pPr>
    </w:p>
    <w:p>
      <w:pPr>
        <w:pStyle w:val="BodyText"/>
        <w:spacing w:line="360" w:lineRule="auto" w:before="74"/>
        <w:ind w:left="240" w:right="832"/>
        <w:jc w:val="both"/>
      </w:pPr>
      <w:r>
        <w:rPr/>
        <w:t>the allocation of resources to strategic priorities among and within sectors, as well as provide MDAs with a hard budget constraint among others (Olomola, 2009). The Fiscal Responsibility Act (FRA) which was signed into law in 2007 was meant to ensure prudent management of national resources, a mandate consistent with section 16 of the 1999 constitution, among others. It was set to promote greater accountability and transparency in fiscal operations and processes within the medium term fiscal policy framework (Omolehinwa and Naiyeju, 2011). Thus, the enactment of FRA formed the legal basis for the MTEF, which gave impetus to other budget reforms as well.</w:t>
      </w:r>
    </w:p>
    <w:p>
      <w:pPr>
        <w:pStyle w:val="BodyText"/>
        <w:spacing w:before="138"/>
      </w:pPr>
    </w:p>
    <w:p>
      <w:pPr>
        <w:pStyle w:val="BodyText"/>
        <w:spacing w:line="360" w:lineRule="auto"/>
        <w:ind w:left="240" w:right="834"/>
        <w:jc w:val="both"/>
      </w:pPr>
      <w:r>
        <w:rPr/>
        <w:t>Despite these reforms and policies, budget implementation failure in Nigeria had been attributed largely</w:t>
      </w:r>
      <w:r>
        <w:rPr>
          <w:spacing w:val="-8"/>
        </w:rPr>
        <w:t> </w:t>
      </w:r>
      <w:r>
        <w:rPr/>
        <w:t>to</w:t>
      </w:r>
      <w:r>
        <w:rPr>
          <w:spacing w:val="-1"/>
        </w:rPr>
        <w:t> </w:t>
      </w:r>
      <w:r>
        <w:rPr/>
        <w:t>budget</w:t>
      </w:r>
      <w:r>
        <w:rPr>
          <w:spacing w:val="-1"/>
        </w:rPr>
        <w:t> </w:t>
      </w:r>
      <w:r>
        <w:rPr/>
        <w:t>indiscipline</w:t>
      </w:r>
      <w:r>
        <w:rPr>
          <w:spacing w:val="-1"/>
        </w:rPr>
        <w:t> </w:t>
      </w:r>
      <w:r>
        <w:rPr/>
        <w:t>associated</w:t>
      </w:r>
      <w:r>
        <w:rPr>
          <w:spacing w:val="-1"/>
        </w:rPr>
        <w:t> </w:t>
      </w:r>
      <w:r>
        <w:rPr/>
        <w:t>with</w:t>
      </w:r>
      <w:r>
        <w:rPr>
          <w:spacing w:val="-1"/>
        </w:rPr>
        <w:t> </w:t>
      </w:r>
      <w:r>
        <w:rPr/>
        <w:t>long</w:t>
      </w:r>
      <w:r>
        <w:rPr>
          <w:spacing w:val="-2"/>
        </w:rPr>
        <w:t> </w:t>
      </w:r>
      <w:r>
        <w:rPr/>
        <w:t>years</w:t>
      </w:r>
      <w:r>
        <w:rPr>
          <w:spacing w:val="-1"/>
        </w:rPr>
        <w:t> </w:t>
      </w:r>
      <w:r>
        <w:rPr/>
        <w:t>of</w:t>
      </w:r>
      <w:r>
        <w:rPr>
          <w:spacing w:val="-1"/>
        </w:rPr>
        <w:t> </w:t>
      </w:r>
      <w:r>
        <w:rPr/>
        <w:t>military</w:t>
      </w:r>
      <w:r>
        <w:rPr>
          <w:spacing w:val="-5"/>
        </w:rPr>
        <w:t> </w:t>
      </w:r>
      <w:r>
        <w:rPr/>
        <w:t>rule</w:t>
      </w:r>
      <w:r>
        <w:rPr>
          <w:spacing w:val="-1"/>
        </w:rPr>
        <w:t> </w:t>
      </w:r>
      <w:r>
        <w:rPr/>
        <w:t>(Aruwa,</w:t>
      </w:r>
      <w:r>
        <w:rPr>
          <w:spacing w:val="-1"/>
        </w:rPr>
        <w:t> </w:t>
      </w:r>
      <w:r>
        <w:rPr/>
        <w:t>2004). Olomola (2009) corroborates this by attributing failure of infrastructure projects to inability of existing medium- to long-term plans to provide useful guide to the budgetary process. (Olufidipe, 2003) attribute poor infrastructure budget implementation to fiscal indiscipline and bureaucracy, resulting most often in abandonment of projects.</w:t>
      </w:r>
    </w:p>
    <w:p>
      <w:pPr>
        <w:pStyle w:val="BodyText"/>
        <w:spacing w:before="139"/>
      </w:pPr>
    </w:p>
    <w:p>
      <w:pPr>
        <w:pStyle w:val="BodyText"/>
        <w:spacing w:line="360" w:lineRule="auto" w:before="1"/>
        <w:ind w:left="240" w:right="838"/>
        <w:jc w:val="both"/>
      </w:pPr>
      <w:r>
        <w:rPr/>
        <w:t>Similarly, Opawole </w:t>
      </w:r>
      <w:r>
        <w:rPr>
          <w:i/>
        </w:rPr>
        <w:t>et al</w:t>
      </w:r>
      <w:r>
        <w:rPr/>
        <w:t>. (2016), identify other causes of poor budget performance as poor</w:t>
      </w:r>
      <w:r>
        <w:rPr>
          <w:spacing w:val="40"/>
        </w:rPr>
        <w:t> </w:t>
      </w:r>
      <w:r>
        <w:rPr/>
        <w:t>policy implementation, poor collaboration among various department, ministries and agencies and low human resources for infrastructure delivery operators. Olomola (2009) also attributes failure of public infrastructure projects to failure to abide by stipulated rules and budget guidelines, high incidence of extra budgetary expenditure, persistently chronic budget deficit,</w:t>
      </w:r>
      <w:r>
        <w:rPr>
          <w:spacing w:val="40"/>
        </w:rPr>
        <w:t> </w:t>
      </w:r>
      <w:r>
        <w:rPr/>
        <w:t>off-budget resource allocation, overlapping institutional arrangements in the budget process resulting in lopsided allocation of resources, delays in arriving at a consensus on critical decisions and policy reversals, weak expenditure control and regular unspent funds. Opawole </w:t>
      </w:r>
      <w:r>
        <w:rPr>
          <w:i/>
        </w:rPr>
        <w:t>et al</w:t>
      </w:r>
      <w:r>
        <w:rPr/>
        <w:t>. (</w:t>
      </w:r>
      <w:hyperlink r:id="rId56">
        <w:r>
          <w:rPr/>
          <w:t>2012</w:t>
        </w:r>
      </w:hyperlink>
      <w:r>
        <w:rPr/>
        <w:t>) conclude that factors such as slow disbursement of funds after budget approval, the time of passage of budget, the relation between budget size and proposed infrastructure projects are responsible for poor budget performance.</w:t>
      </w:r>
    </w:p>
    <w:p>
      <w:pPr>
        <w:spacing w:after="0" w:line="360" w:lineRule="auto"/>
        <w:jc w:val="both"/>
        <w:sectPr>
          <w:pgSz w:w="12240" w:h="15840"/>
          <w:pgMar w:header="0" w:footer="1036" w:top="1360" w:bottom="1220" w:left="1200" w:right="600"/>
        </w:sectPr>
      </w:pPr>
    </w:p>
    <w:p>
      <w:pPr>
        <w:pStyle w:val="Heading4"/>
        <w:numPr>
          <w:ilvl w:val="0"/>
          <w:numId w:val="59"/>
        </w:numPr>
        <w:tabs>
          <w:tab w:pos="564" w:val="left" w:leader="none"/>
        </w:tabs>
        <w:spacing w:line="240" w:lineRule="auto" w:before="79" w:after="0"/>
        <w:ind w:left="564" w:right="0" w:hanging="324"/>
        <w:jc w:val="both"/>
      </w:pPr>
      <w:r>
        <w:rPr/>
        <w:t>Lack</w:t>
      </w:r>
      <w:r>
        <w:rPr>
          <w:spacing w:val="-2"/>
        </w:rPr>
        <w:t> </w:t>
      </w:r>
      <w:r>
        <w:rPr/>
        <w:t>of Citizens’</w:t>
      </w:r>
      <w:r>
        <w:rPr>
          <w:spacing w:val="-1"/>
        </w:rPr>
        <w:t> </w:t>
      </w:r>
      <w:r>
        <w:rPr>
          <w:spacing w:val="-2"/>
        </w:rPr>
        <w:t>Interest</w:t>
      </w:r>
    </w:p>
    <w:p>
      <w:pPr>
        <w:pStyle w:val="BodyText"/>
        <w:spacing w:line="360" w:lineRule="auto" w:before="132"/>
        <w:ind w:left="240" w:right="837"/>
        <w:jc w:val="both"/>
      </w:pPr>
      <w:r>
        <w:rPr/>
        <w:t>Several authors such have established that Nigeria‘s annual budgets do not promote the interests of the people. For instance, Fort (2012) citing El-Rufai (2012) observes that the entire budget process in Nigeria</w:t>
      </w:r>
      <w:r>
        <w:rPr>
          <w:spacing w:val="-2"/>
        </w:rPr>
        <w:t> </w:t>
      </w:r>
      <w:r>
        <w:rPr/>
        <w:t>is vastly</w:t>
      </w:r>
      <w:r>
        <w:rPr>
          <w:spacing w:val="-5"/>
        </w:rPr>
        <w:t> </w:t>
      </w:r>
      <w:r>
        <w:rPr/>
        <w:t>bureaucratic</w:t>
      </w:r>
      <w:r>
        <w:rPr>
          <w:spacing w:val="-1"/>
        </w:rPr>
        <w:t> </w:t>
      </w:r>
      <w:r>
        <w:rPr/>
        <w:t>and opaque. It is not anchored on any</w:t>
      </w:r>
      <w:r>
        <w:rPr>
          <w:spacing w:val="-3"/>
        </w:rPr>
        <w:t> </w:t>
      </w:r>
      <w:r>
        <w:rPr/>
        <w:t>collective</w:t>
      </w:r>
      <w:r>
        <w:rPr>
          <w:spacing w:val="-1"/>
        </w:rPr>
        <w:t> </w:t>
      </w:r>
      <w:r>
        <w:rPr/>
        <w:t>national vision, clear strategy and well thought-out programmes. It is an annual ritual for politicians and public</w:t>
      </w:r>
      <w:r>
        <w:rPr>
          <w:spacing w:val="-3"/>
        </w:rPr>
        <w:t> </w:t>
      </w:r>
      <w:r>
        <w:rPr/>
        <w:t>servants</w:t>
      </w:r>
      <w:r>
        <w:rPr>
          <w:spacing w:val="-2"/>
        </w:rPr>
        <w:t> </w:t>
      </w:r>
      <w:r>
        <w:rPr/>
        <w:t>to</w:t>
      </w:r>
      <w:r>
        <w:rPr>
          <w:spacing w:val="-2"/>
        </w:rPr>
        <w:t> </w:t>
      </w:r>
      <w:r>
        <w:rPr/>
        <w:t>slice</w:t>
      </w:r>
      <w:r>
        <w:rPr>
          <w:spacing w:val="-3"/>
        </w:rPr>
        <w:t> </w:t>
      </w:r>
      <w:r>
        <w:rPr/>
        <w:t>the</w:t>
      </w:r>
      <w:r>
        <w:rPr>
          <w:spacing w:val="-3"/>
        </w:rPr>
        <w:t> </w:t>
      </w:r>
      <w:r>
        <w:rPr/>
        <w:t>fiscal</w:t>
      </w:r>
      <w:r>
        <w:rPr>
          <w:spacing w:val="-2"/>
        </w:rPr>
        <w:t> </w:t>
      </w:r>
      <w:r>
        <w:rPr/>
        <w:t>pie</w:t>
      </w:r>
      <w:r>
        <w:rPr>
          <w:spacing w:val="-3"/>
        </w:rPr>
        <w:t> </w:t>
      </w:r>
      <w:r>
        <w:rPr/>
        <w:t>into</w:t>
      </w:r>
      <w:r>
        <w:rPr>
          <w:spacing w:val="-2"/>
        </w:rPr>
        <w:t> </w:t>
      </w:r>
      <w:r>
        <w:rPr/>
        <w:t>various expenditure</w:t>
      </w:r>
      <w:r>
        <w:rPr>
          <w:spacing w:val="-3"/>
        </w:rPr>
        <w:t> </w:t>
      </w:r>
      <w:r>
        <w:rPr/>
        <w:t>sub-heads</w:t>
      </w:r>
      <w:r>
        <w:rPr>
          <w:spacing w:val="-2"/>
        </w:rPr>
        <w:t> </w:t>
      </w:r>
      <w:r>
        <w:rPr/>
        <w:t>that</w:t>
      </w:r>
      <w:r>
        <w:rPr>
          <w:spacing w:val="-2"/>
        </w:rPr>
        <w:t> </w:t>
      </w:r>
      <w:r>
        <w:rPr/>
        <w:t>often</w:t>
      </w:r>
      <w:r>
        <w:rPr>
          <w:spacing w:val="-2"/>
        </w:rPr>
        <w:t> </w:t>
      </w:r>
      <w:r>
        <w:rPr/>
        <w:t>fail</w:t>
      </w:r>
      <w:r>
        <w:rPr>
          <w:spacing w:val="-2"/>
        </w:rPr>
        <w:t> </w:t>
      </w:r>
      <w:r>
        <w:rPr/>
        <w:t>to</w:t>
      </w:r>
      <w:r>
        <w:rPr>
          <w:spacing w:val="-2"/>
        </w:rPr>
        <w:t> </w:t>
      </w:r>
      <w:r>
        <w:rPr/>
        <w:t>improve the welfare of the rest of Nigerians (Saraki, 2016). Sharing a similar view, Oko (2016) stresses the need for citizen participation through capacities to reach, advocacy and data collection to capture citizen concerns and public expectation; Oko (2016) surmises that citizens should participate in the budget decision making process to make the budget document an effective and realistic one.</w:t>
      </w:r>
    </w:p>
    <w:p>
      <w:pPr>
        <w:pStyle w:val="BodyText"/>
        <w:spacing w:before="59"/>
      </w:pPr>
    </w:p>
    <w:p>
      <w:pPr>
        <w:pStyle w:val="BodyText"/>
        <w:spacing w:line="360" w:lineRule="auto"/>
        <w:ind w:left="240" w:right="837"/>
        <w:jc w:val="both"/>
      </w:pPr>
      <w:r>
        <w:rPr/>
        <w:t>It is not difficult to concur with the aforementioned views, because the Nigerian Constitution (1999) is unequivocal about the obligations of the government to the people and states. For example, section 14, sub-section 2(b),</w:t>
      </w:r>
      <w:r>
        <w:rPr>
          <w:spacing w:val="-1"/>
        </w:rPr>
        <w:t> </w:t>
      </w:r>
      <w:r>
        <w:rPr/>
        <w:t>states that; ‗the</w:t>
      </w:r>
      <w:r>
        <w:rPr>
          <w:spacing w:val="-1"/>
        </w:rPr>
        <w:t> </w:t>
      </w:r>
      <w:r>
        <w:rPr/>
        <w:t>security</w:t>
      </w:r>
      <w:r>
        <w:rPr>
          <w:spacing w:val="-2"/>
        </w:rPr>
        <w:t> </w:t>
      </w:r>
      <w:r>
        <w:rPr/>
        <w:t>and welfare of</w:t>
      </w:r>
      <w:r>
        <w:rPr>
          <w:spacing w:val="-1"/>
        </w:rPr>
        <w:t> </w:t>
      </w:r>
      <w:r>
        <w:rPr/>
        <w:t>the people shall be the primary purpose of the government‘. It goes on to make further demands on government in section 16(1) and (2) thus; in (1a), ‗the state shall harness the resources of the nation and promote national prosperity</w:t>
      </w:r>
      <w:r>
        <w:rPr>
          <w:spacing w:val="-3"/>
        </w:rPr>
        <w:t> </w:t>
      </w:r>
      <w:r>
        <w:rPr/>
        <w:t>and an efficient, dynamic and self reliant economy‘ in (1b), ‗control the national economy</w:t>
      </w:r>
      <w:r>
        <w:rPr>
          <w:spacing w:val="-1"/>
        </w:rPr>
        <w:t> </w:t>
      </w:r>
      <w:r>
        <w:rPr/>
        <w:t>in such manner as to secure the maximum welfare, freedom and happiness of every citizen on the basis of social justice and equality of status and opportunity. Continuing</w:t>
      </w:r>
      <w:r>
        <w:rPr>
          <w:spacing w:val="40"/>
        </w:rPr>
        <w:t> </w:t>
      </w:r>
      <w:r>
        <w:rPr/>
        <w:t>in subsection 2, the constitution states that the state shall direct its policy towards ensuring; the promotion of a balanced economic development (2a); (2b), that the material resources of the nation</w:t>
      </w:r>
      <w:r>
        <w:rPr>
          <w:spacing w:val="13"/>
        </w:rPr>
        <w:t> </w:t>
      </w:r>
      <w:r>
        <w:rPr/>
        <w:t>are</w:t>
      </w:r>
      <w:r>
        <w:rPr>
          <w:spacing w:val="13"/>
        </w:rPr>
        <w:t> </w:t>
      </w:r>
      <w:r>
        <w:rPr/>
        <w:t>harnessed</w:t>
      </w:r>
      <w:r>
        <w:rPr>
          <w:spacing w:val="15"/>
        </w:rPr>
        <w:t> </w:t>
      </w:r>
      <w:r>
        <w:rPr/>
        <w:t>and</w:t>
      </w:r>
      <w:r>
        <w:rPr>
          <w:spacing w:val="15"/>
        </w:rPr>
        <w:t> </w:t>
      </w:r>
      <w:r>
        <w:rPr/>
        <w:t>distributed</w:t>
      </w:r>
      <w:r>
        <w:rPr>
          <w:spacing w:val="14"/>
        </w:rPr>
        <w:t> </w:t>
      </w:r>
      <w:r>
        <w:rPr/>
        <w:t>as</w:t>
      </w:r>
      <w:r>
        <w:rPr>
          <w:spacing w:val="16"/>
        </w:rPr>
        <w:t> </w:t>
      </w:r>
      <w:r>
        <w:rPr/>
        <w:t>best</w:t>
      </w:r>
      <w:r>
        <w:rPr>
          <w:spacing w:val="13"/>
        </w:rPr>
        <w:t> </w:t>
      </w:r>
      <w:r>
        <w:rPr/>
        <w:t>as</w:t>
      </w:r>
      <w:r>
        <w:rPr>
          <w:spacing w:val="16"/>
        </w:rPr>
        <w:t> </w:t>
      </w:r>
      <w:r>
        <w:rPr/>
        <w:t>possible</w:t>
      </w:r>
      <w:r>
        <w:rPr>
          <w:spacing w:val="13"/>
        </w:rPr>
        <w:t> </w:t>
      </w:r>
      <w:r>
        <w:rPr/>
        <w:t>to</w:t>
      </w:r>
      <w:r>
        <w:rPr>
          <w:spacing w:val="13"/>
        </w:rPr>
        <w:t> </w:t>
      </w:r>
      <w:r>
        <w:rPr/>
        <w:t>serve</w:t>
      </w:r>
      <w:r>
        <w:rPr>
          <w:spacing w:val="13"/>
        </w:rPr>
        <w:t> </w:t>
      </w:r>
      <w:r>
        <w:rPr/>
        <w:t>the</w:t>
      </w:r>
      <w:r>
        <w:rPr>
          <w:spacing w:val="15"/>
        </w:rPr>
        <w:t> </w:t>
      </w:r>
      <w:r>
        <w:rPr/>
        <w:t>common</w:t>
      </w:r>
      <w:r>
        <w:rPr>
          <w:spacing w:val="13"/>
        </w:rPr>
        <w:t> </w:t>
      </w:r>
      <w:r>
        <w:rPr/>
        <w:t>good;</w:t>
      </w:r>
      <w:r>
        <w:rPr>
          <w:spacing w:val="14"/>
        </w:rPr>
        <w:t> </w:t>
      </w:r>
      <w:r>
        <w:rPr/>
        <w:t>and</w:t>
      </w:r>
      <w:r>
        <w:rPr>
          <w:spacing w:val="16"/>
        </w:rPr>
        <w:t> </w:t>
      </w:r>
      <w:r>
        <w:rPr/>
        <w:t>in</w:t>
      </w:r>
      <w:r>
        <w:rPr>
          <w:spacing w:val="14"/>
        </w:rPr>
        <w:t> </w:t>
      </w:r>
      <w:r>
        <w:rPr>
          <w:spacing w:val="-4"/>
        </w:rPr>
        <w:t>(2d),</w:t>
      </w:r>
    </w:p>
    <w:p>
      <w:pPr>
        <w:pStyle w:val="BodyText"/>
        <w:spacing w:line="360" w:lineRule="auto"/>
        <w:ind w:left="240" w:right="837"/>
        <w:jc w:val="both"/>
      </w:pPr>
      <w:r>
        <w:rPr/>
        <w:t>‗that suitable and adequate shelter, suitable and adequate food, reasonable national minimum wage, employment, sick benefits and welfare for the disabled are provided for all citizens‘.</w:t>
      </w:r>
      <w:r>
        <w:rPr>
          <w:spacing w:val="40"/>
        </w:rPr>
        <w:t> </w:t>
      </w:r>
      <w:r>
        <w:rPr/>
        <w:t>In view of this, Fort (2012), maintains that the constitution is the supreme law of the land, and</w:t>
      </w:r>
      <w:r>
        <w:rPr>
          <w:spacing w:val="40"/>
        </w:rPr>
        <w:t> </w:t>
      </w:r>
      <w:r>
        <w:rPr/>
        <w:t>every elected member of government swears to preserve, protect and defend it, yet, the annual budgets which are</w:t>
      </w:r>
      <w:r>
        <w:rPr>
          <w:spacing w:val="-2"/>
        </w:rPr>
        <w:t> </w:t>
      </w:r>
      <w:r>
        <w:rPr/>
        <w:t>supposed to be</w:t>
      </w:r>
      <w:r>
        <w:rPr>
          <w:spacing w:val="-1"/>
        </w:rPr>
        <w:t> </w:t>
      </w:r>
      <w:r>
        <w:rPr/>
        <w:t>the</w:t>
      </w:r>
      <w:r>
        <w:rPr>
          <w:spacing w:val="-1"/>
        </w:rPr>
        <w:t> </w:t>
      </w:r>
      <w:r>
        <w:rPr/>
        <w:t>platforms for</w:t>
      </w:r>
      <w:r>
        <w:rPr>
          <w:spacing w:val="-1"/>
        </w:rPr>
        <w:t> </w:t>
      </w:r>
      <w:r>
        <w:rPr/>
        <w:t>meeting</w:t>
      </w:r>
      <w:r>
        <w:rPr>
          <w:spacing w:val="-3"/>
        </w:rPr>
        <w:t> </w:t>
      </w:r>
      <w:r>
        <w:rPr/>
        <w:t>the</w:t>
      </w:r>
      <w:r>
        <w:rPr>
          <w:spacing w:val="-1"/>
        </w:rPr>
        <w:t> </w:t>
      </w:r>
      <w:r>
        <w:rPr/>
        <w:t>needs of</w:t>
      </w:r>
      <w:r>
        <w:rPr>
          <w:spacing w:val="-1"/>
        </w:rPr>
        <w:t> </w:t>
      </w:r>
      <w:r>
        <w:rPr/>
        <w:t>the</w:t>
      </w:r>
      <w:r>
        <w:rPr>
          <w:spacing w:val="-1"/>
        </w:rPr>
        <w:t> </w:t>
      </w:r>
      <w:r>
        <w:rPr/>
        <w:t>people,</w:t>
      </w:r>
      <w:r>
        <w:rPr>
          <w:spacing w:val="-1"/>
        </w:rPr>
        <w:t> </w:t>
      </w:r>
      <w:r>
        <w:rPr/>
        <w:t>as enshrined in the constitution, do not serve the people.</w:t>
      </w:r>
    </w:p>
    <w:p>
      <w:pPr>
        <w:spacing w:after="0" w:line="360" w:lineRule="auto"/>
        <w:jc w:val="both"/>
        <w:sectPr>
          <w:pgSz w:w="12240" w:h="15840"/>
          <w:pgMar w:header="0" w:footer="1036" w:top="1360" w:bottom="1220" w:left="1200" w:right="600"/>
        </w:sectPr>
      </w:pPr>
    </w:p>
    <w:p>
      <w:pPr>
        <w:pStyle w:val="Heading4"/>
        <w:numPr>
          <w:ilvl w:val="0"/>
          <w:numId w:val="59"/>
        </w:numPr>
        <w:tabs>
          <w:tab w:pos="539" w:val="left" w:leader="none"/>
        </w:tabs>
        <w:spacing w:line="240" w:lineRule="auto" w:before="79" w:after="0"/>
        <w:ind w:left="539" w:right="0" w:hanging="299"/>
        <w:jc w:val="both"/>
      </w:pPr>
      <w:r>
        <w:rPr/>
        <w:t>Neglect</w:t>
      </w:r>
      <w:r>
        <w:rPr>
          <w:spacing w:val="-2"/>
        </w:rPr>
        <w:t> </w:t>
      </w:r>
      <w:r>
        <w:rPr/>
        <w:t>of</w:t>
      </w:r>
      <w:r>
        <w:rPr>
          <w:spacing w:val="-1"/>
        </w:rPr>
        <w:t> </w:t>
      </w:r>
      <w:r>
        <w:rPr/>
        <w:t>Infrastructure</w:t>
      </w:r>
      <w:r>
        <w:rPr>
          <w:spacing w:val="-4"/>
        </w:rPr>
        <w:t> </w:t>
      </w:r>
      <w:r>
        <w:rPr/>
        <w:t>Development</w:t>
      </w:r>
      <w:r>
        <w:rPr>
          <w:spacing w:val="-2"/>
        </w:rPr>
        <w:t> </w:t>
      </w:r>
      <w:r>
        <w:rPr/>
        <w:t>and</w:t>
      </w:r>
      <w:r>
        <w:rPr>
          <w:spacing w:val="-1"/>
        </w:rPr>
        <w:t> </w:t>
      </w:r>
      <w:r>
        <w:rPr>
          <w:spacing w:val="-2"/>
        </w:rPr>
        <w:t>Corruption</w:t>
      </w:r>
    </w:p>
    <w:p>
      <w:pPr>
        <w:pStyle w:val="BodyText"/>
        <w:spacing w:line="360" w:lineRule="auto" w:before="132"/>
        <w:ind w:left="240" w:right="836"/>
        <w:jc w:val="both"/>
      </w:pPr>
      <w:r>
        <w:rPr/>
        <w:t>Wahab (</w:t>
      </w:r>
      <w:hyperlink r:id="rId57">
        <w:r>
          <w:rPr/>
          <w:t>2000</w:t>
        </w:r>
      </w:hyperlink>
      <w:r>
        <w:rPr/>
        <w:t>) identifies various kinds of manipulation of the procedure for the award and execution of public contracts to explain poor infrastructure development in Nigeria. Forms of manipulation include inflation of costs through over-invoicing, the use of the contract system to divert public funds to private use, the award of contracts for nonexistent projects, the use of inexperienced contractors, influence peddling, the award of contracts to friends and family. This has given Nigeria a negative image on the world stage and has presented the government as underperforming. The Ibrahim Index for African governance (2013) ranked Nigeria 43rd with a score of 14.9% in infrastructure development (</w:t>
      </w:r>
      <w:r>
        <w:rPr>
          <w:i/>
        </w:rPr>
        <w:t>see Table 3.13</w:t>
      </w:r>
      <w:r>
        <w:rPr/>
        <w:t>), while all her West African neighbours ranked higher.</w:t>
      </w:r>
    </w:p>
    <w:p>
      <w:pPr>
        <w:pStyle w:val="BodyText"/>
        <w:spacing w:before="120"/>
      </w:pPr>
    </w:p>
    <w:p>
      <w:pPr>
        <w:pStyle w:val="BodyText"/>
        <w:ind w:left="240"/>
        <w:jc w:val="both"/>
      </w:pPr>
      <w:r>
        <w:rPr>
          <w:b/>
        </w:rPr>
        <w:t>Table</w:t>
      </w:r>
      <w:r>
        <w:rPr>
          <w:b/>
          <w:spacing w:val="-4"/>
        </w:rPr>
        <w:t> </w:t>
      </w:r>
      <w:r>
        <w:rPr>
          <w:b/>
        </w:rPr>
        <w:t>3.13.</w:t>
      </w:r>
      <w:r>
        <w:rPr>
          <w:b/>
          <w:spacing w:val="-1"/>
        </w:rPr>
        <w:t> </w:t>
      </w:r>
      <w:r>
        <w:rPr/>
        <w:t>Ranking</w:t>
      </w:r>
      <w:r>
        <w:rPr>
          <w:spacing w:val="-3"/>
        </w:rPr>
        <w:t> </w:t>
      </w:r>
      <w:r>
        <w:rPr/>
        <w:t>of</w:t>
      </w:r>
      <w:r>
        <w:rPr>
          <w:spacing w:val="1"/>
        </w:rPr>
        <w:t> </w:t>
      </w:r>
      <w:r>
        <w:rPr/>
        <w:t>Infrastructural</w:t>
      </w:r>
      <w:r>
        <w:rPr>
          <w:spacing w:val="-1"/>
        </w:rPr>
        <w:t> </w:t>
      </w:r>
      <w:r>
        <w:rPr/>
        <w:t>Development in</w:t>
      </w:r>
      <w:r>
        <w:rPr>
          <w:spacing w:val="-1"/>
        </w:rPr>
        <w:t> </w:t>
      </w:r>
      <w:r>
        <w:rPr/>
        <w:t>Selected</w:t>
      </w:r>
      <w:r>
        <w:rPr>
          <w:spacing w:val="-1"/>
        </w:rPr>
        <w:t> </w:t>
      </w:r>
      <w:r>
        <w:rPr/>
        <w:t>African</w:t>
      </w:r>
      <w:r>
        <w:rPr>
          <w:spacing w:val="-1"/>
        </w:rPr>
        <w:t> </w:t>
      </w:r>
      <w:r>
        <w:rPr/>
        <w:t>Countries</w:t>
      </w:r>
      <w:r>
        <w:rPr>
          <w:spacing w:val="-1"/>
        </w:rPr>
        <w:t> </w:t>
      </w:r>
      <w:r>
        <w:rPr/>
        <w:t>in </w:t>
      </w:r>
      <w:r>
        <w:rPr>
          <w:spacing w:val="-4"/>
        </w:rPr>
        <w:t>2013</w:t>
      </w:r>
    </w:p>
    <w:p>
      <w:pPr>
        <w:pStyle w:val="BodyText"/>
        <w:spacing w:before="11"/>
        <w:rPr>
          <w:sz w:val="8"/>
        </w:rPr>
      </w:pPr>
      <w:r>
        <w:rPr/>
        <w:drawing>
          <wp:anchor distT="0" distB="0" distL="0" distR="0" allowOverlap="1" layoutInCell="1" locked="0" behindDoc="1" simplePos="0" relativeHeight="487598080">
            <wp:simplePos x="0" y="0"/>
            <wp:positionH relativeFrom="page">
              <wp:posOffset>933450</wp:posOffset>
            </wp:positionH>
            <wp:positionV relativeFrom="paragraph">
              <wp:posOffset>80890</wp:posOffset>
            </wp:positionV>
            <wp:extent cx="5051624" cy="4362450"/>
            <wp:effectExtent l="0" t="0" r="0" b="0"/>
            <wp:wrapTopAndBottom/>
            <wp:docPr id="140" name="Image 140"/>
            <wp:cNvGraphicFramePr>
              <a:graphicFrameLocks/>
            </wp:cNvGraphicFramePr>
            <a:graphic>
              <a:graphicData uri="http://schemas.openxmlformats.org/drawingml/2006/picture">
                <pic:pic>
                  <pic:nvPicPr>
                    <pic:cNvPr id="140" name="Image 140"/>
                    <pic:cNvPicPr/>
                  </pic:nvPicPr>
                  <pic:blipFill>
                    <a:blip r:embed="rId58" cstate="print"/>
                    <a:stretch>
                      <a:fillRect/>
                    </a:stretch>
                  </pic:blipFill>
                  <pic:spPr>
                    <a:xfrm>
                      <a:off x="0" y="0"/>
                      <a:ext cx="5051624" cy="4362450"/>
                    </a:xfrm>
                    <a:prstGeom prst="rect">
                      <a:avLst/>
                    </a:prstGeom>
                  </pic:spPr>
                </pic:pic>
              </a:graphicData>
            </a:graphic>
          </wp:anchor>
        </w:drawing>
      </w:r>
    </w:p>
    <w:p>
      <w:pPr>
        <w:pStyle w:val="BodyText"/>
        <w:spacing w:before="254"/>
        <w:ind w:left="240"/>
        <w:jc w:val="both"/>
      </w:pPr>
      <w:r>
        <w:rPr>
          <w:b/>
        </w:rPr>
        <w:t>Source:</w:t>
      </w:r>
      <w:r>
        <w:rPr>
          <w:b/>
          <w:spacing w:val="-1"/>
        </w:rPr>
        <w:t> </w:t>
      </w:r>
      <w:r>
        <w:rPr/>
        <w:t>Ibrahim</w:t>
      </w:r>
      <w:r>
        <w:rPr>
          <w:spacing w:val="-1"/>
        </w:rPr>
        <w:t> </w:t>
      </w:r>
      <w:r>
        <w:rPr/>
        <w:t>Index</w:t>
      </w:r>
      <w:r>
        <w:rPr>
          <w:spacing w:val="-1"/>
        </w:rPr>
        <w:t> </w:t>
      </w:r>
      <w:r>
        <w:rPr/>
        <w:t>of</w:t>
      </w:r>
      <w:r>
        <w:rPr>
          <w:spacing w:val="-3"/>
        </w:rPr>
        <w:t> </w:t>
      </w:r>
      <w:r>
        <w:rPr/>
        <w:t>African</w:t>
      </w:r>
      <w:r>
        <w:rPr>
          <w:spacing w:val="-3"/>
        </w:rPr>
        <w:t> </w:t>
      </w:r>
      <w:r>
        <w:rPr/>
        <w:t>Governance</w:t>
      </w:r>
      <w:r>
        <w:rPr>
          <w:spacing w:val="-1"/>
        </w:rPr>
        <w:t> </w:t>
      </w:r>
      <w:r>
        <w:rPr>
          <w:spacing w:val="-2"/>
        </w:rPr>
        <w:t>(2013)</w:t>
      </w:r>
    </w:p>
    <w:p>
      <w:pPr>
        <w:spacing w:after="0"/>
        <w:jc w:val="both"/>
        <w:sectPr>
          <w:pgSz w:w="12240" w:h="15840"/>
          <w:pgMar w:header="0" w:footer="1036" w:top="1360" w:bottom="1220" w:left="1200" w:right="600"/>
        </w:sectPr>
      </w:pPr>
    </w:p>
    <w:p>
      <w:pPr>
        <w:pStyle w:val="BodyText"/>
        <w:spacing w:line="360" w:lineRule="auto" w:before="74"/>
        <w:ind w:left="240" w:right="843"/>
        <w:jc w:val="both"/>
      </w:pPr>
      <w:r>
        <w:rPr/>
        <w:t>The aforementioned budgetary issues have corruption and unethical practices as the overarching cause. In fact, reports from Transparency International (TI) (2013) indicate that Nigeria tops the list of the world‘s most corrupt countries. Table 3.14 depicts this sad scenario.</w:t>
      </w:r>
    </w:p>
    <w:p>
      <w:pPr>
        <w:pStyle w:val="BodyText"/>
        <w:spacing w:before="239"/>
        <w:ind w:left="240" w:right="838"/>
        <w:jc w:val="both"/>
      </w:pPr>
      <w:r>
        <w:rPr>
          <w:b/>
        </w:rPr>
        <w:t>Table 3.14. </w:t>
      </w:r>
      <w:r>
        <w:rPr/>
        <w:t>Nigeria‘s Ranking in Transparency International Corruption Perception Index, 1996 – 2013</w:t>
      </w:r>
    </w:p>
    <w:p>
      <w:pPr>
        <w:pStyle w:val="BodyText"/>
        <w:spacing w:before="1"/>
        <w:rPr>
          <w:sz w:val="9"/>
        </w:rPr>
      </w:pPr>
      <w:r>
        <w:rPr/>
        <w:drawing>
          <wp:anchor distT="0" distB="0" distL="0" distR="0" allowOverlap="1" layoutInCell="1" locked="0" behindDoc="1" simplePos="0" relativeHeight="487598592">
            <wp:simplePos x="0" y="0"/>
            <wp:positionH relativeFrom="page">
              <wp:posOffset>941115</wp:posOffset>
            </wp:positionH>
            <wp:positionV relativeFrom="paragraph">
              <wp:posOffset>81673</wp:posOffset>
            </wp:positionV>
            <wp:extent cx="5684655" cy="3459479"/>
            <wp:effectExtent l="0" t="0" r="0" b="0"/>
            <wp:wrapTopAndBottom/>
            <wp:docPr id="141" name="Image 141"/>
            <wp:cNvGraphicFramePr>
              <a:graphicFrameLocks/>
            </wp:cNvGraphicFramePr>
            <a:graphic>
              <a:graphicData uri="http://schemas.openxmlformats.org/drawingml/2006/picture">
                <pic:pic>
                  <pic:nvPicPr>
                    <pic:cNvPr id="141" name="Image 141"/>
                    <pic:cNvPicPr/>
                  </pic:nvPicPr>
                  <pic:blipFill>
                    <a:blip r:embed="rId59" cstate="print"/>
                    <a:stretch>
                      <a:fillRect/>
                    </a:stretch>
                  </pic:blipFill>
                  <pic:spPr>
                    <a:xfrm>
                      <a:off x="0" y="0"/>
                      <a:ext cx="5684655" cy="3459479"/>
                    </a:xfrm>
                    <a:prstGeom prst="rect">
                      <a:avLst/>
                    </a:prstGeom>
                  </pic:spPr>
                </pic:pic>
              </a:graphicData>
            </a:graphic>
          </wp:anchor>
        </w:drawing>
      </w:r>
    </w:p>
    <w:p>
      <w:pPr>
        <w:spacing w:before="157"/>
        <w:ind w:left="240" w:right="839" w:firstLine="0"/>
        <w:jc w:val="both"/>
        <w:rPr>
          <w:sz w:val="20"/>
        </w:rPr>
      </w:pPr>
      <w:r>
        <w:rPr>
          <w:sz w:val="20"/>
        </w:rPr>
        <w:t>*Highest score 2.7 out of 10 *Came last three times (1996, 1997 and 2000) *Came second to the last four times (1999, 2001, 2002 and 2003) *Third to the last 2004</w:t>
      </w:r>
    </w:p>
    <w:p>
      <w:pPr>
        <w:pStyle w:val="BodyText"/>
        <w:spacing w:before="182"/>
        <w:ind w:left="240"/>
        <w:jc w:val="both"/>
      </w:pPr>
      <w:r>
        <w:rPr>
          <w:b/>
        </w:rPr>
        <w:t>Source:</w:t>
      </w:r>
      <w:r>
        <w:rPr>
          <w:b/>
          <w:spacing w:val="-6"/>
        </w:rPr>
        <w:t> </w:t>
      </w:r>
      <w:r>
        <w:rPr/>
        <w:t>Transparency</w:t>
      </w:r>
      <w:r>
        <w:rPr>
          <w:spacing w:val="-5"/>
        </w:rPr>
        <w:t> </w:t>
      </w:r>
      <w:r>
        <w:rPr/>
        <w:t>International </w:t>
      </w:r>
      <w:r>
        <w:rPr>
          <w:spacing w:val="-2"/>
        </w:rPr>
        <w:t>(2013)</w:t>
      </w:r>
    </w:p>
    <w:p>
      <w:pPr>
        <w:pStyle w:val="BodyText"/>
      </w:pPr>
    </w:p>
    <w:p>
      <w:pPr>
        <w:pStyle w:val="BodyText"/>
      </w:pPr>
    </w:p>
    <w:p>
      <w:pPr>
        <w:pStyle w:val="BodyText"/>
        <w:spacing w:before="77"/>
      </w:pPr>
    </w:p>
    <w:p>
      <w:pPr>
        <w:pStyle w:val="Heading4"/>
        <w:numPr>
          <w:ilvl w:val="0"/>
          <w:numId w:val="59"/>
        </w:numPr>
        <w:tabs>
          <w:tab w:pos="577" w:val="left" w:leader="none"/>
        </w:tabs>
        <w:spacing w:line="240" w:lineRule="auto" w:before="0" w:after="0"/>
        <w:ind w:left="577" w:right="0" w:hanging="337"/>
        <w:jc w:val="left"/>
      </w:pPr>
      <w:r>
        <w:rPr/>
        <w:t>Weak</w:t>
      </w:r>
      <w:r>
        <w:rPr>
          <w:spacing w:val="-1"/>
        </w:rPr>
        <w:t> </w:t>
      </w:r>
      <w:r>
        <w:rPr/>
        <w:t>Budgeting</w:t>
      </w:r>
      <w:r>
        <w:rPr>
          <w:spacing w:val="-1"/>
        </w:rPr>
        <w:t> </w:t>
      </w:r>
      <w:r>
        <w:rPr>
          <w:spacing w:val="-2"/>
        </w:rPr>
        <w:t>Methods</w:t>
      </w:r>
    </w:p>
    <w:p>
      <w:pPr>
        <w:pStyle w:val="BodyText"/>
        <w:spacing w:line="360" w:lineRule="auto" w:before="235"/>
        <w:ind w:left="240" w:right="837"/>
        <w:jc w:val="both"/>
      </w:pPr>
      <w:r>
        <w:rPr/>
        <w:t>The Nigerian Government presently adopts the incremental method of budgeting, though simple and uncomplicated, it has largely been criticized for being reactive rather than proactive, backward looking and one that does not allow for an overall view of performance (Ugwu, 2006). Malgwi and Unegbu (2012) observe that the use of the revised current year estimates of income and expenditure as a starting point for determining the budget for next year is one of the most fundamental weakness of the budgetary process in Nigeria. Such an approach fails to consider whether a particular item is still required or whether the amount currently</w:t>
      </w:r>
      <w:r>
        <w:rPr>
          <w:spacing w:val="-2"/>
        </w:rPr>
        <w:t> </w:t>
      </w:r>
      <w:r>
        <w:rPr/>
        <w:t>incurred is reasonable.</w:t>
      </w:r>
    </w:p>
    <w:p>
      <w:pPr>
        <w:spacing w:after="0" w:line="360" w:lineRule="auto"/>
        <w:jc w:val="both"/>
        <w:sectPr>
          <w:pgSz w:w="12240" w:h="15840"/>
          <w:pgMar w:header="0" w:footer="1036" w:top="1360" w:bottom="1220" w:left="1200" w:right="600"/>
        </w:sectPr>
      </w:pPr>
    </w:p>
    <w:p>
      <w:pPr>
        <w:pStyle w:val="BodyText"/>
        <w:spacing w:line="360" w:lineRule="auto" w:before="74"/>
        <w:ind w:left="240" w:right="838"/>
        <w:jc w:val="both"/>
      </w:pPr>
      <w:r>
        <w:rPr/>
        <w:t>Recently, there has been a growing agitation for the government to adopt the zero base method</w:t>
      </w:r>
      <w:r>
        <w:rPr>
          <w:spacing w:val="40"/>
        </w:rPr>
        <w:t> </w:t>
      </w:r>
      <w:r>
        <w:rPr/>
        <w:t>of budgeting,</w:t>
      </w:r>
      <w:r>
        <w:rPr>
          <w:spacing w:val="40"/>
        </w:rPr>
        <w:t> </w:t>
      </w:r>
      <w:r>
        <w:rPr/>
        <w:t>because it is a rational and cost-benefit approach concerned with achieving value for every amount spent. This approach advocates that at the end of the year all unspent money will be returned to government coffers.</w:t>
      </w:r>
    </w:p>
    <w:p>
      <w:pPr>
        <w:pStyle w:val="BodyText"/>
        <w:spacing w:before="137"/>
      </w:pPr>
    </w:p>
    <w:p>
      <w:pPr>
        <w:pStyle w:val="BodyText"/>
        <w:spacing w:line="360" w:lineRule="auto"/>
        <w:ind w:left="240" w:right="840"/>
      </w:pPr>
      <w:r>
        <w:rPr/>
        <w:t>Adopting the</w:t>
      </w:r>
      <w:r>
        <w:rPr>
          <w:spacing w:val="27"/>
        </w:rPr>
        <w:t> </w:t>
      </w:r>
      <w:r>
        <w:rPr/>
        <w:t>zero-base</w:t>
      </w:r>
      <w:r>
        <w:rPr>
          <w:spacing w:val="30"/>
        </w:rPr>
        <w:t> </w:t>
      </w:r>
      <w:r>
        <w:rPr/>
        <w:t>budgeting technique</w:t>
      </w:r>
      <w:r>
        <w:rPr>
          <w:spacing w:val="27"/>
        </w:rPr>
        <w:t> </w:t>
      </w:r>
      <w:r>
        <w:rPr/>
        <w:t>may prove</w:t>
      </w:r>
      <w:r>
        <w:rPr>
          <w:spacing w:val="27"/>
        </w:rPr>
        <w:t> </w:t>
      </w:r>
      <w:r>
        <w:rPr/>
        <w:t>difficult</w:t>
      </w:r>
      <w:r>
        <w:rPr>
          <w:spacing w:val="28"/>
        </w:rPr>
        <w:t> </w:t>
      </w:r>
      <w:r>
        <w:rPr/>
        <w:t>for the</w:t>
      </w:r>
      <w:r>
        <w:rPr>
          <w:spacing w:val="29"/>
        </w:rPr>
        <w:t> </w:t>
      </w:r>
      <w:r>
        <w:rPr/>
        <w:t>Nigerian</w:t>
      </w:r>
      <w:r>
        <w:rPr>
          <w:spacing w:val="27"/>
        </w:rPr>
        <w:t> </w:t>
      </w:r>
      <w:r>
        <w:rPr/>
        <w:t>Government because of the following limitations:</w:t>
      </w:r>
    </w:p>
    <w:p>
      <w:pPr>
        <w:pStyle w:val="ListParagraph"/>
        <w:numPr>
          <w:ilvl w:val="1"/>
          <w:numId w:val="59"/>
        </w:numPr>
        <w:tabs>
          <w:tab w:pos="959" w:val="left" w:leader="none"/>
        </w:tabs>
        <w:spacing w:line="240" w:lineRule="auto" w:before="0" w:after="0"/>
        <w:ind w:left="959" w:right="0" w:hanging="359"/>
        <w:jc w:val="left"/>
        <w:rPr>
          <w:sz w:val="24"/>
        </w:rPr>
      </w:pPr>
      <w:r>
        <w:rPr>
          <w:sz w:val="24"/>
        </w:rPr>
        <w:t>It</w:t>
      </w:r>
      <w:r>
        <w:rPr>
          <w:spacing w:val="-1"/>
          <w:sz w:val="24"/>
        </w:rPr>
        <w:t> </w:t>
      </w:r>
      <w:r>
        <w:rPr>
          <w:sz w:val="24"/>
        </w:rPr>
        <w:t>is not widely</w:t>
      </w:r>
      <w:r>
        <w:rPr>
          <w:spacing w:val="-5"/>
          <w:sz w:val="24"/>
        </w:rPr>
        <w:t> </w:t>
      </w:r>
      <w:r>
        <w:rPr>
          <w:sz w:val="24"/>
        </w:rPr>
        <w:t>known and</w:t>
      </w:r>
      <w:r>
        <w:rPr>
          <w:spacing w:val="-1"/>
          <w:sz w:val="24"/>
        </w:rPr>
        <w:t> </w:t>
      </w:r>
      <w:r>
        <w:rPr>
          <w:sz w:val="24"/>
        </w:rPr>
        <w:t>recognized, since</w:t>
      </w:r>
      <w:r>
        <w:rPr>
          <w:spacing w:val="-1"/>
          <w:sz w:val="24"/>
        </w:rPr>
        <w:t> </w:t>
      </w:r>
      <w:r>
        <w:rPr>
          <w:sz w:val="24"/>
        </w:rPr>
        <w:t>it is relatively</w:t>
      </w:r>
      <w:r>
        <w:rPr>
          <w:spacing w:val="-5"/>
          <w:sz w:val="24"/>
        </w:rPr>
        <w:t> </w:t>
      </w:r>
      <w:r>
        <w:rPr>
          <w:spacing w:val="-4"/>
          <w:sz w:val="24"/>
        </w:rPr>
        <w:t>new;</w:t>
      </w:r>
    </w:p>
    <w:p>
      <w:pPr>
        <w:pStyle w:val="ListParagraph"/>
        <w:numPr>
          <w:ilvl w:val="1"/>
          <w:numId w:val="59"/>
        </w:numPr>
        <w:tabs>
          <w:tab w:pos="960" w:val="left" w:leader="none"/>
        </w:tabs>
        <w:spacing w:line="360" w:lineRule="auto" w:before="140" w:after="0"/>
        <w:ind w:left="960" w:right="841" w:hanging="360"/>
        <w:jc w:val="left"/>
        <w:rPr>
          <w:sz w:val="24"/>
        </w:rPr>
      </w:pPr>
      <w:r>
        <w:rPr>
          <w:sz w:val="24"/>
        </w:rPr>
        <w:t>Lack</w:t>
      </w:r>
      <w:r>
        <w:rPr>
          <w:spacing w:val="71"/>
          <w:sz w:val="24"/>
        </w:rPr>
        <w:t> </w:t>
      </w:r>
      <w:r>
        <w:rPr>
          <w:sz w:val="24"/>
        </w:rPr>
        <w:t>of</w:t>
      </w:r>
      <w:r>
        <w:rPr>
          <w:spacing w:val="70"/>
          <w:sz w:val="24"/>
        </w:rPr>
        <w:t> </w:t>
      </w:r>
      <w:r>
        <w:rPr>
          <w:sz w:val="24"/>
        </w:rPr>
        <w:t>competent</w:t>
      </w:r>
      <w:r>
        <w:rPr>
          <w:spacing w:val="71"/>
          <w:sz w:val="24"/>
        </w:rPr>
        <w:t> </w:t>
      </w:r>
      <w:r>
        <w:rPr>
          <w:sz w:val="24"/>
        </w:rPr>
        <w:t>personnel</w:t>
      </w:r>
      <w:r>
        <w:rPr>
          <w:spacing w:val="71"/>
          <w:sz w:val="24"/>
        </w:rPr>
        <w:t> </w:t>
      </w:r>
      <w:r>
        <w:rPr>
          <w:sz w:val="24"/>
        </w:rPr>
        <w:t>to</w:t>
      </w:r>
      <w:r>
        <w:rPr>
          <w:spacing w:val="71"/>
          <w:sz w:val="24"/>
        </w:rPr>
        <w:t> </w:t>
      </w:r>
      <w:r>
        <w:rPr>
          <w:sz w:val="24"/>
        </w:rPr>
        <w:t>handle</w:t>
      </w:r>
      <w:r>
        <w:rPr>
          <w:spacing w:val="70"/>
          <w:sz w:val="24"/>
        </w:rPr>
        <w:t> </w:t>
      </w:r>
      <w:r>
        <w:rPr>
          <w:sz w:val="24"/>
        </w:rPr>
        <w:t>the</w:t>
      </w:r>
      <w:r>
        <w:rPr>
          <w:spacing w:val="70"/>
          <w:sz w:val="24"/>
        </w:rPr>
        <w:t> </w:t>
      </w:r>
      <w:r>
        <w:rPr>
          <w:sz w:val="24"/>
        </w:rPr>
        <w:t>system</w:t>
      </w:r>
      <w:r>
        <w:rPr>
          <w:spacing w:val="71"/>
          <w:sz w:val="24"/>
        </w:rPr>
        <w:t> </w:t>
      </w:r>
      <w:r>
        <w:rPr>
          <w:sz w:val="24"/>
        </w:rPr>
        <w:t>effectively,</w:t>
      </w:r>
      <w:r>
        <w:rPr>
          <w:spacing w:val="71"/>
          <w:sz w:val="24"/>
        </w:rPr>
        <w:t> </w:t>
      </w:r>
      <w:r>
        <w:rPr>
          <w:sz w:val="24"/>
        </w:rPr>
        <w:t>up</w:t>
      </w:r>
      <w:r>
        <w:rPr>
          <w:spacing w:val="71"/>
          <w:sz w:val="24"/>
        </w:rPr>
        <w:t> </w:t>
      </w:r>
      <w:r>
        <w:rPr>
          <w:sz w:val="24"/>
        </w:rPr>
        <w:t>to</w:t>
      </w:r>
      <w:r>
        <w:rPr>
          <w:spacing w:val="71"/>
          <w:sz w:val="24"/>
        </w:rPr>
        <w:t> </w:t>
      </w:r>
      <w:r>
        <w:rPr>
          <w:sz w:val="24"/>
        </w:rPr>
        <w:t>the</w:t>
      </w:r>
      <w:r>
        <w:rPr>
          <w:spacing w:val="70"/>
          <w:sz w:val="24"/>
        </w:rPr>
        <w:t> </w:t>
      </w:r>
      <w:r>
        <w:rPr>
          <w:sz w:val="24"/>
        </w:rPr>
        <w:t>point</w:t>
      </w:r>
      <w:r>
        <w:rPr>
          <w:spacing w:val="71"/>
          <w:sz w:val="24"/>
        </w:rPr>
        <w:t> </w:t>
      </w:r>
      <w:r>
        <w:rPr>
          <w:sz w:val="24"/>
        </w:rPr>
        <w:t>of </w:t>
      </w:r>
      <w:r>
        <w:rPr>
          <w:spacing w:val="-2"/>
          <w:sz w:val="24"/>
        </w:rPr>
        <w:t>implementation;</w:t>
      </w:r>
    </w:p>
    <w:p>
      <w:pPr>
        <w:pStyle w:val="ListParagraph"/>
        <w:numPr>
          <w:ilvl w:val="1"/>
          <w:numId w:val="59"/>
        </w:numPr>
        <w:tabs>
          <w:tab w:pos="959" w:val="left" w:leader="none"/>
        </w:tabs>
        <w:spacing w:line="240" w:lineRule="auto" w:before="0" w:after="0"/>
        <w:ind w:left="959" w:right="0" w:hanging="359"/>
        <w:jc w:val="left"/>
        <w:rPr>
          <w:sz w:val="24"/>
        </w:rPr>
      </w:pPr>
      <w:r>
        <w:rPr>
          <w:sz w:val="24"/>
        </w:rPr>
        <w:t>Poor</w:t>
      </w:r>
      <w:r>
        <w:rPr>
          <w:spacing w:val="-1"/>
          <w:sz w:val="24"/>
        </w:rPr>
        <w:t> </w:t>
      </w:r>
      <w:r>
        <w:rPr>
          <w:sz w:val="24"/>
        </w:rPr>
        <w:t>implementation</w:t>
      </w:r>
      <w:r>
        <w:rPr>
          <w:spacing w:val="-1"/>
          <w:sz w:val="24"/>
        </w:rPr>
        <w:t> </w:t>
      </w:r>
      <w:r>
        <w:rPr>
          <w:spacing w:val="-2"/>
          <w:sz w:val="24"/>
        </w:rPr>
        <w:t>plans;</w:t>
      </w:r>
    </w:p>
    <w:p>
      <w:pPr>
        <w:pStyle w:val="ListParagraph"/>
        <w:numPr>
          <w:ilvl w:val="1"/>
          <w:numId w:val="59"/>
        </w:numPr>
        <w:tabs>
          <w:tab w:pos="960" w:val="left" w:leader="none"/>
        </w:tabs>
        <w:spacing w:line="360" w:lineRule="auto" w:before="137" w:after="0"/>
        <w:ind w:left="960" w:right="841" w:hanging="360"/>
        <w:jc w:val="both"/>
        <w:rPr>
          <w:sz w:val="24"/>
        </w:rPr>
      </w:pPr>
      <w:r>
        <w:rPr>
          <w:sz w:val="24"/>
        </w:rPr>
        <w:t>Problems in ranking packages: There are inevitably many subjective judgments, political pressures within organizations which also contribute to the problem of ranking different types of activity, especially where there are qualitative rather than quantitative benefits;</w:t>
      </w:r>
    </w:p>
    <w:p>
      <w:pPr>
        <w:pStyle w:val="ListParagraph"/>
        <w:numPr>
          <w:ilvl w:val="1"/>
          <w:numId w:val="59"/>
        </w:numPr>
        <w:tabs>
          <w:tab w:pos="960" w:val="left" w:leader="none"/>
        </w:tabs>
        <w:spacing w:line="360" w:lineRule="auto" w:before="1" w:after="0"/>
        <w:ind w:left="960" w:right="840" w:hanging="360"/>
        <w:jc w:val="both"/>
        <w:rPr>
          <w:sz w:val="24"/>
        </w:rPr>
      </w:pPr>
      <w:r>
        <w:rPr>
          <w:sz w:val="24"/>
        </w:rPr>
        <w:t>Emphasis on short term benefits to the detriment of longer term ones which in the end may be more important; and</w:t>
      </w:r>
    </w:p>
    <w:p>
      <w:pPr>
        <w:pStyle w:val="ListParagraph"/>
        <w:numPr>
          <w:ilvl w:val="1"/>
          <w:numId w:val="59"/>
        </w:numPr>
        <w:tabs>
          <w:tab w:pos="958" w:val="left" w:leader="none"/>
          <w:tab w:pos="960" w:val="left" w:leader="none"/>
        </w:tabs>
        <w:spacing w:line="360" w:lineRule="auto" w:before="1" w:after="0"/>
        <w:ind w:left="960" w:right="845" w:hanging="360"/>
        <w:jc w:val="both"/>
        <w:rPr>
          <w:sz w:val="24"/>
        </w:rPr>
      </w:pPr>
      <w:r>
        <w:rPr>
          <w:sz w:val="24"/>
        </w:rPr>
        <w:t>Difficulty in collecting required data and information, both quantifiable and unquantifiable ones for the purpose of budget planning.</w:t>
      </w:r>
    </w:p>
    <w:p>
      <w:pPr>
        <w:pStyle w:val="BodyText"/>
        <w:spacing w:line="360" w:lineRule="auto" w:before="173"/>
        <w:ind w:left="240" w:right="840"/>
        <w:jc w:val="both"/>
      </w:pPr>
      <w:r>
        <w:rPr/>
        <w:t>Awareness of this budgeting system and embracing it in the Nigerian environment may take a long</w:t>
      </w:r>
      <w:r>
        <w:rPr>
          <w:spacing w:val="-1"/>
        </w:rPr>
        <w:t> </w:t>
      </w:r>
      <w:r>
        <w:rPr/>
        <w:t>time, therefore</w:t>
      </w:r>
      <w:r>
        <w:rPr>
          <w:spacing w:val="-1"/>
        </w:rPr>
        <w:t> </w:t>
      </w:r>
      <w:r>
        <w:rPr/>
        <w:t>the immediate prospects of the system seem bleak (Ugwu, 2006). A detailed work has to be carried out by various interest groups to be able to convince both the government/decision makers and implementers to change this budgeting technique, but the results are yet to materialize especially now that the government lays emphasis on effectiveness and efficiency of its operations.</w:t>
      </w:r>
    </w:p>
    <w:p>
      <w:pPr>
        <w:pStyle w:val="BodyText"/>
        <w:spacing w:before="188"/>
      </w:pPr>
    </w:p>
    <w:p>
      <w:pPr>
        <w:pStyle w:val="Heading4"/>
        <w:numPr>
          <w:ilvl w:val="0"/>
          <w:numId w:val="59"/>
        </w:numPr>
        <w:tabs>
          <w:tab w:pos="593" w:val="left" w:leader="none"/>
        </w:tabs>
        <w:spacing w:line="240" w:lineRule="auto" w:before="0" w:after="0"/>
        <w:ind w:left="593" w:right="0" w:hanging="353"/>
        <w:jc w:val="both"/>
      </w:pPr>
      <w:r>
        <w:rPr/>
        <w:t>Poor</w:t>
      </w:r>
      <w:r>
        <w:rPr>
          <w:spacing w:val="-1"/>
        </w:rPr>
        <w:t> </w:t>
      </w:r>
      <w:r>
        <w:rPr/>
        <w:t>Federal</w:t>
      </w:r>
      <w:r>
        <w:rPr>
          <w:spacing w:val="-2"/>
        </w:rPr>
        <w:t> </w:t>
      </w:r>
      <w:r>
        <w:rPr/>
        <w:t>Revenue</w:t>
      </w:r>
      <w:r>
        <w:rPr>
          <w:spacing w:val="-2"/>
        </w:rPr>
        <w:t> Allocation</w:t>
      </w:r>
    </w:p>
    <w:p>
      <w:pPr>
        <w:pStyle w:val="BodyText"/>
        <w:spacing w:line="360" w:lineRule="auto" w:before="134"/>
        <w:ind w:left="240" w:right="835"/>
        <w:jc w:val="both"/>
      </w:pPr>
      <w:r>
        <w:rPr/>
        <w:t>According to Abovu (2015), there have been calls by states to increase/ review the present revenue allocation sharing formula by the federal government, to enable states actualize their budgetary objectives. This is because the federal revenue/statutory allocation constitute a substantial amount of the income or revenue in most states. Thus, the present sharing formula</w:t>
      </w:r>
      <w:r>
        <w:rPr>
          <w:spacing w:val="80"/>
        </w:rPr>
        <w:t> </w:t>
      </w:r>
      <w:r>
        <w:rPr/>
        <w:t>has</w:t>
      </w:r>
      <w:r>
        <w:rPr>
          <w:spacing w:val="53"/>
          <w:w w:val="150"/>
        </w:rPr>
        <w:t> </w:t>
      </w:r>
      <w:r>
        <w:rPr/>
        <w:t>been</w:t>
      </w:r>
      <w:r>
        <w:rPr>
          <w:spacing w:val="55"/>
          <w:w w:val="150"/>
        </w:rPr>
        <w:t> </w:t>
      </w:r>
      <w:r>
        <w:rPr/>
        <w:t>viewed</w:t>
      </w:r>
      <w:r>
        <w:rPr>
          <w:spacing w:val="56"/>
          <w:w w:val="150"/>
        </w:rPr>
        <w:t> </w:t>
      </w:r>
      <w:r>
        <w:rPr/>
        <w:t>as</w:t>
      </w:r>
      <w:r>
        <w:rPr>
          <w:spacing w:val="55"/>
          <w:w w:val="150"/>
        </w:rPr>
        <w:t> </w:t>
      </w:r>
      <w:r>
        <w:rPr/>
        <w:t>highly</w:t>
      </w:r>
      <w:r>
        <w:rPr>
          <w:spacing w:val="78"/>
        </w:rPr>
        <w:t> </w:t>
      </w:r>
      <w:r>
        <w:rPr/>
        <w:t>inadequate,</w:t>
      </w:r>
      <w:r>
        <w:rPr>
          <w:spacing w:val="54"/>
          <w:w w:val="150"/>
        </w:rPr>
        <w:t> </w:t>
      </w:r>
      <w:r>
        <w:rPr/>
        <w:t>if</w:t>
      </w:r>
      <w:r>
        <w:rPr>
          <w:spacing w:val="54"/>
          <w:w w:val="150"/>
        </w:rPr>
        <w:t> </w:t>
      </w:r>
      <w:r>
        <w:rPr/>
        <w:t>state</w:t>
      </w:r>
      <w:r>
        <w:rPr>
          <w:spacing w:val="55"/>
          <w:w w:val="150"/>
        </w:rPr>
        <w:t> </w:t>
      </w:r>
      <w:r>
        <w:rPr/>
        <w:t>governments</w:t>
      </w:r>
      <w:r>
        <w:rPr>
          <w:spacing w:val="55"/>
          <w:w w:val="150"/>
        </w:rPr>
        <w:t> </w:t>
      </w:r>
      <w:r>
        <w:rPr/>
        <w:t>must</w:t>
      </w:r>
      <w:r>
        <w:rPr>
          <w:spacing w:val="57"/>
          <w:w w:val="150"/>
        </w:rPr>
        <w:t> </w:t>
      </w:r>
      <w:r>
        <w:rPr/>
        <w:t>fulfill</w:t>
      </w:r>
      <w:r>
        <w:rPr>
          <w:spacing w:val="55"/>
          <w:w w:val="150"/>
        </w:rPr>
        <w:t> </w:t>
      </w:r>
      <w:r>
        <w:rPr/>
        <w:t>their</w:t>
      </w:r>
      <w:r>
        <w:rPr>
          <w:spacing w:val="55"/>
          <w:w w:val="150"/>
        </w:rPr>
        <w:t> </w:t>
      </w:r>
      <w:r>
        <w:rPr>
          <w:spacing w:val="-2"/>
        </w:rPr>
        <w:t>budgetary</w:t>
      </w:r>
    </w:p>
    <w:p>
      <w:pPr>
        <w:spacing w:after="0" w:line="360" w:lineRule="auto"/>
        <w:jc w:val="both"/>
        <w:sectPr>
          <w:pgSz w:w="12240" w:h="15840"/>
          <w:pgMar w:header="0" w:footer="1036" w:top="1360" w:bottom="1220" w:left="1200" w:right="600"/>
        </w:sectPr>
      </w:pPr>
    </w:p>
    <w:p>
      <w:pPr>
        <w:pStyle w:val="BodyText"/>
        <w:spacing w:line="360" w:lineRule="auto" w:before="74"/>
        <w:ind w:left="240" w:right="844"/>
        <w:jc w:val="both"/>
      </w:pPr>
      <w:r>
        <w:rPr/>
        <w:t>obligations</w:t>
      </w:r>
      <w:r>
        <w:rPr>
          <w:spacing w:val="-4"/>
        </w:rPr>
        <w:t> </w:t>
      </w:r>
      <w:r>
        <w:rPr/>
        <w:t>and</w:t>
      </w:r>
      <w:r>
        <w:rPr>
          <w:spacing w:val="-4"/>
        </w:rPr>
        <w:t> </w:t>
      </w:r>
      <w:r>
        <w:rPr/>
        <w:t>improve</w:t>
      </w:r>
      <w:r>
        <w:rPr>
          <w:spacing w:val="-3"/>
        </w:rPr>
        <w:t> </w:t>
      </w:r>
      <w:r>
        <w:rPr/>
        <w:t>developmental</w:t>
      </w:r>
      <w:r>
        <w:rPr>
          <w:spacing w:val="-4"/>
        </w:rPr>
        <w:t> </w:t>
      </w:r>
      <w:r>
        <w:rPr/>
        <w:t>and</w:t>
      </w:r>
      <w:r>
        <w:rPr>
          <w:spacing w:val="-2"/>
        </w:rPr>
        <w:t> </w:t>
      </w:r>
      <w:r>
        <w:rPr/>
        <w:t>infrastructural</w:t>
      </w:r>
      <w:r>
        <w:rPr>
          <w:spacing w:val="80"/>
        </w:rPr>
        <w:t> </w:t>
      </w:r>
      <w:r>
        <w:rPr/>
        <w:t>efforts.</w:t>
      </w:r>
      <w:r>
        <w:rPr>
          <w:spacing w:val="-4"/>
        </w:rPr>
        <w:t> </w:t>
      </w:r>
      <w:r>
        <w:rPr/>
        <w:t>Table</w:t>
      </w:r>
      <w:r>
        <w:rPr>
          <w:spacing w:val="-3"/>
        </w:rPr>
        <w:t> </w:t>
      </w:r>
      <w:r>
        <w:rPr/>
        <w:t>3.15</w:t>
      </w:r>
      <w:r>
        <w:rPr>
          <w:spacing w:val="-4"/>
        </w:rPr>
        <w:t> </w:t>
      </w:r>
      <w:r>
        <w:rPr/>
        <w:t>shows</w:t>
      </w:r>
      <w:r>
        <w:rPr>
          <w:spacing w:val="-4"/>
        </w:rPr>
        <w:t> </w:t>
      </w:r>
      <w:r>
        <w:rPr/>
        <w:t>the</w:t>
      </w:r>
      <w:r>
        <w:rPr>
          <w:spacing w:val="-4"/>
        </w:rPr>
        <w:t> </w:t>
      </w:r>
      <w:r>
        <w:rPr/>
        <w:t>present revenue allocation formula adopted by the Nigerian government.</w:t>
      </w:r>
    </w:p>
    <w:p>
      <w:pPr>
        <w:pStyle w:val="BodyText"/>
        <w:spacing w:before="118"/>
      </w:pPr>
    </w:p>
    <w:p>
      <w:pPr>
        <w:pStyle w:val="BodyText"/>
        <w:ind w:left="240"/>
        <w:jc w:val="both"/>
      </w:pPr>
      <w:r>
        <w:rPr>
          <w:b/>
        </w:rPr>
        <w:t>Table</w:t>
      </w:r>
      <w:r>
        <w:rPr>
          <w:b/>
          <w:spacing w:val="-4"/>
        </w:rPr>
        <w:t> </w:t>
      </w:r>
      <w:r>
        <w:rPr>
          <w:b/>
        </w:rPr>
        <w:t>3.15.</w:t>
      </w:r>
      <w:r>
        <w:rPr>
          <w:b/>
          <w:spacing w:val="-1"/>
        </w:rPr>
        <w:t> </w:t>
      </w:r>
      <w:r>
        <w:rPr/>
        <w:t>Revenue</w:t>
      </w:r>
      <w:r>
        <w:rPr>
          <w:spacing w:val="-2"/>
        </w:rPr>
        <w:t> </w:t>
      </w:r>
      <w:r>
        <w:rPr/>
        <w:t>Sharing</w:t>
      </w:r>
      <w:r>
        <w:rPr>
          <w:spacing w:val="-2"/>
        </w:rPr>
        <w:t> </w:t>
      </w:r>
      <w:r>
        <w:rPr/>
        <w:t>Formula</w:t>
      </w:r>
      <w:r>
        <w:rPr>
          <w:spacing w:val="-2"/>
        </w:rPr>
        <w:t> </w:t>
      </w:r>
      <w:r>
        <w:rPr/>
        <w:t>of</w:t>
      </w:r>
      <w:r>
        <w:rPr>
          <w:spacing w:val="-1"/>
        </w:rPr>
        <w:t> </w:t>
      </w:r>
      <w:r>
        <w:rPr/>
        <w:t>the</w:t>
      </w:r>
      <w:r>
        <w:rPr>
          <w:spacing w:val="-1"/>
        </w:rPr>
        <w:t> </w:t>
      </w:r>
      <w:r>
        <w:rPr/>
        <w:t>Federal</w:t>
      </w:r>
      <w:r>
        <w:rPr>
          <w:spacing w:val="-1"/>
        </w:rPr>
        <w:t> </w:t>
      </w:r>
      <w:r>
        <w:rPr/>
        <w:t>Government</w:t>
      </w:r>
      <w:r>
        <w:rPr>
          <w:spacing w:val="-1"/>
        </w:rPr>
        <w:t> </w:t>
      </w:r>
      <w:r>
        <w:rPr/>
        <w:t>of </w:t>
      </w:r>
      <w:r>
        <w:rPr>
          <w:spacing w:val="-2"/>
        </w:rPr>
        <w:t>Nigeria</w:t>
      </w:r>
    </w:p>
    <w:p>
      <w:pPr>
        <w:pStyle w:val="BodyText"/>
        <w:spacing w:before="2"/>
        <w:rPr>
          <w:sz w:val="11"/>
        </w:rPr>
      </w:pPr>
    </w:p>
    <w:tbl>
      <w:tblPr>
        <w:tblW w:w="0" w:type="auto"/>
        <w:jc w:val="left"/>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2"/>
        <w:gridCol w:w="1889"/>
      </w:tblGrid>
      <w:tr>
        <w:trPr>
          <w:trHeight w:val="414" w:hRule="atLeast"/>
        </w:trPr>
        <w:tc>
          <w:tcPr>
            <w:tcW w:w="4412" w:type="dxa"/>
          </w:tcPr>
          <w:p>
            <w:pPr>
              <w:pStyle w:val="TableParagraph"/>
              <w:spacing w:line="275" w:lineRule="exact"/>
              <w:ind w:left="107"/>
              <w:rPr>
                <w:b/>
                <w:sz w:val="24"/>
              </w:rPr>
            </w:pPr>
            <w:r>
              <w:rPr>
                <w:b/>
                <w:sz w:val="24"/>
              </w:rPr>
              <w:t>Tier</w:t>
            </w:r>
            <w:r>
              <w:rPr>
                <w:b/>
                <w:spacing w:val="-2"/>
                <w:sz w:val="24"/>
              </w:rPr>
              <w:t> </w:t>
            </w:r>
            <w:r>
              <w:rPr>
                <w:b/>
                <w:sz w:val="24"/>
              </w:rPr>
              <w:t>of</w:t>
            </w:r>
            <w:r>
              <w:rPr>
                <w:b/>
                <w:spacing w:val="1"/>
                <w:sz w:val="24"/>
              </w:rPr>
              <w:t> </w:t>
            </w:r>
            <w:r>
              <w:rPr>
                <w:b/>
                <w:spacing w:val="-2"/>
                <w:sz w:val="24"/>
              </w:rPr>
              <w:t>Government</w:t>
            </w:r>
          </w:p>
        </w:tc>
        <w:tc>
          <w:tcPr>
            <w:tcW w:w="1889" w:type="dxa"/>
          </w:tcPr>
          <w:p>
            <w:pPr>
              <w:pStyle w:val="TableParagraph"/>
              <w:spacing w:line="275" w:lineRule="exact"/>
              <w:ind w:left="105"/>
              <w:rPr>
                <w:b/>
                <w:sz w:val="24"/>
              </w:rPr>
            </w:pPr>
            <w:r>
              <w:rPr>
                <w:b/>
                <w:sz w:val="24"/>
              </w:rPr>
              <w:t>Proportion</w:t>
            </w:r>
            <w:r>
              <w:rPr>
                <w:b/>
                <w:spacing w:val="-3"/>
                <w:sz w:val="24"/>
              </w:rPr>
              <w:t> </w:t>
            </w:r>
            <w:r>
              <w:rPr>
                <w:b/>
                <w:spacing w:val="-5"/>
                <w:sz w:val="24"/>
              </w:rPr>
              <w:t>(%)</w:t>
            </w:r>
          </w:p>
        </w:tc>
      </w:tr>
      <w:tr>
        <w:trPr>
          <w:trHeight w:val="412" w:hRule="atLeast"/>
        </w:trPr>
        <w:tc>
          <w:tcPr>
            <w:tcW w:w="4412" w:type="dxa"/>
          </w:tcPr>
          <w:p>
            <w:pPr>
              <w:pStyle w:val="TableParagraph"/>
              <w:spacing w:line="270" w:lineRule="exact"/>
              <w:ind w:left="107"/>
              <w:rPr>
                <w:sz w:val="24"/>
              </w:rPr>
            </w:pPr>
            <w:r>
              <w:rPr>
                <w:sz w:val="24"/>
              </w:rPr>
              <w:t>Federal</w:t>
            </w:r>
            <w:r>
              <w:rPr>
                <w:spacing w:val="-4"/>
                <w:sz w:val="24"/>
              </w:rPr>
              <w:t> </w:t>
            </w:r>
            <w:r>
              <w:rPr>
                <w:spacing w:val="-2"/>
                <w:sz w:val="24"/>
              </w:rPr>
              <w:t>Government</w:t>
            </w:r>
          </w:p>
        </w:tc>
        <w:tc>
          <w:tcPr>
            <w:tcW w:w="1889" w:type="dxa"/>
          </w:tcPr>
          <w:p>
            <w:pPr>
              <w:pStyle w:val="TableParagraph"/>
              <w:spacing w:line="270" w:lineRule="exact"/>
              <w:ind w:left="105"/>
              <w:rPr>
                <w:sz w:val="24"/>
              </w:rPr>
            </w:pPr>
            <w:r>
              <w:rPr>
                <w:spacing w:val="-4"/>
                <w:sz w:val="24"/>
              </w:rPr>
              <w:t>48.5</w:t>
            </w:r>
          </w:p>
        </w:tc>
      </w:tr>
      <w:tr>
        <w:trPr>
          <w:trHeight w:val="414" w:hRule="atLeast"/>
        </w:trPr>
        <w:tc>
          <w:tcPr>
            <w:tcW w:w="4412" w:type="dxa"/>
          </w:tcPr>
          <w:p>
            <w:pPr>
              <w:pStyle w:val="TableParagraph"/>
              <w:spacing w:line="270" w:lineRule="exact"/>
              <w:ind w:left="107"/>
              <w:rPr>
                <w:sz w:val="24"/>
              </w:rPr>
            </w:pPr>
            <w:r>
              <w:rPr>
                <w:sz w:val="24"/>
              </w:rPr>
              <w:t>State</w:t>
            </w:r>
            <w:r>
              <w:rPr>
                <w:spacing w:val="-1"/>
                <w:sz w:val="24"/>
              </w:rPr>
              <w:t> </w:t>
            </w:r>
            <w:r>
              <w:rPr>
                <w:spacing w:val="-2"/>
                <w:sz w:val="24"/>
              </w:rPr>
              <w:t>Government</w:t>
            </w:r>
          </w:p>
        </w:tc>
        <w:tc>
          <w:tcPr>
            <w:tcW w:w="1889" w:type="dxa"/>
          </w:tcPr>
          <w:p>
            <w:pPr>
              <w:pStyle w:val="TableParagraph"/>
              <w:spacing w:line="270" w:lineRule="exact"/>
              <w:ind w:left="105"/>
              <w:rPr>
                <w:sz w:val="24"/>
              </w:rPr>
            </w:pPr>
            <w:r>
              <w:rPr>
                <w:spacing w:val="-4"/>
                <w:sz w:val="24"/>
              </w:rPr>
              <w:t>24.4</w:t>
            </w:r>
          </w:p>
        </w:tc>
      </w:tr>
      <w:tr>
        <w:trPr>
          <w:trHeight w:val="414" w:hRule="atLeast"/>
        </w:trPr>
        <w:tc>
          <w:tcPr>
            <w:tcW w:w="4412" w:type="dxa"/>
          </w:tcPr>
          <w:p>
            <w:pPr>
              <w:pStyle w:val="TableParagraph"/>
              <w:spacing w:line="270" w:lineRule="exact"/>
              <w:ind w:left="107"/>
              <w:rPr>
                <w:sz w:val="24"/>
              </w:rPr>
            </w:pPr>
            <w:r>
              <w:rPr>
                <w:sz w:val="24"/>
              </w:rPr>
              <w:t>Local</w:t>
            </w:r>
            <w:r>
              <w:rPr>
                <w:spacing w:val="-3"/>
                <w:sz w:val="24"/>
              </w:rPr>
              <w:t> </w:t>
            </w:r>
            <w:r>
              <w:rPr>
                <w:spacing w:val="-2"/>
                <w:sz w:val="24"/>
              </w:rPr>
              <w:t>Government</w:t>
            </w:r>
          </w:p>
        </w:tc>
        <w:tc>
          <w:tcPr>
            <w:tcW w:w="1889" w:type="dxa"/>
          </w:tcPr>
          <w:p>
            <w:pPr>
              <w:pStyle w:val="TableParagraph"/>
              <w:spacing w:line="270" w:lineRule="exact"/>
              <w:ind w:left="105"/>
              <w:rPr>
                <w:sz w:val="24"/>
              </w:rPr>
            </w:pPr>
            <w:r>
              <w:rPr>
                <w:spacing w:val="-4"/>
                <w:sz w:val="24"/>
              </w:rPr>
              <w:t>20.0</w:t>
            </w:r>
          </w:p>
        </w:tc>
      </w:tr>
      <w:tr>
        <w:trPr>
          <w:trHeight w:val="412" w:hRule="atLeast"/>
        </w:trPr>
        <w:tc>
          <w:tcPr>
            <w:tcW w:w="4412" w:type="dxa"/>
          </w:tcPr>
          <w:p>
            <w:pPr>
              <w:pStyle w:val="TableParagraph"/>
              <w:spacing w:line="270" w:lineRule="exact"/>
              <w:ind w:left="107"/>
              <w:rPr>
                <w:sz w:val="24"/>
              </w:rPr>
            </w:pPr>
            <w:r>
              <w:rPr>
                <w:sz w:val="24"/>
              </w:rPr>
              <w:t>Special</w:t>
            </w:r>
            <w:r>
              <w:rPr>
                <w:spacing w:val="-2"/>
                <w:sz w:val="24"/>
              </w:rPr>
              <w:t> </w:t>
            </w:r>
            <w:r>
              <w:rPr>
                <w:spacing w:val="-4"/>
                <w:sz w:val="24"/>
              </w:rPr>
              <w:t>Fund</w:t>
            </w:r>
          </w:p>
        </w:tc>
        <w:tc>
          <w:tcPr>
            <w:tcW w:w="1889" w:type="dxa"/>
          </w:tcPr>
          <w:p>
            <w:pPr>
              <w:pStyle w:val="TableParagraph"/>
              <w:spacing w:line="270" w:lineRule="exact"/>
              <w:ind w:left="105"/>
              <w:rPr>
                <w:sz w:val="24"/>
              </w:rPr>
            </w:pPr>
            <w:r>
              <w:rPr>
                <w:spacing w:val="-5"/>
                <w:sz w:val="24"/>
              </w:rPr>
              <w:t>7.5</w:t>
            </w:r>
          </w:p>
        </w:tc>
      </w:tr>
      <w:tr>
        <w:trPr>
          <w:trHeight w:val="414" w:hRule="atLeast"/>
        </w:trPr>
        <w:tc>
          <w:tcPr>
            <w:tcW w:w="4412" w:type="dxa"/>
          </w:tcPr>
          <w:p>
            <w:pPr>
              <w:pStyle w:val="TableParagraph"/>
              <w:spacing w:line="270" w:lineRule="exact"/>
              <w:ind w:left="107"/>
              <w:rPr>
                <w:sz w:val="24"/>
              </w:rPr>
            </w:pPr>
            <w:r>
              <w:rPr>
                <w:spacing w:val="-2"/>
                <w:sz w:val="24"/>
              </w:rPr>
              <w:t>Total</w:t>
            </w:r>
          </w:p>
        </w:tc>
        <w:tc>
          <w:tcPr>
            <w:tcW w:w="1889" w:type="dxa"/>
          </w:tcPr>
          <w:p>
            <w:pPr>
              <w:pStyle w:val="TableParagraph"/>
              <w:spacing w:line="270" w:lineRule="exact"/>
              <w:ind w:left="105"/>
              <w:rPr>
                <w:sz w:val="24"/>
              </w:rPr>
            </w:pPr>
            <w:r>
              <w:rPr>
                <w:spacing w:val="-5"/>
                <w:sz w:val="24"/>
              </w:rPr>
              <w:t>100</w:t>
            </w:r>
          </w:p>
        </w:tc>
      </w:tr>
    </w:tbl>
    <w:p>
      <w:pPr>
        <w:spacing w:before="87"/>
        <w:ind w:left="240" w:right="0" w:firstLine="0"/>
        <w:jc w:val="both"/>
        <w:rPr>
          <w:sz w:val="24"/>
        </w:rPr>
      </w:pPr>
      <w:r>
        <w:rPr>
          <w:b/>
          <w:sz w:val="24"/>
        </w:rPr>
        <w:t>Source:</w:t>
      </w:r>
      <w:r>
        <w:rPr>
          <w:b/>
          <w:spacing w:val="-3"/>
          <w:sz w:val="24"/>
        </w:rPr>
        <w:t> </w:t>
      </w:r>
      <w:r>
        <w:rPr>
          <w:sz w:val="24"/>
        </w:rPr>
        <w:t>Abovu</w:t>
      </w:r>
      <w:r>
        <w:rPr>
          <w:spacing w:val="-1"/>
          <w:sz w:val="24"/>
        </w:rPr>
        <w:t> </w:t>
      </w:r>
      <w:r>
        <w:rPr>
          <w:spacing w:val="-2"/>
          <w:sz w:val="24"/>
        </w:rPr>
        <w:t>(2015)</w:t>
      </w:r>
    </w:p>
    <w:p>
      <w:pPr>
        <w:pStyle w:val="BodyText"/>
        <w:spacing w:before="249"/>
      </w:pPr>
    </w:p>
    <w:p>
      <w:pPr>
        <w:pStyle w:val="Heading4"/>
        <w:numPr>
          <w:ilvl w:val="0"/>
          <w:numId w:val="59"/>
        </w:numPr>
        <w:tabs>
          <w:tab w:pos="525" w:val="left" w:leader="none"/>
        </w:tabs>
        <w:spacing w:line="240" w:lineRule="auto" w:before="1" w:after="0"/>
        <w:ind w:left="525" w:right="0" w:hanging="285"/>
        <w:jc w:val="both"/>
      </w:pPr>
      <w:r>
        <w:rPr>
          <w:spacing w:val="-2"/>
        </w:rPr>
        <w:t>Others</w:t>
      </w:r>
    </w:p>
    <w:p>
      <w:pPr>
        <w:pStyle w:val="BodyText"/>
        <w:spacing w:line="360" w:lineRule="auto" w:before="132"/>
        <w:ind w:left="240" w:right="835"/>
        <w:jc w:val="both"/>
      </w:pPr>
      <w:r>
        <w:rPr/>
        <w:t>Olomola</w:t>
      </w:r>
      <w:r>
        <w:rPr>
          <w:spacing w:val="-1"/>
        </w:rPr>
        <w:t> </w:t>
      </w:r>
      <w:r>
        <w:rPr/>
        <w:t>(2009); Aderibigbe (2012); Malgwi and Unegbu (2012); Ben-Caleb, Adeyemi, &amp; Iyoha (2014) provide other causes of poor budget performance in Nigeria as follows:</w:t>
      </w:r>
    </w:p>
    <w:p>
      <w:pPr>
        <w:pStyle w:val="ListParagraph"/>
        <w:numPr>
          <w:ilvl w:val="0"/>
          <w:numId w:val="60"/>
        </w:numPr>
        <w:tabs>
          <w:tab w:pos="572" w:val="left" w:leader="none"/>
        </w:tabs>
        <w:spacing w:line="360" w:lineRule="auto" w:before="173" w:after="0"/>
        <w:ind w:left="240" w:right="838" w:firstLine="0"/>
        <w:jc w:val="both"/>
        <w:rPr>
          <w:sz w:val="24"/>
        </w:rPr>
      </w:pPr>
      <w:r>
        <w:rPr>
          <w:sz w:val="24"/>
        </w:rPr>
        <w:t>Seventy five percent of the budgets are usually devoted to servicing government as recurrent expenditure, hence, the budget implementation and releases of funds give priority to recurrent rather than capital items. Besides this, capital expenditure items are</w:t>
      </w:r>
      <w:r>
        <w:rPr>
          <w:spacing w:val="-1"/>
          <w:sz w:val="24"/>
        </w:rPr>
        <w:t> </w:t>
      </w:r>
      <w:r>
        <w:rPr>
          <w:sz w:val="24"/>
        </w:rPr>
        <w:t>never fully</w:t>
      </w:r>
      <w:r>
        <w:rPr>
          <w:spacing w:val="-4"/>
          <w:sz w:val="24"/>
        </w:rPr>
        <w:t> </w:t>
      </w:r>
      <w:r>
        <w:rPr>
          <w:sz w:val="24"/>
        </w:rPr>
        <w:t>implemented due to budget indiscipline.</w:t>
      </w:r>
      <w:r>
        <w:rPr>
          <w:spacing w:val="40"/>
          <w:sz w:val="24"/>
        </w:rPr>
        <w:t> </w:t>
      </w:r>
      <w:r>
        <w:rPr>
          <w:sz w:val="24"/>
        </w:rPr>
        <w:t>Notwithstanding the high provisions for recurrent expenditure and low allocations to capital projects, recurrent funds are always fully release while capital releases suffer. Even amongst capital funds released, elitist welfare packages such as aviation takes priority over mass and social welfare projects like housing, water resources, health and</w:t>
      </w:r>
      <w:r>
        <w:rPr>
          <w:spacing w:val="40"/>
          <w:sz w:val="24"/>
        </w:rPr>
        <w:t> </w:t>
      </w:r>
      <w:r>
        <w:rPr>
          <w:spacing w:val="-2"/>
          <w:sz w:val="24"/>
        </w:rPr>
        <w:t>education.</w:t>
      </w:r>
    </w:p>
    <w:p>
      <w:pPr>
        <w:pStyle w:val="ListParagraph"/>
        <w:numPr>
          <w:ilvl w:val="0"/>
          <w:numId w:val="60"/>
        </w:numPr>
        <w:tabs>
          <w:tab w:pos="646" w:val="left" w:leader="none"/>
        </w:tabs>
        <w:spacing w:line="360" w:lineRule="auto" w:before="120" w:after="0"/>
        <w:ind w:left="240" w:right="839" w:firstLine="0"/>
        <w:jc w:val="both"/>
        <w:rPr>
          <w:sz w:val="24"/>
        </w:rPr>
      </w:pPr>
      <w:r>
        <w:rPr>
          <w:sz w:val="24"/>
        </w:rPr>
        <w:t>Budget borrowings by government are supposed to fund vital infrastructure and other projects capable of repaying interests and investment. This is not so with the Nigerian annual budgets which introduce accumulated high debt servicing at the expense of capital components</w:t>
      </w:r>
      <w:r>
        <w:rPr>
          <w:spacing w:val="40"/>
          <w:sz w:val="24"/>
        </w:rPr>
        <w:t> </w:t>
      </w:r>
      <w:r>
        <w:rPr>
          <w:sz w:val="24"/>
        </w:rPr>
        <w:t>of the budget.</w:t>
      </w:r>
    </w:p>
    <w:p>
      <w:pPr>
        <w:pStyle w:val="ListParagraph"/>
        <w:numPr>
          <w:ilvl w:val="0"/>
          <w:numId w:val="60"/>
        </w:numPr>
        <w:tabs>
          <w:tab w:pos="579" w:val="left" w:leader="none"/>
        </w:tabs>
        <w:spacing w:line="360" w:lineRule="auto" w:before="121" w:after="0"/>
        <w:ind w:left="240" w:right="836" w:firstLine="0"/>
        <w:jc w:val="both"/>
        <w:rPr>
          <w:sz w:val="24"/>
        </w:rPr>
      </w:pPr>
      <w:r>
        <w:rPr>
          <w:sz w:val="24"/>
        </w:rPr>
        <w:t>The shortfall in projected revenues has always been used as excuse by the executive arm of the government for the poor or partial implementation of budgets, but most often than not, these revenue</w:t>
      </w:r>
      <w:r>
        <w:rPr>
          <w:spacing w:val="-2"/>
          <w:sz w:val="24"/>
        </w:rPr>
        <w:t> </w:t>
      </w:r>
      <w:r>
        <w:rPr>
          <w:sz w:val="24"/>
        </w:rPr>
        <w:t>losses are attributable</w:t>
      </w:r>
      <w:r>
        <w:rPr>
          <w:spacing w:val="-1"/>
          <w:sz w:val="24"/>
        </w:rPr>
        <w:t> </w:t>
      </w:r>
      <w:r>
        <w:rPr>
          <w:sz w:val="24"/>
        </w:rPr>
        <w:t>to</w:t>
      </w:r>
      <w:r>
        <w:rPr>
          <w:spacing w:val="2"/>
          <w:sz w:val="24"/>
        </w:rPr>
        <w:t> </w:t>
      </w:r>
      <w:r>
        <w:rPr>
          <w:sz w:val="24"/>
        </w:rPr>
        <w:t>the inefficiency</w:t>
      </w:r>
      <w:r>
        <w:rPr>
          <w:spacing w:val="-6"/>
          <w:sz w:val="24"/>
        </w:rPr>
        <w:t> </w:t>
      </w:r>
      <w:r>
        <w:rPr>
          <w:sz w:val="24"/>
        </w:rPr>
        <w:t>or poor performance</w:t>
      </w:r>
      <w:r>
        <w:rPr>
          <w:spacing w:val="-1"/>
          <w:sz w:val="24"/>
        </w:rPr>
        <w:t> </w:t>
      </w:r>
      <w:r>
        <w:rPr>
          <w:sz w:val="24"/>
        </w:rPr>
        <w:t>of</w:t>
      </w:r>
      <w:r>
        <w:rPr>
          <w:spacing w:val="1"/>
          <w:sz w:val="24"/>
        </w:rPr>
        <w:t> </w:t>
      </w:r>
      <w:r>
        <w:rPr>
          <w:sz w:val="24"/>
        </w:rPr>
        <w:t>one</w:t>
      </w:r>
      <w:r>
        <w:rPr>
          <w:spacing w:val="1"/>
          <w:sz w:val="24"/>
        </w:rPr>
        <w:t> </w:t>
      </w:r>
      <w:r>
        <w:rPr>
          <w:sz w:val="24"/>
        </w:rPr>
        <w:t>government </w:t>
      </w:r>
      <w:r>
        <w:rPr>
          <w:spacing w:val="-2"/>
          <w:sz w:val="24"/>
        </w:rPr>
        <w:t>agency</w:t>
      </w:r>
    </w:p>
    <w:p>
      <w:pPr>
        <w:spacing w:after="0" w:line="360" w:lineRule="auto"/>
        <w:jc w:val="both"/>
        <w:rPr>
          <w:sz w:val="24"/>
        </w:rPr>
        <w:sectPr>
          <w:pgSz w:w="12240" w:h="15840"/>
          <w:pgMar w:header="0" w:footer="1036" w:top="1360" w:bottom="1220" w:left="1200" w:right="600"/>
        </w:sectPr>
      </w:pPr>
    </w:p>
    <w:p>
      <w:pPr>
        <w:pStyle w:val="BodyText"/>
        <w:spacing w:line="360" w:lineRule="auto" w:before="74"/>
        <w:ind w:left="240" w:right="843"/>
        <w:jc w:val="both"/>
      </w:pPr>
      <w:r>
        <w:rPr/>
        <w:t>or the other. Rather than putting its house in order, the masses are made to bear the brunt and are denied appropriate service delivery and projects.</w:t>
      </w:r>
    </w:p>
    <w:p>
      <w:pPr>
        <w:pStyle w:val="ListParagraph"/>
        <w:numPr>
          <w:ilvl w:val="0"/>
          <w:numId w:val="60"/>
        </w:numPr>
        <w:tabs>
          <w:tab w:pos="582" w:val="left" w:leader="none"/>
        </w:tabs>
        <w:spacing w:line="360" w:lineRule="auto" w:before="121" w:after="0"/>
        <w:ind w:left="240" w:right="841" w:firstLine="0"/>
        <w:jc w:val="both"/>
        <w:rPr>
          <w:sz w:val="24"/>
        </w:rPr>
      </w:pPr>
      <w:r>
        <w:rPr>
          <w:sz w:val="24"/>
        </w:rPr>
        <w:t>The Nigerian annual budgets do not set in concrete terms, the targets and levels of attainment for relevant social indicators which must be met in order to improve the living standard of Nigerians. Such indicators include physical infrastructure, public utilities, education, health and many others.</w:t>
      </w:r>
    </w:p>
    <w:p>
      <w:pPr>
        <w:pStyle w:val="ListParagraph"/>
        <w:numPr>
          <w:ilvl w:val="0"/>
          <w:numId w:val="60"/>
        </w:numPr>
        <w:tabs>
          <w:tab w:pos="591" w:val="left" w:leader="none"/>
        </w:tabs>
        <w:spacing w:line="360" w:lineRule="auto" w:before="120" w:after="0"/>
        <w:ind w:left="240" w:right="836" w:firstLine="0"/>
        <w:jc w:val="both"/>
        <w:rPr>
          <w:sz w:val="24"/>
        </w:rPr>
      </w:pPr>
      <w:r>
        <w:rPr>
          <w:sz w:val="24"/>
        </w:rPr>
        <w:t>Poor capacity and competence of legislators. The budget consideration and review process demands not only time, but knowledge, analytical capacity and competence on the part of legislators, however, some of them don‘t have the capacity to make budget inputs. Some legislators sometimes appear sympathetic towards some provisions in the budget and in the process become sentimental and do not do a critical evaluation on the affected budgetary </w:t>
      </w:r>
      <w:r>
        <w:rPr>
          <w:spacing w:val="-2"/>
          <w:sz w:val="24"/>
        </w:rPr>
        <w:t>provisions.</w:t>
      </w:r>
    </w:p>
    <w:p>
      <w:pPr>
        <w:pStyle w:val="ListParagraph"/>
        <w:numPr>
          <w:ilvl w:val="0"/>
          <w:numId w:val="60"/>
        </w:numPr>
        <w:tabs>
          <w:tab w:pos="538" w:val="left" w:leader="none"/>
        </w:tabs>
        <w:spacing w:line="360" w:lineRule="auto" w:before="120" w:after="0"/>
        <w:ind w:left="240" w:right="841" w:firstLine="0"/>
        <w:jc w:val="both"/>
        <w:rPr>
          <w:sz w:val="24"/>
        </w:rPr>
      </w:pPr>
      <w:r>
        <w:rPr>
          <w:sz w:val="24"/>
        </w:rPr>
        <w:t>The National budget is usually</w:t>
      </w:r>
      <w:r>
        <w:rPr>
          <w:spacing w:val="-2"/>
          <w:sz w:val="24"/>
        </w:rPr>
        <w:t> </w:t>
      </w:r>
      <w:r>
        <w:rPr>
          <w:sz w:val="24"/>
        </w:rPr>
        <w:t>a product of a set of officers who are not elected by</w:t>
      </w:r>
      <w:r>
        <w:rPr>
          <w:spacing w:val="-4"/>
          <w:sz w:val="24"/>
        </w:rPr>
        <w:t> </w:t>
      </w:r>
      <w:r>
        <w:rPr>
          <w:sz w:val="24"/>
        </w:rPr>
        <w:t>the people and do not represent or understand their needs. This may explain why the budget is always skewed in favour of recurrent expenditure (72% in 2012) to serve the needs of people in government rather than capital expenditure (28% in 2012) which will address the needs of the </w:t>
      </w:r>
      <w:r>
        <w:rPr>
          <w:spacing w:val="-2"/>
          <w:sz w:val="24"/>
        </w:rPr>
        <w:t>masses.</w:t>
      </w:r>
    </w:p>
    <w:p>
      <w:pPr>
        <w:pStyle w:val="ListParagraph"/>
        <w:numPr>
          <w:ilvl w:val="0"/>
          <w:numId w:val="60"/>
        </w:numPr>
        <w:tabs>
          <w:tab w:pos="632" w:val="left" w:leader="none"/>
        </w:tabs>
        <w:spacing w:line="360" w:lineRule="auto" w:before="120" w:after="0"/>
        <w:ind w:left="240" w:right="836" w:firstLine="0"/>
        <w:jc w:val="both"/>
        <w:rPr>
          <w:sz w:val="24"/>
        </w:rPr>
      </w:pPr>
      <w:r>
        <w:rPr>
          <w:sz w:val="24"/>
        </w:rPr>
        <w:t>Persistent budget delays, inadequate monitoring of programmes and projects, unrealistic budgeting, non-compliance with established priorities, paucity of good quality data for budget preparation, poor monitoring and evaluation of performance, lack of qualified personnel and slippages from budget target.</w:t>
      </w:r>
    </w:p>
    <w:p>
      <w:pPr>
        <w:spacing w:after="0" w:line="360" w:lineRule="auto"/>
        <w:jc w:val="both"/>
        <w:rPr>
          <w:sz w:val="24"/>
        </w:rPr>
        <w:sectPr>
          <w:pgSz w:w="12240" w:h="15840"/>
          <w:pgMar w:header="0" w:footer="1036" w:top="1360" w:bottom="1220" w:left="1200" w:right="600"/>
        </w:sectPr>
      </w:pPr>
    </w:p>
    <w:p>
      <w:pPr>
        <w:pStyle w:val="Heading3"/>
        <w:numPr>
          <w:ilvl w:val="1"/>
          <w:numId w:val="27"/>
        </w:numPr>
        <w:tabs>
          <w:tab w:pos="628" w:val="left" w:leader="none"/>
        </w:tabs>
        <w:spacing w:line="240" w:lineRule="auto" w:before="60" w:after="0"/>
        <w:ind w:left="628" w:right="0" w:hanging="388"/>
        <w:jc w:val="left"/>
      </w:pPr>
      <w:r>
        <w:rPr/>
        <w:t>Economy,</w:t>
      </w:r>
      <w:r>
        <w:rPr>
          <w:spacing w:val="-8"/>
        </w:rPr>
        <w:t> </w:t>
      </w:r>
      <w:r>
        <w:rPr/>
        <w:t>Housing</w:t>
      </w:r>
      <w:r>
        <w:rPr>
          <w:spacing w:val="-7"/>
        </w:rPr>
        <w:t> </w:t>
      </w:r>
      <w:r>
        <w:rPr/>
        <w:t>Situation</w:t>
      </w:r>
      <w:r>
        <w:rPr>
          <w:spacing w:val="-8"/>
        </w:rPr>
        <w:t> </w:t>
      </w:r>
      <w:r>
        <w:rPr/>
        <w:t>and</w:t>
      </w:r>
      <w:r>
        <w:rPr>
          <w:spacing w:val="-5"/>
        </w:rPr>
        <w:t> </w:t>
      </w:r>
      <w:r>
        <w:rPr/>
        <w:t>Budget</w:t>
      </w:r>
      <w:r>
        <w:rPr>
          <w:spacing w:val="-8"/>
        </w:rPr>
        <w:t> </w:t>
      </w:r>
      <w:r>
        <w:rPr/>
        <w:t>Practices</w:t>
      </w:r>
      <w:r>
        <w:rPr>
          <w:spacing w:val="-5"/>
        </w:rPr>
        <w:t> </w:t>
      </w:r>
      <w:r>
        <w:rPr/>
        <w:t>of</w:t>
      </w:r>
      <w:r>
        <w:rPr>
          <w:spacing w:val="-7"/>
        </w:rPr>
        <w:t> </w:t>
      </w:r>
      <w:r>
        <w:rPr/>
        <w:t>Anambra</w:t>
      </w:r>
      <w:r>
        <w:rPr>
          <w:spacing w:val="-6"/>
        </w:rPr>
        <w:t> </w:t>
      </w:r>
      <w:r>
        <w:rPr>
          <w:spacing w:val="-2"/>
        </w:rPr>
        <w:t>State</w:t>
      </w:r>
    </w:p>
    <w:p>
      <w:pPr>
        <w:pStyle w:val="BodyText"/>
        <w:spacing w:before="147"/>
        <w:rPr>
          <w:b/>
          <w:sz w:val="26"/>
        </w:rPr>
      </w:pPr>
    </w:p>
    <w:p>
      <w:pPr>
        <w:pStyle w:val="Heading4"/>
        <w:numPr>
          <w:ilvl w:val="2"/>
          <w:numId w:val="27"/>
        </w:numPr>
        <w:tabs>
          <w:tab w:pos="720" w:val="left" w:leader="none"/>
        </w:tabs>
        <w:spacing w:line="240" w:lineRule="auto" w:before="1" w:after="0"/>
        <w:ind w:left="720" w:right="0" w:hanging="480"/>
        <w:jc w:val="both"/>
        <w:rPr>
          <w:sz w:val="22"/>
        </w:rPr>
      </w:pPr>
      <w:r>
        <w:rPr/>
        <w:t>`</w:t>
      </w:r>
      <w:r>
        <w:rPr>
          <w:spacing w:val="-3"/>
        </w:rPr>
        <w:t> </w:t>
      </w:r>
      <w:r>
        <w:rPr/>
        <w:t>Overview</w:t>
      </w:r>
      <w:r>
        <w:rPr>
          <w:spacing w:val="-3"/>
        </w:rPr>
        <w:t> </w:t>
      </w:r>
      <w:r>
        <w:rPr/>
        <w:t>of</w:t>
      </w:r>
      <w:r>
        <w:rPr>
          <w:spacing w:val="-2"/>
        </w:rPr>
        <w:t> </w:t>
      </w:r>
      <w:r>
        <w:rPr/>
        <w:t>Anambra</w:t>
      </w:r>
      <w:r>
        <w:rPr>
          <w:spacing w:val="-3"/>
        </w:rPr>
        <w:t> </w:t>
      </w:r>
      <w:r>
        <w:rPr/>
        <w:t>State’s</w:t>
      </w:r>
      <w:r>
        <w:rPr>
          <w:spacing w:val="-3"/>
        </w:rPr>
        <w:t> </w:t>
      </w:r>
      <w:r>
        <w:rPr>
          <w:spacing w:val="-2"/>
        </w:rPr>
        <w:t>Economy</w:t>
      </w:r>
    </w:p>
    <w:p>
      <w:pPr>
        <w:pStyle w:val="BodyText"/>
        <w:spacing w:line="360" w:lineRule="auto" w:before="134"/>
        <w:ind w:left="240" w:right="836"/>
        <w:jc w:val="both"/>
      </w:pPr>
      <w:r>
        <w:rPr/>
        <mc:AlternateContent>
          <mc:Choice Requires="wps">
            <w:drawing>
              <wp:anchor distT="0" distB="0" distL="0" distR="0" allowOverlap="1" layoutInCell="1" locked="0" behindDoc="1" simplePos="0" relativeHeight="478103552">
                <wp:simplePos x="0" y="0"/>
                <wp:positionH relativeFrom="page">
                  <wp:posOffset>933450</wp:posOffset>
                </wp:positionH>
                <wp:positionV relativeFrom="paragraph">
                  <wp:posOffset>2988012</wp:posOffset>
                </wp:positionV>
                <wp:extent cx="5730240" cy="2090420"/>
                <wp:effectExtent l="0" t="0" r="0" b="0"/>
                <wp:wrapNone/>
                <wp:docPr id="142" name="Group 142"/>
                <wp:cNvGraphicFramePr>
                  <a:graphicFrameLocks/>
                </wp:cNvGraphicFramePr>
                <a:graphic>
                  <a:graphicData uri="http://schemas.microsoft.com/office/word/2010/wordprocessingGroup">
                    <wpg:wgp>
                      <wpg:cNvPr id="142" name="Group 142"/>
                      <wpg:cNvGrpSpPr/>
                      <wpg:grpSpPr>
                        <a:xfrm>
                          <a:off x="0" y="0"/>
                          <a:ext cx="5730240" cy="2090420"/>
                          <a:chExt cx="5730240" cy="2090420"/>
                        </a:xfrm>
                      </wpg:grpSpPr>
                      <wps:wsp>
                        <wps:cNvPr id="143" name="Graphic 143"/>
                        <wps:cNvSpPr/>
                        <wps:spPr>
                          <a:xfrm>
                            <a:off x="4086428" y="1036003"/>
                            <a:ext cx="203835" cy="99695"/>
                          </a:xfrm>
                          <a:custGeom>
                            <a:avLst/>
                            <a:gdLst/>
                            <a:ahLst/>
                            <a:cxnLst/>
                            <a:rect l="l" t="t" r="r" b="b"/>
                            <a:pathLst>
                              <a:path w="203835" h="99695">
                                <a:moveTo>
                                  <a:pt x="203238" y="59753"/>
                                </a:moveTo>
                                <a:lnTo>
                                  <a:pt x="0" y="59753"/>
                                </a:lnTo>
                                <a:lnTo>
                                  <a:pt x="0" y="99555"/>
                                </a:lnTo>
                                <a:lnTo>
                                  <a:pt x="203238" y="99555"/>
                                </a:lnTo>
                                <a:lnTo>
                                  <a:pt x="203238" y="59753"/>
                                </a:lnTo>
                                <a:close/>
                              </a:path>
                              <a:path w="203835" h="99695">
                                <a:moveTo>
                                  <a:pt x="203238" y="0"/>
                                </a:moveTo>
                                <a:lnTo>
                                  <a:pt x="0" y="0"/>
                                </a:lnTo>
                                <a:lnTo>
                                  <a:pt x="0" y="39814"/>
                                </a:lnTo>
                                <a:lnTo>
                                  <a:pt x="203238" y="39814"/>
                                </a:lnTo>
                                <a:lnTo>
                                  <a:pt x="203238" y="0"/>
                                </a:lnTo>
                                <a:close/>
                              </a:path>
                            </a:pathLst>
                          </a:custGeom>
                          <a:solidFill>
                            <a:srgbClr val="4F81BC"/>
                          </a:solidFill>
                        </wps:spPr>
                        <wps:bodyPr wrap="square" lIns="0" tIns="0" rIns="0" bIns="0" rtlCol="0">
                          <a:prstTxWarp prst="textNoShape">
                            <a:avLst/>
                          </a:prstTxWarp>
                          <a:noAutofit/>
                        </wps:bodyPr>
                      </wps:wsp>
                      <wps:wsp>
                        <wps:cNvPr id="144" name="Graphic 144"/>
                        <wps:cNvSpPr/>
                        <wps:spPr>
                          <a:xfrm>
                            <a:off x="0" y="2688"/>
                            <a:ext cx="5730240" cy="2084705"/>
                          </a:xfrm>
                          <a:custGeom>
                            <a:avLst/>
                            <a:gdLst/>
                            <a:ahLst/>
                            <a:cxnLst/>
                            <a:rect l="l" t="t" r="r" b="b"/>
                            <a:pathLst>
                              <a:path w="5730240" h="2084705">
                                <a:moveTo>
                                  <a:pt x="0" y="218671"/>
                                </a:moveTo>
                                <a:lnTo>
                                  <a:pt x="5730058" y="218671"/>
                                </a:lnTo>
                              </a:path>
                              <a:path w="5730240" h="2084705">
                                <a:moveTo>
                                  <a:pt x="0" y="0"/>
                                </a:moveTo>
                                <a:lnTo>
                                  <a:pt x="5730058" y="0"/>
                                </a:lnTo>
                              </a:path>
                              <a:path w="5730240" h="2084705">
                                <a:moveTo>
                                  <a:pt x="0" y="2084586"/>
                                </a:moveTo>
                                <a:lnTo>
                                  <a:pt x="5730058" y="2084587"/>
                                </a:lnTo>
                              </a:path>
                            </a:pathLst>
                          </a:custGeom>
                          <a:ln w="5382">
                            <a:solidFill>
                              <a:srgbClr val="497DBA"/>
                            </a:solidFill>
                            <a:prstDash val="solid"/>
                          </a:ln>
                        </wps:spPr>
                        <wps:bodyPr wrap="square" lIns="0" tIns="0" rIns="0" bIns="0" rtlCol="0">
                          <a:prstTxWarp prst="textNoShape">
                            <a:avLst/>
                          </a:prstTxWarp>
                          <a:noAutofit/>
                        </wps:bodyPr>
                      </wps:wsp>
                      <wps:wsp>
                        <wps:cNvPr id="145" name="Graphic 145"/>
                        <wps:cNvSpPr/>
                        <wps:spPr>
                          <a:xfrm>
                            <a:off x="698606" y="1106838"/>
                            <a:ext cx="745490" cy="434340"/>
                          </a:xfrm>
                          <a:custGeom>
                            <a:avLst/>
                            <a:gdLst/>
                            <a:ahLst/>
                            <a:cxnLst/>
                            <a:rect l="l" t="t" r="r" b="b"/>
                            <a:pathLst>
                              <a:path w="745490" h="434340">
                                <a:moveTo>
                                  <a:pt x="745300" y="0"/>
                                </a:moveTo>
                                <a:lnTo>
                                  <a:pt x="0" y="0"/>
                                </a:lnTo>
                                <a:lnTo>
                                  <a:pt x="0" y="433758"/>
                                </a:lnTo>
                                <a:lnTo>
                                  <a:pt x="745300" y="433758"/>
                                </a:lnTo>
                                <a:lnTo>
                                  <a:pt x="745300" y="0"/>
                                </a:lnTo>
                                <a:close/>
                              </a:path>
                            </a:pathLst>
                          </a:custGeom>
                          <a:solidFill>
                            <a:srgbClr val="94B3D6"/>
                          </a:solidFill>
                        </wps:spPr>
                        <wps:bodyPr wrap="square" lIns="0" tIns="0" rIns="0" bIns="0" rtlCol="0">
                          <a:prstTxWarp prst="textNoShape">
                            <a:avLst/>
                          </a:prstTxWarp>
                          <a:noAutofit/>
                        </wps:bodyPr>
                      </wps:wsp>
                      <pic:pic>
                        <pic:nvPicPr>
                          <pic:cNvPr id="146" name="Image 146"/>
                          <pic:cNvPicPr/>
                        </pic:nvPicPr>
                        <pic:blipFill>
                          <a:blip r:embed="rId60" cstate="print"/>
                          <a:stretch>
                            <a:fillRect/>
                          </a:stretch>
                        </pic:blipFill>
                        <pic:spPr>
                          <a:xfrm>
                            <a:off x="753382" y="1093358"/>
                            <a:ext cx="676158" cy="241076"/>
                          </a:xfrm>
                          <a:prstGeom prst="rect">
                            <a:avLst/>
                          </a:prstGeom>
                        </pic:spPr>
                      </pic:pic>
                      <pic:pic>
                        <pic:nvPicPr>
                          <pic:cNvPr id="147" name="Image 147"/>
                          <pic:cNvPicPr/>
                        </pic:nvPicPr>
                        <pic:blipFill>
                          <a:blip r:embed="rId61" cstate="print"/>
                          <a:stretch>
                            <a:fillRect/>
                          </a:stretch>
                        </pic:blipFill>
                        <pic:spPr>
                          <a:xfrm>
                            <a:off x="862932" y="1218863"/>
                            <a:ext cx="456159" cy="241076"/>
                          </a:xfrm>
                          <a:prstGeom prst="rect">
                            <a:avLst/>
                          </a:prstGeom>
                        </pic:spPr>
                      </pic:pic>
                      <pic:pic>
                        <pic:nvPicPr>
                          <pic:cNvPr id="148" name="Image 148"/>
                          <pic:cNvPicPr/>
                        </pic:nvPicPr>
                        <pic:blipFill>
                          <a:blip r:embed="rId62" cstate="print"/>
                          <a:stretch>
                            <a:fillRect/>
                          </a:stretch>
                        </pic:blipFill>
                        <pic:spPr>
                          <a:xfrm>
                            <a:off x="705790" y="1345226"/>
                            <a:ext cx="744402" cy="241076"/>
                          </a:xfrm>
                          <a:prstGeom prst="rect">
                            <a:avLst/>
                          </a:prstGeom>
                        </pic:spPr>
                      </pic:pic>
                      <wps:wsp>
                        <wps:cNvPr id="149" name="Graphic 149"/>
                        <wps:cNvSpPr/>
                        <wps:spPr>
                          <a:xfrm>
                            <a:off x="698606" y="1579133"/>
                            <a:ext cx="745490" cy="368935"/>
                          </a:xfrm>
                          <a:custGeom>
                            <a:avLst/>
                            <a:gdLst/>
                            <a:ahLst/>
                            <a:cxnLst/>
                            <a:rect l="l" t="t" r="r" b="b"/>
                            <a:pathLst>
                              <a:path w="745490" h="368935">
                                <a:moveTo>
                                  <a:pt x="745300" y="0"/>
                                </a:moveTo>
                                <a:lnTo>
                                  <a:pt x="0" y="0"/>
                                </a:lnTo>
                                <a:lnTo>
                                  <a:pt x="0" y="368336"/>
                                </a:lnTo>
                                <a:lnTo>
                                  <a:pt x="745300" y="368336"/>
                                </a:lnTo>
                                <a:lnTo>
                                  <a:pt x="745300" y="0"/>
                                </a:lnTo>
                                <a:close/>
                              </a:path>
                            </a:pathLst>
                          </a:custGeom>
                          <a:solidFill>
                            <a:srgbClr val="94B3D6"/>
                          </a:solidFill>
                        </wps:spPr>
                        <wps:bodyPr wrap="square" lIns="0" tIns="0" rIns="0" bIns="0" rtlCol="0">
                          <a:prstTxWarp prst="textNoShape">
                            <a:avLst/>
                          </a:prstTxWarp>
                          <a:noAutofit/>
                        </wps:bodyPr>
                      </wps:wsp>
                      <pic:pic>
                        <pic:nvPicPr>
                          <pic:cNvPr id="150" name="Image 150"/>
                          <pic:cNvPicPr/>
                        </pic:nvPicPr>
                        <pic:blipFill>
                          <a:blip r:embed="rId63" cstate="print"/>
                          <a:stretch>
                            <a:fillRect/>
                          </a:stretch>
                        </pic:blipFill>
                        <pic:spPr>
                          <a:xfrm>
                            <a:off x="702198" y="1596161"/>
                            <a:ext cx="778524" cy="241076"/>
                          </a:xfrm>
                          <a:prstGeom prst="rect">
                            <a:avLst/>
                          </a:prstGeom>
                        </pic:spPr>
                      </pic:pic>
                      <pic:pic>
                        <pic:nvPicPr>
                          <pic:cNvPr id="151" name="Image 151"/>
                          <pic:cNvPicPr/>
                        </pic:nvPicPr>
                        <pic:blipFill>
                          <a:blip r:embed="rId64" cstate="print"/>
                          <a:stretch>
                            <a:fillRect/>
                          </a:stretch>
                        </pic:blipFill>
                        <pic:spPr>
                          <a:xfrm>
                            <a:off x="695015" y="1722524"/>
                            <a:ext cx="766851" cy="241076"/>
                          </a:xfrm>
                          <a:prstGeom prst="rect">
                            <a:avLst/>
                          </a:prstGeom>
                        </pic:spPr>
                      </pic:pic>
                      <wps:wsp>
                        <wps:cNvPr id="152" name="Graphic 152"/>
                        <wps:cNvSpPr/>
                        <wps:spPr>
                          <a:xfrm>
                            <a:off x="698606" y="687381"/>
                            <a:ext cx="745490" cy="369570"/>
                          </a:xfrm>
                          <a:custGeom>
                            <a:avLst/>
                            <a:gdLst/>
                            <a:ahLst/>
                            <a:cxnLst/>
                            <a:rect l="l" t="t" r="r" b="b"/>
                            <a:pathLst>
                              <a:path w="745490" h="369570">
                                <a:moveTo>
                                  <a:pt x="745300" y="0"/>
                                </a:moveTo>
                                <a:lnTo>
                                  <a:pt x="0" y="0"/>
                                </a:lnTo>
                                <a:lnTo>
                                  <a:pt x="0" y="369232"/>
                                </a:lnTo>
                                <a:lnTo>
                                  <a:pt x="745300" y="369232"/>
                                </a:lnTo>
                                <a:lnTo>
                                  <a:pt x="745300" y="0"/>
                                </a:lnTo>
                                <a:close/>
                              </a:path>
                            </a:pathLst>
                          </a:custGeom>
                          <a:solidFill>
                            <a:srgbClr val="94B3D6"/>
                          </a:solidFill>
                        </wps:spPr>
                        <wps:bodyPr wrap="square" lIns="0" tIns="0" rIns="0" bIns="0" rtlCol="0">
                          <a:prstTxWarp prst="textNoShape">
                            <a:avLst/>
                          </a:prstTxWarp>
                          <a:noAutofit/>
                        </wps:bodyPr>
                      </wps:wsp>
                      <pic:pic>
                        <pic:nvPicPr>
                          <pic:cNvPr id="153" name="Image 153"/>
                          <pic:cNvPicPr/>
                        </pic:nvPicPr>
                        <pic:blipFill>
                          <a:blip r:embed="rId65" cstate="print"/>
                          <a:stretch>
                            <a:fillRect/>
                          </a:stretch>
                        </pic:blipFill>
                        <pic:spPr>
                          <a:xfrm>
                            <a:off x="730933" y="753700"/>
                            <a:ext cx="694117" cy="274235"/>
                          </a:xfrm>
                          <a:prstGeom prst="rect">
                            <a:avLst/>
                          </a:prstGeom>
                        </pic:spPr>
                      </pic:pic>
                      <wps:wsp>
                        <wps:cNvPr id="154" name="Graphic 154"/>
                        <wps:cNvSpPr/>
                        <wps:spPr>
                          <a:xfrm>
                            <a:off x="0" y="274235"/>
                            <a:ext cx="676275" cy="367665"/>
                          </a:xfrm>
                          <a:custGeom>
                            <a:avLst/>
                            <a:gdLst/>
                            <a:ahLst/>
                            <a:cxnLst/>
                            <a:rect l="l" t="t" r="r" b="b"/>
                            <a:pathLst>
                              <a:path w="676275" h="367665">
                                <a:moveTo>
                                  <a:pt x="676158" y="0"/>
                                </a:moveTo>
                                <a:lnTo>
                                  <a:pt x="0" y="0"/>
                                </a:lnTo>
                                <a:lnTo>
                                  <a:pt x="0" y="367440"/>
                                </a:lnTo>
                                <a:lnTo>
                                  <a:pt x="676158" y="367440"/>
                                </a:lnTo>
                                <a:lnTo>
                                  <a:pt x="676158" y="0"/>
                                </a:lnTo>
                                <a:close/>
                              </a:path>
                            </a:pathLst>
                          </a:custGeom>
                          <a:solidFill>
                            <a:srgbClr val="94B3D6"/>
                          </a:solidFill>
                        </wps:spPr>
                        <wps:bodyPr wrap="square" lIns="0" tIns="0" rIns="0" bIns="0" rtlCol="0">
                          <a:prstTxWarp prst="textNoShape">
                            <a:avLst/>
                          </a:prstTxWarp>
                          <a:noAutofit/>
                        </wps:bodyPr>
                      </wps:wsp>
                      <pic:pic>
                        <pic:nvPicPr>
                          <pic:cNvPr id="155" name="Image 155"/>
                          <pic:cNvPicPr/>
                        </pic:nvPicPr>
                        <pic:blipFill>
                          <a:blip r:embed="rId66" cstate="print"/>
                          <a:stretch>
                            <a:fillRect/>
                          </a:stretch>
                        </pic:blipFill>
                        <pic:spPr>
                          <a:xfrm>
                            <a:off x="58366" y="339658"/>
                            <a:ext cx="573791" cy="274235"/>
                          </a:xfrm>
                          <a:prstGeom prst="rect">
                            <a:avLst/>
                          </a:prstGeom>
                        </pic:spPr>
                      </pic:pic>
                      <wps:wsp>
                        <wps:cNvPr id="156" name="Graphic 156"/>
                        <wps:cNvSpPr/>
                        <wps:spPr>
                          <a:xfrm>
                            <a:off x="708484" y="274235"/>
                            <a:ext cx="746760" cy="367665"/>
                          </a:xfrm>
                          <a:custGeom>
                            <a:avLst/>
                            <a:gdLst/>
                            <a:ahLst/>
                            <a:cxnLst/>
                            <a:rect l="l" t="t" r="r" b="b"/>
                            <a:pathLst>
                              <a:path w="746760" h="367665">
                                <a:moveTo>
                                  <a:pt x="746198" y="0"/>
                                </a:moveTo>
                                <a:lnTo>
                                  <a:pt x="0" y="0"/>
                                </a:lnTo>
                                <a:lnTo>
                                  <a:pt x="0" y="367440"/>
                                </a:lnTo>
                                <a:lnTo>
                                  <a:pt x="746198" y="367440"/>
                                </a:lnTo>
                                <a:lnTo>
                                  <a:pt x="746198" y="0"/>
                                </a:lnTo>
                                <a:close/>
                              </a:path>
                            </a:pathLst>
                          </a:custGeom>
                          <a:solidFill>
                            <a:srgbClr val="94B3D6"/>
                          </a:solidFill>
                        </wps:spPr>
                        <wps:bodyPr wrap="square" lIns="0" tIns="0" rIns="0" bIns="0" rtlCol="0">
                          <a:prstTxWarp prst="textNoShape">
                            <a:avLst/>
                          </a:prstTxWarp>
                          <a:noAutofit/>
                        </wps:bodyPr>
                      </wps:wsp>
                      <pic:pic>
                        <pic:nvPicPr>
                          <pic:cNvPr id="157" name="Image 157"/>
                          <pic:cNvPicPr/>
                        </pic:nvPicPr>
                        <pic:blipFill>
                          <a:blip r:embed="rId67" cstate="print"/>
                          <a:stretch>
                            <a:fillRect/>
                          </a:stretch>
                        </pic:blipFill>
                        <pic:spPr>
                          <a:xfrm>
                            <a:off x="737218" y="267066"/>
                            <a:ext cx="624076" cy="274235"/>
                          </a:xfrm>
                          <a:prstGeom prst="rect">
                            <a:avLst/>
                          </a:prstGeom>
                        </pic:spPr>
                      </pic:pic>
                      <pic:pic>
                        <pic:nvPicPr>
                          <pic:cNvPr id="158" name="Image 158"/>
                          <pic:cNvPicPr/>
                        </pic:nvPicPr>
                        <pic:blipFill>
                          <a:blip r:embed="rId68" cstate="print"/>
                          <a:stretch>
                            <a:fillRect/>
                          </a:stretch>
                        </pic:blipFill>
                        <pic:spPr>
                          <a:xfrm>
                            <a:off x="1194276" y="267066"/>
                            <a:ext cx="246038" cy="274235"/>
                          </a:xfrm>
                          <a:prstGeom prst="rect">
                            <a:avLst/>
                          </a:prstGeom>
                        </pic:spPr>
                      </pic:pic>
                      <pic:pic>
                        <pic:nvPicPr>
                          <pic:cNvPr id="159" name="Image 159"/>
                          <pic:cNvPicPr/>
                        </pic:nvPicPr>
                        <pic:blipFill>
                          <a:blip r:embed="rId69" cstate="print"/>
                          <a:stretch>
                            <a:fillRect/>
                          </a:stretch>
                        </pic:blipFill>
                        <pic:spPr>
                          <a:xfrm>
                            <a:off x="858442" y="411353"/>
                            <a:ext cx="460649" cy="274235"/>
                          </a:xfrm>
                          <a:prstGeom prst="rect">
                            <a:avLst/>
                          </a:prstGeom>
                        </pic:spPr>
                      </pic:pic>
                      <wps:wsp>
                        <wps:cNvPr id="160" name="Graphic 160"/>
                        <wps:cNvSpPr/>
                        <wps:spPr>
                          <a:xfrm>
                            <a:off x="0" y="687381"/>
                            <a:ext cx="676275" cy="369570"/>
                          </a:xfrm>
                          <a:custGeom>
                            <a:avLst/>
                            <a:gdLst/>
                            <a:ahLst/>
                            <a:cxnLst/>
                            <a:rect l="l" t="t" r="r" b="b"/>
                            <a:pathLst>
                              <a:path w="676275" h="369570">
                                <a:moveTo>
                                  <a:pt x="676158" y="0"/>
                                </a:moveTo>
                                <a:lnTo>
                                  <a:pt x="0" y="0"/>
                                </a:lnTo>
                                <a:lnTo>
                                  <a:pt x="0" y="369232"/>
                                </a:lnTo>
                                <a:lnTo>
                                  <a:pt x="676158" y="369232"/>
                                </a:lnTo>
                                <a:lnTo>
                                  <a:pt x="676158" y="0"/>
                                </a:lnTo>
                                <a:close/>
                              </a:path>
                            </a:pathLst>
                          </a:custGeom>
                          <a:solidFill>
                            <a:srgbClr val="94B3D6"/>
                          </a:solidFill>
                        </wps:spPr>
                        <wps:bodyPr wrap="square" lIns="0" tIns="0" rIns="0" bIns="0" rtlCol="0">
                          <a:prstTxWarp prst="textNoShape">
                            <a:avLst/>
                          </a:prstTxWarp>
                          <a:noAutofit/>
                        </wps:bodyPr>
                      </wps:wsp>
                      <pic:pic>
                        <pic:nvPicPr>
                          <pic:cNvPr id="161" name="Image 161"/>
                          <pic:cNvPicPr/>
                        </pic:nvPicPr>
                        <pic:blipFill>
                          <a:blip r:embed="rId70" cstate="print"/>
                          <a:stretch>
                            <a:fillRect/>
                          </a:stretch>
                        </pic:blipFill>
                        <pic:spPr>
                          <a:xfrm>
                            <a:off x="39509" y="681108"/>
                            <a:ext cx="572893" cy="274235"/>
                          </a:xfrm>
                          <a:prstGeom prst="rect">
                            <a:avLst/>
                          </a:prstGeom>
                        </pic:spPr>
                      </pic:pic>
                      <pic:pic>
                        <pic:nvPicPr>
                          <pic:cNvPr id="162" name="Image 162"/>
                          <pic:cNvPicPr/>
                        </pic:nvPicPr>
                        <pic:blipFill>
                          <a:blip r:embed="rId71" cstate="print"/>
                          <a:stretch>
                            <a:fillRect/>
                          </a:stretch>
                        </pic:blipFill>
                        <pic:spPr>
                          <a:xfrm>
                            <a:off x="445384" y="681108"/>
                            <a:ext cx="206529" cy="274235"/>
                          </a:xfrm>
                          <a:prstGeom prst="rect">
                            <a:avLst/>
                          </a:prstGeom>
                        </pic:spPr>
                      </pic:pic>
                      <pic:pic>
                        <pic:nvPicPr>
                          <pic:cNvPr id="163" name="Image 163"/>
                          <pic:cNvPicPr/>
                        </pic:nvPicPr>
                        <pic:blipFill>
                          <a:blip r:embed="rId72" cstate="print"/>
                          <a:stretch>
                            <a:fillRect/>
                          </a:stretch>
                        </pic:blipFill>
                        <pic:spPr>
                          <a:xfrm>
                            <a:off x="131998" y="825395"/>
                            <a:ext cx="426527" cy="274235"/>
                          </a:xfrm>
                          <a:prstGeom prst="rect">
                            <a:avLst/>
                          </a:prstGeom>
                        </pic:spPr>
                      </pic:pic>
                      <wps:wsp>
                        <wps:cNvPr id="164" name="Graphic 164"/>
                        <wps:cNvSpPr/>
                        <wps:spPr>
                          <a:xfrm>
                            <a:off x="0" y="1106838"/>
                            <a:ext cx="676275" cy="434975"/>
                          </a:xfrm>
                          <a:custGeom>
                            <a:avLst/>
                            <a:gdLst/>
                            <a:ahLst/>
                            <a:cxnLst/>
                            <a:rect l="l" t="t" r="r" b="b"/>
                            <a:pathLst>
                              <a:path w="676275" h="434975">
                                <a:moveTo>
                                  <a:pt x="676158" y="0"/>
                                </a:moveTo>
                                <a:lnTo>
                                  <a:pt x="0" y="0"/>
                                </a:lnTo>
                                <a:lnTo>
                                  <a:pt x="0" y="434654"/>
                                </a:lnTo>
                                <a:lnTo>
                                  <a:pt x="676158" y="434654"/>
                                </a:lnTo>
                                <a:lnTo>
                                  <a:pt x="676158" y="0"/>
                                </a:lnTo>
                                <a:close/>
                              </a:path>
                            </a:pathLst>
                          </a:custGeom>
                          <a:solidFill>
                            <a:srgbClr val="FFC000"/>
                          </a:solidFill>
                        </wps:spPr>
                        <wps:bodyPr wrap="square" lIns="0" tIns="0" rIns="0" bIns="0" rtlCol="0">
                          <a:prstTxWarp prst="textNoShape">
                            <a:avLst/>
                          </a:prstTxWarp>
                          <a:noAutofit/>
                        </wps:bodyPr>
                      </wps:wsp>
                      <pic:pic>
                        <pic:nvPicPr>
                          <pic:cNvPr id="165" name="Image 165"/>
                          <pic:cNvPicPr/>
                        </pic:nvPicPr>
                        <pic:blipFill>
                          <a:blip r:embed="rId73" cstate="print"/>
                          <a:stretch>
                            <a:fillRect/>
                          </a:stretch>
                        </pic:blipFill>
                        <pic:spPr>
                          <a:xfrm>
                            <a:off x="59264" y="1206316"/>
                            <a:ext cx="572893" cy="274235"/>
                          </a:xfrm>
                          <a:prstGeom prst="rect">
                            <a:avLst/>
                          </a:prstGeom>
                        </pic:spPr>
                      </pic:pic>
                      <wps:wsp>
                        <wps:cNvPr id="166" name="Graphic 166"/>
                        <wps:cNvSpPr/>
                        <wps:spPr>
                          <a:xfrm>
                            <a:off x="0" y="1580925"/>
                            <a:ext cx="676275" cy="367030"/>
                          </a:xfrm>
                          <a:custGeom>
                            <a:avLst/>
                            <a:gdLst/>
                            <a:ahLst/>
                            <a:cxnLst/>
                            <a:rect l="l" t="t" r="r" b="b"/>
                            <a:pathLst>
                              <a:path w="676275" h="367030">
                                <a:moveTo>
                                  <a:pt x="676158" y="0"/>
                                </a:moveTo>
                                <a:lnTo>
                                  <a:pt x="0" y="0"/>
                                </a:lnTo>
                                <a:lnTo>
                                  <a:pt x="0" y="366543"/>
                                </a:lnTo>
                                <a:lnTo>
                                  <a:pt x="676158" y="366543"/>
                                </a:lnTo>
                                <a:lnTo>
                                  <a:pt x="676158" y="0"/>
                                </a:lnTo>
                                <a:close/>
                              </a:path>
                            </a:pathLst>
                          </a:custGeom>
                          <a:solidFill>
                            <a:srgbClr val="94B3D6"/>
                          </a:solidFill>
                        </wps:spPr>
                        <wps:bodyPr wrap="square" lIns="0" tIns="0" rIns="0" bIns="0" rtlCol="0">
                          <a:prstTxWarp prst="textNoShape">
                            <a:avLst/>
                          </a:prstTxWarp>
                          <a:noAutofit/>
                        </wps:bodyPr>
                      </wps:wsp>
                      <pic:pic>
                        <pic:nvPicPr>
                          <pic:cNvPr id="167" name="Image 167"/>
                          <pic:cNvPicPr/>
                        </pic:nvPicPr>
                        <pic:blipFill>
                          <a:blip r:embed="rId74" cstate="print"/>
                          <a:stretch>
                            <a:fillRect/>
                          </a:stretch>
                        </pic:blipFill>
                        <pic:spPr>
                          <a:xfrm>
                            <a:off x="2693" y="1653517"/>
                            <a:ext cx="686035" cy="256311"/>
                          </a:xfrm>
                          <a:prstGeom prst="rect">
                            <a:avLst/>
                          </a:prstGeom>
                        </pic:spPr>
                      </pic:pic>
                      <wps:wsp>
                        <wps:cNvPr id="168" name="Graphic 168"/>
                        <wps:cNvSpPr/>
                        <wps:spPr>
                          <a:xfrm>
                            <a:off x="1487907" y="687381"/>
                            <a:ext cx="676275" cy="369570"/>
                          </a:xfrm>
                          <a:custGeom>
                            <a:avLst/>
                            <a:gdLst/>
                            <a:ahLst/>
                            <a:cxnLst/>
                            <a:rect l="l" t="t" r="r" b="b"/>
                            <a:pathLst>
                              <a:path w="676275" h="369570">
                                <a:moveTo>
                                  <a:pt x="676158" y="0"/>
                                </a:moveTo>
                                <a:lnTo>
                                  <a:pt x="0" y="0"/>
                                </a:lnTo>
                                <a:lnTo>
                                  <a:pt x="0" y="369232"/>
                                </a:lnTo>
                                <a:lnTo>
                                  <a:pt x="676158" y="369232"/>
                                </a:lnTo>
                                <a:lnTo>
                                  <a:pt x="676158" y="0"/>
                                </a:lnTo>
                                <a:close/>
                              </a:path>
                            </a:pathLst>
                          </a:custGeom>
                          <a:solidFill>
                            <a:srgbClr val="94B3D6"/>
                          </a:solidFill>
                        </wps:spPr>
                        <wps:bodyPr wrap="square" lIns="0" tIns="0" rIns="0" bIns="0" rtlCol="0">
                          <a:prstTxWarp prst="textNoShape">
                            <a:avLst/>
                          </a:prstTxWarp>
                          <a:noAutofit/>
                        </wps:bodyPr>
                      </wps:wsp>
                      <pic:pic>
                        <pic:nvPicPr>
                          <pic:cNvPr id="169" name="Image 169"/>
                          <pic:cNvPicPr/>
                        </pic:nvPicPr>
                        <pic:blipFill>
                          <a:blip r:embed="rId75" cstate="print"/>
                          <a:stretch>
                            <a:fillRect/>
                          </a:stretch>
                        </pic:blipFill>
                        <pic:spPr>
                          <a:xfrm>
                            <a:off x="1539988" y="681108"/>
                            <a:ext cx="615097" cy="274235"/>
                          </a:xfrm>
                          <a:prstGeom prst="rect">
                            <a:avLst/>
                          </a:prstGeom>
                        </pic:spPr>
                      </pic:pic>
                      <pic:pic>
                        <pic:nvPicPr>
                          <pic:cNvPr id="170" name="Image 170"/>
                          <pic:cNvPicPr/>
                        </pic:nvPicPr>
                        <pic:blipFill>
                          <a:blip r:embed="rId76" cstate="print"/>
                          <a:stretch>
                            <a:fillRect/>
                          </a:stretch>
                        </pic:blipFill>
                        <pic:spPr>
                          <a:xfrm>
                            <a:off x="1493294" y="825395"/>
                            <a:ext cx="677954" cy="274235"/>
                          </a:xfrm>
                          <a:prstGeom prst="rect">
                            <a:avLst/>
                          </a:prstGeom>
                        </pic:spPr>
                      </pic:pic>
                      <wps:wsp>
                        <wps:cNvPr id="171" name="Graphic 171"/>
                        <wps:cNvSpPr/>
                        <wps:spPr>
                          <a:xfrm>
                            <a:off x="1487907" y="1106838"/>
                            <a:ext cx="676275" cy="434975"/>
                          </a:xfrm>
                          <a:custGeom>
                            <a:avLst/>
                            <a:gdLst/>
                            <a:ahLst/>
                            <a:cxnLst/>
                            <a:rect l="l" t="t" r="r" b="b"/>
                            <a:pathLst>
                              <a:path w="676275" h="434975">
                                <a:moveTo>
                                  <a:pt x="676158" y="0"/>
                                </a:moveTo>
                                <a:lnTo>
                                  <a:pt x="0" y="0"/>
                                </a:lnTo>
                                <a:lnTo>
                                  <a:pt x="0" y="434654"/>
                                </a:lnTo>
                                <a:lnTo>
                                  <a:pt x="676158" y="434654"/>
                                </a:lnTo>
                                <a:lnTo>
                                  <a:pt x="676158" y="0"/>
                                </a:lnTo>
                                <a:close/>
                              </a:path>
                            </a:pathLst>
                          </a:custGeom>
                          <a:solidFill>
                            <a:srgbClr val="FFC000"/>
                          </a:solidFill>
                        </wps:spPr>
                        <wps:bodyPr wrap="square" lIns="0" tIns="0" rIns="0" bIns="0" rtlCol="0">
                          <a:prstTxWarp prst="textNoShape">
                            <a:avLst/>
                          </a:prstTxWarp>
                          <a:noAutofit/>
                        </wps:bodyPr>
                      </wps:wsp>
                      <pic:pic>
                        <pic:nvPicPr>
                          <pic:cNvPr id="172" name="Image 172"/>
                          <pic:cNvPicPr/>
                        </pic:nvPicPr>
                        <pic:blipFill>
                          <a:blip r:embed="rId77" cstate="print"/>
                          <a:stretch>
                            <a:fillRect/>
                          </a:stretch>
                        </pic:blipFill>
                        <pic:spPr>
                          <a:xfrm>
                            <a:off x="1606436" y="1145375"/>
                            <a:ext cx="478608" cy="257208"/>
                          </a:xfrm>
                          <a:prstGeom prst="rect">
                            <a:avLst/>
                          </a:prstGeom>
                        </pic:spPr>
                      </pic:pic>
                      <pic:pic>
                        <pic:nvPicPr>
                          <pic:cNvPr id="173" name="Image 173"/>
                          <pic:cNvPicPr/>
                        </pic:nvPicPr>
                        <pic:blipFill>
                          <a:blip r:embed="rId78" cstate="print"/>
                          <a:stretch>
                            <a:fillRect/>
                          </a:stretch>
                        </pic:blipFill>
                        <pic:spPr>
                          <a:xfrm>
                            <a:off x="1489702" y="1280700"/>
                            <a:ext cx="685137" cy="257208"/>
                          </a:xfrm>
                          <a:prstGeom prst="rect">
                            <a:avLst/>
                          </a:prstGeom>
                        </pic:spPr>
                      </pic:pic>
                      <wps:wsp>
                        <wps:cNvPr id="174" name="Graphic 174"/>
                        <wps:cNvSpPr/>
                        <wps:spPr>
                          <a:xfrm>
                            <a:off x="1487907" y="274235"/>
                            <a:ext cx="676275" cy="367665"/>
                          </a:xfrm>
                          <a:custGeom>
                            <a:avLst/>
                            <a:gdLst/>
                            <a:ahLst/>
                            <a:cxnLst/>
                            <a:rect l="l" t="t" r="r" b="b"/>
                            <a:pathLst>
                              <a:path w="676275" h="367665">
                                <a:moveTo>
                                  <a:pt x="676158" y="0"/>
                                </a:moveTo>
                                <a:lnTo>
                                  <a:pt x="0" y="0"/>
                                </a:lnTo>
                                <a:lnTo>
                                  <a:pt x="0" y="367440"/>
                                </a:lnTo>
                                <a:lnTo>
                                  <a:pt x="676158" y="367440"/>
                                </a:lnTo>
                                <a:lnTo>
                                  <a:pt x="676158" y="0"/>
                                </a:lnTo>
                                <a:close/>
                              </a:path>
                            </a:pathLst>
                          </a:custGeom>
                          <a:solidFill>
                            <a:srgbClr val="94B3D6"/>
                          </a:solidFill>
                        </wps:spPr>
                        <wps:bodyPr wrap="square" lIns="0" tIns="0" rIns="0" bIns="0" rtlCol="0">
                          <a:prstTxWarp prst="textNoShape">
                            <a:avLst/>
                          </a:prstTxWarp>
                          <a:noAutofit/>
                        </wps:bodyPr>
                      </wps:wsp>
                      <pic:pic>
                        <pic:nvPicPr>
                          <pic:cNvPr id="175" name="Image 175"/>
                          <pic:cNvPicPr/>
                        </pic:nvPicPr>
                        <pic:blipFill>
                          <a:blip r:embed="rId79" cstate="print"/>
                          <a:stretch>
                            <a:fillRect/>
                          </a:stretch>
                        </pic:blipFill>
                        <pic:spPr>
                          <a:xfrm>
                            <a:off x="1477131" y="272443"/>
                            <a:ext cx="742606" cy="266170"/>
                          </a:xfrm>
                          <a:prstGeom prst="rect">
                            <a:avLst/>
                          </a:prstGeom>
                        </pic:spPr>
                      </pic:pic>
                      <pic:pic>
                        <pic:nvPicPr>
                          <pic:cNvPr id="176" name="Image 176"/>
                          <pic:cNvPicPr/>
                        </pic:nvPicPr>
                        <pic:blipFill>
                          <a:blip r:embed="rId80" cstate="print"/>
                          <a:stretch>
                            <a:fillRect/>
                          </a:stretch>
                        </pic:blipFill>
                        <pic:spPr>
                          <a:xfrm>
                            <a:off x="1485213" y="412249"/>
                            <a:ext cx="695015" cy="266170"/>
                          </a:xfrm>
                          <a:prstGeom prst="rect">
                            <a:avLst/>
                          </a:prstGeom>
                        </pic:spPr>
                      </pic:pic>
                      <wps:wsp>
                        <wps:cNvPr id="177" name="Graphic 177"/>
                        <wps:cNvSpPr/>
                        <wps:spPr>
                          <a:xfrm>
                            <a:off x="1487907" y="1580925"/>
                            <a:ext cx="676275" cy="367030"/>
                          </a:xfrm>
                          <a:custGeom>
                            <a:avLst/>
                            <a:gdLst/>
                            <a:ahLst/>
                            <a:cxnLst/>
                            <a:rect l="l" t="t" r="r" b="b"/>
                            <a:pathLst>
                              <a:path w="676275" h="367030">
                                <a:moveTo>
                                  <a:pt x="676158" y="0"/>
                                </a:moveTo>
                                <a:lnTo>
                                  <a:pt x="0" y="0"/>
                                </a:lnTo>
                                <a:lnTo>
                                  <a:pt x="0" y="366543"/>
                                </a:lnTo>
                                <a:lnTo>
                                  <a:pt x="676158" y="366543"/>
                                </a:lnTo>
                                <a:lnTo>
                                  <a:pt x="676158" y="0"/>
                                </a:lnTo>
                                <a:close/>
                              </a:path>
                            </a:pathLst>
                          </a:custGeom>
                          <a:solidFill>
                            <a:srgbClr val="94B3D6"/>
                          </a:solidFill>
                        </wps:spPr>
                        <wps:bodyPr wrap="square" lIns="0" tIns="0" rIns="0" bIns="0" rtlCol="0">
                          <a:prstTxWarp prst="textNoShape">
                            <a:avLst/>
                          </a:prstTxWarp>
                          <a:noAutofit/>
                        </wps:bodyPr>
                      </wps:wsp>
                      <pic:pic>
                        <pic:nvPicPr>
                          <pic:cNvPr id="178" name="Image 178"/>
                          <pic:cNvPicPr/>
                        </pic:nvPicPr>
                        <pic:blipFill>
                          <a:blip r:embed="rId81" cstate="print"/>
                          <a:stretch>
                            <a:fillRect/>
                          </a:stretch>
                        </pic:blipFill>
                        <pic:spPr>
                          <a:xfrm>
                            <a:off x="1510355" y="1572860"/>
                            <a:ext cx="674362" cy="274235"/>
                          </a:xfrm>
                          <a:prstGeom prst="rect">
                            <a:avLst/>
                          </a:prstGeom>
                        </pic:spPr>
                      </pic:pic>
                      <pic:pic>
                        <pic:nvPicPr>
                          <pic:cNvPr id="179" name="Image 179"/>
                          <pic:cNvPicPr/>
                        </pic:nvPicPr>
                        <pic:blipFill>
                          <a:blip r:embed="rId82" cstate="print"/>
                          <a:stretch>
                            <a:fillRect/>
                          </a:stretch>
                        </pic:blipFill>
                        <pic:spPr>
                          <a:xfrm>
                            <a:off x="1588477" y="1717147"/>
                            <a:ext cx="487588" cy="274235"/>
                          </a:xfrm>
                          <a:prstGeom prst="rect">
                            <a:avLst/>
                          </a:prstGeom>
                        </pic:spPr>
                      </pic:pic>
                      <wps:wsp>
                        <wps:cNvPr id="180" name="Graphic 180"/>
                        <wps:cNvSpPr/>
                        <wps:spPr>
                          <a:xfrm>
                            <a:off x="2924181" y="285438"/>
                            <a:ext cx="768985" cy="767715"/>
                          </a:xfrm>
                          <a:custGeom>
                            <a:avLst/>
                            <a:gdLst/>
                            <a:ahLst/>
                            <a:cxnLst/>
                            <a:rect l="l" t="t" r="r" b="b"/>
                            <a:pathLst>
                              <a:path w="768985" h="767715">
                                <a:moveTo>
                                  <a:pt x="384323" y="0"/>
                                </a:moveTo>
                                <a:lnTo>
                                  <a:pt x="336108" y="2989"/>
                                </a:lnTo>
                                <a:lnTo>
                                  <a:pt x="289681" y="11717"/>
                                </a:lnTo>
                                <a:lnTo>
                                  <a:pt x="245404" y="25823"/>
                                </a:lnTo>
                                <a:lnTo>
                                  <a:pt x="203635" y="44949"/>
                                </a:lnTo>
                                <a:lnTo>
                                  <a:pt x="164736" y="68734"/>
                                </a:lnTo>
                                <a:lnTo>
                                  <a:pt x="129065" y="96818"/>
                                </a:lnTo>
                                <a:lnTo>
                                  <a:pt x="96982" y="128842"/>
                                </a:lnTo>
                                <a:lnTo>
                                  <a:pt x="68848" y="164446"/>
                                </a:lnTo>
                                <a:lnTo>
                                  <a:pt x="45022" y="203270"/>
                                </a:lnTo>
                                <a:lnTo>
                                  <a:pt x="25865" y="244954"/>
                                </a:lnTo>
                                <a:lnTo>
                                  <a:pt x="11735" y="289139"/>
                                </a:lnTo>
                                <a:lnTo>
                                  <a:pt x="2993" y="335465"/>
                                </a:lnTo>
                                <a:lnTo>
                                  <a:pt x="0" y="383571"/>
                                </a:lnTo>
                                <a:lnTo>
                                  <a:pt x="2993" y="431692"/>
                                </a:lnTo>
                                <a:lnTo>
                                  <a:pt x="11735" y="478028"/>
                                </a:lnTo>
                                <a:lnTo>
                                  <a:pt x="25865" y="522219"/>
                                </a:lnTo>
                                <a:lnTo>
                                  <a:pt x="45022" y="563905"/>
                                </a:lnTo>
                                <a:lnTo>
                                  <a:pt x="68848" y="602729"/>
                                </a:lnTo>
                                <a:lnTo>
                                  <a:pt x="96982" y="638330"/>
                                </a:lnTo>
                                <a:lnTo>
                                  <a:pt x="129065" y="670350"/>
                                </a:lnTo>
                                <a:lnTo>
                                  <a:pt x="164736" y="698429"/>
                                </a:lnTo>
                                <a:lnTo>
                                  <a:pt x="203635" y="722208"/>
                                </a:lnTo>
                                <a:lnTo>
                                  <a:pt x="245404" y="741328"/>
                                </a:lnTo>
                                <a:lnTo>
                                  <a:pt x="289681" y="755430"/>
                                </a:lnTo>
                                <a:lnTo>
                                  <a:pt x="336108" y="764155"/>
                                </a:lnTo>
                                <a:lnTo>
                                  <a:pt x="384323" y="767143"/>
                                </a:lnTo>
                                <a:lnTo>
                                  <a:pt x="432539" y="764155"/>
                                </a:lnTo>
                                <a:lnTo>
                                  <a:pt x="478965" y="755430"/>
                                </a:lnTo>
                                <a:lnTo>
                                  <a:pt x="523243" y="741328"/>
                                </a:lnTo>
                                <a:lnTo>
                                  <a:pt x="565011" y="722208"/>
                                </a:lnTo>
                                <a:lnTo>
                                  <a:pt x="603911" y="698429"/>
                                </a:lnTo>
                                <a:lnTo>
                                  <a:pt x="639582" y="670350"/>
                                </a:lnTo>
                                <a:lnTo>
                                  <a:pt x="671664" y="638330"/>
                                </a:lnTo>
                                <a:lnTo>
                                  <a:pt x="699798" y="602729"/>
                                </a:lnTo>
                                <a:lnTo>
                                  <a:pt x="723624" y="563905"/>
                                </a:lnTo>
                                <a:lnTo>
                                  <a:pt x="742782" y="522219"/>
                                </a:lnTo>
                                <a:lnTo>
                                  <a:pt x="756911" y="478028"/>
                                </a:lnTo>
                                <a:lnTo>
                                  <a:pt x="765653" y="431692"/>
                                </a:lnTo>
                                <a:lnTo>
                                  <a:pt x="768647" y="383571"/>
                                </a:lnTo>
                                <a:lnTo>
                                  <a:pt x="765653" y="335465"/>
                                </a:lnTo>
                                <a:lnTo>
                                  <a:pt x="756911" y="289139"/>
                                </a:lnTo>
                                <a:lnTo>
                                  <a:pt x="742782" y="244954"/>
                                </a:lnTo>
                                <a:lnTo>
                                  <a:pt x="723624" y="203270"/>
                                </a:lnTo>
                                <a:lnTo>
                                  <a:pt x="699798" y="164446"/>
                                </a:lnTo>
                                <a:lnTo>
                                  <a:pt x="671664" y="128842"/>
                                </a:lnTo>
                                <a:lnTo>
                                  <a:pt x="639582" y="96818"/>
                                </a:lnTo>
                                <a:lnTo>
                                  <a:pt x="603911" y="68734"/>
                                </a:lnTo>
                                <a:lnTo>
                                  <a:pt x="565011" y="44949"/>
                                </a:lnTo>
                                <a:lnTo>
                                  <a:pt x="523243" y="25823"/>
                                </a:lnTo>
                                <a:lnTo>
                                  <a:pt x="478965" y="11717"/>
                                </a:lnTo>
                                <a:lnTo>
                                  <a:pt x="432539" y="2989"/>
                                </a:lnTo>
                                <a:lnTo>
                                  <a:pt x="384323" y="0"/>
                                </a:lnTo>
                                <a:close/>
                              </a:path>
                            </a:pathLst>
                          </a:custGeom>
                          <a:solidFill>
                            <a:srgbClr val="4AACC5">
                              <a:alpha val="50195"/>
                            </a:srgbClr>
                          </a:solidFill>
                        </wps:spPr>
                        <wps:bodyPr wrap="square" lIns="0" tIns="0" rIns="0" bIns="0" rtlCol="0">
                          <a:prstTxWarp prst="textNoShape">
                            <a:avLst/>
                          </a:prstTxWarp>
                          <a:noAutofit/>
                        </wps:bodyPr>
                      </wps:wsp>
                      <wps:wsp>
                        <wps:cNvPr id="181" name="Graphic 181"/>
                        <wps:cNvSpPr/>
                        <wps:spPr>
                          <a:xfrm>
                            <a:off x="3264505" y="624200"/>
                            <a:ext cx="768350" cy="767715"/>
                          </a:xfrm>
                          <a:custGeom>
                            <a:avLst/>
                            <a:gdLst/>
                            <a:ahLst/>
                            <a:cxnLst/>
                            <a:rect l="l" t="t" r="r" b="b"/>
                            <a:pathLst>
                              <a:path w="768350" h="767715">
                                <a:moveTo>
                                  <a:pt x="383874" y="0"/>
                                </a:moveTo>
                                <a:lnTo>
                                  <a:pt x="335725" y="2989"/>
                                </a:lnTo>
                                <a:lnTo>
                                  <a:pt x="289360" y="11717"/>
                                </a:lnTo>
                                <a:lnTo>
                                  <a:pt x="245138" y="25823"/>
                                </a:lnTo>
                                <a:lnTo>
                                  <a:pt x="203420" y="44949"/>
                                </a:lnTo>
                                <a:lnTo>
                                  <a:pt x="164566" y="68734"/>
                                </a:lnTo>
                                <a:lnTo>
                                  <a:pt x="128934" y="96818"/>
                                </a:lnTo>
                                <a:lnTo>
                                  <a:pt x="96886" y="128842"/>
                                </a:lnTo>
                                <a:lnTo>
                                  <a:pt x="68782" y="164446"/>
                                </a:lnTo>
                                <a:lnTo>
                                  <a:pt x="44980" y="203270"/>
                                </a:lnTo>
                                <a:lnTo>
                                  <a:pt x="25841" y="244954"/>
                                </a:lnTo>
                                <a:lnTo>
                                  <a:pt x="11724" y="289139"/>
                                </a:lnTo>
                                <a:lnTo>
                                  <a:pt x="2991" y="335465"/>
                                </a:lnTo>
                                <a:lnTo>
                                  <a:pt x="0" y="383571"/>
                                </a:lnTo>
                                <a:lnTo>
                                  <a:pt x="2991" y="431693"/>
                                </a:lnTo>
                                <a:lnTo>
                                  <a:pt x="11724" y="478030"/>
                                </a:lnTo>
                                <a:lnTo>
                                  <a:pt x="25841" y="522224"/>
                                </a:lnTo>
                                <a:lnTo>
                                  <a:pt x="44980" y="563914"/>
                                </a:lnTo>
                                <a:lnTo>
                                  <a:pt x="68782" y="602741"/>
                                </a:lnTo>
                                <a:lnTo>
                                  <a:pt x="96886" y="638347"/>
                                </a:lnTo>
                                <a:lnTo>
                                  <a:pt x="128934" y="670371"/>
                                </a:lnTo>
                                <a:lnTo>
                                  <a:pt x="164566" y="698454"/>
                                </a:lnTo>
                                <a:lnTo>
                                  <a:pt x="203420" y="722237"/>
                                </a:lnTo>
                                <a:lnTo>
                                  <a:pt x="245138" y="741361"/>
                                </a:lnTo>
                                <a:lnTo>
                                  <a:pt x="289360" y="755465"/>
                                </a:lnTo>
                                <a:lnTo>
                                  <a:pt x="335725" y="764191"/>
                                </a:lnTo>
                                <a:lnTo>
                                  <a:pt x="383874" y="767180"/>
                                </a:lnTo>
                                <a:lnTo>
                                  <a:pt x="432023" y="764191"/>
                                </a:lnTo>
                                <a:lnTo>
                                  <a:pt x="478389" y="755465"/>
                                </a:lnTo>
                                <a:lnTo>
                                  <a:pt x="522610" y="741361"/>
                                </a:lnTo>
                                <a:lnTo>
                                  <a:pt x="564328" y="722237"/>
                                </a:lnTo>
                                <a:lnTo>
                                  <a:pt x="603183" y="698454"/>
                                </a:lnTo>
                                <a:lnTo>
                                  <a:pt x="638814" y="670371"/>
                                </a:lnTo>
                                <a:lnTo>
                                  <a:pt x="670862" y="638347"/>
                                </a:lnTo>
                                <a:lnTo>
                                  <a:pt x="698967" y="602741"/>
                                </a:lnTo>
                                <a:lnTo>
                                  <a:pt x="722769" y="563914"/>
                                </a:lnTo>
                                <a:lnTo>
                                  <a:pt x="741908" y="522224"/>
                                </a:lnTo>
                                <a:lnTo>
                                  <a:pt x="756024" y="478030"/>
                                </a:lnTo>
                                <a:lnTo>
                                  <a:pt x="764758" y="431693"/>
                                </a:lnTo>
                                <a:lnTo>
                                  <a:pt x="767749" y="383571"/>
                                </a:lnTo>
                                <a:lnTo>
                                  <a:pt x="764758" y="335465"/>
                                </a:lnTo>
                                <a:lnTo>
                                  <a:pt x="756024" y="289139"/>
                                </a:lnTo>
                                <a:lnTo>
                                  <a:pt x="741908" y="244954"/>
                                </a:lnTo>
                                <a:lnTo>
                                  <a:pt x="722769" y="203270"/>
                                </a:lnTo>
                                <a:lnTo>
                                  <a:pt x="698967" y="164446"/>
                                </a:lnTo>
                                <a:lnTo>
                                  <a:pt x="670862" y="128842"/>
                                </a:lnTo>
                                <a:lnTo>
                                  <a:pt x="638814" y="96818"/>
                                </a:lnTo>
                                <a:lnTo>
                                  <a:pt x="603183" y="68734"/>
                                </a:lnTo>
                                <a:lnTo>
                                  <a:pt x="564328" y="44949"/>
                                </a:lnTo>
                                <a:lnTo>
                                  <a:pt x="522610" y="25823"/>
                                </a:lnTo>
                                <a:lnTo>
                                  <a:pt x="478389" y="11717"/>
                                </a:lnTo>
                                <a:lnTo>
                                  <a:pt x="432023" y="2989"/>
                                </a:lnTo>
                                <a:lnTo>
                                  <a:pt x="383874" y="0"/>
                                </a:lnTo>
                                <a:close/>
                              </a:path>
                            </a:pathLst>
                          </a:custGeom>
                          <a:solidFill>
                            <a:srgbClr val="4AACC5">
                              <a:alpha val="50195"/>
                            </a:srgbClr>
                          </a:solidFill>
                        </wps:spPr>
                        <wps:bodyPr wrap="square" lIns="0" tIns="0" rIns="0" bIns="0" rtlCol="0">
                          <a:prstTxWarp prst="textNoShape">
                            <a:avLst/>
                          </a:prstTxWarp>
                          <a:noAutofit/>
                        </wps:bodyPr>
                      </wps:wsp>
                      <wps:wsp>
                        <wps:cNvPr id="182" name="Graphic 182"/>
                        <wps:cNvSpPr/>
                        <wps:spPr>
                          <a:xfrm>
                            <a:off x="3264505" y="624200"/>
                            <a:ext cx="768350" cy="767715"/>
                          </a:xfrm>
                          <a:custGeom>
                            <a:avLst/>
                            <a:gdLst/>
                            <a:ahLst/>
                            <a:cxnLst/>
                            <a:rect l="l" t="t" r="r" b="b"/>
                            <a:pathLst>
                              <a:path w="768350" h="767715">
                                <a:moveTo>
                                  <a:pt x="0" y="383571"/>
                                </a:moveTo>
                                <a:lnTo>
                                  <a:pt x="2991" y="335465"/>
                                </a:lnTo>
                                <a:lnTo>
                                  <a:pt x="11724" y="289139"/>
                                </a:lnTo>
                                <a:lnTo>
                                  <a:pt x="25841" y="244954"/>
                                </a:lnTo>
                                <a:lnTo>
                                  <a:pt x="44980" y="203270"/>
                                </a:lnTo>
                                <a:lnTo>
                                  <a:pt x="68782" y="164446"/>
                                </a:lnTo>
                                <a:lnTo>
                                  <a:pt x="96886" y="128842"/>
                                </a:lnTo>
                                <a:lnTo>
                                  <a:pt x="128934" y="96818"/>
                                </a:lnTo>
                                <a:lnTo>
                                  <a:pt x="164566" y="68734"/>
                                </a:lnTo>
                                <a:lnTo>
                                  <a:pt x="203420" y="44949"/>
                                </a:lnTo>
                                <a:lnTo>
                                  <a:pt x="245138" y="25823"/>
                                </a:lnTo>
                                <a:lnTo>
                                  <a:pt x="289360" y="11717"/>
                                </a:lnTo>
                                <a:lnTo>
                                  <a:pt x="335725" y="2989"/>
                                </a:lnTo>
                                <a:lnTo>
                                  <a:pt x="383874" y="0"/>
                                </a:lnTo>
                                <a:lnTo>
                                  <a:pt x="432023" y="2989"/>
                                </a:lnTo>
                                <a:lnTo>
                                  <a:pt x="478389" y="11717"/>
                                </a:lnTo>
                                <a:lnTo>
                                  <a:pt x="522610" y="25823"/>
                                </a:lnTo>
                                <a:lnTo>
                                  <a:pt x="564328" y="44949"/>
                                </a:lnTo>
                                <a:lnTo>
                                  <a:pt x="603183" y="68734"/>
                                </a:lnTo>
                                <a:lnTo>
                                  <a:pt x="638814" y="96818"/>
                                </a:lnTo>
                                <a:lnTo>
                                  <a:pt x="670862" y="128842"/>
                                </a:lnTo>
                                <a:lnTo>
                                  <a:pt x="698967" y="164446"/>
                                </a:lnTo>
                                <a:lnTo>
                                  <a:pt x="722769" y="203270"/>
                                </a:lnTo>
                                <a:lnTo>
                                  <a:pt x="741908" y="244954"/>
                                </a:lnTo>
                                <a:lnTo>
                                  <a:pt x="756024" y="289139"/>
                                </a:lnTo>
                                <a:lnTo>
                                  <a:pt x="764758" y="335465"/>
                                </a:lnTo>
                                <a:lnTo>
                                  <a:pt x="767749" y="383571"/>
                                </a:lnTo>
                                <a:lnTo>
                                  <a:pt x="764758" y="431693"/>
                                </a:lnTo>
                                <a:lnTo>
                                  <a:pt x="756024" y="478030"/>
                                </a:lnTo>
                                <a:lnTo>
                                  <a:pt x="741908" y="522224"/>
                                </a:lnTo>
                                <a:lnTo>
                                  <a:pt x="722769" y="563914"/>
                                </a:lnTo>
                                <a:lnTo>
                                  <a:pt x="698967" y="602741"/>
                                </a:lnTo>
                                <a:lnTo>
                                  <a:pt x="670862" y="638347"/>
                                </a:lnTo>
                                <a:lnTo>
                                  <a:pt x="638814" y="670371"/>
                                </a:lnTo>
                                <a:lnTo>
                                  <a:pt x="603183" y="698454"/>
                                </a:lnTo>
                                <a:lnTo>
                                  <a:pt x="564328" y="722237"/>
                                </a:lnTo>
                                <a:lnTo>
                                  <a:pt x="522610" y="741361"/>
                                </a:lnTo>
                                <a:lnTo>
                                  <a:pt x="478389" y="755465"/>
                                </a:lnTo>
                                <a:lnTo>
                                  <a:pt x="432023" y="764191"/>
                                </a:lnTo>
                                <a:lnTo>
                                  <a:pt x="383874" y="767180"/>
                                </a:lnTo>
                                <a:lnTo>
                                  <a:pt x="335725" y="764191"/>
                                </a:lnTo>
                                <a:lnTo>
                                  <a:pt x="289360" y="755465"/>
                                </a:lnTo>
                                <a:lnTo>
                                  <a:pt x="245138" y="741361"/>
                                </a:lnTo>
                                <a:lnTo>
                                  <a:pt x="203420" y="722237"/>
                                </a:lnTo>
                                <a:lnTo>
                                  <a:pt x="164566" y="698454"/>
                                </a:lnTo>
                                <a:lnTo>
                                  <a:pt x="128934" y="670371"/>
                                </a:lnTo>
                                <a:lnTo>
                                  <a:pt x="96886" y="638347"/>
                                </a:lnTo>
                                <a:lnTo>
                                  <a:pt x="68782" y="602741"/>
                                </a:lnTo>
                                <a:lnTo>
                                  <a:pt x="44980" y="563914"/>
                                </a:lnTo>
                                <a:lnTo>
                                  <a:pt x="25841" y="522224"/>
                                </a:lnTo>
                                <a:lnTo>
                                  <a:pt x="11724" y="478030"/>
                                </a:lnTo>
                                <a:lnTo>
                                  <a:pt x="2991" y="431693"/>
                                </a:lnTo>
                                <a:lnTo>
                                  <a:pt x="0" y="383571"/>
                                </a:lnTo>
                                <a:close/>
                              </a:path>
                            </a:pathLst>
                          </a:custGeom>
                          <a:ln w="15250">
                            <a:solidFill>
                              <a:srgbClr val="FFFFFF"/>
                            </a:solidFill>
                            <a:prstDash val="solid"/>
                          </a:ln>
                        </wps:spPr>
                        <wps:bodyPr wrap="square" lIns="0" tIns="0" rIns="0" bIns="0" rtlCol="0">
                          <a:prstTxWarp prst="textNoShape">
                            <a:avLst/>
                          </a:prstTxWarp>
                          <a:noAutofit/>
                        </wps:bodyPr>
                      </wps:wsp>
                      <wps:wsp>
                        <wps:cNvPr id="183" name="Graphic 183"/>
                        <wps:cNvSpPr/>
                        <wps:spPr>
                          <a:xfrm>
                            <a:off x="2924181" y="963858"/>
                            <a:ext cx="768985" cy="766445"/>
                          </a:xfrm>
                          <a:custGeom>
                            <a:avLst/>
                            <a:gdLst/>
                            <a:ahLst/>
                            <a:cxnLst/>
                            <a:rect l="l" t="t" r="r" b="b"/>
                            <a:pathLst>
                              <a:path w="768985" h="766445">
                                <a:moveTo>
                                  <a:pt x="384323" y="0"/>
                                </a:moveTo>
                                <a:lnTo>
                                  <a:pt x="336108" y="2985"/>
                                </a:lnTo>
                                <a:lnTo>
                                  <a:pt x="289681" y="11702"/>
                                </a:lnTo>
                                <a:lnTo>
                                  <a:pt x="245404" y="25791"/>
                                </a:lnTo>
                                <a:lnTo>
                                  <a:pt x="203635" y="44893"/>
                                </a:lnTo>
                                <a:lnTo>
                                  <a:pt x="164736" y="68649"/>
                                </a:lnTo>
                                <a:lnTo>
                                  <a:pt x="129065" y="96700"/>
                                </a:lnTo>
                                <a:lnTo>
                                  <a:pt x="96982" y="128688"/>
                                </a:lnTo>
                                <a:lnTo>
                                  <a:pt x="68848" y="164252"/>
                                </a:lnTo>
                                <a:lnTo>
                                  <a:pt x="45022" y="203034"/>
                                </a:lnTo>
                                <a:lnTo>
                                  <a:pt x="25865" y="244675"/>
                                </a:lnTo>
                                <a:lnTo>
                                  <a:pt x="11735" y="288816"/>
                                </a:lnTo>
                                <a:lnTo>
                                  <a:pt x="2993" y="335097"/>
                                </a:lnTo>
                                <a:lnTo>
                                  <a:pt x="0" y="383160"/>
                                </a:lnTo>
                                <a:lnTo>
                                  <a:pt x="2993" y="431218"/>
                                </a:lnTo>
                                <a:lnTo>
                                  <a:pt x="11735" y="477495"/>
                                </a:lnTo>
                                <a:lnTo>
                                  <a:pt x="25865" y="521631"/>
                                </a:lnTo>
                                <a:lnTo>
                                  <a:pt x="45022" y="563268"/>
                                </a:lnTo>
                                <a:lnTo>
                                  <a:pt x="68848" y="602046"/>
                                </a:lnTo>
                                <a:lnTo>
                                  <a:pt x="96982" y="637607"/>
                                </a:lnTo>
                                <a:lnTo>
                                  <a:pt x="129065" y="669592"/>
                                </a:lnTo>
                                <a:lnTo>
                                  <a:pt x="164736" y="697641"/>
                                </a:lnTo>
                                <a:lnTo>
                                  <a:pt x="203635" y="721395"/>
                                </a:lnTo>
                                <a:lnTo>
                                  <a:pt x="245404" y="740495"/>
                                </a:lnTo>
                                <a:lnTo>
                                  <a:pt x="289681" y="754583"/>
                                </a:lnTo>
                                <a:lnTo>
                                  <a:pt x="336108" y="763299"/>
                                </a:lnTo>
                                <a:lnTo>
                                  <a:pt x="384323" y="766284"/>
                                </a:lnTo>
                                <a:lnTo>
                                  <a:pt x="432539" y="763299"/>
                                </a:lnTo>
                                <a:lnTo>
                                  <a:pt x="478965" y="754583"/>
                                </a:lnTo>
                                <a:lnTo>
                                  <a:pt x="523243" y="740495"/>
                                </a:lnTo>
                                <a:lnTo>
                                  <a:pt x="565011" y="721395"/>
                                </a:lnTo>
                                <a:lnTo>
                                  <a:pt x="603911" y="697641"/>
                                </a:lnTo>
                                <a:lnTo>
                                  <a:pt x="639582" y="669592"/>
                                </a:lnTo>
                                <a:lnTo>
                                  <a:pt x="671664" y="637607"/>
                                </a:lnTo>
                                <a:lnTo>
                                  <a:pt x="699798" y="602046"/>
                                </a:lnTo>
                                <a:lnTo>
                                  <a:pt x="723624" y="563268"/>
                                </a:lnTo>
                                <a:lnTo>
                                  <a:pt x="742782" y="521631"/>
                                </a:lnTo>
                                <a:lnTo>
                                  <a:pt x="756911" y="477495"/>
                                </a:lnTo>
                                <a:lnTo>
                                  <a:pt x="765653" y="431218"/>
                                </a:lnTo>
                                <a:lnTo>
                                  <a:pt x="768647" y="383160"/>
                                </a:lnTo>
                                <a:lnTo>
                                  <a:pt x="765653" y="335097"/>
                                </a:lnTo>
                                <a:lnTo>
                                  <a:pt x="756911" y="288816"/>
                                </a:lnTo>
                                <a:lnTo>
                                  <a:pt x="742782" y="244675"/>
                                </a:lnTo>
                                <a:lnTo>
                                  <a:pt x="723624" y="203034"/>
                                </a:lnTo>
                                <a:lnTo>
                                  <a:pt x="699798" y="164252"/>
                                </a:lnTo>
                                <a:lnTo>
                                  <a:pt x="671664" y="128688"/>
                                </a:lnTo>
                                <a:lnTo>
                                  <a:pt x="639582" y="96700"/>
                                </a:lnTo>
                                <a:lnTo>
                                  <a:pt x="603911" y="68649"/>
                                </a:lnTo>
                                <a:lnTo>
                                  <a:pt x="565011" y="44893"/>
                                </a:lnTo>
                                <a:lnTo>
                                  <a:pt x="523243" y="25791"/>
                                </a:lnTo>
                                <a:lnTo>
                                  <a:pt x="478965" y="11702"/>
                                </a:lnTo>
                                <a:lnTo>
                                  <a:pt x="432539" y="2985"/>
                                </a:lnTo>
                                <a:lnTo>
                                  <a:pt x="384323" y="0"/>
                                </a:lnTo>
                                <a:close/>
                              </a:path>
                            </a:pathLst>
                          </a:custGeom>
                          <a:solidFill>
                            <a:srgbClr val="4AACC5">
                              <a:alpha val="50195"/>
                            </a:srgbClr>
                          </a:solidFill>
                        </wps:spPr>
                        <wps:bodyPr wrap="square" lIns="0" tIns="0" rIns="0" bIns="0" rtlCol="0">
                          <a:prstTxWarp prst="textNoShape">
                            <a:avLst/>
                          </a:prstTxWarp>
                          <a:noAutofit/>
                        </wps:bodyPr>
                      </wps:wsp>
                      <wps:wsp>
                        <wps:cNvPr id="184" name="Graphic 184"/>
                        <wps:cNvSpPr/>
                        <wps:spPr>
                          <a:xfrm>
                            <a:off x="2924181" y="963858"/>
                            <a:ext cx="768985" cy="766445"/>
                          </a:xfrm>
                          <a:custGeom>
                            <a:avLst/>
                            <a:gdLst/>
                            <a:ahLst/>
                            <a:cxnLst/>
                            <a:rect l="l" t="t" r="r" b="b"/>
                            <a:pathLst>
                              <a:path w="768985" h="766445">
                                <a:moveTo>
                                  <a:pt x="0" y="383160"/>
                                </a:moveTo>
                                <a:lnTo>
                                  <a:pt x="2993" y="335097"/>
                                </a:lnTo>
                                <a:lnTo>
                                  <a:pt x="11735" y="288816"/>
                                </a:lnTo>
                                <a:lnTo>
                                  <a:pt x="25865" y="244675"/>
                                </a:lnTo>
                                <a:lnTo>
                                  <a:pt x="45022" y="203034"/>
                                </a:lnTo>
                                <a:lnTo>
                                  <a:pt x="68848" y="164252"/>
                                </a:lnTo>
                                <a:lnTo>
                                  <a:pt x="96982" y="128688"/>
                                </a:lnTo>
                                <a:lnTo>
                                  <a:pt x="129065" y="96700"/>
                                </a:lnTo>
                                <a:lnTo>
                                  <a:pt x="164736" y="68649"/>
                                </a:lnTo>
                                <a:lnTo>
                                  <a:pt x="203635" y="44893"/>
                                </a:lnTo>
                                <a:lnTo>
                                  <a:pt x="245404" y="25791"/>
                                </a:lnTo>
                                <a:lnTo>
                                  <a:pt x="289681" y="11702"/>
                                </a:lnTo>
                                <a:lnTo>
                                  <a:pt x="336108" y="2985"/>
                                </a:lnTo>
                                <a:lnTo>
                                  <a:pt x="384323" y="0"/>
                                </a:lnTo>
                                <a:lnTo>
                                  <a:pt x="432539" y="2985"/>
                                </a:lnTo>
                                <a:lnTo>
                                  <a:pt x="478965" y="11702"/>
                                </a:lnTo>
                                <a:lnTo>
                                  <a:pt x="523243" y="25791"/>
                                </a:lnTo>
                                <a:lnTo>
                                  <a:pt x="565011" y="44893"/>
                                </a:lnTo>
                                <a:lnTo>
                                  <a:pt x="603911" y="68649"/>
                                </a:lnTo>
                                <a:lnTo>
                                  <a:pt x="639582" y="96700"/>
                                </a:lnTo>
                                <a:lnTo>
                                  <a:pt x="671664" y="128688"/>
                                </a:lnTo>
                                <a:lnTo>
                                  <a:pt x="699798" y="164252"/>
                                </a:lnTo>
                                <a:lnTo>
                                  <a:pt x="723624" y="203034"/>
                                </a:lnTo>
                                <a:lnTo>
                                  <a:pt x="742782" y="244675"/>
                                </a:lnTo>
                                <a:lnTo>
                                  <a:pt x="756911" y="288816"/>
                                </a:lnTo>
                                <a:lnTo>
                                  <a:pt x="765653" y="335097"/>
                                </a:lnTo>
                                <a:lnTo>
                                  <a:pt x="768647" y="383160"/>
                                </a:lnTo>
                                <a:lnTo>
                                  <a:pt x="765653" y="431218"/>
                                </a:lnTo>
                                <a:lnTo>
                                  <a:pt x="756911" y="477495"/>
                                </a:lnTo>
                                <a:lnTo>
                                  <a:pt x="742782" y="521631"/>
                                </a:lnTo>
                                <a:lnTo>
                                  <a:pt x="723624" y="563268"/>
                                </a:lnTo>
                                <a:lnTo>
                                  <a:pt x="699798" y="602046"/>
                                </a:lnTo>
                                <a:lnTo>
                                  <a:pt x="671664" y="637607"/>
                                </a:lnTo>
                                <a:lnTo>
                                  <a:pt x="639582" y="669592"/>
                                </a:lnTo>
                                <a:lnTo>
                                  <a:pt x="603911" y="697641"/>
                                </a:lnTo>
                                <a:lnTo>
                                  <a:pt x="565011" y="721395"/>
                                </a:lnTo>
                                <a:lnTo>
                                  <a:pt x="523243" y="740495"/>
                                </a:lnTo>
                                <a:lnTo>
                                  <a:pt x="478965" y="754583"/>
                                </a:lnTo>
                                <a:lnTo>
                                  <a:pt x="432539" y="763299"/>
                                </a:lnTo>
                                <a:lnTo>
                                  <a:pt x="384323" y="766284"/>
                                </a:lnTo>
                                <a:lnTo>
                                  <a:pt x="336108" y="763299"/>
                                </a:lnTo>
                                <a:lnTo>
                                  <a:pt x="289681" y="754583"/>
                                </a:lnTo>
                                <a:lnTo>
                                  <a:pt x="245404" y="740495"/>
                                </a:lnTo>
                                <a:lnTo>
                                  <a:pt x="203635" y="721395"/>
                                </a:lnTo>
                                <a:lnTo>
                                  <a:pt x="164736" y="697641"/>
                                </a:lnTo>
                                <a:lnTo>
                                  <a:pt x="129065" y="669592"/>
                                </a:lnTo>
                                <a:lnTo>
                                  <a:pt x="96982" y="637607"/>
                                </a:lnTo>
                                <a:lnTo>
                                  <a:pt x="68848" y="602046"/>
                                </a:lnTo>
                                <a:lnTo>
                                  <a:pt x="45022" y="563268"/>
                                </a:lnTo>
                                <a:lnTo>
                                  <a:pt x="25865" y="521631"/>
                                </a:lnTo>
                                <a:lnTo>
                                  <a:pt x="11735" y="477495"/>
                                </a:lnTo>
                                <a:lnTo>
                                  <a:pt x="2993" y="431218"/>
                                </a:lnTo>
                                <a:lnTo>
                                  <a:pt x="0" y="383160"/>
                                </a:lnTo>
                                <a:close/>
                              </a:path>
                            </a:pathLst>
                          </a:custGeom>
                          <a:ln w="15250">
                            <a:solidFill>
                              <a:srgbClr val="FFFFFF"/>
                            </a:solidFill>
                            <a:prstDash val="solid"/>
                          </a:ln>
                        </wps:spPr>
                        <wps:bodyPr wrap="square" lIns="0" tIns="0" rIns="0" bIns="0" rtlCol="0">
                          <a:prstTxWarp prst="textNoShape">
                            <a:avLst/>
                          </a:prstTxWarp>
                          <a:noAutofit/>
                        </wps:bodyPr>
                      </wps:wsp>
                      <wps:wsp>
                        <wps:cNvPr id="185" name="Graphic 185"/>
                        <wps:cNvSpPr/>
                        <wps:spPr>
                          <a:xfrm>
                            <a:off x="2584755" y="624200"/>
                            <a:ext cx="768985" cy="767715"/>
                          </a:xfrm>
                          <a:custGeom>
                            <a:avLst/>
                            <a:gdLst/>
                            <a:ahLst/>
                            <a:cxnLst/>
                            <a:rect l="l" t="t" r="r" b="b"/>
                            <a:pathLst>
                              <a:path w="768985" h="767715">
                                <a:moveTo>
                                  <a:pt x="384323" y="0"/>
                                </a:moveTo>
                                <a:lnTo>
                                  <a:pt x="336108" y="2989"/>
                                </a:lnTo>
                                <a:lnTo>
                                  <a:pt x="289681" y="11717"/>
                                </a:lnTo>
                                <a:lnTo>
                                  <a:pt x="245404" y="25823"/>
                                </a:lnTo>
                                <a:lnTo>
                                  <a:pt x="203635" y="44949"/>
                                </a:lnTo>
                                <a:lnTo>
                                  <a:pt x="164736" y="68734"/>
                                </a:lnTo>
                                <a:lnTo>
                                  <a:pt x="129065" y="96818"/>
                                </a:lnTo>
                                <a:lnTo>
                                  <a:pt x="96982" y="128842"/>
                                </a:lnTo>
                                <a:lnTo>
                                  <a:pt x="68848" y="164446"/>
                                </a:lnTo>
                                <a:lnTo>
                                  <a:pt x="45022" y="203270"/>
                                </a:lnTo>
                                <a:lnTo>
                                  <a:pt x="25865" y="244954"/>
                                </a:lnTo>
                                <a:lnTo>
                                  <a:pt x="11735" y="289139"/>
                                </a:lnTo>
                                <a:lnTo>
                                  <a:pt x="2993" y="335465"/>
                                </a:lnTo>
                                <a:lnTo>
                                  <a:pt x="0" y="383571"/>
                                </a:lnTo>
                                <a:lnTo>
                                  <a:pt x="2993" y="431693"/>
                                </a:lnTo>
                                <a:lnTo>
                                  <a:pt x="11735" y="478030"/>
                                </a:lnTo>
                                <a:lnTo>
                                  <a:pt x="25865" y="522224"/>
                                </a:lnTo>
                                <a:lnTo>
                                  <a:pt x="45022" y="563914"/>
                                </a:lnTo>
                                <a:lnTo>
                                  <a:pt x="68848" y="602741"/>
                                </a:lnTo>
                                <a:lnTo>
                                  <a:pt x="96982" y="638347"/>
                                </a:lnTo>
                                <a:lnTo>
                                  <a:pt x="129065" y="670371"/>
                                </a:lnTo>
                                <a:lnTo>
                                  <a:pt x="164736" y="698454"/>
                                </a:lnTo>
                                <a:lnTo>
                                  <a:pt x="203635" y="722237"/>
                                </a:lnTo>
                                <a:lnTo>
                                  <a:pt x="245404" y="741361"/>
                                </a:lnTo>
                                <a:lnTo>
                                  <a:pt x="289681" y="755465"/>
                                </a:lnTo>
                                <a:lnTo>
                                  <a:pt x="336108" y="764191"/>
                                </a:lnTo>
                                <a:lnTo>
                                  <a:pt x="384323" y="767180"/>
                                </a:lnTo>
                                <a:lnTo>
                                  <a:pt x="432539" y="764191"/>
                                </a:lnTo>
                                <a:lnTo>
                                  <a:pt x="478965" y="755465"/>
                                </a:lnTo>
                                <a:lnTo>
                                  <a:pt x="523243" y="741361"/>
                                </a:lnTo>
                                <a:lnTo>
                                  <a:pt x="565011" y="722237"/>
                                </a:lnTo>
                                <a:lnTo>
                                  <a:pt x="603911" y="698454"/>
                                </a:lnTo>
                                <a:lnTo>
                                  <a:pt x="639582" y="670371"/>
                                </a:lnTo>
                                <a:lnTo>
                                  <a:pt x="671664" y="638347"/>
                                </a:lnTo>
                                <a:lnTo>
                                  <a:pt x="699798" y="602741"/>
                                </a:lnTo>
                                <a:lnTo>
                                  <a:pt x="723624" y="563914"/>
                                </a:lnTo>
                                <a:lnTo>
                                  <a:pt x="742782" y="522224"/>
                                </a:lnTo>
                                <a:lnTo>
                                  <a:pt x="756911" y="478030"/>
                                </a:lnTo>
                                <a:lnTo>
                                  <a:pt x="765653" y="431693"/>
                                </a:lnTo>
                                <a:lnTo>
                                  <a:pt x="768647" y="383571"/>
                                </a:lnTo>
                                <a:lnTo>
                                  <a:pt x="765653" y="335465"/>
                                </a:lnTo>
                                <a:lnTo>
                                  <a:pt x="756911" y="289139"/>
                                </a:lnTo>
                                <a:lnTo>
                                  <a:pt x="742782" y="244954"/>
                                </a:lnTo>
                                <a:lnTo>
                                  <a:pt x="723624" y="203270"/>
                                </a:lnTo>
                                <a:lnTo>
                                  <a:pt x="699798" y="164446"/>
                                </a:lnTo>
                                <a:lnTo>
                                  <a:pt x="671664" y="128842"/>
                                </a:lnTo>
                                <a:lnTo>
                                  <a:pt x="639582" y="96818"/>
                                </a:lnTo>
                                <a:lnTo>
                                  <a:pt x="603911" y="68734"/>
                                </a:lnTo>
                                <a:lnTo>
                                  <a:pt x="565011" y="44949"/>
                                </a:lnTo>
                                <a:lnTo>
                                  <a:pt x="523243" y="25823"/>
                                </a:lnTo>
                                <a:lnTo>
                                  <a:pt x="478965" y="11717"/>
                                </a:lnTo>
                                <a:lnTo>
                                  <a:pt x="432539" y="2989"/>
                                </a:lnTo>
                                <a:lnTo>
                                  <a:pt x="384323" y="0"/>
                                </a:lnTo>
                                <a:close/>
                              </a:path>
                            </a:pathLst>
                          </a:custGeom>
                          <a:solidFill>
                            <a:srgbClr val="4AACC5">
                              <a:alpha val="50195"/>
                            </a:srgbClr>
                          </a:solidFill>
                        </wps:spPr>
                        <wps:bodyPr wrap="square" lIns="0" tIns="0" rIns="0" bIns="0" rtlCol="0">
                          <a:prstTxWarp prst="textNoShape">
                            <a:avLst/>
                          </a:prstTxWarp>
                          <a:noAutofit/>
                        </wps:bodyPr>
                      </wps:wsp>
                      <wps:wsp>
                        <wps:cNvPr id="186" name="Graphic 186"/>
                        <wps:cNvSpPr/>
                        <wps:spPr>
                          <a:xfrm>
                            <a:off x="2584755" y="624200"/>
                            <a:ext cx="768985" cy="767715"/>
                          </a:xfrm>
                          <a:custGeom>
                            <a:avLst/>
                            <a:gdLst/>
                            <a:ahLst/>
                            <a:cxnLst/>
                            <a:rect l="l" t="t" r="r" b="b"/>
                            <a:pathLst>
                              <a:path w="768985" h="767715">
                                <a:moveTo>
                                  <a:pt x="0" y="383571"/>
                                </a:moveTo>
                                <a:lnTo>
                                  <a:pt x="2993" y="335465"/>
                                </a:lnTo>
                                <a:lnTo>
                                  <a:pt x="11735" y="289139"/>
                                </a:lnTo>
                                <a:lnTo>
                                  <a:pt x="25865" y="244954"/>
                                </a:lnTo>
                                <a:lnTo>
                                  <a:pt x="45022" y="203270"/>
                                </a:lnTo>
                                <a:lnTo>
                                  <a:pt x="68848" y="164446"/>
                                </a:lnTo>
                                <a:lnTo>
                                  <a:pt x="96982" y="128842"/>
                                </a:lnTo>
                                <a:lnTo>
                                  <a:pt x="129065" y="96818"/>
                                </a:lnTo>
                                <a:lnTo>
                                  <a:pt x="164736" y="68734"/>
                                </a:lnTo>
                                <a:lnTo>
                                  <a:pt x="203635" y="44949"/>
                                </a:lnTo>
                                <a:lnTo>
                                  <a:pt x="245404" y="25823"/>
                                </a:lnTo>
                                <a:lnTo>
                                  <a:pt x="289681" y="11717"/>
                                </a:lnTo>
                                <a:lnTo>
                                  <a:pt x="336108" y="2989"/>
                                </a:lnTo>
                                <a:lnTo>
                                  <a:pt x="384323" y="0"/>
                                </a:lnTo>
                                <a:lnTo>
                                  <a:pt x="432539" y="2989"/>
                                </a:lnTo>
                                <a:lnTo>
                                  <a:pt x="478965" y="11717"/>
                                </a:lnTo>
                                <a:lnTo>
                                  <a:pt x="523243" y="25823"/>
                                </a:lnTo>
                                <a:lnTo>
                                  <a:pt x="565011" y="44949"/>
                                </a:lnTo>
                                <a:lnTo>
                                  <a:pt x="603911" y="68734"/>
                                </a:lnTo>
                                <a:lnTo>
                                  <a:pt x="639582" y="96818"/>
                                </a:lnTo>
                                <a:lnTo>
                                  <a:pt x="671664" y="128842"/>
                                </a:lnTo>
                                <a:lnTo>
                                  <a:pt x="699798" y="164446"/>
                                </a:lnTo>
                                <a:lnTo>
                                  <a:pt x="723624" y="203270"/>
                                </a:lnTo>
                                <a:lnTo>
                                  <a:pt x="742782" y="244954"/>
                                </a:lnTo>
                                <a:lnTo>
                                  <a:pt x="756911" y="289139"/>
                                </a:lnTo>
                                <a:lnTo>
                                  <a:pt x="765653" y="335465"/>
                                </a:lnTo>
                                <a:lnTo>
                                  <a:pt x="768647" y="383571"/>
                                </a:lnTo>
                                <a:lnTo>
                                  <a:pt x="765653" y="431693"/>
                                </a:lnTo>
                                <a:lnTo>
                                  <a:pt x="756911" y="478030"/>
                                </a:lnTo>
                                <a:lnTo>
                                  <a:pt x="742782" y="522224"/>
                                </a:lnTo>
                                <a:lnTo>
                                  <a:pt x="723624" y="563914"/>
                                </a:lnTo>
                                <a:lnTo>
                                  <a:pt x="699798" y="602741"/>
                                </a:lnTo>
                                <a:lnTo>
                                  <a:pt x="671664" y="638347"/>
                                </a:lnTo>
                                <a:lnTo>
                                  <a:pt x="639582" y="670371"/>
                                </a:lnTo>
                                <a:lnTo>
                                  <a:pt x="603911" y="698454"/>
                                </a:lnTo>
                                <a:lnTo>
                                  <a:pt x="565011" y="722237"/>
                                </a:lnTo>
                                <a:lnTo>
                                  <a:pt x="523243" y="741361"/>
                                </a:lnTo>
                                <a:lnTo>
                                  <a:pt x="478965" y="755465"/>
                                </a:lnTo>
                                <a:lnTo>
                                  <a:pt x="432539" y="764191"/>
                                </a:lnTo>
                                <a:lnTo>
                                  <a:pt x="384323" y="767180"/>
                                </a:lnTo>
                                <a:lnTo>
                                  <a:pt x="336108" y="764191"/>
                                </a:lnTo>
                                <a:lnTo>
                                  <a:pt x="289681" y="755465"/>
                                </a:lnTo>
                                <a:lnTo>
                                  <a:pt x="245404" y="741361"/>
                                </a:lnTo>
                                <a:lnTo>
                                  <a:pt x="203635" y="722237"/>
                                </a:lnTo>
                                <a:lnTo>
                                  <a:pt x="164736" y="698454"/>
                                </a:lnTo>
                                <a:lnTo>
                                  <a:pt x="129065" y="670371"/>
                                </a:lnTo>
                                <a:lnTo>
                                  <a:pt x="96982" y="638347"/>
                                </a:lnTo>
                                <a:lnTo>
                                  <a:pt x="68848" y="602741"/>
                                </a:lnTo>
                                <a:lnTo>
                                  <a:pt x="45022" y="563914"/>
                                </a:lnTo>
                                <a:lnTo>
                                  <a:pt x="25865" y="522224"/>
                                </a:lnTo>
                                <a:lnTo>
                                  <a:pt x="11735" y="478030"/>
                                </a:lnTo>
                                <a:lnTo>
                                  <a:pt x="2993" y="431693"/>
                                </a:lnTo>
                                <a:lnTo>
                                  <a:pt x="0" y="383571"/>
                                </a:lnTo>
                                <a:close/>
                              </a:path>
                            </a:pathLst>
                          </a:custGeom>
                          <a:ln w="15250">
                            <a:solidFill>
                              <a:srgbClr val="FFFFFF"/>
                            </a:solidFill>
                            <a:prstDash val="solid"/>
                          </a:ln>
                        </wps:spPr>
                        <wps:bodyPr wrap="square" lIns="0" tIns="0" rIns="0" bIns="0" rtlCol="0">
                          <a:prstTxWarp prst="textNoShape">
                            <a:avLst/>
                          </a:prstTxWarp>
                          <a:noAutofit/>
                        </wps:bodyPr>
                      </wps:wsp>
                      <pic:pic>
                        <pic:nvPicPr>
                          <pic:cNvPr id="187" name="Image 187"/>
                          <pic:cNvPicPr/>
                        </pic:nvPicPr>
                        <pic:blipFill>
                          <a:blip r:embed="rId83" cstate="print"/>
                          <a:stretch>
                            <a:fillRect/>
                          </a:stretch>
                        </pic:blipFill>
                        <pic:spPr>
                          <a:xfrm>
                            <a:off x="2559164" y="902468"/>
                            <a:ext cx="647423" cy="235699"/>
                          </a:xfrm>
                          <a:prstGeom prst="rect">
                            <a:avLst/>
                          </a:prstGeom>
                        </pic:spPr>
                      </pic:pic>
                      <pic:pic>
                        <pic:nvPicPr>
                          <pic:cNvPr id="188" name="Image 188"/>
                          <pic:cNvPicPr/>
                        </pic:nvPicPr>
                        <pic:blipFill>
                          <a:blip r:embed="rId84" cstate="print"/>
                          <a:stretch>
                            <a:fillRect/>
                          </a:stretch>
                        </pic:blipFill>
                        <pic:spPr>
                          <a:xfrm>
                            <a:off x="3001854" y="408665"/>
                            <a:ext cx="307997" cy="235699"/>
                          </a:xfrm>
                          <a:prstGeom prst="rect">
                            <a:avLst/>
                          </a:prstGeom>
                        </pic:spPr>
                      </pic:pic>
                      <pic:pic>
                        <pic:nvPicPr>
                          <pic:cNvPr id="189" name="Image 189"/>
                          <pic:cNvPicPr/>
                        </pic:nvPicPr>
                        <pic:blipFill>
                          <a:blip r:embed="rId85" cstate="print"/>
                          <a:stretch>
                            <a:fillRect/>
                          </a:stretch>
                        </pic:blipFill>
                        <pic:spPr>
                          <a:xfrm>
                            <a:off x="3167975" y="408665"/>
                            <a:ext cx="226283" cy="235699"/>
                          </a:xfrm>
                          <a:prstGeom prst="rect">
                            <a:avLst/>
                          </a:prstGeom>
                        </pic:spPr>
                      </pic:pic>
                      <pic:pic>
                        <pic:nvPicPr>
                          <pic:cNvPr id="190" name="Image 190"/>
                          <pic:cNvPicPr/>
                        </pic:nvPicPr>
                        <pic:blipFill>
                          <a:blip r:embed="rId86" cstate="print"/>
                          <a:stretch>
                            <a:fillRect/>
                          </a:stretch>
                        </pic:blipFill>
                        <pic:spPr>
                          <a:xfrm>
                            <a:off x="3278423" y="408665"/>
                            <a:ext cx="312487" cy="235699"/>
                          </a:xfrm>
                          <a:prstGeom prst="rect">
                            <a:avLst/>
                          </a:prstGeom>
                        </pic:spPr>
                      </pic:pic>
                      <pic:pic>
                        <pic:nvPicPr>
                          <pic:cNvPr id="191" name="Image 191"/>
                          <pic:cNvPicPr/>
                        </pic:nvPicPr>
                        <pic:blipFill>
                          <a:blip r:embed="rId87" cstate="print"/>
                          <a:stretch>
                            <a:fillRect/>
                          </a:stretch>
                        </pic:blipFill>
                        <pic:spPr>
                          <a:xfrm>
                            <a:off x="3480463" y="809264"/>
                            <a:ext cx="428323" cy="235699"/>
                          </a:xfrm>
                          <a:prstGeom prst="rect">
                            <a:avLst/>
                          </a:prstGeom>
                        </pic:spPr>
                      </pic:pic>
                      <pic:pic>
                        <pic:nvPicPr>
                          <pic:cNvPr id="192" name="Image 192"/>
                          <pic:cNvPicPr/>
                        </pic:nvPicPr>
                        <pic:blipFill>
                          <a:blip r:embed="rId88" cstate="print"/>
                          <a:stretch>
                            <a:fillRect/>
                          </a:stretch>
                        </pic:blipFill>
                        <pic:spPr>
                          <a:xfrm>
                            <a:off x="3766909" y="809264"/>
                            <a:ext cx="226283" cy="235699"/>
                          </a:xfrm>
                          <a:prstGeom prst="rect">
                            <a:avLst/>
                          </a:prstGeom>
                        </pic:spPr>
                      </pic:pic>
                      <pic:pic>
                        <pic:nvPicPr>
                          <pic:cNvPr id="193" name="Image 193"/>
                          <pic:cNvPicPr/>
                        </pic:nvPicPr>
                        <pic:blipFill>
                          <a:blip r:embed="rId89" cstate="print"/>
                          <a:stretch>
                            <a:fillRect/>
                          </a:stretch>
                        </pic:blipFill>
                        <pic:spPr>
                          <a:xfrm>
                            <a:off x="3480463" y="935627"/>
                            <a:ext cx="629464" cy="235699"/>
                          </a:xfrm>
                          <a:prstGeom prst="rect">
                            <a:avLst/>
                          </a:prstGeom>
                        </pic:spPr>
                      </pic:pic>
                      <pic:pic>
                        <pic:nvPicPr>
                          <pic:cNvPr id="194" name="Image 194"/>
                          <pic:cNvPicPr/>
                        </pic:nvPicPr>
                        <pic:blipFill>
                          <a:blip r:embed="rId90" cstate="print"/>
                          <a:stretch>
                            <a:fillRect/>
                          </a:stretch>
                        </pic:blipFill>
                        <pic:spPr>
                          <a:xfrm>
                            <a:off x="2903079" y="1365839"/>
                            <a:ext cx="883585" cy="235699"/>
                          </a:xfrm>
                          <a:prstGeom prst="rect">
                            <a:avLst/>
                          </a:prstGeom>
                        </pic:spPr>
                      </pic:pic>
                      <wps:wsp>
                        <wps:cNvPr id="195" name="Textbox 195"/>
                        <wps:cNvSpPr txBox="1"/>
                        <wps:spPr>
                          <a:xfrm>
                            <a:off x="465139" y="52169"/>
                            <a:ext cx="1341120" cy="134620"/>
                          </a:xfrm>
                          <a:prstGeom prst="rect">
                            <a:avLst/>
                          </a:prstGeom>
                        </wps:spPr>
                        <wps:txbx>
                          <w:txbxContent>
                            <w:p>
                              <w:pPr>
                                <w:tabs>
                                  <w:tab w:pos="536" w:val="left" w:leader="none"/>
                                  <w:tab w:pos="2091" w:val="left" w:leader="none"/>
                                </w:tabs>
                                <w:spacing w:line="201" w:lineRule="exact" w:before="0"/>
                                <w:ind w:left="0" w:right="0" w:firstLine="0"/>
                                <w:jc w:val="left"/>
                                <w:rPr>
                                  <w:b/>
                                  <w:sz w:val="18"/>
                                </w:rPr>
                              </w:pPr>
                              <w:r>
                                <w:rPr>
                                  <w:b/>
                                  <w:color w:val="000000"/>
                                  <w:sz w:val="18"/>
                                  <w:shd w:fill="DDD9C3" w:color="auto" w:val="clear"/>
                                </w:rPr>
                                <w:tab/>
                              </w:r>
                              <w:r>
                                <w:rPr>
                                  <w:b/>
                                  <w:color w:val="000000"/>
                                  <w:spacing w:val="-2"/>
                                  <w:w w:val="105"/>
                                  <w:sz w:val="18"/>
                                  <w:shd w:fill="DDD9C3" w:color="auto" w:val="clear"/>
                                </w:rPr>
                                <w:t>ENABLERS</w:t>
                              </w:r>
                              <w:r>
                                <w:rPr>
                                  <w:b/>
                                  <w:color w:val="000000"/>
                                  <w:sz w:val="18"/>
                                  <w:shd w:fill="DDD9C3" w:color="auto" w:val="clear"/>
                                </w:rPr>
                                <w:tab/>
                              </w:r>
                            </w:p>
                          </w:txbxContent>
                        </wps:txbx>
                        <wps:bodyPr wrap="square" lIns="0" tIns="0" rIns="0" bIns="0" rtlCol="0">
                          <a:noAutofit/>
                        </wps:bodyPr>
                      </wps:wsp>
                      <wps:wsp>
                        <wps:cNvPr id="196" name="Textbox 196"/>
                        <wps:cNvSpPr txBox="1"/>
                        <wps:spPr>
                          <a:xfrm>
                            <a:off x="2452307" y="36186"/>
                            <a:ext cx="1496695" cy="134620"/>
                          </a:xfrm>
                          <a:prstGeom prst="rect">
                            <a:avLst/>
                          </a:prstGeom>
                        </wps:spPr>
                        <wps:txbx>
                          <w:txbxContent>
                            <w:p>
                              <w:pPr>
                                <w:tabs>
                                  <w:tab w:pos="2336" w:val="left" w:leader="none"/>
                                </w:tabs>
                                <w:spacing w:line="201" w:lineRule="exact" w:before="0"/>
                                <w:ind w:left="0" w:right="0" w:firstLine="0"/>
                                <w:jc w:val="left"/>
                                <w:rPr>
                                  <w:b/>
                                  <w:sz w:val="18"/>
                                </w:rPr>
                              </w:pPr>
                              <w:r>
                                <w:rPr>
                                  <w:b/>
                                  <w:color w:val="000000"/>
                                  <w:spacing w:val="50"/>
                                  <w:w w:val="105"/>
                                  <w:sz w:val="18"/>
                                  <w:shd w:fill="DDD9C3" w:color="auto" w:val="clear"/>
                                </w:rPr>
                                <w:t>  </w:t>
                              </w:r>
                              <w:r>
                                <w:rPr>
                                  <w:b/>
                                  <w:color w:val="000000"/>
                                  <w:w w:val="105"/>
                                  <w:sz w:val="18"/>
                                  <w:shd w:fill="DDD9C3" w:color="auto" w:val="clear"/>
                                </w:rPr>
                                <w:t>ECONOMIC</w:t>
                              </w:r>
                              <w:r>
                                <w:rPr>
                                  <w:b/>
                                  <w:color w:val="000000"/>
                                  <w:spacing w:val="1"/>
                                  <w:w w:val="110"/>
                                  <w:sz w:val="18"/>
                                  <w:shd w:fill="DDD9C3" w:color="auto" w:val="clear"/>
                                </w:rPr>
                                <w:t> </w:t>
                              </w:r>
                              <w:r>
                                <w:rPr>
                                  <w:b/>
                                  <w:color w:val="000000"/>
                                  <w:spacing w:val="-2"/>
                                  <w:w w:val="110"/>
                                  <w:sz w:val="18"/>
                                  <w:shd w:fill="DDD9C3" w:color="auto" w:val="clear"/>
                                </w:rPr>
                                <w:t>ENGINE</w:t>
                              </w:r>
                              <w:r>
                                <w:rPr>
                                  <w:b/>
                                  <w:color w:val="000000"/>
                                  <w:sz w:val="18"/>
                                  <w:shd w:fill="DDD9C3" w:color="auto" w:val="clear"/>
                                </w:rPr>
                                <w:tab/>
                              </w:r>
                            </w:p>
                          </w:txbxContent>
                        </wps:txbx>
                        <wps:bodyPr wrap="square" lIns="0" tIns="0" rIns="0" bIns="0" rtlCol="0">
                          <a:noAutofit/>
                        </wps:bodyPr>
                      </wps:wsp>
                      <wps:wsp>
                        <wps:cNvPr id="197" name="Textbox 197"/>
                        <wps:cNvSpPr txBox="1"/>
                        <wps:spPr>
                          <a:xfrm>
                            <a:off x="4341599" y="52169"/>
                            <a:ext cx="1167130" cy="134620"/>
                          </a:xfrm>
                          <a:prstGeom prst="rect">
                            <a:avLst/>
                          </a:prstGeom>
                        </wps:spPr>
                        <wps:txbx>
                          <w:txbxContent>
                            <w:p>
                              <w:pPr>
                                <w:tabs>
                                  <w:tab w:pos="363" w:val="left" w:leader="none"/>
                                  <w:tab w:pos="1817" w:val="left" w:leader="none"/>
                                </w:tabs>
                                <w:spacing w:line="201" w:lineRule="exact" w:before="0"/>
                                <w:ind w:left="0" w:right="0" w:firstLine="0"/>
                                <w:jc w:val="left"/>
                                <w:rPr>
                                  <w:b/>
                                  <w:sz w:val="18"/>
                                </w:rPr>
                              </w:pPr>
                              <w:r>
                                <w:rPr>
                                  <w:b/>
                                  <w:color w:val="000000"/>
                                  <w:sz w:val="18"/>
                                  <w:shd w:fill="DDD9C3" w:color="auto" w:val="clear"/>
                                </w:rPr>
                                <w:tab/>
                              </w:r>
                              <w:r>
                                <w:rPr>
                                  <w:b/>
                                  <w:color w:val="000000"/>
                                  <w:spacing w:val="-2"/>
                                  <w:w w:val="105"/>
                                  <w:sz w:val="18"/>
                                  <w:shd w:fill="DDD9C3" w:color="auto" w:val="clear"/>
                                </w:rPr>
                                <w:t>OUTCOMES</w:t>
                              </w:r>
                              <w:r>
                                <w:rPr>
                                  <w:b/>
                                  <w:color w:val="000000"/>
                                  <w:sz w:val="18"/>
                                  <w:shd w:fill="DDD9C3" w:color="auto" w:val="clear"/>
                                </w:rPr>
                                <w:tab/>
                              </w:r>
                            </w:p>
                          </w:txbxContent>
                        </wps:txbx>
                        <wps:bodyPr wrap="square" lIns="0" tIns="0" rIns="0" bIns="0" rtlCol="0">
                          <a:noAutofit/>
                        </wps:bodyPr>
                      </wps:wsp>
                      <wps:wsp>
                        <wps:cNvPr id="198" name="Textbox 198"/>
                        <wps:cNvSpPr txBox="1"/>
                        <wps:spPr>
                          <a:xfrm>
                            <a:off x="3068677" y="444088"/>
                            <a:ext cx="460375" cy="124460"/>
                          </a:xfrm>
                          <a:prstGeom prst="rect">
                            <a:avLst/>
                          </a:prstGeom>
                        </wps:spPr>
                        <wps:txbx>
                          <w:txbxContent>
                            <w:p>
                              <w:pPr>
                                <w:spacing w:line="186" w:lineRule="exact" w:before="0"/>
                                <w:ind w:left="0" w:right="0" w:firstLine="0"/>
                                <w:jc w:val="left"/>
                                <w:rPr>
                                  <w:b/>
                                  <w:sz w:val="16"/>
                                </w:rPr>
                              </w:pPr>
                              <w:r>
                                <w:rPr>
                                  <w:b/>
                                  <w:sz w:val="16"/>
                                </w:rPr>
                                <w:t>Oil</w:t>
                              </w:r>
                              <w:r>
                                <w:rPr>
                                  <w:b/>
                                  <w:spacing w:val="7"/>
                                  <w:sz w:val="16"/>
                                </w:rPr>
                                <w:t> </w:t>
                              </w:r>
                              <w:r>
                                <w:rPr>
                                  <w:rFonts w:ascii="Arial"/>
                                  <w:b/>
                                  <w:i/>
                                  <w:sz w:val="17"/>
                                </w:rPr>
                                <w:t>&amp;</w:t>
                              </w:r>
                              <w:r>
                                <w:rPr>
                                  <w:rFonts w:ascii="Arial"/>
                                  <w:b/>
                                  <w:i/>
                                  <w:spacing w:val="1"/>
                                  <w:sz w:val="17"/>
                                </w:rPr>
                                <w:t> </w:t>
                              </w:r>
                              <w:r>
                                <w:rPr>
                                  <w:b/>
                                  <w:spacing w:val="-5"/>
                                  <w:sz w:val="16"/>
                                </w:rPr>
                                <w:t>Gas</w:t>
                              </w:r>
                            </w:p>
                          </w:txbxContent>
                        </wps:txbx>
                        <wps:bodyPr wrap="square" lIns="0" tIns="0" rIns="0" bIns="0" rtlCol="0">
                          <a:noAutofit/>
                        </wps:bodyPr>
                      </wps:wsp>
                      <wps:wsp>
                        <wps:cNvPr id="199" name="Textbox 199"/>
                        <wps:cNvSpPr txBox="1"/>
                        <wps:spPr>
                          <a:xfrm>
                            <a:off x="2613286" y="930093"/>
                            <a:ext cx="543560" cy="144145"/>
                          </a:xfrm>
                          <a:prstGeom prst="rect">
                            <a:avLst/>
                          </a:prstGeom>
                        </wps:spPr>
                        <wps:txbx>
                          <w:txbxContent>
                            <w:p>
                              <w:pPr>
                                <w:spacing w:before="13"/>
                                <w:ind w:left="20" w:right="0" w:firstLine="0"/>
                                <w:jc w:val="left"/>
                                <w:rPr>
                                  <w:b/>
                                  <w:sz w:val="16"/>
                                </w:rPr>
                              </w:pPr>
                              <w:r>
                                <w:rPr>
                                  <w:b/>
                                  <w:spacing w:val="-2"/>
                                  <w:sz w:val="16"/>
                                </w:rPr>
                                <w:t>Agriculture</w:t>
                              </w:r>
                            </w:p>
                          </w:txbxContent>
                        </wps:txbx>
                        <wps:bodyPr wrap="square" lIns="0" tIns="0" rIns="0" bIns="0" rtlCol="0">
                          <a:noAutofit/>
                        </wps:bodyPr>
                      </wps:wsp>
                      <wps:wsp>
                        <wps:cNvPr id="200" name="Textbox 200"/>
                        <wps:cNvSpPr txBox="1"/>
                        <wps:spPr>
                          <a:xfrm>
                            <a:off x="3534735" y="831825"/>
                            <a:ext cx="535305" cy="274955"/>
                          </a:xfrm>
                          <a:prstGeom prst="rect">
                            <a:avLst/>
                          </a:prstGeom>
                        </wps:spPr>
                        <wps:txbx>
                          <w:txbxContent>
                            <w:p>
                              <w:pPr>
                                <w:spacing w:before="11"/>
                                <w:ind w:left="20" w:right="0" w:firstLine="0"/>
                                <w:jc w:val="left"/>
                                <w:rPr>
                                  <w:rFonts w:ascii="Arial"/>
                                  <w:b/>
                                  <w:i/>
                                  <w:sz w:val="17"/>
                                </w:rPr>
                              </w:pPr>
                              <w:r>
                                <w:rPr>
                                  <w:b/>
                                  <w:spacing w:val="-2"/>
                                  <w:sz w:val="16"/>
                                </w:rPr>
                                <w:t>Trade</w:t>
                              </w:r>
                              <w:r>
                                <w:rPr>
                                  <w:b/>
                                  <w:spacing w:val="-1"/>
                                  <w:sz w:val="16"/>
                                </w:rPr>
                                <w:t> </w:t>
                              </w:r>
                              <w:r>
                                <w:rPr>
                                  <w:rFonts w:ascii="Arial"/>
                                  <w:b/>
                                  <w:i/>
                                  <w:spacing w:val="-10"/>
                                  <w:sz w:val="17"/>
                                </w:rPr>
                                <w:t>&amp;</w:t>
                              </w:r>
                            </w:p>
                            <w:p>
                              <w:pPr>
                                <w:spacing w:before="13"/>
                                <w:ind w:left="20" w:right="0" w:firstLine="0"/>
                                <w:jc w:val="left"/>
                                <w:rPr>
                                  <w:b/>
                                  <w:sz w:val="16"/>
                                </w:rPr>
                              </w:pPr>
                              <w:r>
                                <w:rPr>
                                  <w:b/>
                                  <w:spacing w:val="-2"/>
                                  <w:sz w:val="16"/>
                                </w:rPr>
                                <w:t>Commerce</w:t>
                              </w:r>
                            </w:p>
                          </w:txbxContent>
                        </wps:txbx>
                        <wps:bodyPr wrap="square" lIns="0" tIns="0" rIns="0" bIns="0" rtlCol="0">
                          <a:noAutofit/>
                        </wps:bodyPr>
                      </wps:wsp>
                      <wps:wsp>
                        <wps:cNvPr id="201" name="Textbox 201"/>
                        <wps:cNvSpPr txBox="1"/>
                        <wps:spPr>
                          <a:xfrm>
                            <a:off x="2956454" y="1393618"/>
                            <a:ext cx="779145" cy="143510"/>
                          </a:xfrm>
                          <a:prstGeom prst="rect">
                            <a:avLst/>
                          </a:prstGeom>
                        </wps:spPr>
                        <wps:txbx>
                          <w:txbxContent>
                            <w:p>
                              <w:pPr>
                                <w:spacing w:before="13"/>
                                <w:ind w:left="20" w:right="0" w:firstLine="0"/>
                                <w:jc w:val="left"/>
                                <w:rPr>
                                  <w:b/>
                                  <w:sz w:val="16"/>
                                </w:rPr>
                              </w:pPr>
                              <w:r>
                                <w:rPr>
                                  <w:b/>
                                  <w:spacing w:val="-2"/>
                                  <w:sz w:val="16"/>
                                </w:rPr>
                                <w:t>Industrialization</w:t>
                              </w:r>
                            </w:p>
                          </w:txbxContent>
                        </wps:txbx>
                        <wps:bodyPr wrap="square" lIns="0" tIns="0" rIns="0" bIns="0" rtlCol="0">
                          <a:noAutofit/>
                        </wps:bodyPr>
                      </wps:wsp>
                      <wps:wsp>
                        <wps:cNvPr id="202" name="Textbox 202"/>
                        <wps:cNvSpPr txBox="1"/>
                        <wps:spPr>
                          <a:xfrm>
                            <a:off x="708484" y="1580925"/>
                            <a:ext cx="1433830" cy="367030"/>
                          </a:xfrm>
                          <a:prstGeom prst="rect">
                            <a:avLst/>
                          </a:prstGeom>
                        </wps:spPr>
                        <wps:txbx>
                          <w:txbxContent>
                            <w:p>
                              <w:pPr>
                                <w:spacing w:before="69"/>
                                <w:ind w:left="1259" w:right="0" w:firstLine="0"/>
                                <w:jc w:val="center"/>
                                <w:rPr>
                                  <w:b/>
                                  <w:sz w:val="18"/>
                                </w:rPr>
                              </w:pPr>
                              <w:r>
                                <w:rPr>
                                  <w:b/>
                                  <w:sz w:val="18"/>
                                </w:rPr>
                                <w:t>Youths</w:t>
                              </w:r>
                              <w:r>
                                <w:rPr>
                                  <w:b/>
                                  <w:spacing w:val="-2"/>
                                  <w:sz w:val="18"/>
                                </w:rPr>
                                <w:t> </w:t>
                              </w:r>
                              <w:r>
                                <w:rPr>
                                  <w:b/>
                                  <w:spacing w:val="-10"/>
                                  <w:sz w:val="18"/>
                                </w:rPr>
                                <w:t>&amp;</w:t>
                              </w:r>
                            </w:p>
                            <w:p>
                              <w:pPr>
                                <w:spacing w:before="20"/>
                                <w:ind w:left="1259" w:right="0" w:firstLine="0"/>
                                <w:jc w:val="center"/>
                                <w:rPr>
                                  <w:b/>
                                  <w:sz w:val="18"/>
                                </w:rPr>
                              </w:pPr>
                              <w:r>
                                <w:rPr>
                                  <w:b/>
                                  <w:spacing w:val="-2"/>
                                  <w:sz w:val="18"/>
                                </w:rPr>
                                <w:t>Sports</w:t>
                              </w:r>
                            </w:p>
                          </w:txbxContent>
                        </wps:txbx>
                        <wps:bodyPr wrap="square" lIns="0" tIns="0" rIns="0" bIns="0" rtlCol="0">
                          <a:noAutofit/>
                        </wps:bodyPr>
                      </wps:wsp>
                      <wps:wsp>
                        <wps:cNvPr id="203" name="Textbox 203"/>
                        <wps:cNvSpPr txBox="1"/>
                        <wps:spPr>
                          <a:xfrm>
                            <a:off x="0" y="1580925"/>
                            <a:ext cx="1450340" cy="367030"/>
                          </a:xfrm>
                          <a:prstGeom prst="rect">
                            <a:avLst/>
                          </a:prstGeom>
                        </wps:spPr>
                        <wps:txbx>
                          <w:txbxContent>
                            <w:p>
                              <w:pPr>
                                <w:tabs>
                                  <w:tab w:pos="1210" w:val="left" w:leader="none"/>
                                </w:tabs>
                                <w:spacing w:line="158" w:lineRule="auto" w:before="109"/>
                                <w:ind w:left="115" w:right="0" w:firstLine="0"/>
                                <w:jc w:val="left"/>
                                <w:rPr>
                                  <w:b/>
                                  <w:sz w:val="16"/>
                                </w:rPr>
                              </w:pPr>
                              <w:r>
                                <w:rPr>
                                  <w:b/>
                                  <w:spacing w:val="-2"/>
                                  <w:position w:val="-10"/>
                                  <w:sz w:val="17"/>
                                </w:rPr>
                                <w:t>Healthcare</w:t>
                              </w:r>
                              <w:r>
                                <w:rPr>
                                  <w:b/>
                                  <w:position w:val="-10"/>
                                  <w:sz w:val="17"/>
                                </w:rPr>
                                <w:tab/>
                              </w:r>
                              <w:r>
                                <w:rPr>
                                  <w:b/>
                                  <w:sz w:val="16"/>
                                </w:rPr>
                                <w:t>Civil</w:t>
                              </w:r>
                              <w:r>
                                <w:rPr>
                                  <w:b/>
                                  <w:spacing w:val="-7"/>
                                  <w:sz w:val="16"/>
                                </w:rPr>
                                <w:t> </w:t>
                              </w:r>
                              <w:r>
                                <w:rPr>
                                  <w:b/>
                                  <w:sz w:val="16"/>
                                </w:rPr>
                                <w:t>&amp;</w:t>
                              </w:r>
                              <w:r>
                                <w:rPr>
                                  <w:b/>
                                  <w:spacing w:val="-6"/>
                                  <w:sz w:val="16"/>
                                </w:rPr>
                                <w:t> </w:t>
                              </w:r>
                              <w:r>
                                <w:rPr>
                                  <w:b/>
                                  <w:spacing w:val="-2"/>
                                  <w:sz w:val="16"/>
                                </w:rPr>
                                <w:t>Social</w:t>
                              </w:r>
                            </w:p>
                            <w:p>
                              <w:pPr>
                                <w:spacing w:line="135" w:lineRule="exact" w:before="0"/>
                                <w:ind w:left="1199" w:right="0" w:firstLine="0"/>
                                <w:jc w:val="left"/>
                                <w:rPr>
                                  <w:b/>
                                  <w:sz w:val="16"/>
                                </w:rPr>
                              </w:pPr>
                              <w:r>
                                <w:rPr>
                                  <w:b/>
                                  <w:spacing w:val="-2"/>
                                  <w:sz w:val="16"/>
                                </w:rPr>
                                <w:t>Infrastructure</w:t>
                              </w:r>
                            </w:p>
                          </w:txbxContent>
                        </wps:txbx>
                        <wps:bodyPr wrap="square" lIns="0" tIns="0" rIns="0" bIns="0" rtlCol="0">
                          <a:noAutofit/>
                        </wps:bodyPr>
                      </wps:wsp>
                      <wps:wsp>
                        <wps:cNvPr id="204" name="Textbox 204"/>
                        <wps:cNvSpPr txBox="1"/>
                        <wps:spPr>
                          <a:xfrm>
                            <a:off x="708484" y="1081726"/>
                            <a:ext cx="1433830" cy="459105"/>
                          </a:xfrm>
                          <a:prstGeom prst="rect">
                            <a:avLst/>
                          </a:prstGeom>
                        </wps:spPr>
                        <wps:txbx>
                          <w:txbxContent>
                            <w:p>
                              <w:pPr>
                                <w:spacing w:before="174"/>
                                <w:ind w:left="1259" w:right="0" w:firstLine="0"/>
                                <w:jc w:val="center"/>
                                <w:rPr>
                                  <w:b/>
                                  <w:sz w:val="17"/>
                                </w:rPr>
                              </w:pPr>
                              <w:r>
                                <w:rPr>
                                  <w:b/>
                                  <w:spacing w:val="-2"/>
                                  <w:sz w:val="17"/>
                                </w:rPr>
                                <w:t>Power</w:t>
                              </w:r>
                            </w:p>
                            <w:p>
                              <w:pPr>
                                <w:spacing w:before="18"/>
                                <w:ind w:left="1259" w:right="0" w:firstLine="0"/>
                                <w:jc w:val="center"/>
                                <w:rPr>
                                  <w:b/>
                                  <w:sz w:val="17"/>
                                </w:rPr>
                              </w:pPr>
                              <w:r>
                                <w:rPr>
                                  <w:b/>
                                  <w:spacing w:val="-2"/>
                                  <w:sz w:val="17"/>
                                </w:rPr>
                                <w:t>Generation</w:t>
                              </w:r>
                            </w:p>
                          </w:txbxContent>
                        </wps:txbx>
                        <wps:bodyPr wrap="square" lIns="0" tIns="0" rIns="0" bIns="0" rtlCol="0">
                          <a:noAutofit/>
                        </wps:bodyPr>
                      </wps:wsp>
                      <wps:wsp>
                        <wps:cNvPr id="205" name="Textbox 205"/>
                        <wps:cNvSpPr txBox="1"/>
                        <wps:spPr>
                          <a:xfrm>
                            <a:off x="0" y="1081726"/>
                            <a:ext cx="1450340" cy="459105"/>
                          </a:xfrm>
                          <a:prstGeom prst="rect">
                            <a:avLst/>
                          </a:prstGeom>
                        </wps:spPr>
                        <wps:txbx>
                          <w:txbxContent>
                            <w:p>
                              <w:pPr>
                                <w:spacing w:before="87"/>
                                <w:ind w:left="1291" w:right="0" w:firstLine="0"/>
                                <w:jc w:val="left"/>
                                <w:rPr>
                                  <w:b/>
                                  <w:sz w:val="16"/>
                                </w:rPr>
                              </w:pPr>
                              <w:r>
                                <w:rPr>
                                  <w:b/>
                                  <w:w w:val="105"/>
                                  <w:sz w:val="16"/>
                                </w:rPr>
                                <w:t>Housing</w:t>
                              </w:r>
                              <w:r>
                                <w:rPr>
                                  <w:b/>
                                  <w:spacing w:val="13"/>
                                  <w:w w:val="105"/>
                                  <w:sz w:val="16"/>
                                </w:rPr>
                                <w:t> </w:t>
                              </w:r>
                              <w:r>
                                <w:rPr>
                                  <w:b/>
                                  <w:spacing w:val="-10"/>
                                  <w:w w:val="105"/>
                                  <w:sz w:val="16"/>
                                </w:rPr>
                                <w:t>&amp;</w:t>
                              </w:r>
                            </w:p>
                            <w:p>
                              <w:pPr>
                                <w:tabs>
                                  <w:tab w:pos="1463" w:val="left" w:leader="none"/>
                                </w:tabs>
                                <w:spacing w:before="6"/>
                                <w:ind w:left="1216" w:right="125" w:hanging="1003"/>
                                <w:jc w:val="left"/>
                                <w:rPr>
                                  <w:b/>
                                  <w:sz w:val="16"/>
                                </w:rPr>
                              </w:pPr>
                              <w:r>
                                <w:rPr>
                                  <w:b/>
                                  <w:spacing w:val="-2"/>
                                  <w:sz w:val="18"/>
                                </w:rPr>
                                <w:t>Security</w:t>
                              </w:r>
                              <w:r>
                                <w:rPr>
                                  <w:b/>
                                  <w:sz w:val="18"/>
                                </w:rPr>
                                <w:tab/>
                                <w:tab/>
                              </w:r>
                              <w:r>
                                <w:rPr>
                                  <w:b/>
                                  <w:spacing w:val="-2"/>
                                  <w:position w:val="1"/>
                                  <w:sz w:val="16"/>
                                </w:rPr>
                                <w:t>Urban</w:t>
                              </w:r>
                              <w:r>
                                <w:rPr>
                                  <w:b/>
                                  <w:spacing w:val="40"/>
                                  <w:position w:val="1"/>
                                  <w:sz w:val="16"/>
                                </w:rPr>
                                <w:t> </w:t>
                              </w:r>
                              <w:r>
                                <w:rPr>
                                  <w:b/>
                                  <w:spacing w:val="-2"/>
                                  <w:sz w:val="16"/>
                                </w:rPr>
                                <w:t>Development</w:t>
                              </w:r>
                            </w:p>
                          </w:txbxContent>
                        </wps:txbx>
                        <wps:bodyPr wrap="square" lIns="0" tIns="0" rIns="0" bIns="0" rtlCol="0">
                          <a:noAutofit/>
                        </wps:bodyPr>
                      </wps:wsp>
                      <wps:wsp>
                        <wps:cNvPr id="206" name="Textbox 206"/>
                        <wps:cNvSpPr txBox="1"/>
                        <wps:spPr>
                          <a:xfrm>
                            <a:off x="708484" y="687381"/>
                            <a:ext cx="1433830" cy="394970"/>
                          </a:xfrm>
                          <a:prstGeom prst="rect">
                            <a:avLst/>
                          </a:prstGeom>
                        </wps:spPr>
                        <wps:txbx>
                          <w:txbxContent>
                            <w:p>
                              <w:pPr>
                                <w:spacing w:line="264" w:lineRule="auto" w:before="71"/>
                                <w:ind w:left="1356" w:right="0" w:firstLine="73"/>
                                <w:jc w:val="left"/>
                                <w:rPr>
                                  <w:b/>
                                  <w:sz w:val="18"/>
                                </w:rPr>
                              </w:pPr>
                              <w:r>
                                <w:rPr>
                                  <w:b/>
                                  <w:sz w:val="18"/>
                                </w:rPr>
                                <w:t>Water &amp; </w:t>
                              </w:r>
                              <w:r>
                                <w:rPr>
                                  <w:b/>
                                  <w:spacing w:val="-2"/>
                                  <w:sz w:val="18"/>
                                </w:rPr>
                                <w:t>Sanitation</w:t>
                              </w:r>
                            </w:p>
                          </w:txbxContent>
                        </wps:txbx>
                        <wps:bodyPr wrap="square" lIns="0" tIns="0" rIns="0" bIns="0" rtlCol="0">
                          <a:noAutofit/>
                        </wps:bodyPr>
                      </wps:wsp>
                      <wps:wsp>
                        <wps:cNvPr id="207" name="Textbox 207"/>
                        <wps:cNvSpPr txBox="1"/>
                        <wps:spPr>
                          <a:xfrm>
                            <a:off x="0" y="687381"/>
                            <a:ext cx="1450340" cy="394970"/>
                          </a:xfrm>
                          <a:prstGeom prst="rect">
                            <a:avLst/>
                          </a:prstGeom>
                        </wps:spPr>
                        <wps:txbx>
                          <w:txbxContent>
                            <w:p>
                              <w:pPr>
                                <w:tabs>
                                  <w:tab w:pos="1271" w:val="left" w:leader="none"/>
                                </w:tabs>
                                <w:spacing w:line="132" w:lineRule="auto" w:before="151"/>
                                <w:ind w:left="327" w:right="178" w:hanging="146"/>
                                <w:jc w:val="left"/>
                                <w:rPr>
                                  <w:b/>
                                  <w:sz w:val="18"/>
                                </w:rPr>
                              </w:pPr>
                              <w:r>
                                <w:rPr>
                                  <w:b/>
                                  <w:spacing w:val="-2"/>
                                  <w:w w:val="105"/>
                                  <w:position w:val="11"/>
                                  <w:sz w:val="18"/>
                                </w:rPr>
                                <w:t>Environ-</w:t>
                              </w:r>
                              <w:r>
                                <w:rPr>
                                  <w:b/>
                                  <w:position w:val="11"/>
                                  <w:sz w:val="18"/>
                                </w:rPr>
                                <w:tab/>
                              </w:r>
                              <w:r>
                                <w:rPr>
                                  <w:b/>
                                  <w:spacing w:val="-2"/>
                                  <w:w w:val="105"/>
                                  <w:sz w:val="18"/>
                                </w:rPr>
                                <w:t>Education </w:t>
                              </w:r>
                              <w:r>
                                <w:rPr>
                                  <w:b/>
                                  <w:spacing w:val="-4"/>
                                  <w:w w:val="105"/>
                                  <w:sz w:val="18"/>
                                </w:rPr>
                                <w:t>ment</w:t>
                              </w:r>
                            </w:p>
                          </w:txbxContent>
                        </wps:txbx>
                        <wps:bodyPr wrap="square" lIns="0" tIns="0" rIns="0" bIns="0" rtlCol="0">
                          <a:noAutofit/>
                        </wps:bodyPr>
                      </wps:wsp>
                      <wps:wsp>
                        <wps:cNvPr id="208" name="Textbox 208"/>
                        <wps:cNvSpPr txBox="1"/>
                        <wps:spPr>
                          <a:xfrm>
                            <a:off x="708484" y="274235"/>
                            <a:ext cx="1433830" cy="367665"/>
                          </a:xfrm>
                          <a:prstGeom prst="rect">
                            <a:avLst/>
                          </a:prstGeom>
                        </wps:spPr>
                        <wps:txbx>
                          <w:txbxContent>
                            <w:p>
                              <w:pPr>
                                <w:spacing w:line="254" w:lineRule="auto" w:before="71"/>
                                <w:ind w:left="1339" w:right="0" w:hanging="13"/>
                                <w:jc w:val="left"/>
                                <w:rPr>
                                  <w:b/>
                                  <w:sz w:val="18"/>
                                </w:rPr>
                              </w:pPr>
                              <w:r>
                                <w:rPr>
                                  <w:b/>
                                  <w:spacing w:val="-2"/>
                                  <w:sz w:val="18"/>
                                </w:rPr>
                                <w:t>Hospitality </w:t>
                              </w:r>
                              <w:r>
                                <w:rPr>
                                  <w:b/>
                                  <w:sz w:val="18"/>
                                </w:rPr>
                                <w:t>&amp;</w:t>
                              </w:r>
                              <w:r>
                                <w:rPr>
                                  <w:b/>
                                  <w:spacing w:val="-6"/>
                                  <w:sz w:val="18"/>
                                </w:rPr>
                                <w:t> </w:t>
                              </w:r>
                              <w:r>
                                <w:rPr>
                                  <w:b/>
                                  <w:spacing w:val="-2"/>
                                  <w:sz w:val="18"/>
                                </w:rPr>
                                <w:t>Tourism</w:t>
                              </w:r>
                            </w:p>
                          </w:txbxContent>
                        </wps:txbx>
                        <wps:bodyPr wrap="square" lIns="0" tIns="0" rIns="0" bIns="0" rtlCol="0">
                          <a:noAutofit/>
                        </wps:bodyPr>
                      </wps:wsp>
                      <wps:wsp>
                        <wps:cNvPr id="209" name="Textbox 209"/>
                        <wps:cNvSpPr txBox="1"/>
                        <wps:spPr>
                          <a:xfrm>
                            <a:off x="813021" y="322297"/>
                            <a:ext cx="549275" cy="278765"/>
                          </a:xfrm>
                          <a:prstGeom prst="rect">
                            <a:avLst/>
                          </a:prstGeom>
                        </wps:spPr>
                        <wps:txbx>
                          <w:txbxContent>
                            <w:p>
                              <w:pPr>
                                <w:spacing w:line="264" w:lineRule="auto" w:before="0"/>
                                <w:ind w:left="190" w:right="18" w:hanging="191"/>
                                <w:jc w:val="left"/>
                                <w:rPr>
                                  <w:b/>
                                  <w:sz w:val="18"/>
                                </w:rPr>
                              </w:pPr>
                              <w:r>
                                <w:rPr>
                                  <w:b/>
                                  <w:spacing w:val="-2"/>
                                  <w:sz w:val="18"/>
                                </w:rPr>
                                <w:t>Transpor-- tation</w:t>
                              </w:r>
                            </w:p>
                          </w:txbxContent>
                        </wps:txbx>
                        <wps:bodyPr wrap="square" lIns="0" tIns="0" rIns="0" bIns="0" rtlCol="0">
                          <a:noAutofit/>
                        </wps:bodyPr>
                      </wps:wsp>
                      <wps:wsp>
                        <wps:cNvPr id="210" name="Textbox 210"/>
                        <wps:cNvSpPr txBox="1"/>
                        <wps:spPr>
                          <a:xfrm>
                            <a:off x="134513" y="394889"/>
                            <a:ext cx="420370" cy="134620"/>
                          </a:xfrm>
                          <a:prstGeom prst="rect">
                            <a:avLst/>
                          </a:prstGeom>
                        </wps:spPr>
                        <wps:txbx>
                          <w:txbxContent>
                            <w:p>
                              <w:pPr>
                                <w:spacing w:line="201" w:lineRule="exact" w:before="0"/>
                                <w:ind w:left="0" w:right="0" w:firstLine="0"/>
                                <w:jc w:val="left"/>
                                <w:rPr>
                                  <w:b/>
                                  <w:sz w:val="18"/>
                                </w:rPr>
                              </w:pPr>
                              <w:r>
                                <w:rPr>
                                  <w:b/>
                                  <w:spacing w:val="-2"/>
                                  <w:w w:val="105"/>
                                  <w:sz w:val="18"/>
                                </w:rPr>
                                <w:t>Finance</w:t>
                              </w:r>
                            </w:p>
                          </w:txbxContent>
                        </wps:txbx>
                        <wps:bodyPr wrap="square" lIns="0" tIns="0" rIns="0" bIns="0" rtlCol="0">
                          <a:noAutofit/>
                        </wps:bodyPr>
                      </wps:wsp>
                    </wpg:wgp>
                  </a:graphicData>
                </a:graphic>
              </wp:anchor>
            </w:drawing>
          </mc:Choice>
          <mc:Fallback>
            <w:pict>
              <v:group style="position:absolute;margin-left:73.5pt;margin-top:235.276596pt;width:451.2pt;height:164.6pt;mso-position-horizontal-relative:page;mso-position-vertical-relative:paragraph;z-index:-25212928" id="docshapegroup127" coordorigin="1470,4706" coordsize="9024,3292">
                <v:shape style="position:absolute;left:7905;top:6337;width:321;height:157" id="docshape128" coordorigin="7905,6337" coordsize="321,157" path="m8225,6431l7905,6431,7905,6494,8225,6494,8225,6431xm8225,6337l7905,6337,7905,6400,8225,6400,8225,6337xe" filled="true" fillcolor="#4f81bc" stroked="false">
                  <v:path arrowok="t"/>
                  <v:fill type="solid"/>
                </v:shape>
                <v:shape style="position:absolute;left:1470;top:4709;width:9024;height:3283" id="docshape129" coordorigin="1470,4710" coordsize="9024,3283" path="m1470,5054l10494,5054m1470,4710l10494,4710m1470,7993l10494,7993e" filled="false" stroked="true" strokeweight=".423814pt" strokecolor="#497dba">
                  <v:path arrowok="t"/>
                  <v:stroke dashstyle="solid"/>
                </v:shape>
                <v:rect style="position:absolute;left:2570;top:6448;width:1174;height:684" id="docshape130" filled="true" fillcolor="#94b3d6" stroked="false">
                  <v:fill type="solid"/>
                </v:rect>
                <v:shape style="position:absolute;left:2656;top:6427;width:1065;height:380" type="#_x0000_t75" id="docshape131" stroked="false">
                  <v:imagedata r:id="rId60" o:title=""/>
                </v:shape>
                <v:shape style="position:absolute;left:2828;top:6625;width:719;height:380" type="#_x0000_t75" id="docshape132" stroked="false">
                  <v:imagedata r:id="rId61" o:title=""/>
                </v:shape>
                <v:shape style="position:absolute;left:2581;top:6824;width:1173;height:380" type="#_x0000_t75" id="docshape133" stroked="false">
                  <v:imagedata r:id="rId62" o:title=""/>
                </v:shape>
                <v:rect style="position:absolute;left:2570;top:7192;width:1174;height:581" id="docshape134" filled="true" fillcolor="#94b3d6" stroked="false">
                  <v:fill type="solid"/>
                </v:rect>
                <v:shape style="position:absolute;left:2575;top:7219;width:1227;height:380" type="#_x0000_t75" id="docshape135" stroked="false">
                  <v:imagedata r:id="rId63" o:title=""/>
                </v:shape>
                <v:shape style="position:absolute;left:2564;top:7418;width:1208;height:380" type="#_x0000_t75" id="docshape136" stroked="false">
                  <v:imagedata r:id="rId64" o:title=""/>
                </v:shape>
                <v:rect style="position:absolute;left:2570;top:5788;width:1174;height:582" id="docshape137" filled="true" fillcolor="#94b3d6" stroked="false">
                  <v:fill type="solid"/>
                </v:rect>
                <v:shape style="position:absolute;left:2621;top:5892;width:1094;height:432" type="#_x0000_t75" id="docshape138" stroked="false">
                  <v:imagedata r:id="rId65" o:title=""/>
                </v:shape>
                <v:rect style="position:absolute;left:1470;top:5137;width:1065;height:579" id="docshape139" filled="true" fillcolor="#94b3d6" stroked="false">
                  <v:fill type="solid"/>
                </v:rect>
                <v:shape style="position:absolute;left:1561;top:5240;width:904;height:432" type="#_x0000_t75" id="docshape140" stroked="false">
                  <v:imagedata r:id="rId66" o:title=""/>
                </v:shape>
                <v:rect style="position:absolute;left:2585;top:5137;width:1176;height:579" id="docshape141" filled="true" fillcolor="#94b3d6" stroked="false">
                  <v:fill type="solid"/>
                </v:rect>
                <v:shape style="position:absolute;left:2630;top:5126;width:983;height:432" type="#_x0000_t75" id="docshape142" stroked="false">
                  <v:imagedata r:id="rId67" o:title=""/>
                </v:shape>
                <v:shape style="position:absolute;left:3350;top:5126;width:388;height:432" type="#_x0000_t75" id="docshape143" stroked="false">
                  <v:imagedata r:id="rId68" o:title=""/>
                </v:shape>
                <v:shape style="position:absolute;left:2821;top:5353;width:726;height:432" type="#_x0000_t75" id="docshape144" stroked="false">
                  <v:imagedata r:id="rId69" o:title=""/>
                </v:shape>
                <v:rect style="position:absolute;left:1470;top:5788;width:1065;height:582" id="docshape145" filled="true" fillcolor="#94b3d6" stroked="false">
                  <v:fill type="solid"/>
                </v:rect>
                <v:shape style="position:absolute;left:1532;top:5778;width:903;height:432" type="#_x0000_t75" id="docshape146" stroked="false">
                  <v:imagedata r:id="rId70" o:title=""/>
                </v:shape>
                <v:shape style="position:absolute;left:2171;top:5778;width:326;height:432" type="#_x0000_t75" id="docshape147" stroked="false">
                  <v:imagedata r:id="rId71" o:title=""/>
                </v:shape>
                <v:shape style="position:absolute;left:1677;top:6005;width:672;height:432" type="#_x0000_t75" id="docshape148" stroked="false">
                  <v:imagedata r:id="rId72" o:title=""/>
                </v:shape>
                <v:rect style="position:absolute;left:1470;top:6448;width:1065;height:685" id="docshape149" filled="true" fillcolor="#ffc000" stroked="false">
                  <v:fill type="solid"/>
                </v:rect>
                <v:shape style="position:absolute;left:1563;top:6605;width:903;height:432" type="#_x0000_t75" id="docshape150" stroked="false">
                  <v:imagedata r:id="rId73" o:title=""/>
                </v:shape>
                <v:rect style="position:absolute;left:1470;top:7195;width:1065;height:578" id="docshape151" filled="true" fillcolor="#94b3d6" stroked="false">
                  <v:fill type="solid"/>
                </v:rect>
                <v:shape style="position:absolute;left:1474;top:7309;width:1081;height:404" type="#_x0000_t75" id="docshape152" stroked="false">
                  <v:imagedata r:id="rId74" o:title=""/>
                </v:shape>
                <v:rect style="position:absolute;left:3813;top:5788;width:1065;height:582" id="docshape153" filled="true" fillcolor="#94b3d6" stroked="false">
                  <v:fill type="solid"/>
                </v:rect>
                <v:shape style="position:absolute;left:3895;top:5778;width:969;height:432" type="#_x0000_t75" id="docshape154" stroked="false">
                  <v:imagedata r:id="rId75" o:title=""/>
                </v:shape>
                <v:shape style="position:absolute;left:3821;top:6005;width:1068;height:432" type="#_x0000_t75" id="docshape155" stroked="false">
                  <v:imagedata r:id="rId76" o:title=""/>
                </v:shape>
                <v:rect style="position:absolute;left:3813;top:6448;width:1065;height:685" id="docshape156" filled="true" fillcolor="#ffc000" stroked="false">
                  <v:fill type="solid"/>
                </v:rect>
                <v:shape style="position:absolute;left:3999;top:6509;width:754;height:406" type="#_x0000_t75" id="docshape157" stroked="false">
                  <v:imagedata r:id="rId77" o:title=""/>
                </v:shape>
                <v:shape style="position:absolute;left:3815;top:6722;width:1079;height:406" type="#_x0000_t75" id="docshape158" stroked="false">
                  <v:imagedata r:id="rId78" o:title=""/>
                </v:shape>
                <v:rect style="position:absolute;left:3813;top:5137;width:1065;height:579" id="docshape159" filled="true" fillcolor="#94b3d6" stroked="false">
                  <v:fill type="solid"/>
                </v:rect>
                <v:shape style="position:absolute;left:3796;top:5134;width:1170;height:420" type="#_x0000_t75" id="docshape160" stroked="false">
                  <v:imagedata r:id="rId79" o:title=""/>
                </v:shape>
                <v:shape style="position:absolute;left:3808;top:5354;width:1095;height:420" type="#_x0000_t75" id="docshape161" stroked="false">
                  <v:imagedata r:id="rId80" o:title=""/>
                </v:shape>
                <v:rect style="position:absolute;left:3813;top:7195;width:1065;height:578" id="docshape162" filled="true" fillcolor="#94b3d6" stroked="false">
                  <v:fill type="solid"/>
                </v:rect>
                <v:shape style="position:absolute;left:3848;top:7182;width:1062;height:432" type="#_x0000_t75" id="docshape163" stroked="false">
                  <v:imagedata r:id="rId81" o:title=""/>
                </v:shape>
                <v:shape style="position:absolute;left:3971;top:7409;width:768;height:432" type="#_x0000_t75" id="docshape164" stroked="false">
                  <v:imagedata r:id="rId82" o:title=""/>
                </v:shape>
                <v:shape style="position:absolute;left:6075;top:5155;width:1211;height:1209" id="docshape165" coordorigin="6075,5155" coordsize="1211,1209" path="m6680,5155l6604,5160,6531,5173,6461,5196,6396,5226,6334,5263,6278,5308,6228,5358,6183,5414,6146,5475,6116,5541,6093,5610,6080,5683,6075,5759,6080,5835,6093,5908,6116,5977,6146,6043,6183,6104,6228,6160,6278,6211,6334,6255,6396,6292,6461,6322,6531,6345,6604,6358,6680,6363,6756,6358,6829,6345,6899,6322,6965,6292,7026,6255,7082,6211,7133,6160,7177,6104,7215,6043,7245,5977,7267,5908,7281,5835,7285,5759,7281,5683,7267,5610,7245,5541,7215,5475,7177,5414,7133,5358,7082,5308,7026,5263,6965,5226,6899,5196,6829,5173,6756,5160,6680,5155xe" filled="true" fillcolor="#4aacc5" stroked="false">
                  <v:path arrowok="t"/>
                  <v:fill opacity="32896f" type="solid"/>
                </v:shape>
                <v:shape style="position:absolute;left:6610;top:5688;width:1210;height:1209" id="docshape166" coordorigin="6611,5689" coordsize="1210,1209" path="m7215,5689l7140,5693,7067,5707,6997,5729,6931,5759,6870,5797,6814,5841,6764,5891,6719,5947,6682,6009,6652,6074,6629,6144,6616,6217,6611,6293,6616,6368,6629,6441,6652,6511,6682,6577,6719,6638,6764,6694,6814,6744,6870,6788,6931,6826,6997,6856,7067,6878,7140,6892,7215,6897,7291,6892,7364,6878,7434,6856,7500,6826,7561,6788,7617,6744,7667,6694,7712,6638,7749,6577,7779,6511,7802,6441,7815,6368,7820,6293,7815,6217,7802,6144,7779,6074,7749,6009,7712,5947,7667,5891,7617,5841,7561,5797,7500,5759,7434,5729,7364,5707,7291,5693,7215,5689xe" filled="true" fillcolor="#4aacc5" stroked="false">
                  <v:path arrowok="t"/>
                  <v:fill opacity="32896f" type="solid"/>
                </v:shape>
                <v:shape style="position:absolute;left:6610;top:5688;width:1210;height:1209" id="docshape167" coordorigin="6611,5689" coordsize="1210,1209" path="m6611,6293l6616,6217,6629,6144,6652,6074,6682,6009,6719,5947,6764,5891,6814,5841,6870,5797,6931,5759,6997,5729,7067,5707,7140,5693,7215,5689,7291,5693,7364,5707,7434,5729,7500,5759,7561,5797,7617,5841,7667,5891,7712,5947,7749,6009,7779,6074,7802,6144,7815,6217,7820,6293,7815,6368,7802,6441,7779,6511,7749,6577,7712,6638,7667,6694,7617,6744,7561,6788,7500,6826,7434,6856,7364,6878,7291,6892,7215,6897,7140,6892,7067,6878,6997,6856,6931,6826,6870,6788,6814,6744,6764,6694,6719,6638,6682,6577,6652,6511,6629,6441,6616,6368,6611,6293xe" filled="false" stroked="true" strokeweight="1.200807pt" strokecolor="#ffffff">
                  <v:path arrowok="t"/>
                  <v:stroke dashstyle="solid"/>
                </v:shape>
                <v:shape style="position:absolute;left:6075;top:6223;width:1211;height:1207" id="docshape168" coordorigin="6075,6223" coordsize="1211,1207" path="m6680,6223l6604,6228,6531,6242,6461,6264,6396,6294,6334,6332,6278,6376,6228,6426,6183,6482,6146,6543,6116,6609,6093,6678,6080,6751,6075,6827,6080,6903,6093,6975,6116,7045,6146,7110,6183,7172,6228,7228,6278,7278,6334,7322,6396,7359,6461,7390,6531,7412,6604,7425,6680,7430,6756,7425,6829,7412,6899,7390,6965,7359,7026,7322,7082,7278,7133,7228,7177,7172,7215,7110,7245,7045,7267,6975,7281,6903,7285,6827,7281,6751,7267,6678,7245,6609,7215,6543,7177,6482,7133,6426,7082,6376,7026,6332,6965,6294,6899,6264,6829,6242,6756,6228,6680,6223xe" filled="true" fillcolor="#4aacc5" stroked="false">
                  <v:path arrowok="t"/>
                  <v:fill opacity="32896f" type="solid"/>
                </v:shape>
                <v:shape style="position:absolute;left:6075;top:6223;width:1211;height:1207" id="docshape169" coordorigin="6075,6223" coordsize="1211,1207" path="m6075,6827l6080,6751,6093,6678,6116,6609,6146,6543,6183,6482,6228,6426,6278,6376,6334,6332,6396,6294,6461,6264,6531,6242,6604,6228,6680,6223,6756,6228,6829,6242,6899,6264,6965,6294,7026,6332,7082,6376,7133,6426,7177,6482,7215,6543,7245,6609,7267,6678,7281,6751,7285,6827,7281,6903,7267,6975,7245,7045,7215,7110,7177,7172,7133,7228,7082,7278,7026,7322,6965,7359,6899,7390,6829,7412,6756,7425,6680,7430,6604,7425,6531,7412,6461,7390,6396,7359,6334,7322,6278,7278,6228,7228,6183,7172,6146,7110,6116,7045,6093,6975,6080,6903,6075,6827xe" filled="false" stroked="true" strokeweight="1.200804pt" strokecolor="#ffffff">
                  <v:path arrowok="t"/>
                  <v:stroke dashstyle="solid"/>
                </v:shape>
                <v:shape style="position:absolute;left:5540;top:5688;width:1211;height:1209" id="docshape170" coordorigin="5540,5689" coordsize="1211,1209" path="m6146,5689l6070,5693,5997,5707,5927,5729,5861,5759,5800,5797,5744,5841,5693,5891,5649,5947,5611,6009,5581,6074,5559,6144,5545,6217,5540,6293,5545,6368,5559,6441,5581,6511,5611,6577,5649,6638,5693,6694,5744,6744,5800,6788,5861,6826,5927,6856,5997,6878,6070,6892,6146,6897,6222,6892,6295,6878,6364,6856,6430,6826,6492,6788,6548,6744,6598,6694,6643,6638,6680,6577,6710,6511,6732,6441,6746,6368,6751,6293,6746,6217,6732,6144,6710,6074,6680,6009,6643,5947,6598,5891,6548,5841,6492,5797,6430,5759,6364,5729,6295,5707,6222,5693,6146,5689xe" filled="true" fillcolor="#4aacc5" stroked="false">
                  <v:path arrowok="t"/>
                  <v:fill opacity="32896f" type="solid"/>
                </v:shape>
                <v:shape style="position:absolute;left:5540;top:5688;width:1211;height:1209" id="docshape171" coordorigin="5540,5689" coordsize="1211,1209" path="m5540,6293l5545,6217,5559,6144,5581,6074,5611,6009,5649,5947,5693,5891,5744,5841,5800,5797,5861,5759,5927,5729,5997,5707,6070,5693,6146,5689,6222,5693,6295,5707,6364,5729,6430,5759,6492,5797,6548,5841,6598,5891,6643,5947,6680,6009,6710,6074,6732,6144,6746,6217,6751,6293,6746,6368,6732,6441,6710,6511,6680,6577,6643,6638,6598,6694,6548,6744,6492,6788,6430,6826,6364,6856,6295,6878,6222,6892,6146,6897,6070,6892,5997,6878,5927,6856,5861,6826,5800,6788,5744,6744,5693,6694,5649,6638,5611,6577,5581,6511,5559,6441,5545,6368,5540,6293xe" filled="false" stroked="true" strokeweight="1.200805pt" strokecolor="#ffffff">
                  <v:path arrowok="t"/>
                  <v:stroke dashstyle="solid"/>
                </v:shape>
                <v:shape style="position:absolute;left:5500;top:6126;width:1020;height:372" type="#_x0000_t75" id="docshape172" stroked="false">
                  <v:imagedata r:id="rId83" o:title=""/>
                </v:shape>
                <v:shape style="position:absolute;left:6197;top:5349;width:486;height:372" type="#_x0000_t75" id="docshape173" stroked="false">
                  <v:imagedata r:id="rId84" o:title=""/>
                </v:shape>
                <v:shape style="position:absolute;left:6458;top:5349;width:357;height:372" type="#_x0000_t75" id="docshape174" stroked="false">
                  <v:imagedata r:id="rId85" o:title=""/>
                </v:shape>
                <v:shape style="position:absolute;left:6632;top:5349;width:493;height:372" type="#_x0000_t75" id="docshape175" stroked="false">
                  <v:imagedata r:id="rId86" o:title=""/>
                </v:shape>
                <v:shape style="position:absolute;left:6951;top:5979;width:675;height:372" type="#_x0000_t75" id="docshape176" stroked="false">
                  <v:imagedata r:id="rId87" o:title=""/>
                </v:shape>
                <v:shape style="position:absolute;left:7402;top:5979;width:357;height:372" type="#_x0000_t75" id="docshape177" stroked="false">
                  <v:imagedata r:id="rId88" o:title=""/>
                </v:shape>
                <v:shape style="position:absolute;left:6951;top:6178;width:992;height:372" type="#_x0000_t75" id="docshape178" stroked="false">
                  <v:imagedata r:id="rId89" o:title=""/>
                </v:shape>
                <v:shape style="position:absolute;left:6041;top:6856;width:1392;height:372" type="#_x0000_t75" id="docshape179" stroked="false">
                  <v:imagedata r:id="rId90" o:title=""/>
                </v:shape>
                <v:shape style="position:absolute;left:2202;top:4787;width:2112;height:212" type="#_x0000_t202" id="docshape180" filled="false" stroked="false">
                  <v:textbox inset="0,0,0,0">
                    <w:txbxContent>
                      <w:p>
                        <w:pPr>
                          <w:tabs>
                            <w:tab w:pos="536" w:val="left" w:leader="none"/>
                            <w:tab w:pos="2091" w:val="left" w:leader="none"/>
                          </w:tabs>
                          <w:spacing w:line="201" w:lineRule="exact" w:before="0"/>
                          <w:ind w:left="0" w:right="0" w:firstLine="0"/>
                          <w:jc w:val="left"/>
                          <w:rPr>
                            <w:b/>
                            <w:sz w:val="18"/>
                          </w:rPr>
                        </w:pPr>
                        <w:r>
                          <w:rPr>
                            <w:b/>
                            <w:color w:val="000000"/>
                            <w:sz w:val="18"/>
                            <w:shd w:fill="DDD9C3" w:color="auto" w:val="clear"/>
                          </w:rPr>
                          <w:tab/>
                        </w:r>
                        <w:r>
                          <w:rPr>
                            <w:b/>
                            <w:color w:val="000000"/>
                            <w:spacing w:val="-2"/>
                            <w:w w:val="105"/>
                            <w:sz w:val="18"/>
                            <w:shd w:fill="DDD9C3" w:color="auto" w:val="clear"/>
                          </w:rPr>
                          <w:t>ENABLERS</w:t>
                        </w:r>
                        <w:r>
                          <w:rPr>
                            <w:b/>
                            <w:color w:val="000000"/>
                            <w:sz w:val="18"/>
                            <w:shd w:fill="DDD9C3" w:color="auto" w:val="clear"/>
                          </w:rPr>
                          <w:tab/>
                        </w:r>
                      </w:p>
                    </w:txbxContent>
                  </v:textbox>
                  <w10:wrap type="none"/>
                </v:shape>
                <v:shape style="position:absolute;left:5331;top:4762;width:2357;height:212" type="#_x0000_t202" id="docshape181" filled="false" stroked="false">
                  <v:textbox inset="0,0,0,0">
                    <w:txbxContent>
                      <w:p>
                        <w:pPr>
                          <w:tabs>
                            <w:tab w:pos="2336" w:val="left" w:leader="none"/>
                          </w:tabs>
                          <w:spacing w:line="201" w:lineRule="exact" w:before="0"/>
                          <w:ind w:left="0" w:right="0" w:firstLine="0"/>
                          <w:jc w:val="left"/>
                          <w:rPr>
                            <w:b/>
                            <w:sz w:val="18"/>
                          </w:rPr>
                        </w:pPr>
                        <w:r>
                          <w:rPr>
                            <w:b/>
                            <w:color w:val="000000"/>
                            <w:spacing w:val="50"/>
                            <w:w w:val="105"/>
                            <w:sz w:val="18"/>
                            <w:shd w:fill="DDD9C3" w:color="auto" w:val="clear"/>
                          </w:rPr>
                          <w:t>  </w:t>
                        </w:r>
                        <w:r>
                          <w:rPr>
                            <w:b/>
                            <w:color w:val="000000"/>
                            <w:w w:val="105"/>
                            <w:sz w:val="18"/>
                            <w:shd w:fill="DDD9C3" w:color="auto" w:val="clear"/>
                          </w:rPr>
                          <w:t>ECONOMIC</w:t>
                        </w:r>
                        <w:r>
                          <w:rPr>
                            <w:b/>
                            <w:color w:val="000000"/>
                            <w:spacing w:val="1"/>
                            <w:w w:val="110"/>
                            <w:sz w:val="18"/>
                            <w:shd w:fill="DDD9C3" w:color="auto" w:val="clear"/>
                          </w:rPr>
                          <w:t> </w:t>
                        </w:r>
                        <w:r>
                          <w:rPr>
                            <w:b/>
                            <w:color w:val="000000"/>
                            <w:spacing w:val="-2"/>
                            <w:w w:val="110"/>
                            <w:sz w:val="18"/>
                            <w:shd w:fill="DDD9C3" w:color="auto" w:val="clear"/>
                          </w:rPr>
                          <w:t>ENGINE</w:t>
                        </w:r>
                        <w:r>
                          <w:rPr>
                            <w:b/>
                            <w:color w:val="000000"/>
                            <w:sz w:val="18"/>
                            <w:shd w:fill="DDD9C3" w:color="auto" w:val="clear"/>
                          </w:rPr>
                          <w:tab/>
                        </w:r>
                      </w:p>
                    </w:txbxContent>
                  </v:textbox>
                  <w10:wrap type="none"/>
                </v:shape>
                <v:shape style="position:absolute;left:8307;top:4787;width:1838;height:212" type="#_x0000_t202" id="docshape182" filled="false" stroked="false">
                  <v:textbox inset="0,0,0,0">
                    <w:txbxContent>
                      <w:p>
                        <w:pPr>
                          <w:tabs>
                            <w:tab w:pos="363" w:val="left" w:leader="none"/>
                            <w:tab w:pos="1817" w:val="left" w:leader="none"/>
                          </w:tabs>
                          <w:spacing w:line="201" w:lineRule="exact" w:before="0"/>
                          <w:ind w:left="0" w:right="0" w:firstLine="0"/>
                          <w:jc w:val="left"/>
                          <w:rPr>
                            <w:b/>
                            <w:sz w:val="18"/>
                          </w:rPr>
                        </w:pPr>
                        <w:r>
                          <w:rPr>
                            <w:b/>
                            <w:color w:val="000000"/>
                            <w:sz w:val="18"/>
                            <w:shd w:fill="DDD9C3" w:color="auto" w:val="clear"/>
                          </w:rPr>
                          <w:tab/>
                        </w:r>
                        <w:r>
                          <w:rPr>
                            <w:b/>
                            <w:color w:val="000000"/>
                            <w:spacing w:val="-2"/>
                            <w:w w:val="105"/>
                            <w:sz w:val="18"/>
                            <w:shd w:fill="DDD9C3" w:color="auto" w:val="clear"/>
                          </w:rPr>
                          <w:t>OUTCOMES</w:t>
                        </w:r>
                        <w:r>
                          <w:rPr>
                            <w:b/>
                            <w:color w:val="000000"/>
                            <w:sz w:val="18"/>
                            <w:shd w:fill="DDD9C3" w:color="auto" w:val="clear"/>
                          </w:rPr>
                          <w:tab/>
                        </w:r>
                      </w:p>
                    </w:txbxContent>
                  </v:textbox>
                  <w10:wrap type="none"/>
                </v:shape>
                <v:shape style="position:absolute;left:6302;top:5404;width:725;height:196" type="#_x0000_t202" id="docshape183" filled="false" stroked="false">
                  <v:textbox inset="0,0,0,0">
                    <w:txbxContent>
                      <w:p>
                        <w:pPr>
                          <w:spacing w:line="186" w:lineRule="exact" w:before="0"/>
                          <w:ind w:left="0" w:right="0" w:firstLine="0"/>
                          <w:jc w:val="left"/>
                          <w:rPr>
                            <w:b/>
                            <w:sz w:val="16"/>
                          </w:rPr>
                        </w:pPr>
                        <w:r>
                          <w:rPr>
                            <w:b/>
                            <w:sz w:val="16"/>
                          </w:rPr>
                          <w:t>Oil</w:t>
                        </w:r>
                        <w:r>
                          <w:rPr>
                            <w:b/>
                            <w:spacing w:val="7"/>
                            <w:sz w:val="16"/>
                          </w:rPr>
                          <w:t> </w:t>
                        </w:r>
                        <w:r>
                          <w:rPr>
                            <w:rFonts w:ascii="Arial"/>
                            <w:b/>
                            <w:i/>
                            <w:sz w:val="17"/>
                          </w:rPr>
                          <w:t>&amp;</w:t>
                        </w:r>
                        <w:r>
                          <w:rPr>
                            <w:rFonts w:ascii="Arial"/>
                            <w:b/>
                            <w:i/>
                            <w:spacing w:val="1"/>
                            <w:sz w:val="17"/>
                          </w:rPr>
                          <w:t> </w:t>
                        </w:r>
                        <w:r>
                          <w:rPr>
                            <w:b/>
                            <w:spacing w:val="-5"/>
                            <w:sz w:val="16"/>
                          </w:rPr>
                          <w:t>Gas</w:t>
                        </w:r>
                      </w:p>
                    </w:txbxContent>
                  </v:textbox>
                  <w10:wrap type="none"/>
                </v:shape>
                <v:shape style="position:absolute;left:5585;top:6170;width:856;height:227" type="#_x0000_t202" id="docshape184" filled="false" stroked="false">
                  <v:textbox inset="0,0,0,0">
                    <w:txbxContent>
                      <w:p>
                        <w:pPr>
                          <w:spacing w:before="13"/>
                          <w:ind w:left="20" w:right="0" w:firstLine="0"/>
                          <w:jc w:val="left"/>
                          <w:rPr>
                            <w:b/>
                            <w:sz w:val="16"/>
                          </w:rPr>
                        </w:pPr>
                        <w:r>
                          <w:rPr>
                            <w:b/>
                            <w:spacing w:val="-2"/>
                            <w:sz w:val="16"/>
                          </w:rPr>
                          <w:t>Agriculture</w:t>
                        </w:r>
                      </w:p>
                    </w:txbxContent>
                  </v:textbox>
                  <w10:wrap type="none"/>
                </v:shape>
                <v:shape style="position:absolute;left:7036;top:6015;width:843;height:433" type="#_x0000_t202" id="docshape185" filled="false" stroked="false">
                  <v:textbox inset="0,0,0,0">
                    <w:txbxContent>
                      <w:p>
                        <w:pPr>
                          <w:spacing w:before="11"/>
                          <w:ind w:left="20" w:right="0" w:firstLine="0"/>
                          <w:jc w:val="left"/>
                          <w:rPr>
                            <w:rFonts w:ascii="Arial"/>
                            <w:b/>
                            <w:i/>
                            <w:sz w:val="17"/>
                          </w:rPr>
                        </w:pPr>
                        <w:r>
                          <w:rPr>
                            <w:b/>
                            <w:spacing w:val="-2"/>
                            <w:sz w:val="16"/>
                          </w:rPr>
                          <w:t>Trade</w:t>
                        </w:r>
                        <w:r>
                          <w:rPr>
                            <w:b/>
                            <w:spacing w:val="-1"/>
                            <w:sz w:val="16"/>
                          </w:rPr>
                          <w:t> </w:t>
                        </w:r>
                        <w:r>
                          <w:rPr>
                            <w:rFonts w:ascii="Arial"/>
                            <w:b/>
                            <w:i/>
                            <w:spacing w:val="-10"/>
                            <w:sz w:val="17"/>
                          </w:rPr>
                          <w:t>&amp;</w:t>
                        </w:r>
                      </w:p>
                      <w:p>
                        <w:pPr>
                          <w:spacing w:before="13"/>
                          <w:ind w:left="20" w:right="0" w:firstLine="0"/>
                          <w:jc w:val="left"/>
                          <w:rPr>
                            <w:b/>
                            <w:sz w:val="16"/>
                          </w:rPr>
                        </w:pPr>
                        <w:r>
                          <w:rPr>
                            <w:b/>
                            <w:spacing w:val="-2"/>
                            <w:sz w:val="16"/>
                          </w:rPr>
                          <w:t>Commerce</w:t>
                        </w:r>
                      </w:p>
                    </w:txbxContent>
                  </v:textbox>
                  <w10:wrap type="none"/>
                </v:shape>
                <v:shape style="position:absolute;left:6125;top:6900;width:1227;height:226" type="#_x0000_t202" id="docshape186" filled="false" stroked="false">
                  <v:textbox inset="0,0,0,0">
                    <w:txbxContent>
                      <w:p>
                        <w:pPr>
                          <w:spacing w:before="13"/>
                          <w:ind w:left="20" w:right="0" w:firstLine="0"/>
                          <w:jc w:val="left"/>
                          <w:rPr>
                            <w:b/>
                            <w:sz w:val="16"/>
                          </w:rPr>
                        </w:pPr>
                        <w:r>
                          <w:rPr>
                            <w:b/>
                            <w:spacing w:val="-2"/>
                            <w:sz w:val="16"/>
                          </w:rPr>
                          <w:t>Industrialization</w:t>
                        </w:r>
                      </w:p>
                    </w:txbxContent>
                  </v:textbox>
                  <w10:wrap type="none"/>
                </v:shape>
                <v:shape style="position:absolute;left:2585;top:7195;width:2258;height:578" type="#_x0000_t202" id="docshape187" filled="false" stroked="false">
                  <v:textbox inset="0,0,0,0">
                    <w:txbxContent>
                      <w:p>
                        <w:pPr>
                          <w:spacing w:before="69"/>
                          <w:ind w:left="1259" w:right="0" w:firstLine="0"/>
                          <w:jc w:val="center"/>
                          <w:rPr>
                            <w:b/>
                            <w:sz w:val="18"/>
                          </w:rPr>
                        </w:pPr>
                        <w:r>
                          <w:rPr>
                            <w:b/>
                            <w:sz w:val="18"/>
                          </w:rPr>
                          <w:t>Youths</w:t>
                        </w:r>
                        <w:r>
                          <w:rPr>
                            <w:b/>
                            <w:spacing w:val="-2"/>
                            <w:sz w:val="18"/>
                          </w:rPr>
                          <w:t> </w:t>
                        </w:r>
                        <w:r>
                          <w:rPr>
                            <w:b/>
                            <w:spacing w:val="-10"/>
                            <w:sz w:val="18"/>
                          </w:rPr>
                          <w:t>&amp;</w:t>
                        </w:r>
                      </w:p>
                      <w:p>
                        <w:pPr>
                          <w:spacing w:before="20"/>
                          <w:ind w:left="1259" w:right="0" w:firstLine="0"/>
                          <w:jc w:val="center"/>
                          <w:rPr>
                            <w:b/>
                            <w:sz w:val="18"/>
                          </w:rPr>
                        </w:pPr>
                        <w:r>
                          <w:rPr>
                            <w:b/>
                            <w:spacing w:val="-2"/>
                            <w:sz w:val="18"/>
                          </w:rPr>
                          <w:t>Sports</w:t>
                        </w:r>
                      </w:p>
                    </w:txbxContent>
                  </v:textbox>
                  <w10:wrap type="none"/>
                </v:shape>
                <v:shape style="position:absolute;left:1470;top:7195;width:2284;height:578" type="#_x0000_t202" id="docshape188" filled="false" stroked="false">
                  <v:textbox inset="0,0,0,0">
                    <w:txbxContent>
                      <w:p>
                        <w:pPr>
                          <w:tabs>
                            <w:tab w:pos="1210" w:val="left" w:leader="none"/>
                          </w:tabs>
                          <w:spacing w:line="158" w:lineRule="auto" w:before="109"/>
                          <w:ind w:left="115" w:right="0" w:firstLine="0"/>
                          <w:jc w:val="left"/>
                          <w:rPr>
                            <w:b/>
                            <w:sz w:val="16"/>
                          </w:rPr>
                        </w:pPr>
                        <w:r>
                          <w:rPr>
                            <w:b/>
                            <w:spacing w:val="-2"/>
                            <w:position w:val="-10"/>
                            <w:sz w:val="17"/>
                          </w:rPr>
                          <w:t>Healthcare</w:t>
                        </w:r>
                        <w:r>
                          <w:rPr>
                            <w:b/>
                            <w:position w:val="-10"/>
                            <w:sz w:val="17"/>
                          </w:rPr>
                          <w:tab/>
                        </w:r>
                        <w:r>
                          <w:rPr>
                            <w:b/>
                            <w:sz w:val="16"/>
                          </w:rPr>
                          <w:t>Civil</w:t>
                        </w:r>
                        <w:r>
                          <w:rPr>
                            <w:b/>
                            <w:spacing w:val="-7"/>
                            <w:sz w:val="16"/>
                          </w:rPr>
                          <w:t> </w:t>
                        </w:r>
                        <w:r>
                          <w:rPr>
                            <w:b/>
                            <w:sz w:val="16"/>
                          </w:rPr>
                          <w:t>&amp;</w:t>
                        </w:r>
                        <w:r>
                          <w:rPr>
                            <w:b/>
                            <w:spacing w:val="-6"/>
                            <w:sz w:val="16"/>
                          </w:rPr>
                          <w:t> </w:t>
                        </w:r>
                        <w:r>
                          <w:rPr>
                            <w:b/>
                            <w:spacing w:val="-2"/>
                            <w:sz w:val="16"/>
                          </w:rPr>
                          <w:t>Social</w:t>
                        </w:r>
                      </w:p>
                      <w:p>
                        <w:pPr>
                          <w:spacing w:line="135" w:lineRule="exact" w:before="0"/>
                          <w:ind w:left="1199" w:right="0" w:firstLine="0"/>
                          <w:jc w:val="left"/>
                          <w:rPr>
                            <w:b/>
                            <w:sz w:val="16"/>
                          </w:rPr>
                        </w:pPr>
                        <w:r>
                          <w:rPr>
                            <w:b/>
                            <w:spacing w:val="-2"/>
                            <w:sz w:val="16"/>
                          </w:rPr>
                          <w:t>Infrastructure</w:t>
                        </w:r>
                      </w:p>
                    </w:txbxContent>
                  </v:textbox>
                  <w10:wrap type="none"/>
                </v:shape>
                <v:shape style="position:absolute;left:2585;top:6409;width:2258;height:723" type="#_x0000_t202" id="docshape189" filled="false" stroked="false">
                  <v:textbox inset="0,0,0,0">
                    <w:txbxContent>
                      <w:p>
                        <w:pPr>
                          <w:spacing w:before="174"/>
                          <w:ind w:left="1259" w:right="0" w:firstLine="0"/>
                          <w:jc w:val="center"/>
                          <w:rPr>
                            <w:b/>
                            <w:sz w:val="17"/>
                          </w:rPr>
                        </w:pPr>
                        <w:r>
                          <w:rPr>
                            <w:b/>
                            <w:spacing w:val="-2"/>
                            <w:sz w:val="17"/>
                          </w:rPr>
                          <w:t>Power</w:t>
                        </w:r>
                      </w:p>
                      <w:p>
                        <w:pPr>
                          <w:spacing w:before="18"/>
                          <w:ind w:left="1259" w:right="0" w:firstLine="0"/>
                          <w:jc w:val="center"/>
                          <w:rPr>
                            <w:b/>
                            <w:sz w:val="17"/>
                          </w:rPr>
                        </w:pPr>
                        <w:r>
                          <w:rPr>
                            <w:b/>
                            <w:spacing w:val="-2"/>
                            <w:sz w:val="17"/>
                          </w:rPr>
                          <w:t>Generation</w:t>
                        </w:r>
                      </w:p>
                    </w:txbxContent>
                  </v:textbox>
                  <w10:wrap type="none"/>
                </v:shape>
                <v:shape style="position:absolute;left:1470;top:6409;width:2284;height:723" type="#_x0000_t202" id="docshape190" filled="false" stroked="false">
                  <v:textbox inset="0,0,0,0">
                    <w:txbxContent>
                      <w:p>
                        <w:pPr>
                          <w:spacing w:before="87"/>
                          <w:ind w:left="1291" w:right="0" w:firstLine="0"/>
                          <w:jc w:val="left"/>
                          <w:rPr>
                            <w:b/>
                            <w:sz w:val="16"/>
                          </w:rPr>
                        </w:pPr>
                        <w:r>
                          <w:rPr>
                            <w:b/>
                            <w:w w:val="105"/>
                            <w:sz w:val="16"/>
                          </w:rPr>
                          <w:t>Housing</w:t>
                        </w:r>
                        <w:r>
                          <w:rPr>
                            <w:b/>
                            <w:spacing w:val="13"/>
                            <w:w w:val="105"/>
                            <w:sz w:val="16"/>
                          </w:rPr>
                          <w:t> </w:t>
                        </w:r>
                        <w:r>
                          <w:rPr>
                            <w:b/>
                            <w:spacing w:val="-10"/>
                            <w:w w:val="105"/>
                            <w:sz w:val="16"/>
                          </w:rPr>
                          <w:t>&amp;</w:t>
                        </w:r>
                      </w:p>
                      <w:p>
                        <w:pPr>
                          <w:tabs>
                            <w:tab w:pos="1463" w:val="left" w:leader="none"/>
                          </w:tabs>
                          <w:spacing w:before="6"/>
                          <w:ind w:left="1216" w:right="125" w:hanging="1003"/>
                          <w:jc w:val="left"/>
                          <w:rPr>
                            <w:b/>
                            <w:sz w:val="16"/>
                          </w:rPr>
                        </w:pPr>
                        <w:r>
                          <w:rPr>
                            <w:b/>
                            <w:spacing w:val="-2"/>
                            <w:sz w:val="18"/>
                          </w:rPr>
                          <w:t>Security</w:t>
                        </w:r>
                        <w:r>
                          <w:rPr>
                            <w:b/>
                            <w:sz w:val="18"/>
                          </w:rPr>
                          <w:tab/>
                          <w:tab/>
                        </w:r>
                        <w:r>
                          <w:rPr>
                            <w:b/>
                            <w:spacing w:val="-2"/>
                            <w:position w:val="1"/>
                            <w:sz w:val="16"/>
                          </w:rPr>
                          <w:t>Urban</w:t>
                        </w:r>
                        <w:r>
                          <w:rPr>
                            <w:b/>
                            <w:spacing w:val="40"/>
                            <w:position w:val="1"/>
                            <w:sz w:val="16"/>
                          </w:rPr>
                          <w:t> </w:t>
                        </w:r>
                        <w:r>
                          <w:rPr>
                            <w:b/>
                            <w:spacing w:val="-2"/>
                            <w:sz w:val="16"/>
                          </w:rPr>
                          <w:t>Development</w:t>
                        </w:r>
                      </w:p>
                    </w:txbxContent>
                  </v:textbox>
                  <w10:wrap type="none"/>
                </v:shape>
                <v:shape style="position:absolute;left:2585;top:5788;width:2258;height:622" type="#_x0000_t202" id="docshape191" filled="false" stroked="false">
                  <v:textbox inset="0,0,0,0">
                    <w:txbxContent>
                      <w:p>
                        <w:pPr>
                          <w:spacing w:line="264" w:lineRule="auto" w:before="71"/>
                          <w:ind w:left="1356" w:right="0" w:firstLine="73"/>
                          <w:jc w:val="left"/>
                          <w:rPr>
                            <w:b/>
                            <w:sz w:val="18"/>
                          </w:rPr>
                        </w:pPr>
                        <w:r>
                          <w:rPr>
                            <w:b/>
                            <w:sz w:val="18"/>
                          </w:rPr>
                          <w:t>Water &amp; </w:t>
                        </w:r>
                        <w:r>
                          <w:rPr>
                            <w:b/>
                            <w:spacing w:val="-2"/>
                            <w:sz w:val="18"/>
                          </w:rPr>
                          <w:t>Sanitation</w:t>
                        </w:r>
                      </w:p>
                    </w:txbxContent>
                  </v:textbox>
                  <w10:wrap type="none"/>
                </v:shape>
                <v:shape style="position:absolute;left:1470;top:5788;width:2284;height:622" type="#_x0000_t202" id="docshape192" filled="false" stroked="false">
                  <v:textbox inset="0,0,0,0">
                    <w:txbxContent>
                      <w:p>
                        <w:pPr>
                          <w:tabs>
                            <w:tab w:pos="1271" w:val="left" w:leader="none"/>
                          </w:tabs>
                          <w:spacing w:line="132" w:lineRule="auto" w:before="151"/>
                          <w:ind w:left="327" w:right="178" w:hanging="146"/>
                          <w:jc w:val="left"/>
                          <w:rPr>
                            <w:b/>
                            <w:sz w:val="18"/>
                          </w:rPr>
                        </w:pPr>
                        <w:r>
                          <w:rPr>
                            <w:b/>
                            <w:spacing w:val="-2"/>
                            <w:w w:val="105"/>
                            <w:position w:val="11"/>
                            <w:sz w:val="18"/>
                          </w:rPr>
                          <w:t>Environ-</w:t>
                        </w:r>
                        <w:r>
                          <w:rPr>
                            <w:b/>
                            <w:position w:val="11"/>
                            <w:sz w:val="18"/>
                          </w:rPr>
                          <w:tab/>
                        </w:r>
                        <w:r>
                          <w:rPr>
                            <w:b/>
                            <w:spacing w:val="-2"/>
                            <w:w w:val="105"/>
                            <w:sz w:val="18"/>
                          </w:rPr>
                          <w:t>Education </w:t>
                        </w:r>
                        <w:r>
                          <w:rPr>
                            <w:b/>
                            <w:spacing w:val="-4"/>
                            <w:w w:val="105"/>
                            <w:sz w:val="18"/>
                          </w:rPr>
                          <w:t>ment</w:t>
                        </w:r>
                      </w:p>
                    </w:txbxContent>
                  </v:textbox>
                  <w10:wrap type="none"/>
                </v:shape>
                <v:shape style="position:absolute;left:2585;top:5137;width:2258;height:579" type="#_x0000_t202" id="docshape193" filled="false" stroked="false">
                  <v:textbox inset="0,0,0,0">
                    <w:txbxContent>
                      <w:p>
                        <w:pPr>
                          <w:spacing w:line="254" w:lineRule="auto" w:before="71"/>
                          <w:ind w:left="1339" w:right="0" w:hanging="13"/>
                          <w:jc w:val="left"/>
                          <w:rPr>
                            <w:b/>
                            <w:sz w:val="18"/>
                          </w:rPr>
                        </w:pPr>
                        <w:r>
                          <w:rPr>
                            <w:b/>
                            <w:spacing w:val="-2"/>
                            <w:sz w:val="18"/>
                          </w:rPr>
                          <w:t>Hospitality </w:t>
                        </w:r>
                        <w:r>
                          <w:rPr>
                            <w:b/>
                            <w:sz w:val="18"/>
                          </w:rPr>
                          <w:t>&amp;</w:t>
                        </w:r>
                        <w:r>
                          <w:rPr>
                            <w:b/>
                            <w:spacing w:val="-6"/>
                            <w:sz w:val="18"/>
                          </w:rPr>
                          <w:t> </w:t>
                        </w:r>
                        <w:r>
                          <w:rPr>
                            <w:b/>
                            <w:spacing w:val="-2"/>
                            <w:sz w:val="18"/>
                          </w:rPr>
                          <w:t>Tourism</w:t>
                        </w:r>
                      </w:p>
                    </w:txbxContent>
                  </v:textbox>
                  <w10:wrap type="none"/>
                </v:shape>
                <v:shape style="position:absolute;left:2750;top:5213;width:865;height:439" type="#_x0000_t202" id="docshape194" filled="false" stroked="false">
                  <v:textbox inset="0,0,0,0">
                    <w:txbxContent>
                      <w:p>
                        <w:pPr>
                          <w:spacing w:line="264" w:lineRule="auto" w:before="0"/>
                          <w:ind w:left="190" w:right="18" w:hanging="191"/>
                          <w:jc w:val="left"/>
                          <w:rPr>
                            <w:b/>
                            <w:sz w:val="18"/>
                          </w:rPr>
                        </w:pPr>
                        <w:r>
                          <w:rPr>
                            <w:b/>
                            <w:spacing w:val="-2"/>
                            <w:sz w:val="18"/>
                          </w:rPr>
                          <w:t>Transpor-- tation</w:t>
                        </w:r>
                      </w:p>
                    </w:txbxContent>
                  </v:textbox>
                  <w10:wrap type="none"/>
                </v:shape>
                <v:shape style="position:absolute;left:1681;top:5327;width:662;height:212" type="#_x0000_t202" id="docshape195" filled="false" stroked="false">
                  <v:textbox inset="0,0,0,0">
                    <w:txbxContent>
                      <w:p>
                        <w:pPr>
                          <w:spacing w:line="201" w:lineRule="exact" w:before="0"/>
                          <w:ind w:left="0" w:right="0" w:firstLine="0"/>
                          <w:jc w:val="left"/>
                          <w:rPr>
                            <w:b/>
                            <w:sz w:val="18"/>
                          </w:rPr>
                        </w:pPr>
                        <w:r>
                          <w:rPr>
                            <w:b/>
                            <w:spacing w:val="-2"/>
                            <w:w w:val="105"/>
                            <w:sz w:val="18"/>
                          </w:rPr>
                          <w:t>Finance</w:t>
                        </w:r>
                      </w:p>
                    </w:txbxContent>
                  </v:textbox>
                  <w10:wrap type="none"/>
                </v:shape>
                <w10:wrap type="none"/>
              </v:group>
            </w:pict>
          </mc:Fallback>
        </mc:AlternateContent>
      </w:r>
      <w:r>
        <w:rPr/>
        <w:t>Before delving into the housing and budget practices of Anambra State, it is pertinent to first provide an economic overview of the State. Anambra State has a robust economic system, which has contributed immensely to poverty reduction, wealth creation and employment generation (http://www.anambra state.gov.ng). The key sectors of the State‘s economy are: health, education, agriculture, commerce and industry, basic infrastructure (roads, housing, water, and electricity/power), human development and general administration. Figure 3.5 shows the economic Blueprint of Anambra State; highlighting how these economic enablers and combined with four basic engines for growth will yield desirable social and financial benefits for the State. Obviously, these go to show that the State Government has a well thought out plan aimed at driving the Anambra State economy and making it arguably one of the most developed States in </w:t>
      </w:r>
      <w:r>
        <w:rPr>
          <w:spacing w:val="-2"/>
        </w:rPr>
        <w:t>Nigeria.</w:t>
      </w:r>
    </w:p>
    <w:p>
      <w:pPr>
        <w:pStyle w:val="BodyText"/>
        <w:rPr>
          <w:sz w:val="20"/>
        </w:rPr>
      </w:pPr>
    </w:p>
    <w:p>
      <w:pPr>
        <w:pStyle w:val="BodyText"/>
        <w:rPr>
          <w:sz w:val="20"/>
        </w:rPr>
      </w:pPr>
    </w:p>
    <w:p>
      <w:pPr>
        <w:pStyle w:val="BodyText"/>
        <w:spacing w:before="25"/>
        <w:rPr>
          <w:sz w:val="20"/>
        </w:rPr>
      </w:pPr>
      <w:r>
        <w:rPr/>
        <mc:AlternateContent>
          <mc:Choice Requires="wps">
            <w:drawing>
              <wp:anchor distT="0" distB="0" distL="0" distR="0" allowOverlap="1" layoutInCell="1" locked="0" behindDoc="1" simplePos="0" relativeHeight="487599104">
                <wp:simplePos x="0" y="0"/>
                <wp:positionH relativeFrom="page">
                  <wp:posOffset>3242233</wp:posOffset>
                </wp:positionH>
                <wp:positionV relativeFrom="paragraph">
                  <wp:posOffset>720724</wp:posOffset>
                </wp:positionV>
                <wp:extent cx="145415" cy="168910"/>
                <wp:effectExtent l="0" t="0" r="0" b="0"/>
                <wp:wrapTopAndBottom/>
                <wp:docPr id="211" name="Graphic 211"/>
                <wp:cNvGraphicFramePr>
                  <a:graphicFrameLocks/>
                </wp:cNvGraphicFramePr>
                <a:graphic>
                  <a:graphicData uri="http://schemas.microsoft.com/office/word/2010/wordprocessingShape">
                    <wps:wsp>
                      <wps:cNvPr id="211" name="Graphic 211"/>
                      <wps:cNvSpPr/>
                      <wps:spPr>
                        <a:xfrm>
                          <a:off x="0" y="0"/>
                          <a:ext cx="145415" cy="168910"/>
                        </a:xfrm>
                        <a:custGeom>
                          <a:avLst/>
                          <a:gdLst/>
                          <a:ahLst/>
                          <a:cxnLst/>
                          <a:rect l="l" t="t" r="r" b="b"/>
                          <a:pathLst>
                            <a:path w="145415" h="168910">
                              <a:moveTo>
                                <a:pt x="145161" y="60896"/>
                              </a:moveTo>
                              <a:lnTo>
                                <a:pt x="95770" y="60896"/>
                              </a:lnTo>
                              <a:lnTo>
                                <a:pt x="95770" y="0"/>
                              </a:lnTo>
                              <a:lnTo>
                                <a:pt x="49377" y="0"/>
                              </a:lnTo>
                              <a:lnTo>
                                <a:pt x="49377" y="60896"/>
                              </a:lnTo>
                              <a:lnTo>
                                <a:pt x="0" y="60896"/>
                              </a:lnTo>
                              <a:lnTo>
                                <a:pt x="0" y="107835"/>
                              </a:lnTo>
                              <a:lnTo>
                                <a:pt x="49377" y="107835"/>
                              </a:lnTo>
                              <a:lnTo>
                                <a:pt x="49377" y="168732"/>
                              </a:lnTo>
                              <a:lnTo>
                                <a:pt x="95770" y="168732"/>
                              </a:lnTo>
                              <a:lnTo>
                                <a:pt x="95770" y="107835"/>
                              </a:lnTo>
                              <a:lnTo>
                                <a:pt x="145161" y="107835"/>
                              </a:lnTo>
                              <a:lnTo>
                                <a:pt x="145161" y="60896"/>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style="position:absolute;margin-left:255.294006pt;margin-top:56.749985pt;width:11.45pt;height:13.3pt;mso-position-horizontal-relative:page;mso-position-vertical-relative:paragraph;z-index:-15717376;mso-wrap-distance-left:0;mso-wrap-distance-right:0" id="docshape196" coordorigin="5106,1135" coordsize="229,266" path="m5334,1231l5257,1231,5257,1135,5184,1135,5184,1231,5106,1231,5106,1305,5184,1305,5184,1401,5257,1401,5257,1305,5334,1305,5334,1231xe" filled="true" fillcolor="#4f81bc"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5297498</wp:posOffset>
                </wp:positionH>
                <wp:positionV relativeFrom="paragraph">
                  <wp:posOffset>177259</wp:posOffset>
                </wp:positionV>
                <wp:extent cx="1135380" cy="1314450"/>
                <wp:effectExtent l="0" t="0" r="0" b="0"/>
                <wp:wrapTopAndBottom/>
                <wp:docPr id="212" name="Textbox 212"/>
                <wp:cNvGraphicFramePr>
                  <a:graphicFrameLocks/>
                </wp:cNvGraphicFramePr>
                <a:graphic>
                  <a:graphicData uri="http://schemas.microsoft.com/office/word/2010/wordprocessingShape">
                    <wps:wsp>
                      <wps:cNvPr id="212" name="Textbox 212"/>
                      <wps:cNvSpPr txBox="1"/>
                      <wps:spPr>
                        <a:xfrm>
                          <a:off x="0" y="0"/>
                          <a:ext cx="1135380" cy="1314450"/>
                        </a:xfrm>
                        <a:prstGeom prst="rect">
                          <a:avLst/>
                        </a:prstGeom>
                      </wps:spPr>
                      <wps:txbx>
                        <w:txbxContent>
                          <w:tbl>
                            <w:tblPr>
                              <w:tblW w:w="0" w:type="auto"/>
                              <w:jc w:val="left"/>
                              <w:tblCellSpacing w:w="12" w:type="dxa"/>
                              <w:tblInd w:w="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7"/>
                            </w:tblGrid>
                            <w:tr>
                              <w:trPr>
                                <w:trHeight w:val="230" w:hRule="atLeast"/>
                              </w:trPr>
                              <w:tc>
                                <w:tcPr>
                                  <w:tcW w:w="1787" w:type="dxa"/>
                                  <w:tcBorders>
                                    <w:bottom w:val="nil"/>
                                  </w:tcBorders>
                                  <w:shd w:val="clear" w:color="auto" w:fill="006FC0"/>
                                </w:tcPr>
                                <w:p>
                                  <w:pPr>
                                    <w:pStyle w:val="TableParagraph"/>
                                    <w:numPr>
                                      <w:ilvl w:val="0"/>
                                      <w:numId w:val="61"/>
                                    </w:numPr>
                                    <w:tabs>
                                      <w:tab w:pos="404" w:val="left" w:leader="none"/>
                                    </w:tabs>
                                    <w:spacing w:line="189" w:lineRule="exact" w:before="21" w:after="0"/>
                                    <w:ind w:left="404" w:right="0" w:hanging="317"/>
                                    <w:jc w:val="left"/>
                                    <w:rPr>
                                      <w:rFonts w:ascii="Calibri" w:hAnsi="Calibri"/>
                                      <w:b/>
                                      <w:sz w:val="16"/>
                                    </w:rPr>
                                  </w:pPr>
                                  <w:r>
                                    <w:rPr>
                                      <w:rFonts w:ascii="Calibri" w:hAnsi="Calibri"/>
                                      <w:b/>
                                      <w:color w:val="FFFFFF"/>
                                      <w:spacing w:val="-2"/>
                                      <w:w w:val="105"/>
                                      <w:sz w:val="16"/>
                                    </w:rPr>
                                    <w:t>EXPORTS</w:t>
                                  </w:r>
                                </w:p>
                              </w:tc>
                            </w:tr>
                            <w:tr>
                              <w:trPr>
                                <w:trHeight w:val="229" w:hRule="atLeast"/>
                              </w:trPr>
                              <w:tc>
                                <w:tcPr>
                                  <w:tcW w:w="1787" w:type="dxa"/>
                                  <w:tcBorders>
                                    <w:top w:val="nil"/>
                                    <w:bottom w:val="nil"/>
                                  </w:tcBorders>
                                  <w:shd w:val="clear" w:color="auto" w:fill="006FC0"/>
                                </w:tcPr>
                                <w:p>
                                  <w:pPr>
                                    <w:pStyle w:val="TableParagraph"/>
                                    <w:numPr>
                                      <w:ilvl w:val="0"/>
                                      <w:numId w:val="62"/>
                                    </w:numPr>
                                    <w:tabs>
                                      <w:tab w:pos="408" w:val="left" w:leader="none"/>
                                    </w:tabs>
                                    <w:spacing w:line="189" w:lineRule="exact" w:before="21" w:after="0"/>
                                    <w:ind w:left="408" w:right="0" w:hanging="321"/>
                                    <w:jc w:val="left"/>
                                    <w:rPr>
                                      <w:rFonts w:ascii="Calibri" w:hAnsi="Calibri"/>
                                      <w:b/>
                                      <w:sz w:val="16"/>
                                    </w:rPr>
                                  </w:pPr>
                                  <w:r>
                                    <w:rPr>
                                      <w:rFonts w:ascii="Calibri" w:hAnsi="Calibri"/>
                                      <w:b/>
                                      <w:color w:val="FFFFFF"/>
                                      <w:w w:val="105"/>
                                      <w:sz w:val="16"/>
                                    </w:rPr>
                                    <w:t>JOB</w:t>
                                  </w:r>
                                  <w:r>
                                    <w:rPr>
                                      <w:rFonts w:ascii="Calibri" w:hAnsi="Calibri"/>
                                      <w:b/>
                                      <w:color w:val="FFFFFF"/>
                                      <w:spacing w:val="-8"/>
                                      <w:w w:val="105"/>
                                      <w:sz w:val="16"/>
                                    </w:rPr>
                                    <w:t> </w:t>
                                  </w:r>
                                  <w:r>
                                    <w:rPr>
                                      <w:rFonts w:ascii="Calibri" w:hAnsi="Calibri"/>
                                      <w:b/>
                                      <w:color w:val="FFFFFF"/>
                                      <w:spacing w:val="-2"/>
                                      <w:w w:val="105"/>
                                      <w:sz w:val="16"/>
                                    </w:rPr>
                                    <w:t>CREATION</w:t>
                                  </w:r>
                                </w:p>
                              </w:tc>
                            </w:tr>
                            <w:tr>
                              <w:trPr>
                                <w:trHeight w:val="749" w:hRule="atLeast"/>
                              </w:trPr>
                              <w:tc>
                                <w:tcPr>
                                  <w:tcW w:w="1787" w:type="dxa"/>
                                  <w:tcBorders>
                                    <w:top w:val="nil"/>
                                    <w:bottom w:val="nil"/>
                                  </w:tcBorders>
                                  <w:shd w:val="clear" w:color="auto" w:fill="006FC0"/>
                                </w:tcPr>
                                <w:p>
                                  <w:pPr>
                                    <w:pStyle w:val="TableParagraph"/>
                                    <w:numPr>
                                      <w:ilvl w:val="0"/>
                                      <w:numId w:val="63"/>
                                    </w:numPr>
                                    <w:tabs>
                                      <w:tab w:pos="408" w:val="left" w:leader="none"/>
                                    </w:tabs>
                                    <w:spacing w:line="240" w:lineRule="auto" w:before="22" w:after="0"/>
                                    <w:ind w:left="408" w:right="0" w:hanging="321"/>
                                    <w:jc w:val="left"/>
                                    <w:rPr>
                                      <w:rFonts w:ascii="Calibri" w:hAnsi="Calibri"/>
                                      <w:b/>
                                      <w:sz w:val="16"/>
                                    </w:rPr>
                                  </w:pPr>
                                  <w:r>
                                    <w:rPr>
                                      <w:rFonts w:ascii="Calibri" w:hAnsi="Calibri"/>
                                      <w:b/>
                                      <w:color w:val="FFFFFF"/>
                                      <w:sz w:val="16"/>
                                    </w:rPr>
                                    <w:t>HIGH</w:t>
                                  </w:r>
                                  <w:r>
                                    <w:rPr>
                                      <w:rFonts w:ascii="Calibri" w:hAnsi="Calibri"/>
                                      <w:b/>
                                      <w:color w:val="FFFFFF"/>
                                      <w:spacing w:val="7"/>
                                      <w:sz w:val="16"/>
                                    </w:rPr>
                                    <w:t> </w:t>
                                  </w:r>
                                  <w:r>
                                    <w:rPr>
                                      <w:rFonts w:ascii="Calibri" w:hAnsi="Calibri"/>
                                      <w:b/>
                                      <w:color w:val="FFFFFF"/>
                                      <w:spacing w:val="-5"/>
                                      <w:sz w:val="16"/>
                                    </w:rPr>
                                    <w:t>GDP</w:t>
                                  </w:r>
                                </w:p>
                                <w:p>
                                  <w:pPr>
                                    <w:pStyle w:val="TableParagraph"/>
                                    <w:numPr>
                                      <w:ilvl w:val="0"/>
                                      <w:numId w:val="63"/>
                                    </w:numPr>
                                    <w:tabs>
                                      <w:tab w:pos="404" w:val="left" w:leader="none"/>
                                    </w:tabs>
                                    <w:spacing w:line="240" w:lineRule="auto" w:before="64" w:after="0"/>
                                    <w:ind w:left="404" w:right="0" w:hanging="317"/>
                                    <w:jc w:val="left"/>
                                    <w:rPr>
                                      <w:rFonts w:ascii="Calibri" w:hAnsi="Calibri"/>
                                      <w:b/>
                                      <w:sz w:val="16"/>
                                    </w:rPr>
                                  </w:pPr>
                                  <w:r>
                                    <w:rPr>
                                      <w:rFonts w:ascii="Calibri" w:hAnsi="Calibri"/>
                                      <w:b/>
                                      <w:color w:val="FFFFFF"/>
                                      <w:spacing w:val="-2"/>
                                      <w:w w:val="105"/>
                                      <w:sz w:val="16"/>
                                    </w:rPr>
                                    <w:t>SHELTER</w:t>
                                  </w:r>
                                </w:p>
                                <w:p>
                                  <w:pPr>
                                    <w:pStyle w:val="TableParagraph"/>
                                    <w:numPr>
                                      <w:ilvl w:val="0"/>
                                      <w:numId w:val="63"/>
                                    </w:numPr>
                                    <w:tabs>
                                      <w:tab w:pos="408" w:val="left" w:leader="none"/>
                                    </w:tabs>
                                    <w:spacing w:line="189" w:lineRule="exact" w:before="64" w:after="0"/>
                                    <w:ind w:left="408" w:right="0" w:hanging="321"/>
                                    <w:jc w:val="left"/>
                                    <w:rPr>
                                      <w:rFonts w:ascii="Calibri" w:hAnsi="Calibri"/>
                                      <w:b/>
                                      <w:sz w:val="16"/>
                                    </w:rPr>
                                  </w:pPr>
                                  <w:r>
                                    <w:rPr>
                                      <w:rFonts w:ascii="Calibri" w:hAnsi="Calibri"/>
                                      <w:b/>
                                      <w:color w:val="FFFFFF"/>
                                      <w:spacing w:val="-2"/>
                                      <w:w w:val="105"/>
                                      <w:sz w:val="16"/>
                                    </w:rPr>
                                    <w:t>FOOD</w:t>
                                  </w:r>
                                  <w:r>
                                    <w:rPr>
                                      <w:rFonts w:ascii="Calibri" w:hAnsi="Calibri"/>
                                      <w:b/>
                                      <w:color w:val="FFFFFF"/>
                                      <w:spacing w:val="-4"/>
                                      <w:w w:val="105"/>
                                      <w:sz w:val="16"/>
                                    </w:rPr>
                                    <w:t> </w:t>
                                  </w:r>
                                  <w:r>
                                    <w:rPr>
                                      <w:rFonts w:ascii="Calibri" w:hAnsi="Calibri"/>
                                      <w:b/>
                                      <w:color w:val="FFFFFF"/>
                                      <w:spacing w:val="-2"/>
                                      <w:w w:val="105"/>
                                      <w:sz w:val="16"/>
                                    </w:rPr>
                                    <w:t>SECURITY</w:t>
                                  </w:r>
                                </w:p>
                              </w:tc>
                            </w:tr>
                            <w:tr>
                              <w:trPr>
                                <w:trHeight w:val="232" w:hRule="atLeast"/>
                              </w:trPr>
                              <w:tc>
                                <w:tcPr>
                                  <w:tcW w:w="1787" w:type="dxa"/>
                                  <w:tcBorders>
                                    <w:top w:val="nil"/>
                                    <w:bottom w:val="nil"/>
                                  </w:tcBorders>
                                  <w:shd w:val="clear" w:color="auto" w:fill="006FC0"/>
                                </w:tcPr>
                                <w:p>
                                  <w:pPr>
                                    <w:pStyle w:val="TableParagraph"/>
                                    <w:numPr>
                                      <w:ilvl w:val="0"/>
                                      <w:numId w:val="64"/>
                                    </w:numPr>
                                    <w:tabs>
                                      <w:tab w:pos="404" w:val="left" w:leader="none"/>
                                    </w:tabs>
                                    <w:spacing w:line="190" w:lineRule="exact" w:before="22" w:after="0"/>
                                    <w:ind w:left="404" w:right="0" w:hanging="317"/>
                                    <w:jc w:val="left"/>
                                    <w:rPr>
                                      <w:rFonts w:ascii="Calibri" w:hAnsi="Calibri"/>
                                      <w:b/>
                                      <w:sz w:val="16"/>
                                    </w:rPr>
                                  </w:pPr>
                                  <w:r>
                                    <w:rPr>
                                      <w:rFonts w:ascii="Calibri" w:hAnsi="Calibri"/>
                                      <w:b/>
                                      <w:color w:val="FFFFFF"/>
                                      <w:spacing w:val="-2"/>
                                      <w:w w:val="105"/>
                                      <w:sz w:val="16"/>
                                    </w:rPr>
                                    <w:t>MODERNIZATION</w:t>
                                  </w:r>
                                </w:p>
                              </w:tc>
                            </w:tr>
                            <w:tr>
                              <w:trPr>
                                <w:trHeight w:val="226" w:hRule="atLeast"/>
                              </w:trPr>
                              <w:tc>
                                <w:tcPr>
                                  <w:tcW w:w="1787" w:type="dxa"/>
                                  <w:tcBorders>
                                    <w:top w:val="nil"/>
                                    <w:bottom w:val="nil"/>
                                  </w:tcBorders>
                                  <w:shd w:val="clear" w:color="auto" w:fill="006FC0"/>
                                </w:tcPr>
                                <w:p>
                                  <w:pPr>
                                    <w:pStyle w:val="TableParagraph"/>
                                    <w:numPr>
                                      <w:ilvl w:val="0"/>
                                      <w:numId w:val="65"/>
                                    </w:numPr>
                                    <w:tabs>
                                      <w:tab w:pos="408" w:val="left" w:leader="none"/>
                                    </w:tabs>
                                    <w:spacing w:line="188" w:lineRule="exact" w:before="17" w:after="0"/>
                                    <w:ind w:left="408" w:right="0" w:hanging="321"/>
                                    <w:jc w:val="left"/>
                                    <w:rPr>
                                      <w:rFonts w:ascii="Calibri" w:hAnsi="Calibri"/>
                                      <w:b/>
                                      <w:sz w:val="16"/>
                                    </w:rPr>
                                  </w:pPr>
                                  <w:r>
                                    <w:rPr>
                                      <w:rFonts w:ascii="Calibri" w:hAnsi="Calibri"/>
                                      <w:b/>
                                      <w:color w:val="FFFFFF"/>
                                      <w:sz w:val="16"/>
                                    </w:rPr>
                                    <w:t>SOCIAL</w:t>
                                  </w:r>
                                  <w:r>
                                    <w:rPr>
                                      <w:rFonts w:ascii="Calibri" w:hAnsi="Calibri"/>
                                      <w:b/>
                                      <w:color w:val="FFFFFF"/>
                                      <w:spacing w:val="11"/>
                                      <w:sz w:val="16"/>
                                    </w:rPr>
                                    <w:t> </w:t>
                                  </w:r>
                                  <w:r>
                                    <w:rPr>
                                      <w:rFonts w:ascii="Calibri" w:hAnsi="Calibri"/>
                                      <w:b/>
                                      <w:color w:val="FFFFFF"/>
                                      <w:spacing w:val="-2"/>
                                      <w:sz w:val="16"/>
                                    </w:rPr>
                                    <w:t>STABILITY</w:t>
                                  </w:r>
                                </w:p>
                              </w:tc>
                            </w:tr>
                            <w:tr>
                              <w:trPr>
                                <w:trHeight w:val="250" w:hRule="atLeast"/>
                              </w:trPr>
                              <w:tc>
                                <w:tcPr>
                                  <w:tcW w:w="1787" w:type="dxa"/>
                                  <w:tcBorders>
                                    <w:top w:val="nil"/>
                                  </w:tcBorders>
                                  <w:shd w:val="clear" w:color="auto" w:fill="006FC0"/>
                                </w:tcPr>
                                <w:p>
                                  <w:pPr>
                                    <w:pStyle w:val="TableParagraph"/>
                                    <w:numPr>
                                      <w:ilvl w:val="0"/>
                                      <w:numId w:val="66"/>
                                    </w:numPr>
                                    <w:tabs>
                                      <w:tab w:pos="406" w:val="left" w:leader="none"/>
                                    </w:tabs>
                                    <w:spacing w:line="240" w:lineRule="auto" w:before="30" w:after="0"/>
                                    <w:ind w:left="406" w:right="0" w:hanging="321"/>
                                    <w:jc w:val="left"/>
                                    <w:rPr>
                                      <w:rFonts w:ascii="Calibri" w:hAnsi="Calibri"/>
                                      <w:b/>
                                      <w:sz w:val="16"/>
                                    </w:rPr>
                                  </w:pPr>
                                  <w:r>
                                    <w:rPr>
                                      <w:rFonts w:ascii="Calibri" w:hAnsi="Calibri"/>
                                      <w:b/>
                                      <w:color w:val="FFFFFF"/>
                                      <w:sz w:val="16"/>
                                    </w:rPr>
                                    <w:t>CAPITAL</w:t>
                                  </w:r>
                                  <w:r>
                                    <w:rPr>
                                      <w:rFonts w:ascii="Calibri" w:hAnsi="Calibri"/>
                                      <w:b/>
                                      <w:color w:val="FFFFFF"/>
                                      <w:spacing w:val="-4"/>
                                      <w:sz w:val="16"/>
                                    </w:rPr>
                                    <w:t> </w:t>
                                  </w:r>
                                  <w:r>
                                    <w:rPr>
                                      <w:rFonts w:ascii="Calibri" w:hAnsi="Calibri"/>
                                      <w:b/>
                                      <w:color w:val="FFFFFF"/>
                                      <w:spacing w:val="-2"/>
                                      <w:sz w:val="16"/>
                                    </w:rPr>
                                    <w:t>INFLOW</w:t>
                                  </w:r>
                                </w:p>
                              </w:tc>
                            </w:tr>
                          </w:tbl>
                          <w:p>
                            <w:pPr>
                              <w:pStyle w:val="BodyText"/>
                            </w:pPr>
                          </w:p>
                        </w:txbxContent>
                      </wps:txbx>
                      <wps:bodyPr wrap="square" lIns="0" tIns="0" rIns="0" bIns="0" rtlCol="0">
                        <a:noAutofit/>
                      </wps:bodyPr>
                    </wps:wsp>
                  </a:graphicData>
                </a:graphic>
              </wp:anchor>
            </w:drawing>
          </mc:Choice>
          <mc:Fallback>
            <w:pict>
              <v:shape style="position:absolute;margin-left:417.125854pt;margin-top:13.957403pt;width:89.4pt;height:103.5pt;mso-position-horizontal-relative:page;mso-position-vertical-relative:paragraph;z-index:-15728640;mso-wrap-distance-left:0;mso-wrap-distance-right:0" type="#_x0000_t202" id="docshape197" filled="false" stroked="false">
                <v:textbox inset="0,0,0,0">
                  <w:txbxContent>
                    <w:tbl>
                      <w:tblPr>
                        <w:tblW w:w="0" w:type="auto"/>
                        <w:jc w:val="left"/>
                        <w:tblCellSpacing w:w="12" w:type="dxa"/>
                        <w:tblInd w:w="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7"/>
                      </w:tblGrid>
                      <w:tr>
                        <w:trPr>
                          <w:trHeight w:val="230" w:hRule="atLeast"/>
                        </w:trPr>
                        <w:tc>
                          <w:tcPr>
                            <w:tcW w:w="1787" w:type="dxa"/>
                            <w:tcBorders>
                              <w:bottom w:val="nil"/>
                            </w:tcBorders>
                            <w:shd w:val="clear" w:color="auto" w:fill="006FC0"/>
                          </w:tcPr>
                          <w:p>
                            <w:pPr>
                              <w:pStyle w:val="TableParagraph"/>
                              <w:numPr>
                                <w:ilvl w:val="0"/>
                                <w:numId w:val="61"/>
                              </w:numPr>
                              <w:tabs>
                                <w:tab w:pos="404" w:val="left" w:leader="none"/>
                              </w:tabs>
                              <w:spacing w:line="189" w:lineRule="exact" w:before="21" w:after="0"/>
                              <w:ind w:left="404" w:right="0" w:hanging="317"/>
                              <w:jc w:val="left"/>
                              <w:rPr>
                                <w:rFonts w:ascii="Calibri" w:hAnsi="Calibri"/>
                                <w:b/>
                                <w:sz w:val="16"/>
                              </w:rPr>
                            </w:pPr>
                            <w:r>
                              <w:rPr>
                                <w:rFonts w:ascii="Calibri" w:hAnsi="Calibri"/>
                                <w:b/>
                                <w:color w:val="FFFFFF"/>
                                <w:spacing w:val="-2"/>
                                <w:w w:val="105"/>
                                <w:sz w:val="16"/>
                              </w:rPr>
                              <w:t>EXPORTS</w:t>
                            </w:r>
                          </w:p>
                        </w:tc>
                      </w:tr>
                      <w:tr>
                        <w:trPr>
                          <w:trHeight w:val="229" w:hRule="atLeast"/>
                        </w:trPr>
                        <w:tc>
                          <w:tcPr>
                            <w:tcW w:w="1787" w:type="dxa"/>
                            <w:tcBorders>
                              <w:top w:val="nil"/>
                              <w:bottom w:val="nil"/>
                            </w:tcBorders>
                            <w:shd w:val="clear" w:color="auto" w:fill="006FC0"/>
                          </w:tcPr>
                          <w:p>
                            <w:pPr>
                              <w:pStyle w:val="TableParagraph"/>
                              <w:numPr>
                                <w:ilvl w:val="0"/>
                                <w:numId w:val="62"/>
                              </w:numPr>
                              <w:tabs>
                                <w:tab w:pos="408" w:val="left" w:leader="none"/>
                              </w:tabs>
                              <w:spacing w:line="189" w:lineRule="exact" w:before="21" w:after="0"/>
                              <w:ind w:left="408" w:right="0" w:hanging="321"/>
                              <w:jc w:val="left"/>
                              <w:rPr>
                                <w:rFonts w:ascii="Calibri" w:hAnsi="Calibri"/>
                                <w:b/>
                                <w:sz w:val="16"/>
                              </w:rPr>
                            </w:pPr>
                            <w:r>
                              <w:rPr>
                                <w:rFonts w:ascii="Calibri" w:hAnsi="Calibri"/>
                                <w:b/>
                                <w:color w:val="FFFFFF"/>
                                <w:w w:val="105"/>
                                <w:sz w:val="16"/>
                              </w:rPr>
                              <w:t>JOB</w:t>
                            </w:r>
                            <w:r>
                              <w:rPr>
                                <w:rFonts w:ascii="Calibri" w:hAnsi="Calibri"/>
                                <w:b/>
                                <w:color w:val="FFFFFF"/>
                                <w:spacing w:val="-8"/>
                                <w:w w:val="105"/>
                                <w:sz w:val="16"/>
                              </w:rPr>
                              <w:t> </w:t>
                            </w:r>
                            <w:r>
                              <w:rPr>
                                <w:rFonts w:ascii="Calibri" w:hAnsi="Calibri"/>
                                <w:b/>
                                <w:color w:val="FFFFFF"/>
                                <w:spacing w:val="-2"/>
                                <w:w w:val="105"/>
                                <w:sz w:val="16"/>
                              </w:rPr>
                              <w:t>CREATION</w:t>
                            </w:r>
                          </w:p>
                        </w:tc>
                      </w:tr>
                      <w:tr>
                        <w:trPr>
                          <w:trHeight w:val="749" w:hRule="atLeast"/>
                        </w:trPr>
                        <w:tc>
                          <w:tcPr>
                            <w:tcW w:w="1787" w:type="dxa"/>
                            <w:tcBorders>
                              <w:top w:val="nil"/>
                              <w:bottom w:val="nil"/>
                            </w:tcBorders>
                            <w:shd w:val="clear" w:color="auto" w:fill="006FC0"/>
                          </w:tcPr>
                          <w:p>
                            <w:pPr>
                              <w:pStyle w:val="TableParagraph"/>
                              <w:numPr>
                                <w:ilvl w:val="0"/>
                                <w:numId w:val="63"/>
                              </w:numPr>
                              <w:tabs>
                                <w:tab w:pos="408" w:val="left" w:leader="none"/>
                              </w:tabs>
                              <w:spacing w:line="240" w:lineRule="auto" w:before="22" w:after="0"/>
                              <w:ind w:left="408" w:right="0" w:hanging="321"/>
                              <w:jc w:val="left"/>
                              <w:rPr>
                                <w:rFonts w:ascii="Calibri" w:hAnsi="Calibri"/>
                                <w:b/>
                                <w:sz w:val="16"/>
                              </w:rPr>
                            </w:pPr>
                            <w:r>
                              <w:rPr>
                                <w:rFonts w:ascii="Calibri" w:hAnsi="Calibri"/>
                                <w:b/>
                                <w:color w:val="FFFFFF"/>
                                <w:sz w:val="16"/>
                              </w:rPr>
                              <w:t>HIGH</w:t>
                            </w:r>
                            <w:r>
                              <w:rPr>
                                <w:rFonts w:ascii="Calibri" w:hAnsi="Calibri"/>
                                <w:b/>
                                <w:color w:val="FFFFFF"/>
                                <w:spacing w:val="7"/>
                                <w:sz w:val="16"/>
                              </w:rPr>
                              <w:t> </w:t>
                            </w:r>
                            <w:r>
                              <w:rPr>
                                <w:rFonts w:ascii="Calibri" w:hAnsi="Calibri"/>
                                <w:b/>
                                <w:color w:val="FFFFFF"/>
                                <w:spacing w:val="-5"/>
                                <w:sz w:val="16"/>
                              </w:rPr>
                              <w:t>GDP</w:t>
                            </w:r>
                          </w:p>
                          <w:p>
                            <w:pPr>
                              <w:pStyle w:val="TableParagraph"/>
                              <w:numPr>
                                <w:ilvl w:val="0"/>
                                <w:numId w:val="63"/>
                              </w:numPr>
                              <w:tabs>
                                <w:tab w:pos="404" w:val="left" w:leader="none"/>
                              </w:tabs>
                              <w:spacing w:line="240" w:lineRule="auto" w:before="64" w:after="0"/>
                              <w:ind w:left="404" w:right="0" w:hanging="317"/>
                              <w:jc w:val="left"/>
                              <w:rPr>
                                <w:rFonts w:ascii="Calibri" w:hAnsi="Calibri"/>
                                <w:b/>
                                <w:sz w:val="16"/>
                              </w:rPr>
                            </w:pPr>
                            <w:r>
                              <w:rPr>
                                <w:rFonts w:ascii="Calibri" w:hAnsi="Calibri"/>
                                <w:b/>
                                <w:color w:val="FFFFFF"/>
                                <w:spacing w:val="-2"/>
                                <w:w w:val="105"/>
                                <w:sz w:val="16"/>
                              </w:rPr>
                              <w:t>SHELTER</w:t>
                            </w:r>
                          </w:p>
                          <w:p>
                            <w:pPr>
                              <w:pStyle w:val="TableParagraph"/>
                              <w:numPr>
                                <w:ilvl w:val="0"/>
                                <w:numId w:val="63"/>
                              </w:numPr>
                              <w:tabs>
                                <w:tab w:pos="408" w:val="left" w:leader="none"/>
                              </w:tabs>
                              <w:spacing w:line="189" w:lineRule="exact" w:before="64" w:after="0"/>
                              <w:ind w:left="408" w:right="0" w:hanging="321"/>
                              <w:jc w:val="left"/>
                              <w:rPr>
                                <w:rFonts w:ascii="Calibri" w:hAnsi="Calibri"/>
                                <w:b/>
                                <w:sz w:val="16"/>
                              </w:rPr>
                            </w:pPr>
                            <w:r>
                              <w:rPr>
                                <w:rFonts w:ascii="Calibri" w:hAnsi="Calibri"/>
                                <w:b/>
                                <w:color w:val="FFFFFF"/>
                                <w:spacing w:val="-2"/>
                                <w:w w:val="105"/>
                                <w:sz w:val="16"/>
                              </w:rPr>
                              <w:t>FOOD</w:t>
                            </w:r>
                            <w:r>
                              <w:rPr>
                                <w:rFonts w:ascii="Calibri" w:hAnsi="Calibri"/>
                                <w:b/>
                                <w:color w:val="FFFFFF"/>
                                <w:spacing w:val="-4"/>
                                <w:w w:val="105"/>
                                <w:sz w:val="16"/>
                              </w:rPr>
                              <w:t> </w:t>
                            </w:r>
                            <w:r>
                              <w:rPr>
                                <w:rFonts w:ascii="Calibri" w:hAnsi="Calibri"/>
                                <w:b/>
                                <w:color w:val="FFFFFF"/>
                                <w:spacing w:val="-2"/>
                                <w:w w:val="105"/>
                                <w:sz w:val="16"/>
                              </w:rPr>
                              <w:t>SECURITY</w:t>
                            </w:r>
                          </w:p>
                        </w:tc>
                      </w:tr>
                      <w:tr>
                        <w:trPr>
                          <w:trHeight w:val="232" w:hRule="atLeast"/>
                        </w:trPr>
                        <w:tc>
                          <w:tcPr>
                            <w:tcW w:w="1787" w:type="dxa"/>
                            <w:tcBorders>
                              <w:top w:val="nil"/>
                              <w:bottom w:val="nil"/>
                            </w:tcBorders>
                            <w:shd w:val="clear" w:color="auto" w:fill="006FC0"/>
                          </w:tcPr>
                          <w:p>
                            <w:pPr>
                              <w:pStyle w:val="TableParagraph"/>
                              <w:numPr>
                                <w:ilvl w:val="0"/>
                                <w:numId w:val="64"/>
                              </w:numPr>
                              <w:tabs>
                                <w:tab w:pos="404" w:val="left" w:leader="none"/>
                              </w:tabs>
                              <w:spacing w:line="190" w:lineRule="exact" w:before="22" w:after="0"/>
                              <w:ind w:left="404" w:right="0" w:hanging="317"/>
                              <w:jc w:val="left"/>
                              <w:rPr>
                                <w:rFonts w:ascii="Calibri" w:hAnsi="Calibri"/>
                                <w:b/>
                                <w:sz w:val="16"/>
                              </w:rPr>
                            </w:pPr>
                            <w:r>
                              <w:rPr>
                                <w:rFonts w:ascii="Calibri" w:hAnsi="Calibri"/>
                                <w:b/>
                                <w:color w:val="FFFFFF"/>
                                <w:spacing w:val="-2"/>
                                <w:w w:val="105"/>
                                <w:sz w:val="16"/>
                              </w:rPr>
                              <w:t>MODERNIZATION</w:t>
                            </w:r>
                          </w:p>
                        </w:tc>
                      </w:tr>
                      <w:tr>
                        <w:trPr>
                          <w:trHeight w:val="226" w:hRule="atLeast"/>
                        </w:trPr>
                        <w:tc>
                          <w:tcPr>
                            <w:tcW w:w="1787" w:type="dxa"/>
                            <w:tcBorders>
                              <w:top w:val="nil"/>
                              <w:bottom w:val="nil"/>
                            </w:tcBorders>
                            <w:shd w:val="clear" w:color="auto" w:fill="006FC0"/>
                          </w:tcPr>
                          <w:p>
                            <w:pPr>
                              <w:pStyle w:val="TableParagraph"/>
                              <w:numPr>
                                <w:ilvl w:val="0"/>
                                <w:numId w:val="65"/>
                              </w:numPr>
                              <w:tabs>
                                <w:tab w:pos="408" w:val="left" w:leader="none"/>
                              </w:tabs>
                              <w:spacing w:line="188" w:lineRule="exact" w:before="17" w:after="0"/>
                              <w:ind w:left="408" w:right="0" w:hanging="321"/>
                              <w:jc w:val="left"/>
                              <w:rPr>
                                <w:rFonts w:ascii="Calibri" w:hAnsi="Calibri"/>
                                <w:b/>
                                <w:sz w:val="16"/>
                              </w:rPr>
                            </w:pPr>
                            <w:r>
                              <w:rPr>
                                <w:rFonts w:ascii="Calibri" w:hAnsi="Calibri"/>
                                <w:b/>
                                <w:color w:val="FFFFFF"/>
                                <w:sz w:val="16"/>
                              </w:rPr>
                              <w:t>SOCIAL</w:t>
                            </w:r>
                            <w:r>
                              <w:rPr>
                                <w:rFonts w:ascii="Calibri" w:hAnsi="Calibri"/>
                                <w:b/>
                                <w:color w:val="FFFFFF"/>
                                <w:spacing w:val="11"/>
                                <w:sz w:val="16"/>
                              </w:rPr>
                              <w:t> </w:t>
                            </w:r>
                            <w:r>
                              <w:rPr>
                                <w:rFonts w:ascii="Calibri" w:hAnsi="Calibri"/>
                                <w:b/>
                                <w:color w:val="FFFFFF"/>
                                <w:spacing w:val="-2"/>
                                <w:sz w:val="16"/>
                              </w:rPr>
                              <w:t>STABILITY</w:t>
                            </w:r>
                          </w:p>
                        </w:tc>
                      </w:tr>
                      <w:tr>
                        <w:trPr>
                          <w:trHeight w:val="250" w:hRule="atLeast"/>
                        </w:trPr>
                        <w:tc>
                          <w:tcPr>
                            <w:tcW w:w="1787" w:type="dxa"/>
                            <w:tcBorders>
                              <w:top w:val="nil"/>
                            </w:tcBorders>
                            <w:shd w:val="clear" w:color="auto" w:fill="006FC0"/>
                          </w:tcPr>
                          <w:p>
                            <w:pPr>
                              <w:pStyle w:val="TableParagraph"/>
                              <w:numPr>
                                <w:ilvl w:val="0"/>
                                <w:numId w:val="66"/>
                              </w:numPr>
                              <w:tabs>
                                <w:tab w:pos="406" w:val="left" w:leader="none"/>
                              </w:tabs>
                              <w:spacing w:line="240" w:lineRule="auto" w:before="30" w:after="0"/>
                              <w:ind w:left="406" w:right="0" w:hanging="321"/>
                              <w:jc w:val="left"/>
                              <w:rPr>
                                <w:rFonts w:ascii="Calibri" w:hAnsi="Calibri"/>
                                <w:b/>
                                <w:sz w:val="16"/>
                              </w:rPr>
                            </w:pPr>
                            <w:r>
                              <w:rPr>
                                <w:rFonts w:ascii="Calibri" w:hAnsi="Calibri"/>
                                <w:b/>
                                <w:color w:val="FFFFFF"/>
                                <w:sz w:val="16"/>
                              </w:rPr>
                              <w:t>CAPITAL</w:t>
                            </w:r>
                            <w:r>
                              <w:rPr>
                                <w:rFonts w:ascii="Calibri" w:hAnsi="Calibri"/>
                                <w:b/>
                                <w:color w:val="FFFFFF"/>
                                <w:spacing w:val="-4"/>
                                <w:sz w:val="16"/>
                              </w:rPr>
                              <w:t> </w:t>
                            </w:r>
                            <w:r>
                              <w:rPr>
                                <w:rFonts w:ascii="Calibri" w:hAnsi="Calibri"/>
                                <w:b/>
                                <w:color w:val="FFFFFF"/>
                                <w:spacing w:val="-2"/>
                                <w:sz w:val="16"/>
                              </w:rPr>
                              <w:t>INFLOW</w:t>
                            </w:r>
                          </w:p>
                        </w:tc>
                      </w:tr>
                    </w:tbl>
                    <w:p>
                      <w:pPr>
                        <w:pStyle w:val="BodyText"/>
                      </w:pPr>
                    </w:p>
                  </w:txbxContent>
                </v:textbox>
                <w10:wrap type="topAndBottom"/>
              </v:shape>
            </w:pict>
          </mc:Fallback>
        </mc:AlternateContent>
      </w:r>
    </w:p>
    <w:p>
      <w:pPr>
        <w:pStyle w:val="BodyText"/>
      </w:pPr>
    </w:p>
    <w:p>
      <w:pPr>
        <w:pStyle w:val="BodyText"/>
        <w:spacing w:before="103"/>
      </w:pPr>
    </w:p>
    <w:p>
      <w:pPr>
        <w:pStyle w:val="BodyText"/>
        <w:ind w:left="240" w:right="836"/>
        <w:jc w:val="both"/>
      </w:pPr>
      <w:r>
        <w:rPr>
          <w:b/>
        </w:rPr>
        <w:t>Figure 3.5. </w:t>
      </w:r>
      <w:r>
        <w:rPr/>
        <w:t>A Snapshot of Anambra State‘s Economic Blue Print (Anambra State Bureau of Statistics, 2015)</w:t>
      </w:r>
    </w:p>
    <w:p>
      <w:pPr>
        <w:spacing w:line="360" w:lineRule="auto" w:before="267"/>
        <w:ind w:left="240" w:right="840" w:firstLine="0"/>
        <w:jc w:val="both"/>
        <w:rPr>
          <w:sz w:val="23"/>
        </w:rPr>
      </w:pPr>
      <w:r>
        <w:rPr>
          <w:sz w:val="24"/>
        </w:rPr>
        <w:t>Anambra State enjoys none of the jumbo receipts from the Federation Account derivable from either oil privileges; hence the State finances these sectors through its impressive internally generated revenue (IGR) base. </w:t>
      </w:r>
      <w:r>
        <w:rPr>
          <w:sz w:val="23"/>
        </w:rPr>
        <w:t>These sectors have contributed to the State‘s GDP in varying capacities.</w:t>
      </w:r>
      <w:r>
        <w:rPr>
          <w:spacing w:val="40"/>
          <w:sz w:val="23"/>
        </w:rPr>
        <w:t> </w:t>
      </w:r>
      <w:r>
        <w:rPr>
          <w:sz w:val="23"/>
        </w:rPr>
        <w:t>Table 3.16 shows the contributions of various economic activities to GDP in 2012 and 2013. It is instructive to note that this is the first ever GDP survey conducted by the State </w:t>
      </w:r>
      <w:r>
        <w:rPr>
          <w:spacing w:val="-2"/>
          <w:sz w:val="23"/>
        </w:rPr>
        <w:t>Government.</w:t>
      </w:r>
    </w:p>
    <w:p>
      <w:pPr>
        <w:spacing w:after="0" w:line="360" w:lineRule="auto"/>
        <w:jc w:val="both"/>
        <w:rPr>
          <w:sz w:val="23"/>
        </w:rPr>
        <w:sectPr>
          <w:pgSz w:w="12240" w:h="15840"/>
          <w:pgMar w:header="0" w:footer="1036" w:top="1380" w:bottom="1220" w:left="1200" w:right="600"/>
        </w:sectPr>
      </w:pPr>
    </w:p>
    <w:p>
      <w:pPr>
        <w:pStyle w:val="BodyText"/>
        <w:spacing w:before="72"/>
        <w:ind w:left="240"/>
      </w:pPr>
      <w:r>
        <w:rPr>
          <w:b/>
        </w:rPr>
        <w:t>Table</w:t>
      </w:r>
      <w:r>
        <w:rPr>
          <w:b/>
          <w:spacing w:val="-2"/>
        </w:rPr>
        <w:t> </w:t>
      </w:r>
      <w:r>
        <w:rPr>
          <w:b/>
        </w:rPr>
        <w:t>3.16. </w:t>
      </w:r>
      <w:r>
        <w:rPr/>
        <w:t>Contributions</w:t>
      </w:r>
      <w:r>
        <w:rPr>
          <w:spacing w:val="-1"/>
        </w:rPr>
        <w:t> </w:t>
      </w:r>
      <w:r>
        <w:rPr/>
        <w:t>of Economic</w:t>
      </w:r>
      <w:r>
        <w:rPr>
          <w:spacing w:val="-1"/>
        </w:rPr>
        <w:t> </w:t>
      </w:r>
      <w:r>
        <w:rPr/>
        <w:t>Activities</w:t>
      </w:r>
      <w:r>
        <w:rPr>
          <w:spacing w:val="1"/>
        </w:rPr>
        <w:t> </w:t>
      </w:r>
      <w:r>
        <w:rPr/>
        <w:t>in Anambra</w:t>
      </w:r>
      <w:r>
        <w:rPr>
          <w:spacing w:val="-2"/>
        </w:rPr>
        <w:t> </w:t>
      </w:r>
      <w:r>
        <w:rPr/>
        <w:t>State</w:t>
      </w:r>
      <w:r>
        <w:rPr>
          <w:spacing w:val="-2"/>
        </w:rPr>
        <w:t> </w:t>
      </w:r>
      <w:r>
        <w:rPr/>
        <w:t>to GDP in</w:t>
      </w:r>
      <w:r>
        <w:rPr>
          <w:spacing w:val="-1"/>
        </w:rPr>
        <w:t> </w:t>
      </w:r>
      <w:r>
        <w:rPr/>
        <w:t>2012 and </w:t>
      </w:r>
      <w:r>
        <w:rPr>
          <w:spacing w:val="-4"/>
        </w:rPr>
        <w:t>2013</w:t>
      </w:r>
    </w:p>
    <w:p>
      <w:pPr>
        <w:pStyle w:val="BodyText"/>
        <w:spacing w:before="1" w:after="1"/>
        <w:rPr>
          <w:sz w:val="11"/>
        </w:rPr>
      </w:pPr>
    </w:p>
    <w:tbl>
      <w:tblPr>
        <w:tblW w:w="0" w:type="auto"/>
        <w:jc w:val="left"/>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1"/>
        <w:gridCol w:w="4734"/>
        <w:gridCol w:w="1657"/>
        <w:gridCol w:w="1397"/>
      </w:tblGrid>
      <w:tr>
        <w:trPr>
          <w:trHeight w:val="414" w:hRule="atLeast"/>
        </w:trPr>
        <w:tc>
          <w:tcPr>
            <w:tcW w:w="1351" w:type="dxa"/>
            <w:vMerge w:val="restart"/>
          </w:tcPr>
          <w:p>
            <w:pPr>
              <w:pStyle w:val="TableParagraph"/>
              <w:spacing w:line="275" w:lineRule="exact"/>
              <w:ind w:left="107"/>
              <w:rPr>
                <w:b/>
                <w:sz w:val="24"/>
              </w:rPr>
            </w:pPr>
            <w:r>
              <w:rPr>
                <w:b/>
                <w:spacing w:val="-2"/>
                <w:sz w:val="24"/>
              </w:rPr>
              <w:t>Sectors</w:t>
            </w:r>
          </w:p>
        </w:tc>
        <w:tc>
          <w:tcPr>
            <w:tcW w:w="4734" w:type="dxa"/>
            <w:vMerge w:val="restart"/>
          </w:tcPr>
          <w:p>
            <w:pPr>
              <w:pStyle w:val="TableParagraph"/>
              <w:spacing w:line="273" w:lineRule="exact"/>
              <w:ind w:left="165"/>
              <w:rPr>
                <w:b/>
                <w:sz w:val="24"/>
              </w:rPr>
            </w:pPr>
            <w:r>
              <w:rPr>
                <w:b/>
                <w:spacing w:val="-2"/>
                <w:sz w:val="24"/>
              </w:rPr>
              <w:t>Activities</w:t>
            </w:r>
          </w:p>
        </w:tc>
        <w:tc>
          <w:tcPr>
            <w:tcW w:w="3054" w:type="dxa"/>
            <w:gridSpan w:val="2"/>
          </w:tcPr>
          <w:p>
            <w:pPr>
              <w:pStyle w:val="TableParagraph"/>
              <w:spacing w:line="275" w:lineRule="exact"/>
              <w:ind w:left="162"/>
              <w:rPr>
                <w:b/>
                <w:sz w:val="24"/>
              </w:rPr>
            </w:pPr>
            <w:r>
              <w:rPr>
                <w:b/>
                <w:sz w:val="24"/>
              </w:rPr>
              <w:t>Contributions</w:t>
            </w:r>
            <w:r>
              <w:rPr>
                <w:b/>
                <w:spacing w:val="-2"/>
                <w:sz w:val="24"/>
              </w:rPr>
              <w:t> </w:t>
            </w:r>
            <w:r>
              <w:rPr>
                <w:b/>
                <w:sz w:val="24"/>
              </w:rPr>
              <w:t>to</w:t>
            </w:r>
            <w:r>
              <w:rPr>
                <w:b/>
                <w:spacing w:val="-1"/>
                <w:sz w:val="24"/>
              </w:rPr>
              <w:t> </w:t>
            </w:r>
            <w:r>
              <w:rPr>
                <w:b/>
                <w:sz w:val="24"/>
              </w:rPr>
              <w:t>GDP</w:t>
            </w:r>
            <w:r>
              <w:rPr>
                <w:b/>
                <w:spacing w:val="-3"/>
                <w:sz w:val="24"/>
              </w:rPr>
              <w:t> </w:t>
            </w:r>
            <w:r>
              <w:rPr>
                <w:b/>
                <w:spacing w:val="-5"/>
                <w:sz w:val="24"/>
              </w:rPr>
              <w:t>(%)</w:t>
            </w:r>
          </w:p>
        </w:tc>
      </w:tr>
      <w:tr>
        <w:trPr>
          <w:trHeight w:val="412" w:hRule="atLeast"/>
        </w:trPr>
        <w:tc>
          <w:tcPr>
            <w:tcW w:w="1351" w:type="dxa"/>
            <w:vMerge/>
            <w:tcBorders>
              <w:top w:val="nil"/>
            </w:tcBorders>
          </w:tcPr>
          <w:p>
            <w:pPr>
              <w:rPr>
                <w:sz w:val="2"/>
                <w:szCs w:val="2"/>
              </w:rPr>
            </w:pPr>
          </w:p>
        </w:tc>
        <w:tc>
          <w:tcPr>
            <w:tcW w:w="4734" w:type="dxa"/>
            <w:vMerge/>
            <w:tcBorders>
              <w:top w:val="nil"/>
            </w:tcBorders>
          </w:tcPr>
          <w:p>
            <w:pPr>
              <w:rPr>
                <w:sz w:val="2"/>
                <w:szCs w:val="2"/>
              </w:rPr>
            </w:pPr>
          </w:p>
        </w:tc>
        <w:tc>
          <w:tcPr>
            <w:tcW w:w="1657" w:type="dxa"/>
          </w:tcPr>
          <w:p>
            <w:pPr>
              <w:pStyle w:val="TableParagraph"/>
              <w:spacing w:line="275" w:lineRule="exact"/>
              <w:ind w:left="107"/>
              <w:rPr>
                <w:b/>
                <w:sz w:val="24"/>
              </w:rPr>
            </w:pPr>
            <w:r>
              <w:rPr>
                <w:b/>
                <w:spacing w:val="-4"/>
                <w:sz w:val="24"/>
              </w:rPr>
              <w:t>2012</w:t>
            </w:r>
          </w:p>
        </w:tc>
        <w:tc>
          <w:tcPr>
            <w:tcW w:w="1397" w:type="dxa"/>
          </w:tcPr>
          <w:p>
            <w:pPr>
              <w:pStyle w:val="TableParagraph"/>
              <w:spacing w:line="275" w:lineRule="exact"/>
              <w:ind w:left="107"/>
              <w:rPr>
                <w:b/>
                <w:sz w:val="24"/>
              </w:rPr>
            </w:pPr>
            <w:r>
              <w:rPr>
                <w:b/>
                <w:spacing w:val="-4"/>
                <w:sz w:val="24"/>
              </w:rPr>
              <w:t>2013</w:t>
            </w:r>
          </w:p>
        </w:tc>
      </w:tr>
      <w:tr>
        <w:trPr>
          <w:trHeight w:val="458" w:hRule="atLeast"/>
        </w:trPr>
        <w:tc>
          <w:tcPr>
            <w:tcW w:w="1351" w:type="dxa"/>
            <w:tcBorders>
              <w:bottom w:val="nil"/>
            </w:tcBorders>
          </w:tcPr>
          <w:p>
            <w:pPr>
              <w:pStyle w:val="TableParagraph"/>
              <w:spacing w:line="251" w:lineRule="exact"/>
              <w:ind w:left="107"/>
              <w:rPr>
                <w:b/>
                <w:sz w:val="22"/>
              </w:rPr>
            </w:pPr>
            <w:r>
              <w:rPr>
                <w:b/>
                <w:spacing w:val="-2"/>
                <w:sz w:val="22"/>
              </w:rPr>
              <w:t>Agriculture</w:t>
            </w:r>
          </w:p>
        </w:tc>
        <w:tc>
          <w:tcPr>
            <w:tcW w:w="4734" w:type="dxa"/>
            <w:tcBorders>
              <w:bottom w:val="nil"/>
            </w:tcBorders>
          </w:tcPr>
          <w:p>
            <w:pPr>
              <w:pStyle w:val="TableParagraph"/>
              <w:spacing w:line="223" w:lineRule="exact"/>
              <w:ind w:left="105"/>
              <w:rPr>
                <w:sz w:val="20"/>
              </w:rPr>
            </w:pPr>
            <w:r>
              <w:rPr>
                <w:sz w:val="20"/>
              </w:rPr>
              <w:t>Crop</w:t>
            </w:r>
            <w:r>
              <w:rPr>
                <w:spacing w:val="-3"/>
                <w:sz w:val="20"/>
              </w:rPr>
              <w:t> </w:t>
            </w:r>
            <w:r>
              <w:rPr>
                <w:spacing w:val="-2"/>
                <w:sz w:val="20"/>
              </w:rPr>
              <w:t>Production</w:t>
            </w:r>
          </w:p>
          <w:p>
            <w:pPr>
              <w:pStyle w:val="TableParagraph"/>
              <w:spacing w:line="215" w:lineRule="exact"/>
              <w:ind w:left="105"/>
              <w:rPr>
                <w:sz w:val="20"/>
              </w:rPr>
            </w:pPr>
            <w:r>
              <w:rPr>
                <w:spacing w:val="-2"/>
                <w:sz w:val="20"/>
              </w:rPr>
              <w:t>Livestock</w:t>
            </w:r>
          </w:p>
        </w:tc>
        <w:tc>
          <w:tcPr>
            <w:tcW w:w="1657" w:type="dxa"/>
            <w:tcBorders>
              <w:bottom w:val="nil"/>
            </w:tcBorders>
          </w:tcPr>
          <w:p>
            <w:pPr>
              <w:pStyle w:val="TableParagraph"/>
              <w:spacing w:line="223" w:lineRule="exact"/>
              <w:ind w:left="107"/>
              <w:rPr>
                <w:sz w:val="20"/>
              </w:rPr>
            </w:pPr>
            <w:r>
              <w:rPr>
                <w:spacing w:val="-2"/>
                <w:sz w:val="20"/>
              </w:rPr>
              <w:t>15.99</w:t>
            </w:r>
          </w:p>
          <w:p>
            <w:pPr>
              <w:pStyle w:val="TableParagraph"/>
              <w:spacing w:line="215" w:lineRule="exact"/>
              <w:ind w:left="107"/>
              <w:rPr>
                <w:sz w:val="20"/>
              </w:rPr>
            </w:pPr>
            <w:r>
              <w:rPr>
                <w:spacing w:val="-4"/>
                <w:sz w:val="20"/>
              </w:rPr>
              <w:t>0.18</w:t>
            </w:r>
          </w:p>
        </w:tc>
        <w:tc>
          <w:tcPr>
            <w:tcW w:w="1397" w:type="dxa"/>
            <w:tcBorders>
              <w:bottom w:val="nil"/>
            </w:tcBorders>
          </w:tcPr>
          <w:p>
            <w:pPr>
              <w:pStyle w:val="TableParagraph"/>
              <w:spacing w:line="223" w:lineRule="exact"/>
              <w:ind w:left="107"/>
              <w:rPr>
                <w:sz w:val="20"/>
              </w:rPr>
            </w:pPr>
            <w:r>
              <w:rPr>
                <w:spacing w:val="-2"/>
                <w:sz w:val="20"/>
              </w:rPr>
              <w:t>15.88</w:t>
            </w:r>
          </w:p>
          <w:p>
            <w:pPr>
              <w:pStyle w:val="TableParagraph"/>
              <w:spacing w:line="215" w:lineRule="exact"/>
              <w:ind w:left="107"/>
              <w:rPr>
                <w:sz w:val="20"/>
              </w:rPr>
            </w:pPr>
            <w:r>
              <w:rPr>
                <w:spacing w:val="-4"/>
                <w:sz w:val="20"/>
              </w:rPr>
              <w:t>0.17</w:t>
            </w:r>
          </w:p>
        </w:tc>
      </w:tr>
      <w:tr>
        <w:trPr>
          <w:trHeight w:val="230" w:hRule="atLeast"/>
        </w:trPr>
        <w:tc>
          <w:tcPr>
            <w:tcW w:w="1351" w:type="dxa"/>
            <w:tcBorders>
              <w:top w:val="nil"/>
              <w:bottom w:val="nil"/>
            </w:tcBorders>
          </w:tcPr>
          <w:p>
            <w:pPr>
              <w:pStyle w:val="TableParagraph"/>
              <w:rPr>
                <w:sz w:val="16"/>
              </w:rPr>
            </w:pPr>
          </w:p>
        </w:tc>
        <w:tc>
          <w:tcPr>
            <w:tcW w:w="4734" w:type="dxa"/>
            <w:tcBorders>
              <w:top w:val="nil"/>
              <w:bottom w:val="nil"/>
            </w:tcBorders>
          </w:tcPr>
          <w:p>
            <w:pPr>
              <w:pStyle w:val="TableParagraph"/>
              <w:spacing w:line="210" w:lineRule="exact"/>
              <w:ind w:left="105"/>
              <w:rPr>
                <w:sz w:val="20"/>
              </w:rPr>
            </w:pPr>
            <w:r>
              <w:rPr>
                <w:spacing w:val="-2"/>
                <w:sz w:val="20"/>
              </w:rPr>
              <w:t>Forestry</w:t>
            </w:r>
          </w:p>
        </w:tc>
        <w:tc>
          <w:tcPr>
            <w:tcW w:w="1657" w:type="dxa"/>
            <w:tcBorders>
              <w:top w:val="nil"/>
              <w:bottom w:val="nil"/>
            </w:tcBorders>
          </w:tcPr>
          <w:p>
            <w:pPr>
              <w:pStyle w:val="TableParagraph"/>
              <w:spacing w:line="210" w:lineRule="exact"/>
              <w:ind w:left="107"/>
              <w:rPr>
                <w:sz w:val="20"/>
              </w:rPr>
            </w:pPr>
            <w:r>
              <w:rPr>
                <w:spacing w:val="-4"/>
                <w:sz w:val="20"/>
              </w:rPr>
              <w:t>0.26</w:t>
            </w:r>
          </w:p>
        </w:tc>
        <w:tc>
          <w:tcPr>
            <w:tcW w:w="1397" w:type="dxa"/>
            <w:tcBorders>
              <w:top w:val="nil"/>
              <w:bottom w:val="nil"/>
            </w:tcBorders>
          </w:tcPr>
          <w:p>
            <w:pPr>
              <w:pStyle w:val="TableParagraph"/>
              <w:spacing w:line="210" w:lineRule="exact"/>
              <w:ind w:left="107"/>
              <w:rPr>
                <w:sz w:val="20"/>
              </w:rPr>
            </w:pPr>
            <w:r>
              <w:rPr>
                <w:spacing w:val="-4"/>
                <w:sz w:val="20"/>
              </w:rPr>
              <w:t>0.26</w:t>
            </w:r>
          </w:p>
        </w:tc>
      </w:tr>
      <w:tr>
        <w:trPr>
          <w:trHeight w:val="232" w:hRule="atLeast"/>
        </w:trPr>
        <w:tc>
          <w:tcPr>
            <w:tcW w:w="1351" w:type="dxa"/>
            <w:tcBorders>
              <w:top w:val="nil"/>
            </w:tcBorders>
          </w:tcPr>
          <w:p>
            <w:pPr>
              <w:pStyle w:val="TableParagraph"/>
              <w:rPr>
                <w:sz w:val="16"/>
              </w:rPr>
            </w:pPr>
          </w:p>
        </w:tc>
        <w:tc>
          <w:tcPr>
            <w:tcW w:w="4734" w:type="dxa"/>
            <w:tcBorders>
              <w:top w:val="nil"/>
            </w:tcBorders>
          </w:tcPr>
          <w:p>
            <w:pPr>
              <w:pStyle w:val="TableParagraph"/>
              <w:spacing w:line="213" w:lineRule="exact"/>
              <w:ind w:left="105"/>
              <w:rPr>
                <w:sz w:val="20"/>
              </w:rPr>
            </w:pPr>
            <w:r>
              <w:rPr>
                <w:spacing w:val="-2"/>
                <w:sz w:val="20"/>
              </w:rPr>
              <w:t>Fishing</w:t>
            </w:r>
          </w:p>
        </w:tc>
        <w:tc>
          <w:tcPr>
            <w:tcW w:w="1657" w:type="dxa"/>
            <w:tcBorders>
              <w:top w:val="nil"/>
            </w:tcBorders>
          </w:tcPr>
          <w:p>
            <w:pPr>
              <w:pStyle w:val="TableParagraph"/>
              <w:spacing w:line="213" w:lineRule="exact"/>
              <w:ind w:left="107"/>
              <w:rPr>
                <w:sz w:val="20"/>
              </w:rPr>
            </w:pPr>
            <w:r>
              <w:rPr>
                <w:spacing w:val="-4"/>
                <w:sz w:val="20"/>
              </w:rPr>
              <w:t>0.03</w:t>
            </w:r>
          </w:p>
        </w:tc>
        <w:tc>
          <w:tcPr>
            <w:tcW w:w="1397" w:type="dxa"/>
            <w:tcBorders>
              <w:top w:val="nil"/>
            </w:tcBorders>
          </w:tcPr>
          <w:p>
            <w:pPr>
              <w:pStyle w:val="TableParagraph"/>
              <w:spacing w:line="213" w:lineRule="exact"/>
              <w:ind w:left="107"/>
              <w:rPr>
                <w:sz w:val="20"/>
              </w:rPr>
            </w:pPr>
            <w:r>
              <w:rPr>
                <w:spacing w:val="-4"/>
                <w:sz w:val="20"/>
              </w:rPr>
              <w:t>0.03</w:t>
            </w:r>
          </w:p>
        </w:tc>
      </w:tr>
      <w:tr>
        <w:trPr>
          <w:trHeight w:val="378" w:hRule="atLeast"/>
        </w:trPr>
        <w:tc>
          <w:tcPr>
            <w:tcW w:w="1351" w:type="dxa"/>
          </w:tcPr>
          <w:p>
            <w:pPr>
              <w:pStyle w:val="TableParagraph"/>
              <w:rPr>
                <w:sz w:val="20"/>
              </w:rPr>
            </w:pPr>
          </w:p>
        </w:tc>
        <w:tc>
          <w:tcPr>
            <w:tcW w:w="4734" w:type="dxa"/>
          </w:tcPr>
          <w:p>
            <w:pPr>
              <w:pStyle w:val="TableParagraph"/>
              <w:spacing w:line="228" w:lineRule="exact"/>
              <w:ind w:left="105"/>
              <w:rPr>
                <w:b/>
                <w:sz w:val="20"/>
              </w:rPr>
            </w:pPr>
            <w:r>
              <w:rPr>
                <w:b/>
                <w:sz w:val="20"/>
              </w:rPr>
              <w:t>Sectoral</w:t>
            </w:r>
            <w:r>
              <w:rPr>
                <w:b/>
                <w:spacing w:val="-5"/>
                <w:sz w:val="20"/>
              </w:rPr>
              <w:t> </w:t>
            </w:r>
            <w:r>
              <w:rPr>
                <w:b/>
                <w:spacing w:val="-2"/>
                <w:sz w:val="20"/>
              </w:rPr>
              <w:t>Total</w:t>
            </w:r>
          </w:p>
        </w:tc>
        <w:tc>
          <w:tcPr>
            <w:tcW w:w="1657" w:type="dxa"/>
          </w:tcPr>
          <w:p>
            <w:pPr>
              <w:pStyle w:val="TableParagraph"/>
              <w:spacing w:line="223" w:lineRule="exact"/>
              <w:ind w:left="107"/>
              <w:rPr>
                <w:sz w:val="20"/>
              </w:rPr>
            </w:pPr>
            <w:r>
              <w:rPr>
                <w:spacing w:val="-2"/>
                <w:sz w:val="20"/>
              </w:rPr>
              <w:t>16.46</w:t>
            </w:r>
          </w:p>
        </w:tc>
        <w:tc>
          <w:tcPr>
            <w:tcW w:w="1397" w:type="dxa"/>
          </w:tcPr>
          <w:p>
            <w:pPr>
              <w:pStyle w:val="TableParagraph"/>
              <w:spacing w:line="223" w:lineRule="exact"/>
              <w:ind w:left="107"/>
              <w:rPr>
                <w:sz w:val="20"/>
              </w:rPr>
            </w:pPr>
            <w:r>
              <w:rPr>
                <w:spacing w:val="-2"/>
                <w:sz w:val="20"/>
              </w:rPr>
              <w:t>16.34</w:t>
            </w:r>
          </w:p>
        </w:tc>
      </w:tr>
      <w:tr>
        <w:trPr>
          <w:trHeight w:val="458" w:hRule="atLeast"/>
        </w:trPr>
        <w:tc>
          <w:tcPr>
            <w:tcW w:w="1351" w:type="dxa"/>
            <w:tcBorders>
              <w:bottom w:val="nil"/>
            </w:tcBorders>
          </w:tcPr>
          <w:p>
            <w:pPr>
              <w:pStyle w:val="TableParagraph"/>
              <w:spacing w:line="251" w:lineRule="exact"/>
              <w:ind w:left="107"/>
              <w:rPr>
                <w:b/>
                <w:sz w:val="22"/>
              </w:rPr>
            </w:pPr>
            <w:r>
              <w:rPr>
                <w:b/>
                <w:spacing w:val="-2"/>
                <w:sz w:val="22"/>
              </w:rPr>
              <w:t>Industry</w:t>
            </w:r>
          </w:p>
        </w:tc>
        <w:tc>
          <w:tcPr>
            <w:tcW w:w="4734" w:type="dxa"/>
            <w:tcBorders>
              <w:bottom w:val="nil"/>
            </w:tcBorders>
          </w:tcPr>
          <w:p>
            <w:pPr>
              <w:pStyle w:val="TableParagraph"/>
              <w:spacing w:line="223" w:lineRule="exact"/>
              <w:ind w:left="105"/>
              <w:rPr>
                <w:sz w:val="20"/>
              </w:rPr>
            </w:pPr>
            <w:r>
              <w:rPr>
                <w:spacing w:val="-2"/>
                <w:sz w:val="20"/>
              </w:rPr>
              <w:t>Quarrying</w:t>
            </w:r>
          </w:p>
          <w:p>
            <w:pPr>
              <w:pStyle w:val="TableParagraph"/>
              <w:spacing w:line="215" w:lineRule="exact"/>
              <w:ind w:left="105"/>
              <w:rPr>
                <w:sz w:val="20"/>
              </w:rPr>
            </w:pPr>
            <w:r>
              <w:rPr>
                <w:sz w:val="20"/>
              </w:rPr>
              <w:t>Motor</w:t>
            </w:r>
            <w:r>
              <w:rPr>
                <w:spacing w:val="-6"/>
                <w:sz w:val="20"/>
              </w:rPr>
              <w:t> </w:t>
            </w:r>
            <w:r>
              <w:rPr>
                <w:sz w:val="20"/>
              </w:rPr>
              <w:t>vehicles</w:t>
            </w:r>
            <w:r>
              <w:rPr>
                <w:spacing w:val="-6"/>
                <w:sz w:val="20"/>
              </w:rPr>
              <w:t> </w:t>
            </w:r>
            <w:r>
              <w:rPr>
                <w:sz w:val="20"/>
              </w:rPr>
              <w:t>and</w:t>
            </w:r>
            <w:r>
              <w:rPr>
                <w:spacing w:val="-5"/>
                <w:sz w:val="20"/>
              </w:rPr>
              <w:t> </w:t>
            </w:r>
            <w:r>
              <w:rPr>
                <w:spacing w:val="-2"/>
                <w:sz w:val="20"/>
              </w:rPr>
              <w:t>assembly</w:t>
            </w:r>
          </w:p>
        </w:tc>
        <w:tc>
          <w:tcPr>
            <w:tcW w:w="1657" w:type="dxa"/>
            <w:tcBorders>
              <w:bottom w:val="nil"/>
            </w:tcBorders>
          </w:tcPr>
          <w:p>
            <w:pPr>
              <w:pStyle w:val="TableParagraph"/>
              <w:spacing w:line="223" w:lineRule="exact"/>
              <w:ind w:left="107"/>
              <w:rPr>
                <w:sz w:val="20"/>
              </w:rPr>
            </w:pPr>
            <w:r>
              <w:rPr>
                <w:spacing w:val="-4"/>
                <w:sz w:val="20"/>
              </w:rPr>
              <w:t>0.04</w:t>
            </w:r>
          </w:p>
          <w:p>
            <w:pPr>
              <w:pStyle w:val="TableParagraph"/>
              <w:spacing w:line="215" w:lineRule="exact"/>
              <w:ind w:left="107"/>
              <w:rPr>
                <w:sz w:val="20"/>
              </w:rPr>
            </w:pPr>
            <w:r>
              <w:rPr>
                <w:spacing w:val="-4"/>
                <w:sz w:val="20"/>
              </w:rPr>
              <w:t>1.13</w:t>
            </w:r>
          </w:p>
        </w:tc>
        <w:tc>
          <w:tcPr>
            <w:tcW w:w="1397" w:type="dxa"/>
            <w:tcBorders>
              <w:bottom w:val="nil"/>
            </w:tcBorders>
          </w:tcPr>
          <w:p>
            <w:pPr>
              <w:pStyle w:val="TableParagraph"/>
              <w:spacing w:line="223" w:lineRule="exact"/>
              <w:ind w:left="107"/>
              <w:rPr>
                <w:sz w:val="20"/>
              </w:rPr>
            </w:pPr>
            <w:r>
              <w:rPr>
                <w:spacing w:val="-4"/>
                <w:sz w:val="20"/>
              </w:rPr>
              <w:t>0.04</w:t>
            </w:r>
          </w:p>
          <w:p>
            <w:pPr>
              <w:pStyle w:val="TableParagraph"/>
              <w:spacing w:line="215" w:lineRule="exact"/>
              <w:ind w:left="107"/>
              <w:rPr>
                <w:sz w:val="20"/>
              </w:rPr>
            </w:pPr>
            <w:r>
              <w:rPr>
                <w:spacing w:val="-4"/>
                <w:sz w:val="20"/>
              </w:rPr>
              <w:t>1.01</w:t>
            </w:r>
          </w:p>
        </w:tc>
      </w:tr>
      <w:tr>
        <w:trPr>
          <w:trHeight w:val="230" w:hRule="atLeast"/>
        </w:trPr>
        <w:tc>
          <w:tcPr>
            <w:tcW w:w="1351" w:type="dxa"/>
            <w:tcBorders>
              <w:top w:val="nil"/>
              <w:bottom w:val="nil"/>
            </w:tcBorders>
          </w:tcPr>
          <w:p>
            <w:pPr>
              <w:pStyle w:val="TableParagraph"/>
              <w:rPr>
                <w:sz w:val="16"/>
              </w:rPr>
            </w:pPr>
          </w:p>
        </w:tc>
        <w:tc>
          <w:tcPr>
            <w:tcW w:w="4734" w:type="dxa"/>
            <w:tcBorders>
              <w:top w:val="nil"/>
              <w:bottom w:val="nil"/>
            </w:tcBorders>
          </w:tcPr>
          <w:p>
            <w:pPr>
              <w:pStyle w:val="TableParagraph"/>
              <w:spacing w:line="210" w:lineRule="exact"/>
              <w:ind w:left="105"/>
              <w:rPr>
                <w:sz w:val="20"/>
              </w:rPr>
            </w:pPr>
            <w:r>
              <w:rPr>
                <w:sz w:val="20"/>
              </w:rPr>
              <w:t>Other</w:t>
            </w:r>
            <w:r>
              <w:rPr>
                <w:spacing w:val="-4"/>
                <w:sz w:val="20"/>
              </w:rPr>
              <w:t> </w:t>
            </w:r>
            <w:r>
              <w:rPr>
                <w:spacing w:val="-2"/>
                <w:sz w:val="20"/>
              </w:rPr>
              <w:t>manufacturing</w:t>
            </w:r>
          </w:p>
        </w:tc>
        <w:tc>
          <w:tcPr>
            <w:tcW w:w="1657" w:type="dxa"/>
            <w:tcBorders>
              <w:top w:val="nil"/>
              <w:bottom w:val="nil"/>
            </w:tcBorders>
          </w:tcPr>
          <w:p>
            <w:pPr>
              <w:pStyle w:val="TableParagraph"/>
              <w:spacing w:line="210" w:lineRule="exact"/>
              <w:ind w:left="107"/>
              <w:rPr>
                <w:sz w:val="20"/>
              </w:rPr>
            </w:pPr>
            <w:r>
              <w:rPr>
                <w:spacing w:val="-4"/>
                <w:sz w:val="20"/>
              </w:rPr>
              <w:t>4.16</w:t>
            </w:r>
          </w:p>
        </w:tc>
        <w:tc>
          <w:tcPr>
            <w:tcW w:w="1397" w:type="dxa"/>
            <w:tcBorders>
              <w:top w:val="nil"/>
              <w:bottom w:val="nil"/>
            </w:tcBorders>
          </w:tcPr>
          <w:p>
            <w:pPr>
              <w:pStyle w:val="TableParagraph"/>
              <w:spacing w:line="210" w:lineRule="exact"/>
              <w:ind w:left="107"/>
              <w:rPr>
                <w:sz w:val="20"/>
              </w:rPr>
            </w:pPr>
            <w:r>
              <w:rPr>
                <w:spacing w:val="-4"/>
                <w:sz w:val="20"/>
              </w:rPr>
              <w:t>3.86</w:t>
            </w:r>
          </w:p>
        </w:tc>
      </w:tr>
      <w:tr>
        <w:trPr>
          <w:trHeight w:val="230" w:hRule="atLeast"/>
        </w:trPr>
        <w:tc>
          <w:tcPr>
            <w:tcW w:w="1351" w:type="dxa"/>
            <w:tcBorders>
              <w:top w:val="nil"/>
              <w:bottom w:val="nil"/>
            </w:tcBorders>
          </w:tcPr>
          <w:p>
            <w:pPr>
              <w:pStyle w:val="TableParagraph"/>
              <w:rPr>
                <w:sz w:val="16"/>
              </w:rPr>
            </w:pPr>
          </w:p>
        </w:tc>
        <w:tc>
          <w:tcPr>
            <w:tcW w:w="4734" w:type="dxa"/>
            <w:tcBorders>
              <w:top w:val="nil"/>
              <w:bottom w:val="nil"/>
            </w:tcBorders>
          </w:tcPr>
          <w:p>
            <w:pPr>
              <w:pStyle w:val="TableParagraph"/>
              <w:spacing w:line="211" w:lineRule="exact"/>
              <w:ind w:left="105"/>
              <w:rPr>
                <w:sz w:val="20"/>
              </w:rPr>
            </w:pPr>
            <w:r>
              <w:rPr>
                <w:sz w:val="20"/>
              </w:rPr>
              <w:t>Electricity,</w:t>
            </w:r>
            <w:r>
              <w:rPr>
                <w:spacing w:val="-8"/>
                <w:sz w:val="20"/>
              </w:rPr>
              <w:t> </w:t>
            </w:r>
            <w:r>
              <w:rPr>
                <w:sz w:val="20"/>
              </w:rPr>
              <w:t>Gas,</w:t>
            </w:r>
            <w:r>
              <w:rPr>
                <w:spacing w:val="-7"/>
                <w:sz w:val="20"/>
              </w:rPr>
              <w:t> </w:t>
            </w:r>
            <w:r>
              <w:rPr>
                <w:sz w:val="20"/>
              </w:rPr>
              <w:t>Steam,</w:t>
            </w:r>
            <w:r>
              <w:rPr>
                <w:spacing w:val="-6"/>
                <w:sz w:val="20"/>
              </w:rPr>
              <w:t> </w:t>
            </w:r>
            <w:r>
              <w:rPr>
                <w:sz w:val="20"/>
              </w:rPr>
              <w:t>Air</w:t>
            </w:r>
            <w:r>
              <w:rPr>
                <w:spacing w:val="-5"/>
                <w:sz w:val="20"/>
              </w:rPr>
              <w:t> </w:t>
            </w:r>
            <w:r>
              <w:rPr>
                <w:sz w:val="20"/>
              </w:rPr>
              <w:t>Conditioning</w:t>
            </w:r>
            <w:r>
              <w:rPr>
                <w:spacing w:val="-9"/>
                <w:sz w:val="20"/>
              </w:rPr>
              <w:t> </w:t>
            </w:r>
            <w:r>
              <w:rPr>
                <w:spacing w:val="-2"/>
                <w:sz w:val="20"/>
              </w:rPr>
              <w:t>Supply</w:t>
            </w:r>
          </w:p>
        </w:tc>
        <w:tc>
          <w:tcPr>
            <w:tcW w:w="1657" w:type="dxa"/>
            <w:tcBorders>
              <w:top w:val="nil"/>
              <w:bottom w:val="nil"/>
            </w:tcBorders>
          </w:tcPr>
          <w:p>
            <w:pPr>
              <w:pStyle w:val="TableParagraph"/>
              <w:spacing w:line="211" w:lineRule="exact"/>
              <w:ind w:left="107"/>
              <w:rPr>
                <w:sz w:val="20"/>
              </w:rPr>
            </w:pPr>
            <w:r>
              <w:rPr>
                <w:spacing w:val="-4"/>
                <w:sz w:val="20"/>
              </w:rPr>
              <w:t>0.45</w:t>
            </w:r>
          </w:p>
        </w:tc>
        <w:tc>
          <w:tcPr>
            <w:tcW w:w="1397" w:type="dxa"/>
            <w:tcBorders>
              <w:top w:val="nil"/>
              <w:bottom w:val="nil"/>
            </w:tcBorders>
          </w:tcPr>
          <w:p>
            <w:pPr>
              <w:pStyle w:val="TableParagraph"/>
              <w:spacing w:line="211" w:lineRule="exact"/>
              <w:ind w:left="107"/>
              <w:rPr>
                <w:sz w:val="20"/>
              </w:rPr>
            </w:pPr>
            <w:r>
              <w:rPr>
                <w:spacing w:val="-4"/>
                <w:sz w:val="20"/>
              </w:rPr>
              <w:t>0.55</w:t>
            </w:r>
          </w:p>
        </w:tc>
      </w:tr>
      <w:tr>
        <w:trPr>
          <w:trHeight w:val="229" w:hRule="atLeast"/>
        </w:trPr>
        <w:tc>
          <w:tcPr>
            <w:tcW w:w="1351" w:type="dxa"/>
            <w:tcBorders>
              <w:top w:val="nil"/>
              <w:bottom w:val="nil"/>
            </w:tcBorders>
          </w:tcPr>
          <w:p>
            <w:pPr>
              <w:pStyle w:val="TableParagraph"/>
              <w:rPr>
                <w:sz w:val="16"/>
              </w:rPr>
            </w:pPr>
          </w:p>
        </w:tc>
        <w:tc>
          <w:tcPr>
            <w:tcW w:w="4734" w:type="dxa"/>
            <w:tcBorders>
              <w:top w:val="nil"/>
              <w:bottom w:val="nil"/>
            </w:tcBorders>
          </w:tcPr>
          <w:p>
            <w:pPr>
              <w:pStyle w:val="TableParagraph"/>
              <w:spacing w:line="210" w:lineRule="exact"/>
              <w:ind w:left="105"/>
              <w:rPr>
                <w:sz w:val="20"/>
              </w:rPr>
            </w:pPr>
            <w:r>
              <w:rPr>
                <w:sz w:val="20"/>
              </w:rPr>
              <w:t>Water</w:t>
            </w:r>
            <w:r>
              <w:rPr>
                <w:spacing w:val="-7"/>
                <w:sz w:val="20"/>
              </w:rPr>
              <w:t> </w:t>
            </w:r>
            <w:r>
              <w:rPr>
                <w:sz w:val="20"/>
              </w:rPr>
              <w:t>Supply,</w:t>
            </w:r>
            <w:r>
              <w:rPr>
                <w:spacing w:val="-8"/>
                <w:sz w:val="20"/>
              </w:rPr>
              <w:t> </w:t>
            </w:r>
            <w:r>
              <w:rPr>
                <w:sz w:val="20"/>
              </w:rPr>
              <w:t>Sewage,</w:t>
            </w:r>
            <w:r>
              <w:rPr>
                <w:spacing w:val="-7"/>
                <w:sz w:val="20"/>
              </w:rPr>
              <w:t> </w:t>
            </w:r>
            <w:r>
              <w:rPr>
                <w:sz w:val="20"/>
              </w:rPr>
              <w:t>Waste</w:t>
            </w:r>
            <w:r>
              <w:rPr>
                <w:spacing w:val="-4"/>
                <w:sz w:val="20"/>
              </w:rPr>
              <w:t> </w:t>
            </w:r>
            <w:r>
              <w:rPr>
                <w:sz w:val="20"/>
              </w:rPr>
              <w:t>management</w:t>
            </w:r>
            <w:r>
              <w:rPr>
                <w:spacing w:val="-8"/>
                <w:sz w:val="20"/>
              </w:rPr>
              <w:t> </w:t>
            </w:r>
            <w:r>
              <w:rPr>
                <w:spacing w:val="-5"/>
                <w:sz w:val="20"/>
              </w:rPr>
              <w:t>and</w:t>
            </w:r>
          </w:p>
        </w:tc>
        <w:tc>
          <w:tcPr>
            <w:tcW w:w="1657" w:type="dxa"/>
            <w:tcBorders>
              <w:top w:val="nil"/>
              <w:bottom w:val="nil"/>
            </w:tcBorders>
          </w:tcPr>
          <w:p>
            <w:pPr>
              <w:pStyle w:val="TableParagraph"/>
              <w:spacing w:line="210" w:lineRule="exact"/>
              <w:ind w:left="107"/>
              <w:rPr>
                <w:sz w:val="20"/>
              </w:rPr>
            </w:pPr>
            <w:r>
              <w:rPr>
                <w:spacing w:val="-4"/>
                <w:sz w:val="20"/>
              </w:rPr>
              <w:t>0.07</w:t>
            </w:r>
          </w:p>
        </w:tc>
        <w:tc>
          <w:tcPr>
            <w:tcW w:w="1397" w:type="dxa"/>
            <w:tcBorders>
              <w:top w:val="nil"/>
              <w:bottom w:val="nil"/>
            </w:tcBorders>
          </w:tcPr>
          <w:p>
            <w:pPr>
              <w:pStyle w:val="TableParagraph"/>
              <w:spacing w:line="210" w:lineRule="exact"/>
              <w:ind w:left="107"/>
              <w:rPr>
                <w:sz w:val="20"/>
              </w:rPr>
            </w:pPr>
            <w:r>
              <w:rPr>
                <w:spacing w:val="-4"/>
                <w:sz w:val="20"/>
              </w:rPr>
              <w:t>0.09</w:t>
            </w:r>
          </w:p>
        </w:tc>
      </w:tr>
      <w:tr>
        <w:trPr>
          <w:trHeight w:val="229" w:hRule="atLeast"/>
        </w:trPr>
        <w:tc>
          <w:tcPr>
            <w:tcW w:w="1351" w:type="dxa"/>
            <w:tcBorders>
              <w:top w:val="nil"/>
              <w:bottom w:val="nil"/>
            </w:tcBorders>
          </w:tcPr>
          <w:p>
            <w:pPr>
              <w:pStyle w:val="TableParagraph"/>
              <w:rPr>
                <w:sz w:val="16"/>
              </w:rPr>
            </w:pPr>
          </w:p>
        </w:tc>
        <w:tc>
          <w:tcPr>
            <w:tcW w:w="4734" w:type="dxa"/>
            <w:tcBorders>
              <w:top w:val="nil"/>
              <w:bottom w:val="nil"/>
            </w:tcBorders>
          </w:tcPr>
          <w:p>
            <w:pPr>
              <w:pStyle w:val="TableParagraph"/>
              <w:spacing w:line="209" w:lineRule="exact"/>
              <w:ind w:left="105"/>
              <w:rPr>
                <w:sz w:val="20"/>
              </w:rPr>
            </w:pPr>
            <w:r>
              <w:rPr>
                <w:spacing w:val="-2"/>
                <w:sz w:val="20"/>
              </w:rPr>
              <w:t>Remediation</w:t>
            </w:r>
          </w:p>
        </w:tc>
        <w:tc>
          <w:tcPr>
            <w:tcW w:w="1657" w:type="dxa"/>
            <w:tcBorders>
              <w:top w:val="nil"/>
              <w:bottom w:val="nil"/>
            </w:tcBorders>
          </w:tcPr>
          <w:p>
            <w:pPr>
              <w:pStyle w:val="TableParagraph"/>
              <w:rPr>
                <w:sz w:val="16"/>
              </w:rPr>
            </w:pPr>
          </w:p>
        </w:tc>
        <w:tc>
          <w:tcPr>
            <w:tcW w:w="1397" w:type="dxa"/>
            <w:tcBorders>
              <w:top w:val="nil"/>
              <w:bottom w:val="nil"/>
            </w:tcBorders>
          </w:tcPr>
          <w:p>
            <w:pPr>
              <w:pStyle w:val="TableParagraph"/>
              <w:rPr>
                <w:sz w:val="16"/>
              </w:rPr>
            </w:pPr>
          </w:p>
        </w:tc>
      </w:tr>
      <w:tr>
        <w:trPr>
          <w:trHeight w:val="232" w:hRule="atLeast"/>
        </w:trPr>
        <w:tc>
          <w:tcPr>
            <w:tcW w:w="1351" w:type="dxa"/>
            <w:tcBorders>
              <w:top w:val="nil"/>
            </w:tcBorders>
          </w:tcPr>
          <w:p>
            <w:pPr>
              <w:pStyle w:val="TableParagraph"/>
              <w:rPr>
                <w:sz w:val="16"/>
              </w:rPr>
            </w:pPr>
          </w:p>
        </w:tc>
        <w:tc>
          <w:tcPr>
            <w:tcW w:w="4734" w:type="dxa"/>
            <w:tcBorders>
              <w:top w:val="nil"/>
            </w:tcBorders>
          </w:tcPr>
          <w:p>
            <w:pPr>
              <w:pStyle w:val="TableParagraph"/>
              <w:spacing w:line="213" w:lineRule="exact"/>
              <w:ind w:left="105"/>
              <w:rPr>
                <w:sz w:val="20"/>
              </w:rPr>
            </w:pPr>
            <w:r>
              <w:rPr>
                <w:spacing w:val="-2"/>
                <w:sz w:val="20"/>
              </w:rPr>
              <w:t>Construction</w:t>
            </w:r>
          </w:p>
        </w:tc>
        <w:tc>
          <w:tcPr>
            <w:tcW w:w="1657" w:type="dxa"/>
            <w:tcBorders>
              <w:top w:val="nil"/>
            </w:tcBorders>
          </w:tcPr>
          <w:p>
            <w:pPr>
              <w:pStyle w:val="TableParagraph"/>
              <w:spacing w:line="213" w:lineRule="exact"/>
              <w:ind w:left="107"/>
              <w:rPr>
                <w:sz w:val="20"/>
              </w:rPr>
            </w:pPr>
            <w:r>
              <w:rPr>
                <w:spacing w:val="-4"/>
                <w:sz w:val="20"/>
              </w:rPr>
              <w:t>2.64</w:t>
            </w:r>
          </w:p>
        </w:tc>
        <w:tc>
          <w:tcPr>
            <w:tcW w:w="1397" w:type="dxa"/>
            <w:tcBorders>
              <w:top w:val="nil"/>
            </w:tcBorders>
          </w:tcPr>
          <w:p>
            <w:pPr>
              <w:pStyle w:val="TableParagraph"/>
              <w:spacing w:line="213" w:lineRule="exact"/>
              <w:ind w:left="107"/>
              <w:rPr>
                <w:sz w:val="20"/>
              </w:rPr>
            </w:pPr>
            <w:r>
              <w:rPr>
                <w:spacing w:val="-4"/>
                <w:sz w:val="20"/>
              </w:rPr>
              <w:t>2.79</w:t>
            </w:r>
          </w:p>
        </w:tc>
      </w:tr>
      <w:tr>
        <w:trPr>
          <w:trHeight w:val="378" w:hRule="atLeast"/>
        </w:trPr>
        <w:tc>
          <w:tcPr>
            <w:tcW w:w="1351" w:type="dxa"/>
          </w:tcPr>
          <w:p>
            <w:pPr>
              <w:pStyle w:val="TableParagraph"/>
              <w:rPr>
                <w:sz w:val="20"/>
              </w:rPr>
            </w:pPr>
          </w:p>
        </w:tc>
        <w:tc>
          <w:tcPr>
            <w:tcW w:w="4734" w:type="dxa"/>
          </w:tcPr>
          <w:p>
            <w:pPr>
              <w:pStyle w:val="TableParagraph"/>
              <w:spacing w:line="228" w:lineRule="exact"/>
              <w:ind w:left="105"/>
              <w:rPr>
                <w:b/>
                <w:sz w:val="20"/>
              </w:rPr>
            </w:pPr>
            <w:r>
              <w:rPr>
                <w:b/>
                <w:sz w:val="20"/>
              </w:rPr>
              <w:t>Sectoral</w:t>
            </w:r>
            <w:r>
              <w:rPr>
                <w:b/>
                <w:spacing w:val="-5"/>
                <w:sz w:val="20"/>
              </w:rPr>
              <w:t> </w:t>
            </w:r>
            <w:r>
              <w:rPr>
                <w:b/>
                <w:spacing w:val="-2"/>
                <w:sz w:val="20"/>
              </w:rPr>
              <w:t>Total</w:t>
            </w:r>
          </w:p>
        </w:tc>
        <w:tc>
          <w:tcPr>
            <w:tcW w:w="1657" w:type="dxa"/>
          </w:tcPr>
          <w:p>
            <w:pPr>
              <w:pStyle w:val="TableParagraph"/>
              <w:spacing w:line="223" w:lineRule="exact"/>
              <w:ind w:left="107"/>
              <w:rPr>
                <w:sz w:val="20"/>
              </w:rPr>
            </w:pPr>
            <w:r>
              <w:rPr>
                <w:spacing w:val="-4"/>
                <w:sz w:val="20"/>
              </w:rPr>
              <w:t>8.48</w:t>
            </w:r>
          </w:p>
        </w:tc>
        <w:tc>
          <w:tcPr>
            <w:tcW w:w="1397" w:type="dxa"/>
          </w:tcPr>
          <w:p>
            <w:pPr>
              <w:pStyle w:val="TableParagraph"/>
              <w:spacing w:line="223" w:lineRule="exact"/>
              <w:ind w:left="107"/>
              <w:rPr>
                <w:sz w:val="20"/>
              </w:rPr>
            </w:pPr>
            <w:r>
              <w:rPr>
                <w:spacing w:val="-4"/>
                <w:sz w:val="20"/>
              </w:rPr>
              <w:t>8.34</w:t>
            </w:r>
          </w:p>
        </w:tc>
      </w:tr>
      <w:tr>
        <w:trPr>
          <w:trHeight w:val="458" w:hRule="atLeast"/>
        </w:trPr>
        <w:tc>
          <w:tcPr>
            <w:tcW w:w="1351" w:type="dxa"/>
            <w:tcBorders>
              <w:bottom w:val="nil"/>
            </w:tcBorders>
          </w:tcPr>
          <w:p>
            <w:pPr>
              <w:pStyle w:val="TableParagraph"/>
              <w:spacing w:line="251" w:lineRule="exact"/>
              <w:ind w:left="107"/>
              <w:rPr>
                <w:b/>
                <w:sz w:val="22"/>
              </w:rPr>
            </w:pPr>
            <w:r>
              <w:rPr>
                <w:b/>
                <w:spacing w:val="-2"/>
                <w:sz w:val="22"/>
              </w:rPr>
              <w:t>Services</w:t>
            </w:r>
          </w:p>
        </w:tc>
        <w:tc>
          <w:tcPr>
            <w:tcW w:w="4734" w:type="dxa"/>
            <w:tcBorders>
              <w:bottom w:val="nil"/>
            </w:tcBorders>
          </w:tcPr>
          <w:p>
            <w:pPr>
              <w:pStyle w:val="TableParagraph"/>
              <w:spacing w:line="223" w:lineRule="exact"/>
              <w:ind w:left="105"/>
              <w:rPr>
                <w:sz w:val="20"/>
              </w:rPr>
            </w:pPr>
            <w:r>
              <w:rPr>
                <w:spacing w:val="-2"/>
                <w:sz w:val="20"/>
              </w:rPr>
              <w:t>Trade</w:t>
            </w:r>
          </w:p>
          <w:p>
            <w:pPr>
              <w:pStyle w:val="TableParagraph"/>
              <w:spacing w:line="215" w:lineRule="exact"/>
              <w:ind w:left="105"/>
              <w:rPr>
                <w:sz w:val="20"/>
              </w:rPr>
            </w:pPr>
            <w:r>
              <w:rPr>
                <w:sz w:val="20"/>
              </w:rPr>
              <w:t>Accommodation</w:t>
            </w:r>
            <w:r>
              <w:rPr>
                <w:spacing w:val="-8"/>
                <w:sz w:val="20"/>
              </w:rPr>
              <w:t> </w:t>
            </w:r>
            <w:r>
              <w:rPr>
                <w:sz w:val="20"/>
              </w:rPr>
              <w:t>and</w:t>
            </w:r>
            <w:r>
              <w:rPr>
                <w:spacing w:val="-6"/>
                <w:sz w:val="20"/>
              </w:rPr>
              <w:t> </w:t>
            </w:r>
            <w:r>
              <w:rPr>
                <w:sz w:val="20"/>
              </w:rPr>
              <w:t>Food</w:t>
            </w:r>
            <w:r>
              <w:rPr>
                <w:spacing w:val="-6"/>
                <w:sz w:val="20"/>
              </w:rPr>
              <w:t> </w:t>
            </w:r>
            <w:r>
              <w:rPr>
                <w:spacing w:val="-2"/>
                <w:sz w:val="20"/>
              </w:rPr>
              <w:t>Services</w:t>
            </w:r>
          </w:p>
        </w:tc>
        <w:tc>
          <w:tcPr>
            <w:tcW w:w="1657" w:type="dxa"/>
            <w:tcBorders>
              <w:bottom w:val="nil"/>
            </w:tcBorders>
          </w:tcPr>
          <w:p>
            <w:pPr>
              <w:pStyle w:val="TableParagraph"/>
              <w:spacing w:line="223" w:lineRule="exact"/>
              <w:ind w:left="107"/>
              <w:rPr>
                <w:sz w:val="20"/>
              </w:rPr>
            </w:pPr>
            <w:r>
              <w:rPr>
                <w:spacing w:val="-2"/>
                <w:sz w:val="20"/>
              </w:rPr>
              <w:t>40.78</w:t>
            </w:r>
          </w:p>
          <w:p>
            <w:pPr>
              <w:pStyle w:val="TableParagraph"/>
              <w:spacing w:line="215" w:lineRule="exact"/>
              <w:ind w:left="107"/>
              <w:rPr>
                <w:sz w:val="20"/>
              </w:rPr>
            </w:pPr>
            <w:r>
              <w:rPr>
                <w:spacing w:val="-4"/>
                <w:sz w:val="20"/>
              </w:rPr>
              <w:t>0.57</w:t>
            </w:r>
          </w:p>
        </w:tc>
        <w:tc>
          <w:tcPr>
            <w:tcW w:w="1397" w:type="dxa"/>
            <w:tcBorders>
              <w:bottom w:val="nil"/>
            </w:tcBorders>
          </w:tcPr>
          <w:p>
            <w:pPr>
              <w:pStyle w:val="TableParagraph"/>
              <w:spacing w:line="223" w:lineRule="exact"/>
              <w:ind w:left="107"/>
              <w:rPr>
                <w:sz w:val="20"/>
              </w:rPr>
            </w:pPr>
            <w:r>
              <w:rPr>
                <w:spacing w:val="-2"/>
                <w:sz w:val="20"/>
              </w:rPr>
              <w:t>39.16</w:t>
            </w:r>
          </w:p>
          <w:p>
            <w:pPr>
              <w:pStyle w:val="TableParagraph"/>
              <w:spacing w:line="215" w:lineRule="exact"/>
              <w:ind w:left="107"/>
              <w:rPr>
                <w:sz w:val="20"/>
              </w:rPr>
            </w:pPr>
            <w:r>
              <w:rPr>
                <w:spacing w:val="-4"/>
                <w:sz w:val="20"/>
              </w:rPr>
              <w:t>0.57</w:t>
            </w:r>
          </w:p>
        </w:tc>
      </w:tr>
      <w:tr>
        <w:trPr>
          <w:trHeight w:val="230" w:hRule="atLeast"/>
        </w:trPr>
        <w:tc>
          <w:tcPr>
            <w:tcW w:w="1351" w:type="dxa"/>
            <w:tcBorders>
              <w:top w:val="nil"/>
              <w:bottom w:val="nil"/>
            </w:tcBorders>
          </w:tcPr>
          <w:p>
            <w:pPr>
              <w:pStyle w:val="TableParagraph"/>
              <w:rPr>
                <w:sz w:val="16"/>
              </w:rPr>
            </w:pPr>
          </w:p>
        </w:tc>
        <w:tc>
          <w:tcPr>
            <w:tcW w:w="4734" w:type="dxa"/>
            <w:tcBorders>
              <w:top w:val="nil"/>
              <w:bottom w:val="nil"/>
            </w:tcBorders>
          </w:tcPr>
          <w:p>
            <w:pPr>
              <w:pStyle w:val="TableParagraph"/>
              <w:spacing w:line="210" w:lineRule="exact"/>
              <w:ind w:left="105"/>
              <w:rPr>
                <w:sz w:val="20"/>
              </w:rPr>
            </w:pPr>
            <w:r>
              <w:rPr>
                <w:sz w:val="20"/>
              </w:rPr>
              <w:t>Road</w:t>
            </w:r>
            <w:r>
              <w:rPr>
                <w:spacing w:val="-4"/>
                <w:sz w:val="20"/>
              </w:rPr>
              <w:t> </w:t>
            </w:r>
            <w:r>
              <w:rPr>
                <w:spacing w:val="-2"/>
                <w:sz w:val="20"/>
              </w:rPr>
              <w:t>Transport</w:t>
            </w:r>
          </w:p>
        </w:tc>
        <w:tc>
          <w:tcPr>
            <w:tcW w:w="1657" w:type="dxa"/>
            <w:tcBorders>
              <w:top w:val="nil"/>
              <w:bottom w:val="nil"/>
            </w:tcBorders>
          </w:tcPr>
          <w:p>
            <w:pPr>
              <w:pStyle w:val="TableParagraph"/>
              <w:spacing w:line="210" w:lineRule="exact"/>
              <w:ind w:left="107"/>
              <w:rPr>
                <w:sz w:val="20"/>
              </w:rPr>
            </w:pPr>
            <w:r>
              <w:rPr>
                <w:spacing w:val="-4"/>
                <w:sz w:val="20"/>
              </w:rPr>
              <w:t>3.31</w:t>
            </w:r>
          </w:p>
        </w:tc>
        <w:tc>
          <w:tcPr>
            <w:tcW w:w="1397" w:type="dxa"/>
            <w:tcBorders>
              <w:top w:val="nil"/>
              <w:bottom w:val="nil"/>
            </w:tcBorders>
          </w:tcPr>
          <w:p>
            <w:pPr>
              <w:pStyle w:val="TableParagraph"/>
              <w:spacing w:line="210" w:lineRule="exact"/>
              <w:ind w:left="107"/>
              <w:rPr>
                <w:sz w:val="20"/>
              </w:rPr>
            </w:pPr>
            <w:r>
              <w:rPr>
                <w:spacing w:val="-4"/>
                <w:sz w:val="20"/>
              </w:rPr>
              <w:t>3.28</w:t>
            </w:r>
          </w:p>
        </w:tc>
      </w:tr>
      <w:tr>
        <w:trPr>
          <w:trHeight w:val="230" w:hRule="atLeast"/>
        </w:trPr>
        <w:tc>
          <w:tcPr>
            <w:tcW w:w="1351" w:type="dxa"/>
            <w:tcBorders>
              <w:top w:val="nil"/>
              <w:bottom w:val="nil"/>
            </w:tcBorders>
          </w:tcPr>
          <w:p>
            <w:pPr>
              <w:pStyle w:val="TableParagraph"/>
              <w:rPr>
                <w:sz w:val="16"/>
              </w:rPr>
            </w:pPr>
          </w:p>
        </w:tc>
        <w:tc>
          <w:tcPr>
            <w:tcW w:w="4734" w:type="dxa"/>
            <w:tcBorders>
              <w:top w:val="nil"/>
              <w:bottom w:val="nil"/>
            </w:tcBorders>
          </w:tcPr>
          <w:p>
            <w:pPr>
              <w:pStyle w:val="TableParagraph"/>
              <w:spacing w:line="210" w:lineRule="exact"/>
              <w:ind w:left="105"/>
              <w:rPr>
                <w:sz w:val="20"/>
              </w:rPr>
            </w:pPr>
            <w:r>
              <w:rPr>
                <w:sz w:val="20"/>
              </w:rPr>
              <w:t>Transport</w:t>
            </w:r>
            <w:r>
              <w:rPr>
                <w:spacing w:val="-7"/>
                <w:sz w:val="20"/>
              </w:rPr>
              <w:t> </w:t>
            </w:r>
            <w:r>
              <w:rPr>
                <w:spacing w:val="-2"/>
                <w:sz w:val="20"/>
              </w:rPr>
              <w:t>Services</w:t>
            </w:r>
          </w:p>
        </w:tc>
        <w:tc>
          <w:tcPr>
            <w:tcW w:w="1657" w:type="dxa"/>
            <w:tcBorders>
              <w:top w:val="nil"/>
              <w:bottom w:val="nil"/>
            </w:tcBorders>
          </w:tcPr>
          <w:p>
            <w:pPr>
              <w:pStyle w:val="TableParagraph"/>
              <w:spacing w:line="210" w:lineRule="exact"/>
              <w:ind w:left="107"/>
              <w:rPr>
                <w:sz w:val="20"/>
              </w:rPr>
            </w:pPr>
            <w:r>
              <w:rPr>
                <w:spacing w:val="-4"/>
                <w:sz w:val="20"/>
              </w:rPr>
              <w:t>0.23</w:t>
            </w:r>
          </w:p>
        </w:tc>
        <w:tc>
          <w:tcPr>
            <w:tcW w:w="1397" w:type="dxa"/>
            <w:tcBorders>
              <w:top w:val="nil"/>
              <w:bottom w:val="nil"/>
            </w:tcBorders>
          </w:tcPr>
          <w:p>
            <w:pPr>
              <w:pStyle w:val="TableParagraph"/>
              <w:spacing w:line="210" w:lineRule="exact"/>
              <w:ind w:left="107"/>
              <w:rPr>
                <w:sz w:val="20"/>
              </w:rPr>
            </w:pPr>
            <w:r>
              <w:rPr>
                <w:spacing w:val="-4"/>
                <w:sz w:val="20"/>
              </w:rPr>
              <w:t>0.25</w:t>
            </w:r>
          </w:p>
        </w:tc>
      </w:tr>
      <w:tr>
        <w:trPr>
          <w:trHeight w:val="230" w:hRule="atLeast"/>
        </w:trPr>
        <w:tc>
          <w:tcPr>
            <w:tcW w:w="1351" w:type="dxa"/>
            <w:tcBorders>
              <w:top w:val="nil"/>
              <w:bottom w:val="nil"/>
            </w:tcBorders>
          </w:tcPr>
          <w:p>
            <w:pPr>
              <w:pStyle w:val="TableParagraph"/>
              <w:rPr>
                <w:sz w:val="16"/>
              </w:rPr>
            </w:pPr>
          </w:p>
        </w:tc>
        <w:tc>
          <w:tcPr>
            <w:tcW w:w="4734" w:type="dxa"/>
            <w:tcBorders>
              <w:top w:val="nil"/>
              <w:bottom w:val="nil"/>
            </w:tcBorders>
          </w:tcPr>
          <w:p>
            <w:pPr>
              <w:pStyle w:val="TableParagraph"/>
              <w:spacing w:line="210" w:lineRule="exact"/>
              <w:ind w:left="105"/>
              <w:rPr>
                <w:sz w:val="20"/>
              </w:rPr>
            </w:pPr>
            <w:r>
              <w:rPr>
                <w:sz w:val="20"/>
              </w:rPr>
              <w:t>Telecommunication</w:t>
            </w:r>
            <w:r>
              <w:rPr>
                <w:spacing w:val="-11"/>
                <w:sz w:val="20"/>
              </w:rPr>
              <w:t> </w:t>
            </w:r>
            <w:r>
              <w:rPr>
                <w:sz w:val="20"/>
              </w:rPr>
              <w:t>and</w:t>
            </w:r>
            <w:r>
              <w:rPr>
                <w:spacing w:val="-10"/>
                <w:sz w:val="20"/>
              </w:rPr>
              <w:t> </w:t>
            </w:r>
            <w:r>
              <w:rPr>
                <w:sz w:val="20"/>
              </w:rPr>
              <w:t>Information</w:t>
            </w:r>
            <w:r>
              <w:rPr>
                <w:spacing w:val="-9"/>
                <w:sz w:val="20"/>
              </w:rPr>
              <w:t> </w:t>
            </w:r>
            <w:r>
              <w:rPr>
                <w:spacing w:val="-2"/>
                <w:sz w:val="20"/>
              </w:rPr>
              <w:t>Services</w:t>
            </w:r>
          </w:p>
        </w:tc>
        <w:tc>
          <w:tcPr>
            <w:tcW w:w="1657" w:type="dxa"/>
            <w:tcBorders>
              <w:top w:val="nil"/>
              <w:bottom w:val="nil"/>
            </w:tcBorders>
          </w:tcPr>
          <w:p>
            <w:pPr>
              <w:pStyle w:val="TableParagraph"/>
              <w:spacing w:line="210" w:lineRule="exact"/>
              <w:ind w:left="107"/>
              <w:rPr>
                <w:sz w:val="20"/>
              </w:rPr>
            </w:pPr>
            <w:r>
              <w:rPr>
                <w:spacing w:val="-4"/>
                <w:sz w:val="20"/>
              </w:rPr>
              <w:t>2.63</w:t>
            </w:r>
          </w:p>
        </w:tc>
        <w:tc>
          <w:tcPr>
            <w:tcW w:w="1397" w:type="dxa"/>
            <w:tcBorders>
              <w:top w:val="nil"/>
              <w:bottom w:val="nil"/>
            </w:tcBorders>
          </w:tcPr>
          <w:p>
            <w:pPr>
              <w:pStyle w:val="TableParagraph"/>
              <w:spacing w:line="210" w:lineRule="exact"/>
              <w:ind w:left="107"/>
              <w:rPr>
                <w:sz w:val="20"/>
              </w:rPr>
            </w:pPr>
            <w:r>
              <w:rPr>
                <w:spacing w:val="-4"/>
                <w:sz w:val="20"/>
              </w:rPr>
              <w:t>3.30</w:t>
            </w:r>
          </w:p>
        </w:tc>
      </w:tr>
      <w:tr>
        <w:trPr>
          <w:trHeight w:val="229" w:hRule="atLeast"/>
        </w:trPr>
        <w:tc>
          <w:tcPr>
            <w:tcW w:w="1351" w:type="dxa"/>
            <w:tcBorders>
              <w:top w:val="nil"/>
              <w:bottom w:val="nil"/>
            </w:tcBorders>
          </w:tcPr>
          <w:p>
            <w:pPr>
              <w:pStyle w:val="TableParagraph"/>
              <w:rPr>
                <w:sz w:val="16"/>
              </w:rPr>
            </w:pPr>
          </w:p>
        </w:tc>
        <w:tc>
          <w:tcPr>
            <w:tcW w:w="4734" w:type="dxa"/>
            <w:tcBorders>
              <w:top w:val="nil"/>
              <w:bottom w:val="nil"/>
            </w:tcBorders>
          </w:tcPr>
          <w:p>
            <w:pPr>
              <w:pStyle w:val="TableParagraph"/>
              <w:spacing w:line="209" w:lineRule="exact"/>
              <w:ind w:left="105"/>
              <w:rPr>
                <w:sz w:val="20"/>
              </w:rPr>
            </w:pPr>
            <w:r>
              <w:rPr>
                <w:spacing w:val="-2"/>
                <w:sz w:val="20"/>
              </w:rPr>
              <w:t>Publishing</w:t>
            </w:r>
          </w:p>
        </w:tc>
        <w:tc>
          <w:tcPr>
            <w:tcW w:w="1657" w:type="dxa"/>
            <w:tcBorders>
              <w:top w:val="nil"/>
              <w:bottom w:val="nil"/>
            </w:tcBorders>
          </w:tcPr>
          <w:p>
            <w:pPr>
              <w:pStyle w:val="TableParagraph"/>
              <w:spacing w:line="209" w:lineRule="exact"/>
              <w:ind w:left="107"/>
              <w:rPr>
                <w:sz w:val="20"/>
              </w:rPr>
            </w:pPr>
            <w:r>
              <w:rPr>
                <w:spacing w:val="-4"/>
                <w:sz w:val="20"/>
              </w:rPr>
              <w:t>2.15</w:t>
            </w:r>
          </w:p>
        </w:tc>
        <w:tc>
          <w:tcPr>
            <w:tcW w:w="1397" w:type="dxa"/>
            <w:tcBorders>
              <w:top w:val="nil"/>
              <w:bottom w:val="nil"/>
            </w:tcBorders>
          </w:tcPr>
          <w:p>
            <w:pPr>
              <w:pStyle w:val="TableParagraph"/>
              <w:spacing w:line="209" w:lineRule="exact"/>
              <w:ind w:left="107"/>
              <w:rPr>
                <w:sz w:val="20"/>
              </w:rPr>
            </w:pPr>
            <w:r>
              <w:rPr>
                <w:spacing w:val="-4"/>
                <w:sz w:val="20"/>
              </w:rPr>
              <w:t>2.00</w:t>
            </w:r>
          </w:p>
        </w:tc>
      </w:tr>
      <w:tr>
        <w:trPr>
          <w:trHeight w:val="229" w:hRule="atLeast"/>
        </w:trPr>
        <w:tc>
          <w:tcPr>
            <w:tcW w:w="1351" w:type="dxa"/>
            <w:tcBorders>
              <w:top w:val="nil"/>
              <w:bottom w:val="nil"/>
            </w:tcBorders>
          </w:tcPr>
          <w:p>
            <w:pPr>
              <w:pStyle w:val="TableParagraph"/>
              <w:rPr>
                <w:sz w:val="16"/>
              </w:rPr>
            </w:pPr>
          </w:p>
        </w:tc>
        <w:tc>
          <w:tcPr>
            <w:tcW w:w="4734" w:type="dxa"/>
            <w:tcBorders>
              <w:top w:val="nil"/>
              <w:bottom w:val="nil"/>
            </w:tcBorders>
          </w:tcPr>
          <w:p>
            <w:pPr>
              <w:pStyle w:val="TableParagraph"/>
              <w:spacing w:line="209" w:lineRule="exact"/>
              <w:ind w:left="105"/>
              <w:rPr>
                <w:sz w:val="20"/>
              </w:rPr>
            </w:pPr>
            <w:r>
              <w:rPr>
                <w:sz w:val="20"/>
              </w:rPr>
              <w:t>Motion</w:t>
            </w:r>
            <w:r>
              <w:rPr>
                <w:spacing w:val="-8"/>
                <w:sz w:val="20"/>
              </w:rPr>
              <w:t> </w:t>
            </w:r>
            <w:r>
              <w:rPr>
                <w:sz w:val="20"/>
              </w:rPr>
              <w:t>Pictures,</w:t>
            </w:r>
            <w:r>
              <w:rPr>
                <w:spacing w:val="-6"/>
                <w:sz w:val="20"/>
              </w:rPr>
              <w:t> </w:t>
            </w:r>
            <w:r>
              <w:rPr>
                <w:sz w:val="20"/>
              </w:rPr>
              <w:t>Sound</w:t>
            </w:r>
            <w:r>
              <w:rPr>
                <w:spacing w:val="-5"/>
                <w:sz w:val="20"/>
              </w:rPr>
              <w:t> </w:t>
            </w:r>
            <w:r>
              <w:rPr>
                <w:sz w:val="20"/>
              </w:rPr>
              <w:t>recording</w:t>
            </w:r>
            <w:r>
              <w:rPr>
                <w:spacing w:val="-7"/>
                <w:sz w:val="20"/>
              </w:rPr>
              <w:t> </w:t>
            </w:r>
            <w:r>
              <w:rPr>
                <w:sz w:val="20"/>
              </w:rPr>
              <w:t>and</w:t>
            </w:r>
            <w:r>
              <w:rPr>
                <w:spacing w:val="-6"/>
                <w:sz w:val="20"/>
              </w:rPr>
              <w:t> </w:t>
            </w:r>
            <w:r>
              <w:rPr>
                <w:sz w:val="20"/>
              </w:rPr>
              <w:t>Music</w:t>
            </w:r>
            <w:r>
              <w:rPr>
                <w:spacing w:val="-6"/>
                <w:sz w:val="20"/>
              </w:rPr>
              <w:t> </w:t>
            </w:r>
            <w:r>
              <w:rPr>
                <w:spacing w:val="-2"/>
                <w:sz w:val="20"/>
              </w:rPr>
              <w:t>production</w:t>
            </w:r>
          </w:p>
        </w:tc>
        <w:tc>
          <w:tcPr>
            <w:tcW w:w="1657" w:type="dxa"/>
            <w:tcBorders>
              <w:top w:val="nil"/>
              <w:bottom w:val="nil"/>
            </w:tcBorders>
          </w:tcPr>
          <w:p>
            <w:pPr>
              <w:pStyle w:val="TableParagraph"/>
              <w:spacing w:line="209" w:lineRule="exact"/>
              <w:ind w:left="107"/>
              <w:rPr>
                <w:sz w:val="20"/>
              </w:rPr>
            </w:pPr>
            <w:r>
              <w:rPr>
                <w:spacing w:val="-4"/>
                <w:sz w:val="20"/>
              </w:rPr>
              <w:t>3.12</w:t>
            </w:r>
          </w:p>
        </w:tc>
        <w:tc>
          <w:tcPr>
            <w:tcW w:w="1397" w:type="dxa"/>
            <w:tcBorders>
              <w:top w:val="nil"/>
              <w:bottom w:val="nil"/>
            </w:tcBorders>
          </w:tcPr>
          <w:p>
            <w:pPr>
              <w:pStyle w:val="TableParagraph"/>
              <w:spacing w:line="209" w:lineRule="exact"/>
              <w:ind w:left="107"/>
              <w:rPr>
                <w:sz w:val="20"/>
              </w:rPr>
            </w:pPr>
            <w:r>
              <w:rPr>
                <w:spacing w:val="-4"/>
                <w:sz w:val="20"/>
              </w:rPr>
              <w:t>3.47</w:t>
            </w:r>
          </w:p>
        </w:tc>
      </w:tr>
      <w:tr>
        <w:trPr>
          <w:trHeight w:val="230" w:hRule="atLeast"/>
        </w:trPr>
        <w:tc>
          <w:tcPr>
            <w:tcW w:w="1351" w:type="dxa"/>
            <w:tcBorders>
              <w:top w:val="nil"/>
              <w:bottom w:val="nil"/>
            </w:tcBorders>
          </w:tcPr>
          <w:p>
            <w:pPr>
              <w:pStyle w:val="TableParagraph"/>
              <w:rPr>
                <w:sz w:val="16"/>
              </w:rPr>
            </w:pPr>
          </w:p>
        </w:tc>
        <w:tc>
          <w:tcPr>
            <w:tcW w:w="4734" w:type="dxa"/>
            <w:tcBorders>
              <w:top w:val="nil"/>
              <w:bottom w:val="nil"/>
            </w:tcBorders>
          </w:tcPr>
          <w:p>
            <w:pPr>
              <w:pStyle w:val="TableParagraph"/>
              <w:spacing w:line="210" w:lineRule="exact"/>
              <w:ind w:left="105"/>
              <w:rPr>
                <w:sz w:val="20"/>
              </w:rPr>
            </w:pPr>
            <w:r>
              <w:rPr>
                <w:spacing w:val="-2"/>
                <w:sz w:val="20"/>
              </w:rPr>
              <w:t>Broadcasting</w:t>
            </w:r>
          </w:p>
        </w:tc>
        <w:tc>
          <w:tcPr>
            <w:tcW w:w="1657" w:type="dxa"/>
            <w:tcBorders>
              <w:top w:val="nil"/>
              <w:bottom w:val="nil"/>
            </w:tcBorders>
          </w:tcPr>
          <w:p>
            <w:pPr>
              <w:pStyle w:val="TableParagraph"/>
              <w:spacing w:line="210" w:lineRule="exact"/>
              <w:ind w:left="107"/>
              <w:rPr>
                <w:sz w:val="20"/>
              </w:rPr>
            </w:pPr>
            <w:r>
              <w:rPr>
                <w:spacing w:val="-4"/>
                <w:sz w:val="20"/>
              </w:rPr>
              <w:t>0.61</w:t>
            </w:r>
          </w:p>
        </w:tc>
        <w:tc>
          <w:tcPr>
            <w:tcW w:w="1397" w:type="dxa"/>
            <w:tcBorders>
              <w:top w:val="nil"/>
              <w:bottom w:val="nil"/>
            </w:tcBorders>
          </w:tcPr>
          <w:p>
            <w:pPr>
              <w:pStyle w:val="TableParagraph"/>
              <w:spacing w:line="210" w:lineRule="exact"/>
              <w:ind w:left="107"/>
              <w:rPr>
                <w:sz w:val="20"/>
              </w:rPr>
            </w:pPr>
            <w:r>
              <w:rPr>
                <w:spacing w:val="-4"/>
                <w:sz w:val="20"/>
              </w:rPr>
              <w:t>0.80</w:t>
            </w:r>
          </w:p>
        </w:tc>
      </w:tr>
      <w:tr>
        <w:trPr>
          <w:trHeight w:val="230" w:hRule="atLeast"/>
        </w:trPr>
        <w:tc>
          <w:tcPr>
            <w:tcW w:w="1351" w:type="dxa"/>
            <w:tcBorders>
              <w:top w:val="nil"/>
              <w:bottom w:val="nil"/>
            </w:tcBorders>
          </w:tcPr>
          <w:p>
            <w:pPr>
              <w:pStyle w:val="TableParagraph"/>
              <w:rPr>
                <w:sz w:val="16"/>
              </w:rPr>
            </w:pPr>
          </w:p>
        </w:tc>
        <w:tc>
          <w:tcPr>
            <w:tcW w:w="4734" w:type="dxa"/>
            <w:tcBorders>
              <w:top w:val="nil"/>
              <w:bottom w:val="nil"/>
            </w:tcBorders>
          </w:tcPr>
          <w:p>
            <w:pPr>
              <w:pStyle w:val="TableParagraph"/>
              <w:spacing w:line="210" w:lineRule="exact"/>
              <w:ind w:left="105"/>
              <w:rPr>
                <w:sz w:val="20"/>
              </w:rPr>
            </w:pPr>
            <w:r>
              <w:rPr>
                <w:sz w:val="20"/>
              </w:rPr>
              <w:t>Arts,</w:t>
            </w:r>
            <w:r>
              <w:rPr>
                <w:spacing w:val="-8"/>
                <w:sz w:val="20"/>
              </w:rPr>
              <w:t> </w:t>
            </w:r>
            <w:r>
              <w:rPr>
                <w:sz w:val="20"/>
              </w:rPr>
              <w:t>Entertainment</w:t>
            </w:r>
            <w:r>
              <w:rPr>
                <w:spacing w:val="-6"/>
                <w:sz w:val="20"/>
              </w:rPr>
              <w:t> </w:t>
            </w:r>
            <w:r>
              <w:rPr>
                <w:sz w:val="20"/>
              </w:rPr>
              <w:t>and</w:t>
            </w:r>
            <w:r>
              <w:rPr>
                <w:spacing w:val="-7"/>
                <w:sz w:val="20"/>
              </w:rPr>
              <w:t> </w:t>
            </w:r>
            <w:r>
              <w:rPr>
                <w:spacing w:val="-2"/>
                <w:sz w:val="20"/>
              </w:rPr>
              <w:t>Recreation</w:t>
            </w:r>
          </w:p>
        </w:tc>
        <w:tc>
          <w:tcPr>
            <w:tcW w:w="1657" w:type="dxa"/>
            <w:tcBorders>
              <w:top w:val="nil"/>
              <w:bottom w:val="nil"/>
            </w:tcBorders>
          </w:tcPr>
          <w:p>
            <w:pPr>
              <w:pStyle w:val="TableParagraph"/>
              <w:spacing w:line="210" w:lineRule="exact"/>
              <w:ind w:left="107"/>
              <w:rPr>
                <w:sz w:val="20"/>
              </w:rPr>
            </w:pPr>
            <w:r>
              <w:rPr>
                <w:spacing w:val="-4"/>
                <w:sz w:val="20"/>
              </w:rPr>
              <w:t>0.00</w:t>
            </w:r>
          </w:p>
        </w:tc>
        <w:tc>
          <w:tcPr>
            <w:tcW w:w="1397" w:type="dxa"/>
            <w:tcBorders>
              <w:top w:val="nil"/>
              <w:bottom w:val="nil"/>
            </w:tcBorders>
          </w:tcPr>
          <w:p>
            <w:pPr>
              <w:pStyle w:val="TableParagraph"/>
              <w:spacing w:line="210" w:lineRule="exact"/>
              <w:ind w:left="107"/>
              <w:rPr>
                <w:sz w:val="20"/>
              </w:rPr>
            </w:pPr>
            <w:r>
              <w:rPr>
                <w:spacing w:val="-4"/>
                <w:sz w:val="20"/>
              </w:rPr>
              <w:t>0.00</w:t>
            </w:r>
          </w:p>
        </w:tc>
      </w:tr>
      <w:tr>
        <w:trPr>
          <w:trHeight w:val="230" w:hRule="atLeast"/>
        </w:trPr>
        <w:tc>
          <w:tcPr>
            <w:tcW w:w="1351" w:type="dxa"/>
            <w:tcBorders>
              <w:top w:val="nil"/>
              <w:bottom w:val="nil"/>
            </w:tcBorders>
          </w:tcPr>
          <w:p>
            <w:pPr>
              <w:pStyle w:val="TableParagraph"/>
              <w:rPr>
                <w:sz w:val="16"/>
              </w:rPr>
            </w:pPr>
          </w:p>
        </w:tc>
        <w:tc>
          <w:tcPr>
            <w:tcW w:w="4734" w:type="dxa"/>
            <w:tcBorders>
              <w:top w:val="nil"/>
              <w:bottom w:val="nil"/>
            </w:tcBorders>
          </w:tcPr>
          <w:p>
            <w:pPr>
              <w:pStyle w:val="TableParagraph"/>
              <w:spacing w:line="211" w:lineRule="exact"/>
              <w:ind w:left="105"/>
              <w:rPr>
                <w:sz w:val="20"/>
              </w:rPr>
            </w:pPr>
            <w:r>
              <w:rPr>
                <w:sz w:val="20"/>
              </w:rPr>
              <w:t>Financial</w:t>
            </w:r>
            <w:r>
              <w:rPr>
                <w:spacing w:val="-10"/>
                <w:sz w:val="20"/>
              </w:rPr>
              <w:t> </w:t>
            </w:r>
            <w:r>
              <w:rPr>
                <w:spacing w:val="-2"/>
                <w:sz w:val="20"/>
              </w:rPr>
              <w:t>Institutions</w:t>
            </w:r>
          </w:p>
        </w:tc>
        <w:tc>
          <w:tcPr>
            <w:tcW w:w="1657" w:type="dxa"/>
            <w:tcBorders>
              <w:top w:val="nil"/>
              <w:bottom w:val="nil"/>
            </w:tcBorders>
          </w:tcPr>
          <w:p>
            <w:pPr>
              <w:pStyle w:val="TableParagraph"/>
              <w:spacing w:line="211" w:lineRule="exact"/>
              <w:ind w:left="107"/>
              <w:rPr>
                <w:sz w:val="20"/>
              </w:rPr>
            </w:pPr>
            <w:r>
              <w:rPr>
                <w:spacing w:val="-4"/>
                <w:sz w:val="20"/>
              </w:rPr>
              <w:t>2.67</w:t>
            </w:r>
          </w:p>
        </w:tc>
        <w:tc>
          <w:tcPr>
            <w:tcW w:w="1397" w:type="dxa"/>
            <w:tcBorders>
              <w:top w:val="nil"/>
              <w:bottom w:val="nil"/>
            </w:tcBorders>
          </w:tcPr>
          <w:p>
            <w:pPr>
              <w:pStyle w:val="TableParagraph"/>
              <w:spacing w:line="211" w:lineRule="exact"/>
              <w:ind w:left="107"/>
              <w:rPr>
                <w:sz w:val="20"/>
              </w:rPr>
            </w:pPr>
            <w:r>
              <w:rPr>
                <w:spacing w:val="-4"/>
                <w:sz w:val="20"/>
              </w:rPr>
              <w:t>2.67</w:t>
            </w:r>
          </w:p>
        </w:tc>
      </w:tr>
      <w:tr>
        <w:trPr>
          <w:trHeight w:val="230" w:hRule="atLeast"/>
        </w:trPr>
        <w:tc>
          <w:tcPr>
            <w:tcW w:w="1351" w:type="dxa"/>
            <w:tcBorders>
              <w:top w:val="nil"/>
              <w:bottom w:val="nil"/>
            </w:tcBorders>
          </w:tcPr>
          <w:p>
            <w:pPr>
              <w:pStyle w:val="TableParagraph"/>
              <w:rPr>
                <w:sz w:val="16"/>
              </w:rPr>
            </w:pPr>
          </w:p>
        </w:tc>
        <w:tc>
          <w:tcPr>
            <w:tcW w:w="4734" w:type="dxa"/>
            <w:tcBorders>
              <w:top w:val="nil"/>
              <w:bottom w:val="nil"/>
            </w:tcBorders>
          </w:tcPr>
          <w:p>
            <w:pPr>
              <w:pStyle w:val="TableParagraph"/>
              <w:spacing w:line="211" w:lineRule="exact"/>
              <w:ind w:left="105"/>
              <w:rPr>
                <w:sz w:val="20"/>
              </w:rPr>
            </w:pPr>
            <w:r>
              <w:rPr>
                <w:spacing w:val="-2"/>
                <w:sz w:val="20"/>
              </w:rPr>
              <w:t>Insurance</w:t>
            </w:r>
          </w:p>
        </w:tc>
        <w:tc>
          <w:tcPr>
            <w:tcW w:w="1657" w:type="dxa"/>
            <w:tcBorders>
              <w:top w:val="nil"/>
              <w:bottom w:val="nil"/>
            </w:tcBorders>
          </w:tcPr>
          <w:p>
            <w:pPr>
              <w:pStyle w:val="TableParagraph"/>
              <w:spacing w:line="211" w:lineRule="exact"/>
              <w:ind w:left="107"/>
              <w:rPr>
                <w:sz w:val="20"/>
              </w:rPr>
            </w:pPr>
            <w:r>
              <w:rPr>
                <w:spacing w:val="-4"/>
                <w:sz w:val="20"/>
              </w:rPr>
              <w:t>0.41</w:t>
            </w:r>
          </w:p>
        </w:tc>
        <w:tc>
          <w:tcPr>
            <w:tcW w:w="1397" w:type="dxa"/>
            <w:tcBorders>
              <w:top w:val="nil"/>
              <w:bottom w:val="nil"/>
            </w:tcBorders>
          </w:tcPr>
          <w:p>
            <w:pPr>
              <w:pStyle w:val="TableParagraph"/>
              <w:spacing w:line="211" w:lineRule="exact"/>
              <w:ind w:left="107"/>
              <w:rPr>
                <w:sz w:val="20"/>
              </w:rPr>
            </w:pPr>
            <w:r>
              <w:rPr>
                <w:spacing w:val="-4"/>
                <w:sz w:val="20"/>
              </w:rPr>
              <w:t>0.40</w:t>
            </w:r>
          </w:p>
        </w:tc>
      </w:tr>
      <w:tr>
        <w:trPr>
          <w:trHeight w:val="229" w:hRule="atLeast"/>
        </w:trPr>
        <w:tc>
          <w:tcPr>
            <w:tcW w:w="1351" w:type="dxa"/>
            <w:tcBorders>
              <w:top w:val="nil"/>
              <w:bottom w:val="nil"/>
            </w:tcBorders>
          </w:tcPr>
          <w:p>
            <w:pPr>
              <w:pStyle w:val="TableParagraph"/>
              <w:rPr>
                <w:sz w:val="16"/>
              </w:rPr>
            </w:pPr>
          </w:p>
        </w:tc>
        <w:tc>
          <w:tcPr>
            <w:tcW w:w="4734" w:type="dxa"/>
            <w:tcBorders>
              <w:top w:val="nil"/>
              <w:bottom w:val="nil"/>
            </w:tcBorders>
          </w:tcPr>
          <w:p>
            <w:pPr>
              <w:pStyle w:val="TableParagraph"/>
              <w:spacing w:line="209" w:lineRule="exact"/>
              <w:ind w:left="105"/>
              <w:rPr>
                <w:sz w:val="20"/>
              </w:rPr>
            </w:pPr>
            <w:r>
              <w:rPr>
                <w:sz w:val="20"/>
              </w:rPr>
              <w:t>Real</w:t>
            </w:r>
            <w:r>
              <w:rPr>
                <w:spacing w:val="-6"/>
                <w:sz w:val="20"/>
              </w:rPr>
              <w:t> </w:t>
            </w:r>
            <w:r>
              <w:rPr>
                <w:spacing w:val="-2"/>
                <w:sz w:val="20"/>
              </w:rPr>
              <w:t>Estate</w:t>
            </w:r>
          </w:p>
        </w:tc>
        <w:tc>
          <w:tcPr>
            <w:tcW w:w="1657" w:type="dxa"/>
            <w:tcBorders>
              <w:top w:val="nil"/>
              <w:bottom w:val="nil"/>
            </w:tcBorders>
          </w:tcPr>
          <w:p>
            <w:pPr>
              <w:pStyle w:val="TableParagraph"/>
              <w:spacing w:line="209" w:lineRule="exact"/>
              <w:ind w:left="107"/>
              <w:rPr>
                <w:sz w:val="20"/>
              </w:rPr>
            </w:pPr>
            <w:r>
              <w:rPr>
                <w:spacing w:val="-4"/>
                <w:sz w:val="20"/>
              </w:rPr>
              <w:t>4.08</w:t>
            </w:r>
          </w:p>
        </w:tc>
        <w:tc>
          <w:tcPr>
            <w:tcW w:w="1397" w:type="dxa"/>
            <w:tcBorders>
              <w:top w:val="nil"/>
              <w:bottom w:val="nil"/>
            </w:tcBorders>
          </w:tcPr>
          <w:p>
            <w:pPr>
              <w:pStyle w:val="TableParagraph"/>
              <w:spacing w:line="209" w:lineRule="exact"/>
              <w:ind w:left="107"/>
              <w:rPr>
                <w:sz w:val="20"/>
              </w:rPr>
            </w:pPr>
            <w:r>
              <w:rPr>
                <w:spacing w:val="-4"/>
                <w:sz w:val="20"/>
              </w:rPr>
              <w:t>4.31</w:t>
            </w:r>
          </w:p>
        </w:tc>
      </w:tr>
      <w:tr>
        <w:trPr>
          <w:trHeight w:val="229" w:hRule="atLeast"/>
        </w:trPr>
        <w:tc>
          <w:tcPr>
            <w:tcW w:w="1351" w:type="dxa"/>
            <w:tcBorders>
              <w:top w:val="nil"/>
              <w:bottom w:val="nil"/>
            </w:tcBorders>
          </w:tcPr>
          <w:p>
            <w:pPr>
              <w:pStyle w:val="TableParagraph"/>
              <w:rPr>
                <w:sz w:val="16"/>
              </w:rPr>
            </w:pPr>
          </w:p>
        </w:tc>
        <w:tc>
          <w:tcPr>
            <w:tcW w:w="4734" w:type="dxa"/>
            <w:tcBorders>
              <w:top w:val="nil"/>
              <w:bottom w:val="nil"/>
            </w:tcBorders>
          </w:tcPr>
          <w:p>
            <w:pPr>
              <w:pStyle w:val="TableParagraph"/>
              <w:spacing w:line="209" w:lineRule="exact"/>
              <w:ind w:left="105"/>
              <w:rPr>
                <w:sz w:val="20"/>
              </w:rPr>
            </w:pPr>
            <w:r>
              <w:rPr>
                <w:sz w:val="20"/>
              </w:rPr>
              <w:t>Professional,</w:t>
            </w:r>
            <w:r>
              <w:rPr>
                <w:spacing w:val="-9"/>
                <w:sz w:val="20"/>
              </w:rPr>
              <w:t> </w:t>
            </w:r>
            <w:r>
              <w:rPr>
                <w:sz w:val="20"/>
              </w:rPr>
              <w:t>Scientific</w:t>
            </w:r>
            <w:r>
              <w:rPr>
                <w:spacing w:val="-8"/>
                <w:sz w:val="20"/>
              </w:rPr>
              <w:t> </w:t>
            </w:r>
            <w:r>
              <w:rPr>
                <w:sz w:val="20"/>
              </w:rPr>
              <w:t>and</w:t>
            </w:r>
            <w:r>
              <w:rPr>
                <w:spacing w:val="-8"/>
                <w:sz w:val="20"/>
              </w:rPr>
              <w:t> </w:t>
            </w:r>
            <w:r>
              <w:rPr>
                <w:sz w:val="20"/>
              </w:rPr>
              <w:t>Technical</w:t>
            </w:r>
            <w:r>
              <w:rPr>
                <w:spacing w:val="-9"/>
                <w:sz w:val="20"/>
              </w:rPr>
              <w:t> </w:t>
            </w:r>
            <w:r>
              <w:rPr>
                <w:spacing w:val="-2"/>
                <w:sz w:val="20"/>
              </w:rPr>
              <w:t>Services</w:t>
            </w:r>
          </w:p>
        </w:tc>
        <w:tc>
          <w:tcPr>
            <w:tcW w:w="1657" w:type="dxa"/>
            <w:tcBorders>
              <w:top w:val="nil"/>
              <w:bottom w:val="nil"/>
            </w:tcBorders>
          </w:tcPr>
          <w:p>
            <w:pPr>
              <w:pStyle w:val="TableParagraph"/>
              <w:spacing w:line="209" w:lineRule="exact"/>
              <w:ind w:left="107"/>
              <w:rPr>
                <w:sz w:val="20"/>
              </w:rPr>
            </w:pPr>
            <w:r>
              <w:rPr>
                <w:spacing w:val="-4"/>
                <w:sz w:val="20"/>
              </w:rPr>
              <w:t>4.49</w:t>
            </w:r>
          </w:p>
        </w:tc>
        <w:tc>
          <w:tcPr>
            <w:tcW w:w="1397" w:type="dxa"/>
            <w:tcBorders>
              <w:top w:val="nil"/>
              <w:bottom w:val="nil"/>
            </w:tcBorders>
          </w:tcPr>
          <w:p>
            <w:pPr>
              <w:pStyle w:val="TableParagraph"/>
              <w:spacing w:line="209" w:lineRule="exact"/>
              <w:ind w:left="107"/>
              <w:rPr>
                <w:sz w:val="20"/>
              </w:rPr>
            </w:pPr>
            <w:r>
              <w:rPr>
                <w:spacing w:val="-4"/>
                <w:sz w:val="20"/>
              </w:rPr>
              <w:t>4.33</w:t>
            </w:r>
          </w:p>
        </w:tc>
      </w:tr>
      <w:tr>
        <w:trPr>
          <w:trHeight w:val="230" w:hRule="atLeast"/>
        </w:trPr>
        <w:tc>
          <w:tcPr>
            <w:tcW w:w="1351" w:type="dxa"/>
            <w:tcBorders>
              <w:top w:val="nil"/>
              <w:bottom w:val="nil"/>
            </w:tcBorders>
          </w:tcPr>
          <w:p>
            <w:pPr>
              <w:pStyle w:val="TableParagraph"/>
              <w:rPr>
                <w:sz w:val="16"/>
              </w:rPr>
            </w:pPr>
          </w:p>
        </w:tc>
        <w:tc>
          <w:tcPr>
            <w:tcW w:w="4734" w:type="dxa"/>
            <w:tcBorders>
              <w:top w:val="nil"/>
              <w:bottom w:val="nil"/>
            </w:tcBorders>
          </w:tcPr>
          <w:p>
            <w:pPr>
              <w:pStyle w:val="TableParagraph"/>
              <w:spacing w:line="210" w:lineRule="exact"/>
              <w:ind w:left="105"/>
              <w:rPr>
                <w:sz w:val="20"/>
              </w:rPr>
            </w:pPr>
            <w:r>
              <w:rPr>
                <w:sz w:val="20"/>
              </w:rPr>
              <w:t>Administrative</w:t>
            </w:r>
            <w:r>
              <w:rPr>
                <w:spacing w:val="-8"/>
                <w:sz w:val="20"/>
              </w:rPr>
              <w:t> </w:t>
            </w:r>
            <w:r>
              <w:rPr>
                <w:sz w:val="20"/>
              </w:rPr>
              <w:t>and</w:t>
            </w:r>
            <w:r>
              <w:rPr>
                <w:spacing w:val="-7"/>
                <w:sz w:val="20"/>
              </w:rPr>
              <w:t> </w:t>
            </w:r>
            <w:r>
              <w:rPr>
                <w:sz w:val="20"/>
              </w:rPr>
              <w:t>Support</w:t>
            </w:r>
            <w:r>
              <w:rPr>
                <w:spacing w:val="-9"/>
                <w:sz w:val="20"/>
              </w:rPr>
              <w:t> </w:t>
            </w:r>
            <w:r>
              <w:rPr>
                <w:spacing w:val="-2"/>
                <w:sz w:val="20"/>
              </w:rPr>
              <w:t>Services</w:t>
            </w:r>
          </w:p>
        </w:tc>
        <w:tc>
          <w:tcPr>
            <w:tcW w:w="1657" w:type="dxa"/>
            <w:tcBorders>
              <w:top w:val="nil"/>
              <w:bottom w:val="nil"/>
            </w:tcBorders>
          </w:tcPr>
          <w:p>
            <w:pPr>
              <w:pStyle w:val="TableParagraph"/>
              <w:spacing w:line="210" w:lineRule="exact"/>
              <w:ind w:left="107"/>
              <w:rPr>
                <w:sz w:val="20"/>
              </w:rPr>
            </w:pPr>
            <w:r>
              <w:rPr>
                <w:spacing w:val="-4"/>
                <w:sz w:val="20"/>
              </w:rPr>
              <w:t>0.03</w:t>
            </w:r>
          </w:p>
        </w:tc>
        <w:tc>
          <w:tcPr>
            <w:tcW w:w="1397" w:type="dxa"/>
            <w:tcBorders>
              <w:top w:val="nil"/>
              <w:bottom w:val="nil"/>
            </w:tcBorders>
          </w:tcPr>
          <w:p>
            <w:pPr>
              <w:pStyle w:val="TableParagraph"/>
              <w:spacing w:line="210" w:lineRule="exact"/>
              <w:ind w:left="107"/>
              <w:rPr>
                <w:sz w:val="20"/>
              </w:rPr>
            </w:pPr>
            <w:r>
              <w:rPr>
                <w:spacing w:val="-4"/>
                <w:sz w:val="20"/>
              </w:rPr>
              <w:t>0.03</w:t>
            </w:r>
          </w:p>
        </w:tc>
      </w:tr>
      <w:tr>
        <w:trPr>
          <w:trHeight w:val="230" w:hRule="atLeast"/>
        </w:trPr>
        <w:tc>
          <w:tcPr>
            <w:tcW w:w="1351" w:type="dxa"/>
            <w:tcBorders>
              <w:top w:val="nil"/>
              <w:bottom w:val="nil"/>
            </w:tcBorders>
          </w:tcPr>
          <w:p>
            <w:pPr>
              <w:pStyle w:val="TableParagraph"/>
              <w:rPr>
                <w:sz w:val="16"/>
              </w:rPr>
            </w:pPr>
          </w:p>
        </w:tc>
        <w:tc>
          <w:tcPr>
            <w:tcW w:w="4734" w:type="dxa"/>
            <w:tcBorders>
              <w:top w:val="nil"/>
              <w:bottom w:val="nil"/>
            </w:tcBorders>
          </w:tcPr>
          <w:p>
            <w:pPr>
              <w:pStyle w:val="TableParagraph"/>
              <w:spacing w:line="210" w:lineRule="exact"/>
              <w:ind w:left="105"/>
              <w:rPr>
                <w:sz w:val="20"/>
              </w:rPr>
            </w:pPr>
            <w:r>
              <w:rPr>
                <w:sz w:val="20"/>
              </w:rPr>
              <w:t>Public</w:t>
            </w:r>
            <w:r>
              <w:rPr>
                <w:spacing w:val="-6"/>
                <w:sz w:val="20"/>
              </w:rPr>
              <w:t> </w:t>
            </w:r>
            <w:r>
              <w:rPr>
                <w:spacing w:val="-2"/>
                <w:sz w:val="20"/>
              </w:rPr>
              <w:t>Administration</w:t>
            </w:r>
          </w:p>
        </w:tc>
        <w:tc>
          <w:tcPr>
            <w:tcW w:w="1657" w:type="dxa"/>
            <w:tcBorders>
              <w:top w:val="nil"/>
              <w:bottom w:val="nil"/>
            </w:tcBorders>
          </w:tcPr>
          <w:p>
            <w:pPr>
              <w:pStyle w:val="TableParagraph"/>
              <w:spacing w:line="210" w:lineRule="exact"/>
              <w:ind w:left="107"/>
              <w:rPr>
                <w:sz w:val="20"/>
              </w:rPr>
            </w:pPr>
            <w:r>
              <w:rPr>
                <w:spacing w:val="-4"/>
                <w:sz w:val="20"/>
              </w:rPr>
              <w:t>1.53</w:t>
            </w:r>
          </w:p>
        </w:tc>
        <w:tc>
          <w:tcPr>
            <w:tcW w:w="1397" w:type="dxa"/>
            <w:tcBorders>
              <w:top w:val="nil"/>
              <w:bottom w:val="nil"/>
            </w:tcBorders>
          </w:tcPr>
          <w:p>
            <w:pPr>
              <w:pStyle w:val="TableParagraph"/>
              <w:spacing w:line="210" w:lineRule="exact"/>
              <w:ind w:left="107"/>
              <w:rPr>
                <w:sz w:val="20"/>
              </w:rPr>
            </w:pPr>
            <w:r>
              <w:rPr>
                <w:spacing w:val="-4"/>
                <w:sz w:val="20"/>
              </w:rPr>
              <w:t>1.70</w:t>
            </w:r>
          </w:p>
        </w:tc>
      </w:tr>
      <w:tr>
        <w:trPr>
          <w:trHeight w:val="230" w:hRule="atLeast"/>
        </w:trPr>
        <w:tc>
          <w:tcPr>
            <w:tcW w:w="1351" w:type="dxa"/>
            <w:tcBorders>
              <w:top w:val="nil"/>
              <w:bottom w:val="nil"/>
            </w:tcBorders>
          </w:tcPr>
          <w:p>
            <w:pPr>
              <w:pStyle w:val="TableParagraph"/>
              <w:rPr>
                <w:sz w:val="16"/>
              </w:rPr>
            </w:pPr>
          </w:p>
        </w:tc>
        <w:tc>
          <w:tcPr>
            <w:tcW w:w="4734" w:type="dxa"/>
            <w:tcBorders>
              <w:top w:val="nil"/>
              <w:bottom w:val="nil"/>
            </w:tcBorders>
          </w:tcPr>
          <w:p>
            <w:pPr>
              <w:pStyle w:val="TableParagraph"/>
              <w:spacing w:line="210" w:lineRule="exact"/>
              <w:ind w:left="105"/>
              <w:rPr>
                <w:sz w:val="20"/>
              </w:rPr>
            </w:pPr>
            <w:r>
              <w:rPr>
                <w:spacing w:val="-2"/>
                <w:sz w:val="20"/>
              </w:rPr>
              <w:t>Education</w:t>
            </w:r>
          </w:p>
        </w:tc>
        <w:tc>
          <w:tcPr>
            <w:tcW w:w="1657" w:type="dxa"/>
            <w:tcBorders>
              <w:top w:val="nil"/>
              <w:bottom w:val="nil"/>
            </w:tcBorders>
          </w:tcPr>
          <w:p>
            <w:pPr>
              <w:pStyle w:val="TableParagraph"/>
              <w:spacing w:line="210" w:lineRule="exact"/>
              <w:ind w:left="107"/>
              <w:rPr>
                <w:sz w:val="20"/>
              </w:rPr>
            </w:pPr>
            <w:r>
              <w:rPr>
                <w:spacing w:val="-4"/>
                <w:sz w:val="20"/>
              </w:rPr>
              <w:t>0.76</w:t>
            </w:r>
          </w:p>
        </w:tc>
        <w:tc>
          <w:tcPr>
            <w:tcW w:w="1397" w:type="dxa"/>
            <w:tcBorders>
              <w:top w:val="nil"/>
              <w:bottom w:val="nil"/>
            </w:tcBorders>
          </w:tcPr>
          <w:p>
            <w:pPr>
              <w:pStyle w:val="TableParagraph"/>
              <w:spacing w:line="210" w:lineRule="exact"/>
              <w:ind w:left="107"/>
              <w:rPr>
                <w:sz w:val="20"/>
              </w:rPr>
            </w:pPr>
            <w:r>
              <w:rPr>
                <w:spacing w:val="-4"/>
                <w:sz w:val="20"/>
              </w:rPr>
              <w:t>0.99</w:t>
            </w:r>
          </w:p>
        </w:tc>
      </w:tr>
      <w:tr>
        <w:trPr>
          <w:trHeight w:val="229" w:hRule="atLeast"/>
        </w:trPr>
        <w:tc>
          <w:tcPr>
            <w:tcW w:w="1351" w:type="dxa"/>
            <w:tcBorders>
              <w:top w:val="nil"/>
              <w:bottom w:val="nil"/>
            </w:tcBorders>
          </w:tcPr>
          <w:p>
            <w:pPr>
              <w:pStyle w:val="TableParagraph"/>
              <w:rPr>
                <w:sz w:val="16"/>
              </w:rPr>
            </w:pPr>
          </w:p>
        </w:tc>
        <w:tc>
          <w:tcPr>
            <w:tcW w:w="4734" w:type="dxa"/>
            <w:tcBorders>
              <w:top w:val="nil"/>
              <w:bottom w:val="nil"/>
            </w:tcBorders>
          </w:tcPr>
          <w:p>
            <w:pPr>
              <w:pStyle w:val="TableParagraph"/>
              <w:spacing w:line="209" w:lineRule="exact"/>
              <w:ind w:left="105"/>
              <w:rPr>
                <w:sz w:val="20"/>
              </w:rPr>
            </w:pPr>
            <w:r>
              <w:rPr>
                <w:sz w:val="20"/>
              </w:rPr>
              <w:t>Human</w:t>
            </w:r>
            <w:r>
              <w:rPr>
                <w:spacing w:val="-6"/>
                <w:sz w:val="20"/>
              </w:rPr>
              <w:t> </w:t>
            </w:r>
            <w:r>
              <w:rPr>
                <w:sz w:val="20"/>
              </w:rPr>
              <w:t>Health</w:t>
            </w:r>
            <w:r>
              <w:rPr>
                <w:spacing w:val="-6"/>
                <w:sz w:val="20"/>
              </w:rPr>
              <w:t> </w:t>
            </w:r>
            <w:r>
              <w:rPr>
                <w:sz w:val="20"/>
              </w:rPr>
              <w:t>and</w:t>
            </w:r>
            <w:r>
              <w:rPr>
                <w:spacing w:val="-4"/>
                <w:sz w:val="20"/>
              </w:rPr>
              <w:t> </w:t>
            </w:r>
            <w:r>
              <w:rPr>
                <w:sz w:val="20"/>
              </w:rPr>
              <w:t>Social</w:t>
            </w:r>
            <w:r>
              <w:rPr>
                <w:spacing w:val="-5"/>
                <w:sz w:val="20"/>
              </w:rPr>
              <w:t> </w:t>
            </w:r>
            <w:r>
              <w:rPr>
                <w:spacing w:val="-2"/>
                <w:sz w:val="20"/>
              </w:rPr>
              <w:t>Services</w:t>
            </w:r>
          </w:p>
        </w:tc>
        <w:tc>
          <w:tcPr>
            <w:tcW w:w="1657" w:type="dxa"/>
            <w:tcBorders>
              <w:top w:val="nil"/>
              <w:bottom w:val="nil"/>
            </w:tcBorders>
          </w:tcPr>
          <w:p>
            <w:pPr>
              <w:pStyle w:val="TableParagraph"/>
              <w:spacing w:line="209" w:lineRule="exact"/>
              <w:ind w:left="107"/>
              <w:rPr>
                <w:sz w:val="20"/>
              </w:rPr>
            </w:pPr>
            <w:r>
              <w:rPr>
                <w:spacing w:val="-4"/>
                <w:sz w:val="20"/>
              </w:rPr>
              <w:t>1.05</w:t>
            </w:r>
          </w:p>
        </w:tc>
        <w:tc>
          <w:tcPr>
            <w:tcW w:w="1397" w:type="dxa"/>
            <w:tcBorders>
              <w:top w:val="nil"/>
              <w:bottom w:val="nil"/>
            </w:tcBorders>
          </w:tcPr>
          <w:p>
            <w:pPr>
              <w:pStyle w:val="TableParagraph"/>
              <w:spacing w:line="209" w:lineRule="exact"/>
              <w:ind w:left="107"/>
              <w:rPr>
                <w:sz w:val="20"/>
              </w:rPr>
            </w:pPr>
            <w:r>
              <w:rPr>
                <w:spacing w:val="-4"/>
                <w:sz w:val="20"/>
              </w:rPr>
              <w:t>1.09</w:t>
            </w:r>
          </w:p>
        </w:tc>
      </w:tr>
      <w:tr>
        <w:trPr>
          <w:trHeight w:val="231" w:hRule="atLeast"/>
        </w:trPr>
        <w:tc>
          <w:tcPr>
            <w:tcW w:w="1351" w:type="dxa"/>
            <w:tcBorders>
              <w:top w:val="nil"/>
            </w:tcBorders>
          </w:tcPr>
          <w:p>
            <w:pPr>
              <w:pStyle w:val="TableParagraph"/>
              <w:rPr>
                <w:sz w:val="16"/>
              </w:rPr>
            </w:pPr>
          </w:p>
        </w:tc>
        <w:tc>
          <w:tcPr>
            <w:tcW w:w="4734" w:type="dxa"/>
            <w:tcBorders>
              <w:top w:val="nil"/>
            </w:tcBorders>
          </w:tcPr>
          <w:p>
            <w:pPr>
              <w:pStyle w:val="TableParagraph"/>
              <w:spacing w:line="211" w:lineRule="exact"/>
              <w:ind w:left="105"/>
              <w:rPr>
                <w:sz w:val="20"/>
              </w:rPr>
            </w:pPr>
            <w:r>
              <w:rPr>
                <w:sz w:val="20"/>
              </w:rPr>
              <w:t>Other</w:t>
            </w:r>
            <w:r>
              <w:rPr>
                <w:spacing w:val="-6"/>
                <w:sz w:val="20"/>
              </w:rPr>
              <w:t> </w:t>
            </w:r>
            <w:r>
              <w:rPr>
                <w:spacing w:val="-2"/>
                <w:sz w:val="20"/>
              </w:rPr>
              <w:t>Services</w:t>
            </w:r>
          </w:p>
        </w:tc>
        <w:tc>
          <w:tcPr>
            <w:tcW w:w="1657" w:type="dxa"/>
            <w:tcBorders>
              <w:top w:val="nil"/>
            </w:tcBorders>
          </w:tcPr>
          <w:p>
            <w:pPr>
              <w:pStyle w:val="TableParagraph"/>
              <w:spacing w:line="211" w:lineRule="exact"/>
              <w:ind w:left="107"/>
              <w:rPr>
                <w:sz w:val="20"/>
              </w:rPr>
            </w:pPr>
            <w:r>
              <w:rPr>
                <w:spacing w:val="-4"/>
                <w:sz w:val="20"/>
              </w:rPr>
              <w:t>6.62</w:t>
            </w:r>
          </w:p>
        </w:tc>
        <w:tc>
          <w:tcPr>
            <w:tcW w:w="1397" w:type="dxa"/>
            <w:tcBorders>
              <w:top w:val="nil"/>
            </w:tcBorders>
          </w:tcPr>
          <w:p>
            <w:pPr>
              <w:pStyle w:val="TableParagraph"/>
              <w:spacing w:line="211" w:lineRule="exact"/>
              <w:ind w:left="107"/>
              <w:rPr>
                <w:sz w:val="20"/>
              </w:rPr>
            </w:pPr>
            <w:r>
              <w:rPr>
                <w:spacing w:val="-4"/>
                <w:sz w:val="20"/>
              </w:rPr>
              <w:t>6.93</w:t>
            </w:r>
          </w:p>
        </w:tc>
      </w:tr>
      <w:tr>
        <w:trPr>
          <w:trHeight w:val="381" w:hRule="atLeast"/>
        </w:trPr>
        <w:tc>
          <w:tcPr>
            <w:tcW w:w="1351" w:type="dxa"/>
          </w:tcPr>
          <w:p>
            <w:pPr>
              <w:pStyle w:val="TableParagraph"/>
              <w:rPr>
                <w:sz w:val="20"/>
              </w:rPr>
            </w:pPr>
          </w:p>
        </w:tc>
        <w:tc>
          <w:tcPr>
            <w:tcW w:w="4734" w:type="dxa"/>
          </w:tcPr>
          <w:p>
            <w:pPr>
              <w:pStyle w:val="TableParagraph"/>
              <w:spacing w:line="228" w:lineRule="exact"/>
              <w:ind w:left="105"/>
              <w:rPr>
                <w:b/>
                <w:sz w:val="20"/>
              </w:rPr>
            </w:pPr>
            <w:r>
              <w:rPr>
                <w:b/>
                <w:sz w:val="20"/>
              </w:rPr>
              <w:t>Sectoral</w:t>
            </w:r>
            <w:r>
              <w:rPr>
                <w:b/>
                <w:spacing w:val="-5"/>
                <w:sz w:val="20"/>
              </w:rPr>
              <w:t> </w:t>
            </w:r>
            <w:r>
              <w:rPr>
                <w:b/>
                <w:spacing w:val="-2"/>
                <w:sz w:val="20"/>
              </w:rPr>
              <w:t>Total</w:t>
            </w:r>
          </w:p>
        </w:tc>
        <w:tc>
          <w:tcPr>
            <w:tcW w:w="1657" w:type="dxa"/>
          </w:tcPr>
          <w:p>
            <w:pPr>
              <w:pStyle w:val="TableParagraph"/>
              <w:spacing w:line="223" w:lineRule="exact"/>
              <w:ind w:left="107"/>
              <w:rPr>
                <w:sz w:val="20"/>
              </w:rPr>
            </w:pPr>
            <w:r>
              <w:rPr>
                <w:spacing w:val="-2"/>
                <w:sz w:val="20"/>
              </w:rPr>
              <w:t>75.06</w:t>
            </w:r>
          </w:p>
        </w:tc>
        <w:tc>
          <w:tcPr>
            <w:tcW w:w="1397" w:type="dxa"/>
          </w:tcPr>
          <w:p>
            <w:pPr>
              <w:pStyle w:val="TableParagraph"/>
              <w:spacing w:line="223" w:lineRule="exact"/>
              <w:ind w:left="107"/>
              <w:rPr>
                <w:sz w:val="20"/>
              </w:rPr>
            </w:pPr>
            <w:r>
              <w:rPr>
                <w:spacing w:val="-2"/>
                <w:sz w:val="20"/>
              </w:rPr>
              <w:t>75.32</w:t>
            </w:r>
          </w:p>
        </w:tc>
      </w:tr>
      <w:tr>
        <w:trPr>
          <w:trHeight w:val="378" w:hRule="atLeast"/>
        </w:trPr>
        <w:tc>
          <w:tcPr>
            <w:tcW w:w="1351" w:type="dxa"/>
          </w:tcPr>
          <w:p>
            <w:pPr>
              <w:pStyle w:val="TableParagraph"/>
              <w:rPr>
                <w:sz w:val="20"/>
              </w:rPr>
            </w:pPr>
          </w:p>
        </w:tc>
        <w:tc>
          <w:tcPr>
            <w:tcW w:w="4734" w:type="dxa"/>
          </w:tcPr>
          <w:p>
            <w:pPr>
              <w:pStyle w:val="TableParagraph"/>
              <w:spacing w:line="228" w:lineRule="exact"/>
              <w:ind w:left="105"/>
              <w:rPr>
                <w:b/>
                <w:sz w:val="20"/>
              </w:rPr>
            </w:pPr>
            <w:r>
              <w:rPr>
                <w:b/>
                <w:sz w:val="20"/>
              </w:rPr>
              <w:t>Total</w:t>
            </w:r>
            <w:r>
              <w:rPr>
                <w:b/>
                <w:spacing w:val="-7"/>
                <w:sz w:val="20"/>
              </w:rPr>
              <w:t> </w:t>
            </w:r>
            <w:r>
              <w:rPr>
                <w:b/>
                <w:sz w:val="20"/>
              </w:rPr>
              <w:t>Contributions</w:t>
            </w:r>
            <w:r>
              <w:rPr>
                <w:b/>
                <w:spacing w:val="-7"/>
                <w:sz w:val="20"/>
              </w:rPr>
              <w:t> </w:t>
            </w:r>
            <w:r>
              <w:rPr>
                <w:b/>
                <w:sz w:val="20"/>
              </w:rPr>
              <w:t>to</w:t>
            </w:r>
            <w:r>
              <w:rPr>
                <w:b/>
                <w:spacing w:val="-5"/>
                <w:sz w:val="20"/>
              </w:rPr>
              <w:t> GDP</w:t>
            </w:r>
          </w:p>
        </w:tc>
        <w:tc>
          <w:tcPr>
            <w:tcW w:w="1657" w:type="dxa"/>
          </w:tcPr>
          <w:p>
            <w:pPr>
              <w:pStyle w:val="TableParagraph"/>
              <w:spacing w:line="228" w:lineRule="exact"/>
              <w:ind w:left="107"/>
              <w:rPr>
                <w:b/>
                <w:sz w:val="20"/>
              </w:rPr>
            </w:pPr>
            <w:r>
              <w:rPr>
                <w:b/>
                <w:spacing w:val="-2"/>
                <w:sz w:val="20"/>
              </w:rPr>
              <w:t>100.00</w:t>
            </w:r>
          </w:p>
        </w:tc>
        <w:tc>
          <w:tcPr>
            <w:tcW w:w="1397" w:type="dxa"/>
          </w:tcPr>
          <w:p>
            <w:pPr>
              <w:pStyle w:val="TableParagraph"/>
              <w:spacing w:line="228" w:lineRule="exact"/>
              <w:ind w:left="107"/>
              <w:rPr>
                <w:b/>
                <w:sz w:val="20"/>
              </w:rPr>
            </w:pPr>
            <w:r>
              <w:rPr>
                <w:b/>
                <w:spacing w:val="-2"/>
                <w:sz w:val="20"/>
              </w:rPr>
              <w:t>100.00</w:t>
            </w:r>
          </w:p>
        </w:tc>
      </w:tr>
    </w:tbl>
    <w:p>
      <w:pPr>
        <w:pStyle w:val="BodyText"/>
        <w:spacing w:before="5"/>
        <w:ind w:left="240"/>
      </w:pPr>
      <w:r>
        <w:rPr>
          <w:b/>
        </w:rPr>
        <w:t>Source:</w:t>
      </w:r>
      <w:r>
        <w:rPr>
          <w:b/>
          <w:spacing w:val="-4"/>
        </w:rPr>
        <w:t> </w:t>
      </w:r>
      <w:r>
        <w:rPr/>
        <w:t>Anambra</w:t>
      </w:r>
      <w:r>
        <w:rPr>
          <w:spacing w:val="-2"/>
        </w:rPr>
        <w:t> </w:t>
      </w:r>
      <w:r>
        <w:rPr/>
        <w:t>State GDP</w:t>
      </w:r>
      <w:r>
        <w:rPr>
          <w:spacing w:val="-1"/>
        </w:rPr>
        <w:t> </w:t>
      </w:r>
      <w:r>
        <w:rPr/>
        <w:t>Survey</w:t>
      </w:r>
      <w:r>
        <w:rPr>
          <w:spacing w:val="-2"/>
        </w:rPr>
        <w:t> </w:t>
      </w:r>
      <w:r>
        <w:rPr/>
        <w:t>(2012, </w:t>
      </w:r>
      <w:r>
        <w:rPr>
          <w:spacing w:val="-2"/>
        </w:rPr>
        <w:t>2013)</w:t>
      </w:r>
    </w:p>
    <w:p>
      <w:pPr>
        <w:pStyle w:val="BodyText"/>
        <w:spacing w:before="2"/>
      </w:pPr>
    </w:p>
    <w:p>
      <w:pPr>
        <w:pStyle w:val="BodyText"/>
        <w:spacing w:line="360" w:lineRule="auto"/>
        <w:ind w:left="240" w:right="839"/>
        <w:jc w:val="both"/>
      </w:pPr>
      <w:r>
        <w:rPr/>
        <w:t>As observed in the survey (which is the first, carried out since the creation of the State), the housing subsector contribution is noticeably absent. It is however presumed to be subsumed in the construction sector, which has contributed significantly to the GDP position of Anambra State. The true contribution of the Housing Sector cannot therefore be readily</w:t>
      </w:r>
      <w:r>
        <w:rPr>
          <w:spacing w:val="-3"/>
        </w:rPr>
        <w:t> </w:t>
      </w:r>
      <w:r>
        <w:rPr/>
        <w:t>obtained, since the scope of construction sector is wide, civil engineering works inclusive.</w:t>
      </w:r>
    </w:p>
    <w:p>
      <w:pPr>
        <w:spacing w:after="0" w:line="360" w:lineRule="auto"/>
        <w:jc w:val="both"/>
        <w:sectPr>
          <w:pgSz w:w="12240" w:h="15840"/>
          <w:pgMar w:header="0" w:footer="1036" w:top="1360" w:bottom="1220" w:left="1200" w:right="600"/>
        </w:sectPr>
      </w:pPr>
    </w:p>
    <w:p>
      <w:pPr>
        <w:pStyle w:val="Heading4"/>
        <w:numPr>
          <w:ilvl w:val="2"/>
          <w:numId w:val="27"/>
        </w:numPr>
        <w:tabs>
          <w:tab w:pos="780" w:val="left" w:leader="none"/>
        </w:tabs>
        <w:spacing w:line="240" w:lineRule="auto" w:before="79" w:after="0"/>
        <w:ind w:left="780" w:right="0" w:hanging="540"/>
        <w:jc w:val="both"/>
      </w:pPr>
      <w:r>
        <w:rPr/>
        <w:t>The</w:t>
      </w:r>
      <w:r>
        <w:rPr>
          <w:spacing w:val="-5"/>
        </w:rPr>
        <w:t> </w:t>
      </w:r>
      <w:r>
        <w:rPr/>
        <w:t>Housing</w:t>
      </w:r>
      <w:r>
        <w:rPr>
          <w:spacing w:val="-2"/>
        </w:rPr>
        <w:t> </w:t>
      </w:r>
      <w:r>
        <w:rPr/>
        <w:t>Scenario</w:t>
      </w:r>
      <w:r>
        <w:rPr>
          <w:spacing w:val="-2"/>
        </w:rPr>
        <w:t> </w:t>
      </w:r>
      <w:r>
        <w:rPr/>
        <w:t>in</w:t>
      </w:r>
      <w:r>
        <w:rPr>
          <w:spacing w:val="-2"/>
        </w:rPr>
        <w:t> </w:t>
      </w:r>
      <w:r>
        <w:rPr/>
        <w:t>Anambra</w:t>
      </w:r>
      <w:r>
        <w:rPr>
          <w:spacing w:val="-1"/>
        </w:rPr>
        <w:t> </w:t>
      </w:r>
      <w:r>
        <w:rPr>
          <w:spacing w:val="-2"/>
        </w:rPr>
        <w:t>State</w:t>
      </w:r>
    </w:p>
    <w:p>
      <w:pPr>
        <w:pStyle w:val="BodyText"/>
        <w:spacing w:line="360" w:lineRule="auto" w:before="132"/>
        <w:ind w:left="240" w:right="834"/>
        <w:jc w:val="both"/>
      </w:pPr>
      <w:r>
        <w:rPr/>
        <w:t>In a study carried out by Okoli (2007), he asserts that since its creation in 1991, Anambra State has been faced with housing problems. The problem is so pronounced, that over 75percent of the state</w:t>
      </w:r>
      <w:r>
        <w:rPr>
          <w:spacing w:val="-3"/>
        </w:rPr>
        <w:t> </w:t>
      </w:r>
      <w:r>
        <w:rPr/>
        <w:t>workers/civil</w:t>
      </w:r>
      <w:r>
        <w:rPr>
          <w:spacing w:val="-2"/>
        </w:rPr>
        <w:t> </w:t>
      </w:r>
      <w:r>
        <w:rPr/>
        <w:t>servants</w:t>
      </w:r>
      <w:r>
        <w:rPr>
          <w:spacing w:val="-2"/>
        </w:rPr>
        <w:t> </w:t>
      </w:r>
      <w:r>
        <w:rPr/>
        <w:t>still</w:t>
      </w:r>
      <w:r>
        <w:rPr>
          <w:spacing w:val="-2"/>
        </w:rPr>
        <w:t> </w:t>
      </w:r>
      <w:r>
        <w:rPr/>
        <w:t>operate</w:t>
      </w:r>
      <w:r>
        <w:rPr>
          <w:spacing w:val="-2"/>
        </w:rPr>
        <w:t> </w:t>
      </w:r>
      <w:r>
        <w:rPr/>
        <w:t>from</w:t>
      </w:r>
      <w:r>
        <w:rPr>
          <w:spacing w:val="-2"/>
        </w:rPr>
        <w:t> </w:t>
      </w:r>
      <w:r>
        <w:rPr/>
        <w:t>Enugu</w:t>
      </w:r>
      <w:r>
        <w:rPr>
          <w:spacing w:val="-2"/>
        </w:rPr>
        <w:t> </w:t>
      </w:r>
      <w:r>
        <w:rPr/>
        <w:t>State;</w:t>
      </w:r>
      <w:r>
        <w:rPr>
          <w:spacing w:val="-2"/>
        </w:rPr>
        <w:t> </w:t>
      </w:r>
      <w:r>
        <w:rPr/>
        <w:t>a</w:t>
      </w:r>
      <w:r>
        <w:rPr>
          <w:spacing w:val="-2"/>
        </w:rPr>
        <w:t> </w:t>
      </w:r>
      <w:r>
        <w:rPr/>
        <w:t>journey</w:t>
      </w:r>
      <w:r>
        <w:rPr>
          <w:spacing w:val="-7"/>
        </w:rPr>
        <w:t> </w:t>
      </w:r>
      <w:r>
        <w:rPr/>
        <w:t>of</w:t>
      </w:r>
      <w:r>
        <w:rPr>
          <w:spacing w:val="-1"/>
        </w:rPr>
        <w:t> </w:t>
      </w:r>
      <w:r>
        <w:rPr/>
        <w:t>at</w:t>
      </w:r>
      <w:r>
        <w:rPr>
          <w:spacing w:val="-2"/>
        </w:rPr>
        <w:t> </w:t>
      </w:r>
      <w:r>
        <w:rPr/>
        <w:t>least</w:t>
      </w:r>
      <w:r>
        <w:rPr>
          <w:spacing w:val="-2"/>
        </w:rPr>
        <w:t> </w:t>
      </w:r>
      <w:r>
        <w:rPr/>
        <w:t>one</w:t>
      </w:r>
      <w:r>
        <w:rPr>
          <w:spacing w:val="-2"/>
        </w:rPr>
        <w:t> </w:t>
      </w:r>
      <w:r>
        <w:rPr/>
        <w:t>hour</w:t>
      </w:r>
      <w:r>
        <w:rPr>
          <w:spacing w:val="-3"/>
        </w:rPr>
        <w:t> </w:t>
      </w:r>
      <w:r>
        <w:rPr/>
        <w:t>to</w:t>
      </w:r>
      <w:r>
        <w:rPr>
          <w:spacing w:val="-2"/>
        </w:rPr>
        <w:t> </w:t>
      </w:r>
      <w:r>
        <w:rPr/>
        <w:t>Awka and other cities outside the state capital. This has led to low productivity, lateness and truancy.</w:t>
      </w:r>
      <w:r>
        <w:rPr>
          <w:spacing w:val="40"/>
        </w:rPr>
        <w:t> </w:t>
      </w:r>
      <w:r>
        <w:rPr/>
        <w:t>To corroborate this assertion, Ugonabo and Emoh (2013) stress that the gory picture and deplorable condition of housing in Nigeria (earlier discussed) applies to a large extent to Anambra State, considering that more than 60% of the State‘s population live in urban areas. Thus, Anambra State shares in this global developmental reality; and hence one of the most important challenges facing the State is how to ensure adequate and affordable housing for the poor and low-income groups. Unfortunately, despite all efforts of the state government at achieving sustained housing delivery to the common people, existing realities indicate that the goal is far from being achieved.</w:t>
      </w:r>
    </w:p>
    <w:p>
      <w:pPr>
        <w:pStyle w:val="BodyText"/>
        <w:spacing w:before="37"/>
      </w:pPr>
    </w:p>
    <w:p>
      <w:pPr>
        <w:pStyle w:val="BodyText"/>
        <w:spacing w:line="360" w:lineRule="auto"/>
        <w:ind w:left="240" w:right="839"/>
        <w:jc w:val="both"/>
      </w:pPr>
      <w:r>
        <w:rPr/>
        <w:t>Since the creation of Anambra State, the housing situation in the state could be described as deplorable, and this requires a declaration of state of emergency in the sector. Shortage of housing in the three major towns of Awka, Onitsha, Nnewi appears intractable with increasing rural-urban drift and as more civil servants are moving to Awka the state capital. Residential accommodation and public buildings are very scarce that even some government offices are still operating in rented houses. This scarcity of housing has pushed the cost of rented buildings very high as an average 3 bedroom flat rents between N200,000.00 – N300,000.00 per annum and a duplex lets for between N500,00.00 – N1,200,000.00 per annum in the three major towns of Onitsha, Awka and Nnewi (Ugonabo and Emoh, 2013).</w:t>
      </w:r>
    </w:p>
    <w:p>
      <w:pPr>
        <w:pStyle w:val="BodyText"/>
        <w:spacing w:before="103"/>
      </w:pPr>
    </w:p>
    <w:p>
      <w:pPr>
        <w:pStyle w:val="BodyText"/>
        <w:spacing w:line="360" w:lineRule="auto"/>
        <w:ind w:left="240" w:right="836"/>
        <w:jc w:val="both"/>
      </w:pPr>
      <w:r>
        <w:rPr/>
        <w:t>Obviously these rents are not affordable to majority of the civil servants resulting in emergence of squatter settlements as alternative accommodation. Extensive illegal and unregulated building patterns dominate the urban towns in the state. Buildings are put up without regard to existing building</w:t>
      </w:r>
      <w:r>
        <w:rPr>
          <w:spacing w:val="-2"/>
        </w:rPr>
        <w:t> </w:t>
      </w:r>
      <w:r>
        <w:rPr/>
        <w:t>and health codes or</w:t>
      </w:r>
      <w:r>
        <w:rPr>
          <w:spacing w:val="-1"/>
        </w:rPr>
        <w:t> </w:t>
      </w:r>
      <w:r>
        <w:rPr/>
        <w:t>zoning and subdivision regulations -</w:t>
      </w:r>
      <w:r>
        <w:rPr>
          <w:spacing w:val="-1"/>
        </w:rPr>
        <w:t> </w:t>
      </w:r>
      <w:r>
        <w:rPr/>
        <w:t>thus creating</w:t>
      </w:r>
      <w:r>
        <w:rPr>
          <w:spacing w:val="-3"/>
        </w:rPr>
        <w:t> </w:t>
      </w:r>
      <w:r>
        <w:rPr/>
        <w:t>slum and squatter conditions in which most residents in the state now live. This ugly situation still persists today and not much has been done by government to increase the housing stock in relation to demand for</w:t>
      </w:r>
      <w:r>
        <w:rPr>
          <w:spacing w:val="2"/>
        </w:rPr>
        <w:t> </w:t>
      </w:r>
      <w:r>
        <w:rPr/>
        <w:t>residential</w:t>
      </w:r>
      <w:r>
        <w:rPr>
          <w:spacing w:val="7"/>
        </w:rPr>
        <w:t> </w:t>
      </w:r>
      <w:r>
        <w:rPr/>
        <w:t>and</w:t>
      </w:r>
      <w:r>
        <w:rPr>
          <w:spacing w:val="5"/>
        </w:rPr>
        <w:t> </w:t>
      </w:r>
      <w:r>
        <w:rPr/>
        <w:t>office</w:t>
      </w:r>
      <w:r>
        <w:rPr>
          <w:spacing w:val="6"/>
        </w:rPr>
        <w:t> </w:t>
      </w:r>
      <w:r>
        <w:rPr/>
        <w:t>accommodations</w:t>
      </w:r>
      <w:r>
        <w:rPr>
          <w:spacing w:val="7"/>
        </w:rPr>
        <w:t> </w:t>
      </w:r>
      <w:r>
        <w:rPr/>
        <w:t>in</w:t>
      </w:r>
      <w:r>
        <w:rPr>
          <w:spacing w:val="6"/>
        </w:rPr>
        <w:t> </w:t>
      </w:r>
      <w:r>
        <w:rPr/>
        <w:t>the</w:t>
      </w:r>
      <w:r>
        <w:rPr>
          <w:spacing w:val="6"/>
        </w:rPr>
        <w:t> </w:t>
      </w:r>
      <w:r>
        <w:rPr/>
        <w:t>state</w:t>
      </w:r>
      <w:r>
        <w:rPr>
          <w:spacing w:val="6"/>
        </w:rPr>
        <w:t> </w:t>
      </w:r>
      <w:r>
        <w:rPr/>
        <w:t>especially</w:t>
      </w:r>
      <w:r>
        <w:rPr>
          <w:spacing w:val="1"/>
        </w:rPr>
        <w:t> </w:t>
      </w:r>
      <w:r>
        <w:rPr/>
        <w:t>Awka</w:t>
      </w:r>
      <w:r>
        <w:rPr>
          <w:spacing w:val="5"/>
        </w:rPr>
        <w:t> </w:t>
      </w:r>
      <w:r>
        <w:rPr/>
        <w:t>the</w:t>
      </w:r>
      <w:r>
        <w:rPr>
          <w:spacing w:val="8"/>
        </w:rPr>
        <w:t> </w:t>
      </w:r>
      <w:r>
        <w:rPr/>
        <w:t>State</w:t>
      </w:r>
      <w:r>
        <w:rPr>
          <w:spacing w:val="5"/>
        </w:rPr>
        <w:t> </w:t>
      </w:r>
      <w:r>
        <w:rPr/>
        <w:t>Capital.</w:t>
      </w:r>
      <w:r>
        <w:rPr>
          <w:spacing w:val="7"/>
        </w:rPr>
        <w:t> </w:t>
      </w:r>
      <w:r>
        <w:rPr/>
        <w:t>Cost</w:t>
      </w:r>
      <w:r>
        <w:rPr>
          <w:spacing w:val="5"/>
        </w:rPr>
        <w:t> </w:t>
      </w:r>
      <w:r>
        <w:rPr>
          <w:spacing w:val="-7"/>
        </w:rPr>
        <w:t>of</w:t>
      </w:r>
    </w:p>
    <w:p>
      <w:pPr>
        <w:spacing w:after="0" w:line="360" w:lineRule="auto"/>
        <w:jc w:val="both"/>
        <w:sectPr>
          <w:pgSz w:w="12240" w:h="15840"/>
          <w:pgMar w:header="0" w:footer="1036" w:top="1360" w:bottom="1220" w:left="1200" w:right="600"/>
        </w:sectPr>
      </w:pPr>
    </w:p>
    <w:p>
      <w:pPr>
        <w:pStyle w:val="BodyText"/>
        <w:spacing w:line="360" w:lineRule="auto" w:before="74"/>
        <w:ind w:left="240" w:right="839"/>
        <w:jc w:val="both"/>
      </w:pPr>
      <w:r>
        <w:rPr/>
        <w:t>building houses is on the increase everyday and it is becoming increasingly difficult for an average civil servant to build own houses unless the government embarks on massive execution of low cost housing estates/schemes in Awka, Onitsha and Nnewi, due to an ever increasing urban population and rise in commercial activities.</w:t>
      </w:r>
    </w:p>
    <w:p>
      <w:pPr>
        <w:pStyle w:val="BodyText"/>
        <w:spacing w:before="104"/>
      </w:pPr>
    </w:p>
    <w:p>
      <w:pPr>
        <w:pStyle w:val="BodyText"/>
        <w:spacing w:line="360" w:lineRule="auto"/>
        <w:ind w:left="240" w:right="838"/>
        <w:jc w:val="both"/>
      </w:pPr>
      <w:r>
        <w:rPr/>
        <w:t>Realizing</w:t>
      </w:r>
      <w:r>
        <w:rPr>
          <w:spacing w:val="-2"/>
        </w:rPr>
        <w:t> </w:t>
      </w:r>
      <w:r>
        <w:rPr/>
        <w:t>the</w:t>
      </w:r>
      <w:r>
        <w:rPr>
          <w:spacing w:val="-1"/>
        </w:rPr>
        <w:t> </w:t>
      </w:r>
      <w:r>
        <w:rPr/>
        <w:t>importance of</w:t>
      </w:r>
      <w:r>
        <w:rPr>
          <w:spacing w:val="-1"/>
        </w:rPr>
        <w:t> </w:t>
      </w:r>
      <w:r>
        <w:rPr/>
        <w:t>secure access to land as a fundamental challenge to housing delivery in urban areas, successive governments in Anambra State have developed / created government residential layouts in the three major towns of the state namely</w:t>
      </w:r>
      <w:r>
        <w:rPr>
          <w:spacing w:val="-3"/>
        </w:rPr>
        <w:t> </w:t>
      </w:r>
      <w:r>
        <w:rPr/>
        <w:t>Awka, Onitsha and Nnewi. Some of these residential layouts were fully/partly developed with housing units and sold to the public while the rest were developed/ created as site and services schemes and allocated to members of the public. Similarly, there are some housing estates promoted and developed by State Government parastatals/corporations like AHOCOL and Anambra State Housing Corporation, Awka. This involves the provision of land by the state government to the corporation, issuing certificate of occupancy, handing over land, granting planning approval and providing necessary support to facilitate the execution of the housing project. Armed with the certificate of occupancy, the corporation develops the estate either as fully/partly developed housing units or</w:t>
      </w:r>
      <w:r>
        <w:rPr>
          <w:spacing w:val="40"/>
        </w:rPr>
        <w:t> </w:t>
      </w:r>
      <w:r>
        <w:rPr/>
        <w:t>as site and services scheme and sell the plots of varying sizes to members of the public. The corporation grants lease of the extant terms to the prospective purchasers who register same at</w:t>
      </w:r>
      <w:r>
        <w:rPr>
          <w:spacing w:val="40"/>
        </w:rPr>
        <w:t> </w:t>
      </w:r>
      <w:r>
        <w:rPr/>
        <w:t>the lands registry as bona fide lessees.</w:t>
      </w:r>
    </w:p>
    <w:p>
      <w:pPr>
        <w:pStyle w:val="BodyText"/>
        <w:spacing w:before="138"/>
      </w:pPr>
    </w:p>
    <w:p>
      <w:pPr>
        <w:pStyle w:val="BodyText"/>
        <w:spacing w:line="360" w:lineRule="auto"/>
        <w:ind w:left="240" w:right="840"/>
        <w:jc w:val="both"/>
      </w:pPr>
      <w:r>
        <w:rPr/>
        <w:t>One characteristic of these government residential layouts including those developed by the corporation is general lack of infrastructural facilities like roads, drains, electricity, water etc.</w:t>
      </w:r>
      <w:r>
        <w:rPr>
          <w:spacing w:val="40"/>
        </w:rPr>
        <w:t> </w:t>
      </w:r>
      <w:r>
        <w:rPr/>
        <w:t>The absence of infrastructural facilities in these layouts has further compounded the problem of housing shortage in Anambra State. Table 3.17 shows the existing housing schemes developed</w:t>
      </w:r>
      <w:r>
        <w:rPr>
          <w:spacing w:val="40"/>
        </w:rPr>
        <w:t> </w:t>
      </w:r>
      <w:r>
        <w:rPr/>
        <w:t>by the Anambra State Government till date and their status of development.</w:t>
      </w:r>
    </w:p>
    <w:p>
      <w:pPr>
        <w:spacing w:after="0" w:line="360" w:lineRule="auto"/>
        <w:jc w:val="both"/>
        <w:sectPr>
          <w:pgSz w:w="12240" w:h="15840"/>
          <w:pgMar w:header="0" w:footer="1036" w:top="1360" w:bottom="1220" w:left="1200" w:right="600"/>
        </w:sectPr>
      </w:pPr>
    </w:p>
    <w:p>
      <w:pPr>
        <w:pStyle w:val="BodyText"/>
        <w:spacing w:before="72"/>
        <w:ind w:left="240"/>
      </w:pPr>
      <w:r>
        <w:rPr>
          <w:b/>
        </w:rPr>
        <w:t>Table</w:t>
      </w:r>
      <w:r>
        <w:rPr>
          <w:b/>
          <w:spacing w:val="-4"/>
        </w:rPr>
        <w:t> </w:t>
      </w:r>
      <w:r>
        <w:rPr>
          <w:b/>
        </w:rPr>
        <w:t>3.17.</w:t>
      </w:r>
      <w:r>
        <w:rPr>
          <w:b/>
          <w:spacing w:val="-1"/>
        </w:rPr>
        <w:t> </w:t>
      </w:r>
      <w:r>
        <w:rPr/>
        <w:t>Existing</w:t>
      </w:r>
      <w:r>
        <w:rPr>
          <w:spacing w:val="-3"/>
        </w:rPr>
        <w:t> </w:t>
      </w:r>
      <w:r>
        <w:rPr/>
        <w:t>State</w:t>
      </w:r>
      <w:r>
        <w:rPr>
          <w:spacing w:val="-3"/>
        </w:rPr>
        <w:t> </w:t>
      </w:r>
      <w:r>
        <w:rPr/>
        <w:t>Government</w:t>
      </w:r>
      <w:r>
        <w:rPr>
          <w:spacing w:val="-1"/>
        </w:rPr>
        <w:t> </w:t>
      </w:r>
      <w:r>
        <w:rPr/>
        <w:t>Residential Layouts/Estates</w:t>
      </w:r>
      <w:r>
        <w:rPr>
          <w:spacing w:val="-1"/>
        </w:rPr>
        <w:t> </w:t>
      </w:r>
      <w:r>
        <w:rPr/>
        <w:t>in</w:t>
      </w:r>
      <w:r>
        <w:rPr>
          <w:spacing w:val="-1"/>
        </w:rPr>
        <w:t> </w:t>
      </w:r>
      <w:r>
        <w:rPr/>
        <w:t>Anambra</w:t>
      </w:r>
      <w:r>
        <w:rPr>
          <w:spacing w:val="-3"/>
        </w:rPr>
        <w:t> </w:t>
      </w:r>
      <w:r>
        <w:rPr>
          <w:spacing w:val="-2"/>
        </w:rPr>
        <w:t>State</w:t>
      </w:r>
    </w:p>
    <w:p>
      <w:pPr>
        <w:pStyle w:val="BodyText"/>
        <w:spacing w:before="1" w:after="1"/>
        <w:rPr>
          <w:sz w:val="11"/>
        </w:rPr>
      </w:pPr>
    </w:p>
    <w:tbl>
      <w:tblPr>
        <w:tblW w:w="0" w:type="auto"/>
        <w:jc w:val="left"/>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1"/>
        <w:gridCol w:w="3329"/>
        <w:gridCol w:w="1363"/>
        <w:gridCol w:w="3814"/>
      </w:tblGrid>
      <w:tr>
        <w:trPr>
          <w:trHeight w:val="827" w:hRule="atLeast"/>
        </w:trPr>
        <w:tc>
          <w:tcPr>
            <w:tcW w:w="631" w:type="dxa"/>
          </w:tcPr>
          <w:p>
            <w:pPr>
              <w:pStyle w:val="TableParagraph"/>
              <w:spacing w:line="275" w:lineRule="exact"/>
              <w:ind w:left="107"/>
              <w:rPr>
                <w:b/>
                <w:sz w:val="24"/>
              </w:rPr>
            </w:pPr>
            <w:r>
              <w:rPr>
                <w:b/>
                <w:spacing w:val="-5"/>
                <w:sz w:val="24"/>
              </w:rPr>
              <w:t>S/N</w:t>
            </w:r>
          </w:p>
        </w:tc>
        <w:tc>
          <w:tcPr>
            <w:tcW w:w="3329" w:type="dxa"/>
          </w:tcPr>
          <w:p>
            <w:pPr>
              <w:pStyle w:val="TableParagraph"/>
              <w:spacing w:line="275" w:lineRule="exact"/>
              <w:ind w:left="105"/>
              <w:rPr>
                <w:b/>
                <w:sz w:val="24"/>
              </w:rPr>
            </w:pPr>
            <w:r>
              <w:rPr>
                <w:b/>
                <w:sz w:val="24"/>
              </w:rPr>
              <w:t>Name</w:t>
            </w:r>
            <w:r>
              <w:rPr>
                <w:b/>
                <w:spacing w:val="-5"/>
                <w:sz w:val="24"/>
              </w:rPr>
              <w:t> </w:t>
            </w:r>
            <w:r>
              <w:rPr>
                <w:b/>
                <w:sz w:val="24"/>
              </w:rPr>
              <w:t>of Estate</w:t>
            </w:r>
            <w:r>
              <w:rPr>
                <w:b/>
                <w:spacing w:val="-2"/>
                <w:sz w:val="24"/>
              </w:rPr>
              <w:t> </w:t>
            </w:r>
            <w:r>
              <w:rPr>
                <w:b/>
                <w:sz w:val="24"/>
              </w:rPr>
              <w:t>and</w:t>
            </w:r>
            <w:r>
              <w:rPr>
                <w:b/>
                <w:spacing w:val="-1"/>
                <w:sz w:val="24"/>
              </w:rPr>
              <w:t> </w:t>
            </w:r>
            <w:r>
              <w:rPr>
                <w:b/>
                <w:spacing w:val="-2"/>
                <w:sz w:val="24"/>
              </w:rPr>
              <w:t>Location</w:t>
            </w:r>
          </w:p>
        </w:tc>
        <w:tc>
          <w:tcPr>
            <w:tcW w:w="1363" w:type="dxa"/>
          </w:tcPr>
          <w:p>
            <w:pPr>
              <w:pStyle w:val="TableParagraph"/>
              <w:spacing w:line="276" w:lineRule="exact"/>
              <w:ind w:left="108"/>
              <w:rPr>
                <w:b/>
                <w:sz w:val="24"/>
              </w:rPr>
            </w:pPr>
            <w:r>
              <w:rPr>
                <w:b/>
                <w:sz w:val="24"/>
              </w:rPr>
              <w:t>No of </w:t>
            </w:r>
            <w:r>
              <w:rPr>
                <w:b/>
                <w:spacing w:val="-2"/>
                <w:sz w:val="24"/>
              </w:rPr>
              <w:t>Residential Plots</w:t>
            </w:r>
          </w:p>
        </w:tc>
        <w:tc>
          <w:tcPr>
            <w:tcW w:w="3814" w:type="dxa"/>
          </w:tcPr>
          <w:p>
            <w:pPr>
              <w:pStyle w:val="TableParagraph"/>
              <w:spacing w:line="275" w:lineRule="exact"/>
              <w:ind w:left="108"/>
              <w:rPr>
                <w:b/>
                <w:sz w:val="24"/>
              </w:rPr>
            </w:pPr>
            <w:r>
              <w:rPr>
                <w:b/>
                <w:sz w:val="24"/>
              </w:rPr>
              <w:t>Status</w:t>
            </w:r>
            <w:r>
              <w:rPr>
                <w:b/>
                <w:spacing w:val="-1"/>
                <w:sz w:val="24"/>
              </w:rPr>
              <w:t> </w:t>
            </w:r>
            <w:r>
              <w:rPr>
                <w:b/>
                <w:sz w:val="24"/>
              </w:rPr>
              <w:t>of </w:t>
            </w:r>
            <w:r>
              <w:rPr>
                <w:b/>
                <w:spacing w:val="-2"/>
                <w:sz w:val="24"/>
              </w:rPr>
              <w:t>Development</w:t>
            </w:r>
          </w:p>
        </w:tc>
      </w:tr>
      <w:tr>
        <w:trPr>
          <w:trHeight w:val="414" w:hRule="atLeast"/>
        </w:trPr>
        <w:tc>
          <w:tcPr>
            <w:tcW w:w="631" w:type="dxa"/>
          </w:tcPr>
          <w:p>
            <w:pPr>
              <w:pStyle w:val="TableParagraph"/>
              <w:spacing w:line="270" w:lineRule="exact"/>
              <w:ind w:left="107"/>
              <w:rPr>
                <w:sz w:val="24"/>
              </w:rPr>
            </w:pPr>
            <w:r>
              <w:rPr>
                <w:spacing w:val="-10"/>
                <w:sz w:val="24"/>
              </w:rPr>
              <w:t>1</w:t>
            </w:r>
          </w:p>
        </w:tc>
        <w:tc>
          <w:tcPr>
            <w:tcW w:w="3329" w:type="dxa"/>
          </w:tcPr>
          <w:p>
            <w:pPr>
              <w:pStyle w:val="TableParagraph"/>
              <w:spacing w:line="223" w:lineRule="exact"/>
              <w:ind w:left="105"/>
              <w:rPr>
                <w:sz w:val="20"/>
              </w:rPr>
            </w:pPr>
            <w:r>
              <w:rPr>
                <w:sz w:val="20"/>
              </w:rPr>
              <w:t>Fegge</w:t>
            </w:r>
            <w:r>
              <w:rPr>
                <w:spacing w:val="-7"/>
                <w:sz w:val="20"/>
              </w:rPr>
              <w:t> </w:t>
            </w:r>
            <w:r>
              <w:rPr>
                <w:sz w:val="20"/>
              </w:rPr>
              <w:t>Layout,</w:t>
            </w:r>
            <w:r>
              <w:rPr>
                <w:spacing w:val="-6"/>
                <w:sz w:val="20"/>
              </w:rPr>
              <w:t> </w:t>
            </w:r>
            <w:r>
              <w:rPr>
                <w:spacing w:val="-2"/>
                <w:sz w:val="20"/>
              </w:rPr>
              <w:t>Onitsha</w:t>
            </w:r>
          </w:p>
        </w:tc>
        <w:tc>
          <w:tcPr>
            <w:tcW w:w="1363" w:type="dxa"/>
          </w:tcPr>
          <w:p>
            <w:pPr>
              <w:pStyle w:val="TableParagraph"/>
              <w:spacing w:line="223" w:lineRule="exact"/>
              <w:ind w:left="108"/>
              <w:rPr>
                <w:sz w:val="20"/>
              </w:rPr>
            </w:pPr>
            <w:r>
              <w:rPr>
                <w:spacing w:val="-4"/>
                <w:sz w:val="20"/>
              </w:rPr>
              <w:t>1071</w:t>
            </w:r>
          </w:p>
        </w:tc>
        <w:tc>
          <w:tcPr>
            <w:tcW w:w="3814" w:type="dxa"/>
          </w:tcPr>
          <w:p>
            <w:pPr>
              <w:pStyle w:val="TableParagraph"/>
              <w:spacing w:line="223" w:lineRule="exact"/>
              <w:ind w:left="108"/>
              <w:rPr>
                <w:sz w:val="20"/>
              </w:rPr>
            </w:pPr>
            <w:r>
              <w:rPr>
                <w:sz w:val="20"/>
              </w:rPr>
              <w:t>Fully</w:t>
            </w:r>
            <w:r>
              <w:rPr>
                <w:spacing w:val="-6"/>
                <w:sz w:val="20"/>
              </w:rPr>
              <w:t> </w:t>
            </w:r>
            <w:r>
              <w:rPr>
                <w:sz w:val="20"/>
              </w:rPr>
              <w:t>developed</w:t>
            </w:r>
            <w:r>
              <w:rPr>
                <w:spacing w:val="-5"/>
                <w:sz w:val="20"/>
              </w:rPr>
              <w:t> </w:t>
            </w:r>
            <w:r>
              <w:rPr>
                <w:sz w:val="20"/>
              </w:rPr>
              <w:t>and</w:t>
            </w:r>
            <w:r>
              <w:rPr>
                <w:spacing w:val="-2"/>
                <w:sz w:val="20"/>
              </w:rPr>
              <w:t> functional</w:t>
            </w:r>
          </w:p>
        </w:tc>
      </w:tr>
      <w:tr>
        <w:trPr>
          <w:trHeight w:val="412" w:hRule="atLeast"/>
        </w:trPr>
        <w:tc>
          <w:tcPr>
            <w:tcW w:w="631" w:type="dxa"/>
          </w:tcPr>
          <w:p>
            <w:pPr>
              <w:pStyle w:val="TableParagraph"/>
              <w:spacing w:line="270" w:lineRule="exact"/>
              <w:ind w:left="107"/>
              <w:rPr>
                <w:sz w:val="24"/>
              </w:rPr>
            </w:pPr>
            <w:r>
              <w:rPr>
                <w:spacing w:val="-10"/>
                <w:sz w:val="24"/>
              </w:rPr>
              <w:t>2</w:t>
            </w:r>
          </w:p>
        </w:tc>
        <w:tc>
          <w:tcPr>
            <w:tcW w:w="3329" w:type="dxa"/>
          </w:tcPr>
          <w:p>
            <w:pPr>
              <w:pStyle w:val="TableParagraph"/>
              <w:spacing w:line="223" w:lineRule="exact"/>
              <w:ind w:left="105"/>
              <w:rPr>
                <w:sz w:val="20"/>
              </w:rPr>
            </w:pPr>
            <w:r>
              <w:rPr>
                <w:sz w:val="20"/>
              </w:rPr>
              <w:t>GRA,</w:t>
            </w:r>
            <w:r>
              <w:rPr>
                <w:spacing w:val="-7"/>
                <w:sz w:val="20"/>
              </w:rPr>
              <w:t> </w:t>
            </w:r>
            <w:r>
              <w:rPr>
                <w:spacing w:val="-2"/>
                <w:sz w:val="20"/>
              </w:rPr>
              <w:t>Onitsha</w:t>
            </w:r>
          </w:p>
        </w:tc>
        <w:tc>
          <w:tcPr>
            <w:tcW w:w="1363" w:type="dxa"/>
          </w:tcPr>
          <w:p>
            <w:pPr>
              <w:pStyle w:val="TableParagraph"/>
              <w:spacing w:line="223" w:lineRule="exact"/>
              <w:ind w:left="108"/>
              <w:rPr>
                <w:sz w:val="20"/>
              </w:rPr>
            </w:pPr>
            <w:r>
              <w:rPr>
                <w:spacing w:val="-5"/>
                <w:sz w:val="20"/>
              </w:rPr>
              <w:t>473</w:t>
            </w:r>
          </w:p>
        </w:tc>
        <w:tc>
          <w:tcPr>
            <w:tcW w:w="3814" w:type="dxa"/>
          </w:tcPr>
          <w:p>
            <w:pPr>
              <w:pStyle w:val="TableParagraph"/>
              <w:spacing w:line="223" w:lineRule="exact"/>
              <w:ind w:left="108"/>
              <w:rPr>
                <w:sz w:val="20"/>
              </w:rPr>
            </w:pPr>
            <w:r>
              <w:rPr>
                <w:sz w:val="20"/>
              </w:rPr>
              <w:t>Fully</w:t>
            </w:r>
            <w:r>
              <w:rPr>
                <w:spacing w:val="-6"/>
                <w:sz w:val="20"/>
              </w:rPr>
              <w:t> </w:t>
            </w:r>
            <w:r>
              <w:rPr>
                <w:sz w:val="20"/>
              </w:rPr>
              <w:t>developed</w:t>
            </w:r>
            <w:r>
              <w:rPr>
                <w:spacing w:val="-5"/>
                <w:sz w:val="20"/>
              </w:rPr>
              <w:t> </w:t>
            </w:r>
            <w:r>
              <w:rPr>
                <w:sz w:val="20"/>
              </w:rPr>
              <w:t>and</w:t>
            </w:r>
            <w:r>
              <w:rPr>
                <w:spacing w:val="-4"/>
                <w:sz w:val="20"/>
              </w:rPr>
              <w:t> </w:t>
            </w:r>
            <w:r>
              <w:rPr>
                <w:spacing w:val="-2"/>
                <w:sz w:val="20"/>
              </w:rPr>
              <w:t>functional</w:t>
            </w:r>
          </w:p>
        </w:tc>
      </w:tr>
      <w:tr>
        <w:trPr>
          <w:trHeight w:val="690" w:hRule="atLeast"/>
        </w:trPr>
        <w:tc>
          <w:tcPr>
            <w:tcW w:w="631" w:type="dxa"/>
          </w:tcPr>
          <w:p>
            <w:pPr>
              <w:pStyle w:val="TableParagraph"/>
              <w:spacing w:line="273" w:lineRule="exact"/>
              <w:ind w:left="107"/>
              <w:rPr>
                <w:sz w:val="24"/>
              </w:rPr>
            </w:pPr>
            <w:r>
              <w:rPr>
                <w:spacing w:val="-10"/>
                <w:sz w:val="24"/>
              </w:rPr>
              <w:t>3</w:t>
            </w:r>
          </w:p>
        </w:tc>
        <w:tc>
          <w:tcPr>
            <w:tcW w:w="3329" w:type="dxa"/>
          </w:tcPr>
          <w:p>
            <w:pPr>
              <w:pStyle w:val="TableParagraph"/>
              <w:spacing w:line="225" w:lineRule="exact"/>
              <w:ind w:left="105"/>
              <w:rPr>
                <w:sz w:val="20"/>
              </w:rPr>
            </w:pPr>
            <w:r>
              <w:rPr>
                <w:sz w:val="20"/>
              </w:rPr>
              <w:t>Akpaka</w:t>
            </w:r>
            <w:r>
              <w:rPr>
                <w:spacing w:val="-6"/>
                <w:sz w:val="20"/>
              </w:rPr>
              <w:t> </w:t>
            </w:r>
            <w:r>
              <w:rPr>
                <w:spacing w:val="-2"/>
                <w:sz w:val="20"/>
              </w:rPr>
              <w:t>Layout</w:t>
            </w:r>
          </w:p>
        </w:tc>
        <w:tc>
          <w:tcPr>
            <w:tcW w:w="1363" w:type="dxa"/>
          </w:tcPr>
          <w:p>
            <w:pPr>
              <w:pStyle w:val="TableParagraph"/>
              <w:spacing w:line="225" w:lineRule="exact"/>
              <w:ind w:left="108"/>
              <w:rPr>
                <w:sz w:val="20"/>
              </w:rPr>
            </w:pPr>
            <w:r>
              <w:rPr>
                <w:spacing w:val="-4"/>
                <w:sz w:val="20"/>
              </w:rPr>
              <w:t>2725</w:t>
            </w:r>
          </w:p>
        </w:tc>
        <w:tc>
          <w:tcPr>
            <w:tcW w:w="3814" w:type="dxa"/>
          </w:tcPr>
          <w:p>
            <w:pPr>
              <w:pStyle w:val="TableParagraph"/>
              <w:spacing w:line="237" w:lineRule="auto"/>
              <w:ind w:left="108"/>
              <w:rPr>
                <w:sz w:val="20"/>
              </w:rPr>
            </w:pPr>
            <w:r>
              <w:rPr>
                <w:sz w:val="20"/>
              </w:rPr>
              <w:t>Partly</w:t>
            </w:r>
            <w:r>
              <w:rPr>
                <w:spacing w:val="80"/>
                <w:sz w:val="20"/>
              </w:rPr>
              <w:t> </w:t>
            </w:r>
            <w:r>
              <w:rPr>
                <w:sz w:val="20"/>
              </w:rPr>
              <w:t>developed/settled,</w:t>
            </w:r>
            <w:r>
              <w:rPr>
                <w:spacing w:val="80"/>
                <w:sz w:val="20"/>
              </w:rPr>
              <w:t> </w:t>
            </w:r>
            <w:r>
              <w:rPr>
                <w:sz w:val="20"/>
              </w:rPr>
              <w:t>cases</w:t>
            </w:r>
            <w:r>
              <w:rPr>
                <w:spacing w:val="80"/>
                <w:sz w:val="20"/>
              </w:rPr>
              <w:t> </w:t>
            </w:r>
            <w:r>
              <w:rPr>
                <w:sz w:val="20"/>
              </w:rPr>
              <w:t>of</w:t>
            </w:r>
            <w:r>
              <w:rPr>
                <w:spacing w:val="80"/>
                <w:sz w:val="20"/>
              </w:rPr>
              <w:t> </w:t>
            </w:r>
            <w:r>
              <w:rPr>
                <w:sz w:val="20"/>
              </w:rPr>
              <w:t>illegal possession</w:t>
            </w:r>
            <w:r>
              <w:rPr>
                <w:spacing w:val="-3"/>
                <w:sz w:val="20"/>
              </w:rPr>
              <w:t> </w:t>
            </w:r>
            <w:r>
              <w:rPr>
                <w:sz w:val="20"/>
              </w:rPr>
              <w:t>and</w:t>
            </w:r>
            <w:r>
              <w:rPr>
                <w:spacing w:val="-1"/>
                <w:sz w:val="20"/>
              </w:rPr>
              <w:t> </w:t>
            </w:r>
            <w:r>
              <w:rPr>
                <w:sz w:val="20"/>
              </w:rPr>
              <w:t>encroachment by</w:t>
            </w:r>
            <w:r>
              <w:rPr>
                <w:spacing w:val="-3"/>
                <w:sz w:val="20"/>
              </w:rPr>
              <w:t> </w:t>
            </w:r>
            <w:r>
              <w:rPr>
                <w:sz w:val="20"/>
              </w:rPr>
              <w:t>natives </w:t>
            </w:r>
            <w:r>
              <w:rPr>
                <w:spacing w:val="-5"/>
                <w:sz w:val="20"/>
              </w:rPr>
              <w:t>and</w:t>
            </w:r>
          </w:p>
          <w:p>
            <w:pPr>
              <w:pStyle w:val="TableParagraph"/>
              <w:spacing w:line="217" w:lineRule="exact"/>
              <w:ind w:left="108"/>
              <w:rPr>
                <w:sz w:val="20"/>
              </w:rPr>
            </w:pPr>
            <w:r>
              <w:rPr>
                <w:sz w:val="20"/>
              </w:rPr>
              <w:t>speculators.</w:t>
            </w:r>
            <w:r>
              <w:rPr>
                <w:spacing w:val="-7"/>
                <w:sz w:val="20"/>
              </w:rPr>
              <w:t> </w:t>
            </w:r>
            <w:r>
              <w:rPr>
                <w:sz w:val="20"/>
              </w:rPr>
              <w:t>No</w:t>
            </w:r>
            <w:r>
              <w:rPr>
                <w:spacing w:val="-6"/>
                <w:sz w:val="20"/>
              </w:rPr>
              <w:t> </w:t>
            </w:r>
            <w:r>
              <w:rPr>
                <w:spacing w:val="-2"/>
                <w:sz w:val="20"/>
              </w:rPr>
              <w:t>infrastructure.</w:t>
            </w:r>
          </w:p>
        </w:tc>
      </w:tr>
      <w:tr>
        <w:trPr>
          <w:trHeight w:val="460" w:hRule="atLeast"/>
        </w:trPr>
        <w:tc>
          <w:tcPr>
            <w:tcW w:w="631" w:type="dxa"/>
          </w:tcPr>
          <w:p>
            <w:pPr>
              <w:pStyle w:val="TableParagraph"/>
              <w:spacing w:line="270" w:lineRule="exact"/>
              <w:ind w:left="107"/>
              <w:rPr>
                <w:sz w:val="24"/>
              </w:rPr>
            </w:pPr>
            <w:r>
              <w:rPr>
                <w:spacing w:val="-10"/>
                <w:sz w:val="24"/>
              </w:rPr>
              <w:t>4</w:t>
            </w:r>
          </w:p>
        </w:tc>
        <w:tc>
          <w:tcPr>
            <w:tcW w:w="3329" w:type="dxa"/>
          </w:tcPr>
          <w:p>
            <w:pPr>
              <w:pStyle w:val="TableParagraph"/>
              <w:spacing w:line="223" w:lineRule="exact"/>
              <w:ind w:left="105"/>
              <w:rPr>
                <w:sz w:val="20"/>
              </w:rPr>
            </w:pPr>
            <w:r>
              <w:rPr>
                <w:sz w:val="20"/>
              </w:rPr>
              <w:t>Trans</w:t>
            </w:r>
            <w:r>
              <w:rPr>
                <w:spacing w:val="-6"/>
                <w:sz w:val="20"/>
              </w:rPr>
              <w:t> </w:t>
            </w:r>
            <w:r>
              <w:rPr>
                <w:sz w:val="20"/>
              </w:rPr>
              <w:t>Nkisi</w:t>
            </w:r>
            <w:r>
              <w:rPr>
                <w:spacing w:val="-3"/>
                <w:sz w:val="20"/>
              </w:rPr>
              <w:t> </w:t>
            </w:r>
            <w:r>
              <w:rPr>
                <w:sz w:val="20"/>
              </w:rPr>
              <w:t>Layout,</w:t>
            </w:r>
            <w:r>
              <w:rPr>
                <w:spacing w:val="-5"/>
                <w:sz w:val="20"/>
              </w:rPr>
              <w:t> </w:t>
            </w:r>
            <w:r>
              <w:rPr>
                <w:sz w:val="20"/>
              </w:rPr>
              <w:t>phases</w:t>
            </w:r>
            <w:r>
              <w:rPr>
                <w:spacing w:val="-6"/>
                <w:sz w:val="20"/>
              </w:rPr>
              <w:t> </w:t>
            </w:r>
            <w:r>
              <w:rPr>
                <w:sz w:val="20"/>
              </w:rPr>
              <w:t>I</w:t>
            </w:r>
            <w:r>
              <w:rPr>
                <w:spacing w:val="-4"/>
                <w:sz w:val="20"/>
              </w:rPr>
              <w:t> </w:t>
            </w:r>
            <w:r>
              <w:rPr>
                <w:sz w:val="20"/>
              </w:rPr>
              <w:t>and</w:t>
            </w:r>
            <w:r>
              <w:rPr>
                <w:spacing w:val="-3"/>
                <w:sz w:val="20"/>
              </w:rPr>
              <w:t> </w:t>
            </w:r>
            <w:r>
              <w:rPr>
                <w:spacing w:val="-5"/>
                <w:sz w:val="20"/>
              </w:rPr>
              <w:t>II,</w:t>
            </w:r>
          </w:p>
          <w:p>
            <w:pPr>
              <w:pStyle w:val="TableParagraph"/>
              <w:spacing w:line="217" w:lineRule="exact"/>
              <w:ind w:left="105"/>
              <w:rPr>
                <w:sz w:val="20"/>
              </w:rPr>
            </w:pPr>
            <w:r>
              <w:rPr>
                <w:spacing w:val="-2"/>
                <w:sz w:val="20"/>
              </w:rPr>
              <w:t>Onitsha</w:t>
            </w:r>
          </w:p>
        </w:tc>
        <w:tc>
          <w:tcPr>
            <w:tcW w:w="1363" w:type="dxa"/>
          </w:tcPr>
          <w:p>
            <w:pPr>
              <w:pStyle w:val="TableParagraph"/>
              <w:spacing w:line="223" w:lineRule="exact"/>
              <w:ind w:left="108"/>
              <w:rPr>
                <w:sz w:val="20"/>
              </w:rPr>
            </w:pPr>
            <w:r>
              <w:rPr>
                <w:spacing w:val="-4"/>
                <w:sz w:val="20"/>
              </w:rPr>
              <w:t>2725</w:t>
            </w:r>
          </w:p>
        </w:tc>
        <w:tc>
          <w:tcPr>
            <w:tcW w:w="3814" w:type="dxa"/>
          </w:tcPr>
          <w:p>
            <w:pPr>
              <w:pStyle w:val="TableParagraph"/>
              <w:spacing w:line="223" w:lineRule="exact"/>
              <w:ind w:left="108"/>
              <w:rPr>
                <w:sz w:val="20"/>
              </w:rPr>
            </w:pPr>
            <w:r>
              <w:rPr>
                <w:sz w:val="20"/>
              </w:rPr>
              <w:t>No</w:t>
            </w:r>
            <w:r>
              <w:rPr>
                <w:spacing w:val="66"/>
                <w:w w:val="150"/>
                <w:sz w:val="20"/>
              </w:rPr>
              <w:t> </w:t>
            </w:r>
            <w:r>
              <w:rPr>
                <w:sz w:val="20"/>
              </w:rPr>
              <w:t>infrastructure.</w:t>
            </w:r>
            <w:r>
              <w:rPr>
                <w:spacing w:val="66"/>
                <w:w w:val="150"/>
                <w:sz w:val="20"/>
              </w:rPr>
              <w:t> </w:t>
            </w:r>
            <w:r>
              <w:rPr>
                <w:sz w:val="20"/>
              </w:rPr>
              <w:t>Rural</w:t>
            </w:r>
            <w:r>
              <w:rPr>
                <w:spacing w:val="65"/>
                <w:w w:val="150"/>
                <w:sz w:val="20"/>
              </w:rPr>
              <w:t> </w:t>
            </w:r>
            <w:r>
              <w:rPr>
                <w:sz w:val="20"/>
              </w:rPr>
              <w:t>claims</w:t>
            </w:r>
            <w:r>
              <w:rPr>
                <w:spacing w:val="65"/>
                <w:w w:val="150"/>
                <w:sz w:val="20"/>
              </w:rPr>
              <w:t> </w:t>
            </w:r>
            <w:r>
              <w:rPr>
                <w:spacing w:val="-2"/>
                <w:sz w:val="20"/>
              </w:rPr>
              <w:t>between</w:t>
            </w:r>
          </w:p>
          <w:p>
            <w:pPr>
              <w:pStyle w:val="TableParagraph"/>
              <w:spacing w:line="217" w:lineRule="exact"/>
              <w:ind w:left="108"/>
              <w:rPr>
                <w:sz w:val="20"/>
              </w:rPr>
            </w:pPr>
            <w:r>
              <w:rPr>
                <w:sz w:val="20"/>
              </w:rPr>
              <w:t>Onitsha</w:t>
            </w:r>
            <w:r>
              <w:rPr>
                <w:spacing w:val="-7"/>
                <w:sz w:val="20"/>
              </w:rPr>
              <w:t> </w:t>
            </w:r>
            <w:r>
              <w:rPr>
                <w:sz w:val="20"/>
              </w:rPr>
              <w:t>and</w:t>
            </w:r>
            <w:r>
              <w:rPr>
                <w:spacing w:val="-5"/>
                <w:sz w:val="20"/>
              </w:rPr>
              <w:t> </w:t>
            </w:r>
            <w:r>
              <w:rPr>
                <w:sz w:val="20"/>
              </w:rPr>
              <w:t>Nkwelle</w:t>
            </w:r>
            <w:r>
              <w:rPr>
                <w:spacing w:val="-6"/>
                <w:sz w:val="20"/>
              </w:rPr>
              <w:t> </w:t>
            </w:r>
            <w:r>
              <w:rPr>
                <w:spacing w:val="-2"/>
                <w:sz w:val="20"/>
              </w:rPr>
              <w:t>Ezunaka.</w:t>
            </w:r>
          </w:p>
        </w:tc>
      </w:tr>
      <w:tr>
        <w:trPr>
          <w:trHeight w:val="460" w:hRule="atLeast"/>
        </w:trPr>
        <w:tc>
          <w:tcPr>
            <w:tcW w:w="631" w:type="dxa"/>
          </w:tcPr>
          <w:p>
            <w:pPr>
              <w:pStyle w:val="TableParagraph"/>
              <w:spacing w:line="270" w:lineRule="exact"/>
              <w:ind w:left="107"/>
              <w:rPr>
                <w:sz w:val="24"/>
              </w:rPr>
            </w:pPr>
            <w:r>
              <w:rPr>
                <w:spacing w:val="-10"/>
                <w:sz w:val="24"/>
              </w:rPr>
              <w:t>5</w:t>
            </w:r>
          </w:p>
        </w:tc>
        <w:tc>
          <w:tcPr>
            <w:tcW w:w="3329" w:type="dxa"/>
          </w:tcPr>
          <w:p>
            <w:pPr>
              <w:pStyle w:val="TableParagraph"/>
              <w:spacing w:line="223" w:lineRule="exact"/>
              <w:ind w:left="105"/>
              <w:rPr>
                <w:sz w:val="20"/>
              </w:rPr>
            </w:pPr>
            <w:r>
              <w:rPr>
                <w:sz w:val="20"/>
              </w:rPr>
              <w:t>Trans</w:t>
            </w:r>
            <w:r>
              <w:rPr>
                <w:spacing w:val="-8"/>
                <w:sz w:val="20"/>
              </w:rPr>
              <w:t> </w:t>
            </w:r>
            <w:r>
              <w:rPr>
                <w:sz w:val="20"/>
              </w:rPr>
              <w:t>Nkisi</w:t>
            </w:r>
            <w:r>
              <w:rPr>
                <w:spacing w:val="-4"/>
                <w:sz w:val="20"/>
              </w:rPr>
              <w:t> </w:t>
            </w:r>
            <w:r>
              <w:rPr>
                <w:sz w:val="20"/>
              </w:rPr>
              <w:t>Layout,</w:t>
            </w:r>
            <w:r>
              <w:rPr>
                <w:spacing w:val="-7"/>
                <w:sz w:val="20"/>
              </w:rPr>
              <w:t> </w:t>
            </w:r>
            <w:r>
              <w:rPr>
                <w:spacing w:val="-2"/>
                <w:sz w:val="20"/>
              </w:rPr>
              <w:t>Onitsha</w:t>
            </w:r>
          </w:p>
        </w:tc>
        <w:tc>
          <w:tcPr>
            <w:tcW w:w="1363" w:type="dxa"/>
          </w:tcPr>
          <w:p>
            <w:pPr>
              <w:pStyle w:val="TableParagraph"/>
              <w:spacing w:line="223" w:lineRule="exact"/>
              <w:ind w:left="108"/>
              <w:rPr>
                <w:sz w:val="20"/>
              </w:rPr>
            </w:pPr>
            <w:r>
              <w:rPr>
                <w:spacing w:val="-5"/>
                <w:sz w:val="20"/>
              </w:rPr>
              <w:t>739</w:t>
            </w:r>
          </w:p>
        </w:tc>
        <w:tc>
          <w:tcPr>
            <w:tcW w:w="3814" w:type="dxa"/>
          </w:tcPr>
          <w:p>
            <w:pPr>
              <w:pStyle w:val="TableParagraph"/>
              <w:spacing w:line="223" w:lineRule="exact"/>
              <w:ind w:left="108"/>
              <w:rPr>
                <w:sz w:val="20"/>
              </w:rPr>
            </w:pPr>
            <w:r>
              <w:rPr>
                <w:sz w:val="20"/>
              </w:rPr>
              <w:t>No</w:t>
            </w:r>
            <w:r>
              <w:rPr>
                <w:spacing w:val="69"/>
                <w:w w:val="150"/>
                <w:sz w:val="20"/>
              </w:rPr>
              <w:t> </w:t>
            </w:r>
            <w:r>
              <w:rPr>
                <w:sz w:val="20"/>
              </w:rPr>
              <w:t>infrastructure.</w:t>
            </w:r>
            <w:r>
              <w:rPr>
                <w:spacing w:val="69"/>
                <w:w w:val="150"/>
                <w:sz w:val="20"/>
              </w:rPr>
              <w:t> </w:t>
            </w:r>
            <w:r>
              <w:rPr>
                <w:sz w:val="20"/>
              </w:rPr>
              <w:t>Rival</w:t>
            </w:r>
            <w:r>
              <w:rPr>
                <w:spacing w:val="69"/>
                <w:w w:val="150"/>
                <w:sz w:val="20"/>
              </w:rPr>
              <w:t> </w:t>
            </w:r>
            <w:r>
              <w:rPr>
                <w:sz w:val="20"/>
              </w:rPr>
              <w:t>claims</w:t>
            </w:r>
            <w:r>
              <w:rPr>
                <w:spacing w:val="67"/>
                <w:w w:val="150"/>
                <w:sz w:val="20"/>
              </w:rPr>
              <w:t> </w:t>
            </w:r>
            <w:r>
              <w:rPr>
                <w:spacing w:val="-2"/>
                <w:sz w:val="20"/>
              </w:rPr>
              <w:t>between</w:t>
            </w:r>
          </w:p>
          <w:p>
            <w:pPr>
              <w:pStyle w:val="TableParagraph"/>
              <w:spacing w:line="217" w:lineRule="exact" w:before="1"/>
              <w:ind w:left="108"/>
              <w:rPr>
                <w:sz w:val="20"/>
              </w:rPr>
            </w:pPr>
            <w:r>
              <w:rPr>
                <w:sz w:val="20"/>
              </w:rPr>
              <w:t>Onitsha</w:t>
            </w:r>
            <w:r>
              <w:rPr>
                <w:spacing w:val="-7"/>
                <w:sz w:val="20"/>
              </w:rPr>
              <w:t> </w:t>
            </w:r>
            <w:r>
              <w:rPr>
                <w:sz w:val="20"/>
              </w:rPr>
              <w:t>and</w:t>
            </w:r>
            <w:r>
              <w:rPr>
                <w:spacing w:val="-5"/>
                <w:sz w:val="20"/>
              </w:rPr>
              <w:t> </w:t>
            </w:r>
            <w:r>
              <w:rPr>
                <w:sz w:val="20"/>
              </w:rPr>
              <w:t>Nkwelle</w:t>
            </w:r>
            <w:r>
              <w:rPr>
                <w:spacing w:val="-6"/>
                <w:sz w:val="20"/>
              </w:rPr>
              <w:t> </w:t>
            </w:r>
            <w:r>
              <w:rPr>
                <w:spacing w:val="-2"/>
                <w:sz w:val="20"/>
              </w:rPr>
              <w:t>Ezunaka.</w:t>
            </w:r>
          </w:p>
        </w:tc>
      </w:tr>
      <w:tr>
        <w:trPr>
          <w:trHeight w:val="460" w:hRule="atLeast"/>
        </w:trPr>
        <w:tc>
          <w:tcPr>
            <w:tcW w:w="631" w:type="dxa"/>
          </w:tcPr>
          <w:p>
            <w:pPr>
              <w:pStyle w:val="TableParagraph"/>
              <w:spacing w:line="270" w:lineRule="exact"/>
              <w:ind w:left="107"/>
              <w:rPr>
                <w:sz w:val="24"/>
              </w:rPr>
            </w:pPr>
            <w:r>
              <w:rPr>
                <w:spacing w:val="-10"/>
                <w:sz w:val="24"/>
              </w:rPr>
              <w:t>6</w:t>
            </w:r>
          </w:p>
        </w:tc>
        <w:tc>
          <w:tcPr>
            <w:tcW w:w="3329" w:type="dxa"/>
          </w:tcPr>
          <w:p>
            <w:pPr>
              <w:pStyle w:val="TableParagraph"/>
              <w:spacing w:line="223" w:lineRule="exact"/>
              <w:ind w:left="105"/>
              <w:rPr>
                <w:sz w:val="20"/>
              </w:rPr>
            </w:pPr>
            <w:r>
              <w:rPr>
                <w:sz w:val="20"/>
              </w:rPr>
              <w:t>Niger</w:t>
            </w:r>
            <w:r>
              <w:rPr>
                <w:spacing w:val="-5"/>
                <w:sz w:val="20"/>
              </w:rPr>
              <w:t> </w:t>
            </w:r>
            <w:r>
              <w:rPr>
                <w:sz w:val="20"/>
              </w:rPr>
              <w:t>Bridge</w:t>
            </w:r>
            <w:r>
              <w:rPr>
                <w:spacing w:val="-6"/>
                <w:sz w:val="20"/>
              </w:rPr>
              <w:t> </w:t>
            </w:r>
            <w:r>
              <w:rPr>
                <w:sz w:val="20"/>
              </w:rPr>
              <w:t>Head,</w:t>
            </w:r>
            <w:r>
              <w:rPr>
                <w:spacing w:val="-5"/>
                <w:sz w:val="20"/>
              </w:rPr>
              <w:t> </w:t>
            </w:r>
            <w:r>
              <w:rPr>
                <w:spacing w:val="-2"/>
                <w:sz w:val="20"/>
              </w:rPr>
              <w:t>Onitsha</w:t>
            </w:r>
          </w:p>
        </w:tc>
        <w:tc>
          <w:tcPr>
            <w:tcW w:w="1363" w:type="dxa"/>
          </w:tcPr>
          <w:p>
            <w:pPr>
              <w:pStyle w:val="TableParagraph"/>
              <w:spacing w:line="223" w:lineRule="exact"/>
              <w:ind w:left="108"/>
              <w:rPr>
                <w:sz w:val="20"/>
              </w:rPr>
            </w:pPr>
            <w:r>
              <w:rPr>
                <w:spacing w:val="-5"/>
                <w:sz w:val="20"/>
              </w:rPr>
              <w:t>541</w:t>
            </w:r>
          </w:p>
        </w:tc>
        <w:tc>
          <w:tcPr>
            <w:tcW w:w="3814" w:type="dxa"/>
          </w:tcPr>
          <w:p>
            <w:pPr>
              <w:pStyle w:val="TableParagraph"/>
              <w:spacing w:line="223" w:lineRule="exact"/>
              <w:ind w:left="108"/>
              <w:rPr>
                <w:sz w:val="20"/>
              </w:rPr>
            </w:pPr>
            <w:r>
              <w:rPr>
                <w:sz w:val="20"/>
              </w:rPr>
              <w:t>Fully</w:t>
            </w:r>
            <w:r>
              <w:rPr>
                <w:spacing w:val="-6"/>
                <w:sz w:val="20"/>
              </w:rPr>
              <w:t> </w:t>
            </w:r>
            <w:r>
              <w:rPr>
                <w:sz w:val="20"/>
              </w:rPr>
              <w:t>developed</w:t>
            </w:r>
            <w:r>
              <w:rPr>
                <w:spacing w:val="-4"/>
                <w:sz w:val="20"/>
              </w:rPr>
              <w:t> </w:t>
            </w:r>
            <w:r>
              <w:rPr>
                <w:sz w:val="20"/>
              </w:rPr>
              <w:t>and</w:t>
            </w:r>
            <w:r>
              <w:rPr>
                <w:spacing w:val="-4"/>
                <w:sz w:val="20"/>
              </w:rPr>
              <w:t> </w:t>
            </w:r>
            <w:r>
              <w:rPr>
                <w:sz w:val="20"/>
              </w:rPr>
              <w:t>functional.</w:t>
            </w:r>
            <w:r>
              <w:rPr>
                <w:spacing w:val="-5"/>
                <w:sz w:val="20"/>
              </w:rPr>
              <w:t> </w:t>
            </w:r>
            <w:r>
              <w:rPr>
                <w:sz w:val="20"/>
              </w:rPr>
              <w:t>Managed</w:t>
            </w:r>
            <w:r>
              <w:rPr>
                <w:spacing w:val="-4"/>
                <w:sz w:val="20"/>
              </w:rPr>
              <w:t> </w:t>
            </w:r>
            <w:r>
              <w:rPr>
                <w:spacing w:val="-5"/>
                <w:sz w:val="20"/>
              </w:rPr>
              <w:t>by</w:t>
            </w:r>
          </w:p>
          <w:p>
            <w:pPr>
              <w:pStyle w:val="TableParagraph"/>
              <w:spacing w:line="217" w:lineRule="exact"/>
              <w:ind w:left="108"/>
              <w:rPr>
                <w:sz w:val="20"/>
              </w:rPr>
            </w:pPr>
            <w:r>
              <w:rPr>
                <w:sz w:val="20"/>
              </w:rPr>
              <w:t>the</w:t>
            </w:r>
            <w:r>
              <w:rPr>
                <w:spacing w:val="-6"/>
                <w:sz w:val="20"/>
              </w:rPr>
              <w:t> </w:t>
            </w:r>
            <w:r>
              <w:rPr>
                <w:sz w:val="20"/>
              </w:rPr>
              <w:t>Housing</w:t>
            </w:r>
            <w:r>
              <w:rPr>
                <w:spacing w:val="-4"/>
                <w:sz w:val="20"/>
              </w:rPr>
              <w:t> </w:t>
            </w:r>
            <w:r>
              <w:rPr>
                <w:spacing w:val="-2"/>
                <w:sz w:val="20"/>
              </w:rPr>
              <w:t>Corporation.</w:t>
            </w:r>
          </w:p>
        </w:tc>
      </w:tr>
      <w:tr>
        <w:trPr>
          <w:trHeight w:val="458" w:hRule="atLeast"/>
        </w:trPr>
        <w:tc>
          <w:tcPr>
            <w:tcW w:w="631" w:type="dxa"/>
          </w:tcPr>
          <w:p>
            <w:pPr>
              <w:pStyle w:val="TableParagraph"/>
              <w:spacing w:line="270" w:lineRule="exact"/>
              <w:ind w:left="107"/>
              <w:rPr>
                <w:sz w:val="24"/>
              </w:rPr>
            </w:pPr>
            <w:r>
              <w:rPr>
                <w:spacing w:val="-10"/>
                <w:sz w:val="24"/>
              </w:rPr>
              <w:t>7</w:t>
            </w:r>
          </w:p>
        </w:tc>
        <w:tc>
          <w:tcPr>
            <w:tcW w:w="3329" w:type="dxa"/>
          </w:tcPr>
          <w:p>
            <w:pPr>
              <w:pStyle w:val="TableParagraph"/>
              <w:spacing w:line="223" w:lineRule="exact"/>
              <w:ind w:left="105"/>
              <w:rPr>
                <w:sz w:val="20"/>
              </w:rPr>
            </w:pPr>
            <w:r>
              <w:rPr>
                <w:sz w:val="20"/>
              </w:rPr>
              <w:t>Hill</w:t>
            </w:r>
            <w:r>
              <w:rPr>
                <w:spacing w:val="-7"/>
                <w:sz w:val="20"/>
              </w:rPr>
              <w:t> </w:t>
            </w:r>
            <w:r>
              <w:rPr>
                <w:sz w:val="20"/>
              </w:rPr>
              <w:t>view</w:t>
            </w:r>
            <w:r>
              <w:rPr>
                <w:spacing w:val="-5"/>
                <w:sz w:val="20"/>
              </w:rPr>
              <w:t> </w:t>
            </w:r>
            <w:r>
              <w:rPr>
                <w:sz w:val="20"/>
              </w:rPr>
              <w:t>Housing,</w:t>
            </w:r>
            <w:r>
              <w:rPr>
                <w:spacing w:val="-5"/>
                <w:sz w:val="20"/>
              </w:rPr>
              <w:t> </w:t>
            </w:r>
            <w:r>
              <w:rPr>
                <w:sz w:val="20"/>
              </w:rPr>
              <w:t>Nkwelle</w:t>
            </w:r>
            <w:r>
              <w:rPr>
                <w:spacing w:val="-6"/>
                <w:sz w:val="20"/>
              </w:rPr>
              <w:t> </w:t>
            </w:r>
            <w:r>
              <w:rPr>
                <w:spacing w:val="-2"/>
                <w:sz w:val="20"/>
              </w:rPr>
              <w:t>Ezunaka</w:t>
            </w:r>
          </w:p>
        </w:tc>
        <w:tc>
          <w:tcPr>
            <w:tcW w:w="1363" w:type="dxa"/>
          </w:tcPr>
          <w:p>
            <w:pPr>
              <w:pStyle w:val="TableParagraph"/>
              <w:spacing w:line="223" w:lineRule="exact"/>
              <w:ind w:left="108"/>
              <w:rPr>
                <w:sz w:val="20"/>
              </w:rPr>
            </w:pPr>
            <w:r>
              <w:rPr>
                <w:spacing w:val="-5"/>
                <w:sz w:val="20"/>
              </w:rPr>
              <w:t>696</w:t>
            </w:r>
          </w:p>
        </w:tc>
        <w:tc>
          <w:tcPr>
            <w:tcW w:w="3814" w:type="dxa"/>
          </w:tcPr>
          <w:p>
            <w:pPr>
              <w:pStyle w:val="TableParagraph"/>
              <w:spacing w:line="223" w:lineRule="exact"/>
              <w:ind w:left="108"/>
              <w:rPr>
                <w:sz w:val="20"/>
              </w:rPr>
            </w:pPr>
            <w:r>
              <w:rPr>
                <w:sz w:val="20"/>
              </w:rPr>
              <w:t>Partly</w:t>
            </w:r>
            <w:r>
              <w:rPr>
                <w:spacing w:val="17"/>
                <w:sz w:val="20"/>
              </w:rPr>
              <w:t> </w:t>
            </w:r>
            <w:r>
              <w:rPr>
                <w:sz w:val="20"/>
              </w:rPr>
              <w:t>developed.</w:t>
            </w:r>
            <w:r>
              <w:rPr>
                <w:spacing w:val="23"/>
                <w:sz w:val="20"/>
              </w:rPr>
              <w:t> </w:t>
            </w:r>
            <w:r>
              <w:rPr>
                <w:sz w:val="20"/>
              </w:rPr>
              <w:t>Managed</w:t>
            </w:r>
            <w:r>
              <w:rPr>
                <w:spacing w:val="23"/>
                <w:sz w:val="20"/>
              </w:rPr>
              <w:t> </w:t>
            </w:r>
            <w:r>
              <w:rPr>
                <w:sz w:val="20"/>
              </w:rPr>
              <w:t>by</w:t>
            </w:r>
            <w:r>
              <w:rPr>
                <w:spacing w:val="21"/>
                <w:sz w:val="20"/>
              </w:rPr>
              <w:t> </w:t>
            </w:r>
            <w:r>
              <w:rPr>
                <w:sz w:val="20"/>
              </w:rPr>
              <w:t>the</w:t>
            </w:r>
            <w:r>
              <w:rPr>
                <w:spacing w:val="21"/>
                <w:sz w:val="20"/>
              </w:rPr>
              <w:t> </w:t>
            </w:r>
            <w:r>
              <w:rPr>
                <w:spacing w:val="-2"/>
                <w:sz w:val="20"/>
              </w:rPr>
              <w:t>Housing</w:t>
            </w:r>
          </w:p>
          <w:p>
            <w:pPr>
              <w:pStyle w:val="TableParagraph"/>
              <w:spacing w:line="215" w:lineRule="exact"/>
              <w:ind w:left="108"/>
              <w:rPr>
                <w:sz w:val="20"/>
              </w:rPr>
            </w:pPr>
            <w:r>
              <w:rPr>
                <w:spacing w:val="-2"/>
                <w:sz w:val="20"/>
              </w:rPr>
              <w:t>Corporation.</w:t>
            </w:r>
          </w:p>
        </w:tc>
      </w:tr>
      <w:tr>
        <w:trPr>
          <w:trHeight w:val="460" w:hRule="atLeast"/>
        </w:trPr>
        <w:tc>
          <w:tcPr>
            <w:tcW w:w="631" w:type="dxa"/>
          </w:tcPr>
          <w:p>
            <w:pPr>
              <w:pStyle w:val="TableParagraph"/>
              <w:spacing w:line="273" w:lineRule="exact"/>
              <w:ind w:left="107"/>
              <w:rPr>
                <w:sz w:val="24"/>
              </w:rPr>
            </w:pPr>
            <w:r>
              <w:rPr>
                <w:spacing w:val="-10"/>
                <w:sz w:val="24"/>
              </w:rPr>
              <w:t>8</w:t>
            </w:r>
          </w:p>
        </w:tc>
        <w:tc>
          <w:tcPr>
            <w:tcW w:w="3329" w:type="dxa"/>
          </w:tcPr>
          <w:p>
            <w:pPr>
              <w:pStyle w:val="TableParagraph"/>
              <w:spacing w:line="225" w:lineRule="exact"/>
              <w:ind w:left="105"/>
              <w:rPr>
                <w:sz w:val="20"/>
              </w:rPr>
            </w:pPr>
            <w:r>
              <w:rPr>
                <w:sz w:val="20"/>
              </w:rPr>
              <w:t>Ahocol</w:t>
            </w:r>
            <w:r>
              <w:rPr>
                <w:spacing w:val="-6"/>
                <w:sz w:val="20"/>
              </w:rPr>
              <w:t> </w:t>
            </w:r>
            <w:r>
              <w:rPr>
                <w:sz w:val="20"/>
              </w:rPr>
              <w:t>Estate,</w:t>
            </w:r>
            <w:r>
              <w:rPr>
                <w:spacing w:val="-3"/>
                <w:sz w:val="20"/>
              </w:rPr>
              <w:t> </w:t>
            </w:r>
            <w:r>
              <w:rPr>
                <w:spacing w:val="-4"/>
                <w:sz w:val="20"/>
              </w:rPr>
              <w:t>Awka</w:t>
            </w:r>
          </w:p>
        </w:tc>
        <w:tc>
          <w:tcPr>
            <w:tcW w:w="1363" w:type="dxa"/>
          </w:tcPr>
          <w:p>
            <w:pPr>
              <w:pStyle w:val="TableParagraph"/>
              <w:spacing w:line="225" w:lineRule="exact"/>
              <w:ind w:left="108"/>
              <w:rPr>
                <w:sz w:val="20"/>
              </w:rPr>
            </w:pPr>
            <w:r>
              <w:rPr>
                <w:spacing w:val="-5"/>
                <w:sz w:val="20"/>
              </w:rPr>
              <w:t>10</w:t>
            </w:r>
          </w:p>
        </w:tc>
        <w:tc>
          <w:tcPr>
            <w:tcW w:w="3814" w:type="dxa"/>
          </w:tcPr>
          <w:p>
            <w:pPr>
              <w:pStyle w:val="TableParagraph"/>
              <w:tabs>
                <w:tab w:pos="1235" w:val="left" w:leader="none"/>
                <w:tab w:pos="2161" w:val="left" w:leader="none"/>
                <w:tab w:pos="2571" w:val="left" w:leader="none"/>
                <w:tab w:pos="3024" w:val="left" w:leader="none"/>
              </w:tabs>
              <w:spacing w:line="224" w:lineRule="exact"/>
              <w:ind w:left="108"/>
              <w:rPr>
                <w:sz w:val="20"/>
              </w:rPr>
            </w:pPr>
            <w:r>
              <w:rPr>
                <w:spacing w:val="-2"/>
                <w:sz w:val="20"/>
              </w:rPr>
              <w:t>Developed,</w:t>
            </w:r>
            <w:r>
              <w:rPr>
                <w:sz w:val="20"/>
              </w:rPr>
              <w:tab/>
            </w:r>
            <w:r>
              <w:rPr>
                <w:spacing w:val="-2"/>
                <w:sz w:val="20"/>
              </w:rPr>
              <w:t>managed</w:t>
            </w:r>
            <w:r>
              <w:rPr>
                <w:sz w:val="20"/>
              </w:rPr>
              <w:tab/>
            </w:r>
            <w:r>
              <w:rPr>
                <w:spacing w:val="-5"/>
                <w:sz w:val="20"/>
              </w:rPr>
              <w:t>by</w:t>
            </w:r>
            <w:r>
              <w:rPr>
                <w:sz w:val="20"/>
              </w:rPr>
              <w:tab/>
            </w:r>
            <w:r>
              <w:rPr>
                <w:spacing w:val="-5"/>
                <w:sz w:val="20"/>
              </w:rPr>
              <w:t>the</w:t>
            </w:r>
            <w:r>
              <w:rPr>
                <w:sz w:val="20"/>
              </w:rPr>
              <w:tab/>
            </w:r>
            <w:r>
              <w:rPr>
                <w:spacing w:val="-2"/>
                <w:sz w:val="20"/>
              </w:rPr>
              <w:t>Housing</w:t>
            </w:r>
          </w:p>
          <w:p>
            <w:pPr>
              <w:pStyle w:val="TableParagraph"/>
              <w:spacing w:line="216" w:lineRule="exact"/>
              <w:ind w:left="108"/>
              <w:rPr>
                <w:sz w:val="20"/>
              </w:rPr>
            </w:pPr>
            <w:r>
              <w:rPr>
                <w:spacing w:val="-2"/>
                <w:sz w:val="20"/>
              </w:rPr>
              <w:t>Corporation.</w:t>
            </w:r>
          </w:p>
        </w:tc>
      </w:tr>
      <w:tr>
        <w:trPr>
          <w:trHeight w:val="460" w:hRule="atLeast"/>
        </w:trPr>
        <w:tc>
          <w:tcPr>
            <w:tcW w:w="631" w:type="dxa"/>
          </w:tcPr>
          <w:p>
            <w:pPr>
              <w:pStyle w:val="TableParagraph"/>
              <w:spacing w:line="270" w:lineRule="exact"/>
              <w:ind w:left="107"/>
              <w:rPr>
                <w:sz w:val="24"/>
              </w:rPr>
            </w:pPr>
            <w:r>
              <w:rPr>
                <w:spacing w:val="-10"/>
                <w:sz w:val="24"/>
              </w:rPr>
              <w:t>9</w:t>
            </w:r>
          </w:p>
        </w:tc>
        <w:tc>
          <w:tcPr>
            <w:tcW w:w="3329" w:type="dxa"/>
          </w:tcPr>
          <w:p>
            <w:pPr>
              <w:pStyle w:val="TableParagraph"/>
              <w:spacing w:line="223" w:lineRule="exact"/>
              <w:ind w:left="105"/>
              <w:rPr>
                <w:sz w:val="20"/>
              </w:rPr>
            </w:pPr>
            <w:r>
              <w:rPr>
                <w:sz w:val="20"/>
              </w:rPr>
              <w:t>Agu</w:t>
            </w:r>
            <w:r>
              <w:rPr>
                <w:spacing w:val="-5"/>
                <w:sz w:val="20"/>
              </w:rPr>
              <w:t> </w:t>
            </w:r>
            <w:r>
              <w:rPr>
                <w:sz w:val="20"/>
              </w:rPr>
              <w:t>Awka,</w:t>
            </w:r>
            <w:r>
              <w:rPr>
                <w:spacing w:val="-4"/>
                <w:sz w:val="20"/>
              </w:rPr>
              <w:t> </w:t>
            </w:r>
            <w:r>
              <w:rPr>
                <w:sz w:val="20"/>
              </w:rPr>
              <w:t>GRA,</w:t>
            </w:r>
            <w:r>
              <w:rPr>
                <w:spacing w:val="-4"/>
                <w:sz w:val="20"/>
              </w:rPr>
              <w:t> Awka.</w:t>
            </w:r>
          </w:p>
        </w:tc>
        <w:tc>
          <w:tcPr>
            <w:tcW w:w="1363" w:type="dxa"/>
          </w:tcPr>
          <w:p>
            <w:pPr>
              <w:pStyle w:val="TableParagraph"/>
              <w:spacing w:line="223" w:lineRule="exact"/>
              <w:ind w:left="108"/>
              <w:rPr>
                <w:sz w:val="20"/>
              </w:rPr>
            </w:pPr>
            <w:r>
              <w:rPr>
                <w:spacing w:val="-4"/>
                <w:sz w:val="20"/>
              </w:rPr>
              <w:t>1223</w:t>
            </w:r>
          </w:p>
        </w:tc>
        <w:tc>
          <w:tcPr>
            <w:tcW w:w="3814" w:type="dxa"/>
          </w:tcPr>
          <w:p>
            <w:pPr>
              <w:pStyle w:val="TableParagraph"/>
              <w:spacing w:line="223" w:lineRule="exact"/>
              <w:ind w:left="108"/>
              <w:rPr>
                <w:sz w:val="20"/>
              </w:rPr>
            </w:pPr>
            <w:r>
              <w:rPr>
                <w:sz w:val="20"/>
              </w:rPr>
              <w:t>Not</w:t>
            </w:r>
            <w:r>
              <w:rPr>
                <w:spacing w:val="-2"/>
                <w:sz w:val="20"/>
              </w:rPr>
              <w:t> </w:t>
            </w:r>
            <w:r>
              <w:rPr>
                <w:sz w:val="20"/>
              </w:rPr>
              <w:t>a</w:t>
            </w:r>
            <w:r>
              <w:rPr>
                <w:spacing w:val="-1"/>
                <w:sz w:val="20"/>
              </w:rPr>
              <w:t> </w:t>
            </w:r>
            <w:r>
              <w:rPr>
                <w:sz w:val="20"/>
              </w:rPr>
              <w:t>settled layout. Incessant</w:t>
            </w:r>
            <w:r>
              <w:rPr>
                <w:spacing w:val="3"/>
                <w:sz w:val="20"/>
              </w:rPr>
              <w:t> </w:t>
            </w:r>
            <w:r>
              <w:rPr>
                <w:spacing w:val="-2"/>
                <w:sz w:val="20"/>
              </w:rPr>
              <w:t>encroachment</w:t>
            </w:r>
          </w:p>
          <w:p>
            <w:pPr>
              <w:pStyle w:val="TableParagraph"/>
              <w:spacing w:line="217" w:lineRule="exact"/>
              <w:ind w:left="108"/>
              <w:rPr>
                <w:sz w:val="20"/>
              </w:rPr>
            </w:pPr>
            <w:r>
              <w:rPr>
                <w:sz w:val="20"/>
              </w:rPr>
              <w:t>by</w:t>
            </w:r>
            <w:r>
              <w:rPr>
                <w:spacing w:val="-5"/>
                <w:sz w:val="20"/>
              </w:rPr>
              <w:t> </w:t>
            </w:r>
            <w:r>
              <w:rPr>
                <w:sz w:val="20"/>
              </w:rPr>
              <w:t>natives.</w:t>
            </w:r>
            <w:r>
              <w:rPr>
                <w:spacing w:val="-4"/>
                <w:sz w:val="20"/>
              </w:rPr>
              <w:t> </w:t>
            </w:r>
            <w:r>
              <w:rPr>
                <w:sz w:val="20"/>
              </w:rPr>
              <w:t>Partly</w:t>
            </w:r>
            <w:r>
              <w:rPr>
                <w:spacing w:val="-7"/>
                <w:sz w:val="20"/>
              </w:rPr>
              <w:t> </w:t>
            </w:r>
            <w:r>
              <w:rPr>
                <w:spacing w:val="-2"/>
                <w:sz w:val="20"/>
              </w:rPr>
              <w:t>developed.</w:t>
            </w:r>
          </w:p>
        </w:tc>
      </w:tr>
      <w:tr>
        <w:trPr>
          <w:trHeight w:val="414" w:hRule="atLeast"/>
        </w:trPr>
        <w:tc>
          <w:tcPr>
            <w:tcW w:w="631" w:type="dxa"/>
          </w:tcPr>
          <w:p>
            <w:pPr>
              <w:pStyle w:val="TableParagraph"/>
              <w:spacing w:line="270" w:lineRule="exact"/>
              <w:ind w:left="107"/>
              <w:rPr>
                <w:sz w:val="24"/>
              </w:rPr>
            </w:pPr>
            <w:r>
              <w:rPr>
                <w:spacing w:val="-5"/>
                <w:sz w:val="24"/>
              </w:rPr>
              <w:t>10</w:t>
            </w:r>
          </w:p>
        </w:tc>
        <w:tc>
          <w:tcPr>
            <w:tcW w:w="3329" w:type="dxa"/>
          </w:tcPr>
          <w:p>
            <w:pPr>
              <w:pStyle w:val="TableParagraph"/>
              <w:spacing w:line="223" w:lineRule="exact"/>
              <w:ind w:left="105"/>
              <w:rPr>
                <w:sz w:val="20"/>
              </w:rPr>
            </w:pPr>
            <w:r>
              <w:rPr>
                <w:sz w:val="20"/>
              </w:rPr>
              <w:t>Unity</w:t>
            </w:r>
            <w:r>
              <w:rPr>
                <w:spacing w:val="-6"/>
                <w:sz w:val="20"/>
              </w:rPr>
              <w:t> </w:t>
            </w:r>
            <w:r>
              <w:rPr>
                <w:sz w:val="20"/>
              </w:rPr>
              <w:t>Layout,</w:t>
            </w:r>
            <w:r>
              <w:rPr>
                <w:spacing w:val="-5"/>
                <w:sz w:val="20"/>
              </w:rPr>
              <w:t> </w:t>
            </w:r>
            <w:r>
              <w:rPr>
                <w:spacing w:val="-4"/>
                <w:sz w:val="20"/>
              </w:rPr>
              <w:t>Awka</w:t>
            </w:r>
          </w:p>
        </w:tc>
        <w:tc>
          <w:tcPr>
            <w:tcW w:w="1363" w:type="dxa"/>
          </w:tcPr>
          <w:p>
            <w:pPr>
              <w:pStyle w:val="TableParagraph"/>
              <w:spacing w:line="223" w:lineRule="exact"/>
              <w:ind w:left="108"/>
              <w:rPr>
                <w:sz w:val="20"/>
              </w:rPr>
            </w:pPr>
            <w:r>
              <w:rPr>
                <w:spacing w:val="-4"/>
                <w:sz w:val="20"/>
              </w:rPr>
              <w:t>2000</w:t>
            </w:r>
          </w:p>
        </w:tc>
        <w:tc>
          <w:tcPr>
            <w:tcW w:w="3814" w:type="dxa"/>
          </w:tcPr>
          <w:p>
            <w:pPr>
              <w:pStyle w:val="TableParagraph"/>
              <w:spacing w:line="223" w:lineRule="exact"/>
              <w:ind w:left="108"/>
              <w:rPr>
                <w:sz w:val="20"/>
              </w:rPr>
            </w:pPr>
            <w:r>
              <w:rPr>
                <w:sz w:val="20"/>
              </w:rPr>
              <w:t>Returned</w:t>
            </w:r>
            <w:r>
              <w:rPr>
                <w:spacing w:val="-5"/>
                <w:sz w:val="20"/>
              </w:rPr>
              <w:t> </w:t>
            </w:r>
            <w:r>
              <w:rPr>
                <w:sz w:val="20"/>
              </w:rPr>
              <w:t>to</w:t>
            </w:r>
            <w:r>
              <w:rPr>
                <w:spacing w:val="-4"/>
                <w:sz w:val="20"/>
              </w:rPr>
              <w:t> </w:t>
            </w:r>
            <w:r>
              <w:rPr>
                <w:spacing w:val="-2"/>
                <w:sz w:val="20"/>
              </w:rPr>
              <w:t>natives</w:t>
            </w:r>
          </w:p>
        </w:tc>
      </w:tr>
      <w:tr>
        <w:trPr>
          <w:trHeight w:val="688" w:hRule="atLeast"/>
        </w:trPr>
        <w:tc>
          <w:tcPr>
            <w:tcW w:w="631" w:type="dxa"/>
          </w:tcPr>
          <w:p>
            <w:pPr>
              <w:pStyle w:val="TableParagraph"/>
              <w:spacing w:line="270" w:lineRule="exact"/>
              <w:ind w:left="107"/>
              <w:rPr>
                <w:sz w:val="24"/>
              </w:rPr>
            </w:pPr>
            <w:r>
              <w:rPr>
                <w:spacing w:val="-5"/>
                <w:sz w:val="24"/>
              </w:rPr>
              <w:t>11</w:t>
            </w:r>
          </w:p>
        </w:tc>
        <w:tc>
          <w:tcPr>
            <w:tcW w:w="3329" w:type="dxa"/>
          </w:tcPr>
          <w:p>
            <w:pPr>
              <w:pStyle w:val="TableParagraph"/>
              <w:spacing w:line="223" w:lineRule="exact"/>
              <w:ind w:left="105"/>
              <w:rPr>
                <w:sz w:val="20"/>
              </w:rPr>
            </w:pPr>
            <w:r>
              <w:rPr>
                <w:sz w:val="20"/>
              </w:rPr>
              <w:t>Presidential</w:t>
            </w:r>
            <w:r>
              <w:rPr>
                <w:spacing w:val="-11"/>
                <w:sz w:val="20"/>
              </w:rPr>
              <w:t> </w:t>
            </w:r>
            <w:r>
              <w:rPr>
                <w:sz w:val="20"/>
              </w:rPr>
              <w:t>Layout,</w:t>
            </w:r>
            <w:r>
              <w:rPr>
                <w:spacing w:val="-7"/>
                <w:sz w:val="20"/>
              </w:rPr>
              <w:t> </w:t>
            </w:r>
            <w:r>
              <w:rPr>
                <w:spacing w:val="-4"/>
                <w:sz w:val="20"/>
              </w:rPr>
              <w:t>Awka</w:t>
            </w:r>
          </w:p>
        </w:tc>
        <w:tc>
          <w:tcPr>
            <w:tcW w:w="1363" w:type="dxa"/>
          </w:tcPr>
          <w:p>
            <w:pPr>
              <w:pStyle w:val="TableParagraph"/>
              <w:spacing w:line="223" w:lineRule="exact"/>
              <w:ind w:left="108"/>
              <w:rPr>
                <w:sz w:val="20"/>
              </w:rPr>
            </w:pPr>
            <w:r>
              <w:rPr>
                <w:spacing w:val="-4"/>
                <w:sz w:val="20"/>
              </w:rPr>
              <w:t>1119</w:t>
            </w:r>
          </w:p>
        </w:tc>
        <w:tc>
          <w:tcPr>
            <w:tcW w:w="3814" w:type="dxa"/>
          </w:tcPr>
          <w:p>
            <w:pPr>
              <w:pStyle w:val="TableParagraph"/>
              <w:spacing w:line="223" w:lineRule="exact"/>
              <w:ind w:left="108"/>
              <w:rPr>
                <w:sz w:val="20"/>
              </w:rPr>
            </w:pPr>
            <w:r>
              <w:rPr>
                <w:sz w:val="20"/>
              </w:rPr>
              <w:t>Not</w:t>
            </w:r>
            <w:r>
              <w:rPr>
                <w:spacing w:val="33"/>
                <w:sz w:val="20"/>
              </w:rPr>
              <w:t>  </w:t>
            </w:r>
            <w:r>
              <w:rPr>
                <w:sz w:val="20"/>
              </w:rPr>
              <w:t>a</w:t>
            </w:r>
            <w:r>
              <w:rPr>
                <w:spacing w:val="34"/>
                <w:sz w:val="20"/>
              </w:rPr>
              <w:t>  </w:t>
            </w:r>
            <w:r>
              <w:rPr>
                <w:sz w:val="20"/>
              </w:rPr>
              <w:t>settled</w:t>
            </w:r>
            <w:r>
              <w:rPr>
                <w:spacing w:val="34"/>
                <w:sz w:val="20"/>
              </w:rPr>
              <w:t>  </w:t>
            </w:r>
            <w:r>
              <w:rPr>
                <w:sz w:val="20"/>
              </w:rPr>
              <w:t>layout.</w:t>
            </w:r>
            <w:r>
              <w:rPr>
                <w:spacing w:val="35"/>
                <w:sz w:val="20"/>
              </w:rPr>
              <w:t>  </w:t>
            </w:r>
            <w:r>
              <w:rPr>
                <w:sz w:val="20"/>
              </w:rPr>
              <w:t>No</w:t>
            </w:r>
            <w:r>
              <w:rPr>
                <w:spacing w:val="35"/>
                <w:sz w:val="20"/>
              </w:rPr>
              <w:t>  </w:t>
            </w:r>
            <w:r>
              <w:rPr>
                <w:sz w:val="20"/>
              </w:rPr>
              <w:t>payment</w:t>
            </w:r>
            <w:r>
              <w:rPr>
                <w:spacing w:val="34"/>
                <w:sz w:val="20"/>
              </w:rPr>
              <w:t>  </w:t>
            </w:r>
            <w:r>
              <w:rPr>
                <w:spacing w:val="-5"/>
                <w:sz w:val="20"/>
              </w:rPr>
              <w:t>of</w:t>
            </w:r>
          </w:p>
          <w:p>
            <w:pPr>
              <w:pStyle w:val="TableParagraph"/>
              <w:spacing w:line="228" w:lineRule="exact"/>
              <w:ind w:left="108"/>
              <w:rPr>
                <w:sz w:val="20"/>
              </w:rPr>
            </w:pPr>
            <w:r>
              <w:rPr>
                <w:sz w:val="20"/>
              </w:rPr>
              <w:t>compensation.</w:t>
            </w:r>
            <w:r>
              <w:rPr>
                <w:spacing w:val="40"/>
                <w:sz w:val="20"/>
              </w:rPr>
              <w:t> </w:t>
            </w:r>
            <w:r>
              <w:rPr>
                <w:sz w:val="20"/>
              </w:rPr>
              <w:t>Re-entry</w:t>
            </w:r>
            <w:r>
              <w:rPr>
                <w:spacing w:val="39"/>
                <w:sz w:val="20"/>
              </w:rPr>
              <w:t> </w:t>
            </w:r>
            <w:r>
              <w:rPr>
                <w:sz w:val="20"/>
              </w:rPr>
              <w:t>by</w:t>
            </w:r>
            <w:r>
              <w:rPr>
                <w:spacing w:val="40"/>
                <w:sz w:val="20"/>
              </w:rPr>
              <w:t> </w:t>
            </w:r>
            <w:r>
              <w:rPr>
                <w:sz w:val="20"/>
              </w:rPr>
              <w:t>natives.</w:t>
            </w:r>
            <w:r>
              <w:rPr>
                <w:spacing w:val="40"/>
                <w:sz w:val="20"/>
              </w:rPr>
              <w:t> </w:t>
            </w:r>
            <w:r>
              <w:rPr>
                <w:sz w:val="20"/>
              </w:rPr>
              <w:t>Illegal parcellation and sale by natives.</w:t>
            </w:r>
          </w:p>
        </w:tc>
      </w:tr>
      <w:tr>
        <w:trPr>
          <w:trHeight w:val="460" w:hRule="atLeast"/>
        </w:trPr>
        <w:tc>
          <w:tcPr>
            <w:tcW w:w="631" w:type="dxa"/>
          </w:tcPr>
          <w:p>
            <w:pPr>
              <w:pStyle w:val="TableParagraph"/>
              <w:spacing w:line="270" w:lineRule="exact"/>
              <w:ind w:left="107"/>
              <w:rPr>
                <w:sz w:val="24"/>
              </w:rPr>
            </w:pPr>
            <w:r>
              <w:rPr>
                <w:spacing w:val="-5"/>
                <w:sz w:val="24"/>
              </w:rPr>
              <w:t>12</w:t>
            </w:r>
          </w:p>
        </w:tc>
        <w:tc>
          <w:tcPr>
            <w:tcW w:w="3329" w:type="dxa"/>
          </w:tcPr>
          <w:p>
            <w:pPr>
              <w:pStyle w:val="TableParagraph"/>
              <w:spacing w:line="223" w:lineRule="exact"/>
              <w:ind w:left="105"/>
              <w:rPr>
                <w:sz w:val="20"/>
              </w:rPr>
            </w:pPr>
            <w:r>
              <w:rPr>
                <w:sz w:val="20"/>
              </w:rPr>
              <w:t>Iyiagu</w:t>
            </w:r>
            <w:r>
              <w:rPr>
                <w:spacing w:val="-6"/>
                <w:sz w:val="20"/>
              </w:rPr>
              <w:t> </w:t>
            </w:r>
            <w:r>
              <w:rPr>
                <w:spacing w:val="-2"/>
                <w:sz w:val="20"/>
              </w:rPr>
              <w:t>Layout</w:t>
            </w:r>
          </w:p>
        </w:tc>
        <w:tc>
          <w:tcPr>
            <w:tcW w:w="1363" w:type="dxa"/>
          </w:tcPr>
          <w:p>
            <w:pPr>
              <w:pStyle w:val="TableParagraph"/>
              <w:spacing w:line="223" w:lineRule="exact"/>
              <w:ind w:left="108"/>
              <w:rPr>
                <w:sz w:val="20"/>
              </w:rPr>
            </w:pPr>
            <w:r>
              <w:rPr>
                <w:spacing w:val="-5"/>
                <w:sz w:val="20"/>
              </w:rPr>
              <w:t>283</w:t>
            </w:r>
          </w:p>
        </w:tc>
        <w:tc>
          <w:tcPr>
            <w:tcW w:w="3814" w:type="dxa"/>
          </w:tcPr>
          <w:p>
            <w:pPr>
              <w:pStyle w:val="TableParagraph"/>
              <w:spacing w:line="223" w:lineRule="exact"/>
              <w:ind w:left="108"/>
              <w:rPr>
                <w:sz w:val="20"/>
              </w:rPr>
            </w:pPr>
            <w:r>
              <w:rPr>
                <w:sz w:val="20"/>
              </w:rPr>
              <w:t>Partly</w:t>
            </w:r>
            <w:r>
              <w:rPr>
                <w:spacing w:val="30"/>
                <w:sz w:val="20"/>
              </w:rPr>
              <w:t> </w:t>
            </w:r>
            <w:r>
              <w:rPr>
                <w:sz w:val="20"/>
              </w:rPr>
              <w:t>functional,</w:t>
            </w:r>
            <w:r>
              <w:rPr>
                <w:spacing w:val="36"/>
                <w:sz w:val="20"/>
              </w:rPr>
              <w:t> </w:t>
            </w:r>
            <w:r>
              <w:rPr>
                <w:sz w:val="20"/>
              </w:rPr>
              <w:t>no</w:t>
            </w:r>
            <w:r>
              <w:rPr>
                <w:spacing w:val="33"/>
                <w:sz w:val="20"/>
              </w:rPr>
              <w:t> </w:t>
            </w:r>
            <w:r>
              <w:rPr>
                <w:sz w:val="20"/>
              </w:rPr>
              <w:t>infrastructure,</w:t>
            </w:r>
            <w:r>
              <w:rPr>
                <w:spacing w:val="36"/>
                <w:sz w:val="20"/>
              </w:rPr>
              <w:t> </w:t>
            </w:r>
            <w:r>
              <w:rPr>
                <w:spacing w:val="-2"/>
                <w:sz w:val="20"/>
              </w:rPr>
              <w:t>natives</w:t>
            </w:r>
          </w:p>
          <w:p>
            <w:pPr>
              <w:pStyle w:val="TableParagraph"/>
              <w:spacing w:line="217" w:lineRule="exact" w:before="1"/>
              <w:ind w:left="108"/>
              <w:rPr>
                <w:sz w:val="20"/>
              </w:rPr>
            </w:pPr>
            <w:r>
              <w:rPr>
                <w:sz w:val="20"/>
              </w:rPr>
              <w:t>are</w:t>
            </w:r>
            <w:r>
              <w:rPr>
                <w:spacing w:val="-5"/>
                <w:sz w:val="20"/>
              </w:rPr>
              <w:t> </w:t>
            </w:r>
            <w:r>
              <w:rPr>
                <w:sz w:val="20"/>
              </w:rPr>
              <w:t>disturbing</w:t>
            </w:r>
            <w:r>
              <w:rPr>
                <w:spacing w:val="-5"/>
                <w:sz w:val="20"/>
              </w:rPr>
              <w:t> </w:t>
            </w:r>
            <w:r>
              <w:rPr>
                <w:sz w:val="20"/>
              </w:rPr>
              <w:t>and</w:t>
            </w:r>
            <w:r>
              <w:rPr>
                <w:spacing w:val="-3"/>
                <w:sz w:val="20"/>
              </w:rPr>
              <w:t> </w:t>
            </w:r>
            <w:r>
              <w:rPr>
                <w:sz w:val="20"/>
              </w:rPr>
              <w:t>chasing</w:t>
            </w:r>
            <w:r>
              <w:rPr>
                <w:spacing w:val="-5"/>
                <w:sz w:val="20"/>
              </w:rPr>
              <w:t> </w:t>
            </w:r>
            <w:r>
              <w:rPr>
                <w:sz w:val="20"/>
              </w:rPr>
              <w:t>away</w:t>
            </w:r>
            <w:r>
              <w:rPr>
                <w:spacing w:val="-8"/>
                <w:sz w:val="20"/>
              </w:rPr>
              <w:t> </w:t>
            </w:r>
            <w:r>
              <w:rPr>
                <w:spacing w:val="-2"/>
                <w:sz w:val="20"/>
              </w:rPr>
              <w:t>allottees.</w:t>
            </w:r>
          </w:p>
        </w:tc>
      </w:tr>
      <w:tr>
        <w:trPr>
          <w:trHeight w:val="414" w:hRule="atLeast"/>
        </w:trPr>
        <w:tc>
          <w:tcPr>
            <w:tcW w:w="631" w:type="dxa"/>
          </w:tcPr>
          <w:p>
            <w:pPr>
              <w:pStyle w:val="TableParagraph"/>
              <w:spacing w:line="270" w:lineRule="exact"/>
              <w:ind w:left="107"/>
              <w:rPr>
                <w:sz w:val="24"/>
              </w:rPr>
            </w:pPr>
            <w:r>
              <w:rPr>
                <w:spacing w:val="-5"/>
                <w:sz w:val="24"/>
              </w:rPr>
              <w:t>13</w:t>
            </w:r>
          </w:p>
        </w:tc>
        <w:tc>
          <w:tcPr>
            <w:tcW w:w="3329" w:type="dxa"/>
          </w:tcPr>
          <w:p>
            <w:pPr>
              <w:pStyle w:val="TableParagraph"/>
              <w:spacing w:line="223" w:lineRule="exact"/>
              <w:ind w:left="105"/>
              <w:rPr>
                <w:sz w:val="20"/>
              </w:rPr>
            </w:pPr>
            <w:r>
              <w:rPr>
                <w:sz w:val="20"/>
              </w:rPr>
              <w:t>Abuja</w:t>
            </w:r>
            <w:r>
              <w:rPr>
                <w:spacing w:val="-5"/>
                <w:sz w:val="20"/>
              </w:rPr>
              <w:t> </w:t>
            </w:r>
            <w:r>
              <w:rPr>
                <w:sz w:val="20"/>
              </w:rPr>
              <w:t>Estate</w:t>
            </w:r>
            <w:r>
              <w:rPr>
                <w:spacing w:val="-4"/>
                <w:sz w:val="20"/>
              </w:rPr>
              <w:t> </w:t>
            </w:r>
            <w:r>
              <w:rPr>
                <w:sz w:val="20"/>
              </w:rPr>
              <w:t>Phase</w:t>
            </w:r>
            <w:r>
              <w:rPr>
                <w:spacing w:val="-5"/>
                <w:sz w:val="20"/>
              </w:rPr>
              <w:t> </w:t>
            </w:r>
            <w:r>
              <w:rPr>
                <w:sz w:val="20"/>
              </w:rPr>
              <w:t>I,</w:t>
            </w:r>
            <w:r>
              <w:rPr>
                <w:spacing w:val="-4"/>
                <w:sz w:val="20"/>
              </w:rPr>
              <w:t> Awka</w:t>
            </w:r>
          </w:p>
        </w:tc>
        <w:tc>
          <w:tcPr>
            <w:tcW w:w="1363" w:type="dxa"/>
          </w:tcPr>
          <w:p>
            <w:pPr>
              <w:pStyle w:val="TableParagraph"/>
              <w:spacing w:line="223" w:lineRule="exact"/>
              <w:ind w:left="108"/>
              <w:rPr>
                <w:sz w:val="20"/>
              </w:rPr>
            </w:pPr>
            <w:r>
              <w:rPr>
                <w:spacing w:val="-5"/>
                <w:sz w:val="20"/>
              </w:rPr>
              <w:t>99</w:t>
            </w:r>
          </w:p>
        </w:tc>
        <w:tc>
          <w:tcPr>
            <w:tcW w:w="3814" w:type="dxa"/>
          </w:tcPr>
          <w:p>
            <w:pPr>
              <w:pStyle w:val="TableParagraph"/>
              <w:spacing w:line="223" w:lineRule="exact"/>
              <w:ind w:left="108"/>
              <w:rPr>
                <w:sz w:val="20"/>
              </w:rPr>
            </w:pPr>
            <w:r>
              <w:rPr>
                <w:sz w:val="20"/>
              </w:rPr>
              <w:t>Almost</w:t>
            </w:r>
            <w:r>
              <w:rPr>
                <w:spacing w:val="-4"/>
                <w:sz w:val="20"/>
              </w:rPr>
              <w:t> </w:t>
            </w:r>
            <w:r>
              <w:rPr>
                <w:sz w:val="20"/>
              </w:rPr>
              <w:t>fully</w:t>
            </w:r>
            <w:r>
              <w:rPr>
                <w:spacing w:val="-10"/>
                <w:sz w:val="20"/>
              </w:rPr>
              <w:t> </w:t>
            </w:r>
            <w:r>
              <w:rPr>
                <w:sz w:val="20"/>
              </w:rPr>
              <w:t>developed</w:t>
            </w:r>
            <w:r>
              <w:rPr>
                <w:spacing w:val="-4"/>
                <w:sz w:val="20"/>
              </w:rPr>
              <w:t> </w:t>
            </w:r>
            <w:r>
              <w:rPr>
                <w:sz w:val="20"/>
              </w:rPr>
              <w:t>and</w:t>
            </w:r>
            <w:r>
              <w:rPr>
                <w:spacing w:val="-5"/>
                <w:sz w:val="20"/>
              </w:rPr>
              <w:t> </w:t>
            </w:r>
            <w:r>
              <w:rPr>
                <w:spacing w:val="-2"/>
                <w:sz w:val="20"/>
              </w:rPr>
              <w:t>functional.</w:t>
            </w:r>
          </w:p>
        </w:tc>
      </w:tr>
      <w:tr>
        <w:trPr>
          <w:trHeight w:val="460" w:hRule="atLeast"/>
        </w:trPr>
        <w:tc>
          <w:tcPr>
            <w:tcW w:w="631" w:type="dxa"/>
          </w:tcPr>
          <w:p>
            <w:pPr>
              <w:pStyle w:val="TableParagraph"/>
              <w:spacing w:line="270" w:lineRule="exact"/>
              <w:ind w:left="107"/>
              <w:rPr>
                <w:sz w:val="24"/>
              </w:rPr>
            </w:pPr>
            <w:r>
              <w:rPr>
                <w:spacing w:val="-5"/>
                <w:sz w:val="24"/>
              </w:rPr>
              <w:t>14</w:t>
            </w:r>
          </w:p>
        </w:tc>
        <w:tc>
          <w:tcPr>
            <w:tcW w:w="3329" w:type="dxa"/>
          </w:tcPr>
          <w:p>
            <w:pPr>
              <w:pStyle w:val="TableParagraph"/>
              <w:spacing w:line="223" w:lineRule="exact"/>
              <w:ind w:left="105"/>
              <w:rPr>
                <w:sz w:val="20"/>
              </w:rPr>
            </w:pPr>
            <w:r>
              <w:rPr>
                <w:sz w:val="20"/>
              </w:rPr>
              <w:t>New</w:t>
            </w:r>
            <w:r>
              <w:rPr>
                <w:spacing w:val="-9"/>
                <w:sz w:val="20"/>
              </w:rPr>
              <w:t> </w:t>
            </w:r>
            <w:r>
              <w:rPr>
                <w:sz w:val="20"/>
              </w:rPr>
              <w:t>Town</w:t>
            </w:r>
            <w:r>
              <w:rPr>
                <w:spacing w:val="-4"/>
                <w:sz w:val="20"/>
              </w:rPr>
              <w:t> </w:t>
            </w:r>
            <w:r>
              <w:rPr>
                <w:sz w:val="20"/>
              </w:rPr>
              <w:t>Layout,</w:t>
            </w:r>
            <w:r>
              <w:rPr>
                <w:spacing w:val="-4"/>
                <w:sz w:val="20"/>
              </w:rPr>
              <w:t> Awka</w:t>
            </w:r>
          </w:p>
        </w:tc>
        <w:tc>
          <w:tcPr>
            <w:tcW w:w="1363" w:type="dxa"/>
          </w:tcPr>
          <w:p>
            <w:pPr>
              <w:pStyle w:val="TableParagraph"/>
              <w:spacing w:line="223" w:lineRule="exact"/>
              <w:ind w:left="108"/>
              <w:rPr>
                <w:sz w:val="20"/>
              </w:rPr>
            </w:pPr>
            <w:r>
              <w:rPr>
                <w:spacing w:val="-2"/>
                <w:sz w:val="20"/>
              </w:rPr>
              <w:t>1,560</w:t>
            </w:r>
          </w:p>
        </w:tc>
        <w:tc>
          <w:tcPr>
            <w:tcW w:w="3814" w:type="dxa"/>
          </w:tcPr>
          <w:p>
            <w:pPr>
              <w:pStyle w:val="TableParagraph"/>
              <w:spacing w:line="223" w:lineRule="exact"/>
              <w:ind w:left="108"/>
              <w:rPr>
                <w:sz w:val="20"/>
              </w:rPr>
            </w:pPr>
            <w:r>
              <w:rPr>
                <w:sz w:val="20"/>
              </w:rPr>
              <w:t>Settled,</w:t>
            </w:r>
            <w:r>
              <w:rPr>
                <w:spacing w:val="21"/>
                <w:sz w:val="20"/>
              </w:rPr>
              <w:t> </w:t>
            </w:r>
            <w:r>
              <w:rPr>
                <w:sz w:val="20"/>
              </w:rPr>
              <w:t>but</w:t>
            </w:r>
            <w:r>
              <w:rPr>
                <w:spacing w:val="22"/>
                <w:sz w:val="20"/>
              </w:rPr>
              <w:t> </w:t>
            </w:r>
            <w:r>
              <w:rPr>
                <w:sz w:val="20"/>
              </w:rPr>
              <w:t>no</w:t>
            </w:r>
            <w:r>
              <w:rPr>
                <w:spacing w:val="22"/>
                <w:sz w:val="20"/>
              </w:rPr>
              <w:t> </w:t>
            </w:r>
            <w:r>
              <w:rPr>
                <w:sz w:val="20"/>
              </w:rPr>
              <w:t>infrastructure.</w:t>
            </w:r>
            <w:r>
              <w:rPr>
                <w:spacing w:val="23"/>
                <w:sz w:val="20"/>
              </w:rPr>
              <w:t> </w:t>
            </w:r>
            <w:r>
              <w:rPr>
                <w:sz w:val="20"/>
              </w:rPr>
              <w:t>The</w:t>
            </w:r>
            <w:r>
              <w:rPr>
                <w:spacing w:val="21"/>
                <w:sz w:val="20"/>
              </w:rPr>
              <w:t> </w:t>
            </w:r>
            <w:r>
              <w:rPr>
                <w:sz w:val="20"/>
              </w:rPr>
              <w:t>layout</w:t>
            </w:r>
            <w:r>
              <w:rPr>
                <w:spacing w:val="21"/>
                <w:sz w:val="20"/>
              </w:rPr>
              <w:t> </w:t>
            </w:r>
            <w:r>
              <w:rPr>
                <w:spacing w:val="-5"/>
                <w:sz w:val="20"/>
              </w:rPr>
              <w:t>is</w:t>
            </w:r>
          </w:p>
          <w:p>
            <w:pPr>
              <w:pStyle w:val="TableParagraph"/>
              <w:spacing w:line="217" w:lineRule="exact"/>
              <w:ind w:left="108"/>
              <w:rPr>
                <w:sz w:val="20"/>
              </w:rPr>
            </w:pPr>
            <w:r>
              <w:rPr>
                <w:spacing w:val="-2"/>
                <w:sz w:val="20"/>
              </w:rPr>
              <w:t>dormant.</w:t>
            </w:r>
          </w:p>
        </w:tc>
      </w:tr>
      <w:tr>
        <w:trPr>
          <w:trHeight w:val="457" w:hRule="atLeast"/>
        </w:trPr>
        <w:tc>
          <w:tcPr>
            <w:tcW w:w="631" w:type="dxa"/>
          </w:tcPr>
          <w:p>
            <w:pPr>
              <w:pStyle w:val="TableParagraph"/>
              <w:spacing w:line="270" w:lineRule="exact"/>
              <w:ind w:left="107"/>
              <w:rPr>
                <w:sz w:val="24"/>
              </w:rPr>
            </w:pPr>
            <w:r>
              <w:rPr>
                <w:spacing w:val="-5"/>
                <w:sz w:val="24"/>
              </w:rPr>
              <w:t>15</w:t>
            </w:r>
          </w:p>
        </w:tc>
        <w:tc>
          <w:tcPr>
            <w:tcW w:w="3329" w:type="dxa"/>
          </w:tcPr>
          <w:p>
            <w:pPr>
              <w:pStyle w:val="TableParagraph"/>
              <w:spacing w:line="223" w:lineRule="exact"/>
              <w:ind w:left="105"/>
              <w:rPr>
                <w:sz w:val="20"/>
              </w:rPr>
            </w:pPr>
            <w:r>
              <w:rPr>
                <w:sz w:val="20"/>
              </w:rPr>
              <w:t>Nkonko</w:t>
            </w:r>
            <w:r>
              <w:rPr>
                <w:spacing w:val="-8"/>
                <w:sz w:val="20"/>
              </w:rPr>
              <w:t> </w:t>
            </w:r>
            <w:r>
              <w:rPr>
                <w:sz w:val="20"/>
              </w:rPr>
              <w:t>Layout,</w:t>
            </w:r>
            <w:r>
              <w:rPr>
                <w:spacing w:val="-8"/>
                <w:sz w:val="20"/>
              </w:rPr>
              <w:t> </w:t>
            </w:r>
            <w:r>
              <w:rPr>
                <w:spacing w:val="-2"/>
                <w:sz w:val="20"/>
              </w:rPr>
              <w:t>Mgbakwu</w:t>
            </w:r>
          </w:p>
        </w:tc>
        <w:tc>
          <w:tcPr>
            <w:tcW w:w="1363" w:type="dxa"/>
          </w:tcPr>
          <w:p>
            <w:pPr>
              <w:pStyle w:val="TableParagraph"/>
              <w:spacing w:line="223" w:lineRule="exact"/>
              <w:ind w:left="108"/>
              <w:rPr>
                <w:sz w:val="20"/>
              </w:rPr>
            </w:pPr>
            <w:r>
              <w:rPr>
                <w:spacing w:val="-5"/>
                <w:sz w:val="20"/>
              </w:rPr>
              <w:t>800</w:t>
            </w:r>
          </w:p>
        </w:tc>
        <w:tc>
          <w:tcPr>
            <w:tcW w:w="3814" w:type="dxa"/>
          </w:tcPr>
          <w:p>
            <w:pPr>
              <w:pStyle w:val="TableParagraph"/>
              <w:spacing w:line="223" w:lineRule="exact"/>
              <w:ind w:left="108"/>
              <w:rPr>
                <w:sz w:val="20"/>
              </w:rPr>
            </w:pPr>
            <w:r>
              <w:rPr>
                <w:sz w:val="20"/>
              </w:rPr>
              <w:t>Settled, but</w:t>
            </w:r>
            <w:r>
              <w:rPr>
                <w:spacing w:val="2"/>
                <w:sz w:val="20"/>
              </w:rPr>
              <w:t> </w:t>
            </w:r>
            <w:r>
              <w:rPr>
                <w:sz w:val="20"/>
              </w:rPr>
              <w:t>no infrastructure</w:t>
            </w:r>
            <w:r>
              <w:rPr>
                <w:spacing w:val="1"/>
                <w:sz w:val="20"/>
              </w:rPr>
              <w:t> </w:t>
            </w:r>
            <w:r>
              <w:rPr>
                <w:sz w:val="20"/>
              </w:rPr>
              <w:t>in</w:t>
            </w:r>
            <w:r>
              <w:rPr>
                <w:spacing w:val="-2"/>
                <w:sz w:val="20"/>
              </w:rPr>
              <w:t> </w:t>
            </w:r>
            <w:r>
              <w:rPr>
                <w:sz w:val="20"/>
              </w:rPr>
              <w:t>place.</w:t>
            </w:r>
            <w:r>
              <w:rPr>
                <w:spacing w:val="1"/>
                <w:sz w:val="20"/>
              </w:rPr>
              <w:t> </w:t>
            </w:r>
            <w:r>
              <w:rPr>
                <w:sz w:val="20"/>
              </w:rPr>
              <w:t>Yet </w:t>
            </w:r>
            <w:r>
              <w:rPr>
                <w:spacing w:val="-5"/>
                <w:sz w:val="20"/>
              </w:rPr>
              <w:t>to</w:t>
            </w:r>
          </w:p>
          <w:p>
            <w:pPr>
              <w:pStyle w:val="TableParagraph"/>
              <w:spacing w:line="215" w:lineRule="exact"/>
              <w:ind w:left="108"/>
              <w:rPr>
                <w:sz w:val="20"/>
              </w:rPr>
            </w:pPr>
            <w:r>
              <w:rPr>
                <w:sz w:val="20"/>
              </w:rPr>
              <w:t>be</w:t>
            </w:r>
            <w:r>
              <w:rPr>
                <w:spacing w:val="-5"/>
                <w:sz w:val="20"/>
              </w:rPr>
              <w:t> </w:t>
            </w:r>
            <w:r>
              <w:rPr>
                <w:sz w:val="20"/>
              </w:rPr>
              <w:t>allocated</w:t>
            </w:r>
            <w:r>
              <w:rPr>
                <w:spacing w:val="-3"/>
                <w:sz w:val="20"/>
              </w:rPr>
              <w:t> </w:t>
            </w:r>
            <w:r>
              <w:rPr>
                <w:sz w:val="20"/>
              </w:rPr>
              <w:t>to</w:t>
            </w:r>
            <w:r>
              <w:rPr>
                <w:spacing w:val="-3"/>
                <w:sz w:val="20"/>
              </w:rPr>
              <w:t> </w:t>
            </w:r>
            <w:r>
              <w:rPr>
                <w:sz w:val="20"/>
              </w:rPr>
              <w:t>the</w:t>
            </w:r>
            <w:r>
              <w:rPr>
                <w:spacing w:val="-4"/>
                <w:sz w:val="20"/>
              </w:rPr>
              <w:t> </w:t>
            </w:r>
            <w:r>
              <w:rPr>
                <w:sz w:val="20"/>
              </w:rPr>
              <w:t>general</w:t>
            </w:r>
            <w:r>
              <w:rPr>
                <w:spacing w:val="-4"/>
                <w:sz w:val="20"/>
              </w:rPr>
              <w:t> </w:t>
            </w:r>
            <w:r>
              <w:rPr>
                <w:spacing w:val="-2"/>
                <w:sz w:val="20"/>
              </w:rPr>
              <w:t>public.</w:t>
            </w:r>
          </w:p>
        </w:tc>
      </w:tr>
      <w:tr>
        <w:trPr>
          <w:trHeight w:val="460" w:hRule="atLeast"/>
        </w:trPr>
        <w:tc>
          <w:tcPr>
            <w:tcW w:w="631" w:type="dxa"/>
          </w:tcPr>
          <w:p>
            <w:pPr>
              <w:pStyle w:val="TableParagraph"/>
              <w:spacing w:line="273" w:lineRule="exact"/>
              <w:ind w:left="107"/>
              <w:rPr>
                <w:sz w:val="24"/>
              </w:rPr>
            </w:pPr>
            <w:r>
              <w:rPr>
                <w:spacing w:val="-5"/>
                <w:sz w:val="24"/>
              </w:rPr>
              <w:t>16</w:t>
            </w:r>
          </w:p>
        </w:tc>
        <w:tc>
          <w:tcPr>
            <w:tcW w:w="3329" w:type="dxa"/>
          </w:tcPr>
          <w:p>
            <w:pPr>
              <w:pStyle w:val="TableParagraph"/>
              <w:spacing w:line="225" w:lineRule="exact"/>
              <w:ind w:left="105"/>
              <w:rPr>
                <w:sz w:val="20"/>
              </w:rPr>
            </w:pPr>
            <w:r>
              <w:rPr>
                <w:sz w:val="20"/>
              </w:rPr>
              <w:t>Udoka</w:t>
            </w:r>
            <w:r>
              <w:rPr>
                <w:spacing w:val="-7"/>
                <w:sz w:val="20"/>
              </w:rPr>
              <w:t> </w:t>
            </w:r>
            <w:r>
              <w:rPr>
                <w:sz w:val="20"/>
              </w:rPr>
              <w:t>Housing</w:t>
            </w:r>
            <w:r>
              <w:rPr>
                <w:spacing w:val="-7"/>
                <w:sz w:val="20"/>
              </w:rPr>
              <w:t> </w:t>
            </w:r>
            <w:r>
              <w:rPr>
                <w:sz w:val="20"/>
              </w:rPr>
              <w:t>Estate,</w:t>
            </w:r>
            <w:r>
              <w:rPr>
                <w:spacing w:val="-3"/>
                <w:sz w:val="20"/>
              </w:rPr>
              <w:t> </w:t>
            </w:r>
            <w:r>
              <w:rPr>
                <w:spacing w:val="-4"/>
                <w:sz w:val="20"/>
              </w:rPr>
              <w:t>Awka</w:t>
            </w:r>
          </w:p>
        </w:tc>
        <w:tc>
          <w:tcPr>
            <w:tcW w:w="1363" w:type="dxa"/>
          </w:tcPr>
          <w:p>
            <w:pPr>
              <w:pStyle w:val="TableParagraph"/>
              <w:spacing w:line="225" w:lineRule="exact"/>
              <w:ind w:left="108"/>
              <w:rPr>
                <w:sz w:val="20"/>
              </w:rPr>
            </w:pPr>
            <w:r>
              <w:rPr>
                <w:spacing w:val="-5"/>
                <w:sz w:val="20"/>
              </w:rPr>
              <w:t>333</w:t>
            </w:r>
          </w:p>
        </w:tc>
        <w:tc>
          <w:tcPr>
            <w:tcW w:w="3814" w:type="dxa"/>
          </w:tcPr>
          <w:p>
            <w:pPr>
              <w:pStyle w:val="TableParagraph"/>
              <w:spacing w:line="228" w:lineRule="exact"/>
              <w:ind w:left="108"/>
              <w:rPr>
                <w:sz w:val="20"/>
              </w:rPr>
            </w:pPr>
            <w:r>
              <w:rPr>
                <w:sz w:val="20"/>
              </w:rPr>
              <w:t>Fully</w:t>
            </w:r>
            <w:r>
              <w:rPr>
                <w:spacing w:val="-7"/>
                <w:sz w:val="20"/>
              </w:rPr>
              <w:t> </w:t>
            </w:r>
            <w:r>
              <w:rPr>
                <w:sz w:val="20"/>
              </w:rPr>
              <w:t>developed</w:t>
            </w:r>
            <w:r>
              <w:rPr>
                <w:spacing w:val="-5"/>
                <w:sz w:val="20"/>
              </w:rPr>
              <w:t> </w:t>
            </w:r>
            <w:r>
              <w:rPr>
                <w:sz w:val="20"/>
              </w:rPr>
              <w:t>and</w:t>
            </w:r>
            <w:r>
              <w:rPr>
                <w:spacing w:val="-5"/>
                <w:sz w:val="20"/>
              </w:rPr>
              <w:t> </w:t>
            </w:r>
            <w:r>
              <w:rPr>
                <w:sz w:val="20"/>
              </w:rPr>
              <w:t>functional.</w:t>
            </w:r>
            <w:r>
              <w:rPr>
                <w:spacing w:val="-6"/>
                <w:sz w:val="20"/>
              </w:rPr>
              <w:t> </w:t>
            </w:r>
            <w:r>
              <w:rPr>
                <w:sz w:val="20"/>
              </w:rPr>
              <w:t>Managed</w:t>
            </w:r>
            <w:r>
              <w:rPr>
                <w:spacing w:val="-5"/>
                <w:sz w:val="20"/>
              </w:rPr>
              <w:t> </w:t>
            </w:r>
            <w:r>
              <w:rPr>
                <w:sz w:val="20"/>
              </w:rPr>
              <w:t>by the Housing Corporation.</w:t>
            </w:r>
          </w:p>
        </w:tc>
      </w:tr>
      <w:tr>
        <w:trPr>
          <w:trHeight w:val="690" w:hRule="atLeast"/>
        </w:trPr>
        <w:tc>
          <w:tcPr>
            <w:tcW w:w="631" w:type="dxa"/>
          </w:tcPr>
          <w:p>
            <w:pPr>
              <w:pStyle w:val="TableParagraph"/>
              <w:spacing w:line="270" w:lineRule="exact"/>
              <w:ind w:left="107"/>
              <w:rPr>
                <w:sz w:val="24"/>
              </w:rPr>
            </w:pPr>
            <w:r>
              <w:rPr>
                <w:spacing w:val="-5"/>
                <w:sz w:val="24"/>
              </w:rPr>
              <w:t>17</w:t>
            </w:r>
          </w:p>
        </w:tc>
        <w:tc>
          <w:tcPr>
            <w:tcW w:w="3329" w:type="dxa"/>
          </w:tcPr>
          <w:p>
            <w:pPr>
              <w:pStyle w:val="TableParagraph"/>
              <w:ind w:left="105"/>
              <w:rPr>
                <w:sz w:val="20"/>
              </w:rPr>
            </w:pPr>
            <w:r>
              <w:rPr>
                <w:sz w:val="20"/>
              </w:rPr>
              <w:t>Liberation</w:t>
            </w:r>
            <w:r>
              <w:rPr>
                <w:spacing w:val="-13"/>
                <w:sz w:val="20"/>
              </w:rPr>
              <w:t> </w:t>
            </w:r>
            <w:r>
              <w:rPr>
                <w:sz w:val="20"/>
              </w:rPr>
              <w:t>Housing</w:t>
            </w:r>
            <w:r>
              <w:rPr>
                <w:spacing w:val="-12"/>
                <w:sz w:val="20"/>
              </w:rPr>
              <w:t> </w:t>
            </w:r>
            <w:r>
              <w:rPr>
                <w:sz w:val="20"/>
              </w:rPr>
              <w:t>Estate, Nawfia/Enugwu Ukwu</w:t>
            </w:r>
          </w:p>
        </w:tc>
        <w:tc>
          <w:tcPr>
            <w:tcW w:w="1363" w:type="dxa"/>
          </w:tcPr>
          <w:p>
            <w:pPr>
              <w:pStyle w:val="TableParagraph"/>
              <w:spacing w:line="223" w:lineRule="exact"/>
              <w:ind w:left="108"/>
              <w:rPr>
                <w:sz w:val="20"/>
              </w:rPr>
            </w:pPr>
            <w:r>
              <w:rPr>
                <w:spacing w:val="-5"/>
                <w:sz w:val="20"/>
              </w:rPr>
              <w:t>700</w:t>
            </w:r>
          </w:p>
        </w:tc>
        <w:tc>
          <w:tcPr>
            <w:tcW w:w="3814" w:type="dxa"/>
          </w:tcPr>
          <w:p>
            <w:pPr>
              <w:pStyle w:val="TableParagraph"/>
              <w:ind w:left="108"/>
              <w:rPr>
                <w:sz w:val="20"/>
              </w:rPr>
            </w:pPr>
            <w:r>
              <w:rPr>
                <w:sz w:val="20"/>
              </w:rPr>
              <w:t>Not</w:t>
            </w:r>
            <w:r>
              <w:rPr>
                <w:spacing w:val="40"/>
                <w:sz w:val="20"/>
              </w:rPr>
              <w:t> </w:t>
            </w:r>
            <w:r>
              <w:rPr>
                <w:sz w:val="20"/>
              </w:rPr>
              <w:t>settled,</w:t>
            </w:r>
            <w:r>
              <w:rPr>
                <w:spacing w:val="40"/>
                <w:sz w:val="20"/>
              </w:rPr>
              <w:t> </w:t>
            </w:r>
            <w:r>
              <w:rPr>
                <w:sz w:val="20"/>
              </w:rPr>
              <w:t>no</w:t>
            </w:r>
            <w:r>
              <w:rPr>
                <w:spacing w:val="40"/>
                <w:sz w:val="20"/>
              </w:rPr>
              <w:t> </w:t>
            </w:r>
            <w:r>
              <w:rPr>
                <w:sz w:val="20"/>
              </w:rPr>
              <w:t>infrastructure.</w:t>
            </w:r>
            <w:r>
              <w:rPr>
                <w:spacing w:val="40"/>
                <w:sz w:val="20"/>
              </w:rPr>
              <w:t> </w:t>
            </w:r>
            <w:r>
              <w:rPr>
                <w:sz w:val="20"/>
              </w:rPr>
              <w:t>Land</w:t>
            </w:r>
            <w:r>
              <w:rPr>
                <w:spacing w:val="40"/>
                <w:sz w:val="20"/>
              </w:rPr>
              <w:t> </w:t>
            </w:r>
            <w:r>
              <w:rPr>
                <w:sz w:val="20"/>
              </w:rPr>
              <w:t>under litigation</w:t>
            </w:r>
            <w:r>
              <w:rPr>
                <w:spacing w:val="53"/>
                <w:sz w:val="20"/>
              </w:rPr>
              <w:t> </w:t>
            </w:r>
            <w:r>
              <w:rPr>
                <w:sz w:val="20"/>
              </w:rPr>
              <w:t>with</w:t>
            </w:r>
            <w:r>
              <w:rPr>
                <w:spacing w:val="51"/>
                <w:sz w:val="20"/>
              </w:rPr>
              <w:t> </w:t>
            </w:r>
            <w:r>
              <w:rPr>
                <w:sz w:val="20"/>
              </w:rPr>
              <w:t>land</w:t>
            </w:r>
            <w:r>
              <w:rPr>
                <w:spacing w:val="53"/>
                <w:sz w:val="20"/>
              </w:rPr>
              <w:t> </w:t>
            </w:r>
            <w:r>
              <w:rPr>
                <w:sz w:val="20"/>
              </w:rPr>
              <w:t>owners.</w:t>
            </w:r>
            <w:r>
              <w:rPr>
                <w:spacing w:val="54"/>
                <w:sz w:val="20"/>
              </w:rPr>
              <w:t> </w:t>
            </w:r>
            <w:r>
              <w:rPr>
                <w:sz w:val="20"/>
              </w:rPr>
              <w:t>Considered</w:t>
            </w:r>
            <w:r>
              <w:rPr>
                <w:spacing w:val="54"/>
                <w:sz w:val="20"/>
              </w:rPr>
              <w:t> </w:t>
            </w:r>
            <w:r>
              <w:rPr>
                <w:spacing w:val="-10"/>
                <w:sz w:val="20"/>
              </w:rPr>
              <w:t>a</w:t>
            </w:r>
          </w:p>
          <w:p>
            <w:pPr>
              <w:pStyle w:val="TableParagraph"/>
              <w:spacing w:line="217" w:lineRule="exact"/>
              <w:ind w:left="108"/>
              <w:rPr>
                <w:sz w:val="20"/>
              </w:rPr>
            </w:pPr>
            <w:r>
              <w:rPr>
                <w:sz w:val="20"/>
              </w:rPr>
              <w:t>failed</w:t>
            </w:r>
            <w:r>
              <w:rPr>
                <w:spacing w:val="-6"/>
                <w:sz w:val="20"/>
              </w:rPr>
              <w:t> </w:t>
            </w:r>
            <w:r>
              <w:rPr>
                <w:spacing w:val="-2"/>
                <w:sz w:val="20"/>
              </w:rPr>
              <w:t>project.</w:t>
            </w:r>
          </w:p>
        </w:tc>
      </w:tr>
      <w:tr>
        <w:trPr>
          <w:trHeight w:val="460" w:hRule="atLeast"/>
        </w:trPr>
        <w:tc>
          <w:tcPr>
            <w:tcW w:w="631" w:type="dxa"/>
          </w:tcPr>
          <w:p>
            <w:pPr>
              <w:pStyle w:val="TableParagraph"/>
              <w:spacing w:line="270" w:lineRule="exact"/>
              <w:ind w:left="107"/>
              <w:rPr>
                <w:sz w:val="24"/>
              </w:rPr>
            </w:pPr>
            <w:r>
              <w:rPr>
                <w:spacing w:val="-5"/>
                <w:sz w:val="24"/>
              </w:rPr>
              <w:t>18</w:t>
            </w:r>
          </w:p>
        </w:tc>
        <w:tc>
          <w:tcPr>
            <w:tcW w:w="3329" w:type="dxa"/>
          </w:tcPr>
          <w:p>
            <w:pPr>
              <w:pStyle w:val="TableParagraph"/>
              <w:spacing w:line="223" w:lineRule="exact"/>
              <w:ind w:left="105"/>
              <w:rPr>
                <w:sz w:val="20"/>
              </w:rPr>
            </w:pPr>
            <w:r>
              <w:rPr>
                <w:sz w:val="20"/>
              </w:rPr>
              <w:t>Ahocol</w:t>
            </w:r>
            <w:r>
              <w:rPr>
                <w:spacing w:val="-6"/>
                <w:sz w:val="20"/>
              </w:rPr>
              <w:t> </w:t>
            </w:r>
            <w:r>
              <w:rPr>
                <w:sz w:val="20"/>
              </w:rPr>
              <w:t>Phase</w:t>
            </w:r>
            <w:r>
              <w:rPr>
                <w:spacing w:val="-5"/>
                <w:sz w:val="20"/>
              </w:rPr>
              <w:t> II</w:t>
            </w:r>
          </w:p>
        </w:tc>
        <w:tc>
          <w:tcPr>
            <w:tcW w:w="1363" w:type="dxa"/>
          </w:tcPr>
          <w:p>
            <w:pPr>
              <w:pStyle w:val="TableParagraph"/>
              <w:spacing w:line="223" w:lineRule="exact"/>
              <w:ind w:left="108"/>
              <w:rPr>
                <w:sz w:val="20"/>
              </w:rPr>
            </w:pPr>
            <w:r>
              <w:rPr>
                <w:spacing w:val="-5"/>
                <w:sz w:val="20"/>
              </w:rPr>
              <w:t>112</w:t>
            </w:r>
          </w:p>
        </w:tc>
        <w:tc>
          <w:tcPr>
            <w:tcW w:w="3814" w:type="dxa"/>
          </w:tcPr>
          <w:p>
            <w:pPr>
              <w:pStyle w:val="TableParagraph"/>
              <w:spacing w:line="223" w:lineRule="exact"/>
              <w:ind w:left="108"/>
              <w:rPr>
                <w:sz w:val="20"/>
              </w:rPr>
            </w:pPr>
            <w:r>
              <w:rPr>
                <w:sz w:val="20"/>
              </w:rPr>
              <w:t>Fully</w:t>
            </w:r>
            <w:r>
              <w:rPr>
                <w:spacing w:val="-2"/>
                <w:sz w:val="20"/>
              </w:rPr>
              <w:t> </w:t>
            </w:r>
            <w:r>
              <w:rPr>
                <w:sz w:val="20"/>
              </w:rPr>
              <w:t>developed and</w:t>
            </w:r>
            <w:r>
              <w:rPr>
                <w:spacing w:val="1"/>
                <w:sz w:val="20"/>
              </w:rPr>
              <w:t> </w:t>
            </w:r>
            <w:r>
              <w:rPr>
                <w:sz w:val="20"/>
              </w:rPr>
              <w:t>functional,</w:t>
            </w:r>
            <w:r>
              <w:rPr>
                <w:spacing w:val="-1"/>
                <w:sz w:val="20"/>
              </w:rPr>
              <w:t> </w:t>
            </w:r>
            <w:r>
              <w:rPr>
                <w:sz w:val="20"/>
              </w:rPr>
              <w:t>managed </w:t>
            </w:r>
            <w:r>
              <w:rPr>
                <w:spacing w:val="-5"/>
                <w:sz w:val="20"/>
              </w:rPr>
              <w:t>by</w:t>
            </w:r>
          </w:p>
          <w:p>
            <w:pPr>
              <w:pStyle w:val="TableParagraph"/>
              <w:spacing w:line="217" w:lineRule="exact"/>
              <w:ind w:left="108"/>
              <w:rPr>
                <w:sz w:val="20"/>
              </w:rPr>
            </w:pPr>
            <w:r>
              <w:rPr>
                <w:sz w:val="20"/>
              </w:rPr>
              <w:t>the</w:t>
            </w:r>
            <w:r>
              <w:rPr>
                <w:spacing w:val="-6"/>
                <w:sz w:val="20"/>
              </w:rPr>
              <w:t> </w:t>
            </w:r>
            <w:r>
              <w:rPr>
                <w:sz w:val="20"/>
              </w:rPr>
              <w:t>Housing</w:t>
            </w:r>
            <w:r>
              <w:rPr>
                <w:spacing w:val="-4"/>
                <w:sz w:val="20"/>
              </w:rPr>
              <w:t> </w:t>
            </w:r>
            <w:r>
              <w:rPr>
                <w:spacing w:val="-2"/>
                <w:sz w:val="20"/>
              </w:rPr>
              <w:t>Corporation</w:t>
            </w:r>
          </w:p>
        </w:tc>
      </w:tr>
      <w:tr>
        <w:trPr>
          <w:trHeight w:val="458" w:hRule="atLeast"/>
        </w:trPr>
        <w:tc>
          <w:tcPr>
            <w:tcW w:w="631" w:type="dxa"/>
          </w:tcPr>
          <w:p>
            <w:pPr>
              <w:pStyle w:val="TableParagraph"/>
              <w:spacing w:line="271" w:lineRule="exact"/>
              <w:ind w:left="107"/>
              <w:rPr>
                <w:sz w:val="24"/>
              </w:rPr>
            </w:pPr>
            <w:r>
              <w:rPr>
                <w:spacing w:val="-5"/>
                <w:sz w:val="24"/>
              </w:rPr>
              <w:t>19</w:t>
            </w:r>
          </w:p>
        </w:tc>
        <w:tc>
          <w:tcPr>
            <w:tcW w:w="3329" w:type="dxa"/>
          </w:tcPr>
          <w:p>
            <w:pPr>
              <w:pStyle w:val="TableParagraph"/>
              <w:spacing w:line="224" w:lineRule="exact"/>
              <w:ind w:left="105"/>
              <w:rPr>
                <w:sz w:val="20"/>
              </w:rPr>
            </w:pPr>
            <w:r>
              <w:rPr>
                <w:sz w:val="20"/>
              </w:rPr>
              <w:t>Ahocol</w:t>
            </w:r>
            <w:r>
              <w:rPr>
                <w:spacing w:val="-5"/>
                <w:sz w:val="20"/>
              </w:rPr>
              <w:t> </w:t>
            </w:r>
            <w:r>
              <w:rPr>
                <w:sz w:val="20"/>
              </w:rPr>
              <w:t>Phase</w:t>
            </w:r>
            <w:r>
              <w:rPr>
                <w:spacing w:val="-3"/>
                <w:sz w:val="20"/>
              </w:rPr>
              <w:t> </w:t>
            </w:r>
            <w:r>
              <w:rPr>
                <w:sz w:val="20"/>
              </w:rPr>
              <w:t>I</w:t>
            </w:r>
            <w:r>
              <w:rPr>
                <w:spacing w:val="-4"/>
                <w:sz w:val="20"/>
              </w:rPr>
              <w:t> </w:t>
            </w:r>
            <w:r>
              <w:rPr>
                <w:spacing w:val="-2"/>
                <w:sz w:val="20"/>
              </w:rPr>
              <w:t>Extension</w:t>
            </w:r>
          </w:p>
        </w:tc>
        <w:tc>
          <w:tcPr>
            <w:tcW w:w="1363" w:type="dxa"/>
          </w:tcPr>
          <w:p>
            <w:pPr>
              <w:pStyle w:val="TableParagraph"/>
              <w:spacing w:line="224" w:lineRule="exact"/>
              <w:ind w:left="108"/>
              <w:rPr>
                <w:sz w:val="20"/>
              </w:rPr>
            </w:pPr>
            <w:r>
              <w:rPr>
                <w:spacing w:val="-5"/>
                <w:sz w:val="20"/>
              </w:rPr>
              <w:t>54</w:t>
            </w:r>
          </w:p>
        </w:tc>
        <w:tc>
          <w:tcPr>
            <w:tcW w:w="3814" w:type="dxa"/>
          </w:tcPr>
          <w:p>
            <w:pPr>
              <w:pStyle w:val="TableParagraph"/>
              <w:spacing w:line="224" w:lineRule="exact"/>
              <w:ind w:left="108"/>
              <w:rPr>
                <w:sz w:val="20"/>
              </w:rPr>
            </w:pPr>
            <w:r>
              <w:rPr>
                <w:sz w:val="20"/>
              </w:rPr>
              <w:t>Fully</w:t>
            </w:r>
            <w:r>
              <w:rPr>
                <w:spacing w:val="-2"/>
                <w:sz w:val="20"/>
              </w:rPr>
              <w:t> </w:t>
            </w:r>
            <w:r>
              <w:rPr>
                <w:sz w:val="20"/>
              </w:rPr>
              <w:t>developed and</w:t>
            </w:r>
            <w:r>
              <w:rPr>
                <w:spacing w:val="1"/>
                <w:sz w:val="20"/>
              </w:rPr>
              <w:t> </w:t>
            </w:r>
            <w:r>
              <w:rPr>
                <w:sz w:val="20"/>
              </w:rPr>
              <w:t>functional,</w:t>
            </w:r>
            <w:r>
              <w:rPr>
                <w:spacing w:val="-1"/>
                <w:sz w:val="20"/>
              </w:rPr>
              <w:t> </w:t>
            </w:r>
            <w:r>
              <w:rPr>
                <w:sz w:val="20"/>
              </w:rPr>
              <w:t>managed </w:t>
            </w:r>
            <w:r>
              <w:rPr>
                <w:spacing w:val="-5"/>
                <w:sz w:val="20"/>
              </w:rPr>
              <w:t>by</w:t>
            </w:r>
          </w:p>
          <w:p>
            <w:pPr>
              <w:pStyle w:val="TableParagraph"/>
              <w:spacing w:line="215" w:lineRule="exact"/>
              <w:ind w:left="108"/>
              <w:rPr>
                <w:sz w:val="20"/>
              </w:rPr>
            </w:pPr>
            <w:r>
              <w:rPr>
                <w:sz w:val="20"/>
              </w:rPr>
              <w:t>the</w:t>
            </w:r>
            <w:r>
              <w:rPr>
                <w:spacing w:val="-6"/>
                <w:sz w:val="20"/>
              </w:rPr>
              <w:t> </w:t>
            </w:r>
            <w:r>
              <w:rPr>
                <w:sz w:val="20"/>
              </w:rPr>
              <w:t>Housing</w:t>
            </w:r>
            <w:r>
              <w:rPr>
                <w:spacing w:val="-4"/>
                <w:sz w:val="20"/>
              </w:rPr>
              <w:t> </w:t>
            </w:r>
            <w:r>
              <w:rPr>
                <w:spacing w:val="-2"/>
                <w:sz w:val="20"/>
              </w:rPr>
              <w:t>Corporation</w:t>
            </w:r>
          </w:p>
        </w:tc>
      </w:tr>
      <w:tr>
        <w:trPr>
          <w:trHeight w:val="460" w:hRule="atLeast"/>
        </w:trPr>
        <w:tc>
          <w:tcPr>
            <w:tcW w:w="631" w:type="dxa"/>
          </w:tcPr>
          <w:p>
            <w:pPr>
              <w:pStyle w:val="TableParagraph"/>
              <w:spacing w:line="273" w:lineRule="exact"/>
              <w:ind w:left="107"/>
              <w:rPr>
                <w:sz w:val="24"/>
              </w:rPr>
            </w:pPr>
            <w:r>
              <w:rPr>
                <w:spacing w:val="-5"/>
                <w:sz w:val="24"/>
              </w:rPr>
              <w:t>20</w:t>
            </w:r>
          </w:p>
        </w:tc>
        <w:tc>
          <w:tcPr>
            <w:tcW w:w="3329" w:type="dxa"/>
          </w:tcPr>
          <w:p>
            <w:pPr>
              <w:pStyle w:val="TableParagraph"/>
              <w:spacing w:line="225" w:lineRule="exact"/>
              <w:ind w:left="105"/>
              <w:rPr>
                <w:sz w:val="20"/>
              </w:rPr>
            </w:pPr>
            <w:r>
              <w:rPr>
                <w:sz w:val="20"/>
              </w:rPr>
              <w:t>New</w:t>
            </w:r>
            <w:r>
              <w:rPr>
                <w:spacing w:val="-9"/>
                <w:sz w:val="20"/>
              </w:rPr>
              <w:t> </w:t>
            </w:r>
            <w:r>
              <w:rPr>
                <w:sz w:val="20"/>
              </w:rPr>
              <w:t>Heaven</w:t>
            </w:r>
            <w:r>
              <w:rPr>
                <w:spacing w:val="-5"/>
                <w:sz w:val="20"/>
              </w:rPr>
              <w:t> </w:t>
            </w:r>
            <w:r>
              <w:rPr>
                <w:sz w:val="20"/>
              </w:rPr>
              <w:t>Estate,</w:t>
            </w:r>
            <w:r>
              <w:rPr>
                <w:spacing w:val="-3"/>
                <w:sz w:val="20"/>
              </w:rPr>
              <w:t> </w:t>
            </w:r>
            <w:r>
              <w:rPr>
                <w:spacing w:val="-2"/>
                <w:sz w:val="20"/>
              </w:rPr>
              <w:t>Mgbakwu</w:t>
            </w:r>
          </w:p>
        </w:tc>
        <w:tc>
          <w:tcPr>
            <w:tcW w:w="1363" w:type="dxa"/>
          </w:tcPr>
          <w:p>
            <w:pPr>
              <w:pStyle w:val="TableParagraph"/>
              <w:spacing w:line="225" w:lineRule="exact"/>
              <w:ind w:left="108"/>
              <w:rPr>
                <w:sz w:val="20"/>
              </w:rPr>
            </w:pPr>
            <w:r>
              <w:rPr>
                <w:spacing w:val="-5"/>
                <w:sz w:val="20"/>
              </w:rPr>
              <w:t>248</w:t>
            </w:r>
          </w:p>
        </w:tc>
        <w:tc>
          <w:tcPr>
            <w:tcW w:w="3814" w:type="dxa"/>
          </w:tcPr>
          <w:p>
            <w:pPr>
              <w:pStyle w:val="TableParagraph"/>
              <w:spacing w:line="228" w:lineRule="exact"/>
              <w:ind w:left="108"/>
              <w:rPr>
                <w:sz w:val="20"/>
              </w:rPr>
            </w:pPr>
            <w:r>
              <w:rPr>
                <w:sz w:val="20"/>
              </w:rPr>
              <w:t>Not</w:t>
            </w:r>
            <w:r>
              <w:rPr>
                <w:spacing w:val="40"/>
                <w:sz w:val="20"/>
              </w:rPr>
              <w:t> </w:t>
            </w:r>
            <w:r>
              <w:rPr>
                <w:sz w:val="20"/>
              </w:rPr>
              <w:t>developed,</w:t>
            </w:r>
            <w:r>
              <w:rPr>
                <w:spacing w:val="40"/>
                <w:sz w:val="20"/>
              </w:rPr>
              <w:t> </w:t>
            </w:r>
            <w:r>
              <w:rPr>
                <w:sz w:val="20"/>
              </w:rPr>
              <w:t>managed</w:t>
            </w:r>
            <w:r>
              <w:rPr>
                <w:spacing w:val="40"/>
                <w:sz w:val="20"/>
              </w:rPr>
              <w:t> </w:t>
            </w:r>
            <w:r>
              <w:rPr>
                <w:sz w:val="20"/>
              </w:rPr>
              <w:t>by</w:t>
            </w:r>
            <w:r>
              <w:rPr>
                <w:spacing w:val="40"/>
                <w:sz w:val="20"/>
              </w:rPr>
              <w:t> </w:t>
            </w:r>
            <w:r>
              <w:rPr>
                <w:sz w:val="20"/>
              </w:rPr>
              <w:t>the</w:t>
            </w:r>
            <w:r>
              <w:rPr>
                <w:spacing w:val="40"/>
                <w:sz w:val="20"/>
              </w:rPr>
              <w:t> </w:t>
            </w:r>
            <w:r>
              <w:rPr>
                <w:sz w:val="20"/>
              </w:rPr>
              <w:t>Housing </w:t>
            </w:r>
            <w:r>
              <w:rPr>
                <w:spacing w:val="-2"/>
                <w:sz w:val="20"/>
              </w:rPr>
              <w:t>Corporation</w:t>
            </w:r>
          </w:p>
        </w:tc>
      </w:tr>
      <w:tr>
        <w:trPr>
          <w:trHeight w:val="460" w:hRule="atLeast"/>
        </w:trPr>
        <w:tc>
          <w:tcPr>
            <w:tcW w:w="631" w:type="dxa"/>
          </w:tcPr>
          <w:p>
            <w:pPr>
              <w:pStyle w:val="TableParagraph"/>
              <w:spacing w:line="270" w:lineRule="exact"/>
              <w:ind w:left="107"/>
              <w:rPr>
                <w:sz w:val="24"/>
              </w:rPr>
            </w:pPr>
            <w:r>
              <w:rPr>
                <w:spacing w:val="-5"/>
                <w:sz w:val="24"/>
              </w:rPr>
              <w:t>21</w:t>
            </w:r>
          </w:p>
        </w:tc>
        <w:tc>
          <w:tcPr>
            <w:tcW w:w="3329" w:type="dxa"/>
          </w:tcPr>
          <w:p>
            <w:pPr>
              <w:pStyle w:val="TableParagraph"/>
              <w:spacing w:line="223" w:lineRule="exact"/>
              <w:ind w:left="105"/>
              <w:rPr>
                <w:sz w:val="20"/>
              </w:rPr>
            </w:pPr>
            <w:r>
              <w:rPr>
                <w:sz w:val="20"/>
              </w:rPr>
              <w:t>Inner</w:t>
            </w:r>
            <w:r>
              <w:rPr>
                <w:spacing w:val="-4"/>
                <w:sz w:val="20"/>
              </w:rPr>
              <w:t> </w:t>
            </w:r>
            <w:r>
              <w:rPr>
                <w:sz w:val="20"/>
              </w:rPr>
              <w:t>City</w:t>
            </w:r>
            <w:r>
              <w:rPr>
                <w:spacing w:val="-8"/>
                <w:sz w:val="20"/>
              </w:rPr>
              <w:t> </w:t>
            </w:r>
            <w:r>
              <w:rPr>
                <w:spacing w:val="-2"/>
                <w:sz w:val="20"/>
              </w:rPr>
              <w:t>Estate</w:t>
            </w:r>
          </w:p>
        </w:tc>
        <w:tc>
          <w:tcPr>
            <w:tcW w:w="1363" w:type="dxa"/>
          </w:tcPr>
          <w:p>
            <w:pPr>
              <w:pStyle w:val="TableParagraph"/>
              <w:spacing w:line="223" w:lineRule="exact"/>
              <w:ind w:left="108"/>
              <w:rPr>
                <w:sz w:val="20"/>
              </w:rPr>
            </w:pPr>
            <w:r>
              <w:rPr>
                <w:spacing w:val="-10"/>
                <w:sz w:val="20"/>
              </w:rPr>
              <w:t>8</w:t>
            </w:r>
          </w:p>
        </w:tc>
        <w:tc>
          <w:tcPr>
            <w:tcW w:w="3814" w:type="dxa"/>
          </w:tcPr>
          <w:p>
            <w:pPr>
              <w:pStyle w:val="TableParagraph"/>
              <w:spacing w:line="223" w:lineRule="exact"/>
              <w:ind w:left="108"/>
              <w:rPr>
                <w:sz w:val="20"/>
              </w:rPr>
            </w:pPr>
            <w:r>
              <w:rPr>
                <w:sz w:val="20"/>
              </w:rPr>
              <w:t>Fully</w:t>
            </w:r>
            <w:r>
              <w:rPr>
                <w:spacing w:val="-2"/>
                <w:sz w:val="20"/>
              </w:rPr>
              <w:t> </w:t>
            </w:r>
            <w:r>
              <w:rPr>
                <w:sz w:val="20"/>
              </w:rPr>
              <w:t>developed and</w:t>
            </w:r>
            <w:r>
              <w:rPr>
                <w:spacing w:val="1"/>
                <w:sz w:val="20"/>
              </w:rPr>
              <w:t> </w:t>
            </w:r>
            <w:r>
              <w:rPr>
                <w:sz w:val="20"/>
              </w:rPr>
              <w:t>functional,</w:t>
            </w:r>
            <w:r>
              <w:rPr>
                <w:spacing w:val="-1"/>
                <w:sz w:val="20"/>
              </w:rPr>
              <w:t> </w:t>
            </w:r>
            <w:r>
              <w:rPr>
                <w:sz w:val="20"/>
              </w:rPr>
              <w:t>managed </w:t>
            </w:r>
            <w:r>
              <w:rPr>
                <w:spacing w:val="-5"/>
                <w:sz w:val="20"/>
              </w:rPr>
              <w:t>by</w:t>
            </w:r>
          </w:p>
          <w:p>
            <w:pPr>
              <w:pStyle w:val="TableParagraph"/>
              <w:spacing w:line="217" w:lineRule="exact"/>
              <w:ind w:left="108"/>
              <w:rPr>
                <w:sz w:val="20"/>
              </w:rPr>
            </w:pPr>
            <w:r>
              <w:rPr>
                <w:sz w:val="20"/>
              </w:rPr>
              <w:t>the</w:t>
            </w:r>
            <w:r>
              <w:rPr>
                <w:spacing w:val="-6"/>
                <w:sz w:val="20"/>
              </w:rPr>
              <w:t> </w:t>
            </w:r>
            <w:r>
              <w:rPr>
                <w:sz w:val="20"/>
              </w:rPr>
              <w:t>Housing</w:t>
            </w:r>
            <w:r>
              <w:rPr>
                <w:spacing w:val="-4"/>
                <w:sz w:val="20"/>
              </w:rPr>
              <w:t> </w:t>
            </w:r>
            <w:r>
              <w:rPr>
                <w:spacing w:val="-2"/>
                <w:sz w:val="20"/>
              </w:rPr>
              <w:t>Corporation</w:t>
            </w:r>
          </w:p>
        </w:tc>
      </w:tr>
      <w:tr>
        <w:trPr>
          <w:trHeight w:val="460" w:hRule="atLeast"/>
        </w:trPr>
        <w:tc>
          <w:tcPr>
            <w:tcW w:w="631" w:type="dxa"/>
          </w:tcPr>
          <w:p>
            <w:pPr>
              <w:pStyle w:val="TableParagraph"/>
              <w:spacing w:line="270" w:lineRule="exact"/>
              <w:ind w:left="107"/>
              <w:rPr>
                <w:sz w:val="24"/>
              </w:rPr>
            </w:pPr>
            <w:r>
              <w:rPr>
                <w:spacing w:val="-5"/>
                <w:sz w:val="24"/>
              </w:rPr>
              <w:t>22</w:t>
            </w:r>
          </w:p>
        </w:tc>
        <w:tc>
          <w:tcPr>
            <w:tcW w:w="3329" w:type="dxa"/>
          </w:tcPr>
          <w:p>
            <w:pPr>
              <w:pStyle w:val="TableParagraph"/>
              <w:spacing w:line="223" w:lineRule="exact"/>
              <w:ind w:left="105"/>
              <w:rPr>
                <w:sz w:val="20"/>
              </w:rPr>
            </w:pPr>
            <w:r>
              <w:rPr>
                <w:sz w:val="20"/>
              </w:rPr>
              <w:t>Ngozika</w:t>
            </w:r>
            <w:r>
              <w:rPr>
                <w:spacing w:val="-6"/>
                <w:sz w:val="20"/>
              </w:rPr>
              <w:t> </w:t>
            </w:r>
            <w:r>
              <w:rPr>
                <w:sz w:val="20"/>
              </w:rPr>
              <w:t>Housing</w:t>
            </w:r>
            <w:r>
              <w:rPr>
                <w:spacing w:val="-6"/>
                <w:sz w:val="20"/>
              </w:rPr>
              <w:t> </w:t>
            </w:r>
            <w:r>
              <w:rPr>
                <w:sz w:val="20"/>
              </w:rPr>
              <w:t>Estate,</w:t>
            </w:r>
            <w:r>
              <w:rPr>
                <w:spacing w:val="-4"/>
                <w:sz w:val="20"/>
              </w:rPr>
              <w:t> </w:t>
            </w:r>
            <w:r>
              <w:rPr>
                <w:sz w:val="20"/>
              </w:rPr>
              <w:t>Phase</w:t>
            </w:r>
            <w:r>
              <w:rPr>
                <w:spacing w:val="-6"/>
                <w:sz w:val="20"/>
              </w:rPr>
              <w:t> </w:t>
            </w:r>
            <w:r>
              <w:rPr>
                <w:spacing w:val="-10"/>
                <w:sz w:val="20"/>
              </w:rPr>
              <w:t>I</w:t>
            </w:r>
          </w:p>
        </w:tc>
        <w:tc>
          <w:tcPr>
            <w:tcW w:w="1363" w:type="dxa"/>
          </w:tcPr>
          <w:p>
            <w:pPr>
              <w:pStyle w:val="TableParagraph"/>
              <w:spacing w:line="223" w:lineRule="exact"/>
              <w:ind w:left="108"/>
              <w:rPr>
                <w:sz w:val="20"/>
              </w:rPr>
            </w:pPr>
            <w:r>
              <w:rPr>
                <w:spacing w:val="-5"/>
                <w:sz w:val="20"/>
              </w:rPr>
              <w:t>420</w:t>
            </w:r>
          </w:p>
        </w:tc>
        <w:tc>
          <w:tcPr>
            <w:tcW w:w="3814" w:type="dxa"/>
          </w:tcPr>
          <w:p>
            <w:pPr>
              <w:pStyle w:val="TableParagraph"/>
              <w:spacing w:line="223" w:lineRule="exact"/>
              <w:ind w:left="108"/>
              <w:rPr>
                <w:sz w:val="20"/>
              </w:rPr>
            </w:pPr>
            <w:r>
              <w:rPr>
                <w:sz w:val="20"/>
              </w:rPr>
              <w:t>Fully</w:t>
            </w:r>
            <w:r>
              <w:rPr>
                <w:spacing w:val="-2"/>
                <w:sz w:val="20"/>
              </w:rPr>
              <w:t> </w:t>
            </w:r>
            <w:r>
              <w:rPr>
                <w:sz w:val="20"/>
              </w:rPr>
              <w:t>developed and</w:t>
            </w:r>
            <w:r>
              <w:rPr>
                <w:spacing w:val="1"/>
                <w:sz w:val="20"/>
              </w:rPr>
              <w:t> </w:t>
            </w:r>
            <w:r>
              <w:rPr>
                <w:sz w:val="20"/>
              </w:rPr>
              <w:t>functional,</w:t>
            </w:r>
            <w:r>
              <w:rPr>
                <w:spacing w:val="-1"/>
                <w:sz w:val="20"/>
              </w:rPr>
              <w:t> </w:t>
            </w:r>
            <w:r>
              <w:rPr>
                <w:sz w:val="20"/>
              </w:rPr>
              <w:t>managed </w:t>
            </w:r>
            <w:r>
              <w:rPr>
                <w:spacing w:val="-5"/>
                <w:sz w:val="20"/>
              </w:rPr>
              <w:t>by</w:t>
            </w:r>
          </w:p>
          <w:p>
            <w:pPr>
              <w:pStyle w:val="TableParagraph"/>
              <w:spacing w:line="217" w:lineRule="exact"/>
              <w:ind w:left="108"/>
              <w:rPr>
                <w:sz w:val="20"/>
              </w:rPr>
            </w:pPr>
            <w:r>
              <w:rPr>
                <w:sz w:val="20"/>
              </w:rPr>
              <w:t>the</w:t>
            </w:r>
            <w:r>
              <w:rPr>
                <w:spacing w:val="-6"/>
                <w:sz w:val="20"/>
              </w:rPr>
              <w:t> </w:t>
            </w:r>
            <w:r>
              <w:rPr>
                <w:sz w:val="20"/>
              </w:rPr>
              <w:t>Housing</w:t>
            </w:r>
            <w:r>
              <w:rPr>
                <w:spacing w:val="-4"/>
                <w:sz w:val="20"/>
              </w:rPr>
              <w:t> </w:t>
            </w:r>
            <w:r>
              <w:rPr>
                <w:spacing w:val="-2"/>
                <w:sz w:val="20"/>
              </w:rPr>
              <w:t>Corporation</w:t>
            </w:r>
          </w:p>
        </w:tc>
      </w:tr>
      <w:tr>
        <w:trPr>
          <w:trHeight w:val="460" w:hRule="atLeast"/>
        </w:trPr>
        <w:tc>
          <w:tcPr>
            <w:tcW w:w="631" w:type="dxa"/>
          </w:tcPr>
          <w:p>
            <w:pPr>
              <w:pStyle w:val="TableParagraph"/>
              <w:spacing w:line="270" w:lineRule="exact"/>
              <w:ind w:left="107"/>
              <w:rPr>
                <w:sz w:val="24"/>
              </w:rPr>
            </w:pPr>
            <w:r>
              <w:rPr>
                <w:spacing w:val="-5"/>
                <w:sz w:val="24"/>
              </w:rPr>
              <w:t>23</w:t>
            </w:r>
          </w:p>
        </w:tc>
        <w:tc>
          <w:tcPr>
            <w:tcW w:w="3329" w:type="dxa"/>
          </w:tcPr>
          <w:p>
            <w:pPr>
              <w:pStyle w:val="TableParagraph"/>
              <w:spacing w:line="223" w:lineRule="exact"/>
              <w:ind w:left="105"/>
              <w:rPr>
                <w:sz w:val="20"/>
              </w:rPr>
            </w:pPr>
            <w:r>
              <w:rPr>
                <w:sz w:val="20"/>
              </w:rPr>
              <w:t>Ngozika</w:t>
            </w:r>
            <w:r>
              <w:rPr>
                <w:spacing w:val="-6"/>
                <w:sz w:val="20"/>
              </w:rPr>
              <w:t> </w:t>
            </w:r>
            <w:r>
              <w:rPr>
                <w:sz w:val="20"/>
              </w:rPr>
              <w:t>Housing</w:t>
            </w:r>
            <w:r>
              <w:rPr>
                <w:spacing w:val="-7"/>
                <w:sz w:val="20"/>
              </w:rPr>
              <w:t> </w:t>
            </w:r>
            <w:r>
              <w:rPr>
                <w:sz w:val="20"/>
              </w:rPr>
              <w:t>Estate,</w:t>
            </w:r>
            <w:r>
              <w:rPr>
                <w:spacing w:val="-4"/>
                <w:sz w:val="20"/>
              </w:rPr>
              <w:t> </w:t>
            </w:r>
            <w:r>
              <w:rPr>
                <w:sz w:val="20"/>
              </w:rPr>
              <w:t>Phase</w:t>
            </w:r>
            <w:r>
              <w:rPr>
                <w:spacing w:val="-6"/>
                <w:sz w:val="20"/>
              </w:rPr>
              <w:t> </w:t>
            </w:r>
            <w:r>
              <w:rPr>
                <w:spacing w:val="-10"/>
                <w:sz w:val="20"/>
              </w:rPr>
              <w:t>I</w:t>
            </w:r>
          </w:p>
          <w:p>
            <w:pPr>
              <w:pStyle w:val="TableParagraph"/>
              <w:spacing w:line="217" w:lineRule="exact"/>
              <w:ind w:left="105"/>
              <w:rPr>
                <w:sz w:val="20"/>
              </w:rPr>
            </w:pPr>
            <w:r>
              <w:rPr>
                <w:spacing w:val="-2"/>
                <w:sz w:val="20"/>
              </w:rPr>
              <w:t>Extension</w:t>
            </w:r>
          </w:p>
        </w:tc>
        <w:tc>
          <w:tcPr>
            <w:tcW w:w="1363" w:type="dxa"/>
          </w:tcPr>
          <w:p>
            <w:pPr>
              <w:pStyle w:val="TableParagraph"/>
              <w:spacing w:line="223" w:lineRule="exact"/>
              <w:ind w:left="108"/>
              <w:rPr>
                <w:sz w:val="20"/>
              </w:rPr>
            </w:pPr>
            <w:r>
              <w:rPr>
                <w:spacing w:val="-5"/>
                <w:sz w:val="20"/>
              </w:rPr>
              <w:t>71</w:t>
            </w:r>
          </w:p>
        </w:tc>
        <w:tc>
          <w:tcPr>
            <w:tcW w:w="3814" w:type="dxa"/>
          </w:tcPr>
          <w:p>
            <w:pPr>
              <w:pStyle w:val="TableParagraph"/>
              <w:spacing w:line="223" w:lineRule="exact"/>
              <w:ind w:left="108"/>
              <w:rPr>
                <w:sz w:val="20"/>
              </w:rPr>
            </w:pPr>
            <w:r>
              <w:rPr>
                <w:sz w:val="20"/>
              </w:rPr>
              <w:t>Not</w:t>
            </w:r>
            <w:r>
              <w:rPr>
                <w:spacing w:val="62"/>
                <w:sz w:val="20"/>
              </w:rPr>
              <w:t> </w:t>
            </w:r>
            <w:r>
              <w:rPr>
                <w:sz w:val="20"/>
              </w:rPr>
              <w:t>developed,</w:t>
            </w:r>
            <w:r>
              <w:rPr>
                <w:spacing w:val="60"/>
                <w:sz w:val="20"/>
              </w:rPr>
              <w:t> </w:t>
            </w:r>
            <w:r>
              <w:rPr>
                <w:sz w:val="20"/>
              </w:rPr>
              <w:t>managed</w:t>
            </w:r>
            <w:r>
              <w:rPr>
                <w:spacing w:val="63"/>
                <w:sz w:val="20"/>
              </w:rPr>
              <w:t> </w:t>
            </w:r>
            <w:r>
              <w:rPr>
                <w:sz w:val="20"/>
              </w:rPr>
              <w:t>by</w:t>
            </w:r>
            <w:r>
              <w:rPr>
                <w:spacing w:val="62"/>
                <w:sz w:val="20"/>
              </w:rPr>
              <w:t> </w:t>
            </w:r>
            <w:r>
              <w:rPr>
                <w:sz w:val="20"/>
              </w:rPr>
              <w:t>the</w:t>
            </w:r>
            <w:r>
              <w:rPr>
                <w:spacing w:val="62"/>
                <w:sz w:val="20"/>
              </w:rPr>
              <w:t> </w:t>
            </w:r>
            <w:r>
              <w:rPr>
                <w:spacing w:val="-2"/>
                <w:sz w:val="20"/>
              </w:rPr>
              <w:t>Housing</w:t>
            </w:r>
          </w:p>
          <w:p>
            <w:pPr>
              <w:pStyle w:val="TableParagraph"/>
              <w:spacing w:line="217" w:lineRule="exact"/>
              <w:ind w:left="108"/>
              <w:rPr>
                <w:sz w:val="20"/>
              </w:rPr>
            </w:pPr>
            <w:r>
              <w:rPr>
                <w:spacing w:val="-2"/>
                <w:sz w:val="20"/>
              </w:rPr>
              <w:t>Corporation</w:t>
            </w:r>
          </w:p>
        </w:tc>
      </w:tr>
    </w:tbl>
    <w:p>
      <w:pPr>
        <w:spacing w:after="0" w:line="217" w:lineRule="exact"/>
        <w:rPr>
          <w:sz w:val="20"/>
        </w:rPr>
        <w:sectPr>
          <w:pgSz w:w="12240" w:h="15840"/>
          <w:pgMar w:header="0" w:footer="1036" w:top="1360" w:bottom="1621" w:left="1200" w:right="600"/>
        </w:sectPr>
      </w:pPr>
    </w:p>
    <w:tbl>
      <w:tblPr>
        <w:tblW w:w="0" w:type="auto"/>
        <w:jc w:val="left"/>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1"/>
        <w:gridCol w:w="3329"/>
        <w:gridCol w:w="1363"/>
        <w:gridCol w:w="3814"/>
      </w:tblGrid>
      <w:tr>
        <w:trPr>
          <w:trHeight w:val="460" w:hRule="atLeast"/>
        </w:trPr>
        <w:tc>
          <w:tcPr>
            <w:tcW w:w="631" w:type="dxa"/>
          </w:tcPr>
          <w:p>
            <w:pPr>
              <w:pStyle w:val="TableParagraph"/>
              <w:spacing w:line="270" w:lineRule="exact"/>
              <w:ind w:left="107"/>
              <w:rPr>
                <w:sz w:val="24"/>
              </w:rPr>
            </w:pPr>
            <w:r>
              <w:rPr>
                <w:spacing w:val="-5"/>
                <w:sz w:val="24"/>
              </w:rPr>
              <w:t>24</w:t>
            </w:r>
          </w:p>
        </w:tc>
        <w:tc>
          <w:tcPr>
            <w:tcW w:w="3329" w:type="dxa"/>
          </w:tcPr>
          <w:p>
            <w:pPr>
              <w:pStyle w:val="TableParagraph"/>
              <w:spacing w:line="223" w:lineRule="exact"/>
              <w:ind w:left="105"/>
              <w:rPr>
                <w:sz w:val="20"/>
              </w:rPr>
            </w:pPr>
            <w:r>
              <w:rPr>
                <w:sz w:val="20"/>
              </w:rPr>
              <w:t>Light</w:t>
            </w:r>
            <w:r>
              <w:rPr>
                <w:spacing w:val="-5"/>
                <w:sz w:val="20"/>
              </w:rPr>
              <w:t> </w:t>
            </w:r>
            <w:r>
              <w:rPr>
                <w:sz w:val="20"/>
              </w:rPr>
              <w:t>of</w:t>
            </w:r>
            <w:r>
              <w:rPr>
                <w:spacing w:val="-5"/>
                <w:sz w:val="20"/>
              </w:rPr>
              <w:t> </w:t>
            </w:r>
            <w:r>
              <w:rPr>
                <w:sz w:val="20"/>
              </w:rPr>
              <w:t>the</w:t>
            </w:r>
            <w:r>
              <w:rPr>
                <w:spacing w:val="-4"/>
                <w:sz w:val="20"/>
              </w:rPr>
              <w:t> </w:t>
            </w:r>
            <w:r>
              <w:rPr>
                <w:sz w:val="20"/>
              </w:rPr>
              <w:t>Nation</w:t>
            </w:r>
            <w:r>
              <w:rPr>
                <w:spacing w:val="-4"/>
                <w:sz w:val="20"/>
              </w:rPr>
              <w:t> </w:t>
            </w:r>
            <w:r>
              <w:rPr>
                <w:spacing w:val="-2"/>
                <w:sz w:val="20"/>
              </w:rPr>
              <w:t>Estate(Ngozika</w:t>
            </w:r>
          </w:p>
          <w:p>
            <w:pPr>
              <w:pStyle w:val="TableParagraph"/>
              <w:spacing w:line="217" w:lineRule="exact" w:before="1"/>
              <w:ind w:left="105"/>
              <w:rPr>
                <w:sz w:val="20"/>
              </w:rPr>
            </w:pPr>
            <w:r>
              <w:rPr>
                <w:sz w:val="20"/>
              </w:rPr>
              <w:t>Phase</w:t>
            </w:r>
            <w:r>
              <w:rPr>
                <w:spacing w:val="-6"/>
                <w:sz w:val="20"/>
              </w:rPr>
              <w:t> </w:t>
            </w:r>
            <w:r>
              <w:rPr>
                <w:spacing w:val="-5"/>
                <w:sz w:val="20"/>
              </w:rPr>
              <w:t>II)</w:t>
            </w:r>
          </w:p>
        </w:tc>
        <w:tc>
          <w:tcPr>
            <w:tcW w:w="1363" w:type="dxa"/>
          </w:tcPr>
          <w:p>
            <w:pPr>
              <w:pStyle w:val="TableParagraph"/>
              <w:spacing w:line="223" w:lineRule="exact"/>
              <w:ind w:left="108"/>
              <w:rPr>
                <w:sz w:val="20"/>
              </w:rPr>
            </w:pPr>
            <w:r>
              <w:rPr>
                <w:spacing w:val="-5"/>
                <w:sz w:val="20"/>
              </w:rPr>
              <w:t>400</w:t>
            </w:r>
          </w:p>
        </w:tc>
        <w:tc>
          <w:tcPr>
            <w:tcW w:w="3814" w:type="dxa"/>
          </w:tcPr>
          <w:p>
            <w:pPr>
              <w:pStyle w:val="TableParagraph"/>
              <w:spacing w:line="223" w:lineRule="exact"/>
              <w:ind w:left="108"/>
              <w:rPr>
                <w:sz w:val="20"/>
              </w:rPr>
            </w:pPr>
            <w:r>
              <w:rPr>
                <w:sz w:val="20"/>
              </w:rPr>
              <w:t>Partly</w:t>
            </w:r>
            <w:r>
              <w:rPr>
                <w:spacing w:val="22"/>
                <w:sz w:val="20"/>
              </w:rPr>
              <w:t> </w:t>
            </w:r>
            <w:r>
              <w:rPr>
                <w:sz w:val="20"/>
              </w:rPr>
              <w:t>developed,</w:t>
            </w:r>
            <w:r>
              <w:rPr>
                <w:spacing w:val="29"/>
                <w:sz w:val="20"/>
              </w:rPr>
              <w:t> </w:t>
            </w:r>
            <w:r>
              <w:rPr>
                <w:sz w:val="20"/>
              </w:rPr>
              <w:t>managed</w:t>
            </w:r>
            <w:r>
              <w:rPr>
                <w:spacing w:val="27"/>
                <w:sz w:val="20"/>
              </w:rPr>
              <w:t> </w:t>
            </w:r>
            <w:r>
              <w:rPr>
                <w:sz w:val="20"/>
              </w:rPr>
              <w:t>by</w:t>
            </w:r>
            <w:r>
              <w:rPr>
                <w:spacing w:val="25"/>
                <w:sz w:val="20"/>
              </w:rPr>
              <w:t> </w:t>
            </w:r>
            <w:r>
              <w:rPr>
                <w:sz w:val="20"/>
              </w:rPr>
              <w:t>the</w:t>
            </w:r>
            <w:r>
              <w:rPr>
                <w:spacing w:val="25"/>
                <w:sz w:val="20"/>
              </w:rPr>
              <w:t> </w:t>
            </w:r>
            <w:r>
              <w:rPr>
                <w:spacing w:val="-2"/>
                <w:sz w:val="20"/>
              </w:rPr>
              <w:t>Housing</w:t>
            </w:r>
          </w:p>
          <w:p>
            <w:pPr>
              <w:pStyle w:val="TableParagraph"/>
              <w:spacing w:line="217" w:lineRule="exact" w:before="1"/>
              <w:ind w:left="108"/>
              <w:rPr>
                <w:sz w:val="20"/>
              </w:rPr>
            </w:pPr>
            <w:r>
              <w:rPr>
                <w:spacing w:val="-2"/>
                <w:sz w:val="20"/>
              </w:rPr>
              <w:t>Corporation</w:t>
            </w:r>
          </w:p>
        </w:tc>
      </w:tr>
      <w:tr>
        <w:trPr>
          <w:trHeight w:val="460" w:hRule="atLeast"/>
        </w:trPr>
        <w:tc>
          <w:tcPr>
            <w:tcW w:w="631" w:type="dxa"/>
          </w:tcPr>
          <w:p>
            <w:pPr>
              <w:pStyle w:val="TableParagraph"/>
              <w:spacing w:line="270" w:lineRule="exact"/>
              <w:ind w:left="107"/>
              <w:rPr>
                <w:sz w:val="24"/>
              </w:rPr>
            </w:pPr>
            <w:r>
              <w:rPr>
                <w:spacing w:val="-5"/>
                <w:sz w:val="24"/>
              </w:rPr>
              <w:t>25</w:t>
            </w:r>
          </w:p>
        </w:tc>
        <w:tc>
          <w:tcPr>
            <w:tcW w:w="3329" w:type="dxa"/>
          </w:tcPr>
          <w:p>
            <w:pPr>
              <w:pStyle w:val="TableParagraph"/>
              <w:spacing w:line="223" w:lineRule="exact"/>
              <w:ind w:left="105"/>
              <w:rPr>
                <w:sz w:val="20"/>
              </w:rPr>
            </w:pPr>
            <w:r>
              <w:rPr>
                <w:sz w:val="20"/>
              </w:rPr>
              <w:t>Eme</w:t>
            </w:r>
            <w:r>
              <w:rPr>
                <w:spacing w:val="-6"/>
                <w:sz w:val="20"/>
              </w:rPr>
              <w:t> </w:t>
            </w:r>
            <w:r>
              <w:rPr>
                <w:sz w:val="20"/>
              </w:rPr>
              <w:t>Court</w:t>
            </w:r>
            <w:r>
              <w:rPr>
                <w:spacing w:val="-5"/>
                <w:sz w:val="20"/>
              </w:rPr>
              <w:t> </w:t>
            </w:r>
            <w:r>
              <w:rPr>
                <w:spacing w:val="-2"/>
                <w:sz w:val="20"/>
              </w:rPr>
              <w:t>Layout</w:t>
            </w:r>
          </w:p>
        </w:tc>
        <w:tc>
          <w:tcPr>
            <w:tcW w:w="1363" w:type="dxa"/>
          </w:tcPr>
          <w:p>
            <w:pPr>
              <w:pStyle w:val="TableParagraph"/>
              <w:spacing w:line="223" w:lineRule="exact"/>
              <w:ind w:left="108"/>
              <w:rPr>
                <w:sz w:val="20"/>
              </w:rPr>
            </w:pPr>
            <w:r>
              <w:rPr>
                <w:spacing w:val="-5"/>
                <w:sz w:val="20"/>
              </w:rPr>
              <w:t>32</w:t>
            </w:r>
          </w:p>
        </w:tc>
        <w:tc>
          <w:tcPr>
            <w:tcW w:w="3814" w:type="dxa"/>
          </w:tcPr>
          <w:p>
            <w:pPr>
              <w:pStyle w:val="TableParagraph"/>
              <w:spacing w:line="223" w:lineRule="exact"/>
              <w:ind w:left="108"/>
              <w:rPr>
                <w:sz w:val="20"/>
              </w:rPr>
            </w:pPr>
            <w:r>
              <w:rPr>
                <w:sz w:val="20"/>
              </w:rPr>
              <w:t>No</w:t>
            </w:r>
            <w:r>
              <w:rPr>
                <w:spacing w:val="28"/>
                <w:sz w:val="20"/>
              </w:rPr>
              <w:t>  </w:t>
            </w:r>
            <w:r>
              <w:rPr>
                <w:sz w:val="20"/>
              </w:rPr>
              <w:t>infrastructure,</w:t>
            </w:r>
            <w:r>
              <w:rPr>
                <w:spacing w:val="29"/>
                <w:sz w:val="20"/>
              </w:rPr>
              <w:t>  </w:t>
            </w:r>
            <w:r>
              <w:rPr>
                <w:sz w:val="20"/>
              </w:rPr>
              <w:t>partly</w:t>
            </w:r>
            <w:r>
              <w:rPr>
                <w:spacing w:val="77"/>
                <w:w w:val="150"/>
                <w:sz w:val="20"/>
              </w:rPr>
              <w:t> </w:t>
            </w:r>
            <w:r>
              <w:rPr>
                <w:sz w:val="20"/>
              </w:rPr>
              <w:t>developed</w:t>
            </w:r>
            <w:r>
              <w:rPr>
                <w:spacing w:val="29"/>
                <w:sz w:val="20"/>
              </w:rPr>
              <w:t>  </w:t>
            </w:r>
            <w:r>
              <w:rPr>
                <w:spacing w:val="-5"/>
                <w:sz w:val="20"/>
              </w:rPr>
              <w:t>and</w:t>
            </w:r>
          </w:p>
          <w:p>
            <w:pPr>
              <w:pStyle w:val="TableParagraph"/>
              <w:spacing w:line="217" w:lineRule="exact"/>
              <w:ind w:left="108"/>
              <w:rPr>
                <w:sz w:val="20"/>
              </w:rPr>
            </w:pPr>
            <w:r>
              <w:rPr>
                <w:spacing w:val="-2"/>
                <w:sz w:val="20"/>
              </w:rPr>
              <w:t>functional.</w:t>
            </w:r>
          </w:p>
        </w:tc>
      </w:tr>
      <w:tr>
        <w:trPr>
          <w:trHeight w:val="412" w:hRule="atLeast"/>
        </w:trPr>
        <w:tc>
          <w:tcPr>
            <w:tcW w:w="631" w:type="dxa"/>
          </w:tcPr>
          <w:p>
            <w:pPr>
              <w:pStyle w:val="TableParagraph"/>
              <w:spacing w:line="270" w:lineRule="exact"/>
              <w:ind w:left="107"/>
              <w:rPr>
                <w:sz w:val="24"/>
              </w:rPr>
            </w:pPr>
            <w:r>
              <w:rPr>
                <w:spacing w:val="-5"/>
                <w:sz w:val="24"/>
              </w:rPr>
              <w:t>26</w:t>
            </w:r>
          </w:p>
        </w:tc>
        <w:tc>
          <w:tcPr>
            <w:tcW w:w="3329" w:type="dxa"/>
          </w:tcPr>
          <w:p>
            <w:pPr>
              <w:pStyle w:val="TableParagraph"/>
              <w:spacing w:line="223" w:lineRule="exact"/>
              <w:ind w:left="105"/>
              <w:rPr>
                <w:sz w:val="20"/>
              </w:rPr>
            </w:pPr>
            <w:r>
              <w:rPr>
                <w:sz w:val="20"/>
              </w:rPr>
              <w:t>Otolo</w:t>
            </w:r>
            <w:r>
              <w:rPr>
                <w:spacing w:val="-3"/>
                <w:sz w:val="20"/>
              </w:rPr>
              <w:t> </w:t>
            </w:r>
            <w:r>
              <w:rPr>
                <w:sz w:val="20"/>
              </w:rPr>
              <w:t>Utu</w:t>
            </w:r>
            <w:r>
              <w:rPr>
                <w:spacing w:val="-4"/>
                <w:sz w:val="20"/>
              </w:rPr>
              <w:t> </w:t>
            </w:r>
            <w:r>
              <w:rPr>
                <w:sz w:val="20"/>
              </w:rPr>
              <w:t>M/I</w:t>
            </w:r>
            <w:r>
              <w:rPr>
                <w:spacing w:val="-2"/>
                <w:sz w:val="20"/>
              </w:rPr>
              <w:t> Layout</w:t>
            </w:r>
          </w:p>
        </w:tc>
        <w:tc>
          <w:tcPr>
            <w:tcW w:w="1363" w:type="dxa"/>
          </w:tcPr>
          <w:p>
            <w:pPr>
              <w:pStyle w:val="TableParagraph"/>
              <w:spacing w:line="223" w:lineRule="exact"/>
              <w:ind w:left="108"/>
              <w:rPr>
                <w:sz w:val="20"/>
              </w:rPr>
            </w:pPr>
            <w:r>
              <w:rPr>
                <w:spacing w:val="-5"/>
                <w:sz w:val="20"/>
              </w:rPr>
              <w:t>369</w:t>
            </w:r>
          </w:p>
        </w:tc>
        <w:tc>
          <w:tcPr>
            <w:tcW w:w="3814" w:type="dxa"/>
          </w:tcPr>
          <w:p>
            <w:pPr>
              <w:pStyle w:val="TableParagraph"/>
              <w:spacing w:line="223" w:lineRule="exact"/>
              <w:ind w:left="108"/>
              <w:rPr>
                <w:sz w:val="20"/>
              </w:rPr>
            </w:pPr>
            <w:r>
              <w:rPr>
                <w:sz w:val="20"/>
              </w:rPr>
              <w:t>Not</w:t>
            </w:r>
            <w:r>
              <w:rPr>
                <w:spacing w:val="-6"/>
                <w:sz w:val="20"/>
              </w:rPr>
              <w:t> </w:t>
            </w:r>
            <w:r>
              <w:rPr>
                <w:sz w:val="20"/>
              </w:rPr>
              <w:t>settled,</w:t>
            </w:r>
            <w:r>
              <w:rPr>
                <w:spacing w:val="-4"/>
                <w:sz w:val="20"/>
              </w:rPr>
              <w:t> </w:t>
            </w:r>
            <w:r>
              <w:rPr>
                <w:sz w:val="20"/>
              </w:rPr>
              <w:t>dormant</w:t>
            </w:r>
            <w:r>
              <w:rPr>
                <w:spacing w:val="-6"/>
                <w:sz w:val="20"/>
              </w:rPr>
              <w:t> </w:t>
            </w:r>
            <w:r>
              <w:rPr>
                <w:sz w:val="20"/>
              </w:rPr>
              <w:t>and</w:t>
            </w:r>
            <w:r>
              <w:rPr>
                <w:spacing w:val="-3"/>
                <w:sz w:val="20"/>
              </w:rPr>
              <w:t> </w:t>
            </w:r>
            <w:r>
              <w:rPr>
                <w:sz w:val="20"/>
              </w:rPr>
              <w:t>non</w:t>
            </w:r>
            <w:r>
              <w:rPr>
                <w:spacing w:val="-6"/>
                <w:sz w:val="20"/>
              </w:rPr>
              <w:t> </w:t>
            </w:r>
            <w:r>
              <w:rPr>
                <w:spacing w:val="-2"/>
                <w:sz w:val="20"/>
              </w:rPr>
              <w:t>funct28ional.</w:t>
            </w:r>
          </w:p>
        </w:tc>
      </w:tr>
      <w:tr>
        <w:trPr>
          <w:trHeight w:val="460" w:hRule="atLeast"/>
        </w:trPr>
        <w:tc>
          <w:tcPr>
            <w:tcW w:w="631" w:type="dxa"/>
          </w:tcPr>
          <w:p>
            <w:pPr>
              <w:pStyle w:val="TableParagraph"/>
              <w:spacing w:line="270" w:lineRule="exact"/>
              <w:ind w:left="107"/>
              <w:rPr>
                <w:sz w:val="24"/>
              </w:rPr>
            </w:pPr>
            <w:r>
              <w:rPr>
                <w:spacing w:val="-5"/>
                <w:sz w:val="24"/>
              </w:rPr>
              <w:t>27</w:t>
            </w:r>
          </w:p>
        </w:tc>
        <w:tc>
          <w:tcPr>
            <w:tcW w:w="3329" w:type="dxa"/>
          </w:tcPr>
          <w:p>
            <w:pPr>
              <w:pStyle w:val="TableParagraph"/>
              <w:spacing w:line="223" w:lineRule="exact"/>
              <w:ind w:left="105"/>
              <w:rPr>
                <w:sz w:val="20"/>
              </w:rPr>
            </w:pPr>
            <w:r>
              <w:rPr>
                <w:sz w:val="20"/>
              </w:rPr>
              <w:t>M/I</w:t>
            </w:r>
            <w:r>
              <w:rPr>
                <w:spacing w:val="-5"/>
                <w:sz w:val="20"/>
              </w:rPr>
              <w:t> </w:t>
            </w:r>
            <w:r>
              <w:rPr>
                <w:sz w:val="20"/>
              </w:rPr>
              <w:t>Guide</w:t>
            </w:r>
            <w:r>
              <w:rPr>
                <w:spacing w:val="-5"/>
                <w:sz w:val="20"/>
              </w:rPr>
              <w:t> </w:t>
            </w:r>
            <w:r>
              <w:rPr>
                <w:sz w:val="20"/>
              </w:rPr>
              <w:t>GRA,</w:t>
            </w:r>
            <w:r>
              <w:rPr>
                <w:spacing w:val="-5"/>
                <w:sz w:val="20"/>
              </w:rPr>
              <w:t> </w:t>
            </w:r>
            <w:r>
              <w:rPr>
                <w:spacing w:val="-2"/>
                <w:sz w:val="20"/>
              </w:rPr>
              <w:t>Nnewi,</w:t>
            </w:r>
          </w:p>
          <w:p>
            <w:pPr>
              <w:pStyle w:val="TableParagraph"/>
              <w:spacing w:line="217" w:lineRule="exact"/>
              <w:ind w:left="105"/>
              <w:rPr>
                <w:sz w:val="20"/>
              </w:rPr>
            </w:pPr>
            <w:r>
              <w:rPr>
                <w:spacing w:val="-2"/>
                <w:sz w:val="20"/>
              </w:rPr>
              <w:t>Oraifite/Ozubulu</w:t>
            </w:r>
          </w:p>
        </w:tc>
        <w:tc>
          <w:tcPr>
            <w:tcW w:w="1363" w:type="dxa"/>
          </w:tcPr>
          <w:p>
            <w:pPr>
              <w:pStyle w:val="TableParagraph"/>
              <w:spacing w:line="223" w:lineRule="exact"/>
              <w:ind w:left="108"/>
              <w:rPr>
                <w:sz w:val="20"/>
              </w:rPr>
            </w:pPr>
            <w:r>
              <w:rPr>
                <w:spacing w:val="-4"/>
                <w:sz w:val="20"/>
              </w:rPr>
              <w:t>1315</w:t>
            </w:r>
          </w:p>
        </w:tc>
        <w:tc>
          <w:tcPr>
            <w:tcW w:w="3814" w:type="dxa"/>
          </w:tcPr>
          <w:p>
            <w:pPr>
              <w:pStyle w:val="TableParagraph"/>
              <w:spacing w:line="223" w:lineRule="exact"/>
              <w:ind w:left="108"/>
              <w:rPr>
                <w:sz w:val="20"/>
              </w:rPr>
            </w:pPr>
            <w:r>
              <w:rPr>
                <w:sz w:val="20"/>
              </w:rPr>
              <w:t>Not</w:t>
            </w:r>
            <w:r>
              <w:rPr>
                <w:spacing w:val="9"/>
                <w:sz w:val="20"/>
              </w:rPr>
              <w:t> </w:t>
            </w:r>
            <w:r>
              <w:rPr>
                <w:sz w:val="20"/>
              </w:rPr>
              <w:t>settled.</w:t>
            </w:r>
            <w:r>
              <w:rPr>
                <w:spacing w:val="12"/>
                <w:sz w:val="20"/>
              </w:rPr>
              <w:t> </w:t>
            </w:r>
            <w:r>
              <w:rPr>
                <w:sz w:val="20"/>
              </w:rPr>
              <w:t>No</w:t>
            </w:r>
            <w:r>
              <w:rPr>
                <w:spacing w:val="11"/>
                <w:sz w:val="20"/>
              </w:rPr>
              <w:t> </w:t>
            </w:r>
            <w:r>
              <w:rPr>
                <w:sz w:val="20"/>
              </w:rPr>
              <w:t>compensation</w:t>
            </w:r>
            <w:r>
              <w:rPr>
                <w:spacing w:val="11"/>
                <w:sz w:val="20"/>
              </w:rPr>
              <w:t> </w:t>
            </w:r>
            <w:r>
              <w:rPr>
                <w:sz w:val="20"/>
              </w:rPr>
              <w:t>payment.</w:t>
            </w:r>
            <w:r>
              <w:rPr>
                <w:spacing w:val="11"/>
                <w:sz w:val="20"/>
              </w:rPr>
              <w:t> </w:t>
            </w:r>
            <w:r>
              <w:rPr>
                <w:spacing w:val="-5"/>
                <w:sz w:val="20"/>
              </w:rPr>
              <w:t>Not</w:t>
            </w:r>
          </w:p>
          <w:p>
            <w:pPr>
              <w:pStyle w:val="TableParagraph"/>
              <w:spacing w:line="217" w:lineRule="exact"/>
              <w:ind w:left="108"/>
              <w:rPr>
                <w:sz w:val="20"/>
              </w:rPr>
            </w:pPr>
            <w:r>
              <w:rPr>
                <w:spacing w:val="-2"/>
                <w:sz w:val="20"/>
              </w:rPr>
              <w:t>functional</w:t>
            </w:r>
          </w:p>
        </w:tc>
      </w:tr>
      <w:tr>
        <w:trPr>
          <w:trHeight w:val="460" w:hRule="atLeast"/>
        </w:trPr>
        <w:tc>
          <w:tcPr>
            <w:tcW w:w="631" w:type="dxa"/>
          </w:tcPr>
          <w:p>
            <w:pPr>
              <w:pStyle w:val="TableParagraph"/>
              <w:spacing w:line="270" w:lineRule="exact"/>
              <w:ind w:left="107"/>
              <w:rPr>
                <w:sz w:val="24"/>
              </w:rPr>
            </w:pPr>
            <w:r>
              <w:rPr>
                <w:spacing w:val="-5"/>
                <w:sz w:val="24"/>
              </w:rPr>
              <w:t>28</w:t>
            </w:r>
          </w:p>
        </w:tc>
        <w:tc>
          <w:tcPr>
            <w:tcW w:w="3329" w:type="dxa"/>
          </w:tcPr>
          <w:p>
            <w:pPr>
              <w:pStyle w:val="TableParagraph"/>
              <w:spacing w:line="223" w:lineRule="exact"/>
              <w:ind w:left="105"/>
              <w:rPr>
                <w:sz w:val="20"/>
              </w:rPr>
            </w:pPr>
            <w:r>
              <w:rPr>
                <w:sz w:val="20"/>
              </w:rPr>
              <w:t>Okwuzukpe</w:t>
            </w:r>
            <w:r>
              <w:rPr>
                <w:spacing w:val="-12"/>
                <w:sz w:val="20"/>
              </w:rPr>
              <w:t> </w:t>
            </w:r>
            <w:r>
              <w:rPr>
                <w:sz w:val="20"/>
              </w:rPr>
              <w:t>Redevelopment</w:t>
            </w:r>
            <w:r>
              <w:rPr>
                <w:spacing w:val="-12"/>
                <w:sz w:val="20"/>
              </w:rPr>
              <w:t> </w:t>
            </w:r>
            <w:r>
              <w:rPr>
                <w:spacing w:val="-2"/>
                <w:sz w:val="20"/>
              </w:rPr>
              <w:t>Layout</w:t>
            </w:r>
          </w:p>
          <w:p>
            <w:pPr>
              <w:pStyle w:val="TableParagraph"/>
              <w:spacing w:line="217" w:lineRule="exact"/>
              <w:ind w:left="105"/>
              <w:rPr>
                <w:sz w:val="20"/>
              </w:rPr>
            </w:pPr>
            <w:r>
              <w:rPr>
                <w:sz w:val="20"/>
              </w:rPr>
              <w:t>Scheme,</w:t>
            </w:r>
            <w:r>
              <w:rPr>
                <w:spacing w:val="-8"/>
                <w:sz w:val="20"/>
              </w:rPr>
              <w:t> </w:t>
            </w:r>
            <w:r>
              <w:rPr>
                <w:sz w:val="20"/>
              </w:rPr>
              <w:t>Umuenem,</w:t>
            </w:r>
            <w:r>
              <w:rPr>
                <w:spacing w:val="-8"/>
                <w:sz w:val="20"/>
              </w:rPr>
              <w:t> </w:t>
            </w:r>
            <w:r>
              <w:rPr>
                <w:sz w:val="20"/>
              </w:rPr>
              <w:t>Otolo,</w:t>
            </w:r>
            <w:r>
              <w:rPr>
                <w:spacing w:val="-8"/>
                <w:sz w:val="20"/>
              </w:rPr>
              <w:t> </w:t>
            </w:r>
            <w:r>
              <w:rPr>
                <w:spacing w:val="-2"/>
                <w:sz w:val="20"/>
              </w:rPr>
              <w:t>Nnewi.</w:t>
            </w:r>
          </w:p>
        </w:tc>
        <w:tc>
          <w:tcPr>
            <w:tcW w:w="1363" w:type="dxa"/>
          </w:tcPr>
          <w:p>
            <w:pPr>
              <w:pStyle w:val="TableParagraph"/>
              <w:spacing w:line="223" w:lineRule="exact"/>
              <w:ind w:left="108"/>
              <w:rPr>
                <w:sz w:val="20"/>
              </w:rPr>
            </w:pPr>
            <w:r>
              <w:rPr>
                <w:spacing w:val="-5"/>
                <w:sz w:val="20"/>
              </w:rPr>
              <w:t>80</w:t>
            </w:r>
          </w:p>
        </w:tc>
        <w:tc>
          <w:tcPr>
            <w:tcW w:w="3814" w:type="dxa"/>
          </w:tcPr>
          <w:p>
            <w:pPr>
              <w:pStyle w:val="TableParagraph"/>
              <w:spacing w:line="223" w:lineRule="exact"/>
              <w:ind w:left="108"/>
              <w:rPr>
                <w:sz w:val="20"/>
              </w:rPr>
            </w:pPr>
            <w:r>
              <w:rPr>
                <w:sz w:val="20"/>
              </w:rPr>
              <w:t>Not</w:t>
            </w:r>
            <w:r>
              <w:rPr>
                <w:spacing w:val="-5"/>
                <w:sz w:val="20"/>
              </w:rPr>
              <w:t> </w:t>
            </w:r>
            <w:r>
              <w:rPr>
                <w:sz w:val="20"/>
              </w:rPr>
              <w:t>developed</w:t>
            </w:r>
            <w:r>
              <w:rPr>
                <w:spacing w:val="-4"/>
                <w:sz w:val="20"/>
              </w:rPr>
              <w:t> </w:t>
            </w:r>
            <w:r>
              <w:rPr>
                <w:sz w:val="20"/>
              </w:rPr>
              <w:t>and</w:t>
            </w:r>
            <w:r>
              <w:rPr>
                <w:spacing w:val="-3"/>
                <w:sz w:val="20"/>
              </w:rPr>
              <w:t> </w:t>
            </w:r>
            <w:r>
              <w:rPr>
                <w:spacing w:val="-2"/>
                <w:sz w:val="20"/>
              </w:rPr>
              <w:t>functional.</w:t>
            </w:r>
          </w:p>
        </w:tc>
      </w:tr>
      <w:tr>
        <w:trPr>
          <w:trHeight w:val="414" w:hRule="atLeast"/>
        </w:trPr>
        <w:tc>
          <w:tcPr>
            <w:tcW w:w="631" w:type="dxa"/>
          </w:tcPr>
          <w:p>
            <w:pPr>
              <w:pStyle w:val="TableParagraph"/>
              <w:spacing w:line="270" w:lineRule="exact"/>
              <w:ind w:left="107"/>
              <w:rPr>
                <w:sz w:val="24"/>
              </w:rPr>
            </w:pPr>
            <w:r>
              <w:rPr>
                <w:spacing w:val="-5"/>
                <w:sz w:val="24"/>
              </w:rPr>
              <w:t>29</w:t>
            </w:r>
          </w:p>
        </w:tc>
        <w:tc>
          <w:tcPr>
            <w:tcW w:w="3329" w:type="dxa"/>
          </w:tcPr>
          <w:p>
            <w:pPr>
              <w:pStyle w:val="TableParagraph"/>
              <w:spacing w:line="223" w:lineRule="exact"/>
              <w:ind w:left="105"/>
              <w:rPr>
                <w:sz w:val="20"/>
              </w:rPr>
            </w:pPr>
            <w:r>
              <w:rPr>
                <w:sz w:val="20"/>
              </w:rPr>
              <w:t>New</w:t>
            </w:r>
            <w:r>
              <w:rPr>
                <w:spacing w:val="-7"/>
                <w:sz w:val="20"/>
              </w:rPr>
              <w:t> </w:t>
            </w:r>
            <w:r>
              <w:rPr>
                <w:sz w:val="20"/>
              </w:rPr>
              <w:t>Life</w:t>
            </w:r>
            <w:r>
              <w:rPr>
                <w:spacing w:val="-4"/>
                <w:sz w:val="20"/>
              </w:rPr>
              <w:t> </w:t>
            </w:r>
            <w:r>
              <w:rPr>
                <w:sz w:val="20"/>
              </w:rPr>
              <w:t>Estate,</w:t>
            </w:r>
            <w:r>
              <w:rPr>
                <w:spacing w:val="-4"/>
                <w:sz w:val="20"/>
              </w:rPr>
              <w:t> </w:t>
            </w:r>
            <w:r>
              <w:rPr>
                <w:spacing w:val="-2"/>
                <w:sz w:val="20"/>
              </w:rPr>
              <w:t>Umuawulu</w:t>
            </w:r>
          </w:p>
        </w:tc>
        <w:tc>
          <w:tcPr>
            <w:tcW w:w="1363" w:type="dxa"/>
          </w:tcPr>
          <w:p>
            <w:pPr>
              <w:pStyle w:val="TableParagraph"/>
              <w:spacing w:line="223" w:lineRule="exact"/>
              <w:ind w:left="108"/>
              <w:rPr>
                <w:sz w:val="20"/>
              </w:rPr>
            </w:pPr>
            <w:r>
              <w:rPr>
                <w:spacing w:val="-5"/>
                <w:sz w:val="20"/>
              </w:rPr>
              <w:t>269</w:t>
            </w:r>
          </w:p>
        </w:tc>
        <w:tc>
          <w:tcPr>
            <w:tcW w:w="3814" w:type="dxa"/>
          </w:tcPr>
          <w:p>
            <w:pPr>
              <w:pStyle w:val="TableParagraph"/>
              <w:spacing w:line="223" w:lineRule="exact"/>
              <w:ind w:left="108"/>
              <w:rPr>
                <w:sz w:val="20"/>
              </w:rPr>
            </w:pPr>
            <w:r>
              <w:rPr>
                <w:sz w:val="20"/>
              </w:rPr>
              <w:t>Not</w:t>
            </w:r>
            <w:r>
              <w:rPr>
                <w:spacing w:val="-5"/>
                <w:sz w:val="20"/>
              </w:rPr>
              <w:t> </w:t>
            </w:r>
            <w:r>
              <w:rPr>
                <w:sz w:val="20"/>
              </w:rPr>
              <w:t>developed</w:t>
            </w:r>
            <w:r>
              <w:rPr>
                <w:spacing w:val="-4"/>
                <w:sz w:val="20"/>
              </w:rPr>
              <w:t> </w:t>
            </w:r>
            <w:r>
              <w:rPr>
                <w:sz w:val="20"/>
              </w:rPr>
              <w:t>and</w:t>
            </w:r>
            <w:r>
              <w:rPr>
                <w:spacing w:val="-3"/>
                <w:sz w:val="20"/>
              </w:rPr>
              <w:t> </w:t>
            </w:r>
            <w:r>
              <w:rPr>
                <w:spacing w:val="-2"/>
                <w:sz w:val="20"/>
              </w:rPr>
              <w:t>functional.</w:t>
            </w:r>
          </w:p>
        </w:tc>
      </w:tr>
      <w:tr>
        <w:trPr>
          <w:trHeight w:val="457" w:hRule="atLeast"/>
        </w:trPr>
        <w:tc>
          <w:tcPr>
            <w:tcW w:w="631" w:type="dxa"/>
          </w:tcPr>
          <w:p>
            <w:pPr>
              <w:pStyle w:val="TableParagraph"/>
              <w:spacing w:line="270" w:lineRule="exact"/>
              <w:ind w:left="107"/>
              <w:rPr>
                <w:sz w:val="24"/>
              </w:rPr>
            </w:pPr>
            <w:r>
              <w:rPr>
                <w:spacing w:val="-5"/>
                <w:sz w:val="24"/>
              </w:rPr>
              <w:t>30</w:t>
            </w:r>
          </w:p>
        </w:tc>
        <w:tc>
          <w:tcPr>
            <w:tcW w:w="3329" w:type="dxa"/>
          </w:tcPr>
          <w:p>
            <w:pPr>
              <w:pStyle w:val="TableParagraph"/>
              <w:spacing w:line="223" w:lineRule="exact"/>
              <w:ind w:left="105"/>
              <w:rPr>
                <w:sz w:val="20"/>
              </w:rPr>
            </w:pPr>
            <w:r>
              <w:rPr>
                <w:sz w:val="20"/>
              </w:rPr>
              <w:t>Savannah</w:t>
            </w:r>
            <w:r>
              <w:rPr>
                <w:spacing w:val="-7"/>
                <w:sz w:val="20"/>
              </w:rPr>
              <w:t> </w:t>
            </w:r>
            <w:r>
              <w:rPr>
                <w:sz w:val="20"/>
              </w:rPr>
              <w:t>Estate,</w:t>
            </w:r>
            <w:r>
              <w:rPr>
                <w:spacing w:val="-4"/>
                <w:sz w:val="20"/>
              </w:rPr>
              <w:t> </w:t>
            </w:r>
            <w:r>
              <w:rPr>
                <w:sz w:val="20"/>
              </w:rPr>
              <w:t>Isiagu,</w:t>
            </w:r>
            <w:r>
              <w:rPr>
                <w:spacing w:val="-6"/>
                <w:sz w:val="20"/>
              </w:rPr>
              <w:t> </w:t>
            </w:r>
            <w:r>
              <w:rPr>
                <w:sz w:val="20"/>
              </w:rPr>
              <w:t>Phase</w:t>
            </w:r>
            <w:r>
              <w:rPr>
                <w:spacing w:val="-5"/>
                <w:sz w:val="20"/>
              </w:rPr>
              <w:t> </w:t>
            </w:r>
            <w:r>
              <w:rPr>
                <w:sz w:val="20"/>
              </w:rPr>
              <w:t>I</w:t>
            </w:r>
            <w:r>
              <w:rPr>
                <w:spacing w:val="-5"/>
                <w:sz w:val="20"/>
              </w:rPr>
              <w:t> and</w:t>
            </w:r>
          </w:p>
          <w:p>
            <w:pPr>
              <w:pStyle w:val="TableParagraph"/>
              <w:spacing w:line="215" w:lineRule="exact"/>
              <w:ind w:left="105"/>
              <w:rPr>
                <w:sz w:val="20"/>
              </w:rPr>
            </w:pPr>
            <w:r>
              <w:rPr>
                <w:sz w:val="20"/>
              </w:rPr>
              <w:t>Phase</w:t>
            </w:r>
            <w:r>
              <w:rPr>
                <w:spacing w:val="-4"/>
                <w:sz w:val="20"/>
              </w:rPr>
              <w:t> </w:t>
            </w:r>
            <w:r>
              <w:rPr>
                <w:sz w:val="20"/>
              </w:rPr>
              <w:t>I</w:t>
            </w:r>
            <w:r>
              <w:rPr>
                <w:spacing w:val="-2"/>
                <w:sz w:val="20"/>
              </w:rPr>
              <w:t> extension</w:t>
            </w:r>
          </w:p>
        </w:tc>
        <w:tc>
          <w:tcPr>
            <w:tcW w:w="1363" w:type="dxa"/>
          </w:tcPr>
          <w:p>
            <w:pPr>
              <w:pStyle w:val="TableParagraph"/>
              <w:spacing w:line="223" w:lineRule="exact"/>
              <w:ind w:left="108"/>
              <w:rPr>
                <w:sz w:val="20"/>
              </w:rPr>
            </w:pPr>
            <w:r>
              <w:rPr>
                <w:spacing w:val="-5"/>
                <w:sz w:val="20"/>
              </w:rPr>
              <w:t>423</w:t>
            </w:r>
          </w:p>
        </w:tc>
        <w:tc>
          <w:tcPr>
            <w:tcW w:w="3814" w:type="dxa"/>
          </w:tcPr>
          <w:p>
            <w:pPr>
              <w:pStyle w:val="TableParagraph"/>
              <w:spacing w:line="223" w:lineRule="exact"/>
              <w:ind w:left="108"/>
              <w:rPr>
                <w:sz w:val="20"/>
              </w:rPr>
            </w:pPr>
            <w:r>
              <w:rPr>
                <w:sz w:val="20"/>
              </w:rPr>
              <w:t>Fully</w:t>
            </w:r>
            <w:r>
              <w:rPr>
                <w:spacing w:val="21"/>
                <w:sz w:val="20"/>
              </w:rPr>
              <w:t> </w:t>
            </w:r>
            <w:r>
              <w:rPr>
                <w:sz w:val="20"/>
              </w:rPr>
              <w:t>sold,</w:t>
            </w:r>
            <w:r>
              <w:rPr>
                <w:spacing w:val="21"/>
                <w:sz w:val="20"/>
              </w:rPr>
              <w:t> </w:t>
            </w:r>
            <w:r>
              <w:rPr>
                <w:sz w:val="20"/>
              </w:rPr>
              <w:t>no</w:t>
            </w:r>
            <w:r>
              <w:rPr>
                <w:spacing w:val="22"/>
                <w:sz w:val="20"/>
              </w:rPr>
              <w:t> </w:t>
            </w:r>
            <w:r>
              <w:rPr>
                <w:sz w:val="20"/>
              </w:rPr>
              <w:t>infrastructure,</w:t>
            </w:r>
            <w:r>
              <w:rPr>
                <w:spacing w:val="23"/>
                <w:sz w:val="20"/>
              </w:rPr>
              <w:t> </w:t>
            </w:r>
            <w:r>
              <w:rPr>
                <w:sz w:val="20"/>
              </w:rPr>
              <w:t>not</w:t>
            </w:r>
            <w:r>
              <w:rPr>
                <w:spacing w:val="21"/>
                <w:sz w:val="20"/>
              </w:rPr>
              <w:t> </w:t>
            </w:r>
            <w:r>
              <w:rPr>
                <w:spacing w:val="-2"/>
                <w:sz w:val="20"/>
              </w:rPr>
              <w:t>developed</w:t>
            </w:r>
          </w:p>
          <w:p>
            <w:pPr>
              <w:pStyle w:val="TableParagraph"/>
              <w:spacing w:line="215" w:lineRule="exact"/>
              <w:ind w:left="108"/>
              <w:rPr>
                <w:sz w:val="20"/>
              </w:rPr>
            </w:pPr>
            <w:r>
              <w:rPr>
                <w:sz w:val="20"/>
              </w:rPr>
              <w:t>and</w:t>
            </w:r>
            <w:r>
              <w:rPr>
                <w:spacing w:val="-4"/>
                <w:sz w:val="20"/>
              </w:rPr>
              <w:t> </w:t>
            </w:r>
            <w:r>
              <w:rPr>
                <w:sz w:val="20"/>
              </w:rPr>
              <w:t>not</w:t>
            </w:r>
            <w:r>
              <w:rPr>
                <w:spacing w:val="-3"/>
                <w:sz w:val="20"/>
              </w:rPr>
              <w:t> </w:t>
            </w:r>
            <w:r>
              <w:rPr>
                <w:sz w:val="20"/>
              </w:rPr>
              <w:t>yet</w:t>
            </w:r>
            <w:r>
              <w:rPr>
                <w:spacing w:val="-2"/>
                <w:sz w:val="20"/>
              </w:rPr>
              <w:t> functional</w:t>
            </w:r>
          </w:p>
        </w:tc>
      </w:tr>
      <w:tr>
        <w:trPr>
          <w:trHeight w:val="461" w:hRule="atLeast"/>
        </w:trPr>
        <w:tc>
          <w:tcPr>
            <w:tcW w:w="631" w:type="dxa"/>
          </w:tcPr>
          <w:p>
            <w:pPr>
              <w:pStyle w:val="TableParagraph"/>
              <w:spacing w:line="273" w:lineRule="exact"/>
              <w:ind w:left="107"/>
              <w:rPr>
                <w:sz w:val="24"/>
              </w:rPr>
            </w:pPr>
            <w:r>
              <w:rPr>
                <w:spacing w:val="-5"/>
                <w:sz w:val="24"/>
              </w:rPr>
              <w:t>31</w:t>
            </w:r>
          </w:p>
        </w:tc>
        <w:tc>
          <w:tcPr>
            <w:tcW w:w="3329" w:type="dxa"/>
          </w:tcPr>
          <w:p>
            <w:pPr>
              <w:pStyle w:val="TableParagraph"/>
              <w:spacing w:line="225" w:lineRule="exact"/>
              <w:ind w:left="105"/>
              <w:rPr>
                <w:sz w:val="20"/>
              </w:rPr>
            </w:pPr>
            <w:r>
              <w:rPr>
                <w:sz w:val="20"/>
              </w:rPr>
              <w:t>Savannah</w:t>
            </w:r>
            <w:r>
              <w:rPr>
                <w:spacing w:val="-8"/>
                <w:sz w:val="20"/>
              </w:rPr>
              <w:t> </w:t>
            </w:r>
            <w:r>
              <w:rPr>
                <w:sz w:val="20"/>
              </w:rPr>
              <w:t>Estate,</w:t>
            </w:r>
            <w:r>
              <w:rPr>
                <w:spacing w:val="-6"/>
                <w:sz w:val="20"/>
              </w:rPr>
              <w:t> </w:t>
            </w:r>
            <w:r>
              <w:rPr>
                <w:sz w:val="20"/>
              </w:rPr>
              <w:t>Isiagu,</w:t>
            </w:r>
            <w:r>
              <w:rPr>
                <w:spacing w:val="-6"/>
                <w:sz w:val="20"/>
              </w:rPr>
              <w:t> </w:t>
            </w:r>
            <w:r>
              <w:rPr>
                <w:sz w:val="20"/>
              </w:rPr>
              <w:t>Phase</w:t>
            </w:r>
            <w:r>
              <w:rPr>
                <w:spacing w:val="-7"/>
                <w:sz w:val="20"/>
              </w:rPr>
              <w:t> </w:t>
            </w:r>
            <w:r>
              <w:rPr>
                <w:spacing w:val="-5"/>
                <w:sz w:val="20"/>
              </w:rPr>
              <w:t>II</w:t>
            </w:r>
          </w:p>
        </w:tc>
        <w:tc>
          <w:tcPr>
            <w:tcW w:w="1363" w:type="dxa"/>
          </w:tcPr>
          <w:p>
            <w:pPr>
              <w:pStyle w:val="TableParagraph"/>
              <w:spacing w:line="225" w:lineRule="exact"/>
              <w:ind w:left="108"/>
              <w:rPr>
                <w:sz w:val="20"/>
              </w:rPr>
            </w:pPr>
            <w:r>
              <w:rPr>
                <w:spacing w:val="-5"/>
                <w:sz w:val="20"/>
              </w:rPr>
              <w:t>370</w:t>
            </w:r>
          </w:p>
        </w:tc>
        <w:tc>
          <w:tcPr>
            <w:tcW w:w="3814" w:type="dxa"/>
          </w:tcPr>
          <w:p>
            <w:pPr>
              <w:pStyle w:val="TableParagraph"/>
              <w:spacing w:line="225" w:lineRule="exact"/>
              <w:ind w:left="108"/>
              <w:rPr>
                <w:sz w:val="20"/>
              </w:rPr>
            </w:pPr>
            <w:r>
              <w:rPr>
                <w:sz w:val="20"/>
              </w:rPr>
              <w:t>Fully</w:t>
            </w:r>
            <w:r>
              <w:rPr>
                <w:spacing w:val="21"/>
                <w:sz w:val="20"/>
              </w:rPr>
              <w:t> </w:t>
            </w:r>
            <w:r>
              <w:rPr>
                <w:sz w:val="20"/>
              </w:rPr>
              <w:t>sold,</w:t>
            </w:r>
            <w:r>
              <w:rPr>
                <w:spacing w:val="21"/>
                <w:sz w:val="20"/>
              </w:rPr>
              <w:t> </w:t>
            </w:r>
            <w:r>
              <w:rPr>
                <w:sz w:val="20"/>
              </w:rPr>
              <w:t>no</w:t>
            </w:r>
            <w:r>
              <w:rPr>
                <w:spacing w:val="22"/>
                <w:sz w:val="20"/>
              </w:rPr>
              <w:t> </w:t>
            </w:r>
            <w:r>
              <w:rPr>
                <w:sz w:val="20"/>
              </w:rPr>
              <w:t>infrastructure,</w:t>
            </w:r>
            <w:r>
              <w:rPr>
                <w:spacing w:val="23"/>
                <w:sz w:val="20"/>
              </w:rPr>
              <w:t> </w:t>
            </w:r>
            <w:r>
              <w:rPr>
                <w:sz w:val="20"/>
              </w:rPr>
              <w:t>not</w:t>
            </w:r>
            <w:r>
              <w:rPr>
                <w:spacing w:val="21"/>
                <w:sz w:val="20"/>
              </w:rPr>
              <w:t> </w:t>
            </w:r>
            <w:r>
              <w:rPr>
                <w:spacing w:val="-2"/>
                <w:sz w:val="20"/>
              </w:rPr>
              <w:t>developed</w:t>
            </w:r>
          </w:p>
          <w:p>
            <w:pPr>
              <w:pStyle w:val="TableParagraph"/>
              <w:spacing w:line="216" w:lineRule="exact"/>
              <w:ind w:left="108"/>
              <w:rPr>
                <w:sz w:val="20"/>
              </w:rPr>
            </w:pPr>
            <w:r>
              <w:rPr>
                <w:sz w:val="20"/>
              </w:rPr>
              <w:t>and</w:t>
            </w:r>
            <w:r>
              <w:rPr>
                <w:spacing w:val="-4"/>
                <w:sz w:val="20"/>
              </w:rPr>
              <w:t> </w:t>
            </w:r>
            <w:r>
              <w:rPr>
                <w:sz w:val="20"/>
              </w:rPr>
              <w:t>not</w:t>
            </w:r>
            <w:r>
              <w:rPr>
                <w:spacing w:val="-3"/>
                <w:sz w:val="20"/>
              </w:rPr>
              <w:t> </w:t>
            </w:r>
            <w:r>
              <w:rPr>
                <w:sz w:val="20"/>
              </w:rPr>
              <w:t>yet</w:t>
            </w:r>
            <w:r>
              <w:rPr>
                <w:spacing w:val="-2"/>
                <w:sz w:val="20"/>
              </w:rPr>
              <w:t> functional</w:t>
            </w:r>
          </w:p>
        </w:tc>
      </w:tr>
      <w:tr>
        <w:trPr>
          <w:trHeight w:val="460" w:hRule="atLeast"/>
        </w:trPr>
        <w:tc>
          <w:tcPr>
            <w:tcW w:w="631" w:type="dxa"/>
          </w:tcPr>
          <w:p>
            <w:pPr>
              <w:pStyle w:val="TableParagraph"/>
              <w:spacing w:line="270" w:lineRule="exact"/>
              <w:ind w:left="107"/>
              <w:rPr>
                <w:sz w:val="24"/>
              </w:rPr>
            </w:pPr>
            <w:r>
              <w:rPr>
                <w:spacing w:val="-5"/>
                <w:sz w:val="24"/>
              </w:rPr>
              <w:t>32</w:t>
            </w:r>
          </w:p>
        </w:tc>
        <w:tc>
          <w:tcPr>
            <w:tcW w:w="3329" w:type="dxa"/>
          </w:tcPr>
          <w:p>
            <w:pPr>
              <w:pStyle w:val="TableParagraph"/>
              <w:spacing w:line="223" w:lineRule="exact"/>
              <w:ind w:left="105"/>
              <w:rPr>
                <w:sz w:val="20"/>
              </w:rPr>
            </w:pPr>
            <w:r>
              <w:rPr>
                <w:sz w:val="20"/>
              </w:rPr>
              <w:t>Obinwanne</w:t>
            </w:r>
            <w:r>
              <w:rPr>
                <w:spacing w:val="-6"/>
                <w:sz w:val="20"/>
              </w:rPr>
              <w:t> </w:t>
            </w:r>
            <w:r>
              <w:rPr>
                <w:sz w:val="20"/>
              </w:rPr>
              <w:t>Estate</w:t>
            </w:r>
            <w:r>
              <w:rPr>
                <w:spacing w:val="-6"/>
                <w:sz w:val="20"/>
              </w:rPr>
              <w:t> </w:t>
            </w:r>
            <w:r>
              <w:rPr>
                <w:sz w:val="20"/>
              </w:rPr>
              <w:t>Phase</w:t>
            </w:r>
            <w:r>
              <w:rPr>
                <w:spacing w:val="-6"/>
                <w:sz w:val="20"/>
              </w:rPr>
              <w:t> </w:t>
            </w:r>
            <w:r>
              <w:rPr>
                <w:sz w:val="20"/>
              </w:rPr>
              <w:t>I,</w:t>
            </w:r>
            <w:r>
              <w:rPr>
                <w:spacing w:val="-6"/>
                <w:sz w:val="20"/>
              </w:rPr>
              <w:t> </w:t>
            </w:r>
            <w:r>
              <w:rPr>
                <w:spacing w:val="-2"/>
                <w:sz w:val="20"/>
              </w:rPr>
              <w:t>Enugwu</w:t>
            </w:r>
          </w:p>
          <w:p>
            <w:pPr>
              <w:pStyle w:val="TableParagraph"/>
              <w:spacing w:line="217" w:lineRule="exact"/>
              <w:ind w:left="105"/>
              <w:rPr>
                <w:sz w:val="20"/>
              </w:rPr>
            </w:pPr>
            <w:r>
              <w:rPr>
                <w:spacing w:val="-2"/>
                <w:sz w:val="20"/>
              </w:rPr>
              <w:t>Agidi</w:t>
            </w:r>
          </w:p>
        </w:tc>
        <w:tc>
          <w:tcPr>
            <w:tcW w:w="1363" w:type="dxa"/>
          </w:tcPr>
          <w:p>
            <w:pPr>
              <w:pStyle w:val="TableParagraph"/>
              <w:spacing w:line="223" w:lineRule="exact"/>
              <w:ind w:left="108"/>
              <w:rPr>
                <w:sz w:val="20"/>
              </w:rPr>
            </w:pPr>
            <w:r>
              <w:rPr>
                <w:spacing w:val="-5"/>
                <w:sz w:val="20"/>
              </w:rPr>
              <w:t>123</w:t>
            </w:r>
          </w:p>
        </w:tc>
        <w:tc>
          <w:tcPr>
            <w:tcW w:w="3814" w:type="dxa"/>
          </w:tcPr>
          <w:p>
            <w:pPr>
              <w:pStyle w:val="TableParagraph"/>
              <w:spacing w:line="223" w:lineRule="exact"/>
              <w:ind w:left="108"/>
              <w:rPr>
                <w:sz w:val="20"/>
              </w:rPr>
            </w:pPr>
            <w:r>
              <w:rPr>
                <w:sz w:val="20"/>
              </w:rPr>
              <w:t>Fully</w:t>
            </w:r>
            <w:r>
              <w:rPr>
                <w:spacing w:val="-8"/>
                <w:sz w:val="20"/>
              </w:rPr>
              <w:t> </w:t>
            </w:r>
            <w:r>
              <w:rPr>
                <w:sz w:val="20"/>
              </w:rPr>
              <w:t>sold,</w:t>
            </w:r>
            <w:r>
              <w:rPr>
                <w:spacing w:val="-6"/>
                <w:sz w:val="20"/>
              </w:rPr>
              <w:t> </w:t>
            </w:r>
            <w:r>
              <w:rPr>
                <w:sz w:val="20"/>
              </w:rPr>
              <w:t>development</w:t>
            </w:r>
            <w:r>
              <w:rPr>
                <w:spacing w:val="-7"/>
                <w:sz w:val="20"/>
              </w:rPr>
              <w:t> </w:t>
            </w:r>
            <w:r>
              <w:rPr>
                <w:spacing w:val="-2"/>
                <w:sz w:val="20"/>
              </w:rPr>
              <w:t>ongoing</w:t>
            </w:r>
          </w:p>
        </w:tc>
      </w:tr>
      <w:tr>
        <w:trPr>
          <w:trHeight w:val="460" w:hRule="atLeast"/>
        </w:trPr>
        <w:tc>
          <w:tcPr>
            <w:tcW w:w="631" w:type="dxa"/>
          </w:tcPr>
          <w:p>
            <w:pPr>
              <w:pStyle w:val="TableParagraph"/>
              <w:spacing w:line="270" w:lineRule="exact"/>
              <w:ind w:left="107"/>
              <w:rPr>
                <w:sz w:val="24"/>
              </w:rPr>
            </w:pPr>
            <w:r>
              <w:rPr>
                <w:spacing w:val="-5"/>
                <w:sz w:val="24"/>
              </w:rPr>
              <w:t>33</w:t>
            </w:r>
          </w:p>
        </w:tc>
        <w:tc>
          <w:tcPr>
            <w:tcW w:w="3329" w:type="dxa"/>
          </w:tcPr>
          <w:p>
            <w:pPr>
              <w:pStyle w:val="TableParagraph"/>
              <w:spacing w:line="223" w:lineRule="exact"/>
              <w:ind w:left="105"/>
              <w:rPr>
                <w:sz w:val="20"/>
              </w:rPr>
            </w:pPr>
            <w:r>
              <w:rPr>
                <w:sz w:val="20"/>
              </w:rPr>
              <w:t>Obinwanne</w:t>
            </w:r>
            <w:r>
              <w:rPr>
                <w:spacing w:val="-7"/>
                <w:sz w:val="20"/>
              </w:rPr>
              <w:t> </w:t>
            </w:r>
            <w:r>
              <w:rPr>
                <w:sz w:val="20"/>
              </w:rPr>
              <w:t>Estate</w:t>
            </w:r>
            <w:r>
              <w:rPr>
                <w:spacing w:val="-6"/>
                <w:sz w:val="20"/>
              </w:rPr>
              <w:t> </w:t>
            </w:r>
            <w:r>
              <w:rPr>
                <w:sz w:val="20"/>
              </w:rPr>
              <w:t>Phase</w:t>
            </w:r>
            <w:r>
              <w:rPr>
                <w:spacing w:val="-6"/>
                <w:sz w:val="20"/>
              </w:rPr>
              <w:t> </w:t>
            </w:r>
            <w:r>
              <w:rPr>
                <w:sz w:val="20"/>
              </w:rPr>
              <w:t>II,</w:t>
            </w:r>
            <w:r>
              <w:rPr>
                <w:spacing w:val="-6"/>
                <w:sz w:val="20"/>
              </w:rPr>
              <w:t> </w:t>
            </w:r>
            <w:r>
              <w:rPr>
                <w:spacing w:val="-2"/>
                <w:sz w:val="20"/>
              </w:rPr>
              <w:t>Enugwu</w:t>
            </w:r>
          </w:p>
          <w:p>
            <w:pPr>
              <w:pStyle w:val="TableParagraph"/>
              <w:spacing w:line="217" w:lineRule="exact"/>
              <w:ind w:left="105"/>
              <w:rPr>
                <w:sz w:val="20"/>
              </w:rPr>
            </w:pPr>
            <w:r>
              <w:rPr>
                <w:spacing w:val="-2"/>
                <w:sz w:val="20"/>
              </w:rPr>
              <w:t>Agidi</w:t>
            </w:r>
          </w:p>
        </w:tc>
        <w:tc>
          <w:tcPr>
            <w:tcW w:w="1363" w:type="dxa"/>
          </w:tcPr>
          <w:p>
            <w:pPr>
              <w:pStyle w:val="TableParagraph"/>
              <w:spacing w:line="223" w:lineRule="exact"/>
              <w:ind w:left="108"/>
              <w:rPr>
                <w:sz w:val="20"/>
              </w:rPr>
            </w:pPr>
            <w:r>
              <w:rPr>
                <w:spacing w:val="-5"/>
                <w:sz w:val="20"/>
              </w:rPr>
              <w:t>200</w:t>
            </w:r>
          </w:p>
        </w:tc>
        <w:tc>
          <w:tcPr>
            <w:tcW w:w="3814" w:type="dxa"/>
          </w:tcPr>
          <w:p>
            <w:pPr>
              <w:pStyle w:val="TableParagraph"/>
              <w:spacing w:line="223" w:lineRule="exact"/>
              <w:ind w:left="108"/>
              <w:rPr>
                <w:sz w:val="20"/>
              </w:rPr>
            </w:pPr>
            <w:r>
              <w:rPr>
                <w:sz w:val="20"/>
              </w:rPr>
              <w:t>Not</w:t>
            </w:r>
            <w:r>
              <w:rPr>
                <w:spacing w:val="63"/>
                <w:sz w:val="20"/>
              </w:rPr>
              <w:t> </w:t>
            </w:r>
            <w:r>
              <w:rPr>
                <w:sz w:val="20"/>
              </w:rPr>
              <w:t>fully</w:t>
            </w:r>
            <w:r>
              <w:rPr>
                <w:spacing w:val="64"/>
                <w:sz w:val="20"/>
              </w:rPr>
              <w:t> </w:t>
            </w:r>
            <w:r>
              <w:rPr>
                <w:sz w:val="20"/>
              </w:rPr>
              <w:t>sold,</w:t>
            </w:r>
            <w:r>
              <w:rPr>
                <w:spacing w:val="63"/>
                <w:sz w:val="20"/>
              </w:rPr>
              <w:t> </w:t>
            </w:r>
            <w:r>
              <w:rPr>
                <w:sz w:val="20"/>
              </w:rPr>
              <w:t>presence</w:t>
            </w:r>
            <w:r>
              <w:rPr>
                <w:spacing w:val="66"/>
                <w:sz w:val="20"/>
              </w:rPr>
              <w:t> </w:t>
            </w:r>
            <w:r>
              <w:rPr>
                <w:sz w:val="20"/>
              </w:rPr>
              <w:t>of</w:t>
            </w:r>
            <w:r>
              <w:rPr>
                <w:spacing w:val="63"/>
                <w:sz w:val="20"/>
              </w:rPr>
              <w:t> </w:t>
            </w:r>
            <w:r>
              <w:rPr>
                <w:spacing w:val="-2"/>
                <w:sz w:val="20"/>
              </w:rPr>
              <w:t>infrastructure</w:t>
            </w:r>
          </w:p>
          <w:p>
            <w:pPr>
              <w:pStyle w:val="TableParagraph"/>
              <w:spacing w:line="217" w:lineRule="exact"/>
              <w:ind w:left="108"/>
              <w:rPr>
                <w:sz w:val="20"/>
              </w:rPr>
            </w:pPr>
            <w:r>
              <w:rPr>
                <w:sz w:val="20"/>
              </w:rPr>
              <w:t>(</w:t>
            </w:r>
            <w:r>
              <w:rPr>
                <w:spacing w:val="-3"/>
                <w:sz w:val="20"/>
              </w:rPr>
              <w:t> </w:t>
            </w:r>
            <w:r>
              <w:rPr>
                <w:sz w:val="20"/>
              </w:rPr>
              <w:t>roads</w:t>
            </w:r>
            <w:r>
              <w:rPr>
                <w:spacing w:val="-3"/>
                <w:sz w:val="20"/>
              </w:rPr>
              <w:t> </w:t>
            </w:r>
            <w:r>
              <w:rPr>
                <w:sz w:val="20"/>
              </w:rPr>
              <w:t>and</w:t>
            </w:r>
            <w:r>
              <w:rPr>
                <w:spacing w:val="-1"/>
                <w:sz w:val="20"/>
              </w:rPr>
              <w:t> </w:t>
            </w:r>
            <w:r>
              <w:rPr>
                <w:spacing w:val="-2"/>
                <w:sz w:val="20"/>
              </w:rPr>
              <w:t>drainages).</w:t>
            </w:r>
          </w:p>
        </w:tc>
      </w:tr>
      <w:tr>
        <w:trPr>
          <w:trHeight w:val="460" w:hRule="atLeast"/>
        </w:trPr>
        <w:tc>
          <w:tcPr>
            <w:tcW w:w="631" w:type="dxa"/>
          </w:tcPr>
          <w:p>
            <w:pPr>
              <w:pStyle w:val="TableParagraph"/>
              <w:spacing w:line="270" w:lineRule="exact"/>
              <w:ind w:left="107"/>
              <w:rPr>
                <w:sz w:val="24"/>
              </w:rPr>
            </w:pPr>
            <w:r>
              <w:rPr>
                <w:spacing w:val="-5"/>
                <w:sz w:val="24"/>
              </w:rPr>
              <w:t>34</w:t>
            </w:r>
          </w:p>
        </w:tc>
        <w:tc>
          <w:tcPr>
            <w:tcW w:w="3329" w:type="dxa"/>
          </w:tcPr>
          <w:p>
            <w:pPr>
              <w:pStyle w:val="TableParagraph"/>
              <w:spacing w:line="223" w:lineRule="exact"/>
              <w:ind w:left="105"/>
              <w:rPr>
                <w:sz w:val="20"/>
              </w:rPr>
            </w:pPr>
            <w:r>
              <w:rPr>
                <w:sz w:val="20"/>
              </w:rPr>
              <w:t>1,000</w:t>
            </w:r>
            <w:r>
              <w:rPr>
                <w:spacing w:val="-7"/>
                <w:sz w:val="20"/>
              </w:rPr>
              <w:t> </w:t>
            </w:r>
            <w:r>
              <w:rPr>
                <w:sz w:val="20"/>
              </w:rPr>
              <w:t>housing</w:t>
            </w:r>
            <w:r>
              <w:rPr>
                <w:spacing w:val="-6"/>
                <w:sz w:val="20"/>
              </w:rPr>
              <w:t> </w:t>
            </w:r>
            <w:r>
              <w:rPr>
                <w:sz w:val="20"/>
              </w:rPr>
              <w:t>units,</w:t>
            </w:r>
            <w:r>
              <w:rPr>
                <w:spacing w:val="-6"/>
                <w:sz w:val="20"/>
              </w:rPr>
              <w:t> </w:t>
            </w:r>
            <w:r>
              <w:rPr>
                <w:spacing w:val="-2"/>
                <w:sz w:val="20"/>
              </w:rPr>
              <w:t>Isiagu</w:t>
            </w:r>
          </w:p>
        </w:tc>
        <w:tc>
          <w:tcPr>
            <w:tcW w:w="1363" w:type="dxa"/>
          </w:tcPr>
          <w:p>
            <w:pPr>
              <w:pStyle w:val="TableParagraph"/>
              <w:spacing w:line="223" w:lineRule="exact"/>
              <w:ind w:left="108"/>
              <w:rPr>
                <w:sz w:val="20"/>
              </w:rPr>
            </w:pPr>
            <w:r>
              <w:rPr>
                <w:spacing w:val="-4"/>
                <w:sz w:val="20"/>
              </w:rPr>
              <w:t>1000</w:t>
            </w:r>
          </w:p>
        </w:tc>
        <w:tc>
          <w:tcPr>
            <w:tcW w:w="3814" w:type="dxa"/>
          </w:tcPr>
          <w:p>
            <w:pPr>
              <w:pStyle w:val="TableParagraph"/>
              <w:spacing w:line="223" w:lineRule="exact"/>
              <w:ind w:left="108"/>
              <w:rPr>
                <w:sz w:val="20"/>
              </w:rPr>
            </w:pPr>
            <w:r>
              <w:rPr>
                <w:sz w:val="20"/>
              </w:rPr>
              <w:t>Yet</w:t>
            </w:r>
            <w:r>
              <w:rPr>
                <w:spacing w:val="15"/>
                <w:sz w:val="20"/>
              </w:rPr>
              <w:t> </w:t>
            </w:r>
            <w:r>
              <w:rPr>
                <w:sz w:val="20"/>
              </w:rPr>
              <w:t>to</w:t>
            </w:r>
            <w:r>
              <w:rPr>
                <w:spacing w:val="16"/>
                <w:sz w:val="20"/>
              </w:rPr>
              <w:t> </w:t>
            </w:r>
            <w:r>
              <w:rPr>
                <w:sz w:val="20"/>
              </w:rPr>
              <w:t>kick-off,</w:t>
            </w:r>
            <w:r>
              <w:rPr>
                <w:spacing w:val="15"/>
                <w:sz w:val="20"/>
              </w:rPr>
              <w:t> </w:t>
            </w:r>
            <w:r>
              <w:rPr>
                <w:sz w:val="20"/>
              </w:rPr>
              <w:t>non-release</w:t>
            </w:r>
            <w:r>
              <w:rPr>
                <w:spacing w:val="15"/>
                <w:sz w:val="20"/>
              </w:rPr>
              <w:t> </w:t>
            </w:r>
            <w:r>
              <w:rPr>
                <w:sz w:val="20"/>
              </w:rPr>
              <w:t>of</w:t>
            </w:r>
            <w:r>
              <w:rPr>
                <w:spacing w:val="13"/>
                <w:sz w:val="20"/>
              </w:rPr>
              <w:t> </w:t>
            </w:r>
            <w:r>
              <w:rPr>
                <w:sz w:val="20"/>
              </w:rPr>
              <w:t>funds</w:t>
            </w:r>
            <w:r>
              <w:rPr>
                <w:spacing w:val="14"/>
                <w:sz w:val="20"/>
              </w:rPr>
              <w:t> </w:t>
            </w:r>
            <w:r>
              <w:rPr>
                <w:sz w:val="20"/>
              </w:rPr>
              <w:t>by</w:t>
            </w:r>
            <w:r>
              <w:rPr>
                <w:spacing w:val="12"/>
                <w:sz w:val="20"/>
              </w:rPr>
              <w:t> </w:t>
            </w:r>
            <w:r>
              <w:rPr>
                <w:spacing w:val="-5"/>
                <w:sz w:val="20"/>
              </w:rPr>
              <w:t>the</w:t>
            </w:r>
          </w:p>
          <w:p>
            <w:pPr>
              <w:pStyle w:val="TableParagraph"/>
              <w:spacing w:line="217" w:lineRule="exact"/>
              <w:ind w:left="108"/>
              <w:rPr>
                <w:sz w:val="20"/>
              </w:rPr>
            </w:pPr>
            <w:r>
              <w:rPr>
                <w:spacing w:val="-2"/>
                <w:sz w:val="20"/>
              </w:rPr>
              <w:t>Government.</w:t>
            </w:r>
          </w:p>
        </w:tc>
      </w:tr>
    </w:tbl>
    <w:p>
      <w:pPr>
        <w:pStyle w:val="BodyText"/>
        <w:spacing w:before="108"/>
        <w:ind w:left="240"/>
        <w:jc w:val="both"/>
      </w:pPr>
      <w:r>
        <w:rPr>
          <w:b/>
        </w:rPr>
        <w:t>Source:</w:t>
      </w:r>
      <w:r>
        <w:rPr>
          <w:b/>
          <w:spacing w:val="-4"/>
        </w:rPr>
        <w:t> </w:t>
      </w:r>
      <w:r>
        <w:rPr/>
        <w:t>Adopted from</w:t>
      </w:r>
      <w:r>
        <w:rPr>
          <w:spacing w:val="-1"/>
        </w:rPr>
        <w:t> </w:t>
      </w:r>
      <w:r>
        <w:rPr/>
        <w:t>Ugonabo</w:t>
      </w:r>
      <w:r>
        <w:rPr>
          <w:spacing w:val="2"/>
        </w:rPr>
        <w:t> </w:t>
      </w:r>
      <w:r>
        <w:rPr/>
        <w:t>and</w:t>
      </w:r>
      <w:r>
        <w:rPr>
          <w:spacing w:val="-1"/>
        </w:rPr>
        <w:t> </w:t>
      </w:r>
      <w:r>
        <w:rPr/>
        <w:t>Emoh (2013)</w:t>
      </w:r>
      <w:r>
        <w:rPr>
          <w:spacing w:val="1"/>
        </w:rPr>
        <w:t> </w:t>
      </w:r>
      <w:r>
        <w:rPr/>
        <w:t>and updated</w:t>
      </w:r>
      <w:r>
        <w:rPr>
          <w:spacing w:val="-1"/>
        </w:rPr>
        <w:t> </w:t>
      </w:r>
      <w:r>
        <w:rPr/>
        <w:t>by</w:t>
      </w:r>
      <w:r>
        <w:rPr>
          <w:spacing w:val="-5"/>
        </w:rPr>
        <w:t> </w:t>
      </w:r>
      <w:r>
        <w:rPr/>
        <w:t>the </w:t>
      </w:r>
      <w:r>
        <w:rPr>
          <w:spacing w:val="-2"/>
        </w:rPr>
        <w:t>researcher</w:t>
      </w:r>
    </w:p>
    <w:p>
      <w:pPr>
        <w:pStyle w:val="BodyText"/>
        <w:spacing w:before="141"/>
      </w:pPr>
    </w:p>
    <w:p>
      <w:pPr>
        <w:pStyle w:val="BodyText"/>
        <w:spacing w:line="360" w:lineRule="auto"/>
        <w:ind w:left="240" w:right="839"/>
        <w:jc w:val="both"/>
      </w:pPr>
      <w:r>
        <w:rPr/>
        <w:t>Obunadike (2003); Ikejiofor (2005); Omeife (2012); Ugonabo and Emoh (2013) surmise that in spite of the policies, institutions and regulations which the Anambra State Government have put in place, the task of instituting efficient, effective, affordable and sustainable housing delivery processes continues to challenge policy makers even as the problems of the housing sector worsens. These are attributable to a number of peculiar challenge, which include: lack of secure access to land, high cost of construction, limited access to finance, bureaucratic procedures, high cost of land registration and titling, uncoordinated policies and implementation at State level, ownership rights under the Land Use Act, lack of critical infrastructure like roads, affordability gap, inefficient development control, youths harassment of developers, inelegant revocation and </w:t>
      </w:r>
      <w:r>
        <w:rPr>
          <w:spacing w:val="-2"/>
        </w:rPr>
        <w:t>compensation.</w:t>
      </w:r>
    </w:p>
    <w:p>
      <w:pPr>
        <w:pStyle w:val="BodyText"/>
        <w:spacing w:line="360" w:lineRule="auto" w:before="275"/>
        <w:ind w:left="240" w:right="835"/>
        <w:jc w:val="both"/>
      </w:pPr>
      <w:r>
        <w:rPr/>
        <w:t>It is pertinent to note that most of the projects shown in table 3.17 are site and services scheme; where the Government acquires the land and sells to individuals at prices which are often exorbitant. These individuals then develop their houses in accordance with the design and regulations stipulated by the Government. The only completed housing schemes executed in the history of Anambra State which was during the military regime (i.e before 1999) are as follows: Government</w:t>
      </w:r>
      <w:r>
        <w:rPr>
          <w:spacing w:val="62"/>
        </w:rPr>
        <w:t> </w:t>
      </w:r>
      <w:r>
        <w:rPr/>
        <w:t>Real</w:t>
      </w:r>
      <w:r>
        <w:rPr>
          <w:spacing w:val="64"/>
        </w:rPr>
        <w:t> </w:t>
      </w:r>
      <w:r>
        <w:rPr/>
        <w:t>estate,</w:t>
      </w:r>
      <w:r>
        <w:rPr>
          <w:spacing w:val="63"/>
        </w:rPr>
        <w:t> </w:t>
      </w:r>
      <w:r>
        <w:rPr/>
        <w:t>Awka</w:t>
      </w:r>
      <w:r>
        <w:rPr>
          <w:spacing w:val="65"/>
        </w:rPr>
        <w:t> </w:t>
      </w:r>
      <w:r>
        <w:rPr/>
        <w:t>(1992);</w:t>
      </w:r>
      <w:r>
        <w:rPr>
          <w:spacing w:val="64"/>
        </w:rPr>
        <w:t> </w:t>
      </w:r>
      <w:r>
        <w:rPr/>
        <w:t>Niger</w:t>
      </w:r>
      <w:r>
        <w:rPr>
          <w:spacing w:val="65"/>
        </w:rPr>
        <w:t> </w:t>
      </w:r>
      <w:r>
        <w:rPr/>
        <w:t>Bridge</w:t>
      </w:r>
      <w:r>
        <w:rPr>
          <w:spacing w:val="64"/>
        </w:rPr>
        <w:t> </w:t>
      </w:r>
      <w:r>
        <w:rPr/>
        <w:t>Head</w:t>
      </w:r>
      <w:r>
        <w:rPr>
          <w:spacing w:val="63"/>
        </w:rPr>
        <w:t> </w:t>
      </w:r>
      <w:r>
        <w:rPr/>
        <w:t>Housing</w:t>
      </w:r>
      <w:r>
        <w:rPr>
          <w:spacing w:val="61"/>
        </w:rPr>
        <w:t> </w:t>
      </w:r>
      <w:r>
        <w:rPr/>
        <w:t>estate,</w:t>
      </w:r>
      <w:r>
        <w:rPr>
          <w:spacing w:val="64"/>
        </w:rPr>
        <w:t> </w:t>
      </w:r>
      <w:r>
        <w:rPr>
          <w:spacing w:val="-2"/>
        </w:rPr>
        <w:t>Onitsha(1992);</w:t>
      </w:r>
    </w:p>
    <w:p>
      <w:pPr>
        <w:spacing w:after="0" w:line="360" w:lineRule="auto"/>
        <w:jc w:val="both"/>
        <w:sectPr>
          <w:type w:val="continuous"/>
          <w:pgSz w:w="12240" w:h="15840"/>
          <w:pgMar w:header="0" w:footer="1036" w:top="1420" w:bottom="1220" w:left="1200" w:right="600"/>
        </w:sectPr>
      </w:pPr>
    </w:p>
    <w:p>
      <w:pPr>
        <w:pStyle w:val="BodyText"/>
        <w:spacing w:line="360" w:lineRule="auto" w:before="74"/>
        <w:ind w:left="240" w:right="840"/>
        <w:jc w:val="both"/>
      </w:pPr>
      <w:r>
        <w:rPr/>
        <w:t>Iyiagu</w:t>
      </w:r>
      <w:r>
        <w:rPr>
          <w:spacing w:val="-1"/>
        </w:rPr>
        <w:t> </w:t>
      </w:r>
      <w:r>
        <w:rPr/>
        <w:t>Housing</w:t>
      </w:r>
      <w:r>
        <w:rPr>
          <w:spacing w:val="-6"/>
        </w:rPr>
        <w:t> </w:t>
      </w:r>
      <w:r>
        <w:rPr/>
        <w:t>estate,</w:t>
      </w:r>
      <w:r>
        <w:rPr>
          <w:spacing w:val="-1"/>
        </w:rPr>
        <w:t> </w:t>
      </w:r>
      <w:r>
        <w:rPr/>
        <w:t>Awka</w:t>
      </w:r>
      <w:r>
        <w:rPr>
          <w:spacing w:val="-5"/>
        </w:rPr>
        <w:t> </w:t>
      </w:r>
      <w:r>
        <w:rPr/>
        <w:t>(1995)</w:t>
      </w:r>
      <w:r>
        <w:rPr>
          <w:spacing w:val="-2"/>
        </w:rPr>
        <w:t> </w:t>
      </w:r>
      <w:r>
        <w:rPr/>
        <w:t>and</w:t>
      </w:r>
      <w:r>
        <w:rPr>
          <w:spacing w:val="-3"/>
        </w:rPr>
        <w:t> </w:t>
      </w:r>
      <w:r>
        <w:rPr/>
        <w:t>Ahocol</w:t>
      </w:r>
      <w:r>
        <w:rPr>
          <w:spacing w:val="-1"/>
        </w:rPr>
        <w:t> </w:t>
      </w:r>
      <w:r>
        <w:rPr/>
        <w:t>Estate</w:t>
      </w:r>
      <w:r>
        <w:rPr>
          <w:spacing w:val="-4"/>
        </w:rPr>
        <w:t> </w:t>
      </w:r>
      <w:r>
        <w:rPr/>
        <w:t>(1998)</w:t>
      </w:r>
      <w:r>
        <w:rPr>
          <w:spacing w:val="-4"/>
        </w:rPr>
        <w:t> </w:t>
      </w:r>
      <w:r>
        <w:rPr/>
        <w:t>which</w:t>
      </w:r>
      <w:r>
        <w:rPr>
          <w:spacing w:val="-3"/>
        </w:rPr>
        <w:t> </w:t>
      </w:r>
      <w:r>
        <w:rPr/>
        <w:t>are</w:t>
      </w:r>
      <w:r>
        <w:rPr>
          <w:spacing w:val="-4"/>
        </w:rPr>
        <w:t> </w:t>
      </w:r>
      <w:r>
        <w:rPr/>
        <w:t>either</w:t>
      </w:r>
      <w:r>
        <w:rPr>
          <w:spacing w:val="-3"/>
        </w:rPr>
        <w:t> </w:t>
      </w:r>
      <w:r>
        <w:rPr/>
        <w:t>sold</w:t>
      </w:r>
      <w:r>
        <w:rPr>
          <w:spacing w:val="-3"/>
        </w:rPr>
        <w:t> </w:t>
      </w:r>
      <w:r>
        <w:rPr/>
        <w:t>or</w:t>
      </w:r>
      <w:r>
        <w:rPr>
          <w:spacing w:val="-4"/>
        </w:rPr>
        <w:t> </w:t>
      </w:r>
      <w:r>
        <w:rPr/>
        <w:t>rented</w:t>
      </w:r>
      <w:r>
        <w:rPr>
          <w:spacing w:val="-3"/>
        </w:rPr>
        <w:t> </w:t>
      </w:r>
      <w:r>
        <w:rPr/>
        <w:t>out by the State Government.</w:t>
      </w:r>
      <w:r>
        <w:rPr>
          <w:spacing w:val="40"/>
        </w:rPr>
        <w:t> </w:t>
      </w:r>
      <w:r>
        <w:rPr/>
        <w:t>What essentially drove the realization of these schemes was because Anambra State was just created (in 1991) from Enugu State and they was need for civil servants to have accommodations (E. Nonso, personal communication, March 15, 2017). Sadly, the budgets and actual amounts spent on these projects cannot be determined till date because no form of budget guideline or law was used or adhered to by military.</w:t>
      </w:r>
    </w:p>
    <w:p>
      <w:pPr>
        <w:pStyle w:val="BodyText"/>
        <w:spacing w:before="262"/>
      </w:pPr>
    </w:p>
    <w:p>
      <w:pPr>
        <w:pStyle w:val="Heading4"/>
        <w:numPr>
          <w:ilvl w:val="2"/>
          <w:numId w:val="27"/>
        </w:numPr>
        <w:tabs>
          <w:tab w:pos="720" w:val="left" w:leader="none"/>
        </w:tabs>
        <w:spacing w:line="240" w:lineRule="auto" w:before="0" w:after="0"/>
        <w:ind w:left="720" w:right="0" w:hanging="480"/>
        <w:jc w:val="both"/>
        <w:rPr>
          <w:sz w:val="22"/>
        </w:rPr>
      </w:pPr>
      <w:r>
        <w:rPr/>
        <w:t>`</w:t>
      </w:r>
      <w:r>
        <w:rPr>
          <w:spacing w:val="-3"/>
        </w:rPr>
        <w:t> </w:t>
      </w:r>
      <w:r>
        <w:rPr/>
        <w:t>Budget</w:t>
      </w:r>
      <w:r>
        <w:rPr>
          <w:spacing w:val="-2"/>
        </w:rPr>
        <w:t> </w:t>
      </w:r>
      <w:r>
        <w:rPr/>
        <w:t>Practices of</w:t>
      </w:r>
      <w:r>
        <w:rPr>
          <w:spacing w:val="-2"/>
        </w:rPr>
        <w:t> </w:t>
      </w:r>
      <w:r>
        <w:rPr/>
        <w:t>Anambra</w:t>
      </w:r>
      <w:r>
        <w:rPr>
          <w:spacing w:val="-1"/>
        </w:rPr>
        <w:t> </w:t>
      </w:r>
      <w:r>
        <w:rPr>
          <w:spacing w:val="-2"/>
        </w:rPr>
        <w:t>State</w:t>
      </w:r>
    </w:p>
    <w:p>
      <w:pPr>
        <w:pStyle w:val="BodyText"/>
        <w:spacing w:line="360" w:lineRule="auto" w:before="135"/>
        <w:ind w:left="240" w:right="839"/>
        <w:jc w:val="both"/>
      </w:pPr>
      <w:r>
        <w:rPr/>
        <w:t>Provision of infrastructural amenities for the citizens of Anambra State is made possible via annual budget allocations. The Ministry</w:t>
      </w:r>
      <w:r>
        <w:rPr>
          <w:spacing w:val="-1"/>
        </w:rPr>
        <w:t> </w:t>
      </w:r>
      <w:r>
        <w:rPr/>
        <w:t>of Budget and Economic Planning (2015) states that the Anambra State government budget calendar allows ministries, departments and agencies</w:t>
      </w:r>
      <w:r>
        <w:rPr>
          <w:spacing w:val="40"/>
        </w:rPr>
        <w:t> </w:t>
      </w:r>
      <w:r>
        <w:rPr/>
        <w:t>(MDAs) at least six weeks from receipt of the budget circular to meaningfully complete their detailed proposals The budget estimates completed in all details by the MDAs are reviewed by the Executive Council and passed to the State House of Assembly for legislation and subsequently accented to by the Executive Governor. Therefore executive and legislatures intervention occur after finalization of the estimates by the MDAs.</w:t>
      </w:r>
    </w:p>
    <w:p>
      <w:pPr>
        <w:pStyle w:val="BodyText"/>
        <w:spacing w:before="1"/>
      </w:pPr>
    </w:p>
    <w:p>
      <w:pPr>
        <w:pStyle w:val="BodyText"/>
        <w:spacing w:line="360" w:lineRule="auto"/>
        <w:ind w:left="240" w:right="844"/>
        <w:jc w:val="both"/>
      </w:pPr>
      <w:r>
        <w:rPr/>
        <w:t>The financial budget year for all levels of government in Nigeria (federal, state and local government) runs from the 1 January to 31 December and Anambra State has a budget calendar consistent with the financial budget year. The budget timetable is as follows:</w:t>
      </w:r>
    </w:p>
    <w:p>
      <w:pPr>
        <w:pStyle w:val="ListParagraph"/>
        <w:numPr>
          <w:ilvl w:val="3"/>
          <w:numId w:val="27"/>
        </w:numPr>
        <w:tabs>
          <w:tab w:pos="959" w:val="left" w:leader="none"/>
        </w:tabs>
        <w:spacing w:line="275" w:lineRule="exact" w:before="0" w:after="0"/>
        <w:ind w:left="959" w:right="0" w:hanging="359"/>
        <w:jc w:val="both"/>
        <w:rPr>
          <w:sz w:val="24"/>
        </w:rPr>
      </w:pPr>
      <w:r>
        <w:rPr>
          <w:sz w:val="24"/>
        </w:rPr>
        <w:t>Preparation</w:t>
      </w:r>
      <w:r>
        <w:rPr>
          <w:spacing w:val="-1"/>
          <w:sz w:val="24"/>
        </w:rPr>
        <w:t> </w:t>
      </w:r>
      <w:r>
        <w:rPr>
          <w:sz w:val="24"/>
        </w:rPr>
        <w:t>of</w:t>
      </w:r>
      <w:r>
        <w:rPr>
          <w:spacing w:val="-2"/>
          <w:sz w:val="24"/>
        </w:rPr>
        <w:t> </w:t>
      </w:r>
      <w:r>
        <w:rPr>
          <w:sz w:val="24"/>
        </w:rPr>
        <w:t>Sector policies</w:t>
      </w:r>
      <w:r>
        <w:rPr>
          <w:spacing w:val="-1"/>
          <w:sz w:val="24"/>
        </w:rPr>
        <w:t> </w:t>
      </w:r>
      <w:r>
        <w:rPr>
          <w:sz w:val="24"/>
        </w:rPr>
        <w:t>and limits –</w:t>
      </w:r>
      <w:r>
        <w:rPr>
          <w:spacing w:val="-3"/>
          <w:sz w:val="24"/>
        </w:rPr>
        <w:t> </w:t>
      </w:r>
      <w:r>
        <w:rPr>
          <w:spacing w:val="-4"/>
          <w:sz w:val="24"/>
        </w:rPr>
        <w:t>July</w:t>
      </w:r>
    </w:p>
    <w:p>
      <w:pPr>
        <w:pStyle w:val="ListParagraph"/>
        <w:numPr>
          <w:ilvl w:val="3"/>
          <w:numId w:val="27"/>
        </w:numPr>
        <w:tabs>
          <w:tab w:pos="959" w:val="left" w:leader="none"/>
        </w:tabs>
        <w:spacing w:line="240" w:lineRule="auto" w:before="139" w:after="0"/>
        <w:ind w:left="959" w:right="0" w:hanging="359"/>
        <w:jc w:val="left"/>
        <w:rPr>
          <w:sz w:val="24"/>
        </w:rPr>
      </w:pPr>
      <w:r>
        <w:rPr>
          <w:sz w:val="24"/>
        </w:rPr>
        <w:t>Issuance</w:t>
      </w:r>
      <w:r>
        <w:rPr>
          <w:spacing w:val="-3"/>
          <w:sz w:val="24"/>
        </w:rPr>
        <w:t> </w:t>
      </w:r>
      <w:r>
        <w:rPr>
          <w:sz w:val="24"/>
        </w:rPr>
        <w:t>of</w:t>
      </w:r>
      <w:r>
        <w:rPr>
          <w:spacing w:val="-1"/>
          <w:sz w:val="24"/>
        </w:rPr>
        <w:t> </w:t>
      </w:r>
      <w:r>
        <w:rPr>
          <w:sz w:val="24"/>
        </w:rPr>
        <w:t>Call</w:t>
      </w:r>
      <w:r>
        <w:rPr>
          <w:spacing w:val="-1"/>
          <w:sz w:val="24"/>
        </w:rPr>
        <w:t> </w:t>
      </w:r>
      <w:r>
        <w:rPr>
          <w:sz w:val="24"/>
        </w:rPr>
        <w:t>circular reflecting</w:t>
      </w:r>
      <w:r>
        <w:rPr>
          <w:spacing w:val="-2"/>
          <w:sz w:val="24"/>
        </w:rPr>
        <w:t> </w:t>
      </w:r>
      <w:r>
        <w:rPr>
          <w:sz w:val="24"/>
        </w:rPr>
        <w:t>agreed</w:t>
      </w:r>
      <w:r>
        <w:rPr>
          <w:spacing w:val="-1"/>
          <w:sz w:val="24"/>
        </w:rPr>
        <w:t> </w:t>
      </w:r>
      <w:r>
        <w:rPr>
          <w:sz w:val="24"/>
        </w:rPr>
        <w:t>policies &amp;</w:t>
      </w:r>
      <w:r>
        <w:rPr>
          <w:spacing w:val="-3"/>
          <w:sz w:val="24"/>
        </w:rPr>
        <w:t> </w:t>
      </w:r>
      <w:r>
        <w:rPr>
          <w:sz w:val="24"/>
        </w:rPr>
        <w:t>limits</w:t>
      </w:r>
      <w:r>
        <w:rPr>
          <w:spacing w:val="5"/>
          <w:sz w:val="24"/>
        </w:rPr>
        <w:t> </w:t>
      </w:r>
      <w:r>
        <w:rPr>
          <w:sz w:val="24"/>
        </w:rPr>
        <w:t>-</w:t>
      </w:r>
      <w:r>
        <w:rPr>
          <w:spacing w:val="-2"/>
          <w:sz w:val="24"/>
        </w:rPr>
        <w:t> </w:t>
      </w:r>
      <w:r>
        <w:rPr>
          <w:sz w:val="24"/>
        </w:rPr>
        <w:t>1st</w:t>
      </w:r>
      <w:r>
        <w:rPr>
          <w:spacing w:val="-1"/>
          <w:sz w:val="24"/>
        </w:rPr>
        <w:t> </w:t>
      </w:r>
      <w:r>
        <w:rPr>
          <w:spacing w:val="-2"/>
          <w:sz w:val="24"/>
        </w:rPr>
        <w:t>August</w:t>
      </w:r>
    </w:p>
    <w:p>
      <w:pPr>
        <w:pStyle w:val="ListParagraph"/>
        <w:numPr>
          <w:ilvl w:val="3"/>
          <w:numId w:val="27"/>
        </w:numPr>
        <w:tabs>
          <w:tab w:pos="959" w:val="left" w:leader="none"/>
        </w:tabs>
        <w:spacing w:line="240" w:lineRule="auto" w:before="137" w:after="0"/>
        <w:ind w:left="959" w:right="0" w:hanging="359"/>
        <w:jc w:val="left"/>
        <w:rPr>
          <w:sz w:val="24"/>
        </w:rPr>
      </w:pPr>
      <w:r>
        <w:rPr>
          <w:sz w:val="24"/>
        </w:rPr>
        <w:t>Submission</w:t>
      </w:r>
      <w:r>
        <w:rPr>
          <w:spacing w:val="-1"/>
          <w:sz w:val="24"/>
        </w:rPr>
        <w:t> </w:t>
      </w:r>
      <w:r>
        <w:rPr>
          <w:sz w:val="24"/>
        </w:rPr>
        <w:t>of</w:t>
      </w:r>
      <w:r>
        <w:rPr>
          <w:spacing w:val="-1"/>
          <w:sz w:val="24"/>
        </w:rPr>
        <w:t> </w:t>
      </w:r>
      <w:r>
        <w:rPr>
          <w:sz w:val="24"/>
        </w:rPr>
        <w:t>Proposals</w:t>
      </w:r>
      <w:r>
        <w:rPr>
          <w:spacing w:val="-2"/>
          <w:sz w:val="24"/>
        </w:rPr>
        <w:t> </w:t>
      </w:r>
      <w:r>
        <w:rPr>
          <w:sz w:val="24"/>
        </w:rPr>
        <w:t>by</w:t>
      </w:r>
      <w:r>
        <w:rPr>
          <w:spacing w:val="-5"/>
          <w:sz w:val="24"/>
        </w:rPr>
        <w:t> </w:t>
      </w:r>
      <w:r>
        <w:rPr>
          <w:sz w:val="24"/>
        </w:rPr>
        <w:t>MDAs</w:t>
      </w:r>
      <w:r>
        <w:rPr>
          <w:spacing w:val="4"/>
          <w:sz w:val="24"/>
        </w:rPr>
        <w:t> </w:t>
      </w:r>
      <w:r>
        <w:rPr>
          <w:sz w:val="24"/>
        </w:rPr>
        <w:t>-</w:t>
      </w:r>
      <w:r>
        <w:rPr>
          <w:spacing w:val="-1"/>
          <w:sz w:val="24"/>
        </w:rPr>
        <w:t> </w:t>
      </w:r>
      <w:r>
        <w:rPr>
          <w:sz w:val="24"/>
        </w:rPr>
        <w:t>Mid </w:t>
      </w:r>
      <w:r>
        <w:rPr>
          <w:spacing w:val="-2"/>
          <w:sz w:val="24"/>
        </w:rPr>
        <w:t>September</w:t>
      </w:r>
    </w:p>
    <w:p>
      <w:pPr>
        <w:pStyle w:val="ListParagraph"/>
        <w:numPr>
          <w:ilvl w:val="3"/>
          <w:numId w:val="27"/>
        </w:numPr>
        <w:tabs>
          <w:tab w:pos="959" w:val="left" w:leader="none"/>
        </w:tabs>
        <w:spacing w:line="240" w:lineRule="auto" w:before="139" w:after="0"/>
        <w:ind w:left="959" w:right="0" w:hanging="359"/>
        <w:jc w:val="left"/>
        <w:rPr>
          <w:sz w:val="24"/>
        </w:rPr>
      </w:pPr>
      <w:r>
        <w:rPr>
          <w:sz w:val="24"/>
        </w:rPr>
        <w:t>Bilateral</w:t>
      </w:r>
      <w:r>
        <w:rPr>
          <w:spacing w:val="-4"/>
          <w:sz w:val="24"/>
        </w:rPr>
        <w:t> </w:t>
      </w:r>
      <w:r>
        <w:rPr>
          <w:sz w:val="24"/>
        </w:rPr>
        <w:t>discussions</w:t>
      </w:r>
      <w:r>
        <w:rPr>
          <w:spacing w:val="-2"/>
          <w:sz w:val="24"/>
        </w:rPr>
        <w:t> </w:t>
      </w:r>
      <w:r>
        <w:rPr>
          <w:sz w:val="24"/>
        </w:rPr>
        <w:t>and</w:t>
      </w:r>
      <w:r>
        <w:rPr>
          <w:spacing w:val="-1"/>
          <w:sz w:val="24"/>
        </w:rPr>
        <w:t> </w:t>
      </w:r>
      <w:r>
        <w:rPr>
          <w:sz w:val="24"/>
        </w:rPr>
        <w:t>defense</w:t>
      </w:r>
      <w:r>
        <w:rPr>
          <w:spacing w:val="-2"/>
          <w:sz w:val="24"/>
        </w:rPr>
        <w:t> </w:t>
      </w:r>
      <w:r>
        <w:rPr>
          <w:sz w:val="24"/>
        </w:rPr>
        <w:t>of</w:t>
      </w:r>
      <w:r>
        <w:rPr>
          <w:spacing w:val="-1"/>
          <w:sz w:val="24"/>
        </w:rPr>
        <w:t> </w:t>
      </w:r>
      <w:r>
        <w:rPr>
          <w:sz w:val="24"/>
        </w:rPr>
        <w:t>proposals</w:t>
      </w:r>
      <w:r>
        <w:rPr>
          <w:spacing w:val="1"/>
          <w:sz w:val="24"/>
        </w:rPr>
        <w:t> </w:t>
      </w:r>
      <w:r>
        <w:rPr>
          <w:sz w:val="24"/>
        </w:rPr>
        <w:t>–</w:t>
      </w:r>
      <w:r>
        <w:rPr>
          <w:spacing w:val="-1"/>
          <w:sz w:val="24"/>
        </w:rPr>
        <w:t> </w:t>
      </w:r>
      <w:r>
        <w:rPr>
          <w:spacing w:val="-2"/>
          <w:sz w:val="24"/>
        </w:rPr>
        <w:t>September</w:t>
      </w:r>
    </w:p>
    <w:p>
      <w:pPr>
        <w:pStyle w:val="ListParagraph"/>
        <w:numPr>
          <w:ilvl w:val="3"/>
          <w:numId w:val="27"/>
        </w:numPr>
        <w:tabs>
          <w:tab w:pos="960" w:val="left" w:leader="none"/>
        </w:tabs>
        <w:spacing w:line="362" w:lineRule="auto" w:before="137" w:after="0"/>
        <w:ind w:left="960" w:right="838" w:hanging="360"/>
        <w:jc w:val="left"/>
        <w:rPr>
          <w:sz w:val="24"/>
        </w:rPr>
      </w:pPr>
      <w:r>
        <w:rPr>
          <w:sz w:val="24"/>
        </w:rPr>
        <w:t>Consolidation</w:t>
      </w:r>
      <w:r>
        <w:rPr>
          <w:spacing w:val="35"/>
          <w:sz w:val="24"/>
        </w:rPr>
        <w:t> </w:t>
      </w:r>
      <w:r>
        <w:rPr>
          <w:sz w:val="24"/>
        </w:rPr>
        <w:t>of</w:t>
      </w:r>
      <w:r>
        <w:rPr>
          <w:spacing w:val="34"/>
          <w:sz w:val="24"/>
        </w:rPr>
        <w:t> </w:t>
      </w:r>
      <w:r>
        <w:rPr>
          <w:sz w:val="24"/>
        </w:rPr>
        <w:t>proposals</w:t>
      </w:r>
      <w:r>
        <w:rPr>
          <w:spacing w:val="35"/>
          <w:sz w:val="24"/>
        </w:rPr>
        <w:t> </w:t>
      </w:r>
      <w:r>
        <w:rPr>
          <w:sz w:val="24"/>
        </w:rPr>
        <w:t>by</w:t>
      </w:r>
      <w:r>
        <w:rPr>
          <w:spacing w:val="30"/>
          <w:sz w:val="24"/>
        </w:rPr>
        <w:t> </w:t>
      </w:r>
      <w:r>
        <w:rPr>
          <w:sz w:val="24"/>
        </w:rPr>
        <w:t>Ministry</w:t>
      </w:r>
      <w:r>
        <w:rPr>
          <w:spacing w:val="30"/>
          <w:sz w:val="24"/>
        </w:rPr>
        <w:t> </w:t>
      </w:r>
      <w:r>
        <w:rPr>
          <w:sz w:val="24"/>
        </w:rPr>
        <w:t>of</w:t>
      </w:r>
      <w:r>
        <w:rPr>
          <w:spacing w:val="36"/>
          <w:sz w:val="24"/>
        </w:rPr>
        <w:t> </w:t>
      </w:r>
      <w:r>
        <w:rPr>
          <w:sz w:val="24"/>
        </w:rPr>
        <w:t>Budget</w:t>
      </w:r>
      <w:r>
        <w:rPr>
          <w:spacing w:val="35"/>
          <w:sz w:val="24"/>
        </w:rPr>
        <w:t> </w:t>
      </w:r>
      <w:r>
        <w:rPr>
          <w:sz w:val="24"/>
        </w:rPr>
        <w:t>and</w:t>
      </w:r>
      <w:r>
        <w:rPr>
          <w:spacing w:val="35"/>
          <w:sz w:val="24"/>
        </w:rPr>
        <w:t> </w:t>
      </w:r>
      <w:r>
        <w:rPr>
          <w:sz w:val="24"/>
        </w:rPr>
        <w:t>Economic</w:t>
      </w:r>
      <w:r>
        <w:rPr>
          <w:spacing w:val="34"/>
          <w:sz w:val="24"/>
        </w:rPr>
        <w:t> </w:t>
      </w:r>
      <w:r>
        <w:rPr>
          <w:sz w:val="24"/>
        </w:rPr>
        <w:t>Planning</w:t>
      </w:r>
      <w:r>
        <w:rPr>
          <w:spacing w:val="32"/>
          <w:sz w:val="24"/>
        </w:rPr>
        <w:t> </w:t>
      </w:r>
      <w:r>
        <w:rPr>
          <w:sz w:val="24"/>
        </w:rPr>
        <w:t>Dept</w:t>
      </w:r>
      <w:r>
        <w:rPr>
          <w:spacing w:val="37"/>
          <w:sz w:val="24"/>
        </w:rPr>
        <w:t> </w:t>
      </w:r>
      <w:r>
        <w:rPr>
          <w:sz w:val="24"/>
        </w:rPr>
        <w:t>-</w:t>
      </w:r>
      <w:r>
        <w:rPr>
          <w:spacing w:val="34"/>
          <w:sz w:val="24"/>
        </w:rPr>
        <w:t> </w:t>
      </w:r>
      <w:r>
        <w:rPr>
          <w:sz w:val="24"/>
        </w:rPr>
        <w:t>3rd week of Oct</w:t>
      </w:r>
    </w:p>
    <w:p>
      <w:pPr>
        <w:pStyle w:val="ListParagraph"/>
        <w:numPr>
          <w:ilvl w:val="3"/>
          <w:numId w:val="27"/>
        </w:numPr>
        <w:tabs>
          <w:tab w:pos="958" w:val="left" w:leader="none"/>
        </w:tabs>
        <w:spacing w:line="271" w:lineRule="exact" w:before="0" w:after="0"/>
        <w:ind w:left="958" w:right="0" w:hanging="358"/>
        <w:jc w:val="left"/>
        <w:rPr>
          <w:sz w:val="24"/>
        </w:rPr>
      </w:pPr>
      <w:r>
        <w:rPr>
          <w:sz w:val="24"/>
        </w:rPr>
        <w:t>Executive</w:t>
      </w:r>
      <w:r>
        <w:rPr>
          <w:spacing w:val="-2"/>
          <w:sz w:val="24"/>
        </w:rPr>
        <w:t> </w:t>
      </w:r>
      <w:r>
        <w:rPr>
          <w:sz w:val="24"/>
        </w:rPr>
        <w:t>Council</w:t>
      </w:r>
      <w:r>
        <w:rPr>
          <w:spacing w:val="-1"/>
          <w:sz w:val="24"/>
        </w:rPr>
        <w:t> </w:t>
      </w:r>
      <w:r>
        <w:rPr>
          <w:sz w:val="24"/>
        </w:rPr>
        <w:t>approval</w:t>
      </w:r>
      <w:r>
        <w:rPr>
          <w:spacing w:val="-1"/>
          <w:sz w:val="24"/>
        </w:rPr>
        <w:t> </w:t>
      </w:r>
      <w:r>
        <w:rPr>
          <w:sz w:val="24"/>
        </w:rPr>
        <w:t>of</w:t>
      </w:r>
      <w:r>
        <w:rPr>
          <w:spacing w:val="-1"/>
          <w:sz w:val="24"/>
        </w:rPr>
        <w:t> </w:t>
      </w:r>
      <w:r>
        <w:rPr>
          <w:sz w:val="24"/>
        </w:rPr>
        <w:t>draft</w:t>
      </w:r>
      <w:r>
        <w:rPr>
          <w:spacing w:val="-1"/>
          <w:sz w:val="24"/>
        </w:rPr>
        <w:t> </w:t>
      </w:r>
      <w:r>
        <w:rPr>
          <w:sz w:val="24"/>
        </w:rPr>
        <w:t>proposal</w:t>
      </w:r>
      <w:r>
        <w:rPr>
          <w:spacing w:val="2"/>
          <w:sz w:val="24"/>
        </w:rPr>
        <w:t> </w:t>
      </w:r>
      <w:r>
        <w:rPr>
          <w:sz w:val="24"/>
        </w:rPr>
        <w:t>-</w:t>
      </w:r>
      <w:r>
        <w:rPr>
          <w:spacing w:val="-2"/>
          <w:sz w:val="24"/>
        </w:rPr>
        <w:t> </w:t>
      </w:r>
      <w:r>
        <w:rPr>
          <w:sz w:val="24"/>
        </w:rPr>
        <w:t>last</w:t>
      </w:r>
      <w:r>
        <w:rPr>
          <w:spacing w:val="-1"/>
          <w:sz w:val="24"/>
        </w:rPr>
        <w:t> </w:t>
      </w:r>
      <w:r>
        <w:rPr>
          <w:sz w:val="24"/>
        </w:rPr>
        <w:t>week</w:t>
      </w:r>
      <w:r>
        <w:rPr>
          <w:spacing w:val="-1"/>
          <w:sz w:val="24"/>
        </w:rPr>
        <w:t> </w:t>
      </w:r>
      <w:r>
        <w:rPr>
          <w:sz w:val="24"/>
        </w:rPr>
        <w:t>of </w:t>
      </w:r>
      <w:r>
        <w:rPr>
          <w:spacing w:val="-5"/>
          <w:sz w:val="24"/>
        </w:rPr>
        <w:t>Oct</w:t>
      </w:r>
    </w:p>
    <w:p>
      <w:pPr>
        <w:pStyle w:val="ListParagraph"/>
        <w:numPr>
          <w:ilvl w:val="3"/>
          <w:numId w:val="27"/>
        </w:numPr>
        <w:tabs>
          <w:tab w:pos="959" w:val="left" w:leader="none"/>
        </w:tabs>
        <w:spacing w:line="240" w:lineRule="auto" w:before="139" w:after="0"/>
        <w:ind w:left="959" w:right="0" w:hanging="359"/>
        <w:jc w:val="left"/>
        <w:rPr>
          <w:sz w:val="24"/>
        </w:rPr>
      </w:pPr>
      <w:r>
        <w:rPr>
          <w:sz w:val="24"/>
        </w:rPr>
        <w:t>Presentation</w:t>
      </w:r>
      <w:r>
        <w:rPr>
          <w:spacing w:val="-1"/>
          <w:sz w:val="24"/>
        </w:rPr>
        <w:t> </w:t>
      </w:r>
      <w:r>
        <w:rPr>
          <w:sz w:val="24"/>
        </w:rPr>
        <w:t>of draft</w:t>
      </w:r>
      <w:r>
        <w:rPr>
          <w:spacing w:val="-1"/>
          <w:sz w:val="24"/>
        </w:rPr>
        <w:t> </w:t>
      </w:r>
      <w:r>
        <w:rPr>
          <w:sz w:val="24"/>
        </w:rPr>
        <w:t>budget to</w:t>
      </w:r>
      <w:r>
        <w:rPr>
          <w:spacing w:val="-1"/>
          <w:sz w:val="24"/>
        </w:rPr>
        <w:t> </w:t>
      </w:r>
      <w:r>
        <w:rPr>
          <w:sz w:val="24"/>
        </w:rPr>
        <w:t>House</w:t>
      </w:r>
      <w:r>
        <w:rPr>
          <w:spacing w:val="-1"/>
          <w:sz w:val="24"/>
        </w:rPr>
        <w:t> </w:t>
      </w:r>
      <w:r>
        <w:rPr>
          <w:sz w:val="24"/>
        </w:rPr>
        <w:t>of</w:t>
      </w:r>
      <w:r>
        <w:rPr>
          <w:spacing w:val="-1"/>
          <w:sz w:val="24"/>
        </w:rPr>
        <w:t> </w:t>
      </w:r>
      <w:r>
        <w:rPr>
          <w:sz w:val="24"/>
        </w:rPr>
        <w:t>Assembly -</w:t>
      </w:r>
      <w:r>
        <w:rPr>
          <w:spacing w:val="-2"/>
          <w:sz w:val="24"/>
        </w:rPr>
        <w:t> </w:t>
      </w:r>
      <w:r>
        <w:rPr>
          <w:sz w:val="24"/>
        </w:rPr>
        <w:t>1st week</w:t>
      </w:r>
      <w:r>
        <w:rPr>
          <w:spacing w:val="-1"/>
          <w:sz w:val="24"/>
        </w:rPr>
        <w:t> </w:t>
      </w:r>
      <w:r>
        <w:rPr>
          <w:sz w:val="24"/>
        </w:rPr>
        <w:t>of</w:t>
      </w:r>
      <w:r>
        <w:rPr>
          <w:spacing w:val="1"/>
          <w:sz w:val="24"/>
        </w:rPr>
        <w:t> </w:t>
      </w:r>
      <w:r>
        <w:rPr>
          <w:spacing w:val="-5"/>
          <w:sz w:val="24"/>
        </w:rPr>
        <w:t>Nov</w:t>
      </w:r>
    </w:p>
    <w:p>
      <w:pPr>
        <w:pStyle w:val="ListParagraph"/>
        <w:numPr>
          <w:ilvl w:val="3"/>
          <w:numId w:val="27"/>
        </w:numPr>
        <w:tabs>
          <w:tab w:pos="959" w:val="left" w:leader="none"/>
        </w:tabs>
        <w:spacing w:line="240" w:lineRule="auto" w:before="137" w:after="0"/>
        <w:ind w:left="959" w:right="0" w:hanging="359"/>
        <w:jc w:val="left"/>
        <w:rPr>
          <w:sz w:val="24"/>
        </w:rPr>
      </w:pPr>
      <w:r>
        <w:rPr>
          <w:sz w:val="24"/>
        </w:rPr>
        <w:t>Assembly</w:t>
      </w:r>
      <w:r>
        <w:rPr>
          <w:spacing w:val="-7"/>
          <w:sz w:val="24"/>
        </w:rPr>
        <w:t> </w:t>
      </w:r>
      <w:r>
        <w:rPr>
          <w:sz w:val="24"/>
        </w:rPr>
        <w:t>Approval</w:t>
      </w:r>
      <w:r>
        <w:rPr>
          <w:spacing w:val="1"/>
          <w:sz w:val="24"/>
        </w:rPr>
        <w:t> </w:t>
      </w:r>
      <w:r>
        <w:rPr>
          <w:sz w:val="24"/>
        </w:rPr>
        <w:t>–</w:t>
      </w:r>
      <w:r>
        <w:rPr>
          <w:spacing w:val="1"/>
          <w:sz w:val="24"/>
        </w:rPr>
        <w:t> </w:t>
      </w:r>
      <w:r>
        <w:rPr>
          <w:spacing w:val="-2"/>
          <w:sz w:val="24"/>
        </w:rPr>
        <w:t>December</w:t>
      </w:r>
    </w:p>
    <w:p>
      <w:pPr>
        <w:pStyle w:val="ListParagraph"/>
        <w:numPr>
          <w:ilvl w:val="3"/>
          <w:numId w:val="27"/>
        </w:numPr>
        <w:tabs>
          <w:tab w:pos="959" w:val="left" w:leader="none"/>
        </w:tabs>
        <w:spacing w:line="240" w:lineRule="auto" w:before="139" w:after="0"/>
        <w:ind w:left="959" w:right="0" w:hanging="359"/>
        <w:jc w:val="left"/>
        <w:rPr>
          <w:sz w:val="24"/>
        </w:rPr>
      </w:pPr>
      <w:r>
        <w:rPr>
          <w:sz w:val="24"/>
        </w:rPr>
        <w:t>Governors</w:t>
      </w:r>
      <w:r>
        <w:rPr>
          <w:spacing w:val="-1"/>
          <w:sz w:val="24"/>
        </w:rPr>
        <w:t> </w:t>
      </w:r>
      <w:r>
        <w:rPr>
          <w:sz w:val="24"/>
        </w:rPr>
        <w:t>Assent –</w:t>
      </w:r>
      <w:r>
        <w:rPr>
          <w:spacing w:val="-1"/>
          <w:sz w:val="24"/>
        </w:rPr>
        <w:t> </w:t>
      </w:r>
      <w:r>
        <w:rPr>
          <w:spacing w:val="-2"/>
          <w:sz w:val="24"/>
        </w:rPr>
        <w:t>December</w:t>
      </w:r>
    </w:p>
    <w:p>
      <w:pPr>
        <w:pStyle w:val="ListParagraph"/>
        <w:numPr>
          <w:ilvl w:val="3"/>
          <w:numId w:val="27"/>
        </w:numPr>
        <w:tabs>
          <w:tab w:pos="959" w:val="left" w:leader="none"/>
        </w:tabs>
        <w:spacing w:line="240" w:lineRule="auto" w:before="137" w:after="0"/>
        <w:ind w:left="959" w:right="0" w:hanging="359"/>
        <w:jc w:val="left"/>
        <w:rPr>
          <w:sz w:val="24"/>
        </w:rPr>
      </w:pPr>
      <w:r>
        <w:rPr>
          <w:sz w:val="24"/>
        </w:rPr>
        <w:t>Publication</w:t>
      </w:r>
      <w:r>
        <w:rPr>
          <w:spacing w:val="-1"/>
          <w:sz w:val="24"/>
        </w:rPr>
        <w:t> </w:t>
      </w:r>
      <w:r>
        <w:rPr>
          <w:sz w:val="24"/>
        </w:rPr>
        <w:t>and</w:t>
      </w:r>
      <w:r>
        <w:rPr>
          <w:spacing w:val="-1"/>
          <w:sz w:val="24"/>
        </w:rPr>
        <w:t> </w:t>
      </w:r>
      <w:r>
        <w:rPr>
          <w:sz w:val="24"/>
        </w:rPr>
        <w:t>Dissemination</w:t>
      </w:r>
      <w:r>
        <w:rPr>
          <w:spacing w:val="-1"/>
          <w:sz w:val="24"/>
        </w:rPr>
        <w:t> </w:t>
      </w:r>
      <w:r>
        <w:rPr>
          <w:sz w:val="24"/>
        </w:rPr>
        <w:t>of</w:t>
      </w:r>
      <w:r>
        <w:rPr>
          <w:spacing w:val="-2"/>
          <w:sz w:val="24"/>
        </w:rPr>
        <w:t> </w:t>
      </w:r>
      <w:r>
        <w:rPr>
          <w:sz w:val="24"/>
        </w:rPr>
        <w:t>Budget - </w:t>
      </w:r>
      <w:r>
        <w:rPr>
          <w:spacing w:val="-2"/>
          <w:sz w:val="24"/>
        </w:rPr>
        <w:t>December</w:t>
      </w:r>
    </w:p>
    <w:p>
      <w:pPr>
        <w:spacing w:after="0" w:line="240" w:lineRule="auto"/>
        <w:jc w:val="left"/>
        <w:rPr>
          <w:sz w:val="24"/>
        </w:rPr>
        <w:sectPr>
          <w:pgSz w:w="12240" w:h="15840"/>
          <w:pgMar w:header="0" w:footer="1036" w:top="1360" w:bottom="1220" w:left="1200" w:right="600"/>
        </w:sectPr>
      </w:pPr>
    </w:p>
    <w:p>
      <w:pPr>
        <w:pStyle w:val="BodyText"/>
        <w:spacing w:before="74"/>
        <w:ind w:left="240"/>
      </w:pPr>
      <w:r>
        <w:rPr/>
        <mc:AlternateContent>
          <mc:Choice Requires="wps">
            <w:drawing>
              <wp:anchor distT="0" distB="0" distL="0" distR="0" allowOverlap="1" layoutInCell="1" locked="0" behindDoc="1" simplePos="0" relativeHeight="478104576">
                <wp:simplePos x="0" y="0"/>
                <wp:positionH relativeFrom="page">
                  <wp:posOffset>2927985</wp:posOffset>
                </wp:positionH>
                <wp:positionV relativeFrom="paragraph">
                  <wp:posOffset>323850</wp:posOffset>
                </wp:positionV>
                <wp:extent cx="2390775" cy="2185035"/>
                <wp:effectExtent l="0" t="0" r="0" b="0"/>
                <wp:wrapNone/>
                <wp:docPr id="213" name="Group 213"/>
                <wp:cNvGraphicFramePr>
                  <a:graphicFrameLocks/>
                </wp:cNvGraphicFramePr>
                <a:graphic>
                  <a:graphicData uri="http://schemas.microsoft.com/office/word/2010/wordprocessingGroup">
                    <wpg:wgp>
                      <wpg:cNvPr id="213" name="Group 213"/>
                      <wpg:cNvGrpSpPr/>
                      <wpg:grpSpPr>
                        <a:xfrm>
                          <a:off x="0" y="0"/>
                          <a:ext cx="2390775" cy="2185035"/>
                          <a:chExt cx="2390775" cy="2185035"/>
                        </a:xfrm>
                      </wpg:grpSpPr>
                      <wps:wsp>
                        <wps:cNvPr id="214" name="Graphic 214"/>
                        <wps:cNvSpPr/>
                        <wps:spPr>
                          <a:xfrm>
                            <a:off x="1138555" y="1042669"/>
                            <a:ext cx="76200" cy="291465"/>
                          </a:xfrm>
                          <a:custGeom>
                            <a:avLst/>
                            <a:gdLst/>
                            <a:ahLst/>
                            <a:cxnLst/>
                            <a:rect l="l" t="t" r="r" b="b"/>
                            <a:pathLst>
                              <a:path w="76200" h="291465">
                                <a:moveTo>
                                  <a:pt x="31750" y="215264"/>
                                </a:moveTo>
                                <a:lnTo>
                                  <a:pt x="0" y="215264"/>
                                </a:lnTo>
                                <a:lnTo>
                                  <a:pt x="38100" y="291464"/>
                                </a:lnTo>
                                <a:lnTo>
                                  <a:pt x="66675" y="234314"/>
                                </a:lnTo>
                                <a:lnTo>
                                  <a:pt x="34544" y="234314"/>
                                </a:lnTo>
                                <a:lnTo>
                                  <a:pt x="31750" y="231521"/>
                                </a:lnTo>
                                <a:lnTo>
                                  <a:pt x="31750" y="215264"/>
                                </a:lnTo>
                                <a:close/>
                              </a:path>
                              <a:path w="76200" h="291465">
                                <a:moveTo>
                                  <a:pt x="41656" y="0"/>
                                </a:moveTo>
                                <a:lnTo>
                                  <a:pt x="34544" y="0"/>
                                </a:lnTo>
                                <a:lnTo>
                                  <a:pt x="31750" y="2794"/>
                                </a:lnTo>
                                <a:lnTo>
                                  <a:pt x="31750" y="231521"/>
                                </a:lnTo>
                                <a:lnTo>
                                  <a:pt x="34544" y="234314"/>
                                </a:lnTo>
                                <a:lnTo>
                                  <a:pt x="41656" y="234314"/>
                                </a:lnTo>
                                <a:lnTo>
                                  <a:pt x="44450" y="231521"/>
                                </a:lnTo>
                                <a:lnTo>
                                  <a:pt x="44450" y="2794"/>
                                </a:lnTo>
                                <a:lnTo>
                                  <a:pt x="41656" y="0"/>
                                </a:lnTo>
                                <a:close/>
                              </a:path>
                              <a:path w="76200" h="291465">
                                <a:moveTo>
                                  <a:pt x="76200" y="215264"/>
                                </a:moveTo>
                                <a:lnTo>
                                  <a:pt x="44450" y="215264"/>
                                </a:lnTo>
                                <a:lnTo>
                                  <a:pt x="44450" y="231521"/>
                                </a:lnTo>
                                <a:lnTo>
                                  <a:pt x="41656" y="234314"/>
                                </a:lnTo>
                                <a:lnTo>
                                  <a:pt x="66675" y="234314"/>
                                </a:lnTo>
                                <a:lnTo>
                                  <a:pt x="76200" y="215264"/>
                                </a:lnTo>
                                <a:close/>
                              </a:path>
                            </a:pathLst>
                          </a:custGeom>
                          <a:solidFill>
                            <a:srgbClr val="000000"/>
                          </a:solidFill>
                        </wps:spPr>
                        <wps:bodyPr wrap="square" lIns="0" tIns="0" rIns="0" bIns="0" rtlCol="0">
                          <a:prstTxWarp prst="textNoShape">
                            <a:avLst/>
                          </a:prstTxWarp>
                          <a:noAutofit/>
                        </wps:bodyPr>
                      </wps:wsp>
                      <wps:wsp>
                        <wps:cNvPr id="215" name="Textbox 215"/>
                        <wps:cNvSpPr txBox="1"/>
                        <wps:spPr>
                          <a:xfrm>
                            <a:off x="15875" y="1334135"/>
                            <a:ext cx="2359025" cy="835025"/>
                          </a:xfrm>
                          <a:prstGeom prst="rect">
                            <a:avLst/>
                          </a:prstGeom>
                          <a:ln w="31750">
                            <a:solidFill>
                              <a:srgbClr val="C0504D"/>
                            </a:solidFill>
                            <a:prstDash val="solid"/>
                          </a:ln>
                        </wps:spPr>
                        <wps:txbx>
                          <w:txbxContent>
                            <w:p>
                              <w:pPr>
                                <w:spacing w:line="276" w:lineRule="auto" w:before="67"/>
                                <w:ind w:left="159" w:right="163" w:firstLine="0"/>
                                <w:jc w:val="center"/>
                                <w:rPr>
                                  <w:sz w:val="18"/>
                                </w:rPr>
                              </w:pPr>
                              <w:r>
                                <w:rPr>
                                  <w:sz w:val="18"/>
                                </w:rPr>
                                <w:t>The Ministry of Housing prepares its budget proposal/estimate, based on priorities and pending</w:t>
                              </w:r>
                              <w:r>
                                <w:rPr>
                                  <w:spacing w:val="-8"/>
                                  <w:sz w:val="18"/>
                                </w:rPr>
                                <w:t> </w:t>
                              </w:r>
                              <w:r>
                                <w:rPr>
                                  <w:sz w:val="18"/>
                                </w:rPr>
                                <w:t>projects</w:t>
                              </w:r>
                              <w:r>
                                <w:rPr>
                                  <w:spacing w:val="-7"/>
                                  <w:sz w:val="18"/>
                                </w:rPr>
                                <w:t> </w:t>
                              </w:r>
                              <w:r>
                                <w:rPr>
                                  <w:sz w:val="18"/>
                                </w:rPr>
                                <w:t>from</w:t>
                              </w:r>
                              <w:r>
                                <w:rPr>
                                  <w:spacing w:val="-9"/>
                                  <w:sz w:val="18"/>
                                </w:rPr>
                                <w:t> </w:t>
                              </w:r>
                              <w:r>
                                <w:rPr>
                                  <w:sz w:val="18"/>
                                </w:rPr>
                                <w:t>previous</w:t>
                              </w:r>
                              <w:r>
                                <w:rPr>
                                  <w:spacing w:val="-5"/>
                                  <w:sz w:val="18"/>
                                </w:rPr>
                                <w:t> </w:t>
                              </w:r>
                              <w:r>
                                <w:rPr>
                                  <w:sz w:val="18"/>
                                </w:rPr>
                                <w:t>year</w:t>
                              </w:r>
                              <w:r>
                                <w:rPr>
                                  <w:spacing w:val="-7"/>
                                  <w:sz w:val="18"/>
                                </w:rPr>
                                <w:t> </w:t>
                              </w:r>
                              <w:r>
                                <w:rPr>
                                  <w:sz w:val="18"/>
                                </w:rPr>
                                <w:t>based</w:t>
                              </w:r>
                              <w:r>
                                <w:rPr>
                                  <w:spacing w:val="-6"/>
                                  <w:sz w:val="18"/>
                                </w:rPr>
                                <w:t> </w:t>
                              </w:r>
                              <w:r>
                                <w:rPr>
                                  <w:sz w:val="18"/>
                                </w:rPr>
                                <w:t>on the Bills of Quantities (BOQ) and submits to Ministry of Budget and Economic Planning</w:t>
                              </w:r>
                            </w:p>
                          </w:txbxContent>
                        </wps:txbx>
                        <wps:bodyPr wrap="square" lIns="0" tIns="0" rIns="0" bIns="0" rtlCol="0">
                          <a:noAutofit/>
                        </wps:bodyPr>
                      </wps:wsp>
                      <wps:wsp>
                        <wps:cNvPr id="216" name="Textbox 216"/>
                        <wps:cNvSpPr txBox="1"/>
                        <wps:spPr>
                          <a:xfrm>
                            <a:off x="15875" y="15875"/>
                            <a:ext cx="2359025" cy="1033144"/>
                          </a:xfrm>
                          <a:prstGeom prst="rect">
                            <a:avLst/>
                          </a:prstGeom>
                          <a:ln w="31750">
                            <a:solidFill>
                              <a:srgbClr val="C0504D"/>
                            </a:solidFill>
                            <a:prstDash val="solid"/>
                          </a:ln>
                        </wps:spPr>
                        <wps:txbx>
                          <w:txbxContent>
                            <w:p>
                              <w:pPr>
                                <w:spacing w:line="240" w:lineRule="auto" w:before="138"/>
                                <w:rPr>
                                  <w:sz w:val="18"/>
                                </w:rPr>
                              </w:pPr>
                            </w:p>
                            <w:p>
                              <w:pPr>
                                <w:spacing w:line="278" w:lineRule="auto" w:before="1"/>
                                <w:ind w:left="154" w:right="158" w:firstLine="5"/>
                                <w:jc w:val="center"/>
                                <w:rPr>
                                  <w:sz w:val="18"/>
                                </w:rPr>
                              </w:pPr>
                              <w:r>
                                <w:rPr>
                                  <w:sz w:val="18"/>
                                </w:rPr>
                                <w:t>The Ministry of Housing Budget and Economic Planning, issues a Call Circular stipulating</w:t>
                              </w:r>
                              <w:r>
                                <w:rPr>
                                  <w:spacing w:val="-8"/>
                                  <w:sz w:val="18"/>
                                </w:rPr>
                                <w:t> </w:t>
                              </w:r>
                              <w:r>
                                <w:rPr>
                                  <w:sz w:val="18"/>
                                </w:rPr>
                                <w:t>budget</w:t>
                              </w:r>
                              <w:r>
                                <w:rPr>
                                  <w:spacing w:val="-7"/>
                                  <w:sz w:val="18"/>
                                </w:rPr>
                                <w:t> </w:t>
                              </w:r>
                              <w:r>
                                <w:rPr>
                                  <w:sz w:val="18"/>
                                </w:rPr>
                                <w:t>ceiling</w:t>
                              </w:r>
                              <w:r>
                                <w:rPr>
                                  <w:spacing w:val="-8"/>
                                  <w:sz w:val="18"/>
                                </w:rPr>
                                <w:t> </w:t>
                              </w:r>
                              <w:r>
                                <w:rPr>
                                  <w:sz w:val="18"/>
                                </w:rPr>
                                <w:t>to</w:t>
                              </w:r>
                              <w:r>
                                <w:rPr>
                                  <w:spacing w:val="-8"/>
                                  <w:sz w:val="18"/>
                                </w:rPr>
                                <w:t> </w:t>
                              </w:r>
                              <w:r>
                                <w:rPr>
                                  <w:sz w:val="18"/>
                                </w:rPr>
                                <w:t>be</w:t>
                              </w:r>
                              <w:r>
                                <w:rPr>
                                  <w:spacing w:val="-8"/>
                                  <w:sz w:val="18"/>
                                </w:rPr>
                                <w:t> </w:t>
                              </w:r>
                              <w:r>
                                <w:rPr>
                                  <w:sz w:val="18"/>
                                </w:rPr>
                                <w:t>complied</w:t>
                              </w:r>
                              <w:r>
                                <w:rPr>
                                  <w:spacing w:val="-6"/>
                                  <w:sz w:val="18"/>
                                </w:rPr>
                                <w:t> </w:t>
                              </w:r>
                              <w:r>
                                <w:rPr>
                                  <w:sz w:val="18"/>
                                </w:rPr>
                                <w:t>with.</w:t>
                              </w:r>
                            </w:p>
                          </w:txbxContent>
                        </wps:txbx>
                        <wps:bodyPr wrap="square" lIns="0" tIns="0" rIns="0" bIns="0" rtlCol="0">
                          <a:noAutofit/>
                        </wps:bodyPr>
                      </wps:wsp>
                    </wpg:wgp>
                  </a:graphicData>
                </a:graphic>
              </wp:anchor>
            </w:drawing>
          </mc:Choice>
          <mc:Fallback>
            <w:pict>
              <v:group style="position:absolute;margin-left:230.550003pt;margin-top:25.5pt;width:188.25pt;height:172.05pt;mso-position-horizontal-relative:page;mso-position-vertical-relative:paragraph;z-index:-25211904" id="docshapegroup198" coordorigin="4611,510" coordsize="3765,3441">
                <v:shape style="position:absolute;left:6404;top:2152;width:120;height:459" id="docshape199" coordorigin="6404,2152" coordsize="120,459" path="m6454,2491l6404,2491,6464,2611,6509,2521,6458,2521,6454,2517,6454,2491xm6470,2152l6458,2152,6454,2156,6454,2517,6458,2521,6470,2521,6474,2517,6474,2156,6470,2152xm6524,2491l6474,2491,6474,2517,6470,2521,6509,2521,6524,2491xe" filled="true" fillcolor="#000000" stroked="false">
                  <v:path arrowok="t"/>
                  <v:fill type="solid"/>
                </v:shape>
                <v:shape style="position:absolute;left:4636;top:2611;width:3715;height:1315" type="#_x0000_t202" id="docshape200" filled="false" stroked="true" strokeweight="2.5pt" strokecolor="#c0504d">
                  <v:textbox inset="0,0,0,0">
                    <w:txbxContent>
                      <w:p>
                        <w:pPr>
                          <w:spacing w:line="276" w:lineRule="auto" w:before="67"/>
                          <w:ind w:left="159" w:right="163" w:firstLine="0"/>
                          <w:jc w:val="center"/>
                          <w:rPr>
                            <w:sz w:val="18"/>
                          </w:rPr>
                        </w:pPr>
                        <w:r>
                          <w:rPr>
                            <w:sz w:val="18"/>
                          </w:rPr>
                          <w:t>The Ministry of Housing prepares its budget proposal/estimate, based on priorities and pending</w:t>
                        </w:r>
                        <w:r>
                          <w:rPr>
                            <w:spacing w:val="-8"/>
                            <w:sz w:val="18"/>
                          </w:rPr>
                          <w:t> </w:t>
                        </w:r>
                        <w:r>
                          <w:rPr>
                            <w:sz w:val="18"/>
                          </w:rPr>
                          <w:t>projects</w:t>
                        </w:r>
                        <w:r>
                          <w:rPr>
                            <w:spacing w:val="-7"/>
                            <w:sz w:val="18"/>
                          </w:rPr>
                          <w:t> </w:t>
                        </w:r>
                        <w:r>
                          <w:rPr>
                            <w:sz w:val="18"/>
                          </w:rPr>
                          <w:t>from</w:t>
                        </w:r>
                        <w:r>
                          <w:rPr>
                            <w:spacing w:val="-9"/>
                            <w:sz w:val="18"/>
                          </w:rPr>
                          <w:t> </w:t>
                        </w:r>
                        <w:r>
                          <w:rPr>
                            <w:sz w:val="18"/>
                          </w:rPr>
                          <w:t>previous</w:t>
                        </w:r>
                        <w:r>
                          <w:rPr>
                            <w:spacing w:val="-5"/>
                            <w:sz w:val="18"/>
                          </w:rPr>
                          <w:t> </w:t>
                        </w:r>
                        <w:r>
                          <w:rPr>
                            <w:sz w:val="18"/>
                          </w:rPr>
                          <w:t>year</w:t>
                        </w:r>
                        <w:r>
                          <w:rPr>
                            <w:spacing w:val="-7"/>
                            <w:sz w:val="18"/>
                          </w:rPr>
                          <w:t> </w:t>
                        </w:r>
                        <w:r>
                          <w:rPr>
                            <w:sz w:val="18"/>
                          </w:rPr>
                          <w:t>based</w:t>
                        </w:r>
                        <w:r>
                          <w:rPr>
                            <w:spacing w:val="-6"/>
                            <w:sz w:val="18"/>
                          </w:rPr>
                          <w:t> </w:t>
                        </w:r>
                        <w:r>
                          <w:rPr>
                            <w:sz w:val="18"/>
                          </w:rPr>
                          <w:t>on the Bills of Quantities (BOQ) and submits to Ministry of Budget and Economic Planning</w:t>
                        </w:r>
                      </w:p>
                    </w:txbxContent>
                  </v:textbox>
                  <v:stroke dashstyle="solid"/>
                  <w10:wrap type="none"/>
                </v:shape>
                <v:shape style="position:absolute;left:4636;top:535;width:3715;height:1627" type="#_x0000_t202" id="docshape201" filled="false" stroked="true" strokeweight="2.5pt" strokecolor="#c0504d">
                  <v:textbox inset="0,0,0,0">
                    <w:txbxContent>
                      <w:p>
                        <w:pPr>
                          <w:spacing w:line="240" w:lineRule="auto" w:before="138"/>
                          <w:rPr>
                            <w:sz w:val="18"/>
                          </w:rPr>
                        </w:pPr>
                      </w:p>
                      <w:p>
                        <w:pPr>
                          <w:spacing w:line="278" w:lineRule="auto" w:before="1"/>
                          <w:ind w:left="154" w:right="158" w:firstLine="5"/>
                          <w:jc w:val="center"/>
                          <w:rPr>
                            <w:sz w:val="18"/>
                          </w:rPr>
                        </w:pPr>
                        <w:r>
                          <w:rPr>
                            <w:sz w:val="18"/>
                          </w:rPr>
                          <w:t>The Ministry of Housing Budget and Economic Planning, issues a Call Circular stipulating</w:t>
                        </w:r>
                        <w:r>
                          <w:rPr>
                            <w:spacing w:val="-8"/>
                            <w:sz w:val="18"/>
                          </w:rPr>
                          <w:t> </w:t>
                        </w:r>
                        <w:r>
                          <w:rPr>
                            <w:sz w:val="18"/>
                          </w:rPr>
                          <w:t>budget</w:t>
                        </w:r>
                        <w:r>
                          <w:rPr>
                            <w:spacing w:val="-7"/>
                            <w:sz w:val="18"/>
                          </w:rPr>
                          <w:t> </w:t>
                        </w:r>
                        <w:r>
                          <w:rPr>
                            <w:sz w:val="18"/>
                          </w:rPr>
                          <w:t>ceiling</w:t>
                        </w:r>
                        <w:r>
                          <w:rPr>
                            <w:spacing w:val="-8"/>
                            <w:sz w:val="18"/>
                          </w:rPr>
                          <w:t> </w:t>
                        </w:r>
                        <w:r>
                          <w:rPr>
                            <w:sz w:val="18"/>
                          </w:rPr>
                          <w:t>to</w:t>
                        </w:r>
                        <w:r>
                          <w:rPr>
                            <w:spacing w:val="-8"/>
                            <w:sz w:val="18"/>
                          </w:rPr>
                          <w:t> </w:t>
                        </w:r>
                        <w:r>
                          <w:rPr>
                            <w:sz w:val="18"/>
                          </w:rPr>
                          <w:t>be</w:t>
                        </w:r>
                        <w:r>
                          <w:rPr>
                            <w:spacing w:val="-8"/>
                            <w:sz w:val="18"/>
                          </w:rPr>
                          <w:t> </w:t>
                        </w:r>
                        <w:r>
                          <w:rPr>
                            <w:sz w:val="18"/>
                          </w:rPr>
                          <w:t>complied</w:t>
                        </w:r>
                        <w:r>
                          <w:rPr>
                            <w:spacing w:val="-6"/>
                            <w:sz w:val="18"/>
                          </w:rPr>
                          <w:t> </w:t>
                        </w:r>
                        <w:r>
                          <w:rPr>
                            <w:sz w:val="18"/>
                          </w:rPr>
                          <w:t>with.</w:t>
                        </w:r>
                      </w:p>
                    </w:txbxContent>
                  </v:textbox>
                  <v:stroke dashstyle="solid"/>
                  <w10:wrap type="none"/>
                </v:shape>
                <w10:wrap type="none"/>
              </v:group>
            </w:pict>
          </mc:Fallback>
        </mc:AlternateContent>
      </w:r>
      <w:r>
        <w:rPr/>
        <w:t>Figure</w:t>
      </w:r>
      <w:r>
        <w:rPr>
          <w:spacing w:val="-6"/>
        </w:rPr>
        <w:t> </w:t>
      </w:r>
      <w:r>
        <w:rPr/>
        <w:t>3.6</w:t>
      </w:r>
      <w:r>
        <w:rPr>
          <w:spacing w:val="-1"/>
        </w:rPr>
        <w:t> </w:t>
      </w:r>
      <w:r>
        <w:rPr/>
        <w:t>illustrates</w:t>
      </w:r>
      <w:r>
        <w:rPr>
          <w:spacing w:val="-1"/>
        </w:rPr>
        <w:t> </w:t>
      </w:r>
      <w:r>
        <w:rPr/>
        <w:t>the annual</w:t>
      </w:r>
      <w:r>
        <w:rPr>
          <w:spacing w:val="-1"/>
        </w:rPr>
        <w:t> </w:t>
      </w:r>
      <w:r>
        <w:rPr/>
        <w:t>housing</w:t>
      </w:r>
      <w:r>
        <w:rPr>
          <w:spacing w:val="-4"/>
        </w:rPr>
        <w:t> </w:t>
      </w:r>
      <w:r>
        <w:rPr/>
        <w:t>budget</w:t>
      </w:r>
      <w:r>
        <w:rPr>
          <w:spacing w:val="-1"/>
        </w:rPr>
        <w:t> </w:t>
      </w:r>
      <w:r>
        <w:rPr/>
        <w:t>preparation</w:t>
      </w:r>
      <w:r>
        <w:rPr>
          <w:spacing w:val="-1"/>
        </w:rPr>
        <w:t> </w:t>
      </w:r>
      <w:r>
        <w:rPr/>
        <w:t>process/activities</w:t>
      </w:r>
      <w:r>
        <w:rPr>
          <w:spacing w:val="-1"/>
        </w:rPr>
        <w:t> </w:t>
      </w:r>
      <w:r>
        <w:rPr/>
        <w:t>in</w:t>
      </w:r>
      <w:r>
        <w:rPr>
          <w:spacing w:val="-1"/>
        </w:rPr>
        <w:t> </w:t>
      </w:r>
      <w:r>
        <w:rPr/>
        <w:t>Anambra</w:t>
      </w:r>
      <w:r>
        <w:rPr>
          <w:spacing w:val="-3"/>
        </w:rPr>
        <w:t> </w:t>
      </w:r>
      <w:r>
        <w:rPr>
          <w:spacing w:val="-2"/>
        </w:rPr>
        <w:t>State.</w:t>
      </w:r>
    </w:p>
    <w:p>
      <w:pPr>
        <w:pStyle w:val="BodyText"/>
        <w:spacing w:before="121"/>
        <w:rPr>
          <w:sz w:val="20"/>
        </w:rPr>
      </w:pPr>
      <w:r>
        <w:rPr/>
        <mc:AlternateContent>
          <mc:Choice Requires="wps">
            <w:drawing>
              <wp:anchor distT="0" distB="0" distL="0" distR="0" allowOverlap="1" layoutInCell="1" locked="0" behindDoc="1" simplePos="0" relativeHeight="487600128">
                <wp:simplePos x="0" y="0"/>
                <wp:positionH relativeFrom="page">
                  <wp:posOffset>1257300</wp:posOffset>
                </wp:positionH>
                <wp:positionV relativeFrom="paragraph">
                  <wp:posOffset>238139</wp:posOffset>
                </wp:positionV>
                <wp:extent cx="5160645" cy="7040880"/>
                <wp:effectExtent l="0" t="0" r="0" b="0"/>
                <wp:wrapTopAndBottom/>
                <wp:docPr id="217" name="Group 217"/>
                <wp:cNvGraphicFramePr>
                  <a:graphicFrameLocks/>
                </wp:cNvGraphicFramePr>
                <a:graphic>
                  <a:graphicData uri="http://schemas.microsoft.com/office/word/2010/wordprocessingGroup">
                    <wpg:wgp>
                      <wpg:cNvPr id="217" name="Group 217"/>
                      <wpg:cNvGrpSpPr/>
                      <wpg:grpSpPr>
                        <a:xfrm>
                          <a:off x="0" y="0"/>
                          <a:ext cx="5160645" cy="7040880"/>
                          <a:chExt cx="5160645" cy="7040880"/>
                        </a:xfrm>
                      </wpg:grpSpPr>
                      <wps:wsp>
                        <wps:cNvPr id="218" name="Graphic 218"/>
                        <wps:cNvSpPr/>
                        <wps:spPr>
                          <a:xfrm>
                            <a:off x="1824354" y="4609465"/>
                            <a:ext cx="2042160" cy="616585"/>
                          </a:xfrm>
                          <a:custGeom>
                            <a:avLst/>
                            <a:gdLst/>
                            <a:ahLst/>
                            <a:cxnLst/>
                            <a:rect l="l" t="t" r="r" b="b"/>
                            <a:pathLst>
                              <a:path w="2042160" h="616585">
                                <a:moveTo>
                                  <a:pt x="0" y="616585"/>
                                </a:moveTo>
                                <a:lnTo>
                                  <a:pt x="2042160" y="616585"/>
                                </a:lnTo>
                                <a:lnTo>
                                  <a:pt x="2042160" y="0"/>
                                </a:lnTo>
                                <a:lnTo>
                                  <a:pt x="0" y="0"/>
                                </a:lnTo>
                                <a:lnTo>
                                  <a:pt x="0" y="616585"/>
                                </a:lnTo>
                                <a:close/>
                              </a:path>
                            </a:pathLst>
                          </a:custGeom>
                          <a:ln w="31750">
                            <a:solidFill>
                              <a:srgbClr val="C0504D"/>
                            </a:solidFill>
                            <a:prstDash val="solid"/>
                          </a:ln>
                        </wps:spPr>
                        <wps:bodyPr wrap="square" lIns="0" tIns="0" rIns="0" bIns="0" rtlCol="0">
                          <a:prstTxWarp prst="textNoShape">
                            <a:avLst/>
                          </a:prstTxWarp>
                          <a:noAutofit/>
                        </wps:bodyPr>
                      </wps:wsp>
                      <wps:wsp>
                        <wps:cNvPr id="219" name="Graphic 219"/>
                        <wps:cNvSpPr/>
                        <wps:spPr>
                          <a:xfrm>
                            <a:off x="1247139" y="47625"/>
                            <a:ext cx="1600835" cy="2186305"/>
                          </a:xfrm>
                          <a:custGeom>
                            <a:avLst/>
                            <a:gdLst/>
                            <a:ahLst/>
                            <a:cxnLst/>
                            <a:rect l="l" t="t" r="r" b="b"/>
                            <a:pathLst>
                              <a:path w="1600835" h="2186305">
                                <a:moveTo>
                                  <a:pt x="1600200" y="1998979"/>
                                </a:moveTo>
                                <a:lnTo>
                                  <a:pt x="1600200" y="2186304"/>
                                </a:lnTo>
                              </a:path>
                              <a:path w="1600835" h="2186305">
                                <a:moveTo>
                                  <a:pt x="1600835" y="2186304"/>
                                </a:moveTo>
                                <a:lnTo>
                                  <a:pt x="635" y="2186304"/>
                                </a:lnTo>
                              </a:path>
                              <a:path w="1600835" h="2186305">
                                <a:moveTo>
                                  <a:pt x="635" y="2186304"/>
                                </a:moveTo>
                                <a:lnTo>
                                  <a:pt x="0" y="0"/>
                                </a:lnTo>
                              </a:path>
                            </a:pathLst>
                          </a:custGeom>
                          <a:ln w="31750">
                            <a:solidFill>
                              <a:srgbClr val="000000"/>
                            </a:solidFill>
                            <a:prstDash val="solid"/>
                          </a:ln>
                        </wps:spPr>
                        <wps:bodyPr wrap="square" lIns="0" tIns="0" rIns="0" bIns="0" rtlCol="0">
                          <a:prstTxWarp prst="textNoShape">
                            <a:avLst/>
                          </a:prstTxWarp>
                          <a:noAutofit/>
                        </wps:bodyPr>
                      </wps:wsp>
                      <wps:wsp>
                        <wps:cNvPr id="220" name="Graphic 220"/>
                        <wps:cNvSpPr/>
                        <wps:spPr>
                          <a:xfrm>
                            <a:off x="1247139" y="0"/>
                            <a:ext cx="439420" cy="95250"/>
                          </a:xfrm>
                          <a:custGeom>
                            <a:avLst/>
                            <a:gdLst/>
                            <a:ahLst/>
                            <a:cxnLst/>
                            <a:rect l="l" t="t" r="r" b="b"/>
                            <a:pathLst>
                              <a:path w="439420" h="95250">
                                <a:moveTo>
                                  <a:pt x="344170" y="0"/>
                                </a:moveTo>
                                <a:lnTo>
                                  <a:pt x="344170" y="95250"/>
                                </a:lnTo>
                                <a:lnTo>
                                  <a:pt x="407670" y="63500"/>
                                </a:lnTo>
                                <a:lnTo>
                                  <a:pt x="360045" y="63500"/>
                                </a:lnTo>
                                <a:lnTo>
                                  <a:pt x="360045" y="31750"/>
                                </a:lnTo>
                                <a:lnTo>
                                  <a:pt x="407670" y="31750"/>
                                </a:lnTo>
                                <a:lnTo>
                                  <a:pt x="344170" y="0"/>
                                </a:lnTo>
                                <a:close/>
                              </a:path>
                              <a:path w="439420" h="95250">
                                <a:moveTo>
                                  <a:pt x="344170" y="31750"/>
                                </a:moveTo>
                                <a:lnTo>
                                  <a:pt x="0" y="31750"/>
                                </a:lnTo>
                                <a:lnTo>
                                  <a:pt x="0" y="63500"/>
                                </a:lnTo>
                                <a:lnTo>
                                  <a:pt x="344170" y="63500"/>
                                </a:lnTo>
                                <a:lnTo>
                                  <a:pt x="344170" y="31750"/>
                                </a:lnTo>
                                <a:close/>
                              </a:path>
                              <a:path w="439420" h="95250">
                                <a:moveTo>
                                  <a:pt x="407670" y="31750"/>
                                </a:moveTo>
                                <a:lnTo>
                                  <a:pt x="360045" y="31750"/>
                                </a:lnTo>
                                <a:lnTo>
                                  <a:pt x="360045" y="63500"/>
                                </a:lnTo>
                                <a:lnTo>
                                  <a:pt x="407670" y="63500"/>
                                </a:lnTo>
                                <a:lnTo>
                                  <a:pt x="439420" y="47625"/>
                                </a:lnTo>
                                <a:lnTo>
                                  <a:pt x="407670" y="31750"/>
                                </a:lnTo>
                                <a:close/>
                              </a:path>
                            </a:pathLst>
                          </a:custGeom>
                          <a:solidFill>
                            <a:srgbClr val="000000"/>
                          </a:solidFill>
                        </wps:spPr>
                        <wps:bodyPr wrap="square" lIns="0" tIns="0" rIns="0" bIns="0" rtlCol="0">
                          <a:prstTxWarp prst="textNoShape">
                            <a:avLst/>
                          </a:prstTxWarp>
                          <a:noAutofit/>
                        </wps:bodyPr>
                      </wps:wsp>
                      <wps:wsp>
                        <wps:cNvPr id="221" name="Graphic 221"/>
                        <wps:cNvSpPr/>
                        <wps:spPr>
                          <a:xfrm>
                            <a:off x="1406525" y="236220"/>
                            <a:ext cx="280035" cy="3479165"/>
                          </a:xfrm>
                          <a:custGeom>
                            <a:avLst/>
                            <a:gdLst/>
                            <a:ahLst/>
                            <a:cxnLst/>
                            <a:rect l="l" t="t" r="r" b="b"/>
                            <a:pathLst>
                              <a:path w="280035" h="3479165">
                                <a:moveTo>
                                  <a:pt x="280035" y="0"/>
                                </a:moveTo>
                                <a:lnTo>
                                  <a:pt x="0" y="0"/>
                                </a:lnTo>
                              </a:path>
                              <a:path w="280035" h="3479165">
                                <a:moveTo>
                                  <a:pt x="0" y="0"/>
                                </a:moveTo>
                                <a:lnTo>
                                  <a:pt x="635" y="3479165"/>
                                </a:lnTo>
                              </a:path>
                            </a:pathLst>
                          </a:custGeom>
                          <a:ln w="31750">
                            <a:solidFill>
                              <a:srgbClr val="000000"/>
                            </a:solidFill>
                            <a:prstDash val="solid"/>
                          </a:ln>
                        </wps:spPr>
                        <wps:bodyPr wrap="square" lIns="0" tIns="0" rIns="0" bIns="0" rtlCol="0">
                          <a:prstTxWarp prst="textNoShape">
                            <a:avLst/>
                          </a:prstTxWarp>
                          <a:noAutofit/>
                        </wps:bodyPr>
                      </wps:wsp>
                      <wps:wsp>
                        <wps:cNvPr id="222" name="Graphic 222"/>
                        <wps:cNvSpPr/>
                        <wps:spPr>
                          <a:xfrm>
                            <a:off x="1406525" y="2703194"/>
                            <a:ext cx="280035" cy="1059815"/>
                          </a:xfrm>
                          <a:custGeom>
                            <a:avLst/>
                            <a:gdLst/>
                            <a:ahLst/>
                            <a:cxnLst/>
                            <a:rect l="l" t="t" r="r" b="b"/>
                            <a:pathLst>
                              <a:path w="280035" h="1059815">
                                <a:moveTo>
                                  <a:pt x="280035" y="1012190"/>
                                </a:moveTo>
                                <a:lnTo>
                                  <a:pt x="248285" y="996315"/>
                                </a:lnTo>
                                <a:lnTo>
                                  <a:pt x="184785" y="964565"/>
                                </a:lnTo>
                                <a:lnTo>
                                  <a:pt x="184785" y="996315"/>
                                </a:lnTo>
                                <a:lnTo>
                                  <a:pt x="0" y="996315"/>
                                </a:lnTo>
                                <a:lnTo>
                                  <a:pt x="0" y="1028065"/>
                                </a:lnTo>
                                <a:lnTo>
                                  <a:pt x="184785" y="1028065"/>
                                </a:lnTo>
                                <a:lnTo>
                                  <a:pt x="184785" y="1059815"/>
                                </a:lnTo>
                                <a:lnTo>
                                  <a:pt x="248285" y="1028065"/>
                                </a:lnTo>
                                <a:lnTo>
                                  <a:pt x="280035" y="1012190"/>
                                </a:lnTo>
                                <a:close/>
                              </a:path>
                              <a:path w="280035" h="1059815">
                                <a:moveTo>
                                  <a:pt x="280035" y="47625"/>
                                </a:moveTo>
                                <a:lnTo>
                                  <a:pt x="248285" y="31750"/>
                                </a:lnTo>
                                <a:lnTo>
                                  <a:pt x="184785" y="0"/>
                                </a:lnTo>
                                <a:lnTo>
                                  <a:pt x="184785" y="31750"/>
                                </a:lnTo>
                                <a:lnTo>
                                  <a:pt x="0" y="31750"/>
                                </a:lnTo>
                                <a:lnTo>
                                  <a:pt x="0" y="63500"/>
                                </a:lnTo>
                                <a:lnTo>
                                  <a:pt x="184785" y="63500"/>
                                </a:lnTo>
                                <a:lnTo>
                                  <a:pt x="184785" y="95250"/>
                                </a:lnTo>
                                <a:lnTo>
                                  <a:pt x="248285" y="63500"/>
                                </a:lnTo>
                                <a:lnTo>
                                  <a:pt x="280035" y="47625"/>
                                </a:lnTo>
                                <a:close/>
                              </a:path>
                            </a:pathLst>
                          </a:custGeom>
                          <a:solidFill>
                            <a:srgbClr val="000000"/>
                          </a:solidFill>
                        </wps:spPr>
                        <wps:bodyPr wrap="square" lIns="0" tIns="0" rIns="0" bIns="0" rtlCol="0">
                          <a:prstTxWarp prst="textNoShape">
                            <a:avLst/>
                          </a:prstTxWarp>
                          <a:noAutofit/>
                        </wps:bodyPr>
                      </wps:wsp>
                      <wps:wsp>
                        <wps:cNvPr id="223" name="Graphic 223"/>
                        <wps:cNvSpPr/>
                        <wps:spPr>
                          <a:xfrm>
                            <a:off x="1048385" y="445134"/>
                            <a:ext cx="638175" cy="3578225"/>
                          </a:xfrm>
                          <a:custGeom>
                            <a:avLst/>
                            <a:gdLst/>
                            <a:ahLst/>
                            <a:cxnLst/>
                            <a:rect l="l" t="t" r="r" b="b"/>
                            <a:pathLst>
                              <a:path w="638175" h="3578225">
                                <a:moveTo>
                                  <a:pt x="638175" y="3578225"/>
                                </a:moveTo>
                                <a:lnTo>
                                  <a:pt x="0" y="3578225"/>
                                </a:lnTo>
                              </a:path>
                              <a:path w="638175" h="3578225">
                                <a:moveTo>
                                  <a:pt x="0" y="3578225"/>
                                </a:moveTo>
                                <a:lnTo>
                                  <a:pt x="0" y="0"/>
                                </a:lnTo>
                              </a:path>
                            </a:pathLst>
                          </a:custGeom>
                          <a:ln w="31750">
                            <a:solidFill>
                              <a:srgbClr val="000000"/>
                            </a:solidFill>
                            <a:prstDash val="solid"/>
                          </a:ln>
                        </wps:spPr>
                        <wps:bodyPr wrap="square" lIns="0" tIns="0" rIns="0" bIns="0" rtlCol="0">
                          <a:prstTxWarp prst="textNoShape">
                            <a:avLst/>
                          </a:prstTxWarp>
                          <a:noAutofit/>
                        </wps:bodyPr>
                      </wps:wsp>
                      <wps:wsp>
                        <wps:cNvPr id="224" name="Graphic 224"/>
                        <wps:cNvSpPr/>
                        <wps:spPr>
                          <a:xfrm>
                            <a:off x="1048385" y="397509"/>
                            <a:ext cx="638175" cy="95250"/>
                          </a:xfrm>
                          <a:custGeom>
                            <a:avLst/>
                            <a:gdLst/>
                            <a:ahLst/>
                            <a:cxnLst/>
                            <a:rect l="l" t="t" r="r" b="b"/>
                            <a:pathLst>
                              <a:path w="638175" h="95250">
                                <a:moveTo>
                                  <a:pt x="542925" y="0"/>
                                </a:moveTo>
                                <a:lnTo>
                                  <a:pt x="542925" y="95250"/>
                                </a:lnTo>
                                <a:lnTo>
                                  <a:pt x="606425" y="63500"/>
                                </a:lnTo>
                                <a:lnTo>
                                  <a:pt x="558800" y="63500"/>
                                </a:lnTo>
                                <a:lnTo>
                                  <a:pt x="558800" y="31750"/>
                                </a:lnTo>
                                <a:lnTo>
                                  <a:pt x="606425" y="31750"/>
                                </a:lnTo>
                                <a:lnTo>
                                  <a:pt x="542925" y="0"/>
                                </a:lnTo>
                                <a:close/>
                              </a:path>
                              <a:path w="638175" h="95250">
                                <a:moveTo>
                                  <a:pt x="542925" y="31750"/>
                                </a:moveTo>
                                <a:lnTo>
                                  <a:pt x="0" y="31750"/>
                                </a:lnTo>
                                <a:lnTo>
                                  <a:pt x="0" y="63500"/>
                                </a:lnTo>
                                <a:lnTo>
                                  <a:pt x="542925" y="63500"/>
                                </a:lnTo>
                                <a:lnTo>
                                  <a:pt x="542925" y="31750"/>
                                </a:lnTo>
                                <a:close/>
                              </a:path>
                              <a:path w="638175" h="95250">
                                <a:moveTo>
                                  <a:pt x="606425" y="31750"/>
                                </a:moveTo>
                                <a:lnTo>
                                  <a:pt x="558800" y="31750"/>
                                </a:lnTo>
                                <a:lnTo>
                                  <a:pt x="558800" y="63500"/>
                                </a:lnTo>
                                <a:lnTo>
                                  <a:pt x="606425" y="63500"/>
                                </a:lnTo>
                                <a:lnTo>
                                  <a:pt x="638175" y="47625"/>
                                </a:lnTo>
                                <a:lnTo>
                                  <a:pt x="606425" y="31750"/>
                                </a:lnTo>
                                <a:close/>
                              </a:path>
                            </a:pathLst>
                          </a:custGeom>
                          <a:solidFill>
                            <a:srgbClr val="000000"/>
                          </a:solidFill>
                        </wps:spPr>
                        <wps:bodyPr wrap="square" lIns="0" tIns="0" rIns="0" bIns="0" rtlCol="0">
                          <a:prstTxWarp prst="textNoShape">
                            <a:avLst/>
                          </a:prstTxWarp>
                          <a:noAutofit/>
                        </wps:bodyPr>
                      </wps:wsp>
                      <wps:wsp>
                        <wps:cNvPr id="225" name="Graphic 225"/>
                        <wps:cNvSpPr/>
                        <wps:spPr>
                          <a:xfrm>
                            <a:off x="751205" y="662305"/>
                            <a:ext cx="935355" cy="4235450"/>
                          </a:xfrm>
                          <a:custGeom>
                            <a:avLst/>
                            <a:gdLst/>
                            <a:ahLst/>
                            <a:cxnLst/>
                            <a:rect l="l" t="t" r="r" b="b"/>
                            <a:pathLst>
                              <a:path w="935355" h="4235450">
                                <a:moveTo>
                                  <a:pt x="935355" y="0"/>
                                </a:moveTo>
                                <a:lnTo>
                                  <a:pt x="0" y="0"/>
                                </a:lnTo>
                              </a:path>
                              <a:path w="935355" h="4235450">
                                <a:moveTo>
                                  <a:pt x="0" y="0"/>
                                </a:moveTo>
                                <a:lnTo>
                                  <a:pt x="0" y="4235450"/>
                                </a:lnTo>
                              </a:path>
                            </a:pathLst>
                          </a:custGeom>
                          <a:ln w="31750">
                            <a:solidFill>
                              <a:srgbClr val="000000"/>
                            </a:solidFill>
                            <a:prstDash val="solid"/>
                          </a:ln>
                        </wps:spPr>
                        <wps:bodyPr wrap="square" lIns="0" tIns="0" rIns="0" bIns="0" rtlCol="0">
                          <a:prstTxWarp prst="textNoShape">
                            <a:avLst/>
                          </a:prstTxWarp>
                          <a:noAutofit/>
                        </wps:bodyPr>
                      </wps:wsp>
                      <wps:wsp>
                        <wps:cNvPr id="226" name="Graphic 226"/>
                        <wps:cNvSpPr/>
                        <wps:spPr>
                          <a:xfrm>
                            <a:off x="751205" y="4850764"/>
                            <a:ext cx="2054225" cy="643255"/>
                          </a:xfrm>
                          <a:custGeom>
                            <a:avLst/>
                            <a:gdLst/>
                            <a:ahLst/>
                            <a:cxnLst/>
                            <a:rect l="l" t="t" r="r" b="b"/>
                            <a:pathLst>
                              <a:path w="2054225" h="643255">
                                <a:moveTo>
                                  <a:pt x="1122045" y="47625"/>
                                </a:moveTo>
                                <a:lnTo>
                                  <a:pt x="1090295" y="31750"/>
                                </a:lnTo>
                                <a:lnTo>
                                  <a:pt x="1026795" y="0"/>
                                </a:lnTo>
                                <a:lnTo>
                                  <a:pt x="1026795" y="31750"/>
                                </a:lnTo>
                                <a:lnTo>
                                  <a:pt x="0" y="31750"/>
                                </a:lnTo>
                                <a:lnTo>
                                  <a:pt x="0" y="63500"/>
                                </a:lnTo>
                                <a:lnTo>
                                  <a:pt x="1026795" y="63500"/>
                                </a:lnTo>
                                <a:lnTo>
                                  <a:pt x="1026795" y="95250"/>
                                </a:lnTo>
                                <a:lnTo>
                                  <a:pt x="1090295" y="63500"/>
                                </a:lnTo>
                                <a:lnTo>
                                  <a:pt x="1122045" y="47625"/>
                                </a:lnTo>
                                <a:close/>
                              </a:path>
                              <a:path w="2054225" h="643255">
                                <a:moveTo>
                                  <a:pt x="2054225" y="548005"/>
                                </a:moveTo>
                                <a:lnTo>
                                  <a:pt x="2022475" y="548005"/>
                                </a:lnTo>
                                <a:lnTo>
                                  <a:pt x="2022475" y="375285"/>
                                </a:lnTo>
                                <a:lnTo>
                                  <a:pt x="1990725" y="375285"/>
                                </a:lnTo>
                                <a:lnTo>
                                  <a:pt x="1990725" y="548005"/>
                                </a:lnTo>
                                <a:lnTo>
                                  <a:pt x="1958975" y="548005"/>
                                </a:lnTo>
                                <a:lnTo>
                                  <a:pt x="2006600" y="643255"/>
                                </a:lnTo>
                                <a:lnTo>
                                  <a:pt x="2046287" y="563892"/>
                                </a:lnTo>
                                <a:lnTo>
                                  <a:pt x="2054225" y="548005"/>
                                </a:lnTo>
                                <a:close/>
                              </a:path>
                            </a:pathLst>
                          </a:custGeom>
                          <a:solidFill>
                            <a:srgbClr val="000000"/>
                          </a:solidFill>
                        </wps:spPr>
                        <wps:bodyPr wrap="square" lIns="0" tIns="0" rIns="0" bIns="0" rtlCol="0">
                          <a:prstTxWarp prst="textNoShape">
                            <a:avLst/>
                          </a:prstTxWarp>
                          <a:noAutofit/>
                        </wps:bodyPr>
                      </wps:wsp>
                      <wps:wsp>
                        <wps:cNvPr id="227" name="Graphic 227"/>
                        <wps:cNvSpPr/>
                        <wps:spPr>
                          <a:xfrm>
                            <a:off x="751205" y="5683250"/>
                            <a:ext cx="1011555" cy="1270"/>
                          </a:xfrm>
                          <a:custGeom>
                            <a:avLst/>
                            <a:gdLst/>
                            <a:ahLst/>
                            <a:cxnLst/>
                            <a:rect l="l" t="t" r="r" b="b"/>
                            <a:pathLst>
                              <a:path w="1011555" h="0">
                                <a:moveTo>
                                  <a:pt x="1011555" y="0"/>
                                </a:moveTo>
                                <a:lnTo>
                                  <a:pt x="0" y="0"/>
                                </a:lnTo>
                              </a:path>
                            </a:pathLst>
                          </a:custGeom>
                          <a:ln w="31750">
                            <a:solidFill>
                              <a:srgbClr val="000000"/>
                            </a:solidFill>
                            <a:prstDash val="solid"/>
                          </a:ln>
                        </wps:spPr>
                        <wps:bodyPr wrap="square" lIns="0" tIns="0" rIns="0" bIns="0" rtlCol="0">
                          <a:prstTxWarp prst="textNoShape">
                            <a:avLst/>
                          </a:prstTxWarp>
                          <a:noAutofit/>
                        </wps:bodyPr>
                      </wps:wsp>
                      <wps:wsp>
                        <wps:cNvPr id="228" name="Graphic 228"/>
                        <wps:cNvSpPr/>
                        <wps:spPr>
                          <a:xfrm>
                            <a:off x="703580" y="5683250"/>
                            <a:ext cx="3342004" cy="853440"/>
                          </a:xfrm>
                          <a:custGeom>
                            <a:avLst/>
                            <a:gdLst/>
                            <a:ahLst/>
                            <a:cxnLst/>
                            <a:rect l="l" t="t" r="r" b="b"/>
                            <a:pathLst>
                              <a:path w="3342004" h="853440">
                                <a:moveTo>
                                  <a:pt x="95250" y="471170"/>
                                </a:moveTo>
                                <a:lnTo>
                                  <a:pt x="63500" y="471170"/>
                                </a:lnTo>
                                <a:lnTo>
                                  <a:pt x="63500" y="0"/>
                                </a:lnTo>
                                <a:lnTo>
                                  <a:pt x="31750" y="0"/>
                                </a:lnTo>
                                <a:lnTo>
                                  <a:pt x="31750" y="471170"/>
                                </a:lnTo>
                                <a:lnTo>
                                  <a:pt x="0" y="471170"/>
                                </a:lnTo>
                                <a:lnTo>
                                  <a:pt x="47625" y="566420"/>
                                </a:lnTo>
                                <a:lnTo>
                                  <a:pt x="87312" y="487045"/>
                                </a:lnTo>
                                <a:lnTo>
                                  <a:pt x="95250" y="471170"/>
                                </a:lnTo>
                                <a:close/>
                              </a:path>
                              <a:path w="3342004" h="853440">
                                <a:moveTo>
                                  <a:pt x="1378585" y="805815"/>
                                </a:moveTo>
                                <a:lnTo>
                                  <a:pt x="1283462" y="758063"/>
                                </a:lnTo>
                                <a:lnTo>
                                  <a:pt x="1283373" y="789800"/>
                                </a:lnTo>
                                <a:lnTo>
                                  <a:pt x="923290" y="789305"/>
                                </a:lnTo>
                                <a:lnTo>
                                  <a:pt x="923290" y="821055"/>
                                </a:lnTo>
                                <a:lnTo>
                                  <a:pt x="1283284" y="821550"/>
                                </a:lnTo>
                                <a:lnTo>
                                  <a:pt x="1283208" y="853313"/>
                                </a:lnTo>
                                <a:lnTo>
                                  <a:pt x="1346962" y="821563"/>
                                </a:lnTo>
                                <a:lnTo>
                                  <a:pt x="1378585" y="805815"/>
                                </a:lnTo>
                                <a:close/>
                              </a:path>
                              <a:path w="3342004" h="853440">
                                <a:moveTo>
                                  <a:pt x="3342005" y="805815"/>
                                </a:moveTo>
                                <a:lnTo>
                                  <a:pt x="3246755" y="758063"/>
                                </a:lnTo>
                                <a:lnTo>
                                  <a:pt x="3246755" y="789800"/>
                                </a:lnTo>
                                <a:lnTo>
                                  <a:pt x="2820035" y="789305"/>
                                </a:lnTo>
                                <a:lnTo>
                                  <a:pt x="2820035" y="821055"/>
                                </a:lnTo>
                                <a:lnTo>
                                  <a:pt x="3246755" y="821550"/>
                                </a:lnTo>
                                <a:lnTo>
                                  <a:pt x="3246755" y="853313"/>
                                </a:lnTo>
                                <a:lnTo>
                                  <a:pt x="3310420" y="821563"/>
                                </a:lnTo>
                                <a:lnTo>
                                  <a:pt x="3342005" y="805815"/>
                                </a:lnTo>
                                <a:close/>
                              </a:path>
                            </a:pathLst>
                          </a:custGeom>
                          <a:solidFill>
                            <a:srgbClr val="000000"/>
                          </a:solidFill>
                        </wps:spPr>
                        <wps:bodyPr wrap="square" lIns="0" tIns="0" rIns="0" bIns="0" rtlCol="0">
                          <a:prstTxWarp prst="textNoShape">
                            <a:avLst/>
                          </a:prstTxWarp>
                          <a:noAutofit/>
                        </wps:bodyPr>
                      </wps:wsp>
                      <wps:wsp>
                        <wps:cNvPr id="229" name="Textbox 229"/>
                        <wps:cNvSpPr txBox="1"/>
                        <wps:spPr>
                          <a:xfrm>
                            <a:off x="735330" y="0"/>
                            <a:ext cx="3147060" cy="5494020"/>
                          </a:xfrm>
                          <a:prstGeom prst="rect">
                            <a:avLst/>
                          </a:prstGeom>
                        </wps:spPr>
                        <wps:txbx>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08"/>
                                <w:rPr>
                                  <w:sz w:val="18"/>
                                </w:rPr>
                              </w:pPr>
                            </w:p>
                            <w:p>
                              <w:pPr>
                                <w:spacing w:line="276" w:lineRule="auto" w:before="0"/>
                                <w:ind w:left="2044" w:right="84" w:firstLine="0"/>
                                <w:jc w:val="center"/>
                                <w:rPr>
                                  <w:sz w:val="18"/>
                                </w:rPr>
                              </w:pPr>
                              <w:r>
                                <w:rPr>
                                  <w:sz w:val="18"/>
                                </w:rPr>
                                <w:t>The</w:t>
                              </w:r>
                              <w:r>
                                <w:rPr>
                                  <w:spacing w:val="-6"/>
                                  <w:sz w:val="18"/>
                                </w:rPr>
                                <w:t> </w:t>
                              </w:r>
                              <w:r>
                                <w:rPr>
                                  <w:sz w:val="18"/>
                                </w:rPr>
                                <w:t>Governor</w:t>
                              </w:r>
                              <w:r>
                                <w:rPr>
                                  <w:spacing w:val="-8"/>
                                  <w:sz w:val="18"/>
                                </w:rPr>
                                <w:t> </w:t>
                              </w:r>
                              <w:r>
                                <w:rPr>
                                  <w:sz w:val="18"/>
                                </w:rPr>
                                <w:t>receives</w:t>
                              </w:r>
                              <w:r>
                                <w:rPr>
                                  <w:spacing w:val="-8"/>
                                  <w:sz w:val="18"/>
                                </w:rPr>
                                <w:t> </w:t>
                              </w:r>
                              <w:r>
                                <w:rPr>
                                  <w:sz w:val="18"/>
                                </w:rPr>
                                <w:t>the</w:t>
                              </w:r>
                              <w:r>
                                <w:rPr>
                                  <w:spacing w:val="-9"/>
                                  <w:sz w:val="18"/>
                                </w:rPr>
                                <w:t> </w:t>
                              </w:r>
                              <w:r>
                                <w:rPr>
                                  <w:sz w:val="18"/>
                                </w:rPr>
                                <w:t>corrected</w:t>
                              </w:r>
                              <w:r>
                                <w:rPr>
                                  <w:spacing w:val="-7"/>
                                  <w:sz w:val="18"/>
                                </w:rPr>
                                <w:t> </w:t>
                              </w:r>
                              <w:r>
                                <w:rPr>
                                  <w:sz w:val="18"/>
                                </w:rPr>
                                <w:t>or amended proposal and presents to the House of Assembly</w:t>
                              </w:r>
                            </w:p>
                          </w:txbxContent>
                        </wps:txbx>
                        <wps:bodyPr wrap="square" lIns="0" tIns="0" rIns="0" bIns="0" rtlCol="0">
                          <a:noAutofit/>
                        </wps:bodyPr>
                      </wps:wsp>
                      <wps:wsp>
                        <wps:cNvPr id="230" name="Textbox 230"/>
                        <wps:cNvSpPr txBox="1"/>
                        <wps:spPr>
                          <a:xfrm>
                            <a:off x="1686560" y="3392170"/>
                            <a:ext cx="2359025" cy="1019175"/>
                          </a:xfrm>
                          <a:prstGeom prst="rect">
                            <a:avLst/>
                          </a:prstGeom>
                          <a:ln w="31750">
                            <a:solidFill>
                              <a:srgbClr val="C0504D"/>
                            </a:solidFill>
                            <a:prstDash val="solid"/>
                          </a:ln>
                        </wps:spPr>
                        <wps:txbx>
                          <w:txbxContent>
                            <w:p>
                              <w:pPr>
                                <w:spacing w:line="276" w:lineRule="auto" w:before="68"/>
                                <w:ind w:left="176" w:right="174" w:firstLine="2"/>
                                <w:jc w:val="center"/>
                                <w:rPr>
                                  <w:sz w:val="18"/>
                                </w:rPr>
                              </w:pPr>
                              <w:r>
                                <w:rPr>
                                  <w:sz w:val="18"/>
                                </w:rPr>
                                <w:t>Anambra State Executive Council [Governor (head)</w:t>
                              </w:r>
                              <w:r>
                                <w:rPr>
                                  <w:spacing w:val="-11"/>
                                  <w:sz w:val="18"/>
                                </w:rPr>
                                <w:t> </w:t>
                              </w:r>
                              <w:r>
                                <w:rPr>
                                  <w:sz w:val="18"/>
                                </w:rPr>
                                <w:t>Commissioners,</w:t>
                              </w:r>
                              <w:r>
                                <w:rPr>
                                  <w:spacing w:val="-11"/>
                                  <w:sz w:val="18"/>
                                </w:rPr>
                                <w:t> </w:t>
                              </w:r>
                              <w:r>
                                <w:rPr>
                                  <w:sz w:val="18"/>
                                </w:rPr>
                                <w:t>Advisers]</w:t>
                              </w:r>
                              <w:r>
                                <w:rPr>
                                  <w:spacing w:val="-9"/>
                                  <w:sz w:val="18"/>
                                </w:rPr>
                                <w:t> </w:t>
                              </w:r>
                              <w:r>
                                <w:rPr>
                                  <w:sz w:val="18"/>
                                </w:rPr>
                                <w:t>receives</w:t>
                              </w:r>
                              <w:r>
                                <w:rPr>
                                  <w:spacing w:val="-11"/>
                                  <w:sz w:val="18"/>
                                </w:rPr>
                                <w:t> </w:t>
                              </w:r>
                              <w:r>
                                <w:rPr>
                                  <w:sz w:val="18"/>
                                </w:rPr>
                                <w:t>the proposal from the Min. of Budget and Economic Planning and sends it back after vetting, based on priorities and Housing commissioner‘s needs</w:t>
                              </w:r>
                            </w:p>
                          </w:txbxContent>
                        </wps:txbx>
                        <wps:bodyPr wrap="square" lIns="0" tIns="0" rIns="0" bIns="0" rtlCol="0">
                          <a:noAutofit/>
                        </wps:bodyPr>
                      </wps:wsp>
                      <wps:wsp>
                        <wps:cNvPr id="231" name="Textbox 231"/>
                        <wps:cNvSpPr txBox="1"/>
                        <wps:spPr>
                          <a:xfrm>
                            <a:off x="1686560" y="2403475"/>
                            <a:ext cx="2359025" cy="765175"/>
                          </a:xfrm>
                          <a:prstGeom prst="rect">
                            <a:avLst/>
                          </a:prstGeom>
                          <a:ln w="31750">
                            <a:solidFill>
                              <a:srgbClr val="C0504D"/>
                            </a:solidFill>
                            <a:prstDash val="solid"/>
                          </a:ln>
                        </wps:spPr>
                        <wps:txbx>
                          <w:txbxContent>
                            <w:p>
                              <w:pPr>
                                <w:spacing w:line="276" w:lineRule="auto" w:before="67"/>
                                <w:ind w:left="159" w:right="161" w:firstLine="0"/>
                                <w:jc w:val="center"/>
                                <w:rPr>
                                  <w:sz w:val="18"/>
                                </w:rPr>
                              </w:pPr>
                              <w:r>
                                <w:rPr>
                                  <w:sz w:val="18"/>
                                </w:rPr>
                                <w:t>Ministry of Housing is invited for bilateral discussions,</w:t>
                              </w:r>
                              <w:r>
                                <w:rPr>
                                  <w:spacing w:val="-7"/>
                                  <w:sz w:val="18"/>
                                </w:rPr>
                                <w:t> </w:t>
                              </w:r>
                              <w:r>
                                <w:rPr>
                                  <w:sz w:val="18"/>
                                </w:rPr>
                                <w:t>with</w:t>
                              </w:r>
                              <w:r>
                                <w:rPr>
                                  <w:spacing w:val="-6"/>
                                  <w:sz w:val="18"/>
                                </w:rPr>
                                <w:t> </w:t>
                              </w:r>
                              <w:r>
                                <w:rPr>
                                  <w:sz w:val="18"/>
                                </w:rPr>
                                <w:t>the</w:t>
                              </w:r>
                              <w:r>
                                <w:rPr>
                                  <w:spacing w:val="-7"/>
                                  <w:sz w:val="18"/>
                                </w:rPr>
                                <w:t> </w:t>
                              </w:r>
                              <w:r>
                                <w:rPr>
                                  <w:sz w:val="18"/>
                                </w:rPr>
                                <w:t>aim</w:t>
                              </w:r>
                              <w:r>
                                <w:rPr>
                                  <w:spacing w:val="-9"/>
                                  <w:sz w:val="18"/>
                                </w:rPr>
                                <w:t> </w:t>
                              </w:r>
                              <w:r>
                                <w:rPr>
                                  <w:sz w:val="18"/>
                                </w:rPr>
                                <w:t>of</w:t>
                              </w:r>
                              <w:r>
                                <w:rPr>
                                  <w:spacing w:val="-8"/>
                                  <w:sz w:val="18"/>
                                </w:rPr>
                                <w:t> </w:t>
                              </w:r>
                              <w:r>
                                <w:rPr>
                                  <w:sz w:val="18"/>
                                </w:rPr>
                                <w:t>vetting,</w:t>
                              </w:r>
                              <w:r>
                                <w:rPr>
                                  <w:spacing w:val="-7"/>
                                  <w:sz w:val="18"/>
                                </w:rPr>
                                <w:t> </w:t>
                              </w:r>
                              <w:r>
                                <w:rPr>
                                  <w:sz w:val="18"/>
                                </w:rPr>
                                <w:t>cutting down, correcting and ensuring compliance with budget ceiling.</w:t>
                              </w:r>
                            </w:p>
                          </w:txbxContent>
                        </wps:txbx>
                        <wps:bodyPr wrap="square" lIns="0" tIns="0" rIns="0" bIns="0" rtlCol="0">
                          <a:noAutofit/>
                        </wps:bodyPr>
                      </wps:wsp>
                      <wps:wsp>
                        <wps:cNvPr id="232" name="Textbox 232"/>
                        <wps:cNvSpPr txBox="1"/>
                        <wps:spPr>
                          <a:xfrm>
                            <a:off x="1762760" y="5494020"/>
                            <a:ext cx="2103755" cy="447040"/>
                          </a:xfrm>
                          <a:prstGeom prst="rect">
                            <a:avLst/>
                          </a:prstGeom>
                          <a:ln w="31750">
                            <a:solidFill>
                              <a:srgbClr val="C0504D"/>
                            </a:solidFill>
                            <a:prstDash val="solid"/>
                          </a:ln>
                        </wps:spPr>
                        <wps:txbx>
                          <w:txbxContent>
                            <w:p>
                              <w:pPr>
                                <w:spacing w:line="276" w:lineRule="auto" w:before="68"/>
                                <w:ind w:left="495" w:right="162" w:hanging="68"/>
                                <w:jc w:val="left"/>
                                <w:rPr>
                                  <w:sz w:val="18"/>
                                </w:rPr>
                              </w:pPr>
                              <w:r>
                                <w:rPr>
                                  <w:sz w:val="18"/>
                                </w:rPr>
                                <w:t>The</w:t>
                              </w:r>
                              <w:r>
                                <w:rPr>
                                  <w:spacing w:val="-8"/>
                                  <w:sz w:val="18"/>
                                </w:rPr>
                                <w:t> </w:t>
                              </w:r>
                              <w:r>
                                <w:rPr>
                                  <w:sz w:val="18"/>
                                </w:rPr>
                                <w:t>State</w:t>
                              </w:r>
                              <w:r>
                                <w:rPr>
                                  <w:spacing w:val="-8"/>
                                  <w:sz w:val="18"/>
                                </w:rPr>
                                <w:t> </w:t>
                              </w:r>
                              <w:r>
                                <w:rPr>
                                  <w:sz w:val="18"/>
                                </w:rPr>
                                <w:t>House</w:t>
                              </w:r>
                              <w:r>
                                <w:rPr>
                                  <w:spacing w:val="-8"/>
                                  <w:sz w:val="18"/>
                                </w:rPr>
                                <w:t> </w:t>
                              </w:r>
                              <w:r>
                                <w:rPr>
                                  <w:sz w:val="18"/>
                                </w:rPr>
                                <w:t>of</w:t>
                              </w:r>
                              <w:r>
                                <w:rPr>
                                  <w:spacing w:val="-9"/>
                                  <w:sz w:val="18"/>
                                </w:rPr>
                                <w:t> </w:t>
                              </w:r>
                              <w:r>
                                <w:rPr>
                                  <w:sz w:val="18"/>
                                </w:rPr>
                                <w:t>Assembly</w:t>
                              </w:r>
                              <w:r>
                                <w:rPr>
                                  <w:spacing w:val="-11"/>
                                  <w:sz w:val="18"/>
                                </w:rPr>
                                <w:t> </w:t>
                              </w:r>
                              <w:r>
                                <w:rPr>
                                  <w:sz w:val="18"/>
                                </w:rPr>
                                <w:t>invites ministries to defend their proposals</w:t>
                              </w:r>
                            </w:p>
                          </w:txbxContent>
                        </wps:txbx>
                        <wps:bodyPr wrap="square" lIns="0" tIns="0" rIns="0" bIns="0" rtlCol="0">
                          <a:noAutofit/>
                        </wps:bodyPr>
                      </wps:wsp>
                      <wps:wsp>
                        <wps:cNvPr id="233" name="Textbox 233"/>
                        <wps:cNvSpPr txBox="1"/>
                        <wps:spPr>
                          <a:xfrm>
                            <a:off x="2082164" y="6249670"/>
                            <a:ext cx="1441450" cy="775335"/>
                          </a:xfrm>
                          <a:prstGeom prst="rect">
                            <a:avLst/>
                          </a:prstGeom>
                          <a:ln w="31750">
                            <a:solidFill>
                              <a:srgbClr val="C0504D"/>
                            </a:solidFill>
                            <a:prstDash val="solid"/>
                          </a:ln>
                        </wps:spPr>
                        <wps:txbx>
                          <w:txbxContent>
                            <w:p>
                              <w:pPr>
                                <w:spacing w:line="276" w:lineRule="auto" w:before="69"/>
                                <w:ind w:left="155" w:right="155" w:firstLine="3"/>
                                <w:jc w:val="center"/>
                                <w:rPr>
                                  <w:sz w:val="20"/>
                                </w:rPr>
                              </w:pPr>
                              <w:r>
                                <w:rPr>
                                  <w:sz w:val="20"/>
                                </w:rPr>
                                <w:t>Production of final budget document via the Ministry of budget and</w:t>
                              </w:r>
                              <w:r>
                                <w:rPr>
                                  <w:spacing w:val="-13"/>
                                  <w:sz w:val="20"/>
                                </w:rPr>
                                <w:t> </w:t>
                              </w:r>
                              <w:r>
                                <w:rPr>
                                  <w:sz w:val="20"/>
                                </w:rPr>
                                <w:t>Economic</w:t>
                              </w:r>
                              <w:r>
                                <w:rPr>
                                  <w:spacing w:val="-12"/>
                                  <w:sz w:val="20"/>
                                </w:rPr>
                                <w:t> </w:t>
                              </w:r>
                              <w:r>
                                <w:rPr>
                                  <w:sz w:val="20"/>
                                </w:rPr>
                                <w:t>Planning</w:t>
                              </w:r>
                            </w:p>
                          </w:txbxContent>
                        </wps:txbx>
                        <wps:bodyPr wrap="square" lIns="0" tIns="0" rIns="0" bIns="0" rtlCol="0">
                          <a:noAutofit/>
                        </wps:bodyPr>
                      </wps:wsp>
                      <wps:wsp>
                        <wps:cNvPr id="234" name="Textbox 234"/>
                        <wps:cNvSpPr txBox="1"/>
                        <wps:spPr>
                          <a:xfrm>
                            <a:off x="15875" y="6249670"/>
                            <a:ext cx="1610995" cy="595630"/>
                          </a:xfrm>
                          <a:prstGeom prst="rect">
                            <a:avLst/>
                          </a:prstGeom>
                          <a:ln w="31750">
                            <a:solidFill>
                              <a:srgbClr val="C0504D"/>
                            </a:solidFill>
                            <a:prstDash val="solid"/>
                          </a:ln>
                        </wps:spPr>
                        <wps:txbx>
                          <w:txbxContent>
                            <w:p>
                              <w:pPr>
                                <w:spacing w:line="276" w:lineRule="auto" w:before="69"/>
                                <w:ind w:left="389" w:right="123" w:firstLine="0"/>
                                <w:jc w:val="center"/>
                                <w:rPr>
                                  <w:sz w:val="20"/>
                                </w:rPr>
                              </w:pPr>
                              <w:r>
                                <w:rPr>
                                  <w:sz w:val="20"/>
                                </w:rPr>
                                <w:t>Legislative</w:t>
                              </w:r>
                              <w:r>
                                <w:rPr>
                                  <w:spacing w:val="-13"/>
                                  <w:sz w:val="20"/>
                                </w:rPr>
                                <w:t> </w:t>
                              </w:r>
                              <w:r>
                                <w:rPr>
                                  <w:sz w:val="20"/>
                                </w:rPr>
                                <w:t>approval</w:t>
                              </w:r>
                              <w:r>
                                <w:rPr>
                                  <w:spacing w:val="-12"/>
                                  <w:sz w:val="20"/>
                                </w:rPr>
                                <w:t> </w:t>
                              </w:r>
                              <w:r>
                                <w:rPr>
                                  <w:sz w:val="20"/>
                                </w:rPr>
                                <w:t>and assent by the Executive </w:t>
                              </w:r>
                              <w:r>
                                <w:rPr>
                                  <w:spacing w:val="-2"/>
                                  <w:sz w:val="20"/>
                                </w:rPr>
                                <w:t>Governor</w:t>
                              </w:r>
                            </w:p>
                          </w:txbxContent>
                        </wps:txbx>
                        <wps:bodyPr wrap="square" lIns="0" tIns="0" rIns="0" bIns="0" rtlCol="0">
                          <a:noAutofit/>
                        </wps:bodyPr>
                      </wps:wsp>
                      <wps:wsp>
                        <wps:cNvPr id="235" name="Textbox 235"/>
                        <wps:cNvSpPr txBox="1"/>
                        <wps:spPr>
                          <a:xfrm>
                            <a:off x="4045584" y="6226175"/>
                            <a:ext cx="1099185" cy="501015"/>
                          </a:xfrm>
                          <a:prstGeom prst="rect">
                            <a:avLst/>
                          </a:prstGeom>
                          <a:ln w="31750">
                            <a:solidFill>
                              <a:srgbClr val="C0504D"/>
                            </a:solidFill>
                            <a:prstDash val="solid"/>
                          </a:ln>
                        </wps:spPr>
                        <wps:txbx>
                          <w:txbxContent>
                            <w:p>
                              <w:pPr>
                                <w:spacing w:line="276" w:lineRule="auto" w:before="70"/>
                                <w:ind w:left="145" w:right="265" w:firstLine="0"/>
                                <w:jc w:val="left"/>
                                <w:rPr>
                                  <w:sz w:val="20"/>
                                </w:rPr>
                              </w:pPr>
                              <w:r>
                                <w:rPr>
                                  <w:sz w:val="20"/>
                                </w:rPr>
                                <w:t>Housing</w:t>
                              </w:r>
                              <w:r>
                                <w:rPr>
                                  <w:spacing w:val="-13"/>
                                  <w:sz w:val="20"/>
                                </w:rPr>
                                <w:t> </w:t>
                              </w:r>
                              <w:r>
                                <w:rPr>
                                  <w:sz w:val="20"/>
                                </w:rPr>
                                <w:t>budget </w:t>
                              </w:r>
                              <w:r>
                                <w:rPr>
                                  <w:spacing w:val="-2"/>
                                  <w:sz w:val="20"/>
                                </w:rPr>
                                <w:t>implementation</w:t>
                              </w:r>
                            </w:p>
                          </w:txbxContent>
                        </wps:txbx>
                        <wps:bodyPr wrap="square" lIns="0" tIns="0" rIns="0" bIns="0" rtlCol="0">
                          <a:noAutofit/>
                        </wps:bodyPr>
                      </wps:wsp>
                    </wpg:wgp>
                  </a:graphicData>
                </a:graphic>
              </wp:anchor>
            </w:drawing>
          </mc:Choice>
          <mc:Fallback>
            <w:pict>
              <v:group style="position:absolute;margin-left:99pt;margin-top:18.751171pt;width:406.35pt;height:554.4pt;mso-position-horizontal-relative:page;mso-position-vertical-relative:paragraph;z-index:-15716352;mso-wrap-distance-left:0;mso-wrap-distance-right:0" id="docshapegroup202" coordorigin="1980,375" coordsize="8127,11088">
                <v:rect style="position:absolute;left:4853;top:7634;width:3216;height:971" id="docshape203" filled="false" stroked="true" strokeweight="2.5pt" strokecolor="#c0504d">
                  <v:stroke dashstyle="solid"/>
                </v:rect>
                <v:shape style="position:absolute;left:3944;top:450;width:2521;height:3443" id="docshape204" coordorigin="3944,450" coordsize="2521,3443" path="m6464,3598l6464,3893m6465,3893l3945,3893m3945,3893l3944,450e" filled="false" stroked="true" strokeweight="2.5pt" strokecolor="#000000">
                  <v:path arrowok="t"/>
                  <v:stroke dashstyle="solid"/>
                </v:shape>
                <v:shape style="position:absolute;left:3944;top:375;width:692;height:150" id="docshape205" coordorigin="3944,375" coordsize="692,150" path="m4486,375l4486,525,4586,475,4511,475,4511,425,4586,425,4486,375xm4486,425l3944,425,3944,475,4486,475,4486,425xm4586,425l4511,425,4511,475,4586,475,4636,450,4586,425xe" filled="true" fillcolor="#000000" stroked="false">
                  <v:path arrowok="t"/>
                  <v:fill type="solid"/>
                </v:shape>
                <v:shape style="position:absolute;left:4195;top:747;width:441;height:5479" id="docshape206" coordorigin="4195,747" coordsize="441,5479" path="m4636,747l4195,747m4195,747l4196,6226e" filled="false" stroked="true" strokeweight="2.5pt" strokecolor="#000000">
                  <v:path arrowok="t"/>
                  <v:stroke dashstyle="solid"/>
                </v:shape>
                <v:shape style="position:absolute;left:4195;top:4632;width:441;height:1669" id="docshape207" coordorigin="4195,4632" coordsize="441,1669" path="m4636,6226l4586,6201,4486,6151,4486,6201,4195,6201,4195,6251,4486,6251,4486,6301,4586,6251,4636,6226xm4636,4707l4586,4682,4486,4632,4486,4682,4195,4682,4195,4732,4486,4732,4486,4782,4586,4732,4636,4707xe" filled="true" fillcolor="#000000" stroked="false">
                  <v:path arrowok="t"/>
                  <v:fill type="solid"/>
                </v:shape>
                <v:shape style="position:absolute;left:3631;top:1076;width:1005;height:5635" id="docshape208" coordorigin="3631,1076" coordsize="1005,5635" path="m4636,6711l3631,6711m3631,6711l3631,1076e" filled="false" stroked="true" strokeweight="2.5pt" strokecolor="#000000">
                  <v:path arrowok="t"/>
                  <v:stroke dashstyle="solid"/>
                </v:shape>
                <v:shape style="position:absolute;left:3631;top:1001;width:1005;height:150" id="docshape209" coordorigin="3631,1001" coordsize="1005,150" path="m4486,1001l4486,1151,4586,1101,4511,1101,4511,1051,4586,1051,4486,1001xm4486,1051l3631,1051,3631,1101,4486,1101,4486,1051xm4586,1051l4511,1051,4511,1101,4586,1101,4636,1076,4586,1051xe" filled="true" fillcolor="#000000" stroked="false">
                  <v:path arrowok="t"/>
                  <v:fill type="solid"/>
                </v:shape>
                <v:shape style="position:absolute;left:3163;top:1418;width:1473;height:6670" id="docshape210" coordorigin="3163,1418" coordsize="1473,6670" path="m4636,1418l3163,1418m3163,1418l3163,8088e" filled="false" stroked="true" strokeweight="2.5pt" strokecolor="#000000">
                  <v:path arrowok="t"/>
                  <v:stroke dashstyle="solid"/>
                </v:shape>
                <v:shape style="position:absolute;left:3163;top:8014;width:3235;height:1013" id="docshape211" coordorigin="3163,8014" coordsize="3235,1013" path="m4930,8089l4880,8064,4780,8014,4780,8064,3163,8064,3163,8114,4780,8114,4780,8164,4880,8114,4930,8089xm6398,8877l6348,8877,6348,8605,6298,8605,6298,8877,6248,8877,6323,9027,6386,8902,6398,8877xe" filled="true" fillcolor="#000000" stroked="false">
                  <v:path arrowok="t"/>
                  <v:fill type="solid"/>
                </v:shape>
                <v:line style="position:absolute" from="4756,9325" to="3163,9325" stroked="true" strokeweight="2.5pt" strokecolor="#000000">
                  <v:stroke dashstyle="solid"/>
                </v:line>
                <v:shape style="position:absolute;left:3088;top:9325;width:5263;height:1344" id="docshape212" coordorigin="3088,9325" coordsize="5263,1344" path="m3238,10067l3188,10067,3188,9325,3138,9325,3138,10067,3088,10067,3163,10217,3226,10092,3238,10067xm5259,10594l5109,10519,5109,10569,4542,10568,4542,10618,5109,10619,5109,10669,5209,10619,5259,10594xm8351,10594l8201,10519,8201,10569,7529,10568,7529,10618,8201,10619,8201,10669,8301,10619,8351,10594xe" filled="true" fillcolor="#000000" stroked="false">
                  <v:path arrowok="t"/>
                  <v:fill type="solid"/>
                </v:shape>
                <v:shape style="position:absolute;left:3138;top:375;width:4956;height:8652" type="#_x0000_t202" id="docshape213"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08"/>
                          <w:rPr>
                            <w:sz w:val="18"/>
                          </w:rPr>
                        </w:pPr>
                      </w:p>
                      <w:p>
                        <w:pPr>
                          <w:spacing w:line="276" w:lineRule="auto" w:before="0"/>
                          <w:ind w:left="2044" w:right="84" w:firstLine="0"/>
                          <w:jc w:val="center"/>
                          <w:rPr>
                            <w:sz w:val="18"/>
                          </w:rPr>
                        </w:pPr>
                        <w:r>
                          <w:rPr>
                            <w:sz w:val="18"/>
                          </w:rPr>
                          <w:t>The</w:t>
                        </w:r>
                        <w:r>
                          <w:rPr>
                            <w:spacing w:val="-6"/>
                            <w:sz w:val="18"/>
                          </w:rPr>
                          <w:t> </w:t>
                        </w:r>
                        <w:r>
                          <w:rPr>
                            <w:sz w:val="18"/>
                          </w:rPr>
                          <w:t>Governor</w:t>
                        </w:r>
                        <w:r>
                          <w:rPr>
                            <w:spacing w:val="-8"/>
                            <w:sz w:val="18"/>
                          </w:rPr>
                          <w:t> </w:t>
                        </w:r>
                        <w:r>
                          <w:rPr>
                            <w:sz w:val="18"/>
                          </w:rPr>
                          <w:t>receives</w:t>
                        </w:r>
                        <w:r>
                          <w:rPr>
                            <w:spacing w:val="-8"/>
                            <w:sz w:val="18"/>
                          </w:rPr>
                          <w:t> </w:t>
                        </w:r>
                        <w:r>
                          <w:rPr>
                            <w:sz w:val="18"/>
                          </w:rPr>
                          <w:t>the</w:t>
                        </w:r>
                        <w:r>
                          <w:rPr>
                            <w:spacing w:val="-9"/>
                            <w:sz w:val="18"/>
                          </w:rPr>
                          <w:t> </w:t>
                        </w:r>
                        <w:r>
                          <w:rPr>
                            <w:sz w:val="18"/>
                          </w:rPr>
                          <w:t>corrected</w:t>
                        </w:r>
                        <w:r>
                          <w:rPr>
                            <w:spacing w:val="-7"/>
                            <w:sz w:val="18"/>
                          </w:rPr>
                          <w:t> </w:t>
                        </w:r>
                        <w:r>
                          <w:rPr>
                            <w:sz w:val="18"/>
                          </w:rPr>
                          <w:t>or amended proposal and presents to the House of Assembly</w:t>
                        </w:r>
                      </w:p>
                    </w:txbxContent>
                  </v:textbox>
                  <w10:wrap type="none"/>
                </v:shape>
                <v:shape style="position:absolute;left:4636;top:5717;width:3715;height:1605" type="#_x0000_t202" id="docshape214" filled="false" stroked="true" strokeweight="2.5pt" strokecolor="#c0504d">
                  <v:textbox inset="0,0,0,0">
                    <w:txbxContent>
                      <w:p>
                        <w:pPr>
                          <w:spacing w:line="276" w:lineRule="auto" w:before="68"/>
                          <w:ind w:left="176" w:right="174" w:firstLine="2"/>
                          <w:jc w:val="center"/>
                          <w:rPr>
                            <w:sz w:val="18"/>
                          </w:rPr>
                        </w:pPr>
                        <w:r>
                          <w:rPr>
                            <w:sz w:val="18"/>
                          </w:rPr>
                          <w:t>Anambra State Executive Council [Governor (head)</w:t>
                        </w:r>
                        <w:r>
                          <w:rPr>
                            <w:spacing w:val="-11"/>
                            <w:sz w:val="18"/>
                          </w:rPr>
                          <w:t> </w:t>
                        </w:r>
                        <w:r>
                          <w:rPr>
                            <w:sz w:val="18"/>
                          </w:rPr>
                          <w:t>Commissioners,</w:t>
                        </w:r>
                        <w:r>
                          <w:rPr>
                            <w:spacing w:val="-11"/>
                            <w:sz w:val="18"/>
                          </w:rPr>
                          <w:t> </w:t>
                        </w:r>
                        <w:r>
                          <w:rPr>
                            <w:sz w:val="18"/>
                          </w:rPr>
                          <w:t>Advisers]</w:t>
                        </w:r>
                        <w:r>
                          <w:rPr>
                            <w:spacing w:val="-9"/>
                            <w:sz w:val="18"/>
                          </w:rPr>
                          <w:t> </w:t>
                        </w:r>
                        <w:r>
                          <w:rPr>
                            <w:sz w:val="18"/>
                          </w:rPr>
                          <w:t>receives</w:t>
                        </w:r>
                        <w:r>
                          <w:rPr>
                            <w:spacing w:val="-11"/>
                            <w:sz w:val="18"/>
                          </w:rPr>
                          <w:t> </w:t>
                        </w:r>
                        <w:r>
                          <w:rPr>
                            <w:sz w:val="18"/>
                          </w:rPr>
                          <w:t>the proposal from the Min. of Budget and Economic Planning and sends it back after vetting, based on priorities and Housing commissioner‘s needs</w:t>
                        </w:r>
                      </w:p>
                    </w:txbxContent>
                  </v:textbox>
                  <v:stroke dashstyle="solid"/>
                  <w10:wrap type="none"/>
                </v:shape>
                <v:shape style="position:absolute;left:4636;top:4160;width:3715;height:1205" type="#_x0000_t202" id="docshape215" filled="false" stroked="true" strokeweight="2.5pt" strokecolor="#c0504d">
                  <v:textbox inset="0,0,0,0">
                    <w:txbxContent>
                      <w:p>
                        <w:pPr>
                          <w:spacing w:line="276" w:lineRule="auto" w:before="67"/>
                          <w:ind w:left="159" w:right="161" w:firstLine="0"/>
                          <w:jc w:val="center"/>
                          <w:rPr>
                            <w:sz w:val="18"/>
                          </w:rPr>
                        </w:pPr>
                        <w:r>
                          <w:rPr>
                            <w:sz w:val="18"/>
                          </w:rPr>
                          <w:t>Ministry of Housing is invited for bilateral discussions,</w:t>
                        </w:r>
                        <w:r>
                          <w:rPr>
                            <w:spacing w:val="-7"/>
                            <w:sz w:val="18"/>
                          </w:rPr>
                          <w:t> </w:t>
                        </w:r>
                        <w:r>
                          <w:rPr>
                            <w:sz w:val="18"/>
                          </w:rPr>
                          <w:t>with</w:t>
                        </w:r>
                        <w:r>
                          <w:rPr>
                            <w:spacing w:val="-6"/>
                            <w:sz w:val="18"/>
                          </w:rPr>
                          <w:t> </w:t>
                        </w:r>
                        <w:r>
                          <w:rPr>
                            <w:sz w:val="18"/>
                          </w:rPr>
                          <w:t>the</w:t>
                        </w:r>
                        <w:r>
                          <w:rPr>
                            <w:spacing w:val="-7"/>
                            <w:sz w:val="18"/>
                          </w:rPr>
                          <w:t> </w:t>
                        </w:r>
                        <w:r>
                          <w:rPr>
                            <w:sz w:val="18"/>
                          </w:rPr>
                          <w:t>aim</w:t>
                        </w:r>
                        <w:r>
                          <w:rPr>
                            <w:spacing w:val="-9"/>
                            <w:sz w:val="18"/>
                          </w:rPr>
                          <w:t> </w:t>
                        </w:r>
                        <w:r>
                          <w:rPr>
                            <w:sz w:val="18"/>
                          </w:rPr>
                          <w:t>of</w:t>
                        </w:r>
                        <w:r>
                          <w:rPr>
                            <w:spacing w:val="-8"/>
                            <w:sz w:val="18"/>
                          </w:rPr>
                          <w:t> </w:t>
                        </w:r>
                        <w:r>
                          <w:rPr>
                            <w:sz w:val="18"/>
                          </w:rPr>
                          <w:t>vetting,</w:t>
                        </w:r>
                        <w:r>
                          <w:rPr>
                            <w:spacing w:val="-7"/>
                            <w:sz w:val="18"/>
                          </w:rPr>
                          <w:t> </w:t>
                        </w:r>
                        <w:r>
                          <w:rPr>
                            <w:sz w:val="18"/>
                          </w:rPr>
                          <w:t>cutting down, correcting and ensuring compliance with budget ceiling.</w:t>
                        </w:r>
                      </w:p>
                    </w:txbxContent>
                  </v:textbox>
                  <v:stroke dashstyle="solid"/>
                  <w10:wrap type="none"/>
                </v:shape>
                <v:shape style="position:absolute;left:4756;top:9027;width:3313;height:704" type="#_x0000_t202" id="docshape216" filled="false" stroked="true" strokeweight="2.5pt" strokecolor="#c0504d">
                  <v:textbox inset="0,0,0,0">
                    <w:txbxContent>
                      <w:p>
                        <w:pPr>
                          <w:spacing w:line="276" w:lineRule="auto" w:before="68"/>
                          <w:ind w:left="495" w:right="162" w:hanging="68"/>
                          <w:jc w:val="left"/>
                          <w:rPr>
                            <w:sz w:val="18"/>
                          </w:rPr>
                        </w:pPr>
                        <w:r>
                          <w:rPr>
                            <w:sz w:val="18"/>
                          </w:rPr>
                          <w:t>The</w:t>
                        </w:r>
                        <w:r>
                          <w:rPr>
                            <w:spacing w:val="-8"/>
                            <w:sz w:val="18"/>
                          </w:rPr>
                          <w:t> </w:t>
                        </w:r>
                        <w:r>
                          <w:rPr>
                            <w:sz w:val="18"/>
                          </w:rPr>
                          <w:t>State</w:t>
                        </w:r>
                        <w:r>
                          <w:rPr>
                            <w:spacing w:val="-8"/>
                            <w:sz w:val="18"/>
                          </w:rPr>
                          <w:t> </w:t>
                        </w:r>
                        <w:r>
                          <w:rPr>
                            <w:sz w:val="18"/>
                          </w:rPr>
                          <w:t>House</w:t>
                        </w:r>
                        <w:r>
                          <w:rPr>
                            <w:spacing w:val="-8"/>
                            <w:sz w:val="18"/>
                          </w:rPr>
                          <w:t> </w:t>
                        </w:r>
                        <w:r>
                          <w:rPr>
                            <w:sz w:val="18"/>
                          </w:rPr>
                          <w:t>of</w:t>
                        </w:r>
                        <w:r>
                          <w:rPr>
                            <w:spacing w:val="-9"/>
                            <w:sz w:val="18"/>
                          </w:rPr>
                          <w:t> </w:t>
                        </w:r>
                        <w:r>
                          <w:rPr>
                            <w:sz w:val="18"/>
                          </w:rPr>
                          <w:t>Assembly</w:t>
                        </w:r>
                        <w:r>
                          <w:rPr>
                            <w:spacing w:val="-11"/>
                            <w:sz w:val="18"/>
                          </w:rPr>
                          <w:t> </w:t>
                        </w:r>
                        <w:r>
                          <w:rPr>
                            <w:sz w:val="18"/>
                          </w:rPr>
                          <w:t>invites ministries to defend their proposals</w:t>
                        </w:r>
                      </w:p>
                    </w:txbxContent>
                  </v:textbox>
                  <v:stroke dashstyle="solid"/>
                  <w10:wrap type="none"/>
                </v:shape>
                <v:shape style="position:absolute;left:5259;top:10217;width:2270;height:1221" type="#_x0000_t202" id="docshape217" filled="false" stroked="true" strokeweight="2.5pt" strokecolor="#c0504d">
                  <v:textbox inset="0,0,0,0">
                    <w:txbxContent>
                      <w:p>
                        <w:pPr>
                          <w:spacing w:line="276" w:lineRule="auto" w:before="69"/>
                          <w:ind w:left="155" w:right="155" w:firstLine="3"/>
                          <w:jc w:val="center"/>
                          <w:rPr>
                            <w:sz w:val="20"/>
                          </w:rPr>
                        </w:pPr>
                        <w:r>
                          <w:rPr>
                            <w:sz w:val="20"/>
                          </w:rPr>
                          <w:t>Production of final budget document via the Ministry of budget and</w:t>
                        </w:r>
                        <w:r>
                          <w:rPr>
                            <w:spacing w:val="-13"/>
                            <w:sz w:val="20"/>
                          </w:rPr>
                          <w:t> </w:t>
                        </w:r>
                        <w:r>
                          <w:rPr>
                            <w:sz w:val="20"/>
                          </w:rPr>
                          <w:t>Economic</w:t>
                        </w:r>
                        <w:r>
                          <w:rPr>
                            <w:spacing w:val="-12"/>
                            <w:sz w:val="20"/>
                          </w:rPr>
                          <w:t> </w:t>
                        </w:r>
                        <w:r>
                          <w:rPr>
                            <w:sz w:val="20"/>
                          </w:rPr>
                          <w:t>Planning</w:t>
                        </w:r>
                      </w:p>
                    </w:txbxContent>
                  </v:textbox>
                  <v:stroke dashstyle="solid"/>
                  <w10:wrap type="none"/>
                </v:shape>
                <v:shape style="position:absolute;left:2005;top:10217;width:2537;height:938" type="#_x0000_t202" id="docshape218" filled="false" stroked="true" strokeweight="2.5pt" strokecolor="#c0504d">
                  <v:textbox inset="0,0,0,0">
                    <w:txbxContent>
                      <w:p>
                        <w:pPr>
                          <w:spacing w:line="276" w:lineRule="auto" w:before="69"/>
                          <w:ind w:left="389" w:right="123" w:firstLine="0"/>
                          <w:jc w:val="center"/>
                          <w:rPr>
                            <w:sz w:val="20"/>
                          </w:rPr>
                        </w:pPr>
                        <w:r>
                          <w:rPr>
                            <w:sz w:val="20"/>
                          </w:rPr>
                          <w:t>Legislative</w:t>
                        </w:r>
                        <w:r>
                          <w:rPr>
                            <w:spacing w:val="-13"/>
                            <w:sz w:val="20"/>
                          </w:rPr>
                          <w:t> </w:t>
                        </w:r>
                        <w:r>
                          <w:rPr>
                            <w:sz w:val="20"/>
                          </w:rPr>
                          <w:t>approval</w:t>
                        </w:r>
                        <w:r>
                          <w:rPr>
                            <w:spacing w:val="-12"/>
                            <w:sz w:val="20"/>
                          </w:rPr>
                          <w:t> </w:t>
                        </w:r>
                        <w:r>
                          <w:rPr>
                            <w:sz w:val="20"/>
                          </w:rPr>
                          <w:t>and assent by the Executive </w:t>
                        </w:r>
                        <w:r>
                          <w:rPr>
                            <w:spacing w:val="-2"/>
                            <w:sz w:val="20"/>
                          </w:rPr>
                          <w:t>Governor</w:t>
                        </w:r>
                      </w:p>
                    </w:txbxContent>
                  </v:textbox>
                  <v:stroke dashstyle="solid"/>
                  <w10:wrap type="none"/>
                </v:shape>
                <v:shape style="position:absolute;left:8351;top:10180;width:1731;height:789" type="#_x0000_t202" id="docshape219" filled="false" stroked="true" strokeweight="2.5pt" strokecolor="#c0504d">
                  <v:textbox inset="0,0,0,0">
                    <w:txbxContent>
                      <w:p>
                        <w:pPr>
                          <w:spacing w:line="276" w:lineRule="auto" w:before="70"/>
                          <w:ind w:left="145" w:right="265" w:firstLine="0"/>
                          <w:jc w:val="left"/>
                          <w:rPr>
                            <w:sz w:val="20"/>
                          </w:rPr>
                        </w:pPr>
                        <w:r>
                          <w:rPr>
                            <w:sz w:val="20"/>
                          </w:rPr>
                          <w:t>Housing</w:t>
                        </w:r>
                        <w:r>
                          <w:rPr>
                            <w:spacing w:val="-13"/>
                            <w:sz w:val="20"/>
                          </w:rPr>
                          <w:t> </w:t>
                        </w:r>
                        <w:r>
                          <w:rPr>
                            <w:sz w:val="20"/>
                          </w:rPr>
                          <w:t>budget </w:t>
                        </w:r>
                        <w:r>
                          <w:rPr>
                            <w:spacing w:val="-2"/>
                            <w:sz w:val="20"/>
                          </w:rPr>
                          <w:t>implementation</w:t>
                        </w:r>
                      </w:p>
                    </w:txbxContent>
                  </v:textbox>
                  <v:stroke dashstyle="solid"/>
                  <w10:wrap type="none"/>
                </v:shape>
                <w10:wrap type="topAndBottom"/>
              </v:group>
            </w:pict>
          </mc:Fallback>
        </mc:AlternateContent>
      </w:r>
    </w:p>
    <w:p>
      <w:pPr>
        <w:pStyle w:val="BodyText"/>
        <w:spacing w:before="23"/>
      </w:pPr>
    </w:p>
    <w:p>
      <w:pPr>
        <w:pStyle w:val="BodyText"/>
        <w:ind w:left="240" w:right="840"/>
      </w:pPr>
      <w:r>
        <w:rPr>
          <w:b/>
        </w:rPr>
        <w:t>Figure</w:t>
      </w:r>
      <w:r>
        <w:rPr>
          <w:b/>
          <w:spacing w:val="-1"/>
        </w:rPr>
        <w:t> </w:t>
      </w:r>
      <w:r>
        <w:rPr>
          <w:b/>
        </w:rPr>
        <w:t>3.6: </w:t>
      </w:r>
      <w:r>
        <w:rPr/>
        <w:t>Flowchart of the housing budget process in Anambra</w:t>
      </w:r>
      <w:r>
        <w:rPr>
          <w:spacing w:val="-1"/>
        </w:rPr>
        <w:t> </w:t>
      </w:r>
      <w:r>
        <w:rPr/>
        <w:t>State (Researcher‘s field work, </w:t>
      </w:r>
      <w:r>
        <w:rPr>
          <w:spacing w:val="-2"/>
        </w:rPr>
        <w:t>2016)</w:t>
      </w:r>
    </w:p>
    <w:p>
      <w:pPr>
        <w:spacing w:after="0"/>
        <w:sectPr>
          <w:pgSz w:w="12240" w:h="15840"/>
          <w:pgMar w:header="0" w:footer="1036" w:top="1360" w:bottom="1220" w:left="1200" w:right="600"/>
        </w:sectPr>
      </w:pPr>
    </w:p>
    <w:p>
      <w:pPr>
        <w:pStyle w:val="Heading3"/>
        <w:numPr>
          <w:ilvl w:val="1"/>
          <w:numId w:val="27"/>
        </w:numPr>
        <w:tabs>
          <w:tab w:pos="628" w:val="left" w:leader="none"/>
        </w:tabs>
        <w:spacing w:line="240" w:lineRule="auto" w:before="60" w:after="0"/>
        <w:ind w:left="628" w:right="0" w:hanging="388"/>
        <w:jc w:val="both"/>
      </w:pPr>
      <w:r>
        <w:rPr/>
        <w:t>Allocation</w:t>
      </w:r>
      <w:r>
        <w:rPr>
          <w:spacing w:val="-7"/>
        </w:rPr>
        <w:t> </w:t>
      </w:r>
      <w:r>
        <w:rPr/>
        <w:t>and</w:t>
      </w:r>
      <w:r>
        <w:rPr>
          <w:spacing w:val="-6"/>
        </w:rPr>
        <w:t> </w:t>
      </w:r>
      <w:r>
        <w:rPr/>
        <w:t>Implementation</w:t>
      </w:r>
      <w:r>
        <w:rPr>
          <w:spacing w:val="-7"/>
        </w:rPr>
        <w:t> </w:t>
      </w:r>
      <w:r>
        <w:rPr/>
        <w:t>of</w:t>
      </w:r>
      <w:r>
        <w:rPr>
          <w:spacing w:val="-6"/>
        </w:rPr>
        <w:t> </w:t>
      </w:r>
      <w:r>
        <w:rPr/>
        <w:t>the</w:t>
      </w:r>
      <w:r>
        <w:rPr>
          <w:spacing w:val="-7"/>
        </w:rPr>
        <w:t> </w:t>
      </w:r>
      <w:r>
        <w:rPr/>
        <w:t>Housing</w:t>
      </w:r>
      <w:r>
        <w:rPr>
          <w:spacing w:val="-6"/>
        </w:rPr>
        <w:t> </w:t>
      </w:r>
      <w:r>
        <w:rPr/>
        <w:t>Budget</w:t>
      </w:r>
      <w:r>
        <w:rPr>
          <w:spacing w:val="-7"/>
        </w:rPr>
        <w:t> </w:t>
      </w:r>
      <w:r>
        <w:rPr/>
        <w:t>in</w:t>
      </w:r>
      <w:r>
        <w:rPr>
          <w:spacing w:val="-6"/>
        </w:rPr>
        <w:t> </w:t>
      </w:r>
      <w:r>
        <w:rPr/>
        <w:t>Anambra</w:t>
      </w:r>
      <w:r>
        <w:rPr>
          <w:spacing w:val="-7"/>
        </w:rPr>
        <w:t> </w:t>
      </w:r>
      <w:r>
        <w:rPr>
          <w:spacing w:val="-2"/>
        </w:rPr>
        <w:t>State</w:t>
      </w:r>
    </w:p>
    <w:p>
      <w:pPr>
        <w:pStyle w:val="BodyText"/>
        <w:spacing w:line="360" w:lineRule="auto" w:before="108"/>
        <w:ind w:left="240" w:right="837"/>
        <w:jc w:val="both"/>
      </w:pPr>
      <w:r>
        <w:rPr/>
        <w:t>Very limited empirical studies have been carried out with respect to housing sector budgeting in Anambra State. The closest of such studies is that of Amakom (2013), which however dwelt on public budgeting as it relates to all economic sectors of Anambra State from a period of 2007 – 2013 and the European Development Fund (2007) which covered a period of three years; 2004- </w:t>
      </w:r>
      <w:r>
        <w:rPr>
          <w:spacing w:val="-2"/>
        </w:rPr>
        <w:t>2006.</w:t>
      </w:r>
    </w:p>
    <w:p>
      <w:pPr>
        <w:pStyle w:val="BodyText"/>
        <w:spacing w:before="138"/>
      </w:pPr>
    </w:p>
    <w:p>
      <w:pPr>
        <w:pStyle w:val="BodyText"/>
        <w:spacing w:line="360" w:lineRule="auto"/>
        <w:ind w:left="240" w:right="836"/>
        <w:jc w:val="both"/>
      </w:pPr>
      <w:r>
        <w:rPr/>
        <w:t>Amakom (2013), who notes that inefficiency has marred the Anambra State budget system. She specifically points out that budget thrusts and philosophy were often violated during budget allocation across the years judging by the true sectoral budget priorities instead of the priorities</w:t>
      </w:r>
      <w:r>
        <w:rPr>
          <w:spacing w:val="40"/>
        </w:rPr>
        <w:t> </w:t>
      </w:r>
      <w:r>
        <w:rPr/>
        <w:t>of the budget speech. A summary of the general picture of budget allocation for the entire</w:t>
      </w:r>
      <w:r>
        <w:rPr>
          <w:spacing w:val="40"/>
        </w:rPr>
        <w:t> </w:t>
      </w:r>
      <w:r>
        <w:rPr/>
        <w:t>ANIDS and Vision 20:2020 period shows that the true budget priorities, in order, are: Works (Roads, Bridges &amp; Drainages); Education; Office of Secretary to the State Government (SSG); Executive Governor's Office/Government House; Health, Housing and Urban Development; etc.</w:t>
      </w:r>
    </w:p>
    <w:p>
      <w:pPr>
        <w:pStyle w:val="BodyText"/>
        <w:spacing w:before="36"/>
      </w:pPr>
    </w:p>
    <w:p>
      <w:pPr>
        <w:pStyle w:val="BodyText"/>
        <w:spacing w:line="360" w:lineRule="auto"/>
        <w:ind w:left="240" w:right="837"/>
        <w:jc w:val="both"/>
      </w:pPr>
      <w:r>
        <w:rPr/>
        <w:t>It</w:t>
      </w:r>
      <w:r>
        <w:rPr>
          <w:spacing w:val="-1"/>
        </w:rPr>
        <w:t> </w:t>
      </w:r>
      <w:r>
        <w:rPr/>
        <w:t>is equally</w:t>
      </w:r>
      <w:r>
        <w:rPr>
          <w:spacing w:val="-6"/>
        </w:rPr>
        <w:t> </w:t>
      </w:r>
      <w:r>
        <w:rPr/>
        <w:t>interesting</w:t>
      </w:r>
      <w:r>
        <w:rPr>
          <w:spacing w:val="-4"/>
        </w:rPr>
        <w:t> </w:t>
      </w:r>
      <w:r>
        <w:rPr/>
        <w:t>to note</w:t>
      </w:r>
      <w:r>
        <w:rPr>
          <w:spacing w:val="-1"/>
        </w:rPr>
        <w:t> </w:t>
      </w:r>
      <w:r>
        <w:rPr/>
        <w:t>that</w:t>
      </w:r>
      <w:r>
        <w:rPr>
          <w:spacing w:val="-1"/>
        </w:rPr>
        <w:t> </w:t>
      </w:r>
      <w:r>
        <w:rPr/>
        <w:t>the</w:t>
      </w:r>
      <w:r>
        <w:rPr>
          <w:spacing w:val="-2"/>
        </w:rPr>
        <w:t> </w:t>
      </w:r>
      <w:r>
        <w:rPr/>
        <w:t>Office</w:t>
      </w:r>
      <w:r>
        <w:rPr>
          <w:spacing w:val="-2"/>
        </w:rPr>
        <w:t> </w:t>
      </w:r>
      <w:r>
        <w:rPr/>
        <w:t>of</w:t>
      </w:r>
      <w:r>
        <w:rPr>
          <w:spacing w:val="-1"/>
        </w:rPr>
        <w:t> </w:t>
      </w:r>
      <w:r>
        <w:rPr/>
        <w:t>the</w:t>
      </w:r>
      <w:r>
        <w:rPr>
          <w:spacing w:val="-2"/>
        </w:rPr>
        <w:t> </w:t>
      </w:r>
      <w:r>
        <w:rPr/>
        <w:t>Secretary</w:t>
      </w:r>
      <w:r>
        <w:rPr>
          <w:spacing w:val="-6"/>
        </w:rPr>
        <w:t> </w:t>
      </w:r>
      <w:r>
        <w:rPr/>
        <w:t>to</w:t>
      </w:r>
      <w:r>
        <w:rPr>
          <w:spacing w:val="-1"/>
        </w:rPr>
        <w:t> </w:t>
      </w:r>
      <w:r>
        <w:rPr/>
        <w:t>the</w:t>
      </w:r>
      <w:r>
        <w:rPr>
          <w:spacing w:val="-2"/>
        </w:rPr>
        <w:t> </w:t>
      </w:r>
      <w:r>
        <w:rPr/>
        <w:t>State</w:t>
      </w:r>
      <w:r>
        <w:rPr>
          <w:spacing w:val="-2"/>
        </w:rPr>
        <w:t> </w:t>
      </w:r>
      <w:r>
        <w:rPr/>
        <w:t>Government</w:t>
      </w:r>
      <w:r>
        <w:rPr>
          <w:spacing w:val="-1"/>
        </w:rPr>
        <w:t> </w:t>
      </w:r>
      <w:r>
        <w:rPr/>
        <w:t>(SSG)</w:t>
      </w:r>
      <w:r>
        <w:rPr>
          <w:spacing w:val="-1"/>
        </w:rPr>
        <w:t> </w:t>
      </w:r>
      <w:r>
        <w:rPr/>
        <w:t>for the period (2007-2013) attracted more budget allocation than Water Supply &amp; Resources, Rural Electrification, Lands, Survey &amp; Urban Planning, Commerce and Industry as well as Public Utilities and Community Development put together while the office of the Executive Governor/Government House attracted more budget allocation than Agriculture &amp; Natural Resources,</w:t>
      </w:r>
      <w:r>
        <w:rPr>
          <w:spacing w:val="-2"/>
        </w:rPr>
        <w:t> </w:t>
      </w:r>
      <w:r>
        <w:rPr/>
        <w:t>Rural</w:t>
      </w:r>
      <w:r>
        <w:rPr>
          <w:spacing w:val="-2"/>
        </w:rPr>
        <w:t> </w:t>
      </w:r>
      <w:r>
        <w:rPr/>
        <w:t>Electrification</w:t>
      </w:r>
      <w:r>
        <w:rPr>
          <w:spacing w:val="-2"/>
        </w:rPr>
        <w:t> </w:t>
      </w:r>
      <w:r>
        <w:rPr/>
        <w:t>and</w:t>
      </w:r>
      <w:r>
        <w:rPr>
          <w:spacing w:val="-2"/>
        </w:rPr>
        <w:t> </w:t>
      </w:r>
      <w:r>
        <w:rPr/>
        <w:t>Water</w:t>
      </w:r>
      <w:r>
        <w:rPr>
          <w:spacing w:val="-2"/>
        </w:rPr>
        <w:t> </w:t>
      </w:r>
      <w:r>
        <w:rPr/>
        <w:t>Supply</w:t>
      </w:r>
      <w:r>
        <w:rPr>
          <w:spacing w:val="-5"/>
        </w:rPr>
        <w:t> </w:t>
      </w:r>
      <w:r>
        <w:rPr/>
        <w:t>&amp;</w:t>
      </w:r>
      <w:r>
        <w:rPr>
          <w:spacing w:val="-4"/>
        </w:rPr>
        <w:t> </w:t>
      </w:r>
      <w:r>
        <w:rPr/>
        <w:t>Resources</w:t>
      </w:r>
      <w:r>
        <w:rPr>
          <w:spacing w:val="-2"/>
        </w:rPr>
        <w:t> </w:t>
      </w:r>
      <w:r>
        <w:rPr/>
        <w:t>put</w:t>
      </w:r>
      <w:r>
        <w:rPr>
          <w:spacing w:val="-2"/>
        </w:rPr>
        <w:t> </w:t>
      </w:r>
      <w:r>
        <w:rPr/>
        <w:t>together</w:t>
      </w:r>
      <w:r>
        <w:rPr>
          <w:spacing w:val="-2"/>
        </w:rPr>
        <w:t> </w:t>
      </w:r>
      <w:r>
        <w:rPr/>
        <w:t>for</w:t>
      </w:r>
      <w:r>
        <w:rPr>
          <w:spacing w:val="-1"/>
        </w:rPr>
        <w:t> </w:t>
      </w:r>
      <w:r>
        <w:rPr/>
        <w:t>the</w:t>
      </w:r>
      <w:r>
        <w:rPr>
          <w:spacing w:val="-2"/>
        </w:rPr>
        <w:t> </w:t>
      </w:r>
      <w:r>
        <w:rPr/>
        <w:t>same</w:t>
      </w:r>
      <w:r>
        <w:rPr>
          <w:spacing w:val="-3"/>
        </w:rPr>
        <w:t> </w:t>
      </w:r>
      <w:r>
        <w:rPr/>
        <w:t>period. This goes to show that Anambra has a poor history of designing budgets to reflect key development priorities, which often leads to poor implementation (El-Rufai, 2012).</w:t>
      </w:r>
    </w:p>
    <w:p>
      <w:pPr>
        <w:pStyle w:val="BodyText"/>
        <w:spacing w:line="360" w:lineRule="auto" w:before="231"/>
        <w:ind w:left="240" w:right="840"/>
      </w:pPr>
      <w:r>
        <w:rPr/>
        <w:t>Amakom (2013) surmises by stating that the serious weaknesses observed in the Anambra State budget are as follows:</w:t>
      </w:r>
    </w:p>
    <w:p>
      <w:pPr>
        <w:pStyle w:val="ListParagraph"/>
        <w:numPr>
          <w:ilvl w:val="0"/>
          <w:numId w:val="67"/>
        </w:numPr>
        <w:tabs>
          <w:tab w:pos="960" w:val="left" w:leader="none"/>
        </w:tabs>
        <w:spacing w:line="360" w:lineRule="auto" w:before="1" w:after="0"/>
        <w:ind w:left="960" w:right="841" w:hanging="360"/>
        <w:jc w:val="left"/>
        <w:rPr>
          <w:sz w:val="24"/>
        </w:rPr>
      </w:pPr>
      <w:r>
        <w:rPr>
          <w:sz w:val="24"/>
        </w:rPr>
        <w:t>The State government plan(s) which set out state and sectoral objectives and policies are not always linked to the availability of resources through a sound fiscal framework;</w:t>
      </w:r>
    </w:p>
    <w:p>
      <w:pPr>
        <w:pStyle w:val="ListParagraph"/>
        <w:numPr>
          <w:ilvl w:val="0"/>
          <w:numId w:val="67"/>
        </w:numPr>
        <w:tabs>
          <w:tab w:pos="960" w:val="left" w:leader="none"/>
        </w:tabs>
        <w:spacing w:line="360" w:lineRule="auto" w:before="0" w:after="0"/>
        <w:ind w:left="960" w:right="845" w:hanging="360"/>
        <w:jc w:val="left"/>
        <w:rPr>
          <w:sz w:val="24"/>
        </w:rPr>
      </w:pPr>
      <w:r>
        <w:rPr>
          <w:sz w:val="24"/>
        </w:rPr>
        <w:t>The</w:t>
      </w:r>
      <w:r>
        <w:rPr>
          <w:spacing w:val="32"/>
          <w:sz w:val="24"/>
        </w:rPr>
        <w:t> </w:t>
      </w:r>
      <w:r>
        <w:rPr>
          <w:sz w:val="24"/>
        </w:rPr>
        <w:t>budget</w:t>
      </w:r>
      <w:r>
        <w:rPr>
          <w:spacing w:val="34"/>
          <w:sz w:val="24"/>
        </w:rPr>
        <w:t> </w:t>
      </w:r>
      <w:r>
        <w:rPr>
          <w:sz w:val="24"/>
        </w:rPr>
        <w:t>preparation</w:t>
      </w:r>
      <w:r>
        <w:rPr>
          <w:spacing w:val="34"/>
          <w:sz w:val="24"/>
        </w:rPr>
        <w:t> </w:t>
      </w:r>
      <w:r>
        <w:rPr>
          <w:sz w:val="24"/>
        </w:rPr>
        <w:t>process</w:t>
      </w:r>
      <w:r>
        <w:rPr>
          <w:spacing w:val="34"/>
          <w:sz w:val="24"/>
        </w:rPr>
        <w:t> </w:t>
      </w:r>
      <w:r>
        <w:rPr>
          <w:sz w:val="24"/>
        </w:rPr>
        <w:t>most</w:t>
      </w:r>
      <w:r>
        <w:rPr>
          <w:spacing w:val="35"/>
          <w:sz w:val="24"/>
        </w:rPr>
        <w:t> </w:t>
      </w:r>
      <w:r>
        <w:rPr>
          <w:sz w:val="24"/>
        </w:rPr>
        <w:t>times</w:t>
      </w:r>
      <w:r>
        <w:rPr>
          <w:spacing w:val="33"/>
          <w:sz w:val="24"/>
        </w:rPr>
        <w:t> </w:t>
      </w:r>
      <w:r>
        <w:rPr>
          <w:sz w:val="24"/>
        </w:rPr>
        <w:t>does</w:t>
      </w:r>
      <w:r>
        <w:rPr>
          <w:spacing w:val="36"/>
          <w:sz w:val="24"/>
        </w:rPr>
        <w:t> </w:t>
      </w:r>
      <w:r>
        <w:rPr>
          <w:sz w:val="24"/>
        </w:rPr>
        <w:t>not</w:t>
      </w:r>
      <w:r>
        <w:rPr>
          <w:spacing w:val="34"/>
          <w:sz w:val="24"/>
        </w:rPr>
        <w:t> </w:t>
      </w:r>
      <w:r>
        <w:rPr>
          <w:sz w:val="24"/>
        </w:rPr>
        <w:t>link</w:t>
      </w:r>
      <w:r>
        <w:rPr>
          <w:spacing w:val="34"/>
          <w:sz w:val="24"/>
        </w:rPr>
        <w:t> </w:t>
      </w:r>
      <w:r>
        <w:rPr>
          <w:sz w:val="24"/>
        </w:rPr>
        <w:t>policies,</w:t>
      </w:r>
      <w:r>
        <w:rPr>
          <w:spacing w:val="33"/>
          <w:sz w:val="24"/>
        </w:rPr>
        <w:t> </w:t>
      </w:r>
      <w:r>
        <w:rPr>
          <w:sz w:val="24"/>
        </w:rPr>
        <w:t>the</w:t>
      </w:r>
      <w:r>
        <w:rPr>
          <w:spacing w:val="33"/>
          <w:sz w:val="24"/>
        </w:rPr>
        <w:t> </w:t>
      </w:r>
      <w:r>
        <w:rPr>
          <w:sz w:val="24"/>
        </w:rPr>
        <w:t>achievement</w:t>
      </w:r>
      <w:r>
        <w:rPr>
          <w:spacing w:val="34"/>
          <w:sz w:val="24"/>
        </w:rPr>
        <w:t> </w:t>
      </w:r>
      <w:r>
        <w:rPr>
          <w:sz w:val="24"/>
        </w:rPr>
        <w:t>of objectives and meeting of targets with the funds required;</w:t>
      </w:r>
    </w:p>
    <w:p>
      <w:pPr>
        <w:pStyle w:val="ListParagraph"/>
        <w:numPr>
          <w:ilvl w:val="0"/>
          <w:numId w:val="67"/>
        </w:numPr>
        <w:tabs>
          <w:tab w:pos="960" w:val="left" w:leader="none"/>
        </w:tabs>
        <w:spacing w:line="360" w:lineRule="auto" w:before="0" w:after="0"/>
        <w:ind w:left="960" w:right="838" w:hanging="360"/>
        <w:jc w:val="left"/>
        <w:rPr>
          <w:sz w:val="24"/>
        </w:rPr>
      </w:pPr>
      <w:r>
        <w:rPr>
          <w:sz w:val="24"/>
        </w:rPr>
        <w:t>There is greater emphasis on control of inputs and less on improving sector performance through meeting its objectives and targets;</w:t>
      </w:r>
    </w:p>
    <w:p>
      <w:pPr>
        <w:spacing w:after="0" w:line="360" w:lineRule="auto"/>
        <w:jc w:val="left"/>
        <w:rPr>
          <w:sz w:val="24"/>
        </w:rPr>
        <w:sectPr>
          <w:pgSz w:w="12240" w:h="15840"/>
          <w:pgMar w:header="0" w:footer="1036" w:top="1380" w:bottom="1220" w:left="1200" w:right="600"/>
        </w:sectPr>
      </w:pPr>
    </w:p>
    <w:p>
      <w:pPr>
        <w:pStyle w:val="ListParagraph"/>
        <w:numPr>
          <w:ilvl w:val="0"/>
          <w:numId w:val="67"/>
        </w:numPr>
        <w:tabs>
          <w:tab w:pos="960" w:val="left" w:leader="none"/>
        </w:tabs>
        <w:spacing w:line="360" w:lineRule="auto" w:before="74" w:after="0"/>
        <w:ind w:left="960" w:right="843" w:hanging="360"/>
        <w:jc w:val="both"/>
        <w:rPr>
          <w:sz w:val="24"/>
        </w:rPr>
      </w:pPr>
      <w:r>
        <w:rPr>
          <w:sz w:val="24"/>
        </w:rPr>
        <w:t>Both the recurrent and capital budgets are prepared on an incremental basis (adding a percentage to last year‘s estimates) without reviewing whether the activities that are</w:t>
      </w:r>
      <w:r>
        <w:rPr>
          <w:spacing w:val="40"/>
          <w:sz w:val="24"/>
        </w:rPr>
        <w:t> </w:t>
      </w:r>
      <w:r>
        <w:rPr>
          <w:sz w:val="24"/>
        </w:rPr>
        <w:t>being funded are in line with policy and whether it should be continued;</w:t>
      </w:r>
    </w:p>
    <w:p>
      <w:pPr>
        <w:pStyle w:val="ListParagraph"/>
        <w:numPr>
          <w:ilvl w:val="0"/>
          <w:numId w:val="67"/>
        </w:numPr>
        <w:tabs>
          <w:tab w:pos="960" w:val="left" w:leader="none"/>
        </w:tabs>
        <w:spacing w:line="360" w:lineRule="auto" w:before="0" w:after="0"/>
        <w:ind w:left="960" w:right="843" w:hanging="360"/>
        <w:jc w:val="both"/>
        <w:rPr>
          <w:sz w:val="24"/>
        </w:rPr>
      </w:pPr>
      <w:r>
        <w:rPr>
          <w:sz w:val="24"/>
        </w:rPr>
        <w:t>The investment budget is made up of a large number of projects, making it more difficult to link the activities funded through the investment budget to the government‘s own </w:t>
      </w:r>
      <w:r>
        <w:rPr>
          <w:spacing w:val="-2"/>
          <w:sz w:val="24"/>
        </w:rPr>
        <w:t>priorities;</w:t>
      </w:r>
    </w:p>
    <w:p>
      <w:pPr>
        <w:pStyle w:val="ListParagraph"/>
        <w:numPr>
          <w:ilvl w:val="0"/>
          <w:numId w:val="67"/>
        </w:numPr>
        <w:tabs>
          <w:tab w:pos="958" w:val="left" w:leader="none"/>
          <w:tab w:pos="960" w:val="left" w:leader="none"/>
        </w:tabs>
        <w:spacing w:line="360" w:lineRule="auto" w:before="1" w:after="0"/>
        <w:ind w:left="960" w:right="841" w:hanging="360"/>
        <w:jc w:val="both"/>
        <w:rPr>
          <w:sz w:val="24"/>
        </w:rPr>
      </w:pPr>
      <w:r>
        <w:rPr>
          <w:sz w:val="24"/>
        </w:rPr>
        <w:t>Medium term planning is still weak while reporting of revenues on a net basis serves to undermine comprehensiveness and transparency;</w:t>
      </w:r>
    </w:p>
    <w:p>
      <w:pPr>
        <w:pStyle w:val="ListParagraph"/>
        <w:numPr>
          <w:ilvl w:val="0"/>
          <w:numId w:val="67"/>
        </w:numPr>
        <w:tabs>
          <w:tab w:pos="958" w:val="left" w:leader="none"/>
          <w:tab w:pos="960" w:val="left" w:leader="none"/>
        </w:tabs>
        <w:spacing w:line="360" w:lineRule="auto" w:before="0" w:after="0"/>
        <w:ind w:left="960" w:right="841" w:hanging="360"/>
        <w:jc w:val="both"/>
        <w:rPr>
          <w:sz w:val="24"/>
        </w:rPr>
      </w:pPr>
      <w:r>
        <w:rPr>
          <w:sz w:val="24"/>
        </w:rPr>
        <w:t>MDAs are still unable to predict resource availability for capital investment thereby undermining their abilities to successfully execute their budgets; and</w:t>
      </w:r>
    </w:p>
    <w:p>
      <w:pPr>
        <w:pStyle w:val="ListParagraph"/>
        <w:numPr>
          <w:ilvl w:val="0"/>
          <w:numId w:val="67"/>
        </w:numPr>
        <w:tabs>
          <w:tab w:pos="959" w:val="left" w:leader="none"/>
        </w:tabs>
        <w:spacing w:line="240" w:lineRule="auto" w:before="0" w:after="0"/>
        <w:ind w:left="959" w:right="0" w:hanging="359"/>
        <w:jc w:val="both"/>
        <w:rPr>
          <w:sz w:val="24"/>
        </w:rPr>
      </w:pPr>
      <w:r>
        <w:rPr>
          <w:sz w:val="24"/>
        </w:rPr>
        <w:t>Lack</w:t>
      </w:r>
      <w:r>
        <w:rPr>
          <w:spacing w:val="-2"/>
          <w:sz w:val="24"/>
        </w:rPr>
        <w:t> </w:t>
      </w:r>
      <w:r>
        <w:rPr>
          <w:sz w:val="24"/>
        </w:rPr>
        <w:t>of citizen</w:t>
      </w:r>
      <w:r>
        <w:rPr>
          <w:spacing w:val="-1"/>
          <w:sz w:val="24"/>
        </w:rPr>
        <w:t> </w:t>
      </w:r>
      <w:r>
        <w:rPr>
          <w:spacing w:val="-2"/>
          <w:sz w:val="24"/>
        </w:rPr>
        <w:t>participation.</w:t>
      </w:r>
    </w:p>
    <w:p>
      <w:pPr>
        <w:pStyle w:val="BodyText"/>
      </w:pPr>
    </w:p>
    <w:p>
      <w:pPr>
        <w:pStyle w:val="BodyText"/>
        <w:spacing w:line="360" w:lineRule="auto"/>
        <w:ind w:left="240" w:right="844"/>
        <w:jc w:val="both"/>
      </w:pPr>
      <w:r>
        <w:rPr/>
        <w:t>Addressing the above lapses and strengthening of the budgetary and oversight roles of the Anambra State legislature via different approaches to improve the quality, effectiveness and efficiency of budgets and budgeting, will be highly beneficial to the State.</w:t>
      </w:r>
    </w:p>
    <w:p>
      <w:pPr>
        <w:pStyle w:val="BodyText"/>
        <w:spacing w:before="23"/>
      </w:pPr>
    </w:p>
    <w:p>
      <w:pPr>
        <w:pStyle w:val="BodyText"/>
        <w:spacing w:line="360" w:lineRule="auto"/>
        <w:ind w:left="240" w:right="833"/>
        <w:jc w:val="both"/>
      </w:pPr>
      <w:r>
        <w:rPr/>
        <w:t>Anecdotal evidence also shows that Anambra State Government has not shown commitment on delivering completed housing projects, but other sectors such as the works sector is well catered for and well funded.</w:t>
      </w:r>
      <w:r>
        <w:rPr>
          <w:spacing w:val="40"/>
        </w:rPr>
        <w:t> </w:t>
      </w:r>
      <w:r>
        <w:rPr/>
        <w:t>However, just recently in 2016, the administration proposed to develop 1,000 housing units at Isiagu, Awka South L.G.A. Despite this commendable initiative or plan, the scheme is yet to materialize because the Government is yet to release funds for the scheme. This scenario</w:t>
      </w:r>
      <w:r>
        <w:rPr>
          <w:spacing w:val="-1"/>
        </w:rPr>
        <w:t> </w:t>
      </w:r>
      <w:r>
        <w:rPr/>
        <w:t>is unhealthy</w:t>
      </w:r>
      <w:r>
        <w:rPr>
          <w:spacing w:val="-3"/>
        </w:rPr>
        <w:t> </w:t>
      </w:r>
      <w:r>
        <w:rPr/>
        <w:t>for</w:t>
      </w:r>
      <w:r>
        <w:rPr>
          <w:spacing w:val="-1"/>
        </w:rPr>
        <w:t> </w:t>
      </w:r>
      <w:r>
        <w:rPr/>
        <w:t>the</w:t>
      </w:r>
      <w:r>
        <w:rPr>
          <w:spacing w:val="-1"/>
        </w:rPr>
        <w:t> </w:t>
      </w:r>
      <w:r>
        <w:rPr/>
        <w:t>State‘s</w:t>
      </w:r>
      <w:r>
        <w:rPr>
          <w:spacing w:val="-1"/>
        </w:rPr>
        <w:t> </w:t>
      </w:r>
      <w:r>
        <w:rPr/>
        <w:t>housing sector,</w:t>
      </w:r>
      <w:r>
        <w:rPr>
          <w:spacing w:val="-1"/>
        </w:rPr>
        <w:t> </w:t>
      </w:r>
      <w:r>
        <w:rPr/>
        <w:t>because as Jinadu</w:t>
      </w:r>
      <w:r>
        <w:rPr>
          <w:spacing w:val="-1"/>
        </w:rPr>
        <w:t> </w:t>
      </w:r>
      <w:r>
        <w:rPr/>
        <w:t>(2004)</w:t>
      </w:r>
      <w:r>
        <w:rPr>
          <w:spacing w:val="-1"/>
        </w:rPr>
        <w:t> </w:t>
      </w:r>
      <w:r>
        <w:rPr/>
        <w:t>states; finance is considered the most important factor of housing</w:t>
      </w:r>
      <w:r>
        <w:rPr>
          <w:spacing w:val="-2"/>
        </w:rPr>
        <w:t> </w:t>
      </w:r>
      <w:r>
        <w:rPr/>
        <w:t>production, hence adequate finance is the first requirement for successful and effective housing delivery. This is a major factor that has also contributed to the slow pace and non-development of previous schemes in Anambra State.</w:t>
      </w:r>
    </w:p>
    <w:p>
      <w:pPr>
        <w:pStyle w:val="BodyText"/>
        <w:spacing w:before="51"/>
      </w:pPr>
    </w:p>
    <w:p>
      <w:pPr>
        <w:pStyle w:val="BodyText"/>
        <w:spacing w:line="360" w:lineRule="auto"/>
        <w:ind w:left="240" w:right="838"/>
        <w:jc w:val="both"/>
      </w:pPr>
      <w:r>
        <w:rPr/>
        <w:t>The following instance also corroborates the neglect of residential or social housing schemes by the Anambra State Government.</w:t>
      </w:r>
      <w:r>
        <w:rPr>
          <w:spacing w:val="40"/>
        </w:rPr>
        <w:t> </w:t>
      </w:r>
      <w:r>
        <w:rPr/>
        <w:t>The State‘s Housing Corporation has practically been left to fend for itself in terms of sourcing funds for infrastructure development in these estates and</w:t>
      </w:r>
      <w:r>
        <w:rPr>
          <w:spacing w:val="40"/>
        </w:rPr>
        <w:t> </w:t>
      </w:r>
      <w:r>
        <w:rPr/>
        <w:t>make profit. In other words, most housing estate schemes are handled by the corporation and most times they receive little or no support from the government. However, the government sometimes assists</w:t>
      </w:r>
      <w:r>
        <w:rPr>
          <w:spacing w:val="2"/>
        </w:rPr>
        <w:t> </w:t>
      </w:r>
      <w:r>
        <w:rPr/>
        <w:t>in</w:t>
      </w:r>
      <w:r>
        <w:rPr>
          <w:spacing w:val="-1"/>
        </w:rPr>
        <w:t> </w:t>
      </w:r>
      <w:r>
        <w:rPr/>
        <w:t>terms</w:t>
      </w:r>
      <w:r>
        <w:rPr>
          <w:spacing w:val="2"/>
        </w:rPr>
        <w:t> </w:t>
      </w:r>
      <w:r>
        <w:rPr/>
        <w:t>of land</w:t>
      </w:r>
      <w:r>
        <w:rPr>
          <w:spacing w:val="1"/>
        </w:rPr>
        <w:t> </w:t>
      </w:r>
      <w:r>
        <w:rPr/>
        <w:t>acquisition.</w:t>
      </w:r>
      <w:r>
        <w:rPr>
          <w:spacing w:val="1"/>
        </w:rPr>
        <w:t> </w:t>
      </w:r>
      <w:r>
        <w:rPr/>
        <w:t>The issue</w:t>
      </w:r>
      <w:r>
        <w:rPr>
          <w:spacing w:val="1"/>
        </w:rPr>
        <w:t> </w:t>
      </w:r>
      <w:r>
        <w:rPr/>
        <w:t>however,</w:t>
      </w:r>
      <w:r>
        <w:rPr>
          <w:spacing w:val="66"/>
        </w:rPr>
        <w:t> </w:t>
      </w:r>
      <w:r>
        <w:rPr/>
        <w:t>is</w:t>
      </w:r>
      <w:r>
        <w:rPr>
          <w:spacing w:val="1"/>
        </w:rPr>
        <w:t> </w:t>
      </w:r>
      <w:r>
        <w:rPr/>
        <w:t>that</w:t>
      </w:r>
      <w:r>
        <w:rPr>
          <w:spacing w:val="2"/>
        </w:rPr>
        <w:t> </w:t>
      </w:r>
      <w:r>
        <w:rPr/>
        <w:t>estates</w:t>
      </w:r>
      <w:r>
        <w:rPr>
          <w:spacing w:val="1"/>
        </w:rPr>
        <w:t> </w:t>
      </w:r>
      <w:r>
        <w:rPr/>
        <w:t>executed</w:t>
      </w:r>
      <w:r>
        <w:rPr>
          <w:spacing w:val="1"/>
        </w:rPr>
        <w:t> </w:t>
      </w:r>
      <w:r>
        <w:rPr/>
        <w:t>by</w:t>
      </w:r>
      <w:r>
        <w:rPr>
          <w:spacing w:val="-3"/>
        </w:rPr>
        <w:t> </w:t>
      </w:r>
      <w:r>
        <w:rPr>
          <w:spacing w:val="-5"/>
        </w:rPr>
        <w:t>the</w:t>
      </w:r>
    </w:p>
    <w:p>
      <w:pPr>
        <w:spacing w:after="0" w:line="360" w:lineRule="auto"/>
        <w:jc w:val="both"/>
        <w:sectPr>
          <w:pgSz w:w="12240" w:h="15840"/>
          <w:pgMar w:header="0" w:footer="1036" w:top="1360" w:bottom="1220" w:left="1200" w:right="600"/>
        </w:sectPr>
      </w:pPr>
    </w:p>
    <w:p>
      <w:pPr>
        <w:pStyle w:val="BodyText"/>
        <w:spacing w:line="360" w:lineRule="auto" w:before="74"/>
        <w:ind w:left="240" w:right="840"/>
        <w:jc w:val="both"/>
      </w:pPr>
      <w:r>
        <w:rPr/>
        <w:t>corporation is often site and services schemes and not housing, due to lack of funding from the government and they are hardly affordable for middle or even low income earners. This goes to show that the government has shelved its primary responsibility of providing affordable housing for its citizens. The Housing Corporation, though a Government Parastatal, is a commercial</w:t>
      </w:r>
      <w:r>
        <w:rPr>
          <w:spacing w:val="40"/>
        </w:rPr>
        <w:t> </w:t>
      </w:r>
      <w:r>
        <w:rPr/>
        <w:t>entity aimed at making maximum profit from its estate schemes and hence, do not have the interest of the average citizens. This scenario has further increased the affordability gap and compounded the housing problems in Anambra State.</w:t>
      </w:r>
    </w:p>
    <w:p>
      <w:pPr>
        <w:pStyle w:val="BodyText"/>
        <w:spacing w:before="139"/>
      </w:pPr>
    </w:p>
    <w:p>
      <w:pPr>
        <w:pStyle w:val="BodyText"/>
        <w:spacing w:line="360" w:lineRule="auto"/>
        <w:ind w:left="240" w:right="836"/>
        <w:jc w:val="both"/>
      </w:pPr>
      <w:r>
        <w:rPr/>
        <w:t>Details of the results in a research carried out by the European Development Fund(2007) on public finance management in Anambra State showed that housing ranked 6th in average, percentage sectoral allocation for sectors in the State from 2004 – 2006 (</w:t>
      </w:r>
      <w:r>
        <w:rPr>
          <w:i/>
        </w:rPr>
        <w:t>see figure 3.7</w:t>
      </w:r>
      <w:r>
        <w:rPr/>
        <w:t>).</w:t>
      </w:r>
    </w:p>
    <w:p>
      <w:pPr>
        <w:pStyle w:val="BodyText"/>
        <w:spacing w:before="11"/>
        <w:rPr>
          <w:sz w:val="7"/>
        </w:rPr>
      </w:pPr>
      <w:r>
        <w:rPr/>
        <w:drawing>
          <wp:anchor distT="0" distB="0" distL="0" distR="0" allowOverlap="1" layoutInCell="1" locked="0" behindDoc="1" simplePos="0" relativeHeight="487601152">
            <wp:simplePos x="0" y="0"/>
            <wp:positionH relativeFrom="page">
              <wp:posOffset>933450</wp:posOffset>
            </wp:positionH>
            <wp:positionV relativeFrom="paragraph">
              <wp:posOffset>73498</wp:posOffset>
            </wp:positionV>
            <wp:extent cx="5922437" cy="2585275"/>
            <wp:effectExtent l="0" t="0" r="0" b="0"/>
            <wp:wrapTopAndBottom/>
            <wp:docPr id="236" name="Image 236"/>
            <wp:cNvGraphicFramePr>
              <a:graphicFrameLocks/>
            </wp:cNvGraphicFramePr>
            <a:graphic>
              <a:graphicData uri="http://schemas.openxmlformats.org/drawingml/2006/picture">
                <pic:pic>
                  <pic:nvPicPr>
                    <pic:cNvPr id="236" name="Image 236"/>
                    <pic:cNvPicPr/>
                  </pic:nvPicPr>
                  <pic:blipFill>
                    <a:blip r:embed="rId91" cstate="print"/>
                    <a:stretch>
                      <a:fillRect/>
                    </a:stretch>
                  </pic:blipFill>
                  <pic:spPr>
                    <a:xfrm>
                      <a:off x="0" y="0"/>
                      <a:ext cx="5922437" cy="2585275"/>
                    </a:xfrm>
                    <a:prstGeom prst="rect">
                      <a:avLst/>
                    </a:prstGeom>
                  </pic:spPr>
                </pic:pic>
              </a:graphicData>
            </a:graphic>
          </wp:anchor>
        </w:drawing>
      </w:r>
    </w:p>
    <w:p>
      <w:pPr>
        <w:pStyle w:val="BodyText"/>
        <w:spacing w:before="10"/>
      </w:pPr>
    </w:p>
    <w:p>
      <w:pPr>
        <w:pStyle w:val="BodyText"/>
        <w:ind w:left="240" w:right="853"/>
      </w:pPr>
      <w:r>
        <w:rPr>
          <w:b/>
        </w:rPr>
        <w:t>Figure</w:t>
      </w:r>
      <w:r>
        <w:rPr>
          <w:b/>
          <w:spacing w:val="-4"/>
        </w:rPr>
        <w:t> </w:t>
      </w:r>
      <w:r>
        <w:rPr>
          <w:b/>
        </w:rPr>
        <w:t>3.7.</w:t>
      </w:r>
      <w:r>
        <w:rPr>
          <w:b/>
          <w:spacing w:val="-2"/>
        </w:rPr>
        <w:t> </w:t>
      </w:r>
      <w:r>
        <w:rPr/>
        <w:t>Average</w:t>
      </w:r>
      <w:r>
        <w:rPr>
          <w:spacing w:val="-4"/>
        </w:rPr>
        <w:t> </w:t>
      </w:r>
      <w:r>
        <w:rPr/>
        <w:t>percentage</w:t>
      </w:r>
      <w:r>
        <w:rPr>
          <w:spacing w:val="-4"/>
        </w:rPr>
        <w:t> </w:t>
      </w:r>
      <w:r>
        <w:rPr/>
        <w:t>sectoral</w:t>
      </w:r>
      <w:r>
        <w:rPr>
          <w:spacing w:val="-4"/>
        </w:rPr>
        <w:t> </w:t>
      </w:r>
      <w:r>
        <w:rPr/>
        <w:t>allocation</w:t>
      </w:r>
      <w:r>
        <w:rPr>
          <w:spacing w:val="-4"/>
        </w:rPr>
        <w:t> </w:t>
      </w:r>
      <w:r>
        <w:rPr/>
        <w:t>in</w:t>
      </w:r>
      <w:r>
        <w:rPr>
          <w:spacing w:val="-4"/>
        </w:rPr>
        <w:t> </w:t>
      </w:r>
      <w:r>
        <w:rPr/>
        <w:t>Anambra</w:t>
      </w:r>
      <w:r>
        <w:rPr>
          <w:spacing w:val="-5"/>
        </w:rPr>
        <w:t> </w:t>
      </w:r>
      <w:r>
        <w:rPr/>
        <w:t>State</w:t>
      </w:r>
      <w:r>
        <w:rPr>
          <w:spacing w:val="-4"/>
        </w:rPr>
        <w:t> </w:t>
      </w:r>
      <w:r>
        <w:rPr/>
        <w:t>from</w:t>
      </w:r>
      <w:r>
        <w:rPr>
          <w:spacing w:val="-4"/>
        </w:rPr>
        <w:t> </w:t>
      </w:r>
      <w:r>
        <w:rPr/>
        <w:t>2004 –</w:t>
      </w:r>
      <w:r>
        <w:rPr>
          <w:spacing w:val="-4"/>
        </w:rPr>
        <w:t> </w:t>
      </w:r>
      <w:r>
        <w:rPr/>
        <w:t>2006 (European Development Fund, 2007)</w:t>
      </w:r>
    </w:p>
    <w:p>
      <w:pPr>
        <w:pStyle w:val="BodyText"/>
        <w:spacing w:before="122"/>
      </w:pPr>
    </w:p>
    <w:p>
      <w:pPr>
        <w:pStyle w:val="BodyText"/>
        <w:spacing w:line="360" w:lineRule="auto" w:before="1"/>
        <w:ind w:left="240" w:right="835"/>
        <w:jc w:val="both"/>
      </w:pPr>
      <w:r>
        <w:rPr/>
        <w:t>Similarly, a budget study on Anambra State carried out by Amakom (2013) revealed that</w:t>
      </w:r>
      <w:r>
        <w:rPr>
          <w:spacing w:val="80"/>
        </w:rPr>
        <w:t> </w:t>
      </w:r>
      <w:r>
        <w:rPr/>
        <w:t>housing was not among the policy and budget thrusts of the Government from 2007 – 2013 (</w:t>
      </w:r>
      <w:r>
        <w:rPr>
          <w:i/>
        </w:rPr>
        <w:t>See Table 3.18</w:t>
      </w:r>
      <w:r>
        <w:rPr/>
        <w:t>). This further indicates that the Anambra State Government has no immediate plans</w:t>
      </w:r>
      <w:r>
        <w:rPr>
          <w:spacing w:val="40"/>
        </w:rPr>
        <w:t> </w:t>
      </w:r>
      <w:r>
        <w:rPr/>
        <w:t>to improve housing delivery in the State. Furthermore, the same study carried out by Amakom, showed that among the true priority sectors for Anambra State by total budget allocation, from 2007 – 2013, the housing sector ranked 6th (</w:t>
      </w:r>
      <w:r>
        <w:rPr>
          <w:i/>
        </w:rPr>
        <w:t>See figure 3.8</w:t>
      </w:r>
      <w:r>
        <w:rPr/>
        <w:t>). This also indicates that the Housing sector</w:t>
      </w:r>
      <w:r>
        <w:rPr>
          <w:spacing w:val="20"/>
        </w:rPr>
        <w:t> </w:t>
      </w:r>
      <w:r>
        <w:rPr/>
        <w:t>has</w:t>
      </w:r>
      <w:r>
        <w:rPr>
          <w:spacing w:val="21"/>
        </w:rPr>
        <w:t> </w:t>
      </w:r>
      <w:r>
        <w:rPr/>
        <w:t>been</w:t>
      </w:r>
      <w:r>
        <w:rPr>
          <w:spacing w:val="21"/>
        </w:rPr>
        <w:t> </w:t>
      </w:r>
      <w:r>
        <w:rPr/>
        <w:t>largely</w:t>
      </w:r>
      <w:r>
        <w:rPr>
          <w:spacing w:val="18"/>
        </w:rPr>
        <w:t> </w:t>
      </w:r>
      <w:r>
        <w:rPr/>
        <w:t>neglected</w:t>
      </w:r>
      <w:r>
        <w:rPr>
          <w:spacing w:val="20"/>
        </w:rPr>
        <w:t> </w:t>
      </w:r>
      <w:r>
        <w:rPr/>
        <w:t>by</w:t>
      </w:r>
      <w:r>
        <w:rPr>
          <w:spacing w:val="18"/>
        </w:rPr>
        <w:t> </w:t>
      </w:r>
      <w:r>
        <w:rPr/>
        <w:t>the</w:t>
      </w:r>
      <w:r>
        <w:rPr>
          <w:spacing w:val="23"/>
        </w:rPr>
        <w:t> </w:t>
      </w:r>
      <w:r>
        <w:rPr/>
        <w:t>Government,</w:t>
      </w:r>
      <w:r>
        <w:rPr>
          <w:spacing w:val="20"/>
        </w:rPr>
        <w:t> </w:t>
      </w:r>
      <w:r>
        <w:rPr/>
        <w:t>to</w:t>
      </w:r>
      <w:r>
        <w:rPr>
          <w:spacing w:val="21"/>
        </w:rPr>
        <w:t> </w:t>
      </w:r>
      <w:r>
        <w:rPr/>
        <w:t>the</w:t>
      </w:r>
      <w:r>
        <w:rPr>
          <w:spacing w:val="20"/>
        </w:rPr>
        <w:t> </w:t>
      </w:r>
      <w:r>
        <w:rPr/>
        <w:t>extent</w:t>
      </w:r>
      <w:r>
        <w:rPr>
          <w:spacing w:val="21"/>
        </w:rPr>
        <w:t> </w:t>
      </w:r>
      <w:r>
        <w:rPr/>
        <w:t>that</w:t>
      </w:r>
      <w:r>
        <w:rPr>
          <w:spacing w:val="23"/>
        </w:rPr>
        <w:t> </w:t>
      </w:r>
      <w:r>
        <w:rPr/>
        <w:t>even</w:t>
      </w:r>
      <w:r>
        <w:rPr>
          <w:spacing w:val="23"/>
        </w:rPr>
        <w:t> </w:t>
      </w:r>
      <w:r>
        <w:rPr/>
        <w:t>allocations</w:t>
      </w:r>
      <w:r>
        <w:rPr>
          <w:spacing w:val="21"/>
        </w:rPr>
        <w:t> </w:t>
      </w:r>
      <w:r>
        <w:rPr/>
        <w:t>to</w:t>
      </w:r>
      <w:r>
        <w:rPr>
          <w:spacing w:val="21"/>
        </w:rPr>
        <w:t> </w:t>
      </w:r>
      <w:r>
        <w:rPr>
          <w:spacing w:val="-5"/>
        </w:rPr>
        <w:t>the</w:t>
      </w:r>
    </w:p>
    <w:p>
      <w:pPr>
        <w:spacing w:after="0" w:line="360" w:lineRule="auto"/>
        <w:jc w:val="both"/>
        <w:sectPr>
          <w:pgSz w:w="12240" w:h="15840"/>
          <w:pgMar w:header="0" w:footer="1036" w:top="1360" w:bottom="1220" w:left="1200" w:right="600"/>
        </w:sectPr>
      </w:pPr>
    </w:p>
    <w:p>
      <w:pPr>
        <w:pStyle w:val="BodyText"/>
        <w:spacing w:line="360" w:lineRule="auto" w:before="74"/>
        <w:ind w:left="240" w:right="840"/>
      </w:pPr>
      <w:r>
        <w:rPr/>
        <w:t>office</w:t>
      </w:r>
      <w:r>
        <w:rPr>
          <w:spacing w:val="29"/>
        </w:rPr>
        <w:t> </w:t>
      </w:r>
      <w:r>
        <w:rPr/>
        <w:t>of</w:t>
      </w:r>
      <w:r>
        <w:rPr>
          <w:spacing w:val="29"/>
        </w:rPr>
        <w:t> </w:t>
      </w:r>
      <w:r>
        <w:rPr/>
        <w:t>the</w:t>
      </w:r>
      <w:r>
        <w:rPr>
          <w:spacing w:val="29"/>
        </w:rPr>
        <w:t> </w:t>
      </w:r>
      <w:r>
        <w:rPr/>
        <w:t>Secretary</w:t>
      </w:r>
      <w:r>
        <w:rPr>
          <w:spacing w:val="25"/>
        </w:rPr>
        <w:t> </w:t>
      </w:r>
      <w:r>
        <w:rPr/>
        <w:t>to</w:t>
      </w:r>
      <w:r>
        <w:rPr>
          <w:spacing w:val="30"/>
        </w:rPr>
        <w:t> </w:t>
      </w:r>
      <w:r>
        <w:rPr/>
        <w:t>the</w:t>
      </w:r>
      <w:r>
        <w:rPr>
          <w:spacing w:val="29"/>
        </w:rPr>
        <w:t> </w:t>
      </w:r>
      <w:r>
        <w:rPr/>
        <w:t>State</w:t>
      </w:r>
      <w:r>
        <w:rPr>
          <w:spacing w:val="29"/>
        </w:rPr>
        <w:t> </w:t>
      </w:r>
      <w:r>
        <w:rPr/>
        <w:t>Government</w:t>
      </w:r>
      <w:r>
        <w:rPr>
          <w:spacing w:val="30"/>
        </w:rPr>
        <w:t> </w:t>
      </w:r>
      <w:r>
        <w:rPr/>
        <w:t>and</w:t>
      </w:r>
      <w:r>
        <w:rPr>
          <w:spacing w:val="30"/>
        </w:rPr>
        <w:t> </w:t>
      </w:r>
      <w:r>
        <w:rPr/>
        <w:t>the</w:t>
      </w:r>
      <w:r>
        <w:rPr>
          <w:spacing w:val="29"/>
        </w:rPr>
        <w:t> </w:t>
      </w:r>
      <w:r>
        <w:rPr/>
        <w:t>Government</w:t>
      </w:r>
      <w:r>
        <w:rPr>
          <w:spacing w:val="30"/>
        </w:rPr>
        <w:t> </w:t>
      </w:r>
      <w:r>
        <w:rPr/>
        <w:t>House</w:t>
      </w:r>
      <w:r>
        <w:rPr>
          <w:spacing w:val="29"/>
        </w:rPr>
        <w:t> </w:t>
      </w:r>
      <w:r>
        <w:rPr/>
        <w:t>were</w:t>
      </w:r>
      <w:r>
        <w:rPr>
          <w:spacing w:val="28"/>
        </w:rPr>
        <w:t> </w:t>
      </w:r>
      <w:r>
        <w:rPr/>
        <w:t>much</w:t>
      </w:r>
      <w:r>
        <w:rPr>
          <w:spacing w:val="29"/>
        </w:rPr>
        <w:t> </w:t>
      </w:r>
      <w:r>
        <w:rPr/>
        <w:t>more than that of the allocation to housing for the entire State.</w:t>
      </w:r>
    </w:p>
    <w:p>
      <w:pPr>
        <w:pStyle w:val="BodyText"/>
        <w:spacing w:before="135"/>
      </w:pPr>
    </w:p>
    <w:p>
      <w:pPr>
        <w:pStyle w:val="BodyText"/>
        <w:ind w:left="240"/>
      </w:pPr>
      <w:r>
        <w:rPr>
          <w:b/>
        </w:rPr>
        <w:t>Table</w:t>
      </w:r>
      <w:r>
        <w:rPr>
          <w:b/>
          <w:spacing w:val="-3"/>
        </w:rPr>
        <w:t> </w:t>
      </w:r>
      <w:r>
        <w:rPr>
          <w:b/>
        </w:rPr>
        <w:t>3.18. </w:t>
      </w:r>
      <w:r>
        <w:rPr/>
        <w:t>Policy</w:t>
      </w:r>
      <w:r>
        <w:rPr>
          <w:spacing w:val="-8"/>
        </w:rPr>
        <w:t> </w:t>
      </w:r>
      <w:r>
        <w:rPr/>
        <w:t>and Budget Thrusts</w:t>
      </w:r>
      <w:r>
        <w:rPr>
          <w:spacing w:val="2"/>
        </w:rPr>
        <w:t> </w:t>
      </w:r>
      <w:r>
        <w:rPr/>
        <w:t>for</w:t>
      </w:r>
      <w:r>
        <w:rPr>
          <w:spacing w:val="-2"/>
        </w:rPr>
        <w:t> </w:t>
      </w:r>
      <w:r>
        <w:rPr/>
        <w:t>Anambra</w:t>
      </w:r>
      <w:r>
        <w:rPr>
          <w:spacing w:val="-2"/>
        </w:rPr>
        <w:t> </w:t>
      </w:r>
      <w:r>
        <w:rPr/>
        <w:t>State</w:t>
      </w:r>
      <w:r>
        <w:rPr>
          <w:spacing w:val="-1"/>
        </w:rPr>
        <w:t> </w:t>
      </w:r>
      <w:r>
        <w:rPr/>
        <w:t>(2007-</w:t>
      </w:r>
      <w:r>
        <w:rPr>
          <w:spacing w:val="-1"/>
        </w:rPr>
        <w:t> </w:t>
      </w:r>
      <w:r>
        <w:rPr>
          <w:spacing w:val="-2"/>
        </w:rPr>
        <w:t>2013)</w:t>
      </w:r>
    </w:p>
    <w:p>
      <w:pPr>
        <w:pStyle w:val="BodyText"/>
        <w:spacing w:before="1"/>
        <w:rPr>
          <w:sz w:val="9"/>
        </w:rPr>
      </w:pPr>
      <w:r>
        <w:rPr/>
        <w:drawing>
          <wp:anchor distT="0" distB="0" distL="0" distR="0" allowOverlap="1" layoutInCell="1" locked="0" behindDoc="1" simplePos="0" relativeHeight="487601664">
            <wp:simplePos x="0" y="0"/>
            <wp:positionH relativeFrom="page">
              <wp:posOffset>941989</wp:posOffset>
            </wp:positionH>
            <wp:positionV relativeFrom="paragraph">
              <wp:posOffset>81937</wp:posOffset>
            </wp:positionV>
            <wp:extent cx="5885310" cy="3077241"/>
            <wp:effectExtent l="0" t="0" r="0" b="0"/>
            <wp:wrapTopAndBottom/>
            <wp:docPr id="237" name="Image 237"/>
            <wp:cNvGraphicFramePr>
              <a:graphicFrameLocks/>
            </wp:cNvGraphicFramePr>
            <a:graphic>
              <a:graphicData uri="http://schemas.openxmlformats.org/drawingml/2006/picture">
                <pic:pic>
                  <pic:nvPicPr>
                    <pic:cNvPr id="237" name="Image 237"/>
                    <pic:cNvPicPr/>
                  </pic:nvPicPr>
                  <pic:blipFill>
                    <a:blip r:embed="rId92" cstate="print"/>
                    <a:stretch>
                      <a:fillRect/>
                    </a:stretch>
                  </pic:blipFill>
                  <pic:spPr>
                    <a:xfrm>
                      <a:off x="0" y="0"/>
                      <a:ext cx="5885310" cy="3077241"/>
                    </a:xfrm>
                    <a:prstGeom prst="rect">
                      <a:avLst/>
                    </a:prstGeom>
                  </pic:spPr>
                </pic:pic>
              </a:graphicData>
            </a:graphic>
          </wp:anchor>
        </w:drawing>
      </w:r>
    </w:p>
    <w:p>
      <w:pPr>
        <w:spacing w:before="195"/>
        <w:ind w:left="240" w:right="0" w:firstLine="0"/>
        <w:jc w:val="left"/>
        <w:rPr>
          <w:sz w:val="24"/>
        </w:rPr>
      </w:pPr>
      <w:r>
        <w:rPr>
          <w:b/>
          <w:sz w:val="24"/>
        </w:rPr>
        <w:t>Source:</w:t>
      </w:r>
      <w:r>
        <w:rPr>
          <w:b/>
          <w:spacing w:val="-3"/>
          <w:sz w:val="24"/>
        </w:rPr>
        <w:t> </w:t>
      </w:r>
      <w:r>
        <w:rPr>
          <w:sz w:val="24"/>
        </w:rPr>
        <w:t>Amakom</w:t>
      </w:r>
      <w:r>
        <w:rPr>
          <w:spacing w:val="-2"/>
          <w:sz w:val="24"/>
        </w:rPr>
        <w:t> (2013)</w:t>
      </w:r>
    </w:p>
    <w:p>
      <w:pPr>
        <w:spacing w:after="0"/>
        <w:jc w:val="left"/>
        <w:rPr>
          <w:sz w:val="24"/>
        </w:rPr>
        <w:sectPr>
          <w:pgSz w:w="12240" w:h="15840"/>
          <w:pgMar w:header="0" w:footer="1036" w:top="1360" w:bottom="1220" w:left="1200" w:right="600"/>
        </w:sectPr>
      </w:pPr>
    </w:p>
    <w:p>
      <w:pPr>
        <w:pStyle w:val="BodyText"/>
        <w:ind w:left="282"/>
        <w:rPr>
          <w:sz w:val="20"/>
        </w:rPr>
      </w:pPr>
      <w:r>
        <w:rPr>
          <w:sz w:val="20"/>
        </w:rPr>
        <w:drawing>
          <wp:inline distT="0" distB="0" distL="0" distR="0">
            <wp:extent cx="5665361" cy="3792664"/>
            <wp:effectExtent l="0" t="0" r="0" b="0"/>
            <wp:docPr id="238" name="Image 238"/>
            <wp:cNvGraphicFramePr>
              <a:graphicFrameLocks/>
            </wp:cNvGraphicFramePr>
            <a:graphic>
              <a:graphicData uri="http://schemas.openxmlformats.org/drawingml/2006/picture">
                <pic:pic>
                  <pic:nvPicPr>
                    <pic:cNvPr id="238" name="Image 238"/>
                    <pic:cNvPicPr/>
                  </pic:nvPicPr>
                  <pic:blipFill>
                    <a:blip r:embed="rId93" cstate="print"/>
                    <a:stretch>
                      <a:fillRect/>
                    </a:stretch>
                  </pic:blipFill>
                  <pic:spPr>
                    <a:xfrm>
                      <a:off x="0" y="0"/>
                      <a:ext cx="5665361" cy="3792664"/>
                    </a:xfrm>
                    <a:prstGeom prst="rect">
                      <a:avLst/>
                    </a:prstGeom>
                  </pic:spPr>
                </pic:pic>
              </a:graphicData>
            </a:graphic>
          </wp:inline>
        </w:drawing>
      </w:r>
      <w:r>
        <w:rPr>
          <w:sz w:val="20"/>
        </w:rPr>
      </w:r>
    </w:p>
    <w:p>
      <w:pPr>
        <w:pStyle w:val="BodyText"/>
        <w:spacing w:before="228"/>
        <w:ind w:left="240" w:right="1323"/>
        <w:jc w:val="both"/>
      </w:pPr>
      <w:r>
        <w:rPr>
          <w:b/>
        </w:rPr>
        <w:t>Figure</w:t>
      </w:r>
      <w:r>
        <w:rPr>
          <w:b/>
          <w:spacing w:val="-3"/>
        </w:rPr>
        <w:t> </w:t>
      </w:r>
      <w:r>
        <w:rPr>
          <w:b/>
        </w:rPr>
        <w:t>3.8.</w:t>
      </w:r>
      <w:r>
        <w:rPr/>
        <w:t>True</w:t>
      </w:r>
      <w:r>
        <w:rPr>
          <w:spacing w:val="-4"/>
        </w:rPr>
        <w:t> </w:t>
      </w:r>
      <w:r>
        <w:rPr/>
        <w:t>priority</w:t>
      </w:r>
      <w:r>
        <w:rPr>
          <w:spacing w:val="-5"/>
        </w:rPr>
        <w:t> </w:t>
      </w:r>
      <w:r>
        <w:rPr/>
        <w:t>Sectors</w:t>
      </w:r>
      <w:r>
        <w:rPr>
          <w:spacing w:val="-2"/>
        </w:rPr>
        <w:t> </w:t>
      </w:r>
      <w:r>
        <w:rPr/>
        <w:t>for</w:t>
      </w:r>
      <w:r>
        <w:rPr>
          <w:spacing w:val="-3"/>
        </w:rPr>
        <w:t> </w:t>
      </w:r>
      <w:r>
        <w:rPr/>
        <w:t>Anambra</w:t>
      </w:r>
      <w:r>
        <w:rPr>
          <w:spacing w:val="-4"/>
        </w:rPr>
        <w:t> </w:t>
      </w:r>
      <w:r>
        <w:rPr/>
        <w:t>State</w:t>
      </w:r>
      <w:r>
        <w:rPr>
          <w:spacing w:val="-3"/>
        </w:rPr>
        <w:t> </w:t>
      </w:r>
      <w:r>
        <w:rPr/>
        <w:t>by</w:t>
      </w:r>
      <w:r>
        <w:rPr>
          <w:spacing w:val="-7"/>
        </w:rPr>
        <w:t> </w:t>
      </w:r>
      <w:r>
        <w:rPr/>
        <w:t>Total</w:t>
      </w:r>
      <w:r>
        <w:rPr>
          <w:spacing w:val="-2"/>
        </w:rPr>
        <w:t> </w:t>
      </w:r>
      <w:r>
        <w:rPr/>
        <w:t>Budget</w:t>
      </w:r>
      <w:r>
        <w:rPr>
          <w:spacing w:val="-2"/>
        </w:rPr>
        <w:t> </w:t>
      </w:r>
      <w:r>
        <w:rPr/>
        <w:t>Allocation</w:t>
      </w:r>
      <w:r>
        <w:rPr>
          <w:spacing w:val="-2"/>
        </w:rPr>
        <w:t> </w:t>
      </w:r>
      <w:r>
        <w:rPr/>
        <w:t>from</w:t>
      </w:r>
      <w:r>
        <w:rPr>
          <w:spacing w:val="-2"/>
        </w:rPr>
        <w:t> </w:t>
      </w:r>
      <w:r>
        <w:rPr/>
        <w:t>2007 – 2013 (Amakom, 2013)</w:t>
      </w:r>
    </w:p>
    <w:p>
      <w:pPr>
        <w:pStyle w:val="BodyText"/>
      </w:pPr>
    </w:p>
    <w:p>
      <w:pPr>
        <w:pStyle w:val="BodyText"/>
      </w:pPr>
    </w:p>
    <w:p>
      <w:pPr>
        <w:pStyle w:val="BodyText"/>
        <w:spacing w:before="8"/>
      </w:pPr>
    </w:p>
    <w:p>
      <w:pPr>
        <w:pStyle w:val="Heading4"/>
        <w:numPr>
          <w:ilvl w:val="1"/>
          <w:numId w:val="27"/>
        </w:numPr>
        <w:tabs>
          <w:tab w:pos="540" w:val="left" w:leader="none"/>
        </w:tabs>
        <w:spacing w:line="240" w:lineRule="auto" w:before="0" w:after="0"/>
        <w:ind w:left="540" w:right="0" w:hanging="300"/>
        <w:jc w:val="both"/>
        <w:rPr>
          <w:sz w:val="22"/>
        </w:rPr>
      </w:pPr>
      <w:r>
        <w:rPr/>
        <w:t>`</w:t>
      </w:r>
      <w:r>
        <w:rPr>
          <w:spacing w:val="-1"/>
        </w:rPr>
        <w:t> </w:t>
      </w:r>
      <w:r>
        <w:rPr/>
        <w:t>Budgeting </w:t>
      </w:r>
      <w:r>
        <w:rPr>
          <w:spacing w:val="-2"/>
        </w:rPr>
        <w:t>Models</w:t>
      </w:r>
    </w:p>
    <w:p>
      <w:pPr>
        <w:pStyle w:val="BodyText"/>
        <w:spacing w:line="360" w:lineRule="auto" w:before="132"/>
        <w:ind w:left="240" w:right="834"/>
        <w:jc w:val="both"/>
      </w:pPr>
      <w:r>
        <w:rPr/>
        <w:t>Various</w:t>
      </w:r>
      <w:r>
        <w:rPr>
          <w:spacing w:val="-1"/>
        </w:rPr>
        <w:t> </w:t>
      </w:r>
      <w:r>
        <w:rPr/>
        <w:t>models</w:t>
      </w:r>
      <w:r>
        <w:rPr>
          <w:spacing w:val="-1"/>
        </w:rPr>
        <w:t> </w:t>
      </w:r>
      <w:r>
        <w:rPr/>
        <w:t>exist on</w:t>
      </w:r>
      <w:r>
        <w:rPr>
          <w:spacing w:val="-3"/>
        </w:rPr>
        <w:t> </w:t>
      </w:r>
      <w:r>
        <w:rPr/>
        <w:t>public</w:t>
      </w:r>
      <w:r>
        <w:rPr>
          <w:spacing w:val="-2"/>
        </w:rPr>
        <w:t> </w:t>
      </w:r>
      <w:r>
        <w:rPr/>
        <w:t>budgeting.</w:t>
      </w:r>
      <w:r>
        <w:rPr>
          <w:spacing w:val="-1"/>
        </w:rPr>
        <w:t> </w:t>
      </w:r>
      <w:r>
        <w:rPr/>
        <w:t>These</w:t>
      </w:r>
      <w:r>
        <w:rPr>
          <w:spacing w:val="-2"/>
        </w:rPr>
        <w:t> </w:t>
      </w:r>
      <w:r>
        <w:rPr/>
        <w:t>include models</w:t>
      </w:r>
      <w:r>
        <w:rPr>
          <w:spacing w:val="-1"/>
        </w:rPr>
        <w:t> </w:t>
      </w:r>
      <w:r>
        <w:rPr/>
        <w:t>developed in studies</w:t>
      </w:r>
      <w:r>
        <w:rPr>
          <w:spacing w:val="-1"/>
        </w:rPr>
        <w:t> </w:t>
      </w:r>
      <w:r>
        <w:rPr/>
        <w:t>carried</w:t>
      </w:r>
      <w:r>
        <w:rPr>
          <w:spacing w:val="-2"/>
        </w:rPr>
        <w:t> </w:t>
      </w:r>
      <w:r>
        <w:rPr/>
        <w:t>out by: Lindblom (1963); Dempster, and Wildavsky (1966); Horngren (1982); Kaplan and Norton (1996); Simonsen and Robbins (2000); Fozzard (2001); Thurmaier and Willoughby (2001); Rohm (2002); Ebdon and Aimee (2006) and Smith (2006). These models seek to systematically incorporate effectiveness, efficiency, citizen participation and the ever dynamic social, economic and political environment/factors into public budgeting decisions, with a view to improving public budget performance. However, several variables affect the performance of public budgeting decisions based on previous studies and thus various models have been developed to accommodate such variables. Models of public budgeting are useful not only for resource allocation among competing sectors/infrastructure or citizen needs but also the development of objective, participatory and transparent approaches to budgeting decisions.</w:t>
      </w:r>
      <w:r>
        <w:rPr>
          <w:spacing w:val="40"/>
        </w:rPr>
        <w:t> </w:t>
      </w:r>
      <w:r>
        <w:rPr/>
        <w:t>In this study, the models discussed are:</w:t>
      </w:r>
    </w:p>
    <w:p>
      <w:pPr>
        <w:spacing w:after="0" w:line="360" w:lineRule="auto"/>
        <w:jc w:val="both"/>
        <w:sectPr>
          <w:pgSz w:w="12240" w:h="15840"/>
          <w:pgMar w:header="0" w:footer="1036" w:top="1440" w:bottom="1220" w:left="1200" w:right="600"/>
        </w:sectPr>
      </w:pPr>
    </w:p>
    <w:p>
      <w:pPr>
        <w:pStyle w:val="ListParagraph"/>
        <w:numPr>
          <w:ilvl w:val="0"/>
          <w:numId w:val="68"/>
        </w:numPr>
        <w:tabs>
          <w:tab w:pos="960" w:val="left" w:leader="none"/>
        </w:tabs>
        <w:spacing w:line="240" w:lineRule="auto" w:before="74" w:after="0"/>
        <w:ind w:left="960" w:right="0" w:hanging="487"/>
        <w:jc w:val="left"/>
        <w:rPr>
          <w:sz w:val="24"/>
        </w:rPr>
      </w:pPr>
      <w:r>
        <w:rPr>
          <w:sz w:val="24"/>
        </w:rPr>
        <w:t>The</w:t>
      </w:r>
      <w:r>
        <w:rPr>
          <w:spacing w:val="-3"/>
          <w:sz w:val="24"/>
        </w:rPr>
        <w:t> </w:t>
      </w:r>
      <w:r>
        <w:rPr>
          <w:sz w:val="24"/>
        </w:rPr>
        <w:t>incremental</w:t>
      </w:r>
      <w:r>
        <w:rPr>
          <w:spacing w:val="-1"/>
          <w:sz w:val="24"/>
        </w:rPr>
        <w:t> </w:t>
      </w:r>
      <w:r>
        <w:rPr>
          <w:spacing w:val="-2"/>
          <w:sz w:val="24"/>
        </w:rPr>
        <w:t>model;</w:t>
      </w:r>
    </w:p>
    <w:p>
      <w:pPr>
        <w:pStyle w:val="ListParagraph"/>
        <w:numPr>
          <w:ilvl w:val="0"/>
          <w:numId w:val="68"/>
        </w:numPr>
        <w:tabs>
          <w:tab w:pos="960" w:val="left" w:leader="none"/>
        </w:tabs>
        <w:spacing w:line="240" w:lineRule="auto" w:before="137" w:after="0"/>
        <w:ind w:left="960" w:right="0" w:hanging="554"/>
        <w:jc w:val="left"/>
        <w:rPr>
          <w:sz w:val="24"/>
        </w:rPr>
      </w:pPr>
      <w:r>
        <w:rPr>
          <w:sz w:val="24"/>
        </w:rPr>
        <w:t>The</w:t>
      </w:r>
      <w:r>
        <w:rPr>
          <w:spacing w:val="-5"/>
          <w:sz w:val="24"/>
        </w:rPr>
        <w:t> </w:t>
      </w:r>
      <w:r>
        <w:rPr>
          <w:sz w:val="24"/>
        </w:rPr>
        <w:t>multiple</w:t>
      </w:r>
      <w:r>
        <w:rPr>
          <w:spacing w:val="-3"/>
          <w:sz w:val="24"/>
        </w:rPr>
        <w:t> </w:t>
      </w:r>
      <w:r>
        <w:rPr>
          <w:sz w:val="24"/>
        </w:rPr>
        <w:t>rationality/rationalist</w:t>
      </w:r>
      <w:r>
        <w:rPr>
          <w:spacing w:val="-2"/>
          <w:sz w:val="24"/>
        </w:rPr>
        <w:t> model;</w:t>
      </w:r>
    </w:p>
    <w:p>
      <w:pPr>
        <w:pStyle w:val="ListParagraph"/>
        <w:numPr>
          <w:ilvl w:val="0"/>
          <w:numId w:val="68"/>
        </w:numPr>
        <w:tabs>
          <w:tab w:pos="960" w:val="left" w:leader="none"/>
        </w:tabs>
        <w:spacing w:line="240" w:lineRule="auto" w:before="139" w:after="0"/>
        <w:ind w:left="960" w:right="0" w:hanging="619"/>
        <w:jc w:val="left"/>
        <w:rPr>
          <w:sz w:val="24"/>
        </w:rPr>
      </w:pPr>
      <w:r>
        <w:rPr>
          <w:sz w:val="24"/>
        </w:rPr>
        <w:t>The</w:t>
      </w:r>
      <w:r>
        <w:rPr>
          <w:spacing w:val="-4"/>
          <w:sz w:val="24"/>
        </w:rPr>
        <w:t> </w:t>
      </w:r>
      <w:r>
        <w:rPr>
          <w:sz w:val="24"/>
        </w:rPr>
        <w:t>citizen</w:t>
      </w:r>
      <w:r>
        <w:rPr>
          <w:spacing w:val="-1"/>
          <w:sz w:val="24"/>
        </w:rPr>
        <w:t> </w:t>
      </w:r>
      <w:r>
        <w:rPr>
          <w:sz w:val="24"/>
        </w:rPr>
        <w:t>participation</w:t>
      </w:r>
      <w:r>
        <w:rPr>
          <w:spacing w:val="-2"/>
          <w:sz w:val="24"/>
        </w:rPr>
        <w:t> </w:t>
      </w:r>
      <w:r>
        <w:rPr>
          <w:sz w:val="24"/>
        </w:rPr>
        <w:t>impact</w:t>
      </w:r>
      <w:r>
        <w:rPr>
          <w:spacing w:val="-1"/>
          <w:sz w:val="24"/>
        </w:rPr>
        <w:t> </w:t>
      </w:r>
      <w:r>
        <w:rPr>
          <w:sz w:val="24"/>
        </w:rPr>
        <w:t>model;</w:t>
      </w:r>
      <w:r>
        <w:rPr>
          <w:spacing w:val="-1"/>
          <w:sz w:val="24"/>
        </w:rPr>
        <w:t> </w:t>
      </w:r>
      <w:r>
        <w:rPr>
          <w:spacing w:val="-5"/>
          <w:sz w:val="24"/>
        </w:rPr>
        <w:t>and</w:t>
      </w:r>
    </w:p>
    <w:p>
      <w:pPr>
        <w:pStyle w:val="ListParagraph"/>
        <w:numPr>
          <w:ilvl w:val="0"/>
          <w:numId w:val="68"/>
        </w:numPr>
        <w:tabs>
          <w:tab w:pos="960" w:val="left" w:leader="none"/>
        </w:tabs>
        <w:spacing w:line="240" w:lineRule="auto" w:before="137" w:after="0"/>
        <w:ind w:left="960" w:right="0" w:hanging="607"/>
        <w:jc w:val="left"/>
        <w:rPr>
          <w:sz w:val="24"/>
        </w:rPr>
      </w:pPr>
      <w:r>
        <w:rPr>
          <w:sz w:val="24"/>
        </w:rPr>
        <w:t>The</w:t>
      </w:r>
      <w:r>
        <w:rPr>
          <w:spacing w:val="-3"/>
          <w:sz w:val="24"/>
        </w:rPr>
        <w:t> </w:t>
      </w:r>
      <w:r>
        <w:rPr>
          <w:sz w:val="24"/>
        </w:rPr>
        <w:t>balanced</w:t>
      </w:r>
      <w:r>
        <w:rPr>
          <w:spacing w:val="-1"/>
          <w:sz w:val="24"/>
        </w:rPr>
        <w:t> </w:t>
      </w:r>
      <w:r>
        <w:rPr>
          <w:sz w:val="24"/>
        </w:rPr>
        <w:t>scorecard </w:t>
      </w:r>
      <w:r>
        <w:rPr>
          <w:spacing w:val="-2"/>
          <w:sz w:val="24"/>
        </w:rPr>
        <w:t>model.</w:t>
      </w:r>
    </w:p>
    <w:p>
      <w:pPr>
        <w:pStyle w:val="BodyText"/>
      </w:pPr>
    </w:p>
    <w:p>
      <w:pPr>
        <w:pStyle w:val="BodyText"/>
        <w:spacing w:before="5"/>
      </w:pPr>
    </w:p>
    <w:p>
      <w:pPr>
        <w:pStyle w:val="Heading4"/>
        <w:numPr>
          <w:ilvl w:val="2"/>
          <w:numId w:val="69"/>
        </w:numPr>
        <w:tabs>
          <w:tab w:pos="840" w:val="left" w:leader="none"/>
        </w:tabs>
        <w:spacing w:line="240" w:lineRule="auto" w:before="0" w:after="0"/>
        <w:ind w:left="840" w:right="0" w:hanging="600"/>
        <w:jc w:val="both"/>
      </w:pPr>
      <w:r>
        <w:rPr/>
        <w:t>The</w:t>
      </w:r>
      <w:r>
        <w:rPr>
          <w:spacing w:val="-6"/>
        </w:rPr>
        <w:t> </w:t>
      </w:r>
      <w:r>
        <w:rPr/>
        <w:t>Incremental</w:t>
      </w:r>
      <w:r>
        <w:rPr>
          <w:spacing w:val="-2"/>
        </w:rPr>
        <w:t> </w:t>
      </w:r>
      <w:r>
        <w:rPr>
          <w:spacing w:val="-4"/>
        </w:rPr>
        <w:t>Model</w:t>
      </w:r>
    </w:p>
    <w:p>
      <w:pPr>
        <w:pStyle w:val="BodyText"/>
        <w:spacing w:line="360" w:lineRule="auto" w:before="135"/>
        <w:ind w:left="240" w:right="836"/>
        <w:jc w:val="both"/>
      </w:pPr>
      <w:r>
        <w:rPr/>
        <w:t>The budgetary model of incrementalism was first popularized and empirically applied by Davis, Dempster, and Wildavsky (1966). This model considers budget makers as backward looking and changes in budget allocation as incremental and, in its strictest form, increasing or decreasing by the same proportion each year. With the current budget allocation tightly tied to the previous year‘s</w:t>
      </w:r>
      <w:r>
        <w:rPr>
          <w:spacing w:val="-3"/>
        </w:rPr>
        <w:t> </w:t>
      </w:r>
      <w:r>
        <w:rPr/>
        <w:t>budget,</w:t>
      </w:r>
      <w:r>
        <w:rPr>
          <w:spacing w:val="-2"/>
        </w:rPr>
        <w:t> </w:t>
      </w:r>
      <w:r>
        <w:rPr/>
        <w:t>the</w:t>
      </w:r>
      <w:r>
        <w:rPr>
          <w:spacing w:val="-3"/>
        </w:rPr>
        <w:t> </w:t>
      </w:r>
      <w:r>
        <w:rPr/>
        <w:t>model leaves</w:t>
      </w:r>
      <w:r>
        <w:rPr>
          <w:spacing w:val="-3"/>
        </w:rPr>
        <w:t> </w:t>
      </w:r>
      <w:r>
        <w:rPr/>
        <w:t>little</w:t>
      </w:r>
      <w:r>
        <w:rPr>
          <w:spacing w:val="-2"/>
        </w:rPr>
        <w:t> </w:t>
      </w:r>
      <w:r>
        <w:rPr/>
        <w:t>room</w:t>
      </w:r>
      <w:r>
        <w:rPr>
          <w:spacing w:val="-2"/>
        </w:rPr>
        <w:t> </w:t>
      </w:r>
      <w:r>
        <w:rPr/>
        <w:t>for</w:t>
      </w:r>
      <w:r>
        <w:rPr>
          <w:spacing w:val="-1"/>
        </w:rPr>
        <w:t> </w:t>
      </w:r>
      <w:r>
        <w:rPr/>
        <w:t>actors</w:t>
      </w:r>
      <w:r>
        <w:rPr>
          <w:spacing w:val="-3"/>
        </w:rPr>
        <w:t> </w:t>
      </w:r>
      <w:r>
        <w:rPr/>
        <w:t>to</w:t>
      </w:r>
      <w:r>
        <w:rPr>
          <w:spacing w:val="-2"/>
        </w:rPr>
        <w:t> </w:t>
      </w:r>
      <w:r>
        <w:rPr/>
        <w:t>have</w:t>
      </w:r>
      <w:r>
        <w:rPr>
          <w:spacing w:val="-3"/>
        </w:rPr>
        <w:t> </w:t>
      </w:r>
      <w:r>
        <w:rPr/>
        <w:t>an effect</w:t>
      </w:r>
      <w:r>
        <w:rPr>
          <w:spacing w:val="-2"/>
        </w:rPr>
        <w:t> </w:t>
      </w:r>
      <w:r>
        <w:rPr/>
        <w:t>by</w:t>
      </w:r>
      <w:r>
        <w:rPr>
          <w:spacing w:val="-7"/>
        </w:rPr>
        <w:t> </w:t>
      </w:r>
      <w:r>
        <w:rPr/>
        <w:t>lobbying</w:t>
      </w:r>
      <w:r>
        <w:rPr>
          <w:spacing w:val="-5"/>
        </w:rPr>
        <w:t> </w:t>
      </w:r>
      <w:r>
        <w:rPr/>
        <w:t>for</w:t>
      </w:r>
      <w:r>
        <w:rPr>
          <w:spacing w:val="-1"/>
        </w:rPr>
        <w:t> </w:t>
      </w:r>
      <w:r>
        <w:rPr/>
        <w:t>changes</w:t>
      </w:r>
      <w:r>
        <w:rPr>
          <w:spacing w:val="-3"/>
        </w:rPr>
        <w:t> </w:t>
      </w:r>
      <w:r>
        <w:rPr/>
        <w:t>in budget allocation.</w:t>
      </w:r>
    </w:p>
    <w:p>
      <w:pPr>
        <w:pStyle w:val="BodyText"/>
        <w:spacing w:line="360" w:lineRule="auto" w:before="240"/>
        <w:ind w:left="240" w:right="840"/>
        <w:jc w:val="both"/>
      </w:pPr>
      <w:r>
        <w:rPr/>
        <w:t>According to Fozzard (2001), the underlying principle of this model is that budget makers start from the status quo and seek to solve problems as they arise rather than identify opportunities; they identify solutions that can be achieved by small steps rather than taking radical leaps and they make budget decisions with reference to experience. The incremental budget model has</w:t>
      </w:r>
      <w:r>
        <w:rPr>
          <w:spacing w:val="40"/>
        </w:rPr>
        <w:t> </w:t>
      </w:r>
      <w:r>
        <w:rPr/>
        <w:t>been applied to the budget-making process of a variety countries and organizations.</w:t>
      </w:r>
    </w:p>
    <w:p>
      <w:pPr>
        <w:pStyle w:val="BodyText"/>
        <w:spacing w:before="2"/>
      </w:pPr>
    </w:p>
    <w:p>
      <w:pPr>
        <w:pStyle w:val="BodyText"/>
        <w:spacing w:line="360" w:lineRule="auto"/>
        <w:ind w:left="240" w:right="839"/>
        <w:jc w:val="both"/>
      </w:pPr>
      <w:r>
        <w:rPr/>
        <w:t>The incremental model is premised on a succession of incremental changes, or additions, building out from the previous budget, i.e. step by step and in a small degree. In short, the budgets follow one upon the other as solution to the problem. The incremental model believes that the budget maker does not search or develop a completely new budget; rather what he does</w:t>
      </w:r>
      <w:r>
        <w:rPr>
          <w:spacing w:val="40"/>
        </w:rPr>
        <w:t> </w:t>
      </w:r>
      <w:r>
        <w:rPr/>
        <w:t>is to make additions or improvements on the previous budget. Incremental budgets are therefore modifications of existing budgets (Davis </w:t>
      </w:r>
      <w:r>
        <w:rPr>
          <w:i/>
        </w:rPr>
        <w:t>et al</w:t>
      </w:r>
      <w:r>
        <w:rPr/>
        <w:t>., 1966).</w:t>
      </w:r>
    </w:p>
    <w:p>
      <w:pPr>
        <w:pStyle w:val="BodyText"/>
        <w:spacing w:before="138"/>
      </w:pPr>
    </w:p>
    <w:p>
      <w:pPr>
        <w:pStyle w:val="BodyText"/>
        <w:spacing w:line="360" w:lineRule="auto"/>
        <w:ind w:left="240" w:right="836"/>
        <w:jc w:val="both"/>
      </w:pPr>
      <w:r>
        <w:rPr/>
        <w:t>In the view of Lindblom (1963), the implication of the incremental model is that no new budget can be made in isolation of immediate past budgets; what the present budget needs is simple adjustment. An advantage of this model is that it is easy to implement, because it follows past precedent as closely as possible and once the system does not resist the change, it means that smooth</w:t>
      </w:r>
      <w:r>
        <w:rPr>
          <w:spacing w:val="-2"/>
        </w:rPr>
        <w:t> </w:t>
      </w:r>
      <w:r>
        <w:rPr/>
        <w:t>implementation</w:t>
      </w:r>
      <w:r>
        <w:rPr>
          <w:spacing w:val="-2"/>
        </w:rPr>
        <w:t> </w:t>
      </w:r>
      <w:r>
        <w:rPr/>
        <w:t>is</w:t>
      </w:r>
      <w:r>
        <w:rPr>
          <w:spacing w:val="-2"/>
        </w:rPr>
        <w:t> </w:t>
      </w:r>
      <w:r>
        <w:rPr/>
        <w:t>assured.</w:t>
      </w:r>
      <w:r>
        <w:rPr>
          <w:spacing w:val="40"/>
        </w:rPr>
        <w:t> </w:t>
      </w:r>
      <w:r>
        <w:rPr/>
        <w:t>Another</w:t>
      </w:r>
      <w:r>
        <w:rPr>
          <w:spacing w:val="-2"/>
        </w:rPr>
        <w:t> </w:t>
      </w:r>
      <w:r>
        <w:rPr/>
        <w:t>advantage</w:t>
      </w:r>
      <w:r>
        <w:rPr>
          <w:spacing w:val="-4"/>
        </w:rPr>
        <w:t> </w:t>
      </w:r>
      <w:r>
        <w:rPr/>
        <w:t>is</w:t>
      </w:r>
      <w:r>
        <w:rPr>
          <w:spacing w:val="-2"/>
        </w:rPr>
        <w:t> </w:t>
      </w:r>
      <w:r>
        <w:rPr/>
        <w:t>that</w:t>
      </w:r>
      <w:r>
        <w:rPr>
          <w:spacing w:val="-2"/>
        </w:rPr>
        <w:t> </w:t>
      </w:r>
      <w:r>
        <w:rPr/>
        <w:t>it</w:t>
      </w:r>
      <w:r>
        <w:rPr>
          <w:spacing w:val="-2"/>
        </w:rPr>
        <w:t> </w:t>
      </w:r>
      <w:r>
        <w:rPr/>
        <w:t>makes</w:t>
      </w:r>
      <w:r>
        <w:rPr>
          <w:spacing w:val="-2"/>
        </w:rPr>
        <w:t> </w:t>
      </w:r>
      <w:r>
        <w:rPr/>
        <w:t>it</w:t>
      </w:r>
      <w:r>
        <w:rPr>
          <w:spacing w:val="-2"/>
        </w:rPr>
        <w:t> </w:t>
      </w:r>
      <w:r>
        <w:rPr/>
        <w:t>easy</w:t>
      </w:r>
      <w:r>
        <w:rPr>
          <w:spacing w:val="-5"/>
        </w:rPr>
        <w:t> </w:t>
      </w:r>
      <w:r>
        <w:rPr/>
        <w:t>for</w:t>
      </w:r>
      <w:r>
        <w:rPr>
          <w:spacing w:val="-4"/>
        </w:rPr>
        <w:t> </w:t>
      </w:r>
      <w:r>
        <w:rPr/>
        <w:t>the</w:t>
      </w:r>
      <w:r>
        <w:rPr>
          <w:spacing w:val="-1"/>
        </w:rPr>
        <w:t> </w:t>
      </w:r>
      <w:r>
        <w:rPr/>
        <w:t>government to</w:t>
      </w:r>
      <w:r>
        <w:rPr>
          <w:spacing w:val="19"/>
        </w:rPr>
        <w:t> </w:t>
      </w:r>
      <w:r>
        <w:rPr/>
        <w:t>carry</w:t>
      </w:r>
      <w:r>
        <w:rPr>
          <w:spacing w:val="19"/>
        </w:rPr>
        <w:t> </w:t>
      </w:r>
      <w:r>
        <w:rPr/>
        <w:t>people</w:t>
      </w:r>
      <w:r>
        <w:rPr>
          <w:spacing w:val="24"/>
        </w:rPr>
        <w:t> </w:t>
      </w:r>
      <w:r>
        <w:rPr/>
        <w:t>along</w:t>
      </w:r>
      <w:r>
        <w:rPr>
          <w:spacing w:val="19"/>
        </w:rPr>
        <w:t> </w:t>
      </w:r>
      <w:r>
        <w:rPr/>
        <w:t>since</w:t>
      </w:r>
      <w:r>
        <w:rPr>
          <w:spacing w:val="20"/>
        </w:rPr>
        <w:t> </w:t>
      </w:r>
      <w:r>
        <w:rPr/>
        <w:t>radical</w:t>
      </w:r>
      <w:r>
        <w:rPr>
          <w:spacing w:val="25"/>
        </w:rPr>
        <w:t> </w:t>
      </w:r>
      <w:r>
        <w:rPr/>
        <w:t>changes</w:t>
      </w:r>
      <w:r>
        <w:rPr>
          <w:spacing w:val="22"/>
        </w:rPr>
        <w:t> </w:t>
      </w:r>
      <w:r>
        <w:rPr/>
        <w:t>often</w:t>
      </w:r>
      <w:r>
        <w:rPr>
          <w:spacing w:val="22"/>
        </w:rPr>
        <w:t> </w:t>
      </w:r>
      <w:r>
        <w:rPr/>
        <w:t>leaves</w:t>
      </w:r>
      <w:r>
        <w:rPr>
          <w:spacing w:val="21"/>
        </w:rPr>
        <w:t> </w:t>
      </w:r>
      <w:r>
        <w:rPr/>
        <w:t>the</w:t>
      </w:r>
      <w:r>
        <w:rPr>
          <w:spacing w:val="21"/>
        </w:rPr>
        <w:t> </w:t>
      </w:r>
      <w:r>
        <w:rPr/>
        <w:t>people</w:t>
      </w:r>
      <w:r>
        <w:rPr>
          <w:spacing w:val="21"/>
        </w:rPr>
        <w:t> </w:t>
      </w:r>
      <w:r>
        <w:rPr/>
        <w:t>suspicious</w:t>
      </w:r>
      <w:r>
        <w:rPr>
          <w:spacing w:val="22"/>
        </w:rPr>
        <w:t> </w:t>
      </w:r>
      <w:r>
        <w:rPr/>
        <w:t>thereby</w:t>
      </w:r>
      <w:r>
        <w:rPr>
          <w:spacing w:val="19"/>
        </w:rPr>
        <w:t> </w:t>
      </w:r>
      <w:r>
        <w:rPr>
          <w:spacing w:val="-2"/>
        </w:rPr>
        <w:t>creating</w:t>
      </w:r>
    </w:p>
    <w:p>
      <w:pPr>
        <w:spacing w:after="0" w:line="360" w:lineRule="auto"/>
        <w:jc w:val="both"/>
        <w:sectPr>
          <w:pgSz w:w="12240" w:h="15840"/>
          <w:pgMar w:header="0" w:footer="1036" w:top="1360" w:bottom="1220" w:left="1200" w:right="600"/>
        </w:sectPr>
      </w:pPr>
    </w:p>
    <w:p>
      <w:pPr>
        <w:pStyle w:val="BodyText"/>
        <w:spacing w:line="360" w:lineRule="auto" w:before="74"/>
        <w:ind w:left="240" w:right="840"/>
        <w:jc w:val="both"/>
      </w:pPr>
      <w:r>
        <w:rPr/>
        <w:t>problems of resistance. However, the incremental model has been criticized for being too conservative through its insistence on close comparison with past budgets and in need of only small changes. In other words, it maintains the status quo. This model will also apply to the proposed</w:t>
      </w:r>
      <w:r>
        <w:rPr>
          <w:spacing w:val="-1"/>
        </w:rPr>
        <w:t> </w:t>
      </w:r>
      <w:r>
        <w:rPr/>
        <w:t>housing</w:t>
      </w:r>
      <w:r>
        <w:rPr>
          <w:spacing w:val="-4"/>
        </w:rPr>
        <w:t> </w:t>
      </w:r>
      <w:r>
        <w:rPr/>
        <w:t>budget</w:t>
      </w:r>
      <w:r>
        <w:rPr>
          <w:spacing w:val="-1"/>
        </w:rPr>
        <w:t> </w:t>
      </w:r>
      <w:r>
        <w:rPr/>
        <w:t>performance</w:t>
      </w:r>
      <w:r>
        <w:rPr>
          <w:spacing w:val="-2"/>
        </w:rPr>
        <w:t> </w:t>
      </w:r>
      <w:r>
        <w:rPr/>
        <w:t>model</w:t>
      </w:r>
      <w:r>
        <w:rPr>
          <w:spacing w:val="-1"/>
        </w:rPr>
        <w:t> </w:t>
      </w:r>
      <w:r>
        <w:rPr/>
        <w:t>because,</w:t>
      </w:r>
      <w:r>
        <w:rPr>
          <w:spacing w:val="-2"/>
        </w:rPr>
        <w:t> </w:t>
      </w:r>
      <w:r>
        <w:rPr/>
        <w:t>with</w:t>
      </w:r>
      <w:r>
        <w:rPr>
          <w:spacing w:val="-1"/>
        </w:rPr>
        <w:t> </w:t>
      </w:r>
      <w:r>
        <w:rPr/>
        <w:t>rapid</w:t>
      </w:r>
      <w:r>
        <w:rPr>
          <w:spacing w:val="-1"/>
        </w:rPr>
        <w:t> </w:t>
      </w:r>
      <w:r>
        <w:rPr/>
        <w:t>rate</w:t>
      </w:r>
      <w:r>
        <w:rPr>
          <w:spacing w:val="-2"/>
        </w:rPr>
        <w:t> </w:t>
      </w:r>
      <w:r>
        <w:rPr/>
        <w:t>of</w:t>
      </w:r>
      <w:r>
        <w:rPr>
          <w:spacing w:val="-2"/>
        </w:rPr>
        <w:t> </w:t>
      </w:r>
      <w:r>
        <w:rPr/>
        <w:t>urbanization</w:t>
      </w:r>
      <w:r>
        <w:rPr>
          <w:spacing w:val="-1"/>
        </w:rPr>
        <w:t> </w:t>
      </w:r>
      <w:r>
        <w:rPr/>
        <w:t>and</w:t>
      </w:r>
      <w:r>
        <w:rPr>
          <w:spacing w:val="-1"/>
        </w:rPr>
        <w:t> </w:t>
      </w:r>
      <w:r>
        <w:rPr/>
        <w:t>lack</w:t>
      </w:r>
      <w:r>
        <w:rPr>
          <w:spacing w:val="-1"/>
        </w:rPr>
        <w:t> </w:t>
      </w:r>
      <w:r>
        <w:rPr/>
        <w:t>of time to carry out new censuses of new households that need houses annually, there is need to constantly increase allocations based on previous housing budget figures, while performing the census at the same time. Figure 3.9 illustrates the incremental budgeting model.</w:t>
      </w:r>
    </w:p>
    <w:p>
      <w:pPr>
        <w:pStyle w:val="BodyText"/>
        <w:rPr>
          <w:sz w:val="20"/>
        </w:rPr>
      </w:pPr>
    </w:p>
    <w:p>
      <w:pPr>
        <w:pStyle w:val="BodyText"/>
        <w:spacing w:before="166"/>
        <w:rPr>
          <w:sz w:val="20"/>
        </w:rPr>
      </w:pPr>
      <w:r>
        <w:rPr/>
        <mc:AlternateContent>
          <mc:Choice Requires="wps">
            <w:drawing>
              <wp:anchor distT="0" distB="0" distL="0" distR="0" allowOverlap="1" layoutInCell="1" locked="0" behindDoc="1" simplePos="0" relativeHeight="487602176">
                <wp:simplePos x="0" y="0"/>
                <wp:positionH relativeFrom="page">
                  <wp:posOffset>1077594</wp:posOffset>
                </wp:positionH>
                <wp:positionV relativeFrom="paragraph">
                  <wp:posOffset>266868</wp:posOffset>
                </wp:positionV>
                <wp:extent cx="4516755" cy="4550410"/>
                <wp:effectExtent l="0" t="0" r="0" b="0"/>
                <wp:wrapTopAndBottom/>
                <wp:docPr id="239" name="Group 239"/>
                <wp:cNvGraphicFramePr>
                  <a:graphicFrameLocks/>
                </wp:cNvGraphicFramePr>
                <a:graphic>
                  <a:graphicData uri="http://schemas.microsoft.com/office/word/2010/wordprocessingGroup">
                    <wpg:wgp>
                      <wpg:cNvPr id="239" name="Group 239"/>
                      <wpg:cNvGrpSpPr/>
                      <wpg:grpSpPr>
                        <a:xfrm>
                          <a:off x="0" y="0"/>
                          <a:ext cx="4516755" cy="4550410"/>
                          <a:chExt cx="4516755" cy="4550410"/>
                        </a:xfrm>
                      </wpg:grpSpPr>
                      <wps:wsp>
                        <wps:cNvPr id="240" name="Graphic 240"/>
                        <wps:cNvSpPr/>
                        <wps:spPr>
                          <a:xfrm>
                            <a:off x="15875" y="280670"/>
                            <a:ext cx="3349625" cy="4253865"/>
                          </a:xfrm>
                          <a:custGeom>
                            <a:avLst/>
                            <a:gdLst/>
                            <a:ahLst/>
                            <a:cxnLst/>
                            <a:rect l="l" t="t" r="r" b="b"/>
                            <a:pathLst>
                              <a:path w="3349625" h="4253865">
                                <a:moveTo>
                                  <a:pt x="3349625" y="3801109"/>
                                </a:moveTo>
                                <a:lnTo>
                                  <a:pt x="3349625" y="4253864"/>
                                </a:lnTo>
                              </a:path>
                              <a:path w="3349625" h="4253865">
                                <a:moveTo>
                                  <a:pt x="3349625" y="4253864"/>
                                </a:moveTo>
                                <a:lnTo>
                                  <a:pt x="0" y="4253864"/>
                                </a:lnTo>
                              </a:path>
                              <a:path w="3349625" h="4253865">
                                <a:moveTo>
                                  <a:pt x="0" y="4253864"/>
                                </a:moveTo>
                                <a:lnTo>
                                  <a:pt x="0" y="0"/>
                                </a:lnTo>
                              </a:path>
                            </a:pathLst>
                          </a:custGeom>
                          <a:ln w="31750">
                            <a:solidFill>
                              <a:srgbClr val="000000"/>
                            </a:solidFill>
                            <a:prstDash val="solid"/>
                          </a:ln>
                        </wps:spPr>
                        <wps:bodyPr wrap="square" lIns="0" tIns="0" rIns="0" bIns="0" rtlCol="0">
                          <a:prstTxWarp prst="textNoShape">
                            <a:avLst/>
                          </a:prstTxWarp>
                          <a:noAutofit/>
                        </wps:bodyPr>
                      </wps:wsp>
                      <pic:pic>
                        <pic:nvPicPr>
                          <pic:cNvPr id="241" name="Image 241"/>
                          <pic:cNvPicPr/>
                        </pic:nvPicPr>
                        <pic:blipFill>
                          <a:blip r:embed="rId94" cstate="print"/>
                          <a:stretch>
                            <a:fillRect/>
                          </a:stretch>
                        </pic:blipFill>
                        <pic:spPr>
                          <a:xfrm>
                            <a:off x="27940" y="233045"/>
                            <a:ext cx="238125" cy="95250"/>
                          </a:xfrm>
                          <a:prstGeom prst="rect">
                            <a:avLst/>
                          </a:prstGeom>
                        </pic:spPr>
                      </pic:pic>
                      <wps:wsp>
                        <wps:cNvPr id="242" name="Graphic 242"/>
                        <wps:cNvSpPr/>
                        <wps:spPr>
                          <a:xfrm>
                            <a:off x="4299584" y="4081779"/>
                            <a:ext cx="1270" cy="154940"/>
                          </a:xfrm>
                          <a:custGeom>
                            <a:avLst/>
                            <a:gdLst/>
                            <a:ahLst/>
                            <a:cxnLst/>
                            <a:rect l="l" t="t" r="r" b="b"/>
                            <a:pathLst>
                              <a:path w="0" h="154940">
                                <a:moveTo>
                                  <a:pt x="0" y="0"/>
                                </a:moveTo>
                                <a:lnTo>
                                  <a:pt x="0" y="154939"/>
                                </a:lnTo>
                              </a:path>
                            </a:pathLst>
                          </a:custGeom>
                          <a:ln w="31750">
                            <a:solidFill>
                              <a:srgbClr val="000000"/>
                            </a:solidFill>
                            <a:prstDash val="solid"/>
                          </a:ln>
                        </wps:spPr>
                        <wps:bodyPr wrap="square" lIns="0" tIns="0" rIns="0" bIns="0" rtlCol="0">
                          <a:prstTxWarp prst="textNoShape">
                            <a:avLst/>
                          </a:prstTxWarp>
                          <a:noAutofit/>
                        </wps:bodyPr>
                      </wps:wsp>
                      <wps:wsp>
                        <wps:cNvPr id="243" name="Graphic 243"/>
                        <wps:cNvSpPr/>
                        <wps:spPr>
                          <a:xfrm>
                            <a:off x="1309370" y="1447799"/>
                            <a:ext cx="2990215" cy="2836545"/>
                          </a:xfrm>
                          <a:custGeom>
                            <a:avLst/>
                            <a:gdLst/>
                            <a:ahLst/>
                            <a:cxnLst/>
                            <a:rect l="l" t="t" r="r" b="b"/>
                            <a:pathLst>
                              <a:path w="2990215" h="2836545">
                                <a:moveTo>
                                  <a:pt x="76200" y="2165985"/>
                                </a:moveTo>
                                <a:lnTo>
                                  <a:pt x="44450" y="2165985"/>
                                </a:lnTo>
                                <a:lnTo>
                                  <a:pt x="44450" y="1900809"/>
                                </a:lnTo>
                                <a:lnTo>
                                  <a:pt x="41656" y="1898015"/>
                                </a:lnTo>
                                <a:lnTo>
                                  <a:pt x="34544" y="1898015"/>
                                </a:lnTo>
                                <a:lnTo>
                                  <a:pt x="31750" y="1900809"/>
                                </a:lnTo>
                                <a:lnTo>
                                  <a:pt x="31750" y="2165985"/>
                                </a:lnTo>
                                <a:lnTo>
                                  <a:pt x="0" y="2165985"/>
                                </a:lnTo>
                                <a:lnTo>
                                  <a:pt x="38100" y="2242185"/>
                                </a:lnTo>
                                <a:lnTo>
                                  <a:pt x="66675" y="2185035"/>
                                </a:lnTo>
                                <a:lnTo>
                                  <a:pt x="76200" y="2165985"/>
                                </a:lnTo>
                                <a:close/>
                              </a:path>
                              <a:path w="2990215" h="2836545">
                                <a:moveTo>
                                  <a:pt x="76200" y="1251585"/>
                                </a:moveTo>
                                <a:lnTo>
                                  <a:pt x="44450" y="1251585"/>
                                </a:lnTo>
                                <a:lnTo>
                                  <a:pt x="44450" y="986409"/>
                                </a:lnTo>
                                <a:lnTo>
                                  <a:pt x="41656" y="983615"/>
                                </a:lnTo>
                                <a:lnTo>
                                  <a:pt x="34544" y="983615"/>
                                </a:lnTo>
                                <a:lnTo>
                                  <a:pt x="31750" y="986409"/>
                                </a:lnTo>
                                <a:lnTo>
                                  <a:pt x="31750" y="1251585"/>
                                </a:lnTo>
                                <a:lnTo>
                                  <a:pt x="0" y="1251585"/>
                                </a:lnTo>
                                <a:lnTo>
                                  <a:pt x="38100" y="1327785"/>
                                </a:lnTo>
                                <a:lnTo>
                                  <a:pt x="66675" y="1270635"/>
                                </a:lnTo>
                                <a:lnTo>
                                  <a:pt x="76200" y="1251585"/>
                                </a:lnTo>
                                <a:close/>
                              </a:path>
                              <a:path w="2990215" h="2836545">
                                <a:moveTo>
                                  <a:pt x="76200" y="327660"/>
                                </a:moveTo>
                                <a:lnTo>
                                  <a:pt x="44450" y="327660"/>
                                </a:lnTo>
                                <a:lnTo>
                                  <a:pt x="44450" y="62484"/>
                                </a:lnTo>
                                <a:lnTo>
                                  <a:pt x="41656" y="59690"/>
                                </a:lnTo>
                                <a:lnTo>
                                  <a:pt x="34544" y="59690"/>
                                </a:lnTo>
                                <a:lnTo>
                                  <a:pt x="31750" y="62484"/>
                                </a:lnTo>
                                <a:lnTo>
                                  <a:pt x="31750" y="327660"/>
                                </a:lnTo>
                                <a:lnTo>
                                  <a:pt x="0" y="327660"/>
                                </a:lnTo>
                                <a:lnTo>
                                  <a:pt x="38100" y="403860"/>
                                </a:lnTo>
                                <a:lnTo>
                                  <a:pt x="66675" y="346710"/>
                                </a:lnTo>
                                <a:lnTo>
                                  <a:pt x="76200" y="327660"/>
                                </a:lnTo>
                                <a:close/>
                              </a:path>
                              <a:path w="2990215" h="2836545">
                                <a:moveTo>
                                  <a:pt x="1859280" y="1606550"/>
                                </a:moveTo>
                                <a:lnTo>
                                  <a:pt x="1783080" y="1568323"/>
                                </a:lnTo>
                                <a:lnTo>
                                  <a:pt x="1783080" y="1600060"/>
                                </a:lnTo>
                                <a:lnTo>
                                  <a:pt x="1315720" y="1599565"/>
                                </a:lnTo>
                                <a:lnTo>
                                  <a:pt x="1312164" y="1599565"/>
                                </a:lnTo>
                                <a:lnTo>
                                  <a:pt x="1309370" y="1602359"/>
                                </a:lnTo>
                                <a:lnTo>
                                  <a:pt x="1309370" y="1609471"/>
                                </a:lnTo>
                                <a:lnTo>
                                  <a:pt x="1312164" y="1612265"/>
                                </a:lnTo>
                                <a:lnTo>
                                  <a:pt x="1783080" y="1612760"/>
                                </a:lnTo>
                                <a:lnTo>
                                  <a:pt x="1783080" y="1644523"/>
                                </a:lnTo>
                                <a:lnTo>
                                  <a:pt x="1846783" y="1612773"/>
                                </a:lnTo>
                                <a:lnTo>
                                  <a:pt x="1859280" y="1606550"/>
                                </a:lnTo>
                                <a:close/>
                              </a:path>
                              <a:path w="2990215" h="2836545">
                                <a:moveTo>
                                  <a:pt x="1859280" y="682625"/>
                                </a:moveTo>
                                <a:lnTo>
                                  <a:pt x="1783080" y="644398"/>
                                </a:lnTo>
                                <a:lnTo>
                                  <a:pt x="1783080" y="676135"/>
                                </a:lnTo>
                                <a:lnTo>
                                  <a:pt x="1315720" y="675640"/>
                                </a:lnTo>
                                <a:lnTo>
                                  <a:pt x="1312164" y="675640"/>
                                </a:lnTo>
                                <a:lnTo>
                                  <a:pt x="1309370" y="678434"/>
                                </a:lnTo>
                                <a:lnTo>
                                  <a:pt x="1309370" y="685546"/>
                                </a:lnTo>
                                <a:lnTo>
                                  <a:pt x="1312164" y="688340"/>
                                </a:lnTo>
                                <a:lnTo>
                                  <a:pt x="1783080" y="688835"/>
                                </a:lnTo>
                                <a:lnTo>
                                  <a:pt x="1783080" y="720598"/>
                                </a:lnTo>
                                <a:lnTo>
                                  <a:pt x="1846783" y="688848"/>
                                </a:lnTo>
                                <a:lnTo>
                                  <a:pt x="1859280" y="682625"/>
                                </a:lnTo>
                                <a:close/>
                              </a:path>
                              <a:path w="2990215" h="2836545">
                                <a:moveTo>
                                  <a:pt x="2519680" y="1291590"/>
                                </a:moveTo>
                                <a:lnTo>
                                  <a:pt x="2487930" y="1291590"/>
                                </a:lnTo>
                                <a:lnTo>
                                  <a:pt x="2487930" y="926719"/>
                                </a:lnTo>
                                <a:lnTo>
                                  <a:pt x="2485136" y="923925"/>
                                </a:lnTo>
                                <a:lnTo>
                                  <a:pt x="2478024" y="923925"/>
                                </a:lnTo>
                                <a:lnTo>
                                  <a:pt x="2475230" y="926719"/>
                                </a:lnTo>
                                <a:lnTo>
                                  <a:pt x="2475230" y="1291590"/>
                                </a:lnTo>
                                <a:lnTo>
                                  <a:pt x="2443480" y="1291590"/>
                                </a:lnTo>
                                <a:lnTo>
                                  <a:pt x="2481580" y="1367790"/>
                                </a:lnTo>
                                <a:lnTo>
                                  <a:pt x="2510155" y="1310640"/>
                                </a:lnTo>
                                <a:lnTo>
                                  <a:pt x="2519680" y="1291590"/>
                                </a:lnTo>
                                <a:close/>
                              </a:path>
                              <a:path w="2990215" h="2836545">
                                <a:moveTo>
                                  <a:pt x="2519680" y="397510"/>
                                </a:moveTo>
                                <a:lnTo>
                                  <a:pt x="2487930" y="397510"/>
                                </a:lnTo>
                                <a:lnTo>
                                  <a:pt x="2487930" y="2794"/>
                                </a:lnTo>
                                <a:lnTo>
                                  <a:pt x="2485136" y="0"/>
                                </a:lnTo>
                                <a:lnTo>
                                  <a:pt x="2478024" y="0"/>
                                </a:lnTo>
                                <a:lnTo>
                                  <a:pt x="2475230" y="2794"/>
                                </a:lnTo>
                                <a:lnTo>
                                  <a:pt x="2475230" y="397510"/>
                                </a:lnTo>
                                <a:lnTo>
                                  <a:pt x="2443480" y="397510"/>
                                </a:lnTo>
                                <a:lnTo>
                                  <a:pt x="2481580" y="473710"/>
                                </a:lnTo>
                                <a:lnTo>
                                  <a:pt x="2510155" y="416560"/>
                                </a:lnTo>
                                <a:lnTo>
                                  <a:pt x="2519680" y="397510"/>
                                </a:lnTo>
                                <a:close/>
                              </a:path>
                              <a:path w="2990215" h="2836545">
                                <a:moveTo>
                                  <a:pt x="2990215" y="2773045"/>
                                </a:moveTo>
                                <a:lnTo>
                                  <a:pt x="1398905" y="2773045"/>
                                </a:lnTo>
                                <a:lnTo>
                                  <a:pt x="1398905" y="2741295"/>
                                </a:lnTo>
                                <a:lnTo>
                                  <a:pt x="1303655" y="2788920"/>
                                </a:lnTo>
                                <a:lnTo>
                                  <a:pt x="1398905" y="2836545"/>
                                </a:lnTo>
                                <a:lnTo>
                                  <a:pt x="1398905" y="2804795"/>
                                </a:lnTo>
                                <a:lnTo>
                                  <a:pt x="2990215" y="2804795"/>
                                </a:lnTo>
                                <a:lnTo>
                                  <a:pt x="2990215" y="2773045"/>
                                </a:lnTo>
                                <a:close/>
                              </a:path>
                            </a:pathLst>
                          </a:custGeom>
                          <a:solidFill>
                            <a:srgbClr val="000000"/>
                          </a:solidFill>
                        </wps:spPr>
                        <wps:bodyPr wrap="square" lIns="0" tIns="0" rIns="0" bIns="0" rtlCol="0">
                          <a:prstTxWarp prst="textNoShape">
                            <a:avLst/>
                          </a:prstTxWarp>
                          <a:noAutofit/>
                        </wps:bodyPr>
                      </wps:wsp>
                      <wps:wsp>
                        <wps:cNvPr id="244" name="Graphic 244"/>
                        <wps:cNvSpPr/>
                        <wps:spPr>
                          <a:xfrm>
                            <a:off x="1309370" y="615949"/>
                            <a:ext cx="1847214" cy="605790"/>
                          </a:xfrm>
                          <a:custGeom>
                            <a:avLst/>
                            <a:gdLst/>
                            <a:ahLst/>
                            <a:cxnLst/>
                            <a:rect l="l" t="t" r="r" b="b"/>
                            <a:pathLst>
                              <a:path w="1847214" h="605790">
                                <a:moveTo>
                                  <a:pt x="76200" y="215265"/>
                                </a:moveTo>
                                <a:lnTo>
                                  <a:pt x="44450" y="215265"/>
                                </a:lnTo>
                                <a:lnTo>
                                  <a:pt x="44450" y="2794"/>
                                </a:lnTo>
                                <a:lnTo>
                                  <a:pt x="41656" y="0"/>
                                </a:lnTo>
                                <a:lnTo>
                                  <a:pt x="34544" y="0"/>
                                </a:lnTo>
                                <a:lnTo>
                                  <a:pt x="31750" y="2794"/>
                                </a:lnTo>
                                <a:lnTo>
                                  <a:pt x="31750" y="215265"/>
                                </a:lnTo>
                                <a:lnTo>
                                  <a:pt x="0" y="215265"/>
                                </a:lnTo>
                                <a:lnTo>
                                  <a:pt x="38100" y="291465"/>
                                </a:lnTo>
                                <a:lnTo>
                                  <a:pt x="66675" y="234315"/>
                                </a:lnTo>
                                <a:lnTo>
                                  <a:pt x="76200" y="215265"/>
                                </a:lnTo>
                                <a:close/>
                              </a:path>
                              <a:path w="1847214" h="605790">
                                <a:moveTo>
                                  <a:pt x="1847215" y="567690"/>
                                </a:moveTo>
                                <a:lnTo>
                                  <a:pt x="1834515" y="561340"/>
                                </a:lnTo>
                                <a:lnTo>
                                  <a:pt x="1771015" y="529590"/>
                                </a:lnTo>
                                <a:lnTo>
                                  <a:pt x="1771015" y="561340"/>
                                </a:lnTo>
                                <a:lnTo>
                                  <a:pt x="1312164" y="561340"/>
                                </a:lnTo>
                                <a:lnTo>
                                  <a:pt x="1309370" y="564134"/>
                                </a:lnTo>
                                <a:lnTo>
                                  <a:pt x="1309370" y="571246"/>
                                </a:lnTo>
                                <a:lnTo>
                                  <a:pt x="1312164" y="574040"/>
                                </a:lnTo>
                                <a:lnTo>
                                  <a:pt x="1771015" y="574040"/>
                                </a:lnTo>
                                <a:lnTo>
                                  <a:pt x="1771015" y="605790"/>
                                </a:lnTo>
                                <a:lnTo>
                                  <a:pt x="1834515" y="574040"/>
                                </a:lnTo>
                                <a:lnTo>
                                  <a:pt x="1847215" y="567690"/>
                                </a:lnTo>
                                <a:close/>
                              </a:path>
                            </a:pathLst>
                          </a:custGeom>
                          <a:solidFill>
                            <a:srgbClr val="000000"/>
                          </a:solidFill>
                        </wps:spPr>
                        <wps:bodyPr wrap="square" lIns="0" tIns="0" rIns="0" bIns="0" rtlCol="0">
                          <a:prstTxWarp prst="textNoShape">
                            <a:avLst/>
                          </a:prstTxWarp>
                          <a:noAutofit/>
                        </wps:bodyPr>
                      </wps:wsp>
                      <wps:wsp>
                        <wps:cNvPr id="245" name="Textbox 245"/>
                        <wps:cNvSpPr txBox="1"/>
                        <wps:spPr>
                          <a:xfrm>
                            <a:off x="3228594" y="3537076"/>
                            <a:ext cx="1229995" cy="127000"/>
                          </a:xfrm>
                          <a:prstGeom prst="rect">
                            <a:avLst/>
                          </a:prstGeom>
                        </wps:spPr>
                        <wps:txbx>
                          <w:txbxContent>
                            <w:p>
                              <w:pPr>
                                <w:spacing w:line="199" w:lineRule="exact" w:before="0"/>
                                <w:ind w:left="0" w:right="0" w:firstLine="0"/>
                                <w:jc w:val="left"/>
                                <w:rPr>
                                  <w:sz w:val="18"/>
                                </w:rPr>
                              </w:pPr>
                              <w:r>
                                <w:rPr>
                                  <w:sz w:val="18"/>
                                </w:rPr>
                                <w:t>Budget</w:t>
                              </w:r>
                              <w:r>
                                <w:rPr>
                                  <w:spacing w:val="-4"/>
                                  <w:sz w:val="18"/>
                                </w:rPr>
                                <w:t> </w:t>
                              </w:r>
                              <w:r>
                                <w:rPr>
                                  <w:sz w:val="18"/>
                                </w:rPr>
                                <w:t>objective</w:t>
                              </w:r>
                              <w:r>
                                <w:rPr>
                                  <w:spacing w:val="-4"/>
                                  <w:sz w:val="18"/>
                                </w:rPr>
                                <w:t> </w:t>
                              </w:r>
                              <w:r>
                                <w:rPr>
                                  <w:spacing w:val="-2"/>
                                  <w:sz w:val="18"/>
                                </w:rPr>
                                <w:t>realized?</w:t>
                              </w:r>
                            </w:p>
                          </w:txbxContent>
                        </wps:txbx>
                        <wps:bodyPr wrap="square" lIns="0" tIns="0" rIns="0" bIns="0" rtlCol="0">
                          <a:noAutofit/>
                        </wps:bodyPr>
                      </wps:wsp>
                      <wps:wsp>
                        <wps:cNvPr id="246" name="Textbox 246"/>
                        <wps:cNvSpPr txBox="1"/>
                        <wps:spPr>
                          <a:xfrm>
                            <a:off x="266065" y="3689984"/>
                            <a:ext cx="2359025" cy="606425"/>
                          </a:xfrm>
                          <a:prstGeom prst="rect">
                            <a:avLst/>
                          </a:prstGeom>
                          <a:ln w="31750">
                            <a:solidFill>
                              <a:srgbClr val="C0504D"/>
                            </a:solidFill>
                            <a:prstDash val="solid"/>
                          </a:ln>
                        </wps:spPr>
                        <wps:txbx>
                          <w:txbxContent>
                            <w:p>
                              <w:pPr>
                                <w:spacing w:line="280" w:lineRule="auto" w:before="70"/>
                                <w:ind w:left="1560" w:right="0" w:hanging="1282"/>
                                <w:jc w:val="left"/>
                                <w:rPr>
                                  <w:sz w:val="20"/>
                                </w:rPr>
                              </w:pPr>
                              <w:r>
                                <w:rPr>
                                  <w:sz w:val="20"/>
                                </w:rPr>
                                <w:t>Annual</w:t>
                              </w:r>
                              <w:r>
                                <w:rPr>
                                  <w:spacing w:val="-7"/>
                                  <w:sz w:val="20"/>
                                </w:rPr>
                                <w:t> </w:t>
                              </w:r>
                              <w:r>
                                <w:rPr>
                                  <w:sz w:val="20"/>
                                </w:rPr>
                                <w:t>marginal</w:t>
                              </w:r>
                              <w:r>
                                <w:rPr>
                                  <w:spacing w:val="-9"/>
                                  <w:sz w:val="20"/>
                                </w:rPr>
                                <w:t> </w:t>
                              </w:r>
                              <w:r>
                                <w:rPr>
                                  <w:sz w:val="20"/>
                                </w:rPr>
                                <w:t>addition</w:t>
                              </w:r>
                              <w:r>
                                <w:rPr>
                                  <w:spacing w:val="-10"/>
                                  <w:sz w:val="20"/>
                                </w:rPr>
                                <w:t> </w:t>
                              </w:r>
                              <w:r>
                                <w:rPr>
                                  <w:sz w:val="20"/>
                                </w:rPr>
                                <w:t>to</w:t>
                              </w:r>
                              <w:r>
                                <w:rPr>
                                  <w:spacing w:val="-5"/>
                                  <w:sz w:val="20"/>
                                </w:rPr>
                                <w:t> </w:t>
                              </w:r>
                              <w:r>
                                <w:rPr>
                                  <w:sz w:val="20"/>
                                </w:rPr>
                                <w:t>year</w:t>
                              </w:r>
                              <w:r>
                                <w:rPr>
                                  <w:spacing w:val="-8"/>
                                  <w:sz w:val="20"/>
                                </w:rPr>
                                <w:t> </w:t>
                              </w:r>
                              <w:r>
                                <w:rPr>
                                  <w:sz w:val="20"/>
                                </w:rPr>
                                <w:t>three </w:t>
                              </w:r>
                              <w:r>
                                <w:rPr>
                                  <w:spacing w:val="-2"/>
                                  <w:sz w:val="20"/>
                                </w:rPr>
                                <w:t>budget</w:t>
                              </w:r>
                            </w:p>
                          </w:txbxContent>
                        </wps:txbx>
                        <wps:bodyPr wrap="square" lIns="0" tIns="0" rIns="0" bIns="0" rtlCol="0">
                          <a:noAutofit/>
                        </wps:bodyPr>
                      </wps:wsp>
                      <wps:wsp>
                        <wps:cNvPr id="247" name="Textbox 247"/>
                        <wps:cNvSpPr txBox="1"/>
                        <wps:spPr>
                          <a:xfrm>
                            <a:off x="254000" y="2755900"/>
                            <a:ext cx="2359025" cy="606425"/>
                          </a:xfrm>
                          <a:prstGeom prst="rect">
                            <a:avLst/>
                          </a:prstGeom>
                          <a:ln w="31750">
                            <a:solidFill>
                              <a:srgbClr val="C0504D"/>
                            </a:solidFill>
                            <a:prstDash val="solid"/>
                          </a:ln>
                        </wps:spPr>
                        <wps:txbx>
                          <w:txbxContent>
                            <w:p>
                              <w:pPr>
                                <w:spacing w:line="280" w:lineRule="auto" w:before="70"/>
                                <w:ind w:left="1560" w:right="0" w:hanging="1232"/>
                                <w:jc w:val="left"/>
                                <w:rPr>
                                  <w:sz w:val="20"/>
                                </w:rPr>
                              </w:pPr>
                              <w:r>
                                <w:rPr>
                                  <w:sz w:val="20"/>
                                </w:rPr>
                                <w:t>Annual</w:t>
                              </w:r>
                              <w:r>
                                <w:rPr>
                                  <w:spacing w:val="-7"/>
                                  <w:sz w:val="20"/>
                                </w:rPr>
                                <w:t> </w:t>
                              </w:r>
                              <w:r>
                                <w:rPr>
                                  <w:sz w:val="20"/>
                                </w:rPr>
                                <w:t>marginal</w:t>
                              </w:r>
                              <w:r>
                                <w:rPr>
                                  <w:spacing w:val="-9"/>
                                  <w:sz w:val="20"/>
                                </w:rPr>
                                <w:t> </w:t>
                              </w:r>
                              <w:r>
                                <w:rPr>
                                  <w:sz w:val="20"/>
                                </w:rPr>
                                <w:t>addition</w:t>
                              </w:r>
                              <w:r>
                                <w:rPr>
                                  <w:spacing w:val="-10"/>
                                  <w:sz w:val="20"/>
                                </w:rPr>
                                <w:t> </w:t>
                              </w:r>
                              <w:r>
                                <w:rPr>
                                  <w:sz w:val="20"/>
                                </w:rPr>
                                <w:t>to</w:t>
                              </w:r>
                              <w:r>
                                <w:rPr>
                                  <w:spacing w:val="-6"/>
                                  <w:sz w:val="20"/>
                                </w:rPr>
                                <w:t> </w:t>
                              </w:r>
                              <w:r>
                                <w:rPr>
                                  <w:sz w:val="20"/>
                                </w:rPr>
                                <w:t>year</w:t>
                              </w:r>
                              <w:r>
                                <w:rPr>
                                  <w:spacing w:val="-8"/>
                                  <w:sz w:val="20"/>
                                </w:rPr>
                                <w:t> </w:t>
                              </w:r>
                              <w:r>
                                <w:rPr>
                                  <w:sz w:val="20"/>
                                </w:rPr>
                                <w:t>two </w:t>
                              </w:r>
                              <w:r>
                                <w:rPr>
                                  <w:spacing w:val="-2"/>
                                  <w:sz w:val="20"/>
                                </w:rPr>
                                <w:t>budget</w:t>
                              </w:r>
                            </w:p>
                          </w:txbxContent>
                        </wps:txbx>
                        <wps:bodyPr wrap="square" lIns="0" tIns="0" rIns="0" bIns="0" rtlCol="0">
                          <a:noAutofit/>
                        </wps:bodyPr>
                      </wps:wsp>
                      <wps:wsp>
                        <wps:cNvPr id="248" name="Textbox 248"/>
                        <wps:cNvSpPr txBox="1"/>
                        <wps:spPr>
                          <a:xfrm>
                            <a:off x="3156585" y="1920875"/>
                            <a:ext cx="1344295" cy="457200"/>
                          </a:xfrm>
                          <a:prstGeom prst="rect">
                            <a:avLst/>
                          </a:prstGeom>
                          <a:ln w="31750">
                            <a:solidFill>
                              <a:srgbClr val="C0504D"/>
                            </a:solidFill>
                            <a:prstDash val="solid"/>
                          </a:ln>
                        </wps:spPr>
                        <wps:txbx>
                          <w:txbxContent>
                            <w:p>
                              <w:pPr>
                                <w:spacing w:before="74"/>
                                <w:ind w:left="369" w:right="0" w:firstLine="0"/>
                                <w:jc w:val="left"/>
                                <w:rPr>
                                  <w:sz w:val="20"/>
                                </w:rPr>
                              </w:pPr>
                              <w:r>
                                <w:rPr>
                                  <w:sz w:val="20"/>
                                </w:rPr>
                                <w:t>Year</w:t>
                              </w:r>
                              <w:r>
                                <w:rPr>
                                  <w:spacing w:val="-5"/>
                                  <w:sz w:val="20"/>
                                </w:rPr>
                                <w:t> </w:t>
                              </w:r>
                              <w:r>
                                <w:rPr>
                                  <w:sz w:val="20"/>
                                </w:rPr>
                                <w:t>two</w:t>
                              </w:r>
                              <w:r>
                                <w:rPr>
                                  <w:spacing w:val="-3"/>
                                  <w:sz w:val="20"/>
                                </w:rPr>
                                <w:t> </w:t>
                              </w:r>
                              <w:r>
                                <w:rPr>
                                  <w:spacing w:val="-2"/>
                                  <w:sz w:val="20"/>
                                </w:rPr>
                                <w:t>budget</w:t>
                              </w:r>
                            </w:p>
                          </w:txbxContent>
                        </wps:txbx>
                        <wps:bodyPr wrap="square" lIns="0" tIns="0" rIns="0" bIns="0" rtlCol="0">
                          <a:noAutofit/>
                        </wps:bodyPr>
                      </wps:wsp>
                      <wps:wsp>
                        <wps:cNvPr id="249" name="Textbox 249"/>
                        <wps:cNvSpPr txBox="1"/>
                        <wps:spPr>
                          <a:xfrm>
                            <a:off x="266065" y="1831339"/>
                            <a:ext cx="2359025" cy="606425"/>
                          </a:xfrm>
                          <a:prstGeom prst="rect">
                            <a:avLst/>
                          </a:prstGeom>
                          <a:ln w="31750">
                            <a:solidFill>
                              <a:srgbClr val="C0504D"/>
                            </a:solidFill>
                            <a:prstDash val="solid"/>
                          </a:ln>
                        </wps:spPr>
                        <wps:txbx>
                          <w:txbxContent>
                            <w:p>
                              <w:pPr>
                                <w:spacing w:line="278" w:lineRule="auto" w:before="69"/>
                                <w:ind w:left="1560" w:right="0" w:hanging="1227"/>
                                <w:jc w:val="left"/>
                                <w:rPr>
                                  <w:sz w:val="20"/>
                                </w:rPr>
                              </w:pPr>
                              <w:r>
                                <w:rPr>
                                  <w:sz w:val="20"/>
                                </w:rPr>
                                <w:t>Annual</w:t>
                              </w:r>
                              <w:r>
                                <w:rPr>
                                  <w:spacing w:val="-7"/>
                                  <w:sz w:val="20"/>
                                </w:rPr>
                                <w:t> </w:t>
                              </w:r>
                              <w:r>
                                <w:rPr>
                                  <w:sz w:val="20"/>
                                </w:rPr>
                                <w:t>marginal</w:t>
                              </w:r>
                              <w:r>
                                <w:rPr>
                                  <w:spacing w:val="-9"/>
                                  <w:sz w:val="20"/>
                                </w:rPr>
                                <w:t> </w:t>
                              </w:r>
                              <w:r>
                                <w:rPr>
                                  <w:sz w:val="20"/>
                                </w:rPr>
                                <w:t>addition</w:t>
                              </w:r>
                              <w:r>
                                <w:rPr>
                                  <w:spacing w:val="-10"/>
                                  <w:sz w:val="20"/>
                                </w:rPr>
                                <w:t> </w:t>
                              </w:r>
                              <w:r>
                                <w:rPr>
                                  <w:sz w:val="20"/>
                                </w:rPr>
                                <w:t>to</w:t>
                              </w:r>
                              <w:r>
                                <w:rPr>
                                  <w:spacing w:val="-6"/>
                                  <w:sz w:val="20"/>
                                </w:rPr>
                                <w:t> </w:t>
                              </w:r>
                              <w:r>
                                <w:rPr>
                                  <w:sz w:val="20"/>
                                </w:rPr>
                                <w:t>year</w:t>
                              </w:r>
                              <w:r>
                                <w:rPr>
                                  <w:spacing w:val="-9"/>
                                  <w:sz w:val="20"/>
                                </w:rPr>
                                <w:t> </w:t>
                              </w:r>
                              <w:r>
                                <w:rPr>
                                  <w:sz w:val="20"/>
                                </w:rPr>
                                <w:t>one </w:t>
                              </w:r>
                              <w:r>
                                <w:rPr>
                                  <w:spacing w:val="-2"/>
                                  <w:sz w:val="20"/>
                                </w:rPr>
                                <w:t>budget</w:t>
                              </w:r>
                            </w:p>
                          </w:txbxContent>
                        </wps:txbx>
                        <wps:bodyPr wrap="square" lIns="0" tIns="0" rIns="0" bIns="0" rtlCol="0">
                          <a:noAutofit/>
                        </wps:bodyPr>
                      </wps:wsp>
                      <wps:wsp>
                        <wps:cNvPr id="250" name="Textbox 250"/>
                        <wps:cNvSpPr txBox="1"/>
                        <wps:spPr>
                          <a:xfrm>
                            <a:off x="3156585" y="907414"/>
                            <a:ext cx="1344295" cy="546735"/>
                          </a:xfrm>
                          <a:prstGeom prst="rect">
                            <a:avLst/>
                          </a:prstGeom>
                          <a:ln w="31750">
                            <a:solidFill>
                              <a:srgbClr val="C0504D"/>
                            </a:solidFill>
                            <a:prstDash val="solid"/>
                          </a:ln>
                        </wps:spPr>
                        <wps:txbx>
                          <w:txbxContent>
                            <w:p>
                              <w:pPr>
                                <w:spacing w:before="74"/>
                                <w:ind w:left="374" w:right="0" w:firstLine="0"/>
                                <w:jc w:val="left"/>
                                <w:rPr>
                                  <w:sz w:val="20"/>
                                </w:rPr>
                              </w:pPr>
                              <w:r>
                                <w:rPr>
                                  <w:sz w:val="20"/>
                                </w:rPr>
                                <w:t>Year</w:t>
                              </w:r>
                              <w:r>
                                <w:rPr>
                                  <w:spacing w:val="-4"/>
                                  <w:sz w:val="20"/>
                                </w:rPr>
                                <w:t> </w:t>
                              </w:r>
                              <w:r>
                                <w:rPr>
                                  <w:sz w:val="20"/>
                                </w:rPr>
                                <w:t>one</w:t>
                              </w:r>
                              <w:r>
                                <w:rPr>
                                  <w:spacing w:val="-4"/>
                                  <w:sz w:val="20"/>
                                </w:rPr>
                                <w:t> </w:t>
                              </w:r>
                              <w:r>
                                <w:rPr>
                                  <w:spacing w:val="-2"/>
                                  <w:sz w:val="20"/>
                                </w:rPr>
                                <w:t>budget</w:t>
                              </w:r>
                            </w:p>
                          </w:txbxContent>
                        </wps:txbx>
                        <wps:bodyPr wrap="square" lIns="0" tIns="0" rIns="0" bIns="0" rtlCol="0">
                          <a:noAutofit/>
                        </wps:bodyPr>
                      </wps:wsp>
                      <wps:wsp>
                        <wps:cNvPr id="251" name="Textbox 251"/>
                        <wps:cNvSpPr txBox="1"/>
                        <wps:spPr>
                          <a:xfrm>
                            <a:off x="254000" y="907414"/>
                            <a:ext cx="2359025" cy="606425"/>
                          </a:xfrm>
                          <a:prstGeom prst="rect">
                            <a:avLst/>
                          </a:prstGeom>
                          <a:ln w="31750">
                            <a:solidFill>
                              <a:srgbClr val="C0504D"/>
                            </a:solidFill>
                            <a:prstDash val="solid"/>
                          </a:ln>
                        </wps:spPr>
                        <wps:txbx>
                          <w:txbxContent>
                            <w:p>
                              <w:pPr>
                                <w:spacing w:line="280" w:lineRule="auto" w:before="69"/>
                                <w:ind w:left="1560" w:right="0" w:hanging="1258"/>
                                <w:jc w:val="left"/>
                                <w:rPr>
                                  <w:sz w:val="20"/>
                                </w:rPr>
                              </w:pPr>
                              <w:r>
                                <w:rPr>
                                  <w:sz w:val="20"/>
                                </w:rPr>
                                <w:t>Annual</w:t>
                              </w:r>
                              <w:r>
                                <w:rPr>
                                  <w:spacing w:val="-7"/>
                                  <w:sz w:val="20"/>
                                </w:rPr>
                                <w:t> </w:t>
                              </w:r>
                              <w:r>
                                <w:rPr>
                                  <w:sz w:val="20"/>
                                </w:rPr>
                                <w:t>marginal</w:t>
                              </w:r>
                              <w:r>
                                <w:rPr>
                                  <w:spacing w:val="-9"/>
                                  <w:sz w:val="20"/>
                                </w:rPr>
                                <w:t> </w:t>
                              </w:r>
                              <w:r>
                                <w:rPr>
                                  <w:sz w:val="20"/>
                                </w:rPr>
                                <w:t>addition</w:t>
                              </w:r>
                              <w:r>
                                <w:rPr>
                                  <w:spacing w:val="-10"/>
                                  <w:sz w:val="20"/>
                                </w:rPr>
                                <w:t> </w:t>
                              </w:r>
                              <w:r>
                                <w:rPr>
                                  <w:sz w:val="20"/>
                                </w:rPr>
                                <w:t>to</w:t>
                              </w:r>
                              <w:r>
                                <w:rPr>
                                  <w:spacing w:val="-8"/>
                                  <w:sz w:val="20"/>
                                </w:rPr>
                                <w:t> </w:t>
                              </w:r>
                              <w:r>
                                <w:rPr>
                                  <w:sz w:val="20"/>
                                </w:rPr>
                                <w:t>base</w:t>
                              </w:r>
                              <w:r>
                                <w:rPr>
                                  <w:spacing w:val="-7"/>
                                  <w:sz w:val="20"/>
                                </w:rPr>
                                <w:t> </w:t>
                              </w:r>
                              <w:r>
                                <w:rPr>
                                  <w:sz w:val="20"/>
                                </w:rPr>
                                <w:t>year </w:t>
                              </w:r>
                              <w:r>
                                <w:rPr>
                                  <w:spacing w:val="-2"/>
                                  <w:sz w:val="20"/>
                                </w:rPr>
                                <w:t>budget</w:t>
                              </w:r>
                            </w:p>
                          </w:txbxContent>
                        </wps:txbx>
                        <wps:bodyPr wrap="square" lIns="0" tIns="0" rIns="0" bIns="0" rtlCol="0">
                          <a:noAutofit/>
                        </wps:bodyPr>
                      </wps:wsp>
                      <wps:wsp>
                        <wps:cNvPr id="252" name="Textbox 252"/>
                        <wps:cNvSpPr txBox="1"/>
                        <wps:spPr>
                          <a:xfrm>
                            <a:off x="266065" y="15875"/>
                            <a:ext cx="2359025" cy="606425"/>
                          </a:xfrm>
                          <a:prstGeom prst="rect">
                            <a:avLst/>
                          </a:prstGeom>
                          <a:ln w="31750">
                            <a:solidFill>
                              <a:srgbClr val="C0504D"/>
                            </a:solidFill>
                            <a:prstDash val="solid"/>
                          </a:ln>
                        </wps:spPr>
                        <wps:txbx>
                          <w:txbxContent>
                            <w:p>
                              <w:pPr>
                                <w:spacing w:before="74"/>
                                <w:ind w:left="1142" w:right="0" w:firstLine="0"/>
                                <w:jc w:val="left"/>
                                <w:rPr>
                                  <w:sz w:val="20"/>
                                </w:rPr>
                              </w:pPr>
                              <w:r>
                                <w:rPr>
                                  <w:sz w:val="20"/>
                                </w:rPr>
                                <w:t>Base</w:t>
                              </w:r>
                              <w:r>
                                <w:rPr>
                                  <w:spacing w:val="-4"/>
                                  <w:sz w:val="20"/>
                                </w:rPr>
                                <w:t> </w:t>
                              </w:r>
                              <w:r>
                                <w:rPr>
                                  <w:sz w:val="20"/>
                                </w:rPr>
                                <w:t>year</w:t>
                              </w:r>
                              <w:r>
                                <w:rPr>
                                  <w:spacing w:val="-5"/>
                                  <w:sz w:val="20"/>
                                </w:rPr>
                                <w:t> </w:t>
                              </w:r>
                              <w:r>
                                <w:rPr>
                                  <w:spacing w:val="-2"/>
                                  <w:sz w:val="20"/>
                                </w:rPr>
                                <w:t>budget</w:t>
                              </w:r>
                            </w:p>
                          </w:txbxContent>
                        </wps:txbx>
                        <wps:bodyPr wrap="square" lIns="0" tIns="0" rIns="0" bIns="0" rtlCol="0">
                          <a:noAutofit/>
                        </wps:bodyPr>
                      </wps:wsp>
                    </wpg:wgp>
                  </a:graphicData>
                </a:graphic>
              </wp:anchor>
            </w:drawing>
          </mc:Choice>
          <mc:Fallback>
            <w:pict>
              <v:group style="position:absolute;margin-left:84.849998pt;margin-top:21.013281pt;width:355.65pt;height:358.3pt;mso-position-horizontal-relative:page;mso-position-vertical-relative:paragraph;z-index:-15714304;mso-wrap-distance-left:0;mso-wrap-distance-right:0" id="docshapegroup220" coordorigin="1697,420" coordsize="7113,7166">
                <v:shape style="position:absolute;left:1722;top:862;width:5275;height:6699" id="docshape221" coordorigin="1722,862" coordsize="5275,6699" path="m6997,6848l6997,7561m6997,7561l1722,7561m1722,7561l1722,862e" filled="false" stroked="true" strokeweight="2.5pt" strokecolor="#000000">
                  <v:path arrowok="t"/>
                  <v:stroke dashstyle="solid"/>
                </v:shape>
                <v:shape style="position:absolute;left:1741;top:787;width:375;height:150" type="#_x0000_t75" id="docshape222" stroked="false">
                  <v:imagedata r:id="rId94" o:title=""/>
                </v:shape>
                <v:line style="position:absolute" from="8468,6848" to="8468,7092" stroked="true" strokeweight="2.5pt" strokecolor="#000000">
                  <v:stroke dashstyle="solid"/>
                </v:line>
                <v:shape style="position:absolute;left:3759;top:2700;width:4709;height:4467" id="docshape223" coordorigin="3759,2700" coordsize="4709,4467" path="m3879,6111l3829,6111,3829,5694,3825,5689,3813,5689,3809,5694,3809,6111,3759,6111,3819,6231,3864,6141,3879,6111xm3879,4671l3829,4671,3829,4254,3825,4249,3813,4249,3809,4254,3809,4671,3759,4671,3819,4791,3864,4701,3879,4671xm3879,3216l3829,3216,3829,2799,3825,2794,3813,2794,3809,2799,3809,3216,3759,3216,3819,3336,3864,3246,3879,3216xm6687,5230l6567,5170,6567,5220,5831,5219,5825,5219,5821,5224,5821,5235,5825,5239,6567,5240,6567,5290,6667,5240,6687,5230xm6687,3775l6567,3715,6567,3765,5831,3764,5825,3764,5821,3769,5821,3780,5825,3784,6567,3785,6567,3835,6667,3785,6687,3775xm7727,4734l7677,4734,7677,4160,7673,4155,7661,4155,7657,4160,7657,4734,7607,4734,7667,4854,7712,4764,7727,4734xm7727,3326l7677,3326,7677,2705,7673,2700,7661,2700,7657,2705,7657,3326,7607,3326,7667,3446,7712,3356,7727,3326xm8468,7067l5962,7067,5962,7017,5812,7092,5962,7167,5962,7117,8468,7117,8468,7067xe" filled="true" fillcolor="#000000" stroked="false">
                  <v:path arrowok="t"/>
                  <v:fill type="solid"/>
                </v:shape>
                <v:shape style="position:absolute;left:3759;top:1390;width:2909;height:954" id="docshape224" coordorigin="3759,1390" coordsize="2909,954" path="m3879,1729l3829,1729,3829,1395,3825,1390,3813,1390,3809,1395,3809,1729,3759,1729,3819,1849,3864,1759,3879,1729xm6668,2284l6648,2274,6548,2224,6548,2274,5825,2274,5821,2279,5821,2290,5825,2294,6548,2294,6548,2344,6648,2294,6668,2284xe" filled="true" fillcolor="#000000" stroked="false">
                  <v:path arrowok="t"/>
                  <v:fill type="solid"/>
                </v:shape>
                <v:shape style="position:absolute;left:6781;top:5990;width:1937;height:200" type="#_x0000_t202" id="docshape225" filled="false" stroked="false">
                  <v:textbox inset="0,0,0,0">
                    <w:txbxContent>
                      <w:p>
                        <w:pPr>
                          <w:spacing w:line="199" w:lineRule="exact" w:before="0"/>
                          <w:ind w:left="0" w:right="0" w:firstLine="0"/>
                          <w:jc w:val="left"/>
                          <w:rPr>
                            <w:sz w:val="18"/>
                          </w:rPr>
                        </w:pPr>
                        <w:r>
                          <w:rPr>
                            <w:sz w:val="18"/>
                          </w:rPr>
                          <w:t>Budget</w:t>
                        </w:r>
                        <w:r>
                          <w:rPr>
                            <w:spacing w:val="-4"/>
                            <w:sz w:val="18"/>
                          </w:rPr>
                          <w:t> </w:t>
                        </w:r>
                        <w:r>
                          <w:rPr>
                            <w:sz w:val="18"/>
                          </w:rPr>
                          <w:t>objective</w:t>
                        </w:r>
                        <w:r>
                          <w:rPr>
                            <w:spacing w:val="-4"/>
                            <w:sz w:val="18"/>
                          </w:rPr>
                          <w:t> </w:t>
                        </w:r>
                        <w:r>
                          <w:rPr>
                            <w:spacing w:val="-2"/>
                            <w:sz w:val="18"/>
                          </w:rPr>
                          <w:t>realized?</w:t>
                        </w:r>
                      </w:p>
                    </w:txbxContent>
                  </v:textbox>
                  <w10:wrap type="none"/>
                </v:shape>
                <v:shape style="position:absolute;left:2116;top:6231;width:3715;height:955" type="#_x0000_t202" id="docshape226" filled="false" stroked="true" strokeweight="2.5pt" strokecolor="#c0504d">
                  <v:textbox inset="0,0,0,0">
                    <w:txbxContent>
                      <w:p>
                        <w:pPr>
                          <w:spacing w:line="280" w:lineRule="auto" w:before="70"/>
                          <w:ind w:left="1560" w:right="0" w:hanging="1282"/>
                          <w:jc w:val="left"/>
                          <w:rPr>
                            <w:sz w:val="20"/>
                          </w:rPr>
                        </w:pPr>
                        <w:r>
                          <w:rPr>
                            <w:sz w:val="20"/>
                          </w:rPr>
                          <w:t>Annual</w:t>
                        </w:r>
                        <w:r>
                          <w:rPr>
                            <w:spacing w:val="-7"/>
                            <w:sz w:val="20"/>
                          </w:rPr>
                          <w:t> </w:t>
                        </w:r>
                        <w:r>
                          <w:rPr>
                            <w:sz w:val="20"/>
                          </w:rPr>
                          <w:t>marginal</w:t>
                        </w:r>
                        <w:r>
                          <w:rPr>
                            <w:spacing w:val="-9"/>
                            <w:sz w:val="20"/>
                          </w:rPr>
                          <w:t> </w:t>
                        </w:r>
                        <w:r>
                          <w:rPr>
                            <w:sz w:val="20"/>
                          </w:rPr>
                          <w:t>addition</w:t>
                        </w:r>
                        <w:r>
                          <w:rPr>
                            <w:spacing w:val="-10"/>
                            <w:sz w:val="20"/>
                          </w:rPr>
                          <w:t> </w:t>
                        </w:r>
                        <w:r>
                          <w:rPr>
                            <w:sz w:val="20"/>
                          </w:rPr>
                          <w:t>to</w:t>
                        </w:r>
                        <w:r>
                          <w:rPr>
                            <w:spacing w:val="-5"/>
                            <w:sz w:val="20"/>
                          </w:rPr>
                          <w:t> </w:t>
                        </w:r>
                        <w:r>
                          <w:rPr>
                            <w:sz w:val="20"/>
                          </w:rPr>
                          <w:t>year</w:t>
                        </w:r>
                        <w:r>
                          <w:rPr>
                            <w:spacing w:val="-8"/>
                            <w:sz w:val="20"/>
                          </w:rPr>
                          <w:t> </w:t>
                        </w:r>
                        <w:r>
                          <w:rPr>
                            <w:sz w:val="20"/>
                          </w:rPr>
                          <w:t>three </w:t>
                        </w:r>
                        <w:r>
                          <w:rPr>
                            <w:spacing w:val="-2"/>
                            <w:sz w:val="20"/>
                          </w:rPr>
                          <w:t>budget</w:t>
                        </w:r>
                      </w:p>
                    </w:txbxContent>
                  </v:textbox>
                  <v:stroke dashstyle="solid"/>
                  <w10:wrap type="none"/>
                </v:shape>
                <v:shape style="position:absolute;left:2097;top:4760;width:3715;height:955" type="#_x0000_t202" id="docshape227" filled="false" stroked="true" strokeweight="2.5pt" strokecolor="#c0504d">
                  <v:textbox inset="0,0,0,0">
                    <w:txbxContent>
                      <w:p>
                        <w:pPr>
                          <w:spacing w:line="280" w:lineRule="auto" w:before="70"/>
                          <w:ind w:left="1560" w:right="0" w:hanging="1232"/>
                          <w:jc w:val="left"/>
                          <w:rPr>
                            <w:sz w:val="20"/>
                          </w:rPr>
                        </w:pPr>
                        <w:r>
                          <w:rPr>
                            <w:sz w:val="20"/>
                          </w:rPr>
                          <w:t>Annual</w:t>
                        </w:r>
                        <w:r>
                          <w:rPr>
                            <w:spacing w:val="-7"/>
                            <w:sz w:val="20"/>
                          </w:rPr>
                          <w:t> </w:t>
                        </w:r>
                        <w:r>
                          <w:rPr>
                            <w:sz w:val="20"/>
                          </w:rPr>
                          <w:t>marginal</w:t>
                        </w:r>
                        <w:r>
                          <w:rPr>
                            <w:spacing w:val="-9"/>
                            <w:sz w:val="20"/>
                          </w:rPr>
                          <w:t> </w:t>
                        </w:r>
                        <w:r>
                          <w:rPr>
                            <w:sz w:val="20"/>
                          </w:rPr>
                          <w:t>addition</w:t>
                        </w:r>
                        <w:r>
                          <w:rPr>
                            <w:spacing w:val="-10"/>
                            <w:sz w:val="20"/>
                          </w:rPr>
                          <w:t> </w:t>
                        </w:r>
                        <w:r>
                          <w:rPr>
                            <w:sz w:val="20"/>
                          </w:rPr>
                          <w:t>to</w:t>
                        </w:r>
                        <w:r>
                          <w:rPr>
                            <w:spacing w:val="-6"/>
                            <w:sz w:val="20"/>
                          </w:rPr>
                          <w:t> </w:t>
                        </w:r>
                        <w:r>
                          <w:rPr>
                            <w:sz w:val="20"/>
                          </w:rPr>
                          <w:t>year</w:t>
                        </w:r>
                        <w:r>
                          <w:rPr>
                            <w:spacing w:val="-8"/>
                            <w:sz w:val="20"/>
                          </w:rPr>
                          <w:t> </w:t>
                        </w:r>
                        <w:r>
                          <w:rPr>
                            <w:sz w:val="20"/>
                          </w:rPr>
                          <w:t>two </w:t>
                        </w:r>
                        <w:r>
                          <w:rPr>
                            <w:spacing w:val="-2"/>
                            <w:sz w:val="20"/>
                          </w:rPr>
                          <w:t>budget</w:t>
                        </w:r>
                      </w:p>
                    </w:txbxContent>
                  </v:textbox>
                  <v:stroke dashstyle="solid"/>
                  <w10:wrap type="none"/>
                </v:shape>
                <v:shape style="position:absolute;left:6668;top:3445;width:2117;height:720" type="#_x0000_t202" id="docshape228" filled="false" stroked="true" strokeweight="2.5pt" strokecolor="#c0504d">
                  <v:textbox inset="0,0,0,0">
                    <w:txbxContent>
                      <w:p>
                        <w:pPr>
                          <w:spacing w:before="74"/>
                          <w:ind w:left="369" w:right="0" w:firstLine="0"/>
                          <w:jc w:val="left"/>
                          <w:rPr>
                            <w:sz w:val="20"/>
                          </w:rPr>
                        </w:pPr>
                        <w:r>
                          <w:rPr>
                            <w:sz w:val="20"/>
                          </w:rPr>
                          <w:t>Year</w:t>
                        </w:r>
                        <w:r>
                          <w:rPr>
                            <w:spacing w:val="-5"/>
                            <w:sz w:val="20"/>
                          </w:rPr>
                          <w:t> </w:t>
                        </w:r>
                        <w:r>
                          <w:rPr>
                            <w:sz w:val="20"/>
                          </w:rPr>
                          <w:t>two</w:t>
                        </w:r>
                        <w:r>
                          <w:rPr>
                            <w:spacing w:val="-3"/>
                            <w:sz w:val="20"/>
                          </w:rPr>
                          <w:t> </w:t>
                        </w:r>
                        <w:r>
                          <w:rPr>
                            <w:spacing w:val="-2"/>
                            <w:sz w:val="20"/>
                          </w:rPr>
                          <w:t>budget</w:t>
                        </w:r>
                      </w:p>
                    </w:txbxContent>
                  </v:textbox>
                  <v:stroke dashstyle="solid"/>
                  <w10:wrap type="none"/>
                </v:shape>
                <v:shape style="position:absolute;left:2116;top:3304;width:3715;height:955" type="#_x0000_t202" id="docshape229" filled="false" stroked="true" strokeweight="2.5pt" strokecolor="#c0504d">
                  <v:textbox inset="0,0,0,0">
                    <w:txbxContent>
                      <w:p>
                        <w:pPr>
                          <w:spacing w:line="278" w:lineRule="auto" w:before="69"/>
                          <w:ind w:left="1560" w:right="0" w:hanging="1227"/>
                          <w:jc w:val="left"/>
                          <w:rPr>
                            <w:sz w:val="20"/>
                          </w:rPr>
                        </w:pPr>
                        <w:r>
                          <w:rPr>
                            <w:sz w:val="20"/>
                          </w:rPr>
                          <w:t>Annual</w:t>
                        </w:r>
                        <w:r>
                          <w:rPr>
                            <w:spacing w:val="-7"/>
                            <w:sz w:val="20"/>
                          </w:rPr>
                          <w:t> </w:t>
                        </w:r>
                        <w:r>
                          <w:rPr>
                            <w:sz w:val="20"/>
                          </w:rPr>
                          <w:t>marginal</w:t>
                        </w:r>
                        <w:r>
                          <w:rPr>
                            <w:spacing w:val="-9"/>
                            <w:sz w:val="20"/>
                          </w:rPr>
                          <w:t> </w:t>
                        </w:r>
                        <w:r>
                          <w:rPr>
                            <w:sz w:val="20"/>
                          </w:rPr>
                          <w:t>addition</w:t>
                        </w:r>
                        <w:r>
                          <w:rPr>
                            <w:spacing w:val="-10"/>
                            <w:sz w:val="20"/>
                          </w:rPr>
                          <w:t> </w:t>
                        </w:r>
                        <w:r>
                          <w:rPr>
                            <w:sz w:val="20"/>
                          </w:rPr>
                          <w:t>to</w:t>
                        </w:r>
                        <w:r>
                          <w:rPr>
                            <w:spacing w:val="-6"/>
                            <w:sz w:val="20"/>
                          </w:rPr>
                          <w:t> </w:t>
                        </w:r>
                        <w:r>
                          <w:rPr>
                            <w:sz w:val="20"/>
                          </w:rPr>
                          <w:t>year</w:t>
                        </w:r>
                        <w:r>
                          <w:rPr>
                            <w:spacing w:val="-9"/>
                            <w:sz w:val="20"/>
                          </w:rPr>
                          <w:t> </w:t>
                        </w:r>
                        <w:r>
                          <w:rPr>
                            <w:sz w:val="20"/>
                          </w:rPr>
                          <w:t>one </w:t>
                        </w:r>
                        <w:r>
                          <w:rPr>
                            <w:spacing w:val="-2"/>
                            <w:sz w:val="20"/>
                          </w:rPr>
                          <w:t>budget</w:t>
                        </w:r>
                      </w:p>
                    </w:txbxContent>
                  </v:textbox>
                  <v:stroke dashstyle="solid"/>
                  <w10:wrap type="none"/>
                </v:shape>
                <v:shape style="position:absolute;left:6668;top:1849;width:2117;height:861" type="#_x0000_t202" id="docshape230" filled="false" stroked="true" strokeweight="2.5pt" strokecolor="#c0504d">
                  <v:textbox inset="0,0,0,0">
                    <w:txbxContent>
                      <w:p>
                        <w:pPr>
                          <w:spacing w:before="74"/>
                          <w:ind w:left="374" w:right="0" w:firstLine="0"/>
                          <w:jc w:val="left"/>
                          <w:rPr>
                            <w:sz w:val="20"/>
                          </w:rPr>
                        </w:pPr>
                        <w:r>
                          <w:rPr>
                            <w:sz w:val="20"/>
                          </w:rPr>
                          <w:t>Year</w:t>
                        </w:r>
                        <w:r>
                          <w:rPr>
                            <w:spacing w:val="-4"/>
                            <w:sz w:val="20"/>
                          </w:rPr>
                          <w:t> </w:t>
                        </w:r>
                        <w:r>
                          <w:rPr>
                            <w:sz w:val="20"/>
                          </w:rPr>
                          <w:t>one</w:t>
                        </w:r>
                        <w:r>
                          <w:rPr>
                            <w:spacing w:val="-4"/>
                            <w:sz w:val="20"/>
                          </w:rPr>
                          <w:t> </w:t>
                        </w:r>
                        <w:r>
                          <w:rPr>
                            <w:spacing w:val="-2"/>
                            <w:sz w:val="20"/>
                          </w:rPr>
                          <w:t>budget</w:t>
                        </w:r>
                      </w:p>
                    </w:txbxContent>
                  </v:textbox>
                  <v:stroke dashstyle="solid"/>
                  <w10:wrap type="none"/>
                </v:shape>
                <v:shape style="position:absolute;left:2097;top:1849;width:3715;height:955" type="#_x0000_t202" id="docshape231" filled="false" stroked="true" strokeweight="2.5pt" strokecolor="#c0504d">
                  <v:textbox inset="0,0,0,0">
                    <w:txbxContent>
                      <w:p>
                        <w:pPr>
                          <w:spacing w:line="280" w:lineRule="auto" w:before="69"/>
                          <w:ind w:left="1560" w:right="0" w:hanging="1258"/>
                          <w:jc w:val="left"/>
                          <w:rPr>
                            <w:sz w:val="20"/>
                          </w:rPr>
                        </w:pPr>
                        <w:r>
                          <w:rPr>
                            <w:sz w:val="20"/>
                          </w:rPr>
                          <w:t>Annual</w:t>
                        </w:r>
                        <w:r>
                          <w:rPr>
                            <w:spacing w:val="-7"/>
                            <w:sz w:val="20"/>
                          </w:rPr>
                          <w:t> </w:t>
                        </w:r>
                        <w:r>
                          <w:rPr>
                            <w:sz w:val="20"/>
                          </w:rPr>
                          <w:t>marginal</w:t>
                        </w:r>
                        <w:r>
                          <w:rPr>
                            <w:spacing w:val="-9"/>
                            <w:sz w:val="20"/>
                          </w:rPr>
                          <w:t> </w:t>
                        </w:r>
                        <w:r>
                          <w:rPr>
                            <w:sz w:val="20"/>
                          </w:rPr>
                          <w:t>addition</w:t>
                        </w:r>
                        <w:r>
                          <w:rPr>
                            <w:spacing w:val="-10"/>
                            <w:sz w:val="20"/>
                          </w:rPr>
                          <w:t> </w:t>
                        </w:r>
                        <w:r>
                          <w:rPr>
                            <w:sz w:val="20"/>
                          </w:rPr>
                          <w:t>to</w:t>
                        </w:r>
                        <w:r>
                          <w:rPr>
                            <w:spacing w:val="-8"/>
                            <w:sz w:val="20"/>
                          </w:rPr>
                          <w:t> </w:t>
                        </w:r>
                        <w:r>
                          <w:rPr>
                            <w:sz w:val="20"/>
                          </w:rPr>
                          <w:t>base</w:t>
                        </w:r>
                        <w:r>
                          <w:rPr>
                            <w:spacing w:val="-7"/>
                            <w:sz w:val="20"/>
                          </w:rPr>
                          <w:t> </w:t>
                        </w:r>
                        <w:r>
                          <w:rPr>
                            <w:sz w:val="20"/>
                          </w:rPr>
                          <w:t>year </w:t>
                        </w:r>
                        <w:r>
                          <w:rPr>
                            <w:spacing w:val="-2"/>
                            <w:sz w:val="20"/>
                          </w:rPr>
                          <w:t>budget</w:t>
                        </w:r>
                      </w:p>
                    </w:txbxContent>
                  </v:textbox>
                  <v:stroke dashstyle="solid"/>
                  <w10:wrap type="none"/>
                </v:shape>
                <v:shape style="position:absolute;left:2116;top:445;width:3715;height:955" type="#_x0000_t202" id="docshape232" filled="false" stroked="true" strokeweight="2.5pt" strokecolor="#c0504d">
                  <v:textbox inset="0,0,0,0">
                    <w:txbxContent>
                      <w:p>
                        <w:pPr>
                          <w:spacing w:before="74"/>
                          <w:ind w:left="1142" w:right="0" w:firstLine="0"/>
                          <w:jc w:val="left"/>
                          <w:rPr>
                            <w:sz w:val="20"/>
                          </w:rPr>
                        </w:pPr>
                        <w:r>
                          <w:rPr>
                            <w:sz w:val="20"/>
                          </w:rPr>
                          <w:t>Base</w:t>
                        </w:r>
                        <w:r>
                          <w:rPr>
                            <w:spacing w:val="-4"/>
                            <w:sz w:val="20"/>
                          </w:rPr>
                          <w:t> </w:t>
                        </w:r>
                        <w:r>
                          <w:rPr>
                            <w:sz w:val="20"/>
                          </w:rPr>
                          <w:t>year</w:t>
                        </w:r>
                        <w:r>
                          <w:rPr>
                            <w:spacing w:val="-5"/>
                            <w:sz w:val="20"/>
                          </w:rPr>
                          <w:t> </w:t>
                        </w:r>
                        <w:r>
                          <w:rPr>
                            <w:spacing w:val="-2"/>
                            <w:sz w:val="20"/>
                          </w:rPr>
                          <w:t>budget</w:t>
                        </w:r>
                      </w:p>
                    </w:txbxContent>
                  </v:textbox>
                  <v:stroke dashstyle="solid"/>
                  <w10:wrap type="none"/>
                </v:shape>
                <w10:wrap type="topAndBottom"/>
              </v:group>
            </w:pict>
          </mc:Fallback>
        </mc:AlternateContent>
      </w:r>
    </w:p>
    <w:p>
      <w:pPr>
        <w:pStyle w:val="BodyText"/>
        <w:spacing w:before="83"/>
      </w:pPr>
    </w:p>
    <w:p>
      <w:pPr>
        <w:spacing w:before="0"/>
        <w:ind w:left="240" w:right="0" w:firstLine="0"/>
        <w:jc w:val="left"/>
        <w:rPr>
          <w:sz w:val="24"/>
        </w:rPr>
      </w:pPr>
      <w:r>
        <w:rPr/>
        <mc:AlternateContent>
          <mc:Choice Requires="wps">
            <w:drawing>
              <wp:anchor distT="0" distB="0" distL="0" distR="0" allowOverlap="1" layoutInCell="1" locked="0" behindDoc="1" simplePos="0" relativeHeight="478106624">
                <wp:simplePos x="0" y="0"/>
                <wp:positionH relativeFrom="page">
                  <wp:posOffset>4145915</wp:posOffset>
                </wp:positionH>
                <wp:positionV relativeFrom="paragraph">
                  <wp:posOffset>-1978645</wp:posOffset>
                </wp:positionV>
                <wp:extent cx="1576705" cy="1297940"/>
                <wp:effectExtent l="0" t="0" r="0" b="0"/>
                <wp:wrapNone/>
                <wp:docPr id="253" name="Group 253"/>
                <wp:cNvGraphicFramePr>
                  <a:graphicFrameLocks/>
                </wp:cNvGraphicFramePr>
                <a:graphic>
                  <a:graphicData uri="http://schemas.microsoft.com/office/word/2010/wordprocessingGroup">
                    <wpg:wgp>
                      <wpg:cNvPr id="253" name="Group 253"/>
                      <wpg:cNvGrpSpPr/>
                      <wpg:grpSpPr>
                        <a:xfrm>
                          <a:off x="0" y="0"/>
                          <a:ext cx="1576705" cy="1297940"/>
                          <a:chExt cx="1576705" cy="1297940"/>
                        </a:xfrm>
                      </wpg:grpSpPr>
                      <wps:wsp>
                        <wps:cNvPr id="254" name="Graphic 254"/>
                        <wps:cNvSpPr/>
                        <wps:spPr>
                          <a:xfrm>
                            <a:off x="40640" y="473074"/>
                            <a:ext cx="1439545" cy="520700"/>
                          </a:xfrm>
                          <a:custGeom>
                            <a:avLst/>
                            <a:gdLst/>
                            <a:ahLst/>
                            <a:cxnLst/>
                            <a:rect l="l" t="t" r="r" b="b"/>
                            <a:pathLst>
                              <a:path w="1439545" h="520700">
                                <a:moveTo>
                                  <a:pt x="95250" y="425450"/>
                                </a:moveTo>
                                <a:lnTo>
                                  <a:pt x="63500" y="425450"/>
                                </a:lnTo>
                                <a:lnTo>
                                  <a:pt x="63500" y="0"/>
                                </a:lnTo>
                                <a:lnTo>
                                  <a:pt x="31750" y="0"/>
                                </a:lnTo>
                                <a:lnTo>
                                  <a:pt x="31750" y="425450"/>
                                </a:lnTo>
                                <a:lnTo>
                                  <a:pt x="0" y="425450"/>
                                </a:lnTo>
                                <a:lnTo>
                                  <a:pt x="47625" y="520700"/>
                                </a:lnTo>
                                <a:lnTo>
                                  <a:pt x="87312" y="441325"/>
                                </a:lnTo>
                                <a:lnTo>
                                  <a:pt x="95250" y="425450"/>
                                </a:lnTo>
                                <a:close/>
                              </a:path>
                              <a:path w="1439545" h="520700">
                                <a:moveTo>
                                  <a:pt x="1439545" y="425450"/>
                                </a:moveTo>
                                <a:lnTo>
                                  <a:pt x="1407795" y="425450"/>
                                </a:lnTo>
                                <a:lnTo>
                                  <a:pt x="1407795" y="0"/>
                                </a:lnTo>
                                <a:lnTo>
                                  <a:pt x="1376045" y="0"/>
                                </a:lnTo>
                                <a:lnTo>
                                  <a:pt x="1376045" y="425450"/>
                                </a:lnTo>
                                <a:lnTo>
                                  <a:pt x="1344295" y="425450"/>
                                </a:lnTo>
                                <a:lnTo>
                                  <a:pt x="1391920" y="520700"/>
                                </a:lnTo>
                                <a:lnTo>
                                  <a:pt x="1431607" y="441325"/>
                                </a:lnTo>
                                <a:lnTo>
                                  <a:pt x="1439545" y="425450"/>
                                </a:lnTo>
                                <a:close/>
                              </a:path>
                            </a:pathLst>
                          </a:custGeom>
                          <a:solidFill>
                            <a:srgbClr val="000000"/>
                          </a:solidFill>
                        </wps:spPr>
                        <wps:bodyPr wrap="square" lIns="0" tIns="0" rIns="0" bIns="0" rtlCol="0">
                          <a:prstTxWarp prst="textNoShape">
                            <a:avLst/>
                          </a:prstTxWarp>
                          <a:noAutofit/>
                        </wps:bodyPr>
                      </wps:wsp>
                      <wps:wsp>
                        <wps:cNvPr id="255" name="Textbox 255"/>
                        <wps:cNvSpPr txBox="1"/>
                        <wps:spPr>
                          <a:xfrm>
                            <a:off x="15875" y="993775"/>
                            <a:ext cx="592455" cy="288290"/>
                          </a:xfrm>
                          <a:prstGeom prst="rect">
                            <a:avLst/>
                          </a:prstGeom>
                          <a:ln w="31750">
                            <a:solidFill>
                              <a:srgbClr val="C0504D"/>
                            </a:solidFill>
                            <a:prstDash val="solid"/>
                          </a:ln>
                        </wps:spPr>
                        <wps:txbx>
                          <w:txbxContent>
                            <w:p>
                              <w:pPr>
                                <w:spacing w:before="74"/>
                                <w:ind w:left="281" w:right="0" w:firstLine="0"/>
                                <w:jc w:val="left"/>
                                <w:rPr>
                                  <w:rFonts w:ascii="Calibri"/>
                                  <w:sz w:val="20"/>
                                </w:rPr>
                              </w:pPr>
                              <w:r>
                                <w:rPr>
                                  <w:rFonts w:ascii="Calibri"/>
                                  <w:spacing w:val="-5"/>
                                  <w:sz w:val="20"/>
                                </w:rPr>
                                <w:t>Yes</w:t>
                              </w:r>
                            </w:p>
                          </w:txbxContent>
                        </wps:txbx>
                        <wps:bodyPr wrap="square" lIns="0" tIns="0" rIns="0" bIns="0" rtlCol="0">
                          <a:noAutofit/>
                        </wps:bodyPr>
                      </wps:wsp>
                      <wps:wsp>
                        <wps:cNvPr id="256" name="Textbox 256"/>
                        <wps:cNvSpPr txBox="1"/>
                        <wps:spPr>
                          <a:xfrm>
                            <a:off x="88264" y="15875"/>
                            <a:ext cx="1344295" cy="457200"/>
                          </a:xfrm>
                          <a:prstGeom prst="rect">
                            <a:avLst/>
                          </a:prstGeom>
                          <a:ln w="31750">
                            <a:solidFill>
                              <a:srgbClr val="C0504D"/>
                            </a:solidFill>
                            <a:prstDash val="solid"/>
                          </a:ln>
                        </wps:spPr>
                        <wps:txbx>
                          <w:txbxContent>
                            <w:p>
                              <w:pPr>
                                <w:spacing w:before="72"/>
                                <w:ind w:left="318" w:right="0" w:firstLine="0"/>
                                <w:jc w:val="left"/>
                                <w:rPr>
                                  <w:sz w:val="20"/>
                                </w:rPr>
                              </w:pPr>
                              <w:r>
                                <w:rPr>
                                  <w:sz w:val="20"/>
                                </w:rPr>
                                <w:t>Year</w:t>
                              </w:r>
                              <w:r>
                                <w:rPr>
                                  <w:spacing w:val="-5"/>
                                  <w:sz w:val="20"/>
                                </w:rPr>
                                <w:t> </w:t>
                              </w:r>
                              <w:r>
                                <w:rPr>
                                  <w:sz w:val="20"/>
                                </w:rPr>
                                <w:t>three</w:t>
                              </w:r>
                              <w:r>
                                <w:rPr>
                                  <w:spacing w:val="-5"/>
                                  <w:sz w:val="20"/>
                                </w:rPr>
                                <w:t> </w:t>
                              </w:r>
                              <w:r>
                                <w:rPr>
                                  <w:spacing w:val="-2"/>
                                  <w:sz w:val="20"/>
                                </w:rPr>
                                <w:t>budget</w:t>
                              </w:r>
                            </w:p>
                          </w:txbxContent>
                        </wps:txbx>
                        <wps:bodyPr wrap="square" lIns="0" tIns="0" rIns="0" bIns="0" rtlCol="0">
                          <a:noAutofit/>
                        </wps:bodyPr>
                      </wps:wsp>
                      <wps:wsp>
                        <wps:cNvPr id="257" name="Textbox 257"/>
                        <wps:cNvSpPr txBox="1"/>
                        <wps:spPr>
                          <a:xfrm>
                            <a:off x="926464" y="993775"/>
                            <a:ext cx="634365" cy="288290"/>
                          </a:xfrm>
                          <a:prstGeom prst="rect">
                            <a:avLst/>
                          </a:prstGeom>
                          <a:ln w="31750">
                            <a:solidFill>
                              <a:srgbClr val="C0504D"/>
                            </a:solidFill>
                            <a:prstDash val="solid"/>
                          </a:ln>
                        </wps:spPr>
                        <wps:txbx>
                          <w:txbxContent>
                            <w:p>
                              <w:pPr>
                                <w:spacing w:before="74"/>
                                <w:ind w:left="34" w:right="0" w:firstLine="0"/>
                                <w:jc w:val="center"/>
                                <w:rPr>
                                  <w:rFonts w:ascii="Calibri"/>
                                  <w:sz w:val="20"/>
                                </w:rPr>
                              </w:pPr>
                              <w:r>
                                <w:rPr>
                                  <w:rFonts w:ascii="Calibri"/>
                                  <w:spacing w:val="-5"/>
                                  <w:sz w:val="20"/>
                                </w:rPr>
                                <w:t>No</w:t>
                              </w:r>
                            </w:p>
                          </w:txbxContent>
                        </wps:txbx>
                        <wps:bodyPr wrap="square" lIns="0" tIns="0" rIns="0" bIns="0" rtlCol="0">
                          <a:noAutofit/>
                        </wps:bodyPr>
                      </wps:wsp>
                    </wpg:wgp>
                  </a:graphicData>
                </a:graphic>
              </wp:anchor>
            </w:drawing>
          </mc:Choice>
          <mc:Fallback>
            <w:pict>
              <v:group style="position:absolute;margin-left:326.450012pt;margin-top:-155.798828pt;width:124.15pt;height:102.2pt;mso-position-horizontal-relative:page;mso-position-vertical-relative:paragraph;z-index:-25209856" id="docshapegroup233" coordorigin="6529,-3116" coordsize="2483,2044">
                <v:shape style="position:absolute;left:6593;top:-2371;width:2267;height:820" id="docshape234" coordorigin="6593,-2371" coordsize="2267,820" path="m6743,-1701l6693,-1701,6693,-2371,6643,-2371,6643,-1701,6593,-1701,6668,-1551,6731,-1676,6743,-1701xm8860,-1701l8810,-1701,8810,-2371,8760,-2371,8760,-1701,8710,-1701,8785,-1551,8848,-1676,8860,-1701xe" filled="true" fillcolor="#000000" stroked="false">
                  <v:path arrowok="t"/>
                  <v:fill type="solid"/>
                </v:shape>
                <v:shape style="position:absolute;left:6554;top:-1551;width:933;height:454" type="#_x0000_t202" id="docshape235" filled="false" stroked="true" strokeweight="2.5pt" strokecolor="#c0504d">
                  <v:textbox inset="0,0,0,0">
                    <w:txbxContent>
                      <w:p>
                        <w:pPr>
                          <w:spacing w:before="74"/>
                          <w:ind w:left="281" w:right="0" w:firstLine="0"/>
                          <w:jc w:val="left"/>
                          <w:rPr>
                            <w:rFonts w:ascii="Calibri"/>
                            <w:sz w:val="20"/>
                          </w:rPr>
                        </w:pPr>
                        <w:r>
                          <w:rPr>
                            <w:rFonts w:ascii="Calibri"/>
                            <w:spacing w:val="-5"/>
                            <w:sz w:val="20"/>
                          </w:rPr>
                          <w:t>Yes</w:t>
                        </w:r>
                      </w:p>
                    </w:txbxContent>
                  </v:textbox>
                  <v:stroke dashstyle="solid"/>
                  <w10:wrap type="none"/>
                </v:shape>
                <v:shape style="position:absolute;left:6668;top:-3091;width:2117;height:720" type="#_x0000_t202" id="docshape236" filled="false" stroked="true" strokeweight="2.5pt" strokecolor="#c0504d">
                  <v:textbox inset="0,0,0,0">
                    <w:txbxContent>
                      <w:p>
                        <w:pPr>
                          <w:spacing w:before="72"/>
                          <w:ind w:left="318" w:right="0" w:firstLine="0"/>
                          <w:jc w:val="left"/>
                          <w:rPr>
                            <w:sz w:val="20"/>
                          </w:rPr>
                        </w:pPr>
                        <w:r>
                          <w:rPr>
                            <w:sz w:val="20"/>
                          </w:rPr>
                          <w:t>Year</w:t>
                        </w:r>
                        <w:r>
                          <w:rPr>
                            <w:spacing w:val="-5"/>
                            <w:sz w:val="20"/>
                          </w:rPr>
                          <w:t> </w:t>
                        </w:r>
                        <w:r>
                          <w:rPr>
                            <w:sz w:val="20"/>
                          </w:rPr>
                          <w:t>three</w:t>
                        </w:r>
                        <w:r>
                          <w:rPr>
                            <w:spacing w:val="-5"/>
                            <w:sz w:val="20"/>
                          </w:rPr>
                          <w:t> </w:t>
                        </w:r>
                        <w:r>
                          <w:rPr>
                            <w:spacing w:val="-2"/>
                            <w:sz w:val="20"/>
                          </w:rPr>
                          <w:t>budget</w:t>
                        </w:r>
                      </w:p>
                    </w:txbxContent>
                  </v:textbox>
                  <v:stroke dashstyle="solid"/>
                  <w10:wrap type="none"/>
                </v:shape>
                <v:shape style="position:absolute;left:7988;top:-1551;width:999;height:454" type="#_x0000_t202" id="docshape237" filled="false" stroked="true" strokeweight="2.5pt" strokecolor="#c0504d">
                  <v:textbox inset="0,0,0,0">
                    <w:txbxContent>
                      <w:p>
                        <w:pPr>
                          <w:spacing w:before="74"/>
                          <w:ind w:left="34" w:right="0" w:firstLine="0"/>
                          <w:jc w:val="center"/>
                          <w:rPr>
                            <w:rFonts w:ascii="Calibri"/>
                            <w:sz w:val="20"/>
                          </w:rPr>
                        </w:pPr>
                        <w:r>
                          <w:rPr>
                            <w:rFonts w:ascii="Calibri"/>
                            <w:spacing w:val="-5"/>
                            <w:sz w:val="20"/>
                          </w:rPr>
                          <w:t>No</w:t>
                        </w:r>
                      </w:p>
                    </w:txbxContent>
                  </v:textbox>
                  <v:stroke dashstyle="solid"/>
                  <w10:wrap type="none"/>
                </v:shape>
                <w10:wrap type="none"/>
              </v:group>
            </w:pict>
          </mc:Fallback>
        </mc:AlternateContent>
      </w:r>
      <w:r>
        <w:rPr>
          <w:b/>
          <w:sz w:val="24"/>
        </w:rPr>
        <w:t>Figure</w:t>
      </w:r>
      <w:r>
        <w:rPr>
          <w:b/>
          <w:spacing w:val="-5"/>
          <w:sz w:val="24"/>
        </w:rPr>
        <w:t> </w:t>
      </w:r>
      <w:r>
        <w:rPr>
          <w:b/>
          <w:sz w:val="24"/>
        </w:rPr>
        <w:t>3.9.</w:t>
      </w:r>
      <w:r>
        <w:rPr>
          <w:b/>
          <w:spacing w:val="-1"/>
          <w:sz w:val="24"/>
        </w:rPr>
        <w:t> </w:t>
      </w:r>
      <w:r>
        <w:rPr>
          <w:sz w:val="24"/>
        </w:rPr>
        <w:t>The Incremental Budget</w:t>
      </w:r>
      <w:r>
        <w:rPr>
          <w:spacing w:val="-1"/>
          <w:sz w:val="24"/>
        </w:rPr>
        <w:t> </w:t>
      </w:r>
      <w:r>
        <w:rPr>
          <w:sz w:val="24"/>
        </w:rPr>
        <w:t>Model</w:t>
      </w:r>
      <w:r>
        <w:rPr>
          <w:spacing w:val="-2"/>
          <w:sz w:val="24"/>
        </w:rPr>
        <w:t> </w:t>
      </w:r>
      <w:r>
        <w:rPr>
          <w:sz w:val="24"/>
        </w:rPr>
        <w:t>(Davis</w:t>
      </w:r>
      <w:r>
        <w:rPr>
          <w:spacing w:val="-1"/>
          <w:sz w:val="24"/>
        </w:rPr>
        <w:t> </w:t>
      </w:r>
      <w:r>
        <w:rPr>
          <w:i/>
          <w:sz w:val="24"/>
        </w:rPr>
        <w:t>et</w:t>
      </w:r>
      <w:r>
        <w:rPr>
          <w:i/>
          <w:spacing w:val="-1"/>
          <w:sz w:val="24"/>
        </w:rPr>
        <w:t> </w:t>
      </w:r>
      <w:r>
        <w:rPr>
          <w:i/>
          <w:sz w:val="24"/>
        </w:rPr>
        <w:t>al</w:t>
      </w:r>
      <w:r>
        <w:rPr>
          <w:sz w:val="24"/>
        </w:rPr>
        <w:t>.,</w:t>
      </w:r>
      <w:r>
        <w:rPr>
          <w:spacing w:val="-1"/>
          <w:sz w:val="24"/>
        </w:rPr>
        <w:t> </w:t>
      </w:r>
      <w:r>
        <w:rPr>
          <w:spacing w:val="-2"/>
          <w:sz w:val="24"/>
        </w:rPr>
        <w:t>1966)</w:t>
      </w:r>
    </w:p>
    <w:p>
      <w:pPr>
        <w:spacing w:after="0"/>
        <w:jc w:val="left"/>
        <w:rPr>
          <w:sz w:val="24"/>
        </w:rPr>
        <w:sectPr>
          <w:pgSz w:w="12240" w:h="15840"/>
          <w:pgMar w:header="0" w:footer="1036" w:top="1360" w:bottom="1220" w:left="1200" w:right="600"/>
        </w:sectPr>
      </w:pPr>
    </w:p>
    <w:p>
      <w:pPr>
        <w:pStyle w:val="Heading4"/>
        <w:numPr>
          <w:ilvl w:val="2"/>
          <w:numId w:val="69"/>
        </w:numPr>
        <w:tabs>
          <w:tab w:pos="840" w:val="left" w:leader="none"/>
        </w:tabs>
        <w:spacing w:line="240" w:lineRule="auto" w:before="79" w:after="0"/>
        <w:ind w:left="840" w:right="0" w:hanging="600"/>
        <w:jc w:val="both"/>
      </w:pPr>
      <w:r>
        <w:rPr/>
        <w:t>The</w:t>
      </w:r>
      <w:r>
        <w:rPr>
          <w:spacing w:val="-2"/>
        </w:rPr>
        <w:t> </w:t>
      </w:r>
      <w:r>
        <w:rPr/>
        <w:t>Multiple</w:t>
      </w:r>
      <w:r>
        <w:rPr>
          <w:spacing w:val="-1"/>
        </w:rPr>
        <w:t> </w:t>
      </w:r>
      <w:r>
        <w:rPr/>
        <w:t>Rationality/Rationalist</w:t>
      </w:r>
      <w:r>
        <w:rPr>
          <w:spacing w:val="1"/>
        </w:rPr>
        <w:t> </w:t>
      </w:r>
      <w:r>
        <w:rPr>
          <w:spacing w:val="-4"/>
        </w:rPr>
        <w:t>Model</w:t>
      </w:r>
    </w:p>
    <w:p>
      <w:pPr>
        <w:pStyle w:val="BodyText"/>
        <w:spacing w:line="360" w:lineRule="auto" w:before="132"/>
        <w:ind w:left="240" w:right="838"/>
        <w:jc w:val="both"/>
      </w:pPr>
      <w:r>
        <w:rPr/>
        <w:t>Thurmaier and Willoughby (2001) in their study, acknowledge that public budgeting is full of complexities. They further stress that there is no denial of the infiltration of ―rational‖ methods into budget processes as governments at all levels establish guidelines for departments and agencies to follow to promote efficiency and effectiveness in programs, activities and services. The rationalist model is premised on the following questions: how do budget actors approach budget decisions? What budget cues are most important to them when making spending decisions? Why are certain aspects of the budget decision context more important to the budget actor when deliberating about budgeting problems?</w:t>
      </w:r>
    </w:p>
    <w:p>
      <w:pPr>
        <w:pStyle w:val="BodyText"/>
        <w:spacing w:before="140"/>
      </w:pPr>
    </w:p>
    <w:p>
      <w:pPr>
        <w:pStyle w:val="BodyText"/>
        <w:spacing w:line="360" w:lineRule="auto"/>
        <w:ind w:left="240" w:right="835"/>
        <w:jc w:val="both"/>
      </w:pPr>
      <w:r>
        <w:rPr/>
        <w:t>Rationalism entails a comprehensive examination of all issues involved, with the aim of scientifically choosing the best course of action. According to Obikeze and Obi, (2004); Ekwealor (2007) this model assumes that the decision maker is a rational being who ought to make</w:t>
      </w:r>
      <w:r>
        <w:rPr>
          <w:spacing w:val="-4"/>
        </w:rPr>
        <w:t> </w:t>
      </w:r>
      <w:r>
        <w:rPr/>
        <w:t>rational</w:t>
      </w:r>
      <w:r>
        <w:rPr>
          <w:spacing w:val="-3"/>
        </w:rPr>
        <w:t> </w:t>
      </w:r>
      <w:r>
        <w:rPr/>
        <w:t>decisions.</w:t>
      </w:r>
      <w:r>
        <w:rPr>
          <w:spacing w:val="-1"/>
        </w:rPr>
        <w:t> </w:t>
      </w:r>
      <w:r>
        <w:rPr/>
        <w:t>According</w:t>
      </w:r>
      <w:r>
        <w:rPr>
          <w:spacing w:val="-5"/>
        </w:rPr>
        <w:t> </w:t>
      </w:r>
      <w:r>
        <w:rPr/>
        <w:t>to</w:t>
      </w:r>
      <w:r>
        <w:rPr>
          <w:spacing w:val="-1"/>
        </w:rPr>
        <w:t> </w:t>
      </w:r>
      <w:r>
        <w:rPr/>
        <w:t>Ugwu</w:t>
      </w:r>
      <w:r>
        <w:rPr>
          <w:spacing w:val="-2"/>
        </w:rPr>
        <w:t> </w:t>
      </w:r>
      <w:r>
        <w:rPr/>
        <w:t>(2006),</w:t>
      </w:r>
      <w:r>
        <w:rPr>
          <w:spacing w:val="-3"/>
        </w:rPr>
        <w:t> </w:t>
      </w:r>
      <w:r>
        <w:rPr/>
        <w:t>the</w:t>
      </w:r>
      <w:r>
        <w:rPr>
          <w:spacing w:val="-3"/>
        </w:rPr>
        <w:t> </w:t>
      </w:r>
      <w:r>
        <w:rPr/>
        <w:t>rationalist</w:t>
      </w:r>
      <w:r>
        <w:rPr>
          <w:spacing w:val="-3"/>
        </w:rPr>
        <w:t> </w:t>
      </w:r>
      <w:r>
        <w:rPr/>
        <w:t>approach</w:t>
      </w:r>
      <w:r>
        <w:rPr>
          <w:spacing w:val="-3"/>
        </w:rPr>
        <w:t> </w:t>
      </w:r>
      <w:r>
        <w:rPr/>
        <w:t>to</w:t>
      </w:r>
      <w:r>
        <w:rPr>
          <w:spacing w:val="-3"/>
        </w:rPr>
        <w:t> </w:t>
      </w:r>
      <w:r>
        <w:rPr/>
        <w:t>budgeting</w:t>
      </w:r>
      <w:r>
        <w:rPr>
          <w:spacing w:val="-3"/>
        </w:rPr>
        <w:t> </w:t>
      </w:r>
      <w:r>
        <w:rPr/>
        <w:t>tries</w:t>
      </w:r>
      <w:r>
        <w:rPr>
          <w:spacing w:val="-3"/>
        </w:rPr>
        <w:t> </w:t>
      </w:r>
      <w:r>
        <w:rPr/>
        <w:t>to learn all the value preferences extant in a society, assign each value a relative weight, discover</w:t>
      </w:r>
      <w:r>
        <w:rPr>
          <w:spacing w:val="40"/>
        </w:rPr>
        <w:t> </w:t>
      </w:r>
      <w:r>
        <w:rPr/>
        <w:t>all alternatives available, know the consequences of each alternative, calculate how the selection of one alternative will affect the remaining alternatives in terms of opportunity costs and ultimately select the alternative that is the most efficient in terms of costs and benefits of social </w:t>
      </w:r>
      <w:r>
        <w:rPr>
          <w:spacing w:val="-2"/>
        </w:rPr>
        <w:t>values.</w:t>
      </w:r>
    </w:p>
    <w:p>
      <w:pPr>
        <w:pStyle w:val="BodyText"/>
      </w:pPr>
    </w:p>
    <w:p>
      <w:pPr>
        <w:pStyle w:val="BodyText"/>
        <w:spacing w:line="360" w:lineRule="auto"/>
        <w:ind w:left="240" w:right="842"/>
        <w:jc w:val="both"/>
      </w:pPr>
      <w:r>
        <w:rPr/>
        <w:t>Obikeze and Obi, (2004) corroborate this by stating that the rationalist model enables the budget decision maker to have a thorough evaluation of a problem before applying technical expertise towards a solution. The model also prescribes the steps to making rational decisions as follows:</w:t>
      </w:r>
    </w:p>
    <w:p>
      <w:pPr>
        <w:pStyle w:val="ListParagraph"/>
        <w:numPr>
          <w:ilvl w:val="3"/>
          <w:numId w:val="69"/>
        </w:numPr>
        <w:tabs>
          <w:tab w:pos="960" w:val="left" w:leader="none"/>
        </w:tabs>
        <w:spacing w:line="360" w:lineRule="auto" w:before="1" w:after="0"/>
        <w:ind w:left="960" w:right="841" w:hanging="488"/>
        <w:jc w:val="left"/>
        <w:rPr>
          <w:sz w:val="24"/>
        </w:rPr>
      </w:pPr>
      <w:r>
        <w:rPr>
          <w:sz w:val="24"/>
        </w:rPr>
        <w:t>Clarification of goals and objectives with complete, accurate and timely information on</w:t>
      </w:r>
      <w:r>
        <w:rPr>
          <w:spacing w:val="40"/>
          <w:sz w:val="24"/>
        </w:rPr>
        <w:t> </w:t>
      </w:r>
      <w:r>
        <w:rPr>
          <w:sz w:val="24"/>
        </w:rPr>
        <w:t>needs, resources and priorities;</w:t>
      </w:r>
    </w:p>
    <w:p>
      <w:pPr>
        <w:pStyle w:val="ListParagraph"/>
        <w:numPr>
          <w:ilvl w:val="3"/>
          <w:numId w:val="69"/>
        </w:numPr>
        <w:tabs>
          <w:tab w:pos="960" w:val="left" w:leader="none"/>
          <w:tab w:pos="2473" w:val="left" w:leader="none"/>
          <w:tab w:pos="2895" w:val="left" w:leader="none"/>
          <w:tab w:pos="4130" w:val="left" w:leader="none"/>
          <w:tab w:pos="5070" w:val="left" w:leader="none"/>
          <w:tab w:pos="5493" w:val="left" w:leader="none"/>
          <w:tab w:pos="6303" w:val="left" w:leader="none"/>
          <w:tab w:pos="7389" w:val="left" w:leader="none"/>
          <w:tab w:pos="8373" w:val="left" w:leader="none"/>
          <w:tab w:pos="9301" w:val="left" w:leader="none"/>
        </w:tabs>
        <w:spacing w:line="360" w:lineRule="auto" w:before="1" w:after="0"/>
        <w:ind w:left="960" w:right="843" w:hanging="555"/>
        <w:jc w:val="left"/>
        <w:rPr>
          <w:sz w:val="24"/>
        </w:rPr>
      </w:pPr>
      <w:r>
        <w:rPr>
          <w:spacing w:val="-2"/>
          <w:sz w:val="24"/>
        </w:rPr>
        <w:t>Identification</w:t>
      </w:r>
      <w:r>
        <w:rPr>
          <w:sz w:val="24"/>
        </w:rPr>
        <w:tab/>
      </w:r>
      <w:r>
        <w:rPr>
          <w:spacing w:val="-6"/>
          <w:sz w:val="24"/>
        </w:rPr>
        <w:t>of</w:t>
      </w:r>
      <w:r>
        <w:rPr>
          <w:sz w:val="24"/>
        </w:rPr>
        <w:tab/>
      </w:r>
      <w:r>
        <w:rPr>
          <w:spacing w:val="-2"/>
          <w:sz w:val="24"/>
        </w:rPr>
        <w:t>alternative</w:t>
      </w:r>
      <w:r>
        <w:rPr>
          <w:sz w:val="24"/>
        </w:rPr>
        <w:tab/>
      </w:r>
      <w:r>
        <w:rPr>
          <w:spacing w:val="-2"/>
          <w:sz w:val="24"/>
        </w:rPr>
        <w:t>courses</w:t>
      </w:r>
      <w:r>
        <w:rPr>
          <w:sz w:val="24"/>
        </w:rPr>
        <w:tab/>
      </w:r>
      <w:r>
        <w:rPr>
          <w:spacing w:val="-6"/>
          <w:sz w:val="24"/>
        </w:rPr>
        <w:t>of</w:t>
      </w:r>
      <w:r>
        <w:rPr>
          <w:sz w:val="24"/>
        </w:rPr>
        <w:tab/>
      </w:r>
      <w:r>
        <w:rPr>
          <w:spacing w:val="-2"/>
          <w:sz w:val="24"/>
        </w:rPr>
        <w:t>action</w:t>
      </w:r>
      <w:r>
        <w:rPr>
          <w:sz w:val="24"/>
        </w:rPr>
        <w:tab/>
      </w:r>
      <w:r>
        <w:rPr>
          <w:spacing w:val="-2"/>
          <w:sz w:val="24"/>
        </w:rPr>
        <w:t>available</w:t>
      </w:r>
      <w:r>
        <w:rPr>
          <w:sz w:val="24"/>
        </w:rPr>
        <w:tab/>
      </w:r>
      <w:r>
        <w:rPr>
          <w:spacing w:val="-2"/>
          <w:sz w:val="24"/>
        </w:rPr>
        <w:t>towards</w:t>
      </w:r>
      <w:r>
        <w:rPr>
          <w:sz w:val="24"/>
        </w:rPr>
        <w:tab/>
      </w:r>
      <w:r>
        <w:rPr>
          <w:spacing w:val="-2"/>
          <w:sz w:val="24"/>
        </w:rPr>
        <w:t>solving</w:t>
      </w:r>
      <w:r>
        <w:rPr>
          <w:sz w:val="24"/>
        </w:rPr>
        <w:tab/>
      </w:r>
      <w:r>
        <w:rPr>
          <w:spacing w:val="-4"/>
          <w:sz w:val="24"/>
        </w:rPr>
        <w:t>the </w:t>
      </w:r>
      <w:r>
        <w:rPr>
          <w:sz w:val="24"/>
        </w:rPr>
        <w:t>problem/achieving objectives;</w:t>
      </w:r>
    </w:p>
    <w:p>
      <w:pPr>
        <w:pStyle w:val="ListParagraph"/>
        <w:numPr>
          <w:ilvl w:val="3"/>
          <w:numId w:val="69"/>
        </w:numPr>
        <w:tabs>
          <w:tab w:pos="960" w:val="left" w:leader="none"/>
        </w:tabs>
        <w:spacing w:line="240" w:lineRule="auto" w:before="0" w:after="0"/>
        <w:ind w:left="960" w:right="0" w:hanging="619"/>
        <w:jc w:val="left"/>
        <w:rPr>
          <w:sz w:val="24"/>
        </w:rPr>
      </w:pPr>
      <w:r>
        <w:rPr>
          <w:sz w:val="24"/>
        </w:rPr>
        <w:t>An</w:t>
      </w:r>
      <w:r>
        <w:rPr>
          <w:spacing w:val="-3"/>
          <w:sz w:val="24"/>
        </w:rPr>
        <w:t> </w:t>
      </w:r>
      <w:r>
        <w:rPr>
          <w:sz w:val="24"/>
        </w:rPr>
        <w:t>evaluation</w:t>
      </w:r>
      <w:r>
        <w:rPr>
          <w:spacing w:val="-1"/>
          <w:sz w:val="24"/>
        </w:rPr>
        <w:t> </w:t>
      </w:r>
      <w:r>
        <w:rPr>
          <w:sz w:val="24"/>
        </w:rPr>
        <w:t>of</w:t>
      </w:r>
      <w:r>
        <w:rPr>
          <w:spacing w:val="-1"/>
          <w:sz w:val="24"/>
        </w:rPr>
        <w:t> </w:t>
      </w:r>
      <w:r>
        <w:rPr>
          <w:sz w:val="24"/>
        </w:rPr>
        <w:t>the costs and</w:t>
      </w:r>
      <w:r>
        <w:rPr>
          <w:spacing w:val="-1"/>
          <w:sz w:val="24"/>
        </w:rPr>
        <w:t> </w:t>
      </w:r>
      <w:r>
        <w:rPr>
          <w:sz w:val="24"/>
        </w:rPr>
        <w:t>benefits</w:t>
      </w:r>
      <w:r>
        <w:rPr>
          <w:spacing w:val="-1"/>
          <w:sz w:val="24"/>
        </w:rPr>
        <w:t> </w:t>
      </w:r>
      <w:r>
        <w:rPr>
          <w:sz w:val="24"/>
        </w:rPr>
        <w:t>of all</w:t>
      </w:r>
      <w:r>
        <w:rPr>
          <w:spacing w:val="2"/>
          <w:sz w:val="24"/>
        </w:rPr>
        <w:t> </w:t>
      </w:r>
      <w:r>
        <w:rPr>
          <w:sz w:val="24"/>
        </w:rPr>
        <w:t>the </w:t>
      </w:r>
      <w:r>
        <w:rPr>
          <w:spacing w:val="-2"/>
          <w:sz w:val="24"/>
        </w:rPr>
        <w:t>alternatives;</w:t>
      </w:r>
    </w:p>
    <w:p>
      <w:pPr>
        <w:pStyle w:val="ListParagraph"/>
        <w:numPr>
          <w:ilvl w:val="3"/>
          <w:numId w:val="69"/>
        </w:numPr>
        <w:tabs>
          <w:tab w:pos="960" w:val="left" w:leader="none"/>
        </w:tabs>
        <w:spacing w:line="240" w:lineRule="auto" w:before="137" w:after="0"/>
        <w:ind w:left="960" w:right="0" w:hanging="607"/>
        <w:jc w:val="left"/>
        <w:rPr>
          <w:sz w:val="24"/>
        </w:rPr>
      </w:pPr>
      <w:r>
        <w:rPr>
          <w:sz w:val="24"/>
        </w:rPr>
        <w:t>A</w:t>
      </w:r>
      <w:r>
        <w:rPr>
          <w:spacing w:val="-4"/>
          <w:sz w:val="24"/>
        </w:rPr>
        <w:t> </w:t>
      </w:r>
      <w:r>
        <w:rPr>
          <w:sz w:val="24"/>
        </w:rPr>
        <w:t>comparison</w:t>
      </w:r>
      <w:r>
        <w:rPr>
          <w:spacing w:val="-1"/>
          <w:sz w:val="24"/>
        </w:rPr>
        <w:t> </w:t>
      </w:r>
      <w:r>
        <w:rPr>
          <w:sz w:val="24"/>
        </w:rPr>
        <w:t>of</w:t>
      </w:r>
      <w:r>
        <w:rPr>
          <w:spacing w:val="-2"/>
          <w:sz w:val="24"/>
        </w:rPr>
        <w:t> </w:t>
      </w:r>
      <w:r>
        <w:rPr>
          <w:sz w:val="24"/>
        </w:rPr>
        <w:t>the</w:t>
      </w:r>
      <w:r>
        <w:rPr>
          <w:spacing w:val="-1"/>
          <w:sz w:val="24"/>
        </w:rPr>
        <w:t> </w:t>
      </w:r>
      <w:r>
        <w:rPr>
          <w:sz w:val="24"/>
        </w:rPr>
        <w:t>costs</w:t>
      </w:r>
      <w:r>
        <w:rPr>
          <w:spacing w:val="-1"/>
          <w:sz w:val="24"/>
        </w:rPr>
        <w:t> </w:t>
      </w:r>
      <w:r>
        <w:rPr>
          <w:sz w:val="24"/>
        </w:rPr>
        <w:t>and</w:t>
      </w:r>
      <w:r>
        <w:rPr>
          <w:spacing w:val="-2"/>
          <w:sz w:val="24"/>
        </w:rPr>
        <w:t> </w:t>
      </w:r>
      <w:r>
        <w:rPr>
          <w:sz w:val="24"/>
        </w:rPr>
        <w:t>benefits/consequences</w:t>
      </w:r>
      <w:r>
        <w:rPr>
          <w:spacing w:val="-1"/>
          <w:sz w:val="24"/>
        </w:rPr>
        <w:t> </w:t>
      </w:r>
      <w:r>
        <w:rPr>
          <w:sz w:val="24"/>
        </w:rPr>
        <w:t>of</w:t>
      </w:r>
      <w:r>
        <w:rPr>
          <w:spacing w:val="-2"/>
          <w:sz w:val="24"/>
        </w:rPr>
        <w:t> </w:t>
      </w:r>
      <w:r>
        <w:rPr>
          <w:sz w:val="24"/>
        </w:rPr>
        <w:t>all</w:t>
      </w:r>
      <w:r>
        <w:rPr>
          <w:spacing w:val="-1"/>
          <w:sz w:val="24"/>
        </w:rPr>
        <w:t> </w:t>
      </w:r>
      <w:r>
        <w:rPr>
          <w:sz w:val="24"/>
        </w:rPr>
        <w:t>alternatives</w:t>
      </w:r>
      <w:r>
        <w:rPr>
          <w:spacing w:val="-1"/>
          <w:sz w:val="24"/>
        </w:rPr>
        <w:t> </w:t>
      </w:r>
      <w:r>
        <w:rPr>
          <w:spacing w:val="-5"/>
          <w:sz w:val="24"/>
        </w:rPr>
        <w:t>and</w:t>
      </w:r>
    </w:p>
    <w:p>
      <w:pPr>
        <w:pStyle w:val="ListParagraph"/>
        <w:numPr>
          <w:ilvl w:val="3"/>
          <w:numId w:val="69"/>
        </w:numPr>
        <w:tabs>
          <w:tab w:pos="960" w:val="left" w:leader="none"/>
        </w:tabs>
        <w:spacing w:line="240" w:lineRule="auto" w:before="139" w:after="0"/>
        <w:ind w:left="960" w:right="0" w:hanging="540"/>
        <w:jc w:val="left"/>
        <w:rPr>
          <w:sz w:val="24"/>
        </w:rPr>
      </w:pPr>
      <w:r>
        <w:rPr>
          <w:sz w:val="24"/>
        </w:rPr>
        <w:t>Choice</w:t>
      </w:r>
      <w:r>
        <w:rPr>
          <w:spacing w:val="-3"/>
          <w:sz w:val="24"/>
        </w:rPr>
        <w:t> </w:t>
      </w:r>
      <w:r>
        <w:rPr>
          <w:sz w:val="24"/>
        </w:rPr>
        <w:t>of</w:t>
      </w:r>
      <w:r>
        <w:rPr>
          <w:spacing w:val="-1"/>
          <w:sz w:val="24"/>
        </w:rPr>
        <w:t> </w:t>
      </w:r>
      <w:r>
        <w:rPr>
          <w:sz w:val="24"/>
        </w:rPr>
        <w:t>the</w:t>
      </w:r>
      <w:r>
        <w:rPr>
          <w:spacing w:val="-2"/>
          <w:sz w:val="24"/>
        </w:rPr>
        <w:t> </w:t>
      </w:r>
      <w:r>
        <w:rPr>
          <w:sz w:val="24"/>
        </w:rPr>
        <w:t>alternative with the</w:t>
      </w:r>
      <w:r>
        <w:rPr>
          <w:spacing w:val="-2"/>
          <w:sz w:val="24"/>
        </w:rPr>
        <w:t> </w:t>
      </w:r>
      <w:r>
        <w:rPr>
          <w:sz w:val="24"/>
        </w:rPr>
        <w:t>least cost</w:t>
      </w:r>
      <w:r>
        <w:rPr>
          <w:spacing w:val="-1"/>
          <w:sz w:val="24"/>
        </w:rPr>
        <w:t> </w:t>
      </w:r>
      <w:r>
        <w:rPr>
          <w:sz w:val="24"/>
        </w:rPr>
        <w:t>but with</w:t>
      </w:r>
      <w:r>
        <w:rPr>
          <w:spacing w:val="-1"/>
          <w:sz w:val="24"/>
        </w:rPr>
        <w:t> </w:t>
      </w:r>
      <w:r>
        <w:rPr>
          <w:sz w:val="24"/>
        </w:rPr>
        <w:t>maximum </w:t>
      </w:r>
      <w:r>
        <w:rPr>
          <w:spacing w:val="-2"/>
          <w:sz w:val="24"/>
        </w:rPr>
        <w:t>benefit.</w:t>
      </w:r>
    </w:p>
    <w:p>
      <w:pPr>
        <w:spacing w:after="0" w:line="240" w:lineRule="auto"/>
        <w:jc w:val="left"/>
        <w:rPr>
          <w:sz w:val="24"/>
        </w:rPr>
        <w:sectPr>
          <w:pgSz w:w="12240" w:h="15840"/>
          <w:pgMar w:header="0" w:footer="1036" w:top="1360" w:bottom="1220" w:left="1200" w:right="600"/>
        </w:sectPr>
      </w:pPr>
    </w:p>
    <w:p>
      <w:pPr>
        <w:pStyle w:val="BodyText"/>
        <w:spacing w:line="360" w:lineRule="auto" w:before="74"/>
        <w:ind w:left="240" w:right="836"/>
        <w:jc w:val="both"/>
      </w:pPr>
      <w:r>
        <w:rPr/>
        <w:t>The multiple rationalities model recognizes the complexities of budgeting decisions and also acknowledges the temporal(short duration) nature of budgeting, illustrating budgeting as an evolutionary process in which budget outcomes are influenced by the decision contexts, roles, and information processing of individual budget actors at given stages in the budget cycle (Thurmaier and Willoughby, 2001).</w:t>
      </w:r>
    </w:p>
    <w:p>
      <w:pPr>
        <w:pStyle w:val="BodyText"/>
        <w:spacing w:before="138"/>
      </w:pPr>
    </w:p>
    <w:p>
      <w:pPr>
        <w:pStyle w:val="BodyText"/>
        <w:spacing w:line="360" w:lineRule="auto" w:before="1"/>
        <w:ind w:left="240" w:right="842"/>
        <w:jc w:val="both"/>
      </w:pPr>
      <w:r>
        <w:rPr/>
        <w:t>Rational budgeting is comprised of analytical/objective and intuitive/emotive processes. While complex, these processes have structure and can be modeled. Applied to budgeting in a central budget office (CBO), the decisions of budget analysts are made in a multifaceted environment. This context influences budgeters‘ use of different decision frames, and attachment to role(s), when involved in budgeting decisions during various points in the budget cycle. In fact, analysts weigh political and economic factors differentially when making decisions about budgeting. Also, these decisions are influenced by the fiscal condition at hand (Thurmaier, 1992, 1995; Willoughby, 1993).</w:t>
      </w:r>
    </w:p>
    <w:p>
      <w:pPr>
        <w:pStyle w:val="BodyText"/>
        <w:spacing w:before="137"/>
      </w:pPr>
    </w:p>
    <w:p>
      <w:pPr>
        <w:pStyle w:val="BodyText"/>
        <w:spacing w:line="360" w:lineRule="auto"/>
        <w:ind w:left="240" w:right="842"/>
        <w:jc w:val="both"/>
      </w:pPr>
      <w:r>
        <w:rPr/>
        <w:t>Essentially, these budgeters are characterized by multiple roles they can play in the budget process—roles that have expanded. This allows greater room for intuitive as well as strict analytical thinking on their part. That is, analysts, as experts, can use their experience and understanding</w:t>
      </w:r>
      <w:r>
        <w:rPr>
          <w:spacing w:val="-12"/>
        </w:rPr>
        <w:t> </w:t>
      </w:r>
      <w:r>
        <w:rPr/>
        <w:t>of</w:t>
      </w:r>
      <w:r>
        <w:rPr>
          <w:spacing w:val="-11"/>
        </w:rPr>
        <w:t> </w:t>
      </w:r>
      <w:r>
        <w:rPr/>
        <w:t>the</w:t>
      </w:r>
      <w:r>
        <w:rPr>
          <w:spacing w:val="-11"/>
        </w:rPr>
        <w:t> </w:t>
      </w:r>
      <w:r>
        <w:rPr/>
        <w:t>decision</w:t>
      </w:r>
      <w:r>
        <w:rPr>
          <w:spacing w:val="-10"/>
        </w:rPr>
        <w:t> </w:t>
      </w:r>
      <w:r>
        <w:rPr/>
        <w:t>environment</w:t>
      </w:r>
      <w:r>
        <w:rPr>
          <w:spacing w:val="-10"/>
        </w:rPr>
        <w:t> </w:t>
      </w:r>
      <w:r>
        <w:rPr/>
        <w:t>and</w:t>
      </w:r>
      <w:r>
        <w:rPr>
          <w:spacing w:val="-10"/>
        </w:rPr>
        <w:t> </w:t>
      </w:r>
      <w:r>
        <w:rPr/>
        <w:t>then</w:t>
      </w:r>
      <w:r>
        <w:rPr>
          <w:spacing w:val="-10"/>
        </w:rPr>
        <w:t> </w:t>
      </w:r>
      <w:r>
        <w:rPr/>
        <w:t>frame</w:t>
      </w:r>
      <w:r>
        <w:rPr>
          <w:spacing w:val="-11"/>
        </w:rPr>
        <w:t> </w:t>
      </w:r>
      <w:r>
        <w:rPr/>
        <w:t>―superior‖</w:t>
      </w:r>
      <w:r>
        <w:rPr>
          <w:spacing w:val="-11"/>
        </w:rPr>
        <w:t> </w:t>
      </w:r>
      <w:r>
        <w:rPr/>
        <w:t>decisions</w:t>
      </w:r>
      <w:r>
        <w:rPr>
          <w:spacing w:val="-10"/>
        </w:rPr>
        <w:t> </w:t>
      </w:r>
      <w:r>
        <w:rPr/>
        <w:t>to</w:t>
      </w:r>
      <w:r>
        <w:rPr>
          <w:spacing w:val="-10"/>
        </w:rPr>
        <w:t> </w:t>
      </w:r>
      <w:r>
        <w:rPr/>
        <w:t>realize</w:t>
      </w:r>
      <w:r>
        <w:rPr>
          <w:spacing w:val="-11"/>
        </w:rPr>
        <w:t> </w:t>
      </w:r>
      <w:r>
        <w:rPr/>
        <w:t>success with budgeting initiatives (success defined as acceptance by the governor).</w:t>
      </w:r>
    </w:p>
    <w:p>
      <w:pPr>
        <w:pStyle w:val="BodyText"/>
        <w:spacing w:before="139"/>
      </w:pPr>
    </w:p>
    <w:p>
      <w:pPr>
        <w:pStyle w:val="BodyText"/>
        <w:spacing w:line="360" w:lineRule="auto"/>
        <w:ind w:left="240" w:right="836"/>
        <w:jc w:val="both"/>
      </w:pPr>
      <w:r>
        <w:rPr/>
        <w:t>An important variable affecting budget role and decision framing is time. Budgeting decisions</w:t>
      </w:r>
      <w:r>
        <w:rPr>
          <w:spacing w:val="40"/>
        </w:rPr>
        <w:t> </w:t>
      </w:r>
      <w:r>
        <w:rPr/>
        <w:t>are a function of time and timing. Time is how long the individual has to gather and analyze information before coming up with a decision. The budget process prescribes when decisions must be made. Analysts filter information, apply differential weights to specific decision cues, and ascribe</w:t>
      </w:r>
      <w:r>
        <w:rPr>
          <w:spacing w:val="-2"/>
        </w:rPr>
        <w:t> </w:t>
      </w:r>
      <w:r>
        <w:rPr/>
        <w:t>to particular decision strategies, in part, based on when a</w:t>
      </w:r>
      <w:r>
        <w:rPr>
          <w:spacing w:val="-1"/>
        </w:rPr>
        <w:t> </w:t>
      </w:r>
      <w:r>
        <w:rPr/>
        <w:t>decision must be</w:t>
      </w:r>
      <w:r>
        <w:rPr>
          <w:spacing w:val="-1"/>
        </w:rPr>
        <w:t> </w:t>
      </w:r>
      <w:r>
        <w:rPr/>
        <w:t>made, and where in the process their decision input falls. They must employ specific strategies to be successful in the budget process. They must understand how to effectively navigate a decision through a ―window of opportunity‖ with the goal being acceptance of their decision by those higher</w:t>
      </w:r>
      <w:r>
        <w:rPr>
          <w:spacing w:val="5"/>
        </w:rPr>
        <w:t> </w:t>
      </w:r>
      <w:r>
        <w:rPr/>
        <w:t>up—the</w:t>
      </w:r>
      <w:r>
        <w:rPr>
          <w:spacing w:val="5"/>
        </w:rPr>
        <w:t> </w:t>
      </w:r>
      <w:r>
        <w:rPr/>
        <w:t>final</w:t>
      </w:r>
      <w:r>
        <w:rPr>
          <w:spacing w:val="7"/>
        </w:rPr>
        <w:t> </w:t>
      </w:r>
      <w:r>
        <w:rPr/>
        <w:t>decision</w:t>
      </w:r>
      <w:r>
        <w:rPr>
          <w:spacing w:val="6"/>
        </w:rPr>
        <w:t> </w:t>
      </w:r>
      <w:r>
        <w:rPr/>
        <w:t>being</w:t>
      </w:r>
      <w:r>
        <w:rPr>
          <w:spacing w:val="6"/>
        </w:rPr>
        <w:t> </w:t>
      </w:r>
      <w:r>
        <w:rPr/>
        <w:t>an</w:t>
      </w:r>
      <w:r>
        <w:rPr>
          <w:spacing w:val="6"/>
        </w:rPr>
        <w:t> </w:t>
      </w:r>
      <w:r>
        <w:rPr/>
        <w:t>appropriation.</w:t>
      </w:r>
      <w:r>
        <w:rPr>
          <w:spacing w:val="5"/>
        </w:rPr>
        <w:t> </w:t>
      </w:r>
      <w:r>
        <w:rPr/>
        <w:t>Figure</w:t>
      </w:r>
      <w:r>
        <w:rPr>
          <w:spacing w:val="7"/>
        </w:rPr>
        <w:t> </w:t>
      </w:r>
      <w:r>
        <w:rPr/>
        <w:t>3.10</w:t>
      </w:r>
      <w:r>
        <w:rPr>
          <w:spacing w:val="6"/>
        </w:rPr>
        <w:t> </w:t>
      </w:r>
      <w:r>
        <w:rPr/>
        <w:t>illustrates</w:t>
      </w:r>
      <w:r>
        <w:rPr>
          <w:spacing w:val="6"/>
        </w:rPr>
        <w:t> </w:t>
      </w:r>
      <w:r>
        <w:rPr/>
        <w:t>a</w:t>
      </w:r>
      <w:r>
        <w:rPr>
          <w:spacing w:val="5"/>
        </w:rPr>
        <w:t> </w:t>
      </w:r>
      <w:r>
        <w:rPr/>
        <w:t>model</w:t>
      </w:r>
      <w:r>
        <w:rPr>
          <w:spacing w:val="6"/>
        </w:rPr>
        <w:t> </w:t>
      </w:r>
      <w:r>
        <w:rPr/>
        <w:t>of</w:t>
      </w:r>
      <w:r>
        <w:rPr>
          <w:spacing w:val="7"/>
        </w:rPr>
        <w:t> </w:t>
      </w:r>
      <w:r>
        <w:rPr/>
        <w:t>the</w:t>
      </w:r>
      <w:r>
        <w:rPr>
          <w:spacing w:val="6"/>
        </w:rPr>
        <w:t> </w:t>
      </w:r>
      <w:r>
        <w:rPr>
          <w:spacing w:val="-5"/>
        </w:rPr>
        <w:t>CBO</w:t>
      </w:r>
    </w:p>
    <w:p>
      <w:pPr>
        <w:spacing w:after="0" w:line="360" w:lineRule="auto"/>
        <w:jc w:val="both"/>
        <w:sectPr>
          <w:pgSz w:w="12240" w:h="15840"/>
          <w:pgMar w:header="0" w:footer="1036" w:top="1360" w:bottom="1220" w:left="1200" w:right="600"/>
        </w:sectPr>
      </w:pPr>
    </w:p>
    <w:p>
      <w:pPr>
        <w:pStyle w:val="BodyText"/>
        <w:spacing w:line="360" w:lineRule="auto" w:before="74"/>
        <w:ind w:left="240" w:right="843"/>
        <w:jc w:val="both"/>
      </w:pPr>
      <w:r>
        <w:rPr/>
        <w:t>analyst‘s</w:t>
      </w:r>
      <w:r>
        <w:rPr>
          <w:spacing w:val="-4"/>
        </w:rPr>
        <w:t> </w:t>
      </w:r>
      <w:r>
        <w:rPr/>
        <w:t>decision</w:t>
      </w:r>
      <w:r>
        <w:rPr>
          <w:spacing w:val="-3"/>
        </w:rPr>
        <w:t> </w:t>
      </w:r>
      <w:r>
        <w:rPr/>
        <w:t>environment</w:t>
      </w:r>
      <w:r>
        <w:rPr>
          <w:spacing w:val="-3"/>
        </w:rPr>
        <w:t> </w:t>
      </w:r>
      <w:r>
        <w:rPr/>
        <w:t>that</w:t>
      </w:r>
      <w:r>
        <w:rPr>
          <w:spacing w:val="-3"/>
        </w:rPr>
        <w:t> </w:t>
      </w:r>
      <w:r>
        <w:rPr/>
        <w:t>accounts</w:t>
      </w:r>
      <w:r>
        <w:rPr>
          <w:spacing w:val="-3"/>
        </w:rPr>
        <w:t> </w:t>
      </w:r>
      <w:r>
        <w:rPr/>
        <w:t>for</w:t>
      </w:r>
      <w:r>
        <w:rPr>
          <w:spacing w:val="-2"/>
        </w:rPr>
        <w:t> </w:t>
      </w:r>
      <w:r>
        <w:rPr/>
        <w:t>the</w:t>
      </w:r>
      <w:r>
        <w:rPr>
          <w:spacing w:val="-3"/>
        </w:rPr>
        <w:t> </w:t>
      </w:r>
      <w:r>
        <w:rPr/>
        <w:t>rich</w:t>
      </w:r>
      <w:r>
        <w:rPr>
          <w:spacing w:val="-2"/>
        </w:rPr>
        <w:t> </w:t>
      </w:r>
      <w:r>
        <w:rPr/>
        <w:t>context</w:t>
      </w:r>
      <w:r>
        <w:rPr>
          <w:spacing w:val="-3"/>
        </w:rPr>
        <w:t> </w:t>
      </w:r>
      <w:r>
        <w:rPr/>
        <w:t>within</w:t>
      </w:r>
      <w:r>
        <w:rPr>
          <w:spacing w:val="-3"/>
        </w:rPr>
        <w:t> </w:t>
      </w:r>
      <w:r>
        <w:rPr/>
        <w:t>which</w:t>
      </w:r>
      <w:r>
        <w:rPr>
          <w:spacing w:val="-3"/>
        </w:rPr>
        <w:t> </w:t>
      </w:r>
      <w:r>
        <w:rPr/>
        <w:t>this</w:t>
      </w:r>
      <w:r>
        <w:rPr>
          <w:spacing w:val="-3"/>
        </w:rPr>
        <w:t> </w:t>
      </w:r>
      <w:r>
        <w:rPr/>
        <w:t>budgeter</w:t>
      </w:r>
      <w:r>
        <w:rPr>
          <w:spacing w:val="-5"/>
        </w:rPr>
        <w:t> </w:t>
      </w:r>
      <w:r>
        <w:rPr/>
        <w:t>must </w:t>
      </w:r>
      <w:r>
        <w:rPr>
          <w:spacing w:val="-2"/>
        </w:rPr>
        <w:t>work.</w:t>
      </w:r>
    </w:p>
    <w:p>
      <w:pPr>
        <w:pStyle w:val="BodyText"/>
        <w:rPr>
          <w:sz w:val="20"/>
        </w:rPr>
      </w:pPr>
    </w:p>
    <w:p>
      <w:pPr>
        <w:pStyle w:val="BodyText"/>
        <w:spacing w:before="111"/>
        <w:rPr>
          <w:sz w:val="20"/>
        </w:rPr>
      </w:pPr>
      <w:r>
        <w:rPr/>
        <w:drawing>
          <wp:anchor distT="0" distB="0" distL="0" distR="0" allowOverlap="1" layoutInCell="1" locked="0" behindDoc="1" simplePos="0" relativeHeight="487603200">
            <wp:simplePos x="0" y="0"/>
            <wp:positionH relativeFrom="page">
              <wp:posOffset>1030226</wp:posOffset>
            </wp:positionH>
            <wp:positionV relativeFrom="paragraph">
              <wp:posOffset>232295</wp:posOffset>
            </wp:positionV>
            <wp:extent cx="5078837" cy="4011929"/>
            <wp:effectExtent l="0" t="0" r="0" b="0"/>
            <wp:wrapTopAndBottom/>
            <wp:docPr id="258" name="Image 258"/>
            <wp:cNvGraphicFramePr>
              <a:graphicFrameLocks/>
            </wp:cNvGraphicFramePr>
            <a:graphic>
              <a:graphicData uri="http://schemas.openxmlformats.org/drawingml/2006/picture">
                <pic:pic>
                  <pic:nvPicPr>
                    <pic:cNvPr id="258" name="Image 258"/>
                    <pic:cNvPicPr/>
                  </pic:nvPicPr>
                  <pic:blipFill>
                    <a:blip r:embed="rId95" cstate="print"/>
                    <a:stretch>
                      <a:fillRect/>
                    </a:stretch>
                  </pic:blipFill>
                  <pic:spPr>
                    <a:xfrm>
                      <a:off x="0" y="0"/>
                      <a:ext cx="5078837" cy="4011929"/>
                    </a:xfrm>
                    <a:prstGeom prst="rect">
                      <a:avLst/>
                    </a:prstGeom>
                  </pic:spPr>
                </pic:pic>
              </a:graphicData>
            </a:graphic>
          </wp:anchor>
        </w:drawing>
      </w:r>
    </w:p>
    <w:p>
      <w:pPr>
        <w:pStyle w:val="BodyText"/>
        <w:spacing w:before="273"/>
      </w:pPr>
    </w:p>
    <w:p>
      <w:pPr>
        <w:pStyle w:val="BodyText"/>
        <w:ind w:left="240" w:right="839"/>
        <w:jc w:val="both"/>
      </w:pPr>
      <w:r>
        <w:rPr>
          <w:b/>
        </w:rPr>
        <w:t>Figure 3.10: </w:t>
      </w:r>
      <w:r>
        <w:rPr/>
        <w:t>Model of Decision Environment of the budget Analyst (Thurmaier and</w:t>
      </w:r>
      <w:r>
        <w:rPr>
          <w:spacing w:val="40"/>
        </w:rPr>
        <w:t> </w:t>
      </w:r>
      <w:r>
        <w:rPr/>
        <w:t>Willoughby, 2001)</w:t>
      </w:r>
    </w:p>
    <w:p>
      <w:pPr>
        <w:pStyle w:val="BodyText"/>
        <w:spacing w:before="142"/>
      </w:pPr>
    </w:p>
    <w:p>
      <w:pPr>
        <w:pStyle w:val="BodyText"/>
        <w:spacing w:line="360" w:lineRule="auto"/>
        <w:ind w:left="240" w:right="838"/>
        <w:jc w:val="both"/>
      </w:pPr>
      <w:r>
        <w:rPr/>
        <w:t>The rationalist model has been criticized on the following grounds; first, it assumes that the budget maker has all the time to identify all potential means of achieving his objectives efficiently</w:t>
      </w:r>
      <w:r>
        <w:rPr>
          <w:spacing w:val="-6"/>
        </w:rPr>
        <w:t> </w:t>
      </w:r>
      <w:r>
        <w:rPr/>
        <w:t>and</w:t>
      </w:r>
      <w:r>
        <w:rPr>
          <w:spacing w:val="-1"/>
        </w:rPr>
        <w:t> </w:t>
      </w:r>
      <w:r>
        <w:rPr/>
        <w:t>effectively</w:t>
      </w:r>
      <w:r>
        <w:rPr>
          <w:spacing w:val="-4"/>
        </w:rPr>
        <w:t> </w:t>
      </w:r>
      <w:r>
        <w:rPr/>
        <w:t>and gather</w:t>
      </w:r>
      <w:r>
        <w:rPr>
          <w:spacing w:val="-3"/>
        </w:rPr>
        <w:t> </w:t>
      </w:r>
      <w:r>
        <w:rPr/>
        <w:t>necessary</w:t>
      </w:r>
      <w:r>
        <w:rPr>
          <w:spacing w:val="-8"/>
        </w:rPr>
        <w:t> </w:t>
      </w:r>
      <w:r>
        <w:rPr/>
        <w:t>information</w:t>
      </w:r>
      <w:r>
        <w:rPr>
          <w:spacing w:val="-1"/>
        </w:rPr>
        <w:t> </w:t>
      </w:r>
      <w:r>
        <w:rPr/>
        <w:t>and</w:t>
      </w:r>
      <w:r>
        <w:rPr>
          <w:spacing w:val="-1"/>
        </w:rPr>
        <w:t> </w:t>
      </w:r>
      <w:r>
        <w:rPr/>
        <w:t>data</w:t>
      </w:r>
      <w:r>
        <w:rPr>
          <w:spacing w:val="-2"/>
        </w:rPr>
        <w:t> </w:t>
      </w:r>
      <w:r>
        <w:rPr/>
        <w:t>regarding</w:t>
      </w:r>
      <w:r>
        <w:rPr>
          <w:spacing w:val="-3"/>
        </w:rPr>
        <w:t> </w:t>
      </w:r>
      <w:r>
        <w:rPr/>
        <w:t>alternatives</w:t>
      </w:r>
      <w:r>
        <w:rPr>
          <w:spacing w:val="-1"/>
        </w:rPr>
        <w:t> </w:t>
      </w:r>
      <w:r>
        <w:rPr/>
        <w:t>to</w:t>
      </w:r>
      <w:r>
        <w:rPr>
          <w:spacing w:val="-1"/>
        </w:rPr>
        <w:t> </w:t>
      </w:r>
      <w:r>
        <w:rPr/>
        <w:t>the problem.</w:t>
      </w:r>
      <w:r>
        <w:rPr>
          <w:spacing w:val="40"/>
        </w:rPr>
        <w:t> </w:t>
      </w:r>
      <w:r>
        <w:rPr/>
        <w:t>Second, the model neglects convenience in budgeting. Convenience nowadays, is obviously a strong factor in budgeting decisions than economic factors/rationality (Obikeze and Obi, 2004; Ekwealor, 2007). Also, there is no way the analyst can be aware of all alternatives</w:t>
      </w:r>
      <w:r>
        <w:rPr>
          <w:spacing w:val="40"/>
        </w:rPr>
        <w:t> </w:t>
      </w:r>
      <w:r>
        <w:rPr/>
        <w:t>and determine their benefits and consequences. Other criticisms of this model include: unavailability of required data (and even when available, may not be reliable), ethnic/tribal, political,</w:t>
      </w:r>
      <w:r>
        <w:rPr>
          <w:spacing w:val="28"/>
        </w:rPr>
        <w:t> </w:t>
      </w:r>
      <w:r>
        <w:rPr/>
        <w:t>ideological</w:t>
      </w:r>
      <w:r>
        <w:rPr>
          <w:spacing w:val="33"/>
        </w:rPr>
        <w:t> </w:t>
      </w:r>
      <w:r>
        <w:rPr/>
        <w:t>and</w:t>
      </w:r>
      <w:r>
        <w:rPr>
          <w:spacing w:val="31"/>
        </w:rPr>
        <w:t> </w:t>
      </w:r>
      <w:r>
        <w:rPr/>
        <w:t>religious</w:t>
      </w:r>
      <w:r>
        <w:rPr>
          <w:spacing w:val="32"/>
        </w:rPr>
        <w:t> </w:t>
      </w:r>
      <w:r>
        <w:rPr/>
        <w:t>values</w:t>
      </w:r>
      <w:r>
        <w:rPr>
          <w:spacing w:val="31"/>
        </w:rPr>
        <w:t> </w:t>
      </w:r>
      <w:r>
        <w:rPr/>
        <w:t>which</w:t>
      </w:r>
      <w:r>
        <w:rPr>
          <w:spacing w:val="31"/>
        </w:rPr>
        <w:t> </w:t>
      </w:r>
      <w:r>
        <w:rPr/>
        <w:t>may</w:t>
      </w:r>
      <w:r>
        <w:rPr>
          <w:spacing w:val="26"/>
        </w:rPr>
        <w:t> </w:t>
      </w:r>
      <w:r>
        <w:rPr/>
        <w:t>affect</w:t>
      </w:r>
      <w:r>
        <w:rPr>
          <w:spacing w:val="31"/>
        </w:rPr>
        <w:t> </w:t>
      </w:r>
      <w:r>
        <w:rPr/>
        <w:t>the</w:t>
      </w:r>
      <w:r>
        <w:rPr>
          <w:spacing w:val="30"/>
        </w:rPr>
        <w:t> </w:t>
      </w:r>
      <w:r>
        <w:rPr/>
        <w:t>budgeter‘s</w:t>
      </w:r>
      <w:r>
        <w:rPr>
          <w:spacing w:val="31"/>
        </w:rPr>
        <w:t> </w:t>
      </w:r>
      <w:r>
        <w:rPr/>
        <w:t>sense</w:t>
      </w:r>
      <w:r>
        <w:rPr>
          <w:spacing w:val="30"/>
        </w:rPr>
        <w:t> </w:t>
      </w:r>
      <w:r>
        <w:rPr/>
        <w:t>of</w:t>
      </w:r>
      <w:r>
        <w:rPr>
          <w:spacing w:val="30"/>
        </w:rPr>
        <w:t> </w:t>
      </w:r>
      <w:r>
        <w:rPr>
          <w:spacing w:val="-2"/>
        </w:rPr>
        <w:t>judgment.</w:t>
      </w:r>
    </w:p>
    <w:p>
      <w:pPr>
        <w:spacing w:after="0" w:line="360" w:lineRule="auto"/>
        <w:jc w:val="both"/>
        <w:sectPr>
          <w:pgSz w:w="12240" w:h="15840"/>
          <w:pgMar w:header="0" w:footer="1036" w:top="1360" w:bottom="1220" w:left="1200" w:right="600"/>
        </w:sectPr>
      </w:pPr>
    </w:p>
    <w:p>
      <w:pPr>
        <w:pStyle w:val="BodyText"/>
        <w:spacing w:line="360" w:lineRule="auto" w:before="74"/>
        <w:ind w:left="240" w:right="836"/>
        <w:jc w:val="both"/>
      </w:pPr>
      <w:r>
        <w:rPr/>
        <w:t>These weaknesses notwithstanding, the rationalist model is found appropriate for developing a housing budget model, because provision of housing requires objective and unbiased approaches because of the constantly changing political, physical and economic environment.</w:t>
      </w:r>
    </w:p>
    <w:p>
      <w:pPr>
        <w:pStyle w:val="BodyText"/>
        <w:spacing w:before="4"/>
      </w:pPr>
    </w:p>
    <w:p>
      <w:pPr>
        <w:pStyle w:val="Heading4"/>
        <w:numPr>
          <w:ilvl w:val="2"/>
          <w:numId w:val="69"/>
        </w:numPr>
        <w:tabs>
          <w:tab w:pos="840" w:val="left" w:leader="none"/>
        </w:tabs>
        <w:spacing w:line="240" w:lineRule="auto" w:before="0" w:after="0"/>
        <w:ind w:left="840" w:right="0" w:hanging="600"/>
        <w:jc w:val="both"/>
      </w:pPr>
      <w:r>
        <w:rPr/>
        <w:t>The</w:t>
      </w:r>
      <w:r>
        <w:rPr>
          <w:spacing w:val="-4"/>
        </w:rPr>
        <w:t> </w:t>
      </w:r>
      <w:r>
        <w:rPr/>
        <w:t>Citizen</w:t>
      </w:r>
      <w:r>
        <w:rPr>
          <w:spacing w:val="-2"/>
        </w:rPr>
        <w:t> </w:t>
      </w:r>
      <w:r>
        <w:rPr/>
        <w:t>Participation</w:t>
      </w:r>
      <w:r>
        <w:rPr>
          <w:spacing w:val="1"/>
        </w:rPr>
        <w:t> </w:t>
      </w:r>
      <w:r>
        <w:rPr/>
        <w:t>Impact</w:t>
      </w:r>
      <w:r>
        <w:rPr>
          <w:spacing w:val="-2"/>
        </w:rPr>
        <w:t> </w:t>
      </w:r>
      <w:r>
        <w:rPr>
          <w:spacing w:val="-4"/>
        </w:rPr>
        <w:t>Model</w:t>
      </w:r>
    </w:p>
    <w:p>
      <w:pPr>
        <w:pStyle w:val="BodyText"/>
        <w:spacing w:line="360" w:lineRule="auto" w:before="135"/>
        <w:ind w:left="240" w:right="836"/>
        <w:jc w:val="both"/>
      </w:pPr>
      <w:r>
        <w:rPr/>
        <w:t>The</w:t>
      </w:r>
      <w:r>
        <w:rPr>
          <w:spacing w:val="-3"/>
        </w:rPr>
        <w:t> </w:t>
      </w:r>
      <w:r>
        <w:rPr/>
        <w:t>development</w:t>
      </w:r>
      <w:r>
        <w:rPr>
          <w:spacing w:val="-1"/>
        </w:rPr>
        <w:t> </w:t>
      </w:r>
      <w:r>
        <w:rPr/>
        <w:t>of</w:t>
      </w:r>
      <w:r>
        <w:rPr>
          <w:spacing w:val="-2"/>
        </w:rPr>
        <w:t> </w:t>
      </w:r>
      <w:r>
        <w:rPr/>
        <w:t>the</w:t>
      </w:r>
      <w:r>
        <w:rPr>
          <w:spacing w:val="-2"/>
        </w:rPr>
        <w:t> </w:t>
      </w:r>
      <w:r>
        <w:rPr/>
        <w:t>citizen</w:t>
      </w:r>
      <w:r>
        <w:rPr>
          <w:spacing w:val="-1"/>
        </w:rPr>
        <w:t> </w:t>
      </w:r>
      <w:r>
        <w:rPr/>
        <w:t>participation</w:t>
      </w:r>
      <w:r>
        <w:rPr>
          <w:spacing w:val="-1"/>
        </w:rPr>
        <w:t> </w:t>
      </w:r>
      <w:r>
        <w:rPr/>
        <w:t>impact</w:t>
      </w:r>
      <w:r>
        <w:rPr>
          <w:spacing w:val="-1"/>
        </w:rPr>
        <w:t> </w:t>
      </w:r>
      <w:r>
        <w:rPr/>
        <w:t>model</w:t>
      </w:r>
      <w:r>
        <w:rPr>
          <w:spacing w:val="-1"/>
        </w:rPr>
        <w:t> </w:t>
      </w:r>
      <w:r>
        <w:rPr/>
        <w:t>in</w:t>
      </w:r>
      <w:r>
        <w:rPr>
          <w:spacing w:val="-1"/>
        </w:rPr>
        <w:t> </w:t>
      </w:r>
      <w:r>
        <w:rPr/>
        <w:t>public</w:t>
      </w:r>
      <w:r>
        <w:rPr>
          <w:spacing w:val="-2"/>
        </w:rPr>
        <w:t> </w:t>
      </w:r>
      <w:r>
        <w:rPr/>
        <w:t>budgeting</w:t>
      </w:r>
      <w:r>
        <w:rPr>
          <w:spacing w:val="-4"/>
        </w:rPr>
        <w:t> </w:t>
      </w:r>
      <w:r>
        <w:rPr/>
        <w:t>is</w:t>
      </w:r>
      <w:r>
        <w:rPr>
          <w:spacing w:val="-1"/>
        </w:rPr>
        <w:t> </w:t>
      </w:r>
      <w:r>
        <w:rPr/>
        <w:t>largely</w:t>
      </w:r>
      <w:r>
        <w:rPr>
          <w:spacing w:val="-4"/>
        </w:rPr>
        <w:t> </w:t>
      </w:r>
      <w:r>
        <w:rPr/>
        <w:t>credited to Ebdon and Aimee (2006). In their study, they stress that how to involve the citizens in the government budgeting processes and decisions has long posed a problem for government. In</w:t>
      </w:r>
      <w:r>
        <w:rPr>
          <w:spacing w:val="40"/>
        </w:rPr>
        <w:t> </w:t>
      </w:r>
      <w:r>
        <w:rPr/>
        <w:t>fact, many</w:t>
      </w:r>
      <w:r>
        <w:rPr>
          <w:spacing w:val="-1"/>
        </w:rPr>
        <w:t> </w:t>
      </w:r>
      <w:r>
        <w:rPr/>
        <w:t>governments still struggle with how to include citizens in budgetary</w:t>
      </w:r>
      <w:r>
        <w:rPr>
          <w:spacing w:val="-3"/>
        </w:rPr>
        <w:t> </w:t>
      </w:r>
      <w:r>
        <w:rPr/>
        <w:t>decision making. Citizen participation in the budgetary process can be very useful in educating the public and gaining valuable input from citizens about their priorities and preferences.</w:t>
      </w:r>
    </w:p>
    <w:p>
      <w:pPr>
        <w:pStyle w:val="BodyText"/>
      </w:pPr>
    </w:p>
    <w:p>
      <w:pPr>
        <w:pStyle w:val="BodyText"/>
        <w:spacing w:line="360" w:lineRule="auto"/>
        <w:ind w:left="240" w:right="838"/>
        <w:jc w:val="both"/>
      </w:pPr>
      <w:r>
        <w:rPr/>
        <w:t>Ebdon and Aimee (2006) suggest a number of common elements deemed critical to structuring budget participation. These key elements as shown in Table 3.19 are grouped under the</w:t>
      </w:r>
      <w:r>
        <w:rPr>
          <w:spacing w:val="40"/>
        </w:rPr>
        <w:t> </w:t>
      </w:r>
      <w:r>
        <w:rPr/>
        <w:t>following headings:</w:t>
      </w:r>
    </w:p>
    <w:p>
      <w:pPr>
        <w:pStyle w:val="ListParagraph"/>
        <w:numPr>
          <w:ilvl w:val="0"/>
          <w:numId w:val="70"/>
        </w:numPr>
        <w:tabs>
          <w:tab w:pos="539" w:val="left" w:leader="none"/>
        </w:tabs>
        <w:spacing w:line="360" w:lineRule="auto" w:before="0" w:after="0"/>
        <w:ind w:left="240" w:right="835" w:firstLine="0"/>
        <w:jc w:val="both"/>
        <w:rPr>
          <w:sz w:val="24"/>
        </w:rPr>
      </w:pPr>
      <w:r>
        <w:rPr>
          <w:sz w:val="24"/>
        </w:rPr>
        <w:t>The independent variables which represent; the governmental environment; the design of the process, and the mechanisms used to elicit participation.</w:t>
      </w:r>
    </w:p>
    <w:p>
      <w:pPr>
        <w:pStyle w:val="ListParagraph"/>
        <w:numPr>
          <w:ilvl w:val="0"/>
          <w:numId w:val="70"/>
        </w:numPr>
        <w:tabs>
          <w:tab w:pos="611" w:val="left" w:leader="none"/>
        </w:tabs>
        <w:spacing w:line="360" w:lineRule="auto" w:before="0" w:after="0"/>
        <w:ind w:left="240" w:right="842" w:firstLine="0"/>
        <w:jc w:val="both"/>
        <w:rPr>
          <w:sz w:val="24"/>
        </w:rPr>
      </w:pPr>
      <w:r>
        <w:rPr>
          <w:sz w:val="24"/>
        </w:rPr>
        <w:t>The dependent variable which represents the goals and outcomes desired from participation in budgetary decision making.</w:t>
      </w:r>
    </w:p>
    <w:p>
      <w:pPr>
        <w:pStyle w:val="BodyText"/>
        <w:spacing w:before="141"/>
        <w:ind w:left="240"/>
        <w:jc w:val="both"/>
      </w:pPr>
      <w:r>
        <w:rPr>
          <w:b/>
        </w:rPr>
        <w:t>Table</w:t>
      </w:r>
      <w:r>
        <w:rPr>
          <w:b/>
          <w:spacing w:val="-3"/>
        </w:rPr>
        <w:t> </w:t>
      </w:r>
      <w:r>
        <w:rPr>
          <w:b/>
        </w:rPr>
        <w:t>3.19.</w:t>
      </w:r>
      <w:r>
        <w:rPr>
          <w:b/>
          <w:spacing w:val="-1"/>
        </w:rPr>
        <w:t> </w:t>
      </w:r>
      <w:r>
        <w:rPr/>
        <w:t>Key</w:t>
      </w:r>
      <w:r>
        <w:rPr>
          <w:spacing w:val="-5"/>
        </w:rPr>
        <w:t> </w:t>
      </w:r>
      <w:r>
        <w:rPr/>
        <w:t>Elements of</w:t>
      </w:r>
      <w:r>
        <w:rPr>
          <w:spacing w:val="-1"/>
        </w:rPr>
        <w:t> </w:t>
      </w:r>
      <w:r>
        <w:rPr/>
        <w:t>Citizen Participation</w:t>
      </w:r>
      <w:r>
        <w:rPr>
          <w:spacing w:val="-4"/>
        </w:rPr>
        <w:t> </w:t>
      </w:r>
      <w:r>
        <w:rPr/>
        <w:t>in </w:t>
      </w:r>
      <w:r>
        <w:rPr>
          <w:spacing w:val="-2"/>
        </w:rPr>
        <w:t>Budgeting</w:t>
      </w:r>
    </w:p>
    <w:p>
      <w:pPr>
        <w:pStyle w:val="BodyText"/>
        <w:spacing w:before="2"/>
        <w:rPr>
          <w:sz w:val="11"/>
        </w:rPr>
      </w:pPr>
    </w:p>
    <w:tbl>
      <w:tblPr>
        <w:tblW w:w="0" w:type="auto"/>
        <w:jc w:val="left"/>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15"/>
        <w:gridCol w:w="4398"/>
      </w:tblGrid>
      <w:tr>
        <w:trPr>
          <w:trHeight w:val="251" w:hRule="atLeast"/>
        </w:trPr>
        <w:tc>
          <w:tcPr>
            <w:tcW w:w="4515" w:type="dxa"/>
          </w:tcPr>
          <w:p>
            <w:pPr>
              <w:pStyle w:val="TableParagraph"/>
              <w:spacing w:line="210" w:lineRule="exact" w:before="22"/>
              <w:ind w:left="107"/>
              <w:rPr>
                <w:b/>
                <w:sz w:val="20"/>
              </w:rPr>
            </w:pPr>
            <w:r>
              <w:rPr>
                <w:b/>
                <w:spacing w:val="-2"/>
                <w:sz w:val="20"/>
              </w:rPr>
              <w:t>Elements</w:t>
            </w:r>
          </w:p>
        </w:tc>
        <w:tc>
          <w:tcPr>
            <w:tcW w:w="4398" w:type="dxa"/>
          </w:tcPr>
          <w:p>
            <w:pPr>
              <w:pStyle w:val="TableParagraph"/>
              <w:spacing w:line="210" w:lineRule="exact" w:before="22"/>
              <w:ind w:left="198"/>
              <w:rPr>
                <w:b/>
                <w:sz w:val="20"/>
              </w:rPr>
            </w:pPr>
            <w:r>
              <w:rPr>
                <w:b/>
                <w:spacing w:val="-2"/>
                <w:sz w:val="20"/>
              </w:rPr>
              <w:t>Variables</w:t>
            </w:r>
          </w:p>
        </w:tc>
      </w:tr>
      <w:tr>
        <w:trPr>
          <w:trHeight w:val="736" w:hRule="atLeast"/>
        </w:trPr>
        <w:tc>
          <w:tcPr>
            <w:tcW w:w="4515" w:type="dxa"/>
          </w:tcPr>
          <w:p>
            <w:pPr>
              <w:pStyle w:val="TableParagraph"/>
              <w:spacing w:line="181" w:lineRule="exact"/>
              <w:ind w:left="107"/>
              <w:rPr>
                <w:sz w:val="16"/>
              </w:rPr>
            </w:pPr>
            <w:r>
              <w:rPr>
                <w:spacing w:val="-2"/>
                <w:sz w:val="16"/>
              </w:rPr>
              <w:t>Environment</w:t>
            </w:r>
          </w:p>
        </w:tc>
        <w:tc>
          <w:tcPr>
            <w:tcW w:w="4398" w:type="dxa"/>
          </w:tcPr>
          <w:p>
            <w:pPr>
              <w:pStyle w:val="TableParagraph"/>
              <w:spacing w:line="180" w:lineRule="exact"/>
              <w:ind w:left="189"/>
              <w:rPr>
                <w:sz w:val="16"/>
              </w:rPr>
            </w:pPr>
            <w:r>
              <w:rPr>
                <w:sz w:val="16"/>
              </w:rPr>
              <w:t>Structure</w:t>
            </w:r>
            <w:r>
              <w:rPr>
                <w:spacing w:val="-6"/>
                <w:sz w:val="16"/>
              </w:rPr>
              <w:t> </w:t>
            </w:r>
            <w:r>
              <w:rPr>
                <w:sz w:val="16"/>
              </w:rPr>
              <w:t>and</w:t>
            </w:r>
            <w:r>
              <w:rPr>
                <w:spacing w:val="-5"/>
                <w:sz w:val="16"/>
              </w:rPr>
              <w:t> </w:t>
            </w:r>
            <w:r>
              <w:rPr>
                <w:sz w:val="16"/>
              </w:rPr>
              <w:t>form</w:t>
            </w:r>
            <w:r>
              <w:rPr>
                <w:spacing w:val="-4"/>
                <w:sz w:val="16"/>
              </w:rPr>
              <w:t> </w:t>
            </w:r>
            <w:r>
              <w:rPr>
                <w:sz w:val="16"/>
              </w:rPr>
              <w:t>of</w:t>
            </w:r>
            <w:r>
              <w:rPr>
                <w:spacing w:val="-4"/>
                <w:sz w:val="16"/>
              </w:rPr>
              <w:t> </w:t>
            </w:r>
            <w:r>
              <w:rPr>
                <w:spacing w:val="-2"/>
                <w:sz w:val="16"/>
              </w:rPr>
              <w:t>government</w:t>
            </w:r>
          </w:p>
          <w:p>
            <w:pPr>
              <w:pStyle w:val="TableParagraph"/>
              <w:numPr>
                <w:ilvl w:val="0"/>
                <w:numId w:val="71"/>
              </w:numPr>
              <w:tabs>
                <w:tab w:pos="202" w:val="left" w:leader="none"/>
              </w:tabs>
              <w:spacing w:line="183" w:lineRule="exact" w:before="0" w:after="0"/>
              <w:ind w:left="202" w:right="0" w:hanging="95"/>
              <w:jc w:val="left"/>
              <w:rPr>
                <w:sz w:val="16"/>
              </w:rPr>
            </w:pPr>
            <w:r>
              <w:rPr>
                <w:sz w:val="16"/>
              </w:rPr>
              <w:t>Political</w:t>
            </w:r>
            <w:r>
              <w:rPr>
                <w:spacing w:val="-10"/>
                <w:sz w:val="16"/>
              </w:rPr>
              <w:t> </w:t>
            </w:r>
            <w:r>
              <w:rPr>
                <w:spacing w:val="-2"/>
                <w:sz w:val="16"/>
              </w:rPr>
              <w:t>culture</w:t>
            </w:r>
          </w:p>
          <w:p>
            <w:pPr>
              <w:pStyle w:val="TableParagraph"/>
              <w:numPr>
                <w:ilvl w:val="0"/>
                <w:numId w:val="71"/>
              </w:numPr>
              <w:tabs>
                <w:tab w:pos="204" w:val="left" w:leader="none"/>
              </w:tabs>
              <w:spacing w:line="240" w:lineRule="auto" w:before="1" w:after="0"/>
              <w:ind w:left="204" w:right="0" w:hanging="97"/>
              <w:jc w:val="left"/>
              <w:rPr>
                <w:sz w:val="16"/>
              </w:rPr>
            </w:pPr>
            <w:r>
              <w:rPr>
                <w:sz w:val="16"/>
              </w:rPr>
              <w:t>Legal</w:t>
            </w:r>
            <w:r>
              <w:rPr>
                <w:spacing w:val="-10"/>
                <w:sz w:val="16"/>
              </w:rPr>
              <w:t> </w:t>
            </w:r>
            <w:r>
              <w:rPr>
                <w:spacing w:val="-2"/>
                <w:sz w:val="16"/>
              </w:rPr>
              <w:t>requirements</w:t>
            </w:r>
          </w:p>
          <w:p>
            <w:pPr>
              <w:pStyle w:val="TableParagraph"/>
              <w:numPr>
                <w:ilvl w:val="0"/>
                <w:numId w:val="71"/>
              </w:numPr>
              <w:tabs>
                <w:tab w:pos="202" w:val="left" w:leader="none"/>
              </w:tabs>
              <w:spacing w:line="168" w:lineRule="exact" w:before="0" w:after="0"/>
              <w:ind w:left="202" w:right="0" w:hanging="95"/>
              <w:jc w:val="left"/>
              <w:rPr>
                <w:sz w:val="16"/>
              </w:rPr>
            </w:pPr>
            <w:r>
              <w:rPr>
                <w:sz w:val="16"/>
              </w:rPr>
              <w:t>Population</w:t>
            </w:r>
            <w:r>
              <w:rPr>
                <w:spacing w:val="-7"/>
                <w:sz w:val="16"/>
              </w:rPr>
              <w:t> </w:t>
            </w:r>
            <w:r>
              <w:rPr>
                <w:sz w:val="16"/>
              </w:rPr>
              <w:t>size</w:t>
            </w:r>
            <w:r>
              <w:rPr>
                <w:spacing w:val="-7"/>
                <w:sz w:val="16"/>
              </w:rPr>
              <w:t> </w:t>
            </w:r>
            <w:r>
              <w:rPr>
                <w:sz w:val="16"/>
              </w:rPr>
              <w:t>and</w:t>
            </w:r>
            <w:r>
              <w:rPr>
                <w:spacing w:val="-6"/>
                <w:sz w:val="16"/>
              </w:rPr>
              <w:t> </w:t>
            </w:r>
            <w:r>
              <w:rPr>
                <w:spacing w:val="-2"/>
                <w:sz w:val="16"/>
              </w:rPr>
              <w:t>diversity</w:t>
            </w:r>
          </w:p>
        </w:tc>
      </w:tr>
      <w:tr>
        <w:trPr>
          <w:trHeight w:val="1103" w:hRule="atLeast"/>
        </w:trPr>
        <w:tc>
          <w:tcPr>
            <w:tcW w:w="4515" w:type="dxa"/>
          </w:tcPr>
          <w:p>
            <w:pPr>
              <w:pStyle w:val="TableParagraph"/>
              <w:spacing w:line="178" w:lineRule="exact"/>
              <w:ind w:left="107"/>
              <w:rPr>
                <w:sz w:val="16"/>
              </w:rPr>
            </w:pPr>
            <w:r>
              <w:rPr>
                <w:sz w:val="16"/>
              </w:rPr>
              <w:t>Process</w:t>
            </w:r>
            <w:r>
              <w:rPr>
                <w:spacing w:val="-6"/>
                <w:sz w:val="16"/>
              </w:rPr>
              <w:t> </w:t>
            </w:r>
            <w:r>
              <w:rPr>
                <w:spacing w:val="-2"/>
                <w:sz w:val="16"/>
              </w:rPr>
              <w:t>design</w:t>
            </w:r>
          </w:p>
        </w:tc>
        <w:tc>
          <w:tcPr>
            <w:tcW w:w="4398" w:type="dxa"/>
          </w:tcPr>
          <w:p>
            <w:pPr>
              <w:pStyle w:val="TableParagraph"/>
              <w:spacing w:line="178" w:lineRule="exact"/>
              <w:ind w:left="189"/>
              <w:rPr>
                <w:sz w:val="16"/>
              </w:rPr>
            </w:pPr>
            <w:r>
              <w:rPr>
                <w:spacing w:val="-2"/>
                <w:sz w:val="16"/>
              </w:rPr>
              <w:t>Timing</w:t>
            </w:r>
          </w:p>
          <w:p>
            <w:pPr>
              <w:pStyle w:val="TableParagraph"/>
              <w:numPr>
                <w:ilvl w:val="0"/>
                <w:numId w:val="72"/>
              </w:numPr>
              <w:tabs>
                <w:tab w:pos="189" w:val="left" w:leader="none"/>
                <w:tab w:pos="202" w:val="left" w:leader="none"/>
              </w:tabs>
              <w:spacing w:line="240" w:lineRule="auto" w:before="1" w:after="0"/>
              <w:ind w:left="189" w:right="1700" w:hanging="82"/>
              <w:jc w:val="left"/>
              <w:rPr>
                <w:sz w:val="16"/>
              </w:rPr>
            </w:pPr>
            <w:r>
              <w:rPr>
                <w:sz w:val="16"/>
              </w:rPr>
              <w:tab/>
              <w:t>Type</w:t>
            </w:r>
            <w:r>
              <w:rPr>
                <w:spacing w:val="-9"/>
                <w:sz w:val="16"/>
              </w:rPr>
              <w:t> </w:t>
            </w:r>
            <w:r>
              <w:rPr>
                <w:sz w:val="16"/>
              </w:rPr>
              <w:t>of</w:t>
            </w:r>
            <w:r>
              <w:rPr>
                <w:spacing w:val="-8"/>
                <w:sz w:val="16"/>
              </w:rPr>
              <w:t> </w:t>
            </w:r>
            <w:r>
              <w:rPr>
                <w:sz w:val="16"/>
              </w:rPr>
              <w:t>budget</w:t>
            </w:r>
            <w:r>
              <w:rPr>
                <w:spacing w:val="-7"/>
                <w:sz w:val="16"/>
              </w:rPr>
              <w:t> </w:t>
            </w:r>
            <w:r>
              <w:rPr>
                <w:sz w:val="16"/>
              </w:rPr>
              <w:t>allocation</w:t>
            </w:r>
            <w:r>
              <w:rPr>
                <w:spacing w:val="-7"/>
                <w:sz w:val="16"/>
              </w:rPr>
              <w:t> </w:t>
            </w:r>
            <w:r>
              <w:rPr>
                <w:sz w:val="16"/>
              </w:rPr>
              <w:t>(by</w:t>
            </w:r>
            <w:r>
              <w:rPr>
                <w:spacing w:val="-10"/>
                <w:sz w:val="16"/>
              </w:rPr>
              <w:t> </w:t>
            </w:r>
            <w:r>
              <w:rPr>
                <w:sz w:val="16"/>
              </w:rPr>
              <w:t>program</w:t>
            </w:r>
            <w:r>
              <w:rPr>
                <w:spacing w:val="40"/>
                <w:sz w:val="16"/>
              </w:rPr>
              <w:t> </w:t>
            </w:r>
            <w:r>
              <w:rPr>
                <w:sz w:val="16"/>
              </w:rPr>
              <w:t>or</w:t>
            </w:r>
            <w:r>
              <w:rPr>
                <w:spacing w:val="-8"/>
                <w:sz w:val="16"/>
              </w:rPr>
              <w:t> </w:t>
            </w:r>
            <w:r>
              <w:rPr>
                <w:sz w:val="16"/>
              </w:rPr>
              <w:t>earmarked</w:t>
            </w:r>
            <w:r>
              <w:rPr>
                <w:spacing w:val="-6"/>
                <w:sz w:val="16"/>
              </w:rPr>
              <w:t> </w:t>
            </w:r>
            <w:r>
              <w:rPr>
                <w:sz w:val="16"/>
              </w:rPr>
              <w:t>funds,</w:t>
            </w:r>
            <w:r>
              <w:rPr>
                <w:spacing w:val="-6"/>
                <w:sz w:val="16"/>
              </w:rPr>
              <w:t> </w:t>
            </w:r>
            <w:r>
              <w:rPr>
                <w:sz w:val="16"/>
              </w:rPr>
              <w:t>operating,</w:t>
            </w:r>
            <w:r>
              <w:rPr>
                <w:spacing w:val="-5"/>
                <w:sz w:val="16"/>
              </w:rPr>
              <w:t> </w:t>
            </w:r>
            <w:r>
              <w:rPr>
                <w:spacing w:val="-2"/>
                <w:sz w:val="16"/>
              </w:rPr>
              <w:t>capital)</w:t>
            </w:r>
          </w:p>
          <w:p>
            <w:pPr>
              <w:pStyle w:val="TableParagraph"/>
              <w:numPr>
                <w:ilvl w:val="0"/>
                <w:numId w:val="72"/>
              </w:numPr>
              <w:tabs>
                <w:tab w:pos="189" w:val="left" w:leader="none"/>
                <w:tab w:pos="202" w:val="left" w:leader="none"/>
              </w:tabs>
              <w:spacing w:line="240" w:lineRule="auto" w:before="0" w:after="0"/>
              <w:ind w:left="189" w:right="1576" w:hanging="82"/>
              <w:jc w:val="left"/>
              <w:rPr>
                <w:sz w:val="16"/>
              </w:rPr>
            </w:pPr>
            <w:r>
              <w:rPr>
                <w:sz w:val="16"/>
              </w:rPr>
              <w:tab/>
              <w:t>Participants</w:t>
            </w:r>
            <w:r>
              <w:rPr>
                <w:spacing w:val="-10"/>
                <w:sz w:val="16"/>
              </w:rPr>
              <w:t> </w:t>
            </w:r>
            <w:r>
              <w:rPr>
                <w:sz w:val="16"/>
              </w:rPr>
              <w:t>(selection</w:t>
            </w:r>
            <w:r>
              <w:rPr>
                <w:spacing w:val="-10"/>
                <w:sz w:val="16"/>
              </w:rPr>
              <w:t> </w:t>
            </w:r>
            <w:r>
              <w:rPr>
                <w:sz w:val="16"/>
              </w:rPr>
              <w:t>method,</w:t>
            </w:r>
            <w:r>
              <w:rPr>
                <w:spacing w:val="-10"/>
                <w:sz w:val="16"/>
              </w:rPr>
              <w:t> </w:t>
            </w:r>
            <w:r>
              <w:rPr>
                <w:sz w:val="16"/>
              </w:rPr>
              <w:t>numbers,</w:t>
            </w:r>
            <w:r>
              <w:rPr>
                <w:spacing w:val="40"/>
                <w:sz w:val="16"/>
              </w:rPr>
              <w:t> </w:t>
            </w:r>
            <w:r>
              <w:rPr>
                <w:spacing w:val="-2"/>
                <w:sz w:val="16"/>
              </w:rPr>
              <w:t>representativeness)</w:t>
            </w:r>
          </w:p>
          <w:p>
            <w:pPr>
              <w:pStyle w:val="TableParagraph"/>
              <w:numPr>
                <w:ilvl w:val="0"/>
                <w:numId w:val="72"/>
              </w:numPr>
              <w:tabs>
                <w:tab w:pos="202" w:val="left" w:leader="none"/>
              </w:tabs>
              <w:spacing w:line="168" w:lineRule="exact" w:before="0" w:after="0"/>
              <w:ind w:left="202" w:right="0" w:hanging="95"/>
              <w:jc w:val="left"/>
              <w:rPr>
                <w:sz w:val="16"/>
              </w:rPr>
            </w:pPr>
            <w:r>
              <w:rPr>
                <w:sz w:val="16"/>
              </w:rPr>
              <w:t>Sincere</w:t>
            </w:r>
            <w:r>
              <w:rPr>
                <w:spacing w:val="-10"/>
                <w:sz w:val="16"/>
              </w:rPr>
              <w:t> </w:t>
            </w:r>
            <w:r>
              <w:rPr>
                <w:sz w:val="16"/>
              </w:rPr>
              <w:t>preferences/willingness</w:t>
            </w:r>
            <w:r>
              <w:rPr>
                <w:spacing w:val="-8"/>
                <w:sz w:val="16"/>
              </w:rPr>
              <w:t> </w:t>
            </w:r>
            <w:r>
              <w:rPr>
                <w:sz w:val="16"/>
              </w:rPr>
              <w:t>to</w:t>
            </w:r>
            <w:r>
              <w:rPr>
                <w:spacing w:val="-9"/>
                <w:sz w:val="16"/>
              </w:rPr>
              <w:t> </w:t>
            </w:r>
            <w:r>
              <w:rPr>
                <w:spacing w:val="-5"/>
                <w:sz w:val="16"/>
              </w:rPr>
              <w:t>pay</w:t>
            </w:r>
          </w:p>
        </w:tc>
      </w:tr>
      <w:tr>
        <w:trPr>
          <w:trHeight w:val="921" w:hRule="atLeast"/>
        </w:trPr>
        <w:tc>
          <w:tcPr>
            <w:tcW w:w="4515" w:type="dxa"/>
          </w:tcPr>
          <w:p>
            <w:pPr>
              <w:pStyle w:val="TableParagraph"/>
              <w:spacing w:line="179" w:lineRule="exact"/>
              <w:ind w:left="107"/>
              <w:rPr>
                <w:sz w:val="16"/>
              </w:rPr>
            </w:pPr>
            <w:r>
              <w:rPr>
                <w:spacing w:val="-2"/>
                <w:sz w:val="16"/>
              </w:rPr>
              <w:t>Mechanisms</w:t>
            </w:r>
          </w:p>
        </w:tc>
        <w:tc>
          <w:tcPr>
            <w:tcW w:w="4398" w:type="dxa"/>
          </w:tcPr>
          <w:p>
            <w:pPr>
              <w:pStyle w:val="TableParagraph"/>
              <w:spacing w:line="179" w:lineRule="exact"/>
              <w:ind w:left="189"/>
              <w:rPr>
                <w:sz w:val="16"/>
              </w:rPr>
            </w:pPr>
            <w:r>
              <w:rPr>
                <w:sz w:val="16"/>
              </w:rPr>
              <w:t>Public</w:t>
            </w:r>
            <w:r>
              <w:rPr>
                <w:spacing w:val="-9"/>
                <w:sz w:val="16"/>
              </w:rPr>
              <w:t> </w:t>
            </w:r>
            <w:r>
              <w:rPr>
                <w:spacing w:val="-2"/>
                <w:sz w:val="16"/>
              </w:rPr>
              <w:t>meetings</w:t>
            </w:r>
          </w:p>
          <w:p>
            <w:pPr>
              <w:pStyle w:val="TableParagraph"/>
              <w:numPr>
                <w:ilvl w:val="0"/>
                <w:numId w:val="73"/>
              </w:numPr>
              <w:tabs>
                <w:tab w:pos="202" w:val="left" w:leader="none"/>
              </w:tabs>
              <w:spacing w:line="240" w:lineRule="auto" w:before="1" w:after="0"/>
              <w:ind w:left="202" w:right="0" w:hanging="95"/>
              <w:jc w:val="left"/>
              <w:rPr>
                <w:sz w:val="16"/>
              </w:rPr>
            </w:pPr>
            <w:r>
              <w:rPr>
                <w:sz w:val="16"/>
              </w:rPr>
              <w:t>Focus</w:t>
            </w:r>
            <w:r>
              <w:rPr>
                <w:spacing w:val="-6"/>
                <w:sz w:val="16"/>
              </w:rPr>
              <w:t> </w:t>
            </w:r>
            <w:r>
              <w:rPr>
                <w:spacing w:val="-2"/>
                <w:sz w:val="16"/>
              </w:rPr>
              <w:t>groups</w:t>
            </w:r>
          </w:p>
          <w:p>
            <w:pPr>
              <w:pStyle w:val="TableParagraph"/>
              <w:numPr>
                <w:ilvl w:val="0"/>
                <w:numId w:val="73"/>
              </w:numPr>
              <w:tabs>
                <w:tab w:pos="202" w:val="left" w:leader="none"/>
              </w:tabs>
              <w:spacing w:line="183" w:lineRule="exact" w:before="0" w:after="0"/>
              <w:ind w:left="202" w:right="0" w:hanging="95"/>
              <w:jc w:val="left"/>
              <w:rPr>
                <w:sz w:val="16"/>
              </w:rPr>
            </w:pPr>
            <w:r>
              <w:rPr>
                <w:spacing w:val="-2"/>
                <w:sz w:val="16"/>
              </w:rPr>
              <w:t>Simulations</w:t>
            </w:r>
          </w:p>
          <w:p>
            <w:pPr>
              <w:pStyle w:val="TableParagraph"/>
              <w:numPr>
                <w:ilvl w:val="0"/>
                <w:numId w:val="73"/>
              </w:numPr>
              <w:tabs>
                <w:tab w:pos="202" w:val="left" w:leader="none"/>
              </w:tabs>
              <w:spacing w:line="183" w:lineRule="exact" w:before="0" w:after="0"/>
              <w:ind w:left="202" w:right="0" w:hanging="95"/>
              <w:jc w:val="left"/>
              <w:rPr>
                <w:sz w:val="16"/>
              </w:rPr>
            </w:pPr>
            <w:r>
              <w:rPr>
                <w:sz w:val="16"/>
              </w:rPr>
              <w:t>Advisory</w:t>
            </w:r>
            <w:r>
              <w:rPr>
                <w:spacing w:val="-10"/>
                <w:sz w:val="16"/>
              </w:rPr>
              <w:t> </w:t>
            </w:r>
            <w:r>
              <w:rPr>
                <w:spacing w:val="-2"/>
                <w:sz w:val="16"/>
              </w:rPr>
              <w:t>committees</w:t>
            </w:r>
          </w:p>
          <w:p>
            <w:pPr>
              <w:pStyle w:val="TableParagraph"/>
              <w:numPr>
                <w:ilvl w:val="0"/>
                <w:numId w:val="73"/>
              </w:numPr>
              <w:tabs>
                <w:tab w:pos="202" w:val="left" w:leader="none"/>
              </w:tabs>
              <w:spacing w:line="170" w:lineRule="exact" w:before="1" w:after="0"/>
              <w:ind w:left="202" w:right="0" w:hanging="95"/>
              <w:jc w:val="left"/>
              <w:rPr>
                <w:sz w:val="16"/>
              </w:rPr>
            </w:pPr>
            <w:r>
              <w:rPr>
                <w:spacing w:val="-2"/>
                <w:sz w:val="16"/>
              </w:rPr>
              <w:t>Surveys</w:t>
            </w:r>
          </w:p>
        </w:tc>
      </w:tr>
      <w:tr>
        <w:trPr>
          <w:trHeight w:val="1288" w:hRule="atLeast"/>
        </w:trPr>
        <w:tc>
          <w:tcPr>
            <w:tcW w:w="4515" w:type="dxa"/>
          </w:tcPr>
          <w:p>
            <w:pPr>
              <w:pStyle w:val="TableParagraph"/>
              <w:spacing w:before="18"/>
              <w:ind w:left="107"/>
              <w:rPr>
                <w:sz w:val="16"/>
              </w:rPr>
            </w:pPr>
            <w:r>
              <w:rPr>
                <w:sz w:val="16"/>
              </w:rPr>
              <w:t>Goals</w:t>
            </w:r>
            <w:r>
              <w:rPr>
                <w:spacing w:val="-6"/>
                <w:sz w:val="16"/>
              </w:rPr>
              <w:t> </w:t>
            </w:r>
            <w:r>
              <w:rPr>
                <w:sz w:val="16"/>
              </w:rPr>
              <w:t>and</w:t>
            </w:r>
            <w:r>
              <w:rPr>
                <w:spacing w:val="-3"/>
                <w:sz w:val="16"/>
              </w:rPr>
              <w:t> </w:t>
            </w:r>
            <w:r>
              <w:rPr>
                <w:spacing w:val="-2"/>
                <w:sz w:val="16"/>
              </w:rPr>
              <w:t>outcomes</w:t>
            </w:r>
          </w:p>
        </w:tc>
        <w:tc>
          <w:tcPr>
            <w:tcW w:w="4398" w:type="dxa"/>
          </w:tcPr>
          <w:p>
            <w:pPr>
              <w:pStyle w:val="TableParagraph"/>
              <w:spacing w:line="178" w:lineRule="exact"/>
              <w:ind w:left="189"/>
              <w:rPr>
                <w:sz w:val="16"/>
              </w:rPr>
            </w:pPr>
            <w:r>
              <w:rPr>
                <w:sz w:val="16"/>
              </w:rPr>
              <w:t>Reduce</w:t>
            </w:r>
            <w:r>
              <w:rPr>
                <w:spacing w:val="-8"/>
                <w:sz w:val="16"/>
              </w:rPr>
              <w:t> </w:t>
            </w:r>
            <w:r>
              <w:rPr>
                <w:spacing w:val="-2"/>
                <w:sz w:val="16"/>
              </w:rPr>
              <w:t>cynicism</w:t>
            </w:r>
          </w:p>
          <w:p>
            <w:pPr>
              <w:pStyle w:val="TableParagraph"/>
              <w:numPr>
                <w:ilvl w:val="0"/>
                <w:numId w:val="74"/>
              </w:numPr>
              <w:tabs>
                <w:tab w:pos="202" w:val="left" w:leader="none"/>
              </w:tabs>
              <w:spacing w:line="183" w:lineRule="exact" w:before="1" w:after="0"/>
              <w:ind w:left="202" w:right="0" w:hanging="95"/>
              <w:jc w:val="left"/>
              <w:rPr>
                <w:sz w:val="16"/>
              </w:rPr>
            </w:pPr>
            <w:r>
              <w:rPr>
                <w:sz w:val="16"/>
              </w:rPr>
              <w:t>Educate</w:t>
            </w:r>
            <w:r>
              <w:rPr>
                <w:spacing w:val="-8"/>
                <w:sz w:val="16"/>
              </w:rPr>
              <w:t> </w:t>
            </w:r>
            <w:r>
              <w:rPr>
                <w:sz w:val="16"/>
              </w:rPr>
              <w:t>participants</w:t>
            </w:r>
            <w:r>
              <w:rPr>
                <w:spacing w:val="-3"/>
                <w:sz w:val="16"/>
              </w:rPr>
              <w:t> </w:t>
            </w:r>
            <w:r>
              <w:rPr>
                <w:sz w:val="16"/>
              </w:rPr>
              <w:t>about</w:t>
            </w:r>
            <w:r>
              <w:rPr>
                <w:spacing w:val="-7"/>
                <w:sz w:val="16"/>
              </w:rPr>
              <w:t> </w:t>
            </w:r>
            <w:r>
              <w:rPr>
                <w:sz w:val="16"/>
              </w:rPr>
              <w:t>the</w:t>
            </w:r>
            <w:r>
              <w:rPr>
                <w:spacing w:val="-8"/>
                <w:sz w:val="16"/>
              </w:rPr>
              <w:t> </w:t>
            </w:r>
            <w:r>
              <w:rPr>
                <w:spacing w:val="-2"/>
                <w:sz w:val="16"/>
              </w:rPr>
              <w:t>budget</w:t>
            </w:r>
          </w:p>
          <w:p>
            <w:pPr>
              <w:pStyle w:val="TableParagraph"/>
              <w:numPr>
                <w:ilvl w:val="0"/>
                <w:numId w:val="74"/>
              </w:numPr>
              <w:tabs>
                <w:tab w:pos="202" w:val="left" w:leader="none"/>
              </w:tabs>
              <w:spacing w:line="183" w:lineRule="exact" w:before="0" w:after="0"/>
              <w:ind w:left="202" w:right="0" w:hanging="95"/>
              <w:jc w:val="left"/>
              <w:rPr>
                <w:sz w:val="16"/>
              </w:rPr>
            </w:pPr>
            <w:r>
              <w:rPr>
                <w:sz w:val="16"/>
              </w:rPr>
              <w:t>Gain</w:t>
            </w:r>
            <w:r>
              <w:rPr>
                <w:spacing w:val="-5"/>
                <w:sz w:val="16"/>
              </w:rPr>
              <w:t> </w:t>
            </w:r>
            <w:r>
              <w:rPr>
                <w:sz w:val="16"/>
              </w:rPr>
              <w:t>support</w:t>
            </w:r>
            <w:r>
              <w:rPr>
                <w:spacing w:val="-5"/>
                <w:sz w:val="16"/>
              </w:rPr>
              <w:t> </w:t>
            </w:r>
            <w:r>
              <w:rPr>
                <w:sz w:val="16"/>
              </w:rPr>
              <w:t>for</w:t>
            </w:r>
            <w:r>
              <w:rPr>
                <w:spacing w:val="-6"/>
                <w:sz w:val="16"/>
              </w:rPr>
              <w:t> </w:t>
            </w:r>
            <w:r>
              <w:rPr>
                <w:sz w:val="16"/>
              </w:rPr>
              <w:t>budget</w:t>
            </w:r>
            <w:r>
              <w:rPr>
                <w:spacing w:val="-4"/>
                <w:sz w:val="16"/>
              </w:rPr>
              <w:t> </w:t>
            </w:r>
            <w:r>
              <w:rPr>
                <w:spacing w:val="-2"/>
                <w:sz w:val="16"/>
              </w:rPr>
              <w:t>proposals</w:t>
            </w:r>
          </w:p>
          <w:p>
            <w:pPr>
              <w:pStyle w:val="TableParagraph"/>
              <w:numPr>
                <w:ilvl w:val="0"/>
                <w:numId w:val="74"/>
              </w:numPr>
              <w:tabs>
                <w:tab w:pos="202" w:val="left" w:leader="none"/>
              </w:tabs>
              <w:spacing w:line="240" w:lineRule="auto" w:before="0" w:after="0"/>
              <w:ind w:left="202" w:right="0" w:hanging="95"/>
              <w:jc w:val="left"/>
              <w:rPr>
                <w:sz w:val="16"/>
              </w:rPr>
            </w:pPr>
            <w:r>
              <w:rPr>
                <w:sz w:val="16"/>
              </w:rPr>
              <w:t>Gather</w:t>
            </w:r>
            <w:r>
              <w:rPr>
                <w:spacing w:val="-7"/>
                <w:sz w:val="16"/>
              </w:rPr>
              <w:t> </w:t>
            </w:r>
            <w:r>
              <w:rPr>
                <w:sz w:val="16"/>
              </w:rPr>
              <w:t>input</w:t>
            </w:r>
            <w:r>
              <w:rPr>
                <w:spacing w:val="-4"/>
                <w:sz w:val="16"/>
              </w:rPr>
              <w:t> </w:t>
            </w:r>
            <w:r>
              <w:rPr>
                <w:sz w:val="16"/>
              </w:rPr>
              <w:t>for</w:t>
            </w:r>
            <w:r>
              <w:rPr>
                <w:spacing w:val="-6"/>
                <w:sz w:val="16"/>
              </w:rPr>
              <w:t> </w:t>
            </w:r>
            <w:r>
              <w:rPr>
                <w:sz w:val="16"/>
              </w:rPr>
              <w:t>decision</w:t>
            </w:r>
            <w:r>
              <w:rPr>
                <w:spacing w:val="-4"/>
                <w:sz w:val="16"/>
              </w:rPr>
              <w:t> </w:t>
            </w:r>
            <w:r>
              <w:rPr>
                <w:spacing w:val="-2"/>
                <w:sz w:val="16"/>
              </w:rPr>
              <w:t>making</w:t>
            </w:r>
          </w:p>
          <w:p>
            <w:pPr>
              <w:pStyle w:val="TableParagraph"/>
              <w:numPr>
                <w:ilvl w:val="0"/>
                <w:numId w:val="74"/>
              </w:numPr>
              <w:tabs>
                <w:tab w:pos="202" w:val="left" w:leader="none"/>
              </w:tabs>
              <w:spacing w:line="183" w:lineRule="exact" w:before="1" w:after="0"/>
              <w:ind w:left="202" w:right="0" w:hanging="95"/>
              <w:jc w:val="left"/>
              <w:rPr>
                <w:sz w:val="16"/>
              </w:rPr>
            </w:pPr>
            <w:r>
              <w:rPr>
                <w:sz w:val="16"/>
              </w:rPr>
              <w:t>Change</w:t>
            </w:r>
            <w:r>
              <w:rPr>
                <w:spacing w:val="-7"/>
                <w:sz w:val="16"/>
              </w:rPr>
              <w:t> </w:t>
            </w:r>
            <w:r>
              <w:rPr>
                <w:sz w:val="16"/>
              </w:rPr>
              <w:t>resource</w:t>
            </w:r>
            <w:r>
              <w:rPr>
                <w:spacing w:val="-7"/>
                <w:sz w:val="16"/>
              </w:rPr>
              <w:t> </w:t>
            </w:r>
            <w:r>
              <w:rPr>
                <w:spacing w:val="-2"/>
                <w:sz w:val="16"/>
              </w:rPr>
              <w:t>allocation</w:t>
            </w:r>
          </w:p>
          <w:p>
            <w:pPr>
              <w:pStyle w:val="TableParagraph"/>
              <w:numPr>
                <w:ilvl w:val="0"/>
                <w:numId w:val="74"/>
              </w:numPr>
              <w:tabs>
                <w:tab w:pos="202" w:val="left" w:leader="none"/>
              </w:tabs>
              <w:spacing w:line="183" w:lineRule="exact" w:before="0" w:after="0"/>
              <w:ind w:left="202" w:right="0" w:hanging="95"/>
              <w:jc w:val="left"/>
              <w:rPr>
                <w:sz w:val="16"/>
              </w:rPr>
            </w:pPr>
            <w:r>
              <w:rPr>
                <w:sz w:val="16"/>
              </w:rPr>
              <w:t>Enhance</w:t>
            </w:r>
            <w:r>
              <w:rPr>
                <w:spacing w:val="-6"/>
                <w:sz w:val="16"/>
              </w:rPr>
              <w:t> </w:t>
            </w:r>
            <w:r>
              <w:rPr>
                <w:spacing w:val="-4"/>
                <w:sz w:val="16"/>
              </w:rPr>
              <w:t>trust</w:t>
            </w:r>
          </w:p>
          <w:p>
            <w:pPr>
              <w:pStyle w:val="TableParagraph"/>
              <w:numPr>
                <w:ilvl w:val="0"/>
                <w:numId w:val="74"/>
              </w:numPr>
              <w:tabs>
                <w:tab w:pos="202" w:val="left" w:leader="none"/>
              </w:tabs>
              <w:spacing w:line="170" w:lineRule="exact" w:before="1" w:after="0"/>
              <w:ind w:left="202" w:right="0" w:hanging="95"/>
              <w:jc w:val="left"/>
              <w:rPr>
                <w:sz w:val="16"/>
              </w:rPr>
            </w:pPr>
            <w:r>
              <w:rPr>
                <w:sz w:val="16"/>
              </w:rPr>
              <w:t>Create</w:t>
            </w:r>
            <w:r>
              <w:rPr>
                <w:spacing w:val="-4"/>
                <w:sz w:val="16"/>
              </w:rPr>
              <w:t> </w:t>
            </w:r>
            <w:r>
              <w:rPr>
                <w:sz w:val="16"/>
              </w:rPr>
              <w:t>a</w:t>
            </w:r>
            <w:r>
              <w:rPr>
                <w:spacing w:val="-1"/>
                <w:sz w:val="16"/>
              </w:rPr>
              <w:t> </w:t>
            </w:r>
            <w:r>
              <w:rPr>
                <w:sz w:val="16"/>
              </w:rPr>
              <w:t>sense</w:t>
            </w:r>
            <w:r>
              <w:rPr>
                <w:spacing w:val="-4"/>
                <w:sz w:val="16"/>
              </w:rPr>
              <w:t> </w:t>
            </w:r>
            <w:r>
              <w:rPr>
                <w:sz w:val="16"/>
              </w:rPr>
              <w:t>of</w:t>
            </w:r>
            <w:r>
              <w:rPr>
                <w:spacing w:val="-2"/>
                <w:sz w:val="16"/>
              </w:rPr>
              <w:t> community</w:t>
            </w:r>
          </w:p>
        </w:tc>
      </w:tr>
    </w:tbl>
    <w:p>
      <w:pPr>
        <w:spacing w:before="85"/>
        <w:ind w:left="240" w:right="0" w:firstLine="0"/>
        <w:jc w:val="both"/>
        <w:rPr>
          <w:sz w:val="24"/>
        </w:rPr>
      </w:pPr>
      <w:r>
        <w:rPr>
          <w:b/>
          <w:sz w:val="24"/>
        </w:rPr>
        <w:t>Source:</w:t>
      </w:r>
      <w:r>
        <w:rPr>
          <w:b/>
          <w:spacing w:val="-2"/>
          <w:sz w:val="24"/>
        </w:rPr>
        <w:t> </w:t>
      </w:r>
      <w:r>
        <w:rPr>
          <w:sz w:val="24"/>
        </w:rPr>
        <w:t>Ebdon</w:t>
      </w:r>
      <w:r>
        <w:rPr>
          <w:spacing w:val="-1"/>
          <w:sz w:val="24"/>
        </w:rPr>
        <w:t> </w:t>
      </w:r>
      <w:r>
        <w:rPr>
          <w:sz w:val="24"/>
        </w:rPr>
        <w:t>and</w:t>
      </w:r>
      <w:r>
        <w:rPr>
          <w:spacing w:val="-1"/>
          <w:sz w:val="24"/>
        </w:rPr>
        <w:t> </w:t>
      </w:r>
      <w:r>
        <w:rPr>
          <w:sz w:val="24"/>
        </w:rPr>
        <w:t>Aimee</w:t>
      </w:r>
      <w:r>
        <w:rPr>
          <w:spacing w:val="-1"/>
          <w:sz w:val="24"/>
        </w:rPr>
        <w:t> </w:t>
      </w:r>
      <w:r>
        <w:rPr>
          <w:spacing w:val="-2"/>
          <w:sz w:val="24"/>
        </w:rPr>
        <w:t>(2006)</w:t>
      </w:r>
    </w:p>
    <w:p>
      <w:pPr>
        <w:spacing w:after="0"/>
        <w:jc w:val="both"/>
        <w:rPr>
          <w:sz w:val="24"/>
        </w:rPr>
        <w:sectPr>
          <w:pgSz w:w="12240" w:h="15840"/>
          <w:pgMar w:header="0" w:footer="1036" w:top="1360" w:bottom="1220" w:left="1200" w:right="600"/>
        </w:sectPr>
      </w:pPr>
    </w:p>
    <w:p>
      <w:pPr>
        <w:pStyle w:val="BodyText"/>
        <w:spacing w:before="166"/>
      </w:pPr>
    </w:p>
    <w:p>
      <w:pPr>
        <w:pStyle w:val="BodyText"/>
        <w:spacing w:line="360" w:lineRule="auto"/>
        <w:ind w:left="240" w:right="833"/>
        <w:jc w:val="both"/>
      </w:pPr>
      <w:r>
        <w:rPr/>
        <w:t>With respect to the relationship between environmental factors and citizen participation in budgeting: (i) the council-manager form of government (Local government – chairman, in the Nigerian parlance)</w:t>
      </w:r>
      <w:r>
        <w:rPr>
          <w:spacing w:val="80"/>
        </w:rPr>
        <w:t> </w:t>
      </w:r>
      <w:r>
        <w:rPr/>
        <w:t>appears to be more likely to encourage and solicit input; (ii) the city‘s political culture might condition perceptions (among politicians and citizens) about the need for participation;</w:t>
      </w:r>
      <w:r>
        <w:rPr>
          <w:spacing w:val="-2"/>
        </w:rPr>
        <w:t> </w:t>
      </w:r>
      <w:r>
        <w:rPr/>
        <w:t>(iii)</w:t>
      </w:r>
      <w:r>
        <w:rPr>
          <w:spacing w:val="-2"/>
        </w:rPr>
        <w:t> </w:t>
      </w:r>
      <w:r>
        <w:rPr/>
        <w:t>state</w:t>
      </w:r>
      <w:r>
        <w:rPr>
          <w:spacing w:val="-3"/>
        </w:rPr>
        <w:t> </w:t>
      </w:r>
      <w:r>
        <w:rPr/>
        <w:t>laws</w:t>
      </w:r>
      <w:r>
        <w:rPr>
          <w:spacing w:val="-2"/>
        </w:rPr>
        <w:t> </w:t>
      </w:r>
      <w:r>
        <w:rPr/>
        <w:t>often</w:t>
      </w:r>
      <w:r>
        <w:rPr>
          <w:spacing w:val="-2"/>
        </w:rPr>
        <w:t> </w:t>
      </w:r>
      <w:r>
        <w:rPr/>
        <w:t>dictate</w:t>
      </w:r>
      <w:r>
        <w:rPr>
          <w:spacing w:val="-1"/>
        </w:rPr>
        <w:t> </w:t>
      </w:r>
      <w:r>
        <w:rPr/>
        <w:t>what</w:t>
      </w:r>
      <w:r>
        <w:rPr>
          <w:spacing w:val="-2"/>
        </w:rPr>
        <w:t> </w:t>
      </w:r>
      <w:r>
        <w:rPr/>
        <w:t>cities</w:t>
      </w:r>
      <w:r>
        <w:rPr>
          <w:spacing w:val="-2"/>
        </w:rPr>
        <w:t> </w:t>
      </w:r>
      <w:r>
        <w:rPr/>
        <w:t>will</w:t>
      </w:r>
      <w:r>
        <w:rPr>
          <w:spacing w:val="-2"/>
        </w:rPr>
        <w:t> </w:t>
      </w:r>
      <w:r>
        <w:rPr/>
        <w:t>do;</w:t>
      </w:r>
      <w:r>
        <w:rPr>
          <w:spacing w:val="-2"/>
        </w:rPr>
        <w:t> </w:t>
      </w:r>
      <w:r>
        <w:rPr/>
        <w:t>and</w:t>
      </w:r>
      <w:r>
        <w:rPr>
          <w:spacing w:val="-2"/>
        </w:rPr>
        <w:t> </w:t>
      </w:r>
      <w:r>
        <w:rPr/>
        <w:t>(iv)</w:t>
      </w:r>
      <w:r>
        <w:rPr>
          <w:spacing w:val="-2"/>
        </w:rPr>
        <w:t> </w:t>
      </w:r>
      <w:r>
        <w:rPr/>
        <w:t>larger</w:t>
      </w:r>
      <w:r>
        <w:rPr>
          <w:spacing w:val="-1"/>
        </w:rPr>
        <w:t> </w:t>
      </w:r>
      <w:r>
        <w:rPr/>
        <w:t>cities</w:t>
      </w:r>
      <w:r>
        <w:rPr>
          <w:spacing w:val="-2"/>
        </w:rPr>
        <w:t> </w:t>
      </w:r>
      <w:r>
        <w:rPr/>
        <w:t>are</w:t>
      </w:r>
      <w:r>
        <w:rPr>
          <w:spacing w:val="-4"/>
        </w:rPr>
        <w:t> </w:t>
      </w:r>
      <w:r>
        <w:rPr/>
        <w:t>more</w:t>
      </w:r>
      <w:r>
        <w:rPr>
          <w:spacing w:val="-3"/>
        </w:rPr>
        <w:t> </w:t>
      </w:r>
      <w:r>
        <w:rPr/>
        <w:t>likely to formalize the participation process because heterogeneity creates demand for increased access (Ebdon, 2000). With respect to process design, the following variables are important to participatory design. The timing is critical: It should occur early, but often does not and input may</w:t>
      </w:r>
      <w:r>
        <w:rPr>
          <w:spacing w:val="-4"/>
        </w:rPr>
        <w:t> </w:t>
      </w:r>
      <w:r>
        <w:rPr/>
        <w:t>vary</w:t>
      </w:r>
      <w:r>
        <w:rPr>
          <w:spacing w:val="-4"/>
        </w:rPr>
        <w:t> </w:t>
      </w:r>
      <w:r>
        <w:rPr/>
        <w:t>by</w:t>
      </w:r>
      <w:r>
        <w:rPr>
          <w:spacing w:val="-4"/>
        </w:rPr>
        <w:t> </w:t>
      </w:r>
      <w:r>
        <w:rPr/>
        <w:t>the type of budget allocation being made. Care must be taken in soliciting</w:t>
      </w:r>
      <w:r>
        <w:rPr>
          <w:spacing w:val="-1"/>
        </w:rPr>
        <w:t> </w:t>
      </w:r>
      <w:r>
        <w:rPr/>
        <w:t>input that is both representative and collective rather than individually interested; input should be sincere</w:t>
      </w:r>
      <w:r>
        <w:rPr>
          <w:spacing w:val="80"/>
        </w:rPr>
        <w:t> </w:t>
      </w:r>
      <w:r>
        <w:rPr/>
        <w:t>or a true expression of willingness to pay (Ebdon and Aimee, 2004).</w:t>
      </w:r>
    </w:p>
    <w:p>
      <w:pPr>
        <w:pStyle w:val="BodyText"/>
        <w:spacing w:before="139"/>
      </w:pPr>
    </w:p>
    <w:p>
      <w:pPr>
        <w:pStyle w:val="BodyText"/>
        <w:spacing w:line="360" w:lineRule="auto"/>
        <w:ind w:left="240" w:right="837"/>
        <w:jc w:val="both"/>
      </w:pPr>
      <w:r>
        <w:rPr/>
        <w:t>In view of the mechanism variable, many mechanisms and combinations of mechanisms (as shown in table 3.19) have been tried, with mixed results. Research has shown the strengths and weaknesses of various input methods. Determination of the appropriate mechanism should be related to the participation goals. The mechanism chosen must have a direct relationship to the design elements (Ebdon, 2002). Budget participation goals may relate to ―high-road‖ purposes, such</w:t>
      </w:r>
      <w:r>
        <w:rPr>
          <w:spacing w:val="-6"/>
        </w:rPr>
        <w:t> </w:t>
      </w:r>
      <w:r>
        <w:rPr/>
        <w:t>as</w:t>
      </w:r>
      <w:r>
        <w:rPr>
          <w:spacing w:val="-4"/>
        </w:rPr>
        <w:t> </w:t>
      </w:r>
      <w:r>
        <w:rPr/>
        <w:t>enhancing</w:t>
      </w:r>
      <w:r>
        <w:rPr>
          <w:spacing w:val="-8"/>
        </w:rPr>
        <w:t> </w:t>
      </w:r>
      <w:r>
        <w:rPr/>
        <w:t>trust</w:t>
      </w:r>
      <w:r>
        <w:rPr>
          <w:spacing w:val="-6"/>
        </w:rPr>
        <w:t> </w:t>
      </w:r>
      <w:r>
        <w:rPr/>
        <w:t>or</w:t>
      </w:r>
      <w:r>
        <w:rPr>
          <w:spacing w:val="-6"/>
        </w:rPr>
        <w:t> </w:t>
      </w:r>
      <w:r>
        <w:rPr/>
        <w:t>creating</w:t>
      </w:r>
      <w:r>
        <w:rPr>
          <w:spacing w:val="-8"/>
        </w:rPr>
        <w:t> </w:t>
      </w:r>
      <w:r>
        <w:rPr/>
        <w:t>a</w:t>
      </w:r>
      <w:r>
        <w:rPr>
          <w:spacing w:val="-5"/>
        </w:rPr>
        <w:t> </w:t>
      </w:r>
      <w:r>
        <w:rPr/>
        <w:t>sense</w:t>
      </w:r>
      <w:r>
        <w:rPr>
          <w:spacing w:val="-5"/>
        </w:rPr>
        <w:t> </w:t>
      </w:r>
      <w:r>
        <w:rPr/>
        <w:t>of</w:t>
      </w:r>
      <w:r>
        <w:rPr>
          <w:spacing w:val="-5"/>
        </w:rPr>
        <w:t> </w:t>
      </w:r>
      <w:r>
        <w:rPr/>
        <w:t>community,</w:t>
      </w:r>
      <w:r>
        <w:rPr>
          <w:spacing w:val="-4"/>
        </w:rPr>
        <w:t> </w:t>
      </w:r>
      <w:r>
        <w:rPr/>
        <w:t>but</w:t>
      </w:r>
      <w:r>
        <w:rPr>
          <w:spacing w:val="-6"/>
        </w:rPr>
        <w:t> </w:t>
      </w:r>
      <w:r>
        <w:rPr/>
        <w:t>other</w:t>
      </w:r>
      <w:r>
        <w:rPr>
          <w:spacing w:val="-5"/>
        </w:rPr>
        <w:t> </w:t>
      </w:r>
      <w:r>
        <w:rPr/>
        <w:t>purposes</w:t>
      </w:r>
      <w:r>
        <w:rPr>
          <w:spacing w:val="-6"/>
        </w:rPr>
        <w:t> </w:t>
      </w:r>
      <w:r>
        <w:rPr/>
        <w:t>take</w:t>
      </w:r>
      <w:r>
        <w:rPr>
          <w:spacing w:val="-7"/>
        </w:rPr>
        <w:t> </w:t>
      </w:r>
      <w:r>
        <w:rPr/>
        <w:t>the</w:t>
      </w:r>
      <w:r>
        <w:rPr>
          <w:spacing w:val="-6"/>
        </w:rPr>
        <w:t> </w:t>
      </w:r>
      <w:r>
        <w:rPr/>
        <w:t>―low</w:t>
      </w:r>
      <w:r>
        <w:rPr>
          <w:spacing w:val="-4"/>
        </w:rPr>
        <w:t> </w:t>
      </w:r>
      <w:r>
        <w:rPr/>
        <w:t>road‖ such as education, gaining support, and influencing decisions. There is consensus that goals should be clearly articulated by the decision makers before the process begins (Simonsen and Robbins, 2000). Few studies have systematically</w:t>
      </w:r>
      <w:r>
        <w:rPr>
          <w:spacing w:val="-1"/>
        </w:rPr>
        <w:t> </w:t>
      </w:r>
      <w:r>
        <w:rPr/>
        <w:t>measured the outcomes of budget participation. However, citizens in cities with more participation are more likely to believe that agencies are responsive to their concerns and less cynical about the government.</w:t>
      </w:r>
    </w:p>
    <w:p>
      <w:pPr>
        <w:pStyle w:val="BodyText"/>
        <w:spacing w:before="140"/>
      </w:pPr>
    </w:p>
    <w:p>
      <w:pPr>
        <w:pStyle w:val="BodyText"/>
        <w:spacing w:line="360" w:lineRule="auto"/>
        <w:ind w:left="240" w:right="835"/>
        <w:jc w:val="both"/>
      </w:pPr>
      <w:r>
        <w:rPr/>
        <w:t>Using the above information, Ebdon and Aimee (2006) present an impact model of the citizen- participation process (</w:t>
      </w:r>
      <w:r>
        <w:rPr>
          <w:i/>
        </w:rPr>
        <w:t>see figure 3.11</w:t>
      </w:r>
      <w:r>
        <w:rPr/>
        <w:t>), that is important in developing and implementing citizen participation</w:t>
      </w:r>
      <w:r>
        <w:rPr>
          <w:spacing w:val="-2"/>
        </w:rPr>
        <w:t> </w:t>
      </w:r>
      <w:r>
        <w:rPr/>
        <w:t>in</w:t>
      </w:r>
      <w:r>
        <w:rPr>
          <w:spacing w:val="-2"/>
        </w:rPr>
        <w:t> </w:t>
      </w:r>
      <w:r>
        <w:rPr/>
        <w:t>the</w:t>
      </w:r>
      <w:r>
        <w:rPr>
          <w:spacing w:val="-3"/>
        </w:rPr>
        <w:t> </w:t>
      </w:r>
      <w:r>
        <w:rPr/>
        <w:t>public</w:t>
      </w:r>
      <w:r>
        <w:rPr>
          <w:spacing w:val="-3"/>
        </w:rPr>
        <w:t> </w:t>
      </w:r>
      <w:r>
        <w:rPr/>
        <w:t>budget</w:t>
      </w:r>
      <w:r>
        <w:rPr>
          <w:spacing w:val="-2"/>
        </w:rPr>
        <w:t> </w:t>
      </w:r>
      <w:r>
        <w:rPr/>
        <w:t>process.</w:t>
      </w:r>
      <w:r>
        <w:rPr>
          <w:spacing w:val="-2"/>
        </w:rPr>
        <w:t> </w:t>
      </w:r>
      <w:r>
        <w:rPr/>
        <w:t>This</w:t>
      </w:r>
      <w:r>
        <w:rPr>
          <w:spacing w:val="-2"/>
        </w:rPr>
        <w:t> </w:t>
      </w:r>
      <w:r>
        <w:rPr/>
        <w:t>logical</w:t>
      </w:r>
      <w:r>
        <w:rPr>
          <w:spacing w:val="-2"/>
        </w:rPr>
        <w:t> </w:t>
      </w:r>
      <w:r>
        <w:rPr/>
        <w:t>model</w:t>
      </w:r>
      <w:r>
        <w:rPr>
          <w:spacing w:val="-2"/>
        </w:rPr>
        <w:t> </w:t>
      </w:r>
      <w:r>
        <w:rPr/>
        <w:t>suggests</w:t>
      </w:r>
      <w:r>
        <w:rPr>
          <w:spacing w:val="-2"/>
        </w:rPr>
        <w:t> </w:t>
      </w:r>
      <w:r>
        <w:rPr/>
        <w:t>there</w:t>
      </w:r>
      <w:r>
        <w:rPr>
          <w:spacing w:val="-3"/>
        </w:rPr>
        <w:t> </w:t>
      </w:r>
      <w:r>
        <w:rPr/>
        <w:t>are</w:t>
      </w:r>
      <w:r>
        <w:rPr>
          <w:spacing w:val="-3"/>
        </w:rPr>
        <w:t> </w:t>
      </w:r>
      <w:r>
        <w:rPr/>
        <w:t>ways</w:t>
      </w:r>
      <w:r>
        <w:rPr>
          <w:spacing w:val="-2"/>
        </w:rPr>
        <w:t> </w:t>
      </w:r>
      <w:r>
        <w:rPr/>
        <w:t>to</w:t>
      </w:r>
      <w:r>
        <w:rPr>
          <w:spacing w:val="-2"/>
        </w:rPr>
        <w:t> </w:t>
      </w:r>
      <w:r>
        <w:rPr/>
        <w:t>structure participation</w:t>
      </w:r>
      <w:r>
        <w:rPr>
          <w:spacing w:val="25"/>
        </w:rPr>
        <w:t> </w:t>
      </w:r>
      <w:r>
        <w:rPr/>
        <w:t>inputs</w:t>
      </w:r>
      <w:r>
        <w:rPr>
          <w:spacing w:val="26"/>
        </w:rPr>
        <w:t> </w:t>
      </w:r>
      <w:r>
        <w:rPr/>
        <w:t>differently</w:t>
      </w:r>
      <w:r>
        <w:rPr>
          <w:spacing w:val="21"/>
        </w:rPr>
        <w:t> </w:t>
      </w:r>
      <w:r>
        <w:rPr/>
        <w:t>based</w:t>
      </w:r>
      <w:r>
        <w:rPr>
          <w:spacing w:val="26"/>
        </w:rPr>
        <w:t> </w:t>
      </w:r>
      <w:r>
        <w:rPr/>
        <w:t>on</w:t>
      </w:r>
      <w:r>
        <w:rPr>
          <w:spacing w:val="28"/>
        </w:rPr>
        <w:t> </w:t>
      </w:r>
      <w:r>
        <w:rPr/>
        <w:t>the</w:t>
      </w:r>
      <w:r>
        <w:rPr>
          <w:spacing w:val="25"/>
        </w:rPr>
        <w:t> </w:t>
      </w:r>
      <w:r>
        <w:rPr/>
        <w:t>level</w:t>
      </w:r>
      <w:r>
        <w:rPr>
          <w:spacing w:val="28"/>
        </w:rPr>
        <w:t> </w:t>
      </w:r>
      <w:r>
        <w:rPr/>
        <w:t>of</w:t>
      </w:r>
      <w:r>
        <w:rPr>
          <w:spacing w:val="24"/>
        </w:rPr>
        <w:t> </w:t>
      </w:r>
      <w:r>
        <w:rPr/>
        <w:t>outcomes</w:t>
      </w:r>
      <w:r>
        <w:rPr>
          <w:spacing w:val="26"/>
        </w:rPr>
        <w:t> </w:t>
      </w:r>
      <w:r>
        <w:rPr/>
        <w:t>desired</w:t>
      </w:r>
      <w:r>
        <w:rPr>
          <w:spacing w:val="28"/>
        </w:rPr>
        <w:t> </w:t>
      </w:r>
      <w:r>
        <w:rPr/>
        <w:t>and</w:t>
      </w:r>
      <w:r>
        <w:rPr>
          <w:spacing w:val="26"/>
        </w:rPr>
        <w:t> </w:t>
      </w:r>
      <w:r>
        <w:rPr/>
        <w:t>will</w:t>
      </w:r>
      <w:r>
        <w:rPr>
          <w:spacing w:val="26"/>
        </w:rPr>
        <w:t> </w:t>
      </w:r>
      <w:r>
        <w:rPr/>
        <w:t>be</w:t>
      </w:r>
      <w:r>
        <w:rPr>
          <w:spacing w:val="25"/>
        </w:rPr>
        <w:t> </w:t>
      </w:r>
      <w:r>
        <w:rPr/>
        <w:t>suitable</w:t>
      </w:r>
      <w:r>
        <w:rPr>
          <w:spacing w:val="25"/>
        </w:rPr>
        <w:t> </w:t>
      </w:r>
      <w:r>
        <w:rPr>
          <w:spacing w:val="-5"/>
        </w:rPr>
        <w:t>for</w:t>
      </w:r>
    </w:p>
    <w:p>
      <w:pPr>
        <w:spacing w:after="0" w:line="360" w:lineRule="auto"/>
        <w:jc w:val="both"/>
        <w:sectPr>
          <w:pgSz w:w="12240" w:h="15840"/>
          <w:pgMar w:header="0" w:footer="1036" w:top="1820" w:bottom="1220" w:left="1200" w:right="600"/>
        </w:sectPr>
      </w:pPr>
    </w:p>
    <w:p>
      <w:pPr>
        <w:pStyle w:val="BodyText"/>
        <w:spacing w:line="360" w:lineRule="auto" w:before="74"/>
        <w:ind w:left="240" w:right="840"/>
      </w:pPr>
      <w:r>
        <w:rPr/>
        <w:t>developing</w:t>
      </w:r>
      <w:r>
        <w:rPr>
          <w:spacing w:val="20"/>
        </w:rPr>
        <w:t> </w:t>
      </w:r>
      <w:r>
        <w:rPr/>
        <w:t>a</w:t>
      </w:r>
      <w:r>
        <w:rPr>
          <w:spacing w:val="19"/>
        </w:rPr>
        <w:t> </w:t>
      </w:r>
      <w:r>
        <w:rPr/>
        <w:t>housing budget</w:t>
      </w:r>
      <w:r>
        <w:rPr>
          <w:spacing w:val="21"/>
        </w:rPr>
        <w:t> </w:t>
      </w:r>
      <w:r>
        <w:rPr/>
        <w:t>model</w:t>
      </w:r>
      <w:r>
        <w:rPr>
          <w:spacing w:val="20"/>
        </w:rPr>
        <w:t> </w:t>
      </w:r>
      <w:r>
        <w:rPr/>
        <w:t>since</w:t>
      </w:r>
      <w:r>
        <w:rPr>
          <w:spacing w:val="21"/>
        </w:rPr>
        <w:t> </w:t>
      </w:r>
      <w:r>
        <w:rPr/>
        <w:t>citizens</w:t>
      </w:r>
      <w:r>
        <w:rPr>
          <w:spacing w:val="21"/>
        </w:rPr>
        <w:t> </w:t>
      </w:r>
      <w:r>
        <w:rPr/>
        <w:t>or</w:t>
      </w:r>
      <w:r>
        <w:rPr>
          <w:spacing w:val="20"/>
        </w:rPr>
        <w:t> </w:t>
      </w:r>
      <w:r>
        <w:rPr/>
        <w:t>end</w:t>
      </w:r>
      <w:r>
        <w:rPr>
          <w:spacing w:val="20"/>
        </w:rPr>
        <w:t> </w:t>
      </w:r>
      <w:r>
        <w:rPr/>
        <w:t>users</w:t>
      </w:r>
      <w:r>
        <w:rPr>
          <w:spacing w:val="21"/>
        </w:rPr>
        <w:t> </w:t>
      </w:r>
      <w:r>
        <w:rPr/>
        <w:t>must</w:t>
      </w:r>
      <w:r>
        <w:rPr>
          <w:spacing w:val="21"/>
        </w:rPr>
        <w:t> </w:t>
      </w:r>
      <w:r>
        <w:rPr/>
        <w:t>be</w:t>
      </w:r>
      <w:r>
        <w:rPr>
          <w:spacing w:val="19"/>
        </w:rPr>
        <w:t> </w:t>
      </w:r>
      <w:r>
        <w:rPr/>
        <w:t>reached</w:t>
      </w:r>
      <w:r>
        <w:rPr>
          <w:spacing w:val="20"/>
        </w:rPr>
        <w:t> </w:t>
      </w:r>
      <w:r>
        <w:rPr/>
        <w:t>to</w:t>
      </w:r>
      <w:r>
        <w:rPr>
          <w:spacing w:val="21"/>
        </w:rPr>
        <w:t> </w:t>
      </w:r>
      <w:r>
        <w:rPr/>
        <w:t>solicit</w:t>
      </w:r>
      <w:r>
        <w:rPr>
          <w:spacing w:val="21"/>
        </w:rPr>
        <w:t> </w:t>
      </w:r>
      <w:r>
        <w:rPr/>
        <w:t>their inputs, suggestions and preferences in order to a achieve successful and lasting</w:t>
      </w:r>
      <w:r>
        <w:rPr>
          <w:spacing w:val="-1"/>
        </w:rPr>
        <w:t> </w:t>
      </w:r>
      <w:r>
        <w:rPr/>
        <w:t>housing</w:t>
      </w:r>
      <w:r>
        <w:rPr>
          <w:spacing w:val="-1"/>
        </w:rPr>
        <w:t> </w:t>
      </w:r>
      <w:r>
        <w:rPr/>
        <w:t>delivery.</w:t>
      </w:r>
    </w:p>
    <w:p>
      <w:pPr>
        <w:pStyle w:val="BodyText"/>
        <w:spacing w:before="189"/>
        <w:rPr>
          <w:sz w:val="20"/>
        </w:rPr>
      </w:pPr>
    </w:p>
    <w:tbl>
      <w:tblPr>
        <w:tblW w:w="0" w:type="auto"/>
        <w:jc w:val="left"/>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1"/>
        <w:gridCol w:w="269"/>
        <w:gridCol w:w="1172"/>
        <w:gridCol w:w="269"/>
        <w:gridCol w:w="1712"/>
        <w:gridCol w:w="360"/>
        <w:gridCol w:w="160"/>
        <w:gridCol w:w="1370"/>
        <w:gridCol w:w="361"/>
        <w:gridCol w:w="1578"/>
      </w:tblGrid>
      <w:tr>
        <w:trPr>
          <w:trHeight w:val="311" w:hRule="atLeast"/>
        </w:trPr>
        <w:tc>
          <w:tcPr>
            <w:tcW w:w="3332" w:type="dxa"/>
            <w:gridSpan w:val="3"/>
            <w:tcBorders>
              <w:right w:val="nil"/>
            </w:tcBorders>
          </w:tcPr>
          <w:p>
            <w:pPr>
              <w:pStyle w:val="TableParagraph"/>
              <w:spacing w:before="2"/>
              <w:ind w:left="107"/>
              <w:rPr>
                <w:b/>
                <w:sz w:val="18"/>
              </w:rPr>
            </w:pPr>
            <w:r>
              <w:rPr>
                <w:b/>
                <w:sz w:val="18"/>
              </w:rPr>
              <w:t>Least</w:t>
            </w:r>
            <w:r>
              <w:rPr>
                <w:b/>
                <w:spacing w:val="-3"/>
                <w:sz w:val="18"/>
              </w:rPr>
              <w:t> </w:t>
            </w:r>
            <w:r>
              <w:rPr>
                <w:b/>
                <w:sz w:val="18"/>
              </w:rPr>
              <w:t>Supportive</w:t>
            </w:r>
            <w:r>
              <w:rPr>
                <w:b/>
                <w:spacing w:val="-3"/>
                <w:sz w:val="18"/>
              </w:rPr>
              <w:t> </w:t>
            </w:r>
            <w:r>
              <w:rPr>
                <w:b/>
                <w:sz w:val="18"/>
              </w:rPr>
              <w:t>of</w:t>
            </w:r>
            <w:r>
              <w:rPr>
                <w:b/>
                <w:spacing w:val="-2"/>
                <w:sz w:val="18"/>
              </w:rPr>
              <w:t> </w:t>
            </w:r>
            <w:r>
              <w:rPr>
                <w:b/>
                <w:sz w:val="18"/>
              </w:rPr>
              <w:t>Citizen</w:t>
            </w:r>
            <w:r>
              <w:rPr>
                <w:b/>
                <w:spacing w:val="-4"/>
                <w:sz w:val="18"/>
              </w:rPr>
              <w:t> </w:t>
            </w:r>
            <w:r>
              <w:rPr>
                <w:b/>
                <w:spacing w:val="-2"/>
                <w:sz w:val="18"/>
              </w:rPr>
              <w:t>Participation</w:t>
            </w:r>
          </w:p>
        </w:tc>
        <w:tc>
          <w:tcPr>
            <w:tcW w:w="2501" w:type="dxa"/>
            <w:gridSpan w:val="4"/>
            <w:tcBorders>
              <w:left w:val="nil"/>
              <w:right w:val="nil"/>
            </w:tcBorders>
          </w:tcPr>
          <w:p>
            <w:pPr>
              <w:pStyle w:val="TableParagraph"/>
              <w:rPr>
                <w:sz w:val="18"/>
              </w:rPr>
            </w:pPr>
          </w:p>
        </w:tc>
        <w:tc>
          <w:tcPr>
            <w:tcW w:w="3309" w:type="dxa"/>
            <w:gridSpan w:val="3"/>
            <w:tcBorders>
              <w:left w:val="nil"/>
            </w:tcBorders>
          </w:tcPr>
          <w:p>
            <w:pPr>
              <w:pStyle w:val="TableParagraph"/>
              <w:spacing w:before="2"/>
              <w:ind w:left="36"/>
              <w:rPr>
                <w:b/>
                <w:sz w:val="18"/>
              </w:rPr>
            </w:pPr>
            <w:r>
              <w:rPr>
                <w:b/>
                <w:sz w:val="18"/>
              </w:rPr>
              <w:t>Most</w:t>
            </w:r>
            <w:r>
              <w:rPr>
                <w:b/>
                <w:spacing w:val="-3"/>
                <w:sz w:val="18"/>
              </w:rPr>
              <w:t> </w:t>
            </w:r>
            <w:r>
              <w:rPr>
                <w:b/>
                <w:sz w:val="18"/>
              </w:rPr>
              <w:t>Supportive</w:t>
            </w:r>
            <w:r>
              <w:rPr>
                <w:b/>
                <w:spacing w:val="-3"/>
                <w:sz w:val="18"/>
              </w:rPr>
              <w:t> </w:t>
            </w:r>
            <w:r>
              <w:rPr>
                <w:b/>
                <w:sz w:val="18"/>
              </w:rPr>
              <w:t>of</w:t>
            </w:r>
            <w:r>
              <w:rPr>
                <w:b/>
                <w:spacing w:val="-2"/>
                <w:sz w:val="18"/>
              </w:rPr>
              <w:t> </w:t>
            </w:r>
            <w:r>
              <w:rPr>
                <w:b/>
                <w:sz w:val="18"/>
              </w:rPr>
              <w:t>Citizen</w:t>
            </w:r>
            <w:r>
              <w:rPr>
                <w:b/>
                <w:spacing w:val="11"/>
                <w:sz w:val="18"/>
              </w:rPr>
              <w:t> </w:t>
            </w:r>
            <w:r>
              <w:rPr>
                <w:b/>
                <w:spacing w:val="-2"/>
                <w:sz w:val="18"/>
              </w:rPr>
              <w:t>Participation</w:t>
            </w:r>
          </w:p>
        </w:tc>
      </w:tr>
      <w:tr>
        <w:trPr>
          <w:trHeight w:val="1046" w:hRule="atLeast"/>
        </w:trPr>
        <w:tc>
          <w:tcPr>
            <w:tcW w:w="3332" w:type="dxa"/>
            <w:gridSpan w:val="3"/>
            <w:tcBorders>
              <w:right w:val="nil"/>
            </w:tcBorders>
          </w:tcPr>
          <w:p>
            <w:pPr>
              <w:pStyle w:val="TableParagraph"/>
              <w:spacing w:line="158" w:lineRule="exact"/>
              <w:ind w:left="107"/>
              <w:rPr>
                <w:b/>
                <w:sz w:val="14"/>
              </w:rPr>
            </w:pPr>
            <w:r>
              <w:rPr>
                <w:b/>
                <w:sz w:val="14"/>
              </w:rPr>
              <w:t>I.</w:t>
            </w:r>
            <w:r>
              <w:rPr>
                <w:b/>
                <w:spacing w:val="-6"/>
                <w:sz w:val="14"/>
              </w:rPr>
              <w:t> </w:t>
            </w:r>
            <w:r>
              <w:rPr>
                <w:b/>
                <w:sz w:val="14"/>
              </w:rPr>
              <w:t>Environmental</w:t>
            </w:r>
            <w:r>
              <w:rPr>
                <w:b/>
                <w:spacing w:val="-7"/>
                <w:sz w:val="14"/>
              </w:rPr>
              <w:t> </w:t>
            </w:r>
            <w:r>
              <w:rPr>
                <w:b/>
                <w:spacing w:val="-2"/>
                <w:sz w:val="14"/>
              </w:rPr>
              <w:t>Variables:</w:t>
            </w:r>
          </w:p>
          <w:p>
            <w:pPr>
              <w:pStyle w:val="TableParagraph"/>
              <w:tabs>
                <w:tab w:pos="1521" w:val="left" w:leader="none"/>
              </w:tabs>
              <w:ind w:left="107" w:right="765"/>
              <w:rPr>
                <w:sz w:val="14"/>
              </w:rPr>
            </w:pPr>
            <w:r>
              <w:rPr>
                <w:i/>
                <w:sz w:val="14"/>
              </w:rPr>
              <w:t>Form of Government:</w:t>
            </w:r>
            <w:r>
              <w:rPr>
                <w:i/>
                <w:spacing w:val="80"/>
                <w:sz w:val="14"/>
              </w:rPr>
              <w:t> </w:t>
            </w:r>
            <w:r>
              <w:rPr>
                <w:sz w:val="14"/>
              </w:rPr>
              <w:t>Commission</w:t>
            </w:r>
            <w:r>
              <w:rPr>
                <w:spacing w:val="40"/>
                <w:sz w:val="14"/>
              </w:rPr>
              <w:t> </w:t>
            </w:r>
            <w:r>
              <w:rPr>
                <w:i/>
                <w:sz w:val="14"/>
              </w:rPr>
              <w:t>Political Culture :</w:t>
              <w:tab/>
            </w:r>
            <w:r>
              <w:rPr>
                <w:spacing w:val="-2"/>
                <w:sz w:val="14"/>
              </w:rPr>
              <w:t>Individualistic</w:t>
            </w:r>
            <w:r>
              <w:rPr>
                <w:spacing w:val="40"/>
                <w:sz w:val="14"/>
              </w:rPr>
              <w:t> </w:t>
            </w:r>
            <w:r>
              <w:rPr>
                <w:i/>
                <w:sz w:val="14"/>
              </w:rPr>
              <w:t>Legal</w:t>
            </w:r>
            <w:r>
              <w:rPr>
                <w:i/>
                <w:spacing w:val="-6"/>
                <w:sz w:val="14"/>
              </w:rPr>
              <w:t> </w:t>
            </w:r>
            <w:r>
              <w:rPr>
                <w:i/>
                <w:sz w:val="14"/>
              </w:rPr>
              <w:t>Requirements</w:t>
            </w:r>
            <w:r>
              <w:rPr>
                <w:i/>
                <w:spacing w:val="-5"/>
                <w:sz w:val="14"/>
              </w:rPr>
              <w:t> </w:t>
            </w:r>
            <w:r>
              <w:rPr>
                <w:i/>
                <w:sz w:val="14"/>
              </w:rPr>
              <w:t>:</w:t>
            </w:r>
            <w:r>
              <w:rPr>
                <w:i/>
                <w:spacing w:val="80"/>
                <w:w w:val="150"/>
                <w:sz w:val="14"/>
              </w:rPr>
              <w:t> </w:t>
            </w:r>
            <w:r>
              <w:rPr>
                <w:sz w:val="14"/>
              </w:rPr>
              <w:t>One</w:t>
            </w:r>
            <w:r>
              <w:rPr>
                <w:spacing w:val="-5"/>
                <w:sz w:val="14"/>
              </w:rPr>
              <w:t> </w:t>
            </w:r>
            <w:r>
              <w:rPr>
                <w:sz w:val="14"/>
              </w:rPr>
              <w:t>public</w:t>
            </w:r>
            <w:r>
              <w:rPr>
                <w:spacing w:val="-3"/>
                <w:sz w:val="14"/>
              </w:rPr>
              <w:t> </w:t>
            </w:r>
            <w:r>
              <w:rPr>
                <w:sz w:val="14"/>
              </w:rPr>
              <w:t>hearing</w:t>
            </w:r>
            <w:r>
              <w:rPr>
                <w:spacing w:val="40"/>
                <w:sz w:val="14"/>
              </w:rPr>
              <w:t> </w:t>
            </w:r>
            <w:r>
              <w:rPr>
                <w:i/>
                <w:sz w:val="14"/>
              </w:rPr>
              <w:t>Population Size :</w:t>
              <w:tab/>
            </w:r>
            <w:r>
              <w:rPr>
                <w:i/>
                <w:spacing w:val="-29"/>
                <w:sz w:val="14"/>
              </w:rPr>
              <w:t> </w:t>
            </w:r>
            <w:r>
              <w:rPr>
                <w:spacing w:val="-2"/>
                <w:sz w:val="14"/>
              </w:rPr>
              <w:t>Small</w:t>
            </w:r>
          </w:p>
          <w:p>
            <w:pPr>
              <w:pStyle w:val="TableParagraph"/>
              <w:spacing w:line="160" w:lineRule="exact"/>
              <w:ind w:left="107"/>
              <w:rPr>
                <w:sz w:val="14"/>
              </w:rPr>
            </w:pPr>
            <w:r>
              <w:rPr>
                <w:i/>
                <w:sz w:val="14"/>
              </w:rPr>
              <w:t>Population</w:t>
            </w:r>
            <w:r>
              <w:rPr>
                <w:i/>
                <w:spacing w:val="-5"/>
                <w:sz w:val="14"/>
              </w:rPr>
              <w:t> </w:t>
            </w:r>
            <w:r>
              <w:rPr>
                <w:i/>
                <w:sz w:val="14"/>
              </w:rPr>
              <w:t>Diversity</w:t>
            </w:r>
            <w:r>
              <w:rPr>
                <w:i/>
                <w:spacing w:val="-4"/>
                <w:sz w:val="14"/>
              </w:rPr>
              <w:t> </w:t>
            </w:r>
            <w:r>
              <w:rPr>
                <w:i/>
                <w:sz w:val="14"/>
              </w:rPr>
              <w:t>:</w:t>
            </w:r>
            <w:r>
              <w:rPr>
                <w:i/>
                <w:spacing w:val="-4"/>
                <w:sz w:val="14"/>
              </w:rPr>
              <w:t> </w:t>
            </w:r>
            <w:r>
              <w:rPr>
                <w:spacing w:val="-2"/>
                <w:sz w:val="14"/>
              </w:rPr>
              <w:t>Homogeneous</w:t>
            </w:r>
          </w:p>
        </w:tc>
        <w:tc>
          <w:tcPr>
            <w:tcW w:w="2501" w:type="dxa"/>
            <w:gridSpan w:val="4"/>
            <w:tcBorders>
              <w:left w:val="nil"/>
              <w:right w:val="nil"/>
            </w:tcBorders>
          </w:tcPr>
          <w:p>
            <w:pPr>
              <w:pStyle w:val="TableParagraph"/>
              <w:spacing w:before="157"/>
              <w:ind w:left="645" w:right="223"/>
              <w:rPr>
                <w:sz w:val="14"/>
              </w:rPr>
            </w:pPr>
            <w:r>
              <w:rPr>
                <w:spacing w:val="-2"/>
                <w:sz w:val="14"/>
              </w:rPr>
              <w:t>Mayor/Council</w:t>
            </w:r>
            <w:r>
              <w:rPr>
                <w:spacing w:val="40"/>
                <w:sz w:val="14"/>
              </w:rPr>
              <w:t> </w:t>
            </w:r>
            <w:r>
              <w:rPr>
                <w:spacing w:val="-2"/>
                <w:sz w:val="14"/>
              </w:rPr>
              <w:t>Traditionalistic</w:t>
            </w:r>
          </w:p>
          <w:p>
            <w:pPr>
              <w:pStyle w:val="TableParagraph"/>
              <w:ind w:left="659" w:firstLine="7"/>
              <w:rPr>
                <w:sz w:val="14"/>
              </w:rPr>
            </w:pPr>
            <w:r>
              <w:rPr>
                <w:sz w:val="14"/>
              </w:rPr>
              <w:t>Publication</w:t>
            </w:r>
            <w:r>
              <w:rPr>
                <w:spacing w:val="-9"/>
                <w:sz w:val="14"/>
              </w:rPr>
              <w:t> </w:t>
            </w:r>
            <w:r>
              <w:rPr>
                <w:sz w:val="14"/>
              </w:rPr>
              <w:t>of</w:t>
            </w:r>
            <w:r>
              <w:rPr>
                <w:spacing w:val="-9"/>
                <w:sz w:val="14"/>
              </w:rPr>
              <w:t> </w:t>
            </w:r>
            <w:r>
              <w:rPr>
                <w:sz w:val="14"/>
              </w:rPr>
              <w:t>Budget</w:t>
            </w:r>
            <w:r>
              <w:rPr>
                <w:spacing w:val="-9"/>
                <w:sz w:val="14"/>
              </w:rPr>
              <w:t> </w:t>
            </w:r>
            <w:r>
              <w:rPr>
                <w:sz w:val="14"/>
              </w:rPr>
              <w:t>Summary</w:t>
            </w:r>
            <w:r>
              <w:rPr>
                <w:spacing w:val="40"/>
                <w:sz w:val="14"/>
              </w:rPr>
              <w:t> </w:t>
            </w:r>
            <w:r>
              <w:rPr>
                <w:spacing w:val="-2"/>
                <w:sz w:val="14"/>
              </w:rPr>
              <w:t>Medium</w:t>
            </w:r>
          </w:p>
        </w:tc>
        <w:tc>
          <w:tcPr>
            <w:tcW w:w="3309" w:type="dxa"/>
            <w:gridSpan w:val="3"/>
            <w:tcBorders>
              <w:left w:val="nil"/>
            </w:tcBorders>
          </w:tcPr>
          <w:p>
            <w:pPr>
              <w:pStyle w:val="TableParagraph"/>
              <w:spacing w:before="157"/>
              <w:ind w:right="254"/>
              <w:jc w:val="right"/>
              <w:rPr>
                <w:sz w:val="14"/>
              </w:rPr>
            </w:pPr>
            <w:r>
              <w:rPr>
                <w:spacing w:val="-2"/>
                <w:sz w:val="14"/>
              </w:rPr>
              <w:t>Council/Manager</w:t>
            </w:r>
          </w:p>
          <w:p>
            <w:pPr>
              <w:pStyle w:val="TableParagraph"/>
              <w:ind w:left="1799" w:right="220" w:firstLine="696"/>
              <w:jc w:val="right"/>
              <w:rPr>
                <w:sz w:val="14"/>
              </w:rPr>
            </w:pPr>
            <w:r>
              <w:rPr>
                <w:spacing w:val="-2"/>
                <w:sz w:val="14"/>
              </w:rPr>
              <w:t>Moralistic</w:t>
            </w:r>
            <w:r>
              <w:rPr>
                <w:spacing w:val="40"/>
                <w:sz w:val="14"/>
              </w:rPr>
              <w:t> </w:t>
            </w:r>
            <w:r>
              <w:rPr>
                <w:spacing w:val="-2"/>
                <w:sz w:val="14"/>
              </w:rPr>
              <w:t>Multiple</w:t>
            </w:r>
            <w:r>
              <w:rPr>
                <w:spacing w:val="6"/>
                <w:sz w:val="14"/>
              </w:rPr>
              <w:t> </w:t>
            </w:r>
            <w:r>
              <w:rPr>
                <w:spacing w:val="-2"/>
                <w:sz w:val="14"/>
              </w:rPr>
              <w:t>Opportunities</w:t>
            </w:r>
          </w:p>
          <w:p>
            <w:pPr>
              <w:pStyle w:val="TableParagraph"/>
              <w:ind w:left="2294" w:right="175" w:firstLine="508"/>
              <w:rPr>
                <w:sz w:val="14"/>
              </w:rPr>
            </w:pPr>
            <w:r>
              <w:rPr>
                <w:spacing w:val="-4"/>
                <w:sz w:val="14"/>
              </w:rPr>
              <w:t>Large</w:t>
            </w:r>
            <w:r>
              <w:rPr>
                <w:spacing w:val="40"/>
                <w:sz w:val="14"/>
              </w:rPr>
              <w:t> </w:t>
            </w:r>
            <w:r>
              <w:rPr>
                <w:spacing w:val="-2"/>
                <w:sz w:val="14"/>
              </w:rPr>
              <w:t>Heterogenous</w:t>
            </w:r>
          </w:p>
        </w:tc>
      </w:tr>
      <w:tr>
        <w:trPr>
          <w:trHeight w:val="242" w:hRule="atLeast"/>
        </w:trPr>
        <w:tc>
          <w:tcPr>
            <w:tcW w:w="9142" w:type="dxa"/>
            <w:gridSpan w:val="10"/>
          </w:tcPr>
          <w:p>
            <w:pPr>
              <w:pStyle w:val="TableParagraph"/>
              <w:spacing w:line="157" w:lineRule="exact"/>
              <w:ind w:left="107"/>
              <w:rPr>
                <w:b/>
                <w:sz w:val="14"/>
              </w:rPr>
            </w:pPr>
            <w:r>
              <w:rPr>
                <w:b/>
                <w:sz w:val="14"/>
              </w:rPr>
              <w:t>II.</w:t>
            </w:r>
            <w:r>
              <w:rPr>
                <w:b/>
                <w:spacing w:val="-5"/>
                <w:sz w:val="14"/>
              </w:rPr>
              <w:t> </w:t>
            </w:r>
            <w:r>
              <w:rPr>
                <w:b/>
                <w:sz w:val="14"/>
              </w:rPr>
              <w:t>Process</w:t>
            </w:r>
            <w:r>
              <w:rPr>
                <w:b/>
                <w:spacing w:val="-3"/>
                <w:sz w:val="14"/>
              </w:rPr>
              <w:t> </w:t>
            </w:r>
            <w:r>
              <w:rPr>
                <w:b/>
                <w:sz w:val="14"/>
              </w:rPr>
              <w:t>Design</w:t>
            </w:r>
            <w:r>
              <w:rPr>
                <w:b/>
                <w:spacing w:val="-6"/>
                <w:sz w:val="14"/>
              </w:rPr>
              <w:t> </w:t>
            </w:r>
            <w:r>
              <w:rPr>
                <w:b/>
                <w:spacing w:val="-2"/>
                <w:sz w:val="14"/>
              </w:rPr>
              <w:t>Variables</w:t>
            </w:r>
          </w:p>
        </w:tc>
      </w:tr>
      <w:tr>
        <w:trPr>
          <w:trHeight w:val="1046" w:hRule="atLeast"/>
        </w:trPr>
        <w:tc>
          <w:tcPr>
            <w:tcW w:w="1891" w:type="dxa"/>
          </w:tcPr>
          <w:p>
            <w:pPr>
              <w:pStyle w:val="TableParagraph"/>
              <w:ind w:left="107" w:right="574"/>
              <w:rPr>
                <w:sz w:val="14"/>
              </w:rPr>
            </w:pPr>
            <w:r>
              <w:rPr>
                <w:i/>
                <w:sz w:val="14"/>
              </w:rPr>
              <w:t>Budget</w:t>
            </w:r>
            <w:r>
              <w:rPr>
                <w:i/>
                <w:spacing w:val="-9"/>
                <w:sz w:val="14"/>
              </w:rPr>
              <w:t> </w:t>
            </w:r>
            <w:r>
              <w:rPr>
                <w:i/>
                <w:sz w:val="14"/>
              </w:rPr>
              <w:t>Timing</w:t>
            </w:r>
            <w:r>
              <w:rPr>
                <w:sz w:val="14"/>
              </w:rPr>
              <w:t>:</w:t>
            </w:r>
            <w:r>
              <w:rPr>
                <w:spacing w:val="-9"/>
                <w:sz w:val="14"/>
              </w:rPr>
              <w:t> </w:t>
            </w:r>
            <w:r>
              <w:rPr>
                <w:sz w:val="14"/>
              </w:rPr>
              <w:t>Draft</w:t>
            </w:r>
            <w:r>
              <w:rPr>
                <w:spacing w:val="40"/>
                <w:sz w:val="14"/>
              </w:rPr>
              <w:t> </w:t>
            </w:r>
            <w:r>
              <w:rPr>
                <w:spacing w:val="-2"/>
                <w:sz w:val="14"/>
              </w:rPr>
              <w:t>introduced</w:t>
            </w:r>
          </w:p>
          <w:p>
            <w:pPr>
              <w:pStyle w:val="TableParagraph"/>
              <w:ind w:left="107" w:right="263"/>
              <w:rPr>
                <w:sz w:val="14"/>
              </w:rPr>
            </w:pPr>
            <w:r>
              <w:rPr>
                <w:i/>
                <w:sz w:val="14"/>
              </w:rPr>
              <w:t>Budget</w:t>
            </w:r>
            <w:r>
              <w:rPr>
                <w:i/>
                <w:spacing w:val="-9"/>
                <w:sz w:val="14"/>
              </w:rPr>
              <w:t> </w:t>
            </w:r>
            <w:r>
              <w:rPr>
                <w:i/>
                <w:sz w:val="14"/>
              </w:rPr>
              <w:t>Type</w:t>
            </w:r>
            <w:r>
              <w:rPr>
                <w:sz w:val="14"/>
              </w:rPr>
              <w:t>:</w:t>
            </w:r>
            <w:r>
              <w:rPr>
                <w:spacing w:val="-9"/>
                <w:sz w:val="14"/>
              </w:rPr>
              <w:t> </w:t>
            </w:r>
            <w:r>
              <w:rPr>
                <w:sz w:val="14"/>
              </w:rPr>
              <w:t>Program/line</w:t>
            </w:r>
            <w:r>
              <w:rPr>
                <w:spacing w:val="40"/>
                <w:sz w:val="14"/>
              </w:rPr>
              <w:t> </w:t>
            </w:r>
            <w:r>
              <w:rPr>
                <w:spacing w:val="-4"/>
                <w:sz w:val="14"/>
              </w:rPr>
              <w:t>item</w:t>
            </w:r>
          </w:p>
          <w:p>
            <w:pPr>
              <w:pStyle w:val="TableParagraph"/>
              <w:spacing w:line="160" w:lineRule="exact"/>
              <w:ind w:left="107"/>
              <w:rPr>
                <w:sz w:val="14"/>
              </w:rPr>
            </w:pPr>
            <w:r>
              <w:rPr>
                <w:i/>
                <w:spacing w:val="-2"/>
                <w:sz w:val="14"/>
              </w:rPr>
              <w:t>Participants</w:t>
            </w:r>
            <w:r>
              <w:rPr>
                <w:spacing w:val="-2"/>
                <w:sz w:val="14"/>
              </w:rPr>
              <w:t>:</w:t>
            </w:r>
            <w:r>
              <w:rPr>
                <w:spacing w:val="23"/>
                <w:sz w:val="14"/>
              </w:rPr>
              <w:t> </w:t>
            </w:r>
            <w:r>
              <w:rPr>
                <w:spacing w:val="-2"/>
                <w:sz w:val="14"/>
              </w:rPr>
              <w:t>Self-selected</w:t>
            </w:r>
          </w:p>
          <w:p>
            <w:pPr>
              <w:pStyle w:val="TableParagraph"/>
              <w:spacing w:line="160" w:lineRule="exact"/>
              <w:ind w:left="107"/>
              <w:rPr>
                <w:sz w:val="14"/>
              </w:rPr>
            </w:pPr>
            <w:r>
              <w:rPr>
                <w:i/>
                <w:sz w:val="14"/>
              </w:rPr>
              <w:t>Preferences</w:t>
            </w:r>
            <w:r>
              <w:rPr>
                <w:sz w:val="14"/>
              </w:rPr>
              <w:t>:</w:t>
            </w:r>
            <w:r>
              <w:rPr>
                <w:spacing w:val="-6"/>
                <w:sz w:val="14"/>
              </w:rPr>
              <w:t> </w:t>
            </w:r>
            <w:r>
              <w:rPr>
                <w:sz w:val="14"/>
              </w:rPr>
              <w:t>Not</w:t>
            </w:r>
            <w:r>
              <w:rPr>
                <w:spacing w:val="-2"/>
                <w:sz w:val="14"/>
              </w:rPr>
              <w:t> gathered</w:t>
            </w:r>
          </w:p>
        </w:tc>
        <w:tc>
          <w:tcPr>
            <w:tcW w:w="269" w:type="dxa"/>
          </w:tcPr>
          <w:p>
            <w:pPr>
              <w:pStyle w:val="TableParagraph"/>
              <w:spacing w:before="109"/>
              <w:rPr>
                <w:sz w:val="20"/>
              </w:rPr>
            </w:pPr>
          </w:p>
          <w:p>
            <w:pPr>
              <w:pStyle w:val="TableParagraph"/>
              <w:spacing w:line="150" w:lineRule="exact"/>
              <w:ind w:left="31" w:right="-15"/>
              <w:rPr>
                <w:sz w:val="15"/>
              </w:rPr>
            </w:pPr>
            <w:r>
              <w:rPr>
                <w:position w:val="-2"/>
                <w:sz w:val="15"/>
              </w:rPr>
              <w:drawing>
                <wp:inline distT="0" distB="0" distL="0" distR="0">
                  <wp:extent cx="121262" cy="95250"/>
                  <wp:effectExtent l="0" t="0" r="0" b="0"/>
                  <wp:docPr id="259" name="Image 259"/>
                  <wp:cNvGraphicFramePr>
                    <a:graphicFrameLocks/>
                  </wp:cNvGraphicFramePr>
                  <a:graphic>
                    <a:graphicData uri="http://schemas.openxmlformats.org/drawingml/2006/picture">
                      <pic:pic>
                        <pic:nvPicPr>
                          <pic:cNvPr id="259" name="Image 259"/>
                          <pic:cNvPicPr/>
                        </pic:nvPicPr>
                        <pic:blipFill>
                          <a:blip r:embed="rId96" cstate="print"/>
                          <a:stretch>
                            <a:fillRect/>
                          </a:stretch>
                        </pic:blipFill>
                        <pic:spPr>
                          <a:xfrm>
                            <a:off x="0" y="0"/>
                            <a:ext cx="121262" cy="95250"/>
                          </a:xfrm>
                          <a:prstGeom prst="rect">
                            <a:avLst/>
                          </a:prstGeom>
                        </pic:spPr>
                      </pic:pic>
                    </a:graphicData>
                  </a:graphic>
                </wp:inline>
              </w:drawing>
            </w:r>
            <w:r>
              <w:rPr>
                <w:position w:val="-2"/>
                <w:sz w:val="15"/>
              </w:rPr>
            </w:r>
          </w:p>
        </w:tc>
        <w:tc>
          <w:tcPr>
            <w:tcW w:w="1172" w:type="dxa"/>
          </w:tcPr>
          <w:p>
            <w:pPr>
              <w:pStyle w:val="TableParagraph"/>
              <w:spacing w:line="237" w:lineRule="auto"/>
              <w:ind w:left="107"/>
              <w:rPr>
                <w:sz w:val="14"/>
              </w:rPr>
            </w:pPr>
            <w:r>
              <w:rPr>
                <w:sz w:val="14"/>
              </w:rPr>
              <w:t>Limits</w:t>
            </w:r>
            <w:r>
              <w:rPr>
                <w:spacing w:val="-4"/>
                <w:sz w:val="14"/>
              </w:rPr>
              <w:t> </w:t>
            </w:r>
            <w:r>
              <w:rPr>
                <w:sz w:val="14"/>
              </w:rPr>
              <w:t>set</w:t>
            </w:r>
            <w:r>
              <w:rPr>
                <w:spacing w:val="40"/>
                <w:sz w:val="14"/>
              </w:rPr>
              <w:t> </w:t>
            </w:r>
            <w:r>
              <w:rPr>
                <w:sz w:val="14"/>
              </w:rPr>
              <w:t>Operating</w:t>
            </w:r>
            <w:r>
              <w:rPr>
                <w:spacing w:val="-6"/>
                <w:sz w:val="14"/>
              </w:rPr>
              <w:t> </w:t>
            </w:r>
            <w:r>
              <w:rPr>
                <w:sz w:val="14"/>
              </w:rPr>
              <w:t>level</w:t>
            </w:r>
            <w:r>
              <w:rPr>
                <w:spacing w:val="40"/>
                <w:sz w:val="14"/>
              </w:rPr>
              <w:t> </w:t>
            </w:r>
            <w:r>
              <w:rPr>
                <w:spacing w:val="-2"/>
                <w:sz w:val="14"/>
              </w:rPr>
              <w:t>Selective</w:t>
            </w:r>
            <w:r>
              <w:rPr>
                <w:spacing w:val="-7"/>
                <w:sz w:val="14"/>
              </w:rPr>
              <w:t> </w:t>
            </w:r>
            <w:r>
              <w:rPr>
                <w:spacing w:val="-2"/>
                <w:sz w:val="14"/>
              </w:rPr>
              <w:t>invited</w:t>
            </w:r>
            <w:r>
              <w:rPr>
                <w:spacing w:val="40"/>
                <w:sz w:val="14"/>
              </w:rPr>
              <w:t> </w:t>
            </w:r>
            <w:r>
              <w:rPr>
                <w:sz w:val="14"/>
              </w:rPr>
              <w:t>Not</w:t>
            </w:r>
            <w:r>
              <w:rPr>
                <w:spacing w:val="-6"/>
                <w:sz w:val="14"/>
              </w:rPr>
              <w:t> </w:t>
            </w:r>
            <w:r>
              <w:rPr>
                <w:sz w:val="14"/>
              </w:rPr>
              <w:t>ranked</w:t>
            </w:r>
          </w:p>
        </w:tc>
        <w:tc>
          <w:tcPr>
            <w:tcW w:w="269" w:type="dxa"/>
          </w:tcPr>
          <w:p>
            <w:pPr>
              <w:pStyle w:val="TableParagraph"/>
              <w:spacing w:before="121"/>
              <w:rPr>
                <w:sz w:val="20"/>
              </w:rPr>
            </w:pPr>
          </w:p>
          <w:p>
            <w:pPr>
              <w:pStyle w:val="TableParagraph"/>
              <w:spacing w:line="150" w:lineRule="exact"/>
              <w:ind w:left="17"/>
              <w:rPr>
                <w:sz w:val="15"/>
              </w:rPr>
            </w:pPr>
            <w:r>
              <w:rPr>
                <w:position w:val="-2"/>
                <w:sz w:val="15"/>
              </w:rPr>
              <w:drawing>
                <wp:inline distT="0" distB="0" distL="0" distR="0">
                  <wp:extent cx="118744" cy="95250"/>
                  <wp:effectExtent l="0" t="0" r="0" b="0"/>
                  <wp:docPr id="260" name="Image 260"/>
                  <wp:cNvGraphicFramePr>
                    <a:graphicFrameLocks/>
                  </wp:cNvGraphicFramePr>
                  <a:graphic>
                    <a:graphicData uri="http://schemas.openxmlformats.org/drawingml/2006/picture">
                      <pic:pic>
                        <pic:nvPicPr>
                          <pic:cNvPr id="260" name="Image 260"/>
                          <pic:cNvPicPr/>
                        </pic:nvPicPr>
                        <pic:blipFill>
                          <a:blip r:embed="rId97" cstate="print"/>
                          <a:stretch>
                            <a:fillRect/>
                          </a:stretch>
                        </pic:blipFill>
                        <pic:spPr>
                          <a:xfrm>
                            <a:off x="0" y="0"/>
                            <a:ext cx="118744" cy="95250"/>
                          </a:xfrm>
                          <a:prstGeom prst="rect">
                            <a:avLst/>
                          </a:prstGeom>
                        </pic:spPr>
                      </pic:pic>
                    </a:graphicData>
                  </a:graphic>
                </wp:inline>
              </w:drawing>
            </w:r>
            <w:r>
              <w:rPr>
                <w:position w:val="-2"/>
                <w:sz w:val="15"/>
              </w:rPr>
            </w:r>
          </w:p>
        </w:tc>
        <w:tc>
          <w:tcPr>
            <w:tcW w:w="1712" w:type="dxa"/>
          </w:tcPr>
          <w:p>
            <w:pPr>
              <w:pStyle w:val="TableParagraph"/>
              <w:ind w:left="107" w:right="327"/>
              <w:rPr>
                <w:sz w:val="14"/>
              </w:rPr>
            </w:pPr>
            <w:r>
              <w:rPr>
                <w:spacing w:val="-2"/>
                <w:sz w:val="14"/>
              </w:rPr>
              <w:t>Deliberations</w:t>
            </w:r>
            <w:r>
              <w:rPr>
                <w:spacing w:val="40"/>
                <w:sz w:val="14"/>
              </w:rPr>
              <w:t> </w:t>
            </w:r>
            <w:r>
              <w:rPr>
                <w:sz w:val="14"/>
              </w:rPr>
              <w:t>Operating</w:t>
            </w:r>
            <w:r>
              <w:rPr>
                <w:spacing w:val="-9"/>
                <w:sz w:val="14"/>
              </w:rPr>
              <w:t> </w:t>
            </w:r>
            <w:r>
              <w:rPr>
                <w:sz w:val="14"/>
              </w:rPr>
              <w:t>+</w:t>
            </w:r>
            <w:r>
              <w:rPr>
                <w:spacing w:val="-9"/>
                <w:sz w:val="14"/>
              </w:rPr>
              <w:t> </w:t>
            </w:r>
            <w:r>
              <w:rPr>
                <w:sz w:val="14"/>
              </w:rPr>
              <w:t>capital</w:t>
            </w:r>
          </w:p>
          <w:p>
            <w:pPr>
              <w:pStyle w:val="TableParagraph"/>
              <w:spacing w:line="235" w:lineRule="auto"/>
              <w:ind w:left="107"/>
              <w:rPr>
                <w:sz w:val="14"/>
              </w:rPr>
            </w:pPr>
            <w:r>
              <w:rPr>
                <w:spacing w:val="-2"/>
                <w:sz w:val="14"/>
              </w:rPr>
              <w:t>Open, </w:t>
            </w:r>
            <w:r>
              <w:rPr>
                <w:spacing w:val="-2"/>
                <w:sz w:val="14"/>
              </w:rPr>
              <w:t>non-representative</w:t>
            </w:r>
            <w:r>
              <w:rPr>
                <w:spacing w:val="40"/>
                <w:sz w:val="14"/>
              </w:rPr>
              <w:t> </w:t>
            </w:r>
            <w:r>
              <w:rPr>
                <w:spacing w:val="-2"/>
                <w:sz w:val="14"/>
              </w:rPr>
              <w:t>Ranked</w:t>
            </w:r>
          </w:p>
        </w:tc>
        <w:tc>
          <w:tcPr>
            <w:tcW w:w="360" w:type="dxa"/>
          </w:tcPr>
          <w:p>
            <w:pPr>
              <w:pStyle w:val="TableParagraph"/>
              <w:spacing w:before="122"/>
              <w:rPr>
                <w:sz w:val="20"/>
              </w:rPr>
            </w:pPr>
          </w:p>
          <w:p>
            <w:pPr>
              <w:pStyle w:val="TableParagraph"/>
              <w:spacing w:line="150" w:lineRule="exact"/>
              <w:ind w:left="102"/>
              <w:rPr>
                <w:sz w:val="15"/>
              </w:rPr>
            </w:pPr>
            <w:r>
              <w:rPr>
                <w:position w:val="-2"/>
                <w:sz w:val="15"/>
              </w:rPr>
              <w:drawing>
                <wp:inline distT="0" distB="0" distL="0" distR="0">
                  <wp:extent cx="118744" cy="95250"/>
                  <wp:effectExtent l="0" t="0" r="0" b="0"/>
                  <wp:docPr id="261" name="Image 261"/>
                  <wp:cNvGraphicFramePr>
                    <a:graphicFrameLocks/>
                  </wp:cNvGraphicFramePr>
                  <a:graphic>
                    <a:graphicData uri="http://schemas.openxmlformats.org/drawingml/2006/picture">
                      <pic:pic>
                        <pic:nvPicPr>
                          <pic:cNvPr id="261" name="Image 261"/>
                          <pic:cNvPicPr/>
                        </pic:nvPicPr>
                        <pic:blipFill>
                          <a:blip r:embed="rId97" cstate="print"/>
                          <a:stretch>
                            <a:fillRect/>
                          </a:stretch>
                        </pic:blipFill>
                        <pic:spPr>
                          <a:xfrm>
                            <a:off x="0" y="0"/>
                            <a:ext cx="118744" cy="95250"/>
                          </a:xfrm>
                          <a:prstGeom prst="rect">
                            <a:avLst/>
                          </a:prstGeom>
                        </pic:spPr>
                      </pic:pic>
                    </a:graphicData>
                  </a:graphic>
                </wp:inline>
              </w:drawing>
            </w:r>
            <w:r>
              <w:rPr>
                <w:position w:val="-2"/>
                <w:sz w:val="15"/>
              </w:rPr>
            </w:r>
          </w:p>
        </w:tc>
        <w:tc>
          <w:tcPr>
            <w:tcW w:w="1530" w:type="dxa"/>
            <w:gridSpan w:val="2"/>
          </w:tcPr>
          <w:p>
            <w:pPr>
              <w:pStyle w:val="TableParagraph"/>
              <w:spacing w:line="237" w:lineRule="auto"/>
              <w:ind w:left="104" w:right="111"/>
              <w:rPr>
                <w:sz w:val="14"/>
              </w:rPr>
            </w:pPr>
            <w:r>
              <w:rPr>
                <w:spacing w:val="-2"/>
                <w:sz w:val="14"/>
              </w:rPr>
              <w:t>Development</w:t>
            </w:r>
            <w:r>
              <w:rPr>
                <w:spacing w:val="40"/>
                <w:sz w:val="14"/>
              </w:rPr>
              <w:t> </w:t>
            </w:r>
            <w:r>
              <w:rPr>
                <w:spacing w:val="-2"/>
                <w:sz w:val="14"/>
              </w:rPr>
              <w:t>Comprehensive</w:t>
            </w:r>
            <w:r>
              <w:rPr>
                <w:spacing w:val="40"/>
                <w:sz w:val="14"/>
              </w:rPr>
              <w:t> </w:t>
            </w:r>
            <w:r>
              <w:rPr>
                <w:spacing w:val="-2"/>
                <w:sz w:val="14"/>
              </w:rPr>
              <w:t>Representative</w:t>
            </w:r>
            <w:r>
              <w:rPr>
                <w:spacing w:val="40"/>
                <w:sz w:val="14"/>
              </w:rPr>
              <w:t> </w:t>
            </w:r>
            <w:r>
              <w:rPr>
                <w:spacing w:val="-2"/>
                <w:sz w:val="14"/>
              </w:rPr>
              <w:t>Measures</w:t>
            </w:r>
            <w:r>
              <w:rPr>
                <w:spacing w:val="-7"/>
                <w:sz w:val="14"/>
              </w:rPr>
              <w:t> </w:t>
            </w:r>
            <w:r>
              <w:rPr>
                <w:spacing w:val="-2"/>
                <w:sz w:val="14"/>
              </w:rPr>
              <w:t>sincere</w:t>
            </w:r>
          </w:p>
        </w:tc>
        <w:tc>
          <w:tcPr>
            <w:tcW w:w="361" w:type="dxa"/>
          </w:tcPr>
          <w:p>
            <w:pPr>
              <w:pStyle w:val="TableParagraph"/>
              <w:spacing w:before="121"/>
              <w:rPr>
                <w:sz w:val="20"/>
              </w:rPr>
            </w:pPr>
          </w:p>
          <w:p>
            <w:pPr>
              <w:pStyle w:val="TableParagraph"/>
              <w:spacing w:line="150" w:lineRule="exact"/>
              <w:ind w:left="43"/>
              <w:rPr>
                <w:sz w:val="15"/>
              </w:rPr>
            </w:pPr>
            <w:r>
              <w:rPr>
                <w:position w:val="-2"/>
                <w:sz w:val="15"/>
              </w:rPr>
              <w:drawing>
                <wp:inline distT="0" distB="0" distL="0" distR="0">
                  <wp:extent cx="128904" cy="95250"/>
                  <wp:effectExtent l="0" t="0" r="0" b="0"/>
                  <wp:docPr id="262" name="Image 262"/>
                  <wp:cNvGraphicFramePr>
                    <a:graphicFrameLocks/>
                  </wp:cNvGraphicFramePr>
                  <a:graphic>
                    <a:graphicData uri="http://schemas.openxmlformats.org/drawingml/2006/picture">
                      <pic:pic>
                        <pic:nvPicPr>
                          <pic:cNvPr id="262" name="Image 262"/>
                          <pic:cNvPicPr/>
                        </pic:nvPicPr>
                        <pic:blipFill>
                          <a:blip r:embed="rId98" cstate="print"/>
                          <a:stretch>
                            <a:fillRect/>
                          </a:stretch>
                        </pic:blipFill>
                        <pic:spPr>
                          <a:xfrm>
                            <a:off x="0" y="0"/>
                            <a:ext cx="128904" cy="95250"/>
                          </a:xfrm>
                          <a:prstGeom prst="rect">
                            <a:avLst/>
                          </a:prstGeom>
                        </pic:spPr>
                      </pic:pic>
                    </a:graphicData>
                  </a:graphic>
                </wp:inline>
              </w:drawing>
            </w:r>
            <w:r>
              <w:rPr>
                <w:position w:val="-2"/>
                <w:sz w:val="15"/>
              </w:rPr>
            </w:r>
          </w:p>
        </w:tc>
        <w:tc>
          <w:tcPr>
            <w:tcW w:w="1578" w:type="dxa"/>
          </w:tcPr>
          <w:p>
            <w:pPr>
              <w:pStyle w:val="TableParagraph"/>
              <w:spacing w:line="237" w:lineRule="auto"/>
              <w:ind w:left="105" w:right="98"/>
              <w:rPr>
                <w:sz w:val="14"/>
              </w:rPr>
            </w:pPr>
            <w:r>
              <w:rPr>
                <w:sz w:val="14"/>
              </w:rPr>
              <w:t>Strategic</w:t>
            </w:r>
            <w:r>
              <w:rPr>
                <w:spacing w:val="-9"/>
                <w:sz w:val="14"/>
              </w:rPr>
              <w:t> </w:t>
            </w:r>
            <w:r>
              <w:rPr>
                <w:sz w:val="14"/>
              </w:rPr>
              <w:t>Planning</w:t>
            </w:r>
            <w:r>
              <w:rPr>
                <w:spacing w:val="12"/>
                <w:sz w:val="14"/>
              </w:rPr>
              <w:t> </w:t>
            </w:r>
            <w:r>
              <w:rPr>
                <w:sz w:val="14"/>
              </w:rPr>
              <w:t>first</w:t>
            </w:r>
            <w:r>
              <w:rPr>
                <w:spacing w:val="40"/>
                <w:sz w:val="14"/>
              </w:rPr>
              <w:t> </w:t>
            </w:r>
            <w:r>
              <w:rPr>
                <w:sz w:val="14"/>
              </w:rPr>
              <w:t>Linked to Planning</w:t>
            </w:r>
            <w:r>
              <w:rPr>
                <w:spacing w:val="40"/>
                <w:sz w:val="14"/>
              </w:rPr>
              <w:t> </w:t>
            </w:r>
            <w:r>
              <w:rPr>
                <w:sz w:val="14"/>
              </w:rPr>
              <w:t>Multiple</w:t>
            </w:r>
            <w:r>
              <w:rPr>
                <w:spacing w:val="-4"/>
                <w:sz w:val="14"/>
              </w:rPr>
              <w:t> </w:t>
            </w:r>
            <w:r>
              <w:rPr>
                <w:sz w:val="14"/>
              </w:rPr>
              <w:t>events</w:t>
            </w:r>
            <w:r>
              <w:rPr>
                <w:spacing w:val="40"/>
                <w:sz w:val="14"/>
              </w:rPr>
              <w:t> </w:t>
            </w:r>
            <w:r>
              <w:rPr>
                <w:sz w:val="14"/>
              </w:rPr>
              <w:t>Citywide</w:t>
            </w:r>
            <w:r>
              <w:rPr>
                <w:spacing w:val="-4"/>
                <w:sz w:val="14"/>
              </w:rPr>
              <w:t> </w:t>
            </w:r>
            <w:r>
              <w:rPr>
                <w:sz w:val="14"/>
              </w:rPr>
              <w:t>survey</w:t>
            </w:r>
          </w:p>
        </w:tc>
      </w:tr>
      <w:tr>
        <w:trPr>
          <w:trHeight w:val="645" w:hRule="atLeast"/>
        </w:trPr>
        <w:tc>
          <w:tcPr>
            <w:tcW w:w="1891" w:type="dxa"/>
          </w:tcPr>
          <w:p>
            <w:pPr>
              <w:pStyle w:val="TableParagraph"/>
              <w:spacing w:line="157" w:lineRule="exact"/>
              <w:ind w:left="107"/>
              <w:rPr>
                <w:b/>
                <w:sz w:val="14"/>
              </w:rPr>
            </w:pPr>
            <w:r>
              <w:rPr>
                <w:b/>
                <w:sz w:val="14"/>
              </w:rPr>
              <w:t>III:</w:t>
            </w:r>
            <w:r>
              <w:rPr>
                <w:b/>
                <w:spacing w:val="-6"/>
                <w:sz w:val="14"/>
              </w:rPr>
              <w:t> </w:t>
            </w:r>
            <w:r>
              <w:rPr>
                <w:b/>
                <w:spacing w:val="-2"/>
                <w:sz w:val="14"/>
              </w:rPr>
              <w:t>Mechanisms:</w:t>
            </w:r>
          </w:p>
          <w:p>
            <w:pPr>
              <w:pStyle w:val="TableParagraph"/>
              <w:spacing w:line="158" w:lineRule="exact"/>
              <w:ind w:left="107"/>
              <w:rPr>
                <w:sz w:val="14"/>
              </w:rPr>
            </w:pPr>
            <w:r>
              <w:rPr>
                <w:sz w:val="14"/>
              </w:rPr>
              <w:t>Open</w:t>
            </w:r>
            <w:r>
              <w:rPr>
                <w:spacing w:val="-5"/>
                <w:sz w:val="14"/>
              </w:rPr>
              <w:t> </w:t>
            </w:r>
            <w:r>
              <w:rPr>
                <w:sz w:val="14"/>
              </w:rPr>
              <w:t>records</w:t>
            </w:r>
            <w:r>
              <w:rPr>
                <w:spacing w:val="-2"/>
                <w:sz w:val="14"/>
              </w:rPr>
              <w:t> </w:t>
            </w:r>
            <w:r>
              <w:rPr>
                <w:sz w:val="14"/>
              </w:rPr>
              <w:t>+</w:t>
            </w:r>
            <w:r>
              <w:rPr>
                <w:spacing w:val="-1"/>
                <w:sz w:val="14"/>
              </w:rPr>
              <w:t> </w:t>
            </w:r>
            <w:r>
              <w:rPr>
                <w:spacing w:val="-2"/>
                <w:sz w:val="14"/>
              </w:rPr>
              <w:t>Public</w:t>
            </w:r>
          </w:p>
          <w:p>
            <w:pPr>
              <w:pStyle w:val="TableParagraph"/>
              <w:spacing w:before="81"/>
              <w:ind w:left="107"/>
              <w:rPr>
                <w:sz w:val="14"/>
              </w:rPr>
            </w:pPr>
            <w:r>
              <w:rPr>
                <w:spacing w:val="-2"/>
                <w:sz w:val="14"/>
              </w:rPr>
              <w:t>meetings</w:t>
            </w:r>
          </w:p>
        </w:tc>
        <w:tc>
          <w:tcPr>
            <w:tcW w:w="269" w:type="dxa"/>
          </w:tcPr>
          <w:p>
            <w:pPr>
              <w:pStyle w:val="TableParagraph"/>
              <w:rPr>
                <w:sz w:val="18"/>
              </w:rPr>
            </w:pPr>
          </w:p>
        </w:tc>
        <w:tc>
          <w:tcPr>
            <w:tcW w:w="1172" w:type="dxa"/>
          </w:tcPr>
          <w:p>
            <w:pPr>
              <w:pStyle w:val="TableParagraph"/>
              <w:spacing w:line="155" w:lineRule="exact"/>
              <w:ind w:left="107"/>
              <w:rPr>
                <w:sz w:val="14"/>
              </w:rPr>
            </w:pPr>
            <w:r>
              <w:rPr>
                <w:sz w:val="14"/>
              </w:rPr>
              <w:t>Focus</w:t>
            </w:r>
            <w:r>
              <w:rPr>
                <w:spacing w:val="-5"/>
                <w:sz w:val="14"/>
              </w:rPr>
              <w:t> </w:t>
            </w:r>
            <w:r>
              <w:rPr>
                <w:spacing w:val="-2"/>
                <w:sz w:val="14"/>
              </w:rPr>
              <w:t>group</w:t>
            </w:r>
          </w:p>
        </w:tc>
        <w:tc>
          <w:tcPr>
            <w:tcW w:w="269" w:type="dxa"/>
          </w:tcPr>
          <w:p>
            <w:pPr>
              <w:pStyle w:val="TableParagraph"/>
              <w:rPr>
                <w:sz w:val="18"/>
              </w:rPr>
            </w:pPr>
          </w:p>
        </w:tc>
        <w:tc>
          <w:tcPr>
            <w:tcW w:w="1712" w:type="dxa"/>
          </w:tcPr>
          <w:p>
            <w:pPr>
              <w:pStyle w:val="TableParagraph"/>
              <w:spacing w:line="155" w:lineRule="exact"/>
              <w:ind w:left="107"/>
              <w:rPr>
                <w:sz w:val="14"/>
              </w:rPr>
            </w:pPr>
            <w:r>
              <w:rPr>
                <w:spacing w:val="-2"/>
                <w:sz w:val="14"/>
              </w:rPr>
              <w:t>Simulations</w:t>
            </w:r>
          </w:p>
        </w:tc>
        <w:tc>
          <w:tcPr>
            <w:tcW w:w="360" w:type="dxa"/>
          </w:tcPr>
          <w:p>
            <w:pPr>
              <w:pStyle w:val="TableParagraph"/>
              <w:rPr>
                <w:sz w:val="18"/>
              </w:rPr>
            </w:pPr>
          </w:p>
        </w:tc>
        <w:tc>
          <w:tcPr>
            <w:tcW w:w="1530" w:type="dxa"/>
            <w:gridSpan w:val="2"/>
          </w:tcPr>
          <w:p>
            <w:pPr>
              <w:pStyle w:val="TableParagraph"/>
              <w:spacing w:line="155" w:lineRule="exact"/>
              <w:ind w:left="104"/>
              <w:rPr>
                <w:sz w:val="14"/>
              </w:rPr>
            </w:pPr>
            <w:r>
              <w:rPr>
                <w:sz w:val="14"/>
              </w:rPr>
              <w:t>Advisory</w:t>
            </w:r>
            <w:r>
              <w:rPr>
                <w:spacing w:val="-8"/>
                <w:sz w:val="14"/>
              </w:rPr>
              <w:t> </w:t>
            </w:r>
            <w:r>
              <w:rPr>
                <w:spacing w:val="-2"/>
                <w:sz w:val="14"/>
              </w:rPr>
              <w:t>Committee</w:t>
            </w:r>
          </w:p>
        </w:tc>
        <w:tc>
          <w:tcPr>
            <w:tcW w:w="361" w:type="dxa"/>
          </w:tcPr>
          <w:p>
            <w:pPr>
              <w:pStyle w:val="TableParagraph"/>
              <w:rPr>
                <w:sz w:val="18"/>
              </w:rPr>
            </w:pPr>
          </w:p>
        </w:tc>
        <w:tc>
          <w:tcPr>
            <w:tcW w:w="1578" w:type="dxa"/>
          </w:tcPr>
          <w:p>
            <w:pPr>
              <w:pStyle w:val="TableParagraph"/>
              <w:spacing w:line="155" w:lineRule="exact"/>
              <w:ind w:left="105"/>
              <w:rPr>
                <w:sz w:val="14"/>
              </w:rPr>
            </w:pPr>
            <w:r>
              <w:rPr>
                <w:sz w:val="14"/>
              </w:rPr>
              <w:t>Multiple</w:t>
            </w:r>
            <w:r>
              <w:rPr>
                <w:spacing w:val="-8"/>
                <w:sz w:val="14"/>
              </w:rPr>
              <w:t> </w:t>
            </w:r>
            <w:r>
              <w:rPr>
                <w:spacing w:val="-2"/>
                <w:sz w:val="14"/>
              </w:rPr>
              <w:t>types</w:t>
            </w:r>
          </w:p>
        </w:tc>
      </w:tr>
      <w:tr>
        <w:trPr>
          <w:trHeight w:val="412" w:hRule="atLeast"/>
        </w:trPr>
        <w:tc>
          <w:tcPr>
            <w:tcW w:w="1891" w:type="dxa"/>
          </w:tcPr>
          <w:p>
            <w:pPr>
              <w:pStyle w:val="TableParagraph"/>
              <w:spacing w:before="10"/>
              <w:rPr>
                <w:sz w:val="3"/>
              </w:rPr>
            </w:pPr>
          </w:p>
          <w:p>
            <w:pPr>
              <w:pStyle w:val="TableParagraph"/>
              <w:spacing w:line="235" w:lineRule="exact"/>
              <w:ind w:left="754"/>
              <w:rPr>
                <w:sz w:val="20"/>
              </w:rPr>
            </w:pPr>
            <w:r>
              <w:rPr>
                <w:position w:val="-4"/>
                <w:sz w:val="20"/>
              </w:rPr>
              <w:drawing>
                <wp:inline distT="0" distB="0" distL="0" distR="0">
                  <wp:extent cx="95331" cy="149351"/>
                  <wp:effectExtent l="0" t="0" r="0" b="0"/>
                  <wp:docPr id="263" name="Image 263"/>
                  <wp:cNvGraphicFramePr>
                    <a:graphicFrameLocks/>
                  </wp:cNvGraphicFramePr>
                  <a:graphic>
                    <a:graphicData uri="http://schemas.openxmlformats.org/drawingml/2006/picture">
                      <pic:pic>
                        <pic:nvPicPr>
                          <pic:cNvPr id="263" name="Image 263"/>
                          <pic:cNvPicPr/>
                        </pic:nvPicPr>
                        <pic:blipFill>
                          <a:blip r:embed="rId99" cstate="print"/>
                          <a:stretch>
                            <a:fillRect/>
                          </a:stretch>
                        </pic:blipFill>
                        <pic:spPr>
                          <a:xfrm>
                            <a:off x="0" y="0"/>
                            <a:ext cx="95331" cy="149351"/>
                          </a:xfrm>
                          <a:prstGeom prst="rect">
                            <a:avLst/>
                          </a:prstGeom>
                        </pic:spPr>
                      </pic:pic>
                    </a:graphicData>
                  </a:graphic>
                </wp:inline>
              </w:drawing>
            </w:r>
            <w:r>
              <w:rPr>
                <w:position w:val="-4"/>
                <w:sz w:val="20"/>
              </w:rPr>
            </w:r>
          </w:p>
        </w:tc>
        <w:tc>
          <w:tcPr>
            <w:tcW w:w="269" w:type="dxa"/>
          </w:tcPr>
          <w:p>
            <w:pPr>
              <w:pStyle w:val="TableParagraph"/>
              <w:rPr>
                <w:sz w:val="18"/>
              </w:rPr>
            </w:pPr>
          </w:p>
        </w:tc>
        <w:tc>
          <w:tcPr>
            <w:tcW w:w="1172" w:type="dxa"/>
          </w:tcPr>
          <w:p>
            <w:pPr>
              <w:pStyle w:val="TableParagraph"/>
              <w:spacing w:before="10"/>
              <w:rPr>
                <w:sz w:val="3"/>
              </w:rPr>
            </w:pPr>
          </w:p>
          <w:p>
            <w:pPr>
              <w:pStyle w:val="TableParagraph"/>
              <w:spacing w:line="235" w:lineRule="exact"/>
              <w:ind w:left="394"/>
              <w:rPr>
                <w:sz w:val="20"/>
              </w:rPr>
            </w:pPr>
            <w:r>
              <w:rPr>
                <w:position w:val="-4"/>
                <w:sz w:val="20"/>
              </w:rPr>
              <w:drawing>
                <wp:inline distT="0" distB="0" distL="0" distR="0">
                  <wp:extent cx="95331" cy="149351"/>
                  <wp:effectExtent l="0" t="0" r="0" b="0"/>
                  <wp:docPr id="264" name="Image 264"/>
                  <wp:cNvGraphicFramePr>
                    <a:graphicFrameLocks/>
                  </wp:cNvGraphicFramePr>
                  <a:graphic>
                    <a:graphicData uri="http://schemas.openxmlformats.org/drawingml/2006/picture">
                      <pic:pic>
                        <pic:nvPicPr>
                          <pic:cNvPr id="264" name="Image 264"/>
                          <pic:cNvPicPr/>
                        </pic:nvPicPr>
                        <pic:blipFill>
                          <a:blip r:embed="rId99" cstate="print"/>
                          <a:stretch>
                            <a:fillRect/>
                          </a:stretch>
                        </pic:blipFill>
                        <pic:spPr>
                          <a:xfrm>
                            <a:off x="0" y="0"/>
                            <a:ext cx="95331" cy="149351"/>
                          </a:xfrm>
                          <a:prstGeom prst="rect">
                            <a:avLst/>
                          </a:prstGeom>
                        </pic:spPr>
                      </pic:pic>
                    </a:graphicData>
                  </a:graphic>
                </wp:inline>
              </w:drawing>
            </w:r>
            <w:r>
              <w:rPr>
                <w:position w:val="-4"/>
                <w:sz w:val="20"/>
              </w:rPr>
            </w:r>
          </w:p>
        </w:tc>
        <w:tc>
          <w:tcPr>
            <w:tcW w:w="269" w:type="dxa"/>
          </w:tcPr>
          <w:p>
            <w:pPr>
              <w:pStyle w:val="TableParagraph"/>
              <w:rPr>
                <w:sz w:val="18"/>
              </w:rPr>
            </w:pPr>
          </w:p>
        </w:tc>
        <w:tc>
          <w:tcPr>
            <w:tcW w:w="1712" w:type="dxa"/>
          </w:tcPr>
          <w:p>
            <w:pPr>
              <w:pStyle w:val="TableParagraph"/>
              <w:spacing w:before="10"/>
              <w:rPr>
                <w:sz w:val="3"/>
              </w:rPr>
            </w:pPr>
          </w:p>
          <w:p>
            <w:pPr>
              <w:pStyle w:val="TableParagraph"/>
              <w:spacing w:line="235" w:lineRule="exact"/>
              <w:ind w:left="659"/>
              <w:rPr>
                <w:sz w:val="20"/>
              </w:rPr>
            </w:pPr>
            <w:r>
              <w:rPr>
                <w:position w:val="-4"/>
                <w:sz w:val="20"/>
              </w:rPr>
              <w:drawing>
                <wp:inline distT="0" distB="0" distL="0" distR="0">
                  <wp:extent cx="95331" cy="149351"/>
                  <wp:effectExtent l="0" t="0" r="0" b="0"/>
                  <wp:docPr id="265" name="Image 265"/>
                  <wp:cNvGraphicFramePr>
                    <a:graphicFrameLocks/>
                  </wp:cNvGraphicFramePr>
                  <a:graphic>
                    <a:graphicData uri="http://schemas.openxmlformats.org/drawingml/2006/picture">
                      <pic:pic>
                        <pic:nvPicPr>
                          <pic:cNvPr id="265" name="Image 265"/>
                          <pic:cNvPicPr/>
                        </pic:nvPicPr>
                        <pic:blipFill>
                          <a:blip r:embed="rId99" cstate="print"/>
                          <a:stretch>
                            <a:fillRect/>
                          </a:stretch>
                        </pic:blipFill>
                        <pic:spPr>
                          <a:xfrm>
                            <a:off x="0" y="0"/>
                            <a:ext cx="95331" cy="149351"/>
                          </a:xfrm>
                          <a:prstGeom prst="rect">
                            <a:avLst/>
                          </a:prstGeom>
                        </pic:spPr>
                      </pic:pic>
                    </a:graphicData>
                  </a:graphic>
                </wp:inline>
              </w:drawing>
            </w:r>
            <w:r>
              <w:rPr>
                <w:position w:val="-4"/>
                <w:sz w:val="20"/>
              </w:rPr>
            </w:r>
          </w:p>
        </w:tc>
        <w:tc>
          <w:tcPr>
            <w:tcW w:w="360" w:type="dxa"/>
          </w:tcPr>
          <w:p>
            <w:pPr>
              <w:pStyle w:val="TableParagraph"/>
              <w:rPr>
                <w:sz w:val="18"/>
              </w:rPr>
            </w:pPr>
          </w:p>
        </w:tc>
        <w:tc>
          <w:tcPr>
            <w:tcW w:w="1530" w:type="dxa"/>
            <w:gridSpan w:val="2"/>
          </w:tcPr>
          <w:p>
            <w:pPr>
              <w:pStyle w:val="TableParagraph"/>
              <w:spacing w:before="10"/>
              <w:rPr>
                <w:sz w:val="3"/>
              </w:rPr>
            </w:pPr>
          </w:p>
          <w:p>
            <w:pPr>
              <w:pStyle w:val="TableParagraph"/>
              <w:spacing w:line="235" w:lineRule="exact"/>
              <w:ind w:left="559"/>
              <w:rPr>
                <w:sz w:val="20"/>
              </w:rPr>
            </w:pPr>
            <w:r>
              <w:rPr>
                <w:position w:val="-4"/>
                <w:sz w:val="20"/>
              </w:rPr>
              <w:drawing>
                <wp:inline distT="0" distB="0" distL="0" distR="0">
                  <wp:extent cx="95331" cy="149351"/>
                  <wp:effectExtent l="0" t="0" r="0" b="0"/>
                  <wp:docPr id="266" name="Image 266"/>
                  <wp:cNvGraphicFramePr>
                    <a:graphicFrameLocks/>
                  </wp:cNvGraphicFramePr>
                  <a:graphic>
                    <a:graphicData uri="http://schemas.openxmlformats.org/drawingml/2006/picture">
                      <pic:pic>
                        <pic:nvPicPr>
                          <pic:cNvPr id="266" name="Image 266"/>
                          <pic:cNvPicPr/>
                        </pic:nvPicPr>
                        <pic:blipFill>
                          <a:blip r:embed="rId99" cstate="print"/>
                          <a:stretch>
                            <a:fillRect/>
                          </a:stretch>
                        </pic:blipFill>
                        <pic:spPr>
                          <a:xfrm>
                            <a:off x="0" y="0"/>
                            <a:ext cx="95331" cy="149351"/>
                          </a:xfrm>
                          <a:prstGeom prst="rect">
                            <a:avLst/>
                          </a:prstGeom>
                        </pic:spPr>
                      </pic:pic>
                    </a:graphicData>
                  </a:graphic>
                </wp:inline>
              </w:drawing>
            </w:r>
            <w:r>
              <w:rPr>
                <w:position w:val="-4"/>
                <w:sz w:val="20"/>
              </w:rPr>
            </w:r>
          </w:p>
        </w:tc>
        <w:tc>
          <w:tcPr>
            <w:tcW w:w="361" w:type="dxa"/>
          </w:tcPr>
          <w:p>
            <w:pPr>
              <w:pStyle w:val="TableParagraph"/>
              <w:rPr>
                <w:sz w:val="18"/>
              </w:rPr>
            </w:pPr>
          </w:p>
        </w:tc>
        <w:tc>
          <w:tcPr>
            <w:tcW w:w="1578" w:type="dxa"/>
          </w:tcPr>
          <w:p>
            <w:pPr>
              <w:pStyle w:val="TableParagraph"/>
              <w:spacing w:before="10"/>
              <w:rPr>
                <w:sz w:val="3"/>
              </w:rPr>
            </w:pPr>
          </w:p>
          <w:p>
            <w:pPr>
              <w:pStyle w:val="TableParagraph"/>
              <w:spacing w:line="235" w:lineRule="exact"/>
              <w:ind w:left="546"/>
              <w:rPr>
                <w:sz w:val="20"/>
              </w:rPr>
            </w:pPr>
            <w:r>
              <w:rPr>
                <w:position w:val="-4"/>
                <w:sz w:val="20"/>
              </w:rPr>
              <w:drawing>
                <wp:inline distT="0" distB="0" distL="0" distR="0">
                  <wp:extent cx="95331" cy="149351"/>
                  <wp:effectExtent l="0" t="0" r="0" b="0"/>
                  <wp:docPr id="267" name="Image 267"/>
                  <wp:cNvGraphicFramePr>
                    <a:graphicFrameLocks/>
                  </wp:cNvGraphicFramePr>
                  <a:graphic>
                    <a:graphicData uri="http://schemas.openxmlformats.org/drawingml/2006/picture">
                      <pic:pic>
                        <pic:nvPicPr>
                          <pic:cNvPr id="267" name="Image 267"/>
                          <pic:cNvPicPr/>
                        </pic:nvPicPr>
                        <pic:blipFill>
                          <a:blip r:embed="rId99" cstate="print"/>
                          <a:stretch>
                            <a:fillRect/>
                          </a:stretch>
                        </pic:blipFill>
                        <pic:spPr>
                          <a:xfrm>
                            <a:off x="0" y="0"/>
                            <a:ext cx="95331" cy="149351"/>
                          </a:xfrm>
                          <a:prstGeom prst="rect">
                            <a:avLst/>
                          </a:prstGeom>
                        </pic:spPr>
                      </pic:pic>
                    </a:graphicData>
                  </a:graphic>
                </wp:inline>
              </w:drawing>
            </w:r>
            <w:r>
              <w:rPr>
                <w:position w:val="-4"/>
                <w:sz w:val="20"/>
              </w:rPr>
            </w:r>
          </w:p>
        </w:tc>
      </w:tr>
      <w:tr>
        <w:trPr>
          <w:trHeight w:val="1357" w:hRule="atLeast"/>
        </w:trPr>
        <w:tc>
          <w:tcPr>
            <w:tcW w:w="1891" w:type="dxa"/>
          </w:tcPr>
          <w:p>
            <w:pPr>
              <w:pStyle w:val="TableParagraph"/>
              <w:ind w:left="107" w:right="117"/>
              <w:rPr>
                <w:sz w:val="14"/>
              </w:rPr>
            </w:pPr>
            <w:r>
              <w:rPr>
                <w:b/>
                <w:sz w:val="14"/>
              </w:rPr>
              <w:t>IV: Goals and Outcomes:</w:t>
            </w:r>
            <w:r>
              <w:rPr>
                <w:b/>
                <w:spacing w:val="40"/>
                <w:sz w:val="14"/>
              </w:rPr>
              <w:t> </w:t>
            </w:r>
            <w:r>
              <w:rPr>
                <w:b/>
                <w:sz w:val="14"/>
              </w:rPr>
              <w:t>Inform</w:t>
            </w:r>
            <w:r>
              <w:rPr>
                <w:b/>
                <w:spacing w:val="-2"/>
                <w:sz w:val="14"/>
              </w:rPr>
              <w:t> </w:t>
            </w:r>
            <w:r>
              <w:rPr>
                <w:sz w:val="14"/>
              </w:rPr>
              <w:t>the</w:t>
            </w:r>
            <w:r>
              <w:rPr>
                <w:spacing w:val="-2"/>
                <w:sz w:val="14"/>
              </w:rPr>
              <w:t> </w:t>
            </w:r>
            <w:r>
              <w:rPr>
                <w:sz w:val="14"/>
              </w:rPr>
              <w:t>public</w:t>
            </w:r>
            <w:r>
              <w:rPr>
                <w:spacing w:val="-2"/>
                <w:sz w:val="14"/>
              </w:rPr>
              <w:t> </w:t>
            </w:r>
            <w:r>
              <w:rPr>
                <w:sz w:val="14"/>
              </w:rPr>
              <w:t>about</w:t>
            </w:r>
            <w:r>
              <w:rPr>
                <w:spacing w:val="-2"/>
                <w:sz w:val="14"/>
              </w:rPr>
              <w:t> </w:t>
            </w:r>
            <w:r>
              <w:rPr>
                <w:sz w:val="14"/>
              </w:rPr>
              <w:t>the</w:t>
            </w:r>
            <w:r>
              <w:rPr>
                <w:spacing w:val="40"/>
                <w:sz w:val="14"/>
              </w:rPr>
              <w:t> </w:t>
            </w:r>
            <w:r>
              <w:rPr>
                <w:sz w:val="14"/>
              </w:rPr>
              <w:t>proposed</w:t>
            </w:r>
            <w:r>
              <w:rPr>
                <w:spacing w:val="-9"/>
                <w:sz w:val="14"/>
              </w:rPr>
              <w:t> </w:t>
            </w:r>
            <w:r>
              <w:rPr>
                <w:sz w:val="14"/>
              </w:rPr>
              <w:t>budget</w:t>
            </w:r>
            <w:r>
              <w:rPr>
                <w:spacing w:val="-9"/>
                <w:sz w:val="14"/>
              </w:rPr>
              <w:t> </w:t>
            </w:r>
            <w:r>
              <w:rPr>
                <w:sz w:val="14"/>
              </w:rPr>
              <w:t>and</w:t>
            </w:r>
            <w:r>
              <w:rPr>
                <w:spacing w:val="-9"/>
                <w:sz w:val="14"/>
              </w:rPr>
              <w:t> </w:t>
            </w:r>
            <w:r>
              <w:rPr>
                <w:b/>
                <w:sz w:val="14"/>
              </w:rPr>
              <w:t>reduce</w:t>
            </w:r>
            <w:r>
              <w:rPr>
                <w:b/>
                <w:spacing w:val="40"/>
                <w:sz w:val="14"/>
              </w:rPr>
              <w:t> </w:t>
            </w:r>
            <w:r>
              <w:rPr>
                <w:b/>
                <w:sz w:val="14"/>
              </w:rPr>
              <w:t>cynicism</w:t>
            </w:r>
            <w:r>
              <w:rPr>
                <w:b/>
                <w:spacing w:val="-6"/>
                <w:sz w:val="14"/>
              </w:rPr>
              <w:t> </w:t>
            </w:r>
            <w:r>
              <w:rPr>
                <w:sz w:val="14"/>
              </w:rPr>
              <w:t>through</w:t>
            </w:r>
            <w:r>
              <w:rPr>
                <w:spacing w:val="40"/>
                <w:sz w:val="14"/>
              </w:rPr>
              <w:t> </w:t>
            </w:r>
            <w:r>
              <w:rPr>
                <w:spacing w:val="-2"/>
                <w:sz w:val="14"/>
              </w:rPr>
              <w:t>transparency</w:t>
            </w:r>
          </w:p>
        </w:tc>
        <w:tc>
          <w:tcPr>
            <w:tcW w:w="269" w:type="dxa"/>
          </w:tcPr>
          <w:p>
            <w:pPr>
              <w:pStyle w:val="TableParagraph"/>
              <w:rPr>
                <w:sz w:val="18"/>
              </w:rPr>
            </w:pPr>
          </w:p>
        </w:tc>
        <w:tc>
          <w:tcPr>
            <w:tcW w:w="1172" w:type="dxa"/>
          </w:tcPr>
          <w:p>
            <w:pPr>
              <w:pStyle w:val="TableParagraph"/>
              <w:spacing w:line="242" w:lineRule="auto"/>
              <w:ind w:left="107" w:right="119"/>
              <w:rPr>
                <w:sz w:val="14"/>
              </w:rPr>
            </w:pPr>
            <w:r>
              <w:rPr>
                <w:b/>
                <w:spacing w:val="-2"/>
                <w:sz w:val="14"/>
              </w:rPr>
              <w:t>Educate</w:t>
            </w:r>
            <w:r>
              <w:rPr>
                <w:b/>
                <w:spacing w:val="-7"/>
                <w:sz w:val="14"/>
              </w:rPr>
              <w:t> </w:t>
            </w:r>
            <w:r>
              <w:rPr>
                <w:spacing w:val="-2"/>
                <w:sz w:val="14"/>
              </w:rPr>
              <w:t>citizens</w:t>
            </w:r>
            <w:r>
              <w:rPr>
                <w:spacing w:val="40"/>
                <w:sz w:val="14"/>
              </w:rPr>
              <w:t> </w:t>
            </w:r>
            <w:r>
              <w:rPr>
                <w:sz w:val="14"/>
              </w:rPr>
              <w:t>about</w:t>
            </w:r>
            <w:r>
              <w:rPr>
                <w:spacing w:val="-6"/>
                <w:sz w:val="14"/>
              </w:rPr>
              <w:t> </w:t>
            </w:r>
            <w:r>
              <w:rPr>
                <w:sz w:val="14"/>
              </w:rPr>
              <w:t>the</w:t>
            </w:r>
            <w:r>
              <w:rPr>
                <w:spacing w:val="80"/>
                <w:sz w:val="14"/>
              </w:rPr>
              <w:t> </w:t>
            </w:r>
            <w:r>
              <w:rPr>
                <w:spacing w:val="-2"/>
                <w:sz w:val="14"/>
              </w:rPr>
              <w:t>budget,</w:t>
            </w:r>
          </w:p>
          <w:p>
            <w:pPr>
              <w:pStyle w:val="TableParagraph"/>
              <w:spacing w:line="235" w:lineRule="auto"/>
              <w:ind w:left="107" w:right="112"/>
              <w:rPr>
                <w:sz w:val="14"/>
              </w:rPr>
            </w:pPr>
            <w:r>
              <w:rPr>
                <w:b/>
                <w:sz w:val="14"/>
              </w:rPr>
              <w:t>gather</w:t>
            </w:r>
            <w:r>
              <w:rPr>
                <w:b/>
                <w:spacing w:val="-9"/>
                <w:sz w:val="14"/>
              </w:rPr>
              <w:t> </w:t>
            </w:r>
            <w:r>
              <w:rPr>
                <w:b/>
                <w:sz w:val="14"/>
              </w:rPr>
              <w:t>input</w:t>
            </w:r>
            <w:r>
              <w:rPr>
                <w:b/>
                <w:spacing w:val="-9"/>
                <w:sz w:val="14"/>
              </w:rPr>
              <w:t> </w:t>
            </w:r>
            <w:r>
              <w:rPr>
                <w:sz w:val="14"/>
              </w:rPr>
              <w:t>for</w:t>
            </w:r>
            <w:r>
              <w:rPr>
                <w:spacing w:val="40"/>
                <w:sz w:val="14"/>
              </w:rPr>
              <w:t> </w:t>
            </w:r>
            <w:r>
              <w:rPr>
                <w:spacing w:val="-2"/>
                <w:sz w:val="14"/>
              </w:rPr>
              <w:t>decision-making</w:t>
            </w:r>
          </w:p>
        </w:tc>
        <w:tc>
          <w:tcPr>
            <w:tcW w:w="269" w:type="dxa"/>
          </w:tcPr>
          <w:p>
            <w:pPr>
              <w:pStyle w:val="TableParagraph"/>
              <w:rPr>
                <w:sz w:val="18"/>
              </w:rPr>
            </w:pPr>
          </w:p>
        </w:tc>
        <w:tc>
          <w:tcPr>
            <w:tcW w:w="1712" w:type="dxa"/>
          </w:tcPr>
          <w:p>
            <w:pPr>
              <w:pStyle w:val="TableParagraph"/>
              <w:spacing w:line="235" w:lineRule="auto"/>
              <w:ind w:left="107" w:right="597"/>
              <w:rPr>
                <w:sz w:val="14"/>
              </w:rPr>
            </w:pPr>
            <w:r>
              <w:rPr>
                <w:b/>
                <w:sz w:val="14"/>
              </w:rPr>
              <w:t>Gain</w:t>
            </w:r>
            <w:r>
              <w:rPr>
                <w:b/>
                <w:spacing w:val="-9"/>
                <w:sz w:val="14"/>
              </w:rPr>
              <w:t> </w:t>
            </w:r>
            <w:r>
              <w:rPr>
                <w:b/>
                <w:sz w:val="14"/>
              </w:rPr>
              <w:t>support</w:t>
            </w:r>
            <w:r>
              <w:rPr>
                <w:b/>
                <w:spacing w:val="-9"/>
                <w:sz w:val="14"/>
              </w:rPr>
              <w:t> </w:t>
            </w:r>
            <w:r>
              <w:rPr>
                <w:sz w:val="14"/>
              </w:rPr>
              <w:t>for</w:t>
            </w:r>
            <w:r>
              <w:rPr>
                <w:spacing w:val="40"/>
                <w:sz w:val="14"/>
              </w:rPr>
              <w:t> </w:t>
            </w:r>
            <w:r>
              <w:rPr>
                <w:sz w:val="14"/>
              </w:rPr>
              <w:t>proposed</w:t>
            </w:r>
            <w:r>
              <w:rPr>
                <w:spacing w:val="-6"/>
                <w:sz w:val="14"/>
              </w:rPr>
              <w:t> </w:t>
            </w:r>
            <w:r>
              <w:rPr>
                <w:sz w:val="14"/>
              </w:rPr>
              <w:t>budget</w:t>
            </w:r>
          </w:p>
        </w:tc>
        <w:tc>
          <w:tcPr>
            <w:tcW w:w="360" w:type="dxa"/>
          </w:tcPr>
          <w:p>
            <w:pPr>
              <w:pStyle w:val="TableParagraph"/>
              <w:rPr>
                <w:sz w:val="18"/>
              </w:rPr>
            </w:pPr>
          </w:p>
        </w:tc>
        <w:tc>
          <w:tcPr>
            <w:tcW w:w="1530" w:type="dxa"/>
            <w:gridSpan w:val="2"/>
          </w:tcPr>
          <w:p>
            <w:pPr>
              <w:pStyle w:val="TableParagraph"/>
              <w:ind w:left="104" w:right="111"/>
              <w:rPr>
                <w:sz w:val="14"/>
              </w:rPr>
            </w:pPr>
            <w:r>
              <w:rPr>
                <w:b/>
                <w:sz w:val="14"/>
              </w:rPr>
              <w:t>Change</w:t>
            </w:r>
            <w:r>
              <w:rPr>
                <w:b/>
                <w:spacing w:val="-2"/>
                <w:sz w:val="14"/>
              </w:rPr>
              <w:t> </w:t>
            </w:r>
            <w:r>
              <w:rPr>
                <w:sz w:val="14"/>
              </w:rPr>
              <w:t>resource</w:t>
            </w:r>
            <w:r>
              <w:rPr>
                <w:spacing w:val="40"/>
                <w:sz w:val="14"/>
              </w:rPr>
              <w:t> </w:t>
            </w:r>
            <w:r>
              <w:rPr>
                <w:b/>
                <w:sz w:val="14"/>
              </w:rPr>
              <w:t>allocation</w:t>
            </w:r>
            <w:r>
              <w:rPr>
                <w:b/>
                <w:spacing w:val="-9"/>
                <w:sz w:val="14"/>
              </w:rPr>
              <w:t> </w:t>
            </w:r>
            <w:r>
              <w:rPr>
                <w:sz w:val="14"/>
              </w:rPr>
              <w:t>based</w:t>
            </w:r>
            <w:r>
              <w:rPr>
                <w:spacing w:val="-9"/>
                <w:sz w:val="14"/>
              </w:rPr>
              <w:t> </w:t>
            </w:r>
            <w:r>
              <w:rPr>
                <w:sz w:val="14"/>
              </w:rPr>
              <w:t>on</w:t>
            </w:r>
            <w:r>
              <w:rPr>
                <w:spacing w:val="40"/>
                <w:sz w:val="14"/>
              </w:rPr>
              <w:t> </w:t>
            </w:r>
            <w:r>
              <w:rPr>
                <w:sz w:val="14"/>
              </w:rPr>
              <w:t>citizen</w:t>
            </w:r>
            <w:r>
              <w:rPr>
                <w:spacing w:val="-9"/>
                <w:sz w:val="14"/>
              </w:rPr>
              <w:t> </w:t>
            </w:r>
            <w:r>
              <w:rPr>
                <w:spacing w:val="-2"/>
                <w:sz w:val="14"/>
              </w:rPr>
              <w:t>participation</w:t>
            </w:r>
          </w:p>
        </w:tc>
        <w:tc>
          <w:tcPr>
            <w:tcW w:w="361" w:type="dxa"/>
          </w:tcPr>
          <w:p>
            <w:pPr>
              <w:pStyle w:val="TableParagraph"/>
              <w:rPr>
                <w:sz w:val="18"/>
              </w:rPr>
            </w:pPr>
          </w:p>
        </w:tc>
        <w:tc>
          <w:tcPr>
            <w:tcW w:w="1578" w:type="dxa"/>
          </w:tcPr>
          <w:p>
            <w:pPr>
              <w:pStyle w:val="TableParagraph"/>
              <w:ind w:left="105" w:right="597"/>
              <w:rPr>
                <w:b/>
                <w:sz w:val="14"/>
              </w:rPr>
            </w:pPr>
            <w:r>
              <w:rPr>
                <w:sz w:val="14"/>
              </w:rPr>
              <w:t>Enhance</w:t>
            </w:r>
            <w:r>
              <w:rPr>
                <w:spacing w:val="-4"/>
                <w:sz w:val="14"/>
              </w:rPr>
              <w:t> </w:t>
            </w:r>
            <w:r>
              <w:rPr>
                <w:b/>
                <w:sz w:val="14"/>
              </w:rPr>
              <w:t>trust</w:t>
            </w:r>
            <w:r>
              <w:rPr>
                <w:b/>
                <w:spacing w:val="40"/>
                <w:sz w:val="14"/>
              </w:rPr>
              <w:t> </w:t>
            </w:r>
            <w:r>
              <w:rPr>
                <w:sz w:val="14"/>
              </w:rPr>
              <w:t>and</w:t>
            </w:r>
            <w:r>
              <w:rPr>
                <w:spacing w:val="-9"/>
                <w:sz w:val="14"/>
              </w:rPr>
              <w:t> </w:t>
            </w:r>
            <w:r>
              <w:rPr>
                <w:sz w:val="14"/>
              </w:rPr>
              <w:t>build</w:t>
            </w:r>
            <w:r>
              <w:rPr>
                <w:spacing w:val="-9"/>
                <w:sz w:val="14"/>
              </w:rPr>
              <w:t> </w:t>
            </w:r>
            <w:r>
              <w:rPr>
                <w:sz w:val="14"/>
              </w:rPr>
              <w:t>sense</w:t>
            </w:r>
            <w:r>
              <w:rPr>
                <w:spacing w:val="40"/>
                <w:sz w:val="14"/>
              </w:rPr>
              <w:t> </w:t>
            </w:r>
            <w:r>
              <w:rPr>
                <w:sz w:val="14"/>
              </w:rPr>
              <w:t>of</w:t>
            </w:r>
            <w:r>
              <w:rPr>
                <w:spacing w:val="-2"/>
                <w:sz w:val="14"/>
              </w:rPr>
              <w:t> </w:t>
            </w:r>
            <w:r>
              <w:rPr>
                <w:b/>
                <w:spacing w:val="-2"/>
                <w:sz w:val="14"/>
              </w:rPr>
              <w:t>community</w:t>
            </w:r>
          </w:p>
        </w:tc>
      </w:tr>
      <w:tr>
        <w:trPr>
          <w:trHeight w:val="909" w:hRule="atLeast"/>
        </w:trPr>
        <w:tc>
          <w:tcPr>
            <w:tcW w:w="3332" w:type="dxa"/>
            <w:gridSpan w:val="3"/>
            <w:tcBorders>
              <w:right w:val="nil"/>
            </w:tcBorders>
          </w:tcPr>
          <w:p>
            <w:pPr>
              <w:pStyle w:val="TableParagraph"/>
              <w:spacing w:line="160" w:lineRule="exact" w:before="159"/>
              <w:ind w:left="107"/>
              <w:rPr>
                <w:b/>
                <w:sz w:val="14"/>
              </w:rPr>
            </w:pPr>
            <w:r>
              <w:rPr/>
              <mc:AlternateContent>
                <mc:Choice Requires="wps">
                  <w:drawing>
                    <wp:anchor distT="0" distB="0" distL="0" distR="0" allowOverlap="1" layoutInCell="1" locked="0" behindDoc="1" simplePos="0" relativeHeight="478107648">
                      <wp:simplePos x="0" y="0"/>
                      <wp:positionH relativeFrom="column">
                        <wp:posOffset>864565</wp:posOffset>
                      </wp:positionH>
                      <wp:positionV relativeFrom="paragraph">
                        <wp:posOffset>107126</wp:posOffset>
                      </wp:positionV>
                      <wp:extent cx="4055110" cy="95250"/>
                      <wp:effectExtent l="0" t="0" r="0" b="0"/>
                      <wp:wrapNone/>
                      <wp:docPr id="268" name="Group 268"/>
                      <wp:cNvGraphicFramePr>
                        <a:graphicFrameLocks/>
                      </wp:cNvGraphicFramePr>
                      <a:graphic>
                        <a:graphicData uri="http://schemas.microsoft.com/office/word/2010/wordprocessingGroup">
                          <wpg:wgp>
                            <wpg:cNvPr id="268" name="Group 268"/>
                            <wpg:cNvGrpSpPr/>
                            <wpg:grpSpPr>
                              <a:xfrm>
                                <a:off x="0" y="0"/>
                                <a:ext cx="4055110" cy="95250"/>
                                <a:chExt cx="4055110" cy="95250"/>
                              </a:xfrm>
                            </wpg:grpSpPr>
                            <wps:wsp>
                              <wps:cNvPr id="269" name="Graphic 269"/>
                              <wps:cNvSpPr/>
                              <wps:spPr>
                                <a:xfrm>
                                  <a:off x="0" y="0"/>
                                  <a:ext cx="4055110" cy="95250"/>
                                </a:xfrm>
                                <a:custGeom>
                                  <a:avLst/>
                                  <a:gdLst/>
                                  <a:ahLst/>
                                  <a:cxnLst/>
                                  <a:rect l="l" t="t" r="r" b="b"/>
                                  <a:pathLst>
                                    <a:path w="4055110" h="95250">
                                      <a:moveTo>
                                        <a:pt x="3959859" y="0"/>
                                      </a:moveTo>
                                      <a:lnTo>
                                        <a:pt x="3959859" y="95250"/>
                                      </a:lnTo>
                                      <a:lnTo>
                                        <a:pt x="4023359" y="63500"/>
                                      </a:lnTo>
                                      <a:lnTo>
                                        <a:pt x="3975734" y="63500"/>
                                      </a:lnTo>
                                      <a:lnTo>
                                        <a:pt x="3975734" y="31750"/>
                                      </a:lnTo>
                                      <a:lnTo>
                                        <a:pt x="4023359" y="31750"/>
                                      </a:lnTo>
                                      <a:lnTo>
                                        <a:pt x="3959859" y="0"/>
                                      </a:lnTo>
                                      <a:close/>
                                    </a:path>
                                    <a:path w="4055110" h="95250">
                                      <a:moveTo>
                                        <a:pt x="3959859" y="31750"/>
                                      </a:moveTo>
                                      <a:lnTo>
                                        <a:pt x="0" y="31750"/>
                                      </a:lnTo>
                                      <a:lnTo>
                                        <a:pt x="0" y="63500"/>
                                      </a:lnTo>
                                      <a:lnTo>
                                        <a:pt x="3959859" y="63500"/>
                                      </a:lnTo>
                                      <a:lnTo>
                                        <a:pt x="3959859" y="31750"/>
                                      </a:lnTo>
                                      <a:close/>
                                    </a:path>
                                    <a:path w="4055110" h="95250">
                                      <a:moveTo>
                                        <a:pt x="4023359" y="31750"/>
                                      </a:moveTo>
                                      <a:lnTo>
                                        <a:pt x="3975734" y="31750"/>
                                      </a:lnTo>
                                      <a:lnTo>
                                        <a:pt x="3975734" y="63500"/>
                                      </a:lnTo>
                                      <a:lnTo>
                                        <a:pt x="4023359" y="63500"/>
                                      </a:lnTo>
                                      <a:lnTo>
                                        <a:pt x="4055109" y="47625"/>
                                      </a:lnTo>
                                      <a:lnTo>
                                        <a:pt x="4023359" y="317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8.075996pt;margin-top:8.435163pt;width:319.3pt;height:7.5pt;mso-position-horizontal-relative:column;mso-position-vertical-relative:paragraph;z-index:-25208832" id="docshapegroup238" coordorigin="1362,169" coordsize="6386,150">
                      <v:shape style="position:absolute;left:1361;top:168;width:6386;height:150" id="docshape239" coordorigin="1362,169" coordsize="6386,150" path="m7598,169l7598,319,7698,269,7623,269,7623,219,7698,219,7598,169xm7598,219l1362,219,1362,269,7598,269,7598,219xm7698,219l7623,219,7623,269,7698,269,7748,244,7698,219xe" filled="true" fillcolor="#000000" stroked="false">
                        <v:path arrowok="t"/>
                        <v:fill type="solid"/>
                      </v:shape>
                      <w10:wrap type="none"/>
                    </v:group>
                  </w:pict>
                </mc:Fallback>
              </mc:AlternateContent>
            </w:r>
            <w:r>
              <w:rPr>
                <w:b/>
                <w:sz w:val="14"/>
              </w:rPr>
              <w:t>Short-term</w:t>
            </w:r>
            <w:r>
              <w:rPr>
                <w:b/>
                <w:spacing w:val="-9"/>
                <w:sz w:val="14"/>
              </w:rPr>
              <w:t> </w:t>
            </w:r>
            <w:r>
              <w:rPr>
                <w:b/>
                <w:spacing w:val="-2"/>
                <w:sz w:val="14"/>
              </w:rPr>
              <w:t>Outputs</w:t>
            </w:r>
          </w:p>
          <w:p>
            <w:pPr>
              <w:pStyle w:val="TableParagraph"/>
              <w:spacing w:line="237" w:lineRule="auto"/>
              <w:ind w:left="107" w:right="2809"/>
              <w:rPr>
                <w:i/>
                <w:sz w:val="14"/>
              </w:rPr>
            </w:pPr>
            <w:r>
              <w:rPr>
                <w:i/>
                <w:spacing w:val="-2"/>
                <w:sz w:val="14"/>
              </w:rPr>
              <w:t>Lowest</w:t>
            </w:r>
            <w:r>
              <w:rPr>
                <w:i/>
                <w:spacing w:val="40"/>
                <w:sz w:val="14"/>
              </w:rPr>
              <w:t> </w:t>
            </w:r>
            <w:r>
              <w:rPr>
                <w:i/>
                <w:spacing w:val="-2"/>
                <w:sz w:val="14"/>
              </w:rPr>
              <w:t>Easiest</w:t>
            </w:r>
          </w:p>
        </w:tc>
        <w:tc>
          <w:tcPr>
            <w:tcW w:w="2501" w:type="dxa"/>
            <w:gridSpan w:val="4"/>
            <w:tcBorders>
              <w:left w:val="nil"/>
              <w:right w:val="nil"/>
            </w:tcBorders>
          </w:tcPr>
          <w:p>
            <w:pPr>
              <w:pStyle w:val="TableParagraph"/>
              <w:spacing w:before="158"/>
              <w:rPr>
                <w:sz w:val="14"/>
              </w:rPr>
            </w:pPr>
          </w:p>
          <w:p>
            <w:pPr>
              <w:pStyle w:val="TableParagraph"/>
              <w:spacing w:line="237" w:lineRule="auto"/>
              <w:ind w:left="582" w:right="316" w:hanging="394"/>
              <w:rPr>
                <w:b/>
                <w:sz w:val="14"/>
              </w:rPr>
            </w:pPr>
            <w:r>
              <w:rPr>
                <w:b/>
                <w:sz w:val="14"/>
              </w:rPr>
              <w:t>Likelihood</w:t>
            </w:r>
            <w:r>
              <w:rPr>
                <w:b/>
                <w:spacing w:val="-9"/>
                <w:sz w:val="14"/>
              </w:rPr>
              <w:t> </w:t>
            </w:r>
            <w:r>
              <w:rPr>
                <w:b/>
                <w:sz w:val="14"/>
              </w:rPr>
              <w:t>citizen</w:t>
            </w:r>
            <w:r>
              <w:rPr>
                <w:b/>
                <w:spacing w:val="-9"/>
                <w:sz w:val="14"/>
              </w:rPr>
              <w:t> </w:t>
            </w:r>
            <w:r>
              <w:rPr>
                <w:b/>
                <w:sz w:val="14"/>
              </w:rPr>
              <w:t>input</w:t>
            </w:r>
            <w:r>
              <w:rPr>
                <w:b/>
                <w:spacing w:val="-9"/>
                <w:sz w:val="14"/>
              </w:rPr>
              <w:t> </w:t>
            </w:r>
            <w:r>
              <w:rPr>
                <w:b/>
                <w:sz w:val="14"/>
              </w:rPr>
              <w:t>gets</w:t>
            </w:r>
            <w:r>
              <w:rPr>
                <w:b/>
                <w:spacing w:val="-8"/>
                <w:sz w:val="14"/>
              </w:rPr>
              <w:t> </w:t>
            </w:r>
            <w:r>
              <w:rPr>
                <w:b/>
                <w:sz w:val="14"/>
              </w:rPr>
              <w:t>used</w:t>
            </w:r>
            <w:r>
              <w:rPr>
                <w:b/>
                <w:spacing w:val="40"/>
                <w:sz w:val="14"/>
              </w:rPr>
              <w:t> </w:t>
            </w:r>
            <w:r>
              <w:rPr>
                <w:b/>
                <w:sz w:val="14"/>
              </w:rPr>
              <w:t>Ability to Measure</w:t>
            </w:r>
          </w:p>
        </w:tc>
        <w:tc>
          <w:tcPr>
            <w:tcW w:w="3309" w:type="dxa"/>
            <w:gridSpan w:val="3"/>
            <w:tcBorders>
              <w:left w:val="nil"/>
            </w:tcBorders>
          </w:tcPr>
          <w:p>
            <w:pPr>
              <w:pStyle w:val="TableParagraph"/>
              <w:spacing w:line="160" w:lineRule="exact" w:before="159"/>
              <w:ind w:right="120"/>
              <w:jc w:val="right"/>
              <w:rPr>
                <w:b/>
                <w:sz w:val="14"/>
              </w:rPr>
            </w:pPr>
            <w:r>
              <w:rPr>
                <w:b/>
                <w:sz w:val="14"/>
              </w:rPr>
              <w:t>Long</w:t>
            </w:r>
            <w:r>
              <w:rPr>
                <w:b/>
                <w:spacing w:val="-7"/>
                <w:sz w:val="14"/>
              </w:rPr>
              <w:t> </w:t>
            </w:r>
            <w:r>
              <w:rPr>
                <w:b/>
                <w:sz w:val="14"/>
              </w:rPr>
              <w:t>term</w:t>
            </w:r>
            <w:r>
              <w:rPr>
                <w:b/>
                <w:spacing w:val="-6"/>
                <w:sz w:val="14"/>
              </w:rPr>
              <w:t> </w:t>
            </w:r>
            <w:r>
              <w:rPr>
                <w:b/>
                <w:sz w:val="14"/>
              </w:rPr>
              <w:t>-</w:t>
            </w:r>
            <w:r>
              <w:rPr>
                <w:b/>
                <w:spacing w:val="-2"/>
                <w:sz w:val="14"/>
              </w:rPr>
              <w:t>Impacts</w:t>
            </w:r>
          </w:p>
          <w:p>
            <w:pPr>
              <w:pStyle w:val="TableParagraph"/>
              <w:spacing w:line="237" w:lineRule="auto"/>
              <w:ind w:left="2738" w:right="111" w:hanging="5"/>
              <w:jc w:val="right"/>
              <w:rPr>
                <w:i/>
                <w:sz w:val="14"/>
              </w:rPr>
            </w:pPr>
            <w:r>
              <w:rPr>
                <w:i/>
                <w:spacing w:val="-2"/>
                <w:sz w:val="14"/>
              </w:rPr>
              <w:t>Highest</w:t>
            </w:r>
            <w:r>
              <w:rPr>
                <w:i/>
                <w:spacing w:val="40"/>
                <w:sz w:val="14"/>
              </w:rPr>
              <w:t> </w:t>
            </w:r>
            <w:r>
              <w:rPr>
                <w:i/>
                <w:spacing w:val="-2"/>
                <w:sz w:val="14"/>
              </w:rPr>
              <w:t>Hardest</w:t>
            </w:r>
          </w:p>
        </w:tc>
      </w:tr>
    </w:tbl>
    <w:p>
      <w:pPr>
        <w:pStyle w:val="BodyText"/>
        <w:spacing w:before="263"/>
        <w:ind w:left="240"/>
        <w:jc w:val="both"/>
      </w:pPr>
      <w:r>
        <w:rPr>
          <w:b/>
        </w:rPr>
        <w:t>Figure</w:t>
      </w:r>
      <w:r>
        <w:rPr>
          <w:b/>
          <w:spacing w:val="-5"/>
        </w:rPr>
        <w:t> </w:t>
      </w:r>
      <w:r>
        <w:rPr>
          <w:b/>
        </w:rPr>
        <w:t>3.11:</w:t>
      </w:r>
      <w:r>
        <w:rPr>
          <w:b/>
          <w:spacing w:val="-2"/>
        </w:rPr>
        <w:t> </w:t>
      </w:r>
      <w:r>
        <w:rPr/>
        <w:t>The Impact</w:t>
      </w:r>
      <w:r>
        <w:rPr>
          <w:spacing w:val="1"/>
        </w:rPr>
        <w:t> </w:t>
      </w:r>
      <w:r>
        <w:rPr/>
        <w:t>Model</w:t>
      </w:r>
      <w:r>
        <w:rPr>
          <w:spacing w:val="-2"/>
        </w:rPr>
        <w:t> </w:t>
      </w:r>
      <w:r>
        <w:rPr/>
        <w:t>of</w:t>
      </w:r>
      <w:r>
        <w:rPr>
          <w:spacing w:val="-1"/>
        </w:rPr>
        <w:t> </w:t>
      </w:r>
      <w:r>
        <w:rPr/>
        <w:t>Citizen</w:t>
      </w:r>
      <w:r>
        <w:rPr>
          <w:spacing w:val="-1"/>
        </w:rPr>
        <w:t> </w:t>
      </w:r>
      <w:r>
        <w:rPr/>
        <w:t>Participation</w:t>
      </w:r>
      <w:r>
        <w:rPr>
          <w:spacing w:val="-1"/>
        </w:rPr>
        <w:t> </w:t>
      </w:r>
      <w:r>
        <w:rPr/>
        <w:t>in</w:t>
      </w:r>
      <w:r>
        <w:rPr>
          <w:spacing w:val="-2"/>
        </w:rPr>
        <w:t> </w:t>
      </w:r>
      <w:r>
        <w:rPr/>
        <w:t>Budgeting</w:t>
      </w:r>
      <w:r>
        <w:rPr>
          <w:spacing w:val="2"/>
        </w:rPr>
        <w:t> </w:t>
      </w:r>
      <w:r>
        <w:rPr/>
        <w:t>(Ebdon</w:t>
      </w:r>
      <w:r>
        <w:rPr>
          <w:spacing w:val="-1"/>
        </w:rPr>
        <w:t> </w:t>
      </w:r>
      <w:r>
        <w:rPr/>
        <w:t>and</w:t>
      </w:r>
      <w:r>
        <w:rPr>
          <w:spacing w:val="-1"/>
        </w:rPr>
        <w:t> </w:t>
      </w:r>
      <w:r>
        <w:rPr/>
        <w:t>Aimee,</w:t>
      </w:r>
      <w:r>
        <w:rPr>
          <w:spacing w:val="-1"/>
        </w:rPr>
        <w:t> </w:t>
      </w:r>
      <w:r>
        <w:rPr>
          <w:spacing w:val="-2"/>
        </w:rPr>
        <w:t>2006)</w:t>
      </w:r>
    </w:p>
    <w:p>
      <w:pPr>
        <w:pStyle w:val="BodyText"/>
      </w:pPr>
    </w:p>
    <w:p>
      <w:pPr>
        <w:pStyle w:val="BodyText"/>
        <w:spacing w:before="8"/>
      </w:pPr>
    </w:p>
    <w:p>
      <w:pPr>
        <w:pStyle w:val="Heading4"/>
        <w:numPr>
          <w:ilvl w:val="2"/>
          <w:numId w:val="69"/>
        </w:numPr>
        <w:tabs>
          <w:tab w:pos="840" w:val="left" w:leader="none"/>
        </w:tabs>
        <w:spacing w:line="240" w:lineRule="auto" w:before="0" w:after="0"/>
        <w:ind w:left="840" w:right="0" w:hanging="600"/>
        <w:jc w:val="both"/>
      </w:pPr>
      <w:r>
        <w:rPr/>
        <w:t>The</w:t>
      </w:r>
      <w:r>
        <w:rPr>
          <w:spacing w:val="-4"/>
        </w:rPr>
        <w:t> </w:t>
      </w:r>
      <w:r>
        <w:rPr/>
        <w:t>Balanced</w:t>
      </w:r>
      <w:r>
        <w:rPr>
          <w:spacing w:val="-2"/>
        </w:rPr>
        <w:t> </w:t>
      </w:r>
      <w:r>
        <w:rPr/>
        <w:t>Scorecard</w:t>
      </w:r>
      <w:r>
        <w:rPr>
          <w:spacing w:val="-2"/>
        </w:rPr>
        <w:t> Model</w:t>
      </w:r>
    </w:p>
    <w:p>
      <w:pPr>
        <w:pStyle w:val="BodyText"/>
        <w:spacing w:line="360" w:lineRule="auto" w:before="132"/>
        <w:ind w:left="240" w:right="837"/>
        <w:jc w:val="both"/>
      </w:pPr>
      <w:r>
        <w:rPr/>
        <w:t>The balanced scorecard was designed by Kaplan and Norton (1996) in reaction to the increasing focus on purely financial measures for planning and management of business. The model integrates measures of customer satisfaction, process performance, product or service innovation and finance in linking short term operational control to the long term vision and strategy of business. In their study, Kaplan and Norton (1996) claim that the balanced scorecard provides managers with the instrument they need to navigate to future competitive success and that it addresses deficiencies in the traditional management systems. The model is built around the following four perspectives:</w:t>
      </w:r>
    </w:p>
    <w:p>
      <w:pPr>
        <w:pStyle w:val="ListParagraph"/>
        <w:numPr>
          <w:ilvl w:val="3"/>
          <w:numId w:val="69"/>
        </w:numPr>
        <w:tabs>
          <w:tab w:pos="957" w:val="left" w:leader="none"/>
          <w:tab w:pos="960" w:val="left" w:leader="none"/>
        </w:tabs>
        <w:spacing w:line="360" w:lineRule="auto" w:before="1" w:after="0"/>
        <w:ind w:left="960" w:right="844" w:hanging="488"/>
        <w:jc w:val="both"/>
        <w:rPr>
          <w:sz w:val="24"/>
        </w:rPr>
      </w:pPr>
      <w:r>
        <w:rPr>
          <w:sz w:val="24"/>
        </w:rPr>
        <w:t>Customer - which seeks to know what the existing and new customers value from the </w:t>
      </w:r>
      <w:r>
        <w:rPr>
          <w:spacing w:val="-2"/>
          <w:sz w:val="24"/>
        </w:rPr>
        <w:t>organization;</w:t>
      </w:r>
    </w:p>
    <w:p>
      <w:pPr>
        <w:spacing w:after="0" w:line="360" w:lineRule="auto"/>
        <w:jc w:val="both"/>
        <w:rPr>
          <w:sz w:val="24"/>
        </w:rPr>
        <w:sectPr>
          <w:pgSz w:w="12240" w:h="15840"/>
          <w:pgMar w:header="0" w:footer="1036" w:top="1360" w:bottom="1220" w:left="1200" w:right="600"/>
        </w:sectPr>
      </w:pPr>
    </w:p>
    <w:p>
      <w:pPr>
        <w:pStyle w:val="ListParagraph"/>
        <w:numPr>
          <w:ilvl w:val="3"/>
          <w:numId w:val="69"/>
        </w:numPr>
        <w:tabs>
          <w:tab w:pos="960" w:val="left" w:leader="none"/>
        </w:tabs>
        <w:spacing w:line="360" w:lineRule="auto" w:before="74" w:after="0"/>
        <w:ind w:left="960" w:right="843" w:hanging="555"/>
        <w:jc w:val="left"/>
        <w:rPr>
          <w:sz w:val="24"/>
        </w:rPr>
      </w:pPr>
      <w:r>
        <w:rPr>
          <w:sz w:val="24"/>
        </w:rPr>
        <w:t>Internal</w:t>
      </w:r>
      <w:r>
        <w:rPr>
          <w:spacing w:val="21"/>
          <w:sz w:val="24"/>
        </w:rPr>
        <w:t> </w:t>
      </w:r>
      <w:r>
        <w:rPr>
          <w:sz w:val="24"/>
        </w:rPr>
        <w:t>process</w:t>
      </w:r>
      <w:r>
        <w:rPr>
          <w:spacing w:val="22"/>
          <w:sz w:val="24"/>
        </w:rPr>
        <w:t> </w:t>
      </w:r>
      <w:r>
        <w:rPr>
          <w:sz w:val="24"/>
        </w:rPr>
        <w:t>- which</w:t>
      </w:r>
      <w:r>
        <w:rPr>
          <w:spacing w:val="22"/>
          <w:sz w:val="24"/>
        </w:rPr>
        <w:t> </w:t>
      </w:r>
      <w:r>
        <w:rPr>
          <w:sz w:val="24"/>
        </w:rPr>
        <w:t>seeks</w:t>
      </w:r>
      <w:r>
        <w:rPr>
          <w:spacing w:val="21"/>
          <w:sz w:val="24"/>
        </w:rPr>
        <w:t> </w:t>
      </w:r>
      <w:r>
        <w:rPr>
          <w:sz w:val="24"/>
        </w:rPr>
        <w:t>to</w:t>
      </w:r>
      <w:r>
        <w:rPr>
          <w:spacing w:val="21"/>
          <w:sz w:val="24"/>
        </w:rPr>
        <w:t> </w:t>
      </w:r>
      <w:r>
        <w:rPr>
          <w:sz w:val="24"/>
        </w:rPr>
        <w:t>know what</w:t>
      </w:r>
      <w:r>
        <w:rPr>
          <w:spacing w:val="21"/>
          <w:sz w:val="24"/>
        </w:rPr>
        <w:t> </w:t>
      </w:r>
      <w:r>
        <w:rPr>
          <w:sz w:val="24"/>
        </w:rPr>
        <w:t>processes must</w:t>
      </w:r>
      <w:r>
        <w:rPr>
          <w:spacing w:val="21"/>
          <w:sz w:val="24"/>
        </w:rPr>
        <w:t> </w:t>
      </w:r>
      <w:r>
        <w:rPr>
          <w:sz w:val="24"/>
        </w:rPr>
        <w:t>be excelled</w:t>
      </w:r>
      <w:r>
        <w:rPr>
          <w:spacing w:val="23"/>
          <w:sz w:val="24"/>
        </w:rPr>
        <w:t> </w:t>
      </w:r>
      <w:r>
        <w:rPr>
          <w:sz w:val="24"/>
        </w:rPr>
        <w:t>to</w:t>
      </w:r>
      <w:r>
        <w:rPr>
          <w:spacing w:val="21"/>
          <w:sz w:val="24"/>
        </w:rPr>
        <w:t> </w:t>
      </w:r>
      <w:r>
        <w:rPr>
          <w:sz w:val="24"/>
        </w:rPr>
        <w:t>achieve the financial and customer perspective;</w:t>
      </w:r>
    </w:p>
    <w:p>
      <w:pPr>
        <w:pStyle w:val="ListParagraph"/>
        <w:numPr>
          <w:ilvl w:val="3"/>
          <w:numId w:val="69"/>
        </w:numPr>
        <w:tabs>
          <w:tab w:pos="960" w:val="left" w:leader="none"/>
        </w:tabs>
        <w:spacing w:line="360" w:lineRule="auto" w:before="1" w:after="0"/>
        <w:ind w:left="960" w:right="839" w:hanging="620"/>
        <w:jc w:val="left"/>
        <w:rPr>
          <w:sz w:val="24"/>
        </w:rPr>
      </w:pPr>
      <w:r>
        <w:rPr>
          <w:sz w:val="24"/>
        </w:rPr>
        <w:t>Learning and growth - which seeks to establish whether the organization can continue to improve and create future value; and</w:t>
      </w:r>
    </w:p>
    <w:p>
      <w:pPr>
        <w:pStyle w:val="ListParagraph"/>
        <w:numPr>
          <w:ilvl w:val="3"/>
          <w:numId w:val="69"/>
        </w:numPr>
        <w:tabs>
          <w:tab w:pos="960" w:val="left" w:leader="none"/>
        </w:tabs>
        <w:spacing w:line="240" w:lineRule="auto" w:before="0" w:after="0"/>
        <w:ind w:left="960" w:right="0" w:hanging="607"/>
        <w:jc w:val="left"/>
        <w:rPr>
          <w:sz w:val="24"/>
        </w:rPr>
      </w:pPr>
      <w:r>
        <w:rPr>
          <w:sz w:val="24"/>
        </w:rPr>
        <w:t>Financial,</w:t>
      </w:r>
      <w:r>
        <w:rPr>
          <w:spacing w:val="-3"/>
          <w:sz w:val="24"/>
        </w:rPr>
        <w:t> </w:t>
      </w:r>
      <w:r>
        <w:rPr>
          <w:sz w:val="24"/>
        </w:rPr>
        <w:t>which</w:t>
      </w:r>
      <w:r>
        <w:rPr>
          <w:spacing w:val="-1"/>
          <w:sz w:val="24"/>
        </w:rPr>
        <w:t> </w:t>
      </w:r>
      <w:r>
        <w:rPr>
          <w:sz w:val="24"/>
        </w:rPr>
        <w:t>seeks</w:t>
      </w:r>
      <w:r>
        <w:rPr>
          <w:spacing w:val="-1"/>
          <w:sz w:val="24"/>
        </w:rPr>
        <w:t> </w:t>
      </w:r>
      <w:r>
        <w:rPr>
          <w:sz w:val="24"/>
        </w:rPr>
        <w:t>to establish</w:t>
      </w:r>
      <w:r>
        <w:rPr>
          <w:spacing w:val="-1"/>
          <w:sz w:val="24"/>
        </w:rPr>
        <w:t> </w:t>
      </w:r>
      <w:r>
        <w:rPr>
          <w:sz w:val="24"/>
        </w:rPr>
        <w:t>how value</w:t>
      </w:r>
      <w:r>
        <w:rPr>
          <w:spacing w:val="-1"/>
          <w:sz w:val="24"/>
        </w:rPr>
        <w:t> </w:t>
      </w:r>
      <w:r>
        <w:rPr>
          <w:sz w:val="24"/>
        </w:rPr>
        <w:t>can be</w:t>
      </w:r>
      <w:r>
        <w:rPr>
          <w:spacing w:val="-1"/>
          <w:sz w:val="24"/>
        </w:rPr>
        <w:t> </w:t>
      </w:r>
      <w:r>
        <w:rPr>
          <w:sz w:val="24"/>
        </w:rPr>
        <w:t>created</w:t>
      </w:r>
      <w:r>
        <w:rPr>
          <w:spacing w:val="-1"/>
          <w:sz w:val="24"/>
        </w:rPr>
        <w:t> </w:t>
      </w:r>
      <w:r>
        <w:rPr>
          <w:sz w:val="24"/>
        </w:rPr>
        <w:t>for</w:t>
      </w:r>
      <w:r>
        <w:rPr>
          <w:spacing w:val="-1"/>
          <w:sz w:val="24"/>
        </w:rPr>
        <w:t> </w:t>
      </w:r>
      <w:r>
        <w:rPr>
          <w:spacing w:val="-2"/>
          <w:sz w:val="24"/>
        </w:rPr>
        <w:t>shareholders.</w:t>
      </w:r>
    </w:p>
    <w:p>
      <w:pPr>
        <w:pStyle w:val="BodyText"/>
        <w:spacing w:before="33"/>
      </w:pPr>
    </w:p>
    <w:p>
      <w:pPr>
        <w:pStyle w:val="BodyText"/>
        <w:ind w:left="240"/>
      </w:pPr>
      <w:r>
        <w:rPr/>
        <w:t>The</w:t>
      </w:r>
      <w:r>
        <w:rPr>
          <w:spacing w:val="-5"/>
        </w:rPr>
        <w:t> </w:t>
      </w:r>
      <w:r>
        <w:rPr/>
        <w:t>four</w:t>
      </w:r>
      <w:r>
        <w:rPr>
          <w:spacing w:val="-1"/>
        </w:rPr>
        <w:t> </w:t>
      </w:r>
      <w:r>
        <w:rPr/>
        <w:t>perspectives</w:t>
      </w:r>
      <w:r>
        <w:rPr>
          <w:spacing w:val="2"/>
        </w:rPr>
        <w:t> </w:t>
      </w:r>
      <w:r>
        <w:rPr/>
        <w:t>as</w:t>
      </w:r>
      <w:r>
        <w:rPr>
          <w:spacing w:val="1"/>
        </w:rPr>
        <w:t> </w:t>
      </w:r>
      <w:r>
        <w:rPr/>
        <w:t>expanded</w:t>
      </w:r>
      <w:r>
        <w:rPr>
          <w:spacing w:val="-1"/>
        </w:rPr>
        <w:t> </w:t>
      </w:r>
      <w:r>
        <w:rPr/>
        <w:t>by</w:t>
      </w:r>
      <w:r>
        <w:rPr>
          <w:spacing w:val="-5"/>
        </w:rPr>
        <w:t> </w:t>
      </w:r>
      <w:r>
        <w:rPr/>
        <w:t>Kaplan</w:t>
      </w:r>
      <w:r>
        <w:rPr>
          <w:spacing w:val="-1"/>
        </w:rPr>
        <w:t> </w:t>
      </w:r>
      <w:r>
        <w:rPr/>
        <w:t>and</w:t>
      </w:r>
      <w:r>
        <w:rPr>
          <w:spacing w:val="1"/>
        </w:rPr>
        <w:t> </w:t>
      </w:r>
      <w:r>
        <w:rPr/>
        <w:t>Norton (1996)</w:t>
      </w:r>
      <w:r>
        <w:rPr>
          <w:spacing w:val="-2"/>
        </w:rPr>
        <w:t> </w:t>
      </w:r>
      <w:r>
        <w:rPr/>
        <w:t>are</w:t>
      </w:r>
      <w:r>
        <w:rPr>
          <w:spacing w:val="-3"/>
        </w:rPr>
        <w:t> </w:t>
      </w:r>
      <w:r>
        <w:rPr/>
        <w:t>shown</w:t>
      </w:r>
      <w:r>
        <w:rPr>
          <w:spacing w:val="1"/>
        </w:rPr>
        <w:t> </w:t>
      </w:r>
      <w:r>
        <w:rPr/>
        <w:t>in</w:t>
      </w:r>
      <w:r>
        <w:rPr>
          <w:spacing w:val="-1"/>
        </w:rPr>
        <w:t> </w:t>
      </w:r>
      <w:r>
        <w:rPr/>
        <w:t>Figure</w:t>
      </w:r>
      <w:r>
        <w:rPr>
          <w:spacing w:val="-2"/>
        </w:rPr>
        <w:t> 3.12.</w:t>
      </w:r>
    </w:p>
    <w:p>
      <w:pPr>
        <w:pStyle w:val="BodyText"/>
        <w:spacing w:before="12"/>
        <w:rPr>
          <w:sz w:val="20"/>
        </w:rPr>
      </w:pPr>
      <w:r>
        <w:rPr/>
        <mc:AlternateContent>
          <mc:Choice Requires="wps">
            <w:drawing>
              <wp:anchor distT="0" distB="0" distL="0" distR="0" allowOverlap="1" layoutInCell="1" locked="0" behindDoc="1" simplePos="0" relativeHeight="487604224">
                <wp:simplePos x="0" y="0"/>
                <wp:positionH relativeFrom="page">
                  <wp:posOffset>1106169</wp:posOffset>
                </wp:positionH>
                <wp:positionV relativeFrom="paragraph">
                  <wp:posOffset>169043</wp:posOffset>
                </wp:positionV>
                <wp:extent cx="4191000" cy="2987040"/>
                <wp:effectExtent l="0" t="0" r="0" b="0"/>
                <wp:wrapTopAndBottom/>
                <wp:docPr id="270" name="Group 270"/>
                <wp:cNvGraphicFramePr>
                  <a:graphicFrameLocks/>
                </wp:cNvGraphicFramePr>
                <a:graphic>
                  <a:graphicData uri="http://schemas.microsoft.com/office/word/2010/wordprocessingGroup">
                    <wpg:wgp>
                      <wpg:cNvPr id="270" name="Group 270"/>
                      <wpg:cNvGrpSpPr/>
                      <wpg:grpSpPr>
                        <a:xfrm>
                          <a:off x="0" y="0"/>
                          <a:ext cx="4191000" cy="2987040"/>
                          <a:chExt cx="4191000" cy="2987040"/>
                        </a:xfrm>
                      </wpg:grpSpPr>
                      <wps:wsp>
                        <wps:cNvPr id="271" name="Graphic 271"/>
                        <wps:cNvSpPr/>
                        <wps:spPr>
                          <a:xfrm>
                            <a:off x="1237614" y="2227579"/>
                            <a:ext cx="1602105" cy="759460"/>
                          </a:xfrm>
                          <a:custGeom>
                            <a:avLst/>
                            <a:gdLst/>
                            <a:ahLst/>
                            <a:cxnLst/>
                            <a:rect l="l" t="t" r="r" b="b"/>
                            <a:pathLst>
                              <a:path w="1602105" h="759460">
                                <a:moveTo>
                                  <a:pt x="1602105" y="0"/>
                                </a:moveTo>
                                <a:lnTo>
                                  <a:pt x="0" y="0"/>
                                </a:lnTo>
                                <a:lnTo>
                                  <a:pt x="0" y="759460"/>
                                </a:lnTo>
                                <a:lnTo>
                                  <a:pt x="1602105" y="759460"/>
                                </a:lnTo>
                                <a:lnTo>
                                  <a:pt x="1602105" y="0"/>
                                </a:lnTo>
                                <a:close/>
                              </a:path>
                            </a:pathLst>
                          </a:custGeom>
                          <a:solidFill>
                            <a:srgbClr val="233E5F">
                              <a:alpha val="50195"/>
                            </a:srgbClr>
                          </a:solidFill>
                        </wps:spPr>
                        <wps:bodyPr wrap="square" lIns="0" tIns="0" rIns="0" bIns="0" rtlCol="0">
                          <a:prstTxWarp prst="textNoShape">
                            <a:avLst/>
                          </a:prstTxWarp>
                          <a:noAutofit/>
                        </wps:bodyPr>
                      </wps:wsp>
                      <pic:pic>
                        <pic:nvPicPr>
                          <pic:cNvPr id="272" name="Image 272"/>
                          <pic:cNvPicPr/>
                        </pic:nvPicPr>
                        <pic:blipFill>
                          <a:blip r:embed="rId100" cstate="print"/>
                          <a:stretch>
                            <a:fillRect/>
                          </a:stretch>
                        </pic:blipFill>
                        <pic:spPr>
                          <a:xfrm>
                            <a:off x="1224914" y="2202179"/>
                            <a:ext cx="1602105" cy="759460"/>
                          </a:xfrm>
                          <a:prstGeom prst="rect">
                            <a:avLst/>
                          </a:prstGeom>
                        </pic:spPr>
                      </pic:pic>
                      <wps:wsp>
                        <wps:cNvPr id="273" name="Graphic 273"/>
                        <wps:cNvSpPr/>
                        <wps:spPr>
                          <a:xfrm>
                            <a:off x="554990" y="1884679"/>
                            <a:ext cx="2878455" cy="808355"/>
                          </a:xfrm>
                          <a:custGeom>
                            <a:avLst/>
                            <a:gdLst/>
                            <a:ahLst/>
                            <a:cxnLst/>
                            <a:rect l="l" t="t" r="r" b="b"/>
                            <a:pathLst>
                              <a:path w="2878455" h="808355">
                                <a:moveTo>
                                  <a:pt x="669925" y="808355"/>
                                </a:moveTo>
                                <a:lnTo>
                                  <a:pt x="660196" y="766572"/>
                                </a:lnTo>
                                <a:lnTo>
                                  <a:pt x="650621" y="725424"/>
                                </a:lnTo>
                                <a:lnTo>
                                  <a:pt x="626160" y="745655"/>
                                </a:lnTo>
                                <a:lnTo>
                                  <a:pt x="53555" y="54610"/>
                                </a:lnTo>
                                <a:lnTo>
                                  <a:pt x="69062" y="41783"/>
                                </a:lnTo>
                                <a:lnTo>
                                  <a:pt x="77978" y="34417"/>
                                </a:lnTo>
                                <a:lnTo>
                                  <a:pt x="0" y="0"/>
                                </a:lnTo>
                                <a:lnTo>
                                  <a:pt x="19304" y="82931"/>
                                </a:lnTo>
                                <a:lnTo>
                                  <a:pt x="43751" y="62712"/>
                                </a:lnTo>
                                <a:lnTo>
                                  <a:pt x="616356" y="753757"/>
                                </a:lnTo>
                                <a:lnTo>
                                  <a:pt x="591947" y="773938"/>
                                </a:lnTo>
                                <a:lnTo>
                                  <a:pt x="669925" y="808355"/>
                                </a:lnTo>
                                <a:close/>
                              </a:path>
                              <a:path w="2878455" h="808355">
                                <a:moveTo>
                                  <a:pt x="1497965" y="76200"/>
                                </a:moveTo>
                                <a:lnTo>
                                  <a:pt x="1488440" y="57150"/>
                                </a:lnTo>
                                <a:lnTo>
                                  <a:pt x="1459865" y="0"/>
                                </a:lnTo>
                                <a:lnTo>
                                  <a:pt x="1421765" y="76200"/>
                                </a:lnTo>
                                <a:lnTo>
                                  <a:pt x="1453515" y="76200"/>
                                </a:lnTo>
                                <a:lnTo>
                                  <a:pt x="1453515" y="241300"/>
                                </a:lnTo>
                                <a:lnTo>
                                  <a:pt x="1421765" y="241300"/>
                                </a:lnTo>
                                <a:lnTo>
                                  <a:pt x="1459865" y="317500"/>
                                </a:lnTo>
                                <a:lnTo>
                                  <a:pt x="1488440" y="260350"/>
                                </a:lnTo>
                                <a:lnTo>
                                  <a:pt x="1497965" y="241300"/>
                                </a:lnTo>
                                <a:lnTo>
                                  <a:pt x="1466215" y="241300"/>
                                </a:lnTo>
                                <a:lnTo>
                                  <a:pt x="1466215" y="76200"/>
                                </a:lnTo>
                                <a:lnTo>
                                  <a:pt x="1497965" y="76200"/>
                                </a:lnTo>
                                <a:close/>
                              </a:path>
                              <a:path w="2878455" h="808355">
                                <a:moveTo>
                                  <a:pt x="2878455" y="224155"/>
                                </a:moveTo>
                                <a:lnTo>
                                  <a:pt x="2795778" y="244856"/>
                                </a:lnTo>
                                <a:lnTo>
                                  <a:pt x="2816504" y="268998"/>
                                </a:lnTo>
                                <a:lnTo>
                                  <a:pt x="2325687" y="690397"/>
                                </a:lnTo>
                                <a:lnTo>
                                  <a:pt x="2305050" y="666369"/>
                                </a:lnTo>
                                <a:lnTo>
                                  <a:pt x="2272030" y="744855"/>
                                </a:lnTo>
                                <a:lnTo>
                                  <a:pt x="2354707" y="724154"/>
                                </a:lnTo>
                                <a:lnTo>
                                  <a:pt x="2343023" y="710565"/>
                                </a:lnTo>
                                <a:lnTo>
                                  <a:pt x="2333968" y="700024"/>
                                </a:lnTo>
                                <a:lnTo>
                                  <a:pt x="2824784" y="278625"/>
                                </a:lnTo>
                                <a:lnTo>
                                  <a:pt x="2845435" y="302641"/>
                                </a:lnTo>
                                <a:lnTo>
                                  <a:pt x="2864027" y="258445"/>
                                </a:lnTo>
                                <a:lnTo>
                                  <a:pt x="2878455" y="224155"/>
                                </a:lnTo>
                                <a:close/>
                              </a:path>
                            </a:pathLst>
                          </a:custGeom>
                          <a:solidFill>
                            <a:srgbClr val="000000"/>
                          </a:solidFill>
                        </wps:spPr>
                        <wps:bodyPr wrap="square" lIns="0" tIns="0" rIns="0" bIns="0" rtlCol="0">
                          <a:prstTxWarp prst="textNoShape">
                            <a:avLst/>
                          </a:prstTxWarp>
                          <a:noAutofit/>
                        </wps:bodyPr>
                      </wps:wsp>
                      <wps:wsp>
                        <wps:cNvPr id="274" name="Graphic 274"/>
                        <wps:cNvSpPr/>
                        <wps:spPr>
                          <a:xfrm>
                            <a:off x="1321435" y="31750"/>
                            <a:ext cx="1518285" cy="815975"/>
                          </a:xfrm>
                          <a:custGeom>
                            <a:avLst/>
                            <a:gdLst/>
                            <a:ahLst/>
                            <a:cxnLst/>
                            <a:rect l="l" t="t" r="r" b="b"/>
                            <a:pathLst>
                              <a:path w="1518285" h="815975">
                                <a:moveTo>
                                  <a:pt x="1518284" y="0"/>
                                </a:moveTo>
                                <a:lnTo>
                                  <a:pt x="0" y="0"/>
                                </a:lnTo>
                                <a:lnTo>
                                  <a:pt x="0" y="815975"/>
                                </a:lnTo>
                                <a:lnTo>
                                  <a:pt x="1518284" y="815975"/>
                                </a:lnTo>
                                <a:lnTo>
                                  <a:pt x="1518284" y="0"/>
                                </a:lnTo>
                                <a:close/>
                              </a:path>
                            </a:pathLst>
                          </a:custGeom>
                          <a:solidFill>
                            <a:srgbClr val="233E5F">
                              <a:alpha val="50195"/>
                            </a:srgbClr>
                          </a:solidFill>
                        </wps:spPr>
                        <wps:bodyPr wrap="square" lIns="0" tIns="0" rIns="0" bIns="0" rtlCol="0">
                          <a:prstTxWarp prst="textNoShape">
                            <a:avLst/>
                          </a:prstTxWarp>
                          <a:noAutofit/>
                        </wps:bodyPr>
                      </wps:wsp>
                      <pic:pic>
                        <pic:nvPicPr>
                          <pic:cNvPr id="275" name="Image 275"/>
                          <pic:cNvPicPr/>
                        </pic:nvPicPr>
                        <pic:blipFill>
                          <a:blip r:embed="rId101" cstate="print"/>
                          <a:stretch>
                            <a:fillRect/>
                          </a:stretch>
                        </pic:blipFill>
                        <pic:spPr>
                          <a:xfrm>
                            <a:off x="1308735" y="6350"/>
                            <a:ext cx="1518284" cy="815975"/>
                          </a:xfrm>
                          <a:prstGeom prst="rect">
                            <a:avLst/>
                          </a:prstGeom>
                        </pic:spPr>
                      </pic:pic>
                      <wps:wsp>
                        <wps:cNvPr id="276" name="Graphic 276"/>
                        <wps:cNvSpPr/>
                        <wps:spPr>
                          <a:xfrm>
                            <a:off x="1308735" y="6350"/>
                            <a:ext cx="1518285" cy="815975"/>
                          </a:xfrm>
                          <a:custGeom>
                            <a:avLst/>
                            <a:gdLst/>
                            <a:ahLst/>
                            <a:cxnLst/>
                            <a:rect l="l" t="t" r="r" b="b"/>
                            <a:pathLst>
                              <a:path w="1518285" h="815975">
                                <a:moveTo>
                                  <a:pt x="0" y="815975"/>
                                </a:moveTo>
                                <a:lnTo>
                                  <a:pt x="1518284" y="815975"/>
                                </a:lnTo>
                                <a:lnTo>
                                  <a:pt x="1518284" y="0"/>
                                </a:lnTo>
                                <a:lnTo>
                                  <a:pt x="0" y="0"/>
                                </a:lnTo>
                                <a:lnTo>
                                  <a:pt x="0" y="815975"/>
                                </a:lnTo>
                                <a:close/>
                              </a:path>
                            </a:pathLst>
                          </a:custGeom>
                          <a:ln w="12700">
                            <a:solidFill>
                              <a:srgbClr val="94B3D6"/>
                            </a:solidFill>
                            <a:prstDash val="solid"/>
                          </a:ln>
                        </wps:spPr>
                        <wps:bodyPr wrap="square" lIns="0" tIns="0" rIns="0" bIns="0" rtlCol="0">
                          <a:prstTxWarp prst="textNoShape">
                            <a:avLst/>
                          </a:prstTxWarp>
                          <a:noAutofit/>
                        </wps:bodyPr>
                      </wps:wsp>
                      <wps:wsp>
                        <wps:cNvPr id="277" name="Graphic 277"/>
                        <wps:cNvSpPr/>
                        <wps:spPr>
                          <a:xfrm>
                            <a:off x="615315" y="406400"/>
                            <a:ext cx="693420" cy="706120"/>
                          </a:xfrm>
                          <a:custGeom>
                            <a:avLst/>
                            <a:gdLst/>
                            <a:ahLst/>
                            <a:cxnLst/>
                            <a:rect l="l" t="t" r="r" b="b"/>
                            <a:pathLst>
                              <a:path w="693420" h="706120">
                                <a:moveTo>
                                  <a:pt x="26162" y="625094"/>
                                </a:moveTo>
                                <a:lnTo>
                                  <a:pt x="0" y="706120"/>
                                </a:lnTo>
                                <a:lnTo>
                                  <a:pt x="80517" y="678434"/>
                                </a:lnTo>
                                <a:lnTo>
                                  <a:pt x="67058" y="665226"/>
                                </a:lnTo>
                                <a:lnTo>
                                  <a:pt x="49021" y="665226"/>
                                </a:lnTo>
                                <a:lnTo>
                                  <a:pt x="40004" y="656336"/>
                                </a:lnTo>
                                <a:lnTo>
                                  <a:pt x="48835" y="647343"/>
                                </a:lnTo>
                                <a:lnTo>
                                  <a:pt x="26162" y="625094"/>
                                </a:lnTo>
                                <a:close/>
                              </a:path>
                              <a:path w="693420" h="706120">
                                <a:moveTo>
                                  <a:pt x="48835" y="647343"/>
                                </a:moveTo>
                                <a:lnTo>
                                  <a:pt x="40004" y="656336"/>
                                </a:lnTo>
                                <a:lnTo>
                                  <a:pt x="49021" y="665226"/>
                                </a:lnTo>
                                <a:lnTo>
                                  <a:pt x="57873" y="656212"/>
                                </a:lnTo>
                                <a:lnTo>
                                  <a:pt x="48835" y="647343"/>
                                </a:lnTo>
                                <a:close/>
                              </a:path>
                              <a:path w="693420" h="706120">
                                <a:moveTo>
                                  <a:pt x="57873" y="656212"/>
                                </a:moveTo>
                                <a:lnTo>
                                  <a:pt x="49021" y="665226"/>
                                </a:lnTo>
                                <a:lnTo>
                                  <a:pt x="67058" y="665226"/>
                                </a:lnTo>
                                <a:lnTo>
                                  <a:pt x="57873" y="656212"/>
                                </a:lnTo>
                                <a:close/>
                              </a:path>
                              <a:path w="693420" h="706120">
                                <a:moveTo>
                                  <a:pt x="635546" y="49907"/>
                                </a:moveTo>
                                <a:lnTo>
                                  <a:pt x="48835" y="647343"/>
                                </a:lnTo>
                                <a:lnTo>
                                  <a:pt x="57873" y="656212"/>
                                </a:lnTo>
                                <a:lnTo>
                                  <a:pt x="644584" y="58776"/>
                                </a:lnTo>
                                <a:lnTo>
                                  <a:pt x="635546" y="49907"/>
                                </a:lnTo>
                                <a:close/>
                              </a:path>
                              <a:path w="693420" h="706120">
                                <a:moveTo>
                                  <a:pt x="680215" y="40894"/>
                                </a:moveTo>
                                <a:lnTo>
                                  <a:pt x="644397" y="40894"/>
                                </a:lnTo>
                                <a:lnTo>
                                  <a:pt x="653414" y="49784"/>
                                </a:lnTo>
                                <a:lnTo>
                                  <a:pt x="644584" y="58776"/>
                                </a:lnTo>
                                <a:lnTo>
                                  <a:pt x="667257" y="81025"/>
                                </a:lnTo>
                                <a:lnTo>
                                  <a:pt x="680215" y="40894"/>
                                </a:lnTo>
                                <a:close/>
                              </a:path>
                              <a:path w="693420" h="706120">
                                <a:moveTo>
                                  <a:pt x="644397" y="40894"/>
                                </a:moveTo>
                                <a:lnTo>
                                  <a:pt x="635546" y="49907"/>
                                </a:lnTo>
                                <a:lnTo>
                                  <a:pt x="644584" y="58776"/>
                                </a:lnTo>
                                <a:lnTo>
                                  <a:pt x="653414" y="49784"/>
                                </a:lnTo>
                                <a:lnTo>
                                  <a:pt x="644397" y="40894"/>
                                </a:lnTo>
                                <a:close/>
                              </a:path>
                              <a:path w="693420" h="706120">
                                <a:moveTo>
                                  <a:pt x="693419" y="0"/>
                                </a:moveTo>
                                <a:lnTo>
                                  <a:pt x="612901" y="27686"/>
                                </a:lnTo>
                                <a:lnTo>
                                  <a:pt x="635546" y="49907"/>
                                </a:lnTo>
                                <a:lnTo>
                                  <a:pt x="644397" y="40894"/>
                                </a:lnTo>
                                <a:lnTo>
                                  <a:pt x="680215" y="40894"/>
                                </a:lnTo>
                                <a:lnTo>
                                  <a:pt x="693419" y="0"/>
                                </a:lnTo>
                                <a:close/>
                              </a:path>
                            </a:pathLst>
                          </a:custGeom>
                          <a:solidFill>
                            <a:srgbClr val="666666"/>
                          </a:solidFill>
                        </wps:spPr>
                        <wps:bodyPr wrap="square" lIns="0" tIns="0" rIns="0" bIns="0" rtlCol="0">
                          <a:prstTxWarp prst="textNoShape">
                            <a:avLst/>
                          </a:prstTxWarp>
                          <a:noAutofit/>
                        </wps:bodyPr>
                      </wps:wsp>
                      <wps:wsp>
                        <wps:cNvPr id="278" name="Graphic 278"/>
                        <wps:cNvSpPr/>
                        <wps:spPr>
                          <a:xfrm>
                            <a:off x="1976755" y="287654"/>
                            <a:ext cx="1456690" cy="905510"/>
                          </a:xfrm>
                          <a:custGeom>
                            <a:avLst/>
                            <a:gdLst/>
                            <a:ahLst/>
                            <a:cxnLst/>
                            <a:rect l="l" t="t" r="r" b="b"/>
                            <a:pathLst>
                              <a:path w="1456690" h="905510">
                                <a:moveTo>
                                  <a:pt x="76200" y="578485"/>
                                </a:moveTo>
                                <a:lnTo>
                                  <a:pt x="66675" y="559435"/>
                                </a:lnTo>
                                <a:lnTo>
                                  <a:pt x="38100" y="502285"/>
                                </a:lnTo>
                                <a:lnTo>
                                  <a:pt x="0" y="578485"/>
                                </a:lnTo>
                                <a:lnTo>
                                  <a:pt x="31750" y="578485"/>
                                </a:lnTo>
                                <a:lnTo>
                                  <a:pt x="31750" y="829310"/>
                                </a:lnTo>
                                <a:lnTo>
                                  <a:pt x="0" y="829310"/>
                                </a:lnTo>
                                <a:lnTo>
                                  <a:pt x="38100" y="905510"/>
                                </a:lnTo>
                                <a:lnTo>
                                  <a:pt x="66675" y="848360"/>
                                </a:lnTo>
                                <a:lnTo>
                                  <a:pt x="76200" y="829310"/>
                                </a:lnTo>
                                <a:lnTo>
                                  <a:pt x="44450" y="829310"/>
                                </a:lnTo>
                                <a:lnTo>
                                  <a:pt x="44450" y="578485"/>
                                </a:lnTo>
                                <a:lnTo>
                                  <a:pt x="76200" y="578485"/>
                                </a:lnTo>
                                <a:close/>
                              </a:path>
                              <a:path w="1456690" h="905510">
                                <a:moveTo>
                                  <a:pt x="1456690" y="704850"/>
                                </a:moveTo>
                                <a:lnTo>
                                  <a:pt x="1446339" y="663829"/>
                                </a:lnTo>
                                <a:lnTo>
                                  <a:pt x="1435862" y="622300"/>
                                </a:lnTo>
                                <a:lnTo>
                                  <a:pt x="1411846" y="642937"/>
                                </a:lnTo>
                                <a:lnTo>
                                  <a:pt x="904786" y="53594"/>
                                </a:lnTo>
                                <a:lnTo>
                                  <a:pt x="919416" y="41021"/>
                                </a:lnTo>
                                <a:lnTo>
                                  <a:pt x="928878" y="32893"/>
                                </a:lnTo>
                                <a:lnTo>
                                  <a:pt x="850265" y="0"/>
                                </a:lnTo>
                                <a:lnTo>
                                  <a:pt x="871093" y="82550"/>
                                </a:lnTo>
                                <a:lnTo>
                                  <a:pt x="895096" y="61925"/>
                                </a:lnTo>
                                <a:lnTo>
                                  <a:pt x="1402156" y="651268"/>
                                </a:lnTo>
                                <a:lnTo>
                                  <a:pt x="1378077" y="671957"/>
                                </a:lnTo>
                                <a:lnTo>
                                  <a:pt x="1456690" y="704850"/>
                                </a:lnTo>
                                <a:close/>
                              </a:path>
                            </a:pathLst>
                          </a:custGeom>
                          <a:solidFill>
                            <a:srgbClr val="000000"/>
                          </a:solidFill>
                        </wps:spPr>
                        <wps:bodyPr wrap="square" lIns="0" tIns="0" rIns="0" bIns="0" rtlCol="0">
                          <a:prstTxWarp prst="textNoShape">
                            <a:avLst/>
                          </a:prstTxWarp>
                          <a:noAutofit/>
                        </wps:bodyPr>
                      </wps:wsp>
                      <wps:wsp>
                        <wps:cNvPr id="279" name="Graphic 279"/>
                        <wps:cNvSpPr/>
                        <wps:spPr>
                          <a:xfrm>
                            <a:off x="19050" y="1137919"/>
                            <a:ext cx="1302385" cy="772160"/>
                          </a:xfrm>
                          <a:custGeom>
                            <a:avLst/>
                            <a:gdLst/>
                            <a:ahLst/>
                            <a:cxnLst/>
                            <a:rect l="l" t="t" r="r" b="b"/>
                            <a:pathLst>
                              <a:path w="1302385" h="772160">
                                <a:moveTo>
                                  <a:pt x="1302384" y="0"/>
                                </a:moveTo>
                                <a:lnTo>
                                  <a:pt x="0" y="0"/>
                                </a:lnTo>
                                <a:lnTo>
                                  <a:pt x="0" y="772160"/>
                                </a:lnTo>
                                <a:lnTo>
                                  <a:pt x="1302384" y="772160"/>
                                </a:lnTo>
                                <a:lnTo>
                                  <a:pt x="1302384" y="0"/>
                                </a:lnTo>
                                <a:close/>
                              </a:path>
                            </a:pathLst>
                          </a:custGeom>
                          <a:solidFill>
                            <a:srgbClr val="233E5F">
                              <a:alpha val="50195"/>
                            </a:srgbClr>
                          </a:solidFill>
                        </wps:spPr>
                        <wps:bodyPr wrap="square" lIns="0" tIns="0" rIns="0" bIns="0" rtlCol="0">
                          <a:prstTxWarp prst="textNoShape">
                            <a:avLst/>
                          </a:prstTxWarp>
                          <a:noAutofit/>
                        </wps:bodyPr>
                      </wps:wsp>
                      <pic:pic>
                        <pic:nvPicPr>
                          <pic:cNvPr id="280" name="Image 280"/>
                          <pic:cNvPicPr/>
                        </pic:nvPicPr>
                        <pic:blipFill>
                          <a:blip r:embed="rId102" cstate="print"/>
                          <a:stretch>
                            <a:fillRect/>
                          </a:stretch>
                        </pic:blipFill>
                        <pic:spPr>
                          <a:xfrm>
                            <a:off x="6350" y="1112519"/>
                            <a:ext cx="1302384" cy="772160"/>
                          </a:xfrm>
                          <a:prstGeom prst="rect">
                            <a:avLst/>
                          </a:prstGeom>
                        </pic:spPr>
                      </pic:pic>
                      <wps:wsp>
                        <wps:cNvPr id="281" name="Graphic 281"/>
                        <wps:cNvSpPr/>
                        <wps:spPr>
                          <a:xfrm>
                            <a:off x="2717800" y="1017905"/>
                            <a:ext cx="1473200" cy="1116330"/>
                          </a:xfrm>
                          <a:custGeom>
                            <a:avLst/>
                            <a:gdLst/>
                            <a:ahLst/>
                            <a:cxnLst/>
                            <a:rect l="l" t="t" r="r" b="b"/>
                            <a:pathLst>
                              <a:path w="1473200" h="1116330">
                                <a:moveTo>
                                  <a:pt x="1473200" y="0"/>
                                </a:moveTo>
                                <a:lnTo>
                                  <a:pt x="0" y="0"/>
                                </a:lnTo>
                                <a:lnTo>
                                  <a:pt x="0" y="1116330"/>
                                </a:lnTo>
                                <a:lnTo>
                                  <a:pt x="1473200" y="1116330"/>
                                </a:lnTo>
                                <a:lnTo>
                                  <a:pt x="1473200" y="0"/>
                                </a:lnTo>
                                <a:close/>
                              </a:path>
                            </a:pathLst>
                          </a:custGeom>
                          <a:solidFill>
                            <a:srgbClr val="233E5F">
                              <a:alpha val="50195"/>
                            </a:srgbClr>
                          </a:solidFill>
                        </wps:spPr>
                        <wps:bodyPr wrap="square" lIns="0" tIns="0" rIns="0" bIns="0" rtlCol="0">
                          <a:prstTxWarp prst="textNoShape">
                            <a:avLst/>
                          </a:prstTxWarp>
                          <a:noAutofit/>
                        </wps:bodyPr>
                      </wps:wsp>
                      <pic:pic>
                        <pic:nvPicPr>
                          <pic:cNvPr id="282" name="Image 282"/>
                          <pic:cNvPicPr/>
                        </pic:nvPicPr>
                        <pic:blipFill>
                          <a:blip r:embed="rId103" cstate="print"/>
                          <a:stretch>
                            <a:fillRect/>
                          </a:stretch>
                        </pic:blipFill>
                        <pic:spPr>
                          <a:xfrm>
                            <a:off x="2705100" y="992505"/>
                            <a:ext cx="1473200" cy="1116330"/>
                          </a:xfrm>
                          <a:prstGeom prst="rect">
                            <a:avLst/>
                          </a:prstGeom>
                        </pic:spPr>
                      </pic:pic>
                      <wps:wsp>
                        <wps:cNvPr id="283" name="Graphic 283"/>
                        <wps:cNvSpPr/>
                        <wps:spPr>
                          <a:xfrm>
                            <a:off x="1586864" y="1204594"/>
                            <a:ext cx="848994" cy="782320"/>
                          </a:xfrm>
                          <a:custGeom>
                            <a:avLst/>
                            <a:gdLst/>
                            <a:ahLst/>
                            <a:cxnLst/>
                            <a:rect l="l" t="t" r="r" b="b"/>
                            <a:pathLst>
                              <a:path w="848994" h="782320">
                                <a:moveTo>
                                  <a:pt x="848994" y="0"/>
                                </a:moveTo>
                                <a:lnTo>
                                  <a:pt x="0" y="0"/>
                                </a:lnTo>
                                <a:lnTo>
                                  <a:pt x="0" y="782320"/>
                                </a:lnTo>
                                <a:lnTo>
                                  <a:pt x="848994" y="782320"/>
                                </a:lnTo>
                                <a:lnTo>
                                  <a:pt x="848994" y="0"/>
                                </a:lnTo>
                                <a:close/>
                              </a:path>
                            </a:pathLst>
                          </a:custGeom>
                          <a:solidFill>
                            <a:srgbClr val="233E5F">
                              <a:alpha val="50195"/>
                            </a:srgbClr>
                          </a:solidFill>
                        </wps:spPr>
                        <wps:bodyPr wrap="square" lIns="0" tIns="0" rIns="0" bIns="0" rtlCol="0">
                          <a:prstTxWarp prst="textNoShape">
                            <a:avLst/>
                          </a:prstTxWarp>
                          <a:noAutofit/>
                        </wps:bodyPr>
                      </wps:wsp>
                      <pic:pic>
                        <pic:nvPicPr>
                          <pic:cNvPr id="284" name="Image 284"/>
                          <pic:cNvPicPr/>
                        </pic:nvPicPr>
                        <pic:blipFill>
                          <a:blip r:embed="rId104" cstate="print"/>
                          <a:stretch>
                            <a:fillRect/>
                          </a:stretch>
                        </pic:blipFill>
                        <pic:spPr>
                          <a:xfrm>
                            <a:off x="1574164" y="1179194"/>
                            <a:ext cx="848994" cy="782320"/>
                          </a:xfrm>
                          <a:prstGeom prst="rect">
                            <a:avLst/>
                          </a:prstGeom>
                        </pic:spPr>
                      </pic:pic>
                      <wps:wsp>
                        <wps:cNvPr id="285" name="Graphic 285"/>
                        <wps:cNvSpPr/>
                        <wps:spPr>
                          <a:xfrm>
                            <a:off x="1308735" y="1441576"/>
                            <a:ext cx="1406525" cy="77470"/>
                          </a:xfrm>
                          <a:custGeom>
                            <a:avLst/>
                            <a:gdLst/>
                            <a:ahLst/>
                            <a:cxnLst/>
                            <a:rect l="l" t="t" r="r" b="b"/>
                            <a:pathLst>
                              <a:path w="1406525" h="77470">
                                <a:moveTo>
                                  <a:pt x="265430" y="39243"/>
                                </a:moveTo>
                                <a:lnTo>
                                  <a:pt x="189357" y="1016"/>
                                </a:lnTo>
                                <a:lnTo>
                                  <a:pt x="189242" y="32740"/>
                                </a:lnTo>
                                <a:lnTo>
                                  <a:pt x="76212" y="32423"/>
                                </a:lnTo>
                                <a:lnTo>
                                  <a:pt x="76327" y="635"/>
                                </a:lnTo>
                                <a:lnTo>
                                  <a:pt x="0" y="38608"/>
                                </a:lnTo>
                                <a:lnTo>
                                  <a:pt x="76073" y="76835"/>
                                </a:lnTo>
                                <a:lnTo>
                                  <a:pt x="76174" y="45123"/>
                                </a:lnTo>
                                <a:lnTo>
                                  <a:pt x="189204" y="45427"/>
                                </a:lnTo>
                                <a:lnTo>
                                  <a:pt x="189103" y="77216"/>
                                </a:lnTo>
                                <a:lnTo>
                                  <a:pt x="252920" y="45466"/>
                                </a:lnTo>
                                <a:lnTo>
                                  <a:pt x="265430" y="39243"/>
                                </a:lnTo>
                                <a:close/>
                              </a:path>
                              <a:path w="1406525" h="77470">
                                <a:moveTo>
                                  <a:pt x="1406525" y="38608"/>
                                </a:moveTo>
                                <a:lnTo>
                                  <a:pt x="1330452" y="381"/>
                                </a:lnTo>
                                <a:lnTo>
                                  <a:pt x="1330337" y="32105"/>
                                </a:lnTo>
                                <a:lnTo>
                                  <a:pt x="1200162" y="31788"/>
                                </a:lnTo>
                                <a:lnTo>
                                  <a:pt x="1200277" y="0"/>
                                </a:lnTo>
                                <a:lnTo>
                                  <a:pt x="1123950" y="37973"/>
                                </a:lnTo>
                                <a:lnTo>
                                  <a:pt x="1200023" y="76200"/>
                                </a:lnTo>
                                <a:lnTo>
                                  <a:pt x="1200124" y="44488"/>
                                </a:lnTo>
                                <a:lnTo>
                                  <a:pt x="1330299" y="44792"/>
                                </a:lnTo>
                                <a:lnTo>
                                  <a:pt x="1330198" y="76581"/>
                                </a:lnTo>
                                <a:lnTo>
                                  <a:pt x="1394015" y="44831"/>
                                </a:lnTo>
                                <a:lnTo>
                                  <a:pt x="1406525" y="38608"/>
                                </a:lnTo>
                                <a:close/>
                              </a:path>
                            </a:pathLst>
                          </a:custGeom>
                          <a:solidFill>
                            <a:srgbClr val="000000"/>
                          </a:solidFill>
                        </wps:spPr>
                        <wps:bodyPr wrap="square" lIns="0" tIns="0" rIns="0" bIns="0" rtlCol="0">
                          <a:prstTxWarp prst="textNoShape">
                            <a:avLst/>
                          </a:prstTxWarp>
                          <a:noAutofit/>
                        </wps:bodyPr>
                      </wps:wsp>
                      <wps:wsp>
                        <wps:cNvPr id="286" name="Textbox 286"/>
                        <wps:cNvSpPr txBox="1"/>
                        <wps:spPr>
                          <a:xfrm>
                            <a:off x="6350" y="0"/>
                            <a:ext cx="4184650" cy="2987040"/>
                          </a:xfrm>
                          <a:prstGeom prst="rect">
                            <a:avLst/>
                          </a:prstGeom>
                        </wps:spPr>
                        <wps:txbx>
                          <w:txbxContent>
                            <w:p>
                              <w:pPr>
                                <w:spacing w:before="92"/>
                                <w:ind w:left="2206" w:right="0" w:firstLine="0"/>
                                <w:jc w:val="both"/>
                                <w:rPr>
                                  <w:rFonts w:ascii="Calibri"/>
                                  <w:b/>
                                  <w:sz w:val="18"/>
                                </w:rPr>
                              </w:pPr>
                              <w:r>
                                <w:rPr>
                                  <w:rFonts w:ascii="Calibri"/>
                                  <w:b/>
                                  <w:sz w:val="18"/>
                                </w:rPr>
                                <w:t>Financial</w:t>
                              </w:r>
                              <w:r>
                                <w:rPr>
                                  <w:rFonts w:ascii="Calibri"/>
                                  <w:b/>
                                  <w:spacing w:val="-5"/>
                                  <w:sz w:val="18"/>
                                </w:rPr>
                                <w:t> </w:t>
                              </w:r>
                              <w:r>
                                <w:rPr>
                                  <w:rFonts w:ascii="Calibri"/>
                                  <w:b/>
                                  <w:spacing w:val="-2"/>
                                  <w:sz w:val="18"/>
                                </w:rPr>
                                <w:t>perspective:</w:t>
                              </w:r>
                            </w:p>
                            <w:p>
                              <w:pPr>
                                <w:spacing w:line="240" w:lineRule="auto" w:before="11"/>
                                <w:rPr>
                                  <w:rFonts w:ascii="Calibri"/>
                                  <w:b/>
                                  <w:sz w:val="18"/>
                                </w:rPr>
                              </w:pPr>
                            </w:p>
                            <w:p>
                              <w:pPr>
                                <w:spacing w:line="276" w:lineRule="auto" w:before="0"/>
                                <w:ind w:left="2206" w:right="2300" w:firstLine="0"/>
                                <w:jc w:val="both"/>
                                <w:rPr>
                                  <w:rFonts w:ascii="Calibri"/>
                                  <w:b/>
                                  <w:sz w:val="18"/>
                                </w:rPr>
                              </w:pPr>
                              <w:r>
                                <w:rPr>
                                  <w:rFonts w:ascii="Calibri"/>
                                  <w:sz w:val="18"/>
                                </w:rPr>
                                <w:t>To succeed financially, how should we appear to our </w:t>
                              </w:r>
                              <w:r>
                                <w:rPr>
                                  <w:rFonts w:ascii="Calibri"/>
                                  <w:spacing w:val="-2"/>
                                  <w:sz w:val="18"/>
                                </w:rPr>
                                <w:t>shareholders</w:t>
                              </w:r>
                              <w:r>
                                <w:rPr>
                                  <w:rFonts w:ascii="Calibri"/>
                                  <w:b/>
                                  <w:spacing w:val="-2"/>
                                  <w:sz w:val="18"/>
                                </w:rPr>
                                <w:t>?</w:t>
                              </w:r>
                            </w:p>
                          </w:txbxContent>
                        </wps:txbx>
                        <wps:bodyPr wrap="square" lIns="0" tIns="0" rIns="0" bIns="0" rtlCol="0">
                          <a:noAutofit/>
                        </wps:bodyPr>
                      </wps:wsp>
                      <wps:wsp>
                        <wps:cNvPr id="287" name="Textbox 287"/>
                        <wps:cNvSpPr txBox="1"/>
                        <wps:spPr>
                          <a:xfrm>
                            <a:off x="1224914" y="2202179"/>
                            <a:ext cx="1602105" cy="759460"/>
                          </a:xfrm>
                          <a:prstGeom prst="rect">
                            <a:avLst/>
                          </a:prstGeom>
                          <a:ln w="12700">
                            <a:solidFill>
                              <a:srgbClr val="94B3D6"/>
                            </a:solidFill>
                            <a:prstDash val="solid"/>
                          </a:ln>
                        </wps:spPr>
                        <wps:txbx>
                          <w:txbxContent>
                            <w:p>
                              <w:pPr>
                                <w:spacing w:line="276" w:lineRule="auto" w:before="73"/>
                                <w:ind w:left="145" w:right="325" w:firstLine="0"/>
                                <w:jc w:val="left"/>
                                <w:rPr>
                                  <w:rFonts w:ascii="Calibri"/>
                                  <w:sz w:val="18"/>
                                </w:rPr>
                              </w:pPr>
                              <w:r>
                                <w:rPr>
                                  <w:rFonts w:ascii="Calibri"/>
                                  <w:b/>
                                  <w:sz w:val="18"/>
                                </w:rPr>
                                <w:t>Learning and growth perspective</w:t>
                              </w:r>
                              <w:r>
                                <w:rPr>
                                  <w:rFonts w:ascii="Calibri"/>
                                  <w:sz w:val="18"/>
                                </w:rPr>
                                <w:t>:</w:t>
                              </w:r>
                              <w:r>
                                <w:rPr>
                                  <w:rFonts w:ascii="Calibri"/>
                                  <w:spacing w:val="-11"/>
                                  <w:sz w:val="18"/>
                                </w:rPr>
                                <w:t> </w:t>
                              </w:r>
                              <w:r>
                                <w:rPr>
                                  <w:rFonts w:ascii="Calibri"/>
                                  <w:sz w:val="18"/>
                                </w:rPr>
                                <w:t>To</w:t>
                              </w:r>
                              <w:r>
                                <w:rPr>
                                  <w:rFonts w:ascii="Calibri"/>
                                  <w:spacing w:val="-10"/>
                                  <w:sz w:val="18"/>
                                </w:rPr>
                                <w:t> </w:t>
                              </w:r>
                              <w:r>
                                <w:rPr>
                                  <w:rFonts w:ascii="Calibri"/>
                                  <w:sz w:val="18"/>
                                </w:rPr>
                                <w:t>achieve</w:t>
                              </w:r>
                              <w:r>
                                <w:rPr>
                                  <w:rFonts w:ascii="Calibri"/>
                                  <w:spacing w:val="-10"/>
                                  <w:sz w:val="18"/>
                                </w:rPr>
                                <w:t> </w:t>
                              </w:r>
                              <w:r>
                                <w:rPr>
                                  <w:rFonts w:ascii="Calibri"/>
                                  <w:sz w:val="18"/>
                                </w:rPr>
                                <w:t>our vision, how will we sustain our ability to improve?</w:t>
                              </w:r>
                            </w:p>
                          </w:txbxContent>
                        </wps:txbx>
                        <wps:bodyPr wrap="square" lIns="0" tIns="0" rIns="0" bIns="0" rtlCol="0">
                          <a:noAutofit/>
                        </wps:bodyPr>
                      </wps:wsp>
                      <wps:wsp>
                        <wps:cNvPr id="288" name="Textbox 288"/>
                        <wps:cNvSpPr txBox="1"/>
                        <wps:spPr>
                          <a:xfrm>
                            <a:off x="1574164" y="1179194"/>
                            <a:ext cx="848994" cy="782320"/>
                          </a:xfrm>
                          <a:prstGeom prst="rect">
                            <a:avLst/>
                          </a:prstGeom>
                          <a:ln w="12700">
                            <a:solidFill>
                              <a:srgbClr val="94B3D6"/>
                            </a:solidFill>
                            <a:prstDash val="solid"/>
                          </a:ln>
                        </wps:spPr>
                        <wps:txbx>
                          <w:txbxContent>
                            <w:p>
                              <w:pPr>
                                <w:spacing w:line="276" w:lineRule="auto" w:before="71"/>
                                <w:ind w:left="145" w:right="406" w:firstLine="0"/>
                                <w:jc w:val="left"/>
                                <w:rPr>
                                  <w:rFonts w:ascii="Calibri"/>
                                  <w:sz w:val="18"/>
                                </w:rPr>
                              </w:pPr>
                              <w:r>
                                <w:rPr>
                                  <w:rFonts w:ascii="Calibri"/>
                                  <w:b/>
                                  <w:spacing w:val="-2"/>
                                  <w:sz w:val="18"/>
                                </w:rPr>
                                <w:t>Balanced</w:t>
                              </w:r>
                              <w:r>
                                <w:rPr>
                                  <w:rFonts w:ascii="Calibri"/>
                                  <w:b/>
                                  <w:sz w:val="18"/>
                                </w:rPr>
                                <w:t> score</w:t>
                              </w:r>
                              <w:r>
                                <w:rPr>
                                  <w:rFonts w:ascii="Calibri"/>
                                  <w:b/>
                                  <w:spacing w:val="-11"/>
                                  <w:sz w:val="18"/>
                                </w:rPr>
                                <w:t> </w:t>
                              </w:r>
                              <w:r>
                                <w:rPr>
                                  <w:rFonts w:ascii="Calibri"/>
                                  <w:b/>
                                  <w:sz w:val="18"/>
                                </w:rPr>
                                <w:t>card </w:t>
                              </w:r>
                              <w:r>
                                <w:rPr>
                                  <w:rFonts w:ascii="Calibri"/>
                                  <w:sz w:val="18"/>
                                </w:rPr>
                                <w:t>vision</w:t>
                              </w:r>
                              <w:r>
                                <w:rPr>
                                  <w:rFonts w:ascii="Calibri"/>
                                  <w:spacing w:val="-11"/>
                                  <w:sz w:val="18"/>
                                </w:rPr>
                                <w:t> </w:t>
                              </w:r>
                              <w:r>
                                <w:rPr>
                                  <w:rFonts w:ascii="Calibri"/>
                                  <w:sz w:val="18"/>
                                </w:rPr>
                                <w:t>and </w:t>
                              </w:r>
                              <w:r>
                                <w:rPr>
                                  <w:rFonts w:ascii="Calibri"/>
                                  <w:spacing w:val="-2"/>
                                  <w:sz w:val="18"/>
                                </w:rPr>
                                <w:t>strategy</w:t>
                              </w:r>
                            </w:p>
                          </w:txbxContent>
                        </wps:txbx>
                        <wps:bodyPr wrap="square" lIns="0" tIns="0" rIns="0" bIns="0" rtlCol="0">
                          <a:noAutofit/>
                        </wps:bodyPr>
                      </wps:wsp>
                      <wps:wsp>
                        <wps:cNvPr id="289" name="Textbox 289"/>
                        <wps:cNvSpPr txBox="1"/>
                        <wps:spPr>
                          <a:xfrm>
                            <a:off x="6350" y="1112519"/>
                            <a:ext cx="1302385" cy="772160"/>
                          </a:xfrm>
                          <a:prstGeom prst="rect">
                            <a:avLst/>
                          </a:prstGeom>
                          <a:ln w="12700">
                            <a:solidFill>
                              <a:srgbClr val="94B3D6"/>
                            </a:solidFill>
                            <a:prstDash val="solid"/>
                          </a:ln>
                        </wps:spPr>
                        <wps:txbx>
                          <w:txbxContent>
                            <w:p>
                              <w:pPr>
                                <w:spacing w:line="276" w:lineRule="auto" w:before="73"/>
                                <w:ind w:left="144" w:right="195" w:firstLine="0"/>
                                <w:jc w:val="left"/>
                                <w:rPr>
                                  <w:rFonts w:ascii="Calibri"/>
                                  <w:sz w:val="18"/>
                                </w:rPr>
                              </w:pPr>
                              <w:r>
                                <w:rPr>
                                  <w:rFonts w:ascii="Calibri"/>
                                  <w:b/>
                                  <w:sz w:val="18"/>
                                </w:rPr>
                                <w:t>Customer</w:t>
                              </w:r>
                              <w:r>
                                <w:rPr>
                                  <w:rFonts w:ascii="Calibri"/>
                                  <w:b/>
                                  <w:spacing w:val="-11"/>
                                  <w:sz w:val="18"/>
                                </w:rPr>
                                <w:t> </w:t>
                              </w:r>
                              <w:r>
                                <w:rPr>
                                  <w:rFonts w:ascii="Calibri"/>
                                  <w:b/>
                                  <w:sz w:val="18"/>
                                </w:rPr>
                                <w:t>perspective: </w:t>
                              </w:r>
                              <w:r>
                                <w:rPr>
                                  <w:rFonts w:ascii="Calibri"/>
                                  <w:sz w:val="18"/>
                                </w:rPr>
                                <w:t>To achieve our vision, how</w:t>
                              </w:r>
                              <w:r>
                                <w:rPr>
                                  <w:rFonts w:ascii="Calibri"/>
                                  <w:spacing w:val="-7"/>
                                  <w:sz w:val="18"/>
                                </w:rPr>
                                <w:t> </w:t>
                              </w:r>
                              <w:r>
                                <w:rPr>
                                  <w:rFonts w:ascii="Calibri"/>
                                  <w:sz w:val="18"/>
                                </w:rPr>
                                <w:t>should</w:t>
                              </w:r>
                              <w:r>
                                <w:rPr>
                                  <w:rFonts w:ascii="Calibri"/>
                                  <w:spacing w:val="-7"/>
                                  <w:sz w:val="18"/>
                                </w:rPr>
                                <w:t> </w:t>
                              </w:r>
                              <w:r>
                                <w:rPr>
                                  <w:rFonts w:ascii="Calibri"/>
                                  <w:sz w:val="18"/>
                                </w:rPr>
                                <w:t>we</w:t>
                              </w:r>
                              <w:r>
                                <w:rPr>
                                  <w:rFonts w:ascii="Calibri"/>
                                  <w:spacing w:val="-7"/>
                                  <w:sz w:val="18"/>
                                </w:rPr>
                                <w:t> </w:t>
                              </w:r>
                              <w:r>
                                <w:rPr>
                                  <w:rFonts w:ascii="Calibri"/>
                                  <w:sz w:val="18"/>
                                </w:rPr>
                                <w:t>appear to customers?</w:t>
                              </w:r>
                            </w:p>
                          </w:txbxContent>
                        </wps:txbx>
                        <wps:bodyPr wrap="square" lIns="0" tIns="0" rIns="0" bIns="0" rtlCol="0">
                          <a:noAutofit/>
                        </wps:bodyPr>
                      </wps:wsp>
                      <wps:wsp>
                        <wps:cNvPr id="290" name="Textbox 290"/>
                        <wps:cNvSpPr txBox="1"/>
                        <wps:spPr>
                          <a:xfrm>
                            <a:off x="2705100" y="992505"/>
                            <a:ext cx="1473200" cy="1116330"/>
                          </a:xfrm>
                          <a:prstGeom prst="rect">
                            <a:avLst/>
                          </a:prstGeom>
                          <a:ln w="12700">
                            <a:solidFill>
                              <a:srgbClr val="94B3D6"/>
                            </a:solidFill>
                            <a:prstDash val="solid"/>
                          </a:ln>
                        </wps:spPr>
                        <wps:txbx>
                          <w:txbxContent>
                            <w:p>
                              <w:pPr>
                                <w:spacing w:line="276" w:lineRule="auto" w:before="72"/>
                                <w:ind w:left="145" w:right="239" w:firstLine="0"/>
                                <w:jc w:val="left"/>
                                <w:rPr>
                                  <w:rFonts w:ascii="Calibri"/>
                                  <w:sz w:val="22"/>
                                </w:rPr>
                              </w:pPr>
                              <w:r>
                                <w:rPr>
                                  <w:rFonts w:ascii="Calibri"/>
                                  <w:b/>
                                  <w:sz w:val="18"/>
                                </w:rPr>
                                <w:t>Internal</w:t>
                              </w:r>
                              <w:r>
                                <w:rPr>
                                  <w:rFonts w:ascii="Calibri"/>
                                  <w:b/>
                                  <w:spacing w:val="-4"/>
                                  <w:sz w:val="18"/>
                                </w:rPr>
                                <w:t> </w:t>
                              </w:r>
                              <w:r>
                                <w:rPr>
                                  <w:rFonts w:ascii="Calibri"/>
                                  <w:b/>
                                  <w:sz w:val="18"/>
                                </w:rPr>
                                <w:t>Business processes</w:t>
                              </w:r>
                              <w:r>
                                <w:rPr>
                                  <w:rFonts w:ascii="Calibri"/>
                                  <w:b/>
                                  <w:spacing w:val="-11"/>
                                  <w:sz w:val="18"/>
                                </w:rPr>
                                <w:t> </w:t>
                              </w:r>
                              <w:r>
                                <w:rPr>
                                  <w:rFonts w:ascii="Calibri"/>
                                  <w:b/>
                                  <w:sz w:val="18"/>
                                </w:rPr>
                                <w:t>perspective:</w:t>
                              </w:r>
                              <w:r>
                                <w:rPr>
                                  <w:rFonts w:ascii="Calibri"/>
                                  <w:b/>
                                  <w:spacing w:val="-10"/>
                                  <w:sz w:val="18"/>
                                </w:rPr>
                                <w:t> </w:t>
                              </w:r>
                              <w:r>
                                <w:rPr>
                                  <w:rFonts w:ascii="Calibri"/>
                                  <w:sz w:val="18"/>
                                </w:rPr>
                                <w:t>To satisfy our stakeholders and customers, what business</w:t>
                              </w:r>
                              <w:r>
                                <w:rPr>
                                  <w:rFonts w:ascii="Calibri"/>
                                  <w:spacing w:val="-1"/>
                                  <w:sz w:val="18"/>
                                </w:rPr>
                                <w:t> </w:t>
                              </w:r>
                              <w:r>
                                <w:rPr>
                                  <w:rFonts w:ascii="Calibri"/>
                                  <w:sz w:val="18"/>
                                </w:rPr>
                                <w:t>processes do we excel</w:t>
                              </w:r>
                              <w:r>
                                <w:rPr>
                                  <w:rFonts w:ascii="Calibri"/>
                                  <w:spacing w:val="-2"/>
                                  <w:sz w:val="18"/>
                                </w:rPr>
                                <w:t> </w:t>
                              </w:r>
                              <w:r>
                                <w:rPr>
                                  <w:rFonts w:ascii="Calibri"/>
                                  <w:sz w:val="18"/>
                                </w:rPr>
                                <w:t>at</w:t>
                              </w:r>
                              <w:r>
                                <w:rPr>
                                  <w:rFonts w:ascii="Calibri"/>
                                  <w:sz w:val="22"/>
                                </w:rPr>
                                <w:t>?</w:t>
                              </w:r>
                            </w:p>
                          </w:txbxContent>
                        </wps:txbx>
                        <wps:bodyPr wrap="square" lIns="0" tIns="0" rIns="0" bIns="0" rtlCol="0">
                          <a:noAutofit/>
                        </wps:bodyPr>
                      </wps:wsp>
                    </wpg:wgp>
                  </a:graphicData>
                </a:graphic>
              </wp:anchor>
            </w:drawing>
          </mc:Choice>
          <mc:Fallback>
            <w:pict>
              <v:group style="position:absolute;margin-left:87.099998pt;margin-top:13.310547pt;width:330pt;height:235.2pt;mso-position-horizontal-relative:page;mso-position-vertical-relative:paragraph;z-index:-15712256;mso-wrap-distance-left:0;mso-wrap-distance-right:0" id="docshapegroup240" coordorigin="1742,266" coordsize="6600,4704">
                <v:rect style="position:absolute;left:3691;top:3774;width:2523;height:1196" id="docshape241" filled="true" fillcolor="#233e5f" stroked="false">
                  <v:fill opacity="32896f" type="solid"/>
                </v:rect>
                <v:shape style="position:absolute;left:3671;top:3734;width:2523;height:1196" type="#_x0000_t75" id="docshape242" stroked="false">
                  <v:imagedata r:id="rId100" o:title=""/>
                </v:shape>
                <v:shape style="position:absolute;left:2616;top:3234;width:4533;height:1273" id="docshape243" coordorigin="2616,3234" coordsize="4533,1273" path="m3671,4507l3656,4441,3641,4377,3602,4408,2700,3320,2725,3300,2739,3288,2616,3234,2646,3365,2685,3333,3587,4421,3548,4453,3671,4507xm4975,3354l4960,3324,4915,3234,4855,3354,4905,3354,4905,3614,4855,3614,4915,3734,4960,3644,4975,3614,4925,3614,4925,3354,4975,3354xm7149,3587l7019,3620,7051,3658,6279,4321,6246,4284,6194,4407,6324,4375,6306,4353,6292,4337,7064,3673,7097,3711,7126,3641,7149,3587xe" filled="true" fillcolor="#000000" stroked="false">
                  <v:path arrowok="t"/>
                  <v:fill type="solid"/>
                </v:shape>
                <v:rect style="position:absolute;left:3823;top:316;width:2391;height:1285" id="docshape244" filled="true" fillcolor="#233e5f" stroked="false">
                  <v:fill opacity="32896f" type="solid"/>
                </v:rect>
                <v:shape style="position:absolute;left:3803;top:276;width:2391;height:1285" type="#_x0000_t75" id="docshape245" stroked="false">
                  <v:imagedata r:id="rId101" o:title=""/>
                </v:shape>
                <v:rect style="position:absolute;left:3803;top:276;width:2391;height:1285" id="docshape246" filled="false" stroked="true" strokeweight="1pt" strokecolor="#94b3d6">
                  <v:stroke dashstyle="solid"/>
                </v:rect>
                <v:shape style="position:absolute;left:2711;top:906;width:1092;height:1112" id="docshape247" coordorigin="2711,906" coordsize="1092,1112" path="m2752,1891l2711,2018,2838,1975,2817,1954,2788,1954,2774,1940,2788,1926,2752,1891xm2788,1926l2774,1940,2788,1954,2802,1940,2788,1926xm2802,1940l2788,1954,2817,1954,2802,1940xm3712,985l2788,1926,2802,1940,3726,999,3712,985xm3782,971l3726,971,3740,985,3726,999,3762,1034,3782,971xm3726,971l3712,985,3726,999,3740,985,3726,971xm3803,906l3676,950,3712,985,3726,971,3782,971,3803,906xe" filled="true" fillcolor="#666666" stroked="false">
                  <v:path arrowok="t"/>
                  <v:fill type="solid"/>
                </v:shape>
                <v:shape style="position:absolute;left:4855;top:719;width:2294;height:1426" id="docshape248" coordorigin="4855,719" coordsize="2294,1426" path="m4975,1630l4960,1600,4915,1510,4855,1630,4905,1630,4905,2025,4855,2025,4915,2145,4960,2055,4975,2025,4925,2025,4925,1630,4975,1630xm7149,1829l7133,1765,7116,1699,7078,1732,6280,804,6303,784,6318,771,6194,719,6227,849,6265,817,7063,1745,7025,1777,7149,1829xe" filled="true" fillcolor="#000000" stroked="false">
                  <v:path arrowok="t"/>
                  <v:fill type="solid"/>
                </v:shape>
                <v:rect style="position:absolute;left:1772;top:2058;width:2051;height:1216" id="docshape249" filled="true" fillcolor="#233e5f" stroked="false">
                  <v:fill opacity="32896f" type="solid"/>
                </v:rect>
                <v:shape style="position:absolute;left:1752;top:2018;width:2051;height:1216" type="#_x0000_t75" id="docshape250" stroked="false">
                  <v:imagedata r:id="rId102" o:title=""/>
                </v:shape>
                <v:rect style="position:absolute;left:6022;top:1869;width:2320;height:1758" id="docshape251" filled="true" fillcolor="#233e5f" stroked="false">
                  <v:fill opacity="32896f" type="solid"/>
                </v:rect>
                <v:shape style="position:absolute;left:6002;top:1829;width:2320;height:1758" type="#_x0000_t75" id="docshape252" stroked="false">
                  <v:imagedata r:id="rId103" o:title=""/>
                </v:shape>
                <v:rect style="position:absolute;left:4241;top:2163;width:1337;height:1232" id="docshape253" filled="true" fillcolor="#233e5f" stroked="false">
                  <v:fill opacity="32896f" type="solid"/>
                </v:rect>
                <v:shape style="position:absolute;left:4221;top:2123;width:1337;height:1232" type="#_x0000_t75" id="docshape254" stroked="false">
                  <v:imagedata r:id="rId104" o:title=""/>
                </v:shape>
                <v:shape style="position:absolute;left:3803;top:2536;width:2215;height:122" id="docshape255" coordorigin="3803,2536" coordsize="2215,122" path="m4221,2598l4101,2538,4101,2588,3923,2587,3923,2587,3923,2537,3803,2597,3923,2657,3923,2607,4101,2608,4101,2658,4201,2608,4221,2598xm6018,2597l5898,2537,5898,2587,5693,2586,5693,2586,5693,2536,5573,2596,5693,2656,5693,2606,5898,2607,5898,2657,5998,2607,6018,2597xe" filled="true" fillcolor="#000000" stroked="false">
                  <v:path arrowok="t"/>
                  <v:fill type="solid"/>
                </v:shape>
                <v:shape style="position:absolute;left:1752;top:266;width:6590;height:4704" type="#_x0000_t202" id="docshape256" filled="false" stroked="false">
                  <v:textbox inset="0,0,0,0">
                    <w:txbxContent>
                      <w:p>
                        <w:pPr>
                          <w:spacing w:before="92"/>
                          <w:ind w:left="2206" w:right="0" w:firstLine="0"/>
                          <w:jc w:val="both"/>
                          <w:rPr>
                            <w:rFonts w:ascii="Calibri"/>
                            <w:b/>
                            <w:sz w:val="18"/>
                          </w:rPr>
                        </w:pPr>
                        <w:r>
                          <w:rPr>
                            <w:rFonts w:ascii="Calibri"/>
                            <w:b/>
                            <w:sz w:val="18"/>
                          </w:rPr>
                          <w:t>Financial</w:t>
                        </w:r>
                        <w:r>
                          <w:rPr>
                            <w:rFonts w:ascii="Calibri"/>
                            <w:b/>
                            <w:spacing w:val="-5"/>
                            <w:sz w:val="18"/>
                          </w:rPr>
                          <w:t> </w:t>
                        </w:r>
                        <w:r>
                          <w:rPr>
                            <w:rFonts w:ascii="Calibri"/>
                            <w:b/>
                            <w:spacing w:val="-2"/>
                            <w:sz w:val="18"/>
                          </w:rPr>
                          <w:t>perspective:</w:t>
                        </w:r>
                      </w:p>
                      <w:p>
                        <w:pPr>
                          <w:spacing w:line="240" w:lineRule="auto" w:before="11"/>
                          <w:rPr>
                            <w:rFonts w:ascii="Calibri"/>
                            <w:b/>
                            <w:sz w:val="18"/>
                          </w:rPr>
                        </w:pPr>
                      </w:p>
                      <w:p>
                        <w:pPr>
                          <w:spacing w:line="276" w:lineRule="auto" w:before="0"/>
                          <w:ind w:left="2206" w:right="2300" w:firstLine="0"/>
                          <w:jc w:val="both"/>
                          <w:rPr>
                            <w:rFonts w:ascii="Calibri"/>
                            <w:b/>
                            <w:sz w:val="18"/>
                          </w:rPr>
                        </w:pPr>
                        <w:r>
                          <w:rPr>
                            <w:rFonts w:ascii="Calibri"/>
                            <w:sz w:val="18"/>
                          </w:rPr>
                          <w:t>To succeed financially, how should we appear to our </w:t>
                        </w:r>
                        <w:r>
                          <w:rPr>
                            <w:rFonts w:ascii="Calibri"/>
                            <w:spacing w:val="-2"/>
                            <w:sz w:val="18"/>
                          </w:rPr>
                          <w:t>shareholders</w:t>
                        </w:r>
                        <w:r>
                          <w:rPr>
                            <w:rFonts w:ascii="Calibri"/>
                            <w:b/>
                            <w:spacing w:val="-2"/>
                            <w:sz w:val="18"/>
                          </w:rPr>
                          <w:t>?</w:t>
                        </w:r>
                      </w:p>
                    </w:txbxContent>
                  </v:textbox>
                  <w10:wrap type="none"/>
                </v:shape>
                <v:shape style="position:absolute;left:3671;top:3734;width:2523;height:1196" type="#_x0000_t202" id="docshape257" filled="false" stroked="true" strokeweight="1pt" strokecolor="#94b3d6">
                  <v:textbox inset="0,0,0,0">
                    <w:txbxContent>
                      <w:p>
                        <w:pPr>
                          <w:spacing w:line="276" w:lineRule="auto" w:before="73"/>
                          <w:ind w:left="145" w:right="325" w:firstLine="0"/>
                          <w:jc w:val="left"/>
                          <w:rPr>
                            <w:rFonts w:ascii="Calibri"/>
                            <w:sz w:val="18"/>
                          </w:rPr>
                        </w:pPr>
                        <w:r>
                          <w:rPr>
                            <w:rFonts w:ascii="Calibri"/>
                            <w:b/>
                            <w:sz w:val="18"/>
                          </w:rPr>
                          <w:t>Learning and growth perspective</w:t>
                        </w:r>
                        <w:r>
                          <w:rPr>
                            <w:rFonts w:ascii="Calibri"/>
                            <w:sz w:val="18"/>
                          </w:rPr>
                          <w:t>:</w:t>
                        </w:r>
                        <w:r>
                          <w:rPr>
                            <w:rFonts w:ascii="Calibri"/>
                            <w:spacing w:val="-11"/>
                            <w:sz w:val="18"/>
                          </w:rPr>
                          <w:t> </w:t>
                        </w:r>
                        <w:r>
                          <w:rPr>
                            <w:rFonts w:ascii="Calibri"/>
                            <w:sz w:val="18"/>
                          </w:rPr>
                          <w:t>To</w:t>
                        </w:r>
                        <w:r>
                          <w:rPr>
                            <w:rFonts w:ascii="Calibri"/>
                            <w:spacing w:val="-10"/>
                            <w:sz w:val="18"/>
                          </w:rPr>
                          <w:t> </w:t>
                        </w:r>
                        <w:r>
                          <w:rPr>
                            <w:rFonts w:ascii="Calibri"/>
                            <w:sz w:val="18"/>
                          </w:rPr>
                          <w:t>achieve</w:t>
                        </w:r>
                        <w:r>
                          <w:rPr>
                            <w:rFonts w:ascii="Calibri"/>
                            <w:spacing w:val="-10"/>
                            <w:sz w:val="18"/>
                          </w:rPr>
                          <w:t> </w:t>
                        </w:r>
                        <w:r>
                          <w:rPr>
                            <w:rFonts w:ascii="Calibri"/>
                            <w:sz w:val="18"/>
                          </w:rPr>
                          <w:t>our vision, how will we sustain our ability to improve?</w:t>
                        </w:r>
                      </w:p>
                    </w:txbxContent>
                  </v:textbox>
                  <v:stroke dashstyle="solid"/>
                  <w10:wrap type="none"/>
                </v:shape>
                <v:shape style="position:absolute;left:4221;top:2123;width:1337;height:1232" type="#_x0000_t202" id="docshape258" filled="false" stroked="true" strokeweight="1pt" strokecolor="#94b3d6">
                  <v:textbox inset="0,0,0,0">
                    <w:txbxContent>
                      <w:p>
                        <w:pPr>
                          <w:spacing w:line="276" w:lineRule="auto" w:before="71"/>
                          <w:ind w:left="145" w:right="406" w:firstLine="0"/>
                          <w:jc w:val="left"/>
                          <w:rPr>
                            <w:rFonts w:ascii="Calibri"/>
                            <w:sz w:val="18"/>
                          </w:rPr>
                        </w:pPr>
                        <w:r>
                          <w:rPr>
                            <w:rFonts w:ascii="Calibri"/>
                            <w:b/>
                            <w:spacing w:val="-2"/>
                            <w:sz w:val="18"/>
                          </w:rPr>
                          <w:t>Balanced</w:t>
                        </w:r>
                        <w:r>
                          <w:rPr>
                            <w:rFonts w:ascii="Calibri"/>
                            <w:b/>
                            <w:sz w:val="18"/>
                          </w:rPr>
                          <w:t> score</w:t>
                        </w:r>
                        <w:r>
                          <w:rPr>
                            <w:rFonts w:ascii="Calibri"/>
                            <w:b/>
                            <w:spacing w:val="-11"/>
                            <w:sz w:val="18"/>
                          </w:rPr>
                          <w:t> </w:t>
                        </w:r>
                        <w:r>
                          <w:rPr>
                            <w:rFonts w:ascii="Calibri"/>
                            <w:b/>
                            <w:sz w:val="18"/>
                          </w:rPr>
                          <w:t>card </w:t>
                        </w:r>
                        <w:r>
                          <w:rPr>
                            <w:rFonts w:ascii="Calibri"/>
                            <w:sz w:val="18"/>
                          </w:rPr>
                          <w:t>vision</w:t>
                        </w:r>
                        <w:r>
                          <w:rPr>
                            <w:rFonts w:ascii="Calibri"/>
                            <w:spacing w:val="-11"/>
                            <w:sz w:val="18"/>
                          </w:rPr>
                          <w:t> </w:t>
                        </w:r>
                        <w:r>
                          <w:rPr>
                            <w:rFonts w:ascii="Calibri"/>
                            <w:sz w:val="18"/>
                          </w:rPr>
                          <w:t>and </w:t>
                        </w:r>
                        <w:r>
                          <w:rPr>
                            <w:rFonts w:ascii="Calibri"/>
                            <w:spacing w:val="-2"/>
                            <w:sz w:val="18"/>
                          </w:rPr>
                          <w:t>strategy</w:t>
                        </w:r>
                      </w:p>
                    </w:txbxContent>
                  </v:textbox>
                  <v:stroke dashstyle="solid"/>
                  <w10:wrap type="none"/>
                </v:shape>
                <v:shape style="position:absolute;left:1752;top:2018;width:2051;height:1216" type="#_x0000_t202" id="docshape259" filled="false" stroked="true" strokeweight="1pt" strokecolor="#94b3d6">
                  <v:textbox inset="0,0,0,0">
                    <w:txbxContent>
                      <w:p>
                        <w:pPr>
                          <w:spacing w:line="276" w:lineRule="auto" w:before="73"/>
                          <w:ind w:left="144" w:right="195" w:firstLine="0"/>
                          <w:jc w:val="left"/>
                          <w:rPr>
                            <w:rFonts w:ascii="Calibri"/>
                            <w:sz w:val="18"/>
                          </w:rPr>
                        </w:pPr>
                        <w:r>
                          <w:rPr>
                            <w:rFonts w:ascii="Calibri"/>
                            <w:b/>
                            <w:sz w:val="18"/>
                          </w:rPr>
                          <w:t>Customer</w:t>
                        </w:r>
                        <w:r>
                          <w:rPr>
                            <w:rFonts w:ascii="Calibri"/>
                            <w:b/>
                            <w:spacing w:val="-11"/>
                            <w:sz w:val="18"/>
                          </w:rPr>
                          <w:t> </w:t>
                        </w:r>
                        <w:r>
                          <w:rPr>
                            <w:rFonts w:ascii="Calibri"/>
                            <w:b/>
                            <w:sz w:val="18"/>
                          </w:rPr>
                          <w:t>perspective: </w:t>
                        </w:r>
                        <w:r>
                          <w:rPr>
                            <w:rFonts w:ascii="Calibri"/>
                            <w:sz w:val="18"/>
                          </w:rPr>
                          <w:t>To achieve our vision, how</w:t>
                        </w:r>
                        <w:r>
                          <w:rPr>
                            <w:rFonts w:ascii="Calibri"/>
                            <w:spacing w:val="-7"/>
                            <w:sz w:val="18"/>
                          </w:rPr>
                          <w:t> </w:t>
                        </w:r>
                        <w:r>
                          <w:rPr>
                            <w:rFonts w:ascii="Calibri"/>
                            <w:sz w:val="18"/>
                          </w:rPr>
                          <w:t>should</w:t>
                        </w:r>
                        <w:r>
                          <w:rPr>
                            <w:rFonts w:ascii="Calibri"/>
                            <w:spacing w:val="-7"/>
                            <w:sz w:val="18"/>
                          </w:rPr>
                          <w:t> </w:t>
                        </w:r>
                        <w:r>
                          <w:rPr>
                            <w:rFonts w:ascii="Calibri"/>
                            <w:sz w:val="18"/>
                          </w:rPr>
                          <w:t>we</w:t>
                        </w:r>
                        <w:r>
                          <w:rPr>
                            <w:rFonts w:ascii="Calibri"/>
                            <w:spacing w:val="-7"/>
                            <w:sz w:val="18"/>
                          </w:rPr>
                          <w:t> </w:t>
                        </w:r>
                        <w:r>
                          <w:rPr>
                            <w:rFonts w:ascii="Calibri"/>
                            <w:sz w:val="18"/>
                          </w:rPr>
                          <w:t>appear to customers?</w:t>
                        </w:r>
                      </w:p>
                    </w:txbxContent>
                  </v:textbox>
                  <v:stroke dashstyle="solid"/>
                  <w10:wrap type="none"/>
                </v:shape>
                <v:shape style="position:absolute;left:6002;top:1829;width:2320;height:1758" type="#_x0000_t202" id="docshape260" filled="false" stroked="true" strokeweight="1pt" strokecolor="#94b3d6">
                  <v:textbox inset="0,0,0,0">
                    <w:txbxContent>
                      <w:p>
                        <w:pPr>
                          <w:spacing w:line="276" w:lineRule="auto" w:before="72"/>
                          <w:ind w:left="145" w:right="239" w:firstLine="0"/>
                          <w:jc w:val="left"/>
                          <w:rPr>
                            <w:rFonts w:ascii="Calibri"/>
                            <w:sz w:val="22"/>
                          </w:rPr>
                        </w:pPr>
                        <w:r>
                          <w:rPr>
                            <w:rFonts w:ascii="Calibri"/>
                            <w:b/>
                            <w:sz w:val="18"/>
                          </w:rPr>
                          <w:t>Internal</w:t>
                        </w:r>
                        <w:r>
                          <w:rPr>
                            <w:rFonts w:ascii="Calibri"/>
                            <w:b/>
                            <w:spacing w:val="-4"/>
                            <w:sz w:val="18"/>
                          </w:rPr>
                          <w:t> </w:t>
                        </w:r>
                        <w:r>
                          <w:rPr>
                            <w:rFonts w:ascii="Calibri"/>
                            <w:b/>
                            <w:sz w:val="18"/>
                          </w:rPr>
                          <w:t>Business processes</w:t>
                        </w:r>
                        <w:r>
                          <w:rPr>
                            <w:rFonts w:ascii="Calibri"/>
                            <w:b/>
                            <w:spacing w:val="-11"/>
                            <w:sz w:val="18"/>
                          </w:rPr>
                          <w:t> </w:t>
                        </w:r>
                        <w:r>
                          <w:rPr>
                            <w:rFonts w:ascii="Calibri"/>
                            <w:b/>
                            <w:sz w:val="18"/>
                          </w:rPr>
                          <w:t>perspective:</w:t>
                        </w:r>
                        <w:r>
                          <w:rPr>
                            <w:rFonts w:ascii="Calibri"/>
                            <w:b/>
                            <w:spacing w:val="-10"/>
                            <w:sz w:val="18"/>
                          </w:rPr>
                          <w:t> </w:t>
                        </w:r>
                        <w:r>
                          <w:rPr>
                            <w:rFonts w:ascii="Calibri"/>
                            <w:sz w:val="18"/>
                          </w:rPr>
                          <w:t>To satisfy our stakeholders and customers, what business</w:t>
                        </w:r>
                        <w:r>
                          <w:rPr>
                            <w:rFonts w:ascii="Calibri"/>
                            <w:spacing w:val="-1"/>
                            <w:sz w:val="18"/>
                          </w:rPr>
                          <w:t> </w:t>
                        </w:r>
                        <w:r>
                          <w:rPr>
                            <w:rFonts w:ascii="Calibri"/>
                            <w:sz w:val="18"/>
                          </w:rPr>
                          <w:t>processes do we excel</w:t>
                        </w:r>
                        <w:r>
                          <w:rPr>
                            <w:rFonts w:ascii="Calibri"/>
                            <w:spacing w:val="-2"/>
                            <w:sz w:val="18"/>
                          </w:rPr>
                          <w:t> </w:t>
                        </w:r>
                        <w:r>
                          <w:rPr>
                            <w:rFonts w:ascii="Calibri"/>
                            <w:sz w:val="18"/>
                          </w:rPr>
                          <w:t>at</w:t>
                        </w:r>
                        <w:r>
                          <w:rPr>
                            <w:rFonts w:ascii="Calibri"/>
                            <w:sz w:val="22"/>
                          </w:rPr>
                          <w:t>?</w:t>
                        </w:r>
                      </w:p>
                    </w:txbxContent>
                  </v:textbox>
                  <v:stroke dashstyle="solid"/>
                  <w10:wrap type="none"/>
                </v:shape>
                <w10:wrap type="topAndBottom"/>
              </v:group>
            </w:pict>
          </mc:Fallback>
        </mc:AlternateContent>
      </w:r>
    </w:p>
    <w:p>
      <w:pPr>
        <w:pStyle w:val="BodyText"/>
        <w:spacing w:before="121"/>
        <w:ind w:left="240"/>
      </w:pPr>
      <w:r>
        <w:rPr>
          <w:b/>
        </w:rPr>
        <w:t>Figure</w:t>
      </w:r>
      <w:r>
        <w:rPr>
          <w:b/>
          <w:spacing w:val="-4"/>
        </w:rPr>
        <w:t> </w:t>
      </w:r>
      <w:r>
        <w:rPr>
          <w:b/>
        </w:rPr>
        <w:t>3.12</w:t>
      </w:r>
      <w:r>
        <w:rPr/>
        <w:t>.</w:t>
      </w:r>
      <w:r>
        <w:rPr>
          <w:spacing w:val="-1"/>
        </w:rPr>
        <w:t> </w:t>
      </w:r>
      <w:r>
        <w:rPr/>
        <w:t>Perspectives</w:t>
      </w:r>
      <w:r>
        <w:rPr>
          <w:spacing w:val="-1"/>
        </w:rPr>
        <w:t> </w:t>
      </w:r>
      <w:r>
        <w:rPr/>
        <w:t>of</w:t>
      </w:r>
      <w:r>
        <w:rPr>
          <w:spacing w:val="-1"/>
        </w:rPr>
        <w:t> </w:t>
      </w:r>
      <w:r>
        <w:rPr/>
        <w:t>the</w:t>
      </w:r>
      <w:r>
        <w:rPr>
          <w:spacing w:val="-2"/>
        </w:rPr>
        <w:t> </w:t>
      </w:r>
      <w:r>
        <w:rPr/>
        <w:t>Balanced Scorecard</w:t>
      </w:r>
      <w:r>
        <w:rPr>
          <w:spacing w:val="-1"/>
        </w:rPr>
        <w:t> </w:t>
      </w:r>
      <w:r>
        <w:rPr/>
        <w:t>Model</w:t>
      </w:r>
      <w:r>
        <w:rPr>
          <w:spacing w:val="-1"/>
        </w:rPr>
        <w:t> </w:t>
      </w:r>
      <w:r>
        <w:rPr/>
        <w:t>(Kaplan</w:t>
      </w:r>
      <w:r>
        <w:rPr>
          <w:spacing w:val="-1"/>
        </w:rPr>
        <w:t> </w:t>
      </w:r>
      <w:r>
        <w:rPr/>
        <w:t>and</w:t>
      </w:r>
      <w:r>
        <w:rPr>
          <w:spacing w:val="1"/>
        </w:rPr>
        <w:t> </w:t>
      </w:r>
      <w:r>
        <w:rPr/>
        <w:t>Norton, </w:t>
      </w:r>
      <w:r>
        <w:rPr>
          <w:spacing w:val="-2"/>
        </w:rPr>
        <w:t>1996)</w:t>
      </w:r>
    </w:p>
    <w:p>
      <w:pPr>
        <w:pStyle w:val="BodyText"/>
        <w:spacing w:before="139"/>
      </w:pPr>
    </w:p>
    <w:p>
      <w:pPr>
        <w:pStyle w:val="BodyText"/>
        <w:spacing w:line="360" w:lineRule="auto" w:before="1"/>
        <w:ind w:left="240" w:right="837"/>
        <w:jc w:val="both"/>
      </w:pPr>
      <w:r>
        <w:rPr/>
        <w:t>As indicated in Figure 3.12, Kaplan and Norton (1996) state that the financial perspective shows the</w:t>
      </w:r>
      <w:r>
        <w:rPr>
          <w:spacing w:val="-3"/>
        </w:rPr>
        <w:t> </w:t>
      </w:r>
      <w:r>
        <w:rPr/>
        <w:t>results</w:t>
      </w:r>
      <w:r>
        <w:rPr>
          <w:spacing w:val="-3"/>
        </w:rPr>
        <w:t> </w:t>
      </w:r>
      <w:r>
        <w:rPr/>
        <w:t>of</w:t>
      </w:r>
      <w:r>
        <w:rPr>
          <w:spacing w:val="-3"/>
        </w:rPr>
        <w:t> </w:t>
      </w:r>
      <w:r>
        <w:rPr/>
        <w:t>strategic</w:t>
      </w:r>
      <w:r>
        <w:rPr>
          <w:spacing w:val="-4"/>
        </w:rPr>
        <w:t> </w:t>
      </w:r>
      <w:r>
        <w:rPr/>
        <w:t>choices</w:t>
      </w:r>
      <w:r>
        <w:rPr>
          <w:spacing w:val="-3"/>
        </w:rPr>
        <w:t> </w:t>
      </w:r>
      <w:r>
        <w:rPr/>
        <w:t>made</w:t>
      </w:r>
      <w:r>
        <w:rPr>
          <w:spacing w:val="-5"/>
        </w:rPr>
        <w:t> </w:t>
      </w:r>
      <w:r>
        <w:rPr/>
        <w:t>in</w:t>
      </w:r>
      <w:r>
        <w:rPr>
          <w:spacing w:val="-3"/>
        </w:rPr>
        <w:t> </w:t>
      </w:r>
      <w:r>
        <w:rPr/>
        <w:t>the</w:t>
      </w:r>
      <w:r>
        <w:rPr>
          <w:spacing w:val="-4"/>
        </w:rPr>
        <w:t> </w:t>
      </w:r>
      <w:r>
        <w:rPr/>
        <w:t>other</w:t>
      </w:r>
      <w:r>
        <w:rPr>
          <w:spacing w:val="-3"/>
        </w:rPr>
        <w:t> </w:t>
      </w:r>
      <w:r>
        <w:rPr/>
        <w:t>perspectives,</w:t>
      </w:r>
      <w:r>
        <w:rPr>
          <w:spacing w:val="-1"/>
        </w:rPr>
        <w:t> </w:t>
      </w:r>
      <w:r>
        <w:rPr/>
        <w:t>while</w:t>
      </w:r>
      <w:r>
        <w:rPr>
          <w:spacing w:val="-3"/>
        </w:rPr>
        <w:t> </w:t>
      </w:r>
      <w:r>
        <w:rPr/>
        <w:t>at</w:t>
      </w:r>
      <w:r>
        <w:rPr>
          <w:spacing w:val="-3"/>
        </w:rPr>
        <w:t> </w:t>
      </w:r>
      <w:r>
        <w:rPr/>
        <w:t>the</w:t>
      </w:r>
      <w:r>
        <w:rPr>
          <w:spacing w:val="-2"/>
        </w:rPr>
        <w:t> </w:t>
      </w:r>
      <w:r>
        <w:rPr/>
        <w:t>same time</w:t>
      </w:r>
      <w:r>
        <w:rPr>
          <w:spacing w:val="-3"/>
        </w:rPr>
        <w:t> </w:t>
      </w:r>
      <w:r>
        <w:rPr/>
        <w:t>establishing other long-term goals as well as a large part of the general ground rules and premises for other perspectives. The chosen measures will therefore represent the relevant stage in the life cycle of the product or service. The customer perspective describes ways in which customer value can be created, how it can be satisfied and why the customer will be willing to pay for it. The internal processes and development of efforts in the company should be guided by this perspective.</w:t>
      </w:r>
    </w:p>
    <w:p>
      <w:pPr>
        <w:pStyle w:val="BodyText"/>
        <w:spacing w:line="360" w:lineRule="auto" w:before="201"/>
        <w:ind w:left="240" w:right="838"/>
        <w:jc w:val="both"/>
      </w:pPr>
      <w:r>
        <w:rPr/>
        <w:t>The internal business processes perspective involves describing all company processes from the analysis</w:t>
      </w:r>
      <w:r>
        <w:rPr>
          <w:spacing w:val="-3"/>
        </w:rPr>
        <w:t> </w:t>
      </w:r>
      <w:r>
        <w:rPr/>
        <w:t>of</w:t>
      </w:r>
      <w:r>
        <w:rPr>
          <w:spacing w:val="-3"/>
        </w:rPr>
        <w:t> </w:t>
      </w:r>
      <w:r>
        <w:rPr/>
        <w:t>customer</w:t>
      </w:r>
      <w:r>
        <w:rPr>
          <w:spacing w:val="-3"/>
        </w:rPr>
        <w:t> </w:t>
      </w:r>
      <w:r>
        <w:rPr/>
        <w:t>needs</w:t>
      </w:r>
      <w:r>
        <w:rPr>
          <w:spacing w:val="-3"/>
        </w:rPr>
        <w:t> </w:t>
      </w:r>
      <w:r>
        <w:rPr/>
        <w:t>through</w:t>
      </w:r>
      <w:r>
        <w:rPr>
          <w:spacing w:val="-3"/>
        </w:rPr>
        <w:t> </w:t>
      </w:r>
      <w:r>
        <w:rPr/>
        <w:t>delivery</w:t>
      </w:r>
      <w:r>
        <w:rPr>
          <w:spacing w:val="-8"/>
        </w:rPr>
        <w:t> </w:t>
      </w:r>
      <w:r>
        <w:rPr/>
        <w:t>of</w:t>
      </w:r>
      <w:r>
        <w:rPr>
          <w:spacing w:val="-3"/>
        </w:rPr>
        <w:t> </w:t>
      </w:r>
      <w:r>
        <w:rPr/>
        <w:t>the</w:t>
      </w:r>
      <w:r>
        <w:rPr>
          <w:spacing w:val="-4"/>
        </w:rPr>
        <w:t> </w:t>
      </w:r>
      <w:r>
        <w:rPr/>
        <w:t>product/service</w:t>
      </w:r>
      <w:r>
        <w:rPr>
          <w:spacing w:val="-4"/>
        </w:rPr>
        <w:t> </w:t>
      </w:r>
      <w:r>
        <w:rPr/>
        <w:t>and</w:t>
      </w:r>
      <w:r>
        <w:rPr>
          <w:spacing w:val="-1"/>
        </w:rPr>
        <w:t> </w:t>
      </w:r>
      <w:r>
        <w:rPr/>
        <w:t>identification</w:t>
      </w:r>
      <w:r>
        <w:rPr>
          <w:spacing w:val="-3"/>
        </w:rPr>
        <w:t> </w:t>
      </w:r>
      <w:r>
        <w:rPr/>
        <w:t>of</w:t>
      </w:r>
      <w:r>
        <w:rPr>
          <w:spacing w:val="-4"/>
        </w:rPr>
        <w:t> </w:t>
      </w:r>
      <w:r>
        <w:rPr/>
        <w:t>resources and capabilities which the company needs to upgrade. The learning and growth perspective enables</w:t>
      </w:r>
      <w:r>
        <w:rPr>
          <w:spacing w:val="7"/>
        </w:rPr>
        <w:t> </w:t>
      </w:r>
      <w:r>
        <w:rPr/>
        <w:t>the</w:t>
      </w:r>
      <w:r>
        <w:rPr>
          <w:spacing w:val="11"/>
        </w:rPr>
        <w:t> </w:t>
      </w:r>
      <w:r>
        <w:rPr/>
        <w:t>organization</w:t>
      </w:r>
      <w:r>
        <w:rPr>
          <w:spacing w:val="11"/>
        </w:rPr>
        <w:t> </w:t>
      </w:r>
      <w:r>
        <w:rPr/>
        <w:t>to</w:t>
      </w:r>
      <w:r>
        <w:rPr>
          <w:spacing w:val="9"/>
        </w:rPr>
        <w:t> </w:t>
      </w:r>
      <w:r>
        <w:rPr/>
        <w:t>ensure</w:t>
      </w:r>
      <w:r>
        <w:rPr>
          <w:spacing w:val="10"/>
        </w:rPr>
        <w:t> </w:t>
      </w:r>
      <w:r>
        <w:rPr/>
        <w:t>its</w:t>
      </w:r>
      <w:r>
        <w:rPr>
          <w:spacing w:val="9"/>
        </w:rPr>
        <w:t> </w:t>
      </w:r>
      <w:r>
        <w:rPr/>
        <w:t>capacity</w:t>
      </w:r>
      <w:r>
        <w:rPr>
          <w:spacing w:val="6"/>
        </w:rPr>
        <w:t> </w:t>
      </w:r>
      <w:r>
        <w:rPr/>
        <w:t>for</w:t>
      </w:r>
      <w:r>
        <w:rPr>
          <w:spacing w:val="10"/>
        </w:rPr>
        <w:t> </w:t>
      </w:r>
      <w:r>
        <w:rPr/>
        <w:t>long</w:t>
      </w:r>
      <w:r>
        <w:rPr>
          <w:spacing w:val="9"/>
        </w:rPr>
        <w:t> </w:t>
      </w:r>
      <w:r>
        <w:rPr/>
        <w:t>term</w:t>
      </w:r>
      <w:r>
        <w:rPr>
          <w:spacing w:val="9"/>
        </w:rPr>
        <w:t> </w:t>
      </w:r>
      <w:r>
        <w:rPr/>
        <w:t>renewal</w:t>
      </w:r>
      <w:r>
        <w:rPr>
          <w:spacing w:val="9"/>
        </w:rPr>
        <w:t> </w:t>
      </w:r>
      <w:r>
        <w:rPr/>
        <w:t>which</w:t>
      </w:r>
      <w:r>
        <w:rPr>
          <w:spacing w:val="9"/>
        </w:rPr>
        <w:t> </w:t>
      </w:r>
      <w:r>
        <w:rPr/>
        <w:t>is</w:t>
      </w:r>
      <w:r>
        <w:rPr>
          <w:spacing w:val="10"/>
        </w:rPr>
        <w:t> </w:t>
      </w:r>
      <w:r>
        <w:rPr/>
        <w:t>a</w:t>
      </w:r>
      <w:r>
        <w:rPr>
          <w:spacing w:val="8"/>
        </w:rPr>
        <w:t> </w:t>
      </w:r>
      <w:r>
        <w:rPr/>
        <w:t>pre-requisite</w:t>
      </w:r>
      <w:r>
        <w:rPr>
          <w:spacing w:val="9"/>
        </w:rPr>
        <w:t> </w:t>
      </w:r>
      <w:r>
        <w:rPr>
          <w:spacing w:val="-5"/>
        </w:rPr>
        <w:t>for</w:t>
      </w:r>
    </w:p>
    <w:p>
      <w:pPr>
        <w:spacing w:after="0" w:line="360" w:lineRule="auto"/>
        <w:jc w:val="both"/>
        <w:sectPr>
          <w:pgSz w:w="12240" w:h="15840"/>
          <w:pgMar w:header="0" w:footer="1036" w:top="1360" w:bottom="1220" w:left="1200" w:right="600"/>
        </w:sectPr>
      </w:pPr>
    </w:p>
    <w:p>
      <w:pPr>
        <w:pStyle w:val="BodyText"/>
        <w:spacing w:line="360" w:lineRule="auto" w:before="74"/>
        <w:ind w:left="240" w:right="840"/>
        <w:jc w:val="both"/>
      </w:pPr>
      <w:r>
        <w:rPr/>
        <w:t>survival in the long-run. The company not only considers what it needs to develop and maintain know-how,</w:t>
      </w:r>
      <w:r>
        <w:rPr>
          <w:spacing w:val="-2"/>
        </w:rPr>
        <w:t> </w:t>
      </w:r>
      <w:r>
        <w:rPr/>
        <w:t>but also</w:t>
      </w:r>
      <w:r>
        <w:rPr>
          <w:spacing w:val="-2"/>
        </w:rPr>
        <w:t> </w:t>
      </w:r>
      <w:r>
        <w:rPr/>
        <w:t>how it</w:t>
      </w:r>
      <w:r>
        <w:rPr>
          <w:spacing w:val="-2"/>
        </w:rPr>
        <w:t> </w:t>
      </w:r>
      <w:r>
        <w:rPr/>
        <w:t>can</w:t>
      </w:r>
      <w:r>
        <w:rPr>
          <w:spacing w:val="-2"/>
        </w:rPr>
        <w:t> </w:t>
      </w:r>
      <w:r>
        <w:rPr/>
        <w:t>sustain the</w:t>
      </w:r>
      <w:r>
        <w:rPr>
          <w:spacing w:val="-2"/>
        </w:rPr>
        <w:t> </w:t>
      </w:r>
      <w:r>
        <w:rPr/>
        <w:t>necessary</w:t>
      </w:r>
      <w:r>
        <w:rPr>
          <w:spacing w:val="-5"/>
        </w:rPr>
        <w:t> </w:t>
      </w:r>
      <w:r>
        <w:rPr/>
        <w:t>efficiency</w:t>
      </w:r>
      <w:r>
        <w:rPr>
          <w:spacing w:val="-7"/>
        </w:rPr>
        <w:t> </w:t>
      </w:r>
      <w:r>
        <w:rPr/>
        <w:t>and productivity</w:t>
      </w:r>
      <w:r>
        <w:rPr>
          <w:spacing w:val="-7"/>
        </w:rPr>
        <w:t> </w:t>
      </w:r>
      <w:r>
        <w:rPr/>
        <w:t>of</w:t>
      </w:r>
      <w:r>
        <w:rPr>
          <w:spacing w:val="-1"/>
        </w:rPr>
        <w:t> </w:t>
      </w:r>
      <w:r>
        <w:rPr/>
        <w:t>the</w:t>
      </w:r>
      <w:r>
        <w:rPr>
          <w:spacing w:val="-2"/>
        </w:rPr>
        <w:t> </w:t>
      </w:r>
      <w:r>
        <w:rPr/>
        <w:t>processes. This perspective comes from three sources; people, systems and organizational procedures.</w:t>
      </w:r>
    </w:p>
    <w:p>
      <w:pPr>
        <w:pStyle w:val="BodyText"/>
        <w:spacing w:line="360" w:lineRule="auto" w:before="201"/>
        <w:ind w:left="240" w:right="842"/>
        <w:jc w:val="both"/>
      </w:pPr>
      <w:r>
        <w:rPr/>
        <w:t>The aim of balanced scorecard is to provide management with a concise summary of the key success factors of a business and to facilitate the alignment of business operations with the overall organizational strategy (Amaratunga, Baldry, &amp; Sarchar, 2001). The model also enables organizations to increase economic value through revenue growth and/or productivity. This model can be used not only as a strategy at all levels in the organization but also as a management tool for running organizations</w:t>
      </w:r>
    </w:p>
    <w:p>
      <w:pPr>
        <w:pStyle w:val="BodyText"/>
        <w:spacing w:line="360" w:lineRule="auto" w:before="200"/>
        <w:ind w:left="240" w:right="838"/>
        <w:jc w:val="both"/>
      </w:pPr>
      <w:r>
        <w:rPr/>
        <w:t>This model can be devised into the public budgeting framework. According to Malgwi and Unegbu (2012),</w:t>
      </w:r>
      <w:r>
        <w:rPr>
          <w:spacing w:val="-1"/>
        </w:rPr>
        <w:t> </w:t>
      </w:r>
      <w:r>
        <w:rPr/>
        <w:t>the balanced scorecard</w:t>
      </w:r>
      <w:r>
        <w:rPr>
          <w:spacing w:val="-1"/>
        </w:rPr>
        <w:t> </w:t>
      </w:r>
      <w:r>
        <w:rPr/>
        <w:t>budget perspective</w:t>
      </w:r>
      <w:r>
        <w:rPr>
          <w:spacing w:val="-1"/>
        </w:rPr>
        <w:t> </w:t>
      </w:r>
      <w:r>
        <w:rPr/>
        <w:t>aligns budget strategy</w:t>
      </w:r>
      <w:r>
        <w:rPr>
          <w:spacing w:val="-5"/>
        </w:rPr>
        <w:t> </w:t>
      </w:r>
      <w:r>
        <w:rPr/>
        <w:t>with objectives and incorporates performance measures at the time of setting out the public budget. Key</w:t>
      </w:r>
      <w:r>
        <w:rPr>
          <w:spacing w:val="40"/>
        </w:rPr>
        <w:t> </w:t>
      </w:r>
      <w:r>
        <w:rPr/>
        <w:t>indicator of performance and growth is the embedment of budget discipline at all the tiers of government, thus money spent must be justified and satisfied by all the established budgetary</w:t>
      </w:r>
      <w:r>
        <w:rPr>
          <w:spacing w:val="40"/>
        </w:rPr>
        <w:t> </w:t>
      </w:r>
      <w:r>
        <w:rPr/>
        <w:t>and budget monitoring organs and this is the locus of balanced scorecard perceptive of public sector budget.</w:t>
      </w:r>
    </w:p>
    <w:p>
      <w:pPr>
        <w:pStyle w:val="BodyText"/>
        <w:spacing w:line="360" w:lineRule="auto" w:before="275"/>
        <w:ind w:left="240" w:right="834"/>
        <w:jc w:val="both"/>
      </w:pPr>
      <w:r>
        <w:rPr/>
        <w:t>Balanced Scorecard perspective of budget is what Horngren (1982) had in mind while stating</w:t>
      </w:r>
      <w:r>
        <w:rPr>
          <w:spacing w:val="40"/>
        </w:rPr>
        <w:t> </w:t>
      </w:r>
      <w:r>
        <w:rPr/>
        <w:t>that for budget to achieve its functions of compelling planning, provide performance, promote communication</w:t>
      </w:r>
      <w:r>
        <w:rPr>
          <w:spacing w:val="-4"/>
        </w:rPr>
        <w:t> </w:t>
      </w:r>
      <w:r>
        <w:rPr/>
        <w:t>and</w:t>
      </w:r>
      <w:r>
        <w:rPr>
          <w:spacing w:val="-4"/>
        </w:rPr>
        <w:t> </w:t>
      </w:r>
      <w:r>
        <w:rPr/>
        <w:t>coordination,</w:t>
      </w:r>
      <w:r>
        <w:rPr>
          <w:spacing w:val="-4"/>
        </w:rPr>
        <w:t> </w:t>
      </w:r>
      <w:r>
        <w:rPr/>
        <w:t>it</w:t>
      </w:r>
      <w:r>
        <w:rPr>
          <w:spacing w:val="-4"/>
        </w:rPr>
        <w:t> </w:t>
      </w:r>
      <w:r>
        <w:rPr/>
        <w:t>had</w:t>
      </w:r>
      <w:r>
        <w:rPr>
          <w:spacing w:val="-4"/>
        </w:rPr>
        <w:t> </w:t>
      </w:r>
      <w:r>
        <w:rPr/>
        <w:t>to</w:t>
      </w:r>
      <w:r>
        <w:rPr>
          <w:spacing w:val="-6"/>
        </w:rPr>
        <w:t> </w:t>
      </w:r>
      <w:r>
        <w:rPr/>
        <w:t>be</w:t>
      </w:r>
      <w:r>
        <w:rPr>
          <w:spacing w:val="-5"/>
        </w:rPr>
        <w:t> </w:t>
      </w:r>
      <w:r>
        <w:rPr/>
        <w:t>administered</w:t>
      </w:r>
      <w:r>
        <w:rPr>
          <w:spacing w:val="-4"/>
        </w:rPr>
        <w:t> </w:t>
      </w:r>
      <w:r>
        <w:rPr/>
        <w:t>‗intelligently‘.</w:t>
      </w:r>
      <w:r>
        <w:rPr>
          <w:spacing w:val="-2"/>
        </w:rPr>
        <w:t> </w:t>
      </w:r>
      <w:r>
        <w:rPr/>
        <w:t>One</w:t>
      </w:r>
      <w:r>
        <w:rPr>
          <w:spacing w:val="-6"/>
        </w:rPr>
        <w:t> </w:t>
      </w:r>
      <w:r>
        <w:rPr/>
        <w:t>of</w:t>
      </w:r>
      <w:r>
        <w:rPr>
          <w:spacing w:val="-5"/>
        </w:rPr>
        <w:t> </w:t>
      </w:r>
      <w:r>
        <w:rPr/>
        <w:t>the</w:t>
      </w:r>
      <w:r>
        <w:rPr>
          <w:spacing w:val="-5"/>
        </w:rPr>
        <w:t> </w:t>
      </w:r>
      <w:r>
        <w:rPr/>
        <w:t>founders</w:t>
      </w:r>
      <w:r>
        <w:rPr>
          <w:spacing w:val="-5"/>
        </w:rPr>
        <w:t> </w:t>
      </w:r>
      <w:r>
        <w:rPr/>
        <w:t>of balanced scorecard budget perspective is</w:t>
      </w:r>
      <w:r>
        <w:rPr>
          <w:spacing w:val="80"/>
        </w:rPr>
        <w:t> </w:t>
      </w:r>
      <w:r>
        <w:rPr/>
        <w:t>Rohm (2002), who asserts that the balanced scorecard is a communications tool to make strategy clear to everyone and it is a system for increasing </w:t>
      </w:r>
      <w:r>
        <w:rPr>
          <w:spacing w:val="-2"/>
        </w:rPr>
        <w:t>accountability.</w:t>
      </w:r>
    </w:p>
    <w:p>
      <w:pPr>
        <w:pStyle w:val="BodyText"/>
      </w:pPr>
    </w:p>
    <w:p>
      <w:pPr>
        <w:pStyle w:val="BodyText"/>
        <w:spacing w:line="360" w:lineRule="auto" w:before="1"/>
        <w:ind w:left="240" w:right="835"/>
        <w:jc w:val="both"/>
      </w:pPr>
      <w:r>
        <w:rPr/>
        <w:t>In the governance or public sector parlance, balanced scorecard pertains to serving country by helping</w:t>
      </w:r>
      <w:r>
        <w:rPr>
          <w:spacing w:val="-2"/>
        </w:rPr>
        <w:t> </w:t>
      </w:r>
      <w:r>
        <w:rPr/>
        <w:t>improve the lives of the people and community. It is about increasing</w:t>
      </w:r>
      <w:r>
        <w:rPr>
          <w:spacing w:val="-2"/>
        </w:rPr>
        <w:t> </w:t>
      </w:r>
      <w:r>
        <w:rPr/>
        <w:t>value by</w:t>
      </w:r>
      <w:r>
        <w:rPr>
          <w:spacing w:val="-4"/>
        </w:rPr>
        <w:t> </w:t>
      </w:r>
      <w:r>
        <w:rPr/>
        <w:t>providing more cost-effective services within the ambits of the budget. To the business sector, it deals with increasing business opportunities and raising quality of goods and services pro-vision. Smith (2006) agrees that balanced scorecard is a tool that measures performance based on strategy and </w:t>
      </w:r>
      <w:r>
        <w:rPr>
          <w:spacing w:val="-2"/>
        </w:rPr>
        <w:t>objectives.</w:t>
      </w:r>
    </w:p>
    <w:p>
      <w:pPr>
        <w:spacing w:after="0" w:line="360" w:lineRule="auto"/>
        <w:jc w:val="both"/>
        <w:sectPr>
          <w:pgSz w:w="12240" w:h="15840"/>
          <w:pgMar w:header="0" w:footer="1036" w:top="1360" w:bottom="1220" w:left="1200" w:right="600"/>
        </w:sectPr>
      </w:pPr>
    </w:p>
    <w:p>
      <w:pPr>
        <w:pStyle w:val="BodyText"/>
        <w:spacing w:line="360" w:lineRule="auto" w:before="74"/>
        <w:ind w:left="240" w:right="835"/>
        <w:jc w:val="both"/>
      </w:pPr>
      <w:r>
        <w:rPr/>
        <w:t>On the definition and explanation of balanced scorecard, (Smith, 2006), quoting Procurement Executives‘ Association (2005) defines the Balanced Scorecard as a strategy for translating an organization‘s strategic objectives into a set of performance indicators distributed among four perspectives of; financial, customer, internal business processes and growth. Customer in government terminology is the populace/community and internal business processes represents the government employees. However Smith (2006) describes the areas of emphasis of these four perspectives as follows; emphasis on financial perspective is on cost and the ability to provide</w:t>
      </w:r>
      <w:r>
        <w:rPr>
          <w:spacing w:val="40"/>
        </w:rPr>
        <w:t> </w:t>
      </w:r>
      <w:r>
        <w:rPr/>
        <w:t>the best value to government stakeholders. Customer perspective focuses on the agency‘s overall responsibility to meet the customers/populace needs in the most efficient and effective manner. The focus of internal business processes is on performance expectations and ensuring the proper processes and resources are available and implemented to maximize performance. Smith (2006) further</w:t>
      </w:r>
      <w:r>
        <w:rPr>
          <w:spacing w:val="-2"/>
        </w:rPr>
        <w:t> </w:t>
      </w:r>
      <w:r>
        <w:rPr/>
        <w:t>asserts</w:t>
      </w:r>
      <w:r>
        <w:rPr>
          <w:spacing w:val="-2"/>
        </w:rPr>
        <w:t> </w:t>
      </w:r>
      <w:r>
        <w:rPr/>
        <w:t>that</w:t>
      </w:r>
      <w:r>
        <w:rPr>
          <w:spacing w:val="-1"/>
        </w:rPr>
        <w:t> </w:t>
      </w:r>
      <w:r>
        <w:rPr/>
        <w:t>growth</w:t>
      </w:r>
      <w:r>
        <w:rPr>
          <w:spacing w:val="-2"/>
        </w:rPr>
        <w:t> </w:t>
      </w:r>
      <w:r>
        <w:rPr/>
        <w:t>perspective</w:t>
      </w:r>
      <w:r>
        <w:rPr>
          <w:spacing w:val="-3"/>
        </w:rPr>
        <w:t> </w:t>
      </w:r>
      <w:r>
        <w:rPr/>
        <w:t>emphasis</w:t>
      </w:r>
      <w:r>
        <w:rPr>
          <w:spacing w:val="-2"/>
        </w:rPr>
        <w:t> </w:t>
      </w:r>
      <w:r>
        <w:rPr/>
        <w:t>is</w:t>
      </w:r>
      <w:r>
        <w:rPr>
          <w:spacing w:val="-2"/>
        </w:rPr>
        <w:t> </w:t>
      </w:r>
      <w:r>
        <w:rPr/>
        <w:t>on</w:t>
      </w:r>
      <w:r>
        <w:rPr>
          <w:spacing w:val="-2"/>
        </w:rPr>
        <w:t> </w:t>
      </w:r>
      <w:r>
        <w:rPr/>
        <w:t>the</w:t>
      </w:r>
      <w:r>
        <w:rPr>
          <w:spacing w:val="-2"/>
        </w:rPr>
        <w:t> </w:t>
      </w:r>
      <w:r>
        <w:rPr/>
        <w:t>employee</w:t>
      </w:r>
      <w:r>
        <w:rPr>
          <w:spacing w:val="-2"/>
        </w:rPr>
        <w:t> </w:t>
      </w:r>
      <w:r>
        <w:rPr/>
        <w:t>ability</w:t>
      </w:r>
      <w:r>
        <w:rPr>
          <w:spacing w:val="-5"/>
        </w:rPr>
        <w:t> </w:t>
      </w:r>
      <w:r>
        <w:rPr/>
        <w:t>and</w:t>
      </w:r>
      <w:r>
        <w:rPr>
          <w:spacing w:val="-2"/>
        </w:rPr>
        <w:t> </w:t>
      </w:r>
      <w:r>
        <w:rPr/>
        <w:t>the</w:t>
      </w:r>
      <w:r>
        <w:rPr>
          <w:spacing w:val="-2"/>
        </w:rPr>
        <w:t> </w:t>
      </w:r>
      <w:r>
        <w:rPr/>
        <w:t>organizational structure needed to achieve the agency‘s goals‘</w:t>
      </w:r>
    </w:p>
    <w:p>
      <w:pPr>
        <w:pStyle w:val="BodyText"/>
      </w:pPr>
    </w:p>
    <w:p>
      <w:pPr>
        <w:pStyle w:val="BodyText"/>
        <w:spacing w:line="360" w:lineRule="auto"/>
        <w:ind w:left="240" w:right="842"/>
        <w:jc w:val="both"/>
      </w:pPr>
      <w:r>
        <w:rPr/>
        <w:t>Advocating reasons for implementation of a balanced scorecard budget, Smith (2006) advanced that it improves performance, demonstrates accountability, meets constituents needs, aligns departmental and workers goals with Governmental goals and improves communication with the ministries and government. Against this backdrop, the development of a public budget performance model for effective housing delivery, for this research will also be guided by the balanced scorecard model, since it has citizen satisfaction, organizational improvement and performance as well as societal/community development as its underlying principles.</w:t>
      </w:r>
    </w:p>
    <w:p>
      <w:pPr>
        <w:pStyle w:val="BodyText"/>
      </w:pPr>
    </w:p>
    <w:p>
      <w:pPr>
        <w:pStyle w:val="BodyText"/>
        <w:spacing w:before="24"/>
      </w:pPr>
    </w:p>
    <w:p>
      <w:pPr>
        <w:pStyle w:val="Heading3"/>
        <w:numPr>
          <w:ilvl w:val="1"/>
          <w:numId w:val="27"/>
        </w:numPr>
        <w:tabs>
          <w:tab w:pos="959" w:val="left" w:leader="none"/>
        </w:tabs>
        <w:spacing w:line="240" w:lineRule="auto" w:before="0" w:after="0"/>
        <w:ind w:left="959" w:right="0" w:hanging="719"/>
        <w:jc w:val="both"/>
      </w:pPr>
      <w:r>
        <w:rPr/>
        <w:t>Summary</w:t>
      </w:r>
      <w:r>
        <w:rPr>
          <w:spacing w:val="-6"/>
        </w:rPr>
        <w:t> </w:t>
      </w:r>
      <w:r>
        <w:rPr/>
        <w:t>of</w:t>
      </w:r>
      <w:r>
        <w:rPr>
          <w:spacing w:val="-9"/>
        </w:rPr>
        <w:t> </w:t>
      </w:r>
      <w:r>
        <w:rPr>
          <w:spacing w:val="-2"/>
        </w:rPr>
        <w:t>Literature</w:t>
      </w:r>
    </w:p>
    <w:p>
      <w:pPr>
        <w:pStyle w:val="BodyText"/>
        <w:spacing w:line="360" w:lineRule="auto" w:before="142"/>
        <w:ind w:left="240" w:right="835"/>
        <w:jc w:val="both"/>
      </w:pPr>
      <w:r>
        <w:rPr/>
        <w:t>This section tries to summarize the literature reviewed, with a view to establishing the possible gaps. For this purpose, the problems, which informed the study, would be the focus. Hence, the following can be deduced.</w:t>
      </w:r>
    </w:p>
    <w:p>
      <w:pPr>
        <w:pStyle w:val="ListParagraph"/>
        <w:numPr>
          <w:ilvl w:val="0"/>
          <w:numId w:val="75"/>
        </w:numPr>
        <w:tabs>
          <w:tab w:pos="596" w:val="left" w:leader="none"/>
        </w:tabs>
        <w:spacing w:line="360" w:lineRule="auto" w:before="175" w:after="0"/>
        <w:ind w:left="240" w:right="845" w:firstLine="0"/>
        <w:jc w:val="both"/>
        <w:rPr>
          <w:sz w:val="24"/>
        </w:rPr>
      </w:pPr>
      <w:r>
        <w:rPr>
          <w:sz w:val="24"/>
        </w:rPr>
        <w:t>That safe, secure, healthy, available and inexpensive housing is of supreme importance to man and represents one of the most basic human needs and as such should be a priority of governments (UN-Habitat, 2006; Morakinyo, </w:t>
      </w:r>
      <w:r>
        <w:rPr>
          <w:i/>
          <w:sz w:val="24"/>
        </w:rPr>
        <w:t>et al</w:t>
      </w:r>
      <w:r>
        <w:rPr>
          <w:sz w:val="24"/>
        </w:rPr>
        <w:t>., 2015).</w:t>
      </w:r>
    </w:p>
    <w:p>
      <w:pPr>
        <w:spacing w:after="0" w:line="360" w:lineRule="auto"/>
        <w:jc w:val="both"/>
        <w:rPr>
          <w:sz w:val="24"/>
        </w:rPr>
        <w:sectPr>
          <w:pgSz w:w="12240" w:h="15840"/>
          <w:pgMar w:header="0" w:footer="1036" w:top="1360" w:bottom="1220" w:left="1200" w:right="600"/>
        </w:sectPr>
      </w:pPr>
    </w:p>
    <w:p>
      <w:pPr>
        <w:pStyle w:val="ListParagraph"/>
        <w:numPr>
          <w:ilvl w:val="0"/>
          <w:numId w:val="75"/>
        </w:numPr>
        <w:tabs>
          <w:tab w:pos="584" w:val="left" w:leader="none"/>
        </w:tabs>
        <w:spacing w:line="360" w:lineRule="auto" w:before="74" w:after="0"/>
        <w:ind w:left="240" w:right="843" w:firstLine="0"/>
        <w:jc w:val="both"/>
        <w:rPr>
          <w:sz w:val="24"/>
        </w:rPr>
      </w:pPr>
      <w:r>
        <w:rPr>
          <w:sz w:val="24"/>
        </w:rPr>
        <w:t>The inability of the Nigerian government to objectively accept and implement the global call as enshrined in the UN Habitat agenda on human settlement and shelter impacts negatively on</w:t>
      </w:r>
      <w:r>
        <w:rPr>
          <w:spacing w:val="40"/>
          <w:sz w:val="24"/>
        </w:rPr>
        <w:t> </w:t>
      </w:r>
      <w:r>
        <w:rPr>
          <w:sz w:val="24"/>
        </w:rPr>
        <w:t>the provision of housing for her citizenry (NHP, 2006; UN-Habitat, 2006).</w:t>
      </w:r>
    </w:p>
    <w:p>
      <w:pPr>
        <w:pStyle w:val="ListParagraph"/>
        <w:numPr>
          <w:ilvl w:val="0"/>
          <w:numId w:val="75"/>
        </w:numPr>
        <w:tabs>
          <w:tab w:pos="575" w:val="left" w:leader="none"/>
        </w:tabs>
        <w:spacing w:line="360" w:lineRule="auto" w:before="139" w:after="0"/>
        <w:ind w:left="240" w:right="836" w:firstLine="0"/>
        <w:jc w:val="both"/>
        <w:rPr>
          <w:sz w:val="24"/>
        </w:rPr>
      </w:pPr>
      <w:r>
        <w:rPr>
          <w:sz w:val="24"/>
        </w:rPr>
        <w:t>Housing has been a much neglected sector in Nigeria and Anambra State. Sequel to this, the present state of housing delivery is very discouraging (Diogu, 2002; Jiboye, 2009; Ugonabo and Emoh, 2013).</w:t>
      </w:r>
    </w:p>
    <w:p>
      <w:pPr>
        <w:pStyle w:val="ListParagraph"/>
        <w:numPr>
          <w:ilvl w:val="0"/>
          <w:numId w:val="75"/>
        </w:numPr>
        <w:tabs>
          <w:tab w:pos="637" w:val="left" w:leader="none"/>
        </w:tabs>
        <w:spacing w:line="360" w:lineRule="auto" w:before="171" w:after="0"/>
        <w:ind w:left="240" w:right="838" w:firstLine="0"/>
        <w:jc w:val="both"/>
        <w:rPr>
          <w:sz w:val="24"/>
        </w:rPr>
      </w:pPr>
      <w:r>
        <w:rPr>
          <w:sz w:val="24"/>
        </w:rPr>
        <w:t>Budgeting helps the government to set priorities among projects competing for limited resources (CICMA, 2003; Fagbenle and Owolabi, 2004).</w:t>
      </w:r>
    </w:p>
    <w:p>
      <w:pPr>
        <w:pStyle w:val="ListParagraph"/>
        <w:numPr>
          <w:ilvl w:val="0"/>
          <w:numId w:val="75"/>
        </w:numPr>
        <w:tabs>
          <w:tab w:pos="584" w:val="left" w:leader="none"/>
        </w:tabs>
        <w:spacing w:line="360" w:lineRule="auto" w:before="174" w:after="0"/>
        <w:ind w:left="240" w:right="838" w:firstLine="0"/>
        <w:jc w:val="both"/>
        <w:rPr>
          <w:sz w:val="24"/>
        </w:rPr>
      </w:pPr>
      <w:r>
        <w:rPr>
          <w:sz w:val="24"/>
        </w:rPr>
        <w:t>That the basic function of a public budget is to consolidate the various interests, objectives and needs of the people into a programme where they can jointly provide for their safety, convenience and comfort (Ekwealor, 2007).</w:t>
      </w:r>
    </w:p>
    <w:p>
      <w:pPr>
        <w:pStyle w:val="ListParagraph"/>
        <w:numPr>
          <w:ilvl w:val="0"/>
          <w:numId w:val="75"/>
        </w:numPr>
        <w:tabs>
          <w:tab w:pos="543" w:val="left" w:leader="none"/>
        </w:tabs>
        <w:spacing w:line="360" w:lineRule="auto" w:before="138" w:after="0"/>
        <w:ind w:left="240" w:right="834" w:firstLine="0"/>
        <w:jc w:val="both"/>
        <w:rPr>
          <w:sz w:val="24"/>
        </w:rPr>
      </w:pPr>
      <w:r>
        <w:rPr>
          <w:sz w:val="24"/>
        </w:rPr>
        <w:t>That the efficiency</w:t>
      </w:r>
      <w:r>
        <w:rPr>
          <w:spacing w:val="-1"/>
          <w:sz w:val="24"/>
        </w:rPr>
        <w:t> </w:t>
      </w:r>
      <w:r>
        <w:rPr>
          <w:sz w:val="24"/>
        </w:rPr>
        <w:t>and effectiveness of budgeting procedures reflects public sector character, prudence, accountability and transparency and citizen interest (Ugoo, 2008; Muhammed, 2009; Unegbu, 2012).</w:t>
      </w:r>
    </w:p>
    <w:p>
      <w:pPr>
        <w:pStyle w:val="ListParagraph"/>
        <w:numPr>
          <w:ilvl w:val="0"/>
          <w:numId w:val="75"/>
        </w:numPr>
        <w:tabs>
          <w:tab w:pos="584" w:val="left" w:leader="none"/>
        </w:tabs>
        <w:spacing w:line="360" w:lineRule="auto" w:before="104" w:after="0"/>
        <w:ind w:left="240" w:right="838" w:firstLine="0"/>
        <w:jc w:val="both"/>
        <w:rPr>
          <w:sz w:val="24"/>
        </w:rPr>
      </w:pPr>
      <w:r>
        <w:rPr>
          <w:sz w:val="24"/>
        </w:rPr>
        <w:t>The housing budget in Nigeria and Anambra State has performed poorly over the years, with very little to show for the monies budgeted for housing. Hence, housing is being denigrated as a result of budgetary procedures which are below best practices (El-Rufai, 2012; Fort, 2012; Jambol </w:t>
      </w:r>
      <w:r>
        <w:rPr>
          <w:i/>
          <w:sz w:val="24"/>
        </w:rPr>
        <w:t>et al., </w:t>
      </w:r>
      <w:r>
        <w:rPr>
          <w:sz w:val="24"/>
        </w:rPr>
        <w:t>2013; Saraki, 2016).</w:t>
      </w:r>
    </w:p>
    <w:p>
      <w:pPr>
        <w:pStyle w:val="ListParagraph"/>
        <w:numPr>
          <w:ilvl w:val="0"/>
          <w:numId w:val="75"/>
        </w:numPr>
        <w:tabs>
          <w:tab w:pos="586" w:val="left" w:leader="none"/>
        </w:tabs>
        <w:spacing w:line="360" w:lineRule="auto" w:before="104" w:after="0"/>
        <w:ind w:left="240" w:right="841" w:firstLine="0"/>
        <w:jc w:val="both"/>
        <w:rPr>
          <w:sz w:val="24"/>
        </w:rPr>
      </w:pPr>
      <w:r>
        <w:rPr>
          <w:sz w:val="24"/>
        </w:rPr>
        <w:t>That indiscipline, poor monitoring and evaluation, absence of a MTEF, lack of promotion of citizen interest, poor legislative capacity, corruption, lack of political will and undue political interference are among the common problems facing housing budget implementation in Nigeria (Olomola, 2009; Aderibigbe, 2012; Malgwi and Unegbu, 2012; Ben-Caleb </w:t>
      </w:r>
      <w:r>
        <w:rPr>
          <w:i/>
          <w:sz w:val="24"/>
        </w:rPr>
        <w:t>et al</w:t>
      </w:r>
      <w:r>
        <w:rPr>
          <w:sz w:val="24"/>
        </w:rPr>
        <w:t>., 2014).</w:t>
      </w:r>
    </w:p>
    <w:p>
      <w:pPr>
        <w:pStyle w:val="ListParagraph"/>
        <w:numPr>
          <w:ilvl w:val="0"/>
          <w:numId w:val="75"/>
        </w:numPr>
        <w:tabs>
          <w:tab w:pos="534" w:val="left" w:leader="none"/>
        </w:tabs>
        <w:spacing w:line="360" w:lineRule="auto" w:before="173" w:after="0"/>
        <w:ind w:left="240" w:right="840" w:firstLine="0"/>
        <w:jc w:val="both"/>
        <w:rPr>
          <w:sz w:val="24"/>
        </w:rPr>
      </w:pPr>
      <w:r>
        <w:rPr>
          <w:sz w:val="24"/>
        </w:rPr>
        <w:t>In Anambra State, the peculiar problems hindering effective housing budget performance are: paucity of data on housing needs, lack of financial support of the housing development corporation, lack of</w:t>
      </w:r>
      <w:r>
        <w:rPr>
          <w:spacing w:val="40"/>
          <w:sz w:val="24"/>
        </w:rPr>
        <w:t> </w:t>
      </w:r>
      <w:r>
        <w:rPr>
          <w:sz w:val="24"/>
        </w:rPr>
        <w:t>criteria for stipulating housing budget ceilings, skewed annual housing budget allocations, lack of citizen participation, inadequate time for the housing budget preparation process, extra budgetary expenditure and budget indiscipline, poor monitoring and evaluation and lack of involvement of</w:t>
      </w:r>
      <w:r>
        <w:rPr>
          <w:spacing w:val="-1"/>
          <w:sz w:val="24"/>
        </w:rPr>
        <w:t> </w:t>
      </w:r>
      <w:r>
        <w:rPr>
          <w:sz w:val="24"/>
        </w:rPr>
        <w:t>development cost professionals like Quantity</w:t>
      </w:r>
      <w:r>
        <w:rPr>
          <w:spacing w:val="-5"/>
          <w:sz w:val="24"/>
        </w:rPr>
        <w:t> </w:t>
      </w:r>
      <w:r>
        <w:rPr>
          <w:sz w:val="24"/>
        </w:rPr>
        <w:t>Surveyors in housing budget allocation decisions (Amakom, 2013; Researcher‘s field survey, 2016).</w:t>
      </w:r>
    </w:p>
    <w:p>
      <w:pPr>
        <w:spacing w:after="0" w:line="360" w:lineRule="auto"/>
        <w:jc w:val="both"/>
        <w:rPr>
          <w:sz w:val="24"/>
        </w:rPr>
        <w:sectPr>
          <w:pgSz w:w="12240" w:h="15840"/>
          <w:pgMar w:header="0" w:footer="1036" w:top="1360" w:bottom="1220" w:left="1200" w:right="600"/>
        </w:sectPr>
      </w:pPr>
    </w:p>
    <w:p>
      <w:pPr>
        <w:pStyle w:val="ListParagraph"/>
        <w:numPr>
          <w:ilvl w:val="0"/>
          <w:numId w:val="75"/>
        </w:numPr>
        <w:tabs>
          <w:tab w:pos="601" w:val="left" w:leader="none"/>
        </w:tabs>
        <w:spacing w:line="360" w:lineRule="auto" w:before="74" w:after="0"/>
        <w:ind w:left="240" w:right="836" w:firstLine="0"/>
        <w:jc w:val="both"/>
        <w:rPr>
          <w:sz w:val="24"/>
        </w:rPr>
      </w:pPr>
      <w:r>
        <w:rPr>
          <w:sz w:val="24"/>
        </w:rPr>
        <w:t>That modeling budget performance should take into account of adequacy of previous allocations, the political, legal, social, economic and technical environment, citizen inputs, communication, efficiency and accountability (Davis </w:t>
      </w:r>
      <w:r>
        <w:rPr>
          <w:i/>
          <w:sz w:val="24"/>
        </w:rPr>
        <w:t>et al</w:t>
      </w:r>
      <w:r>
        <w:rPr>
          <w:sz w:val="24"/>
        </w:rPr>
        <w:t>., 1966; Kaplan and Norton, 1996; Thurmaier and Willoughby, 2001; Ebdon and Aimee, 2006).</w:t>
      </w:r>
    </w:p>
    <w:p>
      <w:pPr>
        <w:pStyle w:val="ListParagraph"/>
        <w:numPr>
          <w:ilvl w:val="0"/>
          <w:numId w:val="75"/>
        </w:numPr>
        <w:tabs>
          <w:tab w:pos="661" w:val="left" w:leader="none"/>
        </w:tabs>
        <w:spacing w:line="360" w:lineRule="auto" w:before="207" w:after="0"/>
        <w:ind w:left="240" w:right="838" w:firstLine="0"/>
        <w:jc w:val="both"/>
        <w:rPr>
          <w:sz w:val="24"/>
        </w:rPr>
      </w:pPr>
      <w:r>
        <w:rPr>
          <w:sz w:val="24"/>
        </w:rPr>
        <w:t>Development</w:t>
      </w:r>
      <w:r>
        <w:rPr>
          <w:spacing w:val="40"/>
          <w:sz w:val="24"/>
        </w:rPr>
        <w:t> </w:t>
      </w:r>
      <w:r>
        <w:rPr>
          <w:sz w:val="24"/>
        </w:rPr>
        <w:t>of a holistic approach to improving housing budget performance and formulation of performance monitoring and review framework/guide will improve housing budget implementation and ultimately, housing delivery in Anambra State (Ikejiofor, 1999; Ademuluiyi, 2010; Amakom, 2013; Jambol </w:t>
      </w:r>
      <w:r>
        <w:rPr>
          <w:i/>
          <w:sz w:val="24"/>
        </w:rPr>
        <w:t>et al</w:t>
      </w:r>
      <w:r>
        <w:rPr>
          <w:sz w:val="24"/>
        </w:rPr>
        <w:t>., 2013).</w:t>
      </w:r>
    </w:p>
    <w:p>
      <w:pPr>
        <w:pStyle w:val="BodyText"/>
        <w:spacing w:before="179"/>
      </w:pPr>
    </w:p>
    <w:p>
      <w:pPr>
        <w:pStyle w:val="Heading3"/>
        <w:numPr>
          <w:ilvl w:val="1"/>
          <w:numId w:val="27"/>
        </w:numPr>
        <w:tabs>
          <w:tab w:pos="628" w:val="left" w:leader="none"/>
        </w:tabs>
        <w:spacing w:line="240" w:lineRule="auto" w:before="0" w:after="0"/>
        <w:ind w:left="628" w:right="0" w:hanging="388"/>
        <w:jc w:val="both"/>
      </w:pPr>
      <w:r>
        <w:rPr/>
        <w:t>Literature</w:t>
      </w:r>
      <w:r>
        <w:rPr>
          <w:spacing w:val="-11"/>
        </w:rPr>
        <w:t> </w:t>
      </w:r>
      <w:r>
        <w:rPr>
          <w:spacing w:val="-4"/>
        </w:rPr>
        <w:t>Gaps</w:t>
      </w:r>
    </w:p>
    <w:p>
      <w:pPr>
        <w:pStyle w:val="BodyText"/>
        <w:spacing w:line="360" w:lineRule="auto" w:before="144"/>
        <w:ind w:left="240" w:right="842"/>
        <w:jc w:val="both"/>
      </w:pPr>
      <w:r>
        <w:rPr/>
        <w:t>A close look at the synthesis of literature shows three glaring lacuna, which this study</w:t>
      </w:r>
      <w:r>
        <w:rPr>
          <w:spacing w:val="-3"/>
        </w:rPr>
        <w:t> </w:t>
      </w:r>
      <w:r>
        <w:rPr/>
        <w:t>intends to </w:t>
      </w:r>
      <w:r>
        <w:rPr>
          <w:spacing w:val="-2"/>
        </w:rPr>
        <w:t>fill.</w:t>
      </w:r>
    </w:p>
    <w:p>
      <w:pPr>
        <w:pStyle w:val="ListParagraph"/>
        <w:numPr>
          <w:ilvl w:val="0"/>
          <w:numId w:val="76"/>
        </w:numPr>
        <w:tabs>
          <w:tab w:pos="613" w:val="left" w:leader="none"/>
        </w:tabs>
        <w:spacing w:line="360" w:lineRule="auto" w:before="34" w:after="0"/>
        <w:ind w:left="240" w:right="838" w:firstLine="0"/>
        <w:jc w:val="both"/>
        <w:rPr>
          <w:sz w:val="24"/>
        </w:rPr>
      </w:pPr>
      <w:r>
        <w:rPr>
          <w:sz w:val="24"/>
        </w:rPr>
        <w:t>Public budgeting procedures, allocation and implementation have not been conducted in sufficient details with respect to the housing sector in Anambra State. Furthermore, the analysis of the annual budget of Anambra State carried out by the authors whose works were reviewed covered a period of 10 years i.e. 2004 – 2013. This can be described as a limited duration and incomprehensive, since it does not capture budget practices from the creation of the State to recent years.</w:t>
      </w:r>
    </w:p>
    <w:p>
      <w:pPr>
        <w:pStyle w:val="ListParagraph"/>
        <w:numPr>
          <w:ilvl w:val="0"/>
          <w:numId w:val="76"/>
        </w:numPr>
        <w:tabs>
          <w:tab w:pos="606" w:val="left" w:leader="none"/>
        </w:tabs>
        <w:spacing w:line="360" w:lineRule="auto" w:before="140" w:after="0"/>
        <w:ind w:left="240" w:right="843" w:firstLine="0"/>
        <w:jc w:val="both"/>
        <w:rPr>
          <w:sz w:val="24"/>
        </w:rPr>
      </w:pPr>
      <w:r>
        <w:rPr>
          <w:sz w:val="24"/>
        </w:rPr>
        <w:t>The procedures for analysis adopted by authors who studied public budgeting in Anambra State were mostly based on secondary or historical budget data. Questionnaire survey and oral interviews administered to housing budget professionals were not used to corroborate data and results obtained from the analysis of the secondary data.</w:t>
      </w:r>
    </w:p>
    <w:p>
      <w:pPr>
        <w:pStyle w:val="ListParagraph"/>
        <w:numPr>
          <w:ilvl w:val="0"/>
          <w:numId w:val="76"/>
        </w:numPr>
        <w:tabs>
          <w:tab w:pos="599" w:val="left" w:leader="none"/>
        </w:tabs>
        <w:spacing w:line="360" w:lineRule="auto" w:before="137" w:after="0"/>
        <w:ind w:left="240" w:right="835" w:firstLine="0"/>
        <w:jc w:val="both"/>
        <w:rPr>
          <w:sz w:val="24"/>
        </w:rPr>
      </w:pPr>
      <w:r>
        <w:rPr>
          <w:sz w:val="24"/>
        </w:rPr>
        <w:t>There is currently no holistic model or framework in existence for managing the housing budget process which is required to address housing budget problems and promote effective performance. In</w:t>
      </w:r>
      <w:r>
        <w:rPr>
          <w:spacing w:val="-2"/>
          <w:sz w:val="24"/>
        </w:rPr>
        <w:t> </w:t>
      </w:r>
      <w:r>
        <w:rPr>
          <w:sz w:val="24"/>
        </w:rPr>
        <w:t>addition</w:t>
      </w:r>
      <w:r>
        <w:rPr>
          <w:spacing w:val="-1"/>
          <w:sz w:val="24"/>
        </w:rPr>
        <w:t> </w:t>
      </w:r>
      <w:r>
        <w:rPr>
          <w:sz w:val="24"/>
        </w:rPr>
        <w:t>to</w:t>
      </w:r>
      <w:r>
        <w:rPr>
          <w:spacing w:val="-2"/>
          <w:sz w:val="24"/>
        </w:rPr>
        <w:t> </w:t>
      </w:r>
      <w:r>
        <w:rPr>
          <w:sz w:val="24"/>
        </w:rPr>
        <w:t>this,</w:t>
      </w:r>
      <w:r>
        <w:rPr>
          <w:spacing w:val="-2"/>
          <w:sz w:val="24"/>
        </w:rPr>
        <w:t> </w:t>
      </w:r>
      <w:r>
        <w:rPr>
          <w:sz w:val="24"/>
        </w:rPr>
        <w:t>no</w:t>
      </w:r>
      <w:r>
        <w:rPr>
          <w:spacing w:val="-2"/>
          <w:sz w:val="24"/>
        </w:rPr>
        <w:t> </w:t>
      </w:r>
      <w:r>
        <w:rPr>
          <w:sz w:val="24"/>
        </w:rPr>
        <w:t>template</w:t>
      </w:r>
      <w:r>
        <w:rPr>
          <w:spacing w:val="-3"/>
          <w:sz w:val="24"/>
        </w:rPr>
        <w:t> </w:t>
      </w:r>
      <w:r>
        <w:rPr>
          <w:sz w:val="24"/>
        </w:rPr>
        <w:t>or</w:t>
      </w:r>
      <w:r>
        <w:rPr>
          <w:spacing w:val="-2"/>
          <w:sz w:val="24"/>
        </w:rPr>
        <w:t> </w:t>
      </w:r>
      <w:r>
        <w:rPr>
          <w:sz w:val="24"/>
        </w:rPr>
        <w:t>guide</w:t>
      </w:r>
      <w:r>
        <w:rPr>
          <w:spacing w:val="-2"/>
          <w:sz w:val="24"/>
        </w:rPr>
        <w:t> </w:t>
      </w:r>
      <w:r>
        <w:rPr>
          <w:sz w:val="24"/>
        </w:rPr>
        <w:t>is</w:t>
      </w:r>
      <w:r>
        <w:rPr>
          <w:spacing w:val="-2"/>
          <w:sz w:val="24"/>
        </w:rPr>
        <w:t> </w:t>
      </w:r>
      <w:r>
        <w:rPr>
          <w:sz w:val="24"/>
        </w:rPr>
        <w:t>presently</w:t>
      </w:r>
      <w:r>
        <w:rPr>
          <w:spacing w:val="-7"/>
          <w:sz w:val="24"/>
        </w:rPr>
        <w:t> </w:t>
      </w:r>
      <w:r>
        <w:rPr>
          <w:sz w:val="24"/>
        </w:rPr>
        <w:t>used</w:t>
      </w:r>
      <w:r>
        <w:rPr>
          <w:spacing w:val="-3"/>
          <w:sz w:val="24"/>
        </w:rPr>
        <w:t> </w:t>
      </w:r>
      <w:r>
        <w:rPr>
          <w:sz w:val="24"/>
        </w:rPr>
        <w:t>to</w:t>
      </w:r>
      <w:r>
        <w:rPr>
          <w:spacing w:val="-2"/>
          <w:sz w:val="24"/>
        </w:rPr>
        <w:t> </w:t>
      </w:r>
      <w:r>
        <w:rPr>
          <w:sz w:val="24"/>
        </w:rPr>
        <w:t>monitor</w:t>
      </w:r>
      <w:r>
        <w:rPr>
          <w:spacing w:val="-3"/>
          <w:sz w:val="24"/>
        </w:rPr>
        <w:t> </w:t>
      </w:r>
      <w:r>
        <w:rPr>
          <w:sz w:val="24"/>
        </w:rPr>
        <w:t>and</w:t>
      </w:r>
      <w:r>
        <w:rPr>
          <w:spacing w:val="-2"/>
          <w:sz w:val="24"/>
        </w:rPr>
        <w:t> </w:t>
      </w:r>
      <w:r>
        <w:rPr>
          <w:sz w:val="24"/>
        </w:rPr>
        <w:t>review</w:t>
      </w:r>
      <w:r>
        <w:rPr>
          <w:spacing w:val="-2"/>
          <w:sz w:val="24"/>
        </w:rPr>
        <w:t> </w:t>
      </w:r>
      <w:r>
        <w:rPr>
          <w:sz w:val="24"/>
        </w:rPr>
        <w:t>on- going or already executed housing budget to ensure efficient and effective implementation.</w:t>
      </w:r>
    </w:p>
    <w:p>
      <w:pPr>
        <w:pStyle w:val="BodyText"/>
        <w:spacing w:before="207"/>
        <w:ind w:left="240"/>
        <w:jc w:val="both"/>
      </w:pPr>
      <w:r>
        <w:rPr/>
        <w:t>These</w:t>
      </w:r>
      <w:r>
        <w:rPr>
          <w:spacing w:val="-2"/>
        </w:rPr>
        <w:t> </w:t>
      </w:r>
      <w:r>
        <w:rPr/>
        <w:t>gaps</w:t>
      </w:r>
      <w:r>
        <w:rPr>
          <w:spacing w:val="-1"/>
        </w:rPr>
        <w:t> </w:t>
      </w:r>
      <w:r>
        <w:rPr/>
        <w:t>identified in</w:t>
      </w:r>
      <w:r>
        <w:rPr>
          <w:spacing w:val="-1"/>
        </w:rPr>
        <w:t> </w:t>
      </w:r>
      <w:r>
        <w:rPr/>
        <w:t>the</w:t>
      </w:r>
      <w:r>
        <w:rPr>
          <w:spacing w:val="-2"/>
        </w:rPr>
        <w:t> </w:t>
      </w:r>
      <w:r>
        <w:rPr/>
        <w:t>literature</w:t>
      </w:r>
      <w:r>
        <w:rPr>
          <w:spacing w:val="-2"/>
        </w:rPr>
        <w:t> </w:t>
      </w:r>
      <w:r>
        <w:rPr/>
        <w:t>necessitated</w:t>
      </w:r>
      <w:r>
        <w:rPr>
          <w:spacing w:val="1"/>
        </w:rPr>
        <w:t> </w:t>
      </w:r>
      <w:r>
        <w:rPr/>
        <w:t>this study</w:t>
      </w:r>
      <w:r>
        <w:rPr>
          <w:spacing w:val="-7"/>
        </w:rPr>
        <w:t> </w:t>
      </w:r>
      <w:r>
        <w:rPr/>
        <w:t>and</w:t>
      </w:r>
      <w:r>
        <w:rPr>
          <w:spacing w:val="-1"/>
        </w:rPr>
        <w:t> </w:t>
      </w:r>
      <w:r>
        <w:rPr/>
        <w:t>hence</w:t>
      </w:r>
      <w:r>
        <w:rPr>
          <w:spacing w:val="-1"/>
        </w:rPr>
        <w:t> </w:t>
      </w:r>
      <w:r>
        <w:rPr/>
        <w:t>justifies</w:t>
      </w:r>
      <w:r>
        <w:rPr>
          <w:spacing w:val="-1"/>
        </w:rPr>
        <w:t> </w:t>
      </w:r>
      <w:r>
        <w:rPr/>
        <w:t>the</w:t>
      </w:r>
      <w:r>
        <w:rPr>
          <w:spacing w:val="-1"/>
        </w:rPr>
        <w:t> </w:t>
      </w:r>
      <w:r>
        <w:rPr>
          <w:spacing w:val="-2"/>
        </w:rPr>
        <w:t>research.</w:t>
      </w:r>
    </w:p>
    <w:p>
      <w:pPr>
        <w:spacing w:after="0"/>
        <w:jc w:val="both"/>
        <w:sectPr>
          <w:pgSz w:w="12240" w:h="15840"/>
          <w:pgMar w:header="0" w:footer="1036" w:top="1360" w:bottom="1220" w:left="1200" w:right="600"/>
        </w:sectPr>
      </w:pPr>
    </w:p>
    <w:p>
      <w:pPr>
        <w:pStyle w:val="BodyText"/>
        <w:rPr>
          <w:sz w:val="26"/>
        </w:rPr>
      </w:pPr>
    </w:p>
    <w:p>
      <w:pPr>
        <w:pStyle w:val="BodyText"/>
        <w:rPr>
          <w:sz w:val="26"/>
        </w:rPr>
      </w:pPr>
    </w:p>
    <w:p>
      <w:pPr>
        <w:pStyle w:val="BodyText"/>
        <w:spacing w:before="114"/>
        <w:rPr>
          <w:sz w:val="26"/>
        </w:rPr>
      </w:pPr>
    </w:p>
    <w:p>
      <w:pPr>
        <w:pStyle w:val="ListParagraph"/>
        <w:numPr>
          <w:ilvl w:val="1"/>
          <w:numId w:val="77"/>
        </w:numPr>
        <w:tabs>
          <w:tab w:pos="628" w:val="left" w:leader="none"/>
        </w:tabs>
        <w:spacing w:line="240" w:lineRule="auto" w:before="0" w:after="0"/>
        <w:ind w:left="628" w:right="0" w:hanging="388"/>
        <w:jc w:val="left"/>
        <w:rPr>
          <w:b/>
          <w:sz w:val="26"/>
        </w:rPr>
      </w:pPr>
      <w:r>
        <w:rPr>
          <w:b/>
          <w:spacing w:val="-2"/>
          <w:sz w:val="26"/>
        </w:rPr>
        <w:t>Introduction</w:t>
      </w:r>
    </w:p>
    <w:p>
      <w:pPr>
        <w:pStyle w:val="Heading1"/>
        <w:ind w:left="2" w:right="3448"/>
      </w:pPr>
      <w:r>
        <w:rPr>
          <w:b w:val="0"/>
        </w:rPr>
        <w:br w:type="column"/>
      </w:r>
      <w:r>
        <w:rPr/>
        <w:t>CHAPTER</w:t>
      </w:r>
      <w:r>
        <w:rPr>
          <w:spacing w:val="-8"/>
        </w:rPr>
        <w:t> </w:t>
      </w:r>
      <w:r>
        <w:rPr>
          <w:spacing w:val="-4"/>
        </w:rPr>
        <w:t>FOUR</w:t>
      </w:r>
    </w:p>
    <w:p>
      <w:pPr>
        <w:pStyle w:val="Heading2"/>
        <w:ind w:right="3448"/>
      </w:pPr>
      <w:r>
        <w:rPr/>
        <w:t>RESEARCH</w:t>
      </w:r>
      <w:r>
        <w:rPr>
          <w:spacing w:val="-14"/>
        </w:rPr>
        <w:t> </w:t>
      </w:r>
      <w:r>
        <w:rPr>
          <w:spacing w:val="-2"/>
        </w:rPr>
        <w:t>METHODOLOGY</w:t>
      </w:r>
    </w:p>
    <w:p>
      <w:pPr>
        <w:spacing w:after="0"/>
        <w:sectPr>
          <w:pgSz w:w="12240" w:h="15840"/>
          <w:pgMar w:header="0" w:footer="1036" w:top="1360" w:bottom="1220" w:left="1200" w:right="600"/>
          <w:cols w:num="2" w:equalWidth="0">
            <w:col w:w="2083" w:space="766"/>
            <w:col w:w="7591"/>
          </w:cols>
        </w:sectPr>
      </w:pPr>
    </w:p>
    <w:p>
      <w:pPr>
        <w:pStyle w:val="BodyText"/>
        <w:spacing w:line="360" w:lineRule="auto" w:before="145"/>
        <w:ind w:left="240" w:right="844"/>
        <w:jc w:val="both"/>
      </w:pPr>
      <w:r>
        <w:rPr/>
        <w:t>To obtain or gather data for any research work, certain procedures must be used. This chapter therefore, discusses the procedures and techniques or strategies that underline the conduct of this </w:t>
      </w:r>
      <w:r>
        <w:rPr>
          <w:spacing w:val="-2"/>
        </w:rPr>
        <w:t>research.</w:t>
      </w:r>
    </w:p>
    <w:p>
      <w:pPr>
        <w:pStyle w:val="BodyText"/>
        <w:spacing w:line="360" w:lineRule="auto" w:before="274"/>
        <w:ind w:left="240" w:right="837"/>
        <w:jc w:val="both"/>
      </w:pPr>
      <w:r>
        <w:rPr/>
        <w:t>The research methodology describes the procedures employed for gathering and generating the data needed for carrying out the research work and subsequent technique for processing and analyzing the collected data. According to Fellows and Liu, (1997), research methodology</w:t>
      </w:r>
      <w:r>
        <w:rPr>
          <w:spacing w:val="-1"/>
        </w:rPr>
        <w:t> </w:t>
      </w:r>
      <w:r>
        <w:rPr/>
        <w:t>refers to the principles and procedures of logical thought process which are applied to a scientific investigation. Research methodology is the overall strategy, designed to achieve the aim and objective of the research (Okolie, 2011). Okolie further states that it includes the procedures and techniques of investigation for the effective and reliable representation of the research.</w:t>
      </w:r>
    </w:p>
    <w:p>
      <w:pPr>
        <w:pStyle w:val="BodyText"/>
        <w:spacing w:before="36"/>
      </w:pPr>
    </w:p>
    <w:p>
      <w:pPr>
        <w:pStyle w:val="BodyText"/>
        <w:spacing w:line="360" w:lineRule="auto"/>
        <w:ind w:left="240" w:right="836"/>
        <w:jc w:val="both"/>
      </w:pPr>
      <w:r>
        <w:rPr/>
        <w:t>While research methods on the other hand, are merely</w:t>
      </w:r>
      <w:r>
        <w:rPr>
          <w:spacing w:val="-2"/>
        </w:rPr>
        <w:t> </w:t>
      </w:r>
      <w:r>
        <w:rPr/>
        <w:t>tools used in gathering and analyzing data for the research (Okolie, 2011). Research method is described as the subset of the methodology. Thus,</w:t>
      </w:r>
      <w:r>
        <w:rPr>
          <w:spacing w:val="-1"/>
        </w:rPr>
        <w:t> </w:t>
      </w:r>
      <w:r>
        <w:rPr/>
        <w:t>within</w:t>
      </w:r>
      <w:r>
        <w:rPr>
          <w:spacing w:val="-1"/>
        </w:rPr>
        <w:t> </w:t>
      </w:r>
      <w:r>
        <w:rPr/>
        <w:t>a</w:t>
      </w:r>
      <w:r>
        <w:rPr>
          <w:spacing w:val="-2"/>
        </w:rPr>
        <w:t> </w:t>
      </w:r>
      <w:r>
        <w:rPr/>
        <w:t>research methodology,</w:t>
      </w:r>
      <w:r>
        <w:rPr>
          <w:spacing w:val="-1"/>
        </w:rPr>
        <w:t> </w:t>
      </w:r>
      <w:r>
        <w:rPr/>
        <w:t>different</w:t>
      </w:r>
      <w:r>
        <w:rPr>
          <w:spacing w:val="-1"/>
        </w:rPr>
        <w:t> </w:t>
      </w:r>
      <w:r>
        <w:rPr/>
        <w:t>research</w:t>
      </w:r>
      <w:r>
        <w:rPr>
          <w:spacing w:val="-1"/>
        </w:rPr>
        <w:t> </w:t>
      </w:r>
      <w:r>
        <w:rPr/>
        <w:t>methods</w:t>
      </w:r>
      <w:r>
        <w:rPr>
          <w:spacing w:val="-1"/>
        </w:rPr>
        <w:t> </w:t>
      </w:r>
      <w:r>
        <w:rPr/>
        <w:t>or</w:t>
      </w:r>
      <w:r>
        <w:rPr>
          <w:spacing w:val="-2"/>
        </w:rPr>
        <w:t> </w:t>
      </w:r>
      <w:r>
        <w:rPr/>
        <w:t>tools</w:t>
      </w:r>
      <w:r>
        <w:rPr>
          <w:spacing w:val="-1"/>
        </w:rPr>
        <w:t> </w:t>
      </w:r>
      <w:r>
        <w:rPr/>
        <w:t>may</w:t>
      </w:r>
      <w:r>
        <w:rPr>
          <w:spacing w:val="-5"/>
        </w:rPr>
        <w:t> </w:t>
      </w:r>
      <w:r>
        <w:rPr/>
        <w:t>be</w:t>
      </w:r>
      <w:r>
        <w:rPr>
          <w:spacing w:val="-2"/>
        </w:rPr>
        <w:t> </w:t>
      </w:r>
      <w:r>
        <w:rPr/>
        <w:t>used</w:t>
      </w:r>
      <w:r>
        <w:rPr>
          <w:spacing w:val="-1"/>
        </w:rPr>
        <w:t> </w:t>
      </w:r>
      <w:r>
        <w:rPr/>
        <w:t>to</w:t>
      </w:r>
      <w:r>
        <w:rPr>
          <w:spacing w:val="-1"/>
        </w:rPr>
        <w:t> </w:t>
      </w:r>
      <w:r>
        <w:rPr/>
        <w:t>achieve the aim</w:t>
      </w:r>
      <w:r>
        <w:rPr>
          <w:spacing w:val="80"/>
        </w:rPr>
        <w:t> </w:t>
      </w:r>
      <w:r>
        <w:rPr/>
        <w:t>and objectives of the research (Sutrisna, 2009).</w:t>
      </w:r>
    </w:p>
    <w:p>
      <w:pPr>
        <w:pStyle w:val="BodyText"/>
        <w:spacing w:before="145"/>
      </w:pPr>
    </w:p>
    <w:p>
      <w:pPr>
        <w:pStyle w:val="Heading3"/>
        <w:numPr>
          <w:ilvl w:val="1"/>
          <w:numId w:val="77"/>
        </w:numPr>
        <w:tabs>
          <w:tab w:pos="628" w:val="left" w:leader="none"/>
        </w:tabs>
        <w:spacing w:line="240" w:lineRule="auto" w:before="0" w:after="0"/>
        <w:ind w:left="628" w:right="0" w:hanging="388"/>
        <w:jc w:val="both"/>
      </w:pPr>
      <w:r>
        <w:rPr/>
        <w:t>Research</w:t>
      </w:r>
      <w:r>
        <w:rPr>
          <w:spacing w:val="-10"/>
        </w:rPr>
        <w:t> </w:t>
      </w:r>
      <w:r>
        <w:rPr>
          <w:spacing w:val="-2"/>
        </w:rPr>
        <w:t>Design</w:t>
      </w:r>
    </w:p>
    <w:p>
      <w:pPr>
        <w:pStyle w:val="BodyText"/>
        <w:spacing w:line="360" w:lineRule="auto" w:before="142"/>
        <w:ind w:left="240" w:right="839"/>
        <w:jc w:val="both"/>
      </w:pPr>
      <w:r>
        <w:rPr/>
        <w:t>By virtue of the nature of the research, survey design was adopted for this research. Survey research method according to Nworgu, (1991) is one in which group of people or items are studied</w:t>
      </w:r>
      <w:r>
        <w:rPr>
          <w:spacing w:val="-2"/>
        </w:rPr>
        <w:t> </w:t>
      </w:r>
      <w:r>
        <w:rPr/>
        <w:t>by</w:t>
      </w:r>
      <w:r>
        <w:rPr>
          <w:spacing w:val="-5"/>
        </w:rPr>
        <w:t> </w:t>
      </w:r>
      <w:r>
        <w:rPr/>
        <w:t>collecting</w:t>
      </w:r>
      <w:r>
        <w:rPr>
          <w:spacing w:val="-5"/>
        </w:rPr>
        <w:t> </w:t>
      </w:r>
      <w:r>
        <w:rPr/>
        <w:t>and analyzing</w:t>
      </w:r>
      <w:r>
        <w:rPr>
          <w:spacing w:val="-5"/>
        </w:rPr>
        <w:t> </w:t>
      </w:r>
      <w:r>
        <w:rPr/>
        <w:t>data</w:t>
      </w:r>
      <w:r>
        <w:rPr>
          <w:spacing w:val="-2"/>
        </w:rPr>
        <w:t> </w:t>
      </w:r>
      <w:r>
        <w:rPr/>
        <w:t>from</w:t>
      </w:r>
      <w:r>
        <w:rPr>
          <w:spacing w:val="-2"/>
        </w:rPr>
        <w:t> </w:t>
      </w:r>
      <w:r>
        <w:rPr/>
        <w:t>them that</w:t>
      </w:r>
      <w:r>
        <w:rPr>
          <w:spacing w:val="-2"/>
        </w:rPr>
        <w:t> </w:t>
      </w:r>
      <w:r>
        <w:rPr/>
        <w:t>are</w:t>
      </w:r>
      <w:r>
        <w:rPr>
          <w:spacing w:val="-2"/>
        </w:rPr>
        <w:t> </w:t>
      </w:r>
      <w:r>
        <w:rPr/>
        <w:t>considered</w:t>
      </w:r>
      <w:r>
        <w:rPr>
          <w:spacing w:val="-2"/>
        </w:rPr>
        <w:t> </w:t>
      </w:r>
      <w:r>
        <w:rPr/>
        <w:t>to be</w:t>
      </w:r>
      <w:r>
        <w:rPr>
          <w:spacing w:val="-3"/>
        </w:rPr>
        <w:t> </w:t>
      </w:r>
      <w:r>
        <w:rPr/>
        <w:t>representative</w:t>
      </w:r>
      <w:r>
        <w:rPr>
          <w:spacing w:val="-3"/>
        </w:rPr>
        <w:t> </w:t>
      </w:r>
      <w:r>
        <w:rPr/>
        <w:t>of</w:t>
      </w:r>
      <w:r>
        <w:rPr>
          <w:spacing w:val="-2"/>
        </w:rPr>
        <w:t> </w:t>
      </w:r>
      <w:r>
        <w:rPr/>
        <w:t>the entire group. The use of survey research method makes the data generated directly from respondents to be more distinct and finite.</w:t>
      </w:r>
    </w:p>
    <w:p>
      <w:pPr>
        <w:spacing w:after="0" w:line="360" w:lineRule="auto"/>
        <w:jc w:val="both"/>
        <w:sectPr>
          <w:type w:val="continuous"/>
          <w:pgSz w:w="12240" w:h="15840"/>
          <w:pgMar w:header="0" w:footer="1036" w:top="1520" w:bottom="1220" w:left="1200" w:right="600"/>
        </w:sectPr>
      </w:pPr>
    </w:p>
    <w:p>
      <w:pPr>
        <w:pStyle w:val="Heading3"/>
        <w:numPr>
          <w:ilvl w:val="1"/>
          <w:numId w:val="77"/>
        </w:numPr>
        <w:tabs>
          <w:tab w:pos="564" w:val="left" w:leader="none"/>
          <w:tab w:pos="960" w:val="left" w:leader="none"/>
        </w:tabs>
        <w:spacing w:line="240" w:lineRule="auto" w:before="60" w:after="0"/>
        <w:ind w:left="564" w:right="0" w:hanging="324"/>
        <w:jc w:val="left"/>
        <w:rPr>
          <w:sz w:val="24"/>
        </w:rPr>
      </w:pPr>
      <w:r>
        <w:rPr>
          <w:spacing w:val="-10"/>
        </w:rPr>
        <w:t>:</w:t>
      </w:r>
      <w:r>
        <w:rPr/>
        <w:tab/>
        <w:t>Types</w:t>
      </w:r>
      <w:r>
        <w:rPr>
          <w:spacing w:val="-6"/>
        </w:rPr>
        <w:t> </w:t>
      </w:r>
      <w:r>
        <w:rPr/>
        <w:t>and</w:t>
      </w:r>
      <w:r>
        <w:rPr>
          <w:spacing w:val="-6"/>
        </w:rPr>
        <w:t> </w:t>
      </w:r>
      <w:r>
        <w:rPr/>
        <w:t>Sources</w:t>
      </w:r>
      <w:r>
        <w:rPr>
          <w:spacing w:val="-5"/>
        </w:rPr>
        <w:t> </w:t>
      </w:r>
      <w:r>
        <w:rPr/>
        <w:t>of</w:t>
      </w:r>
      <w:r>
        <w:rPr>
          <w:spacing w:val="-3"/>
        </w:rPr>
        <w:t> </w:t>
      </w:r>
      <w:r>
        <w:rPr>
          <w:spacing w:val="-2"/>
        </w:rPr>
        <w:t>Data:</w:t>
      </w:r>
    </w:p>
    <w:p>
      <w:pPr>
        <w:pStyle w:val="BodyText"/>
        <w:spacing w:line="360" w:lineRule="auto" w:before="144"/>
        <w:ind w:left="240" w:right="840"/>
      </w:pPr>
      <w:r>
        <w:rPr/>
        <w:t>Data</w:t>
      </w:r>
      <w:r>
        <w:rPr>
          <w:spacing w:val="37"/>
        </w:rPr>
        <w:t> </w:t>
      </w:r>
      <w:r>
        <w:rPr/>
        <w:t>for</w:t>
      </w:r>
      <w:r>
        <w:rPr>
          <w:spacing w:val="36"/>
        </w:rPr>
        <w:t> </w:t>
      </w:r>
      <w:r>
        <w:rPr/>
        <w:t>the</w:t>
      </w:r>
      <w:r>
        <w:rPr>
          <w:spacing w:val="37"/>
        </w:rPr>
        <w:t> </w:t>
      </w:r>
      <w:r>
        <w:rPr/>
        <w:t>research</w:t>
      </w:r>
      <w:r>
        <w:rPr>
          <w:spacing w:val="37"/>
        </w:rPr>
        <w:t> </w:t>
      </w:r>
      <w:r>
        <w:rPr/>
        <w:t>was</w:t>
      </w:r>
      <w:r>
        <w:rPr>
          <w:spacing w:val="37"/>
        </w:rPr>
        <w:t> </w:t>
      </w:r>
      <w:r>
        <w:rPr/>
        <w:t>sourced</w:t>
      </w:r>
      <w:r>
        <w:rPr>
          <w:spacing w:val="37"/>
        </w:rPr>
        <w:t> </w:t>
      </w:r>
      <w:r>
        <w:rPr/>
        <w:t>through</w:t>
      </w:r>
      <w:r>
        <w:rPr>
          <w:spacing w:val="37"/>
        </w:rPr>
        <w:t> </w:t>
      </w:r>
      <w:r>
        <w:rPr/>
        <w:t>primary</w:t>
      </w:r>
      <w:r>
        <w:rPr>
          <w:spacing w:val="32"/>
        </w:rPr>
        <w:t> </w:t>
      </w:r>
      <w:r>
        <w:rPr/>
        <w:t>and</w:t>
      </w:r>
      <w:r>
        <w:rPr>
          <w:spacing w:val="37"/>
        </w:rPr>
        <w:t> </w:t>
      </w:r>
      <w:r>
        <w:rPr/>
        <w:t>secondary</w:t>
      </w:r>
      <w:r>
        <w:rPr>
          <w:spacing w:val="32"/>
        </w:rPr>
        <w:t> </w:t>
      </w:r>
      <w:r>
        <w:rPr/>
        <w:t>data.</w:t>
      </w:r>
      <w:r>
        <w:rPr>
          <w:spacing w:val="39"/>
        </w:rPr>
        <w:t> </w:t>
      </w:r>
      <w:r>
        <w:rPr/>
        <w:t>They</w:t>
      </w:r>
      <w:r>
        <w:rPr>
          <w:spacing w:val="32"/>
        </w:rPr>
        <w:t> </w:t>
      </w:r>
      <w:r>
        <w:rPr/>
        <w:t>were</w:t>
      </w:r>
      <w:r>
        <w:rPr>
          <w:spacing w:val="38"/>
        </w:rPr>
        <w:t> </w:t>
      </w:r>
      <w:r>
        <w:rPr/>
        <w:t>collected expressly to help solve the research problems.</w:t>
      </w:r>
    </w:p>
    <w:p>
      <w:pPr>
        <w:pStyle w:val="Heading4"/>
        <w:numPr>
          <w:ilvl w:val="2"/>
          <w:numId w:val="77"/>
        </w:numPr>
        <w:tabs>
          <w:tab w:pos="960" w:val="left" w:leader="none"/>
        </w:tabs>
        <w:spacing w:line="240" w:lineRule="auto" w:before="212" w:after="0"/>
        <w:ind w:left="960" w:right="0" w:hanging="720"/>
        <w:jc w:val="left"/>
      </w:pPr>
      <w:r>
        <w:rPr/>
        <w:t>Primary</w:t>
      </w:r>
      <w:r>
        <w:rPr>
          <w:spacing w:val="-4"/>
        </w:rPr>
        <w:t> </w:t>
      </w:r>
      <w:r>
        <w:rPr>
          <w:spacing w:val="-2"/>
        </w:rPr>
        <w:t>Data:</w:t>
      </w:r>
    </w:p>
    <w:p>
      <w:pPr>
        <w:pStyle w:val="BodyText"/>
        <w:spacing w:line="360" w:lineRule="auto" w:before="134"/>
        <w:ind w:left="240" w:right="840"/>
      </w:pPr>
      <w:r>
        <w:rPr/>
        <w:t>Primary</w:t>
      </w:r>
      <w:r>
        <w:rPr>
          <w:spacing w:val="40"/>
        </w:rPr>
        <w:t> </w:t>
      </w:r>
      <w:r>
        <w:rPr/>
        <w:t>data</w:t>
      </w:r>
      <w:r>
        <w:rPr>
          <w:spacing w:val="40"/>
        </w:rPr>
        <w:t> </w:t>
      </w:r>
      <w:r>
        <w:rPr/>
        <w:t>is</w:t>
      </w:r>
      <w:r>
        <w:rPr>
          <w:spacing w:val="40"/>
        </w:rPr>
        <w:t> </w:t>
      </w:r>
      <w:r>
        <w:rPr/>
        <w:t>the</w:t>
      </w:r>
      <w:r>
        <w:rPr>
          <w:spacing w:val="40"/>
        </w:rPr>
        <w:t> </w:t>
      </w:r>
      <w:r>
        <w:rPr/>
        <w:t>information</w:t>
      </w:r>
      <w:r>
        <w:rPr>
          <w:spacing w:val="40"/>
        </w:rPr>
        <w:t> </w:t>
      </w:r>
      <w:r>
        <w:rPr/>
        <w:t>gathered</w:t>
      </w:r>
      <w:r>
        <w:rPr>
          <w:spacing w:val="40"/>
        </w:rPr>
        <w:t> </w:t>
      </w:r>
      <w:r>
        <w:rPr/>
        <w:t>directly</w:t>
      </w:r>
      <w:r>
        <w:rPr>
          <w:spacing w:val="40"/>
        </w:rPr>
        <w:t> </w:t>
      </w:r>
      <w:r>
        <w:rPr/>
        <w:t>by</w:t>
      </w:r>
      <w:r>
        <w:rPr>
          <w:spacing w:val="40"/>
        </w:rPr>
        <w:t> </w:t>
      </w:r>
      <w:r>
        <w:rPr/>
        <w:t>the</w:t>
      </w:r>
      <w:r>
        <w:rPr>
          <w:spacing w:val="40"/>
        </w:rPr>
        <w:t> </w:t>
      </w:r>
      <w:r>
        <w:rPr/>
        <w:t>researcher.</w:t>
      </w:r>
      <w:r>
        <w:rPr>
          <w:spacing w:val="40"/>
        </w:rPr>
        <w:t> </w:t>
      </w:r>
      <w:r>
        <w:rPr/>
        <w:t>For</w:t>
      </w:r>
      <w:r>
        <w:rPr>
          <w:spacing w:val="40"/>
        </w:rPr>
        <w:t> </w:t>
      </w:r>
      <w:r>
        <w:rPr/>
        <w:t>the</w:t>
      </w:r>
      <w:r>
        <w:rPr>
          <w:spacing w:val="40"/>
        </w:rPr>
        <w:t> </w:t>
      </w:r>
      <w:r>
        <w:rPr/>
        <w:t>purpose</w:t>
      </w:r>
      <w:r>
        <w:rPr>
          <w:spacing w:val="40"/>
        </w:rPr>
        <w:t> </w:t>
      </w:r>
      <w:r>
        <w:rPr/>
        <w:t>of</w:t>
      </w:r>
      <w:r>
        <w:rPr>
          <w:spacing w:val="40"/>
        </w:rPr>
        <w:t> </w:t>
      </w:r>
      <w:r>
        <w:rPr/>
        <w:t>this research primary data was collected through questionnaire and oral interviews.</w:t>
      </w:r>
    </w:p>
    <w:p>
      <w:pPr>
        <w:pStyle w:val="Heading4"/>
        <w:spacing w:before="245"/>
        <w:jc w:val="left"/>
      </w:pPr>
      <w:r>
        <w:rPr/>
        <w:t>Data</w:t>
      </w:r>
      <w:r>
        <w:rPr>
          <w:spacing w:val="-2"/>
        </w:rPr>
        <w:t> required:</w:t>
      </w:r>
    </w:p>
    <w:p>
      <w:pPr>
        <w:pStyle w:val="ListParagraph"/>
        <w:numPr>
          <w:ilvl w:val="3"/>
          <w:numId w:val="77"/>
        </w:numPr>
        <w:tabs>
          <w:tab w:pos="959" w:val="left" w:leader="none"/>
        </w:tabs>
        <w:spacing w:line="240" w:lineRule="auto" w:before="255" w:after="0"/>
        <w:ind w:left="959" w:right="0" w:hanging="359"/>
        <w:jc w:val="left"/>
        <w:rPr>
          <w:sz w:val="24"/>
        </w:rPr>
      </w:pPr>
      <w:r>
        <w:rPr>
          <w:sz w:val="24"/>
        </w:rPr>
        <w:t>Data</w:t>
      </w:r>
      <w:r>
        <w:rPr>
          <w:spacing w:val="-3"/>
          <w:sz w:val="24"/>
        </w:rPr>
        <w:t> </w:t>
      </w:r>
      <w:r>
        <w:rPr>
          <w:sz w:val="24"/>
        </w:rPr>
        <w:t>on</w:t>
      </w:r>
      <w:r>
        <w:rPr>
          <w:spacing w:val="-1"/>
          <w:sz w:val="24"/>
        </w:rPr>
        <w:t> </w:t>
      </w:r>
      <w:r>
        <w:rPr>
          <w:sz w:val="24"/>
        </w:rPr>
        <w:t>annual housing</w:t>
      </w:r>
      <w:r>
        <w:rPr>
          <w:spacing w:val="-3"/>
          <w:sz w:val="24"/>
        </w:rPr>
        <w:t> </w:t>
      </w:r>
      <w:r>
        <w:rPr>
          <w:sz w:val="24"/>
        </w:rPr>
        <w:t>budget figures</w:t>
      </w:r>
      <w:r>
        <w:rPr>
          <w:spacing w:val="-1"/>
          <w:sz w:val="24"/>
        </w:rPr>
        <w:t> </w:t>
      </w:r>
      <w:r>
        <w:rPr>
          <w:sz w:val="24"/>
        </w:rPr>
        <w:t>for</w:t>
      </w:r>
      <w:r>
        <w:rPr>
          <w:spacing w:val="-1"/>
          <w:sz w:val="24"/>
        </w:rPr>
        <w:t> </w:t>
      </w:r>
      <w:r>
        <w:rPr>
          <w:sz w:val="24"/>
        </w:rPr>
        <w:t>the</w:t>
      </w:r>
      <w:r>
        <w:rPr>
          <w:spacing w:val="-2"/>
          <w:sz w:val="24"/>
        </w:rPr>
        <w:t> </w:t>
      </w:r>
      <w:r>
        <w:rPr>
          <w:sz w:val="24"/>
        </w:rPr>
        <w:t>period</w:t>
      </w:r>
      <w:r>
        <w:rPr>
          <w:spacing w:val="-1"/>
          <w:sz w:val="24"/>
        </w:rPr>
        <w:t> </w:t>
      </w:r>
      <w:r>
        <w:rPr>
          <w:sz w:val="24"/>
        </w:rPr>
        <w:t>under </w:t>
      </w:r>
      <w:r>
        <w:rPr>
          <w:spacing w:val="-2"/>
          <w:sz w:val="24"/>
        </w:rPr>
        <w:t>study.</w:t>
      </w:r>
    </w:p>
    <w:p>
      <w:pPr>
        <w:pStyle w:val="ListParagraph"/>
        <w:numPr>
          <w:ilvl w:val="3"/>
          <w:numId w:val="77"/>
        </w:numPr>
        <w:tabs>
          <w:tab w:pos="959" w:val="left" w:leader="none"/>
        </w:tabs>
        <w:spacing w:line="240" w:lineRule="auto" w:before="137" w:after="0"/>
        <w:ind w:left="959" w:right="0" w:hanging="359"/>
        <w:jc w:val="left"/>
        <w:rPr>
          <w:sz w:val="24"/>
        </w:rPr>
      </w:pPr>
      <w:r>
        <w:rPr>
          <w:sz w:val="24"/>
        </w:rPr>
        <w:t>Data</w:t>
      </w:r>
      <w:r>
        <w:rPr>
          <w:spacing w:val="-1"/>
          <w:sz w:val="24"/>
        </w:rPr>
        <w:t> </w:t>
      </w:r>
      <w:r>
        <w:rPr>
          <w:sz w:val="24"/>
        </w:rPr>
        <w:t>on</w:t>
      </w:r>
      <w:r>
        <w:rPr>
          <w:spacing w:val="-1"/>
          <w:sz w:val="24"/>
        </w:rPr>
        <w:t> </w:t>
      </w:r>
      <w:r>
        <w:rPr>
          <w:sz w:val="24"/>
        </w:rPr>
        <w:t>annual</w:t>
      </w:r>
      <w:r>
        <w:rPr>
          <w:spacing w:val="-1"/>
          <w:sz w:val="24"/>
        </w:rPr>
        <w:t> </w:t>
      </w:r>
      <w:r>
        <w:rPr>
          <w:sz w:val="24"/>
        </w:rPr>
        <w:t>housing</w:t>
      </w:r>
      <w:r>
        <w:rPr>
          <w:spacing w:val="-3"/>
          <w:sz w:val="24"/>
        </w:rPr>
        <w:t> </w:t>
      </w:r>
      <w:r>
        <w:rPr>
          <w:sz w:val="24"/>
        </w:rPr>
        <w:t>budget</w:t>
      </w:r>
      <w:r>
        <w:rPr>
          <w:spacing w:val="1"/>
          <w:sz w:val="24"/>
        </w:rPr>
        <w:t> </w:t>
      </w:r>
      <w:r>
        <w:rPr>
          <w:spacing w:val="-2"/>
          <w:sz w:val="24"/>
        </w:rPr>
        <w:t>ceilings.</w:t>
      </w:r>
    </w:p>
    <w:p>
      <w:pPr>
        <w:pStyle w:val="ListParagraph"/>
        <w:numPr>
          <w:ilvl w:val="3"/>
          <w:numId w:val="77"/>
        </w:numPr>
        <w:tabs>
          <w:tab w:pos="959" w:val="left" w:leader="none"/>
        </w:tabs>
        <w:spacing w:line="240" w:lineRule="auto" w:before="139" w:after="0"/>
        <w:ind w:left="959" w:right="0" w:hanging="359"/>
        <w:jc w:val="left"/>
        <w:rPr>
          <w:sz w:val="24"/>
        </w:rPr>
      </w:pPr>
      <w:r>
        <w:rPr>
          <w:sz w:val="24"/>
        </w:rPr>
        <w:t>Information</w:t>
      </w:r>
      <w:r>
        <w:rPr>
          <w:spacing w:val="-2"/>
          <w:sz w:val="24"/>
        </w:rPr>
        <w:t> </w:t>
      </w:r>
      <w:r>
        <w:rPr>
          <w:sz w:val="24"/>
        </w:rPr>
        <w:t>on</w:t>
      </w:r>
      <w:r>
        <w:rPr>
          <w:spacing w:val="-1"/>
          <w:sz w:val="24"/>
        </w:rPr>
        <w:t> </w:t>
      </w:r>
      <w:r>
        <w:rPr>
          <w:sz w:val="24"/>
        </w:rPr>
        <w:t>policies</w:t>
      </w:r>
      <w:r>
        <w:rPr>
          <w:spacing w:val="-1"/>
          <w:sz w:val="24"/>
        </w:rPr>
        <w:t> </w:t>
      </w:r>
      <w:r>
        <w:rPr>
          <w:sz w:val="24"/>
        </w:rPr>
        <w:t>or</w:t>
      </w:r>
      <w:r>
        <w:rPr>
          <w:spacing w:val="-2"/>
          <w:sz w:val="24"/>
        </w:rPr>
        <w:t> </w:t>
      </w:r>
      <w:r>
        <w:rPr>
          <w:sz w:val="24"/>
        </w:rPr>
        <w:t>guidelines for</w:t>
      </w:r>
      <w:r>
        <w:rPr>
          <w:spacing w:val="-3"/>
          <w:sz w:val="24"/>
        </w:rPr>
        <w:t> </w:t>
      </w:r>
      <w:r>
        <w:rPr>
          <w:sz w:val="24"/>
        </w:rPr>
        <w:t>budget</w:t>
      </w:r>
      <w:r>
        <w:rPr>
          <w:spacing w:val="1"/>
          <w:sz w:val="24"/>
        </w:rPr>
        <w:t> </w:t>
      </w:r>
      <w:r>
        <w:rPr>
          <w:spacing w:val="-2"/>
          <w:sz w:val="24"/>
        </w:rPr>
        <w:t>activities.</w:t>
      </w:r>
    </w:p>
    <w:p>
      <w:pPr>
        <w:pStyle w:val="ListParagraph"/>
        <w:numPr>
          <w:ilvl w:val="3"/>
          <w:numId w:val="77"/>
        </w:numPr>
        <w:tabs>
          <w:tab w:pos="960" w:val="left" w:leader="none"/>
        </w:tabs>
        <w:spacing w:line="360" w:lineRule="auto" w:before="137" w:after="0"/>
        <w:ind w:left="960" w:right="843" w:hanging="360"/>
        <w:jc w:val="left"/>
        <w:rPr>
          <w:sz w:val="24"/>
        </w:rPr>
      </w:pPr>
      <w:r>
        <w:rPr>
          <w:sz w:val="24"/>
        </w:rPr>
        <w:t>Data</w:t>
      </w:r>
      <w:r>
        <w:rPr>
          <w:spacing w:val="73"/>
          <w:sz w:val="24"/>
        </w:rPr>
        <w:t> </w:t>
      </w:r>
      <w:r>
        <w:rPr>
          <w:sz w:val="24"/>
        </w:rPr>
        <w:t>on</w:t>
      </w:r>
      <w:r>
        <w:rPr>
          <w:spacing w:val="73"/>
          <w:sz w:val="24"/>
        </w:rPr>
        <w:t> </w:t>
      </w:r>
      <w:r>
        <w:rPr>
          <w:sz w:val="24"/>
        </w:rPr>
        <w:t>duration</w:t>
      </w:r>
      <w:r>
        <w:rPr>
          <w:spacing w:val="73"/>
          <w:sz w:val="24"/>
        </w:rPr>
        <w:t> </w:t>
      </w:r>
      <w:r>
        <w:rPr>
          <w:sz w:val="24"/>
        </w:rPr>
        <w:t>of</w:t>
      </w:r>
      <w:r>
        <w:rPr>
          <w:spacing w:val="72"/>
          <w:sz w:val="24"/>
        </w:rPr>
        <w:t> </w:t>
      </w:r>
      <w:r>
        <w:rPr>
          <w:sz w:val="24"/>
        </w:rPr>
        <w:t>housing</w:t>
      </w:r>
      <w:r>
        <w:rPr>
          <w:spacing w:val="71"/>
          <w:sz w:val="24"/>
        </w:rPr>
        <w:t> </w:t>
      </w:r>
      <w:r>
        <w:rPr>
          <w:sz w:val="24"/>
        </w:rPr>
        <w:t>budget</w:t>
      </w:r>
      <w:r>
        <w:rPr>
          <w:spacing w:val="74"/>
          <w:sz w:val="24"/>
        </w:rPr>
        <w:t> </w:t>
      </w:r>
      <w:r>
        <w:rPr>
          <w:sz w:val="24"/>
        </w:rPr>
        <w:t>preparation</w:t>
      </w:r>
      <w:r>
        <w:rPr>
          <w:spacing w:val="73"/>
          <w:sz w:val="24"/>
        </w:rPr>
        <w:t> </w:t>
      </w:r>
      <w:r>
        <w:rPr>
          <w:sz w:val="24"/>
        </w:rPr>
        <w:t>and</w:t>
      </w:r>
      <w:r>
        <w:rPr>
          <w:spacing w:val="73"/>
          <w:sz w:val="24"/>
        </w:rPr>
        <w:t> </w:t>
      </w:r>
      <w:r>
        <w:rPr>
          <w:sz w:val="24"/>
        </w:rPr>
        <w:t>submission</w:t>
      </w:r>
      <w:r>
        <w:rPr>
          <w:spacing w:val="74"/>
          <w:sz w:val="24"/>
        </w:rPr>
        <w:t> </w:t>
      </w:r>
      <w:r>
        <w:rPr>
          <w:sz w:val="24"/>
        </w:rPr>
        <w:t>(compared</w:t>
      </w:r>
      <w:r>
        <w:rPr>
          <w:spacing w:val="73"/>
          <w:sz w:val="24"/>
        </w:rPr>
        <w:t> </w:t>
      </w:r>
      <w:r>
        <w:rPr>
          <w:sz w:val="24"/>
        </w:rPr>
        <w:t>to</w:t>
      </w:r>
      <w:r>
        <w:rPr>
          <w:spacing w:val="74"/>
          <w:sz w:val="24"/>
        </w:rPr>
        <w:t> </w:t>
      </w:r>
      <w:r>
        <w:rPr>
          <w:sz w:val="24"/>
        </w:rPr>
        <w:t>the stipulated duration), authorization/approval and execution.</w:t>
      </w:r>
    </w:p>
    <w:p>
      <w:pPr>
        <w:pStyle w:val="ListParagraph"/>
        <w:numPr>
          <w:ilvl w:val="3"/>
          <w:numId w:val="77"/>
        </w:numPr>
        <w:tabs>
          <w:tab w:pos="959" w:val="left" w:leader="none"/>
        </w:tabs>
        <w:spacing w:line="240" w:lineRule="auto" w:before="0" w:after="0"/>
        <w:ind w:left="959" w:right="0" w:hanging="359"/>
        <w:jc w:val="left"/>
        <w:rPr>
          <w:sz w:val="24"/>
        </w:rPr>
      </w:pPr>
      <w:r>
        <w:rPr>
          <w:sz w:val="24"/>
        </w:rPr>
        <w:t>Information</w:t>
      </w:r>
      <w:r>
        <w:rPr>
          <w:spacing w:val="-1"/>
          <w:sz w:val="24"/>
        </w:rPr>
        <w:t> </w:t>
      </w:r>
      <w:r>
        <w:rPr>
          <w:sz w:val="24"/>
        </w:rPr>
        <w:t>on measures</w:t>
      </w:r>
      <w:r>
        <w:rPr>
          <w:spacing w:val="1"/>
          <w:sz w:val="24"/>
        </w:rPr>
        <w:t> </w:t>
      </w:r>
      <w:r>
        <w:rPr>
          <w:sz w:val="24"/>
        </w:rPr>
        <w:t>adopted in monitoring</w:t>
      </w:r>
      <w:r>
        <w:rPr>
          <w:spacing w:val="-4"/>
          <w:sz w:val="24"/>
        </w:rPr>
        <w:t> </w:t>
      </w:r>
      <w:r>
        <w:rPr>
          <w:sz w:val="24"/>
        </w:rPr>
        <w:t>the</w:t>
      </w:r>
      <w:r>
        <w:rPr>
          <w:spacing w:val="-1"/>
          <w:sz w:val="24"/>
        </w:rPr>
        <w:t> </w:t>
      </w:r>
      <w:r>
        <w:rPr>
          <w:sz w:val="24"/>
        </w:rPr>
        <w:t>utilization of</w:t>
      </w:r>
      <w:r>
        <w:rPr>
          <w:spacing w:val="-2"/>
          <w:sz w:val="24"/>
        </w:rPr>
        <w:t> </w:t>
      </w:r>
      <w:r>
        <w:rPr>
          <w:sz w:val="24"/>
        </w:rPr>
        <w:t>housing</w:t>
      </w:r>
      <w:r>
        <w:rPr>
          <w:spacing w:val="-3"/>
          <w:sz w:val="24"/>
        </w:rPr>
        <w:t> </w:t>
      </w:r>
      <w:r>
        <w:rPr>
          <w:sz w:val="24"/>
        </w:rPr>
        <w:t>budget </w:t>
      </w:r>
      <w:r>
        <w:rPr>
          <w:spacing w:val="-2"/>
          <w:sz w:val="24"/>
        </w:rPr>
        <w:t>funds.</w:t>
      </w:r>
    </w:p>
    <w:p>
      <w:pPr>
        <w:pStyle w:val="ListParagraph"/>
        <w:numPr>
          <w:ilvl w:val="3"/>
          <w:numId w:val="77"/>
        </w:numPr>
        <w:tabs>
          <w:tab w:pos="960" w:val="left" w:leader="none"/>
          <w:tab w:pos="2450" w:val="left" w:leader="none"/>
          <w:tab w:pos="3035" w:val="left" w:leader="none"/>
          <w:tab w:pos="4580" w:val="left" w:leader="none"/>
          <w:tab w:pos="5124" w:val="left" w:leader="none"/>
          <w:tab w:pos="6697" w:val="left" w:leader="none"/>
          <w:tab w:pos="7717" w:val="left" w:leader="none"/>
          <w:tab w:pos="9359" w:val="left" w:leader="none"/>
        </w:tabs>
        <w:spacing w:line="360" w:lineRule="auto" w:before="139" w:after="0"/>
        <w:ind w:left="960" w:right="840" w:hanging="360"/>
        <w:jc w:val="left"/>
        <w:rPr>
          <w:sz w:val="24"/>
        </w:rPr>
      </w:pPr>
      <w:r>
        <w:rPr>
          <w:spacing w:val="-2"/>
          <w:sz w:val="24"/>
        </w:rPr>
        <w:t>Information</w:t>
      </w:r>
      <w:r>
        <w:rPr>
          <w:sz w:val="24"/>
        </w:rPr>
        <w:tab/>
      </w:r>
      <w:r>
        <w:rPr>
          <w:spacing w:val="-6"/>
          <w:sz w:val="24"/>
        </w:rPr>
        <w:t>on</w:t>
      </w:r>
      <w:r>
        <w:rPr>
          <w:sz w:val="24"/>
        </w:rPr>
        <w:tab/>
      </w:r>
      <w:r>
        <w:rPr>
          <w:spacing w:val="-2"/>
          <w:sz w:val="24"/>
        </w:rPr>
        <w:t>involvement</w:t>
      </w:r>
      <w:r>
        <w:rPr>
          <w:sz w:val="24"/>
        </w:rPr>
        <w:tab/>
      </w:r>
      <w:r>
        <w:rPr>
          <w:spacing w:val="-6"/>
          <w:sz w:val="24"/>
        </w:rPr>
        <w:t>of</w:t>
      </w:r>
      <w:r>
        <w:rPr>
          <w:sz w:val="24"/>
        </w:rPr>
        <w:tab/>
      </w:r>
      <w:r>
        <w:rPr>
          <w:spacing w:val="-2"/>
          <w:sz w:val="24"/>
        </w:rPr>
        <w:t>citizens/civil</w:t>
      </w:r>
      <w:r>
        <w:rPr>
          <w:sz w:val="24"/>
        </w:rPr>
        <w:tab/>
      </w:r>
      <w:r>
        <w:rPr>
          <w:spacing w:val="-2"/>
          <w:sz w:val="24"/>
        </w:rPr>
        <w:t>society</w:t>
      </w:r>
      <w:r>
        <w:rPr>
          <w:sz w:val="24"/>
        </w:rPr>
        <w:tab/>
      </w:r>
      <w:r>
        <w:rPr>
          <w:spacing w:val="-2"/>
          <w:sz w:val="24"/>
        </w:rPr>
        <w:t>organizations</w:t>
      </w:r>
      <w:r>
        <w:rPr>
          <w:sz w:val="24"/>
        </w:rPr>
        <w:tab/>
      </w:r>
      <w:r>
        <w:rPr>
          <w:spacing w:val="-6"/>
          <w:sz w:val="24"/>
        </w:rPr>
        <w:t>on </w:t>
      </w:r>
      <w:r>
        <w:rPr>
          <w:sz w:val="24"/>
        </w:rPr>
        <w:t>participation/involvement in the housing budget process.</w:t>
      </w:r>
    </w:p>
    <w:p>
      <w:pPr>
        <w:pStyle w:val="ListParagraph"/>
        <w:numPr>
          <w:ilvl w:val="3"/>
          <w:numId w:val="77"/>
        </w:numPr>
        <w:tabs>
          <w:tab w:pos="958" w:val="left" w:leader="none"/>
          <w:tab w:pos="960" w:val="left" w:leader="none"/>
        </w:tabs>
        <w:spacing w:line="360" w:lineRule="auto" w:before="0" w:after="0"/>
        <w:ind w:left="960" w:right="839" w:hanging="360"/>
        <w:jc w:val="left"/>
        <w:rPr>
          <w:sz w:val="24"/>
        </w:rPr>
      </w:pPr>
      <w:r>
        <w:rPr>
          <w:sz w:val="24"/>
        </w:rPr>
        <w:t>Information</w:t>
      </w:r>
      <w:r>
        <w:rPr>
          <w:spacing w:val="80"/>
          <w:sz w:val="24"/>
        </w:rPr>
        <w:t> </w:t>
      </w:r>
      <w:r>
        <w:rPr>
          <w:sz w:val="24"/>
        </w:rPr>
        <w:t>on</w:t>
      </w:r>
      <w:r>
        <w:rPr>
          <w:spacing w:val="80"/>
          <w:sz w:val="24"/>
        </w:rPr>
        <w:t> </w:t>
      </w:r>
      <w:r>
        <w:rPr>
          <w:sz w:val="24"/>
        </w:rPr>
        <w:t>the</w:t>
      </w:r>
      <w:r>
        <w:rPr>
          <w:spacing w:val="80"/>
          <w:sz w:val="24"/>
        </w:rPr>
        <w:t> </w:t>
      </w:r>
      <w:r>
        <w:rPr>
          <w:sz w:val="24"/>
        </w:rPr>
        <w:t>availability</w:t>
      </w:r>
      <w:r>
        <w:rPr>
          <w:spacing w:val="80"/>
          <w:sz w:val="24"/>
        </w:rPr>
        <w:t> </w:t>
      </w:r>
      <w:r>
        <w:rPr>
          <w:sz w:val="24"/>
        </w:rPr>
        <w:t>of</w:t>
      </w:r>
      <w:r>
        <w:rPr>
          <w:spacing w:val="80"/>
          <w:sz w:val="24"/>
        </w:rPr>
        <w:t> </w:t>
      </w:r>
      <w:r>
        <w:rPr>
          <w:sz w:val="24"/>
        </w:rPr>
        <w:t>data-base</w:t>
      </w:r>
      <w:r>
        <w:rPr>
          <w:spacing w:val="80"/>
          <w:sz w:val="24"/>
        </w:rPr>
        <w:t> </w:t>
      </w:r>
      <w:r>
        <w:rPr>
          <w:sz w:val="24"/>
        </w:rPr>
        <w:t>of</w:t>
      </w:r>
      <w:r>
        <w:rPr>
          <w:spacing w:val="80"/>
          <w:sz w:val="24"/>
        </w:rPr>
        <w:t> </w:t>
      </w:r>
      <w:r>
        <w:rPr>
          <w:sz w:val="24"/>
        </w:rPr>
        <w:t>housing</w:t>
      </w:r>
      <w:r>
        <w:rPr>
          <w:spacing w:val="80"/>
          <w:sz w:val="24"/>
        </w:rPr>
        <w:t> </w:t>
      </w:r>
      <w:r>
        <w:rPr>
          <w:sz w:val="24"/>
        </w:rPr>
        <w:t>needs</w:t>
      </w:r>
      <w:r>
        <w:rPr>
          <w:spacing w:val="80"/>
          <w:sz w:val="24"/>
        </w:rPr>
        <w:t> </w:t>
      </w:r>
      <w:r>
        <w:rPr>
          <w:sz w:val="24"/>
        </w:rPr>
        <w:t>and</w:t>
      </w:r>
      <w:r>
        <w:rPr>
          <w:spacing w:val="80"/>
          <w:sz w:val="24"/>
        </w:rPr>
        <w:t> </w:t>
      </w:r>
      <w:r>
        <w:rPr>
          <w:sz w:val="24"/>
        </w:rPr>
        <w:t>frequency</w:t>
      </w:r>
      <w:r>
        <w:rPr>
          <w:spacing w:val="80"/>
          <w:sz w:val="24"/>
        </w:rPr>
        <w:t> </w:t>
      </w:r>
      <w:r>
        <w:rPr>
          <w:sz w:val="24"/>
        </w:rPr>
        <w:t>of survey/research on housing needs.</w:t>
      </w:r>
    </w:p>
    <w:p>
      <w:pPr>
        <w:pStyle w:val="ListParagraph"/>
        <w:numPr>
          <w:ilvl w:val="3"/>
          <w:numId w:val="77"/>
        </w:numPr>
        <w:tabs>
          <w:tab w:pos="960" w:val="left" w:leader="none"/>
        </w:tabs>
        <w:spacing w:line="360" w:lineRule="auto" w:before="0" w:after="0"/>
        <w:ind w:left="960" w:right="843" w:hanging="360"/>
        <w:jc w:val="left"/>
        <w:rPr>
          <w:sz w:val="24"/>
        </w:rPr>
      </w:pPr>
      <w:r>
        <w:rPr>
          <w:sz w:val="24"/>
        </w:rPr>
        <w:t>Data from housing and budget staff on the appropriateness and effectiveness of current</w:t>
      </w:r>
      <w:r>
        <w:rPr>
          <w:spacing w:val="80"/>
          <w:sz w:val="24"/>
        </w:rPr>
        <w:t> </w:t>
      </w:r>
      <w:r>
        <w:rPr>
          <w:sz w:val="24"/>
        </w:rPr>
        <w:t>housing budget methods/procedures.</w:t>
      </w:r>
    </w:p>
    <w:p>
      <w:pPr>
        <w:pStyle w:val="ListParagraph"/>
        <w:numPr>
          <w:ilvl w:val="3"/>
          <w:numId w:val="77"/>
        </w:numPr>
        <w:tabs>
          <w:tab w:pos="960" w:val="left" w:leader="none"/>
        </w:tabs>
        <w:spacing w:line="360" w:lineRule="auto" w:before="0" w:after="0"/>
        <w:ind w:left="960" w:right="842" w:hanging="360"/>
        <w:jc w:val="left"/>
        <w:rPr>
          <w:sz w:val="24"/>
        </w:rPr>
      </w:pPr>
      <w:r>
        <w:rPr>
          <w:sz w:val="24"/>
        </w:rPr>
        <w:t>Information</w:t>
      </w:r>
      <w:r>
        <w:rPr>
          <w:spacing w:val="40"/>
          <w:sz w:val="24"/>
        </w:rPr>
        <w:t> </w:t>
      </w:r>
      <w:r>
        <w:rPr>
          <w:sz w:val="24"/>
        </w:rPr>
        <w:t>on</w:t>
      </w:r>
      <w:r>
        <w:rPr>
          <w:spacing w:val="40"/>
          <w:sz w:val="24"/>
        </w:rPr>
        <w:t> </w:t>
      </w:r>
      <w:r>
        <w:rPr>
          <w:sz w:val="24"/>
        </w:rPr>
        <w:t>frequency</w:t>
      </w:r>
      <w:r>
        <w:rPr>
          <w:spacing w:val="40"/>
          <w:sz w:val="24"/>
        </w:rPr>
        <w:t> </w:t>
      </w:r>
      <w:r>
        <w:rPr>
          <w:sz w:val="24"/>
        </w:rPr>
        <w:t>of</w:t>
      </w:r>
      <w:r>
        <w:rPr>
          <w:spacing w:val="40"/>
          <w:sz w:val="24"/>
        </w:rPr>
        <w:t> </w:t>
      </w:r>
      <w:r>
        <w:rPr>
          <w:sz w:val="24"/>
        </w:rPr>
        <w:t>financial</w:t>
      </w:r>
      <w:r>
        <w:rPr>
          <w:spacing w:val="40"/>
          <w:sz w:val="24"/>
        </w:rPr>
        <w:t> </w:t>
      </w:r>
      <w:r>
        <w:rPr>
          <w:sz w:val="24"/>
        </w:rPr>
        <w:t>support</w:t>
      </w:r>
      <w:r>
        <w:rPr>
          <w:spacing w:val="40"/>
          <w:sz w:val="24"/>
        </w:rPr>
        <w:t> </w:t>
      </w:r>
      <w:r>
        <w:rPr>
          <w:sz w:val="24"/>
        </w:rPr>
        <w:t>of</w:t>
      </w:r>
      <w:r>
        <w:rPr>
          <w:spacing w:val="40"/>
          <w:sz w:val="24"/>
        </w:rPr>
        <w:t> </w:t>
      </w:r>
      <w:r>
        <w:rPr>
          <w:sz w:val="24"/>
        </w:rPr>
        <w:t>the</w:t>
      </w:r>
      <w:r>
        <w:rPr>
          <w:spacing w:val="40"/>
          <w:sz w:val="24"/>
        </w:rPr>
        <w:t> </w:t>
      </w:r>
      <w:r>
        <w:rPr>
          <w:sz w:val="24"/>
        </w:rPr>
        <w:t>housing</w:t>
      </w:r>
      <w:r>
        <w:rPr>
          <w:spacing w:val="40"/>
          <w:sz w:val="24"/>
        </w:rPr>
        <w:t> </w:t>
      </w:r>
      <w:r>
        <w:rPr>
          <w:sz w:val="24"/>
        </w:rPr>
        <w:t>corporation</w:t>
      </w:r>
      <w:r>
        <w:rPr>
          <w:spacing w:val="40"/>
          <w:sz w:val="24"/>
        </w:rPr>
        <w:t> </w:t>
      </w:r>
      <w:r>
        <w:rPr>
          <w:sz w:val="24"/>
        </w:rPr>
        <w:t>from</w:t>
      </w:r>
      <w:r>
        <w:rPr>
          <w:spacing w:val="40"/>
          <w:sz w:val="24"/>
        </w:rPr>
        <w:t> </w:t>
      </w:r>
      <w:r>
        <w:rPr>
          <w:sz w:val="24"/>
        </w:rPr>
        <w:t>the</w:t>
      </w:r>
      <w:r>
        <w:rPr>
          <w:spacing w:val="80"/>
          <w:sz w:val="24"/>
        </w:rPr>
        <w:t> </w:t>
      </w:r>
      <w:r>
        <w:rPr>
          <w:spacing w:val="-2"/>
          <w:sz w:val="24"/>
        </w:rPr>
        <w:t>government.</w:t>
      </w:r>
    </w:p>
    <w:p>
      <w:pPr>
        <w:pStyle w:val="ListParagraph"/>
        <w:numPr>
          <w:ilvl w:val="3"/>
          <w:numId w:val="77"/>
        </w:numPr>
        <w:tabs>
          <w:tab w:pos="960" w:val="left" w:leader="none"/>
        </w:tabs>
        <w:spacing w:line="240" w:lineRule="auto" w:before="0" w:after="0"/>
        <w:ind w:left="960" w:right="0" w:hanging="360"/>
        <w:jc w:val="left"/>
        <w:rPr>
          <w:sz w:val="24"/>
        </w:rPr>
      </w:pPr>
      <w:r>
        <w:rPr>
          <w:sz w:val="24"/>
        </w:rPr>
        <w:t>Data</w:t>
      </w:r>
      <w:r>
        <w:rPr>
          <w:spacing w:val="-1"/>
          <w:sz w:val="24"/>
        </w:rPr>
        <w:t> </w:t>
      </w:r>
      <w:r>
        <w:rPr>
          <w:sz w:val="24"/>
        </w:rPr>
        <w:t>on</w:t>
      </w:r>
      <w:r>
        <w:rPr>
          <w:spacing w:val="-1"/>
          <w:sz w:val="24"/>
        </w:rPr>
        <w:t> </w:t>
      </w:r>
      <w:r>
        <w:rPr>
          <w:sz w:val="24"/>
        </w:rPr>
        <w:t>implementation</w:t>
      </w:r>
      <w:r>
        <w:rPr>
          <w:spacing w:val="-1"/>
          <w:sz w:val="24"/>
        </w:rPr>
        <w:t> </w:t>
      </w:r>
      <w:r>
        <w:rPr>
          <w:sz w:val="24"/>
        </w:rPr>
        <w:t>of</w:t>
      </w:r>
      <w:r>
        <w:rPr>
          <w:spacing w:val="-1"/>
          <w:sz w:val="24"/>
        </w:rPr>
        <w:t> </w:t>
      </w:r>
      <w:r>
        <w:rPr>
          <w:sz w:val="24"/>
        </w:rPr>
        <w:t>annual</w:t>
      </w:r>
      <w:r>
        <w:rPr>
          <w:spacing w:val="-1"/>
          <w:sz w:val="24"/>
        </w:rPr>
        <w:t> </w:t>
      </w:r>
      <w:r>
        <w:rPr>
          <w:sz w:val="24"/>
        </w:rPr>
        <w:t>housing</w:t>
      </w:r>
      <w:r>
        <w:rPr>
          <w:spacing w:val="-1"/>
          <w:sz w:val="24"/>
        </w:rPr>
        <w:t> </w:t>
      </w:r>
      <w:r>
        <w:rPr>
          <w:spacing w:val="-2"/>
          <w:sz w:val="24"/>
        </w:rPr>
        <w:t>budgets.</w:t>
      </w:r>
    </w:p>
    <w:p>
      <w:pPr>
        <w:pStyle w:val="ListParagraph"/>
        <w:numPr>
          <w:ilvl w:val="3"/>
          <w:numId w:val="77"/>
        </w:numPr>
        <w:tabs>
          <w:tab w:pos="960" w:val="left" w:leader="none"/>
        </w:tabs>
        <w:spacing w:line="360" w:lineRule="auto" w:before="138" w:after="0"/>
        <w:ind w:left="960" w:right="838" w:hanging="360"/>
        <w:jc w:val="left"/>
        <w:rPr>
          <w:sz w:val="24"/>
        </w:rPr>
      </w:pPr>
      <w:r>
        <w:rPr>
          <w:sz w:val="24"/>
        </w:rPr>
        <w:t>The rate of extra budgetary expenditure, non-adherence to budget stipulations and other factors leading to non-implementation of annual housing budget.</w:t>
      </w:r>
    </w:p>
    <w:p>
      <w:pPr>
        <w:pStyle w:val="ListParagraph"/>
        <w:numPr>
          <w:ilvl w:val="3"/>
          <w:numId w:val="77"/>
        </w:numPr>
        <w:tabs>
          <w:tab w:pos="960" w:val="left" w:leader="none"/>
        </w:tabs>
        <w:spacing w:line="240" w:lineRule="auto" w:before="0" w:after="0"/>
        <w:ind w:left="960" w:right="0" w:hanging="360"/>
        <w:jc w:val="left"/>
        <w:rPr>
          <w:sz w:val="24"/>
        </w:rPr>
      </w:pPr>
      <w:r>
        <w:rPr>
          <w:sz w:val="24"/>
        </w:rPr>
        <w:t>Data</w:t>
      </w:r>
      <w:r>
        <w:rPr>
          <w:spacing w:val="-1"/>
          <w:sz w:val="24"/>
        </w:rPr>
        <w:t> </w:t>
      </w:r>
      <w:r>
        <w:rPr>
          <w:sz w:val="24"/>
        </w:rPr>
        <w:t>on</w:t>
      </w:r>
      <w:r>
        <w:rPr>
          <w:spacing w:val="-1"/>
          <w:sz w:val="24"/>
        </w:rPr>
        <w:t> </w:t>
      </w:r>
      <w:r>
        <w:rPr>
          <w:sz w:val="24"/>
        </w:rPr>
        <w:t>annual</w:t>
      </w:r>
      <w:r>
        <w:rPr>
          <w:spacing w:val="-1"/>
          <w:sz w:val="24"/>
        </w:rPr>
        <w:t> </w:t>
      </w:r>
      <w:r>
        <w:rPr>
          <w:sz w:val="24"/>
        </w:rPr>
        <w:t>housing</w:t>
      </w:r>
      <w:r>
        <w:rPr>
          <w:spacing w:val="-3"/>
          <w:sz w:val="24"/>
        </w:rPr>
        <w:t> </w:t>
      </w:r>
      <w:r>
        <w:rPr>
          <w:sz w:val="24"/>
        </w:rPr>
        <w:t>budget</w:t>
      </w:r>
      <w:r>
        <w:rPr>
          <w:spacing w:val="1"/>
          <w:sz w:val="24"/>
        </w:rPr>
        <w:t> </w:t>
      </w:r>
      <w:r>
        <w:rPr>
          <w:sz w:val="24"/>
        </w:rPr>
        <w:t>allocation compared</w:t>
      </w:r>
      <w:r>
        <w:rPr>
          <w:spacing w:val="-1"/>
          <w:sz w:val="24"/>
        </w:rPr>
        <w:t> </w:t>
      </w:r>
      <w:r>
        <w:rPr>
          <w:sz w:val="24"/>
        </w:rPr>
        <w:t>with</w:t>
      </w:r>
      <w:r>
        <w:rPr>
          <w:spacing w:val="-1"/>
          <w:sz w:val="24"/>
        </w:rPr>
        <w:t> </w:t>
      </w:r>
      <w:r>
        <w:rPr>
          <w:sz w:val="24"/>
        </w:rPr>
        <w:t>annual</w:t>
      </w:r>
      <w:r>
        <w:rPr>
          <w:spacing w:val="-1"/>
          <w:sz w:val="24"/>
        </w:rPr>
        <w:t> </w:t>
      </w:r>
      <w:r>
        <w:rPr>
          <w:sz w:val="24"/>
        </w:rPr>
        <w:t>budgetary</w:t>
      </w:r>
      <w:r>
        <w:rPr>
          <w:spacing w:val="-3"/>
          <w:sz w:val="24"/>
        </w:rPr>
        <w:t> </w:t>
      </w:r>
      <w:r>
        <w:rPr>
          <w:spacing w:val="-2"/>
          <w:sz w:val="24"/>
        </w:rPr>
        <w:t>ceilings.</w:t>
      </w:r>
    </w:p>
    <w:p>
      <w:pPr>
        <w:pStyle w:val="ListParagraph"/>
        <w:numPr>
          <w:ilvl w:val="3"/>
          <w:numId w:val="77"/>
        </w:numPr>
        <w:tabs>
          <w:tab w:pos="958" w:val="left" w:leader="none"/>
          <w:tab w:pos="960" w:val="left" w:leader="none"/>
        </w:tabs>
        <w:spacing w:line="360" w:lineRule="auto" w:before="137" w:after="0"/>
        <w:ind w:left="960" w:right="841" w:hanging="360"/>
        <w:jc w:val="left"/>
        <w:rPr>
          <w:sz w:val="24"/>
        </w:rPr>
      </w:pPr>
      <w:r>
        <w:rPr>
          <w:sz w:val="24"/>
        </w:rPr>
        <w:t>Data</w:t>
      </w:r>
      <w:r>
        <w:rPr>
          <w:spacing w:val="40"/>
          <w:sz w:val="24"/>
        </w:rPr>
        <w:t> </w:t>
      </w:r>
      <w:r>
        <w:rPr>
          <w:sz w:val="24"/>
        </w:rPr>
        <w:t>on</w:t>
      </w:r>
      <w:r>
        <w:rPr>
          <w:spacing w:val="40"/>
          <w:sz w:val="24"/>
        </w:rPr>
        <w:t> </w:t>
      </w:r>
      <w:r>
        <w:rPr>
          <w:sz w:val="24"/>
        </w:rPr>
        <w:t>the</w:t>
      </w:r>
      <w:r>
        <w:rPr>
          <w:spacing w:val="40"/>
          <w:sz w:val="24"/>
        </w:rPr>
        <w:t> </w:t>
      </w:r>
      <w:r>
        <w:rPr>
          <w:sz w:val="24"/>
        </w:rPr>
        <w:t>involvement</w:t>
      </w:r>
      <w:r>
        <w:rPr>
          <w:spacing w:val="40"/>
          <w:sz w:val="24"/>
        </w:rPr>
        <w:t> </w:t>
      </w:r>
      <w:r>
        <w:rPr>
          <w:sz w:val="24"/>
        </w:rPr>
        <w:t>of</w:t>
      </w:r>
      <w:r>
        <w:rPr>
          <w:spacing w:val="40"/>
          <w:sz w:val="24"/>
        </w:rPr>
        <w:t> </w:t>
      </w:r>
      <w:r>
        <w:rPr>
          <w:sz w:val="24"/>
        </w:rPr>
        <w:t>housing</w:t>
      </w:r>
      <w:r>
        <w:rPr>
          <w:spacing w:val="40"/>
          <w:sz w:val="24"/>
        </w:rPr>
        <w:t> </w:t>
      </w:r>
      <w:r>
        <w:rPr>
          <w:sz w:val="24"/>
        </w:rPr>
        <w:t>cost</w:t>
      </w:r>
      <w:r>
        <w:rPr>
          <w:spacing w:val="40"/>
          <w:sz w:val="24"/>
        </w:rPr>
        <w:t> </w:t>
      </w:r>
      <w:r>
        <w:rPr>
          <w:sz w:val="24"/>
        </w:rPr>
        <w:t>professionals</w:t>
      </w:r>
      <w:r>
        <w:rPr>
          <w:spacing w:val="40"/>
          <w:sz w:val="24"/>
        </w:rPr>
        <w:t> </w:t>
      </w:r>
      <w:r>
        <w:rPr>
          <w:sz w:val="24"/>
        </w:rPr>
        <w:t>(Quantity</w:t>
      </w:r>
      <w:r>
        <w:rPr>
          <w:spacing w:val="40"/>
          <w:sz w:val="24"/>
        </w:rPr>
        <w:t> </w:t>
      </w:r>
      <w:r>
        <w:rPr>
          <w:sz w:val="24"/>
        </w:rPr>
        <w:t>Surveyors)</w:t>
      </w:r>
      <w:r>
        <w:rPr>
          <w:spacing w:val="40"/>
          <w:sz w:val="24"/>
        </w:rPr>
        <w:t> </w:t>
      </w:r>
      <w:r>
        <w:rPr>
          <w:sz w:val="24"/>
        </w:rPr>
        <w:t>in</w:t>
      </w:r>
      <w:r>
        <w:rPr>
          <w:spacing w:val="40"/>
          <w:sz w:val="24"/>
        </w:rPr>
        <w:t> </w:t>
      </w:r>
      <w:r>
        <w:rPr>
          <w:sz w:val="24"/>
        </w:rPr>
        <w:t>the</w:t>
      </w:r>
      <w:r>
        <w:rPr>
          <w:spacing w:val="80"/>
          <w:sz w:val="24"/>
        </w:rPr>
        <w:t> </w:t>
      </w:r>
      <w:r>
        <w:rPr>
          <w:sz w:val="24"/>
        </w:rPr>
        <w:t>housing budget process.</w:t>
      </w:r>
    </w:p>
    <w:p>
      <w:pPr>
        <w:pStyle w:val="ListParagraph"/>
        <w:numPr>
          <w:ilvl w:val="3"/>
          <w:numId w:val="77"/>
        </w:numPr>
        <w:tabs>
          <w:tab w:pos="959" w:val="left" w:leader="none"/>
        </w:tabs>
        <w:spacing w:line="240" w:lineRule="auto" w:before="0" w:after="0"/>
        <w:ind w:left="959" w:right="0" w:hanging="359"/>
        <w:jc w:val="left"/>
        <w:rPr>
          <w:sz w:val="24"/>
        </w:rPr>
      </w:pPr>
      <w:r>
        <w:rPr>
          <w:sz w:val="24"/>
        </w:rPr>
        <w:t>Data</w:t>
      </w:r>
      <w:r>
        <w:rPr>
          <w:spacing w:val="-2"/>
          <w:sz w:val="24"/>
        </w:rPr>
        <w:t> </w:t>
      </w:r>
      <w:r>
        <w:rPr>
          <w:sz w:val="24"/>
        </w:rPr>
        <w:t>on the</w:t>
      </w:r>
      <w:r>
        <w:rPr>
          <w:spacing w:val="-1"/>
          <w:sz w:val="24"/>
        </w:rPr>
        <w:t> </w:t>
      </w:r>
      <w:r>
        <w:rPr>
          <w:sz w:val="24"/>
        </w:rPr>
        <w:t>time/frequency</w:t>
      </w:r>
      <w:r>
        <w:rPr>
          <w:spacing w:val="-5"/>
          <w:sz w:val="24"/>
        </w:rPr>
        <w:t> </w:t>
      </w:r>
      <w:r>
        <w:rPr>
          <w:sz w:val="24"/>
        </w:rPr>
        <w:t>of periodic</w:t>
      </w:r>
      <w:r>
        <w:rPr>
          <w:spacing w:val="-1"/>
          <w:sz w:val="24"/>
        </w:rPr>
        <w:t> </w:t>
      </w:r>
      <w:r>
        <w:rPr>
          <w:sz w:val="24"/>
        </w:rPr>
        <w:t>monitoring</w:t>
      </w:r>
      <w:r>
        <w:rPr>
          <w:spacing w:val="-3"/>
          <w:sz w:val="24"/>
        </w:rPr>
        <w:t> </w:t>
      </w:r>
      <w:r>
        <w:rPr>
          <w:sz w:val="24"/>
        </w:rPr>
        <w:t>of housing</w:t>
      </w:r>
      <w:r>
        <w:rPr>
          <w:spacing w:val="-3"/>
          <w:sz w:val="24"/>
        </w:rPr>
        <w:t> </w:t>
      </w:r>
      <w:r>
        <w:rPr>
          <w:sz w:val="24"/>
        </w:rPr>
        <w:t>budget</w:t>
      </w:r>
      <w:r>
        <w:rPr>
          <w:spacing w:val="2"/>
          <w:sz w:val="24"/>
        </w:rPr>
        <w:t> </w:t>
      </w:r>
      <w:r>
        <w:rPr>
          <w:spacing w:val="-2"/>
          <w:sz w:val="24"/>
        </w:rPr>
        <w:t>execution.</w:t>
      </w:r>
    </w:p>
    <w:p>
      <w:pPr>
        <w:pStyle w:val="ListParagraph"/>
        <w:numPr>
          <w:ilvl w:val="3"/>
          <w:numId w:val="77"/>
        </w:numPr>
        <w:tabs>
          <w:tab w:pos="959" w:val="left" w:leader="none"/>
        </w:tabs>
        <w:spacing w:line="240" w:lineRule="auto" w:before="139" w:after="0"/>
        <w:ind w:left="959" w:right="0" w:hanging="359"/>
        <w:jc w:val="left"/>
        <w:rPr>
          <w:sz w:val="24"/>
        </w:rPr>
      </w:pPr>
      <w:r>
        <w:rPr>
          <w:sz w:val="24"/>
        </w:rPr>
        <w:t>Data</w:t>
      </w:r>
      <w:r>
        <w:rPr>
          <w:spacing w:val="-2"/>
          <w:sz w:val="24"/>
        </w:rPr>
        <w:t> </w:t>
      </w:r>
      <w:r>
        <w:rPr>
          <w:sz w:val="24"/>
        </w:rPr>
        <w:t>on the</w:t>
      </w:r>
      <w:r>
        <w:rPr>
          <w:spacing w:val="-1"/>
          <w:sz w:val="24"/>
        </w:rPr>
        <w:t> </w:t>
      </w:r>
      <w:r>
        <w:rPr>
          <w:sz w:val="24"/>
        </w:rPr>
        <w:t>types and</w:t>
      </w:r>
      <w:r>
        <w:rPr>
          <w:spacing w:val="-1"/>
          <w:sz w:val="24"/>
        </w:rPr>
        <w:t> </w:t>
      </w:r>
      <w:r>
        <w:rPr>
          <w:sz w:val="24"/>
        </w:rPr>
        <w:t>nature</w:t>
      </w:r>
      <w:r>
        <w:rPr>
          <w:spacing w:val="-1"/>
          <w:sz w:val="24"/>
        </w:rPr>
        <w:t> </w:t>
      </w:r>
      <w:r>
        <w:rPr>
          <w:sz w:val="24"/>
        </w:rPr>
        <w:t>of housing</w:t>
      </w:r>
      <w:r>
        <w:rPr>
          <w:spacing w:val="-3"/>
          <w:sz w:val="24"/>
        </w:rPr>
        <w:t> </w:t>
      </w:r>
      <w:r>
        <w:rPr>
          <w:sz w:val="24"/>
        </w:rPr>
        <w:t>projects executed by</w:t>
      </w:r>
      <w:r>
        <w:rPr>
          <w:spacing w:val="-5"/>
          <w:sz w:val="24"/>
        </w:rPr>
        <w:t> </w:t>
      </w:r>
      <w:r>
        <w:rPr>
          <w:sz w:val="24"/>
        </w:rPr>
        <w:t>the</w:t>
      </w:r>
      <w:r>
        <w:rPr>
          <w:spacing w:val="1"/>
          <w:sz w:val="24"/>
        </w:rPr>
        <w:t> </w:t>
      </w:r>
      <w:r>
        <w:rPr>
          <w:spacing w:val="-2"/>
          <w:sz w:val="24"/>
        </w:rPr>
        <w:t>Government.</w:t>
      </w:r>
    </w:p>
    <w:p>
      <w:pPr>
        <w:spacing w:after="0" w:line="240" w:lineRule="auto"/>
        <w:jc w:val="left"/>
        <w:rPr>
          <w:sz w:val="24"/>
        </w:rPr>
        <w:sectPr>
          <w:pgSz w:w="12240" w:h="15840"/>
          <w:pgMar w:header="0" w:footer="1036" w:top="1380" w:bottom="1220" w:left="1200" w:right="600"/>
        </w:sectPr>
      </w:pPr>
    </w:p>
    <w:p>
      <w:pPr>
        <w:pStyle w:val="Heading4"/>
        <w:numPr>
          <w:ilvl w:val="2"/>
          <w:numId w:val="77"/>
        </w:numPr>
        <w:tabs>
          <w:tab w:pos="959" w:val="left" w:leader="none"/>
        </w:tabs>
        <w:spacing w:line="240" w:lineRule="auto" w:before="79" w:after="0"/>
        <w:ind w:left="959" w:right="0" w:hanging="719"/>
        <w:jc w:val="both"/>
      </w:pPr>
      <w:r>
        <w:rPr/>
        <w:t>Secondary</w:t>
      </w:r>
      <w:r>
        <w:rPr>
          <w:spacing w:val="-3"/>
        </w:rPr>
        <w:t> </w:t>
      </w:r>
      <w:r>
        <w:rPr>
          <w:spacing w:val="-2"/>
        </w:rPr>
        <w:t>Data:</w:t>
      </w:r>
    </w:p>
    <w:p>
      <w:pPr>
        <w:pStyle w:val="BodyText"/>
        <w:spacing w:line="360" w:lineRule="auto" w:before="132"/>
        <w:ind w:left="240" w:right="836"/>
        <w:jc w:val="both"/>
      </w:pPr>
      <w:r>
        <w:rPr/>
        <w:t>Secondary data is a synthesis of published and unpublished documents related to the study, and comprises the logical frame work of the study (Okolie, 2011). The collected secondary data, therefore,</w:t>
      </w:r>
      <w:r>
        <w:rPr>
          <w:spacing w:val="-3"/>
        </w:rPr>
        <w:t> </w:t>
      </w:r>
      <w:r>
        <w:rPr/>
        <w:t>included</w:t>
      </w:r>
      <w:r>
        <w:rPr>
          <w:spacing w:val="-3"/>
        </w:rPr>
        <w:t> </w:t>
      </w:r>
      <w:r>
        <w:rPr/>
        <w:t>the</w:t>
      </w:r>
      <w:r>
        <w:rPr>
          <w:spacing w:val="-4"/>
        </w:rPr>
        <w:t> </w:t>
      </w:r>
      <w:r>
        <w:rPr/>
        <w:t>most</w:t>
      </w:r>
      <w:r>
        <w:rPr>
          <w:spacing w:val="-3"/>
        </w:rPr>
        <w:t> </w:t>
      </w:r>
      <w:r>
        <w:rPr/>
        <w:t>relevant</w:t>
      </w:r>
      <w:r>
        <w:rPr>
          <w:spacing w:val="-3"/>
        </w:rPr>
        <w:t> </w:t>
      </w:r>
      <w:r>
        <w:rPr/>
        <w:t>and</w:t>
      </w:r>
      <w:r>
        <w:rPr>
          <w:spacing w:val="-2"/>
        </w:rPr>
        <w:t> </w:t>
      </w:r>
      <w:r>
        <w:rPr/>
        <w:t>current,</w:t>
      </w:r>
      <w:r>
        <w:rPr>
          <w:spacing w:val="-1"/>
        </w:rPr>
        <w:t> </w:t>
      </w:r>
      <w:r>
        <w:rPr/>
        <w:t>within</w:t>
      </w:r>
      <w:r>
        <w:rPr>
          <w:spacing w:val="-3"/>
        </w:rPr>
        <w:t> </w:t>
      </w:r>
      <w:r>
        <w:rPr/>
        <w:t>the</w:t>
      </w:r>
      <w:r>
        <w:rPr>
          <w:spacing w:val="-3"/>
        </w:rPr>
        <w:t> </w:t>
      </w:r>
      <w:r>
        <w:rPr/>
        <w:t>discipline</w:t>
      </w:r>
      <w:r>
        <w:rPr>
          <w:spacing w:val="-3"/>
        </w:rPr>
        <w:t> </w:t>
      </w:r>
      <w:r>
        <w:rPr/>
        <w:t>from</w:t>
      </w:r>
      <w:r>
        <w:rPr>
          <w:spacing w:val="-3"/>
        </w:rPr>
        <w:t> </w:t>
      </w:r>
      <w:r>
        <w:rPr/>
        <w:t>text</w:t>
      </w:r>
      <w:r>
        <w:rPr>
          <w:spacing w:val="-3"/>
        </w:rPr>
        <w:t> </w:t>
      </w:r>
      <w:r>
        <w:rPr/>
        <w:t>books,</w:t>
      </w:r>
      <w:r>
        <w:rPr>
          <w:spacing w:val="-3"/>
        </w:rPr>
        <w:t> </w:t>
      </w:r>
      <w:r>
        <w:rPr/>
        <w:t>academic articles, journals and magazines. In addition to this, data on budget figures to be used for the analysis was obtained from Anambra State annual published budget documents (for the period covered by</w:t>
      </w:r>
      <w:r>
        <w:rPr>
          <w:spacing w:val="-1"/>
        </w:rPr>
        <w:t> </w:t>
      </w:r>
      <w:r>
        <w:rPr/>
        <w:t>the study) as well as documents (memos) on housing budget ceilings data. A number of online sources were also used to collect information for literature review. These sources aided to establish the key indicators and lay the theoretical foundation for this research.</w:t>
      </w:r>
    </w:p>
    <w:p>
      <w:pPr>
        <w:pStyle w:val="BodyText"/>
        <w:spacing w:before="143"/>
      </w:pPr>
    </w:p>
    <w:p>
      <w:pPr>
        <w:pStyle w:val="Heading3"/>
        <w:numPr>
          <w:ilvl w:val="1"/>
          <w:numId w:val="77"/>
        </w:numPr>
        <w:tabs>
          <w:tab w:pos="628" w:val="left" w:leader="none"/>
        </w:tabs>
        <w:spacing w:line="240" w:lineRule="auto" w:before="0" w:after="0"/>
        <w:ind w:left="628" w:right="0" w:hanging="388"/>
        <w:jc w:val="both"/>
      </w:pPr>
      <w:r>
        <w:rPr>
          <w:spacing w:val="-2"/>
        </w:rPr>
        <w:t>Questionnaire</w:t>
      </w:r>
    </w:p>
    <w:p>
      <w:pPr>
        <w:pStyle w:val="Heading4"/>
        <w:numPr>
          <w:ilvl w:val="2"/>
          <w:numId w:val="77"/>
        </w:numPr>
        <w:tabs>
          <w:tab w:pos="780" w:val="left" w:leader="none"/>
        </w:tabs>
        <w:spacing w:line="240" w:lineRule="auto" w:before="253" w:after="0"/>
        <w:ind w:left="780" w:right="0" w:hanging="540"/>
        <w:jc w:val="both"/>
      </w:pPr>
      <w:r>
        <w:rPr/>
        <w:t>Characteristics,</w:t>
      </w:r>
      <w:r>
        <w:rPr>
          <w:spacing w:val="-2"/>
        </w:rPr>
        <w:t> </w:t>
      </w:r>
      <w:r>
        <w:rPr/>
        <w:t>Design and</w:t>
      </w:r>
      <w:r>
        <w:rPr>
          <w:spacing w:val="-2"/>
        </w:rPr>
        <w:t> </w:t>
      </w:r>
      <w:r>
        <w:rPr/>
        <w:t>Distribution</w:t>
      </w:r>
      <w:r>
        <w:rPr>
          <w:spacing w:val="-3"/>
        </w:rPr>
        <w:t> </w:t>
      </w:r>
      <w:r>
        <w:rPr/>
        <w:t>of </w:t>
      </w:r>
      <w:r>
        <w:rPr>
          <w:spacing w:val="-2"/>
        </w:rPr>
        <w:t>Questionnaire</w:t>
      </w:r>
    </w:p>
    <w:p>
      <w:pPr>
        <w:pStyle w:val="BodyText"/>
        <w:spacing w:line="360" w:lineRule="auto" w:before="134"/>
        <w:ind w:left="240" w:right="835"/>
        <w:jc w:val="both"/>
      </w:pPr>
      <w:r>
        <w:rPr/>
        <w:t>According to Nahiduzzaman (2006), questionnaires are data gathering devices designed to elicit answers or reactions to rearranged questions presented in a specific order. In fact, a written questionnaire has the advantage of being one of the most flexible means of data collection. As Gillham</w:t>
      </w:r>
      <w:r>
        <w:rPr>
          <w:spacing w:val="-1"/>
        </w:rPr>
        <w:t> </w:t>
      </w:r>
      <w:r>
        <w:rPr/>
        <w:t>(2000)</w:t>
      </w:r>
      <w:r>
        <w:rPr>
          <w:spacing w:val="-2"/>
        </w:rPr>
        <w:t> </w:t>
      </w:r>
      <w:r>
        <w:rPr/>
        <w:t>puts</w:t>
      </w:r>
      <w:r>
        <w:rPr>
          <w:spacing w:val="-1"/>
        </w:rPr>
        <w:t> </w:t>
      </w:r>
      <w:r>
        <w:rPr/>
        <w:t>it;</w:t>
      </w:r>
      <w:r>
        <w:rPr>
          <w:spacing w:val="-3"/>
        </w:rPr>
        <w:t> </w:t>
      </w:r>
      <w:r>
        <w:rPr/>
        <w:t>questionnaires</w:t>
      </w:r>
      <w:r>
        <w:rPr>
          <w:spacing w:val="-1"/>
        </w:rPr>
        <w:t> </w:t>
      </w:r>
      <w:r>
        <w:rPr/>
        <w:t>have</w:t>
      </w:r>
      <w:r>
        <w:rPr>
          <w:spacing w:val="-2"/>
        </w:rPr>
        <w:t> </w:t>
      </w:r>
      <w:r>
        <w:rPr/>
        <w:t>some value</w:t>
      </w:r>
      <w:r>
        <w:rPr>
          <w:spacing w:val="-2"/>
        </w:rPr>
        <w:t> </w:t>
      </w:r>
      <w:r>
        <w:rPr/>
        <w:t>when</w:t>
      </w:r>
      <w:r>
        <w:rPr>
          <w:spacing w:val="-1"/>
        </w:rPr>
        <w:t> </w:t>
      </w:r>
      <w:r>
        <w:rPr/>
        <w:t>straight</w:t>
      </w:r>
      <w:r>
        <w:rPr>
          <w:spacing w:val="-1"/>
        </w:rPr>
        <w:t> </w:t>
      </w:r>
      <w:r>
        <w:rPr/>
        <w:t>forward</w:t>
      </w:r>
      <w:r>
        <w:rPr>
          <w:spacing w:val="-2"/>
        </w:rPr>
        <w:t> </w:t>
      </w:r>
      <w:r>
        <w:rPr/>
        <w:t>and</w:t>
      </w:r>
      <w:r>
        <w:rPr>
          <w:spacing w:val="-1"/>
        </w:rPr>
        <w:t> </w:t>
      </w:r>
      <w:r>
        <w:rPr/>
        <w:t>fairly</w:t>
      </w:r>
      <w:r>
        <w:rPr>
          <w:spacing w:val="-6"/>
        </w:rPr>
        <w:t> </w:t>
      </w:r>
      <w:r>
        <w:rPr/>
        <w:t>accurate information is required from a large population.</w:t>
      </w:r>
    </w:p>
    <w:p>
      <w:pPr>
        <w:pStyle w:val="BodyText"/>
        <w:spacing w:before="139"/>
      </w:pPr>
    </w:p>
    <w:p>
      <w:pPr>
        <w:pStyle w:val="BodyText"/>
        <w:spacing w:line="360" w:lineRule="auto"/>
        <w:ind w:left="240" w:right="834"/>
        <w:jc w:val="both"/>
      </w:pPr>
      <w:r>
        <w:rPr/>
        <w:t>The questionnaire designed for this research was both structured and semi-structured questionnaire (multiple choices) and included both closed and open ended questions. The open ended questions allowed respondents to freely express their opinions and views without prejudices so that adequate information is obtained in relation to the objectives of the study.</w:t>
      </w:r>
    </w:p>
    <w:p>
      <w:pPr>
        <w:pStyle w:val="BodyText"/>
        <w:spacing w:before="137"/>
      </w:pPr>
    </w:p>
    <w:p>
      <w:pPr>
        <w:pStyle w:val="BodyText"/>
        <w:spacing w:line="360" w:lineRule="auto"/>
        <w:ind w:left="240" w:right="838"/>
        <w:jc w:val="both"/>
      </w:pPr>
      <w:r>
        <w:rPr/>
        <w:t>The questionnaire was divided into two sections A and B. Section A requested information from public housing professionals/staff (Quantity Surveyors, Builders, Architects, Engineers, Estate Surveyors, Land Surveyors, Accountants, Town Planners, Economists and Public Administrators) working with the Ministries of Housing, Budget and Economic planning, Anambra State Housing Development Corporation, Awka Capital Development Authority</w:t>
      </w:r>
      <w:r>
        <w:rPr>
          <w:spacing w:val="40"/>
        </w:rPr>
        <w:t> </w:t>
      </w:r>
      <w:r>
        <w:rPr/>
        <w:t>and the Anambra Physical Planning Board (formerly ASUDEB) on their experience and qualifications and also the nature of housing projects executed by the government and the financial</w:t>
      </w:r>
      <w:r>
        <w:rPr>
          <w:spacing w:val="75"/>
          <w:w w:val="150"/>
        </w:rPr>
        <w:t> </w:t>
      </w:r>
      <w:r>
        <w:rPr/>
        <w:t>capability</w:t>
      </w:r>
      <w:r>
        <w:rPr>
          <w:spacing w:val="72"/>
          <w:w w:val="150"/>
        </w:rPr>
        <w:t> </w:t>
      </w:r>
      <w:r>
        <w:rPr/>
        <w:t>of</w:t>
      </w:r>
      <w:r>
        <w:rPr>
          <w:spacing w:val="79"/>
          <w:w w:val="150"/>
        </w:rPr>
        <w:t> </w:t>
      </w:r>
      <w:r>
        <w:rPr/>
        <w:t>the</w:t>
      </w:r>
      <w:r>
        <w:rPr>
          <w:spacing w:val="77"/>
          <w:w w:val="150"/>
        </w:rPr>
        <w:t> </w:t>
      </w:r>
      <w:r>
        <w:rPr/>
        <w:t>government</w:t>
      </w:r>
      <w:r>
        <w:rPr>
          <w:spacing w:val="78"/>
          <w:w w:val="150"/>
        </w:rPr>
        <w:t> </w:t>
      </w:r>
      <w:r>
        <w:rPr/>
        <w:t>to</w:t>
      </w:r>
      <w:r>
        <w:rPr>
          <w:spacing w:val="78"/>
          <w:w w:val="150"/>
        </w:rPr>
        <w:t> </w:t>
      </w:r>
      <w:r>
        <w:rPr/>
        <w:t>execute</w:t>
      </w:r>
      <w:r>
        <w:rPr>
          <w:spacing w:val="77"/>
          <w:w w:val="150"/>
        </w:rPr>
        <w:t> </w:t>
      </w:r>
      <w:r>
        <w:rPr/>
        <w:t>housing</w:t>
      </w:r>
      <w:r>
        <w:rPr>
          <w:spacing w:val="75"/>
          <w:w w:val="150"/>
        </w:rPr>
        <w:t> </w:t>
      </w:r>
      <w:r>
        <w:rPr/>
        <w:t>projects.</w:t>
      </w:r>
      <w:r>
        <w:rPr>
          <w:spacing w:val="79"/>
          <w:w w:val="150"/>
        </w:rPr>
        <w:t> </w:t>
      </w:r>
      <w:r>
        <w:rPr/>
        <w:t>Section</w:t>
      </w:r>
      <w:r>
        <w:rPr>
          <w:spacing w:val="77"/>
          <w:w w:val="150"/>
        </w:rPr>
        <w:t> </w:t>
      </w:r>
      <w:r>
        <w:rPr/>
        <w:t>B</w:t>
      </w:r>
      <w:r>
        <w:rPr>
          <w:spacing w:val="77"/>
          <w:w w:val="150"/>
        </w:rPr>
        <w:t> </w:t>
      </w:r>
      <w:r>
        <w:rPr>
          <w:spacing w:val="-2"/>
        </w:rPr>
        <w:t>elicited</w:t>
      </w:r>
    </w:p>
    <w:p>
      <w:pPr>
        <w:spacing w:after="0" w:line="360" w:lineRule="auto"/>
        <w:jc w:val="both"/>
        <w:sectPr>
          <w:pgSz w:w="12240" w:h="15840"/>
          <w:pgMar w:header="0" w:footer="1036" w:top="1360" w:bottom="1220" w:left="1200" w:right="600"/>
        </w:sectPr>
      </w:pPr>
    </w:p>
    <w:p>
      <w:pPr>
        <w:pStyle w:val="BodyText"/>
        <w:spacing w:line="360" w:lineRule="auto" w:before="74"/>
        <w:ind w:left="240" w:right="838"/>
        <w:jc w:val="both"/>
      </w:pPr>
      <w:r>
        <w:rPr/>
        <w:t>information to reflect an appraisal of housing budget procedures. A total of one hundred and seventy (170) copies of questionnaires (</w:t>
      </w:r>
      <w:r>
        <w:rPr>
          <w:i/>
        </w:rPr>
        <w:t>see Table 4.1</w:t>
      </w:r>
      <w:r>
        <w:rPr/>
        <w:t>) were self administered/distributed to the respondents by the researcher, his research assistants and professional colleagues by hand. However, in cases however, where respondents are busy, questions will be were asked orally or the questionnaire left with them to fill at their disposal.</w:t>
      </w:r>
    </w:p>
    <w:p>
      <w:pPr>
        <w:pStyle w:val="BodyText"/>
        <w:spacing w:before="138"/>
      </w:pPr>
    </w:p>
    <w:p>
      <w:pPr>
        <w:pStyle w:val="BodyText"/>
        <w:spacing w:line="360" w:lineRule="auto" w:before="1"/>
        <w:ind w:left="240" w:right="835"/>
        <w:jc w:val="both"/>
      </w:pPr>
      <w:r>
        <w:rPr/>
        <w:t>The questions contained in the questionnaire are meant to elicit from the respondents; level of their perceptions, opinions and stances of the salient issues, procedures, problems and criteria of housing budget allocation in Anambra State. The basis for the level of responses will draw upon</w:t>
      </w:r>
      <w:r>
        <w:rPr>
          <w:spacing w:val="40"/>
        </w:rPr>
        <w:t> </w:t>
      </w:r>
      <w:r>
        <w:rPr/>
        <w:t>a five (5) point likert scale; where 1= don‘t know and 5= strongly agree. The respondents were asked to rank the applicable factors in order of severity. Questions and statements were geared towards achieving the research objectives and well articulated to have a bearing on the research questions. The questions were also structured to ensure consistency and avoid ambiguity. In addition to this, the respondents were also directed on how to complete the questionnaire appropriately. A cover letter accompanying the questionnaire was also attached to give a brief description of the research aim and objectives, assuring respondents of confidentiality of their responses and expressing appreciation for their anticipated responses.</w:t>
      </w:r>
    </w:p>
    <w:p>
      <w:pPr>
        <w:pStyle w:val="BodyText"/>
        <w:spacing w:before="139"/>
      </w:pPr>
    </w:p>
    <w:p>
      <w:pPr>
        <w:pStyle w:val="BodyText"/>
        <w:spacing w:line="360" w:lineRule="auto"/>
        <w:ind w:left="240" w:right="836"/>
        <w:jc w:val="both"/>
      </w:pPr>
      <w:r>
        <w:rPr/>
        <w:t>Finally, three</w:t>
      </w:r>
      <w:r>
        <w:rPr>
          <w:spacing w:val="-1"/>
        </w:rPr>
        <w:t> </w:t>
      </w:r>
      <w:r>
        <w:rPr/>
        <w:t>issues were considered when designing</w:t>
      </w:r>
      <w:r>
        <w:rPr>
          <w:spacing w:val="-3"/>
        </w:rPr>
        <w:t> </w:t>
      </w:r>
      <w:r>
        <w:rPr/>
        <w:t>the</w:t>
      </w:r>
      <w:r>
        <w:rPr>
          <w:spacing w:val="-1"/>
        </w:rPr>
        <w:t> </w:t>
      </w:r>
      <w:r>
        <w:rPr/>
        <w:t>questionnaire, namely: conformity</w:t>
      </w:r>
      <w:r>
        <w:rPr>
          <w:spacing w:val="-3"/>
        </w:rPr>
        <w:t> </w:t>
      </w:r>
      <w:r>
        <w:rPr/>
        <w:t>with objectives, coverage and reliability. To ensure validity and reliability, a pre-test of the questionnaire was carried out on experts and potential users. Data was analyzed based on the analysis tool and the input and result generated from the data was</w:t>
      </w:r>
      <w:r>
        <w:rPr>
          <w:spacing w:val="80"/>
        </w:rPr>
        <w:t> </w:t>
      </w:r>
      <w:r>
        <w:rPr/>
        <w:t>used to refine the questionnaire before a wider survey was carried out.</w:t>
      </w:r>
    </w:p>
    <w:p>
      <w:pPr>
        <w:pStyle w:val="BodyText"/>
        <w:spacing w:before="177"/>
      </w:pPr>
    </w:p>
    <w:p>
      <w:pPr>
        <w:pStyle w:val="Heading3"/>
        <w:numPr>
          <w:ilvl w:val="1"/>
          <w:numId w:val="77"/>
        </w:numPr>
        <w:tabs>
          <w:tab w:pos="959" w:val="left" w:leader="none"/>
        </w:tabs>
        <w:spacing w:line="240" w:lineRule="auto" w:before="0" w:after="0"/>
        <w:ind w:left="959" w:right="0" w:hanging="719"/>
        <w:jc w:val="both"/>
      </w:pPr>
      <w:r>
        <w:rPr/>
        <w:t>Oral</w:t>
      </w:r>
      <w:r>
        <w:rPr>
          <w:spacing w:val="-10"/>
        </w:rPr>
        <w:t> </w:t>
      </w:r>
      <w:r>
        <w:rPr>
          <w:spacing w:val="-2"/>
        </w:rPr>
        <w:t>Interview</w:t>
      </w:r>
    </w:p>
    <w:p>
      <w:pPr>
        <w:pStyle w:val="BodyText"/>
        <w:spacing w:line="360" w:lineRule="auto" w:before="145"/>
        <w:ind w:left="240" w:right="840"/>
        <w:jc w:val="both"/>
      </w:pPr>
      <w:r>
        <w:rPr/>
        <w:t>Oral interview is the process of obtaining information through conversations between the interviewer and the respondents (Ogunoh, 2008). Oral interview is flexible and encourages the respondents to express their views and feeling more freely</w:t>
      </w:r>
      <w:r>
        <w:rPr>
          <w:spacing w:val="-5"/>
        </w:rPr>
        <w:t> </w:t>
      </w:r>
      <w:r>
        <w:rPr/>
        <w:t>than by</w:t>
      </w:r>
      <w:r>
        <w:rPr>
          <w:spacing w:val="-3"/>
        </w:rPr>
        <w:t> </w:t>
      </w:r>
      <w:r>
        <w:rPr/>
        <w:t>way</w:t>
      </w:r>
      <w:r>
        <w:rPr>
          <w:spacing w:val="-5"/>
        </w:rPr>
        <w:t> </w:t>
      </w:r>
      <w:r>
        <w:rPr/>
        <w:t>of answering (filling) the questionnaire. It is also used to make</w:t>
      </w:r>
      <w:r>
        <w:rPr>
          <w:spacing w:val="-2"/>
        </w:rPr>
        <w:t> </w:t>
      </w:r>
      <w:r>
        <w:rPr/>
        <w:t>up where questionnaire</w:t>
      </w:r>
      <w:r>
        <w:rPr>
          <w:spacing w:val="-2"/>
        </w:rPr>
        <w:t> </w:t>
      </w:r>
      <w:r>
        <w:rPr/>
        <w:t>failed due</w:t>
      </w:r>
      <w:r>
        <w:rPr>
          <w:spacing w:val="-1"/>
        </w:rPr>
        <w:t> </w:t>
      </w:r>
      <w:r>
        <w:rPr/>
        <w:t>to its formal nature. That is, eliciting responses from respondents who cannot attend to the questionnaire items, thus, complimenting</w:t>
      </w:r>
      <w:r>
        <w:rPr>
          <w:spacing w:val="46"/>
        </w:rPr>
        <w:t> </w:t>
      </w:r>
      <w:r>
        <w:rPr/>
        <w:t>the</w:t>
      </w:r>
      <w:r>
        <w:rPr>
          <w:spacing w:val="51"/>
        </w:rPr>
        <w:t> </w:t>
      </w:r>
      <w:r>
        <w:rPr/>
        <w:t>questionnaires</w:t>
      </w:r>
      <w:r>
        <w:rPr>
          <w:spacing w:val="51"/>
        </w:rPr>
        <w:t> </w:t>
      </w:r>
      <w:r>
        <w:rPr/>
        <w:t>administered.</w:t>
      </w:r>
      <w:r>
        <w:rPr>
          <w:spacing w:val="53"/>
        </w:rPr>
        <w:t> </w:t>
      </w:r>
      <w:r>
        <w:rPr/>
        <w:t>The</w:t>
      </w:r>
      <w:r>
        <w:rPr>
          <w:spacing w:val="49"/>
        </w:rPr>
        <w:t> </w:t>
      </w:r>
      <w:r>
        <w:rPr/>
        <w:t>interviews</w:t>
      </w:r>
      <w:r>
        <w:rPr>
          <w:spacing w:val="53"/>
        </w:rPr>
        <w:t> </w:t>
      </w:r>
      <w:r>
        <w:rPr/>
        <w:t>conducted</w:t>
      </w:r>
      <w:r>
        <w:rPr>
          <w:spacing w:val="51"/>
        </w:rPr>
        <w:t> </w:t>
      </w:r>
      <w:r>
        <w:rPr/>
        <w:t>were</w:t>
      </w:r>
      <w:r>
        <w:rPr>
          <w:spacing w:val="52"/>
        </w:rPr>
        <w:t> </w:t>
      </w:r>
      <w:r>
        <w:rPr>
          <w:spacing w:val="-2"/>
        </w:rPr>
        <w:t>unstructured</w:t>
      </w:r>
    </w:p>
    <w:p>
      <w:pPr>
        <w:spacing w:after="0" w:line="360" w:lineRule="auto"/>
        <w:jc w:val="both"/>
        <w:sectPr>
          <w:pgSz w:w="12240" w:h="15840"/>
          <w:pgMar w:header="0" w:footer="1036" w:top="1360" w:bottom="1220" w:left="1200" w:right="600"/>
        </w:sectPr>
      </w:pPr>
    </w:p>
    <w:p>
      <w:pPr>
        <w:pStyle w:val="BodyText"/>
        <w:spacing w:line="360" w:lineRule="auto" w:before="74"/>
        <w:ind w:left="240" w:right="836"/>
        <w:jc w:val="both"/>
      </w:pPr>
      <w:r>
        <w:rPr/>
        <w:t>which enabled the researcher obtain clarifications on some variables which need further in-depth investigations. Oral interview also acted as a check for the authenticity of responses from the questionnaires.</w:t>
      </w:r>
      <w:r>
        <w:rPr>
          <w:spacing w:val="40"/>
        </w:rPr>
        <w:t> </w:t>
      </w:r>
      <w:r>
        <w:rPr/>
        <w:t>In other words, it helped ensure complete and meaningful response to the questionnaire and also get input towards the questionnaire design, especially towards the factors responsible for poor housing budget performance and the criteria for stipulating annual housing budget ceilings in Anambra State. In this research therefore, oral interview was adopted.</w:t>
      </w:r>
    </w:p>
    <w:p>
      <w:pPr>
        <w:pStyle w:val="BodyText"/>
        <w:spacing w:before="143"/>
      </w:pPr>
    </w:p>
    <w:p>
      <w:pPr>
        <w:pStyle w:val="Heading3"/>
        <w:numPr>
          <w:ilvl w:val="1"/>
          <w:numId w:val="77"/>
        </w:numPr>
        <w:tabs>
          <w:tab w:pos="628" w:val="left" w:leader="none"/>
        </w:tabs>
        <w:spacing w:line="240" w:lineRule="auto" w:before="0" w:after="0"/>
        <w:ind w:left="628" w:right="0" w:hanging="388"/>
        <w:jc w:val="both"/>
      </w:pPr>
      <w:r>
        <w:rPr/>
        <w:t>Examination</w:t>
      </w:r>
      <w:r>
        <w:rPr>
          <w:spacing w:val="-7"/>
        </w:rPr>
        <w:t> </w:t>
      </w:r>
      <w:r>
        <w:rPr/>
        <w:t>of</w:t>
      </w:r>
      <w:r>
        <w:rPr>
          <w:spacing w:val="-8"/>
        </w:rPr>
        <w:t> </w:t>
      </w:r>
      <w:r>
        <w:rPr/>
        <w:t>Budget</w:t>
      </w:r>
      <w:r>
        <w:rPr>
          <w:spacing w:val="-8"/>
        </w:rPr>
        <w:t> </w:t>
      </w:r>
      <w:r>
        <w:rPr>
          <w:spacing w:val="-2"/>
        </w:rPr>
        <w:t>Documents</w:t>
      </w:r>
    </w:p>
    <w:p>
      <w:pPr>
        <w:pStyle w:val="BodyText"/>
        <w:spacing w:line="360" w:lineRule="auto" w:before="144"/>
        <w:ind w:left="240" w:right="837"/>
        <w:jc w:val="both"/>
      </w:pPr>
      <w:r>
        <w:rPr/>
        <w:t>While the questionnaire survey proved inevitable in the appraisal of current housing budgeting practice/procedures adopted by Anambra State‘s public sector, numerical data on budgets relies on the figures in the budget documents. Budget documents or estimates are published annually and show in detail, revenue and expenditure of proposed items of work to be executed by the Anambra State Government. A careful study of Anambra State annual published housing budget (for the period covered by the study; 1999- 2016) as well as documents (memos) on housing budget ceilings (up to 2016) and ministerial proposals was carried out, to enable the researcher retrieve relevant housing budget figures to be used for analysis.</w:t>
      </w:r>
    </w:p>
    <w:p>
      <w:pPr>
        <w:pStyle w:val="BodyText"/>
        <w:spacing w:before="146"/>
      </w:pPr>
    </w:p>
    <w:p>
      <w:pPr>
        <w:pStyle w:val="Heading3"/>
        <w:numPr>
          <w:ilvl w:val="1"/>
          <w:numId w:val="77"/>
        </w:numPr>
        <w:tabs>
          <w:tab w:pos="628" w:val="left" w:leader="none"/>
        </w:tabs>
        <w:spacing w:line="240" w:lineRule="auto" w:before="0" w:after="0"/>
        <w:ind w:left="628" w:right="0" w:hanging="388"/>
        <w:jc w:val="both"/>
      </w:pPr>
      <w:r>
        <w:rPr/>
        <w:t>Population</w:t>
      </w:r>
      <w:r>
        <w:rPr>
          <w:spacing w:val="-5"/>
        </w:rPr>
        <w:t> </w:t>
      </w:r>
      <w:r>
        <w:rPr/>
        <w:t>of</w:t>
      </w:r>
      <w:r>
        <w:rPr>
          <w:spacing w:val="-7"/>
        </w:rPr>
        <w:t> </w:t>
      </w:r>
      <w:r>
        <w:rPr/>
        <w:t>the</w:t>
      </w:r>
      <w:r>
        <w:rPr>
          <w:spacing w:val="-3"/>
        </w:rPr>
        <w:t> </w:t>
      </w:r>
      <w:r>
        <w:rPr>
          <w:spacing w:val="-2"/>
        </w:rPr>
        <w:t>Study</w:t>
      </w:r>
    </w:p>
    <w:p>
      <w:pPr>
        <w:pStyle w:val="BodyText"/>
        <w:spacing w:line="360" w:lineRule="auto" w:before="142"/>
        <w:ind w:left="240" w:right="837"/>
        <w:jc w:val="both"/>
      </w:pPr>
      <w:r>
        <w:rPr/>
        <w:t>Okolie (2011) states that a population is the aggregation of elements from which a sample is actually</w:t>
      </w:r>
      <w:r>
        <w:rPr>
          <w:spacing w:val="-3"/>
        </w:rPr>
        <w:t> </w:t>
      </w:r>
      <w:r>
        <w:rPr/>
        <w:t>selected. A preliminary survey</w:t>
      </w:r>
      <w:r>
        <w:rPr>
          <w:spacing w:val="-3"/>
        </w:rPr>
        <w:t> </w:t>
      </w:r>
      <w:r>
        <w:rPr/>
        <w:t>was carried out to determine the target population within the study area that are involved in public housing budgeting. This was to ensure reliable responses (data and information), since they are knowledgeable and experienced in the issues to be addressed by the research.</w:t>
      </w:r>
    </w:p>
    <w:p>
      <w:pPr>
        <w:pStyle w:val="BodyText"/>
        <w:spacing w:before="138"/>
      </w:pPr>
    </w:p>
    <w:p>
      <w:pPr>
        <w:pStyle w:val="BodyText"/>
        <w:spacing w:line="360" w:lineRule="auto"/>
        <w:ind w:left="240" w:right="836"/>
        <w:jc w:val="both"/>
        <w:rPr>
          <w:i/>
        </w:rPr>
      </w:pPr>
      <w:r>
        <w:rPr/>
        <w:t>The survey revealed that a total of two hundred and ninety five (295) professionals/experts, comprising: seventy (70) in the ministry of Housing, one hundred and twenty two (122) in the Ministry of Budget and Economic Planning (including those posted to other Ministries and parastatals), thirty (30) in Anambra State Housing Development Corporation, thirteen (13) in Awka Capital Development Authority and sixty</w:t>
      </w:r>
      <w:r>
        <w:rPr>
          <w:spacing w:val="-3"/>
        </w:rPr>
        <w:t> </w:t>
      </w:r>
      <w:r>
        <w:rPr/>
        <w:t>(60) in Anambra State Physical Planning Board. The 60 professional staff of the Anambra State Physical Planning Board work in 20 local government</w:t>
      </w:r>
      <w:r>
        <w:rPr>
          <w:spacing w:val="7"/>
        </w:rPr>
        <w:t> </w:t>
      </w:r>
      <w:r>
        <w:rPr/>
        <w:t>areas</w:t>
      </w:r>
      <w:r>
        <w:rPr>
          <w:spacing w:val="9"/>
        </w:rPr>
        <w:t> </w:t>
      </w:r>
      <w:r>
        <w:rPr/>
        <w:t>of</w:t>
      </w:r>
      <w:r>
        <w:rPr>
          <w:spacing w:val="8"/>
        </w:rPr>
        <w:t> </w:t>
      </w:r>
      <w:r>
        <w:rPr/>
        <w:t>the</w:t>
      </w:r>
      <w:r>
        <w:rPr>
          <w:spacing w:val="11"/>
        </w:rPr>
        <w:t> </w:t>
      </w:r>
      <w:r>
        <w:rPr/>
        <w:t>State,</w:t>
      </w:r>
      <w:r>
        <w:rPr>
          <w:spacing w:val="9"/>
        </w:rPr>
        <w:t> </w:t>
      </w:r>
      <w:r>
        <w:rPr/>
        <w:t>including</w:t>
      </w:r>
      <w:r>
        <w:rPr>
          <w:spacing w:val="7"/>
        </w:rPr>
        <w:t> </w:t>
      </w:r>
      <w:r>
        <w:rPr/>
        <w:t>Awka</w:t>
      </w:r>
      <w:r>
        <w:rPr>
          <w:spacing w:val="8"/>
        </w:rPr>
        <w:t> </w:t>
      </w:r>
      <w:r>
        <w:rPr/>
        <w:t>South</w:t>
      </w:r>
      <w:r>
        <w:rPr>
          <w:spacing w:val="9"/>
        </w:rPr>
        <w:t> </w:t>
      </w:r>
      <w:r>
        <w:rPr/>
        <w:t>(</w:t>
      </w:r>
      <w:r>
        <w:rPr>
          <w:i/>
        </w:rPr>
        <w:t>see</w:t>
      </w:r>
      <w:r>
        <w:rPr>
          <w:i/>
          <w:spacing w:val="8"/>
        </w:rPr>
        <w:t> </w:t>
      </w:r>
      <w:r>
        <w:rPr>
          <w:i/>
        </w:rPr>
        <w:t>Table</w:t>
      </w:r>
      <w:r>
        <w:rPr>
          <w:i/>
          <w:spacing w:val="8"/>
        </w:rPr>
        <w:t> </w:t>
      </w:r>
      <w:r>
        <w:rPr>
          <w:i/>
        </w:rPr>
        <w:t>4.1</w:t>
      </w:r>
      <w:r>
        <w:rPr>
          <w:i/>
          <w:spacing w:val="9"/>
        </w:rPr>
        <w:t> </w:t>
      </w:r>
      <w:r>
        <w:rPr>
          <w:i/>
        </w:rPr>
        <w:t>for</w:t>
      </w:r>
      <w:r>
        <w:rPr>
          <w:i/>
          <w:spacing w:val="10"/>
        </w:rPr>
        <w:t> </w:t>
      </w:r>
      <w:r>
        <w:rPr>
          <w:i/>
        </w:rPr>
        <w:t>professional</w:t>
      </w:r>
      <w:r>
        <w:rPr>
          <w:i/>
          <w:spacing w:val="10"/>
        </w:rPr>
        <w:t> </w:t>
      </w:r>
      <w:r>
        <w:rPr>
          <w:i/>
          <w:spacing w:val="-2"/>
        </w:rPr>
        <w:t>affiliations</w:t>
      </w:r>
    </w:p>
    <w:p>
      <w:pPr>
        <w:spacing w:after="0" w:line="360" w:lineRule="auto"/>
        <w:jc w:val="both"/>
        <w:sectPr>
          <w:pgSz w:w="12240" w:h="15840"/>
          <w:pgMar w:header="0" w:footer="1036" w:top="1360" w:bottom="1220" w:left="1200" w:right="600"/>
        </w:sectPr>
      </w:pPr>
    </w:p>
    <w:p>
      <w:pPr>
        <w:pStyle w:val="BodyText"/>
        <w:spacing w:line="360" w:lineRule="auto" w:before="74"/>
        <w:ind w:left="240" w:right="831"/>
        <w:jc w:val="both"/>
      </w:pPr>
      <w:r>
        <w:rPr>
          <w:i/>
        </w:rPr>
        <w:t>of the target population</w:t>
      </w:r>
      <w:r>
        <w:rPr/>
        <w:t>). According to available records from the accounts and administrative offices of these ministries and parastatals, the population of professional staff as at the time of carrying out this research in 2016 stood at 295. In view of this, the population for this study comprises 295 professionals/experts (Quantity</w:t>
      </w:r>
      <w:r>
        <w:rPr>
          <w:spacing w:val="-4"/>
        </w:rPr>
        <w:t> </w:t>
      </w:r>
      <w:r>
        <w:rPr/>
        <w:t>Surveyors, Builders, Architects, Engineers, Estate Surveyors, Land Surveyors, Town Planners, Accountants, Economists and Public </w:t>
      </w:r>
      <w:r>
        <w:rPr>
          <w:spacing w:val="-2"/>
        </w:rPr>
        <w:t>Administrators).</w:t>
      </w:r>
    </w:p>
    <w:p>
      <w:pPr>
        <w:pStyle w:val="BodyText"/>
        <w:spacing w:before="75"/>
      </w:pPr>
    </w:p>
    <w:p>
      <w:pPr>
        <w:pStyle w:val="Heading3"/>
        <w:numPr>
          <w:ilvl w:val="1"/>
          <w:numId w:val="77"/>
        </w:numPr>
        <w:tabs>
          <w:tab w:pos="758" w:val="left" w:leader="none"/>
        </w:tabs>
        <w:spacing w:line="240" w:lineRule="auto" w:before="1" w:after="0"/>
        <w:ind w:left="758" w:right="0" w:hanging="518"/>
        <w:jc w:val="both"/>
      </w:pPr>
      <w:r>
        <w:rPr/>
        <w:t>Sampling</w:t>
      </w:r>
      <w:r>
        <w:rPr>
          <w:spacing w:val="-8"/>
        </w:rPr>
        <w:t> </w:t>
      </w:r>
      <w:r>
        <w:rPr>
          <w:spacing w:val="-4"/>
        </w:rPr>
        <w:t>Frame</w:t>
      </w:r>
    </w:p>
    <w:p>
      <w:pPr>
        <w:pStyle w:val="BodyText"/>
        <w:spacing w:line="360" w:lineRule="auto" w:before="144"/>
        <w:ind w:left="240" w:right="835"/>
        <w:jc w:val="both"/>
      </w:pPr>
      <w:r>
        <w:rPr/>
        <w:t>A</w:t>
      </w:r>
      <w:r>
        <w:rPr>
          <w:spacing w:val="-1"/>
        </w:rPr>
        <w:t> </w:t>
      </w:r>
      <w:r>
        <w:rPr/>
        <w:t>sampling</w:t>
      </w:r>
      <w:r>
        <w:rPr>
          <w:spacing w:val="-2"/>
        </w:rPr>
        <w:t> </w:t>
      </w:r>
      <w:r>
        <w:rPr/>
        <w:t>frame</w:t>
      </w:r>
      <w:r>
        <w:rPr>
          <w:spacing w:val="-1"/>
        </w:rPr>
        <w:t> </w:t>
      </w:r>
      <w:r>
        <w:rPr/>
        <w:t>can be</w:t>
      </w:r>
      <w:r>
        <w:rPr>
          <w:spacing w:val="-1"/>
        </w:rPr>
        <w:t> </w:t>
      </w:r>
      <w:r>
        <w:rPr/>
        <w:t>regarded as a</w:t>
      </w:r>
      <w:r>
        <w:rPr>
          <w:spacing w:val="-1"/>
        </w:rPr>
        <w:t> </w:t>
      </w:r>
      <w:r>
        <w:rPr/>
        <w:t>list of</w:t>
      </w:r>
      <w:r>
        <w:rPr>
          <w:spacing w:val="-1"/>
        </w:rPr>
        <w:t> </w:t>
      </w:r>
      <w:r>
        <w:rPr/>
        <w:t>items or</w:t>
      </w:r>
      <w:r>
        <w:rPr>
          <w:spacing w:val="-1"/>
        </w:rPr>
        <w:t> </w:t>
      </w:r>
      <w:r>
        <w:rPr/>
        <w:t>people</w:t>
      </w:r>
      <w:r>
        <w:rPr>
          <w:spacing w:val="-1"/>
        </w:rPr>
        <w:t> </w:t>
      </w:r>
      <w:r>
        <w:rPr/>
        <w:t>forming</w:t>
      </w:r>
      <w:r>
        <w:rPr>
          <w:spacing w:val="-3"/>
        </w:rPr>
        <w:t> </w:t>
      </w:r>
      <w:r>
        <w:rPr/>
        <w:t>the</w:t>
      </w:r>
      <w:r>
        <w:rPr>
          <w:spacing w:val="-1"/>
        </w:rPr>
        <w:t> </w:t>
      </w:r>
      <w:r>
        <w:rPr/>
        <w:t>population from which a sample can be taken (Sutrisna, 2009).</w:t>
      </w:r>
      <w:r>
        <w:rPr>
          <w:spacing w:val="80"/>
        </w:rPr>
        <w:t> </w:t>
      </w:r>
      <w:r>
        <w:rPr/>
        <w:t>It can also be referred to as a complete list of all members</w:t>
      </w:r>
      <w:r>
        <w:rPr>
          <w:spacing w:val="-1"/>
        </w:rPr>
        <w:t> </w:t>
      </w:r>
      <w:r>
        <w:rPr/>
        <w:t>of</w:t>
      </w:r>
      <w:r>
        <w:rPr>
          <w:spacing w:val="-1"/>
        </w:rPr>
        <w:t> </w:t>
      </w:r>
      <w:r>
        <w:rPr/>
        <w:t>the</w:t>
      </w:r>
      <w:r>
        <w:rPr>
          <w:spacing w:val="-1"/>
        </w:rPr>
        <w:t> </w:t>
      </w:r>
      <w:r>
        <w:rPr/>
        <w:t>population to be</w:t>
      </w:r>
      <w:r>
        <w:rPr>
          <w:spacing w:val="-1"/>
        </w:rPr>
        <w:t> </w:t>
      </w:r>
      <w:r>
        <w:rPr/>
        <w:t>studied.</w:t>
      </w:r>
      <w:r>
        <w:rPr>
          <w:spacing w:val="40"/>
        </w:rPr>
        <w:t> </w:t>
      </w:r>
      <w:r>
        <w:rPr/>
        <w:t>The</w:t>
      </w:r>
      <w:r>
        <w:rPr>
          <w:spacing w:val="-2"/>
        </w:rPr>
        <w:t> </w:t>
      </w:r>
      <w:r>
        <w:rPr/>
        <w:t>sampling</w:t>
      </w:r>
      <w:r>
        <w:rPr>
          <w:spacing w:val="-2"/>
        </w:rPr>
        <w:t> </w:t>
      </w:r>
      <w:r>
        <w:rPr/>
        <w:t>frame</w:t>
      </w:r>
      <w:r>
        <w:rPr>
          <w:spacing w:val="-1"/>
        </w:rPr>
        <w:t> </w:t>
      </w:r>
      <w:r>
        <w:rPr/>
        <w:t>must thus, be</w:t>
      </w:r>
      <w:r>
        <w:rPr>
          <w:spacing w:val="-1"/>
        </w:rPr>
        <w:t> </w:t>
      </w:r>
      <w:r>
        <w:rPr/>
        <w:t>representative</w:t>
      </w:r>
      <w:r>
        <w:rPr>
          <w:spacing w:val="-1"/>
        </w:rPr>
        <w:t> </w:t>
      </w:r>
      <w:r>
        <w:rPr/>
        <w:t>of</w:t>
      </w:r>
      <w:r>
        <w:rPr>
          <w:spacing w:val="-1"/>
        </w:rPr>
        <w:t> </w:t>
      </w:r>
      <w:r>
        <w:rPr/>
        <w:t>the population. In view of this, the sample frame for this research consists the payroll register of the accounts department and staff records of the administration department of the ministries of Housing, Budget and Economic planning, Anambra State Housing Development Corporation, Awka Capital Development Authority and the Anambra Physical Planning Board (formerly ASUDEB). This is because these documents provided the researcher with not just the entire number of the population but the name, rank and qualification of every staff/professional of the target population.</w:t>
      </w:r>
    </w:p>
    <w:p>
      <w:pPr>
        <w:pStyle w:val="BodyText"/>
        <w:spacing w:before="74"/>
      </w:pPr>
    </w:p>
    <w:p>
      <w:pPr>
        <w:pStyle w:val="Heading3"/>
        <w:numPr>
          <w:ilvl w:val="1"/>
          <w:numId w:val="77"/>
        </w:numPr>
        <w:tabs>
          <w:tab w:pos="823" w:val="left" w:leader="none"/>
        </w:tabs>
        <w:spacing w:line="240" w:lineRule="auto" w:before="0" w:after="0"/>
        <w:ind w:left="823" w:right="0" w:hanging="583"/>
        <w:jc w:val="both"/>
      </w:pPr>
      <w:r>
        <w:rPr/>
        <w:t>Sampling</w:t>
      </w:r>
      <w:r>
        <w:rPr>
          <w:spacing w:val="-8"/>
        </w:rPr>
        <w:t> </w:t>
      </w:r>
      <w:r>
        <w:rPr>
          <w:spacing w:val="-2"/>
        </w:rPr>
        <w:t>Technique</w:t>
      </w:r>
    </w:p>
    <w:p>
      <w:pPr>
        <w:pStyle w:val="BodyText"/>
        <w:spacing w:line="360" w:lineRule="auto" w:before="144"/>
        <w:ind w:left="240" w:right="839"/>
        <w:jc w:val="both"/>
      </w:pPr>
      <w:r>
        <w:rPr/>
        <w:t>The research employed the purposive type of sampling for the selection of respondents. Purposive sampling is a type of non-probability sampling technique where units (people, cases/organizations, events, pieces of data) that are investigated are</w:t>
      </w:r>
      <w:r>
        <w:rPr>
          <w:spacing w:val="-1"/>
        </w:rPr>
        <w:t> </w:t>
      </w:r>
      <w:r>
        <w:rPr/>
        <w:t>based on the judgment of the researcher (Patton, 2002). Usually, the sample being investigated is smaller, especially when compared with probability sampling techniques. The goal of purposive sampling is not to randomly select units from a population, but to create a sample with the intention of making generalizations (statistical inferences) from that sample to the population of interest. The main goal of purposive sampling is to focus on particular characteristic of the population that are of interest, which will enable the researcher address his research objectives.</w:t>
      </w:r>
    </w:p>
    <w:p>
      <w:pPr>
        <w:spacing w:after="0" w:line="360" w:lineRule="auto"/>
        <w:jc w:val="both"/>
        <w:sectPr>
          <w:pgSz w:w="12240" w:h="15840"/>
          <w:pgMar w:header="0" w:footer="1036" w:top="1360" w:bottom="1220" w:left="1200" w:right="600"/>
        </w:sectPr>
      </w:pPr>
    </w:p>
    <w:p>
      <w:pPr>
        <w:pStyle w:val="BodyText"/>
        <w:spacing w:line="360" w:lineRule="auto" w:before="74"/>
        <w:ind w:left="240" w:right="836"/>
        <w:jc w:val="both"/>
      </w:pPr>
      <w:r>
        <w:rPr/>
        <w:t>Purposive sampling according to Okolie, (2011), selects informative subjects or units of observation as a representation of the wider population. It is relatively cost effective, easier, and ensures that only those elements that are relevant to the study are included. Hence, purposive sampling technique was used in selecting the professionals from the target population of 295.</w:t>
      </w:r>
    </w:p>
    <w:p>
      <w:pPr>
        <w:pStyle w:val="BodyText"/>
        <w:spacing w:before="142"/>
      </w:pPr>
    </w:p>
    <w:p>
      <w:pPr>
        <w:pStyle w:val="Heading4"/>
        <w:numPr>
          <w:ilvl w:val="1"/>
          <w:numId w:val="77"/>
        </w:numPr>
        <w:tabs>
          <w:tab w:pos="959" w:val="left" w:leader="none"/>
        </w:tabs>
        <w:spacing w:line="240" w:lineRule="auto" w:before="0" w:after="0"/>
        <w:ind w:left="959" w:right="0" w:hanging="719"/>
        <w:jc w:val="both"/>
      </w:pPr>
      <w:r>
        <w:rPr/>
        <w:t>Determination</w:t>
      </w:r>
      <w:r>
        <w:rPr>
          <w:spacing w:val="-3"/>
        </w:rPr>
        <w:t> </w:t>
      </w:r>
      <w:r>
        <w:rPr/>
        <w:t>of</w:t>
      </w:r>
      <w:r>
        <w:rPr>
          <w:spacing w:val="-2"/>
        </w:rPr>
        <w:t> </w:t>
      </w:r>
      <w:r>
        <w:rPr/>
        <w:t>Sample</w:t>
      </w:r>
      <w:r>
        <w:rPr>
          <w:spacing w:val="-2"/>
        </w:rPr>
        <w:t> </w:t>
      </w:r>
      <w:r>
        <w:rPr>
          <w:spacing w:val="-4"/>
        </w:rPr>
        <w:t>Size</w:t>
      </w:r>
    </w:p>
    <w:p>
      <w:pPr>
        <w:pStyle w:val="BodyText"/>
        <w:spacing w:line="360" w:lineRule="auto" w:before="135"/>
        <w:ind w:left="240" w:right="840"/>
        <w:jc w:val="both"/>
      </w:pPr>
      <w:r>
        <w:rPr/>
        <w:t>The sample size of this research was determined in accordance with Yamane (1967), who opines that a census is attractive for small populations of 200 or less, although cost considerations make this impossible for large population. Since the population obtained from the preliminary survey conducted was above 200, the sample size was determined using the Taro Yamane‘s formula. The Taro Yamane‘s formula is expressed as follows:</w:t>
      </w:r>
    </w:p>
    <w:p>
      <w:pPr>
        <w:pStyle w:val="BodyText"/>
        <w:spacing w:before="101"/>
        <w:rPr>
          <w:sz w:val="20"/>
        </w:rPr>
      </w:pPr>
    </w:p>
    <w:p>
      <w:pPr>
        <w:spacing w:after="0"/>
        <w:rPr>
          <w:sz w:val="20"/>
        </w:rPr>
        <w:sectPr>
          <w:pgSz w:w="12240" w:h="15840"/>
          <w:pgMar w:header="0" w:footer="1036" w:top="1360" w:bottom="1220" w:left="1200" w:right="600"/>
        </w:sectPr>
      </w:pPr>
    </w:p>
    <w:p>
      <w:pPr>
        <w:pStyle w:val="BodyText"/>
        <w:tabs>
          <w:tab w:pos="1205" w:val="left" w:leader="none"/>
        </w:tabs>
        <w:spacing w:line="223" w:lineRule="exact" w:before="147"/>
        <w:ind w:left="240"/>
        <w:rPr>
          <w:rFonts w:ascii="Cambria Math"/>
        </w:rPr>
      </w:pPr>
      <w:r>
        <w:rPr/>
        <mc:AlternateContent>
          <mc:Choice Requires="wps">
            <w:drawing>
              <wp:anchor distT="0" distB="0" distL="0" distR="0" allowOverlap="1" layoutInCell="1" locked="0" behindDoc="1" simplePos="0" relativeHeight="478110208">
                <wp:simplePos x="0" y="0"/>
                <wp:positionH relativeFrom="page">
                  <wp:posOffset>1342897</wp:posOffset>
                </wp:positionH>
                <wp:positionV relativeFrom="paragraph">
                  <wp:posOffset>189346</wp:posOffset>
                </wp:positionV>
                <wp:extent cx="452755" cy="10795"/>
                <wp:effectExtent l="0" t="0" r="0" b="0"/>
                <wp:wrapNone/>
                <wp:docPr id="291" name="Graphic 291"/>
                <wp:cNvGraphicFramePr>
                  <a:graphicFrameLocks/>
                </wp:cNvGraphicFramePr>
                <a:graphic>
                  <a:graphicData uri="http://schemas.microsoft.com/office/word/2010/wordprocessingShape">
                    <wps:wsp>
                      <wps:cNvPr id="291" name="Graphic 291"/>
                      <wps:cNvSpPr/>
                      <wps:spPr>
                        <a:xfrm>
                          <a:off x="0" y="0"/>
                          <a:ext cx="452755" cy="10795"/>
                        </a:xfrm>
                        <a:custGeom>
                          <a:avLst/>
                          <a:gdLst/>
                          <a:ahLst/>
                          <a:cxnLst/>
                          <a:rect l="l" t="t" r="r" b="b"/>
                          <a:pathLst>
                            <a:path w="452755" h="10795">
                              <a:moveTo>
                                <a:pt x="452628" y="0"/>
                              </a:moveTo>
                              <a:lnTo>
                                <a:pt x="0" y="0"/>
                              </a:lnTo>
                              <a:lnTo>
                                <a:pt x="0" y="10667"/>
                              </a:lnTo>
                              <a:lnTo>
                                <a:pt x="452628" y="10667"/>
                              </a:lnTo>
                              <a:lnTo>
                                <a:pt x="4526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5.739998pt;margin-top:14.909141pt;width:35.64pt;height:.84pt;mso-position-horizontal-relative:page;mso-position-vertical-relative:paragraph;z-index:-25206272" id="docshape261" filled="true" fillcolor="#000000" stroked="false">
                <v:fill type="solid"/>
                <w10:wrap type="none"/>
              </v:rect>
            </w:pict>
          </mc:Fallback>
        </mc:AlternateContent>
      </w:r>
      <w:r>
        <w:rPr/>
        <w:t>n </w:t>
      </w:r>
      <w:r>
        <w:rPr>
          <w:spacing w:val="-10"/>
        </w:rPr>
        <w:t>=</w:t>
      </w:r>
      <w:r>
        <w:rPr/>
        <w:tab/>
      </w:r>
      <w:r>
        <w:rPr>
          <w:rFonts w:ascii="Cambria Math"/>
          <w:spacing w:val="-10"/>
          <w:vertAlign w:val="superscript"/>
        </w:rPr>
        <w:t>N</w:t>
      </w:r>
    </w:p>
    <w:p>
      <w:pPr>
        <w:spacing w:line="163" w:lineRule="exact" w:before="0"/>
        <w:ind w:left="914" w:right="0" w:firstLine="0"/>
        <w:jc w:val="left"/>
        <w:rPr>
          <w:rFonts w:ascii="Cambria Math"/>
          <w:sz w:val="14"/>
        </w:rPr>
      </w:pPr>
      <w:r>
        <w:rPr>
          <w:rFonts w:ascii="Cambria Math"/>
          <w:sz w:val="17"/>
        </w:rPr>
        <w:t>1+N</w:t>
      </w:r>
      <w:r>
        <w:rPr>
          <w:rFonts w:ascii="Cambria Math"/>
          <w:spacing w:val="15"/>
          <w:sz w:val="17"/>
        </w:rPr>
        <w:t> </w:t>
      </w:r>
      <w:r>
        <w:rPr>
          <w:rFonts w:ascii="Cambria Math"/>
          <w:spacing w:val="-4"/>
          <w:sz w:val="17"/>
        </w:rPr>
        <w:t>(e)</w:t>
      </w:r>
      <w:r>
        <w:rPr>
          <w:rFonts w:ascii="Cambria Math"/>
          <w:spacing w:val="-4"/>
          <w:position w:val="5"/>
          <w:sz w:val="14"/>
        </w:rPr>
        <w:t>2</w:t>
      </w:r>
    </w:p>
    <w:p>
      <w:pPr>
        <w:pStyle w:val="BodyText"/>
        <w:spacing w:line="360" w:lineRule="auto" w:before="139"/>
        <w:ind w:left="240" w:right="1219"/>
      </w:pPr>
      <w:r>
        <w:rPr/>
        <w:t>when</w:t>
      </w:r>
      <w:r>
        <w:rPr>
          <w:spacing w:val="-10"/>
        </w:rPr>
        <w:t> </w:t>
      </w:r>
      <w:r>
        <w:rPr/>
        <w:t>n</w:t>
      </w:r>
      <w:r>
        <w:rPr>
          <w:spacing w:val="-10"/>
        </w:rPr>
        <w:t> </w:t>
      </w:r>
      <w:r>
        <w:rPr/>
        <w:t>=</w:t>
      </w:r>
      <w:r>
        <w:rPr>
          <w:spacing w:val="-10"/>
        </w:rPr>
        <w:t> </w:t>
      </w:r>
      <w:r>
        <w:rPr/>
        <w:t>sample</w:t>
      </w:r>
      <w:r>
        <w:rPr>
          <w:spacing w:val="-10"/>
        </w:rPr>
        <w:t> </w:t>
      </w:r>
      <w:r>
        <w:rPr/>
        <w:t>size N = Population size</w:t>
      </w:r>
    </w:p>
    <w:p>
      <w:pPr>
        <w:pStyle w:val="BodyText"/>
        <w:spacing w:line="360" w:lineRule="auto"/>
        <w:ind w:left="240"/>
      </w:pPr>
      <w:r>
        <w:rPr/>
        <w:t>e</w:t>
      </w:r>
      <w:r>
        <w:rPr>
          <w:vertAlign w:val="superscript"/>
        </w:rPr>
        <w:t>2</w:t>
      </w:r>
      <w:r>
        <w:rPr>
          <w:spacing w:val="-6"/>
          <w:vertAlign w:val="baseline"/>
        </w:rPr>
        <w:t> </w:t>
      </w:r>
      <w:r>
        <w:rPr>
          <w:vertAlign w:val="baseline"/>
        </w:rPr>
        <w:t>=</w:t>
      </w:r>
      <w:r>
        <w:rPr>
          <w:spacing w:val="-8"/>
          <w:vertAlign w:val="baseline"/>
        </w:rPr>
        <w:t> </w:t>
      </w:r>
      <w:r>
        <w:rPr>
          <w:vertAlign w:val="baseline"/>
        </w:rPr>
        <w:t>Margin</w:t>
      </w:r>
      <w:r>
        <w:rPr>
          <w:spacing w:val="-7"/>
          <w:vertAlign w:val="baseline"/>
        </w:rPr>
        <w:t> </w:t>
      </w:r>
      <w:r>
        <w:rPr>
          <w:vertAlign w:val="baseline"/>
        </w:rPr>
        <w:t>of</w:t>
      </w:r>
      <w:r>
        <w:rPr>
          <w:spacing w:val="-7"/>
          <w:vertAlign w:val="baseline"/>
        </w:rPr>
        <w:t> </w:t>
      </w:r>
      <w:r>
        <w:rPr>
          <w:vertAlign w:val="baseline"/>
        </w:rPr>
        <w:t>error</w:t>
      </w:r>
      <w:r>
        <w:rPr>
          <w:spacing w:val="-8"/>
          <w:vertAlign w:val="baseline"/>
        </w:rPr>
        <w:t> </w:t>
      </w:r>
      <w:r>
        <w:rPr>
          <w:vertAlign w:val="baseline"/>
        </w:rPr>
        <w:t>(assumed</w:t>
      </w:r>
      <w:r>
        <w:rPr>
          <w:spacing w:val="-7"/>
          <w:vertAlign w:val="baseline"/>
        </w:rPr>
        <w:t> </w:t>
      </w:r>
      <w:r>
        <w:rPr>
          <w:vertAlign w:val="baseline"/>
        </w:rPr>
        <w:t>5%) 1 = unity or constant</w:t>
      </w:r>
    </w:p>
    <w:p>
      <w:pPr>
        <w:pStyle w:val="BodyText"/>
        <w:tabs>
          <w:tab w:pos="1855" w:val="left" w:leader="none"/>
        </w:tabs>
        <w:spacing w:line="223" w:lineRule="exact" w:before="63"/>
        <w:ind w:left="240"/>
        <w:rPr>
          <w:rFonts w:ascii="Cambria Math"/>
        </w:rPr>
      </w:pPr>
      <w:r>
        <w:rPr/>
        <mc:AlternateContent>
          <mc:Choice Requires="wps">
            <w:drawing>
              <wp:anchor distT="0" distB="0" distL="0" distR="0" allowOverlap="1" layoutInCell="1" locked="0" behindDoc="1" simplePos="0" relativeHeight="478110720">
                <wp:simplePos x="0" y="0"/>
                <wp:positionH relativeFrom="page">
                  <wp:posOffset>1678177</wp:posOffset>
                </wp:positionH>
                <wp:positionV relativeFrom="paragraph">
                  <wp:posOffset>136466</wp:posOffset>
                </wp:positionV>
                <wp:extent cx="708660" cy="10795"/>
                <wp:effectExtent l="0" t="0" r="0" b="0"/>
                <wp:wrapNone/>
                <wp:docPr id="292" name="Graphic 292"/>
                <wp:cNvGraphicFramePr>
                  <a:graphicFrameLocks/>
                </wp:cNvGraphicFramePr>
                <a:graphic>
                  <a:graphicData uri="http://schemas.microsoft.com/office/word/2010/wordprocessingShape">
                    <wps:wsp>
                      <wps:cNvPr id="292" name="Graphic 292"/>
                      <wps:cNvSpPr/>
                      <wps:spPr>
                        <a:xfrm>
                          <a:off x="0" y="0"/>
                          <a:ext cx="708660" cy="10795"/>
                        </a:xfrm>
                        <a:custGeom>
                          <a:avLst/>
                          <a:gdLst/>
                          <a:ahLst/>
                          <a:cxnLst/>
                          <a:rect l="l" t="t" r="r" b="b"/>
                          <a:pathLst>
                            <a:path w="708660" h="10795">
                              <a:moveTo>
                                <a:pt x="708660" y="0"/>
                              </a:moveTo>
                              <a:lnTo>
                                <a:pt x="0" y="0"/>
                              </a:lnTo>
                              <a:lnTo>
                                <a:pt x="0" y="10667"/>
                              </a:lnTo>
                              <a:lnTo>
                                <a:pt x="708660" y="10667"/>
                              </a:lnTo>
                              <a:lnTo>
                                <a:pt x="7086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2.139999pt;margin-top:10.7454pt;width:55.8pt;height:.84pt;mso-position-horizontal-relative:page;mso-position-vertical-relative:paragraph;z-index:-25205760" id="docshape262" filled="true" fillcolor="#000000" stroked="false">
                <v:fill type="solid"/>
                <w10:wrap type="none"/>
              </v:rect>
            </w:pict>
          </mc:Fallback>
        </mc:AlternateContent>
      </w:r>
      <w:r>
        <w:rPr/>
        <w:t>Therefore</w:t>
      </w:r>
      <w:r>
        <w:rPr>
          <w:spacing w:val="-5"/>
        </w:rPr>
        <w:t> </w:t>
      </w:r>
      <w:r>
        <w:rPr>
          <w:spacing w:val="-10"/>
        </w:rPr>
        <w:t>=</w:t>
      </w:r>
      <w:r>
        <w:rPr/>
        <w:tab/>
      </w:r>
      <w:r>
        <w:rPr>
          <w:rFonts w:ascii="Cambria Math"/>
          <w:spacing w:val="-5"/>
          <w:vertAlign w:val="superscript"/>
        </w:rPr>
        <w:t>295</w:t>
      </w:r>
    </w:p>
    <w:p>
      <w:pPr>
        <w:spacing w:line="163" w:lineRule="exact" w:before="0"/>
        <w:ind w:left="1442" w:right="0" w:firstLine="0"/>
        <w:jc w:val="left"/>
        <w:rPr>
          <w:rFonts w:ascii="Cambria Math"/>
          <w:sz w:val="14"/>
        </w:rPr>
      </w:pPr>
      <w:r>
        <w:rPr>
          <w:rFonts w:ascii="Cambria Math"/>
          <w:sz w:val="17"/>
        </w:rPr>
        <w:t>1+288</w:t>
      </w:r>
      <w:r>
        <w:rPr>
          <w:rFonts w:ascii="Cambria Math"/>
          <w:spacing w:val="13"/>
          <w:sz w:val="17"/>
        </w:rPr>
        <w:t> </w:t>
      </w:r>
      <w:r>
        <w:rPr>
          <w:rFonts w:ascii="Cambria Math"/>
          <w:spacing w:val="-2"/>
          <w:sz w:val="17"/>
        </w:rPr>
        <w:t>(0.05)</w:t>
      </w:r>
      <w:r>
        <w:rPr>
          <w:rFonts w:ascii="Cambria Math"/>
          <w:spacing w:val="-2"/>
          <w:position w:val="5"/>
          <w:sz w:val="14"/>
        </w:rPr>
        <w:t>2</w:t>
      </w:r>
    </w:p>
    <w:p>
      <w:pPr>
        <w:spacing w:before="151"/>
        <w:ind w:left="240" w:right="0" w:firstLine="0"/>
        <w:jc w:val="left"/>
        <w:rPr>
          <w:b/>
          <w:sz w:val="24"/>
        </w:rPr>
      </w:pPr>
      <w:r>
        <w:rPr/>
        <w:br w:type="column"/>
      </w:r>
      <w:r>
        <w:rPr>
          <w:b/>
          <w:spacing w:val="-5"/>
          <w:sz w:val="24"/>
        </w:rPr>
        <w:t>(1)</w:t>
      </w:r>
    </w:p>
    <w:p>
      <w:pPr>
        <w:spacing w:after="0"/>
        <w:jc w:val="left"/>
        <w:rPr>
          <w:sz w:val="24"/>
        </w:rPr>
        <w:sectPr>
          <w:type w:val="continuous"/>
          <w:pgSz w:w="12240" w:h="15840"/>
          <w:pgMar w:header="0" w:footer="1036" w:top="1520" w:bottom="1220" w:left="1200" w:right="600"/>
          <w:cols w:num="2" w:equalWidth="0">
            <w:col w:w="3641" w:space="5421"/>
            <w:col w:w="1378"/>
          </w:cols>
        </w:sectPr>
      </w:pPr>
    </w:p>
    <w:p>
      <w:pPr>
        <w:spacing w:before="125"/>
        <w:ind w:left="23" w:right="8595" w:firstLine="0"/>
        <w:jc w:val="center"/>
        <w:rPr>
          <w:rFonts w:ascii="Cambria Math"/>
          <w:sz w:val="17"/>
        </w:rPr>
      </w:pPr>
      <w:r>
        <w:rPr/>
        <mc:AlternateContent>
          <mc:Choice Requires="wps">
            <w:drawing>
              <wp:anchor distT="0" distB="0" distL="0" distR="0" allowOverlap="1" layoutInCell="1" locked="0" behindDoc="1" simplePos="0" relativeHeight="487604736">
                <wp:simplePos x="0" y="0"/>
                <wp:positionH relativeFrom="page">
                  <wp:posOffset>914704</wp:posOffset>
                </wp:positionH>
                <wp:positionV relativeFrom="paragraph">
                  <wp:posOffset>223324</wp:posOffset>
                </wp:positionV>
                <wp:extent cx="887094" cy="10795"/>
                <wp:effectExtent l="0" t="0" r="0" b="0"/>
                <wp:wrapTopAndBottom/>
                <wp:docPr id="293" name="Graphic 293"/>
                <wp:cNvGraphicFramePr>
                  <a:graphicFrameLocks/>
                </wp:cNvGraphicFramePr>
                <a:graphic>
                  <a:graphicData uri="http://schemas.microsoft.com/office/word/2010/wordprocessingShape">
                    <wps:wsp>
                      <wps:cNvPr id="293" name="Graphic 293"/>
                      <wps:cNvSpPr/>
                      <wps:spPr>
                        <a:xfrm>
                          <a:off x="0" y="0"/>
                          <a:ext cx="887094" cy="10795"/>
                        </a:xfrm>
                        <a:custGeom>
                          <a:avLst/>
                          <a:gdLst/>
                          <a:ahLst/>
                          <a:cxnLst/>
                          <a:rect l="l" t="t" r="r" b="b"/>
                          <a:pathLst>
                            <a:path w="887094" h="10795">
                              <a:moveTo>
                                <a:pt x="886968" y="0"/>
                              </a:moveTo>
                              <a:lnTo>
                                <a:pt x="0" y="0"/>
                              </a:lnTo>
                              <a:lnTo>
                                <a:pt x="0" y="10667"/>
                              </a:lnTo>
                              <a:lnTo>
                                <a:pt x="886968" y="10667"/>
                              </a:lnTo>
                              <a:lnTo>
                                <a:pt x="8869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7.584629pt;width:69.84pt;height:.84pt;mso-position-horizontal-relative:page;mso-position-vertical-relative:paragraph;z-index:-15711744;mso-wrap-distance-left:0;mso-wrap-distance-right:0" id="docshape263" filled="true" fillcolor="#000000" stroked="false">
                <v:fill type="solid"/>
                <w10:wrap type="topAndBottom"/>
              </v:rect>
            </w:pict>
          </mc:Fallback>
        </mc:AlternateContent>
      </w:r>
      <w:r>
        <w:rPr>
          <w:rFonts w:ascii="Cambria Math"/>
          <w:spacing w:val="-5"/>
          <w:sz w:val="17"/>
        </w:rPr>
        <w:t>295</w:t>
      </w:r>
    </w:p>
    <w:p>
      <w:pPr>
        <w:spacing w:before="18"/>
        <w:ind w:left="0" w:right="8595" w:firstLine="0"/>
        <w:jc w:val="center"/>
        <w:rPr>
          <w:rFonts w:ascii="Cambria Math" w:eastAsia="Cambria Math"/>
          <w:sz w:val="17"/>
        </w:rPr>
      </w:pPr>
      <w:r>
        <w:rPr>
          <w:rFonts w:ascii="Cambria Math" w:eastAsia="Cambria Math"/>
          <w:sz w:val="17"/>
        </w:rPr>
        <w:t>1+(295</w:t>
      </w:r>
      <w:r>
        <w:rPr>
          <w:rFonts w:ascii="Cambria Math" w:eastAsia="Cambria Math"/>
          <w:spacing w:val="8"/>
          <w:sz w:val="17"/>
        </w:rPr>
        <w:t> </w:t>
      </w:r>
      <w:r>
        <w:rPr>
          <w:rFonts w:ascii="Cambria Math" w:eastAsia="Cambria Math"/>
          <w:sz w:val="17"/>
        </w:rPr>
        <w:t>𝑥</w:t>
      </w:r>
      <w:r>
        <w:rPr>
          <w:rFonts w:ascii="Cambria Math" w:eastAsia="Cambria Math"/>
          <w:spacing w:val="13"/>
          <w:sz w:val="17"/>
        </w:rPr>
        <w:t> </w:t>
      </w:r>
      <w:r>
        <w:rPr>
          <w:rFonts w:ascii="Cambria Math" w:eastAsia="Cambria Math"/>
          <w:sz w:val="17"/>
        </w:rPr>
        <w:t>0.0025</w:t>
      </w:r>
      <w:r>
        <w:rPr>
          <w:rFonts w:ascii="Cambria Math" w:eastAsia="Cambria Math"/>
          <w:spacing w:val="-19"/>
          <w:sz w:val="17"/>
        </w:rPr>
        <w:t> </w:t>
      </w:r>
      <w:r>
        <w:rPr>
          <w:rFonts w:ascii="Cambria Math" w:eastAsia="Cambria Math"/>
          <w:spacing w:val="-10"/>
          <w:sz w:val="17"/>
        </w:rPr>
        <w:t>)</w:t>
      </w:r>
    </w:p>
    <w:p>
      <w:pPr>
        <w:pStyle w:val="BodyText"/>
        <w:spacing w:before="114"/>
        <w:ind w:left="48" w:right="9090"/>
        <w:jc w:val="center"/>
        <w:rPr>
          <w:rFonts w:ascii="Cambria Math"/>
        </w:rPr>
      </w:pPr>
      <w:r>
        <w:rPr/>
        <mc:AlternateContent>
          <mc:Choice Requires="wps">
            <w:drawing>
              <wp:anchor distT="0" distB="0" distL="0" distR="0" allowOverlap="1" layoutInCell="1" locked="0" behindDoc="1" simplePos="0" relativeHeight="487605248">
                <wp:simplePos x="0" y="0"/>
                <wp:positionH relativeFrom="page">
                  <wp:posOffset>914704</wp:posOffset>
                </wp:positionH>
                <wp:positionV relativeFrom="paragraph">
                  <wp:posOffset>284161</wp:posOffset>
                </wp:positionV>
                <wp:extent cx="584200" cy="10795"/>
                <wp:effectExtent l="0" t="0" r="0" b="0"/>
                <wp:wrapTopAndBottom/>
                <wp:docPr id="294" name="Graphic 294"/>
                <wp:cNvGraphicFramePr>
                  <a:graphicFrameLocks/>
                </wp:cNvGraphicFramePr>
                <a:graphic>
                  <a:graphicData uri="http://schemas.microsoft.com/office/word/2010/wordprocessingShape">
                    <wps:wsp>
                      <wps:cNvPr id="294" name="Graphic 294"/>
                      <wps:cNvSpPr/>
                      <wps:spPr>
                        <a:xfrm>
                          <a:off x="0" y="0"/>
                          <a:ext cx="584200" cy="10795"/>
                        </a:xfrm>
                        <a:custGeom>
                          <a:avLst/>
                          <a:gdLst/>
                          <a:ahLst/>
                          <a:cxnLst/>
                          <a:rect l="l" t="t" r="r" b="b"/>
                          <a:pathLst>
                            <a:path w="584200" h="10795">
                              <a:moveTo>
                                <a:pt x="583692" y="0"/>
                              </a:moveTo>
                              <a:lnTo>
                                <a:pt x="0" y="0"/>
                              </a:lnTo>
                              <a:lnTo>
                                <a:pt x="0" y="10667"/>
                              </a:lnTo>
                              <a:lnTo>
                                <a:pt x="583692" y="10667"/>
                              </a:lnTo>
                              <a:lnTo>
                                <a:pt x="5836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2.374912pt;width:45.96pt;height:.84pt;mso-position-horizontal-relative:page;mso-position-vertical-relative:paragraph;z-index:-15711232;mso-wrap-distance-left:0;mso-wrap-distance-right:0" id="docshape264" filled="true" fillcolor="#000000" stroked="false">
                <v:fill type="solid"/>
                <w10:wrap type="topAndBottom"/>
              </v:rect>
            </w:pict>
          </mc:Fallback>
        </mc:AlternateContent>
      </w:r>
      <w:r>
        <w:rPr>
          <w:rFonts w:ascii="Cambria Math"/>
          <w:spacing w:val="-5"/>
        </w:rPr>
        <w:t>295</w:t>
      </w:r>
    </w:p>
    <w:p>
      <w:pPr>
        <w:pStyle w:val="BodyText"/>
        <w:ind w:right="9090"/>
        <w:jc w:val="center"/>
        <w:rPr>
          <w:rFonts w:ascii="Cambria Math"/>
        </w:rPr>
      </w:pPr>
      <w:r>
        <w:rPr>
          <w:rFonts w:ascii="Cambria Math"/>
        </w:rPr>
        <w:t>1</w:t>
      </w:r>
      <w:r>
        <w:rPr>
          <w:rFonts w:ascii="Cambria Math"/>
          <w:spacing w:val="1"/>
        </w:rPr>
        <w:t> </w:t>
      </w:r>
      <w:r>
        <w:rPr>
          <w:rFonts w:ascii="Cambria Math"/>
        </w:rPr>
        <w:t>+ </w:t>
      </w:r>
      <w:r>
        <w:rPr>
          <w:rFonts w:ascii="Cambria Math"/>
          <w:spacing w:val="-4"/>
        </w:rPr>
        <w:t>0.74</w:t>
      </w:r>
    </w:p>
    <w:p>
      <w:pPr>
        <w:spacing w:after="0"/>
        <w:jc w:val="center"/>
        <w:rPr>
          <w:rFonts w:ascii="Cambria Math"/>
        </w:rPr>
        <w:sectPr>
          <w:type w:val="continuous"/>
          <w:pgSz w:w="12240" w:h="15840"/>
          <w:pgMar w:header="0" w:footer="1036" w:top="1520" w:bottom="1220" w:left="1200" w:right="600"/>
        </w:sectPr>
      </w:pPr>
    </w:p>
    <w:p>
      <w:pPr>
        <w:spacing w:before="70"/>
        <w:ind w:left="278" w:right="0" w:firstLine="0"/>
        <w:jc w:val="left"/>
        <w:rPr>
          <w:rFonts w:ascii="Cambria Math"/>
          <w:sz w:val="17"/>
        </w:rPr>
      </w:pPr>
      <w:r>
        <w:rPr>
          <w:rFonts w:ascii="Cambria Math"/>
          <w:spacing w:val="-5"/>
          <w:sz w:val="17"/>
        </w:rPr>
        <w:t>295</w:t>
      </w:r>
    </w:p>
    <w:p>
      <w:pPr>
        <w:pStyle w:val="BodyText"/>
        <w:spacing w:before="4"/>
        <w:rPr>
          <w:rFonts w:ascii="Cambria Math"/>
          <w:sz w:val="2"/>
        </w:rPr>
      </w:pPr>
    </w:p>
    <w:p>
      <w:pPr>
        <w:pStyle w:val="BodyText"/>
        <w:spacing w:line="20" w:lineRule="exact"/>
        <w:ind w:left="240" w:right="-72"/>
        <w:rPr>
          <w:rFonts w:ascii="Cambria Math"/>
          <w:sz w:val="2"/>
        </w:rPr>
      </w:pPr>
      <w:r>
        <w:rPr>
          <w:rFonts w:ascii="Cambria Math"/>
          <w:sz w:val="2"/>
        </w:rPr>
        <mc:AlternateContent>
          <mc:Choice Requires="wps">
            <w:drawing>
              <wp:inline distT="0" distB="0" distL="0" distR="0">
                <wp:extent cx="233679" cy="10795"/>
                <wp:effectExtent l="0" t="0" r="0" b="0"/>
                <wp:docPr id="295" name="Group 295"/>
                <wp:cNvGraphicFramePr>
                  <a:graphicFrameLocks/>
                </wp:cNvGraphicFramePr>
                <a:graphic>
                  <a:graphicData uri="http://schemas.microsoft.com/office/word/2010/wordprocessingGroup">
                    <wpg:wgp>
                      <wpg:cNvPr id="295" name="Group 295"/>
                      <wpg:cNvGrpSpPr/>
                      <wpg:grpSpPr>
                        <a:xfrm>
                          <a:off x="0" y="0"/>
                          <a:ext cx="233679" cy="10795"/>
                          <a:chExt cx="233679" cy="10795"/>
                        </a:xfrm>
                      </wpg:grpSpPr>
                      <wps:wsp>
                        <wps:cNvPr id="296" name="Graphic 296"/>
                        <wps:cNvSpPr/>
                        <wps:spPr>
                          <a:xfrm>
                            <a:off x="0" y="0"/>
                            <a:ext cx="233679" cy="10795"/>
                          </a:xfrm>
                          <a:custGeom>
                            <a:avLst/>
                            <a:gdLst/>
                            <a:ahLst/>
                            <a:cxnLst/>
                            <a:rect l="l" t="t" r="r" b="b"/>
                            <a:pathLst>
                              <a:path w="233679" h="10795">
                                <a:moveTo>
                                  <a:pt x="233172" y="0"/>
                                </a:moveTo>
                                <a:lnTo>
                                  <a:pt x="0" y="0"/>
                                </a:lnTo>
                                <a:lnTo>
                                  <a:pt x="0" y="10668"/>
                                </a:lnTo>
                                <a:lnTo>
                                  <a:pt x="233172" y="10668"/>
                                </a:lnTo>
                                <a:lnTo>
                                  <a:pt x="2331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8.4pt;height:.85pt;mso-position-horizontal-relative:char;mso-position-vertical-relative:line" id="docshapegroup265" coordorigin="0,0" coordsize="368,17">
                <v:rect style="position:absolute;left:0;top:0;width:368;height:17" id="docshape266" filled="true" fillcolor="#000000" stroked="false">
                  <v:fill type="solid"/>
                </v:rect>
              </v:group>
            </w:pict>
          </mc:Fallback>
        </mc:AlternateContent>
      </w:r>
      <w:r>
        <w:rPr>
          <w:rFonts w:ascii="Cambria Math"/>
          <w:sz w:val="2"/>
        </w:rPr>
      </w:r>
    </w:p>
    <w:p>
      <w:pPr>
        <w:spacing w:before="15"/>
        <w:ind w:left="240" w:right="0" w:firstLine="0"/>
        <w:jc w:val="left"/>
        <w:rPr>
          <w:rFonts w:ascii="Cambria Math"/>
          <w:sz w:val="17"/>
        </w:rPr>
      </w:pPr>
      <w:r>
        <w:rPr>
          <w:rFonts w:ascii="Cambria Math"/>
          <w:spacing w:val="-4"/>
          <w:sz w:val="17"/>
        </w:rPr>
        <w:t>1.74</w:t>
      </w:r>
    </w:p>
    <w:p>
      <w:pPr>
        <w:pStyle w:val="BodyText"/>
        <w:spacing w:before="149"/>
        <w:ind w:left="240"/>
      </w:pPr>
      <w:r>
        <w:rPr/>
        <w:br w:type="column"/>
      </w:r>
      <w:r>
        <w:rPr/>
        <w:t>=</w:t>
      </w:r>
      <w:r>
        <w:rPr>
          <w:spacing w:val="-1"/>
        </w:rPr>
        <w:t> </w:t>
      </w:r>
      <w:r>
        <w:rPr>
          <w:spacing w:val="-5"/>
        </w:rPr>
        <w:t>170</w:t>
      </w:r>
    </w:p>
    <w:p>
      <w:pPr>
        <w:spacing w:after="0"/>
        <w:sectPr>
          <w:type w:val="continuous"/>
          <w:pgSz w:w="12240" w:h="15840"/>
          <w:pgMar w:header="0" w:footer="1036" w:top="1520" w:bottom="1220" w:left="1200" w:right="600"/>
          <w:cols w:num="2" w:equalWidth="0">
            <w:col w:w="603" w:space="117"/>
            <w:col w:w="9720"/>
          </w:cols>
        </w:sectPr>
      </w:pPr>
    </w:p>
    <w:p>
      <w:pPr>
        <w:pStyle w:val="BodyText"/>
        <w:spacing w:before="273"/>
      </w:pPr>
    </w:p>
    <w:p>
      <w:pPr>
        <w:pStyle w:val="BodyText"/>
        <w:spacing w:line="362" w:lineRule="auto" w:before="1"/>
        <w:ind w:left="240" w:right="840"/>
      </w:pPr>
      <w:r>
        <w:rPr/>
        <w:t>The</w:t>
      </w:r>
      <w:r>
        <w:rPr>
          <w:spacing w:val="40"/>
        </w:rPr>
        <w:t> </w:t>
      </w:r>
      <w:r>
        <w:rPr/>
        <w:t>sample</w:t>
      </w:r>
      <w:r>
        <w:rPr>
          <w:spacing w:val="40"/>
        </w:rPr>
        <w:t> </w:t>
      </w:r>
      <w:r>
        <w:rPr/>
        <w:t>size</w:t>
      </w:r>
      <w:r>
        <w:rPr>
          <w:spacing w:val="40"/>
        </w:rPr>
        <w:t> </w:t>
      </w:r>
      <w:r>
        <w:rPr/>
        <w:t>of</w:t>
      </w:r>
      <w:r>
        <w:rPr>
          <w:spacing w:val="40"/>
        </w:rPr>
        <w:t> </w:t>
      </w:r>
      <w:r>
        <w:rPr/>
        <w:t>170</w:t>
      </w:r>
      <w:r>
        <w:rPr>
          <w:spacing w:val="40"/>
        </w:rPr>
        <w:t> </w:t>
      </w:r>
      <w:r>
        <w:rPr/>
        <w:t>professionals</w:t>
      </w:r>
      <w:r>
        <w:rPr>
          <w:spacing w:val="40"/>
        </w:rPr>
        <w:t> </w:t>
      </w:r>
      <w:r>
        <w:rPr/>
        <w:t>was</w:t>
      </w:r>
      <w:r>
        <w:rPr>
          <w:spacing w:val="40"/>
        </w:rPr>
        <w:t> </w:t>
      </w:r>
      <w:r>
        <w:rPr/>
        <w:t>thus</w:t>
      </w:r>
      <w:r>
        <w:rPr>
          <w:spacing w:val="40"/>
        </w:rPr>
        <w:t> </w:t>
      </w:r>
      <w:r>
        <w:rPr/>
        <w:t>adopted</w:t>
      </w:r>
      <w:r>
        <w:rPr>
          <w:spacing w:val="40"/>
        </w:rPr>
        <w:t> </w:t>
      </w:r>
      <w:r>
        <w:rPr/>
        <w:t>for</w:t>
      </w:r>
      <w:r>
        <w:rPr>
          <w:spacing w:val="40"/>
        </w:rPr>
        <w:t> </w:t>
      </w:r>
      <w:r>
        <w:rPr/>
        <w:t>this</w:t>
      </w:r>
      <w:r>
        <w:rPr>
          <w:spacing w:val="40"/>
        </w:rPr>
        <w:t> </w:t>
      </w:r>
      <w:r>
        <w:rPr/>
        <w:t>study.</w:t>
      </w:r>
      <w:r>
        <w:rPr>
          <w:spacing w:val="66"/>
        </w:rPr>
        <w:t> </w:t>
      </w:r>
      <w:r>
        <w:rPr/>
        <w:t>Sequel</w:t>
      </w:r>
      <w:r>
        <w:rPr>
          <w:spacing w:val="40"/>
        </w:rPr>
        <w:t> </w:t>
      </w:r>
      <w:r>
        <w:rPr/>
        <w:t>to</w:t>
      </w:r>
      <w:r>
        <w:rPr>
          <w:spacing w:val="40"/>
        </w:rPr>
        <w:t> </w:t>
      </w:r>
      <w:r>
        <w:rPr/>
        <w:t>this,</w:t>
      </w:r>
      <w:r>
        <w:rPr>
          <w:spacing w:val="40"/>
        </w:rPr>
        <w:t> </w:t>
      </w:r>
      <w:r>
        <w:rPr/>
        <w:t>the</w:t>
      </w:r>
      <w:r>
        <w:rPr>
          <w:spacing w:val="80"/>
        </w:rPr>
        <w:t> </w:t>
      </w:r>
      <w:r>
        <w:rPr/>
        <w:t>questionnaire was distributed as indicated in Table 4.1.</w:t>
      </w:r>
    </w:p>
    <w:p>
      <w:pPr>
        <w:spacing w:after="0" w:line="362" w:lineRule="auto"/>
        <w:sectPr>
          <w:type w:val="continuous"/>
          <w:pgSz w:w="12240" w:h="15840"/>
          <w:pgMar w:header="0" w:footer="1036" w:top="1520" w:bottom="1220" w:left="1200" w:right="600"/>
        </w:sectPr>
      </w:pPr>
    </w:p>
    <w:p>
      <w:pPr>
        <w:spacing w:before="74"/>
        <w:ind w:left="240" w:right="0" w:firstLine="0"/>
        <w:jc w:val="left"/>
        <w:rPr>
          <w:sz w:val="24"/>
        </w:rPr>
      </w:pPr>
      <w:r>
        <w:rPr>
          <w:b/>
          <w:sz w:val="24"/>
        </w:rPr>
        <w:t>Table</w:t>
      </w:r>
      <w:r>
        <w:rPr>
          <w:b/>
          <w:spacing w:val="-1"/>
          <w:sz w:val="24"/>
        </w:rPr>
        <w:t> </w:t>
      </w:r>
      <w:r>
        <w:rPr>
          <w:b/>
          <w:sz w:val="24"/>
        </w:rPr>
        <w:t>4.1.</w:t>
      </w:r>
      <w:r>
        <w:rPr>
          <w:b/>
          <w:spacing w:val="-2"/>
          <w:sz w:val="24"/>
        </w:rPr>
        <w:t> </w:t>
      </w:r>
      <w:r>
        <w:rPr>
          <w:sz w:val="24"/>
        </w:rPr>
        <w:t>Distribution</w:t>
      </w:r>
      <w:r>
        <w:rPr>
          <w:spacing w:val="-1"/>
          <w:sz w:val="24"/>
        </w:rPr>
        <w:t> </w:t>
      </w:r>
      <w:r>
        <w:rPr>
          <w:sz w:val="24"/>
        </w:rPr>
        <w:t>of </w:t>
      </w:r>
      <w:r>
        <w:rPr>
          <w:spacing w:val="-2"/>
          <w:sz w:val="24"/>
        </w:rPr>
        <w:t>Questionnaire</w:t>
      </w:r>
    </w:p>
    <w:p>
      <w:pPr>
        <w:pStyle w:val="BodyText"/>
        <w:spacing w:before="5"/>
        <w:rPr>
          <w:sz w:val="12"/>
        </w:rPr>
      </w:pPr>
    </w:p>
    <w:tbl>
      <w:tblPr>
        <w:tblW w:w="0" w:type="auto"/>
        <w:jc w:val="left"/>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0"/>
        <w:gridCol w:w="812"/>
        <w:gridCol w:w="900"/>
        <w:gridCol w:w="989"/>
        <w:gridCol w:w="1081"/>
        <w:gridCol w:w="992"/>
        <w:gridCol w:w="990"/>
        <w:gridCol w:w="812"/>
      </w:tblGrid>
      <w:tr>
        <w:trPr>
          <w:trHeight w:val="254" w:hRule="atLeast"/>
        </w:trPr>
        <w:tc>
          <w:tcPr>
            <w:tcW w:w="2160" w:type="dxa"/>
            <w:vMerge w:val="restart"/>
          </w:tcPr>
          <w:p>
            <w:pPr>
              <w:pStyle w:val="TableParagraph"/>
              <w:spacing w:before="1"/>
              <w:ind w:left="107"/>
              <w:rPr>
                <w:b/>
                <w:sz w:val="22"/>
              </w:rPr>
            </w:pPr>
            <w:r>
              <w:rPr>
                <w:b/>
                <w:spacing w:val="-2"/>
                <w:sz w:val="22"/>
              </w:rPr>
              <w:t>Professionals</w:t>
            </w:r>
          </w:p>
        </w:tc>
        <w:tc>
          <w:tcPr>
            <w:tcW w:w="6576" w:type="dxa"/>
            <w:gridSpan w:val="7"/>
          </w:tcPr>
          <w:p>
            <w:pPr>
              <w:pStyle w:val="TableParagraph"/>
              <w:spacing w:line="233" w:lineRule="exact" w:before="1"/>
              <w:jc w:val="center"/>
              <w:rPr>
                <w:b/>
                <w:sz w:val="22"/>
              </w:rPr>
            </w:pPr>
            <w:r>
              <w:rPr>
                <w:b/>
                <w:sz w:val="22"/>
              </w:rPr>
              <w:t>Organizations</w:t>
            </w:r>
            <w:r>
              <w:rPr>
                <w:b/>
                <w:spacing w:val="-6"/>
                <w:sz w:val="22"/>
              </w:rPr>
              <w:t> </w:t>
            </w:r>
            <w:r>
              <w:rPr>
                <w:b/>
                <w:sz w:val="22"/>
              </w:rPr>
              <w:t>(Ministries</w:t>
            </w:r>
            <w:r>
              <w:rPr>
                <w:b/>
                <w:spacing w:val="-6"/>
                <w:sz w:val="22"/>
              </w:rPr>
              <w:t> </w:t>
            </w:r>
            <w:r>
              <w:rPr>
                <w:b/>
                <w:sz w:val="22"/>
              </w:rPr>
              <w:t>and</w:t>
            </w:r>
            <w:r>
              <w:rPr>
                <w:b/>
                <w:spacing w:val="-6"/>
                <w:sz w:val="22"/>
              </w:rPr>
              <w:t> </w:t>
            </w:r>
            <w:r>
              <w:rPr>
                <w:b/>
                <w:spacing w:val="-2"/>
                <w:sz w:val="22"/>
              </w:rPr>
              <w:t>Parastatals)</w:t>
            </w:r>
          </w:p>
        </w:tc>
      </w:tr>
      <w:tr>
        <w:trPr>
          <w:trHeight w:val="253" w:hRule="atLeast"/>
        </w:trPr>
        <w:tc>
          <w:tcPr>
            <w:tcW w:w="2160" w:type="dxa"/>
            <w:vMerge/>
            <w:tcBorders>
              <w:top w:val="nil"/>
            </w:tcBorders>
          </w:tcPr>
          <w:p>
            <w:pPr>
              <w:rPr>
                <w:sz w:val="2"/>
                <w:szCs w:val="2"/>
              </w:rPr>
            </w:pPr>
          </w:p>
        </w:tc>
        <w:tc>
          <w:tcPr>
            <w:tcW w:w="812" w:type="dxa"/>
          </w:tcPr>
          <w:p>
            <w:pPr>
              <w:pStyle w:val="TableParagraph"/>
              <w:spacing w:line="234" w:lineRule="exact"/>
              <w:ind w:left="107"/>
              <w:rPr>
                <w:b/>
                <w:sz w:val="22"/>
              </w:rPr>
            </w:pPr>
            <w:r>
              <w:rPr>
                <w:b/>
                <w:spacing w:val="-5"/>
                <w:sz w:val="22"/>
              </w:rPr>
              <w:t>MH</w:t>
            </w:r>
          </w:p>
        </w:tc>
        <w:tc>
          <w:tcPr>
            <w:tcW w:w="900" w:type="dxa"/>
          </w:tcPr>
          <w:p>
            <w:pPr>
              <w:pStyle w:val="TableParagraph"/>
              <w:spacing w:line="234" w:lineRule="exact"/>
              <w:ind w:left="105"/>
              <w:rPr>
                <w:b/>
                <w:sz w:val="22"/>
              </w:rPr>
            </w:pPr>
            <w:r>
              <w:rPr>
                <w:b/>
                <w:spacing w:val="-4"/>
                <w:sz w:val="22"/>
              </w:rPr>
              <w:t>MBEP</w:t>
            </w:r>
          </w:p>
        </w:tc>
        <w:tc>
          <w:tcPr>
            <w:tcW w:w="989" w:type="dxa"/>
          </w:tcPr>
          <w:p>
            <w:pPr>
              <w:pStyle w:val="TableParagraph"/>
              <w:spacing w:line="234" w:lineRule="exact"/>
              <w:ind w:left="105"/>
              <w:rPr>
                <w:b/>
                <w:sz w:val="22"/>
              </w:rPr>
            </w:pPr>
            <w:r>
              <w:rPr>
                <w:b/>
                <w:spacing w:val="-2"/>
                <w:sz w:val="22"/>
              </w:rPr>
              <w:t>ASHDC</w:t>
            </w:r>
          </w:p>
        </w:tc>
        <w:tc>
          <w:tcPr>
            <w:tcW w:w="1081" w:type="dxa"/>
          </w:tcPr>
          <w:p>
            <w:pPr>
              <w:pStyle w:val="TableParagraph"/>
              <w:spacing w:line="234" w:lineRule="exact"/>
              <w:ind w:left="107"/>
              <w:rPr>
                <w:b/>
                <w:sz w:val="22"/>
              </w:rPr>
            </w:pPr>
            <w:r>
              <w:rPr>
                <w:b/>
                <w:spacing w:val="-4"/>
                <w:sz w:val="22"/>
              </w:rPr>
              <w:t>ACDA</w:t>
            </w:r>
          </w:p>
        </w:tc>
        <w:tc>
          <w:tcPr>
            <w:tcW w:w="992" w:type="dxa"/>
          </w:tcPr>
          <w:p>
            <w:pPr>
              <w:pStyle w:val="TableParagraph"/>
              <w:spacing w:line="234" w:lineRule="exact"/>
              <w:ind w:left="106"/>
              <w:rPr>
                <w:b/>
                <w:sz w:val="22"/>
              </w:rPr>
            </w:pPr>
            <w:r>
              <w:rPr>
                <w:b/>
                <w:spacing w:val="-4"/>
                <w:sz w:val="22"/>
              </w:rPr>
              <w:t>APPB</w:t>
            </w:r>
          </w:p>
        </w:tc>
        <w:tc>
          <w:tcPr>
            <w:tcW w:w="990" w:type="dxa"/>
          </w:tcPr>
          <w:p>
            <w:pPr>
              <w:pStyle w:val="TableParagraph"/>
              <w:spacing w:line="234" w:lineRule="exact"/>
              <w:ind w:left="103"/>
              <w:rPr>
                <w:b/>
                <w:sz w:val="22"/>
              </w:rPr>
            </w:pPr>
            <w:r>
              <w:rPr>
                <w:b/>
                <w:spacing w:val="-2"/>
                <w:sz w:val="22"/>
              </w:rPr>
              <w:t>Total</w:t>
            </w:r>
          </w:p>
        </w:tc>
        <w:tc>
          <w:tcPr>
            <w:tcW w:w="812" w:type="dxa"/>
          </w:tcPr>
          <w:p>
            <w:pPr>
              <w:pStyle w:val="TableParagraph"/>
              <w:spacing w:line="234" w:lineRule="exact"/>
              <w:ind w:left="105"/>
              <w:rPr>
                <w:b/>
                <w:sz w:val="22"/>
              </w:rPr>
            </w:pPr>
            <w:r>
              <w:rPr>
                <w:b/>
                <w:spacing w:val="-10"/>
                <w:sz w:val="22"/>
              </w:rPr>
              <w:t>%</w:t>
            </w:r>
          </w:p>
        </w:tc>
      </w:tr>
      <w:tr>
        <w:trPr>
          <w:trHeight w:val="251" w:hRule="atLeast"/>
        </w:trPr>
        <w:tc>
          <w:tcPr>
            <w:tcW w:w="2160" w:type="dxa"/>
          </w:tcPr>
          <w:p>
            <w:pPr>
              <w:pStyle w:val="TableParagraph"/>
              <w:spacing w:line="232" w:lineRule="exact"/>
              <w:ind w:left="107"/>
              <w:rPr>
                <w:sz w:val="22"/>
              </w:rPr>
            </w:pPr>
            <w:r>
              <w:rPr>
                <w:sz w:val="22"/>
              </w:rPr>
              <w:t>Quantity</w:t>
            </w:r>
            <w:r>
              <w:rPr>
                <w:spacing w:val="-6"/>
                <w:sz w:val="22"/>
              </w:rPr>
              <w:t> </w:t>
            </w:r>
            <w:r>
              <w:rPr>
                <w:spacing w:val="-2"/>
                <w:sz w:val="22"/>
              </w:rPr>
              <w:t>Surveyors</w:t>
            </w:r>
          </w:p>
        </w:tc>
        <w:tc>
          <w:tcPr>
            <w:tcW w:w="812" w:type="dxa"/>
          </w:tcPr>
          <w:p>
            <w:pPr>
              <w:pStyle w:val="TableParagraph"/>
              <w:spacing w:line="232" w:lineRule="exact"/>
              <w:ind w:left="107"/>
              <w:rPr>
                <w:sz w:val="22"/>
              </w:rPr>
            </w:pPr>
            <w:r>
              <w:rPr>
                <w:spacing w:val="-5"/>
                <w:sz w:val="22"/>
              </w:rPr>
              <w:t>10</w:t>
            </w:r>
          </w:p>
        </w:tc>
        <w:tc>
          <w:tcPr>
            <w:tcW w:w="900" w:type="dxa"/>
          </w:tcPr>
          <w:p>
            <w:pPr>
              <w:pStyle w:val="TableParagraph"/>
              <w:rPr>
                <w:sz w:val="18"/>
              </w:rPr>
            </w:pPr>
          </w:p>
        </w:tc>
        <w:tc>
          <w:tcPr>
            <w:tcW w:w="989" w:type="dxa"/>
          </w:tcPr>
          <w:p>
            <w:pPr>
              <w:pStyle w:val="TableParagraph"/>
              <w:spacing w:line="232" w:lineRule="exact"/>
              <w:ind w:left="105"/>
              <w:rPr>
                <w:sz w:val="22"/>
              </w:rPr>
            </w:pPr>
            <w:r>
              <w:rPr>
                <w:spacing w:val="-10"/>
                <w:sz w:val="22"/>
              </w:rPr>
              <w:t>5</w:t>
            </w:r>
          </w:p>
        </w:tc>
        <w:tc>
          <w:tcPr>
            <w:tcW w:w="1081" w:type="dxa"/>
          </w:tcPr>
          <w:p>
            <w:pPr>
              <w:pStyle w:val="TableParagraph"/>
              <w:spacing w:line="232" w:lineRule="exact"/>
              <w:ind w:left="107"/>
              <w:rPr>
                <w:sz w:val="22"/>
              </w:rPr>
            </w:pPr>
            <w:r>
              <w:rPr>
                <w:spacing w:val="-10"/>
                <w:sz w:val="22"/>
              </w:rPr>
              <w:t>2</w:t>
            </w:r>
          </w:p>
        </w:tc>
        <w:tc>
          <w:tcPr>
            <w:tcW w:w="992" w:type="dxa"/>
          </w:tcPr>
          <w:p>
            <w:pPr>
              <w:pStyle w:val="TableParagraph"/>
              <w:spacing w:line="232" w:lineRule="exact"/>
              <w:ind w:left="106"/>
              <w:rPr>
                <w:sz w:val="22"/>
              </w:rPr>
            </w:pPr>
            <w:r>
              <w:rPr>
                <w:spacing w:val="-10"/>
                <w:sz w:val="22"/>
              </w:rPr>
              <w:t>9</w:t>
            </w:r>
          </w:p>
        </w:tc>
        <w:tc>
          <w:tcPr>
            <w:tcW w:w="990" w:type="dxa"/>
          </w:tcPr>
          <w:p>
            <w:pPr>
              <w:pStyle w:val="TableParagraph"/>
              <w:spacing w:line="232" w:lineRule="exact"/>
              <w:ind w:left="103"/>
              <w:rPr>
                <w:sz w:val="22"/>
              </w:rPr>
            </w:pPr>
            <w:r>
              <w:rPr>
                <w:spacing w:val="-5"/>
                <w:sz w:val="22"/>
              </w:rPr>
              <w:t>26</w:t>
            </w:r>
          </w:p>
        </w:tc>
        <w:tc>
          <w:tcPr>
            <w:tcW w:w="812" w:type="dxa"/>
          </w:tcPr>
          <w:p>
            <w:pPr>
              <w:pStyle w:val="TableParagraph"/>
              <w:spacing w:line="232" w:lineRule="exact"/>
              <w:ind w:left="105"/>
              <w:rPr>
                <w:sz w:val="22"/>
              </w:rPr>
            </w:pPr>
            <w:r>
              <w:rPr>
                <w:spacing w:val="-5"/>
                <w:sz w:val="22"/>
              </w:rPr>
              <w:t>15</w:t>
            </w:r>
          </w:p>
        </w:tc>
      </w:tr>
      <w:tr>
        <w:trPr>
          <w:trHeight w:val="254" w:hRule="atLeast"/>
        </w:trPr>
        <w:tc>
          <w:tcPr>
            <w:tcW w:w="2160" w:type="dxa"/>
          </w:tcPr>
          <w:p>
            <w:pPr>
              <w:pStyle w:val="TableParagraph"/>
              <w:spacing w:line="234" w:lineRule="exact"/>
              <w:ind w:left="107"/>
              <w:rPr>
                <w:sz w:val="22"/>
              </w:rPr>
            </w:pPr>
            <w:r>
              <w:rPr>
                <w:spacing w:val="-2"/>
                <w:sz w:val="22"/>
              </w:rPr>
              <w:t>Builders</w:t>
            </w:r>
          </w:p>
        </w:tc>
        <w:tc>
          <w:tcPr>
            <w:tcW w:w="812" w:type="dxa"/>
          </w:tcPr>
          <w:p>
            <w:pPr>
              <w:pStyle w:val="TableParagraph"/>
              <w:spacing w:line="234" w:lineRule="exact"/>
              <w:ind w:left="107"/>
              <w:rPr>
                <w:sz w:val="22"/>
              </w:rPr>
            </w:pPr>
            <w:r>
              <w:rPr>
                <w:spacing w:val="-5"/>
                <w:sz w:val="22"/>
              </w:rPr>
              <w:t>10</w:t>
            </w:r>
          </w:p>
        </w:tc>
        <w:tc>
          <w:tcPr>
            <w:tcW w:w="900" w:type="dxa"/>
          </w:tcPr>
          <w:p>
            <w:pPr>
              <w:pStyle w:val="TableParagraph"/>
              <w:rPr>
                <w:sz w:val="18"/>
              </w:rPr>
            </w:pPr>
          </w:p>
        </w:tc>
        <w:tc>
          <w:tcPr>
            <w:tcW w:w="989" w:type="dxa"/>
          </w:tcPr>
          <w:p>
            <w:pPr>
              <w:pStyle w:val="TableParagraph"/>
              <w:rPr>
                <w:sz w:val="18"/>
              </w:rPr>
            </w:pPr>
          </w:p>
        </w:tc>
        <w:tc>
          <w:tcPr>
            <w:tcW w:w="1081" w:type="dxa"/>
          </w:tcPr>
          <w:p>
            <w:pPr>
              <w:pStyle w:val="TableParagraph"/>
              <w:spacing w:line="234" w:lineRule="exact"/>
              <w:ind w:left="107"/>
              <w:rPr>
                <w:sz w:val="22"/>
              </w:rPr>
            </w:pPr>
            <w:r>
              <w:rPr>
                <w:spacing w:val="-10"/>
                <w:sz w:val="22"/>
              </w:rPr>
              <w:t>2</w:t>
            </w:r>
          </w:p>
        </w:tc>
        <w:tc>
          <w:tcPr>
            <w:tcW w:w="992" w:type="dxa"/>
          </w:tcPr>
          <w:p>
            <w:pPr>
              <w:pStyle w:val="TableParagraph"/>
              <w:spacing w:line="234" w:lineRule="exact"/>
              <w:ind w:left="106"/>
              <w:rPr>
                <w:sz w:val="22"/>
              </w:rPr>
            </w:pPr>
            <w:r>
              <w:rPr>
                <w:spacing w:val="-10"/>
                <w:sz w:val="22"/>
              </w:rPr>
              <w:t>3</w:t>
            </w:r>
          </w:p>
        </w:tc>
        <w:tc>
          <w:tcPr>
            <w:tcW w:w="990" w:type="dxa"/>
          </w:tcPr>
          <w:p>
            <w:pPr>
              <w:pStyle w:val="TableParagraph"/>
              <w:spacing w:line="234" w:lineRule="exact"/>
              <w:ind w:left="103"/>
              <w:rPr>
                <w:sz w:val="22"/>
              </w:rPr>
            </w:pPr>
            <w:r>
              <w:rPr>
                <w:spacing w:val="-5"/>
                <w:sz w:val="22"/>
              </w:rPr>
              <w:t>15</w:t>
            </w:r>
          </w:p>
        </w:tc>
        <w:tc>
          <w:tcPr>
            <w:tcW w:w="812" w:type="dxa"/>
          </w:tcPr>
          <w:p>
            <w:pPr>
              <w:pStyle w:val="TableParagraph"/>
              <w:spacing w:line="234" w:lineRule="exact"/>
              <w:ind w:left="105"/>
              <w:rPr>
                <w:sz w:val="22"/>
              </w:rPr>
            </w:pPr>
            <w:r>
              <w:rPr>
                <w:spacing w:val="-10"/>
                <w:sz w:val="22"/>
              </w:rPr>
              <w:t>9</w:t>
            </w:r>
          </w:p>
        </w:tc>
      </w:tr>
      <w:tr>
        <w:trPr>
          <w:trHeight w:val="251" w:hRule="atLeast"/>
        </w:trPr>
        <w:tc>
          <w:tcPr>
            <w:tcW w:w="2160" w:type="dxa"/>
          </w:tcPr>
          <w:p>
            <w:pPr>
              <w:pStyle w:val="TableParagraph"/>
              <w:spacing w:line="232" w:lineRule="exact"/>
              <w:ind w:left="107"/>
              <w:rPr>
                <w:sz w:val="22"/>
              </w:rPr>
            </w:pPr>
            <w:r>
              <w:rPr>
                <w:spacing w:val="-2"/>
                <w:sz w:val="22"/>
              </w:rPr>
              <w:t>Architects</w:t>
            </w:r>
          </w:p>
        </w:tc>
        <w:tc>
          <w:tcPr>
            <w:tcW w:w="812" w:type="dxa"/>
          </w:tcPr>
          <w:p>
            <w:pPr>
              <w:pStyle w:val="TableParagraph"/>
              <w:spacing w:line="232" w:lineRule="exact"/>
              <w:ind w:left="107"/>
              <w:rPr>
                <w:sz w:val="22"/>
              </w:rPr>
            </w:pPr>
            <w:r>
              <w:rPr>
                <w:spacing w:val="-5"/>
                <w:sz w:val="22"/>
              </w:rPr>
              <w:t>10</w:t>
            </w:r>
          </w:p>
        </w:tc>
        <w:tc>
          <w:tcPr>
            <w:tcW w:w="900" w:type="dxa"/>
          </w:tcPr>
          <w:p>
            <w:pPr>
              <w:pStyle w:val="TableParagraph"/>
              <w:rPr>
                <w:sz w:val="18"/>
              </w:rPr>
            </w:pPr>
          </w:p>
        </w:tc>
        <w:tc>
          <w:tcPr>
            <w:tcW w:w="989" w:type="dxa"/>
          </w:tcPr>
          <w:p>
            <w:pPr>
              <w:pStyle w:val="TableParagraph"/>
              <w:spacing w:line="232" w:lineRule="exact"/>
              <w:ind w:left="105"/>
              <w:rPr>
                <w:sz w:val="22"/>
              </w:rPr>
            </w:pPr>
            <w:r>
              <w:rPr>
                <w:spacing w:val="-10"/>
                <w:sz w:val="22"/>
              </w:rPr>
              <w:t>5</w:t>
            </w:r>
          </w:p>
        </w:tc>
        <w:tc>
          <w:tcPr>
            <w:tcW w:w="1081" w:type="dxa"/>
          </w:tcPr>
          <w:p>
            <w:pPr>
              <w:pStyle w:val="TableParagraph"/>
              <w:spacing w:line="232" w:lineRule="exact"/>
              <w:ind w:left="107"/>
              <w:rPr>
                <w:sz w:val="22"/>
              </w:rPr>
            </w:pPr>
            <w:r>
              <w:rPr>
                <w:spacing w:val="-10"/>
                <w:sz w:val="22"/>
              </w:rPr>
              <w:t>1</w:t>
            </w:r>
          </w:p>
        </w:tc>
        <w:tc>
          <w:tcPr>
            <w:tcW w:w="992" w:type="dxa"/>
          </w:tcPr>
          <w:p>
            <w:pPr>
              <w:pStyle w:val="TableParagraph"/>
              <w:spacing w:line="232" w:lineRule="exact"/>
              <w:ind w:left="106"/>
              <w:rPr>
                <w:sz w:val="22"/>
              </w:rPr>
            </w:pPr>
            <w:r>
              <w:rPr>
                <w:spacing w:val="-10"/>
                <w:sz w:val="22"/>
              </w:rPr>
              <w:t>3</w:t>
            </w:r>
          </w:p>
        </w:tc>
        <w:tc>
          <w:tcPr>
            <w:tcW w:w="990" w:type="dxa"/>
          </w:tcPr>
          <w:p>
            <w:pPr>
              <w:pStyle w:val="TableParagraph"/>
              <w:spacing w:line="232" w:lineRule="exact"/>
              <w:ind w:left="103"/>
              <w:rPr>
                <w:sz w:val="22"/>
              </w:rPr>
            </w:pPr>
            <w:r>
              <w:rPr>
                <w:spacing w:val="-5"/>
                <w:sz w:val="22"/>
              </w:rPr>
              <w:t>19</w:t>
            </w:r>
          </w:p>
        </w:tc>
        <w:tc>
          <w:tcPr>
            <w:tcW w:w="812" w:type="dxa"/>
          </w:tcPr>
          <w:p>
            <w:pPr>
              <w:pStyle w:val="TableParagraph"/>
              <w:spacing w:line="232" w:lineRule="exact"/>
              <w:ind w:left="105"/>
              <w:rPr>
                <w:sz w:val="22"/>
              </w:rPr>
            </w:pPr>
            <w:r>
              <w:rPr>
                <w:spacing w:val="-5"/>
                <w:sz w:val="22"/>
              </w:rPr>
              <w:t>11</w:t>
            </w:r>
          </w:p>
        </w:tc>
      </w:tr>
      <w:tr>
        <w:trPr>
          <w:trHeight w:val="254" w:hRule="atLeast"/>
        </w:trPr>
        <w:tc>
          <w:tcPr>
            <w:tcW w:w="2160" w:type="dxa"/>
          </w:tcPr>
          <w:p>
            <w:pPr>
              <w:pStyle w:val="TableParagraph"/>
              <w:spacing w:line="234" w:lineRule="exact"/>
              <w:ind w:left="107"/>
              <w:rPr>
                <w:sz w:val="22"/>
              </w:rPr>
            </w:pPr>
            <w:r>
              <w:rPr>
                <w:spacing w:val="-2"/>
                <w:sz w:val="22"/>
              </w:rPr>
              <w:t>Engineers</w:t>
            </w:r>
          </w:p>
        </w:tc>
        <w:tc>
          <w:tcPr>
            <w:tcW w:w="812" w:type="dxa"/>
          </w:tcPr>
          <w:p>
            <w:pPr>
              <w:pStyle w:val="TableParagraph"/>
              <w:rPr>
                <w:sz w:val="18"/>
              </w:rPr>
            </w:pPr>
          </w:p>
        </w:tc>
        <w:tc>
          <w:tcPr>
            <w:tcW w:w="900" w:type="dxa"/>
          </w:tcPr>
          <w:p>
            <w:pPr>
              <w:pStyle w:val="TableParagraph"/>
              <w:rPr>
                <w:sz w:val="18"/>
              </w:rPr>
            </w:pPr>
          </w:p>
        </w:tc>
        <w:tc>
          <w:tcPr>
            <w:tcW w:w="989" w:type="dxa"/>
          </w:tcPr>
          <w:p>
            <w:pPr>
              <w:pStyle w:val="TableParagraph"/>
              <w:spacing w:line="234" w:lineRule="exact"/>
              <w:ind w:left="105"/>
              <w:rPr>
                <w:sz w:val="22"/>
              </w:rPr>
            </w:pPr>
            <w:r>
              <w:rPr>
                <w:spacing w:val="-10"/>
                <w:sz w:val="22"/>
              </w:rPr>
              <w:t>5</w:t>
            </w:r>
          </w:p>
        </w:tc>
        <w:tc>
          <w:tcPr>
            <w:tcW w:w="1081" w:type="dxa"/>
          </w:tcPr>
          <w:p>
            <w:pPr>
              <w:pStyle w:val="TableParagraph"/>
              <w:spacing w:line="234" w:lineRule="exact"/>
              <w:ind w:left="107"/>
              <w:rPr>
                <w:sz w:val="22"/>
              </w:rPr>
            </w:pPr>
            <w:r>
              <w:rPr>
                <w:spacing w:val="-10"/>
                <w:sz w:val="22"/>
              </w:rPr>
              <w:t>1</w:t>
            </w:r>
          </w:p>
        </w:tc>
        <w:tc>
          <w:tcPr>
            <w:tcW w:w="992" w:type="dxa"/>
          </w:tcPr>
          <w:p>
            <w:pPr>
              <w:pStyle w:val="TableParagraph"/>
              <w:spacing w:line="234" w:lineRule="exact"/>
              <w:ind w:left="106"/>
              <w:rPr>
                <w:sz w:val="22"/>
              </w:rPr>
            </w:pPr>
            <w:r>
              <w:rPr>
                <w:spacing w:val="-10"/>
                <w:sz w:val="22"/>
              </w:rPr>
              <w:t>5</w:t>
            </w:r>
          </w:p>
        </w:tc>
        <w:tc>
          <w:tcPr>
            <w:tcW w:w="990" w:type="dxa"/>
          </w:tcPr>
          <w:p>
            <w:pPr>
              <w:pStyle w:val="TableParagraph"/>
              <w:spacing w:line="234" w:lineRule="exact"/>
              <w:ind w:left="103"/>
              <w:rPr>
                <w:sz w:val="22"/>
              </w:rPr>
            </w:pPr>
            <w:r>
              <w:rPr>
                <w:spacing w:val="-5"/>
                <w:sz w:val="22"/>
              </w:rPr>
              <w:t>11</w:t>
            </w:r>
          </w:p>
        </w:tc>
        <w:tc>
          <w:tcPr>
            <w:tcW w:w="812" w:type="dxa"/>
          </w:tcPr>
          <w:p>
            <w:pPr>
              <w:pStyle w:val="TableParagraph"/>
              <w:spacing w:line="234" w:lineRule="exact"/>
              <w:ind w:left="105"/>
              <w:rPr>
                <w:sz w:val="22"/>
              </w:rPr>
            </w:pPr>
            <w:r>
              <w:rPr>
                <w:spacing w:val="-10"/>
                <w:sz w:val="22"/>
              </w:rPr>
              <w:t>7</w:t>
            </w:r>
          </w:p>
        </w:tc>
      </w:tr>
      <w:tr>
        <w:trPr>
          <w:trHeight w:val="253" w:hRule="atLeast"/>
        </w:trPr>
        <w:tc>
          <w:tcPr>
            <w:tcW w:w="2160" w:type="dxa"/>
          </w:tcPr>
          <w:p>
            <w:pPr>
              <w:pStyle w:val="TableParagraph"/>
              <w:spacing w:line="234" w:lineRule="exact"/>
              <w:ind w:left="107"/>
              <w:rPr>
                <w:sz w:val="22"/>
              </w:rPr>
            </w:pPr>
            <w:r>
              <w:rPr>
                <w:sz w:val="22"/>
              </w:rPr>
              <w:t>Estate</w:t>
            </w:r>
            <w:r>
              <w:rPr>
                <w:spacing w:val="-2"/>
                <w:sz w:val="22"/>
              </w:rPr>
              <w:t> Surveyors</w:t>
            </w:r>
          </w:p>
        </w:tc>
        <w:tc>
          <w:tcPr>
            <w:tcW w:w="812" w:type="dxa"/>
          </w:tcPr>
          <w:p>
            <w:pPr>
              <w:pStyle w:val="TableParagraph"/>
              <w:rPr>
                <w:sz w:val="18"/>
              </w:rPr>
            </w:pPr>
          </w:p>
        </w:tc>
        <w:tc>
          <w:tcPr>
            <w:tcW w:w="900" w:type="dxa"/>
          </w:tcPr>
          <w:p>
            <w:pPr>
              <w:pStyle w:val="TableParagraph"/>
              <w:rPr>
                <w:sz w:val="18"/>
              </w:rPr>
            </w:pPr>
          </w:p>
        </w:tc>
        <w:tc>
          <w:tcPr>
            <w:tcW w:w="989" w:type="dxa"/>
          </w:tcPr>
          <w:p>
            <w:pPr>
              <w:pStyle w:val="TableParagraph"/>
              <w:spacing w:line="234" w:lineRule="exact"/>
              <w:ind w:left="105"/>
              <w:rPr>
                <w:sz w:val="22"/>
              </w:rPr>
            </w:pPr>
            <w:r>
              <w:rPr>
                <w:spacing w:val="-10"/>
                <w:sz w:val="22"/>
              </w:rPr>
              <w:t>3</w:t>
            </w:r>
          </w:p>
        </w:tc>
        <w:tc>
          <w:tcPr>
            <w:tcW w:w="1081" w:type="dxa"/>
          </w:tcPr>
          <w:p>
            <w:pPr>
              <w:pStyle w:val="TableParagraph"/>
              <w:spacing w:line="234" w:lineRule="exact"/>
              <w:ind w:left="107"/>
              <w:rPr>
                <w:sz w:val="22"/>
              </w:rPr>
            </w:pPr>
            <w:r>
              <w:rPr>
                <w:spacing w:val="-10"/>
                <w:sz w:val="22"/>
              </w:rPr>
              <w:t>4</w:t>
            </w:r>
          </w:p>
        </w:tc>
        <w:tc>
          <w:tcPr>
            <w:tcW w:w="992" w:type="dxa"/>
          </w:tcPr>
          <w:p>
            <w:pPr>
              <w:pStyle w:val="TableParagraph"/>
              <w:spacing w:line="234" w:lineRule="exact"/>
              <w:ind w:left="106"/>
              <w:rPr>
                <w:sz w:val="22"/>
              </w:rPr>
            </w:pPr>
            <w:r>
              <w:rPr>
                <w:spacing w:val="-10"/>
                <w:sz w:val="22"/>
              </w:rPr>
              <w:t>9</w:t>
            </w:r>
          </w:p>
        </w:tc>
        <w:tc>
          <w:tcPr>
            <w:tcW w:w="990" w:type="dxa"/>
          </w:tcPr>
          <w:p>
            <w:pPr>
              <w:pStyle w:val="TableParagraph"/>
              <w:spacing w:line="234" w:lineRule="exact"/>
              <w:ind w:left="103"/>
              <w:rPr>
                <w:sz w:val="22"/>
              </w:rPr>
            </w:pPr>
            <w:r>
              <w:rPr>
                <w:spacing w:val="-5"/>
                <w:sz w:val="22"/>
              </w:rPr>
              <w:t>16</w:t>
            </w:r>
          </w:p>
        </w:tc>
        <w:tc>
          <w:tcPr>
            <w:tcW w:w="812" w:type="dxa"/>
          </w:tcPr>
          <w:p>
            <w:pPr>
              <w:pStyle w:val="TableParagraph"/>
              <w:spacing w:line="234" w:lineRule="exact"/>
              <w:ind w:left="105"/>
              <w:rPr>
                <w:sz w:val="22"/>
              </w:rPr>
            </w:pPr>
            <w:r>
              <w:rPr>
                <w:spacing w:val="-10"/>
                <w:sz w:val="22"/>
              </w:rPr>
              <w:t>9</w:t>
            </w:r>
          </w:p>
        </w:tc>
      </w:tr>
      <w:tr>
        <w:trPr>
          <w:trHeight w:val="251" w:hRule="atLeast"/>
        </w:trPr>
        <w:tc>
          <w:tcPr>
            <w:tcW w:w="2160" w:type="dxa"/>
          </w:tcPr>
          <w:p>
            <w:pPr>
              <w:pStyle w:val="TableParagraph"/>
              <w:spacing w:line="232" w:lineRule="exact"/>
              <w:ind w:left="107"/>
              <w:rPr>
                <w:sz w:val="22"/>
              </w:rPr>
            </w:pPr>
            <w:r>
              <w:rPr>
                <w:sz w:val="22"/>
              </w:rPr>
              <w:t>Land </w:t>
            </w:r>
            <w:r>
              <w:rPr>
                <w:spacing w:val="-2"/>
                <w:sz w:val="22"/>
              </w:rPr>
              <w:t>Surveyors</w:t>
            </w:r>
          </w:p>
        </w:tc>
        <w:tc>
          <w:tcPr>
            <w:tcW w:w="812" w:type="dxa"/>
          </w:tcPr>
          <w:p>
            <w:pPr>
              <w:pStyle w:val="TableParagraph"/>
              <w:rPr>
                <w:sz w:val="18"/>
              </w:rPr>
            </w:pPr>
          </w:p>
        </w:tc>
        <w:tc>
          <w:tcPr>
            <w:tcW w:w="900" w:type="dxa"/>
          </w:tcPr>
          <w:p>
            <w:pPr>
              <w:pStyle w:val="TableParagraph"/>
              <w:rPr>
                <w:sz w:val="18"/>
              </w:rPr>
            </w:pPr>
          </w:p>
        </w:tc>
        <w:tc>
          <w:tcPr>
            <w:tcW w:w="989" w:type="dxa"/>
          </w:tcPr>
          <w:p>
            <w:pPr>
              <w:pStyle w:val="TableParagraph"/>
              <w:spacing w:line="232" w:lineRule="exact"/>
              <w:ind w:left="105"/>
              <w:rPr>
                <w:sz w:val="22"/>
              </w:rPr>
            </w:pPr>
            <w:r>
              <w:rPr>
                <w:spacing w:val="-10"/>
                <w:sz w:val="22"/>
              </w:rPr>
              <w:t>2</w:t>
            </w:r>
          </w:p>
        </w:tc>
        <w:tc>
          <w:tcPr>
            <w:tcW w:w="1081" w:type="dxa"/>
          </w:tcPr>
          <w:p>
            <w:pPr>
              <w:pStyle w:val="TableParagraph"/>
              <w:rPr>
                <w:sz w:val="18"/>
              </w:rPr>
            </w:pPr>
          </w:p>
        </w:tc>
        <w:tc>
          <w:tcPr>
            <w:tcW w:w="992" w:type="dxa"/>
          </w:tcPr>
          <w:p>
            <w:pPr>
              <w:pStyle w:val="TableParagraph"/>
              <w:spacing w:line="232" w:lineRule="exact"/>
              <w:ind w:left="106"/>
              <w:rPr>
                <w:sz w:val="22"/>
              </w:rPr>
            </w:pPr>
            <w:r>
              <w:rPr>
                <w:spacing w:val="-10"/>
                <w:sz w:val="22"/>
              </w:rPr>
              <w:t>5</w:t>
            </w:r>
          </w:p>
        </w:tc>
        <w:tc>
          <w:tcPr>
            <w:tcW w:w="990" w:type="dxa"/>
          </w:tcPr>
          <w:p>
            <w:pPr>
              <w:pStyle w:val="TableParagraph"/>
              <w:spacing w:line="232" w:lineRule="exact"/>
              <w:ind w:left="103"/>
              <w:rPr>
                <w:sz w:val="22"/>
              </w:rPr>
            </w:pPr>
            <w:r>
              <w:rPr>
                <w:spacing w:val="-10"/>
                <w:sz w:val="22"/>
              </w:rPr>
              <w:t>7</w:t>
            </w:r>
          </w:p>
        </w:tc>
        <w:tc>
          <w:tcPr>
            <w:tcW w:w="812" w:type="dxa"/>
          </w:tcPr>
          <w:p>
            <w:pPr>
              <w:pStyle w:val="TableParagraph"/>
              <w:spacing w:line="232" w:lineRule="exact"/>
              <w:ind w:left="105"/>
              <w:rPr>
                <w:sz w:val="22"/>
              </w:rPr>
            </w:pPr>
            <w:r>
              <w:rPr>
                <w:spacing w:val="-10"/>
                <w:sz w:val="22"/>
              </w:rPr>
              <w:t>4</w:t>
            </w:r>
          </w:p>
        </w:tc>
      </w:tr>
      <w:tr>
        <w:trPr>
          <w:trHeight w:val="254" w:hRule="atLeast"/>
        </w:trPr>
        <w:tc>
          <w:tcPr>
            <w:tcW w:w="2160" w:type="dxa"/>
          </w:tcPr>
          <w:p>
            <w:pPr>
              <w:pStyle w:val="TableParagraph"/>
              <w:spacing w:line="234" w:lineRule="exact"/>
              <w:ind w:left="107"/>
              <w:rPr>
                <w:sz w:val="22"/>
              </w:rPr>
            </w:pPr>
            <w:r>
              <w:rPr>
                <w:sz w:val="22"/>
              </w:rPr>
              <w:t>Town</w:t>
            </w:r>
            <w:r>
              <w:rPr>
                <w:spacing w:val="-1"/>
                <w:sz w:val="22"/>
              </w:rPr>
              <w:t> </w:t>
            </w:r>
            <w:r>
              <w:rPr>
                <w:spacing w:val="-2"/>
                <w:sz w:val="22"/>
              </w:rPr>
              <w:t>Planners</w:t>
            </w:r>
          </w:p>
        </w:tc>
        <w:tc>
          <w:tcPr>
            <w:tcW w:w="812" w:type="dxa"/>
          </w:tcPr>
          <w:p>
            <w:pPr>
              <w:pStyle w:val="TableParagraph"/>
              <w:rPr>
                <w:sz w:val="18"/>
              </w:rPr>
            </w:pPr>
          </w:p>
        </w:tc>
        <w:tc>
          <w:tcPr>
            <w:tcW w:w="900" w:type="dxa"/>
          </w:tcPr>
          <w:p>
            <w:pPr>
              <w:pStyle w:val="TableParagraph"/>
              <w:rPr>
                <w:sz w:val="18"/>
              </w:rPr>
            </w:pPr>
          </w:p>
        </w:tc>
        <w:tc>
          <w:tcPr>
            <w:tcW w:w="989" w:type="dxa"/>
          </w:tcPr>
          <w:p>
            <w:pPr>
              <w:pStyle w:val="TableParagraph"/>
              <w:spacing w:line="234" w:lineRule="exact"/>
              <w:ind w:left="105"/>
              <w:rPr>
                <w:sz w:val="22"/>
              </w:rPr>
            </w:pPr>
            <w:r>
              <w:rPr>
                <w:spacing w:val="-10"/>
                <w:sz w:val="22"/>
              </w:rPr>
              <w:t>2</w:t>
            </w:r>
          </w:p>
        </w:tc>
        <w:tc>
          <w:tcPr>
            <w:tcW w:w="1081" w:type="dxa"/>
          </w:tcPr>
          <w:p>
            <w:pPr>
              <w:pStyle w:val="TableParagraph"/>
              <w:spacing w:line="234" w:lineRule="exact"/>
              <w:ind w:left="107"/>
              <w:rPr>
                <w:sz w:val="22"/>
              </w:rPr>
            </w:pPr>
            <w:r>
              <w:rPr>
                <w:spacing w:val="-10"/>
                <w:sz w:val="22"/>
              </w:rPr>
              <w:t>1</w:t>
            </w:r>
          </w:p>
        </w:tc>
        <w:tc>
          <w:tcPr>
            <w:tcW w:w="992" w:type="dxa"/>
          </w:tcPr>
          <w:p>
            <w:pPr>
              <w:pStyle w:val="TableParagraph"/>
              <w:spacing w:line="234" w:lineRule="exact"/>
              <w:ind w:left="106"/>
              <w:rPr>
                <w:sz w:val="22"/>
              </w:rPr>
            </w:pPr>
            <w:r>
              <w:rPr>
                <w:spacing w:val="-10"/>
                <w:sz w:val="22"/>
              </w:rPr>
              <w:t>5</w:t>
            </w:r>
          </w:p>
        </w:tc>
        <w:tc>
          <w:tcPr>
            <w:tcW w:w="990" w:type="dxa"/>
          </w:tcPr>
          <w:p>
            <w:pPr>
              <w:pStyle w:val="TableParagraph"/>
              <w:spacing w:line="234" w:lineRule="exact"/>
              <w:ind w:left="103"/>
              <w:rPr>
                <w:sz w:val="22"/>
              </w:rPr>
            </w:pPr>
            <w:r>
              <w:rPr>
                <w:spacing w:val="-10"/>
                <w:sz w:val="22"/>
              </w:rPr>
              <w:t>8</w:t>
            </w:r>
          </w:p>
        </w:tc>
        <w:tc>
          <w:tcPr>
            <w:tcW w:w="812" w:type="dxa"/>
          </w:tcPr>
          <w:p>
            <w:pPr>
              <w:pStyle w:val="TableParagraph"/>
              <w:spacing w:line="234" w:lineRule="exact"/>
              <w:ind w:left="105"/>
              <w:rPr>
                <w:sz w:val="22"/>
              </w:rPr>
            </w:pPr>
            <w:r>
              <w:rPr>
                <w:spacing w:val="-10"/>
                <w:sz w:val="22"/>
              </w:rPr>
              <w:t>5</w:t>
            </w:r>
          </w:p>
        </w:tc>
      </w:tr>
      <w:tr>
        <w:trPr>
          <w:trHeight w:val="251" w:hRule="atLeast"/>
        </w:trPr>
        <w:tc>
          <w:tcPr>
            <w:tcW w:w="2160" w:type="dxa"/>
          </w:tcPr>
          <w:p>
            <w:pPr>
              <w:pStyle w:val="TableParagraph"/>
              <w:spacing w:line="232" w:lineRule="exact"/>
              <w:ind w:left="107"/>
              <w:rPr>
                <w:sz w:val="22"/>
              </w:rPr>
            </w:pPr>
            <w:r>
              <w:rPr>
                <w:spacing w:val="-2"/>
                <w:sz w:val="22"/>
              </w:rPr>
              <w:t>Economists</w:t>
            </w:r>
          </w:p>
        </w:tc>
        <w:tc>
          <w:tcPr>
            <w:tcW w:w="812" w:type="dxa"/>
          </w:tcPr>
          <w:p>
            <w:pPr>
              <w:pStyle w:val="TableParagraph"/>
              <w:rPr>
                <w:sz w:val="18"/>
              </w:rPr>
            </w:pPr>
          </w:p>
        </w:tc>
        <w:tc>
          <w:tcPr>
            <w:tcW w:w="900" w:type="dxa"/>
          </w:tcPr>
          <w:p>
            <w:pPr>
              <w:pStyle w:val="TableParagraph"/>
              <w:spacing w:line="232" w:lineRule="exact"/>
              <w:ind w:left="105"/>
              <w:rPr>
                <w:sz w:val="22"/>
              </w:rPr>
            </w:pPr>
            <w:r>
              <w:rPr>
                <w:spacing w:val="-5"/>
                <w:sz w:val="22"/>
              </w:rPr>
              <w:t>31</w:t>
            </w:r>
          </w:p>
        </w:tc>
        <w:tc>
          <w:tcPr>
            <w:tcW w:w="989" w:type="dxa"/>
          </w:tcPr>
          <w:p>
            <w:pPr>
              <w:pStyle w:val="TableParagraph"/>
              <w:rPr>
                <w:sz w:val="18"/>
              </w:rPr>
            </w:pPr>
          </w:p>
        </w:tc>
        <w:tc>
          <w:tcPr>
            <w:tcW w:w="1081" w:type="dxa"/>
          </w:tcPr>
          <w:p>
            <w:pPr>
              <w:pStyle w:val="TableParagraph"/>
              <w:rPr>
                <w:sz w:val="18"/>
              </w:rPr>
            </w:pPr>
          </w:p>
        </w:tc>
        <w:tc>
          <w:tcPr>
            <w:tcW w:w="992" w:type="dxa"/>
          </w:tcPr>
          <w:p>
            <w:pPr>
              <w:pStyle w:val="TableParagraph"/>
              <w:rPr>
                <w:sz w:val="18"/>
              </w:rPr>
            </w:pPr>
          </w:p>
        </w:tc>
        <w:tc>
          <w:tcPr>
            <w:tcW w:w="990" w:type="dxa"/>
          </w:tcPr>
          <w:p>
            <w:pPr>
              <w:pStyle w:val="TableParagraph"/>
              <w:spacing w:line="232" w:lineRule="exact"/>
              <w:ind w:left="103"/>
              <w:rPr>
                <w:sz w:val="22"/>
              </w:rPr>
            </w:pPr>
            <w:r>
              <w:rPr>
                <w:spacing w:val="-5"/>
                <w:sz w:val="22"/>
              </w:rPr>
              <w:t>31</w:t>
            </w:r>
          </w:p>
        </w:tc>
        <w:tc>
          <w:tcPr>
            <w:tcW w:w="812" w:type="dxa"/>
          </w:tcPr>
          <w:p>
            <w:pPr>
              <w:pStyle w:val="TableParagraph"/>
              <w:spacing w:line="232" w:lineRule="exact"/>
              <w:ind w:left="105"/>
              <w:rPr>
                <w:sz w:val="22"/>
              </w:rPr>
            </w:pPr>
            <w:r>
              <w:rPr>
                <w:spacing w:val="-5"/>
                <w:sz w:val="22"/>
              </w:rPr>
              <w:t>18</w:t>
            </w:r>
          </w:p>
        </w:tc>
      </w:tr>
      <w:tr>
        <w:trPr>
          <w:trHeight w:val="254" w:hRule="atLeast"/>
        </w:trPr>
        <w:tc>
          <w:tcPr>
            <w:tcW w:w="2160" w:type="dxa"/>
          </w:tcPr>
          <w:p>
            <w:pPr>
              <w:pStyle w:val="TableParagraph"/>
              <w:spacing w:line="234" w:lineRule="exact"/>
              <w:ind w:left="107"/>
              <w:rPr>
                <w:sz w:val="22"/>
              </w:rPr>
            </w:pPr>
            <w:r>
              <w:rPr>
                <w:spacing w:val="-2"/>
                <w:sz w:val="22"/>
              </w:rPr>
              <w:t>Accountants</w:t>
            </w:r>
          </w:p>
        </w:tc>
        <w:tc>
          <w:tcPr>
            <w:tcW w:w="812" w:type="dxa"/>
          </w:tcPr>
          <w:p>
            <w:pPr>
              <w:pStyle w:val="TableParagraph"/>
              <w:rPr>
                <w:sz w:val="18"/>
              </w:rPr>
            </w:pPr>
          </w:p>
        </w:tc>
        <w:tc>
          <w:tcPr>
            <w:tcW w:w="900" w:type="dxa"/>
          </w:tcPr>
          <w:p>
            <w:pPr>
              <w:pStyle w:val="TableParagraph"/>
              <w:spacing w:line="234" w:lineRule="exact"/>
              <w:ind w:left="105"/>
              <w:rPr>
                <w:sz w:val="22"/>
              </w:rPr>
            </w:pPr>
            <w:r>
              <w:rPr>
                <w:spacing w:val="-5"/>
                <w:sz w:val="22"/>
              </w:rPr>
              <w:t>10</w:t>
            </w:r>
          </w:p>
        </w:tc>
        <w:tc>
          <w:tcPr>
            <w:tcW w:w="989" w:type="dxa"/>
          </w:tcPr>
          <w:p>
            <w:pPr>
              <w:pStyle w:val="TableParagraph"/>
              <w:spacing w:line="234" w:lineRule="exact"/>
              <w:ind w:left="105"/>
              <w:rPr>
                <w:sz w:val="22"/>
              </w:rPr>
            </w:pPr>
            <w:r>
              <w:rPr>
                <w:spacing w:val="-10"/>
                <w:sz w:val="22"/>
              </w:rPr>
              <w:t>3</w:t>
            </w:r>
          </w:p>
        </w:tc>
        <w:tc>
          <w:tcPr>
            <w:tcW w:w="1081" w:type="dxa"/>
          </w:tcPr>
          <w:p>
            <w:pPr>
              <w:pStyle w:val="TableParagraph"/>
              <w:spacing w:line="234" w:lineRule="exact"/>
              <w:ind w:left="107"/>
              <w:rPr>
                <w:sz w:val="22"/>
              </w:rPr>
            </w:pPr>
            <w:r>
              <w:rPr>
                <w:spacing w:val="-10"/>
                <w:sz w:val="22"/>
              </w:rPr>
              <w:t>2</w:t>
            </w:r>
          </w:p>
        </w:tc>
        <w:tc>
          <w:tcPr>
            <w:tcW w:w="992" w:type="dxa"/>
          </w:tcPr>
          <w:p>
            <w:pPr>
              <w:pStyle w:val="TableParagraph"/>
              <w:spacing w:line="234" w:lineRule="exact"/>
              <w:ind w:left="106"/>
              <w:rPr>
                <w:sz w:val="22"/>
              </w:rPr>
            </w:pPr>
            <w:r>
              <w:rPr>
                <w:spacing w:val="-10"/>
                <w:sz w:val="22"/>
              </w:rPr>
              <w:t>2</w:t>
            </w:r>
          </w:p>
        </w:tc>
        <w:tc>
          <w:tcPr>
            <w:tcW w:w="990" w:type="dxa"/>
          </w:tcPr>
          <w:p>
            <w:pPr>
              <w:pStyle w:val="TableParagraph"/>
              <w:spacing w:line="234" w:lineRule="exact"/>
              <w:ind w:left="103"/>
              <w:rPr>
                <w:sz w:val="22"/>
              </w:rPr>
            </w:pPr>
            <w:r>
              <w:rPr>
                <w:spacing w:val="-5"/>
                <w:sz w:val="22"/>
              </w:rPr>
              <w:t>17</w:t>
            </w:r>
          </w:p>
        </w:tc>
        <w:tc>
          <w:tcPr>
            <w:tcW w:w="812" w:type="dxa"/>
          </w:tcPr>
          <w:p>
            <w:pPr>
              <w:pStyle w:val="TableParagraph"/>
              <w:spacing w:line="234" w:lineRule="exact"/>
              <w:ind w:left="105"/>
              <w:rPr>
                <w:sz w:val="22"/>
              </w:rPr>
            </w:pPr>
            <w:r>
              <w:rPr>
                <w:spacing w:val="-5"/>
                <w:sz w:val="22"/>
              </w:rPr>
              <w:t>10</w:t>
            </w:r>
          </w:p>
        </w:tc>
      </w:tr>
      <w:tr>
        <w:trPr>
          <w:trHeight w:val="251" w:hRule="atLeast"/>
        </w:trPr>
        <w:tc>
          <w:tcPr>
            <w:tcW w:w="2160" w:type="dxa"/>
          </w:tcPr>
          <w:p>
            <w:pPr>
              <w:pStyle w:val="TableParagraph"/>
              <w:spacing w:line="232" w:lineRule="exact"/>
              <w:ind w:left="107"/>
              <w:rPr>
                <w:sz w:val="22"/>
              </w:rPr>
            </w:pPr>
            <w:r>
              <w:rPr>
                <w:sz w:val="22"/>
              </w:rPr>
              <w:t>Public</w:t>
            </w:r>
            <w:r>
              <w:rPr>
                <w:spacing w:val="-1"/>
                <w:sz w:val="22"/>
              </w:rPr>
              <w:t> </w:t>
            </w:r>
            <w:r>
              <w:rPr>
                <w:spacing w:val="-2"/>
                <w:sz w:val="22"/>
              </w:rPr>
              <w:t>Administrators</w:t>
            </w:r>
          </w:p>
        </w:tc>
        <w:tc>
          <w:tcPr>
            <w:tcW w:w="812" w:type="dxa"/>
          </w:tcPr>
          <w:p>
            <w:pPr>
              <w:pStyle w:val="TableParagraph"/>
              <w:rPr>
                <w:sz w:val="18"/>
              </w:rPr>
            </w:pPr>
          </w:p>
        </w:tc>
        <w:tc>
          <w:tcPr>
            <w:tcW w:w="900" w:type="dxa"/>
          </w:tcPr>
          <w:p>
            <w:pPr>
              <w:pStyle w:val="TableParagraph"/>
              <w:spacing w:line="232" w:lineRule="exact"/>
              <w:ind w:left="105"/>
              <w:rPr>
                <w:sz w:val="22"/>
              </w:rPr>
            </w:pPr>
            <w:r>
              <w:rPr>
                <w:spacing w:val="-5"/>
                <w:sz w:val="22"/>
              </w:rPr>
              <w:t>20</w:t>
            </w:r>
          </w:p>
        </w:tc>
        <w:tc>
          <w:tcPr>
            <w:tcW w:w="989" w:type="dxa"/>
          </w:tcPr>
          <w:p>
            <w:pPr>
              <w:pStyle w:val="TableParagraph"/>
              <w:rPr>
                <w:sz w:val="18"/>
              </w:rPr>
            </w:pPr>
          </w:p>
        </w:tc>
        <w:tc>
          <w:tcPr>
            <w:tcW w:w="1081" w:type="dxa"/>
          </w:tcPr>
          <w:p>
            <w:pPr>
              <w:pStyle w:val="TableParagraph"/>
              <w:rPr>
                <w:sz w:val="18"/>
              </w:rPr>
            </w:pPr>
          </w:p>
        </w:tc>
        <w:tc>
          <w:tcPr>
            <w:tcW w:w="992" w:type="dxa"/>
          </w:tcPr>
          <w:p>
            <w:pPr>
              <w:pStyle w:val="TableParagraph"/>
              <w:rPr>
                <w:sz w:val="18"/>
              </w:rPr>
            </w:pPr>
          </w:p>
        </w:tc>
        <w:tc>
          <w:tcPr>
            <w:tcW w:w="990" w:type="dxa"/>
          </w:tcPr>
          <w:p>
            <w:pPr>
              <w:pStyle w:val="TableParagraph"/>
              <w:spacing w:line="232" w:lineRule="exact"/>
              <w:ind w:left="103"/>
              <w:rPr>
                <w:sz w:val="22"/>
              </w:rPr>
            </w:pPr>
            <w:r>
              <w:rPr>
                <w:spacing w:val="-5"/>
                <w:sz w:val="22"/>
              </w:rPr>
              <w:t>20</w:t>
            </w:r>
          </w:p>
        </w:tc>
        <w:tc>
          <w:tcPr>
            <w:tcW w:w="812" w:type="dxa"/>
          </w:tcPr>
          <w:p>
            <w:pPr>
              <w:pStyle w:val="TableParagraph"/>
              <w:spacing w:line="232" w:lineRule="exact"/>
              <w:ind w:left="105"/>
              <w:rPr>
                <w:sz w:val="22"/>
              </w:rPr>
            </w:pPr>
            <w:r>
              <w:rPr>
                <w:spacing w:val="-5"/>
                <w:sz w:val="22"/>
              </w:rPr>
              <w:t>12</w:t>
            </w:r>
          </w:p>
        </w:tc>
      </w:tr>
      <w:tr>
        <w:trPr>
          <w:trHeight w:val="254" w:hRule="atLeast"/>
        </w:trPr>
        <w:tc>
          <w:tcPr>
            <w:tcW w:w="2160" w:type="dxa"/>
          </w:tcPr>
          <w:p>
            <w:pPr>
              <w:pStyle w:val="TableParagraph"/>
              <w:spacing w:line="233" w:lineRule="exact" w:before="1"/>
              <w:ind w:left="107"/>
              <w:rPr>
                <w:b/>
                <w:sz w:val="22"/>
              </w:rPr>
            </w:pPr>
            <w:r>
              <w:rPr>
                <w:b/>
                <w:sz w:val="22"/>
              </w:rPr>
              <w:t>Sub</w:t>
            </w:r>
            <w:r>
              <w:rPr>
                <w:b/>
                <w:spacing w:val="-5"/>
                <w:sz w:val="22"/>
              </w:rPr>
              <w:t> </w:t>
            </w:r>
            <w:r>
              <w:rPr>
                <w:b/>
                <w:spacing w:val="-2"/>
                <w:sz w:val="22"/>
              </w:rPr>
              <w:t>Total</w:t>
            </w:r>
          </w:p>
        </w:tc>
        <w:tc>
          <w:tcPr>
            <w:tcW w:w="812" w:type="dxa"/>
          </w:tcPr>
          <w:p>
            <w:pPr>
              <w:pStyle w:val="TableParagraph"/>
              <w:spacing w:line="235" w:lineRule="exact"/>
              <w:ind w:left="107"/>
              <w:rPr>
                <w:sz w:val="22"/>
              </w:rPr>
            </w:pPr>
            <w:r>
              <w:rPr>
                <w:spacing w:val="-5"/>
                <w:sz w:val="22"/>
              </w:rPr>
              <w:t>30</w:t>
            </w:r>
          </w:p>
        </w:tc>
        <w:tc>
          <w:tcPr>
            <w:tcW w:w="900" w:type="dxa"/>
          </w:tcPr>
          <w:p>
            <w:pPr>
              <w:pStyle w:val="TableParagraph"/>
              <w:spacing w:line="235" w:lineRule="exact"/>
              <w:ind w:left="105"/>
              <w:rPr>
                <w:sz w:val="22"/>
              </w:rPr>
            </w:pPr>
            <w:r>
              <w:rPr>
                <w:spacing w:val="-5"/>
                <w:sz w:val="22"/>
              </w:rPr>
              <w:t>61</w:t>
            </w:r>
          </w:p>
        </w:tc>
        <w:tc>
          <w:tcPr>
            <w:tcW w:w="989" w:type="dxa"/>
          </w:tcPr>
          <w:p>
            <w:pPr>
              <w:pStyle w:val="TableParagraph"/>
              <w:spacing w:line="235" w:lineRule="exact"/>
              <w:ind w:left="105"/>
              <w:rPr>
                <w:sz w:val="22"/>
              </w:rPr>
            </w:pPr>
            <w:r>
              <w:rPr>
                <w:spacing w:val="-5"/>
                <w:sz w:val="22"/>
              </w:rPr>
              <w:t>25</w:t>
            </w:r>
          </w:p>
        </w:tc>
        <w:tc>
          <w:tcPr>
            <w:tcW w:w="1081" w:type="dxa"/>
          </w:tcPr>
          <w:p>
            <w:pPr>
              <w:pStyle w:val="TableParagraph"/>
              <w:spacing w:line="235" w:lineRule="exact"/>
              <w:ind w:left="107"/>
              <w:rPr>
                <w:sz w:val="22"/>
              </w:rPr>
            </w:pPr>
            <w:r>
              <w:rPr>
                <w:spacing w:val="-5"/>
                <w:sz w:val="22"/>
              </w:rPr>
              <w:t>13</w:t>
            </w:r>
          </w:p>
        </w:tc>
        <w:tc>
          <w:tcPr>
            <w:tcW w:w="992" w:type="dxa"/>
          </w:tcPr>
          <w:p>
            <w:pPr>
              <w:pStyle w:val="TableParagraph"/>
              <w:spacing w:line="235" w:lineRule="exact"/>
              <w:ind w:left="106"/>
              <w:rPr>
                <w:sz w:val="22"/>
              </w:rPr>
            </w:pPr>
            <w:r>
              <w:rPr>
                <w:spacing w:val="-5"/>
                <w:sz w:val="22"/>
              </w:rPr>
              <w:t>41</w:t>
            </w:r>
          </w:p>
        </w:tc>
        <w:tc>
          <w:tcPr>
            <w:tcW w:w="990" w:type="dxa"/>
          </w:tcPr>
          <w:p>
            <w:pPr>
              <w:pStyle w:val="TableParagraph"/>
              <w:spacing w:line="235" w:lineRule="exact"/>
              <w:ind w:left="103"/>
              <w:rPr>
                <w:sz w:val="22"/>
              </w:rPr>
            </w:pPr>
            <w:r>
              <w:rPr>
                <w:spacing w:val="-5"/>
                <w:sz w:val="22"/>
              </w:rPr>
              <w:t>170</w:t>
            </w:r>
          </w:p>
        </w:tc>
        <w:tc>
          <w:tcPr>
            <w:tcW w:w="812" w:type="dxa"/>
          </w:tcPr>
          <w:p>
            <w:pPr>
              <w:pStyle w:val="TableParagraph"/>
              <w:spacing w:line="235" w:lineRule="exact"/>
              <w:ind w:left="105"/>
              <w:rPr>
                <w:sz w:val="22"/>
              </w:rPr>
            </w:pPr>
            <w:r>
              <w:rPr>
                <w:spacing w:val="-4"/>
                <w:sz w:val="22"/>
              </w:rPr>
              <w:t>100%</w:t>
            </w:r>
          </w:p>
        </w:tc>
      </w:tr>
    </w:tbl>
    <w:p>
      <w:pPr>
        <w:spacing w:before="0"/>
        <w:ind w:left="240" w:right="846" w:firstLine="0"/>
        <w:jc w:val="both"/>
        <w:rPr>
          <w:sz w:val="20"/>
        </w:rPr>
      </w:pPr>
      <w:r>
        <w:rPr>
          <w:sz w:val="20"/>
        </w:rPr>
        <w:t>*MH= Ministry of Housing; MBEP= Ministry of Budget and Economic Planning; ASHDC= Anambra State</w:t>
      </w:r>
      <w:r>
        <w:rPr>
          <w:spacing w:val="40"/>
          <w:sz w:val="20"/>
        </w:rPr>
        <w:t> </w:t>
      </w:r>
      <w:r>
        <w:rPr>
          <w:sz w:val="20"/>
        </w:rPr>
        <w:t>Housing Development Corporation; ACDA= Awka Capital Development Authority; APPB = Anambra State Physical Planning Board.</w:t>
      </w:r>
    </w:p>
    <w:p>
      <w:pPr>
        <w:spacing w:before="0"/>
        <w:ind w:left="240" w:right="0" w:firstLine="0"/>
        <w:jc w:val="left"/>
        <w:rPr>
          <w:sz w:val="26"/>
        </w:rPr>
      </w:pPr>
      <w:r>
        <w:rPr>
          <w:b/>
          <w:sz w:val="26"/>
        </w:rPr>
        <w:t>Source:</w:t>
      </w:r>
      <w:r>
        <w:rPr>
          <w:b/>
          <w:spacing w:val="-7"/>
          <w:sz w:val="26"/>
        </w:rPr>
        <w:t> </w:t>
      </w:r>
      <w:r>
        <w:rPr>
          <w:sz w:val="26"/>
        </w:rPr>
        <w:t>Researcher‘s</w:t>
      </w:r>
      <w:r>
        <w:rPr>
          <w:spacing w:val="-7"/>
          <w:sz w:val="26"/>
        </w:rPr>
        <w:t> </w:t>
      </w:r>
      <w:r>
        <w:rPr>
          <w:sz w:val="26"/>
        </w:rPr>
        <w:t>field</w:t>
      </w:r>
      <w:r>
        <w:rPr>
          <w:spacing w:val="-7"/>
          <w:sz w:val="26"/>
        </w:rPr>
        <w:t> </w:t>
      </w:r>
      <w:r>
        <w:rPr>
          <w:sz w:val="26"/>
        </w:rPr>
        <w:t>study</w:t>
      </w:r>
      <w:r>
        <w:rPr>
          <w:spacing w:val="-11"/>
          <w:sz w:val="26"/>
        </w:rPr>
        <w:t> </w:t>
      </w:r>
      <w:r>
        <w:rPr>
          <w:spacing w:val="-2"/>
          <w:sz w:val="26"/>
        </w:rPr>
        <w:t>(2017)</w:t>
      </w:r>
    </w:p>
    <w:p>
      <w:pPr>
        <w:pStyle w:val="BodyText"/>
        <w:rPr>
          <w:sz w:val="26"/>
        </w:rPr>
      </w:pPr>
    </w:p>
    <w:p>
      <w:pPr>
        <w:pStyle w:val="BodyText"/>
        <w:spacing w:before="4"/>
        <w:rPr>
          <w:sz w:val="26"/>
        </w:rPr>
      </w:pPr>
    </w:p>
    <w:p>
      <w:pPr>
        <w:pStyle w:val="Heading3"/>
        <w:numPr>
          <w:ilvl w:val="1"/>
          <w:numId w:val="77"/>
        </w:numPr>
        <w:tabs>
          <w:tab w:pos="757" w:val="left" w:leader="none"/>
        </w:tabs>
        <w:spacing w:line="240" w:lineRule="auto" w:before="0" w:after="0"/>
        <w:ind w:left="757" w:right="0" w:hanging="517"/>
        <w:jc w:val="both"/>
      </w:pPr>
      <w:r>
        <w:rPr/>
        <w:t>Method</w:t>
      </w:r>
      <w:r>
        <w:rPr>
          <w:spacing w:val="-7"/>
        </w:rPr>
        <w:t> </w:t>
      </w:r>
      <w:r>
        <w:rPr/>
        <w:t>of</w:t>
      </w:r>
      <w:r>
        <w:rPr>
          <w:spacing w:val="-7"/>
        </w:rPr>
        <w:t> </w:t>
      </w:r>
      <w:r>
        <w:rPr/>
        <w:t>Data</w:t>
      </w:r>
      <w:r>
        <w:rPr>
          <w:spacing w:val="-4"/>
        </w:rPr>
        <w:t> </w:t>
      </w:r>
      <w:r>
        <w:rPr/>
        <w:t>Presentation</w:t>
      </w:r>
      <w:r>
        <w:rPr>
          <w:spacing w:val="-6"/>
        </w:rPr>
        <w:t> </w:t>
      </w:r>
      <w:r>
        <w:rPr/>
        <w:t>and</w:t>
      </w:r>
      <w:r>
        <w:rPr>
          <w:spacing w:val="-5"/>
        </w:rPr>
        <w:t> </w:t>
      </w:r>
      <w:r>
        <w:rPr>
          <w:spacing w:val="-2"/>
        </w:rPr>
        <w:t>Analysis</w:t>
      </w:r>
    </w:p>
    <w:p>
      <w:pPr>
        <w:pStyle w:val="BodyText"/>
        <w:spacing w:line="360" w:lineRule="auto" w:before="145"/>
        <w:ind w:left="240" w:right="837"/>
        <w:jc w:val="both"/>
      </w:pPr>
      <w:r>
        <w:rPr/>
        <w:t>Data collected for this research was manipulated with the aid of Statistical Package for Social Science (SPSS) version 22 software, MS-Excel and E-views econometric software. In order to help elucidate the results for subsequent readers and users of the research, data was presented in form of tables, graphs and charts. Furthermore, data generated was subjected to descriptive statistical analysis such as frequency, mean score, percentages, relative importance index and inferential analysis such as trend analysis. These are all geared towards addressing the specific objectives of the research.</w:t>
      </w:r>
    </w:p>
    <w:p>
      <w:pPr>
        <w:pStyle w:val="BodyText"/>
        <w:spacing w:before="1"/>
      </w:pPr>
    </w:p>
    <w:p>
      <w:pPr>
        <w:pStyle w:val="ListParagraph"/>
        <w:numPr>
          <w:ilvl w:val="0"/>
          <w:numId w:val="78"/>
        </w:numPr>
        <w:tabs>
          <w:tab w:pos="627" w:val="left" w:leader="none"/>
        </w:tabs>
        <w:spacing w:line="360" w:lineRule="auto" w:before="0" w:after="0"/>
        <w:ind w:left="240" w:right="837" w:firstLine="0"/>
        <w:jc w:val="both"/>
        <w:rPr>
          <w:sz w:val="24"/>
        </w:rPr>
      </w:pPr>
      <w:r>
        <w:rPr>
          <w:b/>
          <w:sz w:val="24"/>
        </w:rPr>
        <w:t>Percentages: </w:t>
      </w:r>
      <w:r>
        <w:rPr>
          <w:sz w:val="24"/>
        </w:rPr>
        <w:t>This descriptive tool was used to obtain the proportion of housing budget allocations in the annual State capital budget and compare with other key sectors of the State‘s economy. It also aided in other aspects of the analysis such as determining the proportion of respondents in a classification of one hundred, agreeing with a criterion adopted by the government in establishing housing budget ceilings and allocating final housing budgets. It is expressed as follows:</w:t>
      </w:r>
    </w:p>
    <w:p>
      <w:pPr>
        <w:pStyle w:val="BodyText"/>
        <w:tabs>
          <w:tab w:pos="9244" w:val="left" w:leader="none"/>
        </w:tabs>
        <w:spacing w:before="275"/>
        <w:ind w:left="240"/>
        <w:rPr>
          <w:b/>
        </w:rPr>
      </w:pPr>
      <w:r>
        <w:rPr/>
        <w:t>Simple</w:t>
      </w:r>
      <w:r>
        <w:rPr>
          <w:spacing w:val="-4"/>
        </w:rPr>
        <w:t> </w:t>
      </w:r>
      <w:r>
        <w:rPr/>
        <w:t>percentage (%) = x/n</w:t>
      </w:r>
      <w:r>
        <w:rPr>
          <w:spacing w:val="-3"/>
        </w:rPr>
        <w:t> </w:t>
      </w:r>
      <w:r>
        <w:rPr/>
        <w:t>x</w:t>
      </w:r>
      <w:r>
        <w:rPr>
          <w:spacing w:val="1"/>
        </w:rPr>
        <w:t> </w:t>
      </w:r>
      <w:r>
        <w:rPr>
          <w:spacing w:val="-5"/>
        </w:rPr>
        <w:t>100</w:t>
      </w:r>
      <w:r>
        <w:rPr/>
        <w:tab/>
      </w:r>
      <w:r>
        <w:rPr>
          <w:b/>
          <w:spacing w:val="-5"/>
        </w:rPr>
        <w:t>(2)</w:t>
      </w:r>
    </w:p>
    <w:p>
      <w:pPr>
        <w:pStyle w:val="BodyText"/>
        <w:spacing w:line="360" w:lineRule="auto" w:before="139"/>
        <w:ind w:left="240" w:right="3456"/>
      </w:pPr>
      <w:r>
        <w:rPr/>
        <w:t>Where</w:t>
      </w:r>
      <w:r>
        <w:rPr>
          <w:spacing w:val="-6"/>
        </w:rPr>
        <w:t> </w:t>
      </w:r>
      <w:r>
        <w:rPr/>
        <w:t>x</w:t>
      </w:r>
      <w:r>
        <w:rPr>
          <w:spacing w:val="-3"/>
        </w:rPr>
        <w:t> </w:t>
      </w:r>
      <w:r>
        <w:rPr/>
        <w:t>=</w:t>
      </w:r>
      <w:r>
        <w:rPr>
          <w:spacing w:val="-5"/>
        </w:rPr>
        <w:t> </w:t>
      </w:r>
      <w:r>
        <w:rPr/>
        <w:t>number</w:t>
      </w:r>
      <w:r>
        <w:rPr>
          <w:spacing w:val="-6"/>
        </w:rPr>
        <w:t> </w:t>
      </w:r>
      <w:r>
        <w:rPr/>
        <w:t>of</w:t>
      </w:r>
      <w:r>
        <w:rPr>
          <w:spacing w:val="-4"/>
        </w:rPr>
        <w:t> </w:t>
      </w:r>
      <w:r>
        <w:rPr/>
        <w:t>respondents</w:t>
      </w:r>
      <w:r>
        <w:rPr>
          <w:spacing w:val="-4"/>
        </w:rPr>
        <w:t> </w:t>
      </w:r>
      <w:r>
        <w:rPr/>
        <w:t>agreeing</w:t>
      </w:r>
      <w:r>
        <w:rPr>
          <w:spacing w:val="-4"/>
        </w:rPr>
        <w:t> </w:t>
      </w:r>
      <w:r>
        <w:rPr/>
        <w:t>with</w:t>
      </w:r>
      <w:r>
        <w:rPr>
          <w:spacing w:val="-4"/>
        </w:rPr>
        <w:t> </w:t>
      </w:r>
      <w:r>
        <w:rPr/>
        <w:t>a</w:t>
      </w:r>
      <w:r>
        <w:rPr>
          <w:spacing w:val="-3"/>
        </w:rPr>
        <w:t> </w:t>
      </w:r>
      <w:r>
        <w:rPr/>
        <w:t>particular</w:t>
      </w:r>
      <w:r>
        <w:rPr>
          <w:spacing w:val="-4"/>
        </w:rPr>
        <w:t> </w:t>
      </w:r>
      <w:r>
        <w:rPr/>
        <w:t>variable. n = total number of items or respondents sampled</w:t>
      </w:r>
    </w:p>
    <w:p>
      <w:pPr>
        <w:spacing w:after="0" w:line="360" w:lineRule="auto"/>
        <w:sectPr>
          <w:pgSz w:w="12240" w:h="15840"/>
          <w:pgMar w:header="0" w:footer="1036" w:top="1360" w:bottom="1220" w:left="1200" w:right="600"/>
        </w:sectPr>
      </w:pPr>
    </w:p>
    <w:p>
      <w:pPr>
        <w:pStyle w:val="ListParagraph"/>
        <w:numPr>
          <w:ilvl w:val="0"/>
          <w:numId w:val="78"/>
        </w:numPr>
        <w:tabs>
          <w:tab w:pos="658" w:val="left" w:leader="none"/>
        </w:tabs>
        <w:spacing w:line="360" w:lineRule="auto" w:before="74" w:after="0"/>
        <w:ind w:left="240" w:right="837" w:firstLine="0"/>
        <w:jc w:val="both"/>
        <w:rPr>
          <w:sz w:val="24"/>
        </w:rPr>
      </w:pPr>
      <w:r>
        <w:rPr>
          <w:b/>
          <w:sz w:val="24"/>
        </w:rPr>
        <w:t>Mean Score: </w:t>
      </w:r>
      <w:r>
        <w:rPr>
          <w:sz w:val="24"/>
        </w:rPr>
        <w:t>This is a descriptive data analysis method which was used for ranking purposes, such as in evaluating the problems hindering housing budget preparation and the roles of the Quantity Surveyor in the housing budget process. It is expressed as:</w:t>
      </w:r>
    </w:p>
    <w:p>
      <w:pPr>
        <w:pStyle w:val="BodyText"/>
        <w:spacing w:before="117"/>
        <w:ind w:left="240"/>
        <w:jc w:val="both"/>
      </w:pPr>
      <w:r>
        <w:rPr/>
        <w:t>MS =</w:t>
      </w:r>
      <w:r>
        <w:rPr>
          <w:spacing w:val="-1"/>
        </w:rPr>
        <w:t> </w:t>
      </w:r>
      <w:r>
        <w:rPr>
          <w:u w:val="single"/>
        </w:rPr>
        <w:t>5n</w:t>
      </w:r>
      <w:r>
        <w:rPr>
          <w:u w:val="single"/>
          <w:vertAlign w:val="subscript"/>
        </w:rPr>
        <w:t>5</w:t>
      </w:r>
      <w:r>
        <w:rPr>
          <w:spacing w:val="1"/>
          <w:u w:val="single"/>
          <w:vertAlign w:val="baseline"/>
        </w:rPr>
        <w:t> </w:t>
      </w:r>
      <w:r>
        <w:rPr>
          <w:u w:val="single"/>
          <w:vertAlign w:val="baseline"/>
        </w:rPr>
        <w:t>+</w:t>
      </w:r>
      <w:r>
        <w:rPr>
          <w:spacing w:val="-1"/>
          <w:u w:val="single"/>
          <w:vertAlign w:val="baseline"/>
        </w:rPr>
        <w:t> </w:t>
      </w:r>
      <w:r>
        <w:rPr>
          <w:u w:val="single"/>
          <w:vertAlign w:val="baseline"/>
        </w:rPr>
        <w:t>4n</w:t>
      </w:r>
      <w:r>
        <w:rPr>
          <w:u w:val="single"/>
          <w:vertAlign w:val="subscript"/>
        </w:rPr>
        <w:t>4</w:t>
      </w:r>
      <w:r>
        <w:rPr>
          <w:spacing w:val="1"/>
          <w:u w:val="single"/>
          <w:vertAlign w:val="baseline"/>
        </w:rPr>
        <w:t> </w:t>
      </w:r>
      <w:r>
        <w:rPr>
          <w:u w:val="single"/>
          <w:vertAlign w:val="baseline"/>
        </w:rPr>
        <w:t>+</w:t>
      </w:r>
      <w:r>
        <w:rPr>
          <w:spacing w:val="-1"/>
          <w:u w:val="single"/>
          <w:vertAlign w:val="baseline"/>
        </w:rPr>
        <w:t> </w:t>
      </w:r>
      <w:r>
        <w:rPr>
          <w:u w:val="single"/>
          <w:vertAlign w:val="baseline"/>
        </w:rPr>
        <w:t>3n</w:t>
      </w:r>
      <w:r>
        <w:rPr>
          <w:u w:val="single"/>
          <w:vertAlign w:val="subscript"/>
        </w:rPr>
        <w:t>3</w:t>
      </w:r>
      <w:r>
        <w:rPr>
          <w:spacing w:val="1"/>
          <w:u w:val="single"/>
          <w:vertAlign w:val="baseline"/>
        </w:rPr>
        <w:t> </w:t>
      </w:r>
      <w:r>
        <w:rPr>
          <w:u w:val="single"/>
          <w:vertAlign w:val="baseline"/>
        </w:rPr>
        <w:t>+</w:t>
      </w:r>
      <w:r>
        <w:rPr>
          <w:spacing w:val="-1"/>
          <w:u w:val="single"/>
          <w:vertAlign w:val="baseline"/>
        </w:rPr>
        <w:t> </w:t>
      </w:r>
      <w:r>
        <w:rPr>
          <w:u w:val="single"/>
          <w:vertAlign w:val="baseline"/>
        </w:rPr>
        <w:t>2n</w:t>
      </w:r>
      <w:r>
        <w:rPr>
          <w:u w:val="single"/>
          <w:vertAlign w:val="subscript"/>
        </w:rPr>
        <w:t>2</w:t>
      </w:r>
      <w:r>
        <w:rPr>
          <w:spacing w:val="1"/>
          <w:u w:val="single"/>
          <w:vertAlign w:val="baseline"/>
        </w:rPr>
        <w:t> </w:t>
      </w:r>
      <w:r>
        <w:rPr>
          <w:u w:val="single"/>
          <w:vertAlign w:val="baseline"/>
        </w:rPr>
        <w:t>+</w:t>
      </w:r>
      <w:r>
        <w:rPr>
          <w:spacing w:val="-1"/>
          <w:u w:val="single"/>
          <w:vertAlign w:val="baseline"/>
        </w:rPr>
        <w:t> </w:t>
      </w:r>
      <w:r>
        <w:rPr>
          <w:spacing w:val="-10"/>
          <w:u w:val="single"/>
          <w:vertAlign w:val="baseline"/>
        </w:rPr>
        <w:t>n</w:t>
      </w:r>
    </w:p>
    <w:p>
      <w:pPr>
        <w:tabs>
          <w:tab w:pos="9301" w:val="left" w:leader="none"/>
        </w:tabs>
        <w:spacing w:before="0"/>
        <w:ind w:left="1920" w:right="0" w:firstLine="0"/>
        <w:jc w:val="both"/>
        <w:rPr>
          <w:b/>
          <w:sz w:val="24"/>
        </w:rPr>
      </w:pPr>
      <w:r>
        <w:rPr>
          <w:spacing w:val="-10"/>
          <w:sz w:val="24"/>
        </w:rPr>
        <w:t>N</w:t>
      </w:r>
      <w:r>
        <w:rPr>
          <w:sz w:val="24"/>
        </w:rPr>
        <w:tab/>
      </w:r>
      <w:r>
        <w:rPr>
          <w:b/>
          <w:spacing w:val="-5"/>
          <w:sz w:val="24"/>
        </w:rPr>
        <w:t>(3)</w:t>
      </w:r>
    </w:p>
    <w:p>
      <w:pPr>
        <w:pStyle w:val="BodyText"/>
        <w:spacing w:before="2"/>
        <w:rPr>
          <w:b/>
        </w:rPr>
      </w:pPr>
    </w:p>
    <w:p>
      <w:pPr>
        <w:pStyle w:val="BodyText"/>
        <w:spacing w:line="360" w:lineRule="auto"/>
        <w:ind w:left="960" w:right="5129" w:hanging="720"/>
      </w:pPr>
      <w:r>
        <w:rPr/>
        <w:t>Where: 5…1 are the weightings on the Likert Scale n=</w:t>
      </w:r>
      <w:r>
        <w:rPr>
          <w:spacing w:val="-2"/>
        </w:rPr>
        <w:t> </w:t>
      </w:r>
      <w:r>
        <w:rPr/>
        <w:t>number</w:t>
      </w:r>
      <w:r>
        <w:rPr>
          <w:spacing w:val="-2"/>
        </w:rPr>
        <w:t> </w:t>
      </w:r>
      <w:r>
        <w:rPr/>
        <w:t>of</w:t>
      </w:r>
      <w:r>
        <w:rPr>
          <w:spacing w:val="1"/>
        </w:rPr>
        <w:t> </w:t>
      </w:r>
      <w:r>
        <w:rPr/>
        <w:t>responses</w:t>
      </w:r>
      <w:r>
        <w:rPr>
          <w:spacing w:val="-1"/>
        </w:rPr>
        <w:t> </w:t>
      </w:r>
      <w:r>
        <w:rPr/>
        <w:t>on a</w:t>
      </w:r>
      <w:r>
        <w:rPr>
          <w:spacing w:val="-1"/>
        </w:rPr>
        <w:t> </w:t>
      </w:r>
      <w:r>
        <w:rPr/>
        <w:t>particular </w:t>
      </w:r>
      <w:r>
        <w:rPr>
          <w:spacing w:val="-2"/>
        </w:rPr>
        <w:t>scale.</w:t>
      </w:r>
    </w:p>
    <w:p>
      <w:pPr>
        <w:pStyle w:val="BodyText"/>
        <w:ind w:left="960"/>
      </w:pPr>
      <w:r>
        <w:rPr/>
        <w:t>N=</w:t>
      </w:r>
      <w:r>
        <w:rPr>
          <w:spacing w:val="-3"/>
        </w:rPr>
        <w:t> </w:t>
      </w:r>
      <w:r>
        <w:rPr/>
        <w:t>Total number of</w:t>
      </w:r>
      <w:r>
        <w:rPr>
          <w:spacing w:val="-1"/>
        </w:rPr>
        <w:t> </w:t>
      </w:r>
      <w:r>
        <w:rPr>
          <w:spacing w:val="-2"/>
        </w:rPr>
        <w:t>responses</w:t>
      </w:r>
    </w:p>
    <w:p>
      <w:pPr>
        <w:pStyle w:val="BodyText"/>
      </w:pPr>
    </w:p>
    <w:p>
      <w:pPr>
        <w:pStyle w:val="BodyText"/>
        <w:spacing w:before="1"/>
      </w:pPr>
    </w:p>
    <w:p>
      <w:pPr>
        <w:pStyle w:val="ListParagraph"/>
        <w:numPr>
          <w:ilvl w:val="0"/>
          <w:numId w:val="78"/>
        </w:numPr>
        <w:tabs>
          <w:tab w:pos="589" w:val="left" w:leader="none"/>
        </w:tabs>
        <w:spacing w:line="360" w:lineRule="auto" w:before="0" w:after="0"/>
        <w:ind w:left="240" w:right="839" w:firstLine="0"/>
        <w:jc w:val="both"/>
        <w:rPr>
          <w:sz w:val="24"/>
        </w:rPr>
      </w:pPr>
      <w:r>
        <w:rPr>
          <w:b/>
          <w:sz w:val="24"/>
        </w:rPr>
        <w:t>Relative Importance Index (RII): </w:t>
      </w:r>
      <w:r>
        <w:rPr>
          <w:sz w:val="24"/>
        </w:rPr>
        <w:t>Relative indices are a ranking index that reduces score attracted to the severity of items in an opinion survey to a common base. The index (RI) ranges from 0 – 1. The item with the highest relative index (RI) is first considered in the rank order as the most important or severe factor or variable amongst all the factors surveyed.</w:t>
      </w:r>
    </w:p>
    <w:p>
      <w:pPr>
        <w:pStyle w:val="BodyText"/>
        <w:spacing w:line="360" w:lineRule="auto" w:before="173"/>
        <w:ind w:left="240" w:right="840"/>
        <w:jc w:val="both"/>
      </w:pPr>
      <w:r>
        <w:rPr/>
        <w:t>The variables on</w:t>
      </w:r>
      <w:r>
        <w:rPr>
          <w:spacing w:val="40"/>
        </w:rPr>
        <w:t> </w:t>
      </w:r>
      <w:r>
        <w:rPr/>
        <w:t>issues such as problems or challenges facing housing budgeting performance were weighted</w:t>
      </w:r>
      <w:r>
        <w:rPr>
          <w:spacing w:val="-1"/>
        </w:rPr>
        <w:t> </w:t>
      </w:r>
      <w:r>
        <w:rPr/>
        <w:t>on a five point Likert Scale, where 1=</w:t>
      </w:r>
      <w:r>
        <w:rPr>
          <w:spacing w:val="-1"/>
        </w:rPr>
        <w:t> </w:t>
      </w:r>
      <w:r>
        <w:rPr/>
        <w:t>strongly</w:t>
      </w:r>
      <w:r>
        <w:rPr>
          <w:spacing w:val="-5"/>
        </w:rPr>
        <w:t> </w:t>
      </w:r>
      <w:r>
        <w:rPr/>
        <w:t>disagreed and 5 =</w:t>
      </w:r>
      <w:r>
        <w:rPr>
          <w:spacing w:val="-1"/>
        </w:rPr>
        <w:t> </w:t>
      </w:r>
      <w:r>
        <w:rPr/>
        <w:t>strongly</w:t>
      </w:r>
      <w:r>
        <w:rPr>
          <w:spacing w:val="-3"/>
        </w:rPr>
        <w:t> </w:t>
      </w:r>
      <w:r>
        <w:rPr/>
        <w:t>agreed. The RII</w:t>
      </w:r>
      <w:r>
        <w:rPr>
          <w:spacing w:val="-1"/>
        </w:rPr>
        <w:t> </w:t>
      </w:r>
      <w:r>
        <w:rPr/>
        <w:t>was then calculated for each variable and based on the RII</w:t>
      </w:r>
      <w:r>
        <w:rPr>
          <w:spacing w:val="-2"/>
        </w:rPr>
        <w:t> </w:t>
      </w:r>
      <w:r>
        <w:rPr/>
        <w:t>value which ranges from 0 to 1, the variables were ranked.</w:t>
      </w:r>
    </w:p>
    <w:p>
      <w:pPr>
        <w:pStyle w:val="BodyText"/>
        <w:spacing w:before="274"/>
        <w:ind w:left="240"/>
        <w:jc w:val="both"/>
      </w:pPr>
      <w:r>
        <w:rPr/>
        <w:t>RII</w:t>
      </w:r>
      <w:r>
        <w:rPr>
          <w:spacing w:val="-2"/>
        </w:rPr>
        <w:t> </w:t>
      </w:r>
      <w:r>
        <w:rPr/>
        <w:t>=</w:t>
      </w:r>
      <w:r>
        <w:rPr>
          <w:spacing w:val="-2"/>
        </w:rPr>
        <w:t> </w:t>
      </w:r>
      <w:r>
        <w:rPr/>
        <w:t>Sum of</w:t>
      </w:r>
      <w:r>
        <w:rPr>
          <w:spacing w:val="-1"/>
        </w:rPr>
        <w:t> </w:t>
      </w:r>
      <w:r>
        <w:rPr/>
        <w:t>weights</w:t>
      </w:r>
      <w:r>
        <w:rPr>
          <w:spacing w:val="1"/>
        </w:rPr>
        <w:t> </w:t>
      </w:r>
      <w:r>
        <w:rPr>
          <w:u w:val="single"/>
        </w:rPr>
        <w:t>(W</w:t>
      </w:r>
      <w:r>
        <w:rPr>
          <w:u w:val="single"/>
          <w:vertAlign w:val="subscript"/>
        </w:rPr>
        <w:t>1</w:t>
      </w:r>
      <w:r>
        <w:rPr>
          <w:spacing w:val="-18"/>
          <w:u w:val="single"/>
          <w:vertAlign w:val="baseline"/>
        </w:rPr>
        <w:t> </w:t>
      </w:r>
      <w:r>
        <w:rPr>
          <w:u w:val="single"/>
          <w:vertAlign w:val="baseline"/>
        </w:rPr>
        <w:t>+</w:t>
      </w:r>
      <w:r>
        <w:rPr>
          <w:spacing w:val="-2"/>
          <w:u w:val="single"/>
          <w:vertAlign w:val="baseline"/>
        </w:rPr>
        <w:t> </w:t>
      </w:r>
      <w:r>
        <w:rPr>
          <w:u w:val="single"/>
          <w:vertAlign w:val="baseline"/>
        </w:rPr>
        <w:t>W</w:t>
      </w:r>
      <w:r>
        <w:rPr>
          <w:u w:val="single"/>
          <w:vertAlign w:val="subscript"/>
        </w:rPr>
        <w:t>2</w:t>
      </w:r>
      <w:r>
        <w:rPr>
          <w:spacing w:val="1"/>
          <w:u w:val="single"/>
          <w:vertAlign w:val="baseline"/>
        </w:rPr>
        <w:t> </w:t>
      </w:r>
      <w:r>
        <w:rPr>
          <w:u w:val="single"/>
          <w:vertAlign w:val="baseline"/>
        </w:rPr>
        <w:t>+</w:t>
      </w:r>
      <w:r>
        <w:rPr>
          <w:spacing w:val="-1"/>
          <w:u w:val="single"/>
          <w:vertAlign w:val="baseline"/>
        </w:rPr>
        <w:t> </w:t>
      </w:r>
      <w:r>
        <w:rPr>
          <w:u w:val="single"/>
          <w:vertAlign w:val="baseline"/>
        </w:rPr>
        <w:t>W</w:t>
      </w:r>
      <w:r>
        <w:rPr>
          <w:u w:val="single"/>
          <w:vertAlign w:val="subscript"/>
        </w:rPr>
        <w:t>3</w:t>
      </w:r>
      <w:r>
        <w:rPr>
          <w:spacing w:val="-18"/>
          <w:u w:val="single"/>
          <w:vertAlign w:val="baseline"/>
        </w:rPr>
        <w:t> </w:t>
      </w:r>
      <w:r>
        <w:rPr>
          <w:u w:val="single"/>
          <w:vertAlign w:val="baseline"/>
        </w:rPr>
        <w:t>+</w:t>
      </w:r>
      <w:r>
        <w:rPr>
          <w:spacing w:val="-2"/>
          <w:u w:val="single"/>
          <w:vertAlign w:val="baseline"/>
        </w:rPr>
        <w:t> </w:t>
      </w:r>
      <w:r>
        <w:rPr>
          <w:u w:val="single"/>
          <w:vertAlign w:val="baseline"/>
        </w:rPr>
        <w:t>W</w:t>
      </w:r>
      <w:r>
        <w:rPr>
          <w:u w:val="single"/>
          <w:vertAlign w:val="subscript"/>
        </w:rPr>
        <w:t>4</w:t>
      </w:r>
      <w:r>
        <w:rPr>
          <w:spacing w:val="1"/>
          <w:u w:val="single"/>
          <w:vertAlign w:val="baseline"/>
        </w:rPr>
        <w:t> </w:t>
      </w:r>
      <w:r>
        <w:rPr>
          <w:spacing w:val="-2"/>
          <w:u w:val="single"/>
          <w:vertAlign w:val="baseline"/>
        </w:rPr>
        <w:t>+……W</w:t>
      </w:r>
      <w:r>
        <w:rPr>
          <w:spacing w:val="-2"/>
          <w:u w:val="single"/>
          <w:vertAlign w:val="subscript"/>
        </w:rPr>
        <w:t>n</w:t>
      </w:r>
      <w:r>
        <w:rPr>
          <w:spacing w:val="-2"/>
          <w:u w:val="single"/>
          <w:vertAlign w:val="baseline"/>
        </w:rPr>
        <w:t>)</w:t>
      </w:r>
    </w:p>
    <w:p>
      <w:pPr>
        <w:tabs>
          <w:tab w:pos="9282" w:val="left" w:leader="none"/>
        </w:tabs>
        <w:spacing w:before="0"/>
        <w:ind w:left="3361" w:right="0" w:firstLine="0"/>
        <w:jc w:val="left"/>
        <w:rPr>
          <w:b/>
          <w:sz w:val="24"/>
        </w:rPr>
      </w:pPr>
      <w:r>
        <w:rPr>
          <w:sz w:val="24"/>
        </w:rPr>
        <w:t>A</w:t>
      </w:r>
      <w:r>
        <w:rPr>
          <w:spacing w:val="60"/>
          <w:sz w:val="24"/>
        </w:rPr>
        <w:t> </w:t>
      </w:r>
      <w:r>
        <w:rPr>
          <w:sz w:val="24"/>
        </w:rPr>
        <w:t>X</w:t>
      </w:r>
      <w:r>
        <w:rPr>
          <w:spacing w:val="59"/>
          <w:sz w:val="24"/>
        </w:rPr>
        <w:t> </w:t>
      </w:r>
      <w:r>
        <w:rPr>
          <w:spacing w:val="-10"/>
          <w:sz w:val="24"/>
        </w:rPr>
        <w:t>N</w:t>
      </w:r>
      <w:r>
        <w:rPr>
          <w:sz w:val="24"/>
        </w:rPr>
        <w:tab/>
      </w:r>
      <w:r>
        <w:rPr>
          <w:b/>
          <w:spacing w:val="-5"/>
          <w:sz w:val="24"/>
        </w:rPr>
        <w:t>(4)</w:t>
      </w:r>
    </w:p>
    <w:p>
      <w:pPr>
        <w:pStyle w:val="BodyText"/>
        <w:spacing w:line="360" w:lineRule="auto" w:before="209"/>
        <w:ind w:left="240" w:right="837"/>
        <w:jc w:val="both"/>
      </w:pPr>
      <w:r>
        <w:rPr/>
        <w:t>Where</w:t>
      </w:r>
      <w:r>
        <w:rPr>
          <w:spacing w:val="-4"/>
        </w:rPr>
        <w:t> </w:t>
      </w:r>
      <w:r>
        <w:rPr/>
        <w:t>w</w:t>
      </w:r>
      <w:r>
        <w:rPr>
          <w:spacing w:val="-2"/>
        </w:rPr>
        <w:t> </w:t>
      </w:r>
      <w:r>
        <w:rPr/>
        <w:t>is</w:t>
      </w:r>
      <w:r>
        <w:rPr>
          <w:spacing w:val="-2"/>
        </w:rPr>
        <w:t> </w:t>
      </w:r>
      <w:r>
        <w:rPr/>
        <w:t>the</w:t>
      </w:r>
      <w:r>
        <w:rPr>
          <w:spacing w:val="-1"/>
        </w:rPr>
        <w:t> </w:t>
      </w:r>
      <w:r>
        <w:rPr/>
        <w:t>weighting</w:t>
      </w:r>
      <w:r>
        <w:rPr>
          <w:spacing w:val="-3"/>
        </w:rPr>
        <w:t> </w:t>
      </w:r>
      <w:r>
        <w:rPr/>
        <w:t>given</w:t>
      </w:r>
      <w:r>
        <w:rPr>
          <w:spacing w:val="-1"/>
        </w:rPr>
        <w:t> </w:t>
      </w:r>
      <w:r>
        <w:rPr/>
        <w:t>to</w:t>
      </w:r>
      <w:r>
        <w:rPr>
          <w:spacing w:val="-2"/>
        </w:rPr>
        <w:t> </w:t>
      </w:r>
      <w:r>
        <w:rPr/>
        <w:t>each</w:t>
      </w:r>
      <w:r>
        <w:rPr>
          <w:spacing w:val="-2"/>
        </w:rPr>
        <w:t> </w:t>
      </w:r>
      <w:r>
        <w:rPr/>
        <w:t>variable</w:t>
      </w:r>
      <w:r>
        <w:rPr>
          <w:spacing w:val="-1"/>
        </w:rPr>
        <w:t> </w:t>
      </w:r>
      <w:r>
        <w:rPr/>
        <w:t>by</w:t>
      </w:r>
      <w:r>
        <w:rPr>
          <w:spacing w:val="-7"/>
        </w:rPr>
        <w:t> </w:t>
      </w:r>
      <w:r>
        <w:rPr/>
        <w:t>the</w:t>
      </w:r>
      <w:r>
        <w:rPr>
          <w:spacing w:val="-1"/>
        </w:rPr>
        <w:t> </w:t>
      </w:r>
      <w:r>
        <w:rPr/>
        <w:t>respondents,</w:t>
      </w:r>
      <w:r>
        <w:rPr>
          <w:spacing w:val="-2"/>
        </w:rPr>
        <w:t> </w:t>
      </w:r>
      <w:r>
        <w:rPr/>
        <w:t>ranging</w:t>
      </w:r>
      <w:r>
        <w:rPr>
          <w:spacing w:val="-3"/>
        </w:rPr>
        <w:t> </w:t>
      </w:r>
      <w:r>
        <w:rPr/>
        <w:t>from</w:t>
      </w:r>
      <w:r>
        <w:rPr>
          <w:spacing w:val="-2"/>
        </w:rPr>
        <w:t> </w:t>
      </w:r>
      <w:r>
        <w:rPr/>
        <w:t>1</w:t>
      </w:r>
      <w:r>
        <w:rPr>
          <w:spacing w:val="-2"/>
        </w:rPr>
        <w:t> </w:t>
      </w:r>
      <w:r>
        <w:rPr/>
        <w:t>to</w:t>
      </w:r>
      <w:r>
        <w:rPr>
          <w:spacing w:val="-2"/>
        </w:rPr>
        <w:t> </w:t>
      </w:r>
      <w:r>
        <w:rPr/>
        <w:t>5,</w:t>
      </w:r>
      <w:r>
        <w:rPr>
          <w:spacing w:val="-2"/>
        </w:rPr>
        <w:t> </w:t>
      </w:r>
      <w:r>
        <w:rPr/>
        <w:t>A</w:t>
      </w:r>
      <w:r>
        <w:rPr>
          <w:spacing w:val="-1"/>
        </w:rPr>
        <w:t> </w:t>
      </w:r>
      <w:r>
        <w:rPr/>
        <w:t>is</w:t>
      </w:r>
      <w:r>
        <w:rPr>
          <w:spacing w:val="-2"/>
        </w:rPr>
        <w:t> </w:t>
      </w:r>
      <w:r>
        <w:rPr/>
        <w:t>the highest weight (i.e. 5) in the study; and N is the total number of samples.</w:t>
      </w:r>
    </w:p>
    <w:p>
      <w:pPr>
        <w:pStyle w:val="BodyText"/>
        <w:spacing w:before="274"/>
      </w:pPr>
    </w:p>
    <w:p>
      <w:pPr>
        <w:pStyle w:val="ListParagraph"/>
        <w:numPr>
          <w:ilvl w:val="0"/>
          <w:numId w:val="78"/>
        </w:numPr>
        <w:tabs>
          <w:tab w:pos="604" w:val="left" w:leader="none"/>
        </w:tabs>
        <w:spacing w:line="360" w:lineRule="auto" w:before="0" w:after="0"/>
        <w:ind w:left="240" w:right="835" w:firstLine="0"/>
        <w:jc w:val="both"/>
        <w:rPr>
          <w:sz w:val="24"/>
        </w:rPr>
      </w:pPr>
      <w:r>
        <w:rPr>
          <w:b/>
          <w:sz w:val="24"/>
        </w:rPr>
        <w:t>The One Sample t-test: </w:t>
      </w:r>
      <w:r>
        <w:rPr>
          <w:sz w:val="24"/>
        </w:rPr>
        <w:t>Also known as Single Sample t-test because it is used when one is interested in comparing dataset from the same population. It determines whether the sample</w:t>
      </w:r>
      <w:r>
        <w:rPr>
          <w:spacing w:val="40"/>
          <w:sz w:val="24"/>
        </w:rPr>
        <w:t> </w:t>
      </w:r>
      <w:r>
        <w:rPr>
          <w:sz w:val="24"/>
        </w:rPr>
        <w:t>mean is statistically different from a known or hypothesized population mean. The one sample t- test was applied in this study to ascertain if the strata Relative Importance Indices (RII) are significantly different from the cluster average of 0.75 (i.e. the average of the Likert Scale or weightings: 5, 4, 3, 2, 1) which is an indication of effect. The one sample t-test was specifically employed to test hypothesis 3, which is: housing budget problems have no significant effect on housing budget performance in Anambra State.</w:t>
      </w:r>
    </w:p>
    <w:p>
      <w:pPr>
        <w:spacing w:after="0" w:line="360" w:lineRule="auto"/>
        <w:jc w:val="both"/>
        <w:rPr>
          <w:sz w:val="24"/>
        </w:rPr>
        <w:sectPr>
          <w:pgSz w:w="12240" w:h="15840"/>
          <w:pgMar w:header="0" w:footer="1036" w:top="1360" w:bottom="1220" w:left="1200" w:right="600"/>
        </w:sectPr>
      </w:pPr>
    </w:p>
    <w:p>
      <w:pPr>
        <w:pStyle w:val="BodyText"/>
        <w:spacing w:before="74"/>
        <w:ind w:left="240"/>
      </w:pPr>
      <w:r>
        <w:rPr/>
        <w:t>The</w:t>
      </w:r>
      <w:r>
        <w:rPr>
          <w:spacing w:val="-5"/>
        </w:rPr>
        <w:t> </w:t>
      </w:r>
      <w:r>
        <w:rPr/>
        <w:t>test statistic</w:t>
      </w:r>
      <w:r>
        <w:rPr>
          <w:spacing w:val="-1"/>
        </w:rPr>
        <w:t> </w:t>
      </w:r>
      <w:r>
        <w:rPr/>
        <w:t>for</w:t>
      </w:r>
      <w:r>
        <w:rPr>
          <w:spacing w:val="-1"/>
        </w:rPr>
        <w:t> </w:t>
      </w:r>
      <w:r>
        <w:rPr/>
        <w:t>the one</w:t>
      </w:r>
      <w:r>
        <w:rPr>
          <w:spacing w:val="-2"/>
        </w:rPr>
        <w:t> </w:t>
      </w:r>
      <w:r>
        <w:rPr/>
        <w:t>sample t-test is</w:t>
      </w:r>
      <w:r>
        <w:rPr>
          <w:spacing w:val="1"/>
        </w:rPr>
        <w:t> </w:t>
      </w:r>
      <w:r>
        <w:rPr/>
        <w:t>expressed </w:t>
      </w:r>
      <w:r>
        <w:rPr>
          <w:spacing w:val="-5"/>
        </w:rPr>
        <w:t>as:</w:t>
      </w:r>
    </w:p>
    <w:p>
      <w:pPr>
        <w:pStyle w:val="BodyText"/>
        <w:spacing w:before="80"/>
      </w:pPr>
    </w:p>
    <w:p>
      <w:pPr>
        <w:spacing w:line="290" w:lineRule="exact" w:before="0"/>
        <w:ind w:left="0" w:right="3724" w:firstLine="0"/>
        <w:jc w:val="center"/>
        <w:rPr>
          <w:rFonts w:ascii="Cambria Math" w:hAnsi="Cambria Math" w:eastAsia="Cambria Math"/>
          <w:sz w:val="19"/>
        </w:rPr>
      </w:pPr>
      <w:r>
        <w:rPr/>
        <mc:AlternateContent>
          <mc:Choice Requires="wps">
            <w:drawing>
              <wp:anchor distT="0" distB="0" distL="0" distR="0" allowOverlap="1" layoutInCell="1" locked="0" behindDoc="0" simplePos="0" relativeHeight="15749632">
                <wp:simplePos x="0" y="0"/>
                <wp:positionH relativeFrom="page">
                  <wp:posOffset>914704</wp:posOffset>
                </wp:positionH>
                <wp:positionV relativeFrom="paragraph">
                  <wp:posOffset>78996</wp:posOffset>
                </wp:positionV>
                <wp:extent cx="221615" cy="224790"/>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221615" cy="224790"/>
                        </a:xfrm>
                        <a:prstGeom prst="rect">
                          <a:avLst/>
                        </a:prstGeom>
                      </wps:spPr>
                      <wps:txbx>
                        <w:txbxContent>
                          <w:p>
                            <w:pPr>
                              <w:spacing w:line="353" w:lineRule="exact" w:before="0"/>
                              <w:ind w:left="0" w:right="0" w:firstLine="0"/>
                              <w:jc w:val="left"/>
                              <w:rPr>
                                <w:sz w:val="32"/>
                              </w:rPr>
                            </w:pPr>
                            <w:r>
                              <w:rPr>
                                <w:sz w:val="32"/>
                              </w:rPr>
                              <w:t>t</w:t>
                            </w:r>
                            <w:r>
                              <w:rPr>
                                <w:spacing w:val="-2"/>
                                <w:sz w:val="32"/>
                              </w:rPr>
                              <w:t> </w:t>
                            </w:r>
                            <w:r>
                              <w:rPr>
                                <w:spacing w:val="-10"/>
                                <w:sz w:val="32"/>
                              </w:rPr>
                              <w:t>=</w:t>
                            </w:r>
                          </w:p>
                        </w:txbxContent>
                      </wps:txbx>
                      <wps:bodyPr wrap="square" lIns="0" tIns="0" rIns="0" bIns="0" rtlCol="0">
                        <a:noAutofit/>
                      </wps:bodyPr>
                    </wps:wsp>
                  </a:graphicData>
                </a:graphic>
              </wp:anchor>
            </w:drawing>
          </mc:Choice>
          <mc:Fallback>
            <w:pict>
              <v:shape style="position:absolute;margin-left:72.024002pt;margin-top:6.220176pt;width:17.45pt;height:17.7pt;mso-position-horizontal-relative:page;mso-position-vertical-relative:paragraph;z-index:15749632" type="#_x0000_t202" id="docshape267" filled="false" stroked="false">
                <v:textbox inset="0,0,0,0">
                  <w:txbxContent>
                    <w:p>
                      <w:pPr>
                        <w:spacing w:line="353" w:lineRule="exact" w:before="0"/>
                        <w:ind w:left="0" w:right="0" w:firstLine="0"/>
                        <w:jc w:val="left"/>
                        <w:rPr>
                          <w:sz w:val="32"/>
                        </w:rPr>
                      </w:pPr>
                      <w:r>
                        <w:rPr>
                          <w:sz w:val="32"/>
                        </w:rPr>
                        <w:t>t</w:t>
                      </w:r>
                      <w:r>
                        <w:rPr>
                          <w:spacing w:val="-2"/>
                          <w:sz w:val="32"/>
                        </w:rPr>
                        <w:t> </w:t>
                      </w:r>
                      <w:r>
                        <w:rPr>
                          <w:spacing w:val="-10"/>
                          <w:sz w:val="32"/>
                        </w:rPr>
                        <w:t>=</w:t>
                      </w:r>
                    </w:p>
                  </w:txbxContent>
                </v:textbox>
                <w10:wrap type="none"/>
              </v:shape>
            </w:pict>
          </mc:Fallback>
        </mc:AlternateContent>
      </w:r>
      <w:r>
        <w:rPr>
          <w:spacing w:val="-22"/>
          <w:sz w:val="23"/>
          <w:u w:val="thick"/>
        </w:rPr>
        <w:t> </w:t>
      </w:r>
      <w:r>
        <w:rPr>
          <w:rFonts w:ascii="Cambria Math" w:hAnsi="Cambria Math" w:eastAsia="Cambria Math"/>
          <w:sz w:val="23"/>
          <w:u w:val="thick"/>
        </w:rPr>
        <w:t>𝑥̅</w:t>
      </w:r>
      <w:r>
        <w:rPr>
          <w:rFonts w:ascii="Cambria Math" w:hAnsi="Cambria Math" w:eastAsia="Cambria Math"/>
          <w:spacing w:val="15"/>
          <w:sz w:val="23"/>
          <w:u w:val="thick"/>
        </w:rPr>
        <w:t> </w:t>
      </w:r>
      <w:r>
        <w:rPr>
          <w:rFonts w:ascii="Cambria Math" w:hAnsi="Cambria Math" w:eastAsia="Cambria Math"/>
          <w:spacing w:val="-5"/>
          <w:sz w:val="23"/>
          <w:u w:val="thick"/>
        </w:rPr>
        <w:t>−𝜇</w:t>
      </w:r>
      <w:r>
        <w:rPr>
          <w:rFonts w:ascii="Cambria Math" w:hAnsi="Cambria Math" w:eastAsia="Cambria Math"/>
          <w:spacing w:val="-5"/>
          <w:position w:val="-4"/>
          <w:sz w:val="19"/>
          <w:u w:val="thick"/>
        </w:rPr>
        <w:t>𝑜</w:t>
      </w:r>
      <w:r>
        <w:rPr>
          <w:rFonts w:ascii="Cambria Math" w:hAnsi="Cambria Math" w:eastAsia="Cambria Math"/>
          <w:spacing w:val="40"/>
          <w:position w:val="-4"/>
          <w:sz w:val="19"/>
          <w:u w:val="thick"/>
        </w:rPr>
        <w:t> </w:t>
      </w:r>
    </w:p>
    <w:p>
      <w:pPr>
        <w:spacing w:line="202" w:lineRule="exact" w:before="0"/>
        <w:ind w:left="0" w:right="3732" w:firstLine="0"/>
        <w:jc w:val="center"/>
        <w:rPr>
          <w:rFonts w:ascii="Cambria Math" w:eastAsia="Cambria Math"/>
          <w:sz w:val="19"/>
        </w:rPr>
      </w:pPr>
      <w:r>
        <w:rPr>
          <w:rFonts w:ascii="Cambria Math" w:eastAsia="Cambria Math"/>
          <w:spacing w:val="-10"/>
          <w:sz w:val="19"/>
        </w:rPr>
        <w:t>𝑠</w:t>
      </w:r>
    </w:p>
    <w:p>
      <w:pPr>
        <w:pStyle w:val="BodyText"/>
        <w:spacing w:line="52" w:lineRule="exact"/>
        <w:ind w:left="893"/>
        <w:rPr>
          <w:rFonts w:ascii="Cambria Math"/>
          <w:sz w:val="5"/>
        </w:rPr>
      </w:pPr>
      <w:r>
        <w:rPr>
          <w:rFonts w:ascii="Cambria Math"/>
          <w:position w:val="0"/>
          <w:sz w:val="5"/>
        </w:rPr>
        <mc:AlternateContent>
          <mc:Choice Requires="wps">
            <w:drawing>
              <wp:inline distT="0" distB="0" distL="0" distR="0">
                <wp:extent cx="165100" cy="33655"/>
                <wp:effectExtent l="0" t="0" r="0" b="0"/>
                <wp:docPr id="298" name="Group 298"/>
                <wp:cNvGraphicFramePr>
                  <a:graphicFrameLocks/>
                </wp:cNvGraphicFramePr>
                <a:graphic>
                  <a:graphicData uri="http://schemas.microsoft.com/office/word/2010/wordprocessingGroup">
                    <wpg:wgp>
                      <wpg:cNvPr id="298" name="Group 298"/>
                      <wpg:cNvGrpSpPr/>
                      <wpg:grpSpPr>
                        <a:xfrm>
                          <a:off x="0" y="0"/>
                          <a:ext cx="165100" cy="33655"/>
                          <a:chExt cx="165100" cy="33655"/>
                        </a:xfrm>
                      </wpg:grpSpPr>
                      <wps:wsp>
                        <wps:cNvPr id="299" name="Graphic 299"/>
                        <wps:cNvSpPr/>
                        <wps:spPr>
                          <a:xfrm>
                            <a:off x="0" y="0"/>
                            <a:ext cx="165100" cy="33655"/>
                          </a:xfrm>
                          <a:custGeom>
                            <a:avLst/>
                            <a:gdLst/>
                            <a:ahLst/>
                            <a:cxnLst/>
                            <a:rect l="l" t="t" r="r" b="b"/>
                            <a:pathLst>
                              <a:path w="165100" h="33655">
                                <a:moveTo>
                                  <a:pt x="164592" y="25908"/>
                                </a:moveTo>
                                <a:lnTo>
                                  <a:pt x="79248" y="25908"/>
                                </a:lnTo>
                                <a:lnTo>
                                  <a:pt x="79248" y="33528"/>
                                </a:lnTo>
                                <a:lnTo>
                                  <a:pt x="164592" y="33528"/>
                                </a:lnTo>
                                <a:lnTo>
                                  <a:pt x="164592" y="25908"/>
                                </a:lnTo>
                                <a:close/>
                              </a:path>
                              <a:path w="165100" h="33655">
                                <a:moveTo>
                                  <a:pt x="164592" y="0"/>
                                </a:moveTo>
                                <a:lnTo>
                                  <a:pt x="0" y="0"/>
                                </a:lnTo>
                                <a:lnTo>
                                  <a:pt x="0" y="9144"/>
                                </a:lnTo>
                                <a:lnTo>
                                  <a:pt x="164592" y="9144"/>
                                </a:lnTo>
                                <a:lnTo>
                                  <a:pt x="1645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3pt;height:2.65pt;mso-position-horizontal-relative:char;mso-position-vertical-relative:line" id="docshapegroup268" coordorigin="0,0" coordsize="260,53">
                <v:shape style="position:absolute;left:0;top:0;width:260;height:53" id="docshape269" coordorigin="0,0" coordsize="260,53" path="m259,41l125,41,125,53,259,53,259,41xm259,0l0,0,0,14,259,14,259,0xe" filled="true" fillcolor="#000000" stroked="false">
                  <v:path arrowok="t"/>
                  <v:fill type="solid"/>
                </v:shape>
              </v:group>
            </w:pict>
          </mc:Fallback>
        </mc:AlternateContent>
      </w:r>
      <w:r>
        <w:rPr>
          <w:rFonts w:ascii="Cambria Math"/>
          <w:position w:val="0"/>
          <w:sz w:val="5"/>
        </w:rPr>
      </w:r>
    </w:p>
    <w:p>
      <w:pPr>
        <w:spacing w:before="0"/>
        <w:ind w:left="0" w:right="3750" w:firstLine="0"/>
        <w:jc w:val="center"/>
        <w:rPr>
          <w:rFonts w:ascii="Cambria Math" w:hAnsi="Cambria Math" w:eastAsia="Cambria Math"/>
          <w:sz w:val="19"/>
        </w:rPr>
      </w:pPr>
      <w:r>
        <w:rPr>
          <w:rFonts w:ascii="Cambria Math" w:hAnsi="Cambria Math" w:eastAsia="Cambria Math"/>
          <w:spacing w:val="-5"/>
          <w:sz w:val="19"/>
        </w:rPr>
        <w:t>√</w:t>
      </w:r>
      <w:r>
        <w:rPr>
          <w:rFonts w:ascii="Cambria Math" w:hAnsi="Cambria Math" w:eastAsia="Cambria Math"/>
          <w:spacing w:val="-5"/>
          <w:position w:val="1"/>
          <w:sz w:val="19"/>
        </w:rPr>
        <w:t>𝑛</w:t>
      </w:r>
    </w:p>
    <w:p>
      <w:pPr>
        <w:spacing w:line="240" w:lineRule="auto" w:before="0"/>
        <w:rPr>
          <w:rFonts w:ascii="Cambria Math"/>
          <w:sz w:val="24"/>
        </w:rPr>
      </w:pPr>
      <w:r>
        <w:rPr/>
        <w:br w:type="column"/>
      </w:r>
      <w:r>
        <w:rPr>
          <w:rFonts w:ascii="Cambria Math"/>
          <w:sz w:val="24"/>
        </w:rPr>
      </w:r>
    </w:p>
    <w:p>
      <w:pPr>
        <w:pStyle w:val="BodyText"/>
        <w:rPr>
          <w:rFonts w:ascii="Cambria Math"/>
        </w:rPr>
      </w:pPr>
    </w:p>
    <w:p>
      <w:pPr>
        <w:pStyle w:val="BodyText"/>
        <w:spacing w:before="46"/>
        <w:rPr>
          <w:rFonts w:ascii="Cambria Math"/>
        </w:rPr>
      </w:pPr>
    </w:p>
    <w:p>
      <w:pPr>
        <w:pStyle w:val="Heading4"/>
        <w:jc w:val="left"/>
      </w:pPr>
      <w:r>
        <w:rPr>
          <w:spacing w:val="-5"/>
        </w:rPr>
        <w:t>(5)</w:t>
      </w:r>
    </w:p>
    <w:p>
      <w:pPr>
        <w:spacing w:after="0"/>
        <w:jc w:val="left"/>
        <w:sectPr>
          <w:pgSz w:w="12240" w:h="15840"/>
          <w:pgMar w:header="0" w:footer="1036" w:top="1360" w:bottom="1220" w:left="1200" w:right="600"/>
          <w:cols w:num="2" w:equalWidth="0">
            <w:col w:w="5773" w:space="3289"/>
            <w:col w:w="1378"/>
          </w:cols>
        </w:sectPr>
      </w:pPr>
    </w:p>
    <w:p>
      <w:pPr>
        <w:pStyle w:val="BodyText"/>
        <w:spacing w:before="111"/>
        <w:rPr>
          <w:b/>
        </w:rPr>
      </w:pPr>
    </w:p>
    <w:p>
      <w:pPr>
        <w:pStyle w:val="BodyText"/>
        <w:spacing w:line="357" w:lineRule="auto"/>
        <w:ind w:left="240" w:right="839"/>
        <w:jc w:val="both"/>
      </w:pPr>
      <w:r>
        <w:rPr/>
        <w:t>Where,</w:t>
      </w:r>
      <w:r>
        <w:rPr>
          <w:rFonts w:ascii="Cambria Math" w:hAnsi="Cambria Math" w:eastAsia="Cambria Math"/>
          <w:sz w:val="32"/>
        </w:rPr>
        <w:t>𝑥̅</w:t>
      </w:r>
      <w:r>
        <w:rPr/>
        <w:t>is the RII</w:t>
      </w:r>
      <w:r>
        <w:rPr>
          <w:spacing w:val="-4"/>
        </w:rPr>
        <w:t> </w:t>
      </w:r>
      <w:r>
        <w:rPr/>
        <w:t>mean, ‗s‘ is the RII</w:t>
      </w:r>
      <w:r>
        <w:rPr>
          <w:spacing w:val="-1"/>
        </w:rPr>
        <w:t> </w:t>
      </w:r>
      <w:r>
        <w:rPr/>
        <w:t>standard deviation of the sample and n is the sample size. The degrees of freedom used in this test are n – 1.</w:t>
      </w:r>
    </w:p>
    <w:p>
      <w:pPr>
        <w:pStyle w:val="BodyText"/>
        <w:spacing w:line="360" w:lineRule="auto" w:before="243"/>
        <w:ind w:left="240" w:right="842"/>
        <w:jc w:val="both"/>
      </w:pPr>
      <w:r>
        <w:rPr/>
        <w:t>The decision rule is that </w:t>
      </w:r>
      <w:r>
        <w:rPr>
          <w:i/>
        </w:rPr>
        <w:t>H</w:t>
      </w:r>
      <w:r>
        <w:rPr>
          <w:i/>
          <w:vertAlign w:val="subscript"/>
        </w:rPr>
        <w:t>0</w:t>
      </w:r>
      <w:r>
        <w:rPr>
          <w:i/>
          <w:spacing w:val="-15"/>
          <w:vertAlign w:val="baseline"/>
        </w:rPr>
        <w:t> </w:t>
      </w:r>
      <w:r>
        <w:rPr>
          <w:vertAlign w:val="baseline"/>
        </w:rPr>
        <w:t>is rejected if the t-statistic value is greater than the critical value or if probability value of 0.0000 &lt; 0.05, otherwise do not reject </w:t>
      </w:r>
      <w:r>
        <w:rPr>
          <w:i/>
          <w:vertAlign w:val="baseline"/>
        </w:rPr>
        <w:t>H</w:t>
      </w:r>
      <w:r>
        <w:rPr>
          <w:i/>
          <w:vertAlign w:val="subscript"/>
        </w:rPr>
        <w:t>0</w:t>
      </w:r>
      <w:r>
        <w:rPr>
          <w:i/>
          <w:vertAlign w:val="baseline"/>
        </w:rPr>
        <w:t> </w:t>
      </w:r>
      <w:r>
        <w:rPr>
          <w:vertAlign w:val="baseline"/>
        </w:rPr>
        <w:t>and conclude that housing budget problems has a significant effect on the Housing budget performance in Anambra State.</w:t>
      </w:r>
    </w:p>
    <w:p>
      <w:pPr>
        <w:pStyle w:val="BodyText"/>
        <w:spacing w:before="81"/>
      </w:pPr>
    </w:p>
    <w:p>
      <w:pPr>
        <w:pStyle w:val="ListParagraph"/>
        <w:numPr>
          <w:ilvl w:val="0"/>
          <w:numId w:val="78"/>
        </w:numPr>
        <w:tabs>
          <w:tab w:pos="587" w:val="left" w:leader="none"/>
        </w:tabs>
        <w:spacing w:line="360" w:lineRule="auto" w:before="0" w:after="0"/>
        <w:ind w:left="240" w:right="836" w:firstLine="0"/>
        <w:jc w:val="both"/>
        <w:rPr>
          <w:sz w:val="24"/>
        </w:rPr>
      </w:pPr>
      <w:r>
        <w:rPr>
          <w:b/>
          <w:sz w:val="24"/>
        </w:rPr>
        <w:t>Trend Analysis: </w:t>
      </w:r>
      <w:r>
        <w:rPr>
          <w:sz w:val="24"/>
        </w:rPr>
        <w:t>This is a statistical tool used for studies that have time component or are time dependent (Anyadike, 2009). Trend in a time series refers to the general direction in which the time series appears to be moving over a long interval of time. In other words, whether it follows a regular or skewed pattern, or whether there is a general increase or decrease in value/quantity/amount over time. For this research, trend analysis was adopted, to assess the trend of annual housing budget allocation for the period (1999 – 2016) under study and test hypothesis one: there is no significant trend in annual housing budget allocation in Anambra State for the period under study.</w:t>
      </w:r>
    </w:p>
    <w:p>
      <w:pPr>
        <w:pStyle w:val="BodyText"/>
        <w:spacing w:line="360" w:lineRule="auto" w:before="257"/>
        <w:ind w:left="240" w:right="839"/>
        <w:jc w:val="both"/>
      </w:pPr>
      <w:r>
        <w:rPr/>
        <w:t>According to Anyadike (2009), the commonest method of finding a trend in a time series is to calculate the linear regression and correlation coefficient of the data over time. Linear regression may be expressed by the equation:</w:t>
      </w:r>
    </w:p>
    <w:p>
      <w:pPr>
        <w:pStyle w:val="BodyText"/>
        <w:spacing w:line="272" w:lineRule="exact"/>
        <w:ind w:left="240"/>
        <w:jc w:val="both"/>
      </w:pPr>
      <w:r>
        <w:rPr/>
        <w:t>Y =</w:t>
      </w:r>
      <w:r>
        <w:rPr>
          <w:spacing w:val="-2"/>
        </w:rPr>
        <w:t> </w:t>
      </w:r>
      <w:r>
        <w:rPr/>
        <w:t>a</w:t>
      </w:r>
      <w:r>
        <w:rPr>
          <w:spacing w:val="-1"/>
        </w:rPr>
        <w:t> </w:t>
      </w:r>
      <w:r>
        <w:rPr/>
        <w:t>+</w:t>
      </w:r>
      <w:r>
        <w:rPr>
          <w:spacing w:val="-1"/>
        </w:rPr>
        <w:t> </w:t>
      </w:r>
      <w:r>
        <w:rPr>
          <w:spacing w:val="-5"/>
        </w:rPr>
        <w:t>bx</w:t>
      </w:r>
    </w:p>
    <w:p>
      <w:pPr>
        <w:pStyle w:val="BodyText"/>
      </w:pPr>
    </w:p>
    <w:p>
      <w:pPr>
        <w:pStyle w:val="BodyText"/>
        <w:ind w:left="240"/>
        <w:jc w:val="both"/>
      </w:pPr>
      <w:r>
        <w:rPr/>
        <w:t>Where:</w:t>
      </w:r>
      <w:r>
        <w:rPr>
          <w:spacing w:val="-5"/>
        </w:rPr>
        <w:t> </w:t>
      </w:r>
      <w:r>
        <w:rPr/>
        <w:t>a</w:t>
      </w:r>
      <w:r>
        <w:rPr>
          <w:spacing w:val="-5"/>
        </w:rPr>
        <w:t> </w:t>
      </w:r>
      <w:r>
        <w:rPr/>
        <w:t>and</w:t>
      </w:r>
      <w:r>
        <w:rPr>
          <w:spacing w:val="-5"/>
        </w:rPr>
        <w:t> </w:t>
      </w:r>
      <w:r>
        <w:rPr/>
        <w:t>b</w:t>
      </w:r>
      <w:r>
        <w:rPr>
          <w:spacing w:val="-5"/>
        </w:rPr>
        <w:t> </w:t>
      </w:r>
      <w:r>
        <w:rPr/>
        <w:t>are</w:t>
      </w:r>
      <w:r>
        <w:rPr>
          <w:spacing w:val="-5"/>
        </w:rPr>
        <w:t> </w:t>
      </w:r>
      <w:r>
        <w:rPr/>
        <w:t>coefficients;</w:t>
      </w:r>
      <w:r>
        <w:rPr>
          <w:spacing w:val="-4"/>
        </w:rPr>
        <w:t> </w:t>
      </w:r>
      <w:r>
        <w:rPr/>
        <w:t>‗a‘</w:t>
      </w:r>
      <w:r>
        <w:rPr>
          <w:spacing w:val="-5"/>
        </w:rPr>
        <w:t> </w:t>
      </w:r>
      <w:r>
        <w:rPr/>
        <w:t>is</w:t>
      </w:r>
      <w:r>
        <w:rPr>
          <w:spacing w:val="-5"/>
        </w:rPr>
        <w:t> </w:t>
      </w:r>
      <w:r>
        <w:rPr/>
        <w:t>the</w:t>
      </w:r>
      <w:r>
        <w:rPr>
          <w:spacing w:val="-5"/>
        </w:rPr>
        <w:t> </w:t>
      </w:r>
      <w:r>
        <w:rPr/>
        <w:t>intercept</w:t>
      </w:r>
      <w:r>
        <w:rPr>
          <w:spacing w:val="-4"/>
        </w:rPr>
        <w:t> </w:t>
      </w:r>
      <w:r>
        <w:rPr/>
        <w:t>on</w:t>
      </w:r>
      <w:r>
        <w:rPr>
          <w:spacing w:val="-3"/>
        </w:rPr>
        <w:t> </w:t>
      </w:r>
      <w:r>
        <w:rPr/>
        <w:t>y</w:t>
      </w:r>
      <w:r>
        <w:rPr>
          <w:spacing w:val="-9"/>
        </w:rPr>
        <w:t> </w:t>
      </w:r>
      <w:r>
        <w:rPr/>
        <w:t>axis</w:t>
      </w:r>
      <w:r>
        <w:rPr>
          <w:spacing w:val="-6"/>
        </w:rPr>
        <w:t> </w:t>
      </w:r>
      <w:r>
        <w:rPr/>
        <w:t>when</w:t>
      </w:r>
      <w:r>
        <w:rPr>
          <w:spacing w:val="-5"/>
        </w:rPr>
        <w:t> </w:t>
      </w:r>
      <w:r>
        <w:rPr/>
        <w:t>x=0,</w:t>
      </w:r>
      <w:r>
        <w:rPr>
          <w:spacing w:val="-5"/>
        </w:rPr>
        <w:t> </w:t>
      </w:r>
      <w:r>
        <w:rPr/>
        <w:t>and</w:t>
      </w:r>
      <w:r>
        <w:rPr>
          <w:spacing w:val="-3"/>
        </w:rPr>
        <w:t> </w:t>
      </w:r>
      <w:r>
        <w:rPr/>
        <w:t>‗b‘</w:t>
      </w:r>
      <w:r>
        <w:rPr>
          <w:spacing w:val="-6"/>
        </w:rPr>
        <w:t> </w:t>
      </w:r>
      <w:r>
        <w:rPr/>
        <w:t>is</w:t>
      </w:r>
      <w:r>
        <w:rPr>
          <w:spacing w:val="-6"/>
        </w:rPr>
        <w:t> </w:t>
      </w:r>
      <w:r>
        <w:rPr/>
        <w:t>the</w:t>
      </w:r>
      <w:r>
        <w:rPr>
          <w:spacing w:val="-6"/>
        </w:rPr>
        <w:t> </w:t>
      </w:r>
      <w:r>
        <w:rPr>
          <w:spacing w:val="-2"/>
        </w:rPr>
        <w:t>slope.</w:t>
      </w:r>
    </w:p>
    <w:p>
      <w:pPr>
        <w:pStyle w:val="BodyText"/>
        <w:spacing w:before="3"/>
        <w:rPr>
          <w:sz w:val="16"/>
        </w:rPr>
      </w:pPr>
    </w:p>
    <w:p>
      <w:pPr>
        <w:spacing w:after="0"/>
        <w:rPr>
          <w:sz w:val="16"/>
        </w:rPr>
        <w:sectPr>
          <w:type w:val="continuous"/>
          <w:pgSz w:w="12240" w:h="15840"/>
          <w:pgMar w:header="0" w:footer="1036" w:top="1520" w:bottom="1220" w:left="1200" w:right="600"/>
        </w:sectPr>
      </w:pPr>
    </w:p>
    <w:p>
      <w:pPr>
        <w:pStyle w:val="BodyText"/>
        <w:spacing w:before="90"/>
        <w:ind w:left="240"/>
      </w:pPr>
      <w:r>
        <w:rPr/>
        <w:t>b = ∑xy</w:t>
      </w:r>
      <w:r>
        <w:rPr>
          <w:spacing w:val="-4"/>
        </w:rPr>
        <w:t> </w:t>
      </w:r>
      <w:r>
        <w:rPr/>
        <w:t>–</w:t>
      </w:r>
      <w:r>
        <w:rPr>
          <w:spacing w:val="1"/>
        </w:rPr>
        <w:t> </w:t>
      </w:r>
      <w:r>
        <w:rPr>
          <w:spacing w:val="-2"/>
          <w:u w:val="single"/>
        </w:rPr>
        <w:t>(∑x)(∑y)</w:t>
      </w:r>
    </w:p>
    <w:p>
      <w:pPr>
        <w:pStyle w:val="BodyText"/>
        <w:ind w:right="349"/>
        <w:jc w:val="right"/>
      </w:pPr>
      <w:r>
        <w:rPr>
          <w:spacing w:val="-10"/>
        </w:rPr>
        <w:t>N</w:t>
      </w:r>
    </w:p>
    <w:p>
      <w:pPr>
        <w:pStyle w:val="BodyText"/>
        <w:spacing w:before="7"/>
        <w:rPr>
          <w:sz w:val="5"/>
        </w:rPr>
      </w:pPr>
    </w:p>
    <w:p>
      <w:pPr>
        <w:pStyle w:val="BodyText"/>
        <w:spacing w:line="20" w:lineRule="exact"/>
        <w:ind w:left="572" w:right="-591"/>
        <w:rPr>
          <w:sz w:val="2"/>
        </w:rPr>
      </w:pPr>
      <w:r>
        <w:rPr>
          <w:sz w:val="2"/>
        </w:rPr>
        <mc:AlternateContent>
          <mc:Choice Requires="wps">
            <w:drawing>
              <wp:inline distT="0" distB="0" distL="0" distR="0">
                <wp:extent cx="1376680" cy="9525"/>
                <wp:effectExtent l="9525" t="0" r="4444" b="0"/>
                <wp:docPr id="300" name="Group 300"/>
                <wp:cNvGraphicFramePr>
                  <a:graphicFrameLocks/>
                </wp:cNvGraphicFramePr>
                <a:graphic>
                  <a:graphicData uri="http://schemas.microsoft.com/office/word/2010/wordprocessingGroup">
                    <wpg:wgp>
                      <wpg:cNvPr id="300" name="Group 300"/>
                      <wpg:cNvGrpSpPr/>
                      <wpg:grpSpPr>
                        <a:xfrm>
                          <a:off x="0" y="0"/>
                          <a:ext cx="1376680" cy="9525"/>
                          <a:chExt cx="1376680" cy="9525"/>
                        </a:xfrm>
                      </wpg:grpSpPr>
                      <wps:wsp>
                        <wps:cNvPr id="301" name="Graphic 301"/>
                        <wps:cNvSpPr/>
                        <wps:spPr>
                          <a:xfrm>
                            <a:off x="0" y="4762"/>
                            <a:ext cx="1376680" cy="1270"/>
                          </a:xfrm>
                          <a:custGeom>
                            <a:avLst/>
                            <a:gdLst/>
                            <a:ahLst/>
                            <a:cxnLst/>
                            <a:rect l="l" t="t" r="r" b="b"/>
                            <a:pathLst>
                              <a:path w="1376680" h="0">
                                <a:moveTo>
                                  <a:pt x="0" y="0"/>
                                </a:moveTo>
                                <a:lnTo>
                                  <a:pt x="137668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8.4pt;height:.75pt;mso-position-horizontal-relative:char;mso-position-vertical-relative:line" id="docshapegroup270" coordorigin="0,0" coordsize="2168,15">
                <v:line style="position:absolute" from="0,8" to="2168,8" stroked="true" strokeweight=".75pt" strokecolor="#000000">
                  <v:stroke dashstyle="solid"/>
                </v:line>
              </v:group>
            </w:pict>
          </mc:Fallback>
        </mc:AlternateContent>
      </w:r>
      <w:r>
        <w:rPr>
          <w:sz w:val="2"/>
        </w:rPr>
      </w:r>
    </w:p>
    <w:p>
      <w:pPr>
        <w:pStyle w:val="BodyText"/>
        <w:spacing w:before="191"/>
        <w:ind w:left="900"/>
      </w:pPr>
      <w:r>
        <w:rPr/>
        <mc:AlternateContent>
          <mc:Choice Requires="wps">
            <w:drawing>
              <wp:anchor distT="0" distB="0" distL="0" distR="0" allowOverlap="1" layoutInCell="1" locked="0" behindDoc="0" simplePos="0" relativeHeight="15749120">
                <wp:simplePos x="0" y="0"/>
                <wp:positionH relativeFrom="page">
                  <wp:posOffset>1684273</wp:posOffset>
                </wp:positionH>
                <wp:positionV relativeFrom="paragraph">
                  <wp:posOffset>280811</wp:posOffset>
                </wp:positionV>
                <wp:extent cx="338455" cy="7620"/>
                <wp:effectExtent l="0" t="0" r="0" b="0"/>
                <wp:wrapNone/>
                <wp:docPr id="302" name="Graphic 302"/>
                <wp:cNvGraphicFramePr>
                  <a:graphicFrameLocks/>
                </wp:cNvGraphicFramePr>
                <a:graphic>
                  <a:graphicData uri="http://schemas.microsoft.com/office/word/2010/wordprocessingShape">
                    <wps:wsp>
                      <wps:cNvPr id="302" name="Graphic 302"/>
                      <wps:cNvSpPr/>
                      <wps:spPr>
                        <a:xfrm>
                          <a:off x="0" y="0"/>
                          <a:ext cx="338455" cy="7620"/>
                        </a:xfrm>
                        <a:custGeom>
                          <a:avLst/>
                          <a:gdLst/>
                          <a:ahLst/>
                          <a:cxnLst/>
                          <a:rect l="l" t="t" r="r" b="b"/>
                          <a:pathLst>
                            <a:path w="338455" h="7620">
                              <a:moveTo>
                                <a:pt x="338327" y="0"/>
                              </a:moveTo>
                              <a:lnTo>
                                <a:pt x="0" y="0"/>
                              </a:lnTo>
                              <a:lnTo>
                                <a:pt x="0" y="7620"/>
                              </a:lnTo>
                              <a:lnTo>
                                <a:pt x="338327" y="7620"/>
                              </a:lnTo>
                              <a:lnTo>
                                <a:pt x="3383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2.619995pt;margin-top:22.111147pt;width:26.64pt;height:.60004pt;mso-position-horizontal-relative:page;mso-position-vertical-relative:paragraph;z-index:15749120" id="docshape271" filled="true" fillcolor="#000000" stroked="false">
                <v:fill type="solid"/>
                <w10:wrap type="none"/>
              </v:rect>
            </w:pict>
          </mc:Fallback>
        </mc:AlternateContent>
      </w:r>
      <w:r>
        <w:rPr/>
        <w:t>∑x</w:t>
      </w:r>
      <w:r>
        <w:rPr>
          <w:vertAlign w:val="superscript"/>
        </w:rPr>
        <w:t>2</w:t>
      </w:r>
      <w:r>
        <w:rPr>
          <w:spacing w:val="-21"/>
          <w:vertAlign w:val="baseline"/>
        </w:rPr>
        <w:t> </w:t>
      </w:r>
      <w:r>
        <w:rPr>
          <w:vertAlign w:val="baseline"/>
        </w:rPr>
        <w:t>- </w:t>
      </w:r>
      <w:r>
        <w:rPr>
          <w:spacing w:val="-2"/>
          <w:vertAlign w:val="baseline"/>
        </w:rPr>
        <w:t>(∑x)</w:t>
      </w:r>
      <w:r>
        <w:rPr>
          <w:spacing w:val="-2"/>
          <w:vertAlign w:val="superscript"/>
        </w:rPr>
        <w:t>2</w:t>
      </w:r>
    </w:p>
    <w:p>
      <w:pPr>
        <w:pStyle w:val="BodyText"/>
        <w:ind w:right="529"/>
        <w:jc w:val="right"/>
      </w:pPr>
      <w:r>
        <w:rPr>
          <w:spacing w:val="-10"/>
        </w:rPr>
        <w:t>N</w:t>
      </w:r>
    </w:p>
    <w:p>
      <w:pPr>
        <w:spacing w:line="240" w:lineRule="auto" w:before="0"/>
        <w:rPr>
          <w:sz w:val="24"/>
        </w:rPr>
      </w:pPr>
      <w:r>
        <w:rPr/>
        <w:br w:type="column"/>
      </w:r>
      <w:r>
        <w:rPr>
          <w:sz w:val="24"/>
        </w:rPr>
      </w:r>
    </w:p>
    <w:p>
      <w:pPr>
        <w:pStyle w:val="BodyText"/>
        <w:spacing w:before="95"/>
      </w:pPr>
    </w:p>
    <w:p>
      <w:pPr>
        <w:pStyle w:val="Heading4"/>
        <w:jc w:val="left"/>
      </w:pPr>
      <w:r>
        <w:rPr>
          <w:spacing w:val="-5"/>
        </w:rPr>
        <w:t>(6)</w:t>
      </w:r>
    </w:p>
    <w:p>
      <w:pPr>
        <w:spacing w:after="0"/>
        <w:jc w:val="left"/>
        <w:sectPr>
          <w:type w:val="continuous"/>
          <w:pgSz w:w="12240" w:h="15840"/>
          <w:pgMar w:header="0" w:footer="1036" w:top="1520" w:bottom="1220" w:left="1200" w:right="600"/>
          <w:cols w:num="2" w:equalWidth="0">
            <w:col w:w="2206" w:space="6856"/>
            <w:col w:w="1378"/>
          </w:cols>
        </w:sectPr>
      </w:pPr>
    </w:p>
    <w:p>
      <w:pPr>
        <w:pStyle w:val="BodyText"/>
        <w:tabs>
          <w:tab w:pos="9301" w:val="left" w:leader="none"/>
        </w:tabs>
        <w:spacing w:before="94"/>
        <w:ind w:left="240"/>
        <w:rPr>
          <w:b/>
        </w:rPr>
      </w:pPr>
      <w:r>
        <w:rPr/>
        <w:t>and</w:t>
      </w:r>
      <w:r>
        <w:rPr>
          <w:spacing w:val="-1"/>
        </w:rPr>
        <w:t> </w:t>
      </w:r>
      <w:r>
        <w:rPr/>
        <w:t>a</w:t>
      </w:r>
      <w:r>
        <w:rPr>
          <w:spacing w:val="59"/>
        </w:rPr>
        <w:t> </w:t>
      </w:r>
      <w:r>
        <w:rPr/>
        <w:t>=</w:t>
      </w:r>
      <w:r>
        <w:rPr>
          <w:spacing w:val="3"/>
        </w:rPr>
        <w:t> </w:t>
      </w:r>
      <w:r>
        <w:rPr/>
        <w:t>y</w:t>
      </w:r>
      <w:r>
        <w:rPr>
          <w:spacing w:val="-5"/>
        </w:rPr>
        <w:t> –bx</w:t>
      </w:r>
      <w:r>
        <w:rPr/>
        <w:tab/>
      </w:r>
      <w:r>
        <w:rPr>
          <w:b/>
          <w:spacing w:val="-5"/>
        </w:rPr>
        <w:t>(7)</w:t>
      </w:r>
    </w:p>
    <w:p>
      <w:pPr>
        <w:spacing w:after="0"/>
        <w:sectPr>
          <w:type w:val="continuous"/>
          <w:pgSz w:w="12240" w:h="15840"/>
          <w:pgMar w:header="0" w:footer="1036" w:top="1520" w:bottom="1220" w:left="1200" w:right="600"/>
        </w:sectPr>
      </w:pPr>
    </w:p>
    <w:p>
      <w:pPr>
        <w:pStyle w:val="BodyText"/>
        <w:spacing w:before="72"/>
        <w:ind w:left="240"/>
      </w:pPr>
      <w:r>
        <w:rPr/>
        <w:t>Similarly,</w:t>
      </w:r>
      <w:r>
        <w:rPr>
          <w:spacing w:val="-5"/>
        </w:rPr>
        <w:t> </w:t>
      </w:r>
      <w:r>
        <w:rPr/>
        <w:t>the</w:t>
      </w:r>
      <w:r>
        <w:rPr>
          <w:spacing w:val="-2"/>
        </w:rPr>
        <w:t> </w:t>
      </w:r>
      <w:r>
        <w:rPr/>
        <w:t>Pearson</w:t>
      </w:r>
      <w:r>
        <w:rPr>
          <w:spacing w:val="-2"/>
        </w:rPr>
        <w:t> </w:t>
      </w:r>
      <w:r>
        <w:rPr/>
        <w:t>correlation</w:t>
      </w:r>
      <w:r>
        <w:rPr>
          <w:spacing w:val="-3"/>
        </w:rPr>
        <w:t> </w:t>
      </w:r>
      <w:r>
        <w:rPr/>
        <w:t>coefficient</w:t>
      </w:r>
      <w:r>
        <w:rPr>
          <w:spacing w:val="-2"/>
        </w:rPr>
        <w:t> </w:t>
      </w:r>
      <w:r>
        <w:rPr/>
        <w:t>is given</w:t>
      </w:r>
      <w:r>
        <w:rPr>
          <w:spacing w:val="-2"/>
        </w:rPr>
        <w:t> </w:t>
      </w:r>
      <w:r>
        <w:rPr>
          <w:spacing w:val="-5"/>
        </w:rPr>
        <w:t>as:</w:t>
      </w:r>
    </w:p>
    <w:p>
      <w:pPr>
        <w:pStyle w:val="BodyText"/>
        <w:spacing w:before="2"/>
      </w:pPr>
    </w:p>
    <w:p>
      <w:pPr>
        <w:pStyle w:val="BodyText"/>
        <w:tabs>
          <w:tab w:pos="9301" w:val="left" w:leader="none"/>
        </w:tabs>
        <w:ind w:left="240"/>
        <w:rPr>
          <w:b/>
        </w:rPr>
      </w:pPr>
      <w:r>
        <w:rPr/>
        <mc:AlternateContent>
          <mc:Choice Requires="wps">
            <w:drawing>
              <wp:anchor distT="0" distB="0" distL="0" distR="0" allowOverlap="1" layoutInCell="1" locked="0" behindDoc="1" simplePos="0" relativeHeight="487609344">
                <wp:simplePos x="0" y="0"/>
                <wp:positionH relativeFrom="page">
                  <wp:posOffset>1116964</wp:posOffset>
                </wp:positionH>
                <wp:positionV relativeFrom="paragraph">
                  <wp:posOffset>197514</wp:posOffset>
                </wp:positionV>
                <wp:extent cx="2633980" cy="1270"/>
                <wp:effectExtent l="0" t="0" r="0" b="0"/>
                <wp:wrapTopAndBottom/>
                <wp:docPr id="303" name="Graphic 303"/>
                <wp:cNvGraphicFramePr>
                  <a:graphicFrameLocks/>
                </wp:cNvGraphicFramePr>
                <a:graphic>
                  <a:graphicData uri="http://schemas.microsoft.com/office/word/2010/wordprocessingShape">
                    <wps:wsp>
                      <wps:cNvPr id="303" name="Graphic 303"/>
                      <wps:cNvSpPr/>
                      <wps:spPr>
                        <a:xfrm>
                          <a:off x="0" y="0"/>
                          <a:ext cx="2633980" cy="1270"/>
                        </a:xfrm>
                        <a:custGeom>
                          <a:avLst/>
                          <a:gdLst/>
                          <a:ahLst/>
                          <a:cxnLst/>
                          <a:rect l="l" t="t" r="r" b="b"/>
                          <a:pathLst>
                            <a:path w="2633980" h="0">
                              <a:moveTo>
                                <a:pt x="0" y="0"/>
                              </a:moveTo>
                              <a:lnTo>
                                <a:pt x="263398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7.949997pt;margin-top:15.552343pt;width:207.4pt;height:.1pt;mso-position-horizontal-relative:page;mso-position-vertical-relative:paragraph;z-index:-15707136;mso-wrap-distance-left:0;mso-wrap-distance-right:0" id="docshape272" coordorigin="1759,311" coordsize="4148,0" path="m1759,311l5907,311e" filled="false" stroked="true" strokeweight=".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09856">
                <wp:simplePos x="0" y="0"/>
                <wp:positionH relativeFrom="page">
                  <wp:posOffset>1011237</wp:posOffset>
                </wp:positionH>
                <wp:positionV relativeFrom="paragraph">
                  <wp:posOffset>243811</wp:posOffset>
                </wp:positionV>
                <wp:extent cx="2748280" cy="276225"/>
                <wp:effectExtent l="0" t="0" r="0" b="0"/>
                <wp:wrapTopAndBottom/>
                <wp:docPr id="304" name="Group 304"/>
                <wp:cNvGraphicFramePr>
                  <a:graphicFrameLocks/>
                </wp:cNvGraphicFramePr>
                <a:graphic>
                  <a:graphicData uri="http://schemas.microsoft.com/office/word/2010/wordprocessingGroup">
                    <wpg:wgp>
                      <wpg:cNvPr id="304" name="Group 304"/>
                      <wpg:cNvGrpSpPr/>
                      <wpg:grpSpPr>
                        <a:xfrm>
                          <a:off x="0" y="0"/>
                          <a:ext cx="2748280" cy="276225"/>
                          <a:chExt cx="2748280" cy="276225"/>
                        </a:xfrm>
                      </wpg:grpSpPr>
                      <wps:wsp>
                        <wps:cNvPr id="305" name="Graphic 305"/>
                        <wps:cNvSpPr/>
                        <wps:spPr>
                          <a:xfrm>
                            <a:off x="4762" y="17202"/>
                            <a:ext cx="2743200" cy="254000"/>
                          </a:xfrm>
                          <a:custGeom>
                            <a:avLst/>
                            <a:gdLst/>
                            <a:ahLst/>
                            <a:cxnLst/>
                            <a:rect l="l" t="t" r="r" b="b"/>
                            <a:pathLst>
                              <a:path w="2743200" h="254000">
                                <a:moveTo>
                                  <a:pt x="109219" y="0"/>
                                </a:moveTo>
                                <a:lnTo>
                                  <a:pt x="2743200" y="0"/>
                                </a:lnTo>
                              </a:path>
                              <a:path w="2743200" h="254000">
                                <a:moveTo>
                                  <a:pt x="117475" y="0"/>
                                </a:moveTo>
                                <a:lnTo>
                                  <a:pt x="100965" y="254000"/>
                                </a:lnTo>
                              </a:path>
                              <a:path w="2743200" h="254000">
                                <a:moveTo>
                                  <a:pt x="0" y="76200"/>
                                </a:moveTo>
                                <a:lnTo>
                                  <a:pt x="92075" y="241300"/>
                                </a:lnTo>
                              </a:path>
                            </a:pathLst>
                          </a:custGeom>
                          <a:ln w="9525">
                            <a:solidFill>
                              <a:srgbClr val="000000"/>
                            </a:solidFill>
                            <a:prstDash val="solid"/>
                          </a:ln>
                        </wps:spPr>
                        <wps:bodyPr wrap="square" lIns="0" tIns="0" rIns="0" bIns="0" rtlCol="0">
                          <a:prstTxWarp prst="textNoShape">
                            <a:avLst/>
                          </a:prstTxWarp>
                          <a:noAutofit/>
                        </wps:bodyPr>
                      </wps:wsp>
                      <wps:wsp>
                        <wps:cNvPr id="306" name="Textbox 306"/>
                        <wps:cNvSpPr txBox="1"/>
                        <wps:spPr>
                          <a:xfrm>
                            <a:off x="0" y="0"/>
                            <a:ext cx="2748280" cy="276225"/>
                          </a:xfrm>
                          <a:prstGeom prst="rect">
                            <a:avLst/>
                          </a:prstGeom>
                        </wps:spPr>
                        <wps:txbx>
                          <w:txbxContent>
                            <w:p>
                              <w:pPr>
                                <w:spacing w:before="29"/>
                                <w:ind w:left="327" w:right="0" w:firstLine="0"/>
                                <w:jc w:val="left"/>
                                <w:rPr>
                                  <w:sz w:val="24"/>
                                </w:rPr>
                              </w:pPr>
                              <w:r>
                                <w:rPr>
                                  <w:sz w:val="24"/>
                                </w:rPr>
                                <w:t>[(n∑x</w:t>
                              </w:r>
                              <w:r>
                                <w:rPr>
                                  <w:sz w:val="24"/>
                                  <w:vertAlign w:val="superscript"/>
                                </w:rPr>
                                <w:t>2</w:t>
                              </w:r>
                              <w:r>
                                <w:rPr>
                                  <w:spacing w:val="-18"/>
                                  <w:sz w:val="24"/>
                                  <w:vertAlign w:val="baseline"/>
                                </w:rPr>
                                <w:t> </w:t>
                              </w:r>
                              <w:r>
                                <w:rPr>
                                  <w:sz w:val="24"/>
                                  <w:vertAlign w:val="baseline"/>
                                </w:rPr>
                                <w:t>-</w:t>
                              </w:r>
                              <w:r>
                                <w:rPr>
                                  <w:spacing w:val="-2"/>
                                  <w:sz w:val="24"/>
                                  <w:vertAlign w:val="baseline"/>
                                </w:rPr>
                                <w:t> </w:t>
                              </w:r>
                              <w:r>
                                <w:rPr>
                                  <w:sz w:val="24"/>
                                  <w:vertAlign w:val="baseline"/>
                                </w:rPr>
                                <w:t>(</w:t>
                              </w:r>
                              <w:r>
                                <w:rPr>
                                  <w:spacing w:val="-1"/>
                                  <w:sz w:val="24"/>
                                  <w:vertAlign w:val="baseline"/>
                                </w:rPr>
                                <w:t> </w:t>
                              </w:r>
                              <w:r>
                                <w:rPr>
                                  <w:sz w:val="24"/>
                                  <w:vertAlign w:val="baseline"/>
                                </w:rPr>
                                <w:t>∑x</w:t>
                              </w:r>
                              <w:r>
                                <w:rPr>
                                  <w:sz w:val="24"/>
                                  <w:vertAlign w:val="superscript"/>
                                </w:rPr>
                                <w:t>2</w:t>
                              </w:r>
                              <w:r>
                                <w:rPr>
                                  <w:sz w:val="24"/>
                                  <w:vertAlign w:val="baseline"/>
                                </w:rPr>
                                <w:t>)</w:t>
                              </w:r>
                              <w:r>
                                <w:rPr>
                                  <w:spacing w:val="-1"/>
                                  <w:sz w:val="24"/>
                                  <w:vertAlign w:val="baseline"/>
                                </w:rPr>
                                <w:t> </w:t>
                              </w:r>
                              <w:r>
                                <w:rPr>
                                  <w:sz w:val="24"/>
                                  <w:vertAlign w:val="baseline"/>
                                </w:rPr>
                                <w:t>(n∑y</w:t>
                              </w:r>
                              <w:r>
                                <w:rPr>
                                  <w:sz w:val="24"/>
                                  <w:vertAlign w:val="superscript"/>
                                </w:rPr>
                                <w:t>2</w:t>
                              </w:r>
                              <w:r>
                                <w:rPr>
                                  <w:sz w:val="24"/>
                                  <w:vertAlign w:val="baseline"/>
                                </w:rPr>
                                <w:t>-</w:t>
                              </w:r>
                              <w:r>
                                <w:rPr>
                                  <w:spacing w:val="-1"/>
                                  <w:sz w:val="24"/>
                                  <w:vertAlign w:val="baseline"/>
                                </w:rPr>
                                <w:t> </w:t>
                              </w:r>
                              <w:r>
                                <w:rPr>
                                  <w:spacing w:val="-2"/>
                                  <w:sz w:val="24"/>
                                  <w:vertAlign w:val="baseline"/>
                                </w:rPr>
                                <w:t>(∑y)</w:t>
                              </w:r>
                              <w:r>
                                <w:rPr>
                                  <w:spacing w:val="-2"/>
                                  <w:sz w:val="24"/>
                                  <w:vertAlign w:val="superscript"/>
                                </w:rPr>
                                <w:t>2</w:t>
                              </w:r>
                              <w:r>
                                <w:rPr>
                                  <w:spacing w:val="-2"/>
                                  <w:sz w:val="24"/>
                                  <w:vertAlign w:val="baseline"/>
                                </w:rPr>
                                <w:t>)]</w:t>
                              </w:r>
                            </w:p>
                          </w:txbxContent>
                        </wps:txbx>
                        <wps:bodyPr wrap="square" lIns="0" tIns="0" rIns="0" bIns="0" rtlCol="0">
                          <a:noAutofit/>
                        </wps:bodyPr>
                      </wps:wsp>
                    </wpg:wgp>
                  </a:graphicData>
                </a:graphic>
              </wp:anchor>
            </w:drawing>
          </mc:Choice>
          <mc:Fallback>
            <w:pict>
              <v:group style="position:absolute;margin-left:79.625pt;margin-top:19.197792pt;width:216.4pt;height:21.75pt;mso-position-horizontal-relative:page;mso-position-vertical-relative:paragraph;z-index:-15706624;mso-wrap-distance-left:0;mso-wrap-distance-right:0" id="docshapegroup273" coordorigin="1593,384" coordsize="4328,435">
                <v:shape style="position:absolute;left:1600;top:411;width:4320;height:400" id="docshape274" coordorigin="1600,411" coordsize="4320,400" path="m1772,411l5920,411m1785,411l1759,811m1600,531l1745,791e" filled="false" stroked="true" strokeweight=".75pt" strokecolor="#000000">
                  <v:path arrowok="t"/>
                  <v:stroke dashstyle="solid"/>
                </v:shape>
                <v:shape style="position:absolute;left:1592;top:383;width:4328;height:435" type="#_x0000_t202" id="docshape275" filled="false" stroked="false">
                  <v:textbox inset="0,0,0,0">
                    <w:txbxContent>
                      <w:p>
                        <w:pPr>
                          <w:spacing w:before="29"/>
                          <w:ind w:left="327" w:right="0" w:firstLine="0"/>
                          <w:jc w:val="left"/>
                          <w:rPr>
                            <w:sz w:val="24"/>
                          </w:rPr>
                        </w:pPr>
                        <w:r>
                          <w:rPr>
                            <w:sz w:val="24"/>
                          </w:rPr>
                          <w:t>[(n∑x</w:t>
                        </w:r>
                        <w:r>
                          <w:rPr>
                            <w:sz w:val="24"/>
                            <w:vertAlign w:val="superscript"/>
                          </w:rPr>
                          <w:t>2</w:t>
                        </w:r>
                        <w:r>
                          <w:rPr>
                            <w:spacing w:val="-18"/>
                            <w:sz w:val="24"/>
                            <w:vertAlign w:val="baseline"/>
                          </w:rPr>
                          <w:t> </w:t>
                        </w:r>
                        <w:r>
                          <w:rPr>
                            <w:sz w:val="24"/>
                            <w:vertAlign w:val="baseline"/>
                          </w:rPr>
                          <w:t>-</w:t>
                        </w:r>
                        <w:r>
                          <w:rPr>
                            <w:spacing w:val="-2"/>
                            <w:sz w:val="24"/>
                            <w:vertAlign w:val="baseline"/>
                          </w:rPr>
                          <w:t> </w:t>
                        </w:r>
                        <w:r>
                          <w:rPr>
                            <w:sz w:val="24"/>
                            <w:vertAlign w:val="baseline"/>
                          </w:rPr>
                          <w:t>(</w:t>
                        </w:r>
                        <w:r>
                          <w:rPr>
                            <w:spacing w:val="-1"/>
                            <w:sz w:val="24"/>
                            <w:vertAlign w:val="baseline"/>
                          </w:rPr>
                          <w:t> </w:t>
                        </w:r>
                        <w:r>
                          <w:rPr>
                            <w:sz w:val="24"/>
                            <w:vertAlign w:val="baseline"/>
                          </w:rPr>
                          <w:t>∑x</w:t>
                        </w:r>
                        <w:r>
                          <w:rPr>
                            <w:sz w:val="24"/>
                            <w:vertAlign w:val="superscript"/>
                          </w:rPr>
                          <w:t>2</w:t>
                        </w:r>
                        <w:r>
                          <w:rPr>
                            <w:sz w:val="24"/>
                            <w:vertAlign w:val="baseline"/>
                          </w:rPr>
                          <w:t>)</w:t>
                        </w:r>
                        <w:r>
                          <w:rPr>
                            <w:spacing w:val="-1"/>
                            <w:sz w:val="24"/>
                            <w:vertAlign w:val="baseline"/>
                          </w:rPr>
                          <w:t> </w:t>
                        </w:r>
                        <w:r>
                          <w:rPr>
                            <w:sz w:val="24"/>
                            <w:vertAlign w:val="baseline"/>
                          </w:rPr>
                          <w:t>(n∑y</w:t>
                        </w:r>
                        <w:r>
                          <w:rPr>
                            <w:sz w:val="24"/>
                            <w:vertAlign w:val="superscript"/>
                          </w:rPr>
                          <w:t>2</w:t>
                        </w:r>
                        <w:r>
                          <w:rPr>
                            <w:sz w:val="24"/>
                            <w:vertAlign w:val="baseline"/>
                          </w:rPr>
                          <w:t>-</w:t>
                        </w:r>
                        <w:r>
                          <w:rPr>
                            <w:spacing w:val="-1"/>
                            <w:sz w:val="24"/>
                            <w:vertAlign w:val="baseline"/>
                          </w:rPr>
                          <w:t> </w:t>
                        </w:r>
                        <w:r>
                          <w:rPr>
                            <w:spacing w:val="-2"/>
                            <w:sz w:val="24"/>
                            <w:vertAlign w:val="baseline"/>
                          </w:rPr>
                          <w:t>(∑y)</w:t>
                        </w:r>
                        <w:r>
                          <w:rPr>
                            <w:spacing w:val="-2"/>
                            <w:sz w:val="24"/>
                            <w:vertAlign w:val="superscript"/>
                          </w:rPr>
                          <w:t>2</w:t>
                        </w:r>
                        <w:r>
                          <w:rPr>
                            <w:spacing w:val="-2"/>
                            <w:sz w:val="24"/>
                            <w:vertAlign w:val="baseline"/>
                          </w:rPr>
                          <w:t>)]</w:t>
                        </w:r>
                      </w:p>
                    </w:txbxContent>
                  </v:textbox>
                  <w10:wrap type="none"/>
                </v:shape>
                <w10:wrap type="topAndBottom"/>
              </v:group>
            </w:pict>
          </mc:Fallback>
        </mc:AlternateContent>
      </w:r>
      <w:r>
        <w:rPr/>
        <w:t>r</w:t>
      </w:r>
      <w:r>
        <w:rPr>
          <w:spacing w:val="-2"/>
        </w:rPr>
        <w:t> </w:t>
      </w:r>
      <w:r>
        <w:rPr/>
        <w:t>=</w:t>
      </w:r>
      <w:r>
        <w:rPr>
          <w:spacing w:val="-1"/>
        </w:rPr>
        <w:t> </w:t>
      </w:r>
      <w:r>
        <w:rPr/>
        <w:t>n∑xy</w:t>
      </w:r>
      <w:r>
        <w:rPr>
          <w:spacing w:val="-5"/>
        </w:rPr>
        <w:t> </w:t>
      </w:r>
      <w:r>
        <w:rPr/>
        <w:t>-</w:t>
      </w:r>
      <w:r>
        <w:rPr>
          <w:spacing w:val="2"/>
        </w:rPr>
        <w:t> </w:t>
      </w:r>
      <w:r>
        <w:rPr/>
        <w:t>∑x</w:t>
      </w:r>
      <w:r>
        <w:rPr>
          <w:spacing w:val="2"/>
        </w:rPr>
        <w:t> </w:t>
      </w:r>
      <w:r>
        <w:rPr>
          <w:spacing w:val="-5"/>
        </w:rPr>
        <w:t>∑y</w:t>
      </w:r>
      <w:r>
        <w:rPr/>
        <w:tab/>
      </w:r>
      <w:r>
        <w:rPr>
          <w:b/>
          <w:spacing w:val="-5"/>
        </w:rPr>
        <w:t>(8)</w:t>
      </w:r>
    </w:p>
    <w:p>
      <w:pPr>
        <w:pStyle w:val="BodyText"/>
        <w:spacing w:before="6"/>
        <w:rPr>
          <w:b/>
          <w:sz w:val="3"/>
        </w:rPr>
      </w:pPr>
    </w:p>
    <w:p>
      <w:pPr>
        <w:pStyle w:val="BodyText"/>
        <w:spacing w:before="7"/>
        <w:rPr>
          <w:b/>
        </w:rPr>
      </w:pPr>
    </w:p>
    <w:p>
      <w:pPr>
        <w:pStyle w:val="BodyText"/>
        <w:spacing w:before="1"/>
        <w:ind w:left="240"/>
        <w:jc w:val="both"/>
      </w:pPr>
      <w:r>
        <w:rPr/>
        <w:t>Where</w:t>
      </w:r>
      <w:r>
        <w:rPr>
          <w:spacing w:val="-3"/>
        </w:rPr>
        <w:t> </w:t>
      </w:r>
      <w:r>
        <w:rPr/>
        <w:t>x</w:t>
      </w:r>
      <w:r>
        <w:rPr>
          <w:spacing w:val="2"/>
        </w:rPr>
        <w:t> </w:t>
      </w:r>
      <w:r>
        <w:rPr/>
        <w:t>is time</w:t>
      </w:r>
      <w:r>
        <w:rPr>
          <w:spacing w:val="-1"/>
        </w:rPr>
        <w:t> </w:t>
      </w:r>
      <w:r>
        <w:rPr/>
        <w:t>(months</w:t>
      </w:r>
      <w:r>
        <w:rPr>
          <w:spacing w:val="-3"/>
        </w:rPr>
        <w:t> </w:t>
      </w:r>
      <w:r>
        <w:rPr/>
        <w:t>or</w:t>
      </w:r>
      <w:r>
        <w:rPr>
          <w:spacing w:val="1"/>
        </w:rPr>
        <w:t> </w:t>
      </w:r>
      <w:r>
        <w:rPr>
          <w:spacing w:val="-2"/>
        </w:rPr>
        <w:t>years)</w:t>
      </w:r>
    </w:p>
    <w:p>
      <w:pPr>
        <w:pStyle w:val="BodyText"/>
        <w:spacing w:before="2"/>
      </w:pPr>
    </w:p>
    <w:p>
      <w:pPr>
        <w:pStyle w:val="BodyText"/>
        <w:spacing w:line="360" w:lineRule="auto"/>
        <w:ind w:left="240" w:right="836"/>
        <w:jc w:val="both"/>
      </w:pPr>
      <w:r>
        <w:rPr/>
        <w:t>In calculating the intermediate values for these equations (i.e. ∑xy, - ∑x</w:t>
      </w:r>
      <w:r>
        <w:rPr>
          <w:vertAlign w:val="superscript"/>
        </w:rPr>
        <w:t>2</w:t>
      </w:r>
      <w:r>
        <w:rPr>
          <w:vertAlign w:val="baseline"/>
        </w:rPr>
        <w:t> , etc), the user must decide whether to express the values</w:t>
      </w:r>
      <w:r>
        <w:rPr>
          <w:spacing w:val="40"/>
          <w:vertAlign w:val="baseline"/>
        </w:rPr>
        <w:t> </w:t>
      </w:r>
      <w:r>
        <w:rPr>
          <w:vertAlign w:val="baseline"/>
        </w:rPr>
        <w:t>of x(year) in absolute (e.g. 1991, 1992, etc) or relative (i.e. 1, 2, 3, etc) terms in order to reduce the size of the values. Both approaches yield identical coefficients for slope (b) and correlation (r).</w:t>
      </w:r>
    </w:p>
    <w:p>
      <w:pPr>
        <w:pStyle w:val="BodyText"/>
        <w:spacing w:line="360" w:lineRule="auto" w:before="207"/>
        <w:ind w:left="240" w:right="838"/>
        <w:jc w:val="both"/>
      </w:pPr>
      <w:r>
        <w:rPr/>
        <w:t>Trend in the</w:t>
      </w:r>
      <w:r>
        <w:rPr>
          <w:spacing w:val="-1"/>
        </w:rPr>
        <w:t> </w:t>
      </w:r>
      <w:r>
        <w:rPr/>
        <w:t>time</w:t>
      </w:r>
      <w:r>
        <w:rPr>
          <w:spacing w:val="-1"/>
        </w:rPr>
        <w:t> </w:t>
      </w:r>
      <w:r>
        <w:rPr/>
        <w:t>series is indicated</w:t>
      </w:r>
      <w:r>
        <w:rPr>
          <w:spacing w:val="-1"/>
        </w:rPr>
        <w:t> </w:t>
      </w:r>
      <w:r>
        <w:rPr/>
        <w:t>by</w:t>
      </w:r>
      <w:r>
        <w:rPr>
          <w:spacing w:val="-5"/>
        </w:rPr>
        <w:t> </w:t>
      </w:r>
      <w:r>
        <w:rPr/>
        <w:t>the</w:t>
      </w:r>
      <w:r>
        <w:rPr>
          <w:spacing w:val="-1"/>
        </w:rPr>
        <w:t> </w:t>
      </w:r>
      <w:r>
        <w:rPr/>
        <w:t>strength and direction of</w:t>
      </w:r>
      <w:r>
        <w:rPr>
          <w:spacing w:val="-1"/>
        </w:rPr>
        <w:t> </w:t>
      </w:r>
      <w:r>
        <w:rPr/>
        <w:t>the</w:t>
      </w:r>
      <w:r>
        <w:rPr>
          <w:spacing w:val="-1"/>
        </w:rPr>
        <w:t> </w:t>
      </w:r>
      <w:r>
        <w:rPr/>
        <w:t>correlation coefficient(r), while the rate of this trend is indicated by the slope of the regression (b) illustrated by a fitted line. However, what is important is whether the correlation coefficient (and hence the trend) is statistically significant (Anyadike, 2009).</w:t>
      </w:r>
    </w:p>
    <w:p>
      <w:pPr>
        <w:pStyle w:val="BodyText"/>
        <w:spacing w:before="139"/>
      </w:pPr>
    </w:p>
    <w:p>
      <w:pPr>
        <w:pStyle w:val="BodyText"/>
        <w:spacing w:line="360" w:lineRule="auto" w:before="1"/>
        <w:ind w:left="240" w:right="836"/>
        <w:jc w:val="both"/>
      </w:pPr>
      <w:r>
        <w:rPr>
          <w:b/>
        </w:rPr>
        <w:t>(e) Correlation and Regression: </w:t>
      </w:r>
      <w:r>
        <w:rPr/>
        <w:t>Pearson correlation analysis is a widely used statistical tool that is used to measure the extent or degree of relationship between two variables. The formula for Pearson correlation coefficient is given as:</w:t>
      </w:r>
    </w:p>
    <w:p>
      <w:pPr>
        <w:pStyle w:val="BodyText"/>
        <w:tabs>
          <w:tab w:pos="9301" w:val="left" w:leader="none"/>
        </w:tabs>
        <w:spacing w:line="275" w:lineRule="exact"/>
        <w:ind w:left="240"/>
        <w:jc w:val="both"/>
        <w:rPr>
          <w:b/>
        </w:rPr>
      </w:pPr>
      <w:r>
        <w:rPr/>
        <mc:AlternateContent>
          <mc:Choice Requires="wps">
            <w:drawing>
              <wp:anchor distT="0" distB="0" distL="0" distR="0" allowOverlap="1" layoutInCell="1" locked="0" behindDoc="1" simplePos="0" relativeHeight="487610368">
                <wp:simplePos x="0" y="0"/>
                <wp:positionH relativeFrom="page">
                  <wp:posOffset>1116964</wp:posOffset>
                </wp:positionH>
                <wp:positionV relativeFrom="paragraph">
                  <wp:posOffset>195567</wp:posOffset>
                </wp:positionV>
                <wp:extent cx="2633980" cy="1270"/>
                <wp:effectExtent l="0" t="0" r="0" b="0"/>
                <wp:wrapTopAndBottom/>
                <wp:docPr id="307" name="Graphic 307"/>
                <wp:cNvGraphicFramePr>
                  <a:graphicFrameLocks/>
                </wp:cNvGraphicFramePr>
                <a:graphic>
                  <a:graphicData uri="http://schemas.microsoft.com/office/word/2010/wordprocessingShape">
                    <wps:wsp>
                      <wps:cNvPr id="307" name="Graphic 307"/>
                      <wps:cNvSpPr/>
                      <wps:spPr>
                        <a:xfrm>
                          <a:off x="0" y="0"/>
                          <a:ext cx="2633980" cy="1270"/>
                        </a:xfrm>
                        <a:custGeom>
                          <a:avLst/>
                          <a:gdLst/>
                          <a:ahLst/>
                          <a:cxnLst/>
                          <a:rect l="l" t="t" r="r" b="b"/>
                          <a:pathLst>
                            <a:path w="2633980" h="0">
                              <a:moveTo>
                                <a:pt x="0" y="0"/>
                              </a:moveTo>
                              <a:lnTo>
                                <a:pt x="263398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7.949997pt;margin-top:15.399023pt;width:207.4pt;height:.1pt;mso-position-horizontal-relative:page;mso-position-vertical-relative:paragraph;z-index:-15706112;mso-wrap-distance-left:0;mso-wrap-distance-right:0" id="docshape276" coordorigin="1759,308" coordsize="4148,0" path="m1759,308l5907,308e" filled="false" stroked="true" strokeweight=".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10880">
                <wp:simplePos x="0" y="0"/>
                <wp:positionH relativeFrom="page">
                  <wp:posOffset>1011237</wp:posOffset>
                </wp:positionH>
                <wp:positionV relativeFrom="paragraph">
                  <wp:posOffset>242753</wp:posOffset>
                </wp:positionV>
                <wp:extent cx="2748280" cy="275590"/>
                <wp:effectExtent l="0" t="0" r="0" b="0"/>
                <wp:wrapTopAndBottom/>
                <wp:docPr id="308" name="Group 308"/>
                <wp:cNvGraphicFramePr>
                  <a:graphicFrameLocks/>
                </wp:cNvGraphicFramePr>
                <a:graphic>
                  <a:graphicData uri="http://schemas.microsoft.com/office/word/2010/wordprocessingGroup">
                    <wpg:wgp>
                      <wpg:cNvPr id="308" name="Group 308"/>
                      <wpg:cNvGrpSpPr/>
                      <wpg:grpSpPr>
                        <a:xfrm>
                          <a:off x="0" y="0"/>
                          <a:ext cx="2748280" cy="275590"/>
                          <a:chExt cx="2748280" cy="275590"/>
                        </a:xfrm>
                      </wpg:grpSpPr>
                      <wps:wsp>
                        <wps:cNvPr id="309" name="Graphic 309"/>
                        <wps:cNvSpPr/>
                        <wps:spPr>
                          <a:xfrm>
                            <a:off x="4762" y="16313"/>
                            <a:ext cx="2743200" cy="254000"/>
                          </a:xfrm>
                          <a:custGeom>
                            <a:avLst/>
                            <a:gdLst/>
                            <a:ahLst/>
                            <a:cxnLst/>
                            <a:rect l="l" t="t" r="r" b="b"/>
                            <a:pathLst>
                              <a:path w="2743200" h="254000">
                                <a:moveTo>
                                  <a:pt x="109219" y="0"/>
                                </a:moveTo>
                                <a:lnTo>
                                  <a:pt x="2743200" y="0"/>
                                </a:lnTo>
                              </a:path>
                              <a:path w="2743200" h="254000">
                                <a:moveTo>
                                  <a:pt x="117475" y="0"/>
                                </a:moveTo>
                                <a:lnTo>
                                  <a:pt x="100965" y="254000"/>
                                </a:lnTo>
                              </a:path>
                              <a:path w="2743200" h="254000">
                                <a:moveTo>
                                  <a:pt x="0" y="76200"/>
                                </a:moveTo>
                                <a:lnTo>
                                  <a:pt x="92075" y="241300"/>
                                </a:lnTo>
                              </a:path>
                            </a:pathLst>
                          </a:custGeom>
                          <a:ln w="9525">
                            <a:solidFill>
                              <a:srgbClr val="000000"/>
                            </a:solidFill>
                            <a:prstDash val="solid"/>
                          </a:ln>
                        </wps:spPr>
                        <wps:bodyPr wrap="square" lIns="0" tIns="0" rIns="0" bIns="0" rtlCol="0">
                          <a:prstTxWarp prst="textNoShape">
                            <a:avLst/>
                          </a:prstTxWarp>
                          <a:noAutofit/>
                        </wps:bodyPr>
                      </wps:wsp>
                      <wps:wsp>
                        <wps:cNvPr id="310" name="Textbox 310"/>
                        <wps:cNvSpPr txBox="1"/>
                        <wps:spPr>
                          <a:xfrm>
                            <a:off x="0" y="0"/>
                            <a:ext cx="2748280" cy="275590"/>
                          </a:xfrm>
                          <a:prstGeom prst="rect">
                            <a:avLst/>
                          </a:prstGeom>
                        </wps:spPr>
                        <wps:txbx>
                          <w:txbxContent>
                            <w:p>
                              <w:pPr>
                                <w:spacing w:before="29"/>
                                <w:ind w:left="327" w:right="0" w:firstLine="0"/>
                                <w:jc w:val="left"/>
                                <w:rPr>
                                  <w:sz w:val="24"/>
                                </w:rPr>
                              </w:pPr>
                              <w:r>
                                <w:rPr>
                                  <w:sz w:val="24"/>
                                </w:rPr>
                                <w:t>[(n∑</w:t>
                              </w:r>
                              <w:r>
                                <w:rPr>
                                  <w:spacing w:val="-2"/>
                                  <w:sz w:val="24"/>
                                </w:rPr>
                                <w:t> </w:t>
                              </w:r>
                              <w:r>
                                <w:rPr>
                                  <w:sz w:val="24"/>
                                </w:rPr>
                                <w:t>x </w:t>
                              </w:r>
                              <w:r>
                                <w:rPr>
                                  <w:sz w:val="24"/>
                                  <w:vertAlign w:val="superscript"/>
                                </w:rPr>
                                <w:t>2</w:t>
                              </w:r>
                              <w:r>
                                <w:rPr>
                                  <w:sz w:val="24"/>
                                  <w:vertAlign w:val="baseline"/>
                                </w:rPr>
                                <w:t>-( ∑</w:t>
                              </w:r>
                              <w:r>
                                <w:rPr>
                                  <w:spacing w:val="-2"/>
                                  <w:sz w:val="24"/>
                                  <w:vertAlign w:val="baseline"/>
                                </w:rPr>
                                <w:t> </w:t>
                              </w:r>
                              <w:r>
                                <w:rPr>
                                  <w:sz w:val="24"/>
                                  <w:vertAlign w:val="baseline"/>
                                </w:rPr>
                                <w:t>x</w:t>
                              </w:r>
                              <w:r>
                                <w:rPr>
                                  <w:sz w:val="24"/>
                                  <w:vertAlign w:val="superscript"/>
                                </w:rPr>
                                <w:t>2</w:t>
                              </w:r>
                              <w:r>
                                <w:rPr>
                                  <w:sz w:val="24"/>
                                  <w:vertAlign w:val="baseline"/>
                                </w:rPr>
                                <w:t>) (n∑</w:t>
                              </w:r>
                              <w:r>
                                <w:rPr>
                                  <w:spacing w:val="-1"/>
                                  <w:sz w:val="24"/>
                                  <w:vertAlign w:val="baseline"/>
                                </w:rPr>
                                <w:t> </w:t>
                              </w:r>
                              <w:r>
                                <w:rPr>
                                  <w:sz w:val="24"/>
                                  <w:vertAlign w:val="baseline"/>
                                </w:rPr>
                                <w:t>y</w:t>
                              </w:r>
                              <w:r>
                                <w:rPr>
                                  <w:sz w:val="24"/>
                                  <w:vertAlign w:val="superscript"/>
                                </w:rPr>
                                <w:t>2</w:t>
                              </w:r>
                              <w:r>
                                <w:rPr>
                                  <w:sz w:val="24"/>
                                  <w:vertAlign w:val="baseline"/>
                                </w:rPr>
                                <w:t>-</w:t>
                              </w:r>
                              <w:r>
                                <w:rPr>
                                  <w:spacing w:val="-1"/>
                                  <w:sz w:val="24"/>
                                  <w:vertAlign w:val="baseline"/>
                                </w:rPr>
                                <w:t> </w:t>
                              </w:r>
                              <w:r>
                                <w:rPr>
                                  <w:sz w:val="24"/>
                                  <w:vertAlign w:val="baseline"/>
                                </w:rPr>
                                <w:t>(∑</w:t>
                              </w:r>
                              <w:r>
                                <w:rPr>
                                  <w:spacing w:val="3"/>
                                  <w:sz w:val="24"/>
                                  <w:vertAlign w:val="baseline"/>
                                </w:rPr>
                                <w:t> </w:t>
                              </w:r>
                              <w:r>
                                <w:rPr>
                                  <w:spacing w:val="-4"/>
                                  <w:sz w:val="24"/>
                                  <w:vertAlign w:val="baseline"/>
                                </w:rPr>
                                <w:t>y)</w:t>
                              </w:r>
                              <w:r>
                                <w:rPr>
                                  <w:spacing w:val="-4"/>
                                  <w:sz w:val="24"/>
                                  <w:vertAlign w:val="superscript"/>
                                </w:rPr>
                                <w:t>2</w:t>
                              </w:r>
                              <w:r>
                                <w:rPr>
                                  <w:spacing w:val="-4"/>
                                  <w:sz w:val="24"/>
                                  <w:vertAlign w:val="baseline"/>
                                </w:rPr>
                                <w:t>)]</w:t>
                              </w:r>
                            </w:p>
                          </w:txbxContent>
                        </wps:txbx>
                        <wps:bodyPr wrap="square" lIns="0" tIns="0" rIns="0" bIns="0" rtlCol="0">
                          <a:noAutofit/>
                        </wps:bodyPr>
                      </wps:wsp>
                    </wpg:wgp>
                  </a:graphicData>
                </a:graphic>
              </wp:anchor>
            </w:drawing>
          </mc:Choice>
          <mc:Fallback>
            <w:pict>
              <v:group style="position:absolute;margin-left:79.625pt;margin-top:19.114473pt;width:216.4pt;height:21.7pt;mso-position-horizontal-relative:page;mso-position-vertical-relative:paragraph;z-index:-15705600;mso-wrap-distance-left:0;mso-wrap-distance-right:0" id="docshapegroup277" coordorigin="1593,382" coordsize="4328,434">
                <v:shape style="position:absolute;left:1600;top:407;width:4320;height:400" id="docshape278" coordorigin="1600,408" coordsize="4320,400" path="m1772,408l5920,408m1785,408l1759,808m1600,528l1745,788e" filled="false" stroked="true" strokeweight=".75pt" strokecolor="#000000">
                  <v:path arrowok="t"/>
                  <v:stroke dashstyle="solid"/>
                </v:shape>
                <v:shape style="position:absolute;left:1592;top:382;width:4328;height:434" type="#_x0000_t202" id="docshape279" filled="false" stroked="false">
                  <v:textbox inset="0,0,0,0">
                    <w:txbxContent>
                      <w:p>
                        <w:pPr>
                          <w:spacing w:before="29"/>
                          <w:ind w:left="327" w:right="0" w:firstLine="0"/>
                          <w:jc w:val="left"/>
                          <w:rPr>
                            <w:sz w:val="24"/>
                          </w:rPr>
                        </w:pPr>
                        <w:r>
                          <w:rPr>
                            <w:sz w:val="24"/>
                          </w:rPr>
                          <w:t>[(n∑</w:t>
                        </w:r>
                        <w:r>
                          <w:rPr>
                            <w:spacing w:val="-2"/>
                            <w:sz w:val="24"/>
                          </w:rPr>
                          <w:t> </w:t>
                        </w:r>
                        <w:r>
                          <w:rPr>
                            <w:sz w:val="24"/>
                          </w:rPr>
                          <w:t>x </w:t>
                        </w:r>
                        <w:r>
                          <w:rPr>
                            <w:sz w:val="24"/>
                            <w:vertAlign w:val="superscript"/>
                          </w:rPr>
                          <w:t>2</w:t>
                        </w:r>
                        <w:r>
                          <w:rPr>
                            <w:sz w:val="24"/>
                            <w:vertAlign w:val="baseline"/>
                          </w:rPr>
                          <w:t>-( ∑</w:t>
                        </w:r>
                        <w:r>
                          <w:rPr>
                            <w:spacing w:val="-2"/>
                            <w:sz w:val="24"/>
                            <w:vertAlign w:val="baseline"/>
                          </w:rPr>
                          <w:t> </w:t>
                        </w:r>
                        <w:r>
                          <w:rPr>
                            <w:sz w:val="24"/>
                            <w:vertAlign w:val="baseline"/>
                          </w:rPr>
                          <w:t>x</w:t>
                        </w:r>
                        <w:r>
                          <w:rPr>
                            <w:sz w:val="24"/>
                            <w:vertAlign w:val="superscript"/>
                          </w:rPr>
                          <w:t>2</w:t>
                        </w:r>
                        <w:r>
                          <w:rPr>
                            <w:sz w:val="24"/>
                            <w:vertAlign w:val="baseline"/>
                          </w:rPr>
                          <w:t>) (n∑</w:t>
                        </w:r>
                        <w:r>
                          <w:rPr>
                            <w:spacing w:val="-1"/>
                            <w:sz w:val="24"/>
                            <w:vertAlign w:val="baseline"/>
                          </w:rPr>
                          <w:t> </w:t>
                        </w:r>
                        <w:r>
                          <w:rPr>
                            <w:sz w:val="24"/>
                            <w:vertAlign w:val="baseline"/>
                          </w:rPr>
                          <w:t>y</w:t>
                        </w:r>
                        <w:r>
                          <w:rPr>
                            <w:sz w:val="24"/>
                            <w:vertAlign w:val="superscript"/>
                          </w:rPr>
                          <w:t>2</w:t>
                        </w:r>
                        <w:r>
                          <w:rPr>
                            <w:sz w:val="24"/>
                            <w:vertAlign w:val="baseline"/>
                          </w:rPr>
                          <w:t>-</w:t>
                        </w:r>
                        <w:r>
                          <w:rPr>
                            <w:spacing w:val="-1"/>
                            <w:sz w:val="24"/>
                            <w:vertAlign w:val="baseline"/>
                          </w:rPr>
                          <w:t> </w:t>
                        </w:r>
                        <w:r>
                          <w:rPr>
                            <w:sz w:val="24"/>
                            <w:vertAlign w:val="baseline"/>
                          </w:rPr>
                          <w:t>(∑</w:t>
                        </w:r>
                        <w:r>
                          <w:rPr>
                            <w:spacing w:val="3"/>
                            <w:sz w:val="24"/>
                            <w:vertAlign w:val="baseline"/>
                          </w:rPr>
                          <w:t> </w:t>
                        </w:r>
                        <w:r>
                          <w:rPr>
                            <w:spacing w:val="-4"/>
                            <w:sz w:val="24"/>
                            <w:vertAlign w:val="baseline"/>
                          </w:rPr>
                          <w:t>y)</w:t>
                        </w:r>
                        <w:r>
                          <w:rPr>
                            <w:spacing w:val="-4"/>
                            <w:sz w:val="24"/>
                            <w:vertAlign w:val="superscript"/>
                          </w:rPr>
                          <w:t>2</w:t>
                        </w:r>
                        <w:r>
                          <w:rPr>
                            <w:spacing w:val="-4"/>
                            <w:sz w:val="24"/>
                            <w:vertAlign w:val="baseline"/>
                          </w:rPr>
                          <w:t>)]</w:t>
                        </w:r>
                      </w:p>
                    </w:txbxContent>
                  </v:textbox>
                  <w10:wrap type="none"/>
                </v:shape>
                <w10:wrap type="topAndBottom"/>
              </v:group>
            </w:pict>
          </mc:Fallback>
        </mc:AlternateContent>
      </w:r>
      <w:r>
        <w:rPr/>
        <w:t>r =</w:t>
      </w:r>
      <w:r>
        <w:rPr>
          <w:spacing w:val="-2"/>
        </w:rPr>
        <w:t> </w:t>
      </w:r>
      <w:r>
        <w:rPr/>
        <w:t>n∑</w:t>
      </w:r>
      <w:r>
        <w:rPr>
          <w:spacing w:val="-1"/>
        </w:rPr>
        <w:t> </w:t>
      </w:r>
      <w:r>
        <w:rPr/>
        <w:t>x</w:t>
      </w:r>
      <w:r>
        <w:rPr>
          <w:spacing w:val="4"/>
        </w:rPr>
        <w:t> </w:t>
      </w:r>
      <w:r>
        <w:rPr/>
        <w:t>y</w:t>
      </w:r>
      <w:r>
        <w:rPr>
          <w:spacing w:val="-5"/>
        </w:rPr>
        <w:t> </w:t>
      </w:r>
      <w:r>
        <w:rPr/>
        <w:t>-</w:t>
      </w:r>
      <w:r>
        <w:rPr>
          <w:spacing w:val="1"/>
        </w:rPr>
        <w:t> </w:t>
      </w:r>
      <w:r>
        <w:rPr/>
        <w:t>∑ x</w:t>
      </w:r>
      <w:r>
        <w:rPr>
          <w:spacing w:val="1"/>
        </w:rPr>
        <w:t> </w:t>
      </w:r>
      <w:r>
        <w:rPr/>
        <w:t>∑</w:t>
      </w:r>
      <w:r>
        <w:rPr>
          <w:spacing w:val="1"/>
        </w:rPr>
        <w:t> </w:t>
      </w:r>
      <w:r>
        <w:rPr>
          <w:spacing w:val="-10"/>
        </w:rPr>
        <w:t>y</w:t>
      </w:r>
      <w:r>
        <w:rPr/>
        <w:tab/>
      </w:r>
      <w:r>
        <w:rPr>
          <w:b/>
          <w:spacing w:val="-5"/>
        </w:rPr>
        <w:t>(9)</w:t>
      </w:r>
    </w:p>
    <w:p>
      <w:pPr>
        <w:pStyle w:val="BodyText"/>
        <w:spacing w:before="8"/>
        <w:rPr>
          <w:b/>
          <w:sz w:val="3"/>
        </w:rPr>
      </w:pPr>
    </w:p>
    <w:p>
      <w:pPr>
        <w:pStyle w:val="BodyText"/>
        <w:spacing w:before="148"/>
        <w:rPr>
          <w:b/>
        </w:rPr>
      </w:pPr>
    </w:p>
    <w:p>
      <w:pPr>
        <w:pStyle w:val="BodyText"/>
        <w:spacing w:line="360" w:lineRule="auto"/>
        <w:ind w:left="240" w:right="5129"/>
      </w:pPr>
      <w:r>
        <w:rPr/>
        <w:t>When</w:t>
      </w:r>
      <w:r>
        <w:rPr>
          <w:spacing w:val="40"/>
        </w:rPr>
        <w:t> </w:t>
      </w:r>
      <w:r>
        <w:rPr/>
        <w:t>y&lt;+ 0.5, a weak positive relationship exist When</w:t>
      </w:r>
      <w:r>
        <w:rPr>
          <w:spacing w:val="40"/>
        </w:rPr>
        <w:t> </w:t>
      </w:r>
      <w:r>
        <w:rPr/>
        <w:t>y</w:t>
      </w:r>
      <w:r>
        <w:rPr>
          <w:spacing w:val="-8"/>
        </w:rPr>
        <w:t> </w:t>
      </w:r>
      <w:r>
        <w:rPr/>
        <w:t>≥</w:t>
      </w:r>
      <w:r>
        <w:rPr>
          <w:spacing w:val="-4"/>
        </w:rPr>
        <w:t> </w:t>
      </w:r>
      <w:r>
        <w:rPr/>
        <w:t>+</w:t>
      </w:r>
      <w:r>
        <w:rPr>
          <w:spacing w:val="-5"/>
        </w:rPr>
        <w:t> </w:t>
      </w:r>
      <w:r>
        <w:rPr/>
        <w:t>0.5,</w:t>
      </w:r>
      <w:r>
        <w:rPr>
          <w:spacing w:val="-4"/>
        </w:rPr>
        <w:t> </w:t>
      </w:r>
      <w:r>
        <w:rPr/>
        <w:t>a</w:t>
      </w:r>
      <w:r>
        <w:rPr>
          <w:spacing w:val="-5"/>
        </w:rPr>
        <w:t> </w:t>
      </w:r>
      <w:r>
        <w:rPr/>
        <w:t>strong</w:t>
      </w:r>
      <w:r>
        <w:rPr>
          <w:spacing w:val="-4"/>
        </w:rPr>
        <w:t> </w:t>
      </w:r>
      <w:r>
        <w:rPr/>
        <w:t>positive</w:t>
      </w:r>
      <w:r>
        <w:rPr>
          <w:spacing w:val="-5"/>
        </w:rPr>
        <w:t> </w:t>
      </w:r>
      <w:r>
        <w:rPr/>
        <w:t>relationship</w:t>
      </w:r>
      <w:r>
        <w:rPr>
          <w:spacing w:val="-4"/>
        </w:rPr>
        <w:t> </w:t>
      </w:r>
      <w:r>
        <w:rPr/>
        <w:t>exist When</w:t>
      </w:r>
      <w:r>
        <w:rPr>
          <w:spacing w:val="40"/>
        </w:rPr>
        <w:t> </w:t>
      </w:r>
      <w:r>
        <w:rPr/>
        <w:t>y&lt; - 0.5, a strong negative relationship exist When</w:t>
      </w:r>
      <w:r>
        <w:rPr>
          <w:spacing w:val="40"/>
        </w:rPr>
        <w:t> </w:t>
      </w:r>
      <w:r>
        <w:rPr/>
        <w:t>y</w:t>
      </w:r>
      <w:r>
        <w:rPr>
          <w:spacing w:val="-5"/>
        </w:rPr>
        <w:t> </w:t>
      </w:r>
      <w:r>
        <w:rPr/>
        <w:t>≤</w:t>
      </w:r>
      <w:r>
        <w:rPr>
          <w:spacing w:val="40"/>
        </w:rPr>
        <w:t> </w:t>
      </w:r>
      <w:r>
        <w:rPr/>
        <w:t>-</w:t>
      </w:r>
      <w:r>
        <w:rPr>
          <w:spacing w:val="-1"/>
        </w:rPr>
        <w:t> </w:t>
      </w:r>
      <w:r>
        <w:rPr/>
        <w:t>0.5,</w:t>
      </w:r>
      <w:r>
        <w:rPr>
          <w:spacing w:val="-1"/>
        </w:rPr>
        <w:t> </w:t>
      </w:r>
      <w:r>
        <w:rPr/>
        <w:t>a weak negative</w:t>
      </w:r>
      <w:r>
        <w:rPr>
          <w:spacing w:val="-1"/>
        </w:rPr>
        <w:t> </w:t>
      </w:r>
      <w:r>
        <w:rPr/>
        <w:t>relationship</w:t>
      </w:r>
      <w:r>
        <w:rPr>
          <w:spacing w:val="-1"/>
        </w:rPr>
        <w:t> </w:t>
      </w:r>
      <w:r>
        <w:rPr/>
        <w:t>exist When</w:t>
      </w:r>
      <w:r>
        <w:rPr>
          <w:spacing w:val="40"/>
        </w:rPr>
        <w:t> </w:t>
      </w:r>
      <w:r>
        <w:rPr/>
        <w:t>y = + 1, a perfect positive relationship exist When</w:t>
      </w:r>
      <w:r>
        <w:rPr>
          <w:spacing w:val="40"/>
        </w:rPr>
        <w:t> </w:t>
      </w:r>
      <w:r>
        <w:rPr/>
        <w:t>y = - 1, a perfect negative relationship exist When</w:t>
      </w:r>
      <w:r>
        <w:rPr>
          <w:spacing w:val="40"/>
        </w:rPr>
        <w:t> </w:t>
      </w:r>
      <w:r>
        <w:rPr/>
        <w:t>y = 0, no relationship exist.</w:t>
      </w:r>
    </w:p>
    <w:p>
      <w:pPr>
        <w:spacing w:after="0" w:line="360" w:lineRule="auto"/>
        <w:sectPr>
          <w:pgSz w:w="12240" w:h="15840"/>
          <w:pgMar w:header="0" w:footer="1036" w:top="1360" w:bottom="1220" w:left="1200" w:right="600"/>
        </w:sectPr>
      </w:pPr>
    </w:p>
    <w:p>
      <w:pPr>
        <w:pStyle w:val="BodyText"/>
        <w:spacing w:line="360" w:lineRule="auto" w:before="74"/>
        <w:ind w:left="240" w:right="831"/>
        <w:jc w:val="both"/>
      </w:pPr>
      <w:r>
        <w:rPr/>
        <w:t>Regression analysis on the other hand, attempts to discover the nature of relationship by calculating</w:t>
      </w:r>
      <w:r>
        <w:rPr>
          <w:spacing w:val="-4"/>
        </w:rPr>
        <w:t> </w:t>
      </w:r>
      <w:r>
        <w:rPr/>
        <w:t>an</w:t>
      </w:r>
      <w:r>
        <w:rPr>
          <w:spacing w:val="-1"/>
        </w:rPr>
        <w:t> </w:t>
      </w:r>
      <w:r>
        <w:rPr/>
        <w:t>equation</w:t>
      </w:r>
      <w:r>
        <w:rPr>
          <w:spacing w:val="-1"/>
        </w:rPr>
        <w:t> </w:t>
      </w:r>
      <w:r>
        <w:rPr/>
        <w:t>that</w:t>
      </w:r>
      <w:r>
        <w:rPr>
          <w:spacing w:val="-1"/>
        </w:rPr>
        <w:t> </w:t>
      </w:r>
      <w:r>
        <w:rPr/>
        <w:t>enables</w:t>
      </w:r>
      <w:r>
        <w:rPr>
          <w:spacing w:val="-2"/>
        </w:rPr>
        <w:t> </w:t>
      </w:r>
      <w:r>
        <w:rPr/>
        <w:t>the</w:t>
      </w:r>
      <w:r>
        <w:rPr>
          <w:spacing w:val="-2"/>
        </w:rPr>
        <w:t> </w:t>
      </w:r>
      <w:r>
        <w:rPr/>
        <w:t>value</w:t>
      </w:r>
      <w:r>
        <w:rPr>
          <w:spacing w:val="-2"/>
        </w:rPr>
        <w:t> </w:t>
      </w:r>
      <w:r>
        <w:rPr/>
        <w:t>of</w:t>
      </w:r>
      <w:r>
        <w:rPr>
          <w:spacing w:val="-2"/>
        </w:rPr>
        <w:t> </w:t>
      </w:r>
      <w:r>
        <w:rPr/>
        <w:t>one</w:t>
      </w:r>
      <w:r>
        <w:rPr>
          <w:spacing w:val="-2"/>
        </w:rPr>
        <w:t> </w:t>
      </w:r>
      <w:r>
        <w:rPr/>
        <w:t>variable (dependent/response</w:t>
      </w:r>
      <w:r>
        <w:rPr>
          <w:spacing w:val="-2"/>
        </w:rPr>
        <w:t> </w:t>
      </w:r>
      <w:r>
        <w:rPr/>
        <w:t>variable) to</w:t>
      </w:r>
      <w:r>
        <w:rPr>
          <w:spacing w:val="-1"/>
        </w:rPr>
        <w:t> </w:t>
      </w:r>
      <w:r>
        <w:rPr/>
        <w:t>be estimated when the value of the other variable (independent/explanatory variable) is known (Kothari, 2004). Regression is expressed in a mathematical equation as:</w:t>
      </w:r>
    </w:p>
    <w:p>
      <w:pPr>
        <w:tabs>
          <w:tab w:pos="9181" w:val="left" w:leader="none"/>
        </w:tabs>
        <w:spacing w:before="104"/>
        <w:ind w:left="240" w:right="0" w:firstLine="0"/>
        <w:jc w:val="both"/>
        <w:rPr>
          <w:b/>
          <w:sz w:val="24"/>
        </w:rPr>
      </w:pPr>
      <w:r>
        <w:rPr>
          <w:sz w:val="24"/>
        </w:rPr>
        <w:t>Y =</w:t>
      </w:r>
      <w:r>
        <w:rPr>
          <w:spacing w:val="-2"/>
          <w:sz w:val="24"/>
        </w:rPr>
        <w:t> </w:t>
      </w:r>
      <w:r>
        <w:rPr>
          <w:sz w:val="24"/>
        </w:rPr>
        <w:t>a</w:t>
      </w:r>
      <w:r>
        <w:rPr>
          <w:spacing w:val="-1"/>
          <w:sz w:val="24"/>
        </w:rPr>
        <w:t> </w:t>
      </w:r>
      <w:r>
        <w:rPr>
          <w:sz w:val="24"/>
        </w:rPr>
        <w:t>+</w:t>
      </w:r>
      <w:r>
        <w:rPr>
          <w:spacing w:val="-1"/>
          <w:sz w:val="24"/>
        </w:rPr>
        <w:t> </w:t>
      </w:r>
      <w:r>
        <w:rPr>
          <w:sz w:val="24"/>
        </w:rPr>
        <w:t>b </w:t>
      </w:r>
      <w:r>
        <w:rPr>
          <w:spacing w:val="-10"/>
          <w:sz w:val="24"/>
        </w:rPr>
        <w:t>x</w:t>
      </w:r>
      <w:r>
        <w:rPr>
          <w:sz w:val="24"/>
        </w:rPr>
        <w:tab/>
      </w:r>
      <w:r>
        <w:rPr>
          <w:b/>
          <w:spacing w:val="-4"/>
          <w:sz w:val="24"/>
        </w:rPr>
        <w:t>(10)</w:t>
      </w:r>
    </w:p>
    <w:p>
      <w:pPr>
        <w:pStyle w:val="BodyText"/>
        <w:spacing w:line="360" w:lineRule="auto" w:before="139"/>
        <w:ind w:left="960" w:right="4130" w:hanging="720"/>
        <w:jc w:val="both"/>
      </w:pPr>
      <w:r>
        <w:rPr/>
        <w:t>Where</w:t>
      </w:r>
      <w:r>
        <w:rPr>
          <w:spacing w:val="-6"/>
        </w:rPr>
        <w:t> </w:t>
      </w:r>
      <w:r>
        <w:rPr/>
        <w:t>Y</w:t>
      </w:r>
      <w:r>
        <w:rPr>
          <w:spacing w:val="-4"/>
        </w:rPr>
        <w:t> </w:t>
      </w:r>
      <w:r>
        <w:rPr/>
        <w:t>is</w:t>
      </w:r>
      <w:r>
        <w:rPr>
          <w:spacing w:val="-4"/>
        </w:rPr>
        <w:t> </w:t>
      </w:r>
      <w:r>
        <w:rPr/>
        <w:t>the</w:t>
      </w:r>
      <w:r>
        <w:rPr>
          <w:spacing w:val="-5"/>
        </w:rPr>
        <w:t> </w:t>
      </w:r>
      <w:r>
        <w:rPr/>
        <w:t>dependent</w:t>
      </w:r>
      <w:r>
        <w:rPr>
          <w:spacing w:val="-4"/>
        </w:rPr>
        <w:t> </w:t>
      </w:r>
      <w:r>
        <w:rPr/>
        <w:t>variables</w:t>
      </w:r>
      <w:r>
        <w:rPr>
          <w:spacing w:val="-4"/>
        </w:rPr>
        <w:t> </w:t>
      </w:r>
      <w:r>
        <w:rPr/>
        <w:t>or</w:t>
      </w:r>
      <w:r>
        <w:rPr>
          <w:spacing w:val="-4"/>
        </w:rPr>
        <w:t> </w:t>
      </w:r>
      <w:r>
        <w:rPr/>
        <w:t>quantity</w:t>
      </w:r>
      <w:r>
        <w:rPr>
          <w:spacing w:val="-9"/>
        </w:rPr>
        <w:t> </w:t>
      </w:r>
      <w:r>
        <w:rPr/>
        <w:t>being</w:t>
      </w:r>
      <w:r>
        <w:rPr>
          <w:spacing w:val="-7"/>
        </w:rPr>
        <w:t> </w:t>
      </w:r>
      <w:r>
        <w:rPr/>
        <w:t>predicted X = the independent variables</w:t>
      </w:r>
    </w:p>
    <w:p>
      <w:pPr>
        <w:pStyle w:val="BodyText"/>
        <w:ind w:left="960"/>
        <w:jc w:val="both"/>
      </w:pPr>
      <w:r>
        <w:rPr/>
        <w:t>a</w:t>
      </w:r>
      <w:r>
        <w:rPr>
          <w:spacing w:val="-2"/>
        </w:rPr>
        <w:t> </w:t>
      </w:r>
      <w:r>
        <w:rPr/>
        <w:t>=</w:t>
      </w:r>
      <w:r>
        <w:rPr>
          <w:spacing w:val="-1"/>
        </w:rPr>
        <w:t> </w:t>
      </w:r>
      <w:r>
        <w:rPr/>
        <w:t>the value</w:t>
      </w:r>
      <w:r>
        <w:rPr>
          <w:spacing w:val="-1"/>
        </w:rPr>
        <w:t> </w:t>
      </w:r>
      <w:r>
        <w:rPr/>
        <w:t>of Y</w:t>
      </w:r>
      <w:r>
        <w:rPr>
          <w:spacing w:val="-2"/>
        </w:rPr>
        <w:t> </w:t>
      </w:r>
      <w:r>
        <w:rPr/>
        <w:t>when</w:t>
      </w:r>
      <w:r>
        <w:rPr>
          <w:spacing w:val="1"/>
        </w:rPr>
        <w:t> </w:t>
      </w:r>
      <w:r>
        <w:rPr/>
        <w:t>=</w:t>
      </w:r>
      <w:r>
        <w:rPr>
          <w:spacing w:val="-1"/>
        </w:rPr>
        <w:t> </w:t>
      </w:r>
      <w:r>
        <w:rPr/>
        <w:t>0, i.e. the</w:t>
      </w:r>
      <w:r>
        <w:rPr>
          <w:spacing w:val="-1"/>
        </w:rPr>
        <w:t> </w:t>
      </w:r>
      <w:r>
        <w:rPr/>
        <w:t>interceptor of the line with Y</w:t>
      </w:r>
      <w:r>
        <w:rPr>
          <w:spacing w:val="2"/>
        </w:rPr>
        <w:t> </w:t>
      </w:r>
      <w:r>
        <w:rPr/>
        <w:t>– </w:t>
      </w:r>
      <w:r>
        <w:rPr>
          <w:spacing w:val="-4"/>
        </w:rPr>
        <w:t>axis</w:t>
      </w:r>
    </w:p>
    <w:p>
      <w:pPr>
        <w:pStyle w:val="BodyText"/>
        <w:spacing w:line="360" w:lineRule="auto" w:before="137"/>
        <w:ind w:left="960" w:right="845"/>
        <w:jc w:val="both"/>
      </w:pPr>
      <w:r>
        <w:rPr/>
        <w:t>b = the slope or gradient. It estimates the rate of change in Y for a unit change in X. It is positive for direct and negative for inverse relationships.</w:t>
      </w:r>
    </w:p>
    <w:p>
      <w:pPr>
        <w:pStyle w:val="BodyText"/>
        <w:spacing w:line="360" w:lineRule="auto" w:before="173"/>
        <w:ind w:left="240" w:right="843"/>
        <w:jc w:val="both"/>
      </w:pPr>
      <w:r>
        <w:rPr/>
        <w:t>For this research, the correlation and regression analysis were used to test hypothesis 4 which is: there is no significant relationship between annual housing budget allocation and annual actual housing expenditure in Anambra State.</w:t>
      </w:r>
    </w:p>
    <w:p>
      <w:pPr>
        <w:pStyle w:val="BodyText"/>
        <w:spacing w:before="138"/>
      </w:pPr>
    </w:p>
    <w:p>
      <w:pPr>
        <w:pStyle w:val="ListParagraph"/>
        <w:numPr>
          <w:ilvl w:val="0"/>
          <w:numId w:val="79"/>
        </w:numPr>
        <w:tabs>
          <w:tab w:pos="608" w:val="left" w:leader="none"/>
        </w:tabs>
        <w:spacing w:line="360" w:lineRule="auto" w:before="0" w:after="0"/>
        <w:ind w:left="240" w:right="836" w:firstLine="0"/>
        <w:jc w:val="both"/>
        <w:rPr>
          <w:sz w:val="24"/>
        </w:rPr>
      </w:pPr>
      <w:r>
        <w:rPr>
          <w:b/>
          <w:sz w:val="24"/>
        </w:rPr>
        <w:t>Granger Causality Test: </w:t>
      </w:r>
      <w:r>
        <w:rPr>
          <w:sz w:val="24"/>
        </w:rPr>
        <w:t>The term Granger Causality is a term for a specific notion of causality in time-series analysis. It is thus a useful statistical tool to test for causal or directional relationship between two variables in a time series data. It is considered a </w:t>
      </w:r>
      <w:hyperlink r:id="rId105">
        <w:r>
          <w:rPr>
            <w:sz w:val="24"/>
          </w:rPr>
          <w:t>statistical hypothesis</w:t>
        </w:r>
      </w:hyperlink>
      <w:r>
        <w:rPr>
          <w:sz w:val="24"/>
        </w:rPr>
        <w:t> </w:t>
      </w:r>
      <w:hyperlink r:id="rId105">
        <w:r>
          <w:rPr>
            <w:sz w:val="24"/>
          </w:rPr>
          <w:t>test</w:t>
        </w:r>
      </w:hyperlink>
      <w:r>
        <w:rPr>
          <w:sz w:val="24"/>
        </w:rPr>
        <w:t> for determining</w:t>
      </w:r>
      <w:r>
        <w:rPr>
          <w:spacing w:val="-1"/>
          <w:sz w:val="24"/>
        </w:rPr>
        <w:t> </w:t>
      </w:r>
      <w:r>
        <w:rPr>
          <w:sz w:val="24"/>
        </w:rPr>
        <w:t>whether one </w:t>
      </w:r>
      <w:hyperlink r:id="rId106">
        <w:r>
          <w:rPr>
            <w:sz w:val="24"/>
          </w:rPr>
          <w:t>time series</w:t>
        </w:r>
      </w:hyperlink>
      <w:r>
        <w:rPr>
          <w:sz w:val="24"/>
        </w:rPr>
        <w:t> is useful in </w:t>
      </w:r>
      <w:hyperlink r:id="rId107">
        <w:r>
          <w:rPr>
            <w:sz w:val="24"/>
          </w:rPr>
          <w:t>forecasting</w:t>
        </w:r>
      </w:hyperlink>
      <w:r>
        <w:rPr>
          <w:sz w:val="24"/>
        </w:rPr>
        <w:t> another and it can be applied to econometric data. First proposed by Granger (1969); Granger (1969) argues that causality could be tested for by measuring the ability to predict the values of a time series using prior values of another time series. Since the question of "true causality" is deeply philosophical, </w:t>
      </w:r>
      <w:hyperlink r:id="rId108">
        <w:r>
          <w:rPr>
            <w:sz w:val="24"/>
          </w:rPr>
          <w:t>econometricians</w:t>
        </w:r>
      </w:hyperlink>
      <w:r>
        <w:rPr>
          <w:sz w:val="24"/>
        </w:rPr>
        <w:t> assert that the Granger test finds only "predictive causality".</w:t>
      </w:r>
    </w:p>
    <w:p>
      <w:pPr>
        <w:pStyle w:val="BodyText"/>
        <w:spacing w:before="1"/>
      </w:pPr>
    </w:p>
    <w:p>
      <w:pPr>
        <w:pStyle w:val="BodyText"/>
        <w:ind w:left="240"/>
      </w:pPr>
      <w:r>
        <w:rPr/>
        <w:t>Conceptually,</w:t>
      </w:r>
      <w:r>
        <w:rPr>
          <w:spacing w:val="-1"/>
        </w:rPr>
        <w:t> </w:t>
      </w:r>
      <w:r>
        <w:rPr/>
        <w:t>the granger</w:t>
      </w:r>
      <w:r>
        <w:rPr>
          <w:spacing w:val="-1"/>
        </w:rPr>
        <w:t> </w:t>
      </w:r>
      <w:r>
        <w:rPr/>
        <w:t>causality</w:t>
      </w:r>
      <w:r>
        <w:rPr>
          <w:spacing w:val="-6"/>
        </w:rPr>
        <w:t> </w:t>
      </w:r>
      <w:r>
        <w:rPr/>
        <w:t>has</w:t>
      </w:r>
      <w:r>
        <w:rPr>
          <w:spacing w:val="-1"/>
        </w:rPr>
        <w:t> </w:t>
      </w:r>
      <w:r>
        <w:rPr/>
        <w:t>several</w:t>
      </w:r>
      <w:r>
        <w:rPr>
          <w:spacing w:val="2"/>
        </w:rPr>
        <w:t> </w:t>
      </w:r>
      <w:r>
        <w:rPr>
          <w:spacing w:val="-2"/>
        </w:rPr>
        <w:t>components:</w:t>
      </w:r>
    </w:p>
    <w:p>
      <w:pPr>
        <w:pStyle w:val="ListParagraph"/>
        <w:numPr>
          <w:ilvl w:val="1"/>
          <w:numId w:val="79"/>
        </w:numPr>
        <w:tabs>
          <w:tab w:pos="960" w:val="left" w:leader="none"/>
        </w:tabs>
        <w:spacing w:line="240" w:lineRule="auto" w:before="137" w:after="0"/>
        <w:ind w:left="960" w:right="0" w:hanging="360"/>
        <w:jc w:val="left"/>
        <w:rPr>
          <w:sz w:val="24"/>
        </w:rPr>
      </w:pPr>
      <w:r>
        <w:rPr>
          <w:sz w:val="24"/>
        </w:rPr>
        <w:t>Temporality:</w:t>
      </w:r>
      <w:r>
        <w:rPr>
          <w:spacing w:val="-15"/>
          <w:sz w:val="24"/>
        </w:rPr>
        <w:t> </w:t>
      </w:r>
      <w:r>
        <w:rPr>
          <w:sz w:val="24"/>
        </w:rPr>
        <w:t>Only</w:t>
      </w:r>
      <w:r>
        <w:rPr>
          <w:spacing w:val="-15"/>
          <w:sz w:val="24"/>
        </w:rPr>
        <w:t> </w:t>
      </w:r>
      <w:r>
        <w:rPr>
          <w:sz w:val="24"/>
        </w:rPr>
        <w:t>past</w:t>
      </w:r>
      <w:r>
        <w:rPr>
          <w:spacing w:val="-13"/>
          <w:sz w:val="24"/>
        </w:rPr>
        <w:t> </w:t>
      </w:r>
      <w:r>
        <w:rPr>
          <w:sz w:val="24"/>
        </w:rPr>
        <w:t>values</w:t>
      </w:r>
      <w:r>
        <w:rPr>
          <w:spacing w:val="-14"/>
          <w:sz w:val="24"/>
        </w:rPr>
        <w:t> </w:t>
      </w:r>
      <w:r>
        <w:rPr>
          <w:sz w:val="24"/>
        </w:rPr>
        <w:t>of</w:t>
      </w:r>
      <w:r>
        <w:rPr>
          <w:spacing w:val="-14"/>
          <w:sz w:val="24"/>
        </w:rPr>
        <w:t> </w:t>
      </w:r>
      <w:r>
        <w:rPr>
          <w:sz w:val="24"/>
        </w:rPr>
        <w:t>X</w:t>
      </w:r>
      <w:r>
        <w:rPr>
          <w:spacing w:val="-14"/>
          <w:sz w:val="24"/>
        </w:rPr>
        <w:t> </w:t>
      </w:r>
      <w:r>
        <w:rPr>
          <w:sz w:val="24"/>
        </w:rPr>
        <w:t>can</w:t>
      </w:r>
      <w:r>
        <w:rPr>
          <w:spacing w:val="-13"/>
          <w:sz w:val="24"/>
        </w:rPr>
        <w:t> </w:t>
      </w:r>
      <w:r>
        <w:rPr>
          <w:sz w:val="24"/>
        </w:rPr>
        <w:t>―cause‖</w:t>
      </w:r>
      <w:r>
        <w:rPr>
          <w:spacing w:val="-14"/>
          <w:sz w:val="24"/>
        </w:rPr>
        <w:t> </w:t>
      </w:r>
      <w:r>
        <w:rPr>
          <w:spacing w:val="-5"/>
          <w:sz w:val="24"/>
        </w:rPr>
        <w:t>Y.</w:t>
      </w:r>
    </w:p>
    <w:p>
      <w:pPr>
        <w:pStyle w:val="ListParagraph"/>
        <w:numPr>
          <w:ilvl w:val="1"/>
          <w:numId w:val="79"/>
        </w:numPr>
        <w:tabs>
          <w:tab w:pos="960" w:val="left" w:leader="none"/>
          <w:tab w:pos="1020" w:val="left" w:leader="none"/>
        </w:tabs>
        <w:spacing w:line="350" w:lineRule="auto" w:before="138" w:after="0"/>
        <w:ind w:left="960" w:right="837" w:hanging="360"/>
        <w:jc w:val="left"/>
        <w:rPr>
          <w:sz w:val="24"/>
        </w:rPr>
      </w:pPr>
      <w:r>
        <w:rPr>
          <w:sz w:val="24"/>
        </w:rPr>
        <w:tab/>
        <w:t>Exogeneity:</w:t>
      </w:r>
      <w:r>
        <w:rPr>
          <w:spacing w:val="-1"/>
          <w:sz w:val="24"/>
        </w:rPr>
        <w:t> </w:t>
      </w:r>
      <w:r>
        <w:rPr>
          <w:sz w:val="24"/>
        </w:rPr>
        <w:t>A</w:t>
      </w:r>
      <w:r>
        <w:rPr>
          <w:spacing w:val="-1"/>
          <w:sz w:val="24"/>
        </w:rPr>
        <w:t> </w:t>
      </w:r>
      <w:r>
        <w:rPr>
          <w:sz w:val="24"/>
        </w:rPr>
        <w:t>necessary</w:t>
      </w:r>
      <w:r>
        <w:rPr>
          <w:spacing w:val="-4"/>
          <w:sz w:val="24"/>
        </w:rPr>
        <w:t> </w:t>
      </w:r>
      <w:r>
        <w:rPr>
          <w:sz w:val="24"/>
        </w:rPr>
        <w:t>condition</w:t>
      </w:r>
      <w:r>
        <w:rPr>
          <w:spacing w:val="-1"/>
          <w:sz w:val="24"/>
        </w:rPr>
        <w:t> </w:t>
      </w:r>
      <w:r>
        <w:rPr>
          <w:sz w:val="24"/>
        </w:rPr>
        <w:t>for</w:t>
      </w:r>
      <w:r>
        <w:rPr>
          <w:spacing w:val="-3"/>
          <w:sz w:val="24"/>
        </w:rPr>
        <w:t> </w:t>
      </w:r>
      <w:r>
        <w:rPr>
          <w:sz w:val="24"/>
        </w:rPr>
        <w:t>X to</w:t>
      </w:r>
      <w:r>
        <w:rPr>
          <w:spacing w:val="-3"/>
          <w:sz w:val="24"/>
        </w:rPr>
        <w:t> </w:t>
      </w:r>
      <w:r>
        <w:rPr>
          <w:sz w:val="24"/>
        </w:rPr>
        <w:t>be</w:t>
      </w:r>
      <w:r>
        <w:rPr>
          <w:spacing w:val="-2"/>
          <w:sz w:val="24"/>
        </w:rPr>
        <w:t> </w:t>
      </w:r>
      <w:r>
        <w:rPr>
          <w:sz w:val="24"/>
        </w:rPr>
        <w:t>exogenous</w:t>
      </w:r>
      <w:r>
        <w:rPr>
          <w:spacing w:val="-1"/>
          <w:sz w:val="24"/>
        </w:rPr>
        <w:t> </w:t>
      </w:r>
      <w:r>
        <w:rPr>
          <w:sz w:val="24"/>
        </w:rPr>
        <w:t>of</w:t>
      </w:r>
      <w:r>
        <w:rPr>
          <w:spacing w:val="-2"/>
          <w:sz w:val="24"/>
        </w:rPr>
        <w:t> </w:t>
      </w:r>
      <w:r>
        <w:rPr>
          <w:sz w:val="24"/>
        </w:rPr>
        <w:t>Y</w:t>
      </w:r>
      <w:r>
        <w:rPr>
          <w:spacing w:val="-2"/>
          <w:sz w:val="24"/>
        </w:rPr>
        <w:t> </w:t>
      </w:r>
      <w:r>
        <w:rPr>
          <w:sz w:val="24"/>
        </w:rPr>
        <w:t>is</w:t>
      </w:r>
      <w:r>
        <w:rPr>
          <w:spacing w:val="-1"/>
          <w:sz w:val="24"/>
        </w:rPr>
        <w:t> </w:t>
      </w:r>
      <w:r>
        <w:rPr>
          <w:sz w:val="24"/>
        </w:rPr>
        <w:t>that</w:t>
      </w:r>
      <w:r>
        <w:rPr>
          <w:spacing w:val="-1"/>
          <w:sz w:val="24"/>
        </w:rPr>
        <w:t> </w:t>
      </w:r>
      <w:r>
        <w:rPr>
          <w:sz w:val="24"/>
        </w:rPr>
        <w:t>X</w:t>
      </w:r>
      <w:r>
        <w:rPr>
          <w:spacing w:val="-2"/>
          <w:sz w:val="24"/>
        </w:rPr>
        <w:t> </w:t>
      </w:r>
      <w:r>
        <w:rPr>
          <w:sz w:val="24"/>
        </w:rPr>
        <w:t>fails</w:t>
      </w:r>
      <w:r>
        <w:rPr>
          <w:spacing w:val="-1"/>
          <w:sz w:val="24"/>
        </w:rPr>
        <w:t> </w:t>
      </w:r>
      <w:r>
        <w:rPr>
          <w:sz w:val="24"/>
        </w:rPr>
        <w:t>to</w:t>
      </w:r>
      <w:r>
        <w:rPr>
          <w:spacing w:val="-3"/>
          <w:sz w:val="24"/>
        </w:rPr>
        <w:t> </w:t>
      </w:r>
      <w:r>
        <w:rPr>
          <w:sz w:val="24"/>
        </w:rPr>
        <w:t>Granger- cause Y .</w:t>
      </w:r>
    </w:p>
    <w:p>
      <w:pPr>
        <w:pStyle w:val="ListParagraph"/>
        <w:numPr>
          <w:ilvl w:val="1"/>
          <w:numId w:val="79"/>
        </w:numPr>
        <w:tabs>
          <w:tab w:pos="960" w:val="left" w:leader="none"/>
        </w:tabs>
        <w:spacing w:line="352" w:lineRule="auto" w:before="13" w:after="0"/>
        <w:ind w:left="960" w:right="835" w:hanging="360"/>
        <w:jc w:val="left"/>
        <w:rPr>
          <w:sz w:val="24"/>
        </w:rPr>
      </w:pPr>
      <w:r>
        <w:rPr>
          <w:sz w:val="24"/>
        </w:rPr>
        <w:t>Independence: Similarly, variables X and Y are only</w:t>
      </w:r>
      <w:r>
        <w:rPr>
          <w:spacing w:val="-1"/>
          <w:sz w:val="24"/>
        </w:rPr>
        <w:t> </w:t>
      </w:r>
      <w:r>
        <w:rPr>
          <w:sz w:val="24"/>
        </w:rPr>
        <w:t>independent if both fail to Granger- cause the other.</w:t>
      </w:r>
    </w:p>
    <w:p>
      <w:pPr>
        <w:spacing w:after="0" w:line="352" w:lineRule="auto"/>
        <w:jc w:val="left"/>
        <w:rPr>
          <w:sz w:val="24"/>
        </w:rPr>
        <w:sectPr>
          <w:pgSz w:w="12240" w:h="15840"/>
          <w:pgMar w:header="0" w:footer="1036" w:top="1360" w:bottom="1220" w:left="1200" w:right="600"/>
        </w:sectPr>
      </w:pPr>
    </w:p>
    <w:p>
      <w:pPr>
        <w:pStyle w:val="BodyText"/>
        <w:spacing w:line="360" w:lineRule="auto" w:before="74"/>
        <w:ind w:left="240" w:right="835"/>
        <w:jc w:val="both"/>
      </w:pPr>
      <w:r>
        <w:rPr/>
        <w:t>Granger causality is thus a powerful tool, in that it allows one to test for things that one might otherwise assume away or otherwise take for granted. The idea of Granger causality is a simple one: A variable X Granger-causes Y if Y can be better predicted using the histories of both X</w:t>
      </w:r>
      <w:r>
        <w:rPr>
          <w:spacing w:val="40"/>
        </w:rPr>
        <w:t> </w:t>
      </w:r>
      <w:r>
        <w:rPr/>
        <w:t>and Y than it can using the history of Y alone.</w:t>
      </w:r>
    </w:p>
    <w:p>
      <w:pPr>
        <w:pStyle w:val="BodyText"/>
      </w:pPr>
    </w:p>
    <w:p>
      <w:pPr>
        <w:pStyle w:val="BodyText"/>
        <w:spacing w:line="360" w:lineRule="auto" w:before="1"/>
        <w:ind w:left="240" w:right="839"/>
        <w:jc w:val="both"/>
      </w:pPr>
      <w:r>
        <w:rPr/>
        <w:t>The null hypothesis is that there is no causal relationship between the variables. The relational equation can be estimated as:</w:t>
      </w:r>
    </w:p>
    <w:p>
      <w:pPr>
        <w:spacing w:after="0" w:line="360" w:lineRule="auto"/>
        <w:jc w:val="both"/>
        <w:sectPr>
          <w:pgSz w:w="12240" w:h="15840"/>
          <w:pgMar w:header="0" w:footer="1036" w:top="1360" w:bottom="1220" w:left="1200" w:right="600"/>
        </w:sectPr>
      </w:pPr>
    </w:p>
    <w:p>
      <w:pPr>
        <w:spacing w:before="192"/>
        <w:ind w:left="240" w:right="0" w:firstLine="0"/>
        <w:jc w:val="left"/>
        <w:rPr>
          <w:rFonts w:ascii="Cambria Math" w:hAnsi="Cambria Math" w:eastAsia="Cambria Math"/>
          <w:sz w:val="24"/>
        </w:rPr>
      </w:pPr>
      <w:r>
        <w:rPr/>
        <mc:AlternateContent>
          <mc:Choice Requires="wps">
            <w:drawing>
              <wp:anchor distT="0" distB="0" distL="0" distR="0" allowOverlap="1" layoutInCell="1" locked="0" behindDoc="1" simplePos="0" relativeHeight="478115328">
                <wp:simplePos x="0" y="0"/>
                <wp:positionH relativeFrom="page">
                  <wp:posOffset>1332230</wp:posOffset>
                </wp:positionH>
                <wp:positionV relativeFrom="paragraph">
                  <wp:posOffset>225737</wp:posOffset>
                </wp:positionV>
                <wp:extent cx="180340" cy="108585"/>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a:off x="0" y="0"/>
                          <a:ext cx="180340" cy="108585"/>
                        </a:xfrm>
                        <a:prstGeom prst="rect">
                          <a:avLst/>
                        </a:prstGeom>
                      </wps:spPr>
                      <wps:txbx>
                        <w:txbxContent>
                          <w:p>
                            <w:pPr>
                              <w:spacing w:line="170" w:lineRule="exact" w:before="0"/>
                              <w:ind w:left="0" w:right="0" w:firstLine="0"/>
                              <w:jc w:val="left"/>
                              <w:rPr>
                                <w:rFonts w:ascii="Cambria Math" w:eastAsia="Cambria Math"/>
                                <w:sz w:val="17"/>
                              </w:rPr>
                            </w:pPr>
                            <w:r>
                              <w:rPr>
                                <w:rFonts w:ascii="Cambria Math" w:eastAsia="Cambria Math"/>
                                <w:spacing w:val="-5"/>
                                <w:sz w:val="17"/>
                              </w:rPr>
                              <w:t>𝑖=1</w:t>
                            </w:r>
                          </w:p>
                        </w:txbxContent>
                      </wps:txbx>
                      <wps:bodyPr wrap="square" lIns="0" tIns="0" rIns="0" bIns="0" rtlCol="0">
                        <a:noAutofit/>
                      </wps:bodyPr>
                    </wps:wsp>
                  </a:graphicData>
                </a:graphic>
              </wp:anchor>
            </w:drawing>
          </mc:Choice>
          <mc:Fallback>
            <w:pict>
              <v:shape style="position:absolute;margin-left:104.900002pt;margin-top:17.77459pt;width:14.2pt;height:8.550pt;mso-position-horizontal-relative:page;mso-position-vertical-relative:paragraph;z-index:-25201152" type="#_x0000_t202" id="docshape280" filled="false" stroked="false">
                <v:textbox inset="0,0,0,0">
                  <w:txbxContent>
                    <w:p>
                      <w:pPr>
                        <w:spacing w:line="170" w:lineRule="exact" w:before="0"/>
                        <w:ind w:left="0" w:right="0" w:firstLine="0"/>
                        <w:jc w:val="left"/>
                        <w:rPr>
                          <w:rFonts w:ascii="Cambria Math" w:eastAsia="Cambria Math"/>
                          <w:sz w:val="17"/>
                        </w:rPr>
                      </w:pPr>
                      <w:r>
                        <w:rPr>
                          <w:rFonts w:ascii="Cambria Math" w:eastAsia="Cambria Math"/>
                          <w:spacing w:val="-5"/>
                          <w:sz w:val="17"/>
                        </w:rPr>
                        <w:t>𝑖=1</w:t>
                      </w:r>
                    </w:p>
                  </w:txbxContent>
                </v:textbox>
                <w10:wrap type="none"/>
              </v:shape>
            </w:pict>
          </mc:Fallback>
        </mc:AlternateContent>
      </w:r>
      <w:r>
        <w:rPr>
          <w:rFonts w:ascii="Cambria Math" w:hAnsi="Cambria Math" w:eastAsia="Cambria Math"/>
          <w:sz w:val="24"/>
        </w:rPr>
        <w:t>𝑋</w:t>
      </w:r>
      <w:r>
        <w:rPr>
          <w:rFonts w:ascii="Cambria Math" w:hAnsi="Cambria Math" w:eastAsia="Cambria Math"/>
          <w:sz w:val="24"/>
          <w:vertAlign w:val="subscript"/>
        </w:rPr>
        <w:t>𝑡</w:t>
      </w:r>
      <w:r>
        <w:rPr>
          <w:rFonts w:ascii="Cambria Math" w:hAnsi="Cambria Math" w:eastAsia="Cambria Math"/>
          <w:spacing w:val="23"/>
          <w:sz w:val="24"/>
          <w:vertAlign w:val="baseline"/>
        </w:rPr>
        <w:t> </w:t>
      </w:r>
      <w:r>
        <w:rPr>
          <w:sz w:val="24"/>
          <w:vertAlign w:val="baseline"/>
        </w:rPr>
        <w:t>=</w:t>
      </w:r>
      <w:r>
        <w:rPr>
          <w:spacing w:val="-4"/>
          <w:sz w:val="24"/>
          <w:vertAlign w:val="baseline"/>
        </w:rPr>
        <w:t> </w:t>
      </w:r>
      <w:r>
        <w:rPr>
          <w:rFonts w:ascii="Cambria Math" w:hAnsi="Cambria Math" w:eastAsia="Cambria Math"/>
          <w:spacing w:val="-86"/>
          <w:position w:val="1"/>
          <w:sz w:val="24"/>
          <w:vertAlign w:val="baseline"/>
        </w:rPr>
        <w:t>∑</w:t>
      </w:r>
      <w:r>
        <w:rPr>
          <w:rFonts w:ascii="Cambria Math" w:hAnsi="Cambria Math" w:eastAsia="Cambria Math"/>
          <w:spacing w:val="-86"/>
          <w:position w:val="1"/>
          <w:sz w:val="24"/>
          <w:vertAlign w:val="superscript"/>
        </w:rPr>
        <w:t>𝑛</w:t>
      </w:r>
    </w:p>
    <w:p>
      <w:pPr>
        <w:spacing w:before="167"/>
        <w:ind w:left="188" w:right="0" w:firstLine="0"/>
        <w:jc w:val="left"/>
        <w:rPr>
          <w:rFonts w:ascii="Cambria Math" w:hAnsi="Cambria Math" w:eastAsia="Cambria Math"/>
          <w:sz w:val="17"/>
        </w:rPr>
      </w:pPr>
      <w:r>
        <w:rPr/>
        <w:br w:type="column"/>
      </w:r>
      <w:r>
        <w:rPr>
          <w:rFonts w:ascii="Cambria Math" w:hAnsi="Cambria Math" w:eastAsia="Cambria Math"/>
          <w:position w:val="5"/>
          <w:sz w:val="24"/>
        </w:rPr>
        <w:t>𝛼</w:t>
      </w:r>
      <w:r>
        <w:rPr>
          <w:rFonts w:ascii="Cambria Math" w:hAnsi="Cambria Math" w:eastAsia="Cambria Math"/>
          <w:sz w:val="17"/>
        </w:rPr>
        <w:t>𝑖</w:t>
      </w:r>
      <w:r>
        <w:rPr>
          <w:rFonts w:ascii="Cambria Math" w:hAnsi="Cambria Math" w:eastAsia="Cambria Math"/>
          <w:spacing w:val="-18"/>
          <w:sz w:val="17"/>
        </w:rPr>
        <w:t> </w:t>
      </w:r>
      <w:r>
        <w:rPr>
          <w:rFonts w:ascii="Cambria Math" w:hAnsi="Cambria Math" w:eastAsia="Cambria Math"/>
          <w:position w:val="5"/>
          <w:sz w:val="24"/>
        </w:rPr>
        <w:t>𝑌</w:t>
      </w:r>
      <w:r>
        <w:rPr>
          <w:rFonts w:ascii="Cambria Math" w:hAnsi="Cambria Math" w:eastAsia="Cambria Math"/>
          <w:sz w:val="17"/>
        </w:rPr>
        <w:t>𝑡−𝑖</w:t>
      </w:r>
      <w:r>
        <w:rPr>
          <w:rFonts w:ascii="Cambria Math" w:hAnsi="Cambria Math" w:eastAsia="Cambria Math"/>
          <w:spacing w:val="21"/>
          <w:sz w:val="17"/>
        </w:rPr>
        <w:t> </w:t>
      </w:r>
      <w:r>
        <w:rPr>
          <w:rFonts w:ascii="Cambria Math" w:hAnsi="Cambria Math" w:eastAsia="Cambria Math"/>
          <w:position w:val="5"/>
          <w:sz w:val="24"/>
        </w:rPr>
        <w:t>+</w:t>
      </w:r>
      <w:r>
        <w:rPr>
          <w:rFonts w:ascii="Cambria Math" w:hAnsi="Cambria Math" w:eastAsia="Cambria Math"/>
          <w:spacing w:val="23"/>
          <w:position w:val="5"/>
          <w:sz w:val="24"/>
        </w:rPr>
        <w:t> </w:t>
      </w:r>
      <w:r>
        <w:rPr>
          <w:rFonts w:ascii="Cambria Math" w:hAnsi="Cambria Math" w:eastAsia="Cambria Math"/>
          <w:spacing w:val="-86"/>
          <w:position w:val="6"/>
          <w:sz w:val="24"/>
        </w:rPr>
        <w:t>∑</w:t>
      </w:r>
      <w:r>
        <w:rPr>
          <w:rFonts w:ascii="Cambria Math" w:hAnsi="Cambria Math" w:eastAsia="Cambria Math"/>
          <w:spacing w:val="-86"/>
          <w:position w:val="15"/>
          <w:sz w:val="17"/>
        </w:rPr>
        <w:t>𝑛</w:t>
      </w:r>
    </w:p>
    <w:p>
      <w:pPr>
        <w:pStyle w:val="BodyText"/>
        <w:tabs>
          <w:tab w:pos="6720" w:val="left" w:leader="none"/>
        </w:tabs>
        <w:spacing w:before="202"/>
        <w:ind w:left="210"/>
        <w:rPr>
          <w:b/>
        </w:rPr>
      </w:pPr>
      <w:r>
        <w:rPr/>
        <w:br w:type="column"/>
      </w:r>
      <w:r>
        <w:rPr>
          <w:rFonts w:ascii="Cambria Math" w:hAnsi="Cambria Math" w:eastAsia="Cambria Math"/>
        </w:rPr>
        <w:t>𝛽</w:t>
      </w:r>
      <w:r>
        <w:rPr>
          <w:rFonts w:ascii="Cambria Math" w:hAnsi="Cambria Math" w:eastAsia="Cambria Math"/>
          <w:vertAlign w:val="subscript"/>
        </w:rPr>
        <w:t>𝑗</w:t>
      </w:r>
      <w:r>
        <w:rPr>
          <w:rFonts w:ascii="Cambria Math" w:hAnsi="Cambria Math" w:eastAsia="Cambria Math"/>
          <w:spacing w:val="-21"/>
          <w:vertAlign w:val="baseline"/>
        </w:rPr>
        <w:t> </w:t>
      </w:r>
      <w:r>
        <w:rPr>
          <w:rFonts w:ascii="Cambria Math" w:hAnsi="Cambria Math" w:eastAsia="Cambria Math"/>
          <w:vertAlign w:val="baseline"/>
        </w:rPr>
        <w:t>𝑋</w:t>
      </w:r>
      <w:r>
        <w:rPr>
          <w:rFonts w:ascii="Cambria Math" w:hAnsi="Cambria Math" w:eastAsia="Cambria Math"/>
          <w:vertAlign w:val="subscript"/>
        </w:rPr>
        <w:t>𝑡−𝑗</w:t>
      </w:r>
      <w:r>
        <w:rPr>
          <w:rFonts w:ascii="Cambria Math" w:hAnsi="Cambria Math" w:eastAsia="Cambria Math"/>
          <w:spacing w:val="28"/>
          <w:vertAlign w:val="baseline"/>
        </w:rPr>
        <w:t> </w:t>
      </w:r>
      <w:r>
        <w:rPr>
          <w:rFonts w:ascii="Cambria Math" w:hAnsi="Cambria Math" w:eastAsia="Cambria Math"/>
          <w:vertAlign w:val="baseline"/>
        </w:rPr>
        <w:t>+</w:t>
      </w:r>
      <w:r>
        <w:rPr>
          <w:rFonts w:ascii="Cambria Math" w:hAnsi="Cambria Math" w:eastAsia="Cambria Math"/>
          <w:spacing w:val="34"/>
          <w:vertAlign w:val="baseline"/>
        </w:rPr>
        <w:t> </w:t>
      </w:r>
      <w:r>
        <w:rPr>
          <w:rFonts w:ascii="Cambria Math" w:hAnsi="Cambria Math" w:eastAsia="Cambria Math"/>
          <w:spacing w:val="-5"/>
          <w:vertAlign w:val="baseline"/>
        </w:rPr>
        <w:t>𝜇</w:t>
      </w:r>
      <w:r>
        <w:rPr>
          <w:rFonts w:ascii="Cambria Math" w:hAnsi="Cambria Math" w:eastAsia="Cambria Math"/>
          <w:spacing w:val="-5"/>
          <w:vertAlign w:val="subscript"/>
        </w:rPr>
        <w:t>1𝑡</w:t>
      </w:r>
      <w:r>
        <w:rPr>
          <w:rFonts w:ascii="Cambria Math" w:hAnsi="Cambria Math" w:eastAsia="Cambria Math"/>
          <w:vertAlign w:val="baseline"/>
        </w:rPr>
        <w:tab/>
      </w:r>
      <w:r>
        <w:rPr>
          <w:b/>
          <w:spacing w:val="-4"/>
          <w:vertAlign w:val="baseline"/>
        </w:rPr>
        <w:t>(11)</w:t>
      </w:r>
    </w:p>
    <w:p>
      <w:pPr>
        <w:spacing w:after="0"/>
        <w:sectPr>
          <w:type w:val="continuous"/>
          <w:pgSz w:w="12240" w:h="15840"/>
          <w:pgMar w:header="0" w:footer="1036" w:top="1520" w:bottom="1220" w:left="1200" w:right="600"/>
          <w:cols w:num="3" w:equalWidth="0">
            <w:col w:w="996" w:space="40"/>
            <w:col w:w="1386" w:space="39"/>
            <w:col w:w="7979"/>
          </w:cols>
        </w:sectPr>
      </w:pPr>
    </w:p>
    <w:p>
      <w:pPr>
        <w:pStyle w:val="BodyText"/>
        <w:spacing w:before="13"/>
        <w:rPr>
          <w:b/>
          <w:sz w:val="20"/>
        </w:rPr>
      </w:pPr>
    </w:p>
    <w:p>
      <w:pPr>
        <w:spacing w:after="0"/>
        <w:rPr>
          <w:sz w:val="20"/>
        </w:rPr>
        <w:sectPr>
          <w:type w:val="continuous"/>
          <w:pgSz w:w="12240" w:h="15840"/>
          <w:pgMar w:header="0" w:footer="1036" w:top="1520" w:bottom="1220" w:left="1200" w:right="600"/>
        </w:sectPr>
      </w:pPr>
    </w:p>
    <w:p>
      <w:pPr>
        <w:spacing w:before="93"/>
        <w:ind w:left="240" w:right="0" w:firstLine="0"/>
        <w:jc w:val="left"/>
        <w:rPr>
          <w:rFonts w:ascii="Cambria Math" w:hAnsi="Cambria Math" w:eastAsia="Cambria Math"/>
          <w:sz w:val="24"/>
        </w:rPr>
      </w:pPr>
      <w:r>
        <w:rPr/>
        <mc:AlternateContent>
          <mc:Choice Requires="wps">
            <w:drawing>
              <wp:anchor distT="0" distB="0" distL="0" distR="0" allowOverlap="1" layoutInCell="1" locked="0" behindDoc="0" simplePos="0" relativeHeight="15752704">
                <wp:simplePos x="0" y="0"/>
                <wp:positionH relativeFrom="page">
                  <wp:posOffset>2237485</wp:posOffset>
                </wp:positionH>
                <wp:positionV relativeFrom="paragraph">
                  <wp:posOffset>-256406</wp:posOffset>
                </wp:positionV>
                <wp:extent cx="193040" cy="108585"/>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193040" cy="108585"/>
                        </a:xfrm>
                        <a:prstGeom prst="rect">
                          <a:avLst/>
                        </a:prstGeom>
                      </wps:spPr>
                      <wps:txbx>
                        <w:txbxContent>
                          <w:p>
                            <w:pPr>
                              <w:spacing w:line="170" w:lineRule="exact" w:before="0"/>
                              <w:ind w:left="0" w:right="0" w:firstLine="0"/>
                              <w:jc w:val="left"/>
                              <w:rPr>
                                <w:rFonts w:ascii="Cambria Math" w:eastAsia="Cambria Math"/>
                                <w:sz w:val="17"/>
                              </w:rPr>
                            </w:pPr>
                            <w:r>
                              <w:rPr>
                                <w:rFonts w:ascii="Cambria Math" w:eastAsia="Cambria Math"/>
                                <w:sz w:val="17"/>
                              </w:rPr>
                              <w:t>𝑗</w:t>
                            </w:r>
                            <w:r>
                              <w:rPr>
                                <w:rFonts w:ascii="Cambria Math" w:eastAsia="Cambria Math"/>
                                <w:spacing w:val="-15"/>
                                <w:sz w:val="17"/>
                              </w:rPr>
                              <w:t> </w:t>
                            </w:r>
                            <w:r>
                              <w:rPr>
                                <w:rFonts w:ascii="Cambria Math" w:eastAsia="Cambria Math"/>
                                <w:spacing w:val="-7"/>
                                <w:sz w:val="17"/>
                              </w:rPr>
                              <w:t>=1</w:t>
                            </w:r>
                          </w:p>
                        </w:txbxContent>
                      </wps:txbx>
                      <wps:bodyPr wrap="square" lIns="0" tIns="0" rIns="0" bIns="0" rtlCol="0">
                        <a:noAutofit/>
                      </wps:bodyPr>
                    </wps:wsp>
                  </a:graphicData>
                </a:graphic>
              </wp:anchor>
            </w:drawing>
          </mc:Choice>
          <mc:Fallback>
            <w:pict>
              <v:shape style="position:absolute;margin-left:176.179993pt;margin-top:-20.189522pt;width:15.2pt;height:8.550pt;mso-position-horizontal-relative:page;mso-position-vertical-relative:paragraph;z-index:15752704" type="#_x0000_t202" id="docshape281" filled="false" stroked="false">
                <v:textbox inset="0,0,0,0">
                  <w:txbxContent>
                    <w:p>
                      <w:pPr>
                        <w:spacing w:line="170" w:lineRule="exact" w:before="0"/>
                        <w:ind w:left="0" w:right="0" w:firstLine="0"/>
                        <w:jc w:val="left"/>
                        <w:rPr>
                          <w:rFonts w:ascii="Cambria Math" w:eastAsia="Cambria Math"/>
                          <w:sz w:val="17"/>
                        </w:rPr>
                      </w:pPr>
                      <w:r>
                        <w:rPr>
                          <w:rFonts w:ascii="Cambria Math" w:eastAsia="Cambria Math"/>
                          <w:sz w:val="17"/>
                        </w:rPr>
                        <w:t>𝑗</w:t>
                      </w:r>
                      <w:r>
                        <w:rPr>
                          <w:rFonts w:ascii="Cambria Math" w:eastAsia="Cambria Math"/>
                          <w:spacing w:val="-15"/>
                          <w:sz w:val="17"/>
                        </w:rPr>
                        <w:t> </w:t>
                      </w:r>
                      <w:r>
                        <w:rPr>
                          <w:rFonts w:ascii="Cambria Math" w:eastAsia="Cambria Math"/>
                          <w:spacing w:val="-7"/>
                          <w:sz w:val="17"/>
                        </w:rPr>
                        <w:t>=1</w:t>
                      </w:r>
                    </w:p>
                  </w:txbxContent>
                </v:textbox>
                <w10:wrap type="none"/>
              </v:shape>
            </w:pict>
          </mc:Fallback>
        </mc:AlternateContent>
      </w:r>
      <w:r>
        <w:rPr/>
        <mc:AlternateContent>
          <mc:Choice Requires="wps">
            <w:drawing>
              <wp:anchor distT="0" distB="0" distL="0" distR="0" allowOverlap="1" layoutInCell="1" locked="0" behindDoc="1" simplePos="0" relativeHeight="478116352">
                <wp:simplePos x="0" y="0"/>
                <wp:positionH relativeFrom="page">
                  <wp:posOffset>1307846</wp:posOffset>
                </wp:positionH>
                <wp:positionV relativeFrom="paragraph">
                  <wp:posOffset>163074</wp:posOffset>
                </wp:positionV>
                <wp:extent cx="182245" cy="108585"/>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182245" cy="108585"/>
                        </a:xfrm>
                        <a:prstGeom prst="rect">
                          <a:avLst/>
                        </a:prstGeom>
                      </wps:spPr>
                      <wps:txbx>
                        <w:txbxContent>
                          <w:p>
                            <w:pPr>
                              <w:spacing w:line="170" w:lineRule="exact" w:before="0"/>
                              <w:ind w:left="0" w:right="0" w:firstLine="0"/>
                              <w:jc w:val="left"/>
                              <w:rPr>
                                <w:rFonts w:ascii="Cambria Math" w:eastAsia="Cambria Math"/>
                                <w:sz w:val="17"/>
                              </w:rPr>
                            </w:pPr>
                            <w:r>
                              <w:rPr>
                                <w:rFonts w:ascii="Cambria Math" w:eastAsia="Cambria Math"/>
                                <w:spacing w:val="-5"/>
                                <w:sz w:val="17"/>
                              </w:rPr>
                              <w:t>𝑖=1</w:t>
                            </w:r>
                          </w:p>
                        </w:txbxContent>
                      </wps:txbx>
                      <wps:bodyPr wrap="square" lIns="0" tIns="0" rIns="0" bIns="0" rtlCol="0">
                        <a:noAutofit/>
                      </wps:bodyPr>
                    </wps:wsp>
                  </a:graphicData>
                </a:graphic>
              </wp:anchor>
            </w:drawing>
          </mc:Choice>
          <mc:Fallback>
            <w:pict>
              <v:shape style="position:absolute;margin-left:102.980003pt;margin-top:12.840479pt;width:14.35pt;height:8.550pt;mso-position-horizontal-relative:page;mso-position-vertical-relative:paragraph;z-index:-25200128" type="#_x0000_t202" id="docshape282" filled="false" stroked="false">
                <v:textbox inset="0,0,0,0">
                  <w:txbxContent>
                    <w:p>
                      <w:pPr>
                        <w:spacing w:line="170" w:lineRule="exact" w:before="0"/>
                        <w:ind w:left="0" w:right="0" w:firstLine="0"/>
                        <w:jc w:val="left"/>
                        <w:rPr>
                          <w:rFonts w:ascii="Cambria Math" w:eastAsia="Cambria Math"/>
                          <w:sz w:val="17"/>
                        </w:rPr>
                      </w:pPr>
                      <w:r>
                        <w:rPr>
                          <w:rFonts w:ascii="Cambria Math" w:eastAsia="Cambria Math"/>
                          <w:spacing w:val="-5"/>
                          <w:sz w:val="17"/>
                        </w:rPr>
                        <w:t>𝑖=1</w:t>
                      </w:r>
                    </w:p>
                  </w:txbxContent>
                </v:textbox>
                <w10:wrap type="none"/>
              </v:shape>
            </w:pict>
          </mc:Fallback>
        </mc:AlternateContent>
      </w:r>
      <w:r>
        <w:rPr>
          <w:rFonts w:ascii="Cambria Math" w:hAnsi="Cambria Math" w:eastAsia="Cambria Math"/>
          <w:sz w:val="24"/>
        </w:rPr>
        <w:t>𝑌</w:t>
      </w:r>
      <w:r>
        <w:rPr>
          <w:rFonts w:ascii="Cambria Math" w:hAnsi="Cambria Math" w:eastAsia="Cambria Math"/>
          <w:sz w:val="24"/>
          <w:vertAlign w:val="subscript"/>
        </w:rPr>
        <w:t>𝑡</w:t>
      </w:r>
      <w:r>
        <w:rPr>
          <w:rFonts w:ascii="Cambria Math" w:hAnsi="Cambria Math" w:eastAsia="Cambria Math"/>
          <w:spacing w:val="5"/>
          <w:sz w:val="24"/>
          <w:vertAlign w:val="baseline"/>
        </w:rPr>
        <w:t> </w:t>
      </w:r>
      <w:r>
        <w:rPr>
          <w:sz w:val="24"/>
          <w:vertAlign w:val="baseline"/>
        </w:rPr>
        <w:t>=</w:t>
      </w:r>
      <w:r>
        <w:rPr>
          <w:spacing w:val="-15"/>
          <w:sz w:val="24"/>
          <w:vertAlign w:val="baseline"/>
        </w:rPr>
        <w:t> </w:t>
      </w:r>
      <w:r>
        <w:rPr>
          <w:rFonts w:ascii="Cambria Math" w:hAnsi="Cambria Math" w:eastAsia="Cambria Math"/>
          <w:spacing w:val="-86"/>
          <w:position w:val="1"/>
          <w:sz w:val="24"/>
          <w:vertAlign w:val="baseline"/>
        </w:rPr>
        <w:t>∑</w:t>
      </w:r>
      <w:r>
        <w:rPr>
          <w:rFonts w:ascii="Cambria Math" w:hAnsi="Cambria Math" w:eastAsia="Cambria Math"/>
          <w:spacing w:val="-86"/>
          <w:position w:val="1"/>
          <w:sz w:val="24"/>
          <w:vertAlign w:val="superscript"/>
        </w:rPr>
        <w:t>𝑛</w:t>
      </w:r>
    </w:p>
    <w:p>
      <w:pPr>
        <w:spacing w:before="68"/>
        <w:ind w:left="191" w:right="0" w:firstLine="0"/>
        <w:jc w:val="left"/>
        <w:rPr>
          <w:rFonts w:ascii="Cambria Math" w:hAnsi="Cambria Math" w:eastAsia="Cambria Math"/>
          <w:sz w:val="17"/>
        </w:rPr>
      </w:pPr>
      <w:r>
        <w:rPr/>
        <w:br w:type="column"/>
      </w:r>
      <w:r>
        <w:rPr>
          <w:rFonts w:ascii="Cambria Math" w:hAnsi="Cambria Math" w:eastAsia="Cambria Math"/>
          <w:position w:val="5"/>
          <w:sz w:val="24"/>
        </w:rPr>
        <w:t>𝜆</w:t>
      </w:r>
      <w:r>
        <w:rPr>
          <w:rFonts w:ascii="Cambria Math" w:hAnsi="Cambria Math" w:eastAsia="Cambria Math"/>
          <w:sz w:val="17"/>
        </w:rPr>
        <w:t>𝑖</w:t>
      </w:r>
      <w:r>
        <w:rPr>
          <w:rFonts w:ascii="Cambria Math" w:hAnsi="Cambria Math" w:eastAsia="Cambria Math"/>
          <w:spacing w:val="-18"/>
          <w:sz w:val="17"/>
        </w:rPr>
        <w:t> </w:t>
      </w:r>
      <w:r>
        <w:rPr>
          <w:rFonts w:ascii="Cambria Math" w:hAnsi="Cambria Math" w:eastAsia="Cambria Math"/>
          <w:position w:val="5"/>
          <w:sz w:val="24"/>
        </w:rPr>
        <w:t>𝑌</w:t>
      </w:r>
      <w:r>
        <w:rPr>
          <w:rFonts w:ascii="Cambria Math" w:hAnsi="Cambria Math" w:eastAsia="Cambria Math"/>
          <w:sz w:val="17"/>
        </w:rPr>
        <w:t>𝑡−𝑖</w:t>
      </w:r>
      <w:r>
        <w:rPr>
          <w:rFonts w:ascii="Cambria Math" w:hAnsi="Cambria Math" w:eastAsia="Cambria Math"/>
          <w:spacing w:val="19"/>
          <w:sz w:val="17"/>
        </w:rPr>
        <w:t> </w:t>
      </w:r>
      <w:r>
        <w:rPr>
          <w:rFonts w:ascii="Cambria Math" w:hAnsi="Cambria Math" w:eastAsia="Cambria Math"/>
          <w:position w:val="5"/>
          <w:sz w:val="24"/>
        </w:rPr>
        <w:t>+</w:t>
      </w:r>
      <w:r>
        <w:rPr>
          <w:rFonts w:ascii="Cambria Math" w:hAnsi="Cambria Math" w:eastAsia="Cambria Math"/>
          <w:spacing w:val="23"/>
          <w:position w:val="5"/>
          <w:sz w:val="24"/>
        </w:rPr>
        <w:t> </w:t>
      </w:r>
      <w:r>
        <w:rPr>
          <w:rFonts w:ascii="Cambria Math" w:hAnsi="Cambria Math" w:eastAsia="Cambria Math"/>
          <w:spacing w:val="-71"/>
          <w:position w:val="6"/>
          <w:sz w:val="24"/>
        </w:rPr>
        <w:t>∑</w:t>
      </w:r>
      <w:r>
        <w:rPr>
          <w:rFonts w:ascii="Cambria Math" w:hAnsi="Cambria Math" w:eastAsia="Cambria Math"/>
          <w:spacing w:val="-71"/>
          <w:position w:val="15"/>
          <w:sz w:val="17"/>
        </w:rPr>
        <w:t>𝑚</w:t>
      </w:r>
    </w:p>
    <w:p>
      <w:pPr>
        <w:pStyle w:val="BodyText"/>
        <w:tabs>
          <w:tab w:pos="6733" w:val="left" w:leader="none"/>
        </w:tabs>
        <w:spacing w:before="103"/>
        <w:ind w:left="165"/>
        <w:rPr>
          <w:b/>
        </w:rPr>
      </w:pPr>
      <w:r>
        <w:rPr/>
        <w:br w:type="column"/>
      </w:r>
      <w:r>
        <w:rPr>
          <w:rFonts w:ascii="Cambria Math" w:hAnsi="Cambria Math" w:eastAsia="Cambria Math"/>
        </w:rPr>
        <w:t>𝛿</w:t>
      </w:r>
      <w:r>
        <w:rPr>
          <w:rFonts w:ascii="Cambria Math" w:hAnsi="Cambria Math" w:eastAsia="Cambria Math"/>
          <w:vertAlign w:val="subscript"/>
        </w:rPr>
        <w:t>𝑗</w:t>
      </w:r>
      <w:r>
        <w:rPr>
          <w:rFonts w:ascii="Cambria Math" w:hAnsi="Cambria Math" w:eastAsia="Cambria Math"/>
          <w:spacing w:val="-19"/>
          <w:vertAlign w:val="baseline"/>
        </w:rPr>
        <w:t> </w:t>
      </w:r>
      <w:r>
        <w:rPr>
          <w:rFonts w:ascii="Cambria Math" w:hAnsi="Cambria Math" w:eastAsia="Cambria Math"/>
          <w:vertAlign w:val="baseline"/>
        </w:rPr>
        <w:t>𝑋</w:t>
      </w:r>
      <w:r>
        <w:rPr>
          <w:rFonts w:ascii="Cambria Math" w:hAnsi="Cambria Math" w:eastAsia="Cambria Math"/>
          <w:vertAlign w:val="subscript"/>
        </w:rPr>
        <w:t>𝑡−𝑗</w:t>
      </w:r>
      <w:r>
        <w:rPr>
          <w:rFonts w:ascii="Cambria Math" w:hAnsi="Cambria Math" w:eastAsia="Cambria Math"/>
          <w:spacing w:val="25"/>
          <w:vertAlign w:val="baseline"/>
        </w:rPr>
        <w:t> </w:t>
      </w:r>
      <w:r>
        <w:rPr>
          <w:rFonts w:ascii="Cambria Math" w:hAnsi="Cambria Math" w:eastAsia="Cambria Math"/>
          <w:vertAlign w:val="baseline"/>
        </w:rPr>
        <w:t>+</w:t>
      </w:r>
      <w:r>
        <w:rPr>
          <w:rFonts w:ascii="Cambria Math" w:hAnsi="Cambria Math" w:eastAsia="Cambria Math"/>
          <w:spacing w:val="32"/>
          <w:vertAlign w:val="baseline"/>
        </w:rPr>
        <w:t> </w:t>
      </w:r>
      <w:r>
        <w:rPr>
          <w:rFonts w:ascii="Cambria Math" w:hAnsi="Cambria Math" w:eastAsia="Cambria Math"/>
          <w:spacing w:val="-5"/>
          <w:vertAlign w:val="baseline"/>
        </w:rPr>
        <w:t>𝜇</w:t>
      </w:r>
      <w:r>
        <w:rPr>
          <w:rFonts w:ascii="Cambria Math" w:hAnsi="Cambria Math" w:eastAsia="Cambria Math"/>
          <w:spacing w:val="-5"/>
          <w:vertAlign w:val="subscript"/>
        </w:rPr>
        <w:t>2𝑡</w:t>
      </w:r>
      <w:r>
        <w:rPr>
          <w:rFonts w:ascii="Cambria Math" w:hAnsi="Cambria Math" w:eastAsia="Cambria Math"/>
          <w:vertAlign w:val="baseline"/>
        </w:rPr>
        <w:tab/>
      </w:r>
      <w:r>
        <w:rPr>
          <w:b/>
          <w:spacing w:val="-4"/>
          <w:vertAlign w:val="baseline"/>
        </w:rPr>
        <w:t>(12)</w:t>
      </w:r>
    </w:p>
    <w:p>
      <w:pPr>
        <w:spacing w:after="0"/>
        <w:sectPr>
          <w:type w:val="continuous"/>
          <w:pgSz w:w="12240" w:h="15840"/>
          <w:pgMar w:header="0" w:footer="1036" w:top="1520" w:bottom="1220" w:left="1200" w:right="600"/>
          <w:cols w:num="3" w:equalWidth="0">
            <w:col w:w="958" w:space="40"/>
            <w:col w:w="1412" w:space="39"/>
            <w:col w:w="7991"/>
          </w:cols>
        </w:sectPr>
      </w:pPr>
    </w:p>
    <w:p>
      <w:pPr>
        <w:pStyle w:val="BodyText"/>
        <w:spacing w:before="67"/>
        <w:rPr>
          <w:b/>
        </w:rPr>
      </w:pPr>
    </w:p>
    <w:p>
      <w:pPr>
        <w:pStyle w:val="BodyText"/>
        <w:ind w:left="240"/>
      </w:pPr>
      <w:r>
        <w:rPr/>
        <mc:AlternateContent>
          <mc:Choice Requires="wps">
            <w:drawing>
              <wp:anchor distT="0" distB="0" distL="0" distR="0" allowOverlap="1" layoutInCell="1" locked="0" behindDoc="0" simplePos="0" relativeHeight="15753728">
                <wp:simplePos x="0" y="0"/>
                <wp:positionH relativeFrom="page">
                  <wp:posOffset>2200910</wp:posOffset>
                </wp:positionH>
                <wp:positionV relativeFrom="paragraph">
                  <wp:posOffset>-319702</wp:posOffset>
                </wp:positionV>
                <wp:extent cx="194310" cy="108585"/>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194310" cy="108585"/>
                        </a:xfrm>
                        <a:prstGeom prst="rect">
                          <a:avLst/>
                        </a:prstGeom>
                      </wps:spPr>
                      <wps:txbx>
                        <w:txbxContent>
                          <w:p>
                            <w:pPr>
                              <w:spacing w:line="170" w:lineRule="exact" w:before="0"/>
                              <w:ind w:left="0" w:right="0" w:firstLine="0"/>
                              <w:jc w:val="left"/>
                              <w:rPr>
                                <w:rFonts w:ascii="Cambria Math" w:eastAsia="Cambria Math"/>
                                <w:sz w:val="17"/>
                              </w:rPr>
                            </w:pPr>
                            <w:r>
                              <w:rPr>
                                <w:rFonts w:ascii="Cambria Math" w:eastAsia="Cambria Math"/>
                                <w:sz w:val="17"/>
                              </w:rPr>
                              <w:t>𝑗</w:t>
                            </w:r>
                            <w:r>
                              <w:rPr>
                                <w:rFonts w:ascii="Cambria Math" w:eastAsia="Cambria Math"/>
                                <w:spacing w:val="-13"/>
                                <w:sz w:val="17"/>
                              </w:rPr>
                              <w:t> </w:t>
                            </w:r>
                            <w:r>
                              <w:rPr>
                                <w:rFonts w:ascii="Cambria Math" w:eastAsia="Cambria Math"/>
                                <w:spacing w:val="-7"/>
                                <w:sz w:val="17"/>
                              </w:rPr>
                              <w:t>=1</w:t>
                            </w:r>
                          </w:p>
                        </w:txbxContent>
                      </wps:txbx>
                      <wps:bodyPr wrap="square" lIns="0" tIns="0" rIns="0" bIns="0" rtlCol="0">
                        <a:noAutofit/>
                      </wps:bodyPr>
                    </wps:wsp>
                  </a:graphicData>
                </a:graphic>
              </wp:anchor>
            </w:drawing>
          </mc:Choice>
          <mc:Fallback>
            <w:pict>
              <v:shape style="position:absolute;margin-left:173.300003pt;margin-top:-25.173437pt;width:15.3pt;height:8.550pt;mso-position-horizontal-relative:page;mso-position-vertical-relative:paragraph;z-index:15753728" type="#_x0000_t202" id="docshape283" filled="false" stroked="false">
                <v:textbox inset="0,0,0,0">
                  <w:txbxContent>
                    <w:p>
                      <w:pPr>
                        <w:spacing w:line="170" w:lineRule="exact" w:before="0"/>
                        <w:ind w:left="0" w:right="0" w:firstLine="0"/>
                        <w:jc w:val="left"/>
                        <w:rPr>
                          <w:rFonts w:ascii="Cambria Math" w:eastAsia="Cambria Math"/>
                          <w:sz w:val="17"/>
                        </w:rPr>
                      </w:pPr>
                      <w:r>
                        <w:rPr>
                          <w:rFonts w:ascii="Cambria Math" w:eastAsia="Cambria Math"/>
                          <w:sz w:val="17"/>
                        </w:rPr>
                        <w:t>𝑗</w:t>
                      </w:r>
                      <w:r>
                        <w:rPr>
                          <w:rFonts w:ascii="Cambria Math" w:eastAsia="Cambria Math"/>
                          <w:spacing w:val="-13"/>
                          <w:sz w:val="17"/>
                        </w:rPr>
                        <w:t> </w:t>
                      </w:r>
                      <w:r>
                        <w:rPr>
                          <w:rFonts w:ascii="Cambria Math" w:eastAsia="Cambria Math"/>
                          <w:spacing w:val="-7"/>
                          <w:sz w:val="17"/>
                        </w:rPr>
                        <w:t>=1</w:t>
                      </w:r>
                    </w:p>
                  </w:txbxContent>
                </v:textbox>
                <w10:wrap type="none"/>
              </v:shape>
            </w:pict>
          </mc:Fallback>
        </mc:AlternateContent>
      </w:r>
      <w:r>
        <w:rPr>
          <w:spacing w:val="-2"/>
        </w:rPr>
        <w:t>Where;</w:t>
      </w:r>
    </w:p>
    <w:p>
      <w:pPr>
        <w:pStyle w:val="BodyText"/>
        <w:spacing w:before="200"/>
        <w:ind w:left="240"/>
      </w:pPr>
      <w:r>
        <w:rPr>
          <w:rFonts w:ascii="Cambria Math" w:eastAsia="Cambria Math"/>
        </w:rPr>
        <w:t>𝑋</w:t>
      </w:r>
      <w:r>
        <w:rPr>
          <w:rFonts w:ascii="Cambria Math" w:eastAsia="Cambria Math"/>
          <w:vertAlign w:val="subscript"/>
        </w:rPr>
        <w:t>𝑡</w:t>
      </w:r>
      <w:r>
        <w:rPr>
          <w:rFonts w:ascii="Cambria Math" w:eastAsia="Cambria Math"/>
          <w:spacing w:val="24"/>
          <w:vertAlign w:val="baseline"/>
        </w:rPr>
        <w:t> </w:t>
      </w:r>
      <w:r>
        <w:rPr>
          <w:vertAlign w:val="baseline"/>
        </w:rPr>
        <w:t>=</w:t>
      </w:r>
      <w:r>
        <w:rPr>
          <w:spacing w:val="-2"/>
          <w:vertAlign w:val="baseline"/>
        </w:rPr>
        <w:t> </w:t>
      </w:r>
      <w:r>
        <w:rPr>
          <w:vertAlign w:val="baseline"/>
        </w:rPr>
        <w:t>value of</w:t>
      </w:r>
      <w:r>
        <w:rPr>
          <w:spacing w:val="-1"/>
          <w:vertAlign w:val="baseline"/>
        </w:rPr>
        <w:t> </w:t>
      </w:r>
      <w:r>
        <w:rPr>
          <w:vertAlign w:val="baseline"/>
        </w:rPr>
        <w:t>X</w:t>
      </w:r>
      <w:r>
        <w:rPr>
          <w:spacing w:val="-1"/>
          <w:vertAlign w:val="baseline"/>
        </w:rPr>
        <w:t> </w:t>
      </w:r>
      <w:r>
        <w:rPr>
          <w:vertAlign w:val="baseline"/>
        </w:rPr>
        <w:t>at</w:t>
      </w:r>
      <w:r>
        <w:rPr>
          <w:spacing w:val="-1"/>
          <w:vertAlign w:val="baseline"/>
        </w:rPr>
        <w:t> </w:t>
      </w:r>
      <w:r>
        <w:rPr>
          <w:vertAlign w:val="baseline"/>
        </w:rPr>
        <w:t>time</w:t>
      </w:r>
      <w:r>
        <w:rPr>
          <w:spacing w:val="-2"/>
          <w:vertAlign w:val="baseline"/>
        </w:rPr>
        <w:t> </w:t>
      </w:r>
      <w:r>
        <w:rPr>
          <w:vertAlign w:val="baseline"/>
        </w:rPr>
        <w:t>t</w:t>
      </w:r>
      <w:r>
        <w:rPr>
          <w:spacing w:val="-1"/>
          <w:vertAlign w:val="baseline"/>
        </w:rPr>
        <w:t> </w:t>
      </w:r>
      <w:r>
        <w:rPr>
          <w:vertAlign w:val="baseline"/>
        </w:rPr>
        <w:t>(dependent</w:t>
      </w:r>
      <w:r>
        <w:rPr>
          <w:spacing w:val="-1"/>
          <w:vertAlign w:val="baseline"/>
        </w:rPr>
        <w:t> </w:t>
      </w:r>
      <w:r>
        <w:rPr>
          <w:vertAlign w:val="baseline"/>
        </w:rPr>
        <w:t>variable</w:t>
      </w:r>
      <w:r>
        <w:rPr>
          <w:spacing w:val="-1"/>
          <w:vertAlign w:val="baseline"/>
        </w:rPr>
        <w:t> </w:t>
      </w:r>
      <w:r>
        <w:rPr>
          <w:vertAlign w:val="baseline"/>
        </w:rPr>
        <w:t>in</w:t>
      </w:r>
      <w:r>
        <w:rPr>
          <w:spacing w:val="-1"/>
          <w:vertAlign w:val="baseline"/>
        </w:rPr>
        <w:t> </w:t>
      </w:r>
      <w:r>
        <w:rPr>
          <w:vertAlign w:val="baseline"/>
        </w:rPr>
        <w:t>eqn</w:t>
      </w:r>
      <w:r>
        <w:rPr>
          <w:spacing w:val="1"/>
          <w:vertAlign w:val="baseline"/>
        </w:rPr>
        <w:t> </w:t>
      </w:r>
      <w:r>
        <w:rPr>
          <w:spacing w:val="-2"/>
          <w:vertAlign w:val="baseline"/>
        </w:rPr>
        <w:t>(11))</w:t>
      </w:r>
    </w:p>
    <w:p>
      <w:pPr>
        <w:pStyle w:val="BodyText"/>
        <w:spacing w:before="201"/>
        <w:ind w:left="240"/>
      </w:pPr>
      <w:r>
        <w:rPr>
          <w:rFonts w:ascii="Cambria Math" w:hAnsi="Cambria Math" w:eastAsia="Cambria Math"/>
        </w:rPr>
        <w:t>𝛼</w:t>
      </w:r>
      <w:r>
        <w:rPr>
          <w:rFonts w:ascii="Cambria Math" w:hAnsi="Cambria Math" w:eastAsia="Cambria Math"/>
          <w:vertAlign w:val="subscript"/>
        </w:rPr>
        <w:t>𝑖</w:t>
      </w:r>
      <w:r>
        <w:rPr>
          <w:rFonts w:ascii="Cambria Math" w:hAnsi="Cambria Math" w:eastAsia="Cambria Math"/>
          <w:spacing w:val="25"/>
          <w:vertAlign w:val="baseline"/>
        </w:rPr>
        <w:t> </w:t>
      </w:r>
      <w:r>
        <w:rPr>
          <w:vertAlign w:val="baseline"/>
        </w:rPr>
        <w:t>=</w:t>
      </w:r>
      <w:r>
        <w:rPr>
          <w:spacing w:val="-2"/>
          <w:vertAlign w:val="baseline"/>
        </w:rPr>
        <w:t> </w:t>
      </w:r>
      <w:r>
        <w:rPr>
          <w:vertAlign w:val="baseline"/>
        </w:rPr>
        <w:t>coefficient of</w:t>
      </w:r>
      <w:r>
        <w:rPr>
          <w:spacing w:val="-2"/>
          <w:vertAlign w:val="baseline"/>
        </w:rPr>
        <w:t> </w:t>
      </w:r>
      <w:r>
        <w:rPr>
          <w:vertAlign w:val="baseline"/>
        </w:rPr>
        <w:t>lagged</w:t>
      </w:r>
      <w:r>
        <w:rPr>
          <w:spacing w:val="1"/>
          <w:vertAlign w:val="baseline"/>
        </w:rPr>
        <w:t> </w:t>
      </w:r>
      <w:r>
        <w:rPr>
          <w:vertAlign w:val="baseline"/>
        </w:rPr>
        <w:t>Y at</w:t>
      </w:r>
      <w:r>
        <w:rPr>
          <w:spacing w:val="-1"/>
          <w:vertAlign w:val="baseline"/>
        </w:rPr>
        <w:t> </w:t>
      </w:r>
      <w:r>
        <w:rPr>
          <w:vertAlign w:val="baseline"/>
        </w:rPr>
        <w:t>time</w:t>
      </w:r>
      <w:r>
        <w:rPr>
          <w:spacing w:val="-1"/>
          <w:vertAlign w:val="baseline"/>
        </w:rPr>
        <w:t> </w:t>
      </w:r>
      <w:r>
        <w:rPr>
          <w:vertAlign w:val="baseline"/>
        </w:rPr>
        <w:t>t</w:t>
      </w:r>
      <w:r>
        <w:rPr>
          <w:rFonts w:ascii="Cambria Math" w:hAnsi="Cambria Math" w:eastAsia="Cambria Math"/>
          <w:vertAlign w:val="baseline"/>
        </w:rPr>
        <w:t>−</w:t>
      </w:r>
      <w:r>
        <w:rPr>
          <w:vertAlign w:val="baseline"/>
        </w:rPr>
        <w:t>i</w:t>
      </w:r>
      <w:r>
        <w:rPr>
          <w:spacing w:val="-1"/>
          <w:vertAlign w:val="baseline"/>
        </w:rPr>
        <w:t> </w:t>
      </w:r>
      <w:r>
        <w:rPr>
          <w:vertAlign w:val="baseline"/>
        </w:rPr>
        <w:t>(independent</w:t>
      </w:r>
      <w:r>
        <w:rPr>
          <w:spacing w:val="1"/>
          <w:vertAlign w:val="baseline"/>
        </w:rPr>
        <w:t> </w:t>
      </w:r>
      <w:r>
        <w:rPr>
          <w:vertAlign w:val="baseline"/>
        </w:rPr>
        <w:t>variable in</w:t>
      </w:r>
      <w:r>
        <w:rPr>
          <w:spacing w:val="-1"/>
          <w:vertAlign w:val="baseline"/>
        </w:rPr>
        <w:t> </w:t>
      </w:r>
      <w:r>
        <w:rPr>
          <w:vertAlign w:val="baseline"/>
        </w:rPr>
        <w:t>eqn</w:t>
      </w:r>
      <w:r>
        <w:rPr>
          <w:spacing w:val="2"/>
          <w:vertAlign w:val="baseline"/>
        </w:rPr>
        <w:t> </w:t>
      </w:r>
      <w:r>
        <w:rPr>
          <w:spacing w:val="-2"/>
          <w:vertAlign w:val="baseline"/>
        </w:rPr>
        <w:t>(11))</w:t>
      </w:r>
    </w:p>
    <w:p>
      <w:pPr>
        <w:pStyle w:val="BodyText"/>
        <w:spacing w:before="201"/>
        <w:ind w:left="240"/>
      </w:pPr>
      <w:r>
        <w:rPr>
          <w:rFonts w:ascii="Cambria Math" w:hAnsi="Cambria Math" w:eastAsia="Cambria Math"/>
        </w:rPr>
        <w:t>𝛽</w:t>
      </w:r>
      <w:r>
        <w:rPr>
          <w:rFonts w:ascii="Cambria Math" w:hAnsi="Cambria Math" w:eastAsia="Cambria Math"/>
          <w:vertAlign w:val="subscript"/>
        </w:rPr>
        <w:t>𝑗</w:t>
      </w:r>
      <w:r>
        <w:rPr>
          <w:rFonts w:ascii="Cambria Math" w:hAnsi="Cambria Math" w:eastAsia="Cambria Math"/>
          <w:spacing w:val="37"/>
          <w:vertAlign w:val="baseline"/>
        </w:rPr>
        <w:t> </w:t>
      </w:r>
      <w:r>
        <w:rPr>
          <w:vertAlign w:val="baseline"/>
        </w:rPr>
        <w:t>=</w:t>
      </w:r>
      <w:r>
        <w:rPr>
          <w:spacing w:val="-3"/>
          <w:vertAlign w:val="baseline"/>
        </w:rPr>
        <w:t> </w:t>
      </w:r>
      <w:r>
        <w:rPr>
          <w:vertAlign w:val="baseline"/>
        </w:rPr>
        <w:t>coefficient</w:t>
      </w:r>
      <w:r>
        <w:rPr>
          <w:spacing w:val="-3"/>
          <w:vertAlign w:val="baseline"/>
        </w:rPr>
        <w:t> </w:t>
      </w:r>
      <w:r>
        <w:rPr>
          <w:vertAlign w:val="baseline"/>
        </w:rPr>
        <w:t>of</w:t>
      </w:r>
      <w:r>
        <w:rPr>
          <w:spacing w:val="-3"/>
          <w:vertAlign w:val="baseline"/>
        </w:rPr>
        <w:t> </w:t>
      </w:r>
      <w:r>
        <w:rPr>
          <w:vertAlign w:val="baseline"/>
        </w:rPr>
        <w:t>lagged X</w:t>
      </w:r>
      <w:r>
        <w:rPr>
          <w:spacing w:val="-3"/>
          <w:vertAlign w:val="baseline"/>
        </w:rPr>
        <w:t> </w:t>
      </w:r>
      <w:r>
        <w:rPr>
          <w:vertAlign w:val="baseline"/>
        </w:rPr>
        <w:t>at</w:t>
      </w:r>
      <w:r>
        <w:rPr>
          <w:spacing w:val="-2"/>
          <w:vertAlign w:val="baseline"/>
        </w:rPr>
        <w:t> </w:t>
      </w:r>
      <w:r>
        <w:rPr>
          <w:vertAlign w:val="baseline"/>
        </w:rPr>
        <w:t>time</w:t>
      </w:r>
      <w:r>
        <w:rPr>
          <w:spacing w:val="-3"/>
          <w:vertAlign w:val="baseline"/>
        </w:rPr>
        <w:t> </w:t>
      </w:r>
      <w:r>
        <w:rPr>
          <w:vertAlign w:val="baseline"/>
        </w:rPr>
        <w:t>t</w:t>
      </w:r>
      <w:r>
        <w:rPr>
          <w:rFonts w:ascii="Cambria Math" w:hAnsi="Cambria Math" w:eastAsia="Cambria Math"/>
          <w:vertAlign w:val="baseline"/>
        </w:rPr>
        <w:t>−</w:t>
      </w:r>
      <w:r>
        <w:rPr>
          <w:vertAlign w:val="baseline"/>
        </w:rPr>
        <w:t>i</w:t>
      </w:r>
      <w:r>
        <w:rPr>
          <w:spacing w:val="-3"/>
          <w:vertAlign w:val="baseline"/>
        </w:rPr>
        <w:t> </w:t>
      </w:r>
      <w:r>
        <w:rPr>
          <w:vertAlign w:val="baseline"/>
        </w:rPr>
        <w:t>(independent variable</w:t>
      </w:r>
      <w:r>
        <w:rPr>
          <w:spacing w:val="-2"/>
          <w:vertAlign w:val="baseline"/>
        </w:rPr>
        <w:t> </w:t>
      </w:r>
      <w:r>
        <w:rPr>
          <w:vertAlign w:val="baseline"/>
        </w:rPr>
        <w:t>in</w:t>
      </w:r>
      <w:r>
        <w:rPr>
          <w:spacing w:val="-3"/>
          <w:vertAlign w:val="baseline"/>
        </w:rPr>
        <w:t> </w:t>
      </w:r>
      <w:r>
        <w:rPr>
          <w:vertAlign w:val="baseline"/>
        </w:rPr>
        <w:t>eqn </w:t>
      </w:r>
      <w:r>
        <w:rPr>
          <w:spacing w:val="-2"/>
          <w:vertAlign w:val="baseline"/>
        </w:rPr>
        <w:t>(11))</w:t>
      </w:r>
    </w:p>
    <w:p>
      <w:pPr>
        <w:pStyle w:val="BodyText"/>
        <w:spacing w:before="225"/>
        <w:ind w:left="240"/>
      </w:pPr>
      <w:r>
        <w:rPr>
          <w:rFonts w:ascii="Cambria Math" w:eastAsia="Cambria Math"/>
        </w:rPr>
        <w:t>𝜇</w:t>
      </w:r>
      <w:r>
        <w:rPr>
          <w:rFonts w:ascii="Cambria Math" w:eastAsia="Cambria Math"/>
          <w:vertAlign w:val="subscript"/>
        </w:rPr>
        <w:t>1𝑡</w:t>
      </w:r>
      <w:r>
        <w:rPr>
          <w:rFonts w:ascii="Cambria Math" w:eastAsia="Cambria Math"/>
          <w:spacing w:val="22"/>
          <w:vertAlign w:val="baseline"/>
        </w:rPr>
        <w:t> </w:t>
      </w:r>
      <w:r>
        <w:rPr>
          <w:vertAlign w:val="baseline"/>
        </w:rPr>
        <w:t>and</w:t>
      </w:r>
      <w:r>
        <w:rPr>
          <w:spacing w:val="47"/>
          <w:vertAlign w:val="baseline"/>
        </w:rPr>
        <w:t> </w:t>
      </w:r>
      <w:r>
        <w:rPr>
          <w:rFonts w:ascii="Cambria Math" w:eastAsia="Cambria Math"/>
          <w:vertAlign w:val="baseline"/>
        </w:rPr>
        <w:t>𝜇</w:t>
      </w:r>
      <w:r>
        <w:rPr>
          <w:rFonts w:ascii="Cambria Math" w:eastAsia="Cambria Math"/>
          <w:vertAlign w:val="subscript"/>
        </w:rPr>
        <w:t>2𝑡</w:t>
      </w:r>
      <w:r>
        <w:rPr>
          <w:rFonts w:ascii="Cambria Math" w:eastAsia="Cambria Math"/>
          <w:spacing w:val="22"/>
          <w:vertAlign w:val="baseline"/>
        </w:rPr>
        <w:t> </w:t>
      </w:r>
      <w:r>
        <w:rPr>
          <w:vertAlign w:val="baseline"/>
        </w:rPr>
        <w:t>are</w:t>
      </w:r>
      <w:r>
        <w:rPr>
          <w:spacing w:val="-1"/>
          <w:vertAlign w:val="baseline"/>
        </w:rPr>
        <w:t> </w:t>
      </w:r>
      <w:r>
        <w:rPr>
          <w:vertAlign w:val="baseline"/>
        </w:rPr>
        <w:t>the</w:t>
      </w:r>
      <w:r>
        <w:rPr>
          <w:spacing w:val="1"/>
          <w:vertAlign w:val="baseline"/>
        </w:rPr>
        <w:t> </w:t>
      </w:r>
      <w:r>
        <w:rPr>
          <w:vertAlign w:val="baseline"/>
        </w:rPr>
        <w:t>random/stochastic</w:t>
      </w:r>
      <w:r>
        <w:rPr>
          <w:spacing w:val="2"/>
          <w:vertAlign w:val="baseline"/>
        </w:rPr>
        <w:t> </w:t>
      </w:r>
      <w:r>
        <w:rPr>
          <w:vertAlign w:val="baseline"/>
        </w:rPr>
        <w:t>disturbances</w:t>
      </w:r>
      <w:r>
        <w:rPr>
          <w:spacing w:val="1"/>
          <w:vertAlign w:val="baseline"/>
        </w:rPr>
        <w:t> </w:t>
      </w:r>
      <w:r>
        <w:rPr>
          <w:vertAlign w:val="baseline"/>
        </w:rPr>
        <w:t>which</w:t>
      </w:r>
      <w:r>
        <w:rPr>
          <w:spacing w:val="3"/>
          <w:vertAlign w:val="baseline"/>
        </w:rPr>
        <w:t> </w:t>
      </w:r>
      <w:r>
        <w:rPr>
          <w:vertAlign w:val="baseline"/>
        </w:rPr>
        <w:t>are</w:t>
      </w:r>
      <w:r>
        <w:rPr>
          <w:spacing w:val="-1"/>
          <w:vertAlign w:val="baseline"/>
        </w:rPr>
        <w:t> </w:t>
      </w:r>
      <w:r>
        <w:rPr>
          <w:vertAlign w:val="baseline"/>
        </w:rPr>
        <w:t>assumed</w:t>
      </w:r>
      <w:r>
        <w:rPr>
          <w:spacing w:val="1"/>
          <w:vertAlign w:val="baseline"/>
        </w:rPr>
        <w:t> </w:t>
      </w:r>
      <w:r>
        <w:rPr>
          <w:vertAlign w:val="baseline"/>
        </w:rPr>
        <w:t>to</w:t>
      </w:r>
      <w:r>
        <w:rPr>
          <w:spacing w:val="2"/>
          <w:vertAlign w:val="baseline"/>
        </w:rPr>
        <w:t> </w:t>
      </w:r>
      <w:r>
        <w:rPr>
          <w:vertAlign w:val="baseline"/>
        </w:rPr>
        <w:t>be </w:t>
      </w:r>
      <w:r>
        <w:rPr>
          <w:spacing w:val="-2"/>
          <w:vertAlign w:val="baseline"/>
        </w:rPr>
        <w:t>uncorrelated.</w:t>
      </w:r>
    </w:p>
    <w:p>
      <w:pPr>
        <w:pStyle w:val="BodyText"/>
        <w:spacing w:before="37"/>
      </w:pPr>
    </w:p>
    <w:p>
      <w:pPr>
        <w:pStyle w:val="BodyText"/>
        <w:spacing w:line="360" w:lineRule="auto"/>
        <w:ind w:left="240" w:right="837"/>
        <w:jc w:val="both"/>
      </w:pPr>
      <w:r>
        <w:rPr/>
        <w:t>In equation (11), X is decided by lagged variable Y and X which means that the lagged Y influence X significantly (or provides statistically</w:t>
      </w:r>
      <w:r>
        <w:rPr>
          <w:spacing w:val="-1"/>
        </w:rPr>
        <w:t> </w:t>
      </w:r>
      <w:r>
        <w:rPr/>
        <w:t>significant information about the values of Y), and vice versa in equation (12). Hence, any particular lagged value of one of the variables is retained in the regression if (a) it is significant according to a t-test, and (b) it and the other lagged values of the variable jointly add </w:t>
      </w:r>
      <w:hyperlink r:id="rId109">
        <w:r>
          <w:rPr/>
          <w:t>explanatory power</w:t>
        </w:r>
      </w:hyperlink>
      <w:r>
        <w:rPr/>
        <w:t> to the model according to an F-test. Then the </w:t>
      </w:r>
      <w:hyperlink r:id="rId110">
        <w:r>
          <w:rPr/>
          <w:t>null hypothesis</w:t>
        </w:r>
      </w:hyperlink>
      <w:r>
        <w:rPr/>
        <w:t> of</w:t>
      </w:r>
      <w:r>
        <w:rPr>
          <w:spacing w:val="-1"/>
        </w:rPr>
        <w:t> </w:t>
      </w:r>
      <w:r>
        <w:rPr/>
        <w:t>no Granger</w:t>
      </w:r>
      <w:r>
        <w:rPr>
          <w:spacing w:val="-1"/>
        </w:rPr>
        <w:t> </w:t>
      </w:r>
      <w:r>
        <w:rPr/>
        <w:t>causality</w:t>
      </w:r>
      <w:r>
        <w:rPr>
          <w:spacing w:val="-5"/>
        </w:rPr>
        <w:t> </w:t>
      </w:r>
      <w:r>
        <w:rPr/>
        <w:t>is not rejected</w:t>
      </w:r>
      <w:r>
        <w:rPr>
          <w:spacing w:val="-1"/>
        </w:rPr>
        <w:t> </w:t>
      </w:r>
      <w:r>
        <w:rPr/>
        <w:t>if</w:t>
      </w:r>
      <w:r>
        <w:rPr>
          <w:spacing w:val="-1"/>
        </w:rPr>
        <w:t> </w:t>
      </w:r>
      <w:r>
        <w:rPr/>
        <w:t>and only</w:t>
      </w:r>
      <w:r>
        <w:rPr>
          <w:spacing w:val="-5"/>
        </w:rPr>
        <w:t> </w:t>
      </w:r>
      <w:r>
        <w:rPr/>
        <w:t>if</w:t>
      </w:r>
      <w:r>
        <w:rPr>
          <w:spacing w:val="-1"/>
        </w:rPr>
        <w:t> </w:t>
      </w:r>
      <w:r>
        <w:rPr/>
        <w:t>no lagged values</w:t>
      </w:r>
      <w:r>
        <w:rPr>
          <w:spacing w:val="-1"/>
        </w:rPr>
        <w:t> </w:t>
      </w:r>
      <w:r>
        <w:rPr/>
        <w:t>of an explanatory variable have been retained in the regression.</w:t>
      </w:r>
    </w:p>
    <w:p>
      <w:pPr>
        <w:pStyle w:val="BodyText"/>
        <w:spacing w:line="360" w:lineRule="auto" w:before="208"/>
        <w:ind w:left="240" w:right="834"/>
        <w:jc w:val="both"/>
      </w:pPr>
      <w:r>
        <w:rPr/>
        <w:t>The decision here is based on F-statistics and associated probability value following the traditional rule of significance for p-value </w:t>
      </w:r>
      <w:r>
        <w:rPr>
          <w:rFonts w:ascii="Cambria Math" w:hAnsi="Cambria Math"/>
        </w:rPr>
        <w:t>≤ </w:t>
      </w:r>
      <w:r>
        <w:rPr/>
        <w:t>0.05. It should however be noted that this test is sensitive to number of lags in the model.</w:t>
      </w:r>
    </w:p>
    <w:p>
      <w:pPr>
        <w:pStyle w:val="BodyText"/>
        <w:spacing w:before="35"/>
      </w:pPr>
    </w:p>
    <w:p>
      <w:pPr>
        <w:pStyle w:val="BodyText"/>
        <w:spacing w:line="360" w:lineRule="auto"/>
        <w:ind w:left="240" w:right="837"/>
        <w:jc w:val="both"/>
      </w:pPr>
      <w:r>
        <w:rPr/>
        <w:t>In the context of this research, the Granger Causality test was used to test Hypothesis 2: there is no causal relationship between the State‘s annual housing budget and the annual federal allocation.</w:t>
      </w:r>
      <w:r>
        <w:rPr>
          <w:spacing w:val="15"/>
        </w:rPr>
        <w:t> </w:t>
      </w:r>
      <w:r>
        <w:rPr/>
        <w:t>The</w:t>
      </w:r>
      <w:r>
        <w:rPr>
          <w:spacing w:val="14"/>
        </w:rPr>
        <w:t> </w:t>
      </w:r>
      <w:r>
        <w:rPr/>
        <w:t>rationale</w:t>
      </w:r>
      <w:r>
        <w:rPr>
          <w:spacing w:val="17"/>
        </w:rPr>
        <w:t> </w:t>
      </w:r>
      <w:r>
        <w:rPr/>
        <w:t>behind</w:t>
      </w:r>
      <w:r>
        <w:rPr>
          <w:spacing w:val="16"/>
        </w:rPr>
        <w:t> </w:t>
      </w:r>
      <w:r>
        <w:rPr/>
        <w:t>the</w:t>
      </w:r>
      <w:r>
        <w:rPr>
          <w:spacing w:val="15"/>
        </w:rPr>
        <w:t> </w:t>
      </w:r>
      <w:r>
        <w:rPr/>
        <w:t>application</w:t>
      </w:r>
      <w:r>
        <w:rPr>
          <w:spacing w:val="15"/>
        </w:rPr>
        <w:t> </w:t>
      </w:r>
      <w:r>
        <w:rPr/>
        <w:t>of</w:t>
      </w:r>
      <w:r>
        <w:rPr>
          <w:spacing w:val="14"/>
        </w:rPr>
        <w:t> </w:t>
      </w:r>
      <w:r>
        <w:rPr/>
        <w:t>Granger</w:t>
      </w:r>
      <w:r>
        <w:rPr>
          <w:spacing w:val="14"/>
        </w:rPr>
        <w:t> </w:t>
      </w:r>
      <w:r>
        <w:rPr/>
        <w:t>Causality</w:t>
      </w:r>
      <w:r>
        <w:rPr>
          <w:spacing w:val="10"/>
        </w:rPr>
        <w:t> </w:t>
      </w:r>
      <w:r>
        <w:rPr/>
        <w:t>to</w:t>
      </w:r>
      <w:r>
        <w:rPr>
          <w:spacing w:val="16"/>
        </w:rPr>
        <w:t> </w:t>
      </w:r>
      <w:r>
        <w:rPr/>
        <w:t>validate</w:t>
      </w:r>
      <w:r>
        <w:rPr>
          <w:spacing w:val="15"/>
        </w:rPr>
        <w:t> </w:t>
      </w:r>
      <w:r>
        <w:rPr/>
        <w:t>this</w:t>
      </w:r>
      <w:r>
        <w:rPr>
          <w:spacing w:val="15"/>
        </w:rPr>
        <w:t> </w:t>
      </w:r>
      <w:r>
        <w:rPr>
          <w:spacing w:val="-2"/>
        </w:rPr>
        <w:t>hypothesis</w:t>
      </w:r>
    </w:p>
    <w:p>
      <w:pPr>
        <w:spacing w:after="0" w:line="360" w:lineRule="auto"/>
        <w:jc w:val="both"/>
        <w:sectPr>
          <w:type w:val="continuous"/>
          <w:pgSz w:w="12240" w:h="15840"/>
          <w:pgMar w:header="0" w:footer="1036" w:top="1520" w:bottom="1220" w:left="1200" w:right="600"/>
        </w:sectPr>
      </w:pPr>
    </w:p>
    <w:p>
      <w:pPr>
        <w:pStyle w:val="BodyText"/>
        <w:spacing w:line="360" w:lineRule="auto" w:before="74"/>
        <w:ind w:left="240" w:right="840"/>
        <w:jc w:val="both"/>
      </w:pPr>
      <w:r>
        <w:rPr/>
        <w:t>is to ascertain if a financial criterion such as federal allocation (which is also a major source of revenue) is a causal factor or consideration in the proportion of annual housing budget </w:t>
      </w:r>
      <w:r>
        <w:rPr>
          <w:spacing w:val="-2"/>
        </w:rPr>
        <w:t>allocations.</w:t>
      </w:r>
    </w:p>
    <w:p>
      <w:pPr>
        <w:pStyle w:val="BodyText"/>
        <w:spacing w:before="143"/>
      </w:pPr>
    </w:p>
    <w:p>
      <w:pPr>
        <w:pStyle w:val="Heading4"/>
        <w:numPr>
          <w:ilvl w:val="1"/>
          <w:numId w:val="77"/>
        </w:numPr>
        <w:tabs>
          <w:tab w:pos="720" w:val="left" w:leader="none"/>
        </w:tabs>
        <w:spacing w:line="240" w:lineRule="auto" w:before="0" w:after="0"/>
        <w:ind w:left="720" w:right="0" w:hanging="480"/>
        <w:jc w:val="both"/>
      </w:pPr>
      <w:r>
        <w:rPr/>
        <w:t>Validity</w:t>
      </w:r>
      <w:r>
        <w:rPr>
          <w:spacing w:val="-2"/>
        </w:rPr>
        <w:t> </w:t>
      </w:r>
      <w:r>
        <w:rPr/>
        <w:t>and</w:t>
      </w:r>
      <w:r>
        <w:rPr>
          <w:spacing w:val="-1"/>
        </w:rPr>
        <w:t> </w:t>
      </w:r>
      <w:r>
        <w:rPr/>
        <w:t>Reliability</w:t>
      </w:r>
      <w:r>
        <w:rPr>
          <w:spacing w:val="-1"/>
        </w:rPr>
        <w:t> </w:t>
      </w:r>
      <w:r>
        <w:rPr/>
        <w:t>of the</w:t>
      </w:r>
      <w:r>
        <w:rPr>
          <w:spacing w:val="-2"/>
        </w:rPr>
        <w:t> </w:t>
      </w:r>
      <w:r>
        <w:rPr/>
        <w:t>Measuring</w:t>
      </w:r>
      <w:r>
        <w:rPr>
          <w:spacing w:val="-4"/>
        </w:rPr>
        <w:t> </w:t>
      </w:r>
      <w:r>
        <w:rPr>
          <w:spacing w:val="-2"/>
        </w:rPr>
        <w:t>Instrument</w:t>
      </w:r>
    </w:p>
    <w:p>
      <w:pPr>
        <w:pStyle w:val="BodyText"/>
        <w:spacing w:line="360" w:lineRule="auto" w:before="132"/>
        <w:ind w:left="240" w:right="837"/>
        <w:jc w:val="both"/>
      </w:pPr>
      <w:r>
        <w:rPr/>
        <w:t>Validity of an instrument refers to the extent an instrument of measurement actually measures what it is intended to measure (Ogunoh, 2008). An instrument is valid to the extent, that it is tailored to achieve the research objectives.</w:t>
      </w:r>
    </w:p>
    <w:p>
      <w:pPr>
        <w:pStyle w:val="BodyText"/>
        <w:spacing w:before="139"/>
      </w:pPr>
    </w:p>
    <w:p>
      <w:pPr>
        <w:pStyle w:val="BodyText"/>
        <w:spacing w:line="360" w:lineRule="auto"/>
        <w:ind w:left="240" w:right="834"/>
        <w:jc w:val="both"/>
      </w:pPr>
      <w:r>
        <w:rPr/>
        <w:t>In an effort to ensure the validity of the instrument, the instrument was subjected to face and content validity. This is to enable the researcher obtain information relevant to the purpose and objectives of the research. Copies of the questionnaire were presented to three professionals in the Faculty of Environmental Sciences and one professional each from the Faculties of Social Sciences (Department of Economics) and Management Sciences (Departments of Accountancy and Public Administration) of Nnamdi Azikiwe University Awka for vetting. Their suggestions were incorporated into the final draft.</w:t>
      </w:r>
    </w:p>
    <w:p>
      <w:pPr>
        <w:pStyle w:val="BodyText"/>
        <w:spacing w:before="139"/>
      </w:pPr>
    </w:p>
    <w:p>
      <w:pPr>
        <w:pStyle w:val="BodyText"/>
        <w:spacing w:line="360" w:lineRule="auto"/>
        <w:ind w:left="240" w:right="837"/>
        <w:jc w:val="both"/>
      </w:pPr>
      <w:r>
        <w:rPr/>
        <w:t>The instrument, after face and content validation was also subjected to a test retest reliability</w:t>
      </w:r>
      <w:r>
        <w:rPr>
          <w:spacing w:val="-3"/>
        </w:rPr>
        <w:t> </w:t>
      </w:r>
      <w:r>
        <w:rPr/>
        <w:t>test to</w:t>
      </w:r>
      <w:r>
        <w:rPr>
          <w:spacing w:val="-1"/>
        </w:rPr>
        <w:t> </w:t>
      </w:r>
      <w:r>
        <w:rPr/>
        <w:t>further</w:t>
      </w:r>
      <w:r>
        <w:rPr>
          <w:spacing w:val="2"/>
        </w:rPr>
        <w:t> </w:t>
      </w:r>
      <w:r>
        <w:rPr/>
        <w:t>evaluate</w:t>
      </w:r>
      <w:r>
        <w:rPr>
          <w:spacing w:val="1"/>
        </w:rPr>
        <w:t> </w:t>
      </w:r>
      <w:r>
        <w:rPr/>
        <w:t>the</w:t>
      </w:r>
      <w:r>
        <w:rPr>
          <w:spacing w:val="2"/>
        </w:rPr>
        <w:t> </w:t>
      </w:r>
      <w:r>
        <w:rPr/>
        <w:t>stability</w:t>
      </w:r>
      <w:r>
        <w:rPr>
          <w:spacing w:val="-3"/>
        </w:rPr>
        <w:t> </w:t>
      </w:r>
      <w:r>
        <w:rPr/>
        <w:t>of the</w:t>
      </w:r>
      <w:r>
        <w:rPr>
          <w:spacing w:val="2"/>
        </w:rPr>
        <w:t> </w:t>
      </w:r>
      <w:r>
        <w:rPr/>
        <w:t>questionnaire</w:t>
      </w:r>
      <w:r>
        <w:rPr>
          <w:spacing w:val="1"/>
        </w:rPr>
        <w:t> </w:t>
      </w:r>
      <w:r>
        <w:rPr/>
        <w:t>items.</w:t>
      </w:r>
      <w:r>
        <w:rPr>
          <w:spacing w:val="1"/>
        </w:rPr>
        <w:t> </w:t>
      </w:r>
      <w:r>
        <w:rPr/>
        <w:t>The</w:t>
      </w:r>
      <w:r>
        <w:rPr>
          <w:spacing w:val="2"/>
        </w:rPr>
        <w:t> </w:t>
      </w:r>
      <w:r>
        <w:rPr/>
        <w:t>questionnaire</w:t>
      </w:r>
      <w:r>
        <w:rPr>
          <w:spacing w:val="9"/>
        </w:rPr>
        <w:t> </w:t>
      </w:r>
      <w:r>
        <w:rPr/>
        <w:t>was</w:t>
      </w:r>
      <w:r>
        <w:rPr>
          <w:spacing w:val="4"/>
        </w:rPr>
        <w:t> </w:t>
      </w:r>
      <w:r>
        <w:rPr/>
        <w:t>administered</w:t>
      </w:r>
      <w:r>
        <w:rPr>
          <w:spacing w:val="4"/>
        </w:rPr>
        <w:t> </w:t>
      </w:r>
      <w:r>
        <w:rPr>
          <w:spacing w:val="-5"/>
        </w:rPr>
        <w:t>to</w:t>
      </w:r>
    </w:p>
    <w:p>
      <w:pPr>
        <w:pStyle w:val="BodyText"/>
        <w:spacing w:line="360" w:lineRule="auto"/>
        <w:ind w:left="240" w:right="832"/>
        <w:jc w:val="both"/>
        <w:rPr>
          <w:rFonts w:ascii="Calibri"/>
          <w:sz w:val="26"/>
        </w:rPr>
      </w:pPr>
      <w:r>
        <w:rPr/>
        <w:t>20 respondents in the relevant ministries and parastatals. After two weeks, the same</w:t>
      </w:r>
      <w:r>
        <w:rPr>
          <w:spacing w:val="40"/>
        </w:rPr>
        <w:t> </w:t>
      </w:r>
      <w:r>
        <w:rPr/>
        <w:t>questionnaire was administered to the 20 respondents. The responses of the first and second scores were computed using Pearson Product Moment Correlation Coefficient. A reliability coefficient stability of the items yielded a correlation of 0.81 which is considered reliable and adequate for this study</w:t>
      </w:r>
      <w:r>
        <w:rPr>
          <w:rFonts w:ascii="Calibri"/>
          <w:sz w:val="26"/>
        </w:rPr>
        <w:t>.</w:t>
      </w:r>
    </w:p>
    <w:p>
      <w:pPr>
        <w:pStyle w:val="BodyText"/>
        <w:spacing w:before="81"/>
        <w:rPr>
          <w:rFonts w:ascii="Calibri"/>
        </w:rPr>
      </w:pPr>
    </w:p>
    <w:p>
      <w:pPr>
        <w:pStyle w:val="BodyText"/>
        <w:spacing w:line="360" w:lineRule="auto"/>
        <w:ind w:left="240" w:right="839"/>
        <w:jc w:val="both"/>
      </w:pPr>
      <w:r>
        <w:rPr/>
        <w:t>The questionnaires were also subjected to reliability test using the Cronbach‘s alpha approach to ascertain the degree of consistency of the responses especially with respect to the problems (20) of housing budget on housing budget performance. The results were judged against the benchmark of 0.50(50%).The Cronbach‘s alpha value obtained; 0.669 (66.9%) &gt; 0.50(50%) indicates that there is a high degree of internal consistency of the responses.</w:t>
      </w:r>
    </w:p>
    <w:p>
      <w:pPr>
        <w:spacing w:after="0" w:line="360" w:lineRule="auto"/>
        <w:jc w:val="both"/>
        <w:sectPr>
          <w:pgSz w:w="12240" w:h="15840"/>
          <w:pgMar w:header="0" w:footer="1036" w:top="1360" w:bottom="1220" w:left="1200" w:right="600"/>
        </w:sectPr>
      </w:pPr>
    </w:p>
    <w:p>
      <w:pPr>
        <w:pStyle w:val="BodyText"/>
        <w:spacing w:line="360" w:lineRule="auto" w:before="74"/>
        <w:ind w:left="240" w:right="837"/>
        <w:jc w:val="both"/>
      </w:pPr>
      <w:r>
        <w:rPr/>
        <w:t>Furthermore, to achieve reliability of data from questionnaire distribution, the researcher exercised care and caution, to ensure that questionnaires were administered to the right respondents, only necessary questions were</w:t>
      </w:r>
      <w:r>
        <w:rPr>
          <w:spacing w:val="40"/>
        </w:rPr>
        <w:t> </w:t>
      </w:r>
      <w:r>
        <w:rPr/>
        <w:t>asked, which were neither offensive nor misleading and options of answers were provided to questions, except where opinion of respondents are needed to confirm the answers. Information contained in the questionnaire was also clear and unambiguous and there was personal determination and commitment on the part of the</w:t>
      </w:r>
      <w:r>
        <w:rPr>
          <w:spacing w:val="40"/>
        </w:rPr>
        <w:t> </w:t>
      </w:r>
      <w:r>
        <w:rPr/>
        <w:t>researcher to follow up, collect, and present data in its real and undiluted form</w:t>
      </w:r>
    </w:p>
    <w:p>
      <w:pPr>
        <w:spacing w:after="0" w:line="360" w:lineRule="auto"/>
        <w:jc w:val="both"/>
        <w:sectPr>
          <w:pgSz w:w="12240" w:h="15840"/>
          <w:pgMar w:header="0" w:footer="1036" w:top="1360" w:bottom="1220" w:left="1200" w:right="600"/>
        </w:sectPr>
      </w:pPr>
    </w:p>
    <w:p>
      <w:pPr>
        <w:pStyle w:val="Heading1"/>
        <w:ind w:right="595"/>
      </w:pPr>
      <w:r>
        <w:rPr/>
        <w:t>CHAPTER</w:t>
      </w:r>
      <w:r>
        <w:rPr>
          <w:spacing w:val="-8"/>
        </w:rPr>
        <w:t> </w:t>
      </w:r>
      <w:r>
        <w:rPr>
          <w:spacing w:val="-4"/>
        </w:rPr>
        <w:t>FIVE</w:t>
      </w:r>
    </w:p>
    <w:p>
      <w:pPr>
        <w:pStyle w:val="Heading2"/>
      </w:pPr>
      <w:r>
        <w:rPr/>
        <w:t>DATA</w:t>
      </w:r>
      <w:r>
        <w:rPr>
          <w:spacing w:val="-11"/>
        </w:rPr>
        <w:t> </w:t>
      </w:r>
      <w:r>
        <w:rPr/>
        <w:t>PRESENTATION,</w:t>
      </w:r>
      <w:r>
        <w:rPr>
          <w:spacing w:val="-10"/>
        </w:rPr>
        <w:t> </w:t>
      </w:r>
      <w:r>
        <w:rPr/>
        <w:t>ANALYSIS</w:t>
      </w:r>
      <w:r>
        <w:rPr>
          <w:spacing w:val="-10"/>
        </w:rPr>
        <w:t> </w:t>
      </w:r>
      <w:r>
        <w:rPr/>
        <w:t>AND</w:t>
      </w:r>
      <w:r>
        <w:rPr>
          <w:spacing w:val="-10"/>
        </w:rPr>
        <w:t> </w:t>
      </w:r>
      <w:r>
        <w:rPr>
          <w:spacing w:val="-2"/>
        </w:rPr>
        <w:t>INTERPRETATION</w:t>
      </w:r>
    </w:p>
    <w:p>
      <w:pPr>
        <w:pStyle w:val="BodyText"/>
        <w:spacing w:before="127"/>
        <w:rPr>
          <w:b/>
          <w:sz w:val="26"/>
        </w:rPr>
      </w:pPr>
    </w:p>
    <w:p>
      <w:pPr>
        <w:pStyle w:val="Heading3"/>
        <w:numPr>
          <w:ilvl w:val="1"/>
          <w:numId w:val="80"/>
        </w:numPr>
        <w:tabs>
          <w:tab w:pos="628" w:val="left" w:leader="none"/>
        </w:tabs>
        <w:spacing w:line="240" w:lineRule="auto" w:before="0" w:after="0"/>
        <w:ind w:left="628" w:right="0" w:hanging="388"/>
        <w:jc w:val="both"/>
      </w:pPr>
      <w:r>
        <w:rPr>
          <w:spacing w:val="-2"/>
        </w:rPr>
        <w:t>Introduction</w:t>
      </w:r>
    </w:p>
    <w:p>
      <w:pPr>
        <w:pStyle w:val="BodyText"/>
        <w:spacing w:line="360" w:lineRule="auto" w:before="145"/>
        <w:ind w:left="240" w:right="844"/>
        <w:jc w:val="both"/>
      </w:pPr>
      <w:r>
        <w:rPr/>
        <w:t>The presentation, analysis and interpretation of all the data collected are presented and analyzed in this chapter. They are based on the objectives, research questions and hypotheses that guided the research.</w:t>
      </w:r>
    </w:p>
    <w:p>
      <w:pPr>
        <w:pStyle w:val="Heading3"/>
        <w:spacing w:before="213"/>
        <w:ind w:left="240" w:firstLine="0"/>
        <w:jc w:val="left"/>
      </w:pPr>
      <w:r>
        <w:rPr/>
        <w:t>Distribution</w:t>
      </w:r>
      <w:r>
        <w:rPr>
          <w:spacing w:val="-9"/>
        </w:rPr>
        <w:t> </w:t>
      </w:r>
      <w:r>
        <w:rPr/>
        <w:t>of</w:t>
      </w:r>
      <w:r>
        <w:rPr>
          <w:spacing w:val="-6"/>
        </w:rPr>
        <w:t> </w:t>
      </w:r>
      <w:r>
        <w:rPr>
          <w:spacing w:val="-2"/>
        </w:rPr>
        <w:t>Questionnaire</w:t>
      </w:r>
    </w:p>
    <w:p>
      <w:pPr>
        <w:pStyle w:val="Heading4"/>
        <w:spacing w:before="145"/>
        <w:jc w:val="left"/>
      </w:pPr>
      <w:r>
        <w:rPr/>
        <w:t>Table</w:t>
      </w:r>
      <w:r>
        <w:rPr>
          <w:spacing w:val="-1"/>
        </w:rPr>
        <w:t> </w:t>
      </w:r>
      <w:r>
        <w:rPr/>
        <w:t>5.1.</w:t>
      </w:r>
      <w:r>
        <w:rPr>
          <w:spacing w:val="-1"/>
        </w:rPr>
        <w:t> </w:t>
      </w:r>
      <w:r>
        <w:rPr/>
        <w:t>Return</w:t>
      </w:r>
      <w:r>
        <w:rPr>
          <w:spacing w:val="-1"/>
        </w:rPr>
        <w:t> </w:t>
      </w:r>
      <w:r>
        <w:rPr/>
        <w:t>Rate of</w:t>
      </w:r>
      <w:r>
        <w:rPr>
          <w:spacing w:val="1"/>
        </w:rPr>
        <w:t> </w:t>
      </w:r>
      <w:r>
        <w:rPr>
          <w:spacing w:val="-2"/>
        </w:rPr>
        <w:t>Questionnaire</w:t>
      </w:r>
    </w:p>
    <w:p>
      <w:pPr>
        <w:pStyle w:val="BodyText"/>
        <w:spacing w:before="3"/>
        <w:rPr>
          <w:b/>
          <w:sz w:val="10"/>
        </w:rPr>
      </w:pPr>
    </w:p>
    <w:tbl>
      <w:tblPr>
        <w:tblW w:w="0" w:type="auto"/>
        <w:jc w:val="left"/>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33"/>
        <w:gridCol w:w="2052"/>
        <w:gridCol w:w="1466"/>
      </w:tblGrid>
      <w:tr>
        <w:trPr>
          <w:trHeight w:val="508" w:hRule="atLeast"/>
        </w:trPr>
        <w:tc>
          <w:tcPr>
            <w:tcW w:w="5433" w:type="dxa"/>
            <w:tcBorders>
              <w:top w:val="single" w:sz="8" w:space="0" w:color="4F81BC"/>
              <w:bottom w:val="single" w:sz="8" w:space="0" w:color="4F81BC"/>
            </w:tcBorders>
          </w:tcPr>
          <w:p>
            <w:pPr>
              <w:pStyle w:val="TableParagraph"/>
              <w:ind w:left="116"/>
              <w:rPr>
                <w:b/>
                <w:sz w:val="22"/>
              </w:rPr>
            </w:pPr>
            <w:r>
              <w:rPr>
                <w:b/>
                <w:spacing w:val="-2"/>
                <w:sz w:val="22"/>
              </w:rPr>
              <w:t>Questionnaire</w:t>
            </w:r>
          </w:p>
        </w:tc>
        <w:tc>
          <w:tcPr>
            <w:tcW w:w="2052" w:type="dxa"/>
            <w:tcBorders>
              <w:top w:val="single" w:sz="8" w:space="0" w:color="4F81BC"/>
              <w:bottom w:val="single" w:sz="8" w:space="0" w:color="4F81BC"/>
            </w:tcBorders>
          </w:tcPr>
          <w:p>
            <w:pPr>
              <w:pStyle w:val="TableParagraph"/>
              <w:ind w:left="741"/>
              <w:rPr>
                <w:b/>
                <w:sz w:val="22"/>
              </w:rPr>
            </w:pPr>
            <w:r>
              <w:rPr>
                <w:b/>
                <w:spacing w:val="-2"/>
                <w:sz w:val="22"/>
              </w:rPr>
              <w:t>Frequency</w:t>
            </w:r>
          </w:p>
        </w:tc>
        <w:tc>
          <w:tcPr>
            <w:tcW w:w="1466" w:type="dxa"/>
            <w:tcBorders>
              <w:top w:val="single" w:sz="8" w:space="0" w:color="4F81BC"/>
              <w:bottom w:val="single" w:sz="8" w:space="0" w:color="4F81BC"/>
            </w:tcBorders>
          </w:tcPr>
          <w:p>
            <w:pPr>
              <w:pStyle w:val="TableParagraph"/>
              <w:spacing w:line="252" w:lineRule="exact"/>
              <w:ind w:left="468" w:right="92" w:hanging="166"/>
              <w:rPr>
                <w:b/>
                <w:sz w:val="22"/>
              </w:rPr>
            </w:pPr>
            <w:r>
              <w:rPr>
                <w:b/>
                <w:spacing w:val="-2"/>
                <w:sz w:val="22"/>
              </w:rPr>
              <w:t>Percentage </w:t>
            </w:r>
            <w:r>
              <w:rPr>
                <w:b/>
                <w:sz w:val="22"/>
              </w:rPr>
              <w:t>( %)</w:t>
            </w:r>
          </w:p>
        </w:tc>
      </w:tr>
      <w:tr>
        <w:trPr>
          <w:trHeight w:val="757" w:hRule="atLeast"/>
        </w:trPr>
        <w:tc>
          <w:tcPr>
            <w:tcW w:w="5433" w:type="dxa"/>
            <w:tcBorders>
              <w:top w:val="single" w:sz="8" w:space="0" w:color="4F81BC"/>
            </w:tcBorders>
            <w:shd w:val="clear" w:color="auto" w:fill="D2DFED"/>
          </w:tcPr>
          <w:p>
            <w:pPr>
              <w:pStyle w:val="TableParagraph"/>
              <w:ind w:left="116" w:right="532"/>
              <w:rPr>
                <w:b/>
                <w:sz w:val="22"/>
              </w:rPr>
            </w:pPr>
            <w:r>
              <w:rPr>
                <w:b/>
                <w:sz w:val="22"/>
              </w:rPr>
              <w:t>Total</w:t>
            </w:r>
            <w:r>
              <w:rPr>
                <w:b/>
                <w:spacing w:val="-5"/>
                <w:sz w:val="22"/>
              </w:rPr>
              <w:t> </w:t>
            </w:r>
            <w:r>
              <w:rPr>
                <w:b/>
                <w:sz w:val="22"/>
              </w:rPr>
              <w:t>no</w:t>
            </w:r>
            <w:r>
              <w:rPr>
                <w:b/>
                <w:spacing w:val="-9"/>
                <w:sz w:val="22"/>
              </w:rPr>
              <w:t> </w:t>
            </w:r>
            <w:r>
              <w:rPr>
                <w:b/>
                <w:sz w:val="22"/>
              </w:rPr>
              <w:t>of</w:t>
            </w:r>
            <w:r>
              <w:rPr>
                <w:b/>
                <w:spacing w:val="-5"/>
                <w:sz w:val="22"/>
              </w:rPr>
              <w:t> </w:t>
            </w:r>
            <w:r>
              <w:rPr>
                <w:b/>
                <w:sz w:val="22"/>
              </w:rPr>
              <w:t>copies</w:t>
            </w:r>
            <w:r>
              <w:rPr>
                <w:b/>
                <w:spacing w:val="-6"/>
                <w:sz w:val="22"/>
              </w:rPr>
              <w:t> </w:t>
            </w:r>
            <w:r>
              <w:rPr>
                <w:b/>
                <w:sz w:val="22"/>
              </w:rPr>
              <w:t>of</w:t>
            </w:r>
            <w:r>
              <w:rPr>
                <w:b/>
                <w:spacing w:val="-5"/>
                <w:sz w:val="22"/>
              </w:rPr>
              <w:t> </w:t>
            </w:r>
            <w:r>
              <w:rPr>
                <w:b/>
                <w:sz w:val="22"/>
              </w:rPr>
              <w:t>Questionnaire</w:t>
            </w:r>
            <w:r>
              <w:rPr>
                <w:b/>
                <w:spacing w:val="-5"/>
                <w:sz w:val="22"/>
              </w:rPr>
              <w:t> </w:t>
            </w:r>
            <w:r>
              <w:rPr>
                <w:b/>
                <w:sz w:val="22"/>
              </w:rPr>
              <w:t>administered No of copies received</w:t>
            </w:r>
          </w:p>
          <w:p>
            <w:pPr>
              <w:pStyle w:val="TableParagraph"/>
              <w:spacing w:line="233" w:lineRule="exact"/>
              <w:ind w:left="116"/>
              <w:rPr>
                <w:b/>
                <w:sz w:val="22"/>
              </w:rPr>
            </w:pPr>
            <w:r>
              <w:rPr>
                <w:b/>
                <w:sz w:val="22"/>
              </w:rPr>
              <w:t>No</w:t>
            </w:r>
            <w:r>
              <w:rPr>
                <w:b/>
                <w:spacing w:val="-1"/>
                <w:sz w:val="22"/>
              </w:rPr>
              <w:t> </w:t>
            </w:r>
            <w:r>
              <w:rPr>
                <w:b/>
                <w:sz w:val="22"/>
              </w:rPr>
              <w:t>not</w:t>
            </w:r>
            <w:r>
              <w:rPr>
                <w:b/>
                <w:spacing w:val="-1"/>
                <w:sz w:val="22"/>
              </w:rPr>
              <w:t> </w:t>
            </w:r>
            <w:r>
              <w:rPr>
                <w:b/>
                <w:spacing w:val="-2"/>
                <w:sz w:val="22"/>
              </w:rPr>
              <w:t>received</w:t>
            </w:r>
          </w:p>
        </w:tc>
        <w:tc>
          <w:tcPr>
            <w:tcW w:w="2052" w:type="dxa"/>
            <w:tcBorders>
              <w:top w:val="single" w:sz="8" w:space="0" w:color="4F81BC"/>
            </w:tcBorders>
            <w:shd w:val="clear" w:color="auto" w:fill="D2DFED"/>
          </w:tcPr>
          <w:p>
            <w:pPr>
              <w:pStyle w:val="TableParagraph"/>
              <w:spacing w:line="246" w:lineRule="exact"/>
              <w:ind w:left="741"/>
              <w:rPr>
                <w:sz w:val="22"/>
              </w:rPr>
            </w:pPr>
            <w:r>
              <w:rPr>
                <w:spacing w:val="-5"/>
                <w:sz w:val="22"/>
              </w:rPr>
              <w:t>170</w:t>
            </w:r>
          </w:p>
          <w:p>
            <w:pPr>
              <w:pStyle w:val="TableParagraph"/>
              <w:spacing w:line="252" w:lineRule="exact"/>
              <w:ind w:left="741"/>
              <w:rPr>
                <w:sz w:val="22"/>
              </w:rPr>
            </w:pPr>
            <w:r>
              <w:rPr>
                <w:spacing w:val="-5"/>
                <w:sz w:val="22"/>
              </w:rPr>
              <w:t>156</w:t>
            </w:r>
          </w:p>
          <w:p>
            <w:pPr>
              <w:pStyle w:val="TableParagraph"/>
              <w:spacing w:line="238" w:lineRule="exact" w:before="1"/>
              <w:ind w:left="741"/>
              <w:rPr>
                <w:sz w:val="22"/>
              </w:rPr>
            </w:pPr>
            <w:r>
              <w:rPr>
                <w:spacing w:val="-5"/>
                <w:sz w:val="22"/>
              </w:rPr>
              <w:t>14</w:t>
            </w:r>
          </w:p>
        </w:tc>
        <w:tc>
          <w:tcPr>
            <w:tcW w:w="1466" w:type="dxa"/>
            <w:tcBorders>
              <w:top w:val="single" w:sz="8" w:space="0" w:color="4F81BC"/>
            </w:tcBorders>
            <w:shd w:val="clear" w:color="auto" w:fill="D2DFED"/>
          </w:tcPr>
          <w:p>
            <w:pPr>
              <w:pStyle w:val="TableParagraph"/>
              <w:ind w:left="303" w:right="935"/>
              <w:rPr>
                <w:sz w:val="22"/>
              </w:rPr>
            </w:pPr>
            <w:r>
              <w:rPr>
                <w:spacing w:val="-10"/>
                <w:sz w:val="22"/>
              </w:rPr>
              <w:t>- </w:t>
            </w:r>
            <w:r>
              <w:rPr>
                <w:spacing w:val="-6"/>
                <w:sz w:val="22"/>
              </w:rPr>
              <w:t>92</w:t>
            </w:r>
          </w:p>
          <w:p>
            <w:pPr>
              <w:pStyle w:val="TableParagraph"/>
              <w:spacing w:line="238" w:lineRule="exact"/>
              <w:ind w:left="303"/>
              <w:rPr>
                <w:sz w:val="22"/>
              </w:rPr>
            </w:pPr>
            <w:r>
              <w:rPr>
                <w:spacing w:val="-10"/>
                <w:sz w:val="22"/>
              </w:rPr>
              <w:t>8</w:t>
            </w:r>
          </w:p>
        </w:tc>
      </w:tr>
      <w:tr>
        <w:trPr>
          <w:trHeight w:val="292" w:hRule="atLeast"/>
        </w:trPr>
        <w:tc>
          <w:tcPr>
            <w:tcW w:w="5433" w:type="dxa"/>
            <w:tcBorders>
              <w:bottom w:val="single" w:sz="8" w:space="0" w:color="4F81BC"/>
            </w:tcBorders>
          </w:tcPr>
          <w:p>
            <w:pPr>
              <w:pStyle w:val="TableParagraph"/>
              <w:spacing w:line="252" w:lineRule="exact"/>
              <w:ind w:left="116"/>
              <w:rPr>
                <w:b/>
                <w:sz w:val="22"/>
              </w:rPr>
            </w:pPr>
            <w:r>
              <w:rPr>
                <w:b/>
                <w:spacing w:val="-2"/>
                <w:sz w:val="22"/>
              </w:rPr>
              <w:t>Total</w:t>
            </w:r>
          </w:p>
        </w:tc>
        <w:tc>
          <w:tcPr>
            <w:tcW w:w="2052" w:type="dxa"/>
            <w:tcBorders>
              <w:bottom w:val="single" w:sz="8" w:space="0" w:color="4F81BC"/>
            </w:tcBorders>
          </w:tcPr>
          <w:p>
            <w:pPr>
              <w:pStyle w:val="TableParagraph"/>
              <w:rPr>
                <w:sz w:val="20"/>
              </w:rPr>
            </w:pPr>
          </w:p>
        </w:tc>
        <w:tc>
          <w:tcPr>
            <w:tcW w:w="1466" w:type="dxa"/>
            <w:tcBorders>
              <w:bottom w:val="single" w:sz="8" w:space="0" w:color="4F81BC"/>
            </w:tcBorders>
          </w:tcPr>
          <w:p>
            <w:pPr>
              <w:pStyle w:val="TableParagraph"/>
              <w:spacing w:line="247" w:lineRule="exact"/>
              <w:ind w:left="303"/>
              <w:rPr>
                <w:sz w:val="22"/>
              </w:rPr>
            </w:pPr>
            <w:r>
              <w:rPr>
                <w:spacing w:val="-4"/>
                <w:sz w:val="22"/>
              </w:rPr>
              <w:t>100%</w:t>
            </w:r>
          </w:p>
        </w:tc>
      </w:tr>
    </w:tbl>
    <w:p>
      <w:pPr>
        <w:pStyle w:val="BodyText"/>
        <w:ind w:left="240"/>
      </w:pPr>
      <w:r>
        <w:rPr/>
        <w:t>Source:</w:t>
      </w:r>
      <w:r>
        <w:rPr>
          <w:spacing w:val="-1"/>
        </w:rPr>
        <w:t> </w:t>
      </w:r>
      <w:r>
        <w:rPr/>
        <w:t>Researcher‘s</w:t>
      </w:r>
      <w:r>
        <w:rPr>
          <w:spacing w:val="-2"/>
        </w:rPr>
        <w:t> </w:t>
      </w:r>
      <w:r>
        <w:rPr/>
        <w:t>field</w:t>
      </w:r>
      <w:r>
        <w:rPr>
          <w:spacing w:val="-1"/>
        </w:rPr>
        <w:t> </w:t>
      </w:r>
      <w:r>
        <w:rPr/>
        <w:t>survey</w:t>
      </w:r>
      <w:r>
        <w:rPr>
          <w:spacing w:val="-4"/>
        </w:rPr>
        <w:t> </w:t>
      </w:r>
      <w:r>
        <w:rPr>
          <w:spacing w:val="-2"/>
        </w:rPr>
        <w:t>(2017)</w:t>
      </w:r>
    </w:p>
    <w:p>
      <w:pPr>
        <w:pStyle w:val="BodyText"/>
        <w:spacing w:before="136"/>
      </w:pPr>
    </w:p>
    <w:p>
      <w:pPr>
        <w:pStyle w:val="Heading4"/>
        <w:numPr>
          <w:ilvl w:val="2"/>
          <w:numId w:val="80"/>
        </w:numPr>
        <w:tabs>
          <w:tab w:pos="959" w:val="left" w:leader="none"/>
        </w:tabs>
        <w:spacing w:line="240" w:lineRule="auto" w:before="0" w:after="0"/>
        <w:ind w:left="959" w:right="0" w:hanging="719"/>
        <w:jc w:val="both"/>
      </w:pPr>
      <w:r>
        <w:rPr/>
        <w:t>Number</w:t>
      </w:r>
      <w:r>
        <w:rPr>
          <w:spacing w:val="-3"/>
        </w:rPr>
        <w:t> </w:t>
      </w:r>
      <w:r>
        <w:rPr/>
        <w:t>of</w:t>
      </w:r>
      <w:r>
        <w:rPr>
          <w:spacing w:val="1"/>
        </w:rPr>
        <w:t> </w:t>
      </w:r>
      <w:r>
        <w:rPr/>
        <w:t>copies</w:t>
      </w:r>
      <w:r>
        <w:rPr>
          <w:spacing w:val="-1"/>
        </w:rPr>
        <w:t> </w:t>
      </w:r>
      <w:r>
        <w:rPr/>
        <w:t>of</w:t>
      </w:r>
      <w:r>
        <w:rPr>
          <w:spacing w:val="1"/>
        </w:rPr>
        <w:t> </w:t>
      </w:r>
      <w:r>
        <w:rPr/>
        <w:t>Questionnaire</w:t>
      </w:r>
      <w:r>
        <w:rPr>
          <w:spacing w:val="-3"/>
        </w:rPr>
        <w:t> </w:t>
      </w:r>
      <w:r>
        <w:rPr/>
        <w:t>Distributed</w:t>
      </w:r>
      <w:r>
        <w:rPr>
          <w:spacing w:val="-1"/>
        </w:rPr>
        <w:t> </w:t>
      </w:r>
      <w:r>
        <w:rPr/>
        <w:t>and</w:t>
      </w:r>
      <w:r>
        <w:rPr>
          <w:spacing w:val="-1"/>
        </w:rPr>
        <w:t> </w:t>
      </w:r>
      <w:r>
        <w:rPr>
          <w:spacing w:val="-2"/>
        </w:rPr>
        <w:t>Returned</w:t>
      </w:r>
    </w:p>
    <w:p>
      <w:pPr>
        <w:pStyle w:val="BodyText"/>
        <w:spacing w:line="360" w:lineRule="auto" w:before="135"/>
        <w:ind w:left="240" w:right="835"/>
        <w:jc w:val="both"/>
      </w:pPr>
      <w:r>
        <w:rPr/>
        <w:t>Table 5.1 shows that a total number of 170 copies of the questionnaire were distributed to the respondents based on a purposive sampling. Out of the 170 copies of questionnaire distributed, 156 were completed and returned which corresponds to a response rate of 92%. The response</w:t>
      </w:r>
      <w:r>
        <w:rPr>
          <w:spacing w:val="40"/>
        </w:rPr>
        <w:t> </w:t>
      </w:r>
      <w:r>
        <w:rPr/>
        <w:t>rate was high because professional colleagues assisted the researcher in distributing and</w:t>
      </w:r>
      <w:r>
        <w:rPr>
          <w:spacing w:val="40"/>
        </w:rPr>
        <w:t> </w:t>
      </w:r>
      <w:r>
        <w:rPr/>
        <w:t>returning the questionnaire. The response rate of 92% is therefore reasonably high and adequate for the study. The rest of the questionnaire were either not properly completed or returned uncompleted. The ones not properly completed were disregarded because they were not usable. Some respondents gave no reason for the uncompleted questionnaire, while others cited busy schedule as their reason. Table 5.2 shows the population distribution of respondents and the percentage response to the questionnaires.</w:t>
      </w:r>
    </w:p>
    <w:p>
      <w:pPr>
        <w:spacing w:after="0" w:line="360" w:lineRule="auto"/>
        <w:jc w:val="both"/>
        <w:sectPr>
          <w:pgSz w:w="12240" w:h="15840"/>
          <w:pgMar w:header="0" w:footer="1036" w:top="1360" w:bottom="1220" w:left="1200" w:right="600"/>
        </w:sectPr>
      </w:pPr>
    </w:p>
    <w:p>
      <w:pPr>
        <w:pStyle w:val="Heading4"/>
        <w:spacing w:before="76"/>
        <w:jc w:val="left"/>
      </w:pPr>
      <w:r>
        <w:rPr/>
        <w:t>Table</w:t>
      </w:r>
      <w:r>
        <w:rPr>
          <w:spacing w:val="-3"/>
        </w:rPr>
        <w:t> </w:t>
      </w:r>
      <w:r>
        <w:rPr/>
        <w:t>5.2.</w:t>
      </w:r>
      <w:r>
        <w:rPr>
          <w:spacing w:val="-2"/>
        </w:rPr>
        <w:t> </w:t>
      </w:r>
      <w:r>
        <w:rPr/>
        <w:t>Population</w:t>
      </w:r>
      <w:r>
        <w:rPr>
          <w:spacing w:val="-2"/>
        </w:rPr>
        <w:t> </w:t>
      </w:r>
      <w:r>
        <w:rPr/>
        <w:t>Distribution</w:t>
      </w:r>
      <w:r>
        <w:rPr>
          <w:spacing w:val="-2"/>
        </w:rPr>
        <w:t> </w:t>
      </w:r>
      <w:r>
        <w:rPr/>
        <w:t>of</w:t>
      </w:r>
      <w:r>
        <w:rPr>
          <w:spacing w:val="-1"/>
        </w:rPr>
        <w:t> </w:t>
      </w:r>
      <w:r>
        <w:rPr/>
        <w:t>Questionnaires</w:t>
      </w:r>
      <w:r>
        <w:rPr>
          <w:spacing w:val="-2"/>
        </w:rPr>
        <w:t> </w:t>
      </w:r>
      <w:r>
        <w:rPr/>
        <w:t>and</w:t>
      </w:r>
      <w:r>
        <w:rPr>
          <w:spacing w:val="-2"/>
        </w:rPr>
        <w:t> </w:t>
      </w:r>
      <w:r>
        <w:rPr/>
        <w:t>Percentage</w:t>
      </w:r>
      <w:r>
        <w:rPr>
          <w:spacing w:val="-3"/>
        </w:rPr>
        <w:t> </w:t>
      </w:r>
      <w:r>
        <w:rPr>
          <w:spacing w:val="-2"/>
        </w:rPr>
        <w:t>Response</w:t>
      </w:r>
    </w:p>
    <w:p>
      <w:pPr>
        <w:pStyle w:val="BodyText"/>
        <w:spacing w:before="4"/>
        <w:rPr>
          <w:b/>
          <w:sz w:val="10"/>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00"/>
        <w:gridCol w:w="2363"/>
        <w:gridCol w:w="2459"/>
        <w:gridCol w:w="1801"/>
      </w:tblGrid>
      <w:tr>
        <w:trPr>
          <w:trHeight w:val="1012" w:hRule="atLeast"/>
        </w:trPr>
        <w:tc>
          <w:tcPr>
            <w:tcW w:w="2500" w:type="dxa"/>
            <w:tcBorders>
              <w:top w:val="single" w:sz="8" w:space="0" w:color="4F81BC"/>
              <w:bottom w:val="single" w:sz="8" w:space="0" w:color="4F81BC"/>
            </w:tcBorders>
          </w:tcPr>
          <w:p>
            <w:pPr>
              <w:pStyle w:val="TableParagraph"/>
              <w:spacing w:line="246" w:lineRule="exact"/>
              <w:ind w:left="194"/>
              <w:rPr>
                <w:sz w:val="22"/>
              </w:rPr>
            </w:pPr>
            <w:r>
              <w:rPr>
                <w:spacing w:val="-2"/>
                <w:sz w:val="22"/>
              </w:rPr>
              <w:t>Organization</w:t>
            </w:r>
          </w:p>
        </w:tc>
        <w:tc>
          <w:tcPr>
            <w:tcW w:w="2363" w:type="dxa"/>
            <w:tcBorders>
              <w:top w:val="single" w:sz="8" w:space="0" w:color="4F81BC"/>
              <w:bottom w:val="single" w:sz="8" w:space="0" w:color="4F81BC"/>
            </w:tcBorders>
          </w:tcPr>
          <w:p>
            <w:pPr>
              <w:pStyle w:val="TableParagraph"/>
              <w:ind w:left="519"/>
              <w:rPr>
                <w:sz w:val="22"/>
              </w:rPr>
            </w:pPr>
            <w:r>
              <w:rPr>
                <w:sz w:val="22"/>
              </w:rPr>
              <w:t>No of copies </w:t>
            </w:r>
            <w:r>
              <w:rPr>
                <w:sz w:val="22"/>
              </w:rPr>
              <w:t>of </w:t>
            </w:r>
            <w:r>
              <w:rPr>
                <w:spacing w:val="-2"/>
                <w:sz w:val="22"/>
              </w:rPr>
              <w:t>Questionnaire distributed</w:t>
            </w:r>
          </w:p>
        </w:tc>
        <w:tc>
          <w:tcPr>
            <w:tcW w:w="2459" w:type="dxa"/>
            <w:tcBorders>
              <w:top w:val="single" w:sz="8" w:space="0" w:color="4F81BC"/>
              <w:bottom w:val="single" w:sz="8" w:space="0" w:color="4F81BC"/>
            </w:tcBorders>
          </w:tcPr>
          <w:p>
            <w:pPr>
              <w:pStyle w:val="TableParagraph"/>
              <w:ind w:left="497" w:right="44"/>
              <w:rPr>
                <w:sz w:val="22"/>
              </w:rPr>
            </w:pPr>
            <w:r>
              <w:rPr>
                <w:sz w:val="22"/>
              </w:rPr>
              <w:t>No of</w:t>
            </w:r>
            <w:r>
              <w:rPr>
                <w:spacing w:val="75"/>
                <w:sz w:val="22"/>
              </w:rPr>
              <w:t> </w:t>
            </w:r>
            <w:r>
              <w:rPr>
                <w:sz w:val="22"/>
              </w:rPr>
              <w:t>copies </w:t>
            </w:r>
            <w:r>
              <w:rPr>
                <w:sz w:val="22"/>
              </w:rPr>
              <w:t>of </w:t>
            </w:r>
            <w:r>
              <w:rPr>
                <w:spacing w:val="-2"/>
                <w:sz w:val="22"/>
              </w:rPr>
              <w:t>Questionnaire received</w:t>
            </w:r>
          </w:p>
          <w:p>
            <w:pPr>
              <w:pStyle w:val="TableParagraph"/>
              <w:spacing w:line="240" w:lineRule="exact"/>
              <w:ind w:left="497"/>
              <w:rPr>
                <w:sz w:val="22"/>
              </w:rPr>
            </w:pPr>
            <w:r>
              <w:rPr>
                <w:spacing w:val="-2"/>
                <w:sz w:val="22"/>
              </w:rPr>
              <w:t>(response)</w:t>
            </w:r>
          </w:p>
        </w:tc>
        <w:tc>
          <w:tcPr>
            <w:tcW w:w="1801" w:type="dxa"/>
            <w:tcBorders>
              <w:top w:val="single" w:sz="8" w:space="0" w:color="4F81BC"/>
              <w:bottom w:val="single" w:sz="8" w:space="0" w:color="4F81BC"/>
            </w:tcBorders>
          </w:tcPr>
          <w:p>
            <w:pPr>
              <w:pStyle w:val="TableParagraph"/>
              <w:ind w:left="469" w:right="129"/>
              <w:rPr>
                <w:sz w:val="22"/>
              </w:rPr>
            </w:pPr>
            <w:r>
              <w:rPr>
                <w:spacing w:val="-2"/>
                <w:sz w:val="22"/>
              </w:rPr>
              <w:t>Percentage contribution </w:t>
            </w:r>
            <w:r>
              <w:rPr>
                <w:sz w:val="22"/>
              </w:rPr>
              <w:t>to total</w:t>
            </w:r>
          </w:p>
          <w:p>
            <w:pPr>
              <w:pStyle w:val="TableParagraph"/>
              <w:spacing w:line="240" w:lineRule="exact"/>
              <w:ind w:left="469"/>
              <w:rPr>
                <w:sz w:val="22"/>
              </w:rPr>
            </w:pPr>
            <w:r>
              <w:rPr>
                <w:spacing w:val="-2"/>
                <w:sz w:val="22"/>
              </w:rPr>
              <w:t>response</w:t>
            </w:r>
          </w:p>
        </w:tc>
      </w:tr>
      <w:tr>
        <w:trPr>
          <w:trHeight w:val="505" w:hRule="atLeast"/>
        </w:trPr>
        <w:tc>
          <w:tcPr>
            <w:tcW w:w="2500" w:type="dxa"/>
            <w:tcBorders>
              <w:top w:val="single" w:sz="8" w:space="0" w:color="4F81BC"/>
            </w:tcBorders>
            <w:shd w:val="clear" w:color="auto" w:fill="D2DFED"/>
          </w:tcPr>
          <w:p>
            <w:pPr>
              <w:pStyle w:val="TableParagraph"/>
              <w:spacing w:line="254" w:lineRule="exact"/>
              <w:ind w:left="194" w:right="1242"/>
              <w:rPr>
                <w:b/>
                <w:sz w:val="22"/>
              </w:rPr>
            </w:pPr>
            <w:r>
              <w:rPr>
                <w:b/>
                <w:sz w:val="22"/>
              </w:rPr>
              <w:t>Ministry</w:t>
            </w:r>
            <w:r>
              <w:rPr>
                <w:b/>
                <w:spacing w:val="-14"/>
                <w:sz w:val="22"/>
              </w:rPr>
              <w:t> </w:t>
            </w:r>
            <w:r>
              <w:rPr>
                <w:b/>
                <w:sz w:val="22"/>
              </w:rPr>
              <w:t>of </w:t>
            </w:r>
            <w:r>
              <w:rPr>
                <w:b/>
                <w:spacing w:val="-2"/>
                <w:sz w:val="22"/>
              </w:rPr>
              <w:t>Housing</w:t>
            </w:r>
          </w:p>
        </w:tc>
        <w:tc>
          <w:tcPr>
            <w:tcW w:w="2363" w:type="dxa"/>
            <w:tcBorders>
              <w:top w:val="single" w:sz="8" w:space="0" w:color="4F81BC"/>
            </w:tcBorders>
            <w:shd w:val="clear" w:color="auto" w:fill="D2DFED"/>
          </w:tcPr>
          <w:p>
            <w:pPr>
              <w:pStyle w:val="TableParagraph"/>
              <w:spacing w:line="246" w:lineRule="exact"/>
              <w:ind w:left="519"/>
              <w:rPr>
                <w:sz w:val="22"/>
              </w:rPr>
            </w:pPr>
            <w:r>
              <w:rPr>
                <w:spacing w:val="-5"/>
                <w:sz w:val="22"/>
              </w:rPr>
              <w:t>30</w:t>
            </w:r>
          </w:p>
        </w:tc>
        <w:tc>
          <w:tcPr>
            <w:tcW w:w="2459" w:type="dxa"/>
            <w:tcBorders>
              <w:top w:val="single" w:sz="8" w:space="0" w:color="4F81BC"/>
            </w:tcBorders>
            <w:shd w:val="clear" w:color="auto" w:fill="D2DFED"/>
          </w:tcPr>
          <w:p>
            <w:pPr>
              <w:pStyle w:val="TableParagraph"/>
              <w:spacing w:line="246" w:lineRule="exact"/>
              <w:ind w:left="439"/>
              <w:rPr>
                <w:sz w:val="22"/>
              </w:rPr>
            </w:pPr>
            <w:r>
              <w:rPr>
                <w:spacing w:val="-5"/>
                <w:sz w:val="22"/>
              </w:rPr>
              <w:t>27</w:t>
            </w:r>
          </w:p>
        </w:tc>
        <w:tc>
          <w:tcPr>
            <w:tcW w:w="1801" w:type="dxa"/>
            <w:tcBorders>
              <w:top w:val="single" w:sz="8" w:space="0" w:color="4F81BC"/>
            </w:tcBorders>
            <w:shd w:val="clear" w:color="auto" w:fill="D2DFED"/>
          </w:tcPr>
          <w:p>
            <w:pPr>
              <w:pStyle w:val="TableParagraph"/>
              <w:spacing w:line="246" w:lineRule="exact"/>
              <w:ind w:left="469"/>
              <w:rPr>
                <w:sz w:val="22"/>
              </w:rPr>
            </w:pPr>
            <w:r>
              <w:rPr>
                <w:spacing w:val="-2"/>
                <w:sz w:val="22"/>
              </w:rPr>
              <w:t>17.30</w:t>
            </w:r>
          </w:p>
        </w:tc>
      </w:tr>
      <w:tr>
        <w:trPr>
          <w:trHeight w:val="756" w:hRule="atLeast"/>
        </w:trPr>
        <w:tc>
          <w:tcPr>
            <w:tcW w:w="2500" w:type="dxa"/>
          </w:tcPr>
          <w:p>
            <w:pPr>
              <w:pStyle w:val="TableParagraph"/>
              <w:ind w:left="194" w:right="214"/>
              <w:rPr>
                <w:b/>
                <w:sz w:val="22"/>
              </w:rPr>
            </w:pPr>
            <w:r>
              <w:rPr>
                <w:b/>
                <w:sz w:val="22"/>
              </w:rPr>
              <w:t>Ministry</w:t>
            </w:r>
            <w:r>
              <w:rPr>
                <w:b/>
                <w:spacing w:val="-14"/>
                <w:sz w:val="22"/>
              </w:rPr>
              <w:t> </w:t>
            </w:r>
            <w:r>
              <w:rPr>
                <w:b/>
                <w:sz w:val="22"/>
              </w:rPr>
              <w:t>of</w:t>
            </w:r>
            <w:r>
              <w:rPr>
                <w:b/>
                <w:spacing w:val="-14"/>
                <w:sz w:val="22"/>
              </w:rPr>
              <w:t> </w:t>
            </w:r>
            <w:r>
              <w:rPr>
                <w:b/>
                <w:sz w:val="22"/>
              </w:rPr>
              <w:t>Budget and Economic</w:t>
            </w:r>
          </w:p>
          <w:p>
            <w:pPr>
              <w:pStyle w:val="TableParagraph"/>
              <w:spacing w:line="233" w:lineRule="exact"/>
              <w:ind w:left="194"/>
              <w:rPr>
                <w:b/>
                <w:sz w:val="22"/>
              </w:rPr>
            </w:pPr>
            <w:r>
              <w:rPr>
                <w:b/>
                <w:spacing w:val="-2"/>
                <w:sz w:val="22"/>
              </w:rPr>
              <w:t>Planning</w:t>
            </w:r>
          </w:p>
        </w:tc>
        <w:tc>
          <w:tcPr>
            <w:tcW w:w="2363" w:type="dxa"/>
          </w:tcPr>
          <w:p>
            <w:pPr>
              <w:pStyle w:val="TableParagraph"/>
              <w:spacing w:line="245" w:lineRule="exact"/>
              <w:ind w:left="519"/>
              <w:rPr>
                <w:sz w:val="22"/>
              </w:rPr>
            </w:pPr>
            <w:r>
              <w:rPr>
                <w:spacing w:val="-5"/>
                <w:sz w:val="22"/>
              </w:rPr>
              <w:t>61</w:t>
            </w:r>
          </w:p>
        </w:tc>
        <w:tc>
          <w:tcPr>
            <w:tcW w:w="2459" w:type="dxa"/>
          </w:tcPr>
          <w:p>
            <w:pPr>
              <w:pStyle w:val="TableParagraph"/>
              <w:spacing w:line="245" w:lineRule="exact"/>
              <w:ind w:left="439"/>
              <w:rPr>
                <w:sz w:val="22"/>
              </w:rPr>
            </w:pPr>
            <w:r>
              <w:rPr>
                <w:spacing w:val="-5"/>
                <w:sz w:val="22"/>
              </w:rPr>
              <w:t>56</w:t>
            </w:r>
          </w:p>
        </w:tc>
        <w:tc>
          <w:tcPr>
            <w:tcW w:w="1801" w:type="dxa"/>
          </w:tcPr>
          <w:p>
            <w:pPr>
              <w:pStyle w:val="TableParagraph"/>
              <w:spacing w:line="245" w:lineRule="exact"/>
              <w:ind w:left="469"/>
              <w:rPr>
                <w:sz w:val="22"/>
              </w:rPr>
            </w:pPr>
            <w:r>
              <w:rPr>
                <w:spacing w:val="-2"/>
                <w:sz w:val="22"/>
              </w:rPr>
              <w:t>35.90</w:t>
            </w:r>
          </w:p>
        </w:tc>
      </w:tr>
      <w:tr>
        <w:trPr>
          <w:trHeight w:val="758" w:hRule="atLeast"/>
        </w:trPr>
        <w:tc>
          <w:tcPr>
            <w:tcW w:w="2500" w:type="dxa"/>
            <w:shd w:val="clear" w:color="auto" w:fill="D2DFED"/>
          </w:tcPr>
          <w:p>
            <w:pPr>
              <w:pStyle w:val="TableParagraph"/>
              <w:spacing w:line="252" w:lineRule="exact"/>
              <w:ind w:left="194"/>
              <w:rPr>
                <w:b/>
                <w:sz w:val="22"/>
              </w:rPr>
            </w:pPr>
            <w:r>
              <w:rPr>
                <w:b/>
                <w:spacing w:val="-2"/>
                <w:sz w:val="22"/>
              </w:rPr>
              <w:t>Housing</w:t>
            </w:r>
          </w:p>
          <w:p>
            <w:pPr>
              <w:pStyle w:val="TableParagraph"/>
              <w:spacing w:line="252" w:lineRule="exact"/>
              <w:ind w:left="194"/>
              <w:rPr>
                <w:b/>
                <w:sz w:val="22"/>
              </w:rPr>
            </w:pPr>
            <w:r>
              <w:rPr>
                <w:b/>
                <w:spacing w:val="-2"/>
                <w:sz w:val="22"/>
              </w:rPr>
              <w:t>Development Corporation</w:t>
            </w:r>
          </w:p>
        </w:tc>
        <w:tc>
          <w:tcPr>
            <w:tcW w:w="2363" w:type="dxa"/>
            <w:shd w:val="clear" w:color="auto" w:fill="D2DFED"/>
          </w:tcPr>
          <w:p>
            <w:pPr>
              <w:pStyle w:val="TableParagraph"/>
              <w:spacing w:line="247" w:lineRule="exact"/>
              <w:ind w:left="519"/>
              <w:rPr>
                <w:sz w:val="22"/>
              </w:rPr>
            </w:pPr>
            <w:r>
              <w:rPr>
                <w:spacing w:val="-5"/>
                <w:sz w:val="22"/>
              </w:rPr>
              <w:t>25</w:t>
            </w:r>
          </w:p>
        </w:tc>
        <w:tc>
          <w:tcPr>
            <w:tcW w:w="2459" w:type="dxa"/>
            <w:shd w:val="clear" w:color="auto" w:fill="D2DFED"/>
          </w:tcPr>
          <w:p>
            <w:pPr>
              <w:pStyle w:val="TableParagraph"/>
              <w:spacing w:line="247" w:lineRule="exact"/>
              <w:ind w:left="439"/>
              <w:rPr>
                <w:sz w:val="22"/>
              </w:rPr>
            </w:pPr>
            <w:r>
              <w:rPr>
                <w:spacing w:val="-5"/>
                <w:sz w:val="22"/>
              </w:rPr>
              <w:t>24</w:t>
            </w:r>
          </w:p>
        </w:tc>
        <w:tc>
          <w:tcPr>
            <w:tcW w:w="1801" w:type="dxa"/>
            <w:shd w:val="clear" w:color="auto" w:fill="D2DFED"/>
          </w:tcPr>
          <w:p>
            <w:pPr>
              <w:pStyle w:val="TableParagraph"/>
              <w:spacing w:line="247" w:lineRule="exact"/>
              <w:ind w:left="469"/>
              <w:rPr>
                <w:sz w:val="22"/>
              </w:rPr>
            </w:pPr>
            <w:r>
              <w:rPr>
                <w:spacing w:val="-2"/>
                <w:sz w:val="22"/>
              </w:rPr>
              <w:t>15.40</w:t>
            </w:r>
          </w:p>
        </w:tc>
      </w:tr>
      <w:tr>
        <w:trPr>
          <w:trHeight w:val="761" w:hRule="atLeast"/>
        </w:trPr>
        <w:tc>
          <w:tcPr>
            <w:tcW w:w="2500" w:type="dxa"/>
          </w:tcPr>
          <w:p>
            <w:pPr>
              <w:pStyle w:val="TableParagraph"/>
              <w:spacing w:line="252" w:lineRule="exact"/>
              <w:ind w:left="194"/>
              <w:rPr>
                <w:b/>
                <w:sz w:val="22"/>
              </w:rPr>
            </w:pPr>
            <w:r>
              <w:rPr>
                <w:b/>
                <w:spacing w:val="-2"/>
                <w:sz w:val="22"/>
              </w:rPr>
              <w:t>Capital</w:t>
            </w:r>
          </w:p>
          <w:p>
            <w:pPr>
              <w:pStyle w:val="TableParagraph"/>
              <w:spacing w:line="252" w:lineRule="exact"/>
              <w:ind w:left="194" w:right="214"/>
              <w:rPr>
                <w:b/>
                <w:sz w:val="22"/>
              </w:rPr>
            </w:pPr>
            <w:r>
              <w:rPr>
                <w:b/>
                <w:spacing w:val="-2"/>
                <w:sz w:val="22"/>
              </w:rPr>
              <w:t>Development Authority</w:t>
            </w:r>
          </w:p>
        </w:tc>
        <w:tc>
          <w:tcPr>
            <w:tcW w:w="2363" w:type="dxa"/>
          </w:tcPr>
          <w:p>
            <w:pPr>
              <w:pStyle w:val="TableParagraph"/>
              <w:spacing w:line="247" w:lineRule="exact"/>
              <w:ind w:left="519"/>
              <w:rPr>
                <w:sz w:val="22"/>
              </w:rPr>
            </w:pPr>
            <w:r>
              <w:rPr>
                <w:spacing w:val="-5"/>
                <w:sz w:val="22"/>
              </w:rPr>
              <w:t>13</w:t>
            </w:r>
          </w:p>
        </w:tc>
        <w:tc>
          <w:tcPr>
            <w:tcW w:w="2459" w:type="dxa"/>
          </w:tcPr>
          <w:p>
            <w:pPr>
              <w:pStyle w:val="TableParagraph"/>
              <w:spacing w:line="247" w:lineRule="exact"/>
              <w:ind w:left="439"/>
              <w:rPr>
                <w:sz w:val="22"/>
              </w:rPr>
            </w:pPr>
            <w:r>
              <w:rPr>
                <w:spacing w:val="-5"/>
                <w:sz w:val="22"/>
              </w:rPr>
              <w:t>10</w:t>
            </w:r>
          </w:p>
        </w:tc>
        <w:tc>
          <w:tcPr>
            <w:tcW w:w="1801" w:type="dxa"/>
          </w:tcPr>
          <w:p>
            <w:pPr>
              <w:pStyle w:val="TableParagraph"/>
              <w:spacing w:line="247" w:lineRule="exact"/>
              <w:ind w:left="469"/>
              <w:rPr>
                <w:sz w:val="22"/>
              </w:rPr>
            </w:pPr>
            <w:r>
              <w:rPr>
                <w:spacing w:val="-4"/>
                <w:sz w:val="22"/>
              </w:rPr>
              <w:t>6.41</w:t>
            </w:r>
          </w:p>
        </w:tc>
      </w:tr>
      <w:tr>
        <w:trPr>
          <w:trHeight w:val="782" w:hRule="atLeast"/>
        </w:trPr>
        <w:tc>
          <w:tcPr>
            <w:tcW w:w="2500" w:type="dxa"/>
            <w:shd w:val="clear" w:color="auto" w:fill="D2DFED"/>
          </w:tcPr>
          <w:p>
            <w:pPr>
              <w:pStyle w:val="TableParagraph"/>
              <w:ind w:left="194" w:right="619"/>
              <w:rPr>
                <w:b/>
                <w:sz w:val="22"/>
              </w:rPr>
            </w:pPr>
            <w:r>
              <w:rPr>
                <w:b/>
                <w:sz w:val="22"/>
              </w:rPr>
              <w:t>Physical</w:t>
            </w:r>
            <w:r>
              <w:rPr>
                <w:b/>
                <w:spacing w:val="-14"/>
                <w:sz w:val="22"/>
              </w:rPr>
              <w:t> </w:t>
            </w:r>
            <w:r>
              <w:rPr>
                <w:b/>
                <w:sz w:val="22"/>
              </w:rPr>
              <w:t>Planning </w:t>
            </w:r>
            <w:r>
              <w:rPr>
                <w:b/>
                <w:spacing w:val="-2"/>
                <w:sz w:val="22"/>
              </w:rPr>
              <w:t>Board</w:t>
            </w:r>
          </w:p>
        </w:tc>
        <w:tc>
          <w:tcPr>
            <w:tcW w:w="2363" w:type="dxa"/>
            <w:shd w:val="clear" w:color="auto" w:fill="D2DFED"/>
          </w:tcPr>
          <w:p>
            <w:pPr>
              <w:pStyle w:val="TableParagraph"/>
              <w:spacing w:line="247" w:lineRule="exact"/>
              <w:ind w:left="519"/>
              <w:rPr>
                <w:sz w:val="22"/>
              </w:rPr>
            </w:pPr>
            <w:r>
              <w:rPr>
                <w:spacing w:val="-5"/>
                <w:sz w:val="22"/>
              </w:rPr>
              <w:t>41</w:t>
            </w:r>
          </w:p>
        </w:tc>
        <w:tc>
          <w:tcPr>
            <w:tcW w:w="2459" w:type="dxa"/>
            <w:shd w:val="clear" w:color="auto" w:fill="D2DFED"/>
          </w:tcPr>
          <w:p>
            <w:pPr>
              <w:pStyle w:val="TableParagraph"/>
              <w:spacing w:line="247" w:lineRule="exact"/>
              <w:ind w:left="439"/>
              <w:rPr>
                <w:sz w:val="22"/>
              </w:rPr>
            </w:pPr>
            <w:r>
              <w:rPr>
                <w:spacing w:val="-5"/>
                <w:sz w:val="22"/>
              </w:rPr>
              <w:t>39</w:t>
            </w:r>
          </w:p>
        </w:tc>
        <w:tc>
          <w:tcPr>
            <w:tcW w:w="1801" w:type="dxa"/>
            <w:shd w:val="clear" w:color="auto" w:fill="D2DFED"/>
          </w:tcPr>
          <w:p>
            <w:pPr>
              <w:pStyle w:val="TableParagraph"/>
              <w:spacing w:line="247" w:lineRule="exact"/>
              <w:ind w:left="469"/>
              <w:rPr>
                <w:sz w:val="22"/>
              </w:rPr>
            </w:pPr>
            <w:r>
              <w:rPr>
                <w:spacing w:val="-2"/>
                <w:sz w:val="22"/>
              </w:rPr>
              <w:t>25.00</w:t>
            </w:r>
          </w:p>
        </w:tc>
      </w:tr>
      <w:tr>
        <w:trPr>
          <w:trHeight w:val="254" w:hRule="atLeast"/>
        </w:trPr>
        <w:tc>
          <w:tcPr>
            <w:tcW w:w="2500" w:type="dxa"/>
            <w:tcBorders>
              <w:bottom w:val="single" w:sz="8" w:space="0" w:color="4F81BC"/>
            </w:tcBorders>
          </w:tcPr>
          <w:p>
            <w:pPr>
              <w:pStyle w:val="TableParagraph"/>
              <w:spacing w:line="234" w:lineRule="exact"/>
              <w:ind w:left="194"/>
              <w:rPr>
                <w:b/>
                <w:sz w:val="22"/>
              </w:rPr>
            </w:pPr>
            <w:r>
              <w:rPr>
                <w:b/>
                <w:spacing w:val="-2"/>
                <w:sz w:val="22"/>
              </w:rPr>
              <w:t>Total</w:t>
            </w:r>
          </w:p>
        </w:tc>
        <w:tc>
          <w:tcPr>
            <w:tcW w:w="2363" w:type="dxa"/>
            <w:tcBorders>
              <w:bottom w:val="single" w:sz="8" w:space="0" w:color="4F81BC"/>
            </w:tcBorders>
          </w:tcPr>
          <w:p>
            <w:pPr>
              <w:pStyle w:val="TableParagraph"/>
              <w:spacing w:line="234" w:lineRule="exact"/>
              <w:ind w:left="519"/>
              <w:rPr>
                <w:sz w:val="22"/>
              </w:rPr>
            </w:pPr>
            <w:r>
              <w:rPr>
                <w:spacing w:val="-5"/>
                <w:sz w:val="22"/>
              </w:rPr>
              <w:t>170</w:t>
            </w:r>
          </w:p>
        </w:tc>
        <w:tc>
          <w:tcPr>
            <w:tcW w:w="2459" w:type="dxa"/>
            <w:tcBorders>
              <w:bottom w:val="single" w:sz="8" w:space="0" w:color="4F81BC"/>
            </w:tcBorders>
          </w:tcPr>
          <w:p>
            <w:pPr>
              <w:pStyle w:val="TableParagraph"/>
              <w:spacing w:line="234" w:lineRule="exact"/>
              <w:ind w:left="497"/>
              <w:rPr>
                <w:sz w:val="22"/>
              </w:rPr>
            </w:pPr>
            <w:r>
              <w:rPr>
                <w:spacing w:val="-5"/>
                <w:sz w:val="22"/>
              </w:rPr>
              <w:t>156</w:t>
            </w:r>
          </w:p>
        </w:tc>
        <w:tc>
          <w:tcPr>
            <w:tcW w:w="1801" w:type="dxa"/>
            <w:tcBorders>
              <w:bottom w:val="single" w:sz="8" w:space="0" w:color="4F81BC"/>
            </w:tcBorders>
          </w:tcPr>
          <w:p>
            <w:pPr>
              <w:pStyle w:val="TableParagraph"/>
              <w:spacing w:line="234" w:lineRule="exact"/>
              <w:ind w:left="469"/>
              <w:rPr>
                <w:sz w:val="22"/>
              </w:rPr>
            </w:pPr>
            <w:r>
              <w:rPr>
                <w:spacing w:val="-4"/>
                <w:sz w:val="22"/>
              </w:rPr>
              <w:t>100%</w:t>
            </w:r>
          </w:p>
        </w:tc>
      </w:tr>
    </w:tbl>
    <w:p>
      <w:pPr>
        <w:pStyle w:val="BodyText"/>
        <w:ind w:left="240"/>
      </w:pPr>
      <w:r>
        <w:rPr>
          <w:b/>
        </w:rPr>
        <w:t>Source:</w:t>
      </w:r>
      <w:r>
        <w:rPr>
          <w:b/>
          <w:spacing w:val="-2"/>
        </w:rPr>
        <w:t> </w:t>
      </w:r>
      <w:r>
        <w:rPr/>
        <w:t>Researcher‘s field</w:t>
      </w:r>
      <w:r>
        <w:rPr>
          <w:spacing w:val="-1"/>
        </w:rPr>
        <w:t> </w:t>
      </w:r>
      <w:r>
        <w:rPr/>
        <w:t>survey</w:t>
      </w:r>
      <w:r>
        <w:rPr>
          <w:spacing w:val="-1"/>
        </w:rPr>
        <w:t> </w:t>
      </w:r>
      <w:r>
        <w:rPr>
          <w:spacing w:val="-2"/>
        </w:rPr>
        <w:t>(2017)</w:t>
      </w:r>
    </w:p>
    <w:p>
      <w:pPr>
        <w:pStyle w:val="BodyText"/>
      </w:pPr>
    </w:p>
    <w:p>
      <w:pPr>
        <w:pStyle w:val="BodyText"/>
        <w:spacing w:before="1"/>
      </w:pPr>
    </w:p>
    <w:p>
      <w:pPr>
        <w:pStyle w:val="Heading4"/>
        <w:numPr>
          <w:ilvl w:val="2"/>
          <w:numId w:val="80"/>
        </w:numPr>
        <w:tabs>
          <w:tab w:pos="959" w:val="left" w:leader="none"/>
        </w:tabs>
        <w:spacing w:line="240" w:lineRule="auto" w:before="0" w:after="0"/>
        <w:ind w:left="959" w:right="0" w:hanging="719"/>
        <w:jc w:val="both"/>
      </w:pPr>
      <w:r>
        <w:rPr/>
        <w:t>Response</w:t>
      </w:r>
      <w:r>
        <w:rPr>
          <w:spacing w:val="-3"/>
        </w:rPr>
        <w:t> </w:t>
      </w:r>
      <w:r>
        <w:rPr/>
        <w:t>Rate</w:t>
      </w:r>
      <w:r>
        <w:rPr>
          <w:spacing w:val="-2"/>
        </w:rPr>
        <w:t> </w:t>
      </w:r>
      <w:r>
        <w:rPr/>
        <w:t>of</w:t>
      </w:r>
      <w:r>
        <w:rPr>
          <w:spacing w:val="1"/>
        </w:rPr>
        <w:t> </w:t>
      </w:r>
      <w:r>
        <w:rPr>
          <w:spacing w:val="-2"/>
        </w:rPr>
        <w:t>Questionnaire</w:t>
      </w:r>
    </w:p>
    <w:p>
      <w:pPr>
        <w:pStyle w:val="BodyText"/>
        <w:spacing w:line="360" w:lineRule="auto" w:before="132"/>
        <w:ind w:left="240" w:right="834"/>
        <w:jc w:val="both"/>
      </w:pPr>
      <w:r>
        <w:rPr/>
        <w:t>Table 5.2 provides two basic information. First; the population of respondents or staff in each of the public organization (Housing and Ministries and Parastatals) that were issued copies of the questionnaire and second; their response rates.</w:t>
      </w:r>
      <w:r>
        <w:rPr>
          <w:spacing w:val="40"/>
        </w:rPr>
        <w:t> </w:t>
      </w:r>
      <w:r>
        <w:rPr/>
        <w:t>Majority</w:t>
      </w:r>
      <w:r>
        <w:rPr>
          <w:spacing w:val="-3"/>
        </w:rPr>
        <w:t> </w:t>
      </w:r>
      <w:r>
        <w:rPr/>
        <w:t>of the respondents work in the Ministry of Budget and Economic Planning, Anambra State Physical Planning Board and Ministry of Housing respectively, while Anambra State Housing Development Corporation and Awka Capital Development Authority</w:t>
      </w:r>
      <w:r>
        <w:rPr>
          <w:spacing w:val="-4"/>
        </w:rPr>
        <w:t> </w:t>
      </w:r>
      <w:r>
        <w:rPr/>
        <w:t>had the least population distribution. It is also instructive to note that this distribution depicts the professional staff strength of these Organizations in Anambra </w:t>
      </w:r>
      <w:r>
        <w:rPr>
          <w:spacing w:val="-2"/>
        </w:rPr>
        <w:t>State.</w:t>
      </w:r>
    </w:p>
    <w:p>
      <w:pPr>
        <w:pStyle w:val="BodyText"/>
        <w:spacing w:before="1"/>
      </w:pPr>
    </w:p>
    <w:p>
      <w:pPr>
        <w:pStyle w:val="BodyText"/>
        <w:spacing w:line="360" w:lineRule="auto"/>
        <w:ind w:left="240" w:right="836"/>
        <w:jc w:val="both"/>
      </w:pPr>
      <w:r>
        <w:rPr/>
        <w:t>30 copies of questionnaires were distributed to the Ministry of Housing, 61 to Budget and Economic Planning, 25 to Housing Development Corporation, 13 to Awka Capital Development Authority</w:t>
      </w:r>
      <w:r>
        <w:rPr>
          <w:spacing w:val="-1"/>
        </w:rPr>
        <w:t> </w:t>
      </w:r>
      <w:r>
        <w:rPr/>
        <w:t>and</w:t>
      </w:r>
      <w:r>
        <w:rPr>
          <w:spacing w:val="6"/>
        </w:rPr>
        <w:t> </w:t>
      </w:r>
      <w:r>
        <w:rPr/>
        <w:t>41</w:t>
      </w:r>
      <w:r>
        <w:rPr>
          <w:spacing w:val="5"/>
        </w:rPr>
        <w:t> </w:t>
      </w:r>
      <w:r>
        <w:rPr/>
        <w:t>to</w:t>
      </w:r>
      <w:r>
        <w:rPr>
          <w:spacing w:val="8"/>
        </w:rPr>
        <w:t> </w:t>
      </w:r>
      <w:r>
        <w:rPr/>
        <w:t>Anambra</w:t>
      </w:r>
      <w:r>
        <w:rPr>
          <w:spacing w:val="4"/>
        </w:rPr>
        <w:t> </w:t>
      </w:r>
      <w:r>
        <w:rPr/>
        <w:t>State</w:t>
      </w:r>
      <w:r>
        <w:rPr>
          <w:spacing w:val="6"/>
        </w:rPr>
        <w:t> </w:t>
      </w:r>
      <w:r>
        <w:rPr/>
        <w:t>Physical</w:t>
      </w:r>
      <w:r>
        <w:rPr>
          <w:spacing w:val="6"/>
        </w:rPr>
        <w:t> </w:t>
      </w:r>
      <w:r>
        <w:rPr/>
        <w:t>Planning</w:t>
      </w:r>
      <w:r>
        <w:rPr>
          <w:spacing w:val="4"/>
        </w:rPr>
        <w:t> </w:t>
      </w:r>
      <w:r>
        <w:rPr/>
        <w:t>Board.</w:t>
      </w:r>
      <w:r>
        <w:rPr>
          <w:spacing w:val="5"/>
        </w:rPr>
        <w:t> </w:t>
      </w:r>
      <w:r>
        <w:rPr/>
        <w:t>Out</w:t>
      </w:r>
      <w:r>
        <w:rPr>
          <w:spacing w:val="6"/>
        </w:rPr>
        <w:t> </w:t>
      </w:r>
      <w:r>
        <w:rPr/>
        <w:t>of</w:t>
      </w:r>
      <w:r>
        <w:rPr>
          <w:spacing w:val="5"/>
        </w:rPr>
        <w:t> </w:t>
      </w:r>
      <w:r>
        <w:rPr/>
        <w:t>these,</w:t>
      </w:r>
      <w:r>
        <w:rPr>
          <w:spacing w:val="9"/>
        </w:rPr>
        <w:t> </w:t>
      </w:r>
      <w:r>
        <w:rPr/>
        <w:t>27,</w:t>
      </w:r>
      <w:r>
        <w:rPr>
          <w:spacing w:val="5"/>
        </w:rPr>
        <w:t> </w:t>
      </w:r>
      <w:r>
        <w:rPr/>
        <w:t>56,</w:t>
      </w:r>
      <w:r>
        <w:rPr>
          <w:spacing w:val="6"/>
        </w:rPr>
        <w:t> </w:t>
      </w:r>
      <w:r>
        <w:rPr/>
        <w:t>24,</w:t>
      </w:r>
      <w:r>
        <w:rPr>
          <w:spacing w:val="5"/>
        </w:rPr>
        <w:t> </w:t>
      </w:r>
      <w:r>
        <w:rPr/>
        <w:t>10</w:t>
      </w:r>
      <w:r>
        <w:rPr>
          <w:spacing w:val="4"/>
        </w:rPr>
        <w:t> </w:t>
      </w:r>
      <w:r>
        <w:rPr/>
        <w:t>and</w:t>
      </w:r>
      <w:r>
        <w:rPr>
          <w:spacing w:val="6"/>
        </w:rPr>
        <w:t> </w:t>
      </w:r>
      <w:r>
        <w:rPr>
          <w:spacing w:val="-5"/>
        </w:rPr>
        <w:t>39</w:t>
      </w:r>
    </w:p>
    <w:p>
      <w:pPr>
        <w:pStyle w:val="BodyText"/>
        <w:spacing w:line="360" w:lineRule="auto"/>
        <w:ind w:left="240" w:right="837"/>
        <w:jc w:val="both"/>
      </w:pPr>
      <w:r>
        <w:rPr/>
        <w:t>copies respectively were returned, representing 17.30%, 35.90%, 15.40%, 6.41% and 25% response rates. Overall, this shows that the majority of the respondents responded to the questionnaire. The percentage responses also show a fair representation of the Housing and Budget staff in the Anambra State Public Service/Government.</w:t>
      </w:r>
    </w:p>
    <w:p>
      <w:pPr>
        <w:spacing w:after="0" w:line="360" w:lineRule="auto"/>
        <w:jc w:val="both"/>
        <w:sectPr>
          <w:pgSz w:w="12240" w:h="15840"/>
          <w:pgMar w:header="0" w:footer="1036" w:top="1360" w:bottom="1220" w:left="1200" w:right="600"/>
        </w:sectPr>
      </w:pPr>
    </w:p>
    <w:p>
      <w:pPr>
        <w:pStyle w:val="Heading3"/>
        <w:numPr>
          <w:ilvl w:val="1"/>
          <w:numId w:val="81"/>
        </w:numPr>
        <w:tabs>
          <w:tab w:pos="692" w:val="left" w:leader="none"/>
          <w:tab w:pos="780" w:val="left" w:leader="none"/>
        </w:tabs>
        <w:spacing w:line="240" w:lineRule="auto" w:before="60" w:after="0"/>
        <w:ind w:left="780" w:right="838" w:hanging="540"/>
        <w:jc w:val="both"/>
      </w:pPr>
      <w:r>
        <w:rPr/>
        <w:t>Questionnaire</w:t>
      </w:r>
      <w:r>
        <w:rPr>
          <w:spacing w:val="-5"/>
        </w:rPr>
        <w:t> </w:t>
      </w:r>
      <w:r>
        <w:rPr/>
        <w:t>Section</w:t>
      </w:r>
      <w:r>
        <w:rPr>
          <w:spacing w:val="-5"/>
        </w:rPr>
        <w:t> </w:t>
      </w:r>
      <w:r>
        <w:rPr/>
        <w:t>A</w:t>
      </w:r>
      <w:r>
        <w:rPr>
          <w:spacing w:val="-3"/>
        </w:rPr>
        <w:t> </w:t>
      </w:r>
      <w:r>
        <w:rPr/>
        <w:t>for</w:t>
      </w:r>
      <w:r>
        <w:rPr>
          <w:spacing w:val="-4"/>
        </w:rPr>
        <w:t> </w:t>
      </w:r>
      <w:r>
        <w:rPr/>
        <w:t>Public</w:t>
      </w:r>
      <w:r>
        <w:rPr>
          <w:spacing w:val="-5"/>
        </w:rPr>
        <w:t> </w:t>
      </w:r>
      <w:r>
        <w:rPr/>
        <w:t>Sector</w:t>
      </w:r>
      <w:r>
        <w:rPr>
          <w:spacing w:val="-3"/>
        </w:rPr>
        <w:t> </w:t>
      </w:r>
      <w:r>
        <w:rPr/>
        <w:t>Staff</w:t>
      </w:r>
      <w:r>
        <w:rPr>
          <w:spacing w:val="-5"/>
        </w:rPr>
        <w:t> </w:t>
      </w:r>
      <w:r>
        <w:rPr>
          <w:color w:val="00AF50"/>
        </w:rPr>
        <w:t>-</w:t>
      </w:r>
      <w:r>
        <w:rPr>
          <w:color w:val="00AF50"/>
          <w:spacing w:val="-2"/>
        </w:rPr>
        <w:t> </w:t>
      </w:r>
      <w:r>
        <w:rPr/>
        <w:t>Characteristics</w:t>
      </w:r>
      <w:r>
        <w:rPr>
          <w:spacing w:val="-5"/>
        </w:rPr>
        <w:t> </w:t>
      </w:r>
      <w:r>
        <w:rPr/>
        <w:t>of</w:t>
      </w:r>
      <w:r>
        <w:rPr>
          <w:spacing w:val="-5"/>
        </w:rPr>
        <w:t> </w:t>
      </w:r>
      <w:r>
        <w:rPr/>
        <w:t>respondents, types of Housing projects and financial capability of the Government</w:t>
      </w:r>
    </w:p>
    <w:p>
      <w:pPr>
        <w:pStyle w:val="BodyText"/>
        <w:spacing w:line="360" w:lineRule="auto" w:before="133"/>
        <w:ind w:left="240" w:right="834"/>
        <w:jc w:val="both"/>
      </w:pPr>
      <w:r>
        <w:rPr/>
        <w:t>The purpose of this section is to first; elicit information from the respondents about their, years</w:t>
      </w:r>
      <w:r>
        <w:rPr>
          <w:spacing w:val="40"/>
        </w:rPr>
        <w:t> </w:t>
      </w:r>
      <w:r>
        <w:rPr/>
        <w:t>of experience, academic qualifications and professional affiliation (</w:t>
      </w:r>
      <w:r>
        <w:rPr>
          <w:i/>
        </w:rPr>
        <w:t>see Table 5.3</w:t>
      </w:r>
      <w:r>
        <w:rPr/>
        <w:t>). The essence</w:t>
      </w:r>
      <w:r>
        <w:rPr>
          <w:spacing w:val="40"/>
        </w:rPr>
        <w:t> </w:t>
      </w:r>
      <w:r>
        <w:rPr/>
        <w:t>of</w:t>
      </w:r>
      <w:r>
        <w:rPr>
          <w:spacing w:val="-1"/>
        </w:rPr>
        <w:t> </w:t>
      </w:r>
      <w:r>
        <w:rPr/>
        <w:t>this is</w:t>
      </w:r>
      <w:r>
        <w:rPr>
          <w:spacing w:val="-2"/>
        </w:rPr>
        <w:t> </w:t>
      </w:r>
      <w:r>
        <w:rPr/>
        <w:t>to establish</w:t>
      </w:r>
      <w:r>
        <w:rPr>
          <w:spacing w:val="-2"/>
        </w:rPr>
        <w:t> </w:t>
      </w:r>
      <w:r>
        <w:rPr/>
        <w:t>their</w:t>
      </w:r>
      <w:r>
        <w:rPr>
          <w:spacing w:val="-1"/>
        </w:rPr>
        <w:t> </w:t>
      </w:r>
      <w:r>
        <w:rPr/>
        <w:t>suitability</w:t>
      </w:r>
      <w:r>
        <w:rPr>
          <w:spacing w:val="-5"/>
        </w:rPr>
        <w:t> </w:t>
      </w:r>
      <w:r>
        <w:rPr/>
        <w:t>and capability</w:t>
      </w:r>
      <w:r>
        <w:rPr>
          <w:spacing w:val="-4"/>
        </w:rPr>
        <w:t> </w:t>
      </w:r>
      <w:r>
        <w:rPr/>
        <w:t>in providing</w:t>
      </w:r>
      <w:r>
        <w:rPr>
          <w:spacing w:val="-3"/>
        </w:rPr>
        <w:t> </w:t>
      </w:r>
      <w:r>
        <w:rPr/>
        <w:t>reliable</w:t>
      </w:r>
      <w:r>
        <w:rPr>
          <w:spacing w:val="-1"/>
        </w:rPr>
        <w:t> </w:t>
      </w:r>
      <w:r>
        <w:rPr/>
        <w:t>responses</w:t>
      </w:r>
      <w:r>
        <w:rPr>
          <w:spacing w:val="-1"/>
        </w:rPr>
        <w:t> </w:t>
      </w:r>
      <w:r>
        <w:rPr/>
        <w:t>to the</w:t>
      </w:r>
      <w:r>
        <w:rPr>
          <w:spacing w:val="-1"/>
        </w:rPr>
        <w:t> </w:t>
      </w:r>
      <w:r>
        <w:rPr/>
        <w:t>housing budget issues contained the questionnaire.</w:t>
      </w:r>
    </w:p>
    <w:p>
      <w:pPr>
        <w:pStyle w:val="BodyText"/>
      </w:pPr>
    </w:p>
    <w:p>
      <w:pPr>
        <w:pStyle w:val="BodyText"/>
        <w:spacing w:line="360" w:lineRule="auto"/>
        <w:ind w:left="240" w:right="835"/>
        <w:jc w:val="both"/>
      </w:pPr>
      <w:r>
        <w:rPr/>
        <w:t>Second, to elicit the opinions of the respondents on the most common type of housing projects executed by the Anambra State Government. The import of this is to establish the nature of housing projects that the government mostly devotes her financial resources to.</w:t>
      </w:r>
    </w:p>
    <w:p>
      <w:pPr>
        <w:pStyle w:val="BodyText"/>
        <w:spacing w:line="360" w:lineRule="auto" w:before="242"/>
        <w:ind w:left="240" w:right="834"/>
        <w:jc w:val="both"/>
      </w:pPr>
      <w:r>
        <w:rPr/>
        <w:t>Third, to assess the opinions of the respondents with respect to the financial strength of the Anambra</w:t>
      </w:r>
      <w:r>
        <w:rPr>
          <w:spacing w:val="-2"/>
        </w:rPr>
        <w:t> </w:t>
      </w:r>
      <w:r>
        <w:rPr/>
        <w:t>State government in providing</w:t>
      </w:r>
      <w:r>
        <w:rPr>
          <w:spacing w:val="-3"/>
        </w:rPr>
        <w:t> </w:t>
      </w:r>
      <w:r>
        <w:rPr/>
        <w:t>housing facilities. The</w:t>
      </w:r>
      <w:r>
        <w:rPr>
          <w:spacing w:val="-2"/>
        </w:rPr>
        <w:t> </w:t>
      </w:r>
      <w:r>
        <w:rPr/>
        <w:t>reason for this is to also establish the sincerity, commitment and seriousness of the Government in tackling the housing problems</w:t>
      </w:r>
      <w:r>
        <w:rPr>
          <w:spacing w:val="40"/>
        </w:rPr>
        <w:t> </w:t>
      </w:r>
      <w:r>
        <w:rPr/>
        <w:t>in Anambra State. In the ideal scenario, this can be corroborated by obtaining the financial status/statement of the Anambra Government via the Accountant-General of the State, but it proved very difficult, given the secrecy that often shrouds financial matters in the Nigerian</w:t>
      </w:r>
      <w:r>
        <w:rPr>
          <w:spacing w:val="40"/>
        </w:rPr>
        <w:t> </w:t>
      </w:r>
      <w:r>
        <w:rPr/>
        <w:t>public sector. The responses to the questions are therefore, presented and analysed from Table </w:t>
      </w:r>
      <w:r>
        <w:rPr>
          <w:spacing w:val="-4"/>
        </w:rPr>
        <w:t>5.5.</w:t>
      </w:r>
    </w:p>
    <w:p>
      <w:pPr>
        <w:spacing w:after="0" w:line="360" w:lineRule="auto"/>
        <w:jc w:val="both"/>
        <w:sectPr>
          <w:pgSz w:w="12240" w:h="15840"/>
          <w:pgMar w:header="0" w:footer="1036" w:top="1380" w:bottom="1220" w:left="1200" w:right="600"/>
        </w:sectPr>
      </w:pPr>
    </w:p>
    <w:p>
      <w:pPr>
        <w:pStyle w:val="Heading4"/>
        <w:spacing w:before="79"/>
        <w:jc w:val="left"/>
      </w:pPr>
      <w:r>
        <w:rPr/>
        <w:t>Table</w:t>
      </w:r>
      <w:r>
        <w:rPr>
          <w:spacing w:val="-2"/>
        </w:rPr>
        <w:t> </w:t>
      </w:r>
      <w:r>
        <w:rPr/>
        <w:t>5.3.</w:t>
      </w:r>
      <w:r>
        <w:rPr>
          <w:spacing w:val="-1"/>
        </w:rPr>
        <w:t> </w:t>
      </w:r>
      <w:r>
        <w:rPr/>
        <w:t>Respondents’</w:t>
      </w:r>
      <w:r>
        <w:rPr>
          <w:spacing w:val="-4"/>
        </w:rPr>
        <w:t> </w:t>
      </w:r>
      <w:r>
        <w:rPr>
          <w:spacing w:val="-2"/>
        </w:rPr>
        <w:t>Characteristics</w:t>
      </w:r>
    </w:p>
    <w:p>
      <w:pPr>
        <w:pStyle w:val="BodyText"/>
        <w:spacing w:before="9" w:after="1"/>
        <w:rPr>
          <w:b/>
          <w:sz w:val="12"/>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70"/>
        <w:gridCol w:w="3115"/>
        <w:gridCol w:w="1501"/>
        <w:gridCol w:w="1921"/>
      </w:tblGrid>
      <w:tr>
        <w:trPr>
          <w:trHeight w:val="553" w:hRule="atLeast"/>
        </w:trPr>
        <w:tc>
          <w:tcPr>
            <w:tcW w:w="2870" w:type="dxa"/>
            <w:tcBorders>
              <w:top w:val="single" w:sz="8" w:space="0" w:color="4F81BC"/>
              <w:bottom w:val="single" w:sz="8" w:space="0" w:color="4F81BC"/>
            </w:tcBorders>
          </w:tcPr>
          <w:p>
            <w:pPr>
              <w:pStyle w:val="TableParagraph"/>
              <w:spacing w:line="270" w:lineRule="exact"/>
              <w:ind w:left="122"/>
              <w:rPr>
                <w:sz w:val="24"/>
              </w:rPr>
            </w:pPr>
            <w:r>
              <w:rPr>
                <w:sz w:val="24"/>
              </w:rPr>
              <w:t>Questionnaire</w:t>
            </w:r>
            <w:r>
              <w:rPr>
                <w:spacing w:val="-4"/>
                <w:sz w:val="24"/>
              </w:rPr>
              <w:t> Item</w:t>
            </w:r>
          </w:p>
        </w:tc>
        <w:tc>
          <w:tcPr>
            <w:tcW w:w="3115" w:type="dxa"/>
            <w:tcBorders>
              <w:top w:val="single" w:sz="8" w:space="0" w:color="4F81BC"/>
              <w:bottom w:val="single" w:sz="8" w:space="0" w:color="4F81BC"/>
            </w:tcBorders>
          </w:tcPr>
          <w:p>
            <w:pPr>
              <w:pStyle w:val="TableParagraph"/>
              <w:spacing w:line="270" w:lineRule="exact"/>
              <w:ind w:left="389"/>
              <w:rPr>
                <w:sz w:val="24"/>
              </w:rPr>
            </w:pPr>
            <w:r>
              <w:rPr>
                <w:spacing w:val="-2"/>
                <w:sz w:val="24"/>
              </w:rPr>
              <w:t>Variables</w:t>
            </w:r>
          </w:p>
        </w:tc>
        <w:tc>
          <w:tcPr>
            <w:tcW w:w="1501" w:type="dxa"/>
            <w:tcBorders>
              <w:top w:val="single" w:sz="8" w:space="0" w:color="4F81BC"/>
              <w:bottom w:val="single" w:sz="8" w:space="0" w:color="4F81BC"/>
            </w:tcBorders>
          </w:tcPr>
          <w:p>
            <w:pPr>
              <w:pStyle w:val="TableParagraph"/>
              <w:spacing w:line="270" w:lineRule="exact"/>
              <w:ind w:left="275"/>
              <w:rPr>
                <w:sz w:val="24"/>
              </w:rPr>
            </w:pPr>
            <w:r>
              <w:rPr>
                <w:sz w:val="24"/>
              </w:rPr>
              <w:t>No </w:t>
            </w:r>
            <w:r>
              <w:rPr>
                <w:spacing w:val="-5"/>
                <w:sz w:val="24"/>
              </w:rPr>
              <w:t>of</w:t>
            </w:r>
          </w:p>
          <w:p>
            <w:pPr>
              <w:pStyle w:val="TableParagraph"/>
              <w:spacing w:line="264" w:lineRule="exact"/>
              <w:ind w:left="275"/>
              <w:rPr>
                <w:sz w:val="24"/>
              </w:rPr>
            </w:pPr>
            <w:r>
              <w:rPr>
                <w:spacing w:val="-2"/>
                <w:sz w:val="24"/>
              </w:rPr>
              <w:t>Responses</w:t>
            </w:r>
          </w:p>
        </w:tc>
        <w:tc>
          <w:tcPr>
            <w:tcW w:w="1921" w:type="dxa"/>
            <w:tcBorders>
              <w:top w:val="single" w:sz="8" w:space="0" w:color="4F81BC"/>
              <w:bottom w:val="single" w:sz="8" w:space="0" w:color="4F81BC"/>
            </w:tcBorders>
          </w:tcPr>
          <w:p>
            <w:pPr>
              <w:pStyle w:val="TableParagraph"/>
              <w:spacing w:line="270" w:lineRule="exact"/>
              <w:ind w:left="214"/>
              <w:rPr>
                <w:sz w:val="24"/>
              </w:rPr>
            </w:pPr>
            <w:r>
              <w:rPr>
                <w:spacing w:val="-2"/>
                <w:sz w:val="24"/>
              </w:rPr>
              <w:t>Percentages</w:t>
            </w:r>
          </w:p>
        </w:tc>
      </w:tr>
      <w:tr>
        <w:trPr>
          <w:trHeight w:val="275" w:hRule="atLeast"/>
        </w:trPr>
        <w:tc>
          <w:tcPr>
            <w:tcW w:w="2870" w:type="dxa"/>
            <w:tcBorders>
              <w:top w:val="single" w:sz="8" w:space="0" w:color="4F81BC"/>
            </w:tcBorders>
            <w:shd w:val="clear" w:color="auto" w:fill="D2DFED"/>
          </w:tcPr>
          <w:p>
            <w:pPr>
              <w:pStyle w:val="TableParagraph"/>
              <w:spacing w:line="255" w:lineRule="exact"/>
              <w:ind w:left="122"/>
              <w:rPr>
                <w:b/>
                <w:sz w:val="24"/>
              </w:rPr>
            </w:pPr>
            <w:r>
              <w:rPr>
                <w:b/>
                <w:sz w:val="24"/>
              </w:rPr>
              <w:t>Years</w:t>
            </w:r>
            <w:r>
              <w:rPr>
                <w:b/>
                <w:spacing w:val="-4"/>
                <w:sz w:val="24"/>
              </w:rPr>
              <w:t> </w:t>
            </w:r>
            <w:r>
              <w:rPr>
                <w:b/>
                <w:sz w:val="24"/>
              </w:rPr>
              <w:t>of </w:t>
            </w:r>
            <w:r>
              <w:rPr>
                <w:b/>
                <w:spacing w:val="-2"/>
                <w:sz w:val="24"/>
              </w:rPr>
              <w:t>Experience</w:t>
            </w:r>
          </w:p>
        </w:tc>
        <w:tc>
          <w:tcPr>
            <w:tcW w:w="3115" w:type="dxa"/>
            <w:tcBorders>
              <w:top w:val="single" w:sz="8" w:space="0" w:color="4F81BC"/>
            </w:tcBorders>
            <w:shd w:val="clear" w:color="auto" w:fill="D2DFED"/>
          </w:tcPr>
          <w:p>
            <w:pPr>
              <w:pStyle w:val="TableParagraph"/>
              <w:spacing w:line="255" w:lineRule="exact"/>
              <w:ind w:left="329"/>
              <w:rPr>
                <w:sz w:val="24"/>
              </w:rPr>
            </w:pPr>
            <w:r>
              <w:rPr>
                <w:sz w:val="24"/>
              </w:rPr>
              <w:t>(a)</w:t>
            </w:r>
            <w:r>
              <w:rPr>
                <w:spacing w:val="34"/>
                <w:sz w:val="24"/>
              </w:rPr>
              <w:t> </w:t>
            </w:r>
            <w:r>
              <w:rPr>
                <w:sz w:val="24"/>
              </w:rPr>
              <w:t>1</w:t>
            </w:r>
            <w:r>
              <w:rPr>
                <w:spacing w:val="-1"/>
                <w:sz w:val="24"/>
              </w:rPr>
              <w:t> </w:t>
            </w:r>
            <w:r>
              <w:rPr>
                <w:sz w:val="24"/>
              </w:rPr>
              <w:t>– 5</w:t>
            </w:r>
            <w:r>
              <w:rPr>
                <w:spacing w:val="2"/>
                <w:sz w:val="24"/>
              </w:rPr>
              <w:t> </w:t>
            </w:r>
            <w:r>
              <w:rPr>
                <w:spacing w:val="-2"/>
                <w:sz w:val="24"/>
              </w:rPr>
              <w:t>years</w:t>
            </w:r>
          </w:p>
        </w:tc>
        <w:tc>
          <w:tcPr>
            <w:tcW w:w="1501" w:type="dxa"/>
            <w:tcBorders>
              <w:top w:val="single" w:sz="8" w:space="0" w:color="4F81BC"/>
            </w:tcBorders>
            <w:shd w:val="clear" w:color="auto" w:fill="D2DFED"/>
          </w:tcPr>
          <w:p>
            <w:pPr>
              <w:pStyle w:val="TableParagraph"/>
              <w:spacing w:line="255" w:lineRule="exact"/>
              <w:ind w:left="275"/>
              <w:rPr>
                <w:sz w:val="24"/>
              </w:rPr>
            </w:pPr>
            <w:r>
              <w:rPr>
                <w:spacing w:val="-5"/>
                <w:sz w:val="24"/>
              </w:rPr>
              <w:t>50</w:t>
            </w:r>
          </w:p>
        </w:tc>
        <w:tc>
          <w:tcPr>
            <w:tcW w:w="1921" w:type="dxa"/>
            <w:tcBorders>
              <w:top w:val="single" w:sz="8" w:space="0" w:color="4F81BC"/>
            </w:tcBorders>
            <w:shd w:val="clear" w:color="auto" w:fill="D2DFED"/>
          </w:tcPr>
          <w:p>
            <w:pPr>
              <w:pStyle w:val="TableParagraph"/>
              <w:spacing w:line="255" w:lineRule="exact"/>
              <w:ind w:left="214"/>
              <w:rPr>
                <w:sz w:val="24"/>
              </w:rPr>
            </w:pPr>
            <w:r>
              <w:rPr>
                <w:spacing w:val="-2"/>
                <w:sz w:val="24"/>
              </w:rPr>
              <w:t>32.00</w:t>
            </w:r>
          </w:p>
        </w:tc>
      </w:tr>
      <w:tr>
        <w:trPr>
          <w:trHeight w:val="273" w:hRule="atLeast"/>
        </w:trPr>
        <w:tc>
          <w:tcPr>
            <w:tcW w:w="2870" w:type="dxa"/>
            <w:shd w:val="clear" w:color="auto" w:fill="D2DFED"/>
          </w:tcPr>
          <w:p>
            <w:pPr>
              <w:pStyle w:val="TableParagraph"/>
              <w:rPr>
                <w:sz w:val="20"/>
              </w:rPr>
            </w:pPr>
          </w:p>
        </w:tc>
        <w:tc>
          <w:tcPr>
            <w:tcW w:w="3115" w:type="dxa"/>
            <w:shd w:val="clear" w:color="auto" w:fill="D2DFED"/>
          </w:tcPr>
          <w:p>
            <w:pPr>
              <w:pStyle w:val="TableParagraph"/>
              <w:spacing w:line="254" w:lineRule="exact"/>
              <w:ind w:left="329"/>
              <w:rPr>
                <w:sz w:val="24"/>
              </w:rPr>
            </w:pPr>
            <w:r>
              <w:rPr>
                <w:sz w:val="24"/>
              </w:rPr>
              <w:t>(b)</w:t>
            </w:r>
            <w:r>
              <w:rPr>
                <w:spacing w:val="18"/>
                <w:sz w:val="24"/>
              </w:rPr>
              <w:t> </w:t>
            </w:r>
            <w:r>
              <w:rPr>
                <w:sz w:val="24"/>
              </w:rPr>
              <w:t>5 – 10</w:t>
            </w:r>
            <w:r>
              <w:rPr>
                <w:spacing w:val="2"/>
                <w:sz w:val="24"/>
              </w:rPr>
              <w:t> </w:t>
            </w:r>
            <w:r>
              <w:rPr>
                <w:spacing w:val="-2"/>
                <w:sz w:val="24"/>
              </w:rPr>
              <w:t>years</w:t>
            </w:r>
          </w:p>
        </w:tc>
        <w:tc>
          <w:tcPr>
            <w:tcW w:w="1501" w:type="dxa"/>
            <w:shd w:val="clear" w:color="auto" w:fill="D2DFED"/>
          </w:tcPr>
          <w:p>
            <w:pPr>
              <w:pStyle w:val="TableParagraph"/>
              <w:spacing w:line="254" w:lineRule="exact"/>
              <w:ind w:left="275"/>
              <w:rPr>
                <w:sz w:val="24"/>
              </w:rPr>
            </w:pPr>
            <w:r>
              <w:rPr>
                <w:spacing w:val="-5"/>
                <w:sz w:val="24"/>
              </w:rPr>
              <w:t>42</w:t>
            </w:r>
          </w:p>
        </w:tc>
        <w:tc>
          <w:tcPr>
            <w:tcW w:w="1921" w:type="dxa"/>
            <w:shd w:val="clear" w:color="auto" w:fill="D2DFED"/>
          </w:tcPr>
          <w:p>
            <w:pPr>
              <w:pStyle w:val="TableParagraph"/>
              <w:spacing w:line="254" w:lineRule="exact"/>
              <w:ind w:left="214"/>
              <w:rPr>
                <w:sz w:val="24"/>
              </w:rPr>
            </w:pPr>
            <w:r>
              <w:rPr>
                <w:spacing w:val="-2"/>
                <w:sz w:val="24"/>
              </w:rPr>
              <w:t>27.00</w:t>
            </w:r>
          </w:p>
        </w:tc>
      </w:tr>
      <w:tr>
        <w:trPr>
          <w:trHeight w:val="276" w:hRule="atLeast"/>
        </w:trPr>
        <w:tc>
          <w:tcPr>
            <w:tcW w:w="2870" w:type="dxa"/>
            <w:shd w:val="clear" w:color="auto" w:fill="D2DFED"/>
          </w:tcPr>
          <w:p>
            <w:pPr>
              <w:pStyle w:val="TableParagraph"/>
              <w:rPr>
                <w:sz w:val="20"/>
              </w:rPr>
            </w:pPr>
          </w:p>
        </w:tc>
        <w:tc>
          <w:tcPr>
            <w:tcW w:w="3115" w:type="dxa"/>
            <w:shd w:val="clear" w:color="auto" w:fill="D2DFED"/>
          </w:tcPr>
          <w:p>
            <w:pPr>
              <w:pStyle w:val="TableParagraph"/>
              <w:spacing w:line="256" w:lineRule="exact"/>
              <w:ind w:left="329"/>
              <w:rPr>
                <w:sz w:val="24"/>
              </w:rPr>
            </w:pPr>
            <w:r>
              <w:rPr>
                <w:sz w:val="24"/>
              </w:rPr>
              <w:t>(c)</w:t>
            </w:r>
            <w:r>
              <w:rPr>
                <w:spacing w:val="34"/>
                <w:sz w:val="24"/>
              </w:rPr>
              <w:t> </w:t>
            </w:r>
            <w:r>
              <w:rPr>
                <w:sz w:val="24"/>
              </w:rPr>
              <w:t>10</w:t>
            </w:r>
            <w:r>
              <w:rPr>
                <w:spacing w:val="-1"/>
                <w:sz w:val="24"/>
              </w:rPr>
              <w:t> </w:t>
            </w:r>
            <w:r>
              <w:rPr>
                <w:sz w:val="24"/>
              </w:rPr>
              <w:t>– 15</w:t>
            </w:r>
            <w:r>
              <w:rPr>
                <w:spacing w:val="2"/>
                <w:sz w:val="24"/>
              </w:rPr>
              <w:t> </w:t>
            </w:r>
            <w:r>
              <w:rPr>
                <w:spacing w:val="-2"/>
                <w:sz w:val="24"/>
              </w:rPr>
              <w:t>years</w:t>
            </w:r>
          </w:p>
        </w:tc>
        <w:tc>
          <w:tcPr>
            <w:tcW w:w="1501" w:type="dxa"/>
            <w:shd w:val="clear" w:color="auto" w:fill="D2DFED"/>
          </w:tcPr>
          <w:p>
            <w:pPr>
              <w:pStyle w:val="TableParagraph"/>
              <w:spacing w:line="256" w:lineRule="exact"/>
              <w:ind w:left="275"/>
              <w:rPr>
                <w:sz w:val="24"/>
              </w:rPr>
            </w:pPr>
            <w:r>
              <w:rPr>
                <w:spacing w:val="-5"/>
                <w:sz w:val="24"/>
              </w:rPr>
              <w:t>36</w:t>
            </w:r>
          </w:p>
        </w:tc>
        <w:tc>
          <w:tcPr>
            <w:tcW w:w="1921" w:type="dxa"/>
            <w:shd w:val="clear" w:color="auto" w:fill="D2DFED"/>
          </w:tcPr>
          <w:p>
            <w:pPr>
              <w:pStyle w:val="TableParagraph"/>
              <w:spacing w:line="256" w:lineRule="exact"/>
              <w:ind w:left="214"/>
              <w:rPr>
                <w:sz w:val="24"/>
              </w:rPr>
            </w:pPr>
            <w:r>
              <w:rPr>
                <w:spacing w:val="-2"/>
                <w:sz w:val="24"/>
              </w:rPr>
              <w:t>23.00</w:t>
            </w:r>
          </w:p>
        </w:tc>
      </w:tr>
      <w:tr>
        <w:trPr>
          <w:trHeight w:val="275" w:hRule="atLeast"/>
        </w:trPr>
        <w:tc>
          <w:tcPr>
            <w:tcW w:w="2870" w:type="dxa"/>
            <w:shd w:val="clear" w:color="auto" w:fill="D2DFED"/>
          </w:tcPr>
          <w:p>
            <w:pPr>
              <w:pStyle w:val="TableParagraph"/>
              <w:rPr>
                <w:sz w:val="20"/>
              </w:rPr>
            </w:pPr>
          </w:p>
        </w:tc>
        <w:tc>
          <w:tcPr>
            <w:tcW w:w="3115" w:type="dxa"/>
            <w:shd w:val="clear" w:color="auto" w:fill="D2DFED"/>
          </w:tcPr>
          <w:p>
            <w:pPr>
              <w:pStyle w:val="TableParagraph"/>
              <w:spacing w:line="256" w:lineRule="exact"/>
              <w:ind w:left="329"/>
              <w:rPr>
                <w:sz w:val="24"/>
              </w:rPr>
            </w:pPr>
            <w:r>
              <w:rPr>
                <w:sz w:val="24"/>
              </w:rPr>
              <w:t>(d)</w:t>
            </w:r>
            <w:r>
              <w:rPr>
                <w:spacing w:val="20"/>
                <w:sz w:val="24"/>
              </w:rPr>
              <w:t> </w:t>
            </w:r>
            <w:r>
              <w:rPr>
                <w:sz w:val="24"/>
              </w:rPr>
              <w:t>15 – 20</w:t>
            </w:r>
            <w:r>
              <w:rPr>
                <w:spacing w:val="2"/>
                <w:sz w:val="24"/>
              </w:rPr>
              <w:t> </w:t>
            </w:r>
            <w:r>
              <w:rPr>
                <w:spacing w:val="-4"/>
                <w:sz w:val="24"/>
              </w:rPr>
              <w:t>years</w:t>
            </w:r>
          </w:p>
        </w:tc>
        <w:tc>
          <w:tcPr>
            <w:tcW w:w="1501" w:type="dxa"/>
            <w:shd w:val="clear" w:color="auto" w:fill="D2DFED"/>
          </w:tcPr>
          <w:p>
            <w:pPr>
              <w:pStyle w:val="TableParagraph"/>
              <w:spacing w:line="256" w:lineRule="exact"/>
              <w:ind w:left="275"/>
              <w:rPr>
                <w:sz w:val="24"/>
              </w:rPr>
            </w:pPr>
            <w:r>
              <w:rPr>
                <w:spacing w:val="-5"/>
                <w:sz w:val="24"/>
              </w:rPr>
              <w:t>14</w:t>
            </w:r>
          </w:p>
        </w:tc>
        <w:tc>
          <w:tcPr>
            <w:tcW w:w="1921" w:type="dxa"/>
            <w:shd w:val="clear" w:color="auto" w:fill="D2DFED"/>
          </w:tcPr>
          <w:p>
            <w:pPr>
              <w:pStyle w:val="TableParagraph"/>
              <w:spacing w:line="256" w:lineRule="exact"/>
              <w:ind w:left="334"/>
              <w:rPr>
                <w:sz w:val="24"/>
              </w:rPr>
            </w:pPr>
            <w:r>
              <w:rPr>
                <w:spacing w:val="-4"/>
                <w:sz w:val="24"/>
              </w:rPr>
              <w:t>9.00</w:t>
            </w:r>
          </w:p>
        </w:tc>
      </w:tr>
      <w:tr>
        <w:trPr>
          <w:trHeight w:val="278" w:hRule="atLeast"/>
        </w:trPr>
        <w:tc>
          <w:tcPr>
            <w:tcW w:w="2870" w:type="dxa"/>
            <w:shd w:val="clear" w:color="auto" w:fill="D2DFED"/>
          </w:tcPr>
          <w:p>
            <w:pPr>
              <w:pStyle w:val="TableParagraph"/>
              <w:rPr>
                <w:sz w:val="20"/>
              </w:rPr>
            </w:pPr>
          </w:p>
        </w:tc>
        <w:tc>
          <w:tcPr>
            <w:tcW w:w="3115" w:type="dxa"/>
            <w:shd w:val="clear" w:color="auto" w:fill="D2DFED"/>
          </w:tcPr>
          <w:p>
            <w:pPr>
              <w:pStyle w:val="TableParagraph"/>
              <w:spacing w:line="259" w:lineRule="exact"/>
              <w:ind w:left="329"/>
              <w:rPr>
                <w:sz w:val="24"/>
              </w:rPr>
            </w:pPr>
            <w:r>
              <w:rPr>
                <w:sz w:val="24"/>
              </w:rPr>
              <w:t>(e)</w:t>
            </w:r>
            <w:r>
              <w:rPr>
                <w:spacing w:val="31"/>
                <w:sz w:val="24"/>
              </w:rPr>
              <w:t> </w:t>
            </w:r>
            <w:r>
              <w:rPr>
                <w:sz w:val="24"/>
              </w:rPr>
              <w:t>20 years</w:t>
            </w:r>
            <w:r>
              <w:rPr>
                <w:spacing w:val="-1"/>
                <w:sz w:val="24"/>
              </w:rPr>
              <w:t> </w:t>
            </w:r>
            <w:r>
              <w:rPr>
                <w:sz w:val="24"/>
              </w:rPr>
              <w:t>and </w:t>
            </w:r>
            <w:r>
              <w:rPr>
                <w:spacing w:val="-2"/>
                <w:sz w:val="24"/>
              </w:rPr>
              <w:t>above</w:t>
            </w:r>
          </w:p>
        </w:tc>
        <w:tc>
          <w:tcPr>
            <w:tcW w:w="1501" w:type="dxa"/>
            <w:shd w:val="clear" w:color="auto" w:fill="D2DFED"/>
          </w:tcPr>
          <w:p>
            <w:pPr>
              <w:pStyle w:val="TableParagraph"/>
              <w:spacing w:line="259" w:lineRule="exact"/>
              <w:ind w:left="275"/>
              <w:rPr>
                <w:sz w:val="24"/>
              </w:rPr>
            </w:pPr>
            <w:r>
              <w:rPr>
                <w:spacing w:val="-5"/>
                <w:sz w:val="24"/>
              </w:rPr>
              <w:t>14</w:t>
            </w:r>
          </w:p>
        </w:tc>
        <w:tc>
          <w:tcPr>
            <w:tcW w:w="1921" w:type="dxa"/>
            <w:shd w:val="clear" w:color="auto" w:fill="D2DFED"/>
          </w:tcPr>
          <w:p>
            <w:pPr>
              <w:pStyle w:val="TableParagraph"/>
              <w:spacing w:line="259" w:lineRule="exact"/>
              <w:ind w:left="334"/>
              <w:rPr>
                <w:sz w:val="24"/>
              </w:rPr>
            </w:pPr>
            <w:r>
              <w:rPr>
                <w:spacing w:val="-4"/>
                <w:sz w:val="24"/>
              </w:rPr>
              <w:t>9.00</w:t>
            </w:r>
          </w:p>
        </w:tc>
      </w:tr>
      <w:tr>
        <w:trPr>
          <w:trHeight w:val="381" w:hRule="atLeast"/>
        </w:trPr>
        <w:tc>
          <w:tcPr>
            <w:tcW w:w="2870" w:type="dxa"/>
          </w:tcPr>
          <w:p>
            <w:pPr>
              <w:pStyle w:val="TableParagraph"/>
              <w:spacing w:line="273" w:lineRule="exact"/>
              <w:ind w:left="122"/>
              <w:rPr>
                <w:b/>
                <w:sz w:val="24"/>
              </w:rPr>
            </w:pPr>
            <w:r>
              <w:rPr>
                <w:b/>
                <w:spacing w:val="-2"/>
                <w:sz w:val="24"/>
              </w:rPr>
              <w:t>Total</w:t>
            </w:r>
          </w:p>
        </w:tc>
        <w:tc>
          <w:tcPr>
            <w:tcW w:w="3115" w:type="dxa"/>
          </w:tcPr>
          <w:p>
            <w:pPr>
              <w:pStyle w:val="TableParagraph"/>
              <w:rPr>
                <w:sz w:val="24"/>
              </w:rPr>
            </w:pPr>
          </w:p>
        </w:tc>
        <w:tc>
          <w:tcPr>
            <w:tcW w:w="1501" w:type="dxa"/>
          </w:tcPr>
          <w:p>
            <w:pPr>
              <w:pStyle w:val="TableParagraph"/>
              <w:spacing w:line="268" w:lineRule="exact"/>
              <w:ind w:left="275"/>
              <w:rPr>
                <w:sz w:val="24"/>
              </w:rPr>
            </w:pPr>
            <w:r>
              <w:rPr>
                <w:spacing w:val="-5"/>
                <w:sz w:val="24"/>
              </w:rPr>
              <w:t>156</w:t>
            </w:r>
          </w:p>
        </w:tc>
        <w:tc>
          <w:tcPr>
            <w:tcW w:w="1921" w:type="dxa"/>
          </w:tcPr>
          <w:p>
            <w:pPr>
              <w:pStyle w:val="TableParagraph"/>
              <w:spacing w:line="268" w:lineRule="exact"/>
              <w:ind w:left="214"/>
              <w:rPr>
                <w:sz w:val="24"/>
              </w:rPr>
            </w:pPr>
            <w:r>
              <w:rPr>
                <w:spacing w:val="-4"/>
                <w:sz w:val="24"/>
              </w:rPr>
              <w:t>100%</w:t>
            </w:r>
          </w:p>
        </w:tc>
      </w:tr>
      <w:tr>
        <w:trPr>
          <w:trHeight w:val="276" w:hRule="atLeast"/>
        </w:trPr>
        <w:tc>
          <w:tcPr>
            <w:tcW w:w="2870" w:type="dxa"/>
            <w:shd w:val="clear" w:color="auto" w:fill="DBE4F0"/>
          </w:tcPr>
          <w:p>
            <w:pPr>
              <w:pStyle w:val="TableParagraph"/>
              <w:spacing w:line="257" w:lineRule="exact"/>
              <w:ind w:left="122"/>
              <w:rPr>
                <w:b/>
                <w:sz w:val="24"/>
              </w:rPr>
            </w:pPr>
            <w:r>
              <w:rPr>
                <w:b/>
                <w:sz w:val="24"/>
              </w:rPr>
              <w:t>Professional</w:t>
            </w:r>
            <w:r>
              <w:rPr>
                <w:b/>
                <w:spacing w:val="-4"/>
                <w:sz w:val="24"/>
              </w:rPr>
              <w:t> </w:t>
            </w:r>
            <w:r>
              <w:rPr>
                <w:b/>
                <w:spacing w:val="-2"/>
                <w:sz w:val="24"/>
              </w:rPr>
              <w:t>Affiliation</w:t>
            </w:r>
          </w:p>
        </w:tc>
        <w:tc>
          <w:tcPr>
            <w:tcW w:w="3115" w:type="dxa"/>
            <w:shd w:val="clear" w:color="auto" w:fill="DBE4F0"/>
          </w:tcPr>
          <w:p>
            <w:pPr>
              <w:pStyle w:val="TableParagraph"/>
              <w:spacing w:line="257" w:lineRule="exact"/>
              <w:ind w:left="353"/>
              <w:rPr>
                <w:sz w:val="24"/>
              </w:rPr>
            </w:pPr>
            <w:r>
              <w:rPr>
                <w:sz w:val="24"/>
              </w:rPr>
              <w:t>(a)</w:t>
            </w:r>
            <w:r>
              <w:rPr>
                <w:spacing w:val="33"/>
                <w:sz w:val="24"/>
              </w:rPr>
              <w:t> </w:t>
            </w:r>
            <w:r>
              <w:rPr>
                <w:spacing w:val="-2"/>
                <w:sz w:val="24"/>
              </w:rPr>
              <w:t>Architecture</w:t>
            </w:r>
          </w:p>
        </w:tc>
        <w:tc>
          <w:tcPr>
            <w:tcW w:w="1501" w:type="dxa"/>
            <w:shd w:val="clear" w:color="auto" w:fill="DBE4F0"/>
          </w:tcPr>
          <w:p>
            <w:pPr>
              <w:pStyle w:val="TableParagraph"/>
              <w:spacing w:line="257" w:lineRule="exact"/>
              <w:ind w:left="366"/>
              <w:rPr>
                <w:sz w:val="24"/>
              </w:rPr>
            </w:pPr>
            <w:r>
              <w:rPr>
                <w:spacing w:val="-5"/>
                <w:sz w:val="24"/>
              </w:rPr>
              <w:t>13</w:t>
            </w:r>
          </w:p>
        </w:tc>
        <w:tc>
          <w:tcPr>
            <w:tcW w:w="1921" w:type="dxa"/>
            <w:shd w:val="clear" w:color="auto" w:fill="DBE4F0"/>
          </w:tcPr>
          <w:p>
            <w:pPr>
              <w:pStyle w:val="TableParagraph"/>
              <w:spacing w:line="257" w:lineRule="exact"/>
              <w:ind w:left="334"/>
              <w:rPr>
                <w:sz w:val="24"/>
              </w:rPr>
            </w:pPr>
            <w:r>
              <w:rPr>
                <w:spacing w:val="-4"/>
                <w:sz w:val="24"/>
              </w:rPr>
              <w:t>8.00</w:t>
            </w:r>
          </w:p>
        </w:tc>
      </w:tr>
      <w:tr>
        <w:trPr>
          <w:trHeight w:val="272" w:hRule="atLeast"/>
        </w:trPr>
        <w:tc>
          <w:tcPr>
            <w:tcW w:w="2870" w:type="dxa"/>
            <w:shd w:val="clear" w:color="auto" w:fill="DBE4F0"/>
          </w:tcPr>
          <w:p>
            <w:pPr>
              <w:pStyle w:val="TableParagraph"/>
              <w:rPr>
                <w:sz w:val="20"/>
              </w:rPr>
            </w:pPr>
          </w:p>
        </w:tc>
        <w:tc>
          <w:tcPr>
            <w:tcW w:w="3115" w:type="dxa"/>
            <w:shd w:val="clear" w:color="auto" w:fill="DBE4F0"/>
          </w:tcPr>
          <w:p>
            <w:pPr>
              <w:pStyle w:val="TableParagraph"/>
              <w:spacing w:line="252" w:lineRule="exact"/>
              <w:ind w:left="353"/>
              <w:rPr>
                <w:sz w:val="24"/>
              </w:rPr>
            </w:pPr>
            <w:r>
              <w:rPr>
                <w:sz w:val="24"/>
              </w:rPr>
              <w:t>(b)</w:t>
            </w:r>
            <w:r>
              <w:rPr>
                <w:spacing w:val="20"/>
                <w:sz w:val="24"/>
              </w:rPr>
              <w:t> </w:t>
            </w:r>
            <w:r>
              <w:rPr>
                <w:spacing w:val="-2"/>
                <w:sz w:val="24"/>
              </w:rPr>
              <w:t>Building</w:t>
            </w:r>
          </w:p>
        </w:tc>
        <w:tc>
          <w:tcPr>
            <w:tcW w:w="1501" w:type="dxa"/>
            <w:shd w:val="clear" w:color="auto" w:fill="DBE4F0"/>
          </w:tcPr>
          <w:p>
            <w:pPr>
              <w:pStyle w:val="TableParagraph"/>
              <w:spacing w:line="252" w:lineRule="exact"/>
              <w:ind w:left="366"/>
              <w:rPr>
                <w:sz w:val="24"/>
              </w:rPr>
            </w:pPr>
            <w:r>
              <w:rPr>
                <w:spacing w:val="-5"/>
                <w:sz w:val="24"/>
              </w:rPr>
              <w:t>15</w:t>
            </w:r>
          </w:p>
        </w:tc>
        <w:tc>
          <w:tcPr>
            <w:tcW w:w="1921" w:type="dxa"/>
            <w:shd w:val="clear" w:color="auto" w:fill="DBE4F0"/>
          </w:tcPr>
          <w:p>
            <w:pPr>
              <w:pStyle w:val="TableParagraph"/>
              <w:spacing w:line="252" w:lineRule="exact"/>
              <w:ind w:left="214"/>
              <w:rPr>
                <w:sz w:val="24"/>
              </w:rPr>
            </w:pPr>
            <w:r>
              <w:rPr>
                <w:spacing w:val="-2"/>
                <w:sz w:val="24"/>
              </w:rPr>
              <w:t>10.00</w:t>
            </w:r>
          </w:p>
        </w:tc>
      </w:tr>
      <w:tr>
        <w:trPr>
          <w:trHeight w:val="276" w:hRule="atLeast"/>
        </w:trPr>
        <w:tc>
          <w:tcPr>
            <w:tcW w:w="2870" w:type="dxa"/>
            <w:shd w:val="clear" w:color="auto" w:fill="DBE4F0"/>
          </w:tcPr>
          <w:p>
            <w:pPr>
              <w:pStyle w:val="TableParagraph"/>
              <w:rPr>
                <w:sz w:val="20"/>
              </w:rPr>
            </w:pPr>
          </w:p>
        </w:tc>
        <w:tc>
          <w:tcPr>
            <w:tcW w:w="3115" w:type="dxa"/>
            <w:shd w:val="clear" w:color="auto" w:fill="DBE4F0"/>
          </w:tcPr>
          <w:p>
            <w:pPr>
              <w:pStyle w:val="TableParagraph"/>
              <w:spacing w:line="256" w:lineRule="exact"/>
              <w:ind w:left="353"/>
              <w:rPr>
                <w:sz w:val="24"/>
              </w:rPr>
            </w:pPr>
            <w:r>
              <w:rPr>
                <w:sz w:val="24"/>
              </w:rPr>
              <w:t>(c)</w:t>
            </w:r>
            <w:r>
              <w:rPr>
                <w:spacing w:val="33"/>
                <w:sz w:val="24"/>
              </w:rPr>
              <w:t> </w:t>
            </w:r>
            <w:r>
              <w:rPr>
                <w:spacing w:val="-2"/>
                <w:sz w:val="24"/>
              </w:rPr>
              <w:t>Engineering</w:t>
            </w:r>
          </w:p>
        </w:tc>
        <w:tc>
          <w:tcPr>
            <w:tcW w:w="1501" w:type="dxa"/>
            <w:shd w:val="clear" w:color="auto" w:fill="DBE4F0"/>
          </w:tcPr>
          <w:p>
            <w:pPr>
              <w:pStyle w:val="TableParagraph"/>
              <w:spacing w:line="256" w:lineRule="exact"/>
              <w:ind w:left="366"/>
              <w:rPr>
                <w:sz w:val="24"/>
              </w:rPr>
            </w:pPr>
            <w:r>
              <w:rPr>
                <w:spacing w:val="-5"/>
                <w:sz w:val="24"/>
              </w:rPr>
              <w:t>11</w:t>
            </w:r>
          </w:p>
        </w:tc>
        <w:tc>
          <w:tcPr>
            <w:tcW w:w="1921" w:type="dxa"/>
            <w:shd w:val="clear" w:color="auto" w:fill="DBE4F0"/>
          </w:tcPr>
          <w:p>
            <w:pPr>
              <w:pStyle w:val="TableParagraph"/>
              <w:spacing w:line="256" w:lineRule="exact"/>
              <w:ind w:left="334"/>
              <w:rPr>
                <w:sz w:val="24"/>
              </w:rPr>
            </w:pPr>
            <w:r>
              <w:rPr>
                <w:spacing w:val="-4"/>
                <w:sz w:val="24"/>
              </w:rPr>
              <w:t>7.00</w:t>
            </w:r>
          </w:p>
        </w:tc>
      </w:tr>
      <w:tr>
        <w:trPr>
          <w:trHeight w:val="276" w:hRule="atLeast"/>
        </w:trPr>
        <w:tc>
          <w:tcPr>
            <w:tcW w:w="2870" w:type="dxa"/>
            <w:shd w:val="clear" w:color="auto" w:fill="DBE4F0"/>
          </w:tcPr>
          <w:p>
            <w:pPr>
              <w:pStyle w:val="TableParagraph"/>
              <w:rPr>
                <w:sz w:val="20"/>
              </w:rPr>
            </w:pPr>
          </w:p>
        </w:tc>
        <w:tc>
          <w:tcPr>
            <w:tcW w:w="3115" w:type="dxa"/>
            <w:shd w:val="clear" w:color="auto" w:fill="DBE4F0"/>
          </w:tcPr>
          <w:p>
            <w:pPr>
              <w:pStyle w:val="TableParagraph"/>
              <w:spacing w:line="256" w:lineRule="exact"/>
              <w:ind w:left="353"/>
              <w:rPr>
                <w:sz w:val="24"/>
              </w:rPr>
            </w:pPr>
            <w:r>
              <w:rPr>
                <w:sz w:val="24"/>
              </w:rPr>
              <w:t>(d)</w:t>
            </w:r>
            <w:r>
              <w:rPr>
                <w:spacing w:val="20"/>
                <w:sz w:val="24"/>
              </w:rPr>
              <w:t> </w:t>
            </w:r>
            <w:r>
              <w:rPr>
                <w:sz w:val="24"/>
              </w:rPr>
              <w:t>Quantity</w:t>
            </w:r>
            <w:r>
              <w:rPr>
                <w:spacing w:val="-5"/>
                <w:sz w:val="24"/>
              </w:rPr>
              <w:t> </w:t>
            </w:r>
            <w:r>
              <w:rPr>
                <w:spacing w:val="-2"/>
                <w:sz w:val="24"/>
              </w:rPr>
              <w:t>Surveying</w:t>
            </w:r>
          </w:p>
        </w:tc>
        <w:tc>
          <w:tcPr>
            <w:tcW w:w="1501" w:type="dxa"/>
            <w:shd w:val="clear" w:color="auto" w:fill="DBE4F0"/>
          </w:tcPr>
          <w:p>
            <w:pPr>
              <w:pStyle w:val="TableParagraph"/>
              <w:spacing w:line="256" w:lineRule="exact"/>
              <w:ind w:left="366"/>
              <w:rPr>
                <w:sz w:val="24"/>
              </w:rPr>
            </w:pPr>
            <w:r>
              <w:rPr>
                <w:spacing w:val="-5"/>
                <w:sz w:val="24"/>
              </w:rPr>
              <w:t>24</w:t>
            </w:r>
          </w:p>
        </w:tc>
        <w:tc>
          <w:tcPr>
            <w:tcW w:w="1921" w:type="dxa"/>
            <w:shd w:val="clear" w:color="auto" w:fill="DBE4F0"/>
          </w:tcPr>
          <w:p>
            <w:pPr>
              <w:pStyle w:val="TableParagraph"/>
              <w:spacing w:line="256" w:lineRule="exact"/>
              <w:ind w:left="214"/>
              <w:rPr>
                <w:sz w:val="24"/>
              </w:rPr>
            </w:pPr>
            <w:r>
              <w:rPr>
                <w:spacing w:val="-2"/>
                <w:sz w:val="24"/>
              </w:rPr>
              <w:t>15.00</w:t>
            </w:r>
          </w:p>
        </w:tc>
      </w:tr>
      <w:tr>
        <w:trPr>
          <w:trHeight w:val="275" w:hRule="atLeast"/>
        </w:trPr>
        <w:tc>
          <w:tcPr>
            <w:tcW w:w="2870" w:type="dxa"/>
            <w:shd w:val="clear" w:color="auto" w:fill="DBE4F0"/>
          </w:tcPr>
          <w:p>
            <w:pPr>
              <w:pStyle w:val="TableParagraph"/>
              <w:rPr>
                <w:sz w:val="20"/>
              </w:rPr>
            </w:pPr>
          </w:p>
        </w:tc>
        <w:tc>
          <w:tcPr>
            <w:tcW w:w="3115" w:type="dxa"/>
            <w:shd w:val="clear" w:color="auto" w:fill="DBE4F0"/>
          </w:tcPr>
          <w:p>
            <w:pPr>
              <w:pStyle w:val="TableParagraph"/>
              <w:spacing w:line="256" w:lineRule="exact"/>
              <w:ind w:left="353"/>
              <w:rPr>
                <w:sz w:val="24"/>
              </w:rPr>
            </w:pPr>
            <w:r>
              <w:rPr>
                <w:sz w:val="24"/>
              </w:rPr>
              <w:t>(e)</w:t>
            </w:r>
            <w:r>
              <w:rPr>
                <w:spacing w:val="31"/>
                <w:sz w:val="24"/>
              </w:rPr>
              <w:t> </w:t>
            </w:r>
            <w:r>
              <w:rPr>
                <w:sz w:val="24"/>
              </w:rPr>
              <w:t>Land</w:t>
            </w:r>
            <w:r>
              <w:rPr>
                <w:spacing w:val="-2"/>
                <w:sz w:val="24"/>
              </w:rPr>
              <w:t> Surveying</w:t>
            </w:r>
          </w:p>
        </w:tc>
        <w:tc>
          <w:tcPr>
            <w:tcW w:w="1501" w:type="dxa"/>
            <w:shd w:val="clear" w:color="auto" w:fill="DBE4F0"/>
          </w:tcPr>
          <w:p>
            <w:pPr>
              <w:pStyle w:val="TableParagraph"/>
              <w:spacing w:line="256" w:lineRule="exact"/>
              <w:ind w:left="366"/>
              <w:rPr>
                <w:sz w:val="24"/>
              </w:rPr>
            </w:pPr>
            <w:r>
              <w:rPr>
                <w:spacing w:val="-10"/>
                <w:sz w:val="24"/>
              </w:rPr>
              <w:t>7</w:t>
            </w:r>
          </w:p>
        </w:tc>
        <w:tc>
          <w:tcPr>
            <w:tcW w:w="1921" w:type="dxa"/>
            <w:shd w:val="clear" w:color="auto" w:fill="DBE4F0"/>
          </w:tcPr>
          <w:p>
            <w:pPr>
              <w:pStyle w:val="TableParagraph"/>
              <w:spacing w:line="256" w:lineRule="exact"/>
              <w:ind w:left="334"/>
              <w:rPr>
                <w:sz w:val="24"/>
              </w:rPr>
            </w:pPr>
            <w:r>
              <w:rPr>
                <w:spacing w:val="-4"/>
                <w:sz w:val="24"/>
              </w:rPr>
              <w:t>4.00</w:t>
            </w:r>
          </w:p>
        </w:tc>
      </w:tr>
      <w:tr>
        <w:trPr>
          <w:trHeight w:val="276" w:hRule="atLeast"/>
        </w:trPr>
        <w:tc>
          <w:tcPr>
            <w:tcW w:w="2870" w:type="dxa"/>
            <w:shd w:val="clear" w:color="auto" w:fill="DBE4F0"/>
          </w:tcPr>
          <w:p>
            <w:pPr>
              <w:pStyle w:val="TableParagraph"/>
              <w:rPr>
                <w:sz w:val="20"/>
              </w:rPr>
            </w:pPr>
          </w:p>
        </w:tc>
        <w:tc>
          <w:tcPr>
            <w:tcW w:w="3115" w:type="dxa"/>
            <w:shd w:val="clear" w:color="auto" w:fill="DBE4F0"/>
          </w:tcPr>
          <w:p>
            <w:pPr>
              <w:pStyle w:val="TableParagraph"/>
              <w:spacing w:line="256" w:lineRule="exact"/>
              <w:ind w:left="353"/>
              <w:rPr>
                <w:sz w:val="24"/>
              </w:rPr>
            </w:pPr>
            <w:r>
              <w:rPr>
                <w:sz w:val="24"/>
              </w:rPr>
              <w:t>(f)</w:t>
            </w:r>
            <w:r>
              <w:rPr>
                <w:spacing w:val="59"/>
                <w:sz w:val="24"/>
              </w:rPr>
              <w:t> </w:t>
            </w:r>
            <w:r>
              <w:rPr>
                <w:sz w:val="24"/>
              </w:rPr>
              <w:t>Estate</w:t>
            </w:r>
            <w:r>
              <w:rPr>
                <w:spacing w:val="-1"/>
                <w:sz w:val="24"/>
              </w:rPr>
              <w:t> </w:t>
            </w:r>
            <w:r>
              <w:rPr>
                <w:spacing w:val="-2"/>
                <w:sz w:val="24"/>
              </w:rPr>
              <w:t>Management</w:t>
            </w:r>
          </w:p>
        </w:tc>
        <w:tc>
          <w:tcPr>
            <w:tcW w:w="1501" w:type="dxa"/>
            <w:shd w:val="clear" w:color="auto" w:fill="DBE4F0"/>
          </w:tcPr>
          <w:p>
            <w:pPr>
              <w:pStyle w:val="TableParagraph"/>
              <w:spacing w:line="256" w:lineRule="exact"/>
              <w:ind w:left="366"/>
              <w:rPr>
                <w:sz w:val="24"/>
              </w:rPr>
            </w:pPr>
            <w:r>
              <w:rPr>
                <w:spacing w:val="-5"/>
                <w:sz w:val="24"/>
              </w:rPr>
              <w:t>15</w:t>
            </w:r>
          </w:p>
        </w:tc>
        <w:tc>
          <w:tcPr>
            <w:tcW w:w="1921" w:type="dxa"/>
            <w:shd w:val="clear" w:color="auto" w:fill="DBE4F0"/>
          </w:tcPr>
          <w:p>
            <w:pPr>
              <w:pStyle w:val="TableParagraph"/>
              <w:spacing w:line="256" w:lineRule="exact"/>
              <w:ind w:left="214"/>
              <w:rPr>
                <w:sz w:val="24"/>
              </w:rPr>
            </w:pPr>
            <w:r>
              <w:rPr>
                <w:spacing w:val="-2"/>
                <w:sz w:val="24"/>
              </w:rPr>
              <w:t>10.00</w:t>
            </w:r>
          </w:p>
        </w:tc>
      </w:tr>
      <w:tr>
        <w:trPr>
          <w:trHeight w:val="275" w:hRule="atLeast"/>
        </w:trPr>
        <w:tc>
          <w:tcPr>
            <w:tcW w:w="2870" w:type="dxa"/>
            <w:shd w:val="clear" w:color="auto" w:fill="DBE4F0"/>
          </w:tcPr>
          <w:p>
            <w:pPr>
              <w:pStyle w:val="TableParagraph"/>
              <w:rPr>
                <w:sz w:val="20"/>
              </w:rPr>
            </w:pPr>
          </w:p>
        </w:tc>
        <w:tc>
          <w:tcPr>
            <w:tcW w:w="3115" w:type="dxa"/>
            <w:shd w:val="clear" w:color="auto" w:fill="DBE4F0"/>
          </w:tcPr>
          <w:p>
            <w:pPr>
              <w:pStyle w:val="TableParagraph"/>
              <w:spacing w:line="256" w:lineRule="exact"/>
              <w:ind w:left="353"/>
              <w:rPr>
                <w:sz w:val="24"/>
              </w:rPr>
            </w:pPr>
            <w:r>
              <w:rPr>
                <w:sz w:val="24"/>
              </w:rPr>
              <w:t>(g)</w:t>
            </w:r>
            <w:r>
              <w:rPr>
                <w:spacing w:val="19"/>
                <w:sz w:val="24"/>
              </w:rPr>
              <w:t> </w:t>
            </w:r>
            <w:r>
              <w:rPr>
                <w:sz w:val="24"/>
              </w:rPr>
              <w:t>Town </w:t>
            </w:r>
            <w:r>
              <w:rPr>
                <w:spacing w:val="-2"/>
                <w:sz w:val="24"/>
              </w:rPr>
              <w:t>Planning</w:t>
            </w:r>
          </w:p>
        </w:tc>
        <w:tc>
          <w:tcPr>
            <w:tcW w:w="1501" w:type="dxa"/>
            <w:shd w:val="clear" w:color="auto" w:fill="DBE4F0"/>
          </w:tcPr>
          <w:p>
            <w:pPr>
              <w:pStyle w:val="TableParagraph"/>
              <w:spacing w:line="256" w:lineRule="exact"/>
              <w:ind w:left="366"/>
              <w:rPr>
                <w:sz w:val="24"/>
              </w:rPr>
            </w:pPr>
            <w:r>
              <w:rPr>
                <w:spacing w:val="-10"/>
                <w:sz w:val="24"/>
              </w:rPr>
              <w:t>8</w:t>
            </w:r>
          </w:p>
        </w:tc>
        <w:tc>
          <w:tcPr>
            <w:tcW w:w="1921" w:type="dxa"/>
            <w:shd w:val="clear" w:color="auto" w:fill="DBE4F0"/>
          </w:tcPr>
          <w:p>
            <w:pPr>
              <w:pStyle w:val="TableParagraph"/>
              <w:spacing w:line="256" w:lineRule="exact"/>
              <w:ind w:left="334"/>
              <w:rPr>
                <w:sz w:val="24"/>
              </w:rPr>
            </w:pPr>
            <w:r>
              <w:rPr>
                <w:spacing w:val="-4"/>
                <w:sz w:val="24"/>
              </w:rPr>
              <w:t>5.00</w:t>
            </w:r>
          </w:p>
        </w:tc>
      </w:tr>
      <w:tr>
        <w:trPr>
          <w:trHeight w:val="276" w:hRule="atLeast"/>
        </w:trPr>
        <w:tc>
          <w:tcPr>
            <w:tcW w:w="2870" w:type="dxa"/>
            <w:shd w:val="clear" w:color="auto" w:fill="DBE4F0"/>
          </w:tcPr>
          <w:p>
            <w:pPr>
              <w:pStyle w:val="TableParagraph"/>
              <w:rPr>
                <w:sz w:val="20"/>
              </w:rPr>
            </w:pPr>
          </w:p>
        </w:tc>
        <w:tc>
          <w:tcPr>
            <w:tcW w:w="3115" w:type="dxa"/>
            <w:shd w:val="clear" w:color="auto" w:fill="DBE4F0"/>
          </w:tcPr>
          <w:p>
            <w:pPr>
              <w:pStyle w:val="TableParagraph"/>
              <w:spacing w:line="256" w:lineRule="exact"/>
              <w:ind w:left="353"/>
              <w:rPr>
                <w:sz w:val="24"/>
              </w:rPr>
            </w:pPr>
            <w:r>
              <w:rPr>
                <w:sz w:val="24"/>
              </w:rPr>
              <w:t>(h)</w:t>
            </w:r>
            <w:r>
              <w:rPr>
                <w:spacing w:val="20"/>
                <w:sz w:val="24"/>
              </w:rPr>
              <w:t> </w:t>
            </w:r>
            <w:r>
              <w:rPr>
                <w:spacing w:val="-2"/>
                <w:sz w:val="24"/>
              </w:rPr>
              <w:t>Geography</w:t>
            </w:r>
          </w:p>
        </w:tc>
        <w:tc>
          <w:tcPr>
            <w:tcW w:w="1501" w:type="dxa"/>
            <w:shd w:val="clear" w:color="auto" w:fill="DBE4F0"/>
          </w:tcPr>
          <w:p>
            <w:pPr>
              <w:pStyle w:val="TableParagraph"/>
              <w:spacing w:line="256" w:lineRule="exact"/>
              <w:ind w:left="366"/>
              <w:rPr>
                <w:sz w:val="24"/>
              </w:rPr>
            </w:pPr>
            <w:r>
              <w:rPr>
                <w:spacing w:val="-10"/>
                <w:sz w:val="24"/>
              </w:rPr>
              <w:t>0</w:t>
            </w:r>
          </w:p>
        </w:tc>
        <w:tc>
          <w:tcPr>
            <w:tcW w:w="1921" w:type="dxa"/>
            <w:shd w:val="clear" w:color="auto" w:fill="DBE4F0"/>
          </w:tcPr>
          <w:p>
            <w:pPr>
              <w:pStyle w:val="TableParagraph"/>
              <w:spacing w:line="256" w:lineRule="exact"/>
              <w:ind w:left="334"/>
              <w:rPr>
                <w:sz w:val="24"/>
              </w:rPr>
            </w:pPr>
            <w:r>
              <w:rPr>
                <w:spacing w:val="-4"/>
                <w:sz w:val="24"/>
              </w:rPr>
              <w:t>0.00</w:t>
            </w:r>
          </w:p>
        </w:tc>
      </w:tr>
      <w:tr>
        <w:trPr>
          <w:trHeight w:val="275" w:hRule="atLeast"/>
        </w:trPr>
        <w:tc>
          <w:tcPr>
            <w:tcW w:w="2870" w:type="dxa"/>
            <w:shd w:val="clear" w:color="auto" w:fill="DBE4F0"/>
          </w:tcPr>
          <w:p>
            <w:pPr>
              <w:pStyle w:val="TableParagraph"/>
              <w:rPr>
                <w:sz w:val="20"/>
              </w:rPr>
            </w:pPr>
          </w:p>
        </w:tc>
        <w:tc>
          <w:tcPr>
            <w:tcW w:w="3115" w:type="dxa"/>
            <w:shd w:val="clear" w:color="auto" w:fill="DBE4F0"/>
          </w:tcPr>
          <w:p>
            <w:pPr>
              <w:pStyle w:val="TableParagraph"/>
              <w:spacing w:line="256" w:lineRule="exact"/>
              <w:ind w:left="353"/>
              <w:rPr>
                <w:sz w:val="24"/>
              </w:rPr>
            </w:pPr>
            <w:r>
              <w:rPr>
                <w:sz w:val="24"/>
              </w:rPr>
              <w:t>(i)</w:t>
            </w:r>
            <w:r>
              <w:rPr>
                <w:spacing w:val="73"/>
                <w:sz w:val="24"/>
              </w:rPr>
              <w:t> </w:t>
            </w:r>
            <w:r>
              <w:rPr>
                <w:spacing w:val="-2"/>
                <w:sz w:val="24"/>
              </w:rPr>
              <w:t>Accounting</w:t>
            </w:r>
          </w:p>
        </w:tc>
        <w:tc>
          <w:tcPr>
            <w:tcW w:w="1501" w:type="dxa"/>
            <w:shd w:val="clear" w:color="auto" w:fill="DBE4F0"/>
          </w:tcPr>
          <w:p>
            <w:pPr>
              <w:pStyle w:val="TableParagraph"/>
              <w:spacing w:line="256" w:lineRule="exact"/>
              <w:ind w:left="366"/>
              <w:rPr>
                <w:sz w:val="24"/>
              </w:rPr>
            </w:pPr>
            <w:r>
              <w:rPr>
                <w:spacing w:val="-5"/>
                <w:sz w:val="24"/>
              </w:rPr>
              <w:t>17</w:t>
            </w:r>
          </w:p>
        </w:tc>
        <w:tc>
          <w:tcPr>
            <w:tcW w:w="1921" w:type="dxa"/>
            <w:shd w:val="clear" w:color="auto" w:fill="DBE4F0"/>
          </w:tcPr>
          <w:p>
            <w:pPr>
              <w:pStyle w:val="TableParagraph"/>
              <w:spacing w:line="256" w:lineRule="exact"/>
              <w:ind w:left="214"/>
              <w:rPr>
                <w:sz w:val="24"/>
              </w:rPr>
            </w:pPr>
            <w:r>
              <w:rPr>
                <w:spacing w:val="-2"/>
                <w:sz w:val="24"/>
              </w:rPr>
              <w:t>11.00</w:t>
            </w:r>
          </w:p>
        </w:tc>
      </w:tr>
      <w:tr>
        <w:trPr>
          <w:trHeight w:val="276" w:hRule="atLeast"/>
        </w:trPr>
        <w:tc>
          <w:tcPr>
            <w:tcW w:w="2870" w:type="dxa"/>
            <w:shd w:val="clear" w:color="auto" w:fill="DBE4F0"/>
          </w:tcPr>
          <w:p>
            <w:pPr>
              <w:pStyle w:val="TableParagraph"/>
              <w:rPr>
                <w:sz w:val="20"/>
              </w:rPr>
            </w:pPr>
          </w:p>
        </w:tc>
        <w:tc>
          <w:tcPr>
            <w:tcW w:w="3115" w:type="dxa"/>
            <w:shd w:val="clear" w:color="auto" w:fill="DBE4F0"/>
          </w:tcPr>
          <w:p>
            <w:pPr>
              <w:pStyle w:val="TableParagraph"/>
              <w:spacing w:line="256" w:lineRule="exact"/>
              <w:ind w:left="353"/>
              <w:rPr>
                <w:sz w:val="24"/>
              </w:rPr>
            </w:pPr>
            <w:r>
              <w:rPr>
                <w:sz w:val="24"/>
              </w:rPr>
              <w:t>(j)</w:t>
            </w:r>
            <w:r>
              <w:rPr>
                <w:spacing w:val="73"/>
                <w:sz w:val="24"/>
              </w:rPr>
              <w:t> </w:t>
            </w:r>
            <w:r>
              <w:rPr>
                <w:spacing w:val="-2"/>
                <w:sz w:val="24"/>
              </w:rPr>
              <w:t>Economics</w:t>
            </w:r>
          </w:p>
        </w:tc>
        <w:tc>
          <w:tcPr>
            <w:tcW w:w="1501" w:type="dxa"/>
            <w:shd w:val="clear" w:color="auto" w:fill="DBE4F0"/>
          </w:tcPr>
          <w:p>
            <w:pPr>
              <w:pStyle w:val="TableParagraph"/>
              <w:spacing w:line="256" w:lineRule="exact"/>
              <w:ind w:left="366"/>
              <w:rPr>
                <w:sz w:val="24"/>
              </w:rPr>
            </w:pPr>
            <w:r>
              <w:rPr>
                <w:spacing w:val="-5"/>
                <w:sz w:val="24"/>
              </w:rPr>
              <w:t>29</w:t>
            </w:r>
          </w:p>
        </w:tc>
        <w:tc>
          <w:tcPr>
            <w:tcW w:w="1921" w:type="dxa"/>
            <w:shd w:val="clear" w:color="auto" w:fill="DBE4F0"/>
          </w:tcPr>
          <w:p>
            <w:pPr>
              <w:pStyle w:val="TableParagraph"/>
              <w:spacing w:line="256" w:lineRule="exact"/>
              <w:ind w:left="214"/>
              <w:rPr>
                <w:sz w:val="24"/>
              </w:rPr>
            </w:pPr>
            <w:r>
              <w:rPr>
                <w:spacing w:val="-2"/>
                <w:sz w:val="24"/>
              </w:rPr>
              <w:t>19.00</w:t>
            </w:r>
          </w:p>
        </w:tc>
      </w:tr>
      <w:tr>
        <w:trPr>
          <w:trHeight w:val="276" w:hRule="atLeast"/>
        </w:trPr>
        <w:tc>
          <w:tcPr>
            <w:tcW w:w="2870" w:type="dxa"/>
            <w:shd w:val="clear" w:color="auto" w:fill="DBE4F0"/>
          </w:tcPr>
          <w:p>
            <w:pPr>
              <w:pStyle w:val="TableParagraph"/>
              <w:rPr>
                <w:sz w:val="20"/>
              </w:rPr>
            </w:pPr>
          </w:p>
        </w:tc>
        <w:tc>
          <w:tcPr>
            <w:tcW w:w="3115" w:type="dxa"/>
            <w:shd w:val="clear" w:color="auto" w:fill="DBE4F0"/>
          </w:tcPr>
          <w:p>
            <w:pPr>
              <w:pStyle w:val="TableParagraph"/>
              <w:spacing w:line="256" w:lineRule="exact"/>
              <w:ind w:left="353"/>
              <w:rPr>
                <w:sz w:val="24"/>
              </w:rPr>
            </w:pPr>
            <w:r>
              <w:rPr>
                <w:sz w:val="24"/>
              </w:rPr>
              <w:t>(k)</w:t>
            </w:r>
            <w:r>
              <w:rPr>
                <w:spacing w:val="18"/>
                <w:sz w:val="24"/>
              </w:rPr>
              <w:t> </w:t>
            </w:r>
            <w:r>
              <w:rPr>
                <w:sz w:val="24"/>
              </w:rPr>
              <w:t>Public</w:t>
            </w:r>
            <w:r>
              <w:rPr>
                <w:spacing w:val="-1"/>
                <w:sz w:val="24"/>
              </w:rPr>
              <w:t> </w:t>
            </w:r>
            <w:r>
              <w:rPr>
                <w:spacing w:val="-2"/>
                <w:sz w:val="24"/>
              </w:rPr>
              <w:t>Administration</w:t>
            </w:r>
          </w:p>
        </w:tc>
        <w:tc>
          <w:tcPr>
            <w:tcW w:w="1501" w:type="dxa"/>
            <w:shd w:val="clear" w:color="auto" w:fill="DBE4F0"/>
          </w:tcPr>
          <w:p>
            <w:pPr>
              <w:pStyle w:val="TableParagraph"/>
              <w:spacing w:line="256" w:lineRule="exact"/>
              <w:ind w:left="366"/>
              <w:rPr>
                <w:sz w:val="24"/>
              </w:rPr>
            </w:pPr>
            <w:r>
              <w:rPr>
                <w:spacing w:val="-5"/>
                <w:sz w:val="24"/>
              </w:rPr>
              <w:t>17</w:t>
            </w:r>
          </w:p>
        </w:tc>
        <w:tc>
          <w:tcPr>
            <w:tcW w:w="1921" w:type="dxa"/>
            <w:shd w:val="clear" w:color="auto" w:fill="DBE4F0"/>
          </w:tcPr>
          <w:p>
            <w:pPr>
              <w:pStyle w:val="TableParagraph"/>
              <w:spacing w:line="256" w:lineRule="exact"/>
              <w:ind w:left="214"/>
              <w:rPr>
                <w:sz w:val="24"/>
              </w:rPr>
            </w:pPr>
            <w:r>
              <w:rPr>
                <w:spacing w:val="-2"/>
                <w:sz w:val="24"/>
              </w:rPr>
              <w:t>11.00</w:t>
            </w:r>
          </w:p>
        </w:tc>
      </w:tr>
      <w:tr>
        <w:trPr>
          <w:trHeight w:val="275" w:hRule="atLeast"/>
        </w:trPr>
        <w:tc>
          <w:tcPr>
            <w:tcW w:w="2870" w:type="dxa"/>
            <w:shd w:val="clear" w:color="auto" w:fill="DBE4F0"/>
          </w:tcPr>
          <w:p>
            <w:pPr>
              <w:pStyle w:val="TableParagraph"/>
              <w:rPr>
                <w:sz w:val="20"/>
              </w:rPr>
            </w:pPr>
          </w:p>
        </w:tc>
        <w:tc>
          <w:tcPr>
            <w:tcW w:w="3115" w:type="dxa"/>
            <w:shd w:val="clear" w:color="auto" w:fill="DBE4F0"/>
          </w:tcPr>
          <w:p>
            <w:pPr>
              <w:pStyle w:val="TableParagraph"/>
              <w:spacing w:line="256" w:lineRule="exact"/>
              <w:ind w:left="353"/>
              <w:rPr>
                <w:sz w:val="24"/>
              </w:rPr>
            </w:pPr>
            <w:r>
              <w:rPr>
                <w:sz w:val="24"/>
              </w:rPr>
              <w:t>(l)</w:t>
            </w:r>
            <w:r>
              <w:rPr>
                <w:spacing w:val="73"/>
                <w:sz w:val="24"/>
              </w:rPr>
              <w:t> </w:t>
            </w:r>
            <w:r>
              <w:rPr>
                <w:spacing w:val="-2"/>
                <w:sz w:val="24"/>
              </w:rPr>
              <w:t>Statistics</w:t>
            </w:r>
          </w:p>
        </w:tc>
        <w:tc>
          <w:tcPr>
            <w:tcW w:w="1501" w:type="dxa"/>
            <w:shd w:val="clear" w:color="auto" w:fill="DBE4F0"/>
          </w:tcPr>
          <w:p>
            <w:pPr>
              <w:pStyle w:val="TableParagraph"/>
              <w:spacing w:line="256" w:lineRule="exact"/>
              <w:ind w:left="366"/>
              <w:rPr>
                <w:sz w:val="24"/>
              </w:rPr>
            </w:pPr>
            <w:r>
              <w:rPr>
                <w:spacing w:val="-10"/>
                <w:sz w:val="24"/>
              </w:rPr>
              <w:t>0</w:t>
            </w:r>
          </w:p>
        </w:tc>
        <w:tc>
          <w:tcPr>
            <w:tcW w:w="1921" w:type="dxa"/>
            <w:shd w:val="clear" w:color="auto" w:fill="DBE4F0"/>
          </w:tcPr>
          <w:p>
            <w:pPr>
              <w:pStyle w:val="TableParagraph"/>
              <w:spacing w:line="256" w:lineRule="exact"/>
              <w:ind w:left="334"/>
              <w:rPr>
                <w:sz w:val="24"/>
              </w:rPr>
            </w:pPr>
            <w:r>
              <w:rPr>
                <w:spacing w:val="-4"/>
                <w:sz w:val="24"/>
              </w:rPr>
              <w:t>0.00</w:t>
            </w:r>
          </w:p>
        </w:tc>
      </w:tr>
      <w:tr>
        <w:trPr>
          <w:trHeight w:val="278" w:hRule="atLeast"/>
        </w:trPr>
        <w:tc>
          <w:tcPr>
            <w:tcW w:w="2870" w:type="dxa"/>
            <w:shd w:val="clear" w:color="auto" w:fill="DBE4F0"/>
          </w:tcPr>
          <w:p>
            <w:pPr>
              <w:pStyle w:val="TableParagraph"/>
              <w:rPr>
                <w:sz w:val="20"/>
              </w:rPr>
            </w:pPr>
          </w:p>
        </w:tc>
        <w:tc>
          <w:tcPr>
            <w:tcW w:w="3115" w:type="dxa"/>
            <w:shd w:val="clear" w:color="auto" w:fill="DBE4F0"/>
          </w:tcPr>
          <w:p>
            <w:pPr>
              <w:pStyle w:val="TableParagraph"/>
              <w:spacing w:line="259" w:lineRule="exact"/>
              <w:ind w:left="353"/>
              <w:rPr>
                <w:sz w:val="24"/>
              </w:rPr>
            </w:pPr>
            <w:r>
              <w:rPr>
                <w:spacing w:val="-2"/>
                <w:sz w:val="24"/>
              </w:rPr>
              <w:t>(m)Others</w:t>
            </w:r>
          </w:p>
        </w:tc>
        <w:tc>
          <w:tcPr>
            <w:tcW w:w="1501" w:type="dxa"/>
            <w:shd w:val="clear" w:color="auto" w:fill="DBE4F0"/>
          </w:tcPr>
          <w:p>
            <w:pPr>
              <w:pStyle w:val="TableParagraph"/>
              <w:spacing w:line="259" w:lineRule="exact"/>
              <w:ind w:left="366"/>
              <w:rPr>
                <w:sz w:val="24"/>
              </w:rPr>
            </w:pPr>
            <w:r>
              <w:rPr>
                <w:spacing w:val="-10"/>
                <w:sz w:val="24"/>
              </w:rPr>
              <w:t>0</w:t>
            </w:r>
          </w:p>
        </w:tc>
        <w:tc>
          <w:tcPr>
            <w:tcW w:w="1921" w:type="dxa"/>
            <w:shd w:val="clear" w:color="auto" w:fill="DBE4F0"/>
          </w:tcPr>
          <w:p>
            <w:pPr>
              <w:pStyle w:val="TableParagraph"/>
              <w:spacing w:line="259" w:lineRule="exact"/>
              <w:ind w:left="334"/>
              <w:rPr>
                <w:sz w:val="24"/>
              </w:rPr>
            </w:pPr>
            <w:r>
              <w:rPr>
                <w:spacing w:val="-4"/>
                <w:sz w:val="24"/>
              </w:rPr>
              <w:t>0.00</w:t>
            </w:r>
          </w:p>
        </w:tc>
      </w:tr>
      <w:tr>
        <w:trPr>
          <w:trHeight w:val="395" w:hRule="atLeast"/>
        </w:trPr>
        <w:tc>
          <w:tcPr>
            <w:tcW w:w="2870" w:type="dxa"/>
          </w:tcPr>
          <w:p>
            <w:pPr>
              <w:pStyle w:val="TableParagraph"/>
              <w:spacing w:line="273" w:lineRule="exact"/>
              <w:ind w:left="458"/>
              <w:rPr>
                <w:b/>
                <w:sz w:val="24"/>
              </w:rPr>
            </w:pPr>
            <w:r>
              <w:rPr>
                <w:b/>
                <w:spacing w:val="-2"/>
                <w:sz w:val="24"/>
              </w:rPr>
              <w:t>Total</w:t>
            </w:r>
          </w:p>
        </w:tc>
        <w:tc>
          <w:tcPr>
            <w:tcW w:w="3115" w:type="dxa"/>
          </w:tcPr>
          <w:p>
            <w:pPr>
              <w:pStyle w:val="TableParagraph"/>
              <w:rPr>
                <w:sz w:val="24"/>
              </w:rPr>
            </w:pPr>
          </w:p>
        </w:tc>
        <w:tc>
          <w:tcPr>
            <w:tcW w:w="1501" w:type="dxa"/>
          </w:tcPr>
          <w:p>
            <w:pPr>
              <w:pStyle w:val="TableParagraph"/>
              <w:spacing w:line="270" w:lineRule="exact"/>
              <w:ind w:left="306"/>
              <w:rPr>
                <w:sz w:val="24"/>
              </w:rPr>
            </w:pPr>
            <w:r>
              <w:rPr>
                <w:spacing w:val="-5"/>
                <w:sz w:val="24"/>
              </w:rPr>
              <w:t>156</w:t>
            </w:r>
          </w:p>
        </w:tc>
        <w:tc>
          <w:tcPr>
            <w:tcW w:w="1921" w:type="dxa"/>
          </w:tcPr>
          <w:p>
            <w:pPr>
              <w:pStyle w:val="TableParagraph"/>
              <w:spacing w:line="270" w:lineRule="exact"/>
              <w:ind w:left="214"/>
              <w:rPr>
                <w:sz w:val="24"/>
              </w:rPr>
            </w:pPr>
            <w:r>
              <w:rPr>
                <w:spacing w:val="-4"/>
                <w:sz w:val="24"/>
              </w:rPr>
              <w:t>100%</w:t>
            </w:r>
          </w:p>
        </w:tc>
      </w:tr>
      <w:tr>
        <w:trPr>
          <w:trHeight w:val="277" w:hRule="atLeast"/>
        </w:trPr>
        <w:tc>
          <w:tcPr>
            <w:tcW w:w="2870" w:type="dxa"/>
            <w:shd w:val="clear" w:color="auto" w:fill="D2DFED"/>
          </w:tcPr>
          <w:p>
            <w:pPr>
              <w:pStyle w:val="TableParagraph"/>
              <w:spacing w:line="257" w:lineRule="exact"/>
              <w:ind w:left="122"/>
              <w:rPr>
                <w:b/>
                <w:sz w:val="24"/>
              </w:rPr>
            </w:pPr>
            <w:r>
              <w:rPr>
                <w:b/>
                <w:sz w:val="24"/>
              </w:rPr>
              <w:t>Academic</w:t>
            </w:r>
            <w:r>
              <w:rPr>
                <w:b/>
                <w:spacing w:val="-5"/>
                <w:sz w:val="24"/>
              </w:rPr>
              <w:t> </w:t>
            </w:r>
            <w:r>
              <w:rPr>
                <w:b/>
                <w:spacing w:val="-2"/>
                <w:sz w:val="24"/>
              </w:rPr>
              <w:t>Qualification</w:t>
            </w:r>
          </w:p>
        </w:tc>
        <w:tc>
          <w:tcPr>
            <w:tcW w:w="3115" w:type="dxa"/>
            <w:shd w:val="clear" w:color="auto" w:fill="D2DFED"/>
          </w:tcPr>
          <w:p>
            <w:pPr>
              <w:pStyle w:val="TableParagraph"/>
              <w:spacing w:line="257" w:lineRule="exact"/>
              <w:ind w:left="389"/>
              <w:rPr>
                <w:sz w:val="24"/>
              </w:rPr>
            </w:pPr>
            <w:r>
              <w:rPr>
                <w:sz w:val="24"/>
              </w:rPr>
              <w:t>(a)</w:t>
            </w:r>
            <w:r>
              <w:rPr>
                <w:spacing w:val="-3"/>
                <w:sz w:val="24"/>
              </w:rPr>
              <w:t> </w:t>
            </w:r>
            <w:r>
              <w:rPr>
                <w:spacing w:val="-2"/>
                <w:sz w:val="24"/>
              </w:rPr>
              <w:t>Ph.D.</w:t>
            </w:r>
          </w:p>
        </w:tc>
        <w:tc>
          <w:tcPr>
            <w:tcW w:w="1501" w:type="dxa"/>
            <w:shd w:val="clear" w:color="auto" w:fill="D2DFED"/>
          </w:tcPr>
          <w:p>
            <w:pPr>
              <w:pStyle w:val="TableParagraph"/>
              <w:spacing w:line="257" w:lineRule="exact"/>
              <w:ind w:left="366"/>
              <w:rPr>
                <w:sz w:val="24"/>
              </w:rPr>
            </w:pPr>
            <w:r>
              <w:rPr>
                <w:spacing w:val="-10"/>
                <w:sz w:val="24"/>
              </w:rPr>
              <w:t>0</w:t>
            </w:r>
          </w:p>
        </w:tc>
        <w:tc>
          <w:tcPr>
            <w:tcW w:w="1921" w:type="dxa"/>
            <w:shd w:val="clear" w:color="auto" w:fill="D2DFED"/>
          </w:tcPr>
          <w:p>
            <w:pPr>
              <w:pStyle w:val="TableParagraph"/>
              <w:spacing w:line="257" w:lineRule="exact"/>
              <w:ind w:left="334"/>
              <w:rPr>
                <w:sz w:val="24"/>
              </w:rPr>
            </w:pPr>
            <w:r>
              <w:rPr>
                <w:spacing w:val="-4"/>
                <w:sz w:val="24"/>
              </w:rPr>
              <w:t>0.00</w:t>
            </w:r>
          </w:p>
        </w:tc>
      </w:tr>
      <w:tr>
        <w:trPr>
          <w:trHeight w:val="272" w:hRule="atLeast"/>
        </w:trPr>
        <w:tc>
          <w:tcPr>
            <w:tcW w:w="2870" w:type="dxa"/>
            <w:shd w:val="clear" w:color="auto" w:fill="D2DFED"/>
          </w:tcPr>
          <w:p>
            <w:pPr>
              <w:pStyle w:val="TableParagraph"/>
              <w:rPr>
                <w:sz w:val="20"/>
              </w:rPr>
            </w:pPr>
          </w:p>
        </w:tc>
        <w:tc>
          <w:tcPr>
            <w:tcW w:w="3115" w:type="dxa"/>
            <w:shd w:val="clear" w:color="auto" w:fill="D2DFED"/>
          </w:tcPr>
          <w:p>
            <w:pPr>
              <w:pStyle w:val="TableParagraph"/>
              <w:spacing w:line="252" w:lineRule="exact"/>
              <w:ind w:left="389"/>
              <w:rPr>
                <w:sz w:val="24"/>
              </w:rPr>
            </w:pPr>
            <w:r>
              <w:rPr>
                <w:sz w:val="24"/>
              </w:rPr>
              <w:t>(b)</w:t>
            </w:r>
            <w:r>
              <w:rPr>
                <w:spacing w:val="-2"/>
                <w:sz w:val="24"/>
              </w:rPr>
              <w:t> </w:t>
            </w:r>
            <w:r>
              <w:rPr>
                <w:spacing w:val="-4"/>
                <w:sz w:val="24"/>
              </w:rPr>
              <w:t>M.Sc</w:t>
            </w:r>
          </w:p>
        </w:tc>
        <w:tc>
          <w:tcPr>
            <w:tcW w:w="1501" w:type="dxa"/>
            <w:shd w:val="clear" w:color="auto" w:fill="D2DFED"/>
          </w:tcPr>
          <w:p>
            <w:pPr>
              <w:pStyle w:val="TableParagraph"/>
              <w:spacing w:line="252" w:lineRule="exact"/>
              <w:ind w:left="306"/>
              <w:rPr>
                <w:sz w:val="24"/>
              </w:rPr>
            </w:pPr>
            <w:r>
              <w:rPr>
                <w:spacing w:val="-5"/>
                <w:sz w:val="24"/>
              </w:rPr>
              <w:t>42</w:t>
            </w:r>
          </w:p>
        </w:tc>
        <w:tc>
          <w:tcPr>
            <w:tcW w:w="1921" w:type="dxa"/>
            <w:shd w:val="clear" w:color="auto" w:fill="D2DFED"/>
          </w:tcPr>
          <w:p>
            <w:pPr>
              <w:pStyle w:val="TableParagraph"/>
              <w:spacing w:line="252" w:lineRule="exact"/>
              <w:ind w:left="214"/>
              <w:rPr>
                <w:sz w:val="24"/>
              </w:rPr>
            </w:pPr>
            <w:r>
              <w:rPr>
                <w:spacing w:val="-2"/>
                <w:sz w:val="24"/>
              </w:rPr>
              <w:t>27.00</w:t>
            </w:r>
          </w:p>
        </w:tc>
      </w:tr>
      <w:tr>
        <w:trPr>
          <w:trHeight w:val="275" w:hRule="atLeast"/>
        </w:trPr>
        <w:tc>
          <w:tcPr>
            <w:tcW w:w="2870" w:type="dxa"/>
            <w:shd w:val="clear" w:color="auto" w:fill="D2DFED"/>
          </w:tcPr>
          <w:p>
            <w:pPr>
              <w:pStyle w:val="TableParagraph"/>
              <w:rPr>
                <w:sz w:val="20"/>
              </w:rPr>
            </w:pPr>
          </w:p>
        </w:tc>
        <w:tc>
          <w:tcPr>
            <w:tcW w:w="3115" w:type="dxa"/>
            <w:shd w:val="clear" w:color="auto" w:fill="D2DFED"/>
          </w:tcPr>
          <w:p>
            <w:pPr>
              <w:pStyle w:val="TableParagraph"/>
              <w:spacing w:line="256" w:lineRule="exact"/>
              <w:ind w:left="389"/>
              <w:rPr>
                <w:sz w:val="24"/>
              </w:rPr>
            </w:pPr>
            <w:r>
              <w:rPr>
                <w:sz w:val="24"/>
              </w:rPr>
              <w:t>(c)</w:t>
            </w:r>
            <w:r>
              <w:rPr>
                <w:spacing w:val="-2"/>
                <w:sz w:val="24"/>
              </w:rPr>
              <w:t> </w:t>
            </w:r>
            <w:r>
              <w:rPr>
                <w:sz w:val="24"/>
              </w:rPr>
              <w:t>B.Sc/B</w:t>
            </w:r>
            <w:r>
              <w:rPr>
                <w:spacing w:val="-4"/>
                <w:sz w:val="24"/>
              </w:rPr>
              <w:t> </w:t>
            </w:r>
            <w:r>
              <w:rPr>
                <w:spacing w:val="-5"/>
                <w:sz w:val="24"/>
              </w:rPr>
              <w:t>Eng</w:t>
            </w:r>
          </w:p>
        </w:tc>
        <w:tc>
          <w:tcPr>
            <w:tcW w:w="1501" w:type="dxa"/>
            <w:shd w:val="clear" w:color="auto" w:fill="D2DFED"/>
          </w:tcPr>
          <w:p>
            <w:pPr>
              <w:pStyle w:val="TableParagraph"/>
              <w:spacing w:line="256" w:lineRule="exact"/>
              <w:ind w:left="306"/>
              <w:rPr>
                <w:sz w:val="24"/>
              </w:rPr>
            </w:pPr>
            <w:r>
              <w:rPr>
                <w:spacing w:val="-5"/>
                <w:sz w:val="24"/>
              </w:rPr>
              <w:t>64</w:t>
            </w:r>
          </w:p>
        </w:tc>
        <w:tc>
          <w:tcPr>
            <w:tcW w:w="1921" w:type="dxa"/>
            <w:shd w:val="clear" w:color="auto" w:fill="D2DFED"/>
          </w:tcPr>
          <w:p>
            <w:pPr>
              <w:pStyle w:val="TableParagraph"/>
              <w:spacing w:line="256" w:lineRule="exact"/>
              <w:ind w:left="214"/>
              <w:rPr>
                <w:sz w:val="24"/>
              </w:rPr>
            </w:pPr>
            <w:r>
              <w:rPr>
                <w:spacing w:val="-2"/>
                <w:sz w:val="24"/>
              </w:rPr>
              <w:t>41.00</w:t>
            </w:r>
          </w:p>
        </w:tc>
      </w:tr>
      <w:tr>
        <w:trPr>
          <w:trHeight w:val="276" w:hRule="atLeast"/>
        </w:trPr>
        <w:tc>
          <w:tcPr>
            <w:tcW w:w="2870" w:type="dxa"/>
            <w:shd w:val="clear" w:color="auto" w:fill="D2DFED"/>
          </w:tcPr>
          <w:p>
            <w:pPr>
              <w:pStyle w:val="TableParagraph"/>
              <w:rPr>
                <w:sz w:val="20"/>
              </w:rPr>
            </w:pPr>
          </w:p>
        </w:tc>
        <w:tc>
          <w:tcPr>
            <w:tcW w:w="3115" w:type="dxa"/>
            <w:shd w:val="clear" w:color="auto" w:fill="D2DFED"/>
          </w:tcPr>
          <w:p>
            <w:pPr>
              <w:pStyle w:val="TableParagraph"/>
              <w:spacing w:line="256" w:lineRule="exact"/>
              <w:ind w:left="389"/>
              <w:rPr>
                <w:sz w:val="24"/>
              </w:rPr>
            </w:pPr>
            <w:r>
              <w:rPr>
                <w:sz w:val="24"/>
              </w:rPr>
              <w:t>(d)</w:t>
            </w:r>
            <w:r>
              <w:rPr>
                <w:spacing w:val="-2"/>
                <w:sz w:val="24"/>
              </w:rPr>
              <w:t> </w:t>
            </w:r>
            <w:r>
              <w:rPr>
                <w:spacing w:val="-5"/>
                <w:sz w:val="24"/>
              </w:rPr>
              <w:t>HND</w:t>
            </w:r>
          </w:p>
        </w:tc>
        <w:tc>
          <w:tcPr>
            <w:tcW w:w="1501" w:type="dxa"/>
            <w:shd w:val="clear" w:color="auto" w:fill="D2DFED"/>
          </w:tcPr>
          <w:p>
            <w:pPr>
              <w:pStyle w:val="TableParagraph"/>
              <w:spacing w:line="256" w:lineRule="exact"/>
              <w:ind w:left="306"/>
              <w:rPr>
                <w:sz w:val="24"/>
              </w:rPr>
            </w:pPr>
            <w:r>
              <w:rPr>
                <w:spacing w:val="-5"/>
                <w:sz w:val="24"/>
              </w:rPr>
              <w:t>29</w:t>
            </w:r>
          </w:p>
        </w:tc>
        <w:tc>
          <w:tcPr>
            <w:tcW w:w="1921" w:type="dxa"/>
            <w:shd w:val="clear" w:color="auto" w:fill="D2DFED"/>
          </w:tcPr>
          <w:p>
            <w:pPr>
              <w:pStyle w:val="TableParagraph"/>
              <w:spacing w:line="256" w:lineRule="exact"/>
              <w:ind w:left="214"/>
              <w:rPr>
                <w:sz w:val="24"/>
              </w:rPr>
            </w:pPr>
            <w:r>
              <w:rPr>
                <w:spacing w:val="-2"/>
                <w:sz w:val="24"/>
              </w:rPr>
              <w:t>19.00</w:t>
            </w:r>
          </w:p>
        </w:tc>
      </w:tr>
      <w:tr>
        <w:trPr>
          <w:trHeight w:val="278" w:hRule="atLeast"/>
        </w:trPr>
        <w:tc>
          <w:tcPr>
            <w:tcW w:w="2870" w:type="dxa"/>
            <w:shd w:val="clear" w:color="auto" w:fill="D2DFED"/>
          </w:tcPr>
          <w:p>
            <w:pPr>
              <w:pStyle w:val="TableParagraph"/>
              <w:rPr>
                <w:sz w:val="20"/>
              </w:rPr>
            </w:pPr>
          </w:p>
        </w:tc>
        <w:tc>
          <w:tcPr>
            <w:tcW w:w="3115" w:type="dxa"/>
            <w:shd w:val="clear" w:color="auto" w:fill="D2DFED"/>
          </w:tcPr>
          <w:p>
            <w:pPr>
              <w:pStyle w:val="TableParagraph"/>
              <w:spacing w:line="259" w:lineRule="exact"/>
              <w:ind w:left="389"/>
              <w:rPr>
                <w:sz w:val="24"/>
              </w:rPr>
            </w:pPr>
            <w:r>
              <w:rPr>
                <w:sz w:val="24"/>
              </w:rPr>
              <w:t>(e)</w:t>
            </w:r>
            <w:r>
              <w:rPr>
                <w:spacing w:val="-3"/>
                <w:sz w:val="24"/>
              </w:rPr>
              <w:t> </w:t>
            </w:r>
            <w:r>
              <w:rPr>
                <w:spacing w:val="-2"/>
                <w:sz w:val="24"/>
              </w:rPr>
              <w:t>Others</w:t>
            </w:r>
          </w:p>
        </w:tc>
        <w:tc>
          <w:tcPr>
            <w:tcW w:w="1501" w:type="dxa"/>
            <w:shd w:val="clear" w:color="auto" w:fill="D2DFED"/>
          </w:tcPr>
          <w:p>
            <w:pPr>
              <w:pStyle w:val="TableParagraph"/>
              <w:spacing w:line="259" w:lineRule="exact"/>
              <w:ind w:left="306"/>
              <w:rPr>
                <w:sz w:val="24"/>
              </w:rPr>
            </w:pPr>
            <w:r>
              <w:rPr>
                <w:spacing w:val="-5"/>
                <w:sz w:val="24"/>
              </w:rPr>
              <w:t>21</w:t>
            </w:r>
          </w:p>
        </w:tc>
        <w:tc>
          <w:tcPr>
            <w:tcW w:w="1921" w:type="dxa"/>
            <w:shd w:val="clear" w:color="auto" w:fill="D2DFED"/>
          </w:tcPr>
          <w:p>
            <w:pPr>
              <w:pStyle w:val="TableParagraph"/>
              <w:spacing w:line="259" w:lineRule="exact"/>
              <w:ind w:left="214"/>
              <w:rPr>
                <w:sz w:val="24"/>
              </w:rPr>
            </w:pPr>
            <w:r>
              <w:rPr>
                <w:spacing w:val="-2"/>
                <w:sz w:val="24"/>
              </w:rPr>
              <w:t>13.00</w:t>
            </w:r>
          </w:p>
        </w:tc>
      </w:tr>
      <w:tr>
        <w:trPr>
          <w:trHeight w:val="318" w:hRule="atLeast"/>
        </w:trPr>
        <w:tc>
          <w:tcPr>
            <w:tcW w:w="2870" w:type="dxa"/>
            <w:tcBorders>
              <w:bottom w:val="single" w:sz="8" w:space="0" w:color="4F81BC"/>
            </w:tcBorders>
          </w:tcPr>
          <w:p>
            <w:pPr>
              <w:pStyle w:val="TableParagraph"/>
              <w:spacing w:line="273" w:lineRule="exact"/>
              <w:ind w:left="547"/>
              <w:rPr>
                <w:b/>
                <w:sz w:val="24"/>
              </w:rPr>
            </w:pPr>
            <w:r>
              <w:rPr>
                <w:b/>
                <w:spacing w:val="-2"/>
                <w:sz w:val="24"/>
              </w:rPr>
              <w:t>Total</w:t>
            </w:r>
          </w:p>
        </w:tc>
        <w:tc>
          <w:tcPr>
            <w:tcW w:w="3115" w:type="dxa"/>
            <w:tcBorders>
              <w:bottom w:val="single" w:sz="8" w:space="0" w:color="4F81BC"/>
            </w:tcBorders>
          </w:tcPr>
          <w:p>
            <w:pPr>
              <w:pStyle w:val="TableParagraph"/>
              <w:rPr>
                <w:sz w:val="24"/>
              </w:rPr>
            </w:pPr>
          </w:p>
        </w:tc>
        <w:tc>
          <w:tcPr>
            <w:tcW w:w="1501" w:type="dxa"/>
            <w:tcBorders>
              <w:bottom w:val="single" w:sz="8" w:space="0" w:color="4F81BC"/>
            </w:tcBorders>
          </w:tcPr>
          <w:p>
            <w:pPr>
              <w:pStyle w:val="TableParagraph"/>
              <w:spacing w:line="270" w:lineRule="exact"/>
              <w:ind w:left="306"/>
              <w:rPr>
                <w:sz w:val="24"/>
              </w:rPr>
            </w:pPr>
            <w:r>
              <w:rPr>
                <w:spacing w:val="-5"/>
                <w:sz w:val="24"/>
              </w:rPr>
              <w:t>156</w:t>
            </w:r>
          </w:p>
        </w:tc>
        <w:tc>
          <w:tcPr>
            <w:tcW w:w="1921" w:type="dxa"/>
            <w:tcBorders>
              <w:bottom w:val="single" w:sz="8" w:space="0" w:color="4F81BC"/>
            </w:tcBorders>
          </w:tcPr>
          <w:p>
            <w:pPr>
              <w:pStyle w:val="TableParagraph"/>
              <w:spacing w:line="270" w:lineRule="exact"/>
              <w:ind w:left="214"/>
              <w:rPr>
                <w:sz w:val="24"/>
              </w:rPr>
            </w:pPr>
            <w:r>
              <w:rPr>
                <w:spacing w:val="-4"/>
                <w:sz w:val="24"/>
              </w:rPr>
              <w:t>100%</w:t>
            </w:r>
          </w:p>
        </w:tc>
      </w:tr>
    </w:tbl>
    <w:p>
      <w:pPr>
        <w:pStyle w:val="BodyText"/>
        <w:ind w:left="240"/>
      </w:pPr>
      <w:r>
        <w:rPr>
          <w:b/>
        </w:rPr>
        <w:t>Source:</w:t>
      </w:r>
      <w:r>
        <w:rPr>
          <w:b/>
          <w:spacing w:val="-2"/>
        </w:rPr>
        <w:t> </w:t>
      </w:r>
      <w:r>
        <w:rPr/>
        <w:t>Researcher‘s field</w:t>
      </w:r>
      <w:r>
        <w:rPr>
          <w:spacing w:val="-1"/>
        </w:rPr>
        <w:t> </w:t>
      </w:r>
      <w:r>
        <w:rPr/>
        <w:t>survey</w:t>
      </w:r>
      <w:r>
        <w:rPr>
          <w:spacing w:val="-1"/>
        </w:rPr>
        <w:t> </w:t>
      </w:r>
      <w:r>
        <w:rPr>
          <w:spacing w:val="-2"/>
        </w:rPr>
        <w:t>(2017)</w:t>
      </w:r>
    </w:p>
    <w:p>
      <w:pPr>
        <w:pStyle w:val="BodyText"/>
      </w:pPr>
    </w:p>
    <w:p>
      <w:pPr>
        <w:pStyle w:val="BodyText"/>
        <w:spacing w:before="3"/>
      </w:pPr>
    </w:p>
    <w:p>
      <w:pPr>
        <w:pStyle w:val="Heading4"/>
        <w:numPr>
          <w:ilvl w:val="2"/>
          <w:numId w:val="81"/>
        </w:numPr>
        <w:tabs>
          <w:tab w:pos="959" w:val="left" w:leader="none"/>
        </w:tabs>
        <w:spacing w:line="240" w:lineRule="auto" w:before="0" w:after="0"/>
        <w:ind w:left="959" w:right="0" w:hanging="719"/>
        <w:jc w:val="both"/>
      </w:pPr>
      <w:r>
        <w:rPr/>
        <w:t>Respondents’</w:t>
      </w:r>
      <w:r>
        <w:rPr>
          <w:spacing w:val="-4"/>
        </w:rPr>
        <w:t> </w:t>
      </w:r>
      <w:r>
        <w:rPr>
          <w:spacing w:val="-2"/>
        </w:rPr>
        <w:t>Characteristics</w:t>
      </w:r>
    </w:p>
    <w:p>
      <w:pPr>
        <w:pStyle w:val="BodyText"/>
        <w:spacing w:line="360" w:lineRule="auto" w:before="132"/>
        <w:ind w:left="240" w:right="836"/>
        <w:jc w:val="both"/>
      </w:pPr>
      <w:r>
        <w:rPr/>
        <w:t>Table 5.3 provides information on the background (experience, qualifications and professional affiliation) of the respondents as well as their corresponding percentage contribution to the related questionnaire item (questions). The following explains the analysis in details.</w:t>
      </w:r>
    </w:p>
    <w:p>
      <w:pPr>
        <w:pStyle w:val="ListParagraph"/>
        <w:numPr>
          <w:ilvl w:val="0"/>
          <w:numId w:val="82"/>
        </w:numPr>
        <w:tabs>
          <w:tab w:pos="691" w:val="left" w:leader="none"/>
        </w:tabs>
        <w:spacing w:line="360" w:lineRule="auto" w:before="122" w:after="0"/>
        <w:ind w:left="691" w:right="834" w:hanging="452"/>
        <w:jc w:val="right"/>
        <w:rPr>
          <w:sz w:val="24"/>
        </w:rPr>
      </w:pPr>
      <w:r>
        <w:rPr>
          <w:b/>
          <w:sz w:val="24"/>
        </w:rPr>
        <w:t>Respondents’ Years of Experience: </w:t>
      </w:r>
      <w:r>
        <w:rPr>
          <w:sz w:val="24"/>
        </w:rPr>
        <w:t>On how long the respondents have been working in</w:t>
      </w:r>
      <w:r>
        <w:rPr>
          <w:spacing w:val="80"/>
          <w:sz w:val="24"/>
        </w:rPr>
        <w:t> </w:t>
      </w:r>
      <w:r>
        <w:rPr>
          <w:sz w:val="24"/>
        </w:rPr>
        <w:t>the</w:t>
      </w:r>
      <w:r>
        <w:rPr>
          <w:spacing w:val="3"/>
          <w:sz w:val="24"/>
        </w:rPr>
        <w:t> </w:t>
      </w:r>
      <w:r>
        <w:rPr>
          <w:sz w:val="24"/>
        </w:rPr>
        <w:t>organization;</w:t>
      </w:r>
      <w:r>
        <w:rPr>
          <w:spacing w:val="5"/>
          <w:sz w:val="24"/>
        </w:rPr>
        <w:t> </w:t>
      </w:r>
      <w:r>
        <w:rPr>
          <w:sz w:val="24"/>
        </w:rPr>
        <w:t>Table</w:t>
      </w:r>
      <w:r>
        <w:rPr>
          <w:spacing w:val="5"/>
          <w:sz w:val="24"/>
        </w:rPr>
        <w:t> </w:t>
      </w:r>
      <w:r>
        <w:rPr>
          <w:sz w:val="24"/>
        </w:rPr>
        <w:t>5.3</w:t>
      </w:r>
      <w:r>
        <w:rPr>
          <w:spacing w:val="4"/>
          <w:sz w:val="24"/>
        </w:rPr>
        <w:t> </w:t>
      </w:r>
      <w:r>
        <w:rPr>
          <w:sz w:val="24"/>
        </w:rPr>
        <w:t>reveals</w:t>
      </w:r>
      <w:r>
        <w:rPr>
          <w:spacing w:val="5"/>
          <w:sz w:val="24"/>
        </w:rPr>
        <w:t> </w:t>
      </w:r>
      <w:r>
        <w:rPr>
          <w:sz w:val="24"/>
        </w:rPr>
        <w:t>that</w:t>
      </w:r>
      <w:r>
        <w:rPr>
          <w:spacing w:val="4"/>
          <w:sz w:val="24"/>
        </w:rPr>
        <w:t> </w:t>
      </w:r>
      <w:r>
        <w:rPr>
          <w:sz w:val="24"/>
        </w:rPr>
        <w:t>50</w:t>
      </w:r>
      <w:r>
        <w:rPr>
          <w:spacing w:val="6"/>
          <w:sz w:val="24"/>
        </w:rPr>
        <w:t> </w:t>
      </w:r>
      <w:r>
        <w:rPr>
          <w:sz w:val="24"/>
        </w:rPr>
        <w:t>respondents</w:t>
      </w:r>
      <w:r>
        <w:rPr>
          <w:spacing w:val="4"/>
          <w:sz w:val="24"/>
        </w:rPr>
        <w:t> </w:t>
      </w:r>
      <w:r>
        <w:rPr>
          <w:sz w:val="24"/>
        </w:rPr>
        <w:t>representing</w:t>
      </w:r>
      <w:r>
        <w:rPr>
          <w:spacing w:val="2"/>
          <w:sz w:val="24"/>
        </w:rPr>
        <w:t> </w:t>
      </w:r>
      <w:r>
        <w:rPr>
          <w:sz w:val="24"/>
        </w:rPr>
        <w:t>32%</w:t>
      </w:r>
      <w:r>
        <w:rPr>
          <w:spacing w:val="5"/>
          <w:sz w:val="24"/>
        </w:rPr>
        <w:t> </w:t>
      </w:r>
      <w:r>
        <w:rPr>
          <w:sz w:val="24"/>
        </w:rPr>
        <w:t>have</w:t>
      </w:r>
      <w:r>
        <w:rPr>
          <w:spacing w:val="3"/>
          <w:sz w:val="24"/>
        </w:rPr>
        <w:t> </w:t>
      </w:r>
      <w:r>
        <w:rPr>
          <w:sz w:val="24"/>
        </w:rPr>
        <w:t>worked</w:t>
      </w:r>
      <w:r>
        <w:rPr>
          <w:spacing w:val="3"/>
          <w:sz w:val="24"/>
        </w:rPr>
        <w:t> </w:t>
      </w:r>
      <w:r>
        <w:rPr>
          <w:sz w:val="24"/>
        </w:rPr>
        <w:t>up</w:t>
      </w:r>
      <w:r>
        <w:rPr>
          <w:spacing w:val="6"/>
          <w:sz w:val="24"/>
        </w:rPr>
        <w:t> </w:t>
      </w:r>
      <w:r>
        <w:rPr>
          <w:spacing w:val="-5"/>
          <w:sz w:val="24"/>
        </w:rPr>
        <w:t>to</w:t>
      </w:r>
    </w:p>
    <w:p>
      <w:pPr>
        <w:pStyle w:val="BodyText"/>
        <w:ind w:right="839"/>
        <w:jc w:val="right"/>
      </w:pPr>
      <w:r>
        <w:rPr/>
        <w:t>5</w:t>
      </w:r>
      <w:r>
        <w:rPr>
          <w:spacing w:val="76"/>
        </w:rPr>
        <w:t> </w:t>
      </w:r>
      <w:r>
        <w:rPr/>
        <w:t>years,</w:t>
      </w:r>
      <w:r>
        <w:rPr>
          <w:spacing w:val="77"/>
        </w:rPr>
        <w:t> </w:t>
      </w:r>
      <w:r>
        <w:rPr/>
        <w:t>42</w:t>
      </w:r>
      <w:r>
        <w:rPr>
          <w:spacing w:val="75"/>
        </w:rPr>
        <w:t> </w:t>
      </w:r>
      <w:r>
        <w:rPr/>
        <w:t>of</w:t>
      </w:r>
      <w:r>
        <w:rPr>
          <w:spacing w:val="78"/>
        </w:rPr>
        <w:t> </w:t>
      </w:r>
      <w:r>
        <w:rPr/>
        <w:t>them</w:t>
      </w:r>
      <w:r>
        <w:rPr>
          <w:spacing w:val="77"/>
        </w:rPr>
        <w:t> </w:t>
      </w:r>
      <w:r>
        <w:rPr/>
        <w:t>representing</w:t>
      </w:r>
      <w:r>
        <w:rPr>
          <w:spacing w:val="73"/>
        </w:rPr>
        <w:t> </w:t>
      </w:r>
      <w:r>
        <w:rPr/>
        <w:t>27%</w:t>
      </w:r>
      <w:r>
        <w:rPr>
          <w:spacing w:val="74"/>
        </w:rPr>
        <w:t> </w:t>
      </w:r>
      <w:r>
        <w:rPr/>
        <w:t>have</w:t>
      </w:r>
      <w:r>
        <w:rPr>
          <w:spacing w:val="78"/>
        </w:rPr>
        <w:t> </w:t>
      </w:r>
      <w:r>
        <w:rPr/>
        <w:t>worked</w:t>
      </w:r>
      <w:r>
        <w:rPr>
          <w:spacing w:val="76"/>
        </w:rPr>
        <w:t> </w:t>
      </w:r>
      <w:r>
        <w:rPr/>
        <w:t>between</w:t>
      </w:r>
      <w:r>
        <w:rPr>
          <w:spacing w:val="77"/>
        </w:rPr>
        <w:t> </w:t>
      </w:r>
      <w:r>
        <w:rPr/>
        <w:t>5</w:t>
      </w:r>
      <w:r>
        <w:rPr>
          <w:spacing w:val="75"/>
        </w:rPr>
        <w:t> </w:t>
      </w:r>
      <w:r>
        <w:rPr/>
        <w:t>to</w:t>
      </w:r>
      <w:r>
        <w:rPr>
          <w:spacing w:val="79"/>
        </w:rPr>
        <w:t> </w:t>
      </w:r>
      <w:r>
        <w:rPr/>
        <w:t>10</w:t>
      </w:r>
      <w:r>
        <w:rPr>
          <w:spacing w:val="77"/>
        </w:rPr>
        <w:t> </w:t>
      </w:r>
      <w:r>
        <w:rPr/>
        <w:t>years</w:t>
      </w:r>
      <w:r>
        <w:rPr>
          <w:spacing w:val="77"/>
        </w:rPr>
        <w:t> </w:t>
      </w:r>
      <w:r>
        <w:rPr/>
        <w:t>and</w:t>
      </w:r>
      <w:r>
        <w:rPr>
          <w:spacing w:val="78"/>
        </w:rPr>
        <w:t> </w:t>
      </w:r>
      <w:r>
        <w:rPr>
          <w:spacing w:val="-5"/>
        </w:rPr>
        <w:t>36</w:t>
      </w:r>
    </w:p>
    <w:p>
      <w:pPr>
        <w:pStyle w:val="BodyText"/>
        <w:spacing w:before="137"/>
        <w:ind w:right="833"/>
        <w:jc w:val="right"/>
      </w:pPr>
      <w:r>
        <w:rPr/>
        <w:t>respondents</w:t>
      </w:r>
      <w:r>
        <w:rPr>
          <w:spacing w:val="55"/>
          <w:w w:val="150"/>
        </w:rPr>
        <w:t> </w:t>
      </w:r>
      <w:r>
        <w:rPr/>
        <w:t>have</w:t>
      </w:r>
      <w:r>
        <w:rPr>
          <w:spacing w:val="56"/>
          <w:w w:val="150"/>
        </w:rPr>
        <w:t> </w:t>
      </w:r>
      <w:r>
        <w:rPr/>
        <w:t>also</w:t>
      </w:r>
      <w:r>
        <w:rPr>
          <w:spacing w:val="57"/>
          <w:w w:val="150"/>
        </w:rPr>
        <w:t> </w:t>
      </w:r>
      <w:r>
        <w:rPr/>
        <w:t>worked</w:t>
      </w:r>
      <w:r>
        <w:rPr>
          <w:spacing w:val="57"/>
          <w:w w:val="150"/>
        </w:rPr>
        <w:t> </w:t>
      </w:r>
      <w:r>
        <w:rPr/>
        <w:t>between</w:t>
      </w:r>
      <w:r>
        <w:rPr>
          <w:spacing w:val="57"/>
          <w:w w:val="150"/>
        </w:rPr>
        <w:t> </w:t>
      </w:r>
      <w:r>
        <w:rPr/>
        <w:t>10</w:t>
      </w:r>
      <w:r>
        <w:rPr>
          <w:spacing w:val="57"/>
          <w:w w:val="150"/>
        </w:rPr>
        <w:t> </w:t>
      </w:r>
      <w:r>
        <w:rPr/>
        <w:t>to</w:t>
      </w:r>
      <w:r>
        <w:rPr>
          <w:spacing w:val="57"/>
          <w:w w:val="150"/>
        </w:rPr>
        <w:t> </w:t>
      </w:r>
      <w:r>
        <w:rPr/>
        <w:t>15</w:t>
      </w:r>
      <w:r>
        <w:rPr>
          <w:spacing w:val="59"/>
          <w:w w:val="150"/>
        </w:rPr>
        <w:t> </w:t>
      </w:r>
      <w:r>
        <w:rPr/>
        <w:t>years</w:t>
      </w:r>
      <w:r>
        <w:rPr>
          <w:spacing w:val="57"/>
          <w:w w:val="150"/>
        </w:rPr>
        <w:t> </w:t>
      </w:r>
      <w:r>
        <w:rPr/>
        <w:t>representing</w:t>
      </w:r>
      <w:r>
        <w:rPr>
          <w:spacing w:val="57"/>
          <w:w w:val="150"/>
        </w:rPr>
        <w:t> </w:t>
      </w:r>
      <w:r>
        <w:rPr/>
        <w:t>23%,</w:t>
      </w:r>
      <w:r>
        <w:rPr>
          <w:spacing w:val="58"/>
          <w:w w:val="150"/>
        </w:rPr>
        <w:t> </w:t>
      </w:r>
      <w:r>
        <w:rPr/>
        <w:t>while</w:t>
      </w:r>
      <w:r>
        <w:rPr>
          <w:spacing w:val="57"/>
          <w:w w:val="150"/>
        </w:rPr>
        <w:t> </w:t>
      </w:r>
      <w:r>
        <w:rPr>
          <w:spacing w:val="-5"/>
        </w:rPr>
        <w:t>14</w:t>
      </w:r>
    </w:p>
    <w:p>
      <w:pPr>
        <w:spacing w:after="0"/>
        <w:jc w:val="right"/>
        <w:sectPr>
          <w:pgSz w:w="12240" w:h="15840"/>
          <w:pgMar w:header="0" w:footer="1036" w:top="1360" w:bottom="1220" w:left="1200" w:right="600"/>
        </w:sectPr>
      </w:pPr>
    </w:p>
    <w:p>
      <w:pPr>
        <w:pStyle w:val="BodyText"/>
        <w:spacing w:line="360" w:lineRule="auto" w:before="74"/>
        <w:ind w:left="691" w:right="835"/>
        <w:jc w:val="both"/>
      </w:pPr>
      <w:r>
        <w:rPr/>
        <w:t>respondents each, representing</w:t>
      </w:r>
      <w:r>
        <w:rPr>
          <w:spacing w:val="-4"/>
        </w:rPr>
        <w:t> </w:t>
      </w:r>
      <w:r>
        <w:rPr/>
        <w:t>9%</w:t>
      </w:r>
      <w:r>
        <w:rPr>
          <w:spacing w:val="-2"/>
        </w:rPr>
        <w:t> </w:t>
      </w:r>
      <w:r>
        <w:rPr/>
        <w:t>have</w:t>
      </w:r>
      <w:r>
        <w:rPr>
          <w:spacing w:val="-2"/>
        </w:rPr>
        <w:t> </w:t>
      </w:r>
      <w:r>
        <w:rPr/>
        <w:t>worked between 15</w:t>
      </w:r>
      <w:r>
        <w:rPr>
          <w:spacing w:val="-1"/>
        </w:rPr>
        <w:t> </w:t>
      </w:r>
      <w:r>
        <w:rPr/>
        <w:t>to</w:t>
      </w:r>
      <w:r>
        <w:rPr>
          <w:spacing w:val="-1"/>
        </w:rPr>
        <w:t> </w:t>
      </w:r>
      <w:r>
        <w:rPr/>
        <w:t>20 years</w:t>
      </w:r>
      <w:r>
        <w:rPr>
          <w:spacing w:val="-2"/>
        </w:rPr>
        <w:t> </w:t>
      </w:r>
      <w:r>
        <w:rPr/>
        <w:t>and</w:t>
      </w:r>
      <w:r>
        <w:rPr>
          <w:spacing w:val="-1"/>
        </w:rPr>
        <w:t> </w:t>
      </w:r>
      <w:r>
        <w:rPr/>
        <w:t>above 20 years. The trend therefore, shows that majority</w:t>
      </w:r>
      <w:r>
        <w:rPr>
          <w:spacing w:val="-3"/>
        </w:rPr>
        <w:t> </w:t>
      </w:r>
      <w:r>
        <w:rPr/>
        <w:t>of the respondents are experienced and as such can provide informed opinion about the state of housing budgeting in Anambra State. The few number of respondents with over 15 years experience reflects the number of high ranking (grade level) staff in the Anambra State public service.</w:t>
      </w:r>
    </w:p>
    <w:p>
      <w:pPr>
        <w:spacing w:before="5"/>
        <w:ind w:left="691" w:right="0" w:firstLine="0"/>
        <w:jc w:val="left"/>
        <w:rPr>
          <w:b/>
          <w:sz w:val="8"/>
        </w:rPr>
      </w:pPr>
      <w:r>
        <w:rPr>
          <w:b/>
          <w:spacing w:val="-10"/>
          <w:sz w:val="8"/>
        </w:rPr>
        <w:t>\</w:t>
      </w:r>
    </w:p>
    <w:p>
      <w:pPr>
        <w:pStyle w:val="ListParagraph"/>
        <w:numPr>
          <w:ilvl w:val="0"/>
          <w:numId w:val="82"/>
        </w:numPr>
        <w:tabs>
          <w:tab w:pos="688" w:val="left" w:leader="none"/>
          <w:tab w:pos="691" w:val="left" w:leader="none"/>
        </w:tabs>
        <w:spacing w:line="360" w:lineRule="auto" w:before="42" w:after="0"/>
        <w:ind w:left="691" w:right="835" w:hanging="452"/>
        <w:jc w:val="both"/>
        <w:rPr>
          <w:sz w:val="24"/>
        </w:rPr>
      </w:pPr>
      <w:r>
        <w:rPr>
          <w:b/>
          <w:sz w:val="24"/>
        </w:rPr>
        <w:t>Respondents’ Field/Discipline: </w:t>
      </w:r>
      <w:r>
        <w:rPr>
          <w:sz w:val="24"/>
        </w:rPr>
        <w:t>Table 27 further indicates that 29 respondents representing 19% are Economists, 24 of them are Quantity Surveyors which represents 15%, 17 (11%) are</w:t>
      </w:r>
      <w:r>
        <w:rPr>
          <w:spacing w:val="-4"/>
          <w:sz w:val="24"/>
        </w:rPr>
        <w:t> </w:t>
      </w:r>
      <w:r>
        <w:rPr>
          <w:sz w:val="24"/>
        </w:rPr>
        <w:t>Accountants</w:t>
      </w:r>
      <w:r>
        <w:rPr>
          <w:spacing w:val="-2"/>
          <w:sz w:val="24"/>
        </w:rPr>
        <w:t> </w:t>
      </w:r>
      <w:r>
        <w:rPr>
          <w:sz w:val="24"/>
        </w:rPr>
        <w:t>and</w:t>
      </w:r>
      <w:r>
        <w:rPr>
          <w:spacing w:val="-4"/>
          <w:sz w:val="24"/>
        </w:rPr>
        <w:t> </w:t>
      </w:r>
      <w:r>
        <w:rPr>
          <w:sz w:val="24"/>
        </w:rPr>
        <w:t>Public</w:t>
      </w:r>
      <w:r>
        <w:rPr>
          <w:spacing w:val="-5"/>
          <w:sz w:val="24"/>
        </w:rPr>
        <w:t> </w:t>
      </w:r>
      <w:r>
        <w:rPr>
          <w:sz w:val="24"/>
        </w:rPr>
        <w:t>Administrators</w:t>
      </w:r>
      <w:r>
        <w:rPr>
          <w:spacing w:val="-4"/>
          <w:sz w:val="24"/>
        </w:rPr>
        <w:t> </w:t>
      </w:r>
      <w:r>
        <w:rPr>
          <w:sz w:val="24"/>
        </w:rPr>
        <w:t>each.</w:t>
      </w:r>
      <w:r>
        <w:rPr>
          <w:spacing w:val="-2"/>
          <w:sz w:val="24"/>
        </w:rPr>
        <w:t> </w:t>
      </w:r>
      <w:r>
        <w:rPr>
          <w:sz w:val="24"/>
        </w:rPr>
        <w:t>Builders</w:t>
      </w:r>
      <w:r>
        <w:rPr>
          <w:spacing w:val="-3"/>
          <w:sz w:val="24"/>
        </w:rPr>
        <w:t> </w:t>
      </w:r>
      <w:r>
        <w:rPr>
          <w:sz w:val="24"/>
        </w:rPr>
        <w:t>and</w:t>
      </w:r>
      <w:r>
        <w:rPr>
          <w:spacing w:val="-4"/>
          <w:sz w:val="24"/>
        </w:rPr>
        <w:t> </w:t>
      </w:r>
      <w:r>
        <w:rPr>
          <w:sz w:val="24"/>
        </w:rPr>
        <w:t>Estate</w:t>
      </w:r>
      <w:r>
        <w:rPr>
          <w:spacing w:val="-5"/>
          <w:sz w:val="24"/>
        </w:rPr>
        <w:t> </w:t>
      </w:r>
      <w:r>
        <w:rPr>
          <w:sz w:val="24"/>
        </w:rPr>
        <w:t>Surveyors are</w:t>
      </w:r>
      <w:r>
        <w:rPr>
          <w:spacing w:val="-6"/>
          <w:sz w:val="24"/>
        </w:rPr>
        <w:t> </w:t>
      </w:r>
      <w:r>
        <w:rPr>
          <w:sz w:val="24"/>
        </w:rPr>
        <w:t>15(10%) each, 11(7%) are Engineers, while 13(8%) are Architects. Others are Town Planners who</w:t>
      </w:r>
      <w:r>
        <w:rPr>
          <w:spacing w:val="40"/>
          <w:sz w:val="24"/>
        </w:rPr>
        <w:t> </w:t>
      </w:r>
      <w:r>
        <w:rPr>
          <w:sz w:val="24"/>
        </w:rPr>
        <w:t>are 8(5%) and finally, Land Surveyors who are 7(4%). This shows that respondents are</w:t>
      </w:r>
      <w:r>
        <w:rPr>
          <w:spacing w:val="40"/>
          <w:sz w:val="24"/>
        </w:rPr>
        <w:t> </w:t>
      </w:r>
      <w:r>
        <w:rPr>
          <w:sz w:val="24"/>
        </w:rPr>
        <w:t>made up of professionals and experts that can effectively contribute to housing budgeting in their various fields.</w:t>
      </w:r>
    </w:p>
    <w:p>
      <w:pPr>
        <w:pStyle w:val="ListParagraph"/>
        <w:numPr>
          <w:ilvl w:val="0"/>
          <w:numId w:val="82"/>
        </w:numPr>
        <w:tabs>
          <w:tab w:pos="688" w:val="left" w:leader="none"/>
          <w:tab w:pos="691" w:val="left" w:leader="none"/>
        </w:tabs>
        <w:spacing w:line="360" w:lineRule="auto" w:before="172" w:after="0"/>
        <w:ind w:left="691" w:right="836" w:hanging="452"/>
        <w:jc w:val="both"/>
        <w:rPr>
          <w:sz w:val="24"/>
        </w:rPr>
      </w:pPr>
      <w:r>
        <w:rPr>
          <w:b/>
          <w:sz w:val="24"/>
        </w:rPr>
        <w:t>Respondents’ Academic Qualifications: </w:t>
      </w:r>
      <w:r>
        <w:rPr>
          <w:sz w:val="24"/>
        </w:rPr>
        <w:t>In terms of their academic qualification, the</w:t>
      </w:r>
      <w:r>
        <w:rPr>
          <w:spacing w:val="80"/>
          <w:sz w:val="24"/>
        </w:rPr>
        <w:t> </w:t>
      </w:r>
      <w:r>
        <w:rPr>
          <w:sz w:val="24"/>
        </w:rPr>
        <w:t>Table</w:t>
      </w:r>
      <w:r>
        <w:rPr>
          <w:spacing w:val="-1"/>
          <w:sz w:val="24"/>
        </w:rPr>
        <w:t> </w:t>
      </w:r>
      <w:r>
        <w:rPr>
          <w:sz w:val="24"/>
        </w:rPr>
        <w:t>27</w:t>
      </w:r>
      <w:r>
        <w:rPr>
          <w:spacing w:val="-1"/>
          <w:sz w:val="24"/>
        </w:rPr>
        <w:t> </w:t>
      </w:r>
      <w:r>
        <w:rPr>
          <w:sz w:val="24"/>
        </w:rPr>
        <w:t>also</w:t>
      </w:r>
      <w:r>
        <w:rPr>
          <w:spacing w:val="-1"/>
          <w:sz w:val="24"/>
        </w:rPr>
        <w:t> </w:t>
      </w:r>
      <w:r>
        <w:rPr>
          <w:sz w:val="24"/>
        </w:rPr>
        <w:t>shows</w:t>
      </w:r>
      <w:r>
        <w:rPr>
          <w:spacing w:val="-1"/>
          <w:sz w:val="24"/>
        </w:rPr>
        <w:t> </w:t>
      </w:r>
      <w:r>
        <w:rPr>
          <w:sz w:val="24"/>
        </w:rPr>
        <w:t>that majority</w:t>
      </w:r>
      <w:r>
        <w:rPr>
          <w:spacing w:val="-5"/>
          <w:sz w:val="24"/>
        </w:rPr>
        <w:t> </w:t>
      </w:r>
      <w:r>
        <w:rPr>
          <w:sz w:val="24"/>
        </w:rPr>
        <w:t>of</w:t>
      </w:r>
      <w:r>
        <w:rPr>
          <w:spacing w:val="-2"/>
          <w:sz w:val="24"/>
        </w:rPr>
        <w:t> </w:t>
      </w:r>
      <w:r>
        <w:rPr>
          <w:sz w:val="24"/>
        </w:rPr>
        <w:t>the</w:t>
      </w:r>
      <w:r>
        <w:rPr>
          <w:spacing w:val="-1"/>
          <w:sz w:val="24"/>
        </w:rPr>
        <w:t> </w:t>
      </w:r>
      <w:r>
        <w:rPr>
          <w:sz w:val="24"/>
        </w:rPr>
        <w:t>respondents (64)</w:t>
      </w:r>
      <w:r>
        <w:rPr>
          <w:spacing w:val="-3"/>
          <w:sz w:val="24"/>
        </w:rPr>
        <w:t> </w:t>
      </w:r>
      <w:r>
        <w:rPr>
          <w:sz w:val="24"/>
        </w:rPr>
        <w:t>representing</w:t>
      </w:r>
      <w:r>
        <w:rPr>
          <w:spacing w:val="-4"/>
          <w:sz w:val="24"/>
        </w:rPr>
        <w:t> </w:t>
      </w:r>
      <w:r>
        <w:rPr>
          <w:sz w:val="24"/>
        </w:rPr>
        <w:t>41%</w:t>
      </w:r>
      <w:r>
        <w:rPr>
          <w:spacing w:val="-2"/>
          <w:sz w:val="24"/>
        </w:rPr>
        <w:t> </w:t>
      </w:r>
      <w:r>
        <w:rPr>
          <w:sz w:val="24"/>
        </w:rPr>
        <w:t>have</w:t>
      </w:r>
      <w:r>
        <w:rPr>
          <w:spacing w:val="-2"/>
          <w:sz w:val="24"/>
        </w:rPr>
        <w:t> </w:t>
      </w:r>
      <w:r>
        <w:rPr>
          <w:sz w:val="24"/>
        </w:rPr>
        <w:t>Bachelor‘s (first) degrees, followed by 42 (27%) who have M.Sc. and</w:t>
      </w:r>
      <w:r>
        <w:rPr>
          <w:spacing w:val="40"/>
          <w:sz w:val="24"/>
        </w:rPr>
        <w:t> </w:t>
      </w:r>
      <w:r>
        <w:rPr>
          <w:sz w:val="24"/>
        </w:rPr>
        <w:t>the remaining respondents representing</w:t>
      </w:r>
      <w:r>
        <w:rPr>
          <w:spacing w:val="-3"/>
          <w:sz w:val="24"/>
        </w:rPr>
        <w:t> </w:t>
      </w:r>
      <w:r>
        <w:rPr>
          <w:sz w:val="24"/>
        </w:rPr>
        <w:t>19%</w:t>
      </w:r>
      <w:r>
        <w:rPr>
          <w:spacing w:val="-2"/>
          <w:sz w:val="24"/>
        </w:rPr>
        <w:t> </w:t>
      </w:r>
      <w:r>
        <w:rPr>
          <w:sz w:val="24"/>
        </w:rPr>
        <w:t>have</w:t>
      </w:r>
      <w:r>
        <w:rPr>
          <w:spacing w:val="-1"/>
          <w:sz w:val="24"/>
        </w:rPr>
        <w:t> </w:t>
      </w:r>
      <w:r>
        <w:rPr>
          <w:sz w:val="24"/>
        </w:rPr>
        <w:t>Higher</w:t>
      </w:r>
      <w:r>
        <w:rPr>
          <w:spacing w:val="-2"/>
          <w:sz w:val="24"/>
        </w:rPr>
        <w:t> </w:t>
      </w:r>
      <w:r>
        <w:rPr>
          <w:sz w:val="24"/>
        </w:rPr>
        <w:t>National</w:t>
      </w:r>
      <w:r>
        <w:rPr>
          <w:spacing w:val="-2"/>
          <w:sz w:val="24"/>
        </w:rPr>
        <w:t> </w:t>
      </w:r>
      <w:r>
        <w:rPr>
          <w:sz w:val="24"/>
        </w:rPr>
        <w:t>Diplomas</w:t>
      </w:r>
      <w:r>
        <w:rPr>
          <w:spacing w:val="-1"/>
          <w:sz w:val="24"/>
        </w:rPr>
        <w:t> </w:t>
      </w:r>
      <w:r>
        <w:rPr>
          <w:sz w:val="24"/>
        </w:rPr>
        <w:t>and</w:t>
      </w:r>
      <w:r>
        <w:rPr>
          <w:spacing w:val="-3"/>
          <w:sz w:val="24"/>
        </w:rPr>
        <w:t> </w:t>
      </w:r>
      <w:r>
        <w:rPr>
          <w:sz w:val="24"/>
        </w:rPr>
        <w:t>other</w:t>
      </w:r>
      <w:r>
        <w:rPr>
          <w:spacing w:val="-3"/>
          <w:sz w:val="24"/>
        </w:rPr>
        <w:t> </w:t>
      </w:r>
      <w:r>
        <w:rPr>
          <w:sz w:val="24"/>
        </w:rPr>
        <w:t>qualifications</w:t>
      </w:r>
      <w:r>
        <w:rPr>
          <w:spacing w:val="-3"/>
          <w:sz w:val="24"/>
        </w:rPr>
        <w:t> </w:t>
      </w:r>
      <w:r>
        <w:rPr>
          <w:sz w:val="24"/>
        </w:rPr>
        <w:t>recognized</w:t>
      </w:r>
      <w:r>
        <w:rPr>
          <w:spacing w:val="-3"/>
          <w:sz w:val="24"/>
        </w:rPr>
        <w:t> </w:t>
      </w:r>
      <w:r>
        <w:rPr>
          <w:sz w:val="24"/>
        </w:rPr>
        <w:t>by</w:t>
      </w:r>
      <w:r>
        <w:rPr>
          <w:spacing w:val="-8"/>
          <w:sz w:val="24"/>
        </w:rPr>
        <w:t> </w:t>
      </w:r>
      <w:r>
        <w:rPr>
          <w:sz w:val="24"/>
        </w:rPr>
        <w:t>the public sector. However, none of the respondents have a PhD, which presently, is not a requirement</w:t>
      </w:r>
      <w:r>
        <w:rPr>
          <w:spacing w:val="-2"/>
          <w:sz w:val="24"/>
        </w:rPr>
        <w:t> </w:t>
      </w:r>
      <w:r>
        <w:rPr>
          <w:sz w:val="24"/>
        </w:rPr>
        <w:t>for</w:t>
      </w:r>
      <w:r>
        <w:rPr>
          <w:spacing w:val="-3"/>
          <w:sz w:val="24"/>
        </w:rPr>
        <w:t> </w:t>
      </w:r>
      <w:r>
        <w:rPr>
          <w:sz w:val="24"/>
        </w:rPr>
        <w:t>promotion</w:t>
      </w:r>
      <w:r>
        <w:rPr>
          <w:spacing w:val="-2"/>
          <w:sz w:val="24"/>
        </w:rPr>
        <w:t> </w:t>
      </w:r>
      <w:r>
        <w:rPr>
          <w:sz w:val="24"/>
        </w:rPr>
        <w:t>in</w:t>
      </w:r>
      <w:r>
        <w:rPr>
          <w:spacing w:val="-2"/>
          <w:sz w:val="24"/>
        </w:rPr>
        <w:t> </w:t>
      </w:r>
      <w:r>
        <w:rPr>
          <w:sz w:val="24"/>
        </w:rPr>
        <w:t>the</w:t>
      </w:r>
      <w:r>
        <w:rPr>
          <w:spacing w:val="-3"/>
          <w:sz w:val="24"/>
        </w:rPr>
        <w:t> </w:t>
      </w:r>
      <w:r>
        <w:rPr>
          <w:sz w:val="24"/>
        </w:rPr>
        <w:t>Anambra</w:t>
      </w:r>
      <w:r>
        <w:rPr>
          <w:spacing w:val="-4"/>
          <w:sz w:val="24"/>
        </w:rPr>
        <w:t> </w:t>
      </w:r>
      <w:r>
        <w:rPr>
          <w:sz w:val="24"/>
        </w:rPr>
        <w:t>State</w:t>
      </w:r>
      <w:r>
        <w:rPr>
          <w:spacing w:val="-1"/>
          <w:sz w:val="24"/>
        </w:rPr>
        <w:t> </w:t>
      </w:r>
      <w:r>
        <w:rPr>
          <w:sz w:val="24"/>
        </w:rPr>
        <w:t>Government. Generally, the</w:t>
      </w:r>
      <w:r>
        <w:rPr>
          <w:spacing w:val="-3"/>
          <w:sz w:val="24"/>
        </w:rPr>
        <w:t> </w:t>
      </w:r>
      <w:r>
        <w:rPr>
          <w:sz w:val="24"/>
        </w:rPr>
        <w:t>above</w:t>
      </w:r>
      <w:r>
        <w:rPr>
          <w:spacing w:val="-2"/>
          <w:sz w:val="24"/>
        </w:rPr>
        <w:t> </w:t>
      </w:r>
      <w:r>
        <w:rPr>
          <w:sz w:val="24"/>
        </w:rPr>
        <w:t>scenario reflects the level of education, albeit the reasoning ability of the respondents, which is considered impressive, above average and will be pertinent for the housing budget issue under study.</w:t>
      </w:r>
    </w:p>
    <w:p>
      <w:pPr>
        <w:pStyle w:val="Heading4"/>
        <w:spacing w:before="158"/>
      </w:pPr>
      <w:r>
        <w:rPr/>
        <w:t>Table</w:t>
      </w:r>
      <w:r>
        <w:rPr>
          <w:spacing w:val="-3"/>
        </w:rPr>
        <w:t> </w:t>
      </w:r>
      <w:r>
        <w:rPr/>
        <w:t>5.4.</w:t>
      </w:r>
      <w:r>
        <w:rPr>
          <w:spacing w:val="-2"/>
        </w:rPr>
        <w:t> </w:t>
      </w:r>
      <w:r>
        <w:rPr/>
        <w:t>Type</w:t>
      </w:r>
      <w:r>
        <w:rPr>
          <w:spacing w:val="-1"/>
        </w:rPr>
        <w:t> </w:t>
      </w:r>
      <w:r>
        <w:rPr/>
        <w:t>of</w:t>
      </w:r>
      <w:r>
        <w:rPr>
          <w:spacing w:val="-2"/>
        </w:rPr>
        <w:t> </w:t>
      </w:r>
      <w:r>
        <w:rPr/>
        <w:t>Housing</w:t>
      </w:r>
      <w:r>
        <w:rPr>
          <w:spacing w:val="-1"/>
        </w:rPr>
        <w:t> </w:t>
      </w:r>
      <w:r>
        <w:rPr/>
        <w:t>projects</w:t>
      </w:r>
      <w:r>
        <w:rPr>
          <w:spacing w:val="-1"/>
        </w:rPr>
        <w:t> </w:t>
      </w:r>
      <w:r>
        <w:rPr/>
        <w:t>executed</w:t>
      </w:r>
      <w:r>
        <w:rPr>
          <w:spacing w:val="-1"/>
        </w:rPr>
        <w:t> </w:t>
      </w:r>
      <w:r>
        <w:rPr/>
        <w:t>by</w:t>
      </w:r>
      <w:r>
        <w:rPr>
          <w:spacing w:val="-2"/>
        </w:rPr>
        <w:t> </w:t>
      </w:r>
      <w:r>
        <w:rPr/>
        <w:t>the</w:t>
      </w:r>
      <w:r>
        <w:rPr>
          <w:spacing w:val="-1"/>
        </w:rPr>
        <w:t> </w:t>
      </w:r>
      <w:r>
        <w:rPr>
          <w:spacing w:val="-2"/>
        </w:rPr>
        <w:t>Government</w:t>
      </w:r>
    </w:p>
    <w:p>
      <w:pPr>
        <w:pStyle w:val="BodyText"/>
        <w:spacing w:before="1" w:after="1"/>
        <w:rPr>
          <w:b/>
          <w:sz w:val="11"/>
        </w:rPr>
      </w:pPr>
    </w:p>
    <w:tbl>
      <w:tblPr>
        <w:tblW w:w="0" w:type="auto"/>
        <w:jc w:val="left"/>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63"/>
        <w:gridCol w:w="3361"/>
        <w:gridCol w:w="2038"/>
        <w:gridCol w:w="1616"/>
      </w:tblGrid>
      <w:tr>
        <w:trPr>
          <w:trHeight w:val="316" w:hRule="atLeast"/>
        </w:trPr>
        <w:tc>
          <w:tcPr>
            <w:tcW w:w="2163" w:type="dxa"/>
            <w:tcBorders>
              <w:top w:val="single" w:sz="8" w:space="0" w:color="4F81BC"/>
              <w:bottom w:val="single" w:sz="8" w:space="0" w:color="4F81BC"/>
            </w:tcBorders>
          </w:tcPr>
          <w:p>
            <w:pPr>
              <w:pStyle w:val="TableParagraph"/>
              <w:spacing w:line="270" w:lineRule="exact"/>
              <w:ind w:left="116"/>
              <w:rPr>
                <w:sz w:val="24"/>
              </w:rPr>
            </w:pPr>
            <w:r>
              <w:rPr>
                <w:sz w:val="24"/>
              </w:rPr>
              <w:t>Questionnaire</w:t>
            </w:r>
            <w:r>
              <w:rPr>
                <w:spacing w:val="-4"/>
                <w:sz w:val="24"/>
              </w:rPr>
              <w:t> Item</w:t>
            </w:r>
          </w:p>
        </w:tc>
        <w:tc>
          <w:tcPr>
            <w:tcW w:w="3361" w:type="dxa"/>
            <w:tcBorders>
              <w:top w:val="single" w:sz="8" w:space="0" w:color="4F81BC"/>
              <w:bottom w:val="single" w:sz="8" w:space="0" w:color="4F81BC"/>
            </w:tcBorders>
          </w:tcPr>
          <w:p>
            <w:pPr>
              <w:pStyle w:val="TableParagraph"/>
              <w:spacing w:line="270" w:lineRule="exact"/>
              <w:ind w:left="221"/>
              <w:rPr>
                <w:sz w:val="24"/>
              </w:rPr>
            </w:pPr>
            <w:r>
              <w:rPr>
                <w:spacing w:val="-2"/>
                <w:sz w:val="24"/>
              </w:rPr>
              <w:t>Variables</w:t>
            </w:r>
          </w:p>
        </w:tc>
        <w:tc>
          <w:tcPr>
            <w:tcW w:w="2038" w:type="dxa"/>
            <w:tcBorders>
              <w:top w:val="single" w:sz="8" w:space="0" w:color="4F81BC"/>
              <w:bottom w:val="single" w:sz="8" w:space="0" w:color="4F81BC"/>
            </w:tcBorders>
          </w:tcPr>
          <w:p>
            <w:pPr>
              <w:pStyle w:val="TableParagraph"/>
              <w:spacing w:line="270" w:lineRule="exact"/>
              <w:ind w:left="281"/>
              <w:rPr>
                <w:sz w:val="24"/>
              </w:rPr>
            </w:pPr>
            <w:r>
              <w:rPr>
                <w:sz w:val="24"/>
              </w:rPr>
              <w:t>No of</w:t>
            </w:r>
            <w:r>
              <w:rPr>
                <w:spacing w:val="-2"/>
                <w:sz w:val="24"/>
              </w:rPr>
              <w:t> Responses</w:t>
            </w:r>
          </w:p>
        </w:tc>
        <w:tc>
          <w:tcPr>
            <w:tcW w:w="1616" w:type="dxa"/>
            <w:tcBorders>
              <w:top w:val="single" w:sz="8" w:space="0" w:color="4F81BC"/>
              <w:bottom w:val="single" w:sz="8" w:space="0" w:color="4F81BC"/>
            </w:tcBorders>
          </w:tcPr>
          <w:p>
            <w:pPr>
              <w:pStyle w:val="TableParagraph"/>
              <w:spacing w:line="270" w:lineRule="exact"/>
              <w:ind w:left="131"/>
              <w:rPr>
                <w:sz w:val="24"/>
              </w:rPr>
            </w:pPr>
            <w:r>
              <w:rPr>
                <w:spacing w:val="-2"/>
                <w:sz w:val="24"/>
              </w:rPr>
              <w:t>Percentages</w:t>
            </w:r>
          </w:p>
        </w:tc>
      </w:tr>
      <w:tr>
        <w:trPr>
          <w:trHeight w:val="255" w:hRule="atLeast"/>
        </w:trPr>
        <w:tc>
          <w:tcPr>
            <w:tcW w:w="2163" w:type="dxa"/>
            <w:tcBorders>
              <w:top w:val="single" w:sz="8" w:space="0" w:color="4F81BC"/>
            </w:tcBorders>
            <w:shd w:val="clear" w:color="auto" w:fill="D2DFED"/>
          </w:tcPr>
          <w:p>
            <w:pPr>
              <w:pStyle w:val="TableParagraph"/>
              <w:spacing w:line="235" w:lineRule="exact"/>
              <w:ind w:left="116"/>
              <w:rPr>
                <w:b/>
                <w:sz w:val="22"/>
              </w:rPr>
            </w:pPr>
            <w:r>
              <w:rPr>
                <w:b/>
                <w:sz w:val="22"/>
              </w:rPr>
              <w:t>Housing</w:t>
            </w:r>
            <w:r>
              <w:rPr>
                <w:b/>
                <w:spacing w:val="-4"/>
                <w:sz w:val="22"/>
              </w:rPr>
              <w:t> </w:t>
            </w:r>
            <w:r>
              <w:rPr>
                <w:b/>
                <w:spacing w:val="-2"/>
                <w:sz w:val="22"/>
              </w:rPr>
              <w:t>Types</w:t>
            </w:r>
          </w:p>
        </w:tc>
        <w:tc>
          <w:tcPr>
            <w:tcW w:w="3361" w:type="dxa"/>
            <w:tcBorders>
              <w:top w:val="single" w:sz="8" w:space="0" w:color="4F81BC"/>
            </w:tcBorders>
            <w:shd w:val="clear" w:color="auto" w:fill="D2DFED"/>
          </w:tcPr>
          <w:p>
            <w:pPr>
              <w:pStyle w:val="TableParagraph"/>
              <w:spacing w:line="235" w:lineRule="exact"/>
              <w:ind w:left="204"/>
              <w:rPr>
                <w:sz w:val="22"/>
              </w:rPr>
            </w:pPr>
            <w:r>
              <w:rPr>
                <w:sz w:val="22"/>
              </w:rPr>
              <w:t>(a)</w:t>
            </w:r>
            <w:r>
              <w:rPr>
                <w:spacing w:val="59"/>
                <w:sz w:val="22"/>
              </w:rPr>
              <w:t> </w:t>
            </w:r>
            <w:r>
              <w:rPr>
                <w:spacing w:val="-2"/>
                <w:sz w:val="22"/>
              </w:rPr>
              <w:t>Residential</w:t>
            </w:r>
          </w:p>
        </w:tc>
        <w:tc>
          <w:tcPr>
            <w:tcW w:w="2038" w:type="dxa"/>
            <w:tcBorders>
              <w:top w:val="single" w:sz="8" w:space="0" w:color="4F81BC"/>
            </w:tcBorders>
            <w:shd w:val="clear" w:color="auto" w:fill="D2DFED"/>
          </w:tcPr>
          <w:p>
            <w:pPr>
              <w:pStyle w:val="TableParagraph"/>
              <w:spacing w:line="235" w:lineRule="exact"/>
              <w:ind w:left="281"/>
              <w:rPr>
                <w:sz w:val="22"/>
              </w:rPr>
            </w:pPr>
            <w:r>
              <w:rPr>
                <w:spacing w:val="-5"/>
                <w:sz w:val="22"/>
              </w:rPr>
              <w:t>34</w:t>
            </w:r>
          </w:p>
        </w:tc>
        <w:tc>
          <w:tcPr>
            <w:tcW w:w="1616" w:type="dxa"/>
            <w:tcBorders>
              <w:top w:val="single" w:sz="8" w:space="0" w:color="4F81BC"/>
            </w:tcBorders>
            <w:shd w:val="clear" w:color="auto" w:fill="D2DFED"/>
          </w:tcPr>
          <w:p>
            <w:pPr>
              <w:pStyle w:val="TableParagraph"/>
              <w:spacing w:line="235" w:lineRule="exact"/>
              <w:ind w:left="131"/>
              <w:rPr>
                <w:sz w:val="22"/>
              </w:rPr>
            </w:pPr>
            <w:r>
              <w:rPr>
                <w:spacing w:val="-2"/>
                <w:sz w:val="22"/>
              </w:rPr>
              <w:t>22.00</w:t>
            </w:r>
          </w:p>
        </w:tc>
      </w:tr>
      <w:tr>
        <w:trPr>
          <w:trHeight w:val="251" w:hRule="atLeast"/>
        </w:trPr>
        <w:tc>
          <w:tcPr>
            <w:tcW w:w="2163" w:type="dxa"/>
            <w:shd w:val="clear" w:color="auto" w:fill="D2DFED"/>
          </w:tcPr>
          <w:p>
            <w:pPr>
              <w:pStyle w:val="TableParagraph"/>
              <w:rPr>
                <w:sz w:val="18"/>
              </w:rPr>
            </w:pPr>
          </w:p>
        </w:tc>
        <w:tc>
          <w:tcPr>
            <w:tcW w:w="3361" w:type="dxa"/>
            <w:shd w:val="clear" w:color="auto" w:fill="D2DFED"/>
          </w:tcPr>
          <w:p>
            <w:pPr>
              <w:pStyle w:val="TableParagraph"/>
              <w:spacing w:line="231" w:lineRule="exact"/>
              <w:ind w:left="204"/>
              <w:rPr>
                <w:sz w:val="22"/>
              </w:rPr>
            </w:pPr>
            <w:r>
              <w:rPr>
                <w:sz w:val="22"/>
              </w:rPr>
              <w:t>(b)</w:t>
            </w:r>
            <w:r>
              <w:rPr>
                <w:spacing w:val="47"/>
                <w:sz w:val="22"/>
              </w:rPr>
              <w:t> </w:t>
            </w:r>
            <w:r>
              <w:rPr>
                <w:spacing w:val="-2"/>
                <w:sz w:val="22"/>
              </w:rPr>
              <w:t>Education/Classrooms</w:t>
            </w:r>
          </w:p>
        </w:tc>
        <w:tc>
          <w:tcPr>
            <w:tcW w:w="2038" w:type="dxa"/>
            <w:shd w:val="clear" w:color="auto" w:fill="D2DFED"/>
          </w:tcPr>
          <w:p>
            <w:pPr>
              <w:pStyle w:val="TableParagraph"/>
              <w:spacing w:line="231" w:lineRule="exact"/>
              <w:ind w:left="281"/>
              <w:rPr>
                <w:sz w:val="22"/>
              </w:rPr>
            </w:pPr>
            <w:r>
              <w:rPr>
                <w:spacing w:val="-5"/>
                <w:sz w:val="22"/>
              </w:rPr>
              <w:t>23</w:t>
            </w:r>
          </w:p>
        </w:tc>
        <w:tc>
          <w:tcPr>
            <w:tcW w:w="1616" w:type="dxa"/>
            <w:shd w:val="clear" w:color="auto" w:fill="D2DFED"/>
          </w:tcPr>
          <w:p>
            <w:pPr>
              <w:pStyle w:val="TableParagraph"/>
              <w:spacing w:line="231" w:lineRule="exact"/>
              <w:ind w:left="131"/>
              <w:rPr>
                <w:sz w:val="22"/>
              </w:rPr>
            </w:pPr>
            <w:r>
              <w:rPr>
                <w:spacing w:val="-2"/>
                <w:sz w:val="22"/>
              </w:rPr>
              <w:t>15.00</w:t>
            </w:r>
          </w:p>
        </w:tc>
      </w:tr>
      <w:tr>
        <w:trPr>
          <w:trHeight w:val="253" w:hRule="atLeast"/>
        </w:trPr>
        <w:tc>
          <w:tcPr>
            <w:tcW w:w="2163" w:type="dxa"/>
            <w:shd w:val="clear" w:color="auto" w:fill="D2DFED"/>
          </w:tcPr>
          <w:p>
            <w:pPr>
              <w:pStyle w:val="TableParagraph"/>
              <w:rPr>
                <w:sz w:val="18"/>
              </w:rPr>
            </w:pPr>
          </w:p>
        </w:tc>
        <w:tc>
          <w:tcPr>
            <w:tcW w:w="3361" w:type="dxa"/>
            <w:shd w:val="clear" w:color="auto" w:fill="D2DFED"/>
          </w:tcPr>
          <w:p>
            <w:pPr>
              <w:pStyle w:val="TableParagraph"/>
              <w:spacing w:line="233" w:lineRule="exact"/>
              <w:ind w:left="204"/>
              <w:rPr>
                <w:sz w:val="22"/>
              </w:rPr>
            </w:pPr>
            <w:r>
              <w:rPr>
                <w:sz w:val="22"/>
              </w:rPr>
              <w:t>(c)</w:t>
            </w:r>
            <w:r>
              <w:rPr>
                <w:spacing w:val="59"/>
                <w:sz w:val="22"/>
              </w:rPr>
              <w:t> </w:t>
            </w:r>
            <w:r>
              <w:rPr>
                <w:spacing w:val="-2"/>
                <w:sz w:val="22"/>
              </w:rPr>
              <w:t>Offices</w:t>
            </w:r>
          </w:p>
        </w:tc>
        <w:tc>
          <w:tcPr>
            <w:tcW w:w="2038" w:type="dxa"/>
            <w:shd w:val="clear" w:color="auto" w:fill="D2DFED"/>
          </w:tcPr>
          <w:p>
            <w:pPr>
              <w:pStyle w:val="TableParagraph"/>
              <w:spacing w:line="233" w:lineRule="exact"/>
              <w:ind w:left="281"/>
              <w:rPr>
                <w:sz w:val="22"/>
              </w:rPr>
            </w:pPr>
            <w:r>
              <w:rPr>
                <w:spacing w:val="-5"/>
                <w:sz w:val="22"/>
              </w:rPr>
              <w:t>66</w:t>
            </w:r>
          </w:p>
        </w:tc>
        <w:tc>
          <w:tcPr>
            <w:tcW w:w="1616" w:type="dxa"/>
            <w:shd w:val="clear" w:color="auto" w:fill="D2DFED"/>
          </w:tcPr>
          <w:p>
            <w:pPr>
              <w:pStyle w:val="TableParagraph"/>
              <w:spacing w:line="233" w:lineRule="exact"/>
              <w:ind w:left="131"/>
              <w:rPr>
                <w:sz w:val="22"/>
              </w:rPr>
            </w:pPr>
            <w:r>
              <w:rPr>
                <w:spacing w:val="-2"/>
                <w:sz w:val="22"/>
              </w:rPr>
              <w:t>42.00</w:t>
            </w:r>
          </w:p>
        </w:tc>
      </w:tr>
      <w:tr>
        <w:trPr>
          <w:trHeight w:val="251" w:hRule="atLeast"/>
        </w:trPr>
        <w:tc>
          <w:tcPr>
            <w:tcW w:w="2163" w:type="dxa"/>
            <w:shd w:val="clear" w:color="auto" w:fill="D2DFED"/>
          </w:tcPr>
          <w:p>
            <w:pPr>
              <w:pStyle w:val="TableParagraph"/>
              <w:rPr>
                <w:sz w:val="18"/>
              </w:rPr>
            </w:pPr>
          </w:p>
        </w:tc>
        <w:tc>
          <w:tcPr>
            <w:tcW w:w="3361" w:type="dxa"/>
            <w:shd w:val="clear" w:color="auto" w:fill="D2DFED"/>
          </w:tcPr>
          <w:p>
            <w:pPr>
              <w:pStyle w:val="TableParagraph"/>
              <w:spacing w:line="232" w:lineRule="exact"/>
              <w:ind w:left="204"/>
              <w:rPr>
                <w:sz w:val="22"/>
              </w:rPr>
            </w:pPr>
            <w:r>
              <w:rPr>
                <w:sz w:val="22"/>
              </w:rPr>
              <w:t>(d)</w:t>
            </w:r>
            <w:r>
              <w:rPr>
                <w:spacing w:val="47"/>
                <w:sz w:val="22"/>
              </w:rPr>
              <w:t> </w:t>
            </w:r>
            <w:r>
              <w:rPr>
                <w:sz w:val="22"/>
              </w:rPr>
              <w:t>Mass</w:t>
            </w:r>
            <w:r>
              <w:rPr>
                <w:spacing w:val="-2"/>
                <w:sz w:val="22"/>
              </w:rPr>
              <w:t> Housing</w:t>
            </w:r>
          </w:p>
        </w:tc>
        <w:tc>
          <w:tcPr>
            <w:tcW w:w="2038" w:type="dxa"/>
            <w:shd w:val="clear" w:color="auto" w:fill="D2DFED"/>
          </w:tcPr>
          <w:p>
            <w:pPr>
              <w:pStyle w:val="TableParagraph"/>
              <w:spacing w:line="232" w:lineRule="exact"/>
              <w:ind w:left="391"/>
              <w:rPr>
                <w:sz w:val="22"/>
              </w:rPr>
            </w:pPr>
            <w:r>
              <w:rPr>
                <w:spacing w:val="-10"/>
                <w:sz w:val="22"/>
              </w:rPr>
              <w:t>0</w:t>
            </w:r>
          </w:p>
        </w:tc>
        <w:tc>
          <w:tcPr>
            <w:tcW w:w="1616" w:type="dxa"/>
            <w:shd w:val="clear" w:color="auto" w:fill="D2DFED"/>
          </w:tcPr>
          <w:p>
            <w:pPr>
              <w:pStyle w:val="TableParagraph"/>
              <w:spacing w:line="232" w:lineRule="exact"/>
              <w:ind w:left="242"/>
              <w:rPr>
                <w:sz w:val="22"/>
              </w:rPr>
            </w:pPr>
            <w:r>
              <w:rPr>
                <w:spacing w:val="-4"/>
                <w:sz w:val="22"/>
              </w:rPr>
              <w:t>0.00</w:t>
            </w:r>
          </w:p>
        </w:tc>
      </w:tr>
      <w:tr>
        <w:trPr>
          <w:trHeight w:val="253" w:hRule="atLeast"/>
        </w:trPr>
        <w:tc>
          <w:tcPr>
            <w:tcW w:w="2163" w:type="dxa"/>
            <w:shd w:val="clear" w:color="auto" w:fill="D2DFED"/>
          </w:tcPr>
          <w:p>
            <w:pPr>
              <w:pStyle w:val="TableParagraph"/>
              <w:rPr>
                <w:sz w:val="18"/>
              </w:rPr>
            </w:pPr>
          </w:p>
        </w:tc>
        <w:tc>
          <w:tcPr>
            <w:tcW w:w="3361" w:type="dxa"/>
            <w:shd w:val="clear" w:color="auto" w:fill="D2DFED"/>
          </w:tcPr>
          <w:p>
            <w:pPr>
              <w:pStyle w:val="TableParagraph"/>
              <w:spacing w:line="233" w:lineRule="exact"/>
              <w:ind w:left="204"/>
              <w:rPr>
                <w:sz w:val="22"/>
              </w:rPr>
            </w:pPr>
            <w:r>
              <w:rPr>
                <w:sz w:val="22"/>
              </w:rPr>
              <w:t>(e)</w:t>
            </w:r>
            <w:r>
              <w:rPr>
                <w:spacing w:val="59"/>
                <w:sz w:val="22"/>
              </w:rPr>
              <w:t> </w:t>
            </w:r>
            <w:r>
              <w:rPr>
                <w:spacing w:val="-2"/>
                <w:sz w:val="22"/>
              </w:rPr>
              <w:t>Workshops/Warehouses</w:t>
            </w:r>
          </w:p>
        </w:tc>
        <w:tc>
          <w:tcPr>
            <w:tcW w:w="2038" w:type="dxa"/>
            <w:shd w:val="clear" w:color="auto" w:fill="D2DFED"/>
          </w:tcPr>
          <w:p>
            <w:pPr>
              <w:pStyle w:val="TableParagraph"/>
              <w:spacing w:line="233" w:lineRule="exact"/>
              <w:ind w:left="391"/>
              <w:rPr>
                <w:sz w:val="22"/>
              </w:rPr>
            </w:pPr>
            <w:r>
              <w:rPr>
                <w:spacing w:val="-10"/>
                <w:sz w:val="22"/>
              </w:rPr>
              <w:t>2</w:t>
            </w:r>
          </w:p>
        </w:tc>
        <w:tc>
          <w:tcPr>
            <w:tcW w:w="1616" w:type="dxa"/>
            <w:shd w:val="clear" w:color="auto" w:fill="D2DFED"/>
          </w:tcPr>
          <w:p>
            <w:pPr>
              <w:pStyle w:val="TableParagraph"/>
              <w:spacing w:line="233" w:lineRule="exact"/>
              <w:ind w:left="242"/>
              <w:rPr>
                <w:sz w:val="22"/>
              </w:rPr>
            </w:pPr>
            <w:r>
              <w:rPr>
                <w:spacing w:val="-4"/>
                <w:sz w:val="22"/>
              </w:rPr>
              <w:t>1.00</w:t>
            </w:r>
          </w:p>
        </w:tc>
      </w:tr>
      <w:tr>
        <w:trPr>
          <w:trHeight w:val="253" w:hRule="atLeast"/>
        </w:trPr>
        <w:tc>
          <w:tcPr>
            <w:tcW w:w="2163" w:type="dxa"/>
            <w:shd w:val="clear" w:color="auto" w:fill="D2DFED"/>
          </w:tcPr>
          <w:p>
            <w:pPr>
              <w:pStyle w:val="TableParagraph"/>
              <w:rPr>
                <w:sz w:val="18"/>
              </w:rPr>
            </w:pPr>
          </w:p>
        </w:tc>
        <w:tc>
          <w:tcPr>
            <w:tcW w:w="3361" w:type="dxa"/>
            <w:shd w:val="clear" w:color="auto" w:fill="D2DFED"/>
          </w:tcPr>
          <w:p>
            <w:pPr>
              <w:pStyle w:val="TableParagraph"/>
              <w:spacing w:line="233" w:lineRule="exact"/>
              <w:ind w:left="204"/>
              <w:rPr>
                <w:sz w:val="22"/>
              </w:rPr>
            </w:pPr>
            <w:r>
              <w:rPr>
                <w:sz w:val="22"/>
              </w:rPr>
              <w:t>(f)</w:t>
            </w:r>
            <w:r>
              <w:rPr>
                <w:spacing w:val="76"/>
                <w:sz w:val="22"/>
              </w:rPr>
              <w:t> </w:t>
            </w:r>
            <w:r>
              <w:rPr>
                <w:sz w:val="22"/>
              </w:rPr>
              <w:t>Commercial(markets,</w:t>
            </w:r>
            <w:r>
              <w:rPr>
                <w:spacing w:val="-2"/>
                <w:sz w:val="22"/>
              </w:rPr>
              <w:t> malls)</w:t>
            </w:r>
          </w:p>
        </w:tc>
        <w:tc>
          <w:tcPr>
            <w:tcW w:w="2038" w:type="dxa"/>
            <w:shd w:val="clear" w:color="auto" w:fill="D2DFED"/>
          </w:tcPr>
          <w:p>
            <w:pPr>
              <w:pStyle w:val="TableParagraph"/>
              <w:spacing w:line="233" w:lineRule="exact"/>
              <w:ind w:left="391"/>
              <w:rPr>
                <w:sz w:val="22"/>
              </w:rPr>
            </w:pPr>
            <w:r>
              <w:rPr>
                <w:spacing w:val="-10"/>
                <w:sz w:val="22"/>
              </w:rPr>
              <w:t>6</w:t>
            </w:r>
          </w:p>
        </w:tc>
        <w:tc>
          <w:tcPr>
            <w:tcW w:w="1616" w:type="dxa"/>
            <w:shd w:val="clear" w:color="auto" w:fill="D2DFED"/>
          </w:tcPr>
          <w:p>
            <w:pPr>
              <w:pStyle w:val="TableParagraph"/>
              <w:spacing w:line="233" w:lineRule="exact"/>
              <w:ind w:left="242"/>
              <w:rPr>
                <w:sz w:val="22"/>
              </w:rPr>
            </w:pPr>
            <w:r>
              <w:rPr>
                <w:spacing w:val="-4"/>
                <w:sz w:val="22"/>
              </w:rPr>
              <w:t>4.00</w:t>
            </w:r>
          </w:p>
        </w:tc>
      </w:tr>
      <w:tr>
        <w:trPr>
          <w:trHeight w:val="253" w:hRule="atLeast"/>
        </w:trPr>
        <w:tc>
          <w:tcPr>
            <w:tcW w:w="2163" w:type="dxa"/>
            <w:shd w:val="clear" w:color="auto" w:fill="D2DFED"/>
          </w:tcPr>
          <w:p>
            <w:pPr>
              <w:pStyle w:val="TableParagraph"/>
              <w:rPr>
                <w:sz w:val="18"/>
              </w:rPr>
            </w:pPr>
          </w:p>
        </w:tc>
        <w:tc>
          <w:tcPr>
            <w:tcW w:w="3361" w:type="dxa"/>
            <w:shd w:val="clear" w:color="auto" w:fill="D2DFED"/>
          </w:tcPr>
          <w:p>
            <w:pPr>
              <w:pStyle w:val="TableParagraph"/>
              <w:spacing w:line="233" w:lineRule="exact"/>
              <w:ind w:left="204"/>
              <w:rPr>
                <w:sz w:val="22"/>
              </w:rPr>
            </w:pPr>
            <w:r>
              <w:rPr>
                <w:sz w:val="22"/>
              </w:rPr>
              <w:t>(g)</w:t>
            </w:r>
            <w:r>
              <w:rPr>
                <w:spacing w:val="46"/>
                <w:sz w:val="22"/>
              </w:rPr>
              <w:t> </w:t>
            </w:r>
            <w:r>
              <w:rPr>
                <w:spacing w:val="-2"/>
                <w:sz w:val="22"/>
              </w:rPr>
              <w:t>Recreation</w:t>
            </w:r>
          </w:p>
        </w:tc>
        <w:tc>
          <w:tcPr>
            <w:tcW w:w="2038" w:type="dxa"/>
            <w:shd w:val="clear" w:color="auto" w:fill="D2DFED"/>
          </w:tcPr>
          <w:p>
            <w:pPr>
              <w:pStyle w:val="TableParagraph"/>
              <w:spacing w:line="233" w:lineRule="exact"/>
              <w:ind w:left="391"/>
              <w:rPr>
                <w:sz w:val="22"/>
              </w:rPr>
            </w:pPr>
            <w:r>
              <w:rPr>
                <w:spacing w:val="-10"/>
                <w:sz w:val="22"/>
              </w:rPr>
              <w:t>4</w:t>
            </w:r>
          </w:p>
        </w:tc>
        <w:tc>
          <w:tcPr>
            <w:tcW w:w="1616" w:type="dxa"/>
            <w:shd w:val="clear" w:color="auto" w:fill="D2DFED"/>
          </w:tcPr>
          <w:p>
            <w:pPr>
              <w:pStyle w:val="TableParagraph"/>
              <w:spacing w:line="233" w:lineRule="exact"/>
              <w:ind w:left="242"/>
              <w:rPr>
                <w:sz w:val="22"/>
              </w:rPr>
            </w:pPr>
            <w:r>
              <w:rPr>
                <w:spacing w:val="-4"/>
                <w:sz w:val="22"/>
              </w:rPr>
              <w:t>3.00</w:t>
            </w:r>
          </w:p>
        </w:tc>
      </w:tr>
      <w:tr>
        <w:trPr>
          <w:trHeight w:val="253" w:hRule="atLeast"/>
        </w:trPr>
        <w:tc>
          <w:tcPr>
            <w:tcW w:w="2163" w:type="dxa"/>
            <w:shd w:val="clear" w:color="auto" w:fill="D2DFED"/>
          </w:tcPr>
          <w:p>
            <w:pPr>
              <w:pStyle w:val="TableParagraph"/>
              <w:rPr>
                <w:sz w:val="18"/>
              </w:rPr>
            </w:pPr>
          </w:p>
        </w:tc>
        <w:tc>
          <w:tcPr>
            <w:tcW w:w="3361" w:type="dxa"/>
            <w:shd w:val="clear" w:color="auto" w:fill="D2DFED"/>
          </w:tcPr>
          <w:p>
            <w:pPr>
              <w:pStyle w:val="TableParagraph"/>
              <w:spacing w:line="233" w:lineRule="exact"/>
              <w:ind w:left="204"/>
              <w:rPr>
                <w:sz w:val="22"/>
              </w:rPr>
            </w:pPr>
            <w:r>
              <w:rPr>
                <w:sz w:val="22"/>
              </w:rPr>
              <w:t>(h)</w:t>
            </w:r>
            <w:r>
              <w:rPr>
                <w:spacing w:val="47"/>
                <w:sz w:val="22"/>
              </w:rPr>
              <w:t> </w:t>
            </w:r>
            <w:r>
              <w:rPr>
                <w:spacing w:val="-2"/>
                <w:sz w:val="22"/>
              </w:rPr>
              <w:t>Health</w:t>
            </w:r>
          </w:p>
        </w:tc>
        <w:tc>
          <w:tcPr>
            <w:tcW w:w="2038" w:type="dxa"/>
            <w:shd w:val="clear" w:color="auto" w:fill="D2DFED"/>
          </w:tcPr>
          <w:p>
            <w:pPr>
              <w:pStyle w:val="TableParagraph"/>
              <w:spacing w:line="233" w:lineRule="exact"/>
              <w:ind w:left="281"/>
              <w:rPr>
                <w:sz w:val="22"/>
              </w:rPr>
            </w:pPr>
            <w:r>
              <w:rPr>
                <w:spacing w:val="-5"/>
                <w:sz w:val="22"/>
              </w:rPr>
              <w:t>11</w:t>
            </w:r>
          </w:p>
        </w:tc>
        <w:tc>
          <w:tcPr>
            <w:tcW w:w="1616" w:type="dxa"/>
            <w:shd w:val="clear" w:color="auto" w:fill="D2DFED"/>
          </w:tcPr>
          <w:p>
            <w:pPr>
              <w:pStyle w:val="TableParagraph"/>
              <w:spacing w:line="233" w:lineRule="exact"/>
              <w:ind w:left="242"/>
              <w:rPr>
                <w:sz w:val="22"/>
              </w:rPr>
            </w:pPr>
            <w:r>
              <w:rPr>
                <w:spacing w:val="-4"/>
                <w:sz w:val="22"/>
              </w:rPr>
              <w:t>7.00</w:t>
            </w:r>
          </w:p>
        </w:tc>
      </w:tr>
      <w:tr>
        <w:trPr>
          <w:trHeight w:val="253" w:hRule="atLeast"/>
        </w:trPr>
        <w:tc>
          <w:tcPr>
            <w:tcW w:w="2163" w:type="dxa"/>
            <w:shd w:val="clear" w:color="auto" w:fill="D2DFED"/>
          </w:tcPr>
          <w:p>
            <w:pPr>
              <w:pStyle w:val="TableParagraph"/>
              <w:rPr>
                <w:sz w:val="18"/>
              </w:rPr>
            </w:pPr>
          </w:p>
        </w:tc>
        <w:tc>
          <w:tcPr>
            <w:tcW w:w="3361" w:type="dxa"/>
            <w:shd w:val="clear" w:color="auto" w:fill="D2DFED"/>
          </w:tcPr>
          <w:p>
            <w:pPr>
              <w:pStyle w:val="TableParagraph"/>
              <w:spacing w:line="233" w:lineRule="exact"/>
              <w:ind w:left="204"/>
              <w:rPr>
                <w:sz w:val="22"/>
              </w:rPr>
            </w:pPr>
            <w:r>
              <w:rPr>
                <w:sz w:val="22"/>
              </w:rPr>
              <w:t>(i)</w:t>
            </w:r>
            <w:r>
              <w:rPr>
                <w:spacing w:val="67"/>
                <w:w w:val="150"/>
                <w:sz w:val="22"/>
              </w:rPr>
              <w:t> </w:t>
            </w:r>
            <w:r>
              <w:rPr>
                <w:spacing w:val="-2"/>
                <w:sz w:val="22"/>
              </w:rPr>
              <w:t>Others</w:t>
            </w:r>
          </w:p>
        </w:tc>
        <w:tc>
          <w:tcPr>
            <w:tcW w:w="2038" w:type="dxa"/>
            <w:shd w:val="clear" w:color="auto" w:fill="D2DFED"/>
          </w:tcPr>
          <w:p>
            <w:pPr>
              <w:pStyle w:val="TableParagraph"/>
              <w:spacing w:line="233" w:lineRule="exact"/>
              <w:ind w:left="281"/>
              <w:rPr>
                <w:sz w:val="22"/>
              </w:rPr>
            </w:pPr>
            <w:r>
              <w:rPr>
                <w:spacing w:val="-5"/>
                <w:sz w:val="22"/>
              </w:rPr>
              <w:t>10</w:t>
            </w:r>
          </w:p>
        </w:tc>
        <w:tc>
          <w:tcPr>
            <w:tcW w:w="1616" w:type="dxa"/>
            <w:shd w:val="clear" w:color="auto" w:fill="D2DFED"/>
          </w:tcPr>
          <w:p>
            <w:pPr>
              <w:pStyle w:val="TableParagraph"/>
              <w:spacing w:line="233" w:lineRule="exact"/>
              <w:ind w:left="242"/>
              <w:rPr>
                <w:sz w:val="22"/>
              </w:rPr>
            </w:pPr>
            <w:r>
              <w:rPr>
                <w:spacing w:val="-4"/>
                <w:sz w:val="22"/>
              </w:rPr>
              <w:t>6.00</w:t>
            </w:r>
          </w:p>
        </w:tc>
      </w:tr>
      <w:tr>
        <w:trPr>
          <w:trHeight w:val="292" w:hRule="atLeast"/>
        </w:trPr>
        <w:tc>
          <w:tcPr>
            <w:tcW w:w="2163" w:type="dxa"/>
            <w:tcBorders>
              <w:bottom w:val="single" w:sz="8" w:space="0" w:color="4F81BC"/>
            </w:tcBorders>
          </w:tcPr>
          <w:p>
            <w:pPr>
              <w:pStyle w:val="TableParagraph"/>
              <w:spacing w:line="252" w:lineRule="exact"/>
              <w:ind w:left="116"/>
              <w:rPr>
                <w:b/>
                <w:sz w:val="22"/>
              </w:rPr>
            </w:pPr>
            <w:r>
              <w:rPr>
                <w:b/>
                <w:spacing w:val="-2"/>
                <w:sz w:val="22"/>
              </w:rPr>
              <w:t>Total</w:t>
            </w:r>
          </w:p>
        </w:tc>
        <w:tc>
          <w:tcPr>
            <w:tcW w:w="3361" w:type="dxa"/>
            <w:tcBorders>
              <w:bottom w:val="single" w:sz="8" w:space="0" w:color="4F81BC"/>
            </w:tcBorders>
          </w:tcPr>
          <w:p>
            <w:pPr>
              <w:pStyle w:val="TableParagraph"/>
              <w:rPr>
                <w:sz w:val="20"/>
              </w:rPr>
            </w:pPr>
          </w:p>
        </w:tc>
        <w:tc>
          <w:tcPr>
            <w:tcW w:w="2038" w:type="dxa"/>
            <w:tcBorders>
              <w:bottom w:val="single" w:sz="8" w:space="0" w:color="4F81BC"/>
            </w:tcBorders>
          </w:tcPr>
          <w:p>
            <w:pPr>
              <w:pStyle w:val="TableParagraph"/>
              <w:spacing w:line="247" w:lineRule="exact"/>
              <w:ind w:left="281"/>
              <w:rPr>
                <w:sz w:val="22"/>
              </w:rPr>
            </w:pPr>
            <w:r>
              <w:rPr>
                <w:spacing w:val="-5"/>
                <w:sz w:val="22"/>
              </w:rPr>
              <w:t>156</w:t>
            </w:r>
          </w:p>
        </w:tc>
        <w:tc>
          <w:tcPr>
            <w:tcW w:w="1616" w:type="dxa"/>
            <w:tcBorders>
              <w:bottom w:val="single" w:sz="8" w:space="0" w:color="4F81BC"/>
            </w:tcBorders>
          </w:tcPr>
          <w:p>
            <w:pPr>
              <w:pStyle w:val="TableParagraph"/>
              <w:spacing w:line="247" w:lineRule="exact"/>
              <w:ind w:left="131"/>
              <w:rPr>
                <w:sz w:val="22"/>
              </w:rPr>
            </w:pPr>
            <w:r>
              <w:rPr>
                <w:spacing w:val="-4"/>
                <w:sz w:val="22"/>
              </w:rPr>
              <w:t>100%</w:t>
            </w:r>
          </w:p>
        </w:tc>
      </w:tr>
    </w:tbl>
    <w:p>
      <w:pPr>
        <w:pStyle w:val="BodyText"/>
        <w:spacing w:before="20"/>
        <w:ind w:left="240"/>
        <w:jc w:val="both"/>
      </w:pPr>
      <w:r>
        <w:rPr>
          <w:b/>
        </w:rPr>
        <w:t>Source:</w:t>
      </w:r>
      <w:r>
        <w:rPr>
          <w:b/>
          <w:spacing w:val="-2"/>
        </w:rPr>
        <w:t> </w:t>
      </w:r>
      <w:r>
        <w:rPr/>
        <w:t>Researcher‘s field</w:t>
      </w:r>
      <w:r>
        <w:rPr>
          <w:spacing w:val="-1"/>
        </w:rPr>
        <w:t> </w:t>
      </w:r>
      <w:r>
        <w:rPr/>
        <w:t>survey</w:t>
      </w:r>
      <w:r>
        <w:rPr>
          <w:spacing w:val="-1"/>
        </w:rPr>
        <w:t> </w:t>
      </w:r>
      <w:r>
        <w:rPr>
          <w:spacing w:val="-2"/>
        </w:rPr>
        <w:t>(2017)</w:t>
      </w:r>
    </w:p>
    <w:p>
      <w:pPr>
        <w:spacing w:after="0"/>
        <w:jc w:val="both"/>
        <w:sectPr>
          <w:pgSz w:w="12240" w:h="15840"/>
          <w:pgMar w:header="0" w:footer="1036" w:top="1360" w:bottom="1220" w:left="1200" w:right="600"/>
        </w:sectPr>
      </w:pPr>
    </w:p>
    <w:p>
      <w:pPr>
        <w:pStyle w:val="ListParagraph"/>
        <w:numPr>
          <w:ilvl w:val="2"/>
          <w:numId w:val="81"/>
        </w:numPr>
        <w:tabs>
          <w:tab w:pos="780" w:val="left" w:leader="none"/>
        </w:tabs>
        <w:spacing w:line="360" w:lineRule="auto" w:before="79" w:after="0"/>
        <w:ind w:left="240" w:right="833" w:firstLine="0"/>
        <w:jc w:val="left"/>
        <w:rPr>
          <w:b/>
          <w:sz w:val="24"/>
        </w:rPr>
      </w:pPr>
      <w:r>
        <w:rPr>
          <w:b/>
          <w:sz w:val="24"/>
        </w:rPr>
        <w:t>Respondents’ Responses on types of Housing Projects Executed by the Government </w:t>
      </w:r>
      <w:r>
        <w:rPr>
          <w:sz w:val="24"/>
        </w:rPr>
        <w:t>From</w:t>
      </w:r>
      <w:r>
        <w:rPr>
          <w:spacing w:val="21"/>
          <w:sz w:val="24"/>
        </w:rPr>
        <w:t> </w:t>
      </w:r>
      <w:r>
        <w:rPr>
          <w:sz w:val="24"/>
        </w:rPr>
        <w:t>Table</w:t>
      </w:r>
      <w:r>
        <w:rPr>
          <w:spacing w:val="22"/>
          <w:sz w:val="24"/>
        </w:rPr>
        <w:t> </w:t>
      </w:r>
      <w:r>
        <w:rPr>
          <w:sz w:val="24"/>
        </w:rPr>
        <w:t>5.4,</w:t>
      </w:r>
      <w:r>
        <w:rPr>
          <w:spacing w:val="24"/>
          <w:sz w:val="24"/>
        </w:rPr>
        <w:t> </w:t>
      </w:r>
      <w:r>
        <w:rPr>
          <w:sz w:val="24"/>
        </w:rPr>
        <w:t>respondents</w:t>
      </w:r>
      <w:r>
        <w:rPr>
          <w:spacing w:val="22"/>
          <w:sz w:val="24"/>
        </w:rPr>
        <w:t> </w:t>
      </w:r>
      <w:r>
        <w:rPr>
          <w:sz w:val="24"/>
        </w:rPr>
        <w:t>were</w:t>
      </w:r>
      <w:r>
        <w:rPr>
          <w:spacing w:val="23"/>
          <w:sz w:val="24"/>
        </w:rPr>
        <w:t> </w:t>
      </w:r>
      <w:r>
        <w:rPr>
          <w:sz w:val="24"/>
        </w:rPr>
        <w:t>asked</w:t>
      </w:r>
      <w:r>
        <w:rPr>
          <w:spacing w:val="21"/>
          <w:sz w:val="24"/>
        </w:rPr>
        <w:t> </w:t>
      </w:r>
      <w:r>
        <w:rPr>
          <w:sz w:val="24"/>
        </w:rPr>
        <w:t>to</w:t>
      </w:r>
      <w:r>
        <w:rPr>
          <w:spacing w:val="22"/>
          <w:sz w:val="24"/>
        </w:rPr>
        <w:t> </w:t>
      </w:r>
      <w:r>
        <w:rPr>
          <w:sz w:val="24"/>
        </w:rPr>
        <w:t>indicate</w:t>
      </w:r>
      <w:r>
        <w:rPr>
          <w:spacing w:val="21"/>
          <w:sz w:val="24"/>
        </w:rPr>
        <w:t> </w:t>
      </w:r>
      <w:r>
        <w:rPr>
          <w:sz w:val="24"/>
        </w:rPr>
        <w:t>types</w:t>
      </w:r>
      <w:r>
        <w:rPr>
          <w:spacing w:val="22"/>
          <w:sz w:val="24"/>
        </w:rPr>
        <w:t> </w:t>
      </w:r>
      <w:r>
        <w:rPr>
          <w:sz w:val="24"/>
        </w:rPr>
        <w:t>of</w:t>
      </w:r>
      <w:r>
        <w:rPr>
          <w:spacing w:val="25"/>
          <w:sz w:val="24"/>
        </w:rPr>
        <w:t> </w:t>
      </w:r>
      <w:r>
        <w:rPr>
          <w:sz w:val="24"/>
        </w:rPr>
        <w:t>buildings</w:t>
      </w:r>
      <w:r>
        <w:rPr>
          <w:spacing w:val="24"/>
          <w:sz w:val="24"/>
        </w:rPr>
        <w:t> </w:t>
      </w:r>
      <w:r>
        <w:rPr>
          <w:sz w:val="24"/>
        </w:rPr>
        <w:t>mostly executed</w:t>
      </w:r>
      <w:r>
        <w:rPr>
          <w:spacing w:val="23"/>
          <w:sz w:val="24"/>
        </w:rPr>
        <w:t> </w:t>
      </w:r>
      <w:r>
        <w:rPr>
          <w:sz w:val="24"/>
        </w:rPr>
        <w:t>by the Anambra State government based on experience. Majority (66) of the respondents ticked offices representing</w:t>
      </w:r>
      <w:r>
        <w:rPr>
          <w:spacing w:val="40"/>
          <w:sz w:val="24"/>
        </w:rPr>
        <w:t> </w:t>
      </w:r>
      <w:r>
        <w:rPr>
          <w:sz w:val="24"/>
        </w:rPr>
        <w:t>42%,</w:t>
      </w:r>
      <w:r>
        <w:rPr>
          <w:spacing w:val="40"/>
          <w:sz w:val="24"/>
        </w:rPr>
        <w:t> </w:t>
      </w:r>
      <w:r>
        <w:rPr>
          <w:sz w:val="24"/>
        </w:rPr>
        <w:t>followed</w:t>
      </w:r>
      <w:r>
        <w:rPr>
          <w:spacing w:val="40"/>
          <w:sz w:val="24"/>
        </w:rPr>
        <w:t> </w:t>
      </w:r>
      <w:r>
        <w:rPr>
          <w:sz w:val="24"/>
        </w:rPr>
        <w:t>by</w:t>
      </w:r>
      <w:r>
        <w:rPr>
          <w:spacing w:val="40"/>
          <w:sz w:val="24"/>
        </w:rPr>
        <w:t> </w:t>
      </w:r>
      <w:r>
        <w:rPr>
          <w:sz w:val="24"/>
        </w:rPr>
        <w:t>residential</w:t>
      </w:r>
      <w:r>
        <w:rPr>
          <w:spacing w:val="40"/>
          <w:sz w:val="24"/>
        </w:rPr>
        <w:t> </w:t>
      </w:r>
      <w:r>
        <w:rPr>
          <w:sz w:val="24"/>
        </w:rPr>
        <w:t>[34(22%)],</w:t>
      </w:r>
      <w:r>
        <w:rPr>
          <w:spacing w:val="40"/>
          <w:sz w:val="24"/>
        </w:rPr>
        <w:t> </w:t>
      </w:r>
      <w:r>
        <w:rPr>
          <w:sz w:val="24"/>
        </w:rPr>
        <w:t>education/classroom</w:t>
      </w:r>
      <w:r>
        <w:rPr>
          <w:spacing w:val="40"/>
          <w:sz w:val="24"/>
        </w:rPr>
        <w:t> </w:t>
      </w:r>
      <w:r>
        <w:rPr>
          <w:sz w:val="24"/>
        </w:rPr>
        <w:t>blocks</w:t>
      </w:r>
      <w:r>
        <w:rPr>
          <w:spacing w:val="40"/>
          <w:sz w:val="24"/>
        </w:rPr>
        <w:t> </w:t>
      </w:r>
      <w:r>
        <w:rPr>
          <w:sz w:val="24"/>
        </w:rPr>
        <w:t>[23(15%)], health [11(7%)] and commercial [6(4%)], while 2(1%) ticked workshops and mass housing had no</w:t>
      </w:r>
      <w:r>
        <w:rPr>
          <w:spacing w:val="40"/>
          <w:sz w:val="24"/>
        </w:rPr>
        <w:t> </w:t>
      </w:r>
      <w:r>
        <w:rPr>
          <w:sz w:val="24"/>
        </w:rPr>
        <w:t>response,</w:t>
      </w:r>
      <w:r>
        <w:rPr>
          <w:spacing w:val="40"/>
          <w:sz w:val="24"/>
        </w:rPr>
        <w:t> </w:t>
      </w:r>
      <w:r>
        <w:rPr>
          <w:sz w:val="24"/>
        </w:rPr>
        <w:t>representing</w:t>
      </w:r>
      <w:r>
        <w:rPr>
          <w:spacing w:val="40"/>
          <w:sz w:val="24"/>
        </w:rPr>
        <w:t> </w:t>
      </w:r>
      <w:r>
        <w:rPr>
          <w:sz w:val="24"/>
        </w:rPr>
        <w:t>0%.</w:t>
      </w:r>
      <w:r>
        <w:rPr>
          <w:spacing w:val="40"/>
          <w:sz w:val="24"/>
        </w:rPr>
        <w:t> </w:t>
      </w:r>
      <w:r>
        <w:rPr>
          <w:sz w:val="24"/>
        </w:rPr>
        <w:t>However,</w:t>
      </w:r>
      <w:r>
        <w:rPr>
          <w:spacing w:val="40"/>
          <w:sz w:val="24"/>
        </w:rPr>
        <w:t> </w:t>
      </w:r>
      <w:r>
        <w:rPr>
          <w:sz w:val="24"/>
        </w:rPr>
        <w:t>10</w:t>
      </w:r>
      <w:r>
        <w:rPr>
          <w:spacing w:val="40"/>
          <w:sz w:val="24"/>
        </w:rPr>
        <w:t> </w:t>
      </w:r>
      <w:r>
        <w:rPr>
          <w:sz w:val="24"/>
        </w:rPr>
        <w:t>(6%)</w:t>
      </w:r>
      <w:r>
        <w:rPr>
          <w:spacing w:val="40"/>
          <w:sz w:val="24"/>
        </w:rPr>
        <w:t> </w:t>
      </w:r>
      <w:r>
        <w:rPr>
          <w:sz w:val="24"/>
        </w:rPr>
        <w:t>of</w:t>
      </w:r>
      <w:r>
        <w:rPr>
          <w:spacing w:val="40"/>
          <w:sz w:val="24"/>
        </w:rPr>
        <w:t> </w:t>
      </w:r>
      <w:r>
        <w:rPr>
          <w:sz w:val="24"/>
        </w:rPr>
        <w:t>the</w:t>
      </w:r>
      <w:r>
        <w:rPr>
          <w:spacing w:val="40"/>
          <w:sz w:val="24"/>
        </w:rPr>
        <w:t> </w:t>
      </w:r>
      <w:r>
        <w:rPr>
          <w:sz w:val="24"/>
        </w:rPr>
        <w:t>respondents</w:t>
      </w:r>
      <w:r>
        <w:rPr>
          <w:spacing w:val="40"/>
          <w:sz w:val="24"/>
        </w:rPr>
        <w:t> </w:t>
      </w:r>
      <w:r>
        <w:rPr>
          <w:sz w:val="24"/>
        </w:rPr>
        <w:t>ticked</w:t>
      </w:r>
      <w:r>
        <w:rPr>
          <w:spacing w:val="40"/>
          <w:sz w:val="24"/>
        </w:rPr>
        <w:t> </w:t>
      </w:r>
      <w:r>
        <w:rPr>
          <w:sz w:val="24"/>
        </w:rPr>
        <w:t>other</w:t>
      </w:r>
      <w:r>
        <w:rPr>
          <w:spacing w:val="40"/>
          <w:sz w:val="24"/>
        </w:rPr>
        <w:t> </w:t>
      </w:r>
      <w:r>
        <w:rPr>
          <w:sz w:val="24"/>
        </w:rPr>
        <w:t>types</w:t>
      </w:r>
      <w:r>
        <w:rPr>
          <w:spacing w:val="40"/>
          <w:sz w:val="24"/>
        </w:rPr>
        <w:t> </w:t>
      </w:r>
      <w:r>
        <w:rPr>
          <w:sz w:val="24"/>
        </w:rPr>
        <w:t>of</w:t>
      </w:r>
      <w:r>
        <w:rPr>
          <w:spacing w:val="40"/>
          <w:sz w:val="24"/>
        </w:rPr>
        <w:t> </w:t>
      </w:r>
      <w:r>
        <w:rPr>
          <w:sz w:val="24"/>
        </w:rPr>
        <w:t>housing. This reveals that office buildings for government establishments have always been the priority</w:t>
      </w:r>
      <w:r>
        <w:rPr>
          <w:spacing w:val="40"/>
          <w:sz w:val="24"/>
        </w:rPr>
        <w:t> </w:t>
      </w:r>
      <w:r>
        <w:rPr>
          <w:sz w:val="24"/>
        </w:rPr>
        <w:t>housing</w:t>
      </w:r>
      <w:r>
        <w:rPr>
          <w:spacing w:val="40"/>
          <w:sz w:val="24"/>
        </w:rPr>
        <w:t> </w:t>
      </w:r>
      <w:r>
        <w:rPr>
          <w:sz w:val="24"/>
        </w:rPr>
        <w:t>projects</w:t>
      </w:r>
      <w:r>
        <w:rPr>
          <w:spacing w:val="40"/>
          <w:sz w:val="24"/>
        </w:rPr>
        <w:t> </w:t>
      </w:r>
      <w:r>
        <w:rPr>
          <w:sz w:val="24"/>
        </w:rPr>
        <w:t>in</w:t>
      </w:r>
      <w:r>
        <w:rPr>
          <w:spacing w:val="40"/>
          <w:sz w:val="24"/>
        </w:rPr>
        <w:t> </w:t>
      </w:r>
      <w:r>
        <w:rPr>
          <w:sz w:val="24"/>
        </w:rPr>
        <w:t>Anambra</w:t>
      </w:r>
      <w:r>
        <w:rPr>
          <w:spacing w:val="40"/>
          <w:sz w:val="24"/>
        </w:rPr>
        <w:t> </w:t>
      </w:r>
      <w:r>
        <w:rPr>
          <w:sz w:val="24"/>
        </w:rPr>
        <w:t>State,</w:t>
      </w:r>
      <w:r>
        <w:rPr>
          <w:spacing w:val="40"/>
          <w:sz w:val="24"/>
        </w:rPr>
        <w:t> </w:t>
      </w:r>
      <w:r>
        <w:rPr>
          <w:sz w:val="24"/>
        </w:rPr>
        <w:t>while</w:t>
      </w:r>
      <w:r>
        <w:rPr>
          <w:spacing w:val="40"/>
          <w:sz w:val="24"/>
        </w:rPr>
        <w:t> </w:t>
      </w:r>
      <w:r>
        <w:rPr>
          <w:sz w:val="24"/>
        </w:rPr>
        <w:t>mass</w:t>
      </w:r>
      <w:r>
        <w:rPr>
          <w:spacing w:val="40"/>
          <w:sz w:val="24"/>
        </w:rPr>
        <w:t> </w:t>
      </w:r>
      <w:r>
        <w:rPr>
          <w:sz w:val="24"/>
        </w:rPr>
        <w:t>housing</w:t>
      </w:r>
      <w:r>
        <w:rPr>
          <w:spacing w:val="40"/>
          <w:sz w:val="24"/>
        </w:rPr>
        <w:t> </w:t>
      </w:r>
      <w:r>
        <w:rPr>
          <w:sz w:val="24"/>
        </w:rPr>
        <w:t>projects</w:t>
      </w:r>
      <w:r>
        <w:rPr>
          <w:spacing w:val="40"/>
          <w:sz w:val="24"/>
        </w:rPr>
        <w:t> </w:t>
      </w:r>
      <w:r>
        <w:rPr>
          <w:sz w:val="24"/>
        </w:rPr>
        <w:t>remained</w:t>
      </w:r>
      <w:r>
        <w:rPr>
          <w:spacing w:val="40"/>
          <w:sz w:val="24"/>
        </w:rPr>
        <w:t> </w:t>
      </w:r>
      <w:r>
        <w:rPr>
          <w:sz w:val="24"/>
        </w:rPr>
        <w:t>the</w:t>
      </w:r>
      <w:r>
        <w:rPr>
          <w:spacing w:val="40"/>
          <w:sz w:val="24"/>
        </w:rPr>
        <w:t> </w:t>
      </w:r>
      <w:r>
        <w:rPr>
          <w:sz w:val="24"/>
        </w:rPr>
        <w:t>least priority.</w:t>
      </w:r>
      <w:r>
        <w:rPr>
          <w:spacing w:val="40"/>
          <w:sz w:val="24"/>
        </w:rPr>
        <w:t> </w:t>
      </w:r>
      <w:r>
        <w:rPr>
          <w:sz w:val="24"/>
        </w:rPr>
        <w:t>It</w:t>
      </w:r>
      <w:r>
        <w:rPr>
          <w:spacing w:val="40"/>
          <w:sz w:val="24"/>
        </w:rPr>
        <w:t> </w:t>
      </w:r>
      <w:r>
        <w:rPr>
          <w:sz w:val="24"/>
        </w:rPr>
        <w:t>is</w:t>
      </w:r>
      <w:r>
        <w:rPr>
          <w:spacing w:val="40"/>
          <w:sz w:val="24"/>
        </w:rPr>
        <w:t> </w:t>
      </w:r>
      <w:r>
        <w:rPr>
          <w:sz w:val="24"/>
        </w:rPr>
        <w:t>however</w:t>
      </w:r>
      <w:r>
        <w:rPr>
          <w:spacing w:val="39"/>
          <w:sz w:val="24"/>
        </w:rPr>
        <w:t> </w:t>
      </w:r>
      <w:r>
        <w:rPr>
          <w:sz w:val="24"/>
        </w:rPr>
        <w:t>pertinent</w:t>
      </w:r>
      <w:r>
        <w:rPr>
          <w:spacing w:val="40"/>
          <w:sz w:val="24"/>
        </w:rPr>
        <w:t> </w:t>
      </w:r>
      <w:r>
        <w:rPr>
          <w:sz w:val="24"/>
        </w:rPr>
        <w:t>to</w:t>
      </w:r>
      <w:r>
        <w:rPr>
          <w:spacing w:val="40"/>
          <w:sz w:val="24"/>
        </w:rPr>
        <w:t> </w:t>
      </w:r>
      <w:r>
        <w:rPr>
          <w:sz w:val="24"/>
        </w:rPr>
        <w:t>note</w:t>
      </w:r>
      <w:r>
        <w:rPr>
          <w:spacing w:val="39"/>
          <w:sz w:val="24"/>
        </w:rPr>
        <w:t> </w:t>
      </w:r>
      <w:r>
        <w:rPr>
          <w:sz w:val="24"/>
        </w:rPr>
        <w:t>that</w:t>
      </w:r>
      <w:r>
        <w:rPr>
          <w:spacing w:val="40"/>
          <w:sz w:val="24"/>
        </w:rPr>
        <w:t> </w:t>
      </w:r>
      <w:r>
        <w:rPr>
          <w:sz w:val="24"/>
        </w:rPr>
        <w:t>field</w:t>
      </w:r>
      <w:r>
        <w:rPr>
          <w:spacing w:val="40"/>
          <w:sz w:val="24"/>
        </w:rPr>
        <w:t> </w:t>
      </w:r>
      <w:r>
        <w:rPr>
          <w:sz w:val="24"/>
        </w:rPr>
        <w:t>interview</w:t>
      </w:r>
      <w:r>
        <w:rPr>
          <w:spacing w:val="40"/>
          <w:sz w:val="24"/>
        </w:rPr>
        <w:t> </w:t>
      </w:r>
      <w:r>
        <w:rPr>
          <w:sz w:val="24"/>
        </w:rPr>
        <w:t>conducted</w:t>
      </w:r>
      <w:r>
        <w:rPr>
          <w:spacing w:val="39"/>
          <w:sz w:val="24"/>
        </w:rPr>
        <w:t> </w:t>
      </w:r>
      <w:r>
        <w:rPr>
          <w:sz w:val="24"/>
        </w:rPr>
        <w:t>by</w:t>
      </w:r>
      <w:r>
        <w:rPr>
          <w:spacing w:val="37"/>
          <w:sz w:val="24"/>
        </w:rPr>
        <w:t> </w:t>
      </w:r>
      <w:r>
        <w:rPr>
          <w:sz w:val="24"/>
        </w:rPr>
        <w:t>the</w:t>
      </w:r>
      <w:r>
        <w:rPr>
          <w:spacing w:val="39"/>
          <w:sz w:val="24"/>
        </w:rPr>
        <w:t> </w:t>
      </w:r>
      <w:r>
        <w:rPr>
          <w:sz w:val="24"/>
        </w:rPr>
        <w:t>researcher</w:t>
      </w:r>
      <w:r>
        <w:rPr>
          <w:spacing w:val="40"/>
          <w:sz w:val="24"/>
        </w:rPr>
        <w:t> </w:t>
      </w:r>
      <w:r>
        <w:rPr>
          <w:sz w:val="24"/>
        </w:rPr>
        <w:t>and examination of budget documents revealed that the nature of the residential buildings executed</w:t>
      </w:r>
      <w:r>
        <w:rPr>
          <w:spacing w:val="40"/>
          <w:sz w:val="24"/>
        </w:rPr>
        <w:t> </w:t>
      </w:r>
      <w:r>
        <w:rPr>
          <w:sz w:val="24"/>
        </w:rPr>
        <w:t>are mostly</w:t>
      </w:r>
      <w:r>
        <w:rPr>
          <w:spacing w:val="-2"/>
          <w:sz w:val="24"/>
        </w:rPr>
        <w:t> </w:t>
      </w:r>
      <w:r>
        <w:rPr>
          <w:sz w:val="24"/>
        </w:rPr>
        <w:t>residential quarters and lodges of top government officials. This scenario also reflects the</w:t>
      </w:r>
      <w:r>
        <w:rPr>
          <w:spacing w:val="-2"/>
          <w:sz w:val="24"/>
        </w:rPr>
        <w:t> </w:t>
      </w:r>
      <w:r>
        <w:rPr>
          <w:sz w:val="24"/>
        </w:rPr>
        <w:t>nature</w:t>
      </w:r>
      <w:r>
        <w:rPr>
          <w:spacing w:val="-2"/>
          <w:sz w:val="24"/>
        </w:rPr>
        <w:t> </w:t>
      </w:r>
      <w:r>
        <w:rPr>
          <w:sz w:val="24"/>
        </w:rPr>
        <w:t>of</w:t>
      </w:r>
      <w:r>
        <w:rPr>
          <w:spacing w:val="-3"/>
          <w:sz w:val="24"/>
        </w:rPr>
        <w:t> </w:t>
      </w:r>
      <w:r>
        <w:rPr>
          <w:sz w:val="24"/>
        </w:rPr>
        <w:t>existing</w:t>
      </w:r>
      <w:r>
        <w:rPr>
          <w:spacing w:val="-4"/>
          <w:sz w:val="24"/>
        </w:rPr>
        <w:t> </w:t>
      </w:r>
      <w:r>
        <w:rPr>
          <w:sz w:val="24"/>
        </w:rPr>
        <w:t>housing</w:t>
      </w:r>
      <w:r>
        <w:rPr>
          <w:spacing w:val="-4"/>
          <w:sz w:val="24"/>
        </w:rPr>
        <w:t> </w:t>
      </w:r>
      <w:r>
        <w:rPr>
          <w:sz w:val="24"/>
        </w:rPr>
        <w:t>projects</w:t>
      </w:r>
      <w:r>
        <w:rPr>
          <w:spacing w:val="-1"/>
          <w:sz w:val="24"/>
        </w:rPr>
        <w:t> </w:t>
      </w:r>
      <w:r>
        <w:rPr>
          <w:sz w:val="24"/>
        </w:rPr>
        <w:t>that</w:t>
      </w:r>
      <w:r>
        <w:rPr>
          <w:spacing w:val="-2"/>
          <w:sz w:val="24"/>
        </w:rPr>
        <w:t> </w:t>
      </w:r>
      <w:r>
        <w:rPr>
          <w:sz w:val="24"/>
        </w:rPr>
        <w:t>can</w:t>
      </w:r>
      <w:r>
        <w:rPr>
          <w:spacing w:val="-2"/>
          <w:sz w:val="24"/>
        </w:rPr>
        <w:t> </w:t>
      </w:r>
      <w:r>
        <w:rPr>
          <w:sz w:val="24"/>
        </w:rPr>
        <w:t>be found</w:t>
      </w:r>
      <w:r>
        <w:rPr>
          <w:spacing w:val="-3"/>
          <w:sz w:val="24"/>
        </w:rPr>
        <w:t> </w:t>
      </w:r>
      <w:r>
        <w:rPr>
          <w:sz w:val="24"/>
        </w:rPr>
        <w:t>in</w:t>
      </w:r>
      <w:r>
        <w:rPr>
          <w:spacing w:val="-2"/>
          <w:sz w:val="24"/>
        </w:rPr>
        <w:t> </w:t>
      </w:r>
      <w:r>
        <w:rPr>
          <w:sz w:val="24"/>
        </w:rPr>
        <w:t>Anambra</w:t>
      </w:r>
      <w:r>
        <w:rPr>
          <w:spacing w:val="-3"/>
          <w:sz w:val="24"/>
        </w:rPr>
        <w:t> </w:t>
      </w:r>
      <w:r>
        <w:rPr>
          <w:sz w:val="24"/>
        </w:rPr>
        <w:t>State, where</w:t>
      </w:r>
      <w:r>
        <w:rPr>
          <w:spacing w:val="-1"/>
          <w:sz w:val="24"/>
        </w:rPr>
        <w:t> </w:t>
      </w:r>
      <w:r>
        <w:rPr>
          <w:sz w:val="24"/>
        </w:rPr>
        <w:t>housing</w:t>
      </w:r>
      <w:r>
        <w:rPr>
          <w:spacing w:val="-2"/>
          <w:sz w:val="24"/>
        </w:rPr>
        <w:t> </w:t>
      </w:r>
      <w:r>
        <w:rPr>
          <w:sz w:val="24"/>
        </w:rPr>
        <w:t>for</w:t>
      </w:r>
      <w:r>
        <w:rPr>
          <w:spacing w:val="-2"/>
          <w:sz w:val="24"/>
        </w:rPr>
        <w:t> </w:t>
      </w:r>
      <w:r>
        <w:rPr>
          <w:sz w:val="24"/>
        </w:rPr>
        <w:t>the low and middle income group has been totally ignored by successive administrations.</w:t>
      </w:r>
    </w:p>
    <w:p>
      <w:pPr>
        <w:pStyle w:val="BodyText"/>
        <w:spacing w:before="43"/>
      </w:pPr>
    </w:p>
    <w:p>
      <w:pPr>
        <w:pStyle w:val="Heading4"/>
        <w:jc w:val="left"/>
      </w:pPr>
      <w:r>
        <w:rPr/>
        <w:t>Table</w:t>
      </w:r>
      <w:r>
        <w:rPr>
          <w:spacing w:val="-2"/>
        </w:rPr>
        <w:t> </w:t>
      </w:r>
      <w:r>
        <w:rPr/>
        <w:t>5.5.</w:t>
      </w:r>
      <w:r>
        <w:rPr>
          <w:spacing w:val="58"/>
        </w:rPr>
        <w:t> </w:t>
      </w:r>
      <w:r>
        <w:rPr/>
        <w:t>Responses</w:t>
      </w:r>
      <w:r>
        <w:rPr>
          <w:spacing w:val="-2"/>
        </w:rPr>
        <w:t> </w:t>
      </w:r>
      <w:r>
        <w:rPr/>
        <w:t>on</w:t>
      </w:r>
      <w:r>
        <w:rPr>
          <w:spacing w:val="-1"/>
        </w:rPr>
        <w:t> </w:t>
      </w:r>
      <w:r>
        <w:rPr/>
        <w:t>Financial</w:t>
      </w:r>
      <w:r>
        <w:rPr>
          <w:spacing w:val="-1"/>
        </w:rPr>
        <w:t> </w:t>
      </w:r>
      <w:r>
        <w:rPr/>
        <w:t>capability</w:t>
      </w:r>
      <w:r>
        <w:rPr>
          <w:spacing w:val="-2"/>
        </w:rPr>
        <w:t> </w:t>
      </w:r>
      <w:r>
        <w:rPr/>
        <w:t>of the</w:t>
      </w:r>
      <w:r>
        <w:rPr>
          <w:spacing w:val="-2"/>
        </w:rPr>
        <w:t> Government</w:t>
      </w:r>
    </w:p>
    <w:p>
      <w:pPr>
        <w:pStyle w:val="BodyText"/>
        <w:spacing w:before="6"/>
        <w:rPr>
          <w:b/>
          <w:sz w:val="5"/>
        </w:rPr>
      </w:pPr>
    </w:p>
    <w:tbl>
      <w:tblPr>
        <w:tblW w:w="0" w:type="auto"/>
        <w:jc w:val="left"/>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96"/>
        <w:gridCol w:w="1649"/>
        <w:gridCol w:w="2100"/>
        <w:gridCol w:w="1556"/>
      </w:tblGrid>
      <w:tr>
        <w:trPr>
          <w:trHeight w:val="553" w:hRule="atLeast"/>
        </w:trPr>
        <w:tc>
          <w:tcPr>
            <w:tcW w:w="3796" w:type="dxa"/>
            <w:tcBorders>
              <w:top w:val="single" w:sz="8" w:space="0" w:color="4F81BC"/>
              <w:bottom w:val="single" w:sz="8" w:space="0" w:color="4F81BC"/>
            </w:tcBorders>
          </w:tcPr>
          <w:p>
            <w:pPr>
              <w:pStyle w:val="TableParagraph"/>
              <w:spacing w:line="270" w:lineRule="exact"/>
              <w:ind w:left="116"/>
              <w:rPr>
                <w:sz w:val="24"/>
              </w:rPr>
            </w:pPr>
            <w:r>
              <w:rPr>
                <w:sz w:val="24"/>
              </w:rPr>
              <w:t>Questionnaire</w:t>
            </w:r>
            <w:r>
              <w:rPr>
                <w:spacing w:val="-5"/>
                <w:sz w:val="24"/>
              </w:rPr>
              <w:t> </w:t>
            </w:r>
            <w:r>
              <w:rPr>
                <w:spacing w:val="-4"/>
                <w:sz w:val="24"/>
              </w:rPr>
              <w:t>Item</w:t>
            </w:r>
          </w:p>
        </w:tc>
        <w:tc>
          <w:tcPr>
            <w:tcW w:w="1649" w:type="dxa"/>
            <w:tcBorders>
              <w:top w:val="single" w:sz="8" w:space="0" w:color="4F81BC"/>
              <w:bottom w:val="single" w:sz="8" w:space="0" w:color="4F81BC"/>
            </w:tcBorders>
          </w:tcPr>
          <w:p>
            <w:pPr>
              <w:pStyle w:val="TableParagraph"/>
              <w:spacing w:line="270" w:lineRule="exact"/>
              <w:ind w:left="388"/>
              <w:rPr>
                <w:sz w:val="24"/>
              </w:rPr>
            </w:pPr>
            <w:r>
              <w:rPr>
                <w:spacing w:val="-2"/>
                <w:sz w:val="24"/>
              </w:rPr>
              <w:t>Variables</w:t>
            </w:r>
          </w:p>
        </w:tc>
        <w:tc>
          <w:tcPr>
            <w:tcW w:w="2100" w:type="dxa"/>
            <w:tcBorders>
              <w:top w:val="single" w:sz="8" w:space="0" w:color="4F81BC"/>
              <w:bottom w:val="single" w:sz="8" w:space="0" w:color="4F81BC"/>
            </w:tcBorders>
          </w:tcPr>
          <w:p>
            <w:pPr>
              <w:pStyle w:val="TableParagraph"/>
              <w:spacing w:line="270" w:lineRule="exact"/>
              <w:ind w:left="343"/>
              <w:rPr>
                <w:sz w:val="24"/>
              </w:rPr>
            </w:pPr>
            <w:r>
              <w:rPr>
                <w:sz w:val="24"/>
              </w:rPr>
              <w:t>No of</w:t>
            </w:r>
            <w:r>
              <w:rPr>
                <w:spacing w:val="-2"/>
                <w:sz w:val="24"/>
              </w:rPr>
              <w:t> Responses</w:t>
            </w:r>
          </w:p>
        </w:tc>
        <w:tc>
          <w:tcPr>
            <w:tcW w:w="1556" w:type="dxa"/>
            <w:tcBorders>
              <w:top w:val="single" w:sz="8" w:space="0" w:color="4F81BC"/>
              <w:bottom w:val="single" w:sz="8" w:space="0" w:color="4F81BC"/>
            </w:tcBorders>
          </w:tcPr>
          <w:p>
            <w:pPr>
              <w:pStyle w:val="TableParagraph"/>
              <w:spacing w:line="270" w:lineRule="exact"/>
              <w:ind w:left="132"/>
              <w:rPr>
                <w:sz w:val="24"/>
              </w:rPr>
            </w:pPr>
            <w:r>
              <w:rPr>
                <w:spacing w:val="-2"/>
                <w:sz w:val="24"/>
              </w:rPr>
              <w:t>Percentages</w:t>
            </w:r>
          </w:p>
          <w:p>
            <w:pPr>
              <w:pStyle w:val="TableParagraph"/>
              <w:spacing w:line="264" w:lineRule="exact"/>
              <w:ind w:left="132"/>
              <w:rPr>
                <w:sz w:val="24"/>
              </w:rPr>
            </w:pPr>
            <w:r>
              <w:rPr>
                <w:spacing w:val="-5"/>
                <w:sz w:val="24"/>
              </w:rPr>
              <w:t>(%)</w:t>
            </w:r>
          </w:p>
        </w:tc>
      </w:tr>
      <w:tr>
        <w:trPr>
          <w:trHeight w:val="758" w:hRule="atLeast"/>
        </w:trPr>
        <w:tc>
          <w:tcPr>
            <w:tcW w:w="3796" w:type="dxa"/>
            <w:tcBorders>
              <w:top w:val="single" w:sz="8" w:space="0" w:color="4F81BC"/>
            </w:tcBorders>
            <w:shd w:val="clear" w:color="auto" w:fill="D2DFED"/>
          </w:tcPr>
          <w:p>
            <w:pPr>
              <w:pStyle w:val="TableParagraph"/>
              <w:ind w:left="116"/>
              <w:rPr>
                <w:b/>
                <w:sz w:val="22"/>
              </w:rPr>
            </w:pPr>
            <w:r>
              <w:rPr>
                <w:b/>
                <w:sz w:val="22"/>
              </w:rPr>
              <w:t>Is</w:t>
            </w:r>
            <w:r>
              <w:rPr>
                <w:b/>
                <w:spacing w:val="-9"/>
                <w:sz w:val="22"/>
              </w:rPr>
              <w:t> </w:t>
            </w:r>
            <w:r>
              <w:rPr>
                <w:b/>
                <w:sz w:val="22"/>
              </w:rPr>
              <w:t>the</w:t>
            </w:r>
            <w:r>
              <w:rPr>
                <w:b/>
                <w:spacing w:val="-10"/>
                <w:sz w:val="22"/>
              </w:rPr>
              <w:t> </w:t>
            </w:r>
            <w:r>
              <w:rPr>
                <w:b/>
                <w:sz w:val="22"/>
              </w:rPr>
              <w:t>Anambra</w:t>
            </w:r>
            <w:r>
              <w:rPr>
                <w:b/>
                <w:spacing w:val="-10"/>
                <w:sz w:val="22"/>
              </w:rPr>
              <w:t> </w:t>
            </w:r>
            <w:r>
              <w:rPr>
                <w:b/>
                <w:sz w:val="22"/>
              </w:rPr>
              <w:t>State</w:t>
            </w:r>
            <w:r>
              <w:rPr>
                <w:b/>
                <w:spacing w:val="-10"/>
                <w:sz w:val="22"/>
              </w:rPr>
              <w:t> </w:t>
            </w:r>
            <w:r>
              <w:rPr>
                <w:b/>
                <w:sz w:val="22"/>
              </w:rPr>
              <w:t>Government financially capable to provide</w:t>
            </w:r>
          </w:p>
          <w:p>
            <w:pPr>
              <w:pStyle w:val="TableParagraph"/>
              <w:spacing w:line="233" w:lineRule="exact"/>
              <w:ind w:left="116"/>
              <w:rPr>
                <w:b/>
                <w:sz w:val="22"/>
              </w:rPr>
            </w:pPr>
            <w:r>
              <w:rPr>
                <w:b/>
                <w:sz w:val="22"/>
              </w:rPr>
              <w:t>Housing</w:t>
            </w:r>
            <w:r>
              <w:rPr>
                <w:b/>
                <w:spacing w:val="-6"/>
                <w:sz w:val="22"/>
              </w:rPr>
              <w:t> </w:t>
            </w:r>
            <w:r>
              <w:rPr>
                <w:b/>
                <w:sz w:val="22"/>
              </w:rPr>
              <w:t>facilities</w:t>
            </w:r>
            <w:r>
              <w:rPr>
                <w:b/>
                <w:spacing w:val="-4"/>
                <w:sz w:val="22"/>
              </w:rPr>
              <w:t> </w:t>
            </w:r>
            <w:r>
              <w:rPr>
                <w:b/>
                <w:sz w:val="22"/>
              </w:rPr>
              <w:t>for</w:t>
            </w:r>
            <w:r>
              <w:rPr>
                <w:b/>
                <w:spacing w:val="-4"/>
                <w:sz w:val="22"/>
              </w:rPr>
              <w:t> </w:t>
            </w:r>
            <w:r>
              <w:rPr>
                <w:b/>
                <w:sz w:val="22"/>
              </w:rPr>
              <w:t>the</w:t>
            </w:r>
            <w:r>
              <w:rPr>
                <w:b/>
                <w:spacing w:val="-5"/>
                <w:sz w:val="22"/>
              </w:rPr>
              <w:t> </w:t>
            </w:r>
            <w:r>
              <w:rPr>
                <w:b/>
                <w:spacing w:val="-2"/>
                <w:sz w:val="22"/>
              </w:rPr>
              <w:t>citizenry?</w:t>
            </w:r>
          </w:p>
        </w:tc>
        <w:tc>
          <w:tcPr>
            <w:tcW w:w="1649" w:type="dxa"/>
            <w:tcBorders>
              <w:top w:val="single" w:sz="8" w:space="0" w:color="4F81BC"/>
            </w:tcBorders>
            <w:shd w:val="clear" w:color="auto" w:fill="D2DFED"/>
          </w:tcPr>
          <w:p>
            <w:pPr>
              <w:pStyle w:val="TableParagraph"/>
              <w:spacing w:line="268" w:lineRule="exact"/>
              <w:ind w:left="388"/>
              <w:rPr>
                <w:sz w:val="24"/>
              </w:rPr>
            </w:pPr>
            <w:r>
              <w:rPr>
                <w:sz w:val="24"/>
              </w:rPr>
              <w:t>(a)</w:t>
            </w:r>
            <w:r>
              <w:rPr>
                <w:spacing w:val="33"/>
                <w:sz w:val="24"/>
              </w:rPr>
              <w:t> </w:t>
            </w:r>
            <w:r>
              <w:rPr>
                <w:spacing w:val="-5"/>
                <w:sz w:val="24"/>
              </w:rPr>
              <w:t>Yes</w:t>
            </w:r>
          </w:p>
          <w:p>
            <w:pPr>
              <w:pStyle w:val="TableParagraph"/>
              <w:ind w:left="388"/>
              <w:rPr>
                <w:sz w:val="24"/>
              </w:rPr>
            </w:pPr>
            <w:r>
              <w:rPr>
                <w:sz w:val="24"/>
              </w:rPr>
              <w:t>(b)</w:t>
            </w:r>
            <w:r>
              <w:rPr>
                <w:spacing w:val="20"/>
                <w:sz w:val="24"/>
              </w:rPr>
              <w:t> </w:t>
            </w:r>
            <w:r>
              <w:rPr>
                <w:spacing w:val="-5"/>
                <w:sz w:val="24"/>
              </w:rPr>
              <w:t>No</w:t>
            </w:r>
          </w:p>
        </w:tc>
        <w:tc>
          <w:tcPr>
            <w:tcW w:w="2100" w:type="dxa"/>
            <w:tcBorders>
              <w:top w:val="single" w:sz="8" w:space="0" w:color="4F81BC"/>
            </w:tcBorders>
            <w:shd w:val="clear" w:color="auto" w:fill="D2DFED"/>
          </w:tcPr>
          <w:p>
            <w:pPr>
              <w:pStyle w:val="TableParagraph"/>
              <w:spacing w:line="268" w:lineRule="exact"/>
              <w:ind w:right="1394"/>
              <w:jc w:val="right"/>
              <w:rPr>
                <w:sz w:val="24"/>
              </w:rPr>
            </w:pPr>
            <w:r>
              <w:rPr>
                <w:spacing w:val="-5"/>
                <w:sz w:val="24"/>
              </w:rPr>
              <w:t>147</w:t>
            </w:r>
          </w:p>
          <w:p>
            <w:pPr>
              <w:pStyle w:val="TableParagraph"/>
              <w:ind w:right="1394"/>
              <w:jc w:val="right"/>
              <w:rPr>
                <w:sz w:val="24"/>
              </w:rPr>
            </w:pPr>
            <w:r>
              <w:rPr>
                <w:spacing w:val="-10"/>
                <w:sz w:val="24"/>
              </w:rPr>
              <w:t>9</w:t>
            </w:r>
          </w:p>
        </w:tc>
        <w:tc>
          <w:tcPr>
            <w:tcW w:w="1556" w:type="dxa"/>
            <w:tcBorders>
              <w:top w:val="single" w:sz="8" w:space="0" w:color="4F81BC"/>
            </w:tcBorders>
            <w:shd w:val="clear" w:color="auto" w:fill="D2DFED"/>
          </w:tcPr>
          <w:p>
            <w:pPr>
              <w:pStyle w:val="TableParagraph"/>
              <w:spacing w:line="268" w:lineRule="exact"/>
              <w:ind w:left="132"/>
              <w:rPr>
                <w:sz w:val="24"/>
              </w:rPr>
            </w:pPr>
            <w:r>
              <w:rPr>
                <w:spacing w:val="-2"/>
                <w:sz w:val="24"/>
              </w:rPr>
              <w:t>94.00</w:t>
            </w:r>
          </w:p>
          <w:p>
            <w:pPr>
              <w:pStyle w:val="TableParagraph"/>
              <w:ind w:left="252"/>
              <w:rPr>
                <w:sz w:val="24"/>
              </w:rPr>
            </w:pPr>
            <w:r>
              <w:rPr>
                <w:spacing w:val="-4"/>
                <w:sz w:val="24"/>
              </w:rPr>
              <w:t>6.00</w:t>
            </w:r>
          </w:p>
        </w:tc>
      </w:tr>
      <w:tr>
        <w:trPr>
          <w:trHeight w:val="278" w:hRule="atLeast"/>
        </w:trPr>
        <w:tc>
          <w:tcPr>
            <w:tcW w:w="3796" w:type="dxa"/>
            <w:tcBorders>
              <w:bottom w:val="single" w:sz="8" w:space="0" w:color="4F81BC"/>
            </w:tcBorders>
          </w:tcPr>
          <w:p>
            <w:pPr>
              <w:pStyle w:val="TableParagraph"/>
              <w:spacing w:line="258" w:lineRule="exact"/>
              <w:ind w:left="116"/>
              <w:rPr>
                <w:b/>
                <w:sz w:val="24"/>
              </w:rPr>
            </w:pPr>
            <w:r>
              <w:rPr>
                <w:b/>
                <w:spacing w:val="-2"/>
                <w:sz w:val="24"/>
              </w:rPr>
              <w:t>Total</w:t>
            </w:r>
          </w:p>
        </w:tc>
        <w:tc>
          <w:tcPr>
            <w:tcW w:w="1649" w:type="dxa"/>
            <w:tcBorders>
              <w:bottom w:val="single" w:sz="8" w:space="0" w:color="4F81BC"/>
            </w:tcBorders>
          </w:tcPr>
          <w:p>
            <w:pPr>
              <w:pStyle w:val="TableParagraph"/>
              <w:rPr>
                <w:sz w:val="20"/>
              </w:rPr>
            </w:pPr>
          </w:p>
        </w:tc>
        <w:tc>
          <w:tcPr>
            <w:tcW w:w="2100" w:type="dxa"/>
            <w:tcBorders>
              <w:bottom w:val="single" w:sz="8" w:space="0" w:color="4F81BC"/>
            </w:tcBorders>
          </w:tcPr>
          <w:p>
            <w:pPr>
              <w:pStyle w:val="TableParagraph"/>
              <w:spacing w:line="258" w:lineRule="exact"/>
              <w:ind w:left="343"/>
              <w:rPr>
                <w:sz w:val="24"/>
              </w:rPr>
            </w:pPr>
            <w:r>
              <w:rPr>
                <w:spacing w:val="-5"/>
                <w:sz w:val="24"/>
              </w:rPr>
              <w:t>156</w:t>
            </w:r>
          </w:p>
        </w:tc>
        <w:tc>
          <w:tcPr>
            <w:tcW w:w="1556" w:type="dxa"/>
            <w:tcBorders>
              <w:bottom w:val="single" w:sz="8" w:space="0" w:color="4F81BC"/>
            </w:tcBorders>
          </w:tcPr>
          <w:p>
            <w:pPr>
              <w:pStyle w:val="TableParagraph"/>
              <w:spacing w:line="258" w:lineRule="exact"/>
              <w:ind w:left="132"/>
              <w:rPr>
                <w:sz w:val="24"/>
              </w:rPr>
            </w:pPr>
            <w:r>
              <w:rPr>
                <w:spacing w:val="-4"/>
                <w:sz w:val="24"/>
              </w:rPr>
              <w:t>100%</w:t>
            </w:r>
          </w:p>
        </w:tc>
      </w:tr>
    </w:tbl>
    <w:p>
      <w:pPr>
        <w:pStyle w:val="BodyText"/>
        <w:ind w:left="240"/>
      </w:pPr>
      <w:r>
        <w:rPr>
          <w:b/>
        </w:rPr>
        <w:t>Source:</w:t>
      </w:r>
      <w:r>
        <w:rPr>
          <w:b/>
          <w:spacing w:val="-2"/>
        </w:rPr>
        <w:t> </w:t>
      </w:r>
      <w:r>
        <w:rPr/>
        <w:t>Researcher‘s field</w:t>
      </w:r>
      <w:r>
        <w:rPr>
          <w:spacing w:val="-1"/>
        </w:rPr>
        <w:t> </w:t>
      </w:r>
      <w:r>
        <w:rPr/>
        <w:t>survey</w:t>
      </w:r>
      <w:r>
        <w:rPr>
          <w:spacing w:val="-1"/>
        </w:rPr>
        <w:t> </w:t>
      </w:r>
      <w:r>
        <w:rPr>
          <w:spacing w:val="-2"/>
        </w:rPr>
        <w:t>(2017)</w:t>
      </w:r>
    </w:p>
    <w:p>
      <w:pPr>
        <w:pStyle w:val="BodyText"/>
        <w:spacing w:before="134"/>
      </w:pPr>
    </w:p>
    <w:p>
      <w:pPr>
        <w:pStyle w:val="Heading4"/>
        <w:numPr>
          <w:ilvl w:val="2"/>
          <w:numId w:val="81"/>
        </w:numPr>
        <w:tabs>
          <w:tab w:pos="960" w:val="left" w:leader="none"/>
        </w:tabs>
        <w:spacing w:line="240" w:lineRule="auto" w:before="0" w:after="0"/>
        <w:ind w:left="960" w:right="837" w:hanging="720"/>
        <w:jc w:val="left"/>
      </w:pPr>
      <w:r>
        <w:rPr/>
        <w:t>Respondents’</w:t>
      </w:r>
      <w:r>
        <w:rPr>
          <w:spacing w:val="40"/>
        </w:rPr>
        <w:t> </w:t>
      </w:r>
      <w:r>
        <w:rPr/>
        <w:t>Responses</w:t>
      </w:r>
      <w:r>
        <w:rPr>
          <w:spacing w:val="40"/>
        </w:rPr>
        <w:t> </w:t>
      </w:r>
      <w:r>
        <w:rPr/>
        <w:t>on</w:t>
      </w:r>
      <w:r>
        <w:rPr>
          <w:spacing w:val="40"/>
        </w:rPr>
        <w:t> </w:t>
      </w:r>
      <w:r>
        <w:rPr/>
        <w:t>Financial</w:t>
      </w:r>
      <w:r>
        <w:rPr>
          <w:spacing w:val="40"/>
        </w:rPr>
        <w:t> </w:t>
      </w:r>
      <w:r>
        <w:rPr/>
        <w:t>Capability</w:t>
      </w:r>
      <w:r>
        <w:rPr>
          <w:spacing w:val="40"/>
        </w:rPr>
        <w:t> </w:t>
      </w:r>
      <w:r>
        <w:rPr/>
        <w:t>of</w:t>
      </w:r>
      <w:r>
        <w:rPr>
          <w:spacing w:val="40"/>
        </w:rPr>
        <w:t> </w:t>
      </w:r>
      <w:r>
        <w:rPr/>
        <w:t>the</w:t>
      </w:r>
      <w:r>
        <w:rPr>
          <w:spacing w:val="40"/>
        </w:rPr>
        <w:t> </w:t>
      </w:r>
      <w:r>
        <w:rPr/>
        <w:t>Government</w:t>
      </w:r>
      <w:r>
        <w:rPr>
          <w:spacing w:val="40"/>
        </w:rPr>
        <w:t> </w:t>
      </w:r>
      <w:r>
        <w:rPr/>
        <w:t>to</w:t>
      </w:r>
      <w:r>
        <w:rPr>
          <w:spacing w:val="40"/>
        </w:rPr>
        <w:t> </w:t>
      </w:r>
      <w:r>
        <w:rPr/>
        <w:t>Execute Housing Projects</w:t>
      </w:r>
    </w:p>
    <w:p>
      <w:pPr>
        <w:pStyle w:val="BodyText"/>
        <w:spacing w:line="360" w:lineRule="auto" w:before="240"/>
        <w:ind w:left="240" w:right="835"/>
        <w:jc w:val="both"/>
      </w:pPr>
      <w:r>
        <w:rPr/>
        <w:t>Table 5.5 shows that majority of the respondents; 147 or 94% are of the opinion that the Anambra State government is financially capable of providing housing facilities for the citizens, while a paltry 9(6%) think otherwise. Follow-up oral interviews on respondents further revealed that the reason for not devoting financial resources to mass housing projects is because of competing interests from other economic sectors; the present economic recession and the need</w:t>
      </w:r>
      <w:r>
        <w:rPr>
          <w:spacing w:val="40"/>
        </w:rPr>
        <w:t> </w:t>
      </w:r>
      <w:r>
        <w:rPr/>
        <w:t>for the government to be rational and prudent in managing its financial resources. They</w:t>
      </w:r>
      <w:r>
        <w:rPr>
          <w:spacing w:val="-1"/>
        </w:rPr>
        <w:t> </w:t>
      </w:r>
      <w:r>
        <w:rPr/>
        <w:t>however failed to provide reasons why mass housing projects are non-existent in the state, while other sectors</w:t>
      </w:r>
      <w:r>
        <w:rPr>
          <w:spacing w:val="68"/>
          <w:w w:val="150"/>
        </w:rPr>
        <w:t> </w:t>
      </w:r>
      <w:r>
        <w:rPr/>
        <w:t>received</w:t>
      </w:r>
      <w:r>
        <w:rPr>
          <w:spacing w:val="72"/>
          <w:w w:val="150"/>
        </w:rPr>
        <w:t> </w:t>
      </w:r>
      <w:r>
        <w:rPr/>
        <w:t>government</w:t>
      </w:r>
      <w:r>
        <w:rPr>
          <w:spacing w:val="71"/>
          <w:w w:val="150"/>
        </w:rPr>
        <w:t> </w:t>
      </w:r>
      <w:r>
        <w:rPr/>
        <w:t>attention.</w:t>
      </w:r>
      <w:r>
        <w:rPr>
          <w:spacing w:val="71"/>
          <w:w w:val="150"/>
        </w:rPr>
        <w:t> </w:t>
      </w:r>
      <w:r>
        <w:rPr/>
        <w:t>Again,</w:t>
      </w:r>
      <w:r>
        <w:rPr>
          <w:spacing w:val="71"/>
          <w:w w:val="150"/>
        </w:rPr>
        <w:t> </w:t>
      </w:r>
      <w:r>
        <w:rPr/>
        <w:t>this</w:t>
      </w:r>
      <w:r>
        <w:rPr>
          <w:spacing w:val="71"/>
          <w:w w:val="150"/>
        </w:rPr>
        <w:t> </w:t>
      </w:r>
      <w:r>
        <w:rPr/>
        <w:t>scenario</w:t>
      </w:r>
      <w:r>
        <w:rPr>
          <w:spacing w:val="72"/>
          <w:w w:val="150"/>
        </w:rPr>
        <w:t> </w:t>
      </w:r>
      <w:r>
        <w:rPr/>
        <w:t>further</w:t>
      </w:r>
      <w:r>
        <w:rPr>
          <w:spacing w:val="72"/>
          <w:w w:val="150"/>
        </w:rPr>
        <w:t> </w:t>
      </w:r>
      <w:r>
        <w:rPr/>
        <w:t>reflects</w:t>
      </w:r>
      <w:r>
        <w:rPr>
          <w:spacing w:val="72"/>
          <w:w w:val="150"/>
        </w:rPr>
        <w:t> </w:t>
      </w:r>
      <w:r>
        <w:rPr/>
        <w:t>the</w:t>
      </w:r>
      <w:r>
        <w:rPr>
          <w:spacing w:val="71"/>
          <w:w w:val="150"/>
        </w:rPr>
        <w:t> </w:t>
      </w:r>
      <w:r>
        <w:rPr/>
        <w:t>lack</w:t>
      </w:r>
      <w:r>
        <w:rPr>
          <w:spacing w:val="71"/>
          <w:w w:val="150"/>
        </w:rPr>
        <w:t> </w:t>
      </w:r>
      <w:r>
        <w:rPr>
          <w:spacing w:val="-5"/>
        </w:rPr>
        <w:t>of</w:t>
      </w:r>
    </w:p>
    <w:p>
      <w:pPr>
        <w:spacing w:after="0" w:line="360" w:lineRule="auto"/>
        <w:jc w:val="both"/>
        <w:sectPr>
          <w:pgSz w:w="12240" w:h="15840"/>
          <w:pgMar w:header="0" w:footer="1036" w:top="1360" w:bottom="1220" w:left="1200" w:right="600"/>
        </w:sectPr>
      </w:pPr>
    </w:p>
    <w:p>
      <w:pPr>
        <w:pStyle w:val="BodyText"/>
        <w:spacing w:line="360" w:lineRule="auto" w:before="74"/>
        <w:ind w:left="240" w:right="837"/>
        <w:jc w:val="both"/>
      </w:pPr>
      <w:r>
        <w:rPr/>
        <w:t>commitment of the Anambra State government to providing housing for the low and middle income earners in the state.</w:t>
      </w:r>
    </w:p>
    <w:p>
      <w:pPr>
        <w:pStyle w:val="BodyText"/>
        <w:spacing w:before="207"/>
      </w:pPr>
    </w:p>
    <w:p>
      <w:pPr>
        <w:pStyle w:val="Heading3"/>
        <w:numPr>
          <w:ilvl w:val="1"/>
          <w:numId w:val="81"/>
        </w:numPr>
        <w:tabs>
          <w:tab w:pos="775" w:val="left" w:leader="none"/>
          <w:tab w:pos="787" w:val="left" w:leader="none"/>
        </w:tabs>
        <w:spacing w:line="240" w:lineRule="auto" w:before="0" w:after="0"/>
        <w:ind w:left="787" w:right="838" w:hanging="548"/>
        <w:jc w:val="both"/>
      </w:pPr>
      <w:r>
        <w:rPr/>
        <w:t>Questionnaire Section B for Public Sector Staff </w:t>
      </w:r>
      <w:r>
        <w:rPr>
          <w:color w:val="00AF50"/>
        </w:rPr>
        <w:t>– </w:t>
      </w:r>
      <w:r>
        <w:rPr/>
        <w:t>Appraisal of Housing Budget </w:t>
      </w:r>
      <w:r>
        <w:rPr>
          <w:spacing w:val="-2"/>
        </w:rPr>
        <w:t>Procedures</w:t>
      </w:r>
    </w:p>
    <w:p>
      <w:pPr>
        <w:pStyle w:val="BodyText"/>
        <w:spacing w:line="360" w:lineRule="auto" w:before="271"/>
        <w:ind w:left="240" w:right="833"/>
        <w:jc w:val="both"/>
      </w:pPr>
      <w:r>
        <w:rPr/>
        <w:t>The purpose of this section is to carry out a critical appraisal of the Anambra State housing budget procedures, via respondents‘ views/opinions and severity ranking. Such budget procedures include: adoption of the medium term expenditure framework, development of a medium term sector strategy, budget monitoring and evaluation, regularity of housing budget performance reporting and review, housing budget preparation, citizen participation, criteria for housing budget ceiling, rate of housing budget implementation, duration of the housing budget process, the Quantity Surveyor‘s roles in the housing budget process, adequacy and regularity of funding from annual housing budget allocation, financial support for the Housing Corporation, major sources of funding for housing projects, capabilities of housing budget professionals and general housing budget performance.</w:t>
      </w:r>
      <w:r>
        <w:rPr>
          <w:spacing w:val="80"/>
          <w:w w:val="150"/>
        </w:rPr>
        <w:t> </w:t>
      </w:r>
      <w:r>
        <w:rPr/>
        <w:t>The essence of this is to point out those critical areas which according to respondents are presently affecting the efficiency and effectiveness of the housing budget process and ultimately housing delivery. The following sub-sections shows and explains these analyses.</w:t>
      </w:r>
    </w:p>
    <w:p>
      <w:pPr>
        <w:pStyle w:val="BodyText"/>
      </w:pPr>
    </w:p>
    <w:p>
      <w:pPr>
        <w:pStyle w:val="BodyText"/>
        <w:spacing w:before="5"/>
      </w:pPr>
    </w:p>
    <w:p>
      <w:pPr>
        <w:pStyle w:val="Heading4"/>
        <w:numPr>
          <w:ilvl w:val="2"/>
          <w:numId w:val="81"/>
        </w:numPr>
        <w:tabs>
          <w:tab w:pos="813" w:val="left" w:leader="none"/>
          <w:tab w:pos="874" w:val="left" w:leader="none"/>
        </w:tabs>
        <w:spacing w:line="240" w:lineRule="auto" w:before="0" w:after="0"/>
        <w:ind w:left="874" w:right="839" w:hanging="634"/>
        <w:jc w:val="both"/>
      </w:pPr>
      <w:r>
        <w:rPr/>
        <w:t>Analysis of Responses on Adoption of Medium Term Expenditure Framework and Strategy, Housing Needs Assessment, Budget Monitoring and Evaluation, Regularity of Housing Budget Performance Reporting and Review</w:t>
      </w:r>
    </w:p>
    <w:p>
      <w:pPr>
        <w:pStyle w:val="BodyText"/>
        <w:spacing w:before="19"/>
        <w:rPr>
          <w:b/>
        </w:rPr>
      </w:pPr>
    </w:p>
    <w:p>
      <w:pPr>
        <w:pStyle w:val="BodyText"/>
        <w:spacing w:line="360" w:lineRule="auto"/>
        <w:ind w:left="240" w:right="837"/>
        <w:jc w:val="both"/>
      </w:pPr>
      <w:r>
        <w:rPr/>
        <w:t>To analyze the responses on the above mentioned budget procedures, the percentages for each response was obtained based on the number of responses received for each variable. The responses to the questions are presented and analyzed as shown in Table 5.6.</w:t>
      </w:r>
    </w:p>
    <w:p>
      <w:pPr>
        <w:spacing w:after="0" w:line="360" w:lineRule="auto"/>
        <w:jc w:val="both"/>
        <w:sectPr>
          <w:pgSz w:w="12240" w:h="15840"/>
          <w:pgMar w:header="0" w:footer="1036" w:top="1360" w:bottom="1220" w:left="1200" w:right="600"/>
        </w:sectPr>
      </w:pPr>
    </w:p>
    <w:p>
      <w:pPr>
        <w:pStyle w:val="Heading4"/>
        <w:spacing w:before="76"/>
        <w:ind w:right="844"/>
      </w:pPr>
      <w:r>
        <w:rPr/>
        <w:t>Table 5.6.Opinion of Respondents on Medium Term Expenditure, Housing Needs Assessment, budget Monitoring and Evaluation, Housing Budget Performance Reporting and Review</w:t>
      </w:r>
    </w:p>
    <w:p>
      <w:pPr>
        <w:pStyle w:val="BodyText"/>
        <w:spacing w:before="1" w:after="1"/>
        <w:rPr>
          <w:b/>
          <w:sz w:val="19"/>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73"/>
        <w:gridCol w:w="2893"/>
        <w:gridCol w:w="2077"/>
        <w:gridCol w:w="1444"/>
      </w:tblGrid>
      <w:tr>
        <w:trPr>
          <w:trHeight w:val="505" w:hRule="atLeast"/>
        </w:trPr>
        <w:tc>
          <w:tcPr>
            <w:tcW w:w="2873" w:type="dxa"/>
            <w:tcBorders>
              <w:top w:val="single" w:sz="8" w:space="0" w:color="000000"/>
              <w:bottom w:val="single" w:sz="8" w:space="0" w:color="000000"/>
            </w:tcBorders>
          </w:tcPr>
          <w:p>
            <w:pPr>
              <w:pStyle w:val="TableParagraph"/>
              <w:spacing w:line="275" w:lineRule="exact"/>
              <w:ind w:left="122"/>
              <w:rPr>
                <w:b/>
                <w:sz w:val="24"/>
              </w:rPr>
            </w:pPr>
            <w:r>
              <w:rPr>
                <w:b/>
                <w:sz w:val="24"/>
              </w:rPr>
              <w:t>Questionnaire</w:t>
            </w:r>
            <w:r>
              <w:rPr>
                <w:b/>
                <w:spacing w:val="-2"/>
                <w:sz w:val="24"/>
              </w:rPr>
              <w:t> </w:t>
            </w:r>
            <w:r>
              <w:rPr>
                <w:b/>
                <w:spacing w:val="-4"/>
                <w:sz w:val="24"/>
              </w:rPr>
              <w:t>Item</w:t>
            </w:r>
          </w:p>
        </w:tc>
        <w:tc>
          <w:tcPr>
            <w:tcW w:w="2893" w:type="dxa"/>
            <w:tcBorders>
              <w:top w:val="single" w:sz="8" w:space="0" w:color="000000"/>
              <w:bottom w:val="single" w:sz="8" w:space="0" w:color="000000"/>
            </w:tcBorders>
          </w:tcPr>
          <w:p>
            <w:pPr>
              <w:pStyle w:val="TableParagraph"/>
              <w:spacing w:line="275" w:lineRule="exact"/>
              <w:ind w:left="221"/>
              <w:rPr>
                <w:b/>
                <w:sz w:val="24"/>
              </w:rPr>
            </w:pPr>
            <w:r>
              <w:rPr>
                <w:b/>
                <w:spacing w:val="-2"/>
                <w:sz w:val="24"/>
              </w:rPr>
              <w:t>Variables</w:t>
            </w:r>
          </w:p>
        </w:tc>
        <w:tc>
          <w:tcPr>
            <w:tcW w:w="2077" w:type="dxa"/>
            <w:tcBorders>
              <w:top w:val="single" w:sz="8" w:space="0" w:color="000000"/>
              <w:bottom w:val="single" w:sz="8" w:space="0" w:color="000000"/>
            </w:tcBorders>
          </w:tcPr>
          <w:p>
            <w:pPr>
              <w:pStyle w:val="TableParagraph"/>
              <w:spacing w:line="275" w:lineRule="exact"/>
              <w:ind w:left="297"/>
              <w:rPr>
                <w:b/>
                <w:sz w:val="24"/>
              </w:rPr>
            </w:pPr>
            <w:r>
              <w:rPr>
                <w:b/>
                <w:sz w:val="24"/>
              </w:rPr>
              <w:t>No of </w:t>
            </w:r>
            <w:r>
              <w:rPr>
                <w:b/>
                <w:spacing w:val="-2"/>
                <w:sz w:val="24"/>
              </w:rPr>
              <w:t>Responses</w:t>
            </w:r>
          </w:p>
        </w:tc>
        <w:tc>
          <w:tcPr>
            <w:tcW w:w="1444" w:type="dxa"/>
            <w:tcBorders>
              <w:top w:val="single" w:sz="8" w:space="0" w:color="000000"/>
              <w:bottom w:val="single" w:sz="8" w:space="0" w:color="000000"/>
            </w:tcBorders>
          </w:tcPr>
          <w:p>
            <w:pPr>
              <w:pStyle w:val="TableParagraph"/>
              <w:spacing w:line="252" w:lineRule="exact"/>
              <w:ind w:left="112"/>
              <w:rPr>
                <w:b/>
                <w:sz w:val="22"/>
              </w:rPr>
            </w:pPr>
            <w:r>
              <w:rPr>
                <w:b/>
                <w:spacing w:val="-2"/>
                <w:sz w:val="22"/>
              </w:rPr>
              <w:t>Percentages </w:t>
            </w:r>
            <w:r>
              <w:rPr>
                <w:b/>
                <w:spacing w:val="-4"/>
                <w:sz w:val="22"/>
              </w:rPr>
              <w:t>(%)</w:t>
            </w:r>
          </w:p>
        </w:tc>
      </w:tr>
      <w:tr>
        <w:trPr>
          <w:trHeight w:val="1151" w:hRule="atLeast"/>
        </w:trPr>
        <w:tc>
          <w:tcPr>
            <w:tcW w:w="2873" w:type="dxa"/>
            <w:tcBorders>
              <w:top w:val="single" w:sz="8" w:space="0" w:color="000000"/>
            </w:tcBorders>
            <w:shd w:val="clear" w:color="auto" w:fill="C0C0C0"/>
          </w:tcPr>
          <w:p>
            <w:pPr>
              <w:pStyle w:val="TableParagraph"/>
              <w:ind w:left="122" w:right="111"/>
              <w:rPr>
                <w:b/>
                <w:sz w:val="20"/>
              </w:rPr>
            </w:pPr>
            <w:r>
              <w:rPr>
                <w:b/>
                <w:sz w:val="20"/>
              </w:rPr>
              <w:t>Does the Anambra State Government prepare its housing</w:t>
            </w:r>
            <w:r>
              <w:rPr>
                <w:b/>
                <w:spacing w:val="-13"/>
                <w:sz w:val="20"/>
              </w:rPr>
              <w:t> </w:t>
            </w:r>
            <w:r>
              <w:rPr>
                <w:b/>
                <w:sz w:val="20"/>
              </w:rPr>
              <w:t>Budget</w:t>
            </w:r>
            <w:r>
              <w:rPr>
                <w:b/>
                <w:spacing w:val="-12"/>
                <w:sz w:val="20"/>
              </w:rPr>
              <w:t> </w:t>
            </w:r>
            <w:r>
              <w:rPr>
                <w:b/>
                <w:sz w:val="20"/>
              </w:rPr>
              <w:t>in</w:t>
            </w:r>
            <w:r>
              <w:rPr>
                <w:b/>
                <w:spacing w:val="-13"/>
                <w:sz w:val="20"/>
              </w:rPr>
              <w:t> </w:t>
            </w:r>
            <w:r>
              <w:rPr>
                <w:b/>
                <w:sz w:val="20"/>
              </w:rPr>
              <w:t>accordance with the medium term</w:t>
            </w:r>
          </w:p>
          <w:p>
            <w:pPr>
              <w:pStyle w:val="TableParagraph"/>
              <w:spacing w:line="212" w:lineRule="exact"/>
              <w:ind w:left="122"/>
              <w:rPr>
                <w:b/>
                <w:sz w:val="20"/>
              </w:rPr>
            </w:pPr>
            <w:r>
              <w:rPr>
                <w:b/>
                <w:sz w:val="20"/>
              </w:rPr>
              <w:t>expenditure</w:t>
            </w:r>
            <w:r>
              <w:rPr>
                <w:b/>
                <w:spacing w:val="-11"/>
                <w:sz w:val="20"/>
              </w:rPr>
              <w:t> </w:t>
            </w:r>
            <w:r>
              <w:rPr>
                <w:b/>
                <w:spacing w:val="-2"/>
                <w:sz w:val="20"/>
              </w:rPr>
              <w:t>framework?</w:t>
            </w:r>
          </w:p>
        </w:tc>
        <w:tc>
          <w:tcPr>
            <w:tcW w:w="2893" w:type="dxa"/>
            <w:tcBorders>
              <w:top w:val="single" w:sz="8" w:space="0" w:color="000000"/>
            </w:tcBorders>
            <w:shd w:val="clear" w:color="auto" w:fill="C0C0C0"/>
          </w:tcPr>
          <w:p>
            <w:pPr>
              <w:pStyle w:val="TableParagraph"/>
              <w:spacing w:line="225" w:lineRule="exact"/>
              <w:ind w:left="221"/>
              <w:rPr>
                <w:sz w:val="20"/>
              </w:rPr>
            </w:pPr>
            <w:r>
              <w:rPr>
                <w:sz w:val="20"/>
              </w:rPr>
              <w:t>(a)</w:t>
            </w:r>
            <w:r>
              <w:rPr>
                <w:spacing w:val="-2"/>
                <w:sz w:val="20"/>
              </w:rPr>
              <w:t> </w:t>
            </w:r>
            <w:r>
              <w:rPr>
                <w:spacing w:val="-5"/>
                <w:sz w:val="20"/>
              </w:rPr>
              <w:t>Yes</w:t>
            </w:r>
          </w:p>
          <w:p>
            <w:pPr>
              <w:pStyle w:val="TableParagraph"/>
              <w:spacing w:line="229" w:lineRule="exact"/>
              <w:ind w:left="221"/>
              <w:rPr>
                <w:sz w:val="20"/>
              </w:rPr>
            </w:pPr>
            <w:r>
              <w:rPr>
                <w:sz w:val="20"/>
              </w:rPr>
              <w:t>(b)</w:t>
            </w:r>
            <w:r>
              <w:rPr>
                <w:spacing w:val="-2"/>
                <w:sz w:val="20"/>
              </w:rPr>
              <w:t> </w:t>
            </w:r>
            <w:r>
              <w:rPr>
                <w:spacing w:val="-5"/>
                <w:sz w:val="20"/>
              </w:rPr>
              <w:t>No</w:t>
            </w:r>
          </w:p>
          <w:p>
            <w:pPr>
              <w:pStyle w:val="TableParagraph"/>
              <w:spacing w:line="229" w:lineRule="exact"/>
              <w:ind w:left="221"/>
              <w:rPr>
                <w:sz w:val="20"/>
              </w:rPr>
            </w:pPr>
            <w:r>
              <w:rPr>
                <w:sz w:val="20"/>
              </w:rPr>
              <w:t>(e)</w:t>
            </w:r>
            <w:r>
              <w:rPr>
                <w:spacing w:val="-2"/>
                <w:sz w:val="20"/>
              </w:rPr>
              <w:t> </w:t>
            </w:r>
            <w:r>
              <w:rPr>
                <w:sz w:val="20"/>
              </w:rPr>
              <w:t>No</w:t>
            </w:r>
            <w:r>
              <w:rPr>
                <w:spacing w:val="-1"/>
                <w:sz w:val="20"/>
              </w:rPr>
              <w:t> </w:t>
            </w:r>
            <w:r>
              <w:rPr>
                <w:spacing w:val="-4"/>
                <w:sz w:val="20"/>
              </w:rPr>
              <w:t>idea</w:t>
            </w:r>
          </w:p>
        </w:tc>
        <w:tc>
          <w:tcPr>
            <w:tcW w:w="2077" w:type="dxa"/>
            <w:tcBorders>
              <w:top w:val="single" w:sz="8" w:space="0" w:color="000000"/>
            </w:tcBorders>
            <w:shd w:val="clear" w:color="auto" w:fill="C0C0C0"/>
          </w:tcPr>
          <w:p>
            <w:pPr>
              <w:pStyle w:val="TableParagraph"/>
              <w:spacing w:line="225" w:lineRule="exact"/>
              <w:ind w:left="297"/>
              <w:rPr>
                <w:sz w:val="20"/>
              </w:rPr>
            </w:pPr>
            <w:r>
              <w:rPr>
                <w:spacing w:val="-5"/>
                <w:sz w:val="20"/>
              </w:rPr>
              <w:t>78</w:t>
            </w:r>
          </w:p>
          <w:p>
            <w:pPr>
              <w:pStyle w:val="TableParagraph"/>
              <w:spacing w:line="229" w:lineRule="exact"/>
              <w:ind w:left="297"/>
              <w:rPr>
                <w:sz w:val="20"/>
              </w:rPr>
            </w:pPr>
            <w:r>
              <w:rPr>
                <w:spacing w:val="-5"/>
                <w:sz w:val="20"/>
              </w:rPr>
              <w:t>54</w:t>
            </w:r>
          </w:p>
          <w:p>
            <w:pPr>
              <w:pStyle w:val="TableParagraph"/>
              <w:spacing w:line="229" w:lineRule="exact"/>
              <w:ind w:left="297"/>
              <w:rPr>
                <w:sz w:val="20"/>
              </w:rPr>
            </w:pPr>
            <w:r>
              <w:rPr>
                <w:spacing w:val="-5"/>
                <w:sz w:val="20"/>
              </w:rPr>
              <w:t>24</w:t>
            </w:r>
          </w:p>
        </w:tc>
        <w:tc>
          <w:tcPr>
            <w:tcW w:w="1444" w:type="dxa"/>
            <w:tcBorders>
              <w:top w:val="single" w:sz="8" w:space="0" w:color="000000"/>
            </w:tcBorders>
            <w:shd w:val="clear" w:color="auto" w:fill="C0C0C0"/>
          </w:tcPr>
          <w:p>
            <w:pPr>
              <w:pStyle w:val="TableParagraph"/>
              <w:spacing w:line="225" w:lineRule="exact"/>
              <w:ind w:left="112"/>
              <w:rPr>
                <w:sz w:val="20"/>
              </w:rPr>
            </w:pPr>
            <w:r>
              <w:rPr>
                <w:spacing w:val="-2"/>
                <w:sz w:val="20"/>
              </w:rPr>
              <w:t>50.00</w:t>
            </w:r>
          </w:p>
          <w:p>
            <w:pPr>
              <w:pStyle w:val="TableParagraph"/>
              <w:spacing w:line="229" w:lineRule="exact"/>
              <w:ind w:left="112"/>
              <w:rPr>
                <w:sz w:val="20"/>
              </w:rPr>
            </w:pPr>
            <w:r>
              <w:rPr>
                <w:spacing w:val="-2"/>
                <w:sz w:val="20"/>
              </w:rPr>
              <w:t>35.00</w:t>
            </w:r>
          </w:p>
          <w:p>
            <w:pPr>
              <w:pStyle w:val="TableParagraph"/>
              <w:spacing w:line="229" w:lineRule="exact"/>
              <w:ind w:left="112"/>
              <w:rPr>
                <w:sz w:val="20"/>
              </w:rPr>
            </w:pPr>
            <w:r>
              <w:rPr>
                <w:spacing w:val="-2"/>
                <w:sz w:val="20"/>
              </w:rPr>
              <w:t>15.00</w:t>
            </w:r>
          </w:p>
        </w:tc>
      </w:tr>
      <w:tr>
        <w:trPr>
          <w:trHeight w:val="230" w:hRule="atLeast"/>
        </w:trPr>
        <w:tc>
          <w:tcPr>
            <w:tcW w:w="2873" w:type="dxa"/>
          </w:tcPr>
          <w:p>
            <w:pPr>
              <w:pStyle w:val="TableParagraph"/>
              <w:spacing w:line="210" w:lineRule="exact"/>
              <w:ind w:left="465"/>
              <w:rPr>
                <w:b/>
                <w:sz w:val="20"/>
              </w:rPr>
            </w:pPr>
            <w:r>
              <w:rPr>
                <w:b/>
                <w:spacing w:val="-2"/>
                <w:sz w:val="20"/>
              </w:rPr>
              <w:t>Total</w:t>
            </w:r>
          </w:p>
        </w:tc>
        <w:tc>
          <w:tcPr>
            <w:tcW w:w="2893" w:type="dxa"/>
          </w:tcPr>
          <w:p>
            <w:pPr>
              <w:pStyle w:val="TableParagraph"/>
              <w:rPr>
                <w:sz w:val="16"/>
              </w:rPr>
            </w:pPr>
          </w:p>
        </w:tc>
        <w:tc>
          <w:tcPr>
            <w:tcW w:w="2077" w:type="dxa"/>
          </w:tcPr>
          <w:p>
            <w:pPr>
              <w:pStyle w:val="TableParagraph"/>
              <w:spacing w:line="210" w:lineRule="exact"/>
              <w:ind w:left="297"/>
              <w:rPr>
                <w:sz w:val="20"/>
              </w:rPr>
            </w:pPr>
            <w:r>
              <w:rPr>
                <w:spacing w:val="-5"/>
                <w:sz w:val="20"/>
              </w:rPr>
              <w:t>156</w:t>
            </w:r>
          </w:p>
        </w:tc>
        <w:tc>
          <w:tcPr>
            <w:tcW w:w="1444" w:type="dxa"/>
          </w:tcPr>
          <w:p>
            <w:pPr>
              <w:pStyle w:val="TableParagraph"/>
              <w:spacing w:line="210" w:lineRule="exact"/>
              <w:ind w:left="112"/>
              <w:rPr>
                <w:sz w:val="20"/>
              </w:rPr>
            </w:pPr>
            <w:r>
              <w:rPr>
                <w:spacing w:val="-4"/>
                <w:sz w:val="20"/>
              </w:rPr>
              <w:t>100%</w:t>
            </w:r>
          </w:p>
        </w:tc>
      </w:tr>
      <w:tr>
        <w:trPr>
          <w:trHeight w:val="1171" w:hRule="atLeast"/>
        </w:trPr>
        <w:tc>
          <w:tcPr>
            <w:tcW w:w="2873" w:type="dxa"/>
            <w:shd w:val="clear" w:color="auto" w:fill="C0C0C0"/>
          </w:tcPr>
          <w:p>
            <w:pPr>
              <w:pStyle w:val="TableParagraph"/>
              <w:spacing w:before="20"/>
              <w:rPr>
                <w:b/>
                <w:sz w:val="20"/>
              </w:rPr>
            </w:pPr>
          </w:p>
          <w:p>
            <w:pPr>
              <w:pStyle w:val="TableParagraph"/>
              <w:ind w:left="122"/>
              <w:rPr>
                <w:b/>
                <w:sz w:val="20"/>
              </w:rPr>
            </w:pPr>
            <w:r>
              <w:rPr>
                <w:b/>
                <w:sz w:val="20"/>
              </w:rPr>
              <w:t>Is</w:t>
            </w:r>
            <w:r>
              <w:rPr>
                <w:b/>
                <w:spacing w:val="-9"/>
                <w:sz w:val="20"/>
              </w:rPr>
              <w:t> </w:t>
            </w:r>
            <w:r>
              <w:rPr>
                <w:b/>
                <w:sz w:val="20"/>
              </w:rPr>
              <w:t>there</w:t>
            </w:r>
            <w:r>
              <w:rPr>
                <w:b/>
                <w:spacing w:val="-8"/>
                <w:sz w:val="20"/>
              </w:rPr>
              <w:t> </w:t>
            </w:r>
            <w:r>
              <w:rPr>
                <w:b/>
                <w:sz w:val="20"/>
              </w:rPr>
              <w:t>a</w:t>
            </w:r>
            <w:r>
              <w:rPr>
                <w:b/>
                <w:spacing w:val="-5"/>
                <w:sz w:val="20"/>
              </w:rPr>
              <w:t> </w:t>
            </w:r>
            <w:r>
              <w:rPr>
                <w:b/>
                <w:sz w:val="20"/>
              </w:rPr>
              <w:t>medium</w:t>
            </w:r>
            <w:r>
              <w:rPr>
                <w:b/>
                <w:spacing w:val="-10"/>
                <w:sz w:val="20"/>
              </w:rPr>
              <w:t> </w:t>
            </w:r>
            <w:r>
              <w:rPr>
                <w:b/>
                <w:sz w:val="20"/>
              </w:rPr>
              <w:t>term</w:t>
            </w:r>
            <w:r>
              <w:rPr>
                <w:b/>
                <w:spacing w:val="-10"/>
                <w:sz w:val="20"/>
              </w:rPr>
              <w:t> </w:t>
            </w:r>
            <w:r>
              <w:rPr>
                <w:b/>
                <w:sz w:val="20"/>
              </w:rPr>
              <w:t>sector strategy developed by the</w:t>
            </w:r>
          </w:p>
          <w:p>
            <w:pPr>
              <w:pStyle w:val="TableParagraph"/>
              <w:spacing w:line="230" w:lineRule="atLeast"/>
              <w:ind w:left="122" w:right="111"/>
              <w:rPr>
                <w:b/>
                <w:sz w:val="20"/>
              </w:rPr>
            </w:pPr>
            <w:r>
              <w:rPr>
                <w:b/>
                <w:sz w:val="20"/>
              </w:rPr>
              <w:t>Anambra</w:t>
            </w:r>
            <w:r>
              <w:rPr>
                <w:b/>
                <w:spacing w:val="-13"/>
                <w:sz w:val="20"/>
              </w:rPr>
              <w:t> </w:t>
            </w:r>
            <w:r>
              <w:rPr>
                <w:b/>
                <w:sz w:val="20"/>
              </w:rPr>
              <w:t>State</w:t>
            </w:r>
            <w:r>
              <w:rPr>
                <w:b/>
                <w:spacing w:val="-12"/>
                <w:sz w:val="20"/>
              </w:rPr>
              <w:t> </w:t>
            </w:r>
            <w:r>
              <w:rPr>
                <w:b/>
                <w:sz w:val="20"/>
              </w:rPr>
              <w:t>Government for her housing sector?</w:t>
            </w:r>
          </w:p>
        </w:tc>
        <w:tc>
          <w:tcPr>
            <w:tcW w:w="2893" w:type="dxa"/>
            <w:shd w:val="clear" w:color="auto" w:fill="C0C0C0"/>
          </w:tcPr>
          <w:p>
            <w:pPr>
              <w:pStyle w:val="TableParagraph"/>
              <w:spacing w:before="15"/>
              <w:rPr>
                <w:b/>
                <w:sz w:val="20"/>
              </w:rPr>
            </w:pPr>
          </w:p>
          <w:p>
            <w:pPr>
              <w:pStyle w:val="TableParagraph"/>
              <w:ind w:left="180"/>
              <w:rPr>
                <w:sz w:val="20"/>
              </w:rPr>
            </w:pPr>
            <w:r>
              <w:rPr>
                <w:sz w:val="20"/>
              </w:rPr>
              <w:t>(a)</w:t>
            </w:r>
            <w:r>
              <w:rPr>
                <w:spacing w:val="-2"/>
                <w:sz w:val="20"/>
              </w:rPr>
              <w:t> </w:t>
            </w:r>
            <w:r>
              <w:rPr>
                <w:spacing w:val="-5"/>
                <w:sz w:val="20"/>
              </w:rPr>
              <w:t>Yes</w:t>
            </w:r>
          </w:p>
          <w:p>
            <w:pPr>
              <w:pStyle w:val="TableParagraph"/>
              <w:spacing w:before="1"/>
              <w:ind w:left="180"/>
              <w:rPr>
                <w:sz w:val="20"/>
              </w:rPr>
            </w:pPr>
            <w:r>
              <w:rPr>
                <w:sz w:val="20"/>
              </w:rPr>
              <w:t>(b)</w:t>
            </w:r>
            <w:r>
              <w:rPr>
                <w:spacing w:val="-1"/>
                <w:sz w:val="20"/>
              </w:rPr>
              <w:t> </w:t>
            </w:r>
            <w:r>
              <w:rPr>
                <w:spacing w:val="-5"/>
                <w:sz w:val="20"/>
              </w:rPr>
              <w:t>No</w:t>
            </w:r>
          </w:p>
          <w:p>
            <w:pPr>
              <w:pStyle w:val="TableParagraph"/>
              <w:ind w:left="180"/>
              <w:rPr>
                <w:sz w:val="20"/>
              </w:rPr>
            </w:pPr>
            <w:r>
              <w:rPr>
                <w:sz w:val="20"/>
              </w:rPr>
              <w:t>(e)</w:t>
            </w:r>
            <w:r>
              <w:rPr>
                <w:spacing w:val="-2"/>
                <w:sz w:val="20"/>
              </w:rPr>
              <w:t> </w:t>
            </w:r>
            <w:r>
              <w:rPr>
                <w:sz w:val="20"/>
              </w:rPr>
              <w:t>No</w:t>
            </w:r>
            <w:r>
              <w:rPr>
                <w:spacing w:val="-1"/>
                <w:sz w:val="20"/>
              </w:rPr>
              <w:t> </w:t>
            </w:r>
            <w:r>
              <w:rPr>
                <w:spacing w:val="-4"/>
                <w:sz w:val="20"/>
              </w:rPr>
              <w:t>idea</w:t>
            </w:r>
          </w:p>
        </w:tc>
        <w:tc>
          <w:tcPr>
            <w:tcW w:w="2077" w:type="dxa"/>
            <w:shd w:val="clear" w:color="auto" w:fill="C0C0C0"/>
          </w:tcPr>
          <w:p>
            <w:pPr>
              <w:pStyle w:val="TableParagraph"/>
              <w:spacing w:before="15"/>
              <w:rPr>
                <w:b/>
                <w:sz w:val="20"/>
              </w:rPr>
            </w:pPr>
          </w:p>
          <w:p>
            <w:pPr>
              <w:pStyle w:val="TableParagraph"/>
              <w:ind w:left="297"/>
              <w:rPr>
                <w:sz w:val="20"/>
              </w:rPr>
            </w:pPr>
            <w:r>
              <w:rPr>
                <w:spacing w:val="-5"/>
                <w:sz w:val="20"/>
              </w:rPr>
              <w:t>11</w:t>
            </w:r>
          </w:p>
          <w:p>
            <w:pPr>
              <w:pStyle w:val="TableParagraph"/>
              <w:spacing w:before="1"/>
              <w:ind w:left="297"/>
              <w:rPr>
                <w:sz w:val="20"/>
              </w:rPr>
            </w:pPr>
            <w:r>
              <w:rPr>
                <w:spacing w:val="-5"/>
                <w:sz w:val="20"/>
              </w:rPr>
              <w:t>121</w:t>
            </w:r>
          </w:p>
          <w:p>
            <w:pPr>
              <w:pStyle w:val="TableParagraph"/>
              <w:ind w:left="297"/>
              <w:rPr>
                <w:sz w:val="20"/>
              </w:rPr>
            </w:pPr>
            <w:r>
              <w:rPr>
                <w:spacing w:val="-5"/>
                <w:sz w:val="20"/>
              </w:rPr>
              <w:t>24</w:t>
            </w:r>
          </w:p>
        </w:tc>
        <w:tc>
          <w:tcPr>
            <w:tcW w:w="1444" w:type="dxa"/>
            <w:shd w:val="clear" w:color="auto" w:fill="C0C0C0"/>
          </w:tcPr>
          <w:p>
            <w:pPr>
              <w:pStyle w:val="TableParagraph"/>
              <w:spacing w:before="15"/>
              <w:rPr>
                <w:b/>
                <w:sz w:val="20"/>
              </w:rPr>
            </w:pPr>
          </w:p>
          <w:p>
            <w:pPr>
              <w:pStyle w:val="TableParagraph"/>
              <w:ind w:left="212"/>
              <w:rPr>
                <w:sz w:val="20"/>
              </w:rPr>
            </w:pPr>
            <w:r>
              <w:rPr>
                <w:spacing w:val="-4"/>
                <w:sz w:val="20"/>
              </w:rPr>
              <w:t>7.00</w:t>
            </w:r>
          </w:p>
          <w:p>
            <w:pPr>
              <w:pStyle w:val="TableParagraph"/>
              <w:spacing w:before="1"/>
              <w:ind w:left="112"/>
              <w:rPr>
                <w:sz w:val="20"/>
              </w:rPr>
            </w:pPr>
            <w:r>
              <w:rPr>
                <w:spacing w:val="-2"/>
                <w:sz w:val="20"/>
              </w:rPr>
              <w:t>78.00</w:t>
            </w:r>
          </w:p>
          <w:p>
            <w:pPr>
              <w:pStyle w:val="TableParagraph"/>
              <w:ind w:left="112"/>
              <w:rPr>
                <w:sz w:val="20"/>
              </w:rPr>
            </w:pPr>
            <w:r>
              <w:rPr>
                <w:spacing w:val="-2"/>
                <w:sz w:val="20"/>
              </w:rPr>
              <w:t>15.00</w:t>
            </w:r>
          </w:p>
        </w:tc>
      </w:tr>
      <w:tr>
        <w:trPr>
          <w:trHeight w:val="549" w:hRule="atLeast"/>
        </w:trPr>
        <w:tc>
          <w:tcPr>
            <w:tcW w:w="2873" w:type="dxa"/>
          </w:tcPr>
          <w:p>
            <w:pPr>
              <w:pStyle w:val="TableParagraph"/>
              <w:spacing w:line="228" w:lineRule="exact"/>
              <w:ind w:left="465"/>
              <w:rPr>
                <w:b/>
                <w:sz w:val="20"/>
              </w:rPr>
            </w:pPr>
            <w:r>
              <w:rPr>
                <w:b/>
                <w:spacing w:val="-2"/>
                <w:sz w:val="20"/>
              </w:rPr>
              <w:t>Total</w:t>
            </w:r>
          </w:p>
        </w:tc>
        <w:tc>
          <w:tcPr>
            <w:tcW w:w="2893" w:type="dxa"/>
          </w:tcPr>
          <w:p>
            <w:pPr>
              <w:pStyle w:val="TableParagraph"/>
              <w:rPr>
                <w:sz w:val="20"/>
              </w:rPr>
            </w:pPr>
          </w:p>
        </w:tc>
        <w:tc>
          <w:tcPr>
            <w:tcW w:w="2077" w:type="dxa"/>
          </w:tcPr>
          <w:p>
            <w:pPr>
              <w:pStyle w:val="TableParagraph"/>
              <w:spacing w:line="223" w:lineRule="exact"/>
              <w:ind w:left="297"/>
              <w:rPr>
                <w:sz w:val="20"/>
              </w:rPr>
            </w:pPr>
            <w:r>
              <w:rPr>
                <w:spacing w:val="-5"/>
                <w:sz w:val="20"/>
              </w:rPr>
              <w:t>156</w:t>
            </w:r>
          </w:p>
        </w:tc>
        <w:tc>
          <w:tcPr>
            <w:tcW w:w="1444" w:type="dxa"/>
          </w:tcPr>
          <w:p>
            <w:pPr>
              <w:pStyle w:val="TableParagraph"/>
              <w:spacing w:line="223" w:lineRule="exact"/>
              <w:ind w:left="112"/>
              <w:rPr>
                <w:sz w:val="20"/>
              </w:rPr>
            </w:pPr>
            <w:r>
              <w:rPr>
                <w:spacing w:val="-4"/>
                <w:sz w:val="20"/>
              </w:rPr>
              <w:t>100%</w:t>
            </w:r>
          </w:p>
        </w:tc>
      </w:tr>
      <w:tr>
        <w:trPr>
          <w:trHeight w:val="1149" w:hRule="atLeast"/>
        </w:trPr>
        <w:tc>
          <w:tcPr>
            <w:tcW w:w="2873" w:type="dxa"/>
            <w:shd w:val="clear" w:color="auto" w:fill="C0C0C0"/>
          </w:tcPr>
          <w:p>
            <w:pPr>
              <w:pStyle w:val="TableParagraph"/>
              <w:ind w:left="122" w:right="111"/>
              <w:rPr>
                <w:b/>
                <w:sz w:val="20"/>
              </w:rPr>
            </w:pPr>
            <w:r>
              <w:rPr>
                <w:b/>
                <w:sz w:val="20"/>
              </w:rPr>
              <w:t>Is</w:t>
            </w:r>
            <w:r>
              <w:rPr>
                <w:b/>
                <w:spacing w:val="-11"/>
                <w:sz w:val="20"/>
              </w:rPr>
              <w:t> </w:t>
            </w:r>
            <w:r>
              <w:rPr>
                <w:b/>
                <w:sz w:val="20"/>
              </w:rPr>
              <w:t>a</w:t>
            </w:r>
            <w:r>
              <w:rPr>
                <w:b/>
                <w:spacing w:val="-9"/>
                <w:sz w:val="20"/>
              </w:rPr>
              <w:t> </w:t>
            </w:r>
            <w:r>
              <w:rPr>
                <w:b/>
                <w:sz w:val="20"/>
              </w:rPr>
              <w:t>housing</w:t>
            </w:r>
            <w:r>
              <w:rPr>
                <w:b/>
                <w:spacing w:val="-10"/>
                <w:sz w:val="20"/>
              </w:rPr>
              <w:t> </w:t>
            </w:r>
            <w:r>
              <w:rPr>
                <w:b/>
                <w:sz w:val="20"/>
              </w:rPr>
              <w:t>needs</w:t>
            </w:r>
            <w:r>
              <w:rPr>
                <w:b/>
                <w:spacing w:val="-11"/>
                <w:sz w:val="20"/>
              </w:rPr>
              <w:t> </w:t>
            </w:r>
            <w:r>
              <w:rPr>
                <w:b/>
                <w:sz w:val="20"/>
              </w:rPr>
              <w:t>assessment of the citizenry carried out before housing budget estimates are prepared?</w:t>
            </w:r>
          </w:p>
        </w:tc>
        <w:tc>
          <w:tcPr>
            <w:tcW w:w="2893" w:type="dxa"/>
            <w:shd w:val="clear" w:color="auto" w:fill="C0C0C0"/>
          </w:tcPr>
          <w:p>
            <w:pPr>
              <w:pStyle w:val="TableParagraph"/>
              <w:numPr>
                <w:ilvl w:val="0"/>
                <w:numId w:val="83"/>
              </w:numPr>
              <w:tabs>
                <w:tab w:pos="580" w:val="left" w:leader="none"/>
              </w:tabs>
              <w:spacing w:line="223" w:lineRule="exact" w:before="0" w:after="0"/>
              <w:ind w:left="580" w:right="0" w:hanging="359"/>
              <w:jc w:val="left"/>
              <w:rPr>
                <w:sz w:val="20"/>
              </w:rPr>
            </w:pPr>
            <w:r>
              <w:rPr>
                <w:spacing w:val="-5"/>
                <w:sz w:val="20"/>
              </w:rPr>
              <w:t>Yes</w:t>
            </w:r>
          </w:p>
          <w:p>
            <w:pPr>
              <w:pStyle w:val="TableParagraph"/>
              <w:numPr>
                <w:ilvl w:val="0"/>
                <w:numId w:val="83"/>
              </w:numPr>
              <w:tabs>
                <w:tab w:pos="560" w:val="left" w:leader="none"/>
              </w:tabs>
              <w:spacing w:line="229" w:lineRule="exact" w:before="0" w:after="0"/>
              <w:ind w:left="560" w:right="0" w:hanging="359"/>
              <w:jc w:val="left"/>
              <w:rPr>
                <w:sz w:val="20"/>
              </w:rPr>
            </w:pPr>
            <w:r>
              <w:rPr>
                <w:spacing w:val="-5"/>
                <w:sz w:val="20"/>
              </w:rPr>
              <w:t>No</w:t>
            </w:r>
          </w:p>
          <w:p>
            <w:pPr>
              <w:pStyle w:val="TableParagraph"/>
              <w:numPr>
                <w:ilvl w:val="0"/>
                <w:numId w:val="83"/>
              </w:numPr>
              <w:tabs>
                <w:tab w:pos="560" w:val="left" w:leader="none"/>
              </w:tabs>
              <w:spacing w:line="229" w:lineRule="exact" w:before="0" w:after="0"/>
              <w:ind w:left="560" w:right="0" w:hanging="359"/>
              <w:jc w:val="left"/>
              <w:rPr>
                <w:sz w:val="20"/>
              </w:rPr>
            </w:pPr>
            <w:r>
              <w:rPr>
                <w:sz w:val="20"/>
              </w:rPr>
              <w:t>No</w:t>
            </w:r>
            <w:r>
              <w:rPr>
                <w:spacing w:val="-2"/>
                <w:sz w:val="20"/>
              </w:rPr>
              <w:t> </w:t>
            </w:r>
            <w:r>
              <w:rPr>
                <w:spacing w:val="-4"/>
                <w:sz w:val="20"/>
              </w:rPr>
              <w:t>idea</w:t>
            </w:r>
          </w:p>
        </w:tc>
        <w:tc>
          <w:tcPr>
            <w:tcW w:w="2077" w:type="dxa"/>
            <w:shd w:val="clear" w:color="auto" w:fill="C0C0C0"/>
          </w:tcPr>
          <w:p>
            <w:pPr>
              <w:pStyle w:val="TableParagraph"/>
              <w:spacing w:line="223" w:lineRule="exact"/>
              <w:ind w:left="297"/>
              <w:rPr>
                <w:sz w:val="20"/>
              </w:rPr>
            </w:pPr>
            <w:r>
              <w:rPr>
                <w:spacing w:val="-5"/>
                <w:sz w:val="20"/>
              </w:rPr>
              <w:t>19</w:t>
            </w:r>
          </w:p>
          <w:p>
            <w:pPr>
              <w:pStyle w:val="TableParagraph"/>
              <w:spacing w:line="229" w:lineRule="exact"/>
              <w:ind w:left="297"/>
              <w:rPr>
                <w:sz w:val="20"/>
              </w:rPr>
            </w:pPr>
            <w:r>
              <w:rPr>
                <w:spacing w:val="-5"/>
                <w:sz w:val="20"/>
              </w:rPr>
              <w:t>130</w:t>
            </w:r>
          </w:p>
          <w:p>
            <w:pPr>
              <w:pStyle w:val="TableParagraph"/>
              <w:spacing w:line="229" w:lineRule="exact"/>
              <w:ind w:left="297"/>
              <w:rPr>
                <w:sz w:val="20"/>
              </w:rPr>
            </w:pPr>
            <w:r>
              <w:rPr>
                <w:spacing w:val="-10"/>
                <w:sz w:val="20"/>
              </w:rPr>
              <w:t>7</w:t>
            </w:r>
          </w:p>
        </w:tc>
        <w:tc>
          <w:tcPr>
            <w:tcW w:w="1444" w:type="dxa"/>
            <w:shd w:val="clear" w:color="auto" w:fill="C0C0C0"/>
          </w:tcPr>
          <w:p>
            <w:pPr>
              <w:pStyle w:val="TableParagraph"/>
              <w:spacing w:line="223" w:lineRule="exact"/>
              <w:ind w:left="112"/>
              <w:rPr>
                <w:sz w:val="20"/>
              </w:rPr>
            </w:pPr>
            <w:r>
              <w:rPr>
                <w:spacing w:val="-2"/>
                <w:sz w:val="20"/>
              </w:rPr>
              <w:t>12.00</w:t>
            </w:r>
          </w:p>
          <w:p>
            <w:pPr>
              <w:pStyle w:val="TableParagraph"/>
              <w:spacing w:line="229" w:lineRule="exact"/>
              <w:ind w:left="112"/>
              <w:rPr>
                <w:sz w:val="20"/>
              </w:rPr>
            </w:pPr>
            <w:r>
              <w:rPr>
                <w:spacing w:val="-2"/>
                <w:sz w:val="20"/>
              </w:rPr>
              <w:t>83.00</w:t>
            </w:r>
          </w:p>
          <w:p>
            <w:pPr>
              <w:pStyle w:val="TableParagraph"/>
              <w:spacing w:line="229" w:lineRule="exact"/>
              <w:ind w:left="212"/>
              <w:rPr>
                <w:sz w:val="20"/>
              </w:rPr>
            </w:pPr>
            <w:r>
              <w:rPr>
                <w:spacing w:val="-4"/>
                <w:sz w:val="20"/>
              </w:rPr>
              <w:t>5.00</w:t>
            </w:r>
          </w:p>
        </w:tc>
      </w:tr>
      <w:tr>
        <w:trPr>
          <w:trHeight w:val="547" w:hRule="atLeast"/>
        </w:trPr>
        <w:tc>
          <w:tcPr>
            <w:tcW w:w="2873" w:type="dxa"/>
          </w:tcPr>
          <w:p>
            <w:pPr>
              <w:pStyle w:val="TableParagraph"/>
              <w:spacing w:line="228" w:lineRule="exact"/>
              <w:ind w:left="465"/>
              <w:rPr>
                <w:b/>
                <w:sz w:val="20"/>
              </w:rPr>
            </w:pPr>
            <w:r>
              <w:rPr>
                <w:b/>
                <w:spacing w:val="-2"/>
                <w:sz w:val="20"/>
              </w:rPr>
              <w:t>Total</w:t>
            </w:r>
          </w:p>
        </w:tc>
        <w:tc>
          <w:tcPr>
            <w:tcW w:w="2893" w:type="dxa"/>
          </w:tcPr>
          <w:p>
            <w:pPr>
              <w:pStyle w:val="TableParagraph"/>
              <w:rPr>
                <w:sz w:val="20"/>
              </w:rPr>
            </w:pPr>
          </w:p>
        </w:tc>
        <w:tc>
          <w:tcPr>
            <w:tcW w:w="2077" w:type="dxa"/>
          </w:tcPr>
          <w:p>
            <w:pPr>
              <w:pStyle w:val="TableParagraph"/>
              <w:spacing w:line="223" w:lineRule="exact"/>
              <w:ind w:left="297"/>
              <w:rPr>
                <w:sz w:val="20"/>
              </w:rPr>
            </w:pPr>
            <w:r>
              <w:rPr>
                <w:spacing w:val="-5"/>
                <w:sz w:val="20"/>
              </w:rPr>
              <w:t>156</w:t>
            </w:r>
          </w:p>
        </w:tc>
        <w:tc>
          <w:tcPr>
            <w:tcW w:w="1444" w:type="dxa"/>
          </w:tcPr>
          <w:p>
            <w:pPr>
              <w:pStyle w:val="TableParagraph"/>
              <w:spacing w:line="223" w:lineRule="exact"/>
              <w:ind w:left="112"/>
              <w:rPr>
                <w:sz w:val="20"/>
              </w:rPr>
            </w:pPr>
            <w:r>
              <w:rPr>
                <w:spacing w:val="-4"/>
                <w:sz w:val="20"/>
              </w:rPr>
              <w:t>100%</w:t>
            </w:r>
          </w:p>
        </w:tc>
      </w:tr>
      <w:tr>
        <w:trPr>
          <w:trHeight w:val="463" w:hRule="atLeast"/>
        </w:trPr>
        <w:tc>
          <w:tcPr>
            <w:tcW w:w="2873" w:type="dxa"/>
            <w:shd w:val="clear" w:color="auto" w:fill="C0C0C0"/>
          </w:tcPr>
          <w:p>
            <w:pPr>
              <w:pStyle w:val="TableParagraph"/>
              <w:spacing w:line="230" w:lineRule="exact"/>
              <w:ind w:left="122"/>
              <w:rPr>
                <w:b/>
                <w:sz w:val="20"/>
              </w:rPr>
            </w:pPr>
            <w:r>
              <w:rPr>
                <w:b/>
                <w:sz w:val="20"/>
              </w:rPr>
              <w:t>If yes, when is the needs assessment</w:t>
            </w:r>
            <w:r>
              <w:rPr>
                <w:b/>
                <w:spacing w:val="-13"/>
                <w:sz w:val="20"/>
              </w:rPr>
              <w:t> </w:t>
            </w:r>
            <w:r>
              <w:rPr>
                <w:b/>
                <w:sz w:val="20"/>
              </w:rPr>
              <w:t>usually</w:t>
            </w:r>
            <w:r>
              <w:rPr>
                <w:b/>
                <w:spacing w:val="-12"/>
                <w:sz w:val="20"/>
              </w:rPr>
              <w:t> </w:t>
            </w:r>
            <w:r>
              <w:rPr>
                <w:b/>
                <w:sz w:val="20"/>
              </w:rPr>
              <w:t>carried</w:t>
            </w:r>
          </w:p>
        </w:tc>
        <w:tc>
          <w:tcPr>
            <w:tcW w:w="2893" w:type="dxa"/>
            <w:vMerge w:val="restart"/>
            <w:shd w:val="clear" w:color="auto" w:fill="C0C0C0"/>
          </w:tcPr>
          <w:p>
            <w:pPr>
              <w:pStyle w:val="TableParagraph"/>
              <w:numPr>
                <w:ilvl w:val="0"/>
                <w:numId w:val="84"/>
              </w:numPr>
              <w:tabs>
                <w:tab w:pos="581" w:val="left" w:leader="none"/>
              </w:tabs>
              <w:spacing w:line="240" w:lineRule="auto" w:before="0" w:after="0"/>
              <w:ind w:left="581" w:right="449" w:hanging="360"/>
              <w:jc w:val="left"/>
              <w:rPr>
                <w:sz w:val="20"/>
              </w:rPr>
            </w:pPr>
            <w:r>
              <w:rPr>
                <w:sz w:val="20"/>
              </w:rPr>
              <w:t>Once</w:t>
            </w:r>
            <w:r>
              <w:rPr>
                <w:spacing w:val="-11"/>
                <w:sz w:val="20"/>
              </w:rPr>
              <w:t> </w:t>
            </w:r>
            <w:r>
              <w:rPr>
                <w:sz w:val="20"/>
              </w:rPr>
              <w:t>a</w:t>
            </w:r>
            <w:r>
              <w:rPr>
                <w:spacing w:val="-10"/>
                <w:sz w:val="20"/>
              </w:rPr>
              <w:t> </w:t>
            </w:r>
            <w:r>
              <w:rPr>
                <w:sz w:val="20"/>
              </w:rPr>
              <w:t>year;</w:t>
            </w:r>
            <w:r>
              <w:rPr>
                <w:spacing w:val="-12"/>
                <w:sz w:val="20"/>
              </w:rPr>
              <w:t> </w:t>
            </w:r>
            <w:r>
              <w:rPr>
                <w:sz w:val="20"/>
              </w:rPr>
              <w:t>before</w:t>
            </w:r>
            <w:r>
              <w:rPr>
                <w:spacing w:val="-11"/>
                <w:sz w:val="20"/>
              </w:rPr>
              <w:t> </w:t>
            </w:r>
            <w:r>
              <w:rPr>
                <w:sz w:val="20"/>
              </w:rPr>
              <w:t>the budget preparation</w:t>
            </w:r>
          </w:p>
          <w:p>
            <w:pPr>
              <w:pStyle w:val="TableParagraph"/>
              <w:numPr>
                <w:ilvl w:val="0"/>
                <w:numId w:val="84"/>
              </w:numPr>
              <w:tabs>
                <w:tab w:pos="561" w:val="left" w:leader="none"/>
              </w:tabs>
              <w:spacing w:line="240" w:lineRule="auto" w:before="0" w:after="0"/>
              <w:ind w:left="561" w:right="561" w:hanging="360"/>
              <w:jc w:val="left"/>
              <w:rPr>
                <w:sz w:val="20"/>
              </w:rPr>
            </w:pPr>
            <w:r>
              <w:rPr>
                <w:sz w:val="20"/>
              </w:rPr>
              <w:t>Sometimes;</w:t>
            </w:r>
            <w:r>
              <w:rPr>
                <w:spacing w:val="-13"/>
                <w:sz w:val="20"/>
              </w:rPr>
              <w:t> </w:t>
            </w:r>
            <w:r>
              <w:rPr>
                <w:sz w:val="20"/>
              </w:rPr>
              <w:t>when</w:t>
            </w:r>
            <w:r>
              <w:rPr>
                <w:spacing w:val="-12"/>
                <w:sz w:val="20"/>
              </w:rPr>
              <w:t> </w:t>
            </w:r>
            <w:r>
              <w:rPr>
                <w:sz w:val="20"/>
              </w:rPr>
              <w:t>it</w:t>
            </w:r>
            <w:r>
              <w:rPr>
                <w:spacing w:val="-13"/>
                <w:sz w:val="20"/>
              </w:rPr>
              <w:t> </w:t>
            </w:r>
            <w:r>
              <w:rPr>
                <w:sz w:val="20"/>
              </w:rPr>
              <w:t>is </w:t>
            </w:r>
            <w:r>
              <w:rPr>
                <w:spacing w:val="-2"/>
                <w:sz w:val="20"/>
              </w:rPr>
              <w:t>convenient</w:t>
            </w:r>
          </w:p>
          <w:p>
            <w:pPr>
              <w:pStyle w:val="TableParagraph"/>
              <w:numPr>
                <w:ilvl w:val="0"/>
                <w:numId w:val="84"/>
              </w:numPr>
              <w:tabs>
                <w:tab w:pos="560" w:val="left" w:leader="none"/>
              </w:tabs>
              <w:spacing w:line="228" w:lineRule="exact" w:before="0" w:after="0"/>
              <w:ind w:left="560" w:right="0" w:hanging="359"/>
              <w:jc w:val="left"/>
              <w:rPr>
                <w:sz w:val="20"/>
              </w:rPr>
            </w:pPr>
            <w:r>
              <w:rPr>
                <w:sz w:val="20"/>
              </w:rPr>
              <w:t>When</w:t>
            </w:r>
            <w:r>
              <w:rPr>
                <w:spacing w:val="-4"/>
                <w:sz w:val="20"/>
              </w:rPr>
              <w:t> </w:t>
            </w:r>
            <w:r>
              <w:rPr>
                <w:sz w:val="20"/>
              </w:rPr>
              <w:t>funds</w:t>
            </w:r>
            <w:r>
              <w:rPr>
                <w:spacing w:val="-6"/>
                <w:sz w:val="20"/>
              </w:rPr>
              <w:t> </w:t>
            </w:r>
            <w:r>
              <w:rPr>
                <w:sz w:val="20"/>
              </w:rPr>
              <w:t>are</w:t>
            </w:r>
            <w:r>
              <w:rPr>
                <w:spacing w:val="-4"/>
                <w:sz w:val="20"/>
              </w:rPr>
              <w:t> </w:t>
            </w:r>
            <w:r>
              <w:rPr>
                <w:spacing w:val="-2"/>
                <w:sz w:val="20"/>
              </w:rPr>
              <w:t>available</w:t>
            </w:r>
          </w:p>
          <w:p>
            <w:pPr>
              <w:pStyle w:val="TableParagraph"/>
              <w:numPr>
                <w:ilvl w:val="0"/>
                <w:numId w:val="84"/>
              </w:numPr>
              <w:tabs>
                <w:tab w:pos="560" w:val="left" w:leader="none"/>
              </w:tabs>
              <w:spacing w:line="240" w:lineRule="auto" w:before="0" w:after="0"/>
              <w:ind w:left="560" w:right="0" w:hanging="359"/>
              <w:jc w:val="left"/>
              <w:rPr>
                <w:sz w:val="20"/>
              </w:rPr>
            </w:pPr>
            <w:r>
              <w:rPr>
                <w:sz w:val="20"/>
              </w:rPr>
              <w:t>Often;</w:t>
            </w:r>
            <w:r>
              <w:rPr>
                <w:spacing w:val="-5"/>
                <w:sz w:val="20"/>
              </w:rPr>
              <w:t> </w:t>
            </w:r>
            <w:r>
              <w:rPr>
                <w:sz w:val="20"/>
              </w:rPr>
              <w:t>a</w:t>
            </w:r>
            <w:r>
              <w:rPr>
                <w:spacing w:val="-4"/>
                <w:sz w:val="20"/>
              </w:rPr>
              <w:t> </w:t>
            </w:r>
            <w:r>
              <w:rPr>
                <w:spacing w:val="-2"/>
                <w:sz w:val="20"/>
              </w:rPr>
              <w:t>routine</w:t>
            </w:r>
          </w:p>
          <w:p>
            <w:pPr>
              <w:pStyle w:val="TableParagraph"/>
              <w:numPr>
                <w:ilvl w:val="0"/>
                <w:numId w:val="84"/>
              </w:numPr>
              <w:tabs>
                <w:tab w:pos="560" w:val="left" w:leader="none"/>
              </w:tabs>
              <w:spacing w:line="240" w:lineRule="auto" w:before="0" w:after="0"/>
              <w:ind w:left="560" w:right="0" w:hanging="359"/>
              <w:jc w:val="left"/>
              <w:rPr>
                <w:sz w:val="20"/>
              </w:rPr>
            </w:pPr>
            <w:r>
              <w:rPr>
                <w:sz w:val="20"/>
              </w:rPr>
              <w:t>No</w:t>
            </w:r>
            <w:r>
              <w:rPr>
                <w:spacing w:val="-2"/>
                <w:sz w:val="20"/>
              </w:rPr>
              <w:t> </w:t>
            </w:r>
            <w:r>
              <w:rPr>
                <w:spacing w:val="-4"/>
                <w:sz w:val="20"/>
              </w:rPr>
              <w:t>idea</w:t>
            </w:r>
          </w:p>
        </w:tc>
        <w:tc>
          <w:tcPr>
            <w:tcW w:w="2077" w:type="dxa"/>
            <w:shd w:val="clear" w:color="auto" w:fill="C0C0C0"/>
          </w:tcPr>
          <w:p>
            <w:pPr>
              <w:pStyle w:val="TableParagraph"/>
              <w:spacing w:before="17"/>
              <w:ind w:left="297"/>
              <w:rPr>
                <w:sz w:val="20"/>
              </w:rPr>
            </w:pPr>
            <w:r>
              <w:rPr>
                <w:spacing w:val="-5"/>
                <w:sz w:val="20"/>
              </w:rPr>
              <w:t>38</w:t>
            </w:r>
          </w:p>
        </w:tc>
        <w:tc>
          <w:tcPr>
            <w:tcW w:w="1444" w:type="dxa"/>
            <w:shd w:val="clear" w:color="auto" w:fill="C0C0C0"/>
          </w:tcPr>
          <w:p>
            <w:pPr>
              <w:pStyle w:val="TableParagraph"/>
              <w:spacing w:before="17"/>
              <w:ind w:left="112"/>
              <w:rPr>
                <w:sz w:val="20"/>
              </w:rPr>
            </w:pPr>
            <w:r>
              <w:rPr>
                <w:spacing w:val="-2"/>
                <w:sz w:val="20"/>
              </w:rPr>
              <w:t>24.00</w:t>
            </w:r>
          </w:p>
        </w:tc>
      </w:tr>
      <w:tr>
        <w:trPr>
          <w:trHeight w:val="362" w:hRule="atLeast"/>
        </w:trPr>
        <w:tc>
          <w:tcPr>
            <w:tcW w:w="2873" w:type="dxa"/>
            <w:shd w:val="clear" w:color="auto" w:fill="C0C0C0"/>
          </w:tcPr>
          <w:p>
            <w:pPr>
              <w:pStyle w:val="TableParagraph"/>
              <w:spacing w:line="226" w:lineRule="exact"/>
              <w:ind w:left="122"/>
              <w:rPr>
                <w:b/>
                <w:sz w:val="20"/>
              </w:rPr>
            </w:pPr>
            <w:r>
              <w:rPr>
                <w:b/>
                <w:spacing w:val="-4"/>
                <w:sz w:val="20"/>
              </w:rPr>
              <w:t>out?</w:t>
            </w:r>
          </w:p>
        </w:tc>
        <w:tc>
          <w:tcPr>
            <w:tcW w:w="2893" w:type="dxa"/>
            <w:vMerge/>
            <w:tcBorders>
              <w:top w:val="nil"/>
            </w:tcBorders>
            <w:shd w:val="clear" w:color="auto" w:fill="C0C0C0"/>
          </w:tcPr>
          <w:p>
            <w:pPr>
              <w:rPr>
                <w:sz w:val="2"/>
                <w:szCs w:val="2"/>
              </w:rPr>
            </w:pPr>
          </w:p>
        </w:tc>
        <w:tc>
          <w:tcPr>
            <w:tcW w:w="2077" w:type="dxa"/>
            <w:shd w:val="clear" w:color="auto" w:fill="C0C0C0"/>
          </w:tcPr>
          <w:p>
            <w:pPr>
              <w:pStyle w:val="TableParagraph"/>
              <w:spacing w:before="12"/>
              <w:ind w:left="297"/>
              <w:rPr>
                <w:sz w:val="20"/>
              </w:rPr>
            </w:pPr>
            <w:r>
              <w:rPr>
                <w:spacing w:val="-5"/>
                <w:sz w:val="20"/>
              </w:rPr>
              <w:t>75</w:t>
            </w:r>
          </w:p>
        </w:tc>
        <w:tc>
          <w:tcPr>
            <w:tcW w:w="1444" w:type="dxa"/>
            <w:shd w:val="clear" w:color="auto" w:fill="C0C0C0"/>
          </w:tcPr>
          <w:p>
            <w:pPr>
              <w:pStyle w:val="TableParagraph"/>
              <w:spacing w:before="12"/>
              <w:ind w:left="112"/>
              <w:rPr>
                <w:sz w:val="20"/>
              </w:rPr>
            </w:pPr>
            <w:r>
              <w:rPr>
                <w:spacing w:val="-2"/>
                <w:sz w:val="20"/>
              </w:rPr>
              <w:t>48.00</w:t>
            </w:r>
          </w:p>
        </w:tc>
      </w:tr>
      <w:tr>
        <w:trPr>
          <w:trHeight w:val="345" w:hRule="atLeast"/>
        </w:trPr>
        <w:tc>
          <w:tcPr>
            <w:tcW w:w="2873" w:type="dxa"/>
            <w:shd w:val="clear" w:color="auto" w:fill="C0C0C0"/>
          </w:tcPr>
          <w:p>
            <w:pPr>
              <w:pStyle w:val="TableParagraph"/>
              <w:rPr>
                <w:sz w:val="20"/>
              </w:rPr>
            </w:pPr>
          </w:p>
        </w:tc>
        <w:tc>
          <w:tcPr>
            <w:tcW w:w="2893" w:type="dxa"/>
            <w:vMerge/>
            <w:tcBorders>
              <w:top w:val="nil"/>
            </w:tcBorders>
            <w:shd w:val="clear" w:color="auto" w:fill="C0C0C0"/>
          </w:tcPr>
          <w:p>
            <w:pPr>
              <w:rPr>
                <w:sz w:val="2"/>
                <w:szCs w:val="2"/>
              </w:rPr>
            </w:pPr>
          </w:p>
        </w:tc>
        <w:tc>
          <w:tcPr>
            <w:tcW w:w="2077" w:type="dxa"/>
            <w:shd w:val="clear" w:color="auto" w:fill="C0C0C0"/>
          </w:tcPr>
          <w:p>
            <w:pPr>
              <w:pStyle w:val="TableParagraph"/>
              <w:spacing w:line="215" w:lineRule="exact" w:before="111"/>
              <w:ind w:left="297"/>
              <w:rPr>
                <w:sz w:val="20"/>
              </w:rPr>
            </w:pPr>
            <w:r>
              <w:rPr>
                <w:spacing w:val="-5"/>
                <w:sz w:val="20"/>
              </w:rPr>
              <w:t>29</w:t>
            </w:r>
          </w:p>
        </w:tc>
        <w:tc>
          <w:tcPr>
            <w:tcW w:w="1444" w:type="dxa"/>
            <w:shd w:val="clear" w:color="auto" w:fill="C0C0C0"/>
          </w:tcPr>
          <w:p>
            <w:pPr>
              <w:pStyle w:val="TableParagraph"/>
              <w:spacing w:line="215" w:lineRule="exact" w:before="111"/>
              <w:ind w:left="112"/>
              <w:rPr>
                <w:sz w:val="20"/>
              </w:rPr>
            </w:pPr>
            <w:r>
              <w:rPr>
                <w:spacing w:val="-2"/>
                <w:sz w:val="20"/>
              </w:rPr>
              <w:t>19.00</w:t>
            </w:r>
          </w:p>
        </w:tc>
      </w:tr>
      <w:tr>
        <w:trPr>
          <w:trHeight w:val="230" w:hRule="atLeast"/>
        </w:trPr>
        <w:tc>
          <w:tcPr>
            <w:tcW w:w="2873" w:type="dxa"/>
            <w:shd w:val="clear" w:color="auto" w:fill="C0C0C0"/>
          </w:tcPr>
          <w:p>
            <w:pPr>
              <w:pStyle w:val="TableParagraph"/>
              <w:rPr>
                <w:sz w:val="16"/>
              </w:rPr>
            </w:pPr>
          </w:p>
        </w:tc>
        <w:tc>
          <w:tcPr>
            <w:tcW w:w="2893" w:type="dxa"/>
            <w:vMerge/>
            <w:tcBorders>
              <w:top w:val="nil"/>
            </w:tcBorders>
            <w:shd w:val="clear" w:color="auto" w:fill="C0C0C0"/>
          </w:tcPr>
          <w:p>
            <w:pPr>
              <w:rPr>
                <w:sz w:val="2"/>
                <w:szCs w:val="2"/>
              </w:rPr>
            </w:pPr>
          </w:p>
        </w:tc>
        <w:tc>
          <w:tcPr>
            <w:tcW w:w="2077" w:type="dxa"/>
            <w:shd w:val="clear" w:color="auto" w:fill="C0C0C0"/>
          </w:tcPr>
          <w:p>
            <w:pPr>
              <w:pStyle w:val="TableParagraph"/>
              <w:spacing w:line="210" w:lineRule="exact"/>
              <w:ind w:left="297"/>
              <w:rPr>
                <w:sz w:val="20"/>
              </w:rPr>
            </w:pPr>
            <w:r>
              <w:rPr>
                <w:spacing w:val="-10"/>
                <w:sz w:val="20"/>
              </w:rPr>
              <w:t>6</w:t>
            </w:r>
          </w:p>
        </w:tc>
        <w:tc>
          <w:tcPr>
            <w:tcW w:w="1444" w:type="dxa"/>
            <w:shd w:val="clear" w:color="auto" w:fill="C0C0C0"/>
          </w:tcPr>
          <w:p>
            <w:pPr>
              <w:pStyle w:val="TableParagraph"/>
              <w:spacing w:line="210" w:lineRule="exact"/>
              <w:ind w:left="212"/>
              <w:rPr>
                <w:sz w:val="20"/>
              </w:rPr>
            </w:pPr>
            <w:r>
              <w:rPr>
                <w:spacing w:val="-4"/>
                <w:sz w:val="20"/>
              </w:rPr>
              <w:t>4.00</w:t>
            </w:r>
          </w:p>
        </w:tc>
      </w:tr>
      <w:tr>
        <w:trPr>
          <w:trHeight w:val="232" w:hRule="atLeast"/>
        </w:trPr>
        <w:tc>
          <w:tcPr>
            <w:tcW w:w="2873" w:type="dxa"/>
            <w:shd w:val="clear" w:color="auto" w:fill="C0C0C0"/>
          </w:tcPr>
          <w:p>
            <w:pPr>
              <w:pStyle w:val="TableParagraph"/>
              <w:rPr>
                <w:sz w:val="16"/>
              </w:rPr>
            </w:pPr>
          </w:p>
        </w:tc>
        <w:tc>
          <w:tcPr>
            <w:tcW w:w="2893" w:type="dxa"/>
            <w:vMerge/>
            <w:tcBorders>
              <w:top w:val="nil"/>
            </w:tcBorders>
            <w:shd w:val="clear" w:color="auto" w:fill="C0C0C0"/>
          </w:tcPr>
          <w:p>
            <w:pPr>
              <w:rPr>
                <w:sz w:val="2"/>
                <w:szCs w:val="2"/>
              </w:rPr>
            </w:pPr>
          </w:p>
        </w:tc>
        <w:tc>
          <w:tcPr>
            <w:tcW w:w="2077" w:type="dxa"/>
            <w:shd w:val="clear" w:color="auto" w:fill="C0C0C0"/>
          </w:tcPr>
          <w:p>
            <w:pPr>
              <w:pStyle w:val="TableParagraph"/>
              <w:spacing w:line="213" w:lineRule="exact"/>
              <w:ind w:left="297"/>
              <w:rPr>
                <w:sz w:val="20"/>
              </w:rPr>
            </w:pPr>
            <w:r>
              <w:rPr>
                <w:spacing w:val="-10"/>
                <w:sz w:val="20"/>
              </w:rPr>
              <w:t>8</w:t>
            </w:r>
          </w:p>
        </w:tc>
        <w:tc>
          <w:tcPr>
            <w:tcW w:w="1444" w:type="dxa"/>
            <w:shd w:val="clear" w:color="auto" w:fill="C0C0C0"/>
          </w:tcPr>
          <w:p>
            <w:pPr>
              <w:pStyle w:val="TableParagraph"/>
              <w:spacing w:line="213" w:lineRule="exact"/>
              <w:ind w:left="212"/>
              <w:rPr>
                <w:sz w:val="20"/>
              </w:rPr>
            </w:pPr>
            <w:r>
              <w:rPr>
                <w:spacing w:val="-4"/>
                <w:sz w:val="20"/>
              </w:rPr>
              <w:t>5.00</w:t>
            </w:r>
          </w:p>
        </w:tc>
      </w:tr>
      <w:tr>
        <w:trPr>
          <w:trHeight w:val="547" w:hRule="atLeast"/>
        </w:trPr>
        <w:tc>
          <w:tcPr>
            <w:tcW w:w="2873" w:type="dxa"/>
          </w:tcPr>
          <w:p>
            <w:pPr>
              <w:pStyle w:val="TableParagraph"/>
              <w:spacing w:line="228" w:lineRule="exact"/>
              <w:ind w:left="465"/>
              <w:rPr>
                <w:b/>
                <w:sz w:val="20"/>
              </w:rPr>
            </w:pPr>
            <w:r>
              <w:rPr>
                <w:b/>
                <w:spacing w:val="-2"/>
                <w:sz w:val="20"/>
              </w:rPr>
              <w:t>Total</w:t>
            </w:r>
          </w:p>
        </w:tc>
        <w:tc>
          <w:tcPr>
            <w:tcW w:w="2893" w:type="dxa"/>
          </w:tcPr>
          <w:p>
            <w:pPr>
              <w:pStyle w:val="TableParagraph"/>
              <w:rPr>
                <w:sz w:val="20"/>
              </w:rPr>
            </w:pPr>
          </w:p>
        </w:tc>
        <w:tc>
          <w:tcPr>
            <w:tcW w:w="2077" w:type="dxa"/>
          </w:tcPr>
          <w:p>
            <w:pPr>
              <w:pStyle w:val="TableParagraph"/>
              <w:spacing w:line="223" w:lineRule="exact"/>
              <w:ind w:left="297"/>
              <w:rPr>
                <w:sz w:val="20"/>
              </w:rPr>
            </w:pPr>
            <w:r>
              <w:rPr>
                <w:spacing w:val="-5"/>
                <w:sz w:val="20"/>
              </w:rPr>
              <w:t>156</w:t>
            </w:r>
          </w:p>
        </w:tc>
        <w:tc>
          <w:tcPr>
            <w:tcW w:w="1444" w:type="dxa"/>
          </w:tcPr>
          <w:p>
            <w:pPr>
              <w:pStyle w:val="TableParagraph"/>
              <w:spacing w:line="223" w:lineRule="exact"/>
              <w:ind w:left="112"/>
              <w:rPr>
                <w:sz w:val="20"/>
              </w:rPr>
            </w:pPr>
            <w:r>
              <w:rPr>
                <w:spacing w:val="-4"/>
                <w:sz w:val="20"/>
              </w:rPr>
              <w:t>100%</w:t>
            </w:r>
          </w:p>
        </w:tc>
      </w:tr>
      <w:tr>
        <w:trPr>
          <w:trHeight w:val="919" w:hRule="atLeast"/>
        </w:trPr>
        <w:tc>
          <w:tcPr>
            <w:tcW w:w="2873" w:type="dxa"/>
            <w:shd w:val="clear" w:color="auto" w:fill="C0C0C0"/>
          </w:tcPr>
          <w:p>
            <w:pPr>
              <w:pStyle w:val="TableParagraph"/>
              <w:ind w:left="122" w:right="228"/>
              <w:jc w:val="both"/>
              <w:rPr>
                <w:b/>
                <w:sz w:val="20"/>
              </w:rPr>
            </w:pPr>
            <w:r>
              <w:rPr>
                <w:b/>
                <w:sz w:val="20"/>
              </w:rPr>
              <w:t>Is monitoring and evaluation of</w:t>
            </w:r>
            <w:r>
              <w:rPr>
                <w:b/>
                <w:spacing w:val="-11"/>
                <w:sz w:val="20"/>
              </w:rPr>
              <w:t> </w:t>
            </w:r>
            <w:r>
              <w:rPr>
                <w:b/>
                <w:sz w:val="20"/>
              </w:rPr>
              <w:t>the</w:t>
            </w:r>
            <w:r>
              <w:rPr>
                <w:b/>
                <w:spacing w:val="-11"/>
                <w:sz w:val="20"/>
              </w:rPr>
              <w:t> </w:t>
            </w:r>
            <w:r>
              <w:rPr>
                <w:b/>
                <w:sz w:val="20"/>
              </w:rPr>
              <w:t>housing</w:t>
            </w:r>
            <w:r>
              <w:rPr>
                <w:b/>
                <w:spacing w:val="-11"/>
                <w:sz w:val="20"/>
              </w:rPr>
              <w:t> </w:t>
            </w:r>
            <w:r>
              <w:rPr>
                <w:b/>
                <w:sz w:val="20"/>
              </w:rPr>
              <w:t>budget</w:t>
            </w:r>
            <w:r>
              <w:rPr>
                <w:b/>
                <w:spacing w:val="-10"/>
                <w:sz w:val="20"/>
              </w:rPr>
              <w:t> </w:t>
            </w:r>
            <w:r>
              <w:rPr>
                <w:b/>
                <w:sz w:val="20"/>
              </w:rPr>
              <w:t>process carried out by Housing</w:t>
            </w:r>
          </w:p>
          <w:p>
            <w:pPr>
              <w:pStyle w:val="TableParagraph"/>
              <w:spacing w:line="211" w:lineRule="exact"/>
              <w:ind w:left="122"/>
              <w:rPr>
                <w:b/>
                <w:sz w:val="20"/>
              </w:rPr>
            </w:pPr>
            <w:r>
              <w:rPr>
                <w:b/>
                <w:spacing w:val="-2"/>
                <w:sz w:val="20"/>
              </w:rPr>
              <w:t>MDAs?</w:t>
            </w:r>
          </w:p>
        </w:tc>
        <w:tc>
          <w:tcPr>
            <w:tcW w:w="2893" w:type="dxa"/>
            <w:shd w:val="clear" w:color="auto" w:fill="C0C0C0"/>
          </w:tcPr>
          <w:p>
            <w:pPr>
              <w:pStyle w:val="TableParagraph"/>
              <w:numPr>
                <w:ilvl w:val="0"/>
                <w:numId w:val="85"/>
              </w:numPr>
              <w:tabs>
                <w:tab w:pos="580" w:val="left" w:leader="none"/>
              </w:tabs>
              <w:spacing w:line="223" w:lineRule="exact" w:before="0" w:after="0"/>
              <w:ind w:left="580" w:right="0" w:hanging="359"/>
              <w:jc w:val="left"/>
              <w:rPr>
                <w:sz w:val="20"/>
              </w:rPr>
            </w:pPr>
            <w:r>
              <w:rPr>
                <w:spacing w:val="-5"/>
                <w:sz w:val="20"/>
              </w:rPr>
              <w:t>Yes</w:t>
            </w:r>
          </w:p>
          <w:p>
            <w:pPr>
              <w:pStyle w:val="TableParagraph"/>
              <w:numPr>
                <w:ilvl w:val="0"/>
                <w:numId w:val="85"/>
              </w:numPr>
              <w:tabs>
                <w:tab w:pos="560" w:val="left" w:leader="none"/>
              </w:tabs>
              <w:spacing w:line="229" w:lineRule="exact" w:before="0" w:after="0"/>
              <w:ind w:left="560" w:right="0" w:hanging="359"/>
              <w:jc w:val="left"/>
              <w:rPr>
                <w:sz w:val="20"/>
              </w:rPr>
            </w:pPr>
            <w:r>
              <w:rPr>
                <w:spacing w:val="-5"/>
                <w:sz w:val="20"/>
              </w:rPr>
              <w:t>No</w:t>
            </w:r>
          </w:p>
          <w:p>
            <w:pPr>
              <w:pStyle w:val="TableParagraph"/>
              <w:numPr>
                <w:ilvl w:val="0"/>
                <w:numId w:val="85"/>
              </w:numPr>
              <w:tabs>
                <w:tab w:pos="560" w:val="left" w:leader="none"/>
              </w:tabs>
              <w:spacing w:line="229" w:lineRule="exact" w:before="0" w:after="0"/>
              <w:ind w:left="560" w:right="0" w:hanging="359"/>
              <w:jc w:val="left"/>
              <w:rPr>
                <w:sz w:val="20"/>
              </w:rPr>
            </w:pPr>
            <w:r>
              <w:rPr>
                <w:sz w:val="20"/>
              </w:rPr>
              <w:t>No</w:t>
            </w:r>
            <w:r>
              <w:rPr>
                <w:spacing w:val="-2"/>
                <w:sz w:val="20"/>
              </w:rPr>
              <w:t> </w:t>
            </w:r>
            <w:r>
              <w:rPr>
                <w:spacing w:val="-4"/>
                <w:sz w:val="20"/>
              </w:rPr>
              <w:t>idea</w:t>
            </w:r>
          </w:p>
        </w:tc>
        <w:tc>
          <w:tcPr>
            <w:tcW w:w="2077" w:type="dxa"/>
            <w:shd w:val="clear" w:color="auto" w:fill="C0C0C0"/>
          </w:tcPr>
          <w:p>
            <w:pPr>
              <w:pStyle w:val="TableParagraph"/>
              <w:spacing w:line="223" w:lineRule="exact"/>
              <w:ind w:left="297"/>
              <w:rPr>
                <w:sz w:val="20"/>
              </w:rPr>
            </w:pPr>
            <w:r>
              <w:rPr>
                <w:spacing w:val="-5"/>
                <w:sz w:val="20"/>
              </w:rPr>
              <w:t>12</w:t>
            </w:r>
          </w:p>
          <w:p>
            <w:pPr>
              <w:pStyle w:val="TableParagraph"/>
              <w:spacing w:line="229" w:lineRule="exact"/>
              <w:ind w:left="297"/>
              <w:rPr>
                <w:sz w:val="20"/>
              </w:rPr>
            </w:pPr>
            <w:r>
              <w:rPr>
                <w:spacing w:val="-5"/>
                <w:sz w:val="20"/>
              </w:rPr>
              <w:t>125</w:t>
            </w:r>
          </w:p>
          <w:p>
            <w:pPr>
              <w:pStyle w:val="TableParagraph"/>
              <w:spacing w:line="229" w:lineRule="exact"/>
              <w:ind w:left="297"/>
              <w:rPr>
                <w:sz w:val="20"/>
              </w:rPr>
            </w:pPr>
            <w:r>
              <w:rPr>
                <w:spacing w:val="-5"/>
                <w:sz w:val="20"/>
              </w:rPr>
              <w:t>19</w:t>
            </w:r>
          </w:p>
        </w:tc>
        <w:tc>
          <w:tcPr>
            <w:tcW w:w="1444" w:type="dxa"/>
            <w:shd w:val="clear" w:color="auto" w:fill="C0C0C0"/>
          </w:tcPr>
          <w:p>
            <w:pPr>
              <w:pStyle w:val="TableParagraph"/>
              <w:spacing w:line="223" w:lineRule="exact"/>
              <w:ind w:left="212"/>
              <w:rPr>
                <w:sz w:val="20"/>
              </w:rPr>
            </w:pPr>
            <w:r>
              <w:rPr>
                <w:spacing w:val="-4"/>
                <w:sz w:val="20"/>
              </w:rPr>
              <w:t>8.00</w:t>
            </w:r>
          </w:p>
          <w:p>
            <w:pPr>
              <w:pStyle w:val="TableParagraph"/>
              <w:spacing w:line="229" w:lineRule="exact"/>
              <w:ind w:left="112"/>
              <w:rPr>
                <w:sz w:val="20"/>
              </w:rPr>
            </w:pPr>
            <w:r>
              <w:rPr>
                <w:spacing w:val="-2"/>
                <w:sz w:val="20"/>
              </w:rPr>
              <w:t>80.00</w:t>
            </w:r>
          </w:p>
          <w:p>
            <w:pPr>
              <w:pStyle w:val="TableParagraph"/>
              <w:spacing w:line="229" w:lineRule="exact"/>
              <w:ind w:left="112"/>
              <w:rPr>
                <w:sz w:val="20"/>
              </w:rPr>
            </w:pPr>
            <w:r>
              <w:rPr>
                <w:spacing w:val="-2"/>
                <w:sz w:val="20"/>
              </w:rPr>
              <w:t>12.00</w:t>
            </w:r>
          </w:p>
        </w:tc>
      </w:tr>
      <w:tr>
        <w:trPr>
          <w:trHeight w:val="547" w:hRule="atLeast"/>
        </w:trPr>
        <w:tc>
          <w:tcPr>
            <w:tcW w:w="2873" w:type="dxa"/>
          </w:tcPr>
          <w:p>
            <w:pPr>
              <w:pStyle w:val="TableParagraph"/>
              <w:spacing w:line="228" w:lineRule="exact"/>
              <w:ind w:left="465"/>
              <w:rPr>
                <w:b/>
                <w:sz w:val="20"/>
              </w:rPr>
            </w:pPr>
            <w:r>
              <w:rPr>
                <w:b/>
                <w:spacing w:val="-2"/>
                <w:sz w:val="20"/>
              </w:rPr>
              <w:t>Total</w:t>
            </w:r>
          </w:p>
        </w:tc>
        <w:tc>
          <w:tcPr>
            <w:tcW w:w="2893" w:type="dxa"/>
          </w:tcPr>
          <w:p>
            <w:pPr>
              <w:pStyle w:val="TableParagraph"/>
              <w:rPr>
                <w:sz w:val="20"/>
              </w:rPr>
            </w:pPr>
          </w:p>
        </w:tc>
        <w:tc>
          <w:tcPr>
            <w:tcW w:w="2077" w:type="dxa"/>
          </w:tcPr>
          <w:p>
            <w:pPr>
              <w:pStyle w:val="TableParagraph"/>
              <w:spacing w:line="223" w:lineRule="exact"/>
              <w:ind w:left="297"/>
              <w:rPr>
                <w:sz w:val="20"/>
              </w:rPr>
            </w:pPr>
            <w:r>
              <w:rPr>
                <w:spacing w:val="-5"/>
                <w:sz w:val="20"/>
              </w:rPr>
              <w:t>156</w:t>
            </w:r>
          </w:p>
        </w:tc>
        <w:tc>
          <w:tcPr>
            <w:tcW w:w="1444" w:type="dxa"/>
          </w:tcPr>
          <w:p>
            <w:pPr>
              <w:pStyle w:val="TableParagraph"/>
              <w:spacing w:line="223" w:lineRule="exact"/>
              <w:ind w:left="112"/>
              <w:rPr>
                <w:sz w:val="20"/>
              </w:rPr>
            </w:pPr>
            <w:r>
              <w:rPr>
                <w:spacing w:val="-4"/>
                <w:sz w:val="20"/>
              </w:rPr>
              <w:t>100%</w:t>
            </w:r>
          </w:p>
        </w:tc>
      </w:tr>
      <w:tr>
        <w:trPr>
          <w:trHeight w:val="1610" w:hRule="atLeast"/>
        </w:trPr>
        <w:tc>
          <w:tcPr>
            <w:tcW w:w="2873" w:type="dxa"/>
            <w:shd w:val="clear" w:color="auto" w:fill="C0C0C0"/>
          </w:tcPr>
          <w:p>
            <w:pPr>
              <w:pStyle w:val="TableParagraph"/>
              <w:spacing w:line="276" w:lineRule="auto" w:before="27"/>
              <w:ind w:left="122"/>
              <w:rPr>
                <w:b/>
                <w:sz w:val="20"/>
              </w:rPr>
            </w:pPr>
            <w:r>
              <w:rPr>
                <w:b/>
                <w:sz w:val="20"/>
              </w:rPr>
              <w:t>How often are performance reviews/reports carried out/prepared</w:t>
            </w:r>
            <w:r>
              <w:rPr>
                <w:b/>
                <w:spacing w:val="-13"/>
                <w:sz w:val="20"/>
              </w:rPr>
              <w:t> </w:t>
            </w:r>
            <w:r>
              <w:rPr>
                <w:b/>
                <w:sz w:val="20"/>
              </w:rPr>
              <w:t>for</w:t>
            </w:r>
            <w:r>
              <w:rPr>
                <w:b/>
                <w:spacing w:val="-12"/>
                <w:sz w:val="20"/>
              </w:rPr>
              <w:t> </w:t>
            </w:r>
            <w:r>
              <w:rPr>
                <w:b/>
                <w:sz w:val="20"/>
              </w:rPr>
              <w:t>the</w:t>
            </w:r>
            <w:r>
              <w:rPr>
                <w:b/>
                <w:spacing w:val="-13"/>
                <w:sz w:val="20"/>
              </w:rPr>
              <w:t> </w:t>
            </w:r>
            <w:r>
              <w:rPr>
                <w:b/>
                <w:sz w:val="20"/>
              </w:rPr>
              <w:t>housing </w:t>
            </w:r>
            <w:r>
              <w:rPr>
                <w:b/>
                <w:spacing w:val="-2"/>
                <w:sz w:val="20"/>
              </w:rPr>
              <w:t>budget?</w:t>
            </w:r>
          </w:p>
        </w:tc>
        <w:tc>
          <w:tcPr>
            <w:tcW w:w="2893" w:type="dxa"/>
            <w:shd w:val="clear" w:color="auto" w:fill="C0C0C0"/>
          </w:tcPr>
          <w:p>
            <w:pPr>
              <w:pStyle w:val="TableParagraph"/>
              <w:numPr>
                <w:ilvl w:val="0"/>
                <w:numId w:val="86"/>
              </w:numPr>
              <w:tabs>
                <w:tab w:pos="580" w:val="left" w:leader="none"/>
              </w:tabs>
              <w:spacing w:line="223" w:lineRule="exact" w:before="0" w:after="0"/>
              <w:ind w:left="580" w:right="0" w:hanging="359"/>
              <w:jc w:val="left"/>
              <w:rPr>
                <w:sz w:val="20"/>
              </w:rPr>
            </w:pPr>
            <w:r>
              <w:rPr>
                <w:sz w:val="20"/>
              </w:rPr>
              <w:t>Once</w:t>
            </w:r>
            <w:r>
              <w:rPr>
                <w:spacing w:val="-3"/>
                <w:sz w:val="20"/>
              </w:rPr>
              <w:t> </w:t>
            </w:r>
            <w:r>
              <w:rPr>
                <w:sz w:val="20"/>
              </w:rPr>
              <w:t>a</w:t>
            </w:r>
            <w:r>
              <w:rPr>
                <w:spacing w:val="-2"/>
                <w:sz w:val="20"/>
              </w:rPr>
              <w:t> </w:t>
            </w:r>
            <w:r>
              <w:rPr>
                <w:spacing w:val="-4"/>
                <w:sz w:val="20"/>
              </w:rPr>
              <w:t>year</w:t>
            </w:r>
          </w:p>
          <w:p>
            <w:pPr>
              <w:pStyle w:val="TableParagraph"/>
              <w:numPr>
                <w:ilvl w:val="0"/>
                <w:numId w:val="86"/>
              </w:numPr>
              <w:tabs>
                <w:tab w:pos="560" w:val="left" w:leader="none"/>
              </w:tabs>
              <w:spacing w:line="240" w:lineRule="auto" w:before="1" w:after="0"/>
              <w:ind w:left="560" w:right="0" w:hanging="359"/>
              <w:jc w:val="left"/>
              <w:rPr>
                <w:sz w:val="20"/>
              </w:rPr>
            </w:pPr>
            <w:r>
              <w:rPr>
                <w:sz w:val="20"/>
              </w:rPr>
              <w:t>Twice</w:t>
            </w:r>
            <w:r>
              <w:rPr>
                <w:spacing w:val="-5"/>
                <w:sz w:val="20"/>
              </w:rPr>
              <w:t> </w:t>
            </w:r>
            <w:r>
              <w:rPr>
                <w:sz w:val="20"/>
              </w:rPr>
              <w:t>a</w:t>
            </w:r>
            <w:r>
              <w:rPr>
                <w:spacing w:val="-2"/>
                <w:sz w:val="20"/>
              </w:rPr>
              <w:t> </w:t>
            </w:r>
            <w:r>
              <w:rPr>
                <w:spacing w:val="-4"/>
                <w:sz w:val="20"/>
              </w:rPr>
              <w:t>year</w:t>
            </w:r>
          </w:p>
          <w:p>
            <w:pPr>
              <w:pStyle w:val="TableParagraph"/>
              <w:numPr>
                <w:ilvl w:val="0"/>
                <w:numId w:val="86"/>
              </w:numPr>
              <w:tabs>
                <w:tab w:pos="560" w:val="left" w:leader="none"/>
              </w:tabs>
              <w:spacing w:line="240" w:lineRule="auto" w:before="0" w:after="0"/>
              <w:ind w:left="560" w:right="0" w:hanging="359"/>
              <w:jc w:val="left"/>
              <w:rPr>
                <w:sz w:val="20"/>
              </w:rPr>
            </w:pPr>
            <w:r>
              <w:rPr>
                <w:sz w:val="20"/>
              </w:rPr>
              <w:t>Thrice</w:t>
            </w:r>
            <w:r>
              <w:rPr>
                <w:spacing w:val="-4"/>
                <w:sz w:val="20"/>
              </w:rPr>
              <w:t> </w:t>
            </w:r>
            <w:r>
              <w:rPr>
                <w:sz w:val="20"/>
              </w:rPr>
              <w:t>a</w:t>
            </w:r>
            <w:r>
              <w:rPr>
                <w:spacing w:val="-3"/>
                <w:sz w:val="20"/>
              </w:rPr>
              <w:t> </w:t>
            </w:r>
            <w:r>
              <w:rPr>
                <w:spacing w:val="-4"/>
                <w:sz w:val="20"/>
              </w:rPr>
              <w:t>year</w:t>
            </w:r>
          </w:p>
          <w:p>
            <w:pPr>
              <w:pStyle w:val="TableParagraph"/>
              <w:numPr>
                <w:ilvl w:val="0"/>
                <w:numId w:val="86"/>
              </w:numPr>
              <w:tabs>
                <w:tab w:pos="560" w:val="left" w:leader="none"/>
              </w:tabs>
              <w:spacing w:line="240" w:lineRule="auto" w:before="1" w:after="0"/>
              <w:ind w:left="560" w:right="0" w:hanging="359"/>
              <w:jc w:val="left"/>
              <w:rPr>
                <w:sz w:val="20"/>
              </w:rPr>
            </w:pPr>
            <w:r>
              <w:rPr>
                <w:spacing w:val="-2"/>
                <w:sz w:val="20"/>
              </w:rPr>
              <w:t>Quarterly</w:t>
            </w:r>
          </w:p>
          <w:p>
            <w:pPr>
              <w:pStyle w:val="TableParagraph"/>
              <w:numPr>
                <w:ilvl w:val="0"/>
                <w:numId w:val="86"/>
              </w:numPr>
              <w:tabs>
                <w:tab w:pos="560" w:val="left" w:leader="none"/>
              </w:tabs>
              <w:spacing w:line="240" w:lineRule="auto" w:before="0" w:after="0"/>
              <w:ind w:left="560" w:right="0" w:hanging="359"/>
              <w:jc w:val="left"/>
              <w:rPr>
                <w:sz w:val="20"/>
              </w:rPr>
            </w:pPr>
            <w:r>
              <w:rPr>
                <w:spacing w:val="-4"/>
                <w:sz w:val="20"/>
              </w:rPr>
              <w:t>Never</w:t>
            </w:r>
          </w:p>
          <w:p>
            <w:pPr>
              <w:pStyle w:val="TableParagraph"/>
              <w:numPr>
                <w:ilvl w:val="0"/>
                <w:numId w:val="86"/>
              </w:numPr>
              <w:tabs>
                <w:tab w:pos="560" w:val="left" w:leader="none"/>
              </w:tabs>
              <w:spacing w:line="240" w:lineRule="auto" w:before="0" w:after="0"/>
              <w:ind w:left="560" w:right="0" w:hanging="359"/>
              <w:jc w:val="left"/>
              <w:rPr>
                <w:sz w:val="20"/>
              </w:rPr>
            </w:pPr>
            <w:r>
              <w:rPr>
                <w:sz w:val="20"/>
              </w:rPr>
              <w:t>No</w:t>
            </w:r>
            <w:r>
              <w:rPr>
                <w:spacing w:val="-2"/>
                <w:sz w:val="20"/>
              </w:rPr>
              <w:t> </w:t>
            </w:r>
            <w:r>
              <w:rPr>
                <w:spacing w:val="-4"/>
                <w:sz w:val="20"/>
              </w:rPr>
              <w:t>idea</w:t>
            </w:r>
          </w:p>
        </w:tc>
        <w:tc>
          <w:tcPr>
            <w:tcW w:w="2077" w:type="dxa"/>
            <w:shd w:val="clear" w:color="auto" w:fill="C0C0C0"/>
          </w:tcPr>
          <w:p>
            <w:pPr>
              <w:pStyle w:val="TableParagraph"/>
              <w:spacing w:line="223" w:lineRule="exact"/>
              <w:ind w:left="297"/>
              <w:rPr>
                <w:sz w:val="20"/>
              </w:rPr>
            </w:pPr>
            <w:r>
              <w:rPr>
                <w:spacing w:val="-5"/>
                <w:sz w:val="20"/>
              </w:rPr>
              <w:t>70</w:t>
            </w:r>
          </w:p>
          <w:p>
            <w:pPr>
              <w:pStyle w:val="TableParagraph"/>
              <w:spacing w:before="1"/>
              <w:ind w:left="297"/>
              <w:rPr>
                <w:sz w:val="20"/>
              </w:rPr>
            </w:pPr>
            <w:r>
              <w:rPr>
                <w:spacing w:val="-5"/>
                <w:sz w:val="20"/>
              </w:rPr>
              <w:t>31</w:t>
            </w:r>
          </w:p>
          <w:p>
            <w:pPr>
              <w:pStyle w:val="TableParagraph"/>
              <w:ind w:left="297"/>
              <w:rPr>
                <w:sz w:val="20"/>
              </w:rPr>
            </w:pPr>
            <w:r>
              <w:rPr>
                <w:spacing w:val="-10"/>
                <w:sz w:val="20"/>
              </w:rPr>
              <w:t>0</w:t>
            </w:r>
          </w:p>
          <w:p>
            <w:pPr>
              <w:pStyle w:val="TableParagraph"/>
              <w:spacing w:before="1"/>
              <w:ind w:left="297"/>
              <w:rPr>
                <w:sz w:val="20"/>
              </w:rPr>
            </w:pPr>
            <w:r>
              <w:rPr>
                <w:spacing w:val="-5"/>
                <w:sz w:val="20"/>
              </w:rPr>
              <w:t>12</w:t>
            </w:r>
          </w:p>
          <w:p>
            <w:pPr>
              <w:pStyle w:val="TableParagraph"/>
              <w:ind w:left="297"/>
              <w:rPr>
                <w:sz w:val="20"/>
              </w:rPr>
            </w:pPr>
            <w:r>
              <w:rPr>
                <w:spacing w:val="-5"/>
                <w:sz w:val="20"/>
              </w:rPr>
              <w:t>25</w:t>
            </w:r>
          </w:p>
          <w:p>
            <w:pPr>
              <w:pStyle w:val="TableParagraph"/>
              <w:ind w:left="297"/>
              <w:rPr>
                <w:sz w:val="20"/>
              </w:rPr>
            </w:pPr>
            <w:r>
              <w:rPr>
                <w:spacing w:val="-5"/>
                <w:sz w:val="20"/>
              </w:rPr>
              <w:t>18</w:t>
            </w:r>
          </w:p>
        </w:tc>
        <w:tc>
          <w:tcPr>
            <w:tcW w:w="1444" w:type="dxa"/>
            <w:shd w:val="clear" w:color="auto" w:fill="C0C0C0"/>
          </w:tcPr>
          <w:p>
            <w:pPr>
              <w:pStyle w:val="TableParagraph"/>
              <w:spacing w:line="223" w:lineRule="exact"/>
              <w:ind w:left="112"/>
              <w:rPr>
                <w:sz w:val="20"/>
              </w:rPr>
            </w:pPr>
            <w:r>
              <w:rPr>
                <w:spacing w:val="-2"/>
                <w:sz w:val="20"/>
              </w:rPr>
              <w:t>45.00</w:t>
            </w:r>
          </w:p>
          <w:p>
            <w:pPr>
              <w:pStyle w:val="TableParagraph"/>
              <w:spacing w:before="1"/>
              <w:ind w:left="112"/>
              <w:rPr>
                <w:sz w:val="20"/>
              </w:rPr>
            </w:pPr>
            <w:r>
              <w:rPr>
                <w:spacing w:val="-2"/>
                <w:sz w:val="20"/>
              </w:rPr>
              <w:t>19.00</w:t>
            </w:r>
          </w:p>
          <w:p>
            <w:pPr>
              <w:pStyle w:val="TableParagraph"/>
              <w:ind w:left="212"/>
              <w:rPr>
                <w:sz w:val="20"/>
              </w:rPr>
            </w:pPr>
            <w:r>
              <w:rPr>
                <w:spacing w:val="-4"/>
                <w:sz w:val="20"/>
              </w:rPr>
              <w:t>0.00</w:t>
            </w:r>
          </w:p>
          <w:p>
            <w:pPr>
              <w:pStyle w:val="TableParagraph"/>
              <w:spacing w:before="1"/>
              <w:ind w:left="212"/>
              <w:rPr>
                <w:sz w:val="20"/>
              </w:rPr>
            </w:pPr>
            <w:r>
              <w:rPr>
                <w:spacing w:val="-4"/>
                <w:sz w:val="20"/>
              </w:rPr>
              <w:t>8.00</w:t>
            </w:r>
          </w:p>
          <w:p>
            <w:pPr>
              <w:pStyle w:val="TableParagraph"/>
              <w:ind w:left="112"/>
              <w:rPr>
                <w:sz w:val="20"/>
              </w:rPr>
            </w:pPr>
            <w:r>
              <w:rPr>
                <w:spacing w:val="-2"/>
                <w:sz w:val="20"/>
              </w:rPr>
              <w:t>16.00</w:t>
            </w:r>
          </w:p>
          <w:p>
            <w:pPr>
              <w:pStyle w:val="TableParagraph"/>
              <w:ind w:left="112"/>
              <w:rPr>
                <w:sz w:val="20"/>
              </w:rPr>
            </w:pPr>
            <w:r>
              <w:rPr>
                <w:spacing w:val="-2"/>
                <w:sz w:val="20"/>
              </w:rPr>
              <w:t>12.00</w:t>
            </w:r>
          </w:p>
        </w:tc>
      </w:tr>
      <w:tr>
        <w:trPr>
          <w:trHeight w:val="549" w:hRule="atLeast"/>
        </w:trPr>
        <w:tc>
          <w:tcPr>
            <w:tcW w:w="2873" w:type="dxa"/>
            <w:tcBorders>
              <w:bottom w:val="single" w:sz="8" w:space="0" w:color="000000"/>
            </w:tcBorders>
          </w:tcPr>
          <w:p>
            <w:pPr>
              <w:pStyle w:val="TableParagraph"/>
              <w:spacing w:line="228" w:lineRule="exact"/>
              <w:ind w:left="465"/>
              <w:rPr>
                <w:b/>
                <w:sz w:val="20"/>
              </w:rPr>
            </w:pPr>
            <w:r>
              <w:rPr>
                <w:b/>
                <w:spacing w:val="-2"/>
                <w:sz w:val="20"/>
              </w:rPr>
              <w:t>Total</w:t>
            </w:r>
          </w:p>
        </w:tc>
        <w:tc>
          <w:tcPr>
            <w:tcW w:w="2893" w:type="dxa"/>
            <w:tcBorders>
              <w:bottom w:val="single" w:sz="8" w:space="0" w:color="000000"/>
            </w:tcBorders>
          </w:tcPr>
          <w:p>
            <w:pPr>
              <w:pStyle w:val="TableParagraph"/>
              <w:rPr>
                <w:sz w:val="20"/>
              </w:rPr>
            </w:pPr>
          </w:p>
        </w:tc>
        <w:tc>
          <w:tcPr>
            <w:tcW w:w="2077" w:type="dxa"/>
            <w:tcBorders>
              <w:bottom w:val="single" w:sz="8" w:space="0" w:color="000000"/>
            </w:tcBorders>
          </w:tcPr>
          <w:p>
            <w:pPr>
              <w:pStyle w:val="TableParagraph"/>
              <w:spacing w:line="223" w:lineRule="exact"/>
              <w:ind w:left="297"/>
              <w:rPr>
                <w:sz w:val="20"/>
              </w:rPr>
            </w:pPr>
            <w:r>
              <w:rPr>
                <w:spacing w:val="-5"/>
                <w:sz w:val="20"/>
              </w:rPr>
              <w:t>156</w:t>
            </w:r>
          </w:p>
        </w:tc>
        <w:tc>
          <w:tcPr>
            <w:tcW w:w="1444" w:type="dxa"/>
            <w:tcBorders>
              <w:bottom w:val="single" w:sz="8" w:space="0" w:color="000000"/>
            </w:tcBorders>
          </w:tcPr>
          <w:p>
            <w:pPr>
              <w:pStyle w:val="TableParagraph"/>
              <w:spacing w:line="223" w:lineRule="exact"/>
              <w:ind w:left="112"/>
              <w:rPr>
                <w:sz w:val="20"/>
              </w:rPr>
            </w:pPr>
            <w:r>
              <w:rPr>
                <w:spacing w:val="-4"/>
                <w:sz w:val="20"/>
              </w:rPr>
              <w:t>100%</w:t>
            </w:r>
          </w:p>
        </w:tc>
      </w:tr>
    </w:tbl>
    <w:p>
      <w:pPr>
        <w:pStyle w:val="BodyText"/>
        <w:spacing w:before="26"/>
        <w:ind w:left="240"/>
        <w:jc w:val="both"/>
      </w:pPr>
      <w:r>
        <w:rPr>
          <w:b/>
        </w:rPr>
        <w:t>Source:</w:t>
      </w:r>
      <w:r>
        <w:rPr>
          <w:b/>
          <w:spacing w:val="-2"/>
        </w:rPr>
        <w:t> </w:t>
      </w:r>
      <w:r>
        <w:rPr/>
        <w:t>Researcher‘s field</w:t>
      </w:r>
      <w:r>
        <w:rPr>
          <w:spacing w:val="-1"/>
        </w:rPr>
        <w:t> </w:t>
      </w:r>
      <w:r>
        <w:rPr/>
        <w:t>survey</w:t>
      </w:r>
      <w:r>
        <w:rPr>
          <w:spacing w:val="-1"/>
        </w:rPr>
        <w:t> </w:t>
      </w:r>
      <w:r>
        <w:rPr>
          <w:spacing w:val="-2"/>
        </w:rPr>
        <w:t>(2017)</w:t>
      </w:r>
    </w:p>
    <w:p>
      <w:pPr>
        <w:spacing w:after="0"/>
        <w:jc w:val="both"/>
        <w:sectPr>
          <w:pgSz w:w="12240" w:h="15840"/>
          <w:pgMar w:header="0" w:footer="1036" w:top="1360" w:bottom="1220" w:left="1200" w:right="600"/>
        </w:sectPr>
      </w:pPr>
    </w:p>
    <w:p>
      <w:pPr>
        <w:pStyle w:val="BodyText"/>
        <w:spacing w:line="360" w:lineRule="auto" w:before="74"/>
        <w:ind w:left="240" w:right="838"/>
        <w:jc w:val="both"/>
      </w:pPr>
      <w:r>
        <w:rPr/>
        <w:t>The following explains the respondents‘ views on medium term expenditure, housing needs assessment,</w:t>
      </w:r>
      <w:r>
        <w:rPr>
          <w:spacing w:val="-4"/>
        </w:rPr>
        <w:t> </w:t>
      </w:r>
      <w:r>
        <w:rPr/>
        <w:t>budget</w:t>
      </w:r>
      <w:r>
        <w:rPr>
          <w:spacing w:val="-4"/>
        </w:rPr>
        <w:t> </w:t>
      </w:r>
      <w:r>
        <w:rPr/>
        <w:t>monitoring</w:t>
      </w:r>
      <w:r>
        <w:rPr>
          <w:spacing w:val="-6"/>
        </w:rPr>
        <w:t> </w:t>
      </w:r>
      <w:r>
        <w:rPr/>
        <w:t>and</w:t>
      </w:r>
      <w:r>
        <w:rPr>
          <w:spacing w:val="-2"/>
        </w:rPr>
        <w:t> </w:t>
      </w:r>
      <w:r>
        <w:rPr/>
        <w:t>evaluation,</w:t>
      </w:r>
      <w:r>
        <w:rPr>
          <w:spacing w:val="-4"/>
        </w:rPr>
        <w:t> </w:t>
      </w:r>
      <w:r>
        <w:rPr/>
        <w:t>housing</w:t>
      </w:r>
      <w:r>
        <w:rPr>
          <w:spacing w:val="-6"/>
        </w:rPr>
        <w:t> </w:t>
      </w:r>
      <w:r>
        <w:rPr/>
        <w:t>budget</w:t>
      </w:r>
      <w:r>
        <w:rPr>
          <w:spacing w:val="-4"/>
        </w:rPr>
        <w:t> </w:t>
      </w:r>
      <w:r>
        <w:rPr/>
        <w:t>performance</w:t>
      </w:r>
      <w:r>
        <w:rPr>
          <w:spacing w:val="-5"/>
        </w:rPr>
        <w:t> </w:t>
      </w:r>
      <w:r>
        <w:rPr/>
        <w:t>reporting and</w:t>
      </w:r>
      <w:r>
        <w:rPr>
          <w:spacing w:val="-4"/>
        </w:rPr>
        <w:t> </w:t>
      </w:r>
      <w:r>
        <w:rPr/>
        <w:t>review as shown in Table 5.6.</w:t>
      </w:r>
    </w:p>
    <w:p>
      <w:pPr>
        <w:pStyle w:val="ListParagraph"/>
        <w:numPr>
          <w:ilvl w:val="3"/>
          <w:numId w:val="81"/>
        </w:numPr>
        <w:tabs>
          <w:tab w:pos="780" w:val="left" w:leader="none"/>
        </w:tabs>
        <w:spacing w:line="360" w:lineRule="auto" w:before="208" w:after="0"/>
        <w:ind w:left="780" w:right="836" w:hanging="360"/>
        <w:jc w:val="both"/>
        <w:rPr>
          <w:sz w:val="24"/>
        </w:rPr>
      </w:pPr>
      <w:r>
        <w:rPr>
          <w:b/>
          <w:sz w:val="24"/>
        </w:rPr>
        <w:t>Adoption of the Medium Term Expenditure Framework: </w:t>
      </w:r>
      <w:r>
        <w:rPr>
          <w:sz w:val="24"/>
        </w:rPr>
        <w:t>The result in Table 30 shows the</w:t>
      </w:r>
      <w:r>
        <w:rPr>
          <w:spacing w:val="-2"/>
          <w:sz w:val="24"/>
        </w:rPr>
        <w:t> </w:t>
      </w:r>
      <w:r>
        <w:rPr>
          <w:sz w:val="24"/>
        </w:rPr>
        <w:t>Anambra</w:t>
      </w:r>
      <w:r>
        <w:rPr>
          <w:spacing w:val="-3"/>
          <w:sz w:val="24"/>
        </w:rPr>
        <w:t> </w:t>
      </w:r>
      <w:r>
        <w:rPr>
          <w:sz w:val="24"/>
        </w:rPr>
        <w:t>State</w:t>
      </w:r>
      <w:r>
        <w:rPr>
          <w:spacing w:val="-3"/>
          <w:sz w:val="24"/>
        </w:rPr>
        <w:t> </w:t>
      </w:r>
      <w:r>
        <w:rPr>
          <w:sz w:val="24"/>
        </w:rPr>
        <w:t>Government</w:t>
      </w:r>
      <w:r>
        <w:rPr>
          <w:spacing w:val="-2"/>
          <w:sz w:val="24"/>
        </w:rPr>
        <w:t> </w:t>
      </w:r>
      <w:r>
        <w:rPr>
          <w:sz w:val="24"/>
        </w:rPr>
        <w:t>prepares</w:t>
      </w:r>
      <w:r>
        <w:rPr>
          <w:spacing w:val="-2"/>
          <w:sz w:val="24"/>
        </w:rPr>
        <w:t> </w:t>
      </w:r>
      <w:r>
        <w:rPr>
          <w:sz w:val="24"/>
        </w:rPr>
        <w:t>its</w:t>
      </w:r>
      <w:r>
        <w:rPr>
          <w:spacing w:val="-2"/>
          <w:sz w:val="24"/>
        </w:rPr>
        <w:t> </w:t>
      </w:r>
      <w:r>
        <w:rPr>
          <w:sz w:val="24"/>
        </w:rPr>
        <w:t>housing</w:t>
      </w:r>
      <w:r>
        <w:rPr>
          <w:spacing w:val="-5"/>
          <w:sz w:val="24"/>
        </w:rPr>
        <w:t> </w:t>
      </w:r>
      <w:r>
        <w:rPr>
          <w:sz w:val="24"/>
        </w:rPr>
        <w:t>budget</w:t>
      </w:r>
      <w:r>
        <w:rPr>
          <w:spacing w:val="-2"/>
          <w:sz w:val="24"/>
        </w:rPr>
        <w:t> </w:t>
      </w:r>
      <w:r>
        <w:rPr>
          <w:sz w:val="24"/>
        </w:rPr>
        <w:t>in</w:t>
      </w:r>
      <w:r>
        <w:rPr>
          <w:spacing w:val="-2"/>
          <w:sz w:val="24"/>
        </w:rPr>
        <w:t> </w:t>
      </w:r>
      <w:r>
        <w:rPr>
          <w:sz w:val="24"/>
        </w:rPr>
        <w:t>accordance</w:t>
      </w:r>
      <w:r>
        <w:rPr>
          <w:spacing w:val="-1"/>
          <w:sz w:val="24"/>
        </w:rPr>
        <w:t> </w:t>
      </w:r>
      <w:r>
        <w:rPr>
          <w:sz w:val="24"/>
        </w:rPr>
        <w:t>with</w:t>
      </w:r>
      <w:r>
        <w:rPr>
          <w:spacing w:val="-2"/>
          <w:sz w:val="24"/>
        </w:rPr>
        <w:t> </w:t>
      </w:r>
      <w:r>
        <w:rPr>
          <w:sz w:val="24"/>
        </w:rPr>
        <w:t>the</w:t>
      </w:r>
      <w:r>
        <w:rPr>
          <w:spacing w:val="-3"/>
          <w:sz w:val="24"/>
        </w:rPr>
        <w:t> </w:t>
      </w:r>
      <w:r>
        <w:rPr>
          <w:sz w:val="24"/>
        </w:rPr>
        <w:t>medium term expenditure framework policy as clearly stated by 78(50%) of the respondents. 54(35%) of them maintained that the MTEF is not yet adopted, while 24(15%) claimed to have no idea on the issue. What this implies is that the budget for housing projects in Anambra is now spread over a three year period to improve the rate of implementation.</w:t>
      </w:r>
      <w:r>
        <w:rPr>
          <w:spacing w:val="40"/>
          <w:sz w:val="24"/>
        </w:rPr>
        <w:t> </w:t>
      </w:r>
      <w:r>
        <w:rPr>
          <w:sz w:val="24"/>
        </w:rPr>
        <w:t>This is unlike the annual budget system where implementation was hardly achieved before the end of the fiscal year. However, it is important to note that in the course of the oral interview with the respondents, the researcher discovered that the actual implementation of the policy began only recently, precisely in 2016. Perhaps the appreciable number of respondents who claimed that the MTEF is not yet adopted is because the policy has been on paper, but was not actually implemented for a long time. The empirical results or</w:t>
      </w:r>
      <w:r>
        <w:rPr>
          <w:spacing w:val="40"/>
          <w:sz w:val="24"/>
        </w:rPr>
        <w:t> </w:t>
      </w:r>
      <w:r>
        <w:rPr>
          <w:sz w:val="24"/>
        </w:rPr>
        <w:t>success of</w:t>
      </w:r>
      <w:r>
        <w:rPr>
          <w:spacing w:val="-1"/>
          <w:sz w:val="24"/>
        </w:rPr>
        <w:t> </w:t>
      </w:r>
      <w:r>
        <w:rPr>
          <w:sz w:val="24"/>
        </w:rPr>
        <w:t>this policy</w:t>
      </w:r>
      <w:r>
        <w:rPr>
          <w:spacing w:val="-2"/>
          <w:sz w:val="24"/>
        </w:rPr>
        <w:t> </w:t>
      </w:r>
      <w:r>
        <w:rPr>
          <w:sz w:val="24"/>
        </w:rPr>
        <w:t>is yet to be researched on due</w:t>
      </w:r>
      <w:r>
        <w:rPr>
          <w:spacing w:val="-1"/>
          <w:sz w:val="24"/>
        </w:rPr>
        <w:t> </w:t>
      </w:r>
      <w:r>
        <w:rPr>
          <w:sz w:val="24"/>
        </w:rPr>
        <w:t>to the short duration from the</w:t>
      </w:r>
      <w:r>
        <w:rPr>
          <w:spacing w:val="-1"/>
          <w:sz w:val="24"/>
        </w:rPr>
        <w:t> </w:t>
      </w:r>
      <w:r>
        <w:rPr>
          <w:sz w:val="24"/>
        </w:rPr>
        <w:t>period</w:t>
      </w:r>
      <w:r>
        <w:rPr>
          <w:spacing w:val="-1"/>
          <w:sz w:val="24"/>
        </w:rPr>
        <w:t> </w:t>
      </w:r>
      <w:r>
        <w:rPr>
          <w:sz w:val="24"/>
        </w:rPr>
        <w:t>of its commencement.</w:t>
      </w:r>
    </w:p>
    <w:p>
      <w:pPr>
        <w:pStyle w:val="ListParagraph"/>
        <w:numPr>
          <w:ilvl w:val="3"/>
          <w:numId w:val="81"/>
        </w:numPr>
        <w:tabs>
          <w:tab w:pos="778" w:val="left" w:leader="none"/>
          <w:tab w:pos="780" w:val="left" w:leader="none"/>
        </w:tabs>
        <w:spacing w:line="360" w:lineRule="auto" w:before="172" w:after="0"/>
        <w:ind w:left="780" w:right="836" w:hanging="360"/>
        <w:jc w:val="both"/>
        <w:rPr>
          <w:sz w:val="24"/>
        </w:rPr>
      </w:pPr>
      <w:r>
        <w:rPr>
          <w:b/>
          <w:sz w:val="24"/>
        </w:rPr>
        <w:t>Development of a Medium Term Sector Strategy: </w:t>
      </w:r>
      <w:r>
        <w:rPr>
          <w:sz w:val="24"/>
        </w:rPr>
        <w:t>The study also enquired from respondents on the existence of a medium term strategy for the Anambra State housing sector. The results indicate that majority</w:t>
      </w:r>
      <w:r>
        <w:rPr>
          <w:spacing w:val="-5"/>
          <w:sz w:val="24"/>
        </w:rPr>
        <w:t> </w:t>
      </w:r>
      <w:r>
        <w:rPr>
          <w:sz w:val="24"/>
        </w:rPr>
        <w:t>of the respondents, precisely</w:t>
      </w:r>
      <w:r>
        <w:rPr>
          <w:spacing w:val="-3"/>
          <w:sz w:val="24"/>
        </w:rPr>
        <w:t> </w:t>
      </w:r>
      <w:r>
        <w:rPr>
          <w:sz w:val="24"/>
        </w:rPr>
        <w:t>121 which represents 78% strongly stated that there is presently no medium term strategy developed by the government for housing. A paltry number of respondents; 11(7%) stated that there is a strategy</w:t>
      </w:r>
      <w:r>
        <w:rPr>
          <w:spacing w:val="-8"/>
          <w:sz w:val="24"/>
        </w:rPr>
        <w:t> </w:t>
      </w:r>
      <w:r>
        <w:rPr>
          <w:sz w:val="24"/>
        </w:rPr>
        <w:t>in place, while 24 (15%)</w:t>
      </w:r>
      <w:r>
        <w:rPr>
          <w:spacing w:val="-1"/>
          <w:sz w:val="24"/>
        </w:rPr>
        <w:t> </w:t>
      </w:r>
      <w:r>
        <w:rPr>
          <w:sz w:val="24"/>
        </w:rPr>
        <w:t>of</w:t>
      </w:r>
      <w:r>
        <w:rPr>
          <w:spacing w:val="-1"/>
          <w:sz w:val="24"/>
        </w:rPr>
        <w:t> </w:t>
      </w:r>
      <w:r>
        <w:rPr>
          <w:sz w:val="24"/>
        </w:rPr>
        <w:t>them have</w:t>
      </w:r>
      <w:r>
        <w:rPr>
          <w:spacing w:val="-1"/>
          <w:sz w:val="24"/>
        </w:rPr>
        <w:t> </w:t>
      </w:r>
      <w:r>
        <w:rPr>
          <w:sz w:val="24"/>
        </w:rPr>
        <w:t>no idea</w:t>
      </w:r>
      <w:r>
        <w:rPr>
          <w:spacing w:val="-2"/>
          <w:sz w:val="24"/>
        </w:rPr>
        <w:t> </w:t>
      </w:r>
      <w:r>
        <w:rPr>
          <w:sz w:val="24"/>
        </w:rPr>
        <w:t>whether</w:t>
      </w:r>
      <w:r>
        <w:rPr>
          <w:spacing w:val="-2"/>
          <w:sz w:val="24"/>
        </w:rPr>
        <w:t> </w:t>
      </w:r>
      <w:r>
        <w:rPr>
          <w:sz w:val="24"/>
        </w:rPr>
        <w:t>a</w:t>
      </w:r>
      <w:r>
        <w:rPr>
          <w:spacing w:val="-1"/>
          <w:sz w:val="24"/>
        </w:rPr>
        <w:t> </w:t>
      </w:r>
      <w:r>
        <w:rPr>
          <w:sz w:val="24"/>
        </w:rPr>
        <w:t>strategy</w:t>
      </w:r>
      <w:r>
        <w:rPr>
          <w:spacing w:val="-8"/>
          <w:sz w:val="24"/>
        </w:rPr>
        <w:t> </w:t>
      </w:r>
      <w:r>
        <w:rPr>
          <w:sz w:val="24"/>
        </w:rPr>
        <w:t>is in place</w:t>
      </w:r>
      <w:r>
        <w:rPr>
          <w:spacing w:val="-1"/>
          <w:sz w:val="24"/>
        </w:rPr>
        <w:t> </w:t>
      </w:r>
      <w:r>
        <w:rPr>
          <w:sz w:val="24"/>
        </w:rPr>
        <w:t>or</w:t>
      </w:r>
      <w:r>
        <w:rPr>
          <w:spacing w:val="-1"/>
          <w:sz w:val="24"/>
        </w:rPr>
        <w:t> </w:t>
      </w:r>
      <w:r>
        <w:rPr>
          <w:sz w:val="24"/>
        </w:rPr>
        <w:t>not. These show that the Government of Anambra State is yet to develop a medium term housing sector strategic plan. The implication of this is that there is no political will to integrate state priorities and policy goals in housing. Hence, the need for a document that serves as a tool or guide for implementing housing policy goals. Furthermore, the absence of a housing strategic plan means that there is no basis for priorities and programmes in housing</w:t>
      </w:r>
      <w:r>
        <w:rPr>
          <w:spacing w:val="-5"/>
          <w:sz w:val="24"/>
        </w:rPr>
        <w:t> </w:t>
      </w:r>
      <w:r>
        <w:rPr>
          <w:sz w:val="24"/>
        </w:rPr>
        <w:t>within</w:t>
      </w:r>
      <w:r>
        <w:rPr>
          <w:spacing w:val="-2"/>
          <w:sz w:val="24"/>
        </w:rPr>
        <w:t> </w:t>
      </w:r>
      <w:r>
        <w:rPr>
          <w:sz w:val="24"/>
        </w:rPr>
        <w:t>available</w:t>
      </w:r>
      <w:r>
        <w:rPr>
          <w:spacing w:val="-1"/>
          <w:sz w:val="24"/>
        </w:rPr>
        <w:t> </w:t>
      </w:r>
      <w:r>
        <w:rPr>
          <w:sz w:val="24"/>
        </w:rPr>
        <w:t>and</w:t>
      </w:r>
      <w:r>
        <w:rPr>
          <w:spacing w:val="-2"/>
          <w:sz w:val="24"/>
        </w:rPr>
        <w:t> </w:t>
      </w:r>
      <w:r>
        <w:rPr>
          <w:sz w:val="24"/>
        </w:rPr>
        <w:t>appropriated</w:t>
      </w:r>
      <w:r>
        <w:rPr>
          <w:spacing w:val="-1"/>
          <w:sz w:val="24"/>
        </w:rPr>
        <w:t> </w:t>
      </w:r>
      <w:r>
        <w:rPr>
          <w:sz w:val="24"/>
        </w:rPr>
        <w:t>resources</w:t>
      </w:r>
      <w:r>
        <w:rPr>
          <w:spacing w:val="-2"/>
          <w:sz w:val="24"/>
        </w:rPr>
        <w:t> </w:t>
      </w:r>
      <w:r>
        <w:rPr>
          <w:sz w:val="24"/>
        </w:rPr>
        <w:t>or</w:t>
      </w:r>
      <w:r>
        <w:rPr>
          <w:spacing w:val="-2"/>
          <w:sz w:val="24"/>
        </w:rPr>
        <w:t> </w:t>
      </w:r>
      <w:r>
        <w:rPr>
          <w:sz w:val="24"/>
        </w:rPr>
        <w:t>budget</w:t>
      </w:r>
      <w:r>
        <w:rPr>
          <w:spacing w:val="-2"/>
          <w:sz w:val="24"/>
        </w:rPr>
        <w:t> </w:t>
      </w:r>
      <w:r>
        <w:rPr>
          <w:sz w:val="24"/>
        </w:rPr>
        <w:t>as</w:t>
      </w:r>
      <w:r>
        <w:rPr>
          <w:spacing w:val="-1"/>
          <w:sz w:val="24"/>
        </w:rPr>
        <w:t> </w:t>
      </w:r>
      <w:r>
        <w:rPr>
          <w:sz w:val="24"/>
        </w:rPr>
        <w:t>a</w:t>
      </w:r>
      <w:r>
        <w:rPr>
          <w:spacing w:val="-3"/>
          <w:sz w:val="24"/>
        </w:rPr>
        <w:t> </w:t>
      </w:r>
      <w:r>
        <w:rPr>
          <w:sz w:val="24"/>
        </w:rPr>
        <w:t>way</w:t>
      </w:r>
      <w:r>
        <w:rPr>
          <w:spacing w:val="-5"/>
          <w:sz w:val="24"/>
        </w:rPr>
        <w:t> </w:t>
      </w:r>
      <w:r>
        <w:rPr>
          <w:sz w:val="24"/>
        </w:rPr>
        <w:t>of</w:t>
      </w:r>
      <w:r>
        <w:rPr>
          <w:spacing w:val="-1"/>
          <w:sz w:val="24"/>
        </w:rPr>
        <w:t> </w:t>
      </w:r>
      <w:r>
        <w:rPr>
          <w:sz w:val="24"/>
        </w:rPr>
        <w:t>assuring</w:t>
      </w:r>
      <w:r>
        <w:rPr>
          <w:spacing w:val="-2"/>
          <w:sz w:val="24"/>
        </w:rPr>
        <w:t> </w:t>
      </w:r>
      <w:r>
        <w:rPr>
          <w:sz w:val="24"/>
        </w:rPr>
        <w:t>best</w:t>
      </w:r>
      <w:r>
        <w:rPr>
          <w:spacing w:val="-2"/>
          <w:sz w:val="24"/>
        </w:rPr>
        <w:t> </w:t>
      </w:r>
      <w:r>
        <w:rPr>
          <w:sz w:val="24"/>
        </w:rPr>
        <w:t>use of scarce resources of Anambra State.</w:t>
      </w:r>
    </w:p>
    <w:p>
      <w:pPr>
        <w:spacing w:after="0" w:line="360" w:lineRule="auto"/>
        <w:jc w:val="both"/>
        <w:rPr>
          <w:sz w:val="24"/>
        </w:rPr>
        <w:sectPr>
          <w:pgSz w:w="12240" w:h="15840"/>
          <w:pgMar w:header="0" w:footer="1036" w:top="1360" w:bottom="1220" w:left="1200" w:right="600"/>
        </w:sectPr>
      </w:pPr>
    </w:p>
    <w:p>
      <w:pPr>
        <w:pStyle w:val="ListParagraph"/>
        <w:numPr>
          <w:ilvl w:val="3"/>
          <w:numId w:val="81"/>
        </w:numPr>
        <w:tabs>
          <w:tab w:pos="780" w:val="left" w:leader="none"/>
        </w:tabs>
        <w:spacing w:line="360" w:lineRule="auto" w:before="74" w:after="0"/>
        <w:ind w:left="780" w:right="833" w:hanging="360"/>
        <w:jc w:val="both"/>
        <w:rPr>
          <w:sz w:val="24"/>
        </w:rPr>
      </w:pPr>
      <w:r>
        <w:rPr>
          <w:b/>
          <w:sz w:val="24"/>
        </w:rPr>
        <w:t>Housing</w:t>
      </w:r>
      <w:r>
        <w:rPr>
          <w:b/>
          <w:spacing w:val="-1"/>
          <w:sz w:val="24"/>
        </w:rPr>
        <w:t> </w:t>
      </w:r>
      <w:r>
        <w:rPr>
          <w:b/>
          <w:sz w:val="24"/>
        </w:rPr>
        <w:t>Needs Assessment: </w:t>
      </w:r>
      <w:r>
        <w:rPr>
          <w:sz w:val="24"/>
        </w:rPr>
        <w:t>On the issue of carrying out a housing</w:t>
      </w:r>
      <w:r>
        <w:rPr>
          <w:spacing w:val="-1"/>
          <w:sz w:val="24"/>
        </w:rPr>
        <w:t> </w:t>
      </w:r>
      <w:r>
        <w:rPr>
          <w:sz w:val="24"/>
        </w:rPr>
        <w:t>needs assessment, 130 respondents which represents 83% are of the view that housing needs assessment is not carried out by the Government prior to housing budget formulation and preparation. 19 (12%) of the respondents think otherwise, while 7(5%) have no idea on the issue.</w:t>
      </w:r>
      <w:r>
        <w:rPr>
          <w:spacing w:val="40"/>
          <w:sz w:val="24"/>
        </w:rPr>
        <w:t> </w:t>
      </w:r>
      <w:r>
        <w:rPr>
          <w:sz w:val="24"/>
        </w:rPr>
        <w:t>These results can be interpreted to mean that the Government prepares the housing budget annually</w:t>
      </w:r>
      <w:r>
        <w:rPr>
          <w:spacing w:val="-2"/>
          <w:sz w:val="24"/>
        </w:rPr>
        <w:t> </w:t>
      </w:r>
      <w:r>
        <w:rPr>
          <w:sz w:val="24"/>
        </w:rPr>
        <w:t>with no clue of the nature</w:t>
      </w:r>
      <w:r>
        <w:rPr>
          <w:spacing w:val="-1"/>
          <w:sz w:val="24"/>
        </w:rPr>
        <w:t> </w:t>
      </w:r>
      <w:r>
        <w:rPr>
          <w:sz w:val="24"/>
        </w:rPr>
        <w:t>of housing</w:t>
      </w:r>
      <w:r>
        <w:rPr>
          <w:spacing w:val="-2"/>
          <w:sz w:val="24"/>
        </w:rPr>
        <w:t> </w:t>
      </w:r>
      <w:r>
        <w:rPr>
          <w:sz w:val="24"/>
        </w:rPr>
        <w:t>facilities really</w:t>
      </w:r>
      <w:r>
        <w:rPr>
          <w:spacing w:val="-4"/>
          <w:sz w:val="24"/>
        </w:rPr>
        <w:t> </w:t>
      </w:r>
      <w:r>
        <w:rPr>
          <w:sz w:val="24"/>
        </w:rPr>
        <w:t>needed. In other</w:t>
      </w:r>
      <w:r>
        <w:rPr>
          <w:spacing w:val="-1"/>
          <w:sz w:val="24"/>
        </w:rPr>
        <w:t> </w:t>
      </w:r>
      <w:r>
        <w:rPr>
          <w:sz w:val="24"/>
        </w:rPr>
        <w:t>words, there is no systematic process in place for determining or addressing or investigating the housing needs or gaps between current housing conditions and desired housing conditions or wants of communities and their inhabitants.</w:t>
      </w:r>
      <w:r>
        <w:rPr>
          <w:spacing w:val="40"/>
          <w:sz w:val="24"/>
        </w:rPr>
        <w:t> </w:t>
      </w:r>
      <w:r>
        <w:rPr>
          <w:sz w:val="24"/>
        </w:rPr>
        <w:t>This lack of housing needs assessment will likely make it difficult to develop a database on housing needs of Anambra State. Oral interviews conducted by the researcher further revealed that, needs assessment actually began in 2010 in line</w:t>
      </w:r>
      <w:r>
        <w:rPr>
          <w:spacing w:val="-1"/>
          <w:sz w:val="24"/>
        </w:rPr>
        <w:t> </w:t>
      </w:r>
      <w:r>
        <w:rPr>
          <w:sz w:val="24"/>
        </w:rPr>
        <w:t>with international best practice</w:t>
      </w:r>
      <w:r>
        <w:rPr>
          <w:spacing w:val="-1"/>
          <w:sz w:val="24"/>
        </w:rPr>
        <w:t> </w:t>
      </w:r>
      <w:r>
        <w:rPr>
          <w:sz w:val="24"/>
        </w:rPr>
        <w:t>of</w:t>
      </w:r>
      <w:r>
        <w:rPr>
          <w:spacing w:val="-1"/>
          <w:sz w:val="24"/>
        </w:rPr>
        <w:t> </w:t>
      </w:r>
      <w:r>
        <w:rPr>
          <w:sz w:val="24"/>
        </w:rPr>
        <w:t>adopting demand</w:t>
      </w:r>
      <w:r>
        <w:rPr>
          <w:spacing w:val="-1"/>
          <w:sz w:val="24"/>
        </w:rPr>
        <w:t> </w:t>
      </w:r>
      <w:r>
        <w:rPr>
          <w:sz w:val="24"/>
        </w:rPr>
        <w:t>driven</w:t>
      </w:r>
      <w:r>
        <w:rPr>
          <w:spacing w:val="-1"/>
          <w:sz w:val="24"/>
        </w:rPr>
        <w:t> </w:t>
      </w:r>
      <w:r>
        <w:rPr>
          <w:sz w:val="24"/>
        </w:rPr>
        <w:t>budget rather</w:t>
      </w:r>
      <w:r>
        <w:rPr>
          <w:spacing w:val="-2"/>
          <w:sz w:val="24"/>
        </w:rPr>
        <w:t> </w:t>
      </w:r>
      <w:r>
        <w:rPr>
          <w:sz w:val="24"/>
        </w:rPr>
        <w:t>than</w:t>
      </w:r>
      <w:r>
        <w:rPr>
          <w:spacing w:val="-1"/>
          <w:sz w:val="24"/>
        </w:rPr>
        <w:t> </w:t>
      </w:r>
      <w:r>
        <w:rPr>
          <w:sz w:val="24"/>
        </w:rPr>
        <w:t>supply driven budget. However, the process is usually carried out for some other sectors such as the health sector; where selected government officials visit communities and make enquiries on households that lack toilet facilities. It was attempted for housing</w:t>
      </w:r>
      <w:r>
        <w:rPr>
          <w:spacing w:val="-1"/>
          <w:sz w:val="24"/>
        </w:rPr>
        <w:t> </w:t>
      </w:r>
      <w:r>
        <w:rPr>
          <w:sz w:val="24"/>
        </w:rPr>
        <w:t>though but a shoddy job was done.</w:t>
      </w:r>
    </w:p>
    <w:p>
      <w:pPr>
        <w:pStyle w:val="ListParagraph"/>
        <w:numPr>
          <w:ilvl w:val="3"/>
          <w:numId w:val="81"/>
        </w:numPr>
        <w:tabs>
          <w:tab w:pos="778" w:val="left" w:leader="none"/>
          <w:tab w:pos="780" w:val="left" w:leader="none"/>
        </w:tabs>
        <w:spacing w:line="360" w:lineRule="auto" w:before="175" w:after="0"/>
        <w:ind w:left="780" w:right="835" w:hanging="360"/>
        <w:jc w:val="both"/>
        <w:rPr>
          <w:sz w:val="24"/>
        </w:rPr>
      </w:pPr>
      <w:r>
        <w:rPr>
          <w:b/>
          <w:sz w:val="24"/>
        </w:rPr>
        <w:t>Frequency of Housing Needs Assessment: </w:t>
      </w:r>
      <w:r>
        <w:rPr>
          <w:sz w:val="24"/>
        </w:rPr>
        <w:t>As a follow up on the housing needs assessment, enquiries were also made with respect to how often the exercise was carried out.</w:t>
      </w:r>
      <w:r>
        <w:rPr>
          <w:spacing w:val="-2"/>
          <w:sz w:val="24"/>
        </w:rPr>
        <w:t> </w:t>
      </w:r>
      <w:r>
        <w:rPr>
          <w:sz w:val="24"/>
        </w:rPr>
        <w:t>Surprisingly,</w:t>
      </w:r>
      <w:r>
        <w:rPr>
          <w:spacing w:val="-2"/>
          <w:sz w:val="24"/>
        </w:rPr>
        <w:t> </w:t>
      </w:r>
      <w:r>
        <w:rPr>
          <w:sz w:val="24"/>
        </w:rPr>
        <w:t>38(24%)</w:t>
      </w:r>
      <w:r>
        <w:rPr>
          <w:spacing w:val="-2"/>
          <w:sz w:val="24"/>
        </w:rPr>
        <w:t> </w:t>
      </w:r>
      <w:r>
        <w:rPr>
          <w:sz w:val="24"/>
        </w:rPr>
        <w:t>of</w:t>
      </w:r>
      <w:r>
        <w:rPr>
          <w:spacing w:val="-2"/>
          <w:sz w:val="24"/>
        </w:rPr>
        <w:t> </w:t>
      </w:r>
      <w:r>
        <w:rPr>
          <w:sz w:val="24"/>
        </w:rPr>
        <w:t>the</w:t>
      </w:r>
      <w:r>
        <w:rPr>
          <w:spacing w:val="-1"/>
          <w:sz w:val="24"/>
        </w:rPr>
        <w:t> </w:t>
      </w:r>
      <w:r>
        <w:rPr>
          <w:sz w:val="24"/>
        </w:rPr>
        <w:t>respondents affirm</w:t>
      </w:r>
      <w:r>
        <w:rPr>
          <w:spacing w:val="-2"/>
          <w:sz w:val="24"/>
        </w:rPr>
        <w:t> </w:t>
      </w:r>
      <w:r>
        <w:rPr>
          <w:sz w:val="24"/>
        </w:rPr>
        <w:t>that</w:t>
      </w:r>
      <w:r>
        <w:rPr>
          <w:spacing w:val="-2"/>
          <w:sz w:val="24"/>
        </w:rPr>
        <w:t> </w:t>
      </w:r>
      <w:r>
        <w:rPr>
          <w:sz w:val="24"/>
        </w:rPr>
        <w:t>it</w:t>
      </w:r>
      <w:r>
        <w:rPr>
          <w:spacing w:val="-2"/>
          <w:sz w:val="24"/>
        </w:rPr>
        <w:t> </w:t>
      </w:r>
      <w:r>
        <w:rPr>
          <w:sz w:val="24"/>
        </w:rPr>
        <w:t>is</w:t>
      </w:r>
      <w:r>
        <w:rPr>
          <w:spacing w:val="-2"/>
          <w:sz w:val="24"/>
        </w:rPr>
        <w:t> </w:t>
      </w:r>
      <w:r>
        <w:rPr>
          <w:sz w:val="24"/>
        </w:rPr>
        <w:t>carried</w:t>
      </w:r>
      <w:r>
        <w:rPr>
          <w:spacing w:val="-1"/>
          <w:sz w:val="24"/>
        </w:rPr>
        <w:t> </w:t>
      </w:r>
      <w:r>
        <w:rPr>
          <w:sz w:val="24"/>
        </w:rPr>
        <w:t>out</w:t>
      </w:r>
      <w:r>
        <w:rPr>
          <w:spacing w:val="-2"/>
          <w:sz w:val="24"/>
        </w:rPr>
        <w:t> </w:t>
      </w:r>
      <w:r>
        <w:rPr>
          <w:sz w:val="24"/>
        </w:rPr>
        <w:t>once</w:t>
      </w:r>
      <w:r>
        <w:rPr>
          <w:spacing w:val="-1"/>
          <w:sz w:val="24"/>
        </w:rPr>
        <w:t> </w:t>
      </w:r>
      <w:r>
        <w:rPr>
          <w:sz w:val="24"/>
        </w:rPr>
        <w:t>a year</w:t>
      </w:r>
      <w:r>
        <w:rPr>
          <w:spacing w:val="-1"/>
          <w:sz w:val="24"/>
        </w:rPr>
        <w:t> </w:t>
      </w:r>
      <w:r>
        <w:rPr>
          <w:sz w:val="24"/>
        </w:rPr>
        <w:t>before the</w:t>
      </w:r>
      <w:r>
        <w:rPr>
          <w:spacing w:val="-2"/>
          <w:sz w:val="24"/>
        </w:rPr>
        <w:t> </w:t>
      </w:r>
      <w:r>
        <w:rPr>
          <w:sz w:val="24"/>
        </w:rPr>
        <w:t>budget</w:t>
      </w:r>
      <w:r>
        <w:rPr>
          <w:spacing w:val="-1"/>
          <w:sz w:val="24"/>
        </w:rPr>
        <w:t> </w:t>
      </w:r>
      <w:r>
        <w:rPr>
          <w:sz w:val="24"/>
        </w:rPr>
        <w:t>is</w:t>
      </w:r>
      <w:r>
        <w:rPr>
          <w:spacing w:val="-1"/>
          <w:sz w:val="24"/>
        </w:rPr>
        <w:t> </w:t>
      </w:r>
      <w:r>
        <w:rPr>
          <w:sz w:val="24"/>
        </w:rPr>
        <w:t>prepared.</w:t>
      </w:r>
      <w:r>
        <w:rPr>
          <w:spacing w:val="-1"/>
          <w:sz w:val="24"/>
        </w:rPr>
        <w:t> </w:t>
      </w:r>
      <w:r>
        <w:rPr>
          <w:sz w:val="24"/>
        </w:rPr>
        <w:t>The</w:t>
      </w:r>
      <w:r>
        <w:rPr>
          <w:spacing w:val="-2"/>
          <w:sz w:val="24"/>
        </w:rPr>
        <w:t> </w:t>
      </w:r>
      <w:r>
        <w:rPr>
          <w:sz w:val="24"/>
        </w:rPr>
        <w:t>majority</w:t>
      </w:r>
      <w:r>
        <w:rPr>
          <w:spacing w:val="-8"/>
          <w:sz w:val="24"/>
        </w:rPr>
        <w:t> </w:t>
      </w:r>
      <w:r>
        <w:rPr>
          <w:sz w:val="24"/>
        </w:rPr>
        <w:t>75(48%)</w:t>
      </w:r>
      <w:r>
        <w:rPr>
          <w:spacing w:val="-2"/>
          <w:sz w:val="24"/>
        </w:rPr>
        <w:t> </w:t>
      </w:r>
      <w:r>
        <w:rPr>
          <w:sz w:val="24"/>
        </w:rPr>
        <w:t>however,</w:t>
      </w:r>
      <w:r>
        <w:rPr>
          <w:spacing w:val="-2"/>
          <w:sz w:val="24"/>
        </w:rPr>
        <w:t> </w:t>
      </w:r>
      <w:r>
        <w:rPr>
          <w:sz w:val="24"/>
        </w:rPr>
        <w:t>indicate</w:t>
      </w:r>
      <w:r>
        <w:rPr>
          <w:spacing w:val="-2"/>
          <w:sz w:val="24"/>
        </w:rPr>
        <w:t> </w:t>
      </w:r>
      <w:r>
        <w:rPr>
          <w:sz w:val="24"/>
        </w:rPr>
        <w:t>that</w:t>
      </w:r>
      <w:r>
        <w:rPr>
          <w:spacing w:val="-1"/>
          <w:sz w:val="24"/>
        </w:rPr>
        <w:t> </w:t>
      </w:r>
      <w:r>
        <w:rPr>
          <w:sz w:val="24"/>
        </w:rPr>
        <w:t>it</w:t>
      </w:r>
      <w:r>
        <w:rPr>
          <w:spacing w:val="-1"/>
          <w:sz w:val="24"/>
        </w:rPr>
        <w:t> </w:t>
      </w:r>
      <w:r>
        <w:rPr>
          <w:sz w:val="24"/>
        </w:rPr>
        <w:t>is</w:t>
      </w:r>
      <w:r>
        <w:rPr>
          <w:spacing w:val="-3"/>
          <w:sz w:val="24"/>
        </w:rPr>
        <w:t> </w:t>
      </w:r>
      <w:r>
        <w:rPr>
          <w:sz w:val="24"/>
        </w:rPr>
        <w:t>sometimes</w:t>
      </w:r>
      <w:r>
        <w:rPr>
          <w:spacing w:val="-1"/>
          <w:sz w:val="24"/>
        </w:rPr>
        <w:t> </w:t>
      </w:r>
      <w:r>
        <w:rPr>
          <w:sz w:val="24"/>
        </w:rPr>
        <w:t>carried out when convenient for the government. 29(19%) insist it is done only when funds are available,</w:t>
      </w:r>
      <w:r>
        <w:rPr>
          <w:spacing w:val="-1"/>
          <w:sz w:val="24"/>
        </w:rPr>
        <w:t> </w:t>
      </w:r>
      <w:r>
        <w:rPr>
          <w:sz w:val="24"/>
        </w:rPr>
        <w:t>6(4%)</w:t>
      </w:r>
      <w:r>
        <w:rPr>
          <w:spacing w:val="-2"/>
          <w:sz w:val="24"/>
        </w:rPr>
        <w:t> </w:t>
      </w:r>
      <w:r>
        <w:rPr>
          <w:sz w:val="24"/>
        </w:rPr>
        <w:t>say</w:t>
      </w:r>
      <w:r>
        <w:rPr>
          <w:spacing w:val="-5"/>
          <w:sz w:val="24"/>
        </w:rPr>
        <w:t> </w:t>
      </w:r>
      <w:r>
        <w:rPr>
          <w:sz w:val="24"/>
        </w:rPr>
        <w:t>it is</w:t>
      </w:r>
      <w:r>
        <w:rPr>
          <w:spacing w:val="-2"/>
          <w:sz w:val="24"/>
        </w:rPr>
        <w:t> </w:t>
      </w:r>
      <w:r>
        <w:rPr>
          <w:sz w:val="24"/>
        </w:rPr>
        <w:t>a</w:t>
      </w:r>
      <w:r>
        <w:rPr>
          <w:spacing w:val="-1"/>
          <w:sz w:val="24"/>
        </w:rPr>
        <w:t> </w:t>
      </w:r>
      <w:r>
        <w:rPr>
          <w:sz w:val="24"/>
        </w:rPr>
        <w:t>routine while 8(5%)</w:t>
      </w:r>
      <w:r>
        <w:rPr>
          <w:spacing w:val="-1"/>
          <w:sz w:val="24"/>
        </w:rPr>
        <w:t> </w:t>
      </w:r>
      <w:r>
        <w:rPr>
          <w:sz w:val="24"/>
        </w:rPr>
        <w:t>claim to</w:t>
      </w:r>
      <w:r>
        <w:rPr>
          <w:spacing w:val="-2"/>
          <w:sz w:val="24"/>
        </w:rPr>
        <w:t> </w:t>
      </w:r>
      <w:r>
        <w:rPr>
          <w:sz w:val="24"/>
        </w:rPr>
        <w:t>have</w:t>
      </w:r>
      <w:r>
        <w:rPr>
          <w:spacing w:val="-1"/>
          <w:sz w:val="24"/>
        </w:rPr>
        <w:t> </w:t>
      </w:r>
      <w:r>
        <w:rPr>
          <w:sz w:val="24"/>
        </w:rPr>
        <w:t>no idea</w:t>
      </w:r>
      <w:r>
        <w:rPr>
          <w:spacing w:val="-2"/>
          <w:sz w:val="24"/>
        </w:rPr>
        <w:t> </w:t>
      </w:r>
      <w:r>
        <w:rPr>
          <w:sz w:val="24"/>
        </w:rPr>
        <w:t>when it is</w:t>
      </w:r>
      <w:r>
        <w:rPr>
          <w:spacing w:val="-2"/>
          <w:sz w:val="24"/>
        </w:rPr>
        <w:t> </w:t>
      </w:r>
      <w:r>
        <w:rPr>
          <w:sz w:val="24"/>
        </w:rPr>
        <w:t>carried</w:t>
      </w:r>
      <w:r>
        <w:rPr>
          <w:spacing w:val="-1"/>
          <w:sz w:val="24"/>
        </w:rPr>
        <w:t> </w:t>
      </w:r>
      <w:r>
        <w:rPr>
          <w:sz w:val="24"/>
        </w:rPr>
        <w:t>out. This scenario is understandable, considering that housing needs assessment was once attempted and was probably carried out before the budget was prepared, albeit by an initially</w:t>
      </w:r>
      <w:r>
        <w:rPr>
          <w:spacing w:val="-9"/>
          <w:sz w:val="24"/>
        </w:rPr>
        <w:t> </w:t>
      </w:r>
      <w:r>
        <w:rPr>
          <w:sz w:val="24"/>
        </w:rPr>
        <w:t>committed</w:t>
      </w:r>
      <w:r>
        <w:rPr>
          <w:spacing w:val="-2"/>
          <w:sz w:val="24"/>
        </w:rPr>
        <w:t> </w:t>
      </w:r>
      <w:r>
        <w:rPr>
          <w:sz w:val="24"/>
        </w:rPr>
        <w:t>Government.</w:t>
      </w:r>
      <w:r>
        <w:rPr>
          <w:spacing w:val="40"/>
          <w:sz w:val="24"/>
        </w:rPr>
        <w:t> </w:t>
      </w:r>
      <w:r>
        <w:rPr>
          <w:sz w:val="24"/>
        </w:rPr>
        <w:t>The</w:t>
      </w:r>
      <w:r>
        <w:rPr>
          <w:spacing w:val="-2"/>
          <w:sz w:val="24"/>
        </w:rPr>
        <w:t> </w:t>
      </w:r>
      <w:r>
        <w:rPr>
          <w:sz w:val="24"/>
        </w:rPr>
        <w:t>status</w:t>
      </w:r>
      <w:r>
        <w:rPr>
          <w:spacing w:val="-1"/>
          <w:sz w:val="24"/>
        </w:rPr>
        <w:t> </w:t>
      </w:r>
      <w:r>
        <w:rPr>
          <w:sz w:val="24"/>
        </w:rPr>
        <w:t>quo was</w:t>
      </w:r>
      <w:r>
        <w:rPr>
          <w:spacing w:val="-1"/>
          <w:sz w:val="24"/>
        </w:rPr>
        <w:t> </w:t>
      </w:r>
      <w:r>
        <w:rPr>
          <w:sz w:val="24"/>
        </w:rPr>
        <w:t>however</w:t>
      </w:r>
      <w:r>
        <w:rPr>
          <w:spacing w:val="-2"/>
          <w:sz w:val="24"/>
        </w:rPr>
        <w:t> </w:t>
      </w:r>
      <w:r>
        <w:rPr>
          <w:sz w:val="24"/>
        </w:rPr>
        <w:t>returned</w:t>
      </w:r>
      <w:r>
        <w:rPr>
          <w:spacing w:val="-1"/>
          <w:sz w:val="24"/>
        </w:rPr>
        <w:t> </w:t>
      </w:r>
      <w:r>
        <w:rPr>
          <w:sz w:val="24"/>
        </w:rPr>
        <w:t>to after</w:t>
      </w:r>
      <w:r>
        <w:rPr>
          <w:spacing w:val="-2"/>
          <w:sz w:val="24"/>
        </w:rPr>
        <w:t> </w:t>
      </w:r>
      <w:r>
        <w:rPr>
          <w:sz w:val="24"/>
        </w:rPr>
        <w:t>the attempt. This trend shows that the Government lacks the will to sustain the housing needs assessment exercise on a periodic basis, hence the urgent need for commitment and consistency on the part of the Government in embarking on the exercise more often to enable a better and more informed housing budget planning.</w:t>
      </w:r>
      <w:r>
        <w:rPr>
          <w:spacing w:val="40"/>
          <w:sz w:val="24"/>
        </w:rPr>
        <w:t> </w:t>
      </w:r>
      <w:r>
        <w:rPr>
          <w:sz w:val="24"/>
        </w:rPr>
        <w:t>Reasons cited via oral interviews, for not extending the exercise to housing on a more frequent basis are lack of personnel and funds.</w:t>
      </w:r>
    </w:p>
    <w:p>
      <w:pPr>
        <w:spacing w:after="0" w:line="360" w:lineRule="auto"/>
        <w:jc w:val="both"/>
        <w:rPr>
          <w:sz w:val="24"/>
        </w:rPr>
        <w:sectPr>
          <w:pgSz w:w="12240" w:h="15840"/>
          <w:pgMar w:header="0" w:footer="1036" w:top="1360" w:bottom="1220" w:left="1200" w:right="600"/>
        </w:sectPr>
      </w:pPr>
    </w:p>
    <w:p>
      <w:pPr>
        <w:pStyle w:val="ListParagraph"/>
        <w:numPr>
          <w:ilvl w:val="3"/>
          <w:numId w:val="81"/>
        </w:numPr>
        <w:tabs>
          <w:tab w:pos="780" w:val="left" w:leader="none"/>
        </w:tabs>
        <w:spacing w:line="360" w:lineRule="auto" w:before="74" w:after="0"/>
        <w:ind w:left="780" w:right="832" w:hanging="360"/>
        <w:jc w:val="both"/>
        <w:rPr>
          <w:sz w:val="24"/>
        </w:rPr>
      </w:pPr>
      <w:r>
        <w:rPr>
          <w:b/>
          <w:sz w:val="24"/>
        </w:rPr>
        <w:t>Monitoring and Evaluation of the Housing Budget Process: </w:t>
      </w:r>
      <w:r>
        <w:rPr>
          <w:sz w:val="24"/>
        </w:rPr>
        <w:t>The study also sought to enquire if monitoring and evaluation of the housing budget is actually done in Anambra State</w:t>
      </w:r>
      <w:r>
        <w:rPr>
          <w:b/>
          <w:sz w:val="24"/>
        </w:rPr>
        <w:t>. </w:t>
      </w:r>
      <w:r>
        <w:rPr>
          <w:sz w:val="24"/>
        </w:rPr>
        <w:t>The result reveals that 125 respondents which represent 80% affirm that monitoring and evaluation of the housing budget is non-existent. The other 12(8%) respondents affirm otherwise, while the remaining 19 (5%) have no idea. Sequel to the responses obtained, if monitoring and evaluation is not carried out, how then can housing budget performance be improved, to achieve the desired results? Hence, this scenario makes it difficult to improve housing budget output, outcome and ultimately impact on the community and as well promote transparency, accountability and decision making for corrective measures or actions to be taken.</w:t>
      </w:r>
    </w:p>
    <w:p>
      <w:pPr>
        <w:pStyle w:val="ListParagraph"/>
        <w:numPr>
          <w:ilvl w:val="3"/>
          <w:numId w:val="81"/>
        </w:numPr>
        <w:tabs>
          <w:tab w:pos="778" w:val="left" w:leader="none"/>
          <w:tab w:pos="780" w:val="left" w:leader="none"/>
        </w:tabs>
        <w:spacing w:line="360" w:lineRule="auto" w:before="208" w:after="0"/>
        <w:ind w:left="780" w:right="835" w:hanging="360"/>
        <w:jc w:val="both"/>
        <w:rPr>
          <w:sz w:val="24"/>
        </w:rPr>
      </w:pPr>
      <w:r>
        <w:rPr>
          <w:b/>
          <w:sz w:val="24"/>
        </w:rPr>
        <w:t>Housing Budget Performance Reviews and Reports: </w:t>
      </w:r>
      <w:r>
        <w:rPr>
          <w:sz w:val="24"/>
        </w:rPr>
        <w:t>From the responses of respondents on the frequency of preparing housing budget performance reviews and reports, the majority; precisely 70(45%) attest that it is prepared once a year, 31(19%) affirm that it is done twice a year, 12(8%) agree that it is quarterly, 25(16%) disagree</w:t>
      </w:r>
      <w:r>
        <w:rPr>
          <w:spacing w:val="19"/>
          <w:sz w:val="24"/>
        </w:rPr>
        <w:t> </w:t>
      </w:r>
      <w:r>
        <w:rPr>
          <w:sz w:val="24"/>
        </w:rPr>
        <w:t>that it is carried out</w:t>
      </w:r>
      <w:r>
        <w:rPr>
          <w:spacing w:val="40"/>
          <w:sz w:val="24"/>
        </w:rPr>
        <w:t> </w:t>
      </w:r>
      <w:r>
        <w:rPr>
          <w:sz w:val="24"/>
        </w:rPr>
        <w:t>at all, while the remaining 18(12%) of the respondents are not conversant with the issue. It can be</w:t>
      </w:r>
      <w:r>
        <w:rPr>
          <w:spacing w:val="-1"/>
          <w:sz w:val="24"/>
        </w:rPr>
        <w:t> </w:t>
      </w:r>
      <w:r>
        <w:rPr>
          <w:sz w:val="24"/>
        </w:rPr>
        <w:t>deduced from these</w:t>
      </w:r>
      <w:r>
        <w:rPr>
          <w:spacing w:val="-1"/>
          <w:sz w:val="24"/>
        </w:rPr>
        <w:t> </w:t>
      </w:r>
      <w:r>
        <w:rPr>
          <w:sz w:val="24"/>
        </w:rPr>
        <w:t>responses that performance reviews</w:t>
      </w:r>
      <w:r>
        <w:rPr>
          <w:spacing w:val="-1"/>
          <w:sz w:val="24"/>
        </w:rPr>
        <w:t> </w:t>
      </w:r>
      <w:r>
        <w:rPr>
          <w:sz w:val="24"/>
        </w:rPr>
        <w:t>and reports are</w:t>
      </w:r>
      <w:r>
        <w:rPr>
          <w:spacing w:val="-2"/>
          <w:sz w:val="24"/>
        </w:rPr>
        <w:t> </w:t>
      </w:r>
      <w:r>
        <w:rPr>
          <w:sz w:val="24"/>
        </w:rPr>
        <w:t>prepared for the housing budget. However, follow up on respondents via oral interviews</w:t>
      </w:r>
      <w:r>
        <w:rPr>
          <w:spacing w:val="40"/>
          <w:sz w:val="24"/>
        </w:rPr>
        <w:t> </w:t>
      </w:r>
      <w:r>
        <w:rPr>
          <w:sz w:val="24"/>
        </w:rPr>
        <w:t>indicate that budget performance review is a recent development in Anambra State and is prepared generally for all economic sectors as a whole and not for the housing sector specifically, and though it is done, it is not done consistently or taken seriously, hence a half hazard job is</w:t>
      </w:r>
      <w:r>
        <w:rPr>
          <w:spacing w:val="-1"/>
          <w:sz w:val="24"/>
        </w:rPr>
        <w:t> </w:t>
      </w:r>
      <w:r>
        <w:rPr>
          <w:sz w:val="24"/>
        </w:rPr>
        <w:t>carried out.</w:t>
      </w:r>
      <w:r>
        <w:rPr>
          <w:spacing w:val="-1"/>
          <w:sz w:val="24"/>
        </w:rPr>
        <w:t> </w:t>
      </w:r>
      <w:r>
        <w:rPr>
          <w:sz w:val="24"/>
        </w:rPr>
        <w:t>Hence,</w:t>
      </w:r>
      <w:r>
        <w:rPr>
          <w:spacing w:val="-1"/>
          <w:sz w:val="24"/>
        </w:rPr>
        <w:t> </w:t>
      </w:r>
      <w:r>
        <w:rPr>
          <w:sz w:val="24"/>
        </w:rPr>
        <w:t>the process</w:t>
      </w:r>
      <w:r>
        <w:rPr>
          <w:spacing w:val="-1"/>
          <w:sz w:val="24"/>
        </w:rPr>
        <w:t> </w:t>
      </w:r>
      <w:r>
        <w:rPr>
          <w:sz w:val="24"/>
        </w:rPr>
        <w:t>does</w:t>
      </w:r>
      <w:r>
        <w:rPr>
          <w:spacing w:val="-1"/>
          <w:sz w:val="24"/>
        </w:rPr>
        <w:t> </w:t>
      </w:r>
      <w:r>
        <w:rPr>
          <w:sz w:val="24"/>
        </w:rPr>
        <w:t>not reflect the</w:t>
      </w:r>
      <w:r>
        <w:rPr>
          <w:spacing w:val="-2"/>
          <w:sz w:val="24"/>
        </w:rPr>
        <w:t> </w:t>
      </w:r>
      <w:r>
        <w:rPr>
          <w:sz w:val="24"/>
        </w:rPr>
        <w:t>actual</w:t>
      </w:r>
      <w:r>
        <w:rPr>
          <w:spacing w:val="-1"/>
          <w:sz w:val="24"/>
        </w:rPr>
        <w:t> </w:t>
      </w:r>
      <w:r>
        <w:rPr>
          <w:sz w:val="24"/>
        </w:rPr>
        <w:t>housing</w:t>
      </w:r>
      <w:r>
        <w:rPr>
          <w:spacing w:val="-3"/>
          <w:sz w:val="24"/>
        </w:rPr>
        <w:t> </w:t>
      </w:r>
      <w:r>
        <w:rPr>
          <w:sz w:val="24"/>
        </w:rPr>
        <w:t>sector scenario and</w:t>
      </w:r>
      <w:r>
        <w:rPr>
          <w:spacing w:val="-1"/>
          <w:sz w:val="24"/>
        </w:rPr>
        <w:t> </w:t>
      </w:r>
      <w:r>
        <w:rPr>
          <w:sz w:val="24"/>
        </w:rPr>
        <w:t>the Government also lacks the political will to execute the general review: thus, making it an unreliable document. From the foregoing, it is obvious that the Anambra State Government employs no reliable, systematic and periodic assessment to indicate how well the housing budget is performing or achieving its objectives in relation to a pre-defined criteria.</w:t>
      </w:r>
      <w:r>
        <w:rPr>
          <w:spacing w:val="40"/>
          <w:sz w:val="24"/>
        </w:rPr>
        <w:t> </w:t>
      </w:r>
      <w:r>
        <w:rPr>
          <w:sz w:val="24"/>
        </w:rPr>
        <w:t>In addition to this, a report which evidences or provides a detailed account of the housing budget review process for future decision making is also non-existent.</w:t>
      </w:r>
    </w:p>
    <w:p>
      <w:pPr>
        <w:spacing w:after="0" w:line="360" w:lineRule="auto"/>
        <w:jc w:val="both"/>
        <w:rPr>
          <w:sz w:val="24"/>
        </w:rPr>
        <w:sectPr>
          <w:pgSz w:w="12240" w:h="15840"/>
          <w:pgMar w:header="0" w:footer="1036" w:top="1360" w:bottom="1220" w:left="1200" w:right="600"/>
        </w:sectPr>
      </w:pPr>
    </w:p>
    <w:p>
      <w:pPr>
        <w:pStyle w:val="Heading4"/>
        <w:spacing w:before="76"/>
        <w:ind w:left="871" w:right="835" w:hanging="632"/>
      </w:pPr>
      <w:r>
        <w:rPr/>
        <w:t>5.3.2. Respondents’ Rating and Ranking of the Problems Hindering Effective Housing Budget Preparation</w:t>
      </w:r>
    </w:p>
    <w:p>
      <w:pPr>
        <w:pStyle w:val="BodyText"/>
        <w:spacing w:line="360" w:lineRule="auto" w:before="171"/>
        <w:ind w:left="240" w:right="835"/>
        <w:jc w:val="both"/>
      </w:pPr>
      <w:r>
        <w:rPr/>
        <w:t>To rank the problems hindering effective housing budget preparation, the respondents were</w:t>
      </w:r>
      <w:r>
        <w:rPr>
          <w:spacing w:val="40"/>
        </w:rPr>
        <w:t> </w:t>
      </w:r>
      <w:r>
        <w:rPr/>
        <w:t>asked to rate the problems on a 5-point Likert scale (5= Strongly agree to 1= Don‘t know), after which the mean scores to be used for the ranking was calculated.</w:t>
      </w:r>
      <w:r>
        <w:rPr>
          <w:spacing w:val="40"/>
        </w:rPr>
        <w:t> </w:t>
      </w:r>
      <w:r>
        <w:rPr/>
        <w:t>The essence of this ranking exercise is to emphasize the problems (in order of severity) affecting the preparation of the housing budget in order for the Government to take necessary measures in addressing them. The respondents‘ rating and ranking are presented in Table 5.7.</w:t>
      </w:r>
    </w:p>
    <w:p>
      <w:pPr>
        <w:pStyle w:val="BodyText"/>
        <w:spacing w:before="143"/>
      </w:pPr>
    </w:p>
    <w:p>
      <w:pPr>
        <w:pStyle w:val="Heading4"/>
      </w:pPr>
      <w:r>
        <w:rPr/>
        <w:t>Table</w:t>
      </w:r>
      <w:r>
        <w:rPr>
          <w:spacing w:val="-3"/>
        </w:rPr>
        <w:t> </w:t>
      </w:r>
      <w:r>
        <w:rPr/>
        <w:t>5.7.</w:t>
      </w:r>
      <w:r>
        <w:rPr>
          <w:spacing w:val="-1"/>
        </w:rPr>
        <w:t> </w:t>
      </w:r>
      <w:r>
        <w:rPr/>
        <w:t>Ranking</w:t>
      </w:r>
      <w:r>
        <w:rPr>
          <w:spacing w:val="-1"/>
        </w:rPr>
        <w:t> </w:t>
      </w:r>
      <w:r>
        <w:rPr/>
        <w:t>of the</w:t>
      </w:r>
      <w:r>
        <w:rPr>
          <w:spacing w:val="-2"/>
        </w:rPr>
        <w:t> </w:t>
      </w:r>
      <w:r>
        <w:rPr/>
        <w:t>Problems</w:t>
      </w:r>
      <w:r>
        <w:rPr>
          <w:spacing w:val="-1"/>
        </w:rPr>
        <w:t> </w:t>
      </w:r>
      <w:r>
        <w:rPr/>
        <w:t>Hindering</w:t>
      </w:r>
      <w:r>
        <w:rPr>
          <w:spacing w:val="-1"/>
        </w:rPr>
        <w:t> </w:t>
      </w:r>
      <w:r>
        <w:rPr/>
        <w:t>Housing</w:t>
      </w:r>
      <w:r>
        <w:rPr>
          <w:spacing w:val="-4"/>
        </w:rPr>
        <w:t> </w:t>
      </w:r>
      <w:r>
        <w:rPr/>
        <w:t>Budget </w:t>
      </w:r>
      <w:r>
        <w:rPr>
          <w:spacing w:val="-2"/>
        </w:rPr>
        <w:t>Preparation</w:t>
      </w:r>
    </w:p>
    <w:p>
      <w:pPr>
        <w:pStyle w:val="BodyText"/>
        <w:spacing w:before="2"/>
        <w:rPr>
          <w:b/>
          <w:sz w:val="12"/>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5"/>
        <w:gridCol w:w="1743"/>
        <w:gridCol w:w="1075"/>
        <w:gridCol w:w="1058"/>
        <w:gridCol w:w="1372"/>
        <w:gridCol w:w="1263"/>
        <w:gridCol w:w="878"/>
        <w:gridCol w:w="907"/>
        <w:gridCol w:w="829"/>
      </w:tblGrid>
      <w:tr>
        <w:trPr>
          <w:trHeight w:val="757" w:hRule="atLeast"/>
        </w:trPr>
        <w:tc>
          <w:tcPr>
            <w:tcW w:w="555" w:type="dxa"/>
            <w:tcBorders>
              <w:top w:val="single" w:sz="8" w:space="0" w:color="4F81BC"/>
              <w:bottom w:val="single" w:sz="8" w:space="0" w:color="4F81BC"/>
            </w:tcBorders>
          </w:tcPr>
          <w:p>
            <w:pPr>
              <w:pStyle w:val="TableParagraph"/>
              <w:spacing w:line="223" w:lineRule="exact"/>
              <w:ind w:left="85" w:right="86"/>
              <w:jc w:val="center"/>
              <w:rPr>
                <w:sz w:val="20"/>
              </w:rPr>
            </w:pPr>
            <w:r>
              <w:rPr>
                <w:spacing w:val="-5"/>
                <w:sz w:val="20"/>
              </w:rPr>
              <w:t>S/N</w:t>
            </w:r>
          </w:p>
        </w:tc>
        <w:tc>
          <w:tcPr>
            <w:tcW w:w="1743" w:type="dxa"/>
            <w:tcBorders>
              <w:top w:val="single" w:sz="8" w:space="0" w:color="4F81BC"/>
              <w:bottom w:val="single" w:sz="8" w:space="0" w:color="4F81BC"/>
            </w:tcBorders>
          </w:tcPr>
          <w:p>
            <w:pPr>
              <w:pStyle w:val="TableParagraph"/>
              <w:spacing w:line="246" w:lineRule="exact"/>
              <w:ind w:left="124"/>
              <w:rPr>
                <w:sz w:val="22"/>
              </w:rPr>
            </w:pPr>
            <w:r>
              <w:rPr>
                <w:spacing w:val="-2"/>
                <w:sz w:val="22"/>
              </w:rPr>
              <w:t>Problems</w:t>
            </w:r>
          </w:p>
        </w:tc>
        <w:tc>
          <w:tcPr>
            <w:tcW w:w="1075" w:type="dxa"/>
            <w:tcBorders>
              <w:top w:val="single" w:sz="8" w:space="0" w:color="4F81BC"/>
              <w:bottom w:val="single" w:sz="8" w:space="0" w:color="4F81BC"/>
            </w:tcBorders>
          </w:tcPr>
          <w:p>
            <w:pPr>
              <w:pStyle w:val="TableParagraph"/>
              <w:ind w:left="109"/>
              <w:rPr>
                <w:sz w:val="22"/>
              </w:rPr>
            </w:pPr>
            <w:r>
              <w:rPr>
                <w:spacing w:val="-2"/>
                <w:sz w:val="22"/>
              </w:rPr>
              <w:t>Strongly agree</w:t>
            </w:r>
          </w:p>
          <w:p>
            <w:pPr>
              <w:pStyle w:val="TableParagraph"/>
              <w:spacing w:line="238" w:lineRule="exact"/>
              <w:ind w:left="109"/>
              <w:rPr>
                <w:sz w:val="22"/>
              </w:rPr>
            </w:pPr>
            <w:r>
              <w:rPr>
                <w:spacing w:val="-5"/>
                <w:sz w:val="22"/>
              </w:rPr>
              <w:t>(5)</w:t>
            </w:r>
          </w:p>
        </w:tc>
        <w:tc>
          <w:tcPr>
            <w:tcW w:w="1058" w:type="dxa"/>
            <w:tcBorders>
              <w:top w:val="single" w:sz="8" w:space="0" w:color="4F81BC"/>
              <w:bottom w:val="single" w:sz="8" w:space="0" w:color="4F81BC"/>
            </w:tcBorders>
          </w:tcPr>
          <w:p>
            <w:pPr>
              <w:pStyle w:val="TableParagraph"/>
              <w:spacing w:line="246" w:lineRule="exact"/>
              <w:ind w:left="205"/>
              <w:rPr>
                <w:sz w:val="22"/>
              </w:rPr>
            </w:pPr>
            <w:r>
              <w:rPr>
                <w:spacing w:val="-2"/>
                <w:sz w:val="22"/>
              </w:rPr>
              <w:t>Agree</w:t>
            </w:r>
          </w:p>
          <w:p>
            <w:pPr>
              <w:pStyle w:val="TableParagraph"/>
              <w:rPr>
                <w:b/>
                <w:sz w:val="22"/>
              </w:rPr>
            </w:pPr>
          </w:p>
          <w:p>
            <w:pPr>
              <w:pStyle w:val="TableParagraph"/>
              <w:spacing w:line="238" w:lineRule="exact"/>
              <w:ind w:left="205"/>
              <w:rPr>
                <w:sz w:val="22"/>
              </w:rPr>
            </w:pPr>
            <w:r>
              <w:rPr>
                <w:spacing w:val="-5"/>
                <w:sz w:val="22"/>
              </w:rPr>
              <w:t>(4)</w:t>
            </w:r>
          </w:p>
        </w:tc>
        <w:tc>
          <w:tcPr>
            <w:tcW w:w="1372" w:type="dxa"/>
            <w:tcBorders>
              <w:top w:val="single" w:sz="8" w:space="0" w:color="4F81BC"/>
              <w:bottom w:val="single" w:sz="8" w:space="0" w:color="4F81BC"/>
            </w:tcBorders>
          </w:tcPr>
          <w:p>
            <w:pPr>
              <w:pStyle w:val="TableParagraph"/>
              <w:ind w:left="316" w:right="292"/>
              <w:rPr>
                <w:sz w:val="22"/>
              </w:rPr>
            </w:pPr>
            <w:r>
              <w:rPr>
                <w:spacing w:val="-2"/>
                <w:sz w:val="22"/>
              </w:rPr>
              <w:t>Strongly disagree</w:t>
            </w:r>
          </w:p>
          <w:p>
            <w:pPr>
              <w:pStyle w:val="TableParagraph"/>
              <w:spacing w:line="238" w:lineRule="exact"/>
              <w:ind w:left="316"/>
              <w:rPr>
                <w:sz w:val="22"/>
              </w:rPr>
            </w:pPr>
            <w:r>
              <w:rPr>
                <w:spacing w:val="-5"/>
                <w:sz w:val="22"/>
              </w:rPr>
              <w:t>(3)</w:t>
            </w:r>
          </w:p>
        </w:tc>
        <w:tc>
          <w:tcPr>
            <w:tcW w:w="1263" w:type="dxa"/>
            <w:tcBorders>
              <w:top w:val="single" w:sz="8" w:space="0" w:color="4F81BC"/>
              <w:bottom w:val="single" w:sz="8" w:space="0" w:color="4F81BC"/>
            </w:tcBorders>
          </w:tcPr>
          <w:p>
            <w:pPr>
              <w:pStyle w:val="TableParagraph"/>
              <w:spacing w:line="246" w:lineRule="exact"/>
              <w:ind w:left="296"/>
              <w:rPr>
                <w:sz w:val="22"/>
              </w:rPr>
            </w:pPr>
            <w:r>
              <w:rPr>
                <w:spacing w:val="-2"/>
                <w:sz w:val="22"/>
              </w:rPr>
              <w:t>Disagree</w:t>
            </w:r>
          </w:p>
          <w:p>
            <w:pPr>
              <w:pStyle w:val="TableParagraph"/>
              <w:rPr>
                <w:b/>
                <w:sz w:val="22"/>
              </w:rPr>
            </w:pPr>
          </w:p>
          <w:p>
            <w:pPr>
              <w:pStyle w:val="TableParagraph"/>
              <w:spacing w:line="238" w:lineRule="exact"/>
              <w:ind w:left="296"/>
              <w:rPr>
                <w:sz w:val="22"/>
              </w:rPr>
            </w:pPr>
            <w:r>
              <w:rPr>
                <w:spacing w:val="-5"/>
                <w:sz w:val="22"/>
              </w:rPr>
              <w:t>(2)</w:t>
            </w:r>
          </w:p>
        </w:tc>
        <w:tc>
          <w:tcPr>
            <w:tcW w:w="878" w:type="dxa"/>
            <w:tcBorders>
              <w:top w:val="single" w:sz="8" w:space="0" w:color="4F81BC"/>
              <w:bottom w:val="single" w:sz="8" w:space="0" w:color="4F81BC"/>
            </w:tcBorders>
          </w:tcPr>
          <w:p>
            <w:pPr>
              <w:pStyle w:val="TableParagraph"/>
              <w:ind w:left="185" w:right="200"/>
              <w:rPr>
                <w:sz w:val="22"/>
              </w:rPr>
            </w:pPr>
            <w:r>
              <w:rPr>
                <w:spacing w:val="-4"/>
                <w:sz w:val="22"/>
              </w:rPr>
              <w:t>Dont know</w:t>
            </w:r>
          </w:p>
          <w:p>
            <w:pPr>
              <w:pStyle w:val="TableParagraph"/>
              <w:spacing w:line="238" w:lineRule="exact"/>
              <w:ind w:left="185"/>
              <w:rPr>
                <w:sz w:val="22"/>
              </w:rPr>
            </w:pPr>
            <w:r>
              <w:rPr>
                <w:spacing w:val="-5"/>
                <w:sz w:val="22"/>
              </w:rPr>
              <w:t>(1)</w:t>
            </w:r>
          </w:p>
        </w:tc>
        <w:tc>
          <w:tcPr>
            <w:tcW w:w="907" w:type="dxa"/>
            <w:tcBorders>
              <w:top w:val="single" w:sz="8" w:space="0" w:color="4F81BC"/>
              <w:bottom w:val="single" w:sz="8" w:space="0" w:color="4F81BC"/>
            </w:tcBorders>
          </w:tcPr>
          <w:p>
            <w:pPr>
              <w:pStyle w:val="TableParagraph"/>
              <w:ind w:left="207" w:right="189"/>
              <w:rPr>
                <w:sz w:val="22"/>
              </w:rPr>
            </w:pPr>
            <w:r>
              <w:rPr>
                <w:spacing w:val="-4"/>
                <w:sz w:val="22"/>
              </w:rPr>
              <w:t>Mean </w:t>
            </w:r>
            <w:r>
              <w:rPr>
                <w:spacing w:val="-2"/>
                <w:sz w:val="22"/>
              </w:rPr>
              <w:t>Score</w:t>
            </w:r>
          </w:p>
        </w:tc>
        <w:tc>
          <w:tcPr>
            <w:tcW w:w="829" w:type="dxa"/>
            <w:tcBorders>
              <w:top w:val="single" w:sz="8" w:space="0" w:color="4F81BC"/>
              <w:bottom w:val="single" w:sz="8" w:space="0" w:color="4F81BC"/>
            </w:tcBorders>
          </w:tcPr>
          <w:p>
            <w:pPr>
              <w:pStyle w:val="TableParagraph"/>
              <w:spacing w:line="246" w:lineRule="exact"/>
              <w:ind w:left="200"/>
              <w:rPr>
                <w:sz w:val="22"/>
              </w:rPr>
            </w:pPr>
            <w:r>
              <w:rPr>
                <w:spacing w:val="-4"/>
                <w:sz w:val="22"/>
              </w:rPr>
              <w:t>Rank</w:t>
            </w:r>
          </w:p>
        </w:tc>
      </w:tr>
      <w:tr>
        <w:trPr>
          <w:trHeight w:val="1012" w:hRule="atLeast"/>
        </w:trPr>
        <w:tc>
          <w:tcPr>
            <w:tcW w:w="555" w:type="dxa"/>
            <w:tcBorders>
              <w:top w:val="single" w:sz="8" w:space="0" w:color="4F81BC"/>
            </w:tcBorders>
            <w:shd w:val="clear" w:color="auto" w:fill="D2DFED"/>
          </w:tcPr>
          <w:p>
            <w:pPr>
              <w:pStyle w:val="TableParagraph"/>
              <w:ind w:left="36" w:right="86"/>
              <w:jc w:val="center"/>
              <w:rPr>
                <w:b/>
                <w:sz w:val="22"/>
              </w:rPr>
            </w:pPr>
            <w:r>
              <w:rPr>
                <w:b/>
                <w:spacing w:val="-5"/>
                <w:sz w:val="22"/>
              </w:rPr>
              <w:t>(a)</w:t>
            </w:r>
          </w:p>
        </w:tc>
        <w:tc>
          <w:tcPr>
            <w:tcW w:w="1743" w:type="dxa"/>
            <w:tcBorders>
              <w:top w:val="single" w:sz="8" w:space="0" w:color="4F81BC"/>
            </w:tcBorders>
            <w:shd w:val="clear" w:color="auto" w:fill="D2DFED"/>
          </w:tcPr>
          <w:p>
            <w:pPr>
              <w:pStyle w:val="TableParagraph"/>
              <w:ind w:left="124"/>
              <w:rPr>
                <w:sz w:val="22"/>
              </w:rPr>
            </w:pPr>
            <w:r>
              <w:rPr>
                <w:sz w:val="22"/>
              </w:rPr>
              <w:t>Lack of </w:t>
            </w:r>
            <w:r>
              <w:rPr>
                <w:spacing w:val="-2"/>
                <w:sz w:val="22"/>
              </w:rPr>
              <w:t>skilled/qualified personnel/profes</w:t>
            </w:r>
          </w:p>
          <w:p>
            <w:pPr>
              <w:pStyle w:val="TableParagraph"/>
              <w:spacing w:line="238" w:lineRule="exact"/>
              <w:ind w:left="124"/>
              <w:rPr>
                <w:sz w:val="22"/>
              </w:rPr>
            </w:pPr>
            <w:r>
              <w:rPr>
                <w:spacing w:val="-2"/>
                <w:sz w:val="22"/>
              </w:rPr>
              <w:t>sionals</w:t>
            </w:r>
          </w:p>
        </w:tc>
        <w:tc>
          <w:tcPr>
            <w:tcW w:w="1075" w:type="dxa"/>
            <w:tcBorders>
              <w:top w:val="single" w:sz="8" w:space="0" w:color="4F81BC"/>
            </w:tcBorders>
            <w:shd w:val="clear" w:color="auto" w:fill="D2DFED"/>
          </w:tcPr>
          <w:p>
            <w:pPr>
              <w:pStyle w:val="TableParagraph"/>
              <w:spacing w:line="249" w:lineRule="exact"/>
              <w:ind w:left="109"/>
              <w:rPr>
                <w:sz w:val="22"/>
              </w:rPr>
            </w:pPr>
            <w:r>
              <w:rPr>
                <w:spacing w:val="-5"/>
                <w:sz w:val="22"/>
              </w:rPr>
              <w:t>78</w:t>
            </w:r>
          </w:p>
        </w:tc>
        <w:tc>
          <w:tcPr>
            <w:tcW w:w="1058" w:type="dxa"/>
            <w:tcBorders>
              <w:top w:val="single" w:sz="8" w:space="0" w:color="4F81BC"/>
            </w:tcBorders>
            <w:shd w:val="clear" w:color="auto" w:fill="D2DFED"/>
          </w:tcPr>
          <w:p>
            <w:pPr>
              <w:pStyle w:val="TableParagraph"/>
              <w:spacing w:line="249" w:lineRule="exact"/>
              <w:ind w:left="205"/>
              <w:rPr>
                <w:sz w:val="22"/>
              </w:rPr>
            </w:pPr>
            <w:r>
              <w:rPr>
                <w:spacing w:val="-5"/>
                <w:sz w:val="22"/>
              </w:rPr>
              <w:t>27</w:t>
            </w:r>
          </w:p>
        </w:tc>
        <w:tc>
          <w:tcPr>
            <w:tcW w:w="1372" w:type="dxa"/>
            <w:tcBorders>
              <w:top w:val="single" w:sz="8" w:space="0" w:color="4F81BC"/>
            </w:tcBorders>
            <w:shd w:val="clear" w:color="auto" w:fill="D2DFED"/>
          </w:tcPr>
          <w:p>
            <w:pPr>
              <w:pStyle w:val="TableParagraph"/>
              <w:spacing w:line="249" w:lineRule="exact"/>
              <w:ind w:left="316"/>
              <w:rPr>
                <w:sz w:val="22"/>
              </w:rPr>
            </w:pPr>
            <w:r>
              <w:rPr>
                <w:spacing w:val="-10"/>
                <w:sz w:val="22"/>
              </w:rPr>
              <w:t>5</w:t>
            </w:r>
          </w:p>
        </w:tc>
        <w:tc>
          <w:tcPr>
            <w:tcW w:w="1263" w:type="dxa"/>
            <w:tcBorders>
              <w:top w:val="single" w:sz="8" w:space="0" w:color="4F81BC"/>
            </w:tcBorders>
            <w:shd w:val="clear" w:color="auto" w:fill="D2DFED"/>
          </w:tcPr>
          <w:p>
            <w:pPr>
              <w:pStyle w:val="TableParagraph"/>
              <w:spacing w:line="249" w:lineRule="exact"/>
              <w:ind w:left="296"/>
              <w:rPr>
                <w:sz w:val="22"/>
              </w:rPr>
            </w:pPr>
            <w:r>
              <w:rPr>
                <w:spacing w:val="-10"/>
                <w:sz w:val="22"/>
              </w:rPr>
              <w:t>5</w:t>
            </w:r>
          </w:p>
        </w:tc>
        <w:tc>
          <w:tcPr>
            <w:tcW w:w="878" w:type="dxa"/>
            <w:tcBorders>
              <w:top w:val="single" w:sz="8" w:space="0" w:color="4F81BC"/>
            </w:tcBorders>
            <w:shd w:val="clear" w:color="auto" w:fill="D2DFED"/>
          </w:tcPr>
          <w:p>
            <w:pPr>
              <w:pStyle w:val="TableParagraph"/>
              <w:spacing w:line="249" w:lineRule="exact"/>
              <w:ind w:left="185"/>
              <w:rPr>
                <w:sz w:val="22"/>
              </w:rPr>
            </w:pPr>
            <w:r>
              <w:rPr>
                <w:spacing w:val="-5"/>
                <w:sz w:val="22"/>
              </w:rPr>
              <w:t>41</w:t>
            </w:r>
          </w:p>
        </w:tc>
        <w:tc>
          <w:tcPr>
            <w:tcW w:w="907" w:type="dxa"/>
            <w:tcBorders>
              <w:top w:val="single" w:sz="8" w:space="0" w:color="4F81BC"/>
            </w:tcBorders>
            <w:shd w:val="clear" w:color="auto" w:fill="D2DFED"/>
          </w:tcPr>
          <w:p>
            <w:pPr>
              <w:pStyle w:val="TableParagraph"/>
              <w:spacing w:line="249" w:lineRule="exact"/>
              <w:ind w:left="207"/>
              <w:rPr>
                <w:sz w:val="22"/>
              </w:rPr>
            </w:pPr>
            <w:r>
              <w:rPr>
                <w:spacing w:val="-4"/>
                <w:sz w:val="22"/>
              </w:rPr>
              <w:t>3.62</w:t>
            </w:r>
          </w:p>
        </w:tc>
        <w:tc>
          <w:tcPr>
            <w:tcW w:w="829" w:type="dxa"/>
            <w:tcBorders>
              <w:top w:val="single" w:sz="8" w:space="0" w:color="4F81BC"/>
            </w:tcBorders>
            <w:shd w:val="clear" w:color="auto" w:fill="D2DFED"/>
          </w:tcPr>
          <w:p>
            <w:pPr>
              <w:pStyle w:val="TableParagraph"/>
              <w:spacing w:line="249" w:lineRule="exact"/>
              <w:ind w:left="200"/>
              <w:rPr>
                <w:sz w:val="22"/>
              </w:rPr>
            </w:pPr>
            <w:r>
              <w:rPr>
                <w:spacing w:val="-10"/>
                <w:sz w:val="22"/>
              </w:rPr>
              <w:t>7</w:t>
            </w:r>
          </w:p>
        </w:tc>
      </w:tr>
      <w:tr>
        <w:trPr>
          <w:trHeight w:val="758" w:hRule="atLeast"/>
        </w:trPr>
        <w:tc>
          <w:tcPr>
            <w:tcW w:w="555" w:type="dxa"/>
          </w:tcPr>
          <w:p>
            <w:pPr>
              <w:pStyle w:val="TableParagraph"/>
              <w:spacing w:line="252" w:lineRule="exact"/>
              <w:ind w:left="49" w:right="86"/>
              <w:jc w:val="center"/>
              <w:rPr>
                <w:b/>
                <w:sz w:val="22"/>
              </w:rPr>
            </w:pPr>
            <w:r>
              <w:rPr>
                <w:b/>
                <w:spacing w:val="-5"/>
                <w:sz w:val="22"/>
              </w:rPr>
              <w:t>(b)</w:t>
            </w:r>
          </w:p>
        </w:tc>
        <w:tc>
          <w:tcPr>
            <w:tcW w:w="1743" w:type="dxa"/>
          </w:tcPr>
          <w:p>
            <w:pPr>
              <w:pStyle w:val="TableParagraph"/>
              <w:spacing w:line="247" w:lineRule="exact"/>
              <w:ind w:left="124"/>
              <w:rPr>
                <w:sz w:val="22"/>
              </w:rPr>
            </w:pPr>
            <w:r>
              <w:rPr>
                <w:spacing w:val="-2"/>
                <w:sz w:val="22"/>
              </w:rPr>
              <w:t>Insufficient</w:t>
            </w:r>
          </w:p>
          <w:p>
            <w:pPr>
              <w:pStyle w:val="TableParagraph"/>
              <w:spacing w:line="252" w:lineRule="exact"/>
              <w:ind w:left="124" w:right="311"/>
              <w:rPr>
                <w:sz w:val="22"/>
              </w:rPr>
            </w:pPr>
            <w:r>
              <w:rPr>
                <w:sz w:val="22"/>
              </w:rPr>
              <w:t>staff/poor</w:t>
            </w:r>
            <w:r>
              <w:rPr>
                <w:spacing w:val="-14"/>
                <w:sz w:val="22"/>
              </w:rPr>
              <w:t> </w:t>
            </w:r>
            <w:r>
              <w:rPr>
                <w:sz w:val="22"/>
              </w:rPr>
              <w:t>staff </w:t>
            </w:r>
            <w:r>
              <w:rPr>
                <w:spacing w:val="-2"/>
                <w:sz w:val="22"/>
              </w:rPr>
              <w:t>strength</w:t>
            </w:r>
          </w:p>
        </w:tc>
        <w:tc>
          <w:tcPr>
            <w:tcW w:w="1075" w:type="dxa"/>
          </w:tcPr>
          <w:p>
            <w:pPr>
              <w:pStyle w:val="TableParagraph"/>
              <w:spacing w:line="247" w:lineRule="exact"/>
              <w:ind w:left="109"/>
              <w:rPr>
                <w:sz w:val="22"/>
              </w:rPr>
            </w:pPr>
            <w:r>
              <w:rPr>
                <w:spacing w:val="-5"/>
                <w:sz w:val="22"/>
              </w:rPr>
              <w:t>87</w:t>
            </w:r>
          </w:p>
        </w:tc>
        <w:tc>
          <w:tcPr>
            <w:tcW w:w="1058" w:type="dxa"/>
          </w:tcPr>
          <w:p>
            <w:pPr>
              <w:pStyle w:val="TableParagraph"/>
              <w:spacing w:line="247" w:lineRule="exact"/>
              <w:ind w:left="205"/>
              <w:rPr>
                <w:sz w:val="22"/>
              </w:rPr>
            </w:pPr>
            <w:r>
              <w:rPr>
                <w:spacing w:val="-5"/>
                <w:sz w:val="22"/>
              </w:rPr>
              <w:t>44</w:t>
            </w:r>
          </w:p>
        </w:tc>
        <w:tc>
          <w:tcPr>
            <w:tcW w:w="1372" w:type="dxa"/>
          </w:tcPr>
          <w:p>
            <w:pPr>
              <w:pStyle w:val="TableParagraph"/>
              <w:spacing w:line="247" w:lineRule="exact"/>
              <w:ind w:left="316"/>
              <w:rPr>
                <w:sz w:val="22"/>
              </w:rPr>
            </w:pPr>
            <w:r>
              <w:rPr>
                <w:spacing w:val="-10"/>
                <w:sz w:val="22"/>
              </w:rPr>
              <w:t>9</w:t>
            </w:r>
          </w:p>
        </w:tc>
        <w:tc>
          <w:tcPr>
            <w:tcW w:w="1263" w:type="dxa"/>
          </w:tcPr>
          <w:p>
            <w:pPr>
              <w:pStyle w:val="TableParagraph"/>
              <w:spacing w:line="247" w:lineRule="exact"/>
              <w:ind w:left="296"/>
              <w:rPr>
                <w:sz w:val="22"/>
              </w:rPr>
            </w:pPr>
            <w:r>
              <w:rPr>
                <w:spacing w:val="-5"/>
                <w:sz w:val="22"/>
              </w:rPr>
              <w:t>16</w:t>
            </w:r>
          </w:p>
        </w:tc>
        <w:tc>
          <w:tcPr>
            <w:tcW w:w="878" w:type="dxa"/>
          </w:tcPr>
          <w:p>
            <w:pPr>
              <w:pStyle w:val="TableParagraph"/>
              <w:spacing w:line="247" w:lineRule="exact"/>
              <w:ind w:left="185"/>
              <w:rPr>
                <w:sz w:val="22"/>
              </w:rPr>
            </w:pPr>
            <w:r>
              <w:rPr>
                <w:spacing w:val="-10"/>
                <w:sz w:val="22"/>
              </w:rPr>
              <w:t>0</w:t>
            </w:r>
          </w:p>
        </w:tc>
        <w:tc>
          <w:tcPr>
            <w:tcW w:w="907" w:type="dxa"/>
          </w:tcPr>
          <w:p>
            <w:pPr>
              <w:pStyle w:val="TableParagraph"/>
              <w:spacing w:line="247" w:lineRule="exact"/>
              <w:ind w:left="207"/>
              <w:rPr>
                <w:sz w:val="22"/>
              </w:rPr>
            </w:pPr>
            <w:r>
              <w:rPr>
                <w:spacing w:val="-4"/>
                <w:sz w:val="22"/>
              </w:rPr>
              <w:t>4.29</w:t>
            </w:r>
          </w:p>
        </w:tc>
        <w:tc>
          <w:tcPr>
            <w:tcW w:w="829" w:type="dxa"/>
          </w:tcPr>
          <w:p>
            <w:pPr>
              <w:pStyle w:val="TableParagraph"/>
              <w:spacing w:line="247" w:lineRule="exact"/>
              <w:ind w:left="200"/>
              <w:rPr>
                <w:sz w:val="22"/>
              </w:rPr>
            </w:pPr>
            <w:r>
              <w:rPr>
                <w:spacing w:val="-10"/>
                <w:sz w:val="22"/>
              </w:rPr>
              <w:t>4</w:t>
            </w:r>
          </w:p>
        </w:tc>
      </w:tr>
      <w:tr>
        <w:trPr>
          <w:trHeight w:val="506" w:hRule="atLeast"/>
        </w:trPr>
        <w:tc>
          <w:tcPr>
            <w:tcW w:w="555" w:type="dxa"/>
            <w:shd w:val="clear" w:color="auto" w:fill="D2DFED"/>
          </w:tcPr>
          <w:p>
            <w:pPr>
              <w:pStyle w:val="TableParagraph"/>
              <w:spacing w:line="252" w:lineRule="exact"/>
              <w:ind w:left="24" w:right="86"/>
              <w:jc w:val="center"/>
              <w:rPr>
                <w:b/>
                <w:sz w:val="22"/>
              </w:rPr>
            </w:pPr>
            <w:r>
              <w:rPr>
                <w:b/>
                <w:spacing w:val="-5"/>
                <w:sz w:val="22"/>
              </w:rPr>
              <w:t>(c)</w:t>
            </w:r>
          </w:p>
        </w:tc>
        <w:tc>
          <w:tcPr>
            <w:tcW w:w="1743" w:type="dxa"/>
            <w:shd w:val="clear" w:color="auto" w:fill="D2DFED"/>
          </w:tcPr>
          <w:p>
            <w:pPr>
              <w:pStyle w:val="TableParagraph"/>
              <w:spacing w:line="247" w:lineRule="exact"/>
              <w:ind w:left="124"/>
              <w:rPr>
                <w:sz w:val="22"/>
              </w:rPr>
            </w:pPr>
            <w:r>
              <w:rPr>
                <w:spacing w:val="-4"/>
                <w:sz w:val="22"/>
              </w:rPr>
              <w:t>Poor</w:t>
            </w:r>
          </w:p>
          <w:p>
            <w:pPr>
              <w:pStyle w:val="TableParagraph"/>
              <w:spacing w:line="238" w:lineRule="exact" w:before="2"/>
              <w:ind w:left="124"/>
              <w:rPr>
                <w:sz w:val="22"/>
              </w:rPr>
            </w:pPr>
            <w:r>
              <w:rPr>
                <w:spacing w:val="-2"/>
                <w:sz w:val="22"/>
              </w:rPr>
              <w:t>remuneration</w:t>
            </w:r>
          </w:p>
        </w:tc>
        <w:tc>
          <w:tcPr>
            <w:tcW w:w="1075" w:type="dxa"/>
            <w:shd w:val="clear" w:color="auto" w:fill="D2DFED"/>
          </w:tcPr>
          <w:p>
            <w:pPr>
              <w:pStyle w:val="TableParagraph"/>
              <w:spacing w:line="247" w:lineRule="exact"/>
              <w:ind w:left="109"/>
              <w:rPr>
                <w:sz w:val="22"/>
              </w:rPr>
            </w:pPr>
            <w:r>
              <w:rPr>
                <w:spacing w:val="-5"/>
                <w:sz w:val="22"/>
              </w:rPr>
              <w:t>129</w:t>
            </w:r>
          </w:p>
        </w:tc>
        <w:tc>
          <w:tcPr>
            <w:tcW w:w="1058" w:type="dxa"/>
            <w:shd w:val="clear" w:color="auto" w:fill="D2DFED"/>
          </w:tcPr>
          <w:p>
            <w:pPr>
              <w:pStyle w:val="TableParagraph"/>
              <w:spacing w:line="247" w:lineRule="exact"/>
              <w:ind w:left="205"/>
              <w:rPr>
                <w:sz w:val="22"/>
              </w:rPr>
            </w:pPr>
            <w:r>
              <w:rPr>
                <w:spacing w:val="-5"/>
                <w:sz w:val="22"/>
              </w:rPr>
              <w:t>27</w:t>
            </w:r>
          </w:p>
        </w:tc>
        <w:tc>
          <w:tcPr>
            <w:tcW w:w="1372" w:type="dxa"/>
            <w:shd w:val="clear" w:color="auto" w:fill="D2DFED"/>
          </w:tcPr>
          <w:p>
            <w:pPr>
              <w:pStyle w:val="TableParagraph"/>
              <w:spacing w:line="247" w:lineRule="exact"/>
              <w:ind w:left="316"/>
              <w:rPr>
                <w:sz w:val="22"/>
              </w:rPr>
            </w:pPr>
            <w:r>
              <w:rPr>
                <w:spacing w:val="-10"/>
                <w:sz w:val="22"/>
              </w:rPr>
              <w:t>0</w:t>
            </w:r>
          </w:p>
        </w:tc>
        <w:tc>
          <w:tcPr>
            <w:tcW w:w="1263" w:type="dxa"/>
            <w:shd w:val="clear" w:color="auto" w:fill="D2DFED"/>
          </w:tcPr>
          <w:p>
            <w:pPr>
              <w:pStyle w:val="TableParagraph"/>
              <w:spacing w:line="247" w:lineRule="exact"/>
              <w:ind w:left="296"/>
              <w:rPr>
                <w:sz w:val="22"/>
              </w:rPr>
            </w:pPr>
            <w:r>
              <w:rPr>
                <w:spacing w:val="-10"/>
                <w:sz w:val="22"/>
              </w:rPr>
              <w:t>0</w:t>
            </w:r>
          </w:p>
        </w:tc>
        <w:tc>
          <w:tcPr>
            <w:tcW w:w="878" w:type="dxa"/>
            <w:shd w:val="clear" w:color="auto" w:fill="D2DFED"/>
          </w:tcPr>
          <w:p>
            <w:pPr>
              <w:pStyle w:val="TableParagraph"/>
              <w:spacing w:line="247" w:lineRule="exact"/>
              <w:ind w:left="185"/>
              <w:rPr>
                <w:sz w:val="22"/>
              </w:rPr>
            </w:pPr>
            <w:r>
              <w:rPr>
                <w:spacing w:val="-10"/>
                <w:sz w:val="22"/>
              </w:rPr>
              <w:t>0</w:t>
            </w:r>
          </w:p>
        </w:tc>
        <w:tc>
          <w:tcPr>
            <w:tcW w:w="907" w:type="dxa"/>
            <w:shd w:val="clear" w:color="auto" w:fill="D2DFED"/>
          </w:tcPr>
          <w:p>
            <w:pPr>
              <w:pStyle w:val="TableParagraph"/>
              <w:spacing w:line="247" w:lineRule="exact"/>
              <w:ind w:left="207"/>
              <w:rPr>
                <w:sz w:val="22"/>
              </w:rPr>
            </w:pPr>
            <w:r>
              <w:rPr>
                <w:spacing w:val="-4"/>
                <w:sz w:val="22"/>
              </w:rPr>
              <w:t>4.83</w:t>
            </w:r>
          </w:p>
        </w:tc>
        <w:tc>
          <w:tcPr>
            <w:tcW w:w="829" w:type="dxa"/>
            <w:shd w:val="clear" w:color="auto" w:fill="D2DFED"/>
          </w:tcPr>
          <w:p>
            <w:pPr>
              <w:pStyle w:val="TableParagraph"/>
              <w:spacing w:line="247" w:lineRule="exact"/>
              <w:ind w:left="200"/>
              <w:rPr>
                <w:sz w:val="22"/>
              </w:rPr>
            </w:pPr>
            <w:r>
              <w:rPr>
                <w:spacing w:val="-10"/>
                <w:sz w:val="22"/>
              </w:rPr>
              <w:t>1</w:t>
            </w:r>
          </w:p>
        </w:tc>
      </w:tr>
      <w:tr>
        <w:trPr>
          <w:trHeight w:val="506" w:hRule="atLeast"/>
        </w:trPr>
        <w:tc>
          <w:tcPr>
            <w:tcW w:w="555" w:type="dxa"/>
          </w:tcPr>
          <w:p>
            <w:pPr>
              <w:pStyle w:val="TableParagraph"/>
              <w:spacing w:line="252" w:lineRule="exact"/>
              <w:ind w:left="49" w:right="86"/>
              <w:jc w:val="center"/>
              <w:rPr>
                <w:b/>
                <w:sz w:val="22"/>
              </w:rPr>
            </w:pPr>
            <w:r>
              <w:rPr>
                <w:b/>
                <w:spacing w:val="-5"/>
                <w:sz w:val="22"/>
              </w:rPr>
              <w:t>(d)</w:t>
            </w:r>
          </w:p>
        </w:tc>
        <w:tc>
          <w:tcPr>
            <w:tcW w:w="1743" w:type="dxa"/>
          </w:tcPr>
          <w:p>
            <w:pPr>
              <w:pStyle w:val="TableParagraph"/>
              <w:spacing w:line="247" w:lineRule="exact"/>
              <w:ind w:left="124"/>
              <w:rPr>
                <w:sz w:val="22"/>
              </w:rPr>
            </w:pPr>
            <w:r>
              <w:rPr>
                <w:sz w:val="22"/>
              </w:rPr>
              <w:t>Excess</w:t>
            </w:r>
            <w:r>
              <w:rPr>
                <w:spacing w:val="-2"/>
                <w:sz w:val="22"/>
              </w:rPr>
              <w:t> work-</w:t>
            </w:r>
          </w:p>
          <w:p>
            <w:pPr>
              <w:pStyle w:val="TableParagraph"/>
              <w:spacing w:line="238" w:lineRule="exact" w:before="1"/>
              <w:ind w:left="124"/>
              <w:rPr>
                <w:sz w:val="22"/>
              </w:rPr>
            </w:pPr>
            <w:r>
              <w:rPr>
                <w:spacing w:val="-4"/>
                <w:sz w:val="22"/>
              </w:rPr>
              <w:t>load</w:t>
            </w:r>
          </w:p>
        </w:tc>
        <w:tc>
          <w:tcPr>
            <w:tcW w:w="1075" w:type="dxa"/>
          </w:tcPr>
          <w:p>
            <w:pPr>
              <w:pStyle w:val="TableParagraph"/>
              <w:spacing w:line="247" w:lineRule="exact"/>
              <w:ind w:left="109"/>
              <w:rPr>
                <w:sz w:val="22"/>
              </w:rPr>
            </w:pPr>
            <w:r>
              <w:rPr>
                <w:spacing w:val="-5"/>
                <w:sz w:val="22"/>
              </w:rPr>
              <w:t>68</w:t>
            </w:r>
          </w:p>
        </w:tc>
        <w:tc>
          <w:tcPr>
            <w:tcW w:w="1058" w:type="dxa"/>
          </w:tcPr>
          <w:p>
            <w:pPr>
              <w:pStyle w:val="TableParagraph"/>
              <w:spacing w:line="247" w:lineRule="exact"/>
              <w:ind w:left="205"/>
              <w:rPr>
                <w:sz w:val="22"/>
              </w:rPr>
            </w:pPr>
            <w:r>
              <w:rPr>
                <w:spacing w:val="-5"/>
                <w:sz w:val="22"/>
              </w:rPr>
              <w:t>27</w:t>
            </w:r>
          </w:p>
        </w:tc>
        <w:tc>
          <w:tcPr>
            <w:tcW w:w="1372" w:type="dxa"/>
          </w:tcPr>
          <w:p>
            <w:pPr>
              <w:pStyle w:val="TableParagraph"/>
              <w:spacing w:line="247" w:lineRule="exact"/>
              <w:ind w:left="316"/>
              <w:rPr>
                <w:sz w:val="22"/>
              </w:rPr>
            </w:pPr>
            <w:r>
              <w:rPr>
                <w:spacing w:val="-5"/>
                <w:sz w:val="22"/>
              </w:rPr>
              <w:t>17</w:t>
            </w:r>
          </w:p>
        </w:tc>
        <w:tc>
          <w:tcPr>
            <w:tcW w:w="1263" w:type="dxa"/>
          </w:tcPr>
          <w:p>
            <w:pPr>
              <w:pStyle w:val="TableParagraph"/>
              <w:spacing w:line="247" w:lineRule="exact"/>
              <w:ind w:left="296"/>
              <w:rPr>
                <w:sz w:val="22"/>
              </w:rPr>
            </w:pPr>
            <w:r>
              <w:rPr>
                <w:spacing w:val="-5"/>
                <w:sz w:val="22"/>
              </w:rPr>
              <w:t>27</w:t>
            </w:r>
          </w:p>
        </w:tc>
        <w:tc>
          <w:tcPr>
            <w:tcW w:w="878" w:type="dxa"/>
          </w:tcPr>
          <w:p>
            <w:pPr>
              <w:pStyle w:val="TableParagraph"/>
              <w:spacing w:line="247" w:lineRule="exact"/>
              <w:ind w:left="185"/>
              <w:rPr>
                <w:sz w:val="22"/>
              </w:rPr>
            </w:pPr>
            <w:r>
              <w:rPr>
                <w:spacing w:val="-5"/>
                <w:sz w:val="22"/>
              </w:rPr>
              <w:t>17</w:t>
            </w:r>
          </w:p>
        </w:tc>
        <w:tc>
          <w:tcPr>
            <w:tcW w:w="907" w:type="dxa"/>
          </w:tcPr>
          <w:p>
            <w:pPr>
              <w:pStyle w:val="TableParagraph"/>
              <w:spacing w:line="247" w:lineRule="exact"/>
              <w:ind w:left="207"/>
              <w:rPr>
                <w:sz w:val="22"/>
              </w:rPr>
            </w:pPr>
            <w:r>
              <w:rPr>
                <w:spacing w:val="-4"/>
                <w:sz w:val="22"/>
              </w:rPr>
              <w:t>3.65</w:t>
            </w:r>
          </w:p>
        </w:tc>
        <w:tc>
          <w:tcPr>
            <w:tcW w:w="829" w:type="dxa"/>
          </w:tcPr>
          <w:p>
            <w:pPr>
              <w:pStyle w:val="TableParagraph"/>
              <w:spacing w:line="247" w:lineRule="exact"/>
              <w:ind w:left="200"/>
              <w:rPr>
                <w:sz w:val="22"/>
              </w:rPr>
            </w:pPr>
            <w:r>
              <w:rPr>
                <w:spacing w:val="-10"/>
                <w:sz w:val="22"/>
              </w:rPr>
              <w:t>6</w:t>
            </w:r>
          </w:p>
        </w:tc>
      </w:tr>
      <w:tr>
        <w:trPr>
          <w:trHeight w:val="506" w:hRule="atLeast"/>
        </w:trPr>
        <w:tc>
          <w:tcPr>
            <w:tcW w:w="555" w:type="dxa"/>
            <w:shd w:val="clear" w:color="auto" w:fill="D2DFED"/>
          </w:tcPr>
          <w:p>
            <w:pPr>
              <w:pStyle w:val="TableParagraph"/>
              <w:spacing w:line="252" w:lineRule="exact"/>
              <w:ind w:left="24" w:right="86"/>
              <w:jc w:val="center"/>
              <w:rPr>
                <w:b/>
                <w:sz w:val="22"/>
              </w:rPr>
            </w:pPr>
            <w:r>
              <w:rPr>
                <w:b/>
                <w:spacing w:val="-5"/>
                <w:sz w:val="22"/>
              </w:rPr>
              <w:t>(e)</w:t>
            </w:r>
          </w:p>
        </w:tc>
        <w:tc>
          <w:tcPr>
            <w:tcW w:w="1743" w:type="dxa"/>
            <w:shd w:val="clear" w:color="auto" w:fill="D2DFED"/>
          </w:tcPr>
          <w:p>
            <w:pPr>
              <w:pStyle w:val="TableParagraph"/>
              <w:spacing w:line="247" w:lineRule="exact"/>
              <w:ind w:left="124"/>
              <w:rPr>
                <w:sz w:val="22"/>
              </w:rPr>
            </w:pPr>
            <w:r>
              <w:rPr>
                <w:spacing w:val="-2"/>
                <w:sz w:val="22"/>
              </w:rPr>
              <w:t>Unethical</w:t>
            </w:r>
          </w:p>
          <w:p>
            <w:pPr>
              <w:pStyle w:val="TableParagraph"/>
              <w:spacing w:line="238" w:lineRule="exact" w:before="1"/>
              <w:ind w:left="124"/>
              <w:rPr>
                <w:sz w:val="22"/>
              </w:rPr>
            </w:pPr>
            <w:r>
              <w:rPr>
                <w:spacing w:val="-2"/>
                <w:sz w:val="22"/>
              </w:rPr>
              <w:t>practices</w:t>
            </w:r>
          </w:p>
        </w:tc>
        <w:tc>
          <w:tcPr>
            <w:tcW w:w="1075" w:type="dxa"/>
            <w:shd w:val="clear" w:color="auto" w:fill="D2DFED"/>
          </w:tcPr>
          <w:p>
            <w:pPr>
              <w:pStyle w:val="TableParagraph"/>
              <w:spacing w:line="247" w:lineRule="exact"/>
              <w:ind w:left="109"/>
              <w:rPr>
                <w:sz w:val="22"/>
              </w:rPr>
            </w:pPr>
            <w:r>
              <w:rPr>
                <w:spacing w:val="-5"/>
                <w:sz w:val="22"/>
              </w:rPr>
              <w:t>95</w:t>
            </w:r>
          </w:p>
        </w:tc>
        <w:tc>
          <w:tcPr>
            <w:tcW w:w="1058" w:type="dxa"/>
            <w:shd w:val="clear" w:color="auto" w:fill="D2DFED"/>
          </w:tcPr>
          <w:p>
            <w:pPr>
              <w:pStyle w:val="TableParagraph"/>
              <w:spacing w:line="247" w:lineRule="exact"/>
              <w:ind w:left="205"/>
              <w:rPr>
                <w:sz w:val="22"/>
              </w:rPr>
            </w:pPr>
            <w:r>
              <w:rPr>
                <w:spacing w:val="-5"/>
                <w:sz w:val="22"/>
              </w:rPr>
              <w:t>44</w:t>
            </w:r>
          </w:p>
        </w:tc>
        <w:tc>
          <w:tcPr>
            <w:tcW w:w="1372" w:type="dxa"/>
            <w:shd w:val="clear" w:color="auto" w:fill="D2DFED"/>
          </w:tcPr>
          <w:p>
            <w:pPr>
              <w:pStyle w:val="TableParagraph"/>
              <w:spacing w:line="247" w:lineRule="exact"/>
              <w:ind w:left="316"/>
              <w:rPr>
                <w:sz w:val="22"/>
              </w:rPr>
            </w:pPr>
            <w:r>
              <w:rPr>
                <w:spacing w:val="-10"/>
                <w:sz w:val="22"/>
              </w:rPr>
              <w:t>8</w:t>
            </w:r>
          </w:p>
        </w:tc>
        <w:tc>
          <w:tcPr>
            <w:tcW w:w="1263" w:type="dxa"/>
            <w:shd w:val="clear" w:color="auto" w:fill="D2DFED"/>
          </w:tcPr>
          <w:p>
            <w:pPr>
              <w:pStyle w:val="TableParagraph"/>
              <w:spacing w:line="247" w:lineRule="exact"/>
              <w:ind w:left="296"/>
              <w:rPr>
                <w:sz w:val="22"/>
              </w:rPr>
            </w:pPr>
            <w:r>
              <w:rPr>
                <w:spacing w:val="-10"/>
                <w:sz w:val="22"/>
              </w:rPr>
              <w:t>9</w:t>
            </w:r>
          </w:p>
        </w:tc>
        <w:tc>
          <w:tcPr>
            <w:tcW w:w="878" w:type="dxa"/>
            <w:shd w:val="clear" w:color="auto" w:fill="D2DFED"/>
          </w:tcPr>
          <w:p>
            <w:pPr>
              <w:pStyle w:val="TableParagraph"/>
              <w:spacing w:line="247" w:lineRule="exact"/>
              <w:ind w:left="185"/>
              <w:rPr>
                <w:sz w:val="22"/>
              </w:rPr>
            </w:pPr>
            <w:r>
              <w:rPr>
                <w:spacing w:val="-10"/>
                <w:sz w:val="22"/>
              </w:rPr>
              <w:t>0</w:t>
            </w:r>
          </w:p>
        </w:tc>
        <w:tc>
          <w:tcPr>
            <w:tcW w:w="907" w:type="dxa"/>
            <w:shd w:val="clear" w:color="auto" w:fill="D2DFED"/>
          </w:tcPr>
          <w:p>
            <w:pPr>
              <w:pStyle w:val="TableParagraph"/>
              <w:spacing w:line="247" w:lineRule="exact"/>
              <w:ind w:left="207"/>
              <w:rPr>
                <w:sz w:val="22"/>
              </w:rPr>
            </w:pPr>
            <w:r>
              <w:rPr>
                <w:spacing w:val="-4"/>
                <w:sz w:val="22"/>
              </w:rPr>
              <w:t>4.44</w:t>
            </w:r>
          </w:p>
        </w:tc>
        <w:tc>
          <w:tcPr>
            <w:tcW w:w="829" w:type="dxa"/>
            <w:shd w:val="clear" w:color="auto" w:fill="D2DFED"/>
          </w:tcPr>
          <w:p>
            <w:pPr>
              <w:pStyle w:val="TableParagraph"/>
              <w:spacing w:line="247" w:lineRule="exact"/>
              <w:ind w:left="200"/>
              <w:rPr>
                <w:sz w:val="22"/>
              </w:rPr>
            </w:pPr>
            <w:r>
              <w:rPr>
                <w:spacing w:val="-10"/>
                <w:sz w:val="22"/>
              </w:rPr>
              <w:t>3</w:t>
            </w:r>
          </w:p>
        </w:tc>
      </w:tr>
      <w:tr>
        <w:trPr>
          <w:trHeight w:val="758" w:hRule="atLeast"/>
        </w:trPr>
        <w:tc>
          <w:tcPr>
            <w:tcW w:w="555" w:type="dxa"/>
          </w:tcPr>
          <w:p>
            <w:pPr>
              <w:pStyle w:val="TableParagraph"/>
              <w:spacing w:line="252" w:lineRule="exact"/>
              <w:ind w:right="86"/>
              <w:jc w:val="center"/>
              <w:rPr>
                <w:b/>
                <w:sz w:val="22"/>
              </w:rPr>
            </w:pPr>
            <w:r>
              <w:rPr>
                <w:b/>
                <w:spacing w:val="-5"/>
                <w:sz w:val="22"/>
              </w:rPr>
              <w:t>(f)</w:t>
            </w:r>
          </w:p>
        </w:tc>
        <w:tc>
          <w:tcPr>
            <w:tcW w:w="1743" w:type="dxa"/>
          </w:tcPr>
          <w:p>
            <w:pPr>
              <w:pStyle w:val="TableParagraph"/>
              <w:ind w:left="124" w:right="7"/>
              <w:rPr>
                <w:sz w:val="22"/>
              </w:rPr>
            </w:pPr>
            <w:r>
              <w:rPr>
                <w:sz w:val="22"/>
              </w:rPr>
              <w:t>Lack of motivation</w:t>
            </w:r>
            <w:r>
              <w:rPr>
                <w:spacing w:val="-8"/>
                <w:sz w:val="22"/>
              </w:rPr>
              <w:t> </w:t>
            </w:r>
            <w:r>
              <w:rPr>
                <w:spacing w:val="-5"/>
                <w:sz w:val="22"/>
              </w:rPr>
              <w:t>and</w:t>
            </w:r>
          </w:p>
          <w:p>
            <w:pPr>
              <w:pStyle w:val="TableParagraph"/>
              <w:spacing w:line="238" w:lineRule="exact"/>
              <w:ind w:left="124"/>
              <w:rPr>
                <w:sz w:val="22"/>
              </w:rPr>
            </w:pPr>
            <w:r>
              <w:rPr>
                <w:sz w:val="22"/>
              </w:rPr>
              <w:t>work</w:t>
            </w:r>
            <w:r>
              <w:rPr>
                <w:spacing w:val="-5"/>
                <w:sz w:val="22"/>
              </w:rPr>
              <w:t> </w:t>
            </w:r>
            <w:r>
              <w:rPr>
                <w:spacing w:val="-2"/>
                <w:sz w:val="22"/>
              </w:rPr>
              <w:t>incentives</w:t>
            </w:r>
          </w:p>
        </w:tc>
        <w:tc>
          <w:tcPr>
            <w:tcW w:w="1075" w:type="dxa"/>
          </w:tcPr>
          <w:p>
            <w:pPr>
              <w:pStyle w:val="TableParagraph"/>
              <w:spacing w:line="247" w:lineRule="exact"/>
              <w:ind w:left="109"/>
              <w:rPr>
                <w:sz w:val="22"/>
              </w:rPr>
            </w:pPr>
            <w:r>
              <w:rPr>
                <w:spacing w:val="-5"/>
                <w:sz w:val="22"/>
              </w:rPr>
              <w:t>122</w:t>
            </w:r>
          </w:p>
        </w:tc>
        <w:tc>
          <w:tcPr>
            <w:tcW w:w="1058" w:type="dxa"/>
          </w:tcPr>
          <w:p>
            <w:pPr>
              <w:pStyle w:val="TableParagraph"/>
              <w:spacing w:line="247" w:lineRule="exact"/>
              <w:ind w:left="205"/>
              <w:rPr>
                <w:sz w:val="22"/>
              </w:rPr>
            </w:pPr>
            <w:r>
              <w:rPr>
                <w:spacing w:val="-5"/>
                <w:sz w:val="22"/>
              </w:rPr>
              <w:t>34</w:t>
            </w:r>
          </w:p>
        </w:tc>
        <w:tc>
          <w:tcPr>
            <w:tcW w:w="1372" w:type="dxa"/>
          </w:tcPr>
          <w:p>
            <w:pPr>
              <w:pStyle w:val="TableParagraph"/>
              <w:spacing w:line="247" w:lineRule="exact"/>
              <w:ind w:left="316"/>
              <w:rPr>
                <w:sz w:val="22"/>
              </w:rPr>
            </w:pPr>
            <w:r>
              <w:rPr>
                <w:spacing w:val="-10"/>
                <w:sz w:val="22"/>
              </w:rPr>
              <w:t>0</w:t>
            </w:r>
          </w:p>
        </w:tc>
        <w:tc>
          <w:tcPr>
            <w:tcW w:w="1263" w:type="dxa"/>
          </w:tcPr>
          <w:p>
            <w:pPr>
              <w:pStyle w:val="TableParagraph"/>
              <w:spacing w:line="247" w:lineRule="exact"/>
              <w:ind w:left="296"/>
              <w:rPr>
                <w:sz w:val="22"/>
              </w:rPr>
            </w:pPr>
            <w:r>
              <w:rPr>
                <w:spacing w:val="-10"/>
                <w:sz w:val="22"/>
              </w:rPr>
              <w:t>0</w:t>
            </w:r>
          </w:p>
        </w:tc>
        <w:tc>
          <w:tcPr>
            <w:tcW w:w="878" w:type="dxa"/>
          </w:tcPr>
          <w:p>
            <w:pPr>
              <w:pStyle w:val="TableParagraph"/>
              <w:spacing w:line="247" w:lineRule="exact"/>
              <w:ind w:left="185"/>
              <w:rPr>
                <w:sz w:val="22"/>
              </w:rPr>
            </w:pPr>
            <w:r>
              <w:rPr>
                <w:spacing w:val="-10"/>
                <w:sz w:val="22"/>
              </w:rPr>
              <w:t>0</w:t>
            </w:r>
          </w:p>
        </w:tc>
        <w:tc>
          <w:tcPr>
            <w:tcW w:w="907" w:type="dxa"/>
          </w:tcPr>
          <w:p>
            <w:pPr>
              <w:pStyle w:val="TableParagraph"/>
              <w:spacing w:line="247" w:lineRule="exact"/>
              <w:ind w:left="207"/>
              <w:rPr>
                <w:sz w:val="22"/>
              </w:rPr>
            </w:pPr>
            <w:r>
              <w:rPr>
                <w:spacing w:val="-4"/>
                <w:sz w:val="22"/>
              </w:rPr>
              <w:t>4.78</w:t>
            </w:r>
          </w:p>
        </w:tc>
        <w:tc>
          <w:tcPr>
            <w:tcW w:w="829" w:type="dxa"/>
          </w:tcPr>
          <w:p>
            <w:pPr>
              <w:pStyle w:val="TableParagraph"/>
              <w:spacing w:line="247" w:lineRule="exact"/>
              <w:ind w:left="200"/>
              <w:rPr>
                <w:sz w:val="22"/>
              </w:rPr>
            </w:pPr>
            <w:r>
              <w:rPr>
                <w:spacing w:val="-10"/>
                <w:sz w:val="22"/>
              </w:rPr>
              <w:t>2</w:t>
            </w:r>
          </w:p>
        </w:tc>
      </w:tr>
      <w:tr>
        <w:trPr>
          <w:trHeight w:val="760" w:hRule="atLeast"/>
        </w:trPr>
        <w:tc>
          <w:tcPr>
            <w:tcW w:w="555" w:type="dxa"/>
            <w:tcBorders>
              <w:bottom w:val="single" w:sz="8" w:space="0" w:color="4F81BC"/>
            </w:tcBorders>
            <w:shd w:val="clear" w:color="auto" w:fill="D2DFED"/>
          </w:tcPr>
          <w:p>
            <w:pPr>
              <w:pStyle w:val="TableParagraph"/>
              <w:spacing w:line="252" w:lineRule="exact"/>
              <w:ind w:left="36" w:right="86"/>
              <w:jc w:val="center"/>
              <w:rPr>
                <w:b/>
                <w:sz w:val="22"/>
              </w:rPr>
            </w:pPr>
            <w:r>
              <w:rPr>
                <w:b/>
                <w:spacing w:val="-5"/>
                <w:sz w:val="22"/>
              </w:rPr>
              <w:t>(g)</w:t>
            </w:r>
          </w:p>
        </w:tc>
        <w:tc>
          <w:tcPr>
            <w:tcW w:w="1743" w:type="dxa"/>
            <w:tcBorders>
              <w:bottom w:val="single" w:sz="8" w:space="0" w:color="4F81BC"/>
            </w:tcBorders>
            <w:shd w:val="clear" w:color="auto" w:fill="D2DFED"/>
          </w:tcPr>
          <w:p>
            <w:pPr>
              <w:pStyle w:val="TableParagraph"/>
              <w:spacing w:line="247" w:lineRule="exact"/>
              <w:ind w:left="124"/>
              <w:rPr>
                <w:sz w:val="22"/>
              </w:rPr>
            </w:pPr>
            <w:r>
              <w:rPr>
                <w:sz w:val="22"/>
              </w:rPr>
              <w:t>Poor </w:t>
            </w:r>
            <w:r>
              <w:rPr>
                <w:spacing w:val="-2"/>
                <w:sz w:val="22"/>
              </w:rPr>
              <w:t>monitoring/</w:t>
            </w:r>
          </w:p>
          <w:p>
            <w:pPr>
              <w:pStyle w:val="TableParagraph"/>
              <w:spacing w:line="252" w:lineRule="exact"/>
              <w:ind w:left="124"/>
              <w:rPr>
                <w:sz w:val="22"/>
              </w:rPr>
            </w:pPr>
            <w:r>
              <w:rPr>
                <w:sz w:val="22"/>
              </w:rPr>
              <w:t>supervision by </w:t>
            </w:r>
            <w:r>
              <w:rPr>
                <w:spacing w:val="-2"/>
                <w:sz w:val="22"/>
              </w:rPr>
              <w:t>heads/directors</w:t>
            </w:r>
          </w:p>
        </w:tc>
        <w:tc>
          <w:tcPr>
            <w:tcW w:w="1075" w:type="dxa"/>
            <w:tcBorders>
              <w:bottom w:val="single" w:sz="8" w:space="0" w:color="4F81BC"/>
            </w:tcBorders>
            <w:shd w:val="clear" w:color="auto" w:fill="D2DFED"/>
          </w:tcPr>
          <w:p>
            <w:pPr>
              <w:pStyle w:val="TableParagraph"/>
              <w:spacing w:line="247" w:lineRule="exact"/>
              <w:ind w:left="109"/>
              <w:rPr>
                <w:sz w:val="22"/>
              </w:rPr>
            </w:pPr>
            <w:r>
              <w:rPr>
                <w:spacing w:val="-5"/>
                <w:sz w:val="22"/>
              </w:rPr>
              <w:t>87</w:t>
            </w:r>
          </w:p>
        </w:tc>
        <w:tc>
          <w:tcPr>
            <w:tcW w:w="1058" w:type="dxa"/>
            <w:tcBorders>
              <w:bottom w:val="single" w:sz="8" w:space="0" w:color="4F81BC"/>
            </w:tcBorders>
            <w:shd w:val="clear" w:color="auto" w:fill="D2DFED"/>
          </w:tcPr>
          <w:p>
            <w:pPr>
              <w:pStyle w:val="TableParagraph"/>
              <w:spacing w:line="247" w:lineRule="exact"/>
              <w:ind w:left="205"/>
              <w:rPr>
                <w:sz w:val="22"/>
              </w:rPr>
            </w:pPr>
            <w:r>
              <w:rPr>
                <w:spacing w:val="-5"/>
                <w:sz w:val="22"/>
              </w:rPr>
              <w:t>27</w:t>
            </w:r>
          </w:p>
        </w:tc>
        <w:tc>
          <w:tcPr>
            <w:tcW w:w="1372" w:type="dxa"/>
            <w:tcBorders>
              <w:bottom w:val="single" w:sz="8" w:space="0" w:color="4F81BC"/>
            </w:tcBorders>
            <w:shd w:val="clear" w:color="auto" w:fill="D2DFED"/>
          </w:tcPr>
          <w:p>
            <w:pPr>
              <w:pStyle w:val="TableParagraph"/>
              <w:spacing w:line="247" w:lineRule="exact"/>
              <w:ind w:left="316"/>
              <w:rPr>
                <w:sz w:val="22"/>
              </w:rPr>
            </w:pPr>
            <w:r>
              <w:rPr>
                <w:spacing w:val="-5"/>
                <w:sz w:val="22"/>
              </w:rPr>
              <w:t>17</w:t>
            </w:r>
          </w:p>
        </w:tc>
        <w:tc>
          <w:tcPr>
            <w:tcW w:w="1263" w:type="dxa"/>
            <w:tcBorders>
              <w:bottom w:val="single" w:sz="8" w:space="0" w:color="4F81BC"/>
            </w:tcBorders>
            <w:shd w:val="clear" w:color="auto" w:fill="D2DFED"/>
          </w:tcPr>
          <w:p>
            <w:pPr>
              <w:pStyle w:val="TableParagraph"/>
              <w:spacing w:line="247" w:lineRule="exact"/>
              <w:ind w:left="296"/>
              <w:rPr>
                <w:sz w:val="22"/>
              </w:rPr>
            </w:pPr>
            <w:r>
              <w:rPr>
                <w:spacing w:val="-5"/>
                <w:sz w:val="22"/>
              </w:rPr>
              <w:t>25</w:t>
            </w:r>
          </w:p>
        </w:tc>
        <w:tc>
          <w:tcPr>
            <w:tcW w:w="878" w:type="dxa"/>
            <w:tcBorders>
              <w:bottom w:val="single" w:sz="8" w:space="0" w:color="4F81BC"/>
            </w:tcBorders>
            <w:shd w:val="clear" w:color="auto" w:fill="D2DFED"/>
          </w:tcPr>
          <w:p>
            <w:pPr>
              <w:pStyle w:val="TableParagraph"/>
              <w:spacing w:line="247" w:lineRule="exact"/>
              <w:ind w:left="185"/>
              <w:rPr>
                <w:sz w:val="22"/>
              </w:rPr>
            </w:pPr>
            <w:r>
              <w:rPr>
                <w:spacing w:val="-10"/>
                <w:sz w:val="22"/>
              </w:rPr>
              <w:t>0</w:t>
            </w:r>
          </w:p>
        </w:tc>
        <w:tc>
          <w:tcPr>
            <w:tcW w:w="907" w:type="dxa"/>
            <w:tcBorders>
              <w:bottom w:val="single" w:sz="8" w:space="0" w:color="4F81BC"/>
            </w:tcBorders>
            <w:shd w:val="clear" w:color="auto" w:fill="D2DFED"/>
          </w:tcPr>
          <w:p>
            <w:pPr>
              <w:pStyle w:val="TableParagraph"/>
              <w:spacing w:line="247" w:lineRule="exact"/>
              <w:ind w:left="207"/>
              <w:rPr>
                <w:sz w:val="22"/>
              </w:rPr>
            </w:pPr>
            <w:r>
              <w:rPr>
                <w:spacing w:val="-4"/>
                <w:sz w:val="22"/>
              </w:rPr>
              <w:t>4.13</w:t>
            </w:r>
          </w:p>
        </w:tc>
        <w:tc>
          <w:tcPr>
            <w:tcW w:w="829" w:type="dxa"/>
            <w:tcBorders>
              <w:bottom w:val="single" w:sz="8" w:space="0" w:color="4F81BC"/>
            </w:tcBorders>
            <w:shd w:val="clear" w:color="auto" w:fill="D2DFED"/>
          </w:tcPr>
          <w:p>
            <w:pPr>
              <w:pStyle w:val="TableParagraph"/>
              <w:spacing w:line="247" w:lineRule="exact"/>
              <w:ind w:left="200"/>
              <w:rPr>
                <w:sz w:val="22"/>
              </w:rPr>
            </w:pPr>
            <w:r>
              <w:rPr>
                <w:spacing w:val="-10"/>
                <w:sz w:val="22"/>
              </w:rPr>
              <w:t>5</w:t>
            </w:r>
          </w:p>
        </w:tc>
      </w:tr>
    </w:tbl>
    <w:p>
      <w:pPr>
        <w:pStyle w:val="BodyText"/>
        <w:ind w:left="240"/>
        <w:jc w:val="both"/>
      </w:pPr>
      <w:r>
        <w:rPr>
          <w:b/>
        </w:rPr>
        <w:t>Source:</w:t>
      </w:r>
      <w:r>
        <w:rPr>
          <w:b/>
          <w:spacing w:val="-2"/>
        </w:rPr>
        <w:t> </w:t>
      </w:r>
      <w:r>
        <w:rPr/>
        <w:t>Researcher‘s field</w:t>
      </w:r>
      <w:r>
        <w:rPr>
          <w:spacing w:val="-1"/>
        </w:rPr>
        <w:t> </w:t>
      </w:r>
      <w:r>
        <w:rPr/>
        <w:t>survey</w:t>
      </w:r>
      <w:r>
        <w:rPr>
          <w:spacing w:val="-1"/>
        </w:rPr>
        <w:t> </w:t>
      </w:r>
      <w:r>
        <w:rPr>
          <w:spacing w:val="-2"/>
        </w:rPr>
        <w:t>(2017)</w:t>
      </w:r>
    </w:p>
    <w:p>
      <w:pPr>
        <w:pStyle w:val="BodyText"/>
        <w:spacing w:before="273"/>
      </w:pPr>
    </w:p>
    <w:p>
      <w:pPr>
        <w:pStyle w:val="BodyText"/>
        <w:spacing w:line="360" w:lineRule="auto" w:before="1"/>
        <w:ind w:left="240" w:right="837"/>
        <w:jc w:val="both"/>
      </w:pPr>
      <w:r>
        <w:rPr/>
        <w:t>Table 5.7 represents the responses and ranking of seven (7) significant factors leading to problems of housing budget preparation.</w:t>
      </w:r>
      <w:r>
        <w:rPr>
          <w:spacing w:val="40"/>
        </w:rPr>
        <w:t> </w:t>
      </w:r>
      <w:r>
        <w:rPr/>
        <w:t>At a glance, the result clearly indicates that poor remuneration of mean score; 4.83 is the most severe problem facing effective housing budget preparation,</w:t>
      </w:r>
      <w:r>
        <w:rPr>
          <w:spacing w:val="26"/>
        </w:rPr>
        <w:t> </w:t>
      </w:r>
      <w:r>
        <w:rPr/>
        <w:t>closely</w:t>
      </w:r>
      <w:r>
        <w:rPr>
          <w:spacing w:val="23"/>
        </w:rPr>
        <w:t> </w:t>
      </w:r>
      <w:r>
        <w:rPr/>
        <w:t>followed</w:t>
      </w:r>
      <w:r>
        <w:rPr>
          <w:spacing w:val="26"/>
        </w:rPr>
        <w:t> </w:t>
      </w:r>
      <w:r>
        <w:rPr/>
        <w:t>by</w:t>
      </w:r>
      <w:r>
        <w:rPr>
          <w:spacing w:val="24"/>
        </w:rPr>
        <w:t> </w:t>
      </w:r>
      <w:r>
        <w:rPr/>
        <w:t>lack</w:t>
      </w:r>
      <w:r>
        <w:rPr>
          <w:spacing w:val="27"/>
        </w:rPr>
        <w:t> </w:t>
      </w:r>
      <w:r>
        <w:rPr/>
        <w:t>of</w:t>
      </w:r>
      <w:r>
        <w:rPr>
          <w:spacing w:val="25"/>
        </w:rPr>
        <w:t> </w:t>
      </w:r>
      <w:r>
        <w:rPr/>
        <w:t>motivation</w:t>
      </w:r>
      <w:r>
        <w:rPr>
          <w:spacing w:val="26"/>
        </w:rPr>
        <w:t> </w:t>
      </w:r>
      <w:r>
        <w:rPr/>
        <w:t>and</w:t>
      </w:r>
      <w:r>
        <w:rPr>
          <w:spacing w:val="26"/>
        </w:rPr>
        <w:t> </w:t>
      </w:r>
      <w:r>
        <w:rPr/>
        <w:t>work</w:t>
      </w:r>
      <w:r>
        <w:rPr>
          <w:spacing w:val="25"/>
        </w:rPr>
        <w:t> </w:t>
      </w:r>
      <w:r>
        <w:rPr/>
        <w:t>incentives</w:t>
      </w:r>
      <w:r>
        <w:rPr>
          <w:spacing w:val="29"/>
        </w:rPr>
        <w:t> </w:t>
      </w:r>
      <w:r>
        <w:rPr/>
        <w:t>with</w:t>
      </w:r>
      <w:r>
        <w:rPr>
          <w:spacing w:val="26"/>
        </w:rPr>
        <w:t> </w:t>
      </w:r>
      <w:r>
        <w:rPr/>
        <w:t>a</w:t>
      </w:r>
      <w:r>
        <w:rPr>
          <w:spacing w:val="25"/>
        </w:rPr>
        <w:t> </w:t>
      </w:r>
      <w:r>
        <w:rPr/>
        <w:t>mean</w:t>
      </w:r>
      <w:r>
        <w:rPr>
          <w:spacing w:val="26"/>
        </w:rPr>
        <w:t> </w:t>
      </w:r>
      <w:r>
        <w:rPr/>
        <w:t>score</w:t>
      </w:r>
      <w:r>
        <w:rPr>
          <w:spacing w:val="28"/>
        </w:rPr>
        <w:t> </w:t>
      </w:r>
      <w:r>
        <w:rPr>
          <w:spacing w:val="-5"/>
        </w:rPr>
        <w:t>of</w:t>
      </w:r>
    </w:p>
    <w:p>
      <w:pPr>
        <w:pStyle w:val="BodyText"/>
        <w:spacing w:line="360" w:lineRule="auto"/>
        <w:ind w:left="240" w:right="833"/>
        <w:jc w:val="both"/>
      </w:pPr>
      <w:r>
        <w:rPr/>
        <w:t>4.78. This shows that there is need to improve the present remuneration and introduce necessary incentives</w:t>
      </w:r>
      <w:r>
        <w:rPr>
          <w:spacing w:val="24"/>
        </w:rPr>
        <w:t> </w:t>
      </w:r>
      <w:r>
        <w:rPr/>
        <w:t>to</w:t>
      </w:r>
      <w:r>
        <w:rPr>
          <w:spacing w:val="24"/>
        </w:rPr>
        <w:t> </w:t>
      </w:r>
      <w:r>
        <w:rPr/>
        <w:t>increase</w:t>
      </w:r>
      <w:r>
        <w:rPr>
          <w:spacing w:val="25"/>
        </w:rPr>
        <w:t> </w:t>
      </w:r>
      <w:r>
        <w:rPr/>
        <w:t>motivation</w:t>
      </w:r>
      <w:r>
        <w:rPr>
          <w:spacing w:val="24"/>
        </w:rPr>
        <w:t> </w:t>
      </w:r>
      <w:r>
        <w:rPr/>
        <w:t>of</w:t>
      </w:r>
      <w:r>
        <w:rPr>
          <w:spacing w:val="23"/>
        </w:rPr>
        <w:t> </w:t>
      </w:r>
      <w:r>
        <w:rPr/>
        <w:t>staff</w:t>
      </w:r>
      <w:r>
        <w:rPr>
          <w:spacing w:val="25"/>
        </w:rPr>
        <w:t> </w:t>
      </w:r>
      <w:r>
        <w:rPr/>
        <w:t>involved</w:t>
      </w:r>
      <w:r>
        <w:rPr>
          <w:spacing w:val="24"/>
        </w:rPr>
        <w:t> </w:t>
      </w:r>
      <w:r>
        <w:rPr/>
        <w:t>in</w:t>
      </w:r>
      <w:r>
        <w:rPr>
          <w:spacing w:val="24"/>
        </w:rPr>
        <w:t> </w:t>
      </w:r>
      <w:r>
        <w:rPr/>
        <w:t>preparing</w:t>
      </w:r>
      <w:r>
        <w:rPr>
          <w:spacing w:val="21"/>
        </w:rPr>
        <w:t> </w:t>
      </w:r>
      <w:r>
        <w:rPr/>
        <w:t>the</w:t>
      </w:r>
      <w:r>
        <w:rPr>
          <w:spacing w:val="26"/>
        </w:rPr>
        <w:t> </w:t>
      </w:r>
      <w:r>
        <w:rPr/>
        <w:t>housing</w:t>
      </w:r>
      <w:r>
        <w:rPr>
          <w:spacing w:val="21"/>
        </w:rPr>
        <w:t> </w:t>
      </w:r>
      <w:r>
        <w:rPr/>
        <w:t>budget.</w:t>
      </w:r>
      <w:r>
        <w:rPr>
          <w:spacing w:val="25"/>
        </w:rPr>
        <w:t>  </w:t>
      </w:r>
      <w:r>
        <w:rPr>
          <w:spacing w:val="-2"/>
        </w:rPr>
        <w:t>Unethical</w:t>
      </w:r>
    </w:p>
    <w:p>
      <w:pPr>
        <w:spacing w:after="0" w:line="360" w:lineRule="auto"/>
        <w:jc w:val="both"/>
        <w:sectPr>
          <w:pgSz w:w="12240" w:h="15840"/>
          <w:pgMar w:header="0" w:footer="1036" w:top="1360" w:bottom="1220" w:left="1200" w:right="600"/>
        </w:sectPr>
      </w:pPr>
    </w:p>
    <w:p>
      <w:pPr>
        <w:pStyle w:val="BodyText"/>
        <w:spacing w:line="360" w:lineRule="auto" w:before="114"/>
        <w:ind w:left="240" w:right="836"/>
        <w:jc w:val="both"/>
      </w:pPr>
      <w:r>
        <w:rPr/>
        <w:t>practices, insufficient staff ranked 3</w:t>
      </w:r>
      <w:r>
        <w:rPr>
          <w:vertAlign w:val="superscript"/>
        </w:rPr>
        <w:t>rd</w:t>
      </w:r>
      <w:r>
        <w:rPr>
          <w:vertAlign w:val="baseline"/>
        </w:rPr>
        <w:t> and 4</w:t>
      </w:r>
      <w:r>
        <w:rPr>
          <w:vertAlign w:val="superscript"/>
        </w:rPr>
        <w:t>th</w:t>
      </w:r>
      <w:r>
        <w:rPr>
          <w:vertAlign w:val="baseline"/>
        </w:rPr>
        <w:t> respectively with mean scores of 4.44 and 4.29. Poor monitoring /supervision by heads and directors ranks 5</w:t>
      </w:r>
      <w:r>
        <w:rPr>
          <w:vertAlign w:val="superscript"/>
        </w:rPr>
        <w:t>th</w:t>
      </w:r>
      <w:r>
        <w:rPr>
          <w:vertAlign w:val="baseline"/>
        </w:rPr>
        <w:t> with a mean score of 4.13, while excess work load ranked 6</w:t>
      </w:r>
      <w:r>
        <w:rPr>
          <w:vertAlign w:val="superscript"/>
        </w:rPr>
        <w:t>th</w:t>
      </w:r>
      <w:r>
        <w:rPr>
          <w:vertAlign w:val="baseline"/>
        </w:rPr>
        <w:t> with a mean score of 3.65.</w:t>
      </w:r>
      <w:r>
        <w:rPr>
          <w:spacing w:val="40"/>
          <w:vertAlign w:val="baseline"/>
        </w:rPr>
        <w:t> </w:t>
      </w:r>
      <w:r>
        <w:rPr>
          <w:vertAlign w:val="baseline"/>
        </w:rPr>
        <w:t>Lack of qualified or skilled personnel ranks least with a mean score of 3.62. This implies that lack of skilled personnel or professionals is not a major factor leading to housing budget problems in the study area.</w:t>
      </w:r>
      <w:r>
        <w:rPr>
          <w:spacing w:val="40"/>
          <w:vertAlign w:val="baseline"/>
        </w:rPr>
        <w:t> </w:t>
      </w:r>
      <w:r>
        <w:rPr>
          <w:vertAlign w:val="baseline"/>
        </w:rPr>
        <w:t>From the foregoing, the study is inclined to conclude that poor remuneration, lack of incentives and unethical practices are areas that call for close attention by the Government if housing budget is to</w:t>
      </w:r>
      <w:r>
        <w:rPr>
          <w:spacing w:val="40"/>
          <w:vertAlign w:val="baseline"/>
        </w:rPr>
        <w:t> </w:t>
      </w:r>
      <w:r>
        <w:rPr>
          <w:vertAlign w:val="baseline"/>
        </w:rPr>
        <w:t>prepared effectively.</w:t>
      </w:r>
    </w:p>
    <w:p>
      <w:pPr>
        <w:pStyle w:val="BodyText"/>
        <w:spacing w:before="140"/>
      </w:pPr>
    </w:p>
    <w:p>
      <w:pPr>
        <w:pStyle w:val="Heading4"/>
        <w:numPr>
          <w:ilvl w:val="2"/>
          <w:numId w:val="87"/>
        </w:numPr>
        <w:tabs>
          <w:tab w:pos="853" w:val="left" w:leader="none"/>
          <w:tab w:pos="871" w:val="left" w:leader="none"/>
        </w:tabs>
        <w:spacing w:line="240" w:lineRule="auto" w:before="1" w:after="0"/>
        <w:ind w:left="871" w:right="834" w:hanging="632"/>
        <w:jc w:val="both"/>
      </w:pPr>
      <w:r>
        <w:rPr/>
        <w:t>Analysis of Responses on Citizen Participation, Criteria for Stipulating Annual Housing Budget Ceilings and Allocations, and Rate of Housing Budget </w:t>
      </w:r>
      <w:r>
        <w:rPr>
          <w:spacing w:val="-2"/>
        </w:rPr>
        <w:t>Implementation</w:t>
      </w:r>
    </w:p>
    <w:p>
      <w:pPr>
        <w:pStyle w:val="BodyText"/>
        <w:spacing w:line="360" w:lineRule="auto" w:before="182"/>
        <w:ind w:left="240" w:right="835"/>
        <w:jc w:val="both"/>
      </w:pPr>
      <w:r>
        <w:rPr/>
        <w:t>To determine the responses to the above mentioned budget procedures and the general rate of budget implementation for the housing budget, the percentages for each response was obtained based on the number of responses received for each variable. The responses to the questions are presented and analyzed in Table 5.8.</w:t>
      </w:r>
    </w:p>
    <w:p>
      <w:pPr>
        <w:spacing w:after="0" w:line="360" w:lineRule="auto"/>
        <w:jc w:val="both"/>
        <w:sectPr>
          <w:pgSz w:w="12240" w:h="15840"/>
          <w:pgMar w:header="0" w:footer="1036" w:top="1320" w:bottom="1220" w:left="1200" w:right="600"/>
        </w:sectPr>
      </w:pPr>
    </w:p>
    <w:p>
      <w:pPr>
        <w:pStyle w:val="Heading4"/>
        <w:spacing w:before="76"/>
        <w:ind w:right="833"/>
      </w:pPr>
      <w:r>
        <w:rPr/>
        <w:t>Table 5.8. Opinion of Respondents on Citizen Participation, Criteria for Stipulating</w:t>
      </w:r>
      <w:r>
        <w:rPr>
          <w:spacing w:val="40"/>
        </w:rPr>
        <w:t> </w:t>
      </w:r>
      <w:r>
        <w:rPr/>
        <w:t>Annual Housing Budget Ceilings and Allocations, and Rate of Housing Budget </w:t>
      </w:r>
      <w:r>
        <w:rPr>
          <w:spacing w:val="-2"/>
        </w:rPr>
        <w:t>Implementation</w:t>
      </w:r>
    </w:p>
    <w:p>
      <w:pPr>
        <w:pStyle w:val="BodyText"/>
        <w:spacing w:before="2" w:after="1"/>
        <w:rPr>
          <w:b/>
          <w:sz w:val="16"/>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3"/>
        <w:gridCol w:w="563"/>
        <w:gridCol w:w="2336"/>
        <w:gridCol w:w="2085"/>
        <w:gridCol w:w="1480"/>
      </w:tblGrid>
      <w:tr>
        <w:trPr>
          <w:trHeight w:val="505" w:hRule="atLeast"/>
        </w:trPr>
        <w:tc>
          <w:tcPr>
            <w:tcW w:w="2823" w:type="dxa"/>
            <w:tcBorders>
              <w:top w:val="single" w:sz="8" w:space="0" w:color="000000"/>
              <w:bottom w:val="single" w:sz="8" w:space="0" w:color="000000"/>
            </w:tcBorders>
          </w:tcPr>
          <w:p>
            <w:pPr>
              <w:pStyle w:val="TableParagraph"/>
              <w:spacing w:line="272" w:lineRule="exact"/>
              <w:ind w:left="122"/>
              <w:rPr>
                <w:b/>
                <w:sz w:val="24"/>
              </w:rPr>
            </w:pPr>
            <w:r>
              <w:rPr>
                <w:b/>
                <w:sz w:val="24"/>
              </w:rPr>
              <w:t>Questionnaire</w:t>
            </w:r>
            <w:r>
              <w:rPr>
                <w:b/>
                <w:spacing w:val="-2"/>
                <w:sz w:val="24"/>
              </w:rPr>
              <w:t> </w:t>
            </w:r>
            <w:r>
              <w:rPr>
                <w:b/>
                <w:spacing w:val="-4"/>
                <w:sz w:val="24"/>
              </w:rPr>
              <w:t>Item</w:t>
            </w:r>
          </w:p>
        </w:tc>
        <w:tc>
          <w:tcPr>
            <w:tcW w:w="563" w:type="dxa"/>
            <w:tcBorders>
              <w:top w:val="single" w:sz="8" w:space="0" w:color="000000"/>
              <w:bottom w:val="single" w:sz="8" w:space="0" w:color="000000"/>
            </w:tcBorders>
          </w:tcPr>
          <w:p>
            <w:pPr>
              <w:pStyle w:val="TableParagraph"/>
              <w:rPr>
                <w:sz w:val="22"/>
              </w:rPr>
            </w:pPr>
          </w:p>
        </w:tc>
        <w:tc>
          <w:tcPr>
            <w:tcW w:w="2336" w:type="dxa"/>
            <w:tcBorders>
              <w:top w:val="single" w:sz="8" w:space="0" w:color="000000"/>
              <w:bottom w:val="single" w:sz="8" w:space="0" w:color="000000"/>
            </w:tcBorders>
          </w:tcPr>
          <w:p>
            <w:pPr>
              <w:pStyle w:val="TableParagraph"/>
              <w:spacing w:line="272" w:lineRule="exact"/>
              <w:ind w:left="173"/>
              <w:rPr>
                <w:b/>
                <w:sz w:val="24"/>
              </w:rPr>
            </w:pPr>
            <w:r>
              <w:rPr>
                <w:b/>
                <w:spacing w:val="-2"/>
                <w:sz w:val="24"/>
              </w:rPr>
              <w:t>Variables</w:t>
            </w:r>
          </w:p>
        </w:tc>
        <w:tc>
          <w:tcPr>
            <w:tcW w:w="2085" w:type="dxa"/>
            <w:tcBorders>
              <w:top w:val="single" w:sz="8" w:space="0" w:color="000000"/>
              <w:bottom w:val="single" w:sz="8" w:space="0" w:color="000000"/>
            </w:tcBorders>
          </w:tcPr>
          <w:p>
            <w:pPr>
              <w:pStyle w:val="TableParagraph"/>
              <w:spacing w:line="272" w:lineRule="exact"/>
              <w:ind w:left="269"/>
              <w:rPr>
                <w:b/>
                <w:sz w:val="24"/>
              </w:rPr>
            </w:pPr>
            <w:r>
              <w:rPr>
                <w:b/>
                <w:sz w:val="24"/>
              </w:rPr>
              <w:t>No of </w:t>
            </w:r>
            <w:r>
              <w:rPr>
                <w:b/>
                <w:spacing w:val="-2"/>
                <w:sz w:val="24"/>
              </w:rPr>
              <w:t>Responses</w:t>
            </w:r>
          </w:p>
        </w:tc>
        <w:tc>
          <w:tcPr>
            <w:tcW w:w="1480" w:type="dxa"/>
            <w:tcBorders>
              <w:top w:val="single" w:sz="8" w:space="0" w:color="000000"/>
              <w:bottom w:val="single" w:sz="8" w:space="0" w:color="000000"/>
            </w:tcBorders>
          </w:tcPr>
          <w:p>
            <w:pPr>
              <w:pStyle w:val="TableParagraph"/>
              <w:spacing w:line="254" w:lineRule="exact"/>
              <w:ind w:left="148"/>
              <w:rPr>
                <w:b/>
                <w:sz w:val="22"/>
              </w:rPr>
            </w:pPr>
            <w:r>
              <w:rPr>
                <w:b/>
                <w:spacing w:val="-2"/>
                <w:sz w:val="22"/>
              </w:rPr>
              <w:t>Percentages </w:t>
            </w:r>
            <w:r>
              <w:rPr>
                <w:b/>
                <w:spacing w:val="-4"/>
                <w:sz w:val="22"/>
              </w:rPr>
              <w:t>(%)</w:t>
            </w:r>
          </w:p>
        </w:tc>
      </w:tr>
      <w:tr>
        <w:trPr>
          <w:trHeight w:val="758" w:hRule="atLeast"/>
        </w:trPr>
        <w:tc>
          <w:tcPr>
            <w:tcW w:w="3386" w:type="dxa"/>
            <w:gridSpan w:val="2"/>
            <w:tcBorders>
              <w:top w:val="single" w:sz="8" w:space="0" w:color="000000"/>
            </w:tcBorders>
            <w:shd w:val="clear" w:color="auto" w:fill="C0C0C0"/>
          </w:tcPr>
          <w:p>
            <w:pPr>
              <w:pStyle w:val="TableParagraph"/>
              <w:spacing w:line="249" w:lineRule="exact"/>
              <w:ind w:left="122"/>
              <w:rPr>
                <w:b/>
                <w:sz w:val="22"/>
              </w:rPr>
            </w:pPr>
            <w:r>
              <w:rPr>
                <w:b/>
                <w:sz w:val="22"/>
              </w:rPr>
              <w:t>Do</w:t>
            </w:r>
            <w:r>
              <w:rPr>
                <w:b/>
                <w:spacing w:val="-3"/>
                <w:sz w:val="22"/>
              </w:rPr>
              <w:t> </w:t>
            </w:r>
            <w:r>
              <w:rPr>
                <w:b/>
                <w:sz w:val="22"/>
              </w:rPr>
              <w:t>the</w:t>
            </w:r>
            <w:r>
              <w:rPr>
                <w:b/>
                <w:spacing w:val="-3"/>
                <w:sz w:val="22"/>
              </w:rPr>
              <w:t> </w:t>
            </w:r>
            <w:r>
              <w:rPr>
                <w:b/>
                <w:sz w:val="22"/>
              </w:rPr>
              <w:t>citizens</w:t>
            </w:r>
            <w:r>
              <w:rPr>
                <w:b/>
                <w:spacing w:val="-3"/>
                <w:sz w:val="22"/>
              </w:rPr>
              <w:t> </w:t>
            </w:r>
            <w:r>
              <w:rPr>
                <w:b/>
                <w:sz w:val="22"/>
              </w:rPr>
              <w:t>of</w:t>
            </w:r>
            <w:r>
              <w:rPr>
                <w:b/>
                <w:spacing w:val="-3"/>
                <w:sz w:val="22"/>
              </w:rPr>
              <w:t> </w:t>
            </w:r>
            <w:r>
              <w:rPr>
                <w:b/>
                <w:sz w:val="22"/>
              </w:rPr>
              <w:t>Anambra</w:t>
            </w:r>
            <w:r>
              <w:rPr>
                <w:b/>
                <w:spacing w:val="-3"/>
                <w:sz w:val="22"/>
              </w:rPr>
              <w:t> </w:t>
            </w:r>
            <w:r>
              <w:rPr>
                <w:b/>
                <w:spacing w:val="-4"/>
                <w:sz w:val="22"/>
              </w:rPr>
              <w:t>State</w:t>
            </w:r>
          </w:p>
          <w:p>
            <w:pPr>
              <w:pStyle w:val="TableParagraph"/>
              <w:spacing w:line="252" w:lineRule="exact"/>
              <w:ind w:left="122"/>
              <w:rPr>
                <w:b/>
                <w:sz w:val="22"/>
              </w:rPr>
            </w:pPr>
            <w:r>
              <w:rPr>
                <w:b/>
                <w:sz w:val="22"/>
              </w:rPr>
              <w:t>participate</w:t>
            </w:r>
            <w:r>
              <w:rPr>
                <w:b/>
                <w:spacing w:val="-10"/>
                <w:sz w:val="22"/>
              </w:rPr>
              <w:t> </w:t>
            </w:r>
            <w:r>
              <w:rPr>
                <w:b/>
                <w:sz w:val="22"/>
              </w:rPr>
              <w:t>in</w:t>
            </w:r>
            <w:r>
              <w:rPr>
                <w:b/>
                <w:spacing w:val="-8"/>
                <w:sz w:val="22"/>
              </w:rPr>
              <w:t> </w:t>
            </w:r>
            <w:r>
              <w:rPr>
                <w:b/>
                <w:sz w:val="22"/>
              </w:rPr>
              <w:t>the</w:t>
            </w:r>
            <w:r>
              <w:rPr>
                <w:b/>
                <w:spacing w:val="-8"/>
                <w:sz w:val="22"/>
              </w:rPr>
              <w:t> </w:t>
            </w:r>
            <w:r>
              <w:rPr>
                <w:b/>
                <w:sz w:val="22"/>
              </w:rPr>
              <w:t>housing</w:t>
            </w:r>
            <w:r>
              <w:rPr>
                <w:b/>
                <w:spacing w:val="-11"/>
                <w:sz w:val="22"/>
              </w:rPr>
              <w:t> </w:t>
            </w:r>
            <w:r>
              <w:rPr>
                <w:b/>
                <w:sz w:val="22"/>
              </w:rPr>
              <w:t>budget </w:t>
            </w:r>
            <w:r>
              <w:rPr>
                <w:b/>
                <w:spacing w:val="-2"/>
                <w:sz w:val="22"/>
              </w:rPr>
              <w:t>process?</w:t>
            </w:r>
          </w:p>
        </w:tc>
        <w:tc>
          <w:tcPr>
            <w:tcW w:w="2336" w:type="dxa"/>
            <w:tcBorders>
              <w:top w:val="single" w:sz="8" w:space="0" w:color="000000"/>
            </w:tcBorders>
            <w:shd w:val="clear" w:color="auto" w:fill="C0C0C0"/>
          </w:tcPr>
          <w:p>
            <w:pPr>
              <w:pStyle w:val="TableParagraph"/>
              <w:numPr>
                <w:ilvl w:val="0"/>
                <w:numId w:val="88"/>
              </w:numPr>
              <w:tabs>
                <w:tab w:pos="515" w:val="left" w:leader="none"/>
              </w:tabs>
              <w:spacing w:line="244" w:lineRule="exact" w:before="0" w:after="0"/>
              <w:ind w:left="515" w:right="0" w:hanging="359"/>
              <w:jc w:val="left"/>
              <w:rPr>
                <w:sz w:val="22"/>
              </w:rPr>
            </w:pPr>
            <w:r>
              <w:rPr>
                <w:spacing w:val="-5"/>
                <w:sz w:val="22"/>
              </w:rPr>
              <w:t>Yes</w:t>
            </w:r>
          </w:p>
          <w:p>
            <w:pPr>
              <w:pStyle w:val="TableParagraph"/>
              <w:numPr>
                <w:ilvl w:val="0"/>
                <w:numId w:val="88"/>
              </w:numPr>
              <w:tabs>
                <w:tab w:pos="514" w:val="left" w:leader="none"/>
              </w:tabs>
              <w:spacing w:line="252" w:lineRule="exact" w:before="1" w:after="0"/>
              <w:ind w:left="514" w:right="0" w:hanging="358"/>
              <w:jc w:val="left"/>
              <w:rPr>
                <w:sz w:val="22"/>
              </w:rPr>
            </w:pPr>
            <w:r>
              <w:rPr>
                <w:spacing w:val="-5"/>
                <w:sz w:val="22"/>
              </w:rPr>
              <w:t>No</w:t>
            </w:r>
          </w:p>
          <w:p>
            <w:pPr>
              <w:pStyle w:val="TableParagraph"/>
              <w:numPr>
                <w:ilvl w:val="0"/>
                <w:numId w:val="88"/>
              </w:numPr>
              <w:tabs>
                <w:tab w:pos="515" w:val="left" w:leader="none"/>
              </w:tabs>
              <w:spacing w:line="240" w:lineRule="exact" w:before="0" w:after="0"/>
              <w:ind w:left="515" w:right="0" w:hanging="359"/>
              <w:jc w:val="left"/>
              <w:rPr>
                <w:sz w:val="22"/>
              </w:rPr>
            </w:pPr>
            <w:r>
              <w:rPr>
                <w:sz w:val="22"/>
              </w:rPr>
              <w:t>No</w:t>
            </w:r>
            <w:r>
              <w:rPr>
                <w:spacing w:val="-2"/>
                <w:sz w:val="22"/>
              </w:rPr>
              <w:t> </w:t>
            </w:r>
            <w:r>
              <w:rPr>
                <w:spacing w:val="-4"/>
                <w:sz w:val="22"/>
              </w:rPr>
              <w:t>idea</w:t>
            </w:r>
          </w:p>
        </w:tc>
        <w:tc>
          <w:tcPr>
            <w:tcW w:w="2085" w:type="dxa"/>
            <w:tcBorders>
              <w:top w:val="single" w:sz="8" w:space="0" w:color="000000"/>
            </w:tcBorders>
            <w:shd w:val="clear" w:color="auto" w:fill="C0C0C0"/>
          </w:tcPr>
          <w:p>
            <w:pPr>
              <w:pStyle w:val="TableParagraph"/>
              <w:spacing w:line="244" w:lineRule="exact"/>
              <w:ind w:left="269"/>
              <w:rPr>
                <w:sz w:val="22"/>
              </w:rPr>
            </w:pPr>
            <w:r>
              <w:rPr>
                <w:spacing w:val="-5"/>
                <w:sz w:val="22"/>
              </w:rPr>
              <w:t>99</w:t>
            </w:r>
          </w:p>
          <w:p>
            <w:pPr>
              <w:pStyle w:val="TableParagraph"/>
              <w:spacing w:line="252" w:lineRule="exact" w:before="1"/>
              <w:ind w:left="269"/>
              <w:rPr>
                <w:sz w:val="22"/>
              </w:rPr>
            </w:pPr>
            <w:r>
              <w:rPr>
                <w:spacing w:val="-5"/>
                <w:sz w:val="22"/>
              </w:rPr>
              <w:t>48</w:t>
            </w:r>
          </w:p>
          <w:p>
            <w:pPr>
              <w:pStyle w:val="TableParagraph"/>
              <w:spacing w:line="240" w:lineRule="exact"/>
              <w:ind w:left="269"/>
              <w:rPr>
                <w:sz w:val="22"/>
              </w:rPr>
            </w:pPr>
            <w:r>
              <w:rPr>
                <w:spacing w:val="-10"/>
                <w:sz w:val="22"/>
              </w:rPr>
              <w:t>9</w:t>
            </w:r>
          </w:p>
        </w:tc>
        <w:tc>
          <w:tcPr>
            <w:tcW w:w="1480" w:type="dxa"/>
            <w:tcBorders>
              <w:top w:val="single" w:sz="8" w:space="0" w:color="000000"/>
            </w:tcBorders>
            <w:shd w:val="clear" w:color="auto" w:fill="C0C0C0"/>
          </w:tcPr>
          <w:p>
            <w:pPr>
              <w:pStyle w:val="TableParagraph"/>
              <w:spacing w:line="244" w:lineRule="exact"/>
              <w:ind w:left="148"/>
              <w:rPr>
                <w:sz w:val="22"/>
              </w:rPr>
            </w:pPr>
            <w:r>
              <w:rPr>
                <w:spacing w:val="-2"/>
                <w:sz w:val="22"/>
              </w:rPr>
              <w:t>63.00</w:t>
            </w:r>
          </w:p>
          <w:p>
            <w:pPr>
              <w:pStyle w:val="TableParagraph"/>
              <w:spacing w:line="252" w:lineRule="exact" w:before="1"/>
              <w:ind w:left="148"/>
              <w:rPr>
                <w:sz w:val="22"/>
              </w:rPr>
            </w:pPr>
            <w:r>
              <w:rPr>
                <w:spacing w:val="-2"/>
                <w:sz w:val="22"/>
              </w:rPr>
              <w:t>31.00</w:t>
            </w:r>
          </w:p>
          <w:p>
            <w:pPr>
              <w:pStyle w:val="TableParagraph"/>
              <w:spacing w:line="240" w:lineRule="exact"/>
              <w:ind w:left="258"/>
              <w:rPr>
                <w:sz w:val="22"/>
              </w:rPr>
            </w:pPr>
            <w:r>
              <w:rPr>
                <w:spacing w:val="-4"/>
                <w:sz w:val="22"/>
              </w:rPr>
              <w:t>6.00</w:t>
            </w:r>
          </w:p>
        </w:tc>
      </w:tr>
      <w:tr>
        <w:trPr>
          <w:trHeight w:val="504" w:hRule="atLeast"/>
        </w:trPr>
        <w:tc>
          <w:tcPr>
            <w:tcW w:w="2823" w:type="dxa"/>
          </w:tcPr>
          <w:p>
            <w:pPr>
              <w:pStyle w:val="TableParagraph"/>
              <w:spacing w:line="252" w:lineRule="exact"/>
              <w:ind w:left="465"/>
              <w:rPr>
                <w:b/>
                <w:sz w:val="22"/>
              </w:rPr>
            </w:pPr>
            <w:r>
              <w:rPr>
                <w:b/>
                <w:spacing w:val="-2"/>
                <w:sz w:val="22"/>
              </w:rPr>
              <w:t>Total</w:t>
            </w:r>
          </w:p>
        </w:tc>
        <w:tc>
          <w:tcPr>
            <w:tcW w:w="563" w:type="dxa"/>
          </w:tcPr>
          <w:p>
            <w:pPr>
              <w:pStyle w:val="TableParagraph"/>
              <w:rPr>
                <w:sz w:val="22"/>
              </w:rPr>
            </w:pPr>
          </w:p>
        </w:tc>
        <w:tc>
          <w:tcPr>
            <w:tcW w:w="2336" w:type="dxa"/>
          </w:tcPr>
          <w:p>
            <w:pPr>
              <w:pStyle w:val="TableParagraph"/>
              <w:rPr>
                <w:sz w:val="22"/>
              </w:rPr>
            </w:pPr>
          </w:p>
        </w:tc>
        <w:tc>
          <w:tcPr>
            <w:tcW w:w="2085" w:type="dxa"/>
          </w:tcPr>
          <w:p>
            <w:pPr>
              <w:pStyle w:val="TableParagraph"/>
              <w:spacing w:line="247" w:lineRule="exact"/>
              <w:ind w:left="269"/>
              <w:rPr>
                <w:sz w:val="22"/>
              </w:rPr>
            </w:pPr>
            <w:r>
              <w:rPr>
                <w:spacing w:val="-5"/>
                <w:sz w:val="22"/>
              </w:rPr>
              <w:t>156</w:t>
            </w:r>
          </w:p>
        </w:tc>
        <w:tc>
          <w:tcPr>
            <w:tcW w:w="1480" w:type="dxa"/>
          </w:tcPr>
          <w:p>
            <w:pPr>
              <w:pStyle w:val="TableParagraph"/>
              <w:spacing w:line="247" w:lineRule="exact"/>
              <w:ind w:left="148"/>
              <w:rPr>
                <w:sz w:val="22"/>
              </w:rPr>
            </w:pPr>
            <w:r>
              <w:rPr>
                <w:spacing w:val="-4"/>
                <w:sz w:val="22"/>
              </w:rPr>
              <w:t>100%</w:t>
            </w:r>
          </w:p>
        </w:tc>
      </w:tr>
      <w:tr>
        <w:trPr>
          <w:trHeight w:val="254" w:hRule="atLeast"/>
        </w:trPr>
        <w:tc>
          <w:tcPr>
            <w:tcW w:w="9287" w:type="dxa"/>
            <w:gridSpan w:val="5"/>
            <w:shd w:val="clear" w:color="auto" w:fill="C0C0C0"/>
          </w:tcPr>
          <w:p>
            <w:pPr>
              <w:pStyle w:val="TableParagraph"/>
              <w:spacing w:line="234" w:lineRule="exact"/>
              <w:ind w:left="2541"/>
              <w:rPr>
                <w:b/>
                <w:sz w:val="22"/>
              </w:rPr>
            </w:pPr>
            <w:r>
              <w:rPr>
                <w:b/>
                <w:sz w:val="22"/>
              </w:rPr>
              <w:t>Participation</w:t>
            </w:r>
            <w:r>
              <w:rPr>
                <w:b/>
                <w:spacing w:val="-7"/>
                <w:sz w:val="22"/>
              </w:rPr>
              <w:t> </w:t>
            </w:r>
            <w:r>
              <w:rPr>
                <w:b/>
                <w:spacing w:val="-2"/>
                <w:sz w:val="22"/>
              </w:rPr>
              <w:t>technique/strategy</w:t>
            </w:r>
          </w:p>
        </w:tc>
      </w:tr>
      <w:tr>
        <w:trPr>
          <w:trHeight w:val="506" w:hRule="atLeast"/>
        </w:trPr>
        <w:tc>
          <w:tcPr>
            <w:tcW w:w="2823" w:type="dxa"/>
            <w:vMerge w:val="restart"/>
          </w:tcPr>
          <w:p>
            <w:pPr>
              <w:pStyle w:val="TableParagraph"/>
              <w:ind w:left="122" w:right="87"/>
              <w:rPr>
                <w:b/>
                <w:sz w:val="22"/>
              </w:rPr>
            </w:pPr>
            <w:r>
              <w:rPr>
                <w:b/>
                <w:sz w:val="22"/>
              </w:rPr>
              <w:t>If yes, which of the following techniques or strategies</w:t>
            </w:r>
            <w:r>
              <w:rPr>
                <w:b/>
                <w:spacing w:val="-11"/>
                <w:sz w:val="22"/>
              </w:rPr>
              <w:t> </w:t>
            </w:r>
            <w:r>
              <w:rPr>
                <w:b/>
                <w:sz w:val="22"/>
              </w:rPr>
              <w:t>is</w:t>
            </w:r>
            <w:r>
              <w:rPr>
                <w:b/>
                <w:spacing w:val="-8"/>
                <w:sz w:val="22"/>
              </w:rPr>
              <w:t> </w:t>
            </w:r>
            <w:r>
              <w:rPr>
                <w:b/>
                <w:sz w:val="22"/>
              </w:rPr>
              <w:t>used</w:t>
            </w:r>
            <w:r>
              <w:rPr>
                <w:b/>
                <w:spacing w:val="-12"/>
                <w:sz w:val="22"/>
              </w:rPr>
              <w:t> </w:t>
            </w:r>
            <w:r>
              <w:rPr>
                <w:b/>
                <w:sz w:val="22"/>
              </w:rPr>
              <w:t>to</w:t>
            </w:r>
            <w:r>
              <w:rPr>
                <w:b/>
                <w:spacing w:val="-9"/>
                <w:sz w:val="22"/>
              </w:rPr>
              <w:t> </w:t>
            </w:r>
            <w:r>
              <w:rPr>
                <w:b/>
                <w:sz w:val="22"/>
              </w:rPr>
              <w:t>ensure citizen</w:t>
            </w:r>
            <w:r>
              <w:rPr>
                <w:b/>
                <w:spacing w:val="-6"/>
                <w:sz w:val="22"/>
              </w:rPr>
              <w:t> </w:t>
            </w:r>
            <w:r>
              <w:rPr>
                <w:b/>
                <w:sz w:val="22"/>
              </w:rPr>
              <w:t>participation</w:t>
            </w:r>
            <w:r>
              <w:rPr>
                <w:b/>
                <w:spacing w:val="-9"/>
                <w:sz w:val="22"/>
              </w:rPr>
              <w:t> </w:t>
            </w:r>
            <w:r>
              <w:rPr>
                <w:b/>
                <w:sz w:val="22"/>
              </w:rPr>
              <w:t>in</w:t>
            </w:r>
            <w:r>
              <w:rPr>
                <w:b/>
                <w:spacing w:val="-6"/>
                <w:sz w:val="22"/>
              </w:rPr>
              <w:t> </w:t>
            </w:r>
            <w:r>
              <w:rPr>
                <w:b/>
                <w:sz w:val="22"/>
              </w:rPr>
              <w:t>the housing budget process?</w:t>
            </w:r>
          </w:p>
        </w:tc>
        <w:tc>
          <w:tcPr>
            <w:tcW w:w="2899" w:type="dxa"/>
            <w:gridSpan w:val="2"/>
          </w:tcPr>
          <w:p>
            <w:pPr>
              <w:pStyle w:val="TableParagraph"/>
              <w:spacing w:line="247" w:lineRule="exact"/>
              <w:ind w:left="107"/>
              <w:rPr>
                <w:sz w:val="22"/>
              </w:rPr>
            </w:pPr>
            <w:r>
              <w:rPr>
                <w:sz w:val="22"/>
              </w:rPr>
              <w:t>Public</w:t>
            </w:r>
            <w:r>
              <w:rPr>
                <w:spacing w:val="-1"/>
                <w:sz w:val="22"/>
              </w:rPr>
              <w:t> </w:t>
            </w:r>
            <w:r>
              <w:rPr>
                <w:spacing w:val="-2"/>
                <w:sz w:val="22"/>
              </w:rPr>
              <w:t>meetings/hearings</w:t>
            </w:r>
          </w:p>
        </w:tc>
        <w:tc>
          <w:tcPr>
            <w:tcW w:w="2085" w:type="dxa"/>
          </w:tcPr>
          <w:p>
            <w:pPr>
              <w:pStyle w:val="TableParagraph"/>
              <w:spacing w:line="247" w:lineRule="exact"/>
              <w:ind w:left="341"/>
              <w:rPr>
                <w:sz w:val="22"/>
              </w:rPr>
            </w:pPr>
            <w:r>
              <w:rPr>
                <w:spacing w:val="-5"/>
                <w:sz w:val="22"/>
              </w:rPr>
              <w:t>33</w:t>
            </w:r>
          </w:p>
        </w:tc>
        <w:tc>
          <w:tcPr>
            <w:tcW w:w="1480" w:type="dxa"/>
          </w:tcPr>
          <w:p>
            <w:pPr>
              <w:pStyle w:val="TableParagraph"/>
              <w:spacing w:line="247" w:lineRule="exact"/>
              <w:ind w:left="148"/>
              <w:rPr>
                <w:sz w:val="22"/>
              </w:rPr>
            </w:pPr>
            <w:r>
              <w:rPr>
                <w:spacing w:val="-2"/>
                <w:sz w:val="22"/>
              </w:rPr>
              <w:t>21.00</w:t>
            </w:r>
          </w:p>
        </w:tc>
      </w:tr>
      <w:tr>
        <w:trPr>
          <w:trHeight w:val="504" w:hRule="atLeast"/>
        </w:trPr>
        <w:tc>
          <w:tcPr>
            <w:tcW w:w="2823" w:type="dxa"/>
            <w:vMerge/>
            <w:tcBorders>
              <w:top w:val="nil"/>
            </w:tcBorders>
          </w:tcPr>
          <w:p>
            <w:pPr>
              <w:rPr>
                <w:sz w:val="2"/>
                <w:szCs w:val="2"/>
              </w:rPr>
            </w:pPr>
          </w:p>
        </w:tc>
        <w:tc>
          <w:tcPr>
            <w:tcW w:w="2899" w:type="dxa"/>
            <w:gridSpan w:val="2"/>
            <w:shd w:val="clear" w:color="auto" w:fill="C0C0C0"/>
          </w:tcPr>
          <w:p>
            <w:pPr>
              <w:pStyle w:val="TableParagraph"/>
              <w:spacing w:line="247" w:lineRule="exact"/>
              <w:ind w:left="107"/>
              <w:rPr>
                <w:sz w:val="22"/>
              </w:rPr>
            </w:pPr>
            <w:r>
              <w:rPr>
                <w:sz w:val="22"/>
              </w:rPr>
              <w:t>Participatory</w:t>
            </w:r>
            <w:r>
              <w:rPr>
                <w:spacing w:val="-8"/>
                <w:sz w:val="22"/>
              </w:rPr>
              <w:t> </w:t>
            </w:r>
            <w:r>
              <w:rPr>
                <w:sz w:val="22"/>
              </w:rPr>
              <w:t>budget</w:t>
            </w:r>
            <w:r>
              <w:rPr>
                <w:spacing w:val="-6"/>
                <w:sz w:val="22"/>
              </w:rPr>
              <w:t> </w:t>
            </w:r>
            <w:r>
              <w:rPr>
                <w:spacing w:val="-2"/>
                <w:sz w:val="22"/>
              </w:rPr>
              <w:t>forum</w:t>
            </w:r>
          </w:p>
        </w:tc>
        <w:tc>
          <w:tcPr>
            <w:tcW w:w="2085" w:type="dxa"/>
            <w:shd w:val="clear" w:color="auto" w:fill="C0C0C0"/>
          </w:tcPr>
          <w:p>
            <w:pPr>
              <w:pStyle w:val="TableParagraph"/>
              <w:spacing w:line="247" w:lineRule="exact"/>
              <w:ind w:left="341"/>
              <w:rPr>
                <w:sz w:val="22"/>
              </w:rPr>
            </w:pPr>
            <w:r>
              <w:rPr>
                <w:spacing w:val="-10"/>
                <w:sz w:val="22"/>
              </w:rPr>
              <w:t>5</w:t>
            </w:r>
          </w:p>
        </w:tc>
        <w:tc>
          <w:tcPr>
            <w:tcW w:w="1480" w:type="dxa"/>
            <w:shd w:val="clear" w:color="auto" w:fill="C0C0C0"/>
          </w:tcPr>
          <w:p>
            <w:pPr>
              <w:pStyle w:val="TableParagraph"/>
              <w:spacing w:line="247" w:lineRule="exact"/>
              <w:ind w:left="258"/>
              <w:rPr>
                <w:sz w:val="22"/>
              </w:rPr>
            </w:pPr>
            <w:r>
              <w:rPr>
                <w:spacing w:val="-4"/>
                <w:sz w:val="22"/>
              </w:rPr>
              <w:t>3.00</w:t>
            </w:r>
          </w:p>
        </w:tc>
      </w:tr>
      <w:tr>
        <w:trPr>
          <w:trHeight w:val="506" w:hRule="atLeast"/>
        </w:trPr>
        <w:tc>
          <w:tcPr>
            <w:tcW w:w="2823" w:type="dxa"/>
            <w:vMerge/>
            <w:tcBorders>
              <w:top w:val="nil"/>
            </w:tcBorders>
          </w:tcPr>
          <w:p>
            <w:pPr>
              <w:rPr>
                <w:sz w:val="2"/>
                <w:szCs w:val="2"/>
              </w:rPr>
            </w:pPr>
          </w:p>
        </w:tc>
        <w:tc>
          <w:tcPr>
            <w:tcW w:w="2899" w:type="dxa"/>
            <w:gridSpan w:val="2"/>
          </w:tcPr>
          <w:p>
            <w:pPr>
              <w:pStyle w:val="TableParagraph"/>
              <w:spacing w:line="247" w:lineRule="exact"/>
              <w:ind w:left="107"/>
              <w:rPr>
                <w:sz w:val="22"/>
              </w:rPr>
            </w:pPr>
            <w:r>
              <w:rPr>
                <w:sz w:val="22"/>
              </w:rPr>
              <w:t>Focus </w:t>
            </w:r>
            <w:r>
              <w:rPr>
                <w:spacing w:val="-2"/>
                <w:sz w:val="22"/>
              </w:rPr>
              <w:t>groups</w:t>
            </w:r>
          </w:p>
        </w:tc>
        <w:tc>
          <w:tcPr>
            <w:tcW w:w="2085" w:type="dxa"/>
          </w:tcPr>
          <w:p>
            <w:pPr>
              <w:pStyle w:val="TableParagraph"/>
              <w:spacing w:line="247" w:lineRule="exact"/>
              <w:ind w:left="341"/>
              <w:rPr>
                <w:sz w:val="22"/>
              </w:rPr>
            </w:pPr>
            <w:r>
              <w:rPr>
                <w:spacing w:val="-5"/>
                <w:sz w:val="22"/>
              </w:rPr>
              <w:t>48</w:t>
            </w:r>
          </w:p>
        </w:tc>
        <w:tc>
          <w:tcPr>
            <w:tcW w:w="1480" w:type="dxa"/>
          </w:tcPr>
          <w:p>
            <w:pPr>
              <w:pStyle w:val="TableParagraph"/>
              <w:spacing w:line="247" w:lineRule="exact"/>
              <w:ind w:left="148"/>
              <w:rPr>
                <w:sz w:val="22"/>
              </w:rPr>
            </w:pPr>
            <w:r>
              <w:rPr>
                <w:spacing w:val="-2"/>
                <w:sz w:val="22"/>
              </w:rPr>
              <w:t>31.00</w:t>
            </w:r>
          </w:p>
        </w:tc>
      </w:tr>
      <w:tr>
        <w:trPr>
          <w:trHeight w:val="506" w:hRule="atLeast"/>
        </w:trPr>
        <w:tc>
          <w:tcPr>
            <w:tcW w:w="2823" w:type="dxa"/>
          </w:tcPr>
          <w:p>
            <w:pPr>
              <w:pStyle w:val="TableParagraph"/>
              <w:rPr>
                <w:sz w:val="22"/>
              </w:rPr>
            </w:pPr>
          </w:p>
        </w:tc>
        <w:tc>
          <w:tcPr>
            <w:tcW w:w="2899" w:type="dxa"/>
            <w:gridSpan w:val="2"/>
            <w:shd w:val="clear" w:color="auto" w:fill="C0C0C0"/>
          </w:tcPr>
          <w:p>
            <w:pPr>
              <w:pStyle w:val="TableParagraph"/>
              <w:spacing w:line="247" w:lineRule="exact"/>
              <w:ind w:left="107"/>
              <w:rPr>
                <w:sz w:val="22"/>
              </w:rPr>
            </w:pPr>
            <w:r>
              <w:rPr>
                <w:sz w:val="22"/>
              </w:rPr>
              <w:t>Advisory</w:t>
            </w:r>
            <w:r>
              <w:rPr>
                <w:spacing w:val="-7"/>
                <w:sz w:val="22"/>
              </w:rPr>
              <w:t> </w:t>
            </w:r>
            <w:r>
              <w:rPr>
                <w:spacing w:val="-2"/>
                <w:sz w:val="22"/>
              </w:rPr>
              <w:t>committees</w:t>
            </w:r>
          </w:p>
        </w:tc>
        <w:tc>
          <w:tcPr>
            <w:tcW w:w="2085" w:type="dxa"/>
            <w:shd w:val="clear" w:color="auto" w:fill="C0C0C0"/>
          </w:tcPr>
          <w:p>
            <w:pPr>
              <w:pStyle w:val="TableParagraph"/>
              <w:spacing w:line="247" w:lineRule="exact"/>
              <w:ind w:left="341"/>
              <w:rPr>
                <w:sz w:val="22"/>
              </w:rPr>
            </w:pPr>
            <w:r>
              <w:rPr>
                <w:spacing w:val="-10"/>
                <w:sz w:val="22"/>
              </w:rPr>
              <w:t>2</w:t>
            </w:r>
          </w:p>
        </w:tc>
        <w:tc>
          <w:tcPr>
            <w:tcW w:w="1480" w:type="dxa"/>
            <w:shd w:val="clear" w:color="auto" w:fill="C0C0C0"/>
          </w:tcPr>
          <w:p>
            <w:pPr>
              <w:pStyle w:val="TableParagraph"/>
              <w:spacing w:line="247" w:lineRule="exact"/>
              <w:ind w:left="258"/>
              <w:rPr>
                <w:sz w:val="22"/>
              </w:rPr>
            </w:pPr>
            <w:r>
              <w:rPr>
                <w:spacing w:val="-4"/>
                <w:sz w:val="22"/>
              </w:rPr>
              <w:t>1.00</w:t>
            </w:r>
          </w:p>
        </w:tc>
      </w:tr>
      <w:tr>
        <w:trPr>
          <w:trHeight w:val="506" w:hRule="atLeast"/>
        </w:trPr>
        <w:tc>
          <w:tcPr>
            <w:tcW w:w="2823" w:type="dxa"/>
          </w:tcPr>
          <w:p>
            <w:pPr>
              <w:pStyle w:val="TableParagraph"/>
              <w:rPr>
                <w:sz w:val="22"/>
              </w:rPr>
            </w:pPr>
          </w:p>
        </w:tc>
        <w:tc>
          <w:tcPr>
            <w:tcW w:w="2899" w:type="dxa"/>
            <w:gridSpan w:val="2"/>
          </w:tcPr>
          <w:p>
            <w:pPr>
              <w:pStyle w:val="TableParagraph"/>
              <w:spacing w:line="247" w:lineRule="exact"/>
              <w:ind w:left="107"/>
              <w:rPr>
                <w:sz w:val="22"/>
              </w:rPr>
            </w:pPr>
            <w:r>
              <w:rPr>
                <w:sz w:val="22"/>
              </w:rPr>
              <w:t>Surveys</w:t>
            </w:r>
            <w:r>
              <w:rPr>
                <w:spacing w:val="-2"/>
                <w:sz w:val="22"/>
              </w:rPr>
              <w:t> </w:t>
            </w:r>
            <w:r>
              <w:rPr>
                <w:sz w:val="22"/>
              </w:rPr>
              <w:t>and</w:t>
            </w:r>
            <w:r>
              <w:rPr>
                <w:spacing w:val="-2"/>
                <w:sz w:val="22"/>
              </w:rPr>
              <w:t> consultation</w:t>
            </w:r>
          </w:p>
        </w:tc>
        <w:tc>
          <w:tcPr>
            <w:tcW w:w="2085" w:type="dxa"/>
          </w:tcPr>
          <w:p>
            <w:pPr>
              <w:pStyle w:val="TableParagraph"/>
              <w:spacing w:line="247" w:lineRule="exact"/>
              <w:ind w:left="341"/>
              <w:rPr>
                <w:sz w:val="22"/>
              </w:rPr>
            </w:pPr>
            <w:r>
              <w:rPr>
                <w:spacing w:val="-5"/>
                <w:sz w:val="22"/>
              </w:rPr>
              <w:t>11</w:t>
            </w:r>
          </w:p>
        </w:tc>
        <w:tc>
          <w:tcPr>
            <w:tcW w:w="1480" w:type="dxa"/>
          </w:tcPr>
          <w:p>
            <w:pPr>
              <w:pStyle w:val="TableParagraph"/>
              <w:spacing w:line="247" w:lineRule="exact"/>
              <w:ind w:left="258"/>
              <w:rPr>
                <w:sz w:val="22"/>
              </w:rPr>
            </w:pPr>
            <w:r>
              <w:rPr>
                <w:spacing w:val="-4"/>
                <w:sz w:val="22"/>
              </w:rPr>
              <w:t>7.00</w:t>
            </w:r>
          </w:p>
        </w:tc>
      </w:tr>
      <w:tr>
        <w:trPr>
          <w:trHeight w:val="506" w:hRule="atLeast"/>
        </w:trPr>
        <w:tc>
          <w:tcPr>
            <w:tcW w:w="2823" w:type="dxa"/>
          </w:tcPr>
          <w:p>
            <w:pPr>
              <w:pStyle w:val="TableParagraph"/>
              <w:rPr>
                <w:sz w:val="22"/>
              </w:rPr>
            </w:pPr>
          </w:p>
        </w:tc>
        <w:tc>
          <w:tcPr>
            <w:tcW w:w="2899" w:type="dxa"/>
            <w:gridSpan w:val="2"/>
            <w:shd w:val="clear" w:color="auto" w:fill="C0C0C0"/>
          </w:tcPr>
          <w:p>
            <w:pPr>
              <w:pStyle w:val="TableParagraph"/>
              <w:spacing w:line="247" w:lineRule="exact"/>
              <w:ind w:left="107"/>
              <w:rPr>
                <w:sz w:val="22"/>
              </w:rPr>
            </w:pPr>
            <w:r>
              <w:rPr>
                <w:spacing w:val="-2"/>
                <w:sz w:val="22"/>
              </w:rPr>
              <w:t>Simulations</w:t>
            </w:r>
          </w:p>
        </w:tc>
        <w:tc>
          <w:tcPr>
            <w:tcW w:w="2085" w:type="dxa"/>
            <w:shd w:val="clear" w:color="auto" w:fill="C0C0C0"/>
          </w:tcPr>
          <w:p>
            <w:pPr>
              <w:pStyle w:val="TableParagraph"/>
              <w:spacing w:line="247" w:lineRule="exact"/>
              <w:ind w:left="341"/>
              <w:rPr>
                <w:sz w:val="22"/>
              </w:rPr>
            </w:pPr>
            <w:r>
              <w:rPr>
                <w:spacing w:val="-10"/>
                <w:sz w:val="22"/>
              </w:rPr>
              <w:t>0</w:t>
            </w:r>
          </w:p>
        </w:tc>
        <w:tc>
          <w:tcPr>
            <w:tcW w:w="1480" w:type="dxa"/>
            <w:shd w:val="clear" w:color="auto" w:fill="C0C0C0"/>
          </w:tcPr>
          <w:p>
            <w:pPr>
              <w:pStyle w:val="TableParagraph"/>
              <w:spacing w:line="247" w:lineRule="exact"/>
              <w:ind w:left="258"/>
              <w:rPr>
                <w:sz w:val="22"/>
              </w:rPr>
            </w:pPr>
            <w:r>
              <w:rPr>
                <w:spacing w:val="-4"/>
                <w:sz w:val="22"/>
              </w:rPr>
              <w:t>0.00</w:t>
            </w:r>
          </w:p>
        </w:tc>
      </w:tr>
      <w:tr>
        <w:trPr>
          <w:trHeight w:val="396" w:hRule="atLeast"/>
        </w:trPr>
        <w:tc>
          <w:tcPr>
            <w:tcW w:w="2823" w:type="dxa"/>
          </w:tcPr>
          <w:p>
            <w:pPr>
              <w:pStyle w:val="TableParagraph"/>
              <w:rPr>
                <w:sz w:val="22"/>
              </w:rPr>
            </w:pPr>
          </w:p>
        </w:tc>
        <w:tc>
          <w:tcPr>
            <w:tcW w:w="2899" w:type="dxa"/>
            <w:gridSpan w:val="2"/>
          </w:tcPr>
          <w:p>
            <w:pPr>
              <w:pStyle w:val="TableParagraph"/>
              <w:spacing w:line="247" w:lineRule="exact"/>
              <w:ind w:left="107"/>
              <w:rPr>
                <w:sz w:val="22"/>
              </w:rPr>
            </w:pPr>
            <w:r>
              <w:rPr>
                <w:sz w:val="22"/>
              </w:rPr>
              <w:t>No</w:t>
            </w:r>
            <w:r>
              <w:rPr>
                <w:spacing w:val="-2"/>
                <w:sz w:val="22"/>
              </w:rPr>
              <w:t> </w:t>
            </w:r>
            <w:r>
              <w:rPr>
                <w:spacing w:val="-4"/>
                <w:sz w:val="22"/>
              </w:rPr>
              <w:t>idea</w:t>
            </w:r>
          </w:p>
        </w:tc>
        <w:tc>
          <w:tcPr>
            <w:tcW w:w="2085" w:type="dxa"/>
          </w:tcPr>
          <w:p>
            <w:pPr>
              <w:pStyle w:val="TableParagraph"/>
              <w:spacing w:line="247" w:lineRule="exact"/>
              <w:ind w:left="341"/>
              <w:rPr>
                <w:sz w:val="22"/>
              </w:rPr>
            </w:pPr>
            <w:r>
              <w:rPr>
                <w:spacing w:val="-5"/>
                <w:sz w:val="22"/>
              </w:rPr>
              <w:t>57</w:t>
            </w:r>
          </w:p>
        </w:tc>
        <w:tc>
          <w:tcPr>
            <w:tcW w:w="1480" w:type="dxa"/>
          </w:tcPr>
          <w:p>
            <w:pPr>
              <w:pStyle w:val="TableParagraph"/>
              <w:spacing w:line="247" w:lineRule="exact"/>
              <w:ind w:left="148"/>
              <w:rPr>
                <w:sz w:val="22"/>
              </w:rPr>
            </w:pPr>
            <w:r>
              <w:rPr>
                <w:spacing w:val="-2"/>
                <w:sz w:val="22"/>
              </w:rPr>
              <w:t>37.00</w:t>
            </w:r>
          </w:p>
        </w:tc>
      </w:tr>
      <w:tr>
        <w:trPr>
          <w:trHeight w:val="547" w:hRule="atLeast"/>
        </w:trPr>
        <w:tc>
          <w:tcPr>
            <w:tcW w:w="2823" w:type="dxa"/>
            <w:shd w:val="clear" w:color="auto" w:fill="C0C0C0"/>
          </w:tcPr>
          <w:p>
            <w:pPr>
              <w:pStyle w:val="TableParagraph"/>
              <w:spacing w:line="252" w:lineRule="exact"/>
              <w:ind w:left="465"/>
              <w:rPr>
                <w:b/>
                <w:sz w:val="22"/>
              </w:rPr>
            </w:pPr>
            <w:r>
              <w:rPr>
                <w:b/>
                <w:spacing w:val="-2"/>
                <w:sz w:val="22"/>
              </w:rPr>
              <w:t>Total</w:t>
            </w:r>
          </w:p>
        </w:tc>
        <w:tc>
          <w:tcPr>
            <w:tcW w:w="563" w:type="dxa"/>
            <w:shd w:val="clear" w:color="auto" w:fill="C0C0C0"/>
          </w:tcPr>
          <w:p>
            <w:pPr>
              <w:pStyle w:val="TableParagraph"/>
              <w:rPr>
                <w:sz w:val="22"/>
              </w:rPr>
            </w:pPr>
          </w:p>
        </w:tc>
        <w:tc>
          <w:tcPr>
            <w:tcW w:w="2336" w:type="dxa"/>
            <w:shd w:val="clear" w:color="auto" w:fill="C0C0C0"/>
          </w:tcPr>
          <w:p>
            <w:pPr>
              <w:pStyle w:val="TableParagraph"/>
              <w:rPr>
                <w:sz w:val="22"/>
              </w:rPr>
            </w:pPr>
          </w:p>
        </w:tc>
        <w:tc>
          <w:tcPr>
            <w:tcW w:w="2085" w:type="dxa"/>
            <w:shd w:val="clear" w:color="auto" w:fill="C0C0C0"/>
          </w:tcPr>
          <w:p>
            <w:pPr>
              <w:pStyle w:val="TableParagraph"/>
              <w:spacing w:line="247" w:lineRule="exact"/>
              <w:ind w:left="341"/>
              <w:rPr>
                <w:sz w:val="22"/>
              </w:rPr>
            </w:pPr>
            <w:r>
              <w:rPr>
                <w:spacing w:val="-5"/>
                <w:sz w:val="22"/>
              </w:rPr>
              <w:t>156</w:t>
            </w:r>
          </w:p>
        </w:tc>
        <w:tc>
          <w:tcPr>
            <w:tcW w:w="1480" w:type="dxa"/>
            <w:shd w:val="clear" w:color="auto" w:fill="C0C0C0"/>
          </w:tcPr>
          <w:p>
            <w:pPr>
              <w:pStyle w:val="TableParagraph"/>
              <w:spacing w:line="247" w:lineRule="exact"/>
              <w:ind w:left="148"/>
              <w:rPr>
                <w:sz w:val="22"/>
              </w:rPr>
            </w:pPr>
            <w:r>
              <w:rPr>
                <w:spacing w:val="-4"/>
                <w:sz w:val="22"/>
              </w:rPr>
              <w:t>100%</w:t>
            </w:r>
          </w:p>
        </w:tc>
      </w:tr>
      <w:tr>
        <w:trPr>
          <w:trHeight w:val="547" w:hRule="atLeast"/>
        </w:trPr>
        <w:tc>
          <w:tcPr>
            <w:tcW w:w="9287" w:type="dxa"/>
            <w:gridSpan w:val="5"/>
          </w:tcPr>
          <w:p>
            <w:pPr>
              <w:pStyle w:val="TableParagraph"/>
              <w:spacing w:before="164"/>
              <w:ind w:left="2724"/>
              <w:rPr>
                <w:b/>
                <w:sz w:val="22"/>
              </w:rPr>
            </w:pPr>
            <w:r>
              <w:rPr>
                <w:b/>
                <w:sz w:val="22"/>
              </w:rPr>
              <w:t>Ceiling/allocation</w:t>
            </w:r>
            <w:r>
              <w:rPr>
                <w:b/>
                <w:spacing w:val="-13"/>
                <w:sz w:val="22"/>
              </w:rPr>
              <w:t> </w:t>
            </w:r>
            <w:r>
              <w:rPr>
                <w:b/>
                <w:spacing w:val="-2"/>
                <w:sz w:val="22"/>
              </w:rPr>
              <w:t>criteria</w:t>
            </w:r>
          </w:p>
        </w:tc>
      </w:tr>
      <w:tr>
        <w:trPr>
          <w:trHeight w:val="254" w:hRule="atLeast"/>
        </w:trPr>
        <w:tc>
          <w:tcPr>
            <w:tcW w:w="2823" w:type="dxa"/>
            <w:shd w:val="clear" w:color="auto" w:fill="C0C0C0"/>
          </w:tcPr>
          <w:p>
            <w:pPr>
              <w:pStyle w:val="TableParagraph"/>
              <w:spacing w:line="234" w:lineRule="exact"/>
              <w:ind w:left="122"/>
              <w:rPr>
                <w:b/>
                <w:sz w:val="22"/>
              </w:rPr>
            </w:pPr>
            <w:r>
              <w:rPr>
                <w:b/>
                <w:sz w:val="22"/>
              </w:rPr>
              <w:t>Which</w:t>
            </w:r>
            <w:r>
              <w:rPr>
                <w:b/>
                <w:spacing w:val="-3"/>
                <w:sz w:val="22"/>
              </w:rPr>
              <w:t> </w:t>
            </w:r>
            <w:r>
              <w:rPr>
                <w:b/>
                <w:sz w:val="22"/>
              </w:rPr>
              <w:t>of</w:t>
            </w:r>
            <w:r>
              <w:rPr>
                <w:b/>
                <w:spacing w:val="-2"/>
                <w:sz w:val="22"/>
              </w:rPr>
              <w:t> </w:t>
            </w:r>
            <w:r>
              <w:rPr>
                <w:b/>
                <w:sz w:val="22"/>
              </w:rPr>
              <w:t>the</w:t>
            </w:r>
            <w:r>
              <w:rPr>
                <w:b/>
                <w:spacing w:val="-3"/>
                <w:sz w:val="22"/>
              </w:rPr>
              <w:t> </w:t>
            </w:r>
            <w:r>
              <w:rPr>
                <w:b/>
                <w:spacing w:val="-2"/>
                <w:sz w:val="22"/>
              </w:rPr>
              <w:t>following</w:t>
            </w:r>
          </w:p>
        </w:tc>
        <w:tc>
          <w:tcPr>
            <w:tcW w:w="2899" w:type="dxa"/>
            <w:gridSpan w:val="2"/>
            <w:vMerge w:val="restart"/>
            <w:shd w:val="clear" w:color="auto" w:fill="C0C0C0"/>
          </w:tcPr>
          <w:p>
            <w:pPr>
              <w:pStyle w:val="TableParagraph"/>
              <w:numPr>
                <w:ilvl w:val="0"/>
                <w:numId w:val="89"/>
              </w:numPr>
              <w:tabs>
                <w:tab w:pos="610" w:val="left" w:leader="none"/>
              </w:tabs>
              <w:spacing w:line="247" w:lineRule="exact" w:before="0" w:after="0"/>
              <w:ind w:left="610" w:right="0" w:hanging="359"/>
              <w:jc w:val="left"/>
              <w:rPr>
                <w:sz w:val="22"/>
              </w:rPr>
            </w:pPr>
            <w:r>
              <w:rPr>
                <w:sz w:val="22"/>
              </w:rPr>
              <w:t>Previous</w:t>
            </w:r>
            <w:r>
              <w:rPr>
                <w:spacing w:val="-5"/>
                <w:sz w:val="22"/>
              </w:rPr>
              <w:t> </w:t>
            </w:r>
            <w:r>
              <w:rPr>
                <w:sz w:val="22"/>
              </w:rPr>
              <w:t>year‘s</w:t>
            </w:r>
            <w:r>
              <w:rPr>
                <w:spacing w:val="-6"/>
                <w:sz w:val="22"/>
              </w:rPr>
              <w:t> </w:t>
            </w:r>
            <w:r>
              <w:rPr>
                <w:spacing w:val="-2"/>
                <w:sz w:val="22"/>
              </w:rPr>
              <w:t>ceiling</w:t>
            </w:r>
          </w:p>
          <w:p>
            <w:pPr>
              <w:pStyle w:val="TableParagraph"/>
              <w:numPr>
                <w:ilvl w:val="0"/>
                <w:numId w:val="89"/>
              </w:numPr>
              <w:tabs>
                <w:tab w:pos="609" w:val="left" w:leader="none"/>
              </w:tabs>
              <w:spacing w:line="252" w:lineRule="exact" w:before="1" w:after="0"/>
              <w:ind w:left="609" w:right="0" w:hanging="358"/>
              <w:jc w:val="left"/>
              <w:rPr>
                <w:sz w:val="22"/>
              </w:rPr>
            </w:pPr>
            <w:r>
              <w:rPr>
                <w:sz w:val="22"/>
              </w:rPr>
              <w:t>Available</w:t>
            </w:r>
            <w:r>
              <w:rPr>
                <w:spacing w:val="-8"/>
                <w:sz w:val="22"/>
              </w:rPr>
              <w:t> </w:t>
            </w:r>
            <w:r>
              <w:rPr>
                <w:spacing w:val="-2"/>
                <w:sz w:val="22"/>
              </w:rPr>
              <w:t>funds</w:t>
            </w:r>
          </w:p>
          <w:p>
            <w:pPr>
              <w:pStyle w:val="TableParagraph"/>
              <w:numPr>
                <w:ilvl w:val="0"/>
                <w:numId w:val="89"/>
              </w:numPr>
              <w:tabs>
                <w:tab w:pos="610" w:val="left" w:leader="none"/>
              </w:tabs>
              <w:spacing w:line="252" w:lineRule="exact" w:before="0" w:after="0"/>
              <w:ind w:left="610" w:right="0" w:hanging="359"/>
              <w:jc w:val="left"/>
              <w:rPr>
                <w:sz w:val="22"/>
              </w:rPr>
            </w:pPr>
            <w:r>
              <w:rPr>
                <w:sz w:val="22"/>
              </w:rPr>
              <w:t>Contribution</w:t>
            </w:r>
            <w:r>
              <w:rPr>
                <w:spacing w:val="-6"/>
                <w:sz w:val="22"/>
              </w:rPr>
              <w:t> </w:t>
            </w:r>
            <w:r>
              <w:rPr>
                <w:sz w:val="22"/>
              </w:rPr>
              <w:t>to</w:t>
            </w:r>
            <w:r>
              <w:rPr>
                <w:spacing w:val="-3"/>
                <w:sz w:val="22"/>
              </w:rPr>
              <w:t> </w:t>
            </w:r>
            <w:r>
              <w:rPr>
                <w:spacing w:val="-5"/>
                <w:sz w:val="22"/>
              </w:rPr>
              <w:t>GDP</w:t>
            </w:r>
          </w:p>
          <w:p>
            <w:pPr>
              <w:pStyle w:val="TableParagraph"/>
              <w:numPr>
                <w:ilvl w:val="0"/>
                <w:numId w:val="89"/>
              </w:numPr>
              <w:tabs>
                <w:tab w:pos="609" w:val="left" w:leader="none"/>
              </w:tabs>
              <w:spacing w:line="252" w:lineRule="exact" w:before="2" w:after="0"/>
              <w:ind w:left="609" w:right="0" w:hanging="358"/>
              <w:jc w:val="left"/>
              <w:rPr>
                <w:sz w:val="22"/>
              </w:rPr>
            </w:pPr>
            <w:r>
              <w:rPr>
                <w:sz w:val="22"/>
              </w:rPr>
              <w:t>Past</w:t>
            </w:r>
            <w:r>
              <w:rPr>
                <w:spacing w:val="1"/>
                <w:sz w:val="22"/>
              </w:rPr>
              <w:t> </w:t>
            </w:r>
            <w:r>
              <w:rPr>
                <w:spacing w:val="-2"/>
                <w:sz w:val="22"/>
              </w:rPr>
              <w:t>Performance</w:t>
            </w:r>
          </w:p>
          <w:p>
            <w:pPr>
              <w:pStyle w:val="TableParagraph"/>
              <w:numPr>
                <w:ilvl w:val="0"/>
                <w:numId w:val="89"/>
              </w:numPr>
              <w:tabs>
                <w:tab w:pos="610" w:val="left" w:leader="none"/>
              </w:tabs>
              <w:spacing w:line="252" w:lineRule="exact" w:before="0" w:after="0"/>
              <w:ind w:left="610" w:right="0" w:hanging="359"/>
              <w:jc w:val="left"/>
              <w:rPr>
                <w:sz w:val="22"/>
              </w:rPr>
            </w:pPr>
            <w:r>
              <w:rPr>
                <w:sz w:val="22"/>
              </w:rPr>
              <w:t>Needs</w:t>
            </w:r>
            <w:r>
              <w:rPr>
                <w:spacing w:val="-2"/>
                <w:sz w:val="22"/>
              </w:rPr>
              <w:t> assessment</w:t>
            </w:r>
          </w:p>
          <w:p>
            <w:pPr>
              <w:pStyle w:val="TableParagraph"/>
              <w:numPr>
                <w:ilvl w:val="0"/>
                <w:numId w:val="89"/>
              </w:numPr>
              <w:tabs>
                <w:tab w:pos="608" w:val="left" w:leader="none"/>
                <w:tab w:pos="611" w:val="left" w:leader="none"/>
              </w:tabs>
              <w:spacing w:line="240" w:lineRule="auto" w:before="0" w:after="0"/>
              <w:ind w:left="611" w:right="575" w:hanging="360"/>
              <w:jc w:val="left"/>
              <w:rPr>
                <w:sz w:val="22"/>
              </w:rPr>
            </w:pPr>
            <w:r>
              <w:rPr>
                <w:spacing w:val="-2"/>
                <w:sz w:val="22"/>
              </w:rPr>
              <w:t>Established percentage/formula</w:t>
            </w:r>
          </w:p>
          <w:p>
            <w:pPr>
              <w:pStyle w:val="TableParagraph"/>
              <w:numPr>
                <w:ilvl w:val="0"/>
                <w:numId w:val="89"/>
              </w:numPr>
              <w:tabs>
                <w:tab w:pos="609" w:val="left" w:leader="none"/>
              </w:tabs>
              <w:spacing w:line="240" w:lineRule="auto" w:before="0" w:after="0"/>
              <w:ind w:left="609" w:right="0" w:hanging="358"/>
              <w:jc w:val="left"/>
              <w:rPr>
                <w:sz w:val="22"/>
              </w:rPr>
            </w:pPr>
            <w:r>
              <w:rPr>
                <w:sz w:val="22"/>
              </w:rPr>
              <w:t>Governor‘s</w:t>
            </w:r>
            <w:r>
              <w:rPr>
                <w:spacing w:val="-6"/>
                <w:sz w:val="22"/>
              </w:rPr>
              <w:t> </w:t>
            </w:r>
            <w:r>
              <w:rPr>
                <w:spacing w:val="-2"/>
                <w:sz w:val="22"/>
              </w:rPr>
              <w:t>discretion</w:t>
            </w:r>
          </w:p>
          <w:p>
            <w:pPr>
              <w:pStyle w:val="TableParagraph"/>
              <w:numPr>
                <w:ilvl w:val="0"/>
                <w:numId w:val="89"/>
              </w:numPr>
              <w:tabs>
                <w:tab w:pos="609" w:val="left" w:leader="none"/>
              </w:tabs>
              <w:spacing w:line="252" w:lineRule="exact" w:before="1" w:after="0"/>
              <w:ind w:left="609" w:right="0" w:hanging="358"/>
              <w:jc w:val="left"/>
              <w:rPr>
                <w:sz w:val="22"/>
              </w:rPr>
            </w:pPr>
            <w:r>
              <w:rPr>
                <w:sz w:val="22"/>
              </w:rPr>
              <w:t>No</w:t>
            </w:r>
            <w:r>
              <w:rPr>
                <w:spacing w:val="-4"/>
                <w:sz w:val="22"/>
              </w:rPr>
              <w:t> </w:t>
            </w:r>
            <w:r>
              <w:rPr>
                <w:spacing w:val="-2"/>
                <w:sz w:val="22"/>
              </w:rPr>
              <w:t>criteria</w:t>
            </w:r>
          </w:p>
          <w:p>
            <w:pPr>
              <w:pStyle w:val="TableParagraph"/>
              <w:numPr>
                <w:ilvl w:val="0"/>
                <w:numId w:val="89"/>
              </w:numPr>
              <w:tabs>
                <w:tab w:pos="608" w:val="left" w:leader="none"/>
              </w:tabs>
              <w:spacing w:line="238" w:lineRule="exact" w:before="0" w:after="0"/>
              <w:ind w:left="608" w:right="0" w:hanging="357"/>
              <w:jc w:val="left"/>
              <w:rPr>
                <w:sz w:val="22"/>
              </w:rPr>
            </w:pPr>
            <w:r>
              <w:rPr>
                <w:sz w:val="22"/>
              </w:rPr>
              <w:t>No</w:t>
            </w:r>
            <w:r>
              <w:rPr>
                <w:spacing w:val="-2"/>
                <w:sz w:val="22"/>
              </w:rPr>
              <w:t> </w:t>
            </w:r>
            <w:r>
              <w:rPr>
                <w:spacing w:val="-4"/>
                <w:sz w:val="22"/>
              </w:rPr>
              <w:t>idea</w:t>
            </w:r>
          </w:p>
        </w:tc>
        <w:tc>
          <w:tcPr>
            <w:tcW w:w="2085" w:type="dxa"/>
            <w:shd w:val="clear" w:color="auto" w:fill="C0C0C0"/>
          </w:tcPr>
          <w:p>
            <w:pPr>
              <w:pStyle w:val="TableParagraph"/>
              <w:spacing w:line="234" w:lineRule="exact"/>
              <w:ind w:left="341"/>
              <w:rPr>
                <w:sz w:val="22"/>
              </w:rPr>
            </w:pPr>
            <w:r>
              <w:rPr>
                <w:spacing w:val="-5"/>
                <w:sz w:val="22"/>
              </w:rPr>
              <w:t>10</w:t>
            </w:r>
          </w:p>
        </w:tc>
        <w:tc>
          <w:tcPr>
            <w:tcW w:w="1480" w:type="dxa"/>
            <w:shd w:val="clear" w:color="auto" w:fill="C0C0C0"/>
          </w:tcPr>
          <w:p>
            <w:pPr>
              <w:pStyle w:val="TableParagraph"/>
              <w:spacing w:line="234" w:lineRule="exact"/>
              <w:ind w:left="258"/>
              <w:rPr>
                <w:sz w:val="22"/>
              </w:rPr>
            </w:pPr>
            <w:r>
              <w:rPr>
                <w:spacing w:val="-4"/>
                <w:sz w:val="22"/>
              </w:rPr>
              <w:t>6.00</w:t>
            </w:r>
          </w:p>
        </w:tc>
      </w:tr>
      <w:tr>
        <w:trPr>
          <w:trHeight w:val="253" w:hRule="atLeast"/>
        </w:trPr>
        <w:tc>
          <w:tcPr>
            <w:tcW w:w="2823" w:type="dxa"/>
            <w:shd w:val="clear" w:color="auto" w:fill="C0C0C0"/>
          </w:tcPr>
          <w:p>
            <w:pPr>
              <w:pStyle w:val="TableParagraph"/>
              <w:spacing w:line="233" w:lineRule="exact"/>
              <w:ind w:left="122"/>
              <w:rPr>
                <w:b/>
                <w:sz w:val="22"/>
              </w:rPr>
            </w:pPr>
            <w:r>
              <w:rPr>
                <w:b/>
                <w:sz w:val="22"/>
              </w:rPr>
              <w:t>criterion(a)</w:t>
            </w:r>
            <w:r>
              <w:rPr>
                <w:b/>
                <w:spacing w:val="-5"/>
                <w:sz w:val="22"/>
              </w:rPr>
              <w:t> </w:t>
            </w:r>
            <w:r>
              <w:rPr>
                <w:b/>
                <w:sz w:val="22"/>
              </w:rPr>
              <w:t>is</w:t>
            </w:r>
            <w:r>
              <w:rPr>
                <w:b/>
                <w:spacing w:val="-5"/>
                <w:sz w:val="22"/>
              </w:rPr>
              <w:t> the</w:t>
            </w:r>
          </w:p>
        </w:tc>
        <w:tc>
          <w:tcPr>
            <w:tcW w:w="2899" w:type="dxa"/>
            <w:gridSpan w:val="2"/>
            <w:vMerge/>
            <w:tcBorders>
              <w:top w:val="nil"/>
            </w:tcBorders>
            <w:shd w:val="clear" w:color="auto" w:fill="C0C0C0"/>
          </w:tcPr>
          <w:p>
            <w:pPr>
              <w:rPr>
                <w:sz w:val="2"/>
                <w:szCs w:val="2"/>
              </w:rPr>
            </w:pPr>
          </w:p>
        </w:tc>
        <w:tc>
          <w:tcPr>
            <w:tcW w:w="2085" w:type="dxa"/>
            <w:shd w:val="clear" w:color="auto" w:fill="C0C0C0"/>
          </w:tcPr>
          <w:p>
            <w:pPr>
              <w:pStyle w:val="TableParagraph"/>
              <w:spacing w:line="233" w:lineRule="exact"/>
              <w:ind w:left="341"/>
              <w:rPr>
                <w:sz w:val="22"/>
              </w:rPr>
            </w:pPr>
            <w:r>
              <w:rPr>
                <w:spacing w:val="-5"/>
                <w:sz w:val="22"/>
              </w:rPr>
              <w:t>52</w:t>
            </w:r>
          </w:p>
        </w:tc>
        <w:tc>
          <w:tcPr>
            <w:tcW w:w="1480" w:type="dxa"/>
            <w:shd w:val="clear" w:color="auto" w:fill="C0C0C0"/>
          </w:tcPr>
          <w:p>
            <w:pPr>
              <w:pStyle w:val="TableParagraph"/>
              <w:spacing w:line="233" w:lineRule="exact"/>
              <w:ind w:left="148"/>
              <w:rPr>
                <w:sz w:val="22"/>
              </w:rPr>
            </w:pPr>
            <w:r>
              <w:rPr>
                <w:spacing w:val="-2"/>
                <w:sz w:val="22"/>
              </w:rPr>
              <w:t>33.00</w:t>
            </w:r>
          </w:p>
        </w:tc>
      </w:tr>
      <w:tr>
        <w:trPr>
          <w:trHeight w:val="253" w:hRule="atLeast"/>
        </w:trPr>
        <w:tc>
          <w:tcPr>
            <w:tcW w:w="2823" w:type="dxa"/>
            <w:shd w:val="clear" w:color="auto" w:fill="C0C0C0"/>
          </w:tcPr>
          <w:p>
            <w:pPr>
              <w:pStyle w:val="TableParagraph"/>
              <w:spacing w:line="233" w:lineRule="exact"/>
              <w:ind w:left="122"/>
              <w:rPr>
                <w:b/>
                <w:sz w:val="22"/>
              </w:rPr>
            </w:pPr>
            <w:r>
              <w:rPr>
                <w:b/>
                <w:sz w:val="22"/>
              </w:rPr>
              <w:t>stipulation</w:t>
            </w:r>
            <w:r>
              <w:rPr>
                <w:b/>
                <w:spacing w:val="-4"/>
                <w:sz w:val="22"/>
              </w:rPr>
              <w:t> </w:t>
            </w:r>
            <w:r>
              <w:rPr>
                <w:b/>
                <w:sz w:val="22"/>
              </w:rPr>
              <w:t>of</w:t>
            </w:r>
            <w:r>
              <w:rPr>
                <w:b/>
                <w:spacing w:val="-4"/>
                <w:sz w:val="22"/>
              </w:rPr>
              <w:t> </w:t>
            </w:r>
            <w:r>
              <w:rPr>
                <w:b/>
                <w:sz w:val="22"/>
              </w:rPr>
              <w:t>the</w:t>
            </w:r>
            <w:r>
              <w:rPr>
                <w:b/>
                <w:spacing w:val="-3"/>
                <w:sz w:val="22"/>
              </w:rPr>
              <w:t> </w:t>
            </w:r>
            <w:r>
              <w:rPr>
                <w:b/>
                <w:spacing w:val="-2"/>
                <w:sz w:val="22"/>
              </w:rPr>
              <w:t>annual</w:t>
            </w:r>
          </w:p>
        </w:tc>
        <w:tc>
          <w:tcPr>
            <w:tcW w:w="2899" w:type="dxa"/>
            <w:gridSpan w:val="2"/>
            <w:vMerge/>
            <w:tcBorders>
              <w:top w:val="nil"/>
            </w:tcBorders>
            <w:shd w:val="clear" w:color="auto" w:fill="C0C0C0"/>
          </w:tcPr>
          <w:p>
            <w:pPr>
              <w:rPr>
                <w:sz w:val="2"/>
                <w:szCs w:val="2"/>
              </w:rPr>
            </w:pPr>
          </w:p>
        </w:tc>
        <w:tc>
          <w:tcPr>
            <w:tcW w:w="2085" w:type="dxa"/>
            <w:shd w:val="clear" w:color="auto" w:fill="C0C0C0"/>
          </w:tcPr>
          <w:p>
            <w:pPr>
              <w:pStyle w:val="TableParagraph"/>
              <w:spacing w:line="233" w:lineRule="exact"/>
              <w:ind w:left="341"/>
              <w:rPr>
                <w:sz w:val="22"/>
              </w:rPr>
            </w:pPr>
            <w:r>
              <w:rPr>
                <w:spacing w:val="-10"/>
                <w:sz w:val="22"/>
              </w:rPr>
              <w:t>0</w:t>
            </w:r>
          </w:p>
        </w:tc>
        <w:tc>
          <w:tcPr>
            <w:tcW w:w="1480" w:type="dxa"/>
            <w:shd w:val="clear" w:color="auto" w:fill="C0C0C0"/>
          </w:tcPr>
          <w:p>
            <w:pPr>
              <w:pStyle w:val="TableParagraph"/>
              <w:spacing w:line="233" w:lineRule="exact"/>
              <w:ind w:left="258"/>
              <w:rPr>
                <w:sz w:val="22"/>
              </w:rPr>
            </w:pPr>
            <w:r>
              <w:rPr>
                <w:spacing w:val="-4"/>
                <w:sz w:val="22"/>
              </w:rPr>
              <w:t>0.00</w:t>
            </w:r>
          </w:p>
        </w:tc>
      </w:tr>
      <w:tr>
        <w:trPr>
          <w:trHeight w:val="253" w:hRule="atLeast"/>
        </w:trPr>
        <w:tc>
          <w:tcPr>
            <w:tcW w:w="2823" w:type="dxa"/>
            <w:shd w:val="clear" w:color="auto" w:fill="C0C0C0"/>
          </w:tcPr>
          <w:p>
            <w:pPr>
              <w:pStyle w:val="TableParagraph"/>
              <w:spacing w:line="233" w:lineRule="exact"/>
              <w:ind w:left="122"/>
              <w:rPr>
                <w:b/>
                <w:sz w:val="22"/>
              </w:rPr>
            </w:pPr>
            <w:r>
              <w:rPr>
                <w:b/>
                <w:sz w:val="22"/>
              </w:rPr>
              <w:t>housing</w:t>
            </w:r>
            <w:r>
              <w:rPr>
                <w:b/>
                <w:spacing w:val="-4"/>
                <w:sz w:val="22"/>
              </w:rPr>
              <w:t> </w:t>
            </w:r>
            <w:r>
              <w:rPr>
                <w:b/>
                <w:sz w:val="22"/>
              </w:rPr>
              <w:t>budget</w:t>
            </w:r>
            <w:r>
              <w:rPr>
                <w:b/>
                <w:spacing w:val="-5"/>
                <w:sz w:val="22"/>
              </w:rPr>
              <w:t> </w:t>
            </w:r>
            <w:r>
              <w:rPr>
                <w:b/>
                <w:sz w:val="22"/>
              </w:rPr>
              <w:t>ceilings</w:t>
            </w:r>
            <w:r>
              <w:rPr>
                <w:b/>
                <w:spacing w:val="-3"/>
                <w:sz w:val="22"/>
              </w:rPr>
              <w:t> </w:t>
            </w:r>
            <w:r>
              <w:rPr>
                <w:b/>
                <w:spacing w:val="-5"/>
                <w:sz w:val="22"/>
              </w:rPr>
              <w:t>and</w:t>
            </w:r>
          </w:p>
        </w:tc>
        <w:tc>
          <w:tcPr>
            <w:tcW w:w="2899" w:type="dxa"/>
            <w:gridSpan w:val="2"/>
            <w:vMerge/>
            <w:tcBorders>
              <w:top w:val="nil"/>
            </w:tcBorders>
            <w:shd w:val="clear" w:color="auto" w:fill="C0C0C0"/>
          </w:tcPr>
          <w:p>
            <w:pPr>
              <w:rPr>
                <w:sz w:val="2"/>
                <w:szCs w:val="2"/>
              </w:rPr>
            </w:pPr>
          </w:p>
        </w:tc>
        <w:tc>
          <w:tcPr>
            <w:tcW w:w="2085" w:type="dxa"/>
            <w:shd w:val="clear" w:color="auto" w:fill="C0C0C0"/>
          </w:tcPr>
          <w:p>
            <w:pPr>
              <w:pStyle w:val="TableParagraph"/>
              <w:spacing w:line="233" w:lineRule="exact"/>
              <w:ind w:left="341"/>
              <w:rPr>
                <w:sz w:val="22"/>
              </w:rPr>
            </w:pPr>
            <w:r>
              <w:rPr>
                <w:spacing w:val="-10"/>
                <w:sz w:val="22"/>
              </w:rPr>
              <w:t>0</w:t>
            </w:r>
          </w:p>
        </w:tc>
        <w:tc>
          <w:tcPr>
            <w:tcW w:w="1480" w:type="dxa"/>
            <w:shd w:val="clear" w:color="auto" w:fill="C0C0C0"/>
          </w:tcPr>
          <w:p>
            <w:pPr>
              <w:pStyle w:val="TableParagraph"/>
              <w:spacing w:line="233" w:lineRule="exact"/>
              <w:ind w:left="258"/>
              <w:rPr>
                <w:sz w:val="22"/>
              </w:rPr>
            </w:pPr>
            <w:r>
              <w:rPr>
                <w:spacing w:val="-4"/>
                <w:sz w:val="22"/>
              </w:rPr>
              <w:t>0.00</w:t>
            </w:r>
          </w:p>
        </w:tc>
      </w:tr>
      <w:tr>
        <w:trPr>
          <w:trHeight w:val="379" w:hRule="atLeast"/>
        </w:trPr>
        <w:tc>
          <w:tcPr>
            <w:tcW w:w="2823" w:type="dxa"/>
            <w:shd w:val="clear" w:color="auto" w:fill="C0C0C0"/>
          </w:tcPr>
          <w:p>
            <w:pPr>
              <w:pStyle w:val="TableParagraph"/>
              <w:spacing w:line="250" w:lineRule="exact"/>
              <w:ind w:left="122"/>
              <w:rPr>
                <w:b/>
                <w:sz w:val="22"/>
              </w:rPr>
            </w:pPr>
            <w:r>
              <w:rPr>
                <w:b/>
                <w:sz w:val="22"/>
              </w:rPr>
              <w:t>allocations</w:t>
            </w:r>
            <w:r>
              <w:rPr>
                <w:b/>
                <w:spacing w:val="-5"/>
                <w:sz w:val="22"/>
              </w:rPr>
              <w:t> </w:t>
            </w:r>
            <w:r>
              <w:rPr>
                <w:b/>
                <w:spacing w:val="-2"/>
                <w:sz w:val="22"/>
              </w:rPr>
              <w:t>based?</w:t>
            </w:r>
          </w:p>
        </w:tc>
        <w:tc>
          <w:tcPr>
            <w:tcW w:w="2899" w:type="dxa"/>
            <w:gridSpan w:val="2"/>
            <w:vMerge/>
            <w:tcBorders>
              <w:top w:val="nil"/>
            </w:tcBorders>
            <w:shd w:val="clear" w:color="auto" w:fill="C0C0C0"/>
          </w:tcPr>
          <w:p>
            <w:pPr>
              <w:rPr>
                <w:sz w:val="2"/>
                <w:szCs w:val="2"/>
              </w:rPr>
            </w:pPr>
          </w:p>
        </w:tc>
        <w:tc>
          <w:tcPr>
            <w:tcW w:w="2085" w:type="dxa"/>
            <w:shd w:val="clear" w:color="auto" w:fill="C0C0C0"/>
          </w:tcPr>
          <w:p>
            <w:pPr>
              <w:pStyle w:val="TableParagraph"/>
              <w:spacing w:line="246" w:lineRule="exact"/>
              <w:ind w:left="341"/>
              <w:rPr>
                <w:sz w:val="22"/>
              </w:rPr>
            </w:pPr>
            <w:r>
              <w:rPr>
                <w:spacing w:val="-10"/>
                <w:sz w:val="22"/>
              </w:rPr>
              <w:t>0</w:t>
            </w:r>
          </w:p>
        </w:tc>
        <w:tc>
          <w:tcPr>
            <w:tcW w:w="1480" w:type="dxa"/>
            <w:shd w:val="clear" w:color="auto" w:fill="C0C0C0"/>
          </w:tcPr>
          <w:p>
            <w:pPr>
              <w:pStyle w:val="TableParagraph"/>
              <w:spacing w:line="246" w:lineRule="exact"/>
              <w:ind w:left="258"/>
              <w:rPr>
                <w:sz w:val="22"/>
              </w:rPr>
            </w:pPr>
            <w:r>
              <w:rPr>
                <w:spacing w:val="-4"/>
                <w:sz w:val="22"/>
              </w:rPr>
              <w:t>0.00</w:t>
            </w:r>
          </w:p>
        </w:tc>
      </w:tr>
      <w:tr>
        <w:trPr>
          <w:trHeight w:val="376" w:hRule="atLeast"/>
        </w:trPr>
        <w:tc>
          <w:tcPr>
            <w:tcW w:w="2823" w:type="dxa"/>
            <w:shd w:val="clear" w:color="auto" w:fill="C0C0C0"/>
          </w:tcPr>
          <w:p>
            <w:pPr>
              <w:pStyle w:val="TableParagraph"/>
              <w:rPr>
                <w:sz w:val="22"/>
              </w:rPr>
            </w:pPr>
          </w:p>
        </w:tc>
        <w:tc>
          <w:tcPr>
            <w:tcW w:w="2899" w:type="dxa"/>
            <w:gridSpan w:val="2"/>
            <w:vMerge/>
            <w:tcBorders>
              <w:top w:val="nil"/>
            </w:tcBorders>
            <w:shd w:val="clear" w:color="auto" w:fill="C0C0C0"/>
          </w:tcPr>
          <w:p>
            <w:pPr>
              <w:rPr>
                <w:sz w:val="2"/>
                <w:szCs w:val="2"/>
              </w:rPr>
            </w:pPr>
          </w:p>
        </w:tc>
        <w:tc>
          <w:tcPr>
            <w:tcW w:w="2085" w:type="dxa"/>
            <w:shd w:val="clear" w:color="auto" w:fill="C0C0C0"/>
          </w:tcPr>
          <w:p>
            <w:pPr>
              <w:pStyle w:val="TableParagraph"/>
              <w:spacing w:line="237" w:lineRule="exact" w:before="120"/>
              <w:ind w:left="341"/>
              <w:rPr>
                <w:sz w:val="22"/>
              </w:rPr>
            </w:pPr>
            <w:r>
              <w:rPr>
                <w:spacing w:val="-10"/>
                <w:sz w:val="22"/>
              </w:rPr>
              <w:t>0</w:t>
            </w:r>
          </w:p>
        </w:tc>
        <w:tc>
          <w:tcPr>
            <w:tcW w:w="1480" w:type="dxa"/>
            <w:shd w:val="clear" w:color="auto" w:fill="C0C0C0"/>
          </w:tcPr>
          <w:p>
            <w:pPr>
              <w:pStyle w:val="TableParagraph"/>
              <w:spacing w:line="237" w:lineRule="exact" w:before="120"/>
              <w:ind w:left="258"/>
              <w:rPr>
                <w:sz w:val="22"/>
              </w:rPr>
            </w:pPr>
            <w:r>
              <w:rPr>
                <w:spacing w:val="-4"/>
                <w:sz w:val="22"/>
              </w:rPr>
              <w:t>0.00</w:t>
            </w:r>
          </w:p>
        </w:tc>
      </w:tr>
      <w:tr>
        <w:trPr>
          <w:trHeight w:val="253" w:hRule="atLeast"/>
        </w:trPr>
        <w:tc>
          <w:tcPr>
            <w:tcW w:w="2823" w:type="dxa"/>
            <w:shd w:val="clear" w:color="auto" w:fill="C0C0C0"/>
          </w:tcPr>
          <w:p>
            <w:pPr>
              <w:pStyle w:val="TableParagraph"/>
              <w:rPr>
                <w:sz w:val="18"/>
              </w:rPr>
            </w:pPr>
          </w:p>
        </w:tc>
        <w:tc>
          <w:tcPr>
            <w:tcW w:w="2899" w:type="dxa"/>
            <w:gridSpan w:val="2"/>
            <w:vMerge/>
            <w:tcBorders>
              <w:top w:val="nil"/>
            </w:tcBorders>
            <w:shd w:val="clear" w:color="auto" w:fill="C0C0C0"/>
          </w:tcPr>
          <w:p>
            <w:pPr>
              <w:rPr>
                <w:sz w:val="2"/>
                <w:szCs w:val="2"/>
              </w:rPr>
            </w:pPr>
          </w:p>
        </w:tc>
        <w:tc>
          <w:tcPr>
            <w:tcW w:w="2085" w:type="dxa"/>
            <w:shd w:val="clear" w:color="auto" w:fill="C0C0C0"/>
          </w:tcPr>
          <w:p>
            <w:pPr>
              <w:pStyle w:val="TableParagraph"/>
              <w:spacing w:line="233" w:lineRule="exact"/>
              <w:ind w:left="341"/>
              <w:rPr>
                <w:sz w:val="22"/>
              </w:rPr>
            </w:pPr>
            <w:r>
              <w:rPr>
                <w:spacing w:val="-5"/>
                <w:sz w:val="22"/>
              </w:rPr>
              <w:t>68</w:t>
            </w:r>
          </w:p>
        </w:tc>
        <w:tc>
          <w:tcPr>
            <w:tcW w:w="1480" w:type="dxa"/>
            <w:shd w:val="clear" w:color="auto" w:fill="C0C0C0"/>
          </w:tcPr>
          <w:p>
            <w:pPr>
              <w:pStyle w:val="TableParagraph"/>
              <w:spacing w:line="233" w:lineRule="exact"/>
              <w:ind w:left="148"/>
              <w:rPr>
                <w:sz w:val="22"/>
              </w:rPr>
            </w:pPr>
            <w:r>
              <w:rPr>
                <w:spacing w:val="-2"/>
                <w:sz w:val="22"/>
              </w:rPr>
              <w:t>44.00</w:t>
            </w:r>
          </w:p>
        </w:tc>
      </w:tr>
      <w:tr>
        <w:trPr>
          <w:trHeight w:val="253" w:hRule="atLeast"/>
        </w:trPr>
        <w:tc>
          <w:tcPr>
            <w:tcW w:w="2823" w:type="dxa"/>
            <w:shd w:val="clear" w:color="auto" w:fill="C0C0C0"/>
          </w:tcPr>
          <w:p>
            <w:pPr>
              <w:pStyle w:val="TableParagraph"/>
              <w:rPr>
                <w:sz w:val="18"/>
              </w:rPr>
            </w:pPr>
          </w:p>
        </w:tc>
        <w:tc>
          <w:tcPr>
            <w:tcW w:w="2899" w:type="dxa"/>
            <w:gridSpan w:val="2"/>
            <w:vMerge/>
            <w:tcBorders>
              <w:top w:val="nil"/>
            </w:tcBorders>
            <w:shd w:val="clear" w:color="auto" w:fill="C0C0C0"/>
          </w:tcPr>
          <w:p>
            <w:pPr>
              <w:rPr>
                <w:sz w:val="2"/>
                <w:szCs w:val="2"/>
              </w:rPr>
            </w:pPr>
          </w:p>
        </w:tc>
        <w:tc>
          <w:tcPr>
            <w:tcW w:w="2085" w:type="dxa"/>
            <w:shd w:val="clear" w:color="auto" w:fill="C0C0C0"/>
          </w:tcPr>
          <w:p>
            <w:pPr>
              <w:pStyle w:val="TableParagraph"/>
              <w:spacing w:line="233" w:lineRule="exact"/>
              <w:ind w:left="341"/>
              <w:rPr>
                <w:sz w:val="22"/>
              </w:rPr>
            </w:pPr>
            <w:r>
              <w:rPr>
                <w:spacing w:val="-5"/>
                <w:sz w:val="22"/>
              </w:rPr>
              <w:t>15</w:t>
            </w:r>
          </w:p>
        </w:tc>
        <w:tc>
          <w:tcPr>
            <w:tcW w:w="1480" w:type="dxa"/>
            <w:shd w:val="clear" w:color="auto" w:fill="C0C0C0"/>
          </w:tcPr>
          <w:p>
            <w:pPr>
              <w:pStyle w:val="TableParagraph"/>
              <w:spacing w:line="233" w:lineRule="exact"/>
              <w:ind w:left="148"/>
              <w:rPr>
                <w:sz w:val="22"/>
              </w:rPr>
            </w:pPr>
            <w:r>
              <w:rPr>
                <w:spacing w:val="-2"/>
                <w:sz w:val="22"/>
              </w:rPr>
              <w:t>10.00</w:t>
            </w:r>
          </w:p>
        </w:tc>
      </w:tr>
      <w:tr>
        <w:trPr>
          <w:trHeight w:val="253" w:hRule="atLeast"/>
        </w:trPr>
        <w:tc>
          <w:tcPr>
            <w:tcW w:w="2823" w:type="dxa"/>
            <w:shd w:val="clear" w:color="auto" w:fill="C0C0C0"/>
          </w:tcPr>
          <w:p>
            <w:pPr>
              <w:pStyle w:val="TableParagraph"/>
              <w:rPr>
                <w:sz w:val="18"/>
              </w:rPr>
            </w:pPr>
          </w:p>
        </w:tc>
        <w:tc>
          <w:tcPr>
            <w:tcW w:w="2899" w:type="dxa"/>
            <w:gridSpan w:val="2"/>
            <w:vMerge/>
            <w:tcBorders>
              <w:top w:val="nil"/>
            </w:tcBorders>
            <w:shd w:val="clear" w:color="auto" w:fill="C0C0C0"/>
          </w:tcPr>
          <w:p>
            <w:pPr>
              <w:rPr>
                <w:sz w:val="2"/>
                <w:szCs w:val="2"/>
              </w:rPr>
            </w:pPr>
          </w:p>
        </w:tc>
        <w:tc>
          <w:tcPr>
            <w:tcW w:w="2085" w:type="dxa"/>
            <w:shd w:val="clear" w:color="auto" w:fill="C0C0C0"/>
          </w:tcPr>
          <w:p>
            <w:pPr>
              <w:pStyle w:val="TableParagraph"/>
              <w:spacing w:line="233" w:lineRule="exact"/>
              <w:ind w:left="341"/>
              <w:rPr>
                <w:sz w:val="22"/>
              </w:rPr>
            </w:pPr>
            <w:r>
              <w:rPr>
                <w:spacing w:val="-5"/>
                <w:sz w:val="22"/>
              </w:rPr>
              <w:t>11</w:t>
            </w:r>
          </w:p>
        </w:tc>
        <w:tc>
          <w:tcPr>
            <w:tcW w:w="1480" w:type="dxa"/>
            <w:shd w:val="clear" w:color="auto" w:fill="C0C0C0"/>
          </w:tcPr>
          <w:p>
            <w:pPr>
              <w:pStyle w:val="TableParagraph"/>
              <w:spacing w:line="233" w:lineRule="exact"/>
              <w:ind w:left="258"/>
              <w:rPr>
                <w:sz w:val="22"/>
              </w:rPr>
            </w:pPr>
            <w:r>
              <w:rPr>
                <w:spacing w:val="-4"/>
                <w:sz w:val="22"/>
              </w:rPr>
              <w:t>7.00</w:t>
            </w:r>
          </w:p>
        </w:tc>
      </w:tr>
      <w:tr>
        <w:trPr>
          <w:trHeight w:val="550" w:hRule="atLeast"/>
        </w:trPr>
        <w:tc>
          <w:tcPr>
            <w:tcW w:w="2823" w:type="dxa"/>
          </w:tcPr>
          <w:p>
            <w:pPr>
              <w:pStyle w:val="TableParagraph"/>
              <w:spacing w:line="252" w:lineRule="exact"/>
              <w:ind w:left="465"/>
              <w:rPr>
                <w:b/>
                <w:sz w:val="22"/>
              </w:rPr>
            </w:pPr>
            <w:r>
              <w:rPr>
                <w:b/>
                <w:spacing w:val="-2"/>
                <w:sz w:val="22"/>
              </w:rPr>
              <w:t>Total</w:t>
            </w:r>
          </w:p>
        </w:tc>
        <w:tc>
          <w:tcPr>
            <w:tcW w:w="563" w:type="dxa"/>
          </w:tcPr>
          <w:p>
            <w:pPr>
              <w:pStyle w:val="TableParagraph"/>
              <w:rPr>
                <w:sz w:val="22"/>
              </w:rPr>
            </w:pPr>
          </w:p>
        </w:tc>
        <w:tc>
          <w:tcPr>
            <w:tcW w:w="2336" w:type="dxa"/>
          </w:tcPr>
          <w:p>
            <w:pPr>
              <w:pStyle w:val="TableParagraph"/>
              <w:rPr>
                <w:sz w:val="22"/>
              </w:rPr>
            </w:pPr>
          </w:p>
        </w:tc>
        <w:tc>
          <w:tcPr>
            <w:tcW w:w="2085" w:type="dxa"/>
          </w:tcPr>
          <w:p>
            <w:pPr>
              <w:pStyle w:val="TableParagraph"/>
              <w:spacing w:line="247" w:lineRule="exact"/>
              <w:ind w:left="341"/>
              <w:rPr>
                <w:sz w:val="22"/>
              </w:rPr>
            </w:pPr>
            <w:r>
              <w:rPr>
                <w:spacing w:val="-5"/>
                <w:sz w:val="22"/>
              </w:rPr>
              <w:t>156</w:t>
            </w:r>
          </w:p>
        </w:tc>
        <w:tc>
          <w:tcPr>
            <w:tcW w:w="1480" w:type="dxa"/>
          </w:tcPr>
          <w:p>
            <w:pPr>
              <w:pStyle w:val="TableParagraph"/>
              <w:spacing w:line="247" w:lineRule="exact"/>
              <w:ind w:left="148"/>
              <w:rPr>
                <w:sz w:val="22"/>
              </w:rPr>
            </w:pPr>
            <w:r>
              <w:rPr>
                <w:spacing w:val="-4"/>
                <w:sz w:val="22"/>
              </w:rPr>
              <w:t>100%</w:t>
            </w:r>
          </w:p>
        </w:tc>
      </w:tr>
      <w:tr>
        <w:trPr>
          <w:trHeight w:val="263" w:hRule="atLeast"/>
        </w:trPr>
        <w:tc>
          <w:tcPr>
            <w:tcW w:w="2823" w:type="dxa"/>
            <w:shd w:val="clear" w:color="auto" w:fill="C0C0C0"/>
          </w:tcPr>
          <w:p>
            <w:pPr>
              <w:pStyle w:val="TableParagraph"/>
              <w:spacing w:line="244" w:lineRule="exact"/>
              <w:ind w:left="122"/>
              <w:rPr>
                <w:b/>
                <w:sz w:val="22"/>
              </w:rPr>
            </w:pPr>
            <w:r>
              <w:rPr>
                <w:b/>
                <w:sz w:val="22"/>
              </w:rPr>
              <w:t>How</w:t>
            </w:r>
            <w:r>
              <w:rPr>
                <w:b/>
                <w:spacing w:val="-7"/>
                <w:sz w:val="22"/>
              </w:rPr>
              <w:t> </w:t>
            </w:r>
            <w:r>
              <w:rPr>
                <w:b/>
                <w:sz w:val="22"/>
              </w:rPr>
              <w:t>will</w:t>
            </w:r>
            <w:r>
              <w:rPr>
                <w:b/>
                <w:spacing w:val="-1"/>
                <w:sz w:val="22"/>
              </w:rPr>
              <w:t> </w:t>
            </w:r>
            <w:r>
              <w:rPr>
                <w:b/>
                <w:sz w:val="22"/>
              </w:rPr>
              <w:t>you</w:t>
            </w:r>
            <w:r>
              <w:rPr>
                <w:b/>
                <w:spacing w:val="-3"/>
                <w:sz w:val="22"/>
              </w:rPr>
              <w:t> </w:t>
            </w:r>
            <w:r>
              <w:rPr>
                <w:b/>
                <w:sz w:val="22"/>
              </w:rPr>
              <w:t>rate</w:t>
            </w:r>
            <w:r>
              <w:rPr>
                <w:b/>
                <w:spacing w:val="-2"/>
                <w:sz w:val="22"/>
              </w:rPr>
              <w:t> </w:t>
            </w:r>
            <w:r>
              <w:rPr>
                <w:b/>
                <w:spacing w:val="-5"/>
                <w:sz w:val="22"/>
              </w:rPr>
              <w:t>the</w:t>
            </w:r>
          </w:p>
        </w:tc>
        <w:tc>
          <w:tcPr>
            <w:tcW w:w="2899" w:type="dxa"/>
            <w:gridSpan w:val="2"/>
            <w:shd w:val="clear" w:color="auto" w:fill="C0C0C0"/>
          </w:tcPr>
          <w:p>
            <w:pPr>
              <w:pStyle w:val="TableParagraph"/>
              <w:numPr>
                <w:ilvl w:val="0"/>
                <w:numId w:val="90"/>
              </w:numPr>
              <w:tabs>
                <w:tab w:pos="610" w:val="left" w:leader="none"/>
              </w:tabs>
              <w:spacing w:line="228" w:lineRule="exact" w:before="15" w:after="0"/>
              <w:ind w:left="610" w:right="0" w:hanging="359"/>
              <w:jc w:val="left"/>
              <w:rPr>
                <w:sz w:val="22"/>
              </w:rPr>
            </w:pPr>
            <w:r>
              <w:rPr>
                <w:sz w:val="22"/>
              </w:rPr>
              <w:t>0%</w:t>
            </w:r>
            <w:r>
              <w:rPr>
                <w:spacing w:val="1"/>
                <w:sz w:val="22"/>
              </w:rPr>
              <w:t> </w:t>
            </w:r>
            <w:r>
              <w:rPr>
                <w:sz w:val="22"/>
              </w:rPr>
              <w:t>– </w:t>
            </w:r>
            <w:r>
              <w:rPr>
                <w:spacing w:val="-5"/>
                <w:sz w:val="22"/>
              </w:rPr>
              <w:t>20%</w:t>
            </w:r>
          </w:p>
        </w:tc>
        <w:tc>
          <w:tcPr>
            <w:tcW w:w="2085" w:type="dxa"/>
            <w:shd w:val="clear" w:color="auto" w:fill="C0C0C0"/>
          </w:tcPr>
          <w:p>
            <w:pPr>
              <w:pStyle w:val="TableParagraph"/>
              <w:spacing w:line="228" w:lineRule="exact" w:before="15"/>
              <w:ind w:left="341"/>
              <w:rPr>
                <w:sz w:val="22"/>
              </w:rPr>
            </w:pPr>
            <w:r>
              <w:rPr>
                <w:spacing w:val="-5"/>
                <w:sz w:val="22"/>
              </w:rPr>
              <w:t>14</w:t>
            </w:r>
          </w:p>
        </w:tc>
        <w:tc>
          <w:tcPr>
            <w:tcW w:w="1480" w:type="dxa"/>
            <w:shd w:val="clear" w:color="auto" w:fill="C0C0C0"/>
          </w:tcPr>
          <w:p>
            <w:pPr>
              <w:pStyle w:val="TableParagraph"/>
              <w:spacing w:line="244" w:lineRule="exact"/>
              <w:ind w:left="258"/>
              <w:rPr>
                <w:sz w:val="22"/>
              </w:rPr>
            </w:pPr>
            <w:r>
              <w:rPr>
                <w:spacing w:val="-4"/>
                <w:sz w:val="22"/>
              </w:rPr>
              <w:t>9.00</w:t>
            </w:r>
          </w:p>
        </w:tc>
      </w:tr>
      <w:tr>
        <w:trPr>
          <w:trHeight w:val="254" w:hRule="atLeast"/>
        </w:trPr>
        <w:tc>
          <w:tcPr>
            <w:tcW w:w="2823" w:type="dxa"/>
            <w:shd w:val="clear" w:color="auto" w:fill="C0C0C0"/>
          </w:tcPr>
          <w:p>
            <w:pPr>
              <w:pStyle w:val="TableParagraph"/>
              <w:spacing w:line="234" w:lineRule="exact"/>
              <w:ind w:left="122"/>
              <w:rPr>
                <w:b/>
                <w:sz w:val="22"/>
              </w:rPr>
            </w:pPr>
            <w:r>
              <w:rPr>
                <w:b/>
                <w:sz w:val="22"/>
              </w:rPr>
              <w:t>general</w:t>
            </w:r>
            <w:r>
              <w:rPr>
                <w:b/>
                <w:spacing w:val="-3"/>
                <w:sz w:val="22"/>
              </w:rPr>
              <w:t> </w:t>
            </w:r>
            <w:r>
              <w:rPr>
                <w:b/>
                <w:sz w:val="22"/>
              </w:rPr>
              <w:t>level</w:t>
            </w:r>
            <w:r>
              <w:rPr>
                <w:b/>
                <w:spacing w:val="-2"/>
                <w:sz w:val="22"/>
              </w:rPr>
              <w:t> </w:t>
            </w:r>
            <w:r>
              <w:rPr>
                <w:b/>
                <w:spacing w:val="-5"/>
                <w:sz w:val="22"/>
              </w:rPr>
              <w:t>of</w:t>
            </w:r>
          </w:p>
        </w:tc>
        <w:tc>
          <w:tcPr>
            <w:tcW w:w="2899" w:type="dxa"/>
            <w:gridSpan w:val="2"/>
            <w:shd w:val="clear" w:color="auto" w:fill="C0C0C0"/>
          </w:tcPr>
          <w:p>
            <w:pPr>
              <w:pStyle w:val="TableParagraph"/>
              <w:spacing w:line="228" w:lineRule="exact" w:before="6"/>
              <w:ind w:left="251"/>
              <w:rPr>
                <w:sz w:val="22"/>
              </w:rPr>
            </w:pPr>
            <w:r>
              <w:rPr>
                <w:sz w:val="22"/>
              </w:rPr>
              <w:t>(b)</w:t>
            </w:r>
            <w:r>
              <w:rPr>
                <w:spacing w:val="46"/>
                <w:sz w:val="22"/>
              </w:rPr>
              <w:t> </w:t>
            </w:r>
            <w:r>
              <w:rPr>
                <w:sz w:val="22"/>
              </w:rPr>
              <w:t>20%</w:t>
            </w:r>
            <w:r>
              <w:rPr>
                <w:spacing w:val="1"/>
                <w:sz w:val="22"/>
              </w:rPr>
              <w:t> </w:t>
            </w:r>
            <w:r>
              <w:rPr>
                <w:sz w:val="22"/>
              </w:rPr>
              <w:t>– </w:t>
            </w:r>
            <w:r>
              <w:rPr>
                <w:spacing w:val="-5"/>
                <w:sz w:val="22"/>
              </w:rPr>
              <w:t>40%</w:t>
            </w:r>
          </w:p>
        </w:tc>
        <w:tc>
          <w:tcPr>
            <w:tcW w:w="2085" w:type="dxa"/>
            <w:shd w:val="clear" w:color="auto" w:fill="C0C0C0"/>
          </w:tcPr>
          <w:p>
            <w:pPr>
              <w:pStyle w:val="TableParagraph"/>
              <w:spacing w:line="228" w:lineRule="exact" w:before="6"/>
              <w:ind w:left="341"/>
              <w:rPr>
                <w:sz w:val="22"/>
              </w:rPr>
            </w:pPr>
            <w:r>
              <w:rPr>
                <w:spacing w:val="-5"/>
                <w:sz w:val="22"/>
              </w:rPr>
              <w:t>97</w:t>
            </w:r>
          </w:p>
        </w:tc>
        <w:tc>
          <w:tcPr>
            <w:tcW w:w="1480" w:type="dxa"/>
            <w:shd w:val="clear" w:color="auto" w:fill="C0C0C0"/>
          </w:tcPr>
          <w:p>
            <w:pPr>
              <w:pStyle w:val="TableParagraph"/>
              <w:spacing w:line="234" w:lineRule="exact"/>
              <w:ind w:left="148"/>
              <w:rPr>
                <w:sz w:val="22"/>
              </w:rPr>
            </w:pPr>
            <w:r>
              <w:rPr>
                <w:spacing w:val="-2"/>
                <w:sz w:val="22"/>
              </w:rPr>
              <w:t>62.00</w:t>
            </w:r>
          </w:p>
        </w:tc>
      </w:tr>
      <w:tr>
        <w:trPr>
          <w:trHeight w:val="252" w:hRule="atLeast"/>
        </w:trPr>
        <w:tc>
          <w:tcPr>
            <w:tcW w:w="2823" w:type="dxa"/>
            <w:shd w:val="clear" w:color="auto" w:fill="C0C0C0"/>
          </w:tcPr>
          <w:p>
            <w:pPr>
              <w:pStyle w:val="TableParagraph"/>
              <w:spacing w:line="232" w:lineRule="exact"/>
              <w:ind w:left="122"/>
              <w:rPr>
                <w:b/>
                <w:sz w:val="22"/>
              </w:rPr>
            </w:pPr>
            <w:r>
              <w:rPr>
                <w:b/>
                <w:sz w:val="22"/>
              </w:rPr>
              <w:t>implementation</w:t>
            </w:r>
            <w:r>
              <w:rPr>
                <w:b/>
                <w:spacing w:val="-8"/>
                <w:sz w:val="22"/>
              </w:rPr>
              <w:t> </w:t>
            </w:r>
            <w:r>
              <w:rPr>
                <w:b/>
                <w:sz w:val="22"/>
              </w:rPr>
              <w:t>of</w:t>
            </w:r>
            <w:r>
              <w:rPr>
                <w:b/>
                <w:spacing w:val="-6"/>
                <w:sz w:val="22"/>
              </w:rPr>
              <w:t> </w:t>
            </w:r>
            <w:r>
              <w:rPr>
                <w:b/>
                <w:spacing w:val="-5"/>
                <w:sz w:val="22"/>
              </w:rPr>
              <w:t>the</w:t>
            </w:r>
          </w:p>
        </w:tc>
        <w:tc>
          <w:tcPr>
            <w:tcW w:w="2899" w:type="dxa"/>
            <w:gridSpan w:val="2"/>
            <w:shd w:val="clear" w:color="auto" w:fill="C0C0C0"/>
          </w:tcPr>
          <w:p>
            <w:pPr>
              <w:pStyle w:val="TableParagraph"/>
              <w:spacing w:line="228" w:lineRule="exact" w:before="3"/>
              <w:ind w:left="251"/>
              <w:rPr>
                <w:sz w:val="22"/>
              </w:rPr>
            </w:pPr>
            <w:r>
              <w:rPr>
                <w:sz w:val="22"/>
              </w:rPr>
              <w:t>(c)</w:t>
            </w:r>
            <w:r>
              <w:rPr>
                <w:spacing w:val="59"/>
                <w:sz w:val="22"/>
              </w:rPr>
              <w:t> </w:t>
            </w:r>
            <w:r>
              <w:rPr>
                <w:sz w:val="22"/>
              </w:rPr>
              <w:t>40%</w:t>
            </w:r>
            <w:r>
              <w:rPr>
                <w:spacing w:val="1"/>
                <w:sz w:val="22"/>
              </w:rPr>
              <w:t> </w:t>
            </w:r>
            <w:r>
              <w:rPr>
                <w:sz w:val="22"/>
              </w:rPr>
              <w:t>– </w:t>
            </w:r>
            <w:r>
              <w:rPr>
                <w:spacing w:val="-5"/>
                <w:sz w:val="22"/>
              </w:rPr>
              <w:t>60%</w:t>
            </w:r>
          </w:p>
        </w:tc>
        <w:tc>
          <w:tcPr>
            <w:tcW w:w="2085" w:type="dxa"/>
            <w:shd w:val="clear" w:color="auto" w:fill="C0C0C0"/>
          </w:tcPr>
          <w:p>
            <w:pPr>
              <w:pStyle w:val="TableParagraph"/>
              <w:spacing w:line="228" w:lineRule="exact" w:before="3"/>
              <w:ind w:left="341"/>
              <w:rPr>
                <w:sz w:val="22"/>
              </w:rPr>
            </w:pPr>
            <w:r>
              <w:rPr>
                <w:spacing w:val="-5"/>
                <w:sz w:val="22"/>
              </w:rPr>
              <w:t>45</w:t>
            </w:r>
          </w:p>
        </w:tc>
        <w:tc>
          <w:tcPr>
            <w:tcW w:w="1480" w:type="dxa"/>
            <w:shd w:val="clear" w:color="auto" w:fill="C0C0C0"/>
          </w:tcPr>
          <w:p>
            <w:pPr>
              <w:pStyle w:val="TableParagraph"/>
              <w:spacing w:line="232" w:lineRule="exact"/>
              <w:ind w:left="148"/>
              <w:rPr>
                <w:sz w:val="22"/>
              </w:rPr>
            </w:pPr>
            <w:r>
              <w:rPr>
                <w:spacing w:val="-2"/>
                <w:sz w:val="22"/>
              </w:rPr>
              <w:t>29.00</w:t>
            </w:r>
          </w:p>
        </w:tc>
      </w:tr>
      <w:tr>
        <w:trPr>
          <w:trHeight w:val="253" w:hRule="atLeast"/>
        </w:trPr>
        <w:tc>
          <w:tcPr>
            <w:tcW w:w="2823" w:type="dxa"/>
            <w:shd w:val="clear" w:color="auto" w:fill="C0C0C0"/>
          </w:tcPr>
          <w:p>
            <w:pPr>
              <w:pStyle w:val="TableParagraph"/>
              <w:spacing w:line="233" w:lineRule="exact"/>
              <w:ind w:left="122"/>
              <w:rPr>
                <w:b/>
                <w:sz w:val="22"/>
              </w:rPr>
            </w:pPr>
            <w:r>
              <w:rPr>
                <w:b/>
                <w:sz w:val="22"/>
              </w:rPr>
              <w:t>Housing</w:t>
            </w:r>
            <w:r>
              <w:rPr>
                <w:b/>
                <w:spacing w:val="-6"/>
                <w:sz w:val="22"/>
              </w:rPr>
              <w:t> </w:t>
            </w:r>
            <w:r>
              <w:rPr>
                <w:b/>
                <w:sz w:val="22"/>
              </w:rPr>
              <w:t>Budget</w:t>
            </w:r>
            <w:r>
              <w:rPr>
                <w:b/>
                <w:spacing w:val="-2"/>
                <w:sz w:val="22"/>
              </w:rPr>
              <w:t> </w:t>
            </w:r>
            <w:r>
              <w:rPr>
                <w:b/>
                <w:spacing w:val="-5"/>
                <w:sz w:val="22"/>
              </w:rPr>
              <w:t>in</w:t>
            </w:r>
          </w:p>
        </w:tc>
        <w:tc>
          <w:tcPr>
            <w:tcW w:w="2899" w:type="dxa"/>
            <w:gridSpan w:val="2"/>
            <w:shd w:val="clear" w:color="auto" w:fill="C0C0C0"/>
          </w:tcPr>
          <w:p>
            <w:pPr>
              <w:pStyle w:val="TableParagraph"/>
              <w:spacing w:line="227" w:lineRule="exact" w:before="6"/>
              <w:ind w:left="251"/>
              <w:rPr>
                <w:sz w:val="22"/>
              </w:rPr>
            </w:pPr>
            <w:r>
              <w:rPr>
                <w:sz w:val="22"/>
              </w:rPr>
              <w:t>(d)</w:t>
            </w:r>
            <w:r>
              <w:rPr>
                <w:spacing w:val="46"/>
                <w:sz w:val="22"/>
              </w:rPr>
              <w:t> </w:t>
            </w:r>
            <w:r>
              <w:rPr>
                <w:sz w:val="22"/>
              </w:rPr>
              <w:t>60%</w:t>
            </w:r>
            <w:r>
              <w:rPr>
                <w:spacing w:val="1"/>
                <w:sz w:val="22"/>
              </w:rPr>
              <w:t> </w:t>
            </w:r>
            <w:r>
              <w:rPr>
                <w:sz w:val="22"/>
              </w:rPr>
              <w:t>– </w:t>
            </w:r>
            <w:r>
              <w:rPr>
                <w:spacing w:val="-5"/>
                <w:sz w:val="22"/>
              </w:rPr>
              <w:t>80%</w:t>
            </w:r>
          </w:p>
        </w:tc>
        <w:tc>
          <w:tcPr>
            <w:tcW w:w="2085" w:type="dxa"/>
            <w:shd w:val="clear" w:color="auto" w:fill="C0C0C0"/>
          </w:tcPr>
          <w:p>
            <w:pPr>
              <w:pStyle w:val="TableParagraph"/>
              <w:spacing w:line="227" w:lineRule="exact" w:before="6"/>
              <w:ind w:left="341"/>
              <w:rPr>
                <w:sz w:val="22"/>
              </w:rPr>
            </w:pPr>
            <w:r>
              <w:rPr>
                <w:spacing w:val="-10"/>
                <w:sz w:val="22"/>
              </w:rPr>
              <w:t>0</w:t>
            </w:r>
          </w:p>
        </w:tc>
        <w:tc>
          <w:tcPr>
            <w:tcW w:w="1480" w:type="dxa"/>
            <w:shd w:val="clear" w:color="auto" w:fill="C0C0C0"/>
          </w:tcPr>
          <w:p>
            <w:pPr>
              <w:pStyle w:val="TableParagraph"/>
              <w:spacing w:line="233" w:lineRule="exact"/>
              <w:ind w:left="258"/>
              <w:rPr>
                <w:sz w:val="22"/>
              </w:rPr>
            </w:pPr>
            <w:r>
              <w:rPr>
                <w:spacing w:val="-4"/>
                <w:sz w:val="22"/>
              </w:rPr>
              <w:t>0.00</w:t>
            </w:r>
          </w:p>
        </w:tc>
      </w:tr>
      <w:tr>
        <w:trPr>
          <w:trHeight w:val="262" w:hRule="atLeast"/>
        </w:trPr>
        <w:tc>
          <w:tcPr>
            <w:tcW w:w="2823" w:type="dxa"/>
            <w:shd w:val="clear" w:color="auto" w:fill="C0C0C0"/>
          </w:tcPr>
          <w:p>
            <w:pPr>
              <w:pStyle w:val="TableParagraph"/>
              <w:spacing w:line="238" w:lineRule="exact"/>
              <w:ind w:left="122"/>
              <w:rPr>
                <w:b/>
                <w:sz w:val="22"/>
              </w:rPr>
            </w:pPr>
            <w:r>
              <w:rPr>
                <w:b/>
                <w:sz w:val="22"/>
              </w:rPr>
              <w:t>Anambra</w:t>
            </w:r>
            <w:r>
              <w:rPr>
                <w:b/>
                <w:spacing w:val="-2"/>
                <w:sz w:val="22"/>
              </w:rPr>
              <w:t> State?</w:t>
            </w:r>
          </w:p>
        </w:tc>
        <w:tc>
          <w:tcPr>
            <w:tcW w:w="2899" w:type="dxa"/>
            <w:gridSpan w:val="2"/>
            <w:shd w:val="clear" w:color="auto" w:fill="C0C0C0"/>
          </w:tcPr>
          <w:p>
            <w:pPr>
              <w:pStyle w:val="TableParagraph"/>
              <w:spacing w:line="238" w:lineRule="exact" w:before="4"/>
              <w:ind w:left="251"/>
              <w:rPr>
                <w:sz w:val="22"/>
              </w:rPr>
            </w:pPr>
            <w:r>
              <w:rPr>
                <w:sz w:val="22"/>
              </w:rPr>
              <w:t>(e)</w:t>
            </w:r>
            <w:r>
              <w:rPr>
                <w:spacing w:val="59"/>
                <w:sz w:val="22"/>
              </w:rPr>
              <w:t> </w:t>
            </w:r>
            <w:r>
              <w:rPr>
                <w:sz w:val="22"/>
              </w:rPr>
              <w:t>80%</w:t>
            </w:r>
            <w:r>
              <w:rPr>
                <w:spacing w:val="1"/>
                <w:sz w:val="22"/>
              </w:rPr>
              <w:t> </w:t>
            </w:r>
            <w:r>
              <w:rPr>
                <w:sz w:val="22"/>
              </w:rPr>
              <w:t>-</w:t>
            </w:r>
            <w:r>
              <w:rPr>
                <w:spacing w:val="-4"/>
                <w:sz w:val="22"/>
              </w:rPr>
              <w:t> 100%</w:t>
            </w:r>
          </w:p>
        </w:tc>
        <w:tc>
          <w:tcPr>
            <w:tcW w:w="2085" w:type="dxa"/>
            <w:shd w:val="clear" w:color="auto" w:fill="C0C0C0"/>
          </w:tcPr>
          <w:p>
            <w:pPr>
              <w:pStyle w:val="TableParagraph"/>
              <w:spacing w:line="238" w:lineRule="exact" w:before="4"/>
              <w:ind w:left="341"/>
              <w:rPr>
                <w:sz w:val="22"/>
              </w:rPr>
            </w:pPr>
            <w:r>
              <w:rPr>
                <w:spacing w:val="-10"/>
                <w:sz w:val="22"/>
              </w:rPr>
              <w:t>0</w:t>
            </w:r>
          </w:p>
        </w:tc>
        <w:tc>
          <w:tcPr>
            <w:tcW w:w="1480" w:type="dxa"/>
            <w:shd w:val="clear" w:color="auto" w:fill="C0C0C0"/>
          </w:tcPr>
          <w:p>
            <w:pPr>
              <w:pStyle w:val="TableParagraph"/>
              <w:spacing w:line="234" w:lineRule="exact"/>
              <w:ind w:left="258"/>
              <w:rPr>
                <w:sz w:val="22"/>
              </w:rPr>
            </w:pPr>
            <w:r>
              <w:rPr>
                <w:spacing w:val="-4"/>
                <w:sz w:val="22"/>
              </w:rPr>
              <w:t>0.00</w:t>
            </w:r>
          </w:p>
        </w:tc>
      </w:tr>
      <w:tr>
        <w:trPr>
          <w:trHeight w:val="549" w:hRule="atLeast"/>
        </w:trPr>
        <w:tc>
          <w:tcPr>
            <w:tcW w:w="2823" w:type="dxa"/>
            <w:tcBorders>
              <w:bottom w:val="single" w:sz="8" w:space="0" w:color="000000"/>
            </w:tcBorders>
          </w:tcPr>
          <w:p>
            <w:pPr>
              <w:pStyle w:val="TableParagraph"/>
              <w:spacing w:line="252" w:lineRule="exact"/>
              <w:ind w:left="465"/>
              <w:rPr>
                <w:b/>
                <w:sz w:val="22"/>
              </w:rPr>
            </w:pPr>
            <w:r>
              <w:rPr>
                <w:b/>
                <w:spacing w:val="-2"/>
                <w:sz w:val="22"/>
              </w:rPr>
              <w:t>Total</w:t>
            </w:r>
          </w:p>
        </w:tc>
        <w:tc>
          <w:tcPr>
            <w:tcW w:w="2899" w:type="dxa"/>
            <w:gridSpan w:val="2"/>
            <w:tcBorders>
              <w:bottom w:val="single" w:sz="8" w:space="0" w:color="000000"/>
            </w:tcBorders>
          </w:tcPr>
          <w:p>
            <w:pPr>
              <w:pStyle w:val="TableParagraph"/>
              <w:rPr>
                <w:sz w:val="22"/>
              </w:rPr>
            </w:pPr>
          </w:p>
        </w:tc>
        <w:tc>
          <w:tcPr>
            <w:tcW w:w="2085" w:type="dxa"/>
            <w:tcBorders>
              <w:bottom w:val="single" w:sz="8" w:space="0" w:color="000000"/>
            </w:tcBorders>
          </w:tcPr>
          <w:p>
            <w:pPr>
              <w:pStyle w:val="TableParagraph"/>
              <w:spacing w:line="247" w:lineRule="exact"/>
              <w:ind w:left="341"/>
              <w:rPr>
                <w:sz w:val="22"/>
              </w:rPr>
            </w:pPr>
            <w:r>
              <w:rPr>
                <w:spacing w:val="-5"/>
                <w:sz w:val="22"/>
              </w:rPr>
              <w:t>156</w:t>
            </w:r>
          </w:p>
        </w:tc>
        <w:tc>
          <w:tcPr>
            <w:tcW w:w="1480" w:type="dxa"/>
            <w:tcBorders>
              <w:bottom w:val="single" w:sz="8" w:space="0" w:color="000000"/>
            </w:tcBorders>
          </w:tcPr>
          <w:p>
            <w:pPr>
              <w:pStyle w:val="TableParagraph"/>
              <w:spacing w:line="247" w:lineRule="exact"/>
              <w:ind w:left="148"/>
              <w:rPr>
                <w:sz w:val="22"/>
              </w:rPr>
            </w:pPr>
            <w:r>
              <w:rPr>
                <w:spacing w:val="-4"/>
                <w:sz w:val="22"/>
              </w:rPr>
              <w:t>100%</w:t>
            </w:r>
          </w:p>
        </w:tc>
      </w:tr>
    </w:tbl>
    <w:p>
      <w:pPr>
        <w:pStyle w:val="BodyText"/>
        <w:ind w:left="240"/>
        <w:jc w:val="both"/>
      </w:pPr>
      <w:r>
        <w:rPr>
          <w:b/>
        </w:rPr>
        <w:t>Source:</w:t>
      </w:r>
      <w:r>
        <w:rPr>
          <w:b/>
          <w:spacing w:val="-2"/>
        </w:rPr>
        <w:t> </w:t>
      </w:r>
      <w:r>
        <w:rPr/>
        <w:t>Researcher‘s field</w:t>
      </w:r>
      <w:r>
        <w:rPr>
          <w:spacing w:val="-1"/>
        </w:rPr>
        <w:t> </w:t>
      </w:r>
      <w:r>
        <w:rPr/>
        <w:t>survey</w:t>
      </w:r>
      <w:r>
        <w:rPr>
          <w:spacing w:val="-1"/>
        </w:rPr>
        <w:t> </w:t>
      </w:r>
      <w:r>
        <w:rPr>
          <w:spacing w:val="-2"/>
        </w:rPr>
        <w:t>(2017)</w:t>
      </w:r>
    </w:p>
    <w:p>
      <w:pPr>
        <w:spacing w:after="0"/>
        <w:jc w:val="both"/>
        <w:sectPr>
          <w:pgSz w:w="12240" w:h="15840"/>
          <w:pgMar w:header="0" w:footer="1036" w:top="1360" w:bottom="1220" w:left="1200" w:right="600"/>
        </w:sectPr>
      </w:pPr>
    </w:p>
    <w:p>
      <w:pPr>
        <w:pStyle w:val="BodyText"/>
        <w:spacing w:line="360" w:lineRule="auto" w:before="74"/>
        <w:ind w:left="240" w:right="833"/>
        <w:jc w:val="both"/>
      </w:pPr>
      <w:r>
        <w:rPr/>
        <w:t>The following explains the opinions of respondents on the adoption of citizen participation and the techniques of participation used in the housing budget process, the criteria adopted for stipulating housing budget ceiling, and rate of housing budget implementation.</w:t>
      </w:r>
    </w:p>
    <w:p>
      <w:pPr>
        <w:pStyle w:val="ListParagraph"/>
        <w:numPr>
          <w:ilvl w:val="3"/>
          <w:numId w:val="87"/>
        </w:numPr>
        <w:tabs>
          <w:tab w:pos="1291" w:val="left" w:leader="none"/>
        </w:tabs>
        <w:spacing w:line="360" w:lineRule="auto" w:before="242" w:after="0"/>
        <w:ind w:left="960" w:right="836" w:firstLine="0"/>
        <w:jc w:val="both"/>
        <w:rPr>
          <w:sz w:val="24"/>
        </w:rPr>
      </w:pPr>
      <w:r>
        <w:rPr>
          <w:b/>
          <w:sz w:val="24"/>
        </w:rPr>
        <w:t>Adoption of Citizen Participation: </w:t>
      </w:r>
      <w:r>
        <w:rPr>
          <w:sz w:val="24"/>
        </w:rPr>
        <w:t>The study sought to determine if citizen participation is adopted in the housing budget process of Anambra State</w:t>
      </w:r>
      <w:r>
        <w:rPr>
          <w:b/>
          <w:sz w:val="24"/>
        </w:rPr>
        <w:t>. </w:t>
      </w:r>
      <w:r>
        <w:rPr>
          <w:sz w:val="24"/>
        </w:rPr>
        <w:t>Surprisingly, results showed that 99(63%) of the respondents maintain that citizen participation is actually carried out, 48(31%) of them indicate that no form of citizen participation is employed, while 9(6%) have no idea of the issue.</w:t>
      </w:r>
      <w:r>
        <w:rPr>
          <w:spacing w:val="40"/>
          <w:sz w:val="24"/>
        </w:rPr>
        <w:t> </w:t>
      </w:r>
      <w:r>
        <w:rPr>
          <w:sz w:val="24"/>
        </w:rPr>
        <w:t>The reason for the high number of responses (as confirmed from interviews), affirming the adoption of citizen participation could be explained as follows: citizen participation in the budget process of Anambra State actually began in 2011. It is pertinent</w:t>
      </w:r>
      <w:r>
        <w:rPr>
          <w:spacing w:val="40"/>
          <w:sz w:val="24"/>
        </w:rPr>
        <w:t> </w:t>
      </w:r>
      <w:r>
        <w:rPr>
          <w:sz w:val="24"/>
        </w:rPr>
        <w:t>however, to note that there is a recent development in the citizen involvement process of Anambra State, precisely in 2016; where the Government gave communities the opportunity to choose their own projects (Community-choose-your project) not exceeding the sum on twenty million Naira (N20,000,000) which is provided by the Government. This is the first of its kind though and the selected projects are still ongoing. It is also commendable step in the right direction, but the setbacks here are that the priority projects may not reflect the decisions of the entire community and the process may be politicized. From the housing budget perspective however, these selected projects may not all be housing projects, the</w:t>
      </w:r>
      <w:r>
        <w:rPr>
          <w:spacing w:val="40"/>
          <w:sz w:val="24"/>
        </w:rPr>
        <w:t> </w:t>
      </w:r>
      <w:r>
        <w:rPr>
          <w:sz w:val="24"/>
        </w:rPr>
        <w:t>budgeted amount of N20,000,000 which was not based on any needs assessment,</w:t>
      </w:r>
      <w:r>
        <w:rPr>
          <w:spacing w:val="40"/>
          <w:sz w:val="24"/>
        </w:rPr>
        <w:t> </w:t>
      </w:r>
      <w:r>
        <w:rPr>
          <w:sz w:val="24"/>
        </w:rPr>
        <w:t>estimate or plan may not be adequate to cover the much needed housing gap, unless the scheme can be sustained over a long period of time and not just a first-and-only-attempt </w:t>
      </w:r>
      <w:r>
        <w:rPr>
          <w:spacing w:val="-2"/>
          <w:sz w:val="24"/>
        </w:rPr>
        <w:t>programme.</w:t>
      </w:r>
    </w:p>
    <w:p>
      <w:pPr>
        <w:pStyle w:val="BodyText"/>
        <w:spacing w:before="1"/>
      </w:pPr>
    </w:p>
    <w:p>
      <w:pPr>
        <w:pStyle w:val="ListParagraph"/>
        <w:numPr>
          <w:ilvl w:val="3"/>
          <w:numId w:val="87"/>
        </w:numPr>
        <w:tabs>
          <w:tab w:pos="1306" w:val="left" w:leader="none"/>
        </w:tabs>
        <w:spacing w:line="360" w:lineRule="auto" w:before="0" w:after="0"/>
        <w:ind w:left="960" w:right="835" w:firstLine="0"/>
        <w:jc w:val="both"/>
        <w:rPr>
          <w:sz w:val="24"/>
        </w:rPr>
      </w:pPr>
      <w:r>
        <w:rPr>
          <w:b/>
          <w:sz w:val="24"/>
        </w:rPr>
        <w:t>Citizen Participation technique: </w:t>
      </w:r>
      <w:r>
        <w:rPr>
          <w:sz w:val="24"/>
        </w:rPr>
        <w:t>As a follow up on the adoption of citizen participation, the study further enquired on the participation techniques or strategies employed by the Anambra State Government in the housing budget process</w:t>
      </w:r>
      <w:r>
        <w:rPr>
          <w:b/>
          <w:sz w:val="24"/>
        </w:rPr>
        <w:t>. </w:t>
      </w:r>
      <w:r>
        <w:rPr>
          <w:sz w:val="24"/>
        </w:rPr>
        <w:t>The results show that the focus group technique is mostly used as affirmed by 48(31%) of the respondents. This was closely followed by the public meetings/hearing technique with 33(21%) responses, surveys and consultation with 11(7%) responses, while 5(3%) and 2(1%)</w:t>
      </w:r>
      <w:r>
        <w:rPr>
          <w:spacing w:val="36"/>
          <w:sz w:val="24"/>
        </w:rPr>
        <w:t> </w:t>
      </w:r>
      <w:r>
        <w:rPr>
          <w:sz w:val="24"/>
        </w:rPr>
        <w:t>respectively</w:t>
      </w:r>
      <w:r>
        <w:rPr>
          <w:spacing w:val="32"/>
          <w:sz w:val="24"/>
        </w:rPr>
        <w:t> </w:t>
      </w:r>
      <w:r>
        <w:rPr>
          <w:sz w:val="24"/>
        </w:rPr>
        <w:t>of</w:t>
      </w:r>
      <w:r>
        <w:rPr>
          <w:spacing w:val="39"/>
          <w:sz w:val="24"/>
        </w:rPr>
        <w:t> </w:t>
      </w:r>
      <w:r>
        <w:rPr>
          <w:sz w:val="24"/>
        </w:rPr>
        <w:t>the</w:t>
      </w:r>
      <w:r>
        <w:rPr>
          <w:spacing w:val="37"/>
          <w:sz w:val="24"/>
        </w:rPr>
        <w:t> </w:t>
      </w:r>
      <w:r>
        <w:rPr>
          <w:sz w:val="24"/>
        </w:rPr>
        <w:t>respondents</w:t>
      </w:r>
      <w:r>
        <w:rPr>
          <w:spacing w:val="38"/>
          <w:sz w:val="24"/>
        </w:rPr>
        <w:t> </w:t>
      </w:r>
      <w:r>
        <w:rPr>
          <w:sz w:val="24"/>
        </w:rPr>
        <w:t>maintained</w:t>
      </w:r>
      <w:r>
        <w:rPr>
          <w:spacing w:val="37"/>
          <w:sz w:val="24"/>
        </w:rPr>
        <w:t> </w:t>
      </w:r>
      <w:r>
        <w:rPr>
          <w:sz w:val="24"/>
        </w:rPr>
        <w:t>that</w:t>
      </w:r>
      <w:r>
        <w:rPr>
          <w:spacing w:val="37"/>
          <w:sz w:val="24"/>
        </w:rPr>
        <w:t> </w:t>
      </w:r>
      <w:r>
        <w:rPr>
          <w:sz w:val="24"/>
        </w:rPr>
        <w:t>participatory</w:t>
      </w:r>
      <w:r>
        <w:rPr>
          <w:spacing w:val="32"/>
          <w:sz w:val="24"/>
        </w:rPr>
        <w:t> </w:t>
      </w:r>
      <w:r>
        <w:rPr>
          <w:sz w:val="24"/>
        </w:rPr>
        <w:t>budget</w:t>
      </w:r>
      <w:r>
        <w:rPr>
          <w:spacing w:val="38"/>
          <w:sz w:val="24"/>
        </w:rPr>
        <w:t> </w:t>
      </w:r>
      <w:r>
        <w:rPr>
          <w:sz w:val="24"/>
        </w:rPr>
        <w:t>forum</w:t>
      </w:r>
      <w:r>
        <w:rPr>
          <w:spacing w:val="37"/>
          <w:sz w:val="24"/>
        </w:rPr>
        <w:t> </w:t>
      </w:r>
      <w:r>
        <w:rPr>
          <w:sz w:val="24"/>
        </w:rPr>
        <w:t>and</w:t>
      </w:r>
    </w:p>
    <w:p>
      <w:pPr>
        <w:spacing w:after="0" w:line="360" w:lineRule="auto"/>
        <w:jc w:val="both"/>
        <w:rPr>
          <w:sz w:val="24"/>
        </w:rPr>
        <w:sectPr>
          <w:pgSz w:w="12240" w:h="15840"/>
          <w:pgMar w:header="0" w:footer="1036" w:top="1360" w:bottom="1220" w:left="1200" w:right="600"/>
        </w:sectPr>
      </w:pPr>
    </w:p>
    <w:p>
      <w:pPr>
        <w:pStyle w:val="BodyText"/>
        <w:spacing w:line="360" w:lineRule="auto" w:before="74"/>
        <w:ind w:left="960" w:right="832"/>
        <w:jc w:val="both"/>
      </w:pPr>
      <w:r>
        <w:rPr/>
        <w:t>advisory committees are used. The simulation technique had no response, making it an unpopular participation technique amongst the respondents. On the other hand, 57 respondents, representing 37% have no idea of the participation technique used. The</w:t>
      </w:r>
      <w:r>
        <w:rPr>
          <w:spacing w:val="40"/>
        </w:rPr>
        <w:t> </w:t>
      </w:r>
      <w:r>
        <w:rPr/>
        <w:t>focus group technique being the most commonly used type of technique is quite understandable being that it involves selected citizen groups (considered a representation of the entire citizenry) such as NGOs, Faith Based organizations, Town Union Associations, council of chiefs and traditional rulers, market women society, council of women,</w:t>
      </w:r>
      <w:r>
        <w:rPr>
          <w:spacing w:val="-2"/>
        </w:rPr>
        <w:t> </w:t>
      </w:r>
      <w:r>
        <w:rPr/>
        <w:t>donor</w:t>
      </w:r>
      <w:r>
        <w:rPr>
          <w:spacing w:val="-3"/>
        </w:rPr>
        <w:t> </w:t>
      </w:r>
      <w:r>
        <w:rPr/>
        <w:t>agencies who</w:t>
      </w:r>
      <w:r>
        <w:rPr>
          <w:spacing w:val="-3"/>
        </w:rPr>
        <w:t> </w:t>
      </w:r>
      <w:r>
        <w:rPr/>
        <w:t>indicate</w:t>
      </w:r>
      <w:r>
        <w:rPr>
          <w:spacing w:val="-2"/>
        </w:rPr>
        <w:t> </w:t>
      </w:r>
      <w:r>
        <w:rPr/>
        <w:t>their</w:t>
      </w:r>
      <w:r>
        <w:rPr>
          <w:spacing w:val="-3"/>
        </w:rPr>
        <w:t> </w:t>
      </w:r>
      <w:r>
        <w:rPr/>
        <w:t>opinions</w:t>
      </w:r>
      <w:r>
        <w:rPr>
          <w:spacing w:val="-2"/>
        </w:rPr>
        <w:t> </w:t>
      </w:r>
      <w:r>
        <w:rPr/>
        <w:t>or</w:t>
      </w:r>
      <w:r>
        <w:rPr>
          <w:spacing w:val="-3"/>
        </w:rPr>
        <w:t> </w:t>
      </w:r>
      <w:r>
        <w:rPr/>
        <w:t>perceptions on</w:t>
      </w:r>
      <w:r>
        <w:rPr>
          <w:spacing w:val="-2"/>
        </w:rPr>
        <w:t> </w:t>
      </w:r>
      <w:r>
        <w:rPr/>
        <w:t>the</w:t>
      </w:r>
      <w:r>
        <w:rPr>
          <w:spacing w:val="-4"/>
        </w:rPr>
        <w:t> </w:t>
      </w:r>
      <w:r>
        <w:rPr/>
        <w:t>housing</w:t>
      </w:r>
      <w:r>
        <w:rPr>
          <w:spacing w:val="-4"/>
        </w:rPr>
        <w:t> </w:t>
      </w:r>
      <w:r>
        <w:rPr/>
        <w:t>budget. Here, participants freely discuss with one another, questions can also be asked and notes or record of vital points are usually taken by the budget officers from the Ministry of Economic Planning and Budget.</w:t>
      </w:r>
    </w:p>
    <w:p>
      <w:pPr>
        <w:pStyle w:val="BodyText"/>
      </w:pPr>
    </w:p>
    <w:p>
      <w:pPr>
        <w:pStyle w:val="BodyText"/>
        <w:spacing w:line="360" w:lineRule="auto"/>
        <w:ind w:left="960" w:right="836"/>
        <w:jc w:val="both"/>
      </w:pPr>
      <w:r>
        <w:rPr/>
        <w:t>During the participation process, these citizen groups are usually invited during the defense of the budget (ceiling or envelope) by the Housing MDAs of Anambra State at the</w:t>
      </w:r>
      <w:r>
        <w:rPr>
          <w:spacing w:val="-1"/>
        </w:rPr>
        <w:t> </w:t>
      </w:r>
      <w:r>
        <w:rPr/>
        <w:t>Ministry</w:t>
      </w:r>
      <w:r>
        <w:rPr>
          <w:spacing w:val="-3"/>
        </w:rPr>
        <w:t> </w:t>
      </w:r>
      <w:r>
        <w:rPr/>
        <w:t>of</w:t>
      </w:r>
      <w:r>
        <w:rPr>
          <w:spacing w:val="-1"/>
        </w:rPr>
        <w:t> </w:t>
      </w:r>
      <w:r>
        <w:rPr/>
        <w:t>Economic</w:t>
      </w:r>
      <w:r>
        <w:rPr>
          <w:spacing w:val="-1"/>
        </w:rPr>
        <w:t> </w:t>
      </w:r>
      <w:r>
        <w:rPr/>
        <w:t>Planning and Budget. They</w:t>
      </w:r>
      <w:r>
        <w:rPr>
          <w:spacing w:val="-2"/>
        </w:rPr>
        <w:t> </w:t>
      </w:r>
      <w:r>
        <w:rPr/>
        <w:t>are</w:t>
      </w:r>
      <w:r>
        <w:rPr>
          <w:spacing w:val="-2"/>
        </w:rPr>
        <w:t> </w:t>
      </w:r>
      <w:r>
        <w:rPr/>
        <w:t>often not invited</w:t>
      </w:r>
      <w:r>
        <w:rPr>
          <w:spacing w:val="-1"/>
        </w:rPr>
        <w:t> </w:t>
      </w:r>
      <w:r>
        <w:rPr/>
        <w:t>or called upon to participate during approval of the budget by the State Executive Council and passage by the State Legislature or House of Assembly, where project priorities may change in their absence. Thus, it may appear that these groups are invited as a matter of routine or</w:t>
      </w:r>
      <w:r>
        <w:rPr>
          <w:spacing w:val="40"/>
        </w:rPr>
        <w:t> </w:t>
      </w:r>
      <w:r>
        <w:rPr/>
        <w:t>to appear compliant with best practices. Hence, the citizens may be regarded as mere observers than co-decision makers, since their inputs, remarks or observations do not affect or change already stipulated budget figures or proposed project priorities. In addition to this, only these few group representatives actually have an insight on the housing</w:t>
      </w:r>
      <w:r>
        <w:rPr>
          <w:spacing w:val="-3"/>
        </w:rPr>
        <w:t> </w:t>
      </w:r>
      <w:r>
        <w:rPr/>
        <w:t>budget at the</w:t>
      </w:r>
      <w:r>
        <w:rPr>
          <w:spacing w:val="-1"/>
        </w:rPr>
        <w:t> </w:t>
      </w:r>
      <w:r>
        <w:rPr/>
        <w:t>early</w:t>
      </w:r>
      <w:r>
        <w:rPr>
          <w:spacing w:val="-5"/>
        </w:rPr>
        <w:t> </w:t>
      </w:r>
      <w:r>
        <w:rPr/>
        <w:t>stages of</w:t>
      </w:r>
      <w:r>
        <w:rPr>
          <w:spacing w:val="-1"/>
        </w:rPr>
        <w:t> </w:t>
      </w:r>
      <w:r>
        <w:rPr/>
        <w:t>the year, but it ends there. They</w:t>
      </w:r>
      <w:r>
        <w:rPr>
          <w:spacing w:val="-5"/>
        </w:rPr>
        <w:t> </w:t>
      </w:r>
      <w:r>
        <w:rPr/>
        <w:t>are</w:t>
      </w:r>
      <w:r>
        <w:rPr>
          <w:spacing w:val="-2"/>
        </w:rPr>
        <w:t> </w:t>
      </w:r>
      <w:r>
        <w:rPr/>
        <w:t>often</w:t>
      </w:r>
      <w:r>
        <w:rPr>
          <w:spacing w:val="-1"/>
        </w:rPr>
        <w:t> </w:t>
      </w:r>
      <w:r>
        <w:rPr/>
        <w:t>not carried along during the implementation process and hence are not aware of what happens to the budget afterwards. Furthermore, the wider populace is often unaware of the housing budget because dissemination or publicity of budget information or documents by the Government is poor and they may be largely ignorant or uninterested in budget issues. From the foregoing, this research is inclined to describe the citizen participation process of Anambra State housing budget as more of a charade than real participation. Hence the need for an effective participation technique backed by commitment on the part of the Government to capture their inputs.</w:t>
      </w:r>
    </w:p>
    <w:p>
      <w:pPr>
        <w:spacing w:after="0" w:line="360" w:lineRule="auto"/>
        <w:jc w:val="both"/>
        <w:sectPr>
          <w:pgSz w:w="12240" w:h="15840"/>
          <w:pgMar w:header="0" w:footer="1036" w:top="1360" w:bottom="1220" w:left="1200" w:right="600"/>
        </w:sectPr>
      </w:pPr>
    </w:p>
    <w:p>
      <w:pPr>
        <w:pStyle w:val="ListParagraph"/>
        <w:numPr>
          <w:ilvl w:val="3"/>
          <w:numId w:val="87"/>
        </w:numPr>
        <w:tabs>
          <w:tab w:pos="1192" w:val="left" w:leader="none"/>
        </w:tabs>
        <w:spacing w:line="360" w:lineRule="auto" w:before="74" w:after="0"/>
        <w:ind w:left="960" w:right="832" w:firstLine="0"/>
        <w:jc w:val="both"/>
        <w:rPr>
          <w:sz w:val="24"/>
        </w:rPr>
      </w:pPr>
      <w:r>
        <w:rPr>
          <w:b/>
          <w:sz w:val="24"/>
        </w:rPr>
        <w:t>Criteria for stipulating annual housing budget ceilings and allocations: </w:t>
      </w:r>
      <w:r>
        <w:rPr>
          <w:sz w:val="24"/>
        </w:rPr>
        <w:t>One of the objectives of this research is to evaluate the criteria adopted in allocating housing budget ceilings and final housing budget allocations. This sub-section item sets out to achieve this objective, but via respondents‘ opinions only. It will however be corroborated or disproved empirically under the analysis of the annual housing budget section. The</w:t>
      </w:r>
      <w:r>
        <w:rPr>
          <w:spacing w:val="40"/>
          <w:sz w:val="24"/>
        </w:rPr>
        <w:t> </w:t>
      </w:r>
      <w:r>
        <w:rPr>
          <w:sz w:val="24"/>
        </w:rPr>
        <w:t>results obtained via a simple percentage analysis revealed that opinions were quite diverse.</w:t>
      </w:r>
      <w:r>
        <w:rPr>
          <w:spacing w:val="40"/>
          <w:sz w:val="24"/>
        </w:rPr>
        <w:t> </w:t>
      </w:r>
      <w:r>
        <w:rPr>
          <w:sz w:val="24"/>
        </w:rPr>
        <w:t>68 of the respondents representing 44% maintained that the major criterion used is the Governor‘s discretion, this was closely followed by 52 of the respondents representing 33% who are of the view that the main criterion is how much funds are available in the Government‘s coffers or the available resource projection based on a revenue forecast. 15(10%) of the respondents believe there is no criteria, hence it is stipulated arbitrarily, 10(6%) think it is based on the ceiling or allocation stipulated the previous year, while 11(7%) have no idea of which criteria is used.</w:t>
      </w:r>
      <w:r>
        <w:rPr>
          <w:spacing w:val="80"/>
          <w:sz w:val="24"/>
        </w:rPr>
        <w:t> </w:t>
      </w:r>
      <w:r>
        <w:rPr>
          <w:sz w:val="24"/>
        </w:rPr>
        <w:t>From the foregoing, it is interesting to note that none of the criteria selected by the respondents has an empirical or scientific basis (such as GDP contribution, percentage/formula, needs assessment, previous performance). This creates room to believe or accept the possibility of the housing budget ceiling and allocations being influenced politically or having a nepotistic undertone. Another reason for the responses obtained may be because of the present economic crunch or recession which has also affected other sectors of the State‘s economy.</w:t>
      </w:r>
      <w:r>
        <w:rPr>
          <w:spacing w:val="80"/>
          <w:sz w:val="24"/>
        </w:rPr>
        <w:t> </w:t>
      </w:r>
      <w:r>
        <w:rPr>
          <w:sz w:val="24"/>
        </w:rPr>
        <w:t>It is also worth noting, that, as obtained from interviews, it was discovered</w:t>
      </w:r>
      <w:r>
        <w:rPr>
          <w:spacing w:val="40"/>
          <w:sz w:val="24"/>
        </w:rPr>
        <w:t> </w:t>
      </w:r>
      <w:r>
        <w:rPr>
          <w:sz w:val="24"/>
        </w:rPr>
        <w:t>that the permanent Secretary (Ministry of Housing) can push for an increase in housing budget ceiling during the defense of budget proposals, but this largely depends on how dogged and outspoken he is and his ability to convince the budget committee why the budget ceiling should be increased.</w:t>
      </w:r>
      <w:r>
        <w:rPr>
          <w:spacing w:val="80"/>
          <w:w w:val="150"/>
          <w:sz w:val="24"/>
        </w:rPr>
        <w:t> </w:t>
      </w:r>
      <w:r>
        <w:rPr>
          <w:sz w:val="24"/>
        </w:rPr>
        <w:t>Thus, this research opines that though budget ceilings are stipulated to ensure prudent use of funds, unrealistic ceilings especially</w:t>
      </w:r>
      <w:r>
        <w:rPr>
          <w:spacing w:val="-1"/>
          <w:sz w:val="24"/>
        </w:rPr>
        <w:t> </w:t>
      </w:r>
      <w:r>
        <w:rPr>
          <w:sz w:val="24"/>
        </w:rPr>
        <w:t>those not revisited in view of the present economic realities and stipulated with no discernable scientific or objective basis can hinder robust and realistic housing project actualization.</w:t>
      </w:r>
    </w:p>
    <w:p>
      <w:pPr>
        <w:pStyle w:val="ListParagraph"/>
        <w:numPr>
          <w:ilvl w:val="3"/>
          <w:numId w:val="87"/>
        </w:numPr>
        <w:tabs>
          <w:tab w:pos="1218" w:val="left" w:leader="none"/>
        </w:tabs>
        <w:spacing w:line="360" w:lineRule="auto" w:before="244" w:after="0"/>
        <w:ind w:left="960" w:right="836" w:firstLine="0"/>
        <w:jc w:val="both"/>
        <w:rPr>
          <w:sz w:val="24"/>
        </w:rPr>
      </w:pPr>
      <w:r>
        <w:rPr>
          <w:b/>
          <w:sz w:val="24"/>
        </w:rPr>
        <w:t>Rate of Housing Budget implementation: </w:t>
      </w:r>
      <w:r>
        <w:rPr>
          <w:sz w:val="24"/>
        </w:rPr>
        <w:t>In a similar vein this sub-section item also established, the general rate (in percentage) of housing budget implementation via the opinions of respondents over the years. It will also be corroborated or disproved empirically</w:t>
      </w:r>
      <w:r>
        <w:rPr>
          <w:spacing w:val="40"/>
          <w:sz w:val="24"/>
        </w:rPr>
        <w:t> </w:t>
      </w:r>
      <w:r>
        <w:rPr>
          <w:sz w:val="24"/>
        </w:rPr>
        <w:t>during</w:t>
      </w:r>
      <w:r>
        <w:rPr>
          <w:spacing w:val="40"/>
          <w:sz w:val="24"/>
        </w:rPr>
        <w:t> </w:t>
      </w:r>
      <w:r>
        <w:rPr>
          <w:sz w:val="24"/>
        </w:rPr>
        <w:t>the</w:t>
      </w:r>
      <w:r>
        <w:rPr>
          <w:spacing w:val="40"/>
          <w:sz w:val="24"/>
        </w:rPr>
        <w:t> </w:t>
      </w:r>
      <w:r>
        <w:rPr>
          <w:sz w:val="24"/>
        </w:rPr>
        <w:t>analysis</w:t>
      </w:r>
      <w:r>
        <w:rPr>
          <w:spacing w:val="40"/>
          <w:sz w:val="24"/>
        </w:rPr>
        <w:t> </w:t>
      </w:r>
      <w:r>
        <w:rPr>
          <w:sz w:val="24"/>
        </w:rPr>
        <w:t>of</w:t>
      </w:r>
      <w:r>
        <w:rPr>
          <w:spacing w:val="40"/>
          <w:sz w:val="24"/>
        </w:rPr>
        <w:t> </w:t>
      </w:r>
      <w:r>
        <w:rPr>
          <w:sz w:val="24"/>
        </w:rPr>
        <w:t>the</w:t>
      </w:r>
      <w:r>
        <w:rPr>
          <w:spacing w:val="40"/>
          <w:sz w:val="24"/>
        </w:rPr>
        <w:t> </w:t>
      </w:r>
      <w:r>
        <w:rPr>
          <w:sz w:val="24"/>
        </w:rPr>
        <w:t>annual</w:t>
      </w:r>
      <w:r>
        <w:rPr>
          <w:spacing w:val="40"/>
          <w:sz w:val="24"/>
        </w:rPr>
        <w:t> </w:t>
      </w:r>
      <w:r>
        <w:rPr>
          <w:sz w:val="24"/>
        </w:rPr>
        <w:t>housing</w:t>
      </w:r>
      <w:r>
        <w:rPr>
          <w:spacing w:val="40"/>
          <w:sz w:val="24"/>
        </w:rPr>
        <w:t> </w:t>
      </w:r>
      <w:r>
        <w:rPr>
          <w:sz w:val="24"/>
        </w:rPr>
        <w:t>budget.</w:t>
      </w:r>
      <w:r>
        <w:rPr>
          <w:spacing w:val="40"/>
          <w:sz w:val="24"/>
        </w:rPr>
        <w:t> </w:t>
      </w:r>
      <w:r>
        <w:rPr>
          <w:sz w:val="24"/>
        </w:rPr>
        <w:t>The</w:t>
      </w:r>
      <w:r>
        <w:rPr>
          <w:spacing w:val="40"/>
          <w:sz w:val="24"/>
        </w:rPr>
        <w:t> </w:t>
      </w:r>
      <w:r>
        <w:rPr>
          <w:sz w:val="24"/>
        </w:rPr>
        <w:t>respondents</w:t>
      </w:r>
      <w:r>
        <w:rPr>
          <w:spacing w:val="40"/>
          <w:sz w:val="24"/>
        </w:rPr>
        <w:t> </w:t>
      </w:r>
      <w:r>
        <w:rPr>
          <w:sz w:val="24"/>
        </w:rPr>
        <w:t>were</w:t>
      </w:r>
    </w:p>
    <w:p>
      <w:pPr>
        <w:spacing w:after="0" w:line="360" w:lineRule="auto"/>
        <w:jc w:val="both"/>
        <w:rPr>
          <w:sz w:val="24"/>
        </w:rPr>
        <w:sectPr>
          <w:pgSz w:w="12240" w:h="15840"/>
          <w:pgMar w:header="0" w:footer="1036" w:top="1360" w:bottom="1220" w:left="1200" w:right="600"/>
        </w:sectPr>
      </w:pPr>
    </w:p>
    <w:p>
      <w:pPr>
        <w:pStyle w:val="BodyText"/>
        <w:spacing w:line="360" w:lineRule="auto" w:before="74"/>
        <w:ind w:left="960" w:right="835"/>
        <w:jc w:val="both"/>
      </w:pPr>
      <w:r>
        <w:rPr/>
        <w:t>provided with a range of implementation rates, ranging from 0% to 100% to indicate as applicable from their experience. Majority of the respondents, precisely; 97(62%) indicated</w:t>
      </w:r>
      <w:r>
        <w:rPr>
          <w:spacing w:val="-2"/>
        </w:rPr>
        <w:t> </w:t>
      </w:r>
      <w:r>
        <w:rPr/>
        <w:t>the</w:t>
      </w:r>
      <w:r>
        <w:rPr>
          <w:spacing w:val="-3"/>
        </w:rPr>
        <w:t> </w:t>
      </w:r>
      <w:r>
        <w:rPr/>
        <w:t>implementation</w:t>
      </w:r>
      <w:r>
        <w:rPr>
          <w:spacing w:val="-2"/>
        </w:rPr>
        <w:t> </w:t>
      </w:r>
      <w:r>
        <w:rPr/>
        <w:t>rate</w:t>
      </w:r>
      <w:r>
        <w:rPr>
          <w:spacing w:val="-2"/>
        </w:rPr>
        <w:t> </w:t>
      </w:r>
      <w:r>
        <w:rPr/>
        <w:t>range</w:t>
      </w:r>
      <w:r>
        <w:rPr>
          <w:spacing w:val="-1"/>
        </w:rPr>
        <w:t> </w:t>
      </w:r>
      <w:r>
        <w:rPr/>
        <w:t>of</w:t>
      </w:r>
      <w:r>
        <w:rPr>
          <w:spacing w:val="-3"/>
        </w:rPr>
        <w:t> </w:t>
      </w:r>
      <w:r>
        <w:rPr/>
        <w:t>20%</w:t>
      </w:r>
      <w:r>
        <w:rPr>
          <w:spacing w:val="-3"/>
        </w:rPr>
        <w:t> </w:t>
      </w:r>
      <w:r>
        <w:rPr/>
        <w:t>-</w:t>
      </w:r>
      <w:r>
        <w:rPr>
          <w:spacing w:val="-1"/>
        </w:rPr>
        <w:t> </w:t>
      </w:r>
      <w:r>
        <w:rPr/>
        <w:t>40%.</w:t>
      </w:r>
      <w:r>
        <w:rPr>
          <w:spacing w:val="-3"/>
        </w:rPr>
        <w:t> </w:t>
      </w:r>
      <w:r>
        <w:rPr/>
        <w:t>The</w:t>
      </w:r>
      <w:r>
        <w:rPr>
          <w:spacing w:val="-4"/>
        </w:rPr>
        <w:t> </w:t>
      </w:r>
      <w:r>
        <w:rPr/>
        <w:t>40%</w:t>
      </w:r>
      <w:r>
        <w:rPr>
          <w:spacing w:val="-1"/>
        </w:rPr>
        <w:t> </w:t>
      </w:r>
      <w:r>
        <w:rPr/>
        <w:t>-</w:t>
      </w:r>
      <w:r>
        <w:rPr>
          <w:spacing w:val="-3"/>
        </w:rPr>
        <w:t> </w:t>
      </w:r>
      <w:r>
        <w:rPr/>
        <w:t>60%</w:t>
      </w:r>
      <w:r>
        <w:rPr>
          <w:spacing w:val="-3"/>
        </w:rPr>
        <w:t> </w:t>
      </w:r>
      <w:r>
        <w:rPr/>
        <w:t>rate</w:t>
      </w:r>
      <w:r>
        <w:rPr>
          <w:spacing w:val="-3"/>
        </w:rPr>
        <w:t> </w:t>
      </w:r>
      <w:r>
        <w:rPr/>
        <w:t>was</w:t>
      </w:r>
      <w:r>
        <w:rPr>
          <w:spacing w:val="-2"/>
        </w:rPr>
        <w:t> </w:t>
      </w:r>
      <w:r>
        <w:rPr/>
        <w:t>indicated by 45 (29%) of them, while the remaining 14 or 9% respondents are of the view that housing budget implementation rate ranges from 0% - 20%. This scenario shows that the rate or percentage at which the budget for housing in Anambra State is used annually is well below average, hence the need to put measures in place such as early budget formulation and planning, approval, tendering (contractor selection) and timely</w:t>
      </w:r>
      <w:r>
        <w:rPr>
          <w:spacing w:val="-4"/>
        </w:rPr>
        <w:t> </w:t>
      </w:r>
      <w:r>
        <w:rPr/>
        <w:t>release of funds annually to ensure that the budget is properly utilized or put to use.</w:t>
      </w:r>
    </w:p>
    <w:p>
      <w:pPr>
        <w:pStyle w:val="BodyText"/>
        <w:spacing w:before="211"/>
      </w:pPr>
    </w:p>
    <w:p>
      <w:pPr>
        <w:pStyle w:val="Heading4"/>
        <w:numPr>
          <w:ilvl w:val="2"/>
          <w:numId w:val="87"/>
        </w:numPr>
        <w:tabs>
          <w:tab w:pos="871" w:val="left" w:leader="none"/>
          <w:tab w:pos="882" w:val="left" w:leader="none"/>
        </w:tabs>
        <w:spacing w:line="240" w:lineRule="auto" w:before="0" w:after="0"/>
        <w:ind w:left="871" w:right="839" w:hanging="632"/>
        <w:jc w:val="both"/>
      </w:pPr>
      <w:r>
        <w:rPr/>
        <w:tab/>
        <w:t>Responses and Analysis of the Duration of Housing Budget Processes/Adherence to the Budget Calendar</w:t>
      </w:r>
    </w:p>
    <w:p>
      <w:pPr>
        <w:pStyle w:val="BodyText"/>
        <w:spacing w:line="360" w:lineRule="auto" w:before="65"/>
        <w:ind w:left="240" w:right="835"/>
        <w:jc w:val="both"/>
      </w:pPr>
      <w:r>
        <w:rPr/>
        <w:t>The essence of this sub-section is to first, elicit information on the current duration of housing budget preparation activities in Anambra State and second, to make a comparison with the stipulated budget calendar which captures the maximum duration of budget activities that must</w:t>
      </w:r>
      <w:r>
        <w:rPr>
          <w:spacing w:val="40"/>
        </w:rPr>
        <w:t> </w:t>
      </w:r>
      <w:r>
        <w:rPr/>
        <w:t>be adhered to. This is with a view to making an objective conclusion on the timeliness or time management of housing budget activities that may affect or impede the implementation of the housing budget or commencement of housing works.</w:t>
      </w:r>
    </w:p>
    <w:p>
      <w:pPr>
        <w:pStyle w:val="BodyText"/>
        <w:spacing w:before="37"/>
      </w:pPr>
    </w:p>
    <w:p>
      <w:pPr>
        <w:pStyle w:val="BodyText"/>
        <w:spacing w:line="360" w:lineRule="auto"/>
        <w:ind w:left="240" w:right="836"/>
        <w:jc w:val="both"/>
      </w:pPr>
      <w:r>
        <w:rPr/>
        <w:t>To obtain the responses and analyze the housing budget duration of Anambra State, the respondents were provided with a list of budget activities and their corresponding duration range (in weeks or months). These duration ranges were obtained from the stipulated budget calendar for Anambra State budget preparation as evidenced in literature. The respondents were</w:t>
      </w:r>
      <w:r>
        <w:rPr>
          <w:spacing w:val="-1"/>
        </w:rPr>
        <w:t> </w:t>
      </w:r>
      <w:r>
        <w:rPr/>
        <w:t>requested to fill the applicable duration from their experience. The majority responses of the current housing budget duration were used as the basis for comparison with the stipulated budget calendar. It is also necessary</w:t>
      </w:r>
      <w:r>
        <w:rPr>
          <w:spacing w:val="-3"/>
        </w:rPr>
        <w:t> </w:t>
      </w:r>
      <w:r>
        <w:rPr/>
        <w:t>to note that the average time in weeks (of the duration ranges) from the majority responses were obtained for ease of comparison. The responses and analysis are presented in Tables 5.9 and 5.10.</w:t>
      </w:r>
    </w:p>
    <w:p>
      <w:pPr>
        <w:spacing w:after="0" w:line="360" w:lineRule="auto"/>
        <w:jc w:val="both"/>
        <w:sectPr>
          <w:pgSz w:w="12240" w:h="15840"/>
          <w:pgMar w:header="0" w:footer="1036" w:top="1360" w:bottom="1220" w:left="1200" w:right="600"/>
        </w:sectPr>
      </w:pPr>
    </w:p>
    <w:p>
      <w:pPr>
        <w:pStyle w:val="Heading4"/>
        <w:spacing w:before="76"/>
        <w:jc w:val="left"/>
      </w:pPr>
      <w:r>
        <w:rPr/>
        <w:t>Table</w:t>
      </w:r>
      <w:r>
        <w:rPr>
          <w:spacing w:val="-4"/>
        </w:rPr>
        <w:t> </w:t>
      </w:r>
      <w:r>
        <w:rPr/>
        <w:t>5.9.</w:t>
      </w:r>
      <w:r>
        <w:rPr>
          <w:spacing w:val="-1"/>
        </w:rPr>
        <w:t> </w:t>
      </w:r>
      <w:r>
        <w:rPr/>
        <w:t>Responses</w:t>
      </w:r>
      <w:r>
        <w:rPr>
          <w:spacing w:val="-1"/>
        </w:rPr>
        <w:t> </w:t>
      </w:r>
      <w:r>
        <w:rPr/>
        <w:t>on</w:t>
      </w:r>
      <w:r>
        <w:rPr>
          <w:spacing w:val="-3"/>
        </w:rPr>
        <w:t> </w:t>
      </w:r>
      <w:r>
        <w:rPr/>
        <w:t>Current</w:t>
      </w:r>
      <w:r>
        <w:rPr>
          <w:spacing w:val="-2"/>
        </w:rPr>
        <w:t> </w:t>
      </w:r>
      <w:r>
        <w:rPr/>
        <w:t>Housing</w:t>
      </w:r>
      <w:r>
        <w:rPr>
          <w:spacing w:val="-1"/>
        </w:rPr>
        <w:t> </w:t>
      </w:r>
      <w:r>
        <w:rPr/>
        <w:t>Budget</w:t>
      </w:r>
      <w:r>
        <w:rPr>
          <w:spacing w:val="-1"/>
        </w:rPr>
        <w:t> </w:t>
      </w:r>
      <w:r>
        <w:rPr>
          <w:spacing w:val="-2"/>
        </w:rPr>
        <w:t>Duration</w:t>
      </w:r>
    </w:p>
    <w:p>
      <w:pPr>
        <w:pStyle w:val="BodyText"/>
        <w:spacing w:before="4"/>
        <w:rPr>
          <w:b/>
          <w:sz w:val="15"/>
        </w:rPr>
      </w:pPr>
    </w:p>
    <w:tbl>
      <w:tblPr>
        <w:tblW w:w="0" w:type="auto"/>
        <w:jc w:val="left"/>
        <w:tblInd w:w="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03"/>
        <w:gridCol w:w="810"/>
        <w:gridCol w:w="791"/>
        <w:gridCol w:w="822"/>
        <w:gridCol w:w="899"/>
        <w:gridCol w:w="901"/>
        <w:gridCol w:w="915"/>
        <w:gridCol w:w="1172"/>
      </w:tblGrid>
      <w:tr>
        <w:trPr>
          <w:trHeight w:val="505" w:hRule="atLeast"/>
        </w:trPr>
        <w:tc>
          <w:tcPr>
            <w:tcW w:w="3703" w:type="dxa"/>
            <w:tcBorders>
              <w:top w:val="single" w:sz="4" w:space="0" w:color="000000"/>
              <w:bottom w:val="single" w:sz="4" w:space="0" w:color="000000"/>
            </w:tcBorders>
          </w:tcPr>
          <w:p>
            <w:pPr>
              <w:pStyle w:val="TableParagraph"/>
              <w:spacing w:line="251" w:lineRule="exact"/>
              <w:ind w:left="122"/>
              <w:rPr>
                <w:b/>
                <w:sz w:val="22"/>
              </w:rPr>
            </w:pPr>
            <w:r>
              <w:rPr>
                <w:b/>
                <w:sz w:val="22"/>
              </w:rPr>
              <w:t>Budget</w:t>
            </w:r>
            <w:r>
              <w:rPr>
                <w:b/>
                <w:spacing w:val="-2"/>
                <w:sz w:val="22"/>
              </w:rPr>
              <w:t> Activity</w:t>
            </w:r>
          </w:p>
        </w:tc>
        <w:tc>
          <w:tcPr>
            <w:tcW w:w="810" w:type="dxa"/>
            <w:tcBorders>
              <w:top w:val="single" w:sz="4" w:space="0" w:color="000000"/>
              <w:bottom w:val="single" w:sz="4" w:space="0" w:color="000000"/>
            </w:tcBorders>
          </w:tcPr>
          <w:p>
            <w:pPr>
              <w:pStyle w:val="TableParagraph"/>
              <w:rPr>
                <w:sz w:val="22"/>
              </w:rPr>
            </w:pPr>
          </w:p>
        </w:tc>
        <w:tc>
          <w:tcPr>
            <w:tcW w:w="791" w:type="dxa"/>
            <w:tcBorders>
              <w:top w:val="single" w:sz="4" w:space="0" w:color="000000"/>
              <w:bottom w:val="single" w:sz="4" w:space="0" w:color="000000"/>
            </w:tcBorders>
          </w:tcPr>
          <w:p>
            <w:pPr>
              <w:pStyle w:val="TableParagraph"/>
              <w:rPr>
                <w:sz w:val="22"/>
              </w:rPr>
            </w:pPr>
          </w:p>
        </w:tc>
        <w:tc>
          <w:tcPr>
            <w:tcW w:w="1721" w:type="dxa"/>
            <w:gridSpan w:val="2"/>
            <w:tcBorders>
              <w:top w:val="single" w:sz="4" w:space="0" w:color="000000"/>
              <w:bottom w:val="single" w:sz="4" w:space="0" w:color="000000"/>
            </w:tcBorders>
          </w:tcPr>
          <w:p>
            <w:pPr>
              <w:pStyle w:val="TableParagraph"/>
              <w:spacing w:line="251" w:lineRule="exact"/>
              <w:ind w:left="536"/>
              <w:rPr>
                <w:b/>
                <w:sz w:val="22"/>
              </w:rPr>
            </w:pPr>
            <w:r>
              <w:rPr>
                <w:b/>
                <w:spacing w:val="-2"/>
                <w:sz w:val="22"/>
              </w:rPr>
              <w:t>Duration</w:t>
            </w:r>
          </w:p>
        </w:tc>
        <w:tc>
          <w:tcPr>
            <w:tcW w:w="901" w:type="dxa"/>
            <w:tcBorders>
              <w:top w:val="single" w:sz="4" w:space="0" w:color="000000"/>
              <w:bottom w:val="single" w:sz="4" w:space="0" w:color="000000"/>
            </w:tcBorders>
          </w:tcPr>
          <w:p>
            <w:pPr>
              <w:pStyle w:val="TableParagraph"/>
              <w:rPr>
                <w:sz w:val="22"/>
              </w:rPr>
            </w:pPr>
          </w:p>
        </w:tc>
        <w:tc>
          <w:tcPr>
            <w:tcW w:w="915" w:type="dxa"/>
            <w:tcBorders>
              <w:top w:val="single" w:sz="4" w:space="0" w:color="000000"/>
              <w:bottom w:val="single" w:sz="4" w:space="0" w:color="000000"/>
            </w:tcBorders>
          </w:tcPr>
          <w:p>
            <w:pPr>
              <w:pStyle w:val="TableParagraph"/>
              <w:rPr>
                <w:sz w:val="22"/>
              </w:rPr>
            </w:pPr>
          </w:p>
        </w:tc>
        <w:tc>
          <w:tcPr>
            <w:tcW w:w="1172" w:type="dxa"/>
            <w:tcBorders>
              <w:top w:val="single" w:sz="4" w:space="0" w:color="000000"/>
            </w:tcBorders>
          </w:tcPr>
          <w:p>
            <w:pPr>
              <w:pStyle w:val="TableParagraph"/>
              <w:ind w:left="138" w:firstLine="211"/>
              <w:rPr>
                <w:b/>
                <w:sz w:val="20"/>
              </w:rPr>
            </w:pPr>
            <w:r>
              <w:rPr>
                <w:b/>
                <w:spacing w:val="-2"/>
                <w:sz w:val="20"/>
              </w:rPr>
              <w:t>Total Responses</w:t>
            </w:r>
          </w:p>
        </w:tc>
      </w:tr>
      <w:tr>
        <w:trPr>
          <w:trHeight w:val="470" w:hRule="atLeast"/>
        </w:trPr>
        <w:tc>
          <w:tcPr>
            <w:tcW w:w="3703" w:type="dxa"/>
            <w:tcBorders>
              <w:top w:val="single" w:sz="4" w:space="0" w:color="000000"/>
              <w:bottom w:val="single" w:sz="4" w:space="0" w:color="000000"/>
            </w:tcBorders>
            <w:shd w:val="clear" w:color="auto" w:fill="DBE4F0"/>
          </w:tcPr>
          <w:p>
            <w:pPr>
              <w:pStyle w:val="TableParagraph"/>
              <w:rPr>
                <w:sz w:val="22"/>
              </w:rPr>
            </w:pPr>
          </w:p>
        </w:tc>
        <w:tc>
          <w:tcPr>
            <w:tcW w:w="810" w:type="dxa"/>
            <w:tcBorders>
              <w:top w:val="single" w:sz="4" w:space="0" w:color="000000"/>
              <w:bottom w:val="single" w:sz="4" w:space="0" w:color="000000"/>
            </w:tcBorders>
            <w:shd w:val="clear" w:color="auto" w:fill="DBE4F0"/>
          </w:tcPr>
          <w:p>
            <w:pPr>
              <w:pStyle w:val="TableParagraph"/>
              <w:spacing w:line="230" w:lineRule="atLeast"/>
              <w:ind w:left="113" w:right="82" w:firstLine="33"/>
              <w:rPr>
                <w:b/>
                <w:sz w:val="20"/>
              </w:rPr>
            </w:pPr>
            <w:r>
              <w:rPr>
                <w:b/>
                <w:spacing w:val="-2"/>
                <w:sz w:val="20"/>
              </w:rPr>
              <w:t>1day– </w:t>
            </w:r>
            <w:r>
              <w:rPr>
                <w:b/>
                <w:sz w:val="20"/>
              </w:rPr>
              <w:t>1 </w:t>
            </w:r>
            <w:r>
              <w:rPr>
                <w:b/>
                <w:spacing w:val="-4"/>
                <w:sz w:val="20"/>
              </w:rPr>
              <w:t>week</w:t>
            </w:r>
          </w:p>
        </w:tc>
        <w:tc>
          <w:tcPr>
            <w:tcW w:w="791" w:type="dxa"/>
            <w:tcBorders>
              <w:top w:val="single" w:sz="4" w:space="0" w:color="000000"/>
              <w:bottom w:val="single" w:sz="4" w:space="0" w:color="000000"/>
            </w:tcBorders>
            <w:shd w:val="clear" w:color="auto" w:fill="DBE4F0"/>
          </w:tcPr>
          <w:p>
            <w:pPr>
              <w:pStyle w:val="TableParagraph"/>
              <w:spacing w:before="7"/>
              <w:ind w:left="222"/>
              <w:rPr>
                <w:b/>
                <w:sz w:val="20"/>
              </w:rPr>
            </w:pPr>
            <w:r>
              <w:rPr>
                <w:b/>
                <w:sz w:val="20"/>
              </w:rPr>
              <w:t>2 - </w:t>
            </w:r>
            <w:r>
              <w:rPr>
                <w:b/>
                <w:spacing w:val="-10"/>
                <w:sz w:val="20"/>
              </w:rPr>
              <w:t>3</w:t>
            </w:r>
          </w:p>
          <w:p>
            <w:pPr>
              <w:pStyle w:val="TableParagraph"/>
              <w:spacing w:line="212" w:lineRule="exact" w:before="1"/>
              <w:ind w:left="150"/>
              <w:rPr>
                <w:b/>
                <w:sz w:val="20"/>
              </w:rPr>
            </w:pPr>
            <w:r>
              <w:rPr>
                <w:b/>
                <w:spacing w:val="-2"/>
                <w:sz w:val="20"/>
              </w:rPr>
              <w:t>weeks</w:t>
            </w:r>
          </w:p>
        </w:tc>
        <w:tc>
          <w:tcPr>
            <w:tcW w:w="822" w:type="dxa"/>
            <w:tcBorders>
              <w:top w:val="single" w:sz="4" w:space="0" w:color="000000"/>
              <w:bottom w:val="single" w:sz="4" w:space="0" w:color="000000"/>
            </w:tcBorders>
            <w:shd w:val="clear" w:color="auto" w:fill="DBE4F0"/>
          </w:tcPr>
          <w:p>
            <w:pPr>
              <w:pStyle w:val="TableParagraph"/>
              <w:spacing w:before="7"/>
              <w:ind w:left="23"/>
              <w:jc w:val="center"/>
              <w:rPr>
                <w:b/>
                <w:sz w:val="20"/>
              </w:rPr>
            </w:pPr>
            <w:r>
              <w:rPr>
                <w:b/>
                <w:spacing w:val="-10"/>
                <w:sz w:val="20"/>
              </w:rPr>
              <w:t>1</w:t>
            </w:r>
          </w:p>
          <w:p>
            <w:pPr>
              <w:pStyle w:val="TableParagraph"/>
              <w:spacing w:line="212" w:lineRule="exact" w:before="1"/>
              <w:ind w:left="23" w:right="1"/>
              <w:jc w:val="center"/>
              <w:rPr>
                <w:b/>
                <w:sz w:val="20"/>
              </w:rPr>
            </w:pPr>
            <w:r>
              <w:rPr>
                <w:b/>
                <w:spacing w:val="-2"/>
                <w:sz w:val="20"/>
              </w:rPr>
              <w:t>month</w:t>
            </w:r>
          </w:p>
        </w:tc>
        <w:tc>
          <w:tcPr>
            <w:tcW w:w="899" w:type="dxa"/>
            <w:tcBorders>
              <w:top w:val="single" w:sz="4" w:space="0" w:color="000000"/>
              <w:bottom w:val="single" w:sz="4" w:space="0" w:color="000000"/>
            </w:tcBorders>
            <w:shd w:val="clear" w:color="auto" w:fill="DBE4F0"/>
          </w:tcPr>
          <w:p>
            <w:pPr>
              <w:pStyle w:val="TableParagraph"/>
              <w:spacing w:before="7"/>
              <w:ind w:left="37"/>
              <w:jc w:val="center"/>
              <w:rPr>
                <w:b/>
                <w:sz w:val="20"/>
              </w:rPr>
            </w:pPr>
            <w:r>
              <w:rPr>
                <w:b/>
                <w:sz w:val="20"/>
              </w:rPr>
              <w:t>2</w:t>
            </w:r>
            <w:r>
              <w:rPr>
                <w:b/>
                <w:spacing w:val="-1"/>
                <w:sz w:val="20"/>
              </w:rPr>
              <w:t> </w:t>
            </w:r>
            <w:r>
              <w:rPr>
                <w:b/>
                <w:sz w:val="20"/>
              </w:rPr>
              <w:t>–</w:t>
            </w:r>
            <w:r>
              <w:rPr>
                <w:b/>
                <w:spacing w:val="-1"/>
                <w:sz w:val="20"/>
              </w:rPr>
              <w:t> </w:t>
            </w:r>
            <w:r>
              <w:rPr>
                <w:b/>
                <w:spacing w:val="-10"/>
                <w:sz w:val="20"/>
              </w:rPr>
              <w:t>3</w:t>
            </w:r>
          </w:p>
          <w:p>
            <w:pPr>
              <w:pStyle w:val="TableParagraph"/>
              <w:spacing w:line="212" w:lineRule="exact" w:before="1"/>
              <w:ind w:left="37" w:right="22"/>
              <w:jc w:val="center"/>
              <w:rPr>
                <w:b/>
                <w:sz w:val="20"/>
              </w:rPr>
            </w:pPr>
            <w:r>
              <w:rPr>
                <w:b/>
                <w:spacing w:val="-2"/>
                <w:sz w:val="20"/>
              </w:rPr>
              <w:t>months</w:t>
            </w:r>
          </w:p>
        </w:tc>
        <w:tc>
          <w:tcPr>
            <w:tcW w:w="901" w:type="dxa"/>
            <w:tcBorders>
              <w:top w:val="single" w:sz="4" w:space="0" w:color="000000"/>
              <w:bottom w:val="single" w:sz="4" w:space="0" w:color="000000"/>
            </w:tcBorders>
            <w:shd w:val="clear" w:color="auto" w:fill="DBE4F0"/>
          </w:tcPr>
          <w:p>
            <w:pPr>
              <w:pStyle w:val="TableParagraph"/>
              <w:spacing w:before="7"/>
              <w:ind w:left="15"/>
              <w:jc w:val="center"/>
              <w:rPr>
                <w:b/>
                <w:sz w:val="20"/>
              </w:rPr>
            </w:pPr>
            <w:r>
              <w:rPr>
                <w:b/>
                <w:sz w:val="20"/>
              </w:rPr>
              <w:t>4 – </w:t>
            </w:r>
            <w:r>
              <w:rPr>
                <w:b/>
                <w:spacing w:val="-10"/>
                <w:sz w:val="20"/>
              </w:rPr>
              <w:t>5</w:t>
            </w:r>
          </w:p>
          <w:p>
            <w:pPr>
              <w:pStyle w:val="TableParagraph"/>
              <w:spacing w:line="212" w:lineRule="exact" w:before="1"/>
              <w:ind w:left="15"/>
              <w:jc w:val="center"/>
              <w:rPr>
                <w:b/>
                <w:sz w:val="20"/>
              </w:rPr>
            </w:pPr>
            <w:r>
              <w:rPr>
                <w:b/>
                <w:spacing w:val="-2"/>
                <w:sz w:val="20"/>
              </w:rPr>
              <w:t>months</w:t>
            </w:r>
          </w:p>
        </w:tc>
        <w:tc>
          <w:tcPr>
            <w:tcW w:w="915" w:type="dxa"/>
            <w:tcBorders>
              <w:top w:val="single" w:sz="4" w:space="0" w:color="000000"/>
              <w:bottom w:val="single" w:sz="4" w:space="0" w:color="000000"/>
            </w:tcBorders>
            <w:shd w:val="clear" w:color="auto" w:fill="DBE4F0"/>
          </w:tcPr>
          <w:p>
            <w:pPr>
              <w:pStyle w:val="TableParagraph"/>
              <w:spacing w:before="7"/>
              <w:ind w:left="1"/>
              <w:jc w:val="center"/>
              <w:rPr>
                <w:b/>
                <w:sz w:val="20"/>
              </w:rPr>
            </w:pPr>
            <w:r>
              <w:rPr>
                <w:b/>
                <w:sz w:val="20"/>
              </w:rPr>
              <w:t>5 – </w:t>
            </w:r>
            <w:r>
              <w:rPr>
                <w:b/>
                <w:spacing w:val="-10"/>
                <w:sz w:val="20"/>
              </w:rPr>
              <w:t>7</w:t>
            </w:r>
          </w:p>
          <w:p>
            <w:pPr>
              <w:pStyle w:val="TableParagraph"/>
              <w:spacing w:line="212" w:lineRule="exact" w:before="1"/>
              <w:ind w:left="1" w:right="1"/>
              <w:jc w:val="center"/>
              <w:rPr>
                <w:b/>
                <w:sz w:val="20"/>
              </w:rPr>
            </w:pPr>
            <w:r>
              <w:rPr>
                <w:b/>
                <w:spacing w:val="-2"/>
                <w:sz w:val="20"/>
              </w:rPr>
              <w:t>months</w:t>
            </w:r>
          </w:p>
        </w:tc>
        <w:tc>
          <w:tcPr>
            <w:tcW w:w="1172" w:type="dxa"/>
            <w:tcBorders>
              <w:bottom w:val="single" w:sz="4" w:space="0" w:color="000000"/>
            </w:tcBorders>
          </w:tcPr>
          <w:p>
            <w:pPr>
              <w:pStyle w:val="TableParagraph"/>
              <w:rPr>
                <w:sz w:val="22"/>
              </w:rPr>
            </w:pPr>
          </w:p>
        </w:tc>
      </w:tr>
      <w:tr>
        <w:trPr>
          <w:trHeight w:val="230" w:hRule="atLeast"/>
        </w:trPr>
        <w:tc>
          <w:tcPr>
            <w:tcW w:w="3703" w:type="dxa"/>
            <w:tcBorders>
              <w:top w:val="single" w:sz="4" w:space="0" w:color="000000"/>
            </w:tcBorders>
          </w:tcPr>
          <w:p>
            <w:pPr>
              <w:pStyle w:val="TableParagraph"/>
              <w:spacing w:line="210" w:lineRule="exact"/>
              <w:ind w:left="122"/>
              <w:rPr>
                <w:b/>
                <w:sz w:val="20"/>
              </w:rPr>
            </w:pPr>
            <w:r>
              <w:rPr>
                <w:b/>
                <w:sz w:val="20"/>
              </w:rPr>
              <w:t>Planning</w:t>
            </w:r>
            <w:r>
              <w:rPr>
                <w:b/>
                <w:spacing w:val="-5"/>
                <w:sz w:val="20"/>
              </w:rPr>
              <w:t> </w:t>
            </w:r>
            <w:r>
              <w:rPr>
                <w:b/>
                <w:sz w:val="20"/>
              </w:rPr>
              <w:t>&amp;</w:t>
            </w:r>
            <w:r>
              <w:rPr>
                <w:b/>
                <w:spacing w:val="-4"/>
                <w:sz w:val="20"/>
              </w:rPr>
              <w:t> </w:t>
            </w:r>
            <w:r>
              <w:rPr>
                <w:b/>
                <w:sz w:val="20"/>
              </w:rPr>
              <w:t>Preparation</w:t>
            </w:r>
            <w:r>
              <w:rPr>
                <w:b/>
                <w:spacing w:val="-4"/>
                <w:sz w:val="20"/>
              </w:rPr>
              <w:t> </w:t>
            </w:r>
            <w:r>
              <w:rPr>
                <w:b/>
                <w:sz w:val="20"/>
              </w:rPr>
              <w:t>of</w:t>
            </w:r>
            <w:r>
              <w:rPr>
                <w:b/>
                <w:spacing w:val="-4"/>
                <w:sz w:val="20"/>
              </w:rPr>
              <w:t> </w:t>
            </w:r>
            <w:r>
              <w:rPr>
                <w:b/>
                <w:sz w:val="20"/>
              </w:rPr>
              <w:t>Sector</w:t>
            </w:r>
            <w:r>
              <w:rPr>
                <w:b/>
                <w:spacing w:val="-4"/>
                <w:sz w:val="20"/>
              </w:rPr>
              <w:t> </w:t>
            </w:r>
            <w:r>
              <w:rPr>
                <w:b/>
                <w:spacing w:val="-2"/>
                <w:sz w:val="20"/>
              </w:rPr>
              <w:t>limits</w:t>
            </w:r>
          </w:p>
        </w:tc>
        <w:tc>
          <w:tcPr>
            <w:tcW w:w="810" w:type="dxa"/>
            <w:tcBorders>
              <w:top w:val="single" w:sz="4" w:space="0" w:color="000000"/>
            </w:tcBorders>
          </w:tcPr>
          <w:p>
            <w:pPr>
              <w:pStyle w:val="TableParagraph"/>
              <w:spacing w:line="210" w:lineRule="exact"/>
              <w:ind w:left="108"/>
              <w:rPr>
                <w:sz w:val="20"/>
              </w:rPr>
            </w:pPr>
            <w:r>
              <w:rPr>
                <w:spacing w:val="-5"/>
                <w:sz w:val="20"/>
              </w:rPr>
              <w:t>36</w:t>
            </w:r>
          </w:p>
        </w:tc>
        <w:tc>
          <w:tcPr>
            <w:tcW w:w="791" w:type="dxa"/>
            <w:tcBorders>
              <w:top w:val="single" w:sz="4" w:space="0" w:color="000000"/>
            </w:tcBorders>
          </w:tcPr>
          <w:p>
            <w:pPr>
              <w:pStyle w:val="TableParagraph"/>
              <w:spacing w:line="210" w:lineRule="exact"/>
              <w:ind w:left="109"/>
              <w:rPr>
                <w:sz w:val="20"/>
              </w:rPr>
            </w:pPr>
            <w:r>
              <w:rPr>
                <w:spacing w:val="-5"/>
                <w:sz w:val="20"/>
              </w:rPr>
              <w:t>73</w:t>
            </w:r>
          </w:p>
        </w:tc>
        <w:tc>
          <w:tcPr>
            <w:tcW w:w="822" w:type="dxa"/>
            <w:tcBorders>
              <w:top w:val="single" w:sz="4" w:space="0" w:color="000000"/>
            </w:tcBorders>
          </w:tcPr>
          <w:p>
            <w:pPr>
              <w:pStyle w:val="TableParagraph"/>
              <w:spacing w:line="210" w:lineRule="exact"/>
              <w:ind w:left="128"/>
              <w:rPr>
                <w:sz w:val="20"/>
              </w:rPr>
            </w:pPr>
            <w:r>
              <w:rPr>
                <w:spacing w:val="-5"/>
                <w:sz w:val="20"/>
              </w:rPr>
              <w:t>23</w:t>
            </w:r>
          </w:p>
        </w:tc>
        <w:tc>
          <w:tcPr>
            <w:tcW w:w="899" w:type="dxa"/>
            <w:tcBorders>
              <w:top w:val="single" w:sz="4" w:space="0" w:color="000000"/>
            </w:tcBorders>
          </w:tcPr>
          <w:p>
            <w:pPr>
              <w:pStyle w:val="TableParagraph"/>
              <w:spacing w:line="210" w:lineRule="exact"/>
              <w:ind w:left="117"/>
              <w:rPr>
                <w:sz w:val="20"/>
              </w:rPr>
            </w:pPr>
            <w:r>
              <w:rPr>
                <w:spacing w:val="-5"/>
                <w:sz w:val="20"/>
              </w:rPr>
              <w:t>12</w:t>
            </w:r>
          </w:p>
        </w:tc>
        <w:tc>
          <w:tcPr>
            <w:tcW w:w="901" w:type="dxa"/>
            <w:tcBorders>
              <w:top w:val="single" w:sz="4" w:space="0" w:color="000000"/>
            </w:tcBorders>
          </w:tcPr>
          <w:p>
            <w:pPr>
              <w:pStyle w:val="TableParagraph"/>
              <w:spacing w:line="210" w:lineRule="exact"/>
              <w:ind w:left="118"/>
              <w:rPr>
                <w:sz w:val="20"/>
              </w:rPr>
            </w:pPr>
            <w:r>
              <w:rPr>
                <w:spacing w:val="-5"/>
                <w:sz w:val="20"/>
              </w:rPr>
              <w:t>12</w:t>
            </w:r>
          </w:p>
        </w:tc>
        <w:tc>
          <w:tcPr>
            <w:tcW w:w="915" w:type="dxa"/>
            <w:tcBorders>
              <w:top w:val="single" w:sz="4" w:space="0" w:color="000000"/>
            </w:tcBorders>
          </w:tcPr>
          <w:p>
            <w:pPr>
              <w:pStyle w:val="TableParagraph"/>
              <w:spacing w:line="210" w:lineRule="exact"/>
              <w:ind w:left="117"/>
              <w:rPr>
                <w:sz w:val="20"/>
              </w:rPr>
            </w:pPr>
            <w:r>
              <w:rPr>
                <w:spacing w:val="-10"/>
                <w:sz w:val="20"/>
              </w:rPr>
              <w:t>0</w:t>
            </w:r>
          </w:p>
        </w:tc>
        <w:tc>
          <w:tcPr>
            <w:tcW w:w="1172" w:type="dxa"/>
            <w:tcBorders>
              <w:top w:val="single" w:sz="4" w:space="0" w:color="000000"/>
            </w:tcBorders>
          </w:tcPr>
          <w:p>
            <w:pPr>
              <w:pStyle w:val="TableParagraph"/>
              <w:spacing w:line="210" w:lineRule="exact"/>
              <w:ind w:left="102"/>
              <w:rPr>
                <w:sz w:val="20"/>
              </w:rPr>
            </w:pPr>
            <w:r>
              <w:rPr>
                <w:spacing w:val="-5"/>
                <w:sz w:val="20"/>
              </w:rPr>
              <w:t>156</w:t>
            </w:r>
          </w:p>
        </w:tc>
      </w:tr>
      <w:tr>
        <w:trPr>
          <w:trHeight w:val="230" w:hRule="atLeast"/>
        </w:trPr>
        <w:tc>
          <w:tcPr>
            <w:tcW w:w="3703" w:type="dxa"/>
            <w:shd w:val="clear" w:color="auto" w:fill="DBE4F0"/>
          </w:tcPr>
          <w:p>
            <w:pPr>
              <w:pStyle w:val="TableParagraph"/>
              <w:spacing w:line="210" w:lineRule="exact"/>
              <w:ind w:left="122"/>
              <w:rPr>
                <w:b/>
                <w:sz w:val="20"/>
              </w:rPr>
            </w:pPr>
            <w:r>
              <w:rPr>
                <w:b/>
                <w:sz w:val="20"/>
              </w:rPr>
              <w:t>Issuance</w:t>
            </w:r>
            <w:r>
              <w:rPr>
                <w:b/>
                <w:spacing w:val="-4"/>
                <w:sz w:val="20"/>
              </w:rPr>
              <w:t> </w:t>
            </w:r>
            <w:r>
              <w:rPr>
                <w:b/>
                <w:sz w:val="20"/>
              </w:rPr>
              <w:t>of</w:t>
            </w:r>
            <w:r>
              <w:rPr>
                <w:b/>
                <w:spacing w:val="-4"/>
                <w:sz w:val="20"/>
              </w:rPr>
              <w:t> </w:t>
            </w:r>
            <w:r>
              <w:rPr>
                <w:b/>
                <w:sz w:val="20"/>
              </w:rPr>
              <w:t>Call</w:t>
            </w:r>
            <w:r>
              <w:rPr>
                <w:b/>
                <w:spacing w:val="-5"/>
                <w:sz w:val="20"/>
              </w:rPr>
              <w:t> </w:t>
            </w:r>
            <w:r>
              <w:rPr>
                <w:b/>
                <w:spacing w:val="-2"/>
                <w:sz w:val="20"/>
              </w:rPr>
              <w:t>Circular</w:t>
            </w:r>
          </w:p>
        </w:tc>
        <w:tc>
          <w:tcPr>
            <w:tcW w:w="810" w:type="dxa"/>
            <w:shd w:val="clear" w:color="auto" w:fill="DBE4F0"/>
          </w:tcPr>
          <w:p>
            <w:pPr>
              <w:pStyle w:val="TableParagraph"/>
              <w:spacing w:line="210" w:lineRule="exact"/>
              <w:ind w:left="108"/>
              <w:rPr>
                <w:sz w:val="20"/>
              </w:rPr>
            </w:pPr>
            <w:r>
              <w:rPr>
                <w:spacing w:val="-5"/>
                <w:sz w:val="20"/>
              </w:rPr>
              <w:t>89</w:t>
            </w:r>
          </w:p>
        </w:tc>
        <w:tc>
          <w:tcPr>
            <w:tcW w:w="791" w:type="dxa"/>
            <w:shd w:val="clear" w:color="auto" w:fill="DBE4F0"/>
          </w:tcPr>
          <w:p>
            <w:pPr>
              <w:pStyle w:val="TableParagraph"/>
              <w:spacing w:line="210" w:lineRule="exact"/>
              <w:ind w:left="109"/>
              <w:rPr>
                <w:sz w:val="20"/>
              </w:rPr>
            </w:pPr>
            <w:r>
              <w:rPr>
                <w:spacing w:val="-5"/>
                <w:sz w:val="20"/>
              </w:rPr>
              <w:t>45</w:t>
            </w:r>
          </w:p>
        </w:tc>
        <w:tc>
          <w:tcPr>
            <w:tcW w:w="822" w:type="dxa"/>
            <w:shd w:val="clear" w:color="auto" w:fill="DBE4F0"/>
          </w:tcPr>
          <w:p>
            <w:pPr>
              <w:pStyle w:val="TableParagraph"/>
              <w:spacing w:line="210" w:lineRule="exact"/>
              <w:ind w:left="128"/>
              <w:rPr>
                <w:sz w:val="20"/>
              </w:rPr>
            </w:pPr>
            <w:r>
              <w:rPr>
                <w:spacing w:val="-5"/>
                <w:sz w:val="20"/>
              </w:rPr>
              <w:t>22</w:t>
            </w:r>
          </w:p>
        </w:tc>
        <w:tc>
          <w:tcPr>
            <w:tcW w:w="899" w:type="dxa"/>
            <w:shd w:val="clear" w:color="auto" w:fill="DBE4F0"/>
          </w:tcPr>
          <w:p>
            <w:pPr>
              <w:pStyle w:val="TableParagraph"/>
              <w:spacing w:line="210" w:lineRule="exact"/>
              <w:ind w:left="117"/>
              <w:rPr>
                <w:sz w:val="20"/>
              </w:rPr>
            </w:pPr>
            <w:r>
              <w:rPr>
                <w:spacing w:val="-10"/>
                <w:sz w:val="20"/>
              </w:rPr>
              <w:t>0</w:t>
            </w:r>
          </w:p>
        </w:tc>
        <w:tc>
          <w:tcPr>
            <w:tcW w:w="901" w:type="dxa"/>
            <w:shd w:val="clear" w:color="auto" w:fill="DBE4F0"/>
          </w:tcPr>
          <w:p>
            <w:pPr>
              <w:pStyle w:val="TableParagraph"/>
              <w:spacing w:line="210" w:lineRule="exact"/>
              <w:ind w:left="118"/>
              <w:rPr>
                <w:sz w:val="20"/>
              </w:rPr>
            </w:pPr>
            <w:r>
              <w:rPr>
                <w:spacing w:val="-10"/>
                <w:sz w:val="20"/>
              </w:rPr>
              <w:t>0</w:t>
            </w:r>
          </w:p>
        </w:tc>
        <w:tc>
          <w:tcPr>
            <w:tcW w:w="915" w:type="dxa"/>
            <w:shd w:val="clear" w:color="auto" w:fill="DBE4F0"/>
          </w:tcPr>
          <w:p>
            <w:pPr>
              <w:pStyle w:val="TableParagraph"/>
              <w:spacing w:line="210" w:lineRule="exact"/>
              <w:ind w:left="117"/>
              <w:rPr>
                <w:sz w:val="20"/>
              </w:rPr>
            </w:pPr>
            <w:r>
              <w:rPr>
                <w:spacing w:val="-10"/>
                <w:sz w:val="20"/>
              </w:rPr>
              <w:t>0</w:t>
            </w:r>
          </w:p>
        </w:tc>
        <w:tc>
          <w:tcPr>
            <w:tcW w:w="1172" w:type="dxa"/>
            <w:shd w:val="clear" w:color="auto" w:fill="DBE4F0"/>
          </w:tcPr>
          <w:p>
            <w:pPr>
              <w:pStyle w:val="TableParagraph"/>
              <w:spacing w:line="210" w:lineRule="exact"/>
              <w:ind w:left="102"/>
              <w:rPr>
                <w:sz w:val="20"/>
              </w:rPr>
            </w:pPr>
            <w:r>
              <w:rPr>
                <w:spacing w:val="-5"/>
                <w:sz w:val="20"/>
              </w:rPr>
              <w:t>156</w:t>
            </w:r>
          </w:p>
        </w:tc>
      </w:tr>
      <w:tr>
        <w:trPr>
          <w:trHeight w:val="458" w:hRule="atLeast"/>
        </w:trPr>
        <w:tc>
          <w:tcPr>
            <w:tcW w:w="3703" w:type="dxa"/>
          </w:tcPr>
          <w:p>
            <w:pPr>
              <w:pStyle w:val="TableParagraph"/>
              <w:spacing w:line="228" w:lineRule="exact"/>
              <w:ind w:left="122"/>
              <w:rPr>
                <w:b/>
                <w:sz w:val="20"/>
              </w:rPr>
            </w:pPr>
            <w:r>
              <w:rPr>
                <w:b/>
                <w:sz w:val="20"/>
              </w:rPr>
              <w:t>Submission</w:t>
            </w:r>
            <w:r>
              <w:rPr>
                <w:b/>
                <w:spacing w:val="80"/>
                <w:sz w:val="20"/>
              </w:rPr>
              <w:t> </w:t>
            </w:r>
            <w:r>
              <w:rPr>
                <w:b/>
                <w:sz w:val="20"/>
              </w:rPr>
              <w:t>of</w:t>
            </w:r>
            <w:r>
              <w:rPr>
                <w:b/>
                <w:spacing w:val="80"/>
                <w:sz w:val="20"/>
              </w:rPr>
              <w:t> </w:t>
            </w:r>
            <w:r>
              <w:rPr>
                <w:b/>
                <w:sz w:val="20"/>
              </w:rPr>
              <w:t>budget</w:t>
            </w:r>
            <w:r>
              <w:rPr>
                <w:b/>
                <w:spacing w:val="80"/>
                <w:sz w:val="20"/>
              </w:rPr>
              <w:t> </w:t>
            </w:r>
            <w:r>
              <w:rPr>
                <w:b/>
                <w:sz w:val="20"/>
              </w:rPr>
              <w:t>proposals</w:t>
            </w:r>
            <w:r>
              <w:rPr>
                <w:b/>
                <w:spacing w:val="80"/>
                <w:sz w:val="20"/>
              </w:rPr>
              <w:t> </w:t>
            </w:r>
            <w:r>
              <w:rPr>
                <w:b/>
                <w:sz w:val="20"/>
              </w:rPr>
              <w:t>by </w:t>
            </w:r>
            <w:r>
              <w:rPr>
                <w:b/>
                <w:spacing w:val="-4"/>
                <w:sz w:val="20"/>
              </w:rPr>
              <w:t>MDAs</w:t>
            </w:r>
          </w:p>
        </w:tc>
        <w:tc>
          <w:tcPr>
            <w:tcW w:w="810" w:type="dxa"/>
          </w:tcPr>
          <w:p>
            <w:pPr>
              <w:pStyle w:val="TableParagraph"/>
              <w:spacing w:line="223" w:lineRule="exact"/>
              <w:ind w:left="108"/>
              <w:rPr>
                <w:sz w:val="20"/>
              </w:rPr>
            </w:pPr>
            <w:r>
              <w:rPr>
                <w:spacing w:val="-5"/>
                <w:sz w:val="20"/>
              </w:rPr>
              <w:t>28</w:t>
            </w:r>
          </w:p>
        </w:tc>
        <w:tc>
          <w:tcPr>
            <w:tcW w:w="791" w:type="dxa"/>
          </w:tcPr>
          <w:p>
            <w:pPr>
              <w:pStyle w:val="TableParagraph"/>
              <w:spacing w:line="223" w:lineRule="exact"/>
              <w:ind w:left="109"/>
              <w:rPr>
                <w:sz w:val="20"/>
              </w:rPr>
            </w:pPr>
            <w:r>
              <w:rPr>
                <w:spacing w:val="-5"/>
                <w:sz w:val="20"/>
              </w:rPr>
              <w:t>72</w:t>
            </w:r>
          </w:p>
        </w:tc>
        <w:tc>
          <w:tcPr>
            <w:tcW w:w="822" w:type="dxa"/>
          </w:tcPr>
          <w:p>
            <w:pPr>
              <w:pStyle w:val="TableParagraph"/>
              <w:spacing w:line="223" w:lineRule="exact"/>
              <w:ind w:left="128"/>
              <w:rPr>
                <w:sz w:val="20"/>
              </w:rPr>
            </w:pPr>
            <w:r>
              <w:rPr>
                <w:spacing w:val="-5"/>
                <w:sz w:val="20"/>
              </w:rPr>
              <w:t>56</w:t>
            </w:r>
          </w:p>
        </w:tc>
        <w:tc>
          <w:tcPr>
            <w:tcW w:w="899" w:type="dxa"/>
          </w:tcPr>
          <w:p>
            <w:pPr>
              <w:pStyle w:val="TableParagraph"/>
              <w:spacing w:line="223" w:lineRule="exact"/>
              <w:ind w:left="117"/>
              <w:rPr>
                <w:sz w:val="20"/>
              </w:rPr>
            </w:pPr>
            <w:r>
              <w:rPr>
                <w:spacing w:val="-10"/>
                <w:sz w:val="20"/>
              </w:rPr>
              <w:t>0</w:t>
            </w:r>
          </w:p>
        </w:tc>
        <w:tc>
          <w:tcPr>
            <w:tcW w:w="901" w:type="dxa"/>
          </w:tcPr>
          <w:p>
            <w:pPr>
              <w:pStyle w:val="TableParagraph"/>
              <w:spacing w:line="223" w:lineRule="exact"/>
              <w:ind w:left="118"/>
              <w:rPr>
                <w:sz w:val="20"/>
              </w:rPr>
            </w:pPr>
            <w:r>
              <w:rPr>
                <w:spacing w:val="-10"/>
                <w:sz w:val="20"/>
              </w:rPr>
              <w:t>0</w:t>
            </w:r>
          </w:p>
        </w:tc>
        <w:tc>
          <w:tcPr>
            <w:tcW w:w="915" w:type="dxa"/>
          </w:tcPr>
          <w:p>
            <w:pPr>
              <w:pStyle w:val="TableParagraph"/>
              <w:spacing w:line="223" w:lineRule="exact"/>
              <w:ind w:left="117"/>
              <w:rPr>
                <w:sz w:val="20"/>
              </w:rPr>
            </w:pPr>
            <w:r>
              <w:rPr>
                <w:spacing w:val="-10"/>
                <w:sz w:val="20"/>
              </w:rPr>
              <w:t>0</w:t>
            </w:r>
          </w:p>
        </w:tc>
        <w:tc>
          <w:tcPr>
            <w:tcW w:w="1172" w:type="dxa"/>
          </w:tcPr>
          <w:p>
            <w:pPr>
              <w:pStyle w:val="TableParagraph"/>
              <w:spacing w:line="223" w:lineRule="exact"/>
              <w:ind w:left="102"/>
              <w:rPr>
                <w:sz w:val="20"/>
              </w:rPr>
            </w:pPr>
            <w:r>
              <w:rPr>
                <w:spacing w:val="-5"/>
                <w:sz w:val="20"/>
              </w:rPr>
              <w:t>156</w:t>
            </w:r>
          </w:p>
        </w:tc>
      </w:tr>
      <w:tr>
        <w:trPr>
          <w:trHeight w:val="460" w:hRule="atLeast"/>
        </w:trPr>
        <w:tc>
          <w:tcPr>
            <w:tcW w:w="3703" w:type="dxa"/>
            <w:shd w:val="clear" w:color="auto" w:fill="DBE4F0"/>
          </w:tcPr>
          <w:p>
            <w:pPr>
              <w:pStyle w:val="TableParagraph"/>
              <w:spacing w:line="230" w:lineRule="exact"/>
              <w:ind w:left="122"/>
              <w:rPr>
                <w:b/>
                <w:sz w:val="20"/>
              </w:rPr>
            </w:pPr>
            <w:r>
              <w:rPr>
                <w:b/>
                <w:sz w:val="20"/>
              </w:rPr>
              <w:t>Bilateral</w:t>
            </w:r>
            <w:r>
              <w:rPr>
                <w:b/>
                <w:spacing w:val="80"/>
                <w:sz w:val="20"/>
              </w:rPr>
              <w:t> </w:t>
            </w:r>
            <w:r>
              <w:rPr>
                <w:b/>
                <w:sz w:val="20"/>
              </w:rPr>
              <w:t>discussions</w:t>
            </w:r>
            <w:r>
              <w:rPr>
                <w:b/>
                <w:spacing w:val="80"/>
                <w:sz w:val="20"/>
              </w:rPr>
              <w:t> </w:t>
            </w:r>
            <w:r>
              <w:rPr>
                <w:b/>
                <w:sz w:val="20"/>
              </w:rPr>
              <w:t>and</w:t>
            </w:r>
            <w:r>
              <w:rPr>
                <w:b/>
                <w:spacing w:val="80"/>
                <w:sz w:val="20"/>
              </w:rPr>
              <w:t> </w:t>
            </w:r>
            <w:r>
              <w:rPr>
                <w:b/>
                <w:sz w:val="20"/>
              </w:rPr>
              <w:t>defense</w:t>
            </w:r>
            <w:r>
              <w:rPr>
                <w:b/>
                <w:spacing w:val="80"/>
                <w:sz w:val="20"/>
              </w:rPr>
              <w:t> </w:t>
            </w:r>
            <w:r>
              <w:rPr>
                <w:b/>
                <w:sz w:val="20"/>
              </w:rPr>
              <w:t>of </w:t>
            </w:r>
            <w:r>
              <w:rPr>
                <w:b/>
                <w:spacing w:val="-2"/>
                <w:sz w:val="20"/>
              </w:rPr>
              <w:t>proposals</w:t>
            </w:r>
          </w:p>
        </w:tc>
        <w:tc>
          <w:tcPr>
            <w:tcW w:w="810" w:type="dxa"/>
            <w:shd w:val="clear" w:color="auto" w:fill="DBE4F0"/>
          </w:tcPr>
          <w:p>
            <w:pPr>
              <w:pStyle w:val="TableParagraph"/>
              <w:spacing w:line="223" w:lineRule="exact"/>
              <w:ind w:left="108"/>
              <w:rPr>
                <w:sz w:val="20"/>
              </w:rPr>
            </w:pPr>
            <w:r>
              <w:rPr>
                <w:spacing w:val="-5"/>
                <w:sz w:val="20"/>
              </w:rPr>
              <w:t>16</w:t>
            </w:r>
          </w:p>
        </w:tc>
        <w:tc>
          <w:tcPr>
            <w:tcW w:w="791" w:type="dxa"/>
            <w:shd w:val="clear" w:color="auto" w:fill="DBE4F0"/>
          </w:tcPr>
          <w:p>
            <w:pPr>
              <w:pStyle w:val="TableParagraph"/>
              <w:spacing w:line="223" w:lineRule="exact"/>
              <w:ind w:left="109"/>
              <w:rPr>
                <w:sz w:val="20"/>
              </w:rPr>
            </w:pPr>
            <w:r>
              <w:rPr>
                <w:spacing w:val="-5"/>
                <w:sz w:val="20"/>
              </w:rPr>
              <w:t>94</w:t>
            </w:r>
          </w:p>
        </w:tc>
        <w:tc>
          <w:tcPr>
            <w:tcW w:w="822" w:type="dxa"/>
            <w:shd w:val="clear" w:color="auto" w:fill="DBE4F0"/>
          </w:tcPr>
          <w:p>
            <w:pPr>
              <w:pStyle w:val="TableParagraph"/>
              <w:spacing w:line="223" w:lineRule="exact"/>
              <w:ind w:left="128"/>
              <w:rPr>
                <w:sz w:val="20"/>
              </w:rPr>
            </w:pPr>
            <w:r>
              <w:rPr>
                <w:spacing w:val="-5"/>
                <w:sz w:val="20"/>
              </w:rPr>
              <w:t>46</w:t>
            </w:r>
          </w:p>
        </w:tc>
        <w:tc>
          <w:tcPr>
            <w:tcW w:w="899" w:type="dxa"/>
            <w:shd w:val="clear" w:color="auto" w:fill="DBE4F0"/>
          </w:tcPr>
          <w:p>
            <w:pPr>
              <w:pStyle w:val="TableParagraph"/>
              <w:spacing w:line="223" w:lineRule="exact"/>
              <w:ind w:left="117"/>
              <w:rPr>
                <w:sz w:val="20"/>
              </w:rPr>
            </w:pPr>
            <w:r>
              <w:rPr>
                <w:spacing w:val="-10"/>
                <w:sz w:val="20"/>
              </w:rPr>
              <w:t>0</w:t>
            </w:r>
          </w:p>
        </w:tc>
        <w:tc>
          <w:tcPr>
            <w:tcW w:w="901" w:type="dxa"/>
            <w:shd w:val="clear" w:color="auto" w:fill="DBE4F0"/>
          </w:tcPr>
          <w:p>
            <w:pPr>
              <w:pStyle w:val="TableParagraph"/>
              <w:spacing w:line="223" w:lineRule="exact"/>
              <w:ind w:left="118"/>
              <w:rPr>
                <w:sz w:val="20"/>
              </w:rPr>
            </w:pPr>
            <w:r>
              <w:rPr>
                <w:spacing w:val="-10"/>
                <w:sz w:val="20"/>
              </w:rPr>
              <w:t>0</w:t>
            </w:r>
          </w:p>
        </w:tc>
        <w:tc>
          <w:tcPr>
            <w:tcW w:w="915" w:type="dxa"/>
            <w:shd w:val="clear" w:color="auto" w:fill="DBE4F0"/>
          </w:tcPr>
          <w:p>
            <w:pPr>
              <w:pStyle w:val="TableParagraph"/>
              <w:spacing w:line="223" w:lineRule="exact"/>
              <w:ind w:left="117"/>
              <w:rPr>
                <w:sz w:val="20"/>
              </w:rPr>
            </w:pPr>
            <w:r>
              <w:rPr>
                <w:spacing w:val="-10"/>
                <w:sz w:val="20"/>
              </w:rPr>
              <w:t>0</w:t>
            </w:r>
          </w:p>
        </w:tc>
        <w:tc>
          <w:tcPr>
            <w:tcW w:w="1172" w:type="dxa"/>
            <w:shd w:val="clear" w:color="auto" w:fill="DBE4F0"/>
          </w:tcPr>
          <w:p>
            <w:pPr>
              <w:pStyle w:val="TableParagraph"/>
              <w:spacing w:line="223" w:lineRule="exact"/>
              <w:ind w:left="102"/>
              <w:rPr>
                <w:sz w:val="20"/>
              </w:rPr>
            </w:pPr>
            <w:r>
              <w:rPr>
                <w:spacing w:val="-5"/>
                <w:sz w:val="20"/>
              </w:rPr>
              <w:t>156</w:t>
            </w:r>
          </w:p>
        </w:tc>
      </w:tr>
      <w:tr>
        <w:trPr>
          <w:trHeight w:val="688" w:hRule="atLeast"/>
        </w:trPr>
        <w:tc>
          <w:tcPr>
            <w:tcW w:w="3703" w:type="dxa"/>
          </w:tcPr>
          <w:p>
            <w:pPr>
              <w:pStyle w:val="TableParagraph"/>
              <w:spacing w:line="230" w:lineRule="exact"/>
              <w:ind w:left="122" w:right="110"/>
              <w:jc w:val="both"/>
              <w:rPr>
                <w:b/>
                <w:sz w:val="20"/>
              </w:rPr>
            </w:pPr>
            <w:r>
              <w:rPr>
                <w:b/>
                <w:sz w:val="20"/>
              </w:rPr>
              <w:t>Consolidation of proposals by </w:t>
            </w:r>
            <w:r>
              <w:rPr>
                <w:b/>
                <w:sz w:val="20"/>
              </w:rPr>
              <w:t>the Ministry of Budget and Economic </w:t>
            </w:r>
            <w:r>
              <w:rPr>
                <w:b/>
                <w:spacing w:val="-2"/>
                <w:sz w:val="20"/>
              </w:rPr>
              <w:t>Planning</w:t>
            </w:r>
          </w:p>
        </w:tc>
        <w:tc>
          <w:tcPr>
            <w:tcW w:w="810" w:type="dxa"/>
          </w:tcPr>
          <w:p>
            <w:pPr>
              <w:pStyle w:val="TableParagraph"/>
              <w:spacing w:line="223" w:lineRule="exact"/>
              <w:ind w:left="108"/>
              <w:rPr>
                <w:sz w:val="20"/>
              </w:rPr>
            </w:pPr>
            <w:r>
              <w:rPr>
                <w:spacing w:val="-10"/>
                <w:sz w:val="20"/>
              </w:rPr>
              <w:t>0</w:t>
            </w:r>
          </w:p>
        </w:tc>
        <w:tc>
          <w:tcPr>
            <w:tcW w:w="791" w:type="dxa"/>
          </w:tcPr>
          <w:p>
            <w:pPr>
              <w:pStyle w:val="TableParagraph"/>
              <w:spacing w:line="223" w:lineRule="exact"/>
              <w:ind w:left="109"/>
              <w:rPr>
                <w:sz w:val="20"/>
              </w:rPr>
            </w:pPr>
            <w:r>
              <w:rPr>
                <w:spacing w:val="-5"/>
                <w:sz w:val="20"/>
              </w:rPr>
              <w:t>62</w:t>
            </w:r>
          </w:p>
        </w:tc>
        <w:tc>
          <w:tcPr>
            <w:tcW w:w="822" w:type="dxa"/>
          </w:tcPr>
          <w:p>
            <w:pPr>
              <w:pStyle w:val="TableParagraph"/>
              <w:spacing w:line="223" w:lineRule="exact"/>
              <w:ind w:left="128"/>
              <w:rPr>
                <w:sz w:val="20"/>
              </w:rPr>
            </w:pPr>
            <w:r>
              <w:rPr>
                <w:spacing w:val="-5"/>
                <w:sz w:val="20"/>
              </w:rPr>
              <w:t>39</w:t>
            </w:r>
          </w:p>
        </w:tc>
        <w:tc>
          <w:tcPr>
            <w:tcW w:w="899" w:type="dxa"/>
          </w:tcPr>
          <w:p>
            <w:pPr>
              <w:pStyle w:val="TableParagraph"/>
              <w:spacing w:line="223" w:lineRule="exact"/>
              <w:ind w:left="117"/>
              <w:rPr>
                <w:sz w:val="20"/>
              </w:rPr>
            </w:pPr>
            <w:r>
              <w:rPr>
                <w:spacing w:val="-5"/>
                <w:sz w:val="20"/>
              </w:rPr>
              <w:t>43</w:t>
            </w:r>
          </w:p>
        </w:tc>
        <w:tc>
          <w:tcPr>
            <w:tcW w:w="901" w:type="dxa"/>
          </w:tcPr>
          <w:p>
            <w:pPr>
              <w:pStyle w:val="TableParagraph"/>
              <w:spacing w:line="223" w:lineRule="exact"/>
              <w:ind w:left="118"/>
              <w:rPr>
                <w:sz w:val="20"/>
              </w:rPr>
            </w:pPr>
            <w:r>
              <w:rPr>
                <w:spacing w:val="-5"/>
                <w:sz w:val="20"/>
              </w:rPr>
              <w:t>12</w:t>
            </w:r>
          </w:p>
        </w:tc>
        <w:tc>
          <w:tcPr>
            <w:tcW w:w="915" w:type="dxa"/>
          </w:tcPr>
          <w:p>
            <w:pPr>
              <w:pStyle w:val="TableParagraph"/>
              <w:spacing w:line="223" w:lineRule="exact"/>
              <w:ind w:left="117"/>
              <w:rPr>
                <w:sz w:val="20"/>
              </w:rPr>
            </w:pPr>
            <w:r>
              <w:rPr>
                <w:spacing w:val="-10"/>
                <w:sz w:val="20"/>
              </w:rPr>
              <w:t>0</w:t>
            </w:r>
          </w:p>
        </w:tc>
        <w:tc>
          <w:tcPr>
            <w:tcW w:w="1172" w:type="dxa"/>
          </w:tcPr>
          <w:p>
            <w:pPr>
              <w:pStyle w:val="TableParagraph"/>
              <w:spacing w:line="223" w:lineRule="exact"/>
              <w:ind w:left="102"/>
              <w:rPr>
                <w:sz w:val="20"/>
              </w:rPr>
            </w:pPr>
            <w:r>
              <w:rPr>
                <w:spacing w:val="-5"/>
                <w:sz w:val="20"/>
              </w:rPr>
              <w:t>156</w:t>
            </w:r>
          </w:p>
        </w:tc>
      </w:tr>
      <w:tr>
        <w:trPr>
          <w:trHeight w:val="460" w:hRule="atLeast"/>
        </w:trPr>
        <w:tc>
          <w:tcPr>
            <w:tcW w:w="3703" w:type="dxa"/>
            <w:shd w:val="clear" w:color="auto" w:fill="DBE4F0"/>
          </w:tcPr>
          <w:p>
            <w:pPr>
              <w:pStyle w:val="TableParagraph"/>
              <w:spacing w:line="230" w:lineRule="exact"/>
              <w:ind w:left="122"/>
              <w:rPr>
                <w:b/>
                <w:sz w:val="20"/>
              </w:rPr>
            </w:pPr>
            <w:r>
              <w:rPr>
                <w:b/>
                <w:sz w:val="20"/>
              </w:rPr>
              <w:t>Approval of draft proposal by the State Executive Council</w:t>
            </w:r>
          </w:p>
        </w:tc>
        <w:tc>
          <w:tcPr>
            <w:tcW w:w="810" w:type="dxa"/>
            <w:shd w:val="clear" w:color="auto" w:fill="DBE4F0"/>
          </w:tcPr>
          <w:p>
            <w:pPr>
              <w:pStyle w:val="TableParagraph"/>
              <w:spacing w:line="223" w:lineRule="exact"/>
              <w:ind w:left="108"/>
              <w:rPr>
                <w:sz w:val="20"/>
              </w:rPr>
            </w:pPr>
            <w:r>
              <w:rPr>
                <w:spacing w:val="-10"/>
                <w:sz w:val="20"/>
              </w:rPr>
              <w:t>0</w:t>
            </w:r>
          </w:p>
        </w:tc>
        <w:tc>
          <w:tcPr>
            <w:tcW w:w="791" w:type="dxa"/>
            <w:shd w:val="clear" w:color="auto" w:fill="DBE4F0"/>
          </w:tcPr>
          <w:p>
            <w:pPr>
              <w:pStyle w:val="TableParagraph"/>
              <w:spacing w:line="223" w:lineRule="exact"/>
              <w:ind w:left="109"/>
              <w:rPr>
                <w:sz w:val="20"/>
              </w:rPr>
            </w:pPr>
            <w:r>
              <w:rPr>
                <w:spacing w:val="-5"/>
                <w:sz w:val="20"/>
              </w:rPr>
              <w:t>48</w:t>
            </w:r>
          </w:p>
        </w:tc>
        <w:tc>
          <w:tcPr>
            <w:tcW w:w="822" w:type="dxa"/>
            <w:shd w:val="clear" w:color="auto" w:fill="DBE4F0"/>
          </w:tcPr>
          <w:p>
            <w:pPr>
              <w:pStyle w:val="TableParagraph"/>
              <w:spacing w:line="223" w:lineRule="exact"/>
              <w:ind w:left="128"/>
              <w:rPr>
                <w:sz w:val="20"/>
              </w:rPr>
            </w:pPr>
            <w:r>
              <w:rPr>
                <w:spacing w:val="-5"/>
                <w:sz w:val="20"/>
              </w:rPr>
              <w:t>84</w:t>
            </w:r>
          </w:p>
        </w:tc>
        <w:tc>
          <w:tcPr>
            <w:tcW w:w="899" w:type="dxa"/>
            <w:shd w:val="clear" w:color="auto" w:fill="DBE4F0"/>
          </w:tcPr>
          <w:p>
            <w:pPr>
              <w:pStyle w:val="TableParagraph"/>
              <w:spacing w:line="223" w:lineRule="exact"/>
              <w:ind w:left="117"/>
              <w:rPr>
                <w:sz w:val="20"/>
              </w:rPr>
            </w:pPr>
            <w:r>
              <w:rPr>
                <w:spacing w:val="-5"/>
                <w:sz w:val="20"/>
              </w:rPr>
              <w:t>12</w:t>
            </w:r>
          </w:p>
        </w:tc>
        <w:tc>
          <w:tcPr>
            <w:tcW w:w="901" w:type="dxa"/>
            <w:shd w:val="clear" w:color="auto" w:fill="DBE4F0"/>
          </w:tcPr>
          <w:p>
            <w:pPr>
              <w:pStyle w:val="TableParagraph"/>
              <w:spacing w:line="223" w:lineRule="exact"/>
              <w:ind w:left="118"/>
              <w:rPr>
                <w:sz w:val="20"/>
              </w:rPr>
            </w:pPr>
            <w:r>
              <w:rPr>
                <w:spacing w:val="-5"/>
                <w:sz w:val="20"/>
              </w:rPr>
              <w:t>12</w:t>
            </w:r>
          </w:p>
        </w:tc>
        <w:tc>
          <w:tcPr>
            <w:tcW w:w="915" w:type="dxa"/>
            <w:shd w:val="clear" w:color="auto" w:fill="DBE4F0"/>
          </w:tcPr>
          <w:p>
            <w:pPr>
              <w:pStyle w:val="TableParagraph"/>
              <w:spacing w:line="223" w:lineRule="exact"/>
              <w:ind w:left="117"/>
              <w:rPr>
                <w:sz w:val="20"/>
              </w:rPr>
            </w:pPr>
            <w:r>
              <w:rPr>
                <w:spacing w:val="-10"/>
                <w:sz w:val="20"/>
              </w:rPr>
              <w:t>0</w:t>
            </w:r>
          </w:p>
        </w:tc>
        <w:tc>
          <w:tcPr>
            <w:tcW w:w="1172" w:type="dxa"/>
            <w:shd w:val="clear" w:color="auto" w:fill="DBE4F0"/>
          </w:tcPr>
          <w:p>
            <w:pPr>
              <w:pStyle w:val="TableParagraph"/>
              <w:spacing w:line="223" w:lineRule="exact"/>
              <w:ind w:left="102"/>
              <w:rPr>
                <w:sz w:val="20"/>
              </w:rPr>
            </w:pPr>
            <w:r>
              <w:rPr>
                <w:spacing w:val="-5"/>
                <w:sz w:val="20"/>
              </w:rPr>
              <w:t>156</w:t>
            </w:r>
          </w:p>
        </w:tc>
      </w:tr>
      <w:tr>
        <w:trPr>
          <w:trHeight w:val="691" w:hRule="atLeast"/>
        </w:trPr>
        <w:tc>
          <w:tcPr>
            <w:tcW w:w="3703" w:type="dxa"/>
          </w:tcPr>
          <w:p>
            <w:pPr>
              <w:pStyle w:val="TableParagraph"/>
              <w:spacing w:line="230" w:lineRule="exact"/>
              <w:ind w:left="122" w:right="108"/>
              <w:jc w:val="both"/>
              <w:rPr>
                <w:b/>
                <w:sz w:val="20"/>
              </w:rPr>
            </w:pPr>
            <w:r>
              <w:rPr>
                <w:b/>
                <w:sz w:val="20"/>
              </w:rPr>
              <w:t>Presentation</w:t>
            </w:r>
            <w:r>
              <w:rPr>
                <w:b/>
                <w:spacing w:val="-1"/>
                <w:sz w:val="20"/>
              </w:rPr>
              <w:t> </w:t>
            </w:r>
            <w:r>
              <w:rPr>
                <w:b/>
                <w:sz w:val="20"/>
              </w:rPr>
              <w:t>of draft budget</w:t>
            </w:r>
            <w:r>
              <w:rPr>
                <w:b/>
                <w:spacing w:val="-1"/>
                <w:sz w:val="20"/>
              </w:rPr>
              <w:t> </w:t>
            </w:r>
            <w:r>
              <w:rPr>
                <w:b/>
                <w:sz w:val="20"/>
              </w:rPr>
              <w:t>to the State House of Assembly (Legislature) and final approval of budget</w:t>
            </w:r>
          </w:p>
        </w:tc>
        <w:tc>
          <w:tcPr>
            <w:tcW w:w="810" w:type="dxa"/>
          </w:tcPr>
          <w:p>
            <w:pPr>
              <w:pStyle w:val="TableParagraph"/>
              <w:spacing w:line="223" w:lineRule="exact"/>
              <w:ind w:left="108"/>
              <w:rPr>
                <w:sz w:val="20"/>
              </w:rPr>
            </w:pPr>
            <w:r>
              <w:rPr>
                <w:spacing w:val="-5"/>
                <w:sz w:val="20"/>
              </w:rPr>
              <w:t>12</w:t>
            </w:r>
          </w:p>
        </w:tc>
        <w:tc>
          <w:tcPr>
            <w:tcW w:w="791" w:type="dxa"/>
          </w:tcPr>
          <w:p>
            <w:pPr>
              <w:pStyle w:val="TableParagraph"/>
              <w:spacing w:line="223" w:lineRule="exact"/>
              <w:ind w:left="109"/>
              <w:rPr>
                <w:sz w:val="20"/>
              </w:rPr>
            </w:pPr>
            <w:r>
              <w:rPr>
                <w:spacing w:val="-5"/>
                <w:sz w:val="20"/>
              </w:rPr>
              <w:t>12</w:t>
            </w:r>
          </w:p>
        </w:tc>
        <w:tc>
          <w:tcPr>
            <w:tcW w:w="822" w:type="dxa"/>
          </w:tcPr>
          <w:p>
            <w:pPr>
              <w:pStyle w:val="TableParagraph"/>
              <w:spacing w:line="223" w:lineRule="exact"/>
              <w:ind w:left="128"/>
              <w:rPr>
                <w:sz w:val="20"/>
              </w:rPr>
            </w:pPr>
            <w:r>
              <w:rPr>
                <w:spacing w:val="-5"/>
                <w:sz w:val="20"/>
              </w:rPr>
              <w:t>52</w:t>
            </w:r>
          </w:p>
        </w:tc>
        <w:tc>
          <w:tcPr>
            <w:tcW w:w="899" w:type="dxa"/>
          </w:tcPr>
          <w:p>
            <w:pPr>
              <w:pStyle w:val="TableParagraph"/>
              <w:spacing w:line="223" w:lineRule="exact"/>
              <w:ind w:left="117"/>
              <w:rPr>
                <w:sz w:val="20"/>
              </w:rPr>
            </w:pPr>
            <w:r>
              <w:rPr>
                <w:spacing w:val="-5"/>
                <w:sz w:val="20"/>
              </w:rPr>
              <w:t>68</w:t>
            </w:r>
          </w:p>
        </w:tc>
        <w:tc>
          <w:tcPr>
            <w:tcW w:w="901" w:type="dxa"/>
          </w:tcPr>
          <w:p>
            <w:pPr>
              <w:pStyle w:val="TableParagraph"/>
              <w:spacing w:line="223" w:lineRule="exact"/>
              <w:ind w:left="118"/>
              <w:rPr>
                <w:sz w:val="20"/>
              </w:rPr>
            </w:pPr>
            <w:r>
              <w:rPr>
                <w:spacing w:val="-10"/>
                <w:sz w:val="20"/>
              </w:rPr>
              <w:t>0</w:t>
            </w:r>
          </w:p>
        </w:tc>
        <w:tc>
          <w:tcPr>
            <w:tcW w:w="915" w:type="dxa"/>
          </w:tcPr>
          <w:p>
            <w:pPr>
              <w:pStyle w:val="TableParagraph"/>
              <w:spacing w:line="223" w:lineRule="exact"/>
              <w:ind w:left="117"/>
              <w:rPr>
                <w:sz w:val="20"/>
              </w:rPr>
            </w:pPr>
            <w:r>
              <w:rPr>
                <w:spacing w:val="-5"/>
                <w:sz w:val="20"/>
              </w:rPr>
              <w:t>12</w:t>
            </w:r>
          </w:p>
        </w:tc>
        <w:tc>
          <w:tcPr>
            <w:tcW w:w="1172" w:type="dxa"/>
          </w:tcPr>
          <w:p>
            <w:pPr>
              <w:pStyle w:val="TableParagraph"/>
              <w:spacing w:line="223" w:lineRule="exact"/>
              <w:ind w:left="102"/>
              <w:rPr>
                <w:sz w:val="20"/>
              </w:rPr>
            </w:pPr>
            <w:r>
              <w:rPr>
                <w:spacing w:val="-5"/>
                <w:sz w:val="20"/>
              </w:rPr>
              <w:t>156</w:t>
            </w:r>
          </w:p>
        </w:tc>
      </w:tr>
      <w:tr>
        <w:trPr>
          <w:trHeight w:val="227" w:hRule="atLeast"/>
        </w:trPr>
        <w:tc>
          <w:tcPr>
            <w:tcW w:w="3703" w:type="dxa"/>
            <w:shd w:val="clear" w:color="auto" w:fill="DBE4F0"/>
          </w:tcPr>
          <w:p>
            <w:pPr>
              <w:pStyle w:val="TableParagraph"/>
              <w:spacing w:line="208" w:lineRule="exact"/>
              <w:ind w:left="122"/>
              <w:rPr>
                <w:b/>
                <w:sz w:val="20"/>
              </w:rPr>
            </w:pPr>
            <w:r>
              <w:rPr>
                <w:b/>
                <w:sz w:val="20"/>
              </w:rPr>
              <w:t>Governor’s</w:t>
            </w:r>
            <w:r>
              <w:rPr>
                <w:b/>
                <w:spacing w:val="-10"/>
                <w:sz w:val="20"/>
              </w:rPr>
              <w:t> </w:t>
            </w:r>
            <w:r>
              <w:rPr>
                <w:b/>
                <w:spacing w:val="-2"/>
                <w:sz w:val="20"/>
              </w:rPr>
              <w:t>assent</w:t>
            </w:r>
          </w:p>
        </w:tc>
        <w:tc>
          <w:tcPr>
            <w:tcW w:w="810" w:type="dxa"/>
            <w:shd w:val="clear" w:color="auto" w:fill="DBE4F0"/>
          </w:tcPr>
          <w:p>
            <w:pPr>
              <w:pStyle w:val="TableParagraph"/>
              <w:spacing w:line="208" w:lineRule="exact"/>
              <w:ind w:left="108"/>
              <w:rPr>
                <w:sz w:val="20"/>
              </w:rPr>
            </w:pPr>
            <w:r>
              <w:rPr>
                <w:spacing w:val="-5"/>
                <w:sz w:val="20"/>
              </w:rPr>
              <w:t>105</w:t>
            </w:r>
          </w:p>
        </w:tc>
        <w:tc>
          <w:tcPr>
            <w:tcW w:w="791" w:type="dxa"/>
            <w:shd w:val="clear" w:color="auto" w:fill="DBE4F0"/>
          </w:tcPr>
          <w:p>
            <w:pPr>
              <w:pStyle w:val="TableParagraph"/>
              <w:spacing w:line="208" w:lineRule="exact"/>
              <w:ind w:left="109"/>
              <w:rPr>
                <w:sz w:val="20"/>
              </w:rPr>
            </w:pPr>
            <w:r>
              <w:rPr>
                <w:spacing w:val="-5"/>
                <w:sz w:val="20"/>
              </w:rPr>
              <w:t>39</w:t>
            </w:r>
          </w:p>
        </w:tc>
        <w:tc>
          <w:tcPr>
            <w:tcW w:w="822" w:type="dxa"/>
            <w:shd w:val="clear" w:color="auto" w:fill="DBE4F0"/>
          </w:tcPr>
          <w:p>
            <w:pPr>
              <w:pStyle w:val="TableParagraph"/>
              <w:spacing w:line="208" w:lineRule="exact"/>
              <w:ind w:left="128"/>
              <w:rPr>
                <w:sz w:val="20"/>
              </w:rPr>
            </w:pPr>
            <w:r>
              <w:rPr>
                <w:spacing w:val="-5"/>
                <w:sz w:val="20"/>
              </w:rPr>
              <w:t>12</w:t>
            </w:r>
          </w:p>
        </w:tc>
        <w:tc>
          <w:tcPr>
            <w:tcW w:w="899" w:type="dxa"/>
            <w:shd w:val="clear" w:color="auto" w:fill="DBE4F0"/>
          </w:tcPr>
          <w:p>
            <w:pPr>
              <w:pStyle w:val="TableParagraph"/>
              <w:spacing w:line="208" w:lineRule="exact"/>
              <w:ind w:left="117"/>
              <w:rPr>
                <w:sz w:val="20"/>
              </w:rPr>
            </w:pPr>
            <w:r>
              <w:rPr>
                <w:spacing w:val="-10"/>
                <w:sz w:val="20"/>
              </w:rPr>
              <w:t>0</w:t>
            </w:r>
          </w:p>
        </w:tc>
        <w:tc>
          <w:tcPr>
            <w:tcW w:w="901" w:type="dxa"/>
            <w:shd w:val="clear" w:color="auto" w:fill="DBE4F0"/>
          </w:tcPr>
          <w:p>
            <w:pPr>
              <w:pStyle w:val="TableParagraph"/>
              <w:spacing w:line="208" w:lineRule="exact"/>
              <w:ind w:left="118"/>
              <w:rPr>
                <w:sz w:val="20"/>
              </w:rPr>
            </w:pPr>
            <w:r>
              <w:rPr>
                <w:spacing w:val="-10"/>
                <w:sz w:val="20"/>
              </w:rPr>
              <w:t>0</w:t>
            </w:r>
          </w:p>
        </w:tc>
        <w:tc>
          <w:tcPr>
            <w:tcW w:w="915" w:type="dxa"/>
            <w:shd w:val="clear" w:color="auto" w:fill="DBE4F0"/>
          </w:tcPr>
          <w:p>
            <w:pPr>
              <w:pStyle w:val="TableParagraph"/>
              <w:spacing w:line="208" w:lineRule="exact"/>
              <w:ind w:left="117"/>
              <w:rPr>
                <w:sz w:val="20"/>
              </w:rPr>
            </w:pPr>
            <w:r>
              <w:rPr>
                <w:spacing w:val="-10"/>
                <w:sz w:val="20"/>
              </w:rPr>
              <w:t>0</w:t>
            </w:r>
          </w:p>
        </w:tc>
        <w:tc>
          <w:tcPr>
            <w:tcW w:w="1172" w:type="dxa"/>
            <w:shd w:val="clear" w:color="auto" w:fill="DBE4F0"/>
          </w:tcPr>
          <w:p>
            <w:pPr>
              <w:pStyle w:val="TableParagraph"/>
              <w:spacing w:line="208" w:lineRule="exact"/>
              <w:ind w:left="102"/>
              <w:rPr>
                <w:sz w:val="20"/>
              </w:rPr>
            </w:pPr>
            <w:r>
              <w:rPr>
                <w:spacing w:val="-5"/>
                <w:sz w:val="20"/>
              </w:rPr>
              <w:t>156</w:t>
            </w:r>
          </w:p>
        </w:tc>
      </w:tr>
      <w:tr>
        <w:trPr>
          <w:trHeight w:val="230" w:hRule="atLeast"/>
        </w:trPr>
        <w:tc>
          <w:tcPr>
            <w:tcW w:w="3703" w:type="dxa"/>
            <w:tcBorders>
              <w:bottom w:val="single" w:sz="4" w:space="0" w:color="000000"/>
            </w:tcBorders>
          </w:tcPr>
          <w:p>
            <w:pPr>
              <w:pStyle w:val="TableParagraph"/>
              <w:spacing w:line="210" w:lineRule="exact"/>
              <w:ind w:left="122"/>
              <w:rPr>
                <w:b/>
                <w:sz w:val="20"/>
              </w:rPr>
            </w:pPr>
            <w:r>
              <w:rPr>
                <w:b/>
                <w:sz w:val="20"/>
              </w:rPr>
              <w:t>Publication</w:t>
            </w:r>
            <w:r>
              <w:rPr>
                <w:b/>
                <w:spacing w:val="-7"/>
                <w:sz w:val="20"/>
              </w:rPr>
              <w:t> </w:t>
            </w:r>
            <w:r>
              <w:rPr>
                <w:b/>
                <w:sz w:val="20"/>
              </w:rPr>
              <w:t>and</w:t>
            </w:r>
            <w:r>
              <w:rPr>
                <w:b/>
                <w:spacing w:val="-6"/>
                <w:sz w:val="20"/>
              </w:rPr>
              <w:t> </w:t>
            </w:r>
            <w:r>
              <w:rPr>
                <w:b/>
                <w:sz w:val="20"/>
              </w:rPr>
              <w:t>dissemination</w:t>
            </w:r>
            <w:r>
              <w:rPr>
                <w:b/>
                <w:spacing w:val="-7"/>
                <w:sz w:val="20"/>
              </w:rPr>
              <w:t> </w:t>
            </w:r>
            <w:r>
              <w:rPr>
                <w:b/>
                <w:sz w:val="20"/>
              </w:rPr>
              <w:t>of</w:t>
            </w:r>
            <w:r>
              <w:rPr>
                <w:b/>
                <w:spacing w:val="-6"/>
                <w:sz w:val="20"/>
              </w:rPr>
              <w:t> </w:t>
            </w:r>
            <w:r>
              <w:rPr>
                <w:b/>
                <w:spacing w:val="-2"/>
                <w:sz w:val="20"/>
              </w:rPr>
              <w:t>budget</w:t>
            </w:r>
          </w:p>
        </w:tc>
        <w:tc>
          <w:tcPr>
            <w:tcW w:w="810" w:type="dxa"/>
            <w:tcBorders>
              <w:bottom w:val="single" w:sz="4" w:space="0" w:color="000000"/>
            </w:tcBorders>
          </w:tcPr>
          <w:p>
            <w:pPr>
              <w:pStyle w:val="TableParagraph"/>
              <w:spacing w:line="210" w:lineRule="exact"/>
              <w:ind w:left="108"/>
              <w:rPr>
                <w:sz w:val="20"/>
              </w:rPr>
            </w:pPr>
            <w:r>
              <w:rPr>
                <w:spacing w:val="-10"/>
                <w:sz w:val="20"/>
              </w:rPr>
              <w:t>0</w:t>
            </w:r>
          </w:p>
        </w:tc>
        <w:tc>
          <w:tcPr>
            <w:tcW w:w="791" w:type="dxa"/>
            <w:tcBorders>
              <w:bottom w:val="single" w:sz="4" w:space="0" w:color="000000"/>
            </w:tcBorders>
          </w:tcPr>
          <w:p>
            <w:pPr>
              <w:pStyle w:val="TableParagraph"/>
              <w:spacing w:line="210" w:lineRule="exact"/>
              <w:ind w:left="109"/>
              <w:rPr>
                <w:sz w:val="20"/>
              </w:rPr>
            </w:pPr>
            <w:r>
              <w:rPr>
                <w:spacing w:val="-5"/>
                <w:sz w:val="20"/>
              </w:rPr>
              <w:t>93</w:t>
            </w:r>
          </w:p>
        </w:tc>
        <w:tc>
          <w:tcPr>
            <w:tcW w:w="822" w:type="dxa"/>
            <w:tcBorders>
              <w:bottom w:val="single" w:sz="4" w:space="0" w:color="000000"/>
            </w:tcBorders>
          </w:tcPr>
          <w:p>
            <w:pPr>
              <w:pStyle w:val="TableParagraph"/>
              <w:spacing w:line="210" w:lineRule="exact"/>
              <w:ind w:left="128"/>
              <w:rPr>
                <w:sz w:val="20"/>
              </w:rPr>
            </w:pPr>
            <w:r>
              <w:rPr>
                <w:spacing w:val="-5"/>
                <w:sz w:val="20"/>
              </w:rPr>
              <w:t>47</w:t>
            </w:r>
          </w:p>
        </w:tc>
        <w:tc>
          <w:tcPr>
            <w:tcW w:w="899" w:type="dxa"/>
            <w:tcBorders>
              <w:bottom w:val="single" w:sz="4" w:space="0" w:color="000000"/>
            </w:tcBorders>
          </w:tcPr>
          <w:p>
            <w:pPr>
              <w:pStyle w:val="TableParagraph"/>
              <w:spacing w:line="210" w:lineRule="exact"/>
              <w:ind w:left="117"/>
              <w:rPr>
                <w:sz w:val="20"/>
              </w:rPr>
            </w:pPr>
            <w:r>
              <w:rPr>
                <w:spacing w:val="-5"/>
                <w:sz w:val="20"/>
              </w:rPr>
              <w:t>16</w:t>
            </w:r>
          </w:p>
        </w:tc>
        <w:tc>
          <w:tcPr>
            <w:tcW w:w="901" w:type="dxa"/>
            <w:tcBorders>
              <w:bottom w:val="single" w:sz="4" w:space="0" w:color="000000"/>
            </w:tcBorders>
          </w:tcPr>
          <w:p>
            <w:pPr>
              <w:pStyle w:val="TableParagraph"/>
              <w:spacing w:line="210" w:lineRule="exact"/>
              <w:ind w:left="118"/>
              <w:rPr>
                <w:sz w:val="20"/>
              </w:rPr>
            </w:pPr>
            <w:r>
              <w:rPr>
                <w:spacing w:val="-10"/>
                <w:sz w:val="20"/>
              </w:rPr>
              <w:t>0</w:t>
            </w:r>
          </w:p>
        </w:tc>
        <w:tc>
          <w:tcPr>
            <w:tcW w:w="915" w:type="dxa"/>
            <w:tcBorders>
              <w:bottom w:val="single" w:sz="4" w:space="0" w:color="000000"/>
            </w:tcBorders>
          </w:tcPr>
          <w:p>
            <w:pPr>
              <w:pStyle w:val="TableParagraph"/>
              <w:spacing w:line="210" w:lineRule="exact"/>
              <w:ind w:left="117"/>
              <w:rPr>
                <w:sz w:val="20"/>
              </w:rPr>
            </w:pPr>
            <w:r>
              <w:rPr>
                <w:spacing w:val="-10"/>
                <w:sz w:val="20"/>
              </w:rPr>
              <w:t>0</w:t>
            </w:r>
          </w:p>
        </w:tc>
        <w:tc>
          <w:tcPr>
            <w:tcW w:w="1172" w:type="dxa"/>
            <w:tcBorders>
              <w:bottom w:val="single" w:sz="4" w:space="0" w:color="000000"/>
            </w:tcBorders>
          </w:tcPr>
          <w:p>
            <w:pPr>
              <w:pStyle w:val="TableParagraph"/>
              <w:spacing w:line="210" w:lineRule="exact"/>
              <w:ind w:left="102"/>
              <w:rPr>
                <w:sz w:val="20"/>
              </w:rPr>
            </w:pPr>
            <w:r>
              <w:rPr>
                <w:spacing w:val="-5"/>
                <w:sz w:val="20"/>
              </w:rPr>
              <w:t>156</w:t>
            </w:r>
          </w:p>
        </w:tc>
      </w:tr>
    </w:tbl>
    <w:p>
      <w:pPr>
        <w:pStyle w:val="BodyText"/>
        <w:spacing w:before="23"/>
        <w:ind w:left="240"/>
      </w:pPr>
      <w:r>
        <w:rPr>
          <w:b/>
        </w:rPr>
        <w:t>Source:</w:t>
      </w:r>
      <w:r>
        <w:rPr>
          <w:b/>
          <w:spacing w:val="-2"/>
        </w:rPr>
        <w:t> </w:t>
      </w:r>
      <w:r>
        <w:rPr/>
        <w:t>Researcher‘s field</w:t>
      </w:r>
      <w:r>
        <w:rPr>
          <w:spacing w:val="-1"/>
        </w:rPr>
        <w:t> </w:t>
      </w:r>
      <w:r>
        <w:rPr/>
        <w:t>survey</w:t>
      </w:r>
      <w:r>
        <w:rPr>
          <w:spacing w:val="-1"/>
        </w:rPr>
        <w:t> </w:t>
      </w:r>
      <w:r>
        <w:rPr>
          <w:spacing w:val="-2"/>
        </w:rPr>
        <w:t>(2017)</w:t>
      </w:r>
    </w:p>
    <w:p>
      <w:pPr>
        <w:pStyle w:val="BodyText"/>
        <w:spacing w:before="69"/>
      </w:pPr>
    </w:p>
    <w:p>
      <w:pPr>
        <w:pStyle w:val="BodyText"/>
        <w:spacing w:line="360" w:lineRule="auto" w:before="1"/>
        <w:ind w:left="240" w:right="834"/>
        <w:jc w:val="both"/>
      </w:pPr>
      <w:r>
        <w:rPr/>
        <w:t>Results from Table 5.9 indicate that the budget activity with the longest duration as indicated by 68 respondents; is the presentation and final approval of the draft budget by</w:t>
      </w:r>
      <w:r>
        <w:rPr>
          <w:spacing w:val="-1"/>
        </w:rPr>
        <w:t> </w:t>
      </w:r>
      <w:r>
        <w:rPr/>
        <w:t>the State Legislature which takes between 2 to 3 months. This is followed by approval of the draft budget by</w:t>
      </w:r>
      <w:r>
        <w:rPr>
          <w:spacing w:val="-3"/>
        </w:rPr>
        <w:t> </w:t>
      </w:r>
      <w:r>
        <w:rPr/>
        <w:t>the State Executive Council, which takes up to a month, as maintained by 84 respondents.</w:t>
      </w:r>
      <w:r>
        <w:rPr>
          <w:spacing w:val="40"/>
        </w:rPr>
        <w:t> </w:t>
      </w:r>
      <w:r>
        <w:rPr/>
        <w:t>The likely reason for this is that further defense of the budget proposal is usually carried out before the</w:t>
      </w:r>
      <w:r>
        <w:rPr>
          <w:spacing w:val="80"/>
        </w:rPr>
        <w:t> </w:t>
      </w:r>
      <w:r>
        <w:rPr/>
        <w:t>State Executive Council, thus lengthening the process. Planning and preparation of sector limits (73), submission of</w:t>
      </w:r>
      <w:r>
        <w:rPr>
          <w:spacing w:val="-1"/>
        </w:rPr>
        <w:t> </w:t>
      </w:r>
      <w:r>
        <w:rPr/>
        <w:t>the</w:t>
      </w:r>
      <w:r>
        <w:rPr>
          <w:spacing w:val="-1"/>
        </w:rPr>
        <w:t> </w:t>
      </w:r>
      <w:r>
        <w:rPr/>
        <w:t>budget proposal by</w:t>
      </w:r>
      <w:r>
        <w:rPr>
          <w:spacing w:val="-5"/>
        </w:rPr>
        <w:t> </w:t>
      </w:r>
      <w:r>
        <w:rPr/>
        <w:t>MDAs (72), bilateral discussions with the</w:t>
      </w:r>
      <w:r>
        <w:rPr>
          <w:spacing w:val="-1"/>
        </w:rPr>
        <w:t> </w:t>
      </w:r>
      <w:r>
        <w:rPr/>
        <w:t>Ministry</w:t>
      </w:r>
      <w:r>
        <w:rPr>
          <w:spacing w:val="-8"/>
        </w:rPr>
        <w:t> </w:t>
      </w:r>
      <w:r>
        <w:rPr/>
        <w:t>of Economic Planning and Budget (94), consolidation of the proposal(62), publication and dissemination of the budget (93) all have 2 to 3 weeks durations. The shortest budget activities with a maximum of 1 week duration are issuance of call circular and assent of the Governor according to 89 and 105 respondents respectively.</w:t>
      </w:r>
    </w:p>
    <w:p>
      <w:pPr>
        <w:spacing w:after="0" w:line="360" w:lineRule="auto"/>
        <w:jc w:val="both"/>
        <w:sectPr>
          <w:pgSz w:w="12240" w:h="15840"/>
          <w:pgMar w:header="0" w:footer="1036" w:top="1360" w:bottom="1220" w:left="1200" w:right="600"/>
        </w:sectPr>
      </w:pPr>
    </w:p>
    <w:p>
      <w:pPr>
        <w:pStyle w:val="Heading4"/>
        <w:spacing w:before="76"/>
        <w:ind w:right="835"/>
      </w:pPr>
      <w:r>
        <w:rPr/>
        <w:t>Table 5.10.Comparison of the Current Housing Budget Duration with the Duration Stipulated in the Budget Calendar</w:t>
      </w:r>
    </w:p>
    <w:p>
      <w:pPr>
        <w:pStyle w:val="BodyText"/>
        <w:spacing w:before="5"/>
        <w:rPr>
          <w:b/>
          <w:sz w:val="16"/>
        </w:rPr>
      </w:pPr>
    </w:p>
    <w:tbl>
      <w:tblPr>
        <w:tblW w:w="0" w:type="auto"/>
        <w:jc w:val="left"/>
        <w:tblInd w:w="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84"/>
        <w:gridCol w:w="1646"/>
        <w:gridCol w:w="1641"/>
        <w:gridCol w:w="1178"/>
        <w:gridCol w:w="1204"/>
      </w:tblGrid>
      <w:tr>
        <w:trPr>
          <w:trHeight w:val="1148" w:hRule="atLeast"/>
        </w:trPr>
        <w:tc>
          <w:tcPr>
            <w:tcW w:w="3884" w:type="dxa"/>
            <w:tcBorders>
              <w:top w:val="single" w:sz="8" w:space="0" w:color="000000"/>
              <w:bottom w:val="single" w:sz="4" w:space="0" w:color="000000"/>
            </w:tcBorders>
          </w:tcPr>
          <w:p>
            <w:pPr>
              <w:pStyle w:val="TableParagraph"/>
              <w:spacing w:line="251" w:lineRule="exact"/>
              <w:ind w:left="122"/>
              <w:rPr>
                <w:b/>
                <w:sz w:val="22"/>
              </w:rPr>
            </w:pPr>
            <w:r>
              <w:rPr>
                <w:b/>
                <w:sz w:val="22"/>
              </w:rPr>
              <w:t>Budget</w:t>
            </w:r>
            <w:r>
              <w:rPr>
                <w:b/>
                <w:spacing w:val="-2"/>
                <w:sz w:val="22"/>
              </w:rPr>
              <w:t> Activity</w:t>
            </w:r>
          </w:p>
        </w:tc>
        <w:tc>
          <w:tcPr>
            <w:tcW w:w="1646" w:type="dxa"/>
            <w:tcBorders>
              <w:top w:val="single" w:sz="8" w:space="0" w:color="000000"/>
              <w:bottom w:val="single" w:sz="4" w:space="0" w:color="000000"/>
            </w:tcBorders>
          </w:tcPr>
          <w:p>
            <w:pPr>
              <w:pStyle w:val="TableParagraph"/>
              <w:ind w:left="107" w:right="97"/>
              <w:rPr>
                <w:b/>
                <w:sz w:val="20"/>
              </w:rPr>
            </w:pPr>
            <w:r>
              <w:rPr>
                <w:b/>
                <w:sz w:val="20"/>
              </w:rPr>
              <w:t>Responses on current</w:t>
            </w:r>
            <w:r>
              <w:rPr>
                <w:b/>
                <w:spacing w:val="15"/>
                <w:sz w:val="20"/>
              </w:rPr>
              <w:t> </w:t>
            </w:r>
            <w:r>
              <w:rPr>
                <w:b/>
                <w:sz w:val="20"/>
              </w:rPr>
              <w:t>budget </w:t>
            </w:r>
            <w:r>
              <w:rPr>
                <w:b/>
                <w:spacing w:val="-2"/>
                <w:sz w:val="20"/>
              </w:rPr>
              <w:t>duration </w:t>
            </w:r>
            <w:r>
              <w:rPr>
                <w:b/>
                <w:sz w:val="20"/>
              </w:rPr>
              <w:t>(average</w:t>
            </w:r>
            <w:r>
              <w:rPr>
                <w:b/>
                <w:spacing w:val="40"/>
                <w:sz w:val="20"/>
              </w:rPr>
              <w:t> </w:t>
            </w:r>
            <w:r>
              <w:rPr>
                <w:b/>
                <w:sz w:val="20"/>
              </w:rPr>
              <w:t>no of</w:t>
            </w:r>
          </w:p>
          <w:p>
            <w:pPr>
              <w:pStyle w:val="TableParagraph"/>
              <w:spacing w:line="211" w:lineRule="exact"/>
              <w:ind w:left="107"/>
              <w:rPr>
                <w:b/>
                <w:sz w:val="20"/>
              </w:rPr>
            </w:pPr>
            <w:r>
              <w:rPr>
                <w:b/>
                <w:spacing w:val="-2"/>
                <w:sz w:val="20"/>
              </w:rPr>
              <w:t>weeks)</w:t>
            </w:r>
          </w:p>
        </w:tc>
        <w:tc>
          <w:tcPr>
            <w:tcW w:w="1641" w:type="dxa"/>
            <w:tcBorders>
              <w:top w:val="single" w:sz="8" w:space="0" w:color="000000"/>
              <w:bottom w:val="single" w:sz="4" w:space="0" w:color="000000"/>
            </w:tcBorders>
          </w:tcPr>
          <w:p>
            <w:pPr>
              <w:pStyle w:val="TableParagraph"/>
              <w:ind w:left="110" w:right="140"/>
              <w:rPr>
                <w:b/>
                <w:sz w:val="20"/>
              </w:rPr>
            </w:pPr>
            <w:r>
              <w:rPr>
                <w:b/>
                <w:spacing w:val="-2"/>
                <w:sz w:val="20"/>
              </w:rPr>
              <w:t>Stipulated </w:t>
            </w:r>
            <w:r>
              <w:rPr>
                <w:b/>
                <w:sz w:val="20"/>
              </w:rPr>
              <w:t>duration in budget</w:t>
            </w:r>
            <w:r>
              <w:rPr>
                <w:b/>
                <w:spacing w:val="-13"/>
                <w:sz w:val="20"/>
              </w:rPr>
              <w:t> </w:t>
            </w:r>
            <w:r>
              <w:rPr>
                <w:b/>
                <w:sz w:val="20"/>
              </w:rPr>
              <w:t>calendar </w:t>
            </w:r>
            <w:r>
              <w:rPr>
                <w:b/>
                <w:spacing w:val="-2"/>
                <w:sz w:val="20"/>
              </w:rPr>
              <w:t>(weeks)</w:t>
            </w:r>
          </w:p>
        </w:tc>
        <w:tc>
          <w:tcPr>
            <w:tcW w:w="1178" w:type="dxa"/>
            <w:tcBorders>
              <w:top w:val="single" w:sz="8" w:space="0" w:color="000000"/>
              <w:bottom w:val="single" w:sz="4" w:space="0" w:color="000000"/>
            </w:tcBorders>
          </w:tcPr>
          <w:p>
            <w:pPr>
              <w:pStyle w:val="TableParagraph"/>
              <w:ind w:left="152"/>
              <w:rPr>
                <w:b/>
                <w:sz w:val="20"/>
              </w:rPr>
            </w:pPr>
            <w:r>
              <w:rPr>
                <w:b/>
                <w:spacing w:val="-2"/>
                <w:sz w:val="20"/>
              </w:rPr>
              <w:t>Difference (weeks)</w:t>
            </w:r>
          </w:p>
        </w:tc>
        <w:tc>
          <w:tcPr>
            <w:tcW w:w="1204" w:type="dxa"/>
            <w:tcBorders>
              <w:top w:val="single" w:sz="8" w:space="0" w:color="000000"/>
              <w:bottom w:val="single" w:sz="4" w:space="0" w:color="000000"/>
            </w:tcBorders>
          </w:tcPr>
          <w:p>
            <w:pPr>
              <w:pStyle w:val="TableParagraph"/>
              <w:ind w:left="143"/>
              <w:rPr>
                <w:b/>
                <w:sz w:val="20"/>
              </w:rPr>
            </w:pPr>
            <w:r>
              <w:rPr>
                <w:b/>
                <w:spacing w:val="-2"/>
                <w:sz w:val="20"/>
              </w:rPr>
              <w:t>Percentage difference </w:t>
            </w:r>
            <w:r>
              <w:rPr>
                <w:b/>
                <w:spacing w:val="-4"/>
                <w:sz w:val="20"/>
              </w:rPr>
              <w:t>(%)</w:t>
            </w:r>
          </w:p>
        </w:tc>
      </w:tr>
      <w:tr>
        <w:trPr>
          <w:trHeight w:val="230" w:hRule="atLeast"/>
        </w:trPr>
        <w:tc>
          <w:tcPr>
            <w:tcW w:w="3884" w:type="dxa"/>
            <w:tcBorders>
              <w:top w:val="single" w:sz="4" w:space="0" w:color="000000"/>
            </w:tcBorders>
            <w:shd w:val="clear" w:color="auto" w:fill="DBE4F0"/>
          </w:tcPr>
          <w:p>
            <w:pPr>
              <w:pStyle w:val="TableParagraph"/>
              <w:spacing w:line="210" w:lineRule="exact"/>
              <w:ind w:left="122"/>
              <w:rPr>
                <w:b/>
                <w:sz w:val="20"/>
              </w:rPr>
            </w:pPr>
            <w:r>
              <w:rPr>
                <w:b/>
                <w:sz w:val="20"/>
              </w:rPr>
              <w:t>Planning</w:t>
            </w:r>
            <w:r>
              <w:rPr>
                <w:b/>
                <w:spacing w:val="-4"/>
                <w:sz w:val="20"/>
              </w:rPr>
              <w:t> </w:t>
            </w:r>
            <w:r>
              <w:rPr>
                <w:b/>
                <w:sz w:val="20"/>
              </w:rPr>
              <w:t>&amp;</w:t>
            </w:r>
            <w:r>
              <w:rPr>
                <w:b/>
                <w:spacing w:val="-3"/>
                <w:sz w:val="20"/>
              </w:rPr>
              <w:t> </w:t>
            </w:r>
            <w:r>
              <w:rPr>
                <w:b/>
                <w:sz w:val="20"/>
              </w:rPr>
              <w:t>Preparation</w:t>
            </w:r>
            <w:r>
              <w:rPr>
                <w:b/>
                <w:spacing w:val="42"/>
                <w:sz w:val="20"/>
              </w:rPr>
              <w:t> </w:t>
            </w:r>
            <w:r>
              <w:rPr>
                <w:b/>
                <w:sz w:val="20"/>
              </w:rPr>
              <w:t>of</w:t>
            </w:r>
            <w:r>
              <w:rPr>
                <w:b/>
                <w:spacing w:val="-3"/>
                <w:sz w:val="20"/>
              </w:rPr>
              <w:t> </w:t>
            </w:r>
            <w:r>
              <w:rPr>
                <w:b/>
                <w:sz w:val="20"/>
              </w:rPr>
              <w:t>Sector</w:t>
            </w:r>
            <w:r>
              <w:rPr>
                <w:b/>
                <w:spacing w:val="-4"/>
                <w:sz w:val="20"/>
              </w:rPr>
              <w:t> </w:t>
            </w:r>
            <w:r>
              <w:rPr>
                <w:b/>
                <w:spacing w:val="-2"/>
                <w:sz w:val="20"/>
              </w:rPr>
              <w:t>limits</w:t>
            </w:r>
          </w:p>
        </w:tc>
        <w:tc>
          <w:tcPr>
            <w:tcW w:w="1646" w:type="dxa"/>
            <w:tcBorders>
              <w:top w:val="single" w:sz="4" w:space="0" w:color="000000"/>
            </w:tcBorders>
            <w:shd w:val="clear" w:color="auto" w:fill="DBE4F0"/>
          </w:tcPr>
          <w:p>
            <w:pPr>
              <w:pStyle w:val="TableParagraph"/>
              <w:spacing w:line="210" w:lineRule="exact"/>
              <w:ind w:left="107"/>
              <w:rPr>
                <w:sz w:val="20"/>
              </w:rPr>
            </w:pPr>
            <w:r>
              <w:rPr>
                <w:spacing w:val="-5"/>
                <w:sz w:val="20"/>
              </w:rPr>
              <w:t>2.5</w:t>
            </w:r>
          </w:p>
        </w:tc>
        <w:tc>
          <w:tcPr>
            <w:tcW w:w="1641" w:type="dxa"/>
            <w:tcBorders>
              <w:top w:val="single" w:sz="4" w:space="0" w:color="000000"/>
            </w:tcBorders>
            <w:shd w:val="clear" w:color="auto" w:fill="DBE4F0"/>
          </w:tcPr>
          <w:p>
            <w:pPr>
              <w:pStyle w:val="TableParagraph"/>
              <w:spacing w:line="210" w:lineRule="exact"/>
              <w:ind w:left="110"/>
              <w:rPr>
                <w:sz w:val="20"/>
              </w:rPr>
            </w:pPr>
            <w:r>
              <w:rPr>
                <w:spacing w:val="-5"/>
                <w:sz w:val="20"/>
              </w:rPr>
              <w:t>27</w:t>
            </w:r>
          </w:p>
        </w:tc>
        <w:tc>
          <w:tcPr>
            <w:tcW w:w="1178" w:type="dxa"/>
            <w:tcBorders>
              <w:top w:val="single" w:sz="4" w:space="0" w:color="000000"/>
            </w:tcBorders>
            <w:shd w:val="clear" w:color="auto" w:fill="DBE4F0"/>
          </w:tcPr>
          <w:p>
            <w:pPr>
              <w:pStyle w:val="TableParagraph"/>
              <w:spacing w:line="210" w:lineRule="exact"/>
              <w:ind w:left="253"/>
              <w:rPr>
                <w:sz w:val="20"/>
              </w:rPr>
            </w:pPr>
            <w:r>
              <w:rPr>
                <w:sz w:val="20"/>
              </w:rPr>
              <w:t>-</w:t>
            </w:r>
            <w:r>
              <w:rPr>
                <w:spacing w:val="-3"/>
                <w:sz w:val="20"/>
              </w:rPr>
              <w:t> </w:t>
            </w:r>
            <w:r>
              <w:rPr>
                <w:spacing w:val="-4"/>
                <w:sz w:val="20"/>
              </w:rPr>
              <w:t>24.5</w:t>
            </w:r>
          </w:p>
        </w:tc>
        <w:tc>
          <w:tcPr>
            <w:tcW w:w="1204" w:type="dxa"/>
            <w:tcBorders>
              <w:top w:val="single" w:sz="4" w:space="0" w:color="000000"/>
            </w:tcBorders>
            <w:shd w:val="clear" w:color="auto" w:fill="DBE4F0"/>
          </w:tcPr>
          <w:p>
            <w:pPr>
              <w:pStyle w:val="TableParagraph"/>
              <w:spacing w:line="210" w:lineRule="exact"/>
              <w:ind w:left="143"/>
              <w:rPr>
                <w:sz w:val="20"/>
              </w:rPr>
            </w:pPr>
            <w:r>
              <w:rPr>
                <w:spacing w:val="-2"/>
                <w:sz w:val="20"/>
              </w:rPr>
              <w:t>54.00</w:t>
            </w:r>
          </w:p>
        </w:tc>
      </w:tr>
      <w:tr>
        <w:trPr>
          <w:trHeight w:val="230" w:hRule="atLeast"/>
        </w:trPr>
        <w:tc>
          <w:tcPr>
            <w:tcW w:w="3884" w:type="dxa"/>
          </w:tcPr>
          <w:p>
            <w:pPr>
              <w:pStyle w:val="TableParagraph"/>
              <w:spacing w:line="210" w:lineRule="exact"/>
              <w:ind w:left="122"/>
              <w:rPr>
                <w:b/>
                <w:sz w:val="20"/>
              </w:rPr>
            </w:pPr>
            <w:r>
              <w:rPr>
                <w:b/>
                <w:sz w:val="20"/>
              </w:rPr>
              <w:t>Issuance</w:t>
            </w:r>
            <w:r>
              <w:rPr>
                <w:b/>
                <w:spacing w:val="-4"/>
                <w:sz w:val="20"/>
              </w:rPr>
              <w:t> </w:t>
            </w:r>
            <w:r>
              <w:rPr>
                <w:b/>
                <w:sz w:val="20"/>
              </w:rPr>
              <w:t>of</w:t>
            </w:r>
            <w:r>
              <w:rPr>
                <w:b/>
                <w:spacing w:val="-4"/>
                <w:sz w:val="20"/>
              </w:rPr>
              <w:t> </w:t>
            </w:r>
            <w:r>
              <w:rPr>
                <w:b/>
                <w:sz w:val="20"/>
              </w:rPr>
              <w:t>Call</w:t>
            </w:r>
            <w:r>
              <w:rPr>
                <w:b/>
                <w:spacing w:val="-5"/>
                <w:sz w:val="20"/>
              </w:rPr>
              <w:t> </w:t>
            </w:r>
            <w:r>
              <w:rPr>
                <w:b/>
                <w:spacing w:val="-2"/>
                <w:sz w:val="20"/>
              </w:rPr>
              <w:t>Circular</w:t>
            </w:r>
          </w:p>
        </w:tc>
        <w:tc>
          <w:tcPr>
            <w:tcW w:w="1646" w:type="dxa"/>
          </w:tcPr>
          <w:p>
            <w:pPr>
              <w:pStyle w:val="TableParagraph"/>
              <w:spacing w:line="210" w:lineRule="exact"/>
              <w:ind w:left="107"/>
              <w:rPr>
                <w:sz w:val="20"/>
              </w:rPr>
            </w:pPr>
            <w:r>
              <w:rPr>
                <w:spacing w:val="-5"/>
                <w:sz w:val="20"/>
              </w:rPr>
              <w:t>0.5</w:t>
            </w:r>
          </w:p>
        </w:tc>
        <w:tc>
          <w:tcPr>
            <w:tcW w:w="1641" w:type="dxa"/>
          </w:tcPr>
          <w:p>
            <w:pPr>
              <w:pStyle w:val="TableParagraph"/>
              <w:spacing w:line="210" w:lineRule="exact"/>
              <w:ind w:left="110"/>
              <w:rPr>
                <w:sz w:val="20"/>
              </w:rPr>
            </w:pPr>
            <w:r>
              <w:rPr>
                <w:spacing w:val="-10"/>
                <w:sz w:val="20"/>
              </w:rPr>
              <w:t>1</w:t>
            </w:r>
          </w:p>
        </w:tc>
        <w:tc>
          <w:tcPr>
            <w:tcW w:w="1178" w:type="dxa"/>
          </w:tcPr>
          <w:p>
            <w:pPr>
              <w:pStyle w:val="TableParagraph"/>
              <w:spacing w:line="210" w:lineRule="exact"/>
              <w:ind w:left="253"/>
              <w:rPr>
                <w:sz w:val="20"/>
              </w:rPr>
            </w:pPr>
            <w:r>
              <w:rPr>
                <w:sz w:val="20"/>
              </w:rPr>
              <w:t>-</w:t>
            </w:r>
            <w:r>
              <w:rPr>
                <w:spacing w:val="-3"/>
                <w:sz w:val="20"/>
              </w:rPr>
              <w:t> </w:t>
            </w:r>
            <w:r>
              <w:rPr>
                <w:spacing w:val="-5"/>
                <w:sz w:val="20"/>
              </w:rPr>
              <w:t>0.5</w:t>
            </w:r>
          </w:p>
        </w:tc>
        <w:tc>
          <w:tcPr>
            <w:tcW w:w="1204" w:type="dxa"/>
          </w:tcPr>
          <w:p>
            <w:pPr>
              <w:pStyle w:val="TableParagraph"/>
              <w:spacing w:line="210" w:lineRule="exact"/>
              <w:ind w:left="244"/>
              <w:rPr>
                <w:sz w:val="20"/>
              </w:rPr>
            </w:pPr>
            <w:r>
              <w:rPr>
                <w:spacing w:val="-4"/>
                <w:sz w:val="20"/>
              </w:rPr>
              <w:t>1.00</w:t>
            </w:r>
          </w:p>
        </w:tc>
      </w:tr>
      <w:tr>
        <w:trPr>
          <w:trHeight w:val="230" w:hRule="atLeast"/>
        </w:trPr>
        <w:tc>
          <w:tcPr>
            <w:tcW w:w="3884" w:type="dxa"/>
            <w:shd w:val="clear" w:color="auto" w:fill="DBE4F0"/>
          </w:tcPr>
          <w:p>
            <w:pPr>
              <w:pStyle w:val="TableParagraph"/>
              <w:spacing w:line="210" w:lineRule="exact"/>
              <w:ind w:left="122"/>
              <w:rPr>
                <w:b/>
                <w:sz w:val="20"/>
              </w:rPr>
            </w:pPr>
            <w:r>
              <w:rPr>
                <w:b/>
                <w:sz w:val="20"/>
              </w:rPr>
              <w:t>Submission</w:t>
            </w:r>
            <w:r>
              <w:rPr>
                <w:b/>
                <w:spacing w:val="-7"/>
                <w:sz w:val="20"/>
              </w:rPr>
              <w:t> </w:t>
            </w:r>
            <w:r>
              <w:rPr>
                <w:b/>
                <w:sz w:val="20"/>
              </w:rPr>
              <w:t>of</w:t>
            </w:r>
            <w:r>
              <w:rPr>
                <w:b/>
                <w:spacing w:val="-5"/>
                <w:sz w:val="20"/>
              </w:rPr>
              <w:t> </w:t>
            </w:r>
            <w:r>
              <w:rPr>
                <w:b/>
                <w:sz w:val="20"/>
              </w:rPr>
              <w:t>budget</w:t>
            </w:r>
            <w:r>
              <w:rPr>
                <w:b/>
                <w:spacing w:val="-5"/>
                <w:sz w:val="20"/>
              </w:rPr>
              <w:t> </w:t>
            </w:r>
            <w:r>
              <w:rPr>
                <w:b/>
                <w:sz w:val="20"/>
              </w:rPr>
              <w:t>proposals</w:t>
            </w:r>
            <w:r>
              <w:rPr>
                <w:b/>
                <w:spacing w:val="-7"/>
                <w:sz w:val="20"/>
              </w:rPr>
              <w:t> </w:t>
            </w:r>
            <w:r>
              <w:rPr>
                <w:b/>
                <w:sz w:val="20"/>
              </w:rPr>
              <w:t>by</w:t>
            </w:r>
            <w:r>
              <w:rPr>
                <w:b/>
                <w:spacing w:val="-5"/>
                <w:sz w:val="20"/>
              </w:rPr>
              <w:t> </w:t>
            </w:r>
            <w:r>
              <w:rPr>
                <w:b/>
                <w:spacing w:val="-4"/>
                <w:sz w:val="20"/>
              </w:rPr>
              <w:t>MDAs</w:t>
            </w:r>
          </w:p>
        </w:tc>
        <w:tc>
          <w:tcPr>
            <w:tcW w:w="1646" w:type="dxa"/>
            <w:shd w:val="clear" w:color="auto" w:fill="DBE4F0"/>
          </w:tcPr>
          <w:p>
            <w:pPr>
              <w:pStyle w:val="TableParagraph"/>
              <w:spacing w:line="210" w:lineRule="exact"/>
              <w:ind w:left="107"/>
              <w:rPr>
                <w:sz w:val="20"/>
              </w:rPr>
            </w:pPr>
            <w:r>
              <w:rPr>
                <w:spacing w:val="-5"/>
                <w:sz w:val="20"/>
              </w:rPr>
              <w:t>2.5</w:t>
            </w:r>
          </w:p>
        </w:tc>
        <w:tc>
          <w:tcPr>
            <w:tcW w:w="1641" w:type="dxa"/>
            <w:shd w:val="clear" w:color="auto" w:fill="DBE4F0"/>
          </w:tcPr>
          <w:p>
            <w:pPr>
              <w:pStyle w:val="TableParagraph"/>
              <w:spacing w:line="210" w:lineRule="exact"/>
              <w:ind w:left="110"/>
              <w:rPr>
                <w:sz w:val="20"/>
              </w:rPr>
            </w:pPr>
            <w:r>
              <w:rPr>
                <w:spacing w:val="-10"/>
                <w:sz w:val="20"/>
              </w:rPr>
              <w:t>6</w:t>
            </w:r>
          </w:p>
        </w:tc>
        <w:tc>
          <w:tcPr>
            <w:tcW w:w="1178" w:type="dxa"/>
            <w:shd w:val="clear" w:color="auto" w:fill="DBE4F0"/>
          </w:tcPr>
          <w:p>
            <w:pPr>
              <w:pStyle w:val="TableParagraph"/>
              <w:spacing w:line="210" w:lineRule="exact"/>
              <w:ind w:left="253"/>
              <w:rPr>
                <w:sz w:val="20"/>
              </w:rPr>
            </w:pPr>
            <w:r>
              <w:rPr>
                <w:sz w:val="20"/>
              </w:rPr>
              <w:t>-</w:t>
            </w:r>
            <w:r>
              <w:rPr>
                <w:spacing w:val="-3"/>
                <w:sz w:val="20"/>
              </w:rPr>
              <w:t> </w:t>
            </w:r>
            <w:r>
              <w:rPr>
                <w:spacing w:val="-5"/>
                <w:sz w:val="20"/>
              </w:rPr>
              <w:t>3.5</w:t>
            </w:r>
          </w:p>
        </w:tc>
        <w:tc>
          <w:tcPr>
            <w:tcW w:w="1204" w:type="dxa"/>
            <w:shd w:val="clear" w:color="auto" w:fill="DBE4F0"/>
          </w:tcPr>
          <w:p>
            <w:pPr>
              <w:pStyle w:val="TableParagraph"/>
              <w:spacing w:line="210" w:lineRule="exact"/>
              <w:ind w:left="244"/>
              <w:rPr>
                <w:sz w:val="20"/>
              </w:rPr>
            </w:pPr>
            <w:r>
              <w:rPr>
                <w:spacing w:val="-4"/>
                <w:sz w:val="20"/>
              </w:rPr>
              <w:t>8.00</w:t>
            </w:r>
          </w:p>
        </w:tc>
      </w:tr>
      <w:tr>
        <w:trPr>
          <w:trHeight w:val="458" w:hRule="atLeast"/>
        </w:trPr>
        <w:tc>
          <w:tcPr>
            <w:tcW w:w="3884" w:type="dxa"/>
          </w:tcPr>
          <w:p>
            <w:pPr>
              <w:pStyle w:val="TableParagraph"/>
              <w:tabs>
                <w:tab w:pos="1078" w:val="left" w:leader="none"/>
                <w:tab w:pos="2230" w:val="left" w:leader="none"/>
                <w:tab w:pos="2767" w:val="left" w:leader="none"/>
                <w:tab w:pos="3610" w:val="left" w:leader="none"/>
              </w:tabs>
              <w:spacing w:line="230" w:lineRule="exact"/>
              <w:ind w:left="122" w:right="104"/>
              <w:rPr>
                <w:b/>
                <w:sz w:val="20"/>
              </w:rPr>
            </w:pPr>
            <w:r>
              <w:rPr>
                <w:b/>
                <w:spacing w:val="-2"/>
                <w:sz w:val="20"/>
              </w:rPr>
              <w:t>Bilateral</w:t>
            </w:r>
            <w:r>
              <w:rPr>
                <w:b/>
                <w:sz w:val="20"/>
              </w:rPr>
              <w:tab/>
            </w:r>
            <w:r>
              <w:rPr>
                <w:b/>
                <w:spacing w:val="-2"/>
                <w:sz w:val="20"/>
              </w:rPr>
              <w:t>discussions</w:t>
            </w:r>
            <w:r>
              <w:rPr>
                <w:b/>
                <w:sz w:val="20"/>
              </w:rPr>
              <w:tab/>
            </w:r>
            <w:r>
              <w:rPr>
                <w:b/>
                <w:spacing w:val="-4"/>
                <w:sz w:val="20"/>
              </w:rPr>
              <w:t>and</w:t>
            </w:r>
            <w:r>
              <w:rPr>
                <w:b/>
                <w:sz w:val="20"/>
              </w:rPr>
              <w:tab/>
            </w:r>
            <w:r>
              <w:rPr>
                <w:b/>
                <w:spacing w:val="-2"/>
                <w:sz w:val="20"/>
              </w:rPr>
              <w:t>defense</w:t>
            </w:r>
            <w:r>
              <w:rPr>
                <w:b/>
                <w:sz w:val="20"/>
              </w:rPr>
              <w:tab/>
            </w:r>
            <w:r>
              <w:rPr>
                <w:b/>
                <w:spacing w:val="-6"/>
                <w:sz w:val="20"/>
              </w:rPr>
              <w:t>of </w:t>
            </w:r>
            <w:r>
              <w:rPr>
                <w:b/>
                <w:spacing w:val="-2"/>
                <w:sz w:val="20"/>
              </w:rPr>
              <w:t>proposals</w:t>
            </w:r>
          </w:p>
        </w:tc>
        <w:tc>
          <w:tcPr>
            <w:tcW w:w="1646" w:type="dxa"/>
          </w:tcPr>
          <w:p>
            <w:pPr>
              <w:pStyle w:val="TableParagraph"/>
              <w:spacing w:line="223" w:lineRule="exact"/>
              <w:ind w:left="107"/>
              <w:rPr>
                <w:sz w:val="20"/>
              </w:rPr>
            </w:pPr>
            <w:r>
              <w:rPr>
                <w:spacing w:val="-5"/>
                <w:sz w:val="20"/>
              </w:rPr>
              <w:t>2.5</w:t>
            </w:r>
          </w:p>
        </w:tc>
        <w:tc>
          <w:tcPr>
            <w:tcW w:w="1641" w:type="dxa"/>
          </w:tcPr>
          <w:p>
            <w:pPr>
              <w:pStyle w:val="TableParagraph"/>
              <w:spacing w:line="223" w:lineRule="exact"/>
              <w:ind w:left="110"/>
              <w:rPr>
                <w:sz w:val="20"/>
              </w:rPr>
            </w:pPr>
            <w:r>
              <w:rPr>
                <w:spacing w:val="-10"/>
                <w:sz w:val="20"/>
              </w:rPr>
              <w:t>2</w:t>
            </w:r>
          </w:p>
        </w:tc>
        <w:tc>
          <w:tcPr>
            <w:tcW w:w="1178" w:type="dxa"/>
          </w:tcPr>
          <w:p>
            <w:pPr>
              <w:pStyle w:val="TableParagraph"/>
              <w:spacing w:line="223" w:lineRule="exact"/>
              <w:ind w:left="202"/>
              <w:rPr>
                <w:sz w:val="20"/>
              </w:rPr>
            </w:pPr>
            <w:r>
              <w:rPr>
                <w:sz w:val="20"/>
              </w:rPr>
              <w:t>+</w:t>
            </w:r>
            <w:r>
              <w:rPr>
                <w:spacing w:val="-2"/>
                <w:sz w:val="20"/>
              </w:rPr>
              <w:t> </w:t>
            </w:r>
            <w:r>
              <w:rPr>
                <w:spacing w:val="-5"/>
                <w:sz w:val="20"/>
              </w:rPr>
              <w:t>0.5</w:t>
            </w:r>
          </w:p>
        </w:tc>
        <w:tc>
          <w:tcPr>
            <w:tcW w:w="1204" w:type="dxa"/>
          </w:tcPr>
          <w:p>
            <w:pPr>
              <w:pStyle w:val="TableParagraph"/>
              <w:spacing w:line="223" w:lineRule="exact"/>
              <w:ind w:left="244"/>
              <w:rPr>
                <w:sz w:val="20"/>
              </w:rPr>
            </w:pPr>
            <w:r>
              <w:rPr>
                <w:spacing w:val="-4"/>
                <w:sz w:val="20"/>
              </w:rPr>
              <w:t>1.00</w:t>
            </w:r>
          </w:p>
        </w:tc>
      </w:tr>
      <w:tr>
        <w:trPr>
          <w:trHeight w:val="458" w:hRule="atLeast"/>
        </w:trPr>
        <w:tc>
          <w:tcPr>
            <w:tcW w:w="3884" w:type="dxa"/>
            <w:shd w:val="clear" w:color="auto" w:fill="DBE4F0"/>
          </w:tcPr>
          <w:p>
            <w:pPr>
              <w:pStyle w:val="TableParagraph"/>
              <w:spacing w:line="226" w:lineRule="exact"/>
              <w:ind w:left="122"/>
              <w:rPr>
                <w:b/>
                <w:sz w:val="20"/>
              </w:rPr>
            </w:pPr>
            <w:r>
              <w:rPr>
                <w:b/>
                <w:sz w:val="20"/>
              </w:rPr>
              <w:t>Consolidation</w:t>
            </w:r>
            <w:r>
              <w:rPr>
                <w:b/>
                <w:spacing w:val="-6"/>
                <w:sz w:val="20"/>
              </w:rPr>
              <w:t> </w:t>
            </w:r>
            <w:r>
              <w:rPr>
                <w:b/>
                <w:sz w:val="20"/>
              </w:rPr>
              <w:t>of</w:t>
            </w:r>
            <w:r>
              <w:rPr>
                <w:b/>
                <w:spacing w:val="-4"/>
                <w:sz w:val="20"/>
              </w:rPr>
              <w:t> </w:t>
            </w:r>
            <w:r>
              <w:rPr>
                <w:b/>
                <w:sz w:val="20"/>
              </w:rPr>
              <w:t>proposals</w:t>
            </w:r>
            <w:r>
              <w:rPr>
                <w:b/>
                <w:spacing w:val="-6"/>
                <w:sz w:val="20"/>
              </w:rPr>
              <w:t> </w:t>
            </w:r>
            <w:r>
              <w:rPr>
                <w:b/>
                <w:sz w:val="20"/>
              </w:rPr>
              <w:t>by</w:t>
            </w:r>
            <w:r>
              <w:rPr>
                <w:b/>
                <w:spacing w:val="-4"/>
                <w:sz w:val="20"/>
              </w:rPr>
              <w:t> </w:t>
            </w:r>
            <w:r>
              <w:rPr>
                <w:b/>
                <w:sz w:val="20"/>
              </w:rPr>
              <w:t>the</w:t>
            </w:r>
            <w:r>
              <w:rPr>
                <w:b/>
                <w:spacing w:val="-4"/>
                <w:sz w:val="20"/>
              </w:rPr>
              <w:t> </w:t>
            </w:r>
            <w:r>
              <w:rPr>
                <w:b/>
                <w:spacing w:val="-2"/>
                <w:sz w:val="20"/>
              </w:rPr>
              <w:t>Ministry</w:t>
            </w:r>
          </w:p>
          <w:p>
            <w:pPr>
              <w:pStyle w:val="TableParagraph"/>
              <w:spacing w:line="212" w:lineRule="exact"/>
              <w:ind w:left="122"/>
              <w:rPr>
                <w:b/>
                <w:sz w:val="20"/>
              </w:rPr>
            </w:pPr>
            <w:r>
              <w:rPr>
                <w:b/>
                <w:sz w:val="20"/>
              </w:rPr>
              <w:t>of</w:t>
            </w:r>
            <w:r>
              <w:rPr>
                <w:b/>
                <w:spacing w:val="-4"/>
                <w:sz w:val="20"/>
              </w:rPr>
              <w:t> </w:t>
            </w:r>
            <w:r>
              <w:rPr>
                <w:b/>
                <w:sz w:val="20"/>
              </w:rPr>
              <w:t>Budget</w:t>
            </w:r>
            <w:r>
              <w:rPr>
                <w:b/>
                <w:spacing w:val="-5"/>
                <w:sz w:val="20"/>
              </w:rPr>
              <w:t> </w:t>
            </w:r>
            <w:r>
              <w:rPr>
                <w:b/>
                <w:sz w:val="20"/>
              </w:rPr>
              <w:t>and</w:t>
            </w:r>
            <w:r>
              <w:rPr>
                <w:b/>
                <w:spacing w:val="-6"/>
                <w:sz w:val="20"/>
              </w:rPr>
              <w:t> </w:t>
            </w:r>
            <w:r>
              <w:rPr>
                <w:b/>
                <w:sz w:val="20"/>
              </w:rPr>
              <w:t>Economic</w:t>
            </w:r>
            <w:r>
              <w:rPr>
                <w:b/>
                <w:spacing w:val="-4"/>
                <w:sz w:val="20"/>
              </w:rPr>
              <w:t> </w:t>
            </w:r>
            <w:r>
              <w:rPr>
                <w:b/>
                <w:spacing w:val="-2"/>
                <w:sz w:val="20"/>
              </w:rPr>
              <w:t>Planning</w:t>
            </w:r>
          </w:p>
        </w:tc>
        <w:tc>
          <w:tcPr>
            <w:tcW w:w="1646" w:type="dxa"/>
            <w:shd w:val="clear" w:color="auto" w:fill="DBE4F0"/>
          </w:tcPr>
          <w:p>
            <w:pPr>
              <w:pStyle w:val="TableParagraph"/>
              <w:spacing w:line="222" w:lineRule="exact"/>
              <w:ind w:left="107"/>
              <w:rPr>
                <w:sz w:val="20"/>
              </w:rPr>
            </w:pPr>
            <w:r>
              <w:rPr>
                <w:spacing w:val="-5"/>
                <w:sz w:val="20"/>
              </w:rPr>
              <w:t>2.5</w:t>
            </w:r>
          </w:p>
        </w:tc>
        <w:tc>
          <w:tcPr>
            <w:tcW w:w="1641" w:type="dxa"/>
            <w:shd w:val="clear" w:color="auto" w:fill="DBE4F0"/>
          </w:tcPr>
          <w:p>
            <w:pPr>
              <w:pStyle w:val="TableParagraph"/>
              <w:spacing w:line="222" w:lineRule="exact"/>
              <w:ind w:left="110"/>
              <w:rPr>
                <w:sz w:val="20"/>
              </w:rPr>
            </w:pPr>
            <w:r>
              <w:rPr>
                <w:spacing w:val="-10"/>
                <w:sz w:val="20"/>
              </w:rPr>
              <w:t>3</w:t>
            </w:r>
          </w:p>
        </w:tc>
        <w:tc>
          <w:tcPr>
            <w:tcW w:w="1178" w:type="dxa"/>
            <w:shd w:val="clear" w:color="auto" w:fill="DBE4F0"/>
          </w:tcPr>
          <w:p>
            <w:pPr>
              <w:pStyle w:val="TableParagraph"/>
              <w:spacing w:line="222" w:lineRule="exact"/>
              <w:ind w:left="253"/>
              <w:rPr>
                <w:sz w:val="20"/>
              </w:rPr>
            </w:pPr>
            <w:r>
              <w:rPr>
                <w:sz w:val="20"/>
              </w:rPr>
              <w:t>-</w:t>
            </w:r>
            <w:r>
              <w:rPr>
                <w:spacing w:val="-3"/>
                <w:sz w:val="20"/>
              </w:rPr>
              <w:t> </w:t>
            </w:r>
            <w:r>
              <w:rPr>
                <w:spacing w:val="-5"/>
                <w:sz w:val="20"/>
              </w:rPr>
              <w:t>0.5</w:t>
            </w:r>
          </w:p>
        </w:tc>
        <w:tc>
          <w:tcPr>
            <w:tcW w:w="1204" w:type="dxa"/>
            <w:shd w:val="clear" w:color="auto" w:fill="DBE4F0"/>
          </w:tcPr>
          <w:p>
            <w:pPr>
              <w:pStyle w:val="TableParagraph"/>
              <w:spacing w:line="222" w:lineRule="exact"/>
              <w:ind w:left="244"/>
              <w:rPr>
                <w:sz w:val="20"/>
              </w:rPr>
            </w:pPr>
            <w:r>
              <w:rPr>
                <w:spacing w:val="-4"/>
                <w:sz w:val="20"/>
              </w:rPr>
              <w:t>1.00</w:t>
            </w:r>
          </w:p>
        </w:tc>
      </w:tr>
      <w:tr>
        <w:trPr>
          <w:trHeight w:val="461" w:hRule="atLeast"/>
        </w:trPr>
        <w:tc>
          <w:tcPr>
            <w:tcW w:w="3884" w:type="dxa"/>
          </w:tcPr>
          <w:p>
            <w:pPr>
              <w:pStyle w:val="TableParagraph"/>
              <w:spacing w:line="230" w:lineRule="exact"/>
              <w:ind w:left="122"/>
              <w:rPr>
                <w:b/>
                <w:sz w:val="20"/>
              </w:rPr>
            </w:pPr>
            <w:r>
              <w:rPr>
                <w:b/>
                <w:sz w:val="20"/>
              </w:rPr>
              <w:t>Approval</w:t>
            </w:r>
            <w:r>
              <w:rPr>
                <w:b/>
                <w:spacing w:val="40"/>
                <w:sz w:val="20"/>
              </w:rPr>
              <w:t> </w:t>
            </w:r>
            <w:r>
              <w:rPr>
                <w:b/>
                <w:sz w:val="20"/>
              </w:rPr>
              <w:t>of</w:t>
            </w:r>
            <w:r>
              <w:rPr>
                <w:b/>
                <w:spacing w:val="40"/>
                <w:sz w:val="20"/>
              </w:rPr>
              <w:t> </w:t>
            </w:r>
            <w:r>
              <w:rPr>
                <w:b/>
                <w:sz w:val="20"/>
              </w:rPr>
              <w:t>draft</w:t>
            </w:r>
            <w:r>
              <w:rPr>
                <w:b/>
                <w:spacing w:val="39"/>
                <w:sz w:val="20"/>
              </w:rPr>
              <w:t> </w:t>
            </w:r>
            <w:r>
              <w:rPr>
                <w:b/>
                <w:sz w:val="20"/>
              </w:rPr>
              <w:t>proposal</w:t>
            </w:r>
            <w:r>
              <w:rPr>
                <w:b/>
                <w:spacing w:val="40"/>
                <w:sz w:val="20"/>
              </w:rPr>
              <w:t> </w:t>
            </w:r>
            <w:r>
              <w:rPr>
                <w:b/>
                <w:sz w:val="20"/>
              </w:rPr>
              <w:t>by</w:t>
            </w:r>
            <w:r>
              <w:rPr>
                <w:b/>
                <w:spacing w:val="40"/>
                <w:sz w:val="20"/>
              </w:rPr>
              <w:t> </w:t>
            </w:r>
            <w:r>
              <w:rPr>
                <w:b/>
                <w:sz w:val="20"/>
              </w:rPr>
              <w:t>the</w:t>
            </w:r>
            <w:r>
              <w:rPr>
                <w:b/>
                <w:spacing w:val="40"/>
                <w:sz w:val="20"/>
              </w:rPr>
              <w:t> </w:t>
            </w:r>
            <w:r>
              <w:rPr>
                <w:b/>
                <w:sz w:val="20"/>
              </w:rPr>
              <w:t>State Executive Council</w:t>
            </w:r>
          </w:p>
        </w:tc>
        <w:tc>
          <w:tcPr>
            <w:tcW w:w="1646" w:type="dxa"/>
          </w:tcPr>
          <w:p>
            <w:pPr>
              <w:pStyle w:val="TableParagraph"/>
              <w:spacing w:line="224" w:lineRule="exact"/>
              <w:ind w:left="107"/>
              <w:rPr>
                <w:sz w:val="20"/>
              </w:rPr>
            </w:pPr>
            <w:r>
              <w:rPr>
                <w:spacing w:val="-10"/>
                <w:sz w:val="20"/>
              </w:rPr>
              <w:t>4</w:t>
            </w:r>
          </w:p>
        </w:tc>
        <w:tc>
          <w:tcPr>
            <w:tcW w:w="1641" w:type="dxa"/>
          </w:tcPr>
          <w:p>
            <w:pPr>
              <w:pStyle w:val="TableParagraph"/>
              <w:spacing w:line="224" w:lineRule="exact"/>
              <w:ind w:left="110"/>
              <w:rPr>
                <w:sz w:val="20"/>
              </w:rPr>
            </w:pPr>
            <w:r>
              <w:rPr>
                <w:spacing w:val="-10"/>
                <w:sz w:val="20"/>
              </w:rPr>
              <w:t>1</w:t>
            </w:r>
          </w:p>
        </w:tc>
        <w:tc>
          <w:tcPr>
            <w:tcW w:w="1178" w:type="dxa"/>
          </w:tcPr>
          <w:p>
            <w:pPr>
              <w:pStyle w:val="TableParagraph"/>
              <w:spacing w:line="224" w:lineRule="exact"/>
              <w:ind w:left="253"/>
              <w:rPr>
                <w:sz w:val="20"/>
              </w:rPr>
            </w:pPr>
            <w:r>
              <w:rPr>
                <w:spacing w:val="-5"/>
                <w:sz w:val="20"/>
              </w:rPr>
              <w:t>+3</w:t>
            </w:r>
          </w:p>
        </w:tc>
        <w:tc>
          <w:tcPr>
            <w:tcW w:w="1204" w:type="dxa"/>
          </w:tcPr>
          <w:p>
            <w:pPr>
              <w:pStyle w:val="TableParagraph"/>
              <w:spacing w:line="224" w:lineRule="exact"/>
              <w:ind w:left="244"/>
              <w:rPr>
                <w:sz w:val="20"/>
              </w:rPr>
            </w:pPr>
            <w:r>
              <w:rPr>
                <w:spacing w:val="-4"/>
                <w:sz w:val="20"/>
              </w:rPr>
              <w:t>7.00</w:t>
            </w:r>
          </w:p>
        </w:tc>
      </w:tr>
      <w:tr>
        <w:trPr>
          <w:trHeight w:val="688" w:hRule="atLeast"/>
        </w:trPr>
        <w:tc>
          <w:tcPr>
            <w:tcW w:w="3884" w:type="dxa"/>
            <w:shd w:val="clear" w:color="auto" w:fill="DBE4F0"/>
          </w:tcPr>
          <w:p>
            <w:pPr>
              <w:pStyle w:val="TableParagraph"/>
              <w:spacing w:line="228" w:lineRule="exact"/>
              <w:ind w:left="122"/>
              <w:rPr>
                <w:b/>
                <w:sz w:val="20"/>
              </w:rPr>
            </w:pPr>
            <w:r>
              <w:rPr>
                <w:b/>
                <w:sz w:val="20"/>
              </w:rPr>
              <w:t>Presentation</w:t>
            </w:r>
            <w:r>
              <w:rPr>
                <w:b/>
                <w:spacing w:val="30"/>
                <w:sz w:val="20"/>
              </w:rPr>
              <w:t> </w:t>
            </w:r>
            <w:r>
              <w:rPr>
                <w:b/>
                <w:sz w:val="20"/>
              </w:rPr>
              <w:t>of</w:t>
            </w:r>
            <w:r>
              <w:rPr>
                <w:b/>
                <w:spacing w:val="32"/>
                <w:sz w:val="20"/>
              </w:rPr>
              <w:t> </w:t>
            </w:r>
            <w:r>
              <w:rPr>
                <w:b/>
                <w:sz w:val="20"/>
              </w:rPr>
              <w:t>draft</w:t>
            </w:r>
            <w:r>
              <w:rPr>
                <w:b/>
                <w:spacing w:val="32"/>
                <w:sz w:val="20"/>
              </w:rPr>
              <w:t> </w:t>
            </w:r>
            <w:r>
              <w:rPr>
                <w:b/>
                <w:sz w:val="20"/>
              </w:rPr>
              <w:t>budget</w:t>
            </w:r>
            <w:r>
              <w:rPr>
                <w:b/>
                <w:spacing w:val="32"/>
                <w:sz w:val="20"/>
              </w:rPr>
              <w:t> </w:t>
            </w:r>
            <w:r>
              <w:rPr>
                <w:b/>
                <w:sz w:val="20"/>
              </w:rPr>
              <w:t>to</w:t>
            </w:r>
            <w:r>
              <w:rPr>
                <w:b/>
                <w:spacing w:val="33"/>
                <w:sz w:val="20"/>
              </w:rPr>
              <w:t> </w:t>
            </w:r>
            <w:r>
              <w:rPr>
                <w:b/>
                <w:sz w:val="20"/>
              </w:rPr>
              <w:t>the</w:t>
            </w:r>
            <w:r>
              <w:rPr>
                <w:b/>
                <w:spacing w:val="32"/>
                <w:sz w:val="20"/>
              </w:rPr>
              <w:t> </w:t>
            </w:r>
            <w:r>
              <w:rPr>
                <w:b/>
                <w:spacing w:val="-4"/>
                <w:sz w:val="20"/>
              </w:rPr>
              <w:t>State</w:t>
            </w:r>
          </w:p>
          <w:p>
            <w:pPr>
              <w:pStyle w:val="TableParagraph"/>
              <w:spacing w:line="228" w:lineRule="exact"/>
              <w:ind w:left="122"/>
              <w:rPr>
                <w:b/>
                <w:sz w:val="20"/>
              </w:rPr>
            </w:pPr>
            <w:r>
              <w:rPr>
                <w:b/>
                <w:sz w:val="20"/>
              </w:rPr>
              <w:t>House of Assembly (Legislature) and final approval of budget</w:t>
            </w:r>
          </w:p>
        </w:tc>
        <w:tc>
          <w:tcPr>
            <w:tcW w:w="1646" w:type="dxa"/>
            <w:shd w:val="clear" w:color="auto" w:fill="DBE4F0"/>
          </w:tcPr>
          <w:p>
            <w:pPr>
              <w:pStyle w:val="TableParagraph"/>
              <w:spacing w:line="223" w:lineRule="exact"/>
              <w:ind w:left="107"/>
              <w:rPr>
                <w:sz w:val="20"/>
              </w:rPr>
            </w:pPr>
            <w:r>
              <w:rPr>
                <w:spacing w:val="-5"/>
                <w:sz w:val="20"/>
              </w:rPr>
              <w:t>10</w:t>
            </w:r>
          </w:p>
        </w:tc>
        <w:tc>
          <w:tcPr>
            <w:tcW w:w="1641" w:type="dxa"/>
            <w:shd w:val="clear" w:color="auto" w:fill="DBE4F0"/>
          </w:tcPr>
          <w:p>
            <w:pPr>
              <w:pStyle w:val="TableParagraph"/>
              <w:spacing w:line="223" w:lineRule="exact"/>
              <w:ind w:left="110"/>
              <w:rPr>
                <w:sz w:val="20"/>
              </w:rPr>
            </w:pPr>
            <w:r>
              <w:rPr>
                <w:spacing w:val="-10"/>
                <w:sz w:val="20"/>
              </w:rPr>
              <w:t>3</w:t>
            </w:r>
          </w:p>
        </w:tc>
        <w:tc>
          <w:tcPr>
            <w:tcW w:w="1178" w:type="dxa"/>
            <w:shd w:val="clear" w:color="auto" w:fill="DBE4F0"/>
          </w:tcPr>
          <w:p>
            <w:pPr>
              <w:pStyle w:val="TableParagraph"/>
              <w:spacing w:line="223" w:lineRule="exact"/>
              <w:ind w:left="253"/>
              <w:rPr>
                <w:sz w:val="20"/>
              </w:rPr>
            </w:pPr>
            <w:r>
              <w:rPr>
                <w:spacing w:val="-5"/>
                <w:sz w:val="20"/>
              </w:rPr>
              <w:t>+7</w:t>
            </w:r>
          </w:p>
        </w:tc>
        <w:tc>
          <w:tcPr>
            <w:tcW w:w="1204" w:type="dxa"/>
            <w:shd w:val="clear" w:color="auto" w:fill="DBE4F0"/>
          </w:tcPr>
          <w:p>
            <w:pPr>
              <w:pStyle w:val="TableParagraph"/>
              <w:spacing w:line="223" w:lineRule="exact"/>
              <w:ind w:left="143"/>
              <w:rPr>
                <w:sz w:val="20"/>
              </w:rPr>
            </w:pPr>
            <w:r>
              <w:rPr>
                <w:spacing w:val="-2"/>
                <w:sz w:val="20"/>
              </w:rPr>
              <w:t>16.00</w:t>
            </w:r>
          </w:p>
        </w:tc>
      </w:tr>
      <w:tr>
        <w:trPr>
          <w:trHeight w:val="230" w:hRule="atLeast"/>
        </w:trPr>
        <w:tc>
          <w:tcPr>
            <w:tcW w:w="3884" w:type="dxa"/>
          </w:tcPr>
          <w:p>
            <w:pPr>
              <w:pStyle w:val="TableParagraph"/>
              <w:spacing w:line="210" w:lineRule="exact"/>
              <w:ind w:left="122"/>
              <w:rPr>
                <w:b/>
                <w:sz w:val="20"/>
              </w:rPr>
            </w:pPr>
            <w:r>
              <w:rPr>
                <w:b/>
                <w:sz w:val="20"/>
              </w:rPr>
              <w:t>Governor’s</w:t>
            </w:r>
            <w:r>
              <w:rPr>
                <w:b/>
                <w:spacing w:val="-10"/>
                <w:sz w:val="20"/>
              </w:rPr>
              <w:t> </w:t>
            </w:r>
            <w:r>
              <w:rPr>
                <w:b/>
                <w:spacing w:val="-2"/>
                <w:sz w:val="20"/>
              </w:rPr>
              <w:t>assent</w:t>
            </w:r>
          </w:p>
        </w:tc>
        <w:tc>
          <w:tcPr>
            <w:tcW w:w="1646" w:type="dxa"/>
          </w:tcPr>
          <w:p>
            <w:pPr>
              <w:pStyle w:val="TableParagraph"/>
              <w:spacing w:line="210" w:lineRule="exact"/>
              <w:ind w:left="107"/>
              <w:rPr>
                <w:sz w:val="20"/>
              </w:rPr>
            </w:pPr>
            <w:r>
              <w:rPr>
                <w:spacing w:val="-5"/>
                <w:sz w:val="20"/>
              </w:rPr>
              <w:t>0.5</w:t>
            </w:r>
          </w:p>
        </w:tc>
        <w:tc>
          <w:tcPr>
            <w:tcW w:w="1641" w:type="dxa"/>
          </w:tcPr>
          <w:p>
            <w:pPr>
              <w:pStyle w:val="TableParagraph"/>
              <w:spacing w:line="210" w:lineRule="exact"/>
              <w:ind w:left="110"/>
              <w:rPr>
                <w:sz w:val="20"/>
              </w:rPr>
            </w:pPr>
            <w:r>
              <w:rPr>
                <w:spacing w:val="-10"/>
                <w:sz w:val="20"/>
              </w:rPr>
              <w:t>1</w:t>
            </w:r>
          </w:p>
        </w:tc>
        <w:tc>
          <w:tcPr>
            <w:tcW w:w="1178" w:type="dxa"/>
          </w:tcPr>
          <w:p>
            <w:pPr>
              <w:pStyle w:val="TableParagraph"/>
              <w:spacing w:line="210" w:lineRule="exact"/>
              <w:ind w:left="253"/>
              <w:rPr>
                <w:sz w:val="20"/>
              </w:rPr>
            </w:pPr>
            <w:r>
              <w:rPr>
                <w:sz w:val="20"/>
              </w:rPr>
              <w:t>-</w:t>
            </w:r>
            <w:r>
              <w:rPr>
                <w:spacing w:val="-3"/>
                <w:sz w:val="20"/>
              </w:rPr>
              <w:t> </w:t>
            </w:r>
            <w:r>
              <w:rPr>
                <w:spacing w:val="-5"/>
                <w:sz w:val="20"/>
              </w:rPr>
              <w:t>0.5</w:t>
            </w:r>
          </w:p>
        </w:tc>
        <w:tc>
          <w:tcPr>
            <w:tcW w:w="1204" w:type="dxa"/>
          </w:tcPr>
          <w:p>
            <w:pPr>
              <w:pStyle w:val="TableParagraph"/>
              <w:spacing w:line="210" w:lineRule="exact"/>
              <w:ind w:left="194"/>
              <w:rPr>
                <w:sz w:val="20"/>
              </w:rPr>
            </w:pPr>
            <w:r>
              <w:rPr>
                <w:spacing w:val="-4"/>
                <w:sz w:val="20"/>
              </w:rPr>
              <w:t>1.00</w:t>
            </w:r>
          </w:p>
        </w:tc>
      </w:tr>
      <w:tr>
        <w:trPr>
          <w:trHeight w:val="230" w:hRule="atLeast"/>
        </w:trPr>
        <w:tc>
          <w:tcPr>
            <w:tcW w:w="3884" w:type="dxa"/>
            <w:tcBorders>
              <w:bottom w:val="single" w:sz="4" w:space="0" w:color="000000"/>
            </w:tcBorders>
            <w:shd w:val="clear" w:color="auto" w:fill="DBE4F0"/>
          </w:tcPr>
          <w:p>
            <w:pPr>
              <w:pStyle w:val="TableParagraph"/>
              <w:spacing w:line="210" w:lineRule="exact"/>
              <w:ind w:left="122"/>
              <w:rPr>
                <w:b/>
                <w:sz w:val="20"/>
              </w:rPr>
            </w:pPr>
            <w:r>
              <w:rPr>
                <w:b/>
                <w:sz w:val="20"/>
              </w:rPr>
              <w:t>Publication</w:t>
            </w:r>
            <w:r>
              <w:rPr>
                <w:b/>
                <w:spacing w:val="-7"/>
                <w:sz w:val="20"/>
              </w:rPr>
              <w:t> </w:t>
            </w:r>
            <w:r>
              <w:rPr>
                <w:b/>
                <w:sz w:val="20"/>
              </w:rPr>
              <w:t>and</w:t>
            </w:r>
            <w:r>
              <w:rPr>
                <w:b/>
                <w:spacing w:val="-7"/>
                <w:sz w:val="20"/>
              </w:rPr>
              <w:t> </w:t>
            </w:r>
            <w:r>
              <w:rPr>
                <w:b/>
                <w:sz w:val="20"/>
              </w:rPr>
              <w:t>dissemination</w:t>
            </w:r>
            <w:r>
              <w:rPr>
                <w:b/>
                <w:spacing w:val="-7"/>
                <w:sz w:val="20"/>
              </w:rPr>
              <w:t> </w:t>
            </w:r>
            <w:r>
              <w:rPr>
                <w:b/>
                <w:sz w:val="20"/>
              </w:rPr>
              <w:t>of</w:t>
            </w:r>
            <w:r>
              <w:rPr>
                <w:b/>
                <w:spacing w:val="-6"/>
                <w:sz w:val="20"/>
              </w:rPr>
              <w:t> </w:t>
            </w:r>
            <w:r>
              <w:rPr>
                <w:b/>
                <w:spacing w:val="-2"/>
                <w:sz w:val="20"/>
              </w:rPr>
              <w:t>budget</w:t>
            </w:r>
          </w:p>
        </w:tc>
        <w:tc>
          <w:tcPr>
            <w:tcW w:w="1646" w:type="dxa"/>
            <w:tcBorders>
              <w:bottom w:val="single" w:sz="4" w:space="0" w:color="000000"/>
            </w:tcBorders>
            <w:shd w:val="clear" w:color="auto" w:fill="DBE4F0"/>
          </w:tcPr>
          <w:p>
            <w:pPr>
              <w:pStyle w:val="TableParagraph"/>
              <w:spacing w:line="210" w:lineRule="exact"/>
              <w:ind w:left="107"/>
              <w:rPr>
                <w:sz w:val="20"/>
              </w:rPr>
            </w:pPr>
            <w:r>
              <w:rPr>
                <w:spacing w:val="-5"/>
                <w:sz w:val="20"/>
              </w:rPr>
              <w:t>2.5</w:t>
            </w:r>
          </w:p>
        </w:tc>
        <w:tc>
          <w:tcPr>
            <w:tcW w:w="1641" w:type="dxa"/>
            <w:tcBorders>
              <w:bottom w:val="single" w:sz="4" w:space="0" w:color="000000"/>
            </w:tcBorders>
            <w:shd w:val="clear" w:color="auto" w:fill="DBE4F0"/>
          </w:tcPr>
          <w:p>
            <w:pPr>
              <w:pStyle w:val="TableParagraph"/>
              <w:spacing w:line="210" w:lineRule="exact"/>
              <w:ind w:left="110"/>
              <w:rPr>
                <w:sz w:val="20"/>
              </w:rPr>
            </w:pPr>
            <w:r>
              <w:rPr>
                <w:spacing w:val="-10"/>
                <w:sz w:val="20"/>
              </w:rPr>
              <w:t>1</w:t>
            </w:r>
          </w:p>
        </w:tc>
        <w:tc>
          <w:tcPr>
            <w:tcW w:w="1178" w:type="dxa"/>
            <w:tcBorders>
              <w:bottom w:val="single" w:sz="4" w:space="0" w:color="000000"/>
            </w:tcBorders>
            <w:shd w:val="clear" w:color="auto" w:fill="DBE4F0"/>
          </w:tcPr>
          <w:p>
            <w:pPr>
              <w:pStyle w:val="TableParagraph"/>
              <w:spacing w:line="210" w:lineRule="exact"/>
              <w:ind w:left="253"/>
              <w:rPr>
                <w:sz w:val="20"/>
              </w:rPr>
            </w:pPr>
            <w:r>
              <w:rPr>
                <w:spacing w:val="-4"/>
                <w:sz w:val="20"/>
              </w:rPr>
              <w:t>+1.5</w:t>
            </w:r>
          </w:p>
        </w:tc>
        <w:tc>
          <w:tcPr>
            <w:tcW w:w="1204" w:type="dxa"/>
            <w:tcBorders>
              <w:bottom w:val="single" w:sz="4" w:space="0" w:color="000000"/>
            </w:tcBorders>
            <w:shd w:val="clear" w:color="auto" w:fill="DBE4F0"/>
          </w:tcPr>
          <w:p>
            <w:pPr>
              <w:pStyle w:val="TableParagraph"/>
              <w:spacing w:line="210" w:lineRule="exact"/>
              <w:ind w:left="194"/>
              <w:rPr>
                <w:sz w:val="20"/>
              </w:rPr>
            </w:pPr>
            <w:r>
              <w:rPr>
                <w:spacing w:val="-4"/>
                <w:sz w:val="20"/>
              </w:rPr>
              <w:t>3.00</w:t>
            </w:r>
          </w:p>
        </w:tc>
      </w:tr>
      <w:tr>
        <w:trPr>
          <w:trHeight w:val="690" w:hRule="atLeast"/>
        </w:trPr>
        <w:tc>
          <w:tcPr>
            <w:tcW w:w="3884" w:type="dxa"/>
            <w:tcBorders>
              <w:top w:val="single" w:sz="4" w:space="0" w:color="000000"/>
              <w:bottom w:val="single" w:sz="4" w:space="0" w:color="000000"/>
            </w:tcBorders>
          </w:tcPr>
          <w:p>
            <w:pPr>
              <w:pStyle w:val="TableParagraph"/>
              <w:spacing w:line="228" w:lineRule="exact"/>
              <w:ind w:right="106"/>
              <w:jc w:val="right"/>
              <w:rPr>
                <w:b/>
                <w:sz w:val="20"/>
              </w:rPr>
            </w:pPr>
            <w:r>
              <w:rPr>
                <w:b/>
                <w:spacing w:val="-2"/>
                <w:sz w:val="20"/>
              </w:rPr>
              <w:t>Total</w:t>
            </w:r>
          </w:p>
        </w:tc>
        <w:tc>
          <w:tcPr>
            <w:tcW w:w="1646" w:type="dxa"/>
            <w:tcBorders>
              <w:top w:val="single" w:sz="4" w:space="0" w:color="000000"/>
              <w:bottom w:val="single" w:sz="4" w:space="0" w:color="000000"/>
            </w:tcBorders>
          </w:tcPr>
          <w:p>
            <w:pPr>
              <w:pStyle w:val="TableParagraph"/>
              <w:ind w:left="107" w:right="97"/>
              <w:rPr>
                <w:sz w:val="20"/>
              </w:rPr>
            </w:pPr>
            <w:r>
              <w:rPr>
                <w:sz w:val="20"/>
              </w:rPr>
              <w:t>27 (6months &amp; </w:t>
            </w:r>
            <w:r>
              <w:rPr>
                <w:sz w:val="20"/>
              </w:rPr>
              <w:t>3</w:t>
            </w:r>
            <w:r>
              <w:rPr>
                <w:sz w:val="20"/>
              </w:rPr>
              <w:t> </w:t>
            </w:r>
            <w:r>
              <w:rPr>
                <w:spacing w:val="-2"/>
                <w:sz w:val="20"/>
              </w:rPr>
              <w:t>weeks</w:t>
            </w:r>
          </w:p>
        </w:tc>
        <w:tc>
          <w:tcPr>
            <w:tcW w:w="1641" w:type="dxa"/>
            <w:tcBorders>
              <w:top w:val="single" w:sz="4" w:space="0" w:color="000000"/>
              <w:bottom w:val="single" w:sz="4" w:space="0" w:color="000000"/>
            </w:tcBorders>
          </w:tcPr>
          <w:p>
            <w:pPr>
              <w:pStyle w:val="TableParagraph"/>
              <w:spacing w:line="223" w:lineRule="exact"/>
              <w:ind w:left="110"/>
              <w:rPr>
                <w:sz w:val="20"/>
              </w:rPr>
            </w:pPr>
            <w:r>
              <w:rPr>
                <w:spacing w:val="-2"/>
                <w:sz w:val="20"/>
              </w:rPr>
              <w:t>45weeks</w:t>
            </w:r>
          </w:p>
          <w:p>
            <w:pPr>
              <w:pStyle w:val="TableParagraph"/>
              <w:spacing w:line="230" w:lineRule="atLeast"/>
              <w:ind w:left="110" w:right="140"/>
              <w:rPr>
                <w:sz w:val="20"/>
              </w:rPr>
            </w:pPr>
            <w:r>
              <w:rPr>
                <w:sz w:val="20"/>
              </w:rPr>
              <w:t>(11months</w:t>
            </w:r>
            <w:r>
              <w:rPr>
                <w:spacing w:val="-13"/>
                <w:sz w:val="20"/>
              </w:rPr>
              <w:t> </w:t>
            </w:r>
            <w:r>
              <w:rPr>
                <w:sz w:val="20"/>
              </w:rPr>
              <w:t>&amp;</w:t>
            </w:r>
            <w:r>
              <w:rPr>
                <w:spacing w:val="-12"/>
                <w:sz w:val="20"/>
              </w:rPr>
              <w:t> </w:t>
            </w:r>
            <w:r>
              <w:rPr>
                <w:sz w:val="20"/>
              </w:rPr>
              <w:t>1 </w:t>
            </w:r>
            <w:r>
              <w:rPr>
                <w:spacing w:val="-2"/>
                <w:sz w:val="20"/>
              </w:rPr>
              <w:t>week)</w:t>
            </w:r>
          </w:p>
        </w:tc>
        <w:tc>
          <w:tcPr>
            <w:tcW w:w="1178" w:type="dxa"/>
            <w:tcBorders>
              <w:top w:val="single" w:sz="4" w:space="0" w:color="000000"/>
              <w:bottom w:val="single" w:sz="4" w:space="0" w:color="000000"/>
            </w:tcBorders>
          </w:tcPr>
          <w:p>
            <w:pPr>
              <w:pStyle w:val="TableParagraph"/>
              <w:spacing w:line="223" w:lineRule="exact"/>
              <w:ind w:left="253"/>
              <w:rPr>
                <w:sz w:val="20"/>
              </w:rPr>
            </w:pPr>
            <w:r>
              <w:rPr>
                <w:spacing w:val="-4"/>
                <w:sz w:val="20"/>
              </w:rPr>
              <w:t>-</w:t>
            </w:r>
            <w:r>
              <w:rPr>
                <w:spacing w:val="-5"/>
                <w:sz w:val="20"/>
              </w:rPr>
              <w:t>18</w:t>
            </w:r>
          </w:p>
        </w:tc>
        <w:tc>
          <w:tcPr>
            <w:tcW w:w="1204" w:type="dxa"/>
            <w:tcBorders>
              <w:top w:val="single" w:sz="4" w:space="0" w:color="000000"/>
              <w:bottom w:val="single" w:sz="4" w:space="0" w:color="000000"/>
            </w:tcBorders>
          </w:tcPr>
          <w:p>
            <w:pPr>
              <w:pStyle w:val="TableParagraph"/>
              <w:rPr>
                <w:sz w:val="22"/>
              </w:rPr>
            </w:pPr>
          </w:p>
        </w:tc>
      </w:tr>
    </w:tbl>
    <w:p>
      <w:pPr>
        <w:pStyle w:val="BodyText"/>
        <w:ind w:left="240"/>
        <w:jc w:val="both"/>
      </w:pPr>
      <w:r>
        <w:rPr>
          <w:b/>
        </w:rPr>
        <w:t>Source:</w:t>
      </w:r>
      <w:r>
        <w:rPr>
          <w:b/>
          <w:spacing w:val="-2"/>
        </w:rPr>
        <w:t> </w:t>
      </w:r>
      <w:r>
        <w:rPr/>
        <w:t>Researcher‘s field</w:t>
      </w:r>
      <w:r>
        <w:rPr>
          <w:spacing w:val="-1"/>
        </w:rPr>
        <w:t> </w:t>
      </w:r>
      <w:r>
        <w:rPr/>
        <w:t>survey</w:t>
      </w:r>
      <w:r>
        <w:rPr>
          <w:spacing w:val="-1"/>
        </w:rPr>
        <w:t> </w:t>
      </w:r>
      <w:r>
        <w:rPr>
          <w:spacing w:val="-2"/>
        </w:rPr>
        <w:t>(2017)</w:t>
      </w:r>
    </w:p>
    <w:p>
      <w:pPr>
        <w:pStyle w:val="BodyText"/>
        <w:spacing w:before="102"/>
      </w:pPr>
    </w:p>
    <w:p>
      <w:pPr>
        <w:pStyle w:val="BodyText"/>
        <w:spacing w:line="360" w:lineRule="auto"/>
        <w:ind w:left="240" w:right="836"/>
        <w:jc w:val="both"/>
      </w:pPr>
      <w:r>
        <w:rPr/>
        <w:t>The comparative analysis presented in Table 5.10 shows the average number of weeks for each budget activity obtained from the responses in Table 5.9, the durations of the same budget activities as stipulated by the budget calendar and the differences between the current duration (duration in practice). It also shows the calculated percentages of the difference in relation to the total stipulated duration. It should be noted that the average number of weeks was obtained as follows; where respondents indicated a duration range of say</w:t>
      </w:r>
      <w:r>
        <w:rPr>
          <w:spacing w:val="-2"/>
        </w:rPr>
        <w:t> </w:t>
      </w:r>
      <w:r>
        <w:rPr/>
        <w:t>2 – 3weeks, the average will be 2.5 weeks. The</w:t>
      </w:r>
      <w:r>
        <w:rPr>
          <w:spacing w:val="-1"/>
        </w:rPr>
        <w:t> </w:t>
      </w:r>
      <w:r>
        <w:rPr/>
        <w:t>percentage</w:t>
      </w:r>
      <w:r>
        <w:rPr>
          <w:spacing w:val="-1"/>
        </w:rPr>
        <w:t> </w:t>
      </w:r>
      <w:r>
        <w:rPr/>
        <w:t>difference</w:t>
      </w:r>
      <w:r>
        <w:rPr>
          <w:spacing w:val="-1"/>
        </w:rPr>
        <w:t> </w:t>
      </w:r>
      <w:r>
        <w:rPr/>
        <w:t>was obtained by</w:t>
      </w:r>
      <w:r>
        <w:rPr>
          <w:spacing w:val="-3"/>
        </w:rPr>
        <w:t> </w:t>
      </w:r>
      <w:r>
        <w:rPr/>
        <w:t>dividing</w:t>
      </w:r>
      <w:r>
        <w:rPr>
          <w:spacing w:val="-2"/>
        </w:rPr>
        <w:t> </w:t>
      </w:r>
      <w:r>
        <w:rPr/>
        <w:t>the difference</w:t>
      </w:r>
      <w:r>
        <w:rPr>
          <w:spacing w:val="-1"/>
        </w:rPr>
        <w:t> </w:t>
      </w:r>
      <w:r>
        <w:rPr/>
        <w:t>in duration by</w:t>
      </w:r>
      <w:r>
        <w:rPr>
          <w:spacing w:val="-8"/>
        </w:rPr>
        <w:t> </w:t>
      </w:r>
      <w:r>
        <w:rPr/>
        <w:t>the</w:t>
      </w:r>
      <w:r>
        <w:rPr>
          <w:spacing w:val="-1"/>
        </w:rPr>
        <w:t> </w:t>
      </w:r>
      <w:r>
        <w:rPr/>
        <w:t>total stipulated duration of 45 weeks.</w:t>
      </w:r>
    </w:p>
    <w:p>
      <w:pPr>
        <w:pStyle w:val="BodyText"/>
        <w:spacing w:before="138"/>
      </w:pPr>
    </w:p>
    <w:p>
      <w:pPr>
        <w:pStyle w:val="BodyText"/>
        <w:spacing w:line="360" w:lineRule="auto" w:before="1"/>
        <w:ind w:left="240" w:right="831"/>
        <w:jc w:val="both"/>
      </w:pPr>
      <w:r>
        <w:rPr/>
        <w:t>It</w:t>
      </w:r>
      <w:r>
        <w:rPr>
          <w:spacing w:val="-1"/>
        </w:rPr>
        <w:t> </w:t>
      </w:r>
      <w:r>
        <w:rPr/>
        <w:t>will</w:t>
      </w:r>
      <w:r>
        <w:rPr>
          <w:spacing w:val="-2"/>
        </w:rPr>
        <w:t> </w:t>
      </w:r>
      <w:r>
        <w:rPr/>
        <w:t>be</w:t>
      </w:r>
      <w:r>
        <w:rPr>
          <w:spacing w:val="-3"/>
        </w:rPr>
        <w:t> </w:t>
      </w:r>
      <w:r>
        <w:rPr/>
        <w:t>observed</w:t>
      </w:r>
      <w:r>
        <w:rPr>
          <w:spacing w:val="-2"/>
        </w:rPr>
        <w:t> </w:t>
      </w:r>
      <w:r>
        <w:rPr/>
        <w:t>that</w:t>
      </w:r>
      <w:r>
        <w:rPr>
          <w:spacing w:val="-1"/>
        </w:rPr>
        <w:t> </w:t>
      </w:r>
      <w:r>
        <w:rPr/>
        <w:t>according</w:t>
      </w:r>
      <w:r>
        <w:rPr>
          <w:spacing w:val="-5"/>
        </w:rPr>
        <w:t> </w:t>
      </w:r>
      <w:r>
        <w:rPr/>
        <w:t>to</w:t>
      </w:r>
      <w:r>
        <w:rPr>
          <w:spacing w:val="-2"/>
        </w:rPr>
        <w:t> </w:t>
      </w:r>
      <w:r>
        <w:rPr/>
        <w:t>the Anambra</w:t>
      </w:r>
      <w:r>
        <w:rPr>
          <w:spacing w:val="-1"/>
        </w:rPr>
        <w:t> </w:t>
      </w:r>
      <w:r>
        <w:rPr/>
        <w:t>State</w:t>
      </w:r>
      <w:r>
        <w:rPr>
          <w:spacing w:val="-2"/>
        </w:rPr>
        <w:t> </w:t>
      </w:r>
      <w:r>
        <w:rPr/>
        <w:t>budget</w:t>
      </w:r>
      <w:r>
        <w:rPr>
          <w:spacing w:val="-2"/>
        </w:rPr>
        <w:t> </w:t>
      </w:r>
      <w:r>
        <w:rPr/>
        <w:t>calendar,</w:t>
      </w:r>
      <w:r>
        <w:rPr>
          <w:spacing w:val="-1"/>
        </w:rPr>
        <w:t> </w:t>
      </w:r>
      <w:r>
        <w:rPr/>
        <w:t>27</w:t>
      </w:r>
      <w:r>
        <w:rPr>
          <w:spacing w:val="-1"/>
        </w:rPr>
        <w:t> </w:t>
      </w:r>
      <w:r>
        <w:rPr/>
        <w:t>weeks</w:t>
      </w:r>
      <w:r>
        <w:rPr>
          <w:spacing w:val="-1"/>
        </w:rPr>
        <w:t> </w:t>
      </w:r>
      <w:r>
        <w:rPr/>
        <w:t>(6</w:t>
      </w:r>
      <w:r>
        <w:rPr>
          <w:spacing w:val="-2"/>
        </w:rPr>
        <w:t> </w:t>
      </w:r>
      <w:r>
        <w:rPr/>
        <w:t>months</w:t>
      </w:r>
      <w:r>
        <w:rPr>
          <w:spacing w:val="-2"/>
        </w:rPr>
        <w:t> </w:t>
      </w:r>
      <w:r>
        <w:rPr/>
        <w:t>and 3 weeks (January to third week of July) is the duration allowed for the planning and preparation of sector budget limits by MDAs, but the actual duration it takes in practice for this activity is usually</w:t>
      </w:r>
      <w:r>
        <w:rPr>
          <w:spacing w:val="-5"/>
        </w:rPr>
        <w:t> </w:t>
      </w:r>
      <w:r>
        <w:rPr/>
        <w:t>2.5 weeks and a difference of</w:t>
      </w:r>
      <w:r>
        <w:rPr>
          <w:spacing w:val="-1"/>
        </w:rPr>
        <w:t> </w:t>
      </w:r>
      <w:r>
        <w:rPr/>
        <w:t>24.5 weeks early. The</w:t>
      </w:r>
      <w:r>
        <w:rPr>
          <w:spacing w:val="-1"/>
        </w:rPr>
        <w:t> </w:t>
      </w:r>
      <w:r>
        <w:rPr/>
        <w:t>implication of this is that a</w:t>
      </w:r>
      <w:r>
        <w:rPr>
          <w:spacing w:val="-1"/>
        </w:rPr>
        <w:t> </w:t>
      </w:r>
      <w:r>
        <w:rPr/>
        <w:t>period</w:t>
      </w:r>
      <w:r>
        <w:rPr>
          <w:spacing w:val="-1"/>
        </w:rPr>
        <w:t> </w:t>
      </w:r>
      <w:r>
        <w:rPr/>
        <w:t>of 6months and a few days or 54% of the total stipulated duration is usually wasted annually by Housing</w:t>
      </w:r>
      <w:r>
        <w:rPr>
          <w:spacing w:val="2"/>
        </w:rPr>
        <w:t> </w:t>
      </w:r>
      <w:r>
        <w:rPr/>
        <w:t>MDAs</w:t>
      </w:r>
      <w:r>
        <w:rPr>
          <w:spacing w:val="7"/>
        </w:rPr>
        <w:t> </w:t>
      </w:r>
      <w:r>
        <w:rPr/>
        <w:t>and</w:t>
      </w:r>
      <w:r>
        <w:rPr>
          <w:spacing w:val="7"/>
        </w:rPr>
        <w:t> </w:t>
      </w:r>
      <w:r>
        <w:rPr/>
        <w:t>then</w:t>
      </w:r>
      <w:r>
        <w:rPr>
          <w:spacing w:val="8"/>
        </w:rPr>
        <w:t> </w:t>
      </w:r>
      <w:r>
        <w:rPr/>
        <w:t>a</w:t>
      </w:r>
      <w:r>
        <w:rPr>
          <w:spacing w:val="6"/>
        </w:rPr>
        <w:t> </w:t>
      </w:r>
      <w:r>
        <w:rPr/>
        <w:t>period</w:t>
      </w:r>
      <w:r>
        <w:rPr>
          <w:spacing w:val="6"/>
        </w:rPr>
        <w:t> </w:t>
      </w:r>
      <w:r>
        <w:rPr/>
        <w:t>of</w:t>
      </w:r>
      <w:r>
        <w:rPr>
          <w:spacing w:val="6"/>
        </w:rPr>
        <w:t> </w:t>
      </w:r>
      <w:r>
        <w:rPr/>
        <w:t>2.5</w:t>
      </w:r>
      <w:r>
        <w:rPr>
          <w:spacing w:val="6"/>
        </w:rPr>
        <w:t> </w:t>
      </w:r>
      <w:r>
        <w:rPr/>
        <w:t>weeks</w:t>
      </w:r>
      <w:r>
        <w:rPr>
          <w:spacing w:val="7"/>
        </w:rPr>
        <w:t> </w:t>
      </w:r>
      <w:r>
        <w:rPr/>
        <w:t>is</w:t>
      </w:r>
      <w:r>
        <w:rPr>
          <w:spacing w:val="10"/>
        </w:rPr>
        <w:t> </w:t>
      </w:r>
      <w:r>
        <w:rPr/>
        <w:t>spent</w:t>
      </w:r>
      <w:r>
        <w:rPr>
          <w:spacing w:val="6"/>
        </w:rPr>
        <w:t> </w:t>
      </w:r>
      <w:r>
        <w:rPr/>
        <w:t>hurriedly</w:t>
      </w:r>
      <w:r>
        <w:rPr>
          <w:spacing w:val="2"/>
        </w:rPr>
        <w:t> </w:t>
      </w:r>
      <w:r>
        <w:rPr/>
        <w:t>preparing</w:t>
      </w:r>
      <w:r>
        <w:rPr>
          <w:spacing w:val="6"/>
        </w:rPr>
        <w:t> </w:t>
      </w:r>
      <w:r>
        <w:rPr/>
        <w:t>the</w:t>
      </w:r>
      <w:r>
        <w:rPr>
          <w:spacing w:val="6"/>
        </w:rPr>
        <w:t> </w:t>
      </w:r>
      <w:r>
        <w:rPr/>
        <w:t>budget</w:t>
      </w:r>
      <w:r>
        <w:rPr>
          <w:spacing w:val="7"/>
        </w:rPr>
        <w:t> </w:t>
      </w:r>
      <w:r>
        <w:rPr>
          <w:spacing w:val="-2"/>
        </w:rPr>
        <w:t>proposal,</w:t>
      </w:r>
    </w:p>
    <w:p>
      <w:pPr>
        <w:spacing w:after="0" w:line="360" w:lineRule="auto"/>
        <w:jc w:val="both"/>
        <w:sectPr>
          <w:pgSz w:w="12240" w:h="15840"/>
          <w:pgMar w:header="0" w:footer="1036" w:top="1360" w:bottom="1220" w:left="1200" w:right="600"/>
        </w:sectPr>
      </w:pPr>
    </w:p>
    <w:p>
      <w:pPr>
        <w:pStyle w:val="BodyText"/>
        <w:spacing w:line="360" w:lineRule="auto" w:before="74"/>
        <w:ind w:left="240" w:right="834"/>
        <w:jc w:val="both"/>
      </w:pPr>
      <w:r>
        <w:rPr/>
        <w:t>when the call for proposals is made. Though, this indicates conformity with the calendar</w:t>
      </w:r>
      <w:r>
        <w:rPr>
          <w:spacing w:val="40"/>
        </w:rPr>
        <w:t> </w:t>
      </w:r>
      <w:r>
        <w:rPr/>
        <w:t>duration, it is devoid of proper planning. This duration stipulated by the budget calendar is considered adequate to carry</w:t>
      </w:r>
      <w:r>
        <w:rPr>
          <w:spacing w:val="-1"/>
        </w:rPr>
        <w:t> </w:t>
      </w:r>
      <w:r>
        <w:rPr/>
        <w:t>out meaningful and budget planning and attain an appreciable level of housing needs assessment, only if there is commitment on the part of the Government and adequate</w:t>
      </w:r>
      <w:r>
        <w:rPr>
          <w:spacing w:val="-1"/>
        </w:rPr>
        <w:t> </w:t>
      </w:r>
      <w:r>
        <w:rPr/>
        <w:t>resources</w:t>
      </w:r>
      <w:r>
        <w:rPr>
          <w:spacing w:val="-1"/>
        </w:rPr>
        <w:t> </w:t>
      </w:r>
      <w:r>
        <w:rPr/>
        <w:t>are</w:t>
      </w:r>
      <w:r>
        <w:rPr>
          <w:spacing w:val="-2"/>
        </w:rPr>
        <w:t> </w:t>
      </w:r>
      <w:r>
        <w:rPr/>
        <w:t>deployed.</w:t>
      </w:r>
      <w:r>
        <w:rPr>
          <w:spacing w:val="-1"/>
        </w:rPr>
        <w:t> </w:t>
      </w:r>
      <w:r>
        <w:rPr/>
        <w:t>The</w:t>
      </w:r>
      <w:r>
        <w:rPr>
          <w:spacing w:val="-3"/>
        </w:rPr>
        <w:t> </w:t>
      </w:r>
      <w:r>
        <w:rPr/>
        <w:t>achievement</w:t>
      </w:r>
      <w:r>
        <w:rPr>
          <w:spacing w:val="-1"/>
        </w:rPr>
        <w:t> </w:t>
      </w:r>
      <w:r>
        <w:rPr/>
        <w:t>will</w:t>
      </w:r>
      <w:r>
        <w:rPr>
          <w:spacing w:val="-1"/>
        </w:rPr>
        <w:t> </w:t>
      </w:r>
      <w:r>
        <w:rPr/>
        <w:t>even</w:t>
      </w:r>
      <w:r>
        <w:rPr>
          <w:spacing w:val="-1"/>
        </w:rPr>
        <w:t> </w:t>
      </w:r>
      <w:r>
        <w:rPr/>
        <w:t>be</w:t>
      </w:r>
      <w:r>
        <w:rPr>
          <w:spacing w:val="-2"/>
        </w:rPr>
        <w:t> </w:t>
      </w:r>
      <w:r>
        <w:rPr/>
        <w:t>greater</w:t>
      </w:r>
      <w:r>
        <w:rPr>
          <w:spacing w:val="-2"/>
        </w:rPr>
        <w:t> </w:t>
      </w:r>
      <w:r>
        <w:rPr/>
        <w:t>if</w:t>
      </w:r>
      <w:r>
        <w:rPr>
          <w:spacing w:val="-2"/>
        </w:rPr>
        <w:t> </w:t>
      </w:r>
      <w:r>
        <w:rPr/>
        <w:t>it</w:t>
      </w:r>
      <w:r>
        <w:rPr>
          <w:spacing w:val="-1"/>
        </w:rPr>
        <w:t> </w:t>
      </w:r>
      <w:r>
        <w:rPr/>
        <w:t>is</w:t>
      </w:r>
      <w:r>
        <w:rPr>
          <w:spacing w:val="-1"/>
        </w:rPr>
        <w:t> </w:t>
      </w:r>
      <w:r>
        <w:rPr/>
        <w:t>done</w:t>
      </w:r>
      <w:r>
        <w:rPr>
          <w:spacing w:val="-2"/>
        </w:rPr>
        <w:t> </w:t>
      </w:r>
      <w:r>
        <w:rPr/>
        <w:t>or</w:t>
      </w:r>
      <w:r>
        <w:rPr>
          <w:spacing w:val="-2"/>
        </w:rPr>
        <w:t> </w:t>
      </w:r>
      <w:r>
        <w:rPr/>
        <w:t>carried</w:t>
      </w:r>
      <w:r>
        <w:rPr>
          <w:spacing w:val="-2"/>
        </w:rPr>
        <w:t> </w:t>
      </w:r>
      <w:r>
        <w:rPr/>
        <w:t>out consistently over a few years in line with the medium term expenditure framework. From oral interviews carried out, it was also discovered that in certain cases, preparation starts when the Call circular is issued. These further indicate the inefficiencies in the budget system. The</w:t>
      </w:r>
      <w:r>
        <w:rPr>
          <w:spacing w:val="40"/>
        </w:rPr>
        <w:t> </w:t>
      </w:r>
      <w:r>
        <w:rPr/>
        <w:t>duration of issuance of the Call Circular in practice conforms to the stipulated calendar duration. However, the current duration spent in submission of proposals (2.5 weeks) from respondents‘ opinions</w:t>
      </w:r>
      <w:r>
        <w:rPr>
          <w:spacing w:val="-1"/>
        </w:rPr>
        <w:t> </w:t>
      </w:r>
      <w:r>
        <w:rPr/>
        <w:t>is far</w:t>
      </w:r>
      <w:r>
        <w:rPr>
          <w:spacing w:val="-1"/>
        </w:rPr>
        <w:t> </w:t>
      </w:r>
      <w:r>
        <w:rPr/>
        <w:t>earlier</w:t>
      </w:r>
      <w:r>
        <w:rPr>
          <w:spacing w:val="-2"/>
        </w:rPr>
        <w:t> </w:t>
      </w:r>
      <w:r>
        <w:rPr/>
        <w:t>than the</w:t>
      </w:r>
      <w:r>
        <w:rPr>
          <w:spacing w:val="-1"/>
        </w:rPr>
        <w:t> </w:t>
      </w:r>
      <w:r>
        <w:rPr/>
        <w:t>stipulated</w:t>
      </w:r>
      <w:r>
        <w:rPr>
          <w:spacing w:val="-1"/>
        </w:rPr>
        <w:t> </w:t>
      </w:r>
      <w:r>
        <w:rPr/>
        <w:t>duration</w:t>
      </w:r>
      <w:r>
        <w:rPr>
          <w:spacing w:val="-2"/>
        </w:rPr>
        <w:t> </w:t>
      </w:r>
      <w:r>
        <w:rPr/>
        <w:t>of 6</w:t>
      </w:r>
      <w:r>
        <w:rPr>
          <w:spacing w:val="-1"/>
        </w:rPr>
        <w:t> </w:t>
      </w:r>
      <w:r>
        <w:rPr/>
        <w:t>weeks</w:t>
      </w:r>
      <w:r>
        <w:rPr>
          <w:spacing w:val="-1"/>
        </w:rPr>
        <w:t> </w:t>
      </w:r>
      <w:r>
        <w:rPr/>
        <w:t>with</w:t>
      </w:r>
      <w:r>
        <w:rPr>
          <w:spacing w:val="-1"/>
        </w:rPr>
        <w:t> </w:t>
      </w:r>
      <w:r>
        <w:rPr/>
        <w:t>a</w:t>
      </w:r>
      <w:r>
        <w:rPr>
          <w:spacing w:val="-1"/>
        </w:rPr>
        <w:t> </w:t>
      </w:r>
      <w:r>
        <w:rPr/>
        <w:t>difference</w:t>
      </w:r>
      <w:r>
        <w:rPr>
          <w:spacing w:val="-1"/>
        </w:rPr>
        <w:t> </w:t>
      </w:r>
      <w:r>
        <w:rPr/>
        <w:t>of 3.5weeks</w:t>
      </w:r>
      <w:r>
        <w:rPr>
          <w:spacing w:val="-1"/>
        </w:rPr>
        <w:t> </w:t>
      </w:r>
      <w:r>
        <w:rPr/>
        <w:t>early. Again, this suggests a rushed process and non-adherence to the budget calendar.</w:t>
      </w:r>
    </w:p>
    <w:p>
      <w:pPr>
        <w:pStyle w:val="BodyText"/>
        <w:spacing w:before="104"/>
      </w:pPr>
    </w:p>
    <w:p>
      <w:pPr>
        <w:pStyle w:val="BodyText"/>
        <w:spacing w:line="360" w:lineRule="auto" w:before="1"/>
        <w:ind w:left="240" w:right="835"/>
        <w:jc w:val="both"/>
      </w:pPr>
      <w:r>
        <w:rPr/>
        <w:t>Furthermore, bilateral discussions, consolidation of proposals and Governor‘s assent all show conformity to the stipulated budget duration. However, approval of the draft budget by the State Executive Council exceeds the stipulated duration by 3 weeks, while publication and dissemination of the approved budget exceeds the calendar duration by 1.5 weeks. This could stem from the plethora of paper work, proof reading and editing involved. Another major divergence from the stipulated duration is the presentation and final approval of the draft budget by</w:t>
      </w:r>
      <w:r>
        <w:rPr>
          <w:spacing w:val="-7"/>
        </w:rPr>
        <w:t> </w:t>
      </w:r>
      <w:r>
        <w:rPr/>
        <w:t>the</w:t>
      </w:r>
      <w:r>
        <w:rPr>
          <w:spacing w:val="-2"/>
        </w:rPr>
        <w:t> </w:t>
      </w:r>
      <w:r>
        <w:rPr/>
        <w:t>State</w:t>
      </w:r>
      <w:r>
        <w:rPr>
          <w:spacing w:val="-1"/>
        </w:rPr>
        <w:t> </w:t>
      </w:r>
      <w:r>
        <w:rPr/>
        <w:t>Legislature. The</w:t>
      </w:r>
      <w:r>
        <w:rPr>
          <w:spacing w:val="-4"/>
        </w:rPr>
        <w:t> </w:t>
      </w:r>
      <w:r>
        <w:rPr/>
        <w:t>calendar</w:t>
      </w:r>
      <w:r>
        <w:rPr>
          <w:spacing w:val="-2"/>
        </w:rPr>
        <w:t> </w:t>
      </w:r>
      <w:r>
        <w:rPr/>
        <w:t>stipulates</w:t>
      </w:r>
      <w:r>
        <w:rPr>
          <w:spacing w:val="-2"/>
        </w:rPr>
        <w:t> </w:t>
      </w:r>
      <w:r>
        <w:rPr/>
        <w:t>3</w:t>
      </w:r>
      <w:r>
        <w:rPr>
          <w:spacing w:val="-1"/>
        </w:rPr>
        <w:t> </w:t>
      </w:r>
      <w:r>
        <w:rPr/>
        <w:t>weeks,</w:t>
      </w:r>
      <w:r>
        <w:rPr>
          <w:spacing w:val="-2"/>
        </w:rPr>
        <w:t> </w:t>
      </w:r>
      <w:r>
        <w:rPr/>
        <w:t>but</w:t>
      </w:r>
      <w:r>
        <w:rPr>
          <w:spacing w:val="-2"/>
        </w:rPr>
        <w:t> </w:t>
      </w:r>
      <w:r>
        <w:rPr/>
        <w:t>in</w:t>
      </w:r>
      <w:r>
        <w:rPr>
          <w:spacing w:val="-2"/>
        </w:rPr>
        <w:t> </w:t>
      </w:r>
      <w:r>
        <w:rPr/>
        <w:t>practice,</w:t>
      </w:r>
      <w:r>
        <w:rPr>
          <w:spacing w:val="-2"/>
        </w:rPr>
        <w:t> </w:t>
      </w:r>
      <w:r>
        <w:rPr/>
        <w:t>it takes</w:t>
      </w:r>
      <w:r>
        <w:rPr>
          <w:spacing w:val="-2"/>
        </w:rPr>
        <w:t> </w:t>
      </w:r>
      <w:r>
        <w:rPr/>
        <w:t>10</w:t>
      </w:r>
      <w:r>
        <w:rPr>
          <w:spacing w:val="-2"/>
        </w:rPr>
        <w:t> </w:t>
      </w:r>
      <w:r>
        <w:rPr/>
        <w:t>weeks</w:t>
      </w:r>
      <w:r>
        <w:rPr>
          <w:spacing w:val="-2"/>
        </w:rPr>
        <w:t> </w:t>
      </w:r>
      <w:r>
        <w:rPr/>
        <w:t>with</w:t>
      </w:r>
      <w:r>
        <w:rPr>
          <w:spacing w:val="-2"/>
        </w:rPr>
        <w:t> </w:t>
      </w:r>
      <w:r>
        <w:rPr/>
        <w:t>a difference</w:t>
      </w:r>
      <w:r>
        <w:rPr>
          <w:spacing w:val="-3"/>
        </w:rPr>
        <w:t> </w:t>
      </w:r>
      <w:r>
        <w:rPr/>
        <w:t>of</w:t>
      </w:r>
      <w:r>
        <w:rPr>
          <w:spacing w:val="-2"/>
        </w:rPr>
        <w:t> </w:t>
      </w:r>
      <w:r>
        <w:rPr/>
        <w:t>above</w:t>
      </w:r>
      <w:r>
        <w:rPr>
          <w:spacing w:val="-1"/>
        </w:rPr>
        <w:t> </w:t>
      </w:r>
      <w:r>
        <w:rPr/>
        <w:t>7</w:t>
      </w:r>
      <w:r>
        <w:rPr>
          <w:spacing w:val="-2"/>
        </w:rPr>
        <w:t> </w:t>
      </w:r>
      <w:r>
        <w:rPr/>
        <w:t>weeks</w:t>
      </w:r>
      <w:r>
        <w:rPr>
          <w:spacing w:val="-2"/>
        </w:rPr>
        <w:t> </w:t>
      </w:r>
      <w:r>
        <w:rPr/>
        <w:t>and</w:t>
      </w:r>
      <w:r>
        <w:rPr>
          <w:spacing w:val="-2"/>
        </w:rPr>
        <w:t> </w:t>
      </w:r>
      <w:r>
        <w:rPr/>
        <w:t>16%</w:t>
      </w:r>
      <w:r>
        <w:rPr>
          <w:spacing w:val="-1"/>
        </w:rPr>
        <w:t> </w:t>
      </w:r>
      <w:r>
        <w:rPr/>
        <w:t>of</w:t>
      </w:r>
      <w:r>
        <w:rPr>
          <w:spacing w:val="-2"/>
        </w:rPr>
        <w:t> </w:t>
      </w:r>
      <w:r>
        <w:rPr/>
        <w:t>the</w:t>
      </w:r>
      <w:r>
        <w:rPr>
          <w:spacing w:val="-4"/>
        </w:rPr>
        <w:t> </w:t>
      </w:r>
      <w:r>
        <w:rPr/>
        <w:t>total stipulated</w:t>
      </w:r>
      <w:r>
        <w:rPr>
          <w:spacing w:val="-1"/>
        </w:rPr>
        <w:t> </w:t>
      </w:r>
      <w:r>
        <w:rPr/>
        <w:t>duration.</w:t>
      </w:r>
      <w:r>
        <w:rPr>
          <w:spacing w:val="40"/>
        </w:rPr>
        <w:t> </w:t>
      </w:r>
      <w:r>
        <w:rPr/>
        <w:t>This</w:t>
      </w:r>
      <w:r>
        <w:rPr>
          <w:spacing w:val="-2"/>
        </w:rPr>
        <w:t> </w:t>
      </w:r>
      <w:r>
        <w:rPr/>
        <w:t>is</w:t>
      </w:r>
      <w:r>
        <w:rPr>
          <w:spacing w:val="-2"/>
        </w:rPr>
        <w:t> </w:t>
      </w:r>
      <w:r>
        <w:rPr/>
        <w:t>a</w:t>
      </w:r>
      <w:r>
        <w:rPr>
          <w:spacing w:val="-2"/>
        </w:rPr>
        <w:t> </w:t>
      </w:r>
      <w:r>
        <w:rPr/>
        <w:t>typical</w:t>
      </w:r>
      <w:r>
        <w:rPr>
          <w:spacing w:val="-2"/>
        </w:rPr>
        <w:t> </w:t>
      </w:r>
      <w:r>
        <w:rPr/>
        <w:t>case</w:t>
      </w:r>
      <w:r>
        <w:rPr>
          <w:spacing w:val="-3"/>
        </w:rPr>
        <w:t> </w:t>
      </w:r>
      <w:r>
        <w:rPr/>
        <w:t>of</w:t>
      </w:r>
      <w:r>
        <w:rPr>
          <w:spacing w:val="-2"/>
        </w:rPr>
        <w:t> </w:t>
      </w:r>
      <w:r>
        <w:rPr/>
        <w:t>the bureaucratic bottlenecks in passage/approval of the budget. It probably stems from the practice that even after the defense of the budget proposals by Housing MDAs in the Ministry of Economic Planning and Budget, the MDAs are also invited for further discussions and defense</w:t>
      </w:r>
      <w:r>
        <w:rPr>
          <w:spacing w:val="40"/>
        </w:rPr>
        <w:t> </w:t>
      </w:r>
      <w:r>
        <w:rPr/>
        <w:t>by the Legislature, thus slowing down the approval process.</w:t>
      </w:r>
    </w:p>
    <w:p>
      <w:pPr>
        <w:pStyle w:val="BodyText"/>
        <w:spacing w:before="138"/>
      </w:pPr>
    </w:p>
    <w:p>
      <w:pPr>
        <w:pStyle w:val="BodyText"/>
        <w:spacing w:line="360" w:lineRule="auto"/>
        <w:ind w:left="240" w:right="838"/>
        <w:jc w:val="both"/>
      </w:pPr>
      <w:r>
        <w:rPr/>
        <w:t>In summary, The results reveal that while the duration of housing budget preparation in practice generally</w:t>
      </w:r>
      <w:r>
        <w:rPr>
          <w:spacing w:val="-5"/>
        </w:rPr>
        <w:t> </w:t>
      </w:r>
      <w:r>
        <w:rPr/>
        <w:t>conforms</w:t>
      </w:r>
      <w:r>
        <w:rPr>
          <w:spacing w:val="-2"/>
        </w:rPr>
        <w:t> </w:t>
      </w:r>
      <w:r>
        <w:rPr/>
        <w:t>to</w:t>
      </w:r>
      <w:r>
        <w:rPr>
          <w:spacing w:val="-2"/>
        </w:rPr>
        <w:t> </w:t>
      </w:r>
      <w:r>
        <w:rPr/>
        <w:t>the</w:t>
      </w:r>
      <w:r>
        <w:rPr>
          <w:spacing w:val="-3"/>
        </w:rPr>
        <w:t> </w:t>
      </w:r>
      <w:r>
        <w:rPr/>
        <w:t>stipulated</w:t>
      </w:r>
      <w:r>
        <w:rPr>
          <w:spacing w:val="-2"/>
        </w:rPr>
        <w:t> </w:t>
      </w:r>
      <w:r>
        <w:rPr/>
        <w:t>duration</w:t>
      </w:r>
      <w:r>
        <w:rPr>
          <w:spacing w:val="-2"/>
        </w:rPr>
        <w:t> </w:t>
      </w:r>
      <w:r>
        <w:rPr/>
        <w:t>in</w:t>
      </w:r>
      <w:r>
        <w:rPr>
          <w:spacing w:val="-2"/>
        </w:rPr>
        <w:t> </w:t>
      </w:r>
      <w:r>
        <w:rPr/>
        <w:t>the</w:t>
      </w:r>
      <w:r>
        <w:rPr>
          <w:spacing w:val="-3"/>
        </w:rPr>
        <w:t> </w:t>
      </w:r>
      <w:r>
        <w:rPr/>
        <w:t>budget</w:t>
      </w:r>
      <w:r>
        <w:rPr>
          <w:spacing w:val="-2"/>
        </w:rPr>
        <w:t> </w:t>
      </w:r>
      <w:r>
        <w:rPr/>
        <w:t>calendar(of</w:t>
      </w:r>
      <w:r>
        <w:rPr>
          <w:spacing w:val="-3"/>
        </w:rPr>
        <w:t> </w:t>
      </w:r>
      <w:r>
        <w:rPr/>
        <w:t>about</w:t>
      </w:r>
      <w:r>
        <w:rPr>
          <w:spacing w:val="-2"/>
        </w:rPr>
        <w:t> </w:t>
      </w:r>
      <w:r>
        <w:rPr/>
        <w:t>1 year),</w:t>
      </w:r>
      <w:r>
        <w:rPr>
          <w:spacing w:val="-2"/>
        </w:rPr>
        <w:t> </w:t>
      </w:r>
      <w:r>
        <w:rPr/>
        <w:t>by</w:t>
      </w:r>
      <w:r>
        <w:rPr>
          <w:spacing w:val="-7"/>
        </w:rPr>
        <w:t> </w:t>
      </w:r>
      <w:r>
        <w:rPr/>
        <w:t>less</w:t>
      </w:r>
      <w:r>
        <w:rPr>
          <w:spacing w:val="-2"/>
        </w:rPr>
        <w:t> </w:t>
      </w:r>
      <w:r>
        <w:rPr/>
        <w:t>than 18</w:t>
      </w:r>
      <w:r>
        <w:rPr>
          <w:spacing w:val="-2"/>
        </w:rPr>
        <w:t> </w:t>
      </w:r>
      <w:r>
        <w:rPr/>
        <w:t>weeks(or</w:t>
      </w:r>
      <w:r>
        <w:rPr>
          <w:spacing w:val="-4"/>
        </w:rPr>
        <w:t> </w:t>
      </w:r>
      <w:r>
        <w:rPr/>
        <w:t>18weeks</w:t>
      </w:r>
      <w:r>
        <w:rPr>
          <w:spacing w:val="-2"/>
        </w:rPr>
        <w:t> </w:t>
      </w:r>
      <w:r>
        <w:rPr/>
        <w:t>early),</w:t>
      </w:r>
      <w:r>
        <w:rPr>
          <w:spacing w:val="-1"/>
        </w:rPr>
        <w:t> </w:t>
      </w:r>
      <w:r>
        <w:rPr/>
        <w:t>some</w:t>
      </w:r>
      <w:r>
        <w:rPr>
          <w:spacing w:val="-3"/>
        </w:rPr>
        <w:t> </w:t>
      </w:r>
      <w:r>
        <w:rPr/>
        <w:t>individual</w:t>
      </w:r>
      <w:r>
        <w:rPr>
          <w:spacing w:val="-2"/>
        </w:rPr>
        <w:t> </w:t>
      </w:r>
      <w:r>
        <w:rPr/>
        <w:t>budget</w:t>
      </w:r>
      <w:r>
        <w:rPr>
          <w:spacing w:val="-2"/>
        </w:rPr>
        <w:t> </w:t>
      </w:r>
      <w:r>
        <w:rPr/>
        <w:t>activities;</w:t>
      </w:r>
      <w:r>
        <w:rPr>
          <w:spacing w:val="-2"/>
        </w:rPr>
        <w:t> </w:t>
      </w:r>
      <w:r>
        <w:rPr/>
        <w:t>specifically, preparation</w:t>
      </w:r>
      <w:r>
        <w:rPr>
          <w:spacing w:val="-2"/>
        </w:rPr>
        <w:t> </w:t>
      </w:r>
      <w:r>
        <w:rPr/>
        <w:t>of</w:t>
      </w:r>
      <w:r>
        <w:rPr>
          <w:spacing w:val="-3"/>
        </w:rPr>
        <w:t> </w:t>
      </w:r>
      <w:r>
        <w:rPr/>
        <w:t>sector limits, submission of budget proposals, approval of budget proposal by the State Executive Council,</w:t>
      </w:r>
      <w:r>
        <w:rPr>
          <w:spacing w:val="7"/>
        </w:rPr>
        <w:t> </w:t>
      </w:r>
      <w:r>
        <w:rPr/>
        <w:t>approval</w:t>
      </w:r>
      <w:r>
        <w:rPr>
          <w:spacing w:val="10"/>
        </w:rPr>
        <w:t> </w:t>
      </w:r>
      <w:r>
        <w:rPr/>
        <w:t>of</w:t>
      </w:r>
      <w:r>
        <w:rPr>
          <w:spacing w:val="10"/>
        </w:rPr>
        <w:t> </w:t>
      </w:r>
      <w:r>
        <w:rPr/>
        <w:t>the</w:t>
      </w:r>
      <w:r>
        <w:rPr>
          <w:spacing w:val="6"/>
        </w:rPr>
        <w:t> </w:t>
      </w:r>
      <w:r>
        <w:rPr/>
        <w:t>final</w:t>
      </w:r>
      <w:r>
        <w:rPr>
          <w:spacing w:val="11"/>
        </w:rPr>
        <w:t> </w:t>
      </w:r>
      <w:r>
        <w:rPr/>
        <w:t>budget</w:t>
      </w:r>
      <w:r>
        <w:rPr>
          <w:spacing w:val="10"/>
        </w:rPr>
        <w:t> </w:t>
      </w:r>
      <w:r>
        <w:rPr/>
        <w:t>proposal</w:t>
      </w:r>
      <w:r>
        <w:rPr>
          <w:spacing w:val="11"/>
        </w:rPr>
        <w:t> </w:t>
      </w:r>
      <w:r>
        <w:rPr/>
        <w:t>by</w:t>
      </w:r>
      <w:r>
        <w:rPr>
          <w:spacing w:val="7"/>
        </w:rPr>
        <w:t> </w:t>
      </w:r>
      <w:r>
        <w:rPr/>
        <w:t>the</w:t>
      </w:r>
      <w:r>
        <w:rPr>
          <w:spacing w:val="12"/>
        </w:rPr>
        <w:t> </w:t>
      </w:r>
      <w:r>
        <w:rPr/>
        <w:t>Legislature</w:t>
      </w:r>
      <w:r>
        <w:rPr>
          <w:spacing w:val="8"/>
        </w:rPr>
        <w:t> </w:t>
      </w:r>
      <w:r>
        <w:rPr/>
        <w:t>and</w:t>
      </w:r>
      <w:r>
        <w:rPr>
          <w:spacing w:val="50"/>
          <w:w w:val="150"/>
        </w:rPr>
        <w:t> </w:t>
      </w:r>
      <w:r>
        <w:rPr/>
        <w:t>dissemination</w:t>
      </w:r>
      <w:r>
        <w:rPr>
          <w:spacing w:val="10"/>
        </w:rPr>
        <w:t> </w:t>
      </w:r>
      <w:r>
        <w:rPr/>
        <w:t>of</w:t>
      </w:r>
      <w:r>
        <w:rPr>
          <w:spacing w:val="9"/>
        </w:rPr>
        <w:t> </w:t>
      </w:r>
      <w:r>
        <w:rPr/>
        <w:t>the</w:t>
      </w:r>
      <w:r>
        <w:rPr>
          <w:spacing w:val="10"/>
        </w:rPr>
        <w:t> </w:t>
      </w:r>
      <w:r>
        <w:rPr>
          <w:spacing w:val="-2"/>
        </w:rPr>
        <w:t>final</w:t>
      </w:r>
    </w:p>
    <w:p>
      <w:pPr>
        <w:spacing w:after="0" w:line="360" w:lineRule="auto"/>
        <w:jc w:val="both"/>
        <w:sectPr>
          <w:pgSz w:w="12240" w:h="15840"/>
          <w:pgMar w:header="0" w:footer="1036" w:top="1360" w:bottom="1220" w:left="1200" w:right="600"/>
        </w:sectPr>
      </w:pPr>
    </w:p>
    <w:p>
      <w:pPr>
        <w:pStyle w:val="BodyText"/>
        <w:spacing w:line="360" w:lineRule="auto" w:before="74"/>
        <w:ind w:left="240" w:right="836"/>
        <w:jc w:val="both"/>
      </w:pPr>
      <w:r>
        <w:rPr/>
        <w:t>budget do not adhere to the stipulated duration. These are indications of poor planning and time management. From the foregoing, the study is inclined to describe the adherence of housing budget preparation in Anambra State to the total stipulated calendar duration as generally okay, but lacks adequate planning.</w:t>
      </w:r>
      <w:r>
        <w:rPr>
          <w:spacing w:val="40"/>
        </w:rPr>
        <w:t> </w:t>
      </w:r>
      <w:r>
        <w:rPr/>
        <w:t>Hence, the problem is not really the amount of time spent, but the quality of the time utilized.</w:t>
      </w:r>
    </w:p>
    <w:p>
      <w:pPr>
        <w:pStyle w:val="BodyText"/>
      </w:pPr>
    </w:p>
    <w:p>
      <w:pPr>
        <w:pStyle w:val="BodyText"/>
        <w:spacing w:before="110"/>
      </w:pPr>
    </w:p>
    <w:p>
      <w:pPr>
        <w:pStyle w:val="Heading4"/>
        <w:numPr>
          <w:ilvl w:val="2"/>
          <w:numId w:val="87"/>
        </w:numPr>
        <w:tabs>
          <w:tab w:pos="780" w:val="left" w:leader="none"/>
        </w:tabs>
        <w:spacing w:line="240" w:lineRule="auto" w:before="0" w:after="0"/>
        <w:ind w:left="780" w:right="0" w:hanging="540"/>
        <w:jc w:val="both"/>
      </w:pPr>
      <w:r>
        <w:rPr/>
        <w:t>Assessment</w:t>
      </w:r>
      <w:r>
        <w:rPr>
          <w:spacing w:val="-1"/>
        </w:rPr>
        <w:t> </w:t>
      </w:r>
      <w:r>
        <w:rPr/>
        <w:t>of</w:t>
      </w:r>
      <w:r>
        <w:rPr>
          <w:spacing w:val="-1"/>
        </w:rPr>
        <w:t> </w:t>
      </w:r>
      <w:r>
        <w:rPr/>
        <w:t>the</w:t>
      </w:r>
      <w:r>
        <w:rPr>
          <w:spacing w:val="-1"/>
        </w:rPr>
        <w:t> </w:t>
      </w:r>
      <w:r>
        <w:rPr/>
        <w:t>Quantity</w:t>
      </w:r>
      <w:r>
        <w:rPr>
          <w:spacing w:val="-1"/>
        </w:rPr>
        <w:t> </w:t>
      </w:r>
      <w:r>
        <w:rPr/>
        <w:t>Surveyor’s</w:t>
      </w:r>
      <w:r>
        <w:rPr>
          <w:spacing w:val="-1"/>
        </w:rPr>
        <w:t> </w:t>
      </w:r>
      <w:r>
        <w:rPr/>
        <w:t>Roles</w:t>
      </w:r>
      <w:r>
        <w:rPr>
          <w:spacing w:val="-1"/>
        </w:rPr>
        <w:t> </w:t>
      </w:r>
      <w:r>
        <w:rPr/>
        <w:t>in</w:t>
      </w:r>
      <w:r>
        <w:rPr>
          <w:spacing w:val="-1"/>
        </w:rPr>
        <w:t> </w:t>
      </w:r>
      <w:r>
        <w:rPr/>
        <w:t>the</w:t>
      </w:r>
      <w:r>
        <w:rPr>
          <w:spacing w:val="-2"/>
        </w:rPr>
        <w:t> </w:t>
      </w:r>
      <w:r>
        <w:rPr/>
        <w:t>Housing</w:t>
      </w:r>
      <w:r>
        <w:rPr>
          <w:spacing w:val="-3"/>
        </w:rPr>
        <w:t> </w:t>
      </w:r>
      <w:r>
        <w:rPr/>
        <w:t>Budget </w:t>
      </w:r>
      <w:r>
        <w:rPr>
          <w:spacing w:val="-2"/>
        </w:rPr>
        <w:t>Process</w:t>
      </w:r>
    </w:p>
    <w:p>
      <w:pPr>
        <w:pStyle w:val="BodyText"/>
        <w:spacing w:line="360" w:lineRule="auto" w:before="132"/>
        <w:ind w:left="240" w:right="837"/>
        <w:jc w:val="both"/>
      </w:pPr>
      <w:r>
        <w:rPr/>
        <w:t>The import of this sub-section is to obtain information, via a ranking exercise; the roles which</w:t>
      </w:r>
      <w:r>
        <w:rPr>
          <w:spacing w:val="40"/>
        </w:rPr>
        <w:t> </w:t>
      </w:r>
      <w:r>
        <w:rPr/>
        <w:t>the Quantify Surveyor (QS) currently plays in the housing budget process of Anambra State. Anyadike (2002) maintains that the Quantity Surveyor‘s role in society is that of ensuring that</w:t>
      </w:r>
      <w:r>
        <w:rPr>
          <w:spacing w:val="40"/>
        </w:rPr>
        <w:t> </w:t>
      </w:r>
      <w:r>
        <w:rPr/>
        <w:t>the resources for construction and development are utilized to the best advantages of the economy. In view of this stance and by virtue of the QS‘s training in construction technology, construction measurement, economics, law and management this research considers it an imperative to appraise the roles of the QS in all phases of the Anambra State‘s housing budget </w:t>
      </w:r>
      <w:r>
        <w:rPr>
          <w:spacing w:val="-2"/>
        </w:rPr>
        <w:t>process.</w:t>
      </w:r>
    </w:p>
    <w:p>
      <w:pPr>
        <w:pStyle w:val="BodyText"/>
        <w:spacing w:before="138"/>
      </w:pPr>
    </w:p>
    <w:p>
      <w:pPr>
        <w:pStyle w:val="BodyText"/>
        <w:spacing w:line="360" w:lineRule="auto"/>
        <w:ind w:left="240" w:right="837"/>
        <w:jc w:val="both"/>
      </w:pPr>
      <w:r>
        <w:rPr/>
        <w:t>To</w:t>
      </w:r>
      <w:r>
        <w:rPr>
          <w:spacing w:val="-1"/>
        </w:rPr>
        <w:t> </w:t>
      </w:r>
      <w:r>
        <w:rPr/>
        <w:t>rank the roles of</w:t>
      </w:r>
      <w:r>
        <w:rPr>
          <w:spacing w:val="-1"/>
        </w:rPr>
        <w:t> </w:t>
      </w:r>
      <w:r>
        <w:rPr/>
        <w:t>the QS in the</w:t>
      </w:r>
      <w:r>
        <w:rPr>
          <w:spacing w:val="-1"/>
        </w:rPr>
        <w:t> </w:t>
      </w:r>
      <w:r>
        <w:rPr/>
        <w:t>housing</w:t>
      </w:r>
      <w:r>
        <w:rPr>
          <w:spacing w:val="-3"/>
        </w:rPr>
        <w:t> </w:t>
      </w:r>
      <w:r>
        <w:rPr/>
        <w:t>budget process, the respondents were requested to rate the problems on a 5-point Likert scale (5= Strongly agree to 1= Don‘t know), after which the mean scores were calculated as a basis of the ranking. The responses and ranking are presented</w:t>
      </w:r>
      <w:r>
        <w:rPr>
          <w:spacing w:val="40"/>
        </w:rPr>
        <w:t> </w:t>
      </w:r>
      <w:r>
        <w:rPr/>
        <w:t>in Table 5.11.</w:t>
      </w:r>
    </w:p>
    <w:p>
      <w:pPr>
        <w:spacing w:after="0" w:line="360" w:lineRule="auto"/>
        <w:jc w:val="both"/>
        <w:sectPr>
          <w:pgSz w:w="12240" w:h="15840"/>
          <w:pgMar w:header="0" w:footer="1036" w:top="1360" w:bottom="1220" w:left="1200" w:right="600"/>
        </w:sectPr>
      </w:pPr>
    </w:p>
    <w:p>
      <w:pPr>
        <w:pStyle w:val="Heading4"/>
        <w:spacing w:before="76"/>
        <w:ind w:right="832"/>
      </w:pPr>
      <w:r>
        <w:rPr/>
        <w:t>Table 5.11. Respondents’ Views and Ranking of the Roles of the Quantity Surveyor in the Housing Budget Process</w:t>
      </w:r>
    </w:p>
    <w:p>
      <w:pPr>
        <w:pStyle w:val="BodyText"/>
        <w:spacing w:before="5"/>
        <w:rPr>
          <w:b/>
          <w:sz w:val="6"/>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5"/>
        <w:gridCol w:w="2895"/>
        <w:gridCol w:w="984"/>
        <w:gridCol w:w="788"/>
        <w:gridCol w:w="1056"/>
        <w:gridCol w:w="1055"/>
        <w:gridCol w:w="716"/>
        <w:gridCol w:w="773"/>
        <w:gridCol w:w="857"/>
      </w:tblGrid>
      <w:tr>
        <w:trPr>
          <w:trHeight w:val="757" w:hRule="atLeast"/>
        </w:trPr>
        <w:tc>
          <w:tcPr>
            <w:tcW w:w="555" w:type="dxa"/>
            <w:tcBorders>
              <w:top w:val="single" w:sz="8" w:space="0" w:color="4F81BC"/>
              <w:bottom w:val="single" w:sz="8" w:space="0" w:color="4F81BC"/>
            </w:tcBorders>
          </w:tcPr>
          <w:p>
            <w:pPr>
              <w:pStyle w:val="TableParagraph"/>
              <w:spacing w:line="223" w:lineRule="exact"/>
              <w:ind w:left="85" w:right="86"/>
              <w:jc w:val="center"/>
              <w:rPr>
                <w:sz w:val="20"/>
              </w:rPr>
            </w:pPr>
            <w:r>
              <w:rPr>
                <w:spacing w:val="-5"/>
                <w:sz w:val="20"/>
              </w:rPr>
              <w:t>S/N</w:t>
            </w:r>
          </w:p>
        </w:tc>
        <w:tc>
          <w:tcPr>
            <w:tcW w:w="2895" w:type="dxa"/>
            <w:tcBorders>
              <w:top w:val="single" w:sz="8" w:space="0" w:color="4F81BC"/>
              <w:bottom w:val="single" w:sz="8" w:space="0" w:color="4F81BC"/>
            </w:tcBorders>
          </w:tcPr>
          <w:p>
            <w:pPr>
              <w:pStyle w:val="TableParagraph"/>
              <w:spacing w:line="246" w:lineRule="exact"/>
              <w:ind w:left="124"/>
              <w:rPr>
                <w:sz w:val="22"/>
              </w:rPr>
            </w:pPr>
            <w:r>
              <w:rPr>
                <w:spacing w:val="-2"/>
                <w:sz w:val="22"/>
              </w:rPr>
              <w:t>Roles</w:t>
            </w:r>
          </w:p>
        </w:tc>
        <w:tc>
          <w:tcPr>
            <w:tcW w:w="984" w:type="dxa"/>
            <w:tcBorders>
              <w:top w:val="single" w:sz="8" w:space="0" w:color="4F81BC"/>
              <w:bottom w:val="single" w:sz="8" w:space="0" w:color="4F81BC"/>
            </w:tcBorders>
          </w:tcPr>
          <w:p>
            <w:pPr>
              <w:pStyle w:val="TableParagraph"/>
              <w:ind w:left="109"/>
              <w:rPr>
                <w:sz w:val="22"/>
              </w:rPr>
            </w:pPr>
            <w:r>
              <w:rPr>
                <w:spacing w:val="-2"/>
                <w:sz w:val="22"/>
              </w:rPr>
              <w:t>Strongly agree</w:t>
            </w:r>
          </w:p>
          <w:p>
            <w:pPr>
              <w:pStyle w:val="TableParagraph"/>
              <w:spacing w:line="238" w:lineRule="exact"/>
              <w:ind w:left="109"/>
              <w:rPr>
                <w:sz w:val="22"/>
              </w:rPr>
            </w:pPr>
            <w:r>
              <w:rPr>
                <w:spacing w:val="-5"/>
                <w:sz w:val="22"/>
              </w:rPr>
              <w:t>(5)</w:t>
            </w:r>
          </w:p>
        </w:tc>
        <w:tc>
          <w:tcPr>
            <w:tcW w:w="788" w:type="dxa"/>
            <w:tcBorders>
              <w:top w:val="single" w:sz="8" w:space="0" w:color="4F81BC"/>
              <w:bottom w:val="single" w:sz="8" w:space="0" w:color="4F81BC"/>
            </w:tcBorders>
          </w:tcPr>
          <w:p>
            <w:pPr>
              <w:pStyle w:val="TableParagraph"/>
              <w:spacing w:line="246" w:lineRule="exact"/>
              <w:ind w:left="116"/>
              <w:rPr>
                <w:sz w:val="22"/>
              </w:rPr>
            </w:pPr>
            <w:r>
              <w:rPr>
                <w:spacing w:val="-2"/>
                <w:sz w:val="22"/>
              </w:rPr>
              <w:t>Agree</w:t>
            </w:r>
          </w:p>
          <w:p>
            <w:pPr>
              <w:pStyle w:val="TableParagraph"/>
              <w:rPr>
                <w:b/>
                <w:sz w:val="22"/>
              </w:rPr>
            </w:pPr>
          </w:p>
          <w:p>
            <w:pPr>
              <w:pStyle w:val="TableParagraph"/>
              <w:spacing w:line="238" w:lineRule="exact"/>
              <w:ind w:left="116"/>
              <w:rPr>
                <w:sz w:val="22"/>
              </w:rPr>
            </w:pPr>
            <w:r>
              <w:rPr>
                <w:spacing w:val="-5"/>
                <w:sz w:val="22"/>
              </w:rPr>
              <w:t>(4)</w:t>
            </w:r>
          </w:p>
        </w:tc>
        <w:tc>
          <w:tcPr>
            <w:tcW w:w="1056" w:type="dxa"/>
            <w:tcBorders>
              <w:top w:val="single" w:sz="8" w:space="0" w:color="4F81BC"/>
              <w:bottom w:val="single" w:sz="8" w:space="0" w:color="4F81BC"/>
            </w:tcBorders>
          </w:tcPr>
          <w:p>
            <w:pPr>
              <w:pStyle w:val="TableParagraph"/>
              <w:ind w:left="138"/>
              <w:rPr>
                <w:sz w:val="22"/>
              </w:rPr>
            </w:pPr>
            <w:r>
              <w:rPr>
                <w:spacing w:val="-2"/>
                <w:sz w:val="22"/>
              </w:rPr>
              <w:t>Strongly disagree</w:t>
            </w:r>
          </w:p>
          <w:p>
            <w:pPr>
              <w:pStyle w:val="TableParagraph"/>
              <w:spacing w:line="238" w:lineRule="exact"/>
              <w:ind w:left="138"/>
              <w:rPr>
                <w:sz w:val="22"/>
              </w:rPr>
            </w:pPr>
            <w:r>
              <w:rPr>
                <w:spacing w:val="-5"/>
                <w:sz w:val="22"/>
              </w:rPr>
              <w:t>(3)</w:t>
            </w:r>
          </w:p>
        </w:tc>
        <w:tc>
          <w:tcPr>
            <w:tcW w:w="1055" w:type="dxa"/>
            <w:tcBorders>
              <w:top w:val="single" w:sz="8" w:space="0" w:color="4F81BC"/>
              <w:bottom w:val="single" w:sz="8" w:space="0" w:color="4F81BC"/>
            </w:tcBorders>
          </w:tcPr>
          <w:p>
            <w:pPr>
              <w:pStyle w:val="TableParagraph"/>
              <w:spacing w:line="246" w:lineRule="exact"/>
              <w:ind w:left="162"/>
              <w:rPr>
                <w:sz w:val="22"/>
              </w:rPr>
            </w:pPr>
            <w:r>
              <w:rPr>
                <w:spacing w:val="-2"/>
                <w:sz w:val="22"/>
              </w:rPr>
              <w:t>Disagree</w:t>
            </w:r>
          </w:p>
          <w:p>
            <w:pPr>
              <w:pStyle w:val="TableParagraph"/>
              <w:rPr>
                <w:b/>
                <w:sz w:val="22"/>
              </w:rPr>
            </w:pPr>
          </w:p>
          <w:p>
            <w:pPr>
              <w:pStyle w:val="TableParagraph"/>
              <w:spacing w:line="238" w:lineRule="exact"/>
              <w:ind w:left="162"/>
              <w:rPr>
                <w:sz w:val="22"/>
              </w:rPr>
            </w:pPr>
            <w:r>
              <w:rPr>
                <w:spacing w:val="-5"/>
                <w:sz w:val="22"/>
              </w:rPr>
              <w:t>(2)</w:t>
            </w:r>
          </w:p>
        </w:tc>
        <w:tc>
          <w:tcPr>
            <w:tcW w:w="716" w:type="dxa"/>
            <w:tcBorders>
              <w:top w:val="single" w:sz="8" w:space="0" w:color="4F81BC"/>
              <w:bottom w:val="single" w:sz="8" w:space="0" w:color="4F81BC"/>
            </w:tcBorders>
          </w:tcPr>
          <w:p>
            <w:pPr>
              <w:pStyle w:val="TableParagraph"/>
              <w:ind w:left="115" w:right="108"/>
              <w:rPr>
                <w:sz w:val="22"/>
              </w:rPr>
            </w:pPr>
            <w:r>
              <w:rPr>
                <w:spacing w:val="-4"/>
                <w:sz w:val="22"/>
              </w:rPr>
              <w:t>Dont know</w:t>
            </w:r>
          </w:p>
          <w:p>
            <w:pPr>
              <w:pStyle w:val="TableParagraph"/>
              <w:spacing w:line="238" w:lineRule="exact"/>
              <w:ind w:left="115"/>
              <w:rPr>
                <w:sz w:val="22"/>
              </w:rPr>
            </w:pPr>
            <w:r>
              <w:rPr>
                <w:spacing w:val="-5"/>
                <w:sz w:val="22"/>
              </w:rPr>
              <w:t>(1)</w:t>
            </w:r>
          </w:p>
        </w:tc>
        <w:tc>
          <w:tcPr>
            <w:tcW w:w="773" w:type="dxa"/>
            <w:tcBorders>
              <w:top w:val="single" w:sz="8" w:space="0" w:color="4F81BC"/>
              <w:bottom w:val="single" w:sz="8" w:space="0" w:color="4F81BC"/>
            </w:tcBorders>
          </w:tcPr>
          <w:p>
            <w:pPr>
              <w:pStyle w:val="TableParagraph"/>
              <w:ind w:left="119" w:right="143"/>
              <w:rPr>
                <w:sz w:val="22"/>
              </w:rPr>
            </w:pPr>
            <w:r>
              <w:rPr>
                <w:spacing w:val="-4"/>
                <w:sz w:val="22"/>
              </w:rPr>
              <w:t>Mean </w:t>
            </w:r>
            <w:r>
              <w:rPr>
                <w:spacing w:val="-2"/>
                <w:sz w:val="22"/>
              </w:rPr>
              <w:t>Score</w:t>
            </w:r>
          </w:p>
        </w:tc>
        <w:tc>
          <w:tcPr>
            <w:tcW w:w="857" w:type="dxa"/>
            <w:tcBorders>
              <w:top w:val="single" w:sz="8" w:space="0" w:color="4F81BC"/>
              <w:bottom w:val="single" w:sz="8" w:space="0" w:color="4F81BC"/>
            </w:tcBorders>
          </w:tcPr>
          <w:p>
            <w:pPr>
              <w:pStyle w:val="TableParagraph"/>
              <w:spacing w:line="246" w:lineRule="exact"/>
              <w:ind w:left="157"/>
              <w:rPr>
                <w:sz w:val="22"/>
              </w:rPr>
            </w:pPr>
            <w:r>
              <w:rPr>
                <w:spacing w:val="-4"/>
                <w:sz w:val="22"/>
              </w:rPr>
              <w:t>Rank</w:t>
            </w:r>
          </w:p>
        </w:tc>
      </w:tr>
      <w:tr>
        <w:trPr>
          <w:trHeight w:val="505" w:hRule="atLeast"/>
        </w:trPr>
        <w:tc>
          <w:tcPr>
            <w:tcW w:w="555" w:type="dxa"/>
            <w:tcBorders>
              <w:top w:val="single" w:sz="8" w:space="0" w:color="4F81BC"/>
            </w:tcBorders>
            <w:shd w:val="clear" w:color="auto" w:fill="D2DFED"/>
          </w:tcPr>
          <w:p>
            <w:pPr>
              <w:pStyle w:val="TableParagraph"/>
              <w:ind w:left="36" w:right="86"/>
              <w:jc w:val="center"/>
              <w:rPr>
                <w:b/>
                <w:sz w:val="22"/>
              </w:rPr>
            </w:pPr>
            <w:r>
              <w:rPr>
                <w:b/>
                <w:spacing w:val="-5"/>
                <w:sz w:val="22"/>
              </w:rPr>
              <w:t>(a)</w:t>
            </w:r>
          </w:p>
        </w:tc>
        <w:tc>
          <w:tcPr>
            <w:tcW w:w="2895" w:type="dxa"/>
            <w:tcBorders>
              <w:top w:val="single" w:sz="8" w:space="0" w:color="4F81BC"/>
            </w:tcBorders>
            <w:shd w:val="clear" w:color="auto" w:fill="D2DFED"/>
          </w:tcPr>
          <w:p>
            <w:pPr>
              <w:pStyle w:val="TableParagraph"/>
              <w:spacing w:line="248" w:lineRule="exact"/>
              <w:ind w:left="124"/>
              <w:rPr>
                <w:sz w:val="22"/>
              </w:rPr>
            </w:pPr>
            <w:r>
              <w:rPr>
                <w:sz w:val="22"/>
              </w:rPr>
              <w:t>Budget</w:t>
            </w:r>
            <w:r>
              <w:rPr>
                <w:spacing w:val="-3"/>
                <w:sz w:val="22"/>
              </w:rPr>
              <w:t> </w:t>
            </w:r>
            <w:r>
              <w:rPr>
                <w:sz w:val="22"/>
              </w:rPr>
              <w:t>planning</w:t>
            </w:r>
            <w:r>
              <w:rPr>
                <w:spacing w:val="-5"/>
                <w:sz w:val="22"/>
              </w:rPr>
              <w:t> and</w:t>
            </w:r>
          </w:p>
          <w:p>
            <w:pPr>
              <w:pStyle w:val="TableParagraph"/>
              <w:spacing w:line="238" w:lineRule="exact"/>
              <w:ind w:left="124"/>
              <w:rPr>
                <w:sz w:val="22"/>
              </w:rPr>
            </w:pPr>
            <w:r>
              <w:rPr>
                <w:spacing w:val="-2"/>
                <w:sz w:val="22"/>
              </w:rPr>
              <w:t>formulation</w:t>
            </w:r>
          </w:p>
        </w:tc>
        <w:tc>
          <w:tcPr>
            <w:tcW w:w="984" w:type="dxa"/>
            <w:tcBorders>
              <w:top w:val="single" w:sz="8" w:space="0" w:color="4F81BC"/>
            </w:tcBorders>
            <w:shd w:val="clear" w:color="auto" w:fill="D2DFED"/>
          </w:tcPr>
          <w:p>
            <w:pPr>
              <w:pStyle w:val="TableParagraph"/>
              <w:spacing w:line="249" w:lineRule="exact"/>
              <w:ind w:left="109"/>
              <w:rPr>
                <w:sz w:val="22"/>
              </w:rPr>
            </w:pPr>
            <w:r>
              <w:rPr>
                <w:spacing w:val="-5"/>
                <w:sz w:val="22"/>
              </w:rPr>
              <w:t>78</w:t>
            </w:r>
          </w:p>
        </w:tc>
        <w:tc>
          <w:tcPr>
            <w:tcW w:w="788" w:type="dxa"/>
            <w:tcBorders>
              <w:top w:val="single" w:sz="8" w:space="0" w:color="4F81BC"/>
            </w:tcBorders>
            <w:shd w:val="clear" w:color="auto" w:fill="D2DFED"/>
          </w:tcPr>
          <w:p>
            <w:pPr>
              <w:pStyle w:val="TableParagraph"/>
              <w:spacing w:line="249" w:lineRule="exact"/>
              <w:ind w:left="116"/>
              <w:rPr>
                <w:sz w:val="22"/>
              </w:rPr>
            </w:pPr>
            <w:r>
              <w:rPr>
                <w:spacing w:val="-5"/>
                <w:sz w:val="22"/>
              </w:rPr>
              <w:t>27</w:t>
            </w:r>
          </w:p>
        </w:tc>
        <w:tc>
          <w:tcPr>
            <w:tcW w:w="1056" w:type="dxa"/>
            <w:tcBorders>
              <w:top w:val="single" w:sz="8" w:space="0" w:color="4F81BC"/>
            </w:tcBorders>
            <w:shd w:val="clear" w:color="auto" w:fill="D2DFED"/>
          </w:tcPr>
          <w:p>
            <w:pPr>
              <w:pStyle w:val="TableParagraph"/>
              <w:spacing w:line="249" w:lineRule="exact"/>
              <w:ind w:left="138"/>
              <w:rPr>
                <w:sz w:val="22"/>
              </w:rPr>
            </w:pPr>
            <w:r>
              <w:rPr>
                <w:spacing w:val="-10"/>
                <w:sz w:val="22"/>
              </w:rPr>
              <w:t>5</w:t>
            </w:r>
          </w:p>
        </w:tc>
        <w:tc>
          <w:tcPr>
            <w:tcW w:w="1055" w:type="dxa"/>
            <w:tcBorders>
              <w:top w:val="single" w:sz="8" w:space="0" w:color="4F81BC"/>
            </w:tcBorders>
            <w:shd w:val="clear" w:color="auto" w:fill="D2DFED"/>
          </w:tcPr>
          <w:p>
            <w:pPr>
              <w:pStyle w:val="TableParagraph"/>
              <w:spacing w:line="249" w:lineRule="exact"/>
              <w:ind w:left="162"/>
              <w:rPr>
                <w:sz w:val="22"/>
              </w:rPr>
            </w:pPr>
            <w:r>
              <w:rPr>
                <w:spacing w:val="-10"/>
                <w:sz w:val="22"/>
              </w:rPr>
              <w:t>5</w:t>
            </w:r>
          </w:p>
        </w:tc>
        <w:tc>
          <w:tcPr>
            <w:tcW w:w="716" w:type="dxa"/>
            <w:tcBorders>
              <w:top w:val="single" w:sz="8" w:space="0" w:color="4F81BC"/>
            </w:tcBorders>
            <w:shd w:val="clear" w:color="auto" w:fill="D2DFED"/>
          </w:tcPr>
          <w:p>
            <w:pPr>
              <w:pStyle w:val="TableParagraph"/>
              <w:spacing w:line="249" w:lineRule="exact"/>
              <w:ind w:left="115"/>
              <w:rPr>
                <w:sz w:val="22"/>
              </w:rPr>
            </w:pPr>
            <w:r>
              <w:rPr>
                <w:spacing w:val="-5"/>
                <w:sz w:val="22"/>
              </w:rPr>
              <w:t>41</w:t>
            </w:r>
          </w:p>
        </w:tc>
        <w:tc>
          <w:tcPr>
            <w:tcW w:w="773" w:type="dxa"/>
            <w:tcBorders>
              <w:top w:val="single" w:sz="8" w:space="0" w:color="4F81BC"/>
            </w:tcBorders>
            <w:shd w:val="clear" w:color="auto" w:fill="D2DFED"/>
          </w:tcPr>
          <w:p>
            <w:pPr>
              <w:pStyle w:val="TableParagraph"/>
              <w:spacing w:line="249" w:lineRule="exact"/>
              <w:ind w:left="119"/>
              <w:rPr>
                <w:sz w:val="22"/>
              </w:rPr>
            </w:pPr>
            <w:r>
              <w:rPr>
                <w:spacing w:val="-4"/>
                <w:sz w:val="22"/>
              </w:rPr>
              <w:t>3.62</w:t>
            </w:r>
          </w:p>
        </w:tc>
        <w:tc>
          <w:tcPr>
            <w:tcW w:w="857" w:type="dxa"/>
            <w:tcBorders>
              <w:top w:val="single" w:sz="8" w:space="0" w:color="4F81BC"/>
            </w:tcBorders>
            <w:shd w:val="clear" w:color="auto" w:fill="D2DFED"/>
          </w:tcPr>
          <w:p>
            <w:pPr>
              <w:pStyle w:val="TableParagraph"/>
              <w:spacing w:line="249" w:lineRule="exact"/>
              <w:ind w:left="157"/>
              <w:rPr>
                <w:sz w:val="22"/>
              </w:rPr>
            </w:pPr>
            <w:r>
              <w:rPr>
                <w:spacing w:val="-10"/>
                <w:sz w:val="22"/>
              </w:rPr>
              <w:t>2</w:t>
            </w:r>
          </w:p>
        </w:tc>
      </w:tr>
      <w:tr>
        <w:trPr>
          <w:trHeight w:val="506" w:hRule="atLeast"/>
        </w:trPr>
        <w:tc>
          <w:tcPr>
            <w:tcW w:w="555" w:type="dxa"/>
          </w:tcPr>
          <w:p>
            <w:pPr>
              <w:pStyle w:val="TableParagraph"/>
              <w:spacing w:line="252" w:lineRule="exact"/>
              <w:ind w:left="49" w:right="86"/>
              <w:jc w:val="center"/>
              <w:rPr>
                <w:b/>
                <w:sz w:val="22"/>
              </w:rPr>
            </w:pPr>
            <w:r>
              <w:rPr>
                <w:b/>
                <w:spacing w:val="-5"/>
                <w:sz w:val="22"/>
              </w:rPr>
              <w:t>(b)</w:t>
            </w:r>
          </w:p>
        </w:tc>
        <w:tc>
          <w:tcPr>
            <w:tcW w:w="2895" w:type="dxa"/>
          </w:tcPr>
          <w:p>
            <w:pPr>
              <w:pStyle w:val="TableParagraph"/>
              <w:spacing w:line="247" w:lineRule="exact"/>
              <w:ind w:left="124"/>
              <w:rPr>
                <w:sz w:val="22"/>
              </w:rPr>
            </w:pPr>
            <w:r>
              <w:rPr>
                <w:sz w:val="22"/>
              </w:rPr>
              <w:t>Preparation</w:t>
            </w:r>
            <w:r>
              <w:rPr>
                <w:spacing w:val="-8"/>
                <w:sz w:val="22"/>
              </w:rPr>
              <w:t> </w:t>
            </w:r>
            <w:r>
              <w:rPr>
                <w:sz w:val="22"/>
              </w:rPr>
              <w:t>of</w:t>
            </w:r>
            <w:r>
              <w:rPr>
                <w:spacing w:val="-2"/>
                <w:sz w:val="22"/>
              </w:rPr>
              <w:t> </w:t>
            </w:r>
            <w:r>
              <w:rPr>
                <w:sz w:val="22"/>
              </w:rPr>
              <w:t>housing</w:t>
            </w:r>
            <w:r>
              <w:rPr>
                <w:spacing w:val="-6"/>
                <w:sz w:val="22"/>
              </w:rPr>
              <w:t> </w:t>
            </w:r>
            <w:r>
              <w:rPr>
                <w:spacing w:val="-2"/>
                <w:sz w:val="22"/>
              </w:rPr>
              <w:t>budget</w:t>
            </w:r>
          </w:p>
          <w:p>
            <w:pPr>
              <w:pStyle w:val="TableParagraph"/>
              <w:spacing w:line="238" w:lineRule="exact" w:before="1"/>
              <w:ind w:left="124"/>
              <w:rPr>
                <w:sz w:val="22"/>
              </w:rPr>
            </w:pPr>
            <w:r>
              <w:rPr>
                <w:spacing w:val="-2"/>
                <w:sz w:val="22"/>
              </w:rPr>
              <w:t>estimates/proposal</w:t>
            </w:r>
          </w:p>
        </w:tc>
        <w:tc>
          <w:tcPr>
            <w:tcW w:w="984" w:type="dxa"/>
          </w:tcPr>
          <w:p>
            <w:pPr>
              <w:pStyle w:val="TableParagraph"/>
              <w:spacing w:line="247" w:lineRule="exact"/>
              <w:ind w:left="109"/>
              <w:rPr>
                <w:sz w:val="22"/>
              </w:rPr>
            </w:pPr>
            <w:r>
              <w:rPr>
                <w:spacing w:val="-5"/>
                <w:sz w:val="22"/>
              </w:rPr>
              <w:t>87</w:t>
            </w:r>
          </w:p>
        </w:tc>
        <w:tc>
          <w:tcPr>
            <w:tcW w:w="788" w:type="dxa"/>
          </w:tcPr>
          <w:p>
            <w:pPr>
              <w:pStyle w:val="TableParagraph"/>
              <w:spacing w:line="247" w:lineRule="exact"/>
              <w:ind w:left="116"/>
              <w:rPr>
                <w:sz w:val="22"/>
              </w:rPr>
            </w:pPr>
            <w:r>
              <w:rPr>
                <w:spacing w:val="-5"/>
                <w:sz w:val="22"/>
              </w:rPr>
              <w:t>44</w:t>
            </w:r>
          </w:p>
        </w:tc>
        <w:tc>
          <w:tcPr>
            <w:tcW w:w="1056" w:type="dxa"/>
          </w:tcPr>
          <w:p>
            <w:pPr>
              <w:pStyle w:val="TableParagraph"/>
              <w:spacing w:line="247" w:lineRule="exact"/>
              <w:ind w:left="193"/>
              <w:rPr>
                <w:sz w:val="22"/>
              </w:rPr>
            </w:pPr>
            <w:r>
              <w:rPr>
                <w:spacing w:val="-10"/>
                <w:sz w:val="22"/>
              </w:rPr>
              <w:t>9</w:t>
            </w:r>
          </w:p>
        </w:tc>
        <w:tc>
          <w:tcPr>
            <w:tcW w:w="1055" w:type="dxa"/>
          </w:tcPr>
          <w:p>
            <w:pPr>
              <w:pStyle w:val="TableParagraph"/>
              <w:spacing w:line="247" w:lineRule="exact"/>
              <w:ind w:left="162"/>
              <w:rPr>
                <w:sz w:val="22"/>
              </w:rPr>
            </w:pPr>
            <w:r>
              <w:rPr>
                <w:spacing w:val="-5"/>
                <w:sz w:val="22"/>
              </w:rPr>
              <w:t>16</w:t>
            </w:r>
          </w:p>
        </w:tc>
        <w:tc>
          <w:tcPr>
            <w:tcW w:w="716" w:type="dxa"/>
          </w:tcPr>
          <w:p>
            <w:pPr>
              <w:pStyle w:val="TableParagraph"/>
              <w:spacing w:line="247" w:lineRule="exact"/>
              <w:ind w:left="115"/>
              <w:rPr>
                <w:sz w:val="22"/>
              </w:rPr>
            </w:pPr>
            <w:r>
              <w:rPr>
                <w:spacing w:val="-10"/>
                <w:sz w:val="22"/>
              </w:rPr>
              <w:t>0</w:t>
            </w:r>
          </w:p>
        </w:tc>
        <w:tc>
          <w:tcPr>
            <w:tcW w:w="773" w:type="dxa"/>
          </w:tcPr>
          <w:p>
            <w:pPr>
              <w:pStyle w:val="TableParagraph"/>
              <w:spacing w:line="247" w:lineRule="exact"/>
              <w:ind w:left="119"/>
              <w:rPr>
                <w:sz w:val="22"/>
              </w:rPr>
            </w:pPr>
            <w:r>
              <w:rPr>
                <w:spacing w:val="-4"/>
                <w:sz w:val="22"/>
              </w:rPr>
              <w:t>4.29</w:t>
            </w:r>
          </w:p>
        </w:tc>
        <w:tc>
          <w:tcPr>
            <w:tcW w:w="857" w:type="dxa"/>
          </w:tcPr>
          <w:p>
            <w:pPr>
              <w:pStyle w:val="TableParagraph"/>
              <w:spacing w:line="247" w:lineRule="exact"/>
              <w:ind w:left="157"/>
              <w:rPr>
                <w:sz w:val="22"/>
              </w:rPr>
            </w:pPr>
            <w:r>
              <w:rPr>
                <w:spacing w:val="-10"/>
                <w:sz w:val="22"/>
              </w:rPr>
              <w:t>1</w:t>
            </w:r>
          </w:p>
        </w:tc>
      </w:tr>
      <w:tr>
        <w:trPr>
          <w:trHeight w:val="506" w:hRule="atLeast"/>
        </w:trPr>
        <w:tc>
          <w:tcPr>
            <w:tcW w:w="555" w:type="dxa"/>
            <w:shd w:val="clear" w:color="auto" w:fill="D2DFED"/>
          </w:tcPr>
          <w:p>
            <w:pPr>
              <w:pStyle w:val="TableParagraph"/>
              <w:spacing w:line="252" w:lineRule="exact"/>
              <w:ind w:left="24" w:right="86"/>
              <w:jc w:val="center"/>
              <w:rPr>
                <w:b/>
                <w:sz w:val="22"/>
              </w:rPr>
            </w:pPr>
            <w:r>
              <w:rPr>
                <w:b/>
                <w:spacing w:val="-5"/>
                <w:sz w:val="22"/>
              </w:rPr>
              <w:t>(c)</w:t>
            </w:r>
          </w:p>
        </w:tc>
        <w:tc>
          <w:tcPr>
            <w:tcW w:w="2895" w:type="dxa"/>
            <w:shd w:val="clear" w:color="auto" w:fill="D2DFED"/>
          </w:tcPr>
          <w:p>
            <w:pPr>
              <w:pStyle w:val="TableParagraph"/>
              <w:spacing w:line="247" w:lineRule="exact"/>
              <w:ind w:left="124"/>
              <w:rPr>
                <w:sz w:val="22"/>
              </w:rPr>
            </w:pPr>
            <w:r>
              <w:rPr>
                <w:sz w:val="22"/>
              </w:rPr>
              <w:t>Establishing</w:t>
            </w:r>
            <w:r>
              <w:rPr>
                <w:spacing w:val="-5"/>
                <w:sz w:val="22"/>
              </w:rPr>
              <w:t> </w:t>
            </w:r>
            <w:r>
              <w:rPr>
                <w:sz w:val="22"/>
              </w:rPr>
              <w:t>housing</w:t>
            </w:r>
            <w:r>
              <w:rPr>
                <w:spacing w:val="-5"/>
                <w:sz w:val="22"/>
              </w:rPr>
              <w:t> </w:t>
            </w:r>
            <w:r>
              <w:rPr>
                <w:spacing w:val="-2"/>
                <w:sz w:val="22"/>
              </w:rPr>
              <w:t>budget</w:t>
            </w:r>
          </w:p>
          <w:p>
            <w:pPr>
              <w:pStyle w:val="TableParagraph"/>
              <w:spacing w:line="238" w:lineRule="exact" w:before="1"/>
              <w:ind w:left="124"/>
              <w:rPr>
                <w:sz w:val="22"/>
              </w:rPr>
            </w:pPr>
            <w:r>
              <w:rPr>
                <w:spacing w:val="-2"/>
                <w:sz w:val="22"/>
              </w:rPr>
              <w:t>ceilings</w:t>
            </w:r>
          </w:p>
        </w:tc>
        <w:tc>
          <w:tcPr>
            <w:tcW w:w="984" w:type="dxa"/>
            <w:shd w:val="clear" w:color="auto" w:fill="D2DFED"/>
          </w:tcPr>
          <w:p>
            <w:pPr>
              <w:pStyle w:val="TableParagraph"/>
              <w:spacing w:line="247" w:lineRule="exact"/>
              <w:ind w:left="109"/>
              <w:rPr>
                <w:sz w:val="22"/>
              </w:rPr>
            </w:pPr>
            <w:r>
              <w:rPr>
                <w:spacing w:val="-10"/>
                <w:sz w:val="22"/>
              </w:rPr>
              <w:t>5</w:t>
            </w:r>
          </w:p>
        </w:tc>
        <w:tc>
          <w:tcPr>
            <w:tcW w:w="788" w:type="dxa"/>
            <w:shd w:val="clear" w:color="auto" w:fill="D2DFED"/>
          </w:tcPr>
          <w:p>
            <w:pPr>
              <w:pStyle w:val="TableParagraph"/>
              <w:spacing w:line="247" w:lineRule="exact"/>
              <w:ind w:left="116"/>
              <w:rPr>
                <w:sz w:val="22"/>
              </w:rPr>
            </w:pPr>
            <w:r>
              <w:rPr>
                <w:spacing w:val="-10"/>
                <w:sz w:val="22"/>
              </w:rPr>
              <w:t>5</w:t>
            </w:r>
          </w:p>
        </w:tc>
        <w:tc>
          <w:tcPr>
            <w:tcW w:w="1056" w:type="dxa"/>
            <w:shd w:val="clear" w:color="auto" w:fill="D2DFED"/>
          </w:tcPr>
          <w:p>
            <w:pPr>
              <w:pStyle w:val="TableParagraph"/>
              <w:spacing w:line="247" w:lineRule="exact"/>
              <w:ind w:left="138"/>
              <w:rPr>
                <w:sz w:val="22"/>
              </w:rPr>
            </w:pPr>
            <w:r>
              <w:rPr>
                <w:spacing w:val="-5"/>
                <w:sz w:val="22"/>
              </w:rPr>
              <w:t>17</w:t>
            </w:r>
          </w:p>
        </w:tc>
        <w:tc>
          <w:tcPr>
            <w:tcW w:w="1055" w:type="dxa"/>
            <w:shd w:val="clear" w:color="auto" w:fill="D2DFED"/>
          </w:tcPr>
          <w:p>
            <w:pPr>
              <w:pStyle w:val="TableParagraph"/>
              <w:spacing w:line="247" w:lineRule="exact"/>
              <w:ind w:left="162"/>
              <w:rPr>
                <w:sz w:val="22"/>
              </w:rPr>
            </w:pPr>
            <w:r>
              <w:rPr>
                <w:spacing w:val="-5"/>
                <w:sz w:val="22"/>
              </w:rPr>
              <w:t>44</w:t>
            </w:r>
          </w:p>
        </w:tc>
        <w:tc>
          <w:tcPr>
            <w:tcW w:w="716" w:type="dxa"/>
            <w:shd w:val="clear" w:color="auto" w:fill="D2DFED"/>
          </w:tcPr>
          <w:p>
            <w:pPr>
              <w:pStyle w:val="TableParagraph"/>
              <w:spacing w:line="247" w:lineRule="exact"/>
              <w:ind w:left="115"/>
              <w:rPr>
                <w:sz w:val="22"/>
              </w:rPr>
            </w:pPr>
            <w:r>
              <w:rPr>
                <w:spacing w:val="-5"/>
                <w:sz w:val="22"/>
              </w:rPr>
              <w:t>85</w:t>
            </w:r>
          </w:p>
        </w:tc>
        <w:tc>
          <w:tcPr>
            <w:tcW w:w="773" w:type="dxa"/>
            <w:shd w:val="clear" w:color="auto" w:fill="D2DFED"/>
          </w:tcPr>
          <w:p>
            <w:pPr>
              <w:pStyle w:val="TableParagraph"/>
              <w:spacing w:line="247" w:lineRule="exact"/>
              <w:ind w:left="119"/>
              <w:rPr>
                <w:sz w:val="22"/>
              </w:rPr>
            </w:pPr>
            <w:r>
              <w:rPr>
                <w:spacing w:val="-4"/>
                <w:sz w:val="22"/>
              </w:rPr>
              <w:t>1.72</w:t>
            </w:r>
          </w:p>
        </w:tc>
        <w:tc>
          <w:tcPr>
            <w:tcW w:w="857" w:type="dxa"/>
            <w:shd w:val="clear" w:color="auto" w:fill="D2DFED"/>
          </w:tcPr>
          <w:p>
            <w:pPr>
              <w:pStyle w:val="TableParagraph"/>
              <w:spacing w:line="247" w:lineRule="exact"/>
              <w:ind w:left="157"/>
              <w:rPr>
                <w:sz w:val="22"/>
              </w:rPr>
            </w:pPr>
            <w:r>
              <w:rPr>
                <w:spacing w:val="-10"/>
                <w:sz w:val="22"/>
              </w:rPr>
              <w:t>7</w:t>
            </w:r>
          </w:p>
        </w:tc>
      </w:tr>
      <w:tr>
        <w:trPr>
          <w:trHeight w:val="506" w:hRule="atLeast"/>
        </w:trPr>
        <w:tc>
          <w:tcPr>
            <w:tcW w:w="555" w:type="dxa"/>
          </w:tcPr>
          <w:p>
            <w:pPr>
              <w:pStyle w:val="TableParagraph"/>
              <w:spacing w:line="252" w:lineRule="exact"/>
              <w:ind w:left="49" w:right="86"/>
              <w:jc w:val="center"/>
              <w:rPr>
                <w:b/>
                <w:sz w:val="22"/>
              </w:rPr>
            </w:pPr>
            <w:r>
              <w:rPr>
                <w:b/>
                <w:spacing w:val="-5"/>
                <w:sz w:val="22"/>
              </w:rPr>
              <w:t>(d)</w:t>
            </w:r>
          </w:p>
        </w:tc>
        <w:tc>
          <w:tcPr>
            <w:tcW w:w="2895" w:type="dxa"/>
          </w:tcPr>
          <w:p>
            <w:pPr>
              <w:pStyle w:val="TableParagraph"/>
              <w:spacing w:line="246" w:lineRule="exact"/>
              <w:ind w:left="124"/>
              <w:rPr>
                <w:sz w:val="22"/>
              </w:rPr>
            </w:pPr>
            <w:r>
              <w:rPr>
                <w:sz w:val="22"/>
              </w:rPr>
              <w:t>Evaluation</w:t>
            </w:r>
            <w:r>
              <w:rPr>
                <w:spacing w:val="-4"/>
                <w:sz w:val="22"/>
              </w:rPr>
              <w:t> </w:t>
            </w:r>
            <w:r>
              <w:rPr>
                <w:sz w:val="22"/>
              </w:rPr>
              <w:t>and</w:t>
            </w:r>
            <w:r>
              <w:rPr>
                <w:spacing w:val="-4"/>
                <w:sz w:val="22"/>
              </w:rPr>
              <w:t> </w:t>
            </w:r>
            <w:r>
              <w:rPr>
                <w:sz w:val="22"/>
              </w:rPr>
              <w:t>approval</w:t>
            </w:r>
            <w:r>
              <w:rPr>
                <w:spacing w:val="-2"/>
                <w:sz w:val="22"/>
              </w:rPr>
              <w:t> </w:t>
            </w:r>
            <w:r>
              <w:rPr>
                <w:spacing w:val="-5"/>
                <w:sz w:val="22"/>
              </w:rPr>
              <w:t>of</w:t>
            </w:r>
          </w:p>
          <w:p>
            <w:pPr>
              <w:pStyle w:val="TableParagraph"/>
              <w:spacing w:line="240" w:lineRule="exact"/>
              <w:ind w:left="124"/>
              <w:rPr>
                <w:sz w:val="22"/>
              </w:rPr>
            </w:pPr>
            <w:r>
              <w:rPr>
                <w:sz w:val="22"/>
              </w:rPr>
              <w:t>housing</w:t>
            </w:r>
            <w:r>
              <w:rPr>
                <w:spacing w:val="-5"/>
                <w:sz w:val="22"/>
              </w:rPr>
              <w:t> </w:t>
            </w:r>
            <w:r>
              <w:rPr>
                <w:sz w:val="22"/>
              </w:rPr>
              <w:t>budget</w:t>
            </w:r>
            <w:r>
              <w:rPr>
                <w:spacing w:val="-1"/>
                <w:sz w:val="22"/>
              </w:rPr>
              <w:t> </w:t>
            </w:r>
            <w:r>
              <w:rPr>
                <w:spacing w:val="-2"/>
                <w:sz w:val="22"/>
              </w:rPr>
              <w:t>proposals</w:t>
            </w:r>
          </w:p>
        </w:tc>
        <w:tc>
          <w:tcPr>
            <w:tcW w:w="984" w:type="dxa"/>
          </w:tcPr>
          <w:p>
            <w:pPr>
              <w:pStyle w:val="TableParagraph"/>
              <w:spacing w:line="247" w:lineRule="exact"/>
              <w:ind w:left="109"/>
              <w:rPr>
                <w:sz w:val="22"/>
              </w:rPr>
            </w:pPr>
            <w:r>
              <w:rPr>
                <w:spacing w:val="-5"/>
                <w:sz w:val="22"/>
              </w:rPr>
              <w:t>36</w:t>
            </w:r>
          </w:p>
        </w:tc>
        <w:tc>
          <w:tcPr>
            <w:tcW w:w="788" w:type="dxa"/>
          </w:tcPr>
          <w:p>
            <w:pPr>
              <w:pStyle w:val="TableParagraph"/>
              <w:spacing w:line="247" w:lineRule="exact"/>
              <w:ind w:left="116"/>
              <w:rPr>
                <w:sz w:val="22"/>
              </w:rPr>
            </w:pPr>
            <w:r>
              <w:rPr>
                <w:spacing w:val="-5"/>
                <w:sz w:val="22"/>
              </w:rPr>
              <w:t>51</w:t>
            </w:r>
          </w:p>
        </w:tc>
        <w:tc>
          <w:tcPr>
            <w:tcW w:w="1056" w:type="dxa"/>
          </w:tcPr>
          <w:p>
            <w:pPr>
              <w:pStyle w:val="TableParagraph"/>
              <w:spacing w:line="247" w:lineRule="exact"/>
              <w:ind w:left="138"/>
              <w:rPr>
                <w:sz w:val="22"/>
              </w:rPr>
            </w:pPr>
            <w:r>
              <w:rPr>
                <w:spacing w:val="-5"/>
                <w:sz w:val="22"/>
              </w:rPr>
              <w:t>35</w:t>
            </w:r>
          </w:p>
        </w:tc>
        <w:tc>
          <w:tcPr>
            <w:tcW w:w="1055" w:type="dxa"/>
          </w:tcPr>
          <w:p>
            <w:pPr>
              <w:pStyle w:val="TableParagraph"/>
              <w:spacing w:line="247" w:lineRule="exact"/>
              <w:ind w:left="162"/>
              <w:rPr>
                <w:sz w:val="22"/>
              </w:rPr>
            </w:pPr>
            <w:r>
              <w:rPr>
                <w:spacing w:val="-5"/>
                <w:sz w:val="22"/>
              </w:rPr>
              <w:t>17</w:t>
            </w:r>
          </w:p>
        </w:tc>
        <w:tc>
          <w:tcPr>
            <w:tcW w:w="716" w:type="dxa"/>
          </w:tcPr>
          <w:p>
            <w:pPr>
              <w:pStyle w:val="TableParagraph"/>
              <w:spacing w:line="247" w:lineRule="exact"/>
              <w:ind w:left="115"/>
              <w:rPr>
                <w:sz w:val="22"/>
              </w:rPr>
            </w:pPr>
            <w:r>
              <w:rPr>
                <w:spacing w:val="-5"/>
                <w:sz w:val="22"/>
              </w:rPr>
              <w:t>17</w:t>
            </w:r>
          </w:p>
        </w:tc>
        <w:tc>
          <w:tcPr>
            <w:tcW w:w="773" w:type="dxa"/>
          </w:tcPr>
          <w:p>
            <w:pPr>
              <w:pStyle w:val="TableParagraph"/>
              <w:spacing w:line="247" w:lineRule="exact"/>
              <w:ind w:left="119"/>
              <w:rPr>
                <w:sz w:val="22"/>
              </w:rPr>
            </w:pPr>
            <w:r>
              <w:rPr>
                <w:spacing w:val="-4"/>
                <w:sz w:val="22"/>
              </w:rPr>
              <w:t>3.46</w:t>
            </w:r>
          </w:p>
        </w:tc>
        <w:tc>
          <w:tcPr>
            <w:tcW w:w="857" w:type="dxa"/>
          </w:tcPr>
          <w:p>
            <w:pPr>
              <w:pStyle w:val="TableParagraph"/>
              <w:spacing w:line="247" w:lineRule="exact"/>
              <w:ind w:left="157"/>
              <w:rPr>
                <w:sz w:val="22"/>
              </w:rPr>
            </w:pPr>
            <w:r>
              <w:rPr>
                <w:spacing w:val="-10"/>
                <w:sz w:val="22"/>
              </w:rPr>
              <w:t>4</w:t>
            </w:r>
          </w:p>
        </w:tc>
      </w:tr>
      <w:tr>
        <w:trPr>
          <w:trHeight w:val="253" w:hRule="atLeast"/>
        </w:trPr>
        <w:tc>
          <w:tcPr>
            <w:tcW w:w="555" w:type="dxa"/>
            <w:shd w:val="clear" w:color="auto" w:fill="D2DFED"/>
          </w:tcPr>
          <w:p>
            <w:pPr>
              <w:pStyle w:val="TableParagraph"/>
              <w:spacing w:line="234" w:lineRule="exact"/>
              <w:ind w:left="24" w:right="86"/>
              <w:jc w:val="center"/>
              <w:rPr>
                <w:b/>
                <w:sz w:val="22"/>
              </w:rPr>
            </w:pPr>
            <w:r>
              <w:rPr>
                <w:b/>
                <w:spacing w:val="-5"/>
                <w:sz w:val="22"/>
              </w:rPr>
              <w:t>(e)</w:t>
            </w:r>
          </w:p>
        </w:tc>
        <w:tc>
          <w:tcPr>
            <w:tcW w:w="2895" w:type="dxa"/>
            <w:vMerge w:val="restart"/>
            <w:shd w:val="clear" w:color="auto" w:fill="D2DFED"/>
          </w:tcPr>
          <w:p>
            <w:pPr>
              <w:pStyle w:val="TableParagraph"/>
              <w:ind w:left="124"/>
              <w:rPr>
                <w:sz w:val="22"/>
              </w:rPr>
            </w:pPr>
            <w:r>
              <w:rPr>
                <w:sz w:val="22"/>
              </w:rPr>
              <w:t>Preparation of tender documents,</w:t>
            </w:r>
            <w:r>
              <w:rPr>
                <w:spacing w:val="-14"/>
                <w:sz w:val="22"/>
              </w:rPr>
              <w:t> </w:t>
            </w:r>
            <w:r>
              <w:rPr>
                <w:sz w:val="22"/>
              </w:rPr>
              <w:t>tender</w:t>
            </w:r>
            <w:r>
              <w:rPr>
                <w:spacing w:val="-14"/>
                <w:sz w:val="22"/>
              </w:rPr>
              <w:t> </w:t>
            </w:r>
            <w:r>
              <w:rPr>
                <w:sz w:val="22"/>
              </w:rPr>
              <w:t>evaluation and recommendation of</w:t>
            </w:r>
          </w:p>
          <w:p>
            <w:pPr>
              <w:pStyle w:val="TableParagraph"/>
              <w:spacing w:line="240" w:lineRule="exact"/>
              <w:ind w:left="124"/>
              <w:rPr>
                <w:sz w:val="22"/>
              </w:rPr>
            </w:pPr>
            <w:r>
              <w:rPr>
                <w:sz w:val="22"/>
              </w:rPr>
              <w:t>qualified</w:t>
            </w:r>
            <w:r>
              <w:rPr>
                <w:spacing w:val="-6"/>
                <w:sz w:val="22"/>
              </w:rPr>
              <w:t> </w:t>
            </w:r>
            <w:r>
              <w:rPr>
                <w:spacing w:val="-2"/>
                <w:sz w:val="22"/>
              </w:rPr>
              <w:t>contractors</w:t>
            </w:r>
          </w:p>
        </w:tc>
        <w:tc>
          <w:tcPr>
            <w:tcW w:w="984" w:type="dxa"/>
            <w:shd w:val="clear" w:color="auto" w:fill="D2DFED"/>
          </w:tcPr>
          <w:p>
            <w:pPr>
              <w:pStyle w:val="TableParagraph"/>
              <w:rPr>
                <w:sz w:val="18"/>
              </w:rPr>
            </w:pPr>
          </w:p>
        </w:tc>
        <w:tc>
          <w:tcPr>
            <w:tcW w:w="788" w:type="dxa"/>
            <w:shd w:val="clear" w:color="auto" w:fill="D2DFED"/>
          </w:tcPr>
          <w:p>
            <w:pPr>
              <w:pStyle w:val="TableParagraph"/>
              <w:rPr>
                <w:sz w:val="18"/>
              </w:rPr>
            </w:pPr>
          </w:p>
        </w:tc>
        <w:tc>
          <w:tcPr>
            <w:tcW w:w="1056" w:type="dxa"/>
            <w:shd w:val="clear" w:color="auto" w:fill="D2DFED"/>
          </w:tcPr>
          <w:p>
            <w:pPr>
              <w:pStyle w:val="TableParagraph"/>
              <w:rPr>
                <w:sz w:val="18"/>
              </w:rPr>
            </w:pPr>
          </w:p>
        </w:tc>
        <w:tc>
          <w:tcPr>
            <w:tcW w:w="1055" w:type="dxa"/>
            <w:shd w:val="clear" w:color="auto" w:fill="D2DFED"/>
          </w:tcPr>
          <w:p>
            <w:pPr>
              <w:pStyle w:val="TableParagraph"/>
              <w:rPr>
                <w:sz w:val="18"/>
              </w:rPr>
            </w:pPr>
          </w:p>
        </w:tc>
        <w:tc>
          <w:tcPr>
            <w:tcW w:w="716" w:type="dxa"/>
            <w:shd w:val="clear" w:color="auto" w:fill="D2DFED"/>
          </w:tcPr>
          <w:p>
            <w:pPr>
              <w:pStyle w:val="TableParagraph"/>
              <w:rPr>
                <w:sz w:val="18"/>
              </w:rPr>
            </w:pPr>
          </w:p>
        </w:tc>
        <w:tc>
          <w:tcPr>
            <w:tcW w:w="773" w:type="dxa"/>
            <w:shd w:val="clear" w:color="auto" w:fill="D2DFED"/>
          </w:tcPr>
          <w:p>
            <w:pPr>
              <w:pStyle w:val="TableParagraph"/>
              <w:rPr>
                <w:sz w:val="18"/>
              </w:rPr>
            </w:pPr>
          </w:p>
        </w:tc>
        <w:tc>
          <w:tcPr>
            <w:tcW w:w="857" w:type="dxa"/>
            <w:shd w:val="clear" w:color="auto" w:fill="D2DFED"/>
          </w:tcPr>
          <w:p>
            <w:pPr>
              <w:pStyle w:val="TableParagraph"/>
              <w:rPr>
                <w:sz w:val="18"/>
              </w:rPr>
            </w:pPr>
          </w:p>
        </w:tc>
      </w:tr>
      <w:tr>
        <w:trPr>
          <w:trHeight w:val="759" w:hRule="atLeast"/>
        </w:trPr>
        <w:tc>
          <w:tcPr>
            <w:tcW w:w="555" w:type="dxa"/>
            <w:shd w:val="clear" w:color="auto" w:fill="D2DFED"/>
          </w:tcPr>
          <w:p>
            <w:pPr>
              <w:pStyle w:val="TableParagraph"/>
              <w:rPr>
                <w:sz w:val="22"/>
              </w:rPr>
            </w:pPr>
          </w:p>
        </w:tc>
        <w:tc>
          <w:tcPr>
            <w:tcW w:w="2895" w:type="dxa"/>
            <w:vMerge/>
            <w:tcBorders>
              <w:top w:val="nil"/>
            </w:tcBorders>
            <w:shd w:val="clear" w:color="auto" w:fill="D2DFED"/>
          </w:tcPr>
          <w:p>
            <w:pPr>
              <w:rPr>
                <w:sz w:val="2"/>
                <w:szCs w:val="2"/>
              </w:rPr>
            </w:pPr>
          </w:p>
        </w:tc>
        <w:tc>
          <w:tcPr>
            <w:tcW w:w="984" w:type="dxa"/>
            <w:shd w:val="clear" w:color="auto" w:fill="D2DFED"/>
          </w:tcPr>
          <w:p>
            <w:pPr>
              <w:pStyle w:val="TableParagraph"/>
              <w:spacing w:line="246" w:lineRule="exact"/>
              <w:ind w:left="109"/>
              <w:rPr>
                <w:sz w:val="22"/>
              </w:rPr>
            </w:pPr>
            <w:r>
              <w:rPr>
                <w:spacing w:val="-5"/>
                <w:sz w:val="22"/>
              </w:rPr>
              <w:t>87</w:t>
            </w:r>
          </w:p>
        </w:tc>
        <w:tc>
          <w:tcPr>
            <w:tcW w:w="788" w:type="dxa"/>
            <w:shd w:val="clear" w:color="auto" w:fill="D2DFED"/>
          </w:tcPr>
          <w:p>
            <w:pPr>
              <w:pStyle w:val="TableParagraph"/>
              <w:spacing w:line="246" w:lineRule="exact"/>
              <w:ind w:left="116"/>
              <w:rPr>
                <w:sz w:val="22"/>
              </w:rPr>
            </w:pPr>
            <w:r>
              <w:rPr>
                <w:spacing w:val="-5"/>
                <w:sz w:val="22"/>
              </w:rPr>
              <w:t>44</w:t>
            </w:r>
          </w:p>
        </w:tc>
        <w:tc>
          <w:tcPr>
            <w:tcW w:w="1056" w:type="dxa"/>
            <w:shd w:val="clear" w:color="auto" w:fill="D2DFED"/>
          </w:tcPr>
          <w:p>
            <w:pPr>
              <w:pStyle w:val="TableParagraph"/>
              <w:spacing w:line="246" w:lineRule="exact"/>
              <w:ind w:left="138"/>
              <w:rPr>
                <w:sz w:val="22"/>
              </w:rPr>
            </w:pPr>
            <w:r>
              <w:rPr>
                <w:spacing w:val="-10"/>
                <w:sz w:val="22"/>
              </w:rPr>
              <w:t>9</w:t>
            </w:r>
          </w:p>
        </w:tc>
        <w:tc>
          <w:tcPr>
            <w:tcW w:w="1055" w:type="dxa"/>
            <w:shd w:val="clear" w:color="auto" w:fill="D2DFED"/>
          </w:tcPr>
          <w:p>
            <w:pPr>
              <w:pStyle w:val="TableParagraph"/>
              <w:spacing w:line="246" w:lineRule="exact"/>
              <w:ind w:left="162"/>
              <w:rPr>
                <w:sz w:val="22"/>
              </w:rPr>
            </w:pPr>
            <w:r>
              <w:rPr>
                <w:spacing w:val="-5"/>
                <w:sz w:val="22"/>
              </w:rPr>
              <w:t>16</w:t>
            </w:r>
          </w:p>
        </w:tc>
        <w:tc>
          <w:tcPr>
            <w:tcW w:w="716" w:type="dxa"/>
            <w:shd w:val="clear" w:color="auto" w:fill="D2DFED"/>
          </w:tcPr>
          <w:p>
            <w:pPr>
              <w:pStyle w:val="TableParagraph"/>
              <w:spacing w:line="246" w:lineRule="exact"/>
              <w:ind w:left="115"/>
              <w:rPr>
                <w:sz w:val="22"/>
              </w:rPr>
            </w:pPr>
            <w:r>
              <w:rPr>
                <w:spacing w:val="-10"/>
                <w:sz w:val="22"/>
              </w:rPr>
              <w:t>0</w:t>
            </w:r>
          </w:p>
        </w:tc>
        <w:tc>
          <w:tcPr>
            <w:tcW w:w="773" w:type="dxa"/>
            <w:shd w:val="clear" w:color="auto" w:fill="D2DFED"/>
          </w:tcPr>
          <w:p>
            <w:pPr>
              <w:pStyle w:val="TableParagraph"/>
              <w:spacing w:line="246" w:lineRule="exact"/>
              <w:ind w:left="119"/>
              <w:rPr>
                <w:sz w:val="22"/>
              </w:rPr>
            </w:pPr>
            <w:r>
              <w:rPr>
                <w:spacing w:val="-4"/>
                <w:sz w:val="22"/>
              </w:rPr>
              <w:t>4.29</w:t>
            </w:r>
          </w:p>
        </w:tc>
        <w:tc>
          <w:tcPr>
            <w:tcW w:w="857" w:type="dxa"/>
            <w:shd w:val="clear" w:color="auto" w:fill="D2DFED"/>
          </w:tcPr>
          <w:p>
            <w:pPr>
              <w:pStyle w:val="TableParagraph"/>
              <w:spacing w:line="246" w:lineRule="exact"/>
              <w:ind w:left="157"/>
              <w:rPr>
                <w:sz w:val="22"/>
              </w:rPr>
            </w:pPr>
            <w:r>
              <w:rPr>
                <w:spacing w:val="-10"/>
                <w:sz w:val="22"/>
              </w:rPr>
              <w:t>1</w:t>
            </w:r>
          </w:p>
        </w:tc>
      </w:tr>
      <w:tr>
        <w:trPr>
          <w:trHeight w:val="504" w:hRule="atLeast"/>
        </w:trPr>
        <w:tc>
          <w:tcPr>
            <w:tcW w:w="555" w:type="dxa"/>
          </w:tcPr>
          <w:p>
            <w:pPr>
              <w:pStyle w:val="TableParagraph"/>
              <w:spacing w:line="252" w:lineRule="exact"/>
              <w:ind w:left="1" w:right="86"/>
              <w:jc w:val="center"/>
              <w:rPr>
                <w:b/>
                <w:sz w:val="22"/>
              </w:rPr>
            </w:pPr>
            <w:r>
              <w:rPr>
                <w:b/>
                <w:spacing w:val="-5"/>
                <w:sz w:val="22"/>
              </w:rPr>
              <w:t>(f)</w:t>
            </w:r>
          </w:p>
        </w:tc>
        <w:tc>
          <w:tcPr>
            <w:tcW w:w="2895" w:type="dxa"/>
          </w:tcPr>
          <w:p>
            <w:pPr>
              <w:pStyle w:val="TableParagraph"/>
              <w:spacing w:line="246" w:lineRule="exact"/>
              <w:ind w:left="124"/>
              <w:rPr>
                <w:sz w:val="22"/>
              </w:rPr>
            </w:pPr>
            <w:r>
              <w:rPr>
                <w:sz w:val="22"/>
              </w:rPr>
              <w:t>Monitoring of</w:t>
            </w:r>
            <w:r>
              <w:rPr>
                <w:spacing w:val="3"/>
                <w:sz w:val="22"/>
              </w:rPr>
              <w:t> </w:t>
            </w:r>
            <w:r>
              <w:rPr>
                <w:sz w:val="22"/>
              </w:rPr>
              <w:t>housing</w:t>
            </w:r>
            <w:r>
              <w:rPr>
                <w:spacing w:val="2"/>
                <w:sz w:val="22"/>
              </w:rPr>
              <w:t> </w:t>
            </w:r>
            <w:r>
              <w:rPr>
                <w:spacing w:val="-2"/>
                <w:sz w:val="22"/>
              </w:rPr>
              <w:t>budget</w:t>
            </w:r>
          </w:p>
          <w:p>
            <w:pPr>
              <w:pStyle w:val="TableParagraph"/>
              <w:spacing w:line="238" w:lineRule="exact"/>
              <w:ind w:left="124"/>
              <w:rPr>
                <w:sz w:val="22"/>
              </w:rPr>
            </w:pPr>
            <w:r>
              <w:rPr>
                <w:spacing w:val="-2"/>
                <w:sz w:val="22"/>
              </w:rPr>
              <w:t>expenditure</w:t>
            </w:r>
          </w:p>
        </w:tc>
        <w:tc>
          <w:tcPr>
            <w:tcW w:w="984" w:type="dxa"/>
          </w:tcPr>
          <w:p>
            <w:pPr>
              <w:pStyle w:val="TableParagraph"/>
              <w:spacing w:line="247" w:lineRule="exact"/>
              <w:ind w:left="109"/>
              <w:rPr>
                <w:sz w:val="22"/>
              </w:rPr>
            </w:pPr>
            <w:r>
              <w:rPr>
                <w:spacing w:val="-5"/>
                <w:sz w:val="22"/>
              </w:rPr>
              <w:t>44</w:t>
            </w:r>
          </w:p>
        </w:tc>
        <w:tc>
          <w:tcPr>
            <w:tcW w:w="788" w:type="dxa"/>
          </w:tcPr>
          <w:p>
            <w:pPr>
              <w:pStyle w:val="TableParagraph"/>
              <w:spacing w:line="247" w:lineRule="exact"/>
              <w:ind w:left="116"/>
              <w:rPr>
                <w:sz w:val="22"/>
              </w:rPr>
            </w:pPr>
            <w:r>
              <w:rPr>
                <w:spacing w:val="-5"/>
                <w:sz w:val="22"/>
              </w:rPr>
              <w:t>17</w:t>
            </w:r>
          </w:p>
        </w:tc>
        <w:tc>
          <w:tcPr>
            <w:tcW w:w="1056" w:type="dxa"/>
          </w:tcPr>
          <w:p>
            <w:pPr>
              <w:pStyle w:val="TableParagraph"/>
              <w:spacing w:line="247" w:lineRule="exact"/>
              <w:ind w:left="138"/>
              <w:rPr>
                <w:sz w:val="22"/>
              </w:rPr>
            </w:pPr>
            <w:r>
              <w:rPr>
                <w:spacing w:val="-10"/>
                <w:sz w:val="22"/>
              </w:rPr>
              <w:t>9</w:t>
            </w:r>
          </w:p>
        </w:tc>
        <w:tc>
          <w:tcPr>
            <w:tcW w:w="1055" w:type="dxa"/>
          </w:tcPr>
          <w:p>
            <w:pPr>
              <w:pStyle w:val="TableParagraph"/>
              <w:spacing w:line="247" w:lineRule="exact"/>
              <w:ind w:left="162"/>
              <w:rPr>
                <w:sz w:val="22"/>
              </w:rPr>
            </w:pPr>
            <w:r>
              <w:rPr>
                <w:spacing w:val="-5"/>
                <w:sz w:val="22"/>
              </w:rPr>
              <w:t>27</w:t>
            </w:r>
          </w:p>
        </w:tc>
        <w:tc>
          <w:tcPr>
            <w:tcW w:w="716" w:type="dxa"/>
          </w:tcPr>
          <w:p>
            <w:pPr>
              <w:pStyle w:val="TableParagraph"/>
              <w:spacing w:line="247" w:lineRule="exact"/>
              <w:ind w:left="115"/>
              <w:rPr>
                <w:sz w:val="22"/>
              </w:rPr>
            </w:pPr>
            <w:r>
              <w:rPr>
                <w:spacing w:val="-5"/>
                <w:sz w:val="22"/>
              </w:rPr>
              <w:t>59</w:t>
            </w:r>
          </w:p>
        </w:tc>
        <w:tc>
          <w:tcPr>
            <w:tcW w:w="773" w:type="dxa"/>
          </w:tcPr>
          <w:p>
            <w:pPr>
              <w:pStyle w:val="TableParagraph"/>
              <w:spacing w:line="247" w:lineRule="exact"/>
              <w:ind w:left="119"/>
              <w:rPr>
                <w:sz w:val="22"/>
              </w:rPr>
            </w:pPr>
            <w:r>
              <w:rPr>
                <w:spacing w:val="-4"/>
                <w:sz w:val="22"/>
              </w:rPr>
              <w:t>2.74</w:t>
            </w:r>
          </w:p>
        </w:tc>
        <w:tc>
          <w:tcPr>
            <w:tcW w:w="857" w:type="dxa"/>
          </w:tcPr>
          <w:p>
            <w:pPr>
              <w:pStyle w:val="TableParagraph"/>
              <w:spacing w:line="247" w:lineRule="exact"/>
              <w:ind w:left="157"/>
              <w:rPr>
                <w:sz w:val="22"/>
              </w:rPr>
            </w:pPr>
            <w:r>
              <w:rPr>
                <w:spacing w:val="-10"/>
                <w:sz w:val="22"/>
              </w:rPr>
              <w:t>5</w:t>
            </w:r>
          </w:p>
        </w:tc>
      </w:tr>
      <w:tr>
        <w:trPr>
          <w:trHeight w:val="760" w:hRule="atLeast"/>
        </w:trPr>
        <w:tc>
          <w:tcPr>
            <w:tcW w:w="555" w:type="dxa"/>
            <w:shd w:val="clear" w:color="auto" w:fill="D2DFED"/>
          </w:tcPr>
          <w:p>
            <w:pPr>
              <w:pStyle w:val="TableParagraph"/>
              <w:spacing w:line="252" w:lineRule="exact"/>
              <w:ind w:left="37" w:right="86"/>
              <w:jc w:val="center"/>
              <w:rPr>
                <w:b/>
                <w:sz w:val="22"/>
              </w:rPr>
            </w:pPr>
            <w:r>
              <w:rPr>
                <w:b/>
                <w:spacing w:val="-5"/>
                <w:sz w:val="22"/>
              </w:rPr>
              <w:t>(g)</w:t>
            </w:r>
          </w:p>
        </w:tc>
        <w:tc>
          <w:tcPr>
            <w:tcW w:w="2895" w:type="dxa"/>
            <w:shd w:val="clear" w:color="auto" w:fill="D2DFED"/>
          </w:tcPr>
          <w:p>
            <w:pPr>
              <w:pStyle w:val="TableParagraph"/>
              <w:spacing w:line="247" w:lineRule="exact"/>
              <w:ind w:left="124"/>
              <w:rPr>
                <w:sz w:val="22"/>
              </w:rPr>
            </w:pPr>
            <w:r>
              <w:rPr>
                <w:sz w:val="22"/>
              </w:rPr>
              <w:t>Monitoring</w:t>
            </w:r>
            <w:r>
              <w:rPr>
                <w:spacing w:val="-7"/>
                <w:sz w:val="22"/>
              </w:rPr>
              <w:t> </w:t>
            </w:r>
            <w:r>
              <w:rPr>
                <w:sz w:val="22"/>
              </w:rPr>
              <w:t>and</w:t>
            </w:r>
            <w:r>
              <w:rPr>
                <w:spacing w:val="-4"/>
                <w:sz w:val="22"/>
              </w:rPr>
              <w:t> </w:t>
            </w:r>
            <w:r>
              <w:rPr>
                <w:sz w:val="22"/>
              </w:rPr>
              <w:t>evaluation</w:t>
            </w:r>
            <w:r>
              <w:rPr>
                <w:spacing w:val="-6"/>
                <w:sz w:val="22"/>
              </w:rPr>
              <w:t> </w:t>
            </w:r>
            <w:r>
              <w:rPr>
                <w:spacing w:val="-5"/>
                <w:sz w:val="22"/>
              </w:rPr>
              <w:t>of</w:t>
            </w:r>
          </w:p>
          <w:p>
            <w:pPr>
              <w:pStyle w:val="TableParagraph"/>
              <w:spacing w:line="252" w:lineRule="exact"/>
              <w:ind w:left="124"/>
              <w:rPr>
                <w:sz w:val="22"/>
              </w:rPr>
            </w:pPr>
            <w:r>
              <w:rPr>
                <w:sz w:val="22"/>
              </w:rPr>
              <w:t>budget (project) </w:t>
            </w:r>
            <w:r>
              <w:rPr>
                <w:spacing w:val="-2"/>
                <w:sz w:val="22"/>
              </w:rPr>
              <w:t>implementation(execution)</w:t>
            </w:r>
          </w:p>
        </w:tc>
        <w:tc>
          <w:tcPr>
            <w:tcW w:w="984" w:type="dxa"/>
            <w:shd w:val="clear" w:color="auto" w:fill="D2DFED"/>
          </w:tcPr>
          <w:p>
            <w:pPr>
              <w:pStyle w:val="TableParagraph"/>
              <w:spacing w:line="247" w:lineRule="exact"/>
              <w:ind w:left="109"/>
              <w:rPr>
                <w:sz w:val="22"/>
              </w:rPr>
            </w:pPr>
            <w:r>
              <w:rPr>
                <w:spacing w:val="-5"/>
                <w:sz w:val="22"/>
              </w:rPr>
              <w:t>44</w:t>
            </w:r>
          </w:p>
        </w:tc>
        <w:tc>
          <w:tcPr>
            <w:tcW w:w="788" w:type="dxa"/>
            <w:shd w:val="clear" w:color="auto" w:fill="D2DFED"/>
          </w:tcPr>
          <w:p>
            <w:pPr>
              <w:pStyle w:val="TableParagraph"/>
              <w:spacing w:line="247" w:lineRule="exact"/>
              <w:ind w:left="116"/>
              <w:rPr>
                <w:sz w:val="22"/>
              </w:rPr>
            </w:pPr>
            <w:r>
              <w:rPr>
                <w:spacing w:val="-5"/>
                <w:sz w:val="22"/>
              </w:rPr>
              <w:t>51</w:t>
            </w:r>
          </w:p>
        </w:tc>
        <w:tc>
          <w:tcPr>
            <w:tcW w:w="1056" w:type="dxa"/>
            <w:shd w:val="clear" w:color="auto" w:fill="D2DFED"/>
          </w:tcPr>
          <w:p>
            <w:pPr>
              <w:pStyle w:val="TableParagraph"/>
              <w:spacing w:line="247" w:lineRule="exact"/>
              <w:ind w:left="138"/>
              <w:rPr>
                <w:sz w:val="22"/>
              </w:rPr>
            </w:pPr>
            <w:r>
              <w:rPr>
                <w:spacing w:val="-5"/>
                <w:sz w:val="22"/>
              </w:rPr>
              <w:t>27</w:t>
            </w:r>
          </w:p>
        </w:tc>
        <w:tc>
          <w:tcPr>
            <w:tcW w:w="1055" w:type="dxa"/>
            <w:shd w:val="clear" w:color="auto" w:fill="D2DFED"/>
          </w:tcPr>
          <w:p>
            <w:pPr>
              <w:pStyle w:val="TableParagraph"/>
              <w:spacing w:line="247" w:lineRule="exact"/>
              <w:ind w:left="162"/>
              <w:rPr>
                <w:sz w:val="22"/>
              </w:rPr>
            </w:pPr>
            <w:r>
              <w:rPr>
                <w:spacing w:val="-5"/>
                <w:sz w:val="22"/>
              </w:rPr>
              <w:t>17</w:t>
            </w:r>
          </w:p>
        </w:tc>
        <w:tc>
          <w:tcPr>
            <w:tcW w:w="716" w:type="dxa"/>
            <w:shd w:val="clear" w:color="auto" w:fill="D2DFED"/>
          </w:tcPr>
          <w:p>
            <w:pPr>
              <w:pStyle w:val="TableParagraph"/>
              <w:spacing w:line="247" w:lineRule="exact"/>
              <w:ind w:left="115"/>
              <w:rPr>
                <w:sz w:val="22"/>
              </w:rPr>
            </w:pPr>
            <w:r>
              <w:rPr>
                <w:spacing w:val="-5"/>
                <w:sz w:val="22"/>
              </w:rPr>
              <w:t>17</w:t>
            </w:r>
          </w:p>
        </w:tc>
        <w:tc>
          <w:tcPr>
            <w:tcW w:w="773" w:type="dxa"/>
            <w:shd w:val="clear" w:color="auto" w:fill="D2DFED"/>
          </w:tcPr>
          <w:p>
            <w:pPr>
              <w:pStyle w:val="TableParagraph"/>
              <w:spacing w:line="247" w:lineRule="exact"/>
              <w:ind w:left="119"/>
              <w:rPr>
                <w:sz w:val="22"/>
              </w:rPr>
            </w:pPr>
            <w:r>
              <w:rPr>
                <w:spacing w:val="-4"/>
                <w:sz w:val="22"/>
              </w:rPr>
              <w:t>3.56</w:t>
            </w:r>
          </w:p>
        </w:tc>
        <w:tc>
          <w:tcPr>
            <w:tcW w:w="857" w:type="dxa"/>
            <w:shd w:val="clear" w:color="auto" w:fill="D2DFED"/>
          </w:tcPr>
          <w:p>
            <w:pPr>
              <w:pStyle w:val="TableParagraph"/>
              <w:spacing w:line="247" w:lineRule="exact"/>
              <w:ind w:left="157"/>
              <w:rPr>
                <w:sz w:val="22"/>
              </w:rPr>
            </w:pPr>
            <w:r>
              <w:rPr>
                <w:spacing w:val="-10"/>
                <w:sz w:val="22"/>
              </w:rPr>
              <w:t>3</w:t>
            </w:r>
          </w:p>
        </w:tc>
      </w:tr>
      <w:tr>
        <w:trPr>
          <w:trHeight w:val="506" w:hRule="atLeast"/>
        </w:trPr>
        <w:tc>
          <w:tcPr>
            <w:tcW w:w="555" w:type="dxa"/>
            <w:tcBorders>
              <w:bottom w:val="single" w:sz="8" w:space="0" w:color="4F81BC"/>
            </w:tcBorders>
          </w:tcPr>
          <w:p>
            <w:pPr>
              <w:pStyle w:val="TableParagraph"/>
              <w:spacing w:line="252" w:lineRule="exact"/>
              <w:ind w:left="49" w:right="86"/>
              <w:jc w:val="center"/>
              <w:rPr>
                <w:b/>
                <w:sz w:val="22"/>
              </w:rPr>
            </w:pPr>
            <w:r>
              <w:rPr>
                <w:b/>
                <w:spacing w:val="-5"/>
                <w:sz w:val="22"/>
              </w:rPr>
              <w:t>(h)</w:t>
            </w:r>
          </w:p>
        </w:tc>
        <w:tc>
          <w:tcPr>
            <w:tcW w:w="2895" w:type="dxa"/>
            <w:tcBorders>
              <w:bottom w:val="single" w:sz="8" w:space="0" w:color="4F81BC"/>
            </w:tcBorders>
          </w:tcPr>
          <w:p>
            <w:pPr>
              <w:pStyle w:val="TableParagraph"/>
              <w:spacing w:line="246" w:lineRule="exact"/>
              <w:ind w:left="124"/>
              <w:rPr>
                <w:sz w:val="22"/>
              </w:rPr>
            </w:pPr>
            <w:r>
              <w:rPr>
                <w:sz w:val="22"/>
              </w:rPr>
              <w:t>Housing</w:t>
            </w:r>
            <w:r>
              <w:rPr>
                <w:spacing w:val="-5"/>
                <w:sz w:val="22"/>
              </w:rPr>
              <w:t> </w:t>
            </w:r>
            <w:r>
              <w:rPr>
                <w:sz w:val="22"/>
              </w:rPr>
              <w:t>budget</w:t>
            </w:r>
            <w:r>
              <w:rPr>
                <w:spacing w:val="-1"/>
                <w:sz w:val="22"/>
              </w:rPr>
              <w:t> </w:t>
            </w:r>
            <w:r>
              <w:rPr>
                <w:spacing w:val="-2"/>
                <w:sz w:val="22"/>
              </w:rPr>
              <w:t>performance</w:t>
            </w:r>
          </w:p>
          <w:p>
            <w:pPr>
              <w:pStyle w:val="TableParagraph"/>
              <w:spacing w:line="240" w:lineRule="exact"/>
              <w:ind w:left="124"/>
              <w:rPr>
                <w:sz w:val="22"/>
              </w:rPr>
            </w:pPr>
            <w:r>
              <w:rPr>
                <w:sz w:val="22"/>
              </w:rPr>
              <w:t>review</w:t>
            </w:r>
            <w:r>
              <w:rPr>
                <w:spacing w:val="-2"/>
                <w:sz w:val="22"/>
              </w:rPr>
              <w:t> </w:t>
            </w:r>
            <w:r>
              <w:rPr>
                <w:sz w:val="22"/>
              </w:rPr>
              <w:t>and</w:t>
            </w:r>
            <w:r>
              <w:rPr>
                <w:spacing w:val="-3"/>
                <w:sz w:val="22"/>
              </w:rPr>
              <w:t> </w:t>
            </w:r>
            <w:r>
              <w:rPr>
                <w:spacing w:val="-2"/>
                <w:sz w:val="22"/>
              </w:rPr>
              <w:t>reporting</w:t>
            </w:r>
          </w:p>
        </w:tc>
        <w:tc>
          <w:tcPr>
            <w:tcW w:w="984" w:type="dxa"/>
            <w:tcBorders>
              <w:bottom w:val="single" w:sz="8" w:space="0" w:color="4F81BC"/>
            </w:tcBorders>
          </w:tcPr>
          <w:p>
            <w:pPr>
              <w:pStyle w:val="TableParagraph"/>
              <w:spacing w:line="247" w:lineRule="exact"/>
              <w:ind w:left="109"/>
              <w:rPr>
                <w:sz w:val="22"/>
              </w:rPr>
            </w:pPr>
            <w:r>
              <w:rPr>
                <w:spacing w:val="-5"/>
                <w:sz w:val="22"/>
              </w:rPr>
              <w:t>18</w:t>
            </w:r>
          </w:p>
        </w:tc>
        <w:tc>
          <w:tcPr>
            <w:tcW w:w="788" w:type="dxa"/>
            <w:tcBorders>
              <w:bottom w:val="single" w:sz="8" w:space="0" w:color="4F81BC"/>
            </w:tcBorders>
          </w:tcPr>
          <w:p>
            <w:pPr>
              <w:pStyle w:val="TableParagraph"/>
              <w:spacing w:line="247" w:lineRule="exact"/>
              <w:ind w:left="116"/>
              <w:rPr>
                <w:sz w:val="22"/>
              </w:rPr>
            </w:pPr>
            <w:r>
              <w:rPr>
                <w:spacing w:val="-10"/>
                <w:sz w:val="22"/>
              </w:rPr>
              <w:t>9</w:t>
            </w:r>
          </w:p>
        </w:tc>
        <w:tc>
          <w:tcPr>
            <w:tcW w:w="1056" w:type="dxa"/>
            <w:tcBorders>
              <w:bottom w:val="single" w:sz="8" w:space="0" w:color="4F81BC"/>
            </w:tcBorders>
          </w:tcPr>
          <w:p>
            <w:pPr>
              <w:pStyle w:val="TableParagraph"/>
              <w:spacing w:line="247" w:lineRule="exact"/>
              <w:ind w:left="138"/>
              <w:rPr>
                <w:sz w:val="22"/>
              </w:rPr>
            </w:pPr>
            <w:r>
              <w:rPr>
                <w:spacing w:val="-5"/>
                <w:sz w:val="22"/>
              </w:rPr>
              <w:t>27</w:t>
            </w:r>
          </w:p>
        </w:tc>
        <w:tc>
          <w:tcPr>
            <w:tcW w:w="1055" w:type="dxa"/>
            <w:tcBorders>
              <w:bottom w:val="single" w:sz="8" w:space="0" w:color="4F81BC"/>
            </w:tcBorders>
          </w:tcPr>
          <w:p>
            <w:pPr>
              <w:pStyle w:val="TableParagraph"/>
              <w:spacing w:line="247" w:lineRule="exact"/>
              <w:ind w:left="162"/>
              <w:rPr>
                <w:sz w:val="22"/>
              </w:rPr>
            </w:pPr>
            <w:r>
              <w:rPr>
                <w:spacing w:val="-5"/>
                <w:sz w:val="22"/>
              </w:rPr>
              <w:t>17</w:t>
            </w:r>
          </w:p>
        </w:tc>
        <w:tc>
          <w:tcPr>
            <w:tcW w:w="716" w:type="dxa"/>
            <w:tcBorders>
              <w:bottom w:val="single" w:sz="8" w:space="0" w:color="4F81BC"/>
            </w:tcBorders>
          </w:tcPr>
          <w:p>
            <w:pPr>
              <w:pStyle w:val="TableParagraph"/>
              <w:spacing w:line="247" w:lineRule="exact"/>
              <w:ind w:left="115"/>
              <w:rPr>
                <w:sz w:val="22"/>
              </w:rPr>
            </w:pPr>
            <w:r>
              <w:rPr>
                <w:spacing w:val="-5"/>
                <w:sz w:val="22"/>
              </w:rPr>
              <w:t>85</w:t>
            </w:r>
          </w:p>
        </w:tc>
        <w:tc>
          <w:tcPr>
            <w:tcW w:w="773" w:type="dxa"/>
            <w:tcBorders>
              <w:bottom w:val="single" w:sz="8" w:space="0" w:color="4F81BC"/>
            </w:tcBorders>
          </w:tcPr>
          <w:p>
            <w:pPr>
              <w:pStyle w:val="TableParagraph"/>
              <w:spacing w:line="247" w:lineRule="exact"/>
              <w:ind w:left="119"/>
              <w:rPr>
                <w:sz w:val="22"/>
              </w:rPr>
            </w:pPr>
            <w:r>
              <w:rPr>
                <w:spacing w:val="-4"/>
                <w:sz w:val="22"/>
              </w:rPr>
              <w:t>2.09</w:t>
            </w:r>
          </w:p>
        </w:tc>
        <w:tc>
          <w:tcPr>
            <w:tcW w:w="857" w:type="dxa"/>
            <w:tcBorders>
              <w:bottom w:val="single" w:sz="8" w:space="0" w:color="4F81BC"/>
            </w:tcBorders>
          </w:tcPr>
          <w:p>
            <w:pPr>
              <w:pStyle w:val="TableParagraph"/>
              <w:spacing w:line="247" w:lineRule="exact"/>
              <w:ind w:left="157"/>
              <w:rPr>
                <w:sz w:val="22"/>
              </w:rPr>
            </w:pPr>
            <w:r>
              <w:rPr>
                <w:spacing w:val="-10"/>
                <w:sz w:val="22"/>
              </w:rPr>
              <w:t>6</w:t>
            </w:r>
          </w:p>
        </w:tc>
      </w:tr>
    </w:tbl>
    <w:p>
      <w:pPr>
        <w:pStyle w:val="BodyText"/>
        <w:ind w:left="240"/>
        <w:jc w:val="both"/>
      </w:pPr>
      <w:r>
        <w:rPr>
          <w:b/>
        </w:rPr>
        <w:t>Source:</w:t>
      </w:r>
      <w:r>
        <w:rPr>
          <w:b/>
          <w:spacing w:val="-2"/>
        </w:rPr>
        <w:t> </w:t>
      </w:r>
      <w:r>
        <w:rPr/>
        <w:t>Researcher‘s field</w:t>
      </w:r>
      <w:r>
        <w:rPr>
          <w:spacing w:val="-1"/>
        </w:rPr>
        <w:t> </w:t>
      </w:r>
      <w:r>
        <w:rPr/>
        <w:t>survey</w:t>
      </w:r>
      <w:r>
        <w:rPr>
          <w:spacing w:val="-1"/>
        </w:rPr>
        <w:t> </w:t>
      </w:r>
      <w:r>
        <w:rPr>
          <w:spacing w:val="-2"/>
        </w:rPr>
        <w:t>(2017)</w:t>
      </w:r>
    </w:p>
    <w:p>
      <w:pPr>
        <w:pStyle w:val="BodyText"/>
        <w:spacing w:before="275"/>
      </w:pPr>
    </w:p>
    <w:p>
      <w:pPr>
        <w:pStyle w:val="BodyText"/>
        <w:spacing w:line="360" w:lineRule="auto"/>
        <w:ind w:left="240" w:right="835"/>
        <w:jc w:val="both"/>
      </w:pPr>
      <w:r>
        <w:rPr/>
        <w:t>Table 5.11 shows the views of the respondents and ranking of the roles of the QS in the housing budget process</w:t>
      </w:r>
      <w:r>
        <w:rPr>
          <w:color w:val="FF0000"/>
        </w:rPr>
        <w:t>. </w:t>
      </w:r>
      <w:r>
        <w:rPr/>
        <w:t>The eight (8) roles were</w:t>
      </w:r>
      <w:r>
        <w:rPr>
          <w:spacing w:val="-1"/>
        </w:rPr>
        <w:t> </w:t>
      </w:r>
      <w:r>
        <w:rPr/>
        <w:t>identified from literature and comprise the key</w:t>
      </w:r>
      <w:r>
        <w:rPr>
          <w:spacing w:val="-4"/>
        </w:rPr>
        <w:t> </w:t>
      </w:r>
      <w:r>
        <w:rPr/>
        <w:t>stages of the life cycle of the housing budget</w:t>
      </w:r>
      <w:r>
        <w:rPr>
          <w:color w:val="FF0000"/>
        </w:rPr>
        <w:t>. </w:t>
      </w:r>
      <w:r>
        <w:rPr/>
        <w:t>Result show that preparation of the housing budget estimates/proposal and tendering ranks first with mean scores of 4.29 each, while establishing housing budget ceilings ranked 7th with a mean score of</w:t>
      </w:r>
      <w:r>
        <w:rPr>
          <w:spacing w:val="40"/>
        </w:rPr>
        <w:t> </w:t>
      </w:r>
      <w:r>
        <w:rPr/>
        <w:t>1.72. Other roles such as budget planning and formulation (3.62), monitoring and evaluation of budget or project implementation/execution (3.56), evaluation and approval of budget proposals(3.46), monitoring of budget expenditure(2.74), housing budget performance review and reporting(2.09) ranked</w:t>
      </w:r>
      <w:r>
        <w:rPr>
          <w:spacing w:val="40"/>
        </w:rPr>
        <w:t> </w:t>
      </w:r>
      <w:r>
        <w:rPr/>
        <w:t>2nd, 3rd, 4th, 5th and 6th respectively.</w:t>
      </w:r>
    </w:p>
    <w:p>
      <w:pPr>
        <w:pStyle w:val="BodyText"/>
        <w:spacing w:before="138"/>
      </w:pPr>
    </w:p>
    <w:p>
      <w:pPr>
        <w:pStyle w:val="BodyText"/>
        <w:spacing w:line="360" w:lineRule="auto" w:before="1"/>
        <w:ind w:left="240" w:right="836"/>
        <w:jc w:val="both"/>
      </w:pPr>
      <w:r>
        <w:rPr/>
        <w:t>The above results reflect the current scenario of housing budget practice in Anambra State,</w:t>
      </w:r>
      <w:r>
        <w:rPr>
          <w:spacing w:val="40"/>
        </w:rPr>
        <w:t> </w:t>
      </w:r>
      <w:r>
        <w:rPr/>
        <w:t>where Quantity Surveyors are relegated to preparation, tendering and monitoring of housing project execution, while sidelined in the actual decision making processes of the housing budget such as</w:t>
      </w:r>
      <w:r>
        <w:rPr>
          <w:spacing w:val="3"/>
        </w:rPr>
        <w:t> </w:t>
      </w:r>
      <w:r>
        <w:rPr/>
        <w:t>approval</w:t>
      </w:r>
      <w:r>
        <w:rPr>
          <w:spacing w:val="5"/>
        </w:rPr>
        <w:t> </w:t>
      </w:r>
      <w:r>
        <w:rPr/>
        <w:t>of</w:t>
      </w:r>
      <w:r>
        <w:rPr>
          <w:spacing w:val="5"/>
        </w:rPr>
        <w:t> </w:t>
      </w:r>
      <w:r>
        <w:rPr/>
        <w:t>budget</w:t>
      </w:r>
      <w:r>
        <w:rPr>
          <w:spacing w:val="5"/>
        </w:rPr>
        <w:t> </w:t>
      </w:r>
      <w:r>
        <w:rPr/>
        <w:t>proposals,</w:t>
      </w:r>
      <w:r>
        <w:rPr>
          <w:spacing w:val="4"/>
        </w:rPr>
        <w:t> </w:t>
      </w:r>
      <w:r>
        <w:rPr/>
        <w:t>establishing</w:t>
      </w:r>
      <w:r>
        <w:rPr>
          <w:spacing w:val="4"/>
        </w:rPr>
        <w:t> </w:t>
      </w:r>
      <w:r>
        <w:rPr/>
        <w:t>the</w:t>
      </w:r>
      <w:r>
        <w:rPr>
          <w:spacing w:val="3"/>
        </w:rPr>
        <w:t> </w:t>
      </w:r>
      <w:r>
        <w:rPr/>
        <w:t>budget</w:t>
      </w:r>
      <w:r>
        <w:rPr>
          <w:spacing w:val="5"/>
        </w:rPr>
        <w:t> </w:t>
      </w:r>
      <w:r>
        <w:rPr/>
        <w:t>ceilings</w:t>
      </w:r>
      <w:r>
        <w:rPr>
          <w:spacing w:val="12"/>
        </w:rPr>
        <w:t> </w:t>
      </w:r>
      <w:r>
        <w:rPr/>
        <w:t>and</w:t>
      </w:r>
      <w:r>
        <w:rPr>
          <w:spacing w:val="7"/>
        </w:rPr>
        <w:t> </w:t>
      </w:r>
      <w:r>
        <w:rPr/>
        <w:t>monitoring</w:t>
      </w:r>
      <w:r>
        <w:rPr>
          <w:spacing w:val="1"/>
        </w:rPr>
        <w:t> </w:t>
      </w:r>
      <w:r>
        <w:rPr/>
        <w:t>the</w:t>
      </w:r>
      <w:r>
        <w:rPr>
          <w:spacing w:val="4"/>
        </w:rPr>
        <w:t> </w:t>
      </w:r>
      <w:r>
        <w:rPr>
          <w:spacing w:val="-2"/>
        </w:rPr>
        <w:t>budget</w:t>
      </w:r>
    </w:p>
    <w:p>
      <w:pPr>
        <w:spacing w:after="0" w:line="360" w:lineRule="auto"/>
        <w:jc w:val="both"/>
        <w:sectPr>
          <w:pgSz w:w="12240" w:h="15840"/>
          <w:pgMar w:header="0" w:footer="1036" w:top="1360" w:bottom="1220" w:left="1200" w:right="600"/>
        </w:sectPr>
      </w:pPr>
    </w:p>
    <w:p>
      <w:pPr>
        <w:pStyle w:val="BodyText"/>
        <w:spacing w:line="360" w:lineRule="auto" w:before="74"/>
        <w:ind w:left="240" w:right="834"/>
        <w:jc w:val="both"/>
      </w:pPr>
      <w:r>
        <w:rPr/>
        <w:t>expenditure. These duties are usually handled by economists with the Ministry of Economic Planning and Budget, the Accountants at the Ministry of Finance and the politicians at the State Executive Council and legislature. The low ranking of performance review and reporting</w:t>
      </w:r>
      <w:r>
        <w:rPr>
          <w:spacing w:val="-1"/>
        </w:rPr>
        <w:t> </w:t>
      </w:r>
      <w:r>
        <w:rPr/>
        <w:t>is quite understandable since the role is considered new and as such unfamiliar to public sector staff of Anambra State. These indicate that there is need for more involvement of the QS in the housing budget process of Anambra State.</w:t>
      </w:r>
    </w:p>
    <w:p>
      <w:pPr>
        <w:pStyle w:val="BodyText"/>
        <w:spacing w:before="188"/>
      </w:pPr>
    </w:p>
    <w:p>
      <w:pPr>
        <w:pStyle w:val="Heading4"/>
        <w:numPr>
          <w:ilvl w:val="2"/>
          <w:numId w:val="87"/>
        </w:numPr>
        <w:tabs>
          <w:tab w:pos="786" w:val="left" w:leader="none"/>
          <w:tab w:pos="871" w:val="left" w:leader="none"/>
        </w:tabs>
        <w:spacing w:line="240" w:lineRule="auto" w:before="0" w:after="0"/>
        <w:ind w:left="871" w:right="839" w:hanging="632"/>
        <w:jc w:val="both"/>
      </w:pPr>
      <w:r>
        <w:rPr/>
        <w:t>Analysis of Responses on Adequacy and Regularity of Funding from Annual Housing Budget</w:t>
      </w:r>
      <w:r>
        <w:rPr>
          <w:spacing w:val="-1"/>
        </w:rPr>
        <w:t> </w:t>
      </w:r>
      <w:r>
        <w:rPr/>
        <w:t>Allocation, Financial Support</w:t>
      </w:r>
      <w:r>
        <w:rPr>
          <w:spacing w:val="-3"/>
        </w:rPr>
        <w:t> </w:t>
      </w:r>
      <w:r>
        <w:rPr/>
        <w:t>for the</w:t>
      </w:r>
      <w:r>
        <w:rPr>
          <w:spacing w:val="-1"/>
        </w:rPr>
        <w:t> </w:t>
      </w:r>
      <w:r>
        <w:rPr/>
        <w:t>Housing</w:t>
      </w:r>
      <w:r>
        <w:rPr>
          <w:spacing w:val="-2"/>
        </w:rPr>
        <w:t> </w:t>
      </w:r>
      <w:r>
        <w:rPr/>
        <w:t>Corporation, major</w:t>
      </w:r>
      <w:r>
        <w:rPr>
          <w:spacing w:val="-2"/>
        </w:rPr>
        <w:t> </w:t>
      </w:r>
      <w:r>
        <w:rPr/>
        <w:t>Sources of Funding for Housing Projects and</w:t>
      </w:r>
      <w:r>
        <w:rPr>
          <w:spacing w:val="40"/>
        </w:rPr>
        <w:t> </w:t>
      </w:r>
      <w:r>
        <w:rPr/>
        <w:t>Capabilities of Housing Budget Professionals</w:t>
      </w:r>
    </w:p>
    <w:p>
      <w:pPr>
        <w:pStyle w:val="BodyText"/>
        <w:spacing w:line="360" w:lineRule="auto" w:before="274"/>
        <w:ind w:left="240" w:right="835"/>
        <w:jc w:val="both"/>
      </w:pPr>
      <w:r>
        <w:rPr/>
        <w:t>This sub-section attempts to establish, via respondents‘ opinions, first; how adequate the amount allocated for housing in the Anambra State annual budget is (this will also be corroborated or disproved empirically during</w:t>
      </w:r>
      <w:r>
        <w:rPr>
          <w:spacing w:val="40"/>
        </w:rPr>
        <w:t> </w:t>
      </w:r>
      <w:r>
        <w:rPr/>
        <w:t>the analysis of the annual budget), second;</w:t>
      </w:r>
      <w:r>
        <w:rPr>
          <w:spacing w:val="40"/>
        </w:rPr>
        <w:t> </w:t>
      </w:r>
      <w:r>
        <w:rPr/>
        <w:t>how regular funds are released from the Government coffers for housing projects/budget implementation after the budget has been approved, third; how often funds are made available from the budget to the Housing</w:t>
      </w:r>
      <w:r>
        <w:rPr>
          <w:spacing w:val="-2"/>
        </w:rPr>
        <w:t> </w:t>
      </w:r>
      <w:r>
        <w:rPr/>
        <w:t>Corporation</w:t>
      </w:r>
      <w:r>
        <w:rPr>
          <w:spacing w:val="-1"/>
        </w:rPr>
        <w:t> </w:t>
      </w:r>
      <w:r>
        <w:rPr/>
        <w:t>to</w:t>
      </w:r>
      <w:r>
        <w:rPr>
          <w:spacing w:val="-1"/>
        </w:rPr>
        <w:t> </w:t>
      </w:r>
      <w:r>
        <w:rPr/>
        <w:t>support</w:t>
      </w:r>
      <w:r>
        <w:rPr>
          <w:spacing w:val="40"/>
        </w:rPr>
        <w:t> </w:t>
      </w:r>
      <w:r>
        <w:rPr/>
        <w:t>vital</w:t>
      </w:r>
      <w:r>
        <w:rPr>
          <w:spacing w:val="-1"/>
        </w:rPr>
        <w:t> </w:t>
      </w:r>
      <w:r>
        <w:rPr/>
        <w:t>housing</w:t>
      </w:r>
      <w:r>
        <w:rPr>
          <w:spacing w:val="-3"/>
        </w:rPr>
        <w:t> </w:t>
      </w:r>
      <w:r>
        <w:rPr/>
        <w:t>infrastructure,</w:t>
      </w:r>
      <w:r>
        <w:rPr>
          <w:spacing w:val="-1"/>
        </w:rPr>
        <w:t> </w:t>
      </w:r>
      <w:r>
        <w:rPr/>
        <w:t>fourth,</w:t>
      </w:r>
      <w:r>
        <w:rPr>
          <w:spacing w:val="40"/>
        </w:rPr>
        <w:t> </w:t>
      </w:r>
      <w:r>
        <w:rPr/>
        <w:t>the</w:t>
      </w:r>
      <w:r>
        <w:rPr>
          <w:spacing w:val="-2"/>
        </w:rPr>
        <w:t> </w:t>
      </w:r>
      <w:r>
        <w:rPr/>
        <w:t>major</w:t>
      </w:r>
      <w:r>
        <w:rPr>
          <w:spacing w:val="-2"/>
        </w:rPr>
        <w:t> </w:t>
      </w:r>
      <w:r>
        <w:rPr/>
        <w:t>sources</w:t>
      </w:r>
      <w:r>
        <w:rPr>
          <w:spacing w:val="-1"/>
        </w:rPr>
        <w:t> </w:t>
      </w:r>
      <w:r>
        <w:rPr/>
        <w:t>of</w:t>
      </w:r>
      <w:r>
        <w:rPr>
          <w:spacing w:val="-2"/>
        </w:rPr>
        <w:t> </w:t>
      </w:r>
      <w:r>
        <w:rPr/>
        <w:t>budget funding for housing projects and lastly, the most capable or suitable professional to handle housing budget issues. The foregoing is with a view to assessing (i) if housing development is a priority of the Anambra State Government in comparison with other sectors (ii) how committed the Government is in not just implementing the housing budget or providing housing, but implementing it speedily (iii) the commitment of the Government is providing affordable</w:t>
      </w:r>
      <w:r>
        <w:rPr>
          <w:spacing w:val="40"/>
        </w:rPr>
        <w:t> </w:t>
      </w:r>
      <w:r>
        <w:rPr/>
        <w:t>housing</w:t>
      </w:r>
      <w:r>
        <w:rPr>
          <w:spacing w:val="-5"/>
        </w:rPr>
        <w:t> </w:t>
      </w:r>
      <w:r>
        <w:rPr/>
        <w:t>and (iv) if</w:t>
      </w:r>
      <w:r>
        <w:rPr>
          <w:spacing w:val="-2"/>
        </w:rPr>
        <w:t> </w:t>
      </w:r>
      <w:r>
        <w:rPr/>
        <w:t>there</w:t>
      </w:r>
      <w:r>
        <w:rPr>
          <w:spacing w:val="-4"/>
        </w:rPr>
        <w:t> </w:t>
      </w:r>
      <w:r>
        <w:rPr/>
        <w:t>is</w:t>
      </w:r>
      <w:r>
        <w:rPr>
          <w:spacing w:val="-2"/>
        </w:rPr>
        <w:t> </w:t>
      </w:r>
      <w:r>
        <w:rPr/>
        <w:t>a</w:t>
      </w:r>
      <w:r>
        <w:rPr>
          <w:spacing w:val="-2"/>
        </w:rPr>
        <w:t> </w:t>
      </w:r>
      <w:r>
        <w:rPr/>
        <w:t>need</w:t>
      </w:r>
      <w:r>
        <w:rPr>
          <w:spacing w:val="-2"/>
        </w:rPr>
        <w:t> </w:t>
      </w:r>
      <w:r>
        <w:rPr/>
        <w:t>for</w:t>
      </w:r>
      <w:r>
        <w:rPr>
          <w:spacing w:val="-2"/>
        </w:rPr>
        <w:t> </w:t>
      </w:r>
      <w:r>
        <w:rPr/>
        <w:t>the</w:t>
      </w:r>
      <w:r>
        <w:rPr>
          <w:spacing w:val="-2"/>
        </w:rPr>
        <w:t> </w:t>
      </w:r>
      <w:r>
        <w:rPr/>
        <w:t>Government to</w:t>
      </w:r>
      <w:r>
        <w:rPr>
          <w:spacing w:val="-2"/>
        </w:rPr>
        <w:t> </w:t>
      </w:r>
      <w:r>
        <w:rPr/>
        <w:t>pursue</w:t>
      </w:r>
      <w:r>
        <w:rPr>
          <w:spacing w:val="-2"/>
        </w:rPr>
        <w:t> </w:t>
      </w:r>
      <w:r>
        <w:rPr/>
        <w:t>other</w:t>
      </w:r>
      <w:r>
        <w:rPr>
          <w:spacing w:val="-2"/>
        </w:rPr>
        <w:t> </w:t>
      </w:r>
      <w:r>
        <w:rPr/>
        <w:t>sources</w:t>
      </w:r>
      <w:r>
        <w:rPr>
          <w:spacing w:val="-2"/>
        </w:rPr>
        <w:t> </w:t>
      </w:r>
      <w:r>
        <w:rPr/>
        <w:t>of</w:t>
      </w:r>
      <w:r>
        <w:rPr>
          <w:spacing w:val="-1"/>
        </w:rPr>
        <w:t> </w:t>
      </w:r>
      <w:r>
        <w:rPr/>
        <w:t>funding</w:t>
      </w:r>
      <w:r>
        <w:rPr>
          <w:spacing w:val="-2"/>
        </w:rPr>
        <w:t> </w:t>
      </w:r>
      <w:r>
        <w:rPr/>
        <w:t>to</w:t>
      </w:r>
      <w:r>
        <w:rPr>
          <w:spacing w:val="-2"/>
        </w:rPr>
        <w:t> </w:t>
      </w:r>
      <w:r>
        <w:rPr/>
        <w:t>boost housing provision and (v) if there is need for more involvement of a housing development cost professional such as the QS in housing budget processes.</w:t>
      </w:r>
    </w:p>
    <w:p>
      <w:pPr>
        <w:pStyle w:val="BodyText"/>
        <w:spacing w:before="138"/>
      </w:pPr>
    </w:p>
    <w:p>
      <w:pPr>
        <w:pStyle w:val="BodyText"/>
        <w:spacing w:line="360" w:lineRule="auto"/>
        <w:ind w:left="240" w:right="840"/>
        <w:jc w:val="both"/>
      </w:pPr>
      <w:r>
        <w:rPr/>
        <w:t>To assess the responses on the afore-mentioned housing budget issues, the percentage for each response was obtained based on the number of responses received for each variable. The responses to the questions are presented and analyzed as shown in Table 5.12.</w:t>
      </w:r>
    </w:p>
    <w:p>
      <w:pPr>
        <w:spacing w:after="0" w:line="360" w:lineRule="auto"/>
        <w:jc w:val="both"/>
        <w:sectPr>
          <w:pgSz w:w="12240" w:h="15840"/>
          <w:pgMar w:header="0" w:footer="1036" w:top="1360" w:bottom="1220" w:left="1200" w:right="600"/>
        </w:sectPr>
      </w:pPr>
    </w:p>
    <w:p>
      <w:pPr>
        <w:pStyle w:val="Heading4"/>
        <w:spacing w:before="76"/>
        <w:ind w:right="834"/>
      </w:pPr>
      <w:r>
        <w:rPr/>
        <w:t>Table 5.12. Opinion of Respondents on Adequacy and Regularity of Funding from Annual Housing Budget, Financial Support for the Housing Corporation, major Sources of Funding for Housing Projects and Capabilities of Housing Budget Professionals</w:t>
      </w:r>
    </w:p>
    <w:p>
      <w:pPr>
        <w:pStyle w:val="BodyText"/>
        <w:spacing w:before="36"/>
        <w:rPr>
          <w:b/>
          <w:sz w:val="20"/>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67"/>
        <w:gridCol w:w="2849"/>
        <w:gridCol w:w="2027"/>
        <w:gridCol w:w="1445"/>
      </w:tblGrid>
      <w:tr>
        <w:trPr>
          <w:trHeight w:val="507" w:hRule="atLeast"/>
        </w:trPr>
        <w:tc>
          <w:tcPr>
            <w:tcW w:w="2967" w:type="dxa"/>
            <w:tcBorders>
              <w:top w:val="single" w:sz="8" w:space="0" w:color="000000"/>
              <w:bottom w:val="single" w:sz="8" w:space="0" w:color="000000"/>
            </w:tcBorders>
          </w:tcPr>
          <w:p>
            <w:pPr>
              <w:pStyle w:val="TableParagraph"/>
              <w:spacing w:line="275" w:lineRule="exact"/>
              <w:ind w:left="122"/>
              <w:rPr>
                <w:b/>
                <w:sz w:val="24"/>
              </w:rPr>
            </w:pPr>
            <w:r>
              <w:rPr>
                <w:b/>
                <w:sz w:val="24"/>
              </w:rPr>
              <w:t>Questionnaire</w:t>
            </w:r>
            <w:r>
              <w:rPr>
                <w:b/>
                <w:spacing w:val="-2"/>
                <w:sz w:val="24"/>
              </w:rPr>
              <w:t> </w:t>
            </w:r>
            <w:r>
              <w:rPr>
                <w:b/>
                <w:spacing w:val="-4"/>
                <w:sz w:val="24"/>
              </w:rPr>
              <w:t>Item</w:t>
            </w:r>
          </w:p>
        </w:tc>
        <w:tc>
          <w:tcPr>
            <w:tcW w:w="2849" w:type="dxa"/>
            <w:tcBorders>
              <w:top w:val="single" w:sz="8" w:space="0" w:color="000000"/>
              <w:bottom w:val="single" w:sz="8" w:space="0" w:color="000000"/>
            </w:tcBorders>
          </w:tcPr>
          <w:p>
            <w:pPr>
              <w:pStyle w:val="TableParagraph"/>
              <w:spacing w:line="275" w:lineRule="exact"/>
              <w:ind w:left="127"/>
              <w:rPr>
                <w:b/>
                <w:sz w:val="24"/>
              </w:rPr>
            </w:pPr>
            <w:r>
              <w:rPr>
                <w:b/>
                <w:spacing w:val="-2"/>
                <w:sz w:val="24"/>
              </w:rPr>
              <w:t>Variables</w:t>
            </w:r>
          </w:p>
        </w:tc>
        <w:tc>
          <w:tcPr>
            <w:tcW w:w="2027" w:type="dxa"/>
            <w:tcBorders>
              <w:top w:val="single" w:sz="8" w:space="0" w:color="000000"/>
              <w:bottom w:val="single" w:sz="8" w:space="0" w:color="000000"/>
            </w:tcBorders>
          </w:tcPr>
          <w:p>
            <w:pPr>
              <w:pStyle w:val="TableParagraph"/>
              <w:spacing w:line="275" w:lineRule="exact"/>
              <w:ind w:left="247"/>
              <w:rPr>
                <w:b/>
                <w:sz w:val="24"/>
              </w:rPr>
            </w:pPr>
            <w:r>
              <w:rPr>
                <w:b/>
                <w:sz w:val="24"/>
              </w:rPr>
              <w:t>No of </w:t>
            </w:r>
            <w:r>
              <w:rPr>
                <w:b/>
                <w:spacing w:val="-2"/>
                <w:sz w:val="24"/>
              </w:rPr>
              <w:t>Responses</w:t>
            </w:r>
          </w:p>
        </w:tc>
        <w:tc>
          <w:tcPr>
            <w:tcW w:w="1445" w:type="dxa"/>
            <w:tcBorders>
              <w:top w:val="single" w:sz="8" w:space="0" w:color="000000"/>
              <w:bottom w:val="single" w:sz="8" w:space="0" w:color="000000"/>
            </w:tcBorders>
          </w:tcPr>
          <w:p>
            <w:pPr>
              <w:pStyle w:val="TableParagraph"/>
              <w:spacing w:line="252" w:lineRule="exact"/>
              <w:ind w:left="112"/>
              <w:rPr>
                <w:b/>
                <w:sz w:val="22"/>
              </w:rPr>
            </w:pPr>
            <w:r>
              <w:rPr>
                <w:b/>
                <w:spacing w:val="-2"/>
                <w:sz w:val="22"/>
              </w:rPr>
              <w:t>Percentages </w:t>
            </w:r>
            <w:r>
              <w:rPr>
                <w:b/>
                <w:spacing w:val="-4"/>
                <w:sz w:val="22"/>
              </w:rPr>
              <w:t>(%)</w:t>
            </w:r>
          </w:p>
        </w:tc>
      </w:tr>
      <w:tr>
        <w:trPr>
          <w:trHeight w:val="252" w:hRule="atLeast"/>
        </w:trPr>
        <w:tc>
          <w:tcPr>
            <w:tcW w:w="2967" w:type="dxa"/>
            <w:tcBorders>
              <w:top w:val="single" w:sz="8" w:space="0" w:color="000000"/>
            </w:tcBorders>
            <w:shd w:val="clear" w:color="auto" w:fill="C0C0C0"/>
          </w:tcPr>
          <w:p>
            <w:pPr>
              <w:pStyle w:val="TableParagraph"/>
              <w:spacing w:line="233" w:lineRule="exact"/>
              <w:ind w:left="122"/>
              <w:rPr>
                <w:b/>
                <w:sz w:val="22"/>
              </w:rPr>
            </w:pPr>
            <w:r>
              <w:rPr>
                <w:b/>
                <w:sz w:val="22"/>
              </w:rPr>
              <w:t>How</w:t>
            </w:r>
            <w:r>
              <w:rPr>
                <w:b/>
                <w:spacing w:val="41"/>
                <w:sz w:val="22"/>
              </w:rPr>
              <w:t>  </w:t>
            </w:r>
            <w:r>
              <w:rPr>
                <w:b/>
                <w:sz w:val="22"/>
              </w:rPr>
              <w:t>will</w:t>
            </w:r>
            <w:r>
              <w:rPr>
                <w:b/>
                <w:spacing w:val="42"/>
                <w:sz w:val="22"/>
              </w:rPr>
              <w:t>  </w:t>
            </w:r>
            <w:r>
              <w:rPr>
                <w:b/>
                <w:sz w:val="22"/>
              </w:rPr>
              <w:t>you</w:t>
            </w:r>
            <w:r>
              <w:rPr>
                <w:b/>
                <w:spacing w:val="42"/>
                <w:sz w:val="22"/>
              </w:rPr>
              <w:t>  </w:t>
            </w:r>
            <w:r>
              <w:rPr>
                <w:b/>
                <w:sz w:val="22"/>
              </w:rPr>
              <w:t>assess</w:t>
            </w:r>
            <w:r>
              <w:rPr>
                <w:b/>
                <w:spacing w:val="42"/>
                <w:sz w:val="22"/>
              </w:rPr>
              <w:t>  </w:t>
            </w:r>
            <w:r>
              <w:rPr>
                <w:b/>
                <w:spacing w:val="-5"/>
                <w:sz w:val="22"/>
              </w:rPr>
              <w:t>the</w:t>
            </w:r>
          </w:p>
        </w:tc>
        <w:tc>
          <w:tcPr>
            <w:tcW w:w="2849" w:type="dxa"/>
            <w:tcBorders>
              <w:top w:val="single" w:sz="8" w:space="0" w:color="000000"/>
            </w:tcBorders>
            <w:shd w:val="clear" w:color="auto" w:fill="C0C0C0"/>
          </w:tcPr>
          <w:p>
            <w:pPr>
              <w:pStyle w:val="TableParagraph"/>
              <w:spacing w:line="233" w:lineRule="exact"/>
              <w:ind w:left="127"/>
              <w:rPr>
                <w:sz w:val="22"/>
              </w:rPr>
            </w:pPr>
            <w:r>
              <w:rPr>
                <w:sz w:val="22"/>
              </w:rPr>
              <w:t>(a)</w:t>
            </w:r>
            <w:r>
              <w:rPr>
                <w:spacing w:val="-3"/>
                <w:sz w:val="22"/>
              </w:rPr>
              <w:t> </w:t>
            </w:r>
            <w:r>
              <w:rPr>
                <w:sz w:val="22"/>
              </w:rPr>
              <w:t>Very</w:t>
            </w:r>
            <w:r>
              <w:rPr>
                <w:spacing w:val="-2"/>
                <w:sz w:val="22"/>
              </w:rPr>
              <w:t> adequate</w:t>
            </w:r>
          </w:p>
        </w:tc>
        <w:tc>
          <w:tcPr>
            <w:tcW w:w="2027" w:type="dxa"/>
            <w:tcBorders>
              <w:top w:val="single" w:sz="8" w:space="0" w:color="000000"/>
            </w:tcBorders>
            <w:shd w:val="clear" w:color="auto" w:fill="C0C0C0"/>
          </w:tcPr>
          <w:p>
            <w:pPr>
              <w:pStyle w:val="TableParagraph"/>
              <w:spacing w:line="233" w:lineRule="exact"/>
              <w:ind w:left="247"/>
              <w:rPr>
                <w:sz w:val="22"/>
              </w:rPr>
            </w:pPr>
            <w:r>
              <w:rPr>
                <w:spacing w:val="-10"/>
                <w:sz w:val="22"/>
              </w:rPr>
              <w:t>0</w:t>
            </w:r>
          </w:p>
        </w:tc>
        <w:tc>
          <w:tcPr>
            <w:tcW w:w="1445" w:type="dxa"/>
            <w:tcBorders>
              <w:top w:val="single" w:sz="8" w:space="0" w:color="000000"/>
            </w:tcBorders>
            <w:shd w:val="clear" w:color="auto" w:fill="C0C0C0"/>
          </w:tcPr>
          <w:p>
            <w:pPr>
              <w:pStyle w:val="TableParagraph"/>
              <w:spacing w:line="233" w:lineRule="exact"/>
              <w:ind w:left="222"/>
              <w:rPr>
                <w:sz w:val="22"/>
              </w:rPr>
            </w:pPr>
            <w:r>
              <w:rPr>
                <w:spacing w:val="-4"/>
                <w:sz w:val="22"/>
              </w:rPr>
              <w:t>0.00</w:t>
            </w:r>
          </w:p>
        </w:tc>
      </w:tr>
      <w:tr>
        <w:trPr>
          <w:trHeight w:val="253" w:hRule="atLeast"/>
        </w:trPr>
        <w:tc>
          <w:tcPr>
            <w:tcW w:w="2967" w:type="dxa"/>
            <w:shd w:val="clear" w:color="auto" w:fill="C0C0C0"/>
          </w:tcPr>
          <w:p>
            <w:pPr>
              <w:pStyle w:val="TableParagraph"/>
              <w:spacing w:line="233" w:lineRule="exact"/>
              <w:ind w:left="122"/>
              <w:rPr>
                <w:b/>
                <w:sz w:val="22"/>
              </w:rPr>
            </w:pPr>
            <w:r>
              <w:rPr>
                <w:b/>
                <w:sz w:val="22"/>
              </w:rPr>
              <w:t>adequacy</w:t>
            </w:r>
            <w:r>
              <w:rPr>
                <w:b/>
                <w:spacing w:val="69"/>
                <w:sz w:val="22"/>
              </w:rPr>
              <w:t> </w:t>
            </w:r>
            <w:r>
              <w:rPr>
                <w:b/>
                <w:sz w:val="22"/>
              </w:rPr>
              <w:t>of</w:t>
            </w:r>
            <w:r>
              <w:rPr>
                <w:b/>
                <w:spacing w:val="69"/>
                <w:sz w:val="22"/>
              </w:rPr>
              <w:t> </w:t>
            </w:r>
            <w:r>
              <w:rPr>
                <w:b/>
                <w:sz w:val="22"/>
              </w:rPr>
              <w:t>annual</w:t>
            </w:r>
            <w:r>
              <w:rPr>
                <w:b/>
                <w:spacing w:val="70"/>
                <w:sz w:val="22"/>
              </w:rPr>
              <w:t> </w:t>
            </w:r>
            <w:r>
              <w:rPr>
                <w:b/>
                <w:spacing w:val="-2"/>
                <w:sz w:val="22"/>
              </w:rPr>
              <w:t>budget</w:t>
            </w:r>
          </w:p>
        </w:tc>
        <w:tc>
          <w:tcPr>
            <w:tcW w:w="2849" w:type="dxa"/>
            <w:shd w:val="clear" w:color="auto" w:fill="C0C0C0"/>
          </w:tcPr>
          <w:p>
            <w:pPr>
              <w:pStyle w:val="TableParagraph"/>
              <w:spacing w:line="233" w:lineRule="exact"/>
              <w:ind w:left="127"/>
              <w:rPr>
                <w:sz w:val="22"/>
              </w:rPr>
            </w:pPr>
            <w:r>
              <w:rPr>
                <w:sz w:val="22"/>
              </w:rPr>
              <w:t>(b)</w:t>
            </w:r>
            <w:r>
              <w:rPr>
                <w:spacing w:val="1"/>
                <w:sz w:val="22"/>
              </w:rPr>
              <w:t> </w:t>
            </w:r>
            <w:r>
              <w:rPr>
                <w:spacing w:val="-2"/>
                <w:sz w:val="22"/>
              </w:rPr>
              <w:t>Adequate</w:t>
            </w:r>
          </w:p>
        </w:tc>
        <w:tc>
          <w:tcPr>
            <w:tcW w:w="2027" w:type="dxa"/>
            <w:shd w:val="clear" w:color="auto" w:fill="C0C0C0"/>
          </w:tcPr>
          <w:p>
            <w:pPr>
              <w:pStyle w:val="TableParagraph"/>
              <w:spacing w:line="233" w:lineRule="exact"/>
              <w:ind w:left="247"/>
              <w:rPr>
                <w:sz w:val="22"/>
              </w:rPr>
            </w:pPr>
            <w:r>
              <w:rPr>
                <w:spacing w:val="-10"/>
                <w:sz w:val="22"/>
              </w:rPr>
              <w:t>0</w:t>
            </w:r>
          </w:p>
        </w:tc>
        <w:tc>
          <w:tcPr>
            <w:tcW w:w="1445" w:type="dxa"/>
            <w:shd w:val="clear" w:color="auto" w:fill="C0C0C0"/>
          </w:tcPr>
          <w:p>
            <w:pPr>
              <w:pStyle w:val="TableParagraph"/>
              <w:spacing w:line="233" w:lineRule="exact"/>
              <w:ind w:left="222"/>
              <w:rPr>
                <w:sz w:val="22"/>
              </w:rPr>
            </w:pPr>
            <w:r>
              <w:rPr>
                <w:spacing w:val="-4"/>
                <w:sz w:val="22"/>
              </w:rPr>
              <w:t>0.00</w:t>
            </w:r>
          </w:p>
        </w:tc>
      </w:tr>
      <w:tr>
        <w:trPr>
          <w:trHeight w:val="253" w:hRule="atLeast"/>
        </w:trPr>
        <w:tc>
          <w:tcPr>
            <w:tcW w:w="2967" w:type="dxa"/>
            <w:shd w:val="clear" w:color="auto" w:fill="C0C0C0"/>
          </w:tcPr>
          <w:p>
            <w:pPr>
              <w:pStyle w:val="TableParagraph"/>
              <w:tabs>
                <w:tab w:pos="1252" w:val="left" w:leader="none"/>
                <w:tab w:pos="1748" w:val="left" w:leader="none"/>
                <w:tab w:pos="2690" w:val="left" w:leader="none"/>
              </w:tabs>
              <w:spacing w:line="233" w:lineRule="exact"/>
              <w:ind w:left="122"/>
              <w:rPr>
                <w:b/>
                <w:sz w:val="22"/>
              </w:rPr>
            </w:pPr>
            <w:r>
              <w:rPr>
                <w:b/>
                <w:spacing w:val="-2"/>
                <w:sz w:val="22"/>
              </w:rPr>
              <w:t>allocation</w:t>
            </w:r>
            <w:r>
              <w:rPr>
                <w:b/>
                <w:sz w:val="22"/>
              </w:rPr>
              <w:tab/>
            </w:r>
            <w:r>
              <w:rPr>
                <w:b/>
                <w:spacing w:val="-5"/>
                <w:sz w:val="22"/>
              </w:rPr>
              <w:t>for</w:t>
            </w:r>
            <w:r>
              <w:rPr>
                <w:b/>
                <w:sz w:val="22"/>
              </w:rPr>
              <w:tab/>
            </w:r>
            <w:r>
              <w:rPr>
                <w:b/>
                <w:spacing w:val="-2"/>
                <w:sz w:val="22"/>
              </w:rPr>
              <w:t>housing</w:t>
            </w:r>
            <w:r>
              <w:rPr>
                <w:b/>
                <w:sz w:val="22"/>
              </w:rPr>
              <w:tab/>
            </w:r>
            <w:r>
              <w:rPr>
                <w:b/>
                <w:spacing w:val="-5"/>
                <w:sz w:val="22"/>
              </w:rPr>
              <w:t>in</w:t>
            </w:r>
          </w:p>
        </w:tc>
        <w:tc>
          <w:tcPr>
            <w:tcW w:w="2849" w:type="dxa"/>
            <w:shd w:val="clear" w:color="auto" w:fill="C0C0C0"/>
          </w:tcPr>
          <w:p>
            <w:pPr>
              <w:pStyle w:val="TableParagraph"/>
              <w:spacing w:line="233" w:lineRule="exact"/>
              <w:ind w:left="127"/>
              <w:rPr>
                <w:sz w:val="22"/>
              </w:rPr>
            </w:pPr>
            <w:r>
              <w:rPr>
                <w:sz w:val="22"/>
              </w:rPr>
              <w:t>(c)</w:t>
            </w:r>
            <w:r>
              <w:rPr>
                <w:spacing w:val="1"/>
                <w:sz w:val="22"/>
              </w:rPr>
              <w:t> </w:t>
            </w:r>
            <w:r>
              <w:rPr>
                <w:spacing w:val="-2"/>
                <w:sz w:val="22"/>
              </w:rPr>
              <w:t>Inadequate</w:t>
            </w:r>
          </w:p>
        </w:tc>
        <w:tc>
          <w:tcPr>
            <w:tcW w:w="2027" w:type="dxa"/>
            <w:shd w:val="clear" w:color="auto" w:fill="C0C0C0"/>
          </w:tcPr>
          <w:p>
            <w:pPr>
              <w:pStyle w:val="TableParagraph"/>
              <w:spacing w:line="233" w:lineRule="exact"/>
              <w:ind w:left="247"/>
              <w:rPr>
                <w:sz w:val="22"/>
              </w:rPr>
            </w:pPr>
            <w:r>
              <w:rPr>
                <w:spacing w:val="-5"/>
                <w:sz w:val="22"/>
              </w:rPr>
              <w:t>31</w:t>
            </w:r>
          </w:p>
        </w:tc>
        <w:tc>
          <w:tcPr>
            <w:tcW w:w="1445" w:type="dxa"/>
            <w:shd w:val="clear" w:color="auto" w:fill="C0C0C0"/>
          </w:tcPr>
          <w:p>
            <w:pPr>
              <w:pStyle w:val="TableParagraph"/>
              <w:spacing w:line="233" w:lineRule="exact"/>
              <w:ind w:left="112"/>
              <w:rPr>
                <w:sz w:val="22"/>
              </w:rPr>
            </w:pPr>
            <w:r>
              <w:rPr>
                <w:spacing w:val="-2"/>
                <w:sz w:val="22"/>
              </w:rPr>
              <w:t>20.00</w:t>
            </w:r>
          </w:p>
        </w:tc>
      </w:tr>
      <w:tr>
        <w:trPr>
          <w:trHeight w:val="252" w:hRule="atLeast"/>
        </w:trPr>
        <w:tc>
          <w:tcPr>
            <w:tcW w:w="2967" w:type="dxa"/>
            <w:shd w:val="clear" w:color="auto" w:fill="C0C0C0"/>
          </w:tcPr>
          <w:p>
            <w:pPr>
              <w:pStyle w:val="TableParagraph"/>
              <w:spacing w:line="232" w:lineRule="exact"/>
              <w:ind w:left="122"/>
              <w:rPr>
                <w:b/>
                <w:sz w:val="22"/>
              </w:rPr>
            </w:pPr>
            <w:r>
              <w:rPr>
                <w:b/>
                <w:sz w:val="22"/>
              </w:rPr>
              <w:t>Anambra</w:t>
            </w:r>
            <w:r>
              <w:rPr>
                <w:b/>
                <w:spacing w:val="-2"/>
                <w:sz w:val="22"/>
              </w:rPr>
              <w:t> State?</w:t>
            </w:r>
          </w:p>
        </w:tc>
        <w:tc>
          <w:tcPr>
            <w:tcW w:w="2849" w:type="dxa"/>
            <w:shd w:val="clear" w:color="auto" w:fill="C0C0C0"/>
          </w:tcPr>
          <w:p>
            <w:pPr>
              <w:pStyle w:val="TableParagraph"/>
              <w:spacing w:line="232" w:lineRule="exact"/>
              <w:ind w:left="127"/>
              <w:rPr>
                <w:sz w:val="22"/>
              </w:rPr>
            </w:pPr>
            <w:r>
              <w:rPr>
                <w:sz w:val="22"/>
              </w:rPr>
              <w:t>(d)</w:t>
            </w:r>
            <w:r>
              <w:rPr>
                <w:spacing w:val="-3"/>
                <w:sz w:val="22"/>
              </w:rPr>
              <w:t> </w:t>
            </w:r>
            <w:r>
              <w:rPr>
                <w:sz w:val="22"/>
              </w:rPr>
              <w:t>Grossly</w:t>
            </w:r>
            <w:r>
              <w:rPr>
                <w:spacing w:val="-5"/>
                <w:sz w:val="22"/>
              </w:rPr>
              <w:t> </w:t>
            </w:r>
            <w:r>
              <w:rPr>
                <w:spacing w:val="-2"/>
                <w:sz w:val="22"/>
              </w:rPr>
              <w:t>inadequate</w:t>
            </w:r>
          </w:p>
        </w:tc>
        <w:tc>
          <w:tcPr>
            <w:tcW w:w="2027" w:type="dxa"/>
            <w:shd w:val="clear" w:color="auto" w:fill="C0C0C0"/>
          </w:tcPr>
          <w:p>
            <w:pPr>
              <w:pStyle w:val="TableParagraph"/>
              <w:spacing w:line="232" w:lineRule="exact"/>
              <w:ind w:left="247"/>
              <w:rPr>
                <w:sz w:val="22"/>
              </w:rPr>
            </w:pPr>
            <w:r>
              <w:rPr>
                <w:spacing w:val="-5"/>
                <w:sz w:val="22"/>
              </w:rPr>
              <w:t>109</w:t>
            </w:r>
          </w:p>
        </w:tc>
        <w:tc>
          <w:tcPr>
            <w:tcW w:w="1445" w:type="dxa"/>
            <w:shd w:val="clear" w:color="auto" w:fill="C0C0C0"/>
          </w:tcPr>
          <w:p>
            <w:pPr>
              <w:pStyle w:val="TableParagraph"/>
              <w:spacing w:line="232" w:lineRule="exact"/>
              <w:ind w:left="112"/>
              <w:rPr>
                <w:sz w:val="22"/>
              </w:rPr>
            </w:pPr>
            <w:r>
              <w:rPr>
                <w:spacing w:val="-2"/>
                <w:sz w:val="22"/>
              </w:rPr>
              <w:t>70.00</w:t>
            </w:r>
          </w:p>
        </w:tc>
      </w:tr>
      <w:tr>
        <w:trPr>
          <w:trHeight w:val="253" w:hRule="atLeast"/>
        </w:trPr>
        <w:tc>
          <w:tcPr>
            <w:tcW w:w="2967" w:type="dxa"/>
            <w:shd w:val="clear" w:color="auto" w:fill="C0C0C0"/>
          </w:tcPr>
          <w:p>
            <w:pPr>
              <w:pStyle w:val="TableParagraph"/>
              <w:rPr>
                <w:sz w:val="18"/>
              </w:rPr>
            </w:pPr>
          </w:p>
        </w:tc>
        <w:tc>
          <w:tcPr>
            <w:tcW w:w="2849" w:type="dxa"/>
            <w:shd w:val="clear" w:color="auto" w:fill="C0C0C0"/>
          </w:tcPr>
          <w:p>
            <w:pPr>
              <w:pStyle w:val="TableParagraph"/>
              <w:spacing w:line="233" w:lineRule="exact"/>
              <w:ind w:left="127"/>
              <w:rPr>
                <w:sz w:val="22"/>
              </w:rPr>
            </w:pPr>
            <w:r>
              <w:rPr>
                <w:sz w:val="22"/>
              </w:rPr>
              <w:t>(e)</w:t>
            </w:r>
            <w:r>
              <w:rPr>
                <w:spacing w:val="-1"/>
                <w:sz w:val="22"/>
              </w:rPr>
              <w:t> </w:t>
            </w:r>
            <w:r>
              <w:rPr>
                <w:sz w:val="22"/>
              </w:rPr>
              <w:t>No</w:t>
            </w:r>
            <w:r>
              <w:rPr>
                <w:spacing w:val="-3"/>
                <w:sz w:val="22"/>
              </w:rPr>
              <w:t> </w:t>
            </w:r>
            <w:r>
              <w:rPr>
                <w:spacing w:val="-4"/>
                <w:sz w:val="22"/>
              </w:rPr>
              <w:t>idea</w:t>
            </w:r>
          </w:p>
        </w:tc>
        <w:tc>
          <w:tcPr>
            <w:tcW w:w="2027" w:type="dxa"/>
            <w:shd w:val="clear" w:color="auto" w:fill="C0C0C0"/>
          </w:tcPr>
          <w:p>
            <w:pPr>
              <w:pStyle w:val="TableParagraph"/>
              <w:spacing w:line="233" w:lineRule="exact"/>
              <w:ind w:left="247"/>
              <w:rPr>
                <w:sz w:val="22"/>
              </w:rPr>
            </w:pPr>
            <w:r>
              <w:rPr>
                <w:spacing w:val="-5"/>
                <w:sz w:val="22"/>
              </w:rPr>
              <w:t>16</w:t>
            </w:r>
          </w:p>
        </w:tc>
        <w:tc>
          <w:tcPr>
            <w:tcW w:w="1445" w:type="dxa"/>
            <w:shd w:val="clear" w:color="auto" w:fill="C0C0C0"/>
          </w:tcPr>
          <w:p>
            <w:pPr>
              <w:pStyle w:val="TableParagraph"/>
              <w:spacing w:line="233" w:lineRule="exact"/>
              <w:ind w:left="112"/>
              <w:rPr>
                <w:sz w:val="22"/>
              </w:rPr>
            </w:pPr>
            <w:r>
              <w:rPr>
                <w:spacing w:val="-2"/>
                <w:sz w:val="22"/>
              </w:rPr>
              <w:t>10.00</w:t>
            </w:r>
          </w:p>
        </w:tc>
      </w:tr>
      <w:tr>
        <w:trPr>
          <w:trHeight w:val="252" w:hRule="atLeast"/>
        </w:trPr>
        <w:tc>
          <w:tcPr>
            <w:tcW w:w="2967" w:type="dxa"/>
          </w:tcPr>
          <w:p>
            <w:pPr>
              <w:pStyle w:val="TableParagraph"/>
              <w:spacing w:line="232" w:lineRule="exact"/>
              <w:ind w:left="465"/>
              <w:rPr>
                <w:b/>
                <w:sz w:val="22"/>
              </w:rPr>
            </w:pPr>
            <w:r>
              <w:rPr>
                <w:b/>
                <w:spacing w:val="-2"/>
                <w:sz w:val="22"/>
              </w:rPr>
              <w:t>Total</w:t>
            </w:r>
          </w:p>
        </w:tc>
        <w:tc>
          <w:tcPr>
            <w:tcW w:w="2849" w:type="dxa"/>
          </w:tcPr>
          <w:p>
            <w:pPr>
              <w:pStyle w:val="TableParagraph"/>
              <w:rPr>
                <w:sz w:val="18"/>
              </w:rPr>
            </w:pPr>
          </w:p>
        </w:tc>
        <w:tc>
          <w:tcPr>
            <w:tcW w:w="2027" w:type="dxa"/>
          </w:tcPr>
          <w:p>
            <w:pPr>
              <w:pStyle w:val="TableParagraph"/>
              <w:spacing w:line="232" w:lineRule="exact"/>
              <w:ind w:left="247"/>
              <w:rPr>
                <w:sz w:val="22"/>
              </w:rPr>
            </w:pPr>
            <w:r>
              <w:rPr>
                <w:spacing w:val="-5"/>
                <w:sz w:val="22"/>
              </w:rPr>
              <w:t>156</w:t>
            </w:r>
          </w:p>
        </w:tc>
        <w:tc>
          <w:tcPr>
            <w:tcW w:w="1445" w:type="dxa"/>
          </w:tcPr>
          <w:p>
            <w:pPr>
              <w:pStyle w:val="TableParagraph"/>
              <w:spacing w:line="232" w:lineRule="exact"/>
              <w:ind w:left="112"/>
              <w:rPr>
                <w:sz w:val="22"/>
              </w:rPr>
            </w:pPr>
            <w:r>
              <w:rPr>
                <w:spacing w:val="-4"/>
                <w:sz w:val="22"/>
              </w:rPr>
              <w:t>100%</w:t>
            </w:r>
          </w:p>
        </w:tc>
      </w:tr>
      <w:tr>
        <w:trPr>
          <w:trHeight w:val="254" w:hRule="atLeast"/>
        </w:trPr>
        <w:tc>
          <w:tcPr>
            <w:tcW w:w="2967" w:type="dxa"/>
            <w:shd w:val="clear" w:color="auto" w:fill="C0C0C0"/>
          </w:tcPr>
          <w:p>
            <w:pPr>
              <w:pStyle w:val="TableParagraph"/>
              <w:rPr>
                <w:sz w:val="18"/>
              </w:rPr>
            </w:pPr>
          </w:p>
        </w:tc>
        <w:tc>
          <w:tcPr>
            <w:tcW w:w="2849" w:type="dxa"/>
            <w:shd w:val="clear" w:color="auto" w:fill="C0C0C0"/>
          </w:tcPr>
          <w:p>
            <w:pPr>
              <w:pStyle w:val="TableParagraph"/>
              <w:rPr>
                <w:sz w:val="18"/>
              </w:rPr>
            </w:pPr>
          </w:p>
        </w:tc>
        <w:tc>
          <w:tcPr>
            <w:tcW w:w="2027" w:type="dxa"/>
            <w:shd w:val="clear" w:color="auto" w:fill="C0C0C0"/>
          </w:tcPr>
          <w:p>
            <w:pPr>
              <w:pStyle w:val="TableParagraph"/>
              <w:rPr>
                <w:sz w:val="18"/>
              </w:rPr>
            </w:pPr>
          </w:p>
        </w:tc>
        <w:tc>
          <w:tcPr>
            <w:tcW w:w="1445" w:type="dxa"/>
            <w:shd w:val="clear" w:color="auto" w:fill="C0C0C0"/>
          </w:tcPr>
          <w:p>
            <w:pPr>
              <w:pStyle w:val="TableParagraph"/>
              <w:rPr>
                <w:sz w:val="18"/>
              </w:rPr>
            </w:pPr>
          </w:p>
        </w:tc>
      </w:tr>
      <w:tr>
        <w:trPr>
          <w:trHeight w:val="253" w:hRule="atLeast"/>
        </w:trPr>
        <w:tc>
          <w:tcPr>
            <w:tcW w:w="2967" w:type="dxa"/>
          </w:tcPr>
          <w:p>
            <w:pPr>
              <w:pStyle w:val="TableParagraph"/>
              <w:spacing w:line="233" w:lineRule="exact"/>
              <w:ind w:left="122"/>
              <w:rPr>
                <w:b/>
                <w:sz w:val="22"/>
              </w:rPr>
            </w:pPr>
            <w:r>
              <w:rPr>
                <w:b/>
                <w:sz w:val="22"/>
              </w:rPr>
              <w:t>How</w:t>
            </w:r>
            <w:r>
              <w:rPr>
                <w:b/>
                <w:spacing w:val="-6"/>
                <w:sz w:val="22"/>
              </w:rPr>
              <w:t> </w:t>
            </w:r>
            <w:r>
              <w:rPr>
                <w:b/>
                <w:sz w:val="22"/>
              </w:rPr>
              <w:t>will</w:t>
            </w:r>
            <w:r>
              <w:rPr>
                <w:b/>
                <w:spacing w:val="-2"/>
                <w:sz w:val="22"/>
              </w:rPr>
              <w:t> </w:t>
            </w:r>
            <w:r>
              <w:rPr>
                <w:b/>
                <w:sz w:val="22"/>
              </w:rPr>
              <w:t>you</w:t>
            </w:r>
            <w:r>
              <w:rPr>
                <w:b/>
                <w:spacing w:val="-3"/>
                <w:sz w:val="22"/>
              </w:rPr>
              <w:t> </w:t>
            </w:r>
            <w:r>
              <w:rPr>
                <w:b/>
                <w:sz w:val="22"/>
              </w:rPr>
              <w:t>describe</w:t>
            </w:r>
            <w:r>
              <w:rPr>
                <w:b/>
                <w:spacing w:val="-3"/>
                <w:sz w:val="22"/>
              </w:rPr>
              <w:t> </w:t>
            </w:r>
            <w:r>
              <w:rPr>
                <w:b/>
                <w:spacing w:val="-5"/>
                <w:sz w:val="22"/>
              </w:rPr>
              <w:t>the</w:t>
            </w:r>
          </w:p>
        </w:tc>
        <w:tc>
          <w:tcPr>
            <w:tcW w:w="2849" w:type="dxa"/>
            <w:vMerge w:val="restart"/>
          </w:tcPr>
          <w:p>
            <w:pPr>
              <w:pStyle w:val="TableParagraph"/>
              <w:numPr>
                <w:ilvl w:val="0"/>
                <w:numId w:val="91"/>
              </w:numPr>
              <w:tabs>
                <w:tab w:pos="392" w:val="left" w:leader="none"/>
              </w:tabs>
              <w:spacing w:line="247" w:lineRule="exact" w:before="0" w:after="0"/>
              <w:ind w:left="392" w:right="0" w:hanging="301"/>
              <w:jc w:val="left"/>
              <w:rPr>
                <w:sz w:val="22"/>
              </w:rPr>
            </w:pPr>
            <w:r>
              <w:rPr>
                <w:spacing w:val="-2"/>
                <w:sz w:val="22"/>
              </w:rPr>
              <w:t>Regular</w:t>
            </w:r>
          </w:p>
          <w:p>
            <w:pPr>
              <w:pStyle w:val="TableParagraph"/>
              <w:numPr>
                <w:ilvl w:val="0"/>
                <w:numId w:val="91"/>
              </w:numPr>
              <w:tabs>
                <w:tab w:pos="404" w:val="left" w:leader="none"/>
              </w:tabs>
              <w:spacing w:line="240" w:lineRule="auto" w:before="0" w:after="0"/>
              <w:ind w:left="404" w:right="0" w:hanging="313"/>
              <w:jc w:val="left"/>
              <w:rPr>
                <w:sz w:val="22"/>
              </w:rPr>
            </w:pPr>
            <w:r>
              <w:rPr>
                <w:sz w:val="22"/>
              </w:rPr>
              <w:t>Not</w:t>
            </w:r>
            <w:r>
              <w:rPr>
                <w:spacing w:val="-6"/>
                <w:sz w:val="22"/>
              </w:rPr>
              <w:t> </w:t>
            </w:r>
            <w:r>
              <w:rPr>
                <w:spacing w:val="-2"/>
                <w:sz w:val="22"/>
              </w:rPr>
              <w:t>regular</w:t>
            </w:r>
          </w:p>
          <w:p>
            <w:pPr>
              <w:pStyle w:val="TableParagraph"/>
              <w:numPr>
                <w:ilvl w:val="0"/>
                <w:numId w:val="91"/>
              </w:numPr>
              <w:tabs>
                <w:tab w:pos="447" w:val="left" w:leader="none"/>
                <w:tab w:pos="487" w:val="left" w:leader="none"/>
              </w:tabs>
              <w:spacing w:line="240" w:lineRule="auto" w:before="1" w:after="0"/>
              <w:ind w:left="487" w:right="402" w:hanging="396"/>
              <w:jc w:val="left"/>
              <w:rPr>
                <w:sz w:val="22"/>
              </w:rPr>
            </w:pPr>
            <w:r>
              <w:rPr>
                <w:sz w:val="22"/>
              </w:rPr>
              <w:t>Inconsistent</w:t>
            </w:r>
            <w:r>
              <w:rPr>
                <w:spacing w:val="-14"/>
                <w:sz w:val="22"/>
              </w:rPr>
              <w:t> </w:t>
            </w:r>
            <w:r>
              <w:rPr>
                <w:sz w:val="22"/>
              </w:rPr>
              <w:t>budgetary </w:t>
            </w:r>
            <w:r>
              <w:rPr>
                <w:spacing w:val="-2"/>
                <w:sz w:val="22"/>
              </w:rPr>
              <w:t>allocation</w:t>
            </w:r>
          </w:p>
          <w:p>
            <w:pPr>
              <w:pStyle w:val="TableParagraph"/>
              <w:numPr>
                <w:ilvl w:val="0"/>
                <w:numId w:val="91"/>
              </w:numPr>
              <w:tabs>
                <w:tab w:pos="404" w:val="left" w:leader="none"/>
              </w:tabs>
              <w:spacing w:line="251" w:lineRule="exact" w:before="0" w:after="0"/>
              <w:ind w:left="404" w:right="0" w:hanging="313"/>
              <w:jc w:val="left"/>
              <w:rPr>
                <w:sz w:val="22"/>
              </w:rPr>
            </w:pPr>
            <w:r>
              <w:rPr>
                <w:sz w:val="22"/>
              </w:rPr>
              <w:t>Delay</w:t>
            </w:r>
            <w:r>
              <w:rPr>
                <w:spacing w:val="-5"/>
                <w:sz w:val="22"/>
              </w:rPr>
              <w:t> </w:t>
            </w:r>
            <w:r>
              <w:rPr>
                <w:sz w:val="22"/>
              </w:rPr>
              <w:t>in</w:t>
            </w:r>
            <w:r>
              <w:rPr>
                <w:spacing w:val="-5"/>
                <w:sz w:val="22"/>
              </w:rPr>
              <w:t> </w:t>
            </w:r>
            <w:r>
              <w:rPr>
                <w:sz w:val="22"/>
              </w:rPr>
              <w:t>release</w:t>
            </w:r>
            <w:r>
              <w:rPr>
                <w:spacing w:val="-3"/>
                <w:sz w:val="22"/>
              </w:rPr>
              <w:t> </w:t>
            </w:r>
            <w:r>
              <w:rPr>
                <w:sz w:val="22"/>
              </w:rPr>
              <w:t>of</w:t>
            </w:r>
            <w:r>
              <w:rPr>
                <w:spacing w:val="-2"/>
                <w:sz w:val="22"/>
              </w:rPr>
              <w:t> funds</w:t>
            </w:r>
          </w:p>
          <w:p>
            <w:pPr>
              <w:pStyle w:val="TableParagraph"/>
              <w:numPr>
                <w:ilvl w:val="0"/>
                <w:numId w:val="91"/>
              </w:numPr>
              <w:tabs>
                <w:tab w:pos="392" w:val="left" w:leader="none"/>
              </w:tabs>
              <w:spacing w:line="238" w:lineRule="exact" w:before="1" w:after="0"/>
              <w:ind w:left="392" w:right="0" w:hanging="301"/>
              <w:jc w:val="left"/>
              <w:rPr>
                <w:sz w:val="22"/>
              </w:rPr>
            </w:pPr>
            <w:r>
              <w:rPr>
                <w:sz w:val="22"/>
              </w:rPr>
              <w:t>No</w:t>
            </w:r>
            <w:r>
              <w:rPr>
                <w:spacing w:val="-5"/>
                <w:sz w:val="22"/>
              </w:rPr>
              <w:t> </w:t>
            </w:r>
            <w:r>
              <w:rPr>
                <w:spacing w:val="-4"/>
                <w:sz w:val="22"/>
              </w:rPr>
              <w:t>idea</w:t>
            </w:r>
          </w:p>
        </w:tc>
        <w:tc>
          <w:tcPr>
            <w:tcW w:w="2027" w:type="dxa"/>
          </w:tcPr>
          <w:p>
            <w:pPr>
              <w:pStyle w:val="TableParagraph"/>
              <w:spacing w:line="233" w:lineRule="exact"/>
              <w:ind w:left="247"/>
              <w:rPr>
                <w:sz w:val="22"/>
              </w:rPr>
            </w:pPr>
            <w:r>
              <w:rPr>
                <w:spacing w:val="-10"/>
                <w:sz w:val="22"/>
              </w:rPr>
              <w:t>0</w:t>
            </w:r>
          </w:p>
        </w:tc>
        <w:tc>
          <w:tcPr>
            <w:tcW w:w="1445" w:type="dxa"/>
          </w:tcPr>
          <w:p>
            <w:pPr>
              <w:pStyle w:val="TableParagraph"/>
              <w:spacing w:line="233" w:lineRule="exact"/>
              <w:ind w:left="222"/>
              <w:rPr>
                <w:sz w:val="22"/>
              </w:rPr>
            </w:pPr>
            <w:r>
              <w:rPr>
                <w:spacing w:val="-4"/>
                <w:sz w:val="22"/>
              </w:rPr>
              <w:t>0.00</w:t>
            </w:r>
          </w:p>
        </w:tc>
      </w:tr>
      <w:tr>
        <w:trPr>
          <w:trHeight w:val="255" w:hRule="atLeast"/>
        </w:trPr>
        <w:tc>
          <w:tcPr>
            <w:tcW w:w="2967" w:type="dxa"/>
          </w:tcPr>
          <w:p>
            <w:pPr>
              <w:pStyle w:val="TableParagraph"/>
              <w:spacing w:line="236" w:lineRule="exact"/>
              <w:ind w:left="122"/>
              <w:rPr>
                <w:b/>
                <w:sz w:val="22"/>
              </w:rPr>
            </w:pPr>
            <w:r>
              <w:rPr>
                <w:b/>
                <w:sz w:val="22"/>
              </w:rPr>
              <w:t>regularity</w:t>
            </w:r>
            <w:r>
              <w:rPr>
                <w:b/>
                <w:spacing w:val="-4"/>
                <w:sz w:val="22"/>
              </w:rPr>
              <w:t> </w:t>
            </w:r>
            <w:r>
              <w:rPr>
                <w:b/>
                <w:sz w:val="22"/>
              </w:rPr>
              <w:t>of</w:t>
            </w:r>
            <w:r>
              <w:rPr>
                <w:b/>
                <w:spacing w:val="-4"/>
                <w:sz w:val="22"/>
              </w:rPr>
              <w:t> </w:t>
            </w:r>
            <w:r>
              <w:rPr>
                <w:b/>
                <w:sz w:val="22"/>
              </w:rPr>
              <w:t>release</w:t>
            </w:r>
            <w:r>
              <w:rPr>
                <w:b/>
                <w:spacing w:val="-3"/>
                <w:sz w:val="22"/>
              </w:rPr>
              <w:t> </w:t>
            </w:r>
            <w:r>
              <w:rPr>
                <w:b/>
                <w:spacing w:val="-5"/>
                <w:sz w:val="22"/>
              </w:rPr>
              <w:t>of</w:t>
            </w:r>
          </w:p>
        </w:tc>
        <w:tc>
          <w:tcPr>
            <w:tcW w:w="2849" w:type="dxa"/>
            <w:vMerge/>
            <w:tcBorders>
              <w:top w:val="nil"/>
            </w:tcBorders>
          </w:tcPr>
          <w:p>
            <w:pPr>
              <w:rPr>
                <w:sz w:val="2"/>
                <w:szCs w:val="2"/>
              </w:rPr>
            </w:pPr>
          </w:p>
        </w:tc>
        <w:tc>
          <w:tcPr>
            <w:tcW w:w="2027" w:type="dxa"/>
          </w:tcPr>
          <w:p>
            <w:pPr>
              <w:pStyle w:val="TableParagraph"/>
              <w:spacing w:line="236" w:lineRule="exact"/>
              <w:ind w:left="247"/>
              <w:rPr>
                <w:sz w:val="22"/>
              </w:rPr>
            </w:pPr>
            <w:r>
              <w:rPr>
                <w:spacing w:val="-5"/>
                <w:sz w:val="22"/>
              </w:rPr>
              <w:t>39</w:t>
            </w:r>
          </w:p>
        </w:tc>
        <w:tc>
          <w:tcPr>
            <w:tcW w:w="1445" w:type="dxa"/>
          </w:tcPr>
          <w:p>
            <w:pPr>
              <w:pStyle w:val="TableParagraph"/>
              <w:spacing w:line="236" w:lineRule="exact"/>
              <w:ind w:left="112"/>
              <w:rPr>
                <w:sz w:val="22"/>
              </w:rPr>
            </w:pPr>
            <w:r>
              <w:rPr>
                <w:spacing w:val="-2"/>
                <w:sz w:val="22"/>
              </w:rPr>
              <w:t>25.00</w:t>
            </w:r>
          </w:p>
        </w:tc>
      </w:tr>
      <w:tr>
        <w:trPr>
          <w:trHeight w:val="250" w:hRule="atLeast"/>
        </w:trPr>
        <w:tc>
          <w:tcPr>
            <w:tcW w:w="2967" w:type="dxa"/>
          </w:tcPr>
          <w:p>
            <w:pPr>
              <w:pStyle w:val="TableParagraph"/>
              <w:spacing w:line="231" w:lineRule="exact"/>
              <w:ind w:left="122"/>
              <w:rPr>
                <w:b/>
                <w:sz w:val="22"/>
              </w:rPr>
            </w:pPr>
            <w:r>
              <w:rPr>
                <w:b/>
                <w:sz w:val="22"/>
              </w:rPr>
              <w:t>funds</w:t>
            </w:r>
            <w:r>
              <w:rPr>
                <w:b/>
                <w:spacing w:val="-3"/>
                <w:sz w:val="22"/>
              </w:rPr>
              <w:t> </w:t>
            </w:r>
            <w:r>
              <w:rPr>
                <w:b/>
                <w:sz w:val="22"/>
              </w:rPr>
              <w:t>from</w:t>
            </w:r>
            <w:r>
              <w:rPr>
                <w:b/>
                <w:spacing w:val="-2"/>
                <w:sz w:val="22"/>
              </w:rPr>
              <w:t> </w:t>
            </w:r>
            <w:r>
              <w:rPr>
                <w:b/>
                <w:sz w:val="22"/>
              </w:rPr>
              <w:t>the</w:t>
            </w:r>
            <w:r>
              <w:rPr>
                <w:b/>
                <w:spacing w:val="-3"/>
                <w:sz w:val="22"/>
              </w:rPr>
              <w:t> </w:t>
            </w:r>
            <w:r>
              <w:rPr>
                <w:b/>
                <w:spacing w:val="-2"/>
                <w:sz w:val="22"/>
              </w:rPr>
              <w:t>annual</w:t>
            </w:r>
          </w:p>
        </w:tc>
        <w:tc>
          <w:tcPr>
            <w:tcW w:w="2849" w:type="dxa"/>
            <w:vMerge/>
            <w:tcBorders>
              <w:top w:val="nil"/>
            </w:tcBorders>
          </w:tcPr>
          <w:p>
            <w:pPr>
              <w:rPr>
                <w:sz w:val="2"/>
                <w:szCs w:val="2"/>
              </w:rPr>
            </w:pPr>
          </w:p>
        </w:tc>
        <w:tc>
          <w:tcPr>
            <w:tcW w:w="2027" w:type="dxa"/>
          </w:tcPr>
          <w:p>
            <w:pPr>
              <w:pStyle w:val="TableParagraph"/>
              <w:rPr>
                <w:sz w:val="18"/>
              </w:rPr>
            </w:pPr>
          </w:p>
        </w:tc>
        <w:tc>
          <w:tcPr>
            <w:tcW w:w="1445" w:type="dxa"/>
          </w:tcPr>
          <w:p>
            <w:pPr>
              <w:pStyle w:val="TableParagraph"/>
              <w:rPr>
                <w:sz w:val="18"/>
              </w:rPr>
            </w:pPr>
          </w:p>
        </w:tc>
      </w:tr>
      <w:tr>
        <w:trPr>
          <w:trHeight w:val="251" w:hRule="atLeast"/>
        </w:trPr>
        <w:tc>
          <w:tcPr>
            <w:tcW w:w="2967" w:type="dxa"/>
          </w:tcPr>
          <w:p>
            <w:pPr>
              <w:pStyle w:val="TableParagraph"/>
              <w:spacing w:line="232" w:lineRule="exact"/>
              <w:ind w:left="122"/>
              <w:rPr>
                <w:b/>
                <w:sz w:val="22"/>
              </w:rPr>
            </w:pPr>
            <w:r>
              <w:rPr>
                <w:b/>
                <w:sz w:val="22"/>
              </w:rPr>
              <w:t>housing</w:t>
            </w:r>
            <w:r>
              <w:rPr>
                <w:b/>
                <w:spacing w:val="-3"/>
                <w:sz w:val="22"/>
              </w:rPr>
              <w:t> </w:t>
            </w:r>
            <w:r>
              <w:rPr>
                <w:b/>
                <w:sz w:val="22"/>
              </w:rPr>
              <w:t>budget</w:t>
            </w:r>
            <w:r>
              <w:rPr>
                <w:b/>
                <w:spacing w:val="-4"/>
                <w:sz w:val="22"/>
              </w:rPr>
              <w:t> </w:t>
            </w:r>
            <w:r>
              <w:rPr>
                <w:b/>
                <w:spacing w:val="-2"/>
                <w:sz w:val="22"/>
              </w:rPr>
              <w:t>allocation?</w:t>
            </w:r>
          </w:p>
        </w:tc>
        <w:tc>
          <w:tcPr>
            <w:tcW w:w="2849" w:type="dxa"/>
            <w:vMerge/>
            <w:tcBorders>
              <w:top w:val="nil"/>
            </w:tcBorders>
          </w:tcPr>
          <w:p>
            <w:pPr>
              <w:rPr>
                <w:sz w:val="2"/>
                <w:szCs w:val="2"/>
              </w:rPr>
            </w:pPr>
          </w:p>
        </w:tc>
        <w:tc>
          <w:tcPr>
            <w:tcW w:w="2027" w:type="dxa"/>
          </w:tcPr>
          <w:p>
            <w:pPr>
              <w:pStyle w:val="TableParagraph"/>
              <w:spacing w:line="232" w:lineRule="exact"/>
              <w:ind w:left="247"/>
              <w:rPr>
                <w:sz w:val="22"/>
              </w:rPr>
            </w:pPr>
            <w:r>
              <w:rPr>
                <w:spacing w:val="-5"/>
                <w:sz w:val="22"/>
              </w:rPr>
              <w:t>24</w:t>
            </w:r>
          </w:p>
        </w:tc>
        <w:tc>
          <w:tcPr>
            <w:tcW w:w="1445" w:type="dxa"/>
          </w:tcPr>
          <w:p>
            <w:pPr>
              <w:pStyle w:val="TableParagraph"/>
              <w:spacing w:line="232" w:lineRule="exact"/>
              <w:ind w:left="112"/>
              <w:rPr>
                <w:sz w:val="22"/>
              </w:rPr>
            </w:pPr>
            <w:r>
              <w:rPr>
                <w:spacing w:val="-2"/>
                <w:sz w:val="22"/>
              </w:rPr>
              <w:t>15.00</w:t>
            </w:r>
          </w:p>
        </w:tc>
      </w:tr>
      <w:tr>
        <w:trPr>
          <w:trHeight w:val="250" w:hRule="atLeast"/>
        </w:trPr>
        <w:tc>
          <w:tcPr>
            <w:tcW w:w="2967" w:type="dxa"/>
          </w:tcPr>
          <w:p>
            <w:pPr>
              <w:pStyle w:val="TableParagraph"/>
              <w:rPr>
                <w:sz w:val="18"/>
              </w:rPr>
            </w:pPr>
          </w:p>
        </w:tc>
        <w:tc>
          <w:tcPr>
            <w:tcW w:w="2849" w:type="dxa"/>
            <w:vMerge/>
            <w:tcBorders>
              <w:top w:val="nil"/>
            </w:tcBorders>
          </w:tcPr>
          <w:p>
            <w:pPr>
              <w:rPr>
                <w:sz w:val="2"/>
                <w:szCs w:val="2"/>
              </w:rPr>
            </w:pPr>
          </w:p>
        </w:tc>
        <w:tc>
          <w:tcPr>
            <w:tcW w:w="2027" w:type="dxa"/>
          </w:tcPr>
          <w:p>
            <w:pPr>
              <w:pStyle w:val="TableParagraph"/>
              <w:spacing w:line="231" w:lineRule="exact"/>
              <w:ind w:left="247"/>
              <w:rPr>
                <w:sz w:val="22"/>
              </w:rPr>
            </w:pPr>
            <w:r>
              <w:rPr>
                <w:spacing w:val="-5"/>
                <w:sz w:val="22"/>
              </w:rPr>
              <w:t>78</w:t>
            </w:r>
          </w:p>
        </w:tc>
        <w:tc>
          <w:tcPr>
            <w:tcW w:w="1445" w:type="dxa"/>
          </w:tcPr>
          <w:p>
            <w:pPr>
              <w:pStyle w:val="TableParagraph"/>
              <w:spacing w:line="231" w:lineRule="exact"/>
              <w:ind w:left="112"/>
              <w:rPr>
                <w:sz w:val="22"/>
              </w:rPr>
            </w:pPr>
            <w:r>
              <w:rPr>
                <w:spacing w:val="-2"/>
                <w:sz w:val="22"/>
              </w:rPr>
              <w:t>50.00</w:t>
            </w:r>
          </w:p>
        </w:tc>
      </w:tr>
      <w:tr>
        <w:trPr>
          <w:trHeight w:val="254" w:hRule="atLeast"/>
        </w:trPr>
        <w:tc>
          <w:tcPr>
            <w:tcW w:w="2967" w:type="dxa"/>
          </w:tcPr>
          <w:p>
            <w:pPr>
              <w:pStyle w:val="TableParagraph"/>
              <w:rPr>
                <w:sz w:val="18"/>
              </w:rPr>
            </w:pPr>
          </w:p>
        </w:tc>
        <w:tc>
          <w:tcPr>
            <w:tcW w:w="2849" w:type="dxa"/>
            <w:vMerge/>
            <w:tcBorders>
              <w:top w:val="nil"/>
            </w:tcBorders>
          </w:tcPr>
          <w:p>
            <w:pPr>
              <w:rPr>
                <w:sz w:val="2"/>
                <w:szCs w:val="2"/>
              </w:rPr>
            </w:pPr>
          </w:p>
        </w:tc>
        <w:tc>
          <w:tcPr>
            <w:tcW w:w="2027" w:type="dxa"/>
          </w:tcPr>
          <w:p>
            <w:pPr>
              <w:pStyle w:val="TableParagraph"/>
              <w:spacing w:line="234" w:lineRule="exact"/>
              <w:ind w:left="247"/>
              <w:rPr>
                <w:sz w:val="22"/>
              </w:rPr>
            </w:pPr>
            <w:r>
              <w:rPr>
                <w:spacing w:val="-5"/>
                <w:sz w:val="22"/>
              </w:rPr>
              <w:t>15</w:t>
            </w:r>
          </w:p>
        </w:tc>
        <w:tc>
          <w:tcPr>
            <w:tcW w:w="1445" w:type="dxa"/>
          </w:tcPr>
          <w:p>
            <w:pPr>
              <w:pStyle w:val="TableParagraph"/>
              <w:spacing w:line="234" w:lineRule="exact"/>
              <w:ind w:left="112"/>
              <w:rPr>
                <w:sz w:val="22"/>
              </w:rPr>
            </w:pPr>
            <w:r>
              <w:rPr>
                <w:spacing w:val="-2"/>
                <w:sz w:val="22"/>
              </w:rPr>
              <w:t>10.00</w:t>
            </w:r>
          </w:p>
        </w:tc>
      </w:tr>
      <w:tr>
        <w:trPr>
          <w:trHeight w:val="547" w:hRule="atLeast"/>
        </w:trPr>
        <w:tc>
          <w:tcPr>
            <w:tcW w:w="2967" w:type="dxa"/>
            <w:shd w:val="clear" w:color="auto" w:fill="C0C0C0"/>
          </w:tcPr>
          <w:p>
            <w:pPr>
              <w:pStyle w:val="TableParagraph"/>
              <w:spacing w:line="252" w:lineRule="exact"/>
              <w:ind w:left="465"/>
              <w:rPr>
                <w:b/>
                <w:sz w:val="22"/>
              </w:rPr>
            </w:pPr>
            <w:r>
              <w:rPr>
                <w:b/>
                <w:spacing w:val="-2"/>
                <w:sz w:val="22"/>
              </w:rPr>
              <w:t>Total</w:t>
            </w:r>
          </w:p>
        </w:tc>
        <w:tc>
          <w:tcPr>
            <w:tcW w:w="2849" w:type="dxa"/>
            <w:shd w:val="clear" w:color="auto" w:fill="C0C0C0"/>
          </w:tcPr>
          <w:p>
            <w:pPr>
              <w:pStyle w:val="TableParagraph"/>
              <w:rPr>
                <w:sz w:val="22"/>
              </w:rPr>
            </w:pPr>
          </w:p>
        </w:tc>
        <w:tc>
          <w:tcPr>
            <w:tcW w:w="2027" w:type="dxa"/>
            <w:shd w:val="clear" w:color="auto" w:fill="C0C0C0"/>
          </w:tcPr>
          <w:p>
            <w:pPr>
              <w:pStyle w:val="TableParagraph"/>
              <w:spacing w:line="247" w:lineRule="exact"/>
              <w:ind w:left="247"/>
              <w:rPr>
                <w:sz w:val="22"/>
              </w:rPr>
            </w:pPr>
            <w:r>
              <w:rPr>
                <w:spacing w:val="-5"/>
                <w:sz w:val="22"/>
              </w:rPr>
              <w:t>156</w:t>
            </w:r>
          </w:p>
        </w:tc>
        <w:tc>
          <w:tcPr>
            <w:tcW w:w="1445" w:type="dxa"/>
            <w:shd w:val="clear" w:color="auto" w:fill="C0C0C0"/>
          </w:tcPr>
          <w:p>
            <w:pPr>
              <w:pStyle w:val="TableParagraph"/>
              <w:spacing w:line="247" w:lineRule="exact"/>
              <w:ind w:left="112"/>
              <w:rPr>
                <w:sz w:val="22"/>
              </w:rPr>
            </w:pPr>
            <w:r>
              <w:rPr>
                <w:spacing w:val="-4"/>
                <w:sz w:val="22"/>
              </w:rPr>
              <w:t>100%</w:t>
            </w:r>
          </w:p>
        </w:tc>
      </w:tr>
      <w:tr>
        <w:trPr>
          <w:trHeight w:val="1519" w:hRule="atLeast"/>
        </w:trPr>
        <w:tc>
          <w:tcPr>
            <w:tcW w:w="2967" w:type="dxa"/>
          </w:tcPr>
          <w:p>
            <w:pPr>
              <w:pStyle w:val="TableParagraph"/>
              <w:ind w:left="122" w:right="292"/>
              <w:rPr>
                <w:b/>
                <w:sz w:val="22"/>
              </w:rPr>
            </w:pPr>
            <w:r>
              <w:rPr>
                <w:b/>
                <w:sz w:val="22"/>
              </w:rPr>
              <w:t>How often does the Anambra State Government provide financial</w:t>
            </w:r>
            <w:r>
              <w:rPr>
                <w:b/>
                <w:spacing w:val="-12"/>
                <w:sz w:val="22"/>
              </w:rPr>
              <w:t> </w:t>
            </w:r>
            <w:r>
              <w:rPr>
                <w:b/>
                <w:sz w:val="22"/>
              </w:rPr>
              <w:t>support</w:t>
            </w:r>
            <w:r>
              <w:rPr>
                <w:b/>
                <w:spacing w:val="-14"/>
                <w:sz w:val="22"/>
              </w:rPr>
              <w:t> </w:t>
            </w:r>
            <w:r>
              <w:rPr>
                <w:b/>
                <w:sz w:val="22"/>
              </w:rPr>
              <w:t>to</w:t>
            </w:r>
            <w:r>
              <w:rPr>
                <w:b/>
                <w:spacing w:val="-12"/>
                <w:sz w:val="22"/>
              </w:rPr>
              <w:t> </w:t>
            </w:r>
            <w:r>
              <w:rPr>
                <w:b/>
                <w:sz w:val="22"/>
              </w:rPr>
              <w:t>the Housing Development</w:t>
            </w:r>
          </w:p>
          <w:p>
            <w:pPr>
              <w:pStyle w:val="TableParagraph"/>
              <w:spacing w:line="234" w:lineRule="exact" w:before="1"/>
              <w:ind w:left="122"/>
              <w:rPr>
                <w:b/>
                <w:sz w:val="22"/>
              </w:rPr>
            </w:pPr>
            <w:r>
              <w:rPr>
                <w:b/>
                <w:spacing w:val="-2"/>
                <w:sz w:val="22"/>
              </w:rPr>
              <w:t>Corporation?</w:t>
            </w:r>
          </w:p>
        </w:tc>
        <w:tc>
          <w:tcPr>
            <w:tcW w:w="2849" w:type="dxa"/>
          </w:tcPr>
          <w:p>
            <w:pPr>
              <w:pStyle w:val="TableParagraph"/>
              <w:numPr>
                <w:ilvl w:val="0"/>
                <w:numId w:val="92"/>
              </w:numPr>
              <w:tabs>
                <w:tab w:pos="486" w:val="left" w:leader="none"/>
              </w:tabs>
              <w:spacing w:line="247" w:lineRule="exact" w:before="0" w:after="0"/>
              <w:ind w:left="486" w:right="0" w:hanging="359"/>
              <w:jc w:val="left"/>
              <w:rPr>
                <w:sz w:val="22"/>
              </w:rPr>
            </w:pPr>
            <w:r>
              <w:rPr>
                <w:spacing w:val="-2"/>
                <w:sz w:val="22"/>
              </w:rPr>
              <w:t>Often</w:t>
            </w:r>
          </w:p>
          <w:p>
            <w:pPr>
              <w:pStyle w:val="TableParagraph"/>
              <w:numPr>
                <w:ilvl w:val="0"/>
                <w:numId w:val="92"/>
              </w:numPr>
              <w:tabs>
                <w:tab w:pos="465" w:val="left" w:leader="none"/>
              </w:tabs>
              <w:spacing w:line="252" w:lineRule="exact" w:before="1" w:after="0"/>
              <w:ind w:left="465" w:right="0" w:hanging="358"/>
              <w:jc w:val="left"/>
              <w:rPr>
                <w:sz w:val="22"/>
              </w:rPr>
            </w:pPr>
            <w:r>
              <w:rPr>
                <w:spacing w:val="-2"/>
                <w:sz w:val="22"/>
              </w:rPr>
              <w:t>Sometimes</w:t>
            </w:r>
          </w:p>
          <w:p>
            <w:pPr>
              <w:pStyle w:val="TableParagraph"/>
              <w:numPr>
                <w:ilvl w:val="0"/>
                <w:numId w:val="92"/>
              </w:numPr>
              <w:tabs>
                <w:tab w:pos="466" w:val="left" w:leader="none"/>
              </w:tabs>
              <w:spacing w:line="252" w:lineRule="exact" w:before="0" w:after="0"/>
              <w:ind w:left="466" w:right="0" w:hanging="359"/>
              <w:jc w:val="left"/>
              <w:rPr>
                <w:sz w:val="22"/>
              </w:rPr>
            </w:pPr>
            <w:r>
              <w:rPr>
                <w:spacing w:val="-2"/>
                <w:sz w:val="22"/>
              </w:rPr>
              <w:t>Rarely</w:t>
            </w:r>
          </w:p>
          <w:p>
            <w:pPr>
              <w:pStyle w:val="TableParagraph"/>
              <w:numPr>
                <w:ilvl w:val="0"/>
                <w:numId w:val="92"/>
              </w:numPr>
              <w:tabs>
                <w:tab w:pos="465" w:val="left" w:leader="none"/>
              </w:tabs>
              <w:spacing w:line="252" w:lineRule="exact" w:before="2" w:after="0"/>
              <w:ind w:left="465" w:right="0" w:hanging="358"/>
              <w:jc w:val="left"/>
              <w:rPr>
                <w:sz w:val="22"/>
              </w:rPr>
            </w:pPr>
            <w:r>
              <w:rPr>
                <w:spacing w:val="-4"/>
                <w:sz w:val="22"/>
              </w:rPr>
              <w:t>Never</w:t>
            </w:r>
          </w:p>
          <w:p>
            <w:pPr>
              <w:pStyle w:val="TableParagraph"/>
              <w:numPr>
                <w:ilvl w:val="0"/>
                <w:numId w:val="92"/>
              </w:numPr>
              <w:tabs>
                <w:tab w:pos="466" w:val="left" w:leader="none"/>
              </w:tabs>
              <w:spacing w:line="252" w:lineRule="exact" w:before="0" w:after="0"/>
              <w:ind w:left="466" w:right="0" w:hanging="359"/>
              <w:jc w:val="left"/>
              <w:rPr>
                <w:sz w:val="22"/>
              </w:rPr>
            </w:pPr>
            <w:r>
              <w:rPr>
                <w:sz w:val="22"/>
              </w:rPr>
              <w:t>No</w:t>
            </w:r>
            <w:r>
              <w:rPr>
                <w:spacing w:val="-2"/>
                <w:sz w:val="22"/>
              </w:rPr>
              <w:t> </w:t>
            </w:r>
            <w:r>
              <w:rPr>
                <w:spacing w:val="-4"/>
                <w:sz w:val="22"/>
              </w:rPr>
              <w:t>idea</w:t>
            </w:r>
          </w:p>
        </w:tc>
        <w:tc>
          <w:tcPr>
            <w:tcW w:w="2027" w:type="dxa"/>
          </w:tcPr>
          <w:p>
            <w:pPr>
              <w:pStyle w:val="TableParagraph"/>
              <w:spacing w:line="247" w:lineRule="exact"/>
              <w:ind w:left="247"/>
              <w:rPr>
                <w:sz w:val="22"/>
              </w:rPr>
            </w:pPr>
            <w:r>
              <w:rPr>
                <w:spacing w:val="-10"/>
                <w:sz w:val="22"/>
              </w:rPr>
              <w:t>0</w:t>
            </w:r>
          </w:p>
          <w:p>
            <w:pPr>
              <w:pStyle w:val="TableParagraph"/>
              <w:spacing w:line="252" w:lineRule="exact" w:before="1"/>
              <w:ind w:left="247"/>
              <w:rPr>
                <w:sz w:val="22"/>
              </w:rPr>
            </w:pPr>
            <w:r>
              <w:rPr>
                <w:spacing w:val="-5"/>
                <w:sz w:val="22"/>
              </w:rPr>
              <w:t>13</w:t>
            </w:r>
          </w:p>
          <w:p>
            <w:pPr>
              <w:pStyle w:val="TableParagraph"/>
              <w:spacing w:line="252" w:lineRule="exact"/>
              <w:ind w:left="247"/>
              <w:rPr>
                <w:sz w:val="22"/>
              </w:rPr>
            </w:pPr>
            <w:r>
              <w:rPr>
                <w:spacing w:val="-5"/>
                <w:sz w:val="22"/>
              </w:rPr>
              <w:t>96</w:t>
            </w:r>
          </w:p>
          <w:p>
            <w:pPr>
              <w:pStyle w:val="TableParagraph"/>
              <w:spacing w:line="252" w:lineRule="exact" w:before="2"/>
              <w:ind w:left="247"/>
              <w:rPr>
                <w:sz w:val="22"/>
              </w:rPr>
            </w:pPr>
            <w:r>
              <w:rPr>
                <w:spacing w:val="-5"/>
                <w:sz w:val="22"/>
              </w:rPr>
              <w:t>37</w:t>
            </w:r>
          </w:p>
          <w:p>
            <w:pPr>
              <w:pStyle w:val="TableParagraph"/>
              <w:spacing w:line="252" w:lineRule="exact"/>
              <w:ind w:left="247"/>
              <w:rPr>
                <w:sz w:val="22"/>
              </w:rPr>
            </w:pPr>
            <w:r>
              <w:rPr>
                <w:spacing w:val="-5"/>
                <w:sz w:val="22"/>
              </w:rPr>
              <w:t>10</w:t>
            </w:r>
          </w:p>
        </w:tc>
        <w:tc>
          <w:tcPr>
            <w:tcW w:w="1445" w:type="dxa"/>
          </w:tcPr>
          <w:p>
            <w:pPr>
              <w:pStyle w:val="TableParagraph"/>
              <w:spacing w:line="247" w:lineRule="exact"/>
              <w:ind w:left="222"/>
              <w:rPr>
                <w:sz w:val="22"/>
              </w:rPr>
            </w:pPr>
            <w:r>
              <w:rPr>
                <w:spacing w:val="-4"/>
                <w:sz w:val="22"/>
              </w:rPr>
              <w:t>0.00</w:t>
            </w:r>
          </w:p>
          <w:p>
            <w:pPr>
              <w:pStyle w:val="TableParagraph"/>
              <w:spacing w:line="252" w:lineRule="exact" w:before="1"/>
              <w:ind w:left="222"/>
              <w:rPr>
                <w:sz w:val="22"/>
              </w:rPr>
            </w:pPr>
            <w:r>
              <w:rPr>
                <w:spacing w:val="-4"/>
                <w:sz w:val="22"/>
              </w:rPr>
              <w:t>8.00</w:t>
            </w:r>
          </w:p>
          <w:p>
            <w:pPr>
              <w:pStyle w:val="TableParagraph"/>
              <w:spacing w:line="252" w:lineRule="exact"/>
              <w:ind w:left="112"/>
              <w:rPr>
                <w:sz w:val="22"/>
              </w:rPr>
            </w:pPr>
            <w:r>
              <w:rPr>
                <w:spacing w:val="-2"/>
                <w:sz w:val="22"/>
              </w:rPr>
              <w:t>62.00</w:t>
            </w:r>
          </w:p>
          <w:p>
            <w:pPr>
              <w:pStyle w:val="TableParagraph"/>
              <w:spacing w:line="252" w:lineRule="exact" w:before="2"/>
              <w:ind w:left="112"/>
              <w:rPr>
                <w:sz w:val="22"/>
              </w:rPr>
            </w:pPr>
            <w:r>
              <w:rPr>
                <w:spacing w:val="-2"/>
                <w:sz w:val="22"/>
              </w:rPr>
              <w:t>24.00</w:t>
            </w:r>
          </w:p>
          <w:p>
            <w:pPr>
              <w:pStyle w:val="TableParagraph"/>
              <w:spacing w:line="252" w:lineRule="exact"/>
              <w:ind w:left="222"/>
              <w:rPr>
                <w:sz w:val="22"/>
              </w:rPr>
            </w:pPr>
            <w:r>
              <w:rPr>
                <w:spacing w:val="-4"/>
                <w:sz w:val="22"/>
              </w:rPr>
              <w:t>6.00</w:t>
            </w:r>
          </w:p>
        </w:tc>
      </w:tr>
      <w:tr>
        <w:trPr>
          <w:trHeight w:val="547" w:hRule="atLeast"/>
        </w:trPr>
        <w:tc>
          <w:tcPr>
            <w:tcW w:w="2967" w:type="dxa"/>
            <w:shd w:val="clear" w:color="auto" w:fill="C0C0C0"/>
          </w:tcPr>
          <w:p>
            <w:pPr>
              <w:pStyle w:val="TableParagraph"/>
              <w:spacing w:line="252" w:lineRule="exact"/>
              <w:ind w:left="465"/>
              <w:rPr>
                <w:b/>
                <w:sz w:val="22"/>
              </w:rPr>
            </w:pPr>
            <w:r>
              <w:rPr>
                <w:b/>
                <w:spacing w:val="-2"/>
                <w:sz w:val="22"/>
              </w:rPr>
              <w:t>Total</w:t>
            </w:r>
          </w:p>
        </w:tc>
        <w:tc>
          <w:tcPr>
            <w:tcW w:w="2849" w:type="dxa"/>
            <w:shd w:val="clear" w:color="auto" w:fill="C0C0C0"/>
          </w:tcPr>
          <w:p>
            <w:pPr>
              <w:pStyle w:val="TableParagraph"/>
              <w:rPr>
                <w:sz w:val="22"/>
              </w:rPr>
            </w:pPr>
          </w:p>
        </w:tc>
        <w:tc>
          <w:tcPr>
            <w:tcW w:w="2027" w:type="dxa"/>
            <w:shd w:val="clear" w:color="auto" w:fill="C0C0C0"/>
          </w:tcPr>
          <w:p>
            <w:pPr>
              <w:pStyle w:val="TableParagraph"/>
              <w:spacing w:line="247" w:lineRule="exact"/>
              <w:ind w:left="247"/>
              <w:rPr>
                <w:sz w:val="22"/>
              </w:rPr>
            </w:pPr>
            <w:r>
              <w:rPr>
                <w:spacing w:val="-5"/>
                <w:sz w:val="22"/>
              </w:rPr>
              <w:t>156</w:t>
            </w:r>
          </w:p>
        </w:tc>
        <w:tc>
          <w:tcPr>
            <w:tcW w:w="1445" w:type="dxa"/>
            <w:shd w:val="clear" w:color="auto" w:fill="C0C0C0"/>
          </w:tcPr>
          <w:p>
            <w:pPr>
              <w:pStyle w:val="TableParagraph"/>
              <w:spacing w:line="247" w:lineRule="exact"/>
              <w:ind w:left="112"/>
              <w:rPr>
                <w:sz w:val="22"/>
              </w:rPr>
            </w:pPr>
            <w:r>
              <w:rPr>
                <w:spacing w:val="-4"/>
                <w:sz w:val="22"/>
              </w:rPr>
              <w:t>100%</w:t>
            </w:r>
          </w:p>
        </w:tc>
      </w:tr>
      <w:tr>
        <w:trPr>
          <w:trHeight w:val="254" w:hRule="atLeast"/>
        </w:trPr>
        <w:tc>
          <w:tcPr>
            <w:tcW w:w="2967" w:type="dxa"/>
          </w:tcPr>
          <w:p>
            <w:pPr>
              <w:pStyle w:val="TableParagraph"/>
              <w:spacing w:line="234" w:lineRule="exact"/>
              <w:ind w:left="122"/>
              <w:rPr>
                <w:b/>
                <w:sz w:val="22"/>
              </w:rPr>
            </w:pPr>
            <w:r>
              <w:rPr>
                <w:b/>
                <w:sz w:val="22"/>
              </w:rPr>
              <w:t>What</w:t>
            </w:r>
            <w:r>
              <w:rPr>
                <w:b/>
                <w:spacing w:val="-4"/>
                <w:sz w:val="22"/>
              </w:rPr>
              <w:t> </w:t>
            </w:r>
            <w:r>
              <w:rPr>
                <w:b/>
                <w:sz w:val="22"/>
              </w:rPr>
              <w:t>is</w:t>
            </w:r>
            <w:r>
              <w:rPr>
                <w:b/>
                <w:spacing w:val="-1"/>
                <w:sz w:val="22"/>
              </w:rPr>
              <w:t> </w:t>
            </w:r>
            <w:r>
              <w:rPr>
                <w:b/>
                <w:sz w:val="22"/>
              </w:rPr>
              <w:t>the</w:t>
            </w:r>
            <w:r>
              <w:rPr>
                <w:b/>
                <w:spacing w:val="-2"/>
                <w:sz w:val="22"/>
              </w:rPr>
              <w:t> </w:t>
            </w:r>
            <w:r>
              <w:rPr>
                <w:b/>
                <w:sz w:val="22"/>
              </w:rPr>
              <w:t>largest</w:t>
            </w:r>
            <w:r>
              <w:rPr>
                <w:b/>
                <w:spacing w:val="-3"/>
                <w:sz w:val="22"/>
              </w:rPr>
              <w:t> </w:t>
            </w:r>
            <w:r>
              <w:rPr>
                <w:b/>
                <w:spacing w:val="-2"/>
                <w:sz w:val="22"/>
              </w:rPr>
              <w:t>source</w:t>
            </w:r>
          </w:p>
        </w:tc>
        <w:tc>
          <w:tcPr>
            <w:tcW w:w="2849" w:type="dxa"/>
            <w:vMerge w:val="restart"/>
          </w:tcPr>
          <w:p>
            <w:pPr>
              <w:pStyle w:val="TableParagraph"/>
              <w:numPr>
                <w:ilvl w:val="0"/>
                <w:numId w:val="93"/>
              </w:numPr>
              <w:tabs>
                <w:tab w:pos="487" w:val="left" w:leader="none"/>
              </w:tabs>
              <w:spacing w:line="242" w:lineRule="auto" w:before="0" w:after="0"/>
              <w:ind w:left="487" w:right="593" w:hanging="360"/>
              <w:jc w:val="left"/>
              <w:rPr>
                <w:sz w:val="22"/>
              </w:rPr>
            </w:pPr>
            <w:r>
              <w:rPr>
                <w:sz w:val="22"/>
              </w:rPr>
              <w:t>Internally</w:t>
            </w:r>
            <w:r>
              <w:rPr>
                <w:spacing w:val="-14"/>
                <w:sz w:val="22"/>
              </w:rPr>
              <w:t> </w:t>
            </w:r>
            <w:r>
              <w:rPr>
                <w:sz w:val="22"/>
              </w:rPr>
              <w:t>generated </w:t>
            </w:r>
            <w:r>
              <w:rPr>
                <w:spacing w:val="-2"/>
                <w:sz w:val="22"/>
              </w:rPr>
              <w:t>revenue</w:t>
            </w:r>
          </w:p>
          <w:p>
            <w:pPr>
              <w:pStyle w:val="TableParagraph"/>
              <w:numPr>
                <w:ilvl w:val="0"/>
                <w:numId w:val="93"/>
              </w:numPr>
              <w:tabs>
                <w:tab w:pos="465" w:val="left" w:leader="none"/>
              </w:tabs>
              <w:spacing w:line="248" w:lineRule="exact" w:before="0" w:after="0"/>
              <w:ind w:left="465" w:right="0" w:hanging="358"/>
              <w:jc w:val="left"/>
              <w:rPr>
                <w:sz w:val="22"/>
              </w:rPr>
            </w:pPr>
            <w:r>
              <w:rPr>
                <w:sz w:val="22"/>
              </w:rPr>
              <w:t>Federal</w:t>
            </w:r>
            <w:r>
              <w:rPr>
                <w:spacing w:val="-4"/>
                <w:sz w:val="22"/>
              </w:rPr>
              <w:t> </w:t>
            </w:r>
            <w:r>
              <w:rPr>
                <w:spacing w:val="-2"/>
                <w:sz w:val="22"/>
              </w:rPr>
              <w:t>allocation</w:t>
            </w:r>
          </w:p>
          <w:p>
            <w:pPr>
              <w:pStyle w:val="TableParagraph"/>
              <w:numPr>
                <w:ilvl w:val="0"/>
                <w:numId w:val="93"/>
              </w:numPr>
              <w:tabs>
                <w:tab w:pos="467" w:val="left" w:leader="none"/>
              </w:tabs>
              <w:spacing w:line="240" w:lineRule="auto" w:before="0" w:after="0"/>
              <w:ind w:left="467" w:right="1144" w:hanging="360"/>
              <w:jc w:val="left"/>
              <w:rPr>
                <w:sz w:val="22"/>
              </w:rPr>
            </w:pPr>
            <w:r>
              <w:rPr>
                <w:spacing w:val="-2"/>
                <w:sz w:val="22"/>
              </w:rPr>
              <w:t>International Organizations</w:t>
            </w:r>
          </w:p>
          <w:p>
            <w:pPr>
              <w:pStyle w:val="TableParagraph"/>
              <w:numPr>
                <w:ilvl w:val="0"/>
                <w:numId w:val="93"/>
              </w:numPr>
              <w:tabs>
                <w:tab w:pos="465" w:val="left" w:leader="none"/>
              </w:tabs>
              <w:spacing w:line="240" w:lineRule="auto" w:before="0" w:after="0"/>
              <w:ind w:left="465" w:right="0" w:hanging="358"/>
              <w:jc w:val="left"/>
              <w:rPr>
                <w:sz w:val="22"/>
              </w:rPr>
            </w:pPr>
            <w:r>
              <w:rPr>
                <w:spacing w:val="-4"/>
                <w:sz w:val="22"/>
              </w:rPr>
              <w:t>NGOs</w:t>
            </w:r>
          </w:p>
          <w:p>
            <w:pPr>
              <w:pStyle w:val="TableParagraph"/>
              <w:numPr>
                <w:ilvl w:val="0"/>
                <w:numId w:val="93"/>
              </w:numPr>
              <w:tabs>
                <w:tab w:pos="466" w:val="left" w:leader="none"/>
              </w:tabs>
              <w:spacing w:line="252" w:lineRule="exact" w:before="0" w:after="0"/>
              <w:ind w:left="466" w:right="0" w:hanging="359"/>
              <w:jc w:val="left"/>
              <w:rPr>
                <w:sz w:val="22"/>
              </w:rPr>
            </w:pPr>
            <w:r>
              <w:rPr>
                <w:sz w:val="22"/>
              </w:rPr>
              <w:t>Private</w:t>
            </w:r>
            <w:r>
              <w:rPr>
                <w:spacing w:val="-3"/>
                <w:sz w:val="22"/>
              </w:rPr>
              <w:t> </w:t>
            </w:r>
            <w:r>
              <w:rPr>
                <w:spacing w:val="-2"/>
                <w:sz w:val="22"/>
              </w:rPr>
              <w:t>sector(PPP)</w:t>
            </w:r>
          </w:p>
          <w:p>
            <w:pPr>
              <w:pStyle w:val="TableParagraph"/>
              <w:numPr>
                <w:ilvl w:val="0"/>
                <w:numId w:val="93"/>
              </w:numPr>
              <w:tabs>
                <w:tab w:pos="464" w:val="left" w:leader="none"/>
              </w:tabs>
              <w:spacing w:line="252" w:lineRule="exact" w:before="0" w:after="0"/>
              <w:ind w:left="464" w:right="0" w:hanging="357"/>
              <w:jc w:val="left"/>
              <w:rPr>
                <w:sz w:val="22"/>
              </w:rPr>
            </w:pPr>
            <w:r>
              <w:rPr>
                <w:sz w:val="22"/>
              </w:rPr>
              <w:t>No</w:t>
            </w:r>
            <w:r>
              <w:rPr>
                <w:spacing w:val="-2"/>
                <w:sz w:val="22"/>
              </w:rPr>
              <w:t> </w:t>
            </w:r>
            <w:r>
              <w:rPr>
                <w:spacing w:val="-4"/>
                <w:sz w:val="22"/>
              </w:rPr>
              <w:t>idea</w:t>
            </w:r>
          </w:p>
        </w:tc>
        <w:tc>
          <w:tcPr>
            <w:tcW w:w="2027" w:type="dxa"/>
          </w:tcPr>
          <w:p>
            <w:pPr>
              <w:pStyle w:val="TableParagraph"/>
              <w:rPr>
                <w:sz w:val="18"/>
              </w:rPr>
            </w:pPr>
          </w:p>
        </w:tc>
        <w:tc>
          <w:tcPr>
            <w:tcW w:w="1445" w:type="dxa"/>
          </w:tcPr>
          <w:p>
            <w:pPr>
              <w:pStyle w:val="TableParagraph"/>
              <w:rPr>
                <w:sz w:val="18"/>
              </w:rPr>
            </w:pPr>
          </w:p>
        </w:tc>
      </w:tr>
      <w:tr>
        <w:trPr>
          <w:trHeight w:val="253" w:hRule="atLeast"/>
        </w:trPr>
        <w:tc>
          <w:tcPr>
            <w:tcW w:w="2967" w:type="dxa"/>
          </w:tcPr>
          <w:p>
            <w:pPr>
              <w:pStyle w:val="TableParagraph"/>
              <w:spacing w:line="233" w:lineRule="exact"/>
              <w:ind w:left="122"/>
              <w:rPr>
                <w:b/>
                <w:sz w:val="22"/>
              </w:rPr>
            </w:pPr>
            <w:r>
              <w:rPr>
                <w:b/>
                <w:sz w:val="22"/>
              </w:rPr>
              <w:t>of budget</w:t>
            </w:r>
            <w:r>
              <w:rPr>
                <w:b/>
                <w:spacing w:val="-5"/>
                <w:sz w:val="22"/>
              </w:rPr>
              <w:t> </w:t>
            </w:r>
            <w:r>
              <w:rPr>
                <w:b/>
                <w:sz w:val="22"/>
              </w:rPr>
              <w:t>funding</w:t>
            </w:r>
            <w:r>
              <w:rPr>
                <w:b/>
                <w:spacing w:val="-5"/>
                <w:sz w:val="22"/>
              </w:rPr>
              <w:t> for</w:t>
            </w:r>
          </w:p>
        </w:tc>
        <w:tc>
          <w:tcPr>
            <w:tcW w:w="2849" w:type="dxa"/>
            <w:vMerge/>
            <w:tcBorders>
              <w:top w:val="nil"/>
            </w:tcBorders>
          </w:tcPr>
          <w:p>
            <w:pPr>
              <w:rPr>
                <w:sz w:val="2"/>
                <w:szCs w:val="2"/>
              </w:rPr>
            </w:pPr>
          </w:p>
        </w:tc>
        <w:tc>
          <w:tcPr>
            <w:tcW w:w="2027" w:type="dxa"/>
          </w:tcPr>
          <w:p>
            <w:pPr>
              <w:pStyle w:val="TableParagraph"/>
              <w:spacing w:line="233" w:lineRule="exact"/>
              <w:ind w:left="247"/>
              <w:rPr>
                <w:sz w:val="22"/>
              </w:rPr>
            </w:pPr>
            <w:r>
              <w:rPr>
                <w:spacing w:val="-5"/>
                <w:sz w:val="22"/>
              </w:rPr>
              <w:t>30</w:t>
            </w:r>
          </w:p>
        </w:tc>
        <w:tc>
          <w:tcPr>
            <w:tcW w:w="1445" w:type="dxa"/>
          </w:tcPr>
          <w:p>
            <w:pPr>
              <w:pStyle w:val="TableParagraph"/>
              <w:spacing w:line="233" w:lineRule="exact"/>
              <w:ind w:left="112"/>
              <w:rPr>
                <w:sz w:val="22"/>
              </w:rPr>
            </w:pPr>
            <w:r>
              <w:rPr>
                <w:spacing w:val="-2"/>
                <w:sz w:val="22"/>
              </w:rPr>
              <w:t>19.00</w:t>
            </w:r>
          </w:p>
        </w:tc>
      </w:tr>
      <w:tr>
        <w:trPr>
          <w:trHeight w:val="254" w:hRule="atLeast"/>
        </w:trPr>
        <w:tc>
          <w:tcPr>
            <w:tcW w:w="2967" w:type="dxa"/>
          </w:tcPr>
          <w:p>
            <w:pPr>
              <w:pStyle w:val="TableParagraph"/>
              <w:spacing w:line="234" w:lineRule="exact"/>
              <w:ind w:left="122"/>
              <w:rPr>
                <w:b/>
                <w:sz w:val="22"/>
              </w:rPr>
            </w:pPr>
            <w:r>
              <w:rPr>
                <w:b/>
                <w:sz w:val="22"/>
              </w:rPr>
              <w:t>housing</w:t>
            </w:r>
            <w:r>
              <w:rPr>
                <w:b/>
                <w:spacing w:val="-4"/>
                <w:sz w:val="22"/>
              </w:rPr>
              <w:t> </w:t>
            </w:r>
            <w:r>
              <w:rPr>
                <w:b/>
                <w:sz w:val="22"/>
              </w:rPr>
              <w:t>projects</w:t>
            </w:r>
            <w:r>
              <w:rPr>
                <w:b/>
                <w:spacing w:val="-4"/>
                <w:sz w:val="22"/>
              </w:rPr>
              <w:t> </w:t>
            </w:r>
            <w:r>
              <w:rPr>
                <w:b/>
                <w:spacing w:val="-5"/>
                <w:sz w:val="22"/>
              </w:rPr>
              <w:t>in</w:t>
            </w:r>
          </w:p>
        </w:tc>
        <w:tc>
          <w:tcPr>
            <w:tcW w:w="2849" w:type="dxa"/>
            <w:vMerge/>
            <w:tcBorders>
              <w:top w:val="nil"/>
            </w:tcBorders>
          </w:tcPr>
          <w:p>
            <w:pPr>
              <w:rPr>
                <w:sz w:val="2"/>
                <w:szCs w:val="2"/>
              </w:rPr>
            </w:pPr>
          </w:p>
        </w:tc>
        <w:tc>
          <w:tcPr>
            <w:tcW w:w="2027" w:type="dxa"/>
          </w:tcPr>
          <w:p>
            <w:pPr>
              <w:pStyle w:val="TableParagraph"/>
              <w:spacing w:line="234" w:lineRule="exact"/>
              <w:ind w:left="247"/>
              <w:rPr>
                <w:sz w:val="22"/>
              </w:rPr>
            </w:pPr>
            <w:r>
              <w:rPr>
                <w:spacing w:val="-5"/>
                <w:sz w:val="22"/>
              </w:rPr>
              <w:t>106</w:t>
            </w:r>
          </w:p>
        </w:tc>
        <w:tc>
          <w:tcPr>
            <w:tcW w:w="1445" w:type="dxa"/>
          </w:tcPr>
          <w:p>
            <w:pPr>
              <w:pStyle w:val="TableParagraph"/>
              <w:spacing w:line="234" w:lineRule="exact"/>
              <w:ind w:left="112"/>
              <w:rPr>
                <w:sz w:val="22"/>
              </w:rPr>
            </w:pPr>
            <w:r>
              <w:rPr>
                <w:spacing w:val="-2"/>
                <w:sz w:val="22"/>
              </w:rPr>
              <w:t>68.00</w:t>
            </w:r>
          </w:p>
        </w:tc>
      </w:tr>
      <w:tr>
        <w:trPr>
          <w:trHeight w:val="250" w:hRule="atLeast"/>
        </w:trPr>
        <w:tc>
          <w:tcPr>
            <w:tcW w:w="2967" w:type="dxa"/>
          </w:tcPr>
          <w:p>
            <w:pPr>
              <w:pStyle w:val="TableParagraph"/>
              <w:spacing w:line="231" w:lineRule="exact"/>
              <w:ind w:left="122"/>
              <w:rPr>
                <w:b/>
                <w:sz w:val="22"/>
              </w:rPr>
            </w:pPr>
            <w:r>
              <w:rPr>
                <w:b/>
                <w:sz w:val="22"/>
              </w:rPr>
              <w:t>Anambra</w:t>
            </w:r>
            <w:r>
              <w:rPr>
                <w:b/>
                <w:spacing w:val="-2"/>
                <w:sz w:val="22"/>
              </w:rPr>
              <w:t> State?</w:t>
            </w:r>
          </w:p>
        </w:tc>
        <w:tc>
          <w:tcPr>
            <w:tcW w:w="2849" w:type="dxa"/>
            <w:vMerge/>
            <w:tcBorders>
              <w:top w:val="nil"/>
            </w:tcBorders>
          </w:tcPr>
          <w:p>
            <w:pPr>
              <w:rPr>
                <w:sz w:val="2"/>
                <w:szCs w:val="2"/>
              </w:rPr>
            </w:pPr>
          </w:p>
        </w:tc>
        <w:tc>
          <w:tcPr>
            <w:tcW w:w="2027" w:type="dxa"/>
          </w:tcPr>
          <w:p>
            <w:pPr>
              <w:pStyle w:val="TableParagraph"/>
              <w:rPr>
                <w:sz w:val="18"/>
              </w:rPr>
            </w:pPr>
          </w:p>
        </w:tc>
        <w:tc>
          <w:tcPr>
            <w:tcW w:w="1445" w:type="dxa"/>
          </w:tcPr>
          <w:p>
            <w:pPr>
              <w:pStyle w:val="TableParagraph"/>
              <w:rPr>
                <w:sz w:val="18"/>
              </w:rPr>
            </w:pPr>
          </w:p>
        </w:tc>
      </w:tr>
      <w:tr>
        <w:trPr>
          <w:trHeight w:val="250" w:hRule="atLeast"/>
        </w:trPr>
        <w:tc>
          <w:tcPr>
            <w:tcW w:w="2967" w:type="dxa"/>
          </w:tcPr>
          <w:p>
            <w:pPr>
              <w:pStyle w:val="TableParagraph"/>
              <w:rPr>
                <w:sz w:val="18"/>
              </w:rPr>
            </w:pPr>
          </w:p>
        </w:tc>
        <w:tc>
          <w:tcPr>
            <w:tcW w:w="2849" w:type="dxa"/>
            <w:vMerge/>
            <w:tcBorders>
              <w:top w:val="nil"/>
            </w:tcBorders>
          </w:tcPr>
          <w:p>
            <w:pPr>
              <w:rPr>
                <w:sz w:val="2"/>
                <w:szCs w:val="2"/>
              </w:rPr>
            </w:pPr>
          </w:p>
        </w:tc>
        <w:tc>
          <w:tcPr>
            <w:tcW w:w="2027" w:type="dxa"/>
          </w:tcPr>
          <w:p>
            <w:pPr>
              <w:pStyle w:val="TableParagraph"/>
              <w:spacing w:line="231" w:lineRule="exact"/>
              <w:ind w:left="247"/>
              <w:rPr>
                <w:sz w:val="22"/>
              </w:rPr>
            </w:pPr>
            <w:r>
              <w:rPr>
                <w:spacing w:val="-5"/>
                <w:sz w:val="22"/>
              </w:rPr>
              <w:t>12</w:t>
            </w:r>
          </w:p>
        </w:tc>
        <w:tc>
          <w:tcPr>
            <w:tcW w:w="1445" w:type="dxa"/>
          </w:tcPr>
          <w:p>
            <w:pPr>
              <w:pStyle w:val="TableParagraph"/>
              <w:spacing w:line="231" w:lineRule="exact"/>
              <w:ind w:left="222"/>
              <w:rPr>
                <w:sz w:val="22"/>
              </w:rPr>
            </w:pPr>
            <w:r>
              <w:rPr>
                <w:spacing w:val="-4"/>
                <w:sz w:val="22"/>
              </w:rPr>
              <w:t>8.00</w:t>
            </w:r>
          </w:p>
        </w:tc>
      </w:tr>
      <w:tr>
        <w:trPr>
          <w:trHeight w:val="253" w:hRule="atLeast"/>
        </w:trPr>
        <w:tc>
          <w:tcPr>
            <w:tcW w:w="2967" w:type="dxa"/>
          </w:tcPr>
          <w:p>
            <w:pPr>
              <w:pStyle w:val="TableParagraph"/>
              <w:rPr>
                <w:sz w:val="18"/>
              </w:rPr>
            </w:pPr>
          </w:p>
        </w:tc>
        <w:tc>
          <w:tcPr>
            <w:tcW w:w="2849" w:type="dxa"/>
            <w:vMerge/>
            <w:tcBorders>
              <w:top w:val="nil"/>
            </w:tcBorders>
          </w:tcPr>
          <w:p>
            <w:pPr>
              <w:rPr>
                <w:sz w:val="2"/>
                <w:szCs w:val="2"/>
              </w:rPr>
            </w:pPr>
          </w:p>
        </w:tc>
        <w:tc>
          <w:tcPr>
            <w:tcW w:w="2027" w:type="dxa"/>
          </w:tcPr>
          <w:p>
            <w:pPr>
              <w:pStyle w:val="TableParagraph"/>
              <w:spacing w:line="233" w:lineRule="exact"/>
              <w:ind w:left="247"/>
              <w:rPr>
                <w:sz w:val="22"/>
              </w:rPr>
            </w:pPr>
            <w:r>
              <w:rPr>
                <w:spacing w:val="-10"/>
                <w:sz w:val="22"/>
              </w:rPr>
              <w:t>0</w:t>
            </w:r>
          </w:p>
        </w:tc>
        <w:tc>
          <w:tcPr>
            <w:tcW w:w="1445" w:type="dxa"/>
          </w:tcPr>
          <w:p>
            <w:pPr>
              <w:pStyle w:val="TableParagraph"/>
              <w:spacing w:line="233" w:lineRule="exact"/>
              <w:ind w:left="222"/>
              <w:rPr>
                <w:sz w:val="22"/>
              </w:rPr>
            </w:pPr>
            <w:r>
              <w:rPr>
                <w:spacing w:val="-4"/>
                <w:sz w:val="22"/>
              </w:rPr>
              <w:t>0.00</w:t>
            </w:r>
          </w:p>
        </w:tc>
      </w:tr>
      <w:tr>
        <w:trPr>
          <w:trHeight w:val="253" w:hRule="atLeast"/>
        </w:trPr>
        <w:tc>
          <w:tcPr>
            <w:tcW w:w="2967" w:type="dxa"/>
          </w:tcPr>
          <w:p>
            <w:pPr>
              <w:pStyle w:val="TableParagraph"/>
              <w:rPr>
                <w:sz w:val="18"/>
              </w:rPr>
            </w:pPr>
          </w:p>
        </w:tc>
        <w:tc>
          <w:tcPr>
            <w:tcW w:w="2849" w:type="dxa"/>
            <w:vMerge/>
            <w:tcBorders>
              <w:top w:val="nil"/>
            </w:tcBorders>
          </w:tcPr>
          <w:p>
            <w:pPr>
              <w:rPr>
                <w:sz w:val="2"/>
                <w:szCs w:val="2"/>
              </w:rPr>
            </w:pPr>
          </w:p>
        </w:tc>
        <w:tc>
          <w:tcPr>
            <w:tcW w:w="2027" w:type="dxa"/>
          </w:tcPr>
          <w:p>
            <w:pPr>
              <w:pStyle w:val="TableParagraph"/>
              <w:spacing w:line="233" w:lineRule="exact"/>
              <w:ind w:left="247"/>
              <w:rPr>
                <w:sz w:val="22"/>
              </w:rPr>
            </w:pPr>
            <w:r>
              <w:rPr>
                <w:spacing w:val="-10"/>
                <w:sz w:val="22"/>
              </w:rPr>
              <w:t>8</w:t>
            </w:r>
          </w:p>
        </w:tc>
        <w:tc>
          <w:tcPr>
            <w:tcW w:w="1445" w:type="dxa"/>
          </w:tcPr>
          <w:p>
            <w:pPr>
              <w:pStyle w:val="TableParagraph"/>
              <w:spacing w:line="233" w:lineRule="exact"/>
              <w:ind w:left="222"/>
              <w:rPr>
                <w:sz w:val="22"/>
              </w:rPr>
            </w:pPr>
            <w:r>
              <w:rPr>
                <w:spacing w:val="-4"/>
                <w:sz w:val="22"/>
              </w:rPr>
              <w:t>5.00</w:t>
            </w:r>
          </w:p>
        </w:tc>
      </w:tr>
      <w:tr>
        <w:trPr>
          <w:trHeight w:val="507" w:hRule="atLeast"/>
        </w:trPr>
        <w:tc>
          <w:tcPr>
            <w:tcW w:w="2967" w:type="dxa"/>
          </w:tcPr>
          <w:p>
            <w:pPr>
              <w:pStyle w:val="TableParagraph"/>
              <w:rPr>
                <w:sz w:val="22"/>
              </w:rPr>
            </w:pPr>
          </w:p>
        </w:tc>
        <w:tc>
          <w:tcPr>
            <w:tcW w:w="2849" w:type="dxa"/>
            <w:vMerge/>
            <w:tcBorders>
              <w:top w:val="nil"/>
            </w:tcBorders>
          </w:tcPr>
          <w:p>
            <w:pPr>
              <w:rPr>
                <w:sz w:val="2"/>
                <w:szCs w:val="2"/>
              </w:rPr>
            </w:pPr>
          </w:p>
        </w:tc>
        <w:tc>
          <w:tcPr>
            <w:tcW w:w="2027" w:type="dxa"/>
          </w:tcPr>
          <w:p>
            <w:pPr>
              <w:pStyle w:val="TableParagraph"/>
              <w:spacing w:line="248" w:lineRule="exact"/>
              <w:ind w:left="247"/>
              <w:rPr>
                <w:sz w:val="22"/>
              </w:rPr>
            </w:pPr>
            <w:r>
              <w:rPr>
                <w:spacing w:val="-10"/>
                <w:sz w:val="22"/>
              </w:rPr>
              <w:t>0</w:t>
            </w:r>
          </w:p>
        </w:tc>
        <w:tc>
          <w:tcPr>
            <w:tcW w:w="1445" w:type="dxa"/>
          </w:tcPr>
          <w:p>
            <w:pPr>
              <w:pStyle w:val="TableParagraph"/>
              <w:spacing w:line="248" w:lineRule="exact"/>
              <w:ind w:left="222"/>
              <w:rPr>
                <w:sz w:val="22"/>
              </w:rPr>
            </w:pPr>
            <w:r>
              <w:rPr>
                <w:spacing w:val="-4"/>
                <w:sz w:val="22"/>
              </w:rPr>
              <w:t>0.00</w:t>
            </w:r>
          </w:p>
        </w:tc>
      </w:tr>
      <w:tr>
        <w:trPr>
          <w:trHeight w:val="506" w:hRule="atLeast"/>
        </w:trPr>
        <w:tc>
          <w:tcPr>
            <w:tcW w:w="2967" w:type="dxa"/>
            <w:shd w:val="clear" w:color="auto" w:fill="C0C0C0"/>
          </w:tcPr>
          <w:p>
            <w:pPr>
              <w:pStyle w:val="TableParagraph"/>
              <w:spacing w:line="252" w:lineRule="exact"/>
              <w:ind w:left="465"/>
              <w:rPr>
                <w:b/>
                <w:sz w:val="22"/>
              </w:rPr>
            </w:pPr>
            <w:r>
              <w:rPr>
                <w:b/>
                <w:spacing w:val="-2"/>
                <w:sz w:val="22"/>
              </w:rPr>
              <w:t>Total</w:t>
            </w:r>
          </w:p>
        </w:tc>
        <w:tc>
          <w:tcPr>
            <w:tcW w:w="2849" w:type="dxa"/>
            <w:shd w:val="clear" w:color="auto" w:fill="C0C0C0"/>
          </w:tcPr>
          <w:p>
            <w:pPr>
              <w:pStyle w:val="TableParagraph"/>
              <w:rPr>
                <w:sz w:val="22"/>
              </w:rPr>
            </w:pPr>
          </w:p>
        </w:tc>
        <w:tc>
          <w:tcPr>
            <w:tcW w:w="2027" w:type="dxa"/>
            <w:shd w:val="clear" w:color="auto" w:fill="C0C0C0"/>
          </w:tcPr>
          <w:p>
            <w:pPr>
              <w:pStyle w:val="TableParagraph"/>
              <w:spacing w:line="247" w:lineRule="exact"/>
              <w:ind w:left="247"/>
              <w:rPr>
                <w:sz w:val="22"/>
              </w:rPr>
            </w:pPr>
            <w:r>
              <w:rPr>
                <w:spacing w:val="-5"/>
                <w:sz w:val="22"/>
              </w:rPr>
              <w:t>156</w:t>
            </w:r>
          </w:p>
        </w:tc>
        <w:tc>
          <w:tcPr>
            <w:tcW w:w="1445" w:type="dxa"/>
            <w:shd w:val="clear" w:color="auto" w:fill="C0C0C0"/>
          </w:tcPr>
          <w:p>
            <w:pPr>
              <w:pStyle w:val="TableParagraph"/>
              <w:spacing w:line="247" w:lineRule="exact"/>
              <w:ind w:left="112"/>
              <w:rPr>
                <w:sz w:val="22"/>
              </w:rPr>
            </w:pPr>
            <w:r>
              <w:rPr>
                <w:spacing w:val="-4"/>
                <w:sz w:val="22"/>
              </w:rPr>
              <w:t>100%</w:t>
            </w:r>
          </w:p>
        </w:tc>
      </w:tr>
      <w:tr>
        <w:trPr>
          <w:trHeight w:val="1771" w:hRule="atLeast"/>
        </w:trPr>
        <w:tc>
          <w:tcPr>
            <w:tcW w:w="2967" w:type="dxa"/>
          </w:tcPr>
          <w:p>
            <w:pPr>
              <w:pStyle w:val="TableParagraph"/>
              <w:ind w:left="122" w:right="292"/>
              <w:rPr>
                <w:b/>
                <w:sz w:val="22"/>
              </w:rPr>
            </w:pPr>
            <w:r>
              <w:rPr>
                <w:b/>
                <w:sz w:val="22"/>
              </w:rPr>
              <w:t>Which of the following professionals</w:t>
            </w:r>
            <w:r>
              <w:rPr>
                <w:b/>
                <w:spacing w:val="-12"/>
                <w:sz w:val="22"/>
              </w:rPr>
              <w:t> </w:t>
            </w:r>
            <w:r>
              <w:rPr>
                <w:b/>
                <w:sz w:val="22"/>
              </w:rPr>
              <w:t>do</w:t>
            </w:r>
            <w:r>
              <w:rPr>
                <w:b/>
                <w:spacing w:val="-12"/>
                <w:sz w:val="22"/>
              </w:rPr>
              <w:t> </w:t>
            </w:r>
            <w:r>
              <w:rPr>
                <w:b/>
                <w:sz w:val="22"/>
              </w:rPr>
              <w:t>you</w:t>
            </w:r>
            <w:r>
              <w:rPr>
                <w:b/>
                <w:spacing w:val="-14"/>
                <w:sz w:val="22"/>
              </w:rPr>
              <w:t> </w:t>
            </w:r>
            <w:r>
              <w:rPr>
                <w:b/>
                <w:sz w:val="22"/>
              </w:rPr>
              <w:t>think is</w:t>
            </w:r>
            <w:r>
              <w:rPr>
                <w:b/>
                <w:spacing w:val="-2"/>
                <w:sz w:val="22"/>
              </w:rPr>
              <w:t> </w:t>
            </w:r>
            <w:r>
              <w:rPr>
                <w:b/>
                <w:sz w:val="22"/>
              </w:rPr>
              <w:t>the</w:t>
            </w:r>
            <w:r>
              <w:rPr>
                <w:b/>
                <w:spacing w:val="-2"/>
                <w:sz w:val="22"/>
              </w:rPr>
              <w:t> </w:t>
            </w:r>
            <w:r>
              <w:rPr>
                <w:b/>
                <w:sz w:val="22"/>
              </w:rPr>
              <w:t>most</w:t>
            </w:r>
            <w:r>
              <w:rPr>
                <w:b/>
                <w:spacing w:val="-4"/>
                <w:sz w:val="22"/>
              </w:rPr>
              <w:t> </w:t>
            </w:r>
            <w:r>
              <w:rPr>
                <w:b/>
                <w:sz w:val="22"/>
              </w:rPr>
              <w:t>equipped</w:t>
            </w:r>
            <w:r>
              <w:rPr>
                <w:b/>
                <w:spacing w:val="-2"/>
                <w:sz w:val="22"/>
              </w:rPr>
              <w:t> </w:t>
            </w:r>
            <w:r>
              <w:rPr>
                <w:b/>
                <w:sz w:val="22"/>
              </w:rPr>
              <w:t>to</w:t>
            </w:r>
            <w:r>
              <w:rPr>
                <w:b/>
                <w:spacing w:val="-5"/>
                <w:sz w:val="22"/>
              </w:rPr>
              <w:t> </w:t>
            </w:r>
            <w:r>
              <w:rPr>
                <w:b/>
                <w:sz w:val="22"/>
              </w:rPr>
              <w:t>be involved in the entire housing budget process?</w:t>
            </w:r>
          </w:p>
        </w:tc>
        <w:tc>
          <w:tcPr>
            <w:tcW w:w="2849" w:type="dxa"/>
          </w:tcPr>
          <w:p>
            <w:pPr>
              <w:pStyle w:val="TableParagraph"/>
              <w:numPr>
                <w:ilvl w:val="0"/>
                <w:numId w:val="94"/>
              </w:numPr>
              <w:tabs>
                <w:tab w:pos="486" w:val="left" w:leader="none"/>
              </w:tabs>
              <w:spacing w:line="247" w:lineRule="exact" w:before="0" w:after="0"/>
              <w:ind w:left="486" w:right="0" w:hanging="359"/>
              <w:jc w:val="left"/>
              <w:rPr>
                <w:sz w:val="22"/>
              </w:rPr>
            </w:pPr>
            <w:r>
              <w:rPr>
                <w:sz w:val="22"/>
              </w:rPr>
              <w:t>Quantity</w:t>
            </w:r>
            <w:r>
              <w:rPr>
                <w:spacing w:val="-6"/>
                <w:sz w:val="22"/>
              </w:rPr>
              <w:t> </w:t>
            </w:r>
            <w:r>
              <w:rPr>
                <w:spacing w:val="-2"/>
                <w:sz w:val="22"/>
              </w:rPr>
              <w:t>Surveyor</w:t>
            </w:r>
          </w:p>
          <w:p>
            <w:pPr>
              <w:pStyle w:val="TableParagraph"/>
              <w:numPr>
                <w:ilvl w:val="0"/>
                <w:numId w:val="94"/>
              </w:numPr>
              <w:tabs>
                <w:tab w:pos="465" w:val="left" w:leader="none"/>
              </w:tabs>
              <w:spacing w:line="252" w:lineRule="exact" w:before="0" w:after="0"/>
              <w:ind w:left="465" w:right="0" w:hanging="358"/>
              <w:jc w:val="left"/>
              <w:rPr>
                <w:sz w:val="22"/>
              </w:rPr>
            </w:pPr>
            <w:r>
              <w:rPr>
                <w:spacing w:val="-2"/>
                <w:sz w:val="22"/>
              </w:rPr>
              <w:t>Accountant</w:t>
            </w:r>
          </w:p>
          <w:p>
            <w:pPr>
              <w:pStyle w:val="TableParagraph"/>
              <w:numPr>
                <w:ilvl w:val="0"/>
                <w:numId w:val="94"/>
              </w:numPr>
              <w:tabs>
                <w:tab w:pos="466" w:val="left" w:leader="none"/>
              </w:tabs>
              <w:spacing w:line="252" w:lineRule="exact" w:before="1" w:after="0"/>
              <w:ind w:left="466" w:right="0" w:hanging="359"/>
              <w:jc w:val="left"/>
              <w:rPr>
                <w:sz w:val="22"/>
              </w:rPr>
            </w:pPr>
            <w:r>
              <w:rPr>
                <w:spacing w:val="-2"/>
                <w:sz w:val="22"/>
              </w:rPr>
              <w:t>Economist</w:t>
            </w:r>
          </w:p>
          <w:p>
            <w:pPr>
              <w:pStyle w:val="TableParagraph"/>
              <w:numPr>
                <w:ilvl w:val="0"/>
                <w:numId w:val="94"/>
              </w:numPr>
              <w:tabs>
                <w:tab w:pos="465" w:val="left" w:leader="none"/>
              </w:tabs>
              <w:spacing w:line="252" w:lineRule="exact" w:before="0" w:after="0"/>
              <w:ind w:left="465" w:right="0" w:hanging="358"/>
              <w:jc w:val="left"/>
              <w:rPr>
                <w:sz w:val="22"/>
              </w:rPr>
            </w:pPr>
            <w:r>
              <w:rPr>
                <w:sz w:val="22"/>
              </w:rPr>
              <w:t>Public</w:t>
            </w:r>
            <w:r>
              <w:rPr>
                <w:spacing w:val="-1"/>
                <w:sz w:val="22"/>
              </w:rPr>
              <w:t> </w:t>
            </w:r>
            <w:r>
              <w:rPr>
                <w:spacing w:val="-2"/>
                <w:sz w:val="22"/>
              </w:rPr>
              <w:t>Administrator</w:t>
            </w:r>
          </w:p>
          <w:p>
            <w:pPr>
              <w:pStyle w:val="TableParagraph"/>
              <w:numPr>
                <w:ilvl w:val="0"/>
                <w:numId w:val="94"/>
              </w:numPr>
              <w:tabs>
                <w:tab w:pos="466" w:val="left" w:leader="none"/>
              </w:tabs>
              <w:spacing w:line="252" w:lineRule="exact" w:before="0" w:after="0"/>
              <w:ind w:left="466" w:right="0" w:hanging="359"/>
              <w:jc w:val="left"/>
              <w:rPr>
                <w:sz w:val="22"/>
              </w:rPr>
            </w:pPr>
            <w:r>
              <w:rPr>
                <w:sz w:val="22"/>
              </w:rPr>
              <w:t>All</w:t>
            </w:r>
            <w:r>
              <w:rPr>
                <w:spacing w:val="-2"/>
                <w:sz w:val="22"/>
              </w:rPr>
              <w:t> </w:t>
            </w:r>
            <w:r>
              <w:rPr>
                <w:sz w:val="22"/>
              </w:rPr>
              <w:t>of</w:t>
            </w:r>
            <w:r>
              <w:rPr>
                <w:spacing w:val="-2"/>
                <w:sz w:val="22"/>
              </w:rPr>
              <w:t> </w:t>
            </w:r>
            <w:r>
              <w:rPr>
                <w:sz w:val="22"/>
              </w:rPr>
              <w:t>the</w:t>
            </w:r>
            <w:r>
              <w:rPr>
                <w:spacing w:val="-2"/>
                <w:sz w:val="22"/>
              </w:rPr>
              <w:t> above</w:t>
            </w:r>
          </w:p>
          <w:p>
            <w:pPr>
              <w:pStyle w:val="TableParagraph"/>
              <w:numPr>
                <w:ilvl w:val="0"/>
                <w:numId w:val="94"/>
              </w:numPr>
              <w:tabs>
                <w:tab w:pos="464" w:val="left" w:leader="none"/>
              </w:tabs>
              <w:spacing w:line="240" w:lineRule="auto" w:before="2" w:after="0"/>
              <w:ind w:left="464" w:right="0" w:hanging="357"/>
              <w:jc w:val="left"/>
              <w:rPr>
                <w:sz w:val="22"/>
              </w:rPr>
            </w:pPr>
            <w:r>
              <w:rPr>
                <w:sz w:val="22"/>
              </w:rPr>
              <w:t>None</w:t>
            </w:r>
            <w:r>
              <w:rPr>
                <w:spacing w:val="-3"/>
                <w:sz w:val="22"/>
              </w:rPr>
              <w:t> </w:t>
            </w:r>
            <w:r>
              <w:rPr>
                <w:sz w:val="22"/>
              </w:rPr>
              <w:t>of</w:t>
            </w:r>
            <w:r>
              <w:rPr>
                <w:spacing w:val="-3"/>
                <w:sz w:val="22"/>
              </w:rPr>
              <w:t> </w:t>
            </w:r>
            <w:r>
              <w:rPr>
                <w:sz w:val="22"/>
              </w:rPr>
              <w:t>the</w:t>
            </w:r>
            <w:r>
              <w:rPr>
                <w:spacing w:val="-2"/>
                <w:sz w:val="22"/>
              </w:rPr>
              <w:t> </w:t>
            </w:r>
            <w:r>
              <w:rPr>
                <w:spacing w:val="-4"/>
                <w:sz w:val="22"/>
              </w:rPr>
              <w:t>above</w:t>
            </w:r>
          </w:p>
        </w:tc>
        <w:tc>
          <w:tcPr>
            <w:tcW w:w="2027" w:type="dxa"/>
          </w:tcPr>
          <w:p>
            <w:pPr>
              <w:pStyle w:val="TableParagraph"/>
              <w:spacing w:line="247" w:lineRule="exact"/>
              <w:ind w:left="247"/>
              <w:rPr>
                <w:sz w:val="22"/>
              </w:rPr>
            </w:pPr>
            <w:r>
              <w:rPr>
                <w:spacing w:val="-5"/>
                <w:sz w:val="22"/>
              </w:rPr>
              <w:t>62</w:t>
            </w:r>
          </w:p>
          <w:p>
            <w:pPr>
              <w:pStyle w:val="TableParagraph"/>
              <w:spacing w:line="252" w:lineRule="exact"/>
              <w:ind w:left="247"/>
              <w:rPr>
                <w:sz w:val="22"/>
              </w:rPr>
            </w:pPr>
            <w:r>
              <w:rPr>
                <w:spacing w:val="-5"/>
                <w:sz w:val="22"/>
              </w:rPr>
              <w:t>27</w:t>
            </w:r>
          </w:p>
          <w:p>
            <w:pPr>
              <w:pStyle w:val="TableParagraph"/>
              <w:spacing w:line="252" w:lineRule="exact" w:before="1"/>
              <w:ind w:left="247"/>
              <w:rPr>
                <w:sz w:val="22"/>
              </w:rPr>
            </w:pPr>
            <w:r>
              <w:rPr>
                <w:spacing w:val="-10"/>
                <w:sz w:val="22"/>
              </w:rPr>
              <w:t>9</w:t>
            </w:r>
          </w:p>
          <w:p>
            <w:pPr>
              <w:pStyle w:val="TableParagraph"/>
              <w:spacing w:line="252" w:lineRule="exact"/>
              <w:ind w:left="247"/>
              <w:rPr>
                <w:sz w:val="22"/>
              </w:rPr>
            </w:pPr>
            <w:r>
              <w:rPr>
                <w:spacing w:val="-10"/>
                <w:sz w:val="22"/>
              </w:rPr>
              <w:t>5</w:t>
            </w:r>
          </w:p>
          <w:p>
            <w:pPr>
              <w:pStyle w:val="TableParagraph"/>
              <w:spacing w:line="252" w:lineRule="exact"/>
              <w:ind w:left="247"/>
              <w:rPr>
                <w:sz w:val="22"/>
              </w:rPr>
            </w:pPr>
            <w:r>
              <w:rPr>
                <w:spacing w:val="-5"/>
                <w:sz w:val="22"/>
              </w:rPr>
              <w:t>53</w:t>
            </w:r>
          </w:p>
          <w:p>
            <w:pPr>
              <w:pStyle w:val="TableParagraph"/>
              <w:spacing w:before="2"/>
              <w:ind w:left="247"/>
              <w:rPr>
                <w:sz w:val="22"/>
              </w:rPr>
            </w:pPr>
            <w:r>
              <w:rPr>
                <w:spacing w:val="-10"/>
                <w:sz w:val="22"/>
              </w:rPr>
              <w:t>0</w:t>
            </w:r>
          </w:p>
        </w:tc>
        <w:tc>
          <w:tcPr>
            <w:tcW w:w="1445" w:type="dxa"/>
          </w:tcPr>
          <w:p>
            <w:pPr>
              <w:pStyle w:val="TableParagraph"/>
              <w:spacing w:line="247" w:lineRule="exact"/>
              <w:ind w:left="112"/>
              <w:rPr>
                <w:sz w:val="22"/>
              </w:rPr>
            </w:pPr>
            <w:r>
              <w:rPr>
                <w:spacing w:val="-2"/>
                <w:sz w:val="22"/>
              </w:rPr>
              <w:t>40.00</w:t>
            </w:r>
          </w:p>
          <w:p>
            <w:pPr>
              <w:pStyle w:val="TableParagraph"/>
              <w:spacing w:line="252" w:lineRule="exact"/>
              <w:ind w:left="112"/>
              <w:rPr>
                <w:sz w:val="22"/>
              </w:rPr>
            </w:pPr>
            <w:r>
              <w:rPr>
                <w:spacing w:val="-2"/>
                <w:sz w:val="22"/>
              </w:rPr>
              <w:t>17.00</w:t>
            </w:r>
          </w:p>
          <w:p>
            <w:pPr>
              <w:pStyle w:val="TableParagraph"/>
              <w:spacing w:line="252" w:lineRule="exact" w:before="1"/>
              <w:ind w:left="222"/>
              <w:rPr>
                <w:sz w:val="22"/>
              </w:rPr>
            </w:pPr>
            <w:r>
              <w:rPr>
                <w:spacing w:val="-4"/>
                <w:sz w:val="22"/>
              </w:rPr>
              <w:t>6.00</w:t>
            </w:r>
          </w:p>
          <w:p>
            <w:pPr>
              <w:pStyle w:val="TableParagraph"/>
              <w:spacing w:line="252" w:lineRule="exact"/>
              <w:ind w:left="222"/>
              <w:rPr>
                <w:sz w:val="22"/>
              </w:rPr>
            </w:pPr>
            <w:r>
              <w:rPr>
                <w:spacing w:val="-4"/>
                <w:sz w:val="22"/>
              </w:rPr>
              <w:t>3.00</w:t>
            </w:r>
          </w:p>
          <w:p>
            <w:pPr>
              <w:pStyle w:val="TableParagraph"/>
              <w:spacing w:line="252" w:lineRule="exact"/>
              <w:ind w:left="112"/>
              <w:rPr>
                <w:sz w:val="22"/>
              </w:rPr>
            </w:pPr>
            <w:r>
              <w:rPr>
                <w:spacing w:val="-2"/>
                <w:sz w:val="22"/>
              </w:rPr>
              <w:t>34.00</w:t>
            </w:r>
          </w:p>
          <w:p>
            <w:pPr>
              <w:pStyle w:val="TableParagraph"/>
              <w:spacing w:before="2"/>
              <w:ind w:left="222"/>
              <w:rPr>
                <w:sz w:val="22"/>
              </w:rPr>
            </w:pPr>
            <w:r>
              <w:rPr>
                <w:spacing w:val="-4"/>
                <w:sz w:val="22"/>
              </w:rPr>
              <w:t>0.00</w:t>
            </w:r>
          </w:p>
        </w:tc>
      </w:tr>
      <w:tr>
        <w:trPr>
          <w:trHeight w:val="546" w:hRule="atLeast"/>
        </w:trPr>
        <w:tc>
          <w:tcPr>
            <w:tcW w:w="2967" w:type="dxa"/>
            <w:tcBorders>
              <w:bottom w:val="single" w:sz="8" w:space="0" w:color="000000"/>
            </w:tcBorders>
            <w:shd w:val="clear" w:color="auto" w:fill="C0C0C0"/>
          </w:tcPr>
          <w:p>
            <w:pPr>
              <w:pStyle w:val="TableParagraph"/>
              <w:spacing w:line="252" w:lineRule="exact"/>
              <w:ind w:left="465"/>
              <w:rPr>
                <w:b/>
                <w:sz w:val="22"/>
              </w:rPr>
            </w:pPr>
            <w:r>
              <w:rPr>
                <w:b/>
                <w:spacing w:val="-2"/>
                <w:sz w:val="22"/>
              </w:rPr>
              <w:t>Total</w:t>
            </w:r>
          </w:p>
        </w:tc>
        <w:tc>
          <w:tcPr>
            <w:tcW w:w="2849" w:type="dxa"/>
            <w:tcBorders>
              <w:bottom w:val="single" w:sz="8" w:space="0" w:color="000000"/>
            </w:tcBorders>
            <w:shd w:val="clear" w:color="auto" w:fill="C0C0C0"/>
          </w:tcPr>
          <w:p>
            <w:pPr>
              <w:pStyle w:val="TableParagraph"/>
              <w:rPr>
                <w:sz w:val="22"/>
              </w:rPr>
            </w:pPr>
          </w:p>
        </w:tc>
        <w:tc>
          <w:tcPr>
            <w:tcW w:w="2027" w:type="dxa"/>
            <w:tcBorders>
              <w:bottom w:val="single" w:sz="8" w:space="0" w:color="000000"/>
            </w:tcBorders>
            <w:shd w:val="clear" w:color="auto" w:fill="C0C0C0"/>
          </w:tcPr>
          <w:p>
            <w:pPr>
              <w:pStyle w:val="TableParagraph"/>
              <w:spacing w:line="247" w:lineRule="exact"/>
              <w:ind w:left="247"/>
              <w:rPr>
                <w:sz w:val="22"/>
              </w:rPr>
            </w:pPr>
            <w:r>
              <w:rPr>
                <w:spacing w:val="-5"/>
                <w:sz w:val="22"/>
              </w:rPr>
              <w:t>156</w:t>
            </w:r>
          </w:p>
        </w:tc>
        <w:tc>
          <w:tcPr>
            <w:tcW w:w="1445" w:type="dxa"/>
            <w:tcBorders>
              <w:bottom w:val="single" w:sz="8" w:space="0" w:color="000000"/>
            </w:tcBorders>
            <w:shd w:val="clear" w:color="auto" w:fill="C0C0C0"/>
          </w:tcPr>
          <w:p>
            <w:pPr>
              <w:pStyle w:val="TableParagraph"/>
              <w:spacing w:line="247" w:lineRule="exact"/>
              <w:ind w:left="112"/>
              <w:rPr>
                <w:sz w:val="22"/>
              </w:rPr>
            </w:pPr>
            <w:r>
              <w:rPr>
                <w:spacing w:val="-4"/>
                <w:sz w:val="22"/>
              </w:rPr>
              <w:t>100%</w:t>
            </w:r>
          </w:p>
        </w:tc>
      </w:tr>
    </w:tbl>
    <w:p>
      <w:pPr>
        <w:pStyle w:val="BodyText"/>
        <w:ind w:left="240"/>
        <w:jc w:val="both"/>
      </w:pPr>
      <w:r>
        <w:rPr>
          <w:b/>
        </w:rPr>
        <w:t>Source:</w:t>
      </w:r>
      <w:r>
        <w:rPr>
          <w:b/>
          <w:spacing w:val="-2"/>
        </w:rPr>
        <w:t> </w:t>
      </w:r>
      <w:r>
        <w:rPr/>
        <w:t>Researcher‘s field</w:t>
      </w:r>
      <w:r>
        <w:rPr>
          <w:spacing w:val="-1"/>
        </w:rPr>
        <w:t> </w:t>
      </w:r>
      <w:r>
        <w:rPr/>
        <w:t>survey</w:t>
      </w:r>
      <w:r>
        <w:rPr>
          <w:spacing w:val="-1"/>
        </w:rPr>
        <w:t> </w:t>
      </w:r>
      <w:r>
        <w:rPr>
          <w:spacing w:val="-2"/>
        </w:rPr>
        <w:t>(2017)</w:t>
      </w:r>
    </w:p>
    <w:p>
      <w:pPr>
        <w:spacing w:after="0"/>
        <w:jc w:val="both"/>
        <w:sectPr>
          <w:pgSz w:w="12240" w:h="15840"/>
          <w:pgMar w:header="0" w:footer="1036" w:top="1360" w:bottom="1220" w:left="1200" w:right="600"/>
        </w:sectPr>
      </w:pPr>
    </w:p>
    <w:p>
      <w:pPr>
        <w:pStyle w:val="BodyText"/>
        <w:spacing w:line="360" w:lineRule="auto" w:before="74"/>
        <w:ind w:left="240" w:right="837"/>
        <w:jc w:val="both"/>
      </w:pPr>
      <w:r>
        <w:rPr/>
        <w:t>The following explains the respondents‘ opinions on adequacy and regularity of funding from annual housing budget, financial support for the state‘s Housing Corporation, sources of funding for housing projects and capabilities of housing budget professionals as shown in Table 5.12.</w:t>
      </w:r>
    </w:p>
    <w:p>
      <w:pPr>
        <w:pStyle w:val="ListParagraph"/>
        <w:numPr>
          <w:ilvl w:val="0"/>
          <w:numId w:val="95"/>
        </w:numPr>
        <w:tabs>
          <w:tab w:pos="547" w:val="left" w:leader="none"/>
        </w:tabs>
        <w:spacing w:line="360" w:lineRule="auto" w:before="208" w:after="0"/>
        <w:ind w:left="240" w:right="833" w:firstLine="0"/>
        <w:jc w:val="both"/>
        <w:rPr>
          <w:sz w:val="24"/>
        </w:rPr>
      </w:pPr>
      <w:r>
        <w:rPr>
          <w:b/>
          <w:sz w:val="24"/>
        </w:rPr>
        <w:t>Adequacy of annual housing budget allocation: </w:t>
      </w:r>
      <w:r>
        <w:rPr>
          <w:sz w:val="24"/>
        </w:rPr>
        <w:t>Table 5.12 enquired on respondents‘ perception of the adequacy</w:t>
      </w:r>
      <w:r>
        <w:rPr>
          <w:spacing w:val="-2"/>
          <w:sz w:val="24"/>
        </w:rPr>
        <w:t> </w:t>
      </w:r>
      <w:r>
        <w:rPr>
          <w:sz w:val="24"/>
        </w:rPr>
        <w:t>of the annual budgetary</w:t>
      </w:r>
      <w:r>
        <w:rPr>
          <w:spacing w:val="-2"/>
          <w:sz w:val="24"/>
        </w:rPr>
        <w:t> </w:t>
      </w:r>
      <w:r>
        <w:rPr>
          <w:sz w:val="24"/>
        </w:rPr>
        <w:t>allocation for</w:t>
      </w:r>
      <w:r>
        <w:rPr>
          <w:spacing w:val="-1"/>
          <w:sz w:val="24"/>
        </w:rPr>
        <w:t> </w:t>
      </w:r>
      <w:r>
        <w:rPr>
          <w:sz w:val="24"/>
        </w:rPr>
        <w:t>housing</w:t>
      </w:r>
      <w:r>
        <w:rPr>
          <w:spacing w:val="-2"/>
          <w:sz w:val="24"/>
        </w:rPr>
        <w:t> </w:t>
      </w:r>
      <w:r>
        <w:rPr>
          <w:sz w:val="24"/>
        </w:rPr>
        <w:t>in Anambra</w:t>
      </w:r>
      <w:r>
        <w:rPr>
          <w:spacing w:val="-1"/>
          <w:sz w:val="24"/>
        </w:rPr>
        <w:t> </w:t>
      </w:r>
      <w:r>
        <w:rPr>
          <w:sz w:val="24"/>
        </w:rPr>
        <w:t>State. The result shows that majority of 109 (70%) respondents are of the option that the annual budgetary allocation for housing is grossly inadequate, while 31 respondents representing 20% believe it is just inadequate. The</w:t>
      </w:r>
      <w:r>
        <w:rPr>
          <w:spacing w:val="-1"/>
          <w:sz w:val="24"/>
        </w:rPr>
        <w:t> </w:t>
      </w:r>
      <w:r>
        <w:rPr>
          <w:sz w:val="24"/>
        </w:rPr>
        <w:t>minority</w:t>
      </w:r>
      <w:r>
        <w:rPr>
          <w:spacing w:val="-3"/>
          <w:sz w:val="24"/>
        </w:rPr>
        <w:t> </w:t>
      </w:r>
      <w:r>
        <w:rPr>
          <w:sz w:val="24"/>
        </w:rPr>
        <w:t>16(10%) respondents have</w:t>
      </w:r>
      <w:r>
        <w:rPr>
          <w:spacing w:val="-1"/>
          <w:sz w:val="24"/>
        </w:rPr>
        <w:t> </w:t>
      </w:r>
      <w:r>
        <w:rPr>
          <w:sz w:val="24"/>
        </w:rPr>
        <w:t>no idea on how adequate</w:t>
      </w:r>
      <w:r>
        <w:rPr>
          <w:spacing w:val="-1"/>
          <w:sz w:val="24"/>
        </w:rPr>
        <w:t> </w:t>
      </w:r>
      <w:r>
        <w:rPr>
          <w:sz w:val="24"/>
        </w:rPr>
        <w:t>it is. Based on the foregoing and in view of the importance of housing for socio economic activities and development the researcher suggests that the Anambra State Government should seriously consider an increment or review of the annual budgetary allocation for housing in the state.</w:t>
      </w:r>
    </w:p>
    <w:p>
      <w:pPr>
        <w:pStyle w:val="BodyText"/>
        <w:spacing w:before="34"/>
      </w:pPr>
    </w:p>
    <w:p>
      <w:pPr>
        <w:pStyle w:val="ListParagraph"/>
        <w:numPr>
          <w:ilvl w:val="0"/>
          <w:numId w:val="95"/>
        </w:numPr>
        <w:tabs>
          <w:tab w:pos="548" w:val="left" w:leader="none"/>
        </w:tabs>
        <w:spacing w:line="360" w:lineRule="auto" w:before="1" w:after="0"/>
        <w:ind w:left="240" w:right="836" w:firstLine="0"/>
        <w:jc w:val="both"/>
        <w:rPr>
          <w:sz w:val="24"/>
        </w:rPr>
      </w:pPr>
      <w:r>
        <w:rPr>
          <w:b/>
          <w:sz w:val="24"/>
        </w:rPr>
        <w:t>Regularity of release of funds from the annual housing budget: </w:t>
      </w:r>
      <w:r>
        <w:rPr>
          <w:sz w:val="24"/>
        </w:rPr>
        <w:t>On the issue of the regularity of the release of funds for housing budget implementation, none of the respondents agreed that the release of funds for housing projects is regular. Instead, 78 (50%) of them maintained that there is always delays in release of funds, which hinders progress of housing works, while 39(25%) of them agree that the funding does not come on a regular basis, despite the provision being reflected in the annual budget. 24 respondents, representing 15% are of the view that the budget allocated for housing is not consistent. The remaining 15 (10.00%) respondents have</w:t>
      </w:r>
      <w:r>
        <w:rPr>
          <w:spacing w:val="-1"/>
          <w:sz w:val="24"/>
        </w:rPr>
        <w:t> </w:t>
      </w:r>
      <w:r>
        <w:rPr>
          <w:sz w:val="24"/>
        </w:rPr>
        <w:t>no idea of</w:t>
      </w:r>
      <w:r>
        <w:rPr>
          <w:spacing w:val="-1"/>
          <w:sz w:val="24"/>
        </w:rPr>
        <w:t> </w:t>
      </w:r>
      <w:r>
        <w:rPr>
          <w:sz w:val="24"/>
        </w:rPr>
        <w:t>the</w:t>
      </w:r>
      <w:r>
        <w:rPr>
          <w:spacing w:val="-1"/>
          <w:sz w:val="24"/>
        </w:rPr>
        <w:t> </w:t>
      </w:r>
      <w:r>
        <w:rPr>
          <w:sz w:val="24"/>
        </w:rPr>
        <w:t>issue. Based on the</w:t>
      </w:r>
      <w:r>
        <w:rPr>
          <w:spacing w:val="-1"/>
          <w:sz w:val="24"/>
        </w:rPr>
        <w:t> </w:t>
      </w:r>
      <w:r>
        <w:rPr>
          <w:sz w:val="24"/>
        </w:rPr>
        <w:t>oral interview</w:t>
      </w:r>
      <w:r>
        <w:rPr>
          <w:spacing w:val="-1"/>
          <w:sz w:val="24"/>
        </w:rPr>
        <w:t> </w:t>
      </w:r>
      <w:r>
        <w:rPr>
          <w:sz w:val="24"/>
        </w:rPr>
        <w:t>conducted by</w:t>
      </w:r>
      <w:r>
        <w:rPr>
          <w:spacing w:val="-5"/>
          <w:sz w:val="24"/>
        </w:rPr>
        <w:t> </w:t>
      </w:r>
      <w:r>
        <w:rPr>
          <w:sz w:val="24"/>
        </w:rPr>
        <w:t>the</w:t>
      </w:r>
      <w:r>
        <w:rPr>
          <w:spacing w:val="-1"/>
          <w:sz w:val="24"/>
        </w:rPr>
        <w:t> </w:t>
      </w:r>
      <w:r>
        <w:rPr>
          <w:sz w:val="24"/>
        </w:rPr>
        <w:t>researcher,</w:t>
      </w:r>
      <w:r>
        <w:rPr>
          <w:spacing w:val="-1"/>
          <w:sz w:val="24"/>
        </w:rPr>
        <w:t> </w:t>
      </w:r>
      <w:r>
        <w:rPr>
          <w:sz w:val="24"/>
        </w:rPr>
        <w:t>it was discovered that there are numerous stages to be undergone before funds are released for housing projects as a result of a largely bureaucratic process. Summarily, figures from the table show that effective implementation of the housing budget</w:t>
      </w:r>
      <w:r>
        <w:rPr>
          <w:spacing w:val="20"/>
          <w:sz w:val="24"/>
        </w:rPr>
        <w:t> </w:t>
      </w:r>
      <w:r>
        <w:rPr>
          <w:sz w:val="24"/>
        </w:rPr>
        <w:t>in Anambra State is marred by delay</w:t>
      </w:r>
      <w:r>
        <w:rPr>
          <w:spacing w:val="40"/>
          <w:sz w:val="24"/>
        </w:rPr>
        <w:t> </w:t>
      </w:r>
      <w:r>
        <w:rPr>
          <w:sz w:val="24"/>
        </w:rPr>
        <w:t>in release of funds, which in turn affects the progress of housing works/projects.</w:t>
      </w:r>
    </w:p>
    <w:p>
      <w:pPr>
        <w:pStyle w:val="BodyText"/>
        <w:spacing w:before="1"/>
      </w:pPr>
    </w:p>
    <w:p>
      <w:pPr>
        <w:pStyle w:val="ListParagraph"/>
        <w:numPr>
          <w:ilvl w:val="0"/>
          <w:numId w:val="95"/>
        </w:numPr>
        <w:tabs>
          <w:tab w:pos="472" w:val="left" w:leader="none"/>
        </w:tabs>
        <w:spacing w:line="360" w:lineRule="auto" w:before="0" w:after="0"/>
        <w:ind w:left="240" w:right="837" w:firstLine="0"/>
        <w:jc w:val="both"/>
        <w:rPr>
          <w:sz w:val="24"/>
        </w:rPr>
      </w:pPr>
      <w:r>
        <w:rPr>
          <w:b/>
          <w:sz w:val="24"/>
        </w:rPr>
        <w:t>Financial support for</w:t>
      </w:r>
      <w:r>
        <w:rPr>
          <w:b/>
          <w:spacing w:val="-1"/>
          <w:sz w:val="24"/>
        </w:rPr>
        <w:t> </w:t>
      </w:r>
      <w:r>
        <w:rPr>
          <w:b/>
          <w:sz w:val="24"/>
        </w:rPr>
        <w:t>the Housing Corporation: </w:t>
      </w:r>
      <w:r>
        <w:rPr>
          <w:sz w:val="24"/>
        </w:rPr>
        <w:t>As indicated in Table 5.12, 96 respondents which represent 62% maintain that the Anambra State Government rarely provides financial support to the Housing Development Corporation (ASHDC), notwithstanding that the support amount is captured in the housing budget. 37(24%) of the respondents insist that it is never provided,</w:t>
      </w:r>
      <w:r>
        <w:rPr>
          <w:spacing w:val="55"/>
          <w:w w:val="150"/>
          <w:sz w:val="24"/>
        </w:rPr>
        <w:t> </w:t>
      </w:r>
      <w:r>
        <w:rPr>
          <w:sz w:val="24"/>
        </w:rPr>
        <w:t>while</w:t>
      </w:r>
      <w:r>
        <w:rPr>
          <w:spacing w:val="57"/>
          <w:w w:val="150"/>
          <w:sz w:val="24"/>
        </w:rPr>
        <w:t> </w:t>
      </w:r>
      <w:r>
        <w:rPr>
          <w:sz w:val="24"/>
        </w:rPr>
        <w:t>13(8%)</w:t>
      </w:r>
      <w:r>
        <w:rPr>
          <w:spacing w:val="58"/>
          <w:w w:val="150"/>
          <w:sz w:val="24"/>
        </w:rPr>
        <w:t> </w:t>
      </w:r>
      <w:r>
        <w:rPr>
          <w:sz w:val="24"/>
        </w:rPr>
        <w:t>agree</w:t>
      </w:r>
      <w:r>
        <w:rPr>
          <w:spacing w:val="56"/>
          <w:w w:val="150"/>
          <w:sz w:val="24"/>
        </w:rPr>
        <w:t> </w:t>
      </w:r>
      <w:r>
        <w:rPr>
          <w:sz w:val="24"/>
        </w:rPr>
        <w:t>that</w:t>
      </w:r>
      <w:r>
        <w:rPr>
          <w:spacing w:val="58"/>
          <w:w w:val="150"/>
          <w:sz w:val="24"/>
        </w:rPr>
        <w:t> </w:t>
      </w:r>
      <w:r>
        <w:rPr>
          <w:sz w:val="24"/>
        </w:rPr>
        <w:t>it</w:t>
      </w:r>
      <w:r>
        <w:rPr>
          <w:spacing w:val="58"/>
          <w:w w:val="150"/>
          <w:sz w:val="24"/>
        </w:rPr>
        <w:t> </w:t>
      </w:r>
      <w:r>
        <w:rPr>
          <w:sz w:val="24"/>
        </w:rPr>
        <w:t>is</w:t>
      </w:r>
      <w:r>
        <w:rPr>
          <w:spacing w:val="58"/>
          <w:w w:val="150"/>
          <w:sz w:val="24"/>
        </w:rPr>
        <w:t> </w:t>
      </w:r>
      <w:r>
        <w:rPr>
          <w:sz w:val="24"/>
        </w:rPr>
        <w:t>sometimes</w:t>
      </w:r>
      <w:r>
        <w:rPr>
          <w:spacing w:val="57"/>
          <w:w w:val="150"/>
          <w:sz w:val="24"/>
        </w:rPr>
        <w:t> </w:t>
      </w:r>
      <w:r>
        <w:rPr>
          <w:sz w:val="24"/>
        </w:rPr>
        <w:t>provided.</w:t>
      </w:r>
      <w:r>
        <w:rPr>
          <w:spacing w:val="61"/>
          <w:w w:val="150"/>
          <w:sz w:val="24"/>
        </w:rPr>
        <w:t> </w:t>
      </w:r>
      <w:r>
        <w:rPr>
          <w:sz w:val="24"/>
        </w:rPr>
        <w:t>However,</w:t>
      </w:r>
      <w:r>
        <w:rPr>
          <w:spacing w:val="56"/>
          <w:w w:val="150"/>
          <w:sz w:val="24"/>
        </w:rPr>
        <w:t> </w:t>
      </w:r>
      <w:r>
        <w:rPr>
          <w:sz w:val="24"/>
        </w:rPr>
        <w:t>10</w:t>
      </w:r>
      <w:r>
        <w:rPr>
          <w:spacing w:val="57"/>
          <w:w w:val="150"/>
          <w:sz w:val="24"/>
        </w:rPr>
        <w:t> </w:t>
      </w:r>
      <w:r>
        <w:rPr>
          <w:sz w:val="24"/>
        </w:rPr>
        <w:t>(6%)</w:t>
      </w:r>
      <w:r>
        <w:rPr>
          <w:spacing w:val="56"/>
          <w:w w:val="150"/>
          <w:sz w:val="24"/>
        </w:rPr>
        <w:t> </w:t>
      </w:r>
      <w:r>
        <w:rPr>
          <w:sz w:val="24"/>
        </w:rPr>
        <w:t>of</w:t>
      </w:r>
      <w:r>
        <w:rPr>
          <w:spacing w:val="57"/>
          <w:w w:val="150"/>
          <w:sz w:val="24"/>
        </w:rPr>
        <w:t> </w:t>
      </w:r>
      <w:r>
        <w:rPr>
          <w:spacing w:val="-5"/>
          <w:sz w:val="24"/>
        </w:rPr>
        <w:t>the</w:t>
      </w:r>
    </w:p>
    <w:p>
      <w:pPr>
        <w:spacing w:after="0" w:line="360" w:lineRule="auto"/>
        <w:jc w:val="both"/>
        <w:rPr>
          <w:sz w:val="24"/>
        </w:rPr>
        <w:sectPr>
          <w:pgSz w:w="12240" w:h="15840"/>
          <w:pgMar w:header="0" w:footer="1036" w:top="1360" w:bottom="1220" w:left="1200" w:right="600"/>
        </w:sectPr>
      </w:pPr>
    </w:p>
    <w:p>
      <w:pPr>
        <w:pStyle w:val="BodyText"/>
        <w:spacing w:line="360" w:lineRule="auto" w:before="74"/>
        <w:ind w:left="240" w:right="838"/>
        <w:jc w:val="both"/>
      </w:pPr>
      <w:r>
        <w:rPr/>
        <w:t>respondents do not know if support is provided or not. None of the respondents agree that</w:t>
      </w:r>
      <w:r>
        <w:rPr>
          <w:spacing w:val="40"/>
        </w:rPr>
        <w:t> </w:t>
      </w:r>
      <w:r>
        <w:rPr/>
        <w:t>support is often provided.</w:t>
      </w:r>
    </w:p>
    <w:p>
      <w:pPr>
        <w:pStyle w:val="BodyText"/>
        <w:spacing w:before="34"/>
      </w:pPr>
    </w:p>
    <w:p>
      <w:pPr>
        <w:pStyle w:val="BodyText"/>
        <w:spacing w:line="360" w:lineRule="auto"/>
        <w:ind w:left="240" w:right="835"/>
        <w:jc w:val="both"/>
      </w:pPr>
      <w:r>
        <w:rPr/>
        <w:t>Follow–up oral interviews conducted by the researcher at the ASHDC and the Ministry of Housing provided more insight on this scenario. It revealed that ASHDC usually send request letters after the budget approval, to the Ministry of Housing, demanding for these monies to support housing infrastructure, but the requests are often ignored. The Ministry of Housing explains that the reason for this is because the Managing Director/CEO of the Corporation is not aggressive enough or not mounting enough pressure for the money to be provided. On the other hand, the ASHDC maintain that their requests usually gets turned down because the Directors in the</w:t>
      </w:r>
      <w:r>
        <w:rPr>
          <w:spacing w:val="-1"/>
        </w:rPr>
        <w:t> </w:t>
      </w:r>
      <w:r>
        <w:rPr/>
        <w:t>Ministry</w:t>
      </w:r>
      <w:r>
        <w:rPr>
          <w:spacing w:val="-4"/>
        </w:rPr>
        <w:t> </w:t>
      </w:r>
      <w:r>
        <w:rPr/>
        <w:t>envy</w:t>
      </w:r>
      <w:r>
        <w:rPr>
          <w:spacing w:val="-6"/>
        </w:rPr>
        <w:t> </w:t>
      </w:r>
      <w:r>
        <w:rPr/>
        <w:t>them because they</w:t>
      </w:r>
      <w:r>
        <w:rPr>
          <w:spacing w:val="-6"/>
        </w:rPr>
        <w:t> </w:t>
      </w:r>
      <w:r>
        <w:rPr/>
        <w:t>usually</w:t>
      </w:r>
      <w:r>
        <w:rPr>
          <w:spacing w:val="-6"/>
        </w:rPr>
        <w:t> </w:t>
      </w:r>
      <w:r>
        <w:rPr/>
        <w:t>obtain</w:t>
      </w:r>
      <w:r>
        <w:rPr>
          <w:spacing w:val="-1"/>
        </w:rPr>
        <w:t> </w:t>
      </w:r>
      <w:r>
        <w:rPr/>
        <w:t>landed</w:t>
      </w:r>
      <w:r>
        <w:rPr>
          <w:spacing w:val="-1"/>
        </w:rPr>
        <w:t> </w:t>
      </w:r>
      <w:r>
        <w:rPr/>
        <w:t>property</w:t>
      </w:r>
      <w:r>
        <w:rPr>
          <w:spacing w:val="-6"/>
        </w:rPr>
        <w:t> </w:t>
      </w:r>
      <w:r>
        <w:rPr/>
        <w:t>for</w:t>
      </w:r>
      <w:r>
        <w:rPr>
          <w:spacing w:val="-1"/>
        </w:rPr>
        <w:t> </w:t>
      </w:r>
      <w:r>
        <w:rPr/>
        <w:t>their</w:t>
      </w:r>
      <w:r>
        <w:rPr>
          <w:spacing w:val="-1"/>
        </w:rPr>
        <w:t> </w:t>
      </w:r>
      <w:r>
        <w:rPr/>
        <w:t>personal</w:t>
      </w:r>
      <w:r>
        <w:rPr>
          <w:spacing w:val="-1"/>
        </w:rPr>
        <w:t> </w:t>
      </w:r>
      <w:r>
        <w:rPr/>
        <w:t>use at</w:t>
      </w:r>
      <w:r>
        <w:rPr>
          <w:spacing w:val="-1"/>
        </w:rPr>
        <w:t> </w:t>
      </w:r>
      <w:r>
        <w:rPr/>
        <w:t>little or no cost and should also be able to generate their own income and not demand for money. The implication of this squabble is that</w:t>
      </w:r>
      <w:r>
        <w:rPr>
          <w:spacing w:val="80"/>
        </w:rPr>
        <w:t> </w:t>
      </w:r>
      <w:r>
        <w:rPr/>
        <w:t>not only is productive time wasted, the ASHDC is left with no option but to build the cost of these infrastructure (roads, drainages, electricity) into the housing purchase or rent cost, thereby escalating the cost. The foregoing obviously reveals sabotage of the housing budget by some high ranking personnel which further shows that the Anambra</w:t>
      </w:r>
      <w:r>
        <w:rPr>
          <w:spacing w:val="-4"/>
        </w:rPr>
        <w:t> </w:t>
      </w:r>
      <w:r>
        <w:rPr/>
        <w:t>State</w:t>
      </w:r>
      <w:r>
        <w:rPr>
          <w:spacing w:val="-1"/>
        </w:rPr>
        <w:t> </w:t>
      </w:r>
      <w:r>
        <w:rPr/>
        <w:t>Government is</w:t>
      </w:r>
      <w:r>
        <w:rPr>
          <w:spacing w:val="-2"/>
        </w:rPr>
        <w:t> </w:t>
      </w:r>
      <w:r>
        <w:rPr/>
        <w:t>showing</w:t>
      </w:r>
      <w:r>
        <w:rPr>
          <w:spacing w:val="-2"/>
        </w:rPr>
        <w:t> </w:t>
      </w:r>
      <w:r>
        <w:rPr/>
        <w:t>little</w:t>
      </w:r>
      <w:r>
        <w:rPr>
          <w:spacing w:val="-3"/>
        </w:rPr>
        <w:t> </w:t>
      </w:r>
      <w:r>
        <w:rPr/>
        <w:t>or</w:t>
      </w:r>
      <w:r>
        <w:rPr>
          <w:spacing w:val="-3"/>
        </w:rPr>
        <w:t> </w:t>
      </w:r>
      <w:r>
        <w:rPr/>
        <w:t>no commitment</w:t>
      </w:r>
      <w:r>
        <w:rPr>
          <w:spacing w:val="-1"/>
        </w:rPr>
        <w:t> </w:t>
      </w:r>
      <w:r>
        <w:rPr/>
        <w:t>to</w:t>
      </w:r>
      <w:r>
        <w:rPr>
          <w:spacing w:val="-2"/>
        </w:rPr>
        <w:t> </w:t>
      </w:r>
      <w:r>
        <w:rPr/>
        <w:t>making</w:t>
      </w:r>
      <w:r>
        <w:rPr>
          <w:spacing w:val="-3"/>
        </w:rPr>
        <w:t> </w:t>
      </w:r>
      <w:r>
        <w:rPr/>
        <w:t>housing</w:t>
      </w:r>
      <w:r>
        <w:rPr>
          <w:spacing w:val="-5"/>
        </w:rPr>
        <w:t> </w:t>
      </w:r>
      <w:r>
        <w:rPr/>
        <w:t>affordable</w:t>
      </w:r>
      <w:r>
        <w:rPr>
          <w:spacing w:val="-2"/>
        </w:rPr>
        <w:t> </w:t>
      </w:r>
      <w:r>
        <w:rPr/>
        <w:t>for the citizenry.</w:t>
      </w:r>
    </w:p>
    <w:p>
      <w:pPr>
        <w:pStyle w:val="BodyText"/>
        <w:spacing w:before="3"/>
      </w:pPr>
    </w:p>
    <w:p>
      <w:pPr>
        <w:pStyle w:val="ListParagraph"/>
        <w:numPr>
          <w:ilvl w:val="0"/>
          <w:numId w:val="95"/>
        </w:numPr>
        <w:tabs>
          <w:tab w:pos="495" w:val="left" w:leader="none"/>
        </w:tabs>
        <w:spacing w:line="360" w:lineRule="auto" w:before="0" w:after="0"/>
        <w:ind w:left="240" w:right="834" w:firstLine="0"/>
        <w:jc w:val="both"/>
        <w:rPr>
          <w:sz w:val="24"/>
        </w:rPr>
      </w:pPr>
      <w:r>
        <w:rPr>
          <w:b/>
          <w:sz w:val="24"/>
        </w:rPr>
        <w:t>Major</w:t>
      </w:r>
      <w:r>
        <w:rPr>
          <w:b/>
          <w:spacing w:val="-2"/>
          <w:sz w:val="24"/>
        </w:rPr>
        <w:t> </w:t>
      </w:r>
      <w:r>
        <w:rPr>
          <w:b/>
          <w:sz w:val="24"/>
        </w:rPr>
        <w:t>sources</w:t>
      </w:r>
      <w:r>
        <w:rPr>
          <w:b/>
          <w:spacing w:val="-1"/>
          <w:sz w:val="24"/>
        </w:rPr>
        <w:t> </w:t>
      </w:r>
      <w:r>
        <w:rPr>
          <w:b/>
          <w:sz w:val="24"/>
        </w:rPr>
        <w:t>of funding</w:t>
      </w:r>
      <w:r>
        <w:rPr>
          <w:b/>
          <w:spacing w:val="-3"/>
          <w:sz w:val="24"/>
        </w:rPr>
        <w:t> </w:t>
      </w:r>
      <w:r>
        <w:rPr>
          <w:b/>
          <w:sz w:val="24"/>
        </w:rPr>
        <w:t>for</w:t>
      </w:r>
      <w:r>
        <w:rPr>
          <w:b/>
          <w:spacing w:val="-2"/>
          <w:sz w:val="24"/>
        </w:rPr>
        <w:t> </w:t>
      </w:r>
      <w:r>
        <w:rPr>
          <w:b/>
          <w:sz w:val="24"/>
        </w:rPr>
        <w:t>housing</w:t>
      </w:r>
      <w:r>
        <w:rPr>
          <w:b/>
          <w:spacing w:val="-3"/>
          <w:sz w:val="24"/>
        </w:rPr>
        <w:t> </w:t>
      </w:r>
      <w:r>
        <w:rPr>
          <w:b/>
          <w:sz w:val="24"/>
        </w:rPr>
        <w:t>projects:</w:t>
      </w:r>
      <w:r>
        <w:rPr>
          <w:b/>
          <w:spacing w:val="-1"/>
          <w:sz w:val="24"/>
        </w:rPr>
        <w:t> </w:t>
      </w:r>
      <w:r>
        <w:rPr>
          <w:sz w:val="24"/>
        </w:rPr>
        <w:t>Table</w:t>
      </w:r>
      <w:r>
        <w:rPr>
          <w:spacing w:val="40"/>
          <w:sz w:val="24"/>
        </w:rPr>
        <w:t> </w:t>
      </w:r>
      <w:r>
        <w:rPr>
          <w:sz w:val="24"/>
        </w:rPr>
        <w:t>5.12 also</w:t>
      </w:r>
      <w:r>
        <w:rPr>
          <w:spacing w:val="-1"/>
          <w:sz w:val="24"/>
        </w:rPr>
        <w:t> </w:t>
      </w:r>
      <w:r>
        <w:rPr>
          <w:sz w:val="24"/>
        </w:rPr>
        <w:t>enquired</w:t>
      </w:r>
      <w:r>
        <w:rPr>
          <w:spacing w:val="-1"/>
          <w:sz w:val="24"/>
        </w:rPr>
        <w:t> </w:t>
      </w:r>
      <w:r>
        <w:rPr>
          <w:sz w:val="24"/>
        </w:rPr>
        <w:t>from respondents; the major source of funds for housing projects in Anambra State.</w:t>
      </w:r>
      <w:r>
        <w:rPr>
          <w:spacing w:val="40"/>
          <w:sz w:val="24"/>
        </w:rPr>
        <w:t> </w:t>
      </w:r>
      <w:r>
        <w:rPr>
          <w:sz w:val="24"/>
        </w:rPr>
        <w:t>The result of the percentage analysis shows that the largest source is the allocation from the Federal Government, with 106 respondents, representing 68% of the total responses. The next major source is the State‘s IGR with 30(19%) responses, while funds from international organizations such as donor agencies/schemes like the World Bank assisted projects, United Nations/MDG projects comes third</w:t>
      </w:r>
      <w:r>
        <w:rPr>
          <w:spacing w:val="-1"/>
          <w:sz w:val="24"/>
        </w:rPr>
        <w:t> </w:t>
      </w:r>
      <w:r>
        <w:rPr>
          <w:sz w:val="24"/>
        </w:rPr>
        <w:t>with 12 (8%)</w:t>
      </w:r>
      <w:r>
        <w:rPr>
          <w:spacing w:val="-1"/>
          <w:sz w:val="24"/>
        </w:rPr>
        <w:t> </w:t>
      </w:r>
      <w:r>
        <w:rPr>
          <w:sz w:val="24"/>
        </w:rPr>
        <w:t>responses. 8(5%)</w:t>
      </w:r>
      <w:r>
        <w:rPr>
          <w:spacing w:val="-2"/>
          <w:sz w:val="24"/>
        </w:rPr>
        <w:t> </w:t>
      </w:r>
      <w:r>
        <w:rPr>
          <w:sz w:val="24"/>
        </w:rPr>
        <w:t>of</w:t>
      </w:r>
      <w:r>
        <w:rPr>
          <w:spacing w:val="-1"/>
          <w:sz w:val="24"/>
        </w:rPr>
        <w:t> </w:t>
      </w:r>
      <w:r>
        <w:rPr>
          <w:sz w:val="24"/>
        </w:rPr>
        <w:t>the</w:t>
      </w:r>
      <w:r>
        <w:rPr>
          <w:spacing w:val="-1"/>
          <w:sz w:val="24"/>
        </w:rPr>
        <w:t> </w:t>
      </w:r>
      <w:r>
        <w:rPr>
          <w:sz w:val="24"/>
        </w:rPr>
        <w:t>respondents are</w:t>
      </w:r>
      <w:r>
        <w:rPr>
          <w:spacing w:val="-2"/>
          <w:sz w:val="24"/>
        </w:rPr>
        <w:t> </w:t>
      </w:r>
      <w:r>
        <w:rPr>
          <w:sz w:val="24"/>
        </w:rPr>
        <w:t>of</w:t>
      </w:r>
      <w:r>
        <w:rPr>
          <w:spacing w:val="-1"/>
          <w:sz w:val="24"/>
        </w:rPr>
        <w:t> </w:t>
      </w:r>
      <w:r>
        <w:rPr>
          <w:sz w:val="24"/>
        </w:rPr>
        <w:t>the</w:t>
      </w:r>
      <w:r>
        <w:rPr>
          <w:spacing w:val="-1"/>
          <w:sz w:val="24"/>
        </w:rPr>
        <w:t> </w:t>
      </w:r>
      <w:r>
        <w:rPr>
          <w:sz w:val="24"/>
        </w:rPr>
        <w:t>view</w:t>
      </w:r>
      <w:r>
        <w:rPr>
          <w:spacing w:val="-1"/>
          <w:sz w:val="24"/>
        </w:rPr>
        <w:t> </w:t>
      </w:r>
      <w:r>
        <w:rPr>
          <w:sz w:val="24"/>
        </w:rPr>
        <w:t>that funds for</w:t>
      </w:r>
      <w:r>
        <w:rPr>
          <w:spacing w:val="-2"/>
          <w:sz w:val="24"/>
        </w:rPr>
        <w:t> </w:t>
      </w:r>
      <w:r>
        <w:rPr>
          <w:sz w:val="24"/>
        </w:rPr>
        <w:t>housing</w:t>
      </w:r>
      <w:r>
        <w:rPr>
          <w:spacing w:val="-3"/>
          <w:sz w:val="24"/>
        </w:rPr>
        <w:t> </w:t>
      </w:r>
      <w:r>
        <w:rPr>
          <w:sz w:val="24"/>
        </w:rPr>
        <w:t>are generated from the</w:t>
      </w:r>
      <w:r>
        <w:rPr>
          <w:spacing w:val="-1"/>
          <w:sz w:val="24"/>
        </w:rPr>
        <w:t> </w:t>
      </w:r>
      <w:r>
        <w:rPr>
          <w:sz w:val="24"/>
        </w:rPr>
        <w:t>private</w:t>
      </w:r>
      <w:r>
        <w:rPr>
          <w:spacing w:val="-1"/>
          <w:sz w:val="24"/>
        </w:rPr>
        <w:t> </w:t>
      </w:r>
      <w:r>
        <w:rPr>
          <w:sz w:val="24"/>
        </w:rPr>
        <w:t>sector, such as contractor</w:t>
      </w:r>
      <w:r>
        <w:rPr>
          <w:spacing w:val="-1"/>
          <w:sz w:val="24"/>
        </w:rPr>
        <w:t> </w:t>
      </w:r>
      <w:r>
        <w:rPr>
          <w:sz w:val="24"/>
        </w:rPr>
        <w:t>financing schemes. Funds for</w:t>
      </w:r>
      <w:r>
        <w:rPr>
          <w:spacing w:val="-2"/>
          <w:sz w:val="24"/>
        </w:rPr>
        <w:t> </w:t>
      </w:r>
      <w:r>
        <w:rPr>
          <w:sz w:val="24"/>
        </w:rPr>
        <w:t>housing</w:t>
      </w:r>
      <w:r>
        <w:rPr>
          <w:spacing w:val="-3"/>
          <w:sz w:val="24"/>
        </w:rPr>
        <w:t> </w:t>
      </w:r>
      <w:r>
        <w:rPr>
          <w:sz w:val="24"/>
        </w:rPr>
        <w:t>in the State are however not generated from NGOs. The implication of the above results is that the Anambra State Government is overly dependent on the Federal Government allocation for financing its housing budget, such that any decrease or delay in the Federal allocation may</w:t>
      </w:r>
      <w:r>
        <w:rPr>
          <w:spacing w:val="40"/>
          <w:sz w:val="24"/>
        </w:rPr>
        <w:t> </w:t>
      </w:r>
      <w:r>
        <w:rPr>
          <w:sz w:val="24"/>
        </w:rPr>
        <w:t>thwart</w:t>
      </w:r>
      <w:r>
        <w:rPr>
          <w:spacing w:val="16"/>
          <w:sz w:val="24"/>
        </w:rPr>
        <w:t> </w:t>
      </w:r>
      <w:r>
        <w:rPr>
          <w:sz w:val="24"/>
        </w:rPr>
        <w:t>or</w:t>
      </w:r>
      <w:r>
        <w:rPr>
          <w:spacing w:val="18"/>
          <w:sz w:val="24"/>
        </w:rPr>
        <w:t> </w:t>
      </w:r>
      <w:r>
        <w:rPr>
          <w:sz w:val="24"/>
        </w:rPr>
        <w:t>delay</w:t>
      </w:r>
      <w:r>
        <w:rPr>
          <w:spacing w:val="11"/>
          <w:sz w:val="24"/>
        </w:rPr>
        <w:t> </w:t>
      </w:r>
      <w:r>
        <w:rPr>
          <w:sz w:val="24"/>
        </w:rPr>
        <w:t>housing</w:t>
      </w:r>
      <w:r>
        <w:rPr>
          <w:spacing w:val="18"/>
          <w:sz w:val="24"/>
        </w:rPr>
        <w:t> </w:t>
      </w:r>
      <w:r>
        <w:rPr>
          <w:sz w:val="24"/>
        </w:rPr>
        <w:t>activities</w:t>
      </w:r>
      <w:r>
        <w:rPr>
          <w:spacing w:val="16"/>
          <w:sz w:val="24"/>
        </w:rPr>
        <w:t> </w:t>
      </w:r>
      <w:r>
        <w:rPr>
          <w:sz w:val="24"/>
        </w:rPr>
        <w:t>in</w:t>
      </w:r>
      <w:r>
        <w:rPr>
          <w:spacing w:val="18"/>
          <w:sz w:val="24"/>
        </w:rPr>
        <w:t> </w:t>
      </w:r>
      <w:r>
        <w:rPr>
          <w:sz w:val="24"/>
        </w:rPr>
        <w:t>the</w:t>
      </w:r>
      <w:r>
        <w:rPr>
          <w:spacing w:val="16"/>
          <w:sz w:val="24"/>
        </w:rPr>
        <w:t> </w:t>
      </w:r>
      <w:r>
        <w:rPr>
          <w:sz w:val="24"/>
        </w:rPr>
        <w:t>State.</w:t>
      </w:r>
      <w:r>
        <w:rPr>
          <w:spacing w:val="18"/>
          <w:sz w:val="24"/>
        </w:rPr>
        <w:t> </w:t>
      </w:r>
      <w:r>
        <w:rPr>
          <w:sz w:val="24"/>
        </w:rPr>
        <w:t>Hence,</w:t>
      </w:r>
      <w:r>
        <w:rPr>
          <w:spacing w:val="18"/>
          <w:sz w:val="24"/>
        </w:rPr>
        <w:t> </w:t>
      </w:r>
      <w:r>
        <w:rPr>
          <w:sz w:val="24"/>
        </w:rPr>
        <w:t>the</w:t>
      </w:r>
      <w:r>
        <w:rPr>
          <w:spacing w:val="16"/>
          <w:sz w:val="24"/>
        </w:rPr>
        <w:t> </w:t>
      </w:r>
      <w:r>
        <w:rPr>
          <w:sz w:val="24"/>
        </w:rPr>
        <w:t>need</w:t>
      </w:r>
      <w:r>
        <w:rPr>
          <w:spacing w:val="17"/>
          <w:sz w:val="24"/>
        </w:rPr>
        <w:t> </w:t>
      </w:r>
      <w:r>
        <w:rPr>
          <w:sz w:val="24"/>
        </w:rPr>
        <w:t>to</w:t>
      </w:r>
      <w:r>
        <w:rPr>
          <w:spacing w:val="17"/>
          <w:sz w:val="24"/>
        </w:rPr>
        <w:t> </w:t>
      </w:r>
      <w:r>
        <w:rPr>
          <w:sz w:val="24"/>
        </w:rPr>
        <w:t>not</w:t>
      </w:r>
      <w:r>
        <w:rPr>
          <w:spacing w:val="17"/>
          <w:sz w:val="24"/>
        </w:rPr>
        <w:t> </w:t>
      </w:r>
      <w:r>
        <w:rPr>
          <w:sz w:val="24"/>
        </w:rPr>
        <w:t>only</w:t>
      </w:r>
      <w:r>
        <w:rPr>
          <w:spacing w:val="14"/>
          <w:sz w:val="24"/>
        </w:rPr>
        <w:t> </w:t>
      </w:r>
      <w:r>
        <w:rPr>
          <w:sz w:val="24"/>
        </w:rPr>
        <w:t>diversify</w:t>
      </w:r>
      <w:r>
        <w:rPr>
          <w:spacing w:val="11"/>
          <w:sz w:val="24"/>
        </w:rPr>
        <w:t> </w:t>
      </w:r>
      <w:r>
        <w:rPr>
          <w:sz w:val="24"/>
        </w:rPr>
        <w:t>the</w:t>
      </w:r>
      <w:r>
        <w:rPr>
          <w:spacing w:val="19"/>
          <w:sz w:val="24"/>
        </w:rPr>
        <w:t> </w:t>
      </w:r>
      <w:r>
        <w:rPr>
          <w:spacing w:val="-2"/>
          <w:sz w:val="24"/>
        </w:rPr>
        <w:t>State‘s</w:t>
      </w:r>
    </w:p>
    <w:p>
      <w:pPr>
        <w:spacing w:after="0" w:line="360" w:lineRule="auto"/>
        <w:jc w:val="both"/>
        <w:rPr>
          <w:sz w:val="24"/>
        </w:rPr>
        <w:sectPr>
          <w:pgSz w:w="12240" w:h="15840"/>
          <w:pgMar w:header="0" w:footer="1036" w:top="1360" w:bottom="1220" w:left="1200" w:right="600"/>
        </w:sectPr>
      </w:pPr>
    </w:p>
    <w:p>
      <w:pPr>
        <w:pStyle w:val="BodyText"/>
        <w:spacing w:line="360" w:lineRule="auto" w:before="74"/>
        <w:ind w:left="240" w:right="838"/>
        <w:jc w:val="both"/>
      </w:pPr>
      <w:r>
        <w:rPr/>
        <w:t>economy</w:t>
      </w:r>
      <w:r>
        <w:rPr>
          <w:spacing w:val="-4"/>
        </w:rPr>
        <w:t> </w:t>
      </w:r>
      <w:r>
        <w:rPr/>
        <w:t>to boost IGR, but embark on measures to attract international support, grants and loans to improve its budgetary allocation to housing.</w:t>
      </w:r>
    </w:p>
    <w:p>
      <w:pPr>
        <w:pStyle w:val="ListParagraph"/>
        <w:numPr>
          <w:ilvl w:val="0"/>
          <w:numId w:val="95"/>
        </w:numPr>
        <w:tabs>
          <w:tab w:pos="527" w:val="left" w:leader="none"/>
        </w:tabs>
        <w:spacing w:line="360" w:lineRule="auto" w:before="173" w:after="0"/>
        <w:ind w:left="240" w:right="836" w:firstLine="0"/>
        <w:jc w:val="both"/>
        <w:rPr>
          <w:sz w:val="24"/>
        </w:rPr>
      </w:pPr>
      <w:r>
        <w:rPr>
          <w:b/>
          <w:sz w:val="24"/>
        </w:rPr>
        <w:t>Capabilities of housing budget professionals: </w:t>
      </w:r>
      <w:r>
        <w:rPr>
          <w:sz w:val="24"/>
        </w:rPr>
        <w:t>Table 5.12 also shows the responses of respondents on the professionals most capable or equipped to handle housing budget issues. The result indicates that 53 respondents representing 34% affirm that it should be a collaborative effort</w:t>
      </w:r>
      <w:r>
        <w:rPr>
          <w:spacing w:val="-1"/>
          <w:sz w:val="24"/>
        </w:rPr>
        <w:t> </w:t>
      </w:r>
      <w:r>
        <w:rPr>
          <w:sz w:val="24"/>
        </w:rPr>
        <w:t>among</w:t>
      </w:r>
      <w:r>
        <w:rPr>
          <w:spacing w:val="-3"/>
          <w:sz w:val="24"/>
        </w:rPr>
        <w:t> </w:t>
      </w:r>
      <w:r>
        <w:rPr>
          <w:sz w:val="24"/>
        </w:rPr>
        <w:t>the</w:t>
      </w:r>
      <w:r>
        <w:rPr>
          <w:spacing w:val="-2"/>
          <w:sz w:val="24"/>
        </w:rPr>
        <w:t> </w:t>
      </w:r>
      <w:r>
        <w:rPr>
          <w:sz w:val="24"/>
        </w:rPr>
        <w:t>QS,</w:t>
      </w:r>
      <w:r>
        <w:rPr>
          <w:spacing w:val="-1"/>
          <w:sz w:val="24"/>
        </w:rPr>
        <w:t> </w:t>
      </w:r>
      <w:r>
        <w:rPr>
          <w:sz w:val="24"/>
        </w:rPr>
        <w:t>accountant,</w:t>
      </w:r>
      <w:r>
        <w:rPr>
          <w:spacing w:val="-1"/>
          <w:sz w:val="24"/>
        </w:rPr>
        <w:t> </w:t>
      </w:r>
      <w:r>
        <w:rPr>
          <w:sz w:val="24"/>
        </w:rPr>
        <w:t>economist</w:t>
      </w:r>
      <w:r>
        <w:rPr>
          <w:spacing w:val="-1"/>
          <w:sz w:val="24"/>
        </w:rPr>
        <w:t> </w:t>
      </w:r>
      <w:r>
        <w:rPr>
          <w:sz w:val="24"/>
        </w:rPr>
        <w:t>and</w:t>
      </w:r>
      <w:r>
        <w:rPr>
          <w:spacing w:val="-1"/>
          <w:sz w:val="24"/>
        </w:rPr>
        <w:t> </w:t>
      </w:r>
      <w:r>
        <w:rPr>
          <w:sz w:val="24"/>
        </w:rPr>
        <w:t>public</w:t>
      </w:r>
      <w:r>
        <w:rPr>
          <w:spacing w:val="-2"/>
          <w:sz w:val="24"/>
        </w:rPr>
        <w:t> </w:t>
      </w:r>
      <w:r>
        <w:rPr>
          <w:sz w:val="24"/>
        </w:rPr>
        <w:t>administrator.</w:t>
      </w:r>
      <w:r>
        <w:rPr>
          <w:spacing w:val="-2"/>
          <w:sz w:val="24"/>
        </w:rPr>
        <w:t> </w:t>
      </w:r>
      <w:r>
        <w:rPr>
          <w:sz w:val="24"/>
        </w:rPr>
        <w:t>27(17%)</w:t>
      </w:r>
      <w:r>
        <w:rPr>
          <w:spacing w:val="-2"/>
          <w:sz w:val="24"/>
        </w:rPr>
        <w:t> </w:t>
      </w:r>
      <w:r>
        <w:rPr>
          <w:sz w:val="24"/>
        </w:rPr>
        <w:t>think</w:t>
      </w:r>
      <w:r>
        <w:rPr>
          <w:spacing w:val="-1"/>
          <w:sz w:val="24"/>
        </w:rPr>
        <w:t> </w:t>
      </w:r>
      <w:r>
        <w:rPr>
          <w:sz w:val="24"/>
        </w:rPr>
        <w:t>it</w:t>
      </w:r>
      <w:r>
        <w:rPr>
          <w:spacing w:val="-1"/>
          <w:sz w:val="24"/>
        </w:rPr>
        <w:t> </w:t>
      </w:r>
      <w:r>
        <w:rPr>
          <w:sz w:val="24"/>
        </w:rPr>
        <w:t>should</w:t>
      </w:r>
      <w:r>
        <w:rPr>
          <w:spacing w:val="-1"/>
          <w:sz w:val="24"/>
        </w:rPr>
        <w:t> </w:t>
      </w:r>
      <w:r>
        <w:rPr>
          <w:sz w:val="24"/>
        </w:rPr>
        <w:t>be handled by only the Accountant, 9(6%) think it should be the purview of the economist, while 5(3%) believe it should be the work of a public administrator. However, 62 (40%) of the respondents agree that the QS should be the most involved. From these results, it can be construed that majority of the respondents are of the view that the QS has the greatest potential for making a difference in the housing budget process of Anambra State, hence the need for the government to involve them more in the decision making process of the housing budget.</w:t>
      </w:r>
    </w:p>
    <w:p>
      <w:pPr>
        <w:pStyle w:val="BodyText"/>
      </w:pPr>
    </w:p>
    <w:p>
      <w:pPr>
        <w:pStyle w:val="BodyText"/>
        <w:spacing w:before="73"/>
      </w:pPr>
    </w:p>
    <w:p>
      <w:pPr>
        <w:pStyle w:val="Heading4"/>
        <w:numPr>
          <w:ilvl w:val="2"/>
          <w:numId w:val="87"/>
        </w:numPr>
        <w:tabs>
          <w:tab w:pos="780" w:val="left" w:leader="none"/>
        </w:tabs>
        <w:spacing w:line="240" w:lineRule="auto" w:before="0" w:after="0"/>
        <w:ind w:left="780" w:right="0" w:hanging="540"/>
        <w:jc w:val="both"/>
      </w:pPr>
      <w:r>
        <w:rPr/>
        <w:t>Ranking</w:t>
      </w:r>
      <w:r>
        <w:rPr>
          <w:spacing w:val="-3"/>
        </w:rPr>
        <w:t> </w:t>
      </w:r>
      <w:r>
        <w:rPr/>
        <w:t>of</w:t>
      </w:r>
      <w:r>
        <w:rPr>
          <w:spacing w:val="-1"/>
        </w:rPr>
        <w:t> </w:t>
      </w:r>
      <w:r>
        <w:rPr/>
        <w:t>the</w:t>
      </w:r>
      <w:r>
        <w:rPr>
          <w:spacing w:val="-1"/>
        </w:rPr>
        <w:t> </w:t>
      </w:r>
      <w:r>
        <w:rPr/>
        <w:t>Problems</w:t>
      </w:r>
      <w:r>
        <w:rPr>
          <w:spacing w:val="1"/>
        </w:rPr>
        <w:t> </w:t>
      </w:r>
      <w:r>
        <w:rPr/>
        <w:t>Facing</w:t>
      </w:r>
      <w:r>
        <w:rPr>
          <w:spacing w:val="-1"/>
        </w:rPr>
        <w:t> </w:t>
      </w:r>
      <w:r>
        <w:rPr/>
        <w:t>Housing</w:t>
      </w:r>
      <w:r>
        <w:rPr>
          <w:spacing w:val="-3"/>
        </w:rPr>
        <w:t> </w:t>
      </w:r>
      <w:r>
        <w:rPr/>
        <w:t>Budget</w:t>
      </w:r>
      <w:r>
        <w:rPr>
          <w:spacing w:val="-1"/>
        </w:rPr>
        <w:t> </w:t>
      </w:r>
      <w:r>
        <w:rPr>
          <w:spacing w:val="-2"/>
        </w:rPr>
        <w:t>Performance</w:t>
      </w:r>
    </w:p>
    <w:p>
      <w:pPr>
        <w:pStyle w:val="BodyText"/>
        <w:spacing w:line="360" w:lineRule="auto" w:before="135"/>
        <w:ind w:left="240" w:right="834"/>
        <w:jc w:val="both"/>
      </w:pPr>
      <w:r>
        <w:rPr/>
        <w:t>The essence of this sub-section is to rank in order of severity, the challenges or problems hindering effective housing budget performance in Anambra State. This will also help to establish those critical areas that require close attention of the Government. The respondents</w:t>
      </w:r>
      <w:r>
        <w:rPr>
          <w:spacing w:val="40"/>
        </w:rPr>
        <w:t> </w:t>
      </w:r>
      <w:r>
        <w:rPr/>
        <w:t>were required to rate the challenges on a 5-point Likert scale (5= Strongly agree to 1= Don‘t know), after which the relative importance index (RII) for each factor was calculated as a basis</w:t>
      </w:r>
      <w:r>
        <w:rPr>
          <w:spacing w:val="40"/>
        </w:rPr>
        <w:t> </w:t>
      </w:r>
      <w:r>
        <w:rPr/>
        <w:t>of the ranking. The responses and ranking are presented in Table 5.13.</w:t>
      </w:r>
    </w:p>
    <w:p>
      <w:pPr>
        <w:spacing w:after="0" w:line="360" w:lineRule="auto"/>
        <w:jc w:val="both"/>
        <w:sectPr>
          <w:pgSz w:w="12240" w:h="15840"/>
          <w:pgMar w:header="0" w:footer="1036" w:top="1360" w:bottom="1220" w:left="1200" w:right="600"/>
        </w:sectPr>
      </w:pPr>
    </w:p>
    <w:p>
      <w:pPr>
        <w:pStyle w:val="Heading4"/>
        <w:spacing w:before="76"/>
        <w:ind w:right="833"/>
      </w:pPr>
      <w:r>
        <w:rPr/>
        <w:t>Table 5.13. Responses and Ranking of the Problems Hindering Housing Budget </w:t>
      </w:r>
      <w:r>
        <w:rPr>
          <w:spacing w:val="-2"/>
        </w:rPr>
        <w:t>Performance</w:t>
      </w:r>
    </w:p>
    <w:p>
      <w:pPr>
        <w:pStyle w:val="BodyText"/>
        <w:spacing w:before="4"/>
        <w:rPr>
          <w:b/>
          <w:sz w:val="15"/>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6"/>
        <w:gridCol w:w="2886"/>
        <w:gridCol w:w="984"/>
        <w:gridCol w:w="789"/>
        <w:gridCol w:w="1013"/>
        <w:gridCol w:w="1048"/>
        <w:gridCol w:w="775"/>
        <w:gridCol w:w="711"/>
        <w:gridCol w:w="916"/>
      </w:tblGrid>
      <w:tr>
        <w:trPr>
          <w:trHeight w:val="757" w:hRule="atLeast"/>
        </w:trPr>
        <w:tc>
          <w:tcPr>
            <w:tcW w:w="566" w:type="dxa"/>
            <w:tcBorders>
              <w:top w:val="single" w:sz="8" w:space="0" w:color="000000"/>
              <w:bottom w:val="single" w:sz="8" w:space="0" w:color="000000"/>
            </w:tcBorders>
          </w:tcPr>
          <w:p>
            <w:pPr>
              <w:pStyle w:val="TableParagraph"/>
              <w:spacing w:line="223" w:lineRule="exact"/>
              <w:ind w:left="122"/>
              <w:rPr>
                <w:sz w:val="20"/>
              </w:rPr>
            </w:pPr>
            <w:r>
              <w:rPr>
                <w:spacing w:val="-5"/>
                <w:sz w:val="20"/>
              </w:rPr>
              <w:t>S/N</w:t>
            </w:r>
          </w:p>
        </w:tc>
        <w:tc>
          <w:tcPr>
            <w:tcW w:w="2886" w:type="dxa"/>
            <w:tcBorders>
              <w:top w:val="single" w:sz="8" w:space="0" w:color="000000"/>
              <w:bottom w:val="single" w:sz="8" w:space="0" w:color="000000"/>
            </w:tcBorders>
          </w:tcPr>
          <w:p>
            <w:pPr>
              <w:pStyle w:val="TableParagraph"/>
              <w:spacing w:line="246" w:lineRule="exact"/>
              <w:ind w:left="113"/>
              <w:rPr>
                <w:sz w:val="22"/>
              </w:rPr>
            </w:pPr>
            <w:r>
              <w:rPr>
                <w:spacing w:val="-2"/>
                <w:sz w:val="22"/>
              </w:rPr>
              <w:t>Problems</w:t>
            </w:r>
          </w:p>
        </w:tc>
        <w:tc>
          <w:tcPr>
            <w:tcW w:w="984" w:type="dxa"/>
            <w:tcBorders>
              <w:top w:val="single" w:sz="8" w:space="0" w:color="000000"/>
              <w:bottom w:val="single" w:sz="8" w:space="0" w:color="000000"/>
            </w:tcBorders>
          </w:tcPr>
          <w:p>
            <w:pPr>
              <w:pStyle w:val="TableParagraph"/>
              <w:spacing w:line="246" w:lineRule="exact"/>
              <w:ind w:left="107"/>
              <w:rPr>
                <w:sz w:val="22"/>
              </w:rPr>
            </w:pPr>
            <w:r>
              <w:rPr>
                <w:spacing w:val="-2"/>
                <w:sz w:val="22"/>
              </w:rPr>
              <w:t>Strongly</w:t>
            </w:r>
          </w:p>
          <w:p>
            <w:pPr>
              <w:pStyle w:val="TableParagraph"/>
              <w:spacing w:line="252" w:lineRule="exact"/>
              <w:ind w:left="107" w:right="390"/>
              <w:rPr>
                <w:sz w:val="22"/>
              </w:rPr>
            </w:pPr>
            <w:r>
              <w:rPr>
                <w:spacing w:val="-2"/>
                <w:sz w:val="22"/>
              </w:rPr>
              <w:t>agree </w:t>
            </w:r>
            <w:r>
              <w:rPr>
                <w:spacing w:val="-4"/>
                <w:sz w:val="22"/>
              </w:rPr>
              <w:t>(5)</w:t>
            </w:r>
          </w:p>
        </w:tc>
        <w:tc>
          <w:tcPr>
            <w:tcW w:w="789" w:type="dxa"/>
            <w:tcBorders>
              <w:top w:val="single" w:sz="8" w:space="0" w:color="000000"/>
              <w:bottom w:val="single" w:sz="8" w:space="0" w:color="000000"/>
            </w:tcBorders>
          </w:tcPr>
          <w:p>
            <w:pPr>
              <w:pStyle w:val="TableParagraph"/>
              <w:spacing w:line="246" w:lineRule="exact"/>
              <w:ind w:left="114"/>
              <w:rPr>
                <w:sz w:val="22"/>
              </w:rPr>
            </w:pPr>
            <w:r>
              <w:rPr>
                <w:spacing w:val="-2"/>
                <w:sz w:val="22"/>
              </w:rPr>
              <w:t>Agree</w:t>
            </w:r>
          </w:p>
          <w:p>
            <w:pPr>
              <w:pStyle w:val="TableParagraph"/>
              <w:rPr>
                <w:b/>
                <w:sz w:val="22"/>
              </w:rPr>
            </w:pPr>
          </w:p>
          <w:p>
            <w:pPr>
              <w:pStyle w:val="TableParagraph"/>
              <w:spacing w:line="238" w:lineRule="exact"/>
              <w:ind w:left="114"/>
              <w:rPr>
                <w:sz w:val="22"/>
              </w:rPr>
            </w:pPr>
            <w:r>
              <w:rPr>
                <w:spacing w:val="-5"/>
                <w:sz w:val="22"/>
              </w:rPr>
              <w:t>(4)</w:t>
            </w:r>
          </w:p>
        </w:tc>
        <w:tc>
          <w:tcPr>
            <w:tcW w:w="1013" w:type="dxa"/>
            <w:tcBorders>
              <w:top w:val="single" w:sz="8" w:space="0" w:color="000000"/>
              <w:bottom w:val="single" w:sz="8" w:space="0" w:color="000000"/>
            </w:tcBorders>
          </w:tcPr>
          <w:p>
            <w:pPr>
              <w:pStyle w:val="TableParagraph"/>
              <w:spacing w:line="246" w:lineRule="exact"/>
              <w:ind w:left="135"/>
              <w:rPr>
                <w:sz w:val="22"/>
              </w:rPr>
            </w:pPr>
            <w:r>
              <w:rPr>
                <w:spacing w:val="-2"/>
                <w:sz w:val="22"/>
              </w:rPr>
              <w:t>Strongly</w:t>
            </w:r>
          </w:p>
          <w:p>
            <w:pPr>
              <w:pStyle w:val="TableParagraph"/>
              <w:spacing w:line="252" w:lineRule="exact"/>
              <w:ind w:left="135" w:right="141"/>
              <w:rPr>
                <w:sz w:val="22"/>
              </w:rPr>
            </w:pPr>
            <w:r>
              <w:rPr>
                <w:spacing w:val="-2"/>
                <w:sz w:val="22"/>
              </w:rPr>
              <w:t>disagree </w:t>
            </w:r>
            <w:r>
              <w:rPr>
                <w:spacing w:val="-4"/>
                <w:sz w:val="22"/>
              </w:rPr>
              <w:t>(3)</w:t>
            </w:r>
          </w:p>
        </w:tc>
        <w:tc>
          <w:tcPr>
            <w:tcW w:w="1048" w:type="dxa"/>
            <w:tcBorders>
              <w:top w:val="single" w:sz="8" w:space="0" w:color="000000"/>
              <w:bottom w:val="single" w:sz="8" w:space="0" w:color="000000"/>
            </w:tcBorders>
          </w:tcPr>
          <w:p>
            <w:pPr>
              <w:pStyle w:val="TableParagraph"/>
              <w:spacing w:line="246" w:lineRule="exact"/>
              <w:ind w:left="113"/>
              <w:rPr>
                <w:sz w:val="22"/>
              </w:rPr>
            </w:pPr>
            <w:r>
              <w:rPr>
                <w:spacing w:val="-2"/>
                <w:sz w:val="22"/>
              </w:rPr>
              <w:t>Disagree</w:t>
            </w:r>
          </w:p>
          <w:p>
            <w:pPr>
              <w:pStyle w:val="TableParagraph"/>
              <w:rPr>
                <w:b/>
                <w:sz w:val="22"/>
              </w:rPr>
            </w:pPr>
          </w:p>
          <w:p>
            <w:pPr>
              <w:pStyle w:val="TableParagraph"/>
              <w:spacing w:line="238" w:lineRule="exact"/>
              <w:ind w:left="113"/>
              <w:rPr>
                <w:sz w:val="22"/>
              </w:rPr>
            </w:pPr>
            <w:r>
              <w:rPr>
                <w:spacing w:val="-5"/>
                <w:sz w:val="22"/>
              </w:rPr>
              <w:t>(2)</w:t>
            </w:r>
          </w:p>
        </w:tc>
        <w:tc>
          <w:tcPr>
            <w:tcW w:w="775" w:type="dxa"/>
            <w:tcBorders>
              <w:top w:val="single" w:sz="8" w:space="0" w:color="000000"/>
              <w:bottom w:val="single" w:sz="8" w:space="0" w:color="000000"/>
            </w:tcBorders>
          </w:tcPr>
          <w:p>
            <w:pPr>
              <w:pStyle w:val="TableParagraph"/>
              <w:spacing w:line="246" w:lineRule="exact"/>
              <w:ind w:left="145"/>
              <w:rPr>
                <w:sz w:val="22"/>
              </w:rPr>
            </w:pPr>
            <w:r>
              <w:rPr>
                <w:spacing w:val="-2"/>
                <w:sz w:val="22"/>
              </w:rPr>
              <w:t>Don‘t</w:t>
            </w:r>
          </w:p>
          <w:p>
            <w:pPr>
              <w:pStyle w:val="TableParagraph"/>
              <w:spacing w:line="252" w:lineRule="exact"/>
              <w:ind w:left="145" w:right="137"/>
              <w:rPr>
                <w:sz w:val="22"/>
              </w:rPr>
            </w:pPr>
            <w:r>
              <w:rPr>
                <w:spacing w:val="-4"/>
                <w:sz w:val="22"/>
              </w:rPr>
              <w:t>know (1)</w:t>
            </w:r>
          </w:p>
        </w:tc>
        <w:tc>
          <w:tcPr>
            <w:tcW w:w="711" w:type="dxa"/>
            <w:tcBorders>
              <w:top w:val="single" w:sz="8" w:space="0" w:color="000000"/>
              <w:bottom w:val="single" w:sz="8" w:space="0" w:color="000000"/>
            </w:tcBorders>
          </w:tcPr>
          <w:p>
            <w:pPr>
              <w:pStyle w:val="TableParagraph"/>
              <w:spacing w:line="246" w:lineRule="exact"/>
              <w:ind w:left="107"/>
              <w:rPr>
                <w:sz w:val="22"/>
              </w:rPr>
            </w:pPr>
            <w:r>
              <w:rPr>
                <w:spacing w:val="-5"/>
                <w:sz w:val="22"/>
              </w:rPr>
              <w:t>RII</w:t>
            </w:r>
          </w:p>
        </w:tc>
        <w:tc>
          <w:tcPr>
            <w:tcW w:w="916" w:type="dxa"/>
            <w:tcBorders>
              <w:top w:val="single" w:sz="8" w:space="0" w:color="000000"/>
              <w:bottom w:val="single" w:sz="8" w:space="0" w:color="000000"/>
            </w:tcBorders>
          </w:tcPr>
          <w:p>
            <w:pPr>
              <w:pStyle w:val="TableParagraph"/>
              <w:spacing w:line="246" w:lineRule="exact"/>
              <w:ind w:left="207"/>
              <w:rPr>
                <w:sz w:val="22"/>
              </w:rPr>
            </w:pPr>
            <w:r>
              <w:rPr>
                <w:spacing w:val="-4"/>
                <w:sz w:val="22"/>
              </w:rPr>
              <w:t>Rank</w:t>
            </w:r>
          </w:p>
        </w:tc>
      </w:tr>
      <w:tr>
        <w:trPr>
          <w:trHeight w:val="255" w:hRule="atLeast"/>
        </w:trPr>
        <w:tc>
          <w:tcPr>
            <w:tcW w:w="566" w:type="dxa"/>
            <w:tcBorders>
              <w:top w:val="single" w:sz="8" w:space="0" w:color="000000"/>
            </w:tcBorders>
            <w:shd w:val="clear" w:color="auto" w:fill="D2DFED"/>
          </w:tcPr>
          <w:p>
            <w:pPr>
              <w:pStyle w:val="TableParagraph"/>
              <w:spacing w:line="234" w:lineRule="exact"/>
              <w:ind w:left="122"/>
              <w:rPr>
                <w:b/>
                <w:sz w:val="22"/>
              </w:rPr>
            </w:pPr>
            <w:r>
              <w:rPr>
                <w:b/>
                <w:spacing w:val="-5"/>
                <w:sz w:val="22"/>
              </w:rPr>
              <w:t>(a)</w:t>
            </w:r>
          </w:p>
        </w:tc>
        <w:tc>
          <w:tcPr>
            <w:tcW w:w="2886" w:type="dxa"/>
            <w:vMerge w:val="restart"/>
            <w:tcBorders>
              <w:top w:val="single" w:sz="8" w:space="0" w:color="000000"/>
            </w:tcBorders>
            <w:shd w:val="clear" w:color="auto" w:fill="D2DFED"/>
          </w:tcPr>
          <w:p>
            <w:pPr>
              <w:pStyle w:val="TableParagraph"/>
              <w:spacing w:line="248" w:lineRule="exact"/>
              <w:ind w:left="113"/>
              <w:rPr>
                <w:sz w:val="22"/>
              </w:rPr>
            </w:pPr>
            <w:r>
              <w:rPr>
                <w:sz w:val="22"/>
              </w:rPr>
              <w:t>Lack</w:t>
            </w:r>
            <w:r>
              <w:rPr>
                <w:spacing w:val="32"/>
                <w:sz w:val="22"/>
              </w:rPr>
              <w:t>  </w:t>
            </w:r>
            <w:r>
              <w:rPr>
                <w:sz w:val="22"/>
              </w:rPr>
              <w:t>of</w:t>
            </w:r>
            <w:r>
              <w:rPr>
                <w:spacing w:val="35"/>
                <w:sz w:val="22"/>
              </w:rPr>
              <w:t>  </w:t>
            </w:r>
            <w:r>
              <w:rPr>
                <w:sz w:val="22"/>
              </w:rPr>
              <w:t>accurate</w:t>
            </w:r>
            <w:r>
              <w:rPr>
                <w:spacing w:val="34"/>
                <w:sz w:val="22"/>
              </w:rPr>
              <w:t>  </w:t>
            </w:r>
            <w:r>
              <w:rPr>
                <w:sz w:val="22"/>
              </w:rPr>
              <w:t>data</w:t>
            </w:r>
            <w:r>
              <w:rPr>
                <w:spacing w:val="33"/>
                <w:sz w:val="22"/>
              </w:rPr>
              <w:t>  </w:t>
            </w:r>
            <w:r>
              <w:rPr>
                <w:spacing w:val="-5"/>
                <w:sz w:val="22"/>
              </w:rPr>
              <w:t>on</w:t>
            </w:r>
          </w:p>
          <w:p>
            <w:pPr>
              <w:pStyle w:val="TableParagraph"/>
              <w:spacing w:line="240" w:lineRule="exact"/>
              <w:ind w:left="113"/>
              <w:rPr>
                <w:sz w:val="22"/>
              </w:rPr>
            </w:pPr>
            <w:r>
              <w:rPr>
                <w:sz w:val="22"/>
              </w:rPr>
              <w:t>housing</w:t>
            </w:r>
            <w:r>
              <w:rPr>
                <w:spacing w:val="-4"/>
                <w:sz w:val="22"/>
              </w:rPr>
              <w:t> </w:t>
            </w:r>
            <w:r>
              <w:rPr>
                <w:sz w:val="22"/>
              </w:rPr>
              <w:t>needs</w:t>
            </w:r>
            <w:r>
              <w:rPr>
                <w:spacing w:val="53"/>
                <w:sz w:val="22"/>
              </w:rPr>
              <w:t> </w:t>
            </w:r>
            <w:r>
              <w:rPr>
                <w:sz w:val="22"/>
              </w:rPr>
              <w:t>of</w:t>
            </w:r>
            <w:r>
              <w:rPr>
                <w:spacing w:val="-1"/>
                <w:sz w:val="22"/>
              </w:rPr>
              <w:t> </w:t>
            </w:r>
            <w:r>
              <w:rPr>
                <w:sz w:val="22"/>
              </w:rPr>
              <w:t>the</w:t>
            </w:r>
            <w:r>
              <w:rPr>
                <w:spacing w:val="-1"/>
                <w:sz w:val="22"/>
              </w:rPr>
              <w:t> </w:t>
            </w:r>
            <w:r>
              <w:rPr>
                <w:spacing w:val="-4"/>
                <w:sz w:val="22"/>
              </w:rPr>
              <w:t>State</w:t>
            </w:r>
          </w:p>
        </w:tc>
        <w:tc>
          <w:tcPr>
            <w:tcW w:w="984" w:type="dxa"/>
            <w:tcBorders>
              <w:top w:val="single" w:sz="8" w:space="0" w:color="000000"/>
            </w:tcBorders>
            <w:shd w:val="clear" w:color="auto" w:fill="D2DFED"/>
          </w:tcPr>
          <w:p>
            <w:pPr>
              <w:pStyle w:val="TableParagraph"/>
              <w:rPr>
                <w:sz w:val="18"/>
              </w:rPr>
            </w:pPr>
          </w:p>
        </w:tc>
        <w:tc>
          <w:tcPr>
            <w:tcW w:w="789" w:type="dxa"/>
            <w:tcBorders>
              <w:top w:val="single" w:sz="8" w:space="0" w:color="000000"/>
            </w:tcBorders>
            <w:shd w:val="clear" w:color="auto" w:fill="D2DFED"/>
          </w:tcPr>
          <w:p>
            <w:pPr>
              <w:pStyle w:val="TableParagraph"/>
              <w:rPr>
                <w:sz w:val="18"/>
              </w:rPr>
            </w:pPr>
          </w:p>
        </w:tc>
        <w:tc>
          <w:tcPr>
            <w:tcW w:w="1013" w:type="dxa"/>
            <w:tcBorders>
              <w:top w:val="single" w:sz="8" w:space="0" w:color="000000"/>
            </w:tcBorders>
            <w:shd w:val="clear" w:color="auto" w:fill="D2DFED"/>
          </w:tcPr>
          <w:p>
            <w:pPr>
              <w:pStyle w:val="TableParagraph"/>
              <w:rPr>
                <w:sz w:val="18"/>
              </w:rPr>
            </w:pPr>
          </w:p>
        </w:tc>
        <w:tc>
          <w:tcPr>
            <w:tcW w:w="1048" w:type="dxa"/>
            <w:tcBorders>
              <w:top w:val="single" w:sz="8" w:space="0" w:color="000000"/>
            </w:tcBorders>
            <w:shd w:val="clear" w:color="auto" w:fill="D2DFED"/>
          </w:tcPr>
          <w:p>
            <w:pPr>
              <w:pStyle w:val="TableParagraph"/>
              <w:rPr>
                <w:sz w:val="18"/>
              </w:rPr>
            </w:pPr>
          </w:p>
        </w:tc>
        <w:tc>
          <w:tcPr>
            <w:tcW w:w="775" w:type="dxa"/>
            <w:tcBorders>
              <w:top w:val="single" w:sz="8" w:space="0" w:color="000000"/>
            </w:tcBorders>
            <w:shd w:val="clear" w:color="auto" w:fill="D2DFED"/>
          </w:tcPr>
          <w:p>
            <w:pPr>
              <w:pStyle w:val="TableParagraph"/>
              <w:rPr>
                <w:sz w:val="18"/>
              </w:rPr>
            </w:pPr>
          </w:p>
        </w:tc>
        <w:tc>
          <w:tcPr>
            <w:tcW w:w="711" w:type="dxa"/>
            <w:tcBorders>
              <w:top w:val="single" w:sz="8" w:space="0" w:color="000000"/>
            </w:tcBorders>
            <w:shd w:val="clear" w:color="auto" w:fill="D2DFED"/>
          </w:tcPr>
          <w:p>
            <w:pPr>
              <w:pStyle w:val="TableParagraph"/>
              <w:rPr>
                <w:sz w:val="18"/>
              </w:rPr>
            </w:pPr>
          </w:p>
        </w:tc>
        <w:tc>
          <w:tcPr>
            <w:tcW w:w="916" w:type="dxa"/>
            <w:tcBorders>
              <w:top w:val="single" w:sz="8" w:space="0" w:color="000000"/>
            </w:tcBorders>
            <w:shd w:val="clear" w:color="auto" w:fill="D2DFED"/>
          </w:tcPr>
          <w:p>
            <w:pPr>
              <w:pStyle w:val="TableParagraph"/>
              <w:rPr>
                <w:sz w:val="18"/>
              </w:rPr>
            </w:pPr>
          </w:p>
        </w:tc>
      </w:tr>
      <w:tr>
        <w:trPr>
          <w:trHeight w:val="253" w:hRule="atLeast"/>
        </w:trPr>
        <w:tc>
          <w:tcPr>
            <w:tcW w:w="566" w:type="dxa"/>
            <w:shd w:val="clear" w:color="auto" w:fill="D2DFED"/>
          </w:tcPr>
          <w:p>
            <w:pPr>
              <w:pStyle w:val="TableParagraph"/>
              <w:rPr>
                <w:sz w:val="18"/>
              </w:rPr>
            </w:pPr>
          </w:p>
        </w:tc>
        <w:tc>
          <w:tcPr>
            <w:tcW w:w="2886" w:type="dxa"/>
            <w:vMerge/>
            <w:tcBorders>
              <w:top w:val="nil"/>
            </w:tcBorders>
            <w:shd w:val="clear" w:color="auto" w:fill="D2DFED"/>
          </w:tcPr>
          <w:p>
            <w:pPr>
              <w:rPr>
                <w:sz w:val="2"/>
                <w:szCs w:val="2"/>
              </w:rPr>
            </w:pPr>
          </w:p>
        </w:tc>
        <w:tc>
          <w:tcPr>
            <w:tcW w:w="984" w:type="dxa"/>
            <w:shd w:val="clear" w:color="auto" w:fill="D2DFED"/>
          </w:tcPr>
          <w:p>
            <w:pPr>
              <w:pStyle w:val="TableParagraph"/>
              <w:spacing w:line="233" w:lineRule="exact"/>
              <w:ind w:left="107"/>
              <w:rPr>
                <w:sz w:val="22"/>
              </w:rPr>
            </w:pPr>
            <w:r>
              <w:rPr>
                <w:spacing w:val="-5"/>
                <w:sz w:val="22"/>
              </w:rPr>
              <w:t>55</w:t>
            </w:r>
          </w:p>
        </w:tc>
        <w:tc>
          <w:tcPr>
            <w:tcW w:w="789" w:type="dxa"/>
            <w:shd w:val="clear" w:color="auto" w:fill="D2DFED"/>
          </w:tcPr>
          <w:p>
            <w:pPr>
              <w:pStyle w:val="TableParagraph"/>
              <w:spacing w:line="233" w:lineRule="exact"/>
              <w:ind w:left="114"/>
              <w:rPr>
                <w:sz w:val="22"/>
              </w:rPr>
            </w:pPr>
            <w:r>
              <w:rPr>
                <w:spacing w:val="-5"/>
                <w:sz w:val="22"/>
              </w:rPr>
              <w:t>78</w:t>
            </w:r>
          </w:p>
        </w:tc>
        <w:tc>
          <w:tcPr>
            <w:tcW w:w="1013" w:type="dxa"/>
            <w:shd w:val="clear" w:color="auto" w:fill="D2DFED"/>
          </w:tcPr>
          <w:p>
            <w:pPr>
              <w:pStyle w:val="TableParagraph"/>
              <w:spacing w:line="233" w:lineRule="exact"/>
              <w:ind w:left="135"/>
              <w:rPr>
                <w:sz w:val="22"/>
              </w:rPr>
            </w:pPr>
            <w:r>
              <w:rPr>
                <w:spacing w:val="-10"/>
                <w:sz w:val="22"/>
              </w:rPr>
              <w:t>8</w:t>
            </w:r>
          </w:p>
        </w:tc>
        <w:tc>
          <w:tcPr>
            <w:tcW w:w="1048" w:type="dxa"/>
            <w:shd w:val="clear" w:color="auto" w:fill="D2DFED"/>
          </w:tcPr>
          <w:p>
            <w:pPr>
              <w:pStyle w:val="TableParagraph"/>
              <w:spacing w:line="233" w:lineRule="exact"/>
              <w:ind w:left="113"/>
              <w:rPr>
                <w:sz w:val="22"/>
              </w:rPr>
            </w:pPr>
            <w:r>
              <w:rPr>
                <w:spacing w:val="-10"/>
                <w:sz w:val="22"/>
              </w:rPr>
              <w:t>0</w:t>
            </w:r>
          </w:p>
        </w:tc>
        <w:tc>
          <w:tcPr>
            <w:tcW w:w="775" w:type="dxa"/>
            <w:shd w:val="clear" w:color="auto" w:fill="D2DFED"/>
          </w:tcPr>
          <w:p>
            <w:pPr>
              <w:pStyle w:val="TableParagraph"/>
              <w:spacing w:line="233" w:lineRule="exact"/>
              <w:ind w:left="145"/>
              <w:rPr>
                <w:sz w:val="22"/>
              </w:rPr>
            </w:pPr>
            <w:r>
              <w:rPr>
                <w:spacing w:val="-5"/>
                <w:sz w:val="22"/>
              </w:rPr>
              <w:t>15</w:t>
            </w:r>
          </w:p>
        </w:tc>
        <w:tc>
          <w:tcPr>
            <w:tcW w:w="711" w:type="dxa"/>
            <w:shd w:val="clear" w:color="auto" w:fill="D2DFED"/>
          </w:tcPr>
          <w:p>
            <w:pPr>
              <w:pStyle w:val="TableParagraph"/>
              <w:spacing w:line="233" w:lineRule="exact"/>
              <w:ind w:left="107"/>
              <w:rPr>
                <w:sz w:val="22"/>
              </w:rPr>
            </w:pPr>
            <w:r>
              <w:rPr>
                <w:spacing w:val="-4"/>
                <w:sz w:val="22"/>
              </w:rPr>
              <w:t>0.80</w:t>
            </w:r>
          </w:p>
        </w:tc>
        <w:tc>
          <w:tcPr>
            <w:tcW w:w="916" w:type="dxa"/>
            <w:shd w:val="clear" w:color="auto" w:fill="D2DFED"/>
          </w:tcPr>
          <w:p>
            <w:pPr>
              <w:pStyle w:val="TableParagraph"/>
              <w:spacing w:line="233" w:lineRule="exact"/>
              <w:ind w:left="207"/>
              <w:rPr>
                <w:sz w:val="22"/>
              </w:rPr>
            </w:pPr>
            <w:r>
              <w:rPr>
                <w:spacing w:val="-10"/>
                <w:sz w:val="22"/>
              </w:rPr>
              <w:t>3</w:t>
            </w:r>
          </w:p>
        </w:tc>
      </w:tr>
      <w:tr>
        <w:trPr>
          <w:trHeight w:val="253" w:hRule="atLeast"/>
        </w:trPr>
        <w:tc>
          <w:tcPr>
            <w:tcW w:w="566" w:type="dxa"/>
          </w:tcPr>
          <w:p>
            <w:pPr>
              <w:pStyle w:val="TableParagraph"/>
              <w:spacing w:line="233" w:lineRule="exact"/>
              <w:ind w:left="122"/>
              <w:rPr>
                <w:b/>
                <w:sz w:val="22"/>
              </w:rPr>
            </w:pPr>
            <w:r>
              <w:rPr>
                <w:b/>
                <w:spacing w:val="-5"/>
                <w:sz w:val="22"/>
              </w:rPr>
              <w:t>(b)</w:t>
            </w:r>
          </w:p>
        </w:tc>
        <w:tc>
          <w:tcPr>
            <w:tcW w:w="2886" w:type="dxa"/>
            <w:vMerge w:val="restart"/>
          </w:tcPr>
          <w:p>
            <w:pPr>
              <w:pStyle w:val="TableParagraph"/>
              <w:ind w:left="113"/>
              <w:rPr>
                <w:sz w:val="22"/>
              </w:rPr>
            </w:pPr>
            <w:r>
              <w:rPr>
                <w:sz w:val="22"/>
              </w:rPr>
              <w:t>Inadequate time for preparing budget proposals</w:t>
            </w:r>
          </w:p>
        </w:tc>
        <w:tc>
          <w:tcPr>
            <w:tcW w:w="984" w:type="dxa"/>
          </w:tcPr>
          <w:p>
            <w:pPr>
              <w:pStyle w:val="TableParagraph"/>
              <w:rPr>
                <w:sz w:val="18"/>
              </w:rPr>
            </w:pPr>
          </w:p>
        </w:tc>
        <w:tc>
          <w:tcPr>
            <w:tcW w:w="789" w:type="dxa"/>
          </w:tcPr>
          <w:p>
            <w:pPr>
              <w:pStyle w:val="TableParagraph"/>
              <w:rPr>
                <w:sz w:val="18"/>
              </w:rPr>
            </w:pPr>
          </w:p>
        </w:tc>
        <w:tc>
          <w:tcPr>
            <w:tcW w:w="1013" w:type="dxa"/>
          </w:tcPr>
          <w:p>
            <w:pPr>
              <w:pStyle w:val="TableParagraph"/>
              <w:rPr>
                <w:sz w:val="18"/>
              </w:rPr>
            </w:pPr>
          </w:p>
        </w:tc>
        <w:tc>
          <w:tcPr>
            <w:tcW w:w="1048" w:type="dxa"/>
          </w:tcPr>
          <w:p>
            <w:pPr>
              <w:pStyle w:val="TableParagraph"/>
              <w:rPr>
                <w:sz w:val="18"/>
              </w:rPr>
            </w:pPr>
          </w:p>
        </w:tc>
        <w:tc>
          <w:tcPr>
            <w:tcW w:w="775" w:type="dxa"/>
          </w:tcPr>
          <w:p>
            <w:pPr>
              <w:pStyle w:val="TableParagraph"/>
              <w:rPr>
                <w:sz w:val="18"/>
              </w:rPr>
            </w:pPr>
          </w:p>
        </w:tc>
        <w:tc>
          <w:tcPr>
            <w:tcW w:w="711" w:type="dxa"/>
          </w:tcPr>
          <w:p>
            <w:pPr>
              <w:pStyle w:val="TableParagraph"/>
              <w:rPr>
                <w:sz w:val="18"/>
              </w:rPr>
            </w:pPr>
          </w:p>
        </w:tc>
        <w:tc>
          <w:tcPr>
            <w:tcW w:w="916" w:type="dxa"/>
          </w:tcPr>
          <w:p>
            <w:pPr>
              <w:pStyle w:val="TableParagraph"/>
              <w:rPr>
                <w:sz w:val="18"/>
              </w:rPr>
            </w:pPr>
          </w:p>
        </w:tc>
      </w:tr>
      <w:tr>
        <w:trPr>
          <w:trHeight w:val="274" w:hRule="atLeast"/>
        </w:trPr>
        <w:tc>
          <w:tcPr>
            <w:tcW w:w="566" w:type="dxa"/>
          </w:tcPr>
          <w:p>
            <w:pPr>
              <w:pStyle w:val="TableParagraph"/>
              <w:rPr>
                <w:sz w:val="20"/>
              </w:rPr>
            </w:pPr>
          </w:p>
        </w:tc>
        <w:tc>
          <w:tcPr>
            <w:tcW w:w="2886" w:type="dxa"/>
            <w:vMerge/>
            <w:tcBorders>
              <w:top w:val="nil"/>
            </w:tcBorders>
          </w:tcPr>
          <w:p>
            <w:pPr>
              <w:rPr>
                <w:sz w:val="2"/>
                <w:szCs w:val="2"/>
              </w:rPr>
            </w:pPr>
          </w:p>
        </w:tc>
        <w:tc>
          <w:tcPr>
            <w:tcW w:w="984" w:type="dxa"/>
          </w:tcPr>
          <w:p>
            <w:pPr>
              <w:pStyle w:val="TableParagraph"/>
              <w:spacing w:line="246" w:lineRule="exact"/>
              <w:ind w:left="107"/>
              <w:rPr>
                <w:sz w:val="22"/>
              </w:rPr>
            </w:pPr>
            <w:r>
              <w:rPr>
                <w:spacing w:val="-5"/>
                <w:sz w:val="22"/>
              </w:rPr>
              <w:t>62</w:t>
            </w:r>
          </w:p>
        </w:tc>
        <w:tc>
          <w:tcPr>
            <w:tcW w:w="789" w:type="dxa"/>
          </w:tcPr>
          <w:p>
            <w:pPr>
              <w:pStyle w:val="TableParagraph"/>
              <w:spacing w:line="246" w:lineRule="exact"/>
              <w:ind w:left="114"/>
              <w:rPr>
                <w:sz w:val="22"/>
              </w:rPr>
            </w:pPr>
            <w:r>
              <w:rPr>
                <w:spacing w:val="-5"/>
                <w:sz w:val="22"/>
              </w:rPr>
              <w:t>16</w:t>
            </w:r>
          </w:p>
        </w:tc>
        <w:tc>
          <w:tcPr>
            <w:tcW w:w="1013" w:type="dxa"/>
          </w:tcPr>
          <w:p>
            <w:pPr>
              <w:pStyle w:val="TableParagraph"/>
              <w:spacing w:line="246" w:lineRule="exact"/>
              <w:ind w:left="135"/>
              <w:rPr>
                <w:sz w:val="22"/>
              </w:rPr>
            </w:pPr>
            <w:r>
              <w:rPr>
                <w:spacing w:val="-5"/>
                <w:sz w:val="22"/>
              </w:rPr>
              <w:t>16</w:t>
            </w:r>
          </w:p>
        </w:tc>
        <w:tc>
          <w:tcPr>
            <w:tcW w:w="1048" w:type="dxa"/>
          </w:tcPr>
          <w:p>
            <w:pPr>
              <w:pStyle w:val="TableParagraph"/>
              <w:spacing w:line="246" w:lineRule="exact"/>
              <w:ind w:left="113"/>
              <w:rPr>
                <w:sz w:val="22"/>
              </w:rPr>
            </w:pPr>
            <w:r>
              <w:rPr>
                <w:spacing w:val="-10"/>
                <w:sz w:val="22"/>
              </w:rPr>
              <w:t>0</w:t>
            </w:r>
          </w:p>
        </w:tc>
        <w:tc>
          <w:tcPr>
            <w:tcW w:w="775" w:type="dxa"/>
          </w:tcPr>
          <w:p>
            <w:pPr>
              <w:pStyle w:val="TableParagraph"/>
              <w:spacing w:line="246" w:lineRule="exact"/>
              <w:ind w:left="145"/>
              <w:rPr>
                <w:sz w:val="22"/>
              </w:rPr>
            </w:pPr>
            <w:r>
              <w:rPr>
                <w:spacing w:val="-5"/>
                <w:sz w:val="22"/>
              </w:rPr>
              <w:t>62</w:t>
            </w:r>
          </w:p>
        </w:tc>
        <w:tc>
          <w:tcPr>
            <w:tcW w:w="711" w:type="dxa"/>
          </w:tcPr>
          <w:p>
            <w:pPr>
              <w:pStyle w:val="TableParagraph"/>
              <w:spacing w:line="246" w:lineRule="exact"/>
              <w:ind w:left="107"/>
              <w:rPr>
                <w:sz w:val="22"/>
              </w:rPr>
            </w:pPr>
            <w:r>
              <w:rPr>
                <w:spacing w:val="-4"/>
                <w:sz w:val="22"/>
              </w:rPr>
              <w:t>0.62</w:t>
            </w:r>
          </w:p>
        </w:tc>
        <w:tc>
          <w:tcPr>
            <w:tcW w:w="916" w:type="dxa"/>
          </w:tcPr>
          <w:p>
            <w:pPr>
              <w:pStyle w:val="TableParagraph"/>
              <w:spacing w:line="246" w:lineRule="exact"/>
              <w:ind w:left="207"/>
              <w:rPr>
                <w:sz w:val="22"/>
              </w:rPr>
            </w:pPr>
            <w:r>
              <w:rPr>
                <w:spacing w:val="-10"/>
                <w:sz w:val="22"/>
              </w:rPr>
              <w:t>9</w:t>
            </w:r>
          </w:p>
        </w:tc>
      </w:tr>
      <w:tr>
        <w:trPr>
          <w:trHeight w:val="251" w:hRule="atLeast"/>
        </w:trPr>
        <w:tc>
          <w:tcPr>
            <w:tcW w:w="566" w:type="dxa"/>
            <w:shd w:val="clear" w:color="auto" w:fill="D2DFED"/>
          </w:tcPr>
          <w:p>
            <w:pPr>
              <w:pStyle w:val="TableParagraph"/>
              <w:spacing w:line="232" w:lineRule="exact"/>
              <w:ind w:left="122"/>
              <w:rPr>
                <w:b/>
                <w:sz w:val="22"/>
              </w:rPr>
            </w:pPr>
            <w:r>
              <w:rPr>
                <w:b/>
                <w:spacing w:val="-5"/>
                <w:sz w:val="22"/>
              </w:rPr>
              <w:t>(c)</w:t>
            </w:r>
          </w:p>
        </w:tc>
        <w:tc>
          <w:tcPr>
            <w:tcW w:w="2886" w:type="dxa"/>
            <w:shd w:val="clear" w:color="auto" w:fill="D2DFED"/>
          </w:tcPr>
          <w:p>
            <w:pPr>
              <w:pStyle w:val="TableParagraph"/>
              <w:spacing w:line="232" w:lineRule="exact"/>
              <w:ind w:left="113"/>
              <w:rPr>
                <w:sz w:val="22"/>
              </w:rPr>
            </w:pPr>
            <w:r>
              <w:rPr>
                <w:sz w:val="22"/>
              </w:rPr>
              <w:t>Dwindling</w:t>
            </w:r>
            <w:r>
              <w:rPr>
                <w:spacing w:val="-6"/>
                <w:sz w:val="22"/>
              </w:rPr>
              <w:t> </w:t>
            </w:r>
            <w:r>
              <w:rPr>
                <w:spacing w:val="-5"/>
                <w:sz w:val="22"/>
              </w:rPr>
              <w:t>IGR</w:t>
            </w:r>
          </w:p>
        </w:tc>
        <w:tc>
          <w:tcPr>
            <w:tcW w:w="984" w:type="dxa"/>
            <w:shd w:val="clear" w:color="auto" w:fill="D2DFED"/>
          </w:tcPr>
          <w:p>
            <w:pPr>
              <w:pStyle w:val="TableParagraph"/>
              <w:spacing w:line="232" w:lineRule="exact"/>
              <w:ind w:left="107"/>
              <w:rPr>
                <w:sz w:val="22"/>
              </w:rPr>
            </w:pPr>
            <w:r>
              <w:rPr>
                <w:spacing w:val="-5"/>
                <w:sz w:val="22"/>
              </w:rPr>
              <w:t>78</w:t>
            </w:r>
          </w:p>
        </w:tc>
        <w:tc>
          <w:tcPr>
            <w:tcW w:w="789" w:type="dxa"/>
            <w:shd w:val="clear" w:color="auto" w:fill="D2DFED"/>
          </w:tcPr>
          <w:p>
            <w:pPr>
              <w:pStyle w:val="TableParagraph"/>
              <w:spacing w:line="232" w:lineRule="exact"/>
              <w:ind w:left="114"/>
              <w:rPr>
                <w:sz w:val="22"/>
              </w:rPr>
            </w:pPr>
            <w:r>
              <w:rPr>
                <w:spacing w:val="-5"/>
                <w:sz w:val="22"/>
              </w:rPr>
              <w:t>16</w:t>
            </w:r>
          </w:p>
        </w:tc>
        <w:tc>
          <w:tcPr>
            <w:tcW w:w="1013" w:type="dxa"/>
            <w:shd w:val="clear" w:color="auto" w:fill="D2DFED"/>
          </w:tcPr>
          <w:p>
            <w:pPr>
              <w:pStyle w:val="TableParagraph"/>
              <w:spacing w:line="232" w:lineRule="exact"/>
              <w:ind w:left="135"/>
              <w:rPr>
                <w:sz w:val="22"/>
              </w:rPr>
            </w:pPr>
            <w:r>
              <w:rPr>
                <w:spacing w:val="-5"/>
                <w:sz w:val="22"/>
              </w:rPr>
              <w:t>16</w:t>
            </w:r>
          </w:p>
        </w:tc>
        <w:tc>
          <w:tcPr>
            <w:tcW w:w="1048" w:type="dxa"/>
            <w:shd w:val="clear" w:color="auto" w:fill="D2DFED"/>
          </w:tcPr>
          <w:p>
            <w:pPr>
              <w:pStyle w:val="TableParagraph"/>
              <w:spacing w:line="232" w:lineRule="exact"/>
              <w:ind w:left="113"/>
              <w:rPr>
                <w:sz w:val="22"/>
              </w:rPr>
            </w:pPr>
            <w:r>
              <w:rPr>
                <w:spacing w:val="-10"/>
                <w:sz w:val="22"/>
              </w:rPr>
              <w:t>0</w:t>
            </w:r>
          </w:p>
        </w:tc>
        <w:tc>
          <w:tcPr>
            <w:tcW w:w="775" w:type="dxa"/>
            <w:shd w:val="clear" w:color="auto" w:fill="D2DFED"/>
          </w:tcPr>
          <w:p>
            <w:pPr>
              <w:pStyle w:val="TableParagraph"/>
              <w:spacing w:line="232" w:lineRule="exact"/>
              <w:ind w:left="145"/>
              <w:rPr>
                <w:sz w:val="22"/>
              </w:rPr>
            </w:pPr>
            <w:r>
              <w:rPr>
                <w:spacing w:val="-5"/>
                <w:sz w:val="22"/>
              </w:rPr>
              <w:t>46</w:t>
            </w:r>
          </w:p>
        </w:tc>
        <w:tc>
          <w:tcPr>
            <w:tcW w:w="711" w:type="dxa"/>
            <w:shd w:val="clear" w:color="auto" w:fill="D2DFED"/>
          </w:tcPr>
          <w:p>
            <w:pPr>
              <w:pStyle w:val="TableParagraph"/>
              <w:spacing w:line="232" w:lineRule="exact"/>
              <w:ind w:left="107"/>
              <w:rPr>
                <w:sz w:val="22"/>
              </w:rPr>
            </w:pPr>
            <w:r>
              <w:rPr>
                <w:spacing w:val="-4"/>
                <w:sz w:val="22"/>
              </w:rPr>
              <w:t>0.70</w:t>
            </w:r>
          </w:p>
        </w:tc>
        <w:tc>
          <w:tcPr>
            <w:tcW w:w="916" w:type="dxa"/>
            <w:shd w:val="clear" w:color="auto" w:fill="D2DFED"/>
          </w:tcPr>
          <w:p>
            <w:pPr>
              <w:pStyle w:val="TableParagraph"/>
              <w:spacing w:line="232" w:lineRule="exact"/>
              <w:ind w:left="207"/>
              <w:rPr>
                <w:sz w:val="22"/>
              </w:rPr>
            </w:pPr>
            <w:r>
              <w:rPr>
                <w:spacing w:val="-10"/>
                <w:sz w:val="22"/>
              </w:rPr>
              <w:t>6</w:t>
            </w:r>
          </w:p>
        </w:tc>
      </w:tr>
      <w:tr>
        <w:trPr>
          <w:trHeight w:val="254" w:hRule="atLeast"/>
        </w:trPr>
        <w:tc>
          <w:tcPr>
            <w:tcW w:w="566" w:type="dxa"/>
          </w:tcPr>
          <w:p>
            <w:pPr>
              <w:pStyle w:val="TableParagraph"/>
              <w:spacing w:line="234" w:lineRule="exact"/>
              <w:ind w:left="122"/>
              <w:rPr>
                <w:b/>
                <w:sz w:val="22"/>
              </w:rPr>
            </w:pPr>
            <w:r>
              <w:rPr>
                <w:b/>
                <w:spacing w:val="-5"/>
                <w:sz w:val="22"/>
              </w:rPr>
              <w:t>(d)</w:t>
            </w:r>
          </w:p>
        </w:tc>
        <w:tc>
          <w:tcPr>
            <w:tcW w:w="2886" w:type="dxa"/>
          </w:tcPr>
          <w:p>
            <w:pPr>
              <w:pStyle w:val="TableParagraph"/>
              <w:spacing w:line="234" w:lineRule="exact"/>
              <w:ind w:left="113"/>
              <w:rPr>
                <w:sz w:val="22"/>
              </w:rPr>
            </w:pPr>
            <w:r>
              <w:rPr>
                <w:sz w:val="22"/>
              </w:rPr>
              <w:t>Poor</w:t>
            </w:r>
            <w:r>
              <w:rPr>
                <w:spacing w:val="-3"/>
                <w:sz w:val="22"/>
              </w:rPr>
              <w:t> </w:t>
            </w:r>
            <w:r>
              <w:rPr>
                <w:sz w:val="22"/>
              </w:rPr>
              <w:t>federal</w:t>
            </w:r>
            <w:r>
              <w:rPr>
                <w:spacing w:val="-2"/>
                <w:sz w:val="22"/>
              </w:rPr>
              <w:t> allocation</w:t>
            </w:r>
          </w:p>
        </w:tc>
        <w:tc>
          <w:tcPr>
            <w:tcW w:w="984" w:type="dxa"/>
          </w:tcPr>
          <w:p>
            <w:pPr>
              <w:pStyle w:val="TableParagraph"/>
              <w:spacing w:line="234" w:lineRule="exact"/>
              <w:ind w:left="107"/>
              <w:rPr>
                <w:sz w:val="22"/>
              </w:rPr>
            </w:pPr>
            <w:r>
              <w:rPr>
                <w:spacing w:val="-5"/>
                <w:sz w:val="22"/>
              </w:rPr>
              <w:t>62</w:t>
            </w:r>
          </w:p>
        </w:tc>
        <w:tc>
          <w:tcPr>
            <w:tcW w:w="789" w:type="dxa"/>
          </w:tcPr>
          <w:p>
            <w:pPr>
              <w:pStyle w:val="TableParagraph"/>
              <w:spacing w:line="234" w:lineRule="exact"/>
              <w:ind w:left="114"/>
              <w:rPr>
                <w:sz w:val="22"/>
              </w:rPr>
            </w:pPr>
            <w:r>
              <w:rPr>
                <w:spacing w:val="-5"/>
                <w:sz w:val="22"/>
              </w:rPr>
              <w:t>78</w:t>
            </w:r>
          </w:p>
        </w:tc>
        <w:tc>
          <w:tcPr>
            <w:tcW w:w="1013" w:type="dxa"/>
          </w:tcPr>
          <w:p>
            <w:pPr>
              <w:pStyle w:val="TableParagraph"/>
              <w:spacing w:line="234" w:lineRule="exact"/>
              <w:ind w:left="135"/>
              <w:rPr>
                <w:sz w:val="22"/>
              </w:rPr>
            </w:pPr>
            <w:r>
              <w:rPr>
                <w:spacing w:val="-5"/>
                <w:sz w:val="22"/>
              </w:rPr>
              <w:t>16</w:t>
            </w:r>
          </w:p>
        </w:tc>
        <w:tc>
          <w:tcPr>
            <w:tcW w:w="1048" w:type="dxa"/>
          </w:tcPr>
          <w:p>
            <w:pPr>
              <w:pStyle w:val="TableParagraph"/>
              <w:spacing w:line="234" w:lineRule="exact"/>
              <w:ind w:left="113"/>
              <w:rPr>
                <w:sz w:val="22"/>
              </w:rPr>
            </w:pPr>
            <w:r>
              <w:rPr>
                <w:spacing w:val="-10"/>
                <w:sz w:val="22"/>
              </w:rPr>
              <w:t>0</w:t>
            </w:r>
          </w:p>
        </w:tc>
        <w:tc>
          <w:tcPr>
            <w:tcW w:w="775" w:type="dxa"/>
          </w:tcPr>
          <w:p>
            <w:pPr>
              <w:pStyle w:val="TableParagraph"/>
              <w:spacing w:line="234" w:lineRule="exact"/>
              <w:ind w:left="145"/>
              <w:rPr>
                <w:sz w:val="22"/>
              </w:rPr>
            </w:pPr>
            <w:r>
              <w:rPr>
                <w:spacing w:val="-10"/>
                <w:sz w:val="22"/>
              </w:rPr>
              <w:t>0</w:t>
            </w:r>
          </w:p>
        </w:tc>
        <w:tc>
          <w:tcPr>
            <w:tcW w:w="711" w:type="dxa"/>
          </w:tcPr>
          <w:p>
            <w:pPr>
              <w:pStyle w:val="TableParagraph"/>
              <w:spacing w:line="234" w:lineRule="exact"/>
              <w:ind w:left="107"/>
              <w:rPr>
                <w:sz w:val="22"/>
              </w:rPr>
            </w:pPr>
            <w:r>
              <w:rPr>
                <w:spacing w:val="-4"/>
                <w:sz w:val="22"/>
              </w:rPr>
              <w:t>0.85</w:t>
            </w:r>
          </w:p>
        </w:tc>
        <w:tc>
          <w:tcPr>
            <w:tcW w:w="916" w:type="dxa"/>
          </w:tcPr>
          <w:p>
            <w:pPr>
              <w:pStyle w:val="TableParagraph"/>
              <w:spacing w:line="234" w:lineRule="exact"/>
              <w:ind w:left="207"/>
              <w:rPr>
                <w:sz w:val="22"/>
              </w:rPr>
            </w:pPr>
            <w:r>
              <w:rPr>
                <w:spacing w:val="-10"/>
                <w:sz w:val="22"/>
              </w:rPr>
              <w:t>2</w:t>
            </w:r>
          </w:p>
        </w:tc>
      </w:tr>
      <w:tr>
        <w:trPr>
          <w:trHeight w:val="251" w:hRule="atLeast"/>
        </w:trPr>
        <w:tc>
          <w:tcPr>
            <w:tcW w:w="566" w:type="dxa"/>
            <w:shd w:val="clear" w:color="auto" w:fill="D2DFED"/>
          </w:tcPr>
          <w:p>
            <w:pPr>
              <w:pStyle w:val="TableParagraph"/>
              <w:spacing w:line="232" w:lineRule="exact"/>
              <w:ind w:left="122"/>
              <w:rPr>
                <w:b/>
                <w:sz w:val="22"/>
              </w:rPr>
            </w:pPr>
            <w:r>
              <w:rPr>
                <w:b/>
                <w:spacing w:val="-5"/>
                <w:sz w:val="22"/>
              </w:rPr>
              <w:t>(e)</w:t>
            </w:r>
          </w:p>
        </w:tc>
        <w:tc>
          <w:tcPr>
            <w:tcW w:w="2886" w:type="dxa"/>
            <w:shd w:val="clear" w:color="auto" w:fill="D2DFED"/>
          </w:tcPr>
          <w:p>
            <w:pPr>
              <w:pStyle w:val="TableParagraph"/>
              <w:spacing w:line="232" w:lineRule="exact"/>
              <w:ind w:left="113"/>
              <w:rPr>
                <w:sz w:val="22"/>
              </w:rPr>
            </w:pPr>
            <w:r>
              <w:rPr>
                <w:sz w:val="22"/>
              </w:rPr>
              <w:t>Lack</w:t>
            </w:r>
            <w:r>
              <w:rPr>
                <w:spacing w:val="-4"/>
                <w:sz w:val="22"/>
              </w:rPr>
              <w:t> </w:t>
            </w:r>
            <w:r>
              <w:rPr>
                <w:sz w:val="22"/>
              </w:rPr>
              <w:t>of</w:t>
            </w:r>
            <w:r>
              <w:rPr>
                <w:spacing w:val="-1"/>
                <w:sz w:val="22"/>
              </w:rPr>
              <w:t> </w:t>
            </w:r>
            <w:r>
              <w:rPr>
                <w:sz w:val="22"/>
              </w:rPr>
              <w:t>citizen</w:t>
            </w:r>
            <w:r>
              <w:rPr>
                <w:spacing w:val="-3"/>
                <w:sz w:val="22"/>
              </w:rPr>
              <w:t> </w:t>
            </w:r>
            <w:r>
              <w:rPr>
                <w:spacing w:val="-2"/>
                <w:sz w:val="22"/>
              </w:rPr>
              <w:t>participation</w:t>
            </w:r>
          </w:p>
        </w:tc>
        <w:tc>
          <w:tcPr>
            <w:tcW w:w="984" w:type="dxa"/>
            <w:shd w:val="clear" w:color="auto" w:fill="D2DFED"/>
          </w:tcPr>
          <w:p>
            <w:pPr>
              <w:pStyle w:val="TableParagraph"/>
              <w:spacing w:line="232" w:lineRule="exact"/>
              <w:ind w:left="107"/>
              <w:rPr>
                <w:sz w:val="22"/>
              </w:rPr>
            </w:pPr>
            <w:r>
              <w:rPr>
                <w:spacing w:val="-5"/>
                <w:sz w:val="22"/>
              </w:rPr>
              <w:t>39</w:t>
            </w:r>
          </w:p>
        </w:tc>
        <w:tc>
          <w:tcPr>
            <w:tcW w:w="789" w:type="dxa"/>
            <w:shd w:val="clear" w:color="auto" w:fill="D2DFED"/>
          </w:tcPr>
          <w:p>
            <w:pPr>
              <w:pStyle w:val="TableParagraph"/>
              <w:spacing w:line="232" w:lineRule="exact"/>
              <w:ind w:left="114"/>
              <w:rPr>
                <w:sz w:val="22"/>
              </w:rPr>
            </w:pPr>
            <w:r>
              <w:rPr>
                <w:spacing w:val="-5"/>
                <w:sz w:val="22"/>
              </w:rPr>
              <w:t>86</w:t>
            </w:r>
          </w:p>
        </w:tc>
        <w:tc>
          <w:tcPr>
            <w:tcW w:w="1013" w:type="dxa"/>
            <w:shd w:val="clear" w:color="auto" w:fill="D2DFED"/>
          </w:tcPr>
          <w:p>
            <w:pPr>
              <w:pStyle w:val="TableParagraph"/>
              <w:spacing w:line="232" w:lineRule="exact"/>
              <w:ind w:left="135"/>
              <w:rPr>
                <w:sz w:val="22"/>
              </w:rPr>
            </w:pPr>
            <w:r>
              <w:rPr>
                <w:spacing w:val="-10"/>
                <w:sz w:val="22"/>
              </w:rPr>
              <w:t>0</w:t>
            </w:r>
          </w:p>
        </w:tc>
        <w:tc>
          <w:tcPr>
            <w:tcW w:w="1048" w:type="dxa"/>
            <w:shd w:val="clear" w:color="auto" w:fill="D2DFED"/>
          </w:tcPr>
          <w:p>
            <w:pPr>
              <w:pStyle w:val="TableParagraph"/>
              <w:spacing w:line="232" w:lineRule="exact"/>
              <w:ind w:left="113"/>
              <w:rPr>
                <w:sz w:val="22"/>
              </w:rPr>
            </w:pPr>
            <w:r>
              <w:rPr>
                <w:spacing w:val="-10"/>
                <w:sz w:val="22"/>
              </w:rPr>
              <w:t>8</w:t>
            </w:r>
          </w:p>
        </w:tc>
        <w:tc>
          <w:tcPr>
            <w:tcW w:w="775" w:type="dxa"/>
            <w:shd w:val="clear" w:color="auto" w:fill="D2DFED"/>
          </w:tcPr>
          <w:p>
            <w:pPr>
              <w:pStyle w:val="TableParagraph"/>
              <w:spacing w:line="232" w:lineRule="exact"/>
              <w:ind w:left="145"/>
              <w:rPr>
                <w:sz w:val="22"/>
              </w:rPr>
            </w:pPr>
            <w:r>
              <w:rPr>
                <w:spacing w:val="-5"/>
                <w:sz w:val="22"/>
              </w:rPr>
              <w:t>23</w:t>
            </w:r>
          </w:p>
        </w:tc>
        <w:tc>
          <w:tcPr>
            <w:tcW w:w="711" w:type="dxa"/>
            <w:shd w:val="clear" w:color="auto" w:fill="D2DFED"/>
          </w:tcPr>
          <w:p>
            <w:pPr>
              <w:pStyle w:val="TableParagraph"/>
              <w:spacing w:line="232" w:lineRule="exact"/>
              <w:ind w:left="107"/>
              <w:rPr>
                <w:sz w:val="22"/>
              </w:rPr>
            </w:pPr>
            <w:r>
              <w:rPr>
                <w:spacing w:val="-4"/>
                <w:sz w:val="22"/>
              </w:rPr>
              <w:t>0.74</w:t>
            </w:r>
          </w:p>
        </w:tc>
        <w:tc>
          <w:tcPr>
            <w:tcW w:w="916" w:type="dxa"/>
            <w:shd w:val="clear" w:color="auto" w:fill="D2DFED"/>
          </w:tcPr>
          <w:p>
            <w:pPr>
              <w:pStyle w:val="TableParagraph"/>
              <w:spacing w:line="232" w:lineRule="exact"/>
              <w:ind w:left="207"/>
              <w:rPr>
                <w:sz w:val="22"/>
              </w:rPr>
            </w:pPr>
            <w:r>
              <w:rPr>
                <w:spacing w:val="-10"/>
                <w:sz w:val="22"/>
              </w:rPr>
              <w:t>4</w:t>
            </w:r>
          </w:p>
        </w:tc>
      </w:tr>
      <w:tr>
        <w:trPr>
          <w:trHeight w:val="254" w:hRule="atLeast"/>
        </w:trPr>
        <w:tc>
          <w:tcPr>
            <w:tcW w:w="566" w:type="dxa"/>
          </w:tcPr>
          <w:p>
            <w:pPr>
              <w:pStyle w:val="TableParagraph"/>
              <w:spacing w:line="235" w:lineRule="exact"/>
              <w:ind w:left="122"/>
              <w:rPr>
                <w:b/>
                <w:sz w:val="22"/>
              </w:rPr>
            </w:pPr>
            <w:r>
              <w:rPr>
                <w:b/>
                <w:spacing w:val="-5"/>
                <w:sz w:val="22"/>
              </w:rPr>
              <w:t>(f)</w:t>
            </w:r>
          </w:p>
        </w:tc>
        <w:tc>
          <w:tcPr>
            <w:tcW w:w="2886" w:type="dxa"/>
            <w:vMerge w:val="restart"/>
          </w:tcPr>
          <w:p>
            <w:pPr>
              <w:pStyle w:val="TableParagraph"/>
              <w:spacing w:line="247" w:lineRule="exact"/>
              <w:ind w:left="113"/>
              <w:rPr>
                <w:sz w:val="22"/>
              </w:rPr>
            </w:pPr>
            <w:r>
              <w:rPr>
                <w:sz w:val="22"/>
              </w:rPr>
              <w:t>Ineffective</w:t>
            </w:r>
            <w:r>
              <w:rPr>
                <w:spacing w:val="27"/>
                <w:sz w:val="22"/>
              </w:rPr>
              <w:t> </w:t>
            </w:r>
            <w:r>
              <w:rPr>
                <w:sz w:val="22"/>
              </w:rPr>
              <w:t>mechanism</w:t>
            </w:r>
            <w:r>
              <w:rPr>
                <w:spacing w:val="25"/>
                <w:sz w:val="22"/>
              </w:rPr>
              <w:t> </w:t>
            </w:r>
            <w:r>
              <w:rPr>
                <w:sz w:val="22"/>
              </w:rPr>
              <w:t>for</w:t>
            </w:r>
            <w:r>
              <w:rPr>
                <w:spacing w:val="26"/>
                <w:sz w:val="22"/>
              </w:rPr>
              <w:t> </w:t>
            </w:r>
            <w:r>
              <w:rPr>
                <w:spacing w:val="-10"/>
                <w:sz w:val="22"/>
              </w:rPr>
              <w:t>M</w:t>
            </w:r>
          </w:p>
          <w:p>
            <w:pPr>
              <w:pStyle w:val="TableParagraph"/>
              <w:spacing w:line="238" w:lineRule="exact" w:before="2"/>
              <w:ind w:left="113"/>
              <w:rPr>
                <w:sz w:val="22"/>
              </w:rPr>
            </w:pPr>
            <w:r>
              <w:rPr>
                <w:sz w:val="22"/>
              </w:rPr>
              <w:t>&amp;</w:t>
            </w:r>
            <w:r>
              <w:rPr>
                <w:spacing w:val="-5"/>
                <w:sz w:val="22"/>
              </w:rPr>
              <w:t> </w:t>
            </w:r>
            <w:r>
              <w:rPr>
                <w:sz w:val="22"/>
              </w:rPr>
              <w:t>E</w:t>
            </w:r>
            <w:r>
              <w:rPr>
                <w:spacing w:val="-1"/>
                <w:sz w:val="22"/>
              </w:rPr>
              <w:t> </w:t>
            </w:r>
            <w:r>
              <w:rPr>
                <w:sz w:val="22"/>
              </w:rPr>
              <w:t>of</w:t>
            </w:r>
            <w:r>
              <w:rPr>
                <w:spacing w:val="-1"/>
                <w:sz w:val="22"/>
              </w:rPr>
              <w:t> </w:t>
            </w:r>
            <w:r>
              <w:rPr>
                <w:sz w:val="22"/>
              </w:rPr>
              <w:t>housing</w:t>
            </w:r>
            <w:r>
              <w:rPr>
                <w:spacing w:val="-4"/>
                <w:sz w:val="22"/>
              </w:rPr>
              <w:t> </w:t>
            </w:r>
            <w:r>
              <w:rPr>
                <w:sz w:val="22"/>
              </w:rPr>
              <w:t>budget </w:t>
            </w:r>
            <w:r>
              <w:rPr>
                <w:spacing w:val="-4"/>
                <w:sz w:val="22"/>
              </w:rPr>
              <w:t>funds</w:t>
            </w:r>
          </w:p>
        </w:tc>
        <w:tc>
          <w:tcPr>
            <w:tcW w:w="984" w:type="dxa"/>
          </w:tcPr>
          <w:p>
            <w:pPr>
              <w:pStyle w:val="TableParagraph"/>
              <w:rPr>
                <w:sz w:val="18"/>
              </w:rPr>
            </w:pPr>
          </w:p>
        </w:tc>
        <w:tc>
          <w:tcPr>
            <w:tcW w:w="789" w:type="dxa"/>
          </w:tcPr>
          <w:p>
            <w:pPr>
              <w:pStyle w:val="TableParagraph"/>
              <w:rPr>
                <w:sz w:val="18"/>
              </w:rPr>
            </w:pPr>
          </w:p>
        </w:tc>
        <w:tc>
          <w:tcPr>
            <w:tcW w:w="1013" w:type="dxa"/>
          </w:tcPr>
          <w:p>
            <w:pPr>
              <w:pStyle w:val="TableParagraph"/>
              <w:rPr>
                <w:sz w:val="18"/>
              </w:rPr>
            </w:pPr>
          </w:p>
        </w:tc>
        <w:tc>
          <w:tcPr>
            <w:tcW w:w="1048" w:type="dxa"/>
          </w:tcPr>
          <w:p>
            <w:pPr>
              <w:pStyle w:val="TableParagraph"/>
              <w:rPr>
                <w:sz w:val="18"/>
              </w:rPr>
            </w:pPr>
          </w:p>
        </w:tc>
        <w:tc>
          <w:tcPr>
            <w:tcW w:w="775" w:type="dxa"/>
          </w:tcPr>
          <w:p>
            <w:pPr>
              <w:pStyle w:val="TableParagraph"/>
              <w:rPr>
                <w:sz w:val="18"/>
              </w:rPr>
            </w:pPr>
          </w:p>
        </w:tc>
        <w:tc>
          <w:tcPr>
            <w:tcW w:w="711" w:type="dxa"/>
          </w:tcPr>
          <w:p>
            <w:pPr>
              <w:pStyle w:val="TableParagraph"/>
              <w:rPr>
                <w:sz w:val="18"/>
              </w:rPr>
            </w:pPr>
          </w:p>
        </w:tc>
        <w:tc>
          <w:tcPr>
            <w:tcW w:w="916" w:type="dxa"/>
          </w:tcPr>
          <w:p>
            <w:pPr>
              <w:pStyle w:val="TableParagraph"/>
              <w:rPr>
                <w:sz w:val="18"/>
              </w:rPr>
            </w:pPr>
          </w:p>
        </w:tc>
      </w:tr>
      <w:tr>
        <w:trPr>
          <w:trHeight w:val="252" w:hRule="atLeast"/>
        </w:trPr>
        <w:tc>
          <w:tcPr>
            <w:tcW w:w="566" w:type="dxa"/>
          </w:tcPr>
          <w:p>
            <w:pPr>
              <w:pStyle w:val="TableParagraph"/>
              <w:rPr>
                <w:sz w:val="18"/>
              </w:rPr>
            </w:pPr>
          </w:p>
        </w:tc>
        <w:tc>
          <w:tcPr>
            <w:tcW w:w="2886" w:type="dxa"/>
            <w:vMerge/>
            <w:tcBorders>
              <w:top w:val="nil"/>
            </w:tcBorders>
          </w:tcPr>
          <w:p>
            <w:pPr>
              <w:rPr>
                <w:sz w:val="2"/>
                <w:szCs w:val="2"/>
              </w:rPr>
            </w:pPr>
          </w:p>
        </w:tc>
        <w:tc>
          <w:tcPr>
            <w:tcW w:w="984" w:type="dxa"/>
          </w:tcPr>
          <w:p>
            <w:pPr>
              <w:pStyle w:val="TableParagraph"/>
              <w:spacing w:line="232" w:lineRule="exact"/>
              <w:ind w:left="107"/>
              <w:rPr>
                <w:sz w:val="22"/>
              </w:rPr>
            </w:pPr>
            <w:r>
              <w:rPr>
                <w:spacing w:val="-5"/>
                <w:sz w:val="22"/>
              </w:rPr>
              <w:t>70</w:t>
            </w:r>
          </w:p>
        </w:tc>
        <w:tc>
          <w:tcPr>
            <w:tcW w:w="789" w:type="dxa"/>
          </w:tcPr>
          <w:p>
            <w:pPr>
              <w:pStyle w:val="TableParagraph"/>
              <w:spacing w:line="232" w:lineRule="exact"/>
              <w:ind w:left="114"/>
              <w:rPr>
                <w:sz w:val="22"/>
              </w:rPr>
            </w:pPr>
            <w:r>
              <w:rPr>
                <w:spacing w:val="-5"/>
                <w:sz w:val="22"/>
              </w:rPr>
              <w:t>31</w:t>
            </w:r>
          </w:p>
        </w:tc>
        <w:tc>
          <w:tcPr>
            <w:tcW w:w="1013" w:type="dxa"/>
          </w:tcPr>
          <w:p>
            <w:pPr>
              <w:pStyle w:val="TableParagraph"/>
              <w:spacing w:line="232" w:lineRule="exact"/>
              <w:ind w:left="135"/>
              <w:rPr>
                <w:sz w:val="22"/>
              </w:rPr>
            </w:pPr>
            <w:r>
              <w:rPr>
                <w:spacing w:val="-5"/>
                <w:sz w:val="22"/>
              </w:rPr>
              <w:t>16</w:t>
            </w:r>
          </w:p>
        </w:tc>
        <w:tc>
          <w:tcPr>
            <w:tcW w:w="1048" w:type="dxa"/>
          </w:tcPr>
          <w:p>
            <w:pPr>
              <w:pStyle w:val="TableParagraph"/>
              <w:spacing w:line="232" w:lineRule="exact"/>
              <w:ind w:left="113"/>
              <w:rPr>
                <w:sz w:val="22"/>
              </w:rPr>
            </w:pPr>
            <w:r>
              <w:rPr>
                <w:spacing w:val="-10"/>
                <w:sz w:val="22"/>
              </w:rPr>
              <w:t>0</w:t>
            </w:r>
          </w:p>
        </w:tc>
        <w:tc>
          <w:tcPr>
            <w:tcW w:w="775" w:type="dxa"/>
          </w:tcPr>
          <w:p>
            <w:pPr>
              <w:pStyle w:val="TableParagraph"/>
              <w:spacing w:line="232" w:lineRule="exact"/>
              <w:ind w:left="145"/>
              <w:rPr>
                <w:sz w:val="22"/>
              </w:rPr>
            </w:pPr>
            <w:r>
              <w:rPr>
                <w:spacing w:val="-5"/>
                <w:sz w:val="22"/>
              </w:rPr>
              <w:t>39</w:t>
            </w:r>
          </w:p>
        </w:tc>
        <w:tc>
          <w:tcPr>
            <w:tcW w:w="711" w:type="dxa"/>
          </w:tcPr>
          <w:p>
            <w:pPr>
              <w:pStyle w:val="TableParagraph"/>
              <w:spacing w:line="232" w:lineRule="exact"/>
              <w:ind w:left="107"/>
              <w:rPr>
                <w:sz w:val="22"/>
              </w:rPr>
            </w:pPr>
            <w:r>
              <w:rPr>
                <w:spacing w:val="-4"/>
                <w:sz w:val="22"/>
              </w:rPr>
              <w:t>0.72</w:t>
            </w:r>
          </w:p>
        </w:tc>
        <w:tc>
          <w:tcPr>
            <w:tcW w:w="916" w:type="dxa"/>
          </w:tcPr>
          <w:p>
            <w:pPr>
              <w:pStyle w:val="TableParagraph"/>
              <w:spacing w:line="232" w:lineRule="exact"/>
              <w:ind w:left="207"/>
              <w:rPr>
                <w:sz w:val="22"/>
              </w:rPr>
            </w:pPr>
            <w:r>
              <w:rPr>
                <w:spacing w:val="-10"/>
                <w:sz w:val="22"/>
              </w:rPr>
              <w:t>5</w:t>
            </w:r>
          </w:p>
        </w:tc>
      </w:tr>
      <w:tr>
        <w:trPr>
          <w:trHeight w:val="253" w:hRule="atLeast"/>
        </w:trPr>
        <w:tc>
          <w:tcPr>
            <w:tcW w:w="566" w:type="dxa"/>
            <w:shd w:val="clear" w:color="auto" w:fill="D2DFED"/>
          </w:tcPr>
          <w:p>
            <w:pPr>
              <w:pStyle w:val="TableParagraph"/>
              <w:spacing w:line="233" w:lineRule="exact"/>
              <w:ind w:left="122"/>
              <w:rPr>
                <w:b/>
                <w:sz w:val="22"/>
              </w:rPr>
            </w:pPr>
            <w:r>
              <w:rPr>
                <w:b/>
                <w:spacing w:val="-5"/>
                <w:sz w:val="22"/>
              </w:rPr>
              <w:t>(g)</w:t>
            </w:r>
          </w:p>
        </w:tc>
        <w:tc>
          <w:tcPr>
            <w:tcW w:w="2886" w:type="dxa"/>
            <w:vMerge w:val="restart"/>
            <w:shd w:val="clear" w:color="auto" w:fill="D2DFED"/>
          </w:tcPr>
          <w:p>
            <w:pPr>
              <w:pStyle w:val="TableParagraph"/>
              <w:tabs>
                <w:tab w:pos="1017" w:val="left" w:leader="none"/>
                <w:tab w:pos="1482" w:val="left" w:leader="none"/>
                <w:tab w:pos="2458" w:val="left" w:leader="none"/>
              </w:tabs>
              <w:spacing w:line="246" w:lineRule="exact"/>
              <w:ind w:left="113"/>
              <w:rPr>
                <w:sz w:val="22"/>
              </w:rPr>
            </w:pPr>
            <w:r>
              <w:rPr>
                <w:spacing w:val="-2"/>
                <w:sz w:val="22"/>
              </w:rPr>
              <w:t>Delays</w:t>
            </w:r>
            <w:r>
              <w:rPr>
                <w:sz w:val="22"/>
              </w:rPr>
              <w:tab/>
            </w:r>
            <w:r>
              <w:rPr>
                <w:spacing w:val="-5"/>
                <w:sz w:val="22"/>
              </w:rPr>
              <w:t>in</w:t>
            </w:r>
            <w:r>
              <w:rPr>
                <w:sz w:val="22"/>
              </w:rPr>
              <w:tab/>
            </w:r>
            <w:r>
              <w:rPr>
                <w:spacing w:val="-2"/>
                <w:sz w:val="22"/>
              </w:rPr>
              <w:t>passage</w:t>
            </w:r>
            <w:r>
              <w:rPr>
                <w:sz w:val="22"/>
              </w:rPr>
              <w:tab/>
            </w:r>
            <w:r>
              <w:rPr>
                <w:spacing w:val="-5"/>
                <w:sz w:val="22"/>
              </w:rPr>
              <w:t>and</w:t>
            </w:r>
          </w:p>
          <w:p>
            <w:pPr>
              <w:pStyle w:val="TableParagraph"/>
              <w:spacing w:line="240" w:lineRule="exact"/>
              <w:ind w:left="113"/>
              <w:rPr>
                <w:sz w:val="22"/>
              </w:rPr>
            </w:pPr>
            <w:r>
              <w:rPr>
                <w:sz w:val="22"/>
              </w:rPr>
              <w:t>approval</w:t>
            </w:r>
            <w:r>
              <w:rPr>
                <w:spacing w:val="-3"/>
                <w:sz w:val="22"/>
              </w:rPr>
              <w:t> </w:t>
            </w:r>
            <w:r>
              <w:rPr>
                <w:sz w:val="22"/>
              </w:rPr>
              <w:t>of</w:t>
            </w:r>
            <w:r>
              <w:rPr>
                <w:spacing w:val="-2"/>
                <w:sz w:val="22"/>
              </w:rPr>
              <w:t> </w:t>
            </w:r>
            <w:r>
              <w:rPr>
                <w:sz w:val="22"/>
              </w:rPr>
              <w:t>the </w:t>
            </w:r>
            <w:r>
              <w:rPr>
                <w:spacing w:val="-2"/>
                <w:sz w:val="22"/>
              </w:rPr>
              <w:t>budget</w:t>
            </w:r>
          </w:p>
        </w:tc>
        <w:tc>
          <w:tcPr>
            <w:tcW w:w="984" w:type="dxa"/>
            <w:shd w:val="clear" w:color="auto" w:fill="D2DFED"/>
          </w:tcPr>
          <w:p>
            <w:pPr>
              <w:pStyle w:val="TableParagraph"/>
              <w:rPr>
                <w:sz w:val="18"/>
              </w:rPr>
            </w:pPr>
          </w:p>
        </w:tc>
        <w:tc>
          <w:tcPr>
            <w:tcW w:w="789" w:type="dxa"/>
            <w:shd w:val="clear" w:color="auto" w:fill="D2DFED"/>
          </w:tcPr>
          <w:p>
            <w:pPr>
              <w:pStyle w:val="TableParagraph"/>
              <w:rPr>
                <w:sz w:val="18"/>
              </w:rPr>
            </w:pPr>
          </w:p>
        </w:tc>
        <w:tc>
          <w:tcPr>
            <w:tcW w:w="1013" w:type="dxa"/>
            <w:shd w:val="clear" w:color="auto" w:fill="D2DFED"/>
          </w:tcPr>
          <w:p>
            <w:pPr>
              <w:pStyle w:val="TableParagraph"/>
              <w:rPr>
                <w:sz w:val="18"/>
              </w:rPr>
            </w:pPr>
          </w:p>
        </w:tc>
        <w:tc>
          <w:tcPr>
            <w:tcW w:w="1048" w:type="dxa"/>
            <w:shd w:val="clear" w:color="auto" w:fill="D2DFED"/>
          </w:tcPr>
          <w:p>
            <w:pPr>
              <w:pStyle w:val="TableParagraph"/>
              <w:rPr>
                <w:sz w:val="18"/>
              </w:rPr>
            </w:pPr>
          </w:p>
        </w:tc>
        <w:tc>
          <w:tcPr>
            <w:tcW w:w="775" w:type="dxa"/>
            <w:shd w:val="clear" w:color="auto" w:fill="D2DFED"/>
          </w:tcPr>
          <w:p>
            <w:pPr>
              <w:pStyle w:val="TableParagraph"/>
              <w:rPr>
                <w:sz w:val="18"/>
              </w:rPr>
            </w:pPr>
          </w:p>
        </w:tc>
        <w:tc>
          <w:tcPr>
            <w:tcW w:w="711" w:type="dxa"/>
            <w:shd w:val="clear" w:color="auto" w:fill="D2DFED"/>
          </w:tcPr>
          <w:p>
            <w:pPr>
              <w:pStyle w:val="TableParagraph"/>
              <w:rPr>
                <w:sz w:val="18"/>
              </w:rPr>
            </w:pPr>
          </w:p>
        </w:tc>
        <w:tc>
          <w:tcPr>
            <w:tcW w:w="916" w:type="dxa"/>
            <w:shd w:val="clear" w:color="auto" w:fill="D2DFED"/>
          </w:tcPr>
          <w:p>
            <w:pPr>
              <w:pStyle w:val="TableParagraph"/>
              <w:rPr>
                <w:sz w:val="18"/>
              </w:rPr>
            </w:pPr>
          </w:p>
        </w:tc>
      </w:tr>
      <w:tr>
        <w:trPr>
          <w:trHeight w:val="253" w:hRule="atLeast"/>
        </w:trPr>
        <w:tc>
          <w:tcPr>
            <w:tcW w:w="566" w:type="dxa"/>
            <w:shd w:val="clear" w:color="auto" w:fill="D2DFED"/>
          </w:tcPr>
          <w:p>
            <w:pPr>
              <w:pStyle w:val="TableParagraph"/>
              <w:rPr>
                <w:sz w:val="18"/>
              </w:rPr>
            </w:pPr>
          </w:p>
        </w:tc>
        <w:tc>
          <w:tcPr>
            <w:tcW w:w="2886" w:type="dxa"/>
            <w:vMerge/>
            <w:tcBorders>
              <w:top w:val="nil"/>
            </w:tcBorders>
            <w:shd w:val="clear" w:color="auto" w:fill="D2DFED"/>
          </w:tcPr>
          <w:p>
            <w:pPr>
              <w:rPr>
                <w:sz w:val="2"/>
                <w:szCs w:val="2"/>
              </w:rPr>
            </w:pPr>
          </w:p>
        </w:tc>
        <w:tc>
          <w:tcPr>
            <w:tcW w:w="984" w:type="dxa"/>
            <w:shd w:val="clear" w:color="auto" w:fill="D2DFED"/>
          </w:tcPr>
          <w:p>
            <w:pPr>
              <w:pStyle w:val="TableParagraph"/>
              <w:spacing w:line="233" w:lineRule="exact"/>
              <w:ind w:left="107"/>
              <w:rPr>
                <w:sz w:val="22"/>
              </w:rPr>
            </w:pPr>
            <w:r>
              <w:rPr>
                <w:spacing w:val="-5"/>
                <w:sz w:val="22"/>
              </w:rPr>
              <w:t>55</w:t>
            </w:r>
          </w:p>
        </w:tc>
        <w:tc>
          <w:tcPr>
            <w:tcW w:w="789" w:type="dxa"/>
            <w:shd w:val="clear" w:color="auto" w:fill="D2DFED"/>
          </w:tcPr>
          <w:p>
            <w:pPr>
              <w:pStyle w:val="TableParagraph"/>
              <w:spacing w:line="233" w:lineRule="exact"/>
              <w:ind w:left="114"/>
              <w:rPr>
                <w:sz w:val="22"/>
              </w:rPr>
            </w:pPr>
            <w:r>
              <w:rPr>
                <w:spacing w:val="-5"/>
                <w:sz w:val="22"/>
              </w:rPr>
              <w:t>78</w:t>
            </w:r>
          </w:p>
        </w:tc>
        <w:tc>
          <w:tcPr>
            <w:tcW w:w="1013" w:type="dxa"/>
            <w:shd w:val="clear" w:color="auto" w:fill="D2DFED"/>
          </w:tcPr>
          <w:p>
            <w:pPr>
              <w:pStyle w:val="TableParagraph"/>
              <w:spacing w:line="233" w:lineRule="exact"/>
              <w:ind w:left="135"/>
              <w:rPr>
                <w:sz w:val="22"/>
              </w:rPr>
            </w:pPr>
            <w:r>
              <w:rPr>
                <w:spacing w:val="-10"/>
                <w:sz w:val="22"/>
              </w:rPr>
              <w:t>8</w:t>
            </w:r>
          </w:p>
        </w:tc>
        <w:tc>
          <w:tcPr>
            <w:tcW w:w="1048" w:type="dxa"/>
            <w:shd w:val="clear" w:color="auto" w:fill="D2DFED"/>
          </w:tcPr>
          <w:p>
            <w:pPr>
              <w:pStyle w:val="TableParagraph"/>
              <w:spacing w:line="233" w:lineRule="exact"/>
              <w:ind w:left="113"/>
              <w:rPr>
                <w:sz w:val="22"/>
              </w:rPr>
            </w:pPr>
            <w:r>
              <w:rPr>
                <w:spacing w:val="-10"/>
                <w:sz w:val="22"/>
              </w:rPr>
              <w:t>0</w:t>
            </w:r>
          </w:p>
        </w:tc>
        <w:tc>
          <w:tcPr>
            <w:tcW w:w="775" w:type="dxa"/>
            <w:shd w:val="clear" w:color="auto" w:fill="D2DFED"/>
          </w:tcPr>
          <w:p>
            <w:pPr>
              <w:pStyle w:val="TableParagraph"/>
              <w:spacing w:line="233" w:lineRule="exact"/>
              <w:ind w:left="145"/>
              <w:rPr>
                <w:sz w:val="22"/>
              </w:rPr>
            </w:pPr>
            <w:r>
              <w:rPr>
                <w:spacing w:val="-5"/>
                <w:sz w:val="22"/>
              </w:rPr>
              <w:t>15</w:t>
            </w:r>
          </w:p>
        </w:tc>
        <w:tc>
          <w:tcPr>
            <w:tcW w:w="711" w:type="dxa"/>
            <w:shd w:val="clear" w:color="auto" w:fill="D2DFED"/>
          </w:tcPr>
          <w:p>
            <w:pPr>
              <w:pStyle w:val="TableParagraph"/>
              <w:spacing w:line="233" w:lineRule="exact"/>
              <w:ind w:left="107"/>
              <w:rPr>
                <w:sz w:val="22"/>
              </w:rPr>
            </w:pPr>
            <w:r>
              <w:rPr>
                <w:spacing w:val="-4"/>
                <w:sz w:val="22"/>
              </w:rPr>
              <w:t>0.80</w:t>
            </w:r>
          </w:p>
        </w:tc>
        <w:tc>
          <w:tcPr>
            <w:tcW w:w="916" w:type="dxa"/>
            <w:shd w:val="clear" w:color="auto" w:fill="D2DFED"/>
          </w:tcPr>
          <w:p>
            <w:pPr>
              <w:pStyle w:val="TableParagraph"/>
              <w:spacing w:line="233" w:lineRule="exact"/>
              <w:ind w:left="207"/>
              <w:rPr>
                <w:sz w:val="22"/>
              </w:rPr>
            </w:pPr>
            <w:r>
              <w:rPr>
                <w:spacing w:val="-10"/>
                <w:sz w:val="22"/>
              </w:rPr>
              <w:t>3</w:t>
            </w:r>
          </w:p>
        </w:tc>
      </w:tr>
      <w:tr>
        <w:trPr>
          <w:trHeight w:val="253" w:hRule="atLeast"/>
        </w:trPr>
        <w:tc>
          <w:tcPr>
            <w:tcW w:w="566" w:type="dxa"/>
          </w:tcPr>
          <w:p>
            <w:pPr>
              <w:pStyle w:val="TableParagraph"/>
              <w:spacing w:line="233" w:lineRule="exact"/>
              <w:ind w:left="122"/>
              <w:rPr>
                <w:b/>
                <w:sz w:val="22"/>
              </w:rPr>
            </w:pPr>
            <w:r>
              <w:rPr>
                <w:b/>
                <w:spacing w:val="-5"/>
                <w:sz w:val="22"/>
              </w:rPr>
              <w:t>(h)</w:t>
            </w:r>
          </w:p>
        </w:tc>
        <w:tc>
          <w:tcPr>
            <w:tcW w:w="2886" w:type="dxa"/>
            <w:vMerge w:val="restart"/>
          </w:tcPr>
          <w:p>
            <w:pPr>
              <w:pStyle w:val="TableParagraph"/>
              <w:spacing w:line="246" w:lineRule="exact"/>
              <w:ind w:left="113"/>
              <w:rPr>
                <w:sz w:val="22"/>
              </w:rPr>
            </w:pPr>
            <w:r>
              <w:rPr>
                <w:sz w:val="22"/>
              </w:rPr>
              <w:t>Delays</w:t>
            </w:r>
            <w:r>
              <w:rPr>
                <w:spacing w:val="12"/>
                <w:sz w:val="22"/>
              </w:rPr>
              <w:t> </w:t>
            </w:r>
            <w:r>
              <w:rPr>
                <w:sz w:val="22"/>
              </w:rPr>
              <w:t>in</w:t>
            </w:r>
            <w:r>
              <w:rPr>
                <w:spacing w:val="11"/>
                <w:sz w:val="22"/>
              </w:rPr>
              <w:t> </w:t>
            </w:r>
            <w:r>
              <w:rPr>
                <w:sz w:val="22"/>
              </w:rPr>
              <w:t>release</w:t>
            </w:r>
            <w:r>
              <w:rPr>
                <w:spacing w:val="11"/>
                <w:sz w:val="22"/>
              </w:rPr>
              <w:t> </w:t>
            </w:r>
            <w:r>
              <w:rPr>
                <w:sz w:val="22"/>
              </w:rPr>
              <w:t>of</w:t>
            </w:r>
            <w:r>
              <w:rPr>
                <w:spacing w:val="9"/>
                <w:sz w:val="22"/>
              </w:rPr>
              <w:t> </w:t>
            </w:r>
            <w:r>
              <w:rPr>
                <w:sz w:val="22"/>
              </w:rPr>
              <w:t>funds</w:t>
            </w:r>
            <w:r>
              <w:rPr>
                <w:spacing w:val="7"/>
                <w:sz w:val="22"/>
              </w:rPr>
              <w:t> </w:t>
            </w:r>
            <w:r>
              <w:rPr>
                <w:spacing w:val="-5"/>
                <w:sz w:val="22"/>
              </w:rPr>
              <w:t>for</w:t>
            </w:r>
          </w:p>
          <w:p>
            <w:pPr>
              <w:pStyle w:val="TableParagraph"/>
              <w:spacing w:line="240" w:lineRule="exact"/>
              <w:ind w:left="113"/>
              <w:rPr>
                <w:sz w:val="22"/>
              </w:rPr>
            </w:pPr>
            <w:r>
              <w:rPr>
                <w:sz w:val="22"/>
              </w:rPr>
              <w:t>housing</w:t>
            </w:r>
            <w:r>
              <w:rPr>
                <w:spacing w:val="-4"/>
                <w:sz w:val="22"/>
              </w:rPr>
              <w:t> </w:t>
            </w:r>
            <w:r>
              <w:rPr>
                <w:spacing w:val="-2"/>
                <w:sz w:val="22"/>
              </w:rPr>
              <w:t>projects</w:t>
            </w:r>
          </w:p>
        </w:tc>
        <w:tc>
          <w:tcPr>
            <w:tcW w:w="984" w:type="dxa"/>
          </w:tcPr>
          <w:p>
            <w:pPr>
              <w:pStyle w:val="TableParagraph"/>
              <w:rPr>
                <w:sz w:val="18"/>
              </w:rPr>
            </w:pPr>
          </w:p>
        </w:tc>
        <w:tc>
          <w:tcPr>
            <w:tcW w:w="789" w:type="dxa"/>
          </w:tcPr>
          <w:p>
            <w:pPr>
              <w:pStyle w:val="TableParagraph"/>
              <w:rPr>
                <w:sz w:val="18"/>
              </w:rPr>
            </w:pPr>
          </w:p>
        </w:tc>
        <w:tc>
          <w:tcPr>
            <w:tcW w:w="1013" w:type="dxa"/>
          </w:tcPr>
          <w:p>
            <w:pPr>
              <w:pStyle w:val="TableParagraph"/>
              <w:rPr>
                <w:sz w:val="18"/>
              </w:rPr>
            </w:pPr>
          </w:p>
        </w:tc>
        <w:tc>
          <w:tcPr>
            <w:tcW w:w="1048" w:type="dxa"/>
          </w:tcPr>
          <w:p>
            <w:pPr>
              <w:pStyle w:val="TableParagraph"/>
              <w:rPr>
                <w:sz w:val="18"/>
              </w:rPr>
            </w:pPr>
          </w:p>
        </w:tc>
        <w:tc>
          <w:tcPr>
            <w:tcW w:w="775" w:type="dxa"/>
          </w:tcPr>
          <w:p>
            <w:pPr>
              <w:pStyle w:val="TableParagraph"/>
              <w:rPr>
                <w:sz w:val="18"/>
              </w:rPr>
            </w:pPr>
          </w:p>
        </w:tc>
        <w:tc>
          <w:tcPr>
            <w:tcW w:w="711" w:type="dxa"/>
          </w:tcPr>
          <w:p>
            <w:pPr>
              <w:pStyle w:val="TableParagraph"/>
              <w:rPr>
                <w:sz w:val="18"/>
              </w:rPr>
            </w:pPr>
          </w:p>
        </w:tc>
        <w:tc>
          <w:tcPr>
            <w:tcW w:w="916" w:type="dxa"/>
          </w:tcPr>
          <w:p>
            <w:pPr>
              <w:pStyle w:val="TableParagraph"/>
              <w:rPr>
                <w:sz w:val="18"/>
              </w:rPr>
            </w:pPr>
          </w:p>
        </w:tc>
      </w:tr>
      <w:tr>
        <w:trPr>
          <w:trHeight w:val="253" w:hRule="atLeast"/>
        </w:trPr>
        <w:tc>
          <w:tcPr>
            <w:tcW w:w="566" w:type="dxa"/>
          </w:tcPr>
          <w:p>
            <w:pPr>
              <w:pStyle w:val="TableParagraph"/>
              <w:rPr>
                <w:sz w:val="18"/>
              </w:rPr>
            </w:pPr>
          </w:p>
        </w:tc>
        <w:tc>
          <w:tcPr>
            <w:tcW w:w="2886" w:type="dxa"/>
            <w:vMerge/>
            <w:tcBorders>
              <w:top w:val="nil"/>
            </w:tcBorders>
          </w:tcPr>
          <w:p>
            <w:pPr>
              <w:rPr>
                <w:sz w:val="2"/>
                <w:szCs w:val="2"/>
              </w:rPr>
            </w:pPr>
          </w:p>
        </w:tc>
        <w:tc>
          <w:tcPr>
            <w:tcW w:w="984" w:type="dxa"/>
          </w:tcPr>
          <w:p>
            <w:pPr>
              <w:pStyle w:val="TableParagraph"/>
              <w:spacing w:line="233" w:lineRule="exact"/>
              <w:ind w:left="107"/>
              <w:rPr>
                <w:sz w:val="22"/>
              </w:rPr>
            </w:pPr>
            <w:r>
              <w:rPr>
                <w:spacing w:val="-5"/>
                <w:sz w:val="22"/>
              </w:rPr>
              <w:t>62</w:t>
            </w:r>
          </w:p>
        </w:tc>
        <w:tc>
          <w:tcPr>
            <w:tcW w:w="789" w:type="dxa"/>
          </w:tcPr>
          <w:p>
            <w:pPr>
              <w:pStyle w:val="TableParagraph"/>
              <w:spacing w:line="233" w:lineRule="exact"/>
              <w:ind w:left="114"/>
              <w:rPr>
                <w:sz w:val="22"/>
              </w:rPr>
            </w:pPr>
            <w:r>
              <w:rPr>
                <w:spacing w:val="-5"/>
                <w:sz w:val="22"/>
              </w:rPr>
              <w:t>78</w:t>
            </w:r>
          </w:p>
        </w:tc>
        <w:tc>
          <w:tcPr>
            <w:tcW w:w="1013" w:type="dxa"/>
          </w:tcPr>
          <w:p>
            <w:pPr>
              <w:pStyle w:val="TableParagraph"/>
              <w:spacing w:line="233" w:lineRule="exact"/>
              <w:ind w:left="135"/>
              <w:rPr>
                <w:sz w:val="22"/>
              </w:rPr>
            </w:pPr>
            <w:r>
              <w:rPr>
                <w:spacing w:val="-5"/>
                <w:sz w:val="22"/>
              </w:rPr>
              <w:t>16</w:t>
            </w:r>
          </w:p>
        </w:tc>
        <w:tc>
          <w:tcPr>
            <w:tcW w:w="1048" w:type="dxa"/>
          </w:tcPr>
          <w:p>
            <w:pPr>
              <w:pStyle w:val="TableParagraph"/>
              <w:spacing w:line="233" w:lineRule="exact"/>
              <w:ind w:left="113"/>
              <w:rPr>
                <w:sz w:val="22"/>
              </w:rPr>
            </w:pPr>
            <w:r>
              <w:rPr>
                <w:spacing w:val="-10"/>
                <w:sz w:val="22"/>
              </w:rPr>
              <w:t>0</w:t>
            </w:r>
          </w:p>
        </w:tc>
        <w:tc>
          <w:tcPr>
            <w:tcW w:w="775" w:type="dxa"/>
          </w:tcPr>
          <w:p>
            <w:pPr>
              <w:pStyle w:val="TableParagraph"/>
              <w:spacing w:line="233" w:lineRule="exact"/>
              <w:ind w:left="145"/>
              <w:rPr>
                <w:sz w:val="22"/>
              </w:rPr>
            </w:pPr>
            <w:r>
              <w:rPr>
                <w:spacing w:val="-10"/>
                <w:sz w:val="22"/>
              </w:rPr>
              <w:t>0</w:t>
            </w:r>
          </w:p>
        </w:tc>
        <w:tc>
          <w:tcPr>
            <w:tcW w:w="711" w:type="dxa"/>
          </w:tcPr>
          <w:p>
            <w:pPr>
              <w:pStyle w:val="TableParagraph"/>
              <w:spacing w:line="233" w:lineRule="exact"/>
              <w:ind w:left="107"/>
              <w:rPr>
                <w:sz w:val="22"/>
              </w:rPr>
            </w:pPr>
            <w:r>
              <w:rPr>
                <w:spacing w:val="-4"/>
                <w:sz w:val="22"/>
              </w:rPr>
              <w:t>0.85</w:t>
            </w:r>
          </w:p>
        </w:tc>
        <w:tc>
          <w:tcPr>
            <w:tcW w:w="916" w:type="dxa"/>
          </w:tcPr>
          <w:p>
            <w:pPr>
              <w:pStyle w:val="TableParagraph"/>
              <w:spacing w:line="233" w:lineRule="exact"/>
              <w:ind w:left="207"/>
              <w:rPr>
                <w:sz w:val="22"/>
              </w:rPr>
            </w:pPr>
            <w:r>
              <w:rPr>
                <w:spacing w:val="-10"/>
                <w:sz w:val="22"/>
              </w:rPr>
              <w:t>2</w:t>
            </w:r>
          </w:p>
        </w:tc>
      </w:tr>
      <w:tr>
        <w:trPr>
          <w:trHeight w:val="253" w:hRule="atLeast"/>
        </w:trPr>
        <w:tc>
          <w:tcPr>
            <w:tcW w:w="566" w:type="dxa"/>
            <w:shd w:val="clear" w:color="auto" w:fill="D2DFED"/>
          </w:tcPr>
          <w:p>
            <w:pPr>
              <w:pStyle w:val="TableParagraph"/>
              <w:spacing w:line="233" w:lineRule="exact"/>
              <w:ind w:left="122"/>
              <w:rPr>
                <w:b/>
                <w:sz w:val="22"/>
              </w:rPr>
            </w:pPr>
            <w:r>
              <w:rPr>
                <w:b/>
                <w:spacing w:val="-5"/>
                <w:sz w:val="22"/>
              </w:rPr>
              <w:t>(i)</w:t>
            </w:r>
          </w:p>
        </w:tc>
        <w:tc>
          <w:tcPr>
            <w:tcW w:w="2886" w:type="dxa"/>
            <w:vMerge w:val="restart"/>
            <w:shd w:val="clear" w:color="auto" w:fill="D2DFED"/>
          </w:tcPr>
          <w:p>
            <w:pPr>
              <w:pStyle w:val="TableParagraph"/>
              <w:spacing w:line="246" w:lineRule="exact"/>
              <w:ind w:left="113"/>
              <w:rPr>
                <w:sz w:val="22"/>
              </w:rPr>
            </w:pPr>
            <w:r>
              <w:rPr>
                <w:sz w:val="22"/>
              </w:rPr>
              <w:t>Non-involvement</w:t>
            </w:r>
            <w:r>
              <w:rPr>
                <w:spacing w:val="18"/>
                <w:sz w:val="22"/>
              </w:rPr>
              <w:t> </w:t>
            </w:r>
            <w:r>
              <w:rPr>
                <w:sz w:val="22"/>
              </w:rPr>
              <w:t>of</w:t>
            </w:r>
            <w:r>
              <w:rPr>
                <w:spacing w:val="18"/>
                <w:sz w:val="22"/>
              </w:rPr>
              <w:t> </w:t>
            </w:r>
            <w:r>
              <w:rPr>
                <w:spacing w:val="-2"/>
                <w:sz w:val="22"/>
              </w:rPr>
              <w:t>Quantity</w:t>
            </w:r>
          </w:p>
          <w:p>
            <w:pPr>
              <w:pStyle w:val="TableParagraph"/>
              <w:spacing w:line="238" w:lineRule="exact"/>
              <w:ind w:left="113"/>
              <w:rPr>
                <w:sz w:val="22"/>
              </w:rPr>
            </w:pPr>
            <w:r>
              <w:rPr>
                <w:spacing w:val="-2"/>
                <w:sz w:val="22"/>
              </w:rPr>
              <w:t>Surveyors</w:t>
            </w:r>
          </w:p>
        </w:tc>
        <w:tc>
          <w:tcPr>
            <w:tcW w:w="984" w:type="dxa"/>
            <w:shd w:val="clear" w:color="auto" w:fill="D2DFED"/>
          </w:tcPr>
          <w:p>
            <w:pPr>
              <w:pStyle w:val="TableParagraph"/>
              <w:rPr>
                <w:sz w:val="18"/>
              </w:rPr>
            </w:pPr>
          </w:p>
        </w:tc>
        <w:tc>
          <w:tcPr>
            <w:tcW w:w="789" w:type="dxa"/>
            <w:shd w:val="clear" w:color="auto" w:fill="D2DFED"/>
          </w:tcPr>
          <w:p>
            <w:pPr>
              <w:pStyle w:val="TableParagraph"/>
              <w:rPr>
                <w:sz w:val="18"/>
              </w:rPr>
            </w:pPr>
          </w:p>
        </w:tc>
        <w:tc>
          <w:tcPr>
            <w:tcW w:w="1013" w:type="dxa"/>
            <w:shd w:val="clear" w:color="auto" w:fill="D2DFED"/>
          </w:tcPr>
          <w:p>
            <w:pPr>
              <w:pStyle w:val="TableParagraph"/>
              <w:rPr>
                <w:sz w:val="18"/>
              </w:rPr>
            </w:pPr>
          </w:p>
        </w:tc>
        <w:tc>
          <w:tcPr>
            <w:tcW w:w="1048" w:type="dxa"/>
            <w:shd w:val="clear" w:color="auto" w:fill="D2DFED"/>
          </w:tcPr>
          <w:p>
            <w:pPr>
              <w:pStyle w:val="TableParagraph"/>
              <w:rPr>
                <w:sz w:val="18"/>
              </w:rPr>
            </w:pPr>
          </w:p>
        </w:tc>
        <w:tc>
          <w:tcPr>
            <w:tcW w:w="775" w:type="dxa"/>
            <w:shd w:val="clear" w:color="auto" w:fill="D2DFED"/>
          </w:tcPr>
          <w:p>
            <w:pPr>
              <w:pStyle w:val="TableParagraph"/>
              <w:rPr>
                <w:sz w:val="18"/>
              </w:rPr>
            </w:pPr>
          </w:p>
        </w:tc>
        <w:tc>
          <w:tcPr>
            <w:tcW w:w="711" w:type="dxa"/>
            <w:shd w:val="clear" w:color="auto" w:fill="D2DFED"/>
          </w:tcPr>
          <w:p>
            <w:pPr>
              <w:pStyle w:val="TableParagraph"/>
              <w:rPr>
                <w:sz w:val="18"/>
              </w:rPr>
            </w:pPr>
          </w:p>
        </w:tc>
        <w:tc>
          <w:tcPr>
            <w:tcW w:w="916" w:type="dxa"/>
            <w:shd w:val="clear" w:color="auto" w:fill="D2DFED"/>
          </w:tcPr>
          <w:p>
            <w:pPr>
              <w:pStyle w:val="TableParagraph"/>
              <w:rPr>
                <w:sz w:val="18"/>
              </w:rPr>
            </w:pPr>
          </w:p>
        </w:tc>
      </w:tr>
      <w:tr>
        <w:trPr>
          <w:trHeight w:val="250" w:hRule="atLeast"/>
        </w:trPr>
        <w:tc>
          <w:tcPr>
            <w:tcW w:w="566" w:type="dxa"/>
            <w:shd w:val="clear" w:color="auto" w:fill="D2DFED"/>
          </w:tcPr>
          <w:p>
            <w:pPr>
              <w:pStyle w:val="TableParagraph"/>
              <w:rPr>
                <w:sz w:val="18"/>
              </w:rPr>
            </w:pPr>
          </w:p>
        </w:tc>
        <w:tc>
          <w:tcPr>
            <w:tcW w:w="2886" w:type="dxa"/>
            <w:vMerge/>
            <w:tcBorders>
              <w:top w:val="nil"/>
            </w:tcBorders>
            <w:shd w:val="clear" w:color="auto" w:fill="D2DFED"/>
          </w:tcPr>
          <w:p>
            <w:pPr>
              <w:rPr>
                <w:sz w:val="2"/>
                <w:szCs w:val="2"/>
              </w:rPr>
            </w:pPr>
          </w:p>
        </w:tc>
        <w:tc>
          <w:tcPr>
            <w:tcW w:w="984" w:type="dxa"/>
            <w:shd w:val="clear" w:color="auto" w:fill="D2DFED"/>
          </w:tcPr>
          <w:p>
            <w:pPr>
              <w:pStyle w:val="TableParagraph"/>
              <w:spacing w:line="231" w:lineRule="exact"/>
              <w:ind w:left="107"/>
              <w:rPr>
                <w:sz w:val="22"/>
              </w:rPr>
            </w:pPr>
            <w:r>
              <w:rPr>
                <w:spacing w:val="-5"/>
                <w:sz w:val="22"/>
              </w:rPr>
              <w:t>62</w:t>
            </w:r>
          </w:p>
        </w:tc>
        <w:tc>
          <w:tcPr>
            <w:tcW w:w="789" w:type="dxa"/>
            <w:shd w:val="clear" w:color="auto" w:fill="D2DFED"/>
          </w:tcPr>
          <w:p>
            <w:pPr>
              <w:pStyle w:val="TableParagraph"/>
              <w:spacing w:line="231" w:lineRule="exact"/>
              <w:ind w:left="114"/>
              <w:rPr>
                <w:sz w:val="22"/>
              </w:rPr>
            </w:pPr>
            <w:r>
              <w:rPr>
                <w:spacing w:val="-5"/>
                <w:sz w:val="22"/>
              </w:rPr>
              <w:t>31</w:t>
            </w:r>
          </w:p>
        </w:tc>
        <w:tc>
          <w:tcPr>
            <w:tcW w:w="1013" w:type="dxa"/>
            <w:shd w:val="clear" w:color="auto" w:fill="D2DFED"/>
          </w:tcPr>
          <w:p>
            <w:pPr>
              <w:pStyle w:val="TableParagraph"/>
              <w:spacing w:line="231" w:lineRule="exact"/>
              <w:ind w:left="135"/>
              <w:rPr>
                <w:sz w:val="22"/>
              </w:rPr>
            </w:pPr>
            <w:r>
              <w:rPr>
                <w:spacing w:val="-5"/>
                <w:sz w:val="22"/>
              </w:rPr>
              <w:t>16</w:t>
            </w:r>
          </w:p>
        </w:tc>
        <w:tc>
          <w:tcPr>
            <w:tcW w:w="1048" w:type="dxa"/>
            <w:shd w:val="clear" w:color="auto" w:fill="D2DFED"/>
          </w:tcPr>
          <w:p>
            <w:pPr>
              <w:pStyle w:val="TableParagraph"/>
              <w:spacing w:line="231" w:lineRule="exact"/>
              <w:ind w:left="113"/>
              <w:rPr>
                <w:sz w:val="22"/>
              </w:rPr>
            </w:pPr>
            <w:r>
              <w:rPr>
                <w:spacing w:val="-10"/>
                <w:sz w:val="22"/>
              </w:rPr>
              <w:t>0</w:t>
            </w:r>
          </w:p>
        </w:tc>
        <w:tc>
          <w:tcPr>
            <w:tcW w:w="775" w:type="dxa"/>
            <w:shd w:val="clear" w:color="auto" w:fill="D2DFED"/>
          </w:tcPr>
          <w:p>
            <w:pPr>
              <w:pStyle w:val="TableParagraph"/>
              <w:spacing w:line="231" w:lineRule="exact"/>
              <w:ind w:left="145"/>
              <w:rPr>
                <w:sz w:val="22"/>
              </w:rPr>
            </w:pPr>
            <w:r>
              <w:rPr>
                <w:spacing w:val="-5"/>
                <w:sz w:val="22"/>
              </w:rPr>
              <w:t>47</w:t>
            </w:r>
          </w:p>
        </w:tc>
        <w:tc>
          <w:tcPr>
            <w:tcW w:w="711" w:type="dxa"/>
            <w:shd w:val="clear" w:color="auto" w:fill="D2DFED"/>
          </w:tcPr>
          <w:p>
            <w:pPr>
              <w:pStyle w:val="TableParagraph"/>
              <w:spacing w:line="231" w:lineRule="exact"/>
              <w:ind w:left="107"/>
              <w:rPr>
                <w:sz w:val="22"/>
              </w:rPr>
            </w:pPr>
            <w:r>
              <w:rPr>
                <w:spacing w:val="-4"/>
                <w:sz w:val="22"/>
              </w:rPr>
              <w:t>0.68</w:t>
            </w:r>
          </w:p>
        </w:tc>
        <w:tc>
          <w:tcPr>
            <w:tcW w:w="916" w:type="dxa"/>
            <w:shd w:val="clear" w:color="auto" w:fill="D2DFED"/>
          </w:tcPr>
          <w:p>
            <w:pPr>
              <w:pStyle w:val="TableParagraph"/>
              <w:spacing w:line="231" w:lineRule="exact"/>
              <w:ind w:left="207"/>
              <w:rPr>
                <w:sz w:val="22"/>
              </w:rPr>
            </w:pPr>
            <w:r>
              <w:rPr>
                <w:spacing w:val="-10"/>
                <w:sz w:val="22"/>
              </w:rPr>
              <w:t>8</w:t>
            </w:r>
          </w:p>
        </w:tc>
      </w:tr>
      <w:tr>
        <w:trPr>
          <w:trHeight w:val="254" w:hRule="atLeast"/>
        </w:trPr>
        <w:tc>
          <w:tcPr>
            <w:tcW w:w="566" w:type="dxa"/>
          </w:tcPr>
          <w:p>
            <w:pPr>
              <w:pStyle w:val="TableParagraph"/>
              <w:spacing w:line="234" w:lineRule="exact"/>
              <w:ind w:left="122"/>
              <w:rPr>
                <w:b/>
                <w:sz w:val="22"/>
              </w:rPr>
            </w:pPr>
            <w:r>
              <w:rPr>
                <w:b/>
                <w:spacing w:val="-5"/>
                <w:sz w:val="22"/>
              </w:rPr>
              <w:t>(j)</w:t>
            </w:r>
          </w:p>
        </w:tc>
        <w:tc>
          <w:tcPr>
            <w:tcW w:w="2886" w:type="dxa"/>
            <w:vMerge w:val="restart"/>
          </w:tcPr>
          <w:p>
            <w:pPr>
              <w:pStyle w:val="TableParagraph"/>
              <w:spacing w:line="247" w:lineRule="exact"/>
              <w:ind w:left="113"/>
              <w:rPr>
                <w:sz w:val="22"/>
              </w:rPr>
            </w:pPr>
            <w:r>
              <w:rPr>
                <w:sz w:val="22"/>
              </w:rPr>
              <w:t>Lack</w:t>
            </w:r>
            <w:r>
              <w:rPr>
                <w:spacing w:val="42"/>
                <w:sz w:val="22"/>
              </w:rPr>
              <w:t>  </w:t>
            </w:r>
            <w:r>
              <w:rPr>
                <w:sz w:val="22"/>
              </w:rPr>
              <w:t>of</w:t>
            </w:r>
            <w:r>
              <w:rPr>
                <w:spacing w:val="44"/>
                <w:sz w:val="22"/>
              </w:rPr>
              <w:t>  </w:t>
            </w:r>
            <w:r>
              <w:rPr>
                <w:sz w:val="22"/>
              </w:rPr>
              <w:t>transparency</w:t>
            </w:r>
            <w:r>
              <w:rPr>
                <w:spacing w:val="43"/>
                <w:sz w:val="22"/>
              </w:rPr>
              <w:t>  </w:t>
            </w:r>
            <w:r>
              <w:rPr>
                <w:spacing w:val="-5"/>
                <w:sz w:val="22"/>
              </w:rPr>
              <w:t>and</w:t>
            </w:r>
          </w:p>
          <w:p>
            <w:pPr>
              <w:pStyle w:val="TableParagraph"/>
              <w:spacing w:line="238" w:lineRule="exact" w:before="1"/>
              <w:ind w:left="113"/>
              <w:rPr>
                <w:sz w:val="22"/>
              </w:rPr>
            </w:pPr>
            <w:r>
              <w:rPr>
                <w:sz w:val="22"/>
              </w:rPr>
              <w:t>accountability</w:t>
            </w:r>
            <w:r>
              <w:rPr>
                <w:spacing w:val="47"/>
                <w:sz w:val="22"/>
              </w:rPr>
              <w:t> </w:t>
            </w:r>
            <w:r>
              <w:rPr>
                <w:sz w:val="22"/>
              </w:rPr>
              <w:t>by</w:t>
            </w:r>
            <w:r>
              <w:rPr>
                <w:spacing w:val="-5"/>
                <w:sz w:val="22"/>
              </w:rPr>
              <w:t> </w:t>
            </w:r>
            <w:r>
              <w:rPr>
                <w:spacing w:val="-4"/>
                <w:sz w:val="22"/>
              </w:rPr>
              <w:t>MDAs</w:t>
            </w:r>
          </w:p>
        </w:tc>
        <w:tc>
          <w:tcPr>
            <w:tcW w:w="984" w:type="dxa"/>
          </w:tcPr>
          <w:p>
            <w:pPr>
              <w:pStyle w:val="TableParagraph"/>
              <w:rPr>
                <w:sz w:val="18"/>
              </w:rPr>
            </w:pPr>
          </w:p>
        </w:tc>
        <w:tc>
          <w:tcPr>
            <w:tcW w:w="789" w:type="dxa"/>
          </w:tcPr>
          <w:p>
            <w:pPr>
              <w:pStyle w:val="TableParagraph"/>
              <w:rPr>
                <w:sz w:val="18"/>
              </w:rPr>
            </w:pPr>
          </w:p>
        </w:tc>
        <w:tc>
          <w:tcPr>
            <w:tcW w:w="1013" w:type="dxa"/>
          </w:tcPr>
          <w:p>
            <w:pPr>
              <w:pStyle w:val="TableParagraph"/>
              <w:rPr>
                <w:sz w:val="18"/>
              </w:rPr>
            </w:pPr>
          </w:p>
        </w:tc>
        <w:tc>
          <w:tcPr>
            <w:tcW w:w="1048" w:type="dxa"/>
          </w:tcPr>
          <w:p>
            <w:pPr>
              <w:pStyle w:val="TableParagraph"/>
              <w:rPr>
                <w:sz w:val="18"/>
              </w:rPr>
            </w:pPr>
          </w:p>
        </w:tc>
        <w:tc>
          <w:tcPr>
            <w:tcW w:w="775" w:type="dxa"/>
          </w:tcPr>
          <w:p>
            <w:pPr>
              <w:pStyle w:val="TableParagraph"/>
              <w:rPr>
                <w:sz w:val="18"/>
              </w:rPr>
            </w:pPr>
          </w:p>
        </w:tc>
        <w:tc>
          <w:tcPr>
            <w:tcW w:w="711" w:type="dxa"/>
          </w:tcPr>
          <w:p>
            <w:pPr>
              <w:pStyle w:val="TableParagraph"/>
              <w:rPr>
                <w:sz w:val="18"/>
              </w:rPr>
            </w:pPr>
          </w:p>
        </w:tc>
        <w:tc>
          <w:tcPr>
            <w:tcW w:w="916" w:type="dxa"/>
          </w:tcPr>
          <w:p>
            <w:pPr>
              <w:pStyle w:val="TableParagraph"/>
              <w:rPr>
                <w:sz w:val="18"/>
              </w:rPr>
            </w:pPr>
          </w:p>
        </w:tc>
      </w:tr>
      <w:tr>
        <w:trPr>
          <w:trHeight w:val="252" w:hRule="atLeast"/>
        </w:trPr>
        <w:tc>
          <w:tcPr>
            <w:tcW w:w="566" w:type="dxa"/>
          </w:tcPr>
          <w:p>
            <w:pPr>
              <w:pStyle w:val="TableParagraph"/>
              <w:rPr>
                <w:sz w:val="18"/>
              </w:rPr>
            </w:pPr>
          </w:p>
        </w:tc>
        <w:tc>
          <w:tcPr>
            <w:tcW w:w="2886" w:type="dxa"/>
            <w:vMerge/>
            <w:tcBorders>
              <w:top w:val="nil"/>
            </w:tcBorders>
          </w:tcPr>
          <w:p>
            <w:pPr>
              <w:rPr>
                <w:sz w:val="2"/>
                <w:szCs w:val="2"/>
              </w:rPr>
            </w:pPr>
          </w:p>
        </w:tc>
        <w:tc>
          <w:tcPr>
            <w:tcW w:w="984" w:type="dxa"/>
          </w:tcPr>
          <w:p>
            <w:pPr>
              <w:pStyle w:val="TableParagraph"/>
              <w:spacing w:line="232" w:lineRule="exact"/>
              <w:ind w:left="107"/>
              <w:rPr>
                <w:sz w:val="22"/>
              </w:rPr>
            </w:pPr>
            <w:r>
              <w:rPr>
                <w:spacing w:val="-5"/>
                <w:sz w:val="22"/>
              </w:rPr>
              <w:t>55</w:t>
            </w:r>
          </w:p>
        </w:tc>
        <w:tc>
          <w:tcPr>
            <w:tcW w:w="789" w:type="dxa"/>
          </w:tcPr>
          <w:p>
            <w:pPr>
              <w:pStyle w:val="TableParagraph"/>
              <w:spacing w:line="232" w:lineRule="exact"/>
              <w:ind w:left="114"/>
              <w:rPr>
                <w:sz w:val="22"/>
              </w:rPr>
            </w:pPr>
            <w:r>
              <w:rPr>
                <w:spacing w:val="-5"/>
                <w:sz w:val="22"/>
              </w:rPr>
              <w:t>78</w:t>
            </w:r>
          </w:p>
        </w:tc>
        <w:tc>
          <w:tcPr>
            <w:tcW w:w="1013" w:type="dxa"/>
          </w:tcPr>
          <w:p>
            <w:pPr>
              <w:pStyle w:val="TableParagraph"/>
              <w:spacing w:line="232" w:lineRule="exact"/>
              <w:ind w:left="135"/>
              <w:rPr>
                <w:sz w:val="22"/>
              </w:rPr>
            </w:pPr>
            <w:r>
              <w:rPr>
                <w:spacing w:val="-10"/>
                <w:sz w:val="22"/>
              </w:rPr>
              <w:t>8</w:t>
            </w:r>
          </w:p>
        </w:tc>
        <w:tc>
          <w:tcPr>
            <w:tcW w:w="1048" w:type="dxa"/>
          </w:tcPr>
          <w:p>
            <w:pPr>
              <w:pStyle w:val="TableParagraph"/>
              <w:spacing w:line="232" w:lineRule="exact"/>
              <w:ind w:left="113"/>
              <w:rPr>
                <w:sz w:val="22"/>
              </w:rPr>
            </w:pPr>
            <w:r>
              <w:rPr>
                <w:spacing w:val="-10"/>
                <w:sz w:val="22"/>
              </w:rPr>
              <w:t>0</w:t>
            </w:r>
          </w:p>
        </w:tc>
        <w:tc>
          <w:tcPr>
            <w:tcW w:w="775" w:type="dxa"/>
          </w:tcPr>
          <w:p>
            <w:pPr>
              <w:pStyle w:val="TableParagraph"/>
              <w:spacing w:line="232" w:lineRule="exact"/>
              <w:ind w:left="145"/>
              <w:rPr>
                <w:sz w:val="22"/>
              </w:rPr>
            </w:pPr>
            <w:r>
              <w:rPr>
                <w:spacing w:val="-5"/>
                <w:sz w:val="22"/>
              </w:rPr>
              <w:t>15</w:t>
            </w:r>
          </w:p>
        </w:tc>
        <w:tc>
          <w:tcPr>
            <w:tcW w:w="711" w:type="dxa"/>
          </w:tcPr>
          <w:p>
            <w:pPr>
              <w:pStyle w:val="TableParagraph"/>
              <w:spacing w:line="232" w:lineRule="exact"/>
              <w:ind w:left="107"/>
              <w:rPr>
                <w:sz w:val="22"/>
              </w:rPr>
            </w:pPr>
            <w:r>
              <w:rPr>
                <w:spacing w:val="-4"/>
                <w:sz w:val="22"/>
              </w:rPr>
              <w:t>0.80</w:t>
            </w:r>
          </w:p>
        </w:tc>
        <w:tc>
          <w:tcPr>
            <w:tcW w:w="916" w:type="dxa"/>
          </w:tcPr>
          <w:p>
            <w:pPr>
              <w:pStyle w:val="TableParagraph"/>
              <w:spacing w:line="232" w:lineRule="exact"/>
              <w:ind w:left="207"/>
              <w:rPr>
                <w:sz w:val="22"/>
              </w:rPr>
            </w:pPr>
            <w:r>
              <w:rPr>
                <w:spacing w:val="-10"/>
                <w:sz w:val="22"/>
              </w:rPr>
              <w:t>3</w:t>
            </w:r>
          </w:p>
        </w:tc>
      </w:tr>
      <w:tr>
        <w:trPr>
          <w:trHeight w:val="254" w:hRule="atLeast"/>
        </w:trPr>
        <w:tc>
          <w:tcPr>
            <w:tcW w:w="566" w:type="dxa"/>
            <w:shd w:val="clear" w:color="auto" w:fill="D2DFED"/>
          </w:tcPr>
          <w:p>
            <w:pPr>
              <w:pStyle w:val="TableParagraph"/>
              <w:spacing w:line="234" w:lineRule="exact"/>
              <w:ind w:left="122"/>
              <w:rPr>
                <w:b/>
                <w:sz w:val="22"/>
              </w:rPr>
            </w:pPr>
            <w:r>
              <w:rPr>
                <w:b/>
                <w:spacing w:val="-5"/>
                <w:sz w:val="22"/>
              </w:rPr>
              <w:t>(k)</w:t>
            </w:r>
          </w:p>
        </w:tc>
        <w:tc>
          <w:tcPr>
            <w:tcW w:w="2886" w:type="dxa"/>
            <w:shd w:val="clear" w:color="auto" w:fill="D2DFED"/>
          </w:tcPr>
          <w:p>
            <w:pPr>
              <w:pStyle w:val="TableParagraph"/>
              <w:spacing w:line="234" w:lineRule="exact"/>
              <w:ind w:left="113"/>
              <w:rPr>
                <w:sz w:val="22"/>
              </w:rPr>
            </w:pPr>
            <w:r>
              <w:rPr>
                <w:sz w:val="22"/>
              </w:rPr>
              <w:t>Budget</w:t>
            </w:r>
            <w:r>
              <w:rPr>
                <w:spacing w:val="-3"/>
                <w:sz w:val="22"/>
              </w:rPr>
              <w:t> </w:t>
            </w:r>
            <w:r>
              <w:rPr>
                <w:spacing w:val="-2"/>
                <w:sz w:val="22"/>
              </w:rPr>
              <w:t>indiscipline</w:t>
            </w:r>
          </w:p>
        </w:tc>
        <w:tc>
          <w:tcPr>
            <w:tcW w:w="984" w:type="dxa"/>
            <w:shd w:val="clear" w:color="auto" w:fill="D2DFED"/>
          </w:tcPr>
          <w:p>
            <w:pPr>
              <w:pStyle w:val="TableParagraph"/>
              <w:spacing w:line="234" w:lineRule="exact"/>
              <w:ind w:left="107"/>
              <w:rPr>
                <w:sz w:val="22"/>
              </w:rPr>
            </w:pPr>
            <w:r>
              <w:rPr>
                <w:spacing w:val="-5"/>
                <w:sz w:val="22"/>
              </w:rPr>
              <w:t>78</w:t>
            </w:r>
          </w:p>
        </w:tc>
        <w:tc>
          <w:tcPr>
            <w:tcW w:w="789" w:type="dxa"/>
            <w:shd w:val="clear" w:color="auto" w:fill="D2DFED"/>
          </w:tcPr>
          <w:p>
            <w:pPr>
              <w:pStyle w:val="TableParagraph"/>
              <w:spacing w:line="234" w:lineRule="exact"/>
              <w:ind w:left="114"/>
              <w:rPr>
                <w:sz w:val="22"/>
              </w:rPr>
            </w:pPr>
            <w:r>
              <w:rPr>
                <w:spacing w:val="-5"/>
                <w:sz w:val="22"/>
              </w:rPr>
              <w:t>62</w:t>
            </w:r>
          </w:p>
        </w:tc>
        <w:tc>
          <w:tcPr>
            <w:tcW w:w="1013" w:type="dxa"/>
            <w:shd w:val="clear" w:color="auto" w:fill="D2DFED"/>
          </w:tcPr>
          <w:p>
            <w:pPr>
              <w:pStyle w:val="TableParagraph"/>
              <w:spacing w:line="234" w:lineRule="exact"/>
              <w:ind w:left="135"/>
              <w:rPr>
                <w:sz w:val="22"/>
              </w:rPr>
            </w:pPr>
            <w:r>
              <w:rPr>
                <w:spacing w:val="-5"/>
                <w:sz w:val="22"/>
              </w:rPr>
              <w:t>16</w:t>
            </w:r>
          </w:p>
        </w:tc>
        <w:tc>
          <w:tcPr>
            <w:tcW w:w="1048" w:type="dxa"/>
            <w:shd w:val="clear" w:color="auto" w:fill="D2DFED"/>
          </w:tcPr>
          <w:p>
            <w:pPr>
              <w:pStyle w:val="TableParagraph"/>
              <w:spacing w:line="234" w:lineRule="exact"/>
              <w:ind w:left="113"/>
              <w:rPr>
                <w:sz w:val="22"/>
              </w:rPr>
            </w:pPr>
            <w:r>
              <w:rPr>
                <w:spacing w:val="-10"/>
                <w:sz w:val="22"/>
              </w:rPr>
              <w:t>0</w:t>
            </w:r>
          </w:p>
        </w:tc>
        <w:tc>
          <w:tcPr>
            <w:tcW w:w="775" w:type="dxa"/>
            <w:shd w:val="clear" w:color="auto" w:fill="D2DFED"/>
          </w:tcPr>
          <w:p>
            <w:pPr>
              <w:pStyle w:val="TableParagraph"/>
              <w:spacing w:line="234" w:lineRule="exact"/>
              <w:ind w:left="145"/>
              <w:rPr>
                <w:sz w:val="22"/>
              </w:rPr>
            </w:pPr>
            <w:r>
              <w:rPr>
                <w:spacing w:val="-10"/>
                <w:sz w:val="22"/>
              </w:rPr>
              <w:t>0</w:t>
            </w:r>
          </w:p>
        </w:tc>
        <w:tc>
          <w:tcPr>
            <w:tcW w:w="711" w:type="dxa"/>
            <w:shd w:val="clear" w:color="auto" w:fill="D2DFED"/>
          </w:tcPr>
          <w:p>
            <w:pPr>
              <w:pStyle w:val="TableParagraph"/>
              <w:spacing w:line="234" w:lineRule="exact"/>
              <w:ind w:left="107"/>
              <w:rPr>
                <w:sz w:val="22"/>
              </w:rPr>
            </w:pPr>
            <w:r>
              <w:rPr>
                <w:spacing w:val="-4"/>
                <w:sz w:val="22"/>
              </w:rPr>
              <w:t>0.88</w:t>
            </w:r>
          </w:p>
        </w:tc>
        <w:tc>
          <w:tcPr>
            <w:tcW w:w="916" w:type="dxa"/>
            <w:shd w:val="clear" w:color="auto" w:fill="D2DFED"/>
          </w:tcPr>
          <w:p>
            <w:pPr>
              <w:pStyle w:val="TableParagraph"/>
              <w:spacing w:line="234" w:lineRule="exact"/>
              <w:ind w:left="207"/>
              <w:rPr>
                <w:sz w:val="22"/>
              </w:rPr>
            </w:pPr>
            <w:r>
              <w:rPr>
                <w:spacing w:val="-10"/>
                <w:sz w:val="22"/>
              </w:rPr>
              <w:t>1</w:t>
            </w:r>
          </w:p>
        </w:tc>
      </w:tr>
      <w:tr>
        <w:trPr>
          <w:trHeight w:val="253" w:hRule="atLeast"/>
        </w:trPr>
        <w:tc>
          <w:tcPr>
            <w:tcW w:w="566" w:type="dxa"/>
          </w:tcPr>
          <w:p>
            <w:pPr>
              <w:pStyle w:val="TableParagraph"/>
              <w:spacing w:line="233" w:lineRule="exact"/>
              <w:ind w:left="122"/>
              <w:rPr>
                <w:b/>
                <w:sz w:val="22"/>
              </w:rPr>
            </w:pPr>
            <w:r>
              <w:rPr>
                <w:b/>
                <w:spacing w:val="-5"/>
                <w:sz w:val="22"/>
              </w:rPr>
              <w:t>(l)</w:t>
            </w:r>
          </w:p>
        </w:tc>
        <w:tc>
          <w:tcPr>
            <w:tcW w:w="2886" w:type="dxa"/>
            <w:vMerge w:val="restart"/>
          </w:tcPr>
          <w:p>
            <w:pPr>
              <w:pStyle w:val="TableParagraph"/>
              <w:spacing w:line="246" w:lineRule="exact"/>
              <w:ind w:left="113"/>
              <w:rPr>
                <w:sz w:val="22"/>
              </w:rPr>
            </w:pPr>
            <w:r>
              <w:rPr>
                <w:sz w:val="22"/>
              </w:rPr>
              <w:t>Numerous</w:t>
            </w:r>
            <w:r>
              <w:rPr>
                <w:spacing w:val="31"/>
                <w:sz w:val="22"/>
              </w:rPr>
              <w:t>  </w:t>
            </w:r>
            <w:r>
              <w:rPr>
                <w:sz w:val="22"/>
              </w:rPr>
              <w:t>budget</w:t>
            </w:r>
            <w:r>
              <w:rPr>
                <w:spacing w:val="32"/>
                <w:sz w:val="22"/>
              </w:rPr>
              <w:t>  </w:t>
            </w:r>
            <w:r>
              <w:rPr>
                <w:spacing w:val="-2"/>
                <w:sz w:val="22"/>
              </w:rPr>
              <w:t>revisions</w:t>
            </w:r>
          </w:p>
          <w:p>
            <w:pPr>
              <w:pStyle w:val="TableParagraph"/>
              <w:spacing w:line="238" w:lineRule="exact"/>
              <w:ind w:left="113"/>
              <w:rPr>
                <w:sz w:val="22"/>
              </w:rPr>
            </w:pPr>
            <w:r>
              <w:rPr>
                <w:sz w:val="22"/>
              </w:rPr>
              <w:t>throughout</w:t>
            </w:r>
            <w:r>
              <w:rPr>
                <w:spacing w:val="-6"/>
                <w:sz w:val="22"/>
              </w:rPr>
              <w:t> </w:t>
            </w:r>
            <w:r>
              <w:rPr>
                <w:sz w:val="22"/>
              </w:rPr>
              <w:t>the</w:t>
            </w:r>
            <w:r>
              <w:rPr>
                <w:spacing w:val="-4"/>
                <w:sz w:val="22"/>
              </w:rPr>
              <w:t> year</w:t>
            </w:r>
          </w:p>
        </w:tc>
        <w:tc>
          <w:tcPr>
            <w:tcW w:w="984" w:type="dxa"/>
          </w:tcPr>
          <w:p>
            <w:pPr>
              <w:pStyle w:val="TableParagraph"/>
              <w:rPr>
                <w:sz w:val="18"/>
              </w:rPr>
            </w:pPr>
          </w:p>
        </w:tc>
        <w:tc>
          <w:tcPr>
            <w:tcW w:w="789" w:type="dxa"/>
          </w:tcPr>
          <w:p>
            <w:pPr>
              <w:pStyle w:val="TableParagraph"/>
              <w:rPr>
                <w:sz w:val="18"/>
              </w:rPr>
            </w:pPr>
          </w:p>
        </w:tc>
        <w:tc>
          <w:tcPr>
            <w:tcW w:w="1013" w:type="dxa"/>
          </w:tcPr>
          <w:p>
            <w:pPr>
              <w:pStyle w:val="TableParagraph"/>
              <w:rPr>
                <w:sz w:val="18"/>
              </w:rPr>
            </w:pPr>
          </w:p>
        </w:tc>
        <w:tc>
          <w:tcPr>
            <w:tcW w:w="1048" w:type="dxa"/>
          </w:tcPr>
          <w:p>
            <w:pPr>
              <w:pStyle w:val="TableParagraph"/>
              <w:rPr>
                <w:sz w:val="18"/>
              </w:rPr>
            </w:pPr>
          </w:p>
        </w:tc>
        <w:tc>
          <w:tcPr>
            <w:tcW w:w="775" w:type="dxa"/>
          </w:tcPr>
          <w:p>
            <w:pPr>
              <w:pStyle w:val="TableParagraph"/>
              <w:rPr>
                <w:sz w:val="18"/>
              </w:rPr>
            </w:pPr>
          </w:p>
        </w:tc>
        <w:tc>
          <w:tcPr>
            <w:tcW w:w="711" w:type="dxa"/>
          </w:tcPr>
          <w:p>
            <w:pPr>
              <w:pStyle w:val="TableParagraph"/>
              <w:rPr>
                <w:sz w:val="18"/>
              </w:rPr>
            </w:pPr>
          </w:p>
        </w:tc>
        <w:tc>
          <w:tcPr>
            <w:tcW w:w="916" w:type="dxa"/>
          </w:tcPr>
          <w:p>
            <w:pPr>
              <w:pStyle w:val="TableParagraph"/>
              <w:rPr>
                <w:sz w:val="18"/>
              </w:rPr>
            </w:pPr>
          </w:p>
        </w:tc>
      </w:tr>
      <w:tr>
        <w:trPr>
          <w:trHeight w:val="250" w:hRule="atLeast"/>
        </w:trPr>
        <w:tc>
          <w:tcPr>
            <w:tcW w:w="566" w:type="dxa"/>
          </w:tcPr>
          <w:p>
            <w:pPr>
              <w:pStyle w:val="TableParagraph"/>
              <w:rPr>
                <w:sz w:val="18"/>
              </w:rPr>
            </w:pPr>
          </w:p>
        </w:tc>
        <w:tc>
          <w:tcPr>
            <w:tcW w:w="2886" w:type="dxa"/>
            <w:vMerge/>
            <w:tcBorders>
              <w:top w:val="nil"/>
            </w:tcBorders>
          </w:tcPr>
          <w:p>
            <w:pPr>
              <w:rPr>
                <w:sz w:val="2"/>
                <w:szCs w:val="2"/>
              </w:rPr>
            </w:pPr>
          </w:p>
        </w:tc>
        <w:tc>
          <w:tcPr>
            <w:tcW w:w="984" w:type="dxa"/>
          </w:tcPr>
          <w:p>
            <w:pPr>
              <w:pStyle w:val="TableParagraph"/>
              <w:spacing w:line="231" w:lineRule="exact"/>
              <w:ind w:left="107"/>
              <w:rPr>
                <w:sz w:val="22"/>
              </w:rPr>
            </w:pPr>
            <w:r>
              <w:rPr>
                <w:spacing w:val="-5"/>
                <w:sz w:val="22"/>
              </w:rPr>
              <w:t>62</w:t>
            </w:r>
          </w:p>
        </w:tc>
        <w:tc>
          <w:tcPr>
            <w:tcW w:w="789" w:type="dxa"/>
          </w:tcPr>
          <w:p>
            <w:pPr>
              <w:pStyle w:val="TableParagraph"/>
              <w:spacing w:line="231" w:lineRule="exact"/>
              <w:ind w:left="114"/>
              <w:rPr>
                <w:sz w:val="22"/>
              </w:rPr>
            </w:pPr>
            <w:r>
              <w:rPr>
                <w:spacing w:val="-5"/>
                <w:sz w:val="22"/>
              </w:rPr>
              <w:t>16</w:t>
            </w:r>
          </w:p>
        </w:tc>
        <w:tc>
          <w:tcPr>
            <w:tcW w:w="1013" w:type="dxa"/>
          </w:tcPr>
          <w:p>
            <w:pPr>
              <w:pStyle w:val="TableParagraph"/>
              <w:spacing w:line="231" w:lineRule="exact"/>
              <w:ind w:left="135"/>
              <w:rPr>
                <w:sz w:val="22"/>
              </w:rPr>
            </w:pPr>
            <w:r>
              <w:rPr>
                <w:spacing w:val="-5"/>
                <w:sz w:val="22"/>
              </w:rPr>
              <w:t>16</w:t>
            </w:r>
          </w:p>
        </w:tc>
        <w:tc>
          <w:tcPr>
            <w:tcW w:w="1048" w:type="dxa"/>
          </w:tcPr>
          <w:p>
            <w:pPr>
              <w:pStyle w:val="TableParagraph"/>
              <w:spacing w:line="231" w:lineRule="exact"/>
              <w:ind w:left="113"/>
              <w:rPr>
                <w:sz w:val="22"/>
              </w:rPr>
            </w:pPr>
            <w:r>
              <w:rPr>
                <w:spacing w:val="-10"/>
                <w:sz w:val="22"/>
              </w:rPr>
              <w:t>0</w:t>
            </w:r>
          </w:p>
        </w:tc>
        <w:tc>
          <w:tcPr>
            <w:tcW w:w="775" w:type="dxa"/>
          </w:tcPr>
          <w:p>
            <w:pPr>
              <w:pStyle w:val="TableParagraph"/>
              <w:spacing w:line="231" w:lineRule="exact"/>
              <w:ind w:left="145"/>
              <w:rPr>
                <w:sz w:val="22"/>
              </w:rPr>
            </w:pPr>
            <w:r>
              <w:rPr>
                <w:spacing w:val="-5"/>
                <w:sz w:val="22"/>
              </w:rPr>
              <w:t>62</w:t>
            </w:r>
          </w:p>
        </w:tc>
        <w:tc>
          <w:tcPr>
            <w:tcW w:w="711" w:type="dxa"/>
          </w:tcPr>
          <w:p>
            <w:pPr>
              <w:pStyle w:val="TableParagraph"/>
              <w:spacing w:line="231" w:lineRule="exact"/>
              <w:ind w:left="107"/>
              <w:rPr>
                <w:sz w:val="22"/>
              </w:rPr>
            </w:pPr>
            <w:r>
              <w:rPr>
                <w:spacing w:val="-4"/>
                <w:sz w:val="22"/>
              </w:rPr>
              <w:t>0.62</w:t>
            </w:r>
          </w:p>
        </w:tc>
        <w:tc>
          <w:tcPr>
            <w:tcW w:w="916" w:type="dxa"/>
          </w:tcPr>
          <w:p>
            <w:pPr>
              <w:pStyle w:val="TableParagraph"/>
              <w:spacing w:line="231" w:lineRule="exact"/>
              <w:ind w:left="207"/>
              <w:rPr>
                <w:sz w:val="22"/>
              </w:rPr>
            </w:pPr>
            <w:r>
              <w:rPr>
                <w:spacing w:val="-10"/>
                <w:sz w:val="22"/>
              </w:rPr>
              <w:t>9</w:t>
            </w:r>
          </w:p>
        </w:tc>
      </w:tr>
      <w:tr>
        <w:trPr>
          <w:trHeight w:val="254" w:hRule="atLeast"/>
        </w:trPr>
        <w:tc>
          <w:tcPr>
            <w:tcW w:w="566" w:type="dxa"/>
            <w:shd w:val="clear" w:color="auto" w:fill="D2DFED"/>
          </w:tcPr>
          <w:p>
            <w:pPr>
              <w:pStyle w:val="TableParagraph"/>
              <w:spacing w:line="235" w:lineRule="exact"/>
              <w:ind w:left="122"/>
              <w:rPr>
                <w:b/>
                <w:sz w:val="22"/>
              </w:rPr>
            </w:pPr>
            <w:r>
              <w:rPr>
                <w:b/>
                <w:spacing w:val="-5"/>
                <w:sz w:val="22"/>
              </w:rPr>
              <w:t>(m)</w:t>
            </w:r>
          </w:p>
        </w:tc>
        <w:tc>
          <w:tcPr>
            <w:tcW w:w="2886" w:type="dxa"/>
            <w:vMerge w:val="restart"/>
            <w:shd w:val="clear" w:color="auto" w:fill="D2DFED"/>
          </w:tcPr>
          <w:p>
            <w:pPr>
              <w:pStyle w:val="TableParagraph"/>
              <w:tabs>
                <w:tab w:pos="1091" w:val="left" w:leader="none"/>
                <w:tab w:pos="2301" w:val="left" w:leader="none"/>
              </w:tabs>
              <w:spacing w:line="247" w:lineRule="exact"/>
              <w:ind w:left="113"/>
              <w:rPr>
                <w:sz w:val="22"/>
              </w:rPr>
            </w:pPr>
            <w:r>
              <w:rPr>
                <w:spacing w:val="-4"/>
                <w:sz w:val="22"/>
              </w:rPr>
              <w:t>Weak</w:t>
            </w:r>
            <w:r>
              <w:rPr>
                <w:sz w:val="22"/>
              </w:rPr>
              <w:tab/>
            </w:r>
            <w:r>
              <w:rPr>
                <w:spacing w:val="-2"/>
                <w:sz w:val="22"/>
              </w:rPr>
              <w:t>Medium</w:t>
            </w:r>
            <w:r>
              <w:rPr>
                <w:sz w:val="22"/>
              </w:rPr>
              <w:tab/>
            </w:r>
            <w:r>
              <w:rPr>
                <w:spacing w:val="-4"/>
                <w:sz w:val="22"/>
              </w:rPr>
              <w:t>Term</w:t>
            </w:r>
          </w:p>
          <w:p>
            <w:pPr>
              <w:pStyle w:val="TableParagraph"/>
              <w:spacing w:line="238" w:lineRule="exact" w:before="2"/>
              <w:ind w:left="113"/>
              <w:rPr>
                <w:sz w:val="22"/>
              </w:rPr>
            </w:pPr>
            <w:r>
              <w:rPr>
                <w:spacing w:val="-2"/>
                <w:sz w:val="22"/>
              </w:rPr>
              <w:t>Planning</w:t>
            </w:r>
          </w:p>
        </w:tc>
        <w:tc>
          <w:tcPr>
            <w:tcW w:w="984" w:type="dxa"/>
            <w:shd w:val="clear" w:color="auto" w:fill="D2DFED"/>
          </w:tcPr>
          <w:p>
            <w:pPr>
              <w:pStyle w:val="TableParagraph"/>
              <w:rPr>
                <w:sz w:val="18"/>
              </w:rPr>
            </w:pPr>
          </w:p>
        </w:tc>
        <w:tc>
          <w:tcPr>
            <w:tcW w:w="789" w:type="dxa"/>
            <w:shd w:val="clear" w:color="auto" w:fill="D2DFED"/>
          </w:tcPr>
          <w:p>
            <w:pPr>
              <w:pStyle w:val="TableParagraph"/>
              <w:rPr>
                <w:sz w:val="18"/>
              </w:rPr>
            </w:pPr>
          </w:p>
        </w:tc>
        <w:tc>
          <w:tcPr>
            <w:tcW w:w="1013" w:type="dxa"/>
            <w:shd w:val="clear" w:color="auto" w:fill="D2DFED"/>
          </w:tcPr>
          <w:p>
            <w:pPr>
              <w:pStyle w:val="TableParagraph"/>
              <w:rPr>
                <w:sz w:val="18"/>
              </w:rPr>
            </w:pPr>
          </w:p>
        </w:tc>
        <w:tc>
          <w:tcPr>
            <w:tcW w:w="1048" w:type="dxa"/>
            <w:shd w:val="clear" w:color="auto" w:fill="D2DFED"/>
          </w:tcPr>
          <w:p>
            <w:pPr>
              <w:pStyle w:val="TableParagraph"/>
              <w:rPr>
                <w:sz w:val="18"/>
              </w:rPr>
            </w:pPr>
          </w:p>
        </w:tc>
        <w:tc>
          <w:tcPr>
            <w:tcW w:w="775" w:type="dxa"/>
            <w:shd w:val="clear" w:color="auto" w:fill="D2DFED"/>
          </w:tcPr>
          <w:p>
            <w:pPr>
              <w:pStyle w:val="TableParagraph"/>
              <w:rPr>
                <w:sz w:val="18"/>
              </w:rPr>
            </w:pPr>
          </w:p>
        </w:tc>
        <w:tc>
          <w:tcPr>
            <w:tcW w:w="711" w:type="dxa"/>
            <w:shd w:val="clear" w:color="auto" w:fill="D2DFED"/>
          </w:tcPr>
          <w:p>
            <w:pPr>
              <w:pStyle w:val="TableParagraph"/>
              <w:rPr>
                <w:sz w:val="18"/>
              </w:rPr>
            </w:pPr>
          </w:p>
        </w:tc>
        <w:tc>
          <w:tcPr>
            <w:tcW w:w="916" w:type="dxa"/>
            <w:shd w:val="clear" w:color="auto" w:fill="D2DFED"/>
          </w:tcPr>
          <w:p>
            <w:pPr>
              <w:pStyle w:val="TableParagraph"/>
              <w:rPr>
                <w:sz w:val="18"/>
              </w:rPr>
            </w:pPr>
          </w:p>
        </w:tc>
      </w:tr>
      <w:tr>
        <w:trPr>
          <w:trHeight w:val="252" w:hRule="atLeast"/>
        </w:trPr>
        <w:tc>
          <w:tcPr>
            <w:tcW w:w="566" w:type="dxa"/>
            <w:shd w:val="clear" w:color="auto" w:fill="D2DFED"/>
          </w:tcPr>
          <w:p>
            <w:pPr>
              <w:pStyle w:val="TableParagraph"/>
              <w:rPr>
                <w:sz w:val="18"/>
              </w:rPr>
            </w:pPr>
          </w:p>
        </w:tc>
        <w:tc>
          <w:tcPr>
            <w:tcW w:w="2886" w:type="dxa"/>
            <w:vMerge/>
            <w:tcBorders>
              <w:top w:val="nil"/>
            </w:tcBorders>
            <w:shd w:val="clear" w:color="auto" w:fill="D2DFED"/>
          </w:tcPr>
          <w:p>
            <w:pPr>
              <w:rPr>
                <w:sz w:val="2"/>
                <w:szCs w:val="2"/>
              </w:rPr>
            </w:pPr>
          </w:p>
        </w:tc>
        <w:tc>
          <w:tcPr>
            <w:tcW w:w="984" w:type="dxa"/>
            <w:shd w:val="clear" w:color="auto" w:fill="D2DFED"/>
          </w:tcPr>
          <w:p>
            <w:pPr>
              <w:pStyle w:val="TableParagraph"/>
              <w:spacing w:line="232" w:lineRule="exact"/>
              <w:ind w:left="107"/>
              <w:rPr>
                <w:sz w:val="22"/>
              </w:rPr>
            </w:pPr>
            <w:r>
              <w:rPr>
                <w:spacing w:val="-5"/>
                <w:sz w:val="22"/>
              </w:rPr>
              <w:t>39</w:t>
            </w:r>
          </w:p>
        </w:tc>
        <w:tc>
          <w:tcPr>
            <w:tcW w:w="789" w:type="dxa"/>
            <w:shd w:val="clear" w:color="auto" w:fill="D2DFED"/>
          </w:tcPr>
          <w:p>
            <w:pPr>
              <w:pStyle w:val="TableParagraph"/>
              <w:spacing w:line="232" w:lineRule="exact"/>
              <w:ind w:left="114"/>
              <w:rPr>
                <w:sz w:val="22"/>
              </w:rPr>
            </w:pPr>
            <w:r>
              <w:rPr>
                <w:spacing w:val="-5"/>
                <w:sz w:val="22"/>
              </w:rPr>
              <w:t>86</w:t>
            </w:r>
          </w:p>
        </w:tc>
        <w:tc>
          <w:tcPr>
            <w:tcW w:w="1013" w:type="dxa"/>
            <w:shd w:val="clear" w:color="auto" w:fill="D2DFED"/>
          </w:tcPr>
          <w:p>
            <w:pPr>
              <w:pStyle w:val="TableParagraph"/>
              <w:spacing w:line="232" w:lineRule="exact"/>
              <w:ind w:left="135"/>
              <w:rPr>
                <w:sz w:val="22"/>
              </w:rPr>
            </w:pPr>
            <w:r>
              <w:rPr>
                <w:spacing w:val="-10"/>
                <w:sz w:val="22"/>
              </w:rPr>
              <w:t>0</w:t>
            </w:r>
          </w:p>
        </w:tc>
        <w:tc>
          <w:tcPr>
            <w:tcW w:w="1048" w:type="dxa"/>
            <w:shd w:val="clear" w:color="auto" w:fill="D2DFED"/>
          </w:tcPr>
          <w:p>
            <w:pPr>
              <w:pStyle w:val="TableParagraph"/>
              <w:spacing w:line="232" w:lineRule="exact"/>
              <w:ind w:left="113"/>
              <w:rPr>
                <w:sz w:val="22"/>
              </w:rPr>
            </w:pPr>
            <w:r>
              <w:rPr>
                <w:spacing w:val="-10"/>
                <w:sz w:val="22"/>
              </w:rPr>
              <w:t>8</w:t>
            </w:r>
          </w:p>
        </w:tc>
        <w:tc>
          <w:tcPr>
            <w:tcW w:w="775" w:type="dxa"/>
            <w:shd w:val="clear" w:color="auto" w:fill="D2DFED"/>
          </w:tcPr>
          <w:p>
            <w:pPr>
              <w:pStyle w:val="TableParagraph"/>
              <w:spacing w:line="232" w:lineRule="exact"/>
              <w:ind w:left="145"/>
              <w:rPr>
                <w:sz w:val="22"/>
              </w:rPr>
            </w:pPr>
            <w:r>
              <w:rPr>
                <w:spacing w:val="-5"/>
                <w:sz w:val="22"/>
              </w:rPr>
              <w:t>23</w:t>
            </w:r>
          </w:p>
        </w:tc>
        <w:tc>
          <w:tcPr>
            <w:tcW w:w="711" w:type="dxa"/>
            <w:shd w:val="clear" w:color="auto" w:fill="D2DFED"/>
          </w:tcPr>
          <w:p>
            <w:pPr>
              <w:pStyle w:val="TableParagraph"/>
              <w:spacing w:line="232" w:lineRule="exact"/>
              <w:ind w:left="107"/>
              <w:rPr>
                <w:sz w:val="22"/>
              </w:rPr>
            </w:pPr>
            <w:r>
              <w:rPr>
                <w:spacing w:val="-4"/>
                <w:sz w:val="22"/>
              </w:rPr>
              <w:t>0.74</w:t>
            </w:r>
          </w:p>
        </w:tc>
        <w:tc>
          <w:tcPr>
            <w:tcW w:w="916" w:type="dxa"/>
            <w:shd w:val="clear" w:color="auto" w:fill="D2DFED"/>
          </w:tcPr>
          <w:p>
            <w:pPr>
              <w:pStyle w:val="TableParagraph"/>
              <w:spacing w:line="232" w:lineRule="exact"/>
              <w:ind w:left="207"/>
              <w:rPr>
                <w:sz w:val="22"/>
              </w:rPr>
            </w:pPr>
            <w:r>
              <w:rPr>
                <w:spacing w:val="-10"/>
                <w:sz w:val="22"/>
              </w:rPr>
              <w:t>4</w:t>
            </w:r>
          </w:p>
        </w:tc>
      </w:tr>
      <w:tr>
        <w:trPr>
          <w:trHeight w:val="254" w:hRule="atLeast"/>
        </w:trPr>
        <w:tc>
          <w:tcPr>
            <w:tcW w:w="566" w:type="dxa"/>
          </w:tcPr>
          <w:p>
            <w:pPr>
              <w:pStyle w:val="TableParagraph"/>
              <w:spacing w:line="234" w:lineRule="exact"/>
              <w:ind w:left="122"/>
              <w:rPr>
                <w:b/>
                <w:sz w:val="22"/>
              </w:rPr>
            </w:pPr>
            <w:r>
              <w:rPr>
                <w:b/>
                <w:spacing w:val="-5"/>
                <w:sz w:val="22"/>
              </w:rPr>
              <w:t>(n)</w:t>
            </w:r>
          </w:p>
        </w:tc>
        <w:tc>
          <w:tcPr>
            <w:tcW w:w="2886" w:type="dxa"/>
            <w:vMerge w:val="restart"/>
          </w:tcPr>
          <w:p>
            <w:pPr>
              <w:pStyle w:val="TableParagraph"/>
              <w:tabs>
                <w:tab w:pos="1348" w:val="left" w:leader="none"/>
                <w:tab w:pos="2592" w:val="left" w:leader="none"/>
              </w:tabs>
              <w:spacing w:line="247" w:lineRule="exact"/>
              <w:ind w:left="113"/>
              <w:rPr>
                <w:sz w:val="22"/>
              </w:rPr>
            </w:pPr>
            <w:r>
              <w:rPr>
                <w:spacing w:val="-2"/>
                <w:sz w:val="22"/>
              </w:rPr>
              <w:t>Inadequate</w:t>
            </w:r>
            <w:r>
              <w:rPr>
                <w:sz w:val="22"/>
              </w:rPr>
              <w:tab/>
            </w:r>
            <w:r>
              <w:rPr>
                <w:spacing w:val="-2"/>
                <w:sz w:val="22"/>
              </w:rPr>
              <w:t>monitoring</w:t>
            </w:r>
            <w:r>
              <w:rPr>
                <w:sz w:val="22"/>
              </w:rPr>
              <w:tab/>
            </w:r>
            <w:r>
              <w:rPr>
                <w:spacing w:val="-5"/>
                <w:sz w:val="22"/>
              </w:rPr>
              <w:t>of</w:t>
            </w:r>
          </w:p>
          <w:p>
            <w:pPr>
              <w:pStyle w:val="TableParagraph"/>
              <w:spacing w:line="238" w:lineRule="exact" w:before="1"/>
              <w:ind w:left="113"/>
              <w:rPr>
                <w:sz w:val="22"/>
              </w:rPr>
            </w:pPr>
            <w:r>
              <w:rPr>
                <w:sz w:val="22"/>
              </w:rPr>
              <w:t>housing</w:t>
            </w:r>
            <w:r>
              <w:rPr>
                <w:spacing w:val="-6"/>
                <w:sz w:val="22"/>
              </w:rPr>
              <w:t> </w:t>
            </w:r>
            <w:r>
              <w:rPr>
                <w:sz w:val="22"/>
              </w:rPr>
              <w:t>projects</w:t>
            </w:r>
            <w:r>
              <w:rPr>
                <w:spacing w:val="-2"/>
                <w:sz w:val="22"/>
              </w:rPr>
              <w:t> execution</w:t>
            </w:r>
          </w:p>
        </w:tc>
        <w:tc>
          <w:tcPr>
            <w:tcW w:w="984" w:type="dxa"/>
          </w:tcPr>
          <w:p>
            <w:pPr>
              <w:pStyle w:val="TableParagraph"/>
              <w:rPr>
                <w:sz w:val="18"/>
              </w:rPr>
            </w:pPr>
          </w:p>
        </w:tc>
        <w:tc>
          <w:tcPr>
            <w:tcW w:w="789" w:type="dxa"/>
          </w:tcPr>
          <w:p>
            <w:pPr>
              <w:pStyle w:val="TableParagraph"/>
              <w:rPr>
                <w:sz w:val="18"/>
              </w:rPr>
            </w:pPr>
          </w:p>
        </w:tc>
        <w:tc>
          <w:tcPr>
            <w:tcW w:w="1013" w:type="dxa"/>
          </w:tcPr>
          <w:p>
            <w:pPr>
              <w:pStyle w:val="TableParagraph"/>
              <w:rPr>
                <w:sz w:val="18"/>
              </w:rPr>
            </w:pPr>
          </w:p>
        </w:tc>
        <w:tc>
          <w:tcPr>
            <w:tcW w:w="1048" w:type="dxa"/>
          </w:tcPr>
          <w:p>
            <w:pPr>
              <w:pStyle w:val="TableParagraph"/>
              <w:rPr>
                <w:sz w:val="18"/>
              </w:rPr>
            </w:pPr>
          </w:p>
        </w:tc>
        <w:tc>
          <w:tcPr>
            <w:tcW w:w="775" w:type="dxa"/>
          </w:tcPr>
          <w:p>
            <w:pPr>
              <w:pStyle w:val="TableParagraph"/>
              <w:rPr>
                <w:sz w:val="18"/>
              </w:rPr>
            </w:pPr>
          </w:p>
        </w:tc>
        <w:tc>
          <w:tcPr>
            <w:tcW w:w="711" w:type="dxa"/>
          </w:tcPr>
          <w:p>
            <w:pPr>
              <w:pStyle w:val="TableParagraph"/>
              <w:rPr>
                <w:sz w:val="18"/>
              </w:rPr>
            </w:pPr>
          </w:p>
        </w:tc>
        <w:tc>
          <w:tcPr>
            <w:tcW w:w="916" w:type="dxa"/>
          </w:tcPr>
          <w:p>
            <w:pPr>
              <w:pStyle w:val="TableParagraph"/>
              <w:rPr>
                <w:sz w:val="18"/>
              </w:rPr>
            </w:pPr>
          </w:p>
        </w:tc>
      </w:tr>
      <w:tr>
        <w:trPr>
          <w:trHeight w:val="252" w:hRule="atLeast"/>
        </w:trPr>
        <w:tc>
          <w:tcPr>
            <w:tcW w:w="566" w:type="dxa"/>
          </w:tcPr>
          <w:p>
            <w:pPr>
              <w:pStyle w:val="TableParagraph"/>
              <w:rPr>
                <w:sz w:val="18"/>
              </w:rPr>
            </w:pPr>
          </w:p>
        </w:tc>
        <w:tc>
          <w:tcPr>
            <w:tcW w:w="2886" w:type="dxa"/>
            <w:vMerge/>
            <w:tcBorders>
              <w:top w:val="nil"/>
            </w:tcBorders>
          </w:tcPr>
          <w:p>
            <w:pPr>
              <w:rPr>
                <w:sz w:val="2"/>
                <w:szCs w:val="2"/>
              </w:rPr>
            </w:pPr>
          </w:p>
        </w:tc>
        <w:tc>
          <w:tcPr>
            <w:tcW w:w="984" w:type="dxa"/>
          </w:tcPr>
          <w:p>
            <w:pPr>
              <w:pStyle w:val="TableParagraph"/>
              <w:spacing w:line="232" w:lineRule="exact"/>
              <w:ind w:left="107"/>
              <w:rPr>
                <w:sz w:val="22"/>
              </w:rPr>
            </w:pPr>
            <w:r>
              <w:rPr>
                <w:spacing w:val="-5"/>
                <w:sz w:val="22"/>
              </w:rPr>
              <w:t>70</w:t>
            </w:r>
          </w:p>
        </w:tc>
        <w:tc>
          <w:tcPr>
            <w:tcW w:w="789" w:type="dxa"/>
          </w:tcPr>
          <w:p>
            <w:pPr>
              <w:pStyle w:val="TableParagraph"/>
              <w:spacing w:line="232" w:lineRule="exact"/>
              <w:ind w:left="114"/>
              <w:rPr>
                <w:sz w:val="22"/>
              </w:rPr>
            </w:pPr>
            <w:r>
              <w:rPr>
                <w:spacing w:val="-5"/>
                <w:sz w:val="22"/>
              </w:rPr>
              <w:t>31</w:t>
            </w:r>
          </w:p>
        </w:tc>
        <w:tc>
          <w:tcPr>
            <w:tcW w:w="1013" w:type="dxa"/>
          </w:tcPr>
          <w:p>
            <w:pPr>
              <w:pStyle w:val="TableParagraph"/>
              <w:spacing w:line="232" w:lineRule="exact"/>
              <w:ind w:left="135"/>
              <w:rPr>
                <w:sz w:val="22"/>
              </w:rPr>
            </w:pPr>
            <w:r>
              <w:rPr>
                <w:spacing w:val="-5"/>
                <w:sz w:val="22"/>
              </w:rPr>
              <w:t>16</w:t>
            </w:r>
          </w:p>
        </w:tc>
        <w:tc>
          <w:tcPr>
            <w:tcW w:w="1048" w:type="dxa"/>
          </w:tcPr>
          <w:p>
            <w:pPr>
              <w:pStyle w:val="TableParagraph"/>
              <w:spacing w:line="232" w:lineRule="exact"/>
              <w:ind w:left="113"/>
              <w:rPr>
                <w:sz w:val="22"/>
              </w:rPr>
            </w:pPr>
            <w:r>
              <w:rPr>
                <w:spacing w:val="-10"/>
                <w:sz w:val="22"/>
              </w:rPr>
              <w:t>0</w:t>
            </w:r>
          </w:p>
        </w:tc>
        <w:tc>
          <w:tcPr>
            <w:tcW w:w="775" w:type="dxa"/>
          </w:tcPr>
          <w:p>
            <w:pPr>
              <w:pStyle w:val="TableParagraph"/>
              <w:spacing w:line="232" w:lineRule="exact"/>
              <w:ind w:left="145"/>
              <w:rPr>
                <w:sz w:val="22"/>
              </w:rPr>
            </w:pPr>
            <w:r>
              <w:rPr>
                <w:spacing w:val="-5"/>
                <w:sz w:val="22"/>
              </w:rPr>
              <w:t>39</w:t>
            </w:r>
          </w:p>
        </w:tc>
        <w:tc>
          <w:tcPr>
            <w:tcW w:w="711" w:type="dxa"/>
          </w:tcPr>
          <w:p>
            <w:pPr>
              <w:pStyle w:val="TableParagraph"/>
              <w:spacing w:line="232" w:lineRule="exact"/>
              <w:ind w:left="107"/>
              <w:rPr>
                <w:sz w:val="22"/>
              </w:rPr>
            </w:pPr>
            <w:r>
              <w:rPr>
                <w:spacing w:val="-4"/>
                <w:sz w:val="22"/>
              </w:rPr>
              <w:t>0.72</w:t>
            </w:r>
          </w:p>
        </w:tc>
        <w:tc>
          <w:tcPr>
            <w:tcW w:w="916" w:type="dxa"/>
          </w:tcPr>
          <w:p>
            <w:pPr>
              <w:pStyle w:val="TableParagraph"/>
              <w:spacing w:line="232" w:lineRule="exact"/>
              <w:ind w:left="207"/>
              <w:rPr>
                <w:sz w:val="22"/>
              </w:rPr>
            </w:pPr>
            <w:r>
              <w:rPr>
                <w:spacing w:val="-10"/>
                <w:sz w:val="22"/>
              </w:rPr>
              <w:t>5</w:t>
            </w:r>
          </w:p>
        </w:tc>
      </w:tr>
      <w:tr>
        <w:trPr>
          <w:trHeight w:val="254" w:hRule="atLeast"/>
        </w:trPr>
        <w:tc>
          <w:tcPr>
            <w:tcW w:w="566" w:type="dxa"/>
            <w:shd w:val="clear" w:color="auto" w:fill="D2DFED"/>
          </w:tcPr>
          <w:p>
            <w:pPr>
              <w:pStyle w:val="TableParagraph"/>
              <w:spacing w:line="234" w:lineRule="exact"/>
              <w:ind w:left="122"/>
              <w:rPr>
                <w:b/>
                <w:sz w:val="22"/>
              </w:rPr>
            </w:pPr>
            <w:r>
              <w:rPr>
                <w:b/>
                <w:spacing w:val="-5"/>
                <w:sz w:val="22"/>
              </w:rPr>
              <w:t>(o)</w:t>
            </w:r>
          </w:p>
        </w:tc>
        <w:tc>
          <w:tcPr>
            <w:tcW w:w="2886" w:type="dxa"/>
            <w:vMerge w:val="restart"/>
            <w:shd w:val="clear" w:color="auto" w:fill="D2DFED"/>
          </w:tcPr>
          <w:p>
            <w:pPr>
              <w:pStyle w:val="TableParagraph"/>
              <w:spacing w:line="247" w:lineRule="exact"/>
              <w:ind w:left="113"/>
              <w:rPr>
                <w:sz w:val="22"/>
              </w:rPr>
            </w:pPr>
            <w:r>
              <w:rPr>
                <w:sz w:val="22"/>
              </w:rPr>
              <w:t>Lack</w:t>
            </w:r>
            <w:r>
              <w:rPr>
                <w:spacing w:val="14"/>
                <w:sz w:val="22"/>
              </w:rPr>
              <w:t> </w:t>
            </w:r>
            <w:r>
              <w:rPr>
                <w:sz w:val="22"/>
              </w:rPr>
              <w:t>of</w:t>
            </w:r>
            <w:r>
              <w:rPr>
                <w:spacing w:val="17"/>
                <w:sz w:val="22"/>
              </w:rPr>
              <w:t> </w:t>
            </w:r>
            <w:r>
              <w:rPr>
                <w:sz w:val="22"/>
              </w:rPr>
              <w:t>good</w:t>
            </w:r>
            <w:r>
              <w:rPr>
                <w:spacing w:val="18"/>
                <w:sz w:val="22"/>
              </w:rPr>
              <w:t> </w:t>
            </w:r>
            <w:r>
              <w:rPr>
                <w:sz w:val="22"/>
              </w:rPr>
              <w:t>quality</w:t>
            </w:r>
            <w:r>
              <w:rPr>
                <w:spacing w:val="14"/>
                <w:sz w:val="22"/>
              </w:rPr>
              <w:t> </w:t>
            </w:r>
            <w:r>
              <w:rPr>
                <w:sz w:val="22"/>
              </w:rPr>
              <w:t>data</w:t>
            </w:r>
            <w:r>
              <w:rPr>
                <w:spacing w:val="13"/>
                <w:sz w:val="22"/>
              </w:rPr>
              <w:t> </w:t>
            </w:r>
            <w:r>
              <w:rPr>
                <w:spacing w:val="-5"/>
                <w:sz w:val="22"/>
              </w:rPr>
              <w:t>for</w:t>
            </w:r>
          </w:p>
          <w:p>
            <w:pPr>
              <w:pStyle w:val="TableParagraph"/>
              <w:spacing w:line="238" w:lineRule="exact" w:before="1"/>
              <w:ind w:left="113"/>
              <w:rPr>
                <w:sz w:val="22"/>
              </w:rPr>
            </w:pPr>
            <w:r>
              <w:rPr>
                <w:sz w:val="22"/>
              </w:rPr>
              <w:t>budget</w:t>
            </w:r>
            <w:r>
              <w:rPr>
                <w:spacing w:val="-2"/>
                <w:sz w:val="22"/>
              </w:rPr>
              <w:t> </w:t>
            </w:r>
            <w:r>
              <w:rPr>
                <w:sz w:val="22"/>
              </w:rPr>
              <w:t>preparation,</w:t>
            </w:r>
            <w:r>
              <w:rPr>
                <w:spacing w:val="-4"/>
                <w:sz w:val="22"/>
              </w:rPr>
              <w:t> </w:t>
            </w:r>
            <w:r>
              <w:rPr>
                <w:sz w:val="22"/>
              </w:rPr>
              <w:t>M</w:t>
            </w:r>
            <w:r>
              <w:rPr>
                <w:spacing w:val="-2"/>
                <w:sz w:val="22"/>
              </w:rPr>
              <w:t> </w:t>
            </w:r>
            <w:r>
              <w:rPr>
                <w:sz w:val="22"/>
              </w:rPr>
              <w:t>&amp;</w:t>
            </w:r>
            <w:r>
              <w:rPr>
                <w:spacing w:val="-3"/>
                <w:sz w:val="22"/>
              </w:rPr>
              <w:t> </w:t>
            </w:r>
            <w:r>
              <w:rPr>
                <w:spacing w:val="-10"/>
                <w:sz w:val="22"/>
              </w:rPr>
              <w:t>E</w:t>
            </w:r>
          </w:p>
        </w:tc>
        <w:tc>
          <w:tcPr>
            <w:tcW w:w="984" w:type="dxa"/>
            <w:shd w:val="clear" w:color="auto" w:fill="D2DFED"/>
          </w:tcPr>
          <w:p>
            <w:pPr>
              <w:pStyle w:val="TableParagraph"/>
              <w:rPr>
                <w:sz w:val="18"/>
              </w:rPr>
            </w:pPr>
          </w:p>
        </w:tc>
        <w:tc>
          <w:tcPr>
            <w:tcW w:w="789" w:type="dxa"/>
            <w:shd w:val="clear" w:color="auto" w:fill="D2DFED"/>
          </w:tcPr>
          <w:p>
            <w:pPr>
              <w:pStyle w:val="TableParagraph"/>
              <w:rPr>
                <w:sz w:val="18"/>
              </w:rPr>
            </w:pPr>
          </w:p>
        </w:tc>
        <w:tc>
          <w:tcPr>
            <w:tcW w:w="1013" w:type="dxa"/>
            <w:shd w:val="clear" w:color="auto" w:fill="D2DFED"/>
          </w:tcPr>
          <w:p>
            <w:pPr>
              <w:pStyle w:val="TableParagraph"/>
              <w:rPr>
                <w:sz w:val="18"/>
              </w:rPr>
            </w:pPr>
          </w:p>
        </w:tc>
        <w:tc>
          <w:tcPr>
            <w:tcW w:w="1048" w:type="dxa"/>
            <w:shd w:val="clear" w:color="auto" w:fill="D2DFED"/>
          </w:tcPr>
          <w:p>
            <w:pPr>
              <w:pStyle w:val="TableParagraph"/>
              <w:rPr>
                <w:sz w:val="18"/>
              </w:rPr>
            </w:pPr>
          </w:p>
        </w:tc>
        <w:tc>
          <w:tcPr>
            <w:tcW w:w="775" w:type="dxa"/>
            <w:shd w:val="clear" w:color="auto" w:fill="D2DFED"/>
          </w:tcPr>
          <w:p>
            <w:pPr>
              <w:pStyle w:val="TableParagraph"/>
              <w:rPr>
                <w:sz w:val="18"/>
              </w:rPr>
            </w:pPr>
          </w:p>
        </w:tc>
        <w:tc>
          <w:tcPr>
            <w:tcW w:w="711" w:type="dxa"/>
            <w:shd w:val="clear" w:color="auto" w:fill="D2DFED"/>
          </w:tcPr>
          <w:p>
            <w:pPr>
              <w:pStyle w:val="TableParagraph"/>
              <w:rPr>
                <w:sz w:val="18"/>
              </w:rPr>
            </w:pPr>
          </w:p>
        </w:tc>
        <w:tc>
          <w:tcPr>
            <w:tcW w:w="916" w:type="dxa"/>
            <w:shd w:val="clear" w:color="auto" w:fill="D2DFED"/>
          </w:tcPr>
          <w:p>
            <w:pPr>
              <w:pStyle w:val="TableParagraph"/>
              <w:rPr>
                <w:sz w:val="18"/>
              </w:rPr>
            </w:pPr>
          </w:p>
        </w:tc>
      </w:tr>
      <w:tr>
        <w:trPr>
          <w:trHeight w:val="252" w:hRule="atLeast"/>
        </w:trPr>
        <w:tc>
          <w:tcPr>
            <w:tcW w:w="566" w:type="dxa"/>
            <w:shd w:val="clear" w:color="auto" w:fill="D2DFED"/>
          </w:tcPr>
          <w:p>
            <w:pPr>
              <w:pStyle w:val="TableParagraph"/>
              <w:rPr>
                <w:sz w:val="18"/>
              </w:rPr>
            </w:pPr>
          </w:p>
        </w:tc>
        <w:tc>
          <w:tcPr>
            <w:tcW w:w="2886" w:type="dxa"/>
            <w:vMerge/>
            <w:tcBorders>
              <w:top w:val="nil"/>
            </w:tcBorders>
            <w:shd w:val="clear" w:color="auto" w:fill="D2DFED"/>
          </w:tcPr>
          <w:p>
            <w:pPr>
              <w:rPr>
                <w:sz w:val="2"/>
                <w:szCs w:val="2"/>
              </w:rPr>
            </w:pPr>
          </w:p>
        </w:tc>
        <w:tc>
          <w:tcPr>
            <w:tcW w:w="984" w:type="dxa"/>
            <w:shd w:val="clear" w:color="auto" w:fill="D2DFED"/>
          </w:tcPr>
          <w:p>
            <w:pPr>
              <w:pStyle w:val="TableParagraph"/>
              <w:spacing w:line="232" w:lineRule="exact"/>
              <w:ind w:left="107"/>
              <w:rPr>
                <w:sz w:val="22"/>
              </w:rPr>
            </w:pPr>
            <w:r>
              <w:rPr>
                <w:spacing w:val="-5"/>
                <w:sz w:val="22"/>
              </w:rPr>
              <w:t>78</w:t>
            </w:r>
          </w:p>
        </w:tc>
        <w:tc>
          <w:tcPr>
            <w:tcW w:w="789" w:type="dxa"/>
            <w:shd w:val="clear" w:color="auto" w:fill="D2DFED"/>
          </w:tcPr>
          <w:p>
            <w:pPr>
              <w:pStyle w:val="TableParagraph"/>
              <w:spacing w:line="232" w:lineRule="exact"/>
              <w:ind w:left="114"/>
              <w:rPr>
                <w:sz w:val="22"/>
              </w:rPr>
            </w:pPr>
            <w:r>
              <w:rPr>
                <w:spacing w:val="-5"/>
                <w:sz w:val="22"/>
              </w:rPr>
              <w:t>16</w:t>
            </w:r>
          </w:p>
        </w:tc>
        <w:tc>
          <w:tcPr>
            <w:tcW w:w="1013" w:type="dxa"/>
            <w:shd w:val="clear" w:color="auto" w:fill="D2DFED"/>
          </w:tcPr>
          <w:p>
            <w:pPr>
              <w:pStyle w:val="TableParagraph"/>
              <w:spacing w:line="232" w:lineRule="exact"/>
              <w:ind w:left="135"/>
              <w:rPr>
                <w:sz w:val="22"/>
              </w:rPr>
            </w:pPr>
            <w:r>
              <w:rPr>
                <w:spacing w:val="-5"/>
                <w:sz w:val="22"/>
              </w:rPr>
              <w:t>16</w:t>
            </w:r>
          </w:p>
        </w:tc>
        <w:tc>
          <w:tcPr>
            <w:tcW w:w="1048" w:type="dxa"/>
            <w:shd w:val="clear" w:color="auto" w:fill="D2DFED"/>
          </w:tcPr>
          <w:p>
            <w:pPr>
              <w:pStyle w:val="TableParagraph"/>
              <w:spacing w:line="232" w:lineRule="exact"/>
              <w:ind w:left="113"/>
              <w:rPr>
                <w:sz w:val="22"/>
              </w:rPr>
            </w:pPr>
            <w:r>
              <w:rPr>
                <w:spacing w:val="-10"/>
                <w:sz w:val="22"/>
              </w:rPr>
              <w:t>0</w:t>
            </w:r>
          </w:p>
        </w:tc>
        <w:tc>
          <w:tcPr>
            <w:tcW w:w="775" w:type="dxa"/>
            <w:shd w:val="clear" w:color="auto" w:fill="D2DFED"/>
          </w:tcPr>
          <w:p>
            <w:pPr>
              <w:pStyle w:val="TableParagraph"/>
              <w:spacing w:line="232" w:lineRule="exact"/>
              <w:ind w:left="145"/>
              <w:rPr>
                <w:sz w:val="22"/>
              </w:rPr>
            </w:pPr>
            <w:r>
              <w:rPr>
                <w:spacing w:val="-5"/>
                <w:sz w:val="22"/>
              </w:rPr>
              <w:t>46</w:t>
            </w:r>
          </w:p>
        </w:tc>
        <w:tc>
          <w:tcPr>
            <w:tcW w:w="711" w:type="dxa"/>
            <w:shd w:val="clear" w:color="auto" w:fill="D2DFED"/>
          </w:tcPr>
          <w:p>
            <w:pPr>
              <w:pStyle w:val="TableParagraph"/>
              <w:spacing w:line="232" w:lineRule="exact"/>
              <w:ind w:left="107"/>
              <w:rPr>
                <w:sz w:val="22"/>
              </w:rPr>
            </w:pPr>
            <w:r>
              <w:rPr>
                <w:spacing w:val="-4"/>
                <w:sz w:val="22"/>
              </w:rPr>
              <w:t>0.70</w:t>
            </w:r>
          </w:p>
        </w:tc>
        <w:tc>
          <w:tcPr>
            <w:tcW w:w="916" w:type="dxa"/>
            <w:shd w:val="clear" w:color="auto" w:fill="D2DFED"/>
          </w:tcPr>
          <w:p>
            <w:pPr>
              <w:pStyle w:val="TableParagraph"/>
              <w:spacing w:line="232" w:lineRule="exact"/>
              <w:ind w:left="207"/>
              <w:rPr>
                <w:sz w:val="22"/>
              </w:rPr>
            </w:pPr>
            <w:r>
              <w:rPr>
                <w:spacing w:val="-10"/>
                <w:sz w:val="22"/>
              </w:rPr>
              <w:t>6</w:t>
            </w:r>
          </w:p>
        </w:tc>
      </w:tr>
      <w:tr>
        <w:trPr>
          <w:trHeight w:val="251" w:hRule="atLeast"/>
        </w:trPr>
        <w:tc>
          <w:tcPr>
            <w:tcW w:w="566" w:type="dxa"/>
          </w:tcPr>
          <w:p>
            <w:pPr>
              <w:pStyle w:val="TableParagraph"/>
              <w:spacing w:line="232" w:lineRule="exact"/>
              <w:ind w:left="122"/>
              <w:rPr>
                <w:b/>
                <w:sz w:val="22"/>
              </w:rPr>
            </w:pPr>
            <w:r>
              <w:rPr>
                <w:b/>
                <w:spacing w:val="-5"/>
                <w:sz w:val="22"/>
              </w:rPr>
              <w:t>(p)</w:t>
            </w:r>
          </w:p>
        </w:tc>
        <w:tc>
          <w:tcPr>
            <w:tcW w:w="2886" w:type="dxa"/>
          </w:tcPr>
          <w:p>
            <w:pPr>
              <w:pStyle w:val="TableParagraph"/>
              <w:spacing w:line="232" w:lineRule="exact"/>
              <w:ind w:left="113"/>
              <w:rPr>
                <w:sz w:val="22"/>
              </w:rPr>
            </w:pPr>
            <w:r>
              <w:rPr>
                <w:sz w:val="22"/>
              </w:rPr>
              <w:t>Deferred</w:t>
            </w:r>
            <w:r>
              <w:rPr>
                <w:spacing w:val="-5"/>
                <w:sz w:val="22"/>
              </w:rPr>
              <w:t> </w:t>
            </w:r>
            <w:r>
              <w:rPr>
                <w:spacing w:val="-2"/>
                <w:sz w:val="22"/>
              </w:rPr>
              <w:t>budgeting</w:t>
            </w:r>
          </w:p>
        </w:tc>
        <w:tc>
          <w:tcPr>
            <w:tcW w:w="984" w:type="dxa"/>
          </w:tcPr>
          <w:p>
            <w:pPr>
              <w:pStyle w:val="TableParagraph"/>
              <w:spacing w:line="232" w:lineRule="exact"/>
              <w:ind w:left="107"/>
              <w:rPr>
                <w:sz w:val="22"/>
              </w:rPr>
            </w:pPr>
            <w:r>
              <w:rPr>
                <w:spacing w:val="-5"/>
                <w:sz w:val="22"/>
              </w:rPr>
              <w:t>55</w:t>
            </w:r>
          </w:p>
        </w:tc>
        <w:tc>
          <w:tcPr>
            <w:tcW w:w="789" w:type="dxa"/>
          </w:tcPr>
          <w:p>
            <w:pPr>
              <w:pStyle w:val="TableParagraph"/>
              <w:spacing w:line="232" w:lineRule="exact"/>
              <w:ind w:left="114"/>
              <w:rPr>
                <w:sz w:val="22"/>
              </w:rPr>
            </w:pPr>
            <w:r>
              <w:rPr>
                <w:spacing w:val="-5"/>
                <w:sz w:val="22"/>
              </w:rPr>
              <w:t>78</w:t>
            </w:r>
          </w:p>
        </w:tc>
        <w:tc>
          <w:tcPr>
            <w:tcW w:w="1013" w:type="dxa"/>
          </w:tcPr>
          <w:p>
            <w:pPr>
              <w:pStyle w:val="TableParagraph"/>
              <w:spacing w:line="232" w:lineRule="exact"/>
              <w:ind w:left="135"/>
              <w:rPr>
                <w:sz w:val="22"/>
              </w:rPr>
            </w:pPr>
            <w:r>
              <w:rPr>
                <w:spacing w:val="-10"/>
                <w:sz w:val="22"/>
              </w:rPr>
              <w:t>8</w:t>
            </w:r>
          </w:p>
        </w:tc>
        <w:tc>
          <w:tcPr>
            <w:tcW w:w="1048" w:type="dxa"/>
          </w:tcPr>
          <w:p>
            <w:pPr>
              <w:pStyle w:val="TableParagraph"/>
              <w:spacing w:line="232" w:lineRule="exact"/>
              <w:ind w:left="113"/>
              <w:rPr>
                <w:sz w:val="22"/>
              </w:rPr>
            </w:pPr>
            <w:r>
              <w:rPr>
                <w:spacing w:val="-10"/>
                <w:sz w:val="22"/>
              </w:rPr>
              <w:t>0</w:t>
            </w:r>
          </w:p>
        </w:tc>
        <w:tc>
          <w:tcPr>
            <w:tcW w:w="775" w:type="dxa"/>
          </w:tcPr>
          <w:p>
            <w:pPr>
              <w:pStyle w:val="TableParagraph"/>
              <w:spacing w:line="232" w:lineRule="exact"/>
              <w:ind w:left="145"/>
              <w:rPr>
                <w:sz w:val="22"/>
              </w:rPr>
            </w:pPr>
            <w:r>
              <w:rPr>
                <w:spacing w:val="-5"/>
                <w:sz w:val="22"/>
              </w:rPr>
              <w:t>15</w:t>
            </w:r>
          </w:p>
        </w:tc>
        <w:tc>
          <w:tcPr>
            <w:tcW w:w="711" w:type="dxa"/>
          </w:tcPr>
          <w:p>
            <w:pPr>
              <w:pStyle w:val="TableParagraph"/>
              <w:spacing w:line="232" w:lineRule="exact"/>
              <w:ind w:left="107"/>
              <w:rPr>
                <w:sz w:val="22"/>
              </w:rPr>
            </w:pPr>
            <w:r>
              <w:rPr>
                <w:spacing w:val="-4"/>
                <w:sz w:val="22"/>
              </w:rPr>
              <w:t>0.80</w:t>
            </w:r>
          </w:p>
        </w:tc>
        <w:tc>
          <w:tcPr>
            <w:tcW w:w="916" w:type="dxa"/>
          </w:tcPr>
          <w:p>
            <w:pPr>
              <w:pStyle w:val="TableParagraph"/>
              <w:spacing w:line="232" w:lineRule="exact"/>
              <w:ind w:left="207"/>
              <w:rPr>
                <w:sz w:val="22"/>
              </w:rPr>
            </w:pPr>
            <w:r>
              <w:rPr>
                <w:spacing w:val="-10"/>
                <w:sz w:val="22"/>
              </w:rPr>
              <w:t>3</w:t>
            </w:r>
          </w:p>
        </w:tc>
      </w:tr>
      <w:tr>
        <w:trPr>
          <w:trHeight w:val="254" w:hRule="atLeast"/>
        </w:trPr>
        <w:tc>
          <w:tcPr>
            <w:tcW w:w="566" w:type="dxa"/>
            <w:shd w:val="clear" w:color="auto" w:fill="D2DFED"/>
          </w:tcPr>
          <w:p>
            <w:pPr>
              <w:pStyle w:val="TableParagraph"/>
              <w:spacing w:line="234" w:lineRule="exact"/>
              <w:ind w:left="122"/>
              <w:rPr>
                <w:b/>
                <w:sz w:val="22"/>
              </w:rPr>
            </w:pPr>
            <w:r>
              <w:rPr>
                <w:b/>
                <w:spacing w:val="-5"/>
                <w:sz w:val="22"/>
              </w:rPr>
              <w:t>(q)</w:t>
            </w:r>
          </w:p>
        </w:tc>
        <w:tc>
          <w:tcPr>
            <w:tcW w:w="2886" w:type="dxa"/>
            <w:vMerge w:val="restart"/>
            <w:shd w:val="clear" w:color="auto" w:fill="D2DFED"/>
          </w:tcPr>
          <w:p>
            <w:pPr>
              <w:pStyle w:val="TableParagraph"/>
              <w:spacing w:line="247" w:lineRule="exact"/>
              <w:ind w:left="113"/>
              <w:rPr>
                <w:sz w:val="22"/>
              </w:rPr>
            </w:pPr>
            <w:r>
              <w:rPr>
                <w:sz w:val="22"/>
              </w:rPr>
              <w:t>Lack</w:t>
            </w:r>
            <w:r>
              <w:rPr>
                <w:spacing w:val="-1"/>
                <w:sz w:val="22"/>
              </w:rPr>
              <w:t> </w:t>
            </w:r>
            <w:r>
              <w:rPr>
                <w:sz w:val="22"/>
              </w:rPr>
              <w:t>of</w:t>
            </w:r>
            <w:r>
              <w:rPr>
                <w:spacing w:val="3"/>
                <w:sz w:val="22"/>
              </w:rPr>
              <w:t> </w:t>
            </w:r>
            <w:r>
              <w:rPr>
                <w:sz w:val="22"/>
              </w:rPr>
              <w:t>criteria</w:t>
            </w:r>
            <w:r>
              <w:rPr>
                <w:spacing w:val="-1"/>
                <w:sz w:val="22"/>
              </w:rPr>
              <w:t> </w:t>
            </w:r>
            <w:r>
              <w:rPr>
                <w:sz w:val="22"/>
              </w:rPr>
              <w:t>for</w:t>
            </w:r>
            <w:r>
              <w:rPr>
                <w:spacing w:val="4"/>
                <w:sz w:val="22"/>
              </w:rPr>
              <w:t> </w:t>
            </w:r>
            <w:r>
              <w:rPr>
                <w:spacing w:val="-2"/>
                <w:sz w:val="22"/>
              </w:rPr>
              <w:t>stipulating</w:t>
            </w:r>
          </w:p>
          <w:p>
            <w:pPr>
              <w:pStyle w:val="TableParagraph"/>
              <w:spacing w:line="238" w:lineRule="exact" w:before="1"/>
              <w:ind w:left="113"/>
              <w:rPr>
                <w:sz w:val="22"/>
              </w:rPr>
            </w:pPr>
            <w:r>
              <w:rPr>
                <w:sz w:val="22"/>
              </w:rPr>
              <w:t>housing</w:t>
            </w:r>
            <w:r>
              <w:rPr>
                <w:spacing w:val="-5"/>
                <w:sz w:val="22"/>
              </w:rPr>
              <w:t> </w:t>
            </w:r>
            <w:r>
              <w:rPr>
                <w:sz w:val="22"/>
              </w:rPr>
              <w:t>budget</w:t>
            </w:r>
            <w:r>
              <w:rPr>
                <w:spacing w:val="-1"/>
                <w:sz w:val="22"/>
              </w:rPr>
              <w:t> </w:t>
            </w:r>
            <w:r>
              <w:rPr>
                <w:spacing w:val="-2"/>
                <w:sz w:val="22"/>
              </w:rPr>
              <w:t>ceilings</w:t>
            </w:r>
          </w:p>
        </w:tc>
        <w:tc>
          <w:tcPr>
            <w:tcW w:w="984" w:type="dxa"/>
            <w:shd w:val="clear" w:color="auto" w:fill="D2DFED"/>
          </w:tcPr>
          <w:p>
            <w:pPr>
              <w:pStyle w:val="TableParagraph"/>
              <w:rPr>
                <w:sz w:val="18"/>
              </w:rPr>
            </w:pPr>
          </w:p>
        </w:tc>
        <w:tc>
          <w:tcPr>
            <w:tcW w:w="789" w:type="dxa"/>
            <w:shd w:val="clear" w:color="auto" w:fill="D2DFED"/>
          </w:tcPr>
          <w:p>
            <w:pPr>
              <w:pStyle w:val="TableParagraph"/>
              <w:rPr>
                <w:sz w:val="18"/>
              </w:rPr>
            </w:pPr>
          </w:p>
        </w:tc>
        <w:tc>
          <w:tcPr>
            <w:tcW w:w="1013" w:type="dxa"/>
            <w:shd w:val="clear" w:color="auto" w:fill="D2DFED"/>
          </w:tcPr>
          <w:p>
            <w:pPr>
              <w:pStyle w:val="TableParagraph"/>
              <w:rPr>
                <w:sz w:val="18"/>
              </w:rPr>
            </w:pPr>
          </w:p>
        </w:tc>
        <w:tc>
          <w:tcPr>
            <w:tcW w:w="1048" w:type="dxa"/>
            <w:shd w:val="clear" w:color="auto" w:fill="D2DFED"/>
          </w:tcPr>
          <w:p>
            <w:pPr>
              <w:pStyle w:val="TableParagraph"/>
              <w:rPr>
                <w:sz w:val="18"/>
              </w:rPr>
            </w:pPr>
          </w:p>
        </w:tc>
        <w:tc>
          <w:tcPr>
            <w:tcW w:w="775" w:type="dxa"/>
            <w:shd w:val="clear" w:color="auto" w:fill="D2DFED"/>
          </w:tcPr>
          <w:p>
            <w:pPr>
              <w:pStyle w:val="TableParagraph"/>
              <w:rPr>
                <w:sz w:val="18"/>
              </w:rPr>
            </w:pPr>
          </w:p>
        </w:tc>
        <w:tc>
          <w:tcPr>
            <w:tcW w:w="711" w:type="dxa"/>
            <w:shd w:val="clear" w:color="auto" w:fill="D2DFED"/>
          </w:tcPr>
          <w:p>
            <w:pPr>
              <w:pStyle w:val="TableParagraph"/>
              <w:rPr>
                <w:sz w:val="18"/>
              </w:rPr>
            </w:pPr>
          </w:p>
        </w:tc>
        <w:tc>
          <w:tcPr>
            <w:tcW w:w="916" w:type="dxa"/>
            <w:shd w:val="clear" w:color="auto" w:fill="D2DFED"/>
          </w:tcPr>
          <w:p>
            <w:pPr>
              <w:pStyle w:val="TableParagraph"/>
              <w:rPr>
                <w:sz w:val="18"/>
              </w:rPr>
            </w:pPr>
          </w:p>
        </w:tc>
      </w:tr>
      <w:tr>
        <w:trPr>
          <w:trHeight w:val="252" w:hRule="atLeast"/>
        </w:trPr>
        <w:tc>
          <w:tcPr>
            <w:tcW w:w="566" w:type="dxa"/>
            <w:shd w:val="clear" w:color="auto" w:fill="D2DFED"/>
          </w:tcPr>
          <w:p>
            <w:pPr>
              <w:pStyle w:val="TableParagraph"/>
              <w:rPr>
                <w:sz w:val="18"/>
              </w:rPr>
            </w:pPr>
          </w:p>
        </w:tc>
        <w:tc>
          <w:tcPr>
            <w:tcW w:w="2886" w:type="dxa"/>
            <w:vMerge/>
            <w:tcBorders>
              <w:top w:val="nil"/>
            </w:tcBorders>
            <w:shd w:val="clear" w:color="auto" w:fill="D2DFED"/>
          </w:tcPr>
          <w:p>
            <w:pPr>
              <w:rPr>
                <w:sz w:val="2"/>
                <w:szCs w:val="2"/>
              </w:rPr>
            </w:pPr>
          </w:p>
        </w:tc>
        <w:tc>
          <w:tcPr>
            <w:tcW w:w="984" w:type="dxa"/>
            <w:shd w:val="clear" w:color="auto" w:fill="D2DFED"/>
          </w:tcPr>
          <w:p>
            <w:pPr>
              <w:pStyle w:val="TableParagraph"/>
              <w:spacing w:line="232" w:lineRule="exact"/>
              <w:ind w:left="107"/>
              <w:rPr>
                <w:sz w:val="22"/>
              </w:rPr>
            </w:pPr>
            <w:r>
              <w:rPr>
                <w:spacing w:val="-10"/>
                <w:sz w:val="22"/>
              </w:rPr>
              <w:t>0</w:t>
            </w:r>
          </w:p>
        </w:tc>
        <w:tc>
          <w:tcPr>
            <w:tcW w:w="789" w:type="dxa"/>
            <w:shd w:val="clear" w:color="auto" w:fill="D2DFED"/>
          </w:tcPr>
          <w:p>
            <w:pPr>
              <w:pStyle w:val="TableParagraph"/>
              <w:spacing w:line="232" w:lineRule="exact"/>
              <w:ind w:left="114"/>
              <w:rPr>
                <w:sz w:val="22"/>
              </w:rPr>
            </w:pPr>
            <w:r>
              <w:rPr>
                <w:spacing w:val="-5"/>
                <w:sz w:val="22"/>
              </w:rPr>
              <w:t>94</w:t>
            </w:r>
          </w:p>
        </w:tc>
        <w:tc>
          <w:tcPr>
            <w:tcW w:w="1013" w:type="dxa"/>
            <w:shd w:val="clear" w:color="auto" w:fill="D2DFED"/>
          </w:tcPr>
          <w:p>
            <w:pPr>
              <w:pStyle w:val="TableParagraph"/>
              <w:spacing w:line="232" w:lineRule="exact"/>
              <w:ind w:left="135"/>
              <w:rPr>
                <w:sz w:val="22"/>
              </w:rPr>
            </w:pPr>
            <w:r>
              <w:rPr>
                <w:spacing w:val="-5"/>
                <w:sz w:val="22"/>
              </w:rPr>
              <w:t>48</w:t>
            </w:r>
          </w:p>
        </w:tc>
        <w:tc>
          <w:tcPr>
            <w:tcW w:w="1048" w:type="dxa"/>
            <w:shd w:val="clear" w:color="auto" w:fill="D2DFED"/>
          </w:tcPr>
          <w:p>
            <w:pPr>
              <w:pStyle w:val="TableParagraph"/>
              <w:spacing w:line="232" w:lineRule="exact"/>
              <w:ind w:left="113"/>
              <w:rPr>
                <w:sz w:val="22"/>
              </w:rPr>
            </w:pPr>
            <w:r>
              <w:rPr>
                <w:spacing w:val="-10"/>
                <w:sz w:val="22"/>
              </w:rPr>
              <w:t>3</w:t>
            </w:r>
          </w:p>
        </w:tc>
        <w:tc>
          <w:tcPr>
            <w:tcW w:w="775" w:type="dxa"/>
            <w:shd w:val="clear" w:color="auto" w:fill="D2DFED"/>
          </w:tcPr>
          <w:p>
            <w:pPr>
              <w:pStyle w:val="TableParagraph"/>
              <w:spacing w:line="232" w:lineRule="exact"/>
              <w:ind w:left="145"/>
              <w:rPr>
                <w:sz w:val="22"/>
              </w:rPr>
            </w:pPr>
            <w:r>
              <w:rPr>
                <w:spacing w:val="-5"/>
                <w:sz w:val="22"/>
              </w:rPr>
              <w:t>11</w:t>
            </w:r>
          </w:p>
        </w:tc>
        <w:tc>
          <w:tcPr>
            <w:tcW w:w="711" w:type="dxa"/>
            <w:shd w:val="clear" w:color="auto" w:fill="D2DFED"/>
          </w:tcPr>
          <w:p>
            <w:pPr>
              <w:pStyle w:val="TableParagraph"/>
              <w:spacing w:line="232" w:lineRule="exact"/>
              <w:ind w:left="107"/>
              <w:rPr>
                <w:sz w:val="22"/>
              </w:rPr>
            </w:pPr>
            <w:r>
              <w:rPr>
                <w:spacing w:val="-4"/>
                <w:sz w:val="22"/>
              </w:rPr>
              <w:t>0.69</w:t>
            </w:r>
          </w:p>
        </w:tc>
        <w:tc>
          <w:tcPr>
            <w:tcW w:w="916" w:type="dxa"/>
            <w:shd w:val="clear" w:color="auto" w:fill="D2DFED"/>
          </w:tcPr>
          <w:p>
            <w:pPr>
              <w:pStyle w:val="TableParagraph"/>
              <w:spacing w:line="232" w:lineRule="exact"/>
              <w:ind w:left="207"/>
              <w:rPr>
                <w:sz w:val="22"/>
              </w:rPr>
            </w:pPr>
            <w:r>
              <w:rPr>
                <w:spacing w:val="-10"/>
                <w:sz w:val="22"/>
              </w:rPr>
              <w:t>7</w:t>
            </w:r>
          </w:p>
        </w:tc>
      </w:tr>
      <w:tr>
        <w:trPr>
          <w:trHeight w:val="254" w:hRule="atLeast"/>
        </w:trPr>
        <w:tc>
          <w:tcPr>
            <w:tcW w:w="566" w:type="dxa"/>
          </w:tcPr>
          <w:p>
            <w:pPr>
              <w:pStyle w:val="TableParagraph"/>
              <w:spacing w:line="234" w:lineRule="exact"/>
              <w:ind w:left="122"/>
              <w:rPr>
                <w:b/>
                <w:sz w:val="22"/>
              </w:rPr>
            </w:pPr>
            <w:r>
              <w:rPr>
                <w:b/>
                <w:spacing w:val="-5"/>
                <w:sz w:val="22"/>
              </w:rPr>
              <w:t>(r)</w:t>
            </w:r>
          </w:p>
        </w:tc>
        <w:tc>
          <w:tcPr>
            <w:tcW w:w="2886" w:type="dxa"/>
            <w:vMerge w:val="restart"/>
          </w:tcPr>
          <w:p>
            <w:pPr>
              <w:pStyle w:val="TableParagraph"/>
              <w:spacing w:line="247" w:lineRule="exact"/>
              <w:ind w:left="113"/>
              <w:rPr>
                <w:sz w:val="22"/>
              </w:rPr>
            </w:pPr>
            <w:r>
              <w:rPr>
                <w:sz w:val="22"/>
              </w:rPr>
              <w:t>Overloading</w:t>
            </w:r>
            <w:r>
              <w:rPr>
                <w:spacing w:val="27"/>
                <w:sz w:val="22"/>
              </w:rPr>
              <w:t>  </w:t>
            </w:r>
            <w:r>
              <w:rPr>
                <w:sz w:val="22"/>
              </w:rPr>
              <w:t>of</w:t>
            </w:r>
            <w:r>
              <w:rPr>
                <w:spacing w:val="29"/>
                <w:sz w:val="22"/>
              </w:rPr>
              <w:t>  </w:t>
            </w:r>
            <w:r>
              <w:rPr>
                <w:sz w:val="22"/>
              </w:rPr>
              <w:t>the</w:t>
            </w:r>
            <w:r>
              <w:rPr>
                <w:spacing w:val="30"/>
                <w:sz w:val="22"/>
              </w:rPr>
              <w:t>  </w:t>
            </w:r>
            <w:r>
              <w:rPr>
                <w:spacing w:val="-2"/>
                <w:sz w:val="22"/>
              </w:rPr>
              <w:t>budget</w:t>
            </w:r>
          </w:p>
          <w:p>
            <w:pPr>
              <w:pStyle w:val="TableParagraph"/>
              <w:spacing w:line="238" w:lineRule="exact" w:before="1"/>
              <w:ind w:left="113"/>
              <w:rPr>
                <w:sz w:val="22"/>
              </w:rPr>
            </w:pPr>
            <w:r>
              <w:rPr>
                <w:sz w:val="22"/>
              </w:rPr>
              <w:t>with</w:t>
            </w:r>
            <w:r>
              <w:rPr>
                <w:spacing w:val="-8"/>
                <w:sz w:val="22"/>
              </w:rPr>
              <w:t> </w:t>
            </w:r>
            <w:r>
              <w:rPr>
                <w:sz w:val="22"/>
              </w:rPr>
              <w:t>unrealistic</w:t>
            </w:r>
            <w:r>
              <w:rPr>
                <w:spacing w:val="-6"/>
                <w:sz w:val="22"/>
              </w:rPr>
              <w:t> </w:t>
            </w:r>
            <w:r>
              <w:rPr>
                <w:spacing w:val="-4"/>
                <w:sz w:val="22"/>
              </w:rPr>
              <w:t>items</w:t>
            </w:r>
          </w:p>
        </w:tc>
        <w:tc>
          <w:tcPr>
            <w:tcW w:w="984" w:type="dxa"/>
          </w:tcPr>
          <w:p>
            <w:pPr>
              <w:pStyle w:val="TableParagraph"/>
              <w:rPr>
                <w:sz w:val="18"/>
              </w:rPr>
            </w:pPr>
          </w:p>
        </w:tc>
        <w:tc>
          <w:tcPr>
            <w:tcW w:w="789" w:type="dxa"/>
          </w:tcPr>
          <w:p>
            <w:pPr>
              <w:pStyle w:val="TableParagraph"/>
              <w:rPr>
                <w:sz w:val="18"/>
              </w:rPr>
            </w:pPr>
          </w:p>
        </w:tc>
        <w:tc>
          <w:tcPr>
            <w:tcW w:w="1013" w:type="dxa"/>
          </w:tcPr>
          <w:p>
            <w:pPr>
              <w:pStyle w:val="TableParagraph"/>
              <w:rPr>
                <w:sz w:val="18"/>
              </w:rPr>
            </w:pPr>
          </w:p>
        </w:tc>
        <w:tc>
          <w:tcPr>
            <w:tcW w:w="1048" w:type="dxa"/>
          </w:tcPr>
          <w:p>
            <w:pPr>
              <w:pStyle w:val="TableParagraph"/>
              <w:rPr>
                <w:sz w:val="18"/>
              </w:rPr>
            </w:pPr>
          </w:p>
        </w:tc>
        <w:tc>
          <w:tcPr>
            <w:tcW w:w="775" w:type="dxa"/>
          </w:tcPr>
          <w:p>
            <w:pPr>
              <w:pStyle w:val="TableParagraph"/>
              <w:rPr>
                <w:sz w:val="18"/>
              </w:rPr>
            </w:pPr>
          </w:p>
        </w:tc>
        <w:tc>
          <w:tcPr>
            <w:tcW w:w="711" w:type="dxa"/>
          </w:tcPr>
          <w:p>
            <w:pPr>
              <w:pStyle w:val="TableParagraph"/>
              <w:rPr>
                <w:sz w:val="18"/>
              </w:rPr>
            </w:pPr>
          </w:p>
        </w:tc>
        <w:tc>
          <w:tcPr>
            <w:tcW w:w="916" w:type="dxa"/>
          </w:tcPr>
          <w:p>
            <w:pPr>
              <w:pStyle w:val="TableParagraph"/>
              <w:rPr>
                <w:sz w:val="18"/>
              </w:rPr>
            </w:pPr>
          </w:p>
        </w:tc>
      </w:tr>
      <w:tr>
        <w:trPr>
          <w:trHeight w:val="252" w:hRule="atLeast"/>
        </w:trPr>
        <w:tc>
          <w:tcPr>
            <w:tcW w:w="566" w:type="dxa"/>
          </w:tcPr>
          <w:p>
            <w:pPr>
              <w:pStyle w:val="TableParagraph"/>
              <w:rPr>
                <w:sz w:val="18"/>
              </w:rPr>
            </w:pPr>
          </w:p>
        </w:tc>
        <w:tc>
          <w:tcPr>
            <w:tcW w:w="2886" w:type="dxa"/>
            <w:vMerge/>
            <w:tcBorders>
              <w:top w:val="nil"/>
            </w:tcBorders>
          </w:tcPr>
          <w:p>
            <w:pPr>
              <w:rPr>
                <w:sz w:val="2"/>
                <w:szCs w:val="2"/>
              </w:rPr>
            </w:pPr>
          </w:p>
        </w:tc>
        <w:tc>
          <w:tcPr>
            <w:tcW w:w="984" w:type="dxa"/>
          </w:tcPr>
          <w:p>
            <w:pPr>
              <w:pStyle w:val="TableParagraph"/>
              <w:spacing w:line="232" w:lineRule="exact"/>
              <w:ind w:left="107"/>
              <w:rPr>
                <w:sz w:val="22"/>
              </w:rPr>
            </w:pPr>
            <w:r>
              <w:rPr>
                <w:spacing w:val="-5"/>
                <w:sz w:val="22"/>
              </w:rPr>
              <w:t>70</w:t>
            </w:r>
          </w:p>
        </w:tc>
        <w:tc>
          <w:tcPr>
            <w:tcW w:w="789" w:type="dxa"/>
          </w:tcPr>
          <w:p>
            <w:pPr>
              <w:pStyle w:val="TableParagraph"/>
              <w:spacing w:line="232" w:lineRule="exact"/>
              <w:ind w:left="114"/>
              <w:rPr>
                <w:sz w:val="22"/>
              </w:rPr>
            </w:pPr>
            <w:r>
              <w:rPr>
                <w:spacing w:val="-5"/>
                <w:sz w:val="22"/>
              </w:rPr>
              <w:t>31</w:t>
            </w:r>
          </w:p>
        </w:tc>
        <w:tc>
          <w:tcPr>
            <w:tcW w:w="1013" w:type="dxa"/>
          </w:tcPr>
          <w:p>
            <w:pPr>
              <w:pStyle w:val="TableParagraph"/>
              <w:spacing w:line="232" w:lineRule="exact"/>
              <w:ind w:left="135"/>
              <w:rPr>
                <w:sz w:val="22"/>
              </w:rPr>
            </w:pPr>
            <w:r>
              <w:rPr>
                <w:spacing w:val="-5"/>
                <w:sz w:val="22"/>
              </w:rPr>
              <w:t>16</w:t>
            </w:r>
          </w:p>
        </w:tc>
        <w:tc>
          <w:tcPr>
            <w:tcW w:w="1048" w:type="dxa"/>
          </w:tcPr>
          <w:p>
            <w:pPr>
              <w:pStyle w:val="TableParagraph"/>
              <w:spacing w:line="232" w:lineRule="exact"/>
              <w:ind w:left="113"/>
              <w:rPr>
                <w:sz w:val="22"/>
              </w:rPr>
            </w:pPr>
            <w:r>
              <w:rPr>
                <w:spacing w:val="-10"/>
                <w:sz w:val="22"/>
              </w:rPr>
              <w:t>0</w:t>
            </w:r>
          </w:p>
        </w:tc>
        <w:tc>
          <w:tcPr>
            <w:tcW w:w="775" w:type="dxa"/>
          </w:tcPr>
          <w:p>
            <w:pPr>
              <w:pStyle w:val="TableParagraph"/>
              <w:spacing w:line="232" w:lineRule="exact"/>
              <w:ind w:left="145"/>
              <w:rPr>
                <w:sz w:val="22"/>
              </w:rPr>
            </w:pPr>
            <w:r>
              <w:rPr>
                <w:spacing w:val="-5"/>
                <w:sz w:val="22"/>
              </w:rPr>
              <w:t>39</w:t>
            </w:r>
          </w:p>
        </w:tc>
        <w:tc>
          <w:tcPr>
            <w:tcW w:w="711" w:type="dxa"/>
          </w:tcPr>
          <w:p>
            <w:pPr>
              <w:pStyle w:val="TableParagraph"/>
              <w:spacing w:line="232" w:lineRule="exact"/>
              <w:ind w:left="107"/>
              <w:rPr>
                <w:sz w:val="22"/>
              </w:rPr>
            </w:pPr>
            <w:r>
              <w:rPr>
                <w:spacing w:val="-4"/>
                <w:sz w:val="22"/>
              </w:rPr>
              <w:t>0.72</w:t>
            </w:r>
          </w:p>
        </w:tc>
        <w:tc>
          <w:tcPr>
            <w:tcW w:w="916" w:type="dxa"/>
          </w:tcPr>
          <w:p>
            <w:pPr>
              <w:pStyle w:val="TableParagraph"/>
              <w:spacing w:line="232" w:lineRule="exact"/>
              <w:ind w:left="207"/>
              <w:rPr>
                <w:sz w:val="22"/>
              </w:rPr>
            </w:pPr>
            <w:r>
              <w:rPr>
                <w:spacing w:val="-10"/>
                <w:sz w:val="22"/>
              </w:rPr>
              <w:t>5</w:t>
            </w:r>
          </w:p>
        </w:tc>
      </w:tr>
      <w:tr>
        <w:trPr>
          <w:trHeight w:val="253" w:hRule="atLeast"/>
        </w:trPr>
        <w:tc>
          <w:tcPr>
            <w:tcW w:w="566" w:type="dxa"/>
            <w:shd w:val="clear" w:color="auto" w:fill="D2DFED"/>
          </w:tcPr>
          <w:p>
            <w:pPr>
              <w:pStyle w:val="TableParagraph"/>
              <w:spacing w:line="233" w:lineRule="exact"/>
              <w:ind w:left="122"/>
              <w:rPr>
                <w:b/>
                <w:sz w:val="22"/>
              </w:rPr>
            </w:pPr>
            <w:r>
              <w:rPr>
                <w:b/>
                <w:spacing w:val="-5"/>
                <w:sz w:val="22"/>
              </w:rPr>
              <w:t>(s)</w:t>
            </w:r>
          </w:p>
        </w:tc>
        <w:tc>
          <w:tcPr>
            <w:tcW w:w="2886" w:type="dxa"/>
            <w:vMerge w:val="restart"/>
            <w:shd w:val="clear" w:color="auto" w:fill="D2DFED"/>
          </w:tcPr>
          <w:p>
            <w:pPr>
              <w:pStyle w:val="TableParagraph"/>
              <w:spacing w:line="246" w:lineRule="exact"/>
              <w:ind w:left="113"/>
              <w:rPr>
                <w:sz w:val="22"/>
              </w:rPr>
            </w:pPr>
            <w:r>
              <w:rPr>
                <w:sz w:val="22"/>
              </w:rPr>
              <w:t>Inability</w:t>
            </w:r>
            <w:r>
              <w:rPr>
                <w:spacing w:val="29"/>
                <w:sz w:val="22"/>
              </w:rPr>
              <w:t> </w:t>
            </w:r>
            <w:r>
              <w:rPr>
                <w:sz w:val="22"/>
              </w:rPr>
              <w:t>of</w:t>
            </w:r>
            <w:r>
              <w:rPr>
                <w:spacing w:val="30"/>
                <w:sz w:val="22"/>
              </w:rPr>
              <w:t> </w:t>
            </w:r>
            <w:r>
              <w:rPr>
                <w:sz w:val="22"/>
              </w:rPr>
              <w:t>MDAs</w:t>
            </w:r>
            <w:r>
              <w:rPr>
                <w:spacing w:val="32"/>
                <w:sz w:val="22"/>
              </w:rPr>
              <w:t> </w:t>
            </w:r>
            <w:r>
              <w:rPr>
                <w:sz w:val="22"/>
              </w:rPr>
              <w:t>to</w:t>
            </w:r>
            <w:r>
              <w:rPr>
                <w:spacing w:val="30"/>
                <w:sz w:val="22"/>
              </w:rPr>
              <w:t> </w:t>
            </w:r>
            <w:r>
              <w:rPr>
                <w:spacing w:val="-2"/>
                <w:sz w:val="22"/>
              </w:rPr>
              <w:t>predict</w:t>
            </w:r>
          </w:p>
          <w:p>
            <w:pPr>
              <w:pStyle w:val="TableParagraph"/>
              <w:spacing w:line="240" w:lineRule="exact"/>
              <w:ind w:left="113"/>
              <w:rPr>
                <w:sz w:val="22"/>
              </w:rPr>
            </w:pPr>
            <w:r>
              <w:rPr>
                <w:sz w:val="22"/>
              </w:rPr>
              <w:t>resource</w:t>
            </w:r>
            <w:r>
              <w:rPr>
                <w:spacing w:val="-5"/>
                <w:sz w:val="22"/>
              </w:rPr>
              <w:t> </w:t>
            </w:r>
            <w:r>
              <w:rPr>
                <w:spacing w:val="-2"/>
                <w:sz w:val="22"/>
              </w:rPr>
              <w:t>availability</w:t>
            </w:r>
          </w:p>
        </w:tc>
        <w:tc>
          <w:tcPr>
            <w:tcW w:w="984" w:type="dxa"/>
            <w:shd w:val="clear" w:color="auto" w:fill="D2DFED"/>
          </w:tcPr>
          <w:p>
            <w:pPr>
              <w:pStyle w:val="TableParagraph"/>
              <w:rPr>
                <w:sz w:val="18"/>
              </w:rPr>
            </w:pPr>
          </w:p>
        </w:tc>
        <w:tc>
          <w:tcPr>
            <w:tcW w:w="789" w:type="dxa"/>
            <w:shd w:val="clear" w:color="auto" w:fill="D2DFED"/>
          </w:tcPr>
          <w:p>
            <w:pPr>
              <w:pStyle w:val="TableParagraph"/>
              <w:rPr>
                <w:sz w:val="18"/>
              </w:rPr>
            </w:pPr>
          </w:p>
        </w:tc>
        <w:tc>
          <w:tcPr>
            <w:tcW w:w="1013" w:type="dxa"/>
            <w:shd w:val="clear" w:color="auto" w:fill="D2DFED"/>
          </w:tcPr>
          <w:p>
            <w:pPr>
              <w:pStyle w:val="TableParagraph"/>
              <w:rPr>
                <w:sz w:val="18"/>
              </w:rPr>
            </w:pPr>
          </w:p>
        </w:tc>
        <w:tc>
          <w:tcPr>
            <w:tcW w:w="1048" w:type="dxa"/>
            <w:shd w:val="clear" w:color="auto" w:fill="D2DFED"/>
          </w:tcPr>
          <w:p>
            <w:pPr>
              <w:pStyle w:val="TableParagraph"/>
              <w:rPr>
                <w:sz w:val="18"/>
              </w:rPr>
            </w:pPr>
          </w:p>
        </w:tc>
        <w:tc>
          <w:tcPr>
            <w:tcW w:w="775" w:type="dxa"/>
            <w:shd w:val="clear" w:color="auto" w:fill="D2DFED"/>
          </w:tcPr>
          <w:p>
            <w:pPr>
              <w:pStyle w:val="TableParagraph"/>
              <w:rPr>
                <w:sz w:val="18"/>
              </w:rPr>
            </w:pPr>
          </w:p>
        </w:tc>
        <w:tc>
          <w:tcPr>
            <w:tcW w:w="711" w:type="dxa"/>
            <w:shd w:val="clear" w:color="auto" w:fill="D2DFED"/>
          </w:tcPr>
          <w:p>
            <w:pPr>
              <w:pStyle w:val="TableParagraph"/>
              <w:rPr>
                <w:sz w:val="18"/>
              </w:rPr>
            </w:pPr>
          </w:p>
        </w:tc>
        <w:tc>
          <w:tcPr>
            <w:tcW w:w="916" w:type="dxa"/>
            <w:shd w:val="clear" w:color="auto" w:fill="D2DFED"/>
          </w:tcPr>
          <w:p>
            <w:pPr>
              <w:pStyle w:val="TableParagraph"/>
              <w:rPr>
                <w:sz w:val="18"/>
              </w:rPr>
            </w:pPr>
          </w:p>
        </w:tc>
      </w:tr>
      <w:tr>
        <w:trPr>
          <w:trHeight w:val="253" w:hRule="atLeast"/>
        </w:trPr>
        <w:tc>
          <w:tcPr>
            <w:tcW w:w="566" w:type="dxa"/>
            <w:shd w:val="clear" w:color="auto" w:fill="D2DFED"/>
          </w:tcPr>
          <w:p>
            <w:pPr>
              <w:pStyle w:val="TableParagraph"/>
              <w:rPr>
                <w:sz w:val="18"/>
              </w:rPr>
            </w:pPr>
          </w:p>
        </w:tc>
        <w:tc>
          <w:tcPr>
            <w:tcW w:w="2886" w:type="dxa"/>
            <w:vMerge/>
            <w:tcBorders>
              <w:top w:val="nil"/>
            </w:tcBorders>
            <w:shd w:val="clear" w:color="auto" w:fill="D2DFED"/>
          </w:tcPr>
          <w:p>
            <w:pPr>
              <w:rPr>
                <w:sz w:val="2"/>
                <w:szCs w:val="2"/>
              </w:rPr>
            </w:pPr>
          </w:p>
        </w:tc>
        <w:tc>
          <w:tcPr>
            <w:tcW w:w="984" w:type="dxa"/>
            <w:shd w:val="clear" w:color="auto" w:fill="D2DFED"/>
          </w:tcPr>
          <w:p>
            <w:pPr>
              <w:pStyle w:val="TableParagraph"/>
              <w:spacing w:line="233" w:lineRule="exact"/>
              <w:ind w:left="107"/>
              <w:rPr>
                <w:sz w:val="22"/>
              </w:rPr>
            </w:pPr>
            <w:r>
              <w:rPr>
                <w:spacing w:val="-10"/>
                <w:sz w:val="22"/>
              </w:rPr>
              <w:t>0</w:t>
            </w:r>
          </w:p>
        </w:tc>
        <w:tc>
          <w:tcPr>
            <w:tcW w:w="789" w:type="dxa"/>
            <w:shd w:val="clear" w:color="auto" w:fill="D2DFED"/>
          </w:tcPr>
          <w:p>
            <w:pPr>
              <w:pStyle w:val="TableParagraph"/>
              <w:spacing w:line="233" w:lineRule="exact"/>
              <w:ind w:left="114"/>
              <w:rPr>
                <w:sz w:val="22"/>
              </w:rPr>
            </w:pPr>
            <w:r>
              <w:rPr>
                <w:spacing w:val="-5"/>
                <w:sz w:val="22"/>
              </w:rPr>
              <w:t>94</w:t>
            </w:r>
          </w:p>
        </w:tc>
        <w:tc>
          <w:tcPr>
            <w:tcW w:w="1013" w:type="dxa"/>
            <w:shd w:val="clear" w:color="auto" w:fill="D2DFED"/>
          </w:tcPr>
          <w:p>
            <w:pPr>
              <w:pStyle w:val="TableParagraph"/>
              <w:spacing w:line="233" w:lineRule="exact"/>
              <w:ind w:left="135"/>
              <w:rPr>
                <w:sz w:val="22"/>
              </w:rPr>
            </w:pPr>
            <w:r>
              <w:rPr>
                <w:spacing w:val="-5"/>
                <w:sz w:val="22"/>
              </w:rPr>
              <w:t>46</w:t>
            </w:r>
          </w:p>
        </w:tc>
        <w:tc>
          <w:tcPr>
            <w:tcW w:w="1048" w:type="dxa"/>
            <w:shd w:val="clear" w:color="auto" w:fill="D2DFED"/>
          </w:tcPr>
          <w:p>
            <w:pPr>
              <w:pStyle w:val="TableParagraph"/>
              <w:spacing w:line="233" w:lineRule="exact"/>
              <w:ind w:left="113"/>
              <w:rPr>
                <w:sz w:val="22"/>
              </w:rPr>
            </w:pPr>
            <w:r>
              <w:rPr>
                <w:spacing w:val="-10"/>
                <w:sz w:val="22"/>
              </w:rPr>
              <w:t>3</w:t>
            </w:r>
          </w:p>
        </w:tc>
        <w:tc>
          <w:tcPr>
            <w:tcW w:w="775" w:type="dxa"/>
            <w:shd w:val="clear" w:color="auto" w:fill="D2DFED"/>
          </w:tcPr>
          <w:p>
            <w:pPr>
              <w:pStyle w:val="TableParagraph"/>
              <w:spacing w:line="233" w:lineRule="exact"/>
              <w:ind w:left="145"/>
              <w:rPr>
                <w:sz w:val="22"/>
              </w:rPr>
            </w:pPr>
            <w:r>
              <w:rPr>
                <w:spacing w:val="-5"/>
                <w:sz w:val="22"/>
              </w:rPr>
              <w:t>11</w:t>
            </w:r>
          </w:p>
        </w:tc>
        <w:tc>
          <w:tcPr>
            <w:tcW w:w="711" w:type="dxa"/>
            <w:shd w:val="clear" w:color="auto" w:fill="D2DFED"/>
          </w:tcPr>
          <w:p>
            <w:pPr>
              <w:pStyle w:val="TableParagraph"/>
              <w:spacing w:line="233" w:lineRule="exact"/>
              <w:ind w:left="107"/>
              <w:rPr>
                <w:sz w:val="22"/>
              </w:rPr>
            </w:pPr>
            <w:r>
              <w:rPr>
                <w:spacing w:val="-4"/>
                <w:sz w:val="22"/>
              </w:rPr>
              <w:t>0.69</w:t>
            </w:r>
          </w:p>
        </w:tc>
        <w:tc>
          <w:tcPr>
            <w:tcW w:w="916" w:type="dxa"/>
            <w:shd w:val="clear" w:color="auto" w:fill="D2DFED"/>
          </w:tcPr>
          <w:p>
            <w:pPr>
              <w:pStyle w:val="TableParagraph"/>
              <w:spacing w:line="233" w:lineRule="exact"/>
              <w:ind w:left="207"/>
              <w:rPr>
                <w:sz w:val="22"/>
              </w:rPr>
            </w:pPr>
            <w:r>
              <w:rPr>
                <w:spacing w:val="-10"/>
                <w:sz w:val="22"/>
              </w:rPr>
              <w:t>7</w:t>
            </w:r>
          </w:p>
        </w:tc>
      </w:tr>
      <w:tr>
        <w:trPr>
          <w:trHeight w:val="253" w:hRule="atLeast"/>
        </w:trPr>
        <w:tc>
          <w:tcPr>
            <w:tcW w:w="566" w:type="dxa"/>
            <w:tcBorders>
              <w:bottom w:val="single" w:sz="8" w:space="0" w:color="000000"/>
            </w:tcBorders>
          </w:tcPr>
          <w:p>
            <w:pPr>
              <w:pStyle w:val="TableParagraph"/>
              <w:spacing w:line="234" w:lineRule="exact"/>
              <w:ind w:left="122"/>
              <w:rPr>
                <w:b/>
                <w:sz w:val="22"/>
              </w:rPr>
            </w:pPr>
            <w:r>
              <w:rPr>
                <w:b/>
                <w:spacing w:val="-5"/>
                <w:sz w:val="22"/>
              </w:rPr>
              <w:t>(t)</w:t>
            </w:r>
          </w:p>
        </w:tc>
        <w:tc>
          <w:tcPr>
            <w:tcW w:w="2886" w:type="dxa"/>
            <w:tcBorders>
              <w:bottom w:val="single" w:sz="8" w:space="0" w:color="000000"/>
            </w:tcBorders>
          </w:tcPr>
          <w:p>
            <w:pPr>
              <w:pStyle w:val="TableParagraph"/>
              <w:spacing w:line="234" w:lineRule="exact"/>
              <w:ind w:left="113"/>
              <w:rPr>
                <w:sz w:val="22"/>
              </w:rPr>
            </w:pPr>
            <w:r>
              <w:rPr>
                <w:sz w:val="22"/>
              </w:rPr>
              <w:t>Undue</w:t>
            </w:r>
            <w:r>
              <w:rPr>
                <w:spacing w:val="-5"/>
                <w:sz w:val="22"/>
              </w:rPr>
              <w:t> </w:t>
            </w:r>
            <w:r>
              <w:rPr>
                <w:sz w:val="22"/>
              </w:rPr>
              <w:t>political</w:t>
            </w:r>
            <w:r>
              <w:rPr>
                <w:spacing w:val="-5"/>
                <w:sz w:val="22"/>
              </w:rPr>
              <w:t> </w:t>
            </w:r>
            <w:r>
              <w:rPr>
                <w:spacing w:val="-2"/>
                <w:sz w:val="22"/>
              </w:rPr>
              <w:t>influence</w:t>
            </w:r>
          </w:p>
        </w:tc>
        <w:tc>
          <w:tcPr>
            <w:tcW w:w="984" w:type="dxa"/>
            <w:tcBorders>
              <w:bottom w:val="single" w:sz="8" w:space="0" w:color="000000"/>
            </w:tcBorders>
          </w:tcPr>
          <w:p>
            <w:pPr>
              <w:pStyle w:val="TableParagraph"/>
              <w:spacing w:line="234" w:lineRule="exact"/>
              <w:ind w:left="107"/>
              <w:rPr>
                <w:sz w:val="22"/>
              </w:rPr>
            </w:pPr>
            <w:r>
              <w:rPr>
                <w:spacing w:val="-5"/>
                <w:sz w:val="22"/>
              </w:rPr>
              <w:t>78</w:t>
            </w:r>
          </w:p>
        </w:tc>
        <w:tc>
          <w:tcPr>
            <w:tcW w:w="789" w:type="dxa"/>
            <w:tcBorders>
              <w:bottom w:val="single" w:sz="8" w:space="0" w:color="000000"/>
            </w:tcBorders>
          </w:tcPr>
          <w:p>
            <w:pPr>
              <w:pStyle w:val="TableParagraph"/>
              <w:spacing w:line="234" w:lineRule="exact"/>
              <w:ind w:left="114"/>
              <w:rPr>
                <w:sz w:val="22"/>
              </w:rPr>
            </w:pPr>
            <w:r>
              <w:rPr>
                <w:spacing w:val="-5"/>
                <w:sz w:val="22"/>
              </w:rPr>
              <w:t>62</w:t>
            </w:r>
          </w:p>
        </w:tc>
        <w:tc>
          <w:tcPr>
            <w:tcW w:w="1013" w:type="dxa"/>
            <w:tcBorders>
              <w:bottom w:val="single" w:sz="8" w:space="0" w:color="000000"/>
            </w:tcBorders>
          </w:tcPr>
          <w:p>
            <w:pPr>
              <w:pStyle w:val="TableParagraph"/>
              <w:spacing w:line="234" w:lineRule="exact"/>
              <w:ind w:left="135"/>
              <w:rPr>
                <w:sz w:val="22"/>
              </w:rPr>
            </w:pPr>
            <w:r>
              <w:rPr>
                <w:spacing w:val="-5"/>
                <w:sz w:val="22"/>
              </w:rPr>
              <w:t>16</w:t>
            </w:r>
          </w:p>
        </w:tc>
        <w:tc>
          <w:tcPr>
            <w:tcW w:w="1048" w:type="dxa"/>
            <w:tcBorders>
              <w:bottom w:val="single" w:sz="8" w:space="0" w:color="000000"/>
            </w:tcBorders>
          </w:tcPr>
          <w:p>
            <w:pPr>
              <w:pStyle w:val="TableParagraph"/>
              <w:spacing w:line="234" w:lineRule="exact"/>
              <w:ind w:left="113"/>
              <w:rPr>
                <w:sz w:val="22"/>
              </w:rPr>
            </w:pPr>
            <w:r>
              <w:rPr>
                <w:spacing w:val="-10"/>
                <w:sz w:val="22"/>
              </w:rPr>
              <w:t>0</w:t>
            </w:r>
          </w:p>
        </w:tc>
        <w:tc>
          <w:tcPr>
            <w:tcW w:w="775" w:type="dxa"/>
            <w:tcBorders>
              <w:bottom w:val="single" w:sz="8" w:space="0" w:color="000000"/>
            </w:tcBorders>
          </w:tcPr>
          <w:p>
            <w:pPr>
              <w:pStyle w:val="TableParagraph"/>
              <w:spacing w:line="234" w:lineRule="exact"/>
              <w:ind w:left="145"/>
              <w:rPr>
                <w:sz w:val="22"/>
              </w:rPr>
            </w:pPr>
            <w:r>
              <w:rPr>
                <w:spacing w:val="-10"/>
                <w:sz w:val="22"/>
              </w:rPr>
              <w:t>0</w:t>
            </w:r>
          </w:p>
        </w:tc>
        <w:tc>
          <w:tcPr>
            <w:tcW w:w="711" w:type="dxa"/>
            <w:tcBorders>
              <w:bottom w:val="single" w:sz="8" w:space="0" w:color="000000"/>
            </w:tcBorders>
          </w:tcPr>
          <w:p>
            <w:pPr>
              <w:pStyle w:val="TableParagraph"/>
              <w:spacing w:line="234" w:lineRule="exact"/>
              <w:ind w:left="107"/>
              <w:rPr>
                <w:sz w:val="22"/>
              </w:rPr>
            </w:pPr>
            <w:r>
              <w:rPr>
                <w:spacing w:val="-4"/>
                <w:sz w:val="22"/>
              </w:rPr>
              <w:t>0.88</w:t>
            </w:r>
          </w:p>
        </w:tc>
        <w:tc>
          <w:tcPr>
            <w:tcW w:w="916" w:type="dxa"/>
            <w:tcBorders>
              <w:bottom w:val="single" w:sz="8" w:space="0" w:color="000000"/>
            </w:tcBorders>
          </w:tcPr>
          <w:p>
            <w:pPr>
              <w:pStyle w:val="TableParagraph"/>
              <w:spacing w:line="234" w:lineRule="exact"/>
              <w:ind w:left="207"/>
              <w:rPr>
                <w:sz w:val="22"/>
              </w:rPr>
            </w:pPr>
            <w:r>
              <w:rPr>
                <w:spacing w:val="-10"/>
                <w:sz w:val="22"/>
              </w:rPr>
              <w:t>1</w:t>
            </w:r>
          </w:p>
        </w:tc>
      </w:tr>
    </w:tbl>
    <w:p>
      <w:pPr>
        <w:pStyle w:val="BodyText"/>
        <w:spacing w:before="8"/>
        <w:ind w:left="240"/>
        <w:jc w:val="both"/>
      </w:pPr>
      <w:r>
        <w:rPr>
          <w:b/>
        </w:rPr>
        <w:t>Source:</w:t>
      </w:r>
      <w:r>
        <w:rPr>
          <w:b/>
          <w:spacing w:val="-2"/>
        </w:rPr>
        <w:t> </w:t>
      </w:r>
      <w:r>
        <w:rPr/>
        <w:t>Researcher‘s</w:t>
      </w:r>
      <w:r>
        <w:rPr>
          <w:spacing w:val="-2"/>
        </w:rPr>
        <w:t> </w:t>
      </w:r>
      <w:r>
        <w:rPr/>
        <w:t>field</w:t>
      </w:r>
      <w:r>
        <w:rPr>
          <w:spacing w:val="-1"/>
        </w:rPr>
        <w:t> </w:t>
      </w:r>
      <w:r>
        <w:rPr/>
        <w:t>survey</w:t>
      </w:r>
      <w:r>
        <w:rPr>
          <w:spacing w:val="-3"/>
        </w:rPr>
        <w:t> </w:t>
      </w:r>
      <w:r>
        <w:rPr>
          <w:spacing w:val="-2"/>
        </w:rPr>
        <w:t>(2017)</w:t>
      </w:r>
    </w:p>
    <w:p>
      <w:pPr>
        <w:pStyle w:val="BodyText"/>
        <w:spacing w:before="136"/>
      </w:pPr>
    </w:p>
    <w:p>
      <w:pPr>
        <w:pStyle w:val="BodyText"/>
        <w:spacing w:line="360" w:lineRule="auto"/>
        <w:ind w:left="240" w:right="834"/>
        <w:jc w:val="both"/>
      </w:pPr>
      <w:r>
        <w:rPr/>
        <w:t>A careful examination of Table 5.13 reveals that there are twenty significant factors identified from literature and anecdotal evidence that constitute challenges to effective housing budget performance of Anambra State. The procedure for calculating the relative index is as follows: using the problem of lack of accurate data on housing needs as an example; Ranking sum (S) = Σnw, Where </w:t>
      </w:r>
      <w:r>
        <w:rPr>
          <w:b/>
        </w:rPr>
        <w:t>n </w:t>
      </w:r>
      <w:r>
        <w:rPr/>
        <w:t>is no of respondents and </w:t>
      </w:r>
      <w:r>
        <w:rPr>
          <w:b/>
        </w:rPr>
        <w:t>w</w:t>
      </w:r>
      <w:r>
        <w:rPr/>
        <w:t>, the corresponding weight (score).</w:t>
      </w:r>
    </w:p>
    <w:p>
      <w:pPr>
        <w:spacing w:after="0" w:line="360" w:lineRule="auto"/>
        <w:jc w:val="both"/>
        <w:sectPr>
          <w:pgSz w:w="12240" w:h="15840"/>
          <w:pgMar w:header="0" w:footer="1036" w:top="1360" w:bottom="1220" w:left="1200" w:right="600"/>
        </w:sectPr>
      </w:pPr>
    </w:p>
    <w:p>
      <w:pPr>
        <w:pStyle w:val="BodyText"/>
        <w:spacing w:line="360" w:lineRule="auto" w:before="74"/>
        <w:ind w:left="240" w:right="837"/>
        <w:jc w:val="both"/>
      </w:pPr>
      <w:r>
        <w:rPr/>
        <w:t>Therefore</w:t>
      </w:r>
      <w:r>
        <w:rPr>
          <w:spacing w:val="-2"/>
        </w:rPr>
        <w:t> </w:t>
      </w:r>
      <w:r>
        <w:rPr/>
        <w:t>S=</w:t>
      </w:r>
      <w:r>
        <w:rPr>
          <w:spacing w:val="-1"/>
        </w:rPr>
        <w:t> </w:t>
      </w:r>
      <w:r>
        <w:rPr/>
        <w:t>(55</w:t>
      </w:r>
      <w:r>
        <w:rPr>
          <w:spacing w:val="-1"/>
        </w:rPr>
        <w:t> </w:t>
      </w:r>
      <w:r>
        <w:rPr/>
        <w:t>x5)</w:t>
      </w:r>
      <w:r>
        <w:rPr>
          <w:spacing w:val="-1"/>
        </w:rPr>
        <w:t> </w:t>
      </w:r>
      <w:r>
        <w:rPr/>
        <w:t>+</w:t>
      </w:r>
      <w:r>
        <w:rPr>
          <w:spacing w:val="-1"/>
        </w:rPr>
        <w:t> </w:t>
      </w:r>
      <w:r>
        <w:rPr/>
        <w:t>(78 x 4)</w:t>
      </w:r>
      <w:r>
        <w:rPr>
          <w:spacing w:val="-1"/>
        </w:rPr>
        <w:t> </w:t>
      </w:r>
      <w:r>
        <w:rPr/>
        <w:t>+</w:t>
      </w:r>
      <w:r>
        <w:rPr>
          <w:spacing w:val="-1"/>
        </w:rPr>
        <w:t> </w:t>
      </w:r>
      <w:r>
        <w:rPr/>
        <w:t>(8</w:t>
      </w:r>
      <w:r>
        <w:rPr>
          <w:spacing w:val="-2"/>
        </w:rPr>
        <w:t> </w:t>
      </w:r>
      <w:r>
        <w:rPr/>
        <w:t>x</w:t>
      </w:r>
      <w:r>
        <w:rPr>
          <w:spacing w:val="-1"/>
        </w:rPr>
        <w:t> </w:t>
      </w:r>
      <w:r>
        <w:rPr/>
        <w:t>3)</w:t>
      </w:r>
      <w:r>
        <w:rPr>
          <w:spacing w:val="-1"/>
        </w:rPr>
        <w:t> </w:t>
      </w:r>
      <w:r>
        <w:rPr/>
        <w:t>+</w:t>
      </w:r>
      <w:r>
        <w:rPr>
          <w:spacing w:val="-1"/>
        </w:rPr>
        <w:t> </w:t>
      </w:r>
      <w:r>
        <w:rPr/>
        <w:t>(0</w:t>
      </w:r>
      <w:r>
        <w:rPr>
          <w:spacing w:val="-2"/>
        </w:rPr>
        <w:t> </w:t>
      </w:r>
      <w:r>
        <w:rPr/>
        <w:t>x</w:t>
      </w:r>
      <w:r>
        <w:rPr>
          <w:spacing w:val="-1"/>
        </w:rPr>
        <w:t> </w:t>
      </w:r>
      <w:r>
        <w:rPr/>
        <w:t>2)</w:t>
      </w:r>
      <w:r>
        <w:rPr>
          <w:spacing w:val="-1"/>
        </w:rPr>
        <w:t> </w:t>
      </w:r>
      <w:r>
        <w:rPr/>
        <w:t>+</w:t>
      </w:r>
      <w:r>
        <w:rPr>
          <w:spacing w:val="-1"/>
        </w:rPr>
        <w:t> </w:t>
      </w:r>
      <w:r>
        <w:rPr/>
        <w:t>(15</w:t>
      </w:r>
      <w:r>
        <w:rPr>
          <w:spacing w:val="-1"/>
        </w:rPr>
        <w:t> </w:t>
      </w:r>
      <w:r>
        <w:rPr/>
        <w:t>x 1)</w:t>
      </w:r>
      <w:r>
        <w:rPr>
          <w:spacing w:val="-1"/>
        </w:rPr>
        <w:t> </w:t>
      </w:r>
      <w:r>
        <w:rPr/>
        <w:t>= 626,</w:t>
      </w:r>
      <w:r>
        <w:rPr>
          <w:spacing w:val="-3"/>
        </w:rPr>
        <w:t> </w:t>
      </w:r>
      <w:r>
        <w:rPr/>
        <w:t>RII= S/max possible</w:t>
      </w:r>
      <w:r>
        <w:rPr>
          <w:spacing w:val="-3"/>
        </w:rPr>
        <w:t> </w:t>
      </w:r>
      <w:r>
        <w:rPr/>
        <w:t>score</w:t>
      </w:r>
      <w:r>
        <w:rPr>
          <w:spacing w:val="-1"/>
        </w:rPr>
        <w:t> </w:t>
      </w:r>
      <w:r>
        <w:rPr/>
        <w:t>= 626/(5 x 156) = 626/780 = 0.80. Hence, the rank orders of the identified problems as shown.</w:t>
      </w:r>
    </w:p>
    <w:p>
      <w:pPr>
        <w:pStyle w:val="BodyText"/>
        <w:spacing w:before="70"/>
      </w:pPr>
    </w:p>
    <w:p>
      <w:pPr>
        <w:pStyle w:val="BodyText"/>
        <w:spacing w:line="360" w:lineRule="auto"/>
        <w:ind w:left="240" w:right="833"/>
        <w:jc w:val="both"/>
      </w:pPr>
      <w:r>
        <w:rPr/>
        <w:t>At a glance, it can be seen that there is a close tie</w:t>
      </w:r>
      <w:r>
        <w:rPr>
          <w:spacing w:val="-1"/>
        </w:rPr>
        <w:t> </w:t>
      </w:r>
      <w:r>
        <w:rPr/>
        <w:t>among the ranks, ranging from 1 to 9, showing that</w:t>
      </w:r>
      <w:r>
        <w:rPr>
          <w:spacing w:val="-2"/>
        </w:rPr>
        <w:t> </w:t>
      </w:r>
      <w:r>
        <w:rPr/>
        <w:t>all</w:t>
      </w:r>
      <w:r>
        <w:rPr>
          <w:spacing w:val="-1"/>
        </w:rPr>
        <w:t> </w:t>
      </w:r>
      <w:r>
        <w:rPr/>
        <w:t>problems</w:t>
      </w:r>
      <w:r>
        <w:rPr>
          <w:spacing w:val="-2"/>
        </w:rPr>
        <w:t> </w:t>
      </w:r>
      <w:r>
        <w:rPr/>
        <w:t>are</w:t>
      </w:r>
      <w:r>
        <w:rPr>
          <w:spacing w:val="-3"/>
        </w:rPr>
        <w:t> </w:t>
      </w:r>
      <w:r>
        <w:rPr/>
        <w:t>critical</w:t>
      </w:r>
      <w:r>
        <w:rPr>
          <w:spacing w:val="-1"/>
        </w:rPr>
        <w:t> </w:t>
      </w:r>
      <w:r>
        <w:rPr/>
        <w:t>and</w:t>
      </w:r>
      <w:r>
        <w:rPr>
          <w:spacing w:val="-2"/>
        </w:rPr>
        <w:t> </w:t>
      </w:r>
      <w:r>
        <w:rPr/>
        <w:t>contribute</w:t>
      </w:r>
      <w:r>
        <w:rPr>
          <w:spacing w:val="-3"/>
        </w:rPr>
        <w:t> </w:t>
      </w:r>
      <w:r>
        <w:rPr/>
        <w:t>strongly</w:t>
      </w:r>
      <w:r>
        <w:rPr>
          <w:spacing w:val="-6"/>
        </w:rPr>
        <w:t> </w:t>
      </w:r>
      <w:r>
        <w:rPr/>
        <w:t>to</w:t>
      </w:r>
      <w:r>
        <w:rPr>
          <w:spacing w:val="-2"/>
        </w:rPr>
        <w:t> </w:t>
      </w:r>
      <w:r>
        <w:rPr/>
        <w:t>poor</w:t>
      </w:r>
      <w:r>
        <w:rPr>
          <w:spacing w:val="-3"/>
        </w:rPr>
        <w:t> </w:t>
      </w:r>
      <w:r>
        <w:rPr/>
        <w:t>housing</w:t>
      </w:r>
      <w:r>
        <w:rPr>
          <w:spacing w:val="-4"/>
        </w:rPr>
        <w:t> </w:t>
      </w:r>
      <w:r>
        <w:rPr/>
        <w:t>budget performance. Budget indiscipline</w:t>
      </w:r>
      <w:r>
        <w:rPr>
          <w:spacing w:val="-3"/>
        </w:rPr>
        <w:t> </w:t>
      </w:r>
      <w:r>
        <w:rPr/>
        <w:t>and</w:t>
      </w:r>
      <w:r>
        <w:rPr>
          <w:spacing w:val="-3"/>
        </w:rPr>
        <w:t> </w:t>
      </w:r>
      <w:r>
        <w:rPr/>
        <w:t>political</w:t>
      </w:r>
      <w:r>
        <w:rPr>
          <w:spacing w:val="-1"/>
        </w:rPr>
        <w:t> </w:t>
      </w:r>
      <w:r>
        <w:rPr/>
        <w:t>interference ranked</w:t>
      </w:r>
      <w:r>
        <w:rPr>
          <w:spacing w:val="-3"/>
        </w:rPr>
        <w:t> </w:t>
      </w:r>
      <w:r>
        <w:rPr/>
        <w:t>first</w:t>
      </w:r>
      <w:r>
        <w:rPr>
          <w:spacing w:val="-1"/>
        </w:rPr>
        <w:t> </w:t>
      </w:r>
      <w:r>
        <w:rPr/>
        <w:t>as</w:t>
      </w:r>
      <w:r>
        <w:rPr>
          <w:spacing w:val="-3"/>
        </w:rPr>
        <w:t> </w:t>
      </w:r>
      <w:r>
        <w:rPr/>
        <w:t>the</w:t>
      </w:r>
      <w:r>
        <w:rPr>
          <w:spacing w:val="-3"/>
        </w:rPr>
        <w:t> </w:t>
      </w:r>
      <w:r>
        <w:rPr/>
        <w:t>most</w:t>
      </w:r>
      <w:r>
        <w:rPr>
          <w:spacing w:val="-3"/>
        </w:rPr>
        <w:t> </w:t>
      </w:r>
      <w:r>
        <w:rPr/>
        <w:t>critical</w:t>
      </w:r>
      <w:r>
        <w:rPr>
          <w:spacing w:val="-3"/>
        </w:rPr>
        <w:t> </w:t>
      </w:r>
      <w:r>
        <w:rPr/>
        <w:t>problems</w:t>
      </w:r>
      <w:r>
        <w:rPr>
          <w:spacing w:val="-3"/>
        </w:rPr>
        <w:t> </w:t>
      </w:r>
      <w:r>
        <w:rPr/>
        <w:t>of</w:t>
      </w:r>
      <w:r>
        <w:rPr>
          <w:spacing w:val="-3"/>
        </w:rPr>
        <w:t> </w:t>
      </w:r>
      <w:r>
        <w:rPr/>
        <w:t>housing</w:t>
      </w:r>
      <w:r>
        <w:rPr>
          <w:spacing w:val="-6"/>
        </w:rPr>
        <w:t> </w:t>
      </w:r>
      <w:r>
        <w:rPr/>
        <w:t>budget performance with a relative index of 0.88 while non involvement of Quantity Surveyors, inadequate time for preparation of budget proposals and numerous revisions of the housing budget</w:t>
      </w:r>
      <w:r>
        <w:rPr>
          <w:spacing w:val="-1"/>
        </w:rPr>
        <w:t> </w:t>
      </w:r>
      <w:r>
        <w:rPr/>
        <w:t>throughout</w:t>
      </w:r>
      <w:r>
        <w:rPr>
          <w:spacing w:val="-1"/>
        </w:rPr>
        <w:t> </w:t>
      </w:r>
      <w:r>
        <w:rPr/>
        <w:t>the</w:t>
      </w:r>
      <w:r>
        <w:rPr>
          <w:spacing w:val="2"/>
        </w:rPr>
        <w:t> </w:t>
      </w:r>
      <w:r>
        <w:rPr/>
        <w:t>year</w:t>
      </w:r>
      <w:r>
        <w:rPr>
          <w:spacing w:val="61"/>
        </w:rPr>
        <w:t> </w:t>
      </w:r>
      <w:r>
        <w:rPr/>
        <w:t>ranked</w:t>
      </w:r>
      <w:r>
        <w:rPr>
          <w:spacing w:val="-1"/>
        </w:rPr>
        <w:t> </w:t>
      </w:r>
      <w:r>
        <w:rPr/>
        <w:t>least</w:t>
      </w:r>
      <w:r>
        <w:rPr>
          <w:spacing w:val="2"/>
        </w:rPr>
        <w:t> </w:t>
      </w:r>
      <w:r>
        <w:rPr/>
        <w:t>at</w:t>
      </w:r>
      <w:r>
        <w:rPr>
          <w:spacing w:val="-1"/>
        </w:rPr>
        <w:t> </w:t>
      </w:r>
      <w:r>
        <w:rPr/>
        <w:t>8th</w:t>
      </w:r>
      <w:r>
        <w:rPr>
          <w:spacing w:val="1"/>
        </w:rPr>
        <w:t> </w:t>
      </w:r>
      <w:r>
        <w:rPr/>
        <w:t>and</w:t>
      </w:r>
      <w:r>
        <w:rPr>
          <w:spacing w:val="-1"/>
        </w:rPr>
        <w:t> </w:t>
      </w:r>
      <w:r>
        <w:rPr/>
        <w:t>9th</w:t>
      </w:r>
      <w:r>
        <w:rPr>
          <w:spacing w:val="-1"/>
        </w:rPr>
        <w:t> </w:t>
      </w:r>
      <w:r>
        <w:rPr/>
        <w:t>position,</w:t>
      </w:r>
      <w:r>
        <w:rPr>
          <w:spacing w:val="62"/>
        </w:rPr>
        <w:t> </w:t>
      </w:r>
      <w:r>
        <w:rPr/>
        <w:t>with</w:t>
      </w:r>
      <w:r>
        <w:rPr>
          <w:spacing w:val="-1"/>
        </w:rPr>
        <w:t> </w:t>
      </w:r>
      <w:r>
        <w:rPr/>
        <w:t>relative</w:t>
      </w:r>
      <w:r>
        <w:rPr>
          <w:spacing w:val="-2"/>
        </w:rPr>
        <w:t> </w:t>
      </w:r>
      <w:r>
        <w:rPr/>
        <w:t>indices</w:t>
      </w:r>
      <w:r>
        <w:rPr>
          <w:spacing w:val="-1"/>
        </w:rPr>
        <w:t> </w:t>
      </w:r>
      <w:r>
        <w:rPr/>
        <w:t>of</w:t>
      </w:r>
      <w:r>
        <w:rPr>
          <w:spacing w:val="2"/>
        </w:rPr>
        <w:t> </w:t>
      </w:r>
      <w:r>
        <w:rPr/>
        <w:t>0.66</w:t>
      </w:r>
      <w:r>
        <w:rPr>
          <w:spacing w:val="2"/>
        </w:rPr>
        <w:t> </w:t>
      </w:r>
      <w:r>
        <w:rPr>
          <w:spacing w:val="-5"/>
        </w:rPr>
        <w:t>and</w:t>
      </w:r>
    </w:p>
    <w:p>
      <w:pPr>
        <w:pStyle w:val="BodyText"/>
        <w:spacing w:line="360" w:lineRule="auto" w:before="1"/>
        <w:ind w:left="240" w:right="834"/>
        <w:jc w:val="both"/>
      </w:pPr>
      <w:r>
        <w:rPr/>
        <w:t>0.62 respectively. Other problems ranked between 2nd and 7th as depicted in the table.</w:t>
      </w:r>
      <w:r>
        <w:rPr>
          <w:spacing w:val="40"/>
        </w:rPr>
        <w:t> </w:t>
      </w:r>
      <w:r>
        <w:rPr/>
        <w:t>These results imply that, in as much as all identified problems require the attention of the Government, political interference in the housing budget process and extra budgetary expenditure need to be urgently addressed if the Anambra State housing budget performance is to be effective. On the other hand, inadequate time for budget preparation and budget revisions appear not to be major problems leading to poor housing budget performance.</w:t>
      </w:r>
    </w:p>
    <w:p>
      <w:pPr>
        <w:pStyle w:val="BodyText"/>
        <w:spacing w:before="142"/>
      </w:pPr>
    </w:p>
    <w:p>
      <w:pPr>
        <w:pStyle w:val="Heading3"/>
        <w:numPr>
          <w:ilvl w:val="1"/>
          <w:numId w:val="81"/>
        </w:numPr>
        <w:tabs>
          <w:tab w:pos="692" w:val="left" w:leader="none"/>
        </w:tabs>
        <w:spacing w:line="240" w:lineRule="auto" w:before="0" w:after="0"/>
        <w:ind w:left="692" w:right="0" w:hanging="452"/>
        <w:jc w:val="both"/>
      </w:pPr>
      <w:r>
        <w:rPr/>
        <w:t>Analysis</w:t>
      </w:r>
      <w:r>
        <w:rPr>
          <w:spacing w:val="-6"/>
        </w:rPr>
        <w:t> </w:t>
      </w:r>
      <w:r>
        <w:rPr/>
        <w:t>of</w:t>
      </w:r>
      <w:r>
        <w:rPr>
          <w:spacing w:val="-5"/>
        </w:rPr>
        <w:t> </w:t>
      </w:r>
      <w:r>
        <w:rPr/>
        <w:t>the</w:t>
      </w:r>
      <w:r>
        <w:rPr>
          <w:spacing w:val="-5"/>
        </w:rPr>
        <w:t> </w:t>
      </w:r>
      <w:r>
        <w:rPr/>
        <w:t>Annual</w:t>
      </w:r>
      <w:r>
        <w:rPr>
          <w:spacing w:val="-6"/>
        </w:rPr>
        <w:t> </w:t>
      </w:r>
      <w:r>
        <w:rPr>
          <w:spacing w:val="-2"/>
        </w:rPr>
        <w:t>Budget</w:t>
      </w:r>
    </w:p>
    <w:p>
      <w:pPr>
        <w:pStyle w:val="BodyText"/>
        <w:spacing w:line="360" w:lineRule="auto" w:before="145"/>
        <w:ind w:left="240" w:right="836"/>
        <w:jc w:val="both"/>
      </w:pPr>
      <w:r>
        <w:rPr/>
        <w:t>This sub-section deals with the analysis of relevant data contained in the annual budget documents</w:t>
      </w:r>
      <w:r>
        <w:rPr>
          <w:spacing w:val="-3"/>
        </w:rPr>
        <w:t> </w:t>
      </w:r>
      <w:r>
        <w:rPr/>
        <w:t>of</w:t>
      </w:r>
      <w:r>
        <w:rPr>
          <w:spacing w:val="-3"/>
        </w:rPr>
        <w:t> </w:t>
      </w:r>
      <w:r>
        <w:rPr/>
        <w:t>Anambra</w:t>
      </w:r>
      <w:r>
        <w:rPr>
          <w:spacing w:val="-4"/>
        </w:rPr>
        <w:t> </w:t>
      </w:r>
      <w:r>
        <w:rPr/>
        <w:t>State,</w:t>
      </w:r>
      <w:r>
        <w:rPr>
          <w:spacing w:val="-3"/>
        </w:rPr>
        <w:t> </w:t>
      </w:r>
      <w:r>
        <w:rPr/>
        <w:t>with</w:t>
      </w:r>
      <w:r>
        <w:rPr>
          <w:spacing w:val="-3"/>
        </w:rPr>
        <w:t> </w:t>
      </w:r>
      <w:r>
        <w:rPr/>
        <w:t>emphasis</w:t>
      </w:r>
      <w:r>
        <w:rPr>
          <w:spacing w:val="-3"/>
        </w:rPr>
        <w:t> </w:t>
      </w:r>
      <w:r>
        <w:rPr/>
        <w:t>on</w:t>
      </w:r>
      <w:r>
        <w:rPr>
          <w:spacing w:val="-3"/>
        </w:rPr>
        <w:t> </w:t>
      </w:r>
      <w:r>
        <w:rPr/>
        <w:t>how</w:t>
      </w:r>
      <w:r>
        <w:rPr>
          <w:spacing w:val="-3"/>
        </w:rPr>
        <w:t> </w:t>
      </w:r>
      <w:r>
        <w:rPr/>
        <w:t>it</w:t>
      </w:r>
      <w:r>
        <w:rPr>
          <w:spacing w:val="-3"/>
        </w:rPr>
        <w:t> </w:t>
      </w:r>
      <w:r>
        <w:rPr/>
        <w:t>affects</w:t>
      </w:r>
      <w:r>
        <w:rPr>
          <w:spacing w:val="-3"/>
        </w:rPr>
        <w:t> </w:t>
      </w:r>
      <w:r>
        <w:rPr/>
        <w:t>the</w:t>
      </w:r>
      <w:r>
        <w:rPr>
          <w:spacing w:val="-4"/>
        </w:rPr>
        <w:t> </w:t>
      </w:r>
      <w:r>
        <w:rPr/>
        <w:t>housing</w:t>
      </w:r>
      <w:r>
        <w:rPr>
          <w:spacing w:val="-5"/>
        </w:rPr>
        <w:t> </w:t>
      </w:r>
      <w:r>
        <w:rPr/>
        <w:t>sector.</w:t>
      </w:r>
      <w:r>
        <w:rPr>
          <w:spacing w:val="-1"/>
        </w:rPr>
        <w:t> </w:t>
      </w:r>
      <w:r>
        <w:rPr/>
        <w:t>The</w:t>
      </w:r>
      <w:r>
        <w:rPr>
          <w:spacing w:val="-5"/>
        </w:rPr>
        <w:t> </w:t>
      </w:r>
      <w:r>
        <w:rPr/>
        <w:t>documents used are (a) annual published budget estimates and Auditor-General‘s annual reports which provides data on recurrent revenue, capital receipts, capital expenditure and sectoral budget allocations, approved and actual expenditures and (b) budget Call circulars which provided information</w:t>
      </w:r>
      <w:r>
        <w:rPr>
          <w:spacing w:val="-3"/>
        </w:rPr>
        <w:t> </w:t>
      </w:r>
      <w:r>
        <w:rPr/>
        <w:t>on</w:t>
      </w:r>
      <w:r>
        <w:rPr>
          <w:spacing w:val="-3"/>
        </w:rPr>
        <w:t> </w:t>
      </w:r>
      <w:r>
        <w:rPr/>
        <w:t>annual</w:t>
      </w:r>
      <w:r>
        <w:rPr>
          <w:spacing w:val="-3"/>
        </w:rPr>
        <w:t> </w:t>
      </w:r>
      <w:r>
        <w:rPr/>
        <w:t>housing</w:t>
      </w:r>
      <w:r>
        <w:rPr>
          <w:spacing w:val="-5"/>
        </w:rPr>
        <w:t> </w:t>
      </w:r>
      <w:r>
        <w:rPr/>
        <w:t>budget</w:t>
      </w:r>
      <w:r>
        <w:rPr>
          <w:spacing w:val="-3"/>
        </w:rPr>
        <w:t> </w:t>
      </w:r>
      <w:r>
        <w:rPr/>
        <w:t>ceilings.</w:t>
      </w:r>
      <w:r>
        <w:rPr>
          <w:spacing w:val="-1"/>
        </w:rPr>
        <w:t> </w:t>
      </w:r>
      <w:r>
        <w:rPr/>
        <w:t>These</w:t>
      </w:r>
      <w:r>
        <w:rPr>
          <w:spacing w:val="-4"/>
        </w:rPr>
        <w:t> </w:t>
      </w:r>
      <w:r>
        <w:rPr/>
        <w:t>data</w:t>
      </w:r>
      <w:r>
        <w:rPr>
          <w:spacing w:val="-2"/>
        </w:rPr>
        <w:t> </w:t>
      </w:r>
      <w:r>
        <w:rPr/>
        <w:t>were</w:t>
      </w:r>
      <w:r>
        <w:rPr>
          <w:spacing w:val="-3"/>
        </w:rPr>
        <w:t> </w:t>
      </w:r>
      <w:r>
        <w:rPr/>
        <w:t>relevant</w:t>
      </w:r>
      <w:r>
        <w:rPr>
          <w:spacing w:val="-3"/>
        </w:rPr>
        <w:t> </w:t>
      </w:r>
      <w:r>
        <w:rPr/>
        <w:t>in</w:t>
      </w:r>
      <w:r>
        <w:rPr>
          <w:spacing w:val="-1"/>
        </w:rPr>
        <w:t> </w:t>
      </w:r>
      <w:r>
        <w:rPr/>
        <w:t>determining</w:t>
      </w:r>
      <w:r>
        <w:rPr>
          <w:spacing w:val="-5"/>
        </w:rPr>
        <w:t> </w:t>
      </w:r>
      <w:r>
        <w:rPr/>
        <w:t>the</w:t>
      </w:r>
      <w:r>
        <w:rPr>
          <w:spacing w:val="-4"/>
        </w:rPr>
        <w:t> </w:t>
      </w:r>
      <w:r>
        <w:rPr/>
        <w:t>trend of housing budget allocation for the period under study, the proportion of annual housing budget allocation in comparison with other key sectors of the State, rate of housing budget implementation or budget discipline and the percentage of housing budget allocation in comparison with initial budget ceilings. Graphs and charts were used to depict the analysis for pictorial elucidation. Recall that a public budget contains both proposed income/revenue and expenditure</w:t>
      </w:r>
      <w:r>
        <w:rPr>
          <w:spacing w:val="12"/>
        </w:rPr>
        <w:t> </w:t>
      </w:r>
      <w:r>
        <w:rPr/>
        <w:t>for</w:t>
      </w:r>
      <w:r>
        <w:rPr>
          <w:spacing w:val="14"/>
        </w:rPr>
        <w:t> </w:t>
      </w:r>
      <w:r>
        <w:rPr/>
        <w:t>a</w:t>
      </w:r>
      <w:r>
        <w:rPr>
          <w:spacing w:val="17"/>
        </w:rPr>
        <w:t> </w:t>
      </w:r>
      <w:r>
        <w:rPr/>
        <w:t>specified</w:t>
      </w:r>
      <w:r>
        <w:rPr>
          <w:spacing w:val="15"/>
        </w:rPr>
        <w:t> </w:t>
      </w:r>
      <w:r>
        <w:rPr/>
        <w:t>period</w:t>
      </w:r>
      <w:r>
        <w:rPr>
          <w:spacing w:val="21"/>
        </w:rPr>
        <w:t> </w:t>
      </w:r>
      <w:r>
        <w:rPr/>
        <w:t>as</w:t>
      </w:r>
      <w:r>
        <w:rPr>
          <w:spacing w:val="15"/>
        </w:rPr>
        <w:t> </w:t>
      </w:r>
      <w:r>
        <w:rPr/>
        <w:t>defined</w:t>
      </w:r>
      <w:r>
        <w:rPr>
          <w:spacing w:val="16"/>
        </w:rPr>
        <w:t> </w:t>
      </w:r>
      <w:r>
        <w:rPr/>
        <w:t>by</w:t>
      </w:r>
      <w:r>
        <w:rPr>
          <w:spacing w:val="13"/>
        </w:rPr>
        <w:t> </w:t>
      </w:r>
      <w:r>
        <w:rPr/>
        <w:t>Ugwu</w:t>
      </w:r>
      <w:r>
        <w:rPr>
          <w:spacing w:val="17"/>
        </w:rPr>
        <w:t> </w:t>
      </w:r>
      <w:r>
        <w:rPr/>
        <w:t>(2006).</w:t>
      </w:r>
      <w:r>
        <w:rPr>
          <w:spacing w:val="20"/>
        </w:rPr>
        <w:t> </w:t>
      </w:r>
      <w:r>
        <w:rPr/>
        <w:t>In</w:t>
      </w:r>
      <w:r>
        <w:rPr>
          <w:spacing w:val="15"/>
        </w:rPr>
        <w:t> </w:t>
      </w:r>
      <w:r>
        <w:rPr/>
        <w:t>view</w:t>
      </w:r>
      <w:r>
        <w:rPr>
          <w:spacing w:val="17"/>
        </w:rPr>
        <w:t> </w:t>
      </w:r>
      <w:r>
        <w:rPr/>
        <w:t>of</w:t>
      </w:r>
      <w:r>
        <w:rPr>
          <w:spacing w:val="14"/>
        </w:rPr>
        <w:t> </w:t>
      </w:r>
      <w:r>
        <w:rPr/>
        <w:t>this,</w:t>
      </w:r>
      <w:r>
        <w:rPr>
          <w:spacing w:val="21"/>
        </w:rPr>
        <w:t> </w:t>
      </w:r>
      <w:r>
        <w:rPr/>
        <w:t>Tables</w:t>
      </w:r>
      <w:r>
        <w:rPr>
          <w:spacing w:val="15"/>
        </w:rPr>
        <w:t> </w:t>
      </w:r>
      <w:r>
        <w:rPr/>
        <w:t>5.14</w:t>
      </w:r>
      <w:r>
        <w:rPr>
          <w:spacing w:val="18"/>
        </w:rPr>
        <w:t> </w:t>
      </w:r>
      <w:r>
        <w:rPr>
          <w:spacing w:val="-5"/>
        </w:rPr>
        <w:t>and</w:t>
      </w:r>
    </w:p>
    <w:p>
      <w:pPr>
        <w:pStyle w:val="BodyText"/>
        <w:spacing w:before="1"/>
        <w:ind w:left="240"/>
        <w:jc w:val="both"/>
      </w:pPr>
      <w:r>
        <w:rPr/>
        <w:t>5.15</w:t>
      </w:r>
      <w:r>
        <w:rPr>
          <w:spacing w:val="-1"/>
        </w:rPr>
        <w:t> </w:t>
      </w:r>
      <w:r>
        <w:rPr/>
        <w:t>show</w:t>
      </w:r>
      <w:r>
        <w:rPr>
          <w:spacing w:val="-2"/>
        </w:rPr>
        <w:t> </w:t>
      </w:r>
      <w:r>
        <w:rPr/>
        <w:t>the</w:t>
      </w:r>
      <w:r>
        <w:rPr>
          <w:spacing w:val="-1"/>
        </w:rPr>
        <w:t> </w:t>
      </w:r>
      <w:r>
        <w:rPr/>
        <w:t>Anambra revenue and</w:t>
      </w:r>
      <w:r>
        <w:rPr>
          <w:spacing w:val="-1"/>
        </w:rPr>
        <w:t> </w:t>
      </w:r>
      <w:r>
        <w:rPr/>
        <w:t>capital</w:t>
      </w:r>
      <w:r>
        <w:rPr>
          <w:spacing w:val="-1"/>
        </w:rPr>
        <w:t> </w:t>
      </w:r>
      <w:r>
        <w:rPr/>
        <w:t>expenditure</w:t>
      </w:r>
      <w:r>
        <w:rPr>
          <w:spacing w:val="-1"/>
        </w:rPr>
        <w:t> </w:t>
      </w:r>
      <w:r>
        <w:rPr/>
        <w:t>profile</w:t>
      </w:r>
      <w:r>
        <w:rPr>
          <w:spacing w:val="-2"/>
        </w:rPr>
        <w:t> </w:t>
      </w:r>
      <w:r>
        <w:rPr/>
        <w:t>from</w:t>
      </w:r>
      <w:r>
        <w:rPr>
          <w:spacing w:val="-1"/>
        </w:rPr>
        <w:t> </w:t>
      </w:r>
      <w:r>
        <w:rPr/>
        <w:t>1999</w:t>
      </w:r>
      <w:r>
        <w:rPr>
          <w:spacing w:val="4"/>
        </w:rPr>
        <w:t> </w:t>
      </w:r>
      <w:r>
        <w:rPr/>
        <w:t>– </w:t>
      </w:r>
      <w:r>
        <w:rPr>
          <w:spacing w:val="-2"/>
        </w:rPr>
        <w:t>2016.</w:t>
      </w:r>
    </w:p>
    <w:p>
      <w:pPr>
        <w:spacing w:after="0"/>
        <w:jc w:val="both"/>
        <w:sectPr>
          <w:pgSz w:w="12240" w:h="15840"/>
          <w:pgMar w:header="0" w:footer="1036" w:top="1360" w:bottom="1220" w:left="1200" w:right="600"/>
        </w:sectPr>
      </w:pPr>
    </w:p>
    <w:p>
      <w:pPr>
        <w:pStyle w:val="Heading4"/>
        <w:spacing w:before="79" w:after="42"/>
        <w:jc w:val="left"/>
      </w:pPr>
      <w:r>
        <w:rPr/>
        <w:t>Table</w:t>
      </w:r>
      <w:r>
        <w:rPr>
          <w:spacing w:val="-2"/>
        </w:rPr>
        <w:t> </w:t>
      </w:r>
      <w:r>
        <w:rPr/>
        <w:t>5.14.</w:t>
      </w:r>
      <w:r>
        <w:rPr>
          <w:spacing w:val="-1"/>
        </w:rPr>
        <w:t> </w:t>
      </w:r>
      <w:r>
        <w:rPr/>
        <w:t>Revenue</w:t>
      </w:r>
      <w:r>
        <w:rPr>
          <w:spacing w:val="-3"/>
        </w:rPr>
        <w:t> </w:t>
      </w:r>
      <w:r>
        <w:rPr/>
        <w:t>Profile</w:t>
      </w:r>
      <w:r>
        <w:rPr>
          <w:spacing w:val="-2"/>
        </w:rPr>
        <w:t> </w:t>
      </w:r>
      <w:r>
        <w:rPr/>
        <w:t>of</w:t>
      </w:r>
      <w:r>
        <w:rPr>
          <w:spacing w:val="-1"/>
        </w:rPr>
        <w:t> </w:t>
      </w:r>
      <w:r>
        <w:rPr/>
        <w:t>Anambra</w:t>
      </w:r>
      <w:r>
        <w:rPr>
          <w:spacing w:val="-1"/>
        </w:rPr>
        <w:t> </w:t>
      </w:r>
      <w:r>
        <w:rPr/>
        <w:t>State</w:t>
      </w:r>
      <w:r>
        <w:rPr>
          <w:spacing w:val="2"/>
        </w:rPr>
        <w:t> </w:t>
      </w:r>
      <w:r>
        <w:rPr/>
        <w:t>(1999</w:t>
      </w:r>
      <w:r>
        <w:rPr>
          <w:spacing w:val="-2"/>
        </w:rPr>
        <w:t> </w:t>
      </w:r>
      <w:r>
        <w:rPr/>
        <w:t>–</w:t>
      </w:r>
      <w:r>
        <w:rPr>
          <w:spacing w:val="-1"/>
        </w:rPr>
        <w:t> </w:t>
      </w:r>
      <w:r>
        <w:rPr>
          <w:spacing w:val="-2"/>
        </w:rPr>
        <w:t>2016)</w:t>
      </w:r>
    </w:p>
    <w:tbl>
      <w:tblPr>
        <w:tblW w:w="0" w:type="auto"/>
        <w:jc w:val="left"/>
        <w:tblInd w:w="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0"/>
        <w:gridCol w:w="1454"/>
        <w:gridCol w:w="1432"/>
        <w:gridCol w:w="1353"/>
        <w:gridCol w:w="1417"/>
        <w:gridCol w:w="1548"/>
        <w:gridCol w:w="1593"/>
      </w:tblGrid>
      <w:tr>
        <w:trPr>
          <w:trHeight w:val="301" w:hRule="atLeast"/>
        </w:trPr>
        <w:tc>
          <w:tcPr>
            <w:tcW w:w="690" w:type="dxa"/>
            <w:tcBorders>
              <w:top w:val="single" w:sz="8" w:space="0" w:color="4F81BC"/>
              <w:bottom w:val="single" w:sz="8" w:space="0" w:color="4F81BC"/>
            </w:tcBorders>
          </w:tcPr>
          <w:p>
            <w:pPr>
              <w:pStyle w:val="TableParagraph"/>
              <w:ind w:left="20" w:right="41"/>
              <w:jc w:val="center"/>
              <w:rPr>
                <w:b/>
                <w:sz w:val="20"/>
              </w:rPr>
            </w:pPr>
            <w:r>
              <w:rPr>
                <w:b/>
                <w:spacing w:val="-4"/>
                <w:sz w:val="20"/>
              </w:rPr>
              <w:t>Year</w:t>
            </w:r>
          </w:p>
        </w:tc>
        <w:tc>
          <w:tcPr>
            <w:tcW w:w="1454" w:type="dxa"/>
            <w:tcBorders>
              <w:top w:val="single" w:sz="8" w:space="0" w:color="4F81BC"/>
              <w:bottom w:val="single" w:sz="8" w:space="0" w:color="4F81BC"/>
            </w:tcBorders>
          </w:tcPr>
          <w:p>
            <w:pPr>
              <w:pStyle w:val="TableParagraph"/>
              <w:rPr>
                <w:sz w:val="18"/>
              </w:rPr>
            </w:pPr>
          </w:p>
        </w:tc>
        <w:tc>
          <w:tcPr>
            <w:tcW w:w="2785" w:type="dxa"/>
            <w:gridSpan w:val="2"/>
            <w:tcBorders>
              <w:top w:val="single" w:sz="8" w:space="0" w:color="4F81BC"/>
              <w:bottom w:val="single" w:sz="8" w:space="0" w:color="4F81BC"/>
            </w:tcBorders>
          </w:tcPr>
          <w:p>
            <w:pPr>
              <w:pStyle w:val="TableParagraph"/>
              <w:ind w:left="92"/>
              <w:rPr>
                <w:b/>
                <w:sz w:val="20"/>
              </w:rPr>
            </w:pPr>
            <w:r>
              <w:rPr>
                <w:b/>
                <w:sz w:val="20"/>
              </w:rPr>
              <w:t>Recurrent</w:t>
            </w:r>
            <w:r>
              <w:rPr>
                <w:b/>
                <w:spacing w:val="-9"/>
                <w:sz w:val="20"/>
              </w:rPr>
              <w:t> </w:t>
            </w:r>
            <w:r>
              <w:rPr>
                <w:b/>
                <w:spacing w:val="-2"/>
                <w:sz w:val="20"/>
              </w:rPr>
              <w:t>revenue</w:t>
            </w:r>
          </w:p>
        </w:tc>
        <w:tc>
          <w:tcPr>
            <w:tcW w:w="1417" w:type="dxa"/>
            <w:tcBorders>
              <w:top w:val="single" w:sz="8" w:space="0" w:color="4F81BC"/>
              <w:bottom w:val="single" w:sz="8" w:space="0" w:color="4F81BC"/>
            </w:tcBorders>
          </w:tcPr>
          <w:p>
            <w:pPr>
              <w:pStyle w:val="TableParagraph"/>
              <w:rPr>
                <w:sz w:val="18"/>
              </w:rPr>
            </w:pPr>
          </w:p>
        </w:tc>
        <w:tc>
          <w:tcPr>
            <w:tcW w:w="1548" w:type="dxa"/>
            <w:tcBorders>
              <w:top w:val="single" w:sz="8" w:space="0" w:color="4F81BC"/>
              <w:bottom w:val="single" w:sz="8" w:space="0" w:color="4F81BC"/>
            </w:tcBorders>
          </w:tcPr>
          <w:p>
            <w:pPr>
              <w:pStyle w:val="TableParagraph"/>
              <w:rPr>
                <w:sz w:val="18"/>
              </w:rPr>
            </w:pPr>
          </w:p>
        </w:tc>
        <w:tc>
          <w:tcPr>
            <w:tcW w:w="1593" w:type="dxa"/>
            <w:tcBorders>
              <w:top w:val="single" w:sz="8" w:space="0" w:color="4F81BC"/>
              <w:bottom w:val="single" w:sz="8" w:space="0" w:color="4F81BC"/>
            </w:tcBorders>
          </w:tcPr>
          <w:p>
            <w:pPr>
              <w:pStyle w:val="TableParagraph"/>
              <w:rPr>
                <w:sz w:val="18"/>
              </w:rPr>
            </w:pPr>
          </w:p>
        </w:tc>
      </w:tr>
      <w:tr>
        <w:trPr>
          <w:trHeight w:val="688" w:hRule="atLeast"/>
        </w:trPr>
        <w:tc>
          <w:tcPr>
            <w:tcW w:w="690" w:type="dxa"/>
            <w:tcBorders>
              <w:top w:val="single" w:sz="8" w:space="0" w:color="4F81BC"/>
            </w:tcBorders>
            <w:shd w:val="clear" w:color="auto" w:fill="D2DFED"/>
          </w:tcPr>
          <w:p>
            <w:pPr>
              <w:pStyle w:val="TableParagraph"/>
              <w:rPr>
                <w:sz w:val="18"/>
              </w:rPr>
            </w:pPr>
          </w:p>
        </w:tc>
        <w:tc>
          <w:tcPr>
            <w:tcW w:w="1454" w:type="dxa"/>
            <w:tcBorders>
              <w:top w:val="single" w:sz="8" w:space="0" w:color="4F81BC"/>
            </w:tcBorders>
            <w:shd w:val="clear" w:color="auto" w:fill="D2DFED"/>
          </w:tcPr>
          <w:p>
            <w:pPr>
              <w:pStyle w:val="TableParagraph"/>
              <w:spacing w:line="223" w:lineRule="exact"/>
              <w:ind w:left="145"/>
              <w:rPr>
                <w:sz w:val="20"/>
              </w:rPr>
            </w:pPr>
            <w:r>
              <w:rPr>
                <w:b/>
                <w:sz w:val="20"/>
              </w:rPr>
              <w:t>IGR</w:t>
            </w:r>
            <w:r>
              <w:rPr>
                <w:b/>
                <w:spacing w:val="-4"/>
                <w:sz w:val="20"/>
              </w:rPr>
              <w:t> </w:t>
            </w:r>
            <w:r>
              <w:rPr>
                <w:b/>
                <w:sz w:val="20"/>
              </w:rPr>
              <w:t>(</w:t>
            </w:r>
            <w:r>
              <w:rPr>
                <w:b/>
                <w:spacing w:val="-3"/>
                <w:sz w:val="20"/>
              </w:rPr>
              <w:t> </w:t>
            </w:r>
            <w:r>
              <w:rPr>
                <w:dstrike/>
                <w:spacing w:val="-5"/>
                <w:sz w:val="20"/>
              </w:rPr>
              <w:t>N</w:t>
            </w:r>
            <w:r>
              <w:rPr>
                <w:strike w:val="0"/>
                <w:spacing w:val="-5"/>
                <w:sz w:val="20"/>
              </w:rPr>
              <w:t>)</w:t>
            </w:r>
          </w:p>
        </w:tc>
        <w:tc>
          <w:tcPr>
            <w:tcW w:w="1432" w:type="dxa"/>
            <w:tcBorders>
              <w:top w:val="single" w:sz="8" w:space="0" w:color="4F81BC"/>
            </w:tcBorders>
            <w:shd w:val="clear" w:color="auto" w:fill="D2DFED"/>
          </w:tcPr>
          <w:p>
            <w:pPr>
              <w:pStyle w:val="TableParagraph"/>
              <w:spacing w:line="228" w:lineRule="exact"/>
              <w:ind w:left="107"/>
              <w:rPr>
                <w:b/>
                <w:sz w:val="20"/>
              </w:rPr>
            </w:pPr>
            <w:r>
              <w:rPr>
                <w:b/>
                <w:sz w:val="20"/>
              </w:rPr>
              <w:t>State’s</w:t>
            </w:r>
            <w:r>
              <w:rPr>
                <w:b/>
                <w:spacing w:val="-5"/>
                <w:sz w:val="20"/>
              </w:rPr>
              <w:t> </w:t>
            </w:r>
            <w:r>
              <w:rPr>
                <w:b/>
                <w:spacing w:val="-2"/>
                <w:sz w:val="20"/>
              </w:rPr>
              <w:t>share</w:t>
            </w:r>
          </w:p>
          <w:p>
            <w:pPr>
              <w:pStyle w:val="TableParagraph"/>
              <w:spacing w:line="226" w:lineRule="exact"/>
              <w:ind w:left="107"/>
              <w:rPr>
                <w:sz w:val="20"/>
              </w:rPr>
            </w:pPr>
            <w:r>
              <w:rPr>
                <w:b/>
                <w:sz w:val="20"/>
              </w:rPr>
              <w:t>of Federal </w:t>
            </w:r>
            <w:r>
              <w:rPr>
                <w:b/>
                <w:spacing w:val="-2"/>
                <w:sz w:val="20"/>
              </w:rPr>
              <w:t>Allocation</w:t>
            </w:r>
            <w:r>
              <w:rPr>
                <w:spacing w:val="-2"/>
                <w:sz w:val="20"/>
              </w:rPr>
              <w:t>(</w:t>
            </w:r>
            <w:r>
              <w:rPr>
                <w:dstrike/>
                <w:spacing w:val="-2"/>
                <w:sz w:val="20"/>
              </w:rPr>
              <w:t>N</w:t>
            </w:r>
            <w:r>
              <w:rPr>
                <w:strike w:val="0"/>
                <w:spacing w:val="-2"/>
                <w:sz w:val="20"/>
              </w:rPr>
              <w:t>)</w:t>
            </w:r>
          </w:p>
        </w:tc>
        <w:tc>
          <w:tcPr>
            <w:tcW w:w="1353" w:type="dxa"/>
            <w:tcBorders>
              <w:top w:val="single" w:sz="8" w:space="0" w:color="4F81BC"/>
            </w:tcBorders>
            <w:shd w:val="clear" w:color="auto" w:fill="D2DFED"/>
          </w:tcPr>
          <w:p>
            <w:pPr>
              <w:pStyle w:val="TableParagraph"/>
              <w:spacing w:line="223" w:lineRule="exact"/>
              <w:ind w:left="122"/>
              <w:rPr>
                <w:sz w:val="20"/>
              </w:rPr>
            </w:pPr>
            <w:r>
              <w:rPr>
                <w:b/>
                <w:sz w:val="20"/>
              </w:rPr>
              <w:t>VAT</w:t>
            </w:r>
            <w:r>
              <w:rPr>
                <w:b/>
                <w:spacing w:val="-6"/>
                <w:sz w:val="20"/>
              </w:rPr>
              <w:t> </w:t>
            </w:r>
            <w:r>
              <w:rPr>
                <w:b/>
                <w:spacing w:val="-5"/>
                <w:sz w:val="20"/>
              </w:rPr>
              <w:t>(</w:t>
            </w:r>
            <w:r>
              <w:rPr>
                <w:dstrike/>
                <w:spacing w:val="-5"/>
                <w:sz w:val="20"/>
              </w:rPr>
              <w:t>N</w:t>
            </w:r>
            <w:r>
              <w:rPr>
                <w:strike w:val="0"/>
                <w:spacing w:val="-5"/>
                <w:sz w:val="20"/>
              </w:rPr>
              <w:t>)</w:t>
            </w:r>
          </w:p>
        </w:tc>
        <w:tc>
          <w:tcPr>
            <w:tcW w:w="1417" w:type="dxa"/>
            <w:tcBorders>
              <w:top w:val="single" w:sz="8" w:space="0" w:color="4F81BC"/>
            </w:tcBorders>
            <w:shd w:val="clear" w:color="auto" w:fill="D2DFED"/>
          </w:tcPr>
          <w:p>
            <w:pPr>
              <w:pStyle w:val="TableParagraph"/>
              <w:spacing w:line="228" w:lineRule="exact"/>
              <w:ind w:left="106"/>
              <w:rPr>
                <w:b/>
                <w:sz w:val="20"/>
              </w:rPr>
            </w:pPr>
            <w:r>
              <w:rPr>
                <w:b/>
                <w:spacing w:val="-2"/>
                <w:sz w:val="20"/>
              </w:rPr>
              <w:t>Total</w:t>
            </w:r>
          </w:p>
          <w:p>
            <w:pPr>
              <w:pStyle w:val="TableParagraph"/>
              <w:spacing w:line="226" w:lineRule="exact"/>
              <w:ind w:left="106"/>
              <w:rPr>
                <w:sz w:val="20"/>
              </w:rPr>
            </w:pPr>
            <w:r>
              <w:rPr>
                <w:b/>
                <w:spacing w:val="-2"/>
                <w:sz w:val="20"/>
              </w:rPr>
              <w:t>Recurrent Revenue(</w:t>
            </w:r>
            <w:r>
              <w:rPr>
                <w:dstrike/>
                <w:spacing w:val="-2"/>
                <w:sz w:val="20"/>
              </w:rPr>
              <w:t>N</w:t>
            </w:r>
            <w:r>
              <w:rPr>
                <w:strike w:val="0"/>
                <w:spacing w:val="-2"/>
                <w:sz w:val="20"/>
              </w:rPr>
              <w:t>)</w:t>
            </w:r>
          </w:p>
        </w:tc>
        <w:tc>
          <w:tcPr>
            <w:tcW w:w="1548" w:type="dxa"/>
            <w:tcBorders>
              <w:top w:val="single" w:sz="8" w:space="0" w:color="4F81BC"/>
            </w:tcBorders>
            <w:shd w:val="clear" w:color="auto" w:fill="D2DFED"/>
          </w:tcPr>
          <w:p>
            <w:pPr>
              <w:pStyle w:val="TableParagraph"/>
              <w:spacing w:line="235" w:lineRule="auto" w:before="1"/>
              <w:ind w:left="106" w:right="385" w:firstLine="50"/>
              <w:rPr>
                <w:sz w:val="20"/>
              </w:rPr>
            </w:pPr>
            <w:r>
              <w:rPr>
                <w:b/>
                <w:spacing w:val="-2"/>
                <w:sz w:val="20"/>
              </w:rPr>
              <w:t>Capital </w:t>
            </w:r>
            <w:r>
              <w:rPr>
                <w:b/>
                <w:sz w:val="20"/>
              </w:rPr>
              <w:t>Receipts</w:t>
            </w:r>
            <w:r>
              <w:rPr>
                <w:b/>
                <w:spacing w:val="-13"/>
                <w:sz w:val="20"/>
              </w:rPr>
              <w:t> </w:t>
            </w:r>
            <w:r>
              <w:rPr>
                <w:sz w:val="20"/>
              </w:rPr>
              <w:t>(</w:t>
            </w:r>
            <w:r>
              <w:rPr>
                <w:dstrike/>
                <w:sz w:val="20"/>
              </w:rPr>
              <w:t>N</w:t>
            </w:r>
            <w:r>
              <w:rPr>
                <w:strike w:val="0"/>
                <w:sz w:val="20"/>
              </w:rPr>
              <w:t>)</w:t>
            </w:r>
          </w:p>
        </w:tc>
        <w:tc>
          <w:tcPr>
            <w:tcW w:w="1593" w:type="dxa"/>
            <w:tcBorders>
              <w:top w:val="single" w:sz="8" w:space="0" w:color="4F81BC"/>
            </w:tcBorders>
            <w:shd w:val="clear" w:color="auto" w:fill="D2DFED"/>
          </w:tcPr>
          <w:p>
            <w:pPr>
              <w:pStyle w:val="TableParagraph"/>
              <w:spacing w:line="235" w:lineRule="auto" w:before="1"/>
              <w:ind w:left="157" w:right="19"/>
              <w:rPr>
                <w:sz w:val="20"/>
              </w:rPr>
            </w:pPr>
            <w:r>
              <w:rPr>
                <w:b/>
                <w:spacing w:val="-2"/>
                <w:sz w:val="20"/>
              </w:rPr>
              <w:t>Total Revenue</w:t>
            </w:r>
            <w:r>
              <w:rPr>
                <w:spacing w:val="-2"/>
                <w:sz w:val="20"/>
              </w:rPr>
              <w:t>(</w:t>
            </w:r>
            <w:r>
              <w:rPr>
                <w:dstrike/>
                <w:spacing w:val="-2"/>
                <w:sz w:val="20"/>
              </w:rPr>
              <w:t>N</w:t>
            </w:r>
            <w:r>
              <w:rPr>
                <w:strike w:val="0"/>
                <w:spacing w:val="-2"/>
                <w:sz w:val="20"/>
              </w:rPr>
              <w:t>)</w:t>
            </w:r>
          </w:p>
        </w:tc>
      </w:tr>
      <w:tr>
        <w:trPr>
          <w:trHeight w:val="299" w:hRule="atLeast"/>
        </w:trPr>
        <w:tc>
          <w:tcPr>
            <w:tcW w:w="690" w:type="dxa"/>
          </w:tcPr>
          <w:p>
            <w:pPr>
              <w:pStyle w:val="TableParagraph"/>
              <w:spacing w:line="223" w:lineRule="exact"/>
              <w:ind w:right="41"/>
              <w:jc w:val="center"/>
              <w:rPr>
                <w:sz w:val="20"/>
              </w:rPr>
            </w:pPr>
            <w:r>
              <w:rPr>
                <w:spacing w:val="-4"/>
                <w:sz w:val="20"/>
              </w:rPr>
              <w:t>1999</w:t>
            </w:r>
          </w:p>
        </w:tc>
        <w:tc>
          <w:tcPr>
            <w:tcW w:w="1454" w:type="dxa"/>
          </w:tcPr>
          <w:p>
            <w:pPr>
              <w:pStyle w:val="TableParagraph"/>
              <w:spacing w:line="179" w:lineRule="exact"/>
              <w:ind w:left="145"/>
              <w:rPr>
                <w:sz w:val="16"/>
              </w:rPr>
            </w:pPr>
            <w:r>
              <w:rPr>
                <w:spacing w:val="-2"/>
                <w:sz w:val="16"/>
              </w:rPr>
              <w:t>861,120,000.00</w:t>
            </w:r>
          </w:p>
        </w:tc>
        <w:tc>
          <w:tcPr>
            <w:tcW w:w="1432" w:type="dxa"/>
          </w:tcPr>
          <w:p>
            <w:pPr>
              <w:pStyle w:val="TableParagraph"/>
              <w:spacing w:line="179" w:lineRule="exact"/>
              <w:ind w:right="94"/>
              <w:jc w:val="center"/>
              <w:rPr>
                <w:sz w:val="16"/>
              </w:rPr>
            </w:pPr>
            <w:r>
              <w:rPr>
                <w:spacing w:val="-2"/>
                <w:sz w:val="16"/>
              </w:rPr>
              <w:t>1,707,860,000.00</w:t>
            </w:r>
          </w:p>
        </w:tc>
        <w:tc>
          <w:tcPr>
            <w:tcW w:w="1353" w:type="dxa"/>
          </w:tcPr>
          <w:p>
            <w:pPr>
              <w:pStyle w:val="TableParagraph"/>
              <w:spacing w:line="179" w:lineRule="exact"/>
              <w:ind w:left="122"/>
              <w:rPr>
                <w:sz w:val="16"/>
              </w:rPr>
            </w:pPr>
            <w:r>
              <w:rPr>
                <w:spacing w:val="-2"/>
                <w:sz w:val="16"/>
              </w:rPr>
              <w:t>658,570,000.00</w:t>
            </w:r>
          </w:p>
        </w:tc>
        <w:tc>
          <w:tcPr>
            <w:tcW w:w="1417" w:type="dxa"/>
          </w:tcPr>
          <w:p>
            <w:pPr>
              <w:pStyle w:val="TableParagraph"/>
              <w:spacing w:line="179" w:lineRule="exact"/>
              <w:ind w:right="80"/>
              <w:jc w:val="center"/>
              <w:rPr>
                <w:sz w:val="16"/>
              </w:rPr>
            </w:pPr>
            <w:r>
              <w:rPr>
                <w:spacing w:val="-2"/>
                <w:sz w:val="16"/>
              </w:rPr>
              <w:t>3,227,550,000.00</w:t>
            </w:r>
          </w:p>
        </w:tc>
        <w:tc>
          <w:tcPr>
            <w:tcW w:w="1548" w:type="dxa"/>
          </w:tcPr>
          <w:p>
            <w:pPr>
              <w:pStyle w:val="TableParagraph"/>
              <w:spacing w:line="179" w:lineRule="exact"/>
              <w:ind w:left="106"/>
              <w:rPr>
                <w:sz w:val="16"/>
              </w:rPr>
            </w:pPr>
            <w:r>
              <w:rPr>
                <w:spacing w:val="-2"/>
                <w:sz w:val="16"/>
              </w:rPr>
              <w:t>1,130,000,000.00</w:t>
            </w:r>
          </w:p>
        </w:tc>
        <w:tc>
          <w:tcPr>
            <w:tcW w:w="1593" w:type="dxa"/>
          </w:tcPr>
          <w:p>
            <w:pPr>
              <w:pStyle w:val="TableParagraph"/>
              <w:spacing w:line="179" w:lineRule="exact"/>
              <w:ind w:left="157"/>
              <w:rPr>
                <w:sz w:val="16"/>
              </w:rPr>
            </w:pPr>
            <w:r>
              <w:rPr>
                <w:spacing w:val="-2"/>
                <w:sz w:val="16"/>
              </w:rPr>
              <w:t>7,585,100,000.00</w:t>
            </w:r>
          </w:p>
        </w:tc>
      </w:tr>
      <w:tr>
        <w:trPr>
          <w:trHeight w:val="300" w:hRule="atLeast"/>
        </w:trPr>
        <w:tc>
          <w:tcPr>
            <w:tcW w:w="690" w:type="dxa"/>
            <w:shd w:val="clear" w:color="auto" w:fill="D2DFED"/>
          </w:tcPr>
          <w:p>
            <w:pPr>
              <w:pStyle w:val="TableParagraph"/>
              <w:spacing w:line="223" w:lineRule="exact"/>
              <w:ind w:right="41"/>
              <w:jc w:val="center"/>
              <w:rPr>
                <w:sz w:val="20"/>
              </w:rPr>
            </w:pPr>
            <w:r>
              <w:rPr>
                <w:spacing w:val="-4"/>
                <w:sz w:val="20"/>
              </w:rPr>
              <w:t>2000</w:t>
            </w:r>
          </w:p>
        </w:tc>
        <w:tc>
          <w:tcPr>
            <w:tcW w:w="1454" w:type="dxa"/>
            <w:shd w:val="clear" w:color="auto" w:fill="D2DFED"/>
          </w:tcPr>
          <w:p>
            <w:pPr>
              <w:pStyle w:val="TableParagraph"/>
              <w:spacing w:line="179" w:lineRule="exact"/>
              <w:ind w:left="145"/>
              <w:rPr>
                <w:sz w:val="16"/>
              </w:rPr>
            </w:pPr>
            <w:r>
              <w:rPr>
                <w:spacing w:val="-2"/>
                <w:sz w:val="16"/>
              </w:rPr>
              <w:t>861,000,000.00</w:t>
            </w:r>
          </w:p>
        </w:tc>
        <w:tc>
          <w:tcPr>
            <w:tcW w:w="1432" w:type="dxa"/>
            <w:shd w:val="clear" w:color="auto" w:fill="D2DFED"/>
          </w:tcPr>
          <w:p>
            <w:pPr>
              <w:pStyle w:val="TableParagraph"/>
              <w:spacing w:line="179" w:lineRule="exact"/>
              <w:ind w:right="94"/>
              <w:jc w:val="center"/>
              <w:rPr>
                <w:sz w:val="16"/>
              </w:rPr>
            </w:pPr>
            <w:r>
              <w:rPr>
                <w:spacing w:val="-2"/>
                <w:sz w:val="16"/>
              </w:rPr>
              <w:t>6,419,910,000.00</w:t>
            </w:r>
          </w:p>
        </w:tc>
        <w:tc>
          <w:tcPr>
            <w:tcW w:w="1353" w:type="dxa"/>
            <w:shd w:val="clear" w:color="auto" w:fill="D2DFED"/>
          </w:tcPr>
          <w:p>
            <w:pPr>
              <w:pStyle w:val="TableParagraph"/>
              <w:spacing w:line="179" w:lineRule="exact"/>
              <w:ind w:left="122"/>
              <w:rPr>
                <w:sz w:val="16"/>
              </w:rPr>
            </w:pPr>
            <w:r>
              <w:rPr>
                <w:spacing w:val="-2"/>
                <w:sz w:val="16"/>
              </w:rPr>
              <w:t>649,990,000.00</w:t>
            </w:r>
          </w:p>
        </w:tc>
        <w:tc>
          <w:tcPr>
            <w:tcW w:w="1417" w:type="dxa"/>
            <w:shd w:val="clear" w:color="auto" w:fill="D2DFED"/>
          </w:tcPr>
          <w:p>
            <w:pPr>
              <w:pStyle w:val="TableParagraph"/>
              <w:spacing w:line="179" w:lineRule="exact"/>
              <w:ind w:right="80"/>
              <w:jc w:val="center"/>
              <w:rPr>
                <w:sz w:val="16"/>
              </w:rPr>
            </w:pPr>
            <w:r>
              <w:rPr>
                <w:spacing w:val="-2"/>
                <w:sz w:val="16"/>
              </w:rPr>
              <w:t>7,930,900,000.00</w:t>
            </w:r>
          </w:p>
        </w:tc>
        <w:tc>
          <w:tcPr>
            <w:tcW w:w="1548" w:type="dxa"/>
            <w:shd w:val="clear" w:color="auto" w:fill="D2DFED"/>
          </w:tcPr>
          <w:p>
            <w:pPr>
              <w:pStyle w:val="TableParagraph"/>
              <w:spacing w:line="179" w:lineRule="exact"/>
              <w:ind w:left="106"/>
              <w:rPr>
                <w:sz w:val="16"/>
              </w:rPr>
            </w:pPr>
            <w:r>
              <w:rPr>
                <w:spacing w:val="-2"/>
                <w:sz w:val="16"/>
              </w:rPr>
              <w:t>13,911,407,000.00</w:t>
            </w:r>
          </w:p>
        </w:tc>
        <w:tc>
          <w:tcPr>
            <w:tcW w:w="1593" w:type="dxa"/>
            <w:shd w:val="clear" w:color="auto" w:fill="D2DFED"/>
          </w:tcPr>
          <w:p>
            <w:pPr>
              <w:pStyle w:val="TableParagraph"/>
              <w:spacing w:line="179" w:lineRule="exact"/>
              <w:ind w:left="157"/>
              <w:rPr>
                <w:sz w:val="16"/>
              </w:rPr>
            </w:pPr>
            <w:r>
              <w:rPr>
                <w:spacing w:val="-2"/>
                <w:sz w:val="16"/>
              </w:rPr>
              <w:t>29,773,207,000.00</w:t>
            </w:r>
          </w:p>
        </w:tc>
      </w:tr>
      <w:tr>
        <w:trPr>
          <w:trHeight w:val="300" w:hRule="atLeast"/>
        </w:trPr>
        <w:tc>
          <w:tcPr>
            <w:tcW w:w="690" w:type="dxa"/>
          </w:tcPr>
          <w:p>
            <w:pPr>
              <w:pStyle w:val="TableParagraph"/>
              <w:spacing w:line="223" w:lineRule="exact"/>
              <w:ind w:right="41"/>
              <w:jc w:val="center"/>
              <w:rPr>
                <w:sz w:val="20"/>
              </w:rPr>
            </w:pPr>
            <w:r>
              <w:rPr>
                <w:spacing w:val="-4"/>
                <w:sz w:val="20"/>
              </w:rPr>
              <w:t>2001</w:t>
            </w:r>
          </w:p>
        </w:tc>
        <w:tc>
          <w:tcPr>
            <w:tcW w:w="1454" w:type="dxa"/>
          </w:tcPr>
          <w:p>
            <w:pPr>
              <w:pStyle w:val="TableParagraph"/>
              <w:spacing w:line="179" w:lineRule="exact"/>
              <w:ind w:left="145"/>
              <w:rPr>
                <w:sz w:val="16"/>
              </w:rPr>
            </w:pPr>
            <w:r>
              <w:rPr>
                <w:spacing w:val="-2"/>
                <w:sz w:val="16"/>
              </w:rPr>
              <w:t>1,644,176,480.00</w:t>
            </w:r>
          </w:p>
        </w:tc>
        <w:tc>
          <w:tcPr>
            <w:tcW w:w="1432" w:type="dxa"/>
          </w:tcPr>
          <w:p>
            <w:pPr>
              <w:pStyle w:val="TableParagraph"/>
              <w:spacing w:line="179" w:lineRule="exact"/>
              <w:ind w:right="94"/>
              <w:jc w:val="center"/>
              <w:rPr>
                <w:sz w:val="16"/>
              </w:rPr>
            </w:pPr>
            <w:r>
              <w:rPr>
                <w:spacing w:val="-2"/>
                <w:sz w:val="16"/>
              </w:rPr>
              <w:t>7,415,000,000.00</w:t>
            </w:r>
          </w:p>
        </w:tc>
        <w:tc>
          <w:tcPr>
            <w:tcW w:w="1353" w:type="dxa"/>
          </w:tcPr>
          <w:p>
            <w:pPr>
              <w:pStyle w:val="TableParagraph"/>
              <w:spacing w:line="179" w:lineRule="exact"/>
              <w:ind w:left="122"/>
              <w:rPr>
                <w:sz w:val="16"/>
              </w:rPr>
            </w:pPr>
            <w:r>
              <w:rPr>
                <w:spacing w:val="-2"/>
                <w:sz w:val="16"/>
              </w:rPr>
              <w:t>886,350,000.00</w:t>
            </w:r>
          </w:p>
        </w:tc>
        <w:tc>
          <w:tcPr>
            <w:tcW w:w="1417" w:type="dxa"/>
          </w:tcPr>
          <w:p>
            <w:pPr>
              <w:pStyle w:val="TableParagraph"/>
              <w:spacing w:line="179" w:lineRule="exact"/>
              <w:ind w:right="80"/>
              <w:jc w:val="center"/>
              <w:rPr>
                <w:sz w:val="16"/>
              </w:rPr>
            </w:pPr>
            <w:r>
              <w:rPr>
                <w:spacing w:val="-2"/>
                <w:sz w:val="16"/>
              </w:rPr>
              <w:t>9,970,000,000.00</w:t>
            </w:r>
          </w:p>
        </w:tc>
        <w:tc>
          <w:tcPr>
            <w:tcW w:w="1548" w:type="dxa"/>
          </w:tcPr>
          <w:p>
            <w:pPr>
              <w:pStyle w:val="TableParagraph"/>
              <w:spacing w:line="179" w:lineRule="exact"/>
              <w:ind w:left="106"/>
              <w:rPr>
                <w:sz w:val="16"/>
              </w:rPr>
            </w:pPr>
            <w:r>
              <w:rPr>
                <w:spacing w:val="-2"/>
                <w:sz w:val="16"/>
              </w:rPr>
              <w:t>12,602,390,380.00</w:t>
            </w:r>
          </w:p>
        </w:tc>
        <w:tc>
          <w:tcPr>
            <w:tcW w:w="1593" w:type="dxa"/>
          </w:tcPr>
          <w:p>
            <w:pPr>
              <w:pStyle w:val="TableParagraph"/>
              <w:spacing w:line="179" w:lineRule="exact"/>
              <w:ind w:left="157"/>
              <w:rPr>
                <w:sz w:val="16"/>
              </w:rPr>
            </w:pPr>
            <w:r>
              <w:rPr>
                <w:spacing w:val="-2"/>
                <w:sz w:val="16"/>
              </w:rPr>
              <w:t>32,517,916,860.00</w:t>
            </w:r>
          </w:p>
        </w:tc>
      </w:tr>
      <w:tr>
        <w:trPr>
          <w:trHeight w:val="300" w:hRule="atLeast"/>
        </w:trPr>
        <w:tc>
          <w:tcPr>
            <w:tcW w:w="690" w:type="dxa"/>
            <w:shd w:val="clear" w:color="auto" w:fill="D2DFED"/>
          </w:tcPr>
          <w:p>
            <w:pPr>
              <w:pStyle w:val="TableParagraph"/>
              <w:spacing w:line="223" w:lineRule="exact"/>
              <w:ind w:right="41"/>
              <w:jc w:val="center"/>
              <w:rPr>
                <w:sz w:val="20"/>
              </w:rPr>
            </w:pPr>
            <w:r>
              <w:rPr>
                <w:spacing w:val="-4"/>
                <w:sz w:val="20"/>
              </w:rPr>
              <w:t>2002</w:t>
            </w:r>
          </w:p>
        </w:tc>
        <w:tc>
          <w:tcPr>
            <w:tcW w:w="1454" w:type="dxa"/>
            <w:shd w:val="clear" w:color="auto" w:fill="D2DFED"/>
          </w:tcPr>
          <w:p>
            <w:pPr>
              <w:pStyle w:val="TableParagraph"/>
              <w:spacing w:line="179" w:lineRule="exact"/>
              <w:ind w:left="145"/>
              <w:rPr>
                <w:sz w:val="16"/>
              </w:rPr>
            </w:pPr>
            <w:r>
              <w:rPr>
                <w:spacing w:val="-2"/>
                <w:sz w:val="16"/>
              </w:rPr>
              <w:t>2,621,000,000.00</w:t>
            </w:r>
          </w:p>
        </w:tc>
        <w:tc>
          <w:tcPr>
            <w:tcW w:w="1432" w:type="dxa"/>
            <w:shd w:val="clear" w:color="auto" w:fill="D2DFED"/>
          </w:tcPr>
          <w:p>
            <w:pPr>
              <w:pStyle w:val="TableParagraph"/>
              <w:spacing w:line="179" w:lineRule="exact"/>
              <w:ind w:left="79" w:right="94"/>
              <w:jc w:val="center"/>
              <w:rPr>
                <w:sz w:val="16"/>
              </w:rPr>
            </w:pPr>
            <w:r>
              <w:rPr>
                <w:spacing w:val="-2"/>
                <w:sz w:val="16"/>
              </w:rPr>
              <w:t>11,400,000,000.00</w:t>
            </w:r>
          </w:p>
        </w:tc>
        <w:tc>
          <w:tcPr>
            <w:tcW w:w="1353" w:type="dxa"/>
            <w:shd w:val="clear" w:color="auto" w:fill="D2DFED"/>
          </w:tcPr>
          <w:p>
            <w:pPr>
              <w:pStyle w:val="TableParagraph"/>
              <w:spacing w:line="179" w:lineRule="exact"/>
              <w:ind w:left="122"/>
              <w:rPr>
                <w:sz w:val="16"/>
              </w:rPr>
            </w:pPr>
            <w:r>
              <w:rPr>
                <w:spacing w:val="-2"/>
                <w:sz w:val="16"/>
              </w:rPr>
              <w:t>1,440,000,000.00</w:t>
            </w:r>
          </w:p>
        </w:tc>
        <w:tc>
          <w:tcPr>
            <w:tcW w:w="1417" w:type="dxa"/>
            <w:shd w:val="clear" w:color="auto" w:fill="D2DFED"/>
          </w:tcPr>
          <w:p>
            <w:pPr>
              <w:pStyle w:val="TableParagraph"/>
              <w:spacing w:line="179" w:lineRule="exact"/>
              <w:ind w:left="79" w:right="80"/>
              <w:jc w:val="center"/>
              <w:rPr>
                <w:sz w:val="16"/>
              </w:rPr>
            </w:pPr>
            <w:r>
              <w:rPr>
                <w:spacing w:val="-2"/>
                <w:sz w:val="16"/>
              </w:rPr>
              <w:t>15,461,000,000.00</w:t>
            </w:r>
          </w:p>
        </w:tc>
        <w:tc>
          <w:tcPr>
            <w:tcW w:w="1548" w:type="dxa"/>
            <w:shd w:val="clear" w:color="auto" w:fill="D2DFED"/>
          </w:tcPr>
          <w:p>
            <w:pPr>
              <w:pStyle w:val="TableParagraph"/>
              <w:spacing w:line="179" w:lineRule="exact"/>
              <w:ind w:left="106"/>
              <w:rPr>
                <w:sz w:val="16"/>
              </w:rPr>
            </w:pPr>
            <w:r>
              <w:rPr>
                <w:spacing w:val="-2"/>
                <w:sz w:val="16"/>
              </w:rPr>
              <w:t>9,856,947,000.00</w:t>
            </w:r>
          </w:p>
        </w:tc>
        <w:tc>
          <w:tcPr>
            <w:tcW w:w="1593" w:type="dxa"/>
            <w:shd w:val="clear" w:color="auto" w:fill="D2DFED"/>
          </w:tcPr>
          <w:p>
            <w:pPr>
              <w:pStyle w:val="TableParagraph"/>
              <w:spacing w:line="179" w:lineRule="exact"/>
              <w:ind w:left="157"/>
              <w:rPr>
                <w:sz w:val="16"/>
              </w:rPr>
            </w:pPr>
            <w:r>
              <w:rPr>
                <w:spacing w:val="-2"/>
                <w:sz w:val="16"/>
              </w:rPr>
              <w:t>40,778,947,000.00</w:t>
            </w:r>
          </w:p>
        </w:tc>
      </w:tr>
      <w:tr>
        <w:trPr>
          <w:trHeight w:val="300" w:hRule="atLeast"/>
        </w:trPr>
        <w:tc>
          <w:tcPr>
            <w:tcW w:w="690" w:type="dxa"/>
          </w:tcPr>
          <w:p>
            <w:pPr>
              <w:pStyle w:val="TableParagraph"/>
              <w:spacing w:line="223" w:lineRule="exact"/>
              <w:ind w:right="41"/>
              <w:jc w:val="center"/>
              <w:rPr>
                <w:sz w:val="20"/>
              </w:rPr>
            </w:pPr>
            <w:r>
              <w:rPr>
                <w:spacing w:val="-4"/>
                <w:sz w:val="20"/>
              </w:rPr>
              <w:t>2003</w:t>
            </w:r>
          </w:p>
        </w:tc>
        <w:tc>
          <w:tcPr>
            <w:tcW w:w="1454" w:type="dxa"/>
          </w:tcPr>
          <w:p>
            <w:pPr>
              <w:pStyle w:val="TableParagraph"/>
              <w:spacing w:line="179" w:lineRule="exact"/>
              <w:ind w:left="145"/>
              <w:rPr>
                <w:sz w:val="16"/>
              </w:rPr>
            </w:pPr>
            <w:r>
              <w:rPr>
                <w:spacing w:val="-2"/>
                <w:sz w:val="16"/>
              </w:rPr>
              <w:t>2,400,000,000.00</w:t>
            </w:r>
          </w:p>
        </w:tc>
        <w:tc>
          <w:tcPr>
            <w:tcW w:w="1432" w:type="dxa"/>
          </w:tcPr>
          <w:p>
            <w:pPr>
              <w:pStyle w:val="TableParagraph"/>
              <w:spacing w:line="179" w:lineRule="exact"/>
              <w:ind w:left="79" w:right="94"/>
              <w:jc w:val="center"/>
              <w:rPr>
                <w:sz w:val="16"/>
              </w:rPr>
            </w:pPr>
            <w:r>
              <w:rPr>
                <w:spacing w:val="-2"/>
                <w:sz w:val="16"/>
              </w:rPr>
              <w:t>11,760,000,000.00</w:t>
            </w:r>
          </w:p>
        </w:tc>
        <w:tc>
          <w:tcPr>
            <w:tcW w:w="1353" w:type="dxa"/>
          </w:tcPr>
          <w:p>
            <w:pPr>
              <w:pStyle w:val="TableParagraph"/>
              <w:spacing w:line="179" w:lineRule="exact"/>
              <w:ind w:left="122"/>
              <w:rPr>
                <w:sz w:val="16"/>
              </w:rPr>
            </w:pPr>
            <w:r>
              <w:rPr>
                <w:spacing w:val="-2"/>
                <w:sz w:val="16"/>
              </w:rPr>
              <w:t>1,464,000,000.00</w:t>
            </w:r>
          </w:p>
        </w:tc>
        <w:tc>
          <w:tcPr>
            <w:tcW w:w="1417" w:type="dxa"/>
          </w:tcPr>
          <w:p>
            <w:pPr>
              <w:pStyle w:val="TableParagraph"/>
              <w:spacing w:line="179" w:lineRule="exact"/>
              <w:ind w:left="79" w:right="80"/>
              <w:jc w:val="center"/>
              <w:rPr>
                <w:sz w:val="16"/>
              </w:rPr>
            </w:pPr>
            <w:r>
              <w:rPr>
                <w:spacing w:val="-2"/>
                <w:sz w:val="16"/>
              </w:rPr>
              <w:t>15,624,000,000.00</w:t>
            </w:r>
          </w:p>
        </w:tc>
        <w:tc>
          <w:tcPr>
            <w:tcW w:w="1548" w:type="dxa"/>
          </w:tcPr>
          <w:p>
            <w:pPr>
              <w:pStyle w:val="TableParagraph"/>
              <w:spacing w:line="179" w:lineRule="exact"/>
              <w:ind w:left="106"/>
              <w:rPr>
                <w:sz w:val="16"/>
              </w:rPr>
            </w:pPr>
            <w:r>
              <w:rPr>
                <w:spacing w:val="-2"/>
                <w:sz w:val="16"/>
              </w:rPr>
              <w:t>7,763,949,960.00</w:t>
            </w:r>
          </w:p>
        </w:tc>
        <w:tc>
          <w:tcPr>
            <w:tcW w:w="1593" w:type="dxa"/>
          </w:tcPr>
          <w:p>
            <w:pPr>
              <w:pStyle w:val="TableParagraph"/>
              <w:spacing w:line="179" w:lineRule="exact"/>
              <w:ind w:left="157"/>
              <w:rPr>
                <w:sz w:val="16"/>
              </w:rPr>
            </w:pPr>
            <w:r>
              <w:rPr>
                <w:spacing w:val="-2"/>
                <w:sz w:val="16"/>
              </w:rPr>
              <w:t>39,011,949,960.00</w:t>
            </w:r>
          </w:p>
        </w:tc>
      </w:tr>
      <w:tr>
        <w:trPr>
          <w:trHeight w:val="300" w:hRule="atLeast"/>
        </w:trPr>
        <w:tc>
          <w:tcPr>
            <w:tcW w:w="690" w:type="dxa"/>
            <w:shd w:val="clear" w:color="auto" w:fill="D2DFED"/>
          </w:tcPr>
          <w:p>
            <w:pPr>
              <w:pStyle w:val="TableParagraph"/>
              <w:spacing w:line="223" w:lineRule="exact"/>
              <w:ind w:right="41"/>
              <w:jc w:val="center"/>
              <w:rPr>
                <w:sz w:val="20"/>
              </w:rPr>
            </w:pPr>
            <w:r>
              <w:rPr>
                <w:spacing w:val="-4"/>
                <w:sz w:val="20"/>
              </w:rPr>
              <w:t>2004</w:t>
            </w:r>
          </w:p>
        </w:tc>
        <w:tc>
          <w:tcPr>
            <w:tcW w:w="1454" w:type="dxa"/>
            <w:shd w:val="clear" w:color="auto" w:fill="D2DFED"/>
          </w:tcPr>
          <w:p>
            <w:pPr>
              <w:pStyle w:val="TableParagraph"/>
              <w:spacing w:line="179" w:lineRule="exact"/>
              <w:ind w:left="145"/>
              <w:rPr>
                <w:sz w:val="16"/>
              </w:rPr>
            </w:pPr>
            <w:r>
              <w:rPr>
                <w:spacing w:val="-2"/>
                <w:sz w:val="16"/>
              </w:rPr>
              <w:t>3,600,000,000.00</w:t>
            </w:r>
          </w:p>
        </w:tc>
        <w:tc>
          <w:tcPr>
            <w:tcW w:w="1432" w:type="dxa"/>
            <w:shd w:val="clear" w:color="auto" w:fill="D2DFED"/>
          </w:tcPr>
          <w:p>
            <w:pPr>
              <w:pStyle w:val="TableParagraph"/>
              <w:spacing w:line="179" w:lineRule="exact"/>
              <w:ind w:left="79" w:right="94"/>
              <w:jc w:val="center"/>
              <w:rPr>
                <w:sz w:val="16"/>
              </w:rPr>
            </w:pPr>
            <w:r>
              <w:rPr>
                <w:spacing w:val="-2"/>
                <w:sz w:val="16"/>
              </w:rPr>
              <w:t>11,040,000,000.00</w:t>
            </w:r>
          </w:p>
        </w:tc>
        <w:tc>
          <w:tcPr>
            <w:tcW w:w="1353" w:type="dxa"/>
            <w:shd w:val="clear" w:color="auto" w:fill="D2DFED"/>
          </w:tcPr>
          <w:p>
            <w:pPr>
              <w:pStyle w:val="TableParagraph"/>
              <w:spacing w:line="179" w:lineRule="exact"/>
              <w:ind w:left="122"/>
              <w:rPr>
                <w:sz w:val="16"/>
              </w:rPr>
            </w:pPr>
            <w:r>
              <w:rPr>
                <w:spacing w:val="-2"/>
                <w:sz w:val="16"/>
              </w:rPr>
              <w:t>1,800,000,000.00</w:t>
            </w:r>
          </w:p>
        </w:tc>
        <w:tc>
          <w:tcPr>
            <w:tcW w:w="1417" w:type="dxa"/>
            <w:shd w:val="clear" w:color="auto" w:fill="D2DFED"/>
          </w:tcPr>
          <w:p>
            <w:pPr>
              <w:pStyle w:val="TableParagraph"/>
              <w:spacing w:line="179" w:lineRule="exact"/>
              <w:ind w:left="79" w:right="80"/>
              <w:jc w:val="center"/>
              <w:rPr>
                <w:sz w:val="16"/>
              </w:rPr>
            </w:pPr>
            <w:r>
              <w:rPr>
                <w:spacing w:val="-2"/>
                <w:sz w:val="16"/>
              </w:rPr>
              <w:t>16,440,000,000.00</w:t>
            </w:r>
          </w:p>
        </w:tc>
        <w:tc>
          <w:tcPr>
            <w:tcW w:w="1548" w:type="dxa"/>
            <w:shd w:val="clear" w:color="auto" w:fill="D2DFED"/>
          </w:tcPr>
          <w:p>
            <w:pPr>
              <w:pStyle w:val="TableParagraph"/>
              <w:spacing w:line="179" w:lineRule="exact"/>
              <w:ind w:left="106"/>
              <w:rPr>
                <w:sz w:val="16"/>
              </w:rPr>
            </w:pPr>
            <w:r>
              <w:rPr>
                <w:spacing w:val="-2"/>
                <w:sz w:val="16"/>
              </w:rPr>
              <w:t>9,178,000,000.00</w:t>
            </w:r>
          </w:p>
        </w:tc>
        <w:tc>
          <w:tcPr>
            <w:tcW w:w="1593" w:type="dxa"/>
            <w:shd w:val="clear" w:color="auto" w:fill="D2DFED"/>
          </w:tcPr>
          <w:p>
            <w:pPr>
              <w:pStyle w:val="TableParagraph"/>
              <w:spacing w:line="179" w:lineRule="exact"/>
              <w:ind w:left="157"/>
              <w:rPr>
                <w:sz w:val="16"/>
              </w:rPr>
            </w:pPr>
            <w:r>
              <w:rPr>
                <w:spacing w:val="-2"/>
                <w:sz w:val="16"/>
              </w:rPr>
              <w:t>42,058,000,000.00</w:t>
            </w:r>
          </w:p>
        </w:tc>
      </w:tr>
      <w:tr>
        <w:trPr>
          <w:trHeight w:val="300" w:hRule="atLeast"/>
        </w:trPr>
        <w:tc>
          <w:tcPr>
            <w:tcW w:w="690" w:type="dxa"/>
          </w:tcPr>
          <w:p>
            <w:pPr>
              <w:pStyle w:val="TableParagraph"/>
              <w:spacing w:line="223" w:lineRule="exact"/>
              <w:ind w:right="41"/>
              <w:jc w:val="center"/>
              <w:rPr>
                <w:sz w:val="20"/>
              </w:rPr>
            </w:pPr>
            <w:r>
              <w:rPr>
                <w:spacing w:val="-4"/>
                <w:sz w:val="20"/>
              </w:rPr>
              <w:t>2005</w:t>
            </w:r>
          </w:p>
        </w:tc>
        <w:tc>
          <w:tcPr>
            <w:tcW w:w="1454" w:type="dxa"/>
          </w:tcPr>
          <w:p>
            <w:pPr>
              <w:pStyle w:val="TableParagraph"/>
              <w:spacing w:line="179" w:lineRule="exact"/>
              <w:ind w:left="145"/>
              <w:rPr>
                <w:sz w:val="16"/>
              </w:rPr>
            </w:pPr>
            <w:r>
              <w:rPr>
                <w:spacing w:val="-2"/>
                <w:sz w:val="16"/>
              </w:rPr>
              <w:t>3,720,000,000.00</w:t>
            </w:r>
          </w:p>
        </w:tc>
        <w:tc>
          <w:tcPr>
            <w:tcW w:w="1432" w:type="dxa"/>
          </w:tcPr>
          <w:p>
            <w:pPr>
              <w:pStyle w:val="TableParagraph"/>
              <w:spacing w:line="179" w:lineRule="exact"/>
              <w:ind w:left="79" w:right="94"/>
              <w:jc w:val="center"/>
              <w:rPr>
                <w:sz w:val="16"/>
              </w:rPr>
            </w:pPr>
            <w:r>
              <w:rPr>
                <w:spacing w:val="-2"/>
                <w:sz w:val="16"/>
              </w:rPr>
              <w:t>17,400,000,000.00</w:t>
            </w:r>
          </w:p>
        </w:tc>
        <w:tc>
          <w:tcPr>
            <w:tcW w:w="1353" w:type="dxa"/>
          </w:tcPr>
          <w:p>
            <w:pPr>
              <w:pStyle w:val="TableParagraph"/>
              <w:spacing w:line="179" w:lineRule="exact"/>
              <w:ind w:left="122"/>
              <w:rPr>
                <w:sz w:val="16"/>
              </w:rPr>
            </w:pPr>
            <w:r>
              <w:rPr>
                <w:spacing w:val="-2"/>
                <w:sz w:val="16"/>
              </w:rPr>
              <w:t>2,040,000,000.00</w:t>
            </w:r>
          </w:p>
        </w:tc>
        <w:tc>
          <w:tcPr>
            <w:tcW w:w="1417" w:type="dxa"/>
          </w:tcPr>
          <w:p>
            <w:pPr>
              <w:pStyle w:val="TableParagraph"/>
              <w:spacing w:line="179" w:lineRule="exact"/>
              <w:ind w:left="79" w:right="80"/>
              <w:jc w:val="center"/>
              <w:rPr>
                <w:sz w:val="16"/>
              </w:rPr>
            </w:pPr>
            <w:r>
              <w:rPr>
                <w:spacing w:val="-2"/>
                <w:sz w:val="16"/>
              </w:rPr>
              <w:t>23,160,000,000.00</w:t>
            </w:r>
          </w:p>
        </w:tc>
        <w:tc>
          <w:tcPr>
            <w:tcW w:w="1548" w:type="dxa"/>
          </w:tcPr>
          <w:p>
            <w:pPr>
              <w:pStyle w:val="TableParagraph"/>
              <w:spacing w:line="179" w:lineRule="exact"/>
              <w:ind w:left="106"/>
              <w:rPr>
                <w:sz w:val="16"/>
              </w:rPr>
            </w:pPr>
            <w:r>
              <w:rPr>
                <w:spacing w:val="-2"/>
                <w:sz w:val="16"/>
              </w:rPr>
              <w:t>16,402,000,000.00</w:t>
            </w:r>
          </w:p>
        </w:tc>
        <w:tc>
          <w:tcPr>
            <w:tcW w:w="1593" w:type="dxa"/>
          </w:tcPr>
          <w:p>
            <w:pPr>
              <w:pStyle w:val="TableParagraph"/>
              <w:spacing w:line="179" w:lineRule="exact"/>
              <w:ind w:left="157"/>
              <w:rPr>
                <w:sz w:val="16"/>
              </w:rPr>
            </w:pPr>
            <w:r>
              <w:rPr>
                <w:spacing w:val="-2"/>
                <w:sz w:val="16"/>
              </w:rPr>
              <w:t>62,722,000,000.00</w:t>
            </w:r>
          </w:p>
        </w:tc>
      </w:tr>
      <w:tr>
        <w:trPr>
          <w:trHeight w:val="300" w:hRule="atLeast"/>
        </w:trPr>
        <w:tc>
          <w:tcPr>
            <w:tcW w:w="690" w:type="dxa"/>
            <w:shd w:val="clear" w:color="auto" w:fill="D2DFED"/>
          </w:tcPr>
          <w:p>
            <w:pPr>
              <w:pStyle w:val="TableParagraph"/>
              <w:spacing w:line="224" w:lineRule="exact"/>
              <w:ind w:right="41"/>
              <w:jc w:val="center"/>
              <w:rPr>
                <w:sz w:val="20"/>
              </w:rPr>
            </w:pPr>
            <w:r>
              <w:rPr>
                <w:spacing w:val="-4"/>
                <w:sz w:val="20"/>
              </w:rPr>
              <w:t>2006</w:t>
            </w:r>
          </w:p>
        </w:tc>
        <w:tc>
          <w:tcPr>
            <w:tcW w:w="1454" w:type="dxa"/>
            <w:shd w:val="clear" w:color="auto" w:fill="D2DFED"/>
          </w:tcPr>
          <w:p>
            <w:pPr>
              <w:pStyle w:val="TableParagraph"/>
              <w:spacing w:line="178" w:lineRule="exact"/>
              <w:ind w:left="145"/>
              <w:rPr>
                <w:sz w:val="16"/>
              </w:rPr>
            </w:pPr>
            <w:r>
              <w:rPr>
                <w:spacing w:val="-2"/>
                <w:sz w:val="16"/>
              </w:rPr>
              <w:t>3,600,000,000.00</w:t>
            </w:r>
          </w:p>
        </w:tc>
        <w:tc>
          <w:tcPr>
            <w:tcW w:w="1432" w:type="dxa"/>
            <w:shd w:val="clear" w:color="auto" w:fill="D2DFED"/>
          </w:tcPr>
          <w:p>
            <w:pPr>
              <w:pStyle w:val="TableParagraph"/>
              <w:spacing w:line="178" w:lineRule="exact"/>
              <w:ind w:left="79" w:right="94"/>
              <w:jc w:val="center"/>
              <w:rPr>
                <w:sz w:val="16"/>
              </w:rPr>
            </w:pPr>
            <w:r>
              <w:rPr>
                <w:spacing w:val="-2"/>
                <w:sz w:val="16"/>
              </w:rPr>
              <w:t>20,400,000,000.00</w:t>
            </w:r>
          </w:p>
        </w:tc>
        <w:tc>
          <w:tcPr>
            <w:tcW w:w="1353" w:type="dxa"/>
            <w:shd w:val="clear" w:color="auto" w:fill="D2DFED"/>
          </w:tcPr>
          <w:p>
            <w:pPr>
              <w:pStyle w:val="TableParagraph"/>
              <w:spacing w:line="178" w:lineRule="exact"/>
              <w:ind w:left="122"/>
              <w:rPr>
                <w:sz w:val="16"/>
              </w:rPr>
            </w:pPr>
            <w:r>
              <w:rPr>
                <w:spacing w:val="-2"/>
                <w:sz w:val="16"/>
              </w:rPr>
              <w:t>2,701,318,164.25</w:t>
            </w:r>
          </w:p>
        </w:tc>
        <w:tc>
          <w:tcPr>
            <w:tcW w:w="1417" w:type="dxa"/>
            <w:shd w:val="clear" w:color="auto" w:fill="D2DFED"/>
          </w:tcPr>
          <w:p>
            <w:pPr>
              <w:pStyle w:val="TableParagraph"/>
              <w:spacing w:line="178" w:lineRule="exact"/>
              <w:ind w:left="79" w:right="80"/>
              <w:jc w:val="center"/>
              <w:rPr>
                <w:sz w:val="16"/>
              </w:rPr>
            </w:pPr>
            <w:r>
              <w:rPr>
                <w:spacing w:val="-2"/>
                <w:sz w:val="16"/>
              </w:rPr>
              <w:t>24,000,000,000.00</w:t>
            </w:r>
          </w:p>
        </w:tc>
        <w:tc>
          <w:tcPr>
            <w:tcW w:w="1548" w:type="dxa"/>
            <w:shd w:val="clear" w:color="auto" w:fill="D2DFED"/>
          </w:tcPr>
          <w:p>
            <w:pPr>
              <w:pStyle w:val="TableParagraph"/>
              <w:spacing w:line="178" w:lineRule="exact"/>
              <w:ind w:left="106"/>
              <w:rPr>
                <w:sz w:val="16"/>
              </w:rPr>
            </w:pPr>
            <w:r>
              <w:rPr>
                <w:spacing w:val="-2"/>
                <w:sz w:val="16"/>
              </w:rPr>
              <w:t>17,892,500,000.00</w:t>
            </w:r>
          </w:p>
        </w:tc>
        <w:tc>
          <w:tcPr>
            <w:tcW w:w="1593" w:type="dxa"/>
            <w:shd w:val="clear" w:color="auto" w:fill="D2DFED"/>
          </w:tcPr>
          <w:p>
            <w:pPr>
              <w:pStyle w:val="TableParagraph"/>
              <w:spacing w:line="178" w:lineRule="exact"/>
              <w:ind w:left="157"/>
              <w:rPr>
                <w:sz w:val="16"/>
              </w:rPr>
            </w:pPr>
            <w:r>
              <w:rPr>
                <w:spacing w:val="-2"/>
                <w:sz w:val="16"/>
              </w:rPr>
              <w:t>68,593,818,164.25</w:t>
            </w:r>
          </w:p>
        </w:tc>
      </w:tr>
      <w:tr>
        <w:trPr>
          <w:trHeight w:val="300" w:hRule="atLeast"/>
        </w:trPr>
        <w:tc>
          <w:tcPr>
            <w:tcW w:w="690" w:type="dxa"/>
          </w:tcPr>
          <w:p>
            <w:pPr>
              <w:pStyle w:val="TableParagraph"/>
              <w:spacing w:line="223" w:lineRule="exact"/>
              <w:ind w:right="41"/>
              <w:jc w:val="center"/>
              <w:rPr>
                <w:sz w:val="20"/>
              </w:rPr>
            </w:pPr>
            <w:r>
              <w:rPr>
                <w:spacing w:val="-4"/>
                <w:sz w:val="20"/>
              </w:rPr>
              <w:t>2007</w:t>
            </w:r>
          </w:p>
        </w:tc>
        <w:tc>
          <w:tcPr>
            <w:tcW w:w="1454" w:type="dxa"/>
          </w:tcPr>
          <w:p>
            <w:pPr>
              <w:pStyle w:val="TableParagraph"/>
              <w:spacing w:line="179" w:lineRule="exact"/>
              <w:ind w:left="145"/>
              <w:rPr>
                <w:sz w:val="16"/>
              </w:rPr>
            </w:pPr>
            <w:r>
              <w:rPr>
                <w:spacing w:val="-2"/>
                <w:sz w:val="16"/>
              </w:rPr>
              <w:t>8,400,000,000.00</w:t>
            </w:r>
          </w:p>
        </w:tc>
        <w:tc>
          <w:tcPr>
            <w:tcW w:w="1432" w:type="dxa"/>
          </w:tcPr>
          <w:p>
            <w:pPr>
              <w:pStyle w:val="TableParagraph"/>
              <w:spacing w:line="179" w:lineRule="exact"/>
              <w:ind w:left="79" w:right="94"/>
              <w:jc w:val="center"/>
              <w:rPr>
                <w:sz w:val="16"/>
              </w:rPr>
            </w:pPr>
            <w:r>
              <w:rPr>
                <w:spacing w:val="-2"/>
                <w:sz w:val="16"/>
              </w:rPr>
              <w:t>32,600,000,000.00</w:t>
            </w:r>
          </w:p>
        </w:tc>
        <w:tc>
          <w:tcPr>
            <w:tcW w:w="1353" w:type="dxa"/>
          </w:tcPr>
          <w:p>
            <w:pPr>
              <w:pStyle w:val="TableParagraph"/>
              <w:spacing w:line="179" w:lineRule="exact"/>
              <w:ind w:left="122"/>
              <w:rPr>
                <w:sz w:val="16"/>
              </w:rPr>
            </w:pPr>
            <w:r>
              <w:rPr>
                <w:spacing w:val="-2"/>
                <w:sz w:val="16"/>
              </w:rPr>
              <w:t>3,543,459,997.20</w:t>
            </w:r>
          </w:p>
        </w:tc>
        <w:tc>
          <w:tcPr>
            <w:tcW w:w="1417" w:type="dxa"/>
          </w:tcPr>
          <w:p>
            <w:pPr>
              <w:pStyle w:val="TableParagraph"/>
              <w:spacing w:line="179" w:lineRule="exact"/>
              <w:ind w:left="79" w:right="80"/>
              <w:jc w:val="center"/>
              <w:rPr>
                <w:sz w:val="16"/>
              </w:rPr>
            </w:pPr>
            <w:r>
              <w:rPr>
                <w:spacing w:val="-2"/>
                <w:sz w:val="16"/>
              </w:rPr>
              <w:t>41,000,000,000.00</w:t>
            </w:r>
          </w:p>
        </w:tc>
        <w:tc>
          <w:tcPr>
            <w:tcW w:w="1548" w:type="dxa"/>
          </w:tcPr>
          <w:p>
            <w:pPr>
              <w:pStyle w:val="TableParagraph"/>
              <w:spacing w:line="179" w:lineRule="exact"/>
              <w:ind w:left="106"/>
              <w:rPr>
                <w:sz w:val="16"/>
              </w:rPr>
            </w:pPr>
            <w:r>
              <w:rPr>
                <w:spacing w:val="-2"/>
                <w:sz w:val="16"/>
              </w:rPr>
              <w:t>35,023,000,000.00</w:t>
            </w:r>
          </w:p>
        </w:tc>
        <w:tc>
          <w:tcPr>
            <w:tcW w:w="1593" w:type="dxa"/>
          </w:tcPr>
          <w:p>
            <w:pPr>
              <w:pStyle w:val="TableParagraph"/>
              <w:spacing w:line="179" w:lineRule="exact"/>
              <w:ind w:left="157"/>
              <w:rPr>
                <w:sz w:val="16"/>
              </w:rPr>
            </w:pPr>
            <w:r>
              <w:rPr>
                <w:spacing w:val="-2"/>
                <w:sz w:val="16"/>
              </w:rPr>
              <w:t>120,566,459,997.20</w:t>
            </w:r>
          </w:p>
        </w:tc>
      </w:tr>
      <w:tr>
        <w:trPr>
          <w:trHeight w:val="300" w:hRule="atLeast"/>
        </w:trPr>
        <w:tc>
          <w:tcPr>
            <w:tcW w:w="690" w:type="dxa"/>
            <w:shd w:val="clear" w:color="auto" w:fill="D2DFED"/>
          </w:tcPr>
          <w:p>
            <w:pPr>
              <w:pStyle w:val="TableParagraph"/>
              <w:spacing w:line="223" w:lineRule="exact"/>
              <w:ind w:right="41"/>
              <w:jc w:val="center"/>
              <w:rPr>
                <w:sz w:val="20"/>
              </w:rPr>
            </w:pPr>
            <w:r>
              <w:rPr>
                <w:spacing w:val="-4"/>
                <w:sz w:val="20"/>
              </w:rPr>
              <w:t>2008</w:t>
            </w:r>
          </w:p>
        </w:tc>
        <w:tc>
          <w:tcPr>
            <w:tcW w:w="1454" w:type="dxa"/>
            <w:shd w:val="clear" w:color="auto" w:fill="D2DFED"/>
          </w:tcPr>
          <w:p>
            <w:pPr>
              <w:pStyle w:val="TableParagraph"/>
              <w:spacing w:line="179" w:lineRule="exact"/>
              <w:ind w:left="145"/>
              <w:rPr>
                <w:sz w:val="16"/>
              </w:rPr>
            </w:pPr>
            <w:r>
              <w:rPr>
                <w:spacing w:val="-2"/>
                <w:sz w:val="16"/>
              </w:rPr>
              <w:t>6,000,000,000.00</w:t>
            </w:r>
          </w:p>
        </w:tc>
        <w:tc>
          <w:tcPr>
            <w:tcW w:w="1432" w:type="dxa"/>
            <w:shd w:val="clear" w:color="auto" w:fill="D2DFED"/>
          </w:tcPr>
          <w:p>
            <w:pPr>
              <w:pStyle w:val="TableParagraph"/>
              <w:spacing w:line="179" w:lineRule="exact"/>
              <w:ind w:left="79" w:right="94"/>
              <w:jc w:val="center"/>
              <w:rPr>
                <w:sz w:val="16"/>
              </w:rPr>
            </w:pPr>
            <w:r>
              <w:rPr>
                <w:spacing w:val="-2"/>
                <w:sz w:val="16"/>
              </w:rPr>
              <w:t>24,000,000,000.00</w:t>
            </w:r>
          </w:p>
        </w:tc>
        <w:tc>
          <w:tcPr>
            <w:tcW w:w="1353" w:type="dxa"/>
            <w:shd w:val="clear" w:color="auto" w:fill="D2DFED"/>
          </w:tcPr>
          <w:p>
            <w:pPr>
              <w:pStyle w:val="TableParagraph"/>
              <w:spacing w:line="179" w:lineRule="exact"/>
              <w:ind w:left="122"/>
              <w:rPr>
                <w:sz w:val="16"/>
              </w:rPr>
            </w:pPr>
            <w:r>
              <w:rPr>
                <w:spacing w:val="-2"/>
                <w:sz w:val="16"/>
              </w:rPr>
              <w:t>4,672,527,336.06</w:t>
            </w:r>
          </w:p>
        </w:tc>
        <w:tc>
          <w:tcPr>
            <w:tcW w:w="1417" w:type="dxa"/>
            <w:shd w:val="clear" w:color="auto" w:fill="D2DFED"/>
          </w:tcPr>
          <w:p>
            <w:pPr>
              <w:pStyle w:val="TableParagraph"/>
              <w:spacing w:line="179" w:lineRule="exact"/>
              <w:ind w:left="79" w:right="80"/>
              <w:jc w:val="center"/>
              <w:rPr>
                <w:sz w:val="16"/>
              </w:rPr>
            </w:pPr>
            <w:r>
              <w:rPr>
                <w:spacing w:val="-2"/>
                <w:sz w:val="16"/>
              </w:rPr>
              <w:t>30,000,000,000.00</w:t>
            </w:r>
          </w:p>
        </w:tc>
        <w:tc>
          <w:tcPr>
            <w:tcW w:w="1548" w:type="dxa"/>
            <w:shd w:val="clear" w:color="auto" w:fill="D2DFED"/>
          </w:tcPr>
          <w:p>
            <w:pPr>
              <w:pStyle w:val="TableParagraph"/>
              <w:spacing w:line="179" w:lineRule="exact"/>
              <w:ind w:left="106"/>
              <w:rPr>
                <w:sz w:val="16"/>
              </w:rPr>
            </w:pPr>
            <w:r>
              <w:rPr>
                <w:spacing w:val="-2"/>
                <w:sz w:val="16"/>
              </w:rPr>
              <w:t>51,061,310,000.00</w:t>
            </w:r>
          </w:p>
        </w:tc>
        <w:tc>
          <w:tcPr>
            <w:tcW w:w="1593" w:type="dxa"/>
            <w:shd w:val="clear" w:color="auto" w:fill="D2DFED"/>
          </w:tcPr>
          <w:p>
            <w:pPr>
              <w:pStyle w:val="TableParagraph"/>
              <w:spacing w:line="179" w:lineRule="exact"/>
              <w:ind w:left="157"/>
              <w:rPr>
                <w:sz w:val="16"/>
              </w:rPr>
            </w:pPr>
            <w:r>
              <w:rPr>
                <w:spacing w:val="-2"/>
                <w:sz w:val="16"/>
              </w:rPr>
              <w:t>115,733,837,336.06</w:t>
            </w:r>
          </w:p>
        </w:tc>
      </w:tr>
      <w:tr>
        <w:trPr>
          <w:trHeight w:val="300" w:hRule="atLeast"/>
        </w:trPr>
        <w:tc>
          <w:tcPr>
            <w:tcW w:w="690" w:type="dxa"/>
          </w:tcPr>
          <w:p>
            <w:pPr>
              <w:pStyle w:val="TableParagraph"/>
              <w:spacing w:line="223" w:lineRule="exact"/>
              <w:ind w:right="41"/>
              <w:jc w:val="center"/>
              <w:rPr>
                <w:sz w:val="20"/>
              </w:rPr>
            </w:pPr>
            <w:r>
              <w:rPr>
                <w:spacing w:val="-4"/>
                <w:sz w:val="20"/>
              </w:rPr>
              <w:t>2009</w:t>
            </w:r>
          </w:p>
        </w:tc>
        <w:tc>
          <w:tcPr>
            <w:tcW w:w="1454" w:type="dxa"/>
          </w:tcPr>
          <w:p>
            <w:pPr>
              <w:pStyle w:val="TableParagraph"/>
              <w:spacing w:line="179" w:lineRule="exact"/>
              <w:ind w:left="145"/>
              <w:rPr>
                <w:sz w:val="16"/>
              </w:rPr>
            </w:pPr>
            <w:r>
              <w:rPr>
                <w:spacing w:val="-2"/>
                <w:sz w:val="16"/>
              </w:rPr>
              <w:t>10,000,000,000.00</w:t>
            </w:r>
          </w:p>
        </w:tc>
        <w:tc>
          <w:tcPr>
            <w:tcW w:w="1432" w:type="dxa"/>
          </w:tcPr>
          <w:p>
            <w:pPr>
              <w:pStyle w:val="TableParagraph"/>
              <w:spacing w:line="179" w:lineRule="exact"/>
              <w:ind w:left="79" w:right="94"/>
              <w:jc w:val="center"/>
              <w:rPr>
                <w:sz w:val="16"/>
              </w:rPr>
            </w:pPr>
            <w:r>
              <w:rPr>
                <w:spacing w:val="-2"/>
                <w:sz w:val="16"/>
              </w:rPr>
              <w:t>24,000,000,000.00</w:t>
            </w:r>
          </w:p>
        </w:tc>
        <w:tc>
          <w:tcPr>
            <w:tcW w:w="1353" w:type="dxa"/>
          </w:tcPr>
          <w:p>
            <w:pPr>
              <w:pStyle w:val="TableParagraph"/>
              <w:spacing w:line="179" w:lineRule="exact"/>
              <w:ind w:left="122"/>
              <w:rPr>
                <w:sz w:val="16"/>
              </w:rPr>
            </w:pPr>
            <w:r>
              <w:rPr>
                <w:spacing w:val="-2"/>
                <w:sz w:val="16"/>
              </w:rPr>
              <w:t>4,639,538,293.13</w:t>
            </w:r>
          </w:p>
        </w:tc>
        <w:tc>
          <w:tcPr>
            <w:tcW w:w="1417" w:type="dxa"/>
          </w:tcPr>
          <w:p>
            <w:pPr>
              <w:pStyle w:val="TableParagraph"/>
              <w:spacing w:line="179" w:lineRule="exact"/>
              <w:ind w:left="79" w:right="80"/>
              <w:jc w:val="center"/>
              <w:rPr>
                <w:sz w:val="16"/>
              </w:rPr>
            </w:pPr>
            <w:r>
              <w:rPr>
                <w:spacing w:val="-2"/>
                <w:sz w:val="16"/>
              </w:rPr>
              <w:t>34,000,000,000.00</w:t>
            </w:r>
          </w:p>
        </w:tc>
        <w:tc>
          <w:tcPr>
            <w:tcW w:w="1548" w:type="dxa"/>
          </w:tcPr>
          <w:p>
            <w:pPr>
              <w:pStyle w:val="TableParagraph"/>
              <w:spacing w:line="179" w:lineRule="exact"/>
              <w:ind w:left="106"/>
              <w:rPr>
                <w:sz w:val="16"/>
              </w:rPr>
            </w:pPr>
            <w:r>
              <w:rPr>
                <w:spacing w:val="-2"/>
                <w:sz w:val="16"/>
              </w:rPr>
              <w:t>47,692,120,000.00</w:t>
            </w:r>
          </w:p>
        </w:tc>
        <w:tc>
          <w:tcPr>
            <w:tcW w:w="1593" w:type="dxa"/>
          </w:tcPr>
          <w:p>
            <w:pPr>
              <w:pStyle w:val="TableParagraph"/>
              <w:spacing w:line="179" w:lineRule="exact"/>
              <w:ind w:left="157"/>
              <w:rPr>
                <w:sz w:val="16"/>
              </w:rPr>
            </w:pPr>
            <w:r>
              <w:rPr>
                <w:spacing w:val="-2"/>
                <w:sz w:val="16"/>
              </w:rPr>
              <w:t>120,331,658,293.13</w:t>
            </w:r>
          </w:p>
        </w:tc>
      </w:tr>
      <w:tr>
        <w:trPr>
          <w:trHeight w:val="300" w:hRule="atLeast"/>
        </w:trPr>
        <w:tc>
          <w:tcPr>
            <w:tcW w:w="690" w:type="dxa"/>
            <w:shd w:val="clear" w:color="auto" w:fill="D2DFED"/>
          </w:tcPr>
          <w:p>
            <w:pPr>
              <w:pStyle w:val="TableParagraph"/>
              <w:spacing w:line="223" w:lineRule="exact"/>
              <w:ind w:right="41"/>
              <w:jc w:val="center"/>
              <w:rPr>
                <w:sz w:val="20"/>
              </w:rPr>
            </w:pPr>
            <w:r>
              <w:rPr>
                <w:spacing w:val="-4"/>
                <w:sz w:val="20"/>
              </w:rPr>
              <w:t>2010</w:t>
            </w:r>
          </w:p>
        </w:tc>
        <w:tc>
          <w:tcPr>
            <w:tcW w:w="1454" w:type="dxa"/>
            <w:shd w:val="clear" w:color="auto" w:fill="D2DFED"/>
          </w:tcPr>
          <w:p>
            <w:pPr>
              <w:pStyle w:val="TableParagraph"/>
              <w:spacing w:line="179" w:lineRule="exact"/>
              <w:ind w:left="145"/>
              <w:rPr>
                <w:sz w:val="16"/>
              </w:rPr>
            </w:pPr>
            <w:r>
              <w:rPr>
                <w:spacing w:val="-2"/>
                <w:sz w:val="16"/>
              </w:rPr>
              <w:t>12,000,000,000.00</w:t>
            </w:r>
          </w:p>
        </w:tc>
        <w:tc>
          <w:tcPr>
            <w:tcW w:w="1432" w:type="dxa"/>
            <w:shd w:val="clear" w:color="auto" w:fill="D2DFED"/>
          </w:tcPr>
          <w:p>
            <w:pPr>
              <w:pStyle w:val="TableParagraph"/>
              <w:spacing w:line="179" w:lineRule="exact"/>
              <w:ind w:left="79" w:right="94"/>
              <w:jc w:val="center"/>
              <w:rPr>
                <w:sz w:val="16"/>
              </w:rPr>
            </w:pPr>
            <w:r>
              <w:rPr>
                <w:spacing w:val="-2"/>
                <w:sz w:val="16"/>
              </w:rPr>
              <w:t>18,000,000,000.00</w:t>
            </w:r>
          </w:p>
        </w:tc>
        <w:tc>
          <w:tcPr>
            <w:tcW w:w="1353" w:type="dxa"/>
            <w:shd w:val="clear" w:color="auto" w:fill="D2DFED"/>
          </w:tcPr>
          <w:p>
            <w:pPr>
              <w:pStyle w:val="TableParagraph"/>
              <w:spacing w:line="179" w:lineRule="exact"/>
              <w:ind w:left="122"/>
              <w:rPr>
                <w:sz w:val="16"/>
              </w:rPr>
            </w:pPr>
            <w:r>
              <w:rPr>
                <w:spacing w:val="-2"/>
                <w:sz w:val="16"/>
              </w:rPr>
              <w:t>5,716,244,516.50</w:t>
            </w:r>
          </w:p>
        </w:tc>
        <w:tc>
          <w:tcPr>
            <w:tcW w:w="1417" w:type="dxa"/>
            <w:shd w:val="clear" w:color="auto" w:fill="D2DFED"/>
          </w:tcPr>
          <w:p>
            <w:pPr>
              <w:pStyle w:val="TableParagraph"/>
              <w:spacing w:line="179" w:lineRule="exact"/>
              <w:ind w:left="79" w:right="80"/>
              <w:jc w:val="center"/>
              <w:rPr>
                <w:sz w:val="16"/>
              </w:rPr>
            </w:pPr>
            <w:r>
              <w:rPr>
                <w:spacing w:val="-2"/>
                <w:sz w:val="16"/>
              </w:rPr>
              <w:t>30,000,000,000.00</w:t>
            </w:r>
          </w:p>
        </w:tc>
        <w:tc>
          <w:tcPr>
            <w:tcW w:w="1548" w:type="dxa"/>
            <w:shd w:val="clear" w:color="auto" w:fill="D2DFED"/>
          </w:tcPr>
          <w:p>
            <w:pPr>
              <w:pStyle w:val="TableParagraph"/>
              <w:spacing w:line="179" w:lineRule="exact"/>
              <w:ind w:left="106"/>
              <w:rPr>
                <w:sz w:val="16"/>
              </w:rPr>
            </w:pPr>
            <w:r>
              <w:rPr>
                <w:spacing w:val="-2"/>
                <w:sz w:val="16"/>
              </w:rPr>
              <w:t>40,294,000,000.00</w:t>
            </w:r>
          </w:p>
        </w:tc>
        <w:tc>
          <w:tcPr>
            <w:tcW w:w="1593" w:type="dxa"/>
            <w:shd w:val="clear" w:color="auto" w:fill="D2DFED"/>
          </w:tcPr>
          <w:p>
            <w:pPr>
              <w:pStyle w:val="TableParagraph"/>
              <w:spacing w:line="179" w:lineRule="exact"/>
              <w:ind w:left="157"/>
              <w:rPr>
                <w:sz w:val="16"/>
              </w:rPr>
            </w:pPr>
            <w:r>
              <w:rPr>
                <w:spacing w:val="-2"/>
                <w:sz w:val="16"/>
              </w:rPr>
              <w:t>106,010,244,516.50</w:t>
            </w:r>
          </w:p>
        </w:tc>
      </w:tr>
      <w:tr>
        <w:trPr>
          <w:trHeight w:val="300" w:hRule="atLeast"/>
        </w:trPr>
        <w:tc>
          <w:tcPr>
            <w:tcW w:w="690" w:type="dxa"/>
          </w:tcPr>
          <w:p>
            <w:pPr>
              <w:pStyle w:val="TableParagraph"/>
              <w:spacing w:line="223" w:lineRule="exact"/>
              <w:ind w:right="41"/>
              <w:jc w:val="center"/>
              <w:rPr>
                <w:sz w:val="20"/>
              </w:rPr>
            </w:pPr>
            <w:r>
              <w:rPr>
                <w:spacing w:val="-4"/>
                <w:sz w:val="20"/>
              </w:rPr>
              <w:t>2011</w:t>
            </w:r>
          </w:p>
        </w:tc>
        <w:tc>
          <w:tcPr>
            <w:tcW w:w="1454" w:type="dxa"/>
          </w:tcPr>
          <w:p>
            <w:pPr>
              <w:pStyle w:val="TableParagraph"/>
              <w:spacing w:line="179" w:lineRule="exact"/>
              <w:ind w:left="145"/>
              <w:rPr>
                <w:sz w:val="16"/>
              </w:rPr>
            </w:pPr>
            <w:r>
              <w:rPr>
                <w:spacing w:val="-2"/>
                <w:sz w:val="16"/>
              </w:rPr>
              <w:t>12,267,000,000.00</w:t>
            </w:r>
          </w:p>
        </w:tc>
        <w:tc>
          <w:tcPr>
            <w:tcW w:w="1432" w:type="dxa"/>
          </w:tcPr>
          <w:p>
            <w:pPr>
              <w:pStyle w:val="TableParagraph"/>
              <w:spacing w:line="179" w:lineRule="exact"/>
              <w:ind w:left="79" w:right="94"/>
              <w:jc w:val="center"/>
              <w:rPr>
                <w:sz w:val="16"/>
              </w:rPr>
            </w:pPr>
            <w:r>
              <w:rPr>
                <w:spacing w:val="-2"/>
                <w:sz w:val="16"/>
              </w:rPr>
              <w:t>28,000,000,000.00</w:t>
            </w:r>
          </w:p>
        </w:tc>
        <w:tc>
          <w:tcPr>
            <w:tcW w:w="1353" w:type="dxa"/>
          </w:tcPr>
          <w:p>
            <w:pPr>
              <w:pStyle w:val="TableParagraph"/>
              <w:spacing w:line="179" w:lineRule="exact"/>
              <w:ind w:left="122"/>
              <w:rPr>
                <w:sz w:val="16"/>
              </w:rPr>
            </w:pPr>
            <w:r>
              <w:rPr>
                <w:spacing w:val="-2"/>
                <w:sz w:val="16"/>
              </w:rPr>
              <w:t>7,469,191,424.13</w:t>
            </w:r>
          </w:p>
        </w:tc>
        <w:tc>
          <w:tcPr>
            <w:tcW w:w="1417" w:type="dxa"/>
          </w:tcPr>
          <w:p>
            <w:pPr>
              <w:pStyle w:val="TableParagraph"/>
              <w:spacing w:line="179" w:lineRule="exact"/>
              <w:ind w:left="79" w:right="80"/>
              <w:jc w:val="center"/>
              <w:rPr>
                <w:sz w:val="16"/>
              </w:rPr>
            </w:pPr>
            <w:r>
              <w:rPr>
                <w:spacing w:val="-2"/>
                <w:sz w:val="16"/>
              </w:rPr>
              <w:t>40,267,000,000.00</w:t>
            </w:r>
          </w:p>
        </w:tc>
        <w:tc>
          <w:tcPr>
            <w:tcW w:w="1548" w:type="dxa"/>
          </w:tcPr>
          <w:p>
            <w:pPr>
              <w:pStyle w:val="TableParagraph"/>
              <w:spacing w:line="179" w:lineRule="exact"/>
              <w:ind w:left="106"/>
              <w:rPr>
                <w:sz w:val="16"/>
              </w:rPr>
            </w:pPr>
            <w:r>
              <w:rPr>
                <w:spacing w:val="-2"/>
                <w:sz w:val="16"/>
              </w:rPr>
              <w:t>33,691,000,000.00</w:t>
            </w:r>
          </w:p>
        </w:tc>
        <w:tc>
          <w:tcPr>
            <w:tcW w:w="1593" w:type="dxa"/>
          </w:tcPr>
          <w:p>
            <w:pPr>
              <w:pStyle w:val="TableParagraph"/>
              <w:spacing w:line="179" w:lineRule="exact"/>
              <w:ind w:left="157"/>
              <w:rPr>
                <w:sz w:val="16"/>
              </w:rPr>
            </w:pPr>
            <w:r>
              <w:rPr>
                <w:spacing w:val="-2"/>
                <w:sz w:val="16"/>
              </w:rPr>
              <w:t>121,694,191,424.13</w:t>
            </w:r>
          </w:p>
        </w:tc>
      </w:tr>
      <w:tr>
        <w:trPr>
          <w:trHeight w:val="300" w:hRule="atLeast"/>
        </w:trPr>
        <w:tc>
          <w:tcPr>
            <w:tcW w:w="690" w:type="dxa"/>
            <w:shd w:val="clear" w:color="auto" w:fill="D2DFED"/>
          </w:tcPr>
          <w:p>
            <w:pPr>
              <w:pStyle w:val="TableParagraph"/>
              <w:spacing w:line="223" w:lineRule="exact"/>
              <w:ind w:right="41"/>
              <w:jc w:val="center"/>
              <w:rPr>
                <w:sz w:val="20"/>
              </w:rPr>
            </w:pPr>
            <w:r>
              <w:rPr>
                <w:spacing w:val="-4"/>
                <w:sz w:val="20"/>
              </w:rPr>
              <w:t>2012</w:t>
            </w:r>
          </w:p>
        </w:tc>
        <w:tc>
          <w:tcPr>
            <w:tcW w:w="1454" w:type="dxa"/>
            <w:shd w:val="clear" w:color="auto" w:fill="D2DFED"/>
          </w:tcPr>
          <w:p>
            <w:pPr>
              <w:pStyle w:val="TableParagraph"/>
              <w:spacing w:line="179" w:lineRule="exact"/>
              <w:ind w:left="145"/>
              <w:rPr>
                <w:sz w:val="16"/>
              </w:rPr>
            </w:pPr>
            <w:r>
              <w:rPr>
                <w:spacing w:val="-2"/>
                <w:sz w:val="16"/>
              </w:rPr>
              <w:t>12,000,000,000.00</w:t>
            </w:r>
          </w:p>
        </w:tc>
        <w:tc>
          <w:tcPr>
            <w:tcW w:w="1432" w:type="dxa"/>
            <w:shd w:val="clear" w:color="auto" w:fill="D2DFED"/>
          </w:tcPr>
          <w:p>
            <w:pPr>
              <w:pStyle w:val="TableParagraph"/>
              <w:spacing w:line="179" w:lineRule="exact"/>
              <w:ind w:left="79" w:right="94"/>
              <w:jc w:val="center"/>
              <w:rPr>
                <w:sz w:val="16"/>
              </w:rPr>
            </w:pPr>
            <w:r>
              <w:rPr>
                <w:spacing w:val="-2"/>
                <w:sz w:val="16"/>
              </w:rPr>
              <w:t>36,600,000,000.00</w:t>
            </w:r>
          </w:p>
        </w:tc>
        <w:tc>
          <w:tcPr>
            <w:tcW w:w="1353" w:type="dxa"/>
            <w:shd w:val="clear" w:color="auto" w:fill="D2DFED"/>
          </w:tcPr>
          <w:p>
            <w:pPr>
              <w:pStyle w:val="TableParagraph"/>
              <w:spacing w:line="179" w:lineRule="exact"/>
              <w:ind w:left="122"/>
              <w:rPr>
                <w:sz w:val="16"/>
              </w:rPr>
            </w:pPr>
            <w:r>
              <w:rPr>
                <w:spacing w:val="-2"/>
                <w:sz w:val="16"/>
              </w:rPr>
              <w:t>8,106,711,131,96</w:t>
            </w:r>
          </w:p>
        </w:tc>
        <w:tc>
          <w:tcPr>
            <w:tcW w:w="1417" w:type="dxa"/>
            <w:shd w:val="clear" w:color="auto" w:fill="D2DFED"/>
          </w:tcPr>
          <w:p>
            <w:pPr>
              <w:pStyle w:val="TableParagraph"/>
              <w:spacing w:line="179" w:lineRule="exact"/>
              <w:ind w:left="79" w:right="80"/>
              <w:jc w:val="center"/>
              <w:rPr>
                <w:sz w:val="16"/>
              </w:rPr>
            </w:pPr>
            <w:r>
              <w:rPr>
                <w:spacing w:val="-2"/>
                <w:sz w:val="16"/>
              </w:rPr>
              <w:t>48,600,000,000.00</w:t>
            </w:r>
          </w:p>
        </w:tc>
        <w:tc>
          <w:tcPr>
            <w:tcW w:w="1548" w:type="dxa"/>
            <w:shd w:val="clear" w:color="auto" w:fill="D2DFED"/>
          </w:tcPr>
          <w:p>
            <w:pPr>
              <w:pStyle w:val="TableParagraph"/>
              <w:spacing w:line="179" w:lineRule="exact"/>
              <w:ind w:left="106"/>
              <w:rPr>
                <w:sz w:val="16"/>
              </w:rPr>
            </w:pPr>
            <w:r>
              <w:rPr>
                <w:spacing w:val="-2"/>
                <w:sz w:val="16"/>
              </w:rPr>
              <w:t>46,929,000,000.00</w:t>
            </w:r>
          </w:p>
        </w:tc>
        <w:tc>
          <w:tcPr>
            <w:tcW w:w="1593" w:type="dxa"/>
            <w:shd w:val="clear" w:color="auto" w:fill="D2DFED"/>
          </w:tcPr>
          <w:p>
            <w:pPr>
              <w:pStyle w:val="TableParagraph"/>
              <w:spacing w:line="179" w:lineRule="exact"/>
              <w:ind w:left="157"/>
              <w:rPr>
                <w:sz w:val="16"/>
              </w:rPr>
            </w:pPr>
            <w:r>
              <w:rPr>
                <w:spacing w:val="-2"/>
                <w:sz w:val="16"/>
              </w:rPr>
              <w:t>144,129,000,000.00</w:t>
            </w:r>
          </w:p>
        </w:tc>
      </w:tr>
      <w:tr>
        <w:trPr>
          <w:trHeight w:val="300" w:hRule="atLeast"/>
        </w:trPr>
        <w:tc>
          <w:tcPr>
            <w:tcW w:w="690" w:type="dxa"/>
          </w:tcPr>
          <w:p>
            <w:pPr>
              <w:pStyle w:val="TableParagraph"/>
              <w:spacing w:line="223" w:lineRule="exact"/>
              <w:ind w:right="41"/>
              <w:jc w:val="center"/>
              <w:rPr>
                <w:sz w:val="20"/>
              </w:rPr>
            </w:pPr>
            <w:r>
              <w:rPr>
                <w:spacing w:val="-4"/>
                <w:sz w:val="20"/>
              </w:rPr>
              <w:t>2013</w:t>
            </w:r>
          </w:p>
        </w:tc>
        <w:tc>
          <w:tcPr>
            <w:tcW w:w="1454" w:type="dxa"/>
          </w:tcPr>
          <w:p>
            <w:pPr>
              <w:pStyle w:val="TableParagraph"/>
              <w:spacing w:line="179" w:lineRule="exact"/>
              <w:ind w:left="145"/>
              <w:rPr>
                <w:sz w:val="16"/>
              </w:rPr>
            </w:pPr>
            <w:r>
              <w:rPr>
                <w:spacing w:val="-2"/>
                <w:sz w:val="16"/>
              </w:rPr>
              <w:t>17,919,000,000.00</w:t>
            </w:r>
          </w:p>
        </w:tc>
        <w:tc>
          <w:tcPr>
            <w:tcW w:w="1432" w:type="dxa"/>
          </w:tcPr>
          <w:p>
            <w:pPr>
              <w:pStyle w:val="TableParagraph"/>
              <w:spacing w:line="179" w:lineRule="exact"/>
              <w:ind w:left="79" w:right="94"/>
              <w:jc w:val="center"/>
              <w:rPr>
                <w:sz w:val="16"/>
              </w:rPr>
            </w:pPr>
            <w:r>
              <w:rPr>
                <w:spacing w:val="-2"/>
                <w:sz w:val="16"/>
              </w:rPr>
              <w:t>54,000,000,000.00</w:t>
            </w:r>
          </w:p>
        </w:tc>
        <w:tc>
          <w:tcPr>
            <w:tcW w:w="1353" w:type="dxa"/>
          </w:tcPr>
          <w:p>
            <w:pPr>
              <w:pStyle w:val="TableParagraph"/>
              <w:spacing w:line="179" w:lineRule="exact"/>
              <w:ind w:left="122"/>
              <w:rPr>
                <w:sz w:val="16"/>
              </w:rPr>
            </w:pPr>
            <w:r>
              <w:rPr>
                <w:spacing w:val="-2"/>
                <w:sz w:val="16"/>
              </w:rPr>
              <w:t>9,189,738,458.52</w:t>
            </w:r>
          </w:p>
        </w:tc>
        <w:tc>
          <w:tcPr>
            <w:tcW w:w="1417" w:type="dxa"/>
          </w:tcPr>
          <w:p>
            <w:pPr>
              <w:pStyle w:val="TableParagraph"/>
              <w:spacing w:line="179" w:lineRule="exact"/>
              <w:ind w:left="79" w:right="80"/>
              <w:jc w:val="center"/>
              <w:rPr>
                <w:sz w:val="16"/>
              </w:rPr>
            </w:pPr>
            <w:r>
              <w:rPr>
                <w:spacing w:val="-2"/>
                <w:sz w:val="16"/>
              </w:rPr>
              <w:t>71,919,000,000.00</w:t>
            </w:r>
          </w:p>
        </w:tc>
        <w:tc>
          <w:tcPr>
            <w:tcW w:w="1548" w:type="dxa"/>
          </w:tcPr>
          <w:p>
            <w:pPr>
              <w:pStyle w:val="TableParagraph"/>
              <w:spacing w:line="179" w:lineRule="exact"/>
              <w:ind w:left="106"/>
              <w:rPr>
                <w:sz w:val="16"/>
              </w:rPr>
            </w:pPr>
            <w:r>
              <w:rPr>
                <w:spacing w:val="-2"/>
                <w:sz w:val="16"/>
              </w:rPr>
              <w:t>70,955,000,000.00</w:t>
            </w:r>
          </w:p>
        </w:tc>
        <w:tc>
          <w:tcPr>
            <w:tcW w:w="1593" w:type="dxa"/>
          </w:tcPr>
          <w:p>
            <w:pPr>
              <w:pStyle w:val="TableParagraph"/>
              <w:spacing w:line="179" w:lineRule="exact"/>
              <w:ind w:left="157"/>
              <w:rPr>
                <w:sz w:val="16"/>
              </w:rPr>
            </w:pPr>
            <w:r>
              <w:rPr>
                <w:spacing w:val="-2"/>
                <w:sz w:val="16"/>
              </w:rPr>
              <w:t>223,982,738,458.52</w:t>
            </w:r>
          </w:p>
        </w:tc>
      </w:tr>
      <w:tr>
        <w:trPr>
          <w:trHeight w:val="300" w:hRule="atLeast"/>
        </w:trPr>
        <w:tc>
          <w:tcPr>
            <w:tcW w:w="690" w:type="dxa"/>
            <w:shd w:val="clear" w:color="auto" w:fill="D2DFED"/>
          </w:tcPr>
          <w:p>
            <w:pPr>
              <w:pStyle w:val="TableParagraph"/>
              <w:spacing w:line="223" w:lineRule="exact"/>
              <w:ind w:right="41"/>
              <w:jc w:val="center"/>
              <w:rPr>
                <w:sz w:val="20"/>
              </w:rPr>
            </w:pPr>
            <w:r>
              <w:rPr>
                <w:spacing w:val="-4"/>
                <w:sz w:val="20"/>
              </w:rPr>
              <w:t>2014</w:t>
            </w:r>
          </w:p>
        </w:tc>
        <w:tc>
          <w:tcPr>
            <w:tcW w:w="1454" w:type="dxa"/>
            <w:shd w:val="clear" w:color="auto" w:fill="D2DFED"/>
          </w:tcPr>
          <w:p>
            <w:pPr>
              <w:pStyle w:val="TableParagraph"/>
              <w:spacing w:line="179" w:lineRule="exact"/>
              <w:ind w:left="145"/>
              <w:rPr>
                <w:sz w:val="16"/>
              </w:rPr>
            </w:pPr>
            <w:r>
              <w:rPr>
                <w:spacing w:val="-2"/>
                <w:sz w:val="16"/>
              </w:rPr>
              <w:t>30,919,942,000.00</w:t>
            </w:r>
          </w:p>
        </w:tc>
        <w:tc>
          <w:tcPr>
            <w:tcW w:w="1432" w:type="dxa"/>
            <w:shd w:val="clear" w:color="auto" w:fill="D2DFED"/>
          </w:tcPr>
          <w:p>
            <w:pPr>
              <w:pStyle w:val="TableParagraph"/>
              <w:spacing w:line="179" w:lineRule="exact"/>
              <w:ind w:left="79" w:right="94"/>
              <w:jc w:val="center"/>
              <w:rPr>
                <w:sz w:val="16"/>
              </w:rPr>
            </w:pPr>
            <w:r>
              <w:rPr>
                <w:spacing w:val="-2"/>
                <w:sz w:val="16"/>
              </w:rPr>
              <w:t>56,600,000,000.00</w:t>
            </w:r>
          </w:p>
        </w:tc>
        <w:tc>
          <w:tcPr>
            <w:tcW w:w="1353" w:type="dxa"/>
            <w:shd w:val="clear" w:color="auto" w:fill="D2DFED"/>
          </w:tcPr>
          <w:p>
            <w:pPr>
              <w:pStyle w:val="TableParagraph"/>
              <w:spacing w:line="179" w:lineRule="exact"/>
              <w:ind w:left="122"/>
              <w:rPr>
                <w:sz w:val="16"/>
              </w:rPr>
            </w:pPr>
            <w:r>
              <w:rPr>
                <w:spacing w:val="-2"/>
                <w:sz w:val="16"/>
              </w:rPr>
              <w:t>9,128,818,655.59</w:t>
            </w:r>
          </w:p>
        </w:tc>
        <w:tc>
          <w:tcPr>
            <w:tcW w:w="1417" w:type="dxa"/>
            <w:shd w:val="clear" w:color="auto" w:fill="D2DFED"/>
          </w:tcPr>
          <w:p>
            <w:pPr>
              <w:pStyle w:val="TableParagraph"/>
              <w:spacing w:line="179" w:lineRule="exact"/>
              <w:ind w:left="79" w:right="80"/>
              <w:jc w:val="center"/>
              <w:rPr>
                <w:sz w:val="16"/>
              </w:rPr>
            </w:pPr>
            <w:r>
              <w:rPr>
                <w:spacing w:val="-2"/>
                <w:sz w:val="16"/>
              </w:rPr>
              <w:t>87,519,942,000.00</w:t>
            </w:r>
          </w:p>
        </w:tc>
        <w:tc>
          <w:tcPr>
            <w:tcW w:w="1548" w:type="dxa"/>
            <w:shd w:val="clear" w:color="auto" w:fill="D2DFED"/>
          </w:tcPr>
          <w:p>
            <w:pPr>
              <w:pStyle w:val="TableParagraph"/>
              <w:spacing w:line="179" w:lineRule="exact"/>
              <w:ind w:left="106"/>
              <w:rPr>
                <w:sz w:val="16"/>
              </w:rPr>
            </w:pPr>
            <w:r>
              <w:rPr>
                <w:spacing w:val="-2"/>
                <w:sz w:val="16"/>
              </w:rPr>
              <w:t>100,554,806,148.00</w:t>
            </w:r>
          </w:p>
        </w:tc>
        <w:tc>
          <w:tcPr>
            <w:tcW w:w="1593" w:type="dxa"/>
            <w:shd w:val="clear" w:color="auto" w:fill="D2DFED"/>
          </w:tcPr>
          <w:p>
            <w:pPr>
              <w:pStyle w:val="TableParagraph"/>
              <w:spacing w:line="179" w:lineRule="exact"/>
              <w:ind w:left="157"/>
              <w:rPr>
                <w:sz w:val="16"/>
              </w:rPr>
            </w:pPr>
            <w:r>
              <w:rPr>
                <w:spacing w:val="-2"/>
                <w:sz w:val="16"/>
              </w:rPr>
              <w:t>284,723,508,803.59</w:t>
            </w:r>
          </w:p>
        </w:tc>
      </w:tr>
      <w:tr>
        <w:trPr>
          <w:trHeight w:val="300" w:hRule="atLeast"/>
        </w:trPr>
        <w:tc>
          <w:tcPr>
            <w:tcW w:w="690" w:type="dxa"/>
          </w:tcPr>
          <w:p>
            <w:pPr>
              <w:pStyle w:val="TableParagraph"/>
              <w:spacing w:line="223" w:lineRule="exact"/>
              <w:ind w:right="41"/>
              <w:jc w:val="center"/>
              <w:rPr>
                <w:sz w:val="20"/>
              </w:rPr>
            </w:pPr>
            <w:r>
              <w:rPr>
                <w:spacing w:val="-4"/>
                <w:sz w:val="20"/>
              </w:rPr>
              <w:t>2015</w:t>
            </w:r>
          </w:p>
        </w:tc>
        <w:tc>
          <w:tcPr>
            <w:tcW w:w="1454" w:type="dxa"/>
          </w:tcPr>
          <w:p>
            <w:pPr>
              <w:pStyle w:val="TableParagraph"/>
              <w:spacing w:line="179" w:lineRule="exact"/>
              <w:ind w:left="145"/>
              <w:rPr>
                <w:sz w:val="16"/>
              </w:rPr>
            </w:pPr>
            <w:r>
              <w:rPr>
                <w:spacing w:val="-2"/>
                <w:sz w:val="16"/>
              </w:rPr>
              <w:t>54,000,000,000.00</w:t>
            </w:r>
          </w:p>
        </w:tc>
        <w:tc>
          <w:tcPr>
            <w:tcW w:w="1432" w:type="dxa"/>
          </w:tcPr>
          <w:p>
            <w:pPr>
              <w:pStyle w:val="TableParagraph"/>
              <w:spacing w:line="179" w:lineRule="exact"/>
              <w:ind w:left="79" w:right="94"/>
              <w:jc w:val="center"/>
              <w:rPr>
                <w:sz w:val="16"/>
              </w:rPr>
            </w:pPr>
            <w:r>
              <w:rPr>
                <w:spacing w:val="-2"/>
                <w:sz w:val="16"/>
              </w:rPr>
              <w:t>43,000,000,000.00</w:t>
            </w:r>
          </w:p>
        </w:tc>
        <w:tc>
          <w:tcPr>
            <w:tcW w:w="1353" w:type="dxa"/>
          </w:tcPr>
          <w:p>
            <w:pPr>
              <w:pStyle w:val="TableParagraph"/>
              <w:spacing w:line="179" w:lineRule="exact"/>
              <w:ind w:left="122"/>
              <w:rPr>
                <w:sz w:val="16"/>
              </w:rPr>
            </w:pPr>
            <w:r>
              <w:rPr>
                <w:spacing w:val="-2"/>
                <w:sz w:val="16"/>
              </w:rPr>
              <w:t>8,801,531,639.36</w:t>
            </w:r>
          </w:p>
        </w:tc>
        <w:tc>
          <w:tcPr>
            <w:tcW w:w="1417" w:type="dxa"/>
          </w:tcPr>
          <w:p>
            <w:pPr>
              <w:pStyle w:val="TableParagraph"/>
              <w:spacing w:line="179" w:lineRule="exact"/>
              <w:ind w:left="79" w:right="80"/>
              <w:jc w:val="center"/>
              <w:rPr>
                <w:sz w:val="16"/>
              </w:rPr>
            </w:pPr>
            <w:r>
              <w:rPr>
                <w:spacing w:val="-2"/>
                <w:sz w:val="16"/>
              </w:rPr>
              <w:t>97,000,000,000.00</w:t>
            </w:r>
          </w:p>
        </w:tc>
        <w:tc>
          <w:tcPr>
            <w:tcW w:w="1548" w:type="dxa"/>
          </w:tcPr>
          <w:p>
            <w:pPr>
              <w:pStyle w:val="TableParagraph"/>
              <w:spacing w:line="179" w:lineRule="exact"/>
              <w:ind w:left="106"/>
              <w:rPr>
                <w:sz w:val="16"/>
              </w:rPr>
            </w:pPr>
            <w:r>
              <w:rPr>
                <w:spacing w:val="-2"/>
                <w:sz w:val="16"/>
              </w:rPr>
              <w:t>48,400,000,000.00</w:t>
            </w:r>
          </w:p>
        </w:tc>
        <w:tc>
          <w:tcPr>
            <w:tcW w:w="1593" w:type="dxa"/>
          </w:tcPr>
          <w:p>
            <w:pPr>
              <w:pStyle w:val="TableParagraph"/>
              <w:spacing w:line="179" w:lineRule="exact"/>
              <w:ind w:left="157"/>
              <w:rPr>
                <w:sz w:val="16"/>
              </w:rPr>
            </w:pPr>
            <w:r>
              <w:rPr>
                <w:spacing w:val="-2"/>
                <w:sz w:val="16"/>
              </w:rPr>
              <w:t>251,201,531,639.36</w:t>
            </w:r>
          </w:p>
        </w:tc>
      </w:tr>
      <w:tr>
        <w:trPr>
          <w:trHeight w:val="302" w:hRule="atLeast"/>
        </w:trPr>
        <w:tc>
          <w:tcPr>
            <w:tcW w:w="690" w:type="dxa"/>
            <w:tcBorders>
              <w:bottom w:val="single" w:sz="8" w:space="0" w:color="4F81BC"/>
            </w:tcBorders>
            <w:shd w:val="clear" w:color="auto" w:fill="D2DFED"/>
          </w:tcPr>
          <w:p>
            <w:pPr>
              <w:pStyle w:val="TableParagraph"/>
              <w:spacing w:line="223" w:lineRule="exact"/>
              <w:ind w:right="41"/>
              <w:jc w:val="center"/>
              <w:rPr>
                <w:sz w:val="20"/>
              </w:rPr>
            </w:pPr>
            <w:r>
              <w:rPr>
                <w:spacing w:val="-4"/>
                <w:sz w:val="20"/>
              </w:rPr>
              <w:t>2016</w:t>
            </w:r>
          </w:p>
        </w:tc>
        <w:tc>
          <w:tcPr>
            <w:tcW w:w="1454" w:type="dxa"/>
            <w:tcBorders>
              <w:bottom w:val="single" w:sz="8" w:space="0" w:color="4F81BC"/>
            </w:tcBorders>
            <w:shd w:val="clear" w:color="auto" w:fill="D2DFED"/>
          </w:tcPr>
          <w:p>
            <w:pPr>
              <w:pStyle w:val="TableParagraph"/>
              <w:spacing w:line="179" w:lineRule="exact"/>
              <w:ind w:left="145"/>
              <w:rPr>
                <w:sz w:val="16"/>
              </w:rPr>
            </w:pPr>
            <w:r>
              <w:rPr>
                <w:spacing w:val="-2"/>
                <w:sz w:val="16"/>
              </w:rPr>
              <w:t>27,438,299,051.00</w:t>
            </w:r>
          </w:p>
        </w:tc>
        <w:tc>
          <w:tcPr>
            <w:tcW w:w="1432" w:type="dxa"/>
            <w:tcBorders>
              <w:bottom w:val="single" w:sz="8" w:space="0" w:color="4F81BC"/>
            </w:tcBorders>
            <w:shd w:val="clear" w:color="auto" w:fill="D2DFED"/>
          </w:tcPr>
          <w:p>
            <w:pPr>
              <w:pStyle w:val="TableParagraph"/>
              <w:spacing w:line="179" w:lineRule="exact"/>
              <w:ind w:left="79" w:right="94"/>
              <w:jc w:val="center"/>
              <w:rPr>
                <w:sz w:val="16"/>
              </w:rPr>
            </w:pPr>
            <w:r>
              <w:rPr>
                <w:spacing w:val="-2"/>
                <w:sz w:val="16"/>
              </w:rPr>
              <w:t>28,500,000,000.00</w:t>
            </w:r>
          </w:p>
        </w:tc>
        <w:tc>
          <w:tcPr>
            <w:tcW w:w="1353" w:type="dxa"/>
            <w:tcBorders>
              <w:bottom w:val="single" w:sz="8" w:space="0" w:color="4F81BC"/>
            </w:tcBorders>
            <w:shd w:val="clear" w:color="auto" w:fill="D2DFED"/>
          </w:tcPr>
          <w:p>
            <w:pPr>
              <w:pStyle w:val="TableParagraph"/>
              <w:spacing w:line="179" w:lineRule="exact"/>
              <w:ind w:left="11"/>
              <w:jc w:val="center"/>
              <w:rPr>
                <w:sz w:val="16"/>
              </w:rPr>
            </w:pPr>
            <w:r>
              <w:rPr>
                <w:spacing w:val="-10"/>
                <w:sz w:val="16"/>
              </w:rPr>
              <w:t>-</w:t>
            </w:r>
          </w:p>
        </w:tc>
        <w:tc>
          <w:tcPr>
            <w:tcW w:w="1417" w:type="dxa"/>
            <w:tcBorders>
              <w:bottom w:val="single" w:sz="8" w:space="0" w:color="4F81BC"/>
            </w:tcBorders>
            <w:shd w:val="clear" w:color="auto" w:fill="D2DFED"/>
          </w:tcPr>
          <w:p>
            <w:pPr>
              <w:pStyle w:val="TableParagraph"/>
              <w:spacing w:line="179" w:lineRule="exact"/>
              <w:ind w:left="79" w:right="80"/>
              <w:jc w:val="center"/>
              <w:rPr>
                <w:sz w:val="16"/>
              </w:rPr>
            </w:pPr>
            <w:r>
              <w:rPr>
                <w:spacing w:val="-2"/>
                <w:sz w:val="16"/>
              </w:rPr>
              <w:t>55,938,299,050.00</w:t>
            </w:r>
          </w:p>
        </w:tc>
        <w:tc>
          <w:tcPr>
            <w:tcW w:w="1548" w:type="dxa"/>
            <w:tcBorders>
              <w:bottom w:val="single" w:sz="8" w:space="0" w:color="4F81BC"/>
            </w:tcBorders>
            <w:shd w:val="clear" w:color="auto" w:fill="D2DFED"/>
          </w:tcPr>
          <w:p>
            <w:pPr>
              <w:pStyle w:val="TableParagraph"/>
              <w:spacing w:line="179" w:lineRule="exact"/>
              <w:ind w:left="106"/>
              <w:rPr>
                <w:sz w:val="16"/>
              </w:rPr>
            </w:pPr>
            <w:r>
              <w:rPr>
                <w:spacing w:val="-2"/>
                <w:sz w:val="16"/>
              </w:rPr>
              <w:t>53,009,743,508.00</w:t>
            </w:r>
          </w:p>
        </w:tc>
        <w:tc>
          <w:tcPr>
            <w:tcW w:w="1593" w:type="dxa"/>
            <w:tcBorders>
              <w:bottom w:val="single" w:sz="8" w:space="0" w:color="4F81BC"/>
            </w:tcBorders>
            <w:shd w:val="clear" w:color="auto" w:fill="D2DFED"/>
          </w:tcPr>
          <w:p>
            <w:pPr>
              <w:pStyle w:val="TableParagraph"/>
              <w:spacing w:line="179" w:lineRule="exact"/>
              <w:ind w:left="157"/>
              <w:rPr>
                <w:sz w:val="16"/>
              </w:rPr>
            </w:pPr>
            <w:r>
              <w:rPr>
                <w:spacing w:val="-2"/>
                <w:sz w:val="16"/>
              </w:rPr>
              <w:t>164,886,341,609.00</w:t>
            </w:r>
          </w:p>
        </w:tc>
      </w:tr>
    </w:tbl>
    <w:p>
      <w:pPr>
        <w:spacing w:before="0"/>
        <w:ind w:left="240" w:right="0" w:firstLine="0"/>
        <w:jc w:val="left"/>
        <w:rPr>
          <w:sz w:val="22"/>
        </w:rPr>
      </w:pPr>
      <w:r>
        <w:rPr>
          <w:sz w:val="22"/>
        </w:rPr>
        <w:t>IGR=</w:t>
      </w:r>
      <w:r>
        <w:rPr>
          <w:spacing w:val="-2"/>
          <w:sz w:val="22"/>
        </w:rPr>
        <w:t> </w:t>
      </w:r>
      <w:r>
        <w:rPr>
          <w:sz w:val="22"/>
        </w:rPr>
        <w:t>Internally</w:t>
      </w:r>
      <w:r>
        <w:rPr>
          <w:spacing w:val="-6"/>
          <w:sz w:val="22"/>
        </w:rPr>
        <w:t> </w:t>
      </w:r>
      <w:r>
        <w:rPr>
          <w:sz w:val="22"/>
        </w:rPr>
        <w:t>Generated</w:t>
      </w:r>
      <w:r>
        <w:rPr>
          <w:spacing w:val="-5"/>
          <w:sz w:val="22"/>
        </w:rPr>
        <w:t> </w:t>
      </w:r>
      <w:r>
        <w:rPr>
          <w:sz w:val="22"/>
        </w:rPr>
        <w:t>Revenue;</w:t>
      </w:r>
      <w:r>
        <w:rPr>
          <w:spacing w:val="-3"/>
          <w:sz w:val="22"/>
        </w:rPr>
        <w:t> </w:t>
      </w:r>
      <w:r>
        <w:rPr>
          <w:sz w:val="22"/>
        </w:rPr>
        <w:t>VAT</w:t>
      </w:r>
      <w:r>
        <w:rPr>
          <w:spacing w:val="-3"/>
          <w:sz w:val="22"/>
        </w:rPr>
        <w:t> </w:t>
      </w:r>
      <w:r>
        <w:rPr>
          <w:sz w:val="22"/>
        </w:rPr>
        <w:t>=</w:t>
      </w:r>
      <w:r>
        <w:rPr>
          <w:spacing w:val="-5"/>
          <w:sz w:val="22"/>
        </w:rPr>
        <w:t> </w:t>
      </w:r>
      <w:r>
        <w:rPr>
          <w:sz w:val="22"/>
        </w:rPr>
        <w:t>Value</w:t>
      </w:r>
      <w:r>
        <w:rPr>
          <w:spacing w:val="-3"/>
          <w:sz w:val="22"/>
        </w:rPr>
        <w:t> </w:t>
      </w:r>
      <w:r>
        <w:rPr>
          <w:sz w:val="22"/>
        </w:rPr>
        <w:t>Added</w:t>
      </w:r>
      <w:r>
        <w:rPr>
          <w:spacing w:val="-4"/>
          <w:sz w:val="22"/>
        </w:rPr>
        <w:t> </w:t>
      </w:r>
      <w:r>
        <w:rPr>
          <w:spacing w:val="-5"/>
          <w:sz w:val="22"/>
        </w:rPr>
        <w:t>Tax</w:t>
      </w:r>
    </w:p>
    <w:p>
      <w:pPr>
        <w:pStyle w:val="BodyText"/>
        <w:spacing w:before="101"/>
        <w:ind w:left="240" w:right="839"/>
      </w:pPr>
      <w:r>
        <w:rPr>
          <w:b/>
        </w:rPr>
        <w:t>Source:</w:t>
      </w:r>
      <w:r>
        <w:rPr>
          <w:b/>
          <w:spacing w:val="-1"/>
        </w:rPr>
        <w:t> </w:t>
      </w:r>
      <w:r>
        <w:rPr/>
        <w:t>Annual,</w:t>
      </w:r>
      <w:r>
        <w:rPr>
          <w:spacing w:val="-1"/>
        </w:rPr>
        <w:t> </w:t>
      </w:r>
      <w:r>
        <w:rPr/>
        <w:t>published</w:t>
      </w:r>
      <w:r>
        <w:rPr>
          <w:spacing w:val="-2"/>
        </w:rPr>
        <w:t> </w:t>
      </w:r>
      <w:r>
        <w:rPr/>
        <w:t>Budget</w:t>
      </w:r>
      <w:r>
        <w:rPr>
          <w:spacing w:val="-1"/>
        </w:rPr>
        <w:t> </w:t>
      </w:r>
      <w:r>
        <w:rPr/>
        <w:t>Estimate of</w:t>
      </w:r>
      <w:r>
        <w:rPr>
          <w:spacing w:val="-2"/>
        </w:rPr>
        <w:t> </w:t>
      </w:r>
      <w:r>
        <w:rPr/>
        <w:t>Anambra</w:t>
      </w:r>
      <w:r>
        <w:rPr>
          <w:spacing w:val="-3"/>
        </w:rPr>
        <w:t> </w:t>
      </w:r>
      <w:r>
        <w:rPr/>
        <w:t>State</w:t>
      </w:r>
      <w:r>
        <w:rPr>
          <w:spacing w:val="-2"/>
        </w:rPr>
        <w:t> </w:t>
      </w:r>
      <w:r>
        <w:rPr/>
        <w:t>(1999 –</w:t>
      </w:r>
      <w:r>
        <w:rPr>
          <w:spacing w:val="-1"/>
        </w:rPr>
        <w:t> </w:t>
      </w:r>
      <w:r>
        <w:rPr/>
        <w:t>2016)</w:t>
      </w:r>
      <w:r>
        <w:rPr>
          <w:spacing w:val="-2"/>
        </w:rPr>
        <w:t> </w:t>
      </w:r>
      <w:r>
        <w:rPr/>
        <w:t>and</w:t>
      </w:r>
      <w:r>
        <w:rPr>
          <w:spacing w:val="-1"/>
        </w:rPr>
        <w:t> </w:t>
      </w:r>
      <w:r>
        <w:rPr/>
        <w:t>Anambra</w:t>
      </w:r>
      <w:r>
        <w:rPr>
          <w:spacing w:val="-2"/>
        </w:rPr>
        <w:t> </w:t>
      </w:r>
      <w:r>
        <w:rPr/>
        <w:t>State Auditor-General‘s annual reports (2006 -2015)</w:t>
      </w:r>
    </w:p>
    <w:p>
      <w:pPr>
        <w:pStyle w:val="BodyText"/>
        <w:spacing w:before="139"/>
      </w:pPr>
    </w:p>
    <w:p>
      <w:pPr>
        <w:pStyle w:val="BodyText"/>
        <w:spacing w:line="360" w:lineRule="auto"/>
        <w:ind w:left="240" w:right="836"/>
        <w:jc w:val="both"/>
      </w:pPr>
      <w:r>
        <w:rPr/>
        <w:t>Table 5.14 reveals that IGR increased progressively over the years, except for the years; 2003, 2006, 2012 and 2016. In 2003, the figure dropped to 2.4b from 2.6b of 2002. In 2006, it reduced to 3.6b from 3.7b of the previous year. In 2012, it dropped slightly</w:t>
      </w:r>
      <w:r>
        <w:rPr>
          <w:spacing w:val="-3"/>
        </w:rPr>
        <w:t> </w:t>
      </w:r>
      <w:r>
        <w:rPr/>
        <w:t>to 12b as against the 12.2b of 2011. Finally, 2016 experienced a very</w:t>
      </w:r>
      <w:r>
        <w:rPr>
          <w:spacing w:val="-3"/>
        </w:rPr>
        <w:t> </w:t>
      </w:r>
      <w:r>
        <w:rPr/>
        <w:t>sharp drop in IGR to 27.4b which is about 50% less than the figure of 2015. This may not be unconnected with the economic recession that hit the federal government of Nigeria and state governments. Similarly, Federal allocation also increased steadily, for the period except for 2004, 2010, 2015 and 2016. 2004 and 2010 witnessed drops to 11.04b and 18b respectively from 11.76b and 24b in 2015 and 2016, which was during the</w:t>
      </w:r>
      <w:r>
        <w:rPr>
          <w:spacing w:val="40"/>
        </w:rPr>
        <w:t> </w:t>
      </w:r>
      <w:r>
        <w:rPr/>
        <w:t>period of severe economic recession, the figures reduced to 43b and 28.5 b. It is however, interesting to note that the year 2015 was the only year where Anambra State‘s IGR exceeded its Federal Allocation.</w:t>
      </w:r>
    </w:p>
    <w:p>
      <w:pPr>
        <w:spacing w:after="0" w:line="360" w:lineRule="auto"/>
        <w:jc w:val="both"/>
        <w:sectPr>
          <w:pgSz w:w="12240" w:h="15840"/>
          <w:pgMar w:header="0" w:footer="1036" w:top="1360" w:bottom="1220" w:left="1200" w:right="600"/>
        </w:sectPr>
      </w:pPr>
    </w:p>
    <w:p>
      <w:pPr>
        <w:pStyle w:val="BodyText"/>
        <w:spacing w:line="360" w:lineRule="auto" w:before="74"/>
        <w:ind w:left="240" w:right="833"/>
        <w:jc w:val="both"/>
      </w:pPr>
      <w:r>
        <w:rPr/>
        <w:t>Capital receipts (which are accruals from items like grants from donor agencies such as</w:t>
      </w:r>
      <w:r>
        <w:rPr>
          <w:spacing w:val="40"/>
        </w:rPr>
        <w:t> </w:t>
      </w:r>
      <w:r>
        <w:rPr/>
        <w:t>UNICEF, UNDP, DFID, EU, Government fund raising activities, loans, Federal Government ecology funds, VAT, reimbursements) also maintained a steady increase for the period, except for the early part of the study period (2001</w:t>
      </w:r>
      <w:r>
        <w:rPr>
          <w:spacing w:val="16"/>
        </w:rPr>
        <w:t> </w:t>
      </w:r>
      <w:r>
        <w:rPr/>
        <w:t>– 2004), when it was unsteady; decreasing to 12.6 b</w:t>
      </w:r>
      <w:r>
        <w:rPr>
          <w:spacing w:val="40"/>
        </w:rPr>
        <w:t> </w:t>
      </w:r>
      <w:r>
        <w:rPr/>
        <w:t>in 2002, decreasing again to 9.8b, decreasing further to 7.76b in 2003 before increasing to 9.17b in 2004. From this year, the increase was steady till 2011 and 2015, when the figure dropped again to 33.69b from 40.29b in 2010 and 48.4b from 100.5b in 2014. It is pertinent to note that VAT figures for 2016 were excluded in the Table because it had not been published as at the</w:t>
      </w:r>
      <w:r>
        <w:rPr>
          <w:spacing w:val="40"/>
        </w:rPr>
        <w:t> </w:t>
      </w:r>
      <w:r>
        <w:rPr/>
        <w:t>time of obtaining these data. The data on revenue profile as contained in Table 5.14 was shown not because the focus of the work is on the analysis of annual revenue, but because it will aid in the comparative analysis of housing budget allocation.</w:t>
      </w:r>
    </w:p>
    <w:p>
      <w:pPr>
        <w:pStyle w:val="BodyText"/>
        <w:spacing w:before="142"/>
      </w:pPr>
    </w:p>
    <w:p>
      <w:pPr>
        <w:pStyle w:val="Heading4"/>
        <w:numPr>
          <w:ilvl w:val="2"/>
          <w:numId w:val="96"/>
        </w:numPr>
        <w:tabs>
          <w:tab w:pos="840" w:val="left" w:leader="none"/>
        </w:tabs>
        <w:spacing w:line="240" w:lineRule="auto" w:before="0" w:after="0"/>
        <w:ind w:left="840" w:right="0" w:hanging="600"/>
        <w:jc w:val="both"/>
      </w:pPr>
      <w:r>
        <w:rPr/>
        <w:t>Analysis</w:t>
      </w:r>
      <w:r>
        <w:rPr>
          <w:spacing w:val="-4"/>
        </w:rPr>
        <w:t> </w:t>
      </w:r>
      <w:r>
        <w:rPr/>
        <w:t>of Annual</w:t>
      </w:r>
      <w:r>
        <w:rPr>
          <w:spacing w:val="-2"/>
        </w:rPr>
        <w:t> </w:t>
      </w:r>
      <w:r>
        <w:rPr/>
        <w:t>Housing</w:t>
      </w:r>
      <w:r>
        <w:rPr>
          <w:spacing w:val="-4"/>
        </w:rPr>
        <w:t> </w:t>
      </w:r>
      <w:r>
        <w:rPr/>
        <w:t>Budget</w:t>
      </w:r>
      <w:r>
        <w:rPr>
          <w:spacing w:val="-1"/>
        </w:rPr>
        <w:t> </w:t>
      </w:r>
      <w:r>
        <w:rPr>
          <w:spacing w:val="-2"/>
        </w:rPr>
        <w:t>Allocation/Estimate</w:t>
      </w:r>
    </w:p>
    <w:p>
      <w:pPr>
        <w:pStyle w:val="BodyText"/>
        <w:spacing w:line="360" w:lineRule="auto" w:before="132"/>
        <w:ind w:left="240" w:right="837"/>
        <w:jc w:val="both"/>
      </w:pPr>
      <w:r>
        <w:rPr/>
        <w:t>The import of this sub-section is to provide data and also analyze not only the annual housing budget allocation of Anambra State, but compare it to the allocation of other sectors, annual revenue and capital expenditure. Tables 5.15 and 5.16 provide these data.</w:t>
      </w:r>
    </w:p>
    <w:p>
      <w:pPr>
        <w:pStyle w:val="BodyText"/>
        <w:spacing w:before="73"/>
      </w:pPr>
    </w:p>
    <w:p>
      <w:pPr>
        <w:pStyle w:val="Heading4"/>
        <w:spacing w:before="1"/>
        <w:ind w:right="835"/>
      </w:pPr>
      <w:r>
        <w:rPr/>
        <w:t>Table 5.15. Annual Capital Expenditure and Budgetary Allocations for Housing and other Key Sectors of Anambra State (1999 – 2016)</w:t>
      </w:r>
    </w:p>
    <w:p>
      <w:pPr>
        <w:pStyle w:val="BodyText"/>
        <w:spacing w:before="2"/>
        <w:rPr>
          <w:b/>
          <w:sz w:val="12"/>
        </w:rPr>
      </w:pPr>
    </w:p>
    <w:tbl>
      <w:tblPr>
        <w:tblW w:w="0" w:type="auto"/>
        <w:jc w:val="left"/>
        <w:tblInd w:w="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7"/>
        <w:gridCol w:w="1430"/>
        <w:gridCol w:w="1455"/>
        <w:gridCol w:w="1518"/>
        <w:gridCol w:w="1320"/>
        <w:gridCol w:w="1652"/>
        <w:gridCol w:w="1604"/>
      </w:tblGrid>
      <w:tr>
        <w:trPr>
          <w:trHeight w:val="299" w:hRule="atLeast"/>
        </w:trPr>
        <w:tc>
          <w:tcPr>
            <w:tcW w:w="667" w:type="dxa"/>
            <w:tcBorders>
              <w:top w:val="single" w:sz="8" w:space="0" w:color="4F81BC"/>
              <w:bottom w:val="single" w:sz="8" w:space="0" w:color="4F81BC"/>
            </w:tcBorders>
          </w:tcPr>
          <w:p>
            <w:pPr>
              <w:pStyle w:val="TableParagraph"/>
              <w:spacing w:line="228" w:lineRule="exact"/>
              <w:ind w:left="59" w:right="59"/>
              <w:jc w:val="center"/>
              <w:rPr>
                <w:b/>
                <w:sz w:val="20"/>
              </w:rPr>
            </w:pPr>
            <w:r>
              <w:rPr>
                <w:b/>
                <w:spacing w:val="-4"/>
                <w:sz w:val="20"/>
              </w:rPr>
              <w:t>Year</w:t>
            </w:r>
          </w:p>
        </w:tc>
        <w:tc>
          <w:tcPr>
            <w:tcW w:w="1430" w:type="dxa"/>
            <w:tcBorders>
              <w:top w:val="single" w:sz="8" w:space="0" w:color="4F81BC"/>
              <w:bottom w:val="single" w:sz="8" w:space="0" w:color="4F81BC"/>
            </w:tcBorders>
          </w:tcPr>
          <w:p>
            <w:pPr>
              <w:pStyle w:val="TableParagraph"/>
              <w:rPr>
                <w:sz w:val="20"/>
              </w:rPr>
            </w:pPr>
          </w:p>
        </w:tc>
        <w:tc>
          <w:tcPr>
            <w:tcW w:w="2973" w:type="dxa"/>
            <w:gridSpan w:val="2"/>
            <w:tcBorders>
              <w:top w:val="single" w:sz="8" w:space="0" w:color="4F81BC"/>
              <w:bottom w:val="single" w:sz="8" w:space="0" w:color="4F81BC"/>
            </w:tcBorders>
          </w:tcPr>
          <w:p>
            <w:pPr>
              <w:pStyle w:val="TableParagraph"/>
              <w:spacing w:line="228" w:lineRule="exact"/>
              <w:ind w:left="1222"/>
              <w:rPr>
                <w:b/>
                <w:sz w:val="20"/>
              </w:rPr>
            </w:pPr>
            <w:r>
              <w:rPr>
                <w:b/>
                <w:sz w:val="20"/>
              </w:rPr>
              <w:t>Sectoral</w:t>
            </w:r>
            <w:r>
              <w:rPr>
                <w:b/>
                <w:spacing w:val="-5"/>
                <w:sz w:val="20"/>
              </w:rPr>
              <w:t> </w:t>
            </w:r>
            <w:r>
              <w:rPr>
                <w:b/>
                <w:spacing w:val="-2"/>
                <w:sz w:val="20"/>
              </w:rPr>
              <w:t>Allocations</w:t>
            </w:r>
          </w:p>
        </w:tc>
        <w:tc>
          <w:tcPr>
            <w:tcW w:w="1320" w:type="dxa"/>
            <w:tcBorders>
              <w:top w:val="single" w:sz="8" w:space="0" w:color="4F81BC"/>
              <w:bottom w:val="single" w:sz="8" w:space="0" w:color="4F81BC"/>
            </w:tcBorders>
          </w:tcPr>
          <w:p>
            <w:pPr>
              <w:pStyle w:val="TableParagraph"/>
              <w:rPr>
                <w:sz w:val="20"/>
              </w:rPr>
            </w:pPr>
          </w:p>
        </w:tc>
        <w:tc>
          <w:tcPr>
            <w:tcW w:w="1652" w:type="dxa"/>
            <w:tcBorders>
              <w:top w:val="single" w:sz="8" w:space="0" w:color="4F81BC"/>
              <w:bottom w:val="single" w:sz="8" w:space="0" w:color="4F81BC"/>
            </w:tcBorders>
          </w:tcPr>
          <w:p>
            <w:pPr>
              <w:pStyle w:val="TableParagraph"/>
              <w:rPr>
                <w:sz w:val="20"/>
              </w:rPr>
            </w:pPr>
          </w:p>
        </w:tc>
        <w:tc>
          <w:tcPr>
            <w:tcW w:w="1604" w:type="dxa"/>
            <w:tcBorders>
              <w:top w:val="single" w:sz="8" w:space="0" w:color="4F81BC"/>
              <w:bottom w:val="single" w:sz="8" w:space="0" w:color="4F81BC"/>
            </w:tcBorders>
          </w:tcPr>
          <w:p>
            <w:pPr>
              <w:pStyle w:val="TableParagraph"/>
              <w:rPr>
                <w:sz w:val="20"/>
              </w:rPr>
            </w:pPr>
          </w:p>
        </w:tc>
      </w:tr>
      <w:tr>
        <w:trPr>
          <w:trHeight w:val="921" w:hRule="atLeast"/>
        </w:trPr>
        <w:tc>
          <w:tcPr>
            <w:tcW w:w="667" w:type="dxa"/>
            <w:tcBorders>
              <w:top w:val="single" w:sz="8" w:space="0" w:color="4F81BC"/>
            </w:tcBorders>
            <w:shd w:val="clear" w:color="auto" w:fill="D2DFED"/>
          </w:tcPr>
          <w:p>
            <w:pPr>
              <w:pStyle w:val="TableParagraph"/>
              <w:rPr>
                <w:sz w:val="20"/>
              </w:rPr>
            </w:pPr>
          </w:p>
        </w:tc>
        <w:tc>
          <w:tcPr>
            <w:tcW w:w="1430" w:type="dxa"/>
            <w:tcBorders>
              <w:top w:val="single" w:sz="8" w:space="0" w:color="4F81BC"/>
            </w:tcBorders>
            <w:shd w:val="clear" w:color="auto" w:fill="D2DFED"/>
          </w:tcPr>
          <w:p>
            <w:pPr>
              <w:pStyle w:val="TableParagraph"/>
              <w:spacing w:line="225" w:lineRule="exact"/>
              <w:ind w:left="37" w:right="181"/>
              <w:jc w:val="center"/>
              <w:rPr>
                <w:sz w:val="20"/>
              </w:rPr>
            </w:pPr>
            <w:r>
              <w:rPr>
                <w:b/>
                <w:sz w:val="20"/>
              </w:rPr>
              <w:t>Housing</w:t>
            </w:r>
            <w:r>
              <w:rPr>
                <w:b/>
                <w:spacing w:val="-7"/>
                <w:sz w:val="20"/>
              </w:rPr>
              <w:t> </w:t>
            </w:r>
            <w:r>
              <w:rPr>
                <w:spacing w:val="-5"/>
                <w:sz w:val="20"/>
              </w:rPr>
              <w:t>(</w:t>
            </w:r>
            <w:r>
              <w:rPr>
                <w:dstrike/>
                <w:spacing w:val="-5"/>
                <w:sz w:val="20"/>
              </w:rPr>
              <w:t>N</w:t>
            </w:r>
            <w:r>
              <w:rPr>
                <w:strike w:val="0"/>
                <w:spacing w:val="-5"/>
                <w:sz w:val="20"/>
              </w:rPr>
              <w:t>)</w:t>
            </w:r>
          </w:p>
        </w:tc>
        <w:tc>
          <w:tcPr>
            <w:tcW w:w="1455" w:type="dxa"/>
            <w:tcBorders>
              <w:top w:val="single" w:sz="8" w:space="0" w:color="4F81BC"/>
            </w:tcBorders>
            <w:shd w:val="clear" w:color="auto" w:fill="D2DFED"/>
          </w:tcPr>
          <w:p>
            <w:pPr>
              <w:pStyle w:val="TableParagraph"/>
              <w:spacing w:line="227" w:lineRule="exact"/>
              <w:ind w:left="185"/>
              <w:rPr>
                <w:b/>
                <w:sz w:val="20"/>
              </w:rPr>
            </w:pPr>
            <w:r>
              <w:rPr>
                <w:b/>
                <w:spacing w:val="-2"/>
                <w:sz w:val="20"/>
              </w:rPr>
              <w:t>Education</w:t>
            </w:r>
          </w:p>
          <w:p>
            <w:pPr>
              <w:pStyle w:val="TableParagraph"/>
              <w:spacing w:line="227" w:lineRule="exact"/>
              <w:ind w:left="185"/>
              <w:rPr>
                <w:sz w:val="20"/>
              </w:rPr>
            </w:pPr>
            <w:r>
              <w:rPr>
                <w:spacing w:val="-5"/>
                <w:sz w:val="20"/>
              </w:rPr>
              <w:t>(</w:t>
            </w:r>
            <w:r>
              <w:rPr>
                <w:dstrike/>
                <w:spacing w:val="-5"/>
                <w:sz w:val="20"/>
              </w:rPr>
              <w:t>N</w:t>
            </w:r>
            <w:r>
              <w:rPr>
                <w:strike w:val="0"/>
                <w:spacing w:val="-5"/>
                <w:sz w:val="20"/>
              </w:rPr>
              <w:t>)</w:t>
            </w:r>
          </w:p>
        </w:tc>
        <w:tc>
          <w:tcPr>
            <w:tcW w:w="1518" w:type="dxa"/>
            <w:tcBorders>
              <w:top w:val="single" w:sz="8" w:space="0" w:color="4F81BC"/>
            </w:tcBorders>
            <w:shd w:val="clear" w:color="auto" w:fill="D2DFED"/>
          </w:tcPr>
          <w:p>
            <w:pPr>
              <w:pStyle w:val="TableParagraph"/>
              <w:spacing w:line="225" w:lineRule="exact"/>
              <w:ind w:left="146"/>
              <w:rPr>
                <w:sz w:val="20"/>
              </w:rPr>
            </w:pPr>
            <w:r>
              <w:rPr>
                <w:b/>
                <w:sz w:val="20"/>
              </w:rPr>
              <w:t>Health</w:t>
            </w:r>
            <w:r>
              <w:rPr>
                <w:b/>
                <w:spacing w:val="-5"/>
                <w:sz w:val="20"/>
              </w:rPr>
              <w:t> </w:t>
            </w:r>
            <w:r>
              <w:rPr>
                <w:spacing w:val="-5"/>
                <w:sz w:val="20"/>
              </w:rPr>
              <w:t>(</w:t>
            </w:r>
            <w:r>
              <w:rPr>
                <w:dstrike/>
                <w:spacing w:val="-5"/>
                <w:sz w:val="20"/>
              </w:rPr>
              <w:t>N</w:t>
            </w:r>
            <w:r>
              <w:rPr>
                <w:strike w:val="0"/>
                <w:spacing w:val="-5"/>
                <w:sz w:val="20"/>
              </w:rPr>
              <w:t>)</w:t>
            </w:r>
          </w:p>
        </w:tc>
        <w:tc>
          <w:tcPr>
            <w:tcW w:w="1320" w:type="dxa"/>
            <w:tcBorders>
              <w:top w:val="single" w:sz="8" w:space="0" w:color="4F81BC"/>
            </w:tcBorders>
            <w:shd w:val="clear" w:color="auto" w:fill="D2DFED"/>
          </w:tcPr>
          <w:p>
            <w:pPr>
              <w:pStyle w:val="TableParagraph"/>
              <w:ind w:left="45" w:right="51"/>
              <w:rPr>
                <w:b/>
                <w:sz w:val="20"/>
              </w:rPr>
            </w:pPr>
            <w:r>
              <w:rPr>
                <w:b/>
                <w:spacing w:val="-2"/>
                <w:sz w:val="20"/>
              </w:rPr>
              <w:t>Agriculture </w:t>
            </w:r>
            <w:r>
              <w:rPr>
                <w:b/>
                <w:spacing w:val="-4"/>
                <w:sz w:val="20"/>
              </w:rPr>
              <w:t>(</w:t>
            </w:r>
            <w:r>
              <w:rPr>
                <w:b/>
                <w:dstrike/>
                <w:spacing w:val="-4"/>
                <w:sz w:val="20"/>
              </w:rPr>
              <w:t>N</w:t>
            </w:r>
            <w:r>
              <w:rPr>
                <w:b/>
                <w:strike w:val="0"/>
                <w:spacing w:val="-4"/>
                <w:sz w:val="20"/>
              </w:rPr>
              <w:t>)</w:t>
            </w:r>
          </w:p>
        </w:tc>
        <w:tc>
          <w:tcPr>
            <w:tcW w:w="1652" w:type="dxa"/>
            <w:tcBorders>
              <w:top w:val="single" w:sz="8" w:space="0" w:color="4F81BC"/>
            </w:tcBorders>
            <w:shd w:val="clear" w:color="auto" w:fill="D2DFED"/>
          </w:tcPr>
          <w:p>
            <w:pPr>
              <w:pStyle w:val="TableParagraph"/>
              <w:ind w:left="153" w:right="108"/>
              <w:rPr>
                <w:b/>
                <w:sz w:val="20"/>
              </w:rPr>
            </w:pPr>
            <w:r>
              <w:rPr>
                <w:b/>
                <w:sz w:val="20"/>
              </w:rPr>
              <w:t>Land</w:t>
            </w:r>
            <w:r>
              <w:rPr>
                <w:b/>
                <w:spacing w:val="-13"/>
                <w:sz w:val="20"/>
              </w:rPr>
              <w:t> </w:t>
            </w:r>
            <w:r>
              <w:rPr>
                <w:b/>
                <w:sz w:val="20"/>
              </w:rPr>
              <w:t>Transport </w:t>
            </w:r>
            <w:r>
              <w:rPr>
                <w:b/>
                <w:spacing w:val="-2"/>
                <w:sz w:val="20"/>
              </w:rPr>
              <w:t>(Roads,</w:t>
            </w:r>
          </w:p>
          <w:p>
            <w:pPr>
              <w:pStyle w:val="TableParagraph"/>
              <w:spacing w:line="226" w:lineRule="exact"/>
              <w:ind w:left="153" w:right="553"/>
              <w:rPr>
                <w:sz w:val="20"/>
              </w:rPr>
            </w:pPr>
            <w:r>
              <w:rPr>
                <w:b/>
                <w:sz w:val="20"/>
              </w:rPr>
              <w:t>Bridges)</w:t>
            </w:r>
            <w:r>
              <w:rPr>
                <w:b/>
                <w:spacing w:val="-13"/>
                <w:sz w:val="20"/>
              </w:rPr>
              <w:t> </w:t>
            </w:r>
            <w:r>
              <w:rPr>
                <w:b/>
                <w:sz w:val="20"/>
              </w:rPr>
              <w:t>&amp; Works</w:t>
            </w:r>
            <w:r>
              <w:rPr>
                <w:b/>
                <w:spacing w:val="-6"/>
                <w:sz w:val="20"/>
              </w:rPr>
              <w:t> </w:t>
            </w:r>
            <w:r>
              <w:rPr>
                <w:spacing w:val="-5"/>
                <w:sz w:val="20"/>
              </w:rPr>
              <w:t>(</w:t>
            </w:r>
            <w:r>
              <w:rPr>
                <w:dstrike/>
                <w:spacing w:val="-5"/>
                <w:sz w:val="20"/>
              </w:rPr>
              <w:t>N</w:t>
            </w:r>
            <w:r>
              <w:rPr>
                <w:strike w:val="0"/>
                <w:spacing w:val="-5"/>
                <w:sz w:val="20"/>
              </w:rPr>
              <w:t>)</w:t>
            </w:r>
          </w:p>
        </w:tc>
        <w:tc>
          <w:tcPr>
            <w:tcW w:w="1604" w:type="dxa"/>
            <w:tcBorders>
              <w:top w:val="single" w:sz="8" w:space="0" w:color="4F81BC"/>
            </w:tcBorders>
            <w:shd w:val="clear" w:color="auto" w:fill="D2DFED"/>
          </w:tcPr>
          <w:p>
            <w:pPr>
              <w:pStyle w:val="TableParagraph"/>
              <w:spacing w:line="237" w:lineRule="auto" w:before="2"/>
              <w:ind w:left="119" w:right="105"/>
              <w:rPr>
                <w:sz w:val="20"/>
              </w:rPr>
            </w:pPr>
            <w:r>
              <w:rPr>
                <w:b/>
                <w:sz w:val="20"/>
              </w:rPr>
              <w:t>Total Capital Expenditure</w:t>
            </w:r>
            <w:r>
              <w:rPr>
                <w:b/>
                <w:spacing w:val="-13"/>
                <w:sz w:val="20"/>
              </w:rPr>
              <w:t> </w:t>
            </w:r>
            <w:r>
              <w:rPr>
                <w:b/>
                <w:sz w:val="20"/>
              </w:rPr>
              <w:t>for all sectors </w:t>
            </w:r>
            <w:r>
              <w:rPr>
                <w:sz w:val="20"/>
              </w:rPr>
              <w:t>(</w:t>
            </w:r>
            <w:r>
              <w:rPr>
                <w:dstrike/>
                <w:sz w:val="20"/>
              </w:rPr>
              <w:t>N</w:t>
            </w:r>
            <w:r>
              <w:rPr>
                <w:strike w:val="0"/>
                <w:sz w:val="20"/>
              </w:rPr>
              <w:t>)</w:t>
            </w:r>
          </w:p>
        </w:tc>
      </w:tr>
      <w:tr>
        <w:trPr>
          <w:trHeight w:val="300" w:hRule="atLeast"/>
        </w:trPr>
        <w:tc>
          <w:tcPr>
            <w:tcW w:w="667" w:type="dxa"/>
          </w:tcPr>
          <w:p>
            <w:pPr>
              <w:pStyle w:val="TableParagraph"/>
              <w:spacing w:line="202" w:lineRule="exact"/>
              <w:ind w:right="59"/>
              <w:jc w:val="center"/>
              <w:rPr>
                <w:sz w:val="18"/>
              </w:rPr>
            </w:pPr>
            <w:r>
              <w:rPr>
                <w:spacing w:val="-4"/>
                <w:sz w:val="18"/>
              </w:rPr>
              <w:t>1999</w:t>
            </w:r>
          </w:p>
        </w:tc>
        <w:tc>
          <w:tcPr>
            <w:tcW w:w="1430" w:type="dxa"/>
          </w:tcPr>
          <w:p>
            <w:pPr>
              <w:pStyle w:val="TableParagraph"/>
              <w:spacing w:line="179" w:lineRule="exact"/>
              <w:ind w:right="181"/>
              <w:jc w:val="center"/>
              <w:rPr>
                <w:sz w:val="16"/>
              </w:rPr>
            </w:pPr>
            <w:r>
              <w:rPr>
                <w:spacing w:val="-2"/>
                <w:sz w:val="16"/>
              </w:rPr>
              <w:t>148,415,000.00</w:t>
            </w:r>
          </w:p>
        </w:tc>
        <w:tc>
          <w:tcPr>
            <w:tcW w:w="1455" w:type="dxa"/>
          </w:tcPr>
          <w:p>
            <w:pPr>
              <w:pStyle w:val="TableParagraph"/>
              <w:spacing w:line="179" w:lineRule="exact"/>
              <w:ind w:left="185"/>
              <w:rPr>
                <w:sz w:val="16"/>
              </w:rPr>
            </w:pPr>
            <w:r>
              <w:rPr>
                <w:spacing w:val="-2"/>
                <w:sz w:val="16"/>
              </w:rPr>
              <w:t>57,379,000.00</w:t>
            </w:r>
          </w:p>
        </w:tc>
        <w:tc>
          <w:tcPr>
            <w:tcW w:w="1518" w:type="dxa"/>
          </w:tcPr>
          <w:p>
            <w:pPr>
              <w:pStyle w:val="TableParagraph"/>
              <w:spacing w:line="179" w:lineRule="exact"/>
              <w:ind w:left="146"/>
              <w:rPr>
                <w:sz w:val="16"/>
              </w:rPr>
            </w:pPr>
            <w:r>
              <w:rPr>
                <w:spacing w:val="-2"/>
                <w:sz w:val="16"/>
              </w:rPr>
              <w:t>77,004,000.00</w:t>
            </w:r>
          </w:p>
        </w:tc>
        <w:tc>
          <w:tcPr>
            <w:tcW w:w="1320" w:type="dxa"/>
          </w:tcPr>
          <w:p>
            <w:pPr>
              <w:pStyle w:val="TableParagraph"/>
              <w:spacing w:line="179" w:lineRule="exact"/>
              <w:ind w:right="307"/>
              <w:jc w:val="center"/>
              <w:rPr>
                <w:sz w:val="16"/>
              </w:rPr>
            </w:pPr>
            <w:r>
              <w:rPr>
                <w:spacing w:val="-2"/>
                <w:sz w:val="16"/>
              </w:rPr>
              <w:t>62,009,000.00</w:t>
            </w:r>
          </w:p>
        </w:tc>
        <w:tc>
          <w:tcPr>
            <w:tcW w:w="1652" w:type="dxa"/>
          </w:tcPr>
          <w:p>
            <w:pPr>
              <w:pStyle w:val="TableParagraph"/>
              <w:spacing w:line="179" w:lineRule="exact"/>
              <w:ind w:left="153"/>
              <w:rPr>
                <w:sz w:val="16"/>
              </w:rPr>
            </w:pPr>
            <w:r>
              <w:rPr>
                <w:spacing w:val="-2"/>
                <w:sz w:val="16"/>
              </w:rPr>
              <w:t>100,081,000.00</w:t>
            </w:r>
          </w:p>
        </w:tc>
        <w:tc>
          <w:tcPr>
            <w:tcW w:w="1604" w:type="dxa"/>
          </w:tcPr>
          <w:p>
            <w:pPr>
              <w:pStyle w:val="TableParagraph"/>
              <w:spacing w:line="179" w:lineRule="exact"/>
              <w:ind w:right="242"/>
              <w:jc w:val="center"/>
              <w:rPr>
                <w:sz w:val="16"/>
              </w:rPr>
            </w:pPr>
            <w:r>
              <w:rPr>
                <w:spacing w:val="-2"/>
                <w:sz w:val="16"/>
              </w:rPr>
              <w:t>1,129,517,000.00</w:t>
            </w:r>
          </w:p>
        </w:tc>
      </w:tr>
      <w:tr>
        <w:trPr>
          <w:trHeight w:val="300" w:hRule="atLeast"/>
        </w:trPr>
        <w:tc>
          <w:tcPr>
            <w:tcW w:w="667" w:type="dxa"/>
            <w:shd w:val="clear" w:color="auto" w:fill="D2DFED"/>
          </w:tcPr>
          <w:p>
            <w:pPr>
              <w:pStyle w:val="TableParagraph"/>
              <w:spacing w:line="202" w:lineRule="exact"/>
              <w:ind w:right="59"/>
              <w:jc w:val="center"/>
              <w:rPr>
                <w:sz w:val="18"/>
              </w:rPr>
            </w:pPr>
            <w:r>
              <w:rPr>
                <w:spacing w:val="-4"/>
                <w:sz w:val="18"/>
              </w:rPr>
              <w:t>2000</w:t>
            </w:r>
          </w:p>
        </w:tc>
        <w:tc>
          <w:tcPr>
            <w:tcW w:w="1430" w:type="dxa"/>
            <w:shd w:val="clear" w:color="auto" w:fill="D2DFED"/>
          </w:tcPr>
          <w:p>
            <w:pPr>
              <w:pStyle w:val="TableParagraph"/>
              <w:spacing w:line="179" w:lineRule="exact"/>
              <w:ind w:right="181"/>
              <w:jc w:val="center"/>
              <w:rPr>
                <w:sz w:val="16"/>
              </w:rPr>
            </w:pPr>
            <w:r>
              <w:rPr>
                <w:spacing w:val="-2"/>
                <w:sz w:val="16"/>
              </w:rPr>
              <w:t>743,000,000.00</w:t>
            </w:r>
          </w:p>
        </w:tc>
        <w:tc>
          <w:tcPr>
            <w:tcW w:w="1455" w:type="dxa"/>
            <w:shd w:val="clear" w:color="auto" w:fill="D2DFED"/>
          </w:tcPr>
          <w:p>
            <w:pPr>
              <w:pStyle w:val="TableParagraph"/>
              <w:spacing w:line="179" w:lineRule="exact"/>
              <w:ind w:left="185"/>
              <w:rPr>
                <w:sz w:val="16"/>
              </w:rPr>
            </w:pPr>
            <w:r>
              <w:rPr>
                <w:spacing w:val="-2"/>
                <w:sz w:val="16"/>
              </w:rPr>
              <w:t>462,100,000.00</w:t>
            </w:r>
          </w:p>
        </w:tc>
        <w:tc>
          <w:tcPr>
            <w:tcW w:w="1518" w:type="dxa"/>
            <w:shd w:val="clear" w:color="auto" w:fill="D2DFED"/>
          </w:tcPr>
          <w:p>
            <w:pPr>
              <w:pStyle w:val="TableParagraph"/>
              <w:spacing w:line="179" w:lineRule="exact"/>
              <w:ind w:left="146"/>
              <w:rPr>
                <w:sz w:val="16"/>
              </w:rPr>
            </w:pPr>
            <w:r>
              <w:rPr>
                <w:spacing w:val="-2"/>
                <w:sz w:val="16"/>
              </w:rPr>
              <w:t>377,000,000.00</w:t>
            </w:r>
          </w:p>
        </w:tc>
        <w:tc>
          <w:tcPr>
            <w:tcW w:w="1320" w:type="dxa"/>
            <w:shd w:val="clear" w:color="auto" w:fill="D2DFED"/>
          </w:tcPr>
          <w:p>
            <w:pPr>
              <w:pStyle w:val="TableParagraph"/>
              <w:spacing w:line="179" w:lineRule="exact"/>
              <w:ind w:right="226"/>
              <w:jc w:val="center"/>
              <w:rPr>
                <w:sz w:val="16"/>
              </w:rPr>
            </w:pPr>
            <w:r>
              <w:rPr>
                <w:spacing w:val="-2"/>
                <w:sz w:val="16"/>
              </w:rPr>
              <w:t>503,160,000.00</w:t>
            </w:r>
          </w:p>
        </w:tc>
        <w:tc>
          <w:tcPr>
            <w:tcW w:w="1652" w:type="dxa"/>
            <w:shd w:val="clear" w:color="auto" w:fill="D2DFED"/>
          </w:tcPr>
          <w:p>
            <w:pPr>
              <w:pStyle w:val="TableParagraph"/>
              <w:spacing w:line="179" w:lineRule="exact"/>
              <w:ind w:left="153"/>
              <w:rPr>
                <w:sz w:val="16"/>
              </w:rPr>
            </w:pPr>
            <w:r>
              <w:rPr>
                <w:spacing w:val="-2"/>
                <w:sz w:val="16"/>
              </w:rPr>
              <w:t>5,306,000,000.00</w:t>
            </w:r>
          </w:p>
        </w:tc>
        <w:tc>
          <w:tcPr>
            <w:tcW w:w="1604" w:type="dxa"/>
            <w:shd w:val="clear" w:color="auto" w:fill="D2DFED"/>
          </w:tcPr>
          <w:p>
            <w:pPr>
              <w:pStyle w:val="TableParagraph"/>
              <w:spacing w:line="179" w:lineRule="exact"/>
              <w:ind w:left="80" w:right="242"/>
              <w:jc w:val="center"/>
              <w:rPr>
                <w:sz w:val="16"/>
              </w:rPr>
            </w:pPr>
            <w:r>
              <w:rPr>
                <w:spacing w:val="-2"/>
                <w:sz w:val="16"/>
              </w:rPr>
              <w:t>13,911,407,000.00</w:t>
            </w:r>
          </w:p>
        </w:tc>
      </w:tr>
      <w:tr>
        <w:trPr>
          <w:trHeight w:val="300" w:hRule="atLeast"/>
        </w:trPr>
        <w:tc>
          <w:tcPr>
            <w:tcW w:w="667" w:type="dxa"/>
          </w:tcPr>
          <w:p>
            <w:pPr>
              <w:pStyle w:val="TableParagraph"/>
              <w:spacing w:line="202" w:lineRule="exact"/>
              <w:ind w:right="59"/>
              <w:jc w:val="center"/>
              <w:rPr>
                <w:sz w:val="18"/>
              </w:rPr>
            </w:pPr>
            <w:r>
              <w:rPr>
                <w:spacing w:val="-4"/>
                <w:sz w:val="18"/>
              </w:rPr>
              <w:t>2001</w:t>
            </w:r>
          </w:p>
        </w:tc>
        <w:tc>
          <w:tcPr>
            <w:tcW w:w="1430" w:type="dxa"/>
          </w:tcPr>
          <w:p>
            <w:pPr>
              <w:pStyle w:val="TableParagraph"/>
              <w:spacing w:line="179" w:lineRule="exact"/>
              <w:ind w:right="62"/>
              <w:jc w:val="center"/>
              <w:rPr>
                <w:sz w:val="16"/>
              </w:rPr>
            </w:pPr>
            <w:r>
              <w:rPr>
                <w:spacing w:val="-2"/>
                <w:sz w:val="16"/>
              </w:rPr>
              <w:t>4,487,000,000.00</w:t>
            </w:r>
          </w:p>
        </w:tc>
        <w:tc>
          <w:tcPr>
            <w:tcW w:w="1455" w:type="dxa"/>
          </w:tcPr>
          <w:p>
            <w:pPr>
              <w:pStyle w:val="TableParagraph"/>
              <w:spacing w:line="179" w:lineRule="exact"/>
              <w:ind w:left="185"/>
              <w:rPr>
                <w:sz w:val="16"/>
              </w:rPr>
            </w:pPr>
            <w:r>
              <w:rPr>
                <w:spacing w:val="-2"/>
                <w:sz w:val="16"/>
              </w:rPr>
              <w:t>765,650,000.00</w:t>
            </w:r>
          </w:p>
        </w:tc>
        <w:tc>
          <w:tcPr>
            <w:tcW w:w="1518" w:type="dxa"/>
          </w:tcPr>
          <w:p>
            <w:pPr>
              <w:pStyle w:val="TableParagraph"/>
              <w:spacing w:line="179" w:lineRule="exact"/>
              <w:ind w:left="146"/>
              <w:rPr>
                <w:sz w:val="16"/>
              </w:rPr>
            </w:pPr>
            <w:r>
              <w:rPr>
                <w:spacing w:val="-2"/>
                <w:sz w:val="16"/>
              </w:rPr>
              <w:t>243,500,000.00</w:t>
            </w:r>
          </w:p>
        </w:tc>
        <w:tc>
          <w:tcPr>
            <w:tcW w:w="1320" w:type="dxa"/>
          </w:tcPr>
          <w:p>
            <w:pPr>
              <w:pStyle w:val="TableParagraph"/>
              <w:spacing w:line="179" w:lineRule="exact"/>
              <w:ind w:right="226"/>
              <w:jc w:val="center"/>
              <w:rPr>
                <w:sz w:val="16"/>
              </w:rPr>
            </w:pPr>
            <w:r>
              <w:rPr>
                <w:spacing w:val="-2"/>
                <w:sz w:val="16"/>
              </w:rPr>
              <w:t>200,500,000.00</w:t>
            </w:r>
          </w:p>
        </w:tc>
        <w:tc>
          <w:tcPr>
            <w:tcW w:w="1652" w:type="dxa"/>
          </w:tcPr>
          <w:p>
            <w:pPr>
              <w:pStyle w:val="TableParagraph"/>
              <w:spacing w:line="179" w:lineRule="exact"/>
              <w:ind w:left="153"/>
              <w:rPr>
                <w:sz w:val="16"/>
              </w:rPr>
            </w:pPr>
            <w:r>
              <w:rPr>
                <w:spacing w:val="-2"/>
                <w:sz w:val="16"/>
              </w:rPr>
              <w:t>2,645,000,000.00</w:t>
            </w:r>
          </w:p>
        </w:tc>
        <w:tc>
          <w:tcPr>
            <w:tcW w:w="1604" w:type="dxa"/>
          </w:tcPr>
          <w:p>
            <w:pPr>
              <w:pStyle w:val="TableParagraph"/>
              <w:spacing w:line="179" w:lineRule="exact"/>
              <w:ind w:left="80" w:right="242"/>
              <w:jc w:val="center"/>
              <w:rPr>
                <w:sz w:val="16"/>
              </w:rPr>
            </w:pPr>
            <w:r>
              <w:rPr>
                <w:spacing w:val="-2"/>
                <w:sz w:val="16"/>
              </w:rPr>
              <w:t>12,602,390,000.00</w:t>
            </w:r>
          </w:p>
        </w:tc>
      </w:tr>
      <w:tr>
        <w:trPr>
          <w:trHeight w:val="300" w:hRule="atLeast"/>
        </w:trPr>
        <w:tc>
          <w:tcPr>
            <w:tcW w:w="667" w:type="dxa"/>
            <w:shd w:val="clear" w:color="auto" w:fill="D2DFED"/>
          </w:tcPr>
          <w:p>
            <w:pPr>
              <w:pStyle w:val="TableParagraph"/>
              <w:spacing w:line="202" w:lineRule="exact"/>
              <w:ind w:right="59"/>
              <w:jc w:val="center"/>
              <w:rPr>
                <w:sz w:val="18"/>
              </w:rPr>
            </w:pPr>
            <w:r>
              <w:rPr>
                <w:spacing w:val="-4"/>
                <w:sz w:val="18"/>
              </w:rPr>
              <w:t>2002</w:t>
            </w:r>
          </w:p>
        </w:tc>
        <w:tc>
          <w:tcPr>
            <w:tcW w:w="1430" w:type="dxa"/>
            <w:shd w:val="clear" w:color="auto" w:fill="D2DFED"/>
          </w:tcPr>
          <w:p>
            <w:pPr>
              <w:pStyle w:val="TableParagraph"/>
              <w:spacing w:line="179" w:lineRule="exact"/>
              <w:ind w:right="181"/>
              <w:jc w:val="center"/>
              <w:rPr>
                <w:sz w:val="16"/>
              </w:rPr>
            </w:pPr>
            <w:r>
              <w:rPr>
                <w:spacing w:val="-2"/>
                <w:sz w:val="16"/>
              </w:rPr>
              <w:t>777,400,000.00</w:t>
            </w:r>
          </w:p>
        </w:tc>
        <w:tc>
          <w:tcPr>
            <w:tcW w:w="1455" w:type="dxa"/>
            <w:shd w:val="clear" w:color="auto" w:fill="D2DFED"/>
          </w:tcPr>
          <w:p>
            <w:pPr>
              <w:pStyle w:val="TableParagraph"/>
              <w:spacing w:line="179" w:lineRule="exact"/>
              <w:ind w:left="185"/>
              <w:rPr>
                <w:sz w:val="16"/>
              </w:rPr>
            </w:pPr>
            <w:r>
              <w:rPr>
                <w:spacing w:val="-2"/>
                <w:sz w:val="16"/>
              </w:rPr>
              <w:t>670,500,000.00</w:t>
            </w:r>
          </w:p>
        </w:tc>
        <w:tc>
          <w:tcPr>
            <w:tcW w:w="1518" w:type="dxa"/>
            <w:shd w:val="clear" w:color="auto" w:fill="D2DFED"/>
          </w:tcPr>
          <w:p>
            <w:pPr>
              <w:pStyle w:val="TableParagraph"/>
              <w:spacing w:line="179" w:lineRule="exact"/>
              <w:ind w:left="146"/>
              <w:rPr>
                <w:sz w:val="16"/>
              </w:rPr>
            </w:pPr>
            <w:r>
              <w:rPr>
                <w:spacing w:val="-2"/>
                <w:sz w:val="16"/>
              </w:rPr>
              <w:t>810,500,000.00</w:t>
            </w:r>
          </w:p>
        </w:tc>
        <w:tc>
          <w:tcPr>
            <w:tcW w:w="1320" w:type="dxa"/>
            <w:shd w:val="clear" w:color="auto" w:fill="D2DFED"/>
          </w:tcPr>
          <w:p>
            <w:pPr>
              <w:pStyle w:val="TableParagraph"/>
              <w:spacing w:line="179" w:lineRule="exact"/>
              <w:ind w:right="226"/>
              <w:jc w:val="center"/>
              <w:rPr>
                <w:sz w:val="16"/>
              </w:rPr>
            </w:pPr>
            <w:r>
              <w:rPr>
                <w:spacing w:val="-2"/>
                <w:sz w:val="16"/>
              </w:rPr>
              <w:t>227,500,000.00</w:t>
            </w:r>
          </w:p>
        </w:tc>
        <w:tc>
          <w:tcPr>
            <w:tcW w:w="1652" w:type="dxa"/>
            <w:shd w:val="clear" w:color="auto" w:fill="D2DFED"/>
          </w:tcPr>
          <w:p>
            <w:pPr>
              <w:pStyle w:val="TableParagraph"/>
              <w:spacing w:line="179" w:lineRule="exact"/>
              <w:ind w:left="153"/>
              <w:rPr>
                <w:sz w:val="16"/>
              </w:rPr>
            </w:pPr>
            <w:r>
              <w:rPr>
                <w:spacing w:val="-2"/>
                <w:sz w:val="16"/>
              </w:rPr>
              <w:t>2,280,000,000.00</w:t>
            </w:r>
          </w:p>
        </w:tc>
        <w:tc>
          <w:tcPr>
            <w:tcW w:w="1604" w:type="dxa"/>
            <w:shd w:val="clear" w:color="auto" w:fill="D2DFED"/>
          </w:tcPr>
          <w:p>
            <w:pPr>
              <w:pStyle w:val="TableParagraph"/>
              <w:spacing w:line="179" w:lineRule="exact"/>
              <w:ind w:right="242"/>
              <w:jc w:val="center"/>
              <w:rPr>
                <w:sz w:val="16"/>
              </w:rPr>
            </w:pPr>
            <w:r>
              <w:rPr>
                <w:spacing w:val="-2"/>
                <w:sz w:val="16"/>
              </w:rPr>
              <w:t>9,856,947,000.00</w:t>
            </w:r>
          </w:p>
        </w:tc>
      </w:tr>
      <w:tr>
        <w:trPr>
          <w:trHeight w:val="300" w:hRule="atLeast"/>
        </w:trPr>
        <w:tc>
          <w:tcPr>
            <w:tcW w:w="667" w:type="dxa"/>
          </w:tcPr>
          <w:p>
            <w:pPr>
              <w:pStyle w:val="TableParagraph"/>
              <w:spacing w:line="202" w:lineRule="exact"/>
              <w:ind w:right="59"/>
              <w:jc w:val="center"/>
              <w:rPr>
                <w:sz w:val="18"/>
              </w:rPr>
            </w:pPr>
            <w:r>
              <w:rPr>
                <w:spacing w:val="-4"/>
                <w:sz w:val="18"/>
              </w:rPr>
              <w:t>2003</w:t>
            </w:r>
          </w:p>
        </w:tc>
        <w:tc>
          <w:tcPr>
            <w:tcW w:w="1430" w:type="dxa"/>
          </w:tcPr>
          <w:p>
            <w:pPr>
              <w:pStyle w:val="TableParagraph"/>
              <w:spacing w:line="179" w:lineRule="exact"/>
              <w:ind w:right="62"/>
              <w:jc w:val="center"/>
              <w:rPr>
                <w:sz w:val="16"/>
              </w:rPr>
            </w:pPr>
            <w:r>
              <w:rPr>
                <w:spacing w:val="-2"/>
                <w:sz w:val="16"/>
              </w:rPr>
              <w:t>2,037,500,000.00</w:t>
            </w:r>
          </w:p>
        </w:tc>
        <w:tc>
          <w:tcPr>
            <w:tcW w:w="1455" w:type="dxa"/>
          </w:tcPr>
          <w:p>
            <w:pPr>
              <w:pStyle w:val="TableParagraph"/>
              <w:spacing w:line="179" w:lineRule="exact"/>
              <w:ind w:left="185"/>
              <w:rPr>
                <w:sz w:val="16"/>
              </w:rPr>
            </w:pPr>
            <w:r>
              <w:rPr>
                <w:spacing w:val="-2"/>
                <w:sz w:val="16"/>
              </w:rPr>
              <w:t>1,270,500,000.00</w:t>
            </w:r>
          </w:p>
        </w:tc>
        <w:tc>
          <w:tcPr>
            <w:tcW w:w="1518" w:type="dxa"/>
          </w:tcPr>
          <w:p>
            <w:pPr>
              <w:pStyle w:val="TableParagraph"/>
              <w:spacing w:line="179" w:lineRule="exact"/>
              <w:ind w:left="146"/>
              <w:rPr>
                <w:sz w:val="16"/>
              </w:rPr>
            </w:pPr>
            <w:r>
              <w:rPr>
                <w:spacing w:val="-2"/>
                <w:sz w:val="16"/>
              </w:rPr>
              <w:t>466,250,000.00</w:t>
            </w:r>
          </w:p>
        </w:tc>
        <w:tc>
          <w:tcPr>
            <w:tcW w:w="1320" w:type="dxa"/>
          </w:tcPr>
          <w:p>
            <w:pPr>
              <w:pStyle w:val="TableParagraph"/>
              <w:spacing w:line="179" w:lineRule="exact"/>
              <w:ind w:left="1" w:right="226"/>
              <w:jc w:val="center"/>
              <w:rPr>
                <w:sz w:val="16"/>
              </w:rPr>
            </w:pPr>
            <w:r>
              <w:rPr>
                <w:spacing w:val="-2"/>
                <w:sz w:val="16"/>
              </w:rPr>
              <w:t>188,000,000.00</w:t>
            </w:r>
          </w:p>
        </w:tc>
        <w:tc>
          <w:tcPr>
            <w:tcW w:w="1652" w:type="dxa"/>
          </w:tcPr>
          <w:p>
            <w:pPr>
              <w:pStyle w:val="TableParagraph"/>
              <w:spacing w:line="179" w:lineRule="exact"/>
              <w:ind w:left="153"/>
              <w:rPr>
                <w:sz w:val="16"/>
              </w:rPr>
            </w:pPr>
            <w:r>
              <w:rPr>
                <w:spacing w:val="-2"/>
                <w:sz w:val="16"/>
              </w:rPr>
              <w:t>1,000,000,000.00</w:t>
            </w:r>
          </w:p>
        </w:tc>
        <w:tc>
          <w:tcPr>
            <w:tcW w:w="1604" w:type="dxa"/>
          </w:tcPr>
          <w:p>
            <w:pPr>
              <w:pStyle w:val="TableParagraph"/>
              <w:spacing w:line="179" w:lineRule="exact"/>
              <w:ind w:right="242"/>
              <w:jc w:val="center"/>
              <w:rPr>
                <w:sz w:val="16"/>
              </w:rPr>
            </w:pPr>
            <w:r>
              <w:rPr>
                <w:spacing w:val="-2"/>
                <w:sz w:val="16"/>
              </w:rPr>
              <w:t>7,763,950,000.00</w:t>
            </w:r>
          </w:p>
        </w:tc>
      </w:tr>
      <w:tr>
        <w:trPr>
          <w:trHeight w:val="300" w:hRule="atLeast"/>
        </w:trPr>
        <w:tc>
          <w:tcPr>
            <w:tcW w:w="667" w:type="dxa"/>
            <w:shd w:val="clear" w:color="auto" w:fill="D2DFED"/>
          </w:tcPr>
          <w:p>
            <w:pPr>
              <w:pStyle w:val="TableParagraph"/>
              <w:spacing w:line="202" w:lineRule="exact"/>
              <w:ind w:right="59"/>
              <w:jc w:val="center"/>
              <w:rPr>
                <w:sz w:val="18"/>
              </w:rPr>
            </w:pPr>
            <w:r>
              <w:rPr>
                <w:spacing w:val="-4"/>
                <w:sz w:val="18"/>
              </w:rPr>
              <w:t>2004</w:t>
            </w:r>
          </w:p>
        </w:tc>
        <w:tc>
          <w:tcPr>
            <w:tcW w:w="1430" w:type="dxa"/>
            <w:shd w:val="clear" w:color="auto" w:fill="D2DFED"/>
          </w:tcPr>
          <w:p>
            <w:pPr>
              <w:pStyle w:val="TableParagraph"/>
              <w:spacing w:line="179" w:lineRule="exact"/>
              <w:ind w:right="181"/>
              <w:jc w:val="center"/>
              <w:rPr>
                <w:sz w:val="16"/>
              </w:rPr>
            </w:pPr>
            <w:r>
              <w:rPr>
                <w:spacing w:val="-2"/>
                <w:sz w:val="16"/>
              </w:rPr>
              <w:t>875,000,000.00</w:t>
            </w:r>
          </w:p>
        </w:tc>
        <w:tc>
          <w:tcPr>
            <w:tcW w:w="1455" w:type="dxa"/>
            <w:shd w:val="clear" w:color="auto" w:fill="D2DFED"/>
          </w:tcPr>
          <w:p>
            <w:pPr>
              <w:pStyle w:val="TableParagraph"/>
              <w:spacing w:line="179" w:lineRule="exact"/>
              <w:ind w:left="185"/>
              <w:rPr>
                <w:sz w:val="16"/>
              </w:rPr>
            </w:pPr>
            <w:r>
              <w:rPr>
                <w:spacing w:val="-2"/>
                <w:sz w:val="16"/>
              </w:rPr>
              <w:t>419,000,000.00</w:t>
            </w:r>
          </w:p>
        </w:tc>
        <w:tc>
          <w:tcPr>
            <w:tcW w:w="1518" w:type="dxa"/>
            <w:shd w:val="clear" w:color="auto" w:fill="D2DFED"/>
          </w:tcPr>
          <w:p>
            <w:pPr>
              <w:pStyle w:val="TableParagraph"/>
              <w:spacing w:line="179" w:lineRule="exact"/>
              <w:ind w:left="146"/>
              <w:rPr>
                <w:sz w:val="16"/>
              </w:rPr>
            </w:pPr>
            <w:r>
              <w:rPr>
                <w:spacing w:val="-2"/>
                <w:sz w:val="16"/>
              </w:rPr>
              <w:t>507,000,000.00</w:t>
            </w:r>
          </w:p>
        </w:tc>
        <w:tc>
          <w:tcPr>
            <w:tcW w:w="1320" w:type="dxa"/>
            <w:shd w:val="clear" w:color="auto" w:fill="D2DFED"/>
          </w:tcPr>
          <w:p>
            <w:pPr>
              <w:pStyle w:val="TableParagraph"/>
              <w:spacing w:line="179" w:lineRule="exact"/>
              <w:ind w:right="226"/>
              <w:jc w:val="center"/>
              <w:rPr>
                <w:sz w:val="16"/>
              </w:rPr>
            </w:pPr>
            <w:r>
              <w:rPr>
                <w:spacing w:val="-2"/>
                <w:sz w:val="16"/>
              </w:rPr>
              <w:t>227,577,000.00</w:t>
            </w:r>
          </w:p>
        </w:tc>
        <w:tc>
          <w:tcPr>
            <w:tcW w:w="1652" w:type="dxa"/>
            <w:shd w:val="clear" w:color="auto" w:fill="D2DFED"/>
          </w:tcPr>
          <w:p>
            <w:pPr>
              <w:pStyle w:val="TableParagraph"/>
              <w:spacing w:line="179" w:lineRule="exact"/>
              <w:ind w:left="153"/>
              <w:rPr>
                <w:sz w:val="16"/>
              </w:rPr>
            </w:pPr>
            <w:r>
              <w:rPr>
                <w:spacing w:val="-2"/>
                <w:sz w:val="16"/>
              </w:rPr>
              <w:t>5,699,000,000.00</w:t>
            </w:r>
          </w:p>
        </w:tc>
        <w:tc>
          <w:tcPr>
            <w:tcW w:w="1604" w:type="dxa"/>
            <w:shd w:val="clear" w:color="auto" w:fill="D2DFED"/>
          </w:tcPr>
          <w:p>
            <w:pPr>
              <w:pStyle w:val="TableParagraph"/>
              <w:spacing w:line="179" w:lineRule="exact"/>
              <w:ind w:left="80" w:right="242"/>
              <w:jc w:val="center"/>
              <w:rPr>
                <w:sz w:val="16"/>
              </w:rPr>
            </w:pPr>
            <w:r>
              <w:rPr>
                <w:spacing w:val="-2"/>
                <w:sz w:val="16"/>
              </w:rPr>
              <w:t>11,709,677,000.00</w:t>
            </w:r>
          </w:p>
        </w:tc>
      </w:tr>
      <w:tr>
        <w:trPr>
          <w:trHeight w:val="300" w:hRule="atLeast"/>
        </w:trPr>
        <w:tc>
          <w:tcPr>
            <w:tcW w:w="667" w:type="dxa"/>
          </w:tcPr>
          <w:p>
            <w:pPr>
              <w:pStyle w:val="TableParagraph"/>
              <w:spacing w:line="202" w:lineRule="exact"/>
              <w:ind w:right="59"/>
              <w:jc w:val="center"/>
              <w:rPr>
                <w:sz w:val="18"/>
              </w:rPr>
            </w:pPr>
            <w:r>
              <w:rPr>
                <w:spacing w:val="-4"/>
                <w:sz w:val="18"/>
              </w:rPr>
              <w:t>2005</w:t>
            </w:r>
          </w:p>
        </w:tc>
        <w:tc>
          <w:tcPr>
            <w:tcW w:w="1430" w:type="dxa"/>
          </w:tcPr>
          <w:p>
            <w:pPr>
              <w:pStyle w:val="TableParagraph"/>
              <w:spacing w:line="179" w:lineRule="exact"/>
              <w:ind w:right="62"/>
              <w:jc w:val="center"/>
              <w:rPr>
                <w:sz w:val="16"/>
              </w:rPr>
            </w:pPr>
            <w:r>
              <w:rPr>
                <w:spacing w:val="-2"/>
                <w:sz w:val="16"/>
              </w:rPr>
              <w:t>1,537,900,000.00</w:t>
            </w:r>
          </w:p>
        </w:tc>
        <w:tc>
          <w:tcPr>
            <w:tcW w:w="1455" w:type="dxa"/>
          </w:tcPr>
          <w:p>
            <w:pPr>
              <w:pStyle w:val="TableParagraph"/>
              <w:spacing w:line="179" w:lineRule="exact"/>
              <w:ind w:left="185"/>
              <w:rPr>
                <w:sz w:val="16"/>
              </w:rPr>
            </w:pPr>
            <w:r>
              <w:rPr>
                <w:spacing w:val="-2"/>
                <w:sz w:val="16"/>
              </w:rPr>
              <w:t>821,000,000.00</w:t>
            </w:r>
          </w:p>
        </w:tc>
        <w:tc>
          <w:tcPr>
            <w:tcW w:w="1518" w:type="dxa"/>
          </w:tcPr>
          <w:p>
            <w:pPr>
              <w:pStyle w:val="TableParagraph"/>
              <w:spacing w:line="179" w:lineRule="exact"/>
              <w:ind w:left="146"/>
              <w:rPr>
                <w:sz w:val="16"/>
              </w:rPr>
            </w:pPr>
            <w:r>
              <w:rPr>
                <w:spacing w:val="-2"/>
                <w:sz w:val="16"/>
              </w:rPr>
              <w:t>509,000,000.00</w:t>
            </w:r>
          </w:p>
        </w:tc>
        <w:tc>
          <w:tcPr>
            <w:tcW w:w="1320" w:type="dxa"/>
          </w:tcPr>
          <w:p>
            <w:pPr>
              <w:pStyle w:val="TableParagraph"/>
              <w:spacing w:line="179" w:lineRule="exact"/>
              <w:ind w:right="226"/>
              <w:jc w:val="center"/>
              <w:rPr>
                <w:sz w:val="16"/>
              </w:rPr>
            </w:pPr>
            <w:r>
              <w:rPr>
                <w:spacing w:val="-2"/>
                <w:sz w:val="16"/>
              </w:rPr>
              <w:t>446,000,000.00</w:t>
            </w:r>
          </w:p>
        </w:tc>
        <w:tc>
          <w:tcPr>
            <w:tcW w:w="1652" w:type="dxa"/>
          </w:tcPr>
          <w:p>
            <w:pPr>
              <w:pStyle w:val="TableParagraph"/>
              <w:spacing w:line="179" w:lineRule="exact"/>
              <w:ind w:left="153"/>
              <w:rPr>
                <w:sz w:val="16"/>
              </w:rPr>
            </w:pPr>
            <w:r>
              <w:rPr>
                <w:spacing w:val="-2"/>
                <w:sz w:val="16"/>
              </w:rPr>
              <w:t>8,059,000,000.00</w:t>
            </w:r>
          </w:p>
        </w:tc>
        <w:tc>
          <w:tcPr>
            <w:tcW w:w="1604" w:type="dxa"/>
          </w:tcPr>
          <w:p>
            <w:pPr>
              <w:pStyle w:val="TableParagraph"/>
              <w:spacing w:line="179" w:lineRule="exact"/>
              <w:ind w:left="80" w:right="242"/>
              <w:jc w:val="center"/>
              <w:rPr>
                <w:sz w:val="16"/>
              </w:rPr>
            </w:pPr>
            <w:r>
              <w:rPr>
                <w:spacing w:val="-2"/>
                <w:sz w:val="16"/>
              </w:rPr>
              <w:t>16,401,900,000.00</w:t>
            </w:r>
          </w:p>
        </w:tc>
      </w:tr>
      <w:tr>
        <w:trPr>
          <w:trHeight w:val="300" w:hRule="atLeast"/>
        </w:trPr>
        <w:tc>
          <w:tcPr>
            <w:tcW w:w="667" w:type="dxa"/>
            <w:shd w:val="clear" w:color="auto" w:fill="D2DFED"/>
          </w:tcPr>
          <w:p>
            <w:pPr>
              <w:pStyle w:val="TableParagraph"/>
              <w:spacing w:line="202" w:lineRule="exact"/>
              <w:ind w:right="59"/>
              <w:jc w:val="center"/>
              <w:rPr>
                <w:sz w:val="18"/>
              </w:rPr>
            </w:pPr>
            <w:r>
              <w:rPr>
                <w:spacing w:val="-4"/>
                <w:sz w:val="18"/>
              </w:rPr>
              <w:t>2006</w:t>
            </w:r>
          </w:p>
        </w:tc>
        <w:tc>
          <w:tcPr>
            <w:tcW w:w="1430" w:type="dxa"/>
            <w:shd w:val="clear" w:color="auto" w:fill="D2DFED"/>
          </w:tcPr>
          <w:p>
            <w:pPr>
              <w:pStyle w:val="TableParagraph"/>
              <w:spacing w:line="179" w:lineRule="exact"/>
              <w:ind w:right="62"/>
              <w:jc w:val="center"/>
              <w:rPr>
                <w:sz w:val="16"/>
              </w:rPr>
            </w:pPr>
            <w:r>
              <w:rPr>
                <w:spacing w:val="-2"/>
                <w:sz w:val="16"/>
              </w:rPr>
              <w:t>1,057,500,000.00</w:t>
            </w:r>
          </w:p>
        </w:tc>
        <w:tc>
          <w:tcPr>
            <w:tcW w:w="1455" w:type="dxa"/>
            <w:shd w:val="clear" w:color="auto" w:fill="D2DFED"/>
          </w:tcPr>
          <w:p>
            <w:pPr>
              <w:pStyle w:val="TableParagraph"/>
              <w:spacing w:line="179" w:lineRule="exact"/>
              <w:ind w:left="185"/>
              <w:rPr>
                <w:sz w:val="16"/>
              </w:rPr>
            </w:pPr>
            <w:r>
              <w:rPr>
                <w:spacing w:val="-2"/>
                <w:sz w:val="16"/>
              </w:rPr>
              <w:t>1,832,570,000.00</w:t>
            </w:r>
          </w:p>
        </w:tc>
        <w:tc>
          <w:tcPr>
            <w:tcW w:w="1518" w:type="dxa"/>
            <w:shd w:val="clear" w:color="auto" w:fill="D2DFED"/>
          </w:tcPr>
          <w:p>
            <w:pPr>
              <w:pStyle w:val="TableParagraph"/>
              <w:spacing w:line="179" w:lineRule="exact"/>
              <w:ind w:left="146"/>
              <w:rPr>
                <w:sz w:val="16"/>
              </w:rPr>
            </w:pPr>
            <w:r>
              <w:rPr>
                <w:spacing w:val="-2"/>
                <w:sz w:val="16"/>
              </w:rPr>
              <w:t>553,000,000.00</w:t>
            </w:r>
          </w:p>
        </w:tc>
        <w:tc>
          <w:tcPr>
            <w:tcW w:w="1320" w:type="dxa"/>
            <w:shd w:val="clear" w:color="auto" w:fill="D2DFED"/>
          </w:tcPr>
          <w:p>
            <w:pPr>
              <w:pStyle w:val="TableParagraph"/>
              <w:spacing w:line="179" w:lineRule="exact"/>
              <w:ind w:right="226"/>
              <w:jc w:val="center"/>
              <w:rPr>
                <w:sz w:val="16"/>
              </w:rPr>
            </w:pPr>
            <w:r>
              <w:rPr>
                <w:spacing w:val="-2"/>
                <w:sz w:val="16"/>
              </w:rPr>
              <w:t>592,210,000.00</w:t>
            </w:r>
          </w:p>
        </w:tc>
        <w:tc>
          <w:tcPr>
            <w:tcW w:w="1652" w:type="dxa"/>
            <w:shd w:val="clear" w:color="auto" w:fill="D2DFED"/>
          </w:tcPr>
          <w:p>
            <w:pPr>
              <w:pStyle w:val="TableParagraph"/>
              <w:spacing w:line="179" w:lineRule="exact"/>
              <w:ind w:left="153"/>
              <w:rPr>
                <w:sz w:val="16"/>
              </w:rPr>
            </w:pPr>
            <w:r>
              <w:rPr>
                <w:spacing w:val="-2"/>
                <w:sz w:val="16"/>
              </w:rPr>
              <w:t>7,140,000,000.00</w:t>
            </w:r>
          </w:p>
        </w:tc>
        <w:tc>
          <w:tcPr>
            <w:tcW w:w="1604" w:type="dxa"/>
            <w:shd w:val="clear" w:color="auto" w:fill="D2DFED"/>
          </w:tcPr>
          <w:p>
            <w:pPr>
              <w:pStyle w:val="TableParagraph"/>
              <w:spacing w:line="179" w:lineRule="exact"/>
              <w:ind w:left="80" w:right="242"/>
              <w:jc w:val="center"/>
              <w:rPr>
                <w:sz w:val="16"/>
              </w:rPr>
            </w:pPr>
            <w:r>
              <w:rPr>
                <w:spacing w:val="-2"/>
                <w:sz w:val="16"/>
              </w:rPr>
              <w:t>17,503,340,000.00</w:t>
            </w:r>
          </w:p>
        </w:tc>
      </w:tr>
      <w:tr>
        <w:trPr>
          <w:trHeight w:val="300" w:hRule="atLeast"/>
        </w:trPr>
        <w:tc>
          <w:tcPr>
            <w:tcW w:w="667" w:type="dxa"/>
          </w:tcPr>
          <w:p>
            <w:pPr>
              <w:pStyle w:val="TableParagraph"/>
              <w:spacing w:line="202" w:lineRule="exact"/>
              <w:ind w:right="59"/>
              <w:jc w:val="center"/>
              <w:rPr>
                <w:sz w:val="18"/>
              </w:rPr>
            </w:pPr>
            <w:r>
              <w:rPr>
                <w:spacing w:val="-4"/>
                <w:sz w:val="18"/>
              </w:rPr>
              <w:t>2007</w:t>
            </w:r>
          </w:p>
        </w:tc>
        <w:tc>
          <w:tcPr>
            <w:tcW w:w="1430" w:type="dxa"/>
          </w:tcPr>
          <w:p>
            <w:pPr>
              <w:pStyle w:val="TableParagraph"/>
              <w:spacing w:line="179" w:lineRule="exact"/>
              <w:ind w:right="62"/>
              <w:jc w:val="center"/>
              <w:rPr>
                <w:sz w:val="16"/>
              </w:rPr>
            </w:pPr>
            <w:r>
              <w:rPr>
                <w:spacing w:val="-2"/>
                <w:sz w:val="16"/>
              </w:rPr>
              <w:t>1,550,000,000.00</w:t>
            </w:r>
          </w:p>
        </w:tc>
        <w:tc>
          <w:tcPr>
            <w:tcW w:w="1455" w:type="dxa"/>
          </w:tcPr>
          <w:p>
            <w:pPr>
              <w:pStyle w:val="TableParagraph"/>
              <w:spacing w:line="179" w:lineRule="exact"/>
              <w:ind w:left="185"/>
              <w:rPr>
                <w:sz w:val="16"/>
              </w:rPr>
            </w:pPr>
            <w:r>
              <w:rPr>
                <w:spacing w:val="-2"/>
                <w:sz w:val="16"/>
              </w:rPr>
              <w:t>2,279,900,000.00</w:t>
            </w:r>
          </w:p>
        </w:tc>
        <w:tc>
          <w:tcPr>
            <w:tcW w:w="1518" w:type="dxa"/>
          </w:tcPr>
          <w:p>
            <w:pPr>
              <w:pStyle w:val="TableParagraph"/>
              <w:spacing w:line="179" w:lineRule="exact"/>
              <w:ind w:left="146"/>
              <w:rPr>
                <w:sz w:val="16"/>
              </w:rPr>
            </w:pPr>
            <w:r>
              <w:rPr>
                <w:spacing w:val="-2"/>
                <w:sz w:val="16"/>
              </w:rPr>
              <w:t>1,170,000,000.00</w:t>
            </w:r>
          </w:p>
        </w:tc>
        <w:tc>
          <w:tcPr>
            <w:tcW w:w="1320" w:type="dxa"/>
          </w:tcPr>
          <w:p>
            <w:pPr>
              <w:pStyle w:val="TableParagraph"/>
              <w:spacing w:line="179" w:lineRule="exact"/>
              <w:ind w:right="106"/>
              <w:jc w:val="center"/>
              <w:rPr>
                <w:sz w:val="16"/>
              </w:rPr>
            </w:pPr>
            <w:r>
              <w:rPr>
                <w:spacing w:val="-2"/>
                <w:sz w:val="16"/>
              </w:rPr>
              <w:t>1,422,822,000.00</w:t>
            </w:r>
          </w:p>
        </w:tc>
        <w:tc>
          <w:tcPr>
            <w:tcW w:w="1652" w:type="dxa"/>
          </w:tcPr>
          <w:p>
            <w:pPr>
              <w:pStyle w:val="TableParagraph"/>
              <w:spacing w:line="179" w:lineRule="exact"/>
              <w:ind w:left="153"/>
              <w:rPr>
                <w:sz w:val="16"/>
              </w:rPr>
            </w:pPr>
            <w:r>
              <w:rPr>
                <w:spacing w:val="-2"/>
                <w:sz w:val="16"/>
              </w:rPr>
              <w:t>12,848,000,000.00</w:t>
            </w:r>
          </w:p>
        </w:tc>
        <w:tc>
          <w:tcPr>
            <w:tcW w:w="1604" w:type="dxa"/>
          </w:tcPr>
          <w:p>
            <w:pPr>
              <w:pStyle w:val="TableParagraph"/>
              <w:spacing w:line="179" w:lineRule="exact"/>
              <w:ind w:left="80" w:right="242"/>
              <w:jc w:val="center"/>
              <w:rPr>
                <w:sz w:val="16"/>
              </w:rPr>
            </w:pPr>
            <w:r>
              <w:rPr>
                <w:spacing w:val="-2"/>
                <w:sz w:val="16"/>
              </w:rPr>
              <w:t>35,023,000,000.00</w:t>
            </w:r>
          </w:p>
        </w:tc>
      </w:tr>
      <w:tr>
        <w:trPr>
          <w:trHeight w:val="300" w:hRule="atLeast"/>
        </w:trPr>
        <w:tc>
          <w:tcPr>
            <w:tcW w:w="667" w:type="dxa"/>
            <w:shd w:val="clear" w:color="auto" w:fill="D2DFED"/>
          </w:tcPr>
          <w:p>
            <w:pPr>
              <w:pStyle w:val="TableParagraph"/>
              <w:spacing w:line="202" w:lineRule="exact"/>
              <w:ind w:right="59"/>
              <w:jc w:val="center"/>
              <w:rPr>
                <w:sz w:val="18"/>
              </w:rPr>
            </w:pPr>
            <w:r>
              <w:rPr>
                <w:spacing w:val="-4"/>
                <w:sz w:val="18"/>
              </w:rPr>
              <w:t>2008</w:t>
            </w:r>
          </w:p>
        </w:tc>
        <w:tc>
          <w:tcPr>
            <w:tcW w:w="1430" w:type="dxa"/>
            <w:shd w:val="clear" w:color="auto" w:fill="D2DFED"/>
          </w:tcPr>
          <w:p>
            <w:pPr>
              <w:pStyle w:val="TableParagraph"/>
              <w:spacing w:line="179" w:lineRule="exact"/>
              <w:ind w:right="62"/>
              <w:jc w:val="center"/>
              <w:rPr>
                <w:sz w:val="16"/>
              </w:rPr>
            </w:pPr>
            <w:r>
              <w:rPr>
                <w:spacing w:val="-2"/>
                <w:sz w:val="16"/>
              </w:rPr>
              <w:t>3,750,000,000.00</w:t>
            </w:r>
          </w:p>
        </w:tc>
        <w:tc>
          <w:tcPr>
            <w:tcW w:w="1455" w:type="dxa"/>
            <w:shd w:val="clear" w:color="auto" w:fill="D2DFED"/>
          </w:tcPr>
          <w:p>
            <w:pPr>
              <w:pStyle w:val="TableParagraph"/>
              <w:spacing w:line="179" w:lineRule="exact"/>
              <w:ind w:left="185"/>
              <w:rPr>
                <w:sz w:val="16"/>
              </w:rPr>
            </w:pPr>
            <w:r>
              <w:rPr>
                <w:spacing w:val="-2"/>
                <w:sz w:val="16"/>
              </w:rPr>
              <w:t>3,209,000,000.00</w:t>
            </w:r>
          </w:p>
        </w:tc>
        <w:tc>
          <w:tcPr>
            <w:tcW w:w="1518" w:type="dxa"/>
            <w:shd w:val="clear" w:color="auto" w:fill="D2DFED"/>
          </w:tcPr>
          <w:p>
            <w:pPr>
              <w:pStyle w:val="TableParagraph"/>
              <w:spacing w:line="179" w:lineRule="exact"/>
              <w:ind w:left="146"/>
              <w:rPr>
                <w:sz w:val="16"/>
              </w:rPr>
            </w:pPr>
            <w:r>
              <w:rPr>
                <w:spacing w:val="-2"/>
                <w:sz w:val="16"/>
              </w:rPr>
              <w:t>1,291,000,000.00</w:t>
            </w:r>
          </w:p>
        </w:tc>
        <w:tc>
          <w:tcPr>
            <w:tcW w:w="1320" w:type="dxa"/>
            <w:shd w:val="clear" w:color="auto" w:fill="D2DFED"/>
          </w:tcPr>
          <w:p>
            <w:pPr>
              <w:pStyle w:val="TableParagraph"/>
              <w:spacing w:line="179" w:lineRule="exact"/>
              <w:ind w:right="106"/>
              <w:jc w:val="center"/>
              <w:rPr>
                <w:sz w:val="16"/>
              </w:rPr>
            </w:pPr>
            <w:r>
              <w:rPr>
                <w:spacing w:val="-2"/>
                <w:sz w:val="16"/>
              </w:rPr>
              <w:t>1,225,250,000.00</w:t>
            </w:r>
          </w:p>
        </w:tc>
        <w:tc>
          <w:tcPr>
            <w:tcW w:w="1652" w:type="dxa"/>
            <w:shd w:val="clear" w:color="auto" w:fill="D2DFED"/>
          </w:tcPr>
          <w:p>
            <w:pPr>
              <w:pStyle w:val="TableParagraph"/>
              <w:spacing w:line="179" w:lineRule="exact"/>
              <w:ind w:left="153"/>
              <w:rPr>
                <w:sz w:val="16"/>
              </w:rPr>
            </w:pPr>
            <w:r>
              <w:rPr>
                <w:spacing w:val="-2"/>
                <w:sz w:val="16"/>
              </w:rPr>
              <w:t>16,205,000,000.00</w:t>
            </w:r>
          </w:p>
        </w:tc>
        <w:tc>
          <w:tcPr>
            <w:tcW w:w="1604" w:type="dxa"/>
            <w:shd w:val="clear" w:color="auto" w:fill="D2DFED"/>
          </w:tcPr>
          <w:p>
            <w:pPr>
              <w:pStyle w:val="TableParagraph"/>
              <w:spacing w:line="179" w:lineRule="exact"/>
              <w:ind w:left="80" w:right="242"/>
              <w:jc w:val="center"/>
              <w:rPr>
                <w:sz w:val="16"/>
              </w:rPr>
            </w:pPr>
            <w:r>
              <w:rPr>
                <w:spacing w:val="-2"/>
                <w:sz w:val="16"/>
              </w:rPr>
              <w:t>51,061,310,000.00</w:t>
            </w:r>
          </w:p>
        </w:tc>
      </w:tr>
      <w:tr>
        <w:trPr>
          <w:trHeight w:val="299" w:hRule="atLeast"/>
        </w:trPr>
        <w:tc>
          <w:tcPr>
            <w:tcW w:w="667" w:type="dxa"/>
          </w:tcPr>
          <w:p>
            <w:pPr>
              <w:pStyle w:val="TableParagraph"/>
              <w:spacing w:line="202" w:lineRule="exact"/>
              <w:ind w:right="59"/>
              <w:jc w:val="center"/>
              <w:rPr>
                <w:sz w:val="18"/>
              </w:rPr>
            </w:pPr>
            <w:r>
              <w:rPr>
                <w:spacing w:val="-4"/>
                <w:sz w:val="18"/>
              </w:rPr>
              <w:t>2009</w:t>
            </w:r>
          </w:p>
        </w:tc>
        <w:tc>
          <w:tcPr>
            <w:tcW w:w="1430" w:type="dxa"/>
          </w:tcPr>
          <w:p>
            <w:pPr>
              <w:pStyle w:val="TableParagraph"/>
              <w:spacing w:line="179" w:lineRule="exact"/>
              <w:ind w:right="62"/>
              <w:jc w:val="center"/>
              <w:rPr>
                <w:sz w:val="16"/>
              </w:rPr>
            </w:pPr>
            <w:r>
              <w:rPr>
                <w:spacing w:val="-2"/>
                <w:sz w:val="16"/>
              </w:rPr>
              <w:t>3,002,000,000.00</w:t>
            </w:r>
          </w:p>
        </w:tc>
        <w:tc>
          <w:tcPr>
            <w:tcW w:w="1455" w:type="dxa"/>
          </w:tcPr>
          <w:p>
            <w:pPr>
              <w:pStyle w:val="TableParagraph"/>
              <w:spacing w:line="179" w:lineRule="exact"/>
              <w:ind w:left="185"/>
              <w:rPr>
                <w:sz w:val="16"/>
              </w:rPr>
            </w:pPr>
            <w:r>
              <w:rPr>
                <w:spacing w:val="-2"/>
                <w:sz w:val="16"/>
              </w:rPr>
              <w:t>2,891,100,000.00</w:t>
            </w:r>
          </w:p>
        </w:tc>
        <w:tc>
          <w:tcPr>
            <w:tcW w:w="1518" w:type="dxa"/>
          </w:tcPr>
          <w:p>
            <w:pPr>
              <w:pStyle w:val="TableParagraph"/>
              <w:spacing w:line="179" w:lineRule="exact"/>
              <w:ind w:left="146"/>
              <w:rPr>
                <w:sz w:val="16"/>
              </w:rPr>
            </w:pPr>
            <w:r>
              <w:rPr>
                <w:spacing w:val="-2"/>
                <w:sz w:val="16"/>
              </w:rPr>
              <w:t>1,505,000,000.00</w:t>
            </w:r>
          </w:p>
        </w:tc>
        <w:tc>
          <w:tcPr>
            <w:tcW w:w="1320" w:type="dxa"/>
          </w:tcPr>
          <w:p>
            <w:pPr>
              <w:pStyle w:val="TableParagraph"/>
              <w:spacing w:line="179" w:lineRule="exact"/>
              <w:ind w:right="106"/>
              <w:jc w:val="center"/>
              <w:rPr>
                <w:sz w:val="16"/>
              </w:rPr>
            </w:pPr>
            <w:r>
              <w:rPr>
                <w:spacing w:val="-2"/>
                <w:sz w:val="16"/>
              </w:rPr>
              <w:t>1,915,000,000.00</w:t>
            </w:r>
          </w:p>
        </w:tc>
        <w:tc>
          <w:tcPr>
            <w:tcW w:w="1652" w:type="dxa"/>
          </w:tcPr>
          <w:p>
            <w:pPr>
              <w:pStyle w:val="TableParagraph"/>
              <w:spacing w:line="179" w:lineRule="exact"/>
              <w:ind w:left="153"/>
              <w:rPr>
                <w:sz w:val="16"/>
              </w:rPr>
            </w:pPr>
            <w:r>
              <w:rPr>
                <w:spacing w:val="-2"/>
                <w:sz w:val="16"/>
              </w:rPr>
              <w:t>15,717,000,000.00</w:t>
            </w:r>
          </w:p>
        </w:tc>
        <w:tc>
          <w:tcPr>
            <w:tcW w:w="1604" w:type="dxa"/>
          </w:tcPr>
          <w:p>
            <w:pPr>
              <w:pStyle w:val="TableParagraph"/>
              <w:spacing w:line="179" w:lineRule="exact"/>
              <w:ind w:left="80" w:right="242"/>
              <w:jc w:val="center"/>
              <w:rPr>
                <w:sz w:val="16"/>
              </w:rPr>
            </w:pPr>
            <w:r>
              <w:rPr>
                <w:spacing w:val="-2"/>
                <w:sz w:val="16"/>
              </w:rPr>
              <w:t>47,675,590,000.00</w:t>
            </w:r>
          </w:p>
        </w:tc>
      </w:tr>
      <w:tr>
        <w:trPr>
          <w:trHeight w:val="300" w:hRule="atLeast"/>
        </w:trPr>
        <w:tc>
          <w:tcPr>
            <w:tcW w:w="667" w:type="dxa"/>
            <w:shd w:val="clear" w:color="auto" w:fill="D2DFED"/>
          </w:tcPr>
          <w:p>
            <w:pPr>
              <w:pStyle w:val="TableParagraph"/>
              <w:spacing w:line="202" w:lineRule="exact"/>
              <w:ind w:right="59"/>
              <w:jc w:val="center"/>
              <w:rPr>
                <w:sz w:val="18"/>
              </w:rPr>
            </w:pPr>
            <w:r>
              <w:rPr>
                <w:spacing w:val="-4"/>
                <w:sz w:val="18"/>
              </w:rPr>
              <w:t>2010</w:t>
            </w:r>
          </w:p>
        </w:tc>
        <w:tc>
          <w:tcPr>
            <w:tcW w:w="1430" w:type="dxa"/>
            <w:shd w:val="clear" w:color="auto" w:fill="D2DFED"/>
          </w:tcPr>
          <w:p>
            <w:pPr>
              <w:pStyle w:val="TableParagraph"/>
              <w:spacing w:line="179" w:lineRule="exact"/>
              <w:ind w:right="62"/>
              <w:jc w:val="center"/>
              <w:rPr>
                <w:sz w:val="16"/>
              </w:rPr>
            </w:pPr>
            <w:r>
              <w:rPr>
                <w:spacing w:val="-2"/>
                <w:sz w:val="16"/>
              </w:rPr>
              <w:t>2,430,000,000.00</w:t>
            </w:r>
          </w:p>
        </w:tc>
        <w:tc>
          <w:tcPr>
            <w:tcW w:w="1455" w:type="dxa"/>
            <w:shd w:val="clear" w:color="auto" w:fill="D2DFED"/>
          </w:tcPr>
          <w:p>
            <w:pPr>
              <w:pStyle w:val="TableParagraph"/>
              <w:spacing w:line="179" w:lineRule="exact"/>
              <w:ind w:left="185"/>
              <w:rPr>
                <w:sz w:val="16"/>
              </w:rPr>
            </w:pPr>
            <w:r>
              <w:rPr>
                <w:spacing w:val="-2"/>
                <w:sz w:val="16"/>
              </w:rPr>
              <w:t>2,505,000,000.00</w:t>
            </w:r>
          </w:p>
        </w:tc>
        <w:tc>
          <w:tcPr>
            <w:tcW w:w="1518" w:type="dxa"/>
            <w:shd w:val="clear" w:color="auto" w:fill="D2DFED"/>
          </w:tcPr>
          <w:p>
            <w:pPr>
              <w:pStyle w:val="TableParagraph"/>
              <w:spacing w:line="179" w:lineRule="exact"/>
              <w:ind w:left="146"/>
              <w:rPr>
                <w:sz w:val="16"/>
              </w:rPr>
            </w:pPr>
            <w:r>
              <w:rPr>
                <w:spacing w:val="-2"/>
                <w:sz w:val="16"/>
              </w:rPr>
              <w:t>1,218,000,000.00</w:t>
            </w:r>
          </w:p>
        </w:tc>
        <w:tc>
          <w:tcPr>
            <w:tcW w:w="1320" w:type="dxa"/>
            <w:shd w:val="clear" w:color="auto" w:fill="D2DFED"/>
          </w:tcPr>
          <w:p>
            <w:pPr>
              <w:pStyle w:val="TableParagraph"/>
              <w:spacing w:line="179" w:lineRule="exact"/>
              <w:ind w:right="106"/>
              <w:jc w:val="center"/>
              <w:rPr>
                <w:sz w:val="16"/>
              </w:rPr>
            </w:pPr>
            <w:r>
              <w:rPr>
                <w:spacing w:val="-2"/>
                <w:sz w:val="16"/>
              </w:rPr>
              <w:t>1,092,000,000.00</w:t>
            </w:r>
          </w:p>
        </w:tc>
        <w:tc>
          <w:tcPr>
            <w:tcW w:w="1652" w:type="dxa"/>
            <w:shd w:val="clear" w:color="auto" w:fill="D2DFED"/>
          </w:tcPr>
          <w:p>
            <w:pPr>
              <w:pStyle w:val="TableParagraph"/>
              <w:spacing w:line="179" w:lineRule="exact"/>
              <w:ind w:left="153"/>
              <w:rPr>
                <w:sz w:val="16"/>
              </w:rPr>
            </w:pPr>
            <w:r>
              <w:rPr>
                <w:spacing w:val="-2"/>
                <w:sz w:val="16"/>
              </w:rPr>
              <w:t>12,744,000,000.00</w:t>
            </w:r>
          </w:p>
        </w:tc>
        <w:tc>
          <w:tcPr>
            <w:tcW w:w="1604" w:type="dxa"/>
            <w:shd w:val="clear" w:color="auto" w:fill="D2DFED"/>
          </w:tcPr>
          <w:p>
            <w:pPr>
              <w:pStyle w:val="TableParagraph"/>
              <w:spacing w:line="179" w:lineRule="exact"/>
              <w:ind w:left="80" w:right="242"/>
              <w:jc w:val="center"/>
              <w:rPr>
                <w:sz w:val="16"/>
              </w:rPr>
            </w:pPr>
            <w:r>
              <w:rPr>
                <w:spacing w:val="-2"/>
                <w:sz w:val="16"/>
              </w:rPr>
              <w:t>40,294,200,000.00</w:t>
            </w:r>
          </w:p>
        </w:tc>
      </w:tr>
      <w:tr>
        <w:trPr>
          <w:trHeight w:val="299" w:hRule="atLeast"/>
        </w:trPr>
        <w:tc>
          <w:tcPr>
            <w:tcW w:w="667" w:type="dxa"/>
            <w:tcBorders>
              <w:bottom w:val="single" w:sz="8" w:space="0" w:color="4F81BC"/>
            </w:tcBorders>
          </w:tcPr>
          <w:p>
            <w:pPr>
              <w:pStyle w:val="TableParagraph"/>
              <w:spacing w:line="202" w:lineRule="exact"/>
              <w:ind w:right="59"/>
              <w:jc w:val="center"/>
              <w:rPr>
                <w:sz w:val="18"/>
              </w:rPr>
            </w:pPr>
            <w:r>
              <w:rPr>
                <w:spacing w:val="-4"/>
                <w:sz w:val="18"/>
              </w:rPr>
              <w:t>2011</w:t>
            </w:r>
          </w:p>
        </w:tc>
        <w:tc>
          <w:tcPr>
            <w:tcW w:w="1430" w:type="dxa"/>
            <w:tcBorders>
              <w:bottom w:val="single" w:sz="8" w:space="0" w:color="4F81BC"/>
            </w:tcBorders>
          </w:tcPr>
          <w:p>
            <w:pPr>
              <w:pStyle w:val="TableParagraph"/>
              <w:spacing w:line="179" w:lineRule="exact"/>
              <w:ind w:right="62"/>
              <w:jc w:val="center"/>
              <w:rPr>
                <w:sz w:val="16"/>
              </w:rPr>
            </w:pPr>
            <w:r>
              <w:rPr>
                <w:spacing w:val="-2"/>
                <w:sz w:val="16"/>
              </w:rPr>
              <w:t>2,451,000,000.00</w:t>
            </w:r>
          </w:p>
        </w:tc>
        <w:tc>
          <w:tcPr>
            <w:tcW w:w="1455" w:type="dxa"/>
            <w:tcBorders>
              <w:bottom w:val="single" w:sz="8" w:space="0" w:color="4F81BC"/>
            </w:tcBorders>
          </w:tcPr>
          <w:p>
            <w:pPr>
              <w:pStyle w:val="TableParagraph"/>
              <w:spacing w:line="179" w:lineRule="exact"/>
              <w:ind w:left="185"/>
              <w:rPr>
                <w:sz w:val="16"/>
              </w:rPr>
            </w:pPr>
            <w:r>
              <w:rPr>
                <w:spacing w:val="-2"/>
                <w:sz w:val="16"/>
              </w:rPr>
              <w:t>2,040,000,000.00</w:t>
            </w:r>
          </w:p>
        </w:tc>
        <w:tc>
          <w:tcPr>
            <w:tcW w:w="1518" w:type="dxa"/>
            <w:tcBorders>
              <w:bottom w:val="single" w:sz="8" w:space="0" w:color="4F81BC"/>
            </w:tcBorders>
          </w:tcPr>
          <w:p>
            <w:pPr>
              <w:pStyle w:val="TableParagraph"/>
              <w:spacing w:line="179" w:lineRule="exact"/>
              <w:ind w:left="146"/>
              <w:rPr>
                <w:sz w:val="16"/>
              </w:rPr>
            </w:pPr>
            <w:r>
              <w:rPr>
                <w:spacing w:val="-2"/>
                <w:sz w:val="16"/>
              </w:rPr>
              <w:t>1,000,000,000.00</w:t>
            </w:r>
          </w:p>
        </w:tc>
        <w:tc>
          <w:tcPr>
            <w:tcW w:w="1320" w:type="dxa"/>
            <w:tcBorders>
              <w:bottom w:val="single" w:sz="8" w:space="0" w:color="4F81BC"/>
            </w:tcBorders>
          </w:tcPr>
          <w:p>
            <w:pPr>
              <w:pStyle w:val="TableParagraph"/>
              <w:spacing w:line="179" w:lineRule="exact"/>
              <w:ind w:right="106"/>
              <w:jc w:val="center"/>
              <w:rPr>
                <w:sz w:val="16"/>
              </w:rPr>
            </w:pPr>
            <w:r>
              <w:rPr>
                <w:spacing w:val="-2"/>
                <w:sz w:val="16"/>
              </w:rPr>
              <w:t>1,026,000,000.00</w:t>
            </w:r>
          </w:p>
        </w:tc>
        <w:tc>
          <w:tcPr>
            <w:tcW w:w="1652" w:type="dxa"/>
            <w:tcBorders>
              <w:bottom w:val="single" w:sz="8" w:space="0" w:color="4F81BC"/>
            </w:tcBorders>
          </w:tcPr>
          <w:p>
            <w:pPr>
              <w:pStyle w:val="TableParagraph"/>
              <w:spacing w:line="179" w:lineRule="exact"/>
              <w:ind w:left="153"/>
              <w:rPr>
                <w:sz w:val="16"/>
              </w:rPr>
            </w:pPr>
            <w:r>
              <w:rPr>
                <w:spacing w:val="-2"/>
                <w:sz w:val="16"/>
              </w:rPr>
              <w:t>10,740,000,000.00</w:t>
            </w:r>
          </w:p>
        </w:tc>
        <w:tc>
          <w:tcPr>
            <w:tcW w:w="1604" w:type="dxa"/>
            <w:tcBorders>
              <w:bottom w:val="single" w:sz="8" w:space="0" w:color="4F81BC"/>
            </w:tcBorders>
          </w:tcPr>
          <w:p>
            <w:pPr>
              <w:pStyle w:val="TableParagraph"/>
              <w:spacing w:line="179" w:lineRule="exact"/>
              <w:ind w:left="80" w:right="242"/>
              <w:jc w:val="center"/>
              <w:rPr>
                <w:sz w:val="16"/>
              </w:rPr>
            </w:pPr>
            <w:r>
              <w:rPr>
                <w:spacing w:val="-2"/>
                <w:sz w:val="16"/>
              </w:rPr>
              <w:t>33,691,225,000.00</w:t>
            </w:r>
          </w:p>
        </w:tc>
      </w:tr>
    </w:tbl>
    <w:p>
      <w:pPr>
        <w:spacing w:after="0" w:line="179" w:lineRule="exact"/>
        <w:jc w:val="center"/>
        <w:rPr>
          <w:sz w:val="16"/>
        </w:rPr>
        <w:sectPr>
          <w:pgSz w:w="12240" w:h="15840"/>
          <w:pgMar w:header="0" w:footer="1036" w:top="1360" w:bottom="1414" w:left="1200" w:right="600"/>
        </w:sectPr>
      </w:pPr>
    </w:p>
    <w:tbl>
      <w:tblPr>
        <w:tblW w:w="0" w:type="auto"/>
        <w:jc w:val="left"/>
        <w:tblInd w:w="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3"/>
        <w:gridCol w:w="1477"/>
        <w:gridCol w:w="1455"/>
        <w:gridCol w:w="1417"/>
        <w:gridCol w:w="1425"/>
        <w:gridCol w:w="1561"/>
        <w:gridCol w:w="1656"/>
      </w:tblGrid>
      <w:tr>
        <w:trPr>
          <w:trHeight w:val="300" w:hRule="atLeast"/>
        </w:trPr>
        <w:tc>
          <w:tcPr>
            <w:tcW w:w="653" w:type="dxa"/>
            <w:tcBorders>
              <w:top w:val="single" w:sz="8" w:space="0" w:color="4F81BC"/>
            </w:tcBorders>
            <w:shd w:val="clear" w:color="auto" w:fill="D2DFED"/>
          </w:tcPr>
          <w:p>
            <w:pPr>
              <w:pStyle w:val="TableParagraph"/>
              <w:spacing w:line="202" w:lineRule="exact"/>
              <w:ind w:right="59"/>
              <w:jc w:val="center"/>
              <w:rPr>
                <w:sz w:val="18"/>
              </w:rPr>
            </w:pPr>
            <w:r>
              <w:rPr>
                <w:spacing w:val="-4"/>
                <w:sz w:val="18"/>
              </w:rPr>
              <w:t>2012</w:t>
            </w:r>
          </w:p>
        </w:tc>
        <w:tc>
          <w:tcPr>
            <w:tcW w:w="1477" w:type="dxa"/>
            <w:tcBorders>
              <w:top w:val="single" w:sz="8" w:space="0" w:color="4F81BC"/>
            </w:tcBorders>
            <w:shd w:val="clear" w:color="auto" w:fill="D2DFED"/>
          </w:tcPr>
          <w:p>
            <w:pPr>
              <w:pStyle w:val="TableParagraph"/>
              <w:spacing w:line="178" w:lineRule="exact"/>
              <w:ind w:left="129"/>
              <w:rPr>
                <w:sz w:val="16"/>
              </w:rPr>
            </w:pPr>
            <w:r>
              <w:rPr>
                <w:spacing w:val="-2"/>
                <w:sz w:val="16"/>
              </w:rPr>
              <w:t>1,808,000,000.00</w:t>
            </w:r>
          </w:p>
        </w:tc>
        <w:tc>
          <w:tcPr>
            <w:tcW w:w="1455" w:type="dxa"/>
            <w:tcBorders>
              <w:top w:val="single" w:sz="8" w:space="0" w:color="4F81BC"/>
            </w:tcBorders>
            <w:shd w:val="clear" w:color="auto" w:fill="D2DFED"/>
          </w:tcPr>
          <w:p>
            <w:pPr>
              <w:pStyle w:val="TableParagraph"/>
              <w:spacing w:line="178" w:lineRule="exact"/>
              <w:ind w:left="76" w:right="41"/>
              <w:jc w:val="center"/>
              <w:rPr>
                <w:sz w:val="16"/>
              </w:rPr>
            </w:pPr>
            <w:r>
              <w:rPr>
                <w:spacing w:val="-2"/>
                <w:sz w:val="16"/>
              </w:rPr>
              <w:t>10,989,990,000.00</w:t>
            </w:r>
          </w:p>
        </w:tc>
        <w:tc>
          <w:tcPr>
            <w:tcW w:w="1417" w:type="dxa"/>
            <w:tcBorders>
              <w:top w:val="single" w:sz="8" w:space="0" w:color="4F81BC"/>
            </w:tcBorders>
            <w:shd w:val="clear" w:color="auto" w:fill="D2DFED"/>
          </w:tcPr>
          <w:p>
            <w:pPr>
              <w:pStyle w:val="TableParagraph"/>
              <w:spacing w:line="178" w:lineRule="exact"/>
              <w:ind w:right="80"/>
              <w:jc w:val="center"/>
              <w:rPr>
                <w:sz w:val="16"/>
              </w:rPr>
            </w:pPr>
            <w:r>
              <w:rPr>
                <w:spacing w:val="-2"/>
                <w:sz w:val="16"/>
              </w:rPr>
              <w:t>1,371,000,000.00</w:t>
            </w:r>
          </w:p>
        </w:tc>
        <w:tc>
          <w:tcPr>
            <w:tcW w:w="1425" w:type="dxa"/>
            <w:tcBorders>
              <w:top w:val="single" w:sz="8" w:space="0" w:color="4F81BC"/>
            </w:tcBorders>
            <w:shd w:val="clear" w:color="auto" w:fill="D2DFED"/>
          </w:tcPr>
          <w:p>
            <w:pPr>
              <w:pStyle w:val="TableParagraph"/>
              <w:spacing w:line="178" w:lineRule="exact"/>
              <w:ind w:right="89"/>
              <w:jc w:val="center"/>
              <w:rPr>
                <w:sz w:val="16"/>
              </w:rPr>
            </w:pPr>
            <w:r>
              <w:rPr>
                <w:spacing w:val="-2"/>
                <w:sz w:val="16"/>
              </w:rPr>
              <w:t>1,140,436,000.00</w:t>
            </w:r>
          </w:p>
        </w:tc>
        <w:tc>
          <w:tcPr>
            <w:tcW w:w="1561" w:type="dxa"/>
            <w:tcBorders>
              <w:top w:val="single" w:sz="8" w:space="0" w:color="4F81BC"/>
            </w:tcBorders>
            <w:shd w:val="clear" w:color="auto" w:fill="D2DFED"/>
          </w:tcPr>
          <w:p>
            <w:pPr>
              <w:pStyle w:val="TableParagraph"/>
              <w:spacing w:line="178" w:lineRule="exact"/>
              <w:ind w:right="140"/>
              <w:jc w:val="center"/>
              <w:rPr>
                <w:sz w:val="16"/>
              </w:rPr>
            </w:pPr>
            <w:r>
              <w:rPr>
                <w:spacing w:val="-2"/>
                <w:sz w:val="16"/>
              </w:rPr>
              <w:t>10,000,000,000.00</w:t>
            </w:r>
          </w:p>
        </w:tc>
        <w:tc>
          <w:tcPr>
            <w:tcW w:w="1656" w:type="dxa"/>
            <w:tcBorders>
              <w:top w:val="single" w:sz="8" w:space="0" w:color="4F81BC"/>
            </w:tcBorders>
            <w:shd w:val="clear" w:color="auto" w:fill="D2DFED"/>
          </w:tcPr>
          <w:p>
            <w:pPr>
              <w:pStyle w:val="TableParagraph"/>
              <w:spacing w:line="178" w:lineRule="exact"/>
              <w:ind w:right="120"/>
              <w:jc w:val="center"/>
              <w:rPr>
                <w:sz w:val="16"/>
              </w:rPr>
            </w:pPr>
            <w:r>
              <w:rPr>
                <w:spacing w:val="-2"/>
                <w:sz w:val="16"/>
              </w:rPr>
              <w:t>46,929,000,000.00</w:t>
            </w:r>
          </w:p>
        </w:tc>
      </w:tr>
      <w:tr>
        <w:trPr>
          <w:trHeight w:val="300" w:hRule="atLeast"/>
        </w:trPr>
        <w:tc>
          <w:tcPr>
            <w:tcW w:w="653" w:type="dxa"/>
          </w:tcPr>
          <w:p>
            <w:pPr>
              <w:pStyle w:val="TableParagraph"/>
              <w:spacing w:line="202" w:lineRule="exact"/>
              <w:ind w:right="59"/>
              <w:jc w:val="center"/>
              <w:rPr>
                <w:sz w:val="18"/>
              </w:rPr>
            </w:pPr>
            <w:r>
              <w:rPr>
                <w:spacing w:val="-4"/>
                <w:sz w:val="18"/>
              </w:rPr>
              <w:t>2013</w:t>
            </w:r>
          </w:p>
        </w:tc>
        <w:tc>
          <w:tcPr>
            <w:tcW w:w="1477" w:type="dxa"/>
          </w:tcPr>
          <w:p>
            <w:pPr>
              <w:pStyle w:val="TableParagraph"/>
              <w:spacing w:line="179" w:lineRule="exact"/>
              <w:ind w:left="129"/>
              <w:rPr>
                <w:sz w:val="16"/>
              </w:rPr>
            </w:pPr>
            <w:r>
              <w:rPr>
                <w:spacing w:val="-2"/>
                <w:sz w:val="16"/>
              </w:rPr>
              <w:t>1,406,800,000.00</w:t>
            </w:r>
          </w:p>
        </w:tc>
        <w:tc>
          <w:tcPr>
            <w:tcW w:w="1455" w:type="dxa"/>
          </w:tcPr>
          <w:p>
            <w:pPr>
              <w:pStyle w:val="TableParagraph"/>
              <w:spacing w:line="179" w:lineRule="exact"/>
              <w:ind w:left="76" w:right="41"/>
              <w:jc w:val="center"/>
              <w:rPr>
                <w:sz w:val="16"/>
              </w:rPr>
            </w:pPr>
            <w:r>
              <w:rPr>
                <w:spacing w:val="-2"/>
                <w:sz w:val="16"/>
              </w:rPr>
              <w:t>10,173,525,000.00</w:t>
            </w:r>
          </w:p>
        </w:tc>
        <w:tc>
          <w:tcPr>
            <w:tcW w:w="1417" w:type="dxa"/>
          </w:tcPr>
          <w:p>
            <w:pPr>
              <w:pStyle w:val="TableParagraph"/>
              <w:spacing w:line="179" w:lineRule="exact"/>
              <w:ind w:right="80"/>
              <w:jc w:val="center"/>
              <w:rPr>
                <w:sz w:val="16"/>
              </w:rPr>
            </w:pPr>
            <w:r>
              <w:rPr>
                <w:spacing w:val="-2"/>
                <w:sz w:val="16"/>
              </w:rPr>
              <w:t>1,229,100,000.00</w:t>
            </w:r>
          </w:p>
        </w:tc>
        <w:tc>
          <w:tcPr>
            <w:tcW w:w="1425" w:type="dxa"/>
          </w:tcPr>
          <w:p>
            <w:pPr>
              <w:pStyle w:val="TableParagraph"/>
              <w:spacing w:line="179" w:lineRule="exact"/>
              <w:ind w:right="89"/>
              <w:jc w:val="center"/>
              <w:rPr>
                <w:sz w:val="16"/>
              </w:rPr>
            </w:pPr>
            <w:r>
              <w:rPr>
                <w:spacing w:val="-2"/>
                <w:sz w:val="16"/>
              </w:rPr>
              <w:t>1,007,000,000.00</w:t>
            </w:r>
          </w:p>
        </w:tc>
        <w:tc>
          <w:tcPr>
            <w:tcW w:w="1561" w:type="dxa"/>
          </w:tcPr>
          <w:p>
            <w:pPr>
              <w:pStyle w:val="TableParagraph"/>
              <w:spacing w:line="179" w:lineRule="exact"/>
              <w:ind w:right="140"/>
              <w:jc w:val="center"/>
              <w:rPr>
                <w:sz w:val="16"/>
              </w:rPr>
            </w:pPr>
            <w:r>
              <w:rPr>
                <w:spacing w:val="-2"/>
                <w:sz w:val="16"/>
              </w:rPr>
              <w:t>16,171,500,000.00</w:t>
            </w:r>
          </w:p>
        </w:tc>
        <w:tc>
          <w:tcPr>
            <w:tcW w:w="1656" w:type="dxa"/>
          </w:tcPr>
          <w:p>
            <w:pPr>
              <w:pStyle w:val="TableParagraph"/>
              <w:spacing w:line="179" w:lineRule="exact"/>
              <w:ind w:right="120"/>
              <w:jc w:val="center"/>
              <w:rPr>
                <w:sz w:val="16"/>
              </w:rPr>
            </w:pPr>
            <w:r>
              <w:rPr>
                <w:spacing w:val="-2"/>
                <w:sz w:val="16"/>
              </w:rPr>
              <w:t>70,955,323,000.00</w:t>
            </w:r>
          </w:p>
        </w:tc>
      </w:tr>
      <w:tr>
        <w:trPr>
          <w:trHeight w:val="300" w:hRule="atLeast"/>
        </w:trPr>
        <w:tc>
          <w:tcPr>
            <w:tcW w:w="653" w:type="dxa"/>
            <w:shd w:val="clear" w:color="auto" w:fill="D2DFED"/>
          </w:tcPr>
          <w:p>
            <w:pPr>
              <w:pStyle w:val="TableParagraph"/>
              <w:spacing w:line="202" w:lineRule="exact"/>
              <w:ind w:right="59"/>
              <w:jc w:val="center"/>
              <w:rPr>
                <w:sz w:val="18"/>
              </w:rPr>
            </w:pPr>
            <w:r>
              <w:rPr>
                <w:spacing w:val="-4"/>
                <w:sz w:val="18"/>
              </w:rPr>
              <w:t>2014</w:t>
            </w:r>
          </w:p>
        </w:tc>
        <w:tc>
          <w:tcPr>
            <w:tcW w:w="1477" w:type="dxa"/>
            <w:shd w:val="clear" w:color="auto" w:fill="D2DFED"/>
          </w:tcPr>
          <w:p>
            <w:pPr>
              <w:pStyle w:val="TableParagraph"/>
              <w:spacing w:line="179" w:lineRule="exact"/>
              <w:ind w:left="129"/>
              <w:rPr>
                <w:sz w:val="16"/>
              </w:rPr>
            </w:pPr>
            <w:r>
              <w:rPr>
                <w:spacing w:val="-2"/>
                <w:sz w:val="16"/>
              </w:rPr>
              <w:t>2,947,000,000.00</w:t>
            </w:r>
          </w:p>
        </w:tc>
        <w:tc>
          <w:tcPr>
            <w:tcW w:w="1455" w:type="dxa"/>
            <w:shd w:val="clear" w:color="auto" w:fill="D2DFED"/>
          </w:tcPr>
          <w:p>
            <w:pPr>
              <w:pStyle w:val="TableParagraph"/>
              <w:spacing w:line="179" w:lineRule="exact"/>
              <w:ind w:left="35" w:right="76"/>
              <w:jc w:val="center"/>
              <w:rPr>
                <w:sz w:val="16"/>
              </w:rPr>
            </w:pPr>
            <w:r>
              <w:rPr>
                <w:spacing w:val="-2"/>
                <w:sz w:val="16"/>
              </w:rPr>
              <w:t>7,171,986,000.00</w:t>
            </w:r>
          </w:p>
        </w:tc>
        <w:tc>
          <w:tcPr>
            <w:tcW w:w="1417" w:type="dxa"/>
            <w:shd w:val="clear" w:color="auto" w:fill="D2DFED"/>
          </w:tcPr>
          <w:p>
            <w:pPr>
              <w:pStyle w:val="TableParagraph"/>
              <w:spacing w:line="179" w:lineRule="exact"/>
              <w:ind w:right="80"/>
              <w:jc w:val="center"/>
              <w:rPr>
                <w:sz w:val="16"/>
              </w:rPr>
            </w:pPr>
            <w:r>
              <w:rPr>
                <w:spacing w:val="-2"/>
                <w:sz w:val="16"/>
              </w:rPr>
              <w:t>5,088,000,000.00</w:t>
            </w:r>
          </w:p>
        </w:tc>
        <w:tc>
          <w:tcPr>
            <w:tcW w:w="1425" w:type="dxa"/>
            <w:shd w:val="clear" w:color="auto" w:fill="D2DFED"/>
          </w:tcPr>
          <w:p>
            <w:pPr>
              <w:pStyle w:val="TableParagraph"/>
              <w:spacing w:line="179" w:lineRule="exact"/>
              <w:ind w:right="89"/>
              <w:jc w:val="center"/>
              <w:rPr>
                <w:sz w:val="16"/>
              </w:rPr>
            </w:pPr>
            <w:r>
              <w:rPr>
                <w:spacing w:val="-2"/>
                <w:sz w:val="16"/>
              </w:rPr>
              <w:t>5,272,467,000.00</w:t>
            </w:r>
          </w:p>
        </w:tc>
        <w:tc>
          <w:tcPr>
            <w:tcW w:w="1561" w:type="dxa"/>
            <w:shd w:val="clear" w:color="auto" w:fill="D2DFED"/>
          </w:tcPr>
          <w:p>
            <w:pPr>
              <w:pStyle w:val="TableParagraph"/>
              <w:spacing w:line="179" w:lineRule="exact"/>
              <w:ind w:right="140"/>
              <w:jc w:val="center"/>
              <w:rPr>
                <w:sz w:val="16"/>
              </w:rPr>
            </w:pPr>
            <w:r>
              <w:rPr>
                <w:spacing w:val="-2"/>
                <w:sz w:val="16"/>
              </w:rPr>
              <w:t>35,600,000,000.00</w:t>
            </w:r>
          </w:p>
        </w:tc>
        <w:tc>
          <w:tcPr>
            <w:tcW w:w="1656" w:type="dxa"/>
            <w:shd w:val="clear" w:color="auto" w:fill="D2DFED"/>
          </w:tcPr>
          <w:p>
            <w:pPr>
              <w:pStyle w:val="TableParagraph"/>
              <w:spacing w:line="179" w:lineRule="exact"/>
              <w:ind w:left="79" w:right="120"/>
              <w:jc w:val="center"/>
              <w:rPr>
                <w:sz w:val="16"/>
              </w:rPr>
            </w:pPr>
            <w:r>
              <w:rPr>
                <w:spacing w:val="-2"/>
                <w:sz w:val="16"/>
              </w:rPr>
              <w:t>103,195,000,000.00</w:t>
            </w:r>
          </w:p>
        </w:tc>
      </w:tr>
      <w:tr>
        <w:trPr>
          <w:trHeight w:val="300" w:hRule="atLeast"/>
        </w:trPr>
        <w:tc>
          <w:tcPr>
            <w:tcW w:w="653" w:type="dxa"/>
          </w:tcPr>
          <w:p>
            <w:pPr>
              <w:pStyle w:val="TableParagraph"/>
              <w:spacing w:line="202" w:lineRule="exact"/>
              <w:ind w:right="59"/>
              <w:jc w:val="center"/>
              <w:rPr>
                <w:sz w:val="18"/>
              </w:rPr>
            </w:pPr>
            <w:r>
              <w:rPr>
                <w:spacing w:val="-4"/>
                <w:sz w:val="18"/>
              </w:rPr>
              <w:t>2015</w:t>
            </w:r>
          </w:p>
        </w:tc>
        <w:tc>
          <w:tcPr>
            <w:tcW w:w="1477" w:type="dxa"/>
          </w:tcPr>
          <w:p>
            <w:pPr>
              <w:pStyle w:val="TableParagraph"/>
              <w:spacing w:line="179" w:lineRule="exact"/>
              <w:ind w:left="129"/>
              <w:rPr>
                <w:sz w:val="16"/>
              </w:rPr>
            </w:pPr>
            <w:r>
              <w:rPr>
                <w:spacing w:val="-2"/>
                <w:sz w:val="16"/>
              </w:rPr>
              <w:t>3,320,000,000.00</w:t>
            </w:r>
          </w:p>
        </w:tc>
        <w:tc>
          <w:tcPr>
            <w:tcW w:w="1455" w:type="dxa"/>
          </w:tcPr>
          <w:p>
            <w:pPr>
              <w:pStyle w:val="TableParagraph"/>
              <w:spacing w:line="179" w:lineRule="exact"/>
              <w:ind w:left="35" w:right="76"/>
              <w:jc w:val="center"/>
              <w:rPr>
                <w:sz w:val="16"/>
              </w:rPr>
            </w:pPr>
            <w:r>
              <w:rPr>
                <w:spacing w:val="-2"/>
                <w:sz w:val="16"/>
              </w:rPr>
              <w:t>7,242,270,000.00</w:t>
            </w:r>
          </w:p>
        </w:tc>
        <w:tc>
          <w:tcPr>
            <w:tcW w:w="1417" w:type="dxa"/>
          </w:tcPr>
          <w:p>
            <w:pPr>
              <w:pStyle w:val="TableParagraph"/>
              <w:spacing w:line="179" w:lineRule="exact"/>
              <w:ind w:right="80"/>
              <w:jc w:val="center"/>
              <w:rPr>
                <w:sz w:val="16"/>
              </w:rPr>
            </w:pPr>
            <w:r>
              <w:rPr>
                <w:spacing w:val="-2"/>
                <w:sz w:val="16"/>
              </w:rPr>
              <w:t>5,160,440,000.00</w:t>
            </w:r>
          </w:p>
        </w:tc>
        <w:tc>
          <w:tcPr>
            <w:tcW w:w="1425" w:type="dxa"/>
          </w:tcPr>
          <w:p>
            <w:pPr>
              <w:pStyle w:val="TableParagraph"/>
              <w:spacing w:line="179" w:lineRule="exact"/>
              <w:ind w:right="89"/>
              <w:jc w:val="center"/>
              <w:rPr>
                <w:sz w:val="16"/>
              </w:rPr>
            </w:pPr>
            <w:r>
              <w:rPr>
                <w:spacing w:val="-2"/>
                <w:sz w:val="16"/>
              </w:rPr>
              <w:t>4,613,700,000.00</w:t>
            </w:r>
          </w:p>
        </w:tc>
        <w:tc>
          <w:tcPr>
            <w:tcW w:w="1561" w:type="dxa"/>
          </w:tcPr>
          <w:p>
            <w:pPr>
              <w:pStyle w:val="TableParagraph"/>
              <w:spacing w:line="179" w:lineRule="exact"/>
              <w:ind w:right="140"/>
              <w:jc w:val="center"/>
              <w:rPr>
                <w:sz w:val="16"/>
              </w:rPr>
            </w:pPr>
            <w:r>
              <w:rPr>
                <w:spacing w:val="-2"/>
                <w:sz w:val="16"/>
              </w:rPr>
              <w:t>53,657,350,000.00</w:t>
            </w:r>
          </w:p>
        </w:tc>
        <w:tc>
          <w:tcPr>
            <w:tcW w:w="1656" w:type="dxa"/>
          </w:tcPr>
          <w:p>
            <w:pPr>
              <w:pStyle w:val="TableParagraph"/>
              <w:spacing w:line="179" w:lineRule="exact"/>
              <w:ind w:left="79" w:right="120"/>
              <w:jc w:val="center"/>
              <w:rPr>
                <w:sz w:val="16"/>
              </w:rPr>
            </w:pPr>
            <w:r>
              <w:rPr>
                <w:spacing w:val="-2"/>
                <w:sz w:val="16"/>
              </w:rPr>
              <w:t>110,979,385,700.00</w:t>
            </w:r>
          </w:p>
        </w:tc>
      </w:tr>
      <w:tr>
        <w:trPr>
          <w:trHeight w:val="300" w:hRule="atLeast"/>
        </w:trPr>
        <w:tc>
          <w:tcPr>
            <w:tcW w:w="653" w:type="dxa"/>
            <w:shd w:val="clear" w:color="auto" w:fill="D2DFED"/>
          </w:tcPr>
          <w:p>
            <w:pPr>
              <w:pStyle w:val="TableParagraph"/>
              <w:spacing w:line="202" w:lineRule="exact"/>
              <w:ind w:right="59"/>
              <w:jc w:val="center"/>
              <w:rPr>
                <w:sz w:val="18"/>
              </w:rPr>
            </w:pPr>
            <w:r>
              <w:rPr>
                <w:spacing w:val="-4"/>
                <w:sz w:val="18"/>
              </w:rPr>
              <w:t>2016</w:t>
            </w:r>
          </w:p>
        </w:tc>
        <w:tc>
          <w:tcPr>
            <w:tcW w:w="1477" w:type="dxa"/>
            <w:shd w:val="clear" w:color="auto" w:fill="D2DFED"/>
          </w:tcPr>
          <w:p>
            <w:pPr>
              <w:pStyle w:val="TableParagraph"/>
              <w:spacing w:line="179" w:lineRule="exact"/>
              <w:ind w:left="129"/>
              <w:rPr>
                <w:sz w:val="16"/>
              </w:rPr>
            </w:pPr>
            <w:r>
              <w:rPr>
                <w:spacing w:val="-2"/>
                <w:sz w:val="16"/>
              </w:rPr>
              <w:t>500,000,000.00</w:t>
            </w:r>
          </w:p>
        </w:tc>
        <w:tc>
          <w:tcPr>
            <w:tcW w:w="1455" w:type="dxa"/>
            <w:shd w:val="clear" w:color="auto" w:fill="D2DFED"/>
          </w:tcPr>
          <w:p>
            <w:pPr>
              <w:pStyle w:val="TableParagraph"/>
              <w:spacing w:line="179" w:lineRule="exact"/>
              <w:ind w:left="35" w:right="76"/>
              <w:jc w:val="center"/>
              <w:rPr>
                <w:sz w:val="16"/>
              </w:rPr>
            </w:pPr>
            <w:r>
              <w:rPr>
                <w:spacing w:val="-2"/>
                <w:sz w:val="16"/>
              </w:rPr>
              <w:t>3,000,000,000.00</w:t>
            </w:r>
          </w:p>
        </w:tc>
        <w:tc>
          <w:tcPr>
            <w:tcW w:w="1417" w:type="dxa"/>
            <w:shd w:val="clear" w:color="auto" w:fill="D2DFED"/>
          </w:tcPr>
          <w:p>
            <w:pPr>
              <w:pStyle w:val="TableParagraph"/>
              <w:spacing w:line="179" w:lineRule="exact"/>
              <w:ind w:right="80"/>
              <w:jc w:val="center"/>
              <w:rPr>
                <w:sz w:val="16"/>
              </w:rPr>
            </w:pPr>
            <w:r>
              <w:rPr>
                <w:spacing w:val="-2"/>
                <w:sz w:val="16"/>
              </w:rPr>
              <w:t>2,500,284,103.00</w:t>
            </w:r>
          </w:p>
        </w:tc>
        <w:tc>
          <w:tcPr>
            <w:tcW w:w="1425" w:type="dxa"/>
            <w:shd w:val="clear" w:color="auto" w:fill="D2DFED"/>
          </w:tcPr>
          <w:p>
            <w:pPr>
              <w:pStyle w:val="TableParagraph"/>
              <w:spacing w:line="179" w:lineRule="exact"/>
              <w:ind w:right="89"/>
              <w:jc w:val="center"/>
              <w:rPr>
                <w:sz w:val="16"/>
              </w:rPr>
            </w:pPr>
            <w:r>
              <w:rPr>
                <w:spacing w:val="-2"/>
                <w:sz w:val="16"/>
              </w:rPr>
              <w:t>1,022,715,898.00</w:t>
            </w:r>
          </w:p>
        </w:tc>
        <w:tc>
          <w:tcPr>
            <w:tcW w:w="1561" w:type="dxa"/>
            <w:shd w:val="clear" w:color="auto" w:fill="D2DFED"/>
          </w:tcPr>
          <w:p>
            <w:pPr>
              <w:pStyle w:val="TableParagraph"/>
              <w:spacing w:line="179" w:lineRule="exact"/>
              <w:ind w:right="140"/>
              <w:jc w:val="center"/>
              <w:rPr>
                <w:sz w:val="16"/>
              </w:rPr>
            </w:pPr>
            <w:r>
              <w:rPr>
                <w:spacing w:val="-2"/>
                <w:sz w:val="16"/>
              </w:rPr>
              <w:t>33,208,999,998.00</w:t>
            </w:r>
          </w:p>
        </w:tc>
        <w:tc>
          <w:tcPr>
            <w:tcW w:w="1656" w:type="dxa"/>
            <w:shd w:val="clear" w:color="auto" w:fill="D2DFED"/>
          </w:tcPr>
          <w:p>
            <w:pPr>
              <w:pStyle w:val="TableParagraph"/>
              <w:spacing w:line="179" w:lineRule="exact"/>
              <w:ind w:right="120"/>
              <w:jc w:val="center"/>
              <w:rPr>
                <w:sz w:val="16"/>
              </w:rPr>
            </w:pPr>
            <w:r>
              <w:rPr>
                <w:spacing w:val="-2"/>
                <w:sz w:val="16"/>
              </w:rPr>
              <w:t>52,695,984,648.00</w:t>
            </w:r>
          </w:p>
        </w:tc>
      </w:tr>
      <w:tr>
        <w:trPr>
          <w:trHeight w:val="302" w:hRule="atLeast"/>
        </w:trPr>
        <w:tc>
          <w:tcPr>
            <w:tcW w:w="653" w:type="dxa"/>
            <w:tcBorders>
              <w:bottom w:val="single" w:sz="8" w:space="0" w:color="4F81BC"/>
            </w:tcBorders>
          </w:tcPr>
          <w:p>
            <w:pPr>
              <w:pStyle w:val="TableParagraph"/>
              <w:ind w:left="47" w:right="59"/>
              <w:jc w:val="center"/>
              <w:rPr>
                <w:b/>
                <w:sz w:val="18"/>
              </w:rPr>
            </w:pPr>
            <w:r>
              <w:rPr>
                <w:b/>
                <w:spacing w:val="-2"/>
                <w:sz w:val="18"/>
              </w:rPr>
              <w:t>Total</w:t>
            </w:r>
          </w:p>
        </w:tc>
        <w:tc>
          <w:tcPr>
            <w:tcW w:w="1477" w:type="dxa"/>
            <w:tcBorders>
              <w:bottom w:val="single" w:sz="8" w:space="0" w:color="4F81BC"/>
            </w:tcBorders>
          </w:tcPr>
          <w:p>
            <w:pPr>
              <w:pStyle w:val="TableParagraph"/>
              <w:spacing w:line="181" w:lineRule="exact"/>
              <w:ind w:left="129"/>
              <w:rPr>
                <w:b/>
                <w:sz w:val="16"/>
              </w:rPr>
            </w:pPr>
            <w:r>
              <w:rPr>
                <w:b/>
                <w:spacing w:val="-2"/>
                <w:sz w:val="16"/>
              </w:rPr>
              <w:t>34,828,515,000.00</w:t>
            </w:r>
          </w:p>
        </w:tc>
        <w:tc>
          <w:tcPr>
            <w:tcW w:w="1455" w:type="dxa"/>
            <w:tcBorders>
              <w:bottom w:val="single" w:sz="8" w:space="0" w:color="4F81BC"/>
            </w:tcBorders>
          </w:tcPr>
          <w:p>
            <w:pPr>
              <w:pStyle w:val="TableParagraph"/>
              <w:spacing w:line="181" w:lineRule="exact"/>
              <w:ind w:left="76" w:right="41"/>
              <w:jc w:val="center"/>
              <w:rPr>
                <w:b/>
                <w:sz w:val="16"/>
              </w:rPr>
            </w:pPr>
            <w:r>
              <w:rPr>
                <w:b/>
                <w:spacing w:val="-2"/>
                <w:sz w:val="16"/>
              </w:rPr>
              <w:t>57,801,470,000.00</w:t>
            </w:r>
          </w:p>
        </w:tc>
        <w:tc>
          <w:tcPr>
            <w:tcW w:w="1417" w:type="dxa"/>
            <w:tcBorders>
              <w:bottom w:val="single" w:sz="8" w:space="0" w:color="4F81BC"/>
            </w:tcBorders>
          </w:tcPr>
          <w:p>
            <w:pPr>
              <w:pStyle w:val="TableParagraph"/>
              <w:spacing w:line="181" w:lineRule="exact"/>
              <w:ind w:left="80" w:right="80"/>
              <w:jc w:val="center"/>
              <w:rPr>
                <w:b/>
                <w:sz w:val="16"/>
              </w:rPr>
            </w:pPr>
            <w:r>
              <w:rPr>
                <w:b/>
                <w:spacing w:val="-2"/>
                <w:sz w:val="16"/>
              </w:rPr>
              <w:t>25,076,078,103.00</w:t>
            </w:r>
          </w:p>
        </w:tc>
        <w:tc>
          <w:tcPr>
            <w:tcW w:w="1425" w:type="dxa"/>
            <w:tcBorders>
              <w:bottom w:val="single" w:sz="8" w:space="0" w:color="4F81BC"/>
            </w:tcBorders>
          </w:tcPr>
          <w:p>
            <w:pPr>
              <w:pStyle w:val="TableParagraph"/>
              <w:spacing w:line="181" w:lineRule="exact"/>
              <w:ind w:left="89" w:right="89"/>
              <w:jc w:val="center"/>
              <w:rPr>
                <w:b/>
                <w:sz w:val="16"/>
              </w:rPr>
            </w:pPr>
            <w:r>
              <w:rPr>
                <w:b/>
                <w:spacing w:val="-2"/>
                <w:sz w:val="16"/>
              </w:rPr>
              <w:t>22,184,346,898.00</w:t>
            </w:r>
          </w:p>
        </w:tc>
        <w:tc>
          <w:tcPr>
            <w:tcW w:w="1561" w:type="dxa"/>
            <w:tcBorders>
              <w:bottom w:val="single" w:sz="8" w:space="0" w:color="4F81BC"/>
            </w:tcBorders>
          </w:tcPr>
          <w:p>
            <w:pPr>
              <w:pStyle w:val="TableParagraph"/>
              <w:spacing w:line="181" w:lineRule="exact"/>
              <w:ind w:left="79" w:right="140"/>
              <w:jc w:val="center"/>
              <w:rPr>
                <w:b/>
                <w:sz w:val="16"/>
              </w:rPr>
            </w:pPr>
            <w:r>
              <w:rPr>
                <w:b/>
                <w:spacing w:val="-2"/>
                <w:sz w:val="16"/>
              </w:rPr>
              <w:t>249,120,930,998.00</w:t>
            </w:r>
          </w:p>
        </w:tc>
        <w:tc>
          <w:tcPr>
            <w:tcW w:w="1656" w:type="dxa"/>
            <w:tcBorders>
              <w:bottom w:val="single" w:sz="8" w:space="0" w:color="4F81BC"/>
            </w:tcBorders>
          </w:tcPr>
          <w:p>
            <w:pPr>
              <w:pStyle w:val="TableParagraph"/>
              <w:spacing w:line="181" w:lineRule="exact"/>
              <w:ind w:left="79" w:right="120"/>
              <w:jc w:val="center"/>
              <w:rPr>
                <w:b/>
                <w:sz w:val="16"/>
              </w:rPr>
            </w:pPr>
            <w:r>
              <w:rPr>
                <w:b/>
                <w:spacing w:val="-2"/>
                <w:sz w:val="16"/>
              </w:rPr>
              <w:t>683,379,146,348.00</w:t>
            </w:r>
          </w:p>
        </w:tc>
      </w:tr>
    </w:tbl>
    <w:p>
      <w:pPr>
        <w:pStyle w:val="BodyText"/>
        <w:spacing w:before="47"/>
        <w:ind w:left="240"/>
        <w:jc w:val="both"/>
      </w:pPr>
      <w:r>
        <w:rPr>
          <w:b/>
        </w:rPr>
        <w:t>Source:</w:t>
      </w:r>
      <w:r>
        <w:rPr>
          <w:b/>
          <w:spacing w:val="-3"/>
        </w:rPr>
        <w:t> </w:t>
      </w:r>
      <w:r>
        <w:rPr/>
        <w:t>Annual,</w:t>
      </w:r>
      <w:r>
        <w:rPr>
          <w:spacing w:val="-1"/>
        </w:rPr>
        <w:t> </w:t>
      </w:r>
      <w:r>
        <w:rPr/>
        <w:t>published</w:t>
      </w:r>
      <w:r>
        <w:rPr>
          <w:spacing w:val="-1"/>
        </w:rPr>
        <w:t> </w:t>
      </w:r>
      <w:r>
        <w:rPr/>
        <w:t>Budget</w:t>
      </w:r>
      <w:r>
        <w:rPr>
          <w:spacing w:val="-1"/>
        </w:rPr>
        <w:t> </w:t>
      </w:r>
      <w:r>
        <w:rPr/>
        <w:t>Estimates</w:t>
      </w:r>
      <w:r>
        <w:rPr>
          <w:spacing w:val="-1"/>
        </w:rPr>
        <w:t> </w:t>
      </w:r>
      <w:r>
        <w:rPr/>
        <w:t>of Anambra</w:t>
      </w:r>
      <w:r>
        <w:rPr>
          <w:spacing w:val="-3"/>
        </w:rPr>
        <w:t> </w:t>
      </w:r>
      <w:r>
        <w:rPr/>
        <w:t>State</w:t>
      </w:r>
      <w:r>
        <w:rPr>
          <w:spacing w:val="-1"/>
        </w:rPr>
        <w:t> </w:t>
      </w:r>
      <w:r>
        <w:rPr/>
        <w:t>(1999</w:t>
      </w:r>
      <w:r>
        <w:rPr>
          <w:spacing w:val="-1"/>
        </w:rPr>
        <w:t> </w:t>
      </w:r>
      <w:r>
        <w:rPr/>
        <w:t>–</w:t>
      </w:r>
      <w:r>
        <w:rPr>
          <w:spacing w:val="-1"/>
        </w:rPr>
        <w:t> </w:t>
      </w:r>
      <w:r>
        <w:rPr>
          <w:spacing w:val="-2"/>
        </w:rPr>
        <w:t>2016)</w:t>
      </w:r>
    </w:p>
    <w:p>
      <w:pPr>
        <w:pStyle w:val="BodyText"/>
        <w:spacing w:before="21"/>
      </w:pPr>
    </w:p>
    <w:p>
      <w:pPr>
        <w:pStyle w:val="BodyText"/>
        <w:spacing w:line="360" w:lineRule="auto"/>
        <w:ind w:left="240" w:right="835"/>
        <w:jc w:val="both"/>
      </w:pPr>
      <w:r>
        <w:rPr/>
        <w:t>Table 5.15 shows first, the budget allocations for housing and some selected sectors, namely: education, health, agriculture and works sectors of Anambra State during the period, 1999 –</w:t>
      </w:r>
      <w:r>
        <w:rPr>
          <w:spacing w:val="80"/>
        </w:rPr>
        <w:t> </w:t>
      </w:r>
      <w:r>
        <w:rPr/>
        <w:t>2016 and second, total capital expenditures for all sectors of the State. Two issues informed the selection of these sectors for analysis. First, as a result of the strategic place they occupy in human development as evidenced in the Human Development Index (HDI) which is the measure of life expectancy, literacy, education, and standard of living for countries worldwide and</w:t>
      </w:r>
      <w:r>
        <w:rPr>
          <w:spacing w:val="40"/>
        </w:rPr>
        <w:t> </w:t>
      </w:r>
      <w:r>
        <w:rPr/>
        <w:t>second, to make the analysis less cumbersome. These data on Table 5.15 can be found in appendix 3.</w:t>
      </w:r>
    </w:p>
    <w:p>
      <w:pPr>
        <w:pStyle w:val="BodyText"/>
        <w:spacing w:before="30"/>
      </w:pPr>
    </w:p>
    <w:p>
      <w:pPr>
        <w:pStyle w:val="BodyText"/>
        <w:spacing w:line="360" w:lineRule="auto"/>
        <w:ind w:left="240" w:right="833"/>
        <w:jc w:val="both"/>
      </w:pPr>
      <w:r>
        <w:rPr/>
        <w:t>A</w:t>
      </w:r>
      <w:r>
        <w:rPr>
          <w:spacing w:val="-3"/>
        </w:rPr>
        <w:t> </w:t>
      </w:r>
      <w:r>
        <w:rPr/>
        <w:t>close</w:t>
      </w:r>
      <w:r>
        <w:rPr>
          <w:spacing w:val="-4"/>
        </w:rPr>
        <w:t> </w:t>
      </w:r>
      <w:r>
        <w:rPr/>
        <w:t>observation</w:t>
      </w:r>
      <w:r>
        <w:rPr>
          <w:spacing w:val="-3"/>
        </w:rPr>
        <w:t> </w:t>
      </w:r>
      <w:r>
        <w:rPr/>
        <w:t>of</w:t>
      </w:r>
      <w:r>
        <w:rPr>
          <w:spacing w:val="-2"/>
        </w:rPr>
        <w:t> </w:t>
      </w:r>
      <w:r>
        <w:rPr/>
        <w:t>Table</w:t>
      </w:r>
      <w:r>
        <w:rPr>
          <w:spacing w:val="-3"/>
        </w:rPr>
        <w:t> </w:t>
      </w:r>
      <w:r>
        <w:rPr/>
        <w:t>5.15</w:t>
      </w:r>
      <w:r>
        <w:rPr>
          <w:spacing w:val="-1"/>
        </w:rPr>
        <w:t> </w:t>
      </w:r>
      <w:r>
        <w:rPr/>
        <w:t>also</w:t>
      </w:r>
      <w:r>
        <w:rPr>
          <w:spacing w:val="-2"/>
        </w:rPr>
        <w:t> </w:t>
      </w:r>
      <w:r>
        <w:rPr/>
        <w:t>indicates</w:t>
      </w:r>
      <w:r>
        <w:rPr>
          <w:spacing w:val="-3"/>
        </w:rPr>
        <w:t> </w:t>
      </w:r>
      <w:r>
        <w:rPr/>
        <w:t>that</w:t>
      </w:r>
      <w:r>
        <w:rPr>
          <w:spacing w:val="-3"/>
        </w:rPr>
        <w:t> </w:t>
      </w:r>
      <w:r>
        <w:rPr/>
        <w:t>much</w:t>
      </w:r>
      <w:r>
        <w:rPr>
          <w:spacing w:val="-2"/>
        </w:rPr>
        <w:t> </w:t>
      </w:r>
      <w:r>
        <w:rPr/>
        <w:t>of</w:t>
      </w:r>
      <w:r>
        <w:rPr>
          <w:spacing w:val="-2"/>
        </w:rPr>
        <w:t> </w:t>
      </w:r>
      <w:r>
        <w:rPr/>
        <w:t>the</w:t>
      </w:r>
      <w:r>
        <w:rPr>
          <w:spacing w:val="-3"/>
        </w:rPr>
        <w:t> </w:t>
      </w:r>
      <w:r>
        <w:rPr/>
        <w:t>infrastructural</w:t>
      </w:r>
      <w:r>
        <w:rPr>
          <w:spacing w:val="-3"/>
        </w:rPr>
        <w:t> </w:t>
      </w:r>
      <w:r>
        <w:rPr/>
        <w:t>allocation</w:t>
      </w:r>
      <w:r>
        <w:rPr>
          <w:spacing w:val="-1"/>
        </w:rPr>
        <w:t> </w:t>
      </w:r>
      <w:r>
        <w:rPr/>
        <w:t>during the period 1999 – 2016 was on land transport (roads, bridges) and works, with the total sum amounting to 249b. Only two years (2001 and 2003) recorded periods when works budget was less than the housing budget. Specifically these are 2.6b as against 4.4b for housing in 2001 and 1b as against 2b in 2003. The next highest ranking sector is in terms of budget allocation is Education (57.8b), housing comes third with a total allocation of 34.8b. On an annual basis however, the budgetary allocation of housing appears skewed or unsteady or inconsistent, witnessing intermittent increases and decreases for the study period. It rose from 1999(148.4m)</w:t>
      </w:r>
      <w:r>
        <w:rPr>
          <w:spacing w:val="40"/>
        </w:rPr>
        <w:t> </w:t>
      </w:r>
      <w:r>
        <w:rPr/>
        <w:t>to 2001(4.4b), but fell again in 2002 to 777.4m. It rose</w:t>
      </w:r>
      <w:r>
        <w:rPr>
          <w:spacing w:val="-2"/>
        </w:rPr>
        <w:t> </w:t>
      </w:r>
      <w:r>
        <w:rPr/>
        <w:t>in 2003(2b),</w:t>
      </w:r>
      <w:r>
        <w:rPr>
          <w:spacing w:val="-1"/>
        </w:rPr>
        <w:t> </w:t>
      </w:r>
      <w:r>
        <w:rPr/>
        <w:t>and fell in 2004(875m).</w:t>
      </w:r>
      <w:r>
        <w:rPr>
          <w:spacing w:val="-1"/>
        </w:rPr>
        <w:t> </w:t>
      </w:r>
      <w:r>
        <w:rPr/>
        <w:t>This scenario continued until in 2016 when it dropped drastically</w:t>
      </w:r>
      <w:r>
        <w:rPr>
          <w:spacing w:val="-3"/>
        </w:rPr>
        <w:t> </w:t>
      </w:r>
      <w:r>
        <w:rPr/>
        <w:t>to 500m, albeit due to the economic recession. The highest budget allocation recorded in the housing sector for the 18 year period</w:t>
      </w:r>
      <w:r>
        <w:rPr>
          <w:spacing w:val="40"/>
        </w:rPr>
        <w:t> </w:t>
      </w:r>
      <w:r>
        <w:rPr/>
        <w:t>was in 2001 with the sum of 4.4b, while the lowest was in 2016 with the sum of 500m.</w:t>
      </w:r>
    </w:p>
    <w:p>
      <w:pPr>
        <w:pStyle w:val="BodyText"/>
        <w:spacing w:before="114"/>
      </w:pPr>
    </w:p>
    <w:p>
      <w:pPr>
        <w:pStyle w:val="BodyText"/>
        <w:spacing w:line="360" w:lineRule="auto"/>
        <w:ind w:left="240" w:right="835"/>
        <w:jc w:val="both"/>
      </w:pPr>
      <w:r>
        <w:rPr/>
        <w:t>From Table 5.15, it can be deduced that land transport (roads, bridges)/works is the priority sector by total budget allocation from 1999 – 2016. Figure 5.7 further depicts this scenario. The total percentage allocation to the housing sector when compared with the total capital allocation is</w:t>
      </w:r>
      <w:r>
        <w:rPr>
          <w:spacing w:val="21"/>
        </w:rPr>
        <w:t> </w:t>
      </w:r>
      <w:r>
        <w:rPr/>
        <w:t>a</w:t>
      </w:r>
      <w:r>
        <w:rPr>
          <w:spacing w:val="19"/>
        </w:rPr>
        <w:t> </w:t>
      </w:r>
      <w:r>
        <w:rPr/>
        <w:t>paltry</w:t>
      </w:r>
      <w:r>
        <w:rPr>
          <w:spacing w:val="15"/>
        </w:rPr>
        <w:t> </w:t>
      </w:r>
      <w:r>
        <w:rPr/>
        <w:t>5%</w:t>
      </w:r>
      <w:r>
        <w:rPr>
          <w:spacing w:val="20"/>
        </w:rPr>
        <w:t> </w:t>
      </w:r>
      <w:r>
        <w:rPr/>
        <w:t>unlike</w:t>
      </w:r>
      <w:r>
        <w:rPr>
          <w:spacing w:val="19"/>
        </w:rPr>
        <w:t> </w:t>
      </w:r>
      <w:r>
        <w:rPr/>
        <w:t>the</w:t>
      </w:r>
      <w:r>
        <w:rPr>
          <w:spacing w:val="22"/>
        </w:rPr>
        <w:t> </w:t>
      </w:r>
      <w:r>
        <w:rPr/>
        <w:t>works</w:t>
      </w:r>
      <w:r>
        <w:rPr>
          <w:spacing w:val="21"/>
        </w:rPr>
        <w:t> </w:t>
      </w:r>
      <w:r>
        <w:rPr/>
        <w:t>sector</w:t>
      </w:r>
      <w:r>
        <w:rPr>
          <w:spacing w:val="20"/>
        </w:rPr>
        <w:t> </w:t>
      </w:r>
      <w:r>
        <w:rPr/>
        <w:t>which</w:t>
      </w:r>
      <w:r>
        <w:rPr>
          <w:spacing w:val="22"/>
        </w:rPr>
        <w:t> </w:t>
      </w:r>
      <w:r>
        <w:rPr/>
        <w:t>gulped</w:t>
      </w:r>
      <w:r>
        <w:rPr>
          <w:spacing w:val="21"/>
        </w:rPr>
        <w:t> </w:t>
      </w:r>
      <w:r>
        <w:rPr/>
        <w:t>36%</w:t>
      </w:r>
      <w:r>
        <w:rPr>
          <w:spacing w:val="19"/>
        </w:rPr>
        <w:t> </w:t>
      </w:r>
      <w:r>
        <w:rPr/>
        <w:t>of</w:t>
      </w:r>
      <w:r>
        <w:rPr>
          <w:spacing w:val="19"/>
        </w:rPr>
        <w:t> </w:t>
      </w:r>
      <w:r>
        <w:rPr/>
        <w:t>the</w:t>
      </w:r>
      <w:r>
        <w:rPr>
          <w:spacing w:val="20"/>
        </w:rPr>
        <w:t> </w:t>
      </w:r>
      <w:r>
        <w:rPr/>
        <w:t>total</w:t>
      </w:r>
      <w:r>
        <w:rPr>
          <w:spacing w:val="20"/>
        </w:rPr>
        <w:t> </w:t>
      </w:r>
      <w:r>
        <w:rPr/>
        <w:t>capital</w:t>
      </w:r>
      <w:r>
        <w:rPr>
          <w:spacing w:val="20"/>
        </w:rPr>
        <w:t> </w:t>
      </w:r>
      <w:r>
        <w:rPr/>
        <w:t>expenditure.</w:t>
      </w:r>
      <w:r>
        <w:rPr>
          <w:spacing w:val="21"/>
        </w:rPr>
        <w:t> </w:t>
      </w:r>
      <w:r>
        <w:rPr>
          <w:spacing w:val="-4"/>
        </w:rPr>
        <w:t>This</w:t>
      </w:r>
    </w:p>
    <w:p>
      <w:pPr>
        <w:spacing w:after="0" w:line="360" w:lineRule="auto"/>
        <w:jc w:val="both"/>
        <w:sectPr>
          <w:type w:val="continuous"/>
          <w:pgSz w:w="12240" w:h="15840"/>
          <w:pgMar w:header="0" w:footer="1036" w:top="1420" w:bottom="1220" w:left="1200" w:right="600"/>
        </w:sectPr>
      </w:pPr>
    </w:p>
    <w:p>
      <w:pPr>
        <w:pStyle w:val="BodyText"/>
        <w:spacing w:line="360" w:lineRule="auto" w:before="74"/>
        <w:ind w:left="240" w:right="834"/>
        <w:jc w:val="both"/>
      </w:pPr>
      <w:r>
        <w:rPr/>
        <mc:AlternateContent>
          <mc:Choice Requires="wps">
            <w:drawing>
              <wp:anchor distT="0" distB="0" distL="0" distR="0" allowOverlap="1" layoutInCell="1" locked="0" behindDoc="0" simplePos="0" relativeHeight="15754240">
                <wp:simplePos x="0" y="0"/>
                <wp:positionH relativeFrom="page">
                  <wp:posOffset>908050</wp:posOffset>
                </wp:positionH>
                <wp:positionV relativeFrom="paragraph">
                  <wp:posOffset>2848355</wp:posOffset>
                </wp:positionV>
                <wp:extent cx="5508625" cy="2755900"/>
                <wp:effectExtent l="0" t="0" r="0" b="0"/>
                <wp:wrapNone/>
                <wp:docPr id="315" name="Group 315"/>
                <wp:cNvGraphicFramePr>
                  <a:graphicFrameLocks/>
                </wp:cNvGraphicFramePr>
                <a:graphic>
                  <a:graphicData uri="http://schemas.microsoft.com/office/word/2010/wordprocessingGroup">
                    <wpg:wgp>
                      <wpg:cNvPr id="315" name="Group 315"/>
                      <wpg:cNvGrpSpPr/>
                      <wpg:grpSpPr>
                        <a:xfrm>
                          <a:off x="0" y="0"/>
                          <a:ext cx="5508625" cy="2755900"/>
                          <a:chExt cx="5508625" cy="2755900"/>
                        </a:xfrm>
                      </wpg:grpSpPr>
                      <wps:wsp>
                        <wps:cNvPr id="316" name="Graphic 316"/>
                        <wps:cNvSpPr/>
                        <wps:spPr>
                          <a:xfrm>
                            <a:off x="1393189" y="148336"/>
                            <a:ext cx="3970020" cy="1816735"/>
                          </a:xfrm>
                          <a:custGeom>
                            <a:avLst/>
                            <a:gdLst/>
                            <a:ahLst/>
                            <a:cxnLst/>
                            <a:rect l="l" t="t" r="r" b="b"/>
                            <a:pathLst>
                              <a:path w="3970020" h="1816735">
                                <a:moveTo>
                                  <a:pt x="39624" y="1635252"/>
                                </a:moveTo>
                                <a:lnTo>
                                  <a:pt x="3970020" y="1635252"/>
                                </a:lnTo>
                              </a:path>
                              <a:path w="3970020" h="1816735">
                                <a:moveTo>
                                  <a:pt x="39624" y="1453896"/>
                                </a:moveTo>
                                <a:lnTo>
                                  <a:pt x="3970020" y="1453896"/>
                                </a:lnTo>
                              </a:path>
                              <a:path w="3970020" h="1816735">
                                <a:moveTo>
                                  <a:pt x="39624" y="1271016"/>
                                </a:moveTo>
                                <a:lnTo>
                                  <a:pt x="3970020" y="1271016"/>
                                </a:lnTo>
                              </a:path>
                              <a:path w="3970020" h="1816735">
                                <a:moveTo>
                                  <a:pt x="39624" y="1089660"/>
                                </a:moveTo>
                                <a:lnTo>
                                  <a:pt x="3970020" y="1089660"/>
                                </a:lnTo>
                              </a:path>
                              <a:path w="3970020" h="1816735">
                                <a:moveTo>
                                  <a:pt x="39624" y="908304"/>
                                </a:moveTo>
                                <a:lnTo>
                                  <a:pt x="3970020" y="908304"/>
                                </a:lnTo>
                              </a:path>
                              <a:path w="3970020" h="1816735">
                                <a:moveTo>
                                  <a:pt x="39624" y="726948"/>
                                </a:moveTo>
                                <a:lnTo>
                                  <a:pt x="3970020" y="726948"/>
                                </a:lnTo>
                              </a:path>
                              <a:path w="3970020" h="1816735">
                                <a:moveTo>
                                  <a:pt x="39624" y="545592"/>
                                </a:moveTo>
                                <a:lnTo>
                                  <a:pt x="3970020" y="545592"/>
                                </a:lnTo>
                              </a:path>
                              <a:path w="3970020" h="1816735">
                                <a:moveTo>
                                  <a:pt x="39624" y="362712"/>
                                </a:moveTo>
                                <a:lnTo>
                                  <a:pt x="3970020" y="362712"/>
                                </a:lnTo>
                              </a:path>
                              <a:path w="3970020" h="1816735">
                                <a:moveTo>
                                  <a:pt x="39624" y="181356"/>
                                </a:moveTo>
                                <a:lnTo>
                                  <a:pt x="3970020" y="181356"/>
                                </a:lnTo>
                              </a:path>
                              <a:path w="3970020" h="1816735">
                                <a:moveTo>
                                  <a:pt x="39624" y="0"/>
                                </a:moveTo>
                                <a:lnTo>
                                  <a:pt x="3970020" y="0"/>
                                </a:lnTo>
                              </a:path>
                              <a:path w="3970020" h="1816735">
                                <a:moveTo>
                                  <a:pt x="39624" y="1816608"/>
                                </a:moveTo>
                                <a:lnTo>
                                  <a:pt x="39624" y="0"/>
                                </a:lnTo>
                              </a:path>
                              <a:path w="3970020" h="1816735">
                                <a:moveTo>
                                  <a:pt x="0" y="1816608"/>
                                </a:moveTo>
                                <a:lnTo>
                                  <a:pt x="39624" y="1816608"/>
                                </a:lnTo>
                              </a:path>
                              <a:path w="3970020" h="1816735">
                                <a:moveTo>
                                  <a:pt x="0" y="1635252"/>
                                </a:moveTo>
                                <a:lnTo>
                                  <a:pt x="39624" y="1635252"/>
                                </a:lnTo>
                              </a:path>
                              <a:path w="3970020" h="1816735">
                                <a:moveTo>
                                  <a:pt x="0" y="1453896"/>
                                </a:moveTo>
                                <a:lnTo>
                                  <a:pt x="39624" y="1453896"/>
                                </a:lnTo>
                              </a:path>
                              <a:path w="3970020" h="1816735">
                                <a:moveTo>
                                  <a:pt x="0" y="1271016"/>
                                </a:moveTo>
                                <a:lnTo>
                                  <a:pt x="39624" y="1271016"/>
                                </a:lnTo>
                              </a:path>
                              <a:path w="3970020" h="1816735">
                                <a:moveTo>
                                  <a:pt x="0" y="1089660"/>
                                </a:moveTo>
                                <a:lnTo>
                                  <a:pt x="39624" y="1089660"/>
                                </a:lnTo>
                              </a:path>
                              <a:path w="3970020" h="1816735">
                                <a:moveTo>
                                  <a:pt x="0" y="908304"/>
                                </a:moveTo>
                                <a:lnTo>
                                  <a:pt x="39624" y="908304"/>
                                </a:lnTo>
                              </a:path>
                              <a:path w="3970020" h="1816735">
                                <a:moveTo>
                                  <a:pt x="0" y="726948"/>
                                </a:moveTo>
                                <a:lnTo>
                                  <a:pt x="39624" y="726948"/>
                                </a:lnTo>
                              </a:path>
                              <a:path w="3970020" h="1816735">
                                <a:moveTo>
                                  <a:pt x="0" y="545592"/>
                                </a:moveTo>
                                <a:lnTo>
                                  <a:pt x="39624" y="545592"/>
                                </a:lnTo>
                              </a:path>
                              <a:path w="3970020" h="1816735">
                                <a:moveTo>
                                  <a:pt x="0" y="362712"/>
                                </a:moveTo>
                                <a:lnTo>
                                  <a:pt x="39624" y="362712"/>
                                </a:lnTo>
                              </a:path>
                              <a:path w="3970020" h="1816735">
                                <a:moveTo>
                                  <a:pt x="0" y="181356"/>
                                </a:moveTo>
                                <a:lnTo>
                                  <a:pt x="39624" y="181356"/>
                                </a:lnTo>
                              </a:path>
                              <a:path w="3970020" h="1816735">
                                <a:moveTo>
                                  <a:pt x="0" y="0"/>
                                </a:moveTo>
                                <a:lnTo>
                                  <a:pt x="39624" y="0"/>
                                </a:lnTo>
                              </a:path>
                              <a:path w="3970020" h="1816735">
                                <a:moveTo>
                                  <a:pt x="39624" y="1816608"/>
                                </a:moveTo>
                                <a:lnTo>
                                  <a:pt x="3970020" y="1816608"/>
                                </a:lnTo>
                              </a:path>
                            </a:pathLst>
                          </a:custGeom>
                          <a:ln w="9144">
                            <a:solidFill>
                              <a:srgbClr val="858585"/>
                            </a:solidFill>
                            <a:prstDash val="solid"/>
                          </a:ln>
                        </wps:spPr>
                        <wps:bodyPr wrap="square" lIns="0" tIns="0" rIns="0" bIns="0" rtlCol="0">
                          <a:prstTxWarp prst="textNoShape">
                            <a:avLst/>
                          </a:prstTxWarp>
                          <a:noAutofit/>
                        </wps:bodyPr>
                      </wps:wsp>
                      <wps:wsp>
                        <wps:cNvPr id="317" name="Graphic 317"/>
                        <wps:cNvSpPr/>
                        <wps:spPr>
                          <a:xfrm>
                            <a:off x="1542541" y="334263"/>
                            <a:ext cx="3710940" cy="1577340"/>
                          </a:xfrm>
                          <a:custGeom>
                            <a:avLst/>
                            <a:gdLst/>
                            <a:ahLst/>
                            <a:cxnLst/>
                            <a:rect l="l" t="t" r="r" b="b"/>
                            <a:pathLst>
                              <a:path w="3710940" h="1577340">
                                <a:moveTo>
                                  <a:pt x="0" y="1577339"/>
                                </a:moveTo>
                                <a:lnTo>
                                  <a:pt x="217931" y="1360931"/>
                                </a:lnTo>
                                <a:lnTo>
                                  <a:pt x="435863" y="0"/>
                                </a:lnTo>
                                <a:lnTo>
                                  <a:pt x="655319" y="1348739"/>
                                </a:lnTo>
                                <a:lnTo>
                                  <a:pt x="873252" y="890015"/>
                                </a:lnTo>
                                <a:lnTo>
                                  <a:pt x="1091183" y="1313688"/>
                                </a:lnTo>
                                <a:lnTo>
                                  <a:pt x="1309116" y="1072895"/>
                                </a:lnTo>
                                <a:lnTo>
                                  <a:pt x="1528571" y="1246631"/>
                                </a:lnTo>
                                <a:lnTo>
                                  <a:pt x="1746504" y="1068324"/>
                                </a:lnTo>
                                <a:lnTo>
                                  <a:pt x="1964435" y="268224"/>
                                </a:lnTo>
                                <a:lnTo>
                                  <a:pt x="2182368" y="539495"/>
                                </a:lnTo>
                                <a:lnTo>
                                  <a:pt x="2401823" y="748283"/>
                                </a:lnTo>
                                <a:lnTo>
                                  <a:pt x="2619756" y="740663"/>
                                </a:lnTo>
                                <a:lnTo>
                                  <a:pt x="2837687" y="973835"/>
                                </a:lnTo>
                                <a:lnTo>
                                  <a:pt x="3055620" y="1120139"/>
                                </a:lnTo>
                                <a:lnTo>
                                  <a:pt x="3275076" y="559307"/>
                                </a:lnTo>
                                <a:lnTo>
                                  <a:pt x="3493007" y="423671"/>
                                </a:lnTo>
                                <a:lnTo>
                                  <a:pt x="3710940" y="1449324"/>
                                </a:lnTo>
                              </a:path>
                            </a:pathLst>
                          </a:custGeom>
                          <a:ln w="27432">
                            <a:solidFill>
                              <a:srgbClr val="497DBA"/>
                            </a:solidFill>
                            <a:prstDash val="solid"/>
                          </a:ln>
                        </wps:spPr>
                        <wps:bodyPr wrap="square" lIns="0" tIns="0" rIns="0" bIns="0" rtlCol="0">
                          <a:prstTxWarp prst="textNoShape">
                            <a:avLst/>
                          </a:prstTxWarp>
                          <a:noAutofit/>
                        </wps:bodyPr>
                      </wps:wsp>
                      <pic:pic>
                        <pic:nvPicPr>
                          <pic:cNvPr id="318" name="Image 318"/>
                          <pic:cNvPicPr/>
                        </pic:nvPicPr>
                        <pic:blipFill>
                          <a:blip r:embed="rId111" cstate="print"/>
                          <a:stretch>
                            <a:fillRect/>
                          </a:stretch>
                        </pic:blipFill>
                        <pic:spPr>
                          <a:xfrm>
                            <a:off x="1493774" y="1862327"/>
                            <a:ext cx="98044" cy="98044"/>
                          </a:xfrm>
                          <a:prstGeom prst="rect">
                            <a:avLst/>
                          </a:prstGeom>
                        </pic:spPr>
                      </pic:pic>
                      <pic:pic>
                        <pic:nvPicPr>
                          <pic:cNvPr id="319" name="Image 319"/>
                          <pic:cNvPicPr/>
                        </pic:nvPicPr>
                        <pic:blipFill>
                          <a:blip r:embed="rId112" cstate="print"/>
                          <a:stretch>
                            <a:fillRect/>
                          </a:stretch>
                        </pic:blipFill>
                        <pic:spPr>
                          <a:xfrm>
                            <a:off x="1712086" y="1646301"/>
                            <a:ext cx="97917" cy="97917"/>
                          </a:xfrm>
                          <a:prstGeom prst="rect">
                            <a:avLst/>
                          </a:prstGeom>
                        </pic:spPr>
                      </pic:pic>
                      <pic:pic>
                        <pic:nvPicPr>
                          <pic:cNvPr id="320" name="Image 320"/>
                          <pic:cNvPicPr/>
                        </pic:nvPicPr>
                        <pic:blipFill>
                          <a:blip r:embed="rId111" cstate="print"/>
                          <a:stretch>
                            <a:fillRect/>
                          </a:stretch>
                        </pic:blipFill>
                        <pic:spPr>
                          <a:xfrm>
                            <a:off x="1930273" y="285495"/>
                            <a:ext cx="98044" cy="98044"/>
                          </a:xfrm>
                          <a:prstGeom prst="rect">
                            <a:avLst/>
                          </a:prstGeom>
                        </pic:spPr>
                      </pic:pic>
                      <pic:pic>
                        <pic:nvPicPr>
                          <pic:cNvPr id="321" name="Image 321"/>
                          <pic:cNvPicPr/>
                        </pic:nvPicPr>
                        <pic:blipFill>
                          <a:blip r:embed="rId113" cstate="print"/>
                          <a:stretch>
                            <a:fillRect/>
                          </a:stretch>
                        </pic:blipFill>
                        <pic:spPr>
                          <a:xfrm>
                            <a:off x="2148585" y="1633727"/>
                            <a:ext cx="98044" cy="98044"/>
                          </a:xfrm>
                          <a:prstGeom prst="rect">
                            <a:avLst/>
                          </a:prstGeom>
                        </pic:spPr>
                      </pic:pic>
                      <pic:pic>
                        <pic:nvPicPr>
                          <pic:cNvPr id="322" name="Image 322"/>
                          <pic:cNvPicPr/>
                        </pic:nvPicPr>
                        <pic:blipFill>
                          <a:blip r:embed="rId113" cstate="print"/>
                          <a:stretch>
                            <a:fillRect/>
                          </a:stretch>
                        </pic:blipFill>
                        <pic:spPr>
                          <a:xfrm>
                            <a:off x="2366772" y="1175766"/>
                            <a:ext cx="98044" cy="98044"/>
                          </a:xfrm>
                          <a:prstGeom prst="rect">
                            <a:avLst/>
                          </a:prstGeom>
                        </pic:spPr>
                      </pic:pic>
                      <pic:pic>
                        <pic:nvPicPr>
                          <pic:cNvPr id="323" name="Image 323"/>
                          <pic:cNvPicPr/>
                        </pic:nvPicPr>
                        <pic:blipFill>
                          <a:blip r:embed="rId111" cstate="print"/>
                          <a:stretch>
                            <a:fillRect/>
                          </a:stretch>
                        </pic:blipFill>
                        <pic:spPr>
                          <a:xfrm>
                            <a:off x="2585085" y="1598294"/>
                            <a:ext cx="98044" cy="98044"/>
                          </a:xfrm>
                          <a:prstGeom prst="rect">
                            <a:avLst/>
                          </a:prstGeom>
                        </pic:spPr>
                      </pic:pic>
                      <pic:pic>
                        <pic:nvPicPr>
                          <pic:cNvPr id="324" name="Image 324"/>
                          <pic:cNvPicPr/>
                        </pic:nvPicPr>
                        <pic:blipFill>
                          <a:blip r:embed="rId114" cstate="print"/>
                          <a:stretch>
                            <a:fillRect/>
                          </a:stretch>
                        </pic:blipFill>
                        <pic:spPr>
                          <a:xfrm>
                            <a:off x="2803398" y="1357375"/>
                            <a:ext cx="97916" cy="98044"/>
                          </a:xfrm>
                          <a:prstGeom prst="rect">
                            <a:avLst/>
                          </a:prstGeom>
                        </pic:spPr>
                      </pic:pic>
                      <pic:pic>
                        <pic:nvPicPr>
                          <pic:cNvPr id="325" name="Image 325"/>
                          <pic:cNvPicPr/>
                        </pic:nvPicPr>
                        <pic:blipFill>
                          <a:blip r:embed="rId115" cstate="print"/>
                          <a:stretch>
                            <a:fillRect/>
                          </a:stretch>
                        </pic:blipFill>
                        <pic:spPr>
                          <a:xfrm>
                            <a:off x="3021583" y="1532000"/>
                            <a:ext cx="98044" cy="97917"/>
                          </a:xfrm>
                          <a:prstGeom prst="rect">
                            <a:avLst/>
                          </a:prstGeom>
                        </pic:spPr>
                      </pic:pic>
                      <pic:pic>
                        <pic:nvPicPr>
                          <pic:cNvPr id="326" name="Image 326"/>
                          <pic:cNvPicPr/>
                        </pic:nvPicPr>
                        <pic:blipFill>
                          <a:blip r:embed="rId111" cstate="print"/>
                          <a:stretch>
                            <a:fillRect/>
                          </a:stretch>
                        </pic:blipFill>
                        <pic:spPr>
                          <a:xfrm>
                            <a:off x="3239897" y="1352930"/>
                            <a:ext cx="98044" cy="98044"/>
                          </a:xfrm>
                          <a:prstGeom prst="rect">
                            <a:avLst/>
                          </a:prstGeom>
                        </pic:spPr>
                      </pic:pic>
                      <pic:pic>
                        <pic:nvPicPr>
                          <pic:cNvPr id="327" name="Image 327"/>
                          <pic:cNvPicPr/>
                        </pic:nvPicPr>
                        <pic:blipFill>
                          <a:blip r:embed="rId116" cstate="print"/>
                          <a:stretch>
                            <a:fillRect/>
                          </a:stretch>
                        </pic:blipFill>
                        <pic:spPr>
                          <a:xfrm>
                            <a:off x="3458083" y="553338"/>
                            <a:ext cx="98044" cy="98044"/>
                          </a:xfrm>
                          <a:prstGeom prst="rect">
                            <a:avLst/>
                          </a:prstGeom>
                        </pic:spPr>
                      </pic:pic>
                      <pic:pic>
                        <pic:nvPicPr>
                          <pic:cNvPr id="328" name="Image 328"/>
                          <pic:cNvPicPr/>
                        </pic:nvPicPr>
                        <pic:blipFill>
                          <a:blip r:embed="rId116" cstate="print"/>
                          <a:stretch>
                            <a:fillRect/>
                          </a:stretch>
                        </pic:blipFill>
                        <pic:spPr>
                          <a:xfrm>
                            <a:off x="3676396" y="825246"/>
                            <a:ext cx="98044" cy="98044"/>
                          </a:xfrm>
                          <a:prstGeom prst="rect">
                            <a:avLst/>
                          </a:prstGeom>
                        </pic:spPr>
                      </pic:pic>
                      <pic:pic>
                        <pic:nvPicPr>
                          <pic:cNvPr id="329" name="Image 329"/>
                          <pic:cNvPicPr/>
                        </pic:nvPicPr>
                        <pic:blipFill>
                          <a:blip r:embed="rId117" cstate="print"/>
                          <a:stretch>
                            <a:fillRect/>
                          </a:stretch>
                        </pic:blipFill>
                        <pic:spPr>
                          <a:xfrm>
                            <a:off x="3894709" y="1033144"/>
                            <a:ext cx="97917" cy="98044"/>
                          </a:xfrm>
                          <a:prstGeom prst="rect">
                            <a:avLst/>
                          </a:prstGeom>
                        </pic:spPr>
                      </pic:pic>
                      <pic:pic>
                        <pic:nvPicPr>
                          <pic:cNvPr id="330" name="Image 330"/>
                          <pic:cNvPicPr/>
                        </pic:nvPicPr>
                        <pic:blipFill>
                          <a:blip r:embed="rId118" cstate="print"/>
                          <a:stretch>
                            <a:fillRect/>
                          </a:stretch>
                        </pic:blipFill>
                        <pic:spPr>
                          <a:xfrm>
                            <a:off x="4112895" y="1025525"/>
                            <a:ext cx="98044" cy="97917"/>
                          </a:xfrm>
                          <a:prstGeom prst="rect">
                            <a:avLst/>
                          </a:prstGeom>
                        </pic:spPr>
                      </pic:pic>
                      <pic:pic>
                        <pic:nvPicPr>
                          <pic:cNvPr id="331" name="Image 331"/>
                          <pic:cNvPicPr/>
                        </pic:nvPicPr>
                        <pic:blipFill>
                          <a:blip r:embed="rId119" cstate="print"/>
                          <a:stretch>
                            <a:fillRect/>
                          </a:stretch>
                        </pic:blipFill>
                        <pic:spPr>
                          <a:xfrm>
                            <a:off x="4331208" y="1259205"/>
                            <a:ext cx="98044" cy="98044"/>
                          </a:xfrm>
                          <a:prstGeom prst="rect">
                            <a:avLst/>
                          </a:prstGeom>
                        </pic:spPr>
                      </pic:pic>
                      <pic:pic>
                        <pic:nvPicPr>
                          <pic:cNvPr id="332" name="Image 332"/>
                          <pic:cNvPicPr/>
                        </pic:nvPicPr>
                        <pic:blipFill>
                          <a:blip r:embed="rId111" cstate="print"/>
                          <a:stretch>
                            <a:fillRect/>
                          </a:stretch>
                        </pic:blipFill>
                        <pic:spPr>
                          <a:xfrm>
                            <a:off x="4549394" y="1405000"/>
                            <a:ext cx="98044" cy="98044"/>
                          </a:xfrm>
                          <a:prstGeom prst="rect">
                            <a:avLst/>
                          </a:prstGeom>
                        </pic:spPr>
                      </pic:pic>
                      <pic:pic>
                        <pic:nvPicPr>
                          <pic:cNvPr id="333" name="Image 333"/>
                          <pic:cNvPicPr/>
                        </pic:nvPicPr>
                        <pic:blipFill>
                          <a:blip r:embed="rId116" cstate="print"/>
                          <a:stretch>
                            <a:fillRect/>
                          </a:stretch>
                        </pic:blipFill>
                        <pic:spPr>
                          <a:xfrm>
                            <a:off x="4767707" y="845185"/>
                            <a:ext cx="98044" cy="98044"/>
                          </a:xfrm>
                          <a:prstGeom prst="rect">
                            <a:avLst/>
                          </a:prstGeom>
                        </pic:spPr>
                      </pic:pic>
                      <pic:pic>
                        <pic:nvPicPr>
                          <pic:cNvPr id="334" name="Image 334"/>
                          <pic:cNvPicPr/>
                        </pic:nvPicPr>
                        <pic:blipFill>
                          <a:blip r:embed="rId120" cstate="print"/>
                          <a:stretch>
                            <a:fillRect/>
                          </a:stretch>
                        </pic:blipFill>
                        <pic:spPr>
                          <a:xfrm>
                            <a:off x="4986020" y="709676"/>
                            <a:ext cx="97917" cy="98044"/>
                          </a:xfrm>
                          <a:prstGeom prst="rect">
                            <a:avLst/>
                          </a:prstGeom>
                        </pic:spPr>
                      </pic:pic>
                      <pic:pic>
                        <pic:nvPicPr>
                          <pic:cNvPr id="335" name="Image 335"/>
                          <pic:cNvPicPr/>
                        </pic:nvPicPr>
                        <pic:blipFill>
                          <a:blip r:embed="rId119" cstate="print"/>
                          <a:stretch>
                            <a:fillRect/>
                          </a:stretch>
                        </pic:blipFill>
                        <pic:spPr>
                          <a:xfrm>
                            <a:off x="5204205" y="1734566"/>
                            <a:ext cx="98044" cy="98044"/>
                          </a:xfrm>
                          <a:prstGeom prst="rect">
                            <a:avLst/>
                          </a:prstGeom>
                        </pic:spPr>
                      </pic:pic>
                      <wps:wsp>
                        <wps:cNvPr id="336" name="Graphic 336"/>
                        <wps:cNvSpPr/>
                        <wps:spPr>
                          <a:xfrm>
                            <a:off x="241300" y="225932"/>
                            <a:ext cx="36830" cy="83820"/>
                          </a:xfrm>
                          <a:custGeom>
                            <a:avLst/>
                            <a:gdLst/>
                            <a:ahLst/>
                            <a:cxnLst/>
                            <a:rect l="l" t="t" r="r" b="b"/>
                            <a:pathLst>
                              <a:path w="36830" h="83820">
                                <a:moveTo>
                                  <a:pt x="12192" y="0"/>
                                </a:moveTo>
                                <a:lnTo>
                                  <a:pt x="0" y="0"/>
                                </a:lnTo>
                                <a:lnTo>
                                  <a:pt x="0" y="83820"/>
                                </a:lnTo>
                                <a:lnTo>
                                  <a:pt x="12192" y="83820"/>
                                </a:lnTo>
                                <a:lnTo>
                                  <a:pt x="12192" y="0"/>
                                </a:lnTo>
                                <a:close/>
                              </a:path>
                              <a:path w="36830" h="83820">
                                <a:moveTo>
                                  <a:pt x="36576" y="0"/>
                                </a:moveTo>
                                <a:lnTo>
                                  <a:pt x="24384" y="0"/>
                                </a:lnTo>
                                <a:lnTo>
                                  <a:pt x="24384" y="83820"/>
                                </a:lnTo>
                                <a:lnTo>
                                  <a:pt x="36576" y="83820"/>
                                </a:lnTo>
                                <a:lnTo>
                                  <a:pt x="36576" y="0"/>
                                </a:lnTo>
                                <a:close/>
                              </a:path>
                            </a:pathLst>
                          </a:custGeom>
                          <a:solidFill>
                            <a:srgbClr val="000000"/>
                          </a:solidFill>
                        </wps:spPr>
                        <wps:bodyPr wrap="square" lIns="0" tIns="0" rIns="0" bIns="0" rtlCol="0">
                          <a:prstTxWarp prst="textNoShape">
                            <a:avLst/>
                          </a:prstTxWarp>
                          <a:noAutofit/>
                        </wps:bodyPr>
                      </wps:wsp>
                      <wps:wsp>
                        <wps:cNvPr id="337" name="Graphic 337"/>
                        <wps:cNvSpPr/>
                        <wps:spPr>
                          <a:xfrm>
                            <a:off x="6350" y="6350"/>
                            <a:ext cx="5495925" cy="2743200"/>
                          </a:xfrm>
                          <a:custGeom>
                            <a:avLst/>
                            <a:gdLst/>
                            <a:ahLst/>
                            <a:cxnLst/>
                            <a:rect l="l" t="t" r="r" b="b"/>
                            <a:pathLst>
                              <a:path w="5495925" h="2743200">
                                <a:moveTo>
                                  <a:pt x="0" y="2743200"/>
                                </a:moveTo>
                                <a:lnTo>
                                  <a:pt x="5495925" y="2743200"/>
                                </a:lnTo>
                                <a:lnTo>
                                  <a:pt x="5495925" y="0"/>
                                </a:lnTo>
                                <a:lnTo>
                                  <a:pt x="0" y="0"/>
                                </a:lnTo>
                                <a:lnTo>
                                  <a:pt x="0" y="2743200"/>
                                </a:lnTo>
                                <a:close/>
                              </a:path>
                            </a:pathLst>
                          </a:custGeom>
                          <a:ln w="12700">
                            <a:solidFill>
                              <a:srgbClr val="858585"/>
                            </a:solidFill>
                            <a:prstDash val="solid"/>
                          </a:ln>
                        </wps:spPr>
                        <wps:bodyPr wrap="square" lIns="0" tIns="0" rIns="0" bIns="0" rtlCol="0">
                          <a:prstTxWarp prst="textNoShape">
                            <a:avLst/>
                          </a:prstTxWarp>
                          <a:noAutofit/>
                        </wps:bodyPr>
                      </wps:wsp>
                      <wps:wsp>
                        <wps:cNvPr id="338" name="Textbox 338"/>
                        <wps:cNvSpPr txBox="1"/>
                        <wps:spPr>
                          <a:xfrm>
                            <a:off x="12700" y="6603"/>
                            <a:ext cx="5483225" cy="2736850"/>
                          </a:xfrm>
                          <a:prstGeom prst="rect">
                            <a:avLst/>
                          </a:prstGeom>
                        </wps:spPr>
                        <wps:txbx>
                          <w:txbxContent>
                            <w:p>
                              <w:pPr>
                                <w:spacing w:before="88"/>
                                <w:ind w:left="0" w:right="6584" w:firstLine="0"/>
                                <w:jc w:val="right"/>
                                <w:rPr>
                                  <w:rFonts w:ascii="Calibri"/>
                                  <w:sz w:val="20"/>
                                </w:rPr>
                              </w:pPr>
                              <w:r>
                                <w:rPr>
                                  <w:rFonts w:ascii="Calibri"/>
                                  <w:spacing w:val="-2"/>
                                  <w:sz w:val="20"/>
                                </w:rPr>
                                <w:t>5,000,000,000.00</w:t>
                              </w:r>
                            </w:p>
                            <w:p>
                              <w:pPr>
                                <w:spacing w:before="43"/>
                                <w:ind w:left="0" w:right="6584" w:firstLine="0"/>
                                <w:jc w:val="right"/>
                                <w:rPr>
                                  <w:rFonts w:ascii="Calibri"/>
                                  <w:sz w:val="20"/>
                                </w:rPr>
                              </w:pPr>
                              <w:r>
                                <w:rPr>
                                  <w:rFonts w:ascii="Calibri"/>
                                  <w:spacing w:val="-2"/>
                                  <w:sz w:val="20"/>
                                </w:rPr>
                                <w:t>4,500,000,000.00</w:t>
                              </w:r>
                            </w:p>
                            <w:p>
                              <w:pPr>
                                <w:spacing w:before="42"/>
                                <w:ind w:left="0" w:right="6584" w:firstLine="0"/>
                                <w:jc w:val="right"/>
                                <w:rPr>
                                  <w:rFonts w:ascii="Calibri"/>
                                  <w:sz w:val="20"/>
                                </w:rPr>
                              </w:pPr>
                              <w:r>
                                <w:rPr>
                                  <w:rFonts w:ascii="Calibri"/>
                                  <w:spacing w:val="-2"/>
                                  <w:sz w:val="20"/>
                                </w:rPr>
                                <w:t>4,000,000,000.00</w:t>
                              </w:r>
                            </w:p>
                            <w:p>
                              <w:pPr>
                                <w:spacing w:before="42"/>
                                <w:ind w:left="0" w:right="6584" w:firstLine="0"/>
                                <w:jc w:val="right"/>
                                <w:rPr>
                                  <w:rFonts w:ascii="Calibri"/>
                                  <w:sz w:val="20"/>
                                </w:rPr>
                              </w:pPr>
                              <w:r>
                                <w:rPr>
                                  <w:rFonts w:ascii="Calibri"/>
                                  <w:spacing w:val="-2"/>
                                  <w:sz w:val="20"/>
                                </w:rPr>
                                <w:t>3,500,000,000.00</w:t>
                              </w:r>
                            </w:p>
                            <w:p>
                              <w:pPr>
                                <w:spacing w:before="42"/>
                                <w:ind w:left="0" w:right="6584" w:firstLine="0"/>
                                <w:jc w:val="right"/>
                                <w:rPr>
                                  <w:rFonts w:ascii="Calibri"/>
                                  <w:sz w:val="20"/>
                                </w:rPr>
                              </w:pPr>
                              <w:r>
                                <w:rPr>
                                  <w:rFonts w:ascii="Calibri"/>
                                  <w:spacing w:val="-2"/>
                                  <w:sz w:val="20"/>
                                </w:rPr>
                                <w:t>3,000,000,000.00</w:t>
                              </w:r>
                            </w:p>
                            <w:p>
                              <w:pPr>
                                <w:spacing w:before="42"/>
                                <w:ind w:left="0" w:right="6584" w:firstLine="0"/>
                                <w:jc w:val="right"/>
                                <w:rPr>
                                  <w:rFonts w:ascii="Calibri"/>
                                  <w:sz w:val="20"/>
                                </w:rPr>
                              </w:pPr>
                              <w:r>
                                <w:rPr>
                                  <w:rFonts w:ascii="Calibri"/>
                                  <w:spacing w:val="-2"/>
                                  <w:sz w:val="20"/>
                                </w:rPr>
                                <w:t>2,500,000,000.00</w:t>
                              </w:r>
                            </w:p>
                            <w:p>
                              <w:pPr>
                                <w:spacing w:before="42"/>
                                <w:ind w:left="0" w:right="6584" w:firstLine="0"/>
                                <w:jc w:val="right"/>
                                <w:rPr>
                                  <w:rFonts w:ascii="Calibri"/>
                                  <w:sz w:val="20"/>
                                </w:rPr>
                              </w:pPr>
                              <w:r>
                                <w:rPr>
                                  <w:rFonts w:ascii="Calibri"/>
                                  <w:spacing w:val="-2"/>
                                  <w:sz w:val="20"/>
                                </w:rPr>
                                <w:t>2,000,000,000.00</w:t>
                              </w:r>
                            </w:p>
                            <w:p>
                              <w:pPr>
                                <w:spacing w:before="43"/>
                                <w:ind w:left="0" w:right="6584" w:firstLine="0"/>
                                <w:jc w:val="right"/>
                                <w:rPr>
                                  <w:rFonts w:ascii="Calibri"/>
                                  <w:sz w:val="20"/>
                                </w:rPr>
                              </w:pPr>
                              <w:r>
                                <w:rPr>
                                  <w:rFonts w:ascii="Calibri"/>
                                  <w:spacing w:val="-2"/>
                                  <w:sz w:val="20"/>
                                </w:rPr>
                                <w:t>1,500,000,000.00</w:t>
                              </w:r>
                            </w:p>
                            <w:p>
                              <w:pPr>
                                <w:spacing w:before="42"/>
                                <w:ind w:left="0" w:right="6584" w:firstLine="0"/>
                                <w:jc w:val="right"/>
                                <w:rPr>
                                  <w:rFonts w:ascii="Calibri"/>
                                  <w:sz w:val="20"/>
                                </w:rPr>
                              </w:pPr>
                              <w:r>
                                <w:rPr>
                                  <w:rFonts w:ascii="Calibri"/>
                                  <w:spacing w:val="-2"/>
                                  <w:sz w:val="20"/>
                                </w:rPr>
                                <w:t>1,000,000,000.00</w:t>
                              </w:r>
                            </w:p>
                            <w:p>
                              <w:pPr>
                                <w:spacing w:before="42"/>
                                <w:ind w:left="0" w:right="6585" w:firstLine="0"/>
                                <w:jc w:val="right"/>
                                <w:rPr>
                                  <w:rFonts w:ascii="Calibri"/>
                                  <w:sz w:val="20"/>
                                </w:rPr>
                              </w:pPr>
                              <w:r>
                                <w:rPr>
                                  <w:rFonts w:ascii="Calibri"/>
                                  <w:spacing w:val="-2"/>
                                  <w:sz w:val="20"/>
                                </w:rPr>
                                <w:t>500,000,000.00</w:t>
                              </w:r>
                            </w:p>
                            <w:p>
                              <w:pPr>
                                <w:spacing w:before="42"/>
                                <w:ind w:left="0" w:right="6583" w:firstLine="0"/>
                                <w:jc w:val="right"/>
                                <w:rPr>
                                  <w:rFonts w:ascii="Calibri"/>
                                  <w:sz w:val="20"/>
                                </w:rPr>
                              </w:pPr>
                              <w:r>
                                <w:rPr>
                                  <w:rFonts w:ascii="Calibri"/>
                                  <w:spacing w:val="-4"/>
                                  <w:sz w:val="20"/>
                                </w:rPr>
                                <w:t>0.00</w:t>
                              </w:r>
                            </w:p>
                            <w:p>
                              <w:pPr>
                                <w:spacing w:line="240" w:lineRule="auto" w:before="0"/>
                                <w:rPr>
                                  <w:rFonts w:ascii="Calibri"/>
                                  <w:sz w:val="20"/>
                                </w:rPr>
                              </w:pPr>
                            </w:p>
                            <w:p>
                              <w:pPr>
                                <w:spacing w:line="240" w:lineRule="auto" w:before="142"/>
                                <w:rPr>
                                  <w:rFonts w:ascii="Calibri"/>
                                  <w:sz w:val="20"/>
                                </w:rPr>
                              </w:pPr>
                            </w:p>
                            <w:p>
                              <w:pPr>
                                <w:spacing w:before="0"/>
                                <w:ind w:left="2029" w:right="0" w:firstLine="0"/>
                                <w:jc w:val="center"/>
                                <w:rPr>
                                  <w:rFonts w:ascii="Calibri"/>
                                  <w:b/>
                                  <w:sz w:val="20"/>
                                </w:rPr>
                              </w:pPr>
                              <w:r>
                                <w:rPr>
                                  <w:rFonts w:ascii="Calibri"/>
                                  <w:b/>
                                  <w:spacing w:val="-2"/>
                                  <w:sz w:val="20"/>
                                </w:rPr>
                                <w:t>Years</w:t>
                              </w:r>
                            </w:p>
                          </w:txbxContent>
                        </wps:txbx>
                        <wps:bodyPr wrap="square" lIns="0" tIns="0" rIns="0" bIns="0" rtlCol="0">
                          <a:noAutofit/>
                        </wps:bodyPr>
                      </wps:wsp>
                    </wpg:wgp>
                  </a:graphicData>
                </a:graphic>
              </wp:anchor>
            </w:drawing>
          </mc:Choice>
          <mc:Fallback>
            <w:pict>
              <v:group style="position:absolute;margin-left:71.5pt;margin-top:224.279999pt;width:433.75pt;height:217pt;mso-position-horizontal-relative:page;mso-position-vertical-relative:paragraph;z-index:15754240" id="docshapegroup284" coordorigin="1430,4486" coordsize="8675,4340">
                <v:shape style="position:absolute;left:3624;top:4719;width:6252;height:2861" id="docshape285" coordorigin="3624,4719" coordsize="6252,2861" path="m3686,7294l9876,7294m3686,7009l9876,7009m3686,6721l9876,6721m3686,6435l9876,6435m3686,6150l9876,6150m3686,5864l9876,5864m3686,5578l9876,5578m3686,5290l9876,5290m3686,5005l9876,5005m3686,4719l9876,4719m3686,7580l3686,4719m3624,7580l3686,7580m3624,7294l3686,7294m3624,7009l3686,7009m3624,6721l3686,6721m3624,6435l3686,6435m3624,6150l3686,6150m3624,5864l3686,5864m3624,5578l3686,5578m3624,5290l3686,5290m3624,5005l3686,5005m3624,4719l3686,4719m3686,7580l9876,7580e" filled="false" stroked="true" strokeweight=".72pt" strokecolor="#858585">
                  <v:path arrowok="t"/>
                  <v:stroke dashstyle="solid"/>
                </v:shape>
                <v:shape style="position:absolute;left:3859;top:5012;width:5844;height:2484" id="docshape286" coordorigin="3859,5012" coordsize="5844,2484" path="m3859,7496l4202,7155,4546,5012,4891,7136,5234,6414,5578,7081,5921,6702,6266,6975,6610,6694,6953,5434,7296,5862,7642,6190,7985,6178,8328,6546,8671,6776,9017,5893,9360,5679,9703,7294e" filled="false" stroked="true" strokeweight="2.16pt" strokecolor="#497dba">
                  <v:path arrowok="t"/>
                  <v:stroke dashstyle="solid"/>
                </v:shape>
                <v:shape style="position:absolute;left:3782;top:7418;width:155;height:155" type="#_x0000_t75" id="docshape287" stroked="false">
                  <v:imagedata r:id="rId111" o:title=""/>
                </v:shape>
                <v:shape style="position:absolute;left:4126;top:7078;width:155;height:155" type="#_x0000_t75" id="docshape288" stroked="false">
                  <v:imagedata r:id="rId112" o:title=""/>
                </v:shape>
                <v:shape style="position:absolute;left:4469;top:4935;width:155;height:155" type="#_x0000_t75" id="docshape289" stroked="false">
                  <v:imagedata r:id="rId111" o:title=""/>
                </v:shape>
                <v:shape style="position:absolute;left:4813;top:7058;width:155;height:155" type="#_x0000_t75" id="docshape290" stroked="false">
                  <v:imagedata r:id="rId113" o:title=""/>
                </v:shape>
                <v:shape style="position:absolute;left:5157;top:6337;width:155;height:155" type="#_x0000_t75" id="docshape291" stroked="false">
                  <v:imagedata r:id="rId113" o:title=""/>
                </v:shape>
                <v:shape style="position:absolute;left:5501;top:7002;width:155;height:155" type="#_x0000_t75" id="docshape292" stroked="false">
                  <v:imagedata r:id="rId111" o:title=""/>
                </v:shape>
                <v:shape style="position:absolute;left:5844;top:6623;width:155;height:155" type="#_x0000_t75" id="docshape293" stroked="false">
                  <v:imagedata r:id="rId114" o:title=""/>
                </v:shape>
                <v:shape style="position:absolute;left:6188;top:6898;width:155;height:155" type="#_x0000_t75" id="docshape294" stroked="false">
                  <v:imagedata r:id="rId115" o:title=""/>
                </v:shape>
                <v:shape style="position:absolute;left:6532;top:6616;width:155;height:155" type="#_x0000_t75" id="docshape295" stroked="false">
                  <v:imagedata r:id="rId111" o:title=""/>
                </v:shape>
                <v:shape style="position:absolute;left:6875;top:5357;width:155;height:155" type="#_x0000_t75" id="docshape296" stroked="false">
                  <v:imagedata r:id="rId116" o:title=""/>
                </v:shape>
                <v:shape style="position:absolute;left:7219;top:5785;width:155;height:155" type="#_x0000_t75" id="docshape297" stroked="false">
                  <v:imagedata r:id="rId116" o:title=""/>
                </v:shape>
                <v:shape style="position:absolute;left:7563;top:6112;width:155;height:155" type="#_x0000_t75" id="docshape298" stroked="false">
                  <v:imagedata r:id="rId117" o:title=""/>
                </v:shape>
                <v:shape style="position:absolute;left:7907;top:6100;width:155;height:155" type="#_x0000_t75" id="docshape299" stroked="false">
                  <v:imagedata r:id="rId118" o:title=""/>
                </v:shape>
                <v:shape style="position:absolute;left:8250;top:6468;width:155;height:155" type="#_x0000_t75" id="docshape300" stroked="false">
                  <v:imagedata r:id="rId119" o:title=""/>
                </v:shape>
                <v:shape style="position:absolute;left:8594;top:6698;width:155;height:155" type="#_x0000_t75" id="docshape301" stroked="false">
                  <v:imagedata r:id="rId111" o:title=""/>
                </v:shape>
                <v:shape style="position:absolute;left:8938;top:5816;width:155;height:155" type="#_x0000_t75" id="docshape302" stroked="false">
                  <v:imagedata r:id="rId116" o:title=""/>
                </v:shape>
                <v:shape style="position:absolute;left:9282;top:5603;width:155;height:155" type="#_x0000_t75" id="docshape303" stroked="false">
                  <v:imagedata r:id="rId120" o:title=""/>
                </v:shape>
                <v:shape style="position:absolute;left:9625;top:7217;width:155;height:155" type="#_x0000_t75" id="docshape304" stroked="false">
                  <v:imagedata r:id="rId119" o:title=""/>
                </v:shape>
                <v:shape style="position:absolute;left:1810;top:4841;width:58;height:132" id="docshape305" coordorigin="1810,4841" coordsize="58,132" path="m1829,4841l1810,4841,1810,4973,1829,4973,1829,4841xm1868,4841l1848,4841,1848,4973,1868,4973,1868,4841xe" filled="true" fillcolor="#000000" stroked="false">
                  <v:path arrowok="t"/>
                  <v:fill type="solid"/>
                </v:shape>
                <v:rect style="position:absolute;left:1440;top:4495;width:8655;height:4320" id="docshape306" filled="false" stroked="true" strokeweight="1pt" strokecolor="#858585">
                  <v:stroke dashstyle="solid"/>
                </v:rect>
                <v:shape style="position:absolute;left:1450;top:4496;width:8635;height:4310" type="#_x0000_t202" id="docshape307" filled="false" stroked="false">
                  <v:textbox inset="0,0,0,0">
                    <w:txbxContent>
                      <w:p>
                        <w:pPr>
                          <w:spacing w:before="88"/>
                          <w:ind w:left="0" w:right="6584" w:firstLine="0"/>
                          <w:jc w:val="right"/>
                          <w:rPr>
                            <w:rFonts w:ascii="Calibri"/>
                            <w:sz w:val="20"/>
                          </w:rPr>
                        </w:pPr>
                        <w:r>
                          <w:rPr>
                            <w:rFonts w:ascii="Calibri"/>
                            <w:spacing w:val="-2"/>
                            <w:sz w:val="20"/>
                          </w:rPr>
                          <w:t>5,000,000,000.00</w:t>
                        </w:r>
                      </w:p>
                      <w:p>
                        <w:pPr>
                          <w:spacing w:before="43"/>
                          <w:ind w:left="0" w:right="6584" w:firstLine="0"/>
                          <w:jc w:val="right"/>
                          <w:rPr>
                            <w:rFonts w:ascii="Calibri"/>
                            <w:sz w:val="20"/>
                          </w:rPr>
                        </w:pPr>
                        <w:r>
                          <w:rPr>
                            <w:rFonts w:ascii="Calibri"/>
                            <w:spacing w:val="-2"/>
                            <w:sz w:val="20"/>
                          </w:rPr>
                          <w:t>4,500,000,000.00</w:t>
                        </w:r>
                      </w:p>
                      <w:p>
                        <w:pPr>
                          <w:spacing w:before="42"/>
                          <w:ind w:left="0" w:right="6584" w:firstLine="0"/>
                          <w:jc w:val="right"/>
                          <w:rPr>
                            <w:rFonts w:ascii="Calibri"/>
                            <w:sz w:val="20"/>
                          </w:rPr>
                        </w:pPr>
                        <w:r>
                          <w:rPr>
                            <w:rFonts w:ascii="Calibri"/>
                            <w:spacing w:val="-2"/>
                            <w:sz w:val="20"/>
                          </w:rPr>
                          <w:t>4,000,000,000.00</w:t>
                        </w:r>
                      </w:p>
                      <w:p>
                        <w:pPr>
                          <w:spacing w:before="42"/>
                          <w:ind w:left="0" w:right="6584" w:firstLine="0"/>
                          <w:jc w:val="right"/>
                          <w:rPr>
                            <w:rFonts w:ascii="Calibri"/>
                            <w:sz w:val="20"/>
                          </w:rPr>
                        </w:pPr>
                        <w:r>
                          <w:rPr>
                            <w:rFonts w:ascii="Calibri"/>
                            <w:spacing w:val="-2"/>
                            <w:sz w:val="20"/>
                          </w:rPr>
                          <w:t>3,500,000,000.00</w:t>
                        </w:r>
                      </w:p>
                      <w:p>
                        <w:pPr>
                          <w:spacing w:before="42"/>
                          <w:ind w:left="0" w:right="6584" w:firstLine="0"/>
                          <w:jc w:val="right"/>
                          <w:rPr>
                            <w:rFonts w:ascii="Calibri"/>
                            <w:sz w:val="20"/>
                          </w:rPr>
                        </w:pPr>
                        <w:r>
                          <w:rPr>
                            <w:rFonts w:ascii="Calibri"/>
                            <w:spacing w:val="-2"/>
                            <w:sz w:val="20"/>
                          </w:rPr>
                          <w:t>3,000,000,000.00</w:t>
                        </w:r>
                      </w:p>
                      <w:p>
                        <w:pPr>
                          <w:spacing w:before="42"/>
                          <w:ind w:left="0" w:right="6584" w:firstLine="0"/>
                          <w:jc w:val="right"/>
                          <w:rPr>
                            <w:rFonts w:ascii="Calibri"/>
                            <w:sz w:val="20"/>
                          </w:rPr>
                        </w:pPr>
                        <w:r>
                          <w:rPr>
                            <w:rFonts w:ascii="Calibri"/>
                            <w:spacing w:val="-2"/>
                            <w:sz w:val="20"/>
                          </w:rPr>
                          <w:t>2,500,000,000.00</w:t>
                        </w:r>
                      </w:p>
                      <w:p>
                        <w:pPr>
                          <w:spacing w:before="42"/>
                          <w:ind w:left="0" w:right="6584" w:firstLine="0"/>
                          <w:jc w:val="right"/>
                          <w:rPr>
                            <w:rFonts w:ascii="Calibri"/>
                            <w:sz w:val="20"/>
                          </w:rPr>
                        </w:pPr>
                        <w:r>
                          <w:rPr>
                            <w:rFonts w:ascii="Calibri"/>
                            <w:spacing w:val="-2"/>
                            <w:sz w:val="20"/>
                          </w:rPr>
                          <w:t>2,000,000,000.00</w:t>
                        </w:r>
                      </w:p>
                      <w:p>
                        <w:pPr>
                          <w:spacing w:before="43"/>
                          <w:ind w:left="0" w:right="6584" w:firstLine="0"/>
                          <w:jc w:val="right"/>
                          <w:rPr>
                            <w:rFonts w:ascii="Calibri"/>
                            <w:sz w:val="20"/>
                          </w:rPr>
                        </w:pPr>
                        <w:r>
                          <w:rPr>
                            <w:rFonts w:ascii="Calibri"/>
                            <w:spacing w:val="-2"/>
                            <w:sz w:val="20"/>
                          </w:rPr>
                          <w:t>1,500,000,000.00</w:t>
                        </w:r>
                      </w:p>
                      <w:p>
                        <w:pPr>
                          <w:spacing w:before="42"/>
                          <w:ind w:left="0" w:right="6584" w:firstLine="0"/>
                          <w:jc w:val="right"/>
                          <w:rPr>
                            <w:rFonts w:ascii="Calibri"/>
                            <w:sz w:val="20"/>
                          </w:rPr>
                        </w:pPr>
                        <w:r>
                          <w:rPr>
                            <w:rFonts w:ascii="Calibri"/>
                            <w:spacing w:val="-2"/>
                            <w:sz w:val="20"/>
                          </w:rPr>
                          <w:t>1,000,000,000.00</w:t>
                        </w:r>
                      </w:p>
                      <w:p>
                        <w:pPr>
                          <w:spacing w:before="42"/>
                          <w:ind w:left="0" w:right="6585" w:firstLine="0"/>
                          <w:jc w:val="right"/>
                          <w:rPr>
                            <w:rFonts w:ascii="Calibri"/>
                            <w:sz w:val="20"/>
                          </w:rPr>
                        </w:pPr>
                        <w:r>
                          <w:rPr>
                            <w:rFonts w:ascii="Calibri"/>
                            <w:spacing w:val="-2"/>
                            <w:sz w:val="20"/>
                          </w:rPr>
                          <w:t>500,000,000.00</w:t>
                        </w:r>
                      </w:p>
                      <w:p>
                        <w:pPr>
                          <w:spacing w:before="42"/>
                          <w:ind w:left="0" w:right="6583" w:firstLine="0"/>
                          <w:jc w:val="right"/>
                          <w:rPr>
                            <w:rFonts w:ascii="Calibri"/>
                            <w:sz w:val="20"/>
                          </w:rPr>
                        </w:pPr>
                        <w:r>
                          <w:rPr>
                            <w:rFonts w:ascii="Calibri"/>
                            <w:spacing w:val="-4"/>
                            <w:sz w:val="20"/>
                          </w:rPr>
                          <w:t>0.00</w:t>
                        </w:r>
                      </w:p>
                      <w:p>
                        <w:pPr>
                          <w:spacing w:line="240" w:lineRule="auto" w:before="0"/>
                          <w:rPr>
                            <w:rFonts w:ascii="Calibri"/>
                            <w:sz w:val="20"/>
                          </w:rPr>
                        </w:pPr>
                      </w:p>
                      <w:p>
                        <w:pPr>
                          <w:spacing w:line="240" w:lineRule="auto" w:before="142"/>
                          <w:rPr>
                            <w:rFonts w:ascii="Calibri"/>
                            <w:sz w:val="20"/>
                          </w:rPr>
                        </w:pPr>
                      </w:p>
                      <w:p>
                        <w:pPr>
                          <w:spacing w:before="0"/>
                          <w:ind w:left="2029" w:right="0" w:firstLine="0"/>
                          <w:jc w:val="center"/>
                          <w:rPr>
                            <w:rFonts w:ascii="Calibri"/>
                            <w:b/>
                            <w:sz w:val="20"/>
                          </w:rPr>
                        </w:pPr>
                        <w:r>
                          <w:rPr>
                            <w:rFonts w:ascii="Calibri"/>
                            <w:b/>
                            <w:spacing w:val="-2"/>
                            <w:sz w:val="20"/>
                          </w:rPr>
                          <w:t>Years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4752">
                <wp:simplePos x="0" y="0"/>
                <wp:positionH relativeFrom="page">
                  <wp:posOffset>1086332</wp:posOffset>
                </wp:positionH>
                <wp:positionV relativeFrom="paragraph">
                  <wp:posOffset>3022564</wp:posOffset>
                </wp:positionV>
                <wp:extent cx="152400" cy="2065020"/>
                <wp:effectExtent l="0" t="0" r="0" b="0"/>
                <wp:wrapNone/>
                <wp:docPr id="339" name="Textbox 339"/>
                <wp:cNvGraphicFramePr>
                  <a:graphicFrameLocks/>
                </wp:cNvGraphicFramePr>
                <a:graphic>
                  <a:graphicData uri="http://schemas.microsoft.com/office/word/2010/wordprocessingShape">
                    <wps:wsp>
                      <wps:cNvPr id="339" name="Textbox 339"/>
                      <wps:cNvSpPr txBox="1"/>
                      <wps:spPr>
                        <a:xfrm>
                          <a:off x="0" y="0"/>
                          <a:ext cx="152400" cy="2065020"/>
                        </a:xfrm>
                        <a:prstGeom prst="rect">
                          <a:avLst/>
                        </a:prstGeom>
                      </wps:spPr>
                      <wps:txbx>
                        <w:txbxContent>
                          <w:p>
                            <w:pPr>
                              <w:spacing w:line="223" w:lineRule="exact" w:before="0"/>
                              <w:ind w:left="20" w:right="0" w:firstLine="0"/>
                              <w:jc w:val="left"/>
                              <w:rPr>
                                <w:rFonts w:ascii="Calibri"/>
                                <w:b/>
                                <w:sz w:val="20"/>
                              </w:rPr>
                            </w:pPr>
                            <w:r>
                              <w:rPr>
                                <w:rFonts w:ascii="Calibri"/>
                                <w:b/>
                                <w:sz w:val="20"/>
                              </w:rPr>
                              <w:t>Annual</w:t>
                            </w:r>
                            <w:r>
                              <w:rPr>
                                <w:rFonts w:ascii="Calibri"/>
                                <w:b/>
                                <w:spacing w:val="-12"/>
                                <w:sz w:val="20"/>
                              </w:rPr>
                              <w:t> </w:t>
                            </w:r>
                            <w:r>
                              <w:rPr>
                                <w:rFonts w:ascii="Calibri"/>
                                <w:b/>
                                <w:sz w:val="20"/>
                              </w:rPr>
                              <w:t>Housing</w:t>
                            </w:r>
                            <w:r>
                              <w:rPr>
                                <w:rFonts w:ascii="Calibri"/>
                                <w:b/>
                                <w:spacing w:val="-8"/>
                                <w:sz w:val="20"/>
                              </w:rPr>
                              <w:t> </w:t>
                            </w:r>
                            <w:r>
                              <w:rPr>
                                <w:rFonts w:ascii="Calibri"/>
                                <w:b/>
                                <w:sz w:val="20"/>
                              </w:rPr>
                              <w:t>Budget</w:t>
                            </w:r>
                            <w:r>
                              <w:rPr>
                                <w:rFonts w:ascii="Calibri"/>
                                <w:b/>
                                <w:spacing w:val="-10"/>
                                <w:sz w:val="20"/>
                              </w:rPr>
                              <w:t> </w:t>
                            </w:r>
                            <w:r>
                              <w:rPr>
                                <w:rFonts w:ascii="Calibri"/>
                                <w:b/>
                                <w:sz w:val="20"/>
                              </w:rPr>
                              <w:t>Allocations</w:t>
                            </w:r>
                            <w:r>
                              <w:rPr>
                                <w:rFonts w:ascii="Calibri"/>
                                <w:b/>
                                <w:spacing w:val="-7"/>
                                <w:sz w:val="20"/>
                              </w:rPr>
                              <w:t> </w:t>
                            </w:r>
                            <w:r>
                              <w:rPr>
                                <w:rFonts w:ascii="Calibri"/>
                                <w:b/>
                                <w:spacing w:val="-5"/>
                                <w:sz w:val="20"/>
                              </w:rPr>
                              <w:t>(N)</w:t>
                            </w:r>
                          </w:p>
                        </w:txbxContent>
                      </wps:txbx>
                      <wps:bodyPr wrap="square" lIns="0" tIns="0" rIns="0" bIns="0" rtlCol="0" vert="vert270">
                        <a:noAutofit/>
                      </wps:bodyPr>
                    </wps:wsp>
                  </a:graphicData>
                </a:graphic>
              </wp:anchor>
            </w:drawing>
          </mc:Choice>
          <mc:Fallback>
            <w:pict>
              <v:shape style="position:absolute;margin-left:85.538002pt;margin-top:237.997223pt;width:12pt;height:162.6pt;mso-position-horizontal-relative:page;mso-position-vertical-relative:paragraph;z-index:15754752" type="#_x0000_t202" id="docshape308"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z w:val="20"/>
                        </w:rPr>
                        <w:t>Annual</w:t>
                      </w:r>
                      <w:r>
                        <w:rPr>
                          <w:rFonts w:ascii="Calibri"/>
                          <w:b/>
                          <w:spacing w:val="-12"/>
                          <w:sz w:val="20"/>
                        </w:rPr>
                        <w:t> </w:t>
                      </w:r>
                      <w:r>
                        <w:rPr>
                          <w:rFonts w:ascii="Calibri"/>
                          <w:b/>
                          <w:sz w:val="20"/>
                        </w:rPr>
                        <w:t>Housing</w:t>
                      </w:r>
                      <w:r>
                        <w:rPr>
                          <w:rFonts w:ascii="Calibri"/>
                          <w:b/>
                          <w:spacing w:val="-8"/>
                          <w:sz w:val="20"/>
                        </w:rPr>
                        <w:t> </w:t>
                      </w:r>
                      <w:r>
                        <w:rPr>
                          <w:rFonts w:ascii="Calibri"/>
                          <w:b/>
                          <w:sz w:val="20"/>
                        </w:rPr>
                        <w:t>Budget</w:t>
                      </w:r>
                      <w:r>
                        <w:rPr>
                          <w:rFonts w:ascii="Calibri"/>
                          <w:b/>
                          <w:spacing w:val="-10"/>
                          <w:sz w:val="20"/>
                        </w:rPr>
                        <w:t> </w:t>
                      </w:r>
                      <w:r>
                        <w:rPr>
                          <w:rFonts w:ascii="Calibri"/>
                          <w:b/>
                          <w:sz w:val="20"/>
                        </w:rPr>
                        <w:t>Allocations</w:t>
                      </w:r>
                      <w:r>
                        <w:rPr>
                          <w:rFonts w:ascii="Calibri"/>
                          <w:b/>
                          <w:spacing w:val="-7"/>
                          <w:sz w:val="20"/>
                        </w:rPr>
                        <w:t> </w:t>
                      </w:r>
                      <w:r>
                        <w:rPr>
                          <w:rFonts w:ascii="Calibri"/>
                          <w:b/>
                          <w:spacing w:val="-5"/>
                          <w:sz w:val="20"/>
                        </w:rPr>
                        <w:t>(N)</w:t>
                      </w:r>
                    </w:p>
                  </w:txbxContent>
                </v:textbox>
                <w10:wrap type="none"/>
              </v:shape>
            </w:pict>
          </mc:Fallback>
        </mc:AlternateContent>
      </w:r>
      <w:r>
        <w:rPr/>
        <w:t>situation is not healthy for the housing sector in Anambra State considering the crucial role the sector plays in not only</w:t>
      </w:r>
      <w:r>
        <w:rPr>
          <w:spacing w:val="-3"/>
        </w:rPr>
        <w:t> </w:t>
      </w:r>
      <w:r>
        <w:rPr/>
        <w:t>improving</w:t>
      </w:r>
      <w:r>
        <w:rPr>
          <w:spacing w:val="-1"/>
        </w:rPr>
        <w:t> </w:t>
      </w:r>
      <w:r>
        <w:rPr/>
        <w:t>the socio-economic well-being</w:t>
      </w:r>
      <w:r>
        <w:rPr>
          <w:spacing w:val="-2"/>
        </w:rPr>
        <w:t> </w:t>
      </w:r>
      <w:r>
        <w:rPr/>
        <w:t>of the citizenry, but improving the performance of other sectors of the economy. Though, when compared to other sectors like health</w:t>
      </w:r>
      <w:r>
        <w:rPr>
          <w:spacing w:val="-1"/>
        </w:rPr>
        <w:t> </w:t>
      </w:r>
      <w:r>
        <w:rPr/>
        <w:t>and</w:t>
      </w:r>
      <w:r>
        <w:rPr>
          <w:spacing w:val="-1"/>
        </w:rPr>
        <w:t> </w:t>
      </w:r>
      <w:r>
        <w:rPr/>
        <w:t>agric,</w:t>
      </w:r>
      <w:r>
        <w:rPr>
          <w:spacing w:val="-1"/>
        </w:rPr>
        <w:t> </w:t>
      </w:r>
      <w:r>
        <w:rPr/>
        <w:t>housing</w:t>
      </w:r>
      <w:r>
        <w:rPr>
          <w:spacing w:val="-1"/>
        </w:rPr>
        <w:t> </w:t>
      </w:r>
      <w:r>
        <w:rPr/>
        <w:t>fared</w:t>
      </w:r>
      <w:r>
        <w:rPr>
          <w:spacing w:val="-1"/>
        </w:rPr>
        <w:t> </w:t>
      </w:r>
      <w:r>
        <w:rPr/>
        <w:t>better</w:t>
      </w:r>
      <w:r>
        <w:rPr>
          <w:spacing w:val="-2"/>
        </w:rPr>
        <w:t> </w:t>
      </w:r>
      <w:r>
        <w:rPr/>
        <w:t>in</w:t>
      </w:r>
      <w:r>
        <w:rPr>
          <w:spacing w:val="-1"/>
        </w:rPr>
        <w:t> </w:t>
      </w:r>
      <w:r>
        <w:rPr/>
        <w:t>terms</w:t>
      </w:r>
      <w:r>
        <w:rPr>
          <w:spacing w:val="-1"/>
        </w:rPr>
        <w:t> </w:t>
      </w:r>
      <w:r>
        <w:rPr/>
        <w:t>of</w:t>
      </w:r>
      <w:r>
        <w:rPr>
          <w:spacing w:val="-2"/>
        </w:rPr>
        <w:t> </w:t>
      </w:r>
      <w:r>
        <w:rPr/>
        <w:t>allocation</w:t>
      </w:r>
      <w:r>
        <w:rPr>
          <w:spacing w:val="-1"/>
        </w:rPr>
        <w:t> </w:t>
      </w:r>
      <w:r>
        <w:rPr/>
        <w:t>but</w:t>
      </w:r>
      <w:r>
        <w:rPr>
          <w:spacing w:val="-1"/>
        </w:rPr>
        <w:t> </w:t>
      </w:r>
      <w:r>
        <w:rPr/>
        <w:t>when</w:t>
      </w:r>
      <w:r>
        <w:rPr>
          <w:spacing w:val="-1"/>
        </w:rPr>
        <w:t> </w:t>
      </w:r>
      <w:r>
        <w:rPr/>
        <w:t>compared</w:t>
      </w:r>
      <w:r>
        <w:rPr>
          <w:spacing w:val="-1"/>
        </w:rPr>
        <w:t> </w:t>
      </w:r>
      <w:r>
        <w:rPr/>
        <w:t>to</w:t>
      </w:r>
      <w:r>
        <w:rPr>
          <w:spacing w:val="-1"/>
        </w:rPr>
        <w:t> </w:t>
      </w:r>
      <w:r>
        <w:rPr/>
        <w:t>works,</w:t>
      </w:r>
      <w:r>
        <w:rPr>
          <w:spacing w:val="-1"/>
        </w:rPr>
        <w:t> </w:t>
      </w:r>
      <w:r>
        <w:rPr/>
        <w:t>it</w:t>
      </w:r>
      <w:r>
        <w:rPr>
          <w:spacing w:val="-1"/>
        </w:rPr>
        <w:t> </w:t>
      </w:r>
      <w:r>
        <w:rPr/>
        <w:t>fared abysmally, with a very wide allocation margin. It is pertinent to note that other sectors exist (see appendix 3) which may have fare better than the housing sector over the 18 year period, but they were not used or included in the analysis for reasons earlier cited. Table 5.16 provides further analysis in terms of percentages of budgetary allocation.</w:t>
      </w:r>
      <w:r>
        <w:rPr>
          <w:spacing w:val="80"/>
        </w:rPr>
        <w:t> </w:t>
      </w:r>
      <w:r>
        <w:rPr/>
        <w:t>Figures 5.1 – 5.13 depicts the graphs and charts of the relevant analysis based on the tables provided and in line with achievement of the research objectives.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
      </w:pPr>
    </w:p>
    <w:p>
      <w:pPr>
        <w:pStyle w:val="BodyText"/>
        <w:ind w:left="240" w:right="833"/>
        <w:jc w:val="both"/>
      </w:pPr>
      <w:r>
        <w:rPr/>
        <mc:AlternateContent>
          <mc:Choice Requires="wps">
            <w:drawing>
              <wp:anchor distT="0" distB="0" distL="0" distR="0" allowOverlap="1" layoutInCell="1" locked="0" behindDoc="0" simplePos="0" relativeHeight="15755264">
                <wp:simplePos x="0" y="0"/>
                <wp:positionH relativeFrom="page">
                  <wp:posOffset>2385948</wp:posOffset>
                </wp:positionH>
                <wp:positionV relativeFrom="paragraph">
                  <wp:posOffset>-750982</wp:posOffset>
                </wp:positionV>
                <wp:extent cx="3863975" cy="281940"/>
                <wp:effectExtent l="0" t="0" r="0" b="0"/>
                <wp:wrapNone/>
                <wp:docPr id="340" name="Textbox 340"/>
                <wp:cNvGraphicFramePr>
                  <a:graphicFrameLocks/>
                </wp:cNvGraphicFramePr>
                <a:graphic>
                  <a:graphicData uri="http://schemas.microsoft.com/office/word/2010/wordprocessingShape">
                    <wps:wsp>
                      <wps:cNvPr id="340" name="Textbox 340"/>
                      <wps:cNvSpPr txBox="1"/>
                      <wps:spPr>
                        <a:xfrm>
                          <a:off x="0" y="0"/>
                          <a:ext cx="3863975" cy="281940"/>
                        </a:xfrm>
                        <a:prstGeom prst="rect">
                          <a:avLst/>
                        </a:prstGeom>
                      </wps:spPr>
                      <wps:txbx>
                        <w:txbxContent>
                          <w:p>
                            <w:pPr>
                              <w:spacing w:line="223" w:lineRule="exact" w:before="0"/>
                              <w:ind w:left="20" w:right="0" w:firstLine="0"/>
                              <w:jc w:val="left"/>
                              <w:rPr>
                                <w:rFonts w:ascii="Calibri"/>
                                <w:sz w:val="20"/>
                              </w:rPr>
                            </w:pPr>
                            <w:r>
                              <w:rPr>
                                <w:rFonts w:ascii="Calibri"/>
                                <w:spacing w:val="-4"/>
                                <w:sz w:val="20"/>
                              </w:rPr>
                              <w:t>1999</w:t>
                            </w:r>
                          </w:p>
                          <w:p>
                            <w:pPr>
                              <w:spacing w:before="99"/>
                              <w:ind w:left="20" w:right="0" w:firstLine="0"/>
                              <w:jc w:val="left"/>
                              <w:rPr>
                                <w:rFonts w:ascii="Calibri"/>
                                <w:sz w:val="20"/>
                              </w:rPr>
                            </w:pPr>
                            <w:r>
                              <w:rPr>
                                <w:rFonts w:ascii="Calibri"/>
                                <w:spacing w:val="-4"/>
                                <w:sz w:val="20"/>
                              </w:rPr>
                              <w:t>2000</w:t>
                            </w:r>
                          </w:p>
                          <w:p>
                            <w:pPr>
                              <w:spacing w:before="100"/>
                              <w:ind w:left="20" w:right="0" w:firstLine="0"/>
                              <w:jc w:val="left"/>
                              <w:rPr>
                                <w:rFonts w:ascii="Calibri"/>
                                <w:sz w:val="20"/>
                              </w:rPr>
                            </w:pPr>
                            <w:r>
                              <w:rPr>
                                <w:rFonts w:ascii="Calibri"/>
                                <w:spacing w:val="-4"/>
                                <w:sz w:val="20"/>
                              </w:rPr>
                              <w:t>2001</w:t>
                            </w:r>
                          </w:p>
                          <w:p>
                            <w:pPr>
                              <w:spacing w:before="100"/>
                              <w:ind w:left="20" w:right="0" w:firstLine="0"/>
                              <w:jc w:val="left"/>
                              <w:rPr>
                                <w:rFonts w:ascii="Calibri"/>
                                <w:sz w:val="20"/>
                              </w:rPr>
                            </w:pPr>
                            <w:r>
                              <w:rPr>
                                <w:rFonts w:ascii="Calibri"/>
                                <w:spacing w:val="-4"/>
                                <w:sz w:val="20"/>
                              </w:rPr>
                              <w:t>2002</w:t>
                            </w:r>
                          </w:p>
                          <w:p>
                            <w:pPr>
                              <w:spacing w:before="99"/>
                              <w:ind w:left="20" w:right="0" w:firstLine="0"/>
                              <w:jc w:val="left"/>
                              <w:rPr>
                                <w:rFonts w:ascii="Calibri"/>
                                <w:sz w:val="20"/>
                              </w:rPr>
                            </w:pPr>
                            <w:r>
                              <w:rPr>
                                <w:rFonts w:ascii="Calibri"/>
                                <w:spacing w:val="-4"/>
                                <w:sz w:val="20"/>
                              </w:rPr>
                              <w:t>2003</w:t>
                            </w:r>
                          </w:p>
                          <w:p>
                            <w:pPr>
                              <w:spacing w:before="100"/>
                              <w:ind w:left="20" w:right="0" w:firstLine="0"/>
                              <w:jc w:val="left"/>
                              <w:rPr>
                                <w:rFonts w:ascii="Calibri"/>
                                <w:sz w:val="20"/>
                              </w:rPr>
                            </w:pPr>
                            <w:r>
                              <w:rPr>
                                <w:rFonts w:ascii="Calibri"/>
                                <w:spacing w:val="-4"/>
                                <w:sz w:val="20"/>
                              </w:rPr>
                              <w:t>2004</w:t>
                            </w:r>
                          </w:p>
                          <w:p>
                            <w:pPr>
                              <w:spacing w:before="100"/>
                              <w:ind w:left="20" w:right="0" w:firstLine="0"/>
                              <w:jc w:val="left"/>
                              <w:rPr>
                                <w:rFonts w:ascii="Calibri"/>
                                <w:sz w:val="20"/>
                              </w:rPr>
                            </w:pPr>
                            <w:r>
                              <w:rPr>
                                <w:rFonts w:ascii="Calibri"/>
                                <w:spacing w:val="-4"/>
                                <w:sz w:val="20"/>
                              </w:rPr>
                              <w:t>2005</w:t>
                            </w:r>
                          </w:p>
                          <w:p>
                            <w:pPr>
                              <w:spacing w:before="100"/>
                              <w:ind w:left="20" w:right="0" w:firstLine="0"/>
                              <w:jc w:val="left"/>
                              <w:rPr>
                                <w:rFonts w:ascii="Calibri"/>
                                <w:sz w:val="20"/>
                              </w:rPr>
                            </w:pPr>
                            <w:r>
                              <w:rPr>
                                <w:rFonts w:ascii="Calibri"/>
                                <w:spacing w:val="-4"/>
                                <w:sz w:val="20"/>
                              </w:rPr>
                              <w:t>2006</w:t>
                            </w:r>
                          </w:p>
                          <w:p>
                            <w:pPr>
                              <w:spacing w:before="100"/>
                              <w:ind w:left="20" w:right="0" w:firstLine="0"/>
                              <w:jc w:val="left"/>
                              <w:rPr>
                                <w:rFonts w:ascii="Calibri"/>
                                <w:sz w:val="20"/>
                              </w:rPr>
                            </w:pPr>
                            <w:r>
                              <w:rPr>
                                <w:rFonts w:ascii="Calibri"/>
                                <w:spacing w:val="-4"/>
                                <w:sz w:val="20"/>
                              </w:rPr>
                              <w:t>2007</w:t>
                            </w:r>
                          </w:p>
                          <w:p>
                            <w:pPr>
                              <w:spacing w:before="99"/>
                              <w:ind w:left="20" w:right="0" w:firstLine="0"/>
                              <w:jc w:val="left"/>
                              <w:rPr>
                                <w:rFonts w:ascii="Calibri"/>
                                <w:sz w:val="20"/>
                              </w:rPr>
                            </w:pPr>
                            <w:r>
                              <w:rPr>
                                <w:rFonts w:ascii="Calibri"/>
                                <w:spacing w:val="-4"/>
                                <w:sz w:val="20"/>
                              </w:rPr>
                              <w:t>2008</w:t>
                            </w:r>
                          </w:p>
                          <w:p>
                            <w:pPr>
                              <w:spacing w:before="100"/>
                              <w:ind w:left="20" w:right="0" w:firstLine="0"/>
                              <w:jc w:val="left"/>
                              <w:rPr>
                                <w:rFonts w:ascii="Calibri"/>
                                <w:sz w:val="20"/>
                              </w:rPr>
                            </w:pPr>
                            <w:r>
                              <w:rPr>
                                <w:rFonts w:ascii="Calibri"/>
                                <w:spacing w:val="-4"/>
                                <w:sz w:val="20"/>
                              </w:rPr>
                              <w:t>2009</w:t>
                            </w:r>
                          </w:p>
                          <w:p>
                            <w:pPr>
                              <w:spacing w:before="100"/>
                              <w:ind w:left="20" w:right="0" w:firstLine="0"/>
                              <w:jc w:val="left"/>
                              <w:rPr>
                                <w:rFonts w:ascii="Calibri"/>
                                <w:sz w:val="20"/>
                              </w:rPr>
                            </w:pPr>
                            <w:r>
                              <w:rPr>
                                <w:rFonts w:ascii="Calibri"/>
                                <w:spacing w:val="-4"/>
                                <w:sz w:val="20"/>
                              </w:rPr>
                              <w:t>2010</w:t>
                            </w:r>
                          </w:p>
                          <w:p>
                            <w:pPr>
                              <w:spacing w:before="99"/>
                              <w:ind w:left="20" w:right="0" w:firstLine="0"/>
                              <w:jc w:val="left"/>
                              <w:rPr>
                                <w:rFonts w:ascii="Calibri"/>
                                <w:sz w:val="20"/>
                              </w:rPr>
                            </w:pPr>
                            <w:r>
                              <w:rPr>
                                <w:rFonts w:ascii="Calibri"/>
                                <w:spacing w:val="-4"/>
                                <w:sz w:val="20"/>
                              </w:rPr>
                              <w:t>2011</w:t>
                            </w:r>
                          </w:p>
                          <w:p>
                            <w:pPr>
                              <w:spacing w:before="100"/>
                              <w:ind w:left="20" w:right="0" w:firstLine="0"/>
                              <w:jc w:val="left"/>
                              <w:rPr>
                                <w:rFonts w:ascii="Calibri"/>
                                <w:sz w:val="20"/>
                              </w:rPr>
                            </w:pPr>
                            <w:r>
                              <w:rPr>
                                <w:rFonts w:ascii="Calibri"/>
                                <w:spacing w:val="-4"/>
                                <w:sz w:val="20"/>
                              </w:rPr>
                              <w:t>2012</w:t>
                            </w:r>
                          </w:p>
                          <w:p>
                            <w:pPr>
                              <w:spacing w:before="100"/>
                              <w:ind w:left="20" w:right="0" w:firstLine="0"/>
                              <w:jc w:val="left"/>
                              <w:rPr>
                                <w:rFonts w:ascii="Calibri"/>
                                <w:sz w:val="20"/>
                              </w:rPr>
                            </w:pPr>
                            <w:r>
                              <w:rPr>
                                <w:rFonts w:ascii="Calibri"/>
                                <w:spacing w:val="-4"/>
                                <w:sz w:val="20"/>
                              </w:rPr>
                              <w:t>2013</w:t>
                            </w:r>
                          </w:p>
                          <w:p>
                            <w:pPr>
                              <w:spacing w:before="100"/>
                              <w:ind w:left="20" w:right="0" w:firstLine="0"/>
                              <w:jc w:val="left"/>
                              <w:rPr>
                                <w:rFonts w:ascii="Calibri"/>
                                <w:sz w:val="20"/>
                              </w:rPr>
                            </w:pPr>
                            <w:r>
                              <w:rPr>
                                <w:rFonts w:ascii="Calibri"/>
                                <w:spacing w:val="-4"/>
                                <w:sz w:val="20"/>
                              </w:rPr>
                              <w:t>2014</w:t>
                            </w:r>
                          </w:p>
                          <w:p>
                            <w:pPr>
                              <w:spacing w:before="99"/>
                              <w:ind w:left="20" w:right="0" w:firstLine="0"/>
                              <w:jc w:val="left"/>
                              <w:rPr>
                                <w:rFonts w:ascii="Calibri"/>
                                <w:sz w:val="20"/>
                              </w:rPr>
                            </w:pPr>
                            <w:r>
                              <w:rPr>
                                <w:rFonts w:ascii="Calibri"/>
                                <w:spacing w:val="-4"/>
                                <w:sz w:val="20"/>
                              </w:rPr>
                              <w:t>2015</w:t>
                            </w:r>
                          </w:p>
                          <w:p>
                            <w:pPr>
                              <w:spacing w:before="100"/>
                              <w:ind w:left="20" w:right="0" w:firstLine="0"/>
                              <w:jc w:val="left"/>
                              <w:rPr>
                                <w:rFonts w:ascii="Calibri"/>
                                <w:sz w:val="20"/>
                              </w:rPr>
                            </w:pPr>
                            <w:r>
                              <w:rPr>
                                <w:rFonts w:ascii="Calibri"/>
                                <w:spacing w:val="-4"/>
                                <w:sz w:val="20"/>
                              </w:rPr>
                              <w:t>2016</w:t>
                            </w:r>
                          </w:p>
                        </w:txbxContent>
                      </wps:txbx>
                      <wps:bodyPr wrap="square" lIns="0" tIns="0" rIns="0" bIns="0" rtlCol="0" vert="vert270">
                        <a:noAutofit/>
                      </wps:bodyPr>
                    </wps:wsp>
                  </a:graphicData>
                </a:graphic>
              </wp:anchor>
            </w:drawing>
          </mc:Choice>
          <mc:Fallback>
            <w:pict>
              <v:shape style="position:absolute;margin-left:187.869995pt;margin-top:-59.1325pt;width:304.25pt;height:22.2pt;mso-position-horizontal-relative:page;mso-position-vertical-relative:paragraph;z-index:15755264" type="#_x0000_t202" id="docshape309"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spacing w:val="-4"/>
                          <w:sz w:val="20"/>
                        </w:rPr>
                        <w:t>1999</w:t>
                      </w:r>
                    </w:p>
                    <w:p>
                      <w:pPr>
                        <w:spacing w:before="99"/>
                        <w:ind w:left="20" w:right="0" w:firstLine="0"/>
                        <w:jc w:val="left"/>
                        <w:rPr>
                          <w:rFonts w:ascii="Calibri"/>
                          <w:sz w:val="20"/>
                        </w:rPr>
                      </w:pPr>
                      <w:r>
                        <w:rPr>
                          <w:rFonts w:ascii="Calibri"/>
                          <w:spacing w:val="-4"/>
                          <w:sz w:val="20"/>
                        </w:rPr>
                        <w:t>2000</w:t>
                      </w:r>
                    </w:p>
                    <w:p>
                      <w:pPr>
                        <w:spacing w:before="100"/>
                        <w:ind w:left="20" w:right="0" w:firstLine="0"/>
                        <w:jc w:val="left"/>
                        <w:rPr>
                          <w:rFonts w:ascii="Calibri"/>
                          <w:sz w:val="20"/>
                        </w:rPr>
                      </w:pPr>
                      <w:r>
                        <w:rPr>
                          <w:rFonts w:ascii="Calibri"/>
                          <w:spacing w:val="-4"/>
                          <w:sz w:val="20"/>
                        </w:rPr>
                        <w:t>2001</w:t>
                      </w:r>
                    </w:p>
                    <w:p>
                      <w:pPr>
                        <w:spacing w:before="100"/>
                        <w:ind w:left="20" w:right="0" w:firstLine="0"/>
                        <w:jc w:val="left"/>
                        <w:rPr>
                          <w:rFonts w:ascii="Calibri"/>
                          <w:sz w:val="20"/>
                        </w:rPr>
                      </w:pPr>
                      <w:r>
                        <w:rPr>
                          <w:rFonts w:ascii="Calibri"/>
                          <w:spacing w:val="-4"/>
                          <w:sz w:val="20"/>
                        </w:rPr>
                        <w:t>2002</w:t>
                      </w:r>
                    </w:p>
                    <w:p>
                      <w:pPr>
                        <w:spacing w:before="99"/>
                        <w:ind w:left="20" w:right="0" w:firstLine="0"/>
                        <w:jc w:val="left"/>
                        <w:rPr>
                          <w:rFonts w:ascii="Calibri"/>
                          <w:sz w:val="20"/>
                        </w:rPr>
                      </w:pPr>
                      <w:r>
                        <w:rPr>
                          <w:rFonts w:ascii="Calibri"/>
                          <w:spacing w:val="-4"/>
                          <w:sz w:val="20"/>
                        </w:rPr>
                        <w:t>2003</w:t>
                      </w:r>
                    </w:p>
                    <w:p>
                      <w:pPr>
                        <w:spacing w:before="100"/>
                        <w:ind w:left="20" w:right="0" w:firstLine="0"/>
                        <w:jc w:val="left"/>
                        <w:rPr>
                          <w:rFonts w:ascii="Calibri"/>
                          <w:sz w:val="20"/>
                        </w:rPr>
                      </w:pPr>
                      <w:r>
                        <w:rPr>
                          <w:rFonts w:ascii="Calibri"/>
                          <w:spacing w:val="-4"/>
                          <w:sz w:val="20"/>
                        </w:rPr>
                        <w:t>2004</w:t>
                      </w:r>
                    </w:p>
                    <w:p>
                      <w:pPr>
                        <w:spacing w:before="100"/>
                        <w:ind w:left="20" w:right="0" w:firstLine="0"/>
                        <w:jc w:val="left"/>
                        <w:rPr>
                          <w:rFonts w:ascii="Calibri"/>
                          <w:sz w:val="20"/>
                        </w:rPr>
                      </w:pPr>
                      <w:r>
                        <w:rPr>
                          <w:rFonts w:ascii="Calibri"/>
                          <w:spacing w:val="-4"/>
                          <w:sz w:val="20"/>
                        </w:rPr>
                        <w:t>2005</w:t>
                      </w:r>
                    </w:p>
                    <w:p>
                      <w:pPr>
                        <w:spacing w:before="100"/>
                        <w:ind w:left="20" w:right="0" w:firstLine="0"/>
                        <w:jc w:val="left"/>
                        <w:rPr>
                          <w:rFonts w:ascii="Calibri"/>
                          <w:sz w:val="20"/>
                        </w:rPr>
                      </w:pPr>
                      <w:r>
                        <w:rPr>
                          <w:rFonts w:ascii="Calibri"/>
                          <w:spacing w:val="-4"/>
                          <w:sz w:val="20"/>
                        </w:rPr>
                        <w:t>2006</w:t>
                      </w:r>
                    </w:p>
                    <w:p>
                      <w:pPr>
                        <w:spacing w:before="100"/>
                        <w:ind w:left="20" w:right="0" w:firstLine="0"/>
                        <w:jc w:val="left"/>
                        <w:rPr>
                          <w:rFonts w:ascii="Calibri"/>
                          <w:sz w:val="20"/>
                        </w:rPr>
                      </w:pPr>
                      <w:r>
                        <w:rPr>
                          <w:rFonts w:ascii="Calibri"/>
                          <w:spacing w:val="-4"/>
                          <w:sz w:val="20"/>
                        </w:rPr>
                        <w:t>2007</w:t>
                      </w:r>
                    </w:p>
                    <w:p>
                      <w:pPr>
                        <w:spacing w:before="99"/>
                        <w:ind w:left="20" w:right="0" w:firstLine="0"/>
                        <w:jc w:val="left"/>
                        <w:rPr>
                          <w:rFonts w:ascii="Calibri"/>
                          <w:sz w:val="20"/>
                        </w:rPr>
                      </w:pPr>
                      <w:r>
                        <w:rPr>
                          <w:rFonts w:ascii="Calibri"/>
                          <w:spacing w:val="-4"/>
                          <w:sz w:val="20"/>
                        </w:rPr>
                        <w:t>2008</w:t>
                      </w:r>
                    </w:p>
                    <w:p>
                      <w:pPr>
                        <w:spacing w:before="100"/>
                        <w:ind w:left="20" w:right="0" w:firstLine="0"/>
                        <w:jc w:val="left"/>
                        <w:rPr>
                          <w:rFonts w:ascii="Calibri"/>
                          <w:sz w:val="20"/>
                        </w:rPr>
                      </w:pPr>
                      <w:r>
                        <w:rPr>
                          <w:rFonts w:ascii="Calibri"/>
                          <w:spacing w:val="-4"/>
                          <w:sz w:val="20"/>
                        </w:rPr>
                        <w:t>2009</w:t>
                      </w:r>
                    </w:p>
                    <w:p>
                      <w:pPr>
                        <w:spacing w:before="100"/>
                        <w:ind w:left="20" w:right="0" w:firstLine="0"/>
                        <w:jc w:val="left"/>
                        <w:rPr>
                          <w:rFonts w:ascii="Calibri"/>
                          <w:sz w:val="20"/>
                        </w:rPr>
                      </w:pPr>
                      <w:r>
                        <w:rPr>
                          <w:rFonts w:ascii="Calibri"/>
                          <w:spacing w:val="-4"/>
                          <w:sz w:val="20"/>
                        </w:rPr>
                        <w:t>2010</w:t>
                      </w:r>
                    </w:p>
                    <w:p>
                      <w:pPr>
                        <w:spacing w:before="99"/>
                        <w:ind w:left="20" w:right="0" w:firstLine="0"/>
                        <w:jc w:val="left"/>
                        <w:rPr>
                          <w:rFonts w:ascii="Calibri"/>
                          <w:sz w:val="20"/>
                        </w:rPr>
                      </w:pPr>
                      <w:r>
                        <w:rPr>
                          <w:rFonts w:ascii="Calibri"/>
                          <w:spacing w:val="-4"/>
                          <w:sz w:val="20"/>
                        </w:rPr>
                        <w:t>2011</w:t>
                      </w:r>
                    </w:p>
                    <w:p>
                      <w:pPr>
                        <w:spacing w:before="100"/>
                        <w:ind w:left="20" w:right="0" w:firstLine="0"/>
                        <w:jc w:val="left"/>
                        <w:rPr>
                          <w:rFonts w:ascii="Calibri"/>
                          <w:sz w:val="20"/>
                        </w:rPr>
                      </w:pPr>
                      <w:r>
                        <w:rPr>
                          <w:rFonts w:ascii="Calibri"/>
                          <w:spacing w:val="-4"/>
                          <w:sz w:val="20"/>
                        </w:rPr>
                        <w:t>2012</w:t>
                      </w:r>
                    </w:p>
                    <w:p>
                      <w:pPr>
                        <w:spacing w:before="100"/>
                        <w:ind w:left="20" w:right="0" w:firstLine="0"/>
                        <w:jc w:val="left"/>
                        <w:rPr>
                          <w:rFonts w:ascii="Calibri"/>
                          <w:sz w:val="20"/>
                        </w:rPr>
                      </w:pPr>
                      <w:r>
                        <w:rPr>
                          <w:rFonts w:ascii="Calibri"/>
                          <w:spacing w:val="-4"/>
                          <w:sz w:val="20"/>
                        </w:rPr>
                        <w:t>2013</w:t>
                      </w:r>
                    </w:p>
                    <w:p>
                      <w:pPr>
                        <w:spacing w:before="100"/>
                        <w:ind w:left="20" w:right="0" w:firstLine="0"/>
                        <w:jc w:val="left"/>
                        <w:rPr>
                          <w:rFonts w:ascii="Calibri"/>
                          <w:sz w:val="20"/>
                        </w:rPr>
                      </w:pPr>
                      <w:r>
                        <w:rPr>
                          <w:rFonts w:ascii="Calibri"/>
                          <w:spacing w:val="-4"/>
                          <w:sz w:val="20"/>
                        </w:rPr>
                        <w:t>2014</w:t>
                      </w:r>
                    </w:p>
                    <w:p>
                      <w:pPr>
                        <w:spacing w:before="99"/>
                        <w:ind w:left="20" w:right="0" w:firstLine="0"/>
                        <w:jc w:val="left"/>
                        <w:rPr>
                          <w:rFonts w:ascii="Calibri"/>
                          <w:sz w:val="20"/>
                        </w:rPr>
                      </w:pPr>
                      <w:r>
                        <w:rPr>
                          <w:rFonts w:ascii="Calibri"/>
                          <w:spacing w:val="-4"/>
                          <w:sz w:val="20"/>
                        </w:rPr>
                        <w:t>2015</w:t>
                      </w:r>
                    </w:p>
                    <w:p>
                      <w:pPr>
                        <w:spacing w:before="100"/>
                        <w:ind w:left="20" w:right="0" w:firstLine="0"/>
                        <w:jc w:val="left"/>
                        <w:rPr>
                          <w:rFonts w:ascii="Calibri"/>
                          <w:sz w:val="20"/>
                        </w:rPr>
                      </w:pPr>
                      <w:r>
                        <w:rPr>
                          <w:rFonts w:ascii="Calibri"/>
                          <w:spacing w:val="-4"/>
                          <w:sz w:val="20"/>
                        </w:rPr>
                        <w:t>2016</w:t>
                      </w:r>
                    </w:p>
                  </w:txbxContent>
                </v:textbox>
                <w10:wrap type="none"/>
              </v:shape>
            </w:pict>
          </mc:Fallback>
        </mc:AlternateContent>
      </w:r>
      <w:r>
        <w:rPr>
          <w:b/>
        </w:rPr>
        <w:t>Figure 5.1: </w:t>
      </w:r>
      <w:r>
        <w:rPr/>
        <w:t>Trend of Anambra State Housing Budget Allocation from 1999 – 2016</w:t>
      </w:r>
      <w:r>
        <w:rPr>
          <w:spacing w:val="40"/>
        </w:rPr>
        <w:t> </w:t>
      </w:r>
      <w:r>
        <w:rPr/>
        <w:t>(Researcher‘s plot with MS- Excel, 2017)</w:t>
      </w:r>
    </w:p>
    <w:p>
      <w:pPr>
        <w:pStyle w:val="BodyText"/>
        <w:spacing w:before="2"/>
      </w:pPr>
    </w:p>
    <w:p>
      <w:pPr>
        <w:pStyle w:val="BodyText"/>
        <w:spacing w:line="360" w:lineRule="auto" w:before="1"/>
        <w:ind w:left="240" w:right="838"/>
        <w:jc w:val="both"/>
      </w:pPr>
      <w:r>
        <w:rPr/>
        <w:t>A cursory</w:t>
      </w:r>
      <w:r>
        <w:rPr>
          <w:spacing w:val="-5"/>
        </w:rPr>
        <w:t> </w:t>
      </w:r>
      <w:r>
        <w:rPr/>
        <w:t>look at Figure 5.1 above shows that annual housing</w:t>
      </w:r>
      <w:r>
        <w:rPr>
          <w:spacing w:val="-1"/>
        </w:rPr>
        <w:t> </w:t>
      </w:r>
      <w:r>
        <w:rPr/>
        <w:t>budget in Anambra State has been dangling within the study period. This rise and fall movement indicates that there is no regular trend of the annual housing budget allocation to the state hence, it is skewed and one cannot predict accurately the next year housing budget‘s allocation using either the past and current </w:t>
      </w:r>
      <w:r>
        <w:rPr>
          <w:spacing w:val="-2"/>
        </w:rPr>
        <w:t>periods.</w:t>
      </w:r>
    </w:p>
    <w:p>
      <w:pPr>
        <w:spacing w:after="0" w:line="360" w:lineRule="auto"/>
        <w:jc w:val="both"/>
        <w:sectPr>
          <w:pgSz w:w="12240" w:h="15840"/>
          <w:pgMar w:header="0" w:footer="1036" w:top="1360" w:bottom="1220" w:left="1200" w:right="6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3"/>
      </w:pPr>
    </w:p>
    <w:p>
      <w:pPr>
        <w:pStyle w:val="BodyText"/>
        <w:ind w:left="240" w:right="837"/>
        <w:jc w:val="both"/>
      </w:pPr>
      <w:r>
        <w:rPr/>
        <mc:AlternateContent>
          <mc:Choice Requires="wps">
            <w:drawing>
              <wp:anchor distT="0" distB="0" distL="0" distR="0" allowOverlap="1" layoutInCell="1" locked="0" behindDoc="0" simplePos="0" relativeHeight="15755776">
                <wp:simplePos x="0" y="0"/>
                <wp:positionH relativeFrom="page">
                  <wp:posOffset>927100</wp:posOffset>
                </wp:positionH>
                <wp:positionV relativeFrom="paragraph">
                  <wp:posOffset>-3072512</wp:posOffset>
                </wp:positionV>
                <wp:extent cx="5956300" cy="3069590"/>
                <wp:effectExtent l="0" t="0" r="0" b="0"/>
                <wp:wrapNone/>
                <wp:docPr id="341" name="Group 341"/>
                <wp:cNvGraphicFramePr>
                  <a:graphicFrameLocks/>
                </wp:cNvGraphicFramePr>
                <a:graphic>
                  <a:graphicData uri="http://schemas.microsoft.com/office/word/2010/wordprocessingGroup">
                    <wpg:wgp>
                      <wpg:cNvPr id="341" name="Group 341"/>
                      <wpg:cNvGrpSpPr/>
                      <wpg:grpSpPr>
                        <a:xfrm>
                          <a:off x="0" y="0"/>
                          <a:ext cx="5956300" cy="3069590"/>
                          <a:chExt cx="5956300" cy="3069590"/>
                        </a:xfrm>
                      </wpg:grpSpPr>
                      <wps:wsp>
                        <wps:cNvPr id="342" name="Graphic 342"/>
                        <wps:cNvSpPr/>
                        <wps:spPr>
                          <a:xfrm>
                            <a:off x="1049527" y="858266"/>
                            <a:ext cx="3096895" cy="1065530"/>
                          </a:xfrm>
                          <a:custGeom>
                            <a:avLst/>
                            <a:gdLst/>
                            <a:ahLst/>
                            <a:cxnLst/>
                            <a:rect l="l" t="t" r="r" b="b"/>
                            <a:pathLst>
                              <a:path w="3096895" h="1065530">
                                <a:moveTo>
                                  <a:pt x="0" y="1065276"/>
                                </a:moveTo>
                                <a:lnTo>
                                  <a:pt x="3096768" y="1065276"/>
                                </a:lnTo>
                              </a:path>
                              <a:path w="3096895" h="1065530">
                                <a:moveTo>
                                  <a:pt x="0" y="710183"/>
                                </a:moveTo>
                                <a:lnTo>
                                  <a:pt x="3096768" y="710183"/>
                                </a:lnTo>
                              </a:path>
                              <a:path w="3096895" h="1065530">
                                <a:moveTo>
                                  <a:pt x="0" y="355092"/>
                                </a:moveTo>
                                <a:lnTo>
                                  <a:pt x="3096768" y="355092"/>
                                </a:lnTo>
                              </a:path>
                              <a:path w="3096895" h="1065530">
                                <a:moveTo>
                                  <a:pt x="0" y="0"/>
                                </a:moveTo>
                                <a:lnTo>
                                  <a:pt x="3096768" y="0"/>
                                </a:lnTo>
                              </a:path>
                            </a:pathLst>
                          </a:custGeom>
                          <a:ln w="9144">
                            <a:solidFill>
                              <a:srgbClr val="858585"/>
                            </a:solidFill>
                            <a:prstDash val="solid"/>
                          </a:ln>
                        </wps:spPr>
                        <wps:bodyPr wrap="square" lIns="0" tIns="0" rIns="0" bIns="0" rtlCol="0">
                          <a:prstTxWarp prst="textNoShape">
                            <a:avLst/>
                          </a:prstTxWarp>
                          <a:noAutofit/>
                        </wps:bodyPr>
                      </wps:wsp>
                      <wps:wsp>
                        <wps:cNvPr id="343" name="Graphic 343"/>
                        <wps:cNvSpPr/>
                        <wps:spPr>
                          <a:xfrm>
                            <a:off x="1049527" y="503173"/>
                            <a:ext cx="3096895" cy="1270"/>
                          </a:xfrm>
                          <a:custGeom>
                            <a:avLst/>
                            <a:gdLst/>
                            <a:ahLst/>
                            <a:cxnLst/>
                            <a:rect l="l" t="t" r="r" b="b"/>
                            <a:pathLst>
                              <a:path w="3096895" h="0">
                                <a:moveTo>
                                  <a:pt x="0" y="0"/>
                                </a:moveTo>
                                <a:lnTo>
                                  <a:pt x="2795016" y="0"/>
                                </a:lnTo>
                              </a:path>
                              <a:path w="3096895" h="0">
                                <a:moveTo>
                                  <a:pt x="2883408" y="0"/>
                                </a:moveTo>
                                <a:lnTo>
                                  <a:pt x="3096768" y="0"/>
                                </a:lnTo>
                              </a:path>
                            </a:pathLst>
                          </a:custGeom>
                          <a:ln w="9144">
                            <a:solidFill>
                              <a:srgbClr val="858585"/>
                            </a:solidFill>
                            <a:prstDash val="solid"/>
                          </a:ln>
                        </wps:spPr>
                        <wps:bodyPr wrap="square" lIns="0" tIns="0" rIns="0" bIns="0" rtlCol="0">
                          <a:prstTxWarp prst="textNoShape">
                            <a:avLst/>
                          </a:prstTxWarp>
                          <a:noAutofit/>
                        </wps:bodyPr>
                      </wps:wsp>
                      <wps:wsp>
                        <wps:cNvPr id="344" name="Graphic 344"/>
                        <wps:cNvSpPr/>
                        <wps:spPr>
                          <a:xfrm>
                            <a:off x="1008380" y="148081"/>
                            <a:ext cx="3138170" cy="2131060"/>
                          </a:xfrm>
                          <a:custGeom>
                            <a:avLst/>
                            <a:gdLst/>
                            <a:ahLst/>
                            <a:cxnLst/>
                            <a:rect l="l" t="t" r="r" b="b"/>
                            <a:pathLst>
                              <a:path w="3138170" h="2131060">
                                <a:moveTo>
                                  <a:pt x="41147" y="0"/>
                                </a:moveTo>
                                <a:lnTo>
                                  <a:pt x="3137916" y="0"/>
                                </a:lnTo>
                              </a:path>
                              <a:path w="3138170" h="2131060">
                                <a:moveTo>
                                  <a:pt x="41147" y="2130552"/>
                                </a:moveTo>
                                <a:lnTo>
                                  <a:pt x="41147" y="0"/>
                                </a:lnTo>
                              </a:path>
                              <a:path w="3138170" h="2131060">
                                <a:moveTo>
                                  <a:pt x="0" y="2130552"/>
                                </a:moveTo>
                                <a:lnTo>
                                  <a:pt x="41147" y="2130552"/>
                                </a:lnTo>
                              </a:path>
                              <a:path w="3138170" h="2131060">
                                <a:moveTo>
                                  <a:pt x="0" y="1775459"/>
                                </a:moveTo>
                                <a:lnTo>
                                  <a:pt x="41147" y="1775459"/>
                                </a:lnTo>
                              </a:path>
                              <a:path w="3138170" h="2131060">
                                <a:moveTo>
                                  <a:pt x="0" y="1420367"/>
                                </a:moveTo>
                                <a:lnTo>
                                  <a:pt x="41147" y="1420367"/>
                                </a:lnTo>
                              </a:path>
                              <a:path w="3138170" h="2131060">
                                <a:moveTo>
                                  <a:pt x="0" y="1065276"/>
                                </a:moveTo>
                                <a:lnTo>
                                  <a:pt x="41147" y="1065276"/>
                                </a:lnTo>
                              </a:path>
                              <a:path w="3138170" h="2131060">
                                <a:moveTo>
                                  <a:pt x="0" y="710183"/>
                                </a:moveTo>
                                <a:lnTo>
                                  <a:pt x="41147" y="710183"/>
                                </a:lnTo>
                              </a:path>
                              <a:path w="3138170" h="2131060">
                                <a:moveTo>
                                  <a:pt x="0" y="355091"/>
                                </a:moveTo>
                                <a:lnTo>
                                  <a:pt x="41147" y="355091"/>
                                </a:lnTo>
                              </a:path>
                              <a:path w="3138170" h="2131060">
                                <a:moveTo>
                                  <a:pt x="0" y="0"/>
                                </a:moveTo>
                                <a:lnTo>
                                  <a:pt x="41147" y="0"/>
                                </a:lnTo>
                              </a:path>
                              <a:path w="3138170" h="2131060">
                                <a:moveTo>
                                  <a:pt x="41147" y="2130552"/>
                                </a:moveTo>
                                <a:lnTo>
                                  <a:pt x="3137916" y="2130552"/>
                                </a:lnTo>
                              </a:path>
                            </a:pathLst>
                          </a:custGeom>
                          <a:ln w="9144">
                            <a:solidFill>
                              <a:srgbClr val="858585"/>
                            </a:solidFill>
                            <a:prstDash val="solid"/>
                          </a:ln>
                        </wps:spPr>
                        <wps:bodyPr wrap="square" lIns="0" tIns="0" rIns="0" bIns="0" rtlCol="0">
                          <a:prstTxWarp prst="textNoShape">
                            <a:avLst/>
                          </a:prstTxWarp>
                          <a:noAutofit/>
                        </wps:bodyPr>
                      </wps:wsp>
                      <wps:wsp>
                        <wps:cNvPr id="345" name="Graphic 345"/>
                        <wps:cNvSpPr/>
                        <wps:spPr>
                          <a:xfrm>
                            <a:off x="1134872" y="2246629"/>
                            <a:ext cx="2926080" cy="30480"/>
                          </a:xfrm>
                          <a:custGeom>
                            <a:avLst/>
                            <a:gdLst/>
                            <a:ahLst/>
                            <a:cxnLst/>
                            <a:rect l="l" t="t" r="r" b="b"/>
                            <a:pathLst>
                              <a:path w="2926080" h="30480">
                                <a:moveTo>
                                  <a:pt x="0" y="30479"/>
                                </a:moveTo>
                                <a:lnTo>
                                  <a:pt x="172211" y="25907"/>
                                </a:lnTo>
                                <a:lnTo>
                                  <a:pt x="344423" y="0"/>
                                </a:lnTo>
                                <a:lnTo>
                                  <a:pt x="516635" y="25907"/>
                                </a:lnTo>
                                <a:lnTo>
                                  <a:pt x="688847" y="16763"/>
                                </a:lnTo>
                                <a:lnTo>
                                  <a:pt x="861059" y="25907"/>
                                </a:lnTo>
                                <a:lnTo>
                                  <a:pt x="1033271" y="21335"/>
                                </a:lnTo>
                                <a:lnTo>
                                  <a:pt x="1205483" y="24383"/>
                                </a:lnTo>
                                <a:lnTo>
                                  <a:pt x="1377695" y="21335"/>
                                </a:lnTo>
                                <a:lnTo>
                                  <a:pt x="1548383" y="4571"/>
                                </a:lnTo>
                                <a:lnTo>
                                  <a:pt x="1720595" y="10667"/>
                                </a:lnTo>
                                <a:lnTo>
                                  <a:pt x="1892807" y="13715"/>
                                </a:lnTo>
                                <a:lnTo>
                                  <a:pt x="2065019" y="13715"/>
                                </a:lnTo>
                                <a:lnTo>
                                  <a:pt x="2237231" y="18287"/>
                                </a:lnTo>
                                <a:lnTo>
                                  <a:pt x="2409443" y="21335"/>
                                </a:lnTo>
                                <a:lnTo>
                                  <a:pt x="2581655" y="10667"/>
                                </a:lnTo>
                                <a:lnTo>
                                  <a:pt x="2753867" y="7619"/>
                                </a:lnTo>
                                <a:lnTo>
                                  <a:pt x="2926079" y="27431"/>
                                </a:lnTo>
                              </a:path>
                            </a:pathLst>
                          </a:custGeom>
                          <a:ln w="27432">
                            <a:solidFill>
                              <a:srgbClr val="497DBA"/>
                            </a:solidFill>
                            <a:prstDash val="solid"/>
                          </a:ln>
                        </wps:spPr>
                        <wps:bodyPr wrap="square" lIns="0" tIns="0" rIns="0" bIns="0" rtlCol="0">
                          <a:prstTxWarp prst="textNoShape">
                            <a:avLst/>
                          </a:prstTxWarp>
                          <a:noAutofit/>
                        </wps:bodyPr>
                      </wps:wsp>
                      <pic:pic>
                        <pic:nvPicPr>
                          <pic:cNvPr id="346" name="Image 346"/>
                          <pic:cNvPicPr/>
                        </pic:nvPicPr>
                        <pic:blipFill>
                          <a:blip r:embed="rId121" cstate="print"/>
                          <a:stretch>
                            <a:fillRect/>
                          </a:stretch>
                        </pic:blipFill>
                        <pic:spPr>
                          <a:xfrm>
                            <a:off x="1086103" y="2228850"/>
                            <a:ext cx="98044" cy="98552"/>
                          </a:xfrm>
                          <a:prstGeom prst="rect">
                            <a:avLst/>
                          </a:prstGeom>
                        </pic:spPr>
                      </pic:pic>
                      <pic:pic>
                        <pic:nvPicPr>
                          <pic:cNvPr id="347" name="Image 347"/>
                          <pic:cNvPicPr/>
                        </pic:nvPicPr>
                        <pic:blipFill>
                          <a:blip r:embed="rId122" cstate="print"/>
                          <a:stretch>
                            <a:fillRect/>
                          </a:stretch>
                        </pic:blipFill>
                        <pic:spPr>
                          <a:xfrm>
                            <a:off x="1258188" y="2224658"/>
                            <a:ext cx="98044" cy="98551"/>
                          </a:xfrm>
                          <a:prstGeom prst="rect">
                            <a:avLst/>
                          </a:prstGeom>
                        </pic:spPr>
                      </pic:pic>
                      <pic:pic>
                        <pic:nvPicPr>
                          <pic:cNvPr id="348" name="Image 348"/>
                          <pic:cNvPicPr/>
                        </pic:nvPicPr>
                        <pic:blipFill>
                          <a:blip r:embed="rId123" cstate="print"/>
                          <a:stretch>
                            <a:fillRect/>
                          </a:stretch>
                        </pic:blipFill>
                        <pic:spPr>
                          <a:xfrm>
                            <a:off x="1430274" y="2197861"/>
                            <a:ext cx="98044" cy="98551"/>
                          </a:xfrm>
                          <a:prstGeom prst="rect">
                            <a:avLst/>
                          </a:prstGeom>
                        </pic:spPr>
                      </pic:pic>
                      <pic:pic>
                        <pic:nvPicPr>
                          <pic:cNvPr id="349" name="Image 349"/>
                          <pic:cNvPicPr/>
                        </pic:nvPicPr>
                        <pic:blipFill>
                          <a:blip r:embed="rId124" cstate="print"/>
                          <a:stretch>
                            <a:fillRect/>
                          </a:stretch>
                        </pic:blipFill>
                        <pic:spPr>
                          <a:xfrm>
                            <a:off x="1602358" y="2224404"/>
                            <a:ext cx="98044" cy="98552"/>
                          </a:xfrm>
                          <a:prstGeom prst="rect">
                            <a:avLst/>
                          </a:prstGeom>
                        </pic:spPr>
                      </pic:pic>
                      <pic:pic>
                        <pic:nvPicPr>
                          <pic:cNvPr id="350" name="Image 350"/>
                          <pic:cNvPicPr/>
                        </pic:nvPicPr>
                        <pic:blipFill>
                          <a:blip r:embed="rId124" cstate="print"/>
                          <a:stretch>
                            <a:fillRect/>
                          </a:stretch>
                        </pic:blipFill>
                        <pic:spPr>
                          <a:xfrm>
                            <a:off x="1774444" y="2215388"/>
                            <a:ext cx="98044" cy="98551"/>
                          </a:xfrm>
                          <a:prstGeom prst="rect">
                            <a:avLst/>
                          </a:prstGeom>
                        </pic:spPr>
                      </pic:pic>
                      <pic:pic>
                        <pic:nvPicPr>
                          <pic:cNvPr id="351" name="Image 351"/>
                          <pic:cNvPicPr/>
                        </pic:nvPicPr>
                        <pic:blipFill>
                          <a:blip r:embed="rId123" cstate="print"/>
                          <a:stretch>
                            <a:fillRect/>
                          </a:stretch>
                        </pic:blipFill>
                        <pic:spPr>
                          <a:xfrm>
                            <a:off x="1946529" y="2223642"/>
                            <a:ext cx="98044" cy="98551"/>
                          </a:xfrm>
                          <a:prstGeom prst="rect">
                            <a:avLst/>
                          </a:prstGeom>
                        </pic:spPr>
                      </pic:pic>
                      <pic:pic>
                        <pic:nvPicPr>
                          <pic:cNvPr id="352" name="Image 352"/>
                          <pic:cNvPicPr/>
                        </pic:nvPicPr>
                        <pic:blipFill>
                          <a:blip r:embed="rId121" cstate="print"/>
                          <a:stretch>
                            <a:fillRect/>
                          </a:stretch>
                        </pic:blipFill>
                        <pic:spPr>
                          <a:xfrm>
                            <a:off x="2118614" y="2218944"/>
                            <a:ext cx="98044" cy="98551"/>
                          </a:xfrm>
                          <a:prstGeom prst="rect">
                            <a:avLst/>
                          </a:prstGeom>
                        </pic:spPr>
                      </pic:pic>
                      <pic:pic>
                        <pic:nvPicPr>
                          <pic:cNvPr id="353" name="Image 353"/>
                          <pic:cNvPicPr/>
                        </pic:nvPicPr>
                        <pic:blipFill>
                          <a:blip r:embed="rId121" cstate="print"/>
                          <a:stretch>
                            <a:fillRect/>
                          </a:stretch>
                        </pic:blipFill>
                        <pic:spPr>
                          <a:xfrm>
                            <a:off x="2290698" y="2222373"/>
                            <a:ext cx="98044" cy="98552"/>
                          </a:xfrm>
                          <a:prstGeom prst="rect">
                            <a:avLst/>
                          </a:prstGeom>
                        </pic:spPr>
                      </pic:pic>
                      <pic:pic>
                        <pic:nvPicPr>
                          <pic:cNvPr id="354" name="Image 354"/>
                          <pic:cNvPicPr/>
                        </pic:nvPicPr>
                        <pic:blipFill>
                          <a:blip r:embed="rId121" cstate="print"/>
                          <a:stretch>
                            <a:fillRect/>
                          </a:stretch>
                        </pic:blipFill>
                        <pic:spPr>
                          <a:xfrm>
                            <a:off x="2462783" y="2218817"/>
                            <a:ext cx="98044" cy="98551"/>
                          </a:xfrm>
                          <a:prstGeom prst="rect">
                            <a:avLst/>
                          </a:prstGeom>
                        </pic:spPr>
                      </pic:pic>
                      <pic:pic>
                        <pic:nvPicPr>
                          <pic:cNvPr id="355" name="Image 355"/>
                          <pic:cNvPicPr/>
                        </pic:nvPicPr>
                        <pic:blipFill>
                          <a:blip r:embed="rId123" cstate="print"/>
                          <a:stretch>
                            <a:fillRect/>
                          </a:stretch>
                        </pic:blipFill>
                        <pic:spPr>
                          <a:xfrm>
                            <a:off x="2634995" y="2203069"/>
                            <a:ext cx="98044" cy="98551"/>
                          </a:xfrm>
                          <a:prstGeom prst="rect">
                            <a:avLst/>
                          </a:prstGeom>
                        </pic:spPr>
                      </pic:pic>
                      <pic:pic>
                        <pic:nvPicPr>
                          <pic:cNvPr id="356" name="Image 356"/>
                          <pic:cNvPicPr/>
                        </pic:nvPicPr>
                        <pic:blipFill>
                          <a:blip r:embed="rId125" cstate="print"/>
                          <a:stretch>
                            <a:fillRect/>
                          </a:stretch>
                        </pic:blipFill>
                        <pic:spPr>
                          <a:xfrm>
                            <a:off x="2807080" y="2208529"/>
                            <a:ext cx="98044" cy="98425"/>
                          </a:xfrm>
                          <a:prstGeom prst="rect">
                            <a:avLst/>
                          </a:prstGeom>
                        </pic:spPr>
                      </pic:pic>
                      <pic:pic>
                        <pic:nvPicPr>
                          <pic:cNvPr id="357" name="Image 357"/>
                          <pic:cNvPicPr/>
                        </pic:nvPicPr>
                        <pic:blipFill>
                          <a:blip r:embed="rId123" cstate="print"/>
                          <a:stretch>
                            <a:fillRect/>
                          </a:stretch>
                        </pic:blipFill>
                        <pic:spPr>
                          <a:xfrm>
                            <a:off x="2979166" y="2212594"/>
                            <a:ext cx="98044" cy="98551"/>
                          </a:xfrm>
                          <a:prstGeom prst="rect">
                            <a:avLst/>
                          </a:prstGeom>
                        </pic:spPr>
                      </pic:pic>
                      <pic:pic>
                        <pic:nvPicPr>
                          <pic:cNvPr id="358" name="Image 358"/>
                          <pic:cNvPicPr/>
                        </pic:nvPicPr>
                        <pic:blipFill>
                          <a:blip r:embed="rId125" cstate="print"/>
                          <a:stretch>
                            <a:fillRect/>
                          </a:stretch>
                        </pic:blipFill>
                        <pic:spPr>
                          <a:xfrm>
                            <a:off x="3151251" y="2212467"/>
                            <a:ext cx="98044" cy="98425"/>
                          </a:xfrm>
                          <a:prstGeom prst="rect">
                            <a:avLst/>
                          </a:prstGeom>
                        </pic:spPr>
                      </pic:pic>
                      <pic:pic>
                        <pic:nvPicPr>
                          <pic:cNvPr id="359" name="Image 359"/>
                          <pic:cNvPicPr/>
                        </pic:nvPicPr>
                        <pic:blipFill>
                          <a:blip r:embed="rId123" cstate="print"/>
                          <a:stretch>
                            <a:fillRect/>
                          </a:stretch>
                        </pic:blipFill>
                        <pic:spPr>
                          <a:xfrm>
                            <a:off x="3323335" y="2217039"/>
                            <a:ext cx="98044" cy="98551"/>
                          </a:xfrm>
                          <a:prstGeom prst="rect">
                            <a:avLst/>
                          </a:prstGeom>
                        </pic:spPr>
                      </pic:pic>
                      <pic:pic>
                        <pic:nvPicPr>
                          <pic:cNvPr id="360" name="Image 360"/>
                          <pic:cNvPicPr/>
                        </pic:nvPicPr>
                        <pic:blipFill>
                          <a:blip r:embed="rId122" cstate="print"/>
                          <a:stretch>
                            <a:fillRect/>
                          </a:stretch>
                        </pic:blipFill>
                        <pic:spPr>
                          <a:xfrm>
                            <a:off x="3495421" y="2219832"/>
                            <a:ext cx="98044" cy="98551"/>
                          </a:xfrm>
                          <a:prstGeom prst="rect">
                            <a:avLst/>
                          </a:prstGeom>
                        </pic:spPr>
                      </pic:pic>
                      <pic:pic>
                        <pic:nvPicPr>
                          <pic:cNvPr id="361" name="Image 361"/>
                          <pic:cNvPicPr/>
                        </pic:nvPicPr>
                        <pic:blipFill>
                          <a:blip r:embed="rId121" cstate="print"/>
                          <a:stretch>
                            <a:fillRect/>
                          </a:stretch>
                        </pic:blipFill>
                        <pic:spPr>
                          <a:xfrm>
                            <a:off x="3667505" y="2208910"/>
                            <a:ext cx="98044" cy="98551"/>
                          </a:xfrm>
                          <a:prstGeom prst="rect">
                            <a:avLst/>
                          </a:prstGeom>
                        </pic:spPr>
                      </pic:pic>
                      <pic:pic>
                        <pic:nvPicPr>
                          <pic:cNvPr id="362" name="Image 362"/>
                          <pic:cNvPicPr/>
                        </pic:nvPicPr>
                        <pic:blipFill>
                          <a:blip r:embed="rId122" cstate="print"/>
                          <a:stretch>
                            <a:fillRect/>
                          </a:stretch>
                        </pic:blipFill>
                        <pic:spPr>
                          <a:xfrm>
                            <a:off x="3839590" y="2206244"/>
                            <a:ext cx="98044" cy="98551"/>
                          </a:xfrm>
                          <a:prstGeom prst="rect">
                            <a:avLst/>
                          </a:prstGeom>
                        </pic:spPr>
                      </pic:pic>
                      <pic:pic>
                        <pic:nvPicPr>
                          <pic:cNvPr id="363" name="Image 363"/>
                          <pic:cNvPicPr/>
                        </pic:nvPicPr>
                        <pic:blipFill>
                          <a:blip r:embed="rId123" cstate="print"/>
                          <a:stretch>
                            <a:fillRect/>
                          </a:stretch>
                        </pic:blipFill>
                        <pic:spPr>
                          <a:xfrm>
                            <a:off x="4011676" y="2226310"/>
                            <a:ext cx="98044" cy="98551"/>
                          </a:xfrm>
                          <a:prstGeom prst="rect">
                            <a:avLst/>
                          </a:prstGeom>
                        </pic:spPr>
                      </pic:pic>
                      <wps:wsp>
                        <wps:cNvPr id="364" name="Graphic 364"/>
                        <wps:cNvSpPr/>
                        <wps:spPr>
                          <a:xfrm>
                            <a:off x="1134872" y="256286"/>
                            <a:ext cx="2926080" cy="1969135"/>
                          </a:xfrm>
                          <a:custGeom>
                            <a:avLst/>
                            <a:gdLst/>
                            <a:ahLst/>
                            <a:cxnLst/>
                            <a:rect l="l" t="t" r="r" b="b"/>
                            <a:pathLst>
                              <a:path w="2926080" h="1969135">
                                <a:moveTo>
                                  <a:pt x="0" y="1969007"/>
                                </a:moveTo>
                                <a:lnTo>
                                  <a:pt x="172211" y="1812035"/>
                                </a:lnTo>
                                <a:lnTo>
                                  <a:pt x="344423" y="1792224"/>
                                </a:lnTo>
                                <a:lnTo>
                                  <a:pt x="516635" y="1732787"/>
                                </a:lnTo>
                                <a:lnTo>
                                  <a:pt x="688847" y="1744979"/>
                                </a:lnTo>
                                <a:lnTo>
                                  <a:pt x="861059" y="1723644"/>
                                </a:lnTo>
                                <a:lnTo>
                                  <a:pt x="1033271" y="1577339"/>
                                </a:lnTo>
                                <a:lnTo>
                                  <a:pt x="1205483" y="1536192"/>
                                </a:lnTo>
                                <a:lnTo>
                                  <a:pt x="1377695" y="1165859"/>
                                </a:lnTo>
                                <a:lnTo>
                                  <a:pt x="1548383" y="1200911"/>
                                </a:lnTo>
                                <a:lnTo>
                                  <a:pt x="1720595" y="1167383"/>
                                </a:lnTo>
                                <a:lnTo>
                                  <a:pt x="1892807" y="1269492"/>
                                </a:lnTo>
                                <a:lnTo>
                                  <a:pt x="2065019" y="1158239"/>
                                </a:lnTo>
                                <a:lnTo>
                                  <a:pt x="2237231" y="998220"/>
                                </a:lnTo>
                                <a:lnTo>
                                  <a:pt x="2409443" y="431292"/>
                                </a:lnTo>
                                <a:lnTo>
                                  <a:pt x="2581655" y="0"/>
                                </a:lnTo>
                                <a:lnTo>
                                  <a:pt x="2753867" y="237744"/>
                                </a:lnTo>
                                <a:lnTo>
                                  <a:pt x="2926079" y="851915"/>
                                </a:lnTo>
                              </a:path>
                            </a:pathLst>
                          </a:custGeom>
                          <a:ln w="27432">
                            <a:solidFill>
                              <a:srgbClr val="BD4A47"/>
                            </a:solidFill>
                            <a:prstDash val="solid"/>
                          </a:ln>
                        </wps:spPr>
                        <wps:bodyPr wrap="square" lIns="0" tIns="0" rIns="0" bIns="0" rtlCol="0">
                          <a:prstTxWarp prst="textNoShape">
                            <a:avLst/>
                          </a:prstTxWarp>
                          <a:noAutofit/>
                        </wps:bodyPr>
                      </wps:wsp>
                      <wps:wsp>
                        <wps:cNvPr id="365" name="Graphic 365"/>
                        <wps:cNvSpPr/>
                        <wps:spPr>
                          <a:xfrm>
                            <a:off x="1090675" y="2181098"/>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366" name="Graphic 366"/>
                        <wps:cNvSpPr/>
                        <wps:spPr>
                          <a:xfrm>
                            <a:off x="1090675" y="2181098"/>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367" name="Graphic 367"/>
                        <wps:cNvSpPr/>
                        <wps:spPr>
                          <a:xfrm>
                            <a:off x="1262888" y="2022601"/>
                            <a:ext cx="88900" cy="90170"/>
                          </a:xfrm>
                          <a:custGeom>
                            <a:avLst/>
                            <a:gdLst/>
                            <a:ahLst/>
                            <a:cxnLst/>
                            <a:rect l="l" t="t" r="r" b="b"/>
                            <a:pathLst>
                              <a:path w="88900" h="90170">
                                <a:moveTo>
                                  <a:pt x="88392" y="0"/>
                                </a:moveTo>
                                <a:lnTo>
                                  <a:pt x="0" y="0"/>
                                </a:lnTo>
                                <a:lnTo>
                                  <a:pt x="0" y="89916"/>
                                </a:lnTo>
                                <a:lnTo>
                                  <a:pt x="88392" y="89916"/>
                                </a:lnTo>
                                <a:lnTo>
                                  <a:pt x="88392" y="0"/>
                                </a:lnTo>
                                <a:close/>
                              </a:path>
                            </a:pathLst>
                          </a:custGeom>
                          <a:solidFill>
                            <a:srgbClr val="C0504D"/>
                          </a:solidFill>
                        </wps:spPr>
                        <wps:bodyPr wrap="square" lIns="0" tIns="0" rIns="0" bIns="0" rtlCol="0">
                          <a:prstTxWarp prst="textNoShape">
                            <a:avLst/>
                          </a:prstTxWarp>
                          <a:noAutofit/>
                        </wps:bodyPr>
                      </wps:wsp>
                      <wps:wsp>
                        <wps:cNvPr id="368" name="Graphic 368"/>
                        <wps:cNvSpPr/>
                        <wps:spPr>
                          <a:xfrm>
                            <a:off x="1262888" y="2022601"/>
                            <a:ext cx="88900" cy="90170"/>
                          </a:xfrm>
                          <a:custGeom>
                            <a:avLst/>
                            <a:gdLst/>
                            <a:ahLst/>
                            <a:cxnLst/>
                            <a:rect l="l" t="t" r="r" b="b"/>
                            <a:pathLst>
                              <a:path w="88900" h="90170">
                                <a:moveTo>
                                  <a:pt x="0" y="89916"/>
                                </a:moveTo>
                                <a:lnTo>
                                  <a:pt x="88392" y="89916"/>
                                </a:lnTo>
                                <a:lnTo>
                                  <a:pt x="88392"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369" name="Graphic 369"/>
                        <wps:cNvSpPr/>
                        <wps:spPr>
                          <a:xfrm>
                            <a:off x="1435100" y="2002789"/>
                            <a:ext cx="88900" cy="90170"/>
                          </a:xfrm>
                          <a:custGeom>
                            <a:avLst/>
                            <a:gdLst/>
                            <a:ahLst/>
                            <a:cxnLst/>
                            <a:rect l="l" t="t" r="r" b="b"/>
                            <a:pathLst>
                              <a:path w="88900" h="90170">
                                <a:moveTo>
                                  <a:pt x="88392" y="0"/>
                                </a:moveTo>
                                <a:lnTo>
                                  <a:pt x="0" y="0"/>
                                </a:lnTo>
                                <a:lnTo>
                                  <a:pt x="0" y="89916"/>
                                </a:lnTo>
                                <a:lnTo>
                                  <a:pt x="88392" y="89916"/>
                                </a:lnTo>
                                <a:lnTo>
                                  <a:pt x="88392" y="0"/>
                                </a:lnTo>
                                <a:close/>
                              </a:path>
                            </a:pathLst>
                          </a:custGeom>
                          <a:solidFill>
                            <a:srgbClr val="C0504D"/>
                          </a:solidFill>
                        </wps:spPr>
                        <wps:bodyPr wrap="square" lIns="0" tIns="0" rIns="0" bIns="0" rtlCol="0">
                          <a:prstTxWarp prst="textNoShape">
                            <a:avLst/>
                          </a:prstTxWarp>
                          <a:noAutofit/>
                        </wps:bodyPr>
                      </wps:wsp>
                      <wps:wsp>
                        <wps:cNvPr id="370" name="Graphic 370"/>
                        <wps:cNvSpPr/>
                        <wps:spPr>
                          <a:xfrm>
                            <a:off x="1435100" y="2002789"/>
                            <a:ext cx="88900" cy="90170"/>
                          </a:xfrm>
                          <a:custGeom>
                            <a:avLst/>
                            <a:gdLst/>
                            <a:ahLst/>
                            <a:cxnLst/>
                            <a:rect l="l" t="t" r="r" b="b"/>
                            <a:pathLst>
                              <a:path w="88900" h="90170">
                                <a:moveTo>
                                  <a:pt x="0" y="89916"/>
                                </a:moveTo>
                                <a:lnTo>
                                  <a:pt x="88392" y="89916"/>
                                </a:lnTo>
                                <a:lnTo>
                                  <a:pt x="88392"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371" name="Graphic 371"/>
                        <wps:cNvSpPr/>
                        <wps:spPr>
                          <a:xfrm>
                            <a:off x="1607311" y="1944877"/>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372" name="Graphic 372"/>
                        <wps:cNvSpPr/>
                        <wps:spPr>
                          <a:xfrm>
                            <a:off x="1607311" y="1944877"/>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373" name="Graphic 373"/>
                        <wps:cNvSpPr/>
                        <wps:spPr>
                          <a:xfrm>
                            <a:off x="1779523" y="1957070"/>
                            <a:ext cx="88900" cy="90170"/>
                          </a:xfrm>
                          <a:custGeom>
                            <a:avLst/>
                            <a:gdLst/>
                            <a:ahLst/>
                            <a:cxnLst/>
                            <a:rect l="l" t="t" r="r" b="b"/>
                            <a:pathLst>
                              <a:path w="88900" h="90170">
                                <a:moveTo>
                                  <a:pt x="88392" y="0"/>
                                </a:moveTo>
                                <a:lnTo>
                                  <a:pt x="0" y="0"/>
                                </a:lnTo>
                                <a:lnTo>
                                  <a:pt x="0" y="89916"/>
                                </a:lnTo>
                                <a:lnTo>
                                  <a:pt x="88392" y="89916"/>
                                </a:lnTo>
                                <a:lnTo>
                                  <a:pt x="88392" y="0"/>
                                </a:lnTo>
                                <a:close/>
                              </a:path>
                            </a:pathLst>
                          </a:custGeom>
                          <a:solidFill>
                            <a:srgbClr val="C0504D"/>
                          </a:solidFill>
                        </wps:spPr>
                        <wps:bodyPr wrap="square" lIns="0" tIns="0" rIns="0" bIns="0" rtlCol="0">
                          <a:prstTxWarp prst="textNoShape">
                            <a:avLst/>
                          </a:prstTxWarp>
                          <a:noAutofit/>
                        </wps:bodyPr>
                      </wps:wsp>
                      <wps:wsp>
                        <wps:cNvPr id="374" name="Graphic 374"/>
                        <wps:cNvSpPr/>
                        <wps:spPr>
                          <a:xfrm>
                            <a:off x="1779523" y="1957070"/>
                            <a:ext cx="88900" cy="90170"/>
                          </a:xfrm>
                          <a:custGeom>
                            <a:avLst/>
                            <a:gdLst/>
                            <a:ahLst/>
                            <a:cxnLst/>
                            <a:rect l="l" t="t" r="r" b="b"/>
                            <a:pathLst>
                              <a:path w="88900" h="90170">
                                <a:moveTo>
                                  <a:pt x="0" y="89916"/>
                                </a:moveTo>
                                <a:lnTo>
                                  <a:pt x="88392" y="89916"/>
                                </a:lnTo>
                                <a:lnTo>
                                  <a:pt x="88392"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375" name="Graphic 375"/>
                        <wps:cNvSpPr/>
                        <wps:spPr>
                          <a:xfrm>
                            <a:off x="1951735" y="1935733"/>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376" name="Graphic 376"/>
                        <wps:cNvSpPr/>
                        <wps:spPr>
                          <a:xfrm>
                            <a:off x="1951735" y="1935733"/>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377" name="Graphic 377"/>
                        <wps:cNvSpPr/>
                        <wps:spPr>
                          <a:xfrm>
                            <a:off x="2123948" y="1789429"/>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378" name="Graphic 378"/>
                        <wps:cNvSpPr/>
                        <wps:spPr>
                          <a:xfrm>
                            <a:off x="2123948" y="1789429"/>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379" name="Graphic 379"/>
                        <wps:cNvSpPr/>
                        <wps:spPr>
                          <a:xfrm>
                            <a:off x="2294635" y="1746757"/>
                            <a:ext cx="90170" cy="90170"/>
                          </a:xfrm>
                          <a:custGeom>
                            <a:avLst/>
                            <a:gdLst/>
                            <a:ahLst/>
                            <a:cxnLst/>
                            <a:rect l="l" t="t" r="r" b="b"/>
                            <a:pathLst>
                              <a:path w="90170" h="90170">
                                <a:moveTo>
                                  <a:pt x="89915" y="0"/>
                                </a:moveTo>
                                <a:lnTo>
                                  <a:pt x="0" y="0"/>
                                </a:lnTo>
                                <a:lnTo>
                                  <a:pt x="0" y="89916"/>
                                </a:lnTo>
                                <a:lnTo>
                                  <a:pt x="89915" y="89916"/>
                                </a:lnTo>
                                <a:lnTo>
                                  <a:pt x="89915" y="0"/>
                                </a:lnTo>
                                <a:close/>
                              </a:path>
                            </a:pathLst>
                          </a:custGeom>
                          <a:solidFill>
                            <a:srgbClr val="C0504D"/>
                          </a:solidFill>
                        </wps:spPr>
                        <wps:bodyPr wrap="square" lIns="0" tIns="0" rIns="0" bIns="0" rtlCol="0">
                          <a:prstTxWarp prst="textNoShape">
                            <a:avLst/>
                          </a:prstTxWarp>
                          <a:noAutofit/>
                        </wps:bodyPr>
                      </wps:wsp>
                      <wps:wsp>
                        <wps:cNvPr id="380" name="Graphic 380"/>
                        <wps:cNvSpPr/>
                        <wps:spPr>
                          <a:xfrm>
                            <a:off x="2294635" y="1746757"/>
                            <a:ext cx="90170" cy="90170"/>
                          </a:xfrm>
                          <a:custGeom>
                            <a:avLst/>
                            <a:gdLst/>
                            <a:ahLst/>
                            <a:cxnLst/>
                            <a:rect l="l" t="t" r="r" b="b"/>
                            <a:pathLst>
                              <a:path w="90170" h="90170">
                                <a:moveTo>
                                  <a:pt x="0" y="89916"/>
                                </a:moveTo>
                                <a:lnTo>
                                  <a:pt x="89915" y="89916"/>
                                </a:lnTo>
                                <a:lnTo>
                                  <a:pt x="89915"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381" name="Graphic 381"/>
                        <wps:cNvSpPr/>
                        <wps:spPr>
                          <a:xfrm>
                            <a:off x="2466848" y="1377950"/>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C0504D"/>
                          </a:solidFill>
                        </wps:spPr>
                        <wps:bodyPr wrap="square" lIns="0" tIns="0" rIns="0" bIns="0" rtlCol="0">
                          <a:prstTxWarp prst="textNoShape">
                            <a:avLst/>
                          </a:prstTxWarp>
                          <a:noAutofit/>
                        </wps:bodyPr>
                      </wps:wsp>
                      <wps:wsp>
                        <wps:cNvPr id="382" name="Graphic 382"/>
                        <wps:cNvSpPr/>
                        <wps:spPr>
                          <a:xfrm>
                            <a:off x="2466848" y="1377950"/>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383" name="Graphic 383"/>
                        <wps:cNvSpPr/>
                        <wps:spPr>
                          <a:xfrm>
                            <a:off x="2639060" y="1413002"/>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C0504D"/>
                          </a:solidFill>
                        </wps:spPr>
                        <wps:bodyPr wrap="square" lIns="0" tIns="0" rIns="0" bIns="0" rtlCol="0">
                          <a:prstTxWarp prst="textNoShape">
                            <a:avLst/>
                          </a:prstTxWarp>
                          <a:noAutofit/>
                        </wps:bodyPr>
                      </wps:wsp>
                      <wps:wsp>
                        <wps:cNvPr id="384" name="Graphic 384"/>
                        <wps:cNvSpPr/>
                        <wps:spPr>
                          <a:xfrm>
                            <a:off x="2639060" y="1413002"/>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385" name="Graphic 385"/>
                        <wps:cNvSpPr/>
                        <wps:spPr>
                          <a:xfrm>
                            <a:off x="2811272" y="1379474"/>
                            <a:ext cx="90170" cy="90170"/>
                          </a:xfrm>
                          <a:custGeom>
                            <a:avLst/>
                            <a:gdLst/>
                            <a:ahLst/>
                            <a:cxnLst/>
                            <a:rect l="l" t="t" r="r" b="b"/>
                            <a:pathLst>
                              <a:path w="90170" h="90170">
                                <a:moveTo>
                                  <a:pt x="89915" y="0"/>
                                </a:moveTo>
                                <a:lnTo>
                                  <a:pt x="0" y="0"/>
                                </a:lnTo>
                                <a:lnTo>
                                  <a:pt x="0" y="89916"/>
                                </a:lnTo>
                                <a:lnTo>
                                  <a:pt x="89915" y="89916"/>
                                </a:lnTo>
                                <a:lnTo>
                                  <a:pt x="89915" y="0"/>
                                </a:lnTo>
                                <a:close/>
                              </a:path>
                            </a:pathLst>
                          </a:custGeom>
                          <a:solidFill>
                            <a:srgbClr val="C0504D"/>
                          </a:solidFill>
                        </wps:spPr>
                        <wps:bodyPr wrap="square" lIns="0" tIns="0" rIns="0" bIns="0" rtlCol="0">
                          <a:prstTxWarp prst="textNoShape">
                            <a:avLst/>
                          </a:prstTxWarp>
                          <a:noAutofit/>
                        </wps:bodyPr>
                      </wps:wsp>
                      <wps:wsp>
                        <wps:cNvPr id="386" name="Graphic 386"/>
                        <wps:cNvSpPr/>
                        <wps:spPr>
                          <a:xfrm>
                            <a:off x="2811272" y="1379474"/>
                            <a:ext cx="90170" cy="90170"/>
                          </a:xfrm>
                          <a:custGeom>
                            <a:avLst/>
                            <a:gdLst/>
                            <a:ahLst/>
                            <a:cxnLst/>
                            <a:rect l="l" t="t" r="r" b="b"/>
                            <a:pathLst>
                              <a:path w="90170" h="90170">
                                <a:moveTo>
                                  <a:pt x="0" y="89916"/>
                                </a:moveTo>
                                <a:lnTo>
                                  <a:pt x="89915" y="89916"/>
                                </a:lnTo>
                                <a:lnTo>
                                  <a:pt x="89915"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387" name="Graphic 387"/>
                        <wps:cNvSpPr/>
                        <wps:spPr>
                          <a:xfrm>
                            <a:off x="2983483" y="1481582"/>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388" name="Graphic 388"/>
                        <wps:cNvSpPr/>
                        <wps:spPr>
                          <a:xfrm>
                            <a:off x="2983483" y="1481582"/>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389" name="Graphic 389"/>
                        <wps:cNvSpPr/>
                        <wps:spPr>
                          <a:xfrm>
                            <a:off x="3155695" y="1370330"/>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390" name="Graphic 390"/>
                        <wps:cNvSpPr/>
                        <wps:spPr>
                          <a:xfrm>
                            <a:off x="3155695" y="1370330"/>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391" name="Graphic 391"/>
                        <wps:cNvSpPr/>
                        <wps:spPr>
                          <a:xfrm>
                            <a:off x="3327908" y="1210310"/>
                            <a:ext cx="88900" cy="90170"/>
                          </a:xfrm>
                          <a:custGeom>
                            <a:avLst/>
                            <a:gdLst/>
                            <a:ahLst/>
                            <a:cxnLst/>
                            <a:rect l="l" t="t" r="r" b="b"/>
                            <a:pathLst>
                              <a:path w="88900" h="90170">
                                <a:moveTo>
                                  <a:pt x="88391" y="0"/>
                                </a:moveTo>
                                <a:lnTo>
                                  <a:pt x="0" y="0"/>
                                </a:lnTo>
                                <a:lnTo>
                                  <a:pt x="0" y="89916"/>
                                </a:lnTo>
                                <a:lnTo>
                                  <a:pt x="88391" y="89916"/>
                                </a:lnTo>
                                <a:lnTo>
                                  <a:pt x="88391" y="0"/>
                                </a:lnTo>
                                <a:close/>
                              </a:path>
                            </a:pathLst>
                          </a:custGeom>
                          <a:solidFill>
                            <a:srgbClr val="C0504D"/>
                          </a:solidFill>
                        </wps:spPr>
                        <wps:bodyPr wrap="square" lIns="0" tIns="0" rIns="0" bIns="0" rtlCol="0">
                          <a:prstTxWarp prst="textNoShape">
                            <a:avLst/>
                          </a:prstTxWarp>
                          <a:noAutofit/>
                        </wps:bodyPr>
                      </wps:wsp>
                      <wps:wsp>
                        <wps:cNvPr id="392" name="Graphic 392"/>
                        <wps:cNvSpPr/>
                        <wps:spPr>
                          <a:xfrm>
                            <a:off x="3327908" y="1210310"/>
                            <a:ext cx="88900" cy="90170"/>
                          </a:xfrm>
                          <a:custGeom>
                            <a:avLst/>
                            <a:gdLst/>
                            <a:ahLst/>
                            <a:cxnLst/>
                            <a:rect l="l" t="t" r="r" b="b"/>
                            <a:pathLst>
                              <a:path w="88900" h="90170">
                                <a:moveTo>
                                  <a:pt x="0" y="89916"/>
                                </a:moveTo>
                                <a:lnTo>
                                  <a:pt x="88391" y="89916"/>
                                </a:lnTo>
                                <a:lnTo>
                                  <a:pt x="88391"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393" name="Graphic 393"/>
                        <wps:cNvSpPr/>
                        <wps:spPr>
                          <a:xfrm>
                            <a:off x="3500120" y="643381"/>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394" name="Graphic 394"/>
                        <wps:cNvSpPr/>
                        <wps:spPr>
                          <a:xfrm>
                            <a:off x="3500120" y="643381"/>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395" name="Graphic 395"/>
                        <wps:cNvSpPr/>
                        <wps:spPr>
                          <a:xfrm>
                            <a:off x="3672332" y="212090"/>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396" name="Graphic 396"/>
                        <wps:cNvSpPr/>
                        <wps:spPr>
                          <a:xfrm>
                            <a:off x="3672332" y="212090"/>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397" name="Graphic 397"/>
                        <wps:cNvSpPr/>
                        <wps:spPr>
                          <a:xfrm>
                            <a:off x="3844544" y="449833"/>
                            <a:ext cx="88900" cy="90170"/>
                          </a:xfrm>
                          <a:custGeom>
                            <a:avLst/>
                            <a:gdLst/>
                            <a:ahLst/>
                            <a:cxnLst/>
                            <a:rect l="l" t="t" r="r" b="b"/>
                            <a:pathLst>
                              <a:path w="88900" h="90170">
                                <a:moveTo>
                                  <a:pt x="88391" y="0"/>
                                </a:moveTo>
                                <a:lnTo>
                                  <a:pt x="0" y="0"/>
                                </a:lnTo>
                                <a:lnTo>
                                  <a:pt x="0" y="89916"/>
                                </a:lnTo>
                                <a:lnTo>
                                  <a:pt x="88391" y="89916"/>
                                </a:lnTo>
                                <a:lnTo>
                                  <a:pt x="88391" y="0"/>
                                </a:lnTo>
                                <a:close/>
                              </a:path>
                            </a:pathLst>
                          </a:custGeom>
                          <a:solidFill>
                            <a:srgbClr val="C0504D"/>
                          </a:solidFill>
                        </wps:spPr>
                        <wps:bodyPr wrap="square" lIns="0" tIns="0" rIns="0" bIns="0" rtlCol="0">
                          <a:prstTxWarp prst="textNoShape">
                            <a:avLst/>
                          </a:prstTxWarp>
                          <a:noAutofit/>
                        </wps:bodyPr>
                      </wps:wsp>
                      <wps:wsp>
                        <wps:cNvPr id="398" name="Graphic 398"/>
                        <wps:cNvSpPr/>
                        <wps:spPr>
                          <a:xfrm>
                            <a:off x="3844544" y="449833"/>
                            <a:ext cx="88900" cy="90170"/>
                          </a:xfrm>
                          <a:custGeom>
                            <a:avLst/>
                            <a:gdLst/>
                            <a:ahLst/>
                            <a:cxnLst/>
                            <a:rect l="l" t="t" r="r" b="b"/>
                            <a:pathLst>
                              <a:path w="88900" h="90170">
                                <a:moveTo>
                                  <a:pt x="0" y="89916"/>
                                </a:moveTo>
                                <a:lnTo>
                                  <a:pt x="88391" y="89916"/>
                                </a:lnTo>
                                <a:lnTo>
                                  <a:pt x="88391"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399" name="Graphic 399"/>
                        <wps:cNvSpPr/>
                        <wps:spPr>
                          <a:xfrm>
                            <a:off x="4016755" y="1064005"/>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400" name="Graphic 400"/>
                        <wps:cNvSpPr/>
                        <wps:spPr>
                          <a:xfrm>
                            <a:off x="4016755" y="1064005"/>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401" name="Graphic 401"/>
                        <wps:cNvSpPr/>
                        <wps:spPr>
                          <a:xfrm>
                            <a:off x="241300" y="571880"/>
                            <a:ext cx="36830" cy="83820"/>
                          </a:xfrm>
                          <a:custGeom>
                            <a:avLst/>
                            <a:gdLst/>
                            <a:ahLst/>
                            <a:cxnLst/>
                            <a:rect l="l" t="t" r="r" b="b"/>
                            <a:pathLst>
                              <a:path w="36830" h="83820">
                                <a:moveTo>
                                  <a:pt x="12192" y="0"/>
                                </a:moveTo>
                                <a:lnTo>
                                  <a:pt x="0" y="0"/>
                                </a:lnTo>
                                <a:lnTo>
                                  <a:pt x="0" y="83820"/>
                                </a:lnTo>
                                <a:lnTo>
                                  <a:pt x="12192" y="83820"/>
                                </a:lnTo>
                                <a:lnTo>
                                  <a:pt x="12192" y="0"/>
                                </a:lnTo>
                                <a:close/>
                              </a:path>
                              <a:path w="36830" h="83820">
                                <a:moveTo>
                                  <a:pt x="36576" y="0"/>
                                </a:moveTo>
                                <a:lnTo>
                                  <a:pt x="24384" y="0"/>
                                </a:lnTo>
                                <a:lnTo>
                                  <a:pt x="24384" y="83820"/>
                                </a:lnTo>
                                <a:lnTo>
                                  <a:pt x="36576" y="83820"/>
                                </a:lnTo>
                                <a:lnTo>
                                  <a:pt x="36576" y="0"/>
                                </a:lnTo>
                                <a:close/>
                              </a:path>
                            </a:pathLst>
                          </a:custGeom>
                          <a:solidFill>
                            <a:srgbClr val="000000"/>
                          </a:solidFill>
                        </wps:spPr>
                        <wps:bodyPr wrap="square" lIns="0" tIns="0" rIns="0" bIns="0" rtlCol="0">
                          <a:prstTxWarp prst="textNoShape">
                            <a:avLst/>
                          </a:prstTxWarp>
                          <a:noAutofit/>
                        </wps:bodyPr>
                      </wps:wsp>
                      <pic:pic>
                        <pic:nvPicPr>
                          <pic:cNvPr id="402" name="Image 402"/>
                          <pic:cNvPicPr/>
                        </pic:nvPicPr>
                        <pic:blipFill>
                          <a:blip r:embed="rId126" cstate="print"/>
                          <a:stretch>
                            <a:fillRect/>
                          </a:stretch>
                        </pic:blipFill>
                        <pic:spPr>
                          <a:xfrm>
                            <a:off x="4345940" y="1224025"/>
                            <a:ext cx="243839" cy="85344"/>
                          </a:xfrm>
                          <a:prstGeom prst="rect">
                            <a:avLst/>
                          </a:prstGeom>
                        </pic:spPr>
                      </pic:pic>
                      <wps:wsp>
                        <wps:cNvPr id="403" name="Graphic 403"/>
                        <wps:cNvSpPr/>
                        <wps:spPr>
                          <a:xfrm>
                            <a:off x="4345940" y="1649222"/>
                            <a:ext cx="243840" cy="1270"/>
                          </a:xfrm>
                          <a:custGeom>
                            <a:avLst/>
                            <a:gdLst/>
                            <a:ahLst/>
                            <a:cxnLst/>
                            <a:rect l="l" t="t" r="r" b="b"/>
                            <a:pathLst>
                              <a:path w="243840" h="0">
                                <a:moveTo>
                                  <a:pt x="0" y="0"/>
                                </a:moveTo>
                                <a:lnTo>
                                  <a:pt x="243839" y="0"/>
                                </a:lnTo>
                              </a:path>
                            </a:pathLst>
                          </a:custGeom>
                          <a:ln w="24384">
                            <a:solidFill>
                              <a:srgbClr val="BD4A47"/>
                            </a:solidFill>
                            <a:prstDash val="solid"/>
                          </a:ln>
                        </wps:spPr>
                        <wps:bodyPr wrap="square" lIns="0" tIns="0" rIns="0" bIns="0" rtlCol="0">
                          <a:prstTxWarp prst="textNoShape">
                            <a:avLst/>
                          </a:prstTxWarp>
                          <a:noAutofit/>
                        </wps:bodyPr>
                      </wps:wsp>
                      <wps:wsp>
                        <wps:cNvPr id="404" name="Graphic 404"/>
                        <wps:cNvSpPr/>
                        <wps:spPr>
                          <a:xfrm>
                            <a:off x="4429759" y="1611122"/>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C0504D"/>
                          </a:solidFill>
                        </wps:spPr>
                        <wps:bodyPr wrap="square" lIns="0" tIns="0" rIns="0" bIns="0" rtlCol="0">
                          <a:prstTxWarp prst="textNoShape">
                            <a:avLst/>
                          </a:prstTxWarp>
                          <a:noAutofit/>
                        </wps:bodyPr>
                      </wps:wsp>
                      <wps:wsp>
                        <wps:cNvPr id="405" name="Graphic 405"/>
                        <wps:cNvSpPr/>
                        <wps:spPr>
                          <a:xfrm>
                            <a:off x="4429759" y="1611122"/>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BD4A47"/>
                            </a:solidFill>
                            <a:prstDash val="solid"/>
                          </a:ln>
                        </wps:spPr>
                        <wps:bodyPr wrap="square" lIns="0" tIns="0" rIns="0" bIns="0" rtlCol="0">
                          <a:prstTxWarp prst="textNoShape">
                            <a:avLst/>
                          </a:prstTxWarp>
                          <a:noAutofit/>
                        </wps:bodyPr>
                      </wps:wsp>
                      <wps:wsp>
                        <wps:cNvPr id="406" name="Graphic 406"/>
                        <wps:cNvSpPr/>
                        <wps:spPr>
                          <a:xfrm>
                            <a:off x="6350" y="6350"/>
                            <a:ext cx="5943600" cy="3056890"/>
                          </a:xfrm>
                          <a:custGeom>
                            <a:avLst/>
                            <a:gdLst/>
                            <a:ahLst/>
                            <a:cxnLst/>
                            <a:rect l="l" t="t" r="r" b="b"/>
                            <a:pathLst>
                              <a:path w="5943600" h="3056890">
                                <a:moveTo>
                                  <a:pt x="0" y="3056890"/>
                                </a:moveTo>
                                <a:lnTo>
                                  <a:pt x="5943600" y="3056890"/>
                                </a:lnTo>
                                <a:lnTo>
                                  <a:pt x="5943600" y="0"/>
                                </a:lnTo>
                                <a:lnTo>
                                  <a:pt x="0" y="0"/>
                                </a:lnTo>
                                <a:lnTo>
                                  <a:pt x="0" y="3056890"/>
                                </a:lnTo>
                                <a:close/>
                              </a:path>
                            </a:pathLst>
                          </a:custGeom>
                          <a:ln w="12700">
                            <a:solidFill>
                              <a:srgbClr val="858585"/>
                            </a:solidFill>
                            <a:prstDash val="solid"/>
                          </a:ln>
                        </wps:spPr>
                        <wps:bodyPr wrap="square" lIns="0" tIns="0" rIns="0" bIns="0" rtlCol="0">
                          <a:prstTxWarp prst="textNoShape">
                            <a:avLst/>
                          </a:prstTxWarp>
                          <a:noAutofit/>
                        </wps:bodyPr>
                      </wps:wsp>
                      <wps:wsp>
                        <wps:cNvPr id="407" name="Textbox 407"/>
                        <wps:cNvSpPr txBox="1"/>
                        <wps:spPr>
                          <a:xfrm>
                            <a:off x="417068" y="88518"/>
                            <a:ext cx="525145" cy="1548130"/>
                          </a:xfrm>
                          <a:prstGeom prst="rect">
                            <a:avLst/>
                          </a:prstGeom>
                        </wps:spPr>
                        <wps:txbx>
                          <w:txbxContent>
                            <w:p>
                              <w:pPr>
                                <w:spacing w:line="203" w:lineRule="exact" w:before="0"/>
                                <w:ind w:left="0" w:right="0" w:firstLine="0"/>
                                <w:jc w:val="left"/>
                                <w:rPr>
                                  <w:rFonts w:ascii="Calibri"/>
                                  <w:sz w:val="20"/>
                                </w:rPr>
                              </w:pPr>
                              <w:r>
                                <w:rPr>
                                  <w:rFonts w:ascii="Calibri"/>
                                  <w:spacing w:val="-2"/>
                                  <w:sz w:val="20"/>
                                </w:rPr>
                                <w:t>30000000</w:t>
                              </w:r>
                            </w:p>
                            <w:p>
                              <w:pPr>
                                <w:spacing w:line="240" w:lineRule="auto" w:before="71"/>
                                <w:rPr>
                                  <w:rFonts w:ascii="Calibri"/>
                                  <w:sz w:val="20"/>
                                </w:rPr>
                              </w:pPr>
                            </w:p>
                            <w:p>
                              <w:pPr>
                                <w:spacing w:before="0"/>
                                <w:ind w:left="0" w:right="0" w:firstLine="0"/>
                                <w:jc w:val="left"/>
                                <w:rPr>
                                  <w:rFonts w:ascii="Calibri"/>
                                  <w:sz w:val="20"/>
                                </w:rPr>
                              </w:pPr>
                              <w:r>
                                <w:rPr>
                                  <w:rFonts w:ascii="Calibri"/>
                                  <w:spacing w:val="-2"/>
                                  <w:sz w:val="20"/>
                                </w:rPr>
                                <w:t>25000000</w:t>
                              </w:r>
                            </w:p>
                            <w:p>
                              <w:pPr>
                                <w:spacing w:line="240" w:lineRule="auto" w:before="71"/>
                                <w:rPr>
                                  <w:rFonts w:ascii="Calibri"/>
                                  <w:sz w:val="20"/>
                                </w:rPr>
                              </w:pPr>
                            </w:p>
                            <w:p>
                              <w:pPr>
                                <w:spacing w:before="0"/>
                                <w:ind w:left="0" w:right="0" w:firstLine="0"/>
                                <w:jc w:val="left"/>
                                <w:rPr>
                                  <w:rFonts w:ascii="Calibri"/>
                                  <w:sz w:val="20"/>
                                </w:rPr>
                              </w:pPr>
                              <w:r>
                                <w:rPr>
                                  <w:rFonts w:ascii="Calibri"/>
                                  <w:spacing w:val="-2"/>
                                  <w:sz w:val="20"/>
                                </w:rPr>
                                <w:t>20000000</w:t>
                              </w:r>
                            </w:p>
                            <w:p>
                              <w:pPr>
                                <w:spacing w:line="240" w:lineRule="auto" w:before="71"/>
                                <w:rPr>
                                  <w:rFonts w:ascii="Calibri"/>
                                  <w:sz w:val="20"/>
                                </w:rPr>
                              </w:pPr>
                            </w:p>
                            <w:p>
                              <w:pPr>
                                <w:spacing w:before="0"/>
                                <w:ind w:left="0" w:right="0" w:firstLine="0"/>
                                <w:jc w:val="left"/>
                                <w:rPr>
                                  <w:rFonts w:ascii="Calibri"/>
                                  <w:sz w:val="20"/>
                                </w:rPr>
                              </w:pPr>
                              <w:r>
                                <w:rPr>
                                  <w:rFonts w:ascii="Calibri"/>
                                  <w:spacing w:val="-2"/>
                                  <w:sz w:val="20"/>
                                </w:rPr>
                                <w:t>15000000</w:t>
                              </w:r>
                            </w:p>
                            <w:p>
                              <w:pPr>
                                <w:spacing w:line="240" w:lineRule="auto" w:before="72"/>
                                <w:rPr>
                                  <w:rFonts w:ascii="Calibri"/>
                                  <w:sz w:val="20"/>
                                </w:rPr>
                              </w:pPr>
                            </w:p>
                            <w:p>
                              <w:pPr>
                                <w:spacing w:line="240" w:lineRule="exact" w:before="0"/>
                                <w:ind w:left="0" w:right="0" w:firstLine="0"/>
                                <w:jc w:val="left"/>
                                <w:rPr>
                                  <w:rFonts w:ascii="Calibri"/>
                                  <w:sz w:val="20"/>
                                </w:rPr>
                              </w:pPr>
                              <w:r>
                                <w:rPr>
                                  <w:rFonts w:ascii="Calibri"/>
                                  <w:spacing w:val="-2"/>
                                  <w:sz w:val="20"/>
                                </w:rPr>
                                <w:t>10000000</w:t>
                              </w:r>
                            </w:p>
                          </w:txbxContent>
                        </wps:txbx>
                        <wps:bodyPr wrap="square" lIns="0" tIns="0" rIns="0" bIns="0" rtlCol="0">
                          <a:noAutofit/>
                        </wps:bodyPr>
                      </wps:wsp>
                      <wps:wsp>
                        <wps:cNvPr id="408" name="Textbox 408"/>
                        <wps:cNvSpPr txBox="1"/>
                        <wps:spPr>
                          <a:xfrm>
                            <a:off x="4615053" y="1207769"/>
                            <a:ext cx="1216660" cy="509905"/>
                          </a:xfrm>
                          <a:prstGeom prst="rect">
                            <a:avLst/>
                          </a:prstGeom>
                        </wps:spPr>
                        <wps:txbx>
                          <w:txbxContent>
                            <w:p>
                              <w:pPr>
                                <w:spacing w:line="203" w:lineRule="exact" w:before="0"/>
                                <w:ind w:left="0" w:right="0" w:firstLine="0"/>
                                <w:jc w:val="left"/>
                                <w:rPr>
                                  <w:rFonts w:ascii="Calibri"/>
                                  <w:sz w:val="20"/>
                                </w:rPr>
                              </w:pPr>
                              <w:r>
                                <w:rPr>
                                  <w:rFonts w:ascii="Calibri"/>
                                  <w:sz w:val="20"/>
                                </w:rPr>
                                <w:t>Annual</w:t>
                              </w:r>
                              <w:r>
                                <w:rPr>
                                  <w:rFonts w:ascii="Calibri"/>
                                  <w:spacing w:val="-12"/>
                                  <w:sz w:val="20"/>
                                </w:rPr>
                                <w:t> </w:t>
                              </w:r>
                              <w:r>
                                <w:rPr>
                                  <w:rFonts w:ascii="Calibri"/>
                                  <w:sz w:val="20"/>
                                </w:rPr>
                                <w:t>Housing</w:t>
                              </w:r>
                              <w:r>
                                <w:rPr>
                                  <w:rFonts w:ascii="Calibri"/>
                                  <w:spacing w:val="-7"/>
                                  <w:sz w:val="20"/>
                                </w:rPr>
                                <w:t> </w:t>
                              </w:r>
                              <w:r>
                                <w:rPr>
                                  <w:rFonts w:ascii="Calibri"/>
                                  <w:spacing w:val="-2"/>
                                  <w:sz w:val="20"/>
                                </w:rPr>
                                <w:t>Budget</w:t>
                              </w:r>
                            </w:p>
                            <w:p>
                              <w:pPr>
                                <w:spacing w:before="0"/>
                                <w:ind w:left="0" w:right="0" w:firstLine="0"/>
                                <w:jc w:val="left"/>
                                <w:rPr>
                                  <w:rFonts w:ascii="Calibri"/>
                                  <w:sz w:val="20"/>
                                </w:rPr>
                              </w:pPr>
                              <w:r>
                                <w:rPr>
                                  <w:rFonts w:ascii="Calibri"/>
                                  <w:spacing w:val="-2"/>
                                  <w:sz w:val="20"/>
                                </w:rPr>
                                <w:t>Allocation</w:t>
                              </w:r>
                            </w:p>
                            <w:p>
                              <w:pPr>
                                <w:spacing w:line="240" w:lineRule="exact" w:before="115"/>
                                <w:ind w:left="0" w:right="0" w:firstLine="0"/>
                                <w:jc w:val="left"/>
                                <w:rPr>
                                  <w:rFonts w:ascii="Calibri"/>
                                  <w:sz w:val="20"/>
                                </w:rPr>
                              </w:pPr>
                              <w:r>
                                <w:rPr>
                                  <w:rFonts w:ascii="Calibri"/>
                                  <w:sz w:val="20"/>
                                </w:rPr>
                                <w:t>Annual</w:t>
                              </w:r>
                              <w:r>
                                <w:rPr>
                                  <w:rFonts w:ascii="Calibri"/>
                                  <w:spacing w:val="-10"/>
                                  <w:sz w:val="20"/>
                                </w:rPr>
                                <w:t> </w:t>
                              </w:r>
                              <w:r>
                                <w:rPr>
                                  <w:rFonts w:ascii="Calibri"/>
                                  <w:sz w:val="20"/>
                                </w:rPr>
                                <w:t>Total</w:t>
                              </w:r>
                              <w:r>
                                <w:rPr>
                                  <w:rFonts w:ascii="Calibri"/>
                                  <w:spacing w:val="-5"/>
                                  <w:sz w:val="20"/>
                                </w:rPr>
                                <w:t> </w:t>
                              </w:r>
                              <w:r>
                                <w:rPr>
                                  <w:rFonts w:ascii="Calibri"/>
                                  <w:spacing w:val="-2"/>
                                  <w:sz w:val="20"/>
                                </w:rPr>
                                <w:t>Revenue</w:t>
                              </w:r>
                            </w:p>
                          </w:txbxContent>
                        </wps:txbx>
                        <wps:bodyPr wrap="square" lIns="0" tIns="0" rIns="0" bIns="0" rtlCol="0">
                          <a:noAutofit/>
                        </wps:bodyPr>
                      </wps:wsp>
                      <wps:wsp>
                        <wps:cNvPr id="409" name="Textbox 409"/>
                        <wps:cNvSpPr txBox="1"/>
                        <wps:spPr>
                          <a:xfrm>
                            <a:off x="417068" y="1864995"/>
                            <a:ext cx="526415" cy="481965"/>
                          </a:xfrm>
                          <a:prstGeom prst="rect">
                            <a:avLst/>
                          </a:prstGeom>
                        </wps:spPr>
                        <wps:txbx>
                          <w:txbxContent>
                            <w:p>
                              <w:pPr>
                                <w:spacing w:line="203" w:lineRule="exact" w:before="0"/>
                                <w:ind w:left="0" w:right="20" w:firstLine="0"/>
                                <w:jc w:val="right"/>
                                <w:rPr>
                                  <w:rFonts w:ascii="Calibri"/>
                                  <w:sz w:val="20"/>
                                </w:rPr>
                              </w:pPr>
                              <w:r>
                                <w:rPr>
                                  <w:rFonts w:ascii="Calibri"/>
                                  <w:spacing w:val="-2"/>
                                  <w:sz w:val="20"/>
                                </w:rPr>
                                <w:t>50000000</w:t>
                              </w:r>
                            </w:p>
                            <w:p>
                              <w:pPr>
                                <w:spacing w:line="240" w:lineRule="auto" w:before="71"/>
                                <w:rPr>
                                  <w:rFonts w:ascii="Calibri"/>
                                  <w:sz w:val="20"/>
                                </w:rPr>
                              </w:pPr>
                            </w:p>
                            <w:p>
                              <w:pPr>
                                <w:spacing w:line="240" w:lineRule="exact" w:before="0"/>
                                <w:ind w:left="0" w:right="18" w:firstLine="0"/>
                                <w:jc w:val="right"/>
                                <w:rPr>
                                  <w:rFonts w:ascii="Calibri"/>
                                  <w:sz w:val="20"/>
                                </w:rPr>
                              </w:pPr>
                              <w:r>
                                <w:rPr>
                                  <w:rFonts w:ascii="Calibri"/>
                                  <w:spacing w:val="-10"/>
                                  <w:sz w:val="20"/>
                                </w:rPr>
                                <w:t>0</w:t>
                              </w:r>
                            </w:p>
                          </w:txbxContent>
                        </wps:txbx>
                        <wps:bodyPr wrap="square" lIns="0" tIns="0" rIns="0" bIns="0" rtlCol="0">
                          <a:noAutofit/>
                        </wps:bodyPr>
                      </wps:wsp>
                      <wps:wsp>
                        <wps:cNvPr id="410" name="Textbox 410"/>
                        <wps:cNvSpPr txBox="1"/>
                        <wps:spPr>
                          <a:xfrm>
                            <a:off x="2452877" y="2775711"/>
                            <a:ext cx="300990"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Years</w:t>
                              </w:r>
                            </w:p>
                          </w:txbxContent>
                        </wps:txbx>
                        <wps:bodyPr wrap="square" lIns="0" tIns="0" rIns="0" bIns="0" rtlCol="0">
                          <a:noAutofit/>
                        </wps:bodyPr>
                      </wps:wsp>
                    </wpg:wgp>
                  </a:graphicData>
                </a:graphic>
              </wp:anchor>
            </w:drawing>
          </mc:Choice>
          <mc:Fallback>
            <w:pict>
              <v:group style="position:absolute;margin-left:73pt;margin-top:-241.930084pt;width:469pt;height:241.7pt;mso-position-horizontal-relative:page;mso-position-vertical-relative:paragraph;z-index:15755776" id="docshapegroup310" coordorigin="1460,-4839" coordsize="9380,4834">
                <v:shape style="position:absolute;left:3112;top:-3487;width:4877;height:1678" id="docshape311" coordorigin="3113,-3487" coordsize="4877,1678" path="m3113,-1809l7990,-1809m3113,-2369l7990,-2369m3113,-2928l7990,-2928m3113,-3487l7990,-3487e" filled="false" stroked="true" strokeweight=".72pt" strokecolor="#858585">
                  <v:path arrowok="t"/>
                  <v:stroke dashstyle="solid"/>
                </v:shape>
                <v:shape style="position:absolute;left:3112;top:-4047;width:4877;height:2" id="docshape312" coordorigin="3113,-4046" coordsize="4877,0" path="m3113,-4046l7514,-4046m7654,-4046l7990,-4046e" filled="false" stroked="true" strokeweight=".72pt" strokecolor="#858585">
                  <v:path arrowok="t"/>
                  <v:stroke dashstyle="solid"/>
                </v:shape>
                <v:shape style="position:absolute;left:3048;top:-4606;width:4942;height:3356" id="docshape313" coordorigin="3048,-4605" coordsize="4942,3356" path="m3113,-4605l7990,-4605m3113,-1250l3113,-4605m3048,-1250l3113,-1250m3048,-1809l3113,-1809m3048,-2369l3113,-2369m3048,-2928l3113,-2928m3048,-3487l3113,-3487m3048,-4046l3113,-4046m3048,-4605l3113,-4605m3113,-1250l7990,-1250e" filled="false" stroked="true" strokeweight=".72pt" strokecolor="#858585">
                  <v:path arrowok="t"/>
                  <v:stroke dashstyle="solid"/>
                </v:shape>
                <v:shape style="position:absolute;left:3247;top:-1301;width:4608;height:48" id="docshape314" coordorigin="3247,-1301" coordsize="4608,48" path="m3247,-1253l3518,-1260,3790,-1301,4061,-1260,4332,-1274,4603,-1260,4874,-1267,5146,-1262,5417,-1267,5686,-1293,5957,-1284,6228,-1279,6499,-1279,6770,-1272,7042,-1267,7313,-1284,7584,-1289,7855,-1257e" filled="false" stroked="true" strokeweight="2.16pt" strokecolor="#497dba">
                  <v:path arrowok="t"/>
                  <v:stroke dashstyle="solid"/>
                </v:shape>
                <v:shape style="position:absolute;left:3170;top:-1329;width:155;height:156" type="#_x0000_t75" id="docshape315" stroked="false">
                  <v:imagedata r:id="rId121" o:title=""/>
                </v:shape>
                <v:shape style="position:absolute;left:3441;top:-1336;width:155;height:156" type="#_x0000_t75" id="docshape316" stroked="false">
                  <v:imagedata r:id="rId122" o:title=""/>
                </v:shape>
                <v:shape style="position:absolute;left:3712;top:-1378;width:155;height:156" type="#_x0000_t75" id="docshape317" stroked="false">
                  <v:imagedata r:id="rId123" o:title=""/>
                </v:shape>
                <v:shape style="position:absolute;left:3983;top:-1336;width:155;height:156" type="#_x0000_t75" id="docshape318" stroked="false">
                  <v:imagedata r:id="rId124" o:title=""/>
                </v:shape>
                <v:shape style="position:absolute;left:4254;top:-1350;width:155;height:156" type="#_x0000_t75" id="docshape319" stroked="false">
                  <v:imagedata r:id="rId124" o:title=""/>
                </v:shape>
                <v:shape style="position:absolute;left:4525;top:-1337;width:155;height:156" type="#_x0000_t75" id="docshape320" stroked="false">
                  <v:imagedata r:id="rId123" o:title=""/>
                </v:shape>
                <v:shape style="position:absolute;left:4796;top:-1345;width:155;height:156" type="#_x0000_t75" id="docshape321" stroked="false">
                  <v:imagedata r:id="rId121" o:title=""/>
                </v:shape>
                <v:shape style="position:absolute;left:5067;top:-1339;width:155;height:156" type="#_x0000_t75" id="docshape322" stroked="false">
                  <v:imagedata r:id="rId121" o:title=""/>
                </v:shape>
                <v:shape style="position:absolute;left:5338;top:-1345;width:155;height:156" type="#_x0000_t75" id="docshape323" stroked="false">
                  <v:imagedata r:id="rId121" o:title=""/>
                </v:shape>
                <v:shape style="position:absolute;left:5609;top:-1370;width:155;height:156" type="#_x0000_t75" id="docshape324" stroked="false">
                  <v:imagedata r:id="rId123" o:title=""/>
                </v:shape>
                <v:shape style="position:absolute;left:5880;top:-1361;width:155;height:155" type="#_x0000_t75" id="docshape325" stroked="false">
                  <v:imagedata r:id="rId125" o:title=""/>
                </v:shape>
                <v:shape style="position:absolute;left:6151;top:-1355;width:155;height:156" type="#_x0000_t75" id="docshape326" stroked="false">
                  <v:imagedata r:id="rId123" o:title=""/>
                </v:shape>
                <v:shape style="position:absolute;left:6422;top:-1355;width:155;height:155" type="#_x0000_t75" id="docshape327" stroked="false">
                  <v:imagedata r:id="rId125" o:title=""/>
                </v:shape>
                <v:shape style="position:absolute;left:6693;top:-1348;width:155;height:156" type="#_x0000_t75" id="docshape328" stroked="false">
                  <v:imagedata r:id="rId123" o:title=""/>
                </v:shape>
                <v:shape style="position:absolute;left:6964;top:-1343;width:155;height:156" type="#_x0000_t75" id="docshape329" stroked="false">
                  <v:imagedata r:id="rId122" o:title=""/>
                </v:shape>
                <v:shape style="position:absolute;left:7235;top:-1360;width:155;height:156" type="#_x0000_t75" id="docshape330" stroked="false">
                  <v:imagedata r:id="rId121" o:title=""/>
                </v:shape>
                <v:shape style="position:absolute;left:7506;top:-1365;width:155;height:156" type="#_x0000_t75" id="docshape331" stroked="false">
                  <v:imagedata r:id="rId122" o:title=""/>
                </v:shape>
                <v:shape style="position:absolute;left:7777;top:-1333;width:155;height:156" type="#_x0000_t75" id="docshape332" stroked="false">
                  <v:imagedata r:id="rId123" o:title=""/>
                </v:shape>
                <v:shape style="position:absolute;left:3247;top:-4435;width:4608;height:3101" id="docshape333" coordorigin="3247,-4435" coordsize="4608,3101" path="m3247,-1334l3518,-1581,3790,-1613,4061,-1706,4332,-1687,4603,-1721,4874,-1951,5146,-2016,5417,-2599,5686,-2544,5957,-2597,6228,-2436,6499,-2611,6770,-2863,7042,-3756,7313,-4435,7584,-4061,7855,-3093e" filled="false" stroked="true" strokeweight="2.16pt" strokecolor="#bd4a47">
                  <v:path arrowok="t"/>
                  <v:stroke dashstyle="solid"/>
                </v:shape>
                <v:rect style="position:absolute;left:3177;top:-1404;width:140;height:140" id="docshape334" filled="true" fillcolor="#c0504d" stroked="false">
                  <v:fill type="solid"/>
                </v:rect>
                <v:rect style="position:absolute;left:3177;top:-1404;width:140;height:140" id="docshape335" filled="false" stroked="true" strokeweight=".72pt" strokecolor="#bd4a47">
                  <v:stroke dashstyle="solid"/>
                </v:rect>
                <v:rect style="position:absolute;left:3448;top:-1654;width:140;height:142" id="docshape336" filled="true" fillcolor="#c0504d" stroked="false">
                  <v:fill type="solid"/>
                </v:rect>
                <v:rect style="position:absolute;left:3448;top:-1654;width:140;height:142" id="docshape337" filled="false" stroked="true" strokeweight=".72pt" strokecolor="#bd4a47">
                  <v:stroke dashstyle="solid"/>
                </v:rect>
                <v:rect style="position:absolute;left:3720;top:-1685;width:140;height:142" id="docshape338" filled="true" fillcolor="#c0504d" stroked="false">
                  <v:fill type="solid"/>
                </v:rect>
                <v:rect style="position:absolute;left:3720;top:-1685;width:140;height:142" id="docshape339" filled="false" stroked="true" strokeweight=".72pt" strokecolor="#bd4a47">
                  <v:stroke dashstyle="solid"/>
                </v:rect>
                <v:rect style="position:absolute;left:3991;top:-1776;width:140;height:140" id="docshape340" filled="true" fillcolor="#c0504d" stroked="false">
                  <v:fill type="solid"/>
                </v:rect>
                <v:rect style="position:absolute;left:3991;top:-1776;width:140;height:140" id="docshape341" filled="false" stroked="true" strokeweight=".72pt" strokecolor="#bd4a47">
                  <v:stroke dashstyle="solid"/>
                </v:rect>
                <v:rect style="position:absolute;left:4262;top:-1757;width:140;height:142" id="docshape342" filled="true" fillcolor="#c0504d" stroked="false">
                  <v:fill type="solid"/>
                </v:rect>
                <v:rect style="position:absolute;left:4262;top:-1757;width:140;height:142" id="docshape343" filled="false" stroked="true" strokeweight=".72pt" strokecolor="#bd4a47">
                  <v:stroke dashstyle="solid"/>
                </v:rect>
                <v:rect style="position:absolute;left:4533;top:-1791;width:140;height:140" id="docshape344" filled="true" fillcolor="#c0504d" stroked="false">
                  <v:fill type="solid"/>
                </v:rect>
                <v:rect style="position:absolute;left:4533;top:-1791;width:140;height:140" id="docshape345" filled="false" stroked="true" strokeweight=".72pt" strokecolor="#bd4a47">
                  <v:stroke dashstyle="solid"/>
                </v:rect>
                <v:rect style="position:absolute;left:4804;top:-2021;width:140;height:140" id="docshape346" filled="true" fillcolor="#c0504d" stroked="false">
                  <v:fill type="solid"/>
                </v:rect>
                <v:rect style="position:absolute;left:4804;top:-2021;width:140;height:140" id="docshape347" filled="false" stroked="true" strokeweight=".72pt" strokecolor="#bd4a47">
                  <v:stroke dashstyle="solid"/>
                </v:rect>
                <v:rect style="position:absolute;left:5073;top:-2088;width:142;height:142" id="docshape348" filled="true" fillcolor="#c0504d" stroked="false">
                  <v:fill type="solid"/>
                </v:rect>
                <v:rect style="position:absolute;left:5073;top:-2088;width:142;height:142" id="docshape349" filled="false" stroked="true" strokeweight=".72pt" strokecolor="#bd4a47">
                  <v:stroke dashstyle="solid"/>
                </v:rect>
                <v:rect style="position:absolute;left:5344;top:-2669;width:142;height:140" id="docshape350" filled="true" fillcolor="#c0504d" stroked="false">
                  <v:fill type="solid"/>
                </v:rect>
                <v:rect style="position:absolute;left:5344;top:-2669;width:142;height:140" id="docshape351" filled="false" stroked="true" strokeweight=".72pt" strokecolor="#bd4a47">
                  <v:stroke dashstyle="solid"/>
                </v:rect>
                <v:rect style="position:absolute;left:5616;top:-2614;width:142;height:140" id="docshape352" filled="true" fillcolor="#c0504d" stroked="false">
                  <v:fill type="solid"/>
                </v:rect>
                <v:rect style="position:absolute;left:5616;top:-2614;width:142;height:140" id="docshape353" filled="false" stroked="true" strokeweight=".72pt" strokecolor="#bd4a47">
                  <v:stroke dashstyle="solid"/>
                </v:rect>
                <v:rect style="position:absolute;left:5887;top:-2667;width:142;height:142" id="docshape354" filled="true" fillcolor="#c0504d" stroked="false">
                  <v:fill type="solid"/>
                </v:rect>
                <v:rect style="position:absolute;left:5887;top:-2667;width:142;height:142" id="docshape355" filled="false" stroked="true" strokeweight=".72pt" strokecolor="#bd4a47">
                  <v:stroke dashstyle="solid"/>
                </v:rect>
                <v:rect style="position:absolute;left:6158;top:-2506;width:140;height:140" id="docshape356" filled="true" fillcolor="#c0504d" stroked="false">
                  <v:fill type="solid"/>
                </v:rect>
                <v:rect style="position:absolute;left:6158;top:-2506;width:140;height:140" id="docshape357" filled="false" stroked="true" strokeweight=".72pt" strokecolor="#bd4a47">
                  <v:stroke dashstyle="solid"/>
                </v:rect>
                <v:rect style="position:absolute;left:6429;top:-2681;width:140;height:140" id="docshape358" filled="true" fillcolor="#c0504d" stroked="false">
                  <v:fill type="solid"/>
                </v:rect>
                <v:rect style="position:absolute;left:6429;top:-2681;width:140;height:140" id="docshape359" filled="false" stroked="true" strokeweight=".72pt" strokecolor="#bd4a47">
                  <v:stroke dashstyle="solid"/>
                </v:rect>
                <v:rect style="position:absolute;left:6700;top:-2933;width:140;height:142" id="docshape360" filled="true" fillcolor="#c0504d" stroked="false">
                  <v:fill type="solid"/>
                </v:rect>
                <v:rect style="position:absolute;left:6700;top:-2933;width:140;height:142" id="docshape361" filled="false" stroked="true" strokeweight=".72pt" strokecolor="#bd4a47">
                  <v:stroke dashstyle="solid"/>
                </v:rect>
                <v:rect style="position:absolute;left:6972;top:-3826;width:140;height:140" id="docshape362" filled="true" fillcolor="#c0504d" stroked="false">
                  <v:fill type="solid"/>
                </v:rect>
                <v:rect style="position:absolute;left:6972;top:-3826;width:140;height:140" id="docshape363" filled="false" stroked="true" strokeweight=".72pt" strokecolor="#bd4a47">
                  <v:stroke dashstyle="solid"/>
                </v:rect>
                <v:rect style="position:absolute;left:7243;top:-4505;width:140;height:140" id="docshape364" filled="true" fillcolor="#c0504d" stroked="false">
                  <v:fill type="solid"/>
                </v:rect>
                <v:rect style="position:absolute;left:7243;top:-4505;width:140;height:140" id="docshape365" filled="false" stroked="true" strokeweight=".72pt" strokecolor="#bd4a47">
                  <v:stroke dashstyle="solid"/>
                </v:rect>
                <v:rect style="position:absolute;left:7514;top:-4131;width:140;height:142" id="docshape366" filled="true" fillcolor="#c0504d" stroked="false">
                  <v:fill type="solid"/>
                </v:rect>
                <v:rect style="position:absolute;left:7514;top:-4131;width:140;height:142" id="docshape367" filled="false" stroked="true" strokeweight=".72pt" strokecolor="#bd4a47">
                  <v:stroke dashstyle="solid"/>
                </v:rect>
                <v:rect style="position:absolute;left:7785;top:-3163;width:140;height:140" id="docshape368" filled="true" fillcolor="#c0504d" stroked="false">
                  <v:fill type="solid"/>
                </v:rect>
                <v:rect style="position:absolute;left:7785;top:-3163;width:140;height:140" id="docshape369" filled="false" stroked="true" strokeweight=".72pt" strokecolor="#bd4a47">
                  <v:stroke dashstyle="solid"/>
                </v:rect>
                <v:shape style="position:absolute;left:1840;top:-3938;width:58;height:132" id="docshape370" coordorigin="1840,-3938" coordsize="58,132" path="m1859,-3938l1840,-3938,1840,-3806,1859,-3806,1859,-3938xm1898,-3938l1878,-3938,1878,-3806,1898,-3806,1898,-3938xe" filled="true" fillcolor="#000000" stroked="false">
                  <v:path arrowok="t"/>
                  <v:fill type="solid"/>
                </v:shape>
                <v:shape style="position:absolute;left:8304;top:-2911;width:384;height:135" type="#_x0000_t75" id="docshape371" stroked="false">
                  <v:imagedata r:id="rId126" o:title=""/>
                </v:shape>
                <v:line style="position:absolute" from="8304,-2241" to="8688,-2241" stroked="true" strokeweight="1.92pt" strokecolor="#bd4a47">
                  <v:stroke dashstyle="solid"/>
                </v:line>
                <v:rect style="position:absolute;left:8436;top:-2302;width:120;height:120" id="docshape372" filled="true" fillcolor="#c0504d" stroked="false">
                  <v:fill type="solid"/>
                </v:rect>
                <v:rect style="position:absolute;left:8436;top:-2302;width:120;height:120" id="docshape373" filled="false" stroked="true" strokeweight=".72pt" strokecolor="#bd4a47">
                  <v:stroke dashstyle="solid"/>
                </v:rect>
                <v:rect style="position:absolute;left:1470;top:-4829;width:9360;height:4814" id="docshape374" filled="false" stroked="true" strokeweight="1pt" strokecolor="#858585">
                  <v:stroke dashstyle="solid"/>
                </v:rect>
                <v:shape style="position:absolute;left:2116;top:-4700;width:827;height:2438" type="#_x0000_t202" id="docshape375" filled="false" stroked="false">
                  <v:textbox inset="0,0,0,0">
                    <w:txbxContent>
                      <w:p>
                        <w:pPr>
                          <w:spacing w:line="203" w:lineRule="exact" w:before="0"/>
                          <w:ind w:left="0" w:right="0" w:firstLine="0"/>
                          <w:jc w:val="left"/>
                          <w:rPr>
                            <w:rFonts w:ascii="Calibri"/>
                            <w:sz w:val="20"/>
                          </w:rPr>
                        </w:pPr>
                        <w:r>
                          <w:rPr>
                            <w:rFonts w:ascii="Calibri"/>
                            <w:spacing w:val="-2"/>
                            <w:sz w:val="20"/>
                          </w:rPr>
                          <w:t>30000000</w:t>
                        </w:r>
                      </w:p>
                      <w:p>
                        <w:pPr>
                          <w:spacing w:line="240" w:lineRule="auto" w:before="71"/>
                          <w:rPr>
                            <w:rFonts w:ascii="Calibri"/>
                            <w:sz w:val="20"/>
                          </w:rPr>
                        </w:pPr>
                      </w:p>
                      <w:p>
                        <w:pPr>
                          <w:spacing w:before="0"/>
                          <w:ind w:left="0" w:right="0" w:firstLine="0"/>
                          <w:jc w:val="left"/>
                          <w:rPr>
                            <w:rFonts w:ascii="Calibri"/>
                            <w:sz w:val="20"/>
                          </w:rPr>
                        </w:pPr>
                        <w:r>
                          <w:rPr>
                            <w:rFonts w:ascii="Calibri"/>
                            <w:spacing w:val="-2"/>
                            <w:sz w:val="20"/>
                          </w:rPr>
                          <w:t>25000000</w:t>
                        </w:r>
                      </w:p>
                      <w:p>
                        <w:pPr>
                          <w:spacing w:line="240" w:lineRule="auto" w:before="71"/>
                          <w:rPr>
                            <w:rFonts w:ascii="Calibri"/>
                            <w:sz w:val="20"/>
                          </w:rPr>
                        </w:pPr>
                      </w:p>
                      <w:p>
                        <w:pPr>
                          <w:spacing w:before="0"/>
                          <w:ind w:left="0" w:right="0" w:firstLine="0"/>
                          <w:jc w:val="left"/>
                          <w:rPr>
                            <w:rFonts w:ascii="Calibri"/>
                            <w:sz w:val="20"/>
                          </w:rPr>
                        </w:pPr>
                        <w:r>
                          <w:rPr>
                            <w:rFonts w:ascii="Calibri"/>
                            <w:spacing w:val="-2"/>
                            <w:sz w:val="20"/>
                          </w:rPr>
                          <w:t>20000000</w:t>
                        </w:r>
                      </w:p>
                      <w:p>
                        <w:pPr>
                          <w:spacing w:line="240" w:lineRule="auto" w:before="71"/>
                          <w:rPr>
                            <w:rFonts w:ascii="Calibri"/>
                            <w:sz w:val="20"/>
                          </w:rPr>
                        </w:pPr>
                      </w:p>
                      <w:p>
                        <w:pPr>
                          <w:spacing w:before="0"/>
                          <w:ind w:left="0" w:right="0" w:firstLine="0"/>
                          <w:jc w:val="left"/>
                          <w:rPr>
                            <w:rFonts w:ascii="Calibri"/>
                            <w:sz w:val="20"/>
                          </w:rPr>
                        </w:pPr>
                        <w:r>
                          <w:rPr>
                            <w:rFonts w:ascii="Calibri"/>
                            <w:spacing w:val="-2"/>
                            <w:sz w:val="20"/>
                          </w:rPr>
                          <w:t>15000000</w:t>
                        </w:r>
                      </w:p>
                      <w:p>
                        <w:pPr>
                          <w:spacing w:line="240" w:lineRule="auto" w:before="72"/>
                          <w:rPr>
                            <w:rFonts w:ascii="Calibri"/>
                            <w:sz w:val="20"/>
                          </w:rPr>
                        </w:pPr>
                      </w:p>
                      <w:p>
                        <w:pPr>
                          <w:spacing w:line="240" w:lineRule="exact" w:before="0"/>
                          <w:ind w:left="0" w:right="0" w:firstLine="0"/>
                          <w:jc w:val="left"/>
                          <w:rPr>
                            <w:rFonts w:ascii="Calibri"/>
                            <w:sz w:val="20"/>
                          </w:rPr>
                        </w:pPr>
                        <w:r>
                          <w:rPr>
                            <w:rFonts w:ascii="Calibri"/>
                            <w:spacing w:val="-2"/>
                            <w:sz w:val="20"/>
                          </w:rPr>
                          <w:t>10000000</w:t>
                        </w:r>
                      </w:p>
                    </w:txbxContent>
                  </v:textbox>
                  <w10:wrap type="none"/>
                </v:shape>
                <v:shape style="position:absolute;left:8727;top:-2937;width:1916;height:803" type="#_x0000_t202" id="docshape376" filled="false" stroked="false">
                  <v:textbox inset="0,0,0,0">
                    <w:txbxContent>
                      <w:p>
                        <w:pPr>
                          <w:spacing w:line="203" w:lineRule="exact" w:before="0"/>
                          <w:ind w:left="0" w:right="0" w:firstLine="0"/>
                          <w:jc w:val="left"/>
                          <w:rPr>
                            <w:rFonts w:ascii="Calibri"/>
                            <w:sz w:val="20"/>
                          </w:rPr>
                        </w:pPr>
                        <w:r>
                          <w:rPr>
                            <w:rFonts w:ascii="Calibri"/>
                            <w:sz w:val="20"/>
                          </w:rPr>
                          <w:t>Annual</w:t>
                        </w:r>
                        <w:r>
                          <w:rPr>
                            <w:rFonts w:ascii="Calibri"/>
                            <w:spacing w:val="-12"/>
                            <w:sz w:val="20"/>
                          </w:rPr>
                          <w:t> </w:t>
                        </w:r>
                        <w:r>
                          <w:rPr>
                            <w:rFonts w:ascii="Calibri"/>
                            <w:sz w:val="20"/>
                          </w:rPr>
                          <w:t>Housing</w:t>
                        </w:r>
                        <w:r>
                          <w:rPr>
                            <w:rFonts w:ascii="Calibri"/>
                            <w:spacing w:val="-7"/>
                            <w:sz w:val="20"/>
                          </w:rPr>
                          <w:t> </w:t>
                        </w:r>
                        <w:r>
                          <w:rPr>
                            <w:rFonts w:ascii="Calibri"/>
                            <w:spacing w:val="-2"/>
                            <w:sz w:val="20"/>
                          </w:rPr>
                          <w:t>Budget</w:t>
                        </w:r>
                      </w:p>
                      <w:p>
                        <w:pPr>
                          <w:spacing w:before="0"/>
                          <w:ind w:left="0" w:right="0" w:firstLine="0"/>
                          <w:jc w:val="left"/>
                          <w:rPr>
                            <w:rFonts w:ascii="Calibri"/>
                            <w:sz w:val="20"/>
                          </w:rPr>
                        </w:pPr>
                        <w:r>
                          <w:rPr>
                            <w:rFonts w:ascii="Calibri"/>
                            <w:spacing w:val="-2"/>
                            <w:sz w:val="20"/>
                          </w:rPr>
                          <w:t>Allocation</w:t>
                        </w:r>
                      </w:p>
                      <w:p>
                        <w:pPr>
                          <w:spacing w:line="240" w:lineRule="exact" w:before="115"/>
                          <w:ind w:left="0" w:right="0" w:firstLine="0"/>
                          <w:jc w:val="left"/>
                          <w:rPr>
                            <w:rFonts w:ascii="Calibri"/>
                            <w:sz w:val="20"/>
                          </w:rPr>
                        </w:pPr>
                        <w:r>
                          <w:rPr>
                            <w:rFonts w:ascii="Calibri"/>
                            <w:sz w:val="20"/>
                          </w:rPr>
                          <w:t>Annual</w:t>
                        </w:r>
                        <w:r>
                          <w:rPr>
                            <w:rFonts w:ascii="Calibri"/>
                            <w:spacing w:val="-10"/>
                            <w:sz w:val="20"/>
                          </w:rPr>
                          <w:t> </w:t>
                        </w:r>
                        <w:r>
                          <w:rPr>
                            <w:rFonts w:ascii="Calibri"/>
                            <w:sz w:val="20"/>
                          </w:rPr>
                          <w:t>Total</w:t>
                        </w:r>
                        <w:r>
                          <w:rPr>
                            <w:rFonts w:ascii="Calibri"/>
                            <w:spacing w:val="-5"/>
                            <w:sz w:val="20"/>
                          </w:rPr>
                          <w:t> </w:t>
                        </w:r>
                        <w:r>
                          <w:rPr>
                            <w:rFonts w:ascii="Calibri"/>
                            <w:spacing w:val="-2"/>
                            <w:sz w:val="20"/>
                          </w:rPr>
                          <w:t>Revenue</w:t>
                        </w:r>
                      </w:p>
                    </w:txbxContent>
                  </v:textbox>
                  <w10:wrap type="none"/>
                </v:shape>
                <v:shape style="position:absolute;left:2116;top:-1902;width:829;height:759" type="#_x0000_t202" id="docshape377" filled="false" stroked="false">
                  <v:textbox inset="0,0,0,0">
                    <w:txbxContent>
                      <w:p>
                        <w:pPr>
                          <w:spacing w:line="203" w:lineRule="exact" w:before="0"/>
                          <w:ind w:left="0" w:right="20" w:firstLine="0"/>
                          <w:jc w:val="right"/>
                          <w:rPr>
                            <w:rFonts w:ascii="Calibri"/>
                            <w:sz w:val="20"/>
                          </w:rPr>
                        </w:pPr>
                        <w:r>
                          <w:rPr>
                            <w:rFonts w:ascii="Calibri"/>
                            <w:spacing w:val="-2"/>
                            <w:sz w:val="20"/>
                          </w:rPr>
                          <w:t>50000000</w:t>
                        </w:r>
                      </w:p>
                      <w:p>
                        <w:pPr>
                          <w:spacing w:line="240" w:lineRule="auto" w:before="71"/>
                          <w:rPr>
                            <w:rFonts w:ascii="Calibri"/>
                            <w:sz w:val="20"/>
                          </w:rPr>
                        </w:pPr>
                      </w:p>
                      <w:p>
                        <w:pPr>
                          <w:spacing w:line="240" w:lineRule="exact" w:before="0"/>
                          <w:ind w:left="0" w:right="18" w:firstLine="0"/>
                          <w:jc w:val="right"/>
                          <w:rPr>
                            <w:rFonts w:ascii="Calibri"/>
                            <w:sz w:val="20"/>
                          </w:rPr>
                        </w:pPr>
                        <w:r>
                          <w:rPr>
                            <w:rFonts w:ascii="Calibri"/>
                            <w:spacing w:val="-10"/>
                            <w:sz w:val="20"/>
                          </w:rPr>
                          <w:t>0</w:t>
                        </w:r>
                      </w:p>
                    </w:txbxContent>
                  </v:textbox>
                  <w10:wrap type="none"/>
                </v:shape>
                <v:shape style="position:absolute;left:5322;top:-468;width:474;height:200" type="#_x0000_t202" id="docshape378" filled="false" stroked="false">
                  <v:textbox inset="0,0,0,0">
                    <w:txbxContent>
                      <w:p>
                        <w:pPr>
                          <w:spacing w:line="199" w:lineRule="exact" w:before="0"/>
                          <w:ind w:left="0" w:right="0" w:firstLine="0"/>
                          <w:jc w:val="left"/>
                          <w:rPr>
                            <w:rFonts w:ascii="Calibri"/>
                            <w:b/>
                            <w:sz w:val="20"/>
                          </w:rPr>
                        </w:pPr>
                        <w:r>
                          <w:rPr>
                            <w:rFonts w:ascii="Calibri"/>
                            <w:b/>
                            <w:spacing w:val="-2"/>
                            <w:sz w:val="20"/>
                          </w:rPr>
                          <w:t>Years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7312">
                <wp:simplePos x="0" y="0"/>
                <wp:positionH relativeFrom="page">
                  <wp:posOffset>1105230</wp:posOffset>
                </wp:positionH>
                <wp:positionV relativeFrom="paragraph">
                  <wp:posOffset>-2774149</wp:posOffset>
                </wp:positionV>
                <wp:extent cx="152400" cy="1830705"/>
                <wp:effectExtent l="0" t="0" r="0" b="0"/>
                <wp:wrapNone/>
                <wp:docPr id="411" name="Textbox 411"/>
                <wp:cNvGraphicFramePr>
                  <a:graphicFrameLocks/>
                </wp:cNvGraphicFramePr>
                <a:graphic>
                  <a:graphicData uri="http://schemas.microsoft.com/office/word/2010/wordprocessingShape">
                    <wps:wsp>
                      <wps:cNvPr id="411" name="Textbox 411"/>
                      <wps:cNvSpPr txBox="1"/>
                      <wps:spPr>
                        <a:xfrm>
                          <a:off x="0" y="0"/>
                          <a:ext cx="152400" cy="1830705"/>
                        </a:xfrm>
                        <a:prstGeom prst="rect">
                          <a:avLst/>
                        </a:prstGeom>
                      </wps:spPr>
                      <wps:txbx>
                        <w:txbxContent>
                          <w:p>
                            <w:pPr>
                              <w:spacing w:line="223" w:lineRule="exact" w:before="0"/>
                              <w:ind w:left="20" w:right="0" w:firstLine="0"/>
                              <w:jc w:val="left"/>
                              <w:rPr>
                                <w:rFonts w:ascii="Calibri"/>
                                <w:b/>
                                <w:sz w:val="20"/>
                              </w:rPr>
                            </w:pPr>
                            <w:r>
                              <w:rPr>
                                <w:rFonts w:ascii="Calibri"/>
                                <w:b/>
                                <w:sz w:val="20"/>
                              </w:rPr>
                              <w:t>Annual</w:t>
                            </w:r>
                            <w:r>
                              <w:rPr>
                                <w:rFonts w:ascii="Calibri"/>
                                <w:b/>
                                <w:spacing w:val="-11"/>
                                <w:sz w:val="20"/>
                              </w:rPr>
                              <w:t> </w:t>
                            </w:r>
                            <w:r>
                              <w:rPr>
                                <w:rFonts w:ascii="Calibri"/>
                                <w:b/>
                                <w:sz w:val="20"/>
                              </w:rPr>
                              <w:t>Budget</w:t>
                            </w:r>
                            <w:r>
                              <w:rPr>
                                <w:rFonts w:ascii="Calibri"/>
                                <w:b/>
                                <w:spacing w:val="-11"/>
                                <w:sz w:val="20"/>
                              </w:rPr>
                              <w:t> </w:t>
                            </w:r>
                            <w:r>
                              <w:rPr>
                                <w:rFonts w:ascii="Calibri"/>
                                <w:b/>
                                <w:sz w:val="20"/>
                              </w:rPr>
                              <w:t>Allocations</w:t>
                            </w:r>
                            <w:r>
                              <w:rPr>
                                <w:rFonts w:ascii="Calibri"/>
                                <w:b/>
                                <w:spacing w:val="-7"/>
                                <w:sz w:val="20"/>
                              </w:rPr>
                              <w:t> </w:t>
                            </w:r>
                            <w:r>
                              <w:rPr>
                                <w:rFonts w:ascii="Calibri"/>
                                <w:b/>
                                <w:spacing w:val="-2"/>
                                <w:sz w:val="20"/>
                              </w:rPr>
                              <w:t>(N'000)</w:t>
                            </w:r>
                          </w:p>
                        </w:txbxContent>
                      </wps:txbx>
                      <wps:bodyPr wrap="square" lIns="0" tIns="0" rIns="0" bIns="0" rtlCol="0" vert="vert270">
                        <a:noAutofit/>
                      </wps:bodyPr>
                    </wps:wsp>
                  </a:graphicData>
                </a:graphic>
              </wp:anchor>
            </w:drawing>
          </mc:Choice>
          <mc:Fallback>
            <w:pict>
              <v:shape style="position:absolute;margin-left:87.026001pt;margin-top:-218.436935pt;width:12pt;height:144.15pt;mso-position-horizontal-relative:page;mso-position-vertical-relative:paragraph;z-index:15757312" type="#_x0000_t202" id="docshape379"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z w:val="20"/>
                        </w:rPr>
                        <w:t>Annual</w:t>
                      </w:r>
                      <w:r>
                        <w:rPr>
                          <w:rFonts w:ascii="Calibri"/>
                          <w:b/>
                          <w:spacing w:val="-11"/>
                          <w:sz w:val="20"/>
                        </w:rPr>
                        <w:t> </w:t>
                      </w:r>
                      <w:r>
                        <w:rPr>
                          <w:rFonts w:ascii="Calibri"/>
                          <w:b/>
                          <w:sz w:val="20"/>
                        </w:rPr>
                        <w:t>Budget</w:t>
                      </w:r>
                      <w:r>
                        <w:rPr>
                          <w:rFonts w:ascii="Calibri"/>
                          <w:b/>
                          <w:spacing w:val="-11"/>
                          <w:sz w:val="20"/>
                        </w:rPr>
                        <w:t> </w:t>
                      </w:r>
                      <w:r>
                        <w:rPr>
                          <w:rFonts w:ascii="Calibri"/>
                          <w:b/>
                          <w:sz w:val="20"/>
                        </w:rPr>
                        <w:t>Allocations</w:t>
                      </w:r>
                      <w:r>
                        <w:rPr>
                          <w:rFonts w:ascii="Calibri"/>
                          <w:b/>
                          <w:spacing w:val="-7"/>
                          <w:sz w:val="20"/>
                        </w:rPr>
                        <w:t> </w:t>
                      </w:r>
                      <w:r>
                        <w:rPr>
                          <w:rFonts w:ascii="Calibri"/>
                          <w:b/>
                          <w:spacing w:val="-2"/>
                          <w:sz w:val="20"/>
                        </w:rPr>
                        <w:t>(N'000)</w:t>
                      </w:r>
                    </w:p>
                  </w:txbxContent>
                </v:textbox>
                <w10:wrap type="none"/>
              </v:shape>
            </w:pict>
          </mc:Fallback>
        </mc:AlternateContent>
      </w:r>
      <w:r>
        <w:rPr/>
        <mc:AlternateContent>
          <mc:Choice Requires="wps">
            <w:drawing>
              <wp:anchor distT="0" distB="0" distL="0" distR="0" allowOverlap="1" layoutInCell="1" locked="0" behindDoc="0" simplePos="0" relativeHeight="15757824">
                <wp:simplePos x="0" y="0"/>
                <wp:positionH relativeFrom="page">
                  <wp:posOffset>1997075</wp:posOffset>
                </wp:positionH>
                <wp:positionV relativeFrom="paragraph">
                  <wp:posOffset>-686436</wp:posOffset>
                </wp:positionV>
                <wp:extent cx="3078480" cy="281940"/>
                <wp:effectExtent l="0" t="0" r="0" b="0"/>
                <wp:wrapNone/>
                <wp:docPr id="412" name="Textbox 412"/>
                <wp:cNvGraphicFramePr>
                  <a:graphicFrameLocks/>
                </wp:cNvGraphicFramePr>
                <a:graphic>
                  <a:graphicData uri="http://schemas.microsoft.com/office/word/2010/wordprocessingShape">
                    <wps:wsp>
                      <wps:cNvPr id="412" name="Textbox 412"/>
                      <wps:cNvSpPr txBox="1"/>
                      <wps:spPr>
                        <a:xfrm>
                          <a:off x="0" y="0"/>
                          <a:ext cx="3078480" cy="281940"/>
                        </a:xfrm>
                        <a:prstGeom prst="rect">
                          <a:avLst/>
                        </a:prstGeom>
                      </wps:spPr>
                      <wps:txbx>
                        <w:txbxContent>
                          <w:p>
                            <w:pPr>
                              <w:spacing w:line="223" w:lineRule="exact" w:before="0"/>
                              <w:ind w:left="20" w:right="0" w:firstLine="0"/>
                              <w:jc w:val="left"/>
                              <w:rPr>
                                <w:rFonts w:ascii="Calibri"/>
                                <w:sz w:val="20"/>
                              </w:rPr>
                            </w:pPr>
                            <w:r>
                              <w:rPr>
                                <w:rFonts w:ascii="Calibri"/>
                                <w:spacing w:val="-4"/>
                                <w:sz w:val="20"/>
                              </w:rPr>
                              <w:t>1999</w:t>
                            </w:r>
                          </w:p>
                          <w:p>
                            <w:pPr>
                              <w:spacing w:before="27"/>
                              <w:ind w:left="20" w:right="0" w:firstLine="0"/>
                              <w:jc w:val="left"/>
                              <w:rPr>
                                <w:rFonts w:ascii="Calibri"/>
                                <w:sz w:val="20"/>
                              </w:rPr>
                            </w:pPr>
                            <w:r>
                              <w:rPr>
                                <w:rFonts w:ascii="Calibri"/>
                                <w:spacing w:val="-4"/>
                                <w:sz w:val="20"/>
                              </w:rPr>
                              <w:t>2000</w:t>
                            </w:r>
                          </w:p>
                          <w:p>
                            <w:pPr>
                              <w:spacing w:before="27"/>
                              <w:ind w:left="20" w:right="0" w:firstLine="0"/>
                              <w:jc w:val="left"/>
                              <w:rPr>
                                <w:rFonts w:ascii="Calibri"/>
                                <w:sz w:val="20"/>
                              </w:rPr>
                            </w:pPr>
                            <w:r>
                              <w:rPr>
                                <w:rFonts w:ascii="Calibri"/>
                                <w:spacing w:val="-4"/>
                                <w:sz w:val="20"/>
                              </w:rPr>
                              <w:t>2001</w:t>
                            </w:r>
                          </w:p>
                          <w:p>
                            <w:pPr>
                              <w:spacing w:before="26"/>
                              <w:ind w:left="20" w:right="0" w:firstLine="0"/>
                              <w:jc w:val="left"/>
                              <w:rPr>
                                <w:rFonts w:ascii="Calibri"/>
                                <w:sz w:val="20"/>
                              </w:rPr>
                            </w:pPr>
                            <w:r>
                              <w:rPr>
                                <w:rFonts w:ascii="Calibri"/>
                                <w:spacing w:val="-4"/>
                                <w:sz w:val="20"/>
                              </w:rPr>
                              <w:t>2002</w:t>
                            </w:r>
                          </w:p>
                          <w:p>
                            <w:pPr>
                              <w:spacing w:before="28"/>
                              <w:ind w:left="20" w:right="0" w:firstLine="0"/>
                              <w:jc w:val="left"/>
                              <w:rPr>
                                <w:rFonts w:ascii="Calibri"/>
                                <w:sz w:val="20"/>
                              </w:rPr>
                            </w:pPr>
                            <w:r>
                              <w:rPr>
                                <w:rFonts w:ascii="Calibri"/>
                                <w:spacing w:val="-4"/>
                                <w:sz w:val="20"/>
                              </w:rPr>
                              <w:t>2003</w:t>
                            </w:r>
                          </w:p>
                          <w:p>
                            <w:pPr>
                              <w:spacing w:before="27"/>
                              <w:ind w:left="20" w:right="0" w:firstLine="0"/>
                              <w:jc w:val="left"/>
                              <w:rPr>
                                <w:rFonts w:ascii="Calibri"/>
                                <w:sz w:val="20"/>
                              </w:rPr>
                            </w:pPr>
                            <w:r>
                              <w:rPr>
                                <w:rFonts w:ascii="Calibri"/>
                                <w:spacing w:val="-4"/>
                                <w:sz w:val="20"/>
                              </w:rPr>
                              <w:t>2004</w:t>
                            </w:r>
                          </w:p>
                          <w:p>
                            <w:pPr>
                              <w:spacing w:before="26"/>
                              <w:ind w:left="20" w:right="0" w:firstLine="0"/>
                              <w:jc w:val="left"/>
                              <w:rPr>
                                <w:rFonts w:ascii="Calibri"/>
                                <w:sz w:val="20"/>
                              </w:rPr>
                            </w:pPr>
                            <w:r>
                              <w:rPr>
                                <w:rFonts w:ascii="Calibri"/>
                                <w:spacing w:val="-4"/>
                                <w:sz w:val="20"/>
                              </w:rPr>
                              <w:t>2005</w:t>
                            </w:r>
                          </w:p>
                          <w:p>
                            <w:pPr>
                              <w:spacing w:before="27"/>
                              <w:ind w:left="20" w:right="0" w:firstLine="0"/>
                              <w:jc w:val="left"/>
                              <w:rPr>
                                <w:rFonts w:ascii="Calibri"/>
                                <w:sz w:val="20"/>
                              </w:rPr>
                            </w:pPr>
                            <w:r>
                              <w:rPr>
                                <w:rFonts w:ascii="Calibri"/>
                                <w:spacing w:val="-4"/>
                                <w:sz w:val="20"/>
                              </w:rPr>
                              <w:t>2006</w:t>
                            </w:r>
                          </w:p>
                          <w:p>
                            <w:pPr>
                              <w:spacing w:before="27"/>
                              <w:ind w:left="20" w:right="0" w:firstLine="0"/>
                              <w:jc w:val="left"/>
                              <w:rPr>
                                <w:rFonts w:ascii="Calibri"/>
                                <w:sz w:val="20"/>
                              </w:rPr>
                            </w:pPr>
                            <w:r>
                              <w:rPr>
                                <w:rFonts w:ascii="Calibri"/>
                                <w:spacing w:val="-4"/>
                                <w:sz w:val="20"/>
                              </w:rPr>
                              <w:t>2007</w:t>
                            </w:r>
                          </w:p>
                          <w:p>
                            <w:pPr>
                              <w:spacing w:before="27"/>
                              <w:ind w:left="20" w:right="0" w:firstLine="0"/>
                              <w:jc w:val="left"/>
                              <w:rPr>
                                <w:rFonts w:ascii="Calibri"/>
                                <w:sz w:val="20"/>
                              </w:rPr>
                            </w:pPr>
                            <w:r>
                              <w:rPr>
                                <w:rFonts w:ascii="Calibri"/>
                                <w:spacing w:val="-4"/>
                                <w:sz w:val="20"/>
                              </w:rPr>
                              <w:t>2008</w:t>
                            </w:r>
                          </w:p>
                          <w:p>
                            <w:pPr>
                              <w:spacing w:before="27"/>
                              <w:ind w:left="20" w:right="0" w:firstLine="0"/>
                              <w:jc w:val="left"/>
                              <w:rPr>
                                <w:rFonts w:ascii="Calibri"/>
                                <w:sz w:val="20"/>
                              </w:rPr>
                            </w:pPr>
                            <w:r>
                              <w:rPr>
                                <w:rFonts w:ascii="Calibri"/>
                                <w:spacing w:val="-4"/>
                                <w:sz w:val="20"/>
                              </w:rPr>
                              <w:t>2009</w:t>
                            </w:r>
                          </w:p>
                          <w:p>
                            <w:pPr>
                              <w:spacing w:before="27"/>
                              <w:ind w:left="20" w:right="0" w:firstLine="0"/>
                              <w:jc w:val="left"/>
                              <w:rPr>
                                <w:rFonts w:ascii="Calibri"/>
                                <w:sz w:val="20"/>
                              </w:rPr>
                            </w:pPr>
                            <w:r>
                              <w:rPr>
                                <w:rFonts w:ascii="Calibri"/>
                                <w:spacing w:val="-4"/>
                                <w:sz w:val="20"/>
                              </w:rPr>
                              <w:t>2010</w:t>
                            </w:r>
                          </w:p>
                          <w:p>
                            <w:pPr>
                              <w:spacing w:before="26"/>
                              <w:ind w:left="20" w:right="0" w:firstLine="0"/>
                              <w:jc w:val="left"/>
                              <w:rPr>
                                <w:rFonts w:ascii="Calibri"/>
                                <w:sz w:val="20"/>
                              </w:rPr>
                            </w:pPr>
                            <w:r>
                              <w:rPr>
                                <w:rFonts w:ascii="Calibri"/>
                                <w:spacing w:val="-4"/>
                                <w:sz w:val="20"/>
                              </w:rPr>
                              <w:t>2011</w:t>
                            </w:r>
                          </w:p>
                          <w:p>
                            <w:pPr>
                              <w:spacing w:before="27"/>
                              <w:ind w:left="20" w:right="0" w:firstLine="0"/>
                              <w:jc w:val="left"/>
                              <w:rPr>
                                <w:rFonts w:ascii="Calibri"/>
                                <w:sz w:val="20"/>
                              </w:rPr>
                            </w:pPr>
                            <w:r>
                              <w:rPr>
                                <w:rFonts w:ascii="Calibri"/>
                                <w:spacing w:val="-4"/>
                                <w:sz w:val="20"/>
                              </w:rPr>
                              <w:t>2012</w:t>
                            </w:r>
                          </w:p>
                          <w:p>
                            <w:pPr>
                              <w:spacing w:before="28"/>
                              <w:ind w:left="20" w:right="0" w:firstLine="0"/>
                              <w:jc w:val="left"/>
                              <w:rPr>
                                <w:rFonts w:ascii="Calibri"/>
                                <w:sz w:val="20"/>
                              </w:rPr>
                            </w:pPr>
                            <w:r>
                              <w:rPr>
                                <w:rFonts w:ascii="Calibri"/>
                                <w:spacing w:val="-4"/>
                                <w:sz w:val="20"/>
                              </w:rPr>
                              <w:t>2013</w:t>
                            </w:r>
                          </w:p>
                          <w:p>
                            <w:pPr>
                              <w:spacing w:before="26"/>
                              <w:ind w:left="20" w:right="0" w:firstLine="0"/>
                              <w:jc w:val="left"/>
                              <w:rPr>
                                <w:rFonts w:ascii="Calibri"/>
                                <w:sz w:val="20"/>
                              </w:rPr>
                            </w:pPr>
                            <w:r>
                              <w:rPr>
                                <w:rFonts w:ascii="Calibri"/>
                                <w:spacing w:val="-4"/>
                                <w:sz w:val="20"/>
                              </w:rPr>
                              <w:t>2014</w:t>
                            </w:r>
                          </w:p>
                          <w:p>
                            <w:pPr>
                              <w:spacing w:before="27"/>
                              <w:ind w:left="20" w:right="0" w:firstLine="0"/>
                              <w:jc w:val="left"/>
                              <w:rPr>
                                <w:rFonts w:ascii="Calibri"/>
                                <w:sz w:val="20"/>
                              </w:rPr>
                            </w:pPr>
                            <w:r>
                              <w:rPr>
                                <w:rFonts w:ascii="Calibri"/>
                                <w:spacing w:val="-4"/>
                                <w:sz w:val="20"/>
                              </w:rPr>
                              <w:t>2015</w:t>
                            </w:r>
                          </w:p>
                          <w:p>
                            <w:pPr>
                              <w:spacing w:before="27"/>
                              <w:ind w:left="20" w:right="0" w:firstLine="0"/>
                              <w:jc w:val="left"/>
                              <w:rPr>
                                <w:rFonts w:ascii="Calibri"/>
                                <w:sz w:val="20"/>
                              </w:rPr>
                            </w:pPr>
                            <w:r>
                              <w:rPr>
                                <w:rFonts w:ascii="Calibri"/>
                                <w:spacing w:val="-4"/>
                                <w:sz w:val="20"/>
                              </w:rPr>
                              <w:t>2016</w:t>
                            </w:r>
                          </w:p>
                        </w:txbxContent>
                      </wps:txbx>
                      <wps:bodyPr wrap="square" lIns="0" tIns="0" rIns="0" bIns="0" rtlCol="0" vert="vert270">
                        <a:noAutofit/>
                      </wps:bodyPr>
                    </wps:wsp>
                  </a:graphicData>
                </a:graphic>
              </wp:anchor>
            </w:drawing>
          </mc:Choice>
          <mc:Fallback>
            <w:pict>
              <v:shape style="position:absolute;margin-left:157.25pt;margin-top:-54.050079pt;width:242.4pt;height:22.2pt;mso-position-horizontal-relative:page;mso-position-vertical-relative:paragraph;z-index:15757824" type="#_x0000_t202" id="docshape380"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spacing w:val="-4"/>
                          <w:sz w:val="20"/>
                        </w:rPr>
                        <w:t>1999</w:t>
                      </w:r>
                    </w:p>
                    <w:p>
                      <w:pPr>
                        <w:spacing w:before="27"/>
                        <w:ind w:left="20" w:right="0" w:firstLine="0"/>
                        <w:jc w:val="left"/>
                        <w:rPr>
                          <w:rFonts w:ascii="Calibri"/>
                          <w:sz w:val="20"/>
                        </w:rPr>
                      </w:pPr>
                      <w:r>
                        <w:rPr>
                          <w:rFonts w:ascii="Calibri"/>
                          <w:spacing w:val="-4"/>
                          <w:sz w:val="20"/>
                        </w:rPr>
                        <w:t>2000</w:t>
                      </w:r>
                    </w:p>
                    <w:p>
                      <w:pPr>
                        <w:spacing w:before="27"/>
                        <w:ind w:left="20" w:right="0" w:firstLine="0"/>
                        <w:jc w:val="left"/>
                        <w:rPr>
                          <w:rFonts w:ascii="Calibri"/>
                          <w:sz w:val="20"/>
                        </w:rPr>
                      </w:pPr>
                      <w:r>
                        <w:rPr>
                          <w:rFonts w:ascii="Calibri"/>
                          <w:spacing w:val="-4"/>
                          <w:sz w:val="20"/>
                        </w:rPr>
                        <w:t>2001</w:t>
                      </w:r>
                    </w:p>
                    <w:p>
                      <w:pPr>
                        <w:spacing w:before="26"/>
                        <w:ind w:left="20" w:right="0" w:firstLine="0"/>
                        <w:jc w:val="left"/>
                        <w:rPr>
                          <w:rFonts w:ascii="Calibri"/>
                          <w:sz w:val="20"/>
                        </w:rPr>
                      </w:pPr>
                      <w:r>
                        <w:rPr>
                          <w:rFonts w:ascii="Calibri"/>
                          <w:spacing w:val="-4"/>
                          <w:sz w:val="20"/>
                        </w:rPr>
                        <w:t>2002</w:t>
                      </w:r>
                    </w:p>
                    <w:p>
                      <w:pPr>
                        <w:spacing w:before="28"/>
                        <w:ind w:left="20" w:right="0" w:firstLine="0"/>
                        <w:jc w:val="left"/>
                        <w:rPr>
                          <w:rFonts w:ascii="Calibri"/>
                          <w:sz w:val="20"/>
                        </w:rPr>
                      </w:pPr>
                      <w:r>
                        <w:rPr>
                          <w:rFonts w:ascii="Calibri"/>
                          <w:spacing w:val="-4"/>
                          <w:sz w:val="20"/>
                        </w:rPr>
                        <w:t>2003</w:t>
                      </w:r>
                    </w:p>
                    <w:p>
                      <w:pPr>
                        <w:spacing w:before="27"/>
                        <w:ind w:left="20" w:right="0" w:firstLine="0"/>
                        <w:jc w:val="left"/>
                        <w:rPr>
                          <w:rFonts w:ascii="Calibri"/>
                          <w:sz w:val="20"/>
                        </w:rPr>
                      </w:pPr>
                      <w:r>
                        <w:rPr>
                          <w:rFonts w:ascii="Calibri"/>
                          <w:spacing w:val="-4"/>
                          <w:sz w:val="20"/>
                        </w:rPr>
                        <w:t>2004</w:t>
                      </w:r>
                    </w:p>
                    <w:p>
                      <w:pPr>
                        <w:spacing w:before="26"/>
                        <w:ind w:left="20" w:right="0" w:firstLine="0"/>
                        <w:jc w:val="left"/>
                        <w:rPr>
                          <w:rFonts w:ascii="Calibri"/>
                          <w:sz w:val="20"/>
                        </w:rPr>
                      </w:pPr>
                      <w:r>
                        <w:rPr>
                          <w:rFonts w:ascii="Calibri"/>
                          <w:spacing w:val="-4"/>
                          <w:sz w:val="20"/>
                        </w:rPr>
                        <w:t>2005</w:t>
                      </w:r>
                    </w:p>
                    <w:p>
                      <w:pPr>
                        <w:spacing w:before="27"/>
                        <w:ind w:left="20" w:right="0" w:firstLine="0"/>
                        <w:jc w:val="left"/>
                        <w:rPr>
                          <w:rFonts w:ascii="Calibri"/>
                          <w:sz w:val="20"/>
                        </w:rPr>
                      </w:pPr>
                      <w:r>
                        <w:rPr>
                          <w:rFonts w:ascii="Calibri"/>
                          <w:spacing w:val="-4"/>
                          <w:sz w:val="20"/>
                        </w:rPr>
                        <w:t>2006</w:t>
                      </w:r>
                    </w:p>
                    <w:p>
                      <w:pPr>
                        <w:spacing w:before="27"/>
                        <w:ind w:left="20" w:right="0" w:firstLine="0"/>
                        <w:jc w:val="left"/>
                        <w:rPr>
                          <w:rFonts w:ascii="Calibri"/>
                          <w:sz w:val="20"/>
                        </w:rPr>
                      </w:pPr>
                      <w:r>
                        <w:rPr>
                          <w:rFonts w:ascii="Calibri"/>
                          <w:spacing w:val="-4"/>
                          <w:sz w:val="20"/>
                        </w:rPr>
                        <w:t>2007</w:t>
                      </w:r>
                    </w:p>
                    <w:p>
                      <w:pPr>
                        <w:spacing w:before="27"/>
                        <w:ind w:left="20" w:right="0" w:firstLine="0"/>
                        <w:jc w:val="left"/>
                        <w:rPr>
                          <w:rFonts w:ascii="Calibri"/>
                          <w:sz w:val="20"/>
                        </w:rPr>
                      </w:pPr>
                      <w:r>
                        <w:rPr>
                          <w:rFonts w:ascii="Calibri"/>
                          <w:spacing w:val="-4"/>
                          <w:sz w:val="20"/>
                        </w:rPr>
                        <w:t>2008</w:t>
                      </w:r>
                    </w:p>
                    <w:p>
                      <w:pPr>
                        <w:spacing w:before="27"/>
                        <w:ind w:left="20" w:right="0" w:firstLine="0"/>
                        <w:jc w:val="left"/>
                        <w:rPr>
                          <w:rFonts w:ascii="Calibri"/>
                          <w:sz w:val="20"/>
                        </w:rPr>
                      </w:pPr>
                      <w:r>
                        <w:rPr>
                          <w:rFonts w:ascii="Calibri"/>
                          <w:spacing w:val="-4"/>
                          <w:sz w:val="20"/>
                        </w:rPr>
                        <w:t>2009</w:t>
                      </w:r>
                    </w:p>
                    <w:p>
                      <w:pPr>
                        <w:spacing w:before="27"/>
                        <w:ind w:left="20" w:right="0" w:firstLine="0"/>
                        <w:jc w:val="left"/>
                        <w:rPr>
                          <w:rFonts w:ascii="Calibri"/>
                          <w:sz w:val="20"/>
                        </w:rPr>
                      </w:pPr>
                      <w:r>
                        <w:rPr>
                          <w:rFonts w:ascii="Calibri"/>
                          <w:spacing w:val="-4"/>
                          <w:sz w:val="20"/>
                        </w:rPr>
                        <w:t>2010</w:t>
                      </w:r>
                    </w:p>
                    <w:p>
                      <w:pPr>
                        <w:spacing w:before="26"/>
                        <w:ind w:left="20" w:right="0" w:firstLine="0"/>
                        <w:jc w:val="left"/>
                        <w:rPr>
                          <w:rFonts w:ascii="Calibri"/>
                          <w:sz w:val="20"/>
                        </w:rPr>
                      </w:pPr>
                      <w:r>
                        <w:rPr>
                          <w:rFonts w:ascii="Calibri"/>
                          <w:spacing w:val="-4"/>
                          <w:sz w:val="20"/>
                        </w:rPr>
                        <w:t>2011</w:t>
                      </w:r>
                    </w:p>
                    <w:p>
                      <w:pPr>
                        <w:spacing w:before="27"/>
                        <w:ind w:left="20" w:right="0" w:firstLine="0"/>
                        <w:jc w:val="left"/>
                        <w:rPr>
                          <w:rFonts w:ascii="Calibri"/>
                          <w:sz w:val="20"/>
                        </w:rPr>
                      </w:pPr>
                      <w:r>
                        <w:rPr>
                          <w:rFonts w:ascii="Calibri"/>
                          <w:spacing w:val="-4"/>
                          <w:sz w:val="20"/>
                        </w:rPr>
                        <w:t>2012</w:t>
                      </w:r>
                    </w:p>
                    <w:p>
                      <w:pPr>
                        <w:spacing w:before="28"/>
                        <w:ind w:left="20" w:right="0" w:firstLine="0"/>
                        <w:jc w:val="left"/>
                        <w:rPr>
                          <w:rFonts w:ascii="Calibri"/>
                          <w:sz w:val="20"/>
                        </w:rPr>
                      </w:pPr>
                      <w:r>
                        <w:rPr>
                          <w:rFonts w:ascii="Calibri"/>
                          <w:spacing w:val="-4"/>
                          <w:sz w:val="20"/>
                        </w:rPr>
                        <w:t>2013</w:t>
                      </w:r>
                    </w:p>
                    <w:p>
                      <w:pPr>
                        <w:spacing w:before="26"/>
                        <w:ind w:left="20" w:right="0" w:firstLine="0"/>
                        <w:jc w:val="left"/>
                        <w:rPr>
                          <w:rFonts w:ascii="Calibri"/>
                          <w:sz w:val="20"/>
                        </w:rPr>
                      </w:pPr>
                      <w:r>
                        <w:rPr>
                          <w:rFonts w:ascii="Calibri"/>
                          <w:spacing w:val="-4"/>
                          <w:sz w:val="20"/>
                        </w:rPr>
                        <w:t>2014</w:t>
                      </w:r>
                    </w:p>
                    <w:p>
                      <w:pPr>
                        <w:spacing w:before="27"/>
                        <w:ind w:left="20" w:right="0" w:firstLine="0"/>
                        <w:jc w:val="left"/>
                        <w:rPr>
                          <w:rFonts w:ascii="Calibri"/>
                          <w:sz w:val="20"/>
                        </w:rPr>
                      </w:pPr>
                      <w:r>
                        <w:rPr>
                          <w:rFonts w:ascii="Calibri"/>
                          <w:spacing w:val="-4"/>
                          <w:sz w:val="20"/>
                        </w:rPr>
                        <w:t>2015</w:t>
                      </w:r>
                    </w:p>
                    <w:p>
                      <w:pPr>
                        <w:spacing w:before="27"/>
                        <w:ind w:left="20" w:right="0" w:firstLine="0"/>
                        <w:jc w:val="left"/>
                        <w:rPr>
                          <w:rFonts w:ascii="Calibri"/>
                          <w:sz w:val="20"/>
                        </w:rPr>
                      </w:pPr>
                      <w:r>
                        <w:rPr>
                          <w:rFonts w:ascii="Calibri"/>
                          <w:spacing w:val="-4"/>
                          <w:sz w:val="20"/>
                        </w:rPr>
                        <w:t>2016</w:t>
                      </w:r>
                    </w:p>
                  </w:txbxContent>
                </v:textbox>
                <w10:wrap type="none"/>
              </v:shape>
            </w:pict>
          </mc:Fallback>
        </mc:AlternateContent>
      </w:r>
      <w:r>
        <w:rPr>
          <w:b/>
        </w:rPr>
        <w:t>Figure 5.2: </w:t>
      </w:r>
      <w:r>
        <w:rPr/>
        <w:t>Trend of Anambra State annual Housing budget allocation and total revenue (Researcher‘s plot with MS- Excel, 2017)</w:t>
      </w:r>
    </w:p>
    <w:p>
      <w:pPr>
        <w:pStyle w:val="BodyText"/>
        <w:spacing w:before="2"/>
      </w:pPr>
    </w:p>
    <w:p>
      <w:pPr>
        <w:pStyle w:val="BodyText"/>
        <w:spacing w:line="360" w:lineRule="auto" w:before="1"/>
        <w:ind w:left="240" w:right="835"/>
        <w:jc w:val="both"/>
      </w:pPr>
      <w:r>
        <w:rPr/>
        <mc:AlternateContent>
          <mc:Choice Requires="wps">
            <w:drawing>
              <wp:anchor distT="0" distB="0" distL="0" distR="0" allowOverlap="1" layoutInCell="1" locked="0" behindDoc="0" simplePos="0" relativeHeight="15756288">
                <wp:simplePos x="0" y="0"/>
                <wp:positionH relativeFrom="page">
                  <wp:posOffset>927100</wp:posOffset>
                </wp:positionH>
                <wp:positionV relativeFrom="paragraph">
                  <wp:posOffset>1351450</wp:posOffset>
                </wp:positionV>
                <wp:extent cx="5953760" cy="2660650"/>
                <wp:effectExtent l="0" t="0" r="0" b="0"/>
                <wp:wrapNone/>
                <wp:docPr id="413" name="Group 413"/>
                <wp:cNvGraphicFramePr>
                  <a:graphicFrameLocks/>
                </wp:cNvGraphicFramePr>
                <a:graphic>
                  <a:graphicData uri="http://schemas.microsoft.com/office/word/2010/wordprocessingGroup">
                    <wpg:wgp>
                      <wpg:cNvPr id="413" name="Group 413"/>
                      <wpg:cNvGrpSpPr/>
                      <wpg:grpSpPr>
                        <a:xfrm>
                          <a:off x="0" y="0"/>
                          <a:ext cx="5953760" cy="2660650"/>
                          <a:chExt cx="5953760" cy="2660650"/>
                        </a:xfrm>
                      </wpg:grpSpPr>
                      <wps:wsp>
                        <wps:cNvPr id="414" name="Graphic 414"/>
                        <wps:cNvSpPr/>
                        <wps:spPr>
                          <a:xfrm>
                            <a:off x="1457960" y="1786889"/>
                            <a:ext cx="2778760" cy="1270"/>
                          </a:xfrm>
                          <a:custGeom>
                            <a:avLst/>
                            <a:gdLst/>
                            <a:ahLst/>
                            <a:cxnLst/>
                            <a:rect l="l" t="t" r="r" b="b"/>
                            <a:pathLst>
                              <a:path w="2778760" h="0">
                                <a:moveTo>
                                  <a:pt x="0" y="0"/>
                                </a:moveTo>
                                <a:lnTo>
                                  <a:pt x="2778252" y="0"/>
                                </a:lnTo>
                              </a:path>
                            </a:pathLst>
                          </a:custGeom>
                          <a:ln w="9144">
                            <a:solidFill>
                              <a:srgbClr val="858585"/>
                            </a:solidFill>
                            <a:prstDash val="solid"/>
                          </a:ln>
                        </wps:spPr>
                        <wps:bodyPr wrap="square" lIns="0" tIns="0" rIns="0" bIns="0" rtlCol="0">
                          <a:prstTxWarp prst="textNoShape">
                            <a:avLst/>
                          </a:prstTxWarp>
                          <a:noAutofit/>
                        </wps:bodyPr>
                      </wps:wsp>
                      <wps:wsp>
                        <wps:cNvPr id="415" name="Graphic 415"/>
                        <wps:cNvSpPr/>
                        <wps:spPr>
                          <a:xfrm>
                            <a:off x="1457960" y="1457705"/>
                            <a:ext cx="2778760" cy="1270"/>
                          </a:xfrm>
                          <a:custGeom>
                            <a:avLst/>
                            <a:gdLst/>
                            <a:ahLst/>
                            <a:cxnLst/>
                            <a:rect l="l" t="t" r="r" b="b"/>
                            <a:pathLst>
                              <a:path w="2778760" h="0">
                                <a:moveTo>
                                  <a:pt x="0" y="0"/>
                                </a:moveTo>
                                <a:lnTo>
                                  <a:pt x="1731264" y="0"/>
                                </a:lnTo>
                              </a:path>
                              <a:path w="2778760" h="0">
                                <a:moveTo>
                                  <a:pt x="1819655" y="0"/>
                                </a:moveTo>
                                <a:lnTo>
                                  <a:pt x="2778252" y="0"/>
                                </a:lnTo>
                              </a:path>
                            </a:pathLst>
                          </a:custGeom>
                          <a:ln w="9144">
                            <a:solidFill>
                              <a:srgbClr val="858585"/>
                            </a:solidFill>
                            <a:prstDash val="solid"/>
                          </a:ln>
                        </wps:spPr>
                        <wps:bodyPr wrap="square" lIns="0" tIns="0" rIns="0" bIns="0" rtlCol="0">
                          <a:prstTxWarp prst="textNoShape">
                            <a:avLst/>
                          </a:prstTxWarp>
                          <a:noAutofit/>
                        </wps:bodyPr>
                      </wps:wsp>
                      <wps:wsp>
                        <wps:cNvPr id="416" name="Graphic 416"/>
                        <wps:cNvSpPr/>
                        <wps:spPr>
                          <a:xfrm>
                            <a:off x="1418336" y="136397"/>
                            <a:ext cx="2818130" cy="1981200"/>
                          </a:xfrm>
                          <a:custGeom>
                            <a:avLst/>
                            <a:gdLst/>
                            <a:ahLst/>
                            <a:cxnLst/>
                            <a:rect l="l" t="t" r="r" b="b"/>
                            <a:pathLst>
                              <a:path w="2818130" h="1981200">
                                <a:moveTo>
                                  <a:pt x="39624" y="990600"/>
                                </a:moveTo>
                                <a:lnTo>
                                  <a:pt x="2817876" y="990600"/>
                                </a:lnTo>
                              </a:path>
                              <a:path w="2818130" h="1981200">
                                <a:moveTo>
                                  <a:pt x="39624" y="659892"/>
                                </a:moveTo>
                                <a:lnTo>
                                  <a:pt x="2817876" y="659892"/>
                                </a:lnTo>
                              </a:path>
                              <a:path w="2818130" h="1981200">
                                <a:moveTo>
                                  <a:pt x="39624" y="330708"/>
                                </a:moveTo>
                                <a:lnTo>
                                  <a:pt x="2817876" y="330708"/>
                                </a:lnTo>
                              </a:path>
                              <a:path w="2818130" h="1981200">
                                <a:moveTo>
                                  <a:pt x="39624" y="0"/>
                                </a:moveTo>
                                <a:lnTo>
                                  <a:pt x="2817876" y="0"/>
                                </a:lnTo>
                              </a:path>
                              <a:path w="2818130" h="1981200">
                                <a:moveTo>
                                  <a:pt x="39624" y="1981200"/>
                                </a:moveTo>
                                <a:lnTo>
                                  <a:pt x="39624" y="0"/>
                                </a:lnTo>
                              </a:path>
                              <a:path w="2818130" h="1981200">
                                <a:moveTo>
                                  <a:pt x="0" y="1981200"/>
                                </a:moveTo>
                                <a:lnTo>
                                  <a:pt x="39624" y="1981200"/>
                                </a:lnTo>
                              </a:path>
                              <a:path w="2818130" h="1981200">
                                <a:moveTo>
                                  <a:pt x="0" y="1650492"/>
                                </a:moveTo>
                                <a:lnTo>
                                  <a:pt x="39624" y="1650492"/>
                                </a:lnTo>
                              </a:path>
                              <a:path w="2818130" h="1981200">
                                <a:moveTo>
                                  <a:pt x="0" y="1321308"/>
                                </a:moveTo>
                                <a:lnTo>
                                  <a:pt x="39624" y="1321308"/>
                                </a:lnTo>
                              </a:path>
                              <a:path w="2818130" h="1981200">
                                <a:moveTo>
                                  <a:pt x="0" y="990600"/>
                                </a:moveTo>
                                <a:lnTo>
                                  <a:pt x="39624" y="990600"/>
                                </a:lnTo>
                              </a:path>
                              <a:path w="2818130" h="1981200">
                                <a:moveTo>
                                  <a:pt x="0" y="659892"/>
                                </a:moveTo>
                                <a:lnTo>
                                  <a:pt x="39624" y="659892"/>
                                </a:lnTo>
                              </a:path>
                              <a:path w="2818130" h="1981200">
                                <a:moveTo>
                                  <a:pt x="0" y="330708"/>
                                </a:moveTo>
                                <a:lnTo>
                                  <a:pt x="39624" y="330708"/>
                                </a:lnTo>
                              </a:path>
                              <a:path w="2818130" h="1981200">
                                <a:moveTo>
                                  <a:pt x="0" y="0"/>
                                </a:moveTo>
                                <a:lnTo>
                                  <a:pt x="39624" y="0"/>
                                </a:lnTo>
                              </a:path>
                              <a:path w="2818130" h="1981200">
                                <a:moveTo>
                                  <a:pt x="39624" y="1981200"/>
                                </a:moveTo>
                                <a:lnTo>
                                  <a:pt x="2817876" y="1981200"/>
                                </a:lnTo>
                              </a:path>
                            </a:pathLst>
                          </a:custGeom>
                          <a:ln w="9144">
                            <a:solidFill>
                              <a:srgbClr val="858585"/>
                            </a:solidFill>
                            <a:prstDash val="solid"/>
                          </a:ln>
                        </wps:spPr>
                        <wps:bodyPr wrap="square" lIns="0" tIns="0" rIns="0" bIns="0" rtlCol="0">
                          <a:prstTxWarp prst="textNoShape">
                            <a:avLst/>
                          </a:prstTxWarp>
                          <a:noAutofit/>
                        </wps:bodyPr>
                      </wps:wsp>
                      <wps:wsp>
                        <wps:cNvPr id="417" name="Graphic 417"/>
                        <wps:cNvSpPr/>
                        <wps:spPr>
                          <a:xfrm>
                            <a:off x="1535683" y="2042922"/>
                            <a:ext cx="2624455" cy="71755"/>
                          </a:xfrm>
                          <a:custGeom>
                            <a:avLst/>
                            <a:gdLst/>
                            <a:ahLst/>
                            <a:cxnLst/>
                            <a:rect l="l" t="t" r="r" b="b"/>
                            <a:pathLst>
                              <a:path w="2624455" h="71755">
                                <a:moveTo>
                                  <a:pt x="0" y="71627"/>
                                </a:moveTo>
                                <a:lnTo>
                                  <a:pt x="153924" y="62483"/>
                                </a:lnTo>
                                <a:lnTo>
                                  <a:pt x="309372" y="0"/>
                                </a:lnTo>
                                <a:lnTo>
                                  <a:pt x="463296" y="60960"/>
                                </a:lnTo>
                                <a:lnTo>
                                  <a:pt x="617220" y="41148"/>
                                </a:lnTo>
                                <a:lnTo>
                                  <a:pt x="771144" y="59436"/>
                                </a:lnTo>
                                <a:lnTo>
                                  <a:pt x="926592" y="48768"/>
                                </a:lnTo>
                                <a:lnTo>
                                  <a:pt x="1080516" y="56387"/>
                                </a:lnTo>
                                <a:lnTo>
                                  <a:pt x="1234440" y="48768"/>
                                </a:lnTo>
                                <a:lnTo>
                                  <a:pt x="1389888" y="12192"/>
                                </a:lnTo>
                                <a:lnTo>
                                  <a:pt x="1543812" y="24383"/>
                                </a:lnTo>
                                <a:lnTo>
                                  <a:pt x="1697736" y="33527"/>
                                </a:lnTo>
                                <a:lnTo>
                                  <a:pt x="1853183" y="33527"/>
                                </a:lnTo>
                                <a:lnTo>
                                  <a:pt x="2007108" y="44195"/>
                                </a:lnTo>
                                <a:lnTo>
                                  <a:pt x="2161032" y="50292"/>
                                </a:lnTo>
                                <a:lnTo>
                                  <a:pt x="2314956" y="25907"/>
                                </a:lnTo>
                                <a:lnTo>
                                  <a:pt x="2470404" y="19812"/>
                                </a:lnTo>
                                <a:lnTo>
                                  <a:pt x="2624328" y="65531"/>
                                </a:lnTo>
                              </a:path>
                            </a:pathLst>
                          </a:custGeom>
                          <a:ln w="27432">
                            <a:solidFill>
                              <a:srgbClr val="497DBA"/>
                            </a:solidFill>
                            <a:prstDash val="solid"/>
                          </a:ln>
                        </wps:spPr>
                        <wps:bodyPr wrap="square" lIns="0" tIns="0" rIns="0" bIns="0" rtlCol="0">
                          <a:prstTxWarp prst="textNoShape">
                            <a:avLst/>
                          </a:prstTxWarp>
                          <a:noAutofit/>
                        </wps:bodyPr>
                      </wps:wsp>
                      <pic:pic>
                        <pic:nvPicPr>
                          <pic:cNvPr id="418" name="Image 418"/>
                          <pic:cNvPicPr/>
                        </pic:nvPicPr>
                        <pic:blipFill>
                          <a:blip r:embed="rId116" cstate="print"/>
                          <a:stretch>
                            <a:fillRect/>
                          </a:stretch>
                        </pic:blipFill>
                        <pic:spPr>
                          <a:xfrm>
                            <a:off x="1486916" y="2065527"/>
                            <a:ext cx="98044" cy="97790"/>
                          </a:xfrm>
                          <a:prstGeom prst="rect">
                            <a:avLst/>
                          </a:prstGeom>
                        </pic:spPr>
                      </pic:pic>
                      <pic:pic>
                        <pic:nvPicPr>
                          <pic:cNvPr id="419" name="Image 419"/>
                          <pic:cNvPicPr/>
                        </pic:nvPicPr>
                        <pic:blipFill>
                          <a:blip r:embed="rId127" cstate="print"/>
                          <a:stretch>
                            <a:fillRect/>
                          </a:stretch>
                        </pic:blipFill>
                        <pic:spPr>
                          <a:xfrm>
                            <a:off x="1641220" y="2055748"/>
                            <a:ext cx="98044" cy="97790"/>
                          </a:xfrm>
                          <a:prstGeom prst="rect">
                            <a:avLst/>
                          </a:prstGeom>
                        </pic:spPr>
                      </pic:pic>
                      <pic:pic>
                        <pic:nvPicPr>
                          <pic:cNvPr id="420" name="Image 420"/>
                          <pic:cNvPicPr/>
                        </pic:nvPicPr>
                        <pic:blipFill>
                          <a:blip r:embed="rId116" cstate="print"/>
                          <a:stretch>
                            <a:fillRect/>
                          </a:stretch>
                        </pic:blipFill>
                        <pic:spPr>
                          <a:xfrm>
                            <a:off x="1795652" y="1994154"/>
                            <a:ext cx="98044" cy="97790"/>
                          </a:xfrm>
                          <a:prstGeom prst="rect">
                            <a:avLst/>
                          </a:prstGeom>
                        </pic:spPr>
                      </pic:pic>
                      <pic:pic>
                        <pic:nvPicPr>
                          <pic:cNvPr id="421" name="Image 421"/>
                          <pic:cNvPicPr/>
                        </pic:nvPicPr>
                        <pic:blipFill>
                          <a:blip r:embed="rId128" cstate="print"/>
                          <a:stretch>
                            <a:fillRect/>
                          </a:stretch>
                        </pic:blipFill>
                        <pic:spPr>
                          <a:xfrm>
                            <a:off x="1949957" y="2055241"/>
                            <a:ext cx="98044" cy="97663"/>
                          </a:xfrm>
                          <a:prstGeom prst="rect">
                            <a:avLst/>
                          </a:prstGeom>
                        </pic:spPr>
                      </pic:pic>
                      <pic:pic>
                        <pic:nvPicPr>
                          <pic:cNvPr id="422" name="Image 422"/>
                          <pic:cNvPicPr/>
                        </pic:nvPicPr>
                        <pic:blipFill>
                          <a:blip r:embed="rId113" cstate="print"/>
                          <a:stretch>
                            <a:fillRect/>
                          </a:stretch>
                        </pic:blipFill>
                        <pic:spPr>
                          <a:xfrm>
                            <a:off x="2104263" y="2034413"/>
                            <a:ext cx="98044" cy="97790"/>
                          </a:xfrm>
                          <a:prstGeom prst="rect">
                            <a:avLst/>
                          </a:prstGeom>
                        </pic:spPr>
                      </pic:pic>
                      <pic:pic>
                        <pic:nvPicPr>
                          <pic:cNvPr id="423" name="Image 423"/>
                          <pic:cNvPicPr/>
                        </pic:nvPicPr>
                        <pic:blipFill>
                          <a:blip r:embed="rId113" cstate="print"/>
                          <a:stretch>
                            <a:fillRect/>
                          </a:stretch>
                        </pic:blipFill>
                        <pic:spPr>
                          <a:xfrm>
                            <a:off x="2258567" y="2053589"/>
                            <a:ext cx="98044" cy="97790"/>
                          </a:xfrm>
                          <a:prstGeom prst="rect">
                            <a:avLst/>
                          </a:prstGeom>
                        </pic:spPr>
                      </pic:pic>
                      <pic:pic>
                        <pic:nvPicPr>
                          <pic:cNvPr id="424" name="Image 424"/>
                          <pic:cNvPicPr/>
                        </pic:nvPicPr>
                        <pic:blipFill>
                          <a:blip r:embed="rId127" cstate="print"/>
                          <a:stretch>
                            <a:fillRect/>
                          </a:stretch>
                        </pic:blipFill>
                        <pic:spPr>
                          <a:xfrm>
                            <a:off x="2413000" y="2042667"/>
                            <a:ext cx="98044" cy="97790"/>
                          </a:xfrm>
                          <a:prstGeom prst="rect">
                            <a:avLst/>
                          </a:prstGeom>
                        </pic:spPr>
                      </pic:pic>
                      <pic:pic>
                        <pic:nvPicPr>
                          <pic:cNvPr id="425" name="Image 425"/>
                          <pic:cNvPicPr/>
                        </pic:nvPicPr>
                        <pic:blipFill>
                          <a:blip r:embed="rId116" cstate="print"/>
                          <a:stretch>
                            <a:fillRect/>
                          </a:stretch>
                        </pic:blipFill>
                        <pic:spPr>
                          <a:xfrm>
                            <a:off x="2567304" y="2050542"/>
                            <a:ext cx="98044" cy="97790"/>
                          </a:xfrm>
                          <a:prstGeom prst="rect">
                            <a:avLst/>
                          </a:prstGeom>
                        </pic:spPr>
                      </pic:pic>
                      <pic:pic>
                        <pic:nvPicPr>
                          <pic:cNvPr id="426" name="Image 426"/>
                          <pic:cNvPicPr/>
                        </pic:nvPicPr>
                        <pic:blipFill>
                          <a:blip r:embed="rId129" cstate="print"/>
                          <a:stretch>
                            <a:fillRect/>
                          </a:stretch>
                        </pic:blipFill>
                        <pic:spPr>
                          <a:xfrm>
                            <a:off x="2721610" y="2042541"/>
                            <a:ext cx="98044" cy="97663"/>
                          </a:xfrm>
                          <a:prstGeom prst="rect">
                            <a:avLst/>
                          </a:prstGeom>
                        </pic:spPr>
                      </pic:pic>
                      <pic:pic>
                        <pic:nvPicPr>
                          <pic:cNvPr id="427" name="Image 427"/>
                          <pic:cNvPicPr/>
                        </pic:nvPicPr>
                        <pic:blipFill>
                          <a:blip r:embed="rId130" cstate="print"/>
                          <a:stretch>
                            <a:fillRect/>
                          </a:stretch>
                        </pic:blipFill>
                        <pic:spPr>
                          <a:xfrm>
                            <a:off x="2876042" y="2006345"/>
                            <a:ext cx="98044" cy="97663"/>
                          </a:xfrm>
                          <a:prstGeom prst="rect">
                            <a:avLst/>
                          </a:prstGeom>
                        </pic:spPr>
                      </pic:pic>
                      <pic:pic>
                        <pic:nvPicPr>
                          <pic:cNvPr id="428" name="Image 428"/>
                          <pic:cNvPicPr/>
                        </pic:nvPicPr>
                        <pic:blipFill>
                          <a:blip r:embed="rId127" cstate="print"/>
                          <a:stretch>
                            <a:fillRect/>
                          </a:stretch>
                        </pic:blipFill>
                        <pic:spPr>
                          <a:xfrm>
                            <a:off x="3030347" y="2018538"/>
                            <a:ext cx="98044" cy="97790"/>
                          </a:xfrm>
                          <a:prstGeom prst="rect">
                            <a:avLst/>
                          </a:prstGeom>
                        </pic:spPr>
                      </pic:pic>
                      <pic:pic>
                        <pic:nvPicPr>
                          <pic:cNvPr id="429" name="Image 429"/>
                          <pic:cNvPicPr/>
                        </pic:nvPicPr>
                        <pic:blipFill>
                          <a:blip r:embed="rId129" cstate="print"/>
                          <a:stretch>
                            <a:fillRect/>
                          </a:stretch>
                        </pic:blipFill>
                        <pic:spPr>
                          <a:xfrm>
                            <a:off x="3184651" y="2028063"/>
                            <a:ext cx="98044" cy="97663"/>
                          </a:xfrm>
                          <a:prstGeom prst="rect">
                            <a:avLst/>
                          </a:prstGeom>
                        </pic:spPr>
                      </pic:pic>
                      <pic:pic>
                        <pic:nvPicPr>
                          <pic:cNvPr id="430" name="Image 430"/>
                          <pic:cNvPicPr/>
                        </pic:nvPicPr>
                        <pic:blipFill>
                          <a:blip r:embed="rId116" cstate="print"/>
                          <a:stretch>
                            <a:fillRect/>
                          </a:stretch>
                        </pic:blipFill>
                        <pic:spPr>
                          <a:xfrm>
                            <a:off x="3339084" y="2027682"/>
                            <a:ext cx="98044" cy="97790"/>
                          </a:xfrm>
                          <a:prstGeom prst="rect">
                            <a:avLst/>
                          </a:prstGeom>
                        </pic:spPr>
                      </pic:pic>
                      <pic:pic>
                        <pic:nvPicPr>
                          <pic:cNvPr id="431" name="Image 431"/>
                          <pic:cNvPicPr/>
                        </pic:nvPicPr>
                        <pic:blipFill>
                          <a:blip r:embed="rId131" cstate="print"/>
                          <a:stretch>
                            <a:fillRect/>
                          </a:stretch>
                        </pic:blipFill>
                        <pic:spPr>
                          <a:xfrm>
                            <a:off x="3493389" y="2038223"/>
                            <a:ext cx="98044" cy="97790"/>
                          </a:xfrm>
                          <a:prstGeom prst="rect">
                            <a:avLst/>
                          </a:prstGeom>
                        </pic:spPr>
                      </pic:pic>
                      <pic:pic>
                        <pic:nvPicPr>
                          <pic:cNvPr id="432" name="Image 432"/>
                          <pic:cNvPicPr/>
                        </pic:nvPicPr>
                        <pic:blipFill>
                          <a:blip r:embed="rId113" cstate="print"/>
                          <a:stretch>
                            <a:fillRect/>
                          </a:stretch>
                        </pic:blipFill>
                        <pic:spPr>
                          <a:xfrm>
                            <a:off x="3647694" y="2044826"/>
                            <a:ext cx="98044" cy="97790"/>
                          </a:xfrm>
                          <a:prstGeom prst="rect">
                            <a:avLst/>
                          </a:prstGeom>
                        </pic:spPr>
                      </pic:pic>
                      <pic:pic>
                        <pic:nvPicPr>
                          <pic:cNvPr id="433" name="Image 433"/>
                          <pic:cNvPicPr/>
                        </pic:nvPicPr>
                        <pic:blipFill>
                          <a:blip r:embed="rId132" cstate="print"/>
                          <a:stretch>
                            <a:fillRect/>
                          </a:stretch>
                        </pic:blipFill>
                        <pic:spPr>
                          <a:xfrm>
                            <a:off x="3801998" y="2019554"/>
                            <a:ext cx="98044" cy="97663"/>
                          </a:xfrm>
                          <a:prstGeom prst="rect">
                            <a:avLst/>
                          </a:prstGeom>
                        </pic:spPr>
                      </pic:pic>
                      <pic:pic>
                        <pic:nvPicPr>
                          <pic:cNvPr id="434" name="Image 434"/>
                          <pic:cNvPicPr/>
                        </pic:nvPicPr>
                        <pic:blipFill>
                          <a:blip r:embed="rId127" cstate="print"/>
                          <a:stretch>
                            <a:fillRect/>
                          </a:stretch>
                        </pic:blipFill>
                        <pic:spPr>
                          <a:xfrm>
                            <a:off x="3956430" y="2013330"/>
                            <a:ext cx="98044" cy="97790"/>
                          </a:xfrm>
                          <a:prstGeom prst="rect">
                            <a:avLst/>
                          </a:prstGeom>
                        </pic:spPr>
                      </pic:pic>
                      <pic:pic>
                        <pic:nvPicPr>
                          <pic:cNvPr id="435" name="Image 435"/>
                          <pic:cNvPicPr/>
                        </pic:nvPicPr>
                        <pic:blipFill>
                          <a:blip r:embed="rId133" cstate="print"/>
                          <a:stretch>
                            <a:fillRect/>
                          </a:stretch>
                        </pic:blipFill>
                        <pic:spPr>
                          <a:xfrm>
                            <a:off x="4110735" y="2059813"/>
                            <a:ext cx="98044" cy="97663"/>
                          </a:xfrm>
                          <a:prstGeom prst="rect">
                            <a:avLst/>
                          </a:prstGeom>
                        </pic:spPr>
                      </pic:pic>
                      <wps:wsp>
                        <wps:cNvPr id="436" name="Graphic 436"/>
                        <wps:cNvSpPr/>
                        <wps:spPr>
                          <a:xfrm>
                            <a:off x="1535683" y="284225"/>
                            <a:ext cx="2624455" cy="1815464"/>
                          </a:xfrm>
                          <a:custGeom>
                            <a:avLst/>
                            <a:gdLst/>
                            <a:ahLst/>
                            <a:cxnLst/>
                            <a:rect l="l" t="t" r="r" b="b"/>
                            <a:pathLst>
                              <a:path w="2624455" h="1815464">
                                <a:moveTo>
                                  <a:pt x="0" y="1815084"/>
                                </a:moveTo>
                                <a:lnTo>
                                  <a:pt x="153924" y="1603248"/>
                                </a:lnTo>
                                <a:lnTo>
                                  <a:pt x="309372" y="1626108"/>
                                </a:lnTo>
                                <a:lnTo>
                                  <a:pt x="463296" y="1670304"/>
                                </a:lnTo>
                                <a:lnTo>
                                  <a:pt x="617220" y="1705356"/>
                                </a:lnTo>
                                <a:lnTo>
                                  <a:pt x="771144" y="1639824"/>
                                </a:lnTo>
                                <a:lnTo>
                                  <a:pt x="926592" y="1562100"/>
                                </a:lnTo>
                                <a:lnTo>
                                  <a:pt x="1080516" y="1543812"/>
                                </a:lnTo>
                                <a:lnTo>
                                  <a:pt x="1234440" y="1255776"/>
                                </a:lnTo>
                                <a:lnTo>
                                  <a:pt x="1389888" y="990600"/>
                                </a:lnTo>
                                <a:lnTo>
                                  <a:pt x="1543812" y="1045464"/>
                                </a:lnTo>
                                <a:lnTo>
                                  <a:pt x="1697736" y="1167384"/>
                                </a:lnTo>
                                <a:lnTo>
                                  <a:pt x="1853183" y="1277112"/>
                                </a:lnTo>
                                <a:lnTo>
                                  <a:pt x="2007108" y="1057656"/>
                                </a:lnTo>
                                <a:lnTo>
                                  <a:pt x="2161032" y="661416"/>
                                </a:lnTo>
                                <a:lnTo>
                                  <a:pt x="2314956" y="128016"/>
                                </a:lnTo>
                                <a:lnTo>
                                  <a:pt x="2470404" y="0"/>
                                </a:lnTo>
                                <a:lnTo>
                                  <a:pt x="2624328" y="963168"/>
                                </a:lnTo>
                              </a:path>
                            </a:pathLst>
                          </a:custGeom>
                          <a:ln w="27432">
                            <a:solidFill>
                              <a:srgbClr val="BD4A47"/>
                            </a:solidFill>
                            <a:prstDash val="solid"/>
                          </a:ln>
                        </wps:spPr>
                        <wps:bodyPr wrap="square" lIns="0" tIns="0" rIns="0" bIns="0" rtlCol="0">
                          <a:prstTxWarp prst="textNoShape">
                            <a:avLst/>
                          </a:prstTxWarp>
                          <a:noAutofit/>
                        </wps:bodyPr>
                      </wps:wsp>
                      <wps:wsp>
                        <wps:cNvPr id="437" name="Graphic 437"/>
                        <wps:cNvSpPr/>
                        <wps:spPr>
                          <a:xfrm>
                            <a:off x="1491488" y="2055114"/>
                            <a:ext cx="88900" cy="88900"/>
                          </a:xfrm>
                          <a:custGeom>
                            <a:avLst/>
                            <a:gdLst/>
                            <a:ahLst/>
                            <a:cxnLst/>
                            <a:rect l="l" t="t" r="r" b="b"/>
                            <a:pathLst>
                              <a:path w="88900" h="88900">
                                <a:moveTo>
                                  <a:pt x="88392" y="0"/>
                                </a:moveTo>
                                <a:lnTo>
                                  <a:pt x="0" y="0"/>
                                </a:lnTo>
                                <a:lnTo>
                                  <a:pt x="0" y="88391"/>
                                </a:lnTo>
                                <a:lnTo>
                                  <a:pt x="88392" y="88391"/>
                                </a:lnTo>
                                <a:lnTo>
                                  <a:pt x="88392" y="0"/>
                                </a:lnTo>
                                <a:close/>
                              </a:path>
                            </a:pathLst>
                          </a:custGeom>
                          <a:solidFill>
                            <a:srgbClr val="C0504D"/>
                          </a:solidFill>
                        </wps:spPr>
                        <wps:bodyPr wrap="square" lIns="0" tIns="0" rIns="0" bIns="0" rtlCol="0">
                          <a:prstTxWarp prst="textNoShape">
                            <a:avLst/>
                          </a:prstTxWarp>
                          <a:noAutofit/>
                        </wps:bodyPr>
                      </wps:wsp>
                      <wps:wsp>
                        <wps:cNvPr id="438" name="Graphic 438"/>
                        <wps:cNvSpPr/>
                        <wps:spPr>
                          <a:xfrm>
                            <a:off x="1491488" y="2055114"/>
                            <a:ext cx="88900" cy="88900"/>
                          </a:xfrm>
                          <a:custGeom>
                            <a:avLst/>
                            <a:gdLst/>
                            <a:ahLst/>
                            <a:cxnLst/>
                            <a:rect l="l" t="t" r="r" b="b"/>
                            <a:pathLst>
                              <a:path w="88900" h="88900">
                                <a:moveTo>
                                  <a:pt x="0" y="88391"/>
                                </a:moveTo>
                                <a:lnTo>
                                  <a:pt x="88392" y="88391"/>
                                </a:lnTo>
                                <a:lnTo>
                                  <a:pt x="88392"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439" name="Graphic 439"/>
                        <wps:cNvSpPr/>
                        <wps:spPr>
                          <a:xfrm>
                            <a:off x="1645411" y="1843277"/>
                            <a:ext cx="90170" cy="88900"/>
                          </a:xfrm>
                          <a:custGeom>
                            <a:avLst/>
                            <a:gdLst/>
                            <a:ahLst/>
                            <a:cxnLst/>
                            <a:rect l="l" t="t" r="r" b="b"/>
                            <a:pathLst>
                              <a:path w="90170" h="88900">
                                <a:moveTo>
                                  <a:pt x="89916" y="0"/>
                                </a:moveTo>
                                <a:lnTo>
                                  <a:pt x="0" y="0"/>
                                </a:lnTo>
                                <a:lnTo>
                                  <a:pt x="0" y="88392"/>
                                </a:lnTo>
                                <a:lnTo>
                                  <a:pt x="89916" y="88392"/>
                                </a:lnTo>
                                <a:lnTo>
                                  <a:pt x="89916" y="0"/>
                                </a:lnTo>
                                <a:close/>
                              </a:path>
                            </a:pathLst>
                          </a:custGeom>
                          <a:solidFill>
                            <a:srgbClr val="C0504D"/>
                          </a:solidFill>
                        </wps:spPr>
                        <wps:bodyPr wrap="square" lIns="0" tIns="0" rIns="0" bIns="0" rtlCol="0">
                          <a:prstTxWarp prst="textNoShape">
                            <a:avLst/>
                          </a:prstTxWarp>
                          <a:noAutofit/>
                        </wps:bodyPr>
                      </wps:wsp>
                      <wps:wsp>
                        <wps:cNvPr id="440" name="Graphic 440"/>
                        <wps:cNvSpPr/>
                        <wps:spPr>
                          <a:xfrm>
                            <a:off x="1645411" y="1843277"/>
                            <a:ext cx="90170" cy="88900"/>
                          </a:xfrm>
                          <a:custGeom>
                            <a:avLst/>
                            <a:gdLst/>
                            <a:ahLst/>
                            <a:cxnLst/>
                            <a:rect l="l" t="t" r="r" b="b"/>
                            <a:pathLst>
                              <a:path w="90170" h="88900">
                                <a:moveTo>
                                  <a:pt x="0" y="88392"/>
                                </a:moveTo>
                                <a:lnTo>
                                  <a:pt x="89916" y="88392"/>
                                </a:lnTo>
                                <a:lnTo>
                                  <a:pt x="89916"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441" name="Graphic 441"/>
                        <wps:cNvSpPr/>
                        <wps:spPr>
                          <a:xfrm>
                            <a:off x="1800860" y="1864614"/>
                            <a:ext cx="88900" cy="90170"/>
                          </a:xfrm>
                          <a:custGeom>
                            <a:avLst/>
                            <a:gdLst/>
                            <a:ahLst/>
                            <a:cxnLst/>
                            <a:rect l="l" t="t" r="r" b="b"/>
                            <a:pathLst>
                              <a:path w="88900" h="90170">
                                <a:moveTo>
                                  <a:pt x="88392" y="0"/>
                                </a:moveTo>
                                <a:lnTo>
                                  <a:pt x="0" y="0"/>
                                </a:lnTo>
                                <a:lnTo>
                                  <a:pt x="0" y="89915"/>
                                </a:lnTo>
                                <a:lnTo>
                                  <a:pt x="88392" y="89915"/>
                                </a:lnTo>
                                <a:lnTo>
                                  <a:pt x="88392" y="0"/>
                                </a:lnTo>
                                <a:close/>
                              </a:path>
                            </a:pathLst>
                          </a:custGeom>
                          <a:solidFill>
                            <a:srgbClr val="C0504D"/>
                          </a:solidFill>
                        </wps:spPr>
                        <wps:bodyPr wrap="square" lIns="0" tIns="0" rIns="0" bIns="0" rtlCol="0">
                          <a:prstTxWarp prst="textNoShape">
                            <a:avLst/>
                          </a:prstTxWarp>
                          <a:noAutofit/>
                        </wps:bodyPr>
                      </wps:wsp>
                      <wps:wsp>
                        <wps:cNvPr id="442" name="Graphic 442"/>
                        <wps:cNvSpPr/>
                        <wps:spPr>
                          <a:xfrm>
                            <a:off x="1800860" y="1864614"/>
                            <a:ext cx="88900" cy="90170"/>
                          </a:xfrm>
                          <a:custGeom>
                            <a:avLst/>
                            <a:gdLst/>
                            <a:ahLst/>
                            <a:cxnLst/>
                            <a:rect l="l" t="t" r="r" b="b"/>
                            <a:pathLst>
                              <a:path w="88900" h="90170">
                                <a:moveTo>
                                  <a:pt x="0" y="89915"/>
                                </a:moveTo>
                                <a:lnTo>
                                  <a:pt x="88392" y="89915"/>
                                </a:lnTo>
                                <a:lnTo>
                                  <a:pt x="88392" y="0"/>
                                </a:lnTo>
                                <a:lnTo>
                                  <a:pt x="0" y="0"/>
                                </a:lnTo>
                                <a:lnTo>
                                  <a:pt x="0" y="89915"/>
                                </a:lnTo>
                                <a:close/>
                              </a:path>
                            </a:pathLst>
                          </a:custGeom>
                          <a:ln w="9144">
                            <a:solidFill>
                              <a:srgbClr val="BD4A47"/>
                            </a:solidFill>
                            <a:prstDash val="solid"/>
                          </a:ln>
                        </wps:spPr>
                        <wps:bodyPr wrap="square" lIns="0" tIns="0" rIns="0" bIns="0" rtlCol="0">
                          <a:prstTxWarp prst="textNoShape">
                            <a:avLst/>
                          </a:prstTxWarp>
                          <a:noAutofit/>
                        </wps:bodyPr>
                      </wps:wsp>
                      <wps:wsp>
                        <wps:cNvPr id="443" name="Graphic 443"/>
                        <wps:cNvSpPr/>
                        <wps:spPr>
                          <a:xfrm>
                            <a:off x="1954783" y="1910333"/>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444" name="Graphic 444"/>
                        <wps:cNvSpPr/>
                        <wps:spPr>
                          <a:xfrm>
                            <a:off x="1954783" y="1910333"/>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445" name="Graphic 445"/>
                        <wps:cNvSpPr/>
                        <wps:spPr>
                          <a:xfrm>
                            <a:off x="2108707" y="1945385"/>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446" name="Graphic 446"/>
                        <wps:cNvSpPr/>
                        <wps:spPr>
                          <a:xfrm>
                            <a:off x="2108707" y="1945385"/>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447" name="Graphic 447"/>
                        <wps:cNvSpPr/>
                        <wps:spPr>
                          <a:xfrm>
                            <a:off x="2262632" y="1879854"/>
                            <a:ext cx="90170" cy="88900"/>
                          </a:xfrm>
                          <a:custGeom>
                            <a:avLst/>
                            <a:gdLst/>
                            <a:ahLst/>
                            <a:cxnLst/>
                            <a:rect l="l" t="t" r="r" b="b"/>
                            <a:pathLst>
                              <a:path w="90170" h="88900">
                                <a:moveTo>
                                  <a:pt x="89916" y="0"/>
                                </a:moveTo>
                                <a:lnTo>
                                  <a:pt x="0" y="0"/>
                                </a:lnTo>
                                <a:lnTo>
                                  <a:pt x="0" y="88392"/>
                                </a:lnTo>
                                <a:lnTo>
                                  <a:pt x="89916" y="88392"/>
                                </a:lnTo>
                                <a:lnTo>
                                  <a:pt x="89916" y="0"/>
                                </a:lnTo>
                                <a:close/>
                              </a:path>
                            </a:pathLst>
                          </a:custGeom>
                          <a:solidFill>
                            <a:srgbClr val="C0504D"/>
                          </a:solidFill>
                        </wps:spPr>
                        <wps:bodyPr wrap="square" lIns="0" tIns="0" rIns="0" bIns="0" rtlCol="0">
                          <a:prstTxWarp prst="textNoShape">
                            <a:avLst/>
                          </a:prstTxWarp>
                          <a:noAutofit/>
                        </wps:bodyPr>
                      </wps:wsp>
                      <wps:wsp>
                        <wps:cNvPr id="448" name="Graphic 448"/>
                        <wps:cNvSpPr/>
                        <wps:spPr>
                          <a:xfrm>
                            <a:off x="2262632" y="1879854"/>
                            <a:ext cx="90170" cy="88900"/>
                          </a:xfrm>
                          <a:custGeom>
                            <a:avLst/>
                            <a:gdLst/>
                            <a:ahLst/>
                            <a:cxnLst/>
                            <a:rect l="l" t="t" r="r" b="b"/>
                            <a:pathLst>
                              <a:path w="90170" h="88900">
                                <a:moveTo>
                                  <a:pt x="0" y="88392"/>
                                </a:moveTo>
                                <a:lnTo>
                                  <a:pt x="89916" y="88392"/>
                                </a:lnTo>
                                <a:lnTo>
                                  <a:pt x="89916"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449" name="Graphic 449"/>
                        <wps:cNvSpPr/>
                        <wps:spPr>
                          <a:xfrm>
                            <a:off x="2418079" y="1802129"/>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450" name="Graphic 450"/>
                        <wps:cNvSpPr/>
                        <wps:spPr>
                          <a:xfrm>
                            <a:off x="2418079" y="1802129"/>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451" name="Graphic 451"/>
                        <wps:cNvSpPr/>
                        <wps:spPr>
                          <a:xfrm>
                            <a:off x="2572004" y="1783842"/>
                            <a:ext cx="88900" cy="90170"/>
                          </a:xfrm>
                          <a:custGeom>
                            <a:avLst/>
                            <a:gdLst/>
                            <a:ahLst/>
                            <a:cxnLst/>
                            <a:rect l="l" t="t" r="r" b="b"/>
                            <a:pathLst>
                              <a:path w="88900" h="90170">
                                <a:moveTo>
                                  <a:pt x="88391" y="0"/>
                                </a:moveTo>
                                <a:lnTo>
                                  <a:pt x="0" y="0"/>
                                </a:lnTo>
                                <a:lnTo>
                                  <a:pt x="0" y="89915"/>
                                </a:lnTo>
                                <a:lnTo>
                                  <a:pt x="88391" y="89915"/>
                                </a:lnTo>
                                <a:lnTo>
                                  <a:pt x="88391" y="0"/>
                                </a:lnTo>
                                <a:close/>
                              </a:path>
                            </a:pathLst>
                          </a:custGeom>
                          <a:solidFill>
                            <a:srgbClr val="C0504D"/>
                          </a:solidFill>
                        </wps:spPr>
                        <wps:bodyPr wrap="square" lIns="0" tIns="0" rIns="0" bIns="0" rtlCol="0">
                          <a:prstTxWarp prst="textNoShape">
                            <a:avLst/>
                          </a:prstTxWarp>
                          <a:noAutofit/>
                        </wps:bodyPr>
                      </wps:wsp>
                      <wps:wsp>
                        <wps:cNvPr id="452" name="Graphic 452"/>
                        <wps:cNvSpPr/>
                        <wps:spPr>
                          <a:xfrm>
                            <a:off x="2572004" y="1783842"/>
                            <a:ext cx="88900" cy="90170"/>
                          </a:xfrm>
                          <a:custGeom>
                            <a:avLst/>
                            <a:gdLst/>
                            <a:ahLst/>
                            <a:cxnLst/>
                            <a:rect l="l" t="t" r="r" b="b"/>
                            <a:pathLst>
                              <a:path w="88900" h="90170">
                                <a:moveTo>
                                  <a:pt x="0" y="89915"/>
                                </a:moveTo>
                                <a:lnTo>
                                  <a:pt x="88391" y="89915"/>
                                </a:lnTo>
                                <a:lnTo>
                                  <a:pt x="88391" y="0"/>
                                </a:lnTo>
                                <a:lnTo>
                                  <a:pt x="0" y="0"/>
                                </a:lnTo>
                                <a:lnTo>
                                  <a:pt x="0" y="89915"/>
                                </a:lnTo>
                                <a:close/>
                              </a:path>
                            </a:pathLst>
                          </a:custGeom>
                          <a:ln w="9144">
                            <a:solidFill>
                              <a:srgbClr val="BD4A47"/>
                            </a:solidFill>
                            <a:prstDash val="solid"/>
                          </a:ln>
                        </wps:spPr>
                        <wps:bodyPr wrap="square" lIns="0" tIns="0" rIns="0" bIns="0" rtlCol="0">
                          <a:prstTxWarp prst="textNoShape">
                            <a:avLst/>
                          </a:prstTxWarp>
                          <a:noAutofit/>
                        </wps:bodyPr>
                      </wps:wsp>
                      <wps:wsp>
                        <wps:cNvPr id="453" name="Graphic 453"/>
                        <wps:cNvSpPr/>
                        <wps:spPr>
                          <a:xfrm>
                            <a:off x="2725927" y="1494282"/>
                            <a:ext cx="90170" cy="90170"/>
                          </a:xfrm>
                          <a:custGeom>
                            <a:avLst/>
                            <a:gdLst/>
                            <a:ahLst/>
                            <a:cxnLst/>
                            <a:rect l="l" t="t" r="r" b="b"/>
                            <a:pathLst>
                              <a:path w="90170" h="90170">
                                <a:moveTo>
                                  <a:pt x="89915" y="0"/>
                                </a:moveTo>
                                <a:lnTo>
                                  <a:pt x="0" y="0"/>
                                </a:lnTo>
                                <a:lnTo>
                                  <a:pt x="0" y="89916"/>
                                </a:lnTo>
                                <a:lnTo>
                                  <a:pt x="89915" y="89916"/>
                                </a:lnTo>
                                <a:lnTo>
                                  <a:pt x="89915" y="0"/>
                                </a:lnTo>
                                <a:close/>
                              </a:path>
                            </a:pathLst>
                          </a:custGeom>
                          <a:solidFill>
                            <a:srgbClr val="C0504D"/>
                          </a:solidFill>
                        </wps:spPr>
                        <wps:bodyPr wrap="square" lIns="0" tIns="0" rIns="0" bIns="0" rtlCol="0">
                          <a:prstTxWarp prst="textNoShape">
                            <a:avLst/>
                          </a:prstTxWarp>
                          <a:noAutofit/>
                        </wps:bodyPr>
                      </wps:wsp>
                      <wps:wsp>
                        <wps:cNvPr id="454" name="Graphic 454"/>
                        <wps:cNvSpPr/>
                        <wps:spPr>
                          <a:xfrm>
                            <a:off x="2725927" y="1494282"/>
                            <a:ext cx="90170" cy="90170"/>
                          </a:xfrm>
                          <a:custGeom>
                            <a:avLst/>
                            <a:gdLst/>
                            <a:ahLst/>
                            <a:cxnLst/>
                            <a:rect l="l" t="t" r="r" b="b"/>
                            <a:pathLst>
                              <a:path w="90170" h="90170">
                                <a:moveTo>
                                  <a:pt x="0" y="89916"/>
                                </a:moveTo>
                                <a:lnTo>
                                  <a:pt x="89915" y="89916"/>
                                </a:lnTo>
                                <a:lnTo>
                                  <a:pt x="89915"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455" name="Graphic 455"/>
                        <wps:cNvSpPr/>
                        <wps:spPr>
                          <a:xfrm>
                            <a:off x="2879851" y="1229105"/>
                            <a:ext cx="90170" cy="90170"/>
                          </a:xfrm>
                          <a:custGeom>
                            <a:avLst/>
                            <a:gdLst/>
                            <a:ahLst/>
                            <a:cxnLst/>
                            <a:rect l="l" t="t" r="r" b="b"/>
                            <a:pathLst>
                              <a:path w="90170" h="90170">
                                <a:moveTo>
                                  <a:pt x="89915" y="0"/>
                                </a:moveTo>
                                <a:lnTo>
                                  <a:pt x="0" y="0"/>
                                </a:lnTo>
                                <a:lnTo>
                                  <a:pt x="0" y="89916"/>
                                </a:lnTo>
                                <a:lnTo>
                                  <a:pt x="89915" y="89916"/>
                                </a:lnTo>
                                <a:lnTo>
                                  <a:pt x="89915" y="0"/>
                                </a:lnTo>
                                <a:close/>
                              </a:path>
                            </a:pathLst>
                          </a:custGeom>
                          <a:solidFill>
                            <a:srgbClr val="C0504D"/>
                          </a:solidFill>
                        </wps:spPr>
                        <wps:bodyPr wrap="square" lIns="0" tIns="0" rIns="0" bIns="0" rtlCol="0">
                          <a:prstTxWarp prst="textNoShape">
                            <a:avLst/>
                          </a:prstTxWarp>
                          <a:noAutofit/>
                        </wps:bodyPr>
                      </wps:wsp>
                      <wps:wsp>
                        <wps:cNvPr id="456" name="Graphic 456"/>
                        <wps:cNvSpPr/>
                        <wps:spPr>
                          <a:xfrm>
                            <a:off x="2879851" y="1229105"/>
                            <a:ext cx="90170" cy="90170"/>
                          </a:xfrm>
                          <a:custGeom>
                            <a:avLst/>
                            <a:gdLst/>
                            <a:ahLst/>
                            <a:cxnLst/>
                            <a:rect l="l" t="t" r="r" b="b"/>
                            <a:pathLst>
                              <a:path w="90170" h="90170">
                                <a:moveTo>
                                  <a:pt x="0" y="89916"/>
                                </a:moveTo>
                                <a:lnTo>
                                  <a:pt x="89915" y="89916"/>
                                </a:lnTo>
                                <a:lnTo>
                                  <a:pt x="89915"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457" name="Graphic 457"/>
                        <wps:cNvSpPr/>
                        <wps:spPr>
                          <a:xfrm>
                            <a:off x="3035300" y="1285494"/>
                            <a:ext cx="88900" cy="88900"/>
                          </a:xfrm>
                          <a:custGeom>
                            <a:avLst/>
                            <a:gdLst/>
                            <a:ahLst/>
                            <a:cxnLst/>
                            <a:rect l="l" t="t" r="r" b="b"/>
                            <a:pathLst>
                              <a:path w="88900" h="88900">
                                <a:moveTo>
                                  <a:pt x="88391" y="0"/>
                                </a:moveTo>
                                <a:lnTo>
                                  <a:pt x="0" y="0"/>
                                </a:lnTo>
                                <a:lnTo>
                                  <a:pt x="0" y="88391"/>
                                </a:lnTo>
                                <a:lnTo>
                                  <a:pt x="88391" y="88391"/>
                                </a:lnTo>
                                <a:lnTo>
                                  <a:pt x="88391" y="0"/>
                                </a:lnTo>
                                <a:close/>
                              </a:path>
                            </a:pathLst>
                          </a:custGeom>
                          <a:solidFill>
                            <a:srgbClr val="C0504D"/>
                          </a:solidFill>
                        </wps:spPr>
                        <wps:bodyPr wrap="square" lIns="0" tIns="0" rIns="0" bIns="0" rtlCol="0">
                          <a:prstTxWarp prst="textNoShape">
                            <a:avLst/>
                          </a:prstTxWarp>
                          <a:noAutofit/>
                        </wps:bodyPr>
                      </wps:wsp>
                      <wps:wsp>
                        <wps:cNvPr id="458" name="Graphic 458"/>
                        <wps:cNvSpPr/>
                        <wps:spPr>
                          <a:xfrm>
                            <a:off x="3035300" y="1285494"/>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459" name="Graphic 459"/>
                        <wps:cNvSpPr/>
                        <wps:spPr>
                          <a:xfrm>
                            <a:off x="3189223" y="1407413"/>
                            <a:ext cx="88900" cy="88900"/>
                          </a:xfrm>
                          <a:custGeom>
                            <a:avLst/>
                            <a:gdLst/>
                            <a:ahLst/>
                            <a:cxnLst/>
                            <a:rect l="l" t="t" r="r" b="b"/>
                            <a:pathLst>
                              <a:path w="88900" h="88900">
                                <a:moveTo>
                                  <a:pt x="88391" y="0"/>
                                </a:moveTo>
                                <a:lnTo>
                                  <a:pt x="0" y="0"/>
                                </a:lnTo>
                                <a:lnTo>
                                  <a:pt x="0" y="88391"/>
                                </a:lnTo>
                                <a:lnTo>
                                  <a:pt x="88391" y="88391"/>
                                </a:lnTo>
                                <a:lnTo>
                                  <a:pt x="88391" y="0"/>
                                </a:lnTo>
                                <a:close/>
                              </a:path>
                            </a:pathLst>
                          </a:custGeom>
                          <a:solidFill>
                            <a:srgbClr val="C0504D"/>
                          </a:solidFill>
                        </wps:spPr>
                        <wps:bodyPr wrap="square" lIns="0" tIns="0" rIns="0" bIns="0" rtlCol="0">
                          <a:prstTxWarp prst="textNoShape">
                            <a:avLst/>
                          </a:prstTxWarp>
                          <a:noAutofit/>
                        </wps:bodyPr>
                      </wps:wsp>
                      <wps:wsp>
                        <wps:cNvPr id="460" name="Graphic 460"/>
                        <wps:cNvSpPr/>
                        <wps:spPr>
                          <a:xfrm>
                            <a:off x="3189223" y="1407413"/>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461" name="Graphic 461"/>
                        <wps:cNvSpPr/>
                        <wps:spPr>
                          <a:xfrm>
                            <a:off x="3343147" y="1517141"/>
                            <a:ext cx="90170" cy="88900"/>
                          </a:xfrm>
                          <a:custGeom>
                            <a:avLst/>
                            <a:gdLst/>
                            <a:ahLst/>
                            <a:cxnLst/>
                            <a:rect l="l" t="t" r="r" b="b"/>
                            <a:pathLst>
                              <a:path w="90170" h="88900">
                                <a:moveTo>
                                  <a:pt x="89915" y="0"/>
                                </a:moveTo>
                                <a:lnTo>
                                  <a:pt x="0" y="0"/>
                                </a:lnTo>
                                <a:lnTo>
                                  <a:pt x="0" y="88391"/>
                                </a:lnTo>
                                <a:lnTo>
                                  <a:pt x="89915" y="88391"/>
                                </a:lnTo>
                                <a:lnTo>
                                  <a:pt x="89915" y="0"/>
                                </a:lnTo>
                                <a:close/>
                              </a:path>
                            </a:pathLst>
                          </a:custGeom>
                          <a:solidFill>
                            <a:srgbClr val="C0504D"/>
                          </a:solidFill>
                        </wps:spPr>
                        <wps:bodyPr wrap="square" lIns="0" tIns="0" rIns="0" bIns="0" rtlCol="0">
                          <a:prstTxWarp prst="textNoShape">
                            <a:avLst/>
                          </a:prstTxWarp>
                          <a:noAutofit/>
                        </wps:bodyPr>
                      </wps:wsp>
                      <wps:wsp>
                        <wps:cNvPr id="462" name="Graphic 462"/>
                        <wps:cNvSpPr/>
                        <wps:spPr>
                          <a:xfrm>
                            <a:off x="3343147" y="1517141"/>
                            <a:ext cx="90170" cy="88900"/>
                          </a:xfrm>
                          <a:custGeom>
                            <a:avLst/>
                            <a:gdLst/>
                            <a:ahLst/>
                            <a:cxnLst/>
                            <a:rect l="l" t="t" r="r" b="b"/>
                            <a:pathLst>
                              <a:path w="90170" h="88900">
                                <a:moveTo>
                                  <a:pt x="0" y="88391"/>
                                </a:moveTo>
                                <a:lnTo>
                                  <a:pt x="89915" y="88391"/>
                                </a:lnTo>
                                <a:lnTo>
                                  <a:pt x="89915"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463" name="Graphic 463"/>
                        <wps:cNvSpPr/>
                        <wps:spPr>
                          <a:xfrm>
                            <a:off x="3498596" y="1297686"/>
                            <a:ext cx="88900" cy="90170"/>
                          </a:xfrm>
                          <a:custGeom>
                            <a:avLst/>
                            <a:gdLst/>
                            <a:ahLst/>
                            <a:cxnLst/>
                            <a:rect l="l" t="t" r="r" b="b"/>
                            <a:pathLst>
                              <a:path w="88900" h="90170">
                                <a:moveTo>
                                  <a:pt x="88391" y="0"/>
                                </a:moveTo>
                                <a:lnTo>
                                  <a:pt x="0" y="0"/>
                                </a:lnTo>
                                <a:lnTo>
                                  <a:pt x="0" y="89916"/>
                                </a:lnTo>
                                <a:lnTo>
                                  <a:pt x="88391" y="89916"/>
                                </a:lnTo>
                                <a:lnTo>
                                  <a:pt x="88391" y="0"/>
                                </a:lnTo>
                                <a:close/>
                              </a:path>
                            </a:pathLst>
                          </a:custGeom>
                          <a:solidFill>
                            <a:srgbClr val="C0504D"/>
                          </a:solidFill>
                        </wps:spPr>
                        <wps:bodyPr wrap="square" lIns="0" tIns="0" rIns="0" bIns="0" rtlCol="0">
                          <a:prstTxWarp prst="textNoShape">
                            <a:avLst/>
                          </a:prstTxWarp>
                          <a:noAutofit/>
                        </wps:bodyPr>
                      </wps:wsp>
                      <wps:wsp>
                        <wps:cNvPr id="464" name="Graphic 464"/>
                        <wps:cNvSpPr/>
                        <wps:spPr>
                          <a:xfrm>
                            <a:off x="3498596" y="1297686"/>
                            <a:ext cx="88900" cy="90170"/>
                          </a:xfrm>
                          <a:custGeom>
                            <a:avLst/>
                            <a:gdLst/>
                            <a:ahLst/>
                            <a:cxnLst/>
                            <a:rect l="l" t="t" r="r" b="b"/>
                            <a:pathLst>
                              <a:path w="88900" h="90170">
                                <a:moveTo>
                                  <a:pt x="0" y="89916"/>
                                </a:moveTo>
                                <a:lnTo>
                                  <a:pt x="88391" y="89916"/>
                                </a:lnTo>
                                <a:lnTo>
                                  <a:pt x="88391"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465" name="Graphic 465"/>
                        <wps:cNvSpPr/>
                        <wps:spPr>
                          <a:xfrm>
                            <a:off x="3652520" y="901446"/>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466" name="Graphic 466"/>
                        <wps:cNvSpPr/>
                        <wps:spPr>
                          <a:xfrm>
                            <a:off x="3652520" y="901446"/>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467" name="Graphic 467"/>
                        <wps:cNvSpPr/>
                        <wps:spPr>
                          <a:xfrm>
                            <a:off x="3806444" y="368045"/>
                            <a:ext cx="88900" cy="90170"/>
                          </a:xfrm>
                          <a:custGeom>
                            <a:avLst/>
                            <a:gdLst/>
                            <a:ahLst/>
                            <a:cxnLst/>
                            <a:rect l="l" t="t" r="r" b="b"/>
                            <a:pathLst>
                              <a:path w="88900" h="90170">
                                <a:moveTo>
                                  <a:pt x="88391" y="0"/>
                                </a:moveTo>
                                <a:lnTo>
                                  <a:pt x="0" y="0"/>
                                </a:lnTo>
                                <a:lnTo>
                                  <a:pt x="0" y="89915"/>
                                </a:lnTo>
                                <a:lnTo>
                                  <a:pt x="88391" y="89915"/>
                                </a:lnTo>
                                <a:lnTo>
                                  <a:pt x="88391" y="0"/>
                                </a:lnTo>
                                <a:close/>
                              </a:path>
                            </a:pathLst>
                          </a:custGeom>
                          <a:solidFill>
                            <a:srgbClr val="C0504D"/>
                          </a:solidFill>
                        </wps:spPr>
                        <wps:bodyPr wrap="square" lIns="0" tIns="0" rIns="0" bIns="0" rtlCol="0">
                          <a:prstTxWarp prst="textNoShape">
                            <a:avLst/>
                          </a:prstTxWarp>
                          <a:noAutofit/>
                        </wps:bodyPr>
                      </wps:wsp>
                      <wps:wsp>
                        <wps:cNvPr id="468" name="Graphic 468"/>
                        <wps:cNvSpPr/>
                        <wps:spPr>
                          <a:xfrm>
                            <a:off x="3806444" y="368045"/>
                            <a:ext cx="88900" cy="90170"/>
                          </a:xfrm>
                          <a:custGeom>
                            <a:avLst/>
                            <a:gdLst/>
                            <a:ahLst/>
                            <a:cxnLst/>
                            <a:rect l="l" t="t" r="r" b="b"/>
                            <a:pathLst>
                              <a:path w="88900" h="90170">
                                <a:moveTo>
                                  <a:pt x="0" y="89915"/>
                                </a:moveTo>
                                <a:lnTo>
                                  <a:pt x="88391" y="89915"/>
                                </a:lnTo>
                                <a:lnTo>
                                  <a:pt x="88391" y="0"/>
                                </a:lnTo>
                                <a:lnTo>
                                  <a:pt x="0" y="0"/>
                                </a:lnTo>
                                <a:lnTo>
                                  <a:pt x="0" y="89915"/>
                                </a:lnTo>
                                <a:close/>
                              </a:path>
                            </a:pathLst>
                          </a:custGeom>
                          <a:ln w="9144">
                            <a:solidFill>
                              <a:srgbClr val="BD4A47"/>
                            </a:solidFill>
                            <a:prstDash val="solid"/>
                          </a:ln>
                        </wps:spPr>
                        <wps:bodyPr wrap="square" lIns="0" tIns="0" rIns="0" bIns="0" rtlCol="0">
                          <a:prstTxWarp prst="textNoShape">
                            <a:avLst/>
                          </a:prstTxWarp>
                          <a:noAutofit/>
                        </wps:bodyPr>
                      </wps:wsp>
                      <wps:wsp>
                        <wps:cNvPr id="469" name="Graphic 469"/>
                        <wps:cNvSpPr/>
                        <wps:spPr>
                          <a:xfrm>
                            <a:off x="3960367" y="240029"/>
                            <a:ext cx="90170" cy="88900"/>
                          </a:xfrm>
                          <a:custGeom>
                            <a:avLst/>
                            <a:gdLst/>
                            <a:ahLst/>
                            <a:cxnLst/>
                            <a:rect l="l" t="t" r="r" b="b"/>
                            <a:pathLst>
                              <a:path w="90170" h="88900">
                                <a:moveTo>
                                  <a:pt x="89915" y="0"/>
                                </a:moveTo>
                                <a:lnTo>
                                  <a:pt x="0" y="0"/>
                                </a:lnTo>
                                <a:lnTo>
                                  <a:pt x="0" y="88391"/>
                                </a:lnTo>
                                <a:lnTo>
                                  <a:pt x="89915" y="88391"/>
                                </a:lnTo>
                                <a:lnTo>
                                  <a:pt x="89915" y="0"/>
                                </a:lnTo>
                                <a:close/>
                              </a:path>
                            </a:pathLst>
                          </a:custGeom>
                          <a:solidFill>
                            <a:srgbClr val="C0504D"/>
                          </a:solidFill>
                        </wps:spPr>
                        <wps:bodyPr wrap="square" lIns="0" tIns="0" rIns="0" bIns="0" rtlCol="0">
                          <a:prstTxWarp prst="textNoShape">
                            <a:avLst/>
                          </a:prstTxWarp>
                          <a:noAutofit/>
                        </wps:bodyPr>
                      </wps:wsp>
                      <wps:wsp>
                        <wps:cNvPr id="470" name="Graphic 470"/>
                        <wps:cNvSpPr/>
                        <wps:spPr>
                          <a:xfrm>
                            <a:off x="3960367" y="240029"/>
                            <a:ext cx="90170" cy="88900"/>
                          </a:xfrm>
                          <a:custGeom>
                            <a:avLst/>
                            <a:gdLst/>
                            <a:ahLst/>
                            <a:cxnLst/>
                            <a:rect l="l" t="t" r="r" b="b"/>
                            <a:pathLst>
                              <a:path w="90170" h="88900">
                                <a:moveTo>
                                  <a:pt x="0" y="88391"/>
                                </a:moveTo>
                                <a:lnTo>
                                  <a:pt x="89915" y="88391"/>
                                </a:lnTo>
                                <a:lnTo>
                                  <a:pt x="89915"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471" name="Graphic 471"/>
                        <wps:cNvSpPr/>
                        <wps:spPr>
                          <a:xfrm>
                            <a:off x="4115815" y="1203197"/>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472" name="Graphic 472"/>
                        <wps:cNvSpPr/>
                        <wps:spPr>
                          <a:xfrm>
                            <a:off x="4115815" y="1203197"/>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473" name="Graphic 473"/>
                        <wps:cNvSpPr/>
                        <wps:spPr>
                          <a:xfrm>
                            <a:off x="136906" y="831595"/>
                            <a:ext cx="36830" cy="83820"/>
                          </a:xfrm>
                          <a:custGeom>
                            <a:avLst/>
                            <a:gdLst/>
                            <a:ahLst/>
                            <a:cxnLst/>
                            <a:rect l="l" t="t" r="r" b="b"/>
                            <a:pathLst>
                              <a:path w="36830" h="83820">
                                <a:moveTo>
                                  <a:pt x="12192" y="0"/>
                                </a:moveTo>
                                <a:lnTo>
                                  <a:pt x="0" y="0"/>
                                </a:lnTo>
                                <a:lnTo>
                                  <a:pt x="0" y="83820"/>
                                </a:lnTo>
                                <a:lnTo>
                                  <a:pt x="12192" y="83820"/>
                                </a:lnTo>
                                <a:lnTo>
                                  <a:pt x="12192" y="0"/>
                                </a:lnTo>
                                <a:close/>
                              </a:path>
                              <a:path w="36830" h="83820">
                                <a:moveTo>
                                  <a:pt x="36576" y="0"/>
                                </a:moveTo>
                                <a:lnTo>
                                  <a:pt x="24384" y="0"/>
                                </a:lnTo>
                                <a:lnTo>
                                  <a:pt x="24384" y="83820"/>
                                </a:lnTo>
                                <a:lnTo>
                                  <a:pt x="36576" y="83820"/>
                                </a:lnTo>
                                <a:lnTo>
                                  <a:pt x="36576" y="0"/>
                                </a:lnTo>
                                <a:close/>
                              </a:path>
                            </a:pathLst>
                          </a:custGeom>
                          <a:solidFill>
                            <a:srgbClr val="000000"/>
                          </a:solidFill>
                        </wps:spPr>
                        <wps:bodyPr wrap="square" lIns="0" tIns="0" rIns="0" bIns="0" rtlCol="0">
                          <a:prstTxWarp prst="textNoShape">
                            <a:avLst/>
                          </a:prstTxWarp>
                          <a:noAutofit/>
                        </wps:bodyPr>
                      </wps:wsp>
                      <pic:pic>
                        <pic:nvPicPr>
                          <pic:cNvPr id="474" name="Image 474"/>
                          <pic:cNvPicPr/>
                        </pic:nvPicPr>
                        <pic:blipFill>
                          <a:blip r:embed="rId126" cstate="print"/>
                          <a:stretch>
                            <a:fillRect/>
                          </a:stretch>
                        </pic:blipFill>
                        <pic:spPr>
                          <a:xfrm>
                            <a:off x="4358132" y="1035558"/>
                            <a:ext cx="243839" cy="85344"/>
                          </a:xfrm>
                          <a:prstGeom prst="rect">
                            <a:avLst/>
                          </a:prstGeom>
                        </pic:spPr>
                      </pic:pic>
                      <wps:wsp>
                        <wps:cNvPr id="475" name="Graphic 475"/>
                        <wps:cNvSpPr/>
                        <wps:spPr>
                          <a:xfrm>
                            <a:off x="4358132" y="1428750"/>
                            <a:ext cx="243840" cy="1270"/>
                          </a:xfrm>
                          <a:custGeom>
                            <a:avLst/>
                            <a:gdLst/>
                            <a:ahLst/>
                            <a:cxnLst/>
                            <a:rect l="l" t="t" r="r" b="b"/>
                            <a:pathLst>
                              <a:path w="243840" h="0">
                                <a:moveTo>
                                  <a:pt x="0" y="0"/>
                                </a:moveTo>
                                <a:lnTo>
                                  <a:pt x="243839" y="0"/>
                                </a:lnTo>
                              </a:path>
                            </a:pathLst>
                          </a:custGeom>
                          <a:ln w="24384">
                            <a:solidFill>
                              <a:srgbClr val="BD4A47"/>
                            </a:solidFill>
                            <a:prstDash val="solid"/>
                          </a:ln>
                        </wps:spPr>
                        <wps:bodyPr wrap="square" lIns="0" tIns="0" rIns="0" bIns="0" rtlCol="0">
                          <a:prstTxWarp prst="textNoShape">
                            <a:avLst/>
                          </a:prstTxWarp>
                          <a:noAutofit/>
                        </wps:bodyPr>
                      </wps:wsp>
                      <wps:wsp>
                        <wps:cNvPr id="476" name="Graphic 476"/>
                        <wps:cNvSpPr/>
                        <wps:spPr>
                          <a:xfrm>
                            <a:off x="4441952" y="1390650"/>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C0504D"/>
                          </a:solidFill>
                        </wps:spPr>
                        <wps:bodyPr wrap="square" lIns="0" tIns="0" rIns="0" bIns="0" rtlCol="0">
                          <a:prstTxWarp prst="textNoShape">
                            <a:avLst/>
                          </a:prstTxWarp>
                          <a:noAutofit/>
                        </wps:bodyPr>
                      </wps:wsp>
                      <wps:wsp>
                        <wps:cNvPr id="477" name="Graphic 477"/>
                        <wps:cNvSpPr/>
                        <wps:spPr>
                          <a:xfrm>
                            <a:off x="4441952" y="1390650"/>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BD4A47"/>
                            </a:solidFill>
                            <a:prstDash val="solid"/>
                          </a:ln>
                        </wps:spPr>
                        <wps:bodyPr wrap="square" lIns="0" tIns="0" rIns="0" bIns="0" rtlCol="0">
                          <a:prstTxWarp prst="textNoShape">
                            <a:avLst/>
                          </a:prstTxWarp>
                          <a:noAutofit/>
                        </wps:bodyPr>
                      </wps:wsp>
                      <wps:wsp>
                        <wps:cNvPr id="478" name="Graphic 478"/>
                        <wps:cNvSpPr/>
                        <wps:spPr>
                          <a:xfrm>
                            <a:off x="6350" y="6350"/>
                            <a:ext cx="5941060" cy="2647950"/>
                          </a:xfrm>
                          <a:custGeom>
                            <a:avLst/>
                            <a:gdLst/>
                            <a:ahLst/>
                            <a:cxnLst/>
                            <a:rect l="l" t="t" r="r" b="b"/>
                            <a:pathLst>
                              <a:path w="5941060" h="2647950">
                                <a:moveTo>
                                  <a:pt x="0" y="2647696"/>
                                </a:moveTo>
                                <a:lnTo>
                                  <a:pt x="5940679" y="2647696"/>
                                </a:lnTo>
                                <a:lnTo>
                                  <a:pt x="5940679" y="0"/>
                                </a:lnTo>
                                <a:lnTo>
                                  <a:pt x="0" y="0"/>
                                </a:lnTo>
                                <a:lnTo>
                                  <a:pt x="0" y="2647696"/>
                                </a:lnTo>
                                <a:close/>
                              </a:path>
                            </a:pathLst>
                          </a:custGeom>
                          <a:ln w="12700">
                            <a:solidFill>
                              <a:srgbClr val="858585"/>
                            </a:solidFill>
                            <a:prstDash val="solid"/>
                          </a:ln>
                        </wps:spPr>
                        <wps:bodyPr wrap="square" lIns="0" tIns="0" rIns="0" bIns="0" rtlCol="0">
                          <a:prstTxWarp prst="textNoShape">
                            <a:avLst/>
                          </a:prstTxWarp>
                          <a:noAutofit/>
                        </wps:bodyPr>
                      </wps:wsp>
                      <wps:wsp>
                        <wps:cNvPr id="479" name="Textbox 479"/>
                        <wps:cNvSpPr txBox="1"/>
                        <wps:spPr>
                          <a:xfrm>
                            <a:off x="313436" y="77215"/>
                            <a:ext cx="1037590" cy="1447800"/>
                          </a:xfrm>
                          <a:prstGeom prst="rect">
                            <a:avLst/>
                          </a:prstGeom>
                        </wps:spPr>
                        <wps:txbx>
                          <w:txbxContent>
                            <w:p>
                              <w:pPr>
                                <w:spacing w:line="203" w:lineRule="exact" w:before="0"/>
                                <w:ind w:left="0" w:right="18" w:firstLine="0"/>
                                <w:jc w:val="right"/>
                                <w:rPr>
                                  <w:rFonts w:ascii="Calibri"/>
                                  <w:sz w:val="20"/>
                                </w:rPr>
                              </w:pPr>
                              <w:r>
                                <w:rPr>
                                  <w:rFonts w:ascii="Calibri"/>
                                  <w:spacing w:val="-2"/>
                                  <w:sz w:val="20"/>
                                </w:rPr>
                                <w:t>120,000,000,000.00</w:t>
                              </w:r>
                            </w:p>
                            <w:p>
                              <w:pPr>
                                <w:spacing w:line="240" w:lineRule="auto" w:before="31"/>
                                <w:rPr>
                                  <w:rFonts w:ascii="Calibri"/>
                                  <w:sz w:val="20"/>
                                </w:rPr>
                              </w:pPr>
                            </w:p>
                            <w:p>
                              <w:pPr>
                                <w:spacing w:before="1"/>
                                <w:ind w:left="0" w:right="18" w:firstLine="0"/>
                                <w:jc w:val="right"/>
                                <w:rPr>
                                  <w:rFonts w:ascii="Calibri"/>
                                  <w:sz w:val="20"/>
                                </w:rPr>
                              </w:pPr>
                              <w:r>
                                <w:rPr>
                                  <w:rFonts w:ascii="Calibri"/>
                                  <w:spacing w:val="-2"/>
                                  <w:sz w:val="20"/>
                                </w:rPr>
                                <w:t>100,000,000,000.00</w:t>
                              </w:r>
                            </w:p>
                            <w:p>
                              <w:pPr>
                                <w:spacing w:line="240" w:lineRule="auto" w:before="31"/>
                                <w:rPr>
                                  <w:rFonts w:ascii="Calibri"/>
                                  <w:sz w:val="20"/>
                                </w:rPr>
                              </w:pPr>
                            </w:p>
                            <w:p>
                              <w:pPr>
                                <w:spacing w:before="0"/>
                                <w:ind w:left="0" w:right="18" w:firstLine="0"/>
                                <w:jc w:val="right"/>
                                <w:rPr>
                                  <w:rFonts w:ascii="Calibri"/>
                                  <w:sz w:val="20"/>
                                </w:rPr>
                              </w:pPr>
                              <w:r>
                                <w:rPr>
                                  <w:rFonts w:ascii="Calibri"/>
                                  <w:spacing w:val="-2"/>
                                  <w:sz w:val="20"/>
                                </w:rPr>
                                <w:t>80,000,000,000.00</w:t>
                              </w:r>
                            </w:p>
                            <w:p>
                              <w:pPr>
                                <w:spacing w:line="240" w:lineRule="auto" w:before="32"/>
                                <w:rPr>
                                  <w:rFonts w:ascii="Calibri"/>
                                  <w:sz w:val="20"/>
                                </w:rPr>
                              </w:pPr>
                            </w:p>
                            <w:p>
                              <w:pPr>
                                <w:spacing w:before="0"/>
                                <w:ind w:left="0" w:right="18" w:firstLine="0"/>
                                <w:jc w:val="right"/>
                                <w:rPr>
                                  <w:rFonts w:ascii="Calibri"/>
                                  <w:sz w:val="20"/>
                                </w:rPr>
                              </w:pPr>
                              <w:r>
                                <w:rPr>
                                  <w:rFonts w:ascii="Calibri"/>
                                  <w:spacing w:val="-2"/>
                                  <w:sz w:val="20"/>
                                </w:rPr>
                                <w:t>60,000,000,000.00</w:t>
                              </w:r>
                            </w:p>
                            <w:p>
                              <w:pPr>
                                <w:spacing w:line="240" w:lineRule="auto" w:before="32"/>
                                <w:rPr>
                                  <w:rFonts w:ascii="Calibri"/>
                                  <w:sz w:val="20"/>
                                </w:rPr>
                              </w:pPr>
                            </w:p>
                            <w:p>
                              <w:pPr>
                                <w:spacing w:line="240" w:lineRule="exact" w:before="0"/>
                                <w:ind w:left="0" w:right="18" w:firstLine="0"/>
                                <w:jc w:val="right"/>
                                <w:rPr>
                                  <w:rFonts w:ascii="Calibri"/>
                                  <w:sz w:val="20"/>
                                </w:rPr>
                              </w:pPr>
                              <w:r>
                                <w:rPr>
                                  <w:rFonts w:ascii="Calibri"/>
                                  <w:spacing w:val="-2"/>
                                  <w:sz w:val="20"/>
                                </w:rPr>
                                <w:t>40,000,000,000.00</w:t>
                              </w:r>
                            </w:p>
                          </w:txbxContent>
                        </wps:txbx>
                        <wps:bodyPr wrap="square" lIns="0" tIns="0" rIns="0" bIns="0" rtlCol="0">
                          <a:noAutofit/>
                        </wps:bodyPr>
                      </wps:wsp>
                      <wps:wsp>
                        <wps:cNvPr id="480" name="Textbox 480"/>
                        <wps:cNvSpPr txBox="1"/>
                        <wps:spPr>
                          <a:xfrm>
                            <a:off x="4628515" y="1020191"/>
                            <a:ext cx="1216660" cy="632460"/>
                          </a:xfrm>
                          <a:prstGeom prst="rect">
                            <a:avLst/>
                          </a:prstGeom>
                        </wps:spPr>
                        <wps:txbx>
                          <w:txbxContent>
                            <w:p>
                              <w:pPr>
                                <w:spacing w:line="203" w:lineRule="exact" w:before="0"/>
                                <w:ind w:left="0" w:right="0" w:firstLine="0"/>
                                <w:jc w:val="left"/>
                                <w:rPr>
                                  <w:rFonts w:ascii="Calibri"/>
                                  <w:sz w:val="20"/>
                                </w:rPr>
                              </w:pPr>
                              <w:r>
                                <w:rPr>
                                  <w:rFonts w:ascii="Calibri"/>
                                  <w:sz w:val="20"/>
                                </w:rPr>
                                <w:t>Annual</w:t>
                              </w:r>
                              <w:r>
                                <w:rPr>
                                  <w:rFonts w:ascii="Calibri"/>
                                  <w:spacing w:val="-12"/>
                                  <w:sz w:val="20"/>
                                </w:rPr>
                                <w:t> </w:t>
                              </w:r>
                              <w:r>
                                <w:rPr>
                                  <w:rFonts w:ascii="Calibri"/>
                                  <w:sz w:val="20"/>
                                </w:rPr>
                                <w:t>Housing</w:t>
                              </w:r>
                              <w:r>
                                <w:rPr>
                                  <w:rFonts w:ascii="Calibri"/>
                                  <w:spacing w:val="-7"/>
                                  <w:sz w:val="20"/>
                                </w:rPr>
                                <w:t> </w:t>
                              </w:r>
                              <w:r>
                                <w:rPr>
                                  <w:rFonts w:ascii="Calibri"/>
                                  <w:spacing w:val="-2"/>
                                  <w:sz w:val="20"/>
                                </w:rPr>
                                <w:t>Budget</w:t>
                              </w:r>
                            </w:p>
                            <w:p>
                              <w:pPr>
                                <w:spacing w:before="0"/>
                                <w:ind w:left="0" w:right="0" w:firstLine="0"/>
                                <w:jc w:val="left"/>
                                <w:rPr>
                                  <w:rFonts w:ascii="Calibri"/>
                                  <w:sz w:val="20"/>
                                </w:rPr>
                              </w:pPr>
                              <w:r>
                                <w:rPr>
                                  <w:rFonts w:ascii="Calibri"/>
                                  <w:spacing w:val="-2"/>
                                  <w:sz w:val="20"/>
                                </w:rPr>
                                <w:t>Allocations</w:t>
                              </w:r>
                            </w:p>
                            <w:p>
                              <w:pPr>
                                <w:spacing w:before="60"/>
                                <w:ind w:left="0" w:right="0" w:firstLine="0"/>
                                <w:jc w:val="left"/>
                                <w:rPr>
                                  <w:rFonts w:ascii="Calibri"/>
                                  <w:sz w:val="20"/>
                                </w:rPr>
                              </w:pPr>
                              <w:r>
                                <w:rPr>
                                  <w:rFonts w:ascii="Calibri"/>
                                  <w:sz w:val="20"/>
                                </w:rPr>
                                <w:t>Annual</w:t>
                              </w:r>
                              <w:r>
                                <w:rPr>
                                  <w:rFonts w:ascii="Calibri"/>
                                  <w:spacing w:val="-12"/>
                                  <w:sz w:val="20"/>
                                </w:rPr>
                                <w:t> </w:t>
                              </w:r>
                              <w:r>
                                <w:rPr>
                                  <w:rFonts w:ascii="Calibri"/>
                                  <w:sz w:val="20"/>
                                </w:rPr>
                                <w:t>Total</w:t>
                              </w:r>
                              <w:r>
                                <w:rPr>
                                  <w:rFonts w:ascii="Calibri"/>
                                  <w:spacing w:val="-11"/>
                                  <w:sz w:val="20"/>
                                </w:rPr>
                                <w:t> </w:t>
                              </w:r>
                              <w:r>
                                <w:rPr>
                                  <w:rFonts w:ascii="Calibri"/>
                                  <w:sz w:val="20"/>
                                </w:rPr>
                                <w:t>Capital </w:t>
                              </w:r>
                              <w:r>
                                <w:rPr>
                                  <w:rFonts w:ascii="Calibri"/>
                                  <w:spacing w:val="-2"/>
                                  <w:sz w:val="20"/>
                                </w:rPr>
                                <w:t>Expenditure</w:t>
                              </w:r>
                            </w:p>
                          </w:txbxContent>
                        </wps:txbx>
                        <wps:bodyPr wrap="square" lIns="0" tIns="0" rIns="0" bIns="0" rtlCol="0">
                          <a:noAutofit/>
                        </wps:bodyPr>
                      </wps:wsp>
                      <wps:wsp>
                        <wps:cNvPr id="481" name="Textbox 481"/>
                        <wps:cNvSpPr txBox="1"/>
                        <wps:spPr>
                          <a:xfrm>
                            <a:off x="377697" y="1728597"/>
                            <a:ext cx="974725" cy="457200"/>
                          </a:xfrm>
                          <a:prstGeom prst="rect">
                            <a:avLst/>
                          </a:prstGeom>
                        </wps:spPr>
                        <wps:txbx>
                          <w:txbxContent>
                            <w:p>
                              <w:pPr>
                                <w:spacing w:line="203" w:lineRule="exact" w:before="0"/>
                                <w:ind w:left="0" w:right="19" w:firstLine="0"/>
                                <w:jc w:val="right"/>
                                <w:rPr>
                                  <w:rFonts w:ascii="Calibri"/>
                                  <w:sz w:val="20"/>
                                </w:rPr>
                              </w:pPr>
                              <w:r>
                                <w:rPr>
                                  <w:rFonts w:ascii="Calibri"/>
                                  <w:spacing w:val="-2"/>
                                  <w:sz w:val="20"/>
                                </w:rPr>
                                <w:t>20,000,000,000.00</w:t>
                              </w:r>
                            </w:p>
                            <w:p>
                              <w:pPr>
                                <w:spacing w:line="240" w:lineRule="auto" w:before="32"/>
                                <w:rPr>
                                  <w:rFonts w:ascii="Calibri"/>
                                  <w:sz w:val="20"/>
                                </w:rPr>
                              </w:pPr>
                            </w:p>
                            <w:p>
                              <w:pPr>
                                <w:spacing w:line="240" w:lineRule="exact" w:before="0"/>
                                <w:ind w:left="0" w:right="18" w:firstLine="0"/>
                                <w:jc w:val="right"/>
                                <w:rPr>
                                  <w:rFonts w:ascii="Calibri"/>
                                  <w:sz w:val="20"/>
                                </w:rPr>
                              </w:pPr>
                              <w:r>
                                <w:rPr>
                                  <w:rFonts w:ascii="Calibri"/>
                                  <w:spacing w:val="-4"/>
                                  <w:sz w:val="20"/>
                                </w:rPr>
                                <w:t>0.00</w:t>
                              </w:r>
                            </w:p>
                          </w:txbxContent>
                        </wps:txbx>
                        <wps:bodyPr wrap="square" lIns="0" tIns="0" rIns="0" bIns="0" rtlCol="0">
                          <a:noAutofit/>
                        </wps:bodyPr>
                      </wps:wsp>
                      <wps:wsp>
                        <wps:cNvPr id="482" name="Textbox 482"/>
                        <wps:cNvSpPr txBox="1"/>
                        <wps:spPr>
                          <a:xfrm>
                            <a:off x="1406397" y="2261361"/>
                            <a:ext cx="2739390" cy="372110"/>
                          </a:xfrm>
                          <a:prstGeom prst="rect">
                            <a:avLst/>
                          </a:prstGeom>
                        </wps:spPr>
                        <wps:txbx>
                          <w:txbxContent>
                            <w:p>
                              <w:pPr>
                                <w:spacing w:line="203" w:lineRule="exact" w:before="0"/>
                                <w:ind w:left="0" w:right="0" w:firstLine="0"/>
                                <w:jc w:val="left"/>
                                <w:rPr>
                                  <w:rFonts w:ascii="Calibri"/>
                                  <w:sz w:val="20"/>
                                </w:rPr>
                              </w:pPr>
                              <w:r>
                                <w:rPr>
                                  <w:rFonts w:ascii="Calibri"/>
                                  <w:sz w:val="20"/>
                                </w:rPr>
                                <w:t>1999</w:t>
                              </w:r>
                              <w:r>
                                <w:rPr>
                                  <w:rFonts w:ascii="Calibri"/>
                                  <w:spacing w:val="29"/>
                                  <w:sz w:val="20"/>
                                </w:rPr>
                                <w:t> </w:t>
                              </w:r>
                              <w:r>
                                <w:rPr>
                                  <w:rFonts w:ascii="Calibri"/>
                                  <w:sz w:val="20"/>
                                </w:rPr>
                                <w:t>2001</w:t>
                              </w:r>
                              <w:r>
                                <w:rPr>
                                  <w:rFonts w:ascii="Calibri"/>
                                  <w:spacing w:val="30"/>
                                  <w:sz w:val="20"/>
                                </w:rPr>
                                <w:t> </w:t>
                              </w:r>
                              <w:r>
                                <w:rPr>
                                  <w:rFonts w:ascii="Calibri"/>
                                  <w:sz w:val="20"/>
                                </w:rPr>
                                <w:t>2003</w:t>
                              </w:r>
                              <w:r>
                                <w:rPr>
                                  <w:rFonts w:ascii="Calibri"/>
                                  <w:spacing w:val="30"/>
                                  <w:sz w:val="20"/>
                                </w:rPr>
                                <w:t> </w:t>
                              </w:r>
                              <w:r>
                                <w:rPr>
                                  <w:rFonts w:ascii="Calibri"/>
                                  <w:sz w:val="20"/>
                                </w:rPr>
                                <w:t>2005</w:t>
                              </w:r>
                              <w:r>
                                <w:rPr>
                                  <w:rFonts w:ascii="Calibri"/>
                                  <w:spacing w:val="31"/>
                                  <w:sz w:val="20"/>
                                </w:rPr>
                                <w:t> </w:t>
                              </w:r>
                              <w:r>
                                <w:rPr>
                                  <w:rFonts w:ascii="Calibri"/>
                                  <w:sz w:val="20"/>
                                </w:rPr>
                                <w:t>2007</w:t>
                              </w:r>
                              <w:r>
                                <w:rPr>
                                  <w:rFonts w:ascii="Calibri"/>
                                  <w:spacing w:val="30"/>
                                  <w:sz w:val="20"/>
                                </w:rPr>
                                <w:t> </w:t>
                              </w:r>
                              <w:r>
                                <w:rPr>
                                  <w:rFonts w:ascii="Calibri"/>
                                  <w:sz w:val="20"/>
                                </w:rPr>
                                <w:t>2009</w:t>
                              </w:r>
                              <w:r>
                                <w:rPr>
                                  <w:rFonts w:ascii="Calibri"/>
                                  <w:spacing w:val="30"/>
                                  <w:sz w:val="20"/>
                                </w:rPr>
                                <w:t> </w:t>
                              </w:r>
                              <w:r>
                                <w:rPr>
                                  <w:rFonts w:ascii="Calibri"/>
                                  <w:sz w:val="20"/>
                                </w:rPr>
                                <w:t>2011</w:t>
                              </w:r>
                              <w:r>
                                <w:rPr>
                                  <w:rFonts w:ascii="Calibri"/>
                                  <w:spacing w:val="30"/>
                                  <w:sz w:val="20"/>
                                </w:rPr>
                                <w:t> </w:t>
                              </w:r>
                              <w:r>
                                <w:rPr>
                                  <w:rFonts w:ascii="Calibri"/>
                                  <w:sz w:val="20"/>
                                </w:rPr>
                                <w:t>2013</w:t>
                              </w:r>
                              <w:r>
                                <w:rPr>
                                  <w:rFonts w:ascii="Calibri"/>
                                  <w:spacing w:val="30"/>
                                  <w:sz w:val="20"/>
                                </w:rPr>
                                <w:t> </w:t>
                              </w:r>
                              <w:r>
                                <w:rPr>
                                  <w:rFonts w:ascii="Calibri"/>
                                  <w:spacing w:val="-4"/>
                                  <w:sz w:val="20"/>
                                </w:rPr>
                                <w:t>2015</w:t>
                              </w:r>
                            </w:p>
                            <w:p>
                              <w:pPr>
                                <w:spacing w:line="240" w:lineRule="exact" w:before="142"/>
                                <w:ind w:left="221" w:right="0" w:firstLine="0"/>
                                <w:jc w:val="center"/>
                                <w:rPr>
                                  <w:rFonts w:ascii="Calibri"/>
                                  <w:b/>
                                  <w:sz w:val="20"/>
                                </w:rPr>
                              </w:pPr>
                              <w:r>
                                <w:rPr>
                                  <w:rFonts w:ascii="Calibri"/>
                                  <w:b/>
                                  <w:spacing w:val="-2"/>
                                  <w:sz w:val="20"/>
                                </w:rPr>
                                <w:t>Years</w:t>
                              </w:r>
                            </w:p>
                          </w:txbxContent>
                        </wps:txbx>
                        <wps:bodyPr wrap="square" lIns="0" tIns="0" rIns="0" bIns="0" rtlCol="0">
                          <a:noAutofit/>
                        </wps:bodyPr>
                      </wps:wsp>
                    </wpg:wgp>
                  </a:graphicData>
                </a:graphic>
              </wp:anchor>
            </w:drawing>
          </mc:Choice>
          <mc:Fallback>
            <w:pict>
              <v:group style="position:absolute;margin-left:73pt;margin-top:106.413437pt;width:468.8pt;height:209.5pt;mso-position-horizontal-relative:page;mso-position-vertical-relative:paragraph;z-index:15756288" id="docshapegroup381" coordorigin="1460,2128" coordsize="9376,4190">
                <v:line style="position:absolute" from="3756,4942" to="8131,4942" stroked="true" strokeweight=".72pt" strokecolor="#858585">
                  <v:stroke dashstyle="solid"/>
                </v:line>
                <v:shape style="position:absolute;left:3756;top:4423;width:4376;height:2" id="docshape382" coordorigin="3756,4424" coordsize="4376,0" path="m3756,4424l6482,4424m6622,4424l8131,4424e" filled="false" stroked="true" strokeweight=".72pt" strokecolor="#858585">
                  <v:path arrowok="t"/>
                  <v:stroke dashstyle="solid"/>
                </v:shape>
                <v:shape style="position:absolute;left:3693;top:2343;width:4438;height:3120" id="docshape383" coordorigin="3694,2343" coordsize="4438,3120" path="m3756,3903l8131,3903m3756,3382l8131,3382m3756,2864l8131,2864m3756,2343l8131,2343m3756,5463l3756,2343m3694,5463l3756,5463m3694,4942l3756,4942m3694,4424l3756,4424m3694,3903l3756,3903m3694,3382l3756,3382m3694,2864l3756,2864m3694,2343l3756,2343m3756,5463l8131,5463e" filled="false" stroked="true" strokeweight=".72pt" strokecolor="#858585">
                  <v:path arrowok="t"/>
                  <v:stroke dashstyle="solid"/>
                </v:shape>
                <v:shape style="position:absolute;left:3878;top:5345;width:4133;height:113" id="docshape384" coordorigin="3878,5345" coordsize="4133,113" path="m3878,5458l4121,5444,4366,5345,4608,5441,4850,5410,5093,5439,5338,5422,5580,5434,5822,5422,6067,5365,6310,5384,6552,5398,6797,5398,7039,5415,7282,5425,7524,5386,7769,5377,8011,5449e" filled="false" stroked="true" strokeweight="2.16pt" strokecolor="#497dba">
                  <v:path arrowok="t"/>
                  <v:stroke dashstyle="solid"/>
                </v:shape>
                <v:shape style="position:absolute;left:3801;top:5381;width:155;height:154" type="#_x0000_t75" id="docshape385" stroked="false">
                  <v:imagedata r:id="rId116" o:title=""/>
                </v:shape>
                <v:shape style="position:absolute;left:4044;top:5365;width:155;height:154" type="#_x0000_t75" id="docshape386" stroked="false">
                  <v:imagedata r:id="rId127" o:title=""/>
                </v:shape>
                <v:shape style="position:absolute;left:4287;top:5268;width:155;height:154" type="#_x0000_t75" id="docshape387" stroked="false">
                  <v:imagedata r:id="rId116" o:title=""/>
                </v:shape>
                <v:shape style="position:absolute;left:4530;top:5364;width:155;height:154" type="#_x0000_t75" id="docshape388" stroked="false">
                  <v:imagedata r:id="rId128" o:title=""/>
                </v:shape>
                <v:shape style="position:absolute;left:4773;top:5332;width:155;height:154" type="#_x0000_t75" id="docshape389" stroked="false">
                  <v:imagedata r:id="rId113" o:title=""/>
                </v:shape>
                <v:shape style="position:absolute;left:5016;top:5362;width:155;height:154" type="#_x0000_t75" id="docshape390" stroked="false">
                  <v:imagedata r:id="rId113" o:title=""/>
                </v:shape>
                <v:shape style="position:absolute;left:5260;top:5345;width:155;height:154" type="#_x0000_t75" id="docshape391" stroked="false">
                  <v:imagedata r:id="rId127" o:title=""/>
                </v:shape>
                <v:shape style="position:absolute;left:5503;top:5357;width:155;height:154" type="#_x0000_t75" id="docshape392" stroked="false">
                  <v:imagedata r:id="rId116" o:title=""/>
                </v:shape>
                <v:shape style="position:absolute;left:5746;top:5344;width:155;height:154" type="#_x0000_t75" id="docshape393" stroked="false">
                  <v:imagedata r:id="rId129" o:title=""/>
                </v:shape>
                <v:shape style="position:absolute;left:5989;top:5287;width:155;height:154" type="#_x0000_t75" id="docshape394" stroked="false">
                  <v:imagedata r:id="rId130" o:title=""/>
                </v:shape>
                <v:shape style="position:absolute;left:6232;top:5307;width:155;height:154" type="#_x0000_t75" id="docshape395" stroked="false">
                  <v:imagedata r:id="rId127" o:title=""/>
                </v:shape>
                <v:shape style="position:absolute;left:6475;top:5322;width:155;height:154" type="#_x0000_t75" id="docshape396" stroked="false">
                  <v:imagedata r:id="rId129" o:title=""/>
                </v:shape>
                <v:shape style="position:absolute;left:6718;top:5321;width:155;height:154" type="#_x0000_t75" id="docshape397" stroked="false">
                  <v:imagedata r:id="rId116" o:title=""/>
                </v:shape>
                <v:shape style="position:absolute;left:6961;top:5338;width:155;height:154" type="#_x0000_t75" id="docshape398" stroked="false">
                  <v:imagedata r:id="rId131" o:title=""/>
                </v:shape>
                <v:shape style="position:absolute;left:7204;top:5348;width:155;height:154" type="#_x0000_t75" id="docshape399" stroked="false">
                  <v:imagedata r:id="rId113" o:title=""/>
                </v:shape>
                <v:shape style="position:absolute;left:7447;top:5308;width:155;height:154" type="#_x0000_t75" id="docshape400" stroked="false">
                  <v:imagedata r:id="rId132" o:title=""/>
                </v:shape>
                <v:shape style="position:absolute;left:7690;top:5298;width:155;height:154" type="#_x0000_t75" id="docshape401" stroked="false">
                  <v:imagedata r:id="rId127" o:title=""/>
                </v:shape>
                <v:shape style="position:absolute;left:7933;top:5372;width:155;height:154" type="#_x0000_t75" id="docshape402" stroked="false">
                  <v:imagedata r:id="rId133" o:title=""/>
                </v:shape>
                <v:shape style="position:absolute;left:3878;top:2575;width:4133;height:2859" id="docshape403" coordorigin="3878,2576" coordsize="4133,2859" path="m3878,5434l4121,5101,4366,5137,4608,5206,4850,5261,5093,5158,5338,5036,5580,5007,5822,4553,6067,4136,6310,4222,6552,4414,6797,4587,7039,4241,7282,3617,7524,2777,7769,2576,8011,4093e" filled="false" stroked="true" strokeweight="2.16pt" strokecolor="#bd4a47">
                  <v:path arrowok="t"/>
                  <v:stroke dashstyle="solid"/>
                </v:shape>
                <v:rect style="position:absolute;left:3808;top:5364;width:140;height:140" id="docshape404" filled="true" fillcolor="#c0504d" stroked="false">
                  <v:fill type="solid"/>
                </v:rect>
                <v:rect style="position:absolute;left:3808;top:5364;width:140;height:140" id="docshape405" filled="false" stroked="true" strokeweight=".72pt" strokecolor="#bd4a47">
                  <v:stroke dashstyle="solid"/>
                </v:rect>
                <v:rect style="position:absolute;left:4051;top:5031;width:142;height:140" id="docshape406" filled="true" fillcolor="#c0504d" stroked="false">
                  <v:fill type="solid"/>
                </v:rect>
                <v:rect style="position:absolute;left:4051;top:5031;width:142;height:140" id="docshape407" filled="false" stroked="true" strokeweight=".72pt" strokecolor="#bd4a47">
                  <v:stroke dashstyle="solid"/>
                </v:rect>
                <v:rect style="position:absolute;left:4296;top:5064;width:140;height:142" id="docshape408" filled="true" fillcolor="#c0504d" stroked="false">
                  <v:fill type="solid"/>
                </v:rect>
                <v:rect style="position:absolute;left:4296;top:5064;width:140;height:142" id="docshape409" filled="false" stroked="true" strokeweight=".72pt" strokecolor="#bd4a47">
                  <v:stroke dashstyle="solid"/>
                </v:rect>
                <v:rect style="position:absolute;left:4538;top:5136;width:140;height:140" id="docshape410" filled="true" fillcolor="#c0504d" stroked="false">
                  <v:fill type="solid"/>
                </v:rect>
                <v:rect style="position:absolute;left:4538;top:5136;width:140;height:140" id="docshape411" filled="false" stroked="true" strokeweight=".72pt" strokecolor="#bd4a47">
                  <v:stroke dashstyle="solid"/>
                </v:rect>
                <v:rect style="position:absolute;left:4780;top:5191;width:140;height:140" id="docshape412" filled="true" fillcolor="#c0504d" stroked="false">
                  <v:fill type="solid"/>
                </v:rect>
                <v:rect style="position:absolute;left:4780;top:5191;width:140;height:140" id="docshape413" filled="false" stroked="true" strokeweight=".72pt" strokecolor="#bd4a47">
                  <v:stroke dashstyle="solid"/>
                </v:rect>
                <v:rect style="position:absolute;left:5023;top:5088;width:142;height:140" id="docshape414" filled="true" fillcolor="#c0504d" stroked="false">
                  <v:fill type="solid"/>
                </v:rect>
                <v:rect style="position:absolute;left:5023;top:5088;width:142;height:140" id="docshape415" filled="false" stroked="true" strokeweight=".72pt" strokecolor="#bd4a47">
                  <v:stroke dashstyle="solid"/>
                </v:rect>
                <v:rect style="position:absolute;left:5268;top:4966;width:140;height:140" id="docshape416" filled="true" fillcolor="#c0504d" stroked="false">
                  <v:fill type="solid"/>
                </v:rect>
                <v:rect style="position:absolute;left:5268;top:4966;width:140;height:140" id="docshape417" filled="false" stroked="true" strokeweight=".72pt" strokecolor="#bd4a47">
                  <v:stroke dashstyle="solid"/>
                </v:rect>
                <v:rect style="position:absolute;left:5510;top:4937;width:140;height:142" id="docshape418" filled="true" fillcolor="#c0504d" stroked="false">
                  <v:fill type="solid"/>
                </v:rect>
                <v:rect style="position:absolute;left:5510;top:4937;width:140;height:142" id="docshape419" filled="false" stroked="true" strokeweight=".72pt" strokecolor="#bd4a47">
                  <v:stroke dashstyle="solid"/>
                </v:rect>
                <v:rect style="position:absolute;left:5752;top:4481;width:142;height:142" id="docshape420" filled="true" fillcolor="#c0504d" stroked="false">
                  <v:fill type="solid"/>
                </v:rect>
                <v:rect style="position:absolute;left:5752;top:4481;width:142;height:142" id="docshape421" filled="false" stroked="true" strokeweight=".72pt" strokecolor="#bd4a47">
                  <v:stroke dashstyle="solid"/>
                </v:rect>
                <v:rect style="position:absolute;left:5995;top:4063;width:142;height:142" id="docshape422" filled="true" fillcolor="#c0504d" stroked="false">
                  <v:fill type="solid"/>
                </v:rect>
                <v:rect style="position:absolute;left:5995;top:4063;width:142;height:142" id="docshape423" filled="false" stroked="true" strokeweight=".72pt" strokecolor="#bd4a47">
                  <v:stroke dashstyle="solid"/>
                </v:rect>
                <v:rect style="position:absolute;left:6240;top:4152;width:140;height:140" id="docshape424" filled="true" fillcolor="#c0504d" stroked="false">
                  <v:fill type="solid"/>
                </v:rect>
                <v:rect style="position:absolute;left:6240;top:4152;width:140;height:140" id="docshape425" filled="false" stroked="true" strokeweight=".72pt" strokecolor="#bd4a47">
                  <v:stroke dashstyle="solid"/>
                </v:rect>
                <v:rect style="position:absolute;left:6482;top:4344;width:140;height:140" id="docshape426" filled="true" fillcolor="#c0504d" stroked="false">
                  <v:fill type="solid"/>
                </v:rect>
                <v:rect style="position:absolute;left:6482;top:4344;width:140;height:140" id="docshape427" filled="false" stroked="true" strokeweight=".72pt" strokecolor="#bd4a47">
                  <v:stroke dashstyle="solid"/>
                </v:rect>
                <v:rect style="position:absolute;left:6724;top:4517;width:142;height:140" id="docshape428" filled="true" fillcolor="#c0504d" stroked="false">
                  <v:fill type="solid"/>
                </v:rect>
                <v:rect style="position:absolute;left:6724;top:4517;width:142;height:140" id="docshape429" filled="false" stroked="true" strokeweight=".72pt" strokecolor="#bd4a47">
                  <v:stroke dashstyle="solid"/>
                </v:rect>
                <v:rect style="position:absolute;left:6969;top:4171;width:140;height:142" id="docshape430" filled="true" fillcolor="#c0504d" stroked="false">
                  <v:fill type="solid"/>
                </v:rect>
                <v:rect style="position:absolute;left:6969;top:4171;width:140;height:142" id="docshape431" filled="false" stroked="true" strokeweight=".72pt" strokecolor="#bd4a47">
                  <v:stroke dashstyle="solid"/>
                </v:rect>
                <v:rect style="position:absolute;left:7212;top:3547;width:140;height:140" id="docshape432" filled="true" fillcolor="#c0504d" stroked="false">
                  <v:fill type="solid"/>
                </v:rect>
                <v:rect style="position:absolute;left:7212;top:3547;width:140;height:140" id="docshape433" filled="false" stroked="true" strokeweight=".72pt" strokecolor="#bd4a47">
                  <v:stroke dashstyle="solid"/>
                </v:rect>
                <v:rect style="position:absolute;left:7454;top:2707;width:140;height:142" id="docshape434" filled="true" fillcolor="#c0504d" stroked="false">
                  <v:fill type="solid"/>
                </v:rect>
                <v:rect style="position:absolute;left:7454;top:2707;width:140;height:142" id="docshape435" filled="false" stroked="true" strokeweight=".72pt" strokecolor="#bd4a47">
                  <v:stroke dashstyle="solid"/>
                </v:rect>
                <v:rect style="position:absolute;left:7696;top:2506;width:142;height:140" id="docshape436" filled="true" fillcolor="#c0504d" stroked="false">
                  <v:fill type="solid"/>
                </v:rect>
                <v:rect style="position:absolute;left:7696;top:2506;width:142;height:140" id="docshape437" filled="false" stroked="true" strokeweight=".72pt" strokecolor="#bd4a47">
                  <v:stroke dashstyle="solid"/>
                </v:rect>
                <v:rect style="position:absolute;left:7941;top:4023;width:140;height:140" id="docshape438" filled="true" fillcolor="#c0504d" stroked="false">
                  <v:fill type="solid"/>
                </v:rect>
                <v:rect style="position:absolute;left:7941;top:4023;width:140;height:140" id="docshape439" filled="false" stroked="true" strokeweight=".72pt" strokecolor="#bd4a47">
                  <v:stroke dashstyle="solid"/>
                </v:rect>
                <v:shape style="position:absolute;left:1675;top:3437;width:58;height:132" id="docshape440" coordorigin="1676,3438" coordsize="58,132" path="m1695,3438l1676,3438,1676,3570,1695,3570,1695,3438xm1733,3438l1714,3438,1714,3570,1733,3570,1733,3438xe" filled="true" fillcolor="#000000" stroked="false">
                  <v:path arrowok="t"/>
                  <v:fill type="solid"/>
                </v:shape>
                <v:shape style="position:absolute;left:8323;top:3759;width:384;height:135" type="#_x0000_t75" id="docshape441" stroked="false">
                  <v:imagedata r:id="rId126" o:title=""/>
                </v:shape>
                <v:line style="position:absolute" from="8323,4378" to="8707,4378" stroked="true" strokeweight="1.92pt" strokecolor="#bd4a47">
                  <v:stroke dashstyle="solid"/>
                </v:line>
                <v:rect style="position:absolute;left:8455;top:4318;width:120;height:120" id="docshape442" filled="true" fillcolor="#c0504d" stroked="false">
                  <v:fill type="solid"/>
                </v:rect>
                <v:rect style="position:absolute;left:8455;top:4318;width:120;height:120" id="docshape443" filled="false" stroked="true" strokeweight=".72pt" strokecolor="#bd4a47">
                  <v:stroke dashstyle="solid"/>
                </v:rect>
                <v:rect style="position:absolute;left:1470;top:2138;width:9356;height:4170" id="docshape444" filled="false" stroked="true" strokeweight="1pt" strokecolor="#858585">
                  <v:stroke dashstyle="solid"/>
                </v:rect>
                <v:shape style="position:absolute;left:1953;top:2249;width:1634;height:2280" type="#_x0000_t202" id="docshape445" filled="false" stroked="false">
                  <v:textbox inset="0,0,0,0">
                    <w:txbxContent>
                      <w:p>
                        <w:pPr>
                          <w:spacing w:line="203" w:lineRule="exact" w:before="0"/>
                          <w:ind w:left="0" w:right="18" w:firstLine="0"/>
                          <w:jc w:val="right"/>
                          <w:rPr>
                            <w:rFonts w:ascii="Calibri"/>
                            <w:sz w:val="20"/>
                          </w:rPr>
                        </w:pPr>
                        <w:r>
                          <w:rPr>
                            <w:rFonts w:ascii="Calibri"/>
                            <w:spacing w:val="-2"/>
                            <w:sz w:val="20"/>
                          </w:rPr>
                          <w:t>120,000,000,000.00</w:t>
                        </w:r>
                      </w:p>
                      <w:p>
                        <w:pPr>
                          <w:spacing w:line="240" w:lineRule="auto" w:before="31"/>
                          <w:rPr>
                            <w:rFonts w:ascii="Calibri"/>
                            <w:sz w:val="20"/>
                          </w:rPr>
                        </w:pPr>
                      </w:p>
                      <w:p>
                        <w:pPr>
                          <w:spacing w:before="1"/>
                          <w:ind w:left="0" w:right="18" w:firstLine="0"/>
                          <w:jc w:val="right"/>
                          <w:rPr>
                            <w:rFonts w:ascii="Calibri"/>
                            <w:sz w:val="20"/>
                          </w:rPr>
                        </w:pPr>
                        <w:r>
                          <w:rPr>
                            <w:rFonts w:ascii="Calibri"/>
                            <w:spacing w:val="-2"/>
                            <w:sz w:val="20"/>
                          </w:rPr>
                          <w:t>100,000,000,000.00</w:t>
                        </w:r>
                      </w:p>
                      <w:p>
                        <w:pPr>
                          <w:spacing w:line="240" w:lineRule="auto" w:before="31"/>
                          <w:rPr>
                            <w:rFonts w:ascii="Calibri"/>
                            <w:sz w:val="20"/>
                          </w:rPr>
                        </w:pPr>
                      </w:p>
                      <w:p>
                        <w:pPr>
                          <w:spacing w:before="0"/>
                          <w:ind w:left="0" w:right="18" w:firstLine="0"/>
                          <w:jc w:val="right"/>
                          <w:rPr>
                            <w:rFonts w:ascii="Calibri"/>
                            <w:sz w:val="20"/>
                          </w:rPr>
                        </w:pPr>
                        <w:r>
                          <w:rPr>
                            <w:rFonts w:ascii="Calibri"/>
                            <w:spacing w:val="-2"/>
                            <w:sz w:val="20"/>
                          </w:rPr>
                          <w:t>80,000,000,000.00</w:t>
                        </w:r>
                      </w:p>
                      <w:p>
                        <w:pPr>
                          <w:spacing w:line="240" w:lineRule="auto" w:before="32"/>
                          <w:rPr>
                            <w:rFonts w:ascii="Calibri"/>
                            <w:sz w:val="20"/>
                          </w:rPr>
                        </w:pPr>
                      </w:p>
                      <w:p>
                        <w:pPr>
                          <w:spacing w:before="0"/>
                          <w:ind w:left="0" w:right="18" w:firstLine="0"/>
                          <w:jc w:val="right"/>
                          <w:rPr>
                            <w:rFonts w:ascii="Calibri"/>
                            <w:sz w:val="20"/>
                          </w:rPr>
                        </w:pPr>
                        <w:r>
                          <w:rPr>
                            <w:rFonts w:ascii="Calibri"/>
                            <w:spacing w:val="-2"/>
                            <w:sz w:val="20"/>
                          </w:rPr>
                          <w:t>60,000,000,000.00</w:t>
                        </w:r>
                      </w:p>
                      <w:p>
                        <w:pPr>
                          <w:spacing w:line="240" w:lineRule="auto" w:before="32"/>
                          <w:rPr>
                            <w:rFonts w:ascii="Calibri"/>
                            <w:sz w:val="20"/>
                          </w:rPr>
                        </w:pPr>
                      </w:p>
                      <w:p>
                        <w:pPr>
                          <w:spacing w:line="240" w:lineRule="exact" w:before="0"/>
                          <w:ind w:left="0" w:right="18" w:firstLine="0"/>
                          <w:jc w:val="right"/>
                          <w:rPr>
                            <w:rFonts w:ascii="Calibri"/>
                            <w:sz w:val="20"/>
                          </w:rPr>
                        </w:pPr>
                        <w:r>
                          <w:rPr>
                            <w:rFonts w:ascii="Calibri"/>
                            <w:spacing w:val="-2"/>
                            <w:sz w:val="20"/>
                          </w:rPr>
                          <w:t>40,000,000,000.00</w:t>
                        </w:r>
                      </w:p>
                    </w:txbxContent>
                  </v:textbox>
                  <w10:wrap type="none"/>
                </v:shape>
                <v:shape style="position:absolute;left:8749;top:3734;width:1916;height:996" type="#_x0000_t202" id="docshape446" filled="false" stroked="false">
                  <v:textbox inset="0,0,0,0">
                    <w:txbxContent>
                      <w:p>
                        <w:pPr>
                          <w:spacing w:line="203" w:lineRule="exact" w:before="0"/>
                          <w:ind w:left="0" w:right="0" w:firstLine="0"/>
                          <w:jc w:val="left"/>
                          <w:rPr>
                            <w:rFonts w:ascii="Calibri"/>
                            <w:sz w:val="20"/>
                          </w:rPr>
                        </w:pPr>
                        <w:r>
                          <w:rPr>
                            <w:rFonts w:ascii="Calibri"/>
                            <w:sz w:val="20"/>
                          </w:rPr>
                          <w:t>Annual</w:t>
                        </w:r>
                        <w:r>
                          <w:rPr>
                            <w:rFonts w:ascii="Calibri"/>
                            <w:spacing w:val="-12"/>
                            <w:sz w:val="20"/>
                          </w:rPr>
                          <w:t> </w:t>
                        </w:r>
                        <w:r>
                          <w:rPr>
                            <w:rFonts w:ascii="Calibri"/>
                            <w:sz w:val="20"/>
                          </w:rPr>
                          <w:t>Housing</w:t>
                        </w:r>
                        <w:r>
                          <w:rPr>
                            <w:rFonts w:ascii="Calibri"/>
                            <w:spacing w:val="-7"/>
                            <w:sz w:val="20"/>
                          </w:rPr>
                          <w:t> </w:t>
                        </w:r>
                        <w:r>
                          <w:rPr>
                            <w:rFonts w:ascii="Calibri"/>
                            <w:spacing w:val="-2"/>
                            <w:sz w:val="20"/>
                          </w:rPr>
                          <w:t>Budget</w:t>
                        </w:r>
                      </w:p>
                      <w:p>
                        <w:pPr>
                          <w:spacing w:before="0"/>
                          <w:ind w:left="0" w:right="0" w:firstLine="0"/>
                          <w:jc w:val="left"/>
                          <w:rPr>
                            <w:rFonts w:ascii="Calibri"/>
                            <w:sz w:val="20"/>
                          </w:rPr>
                        </w:pPr>
                        <w:r>
                          <w:rPr>
                            <w:rFonts w:ascii="Calibri"/>
                            <w:spacing w:val="-2"/>
                            <w:sz w:val="20"/>
                          </w:rPr>
                          <w:t>Allocations</w:t>
                        </w:r>
                      </w:p>
                      <w:p>
                        <w:pPr>
                          <w:spacing w:before="60"/>
                          <w:ind w:left="0" w:right="0" w:firstLine="0"/>
                          <w:jc w:val="left"/>
                          <w:rPr>
                            <w:rFonts w:ascii="Calibri"/>
                            <w:sz w:val="20"/>
                          </w:rPr>
                        </w:pPr>
                        <w:r>
                          <w:rPr>
                            <w:rFonts w:ascii="Calibri"/>
                            <w:sz w:val="20"/>
                          </w:rPr>
                          <w:t>Annual</w:t>
                        </w:r>
                        <w:r>
                          <w:rPr>
                            <w:rFonts w:ascii="Calibri"/>
                            <w:spacing w:val="-12"/>
                            <w:sz w:val="20"/>
                          </w:rPr>
                          <w:t> </w:t>
                        </w:r>
                        <w:r>
                          <w:rPr>
                            <w:rFonts w:ascii="Calibri"/>
                            <w:sz w:val="20"/>
                          </w:rPr>
                          <w:t>Total</w:t>
                        </w:r>
                        <w:r>
                          <w:rPr>
                            <w:rFonts w:ascii="Calibri"/>
                            <w:spacing w:val="-11"/>
                            <w:sz w:val="20"/>
                          </w:rPr>
                          <w:t> </w:t>
                        </w:r>
                        <w:r>
                          <w:rPr>
                            <w:rFonts w:ascii="Calibri"/>
                            <w:sz w:val="20"/>
                          </w:rPr>
                          <w:t>Capital </w:t>
                        </w:r>
                        <w:r>
                          <w:rPr>
                            <w:rFonts w:ascii="Calibri"/>
                            <w:spacing w:val="-2"/>
                            <w:sz w:val="20"/>
                          </w:rPr>
                          <w:t>Expenditure</w:t>
                        </w:r>
                      </w:p>
                    </w:txbxContent>
                  </v:textbox>
                  <w10:wrap type="none"/>
                </v:shape>
                <v:shape style="position:absolute;left:2054;top:4850;width:1535;height:720" type="#_x0000_t202" id="docshape447" filled="false" stroked="false">
                  <v:textbox inset="0,0,0,0">
                    <w:txbxContent>
                      <w:p>
                        <w:pPr>
                          <w:spacing w:line="203" w:lineRule="exact" w:before="0"/>
                          <w:ind w:left="0" w:right="19" w:firstLine="0"/>
                          <w:jc w:val="right"/>
                          <w:rPr>
                            <w:rFonts w:ascii="Calibri"/>
                            <w:sz w:val="20"/>
                          </w:rPr>
                        </w:pPr>
                        <w:r>
                          <w:rPr>
                            <w:rFonts w:ascii="Calibri"/>
                            <w:spacing w:val="-2"/>
                            <w:sz w:val="20"/>
                          </w:rPr>
                          <w:t>20,000,000,000.00</w:t>
                        </w:r>
                      </w:p>
                      <w:p>
                        <w:pPr>
                          <w:spacing w:line="240" w:lineRule="auto" w:before="32"/>
                          <w:rPr>
                            <w:rFonts w:ascii="Calibri"/>
                            <w:sz w:val="20"/>
                          </w:rPr>
                        </w:pPr>
                      </w:p>
                      <w:p>
                        <w:pPr>
                          <w:spacing w:line="240" w:lineRule="exact" w:before="0"/>
                          <w:ind w:left="0" w:right="18" w:firstLine="0"/>
                          <w:jc w:val="right"/>
                          <w:rPr>
                            <w:rFonts w:ascii="Calibri"/>
                            <w:sz w:val="20"/>
                          </w:rPr>
                        </w:pPr>
                        <w:r>
                          <w:rPr>
                            <w:rFonts w:ascii="Calibri"/>
                            <w:spacing w:val="-4"/>
                            <w:sz w:val="20"/>
                          </w:rPr>
                          <w:t>0.00</w:t>
                        </w:r>
                      </w:p>
                    </w:txbxContent>
                  </v:textbox>
                  <w10:wrap type="none"/>
                </v:shape>
                <v:shape style="position:absolute;left:3674;top:5689;width:4314;height:586" type="#_x0000_t202" id="docshape448" filled="false" stroked="false">
                  <v:textbox inset="0,0,0,0">
                    <w:txbxContent>
                      <w:p>
                        <w:pPr>
                          <w:spacing w:line="203" w:lineRule="exact" w:before="0"/>
                          <w:ind w:left="0" w:right="0" w:firstLine="0"/>
                          <w:jc w:val="left"/>
                          <w:rPr>
                            <w:rFonts w:ascii="Calibri"/>
                            <w:sz w:val="20"/>
                          </w:rPr>
                        </w:pPr>
                        <w:r>
                          <w:rPr>
                            <w:rFonts w:ascii="Calibri"/>
                            <w:sz w:val="20"/>
                          </w:rPr>
                          <w:t>1999</w:t>
                        </w:r>
                        <w:r>
                          <w:rPr>
                            <w:rFonts w:ascii="Calibri"/>
                            <w:spacing w:val="29"/>
                            <w:sz w:val="20"/>
                          </w:rPr>
                          <w:t> </w:t>
                        </w:r>
                        <w:r>
                          <w:rPr>
                            <w:rFonts w:ascii="Calibri"/>
                            <w:sz w:val="20"/>
                          </w:rPr>
                          <w:t>2001</w:t>
                        </w:r>
                        <w:r>
                          <w:rPr>
                            <w:rFonts w:ascii="Calibri"/>
                            <w:spacing w:val="30"/>
                            <w:sz w:val="20"/>
                          </w:rPr>
                          <w:t> </w:t>
                        </w:r>
                        <w:r>
                          <w:rPr>
                            <w:rFonts w:ascii="Calibri"/>
                            <w:sz w:val="20"/>
                          </w:rPr>
                          <w:t>2003</w:t>
                        </w:r>
                        <w:r>
                          <w:rPr>
                            <w:rFonts w:ascii="Calibri"/>
                            <w:spacing w:val="30"/>
                            <w:sz w:val="20"/>
                          </w:rPr>
                          <w:t> </w:t>
                        </w:r>
                        <w:r>
                          <w:rPr>
                            <w:rFonts w:ascii="Calibri"/>
                            <w:sz w:val="20"/>
                          </w:rPr>
                          <w:t>2005</w:t>
                        </w:r>
                        <w:r>
                          <w:rPr>
                            <w:rFonts w:ascii="Calibri"/>
                            <w:spacing w:val="31"/>
                            <w:sz w:val="20"/>
                          </w:rPr>
                          <w:t> </w:t>
                        </w:r>
                        <w:r>
                          <w:rPr>
                            <w:rFonts w:ascii="Calibri"/>
                            <w:sz w:val="20"/>
                          </w:rPr>
                          <w:t>2007</w:t>
                        </w:r>
                        <w:r>
                          <w:rPr>
                            <w:rFonts w:ascii="Calibri"/>
                            <w:spacing w:val="30"/>
                            <w:sz w:val="20"/>
                          </w:rPr>
                          <w:t> </w:t>
                        </w:r>
                        <w:r>
                          <w:rPr>
                            <w:rFonts w:ascii="Calibri"/>
                            <w:sz w:val="20"/>
                          </w:rPr>
                          <w:t>2009</w:t>
                        </w:r>
                        <w:r>
                          <w:rPr>
                            <w:rFonts w:ascii="Calibri"/>
                            <w:spacing w:val="30"/>
                            <w:sz w:val="20"/>
                          </w:rPr>
                          <w:t> </w:t>
                        </w:r>
                        <w:r>
                          <w:rPr>
                            <w:rFonts w:ascii="Calibri"/>
                            <w:sz w:val="20"/>
                          </w:rPr>
                          <w:t>2011</w:t>
                        </w:r>
                        <w:r>
                          <w:rPr>
                            <w:rFonts w:ascii="Calibri"/>
                            <w:spacing w:val="30"/>
                            <w:sz w:val="20"/>
                          </w:rPr>
                          <w:t> </w:t>
                        </w:r>
                        <w:r>
                          <w:rPr>
                            <w:rFonts w:ascii="Calibri"/>
                            <w:sz w:val="20"/>
                          </w:rPr>
                          <w:t>2013</w:t>
                        </w:r>
                        <w:r>
                          <w:rPr>
                            <w:rFonts w:ascii="Calibri"/>
                            <w:spacing w:val="30"/>
                            <w:sz w:val="20"/>
                          </w:rPr>
                          <w:t> </w:t>
                        </w:r>
                        <w:r>
                          <w:rPr>
                            <w:rFonts w:ascii="Calibri"/>
                            <w:spacing w:val="-4"/>
                            <w:sz w:val="20"/>
                          </w:rPr>
                          <w:t>2015</w:t>
                        </w:r>
                      </w:p>
                      <w:p>
                        <w:pPr>
                          <w:spacing w:line="240" w:lineRule="exact" w:before="142"/>
                          <w:ind w:left="221" w:right="0" w:firstLine="0"/>
                          <w:jc w:val="center"/>
                          <w:rPr>
                            <w:rFonts w:ascii="Calibri"/>
                            <w:b/>
                            <w:sz w:val="20"/>
                          </w:rPr>
                        </w:pPr>
                        <w:r>
                          <w:rPr>
                            <w:rFonts w:ascii="Calibri"/>
                            <w:b/>
                            <w:spacing w:val="-2"/>
                            <w:sz w:val="20"/>
                          </w:rPr>
                          <w:t>Years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6800">
                <wp:simplePos x="0" y="0"/>
                <wp:positionH relativeFrom="page">
                  <wp:posOffset>1000760</wp:posOffset>
                </wp:positionH>
                <wp:positionV relativeFrom="paragraph">
                  <wp:posOffset>2131862</wp:posOffset>
                </wp:positionV>
                <wp:extent cx="152400" cy="694690"/>
                <wp:effectExtent l="0" t="0" r="0" b="0"/>
                <wp:wrapNone/>
                <wp:docPr id="483" name="Textbox 483"/>
                <wp:cNvGraphicFramePr>
                  <a:graphicFrameLocks/>
                </wp:cNvGraphicFramePr>
                <a:graphic>
                  <a:graphicData uri="http://schemas.microsoft.com/office/word/2010/wordprocessingShape">
                    <wps:wsp>
                      <wps:cNvPr id="483" name="Textbox 483"/>
                      <wps:cNvSpPr txBox="1"/>
                      <wps:spPr>
                        <a:xfrm>
                          <a:off x="0" y="0"/>
                          <a:ext cx="152400" cy="694690"/>
                        </a:xfrm>
                        <a:prstGeom prst="rect">
                          <a:avLst/>
                        </a:prstGeom>
                      </wps:spPr>
                      <wps:txbx>
                        <w:txbxContent>
                          <w:p>
                            <w:pPr>
                              <w:spacing w:line="223" w:lineRule="exact" w:before="0"/>
                              <w:ind w:left="20" w:right="0" w:firstLine="0"/>
                              <w:jc w:val="left"/>
                              <w:rPr>
                                <w:rFonts w:ascii="Calibri"/>
                                <w:b/>
                                <w:sz w:val="20"/>
                              </w:rPr>
                            </w:pPr>
                            <w:r>
                              <w:rPr>
                                <w:rFonts w:ascii="Calibri"/>
                                <w:b/>
                                <w:spacing w:val="-2"/>
                                <w:sz w:val="20"/>
                              </w:rPr>
                              <w:t>Amounts</w:t>
                            </w:r>
                            <w:r>
                              <w:rPr>
                                <w:rFonts w:ascii="Calibri"/>
                                <w:b/>
                                <w:spacing w:val="1"/>
                                <w:sz w:val="20"/>
                              </w:rPr>
                              <w:t> </w:t>
                            </w:r>
                            <w:r>
                              <w:rPr>
                                <w:rFonts w:ascii="Calibri"/>
                                <w:b/>
                                <w:spacing w:val="-5"/>
                                <w:sz w:val="20"/>
                              </w:rPr>
                              <w:t>(N)</w:t>
                            </w:r>
                          </w:p>
                        </w:txbxContent>
                      </wps:txbx>
                      <wps:bodyPr wrap="square" lIns="0" tIns="0" rIns="0" bIns="0" rtlCol="0" vert="vert270">
                        <a:noAutofit/>
                      </wps:bodyPr>
                    </wps:wsp>
                  </a:graphicData>
                </a:graphic>
              </wp:anchor>
            </w:drawing>
          </mc:Choice>
          <mc:Fallback>
            <w:pict>
              <v:shape style="position:absolute;margin-left:78.800003pt;margin-top:167.86319pt;width:12pt;height:54.7pt;mso-position-horizontal-relative:page;mso-position-vertical-relative:paragraph;z-index:15756800" type="#_x0000_t202" id="docshape449"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pacing w:val="-2"/>
                          <w:sz w:val="20"/>
                        </w:rPr>
                        <w:t>Amounts</w:t>
                      </w:r>
                      <w:r>
                        <w:rPr>
                          <w:rFonts w:ascii="Calibri"/>
                          <w:b/>
                          <w:spacing w:val="1"/>
                          <w:sz w:val="20"/>
                        </w:rPr>
                        <w:t> </w:t>
                      </w:r>
                      <w:r>
                        <w:rPr>
                          <w:rFonts w:ascii="Calibri"/>
                          <w:b/>
                          <w:spacing w:val="-5"/>
                          <w:sz w:val="20"/>
                        </w:rPr>
                        <w:t>(N)</w:t>
                      </w:r>
                    </w:p>
                  </w:txbxContent>
                </v:textbox>
                <w10:wrap type="none"/>
              </v:shape>
            </w:pict>
          </mc:Fallback>
        </mc:AlternateContent>
      </w:r>
      <w:r>
        <w:rPr/>
        <w:t>From Figure 5.2, it can be observed that while annual total revenue was on a steady rise within the study period, annual housing budget allocation exhibited a random pattern within the period. This is also a clear pictorial elucidation of the Anambra State‘s poor budgetary allocation and lack of commitment to the housing sector despite increases in its annual revenue.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9"/>
      </w:pPr>
    </w:p>
    <w:p>
      <w:pPr>
        <w:pStyle w:val="BodyText"/>
        <w:ind w:left="240" w:right="837"/>
        <w:jc w:val="both"/>
      </w:pPr>
      <w:r>
        <w:rPr>
          <w:b/>
        </w:rPr>
        <w:t>Figure 5.3: </w:t>
      </w:r>
      <w:r>
        <w:rPr/>
        <w:t>Trend of Anambra State annual Housing budget allocation and annual capital expenditure (Researcher‘s plot with MS- Excel, 2017)</w:t>
      </w:r>
    </w:p>
    <w:p>
      <w:pPr>
        <w:spacing w:after="0"/>
        <w:jc w:val="both"/>
        <w:sectPr>
          <w:pgSz w:w="12240" w:h="15840"/>
          <w:pgMar w:header="0" w:footer="1036" w:top="1700" w:bottom="1220" w:left="1200" w:right="600"/>
        </w:sectPr>
      </w:pPr>
    </w:p>
    <w:p>
      <w:pPr>
        <w:pStyle w:val="BodyText"/>
        <w:spacing w:line="360" w:lineRule="auto" w:before="74"/>
        <w:ind w:left="240" w:right="833"/>
        <w:jc w:val="both"/>
      </w:pPr>
      <w:r>
        <w:rPr/>
        <mc:AlternateContent>
          <mc:Choice Requires="wps">
            <w:drawing>
              <wp:anchor distT="0" distB="0" distL="0" distR="0" allowOverlap="1" layoutInCell="1" locked="0" behindDoc="0" simplePos="0" relativeHeight="15758336">
                <wp:simplePos x="0" y="0"/>
                <wp:positionH relativeFrom="page">
                  <wp:posOffset>927100</wp:posOffset>
                </wp:positionH>
                <wp:positionV relativeFrom="paragraph">
                  <wp:posOffset>1222883</wp:posOffset>
                </wp:positionV>
                <wp:extent cx="5956300" cy="3039110"/>
                <wp:effectExtent l="0" t="0" r="0" b="0"/>
                <wp:wrapNone/>
                <wp:docPr id="484" name="Group 484"/>
                <wp:cNvGraphicFramePr>
                  <a:graphicFrameLocks/>
                </wp:cNvGraphicFramePr>
                <a:graphic>
                  <a:graphicData uri="http://schemas.microsoft.com/office/word/2010/wordprocessingGroup">
                    <wpg:wgp>
                      <wpg:cNvPr id="484" name="Group 484"/>
                      <wpg:cNvGrpSpPr/>
                      <wpg:grpSpPr>
                        <a:xfrm>
                          <a:off x="0" y="0"/>
                          <a:ext cx="5956300" cy="3039110"/>
                          <a:chExt cx="5956300" cy="3039110"/>
                        </a:xfrm>
                      </wpg:grpSpPr>
                      <wps:wsp>
                        <wps:cNvPr id="485" name="Graphic 485"/>
                        <wps:cNvSpPr/>
                        <wps:spPr>
                          <a:xfrm>
                            <a:off x="1497583" y="1897252"/>
                            <a:ext cx="3282950" cy="1270"/>
                          </a:xfrm>
                          <a:custGeom>
                            <a:avLst/>
                            <a:gdLst/>
                            <a:ahLst/>
                            <a:cxnLst/>
                            <a:rect l="l" t="t" r="r" b="b"/>
                            <a:pathLst>
                              <a:path w="3282950" h="0">
                                <a:moveTo>
                                  <a:pt x="2689860" y="0"/>
                                </a:moveTo>
                                <a:lnTo>
                                  <a:pt x="3282696" y="0"/>
                                </a:lnTo>
                              </a:path>
                              <a:path w="3282950" h="0">
                                <a:moveTo>
                                  <a:pt x="2506980" y="0"/>
                                </a:moveTo>
                                <a:lnTo>
                                  <a:pt x="2601468" y="0"/>
                                </a:lnTo>
                              </a:path>
                              <a:path w="3282950" h="0">
                                <a:moveTo>
                                  <a:pt x="0" y="0"/>
                                </a:moveTo>
                                <a:lnTo>
                                  <a:pt x="2418588" y="0"/>
                                </a:lnTo>
                              </a:path>
                            </a:pathLst>
                          </a:custGeom>
                          <a:ln w="9144">
                            <a:solidFill>
                              <a:srgbClr val="858585"/>
                            </a:solidFill>
                            <a:prstDash val="solid"/>
                          </a:ln>
                        </wps:spPr>
                        <wps:bodyPr wrap="square" lIns="0" tIns="0" rIns="0" bIns="0" rtlCol="0">
                          <a:prstTxWarp prst="textNoShape">
                            <a:avLst/>
                          </a:prstTxWarp>
                          <a:noAutofit/>
                        </wps:bodyPr>
                      </wps:wsp>
                      <wps:wsp>
                        <wps:cNvPr id="486" name="Graphic 486"/>
                        <wps:cNvSpPr/>
                        <wps:spPr>
                          <a:xfrm>
                            <a:off x="1457960" y="147701"/>
                            <a:ext cx="3322320" cy="2100580"/>
                          </a:xfrm>
                          <a:custGeom>
                            <a:avLst/>
                            <a:gdLst/>
                            <a:ahLst/>
                            <a:cxnLst/>
                            <a:rect l="l" t="t" r="r" b="b"/>
                            <a:pathLst>
                              <a:path w="3322320" h="2100580">
                                <a:moveTo>
                                  <a:pt x="39623" y="1400556"/>
                                </a:moveTo>
                                <a:lnTo>
                                  <a:pt x="3322319" y="1400556"/>
                                </a:lnTo>
                              </a:path>
                              <a:path w="3322320" h="2100580">
                                <a:moveTo>
                                  <a:pt x="39623" y="1050036"/>
                                </a:moveTo>
                                <a:lnTo>
                                  <a:pt x="3322319" y="1050036"/>
                                </a:lnTo>
                              </a:path>
                              <a:path w="3322320" h="2100580">
                                <a:moveTo>
                                  <a:pt x="39623" y="699516"/>
                                </a:moveTo>
                                <a:lnTo>
                                  <a:pt x="3322319" y="699516"/>
                                </a:lnTo>
                              </a:path>
                              <a:path w="3322320" h="2100580">
                                <a:moveTo>
                                  <a:pt x="39623" y="350520"/>
                                </a:moveTo>
                                <a:lnTo>
                                  <a:pt x="3322319" y="350520"/>
                                </a:lnTo>
                              </a:path>
                              <a:path w="3322320" h="2100580">
                                <a:moveTo>
                                  <a:pt x="39623" y="0"/>
                                </a:moveTo>
                                <a:lnTo>
                                  <a:pt x="3322319" y="0"/>
                                </a:lnTo>
                              </a:path>
                              <a:path w="3322320" h="2100580">
                                <a:moveTo>
                                  <a:pt x="39623" y="2100072"/>
                                </a:moveTo>
                                <a:lnTo>
                                  <a:pt x="39623" y="0"/>
                                </a:lnTo>
                              </a:path>
                              <a:path w="3322320" h="2100580">
                                <a:moveTo>
                                  <a:pt x="0" y="2100072"/>
                                </a:moveTo>
                                <a:lnTo>
                                  <a:pt x="39623" y="2100072"/>
                                </a:lnTo>
                              </a:path>
                              <a:path w="3322320" h="2100580">
                                <a:moveTo>
                                  <a:pt x="0" y="1749552"/>
                                </a:moveTo>
                                <a:lnTo>
                                  <a:pt x="39623" y="1749552"/>
                                </a:lnTo>
                              </a:path>
                              <a:path w="3322320" h="2100580">
                                <a:moveTo>
                                  <a:pt x="0" y="1400556"/>
                                </a:moveTo>
                                <a:lnTo>
                                  <a:pt x="39623" y="1400556"/>
                                </a:lnTo>
                              </a:path>
                              <a:path w="3322320" h="2100580">
                                <a:moveTo>
                                  <a:pt x="0" y="1050036"/>
                                </a:moveTo>
                                <a:lnTo>
                                  <a:pt x="39623" y="1050036"/>
                                </a:lnTo>
                              </a:path>
                              <a:path w="3322320" h="2100580">
                                <a:moveTo>
                                  <a:pt x="0" y="699516"/>
                                </a:moveTo>
                                <a:lnTo>
                                  <a:pt x="39623" y="699516"/>
                                </a:lnTo>
                              </a:path>
                              <a:path w="3322320" h="2100580">
                                <a:moveTo>
                                  <a:pt x="0" y="350520"/>
                                </a:moveTo>
                                <a:lnTo>
                                  <a:pt x="39623" y="350520"/>
                                </a:lnTo>
                              </a:path>
                              <a:path w="3322320" h="2100580">
                                <a:moveTo>
                                  <a:pt x="0" y="0"/>
                                </a:moveTo>
                                <a:lnTo>
                                  <a:pt x="39623" y="0"/>
                                </a:lnTo>
                              </a:path>
                            </a:pathLst>
                          </a:custGeom>
                          <a:ln w="9144">
                            <a:solidFill>
                              <a:srgbClr val="858585"/>
                            </a:solidFill>
                            <a:prstDash val="solid"/>
                          </a:ln>
                        </wps:spPr>
                        <wps:bodyPr wrap="square" lIns="0" tIns="0" rIns="0" bIns="0" rtlCol="0">
                          <a:prstTxWarp prst="textNoShape">
                            <a:avLst/>
                          </a:prstTxWarp>
                          <a:noAutofit/>
                        </wps:bodyPr>
                      </wps:wsp>
                      <wps:wsp>
                        <wps:cNvPr id="487" name="Graphic 487"/>
                        <wps:cNvSpPr/>
                        <wps:spPr>
                          <a:xfrm>
                            <a:off x="1497583" y="2247773"/>
                            <a:ext cx="3282950" cy="1270"/>
                          </a:xfrm>
                          <a:custGeom>
                            <a:avLst/>
                            <a:gdLst/>
                            <a:ahLst/>
                            <a:cxnLst/>
                            <a:rect l="l" t="t" r="r" b="b"/>
                            <a:pathLst>
                              <a:path w="3282950" h="0">
                                <a:moveTo>
                                  <a:pt x="0" y="0"/>
                                </a:moveTo>
                                <a:lnTo>
                                  <a:pt x="411480" y="0"/>
                                </a:lnTo>
                              </a:path>
                              <a:path w="3282950" h="0">
                                <a:moveTo>
                                  <a:pt x="501396" y="0"/>
                                </a:moveTo>
                                <a:lnTo>
                                  <a:pt x="3282696" y="0"/>
                                </a:lnTo>
                              </a:path>
                            </a:pathLst>
                          </a:custGeom>
                          <a:ln w="9144">
                            <a:solidFill>
                              <a:srgbClr val="858585"/>
                            </a:solidFill>
                            <a:prstDash val="solid"/>
                          </a:ln>
                        </wps:spPr>
                        <wps:bodyPr wrap="square" lIns="0" tIns="0" rIns="0" bIns="0" rtlCol="0">
                          <a:prstTxWarp prst="textNoShape">
                            <a:avLst/>
                          </a:prstTxWarp>
                          <a:noAutofit/>
                        </wps:bodyPr>
                      </wps:wsp>
                      <wps:wsp>
                        <wps:cNvPr id="488" name="Graphic 488"/>
                        <wps:cNvSpPr/>
                        <wps:spPr>
                          <a:xfrm>
                            <a:off x="1589024" y="2090801"/>
                            <a:ext cx="3101340" cy="152400"/>
                          </a:xfrm>
                          <a:custGeom>
                            <a:avLst/>
                            <a:gdLst/>
                            <a:ahLst/>
                            <a:cxnLst/>
                            <a:rect l="l" t="t" r="r" b="b"/>
                            <a:pathLst>
                              <a:path w="3101340" h="152400">
                                <a:moveTo>
                                  <a:pt x="0" y="152400"/>
                                </a:moveTo>
                                <a:lnTo>
                                  <a:pt x="182880" y="131063"/>
                                </a:lnTo>
                                <a:lnTo>
                                  <a:pt x="364236" y="0"/>
                                </a:lnTo>
                                <a:lnTo>
                                  <a:pt x="547115" y="131063"/>
                                </a:lnTo>
                                <a:lnTo>
                                  <a:pt x="729995" y="85343"/>
                                </a:lnTo>
                                <a:lnTo>
                                  <a:pt x="912876" y="126491"/>
                                </a:lnTo>
                                <a:lnTo>
                                  <a:pt x="1094231" y="103631"/>
                                </a:lnTo>
                                <a:lnTo>
                                  <a:pt x="1277112" y="120395"/>
                                </a:lnTo>
                                <a:lnTo>
                                  <a:pt x="1459991" y="103631"/>
                                </a:lnTo>
                                <a:lnTo>
                                  <a:pt x="1641348" y="25907"/>
                                </a:lnTo>
                                <a:lnTo>
                                  <a:pt x="1824227" y="51815"/>
                                </a:lnTo>
                                <a:lnTo>
                                  <a:pt x="2007108" y="71627"/>
                                </a:lnTo>
                                <a:lnTo>
                                  <a:pt x="2188464" y="71627"/>
                                </a:lnTo>
                                <a:lnTo>
                                  <a:pt x="2371343" y="94487"/>
                                </a:lnTo>
                                <a:lnTo>
                                  <a:pt x="2554224" y="108203"/>
                                </a:lnTo>
                                <a:lnTo>
                                  <a:pt x="2737104" y="53339"/>
                                </a:lnTo>
                                <a:lnTo>
                                  <a:pt x="2918460" y="41148"/>
                                </a:lnTo>
                                <a:lnTo>
                                  <a:pt x="3101340" y="140207"/>
                                </a:lnTo>
                              </a:path>
                            </a:pathLst>
                          </a:custGeom>
                          <a:ln w="27432">
                            <a:solidFill>
                              <a:srgbClr val="497DBA"/>
                            </a:solidFill>
                            <a:prstDash val="solid"/>
                          </a:ln>
                        </wps:spPr>
                        <wps:bodyPr wrap="square" lIns="0" tIns="0" rIns="0" bIns="0" rtlCol="0">
                          <a:prstTxWarp prst="textNoShape">
                            <a:avLst/>
                          </a:prstTxWarp>
                          <a:noAutofit/>
                        </wps:bodyPr>
                      </wps:wsp>
                      <pic:pic>
                        <pic:nvPicPr>
                          <pic:cNvPr id="489" name="Image 489"/>
                          <pic:cNvPicPr/>
                        </pic:nvPicPr>
                        <pic:blipFill>
                          <a:blip r:embed="rId119" cstate="print"/>
                          <a:stretch>
                            <a:fillRect/>
                          </a:stretch>
                        </pic:blipFill>
                        <pic:spPr>
                          <a:xfrm>
                            <a:off x="1540255" y="2193925"/>
                            <a:ext cx="98044" cy="98044"/>
                          </a:xfrm>
                          <a:prstGeom prst="rect">
                            <a:avLst/>
                          </a:prstGeom>
                        </pic:spPr>
                      </pic:pic>
                      <pic:pic>
                        <pic:nvPicPr>
                          <pic:cNvPr id="490" name="Image 490"/>
                          <pic:cNvPicPr/>
                        </pic:nvPicPr>
                        <pic:blipFill>
                          <a:blip r:embed="rId111" cstate="print"/>
                          <a:stretch>
                            <a:fillRect/>
                          </a:stretch>
                        </pic:blipFill>
                        <pic:spPr>
                          <a:xfrm>
                            <a:off x="1722627" y="2173097"/>
                            <a:ext cx="98044" cy="98044"/>
                          </a:xfrm>
                          <a:prstGeom prst="rect">
                            <a:avLst/>
                          </a:prstGeom>
                        </pic:spPr>
                      </pic:pic>
                      <pic:pic>
                        <pic:nvPicPr>
                          <pic:cNvPr id="491" name="Image 491"/>
                          <pic:cNvPicPr/>
                        </pic:nvPicPr>
                        <pic:blipFill>
                          <a:blip r:embed="rId134" cstate="print"/>
                          <a:stretch>
                            <a:fillRect/>
                          </a:stretch>
                        </pic:blipFill>
                        <pic:spPr>
                          <a:xfrm>
                            <a:off x="1905000" y="2042032"/>
                            <a:ext cx="98171" cy="98044"/>
                          </a:xfrm>
                          <a:prstGeom prst="rect">
                            <a:avLst/>
                          </a:prstGeom>
                        </pic:spPr>
                      </pic:pic>
                      <pic:pic>
                        <pic:nvPicPr>
                          <pic:cNvPr id="492" name="Image 492"/>
                          <pic:cNvPicPr/>
                        </pic:nvPicPr>
                        <pic:blipFill>
                          <a:blip r:embed="rId111" cstate="print"/>
                          <a:stretch>
                            <a:fillRect/>
                          </a:stretch>
                        </pic:blipFill>
                        <pic:spPr>
                          <a:xfrm>
                            <a:off x="2087498" y="2171954"/>
                            <a:ext cx="98044" cy="98044"/>
                          </a:xfrm>
                          <a:prstGeom prst="rect">
                            <a:avLst/>
                          </a:prstGeom>
                        </pic:spPr>
                      </pic:pic>
                      <pic:pic>
                        <pic:nvPicPr>
                          <pic:cNvPr id="493" name="Image 493"/>
                          <pic:cNvPicPr/>
                        </pic:nvPicPr>
                        <pic:blipFill>
                          <a:blip r:embed="rId119" cstate="print"/>
                          <a:stretch>
                            <a:fillRect/>
                          </a:stretch>
                        </pic:blipFill>
                        <pic:spPr>
                          <a:xfrm>
                            <a:off x="2269870" y="2127757"/>
                            <a:ext cx="98043" cy="98044"/>
                          </a:xfrm>
                          <a:prstGeom prst="rect">
                            <a:avLst/>
                          </a:prstGeom>
                        </pic:spPr>
                      </pic:pic>
                      <pic:pic>
                        <pic:nvPicPr>
                          <pic:cNvPr id="494" name="Image 494"/>
                          <pic:cNvPicPr/>
                        </pic:nvPicPr>
                        <pic:blipFill>
                          <a:blip r:embed="rId113" cstate="print"/>
                          <a:stretch>
                            <a:fillRect/>
                          </a:stretch>
                        </pic:blipFill>
                        <pic:spPr>
                          <a:xfrm>
                            <a:off x="2452242" y="2168525"/>
                            <a:ext cx="98044" cy="98044"/>
                          </a:xfrm>
                          <a:prstGeom prst="rect">
                            <a:avLst/>
                          </a:prstGeom>
                        </pic:spPr>
                      </pic:pic>
                      <pic:pic>
                        <pic:nvPicPr>
                          <pic:cNvPr id="495" name="Image 495"/>
                          <pic:cNvPicPr/>
                        </pic:nvPicPr>
                        <pic:blipFill>
                          <a:blip r:embed="rId116" cstate="print"/>
                          <a:stretch>
                            <a:fillRect/>
                          </a:stretch>
                        </pic:blipFill>
                        <pic:spPr>
                          <a:xfrm>
                            <a:off x="2634614" y="2145283"/>
                            <a:ext cx="98044" cy="98044"/>
                          </a:xfrm>
                          <a:prstGeom prst="rect">
                            <a:avLst/>
                          </a:prstGeom>
                        </pic:spPr>
                      </pic:pic>
                      <pic:pic>
                        <pic:nvPicPr>
                          <pic:cNvPr id="496" name="Image 496"/>
                          <pic:cNvPicPr/>
                        </pic:nvPicPr>
                        <pic:blipFill>
                          <a:blip r:embed="rId111" cstate="print"/>
                          <a:stretch>
                            <a:fillRect/>
                          </a:stretch>
                        </pic:blipFill>
                        <pic:spPr>
                          <a:xfrm>
                            <a:off x="2817114" y="2162048"/>
                            <a:ext cx="98044" cy="98044"/>
                          </a:xfrm>
                          <a:prstGeom prst="rect">
                            <a:avLst/>
                          </a:prstGeom>
                        </pic:spPr>
                      </pic:pic>
                      <pic:pic>
                        <pic:nvPicPr>
                          <pic:cNvPr id="497" name="Image 497"/>
                          <pic:cNvPicPr/>
                        </pic:nvPicPr>
                        <pic:blipFill>
                          <a:blip r:embed="rId111" cstate="print"/>
                          <a:stretch>
                            <a:fillRect/>
                          </a:stretch>
                        </pic:blipFill>
                        <pic:spPr>
                          <a:xfrm>
                            <a:off x="2999485" y="2144902"/>
                            <a:ext cx="98044" cy="98044"/>
                          </a:xfrm>
                          <a:prstGeom prst="rect">
                            <a:avLst/>
                          </a:prstGeom>
                        </pic:spPr>
                      </pic:pic>
                      <pic:pic>
                        <pic:nvPicPr>
                          <pic:cNvPr id="498" name="Image 498"/>
                          <pic:cNvPicPr/>
                        </pic:nvPicPr>
                        <pic:blipFill>
                          <a:blip r:embed="rId113" cstate="print"/>
                          <a:stretch>
                            <a:fillRect/>
                          </a:stretch>
                        </pic:blipFill>
                        <pic:spPr>
                          <a:xfrm>
                            <a:off x="3181857" y="2067814"/>
                            <a:ext cx="98044" cy="98044"/>
                          </a:xfrm>
                          <a:prstGeom prst="rect">
                            <a:avLst/>
                          </a:prstGeom>
                        </pic:spPr>
                      </pic:pic>
                      <pic:pic>
                        <pic:nvPicPr>
                          <pic:cNvPr id="499" name="Image 499"/>
                          <pic:cNvPicPr/>
                        </pic:nvPicPr>
                        <pic:blipFill>
                          <a:blip r:embed="rId119" cstate="print"/>
                          <a:stretch>
                            <a:fillRect/>
                          </a:stretch>
                        </pic:blipFill>
                        <pic:spPr>
                          <a:xfrm>
                            <a:off x="3364229" y="2093976"/>
                            <a:ext cx="98044" cy="98044"/>
                          </a:xfrm>
                          <a:prstGeom prst="rect">
                            <a:avLst/>
                          </a:prstGeom>
                        </pic:spPr>
                      </pic:pic>
                      <pic:pic>
                        <pic:nvPicPr>
                          <pic:cNvPr id="500" name="Image 500"/>
                          <pic:cNvPicPr/>
                        </pic:nvPicPr>
                        <pic:blipFill>
                          <a:blip r:embed="rId111" cstate="print"/>
                          <a:stretch>
                            <a:fillRect/>
                          </a:stretch>
                        </pic:blipFill>
                        <pic:spPr>
                          <a:xfrm>
                            <a:off x="3546728" y="2114042"/>
                            <a:ext cx="98044" cy="98044"/>
                          </a:xfrm>
                          <a:prstGeom prst="rect">
                            <a:avLst/>
                          </a:prstGeom>
                        </pic:spPr>
                      </pic:pic>
                      <pic:pic>
                        <pic:nvPicPr>
                          <pic:cNvPr id="501" name="Image 501"/>
                          <pic:cNvPicPr/>
                        </pic:nvPicPr>
                        <pic:blipFill>
                          <a:blip r:embed="rId116" cstate="print"/>
                          <a:stretch>
                            <a:fillRect/>
                          </a:stretch>
                        </pic:blipFill>
                        <pic:spPr>
                          <a:xfrm>
                            <a:off x="3729101" y="2113279"/>
                            <a:ext cx="98044" cy="98044"/>
                          </a:xfrm>
                          <a:prstGeom prst="rect">
                            <a:avLst/>
                          </a:prstGeom>
                        </pic:spPr>
                      </pic:pic>
                      <pic:pic>
                        <pic:nvPicPr>
                          <pic:cNvPr id="502" name="Image 502"/>
                          <pic:cNvPicPr/>
                        </pic:nvPicPr>
                        <pic:blipFill>
                          <a:blip r:embed="rId118" cstate="print"/>
                          <a:stretch>
                            <a:fillRect/>
                          </a:stretch>
                        </pic:blipFill>
                        <pic:spPr>
                          <a:xfrm>
                            <a:off x="3911472" y="2135885"/>
                            <a:ext cx="98044" cy="97917"/>
                          </a:xfrm>
                          <a:prstGeom prst="rect">
                            <a:avLst/>
                          </a:prstGeom>
                        </pic:spPr>
                      </pic:pic>
                      <pic:pic>
                        <pic:nvPicPr>
                          <pic:cNvPr id="503" name="Image 503"/>
                          <pic:cNvPicPr/>
                        </pic:nvPicPr>
                        <pic:blipFill>
                          <a:blip r:embed="rId119" cstate="print"/>
                          <a:stretch>
                            <a:fillRect/>
                          </a:stretch>
                        </pic:blipFill>
                        <pic:spPr>
                          <a:xfrm>
                            <a:off x="4093845" y="2149855"/>
                            <a:ext cx="98044" cy="98044"/>
                          </a:xfrm>
                          <a:prstGeom prst="rect">
                            <a:avLst/>
                          </a:prstGeom>
                        </pic:spPr>
                      </pic:pic>
                      <pic:pic>
                        <pic:nvPicPr>
                          <pic:cNvPr id="504" name="Image 504"/>
                          <pic:cNvPicPr/>
                        </pic:nvPicPr>
                        <pic:blipFill>
                          <a:blip r:embed="rId135" cstate="print"/>
                          <a:stretch>
                            <a:fillRect/>
                          </a:stretch>
                        </pic:blipFill>
                        <pic:spPr>
                          <a:xfrm>
                            <a:off x="4276216" y="2096007"/>
                            <a:ext cx="98171" cy="97917"/>
                          </a:xfrm>
                          <a:prstGeom prst="rect">
                            <a:avLst/>
                          </a:prstGeom>
                        </pic:spPr>
                      </pic:pic>
                      <pic:pic>
                        <pic:nvPicPr>
                          <pic:cNvPr id="505" name="Image 505"/>
                          <pic:cNvPicPr/>
                        </pic:nvPicPr>
                        <pic:blipFill>
                          <a:blip r:embed="rId113" cstate="print"/>
                          <a:stretch>
                            <a:fillRect/>
                          </a:stretch>
                        </pic:blipFill>
                        <pic:spPr>
                          <a:xfrm>
                            <a:off x="4458715" y="2082926"/>
                            <a:ext cx="98044" cy="98044"/>
                          </a:xfrm>
                          <a:prstGeom prst="rect">
                            <a:avLst/>
                          </a:prstGeom>
                        </pic:spPr>
                      </pic:pic>
                      <pic:pic>
                        <pic:nvPicPr>
                          <pic:cNvPr id="506" name="Image 506"/>
                          <pic:cNvPicPr/>
                        </pic:nvPicPr>
                        <pic:blipFill>
                          <a:blip r:embed="rId111" cstate="print"/>
                          <a:stretch>
                            <a:fillRect/>
                          </a:stretch>
                        </pic:blipFill>
                        <pic:spPr>
                          <a:xfrm>
                            <a:off x="4641088" y="2181605"/>
                            <a:ext cx="98044" cy="98044"/>
                          </a:xfrm>
                          <a:prstGeom prst="rect">
                            <a:avLst/>
                          </a:prstGeom>
                        </pic:spPr>
                      </pic:pic>
                      <wps:wsp>
                        <wps:cNvPr id="507" name="Graphic 507"/>
                        <wps:cNvSpPr/>
                        <wps:spPr>
                          <a:xfrm>
                            <a:off x="1589024" y="1863725"/>
                            <a:ext cx="3101340" cy="382905"/>
                          </a:xfrm>
                          <a:custGeom>
                            <a:avLst/>
                            <a:gdLst/>
                            <a:ahLst/>
                            <a:cxnLst/>
                            <a:rect l="l" t="t" r="r" b="b"/>
                            <a:pathLst>
                              <a:path w="3101340" h="382905">
                                <a:moveTo>
                                  <a:pt x="0" y="382524"/>
                                </a:moveTo>
                                <a:lnTo>
                                  <a:pt x="182880" y="368807"/>
                                </a:lnTo>
                                <a:lnTo>
                                  <a:pt x="364236" y="358139"/>
                                </a:lnTo>
                                <a:lnTo>
                                  <a:pt x="547115" y="361188"/>
                                </a:lnTo>
                                <a:lnTo>
                                  <a:pt x="729995" y="339851"/>
                                </a:lnTo>
                                <a:lnTo>
                                  <a:pt x="912876" y="370331"/>
                                </a:lnTo>
                                <a:lnTo>
                                  <a:pt x="1094231" y="355091"/>
                                </a:lnTo>
                                <a:lnTo>
                                  <a:pt x="1277112" y="320039"/>
                                </a:lnTo>
                                <a:lnTo>
                                  <a:pt x="1459991" y="304800"/>
                                </a:lnTo>
                                <a:lnTo>
                                  <a:pt x="1641348" y="272795"/>
                                </a:lnTo>
                                <a:lnTo>
                                  <a:pt x="1824227" y="283463"/>
                                </a:lnTo>
                                <a:lnTo>
                                  <a:pt x="2007108" y="297179"/>
                                </a:lnTo>
                                <a:lnTo>
                                  <a:pt x="2188464" y="312419"/>
                                </a:lnTo>
                                <a:lnTo>
                                  <a:pt x="2371343" y="0"/>
                                </a:lnTo>
                                <a:lnTo>
                                  <a:pt x="2554224" y="28955"/>
                                </a:lnTo>
                                <a:lnTo>
                                  <a:pt x="2737104" y="134112"/>
                                </a:lnTo>
                                <a:lnTo>
                                  <a:pt x="2918460" y="131063"/>
                                </a:lnTo>
                                <a:lnTo>
                                  <a:pt x="3101340" y="278891"/>
                                </a:lnTo>
                              </a:path>
                            </a:pathLst>
                          </a:custGeom>
                          <a:ln w="27432">
                            <a:solidFill>
                              <a:srgbClr val="BD4A47"/>
                            </a:solidFill>
                            <a:prstDash val="solid"/>
                          </a:ln>
                        </wps:spPr>
                        <wps:bodyPr wrap="square" lIns="0" tIns="0" rIns="0" bIns="0" rtlCol="0">
                          <a:prstTxWarp prst="textNoShape">
                            <a:avLst/>
                          </a:prstTxWarp>
                          <a:noAutofit/>
                        </wps:bodyPr>
                      </wps:wsp>
                      <wps:wsp>
                        <wps:cNvPr id="508" name="Graphic 508"/>
                        <wps:cNvSpPr/>
                        <wps:spPr>
                          <a:xfrm>
                            <a:off x="1544827" y="2202052"/>
                            <a:ext cx="88900" cy="88900"/>
                          </a:xfrm>
                          <a:custGeom>
                            <a:avLst/>
                            <a:gdLst/>
                            <a:ahLst/>
                            <a:cxnLst/>
                            <a:rect l="l" t="t" r="r" b="b"/>
                            <a:pathLst>
                              <a:path w="88900" h="88900">
                                <a:moveTo>
                                  <a:pt x="88392" y="0"/>
                                </a:moveTo>
                                <a:lnTo>
                                  <a:pt x="0" y="0"/>
                                </a:lnTo>
                                <a:lnTo>
                                  <a:pt x="0" y="88391"/>
                                </a:lnTo>
                                <a:lnTo>
                                  <a:pt x="88392" y="88391"/>
                                </a:lnTo>
                                <a:lnTo>
                                  <a:pt x="88392" y="0"/>
                                </a:lnTo>
                                <a:close/>
                              </a:path>
                            </a:pathLst>
                          </a:custGeom>
                          <a:solidFill>
                            <a:srgbClr val="C0504D"/>
                          </a:solidFill>
                        </wps:spPr>
                        <wps:bodyPr wrap="square" lIns="0" tIns="0" rIns="0" bIns="0" rtlCol="0">
                          <a:prstTxWarp prst="textNoShape">
                            <a:avLst/>
                          </a:prstTxWarp>
                          <a:noAutofit/>
                        </wps:bodyPr>
                      </wps:wsp>
                      <wps:wsp>
                        <wps:cNvPr id="509" name="Graphic 509"/>
                        <wps:cNvSpPr/>
                        <wps:spPr>
                          <a:xfrm>
                            <a:off x="1544827" y="2202052"/>
                            <a:ext cx="88900" cy="88900"/>
                          </a:xfrm>
                          <a:custGeom>
                            <a:avLst/>
                            <a:gdLst/>
                            <a:ahLst/>
                            <a:cxnLst/>
                            <a:rect l="l" t="t" r="r" b="b"/>
                            <a:pathLst>
                              <a:path w="88900" h="88900">
                                <a:moveTo>
                                  <a:pt x="0" y="88391"/>
                                </a:moveTo>
                                <a:lnTo>
                                  <a:pt x="88392" y="88391"/>
                                </a:lnTo>
                                <a:lnTo>
                                  <a:pt x="88392"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510" name="Graphic 510"/>
                        <wps:cNvSpPr/>
                        <wps:spPr>
                          <a:xfrm>
                            <a:off x="1727707" y="2186813"/>
                            <a:ext cx="88900" cy="90170"/>
                          </a:xfrm>
                          <a:custGeom>
                            <a:avLst/>
                            <a:gdLst/>
                            <a:ahLst/>
                            <a:cxnLst/>
                            <a:rect l="l" t="t" r="r" b="b"/>
                            <a:pathLst>
                              <a:path w="88900" h="90170">
                                <a:moveTo>
                                  <a:pt x="88392" y="0"/>
                                </a:moveTo>
                                <a:lnTo>
                                  <a:pt x="0" y="0"/>
                                </a:lnTo>
                                <a:lnTo>
                                  <a:pt x="0" y="89915"/>
                                </a:lnTo>
                                <a:lnTo>
                                  <a:pt x="88392" y="89915"/>
                                </a:lnTo>
                                <a:lnTo>
                                  <a:pt x="88392" y="0"/>
                                </a:lnTo>
                                <a:close/>
                              </a:path>
                            </a:pathLst>
                          </a:custGeom>
                          <a:solidFill>
                            <a:srgbClr val="C0504D"/>
                          </a:solidFill>
                        </wps:spPr>
                        <wps:bodyPr wrap="square" lIns="0" tIns="0" rIns="0" bIns="0" rtlCol="0">
                          <a:prstTxWarp prst="textNoShape">
                            <a:avLst/>
                          </a:prstTxWarp>
                          <a:noAutofit/>
                        </wps:bodyPr>
                      </wps:wsp>
                      <wps:wsp>
                        <wps:cNvPr id="511" name="Graphic 511"/>
                        <wps:cNvSpPr/>
                        <wps:spPr>
                          <a:xfrm>
                            <a:off x="1727707" y="2186813"/>
                            <a:ext cx="88900" cy="90170"/>
                          </a:xfrm>
                          <a:custGeom>
                            <a:avLst/>
                            <a:gdLst/>
                            <a:ahLst/>
                            <a:cxnLst/>
                            <a:rect l="l" t="t" r="r" b="b"/>
                            <a:pathLst>
                              <a:path w="88900" h="90170">
                                <a:moveTo>
                                  <a:pt x="0" y="89915"/>
                                </a:moveTo>
                                <a:lnTo>
                                  <a:pt x="88392" y="89915"/>
                                </a:lnTo>
                                <a:lnTo>
                                  <a:pt x="88392" y="0"/>
                                </a:lnTo>
                                <a:lnTo>
                                  <a:pt x="0" y="0"/>
                                </a:lnTo>
                                <a:lnTo>
                                  <a:pt x="0" y="89915"/>
                                </a:lnTo>
                                <a:close/>
                              </a:path>
                            </a:pathLst>
                          </a:custGeom>
                          <a:ln w="9144">
                            <a:solidFill>
                              <a:srgbClr val="BD4A47"/>
                            </a:solidFill>
                            <a:prstDash val="solid"/>
                          </a:ln>
                        </wps:spPr>
                        <wps:bodyPr wrap="square" lIns="0" tIns="0" rIns="0" bIns="0" rtlCol="0">
                          <a:prstTxWarp prst="textNoShape">
                            <a:avLst/>
                          </a:prstTxWarp>
                          <a:noAutofit/>
                        </wps:bodyPr>
                      </wps:wsp>
                      <wps:wsp>
                        <wps:cNvPr id="512" name="Graphic 512"/>
                        <wps:cNvSpPr/>
                        <wps:spPr>
                          <a:xfrm>
                            <a:off x="1909064" y="2176145"/>
                            <a:ext cx="90170" cy="90170"/>
                          </a:xfrm>
                          <a:custGeom>
                            <a:avLst/>
                            <a:gdLst/>
                            <a:ahLst/>
                            <a:cxnLst/>
                            <a:rect l="l" t="t" r="r" b="b"/>
                            <a:pathLst>
                              <a:path w="90170" h="90170">
                                <a:moveTo>
                                  <a:pt x="89916" y="0"/>
                                </a:moveTo>
                                <a:lnTo>
                                  <a:pt x="0" y="0"/>
                                </a:lnTo>
                                <a:lnTo>
                                  <a:pt x="0" y="89915"/>
                                </a:lnTo>
                                <a:lnTo>
                                  <a:pt x="89916" y="89915"/>
                                </a:lnTo>
                                <a:lnTo>
                                  <a:pt x="89916" y="0"/>
                                </a:lnTo>
                                <a:close/>
                              </a:path>
                            </a:pathLst>
                          </a:custGeom>
                          <a:solidFill>
                            <a:srgbClr val="C0504D"/>
                          </a:solidFill>
                        </wps:spPr>
                        <wps:bodyPr wrap="square" lIns="0" tIns="0" rIns="0" bIns="0" rtlCol="0">
                          <a:prstTxWarp prst="textNoShape">
                            <a:avLst/>
                          </a:prstTxWarp>
                          <a:noAutofit/>
                        </wps:bodyPr>
                      </wps:wsp>
                      <wps:wsp>
                        <wps:cNvPr id="513" name="Graphic 513"/>
                        <wps:cNvSpPr/>
                        <wps:spPr>
                          <a:xfrm>
                            <a:off x="1909064" y="2176145"/>
                            <a:ext cx="90170" cy="90170"/>
                          </a:xfrm>
                          <a:custGeom>
                            <a:avLst/>
                            <a:gdLst/>
                            <a:ahLst/>
                            <a:cxnLst/>
                            <a:rect l="l" t="t" r="r" b="b"/>
                            <a:pathLst>
                              <a:path w="90170" h="90170">
                                <a:moveTo>
                                  <a:pt x="0" y="89915"/>
                                </a:moveTo>
                                <a:lnTo>
                                  <a:pt x="89916" y="89915"/>
                                </a:lnTo>
                                <a:lnTo>
                                  <a:pt x="89916" y="0"/>
                                </a:lnTo>
                                <a:lnTo>
                                  <a:pt x="0" y="0"/>
                                </a:lnTo>
                                <a:lnTo>
                                  <a:pt x="0" y="89915"/>
                                </a:lnTo>
                                <a:close/>
                              </a:path>
                            </a:pathLst>
                          </a:custGeom>
                          <a:ln w="9144">
                            <a:solidFill>
                              <a:srgbClr val="BD4A47"/>
                            </a:solidFill>
                            <a:prstDash val="solid"/>
                          </a:ln>
                        </wps:spPr>
                        <wps:bodyPr wrap="square" lIns="0" tIns="0" rIns="0" bIns="0" rtlCol="0">
                          <a:prstTxWarp prst="textNoShape">
                            <a:avLst/>
                          </a:prstTxWarp>
                          <a:noAutofit/>
                        </wps:bodyPr>
                      </wps:wsp>
                      <wps:wsp>
                        <wps:cNvPr id="514" name="Graphic 514"/>
                        <wps:cNvSpPr/>
                        <wps:spPr>
                          <a:xfrm>
                            <a:off x="2091944" y="2179192"/>
                            <a:ext cx="88900" cy="90170"/>
                          </a:xfrm>
                          <a:custGeom>
                            <a:avLst/>
                            <a:gdLst/>
                            <a:ahLst/>
                            <a:cxnLst/>
                            <a:rect l="l" t="t" r="r" b="b"/>
                            <a:pathLst>
                              <a:path w="88900" h="90170">
                                <a:moveTo>
                                  <a:pt x="88392" y="0"/>
                                </a:moveTo>
                                <a:lnTo>
                                  <a:pt x="0" y="0"/>
                                </a:lnTo>
                                <a:lnTo>
                                  <a:pt x="0" y="89915"/>
                                </a:lnTo>
                                <a:lnTo>
                                  <a:pt x="88392" y="89915"/>
                                </a:lnTo>
                                <a:lnTo>
                                  <a:pt x="88392" y="0"/>
                                </a:lnTo>
                                <a:close/>
                              </a:path>
                            </a:pathLst>
                          </a:custGeom>
                          <a:solidFill>
                            <a:srgbClr val="C0504D"/>
                          </a:solidFill>
                        </wps:spPr>
                        <wps:bodyPr wrap="square" lIns="0" tIns="0" rIns="0" bIns="0" rtlCol="0">
                          <a:prstTxWarp prst="textNoShape">
                            <a:avLst/>
                          </a:prstTxWarp>
                          <a:noAutofit/>
                        </wps:bodyPr>
                      </wps:wsp>
                      <wps:wsp>
                        <wps:cNvPr id="515" name="Graphic 515"/>
                        <wps:cNvSpPr/>
                        <wps:spPr>
                          <a:xfrm>
                            <a:off x="2091944" y="2179192"/>
                            <a:ext cx="88900" cy="90170"/>
                          </a:xfrm>
                          <a:custGeom>
                            <a:avLst/>
                            <a:gdLst/>
                            <a:ahLst/>
                            <a:cxnLst/>
                            <a:rect l="l" t="t" r="r" b="b"/>
                            <a:pathLst>
                              <a:path w="88900" h="90170">
                                <a:moveTo>
                                  <a:pt x="0" y="89915"/>
                                </a:moveTo>
                                <a:lnTo>
                                  <a:pt x="88392" y="89915"/>
                                </a:lnTo>
                                <a:lnTo>
                                  <a:pt x="88392" y="0"/>
                                </a:lnTo>
                                <a:lnTo>
                                  <a:pt x="0" y="0"/>
                                </a:lnTo>
                                <a:lnTo>
                                  <a:pt x="0" y="89915"/>
                                </a:lnTo>
                                <a:close/>
                              </a:path>
                            </a:pathLst>
                          </a:custGeom>
                          <a:ln w="9144">
                            <a:solidFill>
                              <a:srgbClr val="BD4A47"/>
                            </a:solidFill>
                            <a:prstDash val="solid"/>
                          </a:ln>
                        </wps:spPr>
                        <wps:bodyPr wrap="square" lIns="0" tIns="0" rIns="0" bIns="0" rtlCol="0">
                          <a:prstTxWarp prst="textNoShape">
                            <a:avLst/>
                          </a:prstTxWarp>
                          <a:noAutofit/>
                        </wps:bodyPr>
                      </wps:wsp>
                      <wps:wsp>
                        <wps:cNvPr id="516" name="Graphic 516"/>
                        <wps:cNvSpPr/>
                        <wps:spPr>
                          <a:xfrm>
                            <a:off x="2274823" y="2159380"/>
                            <a:ext cx="88900" cy="88900"/>
                          </a:xfrm>
                          <a:custGeom>
                            <a:avLst/>
                            <a:gdLst/>
                            <a:ahLst/>
                            <a:cxnLst/>
                            <a:rect l="l" t="t" r="r" b="b"/>
                            <a:pathLst>
                              <a:path w="88900" h="88900">
                                <a:moveTo>
                                  <a:pt x="88391" y="0"/>
                                </a:moveTo>
                                <a:lnTo>
                                  <a:pt x="0" y="0"/>
                                </a:lnTo>
                                <a:lnTo>
                                  <a:pt x="0" y="88391"/>
                                </a:lnTo>
                                <a:lnTo>
                                  <a:pt x="88391" y="88391"/>
                                </a:lnTo>
                                <a:lnTo>
                                  <a:pt x="88391" y="0"/>
                                </a:lnTo>
                                <a:close/>
                              </a:path>
                            </a:pathLst>
                          </a:custGeom>
                          <a:solidFill>
                            <a:srgbClr val="C0504D"/>
                          </a:solidFill>
                        </wps:spPr>
                        <wps:bodyPr wrap="square" lIns="0" tIns="0" rIns="0" bIns="0" rtlCol="0">
                          <a:prstTxWarp prst="textNoShape">
                            <a:avLst/>
                          </a:prstTxWarp>
                          <a:noAutofit/>
                        </wps:bodyPr>
                      </wps:wsp>
                      <wps:wsp>
                        <wps:cNvPr id="517" name="Graphic 517"/>
                        <wps:cNvSpPr/>
                        <wps:spPr>
                          <a:xfrm>
                            <a:off x="2274823" y="2159380"/>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518" name="Graphic 518"/>
                        <wps:cNvSpPr/>
                        <wps:spPr>
                          <a:xfrm>
                            <a:off x="2456179" y="2188336"/>
                            <a:ext cx="90170" cy="90170"/>
                          </a:xfrm>
                          <a:custGeom>
                            <a:avLst/>
                            <a:gdLst/>
                            <a:ahLst/>
                            <a:cxnLst/>
                            <a:rect l="l" t="t" r="r" b="b"/>
                            <a:pathLst>
                              <a:path w="90170" h="90170">
                                <a:moveTo>
                                  <a:pt x="89915" y="0"/>
                                </a:moveTo>
                                <a:lnTo>
                                  <a:pt x="0" y="0"/>
                                </a:lnTo>
                                <a:lnTo>
                                  <a:pt x="0" y="89915"/>
                                </a:lnTo>
                                <a:lnTo>
                                  <a:pt x="89915" y="89915"/>
                                </a:lnTo>
                                <a:lnTo>
                                  <a:pt x="89915" y="0"/>
                                </a:lnTo>
                                <a:close/>
                              </a:path>
                            </a:pathLst>
                          </a:custGeom>
                          <a:solidFill>
                            <a:srgbClr val="C0504D"/>
                          </a:solidFill>
                        </wps:spPr>
                        <wps:bodyPr wrap="square" lIns="0" tIns="0" rIns="0" bIns="0" rtlCol="0">
                          <a:prstTxWarp prst="textNoShape">
                            <a:avLst/>
                          </a:prstTxWarp>
                          <a:noAutofit/>
                        </wps:bodyPr>
                      </wps:wsp>
                      <wps:wsp>
                        <wps:cNvPr id="519" name="Graphic 519"/>
                        <wps:cNvSpPr/>
                        <wps:spPr>
                          <a:xfrm>
                            <a:off x="2456179" y="2188336"/>
                            <a:ext cx="90170" cy="90170"/>
                          </a:xfrm>
                          <a:custGeom>
                            <a:avLst/>
                            <a:gdLst/>
                            <a:ahLst/>
                            <a:cxnLst/>
                            <a:rect l="l" t="t" r="r" b="b"/>
                            <a:pathLst>
                              <a:path w="90170" h="90170">
                                <a:moveTo>
                                  <a:pt x="0" y="89915"/>
                                </a:moveTo>
                                <a:lnTo>
                                  <a:pt x="89915" y="89915"/>
                                </a:lnTo>
                                <a:lnTo>
                                  <a:pt x="89915" y="0"/>
                                </a:lnTo>
                                <a:lnTo>
                                  <a:pt x="0" y="0"/>
                                </a:lnTo>
                                <a:lnTo>
                                  <a:pt x="0" y="89915"/>
                                </a:lnTo>
                                <a:close/>
                              </a:path>
                            </a:pathLst>
                          </a:custGeom>
                          <a:ln w="9144">
                            <a:solidFill>
                              <a:srgbClr val="BD4A47"/>
                            </a:solidFill>
                            <a:prstDash val="solid"/>
                          </a:ln>
                        </wps:spPr>
                        <wps:bodyPr wrap="square" lIns="0" tIns="0" rIns="0" bIns="0" rtlCol="0">
                          <a:prstTxWarp prst="textNoShape">
                            <a:avLst/>
                          </a:prstTxWarp>
                          <a:noAutofit/>
                        </wps:bodyPr>
                      </wps:wsp>
                      <wps:wsp>
                        <wps:cNvPr id="520" name="Graphic 520"/>
                        <wps:cNvSpPr/>
                        <wps:spPr>
                          <a:xfrm>
                            <a:off x="2639060" y="2174620"/>
                            <a:ext cx="88900" cy="88900"/>
                          </a:xfrm>
                          <a:custGeom>
                            <a:avLst/>
                            <a:gdLst/>
                            <a:ahLst/>
                            <a:cxnLst/>
                            <a:rect l="l" t="t" r="r" b="b"/>
                            <a:pathLst>
                              <a:path w="88900" h="88900">
                                <a:moveTo>
                                  <a:pt x="88391" y="0"/>
                                </a:moveTo>
                                <a:lnTo>
                                  <a:pt x="0" y="0"/>
                                </a:lnTo>
                                <a:lnTo>
                                  <a:pt x="0" y="88391"/>
                                </a:lnTo>
                                <a:lnTo>
                                  <a:pt x="88391" y="88391"/>
                                </a:lnTo>
                                <a:lnTo>
                                  <a:pt x="88391" y="0"/>
                                </a:lnTo>
                                <a:close/>
                              </a:path>
                            </a:pathLst>
                          </a:custGeom>
                          <a:solidFill>
                            <a:srgbClr val="C0504D"/>
                          </a:solidFill>
                        </wps:spPr>
                        <wps:bodyPr wrap="square" lIns="0" tIns="0" rIns="0" bIns="0" rtlCol="0">
                          <a:prstTxWarp prst="textNoShape">
                            <a:avLst/>
                          </a:prstTxWarp>
                          <a:noAutofit/>
                        </wps:bodyPr>
                      </wps:wsp>
                      <wps:wsp>
                        <wps:cNvPr id="521" name="Graphic 521"/>
                        <wps:cNvSpPr/>
                        <wps:spPr>
                          <a:xfrm>
                            <a:off x="2639060" y="2174620"/>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522" name="Graphic 522"/>
                        <wps:cNvSpPr/>
                        <wps:spPr>
                          <a:xfrm>
                            <a:off x="2821939" y="2139569"/>
                            <a:ext cx="88900" cy="88900"/>
                          </a:xfrm>
                          <a:custGeom>
                            <a:avLst/>
                            <a:gdLst/>
                            <a:ahLst/>
                            <a:cxnLst/>
                            <a:rect l="l" t="t" r="r" b="b"/>
                            <a:pathLst>
                              <a:path w="88900" h="88900">
                                <a:moveTo>
                                  <a:pt x="88391" y="0"/>
                                </a:moveTo>
                                <a:lnTo>
                                  <a:pt x="0" y="0"/>
                                </a:lnTo>
                                <a:lnTo>
                                  <a:pt x="0" y="88391"/>
                                </a:lnTo>
                                <a:lnTo>
                                  <a:pt x="88391" y="88391"/>
                                </a:lnTo>
                                <a:lnTo>
                                  <a:pt x="88391" y="0"/>
                                </a:lnTo>
                                <a:close/>
                              </a:path>
                            </a:pathLst>
                          </a:custGeom>
                          <a:solidFill>
                            <a:srgbClr val="C0504D"/>
                          </a:solidFill>
                        </wps:spPr>
                        <wps:bodyPr wrap="square" lIns="0" tIns="0" rIns="0" bIns="0" rtlCol="0">
                          <a:prstTxWarp prst="textNoShape">
                            <a:avLst/>
                          </a:prstTxWarp>
                          <a:noAutofit/>
                        </wps:bodyPr>
                      </wps:wsp>
                      <wps:wsp>
                        <wps:cNvPr id="523" name="Graphic 523"/>
                        <wps:cNvSpPr/>
                        <wps:spPr>
                          <a:xfrm>
                            <a:off x="2821939" y="2139569"/>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524" name="Graphic 524"/>
                        <wps:cNvSpPr/>
                        <wps:spPr>
                          <a:xfrm>
                            <a:off x="3003295" y="2122804"/>
                            <a:ext cx="90170" cy="90170"/>
                          </a:xfrm>
                          <a:custGeom>
                            <a:avLst/>
                            <a:gdLst/>
                            <a:ahLst/>
                            <a:cxnLst/>
                            <a:rect l="l" t="t" r="r" b="b"/>
                            <a:pathLst>
                              <a:path w="90170" h="90170">
                                <a:moveTo>
                                  <a:pt x="89915" y="0"/>
                                </a:moveTo>
                                <a:lnTo>
                                  <a:pt x="0" y="0"/>
                                </a:lnTo>
                                <a:lnTo>
                                  <a:pt x="0" y="89915"/>
                                </a:lnTo>
                                <a:lnTo>
                                  <a:pt x="89915" y="89915"/>
                                </a:lnTo>
                                <a:lnTo>
                                  <a:pt x="89915" y="0"/>
                                </a:lnTo>
                                <a:close/>
                              </a:path>
                            </a:pathLst>
                          </a:custGeom>
                          <a:solidFill>
                            <a:srgbClr val="C0504D"/>
                          </a:solidFill>
                        </wps:spPr>
                        <wps:bodyPr wrap="square" lIns="0" tIns="0" rIns="0" bIns="0" rtlCol="0">
                          <a:prstTxWarp prst="textNoShape">
                            <a:avLst/>
                          </a:prstTxWarp>
                          <a:noAutofit/>
                        </wps:bodyPr>
                      </wps:wsp>
                      <wps:wsp>
                        <wps:cNvPr id="525" name="Graphic 525"/>
                        <wps:cNvSpPr/>
                        <wps:spPr>
                          <a:xfrm>
                            <a:off x="3003295" y="2122804"/>
                            <a:ext cx="90170" cy="90170"/>
                          </a:xfrm>
                          <a:custGeom>
                            <a:avLst/>
                            <a:gdLst/>
                            <a:ahLst/>
                            <a:cxnLst/>
                            <a:rect l="l" t="t" r="r" b="b"/>
                            <a:pathLst>
                              <a:path w="90170" h="90170">
                                <a:moveTo>
                                  <a:pt x="0" y="89915"/>
                                </a:moveTo>
                                <a:lnTo>
                                  <a:pt x="89915" y="89915"/>
                                </a:lnTo>
                                <a:lnTo>
                                  <a:pt x="89915" y="0"/>
                                </a:lnTo>
                                <a:lnTo>
                                  <a:pt x="0" y="0"/>
                                </a:lnTo>
                                <a:lnTo>
                                  <a:pt x="0" y="89915"/>
                                </a:lnTo>
                                <a:close/>
                              </a:path>
                            </a:pathLst>
                          </a:custGeom>
                          <a:ln w="9144">
                            <a:solidFill>
                              <a:srgbClr val="BD4A47"/>
                            </a:solidFill>
                            <a:prstDash val="solid"/>
                          </a:ln>
                        </wps:spPr>
                        <wps:bodyPr wrap="square" lIns="0" tIns="0" rIns="0" bIns="0" rtlCol="0">
                          <a:prstTxWarp prst="textNoShape">
                            <a:avLst/>
                          </a:prstTxWarp>
                          <a:noAutofit/>
                        </wps:bodyPr>
                      </wps:wsp>
                      <wps:wsp>
                        <wps:cNvPr id="526" name="Graphic 526"/>
                        <wps:cNvSpPr/>
                        <wps:spPr>
                          <a:xfrm>
                            <a:off x="3186176" y="2090801"/>
                            <a:ext cx="90170" cy="88900"/>
                          </a:xfrm>
                          <a:custGeom>
                            <a:avLst/>
                            <a:gdLst/>
                            <a:ahLst/>
                            <a:cxnLst/>
                            <a:rect l="l" t="t" r="r" b="b"/>
                            <a:pathLst>
                              <a:path w="90170" h="88900">
                                <a:moveTo>
                                  <a:pt x="89915" y="0"/>
                                </a:moveTo>
                                <a:lnTo>
                                  <a:pt x="0" y="0"/>
                                </a:lnTo>
                                <a:lnTo>
                                  <a:pt x="0" y="88391"/>
                                </a:lnTo>
                                <a:lnTo>
                                  <a:pt x="89915" y="88391"/>
                                </a:lnTo>
                                <a:lnTo>
                                  <a:pt x="89915" y="0"/>
                                </a:lnTo>
                                <a:close/>
                              </a:path>
                            </a:pathLst>
                          </a:custGeom>
                          <a:solidFill>
                            <a:srgbClr val="C0504D"/>
                          </a:solidFill>
                        </wps:spPr>
                        <wps:bodyPr wrap="square" lIns="0" tIns="0" rIns="0" bIns="0" rtlCol="0">
                          <a:prstTxWarp prst="textNoShape">
                            <a:avLst/>
                          </a:prstTxWarp>
                          <a:noAutofit/>
                        </wps:bodyPr>
                      </wps:wsp>
                      <wps:wsp>
                        <wps:cNvPr id="527" name="Graphic 527"/>
                        <wps:cNvSpPr/>
                        <wps:spPr>
                          <a:xfrm>
                            <a:off x="3186176" y="2090801"/>
                            <a:ext cx="90170" cy="88900"/>
                          </a:xfrm>
                          <a:custGeom>
                            <a:avLst/>
                            <a:gdLst/>
                            <a:ahLst/>
                            <a:cxnLst/>
                            <a:rect l="l" t="t" r="r" b="b"/>
                            <a:pathLst>
                              <a:path w="90170" h="88900">
                                <a:moveTo>
                                  <a:pt x="0" y="88391"/>
                                </a:moveTo>
                                <a:lnTo>
                                  <a:pt x="89915" y="88391"/>
                                </a:lnTo>
                                <a:lnTo>
                                  <a:pt x="89915"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528" name="Graphic 528"/>
                        <wps:cNvSpPr/>
                        <wps:spPr>
                          <a:xfrm>
                            <a:off x="3369055" y="2101469"/>
                            <a:ext cx="88900" cy="90170"/>
                          </a:xfrm>
                          <a:custGeom>
                            <a:avLst/>
                            <a:gdLst/>
                            <a:ahLst/>
                            <a:cxnLst/>
                            <a:rect l="l" t="t" r="r" b="b"/>
                            <a:pathLst>
                              <a:path w="88900" h="90170">
                                <a:moveTo>
                                  <a:pt x="88391" y="0"/>
                                </a:moveTo>
                                <a:lnTo>
                                  <a:pt x="0" y="0"/>
                                </a:lnTo>
                                <a:lnTo>
                                  <a:pt x="0" y="89915"/>
                                </a:lnTo>
                                <a:lnTo>
                                  <a:pt x="88391" y="89915"/>
                                </a:lnTo>
                                <a:lnTo>
                                  <a:pt x="88391" y="0"/>
                                </a:lnTo>
                                <a:close/>
                              </a:path>
                            </a:pathLst>
                          </a:custGeom>
                          <a:solidFill>
                            <a:srgbClr val="C0504D"/>
                          </a:solidFill>
                        </wps:spPr>
                        <wps:bodyPr wrap="square" lIns="0" tIns="0" rIns="0" bIns="0" rtlCol="0">
                          <a:prstTxWarp prst="textNoShape">
                            <a:avLst/>
                          </a:prstTxWarp>
                          <a:noAutofit/>
                        </wps:bodyPr>
                      </wps:wsp>
                      <wps:wsp>
                        <wps:cNvPr id="529" name="Graphic 529"/>
                        <wps:cNvSpPr/>
                        <wps:spPr>
                          <a:xfrm>
                            <a:off x="3369055" y="2101469"/>
                            <a:ext cx="88900" cy="90170"/>
                          </a:xfrm>
                          <a:custGeom>
                            <a:avLst/>
                            <a:gdLst/>
                            <a:ahLst/>
                            <a:cxnLst/>
                            <a:rect l="l" t="t" r="r" b="b"/>
                            <a:pathLst>
                              <a:path w="88900" h="90170">
                                <a:moveTo>
                                  <a:pt x="0" y="89915"/>
                                </a:moveTo>
                                <a:lnTo>
                                  <a:pt x="88391" y="89915"/>
                                </a:lnTo>
                                <a:lnTo>
                                  <a:pt x="88391" y="0"/>
                                </a:lnTo>
                                <a:lnTo>
                                  <a:pt x="0" y="0"/>
                                </a:lnTo>
                                <a:lnTo>
                                  <a:pt x="0" y="89915"/>
                                </a:lnTo>
                                <a:close/>
                              </a:path>
                            </a:pathLst>
                          </a:custGeom>
                          <a:ln w="9144">
                            <a:solidFill>
                              <a:srgbClr val="BD4A47"/>
                            </a:solidFill>
                            <a:prstDash val="solid"/>
                          </a:ln>
                        </wps:spPr>
                        <wps:bodyPr wrap="square" lIns="0" tIns="0" rIns="0" bIns="0" rtlCol="0">
                          <a:prstTxWarp prst="textNoShape">
                            <a:avLst/>
                          </a:prstTxWarp>
                          <a:noAutofit/>
                        </wps:bodyPr>
                      </wps:wsp>
                      <wps:wsp>
                        <wps:cNvPr id="530" name="Graphic 530"/>
                        <wps:cNvSpPr/>
                        <wps:spPr>
                          <a:xfrm>
                            <a:off x="3551935" y="2115185"/>
                            <a:ext cx="88900" cy="90170"/>
                          </a:xfrm>
                          <a:custGeom>
                            <a:avLst/>
                            <a:gdLst/>
                            <a:ahLst/>
                            <a:cxnLst/>
                            <a:rect l="l" t="t" r="r" b="b"/>
                            <a:pathLst>
                              <a:path w="88900" h="90170">
                                <a:moveTo>
                                  <a:pt x="88391" y="0"/>
                                </a:moveTo>
                                <a:lnTo>
                                  <a:pt x="0" y="0"/>
                                </a:lnTo>
                                <a:lnTo>
                                  <a:pt x="0" y="89915"/>
                                </a:lnTo>
                                <a:lnTo>
                                  <a:pt x="88391" y="89915"/>
                                </a:lnTo>
                                <a:lnTo>
                                  <a:pt x="88391" y="0"/>
                                </a:lnTo>
                                <a:close/>
                              </a:path>
                            </a:pathLst>
                          </a:custGeom>
                          <a:solidFill>
                            <a:srgbClr val="C0504D"/>
                          </a:solidFill>
                        </wps:spPr>
                        <wps:bodyPr wrap="square" lIns="0" tIns="0" rIns="0" bIns="0" rtlCol="0">
                          <a:prstTxWarp prst="textNoShape">
                            <a:avLst/>
                          </a:prstTxWarp>
                          <a:noAutofit/>
                        </wps:bodyPr>
                      </wps:wsp>
                      <wps:wsp>
                        <wps:cNvPr id="531" name="Graphic 531"/>
                        <wps:cNvSpPr/>
                        <wps:spPr>
                          <a:xfrm>
                            <a:off x="3551935" y="2115185"/>
                            <a:ext cx="88900" cy="90170"/>
                          </a:xfrm>
                          <a:custGeom>
                            <a:avLst/>
                            <a:gdLst/>
                            <a:ahLst/>
                            <a:cxnLst/>
                            <a:rect l="l" t="t" r="r" b="b"/>
                            <a:pathLst>
                              <a:path w="88900" h="90170">
                                <a:moveTo>
                                  <a:pt x="0" y="89915"/>
                                </a:moveTo>
                                <a:lnTo>
                                  <a:pt x="88391" y="89915"/>
                                </a:lnTo>
                                <a:lnTo>
                                  <a:pt x="88391" y="0"/>
                                </a:lnTo>
                                <a:lnTo>
                                  <a:pt x="0" y="0"/>
                                </a:lnTo>
                                <a:lnTo>
                                  <a:pt x="0" y="89915"/>
                                </a:lnTo>
                                <a:close/>
                              </a:path>
                            </a:pathLst>
                          </a:custGeom>
                          <a:ln w="9144">
                            <a:solidFill>
                              <a:srgbClr val="BD4A47"/>
                            </a:solidFill>
                            <a:prstDash val="solid"/>
                          </a:ln>
                        </wps:spPr>
                        <wps:bodyPr wrap="square" lIns="0" tIns="0" rIns="0" bIns="0" rtlCol="0">
                          <a:prstTxWarp prst="textNoShape">
                            <a:avLst/>
                          </a:prstTxWarp>
                          <a:noAutofit/>
                        </wps:bodyPr>
                      </wps:wsp>
                      <wps:wsp>
                        <wps:cNvPr id="532" name="Graphic 532"/>
                        <wps:cNvSpPr/>
                        <wps:spPr>
                          <a:xfrm>
                            <a:off x="3733291" y="2131948"/>
                            <a:ext cx="90170" cy="88900"/>
                          </a:xfrm>
                          <a:custGeom>
                            <a:avLst/>
                            <a:gdLst/>
                            <a:ahLst/>
                            <a:cxnLst/>
                            <a:rect l="l" t="t" r="r" b="b"/>
                            <a:pathLst>
                              <a:path w="90170" h="88900">
                                <a:moveTo>
                                  <a:pt x="89915" y="0"/>
                                </a:moveTo>
                                <a:lnTo>
                                  <a:pt x="0" y="0"/>
                                </a:lnTo>
                                <a:lnTo>
                                  <a:pt x="0" y="88391"/>
                                </a:lnTo>
                                <a:lnTo>
                                  <a:pt x="89915" y="88391"/>
                                </a:lnTo>
                                <a:lnTo>
                                  <a:pt x="89915" y="0"/>
                                </a:lnTo>
                                <a:close/>
                              </a:path>
                            </a:pathLst>
                          </a:custGeom>
                          <a:solidFill>
                            <a:srgbClr val="C0504D"/>
                          </a:solidFill>
                        </wps:spPr>
                        <wps:bodyPr wrap="square" lIns="0" tIns="0" rIns="0" bIns="0" rtlCol="0">
                          <a:prstTxWarp prst="textNoShape">
                            <a:avLst/>
                          </a:prstTxWarp>
                          <a:noAutofit/>
                        </wps:bodyPr>
                      </wps:wsp>
                      <wps:wsp>
                        <wps:cNvPr id="533" name="Graphic 533"/>
                        <wps:cNvSpPr/>
                        <wps:spPr>
                          <a:xfrm>
                            <a:off x="3733291" y="2131948"/>
                            <a:ext cx="90170" cy="88900"/>
                          </a:xfrm>
                          <a:custGeom>
                            <a:avLst/>
                            <a:gdLst/>
                            <a:ahLst/>
                            <a:cxnLst/>
                            <a:rect l="l" t="t" r="r" b="b"/>
                            <a:pathLst>
                              <a:path w="90170" h="88900">
                                <a:moveTo>
                                  <a:pt x="0" y="88391"/>
                                </a:moveTo>
                                <a:lnTo>
                                  <a:pt x="89915" y="88391"/>
                                </a:lnTo>
                                <a:lnTo>
                                  <a:pt x="89915"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534" name="Graphic 534"/>
                        <wps:cNvSpPr/>
                        <wps:spPr>
                          <a:xfrm>
                            <a:off x="3916171" y="1818004"/>
                            <a:ext cx="88900" cy="88900"/>
                          </a:xfrm>
                          <a:custGeom>
                            <a:avLst/>
                            <a:gdLst/>
                            <a:ahLst/>
                            <a:cxnLst/>
                            <a:rect l="l" t="t" r="r" b="b"/>
                            <a:pathLst>
                              <a:path w="88900" h="88900">
                                <a:moveTo>
                                  <a:pt x="88391" y="0"/>
                                </a:moveTo>
                                <a:lnTo>
                                  <a:pt x="0" y="0"/>
                                </a:lnTo>
                                <a:lnTo>
                                  <a:pt x="0" y="88391"/>
                                </a:lnTo>
                                <a:lnTo>
                                  <a:pt x="88391" y="88391"/>
                                </a:lnTo>
                                <a:lnTo>
                                  <a:pt x="88391" y="0"/>
                                </a:lnTo>
                                <a:close/>
                              </a:path>
                            </a:pathLst>
                          </a:custGeom>
                          <a:solidFill>
                            <a:srgbClr val="C0504D"/>
                          </a:solidFill>
                        </wps:spPr>
                        <wps:bodyPr wrap="square" lIns="0" tIns="0" rIns="0" bIns="0" rtlCol="0">
                          <a:prstTxWarp prst="textNoShape">
                            <a:avLst/>
                          </a:prstTxWarp>
                          <a:noAutofit/>
                        </wps:bodyPr>
                      </wps:wsp>
                      <wps:wsp>
                        <wps:cNvPr id="535" name="Graphic 535"/>
                        <wps:cNvSpPr/>
                        <wps:spPr>
                          <a:xfrm>
                            <a:off x="3916171" y="1818004"/>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536" name="Graphic 536"/>
                        <wps:cNvSpPr/>
                        <wps:spPr>
                          <a:xfrm>
                            <a:off x="4099052" y="1846960"/>
                            <a:ext cx="88900" cy="88900"/>
                          </a:xfrm>
                          <a:custGeom>
                            <a:avLst/>
                            <a:gdLst/>
                            <a:ahLst/>
                            <a:cxnLst/>
                            <a:rect l="l" t="t" r="r" b="b"/>
                            <a:pathLst>
                              <a:path w="88900" h="88900">
                                <a:moveTo>
                                  <a:pt x="88391" y="0"/>
                                </a:moveTo>
                                <a:lnTo>
                                  <a:pt x="0" y="0"/>
                                </a:lnTo>
                                <a:lnTo>
                                  <a:pt x="0" y="88391"/>
                                </a:lnTo>
                                <a:lnTo>
                                  <a:pt x="88391" y="88391"/>
                                </a:lnTo>
                                <a:lnTo>
                                  <a:pt x="88391" y="0"/>
                                </a:lnTo>
                                <a:close/>
                              </a:path>
                            </a:pathLst>
                          </a:custGeom>
                          <a:solidFill>
                            <a:srgbClr val="C0504D"/>
                          </a:solidFill>
                        </wps:spPr>
                        <wps:bodyPr wrap="square" lIns="0" tIns="0" rIns="0" bIns="0" rtlCol="0">
                          <a:prstTxWarp prst="textNoShape">
                            <a:avLst/>
                          </a:prstTxWarp>
                          <a:noAutofit/>
                        </wps:bodyPr>
                      </wps:wsp>
                      <wps:wsp>
                        <wps:cNvPr id="537" name="Graphic 537"/>
                        <wps:cNvSpPr/>
                        <wps:spPr>
                          <a:xfrm>
                            <a:off x="4099052" y="1846960"/>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538" name="Graphic 538"/>
                        <wps:cNvSpPr/>
                        <wps:spPr>
                          <a:xfrm>
                            <a:off x="4280408" y="1952117"/>
                            <a:ext cx="90170" cy="88900"/>
                          </a:xfrm>
                          <a:custGeom>
                            <a:avLst/>
                            <a:gdLst/>
                            <a:ahLst/>
                            <a:cxnLst/>
                            <a:rect l="l" t="t" r="r" b="b"/>
                            <a:pathLst>
                              <a:path w="90170" h="88900">
                                <a:moveTo>
                                  <a:pt x="89915" y="0"/>
                                </a:moveTo>
                                <a:lnTo>
                                  <a:pt x="0" y="0"/>
                                </a:lnTo>
                                <a:lnTo>
                                  <a:pt x="0" y="88391"/>
                                </a:lnTo>
                                <a:lnTo>
                                  <a:pt x="89915" y="88391"/>
                                </a:lnTo>
                                <a:lnTo>
                                  <a:pt x="89915" y="0"/>
                                </a:lnTo>
                                <a:close/>
                              </a:path>
                            </a:pathLst>
                          </a:custGeom>
                          <a:solidFill>
                            <a:srgbClr val="C0504D"/>
                          </a:solidFill>
                        </wps:spPr>
                        <wps:bodyPr wrap="square" lIns="0" tIns="0" rIns="0" bIns="0" rtlCol="0">
                          <a:prstTxWarp prst="textNoShape">
                            <a:avLst/>
                          </a:prstTxWarp>
                          <a:noAutofit/>
                        </wps:bodyPr>
                      </wps:wsp>
                      <wps:wsp>
                        <wps:cNvPr id="539" name="Graphic 539"/>
                        <wps:cNvSpPr/>
                        <wps:spPr>
                          <a:xfrm>
                            <a:off x="4280408" y="1952117"/>
                            <a:ext cx="90170" cy="88900"/>
                          </a:xfrm>
                          <a:custGeom>
                            <a:avLst/>
                            <a:gdLst/>
                            <a:ahLst/>
                            <a:cxnLst/>
                            <a:rect l="l" t="t" r="r" b="b"/>
                            <a:pathLst>
                              <a:path w="90170" h="88900">
                                <a:moveTo>
                                  <a:pt x="0" y="88391"/>
                                </a:moveTo>
                                <a:lnTo>
                                  <a:pt x="89915" y="88391"/>
                                </a:lnTo>
                                <a:lnTo>
                                  <a:pt x="89915"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540" name="Graphic 540"/>
                        <wps:cNvSpPr/>
                        <wps:spPr>
                          <a:xfrm>
                            <a:off x="4463288" y="1949069"/>
                            <a:ext cx="88900" cy="90170"/>
                          </a:xfrm>
                          <a:custGeom>
                            <a:avLst/>
                            <a:gdLst/>
                            <a:ahLst/>
                            <a:cxnLst/>
                            <a:rect l="l" t="t" r="r" b="b"/>
                            <a:pathLst>
                              <a:path w="88900" h="90170">
                                <a:moveTo>
                                  <a:pt x="88391" y="0"/>
                                </a:moveTo>
                                <a:lnTo>
                                  <a:pt x="0" y="0"/>
                                </a:lnTo>
                                <a:lnTo>
                                  <a:pt x="0" y="89915"/>
                                </a:lnTo>
                                <a:lnTo>
                                  <a:pt x="88391" y="89915"/>
                                </a:lnTo>
                                <a:lnTo>
                                  <a:pt x="88391" y="0"/>
                                </a:lnTo>
                                <a:close/>
                              </a:path>
                            </a:pathLst>
                          </a:custGeom>
                          <a:solidFill>
                            <a:srgbClr val="C0504D"/>
                          </a:solidFill>
                        </wps:spPr>
                        <wps:bodyPr wrap="square" lIns="0" tIns="0" rIns="0" bIns="0" rtlCol="0">
                          <a:prstTxWarp prst="textNoShape">
                            <a:avLst/>
                          </a:prstTxWarp>
                          <a:noAutofit/>
                        </wps:bodyPr>
                      </wps:wsp>
                      <wps:wsp>
                        <wps:cNvPr id="541" name="Graphic 541"/>
                        <wps:cNvSpPr/>
                        <wps:spPr>
                          <a:xfrm>
                            <a:off x="4463288" y="1949069"/>
                            <a:ext cx="88900" cy="90170"/>
                          </a:xfrm>
                          <a:custGeom>
                            <a:avLst/>
                            <a:gdLst/>
                            <a:ahLst/>
                            <a:cxnLst/>
                            <a:rect l="l" t="t" r="r" b="b"/>
                            <a:pathLst>
                              <a:path w="88900" h="90170">
                                <a:moveTo>
                                  <a:pt x="0" y="89915"/>
                                </a:moveTo>
                                <a:lnTo>
                                  <a:pt x="88391" y="89915"/>
                                </a:lnTo>
                                <a:lnTo>
                                  <a:pt x="88391" y="0"/>
                                </a:lnTo>
                                <a:lnTo>
                                  <a:pt x="0" y="0"/>
                                </a:lnTo>
                                <a:lnTo>
                                  <a:pt x="0" y="89915"/>
                                </a:lnTo>
                                <a:close/>
                              </a:path>
                            </a:pathLst>
                          </a:custGeom>
                          <a:ln w="9144">
                            <a:solidFill>
                              <a:srgbClr val="BD4A47"/>
                            </a:solidFill>
                            <a:prstDash val="solid"/>
                          </a:ln>
                        </wps:spPr>
                        <wps:bodyPr wrap="square" lIns="0" tIns="0" rIns="0" bIns="0" rtlCol="0">
                          <a:prstTxWarp prst="textNoShape">
                            <a:avLst/>
                          </a:prstTxWarp>
                          <a:noAutofit/>
                        </wps:bodyPr>
                      </wps:wsp>
                      <wps:wsp>
                        <wps:cNvPr id="542" name="Graphic 542"/>
                        <wps:cNvSpPr/>
                        <wps:spPr>
                          <a:xfrm>
                            <a:off x="4646167" y="2098420"/>
                            <a:ext cx="88900" cy="88900"/>
                          </a:xfrm>
                          <a:custGeom>
                            <a:avLst/>
                            <a:gdLst/>
                            <a:ahLst/>
                            <a:cxnLst/>
                            <a:rect l="l" t="t" r="r" b="b"/>
                            <a:pathLst>
                              <a:path w="88900" h="88900">
                                <a:moveTo>
                                  <a:pt x="88391" y="0"/>
                                </a:moveTo>
                                <a:lnTo>
                                  <a:pt x="0" y="0"/>
                                </a:lnTo>
                                <a:lnTo>
                                  <a:pt x="0" y="88391"/>
                                </a:lnTo>
                                <a:lnTo>
                                  <a:pt x="88391" y="88391"/>
                                </a:lnTo>
                                <a:lnTo>
                                  <a:pt x="88391" y="0"/>
                                </a:lnTo>
                                <a:close/>
                              </a:path>
                            </a:pathLst>
                          </a:custGeom>
                          <a:solidFill>
                            <a:srgbClr val="C0504D"/>
                          </a:solidFill>
                        </wps:spPr>
                        <wps:bodyPr wrap="square" lIns="0" tIns="0" rIns="0" bIns="0" rtlCol="0">
                          <a:prstTxWarp prst="textNoShape">
                            <a:avLst/>
                          </a:prstTxWarp>
                          <a:noAutofit/>
                        </wps:bodyPr>
                      </wps:wsp>
                      <wps:wsp>
                        <wps:cNvPr id="543" name="Graphic 543"/>
                        <wps:cNvSpPr/>
                        <wps:spPr>
                          <a:xfrm>
                            <a:off x="4646167" y="2098420"/>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544" name="Graphic 544"/>
                        <wps:cNvSpPr/>
                        <wps:spPr>
                          <a:xfrm>
                            <a:off x="1589024" y="2067941"/>
                            <a:ext cx="3101340" cy="177165"/>
                          </a:xfrm>
                          <a:custGeom>
                            <a:avLst/>
                            <a:gdLst/>
                            <a:ahLst/>
                            <a:cxnLst/>
                            <a:rect l="l" t="t" r="r" b="b"/>
                            <a:pathLst>
                              <a:path w="3101340" h="177165">
                                <a:moveTo>
                                  <a:pt x="0" y="176784"/>
                                </a:moveTo>
                                <a:lnTo>
                                  <a:pt x="182880" y="166115"/>
                                </a:lnTo>
                                <a:lnTo>
                                  <a:pt x="364236" y="170687"/>
                                </a:lnTo>
                                <a:lnTo>
                                  <a:pt x="547115" y="150875"/>
                                </a:lnTo>
                                <a:lnTo>
                                  <a:pt x="729995" y="163067"/>
                                </a:lnTo>
                                <a:lnTo>
                                  <a:pt x="912876" y="161543"/>
                                </a:lnTo>
                                <a:lnTo>
                                  <a:pt x="1094231" y="161543"/>
                                </a:lnTo>
                                <a:lnTo>
                                  <a:pt x="1277112" y="160020"/>
                                </a:lnTo>
                                <a:lnTo>
                                  <a:pt x="1459991" y="138684"/>
                                </a:lnTo>
                                <a:lnTo>
                                  <a:pt x="1641348" y="134112"/>
                                </a:lnTo>
                                <a:lnTo>
                                  <a:pt x="1824227" y="126491"/>
                                </a:lnTo>
                                <a:lnTo>
                                  <a:pt x="2007108" y="137160"/>
                                </a:lnTo>
                                <a:lnTo>
                                  <a:pt x="2188464" y="144779"/>
                                </a:lnTo>
                                <a:lnTo>
                                  <a:pt x="2371343" y="131063"/>
                                </a:lnTo>
                                <a:lnTo>
                                  <a:pt x="2554224" y="137160"/>
                                </a:lnTo>
                                <a:lnTo>
                                  <a:pt x="2737104" y="3048"/>
                                </a:lnTo>
                                <a:lnTo>
                                  <a:pt x="2918460" y="0"/>
                                </a:lnTo>
                                <a:lnTo>
                                  <a:pt x="3101340" y="92963"/>
                                </a:lnTo>
                              </a:path>
                            </a:pathLst>
                          </a:custGeom>
                          <a:ln w="27432">
                            <a:solidFill>
                              <a:srgbClr val="97B853"/>
                            </a:solidFill>
                            <a:prstDash val="solid"/>
                          </a:ln>
                        </wps:spPr>
                        <wps:bodyPr wrap="square" lIns="0" tIns="0" rIns="0" bIns="0" rtlCol="0">
                          <a:prstTxWarp prst="textNoShape">
                            <a:avLst/>
                          </a:prstTxWarp>
                          <a:noAutofit/>
                        </wps:bodyPr>
                      </wps:wsp>
                      <pic:pic>
                        <pic:nvPicPr>
                          <pic:cNvPr id="545" name="Image 545"/>
                          <pic:cNvPicPr/>
                        </pic:nvPicPr>
                        <pic:blipFill>
                          <a:blip r:embed="rId136" cstate="print"/>
                          <a:stretch>
                            <a:fillRect/>
                          </a:stretch>
                        </pic:blipFill>
                        <pic:spPr>
                          <a:xfrm>
                            <a:off x="1540255" y="2196592"/>
                            <a:ext cx="98044" cy="98425"/>
                          </a:xfrm>
                          <a:prstGeom prst="rect">
                            <a:avLst/>
                          </a:prstGeom>
                        </pic:spPr>
                      </pic:pic>
                      <pic:pic>
                        <pic:nvPicPr>
                          <pic:cNvPr id="546" name="Image 546"/>
                          <pic:cNvPicPr/>
                        </pic:nvPicPr>
                        <pic:blipFill>
                          <a:blip r:embed="rId137" cstate="print"/>
                          <a:stretch>
                            <a:fillRect/>
                          </a:stretch>
                        </pic:blipFill>
                        <pic:spPr>
                          <a:xfrm>
                            <a:off x="1722627" y="2185923"/>
                            <a:ext cx="98044" cy="98552"/>
                          </a:xfrm>
                          <a:prstGeom prst="rect">
                            <a:avLst/>
                          </a:prstGeom>
                        </pic:spPr>
                      </pic:pic>
                      <pic:pic>
                        <pic:nvPicPr>
                          <pic:cNvPr id="547" name="Image 547"/>
                          <pic:cNvPicPr/>
                        </pic:nvPicPr>
                        <pic:blipFill>
                          <a:blip r:embed="rId138" cstate="print"/>
                          <a:stretch>
                            <a:fillRect/>
                          </a:stretch>
                        </pic:blipFill>
                        <pic:spPr>
                          <a:xfrm>
                            <a:off x="1905000" y="2190623"/>
                            <a:ext cx="98171" cy="98552"/>
                          </a:xfrm>
                          <a:prstGeom prst="rect">
                            <a:avLst/>
                          </a:prstGeom>
                        </pic:spPr>
                      </pic:pic>
                      <pic:pic>
                        <pic:nvPicPr>
                          <pic:cNvPr id="548" name="Image 548"/>
                          <pic:cNvPicPr/>
                        </pic:nvPicPr>
                        <pic:blipFill>
                          <a:blip r:embed="rId137" cstate="print"/>
                          <a:stretch>
                            <a:fillRect/>
                          </a:stretch>
                        </pic:blipFill>
                        <pic:spPr>
                          <a:xfrm>
                            <a:off x="2087498" y="2170683"/>
                            <a:ext cx="98044" cy="98552"/>
                          </a:xfrm>
                          <a:prstGeom prst="rect">
                            <a:avLst/>
                          </a:prstGeom>
                        </pic:spPr>
                      </pic:pic>
                      <pic:pic>
                        <pic:nvPicPr>
                          <pic:cNvPr id="549" name="Image 549"/>
                          <pic:cNvPicPr/>
                        </pic:nvPicPr>
                        <pic:blipFill>
                          <a:blip r:embed="rId136" cstate="print"/>
                          <a:stretch>
                            <a:fillRect/>
                          </a:stretch>
                        </pic:blipFill>
                        <pic:spPr>
                          <a:xfrm>
                            <a:off x="2269870" y="2182876"/>
                            <a:ext cx="98043" cy="98425"/>
                          </a:xfrm>
                          <a:prstGeom prst="rect">
                            <a:avLst/>
                          </a:prstGeom>
                        </pic:spPr>
                      </pic:pic>
                      <pic:pic>
                        <pic:nvPicPr>
                          <pic:cNvPr id="550" name="Image 550"/>
                          <pic:cNvPicPr/>
                        </pic:nvPicPr>
                        <pic:blipFill>
                          <a:blip r:embed="rId139" cstate="print"/>
                          <a:stretch>
                            <a:fillRect/>
                          </a:stretch>
                        </pic:blipFill>
                        <pic:spPr>
                          <a:xfrm>
                            <a:off x="2452242" y="2181351"/>
                            <a:ext cx="98044" cy="98551"/>
                          </a:xfrm>
                          <a:prstGeom prst="rect">
                            <a:avLst/>
                          </a:prstGeom>
                        </pic:spPr>
                      </pic:pic>
                      <pic:pic>
                        <pic:nvPicPr>
                          <pic:cNvPr id="551" name="Image 551"/>
                          <pic:cNvPicPr/>
                        </pic:nvPicPr>
                        <pic:blipFill>
                          <a:blip r:embed="rId140" cstate="print"/>
                          <a:stretch>
                            <a:fillRect/>
                          </a:stretch>
                        </pic:blipFill>
                        <pic:spPr>
                          <a:xfrm>
                            <a:off x="2634614" y="2181351"/>
                            <a:ext cx="98044" cy="98425"/>
                          </a:xfrm>
                          <a:prstGeom prst="rect">
                            <a:avLst/>
                          </a:prstGeom>
                        </pic:spPr>
                      </pic:pic>
                      <pic:pic>
                        <pic:nvPicPr>
                          <pic:cNvPr id="552" name="Image 552"/>
                          <pic:cNvPicPr/>
                        </pic:nvPicPr>
                        <pic:blipFill>
                          <a:blip r:embed="rId141" cstate="print"/>
                          <a:stretch>
                            <a:fillRect/>
                          </a:stretch>
                        </pic:blipFill>
                        <pic:spPr>
                          <a:xfrm>
                            <a:off x="2817114" y="2179827"/>
                            <a:ext cx="98044" cy="98425"/>
                          </a:xfrm>
                          <a:prstGeom prst="rect">
                            <a:avLst/>
                          </a:prstGeom>
                        </pic:spPr>
                      </pic:pic>
                      <pic:pic>
                        <pic:nvPicPr>
                          <pic:cNvPr id="553" name="Image 553"/>
                          <pic:cNvPicPr/>
                        </pic:nvPicPr>
                        <pic:blipFill>
                          <a:blip r:embed="rId136" cstate="print"/>
                          <a:stretch>
                            <a:fillRect/>
                          </a:stretch>
                        </pic:blipFill>
                        <pic:spPr>
                          <a:xfrm>
                            <a:off x="2999485" y="2158110"/>
                            <a:ext cx="98044" cy="98425"/>
                          </a:xfrm>
                          <a:prstGeom prst="rect">
                            <a:avLst/>
                          </a:prstGeom>
                        </pic:spPr>
                      </pic:pic>
                      <pic:pic>
                        <pic:nvPicPr>
                          <pic:cNvPr id="554" name="Image 554"/>
                          <pic:cNvPicPr/>
                        </pic:nvPicPr>
                        <pic:blipFill>
                          <a:blip r:embed="rId139" cstate="print"/>
                          <a:stretch>
                            <a:fillRect/>
                          </a:stretch>
                        </pic:blipFill>
                        <pic:spPr>
                          <a:xfrm>
                            <a:off x="3181857" y="2153792"/>
                            <a:ext cx="98044" cy="98551"/>
                          </a:xfrm>
                          <a:prstGeom prst="rect">
                            <a:avLst/>
                          </a:prstGeom>
                        </pic:spPr>
                      </pic:pic>
                      <pic:pic>
                        <pic:nvPicPr>
                          <pic:cNvPr id="555" name="Image 555"/>
                          <pic:cNvPicPr/>
                        </pic:nvPicPr>
                        <pic:blipFill>
                          <a:blip r:embed="rId141" cstate="print"/>
                          <a:stretch>
                            <a:fillRect/>
                          </a:stretch>
                        </pic:blipFill>
                        <pic:spPr>
                          <a:xfrm>
                            <a:off x="3364229" y="2146300"/>
                            <a:ext cx="98044" cy="98425"/>
                          </a:xfrm>
                          <a:prstGeom prst="rect">
                            <a:avLst/>
                          </a:prstGeom>
                        </pic:spPr>
                      </pic:pic>
                      <pic:pic>
                        <pic:nvPicPr>
                          <pic:cNvPr id="556" name="Image 556"/>
                          <pic:cNvPicPr/>
                        </pic:nvPicPr>
                        <pic:blipFill>
                          <a:blip r:embed="rId137" cstate="print"/>
                          <a:stretch>
                            <a:fillRect/>
                          </a:stretch>
                        </pic:blipFill>
                        <pic:spPr>
                          <a:xfrm>
                            <a:off x="3546728" y="2156332"/>
                            <a:ext cx="98044" cy="98552"/>
                          </a:xfrm>
                          <a:prstGeom prst="rect">
                            <a:avLst/>
                          </a:prstGeom>
                        </pic:spPr>
                      </pic:pic>
                      <pic:pic>
                        <pic:nvPicPr>
                          <pic:cNvPr id="557" name="Image 557"/>
                          <pic:cNvPicPr/>
                        </pic:nvPicPr>
                        <pic:blipFill>
                          <a:blip r:embed="rId142" cstate="print"/>
                          <a:stretch>
                            <a:fillRect/>
                          </a:stretch>
                        </pic:blipFill>
                        <pic:spPr>
                          <a:xfrm>
                            <a:off x="3729101" y="2164079"/>
                            <a:ext cx="98044" cy="98425"/>
                          </a:xfrm>
                          <a:prstGeom prst="rect">
                            <a:avLst/>
                          </a:prstGeom>
                        </pic:spPr>
                      </pic:pic>
                      <pic:pic>
                        <pic:nvPicPr>
                          <pic:cNvPr id="558" name="Image 558"/>
                          <pic:cNvPicPr/>
                        </pic:nvPicPr>
                        <pic:blipFill>
                          <a:blip r:embed="rId141" cstate="print"/>
                          <a:stretch>
                            <a:fillRect/>
                          </a:stretch>
                        </pic:blipFill>
                        <pic:spPr>
                          <a:xfrm>
                            <a:off x="3911472" y="2150998"/>
                            <a:ext cx="98044" cy="98425"/>
                          </a:xfrm>
                          <a:prstGeom prst="rect">
                            <a:avLst/>
                          </a:prstGeom>
                        </pic:spPr>
                      </pic:pic>
                      <pic:pic>
                        <pic:nvPicPr>
                          <pic:cNvPr id="559" name="Image 559"/>
                          <pic:cNvPicPr/>
                        </pic:nvPicPr>
                        <pic:blipFill>
                          <a:blip r:embed="rId141" cstate="print"/>
                          <a:stretch>
                            <a:fillRect/>
                          </a:stretch>
                        </pic:blipFill>
                        <pic:spPr>
                          <a:xfrm>
                            <a:off x="4093845" y="2155951"/>
                            <a:ext cx="98044" cy="98551"/>
                          </a:xfrm>
                          <a:prstGeom prst="rect">
                            <a:avLst/>
                          </a:prstGeom>
                        </pic:spPr>
                      </pic:pic>
                      <pic:pic>
                        <pic:nvPicPr>
                          <pic:cNvPr id="560" name="Image 560"/>
                          <pic:cNvPicPr/>
                        </pic:nvPicPr>
                        <pic:blipFill>
                          <a:blip r:embed="rId143" cstate="print"/>
                          <a:stretch>
                            <a:fillRect/>
                          </a:stretch>
                        </pic:blipFill>
                        <pic:spPr>
                          <a:xfrm>
                            <a:off x="4276216" y="2020189"/>
                            <a:ext cx="98171" cy="98551"/>
                          </a:xfrm>
                          <a:prstGeom prst="rect">
                            <a:avLst/>
                          </a:prstGeom>
                        </pic:spPr>
                      </pic:pic>
                      <pic:pic>
                        <pic:nvPicPr>
                          <pic:cNvPr id="561" name="Image 561"/>
                          <pic:cNvPicPr/>
                        </pic:nvPicPr>
                        <pic:blipFill>
                          <a:blip r:embed="rId142" cstate="print"/>
                          <a:stretch>
                            <a:fillRect/>
                          </a:stretch>
                        </pic:blipFill>
                        <pic:spPr>
                          <a:xfrm>
                            <a:off x="4458715" y="2017648"/>
                            <a:ext cx="98044" cy="98425"/>
                          </a:xfrm>
                          <a:prstGeom prst="rect">
                            <a:avLst/>
                          </a:prstGeom>
                        </pic:spPr>
                      </pic:pic>
                      <pic:pic>
                        <pic:nvPicPr>
                          <pic:cNvPr id="562" name="Image 562"/>
                          <pic:cNvPicPr/>
                        </pic:nvPicPr>
                        <pic:blipFill>
                          <a:blip r:embed="rId137" cstate="print"/>
                          <a:stretch>
                            <a:fillRect/>
                          </a:stretch>
                        </pic:blipFill>
                        <pic:spPr>
                          <a:xfrm>
                            <a:off x="4641088" y="2111248"/>
                            <a:ext cx="98044" cy="98552"/>
                          </a:xfrm>
                          <a:prstGeom prst="rect">
                            <a:avLst/>
                          </a:prstGeom>
                        </pic:spPr>
                      </pic:pic>
                      <wps:wsp>
                        <wps:cNvPr id="563" name="Graphic 563"/>
                        <wps:cNvSpPr/>
                        <wps:spPr>
                          <a:xfrm>
                            <a:off x="1589024" y="2063369"/>
                            <a:ext cx="3101340" cy="182880"/>
                          </a:xfrm>
                          <a:custGeom>
                            <a:avLst/>
                            <a:gdLst/>
                            <a:ahLst/>
                            <a:cxnLst/>
                            <a:rect l="l" t="t" r="r" b="b"/>
                            <a:pathLst>
                              <a:path w="3101340" h="182880">
                                <a:moveTo>
                                  <a:pt x="0" y="182880"/>
                                </a:moveTo>
                                <a:lnTo>
                                  <a:pt x="182880" y="167639"/>
                                </a:lnTo>
                                <a:lnTo>
                                  <a:pt x="364236" y="178308"/>
                                </a:lnTo>
                                <a:lnTo>
                                  <a:pt x="547115" y="176784"/>
                                </a:lnTo>
                                <a:lnTo>
                                  <a:pt x="729995" y="178308"/>
                                </a:lnTo>
                                <a:lnTo>
                                  <a:pt x="912876" y="176784"/>
                                </a:lnTo>
                                <a:lnTo>
                                  <a:pt x="1094231" y="169163"/>
                                </a:lnTo>
                                <a:lnTo>
                                  <a:pt x="1277112" y="164592"/>
                                </a:lnTo>
                                <a:lnTo>
                                  <a:pt x="1459991" y="135636"/>
                                </a:lnTo>
                                <a:lnTo>
                                  <a:pt x="1641348" y="141732"/>
                                </a:lnTo>
                                <a:lnTo>
                                  <a:pt x="1824227" y="117348"/>
                                </a:lnTo>
                                <a:lnTo>
                                  <a:pt x="2007108" y="146303"/>
                                </a:lnTo>
                                <a:lnTo>
                                  <a:pt x="2188464" y="149351"/>
                                </a:lnTo>
                                <a:lnTo>
                                  <a:pt x="2371343" y="144780"/>
                                </a:lnTo>
                                <a:lnTo>
                                  <a:pt x="2554224" y="149351"/>
                                </a:lnTo>
                                <a:lnTo>
                                  <a:pt x="2737104" y="0"/>
                                </a:lnTo>
                                <a:lnTo>
                                  <a:pt x="2918460" y="22860"/>
                                </a:lnTo>
                                <a:lnTo>
                                  <a:pt x="3101340" y="149351"/>
                                </a:lnTo>
                              </a:path>
                            </a:pathLst>
                          </a:custGeom>
                          <a:ln w="27432">
                            <a:solidFill>
                              <a:srgbClr val="7C5F9F"/>
                            </a:solidFill>
                            <a:prstDash val="solid"/>
                          </a:ln>
                        </wps:spPr>
                        <wps:bodyPr wrap="square" lIns="0" tIns="0" rIns="0" bIns="0" rtlCol="0">
                          <a:prstTxWarp prst="textNoShape">
                            <a:avLst/>
                          </a:prstTxWarp>
                          <a:noAutofit/>
                        </wps:bodyPr>
                      </wps:wsp>
                      <wps:wsp>
                        <wps:cNvPr id="564" name="Graphic 564"/>
                        <wps:cNvSpPr/>
                        <wps:spPr>
                          <a:xfrm>
                            <a:off x="1544827" y="2019173"/>
                            <a:ext cx="3190240" cy="271780"/>
                          </a:xfrm>
                          <a:custGeom>
                            <a:avLst/>
                            <a:gdLst/>
                            <a:ahLst/>
                            <a:cxnLst/>
                            <a:rect l="l" t="t" r="r" b="b"/>
                            <a:pathLst>
                              <a:path w="3190240" h="271780">
                                <a:moveTo>
                                  <a:pt x="44196" y="227075"/>
                                </a:moveTo>
                                <a:lnTo>
                                  <a:pt x="0" y="271272"/>
                                </a:lnTo>
                                <a:lnTo>
                                  <a:pt x="88392" y="271272"/>
                                </a:lnTo>
                                <a:lnTo>
                                  <a:pt x="44196" y="227075"/>
                                </a:lnTo>
                                <a:close/>
                              </a:path>
                              <a:path w="3190240" h="271780">
                                <a:moveTo>
                                  <a:pt x="88392" y="182880"/>
                                </a:moveTo>
                                <a:lnTo>
                                  <a:pt x="0" y="182880"/>
                                </a:lnTo>
                                <a:lnTo>
                                  <a:pt x="44196" y="227075"/>
                                </a:lnTo>
                                <a:lnTo>
                                  <a:pt x="88392" y="182880"/>
                                </a:lnTo>
                                <a:close/>
                              </a:path>
                              <a:path w="3190240" h="271780">
                                <a:moveTo>
                                  <a:pt x="227075" y="211836"/>
                                </a:moveTo>
                                <a:lnTo>
                                  <a:pt x="182880" y="256032"/>
                                </a:lnTo>
                                <a:lnTo>
                                  <a:pt x="271272" y="256032"/>
                                </a:lnTo>
                                <a:lnTo>
                                  <a:pt x="227075" y="211836"/>
                                </a:lnTo>
                                <a:close/>
                              </a:path>
                              <a:path w="3190240" h="271780">
                                <a:moveTo>
                                  <a:pt x="271272" y="167640"/>
                                </a:moveTo>
                                <a:lnTo>
                                  <a:pt x="182880" y="167640"/>
                                </a:lnTo>
                                <a:lnTo>
                                  <a:pt x="227075" y="211836"/>
                                </a:lnTo>
                                <a:lnTo>
                                  <a:pt x="271272" y="167640"/>
                                </a:lnTo>
                                <a:close/>
                              </a:path>
                              <a:path w="3190240" h="271780">
                                <a:moveTo>
                                  <a:pt x="409194" y="222503"/>
                                </a:moveTo>
                                <a:lnTo>
                                  <a:pt x="364236" y="266700"/>
                                </a:lnTo>
                                <a:lnTo>
                                  <a:pt x="454152" y="266700"/>
                                </a:lnTo>
                                <a:lnTo>
                                  <a:pt x="409194" y="222503"/>
                                </a:lnTo>
                                <a:close/>
                              </a:path>
                              <a:path w="3190240" h="271780">
                                <a:moveTo>
                                  <a:pt x="454152" y="178308"/>
                                </a:moveTo>
                                <a:lnTo>
                                  <a:pt x="364236" y="178308"/>
                                </a:lnTo>
                                <a:lnTo>
                                  <a:pt x="409194" y="222503"/>
                                </a:lnTo>
                                <a:lnTo>
                                  <a:pt x="454152" y="178308"/>
                                </a:lnTo>
                                <a:close/>
                              </a:path>
                              <a:path w="3190240" h="271780">
                                <a:moveTo>
                                  <a:pt x="591312" y="220980"/>
                                </a:moveTo>
                                <a:lnTo>
                                  <a:pt x="547116" y="265176"/>
                                </a:lnTo>
                                <a:lnTo>
                                  <a:pt x="635508" y="265176"/>
                                </a:lnTo>
                                <a:lnTo>
                                  <a:pt x="591312" y="220980"/>
                                </a:lnTo>
                                <a:close/>
                              </a:path>
                              <a:path w="3190240" h="271780">
                                <a:moveTo>
                                  <a:pt x="635508" y="176784"/>
                                </a:moveTo>
                                <a:lnTo>
                                  <a:pt x="547116" y="176784"/>
                                </a:lnTo>
                                <a:lnTo>
                                  <a:pt x="591312" y="220980"/>
                                </a:lnTo>
                                <a:lnTo>
                                  <a:pt x="635508" y="176784"/>
                                </a:lnTo>
                                <a:close/>
                              </a:path>
                              <a:path w="3190240" h="271780">
                                <a:moveTo>
                                  <a:pt x="774192" y="222503"/>
                                </a:moveTo>
                                <a:lnTo>
                                  <a:pt x="729996" y="266700"/>
                                </a:lnTo>
                                <a:lnTo>
                                  <a:pt x="818388" y="266700"/>
                                </a:lnTo>
                                <a:lnTo>
                                  <a:pt x="774192" y="222503"/>
                                </a:lnTo>
                                <a:close/>
                              </a:path>
                              <a:path w="3190240" h="271780">
                                <a:moveTo>
                                  <a:pt x="818388" y="178308"/>
                                </a:moveTo>
                                <a:lnTo>
                                  <a:pt x="729996" y="178308"/>
                                </a:lnTo>
                                <a:lnTo>
                                  <a:pt x="774192" y="222503"/>
                                </a:lnTo>
                                <a:lnTo>
                                  <a:pt x="818388" y="178308"/>
                                </a:lnTo>
                                <a:close/>
                              </a:path>
                              <a:path w="3190240" h="271780">
                                <a:moveTo>
                                  <a:pt x="956310" y="220980"/>
                                </a:moveTo>
                                <a:lnTo>
                                  <a:pt x="911351" y="265176"/>
                                </a:lnTo>
                                <a:lnTo>
                                  <a:pt x="1001268" y="265176"/>
                                </a:lnTo>
                                <a:lnTo>
                                  <a:pt x="956310" y="220980"/>
                                </a:lnTo>
                                <a:close/>
                              </a:path>
                              <a:path w="3190240" h="271780">
                                <a:moveTo>
                                  <a:pt x="1001268" y="176784"/>
                                </a:moveTo>
                                <a:lnTo>
                                  <a:pt x="911351" y="176784"/>
                                </a:lnTo>
                                <a:lnTo>
                                  <a:pt x="956310" y="220980"/>
                                </a:lnTo>
                                <a:lnTo>
                                  <a:pt x="1001268" y="176784"/>
                                </a:lnTo>
                                <a:close/>
                              </a:path>
                              <a:path w="3190240" h="271780">
                                <a:moveTo>
                                  <a:pt x="1138427" y="213360"/>
                                </a:moveTo>
                                <a:lnTo>
                                  <a:pt x="1094232" y="257556"/>
                                </a:lnTo>
                                <a:lnTo>
                                  <a:pt x="1182624" y="257556"/>
                                </a:lnTo>
                                <a:lnTo>
                                  <a:pt x="1138427" y="213360"/>
                                </a:lnTo>
                                <a:close/>
                              </a:path>
                              <a:path w="3190240" h="271780">
                                <a:moveTo>
                                  <a:pt x="1182624" y="169164"/>
                                </a:moveTo>
                                <a:lnTo>
                                  <a:pt x="1094232" y="169164"/>
                                </a:lnTo>
                                <a:lnTo>
                                  <a:pt x="1138427" y="213360"/>
                                </a:lnTo>
                                <a:lnTo>
                                  <a:pt x="1182624" y="169164"/>
                                </a:lnTo>
                                <a:close/>
                              </a:path>
                              <a:path w="3190240" h="271780">
                                <a:moveTo>
                                  <a:pt x="1321308" y="208788"/>
                                </a:moveTo>
                                <a:lnTo>
                                  <a:pt x="1277112" y="252984"/>
                                </a:lnTo>
                                <a:lnTo>
                                  <a:pt x="1365504" y="252984"/>
                                </a:lnTo>
                                <a:lnTo>
                                  <a:pt x="1321308" y="208788"/>
                                </a:lnTo>
                                <a:close/>
                              </a:path>
                              <a:path w="3190240" h="271780">
                                <a:moveTo>
                                  <a:pt x="1365504" y="164592"/>
                                </a:moveTo>
                                <a:lnTo>
                                  <a:pt x="1277112" y="164592"/>
                                </a:lnTo>
                                <a:lnTo>
                                  <a:pt x="1321308" y="208788"/>
                                </a:lnTo>
                                <a:lnTo>
                                  <a:pt x="1365504" y="164592"/>
                                </a:lnTo>
                                <a:close/>
                              </a:path>
                              <a:path w="3190240" h="271780">
                                <a:moveTo>
                                  <a:pt x="1503426" y="179070"/>
                                </a:moveTo>
                                <a:lnTo>
                                  <a:pt x="1458468" y="224028"/>
                                </a:lnTo>
                                <a:lnTo>
                                  <a:pt x="1548384" y="224028"/>
                                </a:lnTo>
                                <a:lnTo>
                                  <a:pt x="1503426" y="179070"/>
                                </a:lnTo>
                                <a:close/>
                              </a:path>
                              <a:path w="3190240" h="271780">
                                <a:moveTo>
                                  <a:pt x="1548384" y="134112"/>
                                </a:moveTo>
                                <a:lnTo>
                                  <a:pt x="1458468" y="134112"/>
                                </a:lnTo>
                                <a:lnTo>
                                  <a:pt x="1503426" y="179070"/>
                                </a:lnTo>
                                <a:lnTo>
                                  <a:pt x="1548384" y="134112"/>
                                </a:lnTo>
                                <a:close/>
                              </a:path>
                              <a:path w="3190240" h="271780">
                                <a:moveTo>
                                  <a:pt x="1686305" y="185927"/>
                                </a:moveTo>
                                <a:lnTo>
                                  <a:pt x="1641348" y="230124"/>
                                </a:lnTo>
                                <a:lnTo>
                                  <a:pt x="1731264" y="230124"/>
                                </a:lnTo>
                                <a:lnTo>
                                  <a:pt x="1686305" y="185927"/>
                                </a:lnTo>
                                <a:close/>
                              </a:path>
                              <a:path w="3190240" h="271780">
                                <a:moveTo>
                                  <a:pt x="1731264" y="141732"/>
                                </a:moveTo>
                                <a:lnTo>
                                  <a:pt x="1641348" y="141732"/>
                                </a:lnTo>
                                <a:lnTo>
                                  <a:pt x="1686305" y="185927"/>
                                </a:lnTo>
                                <a:lnTo>
                                  <a:pt x="1731264" y="141732"/>
                                </a:lnTo>
                                <a:close/>
                              </a:path>
                              <a:path w="3190240" h="271780">
                                <a:moveTo>
                                  <a:pt x="1868424" y="161544"/>
                                </a:moveTo>
                                <a:lnTo>
                                  <a:pt x="1824227" y="205740"/>
                                </a:lnTo>
                                <a:lnTo>
                                  <a:pt x="1912620" y="205740"/>
                                </a:lnTo>
                                <a:lnTo>
                                  <a:pt x="1868424" y="161544"/>
                                </a:lnTo>
                                <a:close/>
                              </a:path>
                              <a:path w="3190240" h="271780">
                                <a:moveTo>
                                  <a:pt x="1912620" y="117348"/>
                                </a:moveTo>
                                <a:lnTo>
                                  <a:pt x="1824227" y="117348"/>
                                </a:lnTo>
                                <a:lnTo>
                                  <a:pt x="1868424" y="161544"/>
                                </a:lnTo>
                                <a:lnTo>
                                  <a:pt x="1912620" y="117348"/>
                                </a:lnTo>
                                <a:close/>
                              </a:path>
                              <a:path w="3190240" h="271780">
                                <a:moveTo>
                                  <a:pt x="2051303" y="190500"/>
                                </a:moveTo>
                                <a:lnTo>
                                  <a:pt x="2007108" y="234696"/>
                                </a:lnTo>
                                <a:lnTo>
                                  <a:pt x="2095500" y="234696"/>
                                </a:lnTo>
                                <a:lnTo>
                                  <a:pt x="2051303" y="190500"/>
                                </a:lnTo>
                                <a:close/>
                              </a:path>
                              <a:path w="3190240" h="271780">
                                <a:moveTo>
                                  <a:pt x="2095500" y="146304"/>
                                </a:moveTo>
                                <a:lnTo>
                                  <a:pt x="2007108" y="146304"/>
                                </a:lnTo>
                                <a:lnTo>
                                  <a:pt x="2051303" y="190500"/>
                                </a:lnTo>
                                <a:lnTo>
                                  <a:pt x="2095500" y="146304"/>
                                </a:lnTo>
                                <a:close/>
                              </a:path>
                              <a:path w="3190240" h="271780">
                                <a:moveTo>
                                  <a:pt x="2233422" y="193548"/>
                                </a:moveTo>
                                <a:lnTo>
                                  <a:pt x="2188464" y="237744"/>
                                </a:lnTo>
                                <a:lnTo>
                                  <a:pt x="2278380" y="237744"/>
                                </a:lnTo>
                                <a:lnTo>
                                  <a:pt x="2233422" y="193548"/>
                                </a:lnTo>
                                <a:close/>
                              </a:path>
                              <a:path w="3190240" h="271780">
                                <a:moveTo>
                                  <a:pt x="2278380" y="149352"/>
                                </a:moveTo>
                                <a:lnTo>
                                  <a:pt x="2188464" y="149352"/>
                                </a:lnTo>
                                <a:lnTo>
                                  <a:pt x="2233422" y="193548"/>
                                </a:lnTo>
                                <a:lnTo>
                                  <a:pt x="2278380" y="149352"/>
                                </a:lnTo>
                                <a:close/>
                              </a:path>
                              <a:path w="3190240" h="271780">
                                <a:moveTo>
                                  <a:pt x="2415540" y="188975"/>
                                </a:moveTo>
                                <a:lnTo>
                                  <a:pt x="2371344" y="233172"/>
                                </a:lnTo>
                                <a:lnTo>
                                  <a:pt x="2459736" y="233172"/>
                                </a:lnTo>
                                <a:lnTo>
                                  <a:pt x="2415540" y="188975"/>
                                </a:lnTo>
                                <a:close/>
                              </a:path>
                              <a:path w="3190240" h="271780">
                                <a:moveTo>
                                  <a:pt x="2459736" y="144780"/>
                                </a:moveTo>
                                <a:lnTo>
                                  <a:pt x="2371344" y="144780"/>
                                </a:lnTo>
                                <a:lnTo>
                                  <a:pt x="2415540" y="188975"/>
                                </a:lnTo>
                                <a:lnTo>
                                  <a:pt x="2459736" y="144780"/>
                                </a:lnTo>
                                <a:close/>
                              </a:path>
                              <a:path w="3190240" h="271780">
                                <a:moveTo>
                                  <a:pt x="2598420" y="193548"/>
                                </a:moveTo>
                                <a:lnTo>
                                  <a:pt x="2554224" y="237744"/>
                                </a:lnTo>
                                <a:lnTo>
                                  <a:pt x="2642616" y="237744"/>
                                </a:lnTo>
                                <a:lnTo>
                                  <a:pt x="2598420" y="193548"/>
                                </a:lnTo>
                                <a:close/>
                              </a:path>
                              <a:path w="3190240" h="271780">
                                <a:moveTo>
                                  <a:pt x="2642616" y="149352"/>
                                </a:moveTo>
                                <a:lnTo>
                                  <a:pt x="2554224" y="149352"/>
                                </a:lnTo>
                                <a:lnTo>
                                  <a:pt x="2598420" y="193548"/>
                                </a:lnTo>
                                <a:lnTo>
                                  <a:pt x="2642616" y="149352"/>
                                </a:lnTo>
                                <a:close/>
                              </a:path>
                              <a:path w="3190240" h="271780">
                                <a:moveTo>
                                  <a:pt x="2780538" y="44196"/>
                                </a:moveTo>
                                <a:lnTo>
                                  <a:pt x="2735580" y="88392"/>
                                </a:lnTo>
                                <a:lnTo>
                                  <a:pt x="2825496" y="88392"/>
                                </a:lnTo>
                                <a:lnTo>
                                  <a:pt x="2780538" y="44196"/>
                                </a:lnTo>
                                <a:close/>
                              </a:path>
                              <a:path w="3190240" h="271780">
                                <a:moveTo>
                                  <a:pt x="2825496" y="0"/>
                                </a:moveTo>
                                <a:lnTo>
                                  <a:pt x="2735580" y="0"/>
                                </a:lnTo>
                                <a:lnTo>
                                  <a:pt x="2780538" y="44196"/>
                                </a:lnTo>
                                <a:lnTo>
                                  <a:pt x="2825496" y="0"/>
                                </a:lnTo>
                                <a:close/>
                              </a:path>
                              <a:path w="3190240" h="271780">
                                <a:moveTo>
                                  <a:pt x="2962655" y="67056"/>
                                </a:moveTo>
                                <a:lnTo>
                                  <a:pt x="2918460" y="111252"/>
                                </a:lnTo>
                                <a:lnTo>
                                  <a:pt x="3006852" y="111252"/>
                                </a:lnTo>
                                <a:lnTo>
                                  <a:pt x="2962655" y="67056"/>
                                </a:lnTo>
                                <a:close/>
                              </a:path>
                              <a:path w="3190240" h="271780">
                                <a:moveTo>
                                  <a:pt x="3006852" y="22860"/>
                                </a:moveTo>
                                <a:lnTo>
                                  <a:pt x="2918460" y="22860"/>
                                </a:lnTo>
                                <a:lnTo>
                                  <a:pt x="2962655" y="67056"/>
                                </a:lnTo>
                                <a:lnTo>
                                  <a:pt x="3006852" y="22860"/>
                                </a:lnTo>
                                <a:close/>
                              </a:path>
                              <a:path w="3190240" h="271780">
                                <a:moveTo>
                                  <a:pt x="3145536" y="193548"/>
                                </a:moveTo>
                                <a:lnTo>
                                  <a:pt x="3101340" y="237744"/>
                                </a:lnTo>
                                <a:lnTo>
                                  <a:pt x="3189732" y="237744"/>
                                </a:lnTo>
                                <a:lnTo>
                                  <a:pt x="3145536" y="193548"/>
                                </a:lnTo>
                                <a:close/>
                              </a:path>
                              <a:path w="3190240" h="271780">
                                <a:moveTo>
                                  <a:pt x="3189732" y="149352"/>
                                </a:moveTo>
                                <a:lnTo>
                                  <a:pt x="3101340" y="149352"/>
                                </a:lnTo>
                                <a:lnTo>
                                  <a:pt x="3145536" y="193548"/>
                                </a:lnTo>
                                <a:lnTo>
                                  <a:pt x="3189732" y="149352"/>
                                </a:lnTo>
                                <a:close/>
                              </a:path>
                            </a:pathLst>
                          </a:custGeom>
                          <a:solidFill>
                            <a:srgbClr val="8063A1"/>
                          </a:solidFill>
                        </wps:spPr>
                        <wps:bodyPr wrap="square" lIns="0" tIns="0" rIns="0" bIns="0" rtlCol="0">
                          <a:prstTxWarp prst="textNoShape">
                            <a:avLst/>
                          </a:prstTxWarp>
                          <a:noAutofit/>
                        </wps:bodyPr>
                      </wps:wsp>
                      <wps:wsp>
                        <wps:cNvPr id="565" name="Graphic 565"/>
                        <wps:cNvSpPr/>
                        <wps:spPr>
                          <a:xfrm>
                            <a:off x="1544827" y="2019173"/>
                            <a:ext cx="3190240" cy="271780"/>
                          </a:xfrm>
                          <a:custGeom>
                            <a:avLst/>
                            <a:gdLst/>
                            <a:ahLst/>
                            <a:cxnLst/>
                            <a:rect l="l" t="t" r="r" b="b"/>
                            <a:pathLst>
                              <a:path w="3190240" h="271780">
                                <a:moveTo>
                                  <a:pt x="88392" y="271272"/>
                                </a:moveTo>
                                <a:lnTo>
                                  <a:pt x="0" y="182880"/>
                                </a:lnTo>
                              </a:path>
                              <a:path w="3190240" h="271780">
                                <a:moveTo>
                                  <a:pt x="0" y="271272"/>
                                </a:moveTo>
                                <a:lnTo>
                                  <a:pt x="88392" y="182880"/>
                                </a:lnTo>
                              </a:path>
                              <a:path w="3190240" h="271780">
                                <a:moveTo>
                                  <a:pt x="271272" y="256032"/>
                                </a:moveTo>
                                <a:lnTo>
                                  <a:pt x="182880" y="167640"/>
                                </a:lnTo>
                              </a:path>
                              <a:path w="3190240" h="271780">
                                <a:moveTo>
                                  <a:pt x="182880" y="256032"/>
                                </a:moveTo>
                                <a:lnTo>
                                  <a:pt x="271272" y="167640"/>
                                </a:lnTo>
                              </a:path>
                              <a:path w="3190240" h="271780">
                                <a:moveTo>
                                  <a:pt x="454152" y="266700"/>
                                </a:moveTo>
                                <a:lnTo>
                                  <a:pt x="364236" y="178308"/>
                                </a:lnTo>
                              </a:path>
                              <a:path w="3190240" h="271780">
                                <a:moveTo>
                                  <a:pt x="364236" y="266700"/>
                                </a:moveTo>
                                <a:lnTo>
                                  <a:pt x="454152" y="178308"/>
                                </a:lnTo>
                              </a:path>
                              <a:path w="3190240" h="271780">
                                <a:moveTo>
                                  <a:pt x="635508" y="265176"/>
                                </a:moveTo>
                                <a:lnTo>
                                  <a:pt x="547116" y="176784"/>
                                </a:lnTo>
                              </a:path>
                              <a:path w="3190240" h="271780">
                                <a:moveTo>
                                  <a:pt x="547116" y="265176"/>
                                </a:moveTo>
                                <a:lnTo>
                                  <a:pt x="635508" y="176784"/>
                                </a:lnTo>
                              </a:path>
                              <a:path w="3190240" h="271780">
                                <a:moveTo>
                                  <a:pt x="818388" y="266700"/>
                                </a:moveTo>
                                <a:lnTo>
                                  <a:pt x="729996" y="178308"/>
                                </a:lnTo>
                              </a:path>
                              <a:path w="3190240" h="271780">
                                <a:moveTo>
                                  <a:pt x="729996" y="266700"/>
                                </a:moveTo>
                                <a:lnTo>
                                  <a:pt x="818388" y="178308"/>
                                </a:lnTo>
                              </a:path>
                              <a:path w="3190240" h="271780">
                                <a:moveTo>
                                  <a:pt x="1001268" y="265176"/>
                                </a:moveTo>
                                <a:lnTo>
                                  <a:pt x="911351" y="176784"/>
                                </a:lnTo>
                              </a:path>
                              <a:path w="3190240" h="271780">
                                <a:moveTo>
                                  <a:pt x="911351" y="265176"/>
                                </a:moveTo>
                                <a:lnTo>
                                  <a:pt x="1001268" y="176784"/>
                                </a:lnTo>
                              </a:path>
                              <a:path w="3190240" h="271780">
                                <a:moveTo>
                                  <a:pt x="1182624" y="257556"/>
                                </a:moveTo>
                                <a:lnTo>
                                  <a:pt x="1094232" y="169164"/>
                                </a:lnTo>
                              </a:path>
                              <a:path w="3190240" h="271780">
                                <a:moveTo>
                                  <a:pt x="1094232" y="257556"/>
                                </a:moveTo>
                                <a:lnTo>
                                  <a:pt x="1182624" y="169164"/>
                                </a:lnTo>
                              </a:path>
                              <a:path w="3190240" h="271780">
                                <a:moveTo>
                                  <a:pt x="1365504" y="252984"/>
                                </a:moveTo>
                                <a:lnTo>
                                  <a:pt x="1277112" y="164592"/>
                                </a:lnTo>
                              </a:path>
                              <a:path w="3190240" h="271780">
                                <a:moveTo>
                                  <a:pt x="1277112" y="252984"/>
                                </a:moveTo>
                                <a:lnTo>
                                  <a:pt x="1365504" y="164592"/>
                                </a:lnTo>
                              </a:path>
                              <a:path w="3190240" h="271780">
                                <a:moveTo>
                                  <a:pt x="1548384" y="224028"/>
                                </a:moveTo>
                                <a:lnTo>
                                  <a:pt x="1458468" y="134112"/>
                                </a:lnTo>
                              </a:path>
                              <a:path w="3190240" h="271780">
                                <a:moveTo>
                                  <a:pt x="1458468" y="224028"/>
                                </a:moveTo>
                                <a:lnTo>
                                  <a:pt x="1548384" y="134112"/>
                                </a:lnTo>
                              </a:path>
                              <a:path w="3190240" h="271780">
                                <a:moveTo>
                                  <a:pt x="1731264" y="230124"/>
                                </a:moveTo>
                                <a:lnTo>
                                  <a:pt x="1641348" y="141732"/>
                                </a:lnTo>
                              </a:path>
                              <a:path w="3190240" h="271780">
                                <a:moveTo>
                                  <a:pt x="1641348" y="230124"/>
                                </a:moveTo>
                                <a:lnTo>
                                  <a:pt x="1731264" y="141732"/>
                                </a:lnTo>
                              </a:path>
                              <a:path w="3190240" h="271780">
                                <a:moveTo>
                                  <a:pt x="1912620" y="205740"/>
                                </a:moveTo>
                                <a:lnTo>
                                  <a:pt x="1824227" y="117348"/>
                                </a:lnTo>
                              </a:path>
                              <a:path w="3190240" h="271780">
                                <a:moveTo>
                                  <a:pt x="1824227" y="205740"/>
                                </a:moveTo>
                                <a:lnTo>
                                  <a:pt x="1912620" y="117348"/>
                                </a:lnTo>
                              </a:path>
                              <a:path w="3190240" h="271780">
                                <a:moveTo>
                                  <a:pt x="2095500" y="234696"/>
                                </a:moveTo>
                                <a:lnTo>
                                  <a:pt x="2007108" y="146304"/>
                                </a:lnTo>
                              </a:path>
                              <a:path w="3190240" h="271780">
                                <a:moveTo>
                                  <a:pt x="2007108" y="234696"/>
                                </a:moveTo>
                                <a:lnTo>
                                  <a:pt x="2095500" y="146304"/>
                                </a:lnTo>
                              </a:path>
                              <a:path w="3190240" h="271780">
                                <a:moveTo>
                                  <a:pt x="2278380" y="237744"/>
                                </a:moveTo>
                                <a:lnTo>
                                  <a:pt x="2188464" y="149352"/>
                                </a:lnTo>
                              </a:path>
                              <a:path w="3190240" h="271780">
                                <a:moveTo>
                                  <a:pt x="2188464" y="237744"/>
                                </a:moveTo>
                                <a:lnTo>
                                  <a:pt x="2278380" y="149352"/>
                                </a:lnTo>
                              </a:path>
                              <a:path w="3190240" h="271780">
                                <a:moveTo>
                                  <a:pt x="2459736" y="233172"/>
                                </a:moveTo>
                                <a:lnTo>
                                  <a:pt x="2371344" y="144780"/>
                                </a:lnTo>
                              </a:path>
                              <a:path w="3190240" h="271780">
                                <a:moveTo>
                                  <a:pt x="2371344" y="233172"/>
                                </a:moveTo>
                                <a:lnTo>
                                  <a:pt x="2459736" y="144780"/>
                                </a:lnTo>
                              </a:path>
                              <a:path w="3190240" h="271780">
                                <a:moveTo>
                                  <a:pt x="2642616" y="237744"/>
                                </a:moveTo>
                                <a:lnTo>
                                  <a:pt x="2554224" y="149352"/>
                                </a:lnTo>
                              </a:path>
                              <a:path w="3190240" h="271780">
                                <a:moveTo>
                                  <a:pt x="2554224" y="237744"/>
                                </a:moveTo>
                                <a:lnTo>
                                  <a:pt x="2642616" y="149352"/>
                                </a:lnTo>
                              </a:path>
                              <a:path w="3190240" h="271780">
                                <a:moveTo>
                                  <a:pt x="2825496" y="88392"/>
                                </a:moveTo>
                                <a:lnTo>
                                  <a:pt x="2735580" y="0"/>
                                </a:lnTo>
                              </a:path>
                              <a:path w="3190240" h="271780">
                                <a:moveTo>
                                  <a:pt x="2735580" y="88392"/>
                                </a:moveTo>
                                <a:lnTo>
                                  <a:pt x="2825496" y="0"/>
                                </a:lnTo>
                              </a:path>
                              <a:path w="3190240" h="271780">
                                <a:moveTo>
                                  <a:pt x="3006852" y="111252"/>
                                </a:moveTo>
                                <a:lnTo>
                                  <a:pt x="2918460" y="22860"/>
                                </a:lnTo>
                              </a:path>
                              <a:path w="3190240" h="271780">
                                <a:moveTo>
                                  <a:pt x="2918460" y="111252"/>
                                </a:moveTo>
                                <a:lnTo>
                                  <a:pt x="3006852" y="22860"/>
                                </a:lnTo>
                              </a:path>
                              <a:path w="3190240" h="271780">
                                <a:moveTo>
                                  <a:pt x="3189732" y="237744"/>
                                </a:moveTo>
                                <a:lnTo>
                                  <a:pt x="3101340" y="149352"/>
                                </a:lnTo>
                              </a:path>
                              <a:path w="3190240" h="271780">
                                <a:moveTo>
                                  <a:pt x="3101340" y="237744"/>
                                </a:moveTo>
                                <a:lnTo>
                                  <a:pt x="3189732" y="149352"/>
                                </a:lnTo>
                              </a:path>
                            </a:pathLst>
                          </a:custGeom>
                          <a:ln w="9144">
                            <a:solidFill>
                              <a:srgbClr val="7C5F9F"/>
                            </a:solidFill>
                            <a:prstDash val="solid"/>
                          </a:ln>
                        </wps:spPr>
                        <wps:bodyPr wrap="square" lIns="0" tIns="0" rIns="0" bIns="0" rtlCol="0">
                          <a:prstTxWarp prst="textNoShape">
                            <a:avLst/>
                          </a:prstTxWarp>
                          <a:noAutofit/>
                        </wps:bodyPr>
                      </wps:wsp>
                      <wps:wsp>
                        <wps:cNvPr id="566" name="Graphic 566"/>
                        <wps:cNvSpPr/>
                        <wps:spPr>
                          <a:xfrm>
                            <a:off x="1589024" y="368681"/>
                            <a:ext cx="3101340" cy="1876425"/>
                          </a:xfrm>
                          <a:custGeom>
                            <a:avLst/>
                            <a:gdLst/>
                            <a:ahLst/>
                            <a:cxnLst/>
                            <a:rect l="l" t="t" r="r" b="b"/>
                            <a:pathLst>
                              <a:path w="3101340" h="1876425">
                                <a:moveTo>
                                  <a:pt x="0" y="1876043"/>
                                </a:moveTo>
                                <a:lnTo>
                                  <a:pt x="182880" y="1693163"/>
                                </a:lnTo>
                                <a:lnTo>
                                  <a:pt x="364236" y="1787651"/>
                                </a:lnTo>
                                <a:lnTo>
                                  <a:pt x="547115" y="1799843"/>
                                </a:lnTo>
                                <a:lnTo>
                                  <a:pt x="729995" y="1844039"/>
                                </a:lnTo>
                                <a:lnTo>
                                  <a:pt x="912876" y="1679447"/>
                                </a:lnTo>
                                <a:lnTo>
                                  <a:pt x="1094231" y="1597151"/>
                                </a:lnTo>
                                <a:lnTo>
                                  <a:pt x="1277112" y="1629155"/>
                                </a:lnTo>
                                <a:lnTo>
                                  <a:pt x="1459991" y="1429511"/>
                                </a:lnTo>
                                <a:lnTo>
                                  <a:pt x="1641348" y="1312163"/>
                                </a:lnTo>
                                <a:lnTo>
                                  <a:pt x="1824227" y="1328927"/>
                                </a:lnTo>
                                <a:lnTo>
                                  <a:pt x="2007108" y="1432559"/>
                                </a:lnTo>
                                <a:lnTo>
                                  <a:pt x="2188464" y="1502663"/>
                                </a:lnTo>
                                <a:lnTo>
                                  <a:pt x="2371343" y="1528571"/>
                                </a:lnTo>
                                <a:lnTo>
                                  <a:pt x="2554224" y="1313687"/>
                                </a:lnTo>
                                <a:lnTo>
                                  <a:pt x="2737104" y="632459"/>
                                </a:lnTo>
                                <a:lnTo>
                                  <a:pt x="2918460" y="0"/>
                                </a:lnTo>
                                <a:lnTo>
                                  <a:pt x="3101340" y="716279"/>
                                </a:lnTo>
                              </a:path>
                            </a:pathLst>
                          </a:custGeom>
                          <a:ln w="27432">
                            <a:solidFill>
                              <a:srgbClr val="46AAC5"/>
                            </a:solidFill>
                            <a:prstDash val="solid"/>
                          </a:ln>
                        </wps:spPr>
                        <wps:bodyPr wrap="square" lIns="0" tIns="0" rIns="0" bIns="0" rtlCol="0">
                          <a:prstTxWarp prst="textNoShape">
                            <a:avLst/>
                          </a:prstTxWarp>
                          <a:noAutofit/>
                        </wps:bodyPr>
                      </wps:wsp>
                      <wps:wsp>
                        <wps:cNvPr id="567" name="Graphic 567"/>
                        <wps:cNvSpPr/>
                        <wps:spPr>
                          <a:xfrm>
                            <a:off x="1544827" y="324484"/>
                            <a:ext cx="3145790" cy="1964689"/>
                          </a:xfrm>
                          <a:custGeom>
                            <a:avLst/>
                            <a:gdLst/>
                            <a:ahLst/>
                            <a:cxnLst/>
                            <a:rect l="l" t="t" r="r" b="b"/>
                            <a:pathLst>
                              <a:path w="3145790" h="1964689">
                                <a:moveTo>
                                  <a:pt x="44196" y="1920239"/>
                                </a:moveTo>
                                <a:lnTo>
                                  <a:pt x="0" y="1964435"/>
                                </a:lnTo>
                                <a:lnTo>
                                  <a:pt x="44196" y="1964435"/>
                                </a:lnTo>
                                <a:lnTo>
                                  <a:pt x="44196" y="1920239"/>
                                </a:lnTo>
                                <a:close/>
                              </a:path>
                              <a:path w="3145790" h="1964689">
                                <a:moveTo>
                                  <a:pt x="44196" y="1876043"/>
                                </a:moveTo>
                                <a:lnTo>
                                  <a:pt x="0" y="1876043"/>
                                </a:lnTo>
                                <a:lnTo>
                                  <a:pt x="44196" y="1920239"/>
                                </a:lnTo>
                                <a:lnTo>
                                  <a:pt x="44196" y="1876043"/>
                                </a:lnTo>
                                <a:close/>
                              </a:path>
                              <a:path w="3145790" h="1964689">
                                <a:moveTo>
                                  <a:pt x="227076" y="1737360"/>
                                </a:moveTo>
                                <a:lnTo>
                                  <a:pt x="182880" y="1781555"/>
                                </a:lnTo>
                                <a:lnTo>
                                  <a:pt x="227076" y="1781555"/>
                                </a:lnTo>
                                <a:lnTo>
                                  <a:pt x="227076" y="1737360"/>
                                </a:lnTo>
                                <a:close/>
                              </a:path>
                              <a:path w="3145790" h="1964689">
                                <a:moveTo>
                                  <a:pt x="227076" y="1693164"/>
                                </a:moveTo>
                                <a:lnTo>
                                  <a:pt x="182880" y="1693164"/>
                                </a:lnTo>
                                <a:lnTo>
                                  <a:pt x="227076" y="1737360"/>
                                </a:lnTo>
                                <a:lnTo>
                                  <a:pt x="227076" y="1693164"/>
                                </a:lnTo>
                                <a:close/>
                              </a:path>
                              <a:path w="3145790" h="1964689">
                                <a:moveTo>
                                  <a:pt x="409194" y="1831085"/>
                                </a:moveTo>
                                <a:lnTo>
                                  <a:pt x="364236" y="1876043"/>
                                </a:lnTo>
                                <a:lnTo>
                                  <a:pt x="409956" y="1876043"/>
                                </a:lnTo>
                                <a:lnTo>
                                  <a:pt x="409956" y="1831847"/>
                                </a:lnTo>
                                <a:lnTo>
                                  <a:pt x="409194" y="1831085"/>
                                </a:lnTo>
                                <a:close/>
                              </a:path>
                              <a:path w="3145790" h="1964689">
                                <a:moveTo>
                                  <a:pt x="409956" y="1786127"/>
                                </a:moveTo>
                                <a:lnTo>
                                  <a:pt x="364236" y="1786127"/>
                                </a:lnTo>
                                <a:lnTo>
                                  <a:pt x="409194" y="1831085"/>
                                </a:lnTo>
                                <a:lnTo>
                                  <a:pt x="409956" y="1830324"/>
                                </a:lnTo>
                                <a:lnTo>
                                  <a:pt x="409956" y="1786127"/>
                                </a:lnTo>
                                <a:close/>
                              </a:path>
                              <a:path w="3145790" h="1964689">
                                <a:moveTo>
                                  <a:pt x="591312" y="1844039"/>
                                </a:moveTo>
                                <a:lnTo>
                                  <a:pt x="547116" y="1888235"/>
                                </a:lnTo>
                                <a:lnTo>
                                  <a:pt x="591312" y="1888235"/>
                                </a:lnTo>
                                <a:lnTo>
                                  <a:pt x="591312" y="1844039"/>
                                </a:lnTo>
                                <a:close/>
                              </a:path>
                              <a:path w="3145790" h="1964689">
                                <a:moveTo>
                                  <a:pt x="591312" y="1799843"/>
                                </a:moveTo>
                                <a:lnTo>
                                  <a:pt x="547116" y="1799843"/>
                                </a:lnTo>
                                <a:lnTo>
                                  <a:pt x="591312" y="1844039"/>
                                </a:lnTo>
                                <a:lnTo>
                                  <a:pt x="591312" y="1799843"/>
                                </a:lnTo>
                                <a:close/>
                              </a:path>
                              <a:path w="3145790" h="1964689">
                                <a:moveTo>
                                  <a:pt x="774192" y="1888235"/>
                                </a:moveTo>
                                <a:lnTo>
                                  <a:pt x="729996" y="1932431"/>
                                </a:lnTo>
                                <a:lnTo>
                                  <a:pt x="774192" y="1932431"/>
                                </a:lnTo>
                                <a:lnTo>
                                  <a:pt x="774192" y="1888235"/>
                                </a:lnTo>
                                <a:close/>
                              </a:path>
                              <a:path w="3145790" h="1964689">
                                <a:moveTo>
                                  <a:pt x="774192" y="1844039"/>
                                </a:moveTo>
                                <a:lnTo>
                                  <a:pt x="729996" y="1844039"/>
                                </a:lnTo>
                                <a:lnTo>
                                  <a:pt x="774192" y="1888235"/>
                                </a:lnTo>
                                <a:lnTo>
                                  <a:pt x="774192" y="1844039"/>
                                </a:lnTo>
                                <a:close/>
                              </a:path>
                              <a:path w="3145790" h="1964689">
                                <a:moveTo>
                                  <a:pt x="956310" y="1723643"/>
                                </a:moveTo>
                                <a:lnTo>
                                  <a:pt x="911351" y="1767839"/>
                                </a:lnTo>
                                <a:lnTo>
                                  <a:pt x="957072" y="1767839"/>
                                </a:lnTo>
                                <a:lnTo>
                                  <a:pt x="957072" y="1724393"/>
                                </a:lnTo>
                                <a:lnTo>
                                  <a:pt x="956310" y="1723643"/>
                                </a:lnTo>
                                <a:close/>
                              </a:path>
                              <a:path w="3145790" h="1964689">
                                <a:moveTo>
                                  <a:pt x="957072" y="1679447"/>
                                </a:moveTo>
                                <a:lnTo>
                                  <a:pt x="911351" y="1679447"/>
                                </a:lnTo>
                                <a:lnTo>
                                  <a:pt x="956310" y="1723643"/>
                                </a:lnTo>
                                <a:lnTo>
                                  <a:pt x="957072" y="1722894"/>
                                </a:lnTo>
                                <a:lnTo>
                                  <a:pt x="957072" y="1679447"/>
                                </a:lnTo>
                                <a:close/>
                              </a:path>
                              <a:path w="3145790" h="1964689">
                                <a:moveTo>
                                  <a:pt x="1138427" y="1641348"/>
                                </a:moveTo>
                                <a:lnTo>
                                  <a:pt x="1094232" y="1685543"/>
                                </a:lnTo>
                                <a:lnTo>
                                  <a:pt x="1138427" y="1685543"/>
                                </a:lnTo>
                                <a:lnTo>
                                  <a:pt x="1138427" y="1641348"/>
                                </a:lnTo>
                                <a:close/>
                              </a:path>
                              <a:path w="3145790" h="1964689">
                                <a:moveTo>
                                  <a:pt x="1138427" y="1597152"/>
                                </a:moveTo>
                                <a:lnTo>
                                  <a:pt x="1094232" y="1597152"/>
                                </a:lnTo>
                                <a:lnTo>
                                  <a:pt x="1138428" y="1641348"/>
                                </a:lnTo>
                                <a:lnTo>
                                  <a:pt x="1138427" y="1597152"/>
                                </a:lnTo>
                                <a:close/>
                              </a:path>
                              <a:path w="3145790" h="1964689">
                                <a:moveTo>
                                  <a:pt x="1321308" y="1673352"/>
                                </a:moveTo>
                                <a:lnTo>
                                  <a:pt x="1277112" y="1717547"/>
                                </a:lnTo>
                                <a:lnTo>
                                  <a:pt x="1321308" y="1717547"/>
                                </a:lnTo>
                                <a:lnTo>
                                  <a:pt x="1321308" y="1673352"/>
                                </a:lnTo>
                                <a:close/>
                              </a:path>
                              <a:path w="3145790" h="1964689">
                                <a:moveTo>
                                  <a:pt x="1321308" y="1629155"/>
                                </a:moveTo>
                                <a:lnTo>
                                  <a:pt x="1277112" y="1629155"/>
                                </a:lnTo>
                                <a:lnTo>
                                  <a:pt x="1321308" y="1673352"/>
                                </a:lnTo>
                                <a:lnTo>
                                  <a:pt x="1321308" y="1629155"/>
                                </a:lnTo>
                                <a:close/>
                              </a:path>
                              <a:path w="3145790" h="1964689">
                                <a:moveTo>
                                  <a:pt x="1503426" y="1473707"/>
                                </a:moveTo>
                                <a:lnTo>
                                  <a:pt x="1458468" y="1517903"/>
                                </a:lnTo>
                                <a:lnTo>
                                  <a:pt x="1504188" y="1517903"/>
                                </a:lnTo>
                                <a:lnTo>
                                  <a:pt x="1504188" y="1474457"/>
                                </a:lnTo>
                                <a:lnTo>
                                  <a:pt x="1503426" y="1473707"/>
                                </a:lnTo>
                                <a:close/>
                              </a:path>
                              <a:path w="3145790" h="1964689">
                                <a:moveTo>
                                  <a:pt x="1504188" y="1429511"/>
                                </a:moveTo>
                                <a:lnTo>
                                  <a:pt x="1458468" y="1429511"/>
                                </a:lnTo>
                                <a:lnTo>
                                  <a:pt x="1503426" y="1473707"/>
                                </a:lnTo>
                                <a:lnTo>
                                  <a:pt x="1504188" y="1472958"/>
                                </a:lnTo>
                                <a:lnTo>
                                  <a:pt x="1504188" y="1429511"/>
                                </a:lnTo>
                                <a:close/>
                              </a:path>
                              <a:path w="3145790" h="1964689">
                                <a:moveTo>
                                  <a:pt x="1685544" y="1357109"/>
                                </a:moveTo>
                                <a:lnTo>
                                  <a:pt x="1641348" y="1400555"/>
                                </a:lnTo>
                                <a:lnTo>
                                  <a:pt x="1685544" y="1400555"/>
                                </a:lnTo>
                                <a:lnTo>
                                  <a:pt x="1685544" y="1357109"/>
                                </a:lnTo>
                                <a:close/>
                              </a:path>
                              <a:path w="3145790" h="1964689">
                                <a:moveTo>
                                  <a:pt x="1685544" y="1355610"/>
                                </a:moveTo>
                                <a:lnTo>
                                  <a:pt x="1685544" y="1357109"/>
                                </a:lnTo>
                                <a:lnTo>
                                  <a:pt x="1686305" y="1356359"/>
                                </a:lnTo>
                                <a:lnTo>
                                  <a:pt x="1685544" y="1355610"/>
                                </a:lnTo>
                                <a:close/>
                              </a:path>
                              <a:path w="3145790" h="1964689">
                                <a:moveTo>
                                  <a:pt x="1685544" y="1312164"/>
                                </a:moveTo>
                                <a:lnTo>
                                  <a:pt x="1641348" y="1312164"/>
                                </a:lnTo>
                                <a:lnTo>
                                  <a:pt x="1685544" y="1355610"/>
                                </a:lnTo>
                                <a:lnTo>
                                  <a:pt x="1685544" y="1312164"/>
                                </a:lnTo>
                                <a:close/>
                              </a:path>
                              <a:path w="3145790" h="1964689">
                                <a:moveTo>
                                  <a:pt x="1868424" y="1373124"/>
                                </a:moveTo>
                                <a:lnTo>
                                  <a:pt x="1824227" y="1417319"/>
                                </a:lnTo>
                                <a:lnTo>
                                  <a:pt x="1868424" y="1417319"/>
                                </a:lnTo>
                                <a:lnTo>
                                  <a:pt x="1868424" y="1373124"/>
                                </a:lnTo>
                                <a:close/>
                              </a:path>
                              <a:path w="3145790" h="1964689">
                                <a:moveTo>
                                  <a:pt x="1868424" y="1328927"/>
                                </a:moveTo>
                                <a:lnTo>
                                  <a:pt x="1824227" y="1328927"/>
                                </a:lnTo>
                                <a:lnTo>
                                  <a:pt x="1868424" y="1373124"/>
                                </a:lnTo>
                                <a:lnTo>
                                  <a:pt x="1868424" y="1328927"/>
                                </a:lnTo>
                                <a:close/>
                              </a:path>
                              <a:path w="3145790" h="1964689">
                                <a:moveTo>
                                  <a:pt x="2051304" y="1476755"/>
                                </a:moveTo>
                                <a:lnTo>
                                  <a:pt x="2007108" y="1520952"/>
                                </a:lnTo>
                                <a:lnTo>
                                  <a:pt x="2051304" y="1520952"/>
                                </a:lnTo>
                                <a:lnTo>
                                  <a:pt x="2051304" y="1476755"/>
                                </a:lnTo>
                                <a:close/>
                              </a:path>
                              <a:path w="3145790" h="1964689">
                                <a:moveTo>
                                  <a:pt x="2051304" y="1432559"/>
                                </a:moveTo>
                                <a:lnTo>
                                  <a:pt x="2007108" y="1432559"/>
                                </a:lnTo>
                                <a:lnTo>
                                  <a:pt x="2051304" y="1476755"/>
                                </a:lnTo>
                                <a:lnTo>
                                  <a:pt x="2051304" y="1432559"/>
                                </a:lnTo>
                                <a:close/>
                              </a:path>
                              <a:path w="3145790" h="1964689">
                                <a:moveTo>
                                  <a:pt x="2232660" y="1548383"/>
                                </a:moveTo>
                                <a:lnTo>
                                  <a:pt x="2188464" y="1592579"/>
                                </a:lnTo>
                                <a:lnTo>
                                  <a:pt x="2232660" y="1592579"/>
                                </a:lnTo>
                                <a:lnTo>
                                  <a:pt x="2232660" y="1548383"/>
                                </a:lnTo>
                                <a:close/>
                              </a:path>
                              <a:path w="3145790" h="1964689">
                                <a:moveTo>
                                  <a:pt x="2232660" y="1546860"/>
                                </a:moveTo>
                                <a:lnTo>
                                  <a:pt x="2232660" y="1548383"/>
                                </a:lnTo>
                                <a:lnTo>
                                  <a:pt x="2233422" y="1547622"/>
                                </a:lnTo>
                                <a:lnTo>
                                  <a:pt x="2232660" y="1546860"/>
                                </a:lnTo>
                                <a:close/>
                              </a:path>
                              <a:path w="3145790" h="1964689">
                                <a:moveTo>
                                  <a:pt x="2232660" y="1502664"/>
                                </a:moveTo>
                                <a:lnTo>
                                  <a:pt x="2188464" y="1502664"/>
                                </a:lnTo>
                                <a:lnTo>
                                  <a:pt x="2232660" y="1546860"/>
                                </a:lnTo>
                                <a:lnTo>
                                  <a:pt x="2232660" y="1502664"/>
                                </a:lnTo>
                                <a:close/>
                              </a:path>
                              <a:path w="3145790" h="1964689">
                                <a:moveTo>
                                  <a:pt x="2415540" y="1573529"/>
                                </a:moveTo>
                                <a:lnTo>
                                  <a:pt x="2371344" y="1618487"/>
                                </a:lnTo>
                                <a:lnTo>
                                  <a:pt x="2415540" y="1618487"/>
                                </a:lnTo>
                                <a:lnTo>
                                  <a:pt x="2415540" y="1573529"/>
                                </a:lnTo>
                                <a:close/>
                              </a:path>
                              <a:path w="3145790" h="1964689">
                                <a:moveTo>
                                  <a:pt x="2415540" y="1528571"/>
                                </a:moveTo>
                                <a:lnTo>
                                  <a:pt x="2371344" y="1528571"/>
                                </a:lnTo>
                                <a:lnTo>
                                  <a:pt x="2415540" y="1573529"/>
                                </a:lnTo>
                                <a:lnTo>
                                  <a:pt x="2415540" y="1528571"/>
                                </a:lnTo>
                                <a:close/>
                              </a:path>
                              <a:path w="3145790" h="1964689">
                                <a:moveTo>
                                  <a:pt x="2598420" y="1357122"/>
                                </a:moveTo>
                                <a:lnTo>
                                  <a:pt x="2554224" y="1402079"/>
                                </a:lnTo>
                                <a:lnTo>
                                  <a:pt x="2598420" y="1402079"/>
                                </a:lnTo>
                                <a:lnTo>
                                  <a:pt x="2598420" y="1357122"/>
                                </a:lnTo>
                                <a:close/>
                              </a:path>
                              <a:path w="3145790" h="1964689">
                                <a:moveTo>
                                  <a:pt x="2598420" y="1312164"/>
                                </a:moveTo>
                                <a:lnTo>
                                  <a:pt x="2554224" y="1312164"/>
                                </a:lnTo>
                                <a:lnTo>
                                  <a:pt x="2598420" y="1357122"/>
                                </a:lnTo>
                                <a:lnTo>
                                  <a:pt x="2598420" y="1312164"/>
                                </a:lnTo>
                                <a:close/>
                              </a:path>
                              <a:path w="3145790" h="1964689">
                                <a:moveTo>
                                  <a:pt x="2779776" y="677405"/>
                                </a:moveTo>
                                <a:lnTo>
                                  <a:pt x="2735580" y="720851"/>
                                </a:lnTo>
                                <a:lnTo>
                                  <a:pt x="2779776" y="720851"/>
                                </a:lnTo>
                                <a:lnTo>
                                  <a:pt x="2779776" y="677405"/>
                                </a:lnTo>
                                <a:close/>
                              </a:path>
                              <a:path w="3145790" h="1964689">
                                <a:moveTo>
                                  <a:pt x="2779776" y="675906"/>
                                </a:moveTo>
                                <a:lnTo>
                                  <a:pt x="2779776" y="677405"/>
                                </a:lnTo>
                                <a:lnTo>
                                  <a:pt x="2780538" y="676655"/>
                                </a:lnTo>
                                <a:lnTo>
                                  <a:pt x="2779776" y="675906"/>
                                </a:lnTo>
                                <a:close/>
                              </a:path>
                              <a:path w="3145790" h="1964689">
                                <a:moveTo>
                                  <a:pt x="2779776" y="632459"/>
                                </a:moveTo>
                                <a:lnTo>
                                  <a:pt x="2735580" y="632459"/>
                                </a:lnTo>
                                <a:lnTo>
                                  <a:pt x="2779776" y="675906"/>
                                </a:lnTo>
                                <a:lnTo>
                                  <a:pt x="2779776" y="632459"/>
                                </a:lnTo>
                                <a:close/>
                              </a:path>
                              <a:path w="3145790" h="1964689">
                                <a:moveTo>
                                  <a:pt x="2962656" y="44196"/>
                                </a:moveTo>
                                <a:lnTo>
                                  <a:pt x="2918460" y="88391"/>
                                </a:lnTo>
                                <a:lnTo>
                                  <a:pt x="2962656" y="88391"/>
                                </a:lnTo>
                                <a:lnTo>
                                  <a:pt x="2962656" y="44196"/>
                                </a:lnTo>
                                <a:close/>
                              </a:path>
                              <a:path w="3145790" h="1964689">
                                <a:moveTo>
                                  <a:pt x="2962656" y="0"/>
                                </a:moveTo>
                                <a:lnTo>
                                  <a:pt x="2918460" y="0"/>
                                </a:lnTo>
                                <a:lnTo>
                                  <a:pt x="2962656" y="44196"/>
                                </a:lnTo>
                                <a:lnTo>
                                  <a:pt x="2962656" y="0"/>
                                </a:lnTo>
                                <a:close/>
                              </a:path>
                              <a:path w="3145790" h="1964689">
                                <a:moveTo>
                                  <a:pt x="3145536" y="760476"/>
                                </a:moveTo>
                                <a:lnTo>
                                  <a:pt x="3101340" y="804672"/>
                                </a:lnTo>
                                <a:lnTo>
                                  <a:pt x="3145536" y="804672"/>
                                </a:lnTo>
                                <a:lnTo>
                                  <a:pt x="3145536" y="760476"/>
                                </a:lnTo>
                                <a:close/>
                              </a:path>
                              <a:path w="3145790" h="1964689">
                                <a:moveTo>
                                  <a:pt x="3145536" y="716279"/>
                                </a:moveTo>
                                <a:lnTo>
                                  <a:pt x="3101340" y="716279"/>
                                </a:lnTo>
                                <a:lnTo>
                                  <a:pt x="3145536" y="760476"/>
                                </a:lnTo>
                                <a:lnTo>
                                  <a:pt x="3145536" y="716279"/>
                                </a:lnTo>
                                <a:close/>
                              </a:path>
                            </a:pathLst>
                          </a:custGeom>
                          <a:solidFill>
                            <a:srgbClr val="4AACC5"/>
                          </a:solidFill>
                        </wps:spPr>
                        <wps:bodyPr wrap="square" lIns="0" tIns="0" rIns="0" bIns="0" rtlCol="0">
                          <a:prstTxWarp prst="textNoShape">
                            <a:avLst/>
                          </a:prstTxWarp>
                          <a:noAutofit/>
                        </wps:bodyPr>
                      </wps:wsp>
                      <wps:wsp>
                        <wps:cNvPr id="568" name="Graphic 568"/>
                        <wps:cNvSpPr/>
                        <wps:spPr>
                          <a:xfrm>
                            <a:off x="1544827" y="324484"/>
                            <a:ext cx="3190240" cy="1964689"/>
                          </a:xfrm>
                          <a:custGeom>
                            <a:avLst/>
                            <a:gdLst/>
                            <a:ahLst/>
                            <a:cxnLst/>
                            <a:rect l="l" t="t" r="r" b="b"/>
                            <a:pathLst>
                              <a:path w="3190240" h="1964689">
                                <a:moveTo>
                                  <a:pt x="88392" y="1964435"/>
                                </a:moveTo>
                                <a:lnTo>
                                  <a:pt x="0" y="1876043"/>
                                </a:lnTo>
                              </a:path>
                              <a:path w="3190240" h="1964689">
                                <a:moveTo>
                                  <a:pt x="44196" y="1876043"/>
                                </a:moveTo>
                                <a:lnTo>
                                  <a:pt x="44196" y="1964435"/>
                                </a:lnTo>
                              </a:path>
                              <a:path w="3190240" h="1964689">
                                <a:moveTo>
                                  <a:pt x="0" y="1964435"/>
                                </a:moveTo>
                                <a:lnTo>
                                  <a:pt x="88392" y="1876043"/>
                                </a:lnTo>
                              </a:path>
                              <a:path w="3190240" h="1964689">
                                <a:moveTo>
                                  <a:pt x="271272" y="1781555"/>
                                </a:moveTo>
                                <a:lnTo>
                                  <a:pt x="182880" y="1693164"/>
                                </a:lnTo>
                              </a:path>
                              <a:path w="3190240" h="1964689">
                                <a:moveTo>
                                  <a:pt x="182880" y="1781555"/>
                                </a:moveTo>
                                <a:lnTo>
                                  <a:pt x="271272" y="1693164"/>
                                </a:lnTo>
                              </a:path>
                              <a:path w="3190240" h="1964689">
                                <a:moveTo>
                                  <a:pt x="454152" y="1876043"/>
                                </a:moveTo>
                                <a:lnTo>
                                  <a:pt x="364236" y="1786127"/>
                                </a:lnTo>
                              </a:path>
                              <a:path w="3190240" h="1964689">
                                <a:moveTo>
                                  <a:pt x="409956" y="1786127"/>
                                </a:moveTo>
                                <a:lnTo>
                                  <a:pt x="409956" y="1876043"/>
                                </a:lnTo>
                              </a:path>
                              <a:path w="3190240" h="1964689">
                                <a:moveTo>
                                  <a:pt x="364236" y="1876043"/>
                                </a:moveTo>
                                <a:lnTo>
                                  <a:pt x="454152" y="1786127"/>
                                </a:lnTo>
                              </a:path>
                              <a:path w="3190240" h="1964689">
                                <a:moveTo>
                                  <a:pt x="635508" y="1888235"/>
                                </a:moveTo>
                                <a:lnTo>
                                  <a:pt x="547116" y="1799843"/>
                                </a:lnTo>
                              </a:path>
                              <a:path w="3190240" h="1964689">
                                <a:moveTo>
                                  <a:pt x="591312" y="1799843"/>
                                </a:moveTo>
                                <a:lnTo>
                                  <a:pt x="591312" y="1888235"/>
                                </a:lnTo>
                              </a:path>
                              <a:path w="3190240" h="1964689">
                                <a:moveTo>
                                  <a:pt x="547116" y="1888235"/>
                                </a:moveTo>
                                <a:lnTo>
                                  <a:pt x="635508" y="1799843"/>
                                </a:lnTo>
                              </a:path>
                              <a:path w="3190240" h="1964689">
                                <a:moveTo>
                                  <a:pt x="818388" y="1932431"/>
                                </a:moveTo>
                                <a:lnTo>
                                  <a:pt x="729996" y="1844039"/>
                                </a:lnTo>
                              </a:path>
                              <a:path w="3190240" h="1964689">
                                <a:moveTo>
                                  <a:pt x="774192" y="1844039"/>
                                </a:moveTo>
                                <a:lnTo>
                                  <a:pt x="774192" y="1932431"/>
                                </a:lnTo>
                              </a:path>
                              <a:path w="3190240" h="1964689">
                                <a:moveTo>
                                  <a:pt x="729996" y="1932431"/>
                                </a:moveTo>
                                <a:lnTo>
                                  <a:pt x="818388" y="1844039"/>
                                </a:lnTo>
                              </a:path>
                              <a:path w="3190240" h="1964689">
                                <a:moveTo>
                                  <a:pt x="1001268" y="1767839"/>
                                </a:moveTo>
                                <a:lnTo>
                                  <a:pt x="911351" y="1679447"/>
                                </a:lnTo>
                              </a:path>
                              <a:path w="3190240" h="1964689">
                                <a:moveTo>
                                  <a:pt x="911351" y="1767839"/>
                                </a:moveTo>
                                <a:lnTo>
                                  <a:pt x="1001268" y="1679447"/>
                                </a:lnTo>
                              </a:path>
                              <a:path w="3190240" h="1964689">
                                <a:moveTo>
                                  <a:pt x="1182624" y="1685543"/>
                                </a:moveTo>
                                <a:lnTo>
                                  <a:pt x="1094232" y="1597152"/>
                                </a:lnTo>
                              </a:path>
                              <a:path w="3190240" h="1964689">
                                <a:moveTo>
                                  <a:pt x="1094232" y="1685543"/>
                                </a:moveTo>
                                <a:lnTo>
                                  <a:pt x="1182624" y="1597152"/>
                                </a:lnTo>
                              </a:path>
                              <a:path w="3190240" h="1964689">
                                <a:moveTo>
                                  <a:pt x="1365504" y="1717547"/>
                                </a:moveTo>
                                <a:lnTo>
                                  <a:pt x="1277112" y="1629155"/>
                                </a:lnTo>
                              </a:path>
                              <a:path w="3190240" h="1964689">
                                <a:moveTo>
                                  <a:pt x="1277112" y="1717547"/>
                                </a:moveTo>
                                <a:lnTo>
                                  <a:pt x="1365504" y="1629155"/>
                                </a:lnTo>
                              </a:path>
                              <a:path w="3190240" h="1964689">
                                <a:moveTo>
                                  <a:pt x="1548384" y="1517903"/>
                                </a:moveTo>
                                <a:lnTo>
                                  <a:pt x="1458468" y="1429511"/>
                                </a:lnTo>
                              </a:path>
                              <a:path w="3190240" h="1964689">
                                <a:moveTo>
                                  <a:pt x="1458468" y="1517903"/>
                                </a:moveTo>
                                <a:lnTo>
                                  <a:pt x="1548384" y="1429511"/>
                                </a:lnTo>
                              </a:path>
                              <a:path w="3190240" h="1964689">
                                <a:moveTo>
                                  <a:pt x="1731264" y="1400555"/>
                                </a:moveTo>
                                <a:lnTo>
                                  <a:pt x="1641348" y="1312164"/>
                                </a:lnTo>
                              </a:path>
                              <a:path w="3190240" h="1964689">
                                <a:moveTo>
                                  <a:pt x="1641348" y="1400555"/>
                                </a:moveTo>
                                <a:lnTo>
                                  <a:pt x="1731264" y="1312164"/>
                                </a:lnTo>
                              </a:path>
                              <a:path w="3190240" h="1964689">
                                <a:moveTo>
                                  <a:pt x="1912620" y="1417319"/>
                                </a:moveTo>
                                <a:lnTo>
                                  <a:pt x="1824227" y="1328927"/>
                                </a:lnTo>
                              </a:path>
                              <a:path w="3190240" h="1964689">
                                <a:moveTo>
                                  <a:pt x="1824227" y="1417319"/>
                                </a:moveTo>
                                <a:lnTo>
                                  <a:pt x="1912620" y="1328927"/>
                                </a:lnTo>
                              </a:path>
                              <a:path w="3190240" h="1964689">
                                <a:moveTo>
                                  <a:pt x="2095500" y="1520952"/>
                                </a:moveTo>
                                <a:lnTo>
                                  <a:pt x="2007108" y="1432559"/>
                                </a:lnTo>
                              </a:path>
                              <a:path w="3190240" h="1964689">
                                <a:moveTo>
                                  <a:pt x="2007108" y="1520952"/>
                                </a:moveTo>
                                <a:lnTo>
                                  <a:pt x="2095500" y="1432559"/>
                                </a:lnTo>
                              </a:path>
                              <a:path w="3190240" h="1964689">
                                <a:moveTo>
                                  <a:pt x="2278380" y="1592579"/>
                                </a:moveTo>
                                <a:lnTo>
                                  <a:pt x="2188464" y="1502664"/>
                                </a:lnTo>
                              </a:path>
                              <a:path w="3190240" h="1964689">
                                <a:moveTo>
                                  <a:pt x="2232660" y="1502664"/>
                                </a:moveTo>
                                <a:lnTo>
                                  <a:pt x="2232660" y="1592579"/>
                                </a:lnTo>
                              </a:path>
                              <a:path w="3190240" h="1964689">
                                <a:moveTo>
                                  <a:pt x="2188464" y="1592579"/>
                                </a:moveTo>
                                <a:lnTo>
                                  <a:pt x="2278380" y="1502664"/>
                                </a:lnTo>
                              </a:path>
                              <a:path w="3190240" h="1964689">
                                <a:moveTo>
                                  <a:pt x="2459736" y="1618487"/>
                                </a:moveTo>
                                <a:lnTo>
                                  <a:pt x="2371344" y="1528571"/>
                                </a:lnTo>
                              </a:path>
                              <a:path w="3190240" h="1964689">
                                <a:moveTo>
                                  <a:pt x="2415540" y="1528571"/>
                                </a:moveTo>
                                <a:lnTo>
                                  <a:pt x="2415540" y="1618487"/>
                                </a:lnTo>
                              </a:path>
                              <a:path w="3190240" h="1964689">
                                <a:moveTo>
                                  <a:pt x="2371344" y="1618487"/>
                                </a:moveTo>
                                <a:lnTo>
                                  <a:pt x="2459736" y="1528571"/>
                                </a:lnTo>
                              </a:path>
                              <a:path w="3190240" h="1964689">
                                <a:moveTo>
                                  <a:pt x="2642616" y="1402079"/>
                                </a:moveTo>
                                <a:lnTo>
                                  <a:pt x="2554224" y="1312164"/>
                                </a:lnTo>
                              </a:path>
                              <a:path w="3190240" h="1964689">
                                <a:moveTo>
                                  <a:pt x="2554224" y="1402079"/>
                                </a:moveTo>
                                <a:lnTo>
                                  <a:pt x="2642616" y="1312164"/>
                                </a:lnTo>
                              </a:path>
                              <a:path w="3190240" h="1964689">
                                <a:moveTo>
                                  <a:pt x="2825496" y="720851"/>
                                </a:moveTo>
                                <a:lnTo>
                                  <a:pt x="2735580" y="632459"/>
                                </a:lnTo>
                              </a:path>
                              <a:path w="3190240" h="1964689">
                                <a:moveTo>
                                  <a:pt x="2735580" y="720851"/>
                                </a:moveTo>
                                <a:lnTo>
                                  <a:pt x="2825496" y="632459"/>
                                </a:lnTo>
                              </a:path>
                              <a:path w="3190240" h="1964689">
                                <a:moveTo>
                                  <a:pt x="3006852" y="88391"/>
                                </a:moveTo>
                                <a:lnTo>
                                  <a:pt x="2918460" y="0"/>
                                </a:lnTo>
                              </a:path>
                              <a:path w="3190240" h="1964689">
                                <a:moveTo>
                                  <a:pt x="2962656" y="0"/>
                                </a:moveTo>
                                <a:lnTo>
                                  <a:pt x="2962656" y="88391"/>
                                </a:lnTo>
                              </a:path>
                              <a:path w="3190240" h="1964689">
                                <a:moveTo>
                                  <a:pt x="2918460" y="88391"/>
                                </a:moveTo>
                                <a:lnTo>
                                  <a:pt x="3006852" y="0"/>
                                </a:lnTo>
                              </a:path>
                              <a:path w="3190240" h="1964689">
                                <a:moveTo>
                                  <a:pt x="3189732" y="804672"/>
                                </a:moveTo>
                                <a:lnTo>
                                  <a:pt x="3101340" y="716279"/>
                                </a:lnTo>
                              </a:path>
                              <a:path w="3190240" h="1964689">
                                <a:moveTo>
                                  <a:pt x="3101340" y="804672"/>
                                </a:moveTo>
                                <a:lnTo>
                                  <a:pt x="3189732" y="716279"/>
                                </a:lnTo>
                              </a:path>
                            </a:pathLst>
                          </a:custGeom>
                          <a:ln w="9144">
                            <a:solidFill>
                              <a:srgbClr val="46AAC5"/>
                            </a:solidFill>
                            <a:prstDash val="solid"/>
                          </a:ln>
                        </wps:spPr>
                        <wps:bodyPr wrap="square" lIns="0" tIns="0" rIns="0" bIns="0" rtlCol="0">
                          <a:prstTxWarp prst="textNoShape">
                            <a:avLst/>
                          </a:prstTxWarp>
                          <a:noAutofit/>
                        </wps:bodyPr>
                      </wps:wsp>
                      <wps:wsp>
                        <wps:cNvPr id="569" name="Graphic 569"/>
                        <wps:cNvSpPr/>
                        <wps:spPr>
                          <a:xfrm>
                            <a:off x="241300" y="928369"/>
                            <a:ext cx="36830" cy="83820"/>
                          </a:xfrm>
                          <a:custGeom>
                            <a:avLst/>
                            <a:gdLst/>
                            <a:ahLst/>
                            <a:cxnLst/>
                            <a:rect l="l" t="t" r="r" b="b"/>
                            <a:pathLst>
                              <a:path w="36830" h="83820">
                                <a:moveTo>
                                  <a:pt x="12192" y="0"/>
                                </a:moveTo>
                                <a:lnTo>
                                  <a:pt x="0" y="0"/>
                                </a:lnTo>
                                <a:lnTo>
                                  <a:pt x="0" y="83820"/>
                                </a:lnTo>
                                <a:lnTo>
                                  <a:pt x="12192" y="83820"/>
                                </a:lnTo>
                                <a:lnTo>
                                  <a:pt x="12192" y="0"/>
                                </a:lnTo>
                                <a:close/>
                              </a:path>
                              <a:path w="36830" h="83820">
                                <a:moveTo>
                                  <a:pt x="36576" y="0"/>
                                </a:moveTo>
                                <a:lnTo>
                                  <a:pt x="24384" y="0"/>
                                </a:lnTo>
                                <a:lnTo>
                                  <a:pt x="24384" y="83820"/>
                                </a:lnTo>
                                <a:lnTo>
                                  <a:pt x="36576" y="83820"/>
                                </a:lnTo>
                                <a:lnTo>
                                  <a:pt x="36576" y="0"/>
                                </a:lnTo>
                                <a:close/>
                              </a:path>
                            </a:pathLst>
                          </a:custGeom>
                          <a:solidFill>
                            <a:srgbClr val="000000"/>
                          </a:solidFill>
                        </wps:spPr>
                        <wps:bodyPr wrap="square" lIns="0" tIns="0" rIns="0" bIns="0" rtlCol="0">
                          <a:prstTxWarp prst="textNoShape">
                            <a:avLst/>
                          </a:prstTxWarp>
                          <a:noAutofit/>
                        </wps:bodyPr>
                      </wps:wsp>
                      <pic:pic>
                        <pic:nvPicPr>
                          <pic:cNvPr id="570" name="Image 570"/>
                          <pic:cNvPicPr/>
                        </pic:nvPicPr>
                        <pic:blipFill>
                          <a:blip r:embed="rId144" cstate="print"/>
                          <a:stretch>
                            <a:fillRect/>
                          </a:stretch>
                        </pic:blipFill>
                        <pic:spPr>
                          <a:xfrm>
                            <a:off x="4979923" y="1017905"/>
                            <a:ext cx="243839" cy="85344"/>
                          </a:xfrm>
                          <a:prstGeom prst="rect">
                            <a:avLst/>
                          </a:prstGeom>
                        </pic:spPr>
                      </pic:pic>
                      <wps:wsp>
                        <wps:cNvPr id="571" name="Graphic 571"/>
                        <wps:cNvSpPr/>
                        <wps:spPr>
                          <a:xfrm>
                            <a:off x="4979923" y="1289177"/>
                            <a:ext cx="243840" cy="1270"/>
                          </a:xfrm>
                          <a:custGeom>
                            <a:avLst/>
                            <a:gdLst/>
                            <a:ahLst/>
                            <a:cxnLst/>
                            <a:rect l="l" t="t" r="r" b="b"/>
                            <a:pathLst>
                              <a:path w="243840" h="0">
                                <a:moveTo>
                                  <a:pt x="0" y="0"/>
                                </a:moveTo>
                                <a:lnTo>
                                  <a:pt x="243839" y="0"/>
                                </a:lnTo>
                              </a:path>
                            </a:pathLst>
                          </a:custGeom>
                          <a:ln w="24384">
                            <a:solidFill>
                              <a:srgbClr val="BD4A47"/>
                            </a:solidFill>
                            <a:prstDash val="solid"/>
                          </a:ln>
                        </wps:spPr>
                        <wps:bodyPr wrap="square" lIns="0" tIns="0" rIns="0" bIns="0" rtlCol="0">
                          <a:prstTxWarp prst="textNoShape">
                            <a:avLst/>
                          </a:prstTxWarp>
                          <a:noAutofit/>
                        </wps:bodyPr>
                      </wps:wsp>
                      <wps:wsp>
                        <wps:cNvPr id="572" name="Graphic 572"/>
                        <wps:cNvSpPr/>
                        <wps:spPr>
                          <a:xfrm>
                            <a:off x="5063744" y="1251077"/>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C0504D"/>
                          </a:solidFill>
                        </wps:spPr>
                        <wps:bodyPr wrap="square" lIns="0" tIns="0" rIns="0" bIns="0" rtlCol="0">
                          <a:prstTxWarp prst="textNoShape">
                            <a:avLst/>
                          </a:prstTxWarp>
                          <a:noAutofit/>
                        </wps:bodyPr>
                      </wps:wsp>
                      <wps:wsp>
                        <wps:cNvPr id="573" name="Graphic 573"/>
                        <wps:cNvSpPr/>
                        <wps:spPr>
                          <a:xfrm>
                            <a:off x="5063744" y="1251077"/>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BD4A47"/>
                            </a:solidFill>
                            <a:prstDash val="solid"/>
                          </a:ln>
                        </wps:spPr>
                        <wps:bodyPr wrap="square" lIns="0" tIns="0" rIns="0" bIns="0" rtlCol="0">
                          <a:prstTxWarp prst="textNoShape">
                            <a:avLst/>
                          </a:prstTxWarp>
                          <a:noAutofit/>
                        </wps:bodyPr>
                      </wps:wsp>
                      <pic:pic>
                        <pic:nvPicPr>
                          <pic:cNvPr id="574" name="Image 574"/>
                          <pic:cNvPicPr/>
                        </pic:nvPicPr>
                        <pic:blipFill>
                          <a:blip r:embed="rId145" cstate="print"/>
                          <a:stretch>
                            <a:fillRect/>
                          </a:stretch>
                        </pic:blipFill>
                        <pic:spPr>
                          <a:xfrm>
                            <a:off x="4979923" y="1476628"/>
                            <a:ext cx="243839" cy="85344"/>
                          </a:xfrm>
                          <a:prstGeom prst="rect">
                            <a:avLst/>
                          </a:prstGeom>
                        </pic:spPr>
                      </pic:pic>
                      <pic:pic>
                        <pic:nvPicPr>
                          <pic:cNvPr id="575" name="Image 575"/>
                          <pic:cNvPicPr/>
                        </pic:nvPicPr>
                        <pic:blipFill>
                          <a:blip r:embed="rId146" cstate="print"/>
                          <a:stretch>
                            <a:fillRect/>
                          </a:stretch>
                        </pic:blipFill>
                        <pic:spPr>
                          <a:xfrm>
                            <a:off x="4979923" y="1706752"/>
                            <a:ext cx="243839" cy="85344"/>
                          </a:xfrm>
                          <a:prstGeom prst="rect">
                            <a:avLst/>
                          </a:prstGeom>
                        </pic:spPr>
                      </pic:pic>
                      <pic:pic>
                        <pic:nvPicPr>
                          <pic:cNvPr id="576" name="Image 576"/>
                          <pic:cNvPicPr/>
                        </pic:nvPicPr>
                        <pic:blipFill>
                          <a:blip r:embed="rId147" cstate="print"/>
                          <a:stretch>
                            <a:fillRect/>
                          </a:stretch>
                        </pic:blipFill>
                        <pic:spPr>
                          <a:xfrm>
                            <a:off x="4979923" y="1935352"/>
                            <a:ext cx="243839" cy="85344"/>
                          </a:xfrm>
                          <a:prstGeom prst="rect">
                            <a:avLst/>
                          </a:prstGeom>
                        </pic:spPr>
                      </pic:pic>
                      <wps:wsp>
                        <wps:cNvPr id="577" name="Graphic 577"/>
                        <wps:cNvSpPr/>
                        <wps:spPr>
                          <a:xfrm>
                            <a:off x="6350" y="6350"/>
                            <a:ext cx="5943600" cy="3026410"/>
                          </a:xfrm>
                          <a:custGeom>
                            <a:avLst/>
                            <a:gdLst/>
                            <a:ahLst/>
                            <a:cxnLst/>
                            <a:rect l="l" t="t" r="r" b="b"/>
                            <a:pathLst>
                              <a:path w="5943600" h="3026410">
                                <a:moveTo>
                                  <a:pt x="0" y="3026410"/>
                                </a:moveTo>
                                <a:lnTo>
                                  <a:pt x="5943600" y="3026410"/>
                                </a:lnTo>
                                <a:lnTo>
                                  <a:pt x="5943600" y="0"/>
                                </a:lnTo>
                                <a:lnTo>
                                  <a:pt x="0" y="0"/>
                                </a:lnTo>
                                <a:lnTo>
                                  <a:pt x="0" y="3026410"/>
                                </a:lnTo>
                                <a:close/>
                              </a:path>
                            </a:pathLst>
                          </a:custGeom>
                          <a:ln w="12700">
                            <a:solidFill>
                              <a:srgbClr val="858585"/>
                            </a:solidFill>
                            <a:prstDash val="solid"/>
                          </a:ln>
                        </wps:spPr>
                        <wps:bodyPr wrap="square" lIns="0" tIns="0" rIns="0" bIns="0" rtlCol="0">
                          <a:prstTxWarp prst="textNoShape">
                            <a:avLst/>
                          </a:prstTxWarp>
                          <a:noAutofit/>
                        </wps:bodyPr>
                      </wps:wsp>
                      <wps:wsp>
                        <wps:cNvPr id="578" name="Textbox 578"/>
                        <wps:cNvSpPr txBox="1"/>
                        <wps:spPr>
                          <a:xfrm>
                            <a:off x="417702" y="88772"/>
                            <a:ext cx="973455" cy="1877695"/>
                          </a:xfrm>
                          <a:prstGeom prst="rect">
                            <a:avLst/>
                          </a:prstGeom>
                        </wps:spPr>
                        <wps:txbx>
                          <w:txbxContent>
                            <w:p>
                              <w:pPr>
                                <w:spacing w:line="203" w:lineRule="exact" w:before="0"/>
                                <w:ind w:left="0" w:right="0" w:firstLine="0"/>
                                <w:jc w:val="left"/>
                                <w:rPr>
                                  <w:rFonts w:ascii="Calibri"/>
                                  <w:sz w:val="20"/>
                                </w:rPr>
                              </w:pPr>
                              <w:r>
                                <w:rPr>
                                  <w:rFonts w:ascii="Calibri"/>
                                  <w:spacing w:val="-2"/>
                                  <w:sz w:val="20"/>
                                </w:rPr>
                                <w:t>60,000,000,000.00</w:t>
                              </w:r>
                            </w:p>
                            <w:p>
                              <w:pPr>
                                <w:spacing w:line="240" w:lineRule="auto" w:before="63"/>
                                <w:rPr>
                                  <w:rFonts w:ascii="Calibri"/>
                                  <w:sz w:val="20"/>
                                </w:rPr>
                              </w:pPr>
                            </w:p>
                            <w:p>
                              <w:pPr>
                                <w:spacing w:before="0"/>
                                <w:ind w:left="0" w:right="0" w:firstLine="0"/>
                                <w:jc w:val="left"/>
                                <w:rPr>
                                  <w:rFonts w:ascii="Calibri"/>
                                  <w:sz w:val="20"/>
                                </w:rPr>
                              </w:pPr>
                              <w:r>
                                <w:rPr>
                                  <w:rFonts w:ascii="Calibri"/>
                                  <w:spacing w:val="-2"/>
                                  <w:sz w:val="20"/>
                                </w:rPr>
                                <w:t>50,000,000,000.00</w:t>
                              </w:r>
                            </w:p>
                            <w:p>
                              <w:pPr>
                                <w:spacing w:line="240" w:lineRule="auto" w:before="63"/>
                                <w:rPr>
                                  <w:rFonts w:ascii="Calibri"/>
                                  <w:sz w:val="20"/>
                                </w:rPr>
                              </w:pPr>
                            </w:p>
                            <w:p>
                              <w:pPr>
                                <w:spacing w:before="0"/>
                                <w:ind w:left="0" w:right="0" w:firstLine="0"/>
                                <w:jc w:val="left"/>
                                <w:rPr>
                                  <w:rFonts w:ascii="Calibri"/>
                                  <w:sz w:val="20"/>
                                </w:rPr>
                              </w:pPr>
                              <w:r>
                                <w:rPr>
                                  <w:rFonts w:ascii="Calibri"/>
                                  <w:spacing w:val="-2"/>
                                  <w:sz w:val="20"/>
                                </w:rPr>
                                <w:t>40,000,000,000.00</w:t>
                              </w:r>
                            </w:p>
                            <w:p>
                              <w:pPr>
                                <w:spacing w:line="240" w:lineRule="auto" w:before="63"/>
                                <w:rPr>
                                  <w:rFonts w:ascii="Calibri"/>
                                  <w:sz w:val="20"/>
                                </w:rPr>
                              </w:pPr>
                            </w:p>
                            <w:p>
                              <w:pPr>
                                <w:spacing w:before="0"/>
                                <w:ind w:left="0" w:right="0" w:firstLine="0"/>
                                <w:jc w:val="left"/>
                                <w:rPr>
                                  <w:rFonts w:ascii="Calibri"/>
                                  <w:sz w:val="20"/>
                                </w:rPr>
                              </w:pPr>
                              <w:r>
                                <w:rPr>
                                  <w:rFonts w:ascii="Calibri"/>
                                  <w:spacing w:val="-2"/>
                                  <w:sz w:val="20"/>
                                </w:rPr>
                                <w:t>30,000,000,000.00</w:t>
                              </w:r>
                            </w:p>
                            <w:p>
                              <w:pPr>
                                <w:spacing w:line="240" w:lineRule="auto" w:before="64"/>
                                <w:rPr>
                                  <w:rFonts w:ascii="Calibri"/>
                                  <w:sz w:val="20"/>
                                </w:rPr>
                              </w:pPr>
                            </w:p>
                            <w:p>
                              <w:pPr>
                                <w:spacing w:before="0"/>
                                <w:ind w:left="0" w:right="0" w:firstLine="0"/>
                                <w:jc w:val="left"/>
                                <w:rPr>
                                  <w:rFonts w:ascii="Calibri"/>
                                  <w:sz w:val="20"/>
                                </w:rPr>
                              </w:pPr>
                              <w:r>
                                <w:rPr>
                                  <w:rFonts w:ascii="Calibri"/>
                                  <w:spacing w:val="-2"/>
                                  <w:sz w:val="20"/>
                                </w:rPr>
                                <w:t>20,000,000,000.00</w:t>
                              </w:r>
                            </w:p>
                            <w:p>
                              <w:pPr>
                                <w:spacing w:line="240" w:lineRule="auto" w:before="63"/>
                                <w:rPr>
                                  <w:rFonts w:ascii="Calibri"/>
                                  <w:sz w:val="20"/>
                                </w:rPr>
                              </w:pPr>
                            </w:p>
                            <w:p>
                              <w:pPr>
                                <w:spacing w:line="240" w:lineRule="exact" w:before="0"/>
                                <w:ind w:left="0" w:right="0" w:firstLine="0"/>
                                <w:jc w:val="left"/>
                                <w:rPr>
                                  <w:rFonts w:ascii="Calibri"/>
                                  <w:sz w:val="20"/>
                                </w:rPr>
                              </w:pPr>
                              <w:r>
                                <w:rPr>
                                  <w:rFonts w:ascii="Calibri"/>
                                  <w:spacing w:val="-2"/>
                                  <w:sz w:val="20"/>
                                </w:rPr>
                                <w:t>10,000,000,000.00</w:t>
                              </w:r>
                            </w:p>
                          </w:txbxContent>
                        </wps:txbx>
                        <wps:bodyPr wrap="square" lIns="0" tIns="0" rIns="0" bIns="0" rtlCol="0">
                          <a:noAutofit/>
                        </wps:bodyPr>
                      </wps:wsp>
                      <wps:wsp>
                        <wps:cNvPr id="579" name="Textbox 579"/>
                        <wps:cNvSpPr txBox="1"/>
                        <wps:spPr>
                          <a:xfrm>
                            <a:off x="5249671" y="1001649"/>
                            <a:ext cx="584200" cy="1045844"/>
                          </a:xfrm>
                          <a:prstGeom prst="rect">
                            <a:avLst/>
                          </a:prstGeom>
                        </wps:spPr>
                        <wps:txbx>
                          <w:txbxContent>
                            <w:p>
                              <w:pPr>
                                <w:spacing w:line="203" w:lineRule="exact" w:before="0"/>
                                <w:ind w:left="0" w:right="0" w:firstLine="0"/>
                                <w:jc w:val="left"/>
                                <w:rPr>
                                  <w:rFonts w:ascii="Calibri"/>
                                  <w:sz w:val="20"/>
                                </w:rPr>
                              </w:pPr>
                              <w:r>
                                <w:rPr>
                                  <w:rFonts w:ascii="Calibri"/>
                                  <w:spacing w:val="-2"/>
                                  <w:sz w:val="20"/>
                                </w:rPr>
                                <w:t>Housing</w:t>
                              </w:r>
                            </w:p>
                            <w:p>
                              <w:pPr>
                                <w:spacing w:line="355" w:lineRule="auto" w:before="118"/>
                                <w:ind w:left="0" w:right="0" w:firstLine="0"/>
                                <w:jc w:val="left"/>
                                <w:rPr>
                                  <w:rFonts w:ascii="Calibri"/>
                                  <w:sz w:val="20"/>
                                </w:rPr>
                              </w:pPr>
                              <w:r>
                                <w:rPr>
                                  <w:rFonts w:ascii="Calibri"/>
                                  <w:spacing w:val="-2"/>
                                  <w:sz w:val="20"/>
                                </w:rPr>
                                <w:t>Education Health Agriculture</w:t>
                              </w:r>
                            </w:p>
                            <w:p>
                              <w:pPr>
                                <w:spacing w:line="240" w:lineRule="exact" w:before="1"/>
                                <w:ind w:left="0" w:right="0" w:firstLine="0"/>
                                <w:jc w:val="left"/>
                                <w:rPr>
                                  <w:rFonts w:ascii="Calibri"/>
                                  <w:sz w:val="20"/>
                                </w:rPr>
                              </w:pPr>
                              <w:r>
                                <w:rPr>
                                  <w:rFonts w:ascii="Calibri"/>
                                  <w:spacing w:val="-2"/>
                                  <w:sz w:val="20"/>
                                </w:rPr>
                                <w:t>Works</w:t>
                              </w:r>
                            </w:p>
                          </w:txbxContent>
                        </wps:txbx>
                        <wps:bodyPr wrap="square" lIns="0" tIns="0" rIns="0" bIns="0" rtlCol="0">
                          <a:noAutofit/>
                        </wps:bodyPr>
                      </wps:wsp>
                      <wps:wsp>
                        <wps:cNvPr id="580" name="Textbox 580"/>
                        <wps:cNvSpPr txBox="1"/>
                        <wps:spPr>
                          <a:xfrm>
                            <a:off x="1154683" y="2190114"/>
                            <a:ext cx="23749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0.00</w:t>
                              </w:r>
                            </w:p>
                          </w:txbxContent>
                        </wps:txbx>
                        <wps:bodyPr wrap="square" lIns="0" tIns="0" rIns="0" bIns="0" rtlCol="0">
                          <a:noAutofit/>
                        </wps:bodyPr>
                      </wps:wsp>
                      <wps:wsp>
                        <wps:cNvPr id="581" name="Textbox 581"/>
                        <wps:cNvSpPr txBox="1"/>
                        <wps:spPr>
                          <a:xfrm>
                            <a:off x="2994786" y="2745104"/>
                            <a:ext cx="300990"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Years</w:t>
                              </w:r>
                            </w:p>
                          </w:txbxContent>
                        </wps:txbx>
                        <wps:bodyPr wrap="square" lIns="0" tIns="0" rIns="0" bIns="0" rtlCol="0">
                          <a:noAutofit/>
                        </wps:bodyPr>
                      </wps:wsp>
                    </wpg:wgp>
                  </a:graphicData>
                </a:graphic>
              </wp:anchor>
            </w:drawing>
          </mc:Choice>
          <mc:Fallback>
            <w:pict>
              <v:group style="position:absolute;margin-left:73pt;margin-top:96.290001pt;width:469pt;height:239.3pt;mso-position-horizontal-relative:page;mso-position-vertical-relative:paragraph;z-index:15758336" id="docshapegroup450" coordorigin="1460,1926" coordsize="9380,4786">
                <v:shape style="position:absolute;left:3818;top:4913;width:5170;height:2" id="docshape451" coordorigin="3818,4914" coordsize="5170,0" path="m8054,4914l8988,4914m7766,4914l7915,4914m3818,4914l7627,4914e" filled="false" stroked="true" strokeweight=".72pt" strokecolor="#858585">
                  <v:path arrowok="t"/>
                  <v:stroke dashstyle="solid"/>
                </v:shape>
                <v:shape style="position:absolute;left:3756;top:2158;width:5232;height:3308" id="docshape452" coordorigin="3756,2158" coordsize="5232,3308" path="m3818,4364l8988,4364m3818,3812l8988,3812m3818,3260l8988,3260m3818,2710l8988,2710m3818,2158l8988,2158m3818,5466l3818,2158m3756,5466l3818,5466m3756,4914l3818,4914m3756,4364l3818,4364m3756,3812l3818,3812m3756,3260l3818,3260m3756,2710l3818,2710m3756,2158l3818,2158e" filled="false" stroked="true" strokeweight=".72pt" strokecolor="#858585">
                  <v:path arrowok="t"/>
                  <v:stroke dashstyle="solid"/>
                </v:shape>
                <v:shape style="position:absolute;left:3818;top:5465;width:5170;height:2" id="docshape453" coordorigin="3818,5466" coordsize="5170,0" path="m3818,5466l4466,5466m4608,5466l8988,5466e" filled="false" stroked="true" strokeweight=".72pt" strokecolor="#858585">
                  <v:path arrowok="t"/>
                  <v:stroke dashstyle="solid"/>
                </v:shape>
                <v:shape style="position:absolute;left:3962;top:5218;width:4884;height:240" id="docshape454" coordorigin="3962,5218" coordsize="4884,240" path="m3962,5458l4250,5425,4536,5218,4824,5425,5112,5353,5400,5418,5686,5382,5974,5408,6262,5382,6547,5259,6835,5300,7123,5331,7409,5331,7697,5367,7985,5389,8273,5302,8558,5283,8846,5439e" filled="false" stroked="true" strokeweight="2.16pt" strokecolor="#497dba">
                  <v:path arrowok="t"/>
                  <v:stroke dashstyle="solid"/>
                </v:shape>
                <v:shape style="position:absolute;left:3885;top:5380;width:155;height:155" type="#_x0000_t75" id="docshape455" stroked="false">
                  <v:imagedata r:id="rId119" o:title=""/>
                </v:shape>
                <v:shape style="position:absolute;left:4172;top:5348;width:155;height:155" type="#_x0000_t75" id="docshape456" stroked="false">
                  <v:imagedata r:id="rId111" o:title=""/>
                </v:shape>
                <v:shape style="position:absolute;left:4460;top:5141;width:155;height:155" type="#_x0000_t75" id="docshape457" stroked="false">
                  <v:imagedata r:id="rId134" o:title=""/>
                </v:shape>
                <v:shape style="position:absolute;left:4747;top:5346;width:155;height:155" type="#_x0000_t75" id="docshape458" stroked="false">
                  <v:imagedata r:id="rId111" o:title=""/>
                </v:shape>
                <v:shape style="position:absolute;left:5034;top:5276;width:155;height:155" type="#_x0000_t75" id="docshape459" stroked="false">
                  <v:imagedata r:id="rId119" o:title=""/>
                </v:shape>
                <v:shape style="position:absolute;left:5321;top:5340;width:155;height:155" type="#_x0000_t75" id="docshape460" stroked="false">
                  <v:imagedata r:id="rId113" o:title=""/>
                </v:shape>
                <v:shape style="position:absolute;left:5609;top:5304;width:155;height:155" type="#_x0000_t75" id="docshape461" stroked="false">
                  <v:imagedata r:id="rId116" o:title=""/>
                </v:shape>
                <v:shape style="position:absolute;left:5896;top:5330;width:155;height:155" type="#_x0000_t75" id="docshape462" stroked="false">
                  <v:imagedata r:id="rId111" o:title=""/>
                </v:shape>
                <v:shape style="position:absolute;left:6183;top:5303;width:155;height:155" type="#_x0000_t75" id="docshape463" stroked="false">
                  <v:imagedata r:id="rId111" o:title=""/>
                </v:shape>
                <v:shape style="position:absolute;left:6470;top:5182;width:155;height:155" type="#_x0000_t75" id="docshape464" stroked="false">
                  <v:imagedata r:id="rId113" o:title=""/>
                </v:shape>
                <v:shape style="position:absolute;left:6758;top:5223;width:155;height:155" type="#_x0000_t75" id="docshape465" stroked="false">
                  <v:imagedata r:id="rId119" o:title=""/>
                </v:shape>
                <v:shape style="position:absolute;left:7045;top:5255;width:155;height:155" type="#_x0000_t75" id="docshape466" stroked="false">
                  <v:imagedata r:id="rId111" o:title=""/>
                </v:shape>
                <v:shape style="position:absolute;left:7332;top:5253;width:155;height:155" type="#_x0000_t75" id="docshape467" stroked="false">
                  <v:imagedata r:id="rId116" o:title=""/>
                </v:shape>
                <v:shape style="position:absolute;left:7619;top:5289;width:155;height:155" type="#_x0000_t75" id="docshape468" stroked="false">
                  <v:imagedata r:id="rId118" o:title=""/>
                </v:shape>
                <v:shape style="position:absolute;left:7907;top:5311;width:155;height:155" type="#_x0000_t75" id="docshape469" stroked="false">
                  <v:imagedata r:id="rId119" o:title=""/>
                </v:shape>
                <v:shape style="position:absolute;left:8194;top:5226;width:155;height:155" type="#_x0000_t75" id="docshape470" stroked="false">
                  <v:imagedata r:id="rId135" o:title=""/>
                </v:shape>
                <v:shape style="position:absolute;left:8481;top:5206;width:155;height:155" type="#_x0000_t75" id="docshape471" stroked="false">
                  <v:imagedata r:id="rId113" o:title=""/>
                </v:shape>
                <v:shape style="position:absolute;left:8768;top:5361;width:155;height:155" type="#_x0000_t75" id="docshape472" stroked="false">
                  <v:imagedata r:id="rId111" o:title=""/>
                </v:shape>
                <v:shape style="position:absolute;left:3962;top:4860;width:4884;height:603" id="docshape473" coordorigin="3962,4861" coordsize="4884,603" path="m3962,5463l4250,5442,4536,5425,4824,5430,5112,5396,5400,5444,5686,5420,5974,5365,6262,5341,6547,5290,6835,5307,7123,5329,7409,5353,7697,4861,7985,4906,8273,5072,8558,5067,8846,5300e" filled="false" stroked="true" strokeweight="2.16pt" strokecolor="#bd4a47">
                  <v:path arrowok="t"/>
                  <v:stroke dashstyle="solid"/>
                </v:shape>
                <v:rect style="position:absolute;left:3892;top:5393;width:140;height:140" id="docshape474" filled="true" fillcolor="#c0504d" stroked="false">
                  <v:fill type="solid"/>
                </v:rect>
                <v:rect style="position:absolute;left:3892;top:5393;width:140;height:140" id="docshape475" filled="false" stroked="true" strokeweight=".72pt" strokecolor="#bd4a47">
                  <v:stroke dashstyle="solid"/>
                </v:rect>
                <v:rect style="position:absolute;left:4180;top:5369;width:140;height:142" id="docshape476" filled="true" fillcolor="#c0504d" stroked="false">
                  <v:fill type="solid"/>
                </v:rect>
                <v:rect style="position:absolute;left:4180;top:5369;width:140;height:142" id="docshape477" filled="false" stroked="true" strokeweight=".72pt" strokecolor="#bd4a47">
                  <v:stroke dashstyle="solid"/>
                </v:rect>
                <v:rect style="position:absolute;left:4466;top:5352;width:142;height:142" id="docshape478" filled="true" fillcolor="#c0504d" stroked="false">
                  <v:fill type="solid"/>
                </v:rect>
                <v:rect style="position:absolute;left:4466;top:5352;width:142;height:142" id="docshape479" filled="false" stroked="true" strokeweight=".72pt" strokecolor="#bd4a47">
                  <v:stroke dashstyle="solid"/>
                </v:rect>
                <v:rect style="position:absolute;left:4754;top:5357;width:140;height:142" id="docshape480" filled="true" fillcolor="#c0504d" stroked="false">
                  <v:fill type="solid"/>
                </v:rect>
                <v:rect style="position:absolute;left:4754;top:5357;width:140;height:142" id="docshape481" filled="false" stroked="true" strokeweight=".72pt" strokecolor="#bd4a47">
                  <v:stroke dashstyle="solid"/>
                </v:rect>
                <v:rect style="position:absolute;left:5042;top:5326;width:140;height:140" id="docshape482" filled="true" fillcolor="#c0504d" stroked="false">
                  <v:fill type="solid"/>
                </v:rect>
                <v:rect style="position:absolute;left:5042;top:5326;width:140;height:140" id="docshape483" filled="false" stroked="true" strokeweight=".72pt" strokecolor="#bd4a47">
                  <v:stroke dashstyle="solid"/>
                </v:rect>
                <v:rect style="position:absolute;left:5328;top:5372;width:142;height:142" id="docshape484" filled="true" fillcolor="#c0504d" stroked="false">
                  <v:fill type="solid"/>
                </v:rect>
                <v:rect style="position:absolute;left:5328;top:5372;width:142;height:142" id="docshape485" filled="false" stroked="true" strokeweight=".72pt" strokecolor="#bd4a47">
                  <v:stroke dashstyle="solid"/>
                </v:rect>
                <v:rect style="position:absolute;left:5616;top:5350;width:140;height:140" id="docshape486" filled="true" fillcolor="#c0504d" stroked="false">
                  <v:fill type="solid"/>
                </v:rect>
                <v:rect style="position:absolute;left:5616;top:5350;width:140;height:140" id="docshape487" filled="false" stroked="true" strokeweight=".72pt" strokecolor="#bd4a47">
                  <v:stroke dashstyle="solid"/>
                </v:rect>
                <v:rect style="position:absolute;left:5904;top:5295;width:140;height:140" id="docshape488" filled="true" fillcolor="#c0504d" stroked="false">
                  <v:fill type="solid"/>
                </v:rect>
                <v:rect style="position:absolute;left:5904;top:5295;width:140;height:140" id="docshape489" filled="false" stroked="true" strokeweight=".72pt" strokecolor="#bd4a47">
                  <v:stroke dashstyle="solid"/>
                </v:rect>
                <v:rect style="position:absolute;left:6189;top:5268;width:142;height:142" id="docshape490" filled="true" fillcolor="#c0504d" stroked="false">
                  <v:fill type="solid"/>
                </v:rect>
                <v:rect style="position:absolute;left:6189;top:5268;width:142;height:142" id="docshape491" filled="false" stroked="true" strokeweight=".72pt" strokecolor="#bd4a47">
                  <v:stroke dashstyle="solid"/>
                </v:rect>
                <v:rect style="position:absolute;left:6477;top:5218;width:142;height:140" id="docshape492" filled="true" fillcolor="#c0504d" stroked="false">
                  <v:fill type="solid"/>
                </v:rect>
                <v:rect style="position:absolute;left:6477;top:5218;width:142;height:140" id="docshape493" filled="false" stroked="true" strokeweight=".72pt" strokecolor="#bd4a47">
                  <v:stroke dashstyle="solid"/>
                </v:rect>
                <v:rect style="position:absolute;left:6765;top:5235;width:140;height:142" id="docshape494" filled="true" fillcolor="#c0504d" stroked="false">
                  <v:fill type="solid"/>
                </v:rect>
                <v:rect style="position:absolute;left:6765;top:5235;width:140;height:142" id="docshape495" filled="false" stroked="true" strokeweight=".72pt" strokecolor="#bd4a47">
                  <v:stroke dashstyle="solid"/>
                </v:rect>
                <v:rect style="position:absolute;left:7053;top:5256;width:140;height:142" id="docshape496" filled="true" fillcolor="#c0504d" stroked="false">
                  <v:fill type="solid"/>
                </v:rect>
                <v:rect style="position:absolute;left:7053;top:5256;width:140;height:142" id="docshape497" filled="false" stroked="true" strokeweight=".72pt" strokecolor="#bd4a47">
                  <v:stroke dashstyle="solid"/>
                </v:rect>
                <v:rect style="position:absolute;left:7339;top:5283;width:142;height:140" id="docshape498" filled="true" fillcolor="#c0504d" stroked="false">
                  <v:fill type="solid"/>
                </v:rect>
                <v:rect style="position:absolute;left:7339;top:5283;width:142;height:140" id="docshape499" filled="false" stroked="true" strokeweight=".72pt" strokecolor="#bd4a47">
                  <v:stroke dashstyle="solid"/>
                </v:rect>
                <v:rect style="position:absolute;left:7627;top:4788;width:140;height:140" id="docshape500" filled="true" fillcolor="#c0504d" stroked="false">
                  <v:fill type="solid"/>
                </v:rect>
                <v:rect style="position:absolute;left:7627;top:4788;width:140;height:140" id="docshape501" filled="false" stroked="true" strokeweight=".72pt" strokecolor="#bd4a47">
                  <v:stroke dashstyle="solid"/>
                </v:rect>
                <v:rect style="position:absolute;left:7915;top:4834;width:140;height:140" id="docshape502" filled="true" fillcolor="#c0504d" stroked="false">
                  <v:fill type="solid"/>
                </v:rect>
                <v:rect style="position:absolute;left:7915;top:4834;width:140;height:140" id="docshape503" filled="false" stroked="true" strokeweight=".72pt" strokecolor="#bd4a47">
                  <v:stroke dashstyle="solid"/>
                </v:rect>
                <v:rect style="position:absolute;left:8200;top:5000;width:142;height:140" id="docshape504" filled="true" fillcolor="#c0504d" stroked="false">
                  <v:fill type="solid"/>
                </v:rect>
                <v:rect style="position:absolute;left:8200;top:5000;width:142;height:140" id="docshape505" filled="false" stroked="true" strokeweight=".72pt" strokecolor="#bd4a47">
                  <v:stroke dashstyle="solid"/>
                </v:rect>
                <v:rect style="position:absolute;left:8488;top:4995;width:140;height:142" id="docshape506" filled="true" fillcolor="#c0504d" stroked="false">
                  <v:fill type="solid"/>
                </v:rect>
                <v:rect style="position:absolute;left:8488;top:4995;width:140;height:142" id="docshape507" filled="false" stroked="true" strokeweight=".72pt" strokecolor="#bd4a47">
                  <v:stroke dashstyle="solid"/>
                </v:rect>
                <v:rect style="position:absolute;left:8776;top:5230;width:140;height:140" id="docshape508" filled="true" fillcolor="#c0504d" stroked="false">
                  <v:fill type="solid"/>
                </v:rect>
                <v:rect style="position:absolute;left:8776;top:5230;width:140;height:140" id="docshape509" filled="false" stroked="true" strokeweight=".72pt" strokecolor="#bd4a47">
                  <v:stroke dashstyle="solid"/>
                </v:rect>
                <v:shape style="position:absolute;left:3962;top:5182;width:4884;height:279" id="docshape510" coordorigin="3962,5182" coordsize="4884,279" path="m3962,5461l4250,5444,4536,5451,4824,5420,5112,5439,5400,5437,5686,5437,5974,5434,6262,5401,6547,5394,6835,5382,7123,5398,7409,5410,7697,5389,7985,5398,8273,5187,8558,5182,8846,5329e" filled="false" stroked="true" strokeweight="2.16pt" strokecolor="#97b853">
                  <v:path arrowok="t"/>
                  <v:stroke dashstyle="solid"/>
                </v:shape>
                <v:shape style="position:absolute;left:3885;top:5385;width:155;height:155" type="#_x0000_t75" id="docshape511" stroked="false">
                  <v:imagedata r:id="rId136" o:title=""/>
                </v:shape>
                <v:shape style="position:absolute;left:4172;top:5368;width:155;height:156" type="#_x0000_t75" id="docshape512" stroked="false">
                  <v:imagedata r:id="rId137" o:title=""/>
                </v:shape>
                <v:shape style="position:absolute;left:4460;top:5375;width:155;height:156" type="#_x0000_t75" id="docshape513" stroked="false">
                  <v:imagedata r:id="rId138" o:title=""/>
                </v:shape>
                <v:shape style="position:absolute;left:4747;top:5344;width:155;height:156" type="#_x0000_t75" id="docshape514" stroked="false">
                  <v:imagedata r:id="rId137" o:title=""/>
                </v:shape>
                <v:shape style="position:absolute;left:5034;top:5363;width:155;height:155" type="#_x0000_t75" id="docshape515" stroked="false">
                  <v:imagedata r:id="rId136" o:title=""/>
                </v:shape>
                <v:shape style="position:absolute;left:5321;top:5361;width:155;height:156" type="#_x0000_t75" id="docshape516" stroked="false">
                  <v:imagedata r:id="rId139" o:title=""/>
                </v:shape>
                <v:shape style="position:absolute;left:5609;top:5361;width:155;height:155" type="#_x0000_t75" id="docshape517" stroked="false">
                  <v:imagedata r:id="rId140" o:title=""/>
                </v:shape>
                <v:shape style="position:absolute;left:5896;top:5358;width:155;height:155" type="#_x0000_t75" id="docshape518" stroked="false">
                  <v:imagedata r:id="rId141" o:title=""/>
                </v:shape>
                <v:shape style="position:absolute;left:6183;top:5324;width:155;height:155" type="#_x0000_t75" id="docshape519" stroked="false">
                  <v:imagedata r:id="rId136" o:title=""/>
                </v:shape>
                <v:shape style="position:absolute;left:6470;top:5317;width:155;height:156" type="#_x0000_t75" id="docshape520" stroked="false">
                  <v:imagedata r:id="rId139" o:title=""/>
                </v:shape>
                <v:shape style="position:absolute;left:6758;top:5305;width:155;height:155" type="#_x0000_t75" id="docshape521" stroked="false">
                  <v:imagedata r:id="rId141" o:title=""/>
                </v:shape>
                <v:shape style="position:absolute;left:7045;top:5321;width:155;height:156" type="#_x0000_t75" id="docshape522" stroked="false">
                  <v:imagedata r:id="rId137" o:title=""/>
                </v:shape>
                <v:shape style="position:absolute;left:7332;top:5333;width:155;height:155" type="#_x0000_t75" id="docshape523" stroked="false">
                  <v:imagedata r:id="rId142" o:title=""/>
                </v:shape>
                <v:shape style="position:absolute;left:7619;top:5313;width:155;height:155" type="#_x0000_t75" id="docshape524" stroked="false">
                  <v:imagedata r:id="rId141" o:title=""/>
                </v:shape>
                <v:shape style="position:absolute;left:7907;top:5321;width:155;height:156" type="#_x0000_t75" id="docshape525" stroked="false">
                  <v:imagedata r:id="rId141" o:title=""/>
                </v:shape>
                <v:shape style="position:absolute;left:8194;top:5107;width:155;height:156" type="#_x0000_t75" id="docshape526" stroked="false">
                  <v:imagedata r:id="rId143" o:title=""/>
                </v:shape>
                <v:shape style="position:absolute;left:8481;top:5103;width:155;height:155" type="#_x0000_t75" id="docshape527" stroked="false">
                  <v:imagedata r:id="rId142" o:title=""/>
                </v:shape>
                <v:shape style="position:absolute;left:8768;top:5250;width:155;height:156" type="#_x0000_t75" id="docshape528" stroked="false">
                  <v:imagedata r:id="rId137" o:title=""/>
                </v:shape>
                <v:shape style="position:absolute;left:3962;top:5175;width:4884;height:288" id="docshape529" coordorigin="3962,5175" coordsize="4884,288" path="m3962,5463l4250,5439,4536,5456,4824,5454,5112,5456,5400,5454,5686,5442,5974,5434,6262,5389,6547,5398,6835,5360,7123,5406,7409,5410,7697,5403,7985,5410,8273,5175,8558,5211,8846,5410e" filled="false" stroked="true" strokeweight="2.16pt" strokecolor="#7c5f9f">
                  <v:path arrowok="t"/>
                  <v:stroke dashstyle="solid"/>
                </v:shape>
                <v:shape style="position:absolute;left:3892;top:5105;width:5024;height:428" id="docshape530" coordorigin="3893,5106" coordsize="5024,428" path="m3962,5463l3893,5533,4032,5533,3962,5463xm4032,5394l3893,5394,3962,5463,4032,5394xm4250,5439l4181,5509,4320,5509,4250,5439xm4320,5370l4181,5370,4250,5439,4320,5370xm4537,5456l4466,5526,4608,5526,4537,5456xm4608,5386l4466,5386,4537,5456,4608,5386xm4824,5454l4754,5523,4894,5523,4824,5454xm4894,5384l4754,5384,4824,5454,4894,5384xm5112,5456l5042,5526,5182,5526,5112,5456xm5182,5386l5042,5386,5112,5456,5182,5386xm5399,5454l5328,5523,5470,5523,5399,5454xm5470,5384l5328,5384,5399,5454,5470,5384xm5686,5442l5616,5511,5755,5511,5686,5442xm5755,5372l5616,5372,5686,5442,5755,5372xm5974,5434l5904,5504,6043,5504,5974,5434xm6043,5365l5904,5365,5974,5434,6043,5365xm6260,5388l6190,5458,6331,5458,6260,5388xm6331,5317l6190,5317,6260,5388,6331,5317xm6548,5398l6478,5468,6619,5468,6548,5398xm6619,5329l6478,5329,6548,5398,6619,5329xm6835,5360l6766,5430,6905,5430,6835,5360xm6905,5290l6766,5290,6835,5360,6905,5290xm7123,5406l7054,5475,7193,5475,7123,5406xm7193,5336l7054,5336,7123,5406,7193,5336xm7410,5410l7339,5480,7481,5480,7410,5410xm7481,5341l7339,5341,7410,5410,7481,5341xm7697,5403l7627,5473,7766,5473,7697,5403xm7766,5334l7627,5334,7697,5403,7766,5334xm7985,5410l7915,5480,8054,5480,7985,5410xm8054,5341l7915,5341,7985,5410,8054,5341xm8272,5175l8201,5245,8342,5245,8272,5175xm8342,5106l8201,5106,8272,5175,8342,5106xm8558,5211l8489,5281,8628,5281,8558,5211xm8628,5142l8489,5142,8558,5211,8628,5142xm8846,5410l8777,5480,8916,5480,8846,5410xm8916,5341l8777,5341,8846,5410,8916,5341xe" filled="true" fillcolor="#8063a1" stroked="false">
                  <v:path arrowok="t"/>
                  <v:fill type="solid"/>
                </v:shape>
                <v:shape style="position:absolute;left:3892;top:5105;width:5024;height:428" id="docshape531" coordorigin="3893,5106" coordsize="5024,428" path="m4032,5533l3893,5394m3893,5533l4032,5394m4320,5509l4181,5370m4181,5509l4320,5370m4608,5526l4466,5386m4466,5526l4608,5386m4894,5523l4754,5384m4754,5523l4894,5384m5182,5526l5042,5386m5042,5526l5182,5386m5470,5523l5328,5384m5328,5523l5470,5384m5755,5511l5616,5372m5616,5511l5755,5372m6043,5504l5904,5365m5904,5504l6043,5365m6331,5458l6190,5317m6190,5458l6331,5317m6619,5468l6478,5329m6478,5468l6619,5329m6905,5430l6766,5290m6766,5430l6905,5290m7193,5475l7054,5336m7054,5475l7193,5336m7481,5480l7339,5341m7339,5480l7481,5341m7766,5473l7627,5334m7627,5473l7766,5334m8054,5480l7915,5341m7915,5480l8054,5341m8342,5245l8201,5106m8201,5245l8342,5106m8628,5281l8489,5142m8489,5281l8628,5142m8916,5480l8777,5341m8777,5480l8916,5341e" filled="false" stroked="true" strokeweight=".72pt" strokecolor="#7c5f9f">
                  <v:path arrowok="t"/>
                  <v:stroke dashstyle="solid"/>
                </v:shape>
                <v:shape style="position:absolute;left:3962;top:2506;width:4884;height:2955" id="docshape532" coordorigin="3962,2506" coordsize="4884,2955" path="m3962,5461l4250,5173,4536,5322,4824,5341,5112,5410,5400,5151,5686,5022,5974,5072,6262,4758,6547,4573,6835,4599,7123,4762,7409,4873,7697,4914,7985,4575,8273,3502,8558,2506,8846,3634e" filled="false" stroked="true" strokeweight="2.16pt" strokecolor="#46aac5">
                  <v:path arrowok="t"/>
                  <v:stroke dashstyle="solid"/>
                </v:shape>
                <v:shape style="position:absolute;left:3892;top:2436;width:4954;height:3094" id="docshape533" coordorigin="3893,2437" coordsize="4954,3094" path="m3962,5461l3893,5530,3962,5530,3962,5461xm3962,5391l3893,5391,3962,5461,3962,5391xm4250,5173l4181,5242,4250,5242,4250,5173xm4250,5103l4181,5103,4250,5173,4250,5103xm4537,5320l4466,5391,4538,5391,4538,5322,4537,5320xm4538,5250l4466,5250,4537,5320,4538,5319,4538,5250xm4824,5341l4754,5410,4824,5410,4824,5341xm4824,5271l4754,5271,4824,5341,4824,5271xm5112,5410l5042,5480,5112,5480,5112,5410xm5112,5341l5042,5341,5112,5410,5112,5341xm5399,5151l5328,5221,5400,5221,5400,5152,5399,5151xm5400,5082l5328,5082,5399,5151,5400,5150,5400,5082xm5686,5022l5616,5091,5686,5091,5686,5022xm5686,4952l5616,4952,5686,5022,5686,4952xm5974,5072l5904,5142,5974,5142,5974,5072xm5974,5002l5904,5002,5974,5072,5974,5002xm6260,4758l6190,4827,6262,4827,6262,4759,6260,4758xm6262,4688l6190,4688,6260,4758,6262,4756,6262,4688xm6547,4574l6478,4642,6547,4642,6547,4574xm6547,4572l6547,4574,6548,4573,6547,4572xm6547,4503l6478,4503,6547,4572,6547,4503xm6835,4599l6766,4669,6835,4669,6835,4599xm6835,4530l6766,4530,6835,4599,6835,4530xm7123,4762l7054,4832,7123,4832,7123,4762xm7123,4693l7054,4693,7123,4762,7123,4693xm7409,4875l7339,4945,7409,4945,7409,4875xm7409,4873l7409,4875,7410,4874,7409,4873xm7409,4803l7339,4803,7409,4873,7409,4803xm7697,4915l7627,4986,7697,4986,7697,4915xm7697,4844l7627,4844,7697,4915,7697,4844xm7985,4574l7915,4645,7985,4645,7985,4574xm7985,4503l7915,4503,7985,4574,7985,4503xm8270,3504l8201,3572,8270,3572,8270,3504xm8270,3501l8270,3504,8272,3502,8270,3501xm8270,3433l8201,3433,8270,3501,8270,3433xm8558,2506l8489,2576,8558,2576,8558,2506xm8558,2437l8489,2437,8558,2506,8558,2437xm8846,3634l8777,3704,8846,3704,8846,3634xm8846,3565l8777,3565,8846,3634,8846,3565xe" filled="true" fillcolor="#4aacc5" stroked="false">
                  <v:path arrowok="t"/>
                  <v:fill type="solid"/>
                </v:shape>
                <v:shape style="position:absolute;left:3892;top:2436;width:5024;height:3094" id="docshape534" coordorigin="3893,2437" coordsize="5024,3094" path="m4032,5530l3893,5391m3962,5391l3962,5530m3893,5530l4032,5391m4320,5242l4181,5103m4181,5242l4320,5103m4608,5391l4466,5250m4538,5250l4538,5391m4466,5391l4608,5250m4894,5410l4754,5271m4824,5271l4824,5410m4754,5410l4894,5271m5182,5480l5042,5341m5112,5341l5112,5480m5042,5480l5182,5341m5470,5221l5328,5082m5328,5221l5470,5082m5755,5091l5616,4952m5616,5091l5755,4952m6043,5142l5904,5002m5904,5142l6043,5002m6331,4827l6190,4688m6190,4827l6331,4688m6619,4642l6478,4503m6478,4642l6619,4503m6905,4669l6766,4530m6766,4669l6905,4530m7193,4832l7054,4693m7054,4832l7193,4693m7481,4945l7339,4803m7409,4803l7409,4945m7339,4945l7481,4803m7766,4986l7627,4844m7697,4844l7697,4986m7627,4986l7766,4844m8054,4645l7915,4503m7915,4645l8054,4503m8342,3572l8201,3433m8201,3572l8342,3433m8628,2576l8489,2437m8558,2437l8558,2576m8489,2576l8628,2437m8916,3704l8777,3565m8777,3704l8916,3565e" filled="false" stroked="true" strokeweight=".72pt" strokecolor="#46aac5">
                  <v:path arrowok="t"/>
                  <v:stroke dashstyle="solid"/>
                </v:shape>
                <v:shape style="position:absolute;left:1840;top:3387;width:58;height:132" id="docshape535" coordorigin="1840,3388" coordsize="58,132" path="m1859,3388l1840,3388,1840,3520,1859,3520,1859,3388xm1898,3388l1878,3388,1878,3520,1898,3520,1898,3388xe" filled="true" fillcolor="#000000" stroked="false">
                  <v:path arrowok="t"/>
                  <v:fill type="solid"/>
                </v:shape>
                <v:shape style="position:absolute;left:9302;top:3528;width:384;height:135" type="#_x0000_t75" id="docshape536" stroked="false">
                  <v:imagedata r:id="rId144" o:title=""/>
                </v:shape>
                <v:line style="position:absolute" from="9302,3956" to="9686,3956" stroked="true" strokeweight="1.92pt" strokecolor="#bd4a47">
                  <v:stroke dashstyle="solid"/>
                </v:line>
                <v:rect style="position:absolute;left:9434;top:3896;width:120;height:120" id="docshape537" filled="true" fillcolor="#c0504d" stroked="false">
                  <v:fill type="solid"/>
                </v:rect>
                <v:rect style="position:absolute;left:9434;top:3896;width:120;height:120" id="docshape538" filled="false" stroked="true" strokeweight=".72pt" strokecolor="#bd4a47">
                  <v:stroke dashstyle="solid"/>
                </v:rect>
                <v:shape style="position:absolute;left:9302;top:4251;width:384;height:135" type="#_x0000_t75" id="docshape539" stroked="false">
                  <v:imagedata r:id="rId145" o:title=""/>
                </v:shape>
                <v:shape style="position:absolute;left:9302;top:4613;width:384;height:135" type="#_x0000_t75" id="docshape540" stroked="false">
                  <v:imagedata r:id="rId146" o:title=""/>
                </v:shape>
                <v:shape style="position:absolute;left:9302;top:4973;width:384;height:135" type="#_x0000_t75" id="docshape541" stroked="false">
                  <v:imagedata r:id="rId147" o:title=""/>
                </v:shape>
                <v:rect style="position:absolute;left:1470;top:1935;width:9360;height:4766" id="docshape542" filled="false" stroked="true" strokeweight="1pt" strokecolor="#858585">
                  <v:stroke dashstyle="solid"/>
                </v:rect>
                <v:shape style="position:absolute;left:2117;top:2065;width:1533;height:2957" type="#_x0000_t202" id="docshape543" filled="false" stroked="false">
                  <v:textbox inset="0,0,0,0">
                    <w:txbxContent>
                      <w:p>
                        <w:pPr>
                          <w:spacing w:line="203" w:lineRule="exact" w:before="0"/>
                          <w:ind w:left="0" w:right="0" w:firstLine="0"/>
                          <w:jc w:val="left"/>
                          <w:rPr>
                            <w:rFonts w:ascii="Calibri"/>
                            <w:sz w:val="20"/>
                          </w:rPr>
                        </w:pPr>
                        <w:r>
                          <w:rPr>
                            <w:rFonts w:ascii="Calibri"/>
                            <w:spacing w:val="-2"/>
                            <w:sz w:val="20"/>
                          </w:rPr>
                          <w:t>60,000,000,000.00</w:t>
                        </w:r>
                      </w:p>
                      <w:p>
                        <w:pPr>
                          <w:spacing w:line="240" w:lineRule="auto" w:before="63"/>
                          <w:rPr>
                            <w:rFonts w:ascii="Calibri"/>
                            <w:sz w:val="20"/>
                          </w:rPr>
                        </w:pPr>
                      </w:p>
                      <w:p>
                        <w:pPr>
                          <w:spacing w:before="0"/>
                          <w:ind w:left="0" w:right="0" w:firstLine="0"/>
                          <w:jc w:val="left"/>
                          <w:rPr>
                            <w:rFonts w:ascii="Calibri"/>
                            <w:sz w:val="20"/>
                          </w:rPr>
                        </w:pPr>
                        <w:r>
                          <w:rPr>
                            <w:rFonts w:ascii="Calibri"/>
                            <w:spacing w:val="-2"/>
                            <w:sz w:val="20"/>
                          </w:rPr>
                          <w:t>50,000,000,000.00</w:t>
                        </w:r>
                      </w:p>
                      <w:p>
                        <w:pPr>
                          <w:spacing w:line="240" w:lineRule="auto" w:before="63"/>
                          <w:rPr>
                            <w:rFonts w:ascii="Calibri"/>
                            <w:sz w:val="20"/>
                          </w:rPr>
                        </w:pPr>
                      </w:p>
                      <w:p>
                        <w:pPr>
                          <w:spacing w:before="0"/>
                          <w:ind w:left="0" w:right="0" w:firstLine="0"/>
                          <w:jc w:val="left"/>
                          <w:rPr>
                            <w:rFonts w:ascii="Calibri"/>
                            <w:sz w:val="20"/>
                          </w:rPr>
                        </w:pPr>
                        <w:r>
                          <w:rPr>
                            <w:rFonts w:ascii="Calibri"/>
                            <w:spacing w:val="-2"/>
                            <w:sz w:val="20"/>
                          </w:rPr>
                          <w:t>40,000,000,000.00</w:t>
                        </w:r>
                      </w:p>
                      <w:p>
                        <w:pPr>
                          <w:spacing w:line="240" w:lineRule="auto" w:before="63"/>
                          <w:rPr>
                            <w:rFonts w:ascii="Calibri"/>
                            <w:sz w:val="20"/>
                          </w:rPr>
                        </w:pPr>
                      </w:p>
                      <w:p>
                        <w:pPr>
                          <w:spacing w:before="0"/>
                          <w:ind w:left="0" w:right="0" w:firstLine="0"/>
                          <w:jc w:val="left"/>
                          <w:rPr>
                            <w:rFonts w:ascii="Calibri"/>
                            <w:sz w:val="20"/>
                          </w:rPr>
                        </w:pPr>
                        <w:r>
                          <w:rPr>
                            <w:rFonts w:ascii="Calibri"/>
                            <w:spacing w:val="-2"/>
                            <w:sz w:val="20"/>
                          </w:rPr>
                          <w:t>30,000,000,000.00</w:t>
                        </w:r>
                      </w:p>
                      <w:p>
                        <w:pPr>
                          <w:spacing w:line="240" w:lineRule="auto" w:before="64"/>
                          <w:rPr>
                            <w:rFonts w:ascii="Calibri"/>
                            <w:sz w:val="20"/>
                          </w:rPr>
                        </w:pPr>
                      </w:p>
                      <w:p>
                        <w:pPr>
                          <w:spacing w:before="0"/>
                          <w:ind w:left="0" w:right="0" w:firstLine="0"/>
                          <w:jc w:val="left"/>
                          <w:rPr>
                            <w:rFonts w:ascii="Calibri"/>
                            <w:sz w:val="20"/>
                          </w:rPr>
                        </w:pPr>
                        <w:r>
                          <w:rPr>
                            <w:rFonts w:ascii="Calibri"/>
                            <w:spacing w:val="-2"/>
                            <w:sz w:val="20"/>
                          </w:rPr>
                          <w:t>20,000,000,000.00</w:t>
                        </w:r>
                      </w:p>
                      <w:p>
                        <w:pPr>
                          <w:spacing w:line="240" w:lineRule="auto" w:before="63"/>
                          <w:rPr>
                            <w:rFonts w:ascii="Calibri"/>
                            <w:sz w:val="20"/>
                          </w:rPr>
                        </w:pPr>
                      </w:p>
                      <w:p>
                        <w:pPr>
                          <w:spacing w:line="240" w:lineRule="exact" w:before="0"/>
                          <w:ind w:left="0" w:right="0" w:firstLine="0"/>
                          <w:jc w:val="left"/>
                          <w:rPr>
                            <w:rFonts w:ascii="Calibri"/>
                            <w:sz w:val="20"/>
                          </w:rPr>
                        </w:pPr>
                        <w:r>
                          <w:rPr>
                            <w:rFonts w:ascii="Calibri"/>
                            <w:spacing w:val="-2"/>
                            <w:sz w:val="20"/>
                          </w:rPr>
                          <w:t>10,000,000,000.00</w:t>
                        </w:r>
                      </w:p>
                    </w:txbxContent>
                  </v:textbox>
                  <w10:wrap type="none"/>
                </v:shape>
                <v:shape style="position:absolute;left:9727;top:3503;width:920;height:1647" type="#_x0000_t202" id="docshape544" filled="false" stroked="false">
                  <v:textbox inset="0,0,0,0">
                    <w:txbxContent>
                      <w:p>
                        <w:pPr>
                          <w:spacing w:line="203" w:lineRule="exact" w:before="0"/>
                          <w:ind w:left="0" w:right="0" w:firstLine="0"/>
                          <w:jc w:val="left"/>
                          <w:rPr>
                            <w:rFonts w:ascii="Calibri"/>
                            <w:sz w:val="20"/>
                          </w:rPr>
                        </w:pPr>
                        <w:r>
                          <w:rPr>
                            <w:rFonts w:ascii="Calibri"/>
                            <w:spacing w:val="-2"/>
                            <w:sz w:val="20"/>
                          </w:rPr>
                          <w:t>Housing</w:t>
                        </w:r>
                      </w:p>
                      <w:p>
                        <w:pPr>
                          <w:spacing w:line="355" w:lineRule="auto" w:before="118"/>
                          <w:ind w:left="0" w:right="0" w:firstLine="0"/>
                          <w:jc w:val="left"/>
                          <w:rPr>
                            <w:rFonts w:ascii="Calibri"/>
                            <w:sz w:val="20"/>
                          </w:rPr>
                        </w:pPr>
                        <w:r>
                          <w:rPr>
                            <w:rFonts w:ascii="Calibri"/>
                            <w:spacing w:val="-2"/>
                            <w:sz w:val="20"/>
                          </w:rPr>
                          <w:t>Education Health Agriculture</w:t>
                        </w:r>
                      </w:p>
                      <w:p>
                        <w:pPr>
                          <w:spacing w:line="240" w:lineRule="exact" w:before="1"/>
                          <w:ind w:left="0" w:right="0" w:firstLine="0"/>
                          <w:jc w:val="left"/>
                          <w:rPr>
                            <w:rFonts w:ascii="Calibri"/>
                            <w:sz w:val="20"/>
                          </w:rPr>
                        </w:pPr>
                        <w:r>
                          <w:rPr>
                            <w:rFonts w:ascii="Calibri"/>
                            <w:spacing w:val="-2"/>
                            <w:sz w:val="20"/>
                          </w:rPr>
                          <w:t>Works</w:t>
                        </w:r>
                      </w:p>
                    </w:txbxContent>
                  </v:textbox>
                  <w10:wrap type="none"/>
                </v:shape>
                <v:shape style="position:absolute;left:3278;top:5374;width:374;height:200" type="#_x0000_t202" id="docshape545" filled="false" stroked="false">
                  <v:textbox inset="0,0,0,0">
                    <w:txbxContent>
                      <w:p>
                        <w:pPr>
                          <w:spacing w:line="199" w:lineRule="exact" w:before="0"/>
                          <w:ind w:left="0" w:right="0" w:firstLine="0"/>
                          <w:jc w:val="left"/>
                          <w:rPr>
                            <w:rFonts w:ascii="Calibri"/>
                            <w:sz w:val="20"/>
                          </w:rPr>
                        </w:pPr>
                        <w:r>
                          <w:rPr>
                            <w:rFonts w:ascii="Calibri"/>
                            <w:spacing w:val="-4"/>
                            <w:sz w:val="20"/>
                          </w:rPr>
                          <w:t>0.00</w:t>
                        </w:r>
                      </w:p>
                    </w:txbxContent>
                  </v:textbox>
                  <w10:wrap type="none"/>
                </v:shape>
                <v:shape style="position:absolute;left:6176;top:6248;width:474;height:200" type="#_x0000_t202" id="docshape546" filled="false" stroked="false">
                  <v:textbox inset="0,0,0,0">
                    <w:txbxContent>
                      <w:p>
                        <w:pPr>
                          <w:spacing w:line="199" w:lineRule="exact" w:before="0"/>
                          <w:ind w:left="0" w:right="0" w:firstLine="0"/>
                          <w:jc w:val="left"/>
                          <w:rPr>
                            <w:rFonts w:ascii="Calibri"/>
                            <w:b/>
                            <w:sz w:val="20"/>
                          </w:rPr>
                        </w:pPr>
                        <w:r>
                          <w:rPr>
                            <w:rFonts w:ascii="Calibri"/>
                            <w:b/>
                            <w:spacing w:val="-2"/>
                            <w:sz w:val="20"/>
                          </w:rPr>
                          <w:t>Years</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8126592">
                <wp:simplePos x="0" y="0"/>
                <wp:positionH relativeFrom="page">
                  <wp:posOffset>5251703</wp:posOffset>
                </wp:positionH>
                <wp:positionV relativeFrom="paragraph">
                  <wp:posOffset>2179827</wp:posOffset>
                </wp:positionV>
                <wp:extent cx="1270" cy="88900"/>
                <wp:effectExtent l="0" t="0" r="0" b="0"/>
                <wp:wrapNone/>
                <wp:docPr id="582" name="Graphic 582"/>
                <wp:cNvGraphicFramePr>
                  <a:graphicFrameLocks/>
                </wp:cNvGraphicFramePr>
                <a:graphic>
                  <a:graphicData uri="http://schemas.microsoft.com/office/word/2010/wordprocessingShape">
                    <wps:wsp>
                      <wps:cNvPr id="582" name="Graphic 582"/>
                      <wps:cNvSpPr/>
                      <wps:spPr>
                        <a:xfrm>
                          <a:off x="0" y="0"/>
                          <a:ext cx="1270" cy="88900"/>
                        </a:xfrm>
                        <a:custGeom>
                          <a:avLst/>
                          <a:gdLst/>
                          <a:ahLst/>
                          <a:cxnLst/>
                          <a:rect l="l" t="t" r="r" b="b"/>
                          <a:pathLst>
                            <a:path w="0" h="88900">
                              <a:moveTo>
                                <a:pt x="0" y="0"/>
                              </a:moveTo>
                              <a:lnTo>
                                <a:pt x="0" y="88392"/>
                              </a:lnTo>
                            </a:path>
                          </a:pathLst>
                        </a:custGeom>
                        <a:ln w="9144">
                          <a:solidFill>
                            <a:srgbClr val="46AAC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5189888" from="413.519989pt,171.639999pt" to="413.519989pt,178.599999pt" stroked="true" strokeweight=".72pt" strokecolor="#46aac5">
                <v:stroke dashstyle="solid"/>
                <w10:wrap type="none"/>
              </v:line>
            </w:pict>
          </mc:Fallback>
        </mc:AlternateContent>
      </w:r>
      <w:r>
        <w:rPr/>
        <mc:AlternateContent>
          <mc:Choice Requires="wps">
            <w:drawing>
              <wp:anchor distT="0" distB="0" distL="0" distR="0" allowOverlap="1" layoutInCell="1" locked="0" behindDoc="1" simplePos="0" relativeHeight="478127104">
                <wp:simplePos x="0" y="0"/>
                <wp:positionH relativeFrom="page">
                  <wp:posOffset>5617464</wp:posOffset>
                </wp:positionH>
                <wp:positionV relativeFrom="paragraph">
                  <wp:posOffset>2263648</wp:posOffset>
                </wp:positionV>
                <wp:extent cx="1270" cy="88900"/>
                <wp:effectExtent l="0" t="0" r="0" b="0"/>
                <wp:wrapNone/>
                <wp:docPr id="583" name="Graphic 583"/>
                <wp:cNvGraphicFramePr>
                  <a:graphicFrameLocks/>
                </wp:cNvGraphicFramePr>
                <a:graphic>
                  <a:graphicData uri="http://schemas.microsoft.com/office/word/2010/wordprocessingShape">
                    <wps:wsp>
                      <wps:cNvPr id="583" name="Graphic 583"/>
                      <wps:cNvSpPr/>
                      <wps:spPr>
                        <a:xfrm>
                          <a:off x="0" y="0"/>
                          <a:ext cx="1270" cy="88900"/>
                        </a:xfrm>
                        <a:custGeom>
                          <a:avLst/>
                          <a:gdLst/>
                          <a:ahLst/>
                          <a:cxnLst/>
                          <a:rect l="l" t="t" r="r" b="b"/>
                          <a:pathLst>
                            <a:path w="0" h="88900">
                              <a:moveTo>
                                <a:pt x="0" y="0"/>
                              </a:moveTo>
                              <a:lnTo>
                                <a:pt x="0" y="88392"/>
                              </a:lnTo>
                            </a:path>
                          </a:pathLst>
                        </a:custGeom>
                        <a:ln w="9144">
                          <a:solidFill>
                            <a:srgbClr val="46AAC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5189376" from="442.320007pt,178.240005pt" to="442.320007pt,185.200005pt" stroked="true" strokeweight=".72pt" strokecolor="#46aac5">
                <v:stroke dashstyle="solid"/>
                <w10:wrap type="none"/>
              </v:line>
            </w:pict>
          </mc:Fallback>
        </mc:AlternateContent>
      </w:r>
      <w:r>
        <w:rPr/>
        <mc:AlternateContent>
          <mc:Choice Requires="wps">
            <w:drawing>
              <wp:anchor distT="0" distB="0" distL="0" distR="0" allowOverlap="1" layoutInCell="1" locked="0" behindDoc="0" simplePos="0" relativeHeight="15764480">
                <wp:simplePos x="0" y="0"/>
                <wp:positionH relativeFrom="page">
                  <wp:posOffset>1105230</wp:posOffset>
                </wp:positionH>
                <wp:positionV relativeFrom="paragraph">
                  <wp:posOffset>2099655</wp:posOffset>
                </wp:positionV>
                <wp:extent cx="152400" cy="644525"/>
                <wp:effectExtent l="0" t="0" r="0" b="0"/>
                <wp:wrapNone/>
                <wp:docPr id="584" name="Textbox 584"/>
                <wp:cNvGraphicFramePr>
                  <a:graphicFrameLocks/>
                </wp:cNvGraphicFramePr>
                <a:graphic>
                  <a:graphicData uri="http://schemas.microsoft.com/office/word/2010/wordprocessingShape">
                    <wps:wsp>
                      <wps:cNvPr id="584" name="Textbox 584"/>
                      <wps:cNvSpPr txBox="1"/>
                      <wps:spPr>
                        <a:xfrm>
                          <a:off x="0" y="0"/>
                          <a:ext cx="152400" cy="644525"/>
                        </a:xfrm>
                        <a:prstGeom prst="rect">
                          <a:avLst/>
                        </a:prstGeom>
                      </wps:spPr>
                      <wps:txbx>
                        <w:txbxContent>
                          <w:p>
                            <w:pPr>
                              <w:spacing w:line="223" w:lineRule="exact" w:before="0"/>
                              <w:ind w:left="20" w:right="0" w:firstLine="0"/>
                              <w:jc w:val="left"/>
                              <w:rPr>
                                <w:rFonts w:ascii="Calibri"/>
                                <w:b/>
                                <w:sz w:val="20"/>
                              </w:rPr>
                            </w:pPr>
                            <w:r>
                              <w:rPr>
                                <w:rFonts w:ascii="Calibri"/>
                                <w:b/>
                                <w:sz w:val="20"/>
                              </w:rPr>
                              <w:t>Amount</w:t>
                            </w:r>
                            <w:r>
                              <w:rPr>
                                <w:rFonts w:ascii="Calibri"/>
                                <w:b/>
                                <w:spacing w:val="-8"/>
                                <w:sz w:val="20"/>
                              </w:rPr>
                              <w:t> </w:t>
                            </w:r>
                            <w:r>
                              <w:rPr>
                                <w:rFonts w:ascii="Calibri"/>
                                <w:b/>
                                <w:spacing w:val="-5"/>
                                <w:sz w:val="20"/>
                              </w:rPr>
                              <w:t>(N)</w:t>
                            </w:r>
                          </w:p>
                        </w:txbxContent>
                      </wps:txbx>
                      <wps:bodyPr wrap="square" lIns="0" tIns="0" rIns="0" bIns="0" rtlCol="0" vert="vert270">
                        <a:noAutofit/>
                      </wps:bodyPr>
                    </wps:wsp>
                  </a:graphicData>
                </a:graphic>
              </wp:anchor>
            </w:drawing>
          </mc:Choice>
          <mc:Fallback>
            <w:pict>
              <v:shape style="position:absolute;margin-left:87.026001pt;margin-top:165.327225pt;width:12pt;height:50.75pt;mso-position-horizontal-relative:page;mso-position-vertical-relative:paragraph;z-index:15764480" type="#_x0000_t202" id="docshape547"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z w:val="20"/>
                        </w:rPr>
                        <w:t>Amount</w:t>
                      </w:r>
                      <w:r>
                        <w:rPr>
                          <w:rFonts w:ascii="Calibri"/>
                          <w:b/>
                          <w:spacing w:val="-8"/>
                          <w:sz w:val="20"/>
                        </w:rPr>
                        <w:t> </w:t>
                      </w:r>
                      <w:r>
                        <w:rPr>
                          <w:rFonts w:ascii="Calibri"/>
                          <w:b/>
                          <w:spacing w:val="-5"/>
                          <w:sz w:val="20"/>
                        </w:rPr>
                        <w:t>(N)</w:t>
                      </w:r>
                    </w:p>
                  </w:txbxContent>
                </v:textbox>
                <w10:wrap type="none"/>
              </v:shape>
            </w:pict>
          </mc:Fallback>
        </mc:AlternateContent>
      </w:r>
      <w:r>
        <w:rPr/>
        <w:t>Figure 5.3, which is a pictorial comparison of the trend of annual housing budget allocation and annual capital expenditure; shows difference in pattern except between 2013 to 2016. The result specifically shows that both annual housing budget allocation and annual capital expenditure in Anambra State exhibit a random movement within the period though with a wide variation.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4"/>
      </w:pPr>
    </w:p>
    <w:p>
      <w:pPr>
        <w:pStyle w:val="BodyText"/>
        <w:spacing w:line="278" w:lineRule="auto"/>
        <w:ind w:left="240" w:right="1206"/>
        <w:jc w:val="both"/>
      </w:pPr>
      <w:r>
        <w:rPr/>
        <mc:AlternateContent>
          <mc:Choice Requires="wps">
            <w:drawing>
              <wp:anchor distT="0" distB="0" distL="0" distR="0" allowOverlap="1" layoutInCell="1" locked="0" behindDoc="1" simplePos="0" relativeHeight="478121984">
                <wp:simplePos x="0" y="0"/>
                <wp:positionH relativeFrom="page">
                  <wp:posOffset>2699004</wp:posOffset>
                </wp:positionH>
                <wp:positionV relativeFrom="paragraph">
                  <wp:posOffset>-1167280</wp:posOffset>
                </wp:positionV>
                <wp:extent cx="1270" cy="88900"/>
                <wp:effectExtent l="0" t="0" r="0" b="0"/>
                <wp:wrapNone/>
                <wp:docPr id="585" name="Graphic 585"/>
                <wp:cNvGraphicFramePr>
                  <a:graphicFrameLocks/>
                </wp:cNvGraphicFramePr>
                <a:graphic>
                  <a:graphicData uri="http://schemas.microsoft.com/office/word/2010/wordprocessingShape">
                    <wps:wsp>
                      <wps:cNvPr id="585" name="Graphic 585"/>
                      <wps:cNvSpPr/>
                      <wps:spPr>
                        <a:xfrm>
                          <a:off x="0" y="0"/>
                          <a:ext cx="1270" cy="88900"/>
                        </a:xfrm>
                        <a:custGeom>
                          <a:avLst/>
                          <a:gdLst/>
                          <a:ahLst/>
                          <a:cxnLst/>
                          <a:rect l="l" t="t" r="r" b="b"/>
                          <a:pathLst>
                            <a:path w="0" h="88900">
                              <a:moveTo>
                                <a:pt x="0" y="0"/>
                              </a:moveTo>
                              <a:lnTo>
                                <a:pt x="0" y="88391"/>
                              </a:lnTo>
                            </a:path>
                          </a:pathLst>
                        </a:custGeom>
                        <a:ln w="9144">
                          <a:solidFill>
                            <a:srgbClr val="46AAC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5194496" from="212.520004pt,-91.911873pt" to="212.520004pt,-84.951873pt" stroked="true" strokeweight=".72pt" strokecolor="#46aac5">
                <v:stroke dashstyle="solid"/>
                <w10:wrap type="none"/>
              </v:line>
            </w:pict>
          </mc:Fallback>
        </mc:AlternateContent>
      </w:r>
      <w:r>
        <w:rPr/>
        <mc:AlternateContent>
          <mc:Choice Requires="wps">
            <w:drawing>
              <wp:anchor distT="0" distB="0" distL="0" distR="0" allowOverlap="1" layoutInCell="1" locked="0" behindDoc="1" simplePos="0" relativeHeight="478122496">
                <wp:simplePos x="0" y="0"/>
                <wp:positionH relativeFrom="page">
                  <wp:posOffset>3429000</wp:posOffset>
                </wp:positionH>
                <wp:positionV relativeFrom="paragraph">
                  <wp:posOffset>-1180996</wp:posOffset>
                </wp:positionV>
                <wp:extent cx="1270" cy="88900"/>
                <wp:effectExtent l="0" t="0" r="0" b="0"/>
                <wp:wrapNone/>
                <wp:docPr id="586" name="Graphic 586"/>
                <wp:cNvGraphicFramePr>
                  <a:graphicFrameLocks/>
                </wp:cNvGraphicFramePr>
                <a:graphic>
                  <a:graphicData uri="http://schemas.microsoft.com/office/word/2010/wordprocessingShape">
                    <wps:wsp>
                      <wps:cNvPr id="586" name="Graphic 586"/>
                      <wps:cNvSpPr/>
                      <wps:spPr>
                        <a:xfrm>
                          <a:off x="0" y="0"/>
                          <a:ext cx="1270" cy="88900"/>
                        </a:xfrm>
                        <a:custGeom>
                          <a:avLst/>
                          <a:gdLst/>
                          <a:ahLst/>
                          <a:cxnLst/>
                          <a:rect l="l" t="t" r="r" b="b"/>
                          <a:pathLst>
                            <a:path w="0" h="88900">
                              <a:moveTo>
                                <a:pt x="0" y="0"/>
                              </a:moveTo>
                              <a:lnTo>
                                <a:pt x="0" y="88392"/>
                              </a:lnTo>
                            </a:path>
                          </a:pathLst>
                        </a:custGeom>
                        <a:ln w="9144">
                          <a:solidFill>
                            <a:srgbClr val="46AAC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5193984" from="270pt,-92.991875pt" to="270pt,-86.031875pt" stroked="true" strokeweight=".72pt" strokecolor="#46aac5">
                <v:stroke dashstyle="solid"/>
                <w10:wrap type="none"/>
              </v:line>
            </w:pict>
          </mc:Fallback>
        </mc:AlternateContent>
      </w:r>
      <w:r>
        <w:rPr/>
        <mc:AlternateContent>
          <mc:Choice Requires="wps">
            <w:drawing>
              <wp:anchor distT="0" distB="0" distL="0" distR="0" allowOverlap="1" layoutInCell="1" locked="0" behindDoc="1" simplePos="0" relativeHeight="478123008">
                <wp:simplePos x="0" y="0"/>
                <wp:positionH relativeFrom="page">
                  <wp:posOffset>3610355</wp:posOffset>
                </wp:positionH>
                <wp:positionV relativeFrom="paragraph">
                  <wp:posOffset>-1263292</wp:posOffset>
                </wp:positionV>
                <wp:extent cx="1270" cy="88900"/>
                <wp:effectExtent l="0" t="0" r="0" b="0"/>
                <wp:wrapNone/>
                <wp:docPr id="587" name="Graphic 587"/>
                <wp:cNvGraphicFramePr>
                  <a:graphicFrameLocks/>
                </wp:cNvGraphicFramePr>
                <a:graphic>
                  <a:graphicData uri="http://schemas.microsoft.com/office/word/2010/wordprocessingShape">
                    <wps:wsp>
                      <wps:cNvPr id="587" name="Graphic 587"/>
                      <wps:cNvSpPr/>
                      <wps:spPr>
                        <a:xfrm>
                          <a:off x="0" y="0"/>
                          <a:ext cx="1270" cy="88900"/>
                        </a:xfrm>
                        <a:custGeom>
                          <a:avLst/>
                          <a:gdLst/>
                          <a:ahLst/>
                          <a:cxnLst/>
                          <a:rect l="l" t="t" r="r" b="b"/>
                          <a:pathLst>
                            <a:path w="0" h="88900">
                              <a:moveTo>
                                <a:pt x="0" y="0"/>
                              </a:moveTo>
                              <a:lnTo>
                                <a:pt x="0" y="88391"/>
                              </a:lnTo>
                            </a:path>
                          </a:pathLst>
                        </a:custGeom>
                        <a:ln w="9144">
                          <a:solidFill>
                            <a:srgbClr val="46AAC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5193472" from="284.279999pt,-99.471878pt" to="284.279999pt,-92.511878pt" stroked="true" strokeweight=".72pt" strokecolor="#46aac5">
                <v:stroke dashstyle="solid"/>
                <w10:wrap type="none"/>
              </v:line>
            </w:pict>
          </mc:Fallback>
        </mc:AlternateContent>
      </w:r>
      <w:r>
        <w:rPr/>
        <mc:AlternateContent>
          <mc:Choice Requires="wps">
            <w:drawing>
              <wp:anchor distT="0" distB="0" distL="0" distR="0" allowOverlap="1" layoutInCell="1" locked="0" behindDoc="1" simplePos="0" relativeHeight="478123520">
                <wp:simplePos x="0" y="0"/>
                <wp:positionH relativeFrom="page">
                  <wp:posOffset>3793235</wp:posOffset>
                </wp:positionH>
                <wp:positionV relativeFrom="paragraph">
                  <wp:posOffset>-1231288</wp:posOffset>
                </wp:positionV>
                <wp:extent cx="1270" cy="88900"/>
                <wp:effectExtent l="0" t="0" r="0" b="0"/>
                <wp:wrapNone/>
                <wp:docPr id="588" name="Graphic 588"/>
                <wp:cNvGraphicFramePr>
                  <a:graphicFrameLocks/>
                </wp:cNvGraphicFramePr>
                <a:graphic>
                  <a:graphicData uri="http://schemas.microsoft.com/office/word/2010/wordprocessingShape">
                    <wps:wsp>
                      <wps:cNvPr id="588" name="Graphic 588"/>
                      <wps:cNvSpPr/>
                      <wps:spPr>
                        <a:xfrm>
                          <a:off x="0" y="0"/>
                          <a:ext cx="1270" cy="88900"/>
                        </a:xfrm>
                        <a:custGeom>
                          <a:avLst/>
                          <a:gdLst/>
                          <a:ahLst/>
                          <a:cxnLst/>
                          <a:rect l="l" t="t" r="r" b="b"/>
                          <a:pathLst>
                            <a:path w="0" h="88900">
                              <a:moveTo>
                                <a:pt x="0" y="0"/>
                              </a:moveTo>
                              <a:lnTo>
                                <a:pt x="0" y="88391"/>
                              </a:lnTo>
                            </a:path>
                          </a:pathLst>
                        </a:custGeom>
                        <a:ln w="9144">
                          <a:solidFill>
                            <a:srgbClr val="46AAC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5192960" from="298.679993pt,-96.951874pt" to="298.679993pt,-89.991874pt" stroked="true" strokeweight=".72pt" strokecolor="#46aac5">
                <v:stroke dashstyle="solid"/>
                <w10:wrap type="none"/>
              </v:line>
            </w:pict>
          </mc:Fallback>
        </mc:AlternateContent>
      </w:r>
      <w:r>
        <w:rPr/>
        <mc:AlternateContent>
          <mc:Choice Requires="wps">
            <w:drawing>
              <wp:anchor distT="0" distB="0" distL="0" distR="0" allowOverlap="1" layoutInCell="1" locked="0" behindDoc="1" simplePos="0" relativeHeight="478124032">
                <wp:simplePos x="0" y="0"/>
                <wp:positionH relativeFrom="page">
                  <wp:posOffset>3976115</wp:posOffset>
                </wp:positionH>
                <wp:positionV relativeFrom="paragraph">
                  <wp:posOffset>-1430932</wp:posOffset>
                </wp:positionV>
                <wp:extent cx="1270" cy="88900"/>
                <wp:effectExtent l="0" t="0" r="0" b="0"/>
                <wp:wrapNone/>
                <wp:docPr id="589" name="Graphic 589"/>
                <wp:cNvGraphicFramePr>
                  <a:graphicFrameLocks/>
                </wp:cNvGraphicFramePr>
                <a:graphic>
                  <a:graphicData uri="http://schemas.microsoft.com/office/word/2010/wordprocessingShape">
                    <wps:wsp>
                      <wps:cNvPr id="589" name="Graphic 589"/>
                      <wps:cNvSpPr/>
                      <wps:spPr>
                        <a:xfrm>
                          <a:off x="0" y="0"/>
                          <a:ext cx="1270" cy="88900"/>
                        </a:xfrm>
                        <a:custGeom>
                          <a:avLst/>
                          <a:gdLst/>
                          <a:ahLst/>
                          <a:cxnLst/>
                          <a:rect l="l" t="t" r="r" b="b"/>
                          <a:pathLst>
                            <a:path w="0" h="88900">
                              <a:moveTo>
                                <a:pt x="0" y="0"/>
                              </a:moveTo>
                              <a:lnTo>
                                <a:pt x="0" y="88392"/>
                              </a:lnTo>
                            </a:path>
                          </a:pathLst>
                        </a:custGeom>
                        <a:ln w="9144">
                          <a:solidFill>
                            <a:srgbClr val="46AAC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5192448" from="313.079987pt,-112.671875pt" to="313.079987pt,-105.711875pt" stroked="true" strokeweight=".72pt" strokecolor="#46aac5">
                <v:stroke dashstyle="solid"/>
                <w10:wrap type="none"/>
              </v:line>
            </w:pict>
          </mc:Fallback>
        </mc:AlternateContent>
      </w:r>
      <w:r>
        <w:rPr/>
        <mc:AlternateContent>
          <mc:Choice Requires="wps">
            <w:drawing>
              <wp:anchor distT="0" distB="0" distL="0" distR="0" allowOverlap="1" layoutInCell="1" locked="0" behindDoc="1" simplePos="0" relativeHeight="478124544">
                <wp:simplePos x="0" y="0"/>
                <wp:positionH relativeFrom="page">
                  <wp:posOffset>4157471</wp:posOffset>
                </wp:positionH>
                <wp:positionV relativeFrom="paragraph">
                  <wp:posOffset>-1548280</wp:posOffset>
                </wp:positionV>
                <wp:extent cx="1270" cy="88900"/>
                <wp:effectExtent l="0" t="0" r="0" b="0"/>
                <wp:wrapNone/>
                <wp:docPr id="590" name="Graphic 590"/>
                <wp:cNvGraphicFramePr>
                  <a:graphicFrameLocks/>
                </wp:cNvGraphicFramePr>
                <a:graphic>
                  <a:graphicData uri="http://schemas.microsoft.com/office/word/2010/wordprocessingShape">
                    <wps:wsp>
                      <wps:cNvPr id="590" name="Graphic 590"/>
                      <wps:cNvSpPr/>
                      <wps:spPr>
                        <a:xfrm>
                          <a:off x="0" y="0"/>
                          <a:ext cx="1270" cy="88900"/>
                        </a:xfrm>
                        <a:custGeom>
                          <a:avLst/>
                          <a:gdLst/>
                          <a:ahLst/>
                          <a:cxnLst/>
                          <a:rect l="l" t="t" r="r" b="b"/>
                          <a:pathLst>
                            <a:path w="0" h="88900">
                              <a:moveTo>
                                <a:pt x="0" y="0"/>
                              </a:moveTo>
                              <a:lnTo>
                                <a:pt x="0" y="88391"/>
                              </a:lnTo>
                            </a:path>
                          </a:pathLst>
                        </a:custGeom>
                        <a:ln w="9144">
                          <a:solidFill>
                            <a:srgbClr val="46AAC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5191936" from="327.359985pt,-121.911873pt" to="327.359985pt,-114.951873pt" stroked="true" strokeweight=".72pt" strokecolor="#46aac5">
                <v:stroke dashstyle="solid"/>
                <w10:wrap type="none"/>
              </v:line>
            </w:pict>
          </mc:Fallback>
        </mc:AlternateContent>
      </w:r>
      <w:r>
        <w:rPr/>
        <mc:AlternateContent>
          <mc:Choice Requires="wps">
            <w:drawing>
              <wp:anchor distT="0" distB="0" distL="0" distR="0" allowOverlap="1" layoutInCell="1" locked="0" behindDoc="1" simplePos="0" relativeHeight="478125056">
                <wp:simplePos x="0" y="0"/>
                <wp:positionH relativeFrom="page">
                  <wp:posOffset>4340352</wp:posOffset>
                </wp:positionH>
                <wp:positionV relativeFrom="paragraph">
                  <wp:posOffset>-1531516</wp:posOffset>
                </wp:positionV>
                <wp:extent cx="1270" cy="88900"/>
                <wp:effectExtent l="0" t="0" r="0" b="0"/>
                <wp:wrapNone/>
                <wp:docPr id="591" name="Graphic 591"/>
                <wp:cNvGraphicFramePr>
                  <a:graphicFrameLocks/>
                </wp:cNvGraphicFramePr>
                <a:graphic>
                  <a:graphicData uri="http://schemas.microsoft.com/office/word/2010/wordprocessingShape">
                    <wps:wsp>
                      <wps:cNvPr id="591" name="Graphic 591"/>
                      <wps:cNvSpPr/>
                      <wps:spPr>
                        <a:xfrm>
                          <a:off x="0" y="0"/>
                          <a:ext cx="1270" cy="88900"/>
                        </a:xfrm>
                        <a:custGeom>
                          <a:avLst/>
                          <a:gdLst/>
                          <a:ahLst/>
                          <a:cxnLst/>
                          <a:rect l="l" t="t" r="r" b="b"/>
                          <a:pathLst>
                            <a:path w="0" h="88900">
                              <a:moveTo>
                                <a:pt x="0" y="0"/>
                              </a:moveTo>
                              <a:lnTo>
                                <a:pt x="0" y="88391"/>
                              </a:lnTo>
                            </a:path>
                          </a:pathLst>
                        </a:custGeom>
                        <a:ln w="9144">
                          <a:solidFill>
                            <a:srgbClr val="46AAC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5191424" from="341.76001pt,-120.591873pt" to="341.76001pt,-113.631873pt" stroked="true" strokeweight=".72pt" strokecolor="#46aac5">
                <v:stroke dashstyle="solid"/>
                <w10:wrap type="none"/>
              </v:line>
            </w:pict>
          </mc:Fallback>
        </mc:AlternateContent>
      </w:r>
      <w:r>
        <w:rPr/>
        <mc:AlternateContent>
          <mc:Choice Requires="wps">
            <w:drawing>
              <wp:anchor distT="0" distB="0" distL="0" distR="0" allowOverlap="1" layoutInCell="1" locked="0" behindDoc="1" simplePos="0" relativeHeight="478125568">
                <wp:simplePos x="0" y="0"/>
                <wp:positionH relativeFrom="page">
                  <wp:posOffset>4523232</wp:posOffset>
                </wp:positionH>
                <wp:positionV relativeFrom="paragraph">
                  <wp:posOffset>-1427884</wp:posOffset>
                </wp:positionV>
                <wp:extent cx="1270" cy="88900"/>
                <wp:effectExtent l="0" t="0" r="0" b="0"/>
                <wp:wrapNone/>
                <wp:docPr id="592" name="Graphic 592"/>
                <wp:cNvGraphicFramePr>
                  <a:graphicFrameLocks/>
                </wp:cNvGraphicFramePr>
                <a:graphic>
                  <a:graphicData uri="http://schemas.microsoft.com/office/word/2010/wordprocessingShape">
                    <wps:wsp>
                      <wps:cNvPr id="592" name="Graphic 592"/>
                      <wps:cNvSpPr/>
                      <wps:spPr>
                        <a:xfrm>
                          <a:off x="0" y="0"/>
                          <a:ext cx="1270" cy="88900"/>
                        </a:xfrm>
                        <a:custGeom>
                          <a:avLst/>
                          <a:gdLst/>
                          <a:ahLst/>
                          <a:cxnLst/>
                          <a:rect l="l" t="t" r="r" b="b"/>
                          <a:pathLst>
                            <a:path w="0" h="88900">
                              <a:moveTo>
                                <a:pt x="0" y="0"/>
                              </a:moveTo>
                              <a:lnTo>
                                <a:pt x="0" y="88392"/>
                              </a:lnTo>
                            </a:path>
                          </a:pathLst>
                        </a:custGeom>
                        <a:ln w="9144">
                          <a:solidFill>
                            <a:srgbClr val="46AAC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5190912" from="356.160004pt,-112.431877pt" to="356.160004pt,-105.471877pt" stroked="true" strokeweight=".72pt" strokecolor="#46aac5">
                <v:stroke dashstyle="solid"/>
                <w10:wrap type="none"/>
              </v:line>
            </w:pict>
          </mc:Fallback>
        </mc:AlternateContent>
      </w:r>
      <w:r>
        <w:rPr/>
        <mc:AlternateContent>
          <mc:Choice Requires="wps">
            <w:drawing>
              <wp:anchor distT="0" distB="0" distL="0" distR="0" allowOverlap="1" layoutInCell="1" locked="0" behindDoc="1" simplePos="0" relativeHeight="478126080">
                <wp:simplePos x="0" y="0"/>
                <wp:positionH relativeFrom="page">
                  <wp:posOffset>5070347</wp:posOffset>
                </wp:positionH>
                <wp:positionV relativeFrom="paragraph">
                  <wp:posOffset>-1548280</wp:posOffset>
                </wp:positionV>
                <wp:extent cx="1270" cy="90170"/>
                <wp:effectExtent l="0" t="0" r="0" b="0"/>
                <wp:wrapNone/>
                <wp:docPr id="593" name="Graphic 593"/>
                <wp:cNvGraphicFramePr>
                  <a:graphicFrameLocks/>
                </wp:cNvGraphicFramePr>
                <a:graphic>
                  <a:graphicData uri="http://schemas.microsoft.com/office/word/2010/wordprocessingShape">
                    <wps:wsp>
                      <wps:cNvPr id="593" name="Graphic 593"/>
                      <wps:cNvSpPr/>
                      <wps:spPr>
                        <a:xfrm>
                          <a:off x="0" y="0"/>
                          <a:ext cx="1270" cy="90170"/>
                        </a:xfrm>
                        <a:custGeom>
                          <a:avLst/>
                          <a:gdLst/>
                          <a:ahLst/>
                          <a:cxnLst/>
                          <a:rect l="l" t="t" r="r" b="b"/>
                          <a:pathLst>
                            <a:path w="0" h="90170">
                              <a:moveTo>
                                <a:pt x="0" y="0"/>
                              </a:moveTo>
                              <a:lnTo>
                                <a:pt x="0" y="89915"/>
                              </a:lnTo>
                            </a:path>
                          </a:pathLst>
                        </a:custGeom>
                        <a:ln w="9144">
                          <a:solidFill>
                            <a:srgbClr val="46AAC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5190400" from="399.23999pt,-121.911873pt" to="399.23999pt,-114.831873pt" stroked="true" strokeweight=".72pt" strokecolor="#46aac5">
                <v:stroke dashstyle="solid"/>
                <w10:wrap type="none"/>
              </v:line>
            </w:pict>
          </mc:Fallback>
        </mc:AlternateContent>
      </w:r>
      <w:r>
        <w:rPr/>
        <mc:AlternateContent>
          <mc:Choice Requires="wps">
            <w:drawing>
              <wp:anchor distT="0" distB="0" distL="0" distR="0" allowOverlap="1" layoutInCell="1" locked="0" behindDoc="0" simplePos="0" relativeHeight="15764992">
                <wp:simplePos x="0" y="0"/>
                <wp:positionH relativeFrom="page">
                  <wp:posOffset>2451480</wp:posOffset>
                </wp:positionH>
                <wp:positionV relativeFrom="paragraph">
                  <wp:posOffset>-829206</wp:posOffset>
                </wp:positionV>
                <wp:extent cx="3253104" cy="281940"/>
                <wp:effectExtent l="0" t="0" r="0" b="0"/>
                <wp:wrapNone/>
                <wp:docPr id="594" name="Textbox 594"/>
                <wp:cNvGraphicFramePr>
                  <a:graphicFrameLocks/>
                </wp:cNvGraphicFramePr>
                <a:graphic>
                  <a:graphicData uri="http://schemas.microsoft.com/office/word/2010/wordprocessingShape">
                    <wps:wsp>
                      <wps:cNvPr id="594" name="Textbox 594"/>
                      <wps:cNvSpPr txBox="1"/>
                      <wps:spPr>
                        <a:xfrm>
                          <a:off x="0" y="0"/>
                          <a:ext cx="3253104" cy="281940"/>
                        </a:xfrm>
                        <a:prstGeom prst="rect">
                          <a:avLst/>
                        </a:prstGeom>
                      </wps:spPr>
                      <wps:txbx>
                        <w:txbxContent>
                          <w:p>
                            <w:pPr>
                              <w:spacing w:line="223" w:lineRule="exact" w:before="0"/>
                              <w:ind w:left="20" w:right="0" w:firstLine="0"/>
                              <w:jc w:val="left"/>
                              <w:rPr>
                                <w:rFonts w:ascii="Calibri"/>
                                <w:sz w:val="20"/>
                              </w:rPr>
                            </w:pPr>
                            <w:r>
                              <w:rPr>
                                <w:rFonts w:ascii="Calibri"/>
                                <w:spacing w:val="-4"/>
                                <w:sz w:val="20"/>
                              </w:rPr>
                              <w:t>1999</w:t>
                            </w:r>
                          </w:p>
                          <w:p>
                            <w:pPr>
                              <w:spacing w:before="43"/>
                              <w:ind w:left="20" w:right="0" w:firstLine="0"/>
                              <w:jc w:val="left"/>
                              <w:rPr>
                                <w:rFonts w:ascii="Calibri"/>
                                <w:sz w:val="20"/>
                              </w:rPr>
                            </w:pPr>
                            <w:r>
                              <w:rPr>
                                <w:rFonts w:ascii="Calibri"/>
                                <w:spacing w:val="-4"/>
                                <w:sz w:val="20"/>
                              </w:rPr>
                              <w:t>2000</w:t>
                            </w:r>
                          </w:p>
                          <w:p>
                            <w:pPr>
                              <w:spacing w:before="43"/>
                              <w:ind w:left="20" w:right="0" w:firstLine="0"/>
                              <w:jc w:val="left"/>
                              <w:rPr>
                                <w:rFonts w:ascii="Calibri"/>
                                <w:sz w:val="20"/>
                              </w:rPr>
                            </w:pPr>
                            <w:r>
                              <w:rPr>
                                <w:rFonts w:ascii="Calibri"/>
                                <w:spacing w:val="-4"/>
                                <w:sz w:val="20"/>
                              </w:rPr>
                              <w:t>2001</w:t>
                            </w:r>
                          </w:p>
                          <w:p>
                            <w:pPr>
                              <w:spacing w:before="43"/>
                              <w:ind w:left="20" w:right="0" w:firstLine="0"/>
                              <w:jc w:val="left"/>
                              <w:rPr>
                                <w:rFonts w:ascii="Calibri"/>
                                <w:sz w:val="20"/>
                              </w:rPr>
                            </w:pPr>
                            <w:r>
                              <w:rPr>
                                <w:rFonts w:ascii="Calibri"/>
                                <w:spacing w:val="-4"/>
                                <w:sz w:val="20"/>
                              </w:rPr>
                              <w:t>2002</w:t>
                            </w:r>
                          </w:p>
                          <w:p>
                            <w:pPr>
                              <w:spacing w:before="43"/>
                              <w:ind w:left="20" w:right="0" w:firstLine="0"/>
                              <w:jc w:val="left"/>
                              <w:rPr>
                                <w:rFonts w:ascii="Calibri"/>
                                <w:sz w:val="20"/>
                              </w:rPr>
                            </w:pPr>
                            <w:r>
                              <w:rPr>
                                <w:rFonts w:ascii="Calibri"/>
                                <w:spacing w:val="-4"/>
                                <w:sz w:val="20"/>
                              </w:rPr>
                              <w:t>2003</w:t>
                            </w:r>
                          </w:p>
                          <w:p>
                            <w:pPr>
                              <w:spacing w:before="43"/>
                              <w:ind w:left="20" w:right="0" w:firstLine="0"/>
                              <w:jc w:val="left"/>
                              <w:rPr>
                                <w:rFonts w:ascii="Calibri"/>
                                <w:sz w:val="20"/>
                              </w:rPr>
                            </w:pPr>
                            <w:r>
                              <w:rPr>
                                <w:rFonts w:ascii="Calibri"/>
                                <w:spacing w:val="-4"/>
                                <w:sz w:val="20"/>
                              </w:rPr>
                              <w:t>2004</w:t>
                            </w:r>
                          </w:p>
                          <w:p>
                            <w:pPr>
                              <w:spacing w:before="43"/>
                              <w:ind w:left="20" w:right="0" w:firstLine="0"/>
                              <w:jc w:val="left"/>
                              <w:rPr>
                                <w:rFonts w:ascii="Calibri"/>
                                <w:sz w:val="20"/>
                              </w:rPr>
                            </w:pPr>
                            <w:r>
                              <w:rPr>
                                <w:rFonts w:ascii="Calibri"/>
                                <w:spacing w:val="-4"/>
                                <w:sz w:val="20"/>
                              </w:rPr>
                              <w:t>2005</w:t>
                            </w:r>
                          </w:p>
                          <w:p>
                            <w:pPr>
                              <w:spacing w:before="44"/>
                              <w:ind w:left="20" w:right="0" w:firstLine="0"/>
                              <w:jc w:val="left"/>
                              <w:rPr>
                                <w:rFonts w:ascii="Calibri"/>
                                <w:sz w:val="20"/>
                              </w:rPr>
                            </w:pPr>
                            <w:r>
                              <w:rPr>
                                <w:rFonts w:ascii="Calibri"/>
                                <w:spacing w:val="-4"/>
                                <w:sz w:val="20"/>
                              </w:rPr>
                              <w:t>2006</w:t>
                            </w:r>
                          </w:p>
                          <w:p>
                            <w:pPr>
                              <w:spacing w:before="42"/>
                              <w:ind w:left="20" w:right="0" w:firstLine="0"/>
                              <w:jc w:val="left"/>
                              <w:rPr>
                                <w:rFonts w:ascii="Calibri"/>
                                <w:sz w:val="20"/>
                              </w:rPr>
                            </w:pPr>
                            <w:r>
                              <w:rPr>
                                <w:rFonts w:ascii="Calibri"/>
                                <w:spacing w:val="-4"/>
                                <w:sz w:val="20"/>
                              </w:rPr>
                              <w:t>2007</w:t>
                            </w:r>
                          </w:p>
                          <w:p>
                            <w:pPr>
                              <w:spacing w:before="44"/>
                              <w:ind w:left="20" w:right="0" w:firstLine="0"/>
                              <w:jc w:val="left"/>
                              <w:rPr>
                                <w:rFonts w:ascii="Calibri"/>
                                <w:sz w:val="20"/>
                              </w:rPr>
                            </w:pPr>
                            <w:r>
                              <w:rPr>
                                <w:rFonts w:ascii="Calibri"/>
                                <w:spacing w:val="-4"/>
                                <w:sz w:val="20"/>
                              </w:rPr>
                              <w:t>2008</w:t>
                            </w:r>
                          </w:p>
                          <w:p>
                            <w:pPr>
                              <w:spacing w:before="43"/>
                              <w:ind w:left="20" w:right="0" w:firstLine="0"/>
                              <w:jc w:val="left"/>
                              <w:rPr>
                                <w:rFonts w:ascii="Calibri"/>
                                <w:sz w:val="20"/>
                              </w:rPr>
                            </w:pPr>
                            <w:r>
                              <w:rPr>
                                <w:rFonts w:ascii="Calibri"/>
                                <w:spacing w:val="-4"/>
                                <w:sz w:val="20"/>
                              </w:rPr>
                              <w:t>2009</w:t>
                            </w:r>
                          </w:p>
                          <w:p>
                            <w:pPr>
                              <w:spacing w:before="43"/>
                              <w:ind w:left="20" w:right="0" w:firstLine="0"/>
                              <w:jc w:val="left"/>
                              <w:rPr>
                                <w:rFonts w:ascii="Calibri"/>
                                <w:sz w:val="20"/>
                              </w:rPr>
                            </w:pPr>
                            <w:r>
                              <w:rPr>
                                <w:rFonts w:ascii="Calibri"/>
                                <w:spacing w:val="-4"/>
                                <w:sz w:val="20"/>
                              </w:rPr>
                              <w:t>2010</w:t>
                            </w:r>
                          </w:p>
                          <w:p>
                            <w:pPr>
                              <w:spacing w:before="43"/>
                              <w:ind w:left="20" w:right="0" w:firstLine="0"/>
                              <w:jc w:val="left"/>
                              <w:rPr>
                                <w:rFonts w:ascii="Calibri"/>
                                <w:sz w:val="20"/>
                              </w:rPr>
                            </w:pPr>
                            <w:r>
                              <w:rPr>
                                <w:rFonts w:ascii="Calibri"/>
                                <w:spacing w:val="-4"/>
                                <w:sz w:val="20"/>
                              </w:rPr>
                              <w:t>2011</w:t>
                            </w:r>
                          </w:p>
                          <w:p>
                            <w:pPr>
                              <w:spacing w:before="43"/>
                              <w:ind w:left="20" w:right="0" w:firstLine="0"/>
                              <w:jc w:val="left"/>
                              <w:rPr>
                                <w:rFonts w:ascii="Calibri"/>
                                <w:sz w:val="20"/>
                              </w:rPr>
                            </w:pPr>
                            <w:r>
                              <w:rPr>
                                <w:rFonts w:ascii="Calibri"/>
                                <w:spacing w:val="-4"/>
                                <w:sz w:val="20"/>
                              </w:rPr>
                              <w:t>2012</w:t>
                            </w:r>
                          </w:p>
                          <w:p>
                            <w:pPr>
                              <w:spacing w:before="43"/>
                              <w:ind w:left="20" w:right="0" w:firstLine="0"/>
                              <w:jc w:val="left"/>
                              <w:rPr>
                                <w:rFonts w:ascii="Calibri"/>
                                <w:sz w:val="20"/>
                              </w:rPr>
                            </w:pPr>
                            <w:r>
                              <w:rPr>
                                <w:rFonts w:ascii="Calibri"/>
                                <w:spacing w:val="-4"/>
                                <w:sz w:val="20"/>
                              </w:rPr>
                              <w:t>2013</w:t>
                            </w:r>
                          </w:p>
                          <w:p>
                            <w:pPr>
                              <w:spacing w:before="43"/>
                              <w:ind w:left="20" w:right="0" w:firstLine="0"/>
                              <w:jc w:val="left"/>
                              <w:rPr>
                                <w:rFonts w:ascii="Calibri"/>
                                <w:sz w:val="20"/>
                              </w:rPr>
                            </w:pPr>
                            <w:r>
                              <w:rPr>
                                <w:rFonts w:ascii="Calibri"/>
                                <w:spacing w:val="-4"/>
                                <w:sz w:val="20"/>
                              </w:rPr>
                              <w:t>2014</w:t>
                            </w:r>
                          </w:p>
                          <w:p>
                            <w:pPr>
                              <w:spacing w:before="43"/>
                              <w:ind w:left="20" w:right="0" w:firstLine="0"/>
                              <w:jc w:val="left"/>
                              <w:rPr>
                                <w:rFonts w:ascii="Calibri"/>
                                <w:sz w:val="20"/>
                              </w:rPr>
                            </w:pPr>
                            <w:r>
                              <w:rPr>
                                <w:rFonts w:ascii="Calibri"/>
                                <w:spacing w:val="-4"/>
                                <w:sz w:val="20"/>
                              </w:rPr>
                              <w:t>2015</w:t>
                            </w:r>
                          </w:p>
                          <w:p>
                            <w:pPr>
                              <w:spacing w:before="44"/>
                              <w:ind w:left="20" w:right="0" w:firstLine="0"/>
                              <w:jc w:val="left"/>
                              <w:rPr>
                                <w:rFonts w:ascii="Calibri"/>
                                <w:sz w:val="20"/>
                              </w:rPr>
                            </w:pPr>
                            <w:r>
                              <w:rPr>
                                <w:rFonts w:ascii="Calibri"/>
                                <w:spacing w:val="-4"/>
                                <w:sz w:val="20"/>
                              </w:rPr>
                              <w:t>2016</w:t>
                            </w:r>
                          </w:p>
                        </w:txbxContent>
                      </wps:txbx>
                      <wps:bodyPr wrap="square" lIns="0" tIns="0" rIns="0" bIns="0" rtlCol="0" vert="vert270">
                        <a:noAutofit/>
                      </wps:bodyPr>
                    </wps:wsp>
                  </a:graphicData>
                </a:graphic>
              </wp:anchor>
            </w:drawing>
          </mc:Choice>
          <mc:Fallback>
            <w:pict>
              <v:shape style="position:absolute;margin-left:193.029999pt;margin-top:-65.291878pt;width:256.1500pt;height:22.2pt;mso-position-horizontal-relative:page;mso-position-vertical-relative:paragraph;z-index:15764992" type="#_x0000_t202" id="docshape548"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spacing w:val="-4"/>
                          <w:sz w:val="20"/>
                        </w:rPr>
                        <w:t>1999</w:t>
                      </w:r>
                    </w:p>
                    <w:p>
                      <w:pPr>
                        <w:spacing w:before="43"/>
                        <w:ind w:left="20" w:right="0" w:firstLine="0"/>
                        <w:jc w:val="left"/>
                        <w:rPr>
                          <w:rFonts w:ascii="Calibri"/>
                          <w:sz w:val="20"/>
                        </w:rPr>
                      </w:pPr>
                      <w:r>
                        <w:rPr>
                          <w:rFonts w:ascii="Calibri"/>
                          <w:spacing w:val="-4"/>
                          <w:sz w:val="20"/>
                        </w:rPr>
                        <w:t>2000</w:t>
                      </w:r>
                    </w:p>
                    <w:p>
                      <w:pPr>
                        <w:spacing w:before="43"/>
                        <w:ind w:left="20" w:right="0" w:firstLine="0"/>
                        <w:jc w:val="left"/>
                        <w:rPr>
                          <w:rFonts w:ascii="Calibri"/>
                          <w:sz w:val="20"/>
                        </w:rPr>
                      </w:pPr>
                      <w:r>
                        <w:rPr>
                          <w:rFonts w:ascii="Calibri"/>
                          <w:spacing w:val="-4"/>
                          <w:sz w:val="20"/>
                        </w:rPr>
                        <w:t>2001</w:t>
                      </w:r>
                    </w:p>
                    <w:p>
                      <w:pPr>
                        <w:spacing w:before="43"/>
                        <w:ind w:left="20" w:right="0" w:firstLine="0"/>
                        <w:jc w:val="left"/>
                        <w:rPr>
                          <w:rFonts w:ascii="Calibri"/>
                          <w:sz w:val="20"/>
                        </w:rPr>
                      </w:pPr>
                      <w:r>
                        <w:rPr>
                          <w:rFonts w:ascii="Calibri"/>
                          <w:spacing w:val="-4"/>
                          <w:sz w:val="20"/>
                        </w:rPr>
                        <w:t>2002</w:t>
                      </w:r>
                    </w:p>
                    <w:p>
                      <w:pPr>
                        <w:spacing w:before="43"/>
                        <w:ind w:left="20" w:right="0" w:firstLine="0"/>
                        <w:jc w:val="left"/>
                        <w:rPr>
                          <w:rFonts w:ascii="Calibri"/>
                          <w:sz w:val="20"/>
                        </w:rPr>
                      </w:pPr>
                      <w:r>
                        <w:rPr>
                          <w:rFonts w:ascii="Calibri"/>
                          <w:spacing w:val="-4"/>
                          <w:sz w:val="20"/>
                        </w:rPr>
                        <w:t>2003</w:t>
                      </w:r>
                    </w:p>
                    <w:p>
                      <w:pPr>
                        <w:spacing w:before="43"/>
                        <w:ind w:left="20" w:right="0" w:firstLine="0"/>
                        <w:jc w:val="left"/>
                        <w:rPr>
                          <w:rFonts w:ascii="Calibri"/>
                          <w:sz w:val="20"/>
                        </w:rPr>
                      </w:pPr>
                      <w:r>
                        <w:rPr>
                          <w:rFonts w:ascii="Calibri"/>
                          <w:spacing w:val="-4"/>
                          <w:sz w:val="20"/>
                        </w:rPr>
                        <w:t>2004</w:t>
                      </w:r>
                    </w:p>
                    <w:p>
                      <w:pPr>
                        <w:spacing w:before="43"/>
                        <w:ind w:left="20" w:right="0" w:firstLine="0"/>
                        <w:jc w:val="left"/>
                        <w:rPr>
                          <w:rFonts w:ascii="Calibri"/>
                          <w:sz w:val="20"/>
                        </w:rPr>
                      </w:pPr>
                      <w:r>
                        <w:rPr>
                          <w:rFonts w:ascii="Calibri"/>
                          <w:spacing w:val="-4"/>
                          <w:sz w:val="20"/>
                        </w:rPr>
                        <w:t>2005</w:t>
                      </w:r>
                    </w:p>
                    <w:p>
                      <w:pPr>
                        <w:spacing w:before="44"/>
                        <w:ind w:left="20" w:right="0" w:firstLine="0"/>
                        <w:jc w:val="left"/>
                        <w:rPr>
                          <w:rFonts w:ascii="Calibri"/>
                          <w:sz w:val="20"/>
                        </w:rPr>
                      </w:pPr>
                      <w:r>
                        <w:rPr>
                          <w:rFonts w:ascii="Calibri"/>
                          <w:spacing w:val="-4"/>
                          <w:sz w:val="20"/>
                        </w:rPr>
                        <w:t>2006</w:t>
                      </w:r>
                    </w:p>
                    <w:p>
                      <w:pPr>
                        <w:spacing w:before="42"/>
                        <w:ind w:left="20" w:right="0" w:firstLine="0"/>
                        <w:jc w:val="left"/>
                        <w:rPr>
                          <w:rFonts w:ascii="Calibri"/>
                          <w:sz w:val="20"/>
                        </w:rPr>
                      </w:pPr>
                      <w:r>
                        <w:rPr>
                          <w:rFonts w:ascii="Calibri"/>
                          <w:spacing w:val="-4"/>
                          <w:sz w:val="20"/>
                        </w:rPr>
                        <w:t>2007</w:t>
                      </w:r>
                    </w:p>
                    <w:p>
                      <w:pPr>
                        <w:spacing w:before="44"/>
                        <w:ind w:left="20" w:right="0" w:firstLine="0"/>
                        <w:jc w:val="left"/>
                        <w:rPr>
                          <w:rFonts w:ascii="Calibri"/>
                          <w:sz w:val="20"/>
                        </w:rPr>
                      </w:pPr>
                      <w:r>
                        <w:rPr>
                          <w:rFonts w:ascii="Calibri"/>
                          <w:spacing w:val="-4"/>
                          <w:sz w:val="20"/>
                        </w:rPr>
                        <w:t>2008</w:t>
                      </w:r>
                    </w:p>
                    <w:p>
                      <w:pPr>
                        <w:spacing w:before="43"/>
                        <w:ind w:left="20" w:right="0" w:firstLine="0"/>
                        <w:jc w:val="left"/>
                        <w:rPr>
                          <w:rFonts w:ascii="Calibri"/>
                          <w:sz w:val="20"/>
                        </w:rPr>
                      </w:pPr>
                      <w:r>
                        <w:rPr>
                          <w:rFonts w:ascii="Calibri"/>
                          <w:spacing w:val="-4"/>
                          <w:sz w:val="20"/>
                        </w:rPr>
                        <w:t>2009</w:t>
                      </w:r>
                    </w:p>
                    <w:p>
                      <w:pPr>
                        <w:spacing w:before="43"/>
                        <w:ind w:left="20" w:right="0" w:firstLine="0"/>
                        <w:jc w:val="left"/>
                        <w:rPr>
                          <w:rFonts w:ascii="Calibri"/>
                          <w:sz w:val="20"/>
                        </w:rPr>
                      </w:pPr>
                      <w:r>
                        <w:rPr>
                          <w:rFonts w:ascii="Calibri"/>
                          <w:spacing w:val="-4"/>
                          <w:sz w:val="20"/>
                        </w:rPr>
                        <w:t>2010</w:t>
                      </w:r>
                    </w:p>
                    <w:p>
                      <w:pPr>
                        <w:spacing w:before="43"/>
                        <w:ind w:left="20" w:right="0" w:firstLine="0"/>
                        <w:jc w:val="left"/>
                        <w:rPr>
                          <w:rFonts w:ascii="Calibri"/>
                          <w:sz w:val="20"/>
                        </w:rPr>
                      </w:pPr>
                      <w:r>
                        <w:rPr>
                          <w:rFonts w:ascii="Calibri"/>
                          <w:spacing w:val="-4"/>
                          <w:sz w:val="20"/>
                        </w:rPr>
                        <w:t>2011</w:t>
                      </w:r>
                    </w:p>
                    <w:p>
                      <w:pPr>
                        <w:spacing w:before="43"/>
                        <w:ind w:left="20" w:right="0" w:firstLine="0"/>
                        <w:jc w:val="left"/>
                        <w:rPr>
                          <w:rFonts w:ascii="Calibri"/>
                          <w:sz w:val="20"/>
                        </w:rPr>
                      </w:pPr>
                      <w:r>
                        <w:rPr>
                          <w:rFonts w:ascii="Calibri"/>
                          <w:spacing w:val="-4"/>
                          <w:sz w:val="20"/>
                        </w:rPr>
                        <w:t>2012</w:t>
                      </w:r>
                    </w:p>
                    <w:p>
                      <w:pPr>
                        <w:spacing w:before="43"/>
                        <w:ind w:left="20" w:right="0" w:firstLine="0"/>
                        <w:jc w:val="left"/>
                        <w:rPr>
                          <w:rFonts w:ascii="Calibri"/>
                          <w:sz w:val="20"/>
                        </w:rPr>
                      </w:pPr>
                      <w:r>
                        <w:rPr>
                          <w:rFonts w:ascii="Calibri"/>
                          <w:spacing w:val="-4"/>
                          <w:sz w:val="20"/>
                        </w:rPr>
                        <w:t>2013</w:t>
                      </w:r>
                    </w:p>
                    <w:p>
                      <w:pPr>
                        <w:spacing w:before="43"/>
                        <w:ind w:left="20" w:right="0" w:firstLine="0"/>
                        <w:jc w:val="left"/>
                        <w:rPr>
                          <w:rFonts w:ascii="Calibri"/>
                          <w:sz w:val="20"/>
                        </w:rPr>
                      </w:pPr>
                      <w:r>
                        <w:rPr>
                          <w:rFonts w:ascii="Calibri"/>
                          <w:spacing w:val="-4"/>
                          <w:sz w:val="20"/>
                        </w:rPr>
                        <w:t>2014</w:t>
                      </w:r>
                    </w:p>
                    <w:p>
                      <w:pPr>
                        <w:spacing w:before="43"/>
                        <w:ind w:left="20" w:right="0" w:firstLine="0"/>
                        <w:jc w:val="left"/>
                        <w:rPr>
                          <w:rFonts w:ascii="Calibri"/>
                          <w:sz w:val="20"/>
                        </w:rPr>
                      </w:pPr>
                      <w:r>
                        <w:rPr>
                          <w:rFonts w:ascii="Calibri"/>
                          <w:spacing w:val="-4"/>
                          <w:sz w:val="20"/>
                        </w:rPr>
                        <w:t>2015</w:t>
                      </w:r>
                    </w:p>
                    <w:p>
                      <w:pPr>
                        <w:spacing w:before="44"/>
                        <w:ind w:left="20" w:right="0" w:firstLine="0"/>
                        <w:jc w:val="left"/>
                        <w:rPr>
                          <w:rFonts w:ascii="Calibri"/>
                          <w:sz w:val="20"/>
                        </w:rPr>
                      </w:pPr>
                      <w:r>
                        <w:rPr>
                          <w:rFonts w:ascii="Calibri"/>
                          <w:spacing w:val="-4"/>
                          <w:sz w:val="20"/>
                        </w:rPr>
                        <w:t>2016</w:t>
                      </w:r>
                    </w:p>
                  </w:txbxContent>
                </v:textbox>
                <w10:wrap type="none"/>
              </v:shape>
            </w:pict>
          </mc:Fallback>
        </mc:AlternateContent>
      </w:r>
      <w:r>
        <w:rPr>
          <w:b/>
        </w:rPr>
        <w:t>Figure</w:t>
      </w:r>
      <w:r>
        <w:rPr>
          <w:b/>
          <w:spacing w:val="-5"/>
        </w:rPr>
        <w:t> </w:t>
      </w:r>
      <w:r>
        <w:rPr>
          <w:b/>
        </w:rPr>
        <w:t>5.4:</w:t>
      </w:r>
      <w:r>
        <w:rPr>
          <w:b/>
          <w:spacing w:val="-5"/>
        </w:rPr>
        <w:t> </w:t>
      </w:r>
      <w:r>
        <w:rPr/>
        <w:t>Trend</w:t>
      </w:r>
      <w:r>
        <w:rPr>
          <w:spacing w:val="-4"/>
        </w:rPr>
        <w:t> </w:t>
      </w:r>
      <w:r>
        <w:rPr/>
        <w:t>of</w:t>
      </w:r>
      <w:r>
        <w:rPr>
          <w:spacing w:val="-4"/>
        </w:rPr>
        <w:t> </w:t>
      </w:r>
      <w:r>
        <w:rPr/>
        <w:t>Anambra</w:t>
      </w:r>
      <w:r>
        <w:rPr>
          <w:spacing w:val="-5"/>
        </w:rPr>
        <w:t> </w:t>
      </w:r>
      <w:r>
        <w:rPr/>
        <w:t>State</w:t>
      </w:r>
      <w:r>
        <w:rPr>
          <w:spacing w:val="-5"/>
        </w:rPr>
        <w:t> </w:t>
      </w:r>
      <w:r>
        <w:rPr/>
        <w:t>annual</w:t>
      </w:r>
      <w:r>
        <w:rPr>
          <w:spacing w:val="-4"/>
        </w:rPr>
        <w:t> </w:t>
      </w:r>
      <w:r>
        <w:rPr/>
        <w:t>housing,</w:t>
      </w:r>
      <w:r>
        <w:rPr>
          <w:spacing w:val="-4"/>
        </w:rPr>
        <w:t> </w:t>
      </w:r>
      <w:r>
        <w:rPr/>
        <w:t>education,</w:t>
      </w:r>
      <w:r>
        <w:rPr>
          <w:spacing w:val="-4"/>
        </w:rPr>
        <w:t> </w:t>
      </w:r>
      <w:r>
        <w:rPr/>
        <w:t>health,</w:t>
      </w:r>
      <w:r>
        <w:rPr>
          <w:spacing w:val="-4"/>
        </w:rPr>
        <w:t> </w:t>
      </w:r>
      <w:r>
        <w:rPr/>
        <w:t>agriculture</w:t>
      </w:r>
      <w:r>
        <w:rPr>
          <w:spacing w:val="-5"/>
        </w:rPr>
        <w:t> </w:t>
      </w:r>
      <w:r>
        <w:rPr/>
        <w:t>and</w:t>
      </w:r>
      <w:r>
        <w:rPr>
          <w:spacing w:val="-4"/>
        </w:rPr>
        <w:t> </w:t>
      </w:r>
      <w:r>
        <w:rPr/>
        <w:t>works sector budget allocation from 1999 – 2016 (Researcher‘s plot with MS- Excel, 2017)</w:t>
      </w:r>
    </w:p>
    <w:p>
      <w:pPr>
        <w:pStyle w:val="BodyText"/>
        <w:spacing w:line="360" w:lineRule="auto" w:before="195"/>
        <w:ind w:left="240" w:right="838"/>
        <w:jc w:val="both"/>
      </w:pPr>
      <w:r>
        <w:rPr/>
        <w:t>The trends of annual housing budget allocation, education, health, agriculture and works as shown in figure 5.4 follow a random pattern. This rise and fall movements in the sectors‘ allocation indicates some degree of inconsistency and unpredictability of the key economic sectors in Anambra State. However, in comparison with the works sector, it can be observed that the works sector is the most consistent, predictable with a very wide margin and steady rise, except from 2015.</w:t>
      </w:r>
    </w:p>
    <w:p>
      <w:pPr>
        <w:spacing w:after="0" w:line="360" w:lineRule="auto"/>
        <w:jc w:val="both"/>
        <w:sectPr>
          <w:pgSz w:w="12240" w:h="15840"/>
          <w:pgMar w:header="0" w:footer="1036" w:top="1360" w:bottom="1220" w:left="1200" w:right="600"/>
        </w:sectPr>
      </w:pPr>
    </w:p>
    <w:p>
      <w:pPr>
        <w:pStyle w:val="BodyText"/>
      </w:pPr>
      <w:r>
        <w:rPr/>
        <mc:AlternateContent>
          <mc:Choice Requires="wps">
            <w:drawing>
              <wp:anchor distT="0" distB="0" distL="0" distR="0" allowOverlap="1" layoutInCell="1" locked="0" behindDoc="0" simplePos="0" relativeHeight="15766016">
                <wp:simplePos x="0" y="0"/>
                <wp:positionH relativeFrom="page">
                  <wp:posOffset>1105230</wp:posOffset>
                </wp:positionH>
                <wp:positionV relativeFrom="page">
                  <wp:posOffset>2019899</wp:posOffset>
                </wp:positionV>
                <wp:extent cx="152400" cy="644525"/>
                <wp:effectExtent l="0" t="0" r="0" b="0"/>
                <wp:wrapNone/>
                <wp:docPr id="595" name="Textbox 595"/>
                <wp:cNvGraphicFramePr>
                  <a:graphicFrameLocks/>
                </wp:cNvGraphicFramePr>
                <a:graphic>
                  <a:graphicData uri="http://schemas.microsoft.com/office/word/2010/wordprocessingShape">
                    <wps:wsp>
                      <wps:cNvPr id="595" name="Textbox 595"/>
                      <wps:cNvSpPr txBox="1"/>
                      <wps:spPr>
                        <a:xfrm>
                          <a:off x="0" y="0"/>
                          <a:ext cx="152400" cy="644525"/>
                        </a:xfrm>
                        <a:prstGeom prst="rect">
                          <a:avLst/>
                        </a:prstGeom>
                      </wps:spPr>
                      <wps:txbx>
                        <w:txbxContent>
                          <w:p>
                            <w:pPr>
                              <w:spacing w:line="223" w:lineRule="exact" w:before="0"/>
                              <w:ind w:left="20" w:right="0" w:firstLine="0"/>
                              <w:jc w:val="left"/>
                              <w:rPr>
                                <w:rFonts w:ascii="Calibri"/>
                                <w:b/>
                                <w:sz w:val="20"/>
                              </w:rPr>
                            </w:pPr>
                            <w:r>
                              <w:rPr>
                                <w:rFonts w:ascii="Calibri"/>
                                <w:b/>
                                <w:spacing w:val="-2"/>
                                <w:sz w:val="20"/>
                              </w:rPr>
                              <w:t>Amount</w:t>
                            </w:r>
                            <w:r>
                              <w:rPr>
                                <w:rFonts w:ascii="Calibri"/>
                                <w:b/>
                                <w:sz w:val="20"/>
                              </w:rPr>
                              <w:t> </w:t>
                            </w:r>
                            <w:r>
                              <w:rPr>
                                <w:rFonts w:ascii="Calibri"/>
                                <w:b/>
                                <w:spacing w:val="-5"/>
                                <w:sz w:val="20"/>
                              </w:rPr>
                              <w:t>(N)</w:t>
                            </w:r>
                          </w:p>
                        </w:txbxContent>
                      </wps:txbx>
                      <wps:bodyPr wrap="square" lIns="0" tIns="0" rIns="0" bIns="0" rtlCol="0" vert="vert270">
                        <a:noAutofit/>
                      </wps:bodyPr>
                    </wps:wsp>
                  </a:graphicData>
                </a:graphic>
              </wp:anchor>
            </w:drawing>
          </mc:Choice>
          <mc:Fallback>
            <w:pict>
              <v:shape style="position:absolute;margin-left:87.026001pt;margin-top:159.047226pt;width:12pt;height:50.75pt;mso-position-horizontal-relative:page;mso-position-vertical-relative:page;z-index:15766016" type="#_x0000_t202" id="docshape549"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pacing w:val="-2"/>
                          <w:sz w:val="20"/>
                        </w:rPr>
                        <w:t>Amount</w:t>
                      </w:r>
                      <w:r>
                        <w:rPr>
                          <w:rFonts w:ascii="Calibri"/>
                          <w:b/>
                          <w:sz w:val="20"/>
                        </w:rPr>
                        <w:t> </w:t>
                      </w:r>
                      <w:r>
                        <w:rPr>
                          <w:rFonts w:ascii="Calibri"/>
                          <w:b/>
                          <w:spacing w:val="-5"/>
                          <w:sz w:val="20"/>
                        </w:rPr>
                        <w:t>(N)</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8"/>
      </w:pPr>
    </w:p>
    <w:p>
      <w:pPr>
        <w:pStyle w:val="BodyText"/>
        <w:ind w:left="240" w:right="837"/>
        <w:jc w:val="both"/>
      </w:pPr>
      <w:r>
        <w:rPr/>
        <mc:AlternateContent>
          <mc:Choice Requires="wps">
            <w:drawing>
              <wp:anchor distT="0" distB="0" distL="0" distR="0" allowOverlap="1" layoutInCell="1" locked="0" behindDoc="0" simplePos="0" relativeHeight="15765504">
                <wp:simplePos x="0" y="0"/>
                <wp:positionH relativeFrom="page">
                  <wp:posOffset>927100</wp:posOffset>
                </wp:positionH>
                <wp:positionV relativeFrom="paragraph">
                  <wp:posOffset>-3107437</wp:posOffset>
                </wp:positionV>
                <wp:extent cx="5953760" cy="3057525"/>
                <wp:effectExtent l="0" t="0" r="0" b="0"/>
                <wp:wrapNone/>
                <wp:docPr id="596" name="Group 596"/>
                <wp:cNvGraphicFramePr>
                  <a:graphicFrameLocks/>
                </wp:cNvGraphicFramePr>
                <a:graphic>
                  <a:graphicData uri="http://schemas.microsoft.com/office/word/2010/wordprocessingGroup">
                    <wpg:wgp>
                      <wpg:cNvPr id="596" name="Group 596"/>
                      <wpg:cNvGrpSpPr/>
                      <wpg:grpSpPr>
                        <a:xfrm>
                          <a:off x="0" y="0"/>
                          <a:ext cx="5953760" cy="3057525"/>
                          <a:chExt cx="5953760" cy="3057525"/>
                        </a:xfrm>
                      </wpg:grpSpPr>
                      <wps:wsp>
                        <wps:cNvPr id="597" name="Graphic 597"/>
                        <wps:cNvSpPr/>
                        <wps:spPr>
                          <a:xfrm>
                            <a:off x="1521967" y="148081"/>
                            <a:ext cx="2425065" cy="2220595"/>
                          </a:xfrm>
                          <a:custGeom>
                            <a:avLst/>
                            <a:gdLst/>
                            <a:ahLst/>
                            <a:cxnLst/>
                            <a:rect l="l" t="t" r="r" b="b"/>
                            <a:pathLst>
                              <a:path w="2425065" h="2220595">
                                <a:moveTo>
                                  <a:pt x="41148" y="1850135"/>
                                </a:moveTo>
                                <a:lnTo>
                                  <a:pt x="2424684" y="1850135"/>
                                </a:lnTo>
                              </a:path>
                              <a:path w="2425065" h="2220595">
                                <a:moveTo>
                                  <a:pt x="41148" y="1479803"/>
                                </a:moveTo>
                                <a:lnTo>
                                  <a:pt x="2424684" y="1479803"/>
                                </a:lnTo>
                              </a:path>
                              <a:path w="2425065" h="2220595">
                                <a:moveTo>
                                  <a:pt x="41148" y="1110996"/>
                                </a:moveTo>
                                <a:lnTo>
                                  <a:pt x="2424684" y="1110996"/>
                                </a:lnTo>
                              </a:path>
                              <a:path w="2425065" h="2220595">
                                <a:moveTo>
                                  <a:pt x="41148" y="740663"/>
                                </a:moveTo>
                                <a:lnTo>
                                  <a:pt x="2424684" y="740663"/>
                                </a:lnTo>
                              </a:path>
                              <a:path w="2425065" h="2220595">
                                <a:moveTo>
                                  <a:pt x="41148" y="370331"/>
                                </a:moveTo>
                                <a:lnTo>
                                  <a:pt x="2424684" y="370331"/>
                                </a:lnTo>
                              </a:path>
                              <a:path w="2425065" h="2220595">
                                <a:moveTo>
                                  <a:pt x="41148" y="0"/>
                                </a:moveTo>
                                <a:lnTo>
                                  <a:pt x="2424684" y="0"/>
                                </a:lnTo>
                              </a:path>
                              <a:path w="2425065" h="2220595">
                                <a:moveTo>
                                  <a:pt x="41148" y="2220467"/>
                                </a:moveTo>
                                <a:lnTo>
                                  <a:pt x="41148" y="0"/>
                                </a:lnTo>
                              </a:path>
                              <a:path w="2425065" h="2220595">
                                <a:moveTo>
                                  <a:pt x="0" y="2220467"/>
                                </a:moveTo>
                                <a:lnTo>
                                  <a:pt x="41148" y="2220467"/>
                                </a:lnTo>
                              </a:path>
                              <a:path w="2425065" h="2220595">
                                <a:moveTo>
                                  <a:pt x="0" y="1850135"/>
                                </a:moveTo>
                                <a:lnTo>
                                  <a:pt x="41148" y="1850135"/>
                                </a:lnTo>
                              </a:path>
                              <a:path w="2425065" h="2220595">
                                <a:moveTo>
                                  <a:pt x="0" y="1479803"/>
                                </a:moveTo>
                                <a:lnTo>
                                  <a:pt x="41148" y="1479803"/>
                                </a:lnTo>
                              </a:path>
                              <a:path w="2425065" h="2220595">
                                <a:moveTo>
                                  <a:pt x="0" y="1110996"/>
                                </a:moveTo>
                                <a:lnTo>
                                  <a:pt x="41148" y="1110996"/>
                                </a:lnTo>
                              </a:path>
                              <a:path w="2425065" h="2220595">
                                <a:moveTo>
                                  <a:pt x="0" y="740663"/>
                                </a:moveTo>
                                <a:lnTo>
                                  <a:pt x="41148" y="740663"/>
                                </a:lnTo>
                              </a:path>
                              <a:path w="2425065" h="2220595">
                                <a:moveTo>
                                  <a:pt x="0" y="370331"/>
                                </a:moveTo>
                                <a:lnTo>
                                  <a:pt x="41148" y="370331"/>
                                </a:lnTo>
                              </a:path>
                              <a:path w="2425065" h="2220595">
                                <a:moveTo>
                                  <a:pt x="0" y="0"/>
                                </a:moveTo>
                                <a:lnTo>
                                  <a:pt x="41148" y="0"/>
                                </a:lnTo>
                              </a:path>
                              <a:path w="2425065" h="2220595">
                                <a:moveTo>
                                  <a:pt x="41148" y="2220467"/>
                                </a:moveTo>
                                <a:lnTo>
                                  <a:pt x="2424684" y="2220467"/>
                                </a:lnTo>
                              </a:path>
                            </a:pathLst>
                          </a:custGeom>
                          <a:ln w="9144">
                            <a:solidFill>
                              <a:srgbClr val="858585"/>
                            </a:solidFill>
                            <a:prstDash val="solid"/>
                          </a:ln>
                        </wps:spPr>
                        <wps:bodyPr wrap="square" lIns="0" tIns="0" rIns="0" bIns="0" rtlCol="0">
                          <a:prstTxWarp prst="textNoShape">
                            <a:avLst/>
                          </a:prstTxWarp>
                          <a:noAutofit/>
                        </wps:bodyPr>
                      </wps:wsp>
                      <wps:wsp>
                        <wps:cNvPr id="598" name="Graphic 598"/>
                        <wps:cNvSpPr/>
                        <wps:spPr>
                          <a:xfrm>
                            <a:off x="1628648" y="2286254"/>
                            <a:ext cx="2251075" cy="81280"/>
                          </a:xfrm>
                          <a:custGeom>
                            <a:avLst/>
                            <a:gdLst/>
                            <a:ahLst/>
                            <a:cxnLst/>
                            <a:rect l="l" t="t" r="r" b="b"/>
                            <a:pathLst>
                              <a:path w="2251075" h="81280">
                                <a:moveTo>
                                  <a:pt x="0" y="80771"/>
                                </a:moveTo>
                                <a:lnTo>
                                  <a:pt x="132587" y="70103"/>
                                </a:lnTo>
                                <a:lnTo>
                                  <a:pt x="265175" y="0"/>
                                </a:lnTo>
                                <a:lnTo>
                                  <a:pt x="397763" y="68579"/>
                                </a:lnTo>
                                <a:lnTo>
                                  <a:pt x="530351" y="45719"/>
                                </a:lnTo>
                                <a:lnTo>
                                  <a:pt x="661415" y="67055"/>
                                </a:lnTo>
                                <a:lnTo>
                                  <a:pt x="794003" y="54863"/>
                                </a:lnTo>
                                <a:lnTo>
                                  <a:pt x="926591" y="64007"/>
                                </a:lnTo>
                                <a:lnTo>
                                  <a:pt x="1059179" y="54863"/>
                                </a:lnTo>
                                <a:lnTo>
                                  <a:pt x="1191767" y="13715"/>
                                </a:lnTo>
                                <a:lnTo>
                                  <a:pt x="1324355" y="27431"/>
                                </a:lnTo>
                                <a:lnTo>
                                  <a:pt x="1456943" y="38100"/>
                                </a:lnTo>
                                <a:lnTo>
                                  <a:pt x="1589531" y="38100"/>
                                </a:lnTo>
                                <a:lnTo>
                                  <a:pt x="1720596" y="50291"/>
                                </a:lnTo>
                                <a:lnTo>
                                  <a:pt x="1853184" y="57911"/>
                                </a:lnTo>
                                <a:lnTo>
                                  <a:pt x="1985772" y="28955"/>
                                </a:lnTo>
                                <a:lnTo>
                                  <a:pt x="2118360" y="21335"/>
                                </a:lnTo>
                                <a:lnTo>
                                  <a:pt x="2250948" y="74675"/>
                                </a:lnTo>
                              </a:path>
                            </a:pathLst>
                          </a:custGeom>
                          <a:ln w="27431">
                            <a:solidFill>
                              <a:srgbClr val="416EA6"/>
                            </a:solidFill>
                            <a:prstDash val="solid"/>
                          </a:ln>
                        </wps:spPr>
                        <wps:bodyPr wrap="square" lIns="0" tIns="0" rIns="0" bIns="0" rtlCol="0">
                          <a:prstTxWarp prst="textNoShape">
                            <a:avLst/>
                          </a:prstTxWarp>
                          <a:noAutofit/>
                        </wps:bodyPr>
                      </wps:wsp>
                      <pic:pic>
                        <pic:nvPicPr>
                          <pic:cNvPr id="599" name="Image 599"/>
                          <pic:cNvPicPr/>
                        </pic:nvPicPr>
                        <pic:blipFill>
                          <a:blip r:embed="rId148" cstate="print"/>
                          <a:stretch>
                            <a:fillRect/>
                          </a:stretch>
                        </pic:blipFill>
                        <pic:spPr>
                          <a:xfrm>
                            <a:off x="1579880" y="2317750"/>
                            <a:ext cx="98044" cy="98044"/>
                          </a:xfrm>
                          <a:prstGeom prst="rect">
                            <a:avLst/>
                          </a:prstGeom>
                        </pic:spPr>
                      </pic:pic>
                      <pic:pic>
                        <pic:nvPicPr>
                          <pic:cNvPr id="600" name="Image 600"/>
                          <pic:cNvPicPr/>
                        </pic:nvPicPr>
                        <pic:blipFill>
                          <a:blip r:embed="rId149" cstate="print"/>
                          <a:stretch>
                            <a:fillRect/>
                          </a:stretch>
                        </pic:blipFill>
                        <pic:spPr>
                          <a:xfrm>
                            <a:off x="1712341" y="2306827"/>
                            <a:ext cx="98044" cy="97917"/>
                          </a:xfrm>
                          <a:prstGeom prst="rect">
                            <a:avLst/>
                          </a:prstGeom>
                        </pic:spPr>
                      </pic:pic>
                      <pic:pic>
                        <pic:nvPicPr>
                          <pic:cNvPr id="601" name="Image 601"/>
                          <pic:cNvPicPr/>
                        </pic:nvPicPr>
                        <pic:blipFill>
                          <a:blip r:embed="rId148" cstate="print"/>
                          <a:stretch>
                            <a:fillRect/>
                          </a:stretch>
                        </pic:blipFill>
                        <pic:spPr>
                          <a:xfrm>
                            <a:off x="1844801" y="2237485"/>
                            <a:ext cx="98044" cy="98044"/>
                          </a:xfrm>
                          <a:prstGeom prst="rect">
                            <a:avLst/>
                          </a:prstGeom>
                        </pic:spPr>
                      </pic:pic>
                      <pic:pic>
                        <pic:nvPicPr>
                          <pic:cNvPr id="602" name="Image 602"/>
                          <pic:cNvPicPr/>
                        </pic:nvPicPr>
                        <pic:blipFill>
                          <a:blip r:embed="rId150" cstate="print"/>
                          <a:stretch>
                            <a:fillRect/>
                          </a:stretch>
                        </pic:blipFill>
                        <pic:spPr>
                          <a:xfrm>
                            <a:off x="1977263" y="2306192"/>
                            <a:ext cx="98044" cy="97917"/>
                          </a:xfrm>
                          <a:prstGeom prst="rect">
                            <a:avLst/>
                          </a:prstGeom>
                        </pic:spPr>
                      </pic:pic>
                      <pic:pic>
                        <pic:nvPicPr>
                          <pic:cNvPr id="603" name="Image 603"/>
                          <pic:cNvPicPr/>
                        </pic:nvPicPr>
                        <pic:blipFill>
                          <a:blip r:embed="rId151" cstate="print"/>
                          <a:stretch>
                            <a:fillRect/>
                          </a:stretch>
                        </pic:blipFill>
                        <pic:spPr>
                          <a:xfrm>
                            <a:off x="2109723" y="2282825"/>
                            <a:ext cx="98044" cy="98044"/>
                          </a:xfrm>
                          <a:prstGeom prst="rect">
                            <a:avLst/>
                          </a:prstGeom>
                        </pic:spPr>
                      </pic:pic>
                      <pic:pic>
                        <pic:nvPicPr>
                          <pic:cNvPr id="604" name="Image 604"/>
                          <pic:cNvPicPr/>
                        </pic:nvPicPr>
                        <pic:blipFill>
                          <a:blip r:embed="rId148" cstate="print"/>
                          <a:stretch>
                            <a:fillRect/>
                          </a:stretch>
                        </pic:blipFill>
                        <pic:spPr>
                          <a:xfrm>
                            <a:off x="2242185" y="2304288"/>
                            <a:ext cx="98044" cy="98044"/>
                          </a:xfrm>
                          <a:prstGeom prst="rect">
                            <a:avLst/>
                          </a:prstGeom>
                        </pic:spPr>
                      </pic:pic>
                      <pic:pic>
                        <pic:nvPicPr>
                          <pic:cNvPr id="605" name="Image 605"/>
                          <pic:cNvPicPr/>
                        </pic:nvPicPr>
                        <pic:blipFill>
                          <a:blip r:embed="rId152" cstate="print"/>
                          <a:stretch>
                            <a:fillRect/>
                          </a:stretch>
                        </pic:blipFill>
                        <pic:spPr>
                          <a:xfrm>
                            <a:off x="2374645" y="2292095"/>
                            <a:ext cx="98044" cy="98044"/>
                          </a:xfrm>
                          <a:prstGeom prst="rect">
                            <a:avLst/>
                          </a:prstGeom>
                        </pic:spPr>
                      </pic:pic>
                      <pic:pic>
                        <pic:nvPicPr>
                          <pic:cNvPr id="606" name="Image 606"/>
                          <pic:cNvPicPr/>
                        </pic:nvPicPr>
                        <pic:blipFill>
                          <a:blip r:embed="rId152" cstate="print"/>
                          <a:stretch>
                            <a:fillRect/>
                          </a:stretch>
                        </pic:blipFill>
                        <pic:spPr>
                          <a:xfrm>
                            <a:off x="2507107" y="2300985"/>
                            <a:ext cx="98044" cy="98044"/>
                          </a:xfrm>
                          <a:prstGeom prst="rect">
                            <a:avLst/>
                          </a:prstGeom>
                        </pic:spPr>
                      </pic:pic>
                      <pic:pic>
                        <pic:nvPicPr>
                          <pic:cNvPr id="607" name="Image 607"/>
                          <pic:cNvPicPr/>
                        </pic:nvPicPr>
                        <pic:blipFill>
                          <a:blip r:embed="rId153" cstate="print"/>
                          <a:stretch>
                            <a:fillRect/>
                          </a:stretch>
                        </pic:blipFill>
                        <pic:spPr>
                          <a:xfrm>
                            <a:off x="2639567" y="2291842"/>
                            <a:ext cx="98171" cy="98044"/>
                          </a:xfrm>
                          <a:prstGeom prst="rect">
                            <a:avLst/>
                          </a:prstGeom>
                        </pic:spPr>
                      </pic:pic>
                      <pic:pic>
                        <pic:nvPicPr>
                          <pic:cNvPr id="608" name="Image 608"/>
                          <pic:cNvPicPr/>
                        </pic:nvPicPr>
                        <pic:blipFill>
                          <a:blip r:embed="rId154" cstate="print"/>
                          <a:stretch>
                            <a:fillRect/>
                          </a:stretch>
                        </pic:blipFill>
                        <pic:spPr>
                          <a:xfrm>
                            <a:off x="2772029" y="2251075"/>
                            <a:ext cx="98171" cy="98044"/>
                          </a:xfrm>
                          <a:prstGeom prst="rect">
                            <a:avLst/>
                          </a:prstGeom>
                        </pic:spPr>
                      </pic:pic>
                      <pic:pic>
                        <pic:nvPicPr>
                          <pic:cNvPr id="609" name="Image 609"/>
                          <pic:cNvPicPr/>
                        </pic:nvPicPr>
                        <pic:blipFill>
                          <a:blip r:embed="rId155" cstate="print"/>
                          <a:stretch>
                            <a:fillRect/>
                          </a:stretch>
                        </pic:blipFill>
                        <pic:spPr>
                          <a:xfrm>
                            <a:off x="2904617" y="2264917"/>
                            <a:ext cx="98044" cy="98044"/>
                          </a:xfrm>
                          <a:prstGeom prst="rect">
                            <a:avLst/>
                          </a:prstGeom>
                        </pic:spPr>
                      </pic:pic>
                      <pic:pic>
                        <pic:nvPicPr>
                          <pic:cNvPr id="610" name="Image 610"/>
                          <pic:cNvPicPr/>
                        </pic:nvPicPr>
                        <pic:blipFill>
                          <a:blip r:embed="rId156" cstate="print"/>
                          <a:stretch>
                            <a:fillRect/>
                          </a:stretch>
                        </pic:blipFill>
                        <pic:spPr>
                          <a:xfrm>
                            <a:off x="3037077" y="2275585"/>
                            <a:ext cx="98044" cy="97917"/>
                          </a:xfrm>
                          <a:prstGeom prst="rect">
                            <a:avLst/>
                          </a:prstGeom>
                        </pic:spPr>
                      </pic:pic>
                      <pic:pic>
                        <pic:nvPicPr>
                          <pic:cNvPr id="611" name="Image 611"/>
                          <pic:cNvPicPr/>
                        </pic:nvPicPr>
                        <pic:blipFill>
                          <a:blip r:embed="rId156" cstate="print"/>
                          <a:stretch>
                            <a:fillRect/>
                          </a:stretch>
                        </pic:blipFill>
                        <pic:spPr>
                          <a:xfrm>
                            <a:off x="3169539" y="2275204"/>
                            <a:ext cx="98044" cy="97917"/>
                          </a:xfrm>
                          <a:prstGeom prst="rect">
                            <a:avLst/>
                          </a:prstGeom>
                        </pic:spPr>
                      </pic:pic>
                      <pic:pic>
                        <pic:nvPicPr>
                          <pic:cNvPr id="612" name="Image 612"/>
                          <pic:cNvPicPr/>
                        </pic:nvPicPr>
                        <pic:blipFill>
                          <a:blip r:embed="rId152" cstate="print"/>
                          <a:stretch>
                            <a:fillRect/>
                          </a:stretch>
                        </pic:blipFill>
                        <pic:spPr>
                          <a:xfrm>
                            <a:off x="3302000" y="2287016"/>
                            <a:ext cx="98044" cy="98044"/>
                          </a:xfrm>
                          <a:prstGeom prst="rect">
                            <a:avLst/>
                          </a:prstGeom>
                        </pic:spPr>
                      </pic:pic>
                      <pic:pic>
                        <pic:nvPicPr>
                          <pic:cNvPr id="613" name="Image 613"/>
                          <pic:cNvPicPr/>
                        </pic:nvPicPr>
                        <pic:blipFill>
                          <a:blip r:embed="rId155" cstate="print"/>
                          <a:stretch>
                            <a:fillRect/>
                          </a:stretch>
                        </pic:blipFill>
                        <pic:spPr>
                          <a:xfrm>
                            <a:off x="3434460" y="2294508"/>
                            <a:ext cx="98044" cy="98044"/>
                          </a:xfrm>
                          <a:prstGeom prst="rect">
                            <a:avLst/>
                          </a:prstGeom>
                        </pic:spPr>
                      </pic:pic>
                      <pic:pic>
                        <pic:nvPicPr>
                          <pic:cNvPr id="614" name="Image 614"/>
                          <pic:cNvPicPr/>
                        </pic:nvPicPr>
                        <pic:blipFill>
                          <a:blip r:embed="rId155" cstate="print"/>
                          <a:stretch>
                            <a:fillRect/>
                          </a:stretch>
                        </pic:blipFill>
                        <pic:spPr>
                          <a:xfrm>
                            <a:off x="3566921" y="2265933"/>
                            <a:ext cx="98044" cy="98044"/>
                          </a:xfrm>
                          <a:prstGeom prst="rect">
                            <a:avLst/>
                          </a:prstGeom>
                        </pic:spPr>
                      </pic:pic>
                      <pic:pic>
                        <pic:nvPicPr>
                          <pic:cNvPr id="615" name="Image 615"/>
                          <pic:cNvPicPr/>
                        </pic:nvPicPr>
                        <pic:blipFill>
                          <a:blip r:embed="rId152" cstate="print"/>
                          <a:stretch>
                            <a:fillRect/>
                          </a:stretch>
                        </pic:blipFill>
                        <pic:spPr>
                          <a:xfrm>
                            <a:off x="3699383" y="2259076"/>
                            <a:ext cx="98044" cy="98044"/>
                          </a:xfrm>
                          <a:prstGeom prst="rect">
                            <a:avLst/>
                          </a:prstGeom>
                        </pic:spPr>
                      </pic:pic>
                      <pic:pic>
                        <pic:nvPicPr>
                          <pic:cNvPr id="616" name="Image 616"/>
                          <pic:cNvPicPr/>
                        </pic:nvPicPr>
                        <pic:blipFill>
                          <a:blip r:embed="rId152" cstate="print"/>
                          <a:stretch>
                            <a:fillRect/>
                          </a:stretch>
                        </pic:blipFill>
                        <pic:spPr>
                          <a:xfrm>
                            <a:off x="3831844" y="2311273"/>
                            <a:ext cx="98044" cy="98044"/>
                          </a:xfrm>
                          <a:prstGeom prst="rect">
                            <a:avLst/>
                          </a:prstGeom>
                        </pic:spPr>
                      </pic:pic>
                      <wps:wsp>
                        <wps:cNvPr id="617" name="Graphic 617"/>
                        <wps:cNvSpPr/>
                        <wps:spPr>
                          <a:xfrm>
                            <a:off x="1628648" y="2165857"/>
                            <a:ext cx="2251075" cy="203200"/>
                          </a:xfrm>
                          <a:custGeom>
                            <a:avLst/>
                            <a:gdLst/>
                            <a:ahLst/>
                            <a:cxnLst/>
                            <a:rect l="l" t="t" r="r" b="b"/>
                            <a:pathLst>
                              <a:path w="2251075" h="203200">
                                <a:moveTo>
                                  <a:pt x="0" y="202691"/>
                                </a:moveTo>
                                <a:lnTo>
                                  <a:pt x="132587" y="195072"/>
                                </a:lnTo>
                                <a:lnTo>
                                  <a:pt x="265175" y="188975"/>
                                </a:lnTo>
                                <a:lnTo>
                                  <a:pt x="397763" y="192024"/>
                                </a:lnTo>
                                <a:lnTo>
                                  <a:pt x="530351" y="179831"/>
                                </a:lnTo>
                                <a:lnTo>
                                  <a:pt x="661415" y="196596"/>
                                </a:lnTo>
                                <a:lnTo>
                                  <a:pt x="794003" y="188975"/>
                                </a:lnTo>
                                <a:lnTo>
                                  <a:pt x="926591" y="169163"/>
                                </a:lnTo>
                                <a:lnTo>
                                  <a:pt x="1059179" y="161543"/>
                                </a:lnTo>
                                <a:lnTo>
                                  <a:pt x="1191767" y="144779"/>
                                </a:lnTo>
                                <a:lnTo>
                                  <a:pt x="1324355" y="150875"/>
                                </a:lnTo>
                                <a:lnTo>
                                  <a:pt x="1456943" y="156972"/>
                                </a:lnTo>
                                <a:lnTo>
                                  <a:pt x="1589531" y="166115"/>
                                </a:lnTo>
                                <a:lnTo>
                                  <a:pt x="1720596" y="0"/>
                                </a:lnTo>
                                <a:lnTo>
                                  <a:pt x="1853184" y="15239"/>
                                </a:lnTo>
                                <a:lnTo>
                                  <a:pt x="1985772" y="70103"/>
                                </a:lnTo>
                                <a:lnTo>
                                  <a:pt x="2118360" y="70103"/>
                                </a:lnTo>
                                <a:lnTo>
                                  <a:pt x="2250948" y="147827"/>
                                </a:lnTo>
                              </a:path>
                            </a:pathLst>
                          </a:custGeom>
                          <a:ln w="27432">
                            <a:solidFill>
                              <a:srgbClr val="A8423E"/>
                            </a:solidFill>
                            <a:prstDash val="solid"/>
                          </a:ln>
                        </wps:spPr>
                        <wps:bodyPr wrap="square" lIns="0" tIns="0" rIns="0" bIns="0" rtlCol="0">
                          <a:prstTxWarp prst="textNoShape">
                            <a:avLst/>
                          </a:prstTxWarp>
                          <a:noAutofit/>
                        </wps:bodyPr>
                      </wps:wsp>
                      <wps:wsp>
                        <wps:cNvPr id="618" name="Graphic 618"/>
                        <wps:cNvSpPr/>
                        <wps:spPr>
                          <a:xfrm>
                            <a:off x="1584452" y="2324354"/>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AA4643"/>
                          </a:solidFill>
                        </wps:spPr>
                        <wps:bodyPr wrap="square" lIns="0" tIns="0" rIns="0" bIns="0" rtlCol="0">
                          <a:prstTxWarp prst="textNoShape">
                            <a:avLst/>
                          </a:prstTxWarp>
                          <a:noAutofit/>
                        </wps:bodyPr>
                      </wps:wsp>
                      <wps:wsp>
                        <wps:cNvPr id="619" name="Graphic 619"/>
                        <wps:cNvSpPr/>
                        <wps:spPr>
                          <a:xfrm>
                            <a:off x="1584452" y="2324354"/>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A8423E"/>
                            </a:solidFill>
                            <a:prstDash val="solid"/>
                          </a:ln>
                        </wps:spPr>
                        <wps:bodyPr wrap="square" lIns="0" tIns="0" rIns="0" bIns="0" rtlCol="0">
                          <a:prstTxWarp prst="textNoShape">
                            <a:avLst/>
                          </a:prstTxWarp>
                          <a:noAutofit/>
                        </wps:bodyPr>
                      </wps:wsp>
                      <wps:wsp>
                        <wps:cNvPr id="620" name="Graphic 620"/>
                        <wps:cNvSpPr/>
                        <wps:spPr>
                          <a:xfrm>
                            <a:off x="1717039" y="2316733"/>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AA4643"/>
                          </a:solidFill>
                        </wps:spPr>
                        <wps:bodyPr wrap="square" lIns="0" tIns="0" rIns="0" bIns="0" rtlCol="0">
                          <a:prstTxWarp prst="textNoShape">
                            <a:avLst/>
                          </a:prstTxWarp>
                          <a:noAutofit/>
                        </wps:bodyPr>
                      </wps:wsp>
                      <wps:wsp>
                        <wps:cNvPr id="621" name="Graphic 621"/>
                        <wps:cNvSpPr/>
                        <wps:spPr>
                          <a:xfrm>
                            <a:off x="1717039" y="2316733"/>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A8423E"/>
                            </a:solidFill>
                            <a:prstDash val="solid"/>
                          </a:ln>
                        </wps:spPr>
                        <wps:bodyPr wrap="square" lIns="0" tIns="0" rIns="0" bIns="0" rtlCol="0">
                          <a:prstTxWarp prst="textNoShape">
                            <a:avLst/>
                          </a:prstTxWarp>
                          <a:noAutofit/>
                        </wps:bodyPr>
                      </wps:wsp>
                      <wps:wsp>
                        <wps:cNvPr id="622" name="Graphic 622"/>
                        <wps:cNvSpPr/>
                        <wps:spPr>
                          <a:xfrm>
                            <a:off x="1849627" y="2310638"/>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AA4643"/>
                          </a:solidFill>
                        </wps:spPr>
                        <wps:bodyPr wrap="square" lIns="0" tIns="0" rIns="0" bIns="0" rtlCol="0">
                          <a:prstTxWarp prst="textNoShape">
                            <a:avLst/>
                          </a:prstTxWarp>
                          <a:noAutofit/>
                        </wps:bodyPr>
                      </wps:wsp>
                      <wps:wsp>
                        <wps:cNvPr id="623" name="Graphic 623"/>
                        <wps:cNvSpPr/>
                        <wps:spPr>
                          <a:xfrm>
                            <a:off x="1849627" y="2310638"/>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A8423E"/>
                            </a:solidFill>
                            <a:prstDash val="solid"/>
                          </a:ln>
                        </wps:spPr>
                        <wps:bodyPr wrap="square" lIns="0" tIns="0" rIns="0" bIns="0" rtlCol="0">
                          <a:prstTxWarp prst="textNoShape">
                            <a:avLst/>
                          </a:prstTxWarp>
                          <a:noAutofit/>
                        </wps:bodyPr>
                      </wps:wsp>
                      <wps:wsp>
                        <wps:cNvPr id="624" name="Graphic 624"/>
                        <wps:cNvSpPr/>
                        <wps:spPr>
                          <a:xfrm>
                            <a:off x="1982216" y="2312161"/>
                            <a:ext cx="88900" cy="90170"/>
                          </a:xfrm>
                          <a:custGeom>
                            <a:avLst/>
                            <a:gdLst/>
                            <a:ahLst/>
                            <a:cxnLst/>
                            <a:rect l="l" t="t" r="r" b="b"/>
                            <a:pathLst>
                              <a:path w="88900" h="90170">
                                <a:moveTo>
                                  <a:pt x="88392" y="0"/>
                                </a:moveTo>
                                <a:lnTo>
                                  <a:pt x="0" y="0"/>
                                </a:lnTo>
                                <a:lnTo>
                                  <a:pt x="0" y="89916"/>
                                </a:lnTo>
                                <a:lnTo>
                                  <a:pt x="88392" y="89916"/>
                                </a:lnTo>
                                <a:lnTo>
                                  <a:pt x="88392" y="0"/>
                                </a:lnTo>
                                <a:close/>
                              </a:path>
                            </a:pathLst>
                          </a:custGeom>
                          <a:solidFill>
                            <a:srgbClr val="AA4643"/>
                          </a:solidFill>
                        </wps:spPr>
                        <wps:bodyPr wrap="square" lIns="0" tIns="0" rIns="0" bIns="0" rtlCol="0">
                          <a:prstTxWarp prst="textNoShape">
                            <a:avLst/>
                          </a:prstTxWarp>
                          <a:noAutofit/>
                        </wps:bodyPr>
                      </wps:wsp>
                      <wps:wsp>
                        <wps:cNvPr id="625" name="Graphic 625"/>
                        <wps:cNvSpPr/>
                        <wps:spPr>
                          <a:xfrm>
                            <a:off x="1982216" y="2312161"/>
                            <a:ext cx="88900" cy="90170"/>
                          </a:xfrm>
                          <a:custGeom>
                            <a:avLst/>
                            <a:gdLst/>
                            <a:ahLst/>
                            <a:cxnLst/>
                            <a:rect l="l" t="t" r="r" b="b"/>
                            <a:pathLst>
                              <a:path w="88900" h="90170">
                                <a:moveTo>
                                  <a:pt x="0" y="89916"/>
                                </a:moveTo>
                                <a:lnTo>
                                  <a:pt x="88392" y="89916"/>
                                </a:lnTo>
                                <a:lnTo>
                                  <a:pt x="88392" y="0"/>
                                </a:lnTo>
                                <a:lnTo>
                                  <a:pt x="0" y="0"/>
                                </a:lnTo>
                                <a:lnTo>
                                  <a:pt x="0" y="89916"/>
                                </a:lnTo>
                                <a:close/>
                              </a:path>
                            </a:pathLst>
                          </a:custGeom>
                          <a:ln w="9144">
                            <a:solidFill>
                              <a:srgbClr val="A8423E"/>
                            </a:solidFill>
                            <a:prstDash val="solid"/>
                          </a:ln>
                        </wps:spPr>
                        <wps:bodyPr wrap="square" lIns="0" tIns="0" rIns="0" bIns="0" rtlCol="0">
                          <a:prstTxWarp prst="textNoShape">
                            <a:avLst/>
                          </a:prstTxWarp>
                          <a:noAutofit/>
                        </wps:bodyPr>
                      </wps:wsp>
                      <wps:wsp>
                        <wps:cNvPr id="626" name="Graphic 626"/>
                        <wps:cNvSpPr/>
                        <wps:spPr>
                          <a:xfrm>
                            <a:off x="2114804" y="2301494"/>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AA4643"/>
                          </a:solidFill>
                        </wps:spPr>
                        <wps:bodyPr wrap="square" lIns="0" tIns="0" rIns="0" bIns="0" rtlCol="0">
                          <a:prstTxWarp prst="textNoShape">
                            <a:avLst/>
                          </a:prstTxWarp>
                          <a:noAutofit/>
                        </wps:bodyPr>
                      </wps:wsp>
                      <wps:wsp>
                        <wps:cNvPr id="627" name="Graphic 627"/>
                        <wps:cNvSpPr/>
                        <wps:spPr>
                          <a:xfrm>
                            <a:off x="2114804" y="2301494"/>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A8423E"/>
                            </a:solidFill>
                            <a:prstDash val="solid"/>
                          </a:ln>
                        </wps:spPr>
                        <wps:bodyPr wrap="square" lIns="0" tIns="0" rIns="0" bIns="0" rtlCol="0">
                          <a:prstTxWarp prst="textNoShape">
                            <a:avLst/>
                          </a:prstTxWarp>
                          <a:noAutofit/>
                        </wps:bodyPr>
                      </wps:wsp>
                      <wps:wsp>
                        <wps:cNvPr id="628" name="Graphic 628"/>
                        <wps:cNvSpPr/>
                        <wps:spPr>
                          <a:xfrm>
                            <a:off x="2247392" y="2316733"/>
                            <a:ext cx="88900" cy="90170"/>
                          </a:xfrm>
                          <a:custGeom>
                            <a:avLst/>
                            <a:gdLst/>
                            <a:ahLst/>
                            <a:cxnLst/>
                            <a:rect l="l" t="t" r="r" b="b"/>
                            <a:pathLst>
                              <a:path w="88900" h="90170">
                                <a:moveTo>
                                  <a:pt x="88392" y="0"/>
                                </a:moveTo>
                                <a:lnTo>
                                  <a:pt x="0" y="0"/>
                                </a:lnTo>
                                <a:lnTo>
                                  <a:pt x="0" y="89916"/>
                                </a:lnTo>
                                <a:lnTo>
                                  <a:pt x="88392" y="89916"/>
                                </a:lnTo>
                                <a:lnTo>
                                  <a:pt x="88392" y="0"/>
                                </a:lnTo>
                                <a:close/>
                              </a:path>
                            </a:pathLst>
                          </a:custGeom>
                          <a:solidFill>
                            <a:srgbClr val="AA4643"/>
                          </a:solidFill>
                        </wps:spPr>
                        <wps:bodyPr wrap="square" lIns="0" tIns="0" rIns="0" bIns="0" rtlCol="0">
                          <a:prstTxWarp prst="textNoShape">
                            <a:avLst/>
                          </a:prstTxWarp>
                          <a:noAutofit/>
                        </wps:bodyPr>
                      </wps:wsp>
                      <wps:wsp>
                        <wps:cNvPr id="629" name="Graphic 629"/>
                        <wps:cNvSpPr/>
                        <wps:spPr>
                          <a:xfrm>
                            <a:off x="2247392" y="2316733"/>
                            <a:ext cx="88900" cy="90170"/>
                          </a:xfrm>
                          <a:custGeom>
                            <a:avLst/>
                            <a:gdLst/>
                            <a:ahLst/>
                            <a:cxnLst/>
                            <a:rect l="l" t="t" r="r" b="b"/>
                            <a:pathLst>
                              <a:path w="88900" h="90170">
                                <a:moveTo>
                                  <a:pt x="0" y="89916"/>
                                </a:moveTo>
                                <a:lnTo>
                                  <a:pt x="88392" y="89916"/>
                                </a:lnTo>
                                <a:lnTo>
                                  <a:pt x="88392" y="0"/>
                                </a:lnTo>
                                <a:lnTo>
                                  <a:pt x="0" y="0"/>
                                </a:lnTo>
                                <a:lnTo>
                                  <a:pt x="0" y="89916"/>
                                </a:lnTo>
                                <a:close/>
                              </a:path>
                            </a:pathLst>
                          </a:custGeom>
                          <a:ln w="9144">
                            <a:solidFill>
                              <a:srgbClr val="A8423E"/>
                            </a:solidFill>
                            <a:prstDash val="solid"/>
                          </a:ln>
                        </wps:spPr>
                        <wps:bodyPr wrap="square" lIns="0" tIns="0" rIns="0" bIns="0" rtlCol="0">
                          <a:prstTxWarp prst="textNoShape">
                            <a:avLst/>
                          </a:prstTxWarp>
                          <a:noAutofit/>
                        </wps:bodyPr>
                      </wps:wsp>
                      <wps:wsp>
                        <wps:cNvPr id="630" name="Graphic 630"/>
                        <wps:cNvSpPr/>
                        <wps:spPr>
                          <a:xfrm>
                            <a:off x="2379979" y="2309114"/>
                            <a:ext cx="88900" cy="90170"/>
                          </a:xfrm>
                          <a:custGeom>
                            <a:avLst/>
                            <a:gdLst/>
                            <a:ahLst/>
                            <a:cxnLst/>
                            <a:rect l="l" t="t" r="r" b="b"/>
                            <a:pathLst>
                              <a:path w="88900" h="90170">
                                <a:moveTo>
                                  <a:pt x="88391" y="0"/>
                                </a:moveTo>
                                <a:lnTo>
                                  <a:pt x="0" y="0"/>
                                </a:lnTo>
                                <a:lnTo>
                                  <a:pt x="0" y="89916"/>
                                </a:lnTo>
                                <a:lnTo>
                                  <a:pt x="88391" y="89916"/>
                                </a:lnTo>
                                <a:lnTo>
                                  <a:pt x="88391" y="0"/>
                                </a:lnTo>
                                <a:close/>
                              </a:path>
                            </a:pathLst>
                          </a:custGeom>
                          <a:solidFill>
                            <a:srgbClr val="AA4643"/>
                          </a:solidFill>
                        </wps:spPr>
                        <wps:bodyPr wrap="square" lIns="0" tIns="0" rIns="0" bIns="0" rtlCol="0">
                          <a:prstTxWarp prst="textNoShape">
                            <a:avLst/>
                          </a:prstTxWarp>
                          <a:noAutofit/>
                        </wps:bodyPr>
                      </wps:wsp>
                      <wps:wsp>
                        <wps:cNvPr id="631" name="Graphic 631"/>
                        <wps:cNvSpPr/>
                        <wps:spPr>
                          <a:xfrm>
                            <a:off x="2379979" y="2309114"/>
                            <a:ext cx="88900" cy="90170"/>
                          </a:xfrm>
                          <a:custGeom>
                            <a:avLst/>
                            <a:gdLst/>
                            <a:ahLst/>
                            <a:cxnLst/>
                            <a:rect l="l" t="t" r="r" b="b"/>
                            <a:pathLst>
                              <a:path w="88900" h="90170">
                                <a:moveTo>
                                  <a:pt x="0" y="89916"/>
                                </a:moveTo>
                                <a:lnTo>
                                  <a:pt x="88391" y="89916"/>
                                </a:lnTo>
                                <a:lnTo>
                                  <a:pt x="88391" y="0"/>
                                </a:lnTo>
                                <a:lnTo>
                                  <a:pt x="0" y="0"/>
                                </a:lnTo>
                                <a:lnTo>
                                  <a:pt x="0" y="89916"/>
                                </a:lnTo>
                                <a:close/>
                              </a:path>
                            </a:pathLst>
                          </a:custGeom>
                          <a:ln w="9144">
                            <a:solidFill>
                              <a:srgbClr val="A8423E"/>
                            </a:solidFill>
                            <a:prstDash val="solid"/>
                          </a:ln>
                        </wps:spPr>
                        <wps:bodyPr wrap="square" lIns="0" tIns="0" rIns="0" bIns="0" rtlCol="0">
                          <a:prstTxWarp prst="textNoShape">
                            <a:avLst/>
                          </a:prstTxWarp>
                          <a:noAutofit/>
                        </wps:bodyPr>
                      </wps:wsp>
                      <wps:wsp>
                        <wps:cNvPr id="632" name="Graphic 632"/>
                        <wps:cNvSpPr/>
                        <wps:spPr>
                          <a:xfrm>
                            <a:off x="2511044" y="2290826"/>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AA4643"/>
                          </a:solidFill>
                        </wps:spPr>
                        <wps:bodyPr wrap="square" lIns="0" tIns="0" rIns="0" bIns="0" rtlCol="0">
                          <a:prstTxWarp prst="textNoShape">
                            <a:avLst/>
                          </a:prstTxWarp>
                          <a:noAutofit/>
                        </wps:bodyPr>
                      </wps:wsp>
                      <wps:wsp>
                        <wps:cNvPr id="633" name="Graphic 633"/>
                        <wps:cNvSpPr/>
                        <wps:spPr>
                          <a:xfrm>
                            <a:off x="2511044" y="2290826"/>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A8423E"/>
                            </a:solidFill>
                            <a:prstDash val="solid"/>
                          </a:ln>
                        </wps:spPr>
                        <wps:bodyPr wrap="square" lIns="0" tIns="0" rIns="0" bIns="0" rtlCol="0">
                          <a:prstTxWarp prst="textNoShape">
                            <a:avLst/>
                          </a:prstTxWarp>
                          <a:noAutofit/>
                        </wps:bodyPr>
                      </wps:wsp>
                      <wps:wsp>
                        <wps:cNvPr id="634" name="Graphic 634"/>
                        <wps:cNvSpPr/>
                        <wps:spPr>
                          <a:xfrm>
                            <a:off x="2643632" y="2283205"/>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AA4643"/>
                          </a:solidFill>
                        </wps:spPr>
                        <wps:bodyPr wrap="square" lIns="0" tIns="0" rIns="0" bIns="0" rtlCol="0">
                          <a:prstTxWarp prst="textNoShape">
                            <a:avLst/>
                          </a:prstTxWarp>
                          <a:noAutofit/>
                        </wps:bodyPr>
                      </wps:wsp>
                      <wps:wsp>
                        <wps:cNvPr id="635" name="Graphic 635"/>
                        <wps:cNvSpPr/>
                        <wps:spPr>
                          <a:xfrm>
                            <a:off x="2643632" y="2283205"/>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A8423E"/>
                            </a:solidFill>
                            <a:prstDash val="solid"/>
                          </a:ln>
                        </wps:spPr>
                        <wps:bodyPr wrap="square" lIns="0" tIns="0" rIns="0" bIns="0" rtlCol="0">
                          <a:prstTxWarp prst="textNoShape">
                            <a:avLst/>
                          </a:prstTxWarp>
                          <a:noAutofit/>
                        </wps:bodyPr>
                      </wps:wsp>
                      <wps:wsp>
                        <wps:cNvPr id="636" name="Graphic 636"/>
                        <wps:cNvSpPr/>
                        <wps:spPr>
                          <a:xfrm>
                            <a:off x="2776220" y="2264917"/>
                            <a:ext cx="90170" cy="90170"/>
                          </a:xfrm>
                          <a:custGeom>
                            <a:avLst/>
                            <a:gdLst/>
                            <a:ahLst/>
                            <a:cxnLst/>
                            <a:rect l="l" t="t" r="r" b="b"/>
                            <a:pathLst>
                              <a:path w="90170" h="90170">
                                <a:moveTo>
                                  <a:pt x="89915" y="0"/>
                                </a:moveTo>
                                <a:lnTo>
                                  <a:pt x="0" y="0"/>
                                </a:lnTo>
                                <a:lnTo>
                                  <a:pt x="0" y="89916"/>
                                </a:lnTo>
                                <a:lnTo>
                                  <a:pt x="89915" y="89916"/>
                                </a:lnTo>
                                <a:lnTo>
                                  <a:pt x="89915" y="0"/>
                                </a:lnTo>
                                <a:close/>
                              </a:path>
                            </a:pathLst>
                          </a:custGeom>
                          <a:solidFill>
                            <a:srgbClr val="AA4643"/>
                          </a:solidFill>
                        </wps:spPr>
                        <wps:bodyPr wrap="square" lIns="0" tIns="0" rIns="0" bIns="0" rtlCol="0">
                          <a:prstTxWarp prst="textNoShape">
                            <a:avLst/>
                          </a:prstTxWarp>
                          <a:noAutofit/>
                        </wps:bodyPr>
                      </wps:wsp>
                      <wps:wsp>
                        <wps:cNvPr id="637" name="Graphic 637"/>
                        <wps:cNvSpPr/>
                        <wps:spPr>
                          <a:xfrm>
                            <a:off x="2776220" y="2264917"/>
                            <a:ext cx="90170" cy="90170"/>
                          </a:xfrm>
                          <a:custGeom>
                            <a:avLst/>
                            <a:gdLst/>
                            <a:ahLst/>
                            <a:cxnLst/>
                            <a:rect l="l" t="t" r="r" b="b"/>
                            <a:pathLst>
                              <a:path w="90170" h="90170">
                                <a:moveTo>
                                  <a:pt x="0" y="89916"/>
                                </a:moveTo>
                                <a:lnTo>
                                  <a:pt x="89915" y="89916"/>
                                </a:lnTo>
                                <a:lnTo>
                                  <a:pt x="89915" y="0"/>
                                </a:lnTo>
                                <a:lnTo>
                                  <a:pt x="0" y="0"/>
                                </a:lnTo>
                                <a:lnTo>
                                  <a:pt x="0" y="89916"/>
                                </a:lnTo>
                                <a:close/>
                              </a:path>
                            </a:pathLst>
                          </a:custGeom>
                          <a:ln w="9144">
                            <a:solidFill>
                              <a:srgbClr val="A8423E"/>
                            </a:solidFill>
                            <a:prstDash val="solid"/>
                          </a:ln>
                        </wps:spPr>
                        <wps:bodyPr wrap="square" lIns="0" tIns="0" rIns="0" bIns="0" rtlCol="0">
                          <a:prstTxWarp prst="textNoShape">
                            <a:avLst/>
                          </a:prstTxWarp>
                          <a:noAutofit/>
                        </wps:bodyPr>
                      </wps:wsp>
                      <wps:wsp>
                        <wps:cNvPr id="638" name="Graphic 638"/>
                        <wps:cNvSpPr/>
                        <wps:spPr>
                          <a:xfrm>
                            <a:off x="2908807" y="2271014"/>
                            <a:ext cx="90170" cy="90170"/>
                          </a:xfrm>
                          <a:custGeom>
                            <a:avLst/>
                            <a:gdLst/>
                            <a:ahLst/>
                            <a:cxnLst/>
                            <a:rect l="l" t="t" r="r" b="b"/>
                            <a:pathLst>
                              <a:path w="90170" h="90170">
                                <a:moveTo>
                                  <a:pt x="89915" y="0"/>
                                </a:moveTo>
                                <a:lnTo>
                                  <a:pt x="0" y="0"/>
                                </a:lnTo>
                                <a:lnTo>
                                  <a:pt x="0" y="89916"/>
                                </a:lnTo>
                                <a:lnTo>
                                  <a:pt x="89915" y="89916"/>
                                </a:lnTo>
                                <a:lnTo>
                                  <a:pt x="89915" y="0"/>
                                </a:lnTo>
                                <a:close/>
                              </a:path>
                            </a:pathLst>
                          </a:custGeom>
                          <a:solidFill>
                            <a:srgbClr val="AA4643"/>
                          </a:solidFill>
                        </wps:spPr>
                        <wps:bodyPr wrap="square" lIns="0" tIns="0" rIns="0" bIns="0" rtlCol="0">
                          <a:prstTxWarp prst="textNoShape">
                            <a:avLst/>
                          </a:prstTxWarp>
                          <a:noAutofit/>
                        </wps:bodyPr>
                      </wps:wsp>
                      <wps:wsp>
                        <wps:cNvPr id="639" name="Graphic 639"/>
                        <wps:cNvSpPr/>
                        <wps:spPr>
                          <a:xfrm>
                            <a:off x="2908807" y="2271014"/>
                            <a:ext cx="90170" cy="90170"/>
                          </a:xfrm>
                          <a:custGeom>
                            <a:avLst/>
                            <a:gdLst/>
                            <a:ahLst/>
                            <a:cxnLst/>
                            <a:rect l="l" t="t" r="r" b="b"/>
                            <a:pathLst>
                              <a:path w="90170" h="90170">
                                <a:moveTo>
                                  <a:pt x="0" y="89916"/>
                                </a:moveTo>
                                <a:lnTo>
                                  <a:pt x="89915" y="89916"/>
                                </a:lnTo>
                                <a:lnTo>
                                  <a:pt x="89915" y="0"/>
                                </a:lnTo>
                                <a:lnTo>
                                  <a:pt x="0" y="0"/>
                                </a:lnTo>
                                <a:lnTo>
                                  <a:pt x="0" y="89916"/>
                                </a:lnTo>
                                <a:close/>
                              </a:path>
                            </a:pathLst>
                          </a:custGeom>
                          <a:ln w="9144">
                            <a:solidFill>
                              <a:srgbClr val="A8423E"/>
                            </a:solidFill>
                            <a:prstDash val="solid"/>
                          </a:ln>
                        </wps:spPr>
                        <wps:bodyPr wrap="square" lIns="0" tIns="0" rIns="0" bIns="0" rtlCol="0">
                          <a:prstTxWarp prst="textNoShape">
                            <a:avLst/>
                          </a:prstTxWarp>
                          <a:noAutofit/>
                        </wps:bodyPr>
                      </wps:wsp>
                      <wps:wsp>
                        <wps:cNvPr id="640" name="Graphic 640"/>
                        <wps:cNvSpPr/>
                        <wps:spPr>
                          <a:xfrm>
                            <a:off x="3041395" y="2278633"/>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AA4643"/>
                          </a:solidFill>
                        </wps:spPr>
                        <wps:bodyPr wrap="square" lIns="0" tIns="0" rIns="0" bIns="0" rtlCol="0">
                          <a:prstTxWarp prst="textNoShape">
                            <a:avLst/>
                          </a:prstTxWarp>
                          <a:noAutofit/>
                        </wps:bodyPr>
                      </wps:wsp>
                      <wps:wsp>
                        <wps:cNvPr id="641" name="Graphic 641"/>
                        <wps:cNvSpPr/>
                        <wps:spPr>
                          <a:xfrm>
                            <a:off x="3041395" y="2278633"/>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A8423E"/>
                            </a:solidFill>
                            <a:prstDash val="solid"/>
                          </a:ln>
                        </wps:spPr>
                        <wps:bodyPr wrap="square" lIns="0" tIns="0" rIns="0" bIns="0" rtlCol="0">
                          <a:prstTxWarp prst="textNoShape">
                            <a:avLst/>
                          </a:prstTxWarp>
                          <a:noAutofit/>
                        </wps:bodyPr>
                      </wps:wsp>
                      <wps:wsp>
                        <wps:cNvPr id="642" name="Graphic 642"/>
                        <wps:cNvSpPr/>
                        <wps:spPr>
                          <a:xfrm>
                            <a:off x="3173983" y="2287777"/>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AA4643"/>
                          </a:solidFill>
                        </wps:spPr>
                        <wps:bodyPr wrap="square" lIns="0" tIns="0" rIns="0" bIns="0" rtlCol="0">
                          <a:prstTxWarp prst="textNoShape">
                            <a:avLst/>
                          </a:prstTxWarp>
                          <a:noAutofit/>
                        </wps:bodyPr>
                      </wps:wsp>
                      <wps:wsp>
                        <wps:cNvPr id="643" name="Graphic 643"/>
                        <wps:cNvSpPr/>
                        <wps:spPr>
                          <a:xfrm>
                            <a:off x="3173983" y="2287777"/>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A8423E"/>
                            </a:solidFill>
                            <a:prstDash val="solid"/>
                          </a:ln>
                        </wps:spPr>
                        <wps:bodyPr wrap="square" lIns="0" tIns="0" rIns="0" bIns="0" rtlCol="0">
                          <a:prstTxWarp prst="textNoShape">
                            <a:avLst/>
                          </a:prstTxWarp>
                          <a:noAutofit/>
                        </wps:bodyPr>
                      </wps:wsp>
                      <wps:wsp>
                        <wps:cNvPr id="644" name="Graphic 644"/>
                        <wps:cNvSpPr/>
                        <wps:spPr>
                          <a:xfrm>
                            <a:off x="3306571" y="2121661"/>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AA4643"/>
                          </a:solidFill>
                        </wps:spPr>
                        <wps:bodyPr wrap="square" lIns="0" tIns="0" rIns="0" bIns="0" rtlCol="0">
                          <a:prstTxWarp prst="textNoShape">
                            <a:avLst/>
                          </a:prstTxWarp>
                          <a:noAutofit/>
                        </wps:bodyPr>
                      </wps:wsp>
                      <wps:wsp>
                        <wps:cNvPr id="645" name="Graphic 645"/>
                        <wps:cNvSpPr/>
                        <wps:spPr>
                          <a:xfrm>
                            <a:off x="3306571" y="2121661"/>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A8423E"/>
                            </a:solidFill>
                            <a:prstDash val="solid"/>
                          </a:ln>
                        </wps:spPr>
                        <wps:bodyPr wrap="square" lIns="0" tIns="0" rIns="0" bIns="0" rtlCol="0">
                          <a:prstTxWarp prst="textNoShape">
                            <a:avLst/>
                          </a:prstTxWarp>
                          <a:noAutofit/>
                        </wps:bodyPr>
                      </wps:wsp>
                      <wps:wsp>
                        <wps:cNvPr id="646" name="Graphic 646"/>
                        <wps:cNvSpPr/>
                        <wps:spPr>
                          <a:xfrm>
                            <a:off x="3439159" y="2136901"/>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AA4643"/>
                          </a:solidFill>
                        </wps:spPr>
                        <wps:bodyPr wrap="square" lIns="0" tIns="0" rIns="0" bIns="0" rtlCol="0">
                          <a:prstTxWarp prst="textNoShape">
                            <a:avLst/>
                          </a:prstTxWarp>
                          <a:noAutofit/>
                        </wps:bodyPr>
                      </wps:wsp>
                      <wps:wsp>
                        <wps:cNvPr id="647" name="Graphic 647"/>
                        <wps:cNvSpPr/>
                        <wps:spPr>
                          <a:xfrm>
                            <a:off x="3439159" y="2136901"/>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A8423E"/>
                            </a:solidFill>
                            <a:prstDash val="solid"/>
                          </a:ln>
                        </wps:spPr>
                        <wps:bodyPr wrap="square" lIns="0" tIns="0" rIns="0" bIns="0" rtlCol="0">
                          <a:prstTxWarp prst="textNoShape">
                            <a:avLst/>
                          </a:prstTxWarp>
                          <a:noAutofit/>
                        </wps:bodyPr>
                      </wps:wsp>
                      <wps:wsp>
                        <wps:cNvPr id="648" name="Graphic 648"/>
                        <wps:cNvSpPr/>
                        <wps:spPr>
                          <a:xfrm>
                            <a:off x="3571747" y="2191766"/>
                            <a:ext cx="88900" cy="90170"/>
                          </a:xfrm>
                          <a:custGeom>
                            <a:avLst/>
                            <a:gdLst/>
                            <a:ahLst/>
                            <a:cxnLst/>
                            <a:rect l="l" t="t" r="r" b="b"/>
                            <a:pathLst>
                              <a:path w="88900" h="90170">
                                <a:moveTo>
                                  <a:pt x="88391" y="0"/>
                                </a:moveTo>
                                <a:lnTo>
                                  <a:pt x="0" y="0"/>
                                </a:lnTo>
                                <a:lnTo>
                                  <a:pt x="0" y="89916"/>
                                </a:lnTo>
                                <a:lnTo>
                                  <a:pt x="88391" y="89916"/>
                                </a:lnTo>
                                <a:lnTo>
                                  <a:pt x="88391" y="0"/>
                                </a:lnTo>
                                <a:close/>
                              </a:path>
                            </a:pathLst>
                          </a:custGeom>
                          <a:solidFill>
                            <a:srgbClr val="AA4643"/>
                          </a:solidFill>
                        </wps:spPr>
                        <wps:bodyPr wrap="square" lIns="0" tIns="0" rIns="0" bIns="0" rtlCol="0">
                          <a:prstTxWarp prst="textNoShape">
                            <a:avLst/>
                          </a:prstTxWarp>
                          <a:noAutofit/>
                        </wps:bodyPr>
                      </wps:wsp>
                      <wps:wsp>
                        <wps:cNvPr id="649" name="Graphic 649"/>
                        <wps:cNvSpPr/>
                        <wps:spPr>
                          <a:xfrm>
                            <a:off x="3571747" y="2191766"/>
                            <a:ext cx="88900" cy="90170"/>
                          </a:xfrm>
                          <a:custGeom>
                            <a:avLst/>
                            <a:gdLst/>
                            <a:ahLst/>
                            <a:cxnLst/>
                            <a:rect l="l" t="t" r="r" b="b"/>
                            <a:pathLst>
                              <a:path w="88900" h="90170">
                                <a:moveTo>
                                  <a:pt x="0" y="89916"/>
                                </a:moveTo>
                                <a:lnTo>
                                  <a:pt x="88391" y="89916"/>
                                </a:lnTo>
                                <a:lnTo>
                                  <a:pt x="88391" y="0"/>
                                </a:lnTo>
                                <a:lnTo>
                                  <a:pt x="0" y="0"/>
                                </a:lnTo>
                                <a:lnTo>
                                  <a:pt x="0" y="89916"/>
                                </a:lnTo>
                                <a:close/>
                              </a:path>
                            </a:pathLst>
                          </a:custGeom>
                          <a:ln w="9144">
                            <a:solidFill>
                              <a:srgbClr val="A8423E"/>
                            </a:solidFill>
                            <a:prstDash val="solid"/>
                          </a:ln>
                        </wps:spPr>
                        <wps:bodyPr wrap="square" lIns="0" tIns="0" rIns="0" bIns="0" rtlCol="0">
                          <a:prstTxWarp prst="textNoShape">
                            <a:avLst/>
                          </a:prstTxWarp>
                          <a:noAutofit/>
                        </wps:bodyPr>
                      </wps:wsp>
                      <wps:wsp>
                        <wps:cNvPr id="650" name="Graphic 650"/>
                        <wps:cNvSpPr/>
                        <wps:spPr>
                          <a:xfrm>
                            <a:off x="3704335" y="2190242"/>
                            <a:ext cx="88900" cy="90170"/>
                          </a:xfrm>
                          <a:custGeom>
                            <a:avLst/>
                            <a:gdLst/>
                            <a:ahLst/>
                            <a:cxnLst/>
                            <a:rect l="l" t="t" r="r" b="b"/>
                            <a:pathLst>
                              <a:path w="88900" h="90170">
                                <a:moveTo>
                                  <a:pt x="88391" y="0"/>
                                </a:moveTo>
                                <a:lnTo>
                                  <a:pt x="0" y="0"/>
                                </a:lnTo>
                                <a:lnTo>
                                  <a:pt x="0" y="89916"/>
                                </a:lnTo>
                                <a:lnTo>
                                  <a:pt x="88391" y="89916"/>
                                </a:lnTo>
                                <a:lnTo>
                                  <a:pt x="88391" y="0"/>
                                </a:lnTo>
                                <a:close/>
                              </a:path>
                            </a:pathLst>
                          </a:custGeom>
                          <a:solidFill>
                            <a:srgbClr val="AA4643"/>
                          </a:solidFill>
                        </wps:spPr>
                        <wps:bodyPr wrap="square" lIns="0" tIns="0" rIns="0" bIns="0" rtlCol="0">
                          <a:prstTxWarp prst="textNoShape">
                            <a:avLst/>
                          </a:prstTxWarp>
                          <a:noAutofit/>
                        </wps:bodyPr>
                      </wps:wsp>
                      <wps:wsp>
                        <wps:cNvPr id="651" name="Graphic 651"/>
                        <wps:cNvSpPr/>
                        <wps:spPr>
                          <a:xfrm>
                            <a:off x="3704335" y="2190242"/>
                            <a:ext cx="88900" cy="90170"/>
                          </a:xfrm>
                          <a:custGeom>
                            <a:avLst/>
                            <a:gdLst/>
                            <a:ahLst/>
                            <a:cxnLst/>
                            <a:rect l="l" t="t" r="r" b="b"/>
                            <a:pathLst>
                              <a:path w="88900" h="90170">
                                <a:moveTo>
                                  <a:pt x="0" y="89916"/>
                                </a:moveTo>
                                <a:lnTo>
                                  <a:pt x="88391" y="89916"/>
                                </a:lnTo>
                                <a:lnTo>
                                  <a:pt x="88391" y="0"/>
                                </a:lnTo>
                                <a:lnTo>
                                  <a:pt x="0" y="0"/>
                                </a:lnTo>
                                <a:lnTo>
                                  <a:pt x="0" y="89916"/>
                                </a:lnTo>
                                <a:close/>
                              </a:path>
                            </a:pathLst>
                          </a:custGeom>
                          <a:ln w="9144">
                            <a:solidFill>
                              <a:srgbClr val="A8423E"/>
                            </a:solidFill>
                            <a:prstDash val="solid"/>
                          </a:ln>
                        </wps:spPr>
                        <wps:bodyPr wrap="square" lIns="0" tIns="0" rIns="0" bIns="0" rtlCol="0">
                          <a:prstTxWarp prst="textNoShape">
                            <a:avLst/>
                          </a:prstTxWarp>
                          <a:noAutofit/>
                        </wps:bodyPr>
                      </wps:wsp>
                      <wps:wsp>
                        <wps:cNvPr id="652" name="Graphic 652"/>
                        <wps:cNvSpPr/>
                        <wps:spPr>
                          <a:xfrm>
                            <a:off x="3836923" y="2269489"/>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AA4643"/>
                          </a:solidFill>
                        </wps:spPr>
                        <wps:bodyPr wrap="square" lIns="0" tIns="0" rIns="0" bIns="0" rtlCol="0">
                          <a:prstTxWarp prst="textNoShape">
                            <a:avLst/>
                          </a:prstTxWarp>
                          <a:noAutofit/>
                        </wps:bodyPr>
                      </wps:wsp>
                      <wps:wsp>
                        <wps:cNvPr id="653" name="Graphic 653"/>
                        <wps:cNvSpPr/>
                        <wps:spPr>
                          <a:xfrm>
                            <a:off x="3836923" y="2269489"/>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A8423E"/>
                            </a:solidFill>
                            <a:prstDash val="solid"/>
                          </a:ln>
                        </wps:spPr>
                        <wps:bodyPr wrap="square" lIns="0" tIns="0" rIns="0" bIns="0" rtlCol="0">
                          <a:prstTxWarp prst="textNoShape">
                            <a:avLst/>
                          </a:prstTxWarp>
                          <a:noAutofit/>
                        </wps:bodyPr>
                      </wps:wsp>
                      <wps:wsp>
                        <wps:cNvPr id="654" name="Graphic 654"/>
                        <wps:cNvSpPr/>
                        <wps:spPr>
                          <a:xfrm>
                            <a:off x="1628648" y="2274061"/>
                            <a:ext cx="2251075" cy="93345"/>
                          </a:xfrm>
                          <a:custGeom>
                            <a:avLst/>
                            <a:gdLst/>
                            <a:ahLst/>
                            <a:cxnLst/>
                            <a:rect l="l" t="t" r="r" b="b"/>
                            <a:pathLst>
                              <a:path w="2251075" h="93345">
                                <a:moveTo>
                                  <a:pt x="0" y="92963"/>
                                </a:moveTo>
                                <a:lnTo>
                                  <a:pt x="132587" y="86868"/>
                                </a:lnTo>
                                <a:lnTo>
                                  <a:pt x="265175" y="89916"/>
                                </a:lnTo>
                                <a:lnTo>
                                  <a:pt x="397763" y="79248"/>
                                </a:lnTo>
                                <a:lnTo>
                                  <a:pt x="530351" y="85344"/>
                                </a:lnTo>
                                <a:lnTo>
                                  <a:pt x="661415" y="85344"/>
                                </a:lnTo>
                                <a:lnTo>
                                  <a:pt x="794003" y="85344"/>
                                </a:lnTo>
                                <a:lnTo>
                                  <a:pt x="926591" y="83820"/>
                                </a:lnTo>
                                <a:lnTo>
                                  <a:pt x="1059179" y="73151"/>
                                </a:lnTo>
                                <a:lnTo>
                                  <a:pt x="1191767" y="70103"/>
                                </a:lnTo>
                                <a:lnTo>
                                  <a:pt x="1324355" y="67055"/>
                                </a:lnTo>
                                <a:lnTo>
                                  <a:pt x="1456943" y="71627"/>
                                </a:lnTo>
                                <a:lnTo>
                                  <a:pt x="1589531" y="76200"/>
                                </a:lnTo>
                                <a:lnTo>
                                  <a:pt x="1720596" y="68579"/>
                                </a:lnTo>
                                <a:lnTo>
                                  <a:pt x="1853184" y="71627"/>
                                </a:lnTo>
                                <a:lnTo>
                                  <a:pt x="1985772" y="1524"/>
                                </a:lnTo>
                                <a:lnTo>
                                  <a:pt x="2118360" y="0"/>
                                </a:lnTo>
                                <a:lnTo>
                                  <a:pt x="2250948" y="48768"/>
                                </a:lnTo>
                              </a:path>
                            </a:pathLst>
                          </a:custGeom>
                          <a:ln w="27432">
                            <a:solidFill>
                              <a:srgbClr val="85A349"/>
                            </a:solidFill>
                            <a:prstDash val="solid"/>
                          </a:ln>
                        </wps:spPr>
                        <wps:bodyPr wrap="square" lIns="0" tIns="0" rIns="0" bIns="0" rtlCol="0">
                          <a:prstTxWarp prst="textNoShape">
                            <a:avLst/>
                          </a:prstTxWarp>
                          <a:noAutofit/>
                        </wps:bodyPr>
                      </wps:wsp>
                      <pic:pic>
                        <pic:nvPicPr>
                          <pic:cNvPr id="655" name="Image 655"/>
                          <pic:cNvPicPr/>
                        </pic:nvPicPr>
                        <pic:blipFill>
                          <a:blip r:embed="rId157" cstate="print"/>
                          <a:stretch>
                            <a:fillRect/>
                          </a:stretch>
                        </pic:blipFill>
                        <pic:spPr>
                          <a:xfrm>
                            <a:off x="1579880" y="2319401"/>
                            <a:ext cx="98044" cy="97917"/>
                          </a:xfrm>
                          <a:prstGeom prst="rect">
                            <a:avLst/>
                          </a:prstGeom>
                        </pic:spPr>
                      </pic:pic>
                      <pic:pic>
                        <pic:nvPicPr>
                          <pic:cNvPr id="656" name="Image 656"/>
                          <pic:cNvPicPr/>
                        </pic:nvPicPr>
                        <pic:blipFill>
                          <a:blip r:embed="rId157" cstate="print"/>
                          <a:stretch>
                            <a:fillRect/>
                          </a:stretch>
                        </pic:blipFill>
                        <pic:spPr>
                          <a:xfrm>
                            <a:off x="1712341" y="2313813"/>
                            <a:ext cx="98044" cy="97917"/>
                          </a:xfrm>
                          <a:prstGeom prst="rect">
                            <a:avLst/>
                          </a:prstGeom>
                        </pic:spPr>
                      </pic:pic>
                      <pic:pic>
                        <pic:nvPicPr>
                          <pic:cNvPr id="657" name="Image 657"/>
                          <pic:cNvPicPr/>
                        </pic:nvPicPr>
                        <pic:blipFill>
                          <a:blip r:embed="rId158" cstate="print"/>
                          <a:stretch>
                            <a:fillRect/>
                          </a:stretch>
                        </pic:blipFill>
                        <pic:spPr>
                          <a:xfrm>
                            <a:off x="1844801" y="2316226"/>
                            <a:ext cx="98044" cy="98044"/>
                          </a:xfrm>
                          <a:prstGeom prst="rect">
                            <a:avLst/>
                          </a:prstGeom>
                        </pic:spPr>
                      </pic:pic>
                      <pic:pic>
                        <pic:nvPicPr>
                          <pic:cNvPr id="658" name="Image 658"/>
                          <pic:cNvPicPr/>
                        </pic:nvPicPr>
                        <pic:blipFill>
                          <a:blip r:embed="rId159" cstate="print"/>
                          <a:stretch>
                            <a:fillRect/>
                          </a:stretch>
                        </pic:blipFill>
                        <pic:spPr>
                          <a:xfrm>
                            <a:off x="1977263" y="2305811"/>
                            <a:ext cx="98044" cy="97917"/>
                          </a:xfrm>
                          <a:prstGeom prst="rect">
                            <a:avLst/>
                          </a:prstGeom>
                        </pic:spPr>
                      </pic:pic>
                      <pic:pic>
                        <pic:nvPicPr>
                          <pic:cNvPr id="659" name="Image 659"/>
                          <pic:cNvPicPr/>
                        </pic:nvPicPr>
                        <pic:blipFill>
                          <a:blip r:embed="rId160" cstate="print"/>
                          <a:stretch>
                            <a:fillRect/>
                          </a:stretch>
                        </pic:blipFill>
                        <pic:spPr>
                          <a:xfrm>
                            <a:off x="2109723" y="2312161"/>
                            <a:ext cx="98044" cy="97917"/>
                          </a:xfrm>
                          <a:prstGeom prst="rect">
                            <a:avLst/>
                          </a:prstGeom>
                        </pic:spPr>
                      </pic:pic>
                      <pic:pic>
                        <pic:nvPicPr>
                          <pic:cNvPr id="660" name="Image 660"/>
                          <pic:cNvPicPr/>
                        </pic:nvPicPr>
                        <pic:blipFill>
                          <a:blip r:embed="rId158" cstate="print"/>
                          <a:stretch>
                            <a:fillRect/>
                          </a:stretch>
                        </pic:blipFill>
                        <pic:spPr>
                          <a:xfrm>
                            <a:off x="2242185" y="2311400"/>
                            <a:ext cx="98044" cy="97917"/>
                          </a:xfrm>
                          <a:prstGeom prst="rect">
                            <a:avLst/>
                          </a:prstGeom>
                        </pic:spPr>
                      </pic:pic>
                      <pic:pic>
                        <pic:nvPicPr>
                          <pic:cNvPr id="661" name="Image 661"/>
                          <pic:cNvPicPr/>
                        </pic:nvPicPr>
                        <pic:blipFill>
                          <a:blip r:embed="rId158" cstate="print"/>
                          <a:stretch>
                            <a:fillRect/>
                          </a:stretch>
                        </pic:blipFill>
                        <pic:spPr>
                          <a:xfrm>
                            <a:off x="2374645" y="2311400"/>
                            <a:ext cx="98044" cy="97917"/>
                          </a:xfrm>
                          <a:prstGeom prst="rect">
                            <a:avLst/>
                          </a:prstGeom>
                        </pic:spPr>
                      </pic:pic>
                      <pic:pic>
                        <pic:nvPicPr>
                          <pic:cNvPr id="662" name="Image 662"/>
                          <pic:cNvPicPr/>
                        </pic:nvPicPr>
                        <pic:blipFill>
                          <a:blip r:embed="rId158" cstate="print"/>
                          <a:stretch>
                            <a:fillRect/>
                          </a:stretch>
                        </pic:blipFill>
                        <pic:spPr>
                          <a:xfrm>
                            <a:off x="2507107" y="2310510"/>
                            <a:ext cx="98044" cy="98044"/>
                          </a:xfrm>
                          <a:prstGeom prst="rect">
                            <a:avLst/>
                          </a:prstGeom>
                        </pic:spPr>
                      </pic:pic>
                      <pic:pic>
                        <pic:nvPicPr>
                          <pic:cNvPr id="663" name="Image 663"/>
                          <pic:cNvPicPr/>
                        </pic:nvPicPr>
                        <pic:blipFill>
                          <a:blip r:embed="rId161" cstate="print"/>
                          <a:stretch>
                            <a:fillRect/>
                          </a:stretch>
                        </pic:blipFill>
                        <pic:spPr>
                          <a:xfrm>
                            <a:off x="2639567" y="2299080"/>
                            <a:ext cx="98171" cy="98044"/>
                          </a:xfrm>
                          <a:prstGeom prst="rect">
                            <a:avLst/>
                          </a:prstGeom>
                        </pic:spPr>
                      </pic:pic>
                      <pic:pic>
                        <pic:nvPicPr>
                          <pic:cNvPr id="664" name="Image 664"/>
                          <pic:cNvPicPr/>
                        </pic:nvPicPr>
                        <pic:blipFill>
                          <a:blip r:embed="rId162" cstate="print"/>
                          <a:stretch>
                            <a:fillRect/>
                          </a:stretch>
                        </pic:blipFill>
                        <pic:spPr>
                          <a:xfrm>
                            <a:off x="2772029" y="2296922"/>
                            <a:ext cx="98171" cy="97917"/>
                          </a:xfrm>
                          <a:prstGeom prst="rect">
                            <a:avLst/>
                          </a:prstGeom>
                        </pic:spPr>
                      </pic:pic>
                      <pic:pic>
                        <pic:nvPicPr>
                          <pic:cNvPr id="665" name="Image 665"/>
                          <pic:cNvPicPr/>
                        </pic:nvPicPr>
                        <pic:blipFill>
                          <a:blip r:embed="rId159" cstate="print"/>
                          <a:stretch>
                            <a:fillRect/>
                          </a:stretch>
                        </pic:blipFill>
                        <pic:spPr>
                          <a:xfrm>
                            <a:off x="2904617" y="2292985"/>
                            <a:ext cx="98044" cy="97917"/>
                          </a:xfrm>
                          <a:prstGeom prst="rect">
                            <a:avLst/>
                          </a:prstGeom>
                        </pic:spPr>
                      </pic:pic>
                      <pic:pic>
                        <pic:nvPicPr>
                          <pic:cNvPr id="666" name="Image 666"/>
                          <pic:cNvPicPr/>
                        </pic:nvPicPr>
                        <pic:blipFill>
                          <a:blip r:embed="rId163" cstate="print"/>
                          <a:stretch>
                            <a:fillRect/>
                          </a:stretch>
                        </pic:blipFill>
                        <pic:spPr>
                          <a:xfrm>
                            <a:off x="3037077" y="2298192"/>
                            <a:ext cx="98044" cy="98044"/>
                          </a:xfrm>
                          <a:prstGeom prst="rect">
                            <a:avLst/>
                          </a:prstGeom>
                        </pic:spPr>
                      </pic:pic>
                      <pic:pic>
                        <pic:nvPicPr>
                          <pic:cNvPr id="667" name="Image 667"/>
                          <pic:cNvPicPr/>
                        </pic:nvPicPr>
                        <pic:blipFill>
                          <a:blip r:embed="rId158" cstate="print"/>
                          <a:stretch>
                            <a:fillRect/>
                          </a:stretch>
                        </pic:blipFill>
                        <pic:spPr>
                          <a:xfrm>
                            <a:off x="3169539" y="2302255"/>
                            <a:ext cx="98044" cy="98044"/>
                          </a:xfrm>
                          <a:prstGeom prst="rect">
                            <a:avLst/>
                          </a:prstGeom>
                        </pic:spPr>
                      </pic:pic>
                      <pic:pic>
                        <pic:nvPicPr>
                          <pic:cNvPr id="668" name="Image 668"/>
                          <pic:cNvPicPr/>
                        </pic:nvPicPr>
                        <pic:blipFill>
                          <a:blip r:embed="rId163" cstate="print"/>
                          <a:stretch>
                            <a:fillRect/>
                          </a:stretch>
                        </pic:blipFill>
                        <pic:spPr>
                          <a:xfrm>
                            <a:off x="3302000" y="2295398"/>
                            <a:ext cx="98044" cy="98044"/>
                          </a:xfrm>
                          <a:prstGeom prst="rect">
                            <a:avLst/>
                          </a:prstGeom>
                        </pic:spPr>
                      </pic:pic>
                      <pic:pic>
                        <pic:nvPicPr>
                          <pic:cNvPr id="669" name="Image 669"/>
                          <pic:cNvPicPr/>
                        </pic:nvPicPr>
                        <pic:blipFill>
                          <a:blip r:embed="rId160" cstate="print"/>
                          <a:stretch>
                            <a:fillRect/>
                          </a:stretch>
                        </pic:blipFill>
                        <pic:spPr>
                          <a:xfrm>
                            <a:off x="3434460" y="2298064"/>
                            <a:ext cx="98044" cy="97917"/>
                          </a:xfrm>
                          <a:prstGeom prst="rect">
                            <a:avLst/>
                          </a:prstGeom>
                        </pic:spPr>
                      </pic:pic>
                      <pic:pic>
                        <pic:nvPicPr>
                          <pic:cNvPr id="670" name="Image 670"/>
                          <pic:cNvPicPr/>
                        </pic:nvPicPr>
                        <pic:blipFill>
                          <a:blip r:embed="rId160" cstate="print"/>
                          <a:stretch>
                            <a:fillRect/>
                          </a:stretch>
                        </pic:blipFill>
                        <pic:spPr>
                          <a:xfrm>
                            <a:off x="3566921" y="2226691"/>
                            <a:ext cx="98044" cy="97917"/>
                          </a:xfrm>
                          <a:prstGeom prst="rect">
                            <a:avLst/>
                          </a:prstGeom>
                        </pic:spPr>
                      </pic:pic>
                      <pic:pic>
                        <pic:nvPicPr>
                          <pic:cNvPr id="671" name="Image 671"/>
                          <pic:cNvPicPr/>
                        </pic:nvPicPr>
                        <pic:blipFill>
                          <a:blip r:embed="rId158" cstate="print"/>
                          <a:stretch>
                            <a:fillRect/>
                          </a:stretch>
                        </pic:blipFill>
                        <pic:spPr>
                          <a:xfrm>
                            <a:off x="3699383" y="2225294"/>
                            <a:ext cx="98044" cy="97917"/>
                          </a:xfrm>
                          <a:prstGeom prst="rect">
                            <a:avLst/>
                          </a:prstGeom>
                        </pic:spPr>
                      </pic:pic>
                      <pic:pic>
                        <pic:nvPicPr>
                          <pic:cNvPr id="672" name="Image 672"/>
                          <pic:cNvPicPr/>
                        </pic:nvPicPr>
                        <pic:blipFill>
                          <a:blip r:embed="rId157" cstate="print"/>
                          <a:stretch>
                            <a:fillRect/>
                          </a:stretch>
                        </pic:blipFill>
                        <pic:spPr>
                          <a:xfrm>
                            <a:off x="3831844" y="2274570"/>
                            <a:ext cx="98044" cy="97917"/>
                          </a:xfrm>
                          <a:prstGeom prst="rect">
                            <a:avLst/>
                          </a:prstGeom>
                        </pic:spPr>
                      </pic:pic>
                      <wps:wsp>
                        <wps:cNvPr id="673" name="Graphic 673"/>
                        <wps:cNvSpPr/>
                        <wps:spPr>
                          <a:xfrm>
                            <a:off x="1628648" y="2271014"/>
                            <a:ext cx="2251075" cy="97790"/>
                          </a:xfrm>
                          <a:custGeom>
                            <a:avLst/>
                            <a:gdLst/>
                            <a:ahLst/>
                            <a:cxnLst/>
                            <a:rect l="l" t="t" r="r" b="b"/>
                            <a:pathLst>
                              <a:path w="2251075" h="97790">
                                <a:moveTo>
                                  <a:pt x="0" y="97535"/>
                                </a:moveTo>
                                <a:lnTo>
                                  <a:pt x="132587" y="89916"/>
                                </a:lnTo>
                                <a:lnTo>
                                  <a:pt x="265175" y="94487"/>
                                </a:lnTo>
                                <a:lnTo>
                                  <a:pt x="397763" y="94487"/>
                                </a:lnTo>
                                <a:lnTo>
                                  <a:pt x="530351" y="94487"/>
                                </a:lnTo>
                                <a:lnTo>
                                  <a:pt x="661415" y="94487"/>
                                </a:lnTo>
                                <a:lnTo>
                                  <a:pt x="794003" y="89916"/>
                                </a:lnTo>
                                <a:lnTo>
                                  <a:pt x="926591" y="86868"/>
                                </a:lnTo>
                                <a:lnTo>
                                  <a:pt x="1059179" y="71627"/>
                                </a:lnTo>
                                <a:lnTo>
                                  <a:pt x="1191767" y="76200"/>
                                </a:lnTo>
                                <a:lnTo>
                                  <a:pt x="1324355" y="62483"/>
                                </a:lnTo>
                                <a:lnTo>
                                  <a:pt x="1456943" y="77724"/>
                                </a:lnTo>
                                <a:lnTo>
                                  <a:pt x="1589531" y="79248"/>
                                </a:lnTo>
                                <a:lnTo>
                                  <a:pt x="1720596" y="77724"/>
                                </a:lnTo>
                                <a:lnTo>
                                  <a:pt x="1853184" y="79248"/>
                                </a:lnTo>
                                <a:lnTo>
                                  <a:pt x="1985772" y="0"/>
                                </a:lnTo>
                                <a:lnTo>
                                  <a:pt x="2118360" y="12192"/>
                                </a:lnTo>
                                <a:lnTo>
                                  <a:pt x="2250948" y="79248"/>
                                </a:lnTo>
                              </a:path>
                            </a:pathLst>
                          </a:custGeom>
                          <a:ln w="27431">
                            <a:solidFill>
                              <a:srgbClr val="6D538D"/>
                            </a:solidFill>
                            <a:prstDash val="solid"/>
                          </a:ln>
                        </wps:spPr>
                        <wps:bodyPr wrap="square" lIns="0" tIns="0" rIns="0" bIns="0" rtlCol="0">
                          <a:prstTxWarp prst="textNoShape">
                            <a:avLst/>
                          </a:prstTxWarp>
                          <a:noAutofit/>
                        </wps:bodyPr>
                      </wps:wsp>
                      <wps:wsp>
                        <wps:cNvPr id="674" name="Graphic 674"/>
                        <wps:cNvSpPr/>
                        <wps:spPr>
                          <a:xfrm>
                            <a:off x="1584452" y="2226817"/>
                            <a:ext cx="2341245" cy="186055"/>
                          </a:xfrm>
                          <a:custGeom>
                            <a:avLst/>
                            <a:gdLst/>
                            <a:ahLst/>
                            <a:cxnLst/>
                            <a:rect l="l" t="t" r="r" b="b"/>
                            <a:pathLst>
                              <a:path w="2341245" h="186055">
                                <a:moveTo>
                                  <a:pt x="44196" y="140970"/>
                                </a:moveTo>
                                <a:lnTo>
                                  <a:pt x="0" y="185927"/>
                                </a:lnTo>
                                <a:lnTo>
                                  <a:pt x="88392" y="185927"/>
                                </a:lnTo>
                                <a:lnTo>
                                  <a:pt x="44196" y="140970"/>
                                </a:lnTo>
                                <a:close/>
                              </a:path>
                              <a:path w="2341245" h="186055">
                                <a:moveTo>
                                  <a:pt x="88392" y="96012"/>
                                </a:moveTo>
                                <a:lnTo>
                                  <a:pt x="0" y="96012"/>
                                </a:lnTo>
                                <a:lnTo>
                                  <a:pt x="44196" y="140970"/>
                                </a:lnTo>
                                <a:lnTo>
                                  <a:pt x="88392" y="96012"/>
                                </a:lnTo>
                                <a:close/>
                              </a:path>
                              <a:path w="2341245" h="186055">
                                <a:moveTo>
                                  <a:pt x="176784" y="133350"/>
                                </a:moveTo>
                                <a:lnTo>
                                  <a:pt x="132587" y="178307"/>
                                </a:lnTo>
                                <a:lnTo>
                                  <a:pt x="220980" y="178307"/>
                                </a:lnTo>
                                <a:lnTo>
                                  <a:pt x="176784" y="133350"/>
                                </a:lnTo>
                                <a:close/>
                              </a:path>
                              <a:path w="2341245" h="186055">
                                <a:moveTo>
                                  <a:pt x="220980" y="88392"/>
                                </a:moveTo>
                                <a:lnTo>
                                  <a:pt x="132587" y="88392"/>
                                </a:lnTo>
                                <a:lnTo>
                                  <a:pt x="176784" y="133350"/>
                                </a:lnTo>
                                <a:lnTo>
                                  <a:pt x="220980" y="88392"/>
                                </a:lnTo>
                                <a:close/>
                              </a:path>
                              <a:path w="2341245" h="186055">
                                <a:moveTo>
                                  <a:pt x="309372" y="138683"/>
                                </a:moveTo>
                                <a:lnTo>
                                  <a:pt x="265175" y="182879"/>
                                </a:lnTo>
                                <a:lnTo>
                                  <a:pt x="353568" y="182879"/>
                                </a:lnTo>
                                <a:lnTo>
                                  <a:pt x="309372" y="138683"/>
                                </a:lnTo>
                                <a:close/>
                              </a:path>
                              <a:path w="2341245" h="186055">
                                <a:moveTo>
                                  <a:pt x="353568" y="94488"/>
                                </a:moveTo>
                                <a:lnTo>
                                  <a:pt x="265175" y="94488"/>
                                </a:lnTo>
                                <a:lnTo>
                                  <a:pt x="309372" y="138683"/>
                                </a:lnTo>
                                <a:lnTo>
                                  <a:pt x="353568" y="94488"/>
                                </a:lnTo>
                                <a:close/>
                              </a:path>
                              <a:path w="2341245" h="186055">
                                <a:moveTo>
                                  <a:pt x="441960" y="137922"/>
                                </a:moveTo>
                                <a:lnTo>
                                  <a:pt x="397764" y="182879"/>
                                </a:lnTo>
                                <a:lnTo>
                                  <a:pt x="486156" y="182879"/>
                                </a:lnTo>
                                <a:lnTo>
                                  <a:pt x="441960" y="137922"/>
                                </a:lnTo>
                                <a:close/>
                              </a:path>
                              <a:path w="2341245" h="186055">
                                <a:moveTo>
                                  <a:pt x="486156" y="92964"/>
                                </a:moveTo>
                                <a:lnTo>
                                  <a:pt x="397764" y="92964"/>
                                </a:lnTo>
                                <a:lnTo>
                                  <a:pt x="441960" y="137922"/>
                                </a:lnTo>
                                <a:lnTo>
                                  <a:pt x="486156" y="92964"/>
                                </a:lnTo>
                                <a:close/>
                              </a:path>
                              <a:path w="2341245" h="186055">
                                <a:moveTo>
                                  <a:pt x="574548" y="138683"/>
                                </a:moveTo>
                                <a:lnTo>
                                  <a:pt x="530352" y="182879"/>
                                </a:lnTo>
                                <a:lnTo>
                                  <a:pt x="618744" y="182879"/>
                                </a:lnTo>
                                <a:lnTo>
                                  <a:pt x="574548" y="138683"/>
                                </a:lnTo>
                                <a:close/>
                              </a:path>
                              <a:path w="2341245" h="186055">
                                <a:moveTo>
                                  <a:pt x="618744" y="94488"/>
                                </a:moveTo>
                                <a:lnTo>
                                  <a:pt x="530352" y="94488"/>
                                </a:lnTo>
                                <a:lnTo>
                                  <a:pt x="574548" y="138683"/>
                                </a:lnTo>
                                <a:lnTo>
                                  <a:pt x="618744" y="94488"/>
                                </a:lnTo>
                                <a:close/>
                              </a:path>
                              <a:path w="2341245" h="186055">
                                <a:moveTo>
                                  <a:pt x="707136" y="137922"/>
                                </a:moveTo>
                                <a:lnTo>
                                  <a:pt x="662940" y="182879"/>
                                </a:lnTo>
                                <a:lnTo>
                                  <a:pt x="751332" y="182879"/>
                                </a:lnTo>
                                <a:lnTo>
                                  <a:pt x="707136" y="137922"/>
                                </a:lnTo>
                                <a:close/>
                              </a:path>
                              <a:path w="2341245" h="186055">
                                <a:moveTo>
                                  <a:pt x="751332" y="92964"/>
                                </a:moveTo>
                                <a:lnTo>
                                  <a:pt x="662940" y="92964"/>
                                </a:lnTo>
                                <a:lnTo>
                                  <a:pt x="707136" y="137922"/>
                                </a:lnTo>
                                <a:lnTo>
                                  <a:pt x="751332" y="92964"/>
                                </a:lnTo>
                                <a:close/>
                              </a:path>
                              <a:path w="2341245" h="186055">
                                <a:moveTo>
                                  <a:pt x="839724" y="134112"/>
                                </a:moveTo>
                                <a:lnTo>
                                  <a:pt x="795527" y="178307"/>
                                </a:lnTo>
                                <a:lnTo>
                                  <a:pt x="883920" y="178307"/>
                                </a:lnTo>
                                <a:lnTo>
                                  <a:pt x="839724" y="134112"/>
                                </a:lnTo>
                                <a:close/>
                              </a:path>
                              <a:path w="2341245" h="186055">
                                <a:moveTo>
                                  <a:pt x="883920" y="89916"/>
                                </a:moveTo>
                                <a:lnTo>
                                  <a:pt x="795527" y="89916"/>
                                </a:lnTo>
                                <a:lnTo>
                                  <a:pt x="839724" y="134112"/>
                                </a:lnTo>
                                <a:lnTo>
                                  <a:pt x="883920" y="89916"/>
                                </a:lnTo>
                                <a:close/>
                              </a:path>
                              <a:path w="2341245" h="186055">
                                <a:moveTo>
                                  <a:pt x="971550" y="131825"/>
                                </a:moveTo>
                                <a:lnTo>
                                  <a:pt x="926592" y="176783"/>
                                </a:lnTo>
                                <a:lnTo>
                                  <a:pt x="1016508" y="176783"/>
                                </a:lnTo>
                                <a:lnTo>
                                  <a:pt x="971550" y="131825"/>
                                </a:lnTo>
                                <a:close/>
                              </a:path>
                              <a:path w="2341245" h="186055">
                                <a:moveTo>
                                  <a:pt x="1016508" y="86868"/>
                                </a:moveTo>
                                <a:lnTo>
                                  <a:pt x="926592" y="86868"/>
                                </a:lnTo>
                                <a:lnTo>
                                  <a:pt x="971550" y="131825"/>
                                </a:lnTo>
                                <a:lnTo>
                                  <a:pt x="1016508" y="86868"/>
                                </a:lnTo>
                                <a:close/>
                              </a:path>
                              <a:path w="2341245" h="186055">
                                <a:moveTo>
                                  <a:pt x="1104138" y="115824"/>
                                </a:moveTo>
                                <a:lnTo>
                                  <a:pt x="1059180" y="160020"/>
                                </a:lnTo>
                                <a:lnTo>
                                  <a:pt x="1149096" y="160020"/>
                                </a:lnTo>
                                <a:lnTo>
                                  <a:pt x="1104138" y="115824"/>
                                </a:lnTo>
                                <a:close/>
                              </a:path>
                              <a:path w="2341245" h="186055">
                                <a:moveTo>
                                  <a:pt x="1149096" y="71627"/>
                                </a:moveTo>
                                <a:lnTo>
                                  <a:pt x="1059180" y="71627"/>
                                </a:lnTo>
                                <a:lnTo>
                                  <a:pt x="1104138" y="115824"/>
                                </a:lnTo>
                                <a:lnTo>
                                  <a:pt x="1149096" y="71627"/>
                                </a:lnTo>
                                <a:close/>
                              </a:path>
                              <a:path w="2341245" h="186055">
                                <a:moveTo>
                                  <a:pt x="1236726" y="119633"/>
                                </a:moveTo>
                                <a:lnTo>
                                  <a:pt x="1191768" y="164592"/>
                                </a:lnTo>
                                <a:lnTo>
                                  <a:pt x="1281684" y="164592"/>
                                </a:lnTo>
                                <a:lnTo>
                                  <a:pt x="1236726" y="119633"/>
                                </a:lnTo>
                                <a:close/>
                              </a:path>
                              <a:path w="2341245" h="186055">
                                <a:moveTo>
                                  <a:pt x="1281684" y="74675"/>
                                </a:moveTo>
                                <a:lnTo>
                                  <a:pt x="1191768" y="74675"/>
                                </a:lnTo>
                                <a:lnTo>
                                  <a:pt x="1236726" y="119633"/>
                                </a:lnTo>
                                <a:lnTo>
                                  <a:pt x="1281684" y="74675"/>
                                </a:lnTo>
                                <a:close/>
                              </a:path>
                              <a:path w="2341245" h="186055">
                                <a:moveTo>
                                  <a:pt x="1369314" y="106679"/>
                                </a:moveTo>
                                <a:lnTo>
                                  <a:pt x="1324356" y="150875"/>
                                </a:lnTo>
                                <a:lnTo>
                                  <a:pt x="1414272" y="150875"/>
                                </a:lnTo>
                                <a:lnTo>
                                  <a:pt x="1369314" y="106679"/>
                                </a:lnTo>
                                <a:close/>
                              </a:path>
                              <a:path w="2341245" h="186055">
                                <a:moveTo>
                                  <a:pt x="1414272" y="62483"/>
                                </a:moveTo>
                                <a:lnTo>
                                  <a:pt x="1324356" y="62483"/>
                                </a:lnTo>
                                <a:lnTo>
                                  <a:pt x="1369314" y="106679"/>
                                </a:lnTo>
                                <a:lnTo>
                                  <a:pt x="1414272" y="62483"/>
                                </a:lnTo>
                                <a:close/>
                              </a:path>
                              <a:path w="2341245" h="186055">
                                <a:moveTo>
                                  <a:pt x="1501140" y="121920"/>
                                </a:moveTo>
                                <a:lnTo>
                                  <a:pt x="1456944" y="166116"/>
                                </a:lnTo>
                                <a:lnTo>
                                  <a:pt x="1545336" y="166116"/>
                                </a:lnTo>
                                <a:lnTo>
                                  <a:pt x="1501140" y="121920"/>
                                </a:lnTo>
                                <a:close/>
                              </a:path>
                              <a:path w="2341245" h="186055">
                                <a:moveTo>
                                  <a:pt x="1545336" y="77724"/>
                                </a:moveTo>
                                <a:lnTo>
                                  <a:pt x="1456944" y="77724"/>
                                </a:lnTo>
                                <a:lnTo>
                                  <a:pt x="1501140" y="121920"/>
                                </a:lnTo>
                                <a:lnTo>
                                  <a:pt x="1545336" y="77724"/>
                                </a:lnTo>
                                <a:close/>
                              </a:path>
                              <a:path w="2341245" h="186055">
                                <a:moveTo>
                                  <a:pt x="1633727" y="123444"/>
                                </a:moveTo>
                                <a:lnTo>
                                  <a:pt x="1589532" y="167640"/>
                                </a:lnTo>
                                <a:lnTo>
                                  <a:pt x="1677924" y="167640"/>
                                </a:lnTo>
                                <a:lnTo>
                                  <a:pt x="1633727" y="123444"/>
                                </a:lnTo>
                                <a:close/>
                              </a:path>
                              <a:path w="2341245" h="186055">
                                <a:moveTo>
                                  <a:pt x="1677924" y="79248"/>
                                </a:moveTo>
                                <a:lnTo>
                                  <a:pt x="1589532" y="79248"/>
                                </a:lnTo>
                                <a:lnTo>
                                  <a:pt x="1633727" y="123444"/>
                                </a:lnTo>
                                <a:lnTo>
                                  <a:pt x="1677924" y="79248"/>
                                </a:lnTo>
                                <a:close/>
                              </a:path>
                              <a:path w="2341245" h="186055">
                                <a:moveTo>
                                  <a:pt x="1766316" y="121158"/>
                                </a:moveTo>
                                <a:lnTo>
                                  <a:pt x="1722120" y="166116"/>
                                </a:lnTo>
                                <a:lnTo>
                                  <a:pt x="1810512" y="166116"/>
                                </a:lnTo>
                                <a:lnTo>
                                  <a:pt x="1766316" y="121158"/>
                                </a:lnTo>
                                <a:close/>
                              </a:path>
                              <a:path w="2341245" h="186055">
                                <a:moveTo>
                                  <a:pt x="1810512" y="76200"/>
                                </a:moveTo>
                                <a:lnTo>
                                  <a:pt x="1722120" y="76200"/>
                                </a:lnTo>
                                <a:lnTo>
                                  <a:pt x="1766316" y="121158"/>
                                </a:lnTo>
                                <a:lnTo>
                                  <a:pt x="1810512" y="76200"/>
                                </a:lnTo>
                                <a:close/>
                              </a:path>
                              <a:path w="2341245" h="186055">
                                <a:moveTo>
                                  <a:pt x="1898903" y="123444"/>
                                </a:moveTo>
                                <a:lnTo>
                                  <a:pt x="1854708" y="167640"/>
                                </a:lnTo>
                                <a:lnTo>
                                  <a:pt x="1943100" y="167640"/>
                                </a:lnTo>
                                <a:lnTo>
                                  <a:pt x="1898903" y="123444"/>
                                </a:lnTo>
                                <a:close/>
                              </a:path>
                              <a:path w="2341245" h="186055">
                                <a:moveTo>
                                  <a:pt x="1943100" y="79248"/>
                                </a:moveTo>
                                <a:lnTo>
                                  <a:pt x="1854708" y="79248"/>
                                </a:lnTo>
                                <a:lnTo>
                                  <a:pt x="1898903" y="123444"/>
                                </a:lnTo>
                                <a:lnTo>
                                  <a:pt x="1943100" y="79248"/>
                                </a:lnTo>
                                <a:close/>
                              </a:path>
                              <a:path w="2341245" h="186055">
                                <a:moveTo>
                                  <a:pt x="2031492" y="44958"/>
                                </a:moveTo>
                                <a:lnTo>
                                  <a:pt x="1987296" y="89916"/>
                                </a:lnTo>
                                <a:lnTo>
                                  <a:pt x="2075688" y="89916"/>
                                </a:lnTo>
                                <a:lnTo>
                                  <a:pt x="2031492" y="44958"/>
                                </a:lnTo>
                                <a:close/>
                              </a:path>
                              <a:path w="2341245" h="186055">
                                <a:moveTo>
                                  <a:pt x="2075688" y="0"/>
                                </a:moveTo>
                                <a:lnTo>
                                  <a:pt x="1987296" y="0"/>
                                </a:lnTo>
                                <a:lnTo>
                                  <a:pt x="2031492" y="44958"/>
                                </a:lnTo>
                                <a:lnTo>
                                  <a:pt x="2075688" y="0"/>
                                </a:lnTo>
                                <a:close/>
                              </a:path>
                              <a:path w="2341245" h="186055">
                                <a:moveTo>
                                  <a:pt x="2164079" y="57150"/>
                                </a:moveTo>
                                <a:lnTo>
                                  <a:pt x="2119884" y="102107"/>
                                </a:lnTo>
                                <a:lnTo>
                                  <a:pt x="2208276" y="102107"/>
                                </a:lnTo>
                                <a:lnTo>
                                  <a:pt x="2164079" y="57150"/>
                                </a:lnTo>
                                <a:close/>
                              </a:path>
                              <a:path w="2341245" h="186055">
                                <a:moveTo>
                                  <a:pt x="2208276" y="12192"/>
                                </a:moveTo>
                                <a:lnTo>
                                  <a:pt x="2119884" y="12192"/>
                                </a:lnTo>
                                <a:lnTo>
                                  <a:pt x="2164079" y="57150"/>
                                </a:lnTo>
                                <a:lnTo>
                                  <a:pt x="2208276" y="12192"/>
                                </a:lnTo>
                                <a:close/>
                              </a:path>
                              <a:path w="2341245" h="186055">
                                <a:moveTo>
                                  <a:pt x="2296668" y="123444"/>
                                </a:moveTo>
                                <a:lnTo>
                                  <a:pt x="2252472" y="167640"/>
                                </a:lnTo>
                                <a:lnTo>
                                  <a:pt x="2340864" y="167640"/>
                                </a:lnTo>
                                <a:lnTo>
                                  <a:pt x="2296668" y="123444"/>
                                </a:lnTo>
                                <a:close/>
                              </a:path>
                              <a:path w="2341245" h="186055">
                                <a:moveTo>
                                  <a:pt x="2340864" y="79248"/>
                                </a:moveTo>
                                <a:lnTo>
                                  <a:pt x="2252472" y="79248"/>
                                </a:lnTo>
                                <a:lnTo>
                                  <a:pt x="2296668" y="123444"/>
                                </a:lnTo>
                                <a:lnTo>
                                  <a:pt x="2340864" y="79248"/>
                                </a:lnTo>
                                <a:close/>
                              </a:path>
                            </a:pathLst>
                          </a:custGeom>
                          <a:solidFill>
                            <a:srgbClr val="70578F"/>
                          </a:solidFill>
                        </wps:spPr>
                        <wps:bodyPr wrap="square" lIns="0" tIns="0" rIns="0" bIns="0" rtlCol="0">
                          <a:prstTxWarp prst="textNoShape">
                            <a:avLst/>
                          </a:prstTxWarp>
                          <a:noAutofit/>
                        </wps:bodyPr>
                      </wps:wsp>
                      <wps:wsp>
                        <wps:cNvPr id="675" name="Graphic 675"/>
                        <wps:cNvSpPr/>
                        <wps:spPr>
                          <a:xfrm>
                            <a:off x="1584452" y="2226817"/>
                            <a:ext cx="2341245" cy="186055"/>
                          </a:xfrm>
                          <a:custGeom>
                            <a:avLst/>
                            <a:gdLst/>
                            <a:ahLst/>
                            <a:cxnLst/>
                            <a:rect l="l" t="t" r="r" b="b"/>
                            <a:pathLst>
                              <a:path w="2341245" h="186055">
                                <a:moveTo>
                                  <a:pt x="88392" y="185927"/>
                                </a:moveTo>
                                <a:lnTo>
                                  <a:pt x="0" y="96012"/>
                                </a:lnTo>
                              </a:path>
                              <a:path w="2341245" h="186055">
                                <a:moveTo>
                                  <a:pt x="0" y="185927"/>
                                </a:moveTo>
                                <a:lnTo>
                                  <a:pt x="88392" y="96012"/>
                                </a:lnTo>
                              </a:path>
                              <a:path w="2341245" h="186055">
                                <a:moveTo>
                                  <a:pt x="220980" y="178307"/>
                                </a:moveTo>
                                <a:lnTo>
                                  <a:pt x="132587" y="88392"/>
                                </a:lnTo>
                              </a:path>
                              <a:path w="2341245" h="186055">
                                <a:moveTo>
                                  <a:pt x="132587" y="178307"/>
                                </a:moveTo>
                                <a:lnTo>
                                  <a:pt x="220980" y="88392"/>
                                </a:lnTo>
                              </a:path>
                              <a:path w="2341245" h="186055">
                                <a:moveTo>
                                  <a:pt x="353568" y="182879"/>
                                </a:moveTo>
                                <a:lnTo>
                                  <a:pt x="265175" y="94488"/>
                                </a:lnTo>
                              </a:path>
                              <a:path w="2341245" h="186055">
                                <a:moveTo>
                                  <a:pt x="265175" y="182879"/>
                                </a:moveTo>
                                <a:lnTo>
                                  <a:pt x="353568" y="94488"/>
                                </a:lnTo>
                              </a:path>
                              <a:path w="2341245" h="186055">
                                <a:moveTo>
                                  <a:pt x="486156" y="182879"/>
                                </a:moveTo>
                                <a:lnTo>
                                  <a:pt x="397764" y="92964"/>
                                </a:lnTo>
                              </a:path>
                              <a:path w="2341245" h="186055">
                                <a:moveTo>
                                  <a:pt x="397764" y="182879"/>
                                </a:moveTo>
                                <a:lnTo>
                                  <a:pt x="486156" y="92964"/>
                                </a:lnTo>
                              </a:path>
                              <a:path w="2341245" h="186055">
                                <a:moveTo>
                                  <a:pt x="618744" y="182879"/>
                                </a:moveTo>
                                <a:lnTo>
                                  <a:pt x="530352" y="94488"/>
                                </a:lnTo>
                              </a:path>
                              <a:path w="2341245" h="186055">
                                <a:moveTo>
                                  <a:pt x="530352" y="182879"/>
                                </a:moveTo>
                                <a:lnTo>
                                  <a:pt x="618744" y="94488"/>
                                </a:lnTo>
                              </a:path>
                              <a:path w="2341245" h="186055">
                                <a:moveTo>
                                  <a:pt x="751332" y="182879"/>
                                </a:moveTo>
                                <a:lnTo>
                                  <a:pt x="662940" y="92964"/>
                                </a:lnTo>
                              </a:path>
                              <a:path w="2341245" h="186055">
                                <a:moveTo>
                                  <a:pt x="662940" y="182879"/>
                                </a:moveTo>
                                <a:lnTo>
                                  <a:pt x="751332" y="92964"/>
                                </a:lnTo>
                              </a:path>
                              <a:path w="2341245" h="186055">
                                <a:moveTo>
                                  <a:pt x="883920" y="178307"/>
                                </a:moveTo>
                                <a:lnTo>
                                  <a:pt x="795527" y="89916"/>
                                </a:lnTo>
                              </a:path>
                              <a:path w="2341245" h="186055">
                                <a:moveTo>
                                  <a:pt x="795527" y="178307"/>
                                </a:moveTo>
                                <a:lnTo>
                                  <a:pt x="883920" y="89916"/>
                                </a:lnTo>
                              </a:path>
                              <a:path w="2341245" h="186055">
                                <a:moveTo>
                                  <a:pt x="1016508" y="176783"/>
                                </a:moveTo>
                                <a:lnTo>
                                  <a:pt x="926592" y="86868"/>
                                </a:lnTo>
                              </a:path>
                              <a:path w="2341245" h="186055">
                                <a:moveTo>
                                  <a:pt x="926592" y="176783"/>
                                </a:moveTo>
                                <a:lnTo>
                                  <a:pt x="1016508" y="86868"/>
                                </a:lnTo>
                              </a:path>
                              <a:path w="2341245" h="186055">
                                <a:moveTo>
                                  <a:pt x="1149096" y="160020"/>
                                </a:moveTo>
                                <a:lnTo>
                                  <a:pt x="1059180" y="71627"/>
                                </a:lnTo>
                              </a:path>
                              <a:path w="2341245" h="186055">
                                <a:moveTo>
                                  <a:pt x="1059180" y="160020"/>
                                </a:moveTo>
                                <a:lnTo>
                                  <a:pt x="1149096" y="71627"/>
                                </a:lnTo>
                              </a:path>
                              <a:path w="2341245" h="186055">
                                <a:moveTo>
                                  <a:pt x="1281684" y="164592"/>
                                </a:moveTo>
                                <a:lnTo>
                                  <a:pt x="1191768" y="74675"/>
                                </a:lnTo>
                              </a:path>
                              <a:path w="2341245" h="186055">
                                <a:moveTo>
                                  <a:pt x="1191768" y="164592"/>
                                </a:moveTo>
                                <a:lnTo>
                                  <a:pt x="1281684" y="74675"/>
                                </a:lnTo>
                              </a:path>
                              <a:path w="2341245" h="186055">
                                <a:moveTo>
                                  <a:pt x="1414272" y="150875"/>
                                </a:moveTo>
                                <a:lnTo>
                                  <a:pt x="1324356" y="62483"/>
                                </a:lnTo>
                              </a:path>
                              <a:path w="2341245" h="186055">
                                <a:moveTo>
                                  <a:pt x="1324356" y="150875"/>
                                </a:moveTo>
                                <a:lnTo>
                                  <a:pt x="1414272" y="62483"/>
                                </a:lnTo>
                              </a:path>
                              <a:path w="2341245" h="186055">
                                <a:moveTo>
                                  <a:pt x="1545336" y="166116"/>
                                </a:moveTo>
                                <a:lnTo>
                                  <a:pt x="1456944" y="77724"/>
                                </a:lnTo>
                              </a:path>
                              <a:path w="2341245" h="186055">
                                <a:moveTo>
                                  <a:pt x="1456944" y="166116"/>
                                </a:moveTo>
                                <a:lnTo>
                                  <a:pt x="1545336" y="77724"/>
                                </a:lnTo>
                              </a:path>
                              <a:path w="2341245" h="186055">
                                <a:moveTo>
                                  <a:pt x="1677924" y="167640"/>
                                </a:moveTo>
                                <a:lnTo>
                                  <a:pt x="1589532" y="79248"/>
                                </a:lnTo>
                              </a:path>
                              <a:path w="2341245" h="186055">
                                <a:moveTo>
                                  <a:pt x="1589532" y="167640"/>
                                </a:moveTo>
                                <a:lnTo>
                                  <a:pt x="1677924" y="79248"/>
                                </a:lnTo>
                              </a:path>
                              <a:path w="2341245" h="186055">
                                <a:moveTo>
                                  <a:pt x="1810512" y="166116"/>
                                </a:moveTo>
                                <a:lnTo>
                                  <a:pt x="1722120" y="76200"/>
                                </a:lnTo>
                              </a:path>
                              <a:path w="2341245" h="186055">
                                <a:moveTo>
                                  <a:pt x="1722120" y="166116"/>
                                </a:moveTo>
                                <a:lnTo>
                                  <a:pt x="1810512" y="76200"/>
                                </a:lnTo>
                              </a:path>
                              <a:path w="2341245" h="186055">
                                <a:moveTo>
                                  <a:pt x="1943100" y="167640"/>
                                </a:moveTo>
                                <a:lnTo>
                                  <a:pt x="1854708" y="79248"/>
                                </a:lnTo>
                              </a:path>
                              <a:path w="2341245" h="186055">
                                <a:moveTo>
                                  <a:pt x="1854708" y="167640"/>
                                </a:moveTo>
                                <a:lnTo>
                                  <a:pt x="1943100" y="79248"/>
                                </a:lnTo>
                              </a:path>
                              <a:path w="2341245" h="186055">
                                <a:moveTo>
                                  <a:pt x="2075688" y="89916"/>
                                </a:moveTo>
                                <a:lnTo>
                                  <a:pt x="1987296" y="0"/>
                                </a:lnTo>
                              </a:path>
                              <a:path w="2341245" h="186055">
                                <a:moveTo>
                                  <a:pt x="1987296" y="89916"/>
                                </a:moveTo>
                                <a:lnTo>
                                  <a:pt x="2075688" y="0"/>
                                </a:lnTo>
                              </a:path>
                              <a:path w="2341245" h="186055">
                                <a:moveTo>
                                  <a:pt x="2208276" y="102107"/>
                                </a:moveTo>
                                <a:lnTo>
                                  <a:pt x="2119884" y="12192"/>
                                </a:lnTo>
                              </a:path>
                              <a:path w="2341245" h="186055">
                                <a:moveTo>
                                  <a:pt x="2119884" y="102107"/>
                                </a:moveTo>
                                <a:lnTo>
                                  <a:pt x="2208276" y="12192"/>
                                </a:lnTo>
                              </a:path>
                              <a:path w="2341245" h="186055">
                                <a:moveTo>
                                  <a:pt x="2340864" y="167640"/>
                                </a:moveTo>
                                <a:lnTo>
                                  <a:pt x="2252472" y="79248"/>
                                </a:lnTo>
                              </a:path>
                              <a:path w="2341245" h="186055">
                                <a:moveTo>
                                  <a:pt x="2252472" y="167640"/>
                                </a:moveTo>
                                <a:lnTo>
                                  <a:pt x="2340864" y="79248"/>
                                </a:lnTo>
                              </a:path>
                            </a:pathLst>
                          </a:custGeom>
                          <a:ln w="9144">
                            <a:solidFill>
                              <a:srgbClr val="6D538D"/>
                            </a:solidFill>
                            <a:prstDash val="solid"/>
                          </a:ln>
                        </wps:spPr>
                        <wps:bodyPr wrap="square" lIns="0" tIns="0" rIns="0" bIns="0" rtlCol="0">
                          <a:prstTxWarp prst="textNoShape">
                            <a:avLst/>
                          </a:prstTxWarp>
                          <a:noAutofit/>
                        </wps:bodyPr>
                      </wps:wsp>
                      <wps:wsp>
                        <wps:cNvPr id="676" name="Graphic 676"/>
                        <wps:cNvSpPr/>
                        <wps:spPr>
                          <a:xfrm>
                            <a:off x="1628648" y="1376425"/>
                            <a:ext cx="2251075" cy="990600"/>
                          </a:xfrm>
                          <a:custGeom>
                            <a:avLst/>
                            <a:gdLst/>
                            <a:ahLst/>
                            <a:cxnLst/>
                            <a:rect l="l" t="t" r="r" b="b"/>
                            <a:pathLst>
                              <a:path w="2251075" h="990600">
                                <a:moveTo>
                                  <a:pt x="0" y="990600"/>
                                </a:moveTo>
                                <a:lnTo>
                                  <a:pt x="132587" y="894588"/>
                                </a:lnTo>
                                <a:lnTo>
                                  <a:pt x="265175" y="943356"/>
                                </a:lnTo>
                                <a:lnTo>
                                  <a:pt x="397763" y="950976"/>
                                </a:lnTo>
                                <a:lnTo>
                                  <a:pt x="530351" y="973836"/>
                                </a:lnTo>
                                <a:lnTo>
                                  <a:pt x="661415" y="886968"/>
                                </a:lnTo>
                                <a:lnTo>
                                  <a:pt x="794003" y="842772"/>
                                </a:lnTo>
                                <a:lnTo>
                                  <a:pt x="926591" y="861060"/>
                                </a:lnTo>
                                <a:lnTo>
                                  <a:pt x="1059179" y="754380"/>
                                </a:lnTo>
                                <a:lnTo>
                                  <a:pt x="1191767" y="693420"/>
                                </a:lnTo>
                                <a:lnTo>
                                  <a:pt x="1324355" y="701040"/>
                                </a:lnTo>
                                <a:lnTo>
                                  <a:pt x="1456943" y="757428"/>
                                </a:lnTo>
                                <a:lnTo>
                                  <a:pt x="1589531" y="794004"/>
                                </a:lnTo>
                                <a:lnTo>
                                  <a:pt x="1720596" y="807720"/>
                                </a:lnTo>
                                <a:lnTo>
                                  <a:pt x="1853184" y="693420"/>
                                </a:lnTo>
                                <a:lnTo>
                                  <a:pt x="1985772" y="333756"/>
                                </a:lnTo>
                                <a:lnTo>
                                  <a:pt x="2118360" y="0"/>
                                </a:lnTo>
                                <a:lnTo>
                                  <a:pt x="2250948" y="377952"/>
                                </a:lnTo>
                              </a:path>
                            </a:pathLst>
                          </a:custGeom>
                          <a:ln w="27431">
                            <a:solidFill>
                              <a:srgbClr val="3C95AD"/>
                            </a:solidFill>
                            <a:prstDash val="solid"/>
                          </a:ln>
                        </wps:spPr>
                        <wps:bodyPr wrap="square" lIns="0" tIns="0" rIns="0" bIns="0" rtlCol="0">
                          <a:prstTxWarp prst="textNoShape">
                            <a:avLst/>
                          </a:prstTxWarp>
                          <a:noAutofit/>
                        </wps:bodyPr>
                      </wps:wsp>
                      <wps:wsp>
                        <wps:cNvPr id="677" name="Graphic 677"/>
                        <wps:cNvSpPr/>
                        <wps:spPr>
                          <a:xfrm>
                            <a:off x="1584452" y="1330705"/>
                            <a:ext cx="2296795" cy="1080770"/>
                          </a:xfrm>
                          <a:custGeom>
                            <a:avLst/>
                            <a:gdLst/>
                            <a:ahLst/>
                            <a:cxnLst/>
                            <a:rect l="l" t="t" r="r" b="b"/>
                            <a:pathLst>
                              <a:path w="2296795" h="1080770">
                                <a:moveTo>
                                  <a:pt x="44196" y="1036320"/>
                                </a:moveTo>
                                <a:lnTo>
                                  <a:pt x="0" y="1080515"/>
                                </a:lnTo>
                                <a:lnTo>
                                  <a:pt x="44196" y="1080515"/>
                                </a:lnTo>
                                <a:lnTo>
                                  <a:pt x="44196" y="1036320"/>
                                </a:lnTo>
                                <a:close/>
                              </a:path>
                              <a:path w="2296795" h="1080770">
                                <a:moveTo>
                                  <a:pt x="44196" y="992124"/>
                                </a:moveTo>
                                <a:lnTo>
                                  <a:pt x="0" y="992124"/>
                                </a:lnTo>
                                <a:lnTo>
                                  <a:pt x="44196" y="1036320"/>
                                </a:lnTo>
                                <a:lnTo>
                                  <a:pt x="44196" y="992124"/>
                                </a:lnTo>
                                <a:close/>
                              </a:path>
                              <a:path w="2296795" h="1080770">
                                <a:moveTo>
                                  <a:pt x="176784" y="939546"/>
                                </a:moveTo>
                                <a:lnTo>
                                  <a:pt x="132587" y="984503"/>
                                </a:lnTo>
                                <a:lnTo>
                                  <a:pt x="176784" y="984503"/>
                                </a:lnTo>
                                <a:lnTo>
                                  <a:pt x="176784" y="939546"/>
                                </a:lnTo>
                                <a:close/>
                              </a:path>
                              <a:path w="2296795" h="1080770">
                                <a:moveTo>
                                  <a:pt x="176784" y="894587"/>
                                </a:moveTo>
                                <a:lnTo>
                                  <a:pt x="132587" y="894587"/>
                                </a:lnTo>
                                <a:lnTo>
                                  <a:pt x="176784" y="939546"/>
                                </a:lnTo>
                                <a:lnTo>
                                  <a:pt x="176784" y="894587"/>
                                </a:lnTo>
                                <a:close/>
                              </a:path>
                              <a:path w="2296795" h="1080770">
                                <a:moveTo>
                                  <a:pt x="309372" y="989076"/>
                                </a:moveTo>
                                <a:lnTo>
                                  <a:pt x="265175" y="1033272"/>
                                </a:lnTo>
                                <a:lnTo>
                                  <a:pt x="309372" y="1033272"/>
                                </a:lnTo>
                                <a:lnTo>
                                  <a:pt x="309372" y="989076"/>
                                </a:lnTo>
                                <a:close/>
                              </a:path>
                              <a:path w="2296795" h="1080770">
                                <a:moveTo>
                                  <a:pt x="309372" y="944879"/>
                                </a:moveTo>
                                <a:lnTo>
                                  <a:pt x="265175" y="944879"/>
                                </a:lnTo>
                                <a:lnTo>
                                  <a:pt x="309372" y="989076"/>
                                </a:lnTo>
                                <a:lnTo>
                                  <a:pt x="309372" y="944879"/>
                                </a:lnTo>
                                <a:close/>
                              </a:path>
                              <a:path w="2296795" h="1080770">
                                <a:moveTo>
                                  <a:pt x="441960" y="995933"/>
                                </a:moveTo>
                                <a:lnTo>
                                  <a:pt x="397764" y="1040891"/>
                                </a:lnTo>
                                <a:lnTo>
                                  <a:pt x="441960" y="1040891"/>
                                </a:lnTo>
                                <a:lnTo>
                                  <a:pt x="441960" y="995933"/>
                                </a:lnTo>
                                <a:close/>
                              </a:path>
                              <a:path w="2296795" h="1080770">
                                <a:moveTo>
                                  <a:pt x="441960" y="950976"/>
                                </a:moveTo>
                                <a:lnTo>
                                  <a:pt x="397764" y="950976"/>
                                </a:lnTo>
                                <a:lnTo>
                                  <a:pt x="441960" y="995933"/>
                                </a:lnTo>
                                <a:lnTo>
                                  <a:pt x="441960" y="950976"/>
                                </a:lnTo>
                                <a:close/>
                              </a:path>
                              <a:path w="2296795" h="1080770">
                                <a:moveTo>
                                  <a:pt x="574548" y="1019555"/>
                                </a:moveTo>
                                <a:lnTo>
                                  <a:pt x="530352" y="1063752"/>
                                </a:lnTo>
                                <a:lnTo>
                                  <a:pt x="574548" y="1063752"/>
                                </a:lnTo>
                                <a:lnTo>
                                  <a:pt x="574548" y="1019555"/>
                                </a:lnTo>
                                <a:close/>
                              </a:path>
                              <a:path w="2296795" h="1080770">
                                <a:moveTo>
                                  <a:pt x="574548" y="975359"/>
                                </a:moveTo>
                                <a:lnTo>
                                  <a:pt x="530352" y="975359"/>
                                </a:lnTo>
                                <a:lnTo>
                                  <a:pt x="574548" y="1019555"/>
                                </a:lnTo>
                                <a:lnTo>
                                  <a:pt x="574548" y="975359"/>
                                </a:lnTo>
                                <a:close/>
                              </a:path>
                              <a:path w="2296795" h="1080770">
                                <a:moveTo>
                                  <a:pt x="707136" y="932687"/>
                                </a:moveTo>
                                <a:lnTo>
                                  <a:pt x="662940" y="976883"/>
                                </a:lnTo>
                                <a:lnTo>
                                  <a:pt x="707136" y="976883"/>
                                </a:lnTo>
                                <a:lnTo>
                                  <a:pt x="707136" y="932687"/>
                                </a:lnTo>
                                <a:close/>
                              </a:path>
                              <a:path w="2296795" h="1080770">
                                <a:moveTo>
                                  <a:pt x="707136" y="888491"/>
                                </a:moveTo>
                                <a:lnTo>
                                  <a:pt x="662940" y="888491"/>
                                </a:lnTo>
                                <a:lnTo>
                                  <a:pt x="707136" y="932687"/>
                                </a:lnTo>
                                <a:lnTo>
                                  <a:pt x="707136" y="888491"/>
                                </a:lnTo>
                                <a:close/>
                              </a:path>
                              <a:path w="2296795" h="1080770">
                                <a:moveTo>
                                  <a:pt x="839724" y="888491"/>
                                </a:moveTo>
                                <a:lnTo>
                                  <a:pt x="795527" y="932687"/>
                                </a:lnTo>
                                <a:lnTo>
                                  <a:pt x="839724" y="932687"/>
                                </a:lnTo>
                                <a:lnTo>
                                  <a:pt x="839724" y="888491"/>
                                </a:lnTo>
                                <a:close/>
                              </a:path>
                              <a:path w="2296795" h="1080770">
                                <a:moveTo>
                                  <a:pt x="839724" y="844295"/>
                                </a:moveTo>
                                <a:lnTo>
                                  <a:pt x="795527" y="844295"/>
                                </a:lnTo>
                                <a:lnTo>
                                  <a:pt x="839724" y="888491"/>
                                </a:lnTo>
                                <a:lnTo>
                                  <a:pt x="839724" y="844295"/>
                                </a:lnTo>
                                <a:close/>
                              </a:path>
                              <a:path w="2296795" h="1080770">
                                <a:moveTo>
                                  <a:pt x="971550" y="905255"/>
                                </a:moveTo>
                                <a:lnTo>
                                  <a:pt x="926592" y="949451"/>
                                </a:lnTo>
                                <a:lnTo>
                                  <a:pt x="972312" y="949451"/>
                                </a:lnTo>
                                <a:lnTo>
                                  <a:pt x="972312" y="906005"/>
                                </a:lnTo>
                                <a:lnTo>
                                  <a:pt x="971550" y="905255"/>
                                </a:lnTo>
                                <a:close/>
                              </a:path>
                              <a:path w="2296795" h="1080770">
                                <a:moveTo>
                                  <a:pt x="972312" y="861059"/>
                                </a:moveTo>
                                <a:lnTo>
                                  <a:pt x="926592" y="861059"/>
                                </a:lnTo>
                                <a:lnTo>
                                  <a:pt x="971550" y="905255"/>
                                </a:lnTo>
                                <a:lnTo>
                                  <a:pt x="972312" y="904506"/>
                                </a:lnTo>
                                <a:lnTo>
                                  <a:pt x="972312" y="861059"/>
                                </a:lnTo>
                                <a:close/>
                              </a:path>
                              <a:path w="2296795" h="1080770">
                                <a:moveTo>
                                  <a:pt x="1104138" y="800099"/>
                                </a:moveTo>
                                <a:lnTo>
                                  <a:pt x="1059180" y="844295"/>
                                </a:lnTo>
                                <a:lnTo>
                                  <a:pt x="1104900" y="844295"/>
                                </a:lnTo>
                                <a:lnTo>
                                  <a:pt x="1104900" y="800849"/>
                                </a:lnTo>
                                <a:lnTo>
                                  <a:pt x="1104138" y="800099"/>
                                </a:lnTo>
                                <a:close/>
                              </a:path>
                              <a:path w="2296795" h="1080770">
                                <a:moveTo>
                                  <a:pt x="1104900" y="755903"/>
                                </a:moveTo>
                                <a:lnTo>
                                  <a:pt x="1059180" y="755903"/>
                                </a:lnTo>
                                <a:lnTo>
                                  <a:pt x="1104138" y="800099"/>
                                </a:lnTo>
                                <a:lnTo>
                                  <a:pt x="1104900" y="799350"/>
                                </a:lnTo>
                                <a:lnTo>
                                  <a:pt x="1104900" y="755903"/>
                                </a:lnTo>
                                <a:close/>
                              </a:path>
                              <a:path w="2296795" h="1080770">
                                <a:moveTo>
                                  <a:pt x="1235964" y="738365"/>
                                </a:moveTo>
                                <a:lnTo>
                                  <a:pt x="1191768" y="781811"/>
                                </a:lnTo>
                                <a:lnTo>
                                  <a:pt x="1235964" y="781811"/>
                                </a:lnTo>
                                <a:lnTo>
                                  <a:pt x="1235964" y="738365"/>
                                </a:lnTo>
                                <a:close/>
                              </a:path>
                              <a:path w="2296795" h="1080770">
                                <a:moveTo>
                                  <a:pt x="1235964" y="736866"/>
                                </a:moveTo>
                                <a:lnTo>
                                  <a:pt x="1235964" y="738365"/>
                                </a:lnTo>
                                <a:lnTo>
                                  <a:pt x="1236726" y="737615"/>
                                </a:lnTo>
                                <a:lnTo>
                                  <a:pt x="1235964" y="736866"/>
                                </a:lnTo>
                                <a:close/>
                              </a:path>
                              <a:path w="2296795" h="1080770">
                                <a:moveTo>
                                  <a:pt x="1235964" y="693419"/>
                                </a:moveTo>
                                <a:lnTo>
                                  <a:pt x="1191768" y="693419"/>
                                </a:lnTo>
                                <a:lnTo>
                                  <a:pt x="1235964" y="736866"/>
                                </a:lnTo>
                                <a:lnTo>
                                  <a:pt x="1235964" y="693419"/>
                                </a:lnTo>
                                <a:close/>
                              </a:path>
                              <a:path w="2296795" h="1080770">
                                <a:moveTo>
                                  <a:pt x="1368552" y="747509"/>
                                </a:moveTo>
                                <a:lnTo>
                                  <a:pt x="1324356" y="790955"/>
                                </a:lnTo>
                                <a:lnTo>
                                  <a:pt x="1368552" y="790955"/>
                                </a:lnTo>
                                <a:lnTo>
                                  <a:pt x="1368552" y="747509"/>
                                </a:lnTo>
                                <a:close/>
                              </a:path>
                              <a:path w="2296795" h="1080770">
                                <a:moveTo>
                                  <a:pt x="1368552" y="746010"/>
                                </a:moveTo>
                                <a:lnTo>
                                  <a:pt x="1368552" y="747509"/>
                                </a:lnTo>
                                <a:lnTo>
                                  <a:pt x="1369314" y="746759"/>
                                </a:lnTo>
                                <a:lnTo>
                                  <a:pt x="1368552" y="746010"/>
                                </a:lnTo>
                                <a:close/>
                              </a:path>
                              <a:path w="2296795" h="1080770">
                                <a:moveTo>
                                  <a:pt x="1368552" y="702563"/>
                                </a:moveTo>
                                <a:lnTo>
                                  <a:pt x="1324356" y="702563"/>
                                </a:lnTo>
                                <a:lnTo>
                                  <a:pt x="1368552" y="746010"/>
                                </a:lnTo>
                                <a:lnTo>
                                  <a:pt x="1368552" y="702563"/>
                                </a:lnTo>
                                <a:close/>
                              </a:path>
                              <a:path w="2296795" h="1080770">
                                <a:moveTo>
                                  <a:pt x="1501139" y="801624"/>
                                </a:moveTo>
                                <a:lnTo>
                                  <a:pt x="1456944" y="845819"/>
                                </a:lnTo>
                                <a:lnTo>
                                  <a:pt x="1501139" y="845819"/>
                                </a:lnTo>
                                <a:lnTo>
                                  <a:pt x="1501139" y="801624"/>
                                </a:lnTo>
                                <a:close/>
                              </a:path>
                              <a:path w="2296795" h="1080770">
                                <a:moveTo>
                                  <a:pt x="1501139" y="757427"/>
                                </a:moveTo>
                                <a:lnTo>
                                  <a:pt x="1456944" y="757427"/>
                                </a:lnTo>
                                <a:lnTo>
                                  <a:pt x="1501140" y="801624"/>
                                </a:lnTo>
                                <a:lnTo>
                                  <a:pt x="1501139" y="757427"/>
                                </a:lnTo>
                                <a:close/>
                              </a:path>
                              <a:path w="2296795" h="1080770">
                                <a:moveTo>
                                  <a:pt x="1633727" y="838961"/>
                                </a:moveTo>
                                <a:lnTo>
                                  <a:pt x="1589532" y="883919"/>
                                </a:lnTo>
                                <a:lnTo>
                                  <a:pt x="1633727" y="883919"/>
                                </a:lnTo>
                                <a:lnTo>
                                  <a:pt x="1633727" y="838961"/>
                                </a:lnTo>
                                <a:close/>
                              </a:path>
                              <a:path w="2296795" h="1080770">
                                <a:moveTo>
                                  <a:pt x="1633727" y="794003"/>
                                </a:moveTo>
                                <a:lnTo>
                                  <a:pt x="1589532" y="794003"/>
                                </a:lnTo>
                                <a:lnTo>
                                  <a:pt x="1633727" y="838961"/>
                                </a:lnTo>
                                <a:lnTo>
                                  <a:pt x="1633727" y="794003"/>
                                </a:lnTo>
                                <a:close/>
                              </a:path>
                              <a:path w="2296795" h="1080770">
                                <a:moveTo>
                                  <a:pt x="1766315" y="852677"/>
                                </a:moveTo>
                                <a:lnTo>
                                  <a:pt x="1722120" y="897635"/>
                                </a:lnTo>
                                <a:lnTo>
                                  <a:pt x="1766315" y="897635"/>
                                </a:lnTo>
                                <a:lnTo>
                                  <a:pt x="1766315" y="852677"/>
                                </a:lnTo>
                                <a:close/>
                              </a:path>
                              <a:path w="2296795" h="1080770">
                                <a:moveTo>
                                  <a:pt x="1766315" y="807719"/>
                                </a:moveTo>
                                <a:lnTo>
                                  <a:pt x="1722120" y="807719"/>
                                </a:lnTo>
                                <a:lnTo>
                                  <a:pt x="1766316" y="852677"/>
                                </a:lnTo>
                                <a:lnTo>
                                  <a:pt x="1766315" y="807719"/>
                                </a:lnTo>
                                <a:close/>
                              </a:path>
                              <a:path w="2296795" h="1080770">
                                <a:moveTo>
                                  <a:pt x="1898903" y="738377"/>
                                </a:moveTo>
                                <a:lnTo>
                                  <a:pt x="1854708" y="783335"/>
                                </a:lnTo>
                                <a:lnTo>
                                  <a:pt x="1898903" y="783335"/>
                                </a:lnTo>
                                <a:lnTo>
                                  <a:pt x="1898903" y="738377"/>
                                </a:lnTo>
                                <a:close/>
                              </a:path>
                              <a:path w="2296795" h="1080770">
                                <a:moveTo>
                                  <a:pt x="1898903" y="693419"/>
                                </a:moveTo>
                                <a:lnTo>
                                  <a:pt x="1854708" y="693419"/>
                                </a:lnTo>
                                <a:lnTo>
                                  <a:pt x="1898904" y="738377"/>
                                </a:lnTo>
                                <a:lnTo>
                                  <a:pt x="1898903" y="693419"/>
                                </a:lnTo>
                                <a:close/>
                              </a:path>
                              <a:path w="2296795" h="1080770">
                                <a:moveTo>
                                  <a:pt x="2031492" y="378714"/>
                                </a:moveTo>
                                <a:lnTo>
                                  <a:pt x="1987296" y="423672"/>
                                </a:lnTo>
                                <a:lnTo>
                                  <a:pt x="2031492" y="423672"/>
                                </a:lnTo>
                                <a:lnTo>
                                  <a:pt x="2031492" y="378714"/>
                                </a:lnTo>
                                <a:close/>
                              </a:path>
                              <a:path w="2296795" h="1080770">
                                <a:moveTo>
                                  <a:pt x="2031492" y="333755"/>
                                </a:moveTo>
                                <a:lnTo>
                                  <a:pt x="1987296" y="333755"/>
                                </a:lnTo>
                                <a:lnTo>
                                  <a:pt x="2031492" y="378714"/>
                                </a:lnTo>
                                <a:lnTo>
                                  <a:pt x="2031492" y="333755"/>
                                </a:lnTo>
                                <a:close/>
                              </a:path>
                              <a:path w="2296795" h="1080770">
                                <a:moveTo>
                                  <a:pt x="2164080" y="44196"/>
                                </a:moveTo>
                                <a:lnTo>
                                  <a:pt x="2119884" y="88391"/>
                                </a:lnTo>
                                <a:lnTo>
                                  <a:pt x="2164080" y="88391"/>
                                </a:lnTo>
                                <a:lnTo>
                                  <a:pt x="2164080" y="44196"/>
                                </a:lnTo>
                                <a:close/>
                              </a:path>
                              <a:path w="2296795" h="1080770">
                                <a:moveTo>
                                  <a:pt x="2164080" y="0"/>
                                </a:moveTo>
                                <a:lnTo>
                                  <a:pt x="2119884" y="0"/>
                                </a:lnTo>
                                <a:lnTo>
                                  <a:pt x="2164080" y="44196"/>
                                </a:lnTo>
                                <a:lnTo>
                                  <a:pt x="2164080" y="0"/>
                                </a:lnTo>
                                <a:close/>
                              </a:path>
                              <a:path w="2296795" h="1080770">
                                <a:moveTo>
                                  <a:pt x="2296668" y="422909"/>
                                </a:moveTo>
                                <a:lnTo>
                                  <a:pt x="2252472" y="467867"/>
                                </a:lnTo>
                                <a:lnTo>
                                  <a:pt x="2296668" y="467867"/>
                                </a:lnTo>
                                <a:lnTo>
                                  <a:pt x="2296668" y="422909"/>
                                </a:lnTo>
                                <a:close/>
                              </a:path>
                              <a:path w="2296795" h="1080770">
                                <a:moveTo>
                                  <a:pt x="2296668" y="377951"/>
                                </a:moveTo>
                                <a:lnTo>
                                  <a:pt x="2252472" y="377951"/>
                                </a:lnTo>
                                <a:lnTo>
                                  <a:pt x="2296668" y="422909"/>
                                </a:lnTo>
                                <a:lnTo>
                                  <a:pt x="2296668" y="377951"/>
                                </a:lnTo>
                                <a:close/>
                              </a:path>
                            </a:pathLst>
                          </a:custGeom>
                          <a:solidFill>
                            <a:srgbClr val="4197AE"/>
                          </a:solidFill>
                        </wps:spPr>
                        <wps:bodyPr wrap="square" lIns="0" tIns="0" rIns="0" bIns="0" rtlCol="0">
                          <a:prstTxWarp prst="textNoShape">
                            <a:avLst/>
                          </a:prstTxWarp>
                          <a:noAutofit/>
                        </wps:bodyPr>
                      </wps:wsp>
                      <wps:wsp>
                        <wps:cNvPr id="678" name="Graphic 678"/>
                        <wps:cNvSpPr/>
                        <wps:spPr>
                          <a:xfrm>
                            <a:off x="1584452" y="1330705"/>
                            <a:ext cx="2341245" cy="1080770"/>
                          </a:xfrm>
                          <a:custGeom>
                            <a:avLst/>
                            <a:gdLst/>
                            <a:ahLst/>
                            <a:cxnLst/>
                            <a:rect l="l" t="t" r="r" b="b"/>
                            <a:pathLst>
                              <a:path w="2341245" h="1080770">
                                <a:moveTo>
                                  <a:pt x="88392" y="1080515"/>
                                </a:moveTo>
                                <a:lnTo>
                                  <a:pt x="0" y="992124"/>
                                </a:lnTo>
                              </a:path>
                              <a:path w="2341245" h="1080770">
                                <a:moveTo>
                                  <a:pt x="44196" y="992124"/>
                                </a:moveTo>
                                <a:lnTo>
                                  <a:pt x="44196" y="1080515"/>
                                </a:lnTo>
                              </a:path>
                              <a:path w="2341245" h="1080770">
                                <a:moveTo>
                                  <a:pt x="0" y="1080515"/>
                                </a:moveTo>
                                <a:lnTo>
                                  <a:pt x="88392" y="992124"/>
                                </a:lnTo>
                              </a:path>
                              <a:path w="2341245" h="1080770">
                                <a:moveTo>
                                  <a:pt x="220980" y="984503"/>
                                </a:moveTo>
                                <a:lnTo>
                                  <a:pt x="132587" y="894587"/>
                                </a:lnTo>
                              </a:path>
                              <a:path w="2341245" h="1080770">
                                <a:moveTo>
                                  <a:pt x="176784" y="894587"/>
                                </a:moveTo>
                                <a:lnTo>
                                  <a:pt x="176784" y="984503"/>
                                </a:lnTo>
                              </a:path>
                              <a:path w="2341245" h="1080770">
                                <a:moveTo>
                                  <a:pt x="132587" y="984503"/>
                                </a:moveTo>
                                <a:lnTo>
                                  <a:pt x="220980" y="894587"/>
                                </a:lnTo>
                              </a:path>
                              <a:path w="2341245" h="1080770">
                                <a:moveTo>
                                  <a:pt x="353568" y="1033272"/>
                                </a:moveTo>
                                <a:lnTo>
                                  <a:pt x="265175" y="944879"/>
                                </a:lnTo>
                              </a:path>
                              <a:path w="2341245" h="1080770">
                                <a:moveTo>
                                  <a:pt x="309372" y="944879"/>
                                </a:moveTo>
                                <a:lnTo>
                                  <a:pt x="309372" y="1033272"/>
                                </a:lnTo>
                              </a:path>
                              <a:path w="2341245" h="1080770">
                                <a:moveTo>
                                  <a:pt x="265175" y="1033272"/>
                                </a:moveTo>
                                <a:lnTo>
                                  <a:pt x="353568" y="944879"/>
                                </a:lnTo>
                              </a:path>
                              <a:path w="2341245" h="1080770">
                                <a:moveTo>
                                  <a:pt x="486156" y="1040891"/>
                                </a:moveTo>
                                <a:lnTo>
                                  <a:pt x="397764" y="950976"/>
                                </a:lnTo>
                              </a:path>
                              <a:path w="2341245" h="1080770">
                                <a:moveTo>
                                  <a:pt x="441960" y="950976"/>
                                </a:moveTo>
                                <a:lnTo>
                                  <a:pt x="441960" y="1040891"/>
                                </a:lnTo>
                              </a:path>
                              <a:path w="2341245" h="1080770">
                                <a:moveTo>
                                  <a:pt x="397764" y="1040891"/>
                                </a:moveTo>
                                <a:lnTo>
                                  <a:pt x="486156" y="950976"/>
                                </a:lnTo>
                              </a:path>
                              <a:path w="2341245" h="1080770">
                                <a:moveTo>
                                  <a:pt x="618744" y="1063752"/>
                                </a:moveTo>
                                <a:lnTo>
                                  <a:pt x="530352" y="975359"/>
                                </a:lnTo>
                              </a:path>
                              <a:path w="2341245" h="1080770">
                                <a:moveTo>
                                  <a:pt x="574548" y="975359"/>
                                </a:moveTo>
                                <a:lnTo>
                                  <a:pt x="574548" y="1063752"/>
                                </a:lnTo>
                              </a:path>
                              <a:path w="2341245" h="1080770">
                                <a:moveTo>
                                  <a:pt x="530352" y="1063752"/>
                                </a:moveTo>
                                <a:lnTo>
                                  <a:pt x="618744" y="975359"/>
                                </a:lnTo>
                              </a:path>
                              <a:path w="2341245" h="1080770">
                                <a:moveTo>
                                  <a:pt x="751332" y="976883"/>
                                </a:moveTo>
                                <a:lnTo>
                                  <a:pt x="662940" y="888491"/>
                                </a:lnTo>
                              </a:path>
                              <a:path w="2341245" h="1080770">
                                <a:moveTo>
                                  <a:pt x="707136" y="888491"/>
                                </a:moveTo>
                                <a:lnTo>
                                  <a:pt x="707136" y="976883"/>
                                </a:lnTo>
                              </a:path>
                              <a:path w="2341245" h="1080770">
                                <a:moveTo>
                                  <a:pt x="662940" y="976883"/>
                                </a:moveTo>
                                <a:lnTo>
                                  <a:pt x="751332" y="888491"/>
                                </a:lnTo>
                              </a:path>
                              <a:path w="2341245" h="1080770">
                                <a:moveTo>
                                  <a:pt x="883920" y="932687"/>
                                </a:moveTo>
                                <a:lnTo>
                                  <a:pt x="795527" y="844295"/>
                                </a:lnTo>
                              </a:path>
                              <a:path w="2341245" h="1080770">
                                <a:moveTo>
                                  <a:pt x="839724" y="844295"/>
                                </a:moveTo>
                                <a:lnTo>
                                  <a:pt x="839724" y="932687"/>
                                </a:lnTo>
                              </a:path>
                              <a:path w="2341245" h="1080770">
                                <a:moveTo>
                                  <a:pt x="795527" y="932687"/>
                                </a:moveTo>
                                <a:lnTo>
                                  <a:pt x="883920" y="844295"/>
                                </a:lnTo>
                              </a:path>
                              <a:path w="2341245" h="1080770">
                                <a:moveTo>
                                  <a:pt x="1016508" y="949451"/>
                                </a:moveTo>
                                <a:lnTo>
                                  <a:pt x="926592" y="861059"/>
                                </a:lnTo>
                              </a:path>
                              <a:path w="2341245" h="1080770">
                                <a:moveTo>
                                  <a:pt x="972312" y="861059"/>
                                </a:moveTo>
                                <a:lnTo>
                                  <a:pt x="972312" y="949451"/>
                                </a:lnTo>
                              </a:path>
                              <a:path w="2341245" h="1080770">
                                <a:moveTo>
                                  <a:pt x="926592" y="949451"/>
                                </a:moveTo>
                                <a:lnTo>
                                  <a:pt x="1016508" y="861059"/>
                                </a:lnTo>
                              </a:path>
                              <a:path w="2341245" h="1080770">
                                <a:moveTo>
                                  <a:pt x="1149096" y="844295"/>
                                </a:moveTo>
                                <a:lnTo>
                                  <a:pt x="1059180" y="755903"/>
                                </a:lnTo>
                              </a:path>
                              <a:path w="2341245" h="1080770">
                                <a:moveTo>
                                  <a:pt x="1104900" y="755903"/>
                                </a:moveTo>
                                <a:lnTo>
                                  <a:pt x="1104900" y="844295"/>
                                </a:lnTo>
                              </a:path>
                              <a:path w="2341245" h="1080770">
                                <a:moveTo>
                                  <a:pt x="1059180" y="844295"/>
                                </a:moveTo>
                                <a:lnTo>
                                  <a:pt x="1149096" y="755903"/>
                                </a:lnTo>
                              </a:path>
                              <a:path w="2341245" h="1080770">
                                <a:moveTo>
                                  <a:pt x="1281684" y="781811"/>
                                </a:moveTo>
                                <a:lnTo>
                                  <a:pt x="1191768" y="693419"/>
                                </a:lnTo>
                              </a:path>
                              <a:path w="2341245" h="1080770">
                                <a:moveTo>
                                  <a:pt x="1235964" y="693419"/>
                                </a:moveTo>
                                <a:lnTo>
                                  <a:pt x="1235964" y="781811"/>
                                </a:lnTo>
                              </a:path>
                              <a:path w="2341245" h="1080770">
                                <a:moveTo>
                                  <a:pt x="1191768" y="781811"/>
                                </a:moveTo>
                                <a:lnTo>
                                  <a:pt x="1281684" y="693419"/>
                                </a:lnTo>
                              </a:path>
                              <a:path w="2341245" h="1080770">
                                <a:moveTo>
                                  <a:pt x="1414272" y="790955"/>
                                </a:moveTo>
                                <a:lnTo>
                                  <a:pt x="1324356" y="702563"/>
                                </a:lnTo>
                              </a:path>
                              <a:path w="2341245" h="1080770">
                                <a:moveTo>
                                  <a:pt x="1368552" y="702563"/>
                                </a:moveTo>
                                <a:lnTo>
                                  <a:pt x="1368552" y="790955"/>
                                </a:lnTo>
                              </a:path>
                              <a:path w="2341245" h="1080770">
                                <a:moveTo>
                                  <a:pt x="1324356" y="790955"/>
                                </a:moveTo>
                                <a:lnTo>
                                  <a:pt x="1414272" y="702563"/>
                                </a:lnTo>
                              </a:path>
                              <a:path w="2341245" h="1080770">
                                <a:moveTo>
                                  <a:pt x="1545336" y="845819"/>
                                </a:moveTo>
                                <a:lnTo>
                                  <a:pt x="1456944" y="757427"/>
                                </a:lnTo>
                              </a:path>
                              <a:path w="2341245" h="1080770">
                                <a:moveTo>
                                  <a:pt x="1501139" y="757427"/>
                                </a:moveTo>
                                <a:lnTo>
                                  <a:pt x="1501139" y="845819"/>
                                </a:lnTo>
                              </a:path>
                              <a:path w="2341245" h="1080770">
                                <a:moveTo>
                                  <a:pt x="1456944" y="845819"/>
                                </a:moveTo>
                                <a:lnTo>
                                  <a:pt x="1545336" y="757427"/>
                                </a:lnTo>
                              </a:path>
                              <a:path w="2341245" h="1080770">
                                <a:moveTo>
                                  <a:pt x="1677924" y="883919"/>
                                </a:moveTo>
                                <a:lnTo>
                                  <a:pt x="1589532" y="794003"/>
                                </a:lnTo>
                              </a:path>
                              <a:path w="2341245" h="1080770">
                                <a:moveTo>
                                  <a:pt x="1633727" y="794003"/>
                                </a:moveTo>
                                <a:lnTo>
                                  <a:pt x="1633727" y="883919"/>
                                </a:lnTo>
                              </a:path>
                              <a:path w="2341245" h="1080770">
                                <a:moveTo>
                                  <a:pt x="1589532" y="883919"/>
                                </a:moveTo>
                                <a:lnTo>
                                  <a:pt x="1677924" y="794003"/>
                                </a:lnTo>
                              </a:path>
                              <a:path w="2341245" h="1080770">
                                <a:moveTo>
                                  <a:pt x="1810512" y="897635"/>
                                </a:moveTo>
                                <a:lnTo>
                                  <a:pt x="1722120" y="807719"/>
                                </a:lnTo>
                              </a:path>
                              <a:path w="2341245" h="1080770">
                                <a:moveTo>
                                  <a:pt x="1766315" y="807719"/>
                                </a:moveTo>
                                <a:lnTo>
                                  <a:pt x="1766315" y="897635"/>
                                </a:lnTo>
                              </a:path>
                              <a:path w="2341245" h="1080770">
                                <a:moveTo>
                                  <a:pt x="1722120" y="897635"/>
                                </a:moveTo>
                                <a:lnTo>
                                  <a:pt x="1810512" y="807719"/>
                                </a:lnTo>
                              </a:path>
                              <a:path w="2341245" h="1080770">
                                <a:moveTo>
                                  <a:pt x="1943100" y="783335"/>
                                </a:moveTo>
                                <a:lnTo>
                                  <a:pt x="1854708" y="693419"/>
                                </a:lnTo>
                              </a:path>
                              <a:path w="2341245" h="1080770">
                                <a:moveTo>
                                  <a:pt x="1898903" y="693419"/>
                                </a:moveTo>
                                <a:lnTo>
                                  <a:pt x="1898903" y="783335"/>
                                </a:lnTo>
                              </a:path>
                              <a:path w="2341245" h="1080770">
                                <a:moveTo>
                                  <a:pt x="1854708" y="783335"/>
                                </a:moveTo>
                                <a:lnTo>
                                  <a:pt x="1943100" y="693419"/>
                                </a:lnTo>
                              </a:path>
                              <a:path w="2341245" h="1080770">
                                <a:moveTo>
                                  <a:pt x="2075688" y="423672"/>
                                </a:moveTo>
                                <a:lnTo>
                                  <a:pt x="1987296" y="333755"/>
                                </a:lnTo>
                              </a:path>
                              <a:path w="2341245" h="1080770">
                                <a:moveTo>
                                  <a:pt x="2031492" y="333755"/>
                                </a:moveTo>
                                <a:lnTo>
                                  <a:pt x="2031492" y="423672"/>
                                </a:lnTo>
                              </a:path>
                              <a:path w="2341245" h="1080770">
                                <a:moveTo>
                                  <a:pt x="1987296" y="423672"/>
                                </a:moveTo>
                                <a:lnTo>
                                  <a:pt x="2075688" y="333755"/>
                                </a:lnTo>
                              </a:path>
                              <a:path w="2341245" h="1080770">
                                <a:moveTo>
                                  <a:pt x="2208276" y="88391"/>
                                </a:moveTo>
                                <a:lnTo>
                                  <a:pt x="2119884" y="0"/>
                                </a:lnTo>
                              </a:path>
                              <a:path w="2341245" h="1080770">
                                <a:moveTo>
                                  <a:pt x="2164080" y="0"/>
                                </a:moveTo>
                                <a:lnTo>
                                  <a:pt x="2164080" y="88391"/>
                                </a:lnTo>
                              </a:path>
                              <a:path w="2341245" h="1080770">
                                <a:moveTo>
                                  <a:pt x="2119884" y="88391"/>
                                </a:moveTo>
                                <a:lnTo>
                                  <a:pt x="2208276" y="0"/>
                                </a:lnTo>
                              </a:path>
                              <a:path w="2341245" h="1080770">
                                <a:moveTo>
                                  <a:pt x="2340864" y="467867"/>
                                </a:moveTo>
                                <a:lnTo>
                                  <a:pt x="2252472" y="377951"/>
                                </a:lnTo>
                              </a:path>
                              <a:path w="2341245" h="1080770">
                                <a:moveTo>
                                  <a:pt x="2296668" y="377951"/>
                                </a:moveTo>
                                <a:lnTo>
                                  <a:pt x="2296668" y="467867"/>
                                </a:lnTo>
                              </a:path>
                              <a:path w="2341245" h="1080770">
                                <a:moveTo>
                                  <a:pt x="2252472" y="467867"/>
                                </a:moveTo>
                                <a:lnTo>
                                  <a:pt x="2340864" y="377951"/>
                                </a:lnTo>
                              </a:path>
                            </a:pathLst>
                          </a:custGeom>
                          <a:ln w="9144">
                            <a:solidFill>
                              <a:srgbClr val="3C95AD"/>
                            </a:solidFill>
                            <a:prstDash val="solid"/>
                          </a:ln>
                        </wps:spPr>
                        <wps:bodyPr wrap="square" lIns="0" tIns="0" rIns="0" bIns="0" rtlCol="0">
                          <a:prstTxWarp prst="textNoShape">
                            <a:avLst/>
                          </a:prstTxWarp>
                          <a:noAutofit/>
                        </wps:bodyPr>
                      </wps:wsp>
                      <wps:wsp>
                        <wps:cNvPr id="679" name="Graphic 679"/>
                        <wps:cNvSpPr/>
                        <wps:spPr>
                          <a:xfrm>
                            <a:off x="1628648" y="314197"/>
                            <a:ext cx="2251075" cy="2034539"/>
                          </a:xfrm>
                          <a:custGeom>
                            <a:avLst/>
                            <a:gdLst/>
                            <a:ahLst/>
                            <a:cxnLst/>
                            <a:rect l="l" t="t" r="r" b="b"/>
                            <a:pathLst>
                              <a:path w="2251075" h="2034539">
                                <a:moveTo>
                                  <a:pt x="0" y="2034540"/>
                                </a:moveTo>
                                <a:lnTo>
                                  <a:pt x="132587" y="1798320"/>
                                </a:lnTo>
                                <a:lnTo>
                                  <a:pt x="265175" y="1822703"/>
                                </a:lnTo>
                                <a:lnTo>
                                  <a:pt x="397763" y="1872996"/>
                                </a:lnTo>
                                <a:lnTo>
                                  <a:pt x="530351" y="1911096"/>
                                </a:lnTo>
                                <a:lnTo>
                                  <a:pt x="661415" y="1837944"/>
                                </a:lnTo>
                                <a:lnTo>
                                  <a:pt x="794003" y="1751076"/>
                                </a:lnTo>
                                <a:lnTo>
                                  <a:pt x="926591" y="1731264"/>
                                </a:lnTo>
                                <a:lnTo>
                                  <a:pt x="1059179" y="1406652"/>
                                </a:lnTo>
                                <a:lnTo>
                                  <a:pt x="1191767" y="1109472"/>
                                </a:lnTo>
                                <a:lnTo>
                                  <a:pt x="1324355" y="1171956"/>
                                </a:lnTo>
                                <a:lnTo>
                                  <a:pt x="1456943" y="1309116"/>
                                </a:lnTo>
                                <a:lnTo>
                                  <a:pt x="1589531" y="1431036"/>
                                </a:lnTo>
                                <a:lnTo>
                                  <a:pt x="1720596" y="1185672"/>
                                </a:lnTo>
                                <a:lnTo>
                                  <a:pt x="1853184" y="740664"/>
                                </a:lnTo>
                                <a:lnTo>
                                  <a:pt x="1985772" y="144780"/>
                                </a:lnTo>
                                <a:lnTo>
                                  <a:pt x="2118360" y="0"/>
                                </a:lnTo>
                                <a:lnTo>
                                  <a:pt x="2250948" y="1078992"/>
                                </a:lnTo>
                              </a:path>
                            </a:pathLst>
                          </a:custGeom>
                          <a:ln w="27432">
                            <a:solidFill>
                              <a:srgbClr val="DA8137"/>
                            </a:solidFill>
                            <a:prstDash val="solid"/>
                          </a:ln>
                        </wps:spPr>
                        <wps:bodyPr wrap="square" lIns="0" tIns="0" rIns="0" bIns="0" rtlCol="0">
                          <a:prstTxWarp prst="textNoShape">
                            <a:avLst/>
                          </a:prstTxWarp>
                          <a:noAutofit/>
                        </wps:bodyPr>
                      </wps:wsp>
                      <pic:pic>
                        <pic:nvPicPr>
                          <pic:cNvPr id="680" name="Image 680"/>
                          <pic:cNvPicPr/>
                        </pic:nvPicPr>
                        <pic:blipFill>
                          <a:blip r:embed="rId164" cstate="print"/>
                          <a:stretch>
                            <a:fillRect/>
                          </a:stretch>
                        </pic:blipFill>
                        <pic:spPr>
                          <a:xfrm>
                            <a:off x="1579880" y="2299970"/>
                            <a:ext cx="97536" cy="97536"/>
                          </a:xfrm>
                          <a:prstGeom prst="rect">
                            <a:avLst/>
                          </a:prstGeom>
                        </pic:spPr>
                      </pic:pic>
                      <pic:pic>
                        <pic:nvPicPr>
                          <pic:cNvPr id="681" name="Image 681"/>
                          <pic:cNvPicPr/>
                        </pic:nvPicPr>
                        <pic:blipFill>
                          <a:blip r:embed="rId165" cstate="print"/>
                          <a:stretch>
                            <a:fillRect/>
                          </a:stretch>
                        </pic:blipFill>
                        <pic:spPr>
                          <a:xfrm>
                            <a:off x="1712467" y="2062226"/>
                            <a:ext cx="97536" cy="99060"/>
                          </a:xfrm>
                          <a:prstGeom prst="rect">
                            <a:avLst/>
                          </a:prstGeom>
                        </pic:spPr>
                      </pic:pic>
                      <pic:pic>
                        <pic:nvPicPr>
                          <pic:cNvPr id="682" name="Image 682"/>
                          <pic:cNvPicPr/>
                        </pic:nvPicPr>
                        <pic:blipFill>
                          <a:blip r:embed="rId166" cstate="print"/>
                          <a:stretch>
                            <a:fillRect/>
                          </a:stretch>
                        </pic:blipFill>
                        <pic:spPr>
                          <a:xfrm>
                            <a:off x="1845055" y="2086610"/>
                            <a:ext cx="97536" cy="99059"/>
                          </a:xfrm>
                          <a:prstGeom prst="rect">
                            <a:avLst/>
                          </a:prstGeom>
                        </pic:spPr>
                      </pic:pic>
                      <pic:pic>
                        <pic:nvPicPr>
                          <pic:cNvPr id="683" name="Image 683"/>
                          <pic:cNvPicPr/>
                        </pic:nvPicPr>
                        <pic:blipFill>
                          <a:blip r:embed="rId167" cstate="print"/>
                          <a:stretch>
                            <a:fillRect/>
                          </a:stretch>
                        </pic:blipFill>
                        <pic:spPr>
                          <a:xfrm>
                            <a:off x="1977644" y="2138426"/>
                            <a:ext cx="97536" cy="97536"/>
                          </a:xfrm>
                          <a:prstGeom prst="rect">
                            <a:avLst/>
                          </a:prstGeom>
                        </pic:spPr>
                      </pic:pic>
                      <pic:pic>
                        <pic:nvPicPr>
                          <pic:cNvPr id="684" name="Image 684"/>
                          <pic:cNvPicPr/>
                        </pic:nvPicPr>
                        <pic:blipFill>
                          <a:blip r:embed="rId167" cstate="print"/>
                          <a:stretch>
                            <a:fillRect/>
                          </a:stretch>
                        </pic:blipFill>
                        <pic:spPr>
                          <a:xfrm>
                            <a:off x="2110232" y="2176526"/>
                            <a:ext cx="97536" cy="97536"/>
                          </a:xfrm>
                          <a:prstGeom prst="rect">
                            <a:avLst/>
                          </a:prstGeom>
                        </pic:spPr>
                      </pic:pic>
                      <pic:pic>
                        <pic:nvPicPr>
                          <pic:cNvPr id="685" name="Image 685"/>
                          <pic:cNvPicPr/>
                        </pic:nvPicPr>
                        <pic:blipFill>
                          <a:blip r:embed="rId167" cstate="print"/>
                          <a:stretch>
                            <a:fillRect/>
                          </a:stretch>
                        </pic:blipFill>
                        <pic:spPr>
                          <a:xfrm>
                            <a:off x="2242820" y="2103373"/>
                            <a:ext cx="97536" cy="97536"/>
                          </a:xfrm>
                          <a:prstGeom prst="rect">
                            <a:avLst/>
                          </a:prstGeom>
                        </pic:spPr>
                      </pic:pic>
                      <pic:pic>
                        <pic:nvPicPr>
                          <pic:cNvPr id="686" name="Image 686"/>
                          <pic:cNvPicPr/>
                        </pic:nvPicPr>
                        <pic:blipFill>
                          <a:blip r:embed="rId168" cstate="print"/>
                          <a:stretch>
                            <a:fillRect/>
                          </a:stretch>
                        </pic:blipFill>
                        <pic:spPr>
                          <a:xfrm>
                            <a:off x="2375407" y="2016505"/>
                            <a:ext cx="97536" cy="97535"/>
                          </a:xfrm>
                          <a:prstGeom prst="rect">
                            <a:avLst/>
                          </a:prstGeom>
                        </pic:spPr>
                      </pic:pic>
                      <pic:pic>
                        <pic:nvPicPr>
                          <pic:cNvPr id="687" name="Image 687"/>
                          <pic:cNvPicPr/>
                        </pic:nvPicPr>
                        <pic:blipFill>
                          <a:blip r:embed="rId169" cstate="print"/>
                          <a:stretch>
                            <a:fillRect/>
                          </a:stretch>
                        </pic:blipFill>
                        <pic:spPr>
                          <a:xfrm>
                            <a:off x="2506472" y="1996694"/>
                            <a:ext cx="99060" cy="97536"/>
                          </a:xfrm>
                          <a:prstGeom prst="rect">
                            <a:avLst/>
                          </a:prstGeom>
                        </pic:spPr>
                      </pic:pic>
                      <pic:pic>
                        <pic:nvPicPr>
                          <pic:cNvPr id="688" name="Image 688"/>
                          <pic:cNvPicPr/>
                        </pic:nvPicPr>
                        <pic:blipFill>
                          <a:blip r:embed="rId169" cstate="print"/>
                          <a:stretch>
                            <a:fillRect/>
                          </a:stretch>
                        </pic:blipFill>
                        <pic:spPr>
                          <a:xfrm>
                            <a:off x="2639060" y="1672082"/>
                            <a:ext cx="99060" cy="97535"/>
                          </a:xfrm>
                          <a:prstGeom prst="rect">
                            <a:avLst/>
                          </a:prstGeom>
                        </pic:spPr>
                      </pic:pic>
                      <pic:pic>
                        <pic:nvPicPr>
                          <pic:cNvPr id="689" name="Image 689"/>
                          <pic:cNvPicPr/>
                        </pic:nvPicPr>
                        <pic:blipFill>
                          <a:blip r:embed="rId170" cstate="print"/>
                          <a:stretch>
                            <a:fillRect/>
                          </a:stretch>
                        </pic:blipFill>
                        <pic:spPr>
                          <a:xfrm>
                            <a:off x="2771648" y="1374902"/>
                            <a:ext cx="99060" cy="97536"/>
                          </a:xfrm>
                          <a:prstGeom prst="rect">
                            <a:avLst/>
                          </a:prstGeom>
                        </pic:spPr>
                      </pic:pic>
                      <pic:pic>
                        <pic:nvPicPr>
                          <pic:cNvPr id="690" name="Image 690"/>
                          <pic:cNvPicPr/>
                        </pic:nvPicPr>
                        <pic:blipFill>
                          <a:blip r:embed="rId171" cstate="print"/>
                          <a:stretch>
                            <a:fillRect/>
                          </a:stretch>
                        </pic:blipFill>
                        <pic:spPr>
                          <a:xfrm>
                            <a:off x="2904235" y="1437386"/>
                            <a:ext cx="99060" cy="97535"/>
                          </a:xfrm>
                          <a:prstGeom prst="rect">
                            <a:avLst/>
                          </a:prstGeom>
                        </pic:spPr>
                      </pic:pic>
                      <pic:pic>
                        <pic:nvPicPr>
                          <pic:cNvPr id="691" name="Image 691"/>
                          <pic:cNvPicPr/>
                        </pic:nvPicPr>
                        <pic:blipFill>
                          <a:blip r:embed="rId164" cstate="print"/>
                          <a:stretch>
                            <a:fillRect/>
                          </a:stretch>
                        </pic:blipFill>
                        <pic:spPr>
                          <a:xfrm>
                            <a:off x="3036823" y="1574546"/>
                            <a:ext cx="97536" cy="97536"/>
                          </a:xfrm>
                          <a:prstGeom prst="rect">
                            <a:avLst/>
                          </a:prstGeom>
                        </pic:spPr>
                      </pic:pic>
                      <pic:pic>
                        <pic:nvPicPr>
                          <pic:cNvPr id="692" name="Image 692"/>
                          <pic:cNvPicPr/>
                        </pic:nvPicPr>
                        <pic:blipFill>
                          <a:blip r:embed="rId168" cstate="print"/>
                          <a:stretch>
                            <a:fillRect/>
                          </a:stretch>
                        </pic:blipFill>
                        <pic:spPr>
                          <a:xfrm>
                            <a:off x="3169411" y="1696466"/>
                            <a:ext cx="97536" cy="97536"/>
                          </a:xfrm>
                          <a:prstGeom prst="rect">
                            <a:avLst/>
                          </a:prstGeom>
                        </pic:spPr>
                      </pic:pic>
                      <pic:pic>
                        <pic:nvPicPr>
                          <pic:cNvPr id="693" name="Image 693"/>
                          <pic:cNvPicPr/>
                        </pic:nvPicPr>
                        <pic:blipFill>
                          <a:blip r:embed="rId172" cstate="print"/>
                          <a:stretch>
                            <a:fillRect/>
                          </a:stretch>
                        </pic:blipFill>
                        <pic:spPr>
                          <a:xfrm>
                            <a:off x="3302000" y="1451102"/>
                            <a:ext cx="97536" cy="99060"/>
                          </a:xfrm>
                          <a:prstGeom prst="rect">
                            <a:avLst/>
                          </a:prstGeom>
                        </pic:spPr>
                      </pic:pic>
                      <pic:pic>
                        <pic:nvPicPr>
                          <pic:cNvPr id="694" name="Image 694"/>
                          <pic:cNvPicPr/>
                        </pic:nvPicPr>
                        <pic:blipFill>
                          <a:blip r:embed="rId172" cstate="print"/>
                          <a:stretch>
                            <a:fillRect/>
                          </a:stretch>
                        </pic:blipFill>
                        <pic:spPr>
                          <a:xfrm>
                            <a:off x="3434588" y="1006094"/>
                            <a:ext cx="97536" cy="99060"/>
                          </a:xfrm>
                          <a:prstGeom prst="rect">
                            <a:avLst/>
                          </a:prstGeom>
                        </pic:spPr>
                      </pic:pic>
                      <pic:pic>
                        <pic:nvPicPr>
                          <pic:cNvPr id="695" name="Image 695"/>
                          <pic:cNvPicPr/>
                        </pic:nvPicPr>
                        <pic:blipFill>
                          <a:blip r:embed="rId173" cstate="print"/>
                          <a:stretch>
                            <a:fillRect/>
                          </a:stretch>
                        </pic:blipFill>
                        <pic:spPr>
                          <a:xfrm>
                            <a:off x="3567176" y="410209"/>
                            <a:ext cx="97536" cy="97535"/>
                          </a:xfrm>
                          <a:prstGeom prst="rect">
                            <a:avLst/>
                          </a:prstGeom>
                        </pic:spPr>
                      </pic:pic>
                      <pic:pic>
                        <pic:nvPicPr>
                          <pic:cNvPr id="696" name="Image 696"/>
                          <pic:cNvPicPr/>
                        </pic:nvPicPr>
                        <pic:blipFill>
                          <a:blip r:embed="rId167" cstate="print"/>
                          <a:stretch>
                            <a:fillRect/>
                          </a:stretch>
                        </pic:blipFill>
                        <pic:spPr>
                          <a:xfrm>
                            <a:off x="3699764" y="265429"/>
                            <a:ext cx="97536" cy="97536"/>
                          </a:xfrm>
                          <a:prstGeom prst="rect">
                            <a:avLst/>
                          </a:prstGeom>
                        </pic:spPr>
                      </pic:pic>
                      <pic:pic>
                        <pic:nvPicPr>
                          <pic:cNvPr id="697" name="Image 697"/>
                          <pic:cNvPicPr/>
                        </pic:nvPicPr>
                        <pic:blipFill>
                          <a:blip r:embed="rId168" cstate="print"/>
                          <a:stretch>
                            <a:fillRect/>
                          </a:stretch>
                        </pic:blipFill>
                        <pic:spPr>
                          <a:xfrm>
                            <a:off x="3832352" y="1344422"/>
                            <a:ext cx="97536" cy="97536"/>
                          </a:xfrm>
                          <a:prstGeom prst="rect">
                            <a:avLst/>
                          </a:prstGeom>
                        </pic:spPr>
                      </pic:pic>
                      <wps:wsp>
                        <wps:cNvPr id="698" name="Graphic 698"/>
                        <wps:cNvSpPr/>
                        <wps:spPr>
                          <a:xfrm>
                            <a:off x="241300" y="988440"/>
                            <a:ext cx="36830" cy="83820"/>
                          </a:xfrm>
                          <a:custGeom>
                            <a:avLst/>
                            <a:gdLst/>
                            <a:ahLst/>
                            <a:cxnLst/>
                            <a:rect l="l" t="t" r="r" b="b"/>
                            <a:pathLst>
                              <a:path w="36830" h="83820">
                                <a:moveTo>
                                  <a:pt x="12192" y="0"/>
                                </a:moveTo>
                                <a:lnTo>
                                  <a:pt x="0" y="0"/>
                                </a:lnTo>
                                <a:lnTo>
                                  <a:pt x="0" y="83820"/>
                                </a:lnTo>
                                <a:lnTo>
                                  <a:pt x="12192" y="83820"/>
                                </a:lnTo>
                                <a:lnTo>
                                  <a:pt x="12192" y="0"/>
                                </a:lnTo>
                                <a:close/>
                              </a:path>
                              <a:path w="36830" h="83820">
                                <a:moveTo>
                                  <a:pt x="36576" y="0"/>
                                </a:moveTo>
                                <a:lnTo>
                                  <a:pt x="24384" y="0"/>
                                </a:lnTo>
                                <a:lnTo>
                                  <a:pt x="24384" y="83820"/>
                                </a:lnTo>
                                <a:lnTo>
                                  <a:pt x="36576" y="83820"/>
                                </a:lnTo>
                                <a:lnTo>
                                  <a:pt x="36576" y="0"/>
                                </a:lnTo>
                                <a:close/>
                              </a:path>
                            </a:pathLst>
                          </a:custGeom>
                          <a:solidFill>
                            <a:srgbClr val="000000"/>
                          </a:solidFill>
                        </wps:spPr>
                        <wps:bodyPr wrap="square" lIns="0" tIns="0" rIns="0" bIns="0" rtlCol="0">
                          <a:prstTxWarp prst="textNoShape">
                            <a:avLst/>
                          </a:prstTxWarp>
                          <a:noAutofit/>
                        </wps:bodyPr>
                      </wps:wsp>
                      <pic:pic>
                        <pic:nvPicPr>
                          <pic:cNvPr id="699" name="Image 699"/>
                          <pic:cNvPicPr/>
                        </pic:nvPicPr>
                        <pic:blipFill>
                          <a:blip r:embed="rId174" cstate="print"/>
                          <a:stretch>
                            <a:fillRect/>
                          </a:stretch>
                        </pic:blipFill>
                        <pic:spPr>
                          <a:xfrm>
                            <a:off x="4144771" y="911605"/>
                            <a:ext cx="243839" cy="85344"/>
                          </a:xfrm>
                          <a:prstGeom prst="rect">
                            <a:avLst/>
                          </a:prstGeom>
                        </pic:spPr>
                      </pic:pic>
                      <wps:wsp>
                        <wps:cNvPr id="700" name="Graphic 700"/>
                        <wps:cNvSpPr/>
                        <wps:spPr>
                          <a:xfrm>
                            <a:off x="4144771" y="1184402"/>
                            <a:ext cx="243840" cy="1270"/>
                          </a:xfrm>
                          <a:custGeom>
                            <a:avLst/>
                            <a:gdLst/>
                            <a:ahLst/>
                            <a:cxnLst/>
                            <a:rect l="l" t="t" r="r" b="b"/>
                            <a:pathLst>
                              <a:path w="243840" h="0">
                                <a:moveTo>
                                  <a:pt x="0" y="0"/>
                                </a:moveTo>
                                <a:lnTo>
                                  <a:pt x="243839" y="0"/>
                                </a:lnTo>
                              </a:path>
                            </a:pathLst>
                          </a:custGeom>
                          <a:ln w="24384">
                            <a:solidFill>
                              <a:srgbClr val="A8423E"/>
                            </a:solidFill>
                            <a:prstDash val="solid"/>
                          </a:ln>
                        </wps:spPr>
                        <wps:bodyPr wrap="square" lIns="0" tIns="0" rIns="0" bIns="0" rtlCol="0">
                          <a:prstTxWarp prst="textNoShape">
                            <a:avLst/>
                          </a:prstTxWarp>
                          <a:noAutofit/>
                        </wps:bodyPr>
                      </wps:wsp>
                      <wps:wsp>
                        <wps:cNvPr id="701" name="Graphic 701"/>
                        <wps:cNvSpPr/>
                        <wps:spPr>
                          <a:xfrm>
                            <a:off x="4228591" y="1146302"/>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AA4643"/>
                          </a:solidFill>
                        </wps:spPr>
                        <wps:bodyPr wrap="square" lIns="0" tIns="0" rIns="0" bIns="0" rtlCol="0">
                          <a:prstTxWarp prst="textNoShape">
                            <a:avLst/>
                          </a:prstTxWarp>
                          <a:noAutofit/>
                        </wps:bodyPr>
                      </wps:wsp>
                      <wps:wsp>
                        <wps:cNvPr id="702" name="Graphic 702"/>
                        <wps:cNvSpPr/>
                        <wps:spPr>
                          <a:xfrm>
                            <a:off x="4228591" y="1146302"/>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A8423E"/>
                            </a:solidFill>
                            <a:prstDash val="solid"/>
                          </a:ln>
                        </wps:spPr>
                        <wps:bodyPr wrap="square" lIns="0" tIns="0" rIns="0" bIns="0" rtlCol="0">
                          <a:prstTxWarp prst="textNoShape">
                            <a:avLst/>
                          </a:prstTxWarp>
                          <a:noAutofit/>
                        </wps:bodyPr>
                      </wps:wsp>
                      <pic:pic>
                        <pic:nvPicPr>
                          <pic:cNvPr id="703" name="Image 703"/>
                          <pic:cNvPicPr/>
                        </pic:nvPicPr>
                        <pic:blipFill>
                          <a:blip r:embed="rId175" cstate="print"/>
                          <a:stretch>
                            <a:fillRect/>
                          </a:stretch>
                        </pic:blipFill>
                        <pic:spPr>
                          <a:xfrm>
                            <a:off x="4144771" y="1371853"/>
                            <a:ext cx="243839" cy="85344"/>
                          </a:xfrm>
                          <a:prstGeom prst="rect">
                            <a:avLst/>
                          </a:prstGeom>
                        </pic:spPr>
                      </pic:pic>
                      <pic:pic>
                        <pic:nvPicPr>
                          <pic:cNvPr id="704" name="Image 704"/>
                          <pic:cNvPicPr/>
                        </pic:nvPicPr>
                        <pic:blipFill>
                          <a:blip r:embed="rId176" cstate="print"/>
                          <a:stretch>
                            <a:fillRect/>
                          </a:stretch>
                        </pic:blipFill>
                        <pic:spPr>
                          <a:xfrm>
                            <a:off x="4144771" y="1600453"/>
                            <a:ext cx="243839" cy="85344"/>
                          </a:xfrm>
                          <a:prstGeom prst="rect">
                            <a:avLst/>
                          </a:prstGeom>
                        </pic:spPr>
                      </pic:pic>
                      <pic:pic>
                        <pic:nvPicPr>
                          <pic:cNvPr id="705" name="Image 705"/>
                          <pic:cNvPicPr/>
                        </pic:nvPicPr>
                        <pic:blipFill>
                          <a:blip r:embed="rId177" cstate="print"/>
                          <a:stretch>
                            <a:fillRect/>
                          </a:stretch>
                        </pic:blipFill>
                        <pic:spPr>
                          <a:xfrm>
                            <a:off x="4144771" y="1830577"/>
                            <a:ext cx="243839" cy="85344"/>
                          </a:xfrm>
                          <a:prstGeom prst="rect">
                            <a:avLst/>
                          </a:prstGeom>
                        </pic:spPr>
                      </pic:pic>
                      <pic:pic>
                        <pic:nvPicPr>
                          <pic:cNvPr id="706" name="Image 706"/>
                          <pic:cNvPicPr/>
                        </pic:nvPicPr>
                        <pic:blipFill>
                          <a:blip r:embed="rId178" cstate="print"/>
                          <a:stretch>
                            <a:fillRect/>
                          </a:stretch>
                        </pic:blipFill>
                        <pic:spPr>
                          <a:xfrm>
                            <a:off x="4144771" y="2060701"/>
                            <a:ext cx="243839" cy="85344"/>
                          </a:xfrm>
                          <a:prstGeom prst="rect">
                            <a:avLst/>
                          </a:prstGeom>
                        </pic:spPr>
                      </pic:pic>
                      <wps:wsp>
                        <wps:cNvPr id="707" name="Graphic 707"/>
                        <wps:cNvSpPr/>
                        <wps:spPr>
                          <a:xfrm>
                            <a:off x="6350" y="6350"/>
                            <a:ext cx="5941060" cy="3044825"/>
                          </a:xfrm>
                          <a:custGeom>
                            <a:avLst/>
                            <a:gdLst/>
                            <a:ahLst/>
                            <a:cxnLst/>
                            <a:rect l="l" t="t" r="r" b="b"/>
                            <a:pathLst>
                              <a:path w="5941060" h="3044825">
                                <a:moveTo>
                                  <a:pt x="0" y="3044698"/>
                                </a:moveTo>
                                <a:lnTo>
                                  <a:pt x="5940679" y="3044698"/>
                                </a:lnTo>
                                <a:lnTo>
                                  <a:pt x="5940679" y="0"/>
                                </a:lnTo>
                                <a:lnTo>
                                  <a:pt x="0" y="0"/>
                                </a:lnTo>
                                <a:lnTo>
                                  <a:pt x="0" y="3044698"/>
                                </a:lnTo>
                                <a:close/>
                              </a:path>
                            </a:pathLst>
                          </a:custGeom>
                          <a:ln w="12700">
                            <a:solidFill>
                              <a:srgbClr val="858585"/>
                            </a:solidFill>
                            <a:prstDash val="solid"/>
                          </a:ln>
                        </wps:spPr>
                        <wps:bodyPr wrap="square" lIns="0" tIns="0" rIns="0" bIns="0" rtlCol="0">
                          <a:prstTxWarp prst="textNoShape">
                            <a:avLst/>
                          </a:prstTxWarp>
                          <a:noAutofit/>
                        </wps:bodyPr>
                      </wps:wsp>
                      <wps:wsp>
                        <wps:cNvPr id="708" name="Textbox 708"/>
                        <wps:cNvSpPr txBox="1"/>
                        <wps:spPr>
                          <a:xfrm>
                            <a:off x="417956" y="88518"/>
                            <a:ext cx="1037590" cy="1978660"/>
                          </a:xfrm>
                          <a:prstGeom prst="rect">
                            <a:avLst/>
                          </a:prstGeom>
                        </wps:spPr>
                        <wps:txbx>
                          <w:txbxContent>
                            <w:p>
                              <w:pPr>
                                <w:spacing w:line="203" w:lineRule="exact" w:before="0"/>
                                <w:ind w:left="0" w:right="18" w:firstLine="0"/>
                                <w:jc w:val="right"/>
                                <w:rPr>
                                  <w:rFonts w:ascii="Calibri"/>
                                  <w:sz w:val="20"/>
                                </w:rPr>
                              </w:pPr>
                              <w:r>
                                <w:rPr>
                                  <w:rFonts w:ascii="Calibri"/>
                                  <w:spacing w:val="-2"/>
                                  <w:sz w:val="20"/>
                                </w:rPr>
                                <w:t>120,000,000,000.00</w:t>
                              </w:r>
                            </w:p>
                            <w:p>
                              <w:pPr>
                                <w:spacing w:line="240" w:lineRule="auto" w:before="94"/>
                                <w:rPr>
                                  <w:rFonts w:ascii="Calibri"/>
                                  <w:sz w:val="20"/>
                                </w:rPr>
                              </w:pPr>
                            </w:p>
                            <w:p>
                              <w:pPr>
                                <w:spacing w:before="1"/>
                                <w:ind w:left="0" w:right="18" w:firstLine="0"/>
                                <w:jc w:val="right"/>
                                <w:rPr>
                                  <w:rFonts w:ascii="Calibri"/>
                                  <w:sz w:val="20"/>
                                </w:rPr>
                              </w:pPr>
                              <w:r>
                                <w:rPr>
                                  <w:rFonts w:ascii="Calibri"/>
                                  <w:spacing w:val="-2"/>
                                  <w:sz w:val="20"/>
                                </w:rPr>
                                <w:t>100,000,000,000.00</w:t>
                              </w:r>
                            </w:p>
                            <w:p>
                              <w:pPr>
                                <w:spacing w:line="240" w:lineRule="auto" w:before="94"/>
                                <w:rPr>
                                  <w:rFonts w:ascii="Calibri"/>
                                  <w:sz w:val="20"/>
                                </w:rPr>
                              </w:pPr>
                            </w:p>
                            <w:p>
                              <w:pPr>
                                <w:spacing w:before="1"/>
                                <w:ind w:left="0" w:right="18" w:firstLine="0"/>
                                <w:jc w:val="right"/>
                                <w:rPr>
                                  <w:rFonts w:ascii="Calibri"/>
                                  <w:sz w:val="20"/>
                                </w:rPr>
                              </w:pPr>
                              <w:r>
                                <w:rPr>
                                  <w:rFonts w:ascii="Calibri"/>
                                  <w:spacing w:val="-2"/>
                                  <w:sz w:val="20"/>
                                </w:rPr>
                                <w:t>80,000,000,000.00</w:t>
                              </w:r>
                            </w:p>
                            <w:p>
                              <w:pPr>
                                <w:spacing w:line="240" w:lineRule="auto" w:before="94"/>
                                <w:rPr>
                                  <w:rFonts w:ascii="Calibri"/>
                                  <w:sz w:val="20"/>
                                </w:rPr>
                              </w:pPr>
                            </w:p>
                            <w:p>
                              <w:pPr>
                                <w:spacing w:before="0"/>
                                <w:ind w:left="0" w:right="18" w:firstLine="0"/>
                                <w:jc w:val="right"/>
                                <w:rPr>
                                  <w:rFonts w:ascii="Calibri"/>
                                  <w:sz w:val="20"/>
                                </w:rPr>
                              </w:pPr>
                              <w:r>
                                <w:rPr>
                                  <w:rFonts w:ascii="Calibri"/>
                                  <w:spacing w:val="-2"/>
                                  <w:sz w:val="20"/>
                                </w:rPr>
                                <w:t>60,000,000,000.00</w:t>
                              </w:r>
                            </w:p>
                            <w:p>
                              <w:pPr>
                                <w:spacing w:line="240" w:lineRule="auto" w:before="95"/>
                                <w:rPr>
                                  <w:rFonts w:ascii="Calibri"/>
                                  <w:sz w:val="20"/>
                                </w:rPr>
                              </w:pPr>
                            </w:p>
                            <w:p>
                              <w:pPr>
                                <w:spacing w:before="0"/>
                                <w:ind w:left="0" w:right="18" w:firstLine="0"/>
                                <w:jc w:val="right"/>
                                <w:rPr>
                                  <w:rFonts w:ascii="Calibri"/>
                                  <w:sz w:val="20"/>
                                </w:rPr>
                              </w:pPr>
                              <w:r>
                                <w:rPr>
                                  <w:rFonts w:ascii="Calibri"/>
                                  <w:spacing w:val="-2"/>
                                  <w:sz w:val="20"/>
                                </w:rPr>
                                <w:t>40,000,000,000.00</w:t>
                              </w:r>
                            </w:p>
                            <w:p>
                              <w:pPr>
                                <w:spacing w:line="240" w:lineRule="auto" w:before="95"/>
                                <w:rPr>
                                  <w:rFonts w:ascii="Calibri"/>
                                  <w:sz w:val="20"/>
                                </w:rPr>
                              </w:pPr>
                            </w:p>
                            <w:p>
                              <w:pPr>
                                <w:spacing w:line="240" w:lineRule="exact" w:before="0"/>
                                <w:ind w:left="0" w:right="18" w:firstLine="0"/>
                                <w:jc w:val="right"/>
                                <w:rPr>
                                  <w:rFonts w:ascii="Calibri"/>
                                  <w:sz w:val="20"/>
                                </w:rPr>
                              </w:pPr>
                              <w:r>
                                <w:rPr>
                                  <w:rFonts w:ascii="Calibri"/>
                                  <w:spacing w:val="-2"/>
                                  <w:sz w:val="20"/>
                                </w:rPr>
                                <w:t>20,000,000,000.00</w:t>
                              </w:r>
                            </w:p>
                          </w:txbxContent>
                        </wps:txbx>
                        <wps:bodyPr wrap="square" lIns="0" tIns="0" rIns="0" bIns="0" rtlCol="0">
                          <a:noAutofit/>
                        </wps:bodyPr>
                      </wps:wsp>
                      <wps:wsp>
                        <wps:cNvPr id="709" name="Textbox 709"/>
                        <wps:cNvSpPr txBox="1"/>
                        <wps:spPr>
                          <a:xfrm>
                            <a:off x="4415154" y="895985"/>
                            <a:ext cx="1413510" cy="1275080"/>
                          </a:xfrm>
                          <a:prstGeom prst="rect">
                            <a:avLst/>
                          </a:prstGeom>
                        </wps:spPr>
                        <wps:txbx>
                          <w:txbxContent>
                            <w:p>
                              <w:pPr>
                                <w:spacing w:line="203" w:lineRule="exact" w:before="0"/>
                                <w:ind w:left="0" w:right="0" w:firstLine="0"/>
                                <w:jc w:val="left"/>
                                <w:rPr>
                                  <w:rFonts w:ascii="Calibri"/>
                                  <w:sz w:val="20"/>
                                </w:rPr>
                              </w:pPr>
                              <w:r>
                                <w:rPr>
                                  <w:rFonts w:ascii="Calibri"/>
                                  <w:spacing w:val="-2"/>
                                  <w:sz w:val="20"/>
                                </w:rPr>
                                <w:t>Housing</w:t>
                              </w:r>
                            </w:p>
                            <w:p>
                              <w:pPr>
                                <w:spacing w:line="355" w:lineRule="auto" w:before="117"/>
                                <w:ind w:left="0" w:right="926" w:firstLine="0"/>
                                <w:jc w:val="left"/>
                                <w:rPr>
                                  <w:rFonts w:ascii="Calibri"/>
                                  <w:sz w:val="20"/>
                                </w:rPr>
                              </w:pPr>
                              <w:r>
                                <w:rPr>
                                  <w:rFonts w:ascii="Calibri"/>
                                  <w:spacing w:val="-2"/>
                                  <w:sz w:val="20"/>
                                </w:rPr>
                                <w:t>Education Health Agriculture Works</w:t>
                              </w:r>
                            </w:p>
                            <w:p>
                              <w:pPr>
                                <w:spacing w:line="240" w:lineRule="exact" w:before="1"/>
                                <w:ind w:left="0" w:right="0" w:firstLine="0"/>
                                <w:jc w:val="left"/>
                                <w:rPr>
                                  <w:rFonts w:ascii="Calibri"/>
                                  <w:sz w:val="20"/>
                                </w:rPr>
                              </w:pPr>
                              <w:r>
                                <w:rPr>
                                  <w:rFonts w:ascii="Calibri"/>
                                  <w:sz w:val="20"/>
                                </w:rPr>
                                <w:t>Annual</w:t>
                              </w:r>
                              <w:r>
                                <w:rPr>
                                  <w:rFonts w:ascii="Calibri"/>
                                  <w:spacing w:val="-11"/>
                                  <w:sz w:val="20"/>
                                </w:rPr>
                                <w:t> </w:t>
                              </w:r>
                              <w:r>
                                <w:rPr>
                                  <w:rFonts w:ascii="Calibri"/>
                                  <w:sz w:val="20"/>
                                </w:rPr>
                                <w:t>Capital</w:t>
                              </w:r>
                              <w:r>
                                <w:rPr>
                                  <w:rFonts w:ascii="Calibri"/>
                                  <w:spacing w:val="-9"/>
                                  <w:sz w:val="20"/>
                                </w:rPr>
                                <w:t> </w:t>
                              </w:r>
                              <w:r>
                                <w:rPr>
                                  <w:rFonts w:ascii="Calibri"/>
                                  <w:spacing w:val="-2"/>
                                  <w:sz w:val="20"/>
                                </w:rPr>
                                <w:t>Expenditure</w:t>
                              </w:r>
                            </w:p>
                          </w:txbxContent>
                        </wps:txbx>
                        <wps:bodyPr wrap="square" lIns="0" tIns="0" rIns="0" bIns="0" rtlCol="0">
                          <a:noAutofit/>
                        </wps:bodyPr>
                      </wps:wsp>
                      <wps:wsp>
                        <wps:cNvPr id="710" name="Textbox 710"/>
                        <wps:cNvSpPr txBox="1"/>
                        <wps:spPr>
                          <a:xfrm>
                            <a:off x="1218946" y="2310510"/>
                            <a:ext cx="23749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0.00</w:t>
                              </w:r>
                            </w:p>
                          </w:txbxContent>
                        </wps:txbx>
                        <wps:bodyPr wrap="square" lIns="0" tIns="0" rIns="0" bIns="0" rtlCol="0">
                          <a:noAutofit/>
                        </wps:bodyPr>
                      </wps:wsp>
                      <wps:wsp>
                        <wps:cNvPr id="711" name="Textbox 711"/>
                        <wps:cNvSpPr txBox="1"/>
                        <wps:spPr>
                          <a:xfrm>
                            <a:off x="1500632" y="2512948"/>
                            <a:ext cx="2388870" cy="377190"/>
                          </a:xfrm>
                          <a:prstGeom prst="rect">
                            <a:avLst/>
                          </a:prstGeom>
                        </wps:spPr>
                        <wps:txbx>
                          <w:txbxContent>
                            <w:p>
                              <w:pPr>
                                <w:spacing w:line="203" w:lineRule="exact" w:before="0"/>
                                <w:ind w:left="0" w:right="0" w:firstLine="0"/>
                                <w:jc w:val="left"/>
                                <w:rPr>
                                  <w:rFonts w:ascii="Calibri"/>
                                  <w:sz w:val="20"/>
                                </w:rPr>
                              </w:pPr>
                              <w:r>
                                <w:rPr>
                                  <w:rFonts w:ascii="Calibri"/>
                                  <w:spacing w:val="-2"/>
                                  <w:sz w:val="20"/>
                                </w:rPr>
                                <w:t>199920012003200520072009201120132015</w:t>
                              </w:r>
                            </w:p>
                            <w:p>
                              <w:pPr>
                                <w:spacing w:line="240" w:lineRule="exact" w:before="150"/>
                                <w:ind w:left="184" w:right="0" w:firstLine="0"/>
                                <w:jc w:val="center"/>
                                <w:rPr>
                                  <w:rFonts w:ascii="Calibri"/>
                                  <w:b/>
                                  <w:sz w:val="20"/>
                                </w:rPr>
                              </w:pPr>
                              <w:r>
                                <w:rPr>
                                  <w:rFonts w:ascii="Calibri"/>
                                  <w:b/>
                                  <w:spacing w:val="-2"/>
                                  <w:sz w:val="20"/>
                                </w:rPr>
                                <w:t>Years</w:t>
                              </w:r>
                            </w:p>
                          </w:txbxContent>
                        </wps:txbx>
                        <wps:bodyPr wrap="square" lIns="0" tIns="0" rIns="0" bIns="0" rtlCol="0">
                          <a:noAutofit/>
                        </wps:bodyPr>
                      </wps:wsp>
                    </wpg:wgp>
                  </a:graphicData>
                </a:graphic>
              </wp:anchor>
            </w:drawing>
          </mc:Choice>
          <mc:Fallback>
            <w:pict>
              <v:group style="position:absolute;margin-left:73pt;margin-top:-244.680084pt;width:468.8pt;height:240.75pt;mso-position-horizontal-relative:page;mso-position-vertical-relative:paragraph;z-index:15765504" id="docshapegroup550" coordorigin="1460,-4894" coordsize="9376,4815">
                <v:shape style="position:absolute;left:3856;top:-4661;width:3819;height:3497" id="docshape551" coordorigin="3857,-4660" coordsize="3819,3497" path="m3922,-1747l7675,-1747m3922,-2330l7675,-2330m3922,-2911l7675,-2911m3922,-3494l7675,-3494m3922,-4077l7675,-4077m3922,-4660l7675,-4660m3922,-1164l3922,-4660m3857,-1164l3922,-1164m3857,-1747l3922,-1747m3857,-2330l3922,-2330m3857,-2911l3922,-2911m3857,-3494l3922,-3494m3857,-4077l3922,-4077m3857,-4660l3922,-4660m3922,-1164l7675,-1164e" filled="false" stroked="true" strokeweight=".72pt" strokecolor="#858585">
                  <v:path arrowok="t"/>
                  <v:stroke dashstyle="solid"/>
                </v:shape>
                <v:shape style="position:absolute;left:4024;top:-1294;width:3545;height:128" id="docshape552" coordorigin="4025,-1293" coordsize="3545,128" path="m4025,-1166l4234,-1183,4442,-1293,4651,-1185,4860,-1221,5066,-1188,5275,-1207,5484,-1192,5693,-1207,5902,-1272,6110,-1250,6319,-1233,6528,-1233,6734,-1214,6943,-1202,7152,-1248,7361,-1260,7570,-1176e" filled="false" stroked="true" strokeweight="2.16pt" strokecolor="#416ea6">
                  <v:path arrowok="t"/>
                  <v:stroke dashstyle="solid"/>
                </v:shape>
                <v:shape style="position:absolute;left:3948;top:-1244;width:155;height:155" type="#_x0000_t75" id="docshape553" stroked="false">
                  <v:imagedata r:id="rId148" o:title=""/>
                </v:shape>
                <v:shape style="position:absolute;left:4156;top:-1261;width:155;height:155" type="#_x0000_t75" id="docshape554" stroked="false">
                  <v:imagedata r:id="rId149" o:title=""/>
                </v:shape>
                <v:shape style="position:absolute;left:4365;top:-1370;width:155;height:155" type="#_x0000_t75" id="docshape555" stroked="false">
                  <v:imagedata r:id="rId148" o:title=""/>
                </v:shape>
                <v:shape style="position:absolute;left:4573;top:-1262;width:155;height:155" type="#_x0000_t75" id="docshape556" stroked="false">
                  <v:imagedata r:id="rId150" o:title=""/>
                </v:shape>
                <v:shape style="position:absolute;left:4782;top:-1299;width:155;height:155" type="#_x0000_t75" id="docshape557" stroked="false">
                  <v:imagedata r:id="rId151" o:title=""/>
                </v:shape>
                <v:shape style="position:absolute;left:4991;top:-1265;width:155;height:155" type="#_x0000_t75" id="docshape558" stroked="false">
                  <v:imagedata r:id="rId148" o:title=""/>
                </v:shape>
                <v:shape style="position:absolute;left:5199;top:-1284;width:155;height:155" type="#_x0000_t75" id="docshape559" stroked="false">
                  <v:imagedata r:id="rId152" o:title=""/>
                </v:shape>
                <v:shape style="position:absolute;left:5408;top:-1270;width:155;height:155" type="#_x0000_t75" id="docshape560" stroked="false">
                  <v:imagedata r:id="rId152" o:title=""/>
                </v:shape>
                <v:shape style="position:absolute;left:5616;top:-1285;width:155;height:155" type="#_x0000_t75" id="docshape561" stroked="false">
                  <v:imagedata r:id="rId153" o:title=""/>
                </v:shape>
                <v:shape style="position:absolute;left:5825;top:-1349;width:155;height:155" type="#_x0000_t75" id="docshape562" stroked="false">
                  <v:imagedata r:id="rId154" o:title=""/>
                </v:shape>
                <v:shape style="position:absolute;left:6034;top:-1327;width:155;height:155" type="#_x0000_t75" id="docshape563" stroked="false">
                  <v:imagedata r:id="rId155" o:title=""/>
                </v:shape>
                <v:shape style="position:absolute;left:6242;top:-1310;width:155;height:155" type="#_x0000_t75" id="docshape564" stroked="false">
                  <v:imagedata r:id="rId156" o:title=""/>
                </v:shape>
                <v:shape style="position:absolute;left:6451;top:-1311;width:155;height:155" type="#_x0000_t75" id="docshape565" stroked="false">
                  <v:imagedata r:id="rId156" o:title=""/>
                </v:shape>
                <v:shape style="position:absolute;left:6660;top:-1292;width:155;height:155" type="#_x0000_t75" id="docshape566" stroked="false">
                  <v:imagedata r:id="rId152" o:title=""/>
                </v:shape>
                <v:shape style="position:absolute;left:6868;top:-1281;width:155;height:155" type="#_x0000_t75" id="docshape567" stroked="false">
                  <v:imagedata r:id="rId155" o:title=""/>
                </v:shape>
                <v:shape style="position:absolute;left:7077;top:-1326;width:155;height:155" type="#_x0000_t75" id="docshape568" stroked="false">
                  <v:imagedata r:id="rId155" o:title=""/>
                </v:shape>
                <v:shape style="position:absolute;left:7285;top:-1336;width:155;height:155" type="#_x0000_t75" id="docshape569" stroked="false">
                  <v:imagedata r:id="rId152" o:title=""/>
                </v:shape>
                <v:shape style="position:absolute;left:7494;top:-1254;width:155;height:155" type="#_x0000_t75" id="docshape570" stroked="false">
                  <v:imagedata r:id="rId152" o:title=""/>
                </v:shape>
                <v:shape style="position:absolute;left:4024;top:-1483;width:3545;height:320" id="docshape571" coordorigin="4025,-1483" coordsize="3545,320" path="m4025,-1164l4234,-1176,4442,-1185,4651,-1180,4860,-1200,5066,-1173,5275,-1185,5484,-1216,5693,-1228,5902,-1255,6110,-1245,6319,-1236,6528,-1221,6734,-1483,6943,-1459,7152,-1372,7361,-1372,7570,-1250e" filled="false" stroked="true" strokeweight="2.16pt" strokecolor="#a8423e">
                  <v:path arrowok="t"/>
                  <v:stroke dashstyle="solid"/>
                </v:shape>
                <v:rect style="position:absolute;left:3955;top:-1234;width:140;height:140" id="docshape572" filled="true" fillcolor="#aa4643" stroked="false">
                  <v:fill type="solid"/>
                </v:rect>
                <v:rect style="position:absolute;left:3955;top:-1234;width:140;height:140" id="docshape573" filled="false" stroked="true" strokeweight=".72pt" strokecolor="#a8423e">
                  <v:stroke dashstyle="solid"/>
                </v:rect>
                <v:rect style="position:absolute;left:4164;top:-1246;width:140;height:140" id="docshape574" filled="true" fillcolor="#aa4643" stroked="false">
                  <v:fill type="solid"/>
                </v:rect>
                <v:rect style="position:absolute;left:4164;top:-1246;width:140;height:140" id="docshape575" filled="false" stroked="true" strokeweight=".72pt" strokecolor="#a8423e">
                  <v:stroke dashstyle="solid"/>
                </v:rect>
                <v:rect style="position:absolute;left:4372;top:-1255;width:140;height:140" id="docshape576" filled="true" fillcolor="#aa4643" stroked="false">
                  <v:fill type="solid"/>
                </v:rect>
                <v:rect style="position:absolute;left:4372;top:-1255;width:140;height:140" id="docshape577" filled="false" stroked="true" strokeweight=".72pt" strokecolor="#a8423e">
                  <v:stroke dashstyle="solid"/>
                </v:rect>
                <v:rect style="position:absolute;left:4581;top:-1253;width:140;height:142" id="docshape578" filled="true" fillcolor="#aa4643" stroked="false">
                  <v:fill type="solid"/>
                </v:rect>
                <v:rect style="position:absolute;left:4581;top:-1253;width:140;height:142" id="docshape579" filled="false" stroked="true" strokeweight=".72pt" strokecolor="#a8423e">
                  <v:stroke dashstyle="solid"/>
                </v:rect>
                <v:rect style="position:absolute;left:4790;top:-1270;width:140;height:140" id="docshape580" filled="true" fillcolor="#aa4643" stroked="false">
                  <v:fill type="solid"/>
                </v:rect>
                <v:rect style="position:absolute;left:4790;top:-1270;width:140;height:140" id="docshape581" filled="false" stroked="true" strokeweight=".72pt" strokecolor="#a8423e">
                  <v:stroke dashstyle="solid"/>
                </v:rect>
                <v:rect style="position:absolute;left:4999;top:-1246;width:140;height:142" id="docshape582" filled="true" fillcolor="#aa4643" stroked="false">
                  <v:fill type="solid"/>
                </v:rect>
                <v:rect style="position:absolute;left:4999;top:-1246;width:140;height:142" id="docshape583" filled="false" stroked="true" strokeweight=".72pt" strokecolor="#a8423e">
                  <v:stroke dashstyle="solid"/>
                </v:rect>
                <v:rect style="position:absolute;left:5208;top:-1258;width:140;height:142" id="docshape584" filled="true" fillcolor="#aa4643" stroked="false">
                  <v:fill type="solid"/>
                </v:rect>
                <v:rect style="position:absolute;left:5208;top:-1258;width:140;height:142" id="docshape585" filled="false" stroked="true" strokeweight=".72pt" strokecolor="#a8423e">
                  <v:stroke dashstyle="solid"/>
                </v:rect>
                <v:rect style="position:absolute;left:5414;top:-1286;width:142;height:140" id="docshape586" filled="true" fillcolor="#aa4643" stroked="false">
                  <v:fill type="solid"/>
                </v:rect>
                <v:rect style="position:absolute;left:5414;top:-1286;width:142;height:140" id="docshape587" filled="false" stroked="true" strokeweight=".72pt" strokecolor="#a8423e">
                  <v:stroke dashstyle="solid"/>
                </v:rect>
                <v:rect style="position:absolute;left:5623;top:-1298;width:142;height:140" id="docshape588" filled="true" fillcolor="#aa4643" stroked="false">
                  <v:fill type="solid"/>
                </v:rect>
                <v:rect style="position:absolute;left:5623;top:-1298;width:142;height:140" id="docshape589" filled="false" stroked="true" strokeweight=".72pt" strokecolor="#a8423e">
                  <v:stroke dashstyle="solid"/>
                </v:rect>
                <v:rect style="position:absolute;left:5832;top:-1327;width:142;height:142" id="docshape590" filled="true" fillcolor="#aa4643" stroked="false">
                  <v:fill type="solid"/>
                </v:rect>
                <v:rect style="position:absolute;left:5832;top:-1327;width:142;height:142" id="docshape591" filled="false" stroked="true" strokeweight=".72pt" strokecolor="#a8423e">
                  <v:stroke dashstyle="solid"/>
                </v:rect>
                <v:rect style="position:absolute;left:6040;top:-1318;width:142;height:142" id="docshape592" filled="true" fillcolor="#aa4643" stroked="false">
                  <v:fill type="solid"/>
                </v:rect>
                <v:rect style="position:absolute;left:6040;top:-1318;width:142;height:142" id="docshape593" filled="false" stroked="true" strokeweight=".72pt" strokecolor="#a8423e">
                  <v:stroke dashstyle="solid"/>
                </v:rect>
                <v:rect style="position:absolute;left:6249;top:-1306;width:140;height:140" id="docshape594" filled="true" fillcolor="#aa4643" stroked="false">
                  <v:fill type="solid"/>
                </v:rect>
                <v:rect style="position:absolute;left:6249;top:-1306;width:140;height:140" id="docshape595" filled="false" stroked="true" strokeweight=".72pt" strokecolor="#a8423e">
                  <v:stroke dashstyle="solid"/>
                </v:rect>
                <v:rect style="position:absolute;left:6458;top:-1291;width:140;height:140" id="docshape596" filled="true" fillcolor="#aa4643" stroked="false">
                  <v:fill type="solid"/>
                </v:rect>
                <v:rect style="position:absolute;left:6458;top:-1291;width:140;height:140" id="docshape597" filled="false" stroked="true" strokeweight=".72pt" strokecolor="#a8423e">
                  <v:stroke dashstyle="solid"/>
                </v:rect>
                <v:rect style="position:absolute;left:6667;top:-1553;width:140;height:140" id="docshape598" filled="true" fillcolor="#aa4643" stroked="false">
                  <v:fill type="solid"/>
                </v:rect>
                <v:rect style="position:absolute;left:6667;top:-1553;width:140;height:140" id="docshape599" filled="false" stroked="true" strokeweight=".72pt" strokecolor="#a8423e">
                  <v:stroke dashstyle="solid"/>
                </v:rect>
                <v:rect style="position:absolute;left:6876;top:-1529;width:140;height:140" id="docshape600" filled="true" fillcolor="#aa4643" stroked="false">
                  <v:fill type="solid"/>
                </v:rect>
                <v:rect style="position:absolute;left:6876;top:-1529;width:140;height:140" id="docshape601" filled="false" stroked="true" strokeweight=".72pt" strokecolor="#a8423e">
                  <v:stroke dashstyle="solid"/>
                </v:rect>
                <v:rect style="position:absolute;left:7084;top:-1442;width:140;height:142" id="docshape602" filled="true" fillcolor="#aa4643" stroked="false">
                  <v:fill type="solid"/>
                </v:rect>
                <v:rect style="position:absolute;left:7084;top:-1442;width:140;height:142" id="docshape603" filled="false" stroked="true" strokeweight=".72pt" strokecolor="#a8423e">
                  <v:stroke dashstyle="solid"/>
                </v:rect>
                <v:rect style="position:absolute;left:7293;top:-1445;width:140;height:142" id="docshape604" filled="true" fillcolor="#aa4643" stroked="false">
                  <v:fill type="solid"/>
                </v:rect>
                <v:rect style="position:absolute;left:7293;top:-1445;width:140;height:142" id="docshape605" filled="false" stroked="true" strokeweight=".72pt" strokecolor="#a8423e">
                  <v:stroke dashstyle="solid"/>
                </v:rect>
                <v:rect style="position:absolute;left:7502;top:-1320;width:140;height:140" id="docshape606" filled="true" fillcolor="#aa4643" stroked="false">
                  <v:fill type="solid"/>
                </v:rect>
                <v:rect style="position:absolute;left:7502;top:-1320;width:140;height:140" id="docshape607" filled="false" stroked="true" strokeweight=".72pt" strokecolor="#a8423e">
                  <v:stroke dashstyle="solid"/>
                </v:rect>
                <v:shape style="position:absolute;left:4024;top:-1313;width:3545;height:147" id="docshape608" coordorigin="4025,-1312" coordsize="3545,147" path="m4025,-1166l4234,-1176,4442,-1171,4651,-1188,4860,-1178,5066,-1178,5275,-1178,5484,-1180,5693,-1197,5902,-1202,6110,-1207,6319,-1200,6528,-1192,6734,-1204,6943,-1200,7152,-1310,7361,-1312,7570,-1236e" filled="false" stroked="true" strokeweight="2.16pt" strokecolor="#85a349">
                  <v:path arrowok="t"/>
                  <v:stroke dashstyle="solid"/>
                </v:shape>
                <v:shape style="position:absolute;left:3948;top:-1241;width:155;height:155" type="#_x0000_t75" id="docshape609" stroked="false">
                  <v:imagedata r:id="rId157" o:title=""/>
                </v:shape>
                <v:shape style="position:absolute;left:4156;top:-1250;width:155;height:155" type="#_x0000_t75" id="docshape610" stroked="false">
                  <v:imagedata r:id="rId157" o:title=""/>
                </v:shape>
                <v:shape style="position:absolute;left:4365;top:-1246;width:155;height:155" type="#_x0000_t75" id="docshape611" stroked="false">
                  <v:imagedata r:id="rId158" o:title=""/>
                </v:shape>
                <v:shape style="position:absolute;left:4573;top:-1263;width:155;height:155" type="#_x0000_t75" id="docshape612" stroked="false">
                  <v:imagedata r:id="rId159" o:title=""/>
                </v:shape>
                <v:shape style="position:absolute;left:4782;top:-1253;width:155;height:155" type="#_x0000_t75" id="docshape613" stroked="false">
                  <v:imagedata r:id="rId160" o:title=""/>
                </v:shape>
                <v:shape style="position:absolute;left:4991;top:-1254;width:155;height:155" type="#_x0000_t75" id="docshape614" stroked="false">
                  <v:imagedata r:id="rId158" o:title=""/>
                </v:shape>
                <v:shape style="position:absolute;left:5199;top:-1254;width:155;height:155" type="#_x0000_t75" id="docshape615" stroked="false">
                  <v:imagedata r:id="rId158" o:title=""/>
                </v:shape>
                <v:shape style="position:absolute;left:5408;top:-1255;width:155;height:155" type="#_x0000_t75" id="docshape616" stroked="false">
                  <v:imagedata r:id="rId158" o:title=""/>
                </v:shape>
                <v:shape style="position:absolute;left:5616;top:-1273;width:155;height:155" type="#_x0000_t75" id="docshape617" stroked="false">
                  <v:imagedata r:id="rId161" o:title=""/>
                </v:shape>
                <v:shape style="position:absolute;left:5825;top:-1277;width:155;height:155" type="#_x0000_t75" id="docshape618" stroked="false">
                  <v:imagedata r:id="rId162" o:title=""/>
                </v:shape>
                <v:shape style="position:absolute;left:6034;top:-1283;width:155;height:155" type="#_x0000_t75" id="docshape619" stroked="false">
                  <v:imagedata r:id="rId159" o:title=""/>
                </v:shape>
                <v:shape style="position:absolute;left:6242;top:-1275;width:155;height:155" type="#_x0000_t75" id="docshape620" stroked="false">
                  <v:imagedata r:id="rId163" o:title=""/>
                </v:shape>
                <v:shape style="position:absolute;left:6451;top:-1268;width:155;height:155" type="#_x0000_t75" id="docshape621" stroked="false">
                  <v:imagedata r:id="rId158" o:title=""/>
                </v:shape>
                <v:shape style="position:absolute;left:6660;top:-1279;width:155;height:155" type="#_x0000_t75" id="docshape622" stroked="false">
                  <v:imagedata r:id="rId163" o:title=""/>
                </v:shape>
                <v:shape style="position:absolute;left:6868;top:-1275;width:155;height:155" type="#_x0000_t75" id="docshape623" stroked="false">
                  <v:imagedata r:id="rId160" o:title=""/>
                </v:shape>
                <v:shape style="position:absolute;left:7077;top:-1387;width:155;height:155" type="#_x0000_t75" id="docshape624" stroked="false">
                  <v:imagedata r:id="rId160" o:title=""/>
                </v:shape>
                <v:shape style="position:absolute;left:7285;top:-1390;width:155;height:155" type="#_x0000_t75" id="docshape625" stroked="false">
                  <v:imagedata r:id="rId158" o:title=""/>
                </v:shape>
                <v:shape style="position:absolute;left:7494;top:-1312;width:155;height:155" type="#_x0000_t75" id="docshape626" stroked="false">
                  <v:imagedata r:id="rId157" o:title=""/>
                </v:shape>
                <v:shape style="position:absolute;left:4024;top:-1318;width:3545;height:154" id="docshape627" coordorigin="4025,-1317" coordsize="3545,154" path="m4025,-1164l4234,-1176,4442,-1168,4651,-1168,4860,-1168,5066,-1168,5275,-1176,5484,-1180,5693,-1204,5902,-1197,6110,-1219,6319,-1195,6528,-1192,6734,-1195,6943,-1192,7152,-1317,7361,-1298,7570,-1192e" filled="false" stroked="true" strokeweight="2.16pt" strokecolor="#6d538d">
                  <v:path arrowok="t"/>
                  <v:stroke dashstyle="solid"/>
                </v:shape>
                <v:shape style="position:absolute;left:3955;top:-1387;width:3687;height:293" id="docshape628" coordorigin="3955,-1387" coordsize="3687,293" path="m4025,-1165l3955,-1094,4094,-1094,4025,-1165xm4094,-1236l3955,-1236,4025,-1165,4094,-1236xm4234,-1177l4164,-1106,4303,-1106,4234,-1177xm4303,-1248l4164,-1248,4234,-1177,4303,-1248xm4442,-1168l4373,-1099,4512,-1099,4442,-1168xm4512,-1238l4373,-1238,4442,-1168,4512,-1238xm4651,-1170l4582,-1099,4721,-1099,4651,-1170xm4721,-1240l4582,-1240,4651,-1170,4721,-1240xm4860,-1168l4790,-1099,4930,-1099,4860,-1168xm4930,-1238l4790,-1238,4860,-1168,4930,-1238xm5069,-1170l4999,-1099,5138,-1099,5069,-1170xm5138,-1240l4999,-1240,5069,-1170,5138,-1240xm5278,-1176l5208,-1106,5347,-1106,5278,-1176xm5347,-1245l5208,-1245,5278,-1176,5347,-1245xm5485,-1179l5414,-1108,5556,-1108,5485,-1179xm5556,-1250l5414,-1250,5485,-1179,5556,-1250xm5694,-1204l5623,-1135,5765,-1135,5694,-1204xm5765,-1274l5623,-1274,5694,-1204,5765,-1274xm5903,-1198l5832,-1128,5974,-1128,5903,-1198xm5974,-1269l5832,-1269,5903,-1198,5974,-1269xm6112,-1219l6041,-1149,6182,-1149,6112,-1219xm6182,-1288l6041,-1288,6112,-1219,6182,-1288xm6319,-1195l6250,-1125,6389,-1125,6319,-1195xm6389,-1264l6250,-1264,6319,-1195,6389,-1264xm6528,-1192l6458,-1123,6598,-1123,6528,-1192xm6598,-1262l6458,-1262,6528,-1192,6598,-1262xm6737,-1196l6667,-1125,6806,-1125,6737,-1196xm6806,-1267l6667,-1267,6737,-1196,6806,-1267xm6946,-1192l6876,-1123,7015,-1123,6946,-1192xm7015,-1262l6876,-1262,6946,-1192,7015,-1262xm7154,-1316l7085,-1245,7224,-1245,7154,-1316xm7224,-1387l7085,-1387,7154,-1316,7224,-1387xm7363,-1297l7294,-1226,7433,-1226,7363,-1297xm7433,-1368l7294,-1368,7363,-1297,7433,-1368xm7572,-1192l7502,-1123,7642,-1123,7572,-1192xm7642,-1262l7502,-1262,7572,-1192,7642,-1262xe" filled="true" fillcolor="#70578f" stroked="false">
                  <v:path arrowok="t"/>
                  <v:fill type="solid"/>
                </v:shape>
                <v:shape style="position:absolute;left:3955;top:-1387;width:3687;height:293" id="docshape629" coordorigin="3955,-1387" coordsize="3687,293" path="m4094,-1094l3955,-1236m3955,-1094l4094,-1236m4303,-1106l4164,-1248m4164,-1106l4303,-1248m4512,-1099l4373,-1238m4373,-1099l4512,-1238m4721,-1099l4582,-1240m4582,-1099l4721,-1240m4930,-1099l4790,-1238m4790,-1099l4930,-1238m5138,-1099l4999,-1240m4999,-1099l5138,-1240m5347,-1106l5208,-1245m5208,-1106l5347,-1245m5556,-1108l5414,-1250m5414,-1108l5556,-1250m5765,-1135l5623,-1274m5623,-1135l5765,-1274m5974,-1128l5832,-1269m5832,-1128l5974,-1269m6182,-1149l6041,-1288m6041,-1149l6182,-1288m6389,-1125l6250,-1264m6250,-1125l6389,-1264m6598,-1123l6458,-1262m6458,-1123l6598,-1262m6806,-1125l6667,-1267m6667,-1125l6806,-1267m7015,-1123l6876,-1262m6876,-1123l7015,-1262m7224,-1245l7085,-1387m7085,-1245l7224,-1387m7433,-1226l7294,-1368m7294,-1226l7433,-1368m7642,-1123l7502,-1262m7502,-1123l7642,-1262e" filled="false" stroked="true" strokeweight=".72pt" strokecolor="#6d538d">
                  <v:path arrowok="t"/>
                  <v:stroke dashstyle="solid"/>
                </v:shape>
                <v:shape style="position:absolute;left:4024;top:-2726;width:3545;height:1560" id="docshape630" coordorigin="4025,-2726" coordsize="3545,1560" path="m4025,-1166l4234,-1317,4442,-1240,4651,-1228,4860,-1192,5066,-1329,5275,-1399,5484,-1370,5693,-1538,5902,-1634,6110,-1622,6319,-1533,6528,-1476,6734,-1454,6943,-1634,7152,-2200,7361,-2726,7570,-2131e" filled="false" stroked="true" strokeweight="2.16pt" strokecolor="#3c95ad">
                  <v:path arrowok="t"/>
                  <v:stroke dashstyle="solid"/>
                </v:shape>
                <v:shape style="position:absolute;left:3955;top:-2798;width:3617;height:1702" id="docshape631" coordorigin="3955,-2798" coordsize="3617,1702" path="m4025,-1166l3955,-1096,4025,-1096,4025,-1166xm4025,-1236l3955,-1236,4025,-1166,4025,-1236xm4234,-1318l4164,-1248,4234,-1248,4234,-1318xm4234,-1389l4164,-1389,4234,-1318,4234,-1389xm4442,-1240l4373,-1171,4442,-1171,4442,-1240xm4442,-1310l4373,-1310,4442,-1240,4442,-1310xm4651,-1230l4582,-1159,4651,-1159,4651,-1230xm4651,-1300l4582,-1300,4651,-1230,4651,-1300xm4860,-1192l4790,-1123,4860,-1123,4860,-1192xm4860,-1262l4790,-1262,4860,-1192,4860,-1262xm5069,-1329l4999,-1260,5069,-1260,5069,-1329xm5069,-1399l4999,-1399,5069,-1329,5069,-1399xm5278,-1399l5208,-1329,5278,-1329,5278,-1399xm5278,-1468l5208,-1468,5278,-1399,5278,-1468xm5485,-1372l5414,-1303,5486,-1303,5486,-1371,5485,-1372xm5486,-1442l5414,-1442,5485,-1372,5486,-1374,5486,-1442xm5694,-1538l5623,-1468,5695,-1468,5695,-1537,5694,-1538xm5695,-1608l5623,-1608,5694,-1538,5695,-1539,5695,-1608xm5902,-1635l5832,-1567,5902,-1567,5902,-1635xm5902,-1638l5902,-1635,5903,-1636,5902,-1638xm5902,-1706l5832,-1706,5902,-1638,5902,-1706xm6110,-1621l6041,-1552,6110,-1552,6110,-1621xm6110,-1623l6110,-1621,6112,-1622,6110,-1623xm6110,-1692l6041,-1692,6110,-1623,6110,-1692xm6319,-1536l6250,-1466,6319,-1466,6319,-1536xm6319,-1605l6250,-1605,6319,-1536,6319,-1605xm6528,-1477l6458,-1406,6528,-1406,6528,-1477xm6528,-1548l6458,-1548,6528,-1477,6528,-1548xm6737,-1455l6667,-1384,6737,-1384,6737,-1455xm6737,-1526l6667,-1526,6737,-1455,6737,-1526xm6946,-1635l6876,-1564,6946,-1564,6946,-1635xm6946,-1706l6876,-1706,6946,-1635,6946,-1706xm7154,-2202l7085,-2131,7154,-2131,7154,-2202xm7154,-2272l7085,-2272,7154,-2202,7154,-2272xm7363,-2728l7294,-2659,7363,-2659,7363,-2728xm7363,-2798l7294,-2798,7363,-2728,7363,-2798xm7572,-2132l7502,-2061,7572,-2061,7572,-2132xm7572,-2203l7502,-2203,7572,-2132,7572,-2203xe" filled="true" fillcolor="#4197ae" stroked="false">
                  <v:path arrowok="t"/>
                  <v:fill type="solid"/>
                </v:shape>
                <v:shape style="position:absolute;left:3955;top:-2798;width:3687;height:1702" id="docshape632" coordorigin="3955,-2798" coordsize="3687,1702" path="m4094,-1096l3955,-1236m4025,-1236l4025,-1096m3955,-1096l4094,-1236m4303,-1248l4164,-1389m4234,-1389l4234,-1248m4164,-1248l4303,-1389m4512,-1171l4373,-1310m4442,-1310l4442,-1171m4373,-1171l4512,-1310m4721,-1159l4582,-1300m4651,-1300l4651,-1159m4582,-1159l4721,-1300m4930,-1123l4790,-1262m4860,-1262l4860,-1123m4790,-1123l4930,-1262m5138,-1260l4999,-1399m5069,-1399l5069,-1260m4999,-1260l5138,-1399m5347,-1329l5208,-1468m5278,-1468l5278,-1329m5208,-1329l5347,-1468m5556,-1303l5414,-1442m5486,-1442l5486,-1303m5414,-1303l5556,-1442m5765,-1468l5623,-1608m5695,-1608l5695,-1468m5623,-1468l5765,-1608m5974,-1567l5832,-1706m5902,-1706l5902,-1567m5832,-1567l5974,-1706m6182,-1552l6041,-1692m6110,-1692l6110,-1552m6041,-1552l6182,-1692m6389,-1466l6250,-1605m6319,-1605l6319,-1466m6250,-1466l6389,-1605m6598,-1406l6458,-1548m6528,-1548l6528,-1406m6458,-1406l6598,-1548m6806,-1384l6667,-1526m6737,-1526l6737,-1384m6667,-1384l6806,-1526m7015,-1564l6876,-1706m6946,-1706l6946,-1564m6876,-1564l7015,-1706m7224,-2131l7085,-2272m7154,-2272l7154,-2131m7085,-2131l7224,-2272m7433,-2659l7294,-2798m7363,-2798l7363,-2659m7294,-2659l7433,-2798m7642,-2061l7502,-2203m7572,-2203l7572,-2061m7502,-2061l7642,-2203e" filled="false" stroked="true" strokeweight=".72pt" strokecolor="#3c95ad">
                  <v:path arrowok="t"/>
                  <v:stroke dashstyle="solid"/>
                </v:shape>
                <v:shape style="position:absolute;left:4024;top:-4399;width:3545;height:3204" id="docshape633" coordorigin="4025,-4399" coordsize="3545,3204" path="m4025,-1195l4234,-1567,4442,-1528,4651,-1449,4860,-1389,5066,-1504,5275,-1641,5484,-1672,5693,-2184,5902,-2652,6110,-2553,6319,-2337,6528,-2145,6734,-2532,6943,-3232,7152,-4171,7361,-4399,7570,-2700e" filled="false" stroked="true" strokeweight="2.16pt" strokecolor="#da8137">
                  <v:path arrowok="t"/>
                  <v:stroke dashstyle="solid"/>
                </v:shape>
                <v:shape style="position:absolute;left:3948;top:-1272;width:154;height:154" type="#_x0000_t75" id="docshape634" stroked="false">
                  <v:imagedata r:id="rId164" o:title=""/>
                </v:shape>
                <v:shape style="position:absolute;left:4156;top:-1646;width:154;height:156" type="#_x0000_t75" id="docshape635" stroked="false">
                  <v:imagedata r:id="rId165" o:title=""/>
                </v:shape>
                <v:shape style="position:absolute;left:4365;top:-1608;width:154;height:156" type="#_x0000_t75" id="docshape636" stroked="false">
                  <v:imagedata r:id="rId166" o:title=""/>
                </v:shape>
                <v:shape style="position:absolute;left:4574;top:-1526;width:154;height:154" type="#_x0000_t75" id="docshape637" stroked="false">
                  <v:imagedata r:id="rId167" o:title=""/>
                </v:shape>
                <v:shape style="position:absolute;left:4783;top:-1466;width:154;height:154" type="#_x0000_t75" id="docshape638" stroked="false">
                  <v:imagedata r:id="rId167" o:title=""/>
                </v:shape>
                <v:shape style="position:absolute;left:4992;top:-1582;width:154;height:154" type="#_x0000_t75" id="docshape639" stroked="false">
                  <v:imagedata r:id="rId167" o:title=""/>
                </v:shape>
                <v:shape style="position:absolute;left:5200;top:-1718;width:154;height:154" type="#_x0000_t75" id="docshape640" stroked="false">
                  <v:imagedata r:id="rId168" o:title=""/>
                </v:shape>
                <v:shape style="position:absolute;left:5407;top:-1750;width:156;height:154" type="#_x0000_t75" id="docshape641" stroked="false">
                  <v:imagedata r:id="rId169" o:title=""/>
                </v:shape>
                <v:shape style="position:absolute;left:5616;top:-2261;width:156;height:154" type="#_x0000_t75" id="docshape642" stroked="false">
                  <v:imagedata r:id="rId169" o:title=""/>
                </v:shape>
                <v:shape style="position:absolute;left:5824;top:-2729;width:156;height:154" type="#_x0000_t75" id="docshape643" stroked="false">
                  <v:imagedata r:id="rId170" o:title=""/>
                </v:shape>
                <v:shape style="position:absolute;left:6033;top:-2630;width:156;height:154" type="#_x0000_t75" id="docshape644" stroked="false">
                  <v:imagedata r:id="rId171" o:title=""/>
                </v:shape>
                <v:shape style="position:absolute;left:6242;top:-2414;width:154;height:154" type="#_x0000_t75" id="docshape645" stroked="false">
                  <v:imagedata r:id="rId164" o:title=""/>
                </v:shape>
                <v:shape style="position:absolute;left:6451;top:-2222;width:154;height:154" type="#_x0000_t75" id="docshape646" stroked="false">
                  <v:imagedata r:id="rId168" o:title=""/>
                </v:shape>
                <v:shape style="position:absolute;left:6660;top:-2609;width:154;height:156" type="#_x0000_t75" id="docshape647" stroked="false">
                  <v:imagedata r:id="rId172" o:title=""/>
                </v:shape>
                <v:shape style="position:absolute;left:6868;top:-3310;width:154;height:156" type="#_x0000_t75" id="docshape648" stroked="false">
                  <v:imagedata r:id="rId172" o:title=""/>
                </v:shape>
                <v:shape style="position:absolute;left:7077;top:-4248;width:154;height:154" type="#_x0000_t75" id="docshape649" stroked="false">
                  <v:imagedata r:id="rId173" o:title=""/>
                </v:shape>
                <v:shape style="position:absolute;left:7286;top:-4476;width:154;height:154" type="#_x0000_t75" id="docshape650" stroked="false">
                  <v:imagedata r:id="rId167" o:title=""/>
                </v:shape>
                <v:shape style="position:absolute;left:7495;top:-2777;width:154;height:154" type="#_x0000_t75" id="docshape651" stroked="false">
                  <v:imagedata r:id="rId168" o:title=""/>
                </v:shape>
                <v:shape style="position:absolute;left:1840;top:-3337;width:58;height:132" id="docshape652" coordorigin="1840,-3337" coordsize="58,132" path="m1859,-3337l1840,-3337,1840,-3205,1859,-3205,1859,-3337xm1898,-3337l1878,-3337,1878,-3205,1898,-3205,1898,-3337xe" filled="true" fillcolor="#000000" stroked="false">
                  <v:path arrowok="t"/>
                  <v:fill type="solid"/>
                </v:shape>
                <v:shape style="position:absolute;left:7987;top:-3458;width:384;height:135" type="#_x0000_t75" id="docshape653" stroked="false">
                  <v:imagedata r:id="rId174" o:title=""/>
                </v:shape>
                <v:line style="position:absolute" from="7987,-3028" to="8371,-3028" stroked="true" strokeweight="1.92pt" strokecolor="#a8423e">
                  <v:stroke dashstyle="solid"/>
                </v:line>
                <v:rect style="position:absolute;left:8119;top:-3089;width:120;height:120" id="docshape654" filled="true" fillcolor="#aa4643" stroked="false">
                  <v:fill type="solid"/>
                </v:rect>
                <v:rect style="position:absolute;left:8119;top:-3089;width:120;height:120" id="docshape655" filled="false" stroked="true" strokeweight=".72pt" strokecolor="#a8423e">
                  <v:stroke dashstyle="solid"/>
                </v:rect>
                <v:shape style="position:absolute;left:7987;top:-2734;width:384;height:135" type="#_x0000_t75" id="docshape656" stroked="false">
                  <v:imagedata r:id="rId175" o:title=""/>
                </v:shape>
                <v:shape style="position:absolute;left:7987;top:-2374;width:384;height:135" type="#_x0000_t75" id="docshape657" stroked="false">
                  <v:imagedata r:id="rId176" o:title=""/>
                </v:shape>
                <v:shape style="position:absolute;left:7987;top:-2011;width:384;height:135" type="#_x0000_t75" id="docshape658" stroked="false">
                  <v:imagedata r:id="rId177" o:title=""/>
                </v:shape>
                <v:shape style="position:absolute;left:7987;top:-1649;width:384;height:135" type="#_x0000_t75" id="docshape659" stroked="false">
                  <v:imagedata r:id="rId178" o:title=""/>
                </v:shape>
                <v:rect style="position:absolute;left:1470;top:-4884;width:9356;height:4795" id="docshape660" filled="false" stroked="true" strokeweight="1pt" strokecolor="#858585">
                  <v:stroke dashstyle="solid"/>
                </v:rect>
                <v:shape style="position:absolute;left:2118;top:-4755;width:1634;height:3116" type="#_x0000_t202" id="docshape661" filled="false" stroked="false">
                  <v:textbox inset="0,0,0,0">
                    <w:txbxContent>
                      <w:p>
                        <w:pPr>
                          <w:spacing w:line="203" w:lineRule="exact" w:before="0"/>
                          <w:ind w:left="0" w:right="18" w:firstLine="0"/>
                          <w:jc w:val="right"/>
                          <w:rPr>
                            <w:rFonts w:ascii="Calibri"/>
                            <w:sz w:val="20"/>
                          </w:rPr>
                        </w:pPr>
                        <w:r>
                          <w:rPr>
                            <w:rFonts w:ascii="Calibri"/>
                            <w:spacing w:val="-2"/>
                            <w:sz w:val="20"/>
                          </w:rPr>
                          <w:t>120,000,000,000.00</w:t>
                        </w:r>
                      </w:p>
                      <w:p>
                        <w:pPr>
                          <w:spacing w:line="240" w:lineRule="auto" w:before="94"/>
                          <w:rPr>
                            <w:rFonts w:ascii="Calibri"/>
                            <w:sz w:val="20"/>
                          </w:rPr>
                        </w:pPr>
                      </w:p>
                      <w:p>
                        <w:pPr>
                          <w:spacing w:before="1"/>
                          <w:ind w:left="0" w:right="18" w:firstLine="0"/>
                          <w:jc w:val="right"/>
                          <w:rPr>
                            <w:rFonts w:ascii="Calibri"/>
                            <w:sz w:val="20"/>
                          </w:rPr>
                        </w:pPr>
                        <w:r>
                          <w:rPr>
                            <w:rFonts w:ascii="Calibri"/>
                            <w:spacing w:val="-2"/>
                            <w:sz w:val="20"/>
                          </w:rPr>
                          <w:t>100,000,000,000.00</w:t>
                        </w:r>
                      </w:p>
                      <w:p>
                        <w:pPr>
                          <w:spacing w:line="240" w:lineRule="auto" w:before="94"/>
                          <w:rPr>
                            <w:rFonts w:ascii="Calibri"/>
                            <w:sz w:val="20"/>
                          </w:rPr>
                        </w:pPr>
                      </w:p>
                      <w:p>
                        <w:pPr>
                          <w:spacing w:before="1"/>
                          <w:ind w:left="0" w:right="18" w:firstLine="0"/>
                          <w:jc w:val="right"/>
                          <w:rPr>
                            <w:rFonts w:ascii="Calibri"/>
                            <w:sz w:val="20"/>
                          </w:rPr>
                        </w:pPr>
                        <w:r>
                          <w:rPr>
                            <w:rFonts w:ascii="Calibri"/>
                            <w:spacing w:val="-2"/>
                            <w:sz w:val="20"/>
                          </w:rPr>
                          <w:t>80,000,000,000.00</w:t>
                        </w:r>
                      </w:p>
                      <w:p>
                        <w:pPr>
                          <w:spacing w:line="240" w:lineRule="auto" w:before="94"/>
                          <w:rPr>
                            <w:rFonts w:ascii="Calibri"/>
                            <w:sz w:val="20"/>
                          </w:rPr>
                        </w:pPr>
                      </w:p>
                      <w:p>
                        <w:pPr>
                          <w:spacing w:before="0"/>
                          <w:ind w:left="0" w:right="18" w:firstLine="0"/>
                          <w:jc w:val="right"/>
                          <w:rPr>
                            <w:rFonts w:ascii="Calibri"/>
                            <w:sz w:val="20"/>
                          </w:rPr>
                        </w:pPr>
                        <w:r>
                          <w:rPr>
                            <w:rFonts w:ascii="Calibri"/>
                            <w:spacing w:val="-2"/>
                            <w:sz w:val="20"/>
                          </w:rPr>
                          <w:t>60,000,000,000.00</w:t>
                        </w:r>
                      </w:p>
                      <w:p>
                        <w:pPr>
                          <w:spacing w:line="240" w:lineRule="auto" w:before="95"/>
                          <w:rPr>
                            <w:rFonts w:ascii="Calibri"/>
                            <w:sz w:val="20"/>
                          </w:rPr>
                        </w:pPr>
                      </w:p>
                      <w:p>
                        <w:pPr>
                          <w:spacing w:before="0"/>
                          <w:ind w:left="0" w:right="18" w:firstLine="0"/>
                          <w:jc w:val="right"/>
                          <w:rPr>
                            <w:rFonts w:ascii="Calibri"/>
                            <w:sz w:val="20"/>
                          </w:rPr>
                        </w:pPr>
                        <w:r>
                          <w:rPr>
                            <w:rFonts w:ascii="Calibri"/>
                            <w:spacing w:val="-2"/>
                            <w:sz w:val="20"/>
                          </w:rPr>
                          <w:t>40,000,000,000.00</w:t>
                        </w:r>
                      </w:p>
                      <w:p>
                        <w:pPr>
                          <w:spacing w:line="240" w:lineRule="auto" w:before="95"/>
                          <w:rPr>
                            <w:rFonts w:ascii="Calibri"/>
                            <w:sz w:val="20"/>
                          </w:rPr>
                        </w:pPr>
                      </w:p>
                      <w:p>
                        <w:pPr>
                          <w:spacing w:line="240" w:lineRule="exact" w:before="0"/>
                          <w:ind w:left="0" w:right="18" w:firstLine="0"/>
                          <w:jc w:val="right"/>
                          <w:rPr>
                            <w:rFonts w:ascii="Calibri"/>
                            <w:sz w:val="20"/>
                          </w:rPr>
                        </w:pPr>
                        <w:r>
                          <w:rPr>
                            <w:rFonts w:ascii="Calibri"/>
                            <w:spacing w:val="-2"/>
                            <w:sz w:val="20"/>
                          </w:rPr>
                          <w:t>20,000,000,000.00</w:t>
                        </w:r>
                      </w:p>
                    </w:txbxContent>
                  </v:textbox>
                  <w10:wrap type="none"/>
                </v:shape>
                <v:shape style="position:absolute;left:8413;top:-3483;width:2226;height:2008" type="#_x0000_t202" id="docshape662" filled="false" stroked="false">
                  <v:textbox inset="0,0,0,0">
                    <w:txbxContent>
                      <w:p>
                        <w:pPr>
                          <w:spacing w:line="203" w:lineRule="exact" w:before="0"/>
                          <w:ind w:left="0" w:right="0" w:firstLine="0"/>
                          <w:jc w:val="left"/>
                          <w:rPr>
                            <w:rFonts w:ascii="Calibri"/>
                            <w:sz w:val="20"/>
                          </w:rPr>
                        </w:pPr>
                        <w:r>
                          <w:rPr>
                            <w:rFonts w:ascii="Calibri"/>
                            <w:spacing w:val="-2"/>
                            <w:sz w:val="20"/>
                          </w:rPr>
                          <w:t>Housing</w:t>
                        </w:r>
                      </w:p>
                      <w:p>
                        <w:pPr>
                          <w:spacing w:line="355" w:lineRule="auto" w:before="117"/>
                          <w:ind w:left="0" w:right="926" w:firstLine="0"/>
                          <w:jc w:val="left"/>
                          <w:rPr>
                            <w:rFonts w:ascii="Calibri"/>
                            <w:sz w:val="20"/>
                          </w:rPr>
                        </w:pPr>
                        <w:r>
                          <w:rPr>
                            <w:rFonts w:ascii="Calibri"/>
                            <w:spacing w:val="-2"/>
                            <w:sz w:val="20"/>
                          </w:rPr>
                          <w:t>Education Health Agriculture Works</w:t>
                        </w:r>
                      </w:p>
                      <w:p>
                        <w:pPr>
                          <w:spacing w:line="240" w:lineRule="exact" w:before="1"/>
                          <w:ind w:left="0" w:right="0" w:firstLine="0"/>
                          <w:jc w:val="left"/>
                          <w:rPr>
                            <w:rFonts w:ascii="Calibri"/>
                            <w:sz w:val="20"/>
                          </w:rPr>
                        </w:pPr>
                        <w:r>
                          <w:rPr>
                            <w:rFonts w:ascii="Calibri"/>
                            <w:sz w:val="20"/>
                          </w:rPr>
                          <w:t>Annual</w:t>
                        </w:r>
                        <w:r>
                          <w:rPr>
                            <w:rFonts w:ascii="Calibri"/>
                            <w:spacing w:val="-11"/>
                            <w:sz w:val="20"/>
                          </w:rPr>
                          <w:t> </w:t>
                        </w:r>
                        <w:r>
                          <w:rPr>
                            <w:rFonts w:ascii="Calibri"/>
                            <w:sz w:val="20"/>
                          </w:rPr>
                          <w:t>Capital</w:t>
                        </w:r>
                        <w:r>
                          <w:rPr>
                            <w:rFonts w:ascii="Calibri"/>
                            <w:spacing w:val="-9"/>
                            <w:sz w:val="20"/>
                          </w:rPr>
                          <w:t> </w:t>
                        </w:r>
                        <w:r>
                          <w:rPr>
                            <w:rFonts w:ascii="Calibri"/>
                            <w:spacing w:val="-2"/>
                            <w:sz w:val="20"/>
                          </w:rPr>
                          <w:t>Expenditure</w:t>
                        </w:r>
                      </w:p>
                    </w:txbxContent>
                  </v:textbox>
                  <w10:wrap type="none"/>
                </v:shape>
                <v:shape style="position:absolute;left:3379;top:-1255;width:374;height:200" type="#_x0000_t202" id="docshape663" filled="false" stroked="false">
                  <v:textbox inset="0,0,0,0">
                    <w:txbxContent>
                      <w:p>
                        <w:pPr>
                          <w:spacing w:line="199" w:lineRule="exact" w:before="0"/>
                          <w:ind w:left="0" w:right="0" w:firstLine="0"/>
                          <w:jc w:val="left"/>
                          <w:rPr>
                            <w:rFonts w:ascii="Calibri"/>
                            <w:sz w:val="20"/>
                          </w:rPr>
                        </w:pPr>
                        <w:r>
                          <w:rPr>
                            <w:rFonts w:ascii="Calibri"/>
                            <w:spacing w:val="-4"/>
                            <w:sz w:val="20"/>
                          </w:rPr>
                          <w:t>0.00</w:t>
                        </w:r>
                      </w:p>
                    </w:txbxContent>
                  </v:textbox>
                  <w10:wrap type="none"/>
                </v:shape>
                <v:shape style="position:absolute;left:3823;top:-937;width:3762;height:594" type="#_x0000_t202" id="docshape664" filled="false" stroked="false">
                  <v:textbox inset="0,0,0,0">
                    <w:txbxContent>
                      <w:p>
                        <w:pPr>
                          <w:spacing w:line="203" w:lineRule="exact" w:before="0"/>
                          <w:ind w:left="0" w:right="0" w:firstLine="0"/>
                          <w:jc w:val="left"/>
                          <w:rPr>
                            <w:rFonts w:ascii="Calibri"/>
                            <w:sz w:val="20"/>
                          </w:rPr>
                        </w:pPr>
                        <w:r>
                          <w:rPr>
                            <w:rFonts w:ascii="Calibri"/>
                            <w:spacing w:val="-2"/>
                            <w:sz w:val="20"/>
                          </w:rPr>
                          <w:t>199920012003200520072009201120132015</w:t>
                        </w:r>
                      </w:p>
                      <w:p>
                        <w:pPr>
                          <w:spacing w:line="240" w:lineRule="exact" w:before="150"/>
                          <w:ind w:left="184" w:right="0" w:firstLine="0"/>
                          <w:jc w:val="center"/>
                          <w:rPr>
                            <w:rFonts w:ascii="Calibri"/>
                            <w:b/>
                            <w:sz w:val="20"/>
                          </w:rPr>
                        </w:pPr>
                        <w:r>
                          <w:rPr>
                            <w:rFonts w:ascii="Calibri"/>
                            <w:b/>
                            <w:spacing w:val="-2"/>
                            <w:sz w:val="20"/>
                          </w:rPr>
                          <w:t>Years</w:t>
                        </w:r>
                      </w:p>
                    </w:txbxContent>
                  </v:textbox>
                  <w10:wrap type="none"/>
                </v:shape>
                <w10:wrap type="none"/>
              </v:group>
            </w:pict>
          </mc:Fallback>
        </mc:AlternateContent>
      </w:r>
      <w:r>
        <w:rPr>
          <w:b/>
        </w:rPr>
        <w:t>Figure 5.5: </w:t>
      </w:r>
      <w:r>
        <w:rPr/>
        <w:t>Trend of Anambra State annual housing, education, health, agriculture and works sector budget allocation and capital expenditure from 1999 – 2016 (Researcher‘s plot with MS- Excel, 2017)</w:t>
      </w:r>
    </w:p>
    <w:p>
      <w:pPr>
        <w:pStyle w:val="BodyText"/>
        <w:spacing w:before="27"/>
      </w:pPr>
    </w:p>
    <w:p>
      <w:pPr>
        <w:pStyle w:val="BodyText"/>
        <w:spacing w:line="360" w:lineRule="auto"/>
        <w:ind w:left="240" w:right="831"/>
        <w:jc w:val="both"/>
      </w:pPr>
      <w:r>
        <w:rPr/>
        <w:t>A close look at figure 5.5 shows that apart from the Housing budget allocation, all other sectoral allocations given to Anambra State are associated or consistent with their capital expenditures as they</w:t>
      </w:r>
      <w:r>
        <w:rPr>
          <w:spacing w:val="-5"/>
        </w:rPr>
        <w:t> </w:t>
      </w:r>
      <w:r>
        <w:rPr/>
        <w:t>exhibit</w:t>
      </w:r>
      <w:r>
        <w:rPr>
          <w:spacing w:val="-3"/>
        </w:rPr>
        <w:t> </w:t>
      </w:r>
      <w:r>
        <w:rPr/>
        <w:t>same</w:t>
      </w:r>
      <w:r>
        <w:rPr>
          <w:spacing w:val="-3"/>
        </w:rPr>
        <w:t> </w:t>
      </w:r>
      <w:r>
        <w:rPr/>
        <w:t>pattern</w:t>
      </w:r>
      <w:r>
        <w:rPr>
          <w:spacing w:val="-3"/>
        </w:rPr>
        <w:t> </w:t>
      </w:r>
      <w:r>
        <w:rPr/>
        <w:t>of</w:t>
      </w:r>
      <w:r>
        <w:rPr>
          <w:spacing w:val="-4"/>
        </w:rPr>
        <w:t> </w:t>
      </w:r>
      <w:r>
        <w:rPr/>
        <w:t>movement.</w:t>
      </w:r>
      <w:r>
        <w:rPr>
          <w:spacing w:val="-3"/>
        </w:rPr>
        <w:t> </w:t>
      </w:r>
      <w:r>
        <w:rPr/>
        <w:t>The</w:t>
      </w:r>
      <w:r>
        <w:rPr>
          <w:spacing w:val="-2"/>
        </w:rPr>
        <w:t> </w:t>
      </w:r>
      <w:r>
        <w:rPr/>
        <w:t>Housing</w:t>
      </w:r>
      <w:r>
        <w:rPr>
          <w:spacing w:val="-5"/>
        </w:rPr>
        <w:t> </w:t>
      </w:r>
      <w:r>
        <w:rPr/>
        <w:t>budget</w:t>
      </w:r>
      <w:r>
        <w:rPr>
          <w:spacing w:val="-1"/>
        </w:rPr>
        <w:t> </w:t>
      </w:r>
      <w:r>
        <w:rPr/>
        <w:t>allocation is</w:t>
      </w:r>
      <w:r>
        <w:rPr>
          <w:spacing w:val="-3"/>
        </w:rPr>
        <w:t> </w:t>
      </w:r>
      <w:r>
        <w:rPr/>
        <w:t>however</w:t>
      </w:r>
      <w:r>
        <w:rPr>
          <w:spacing w:val="-3"/>
        </w:rPr>
        <w:t> </w:t>
      </w:r>
      <w:r>
        <w:rPr/>
        <w:t>different</w:t>
      </w:r>
      <w:r>
        <w:rPr>
          <w:spacing w:val="-3"/>
        </w:rPr>
        <w:t> </w:t>
      </w:r>
      <w:r>
        <w:rPr/>
        <w:t>from other sectors‘ allocation and exhibits an unpredictable rise and fall movement within the study period which implies that allocation to housing cannot be predicted in Anambra State.</w:t>
      </w:r>
    </w:p>
    <w:p>
      <w:pPr>
        <w:spacing w:after="0" w:line="360" w:lineRule="auto"/>
        <w:jc w:val="both"/>
        <w:sectPr>
          <w:pgSz w:w="12240" w:h="15840"/>
          <w:pgMar w:header="0" w:footer="1036" w:top="1700" w:bottom="1220" w:left="1200" w:right="600"/>
        </w:sectPr>
      </w:pPr>
    </w:p>
    <w:p>
      <w:pPr>
        <w:pStyle w:val="BodyText"/>
      </w:pPr>
      <w:r>
        <w:rPr/>
        <mc:AlternateContent>
          <mc:Choice Requires="wps">
            <w:drawing>
              <wp:anchor distT="0" distB="0" distL="0" distR="0" allowOverlap="1" layoutInCell="1" locked="0" behindDoc="0" simplePos="0" relativeHeight="15767552">
                <wp:simplePos x="0" y="0"/>
                <wp:positionH relativeFrom="page">
                  <wp:posOffset>1105230</wp:posOffset>
                </wp:positionH>
                <wp:positionV relativeFrom="page">
                  <wp:posOffset>1739489</wp:posOffset>
                </wp:positionV>
                <wp:extent cx="152400" cy="864869"/>
                <wp:effectExtent l="0" t="0" r="0" b="0"/>
                <wp:wrapNone/>
                <wp:docPr id="712" name="Textbox 712"/>
                <wp:cNvGraphicFramePr>
                  <a:graphicFrameLocks/>
                </wp:cNvGraphicFramePr>
                <a:graphic>
                  <a:graphicData uri="http://schemas.microsoft.com/office/word/2010/wordprocessingShape">
                    <wps:wsp>
                      <wps:cNvPr id="712" name="Textbox 712"/>
                      <wps:cNvSpPr txBox="1"/>
                      <wps:spPr>
                        <a:xfrm>
                          <a:off x="0" y="0"/>
                          <a:ext cx="152400" cy="864869"/>
                        </a:xfrm>
                        <a:prstGeom prst="rect">
                          <a:avLst/>
                        </a:prstGeom>
                      </wps:spPr>
                      <wps:txbx>
                        <w:txbxContent>
                          <w:p>
                            <w:pPr>
                              <w:spacing w:line="223" w:lineRule="exact" w:before="0"/>
                              <w:ind w:left="20" w:right="0" w:firstLine="0"/>
                              <w:jc w:val="left"/>
                              <w:rPr>
                                <w:rFonts w:ascii="Calibri"/>
                                <w:b/>
                                <w:sz w:val="20"/>
                              </w:rPr>
                            </w:pPr>
                            <w:r>
                              <w:rPr>
                                <w:rFonts w:ascii="Calibri"/>
                                <w:b/>
                                <w:spacing w:val="-2"/>
                                <w:sz w:val="20"/>
                              </w:rPr>
                              <w:t>Amount</w:t>
                            </w:r>
                            <w:r>
                              <w:rPr>
                                <w:rFonts w:ascii="Calibri"/>
                                <w:b/>
                                <w:sz w:val="20"/>
                              </w:rPr>
                              <w:t> </w:t>
                            </w:r>
                            <w:r>
                              <w:rPr>
                                <w:rFonts w:ascii="Calibri"/>
                                <w:b/>
                                <w:spacing w:val="-2"/>
                                <w:sz w:val="20"/>
                              </w:rPr>
                              <w:t>(N'000)</w:t>
                            </w:r>
                          </w:p>
                        </w:txbxContent>
                      </wps:txbx>
                      <wps:bodyPr wrap="square" lIns="0" tIns="0" rIns="0" bIns="0" rtlCol="0" vert="vert270">
                        <a:noAutofit/>
                      </wps:bodyPr>
                    </wps:wsp>
                  </a:graphicData>
                </a:graphic>
              </wp:anchor>
            </w:drawing>
          </mc:Choice>
          <mc:Fallback>
            <w:pict>
              <v:shape style="position:absolute;margin-left:87.026001pt;margin-top:136.967697pt;width:12pt;height:68.1pt;mso-position-horizontal-relative:page;mso-position-vertical-relative:page;z-index:15767552" type="#_x0000_t202" id="docshape665"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pacing w:val="-2"/>
                          <w:sz w:val="20"/>
                        </w:rPr>
                        <w:t>Amount</w:t>
                      </w:r>
                      <w:r>
                        <w:rPr>
                          <w:rFonts w:ascii="Calibri"/>
                          <w:b/>
                          <w:sz w:val="20"/>
                        </w:rPr>
                        <w:t> </w:t>
                      </w:r>
                      <w:r>
                        <w:rPr>
                          <w:rFonts w:ascii="Calibri"/>
                          <w:b/>
                          <w:spacing w:val="-2"/>
                          <w:sz w:val="20"/>
                        </w:rPr>
                        <w:t>(N'000)</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9"/>
      </w:pPr>
    </w:p>
    <w:p>
      <w:pPr>
        <w:pStyle w:val="BodyText"/>
        <w:ind w:left="240" w:right="836"/>
        <w:jc w:val="both"/>
      </w:pPr>
      <w:r>
        <w:rPr/>
        <mc:AlternateContent>
          <mc:Choice Requires="wps">
            <w:drawing>
              <wp:anchor distT="0" distB="0" distL="0" distR="0" allowOverlap="1" layoutInCell="1" locked="0" behindDoc="0" simplePos="0" relativeHeight="15766528">
                <wp:simplePos x="0" y="0"/>
                <wp:positionH relativeFrom="page">
                  <wp:posOffset>927100</wp:posOffset>
                </wp:positionH>
                <wp:positionV relativeFrom="paragraph">
                  <wp:posOffset>-3179177</wp:posOffset>
                </wp:positionV>
                <wp:extent cx="5953760" cy="3168015"/>
                <wp:effectExtent l="0" t="0" r="0" b="0"/>
                <wp:wrapNone/>
                <wp:docPr id="713" name="Group 713"/>
                <wp:cNvGraphicFramePr>
                  <a:graphicFrameLocks/>
                </wp:cNvGraphicFramePr>
                <a:graphic>
                  <a:graphicData uri="http://schemas.microsoft.com/office/word/2010/wordprocessingGroup">
                    <wpg:wgp>
                      <wpg:cNvPr id="713" name="Group 713"/>
                      <wpg:cNvGrpSpPr/>
                      <wpg:grpSpPr>
                        <a:xfrm>
                          <a:off x="0" y="0"/>
                          <a:ext cx="5953760" cy="3168015"/>
                          <a:chExt cx="5953760" cy="3168015"/>
                        </a:xfrm>
                      </wpg:grpSpPr>
                      <wps:wsp>
                        <wps:cNvPr id="714" name="Graphic 714"/>
                        <wps:cNvSpPr/>
                        <wps:spPr>
                          <a:xfrm>
                            <a:off x="1008380" y="148081"/>
                            <a:ext cx="3211195" cy="2230120"/>
                          </a:xfrm>
                          <a:custGeom>
                            <a:avLst/>
                            <a:gdLst/>
                            <a:ahLst/>
                            <a:cxnLst/>
                            <a:rect l="l" t="t" r="r" b="b"/>
                            <a:pathLst>
                              <a:path w="3211195" h="2230120">
                                <a:moveTo>
                                  <a:pt x="41147" y="1857756"/>
                                </a:moveTo>
                                <a:lnTo>
                                  <a:pt x="3211068" y="1857756"/>
                                </a:lnTo>
                              </a:path>
                              <a:path w="3211195" h="2230120">
                                <a:moveTo>
                                  <a:pt x="41147" y="1485900"/>
                                </a:moveTo>
                                <a:lnTo>
                                  <a:pt x="3211068" y="1485900"/>
                                </a:lnTo>
                              </a:path>
                              <a:path w="3211195" h="2230120">
                                <a:moveTo>
                                  <a:pt x="41147" y="1114044"/>
                                </a:moveTo>
                                <a:lnTo>
                                  <a:pt x="3211068" y="1114044"/>
                                </a:lnTo>
                              </a:path>
                              <a:path w="3211195" h="2230120">
                                <a:moveTo>
                                  <a:pt x="41147" y="743712"/>
                                </a:moveTo>
                                <a:lnTo>
                                  <a:pt x="3211068" y="743712"/>
                                </a:lnTo>
                              </a:path>
                              <a:path w="3211195" h="2230120">
                                <a:moveTo>
                                  <a:pt x="41147" y="371856"/>
                                </a:moveTo>
                                <a:lnTo>
                                  <a:pt x="3211068" y="371856"/>
                                </a:lnTo>
                              </a:path>
                              <a:path w="3211195" h="2230120">
                                <a:moveTo>
                                  <a:pt x="41147" y="0"/>
                                </a:moveTo>
                                <a:lnTo>
                                  <a:pt x="3211068" y="0"/>
                                </a:lnTo>
                              </a:path>
                              <a:path w="3211195" h="2230120">
                                <a:moveTo>
                                  <a:pt x="41147" y="2229612"/>
                                </a:moveTo>
                                <a:lnTo>
                                  <a:pt x="41147" y="0"/>
                                </a:lnTo>
                              </a:path>
                              <a:path w="3211195" h="2230120">
                                <a:moveTo>
                                  <a:pt x="0" y="2229612"/>
                                </a:moveTo>
                                <a:lnTo>
                                  <a:pt x="41147" y="2229612"/>
                                </a:lnTo>
                              </a:path>
                              <a:path w="3211195" h="2230120">
                                <a:moveTo>
                                  <a:pt x="0" y="1857756"/>
                                </a:moveTo>
                                <a:lnTo>
                                  <a:pt x="41147" y="1857756"/>
                                </a:lnTo>
                              </a:path>
                              <a:path w="3211195" h="2230120">
                                <a:moveTo>
                                  <a:pt x="0" y="1485900"/>
                                </a:moveTo>
                                <a:lnTo>
                                  <a:pt x="41147" y="1485900"/>
                                </a:lnTo>
                              </a:path>
                              <a:path w="3211195" h="2230120">
                                <a:moveTo>
                                  <a:pt x="0" y="1114044"/>
                                </a:moveTo>
                                <a:lnTo>
                                  <a:pt x="41147" y="1114044"/>
                                </a:lnTo>
                              </a:path>
                              <a:path w="3211195" h="2230120">
                                <a:moveTo>
                                  <a:pt x="0" y="743712"/>
                                </a:moveTo>
                                <a:lnTo>
                                  <a:pt x="41147" y="743712"/>
                                </a:lnTo>
                              </a:path>
                              <a:path w="3211195" h="2230120">
                                <a:moveTo>
                                  <a:pt x="0" y="371856"/>
                                </a:moveTo>
                                <a:lnTo>
                                  <a:pt x="41147" y="371856"/>
                                </a:lnTo>
                              </a:path>
                              <a:path w="3211195" h="2230120">
                                <a:moveTo>
                                  <a:pt x="0" y="0"/>
                                </a:moveTo>
                                <a:lnTo>
                                  <a:pt x="41147" y="0"/>
                                </a:lnTo>
                              </a:path>
                            </a:pathLst>
                          </a:custGeom>
                          <a:ln w="9144">
                            <a:solidFill>
                              <a:srgbClr val="858585"/>
                            </a:solidFill>
                            <a:prstDash val="solid"/>
                          </a:ln>
                        </wps:spPr>
                        <wps:bodyPr wrap="square" lIns="0" tIns="0" rIns="0" bIns="0" rtlCol="0">
                          <a:prstTxWarp prst="textNoShape">
                            <a:avLst/>
                          </a:prstTxWarp>
                          <a:noAutofit/>
                        </wps:bodyPr>
                      </wps:wsp>
                      <wps:wsp>
                        <wps:cNvPr id="715" name="Graphic 715"/>
                        <wps:cNvSpPr/>
                        <wps:spPr>
                          <a:xfrm>
                            <a:off x="1049527" y="2377694"/>
                            <a:ext cx="3169920" cy="1270"/>
                          </a:xfrm>
                          <a:custGeom>
                            <a:avLst/>
                            <a:gdLst/>
                            <a:ahLst/>
                            <a:cxnLst/>
                            <a:rect l="l" t="t" r="r" b="b"/>
                            <a:pathLst>
                              <a:path w="3169920" h="0">
                                <a:moveTo>
                                  <a:pt x="1892808" y="0"/>
                                </a:moveTo>
                                <a:lnTo>
                                  <a:pt x="1979676" y="0"/>
                                </a:lnTo>
                              </a:path>
                              <a:path w="3169920" h="0">
                                <a:moveTo>
                                  <a:pt x="1011936" y="0"/>
                                </a:moveTo>
                                <a:lnTo>
                                  <a:pt x="1098804" y="0"/>
                                </a:lnTo>
                              </a:path>
                              <a:path w="3169920" h="0">
                                <a:moveTo>
                                  <a:pt x="2069591" y="0"/>
                                </a:moveTo>
                                <a:lnTo>
                                  <a:pt x="2156460" y="0"/>
                                </a:lnTo>
                              </a:path>
                              <a:path w="3169920" h="0">
                                <a:moveTo>
                                  <a:pt x="2244852" y="0"/>
                                </a:moveTo>
                                <a:lnTo>
                                  <a:pt x="2331720" y="0"/>
                                </a:lnTo>
                              </a:path>
                              <a:path w="3169920" h="0">
                                <a:moveTo>
                                  <a:pt x="2421636" y="0"/>
                                </a:moveTo>
                                <a:lnTo>
                                  <a:pt x="2508504" y="0"/>
                                </a:lnTo>
                              </a:path>
                              <a:path w="3169920" h="0">
                                <a:moveTo>
                                  <a:pt x="2596896" y="0"/>
                                </a:moveTo>
                                <a:lnTo>
                                  <a:pt x="2685288" y="0"/>
                                </a:lnTo>
                              </a:path>
                              <a:path w="3169920" h="0">
                                <a:moveTo>
                                  <a:pt x="2773679" y="0"/>
                                </a:moveTo>
                                <a:lnTo>
                                  <a:pt x="2860548" y="0"/>
                                </a:lnTo>
                              </a:path>
                              <a:path w="3169920" h="0">
                                <a:moveTo>
                                  <a:pt x="2948940" y="0"/>
                                </a:moveTo>
                                <a:lnTo>
                                  <a:pt x="3037332" y="0"/>
                                </a:lnTo>
                              </a:path>
                              <a:path w="3169920" h="0">
                                <a:moveTo>
                                  <a:pt x="3125724" y="0"/>
                                </a:moveTo>
                                <a:lnTo>
                                  <a:pt x="3169920" y="0"/>
                                </a:lnTo>
                              </a:path>
                              <a:path w="3169920" h="0">
                                <a:moveTo>
                                  <a:pt x="1716024" y="0"/>
                                </a:moveTo>
                                <a:lnTo>
                                  <a:pt x="1804416" y="0"/>
                                </a:lnTo>
                              </a:path>
                              <a:path w="3169920" h="0">
                                <a:moveTo>
                                  <a:pt x="1540764" y="0"/>
                                </a:moveTo>
                                <a:lnTo>
                                  <a:pt x="1627632" y="0"/>
                                </a:lnTo>
                              </a:path>
                              <a:path w="3169920" h="0">
                                <a:moveTo>
                                  <a:pt x="1363979" y="0"/>
                                </a:moveTo>
                                <a:lnTo>
                                  <a:pt x="1452372" y="0"/>
                                </a:lnTo>
                              </a:path>
                              <a:path w="3169920" h="0">
                                <a:moveTo>
                                  <a:pt x="1188720" y="0"/>
                                </a:moveTo>
                                <a:lnTo>
                                  <a:pt x="1275588" y="0"/>
                                </a:lnTo>
                              </a:path>
                              <a:path w="3169920" h="0">
                                <a:moveTo>
                                  <a:pt x="836676" y="0"/>
                                </a:moveTo>
                                <a:lnTo>
                                  <a:pt x="923544" y="0"/>
                                </a:lnTo>
                              </a:path>
                              <a:path w="3169920" h="0">
                                <a:moveTo>
                                  <a:pt x="659892" y="0"/>
                                </a:moveTo>
                                <a:lnTo>
                                  <a:pt x="746760" y="0"/>
                                </a:lnTo>
                              </a:path>
                              <a:path w="3169920" h="0">
                                <a:moveTo>
                                  <a:pt x="483108" y="0"/>
                                </a:moveTo>
                                <a:lnTo>
                                  <a:pt x="571500" y="0"/>
                                </a:lnTo>
                              </a:path>
                              <a:path w="3169920" h="0">
                                <a:moveTo>
                                  <a:pt x="307848" y="0"/>
                                </a:moveTo>
                                <a:lnTo>
                                  <a:pt x="394716" y="0"/>
                                </a:lnTo>
                              </a:path>
                              <a:path w="3169920" h="0">
                                <a:moveTo>
                                  <a:pt x="0" y="0"/>
                                </a:moveTo>
                                <a:lnTo>
                                  <a:pt x="219456" y="0"/>
                                </a:lnTo>
                              </a:path>
                            </a:pathLst>
                          </a:custGeom>
                          <a:ln w="9144">
                            <a:solidFill>
                              <a:srgbClr val="858585"/>
                            </a:solidFill>
                            <a:prstDash val="solid"/>
                          </a:ln>
                        </wps:spPr>
                        <wps:bodyPr wrap="square" lIns="0" tIns="0" rIns="0" bIns="0" rtlCol="0">
                          <a:prstTxWarp prst="textNoShape">
                            <a:avLst/>
                          </a:prstTxWarp>
                          <a:noAutofit/>
                        </wps:bodyPr>
                      </wps:wsp>
                      <wps:wsp>
                        <wps:cNvPr id="716" name="Graphic 716"/>
                        <wps:cNvSpPr/>
                        <wps:spPr>
                          <a:xfrm>
                            <a:off x="1136396" y="260858"/>
                            <a:ext cx="2994660" cy="2060575"/>
                          </a:xfrm>
                          <a:custGeom>
                            <a:avLst/>
                            <a:gdLst/>
                            <a:ahLst/>
                            <a:cxnLst/>
                            <a:rect l="l" t="t" r="r" b="b"/>
                            <a:pathLst>
                              <a:path w="2994660" h="2060575">
                                <a:moveTo>
                                  <a:pt x="0" y="2060448"/>
                                </a:moveTo>
                                <a:lnTo>
                                  <a:pt x="176784" y="1895856"/>
                                </a:lnTo>
                                <a:lnTo>
                                  <a:pt x="352044" y="1874520"/>
                                </a:lnTo>
                                <a:lnTo>
                                  <a:pt x="528828" y="1813560"/>
                                </a:lnTo>
                                <a:lnTo>
                                  <a:pt x="704088" y="1827276"/>
                                </a:lnTo>
                                <a:lnTo>
                                  <a:pt x="880872" y="1804416"/>
                                </a:lnTo>
                                <a:lnTo>
                                  <a:pt x="1057656" y="1650492"/>
                                </a:lnTo>
                                <a:lnTo>
                                  <a:pt x="1232916" y="1606296"/>
                                </a:lnTo>
                                <a:lnTo>
                                  <a:pt x="1409700" y="1220724"/>
                                </a:lnTo>
                                <a:lnTo>
                                  <a:pt x="1584959" y="1255776"/>
                                </a:lnTo>
                                <a:lnTo>
                                  <a:pt x="1761744" y="1222248"/>
                                </a:lnTo>
                                <a:lnTo>
                                  <a:pt x="1937004" y="1328927"/>
                                </a:lnTo>
                                <a:lnTo>
                                  <a:pt x="2113788" y="1211580"/>
                                </a:lnTo>
                                <a:lnTo>
                                  <a:pt x="2290572" y="1045464"/>
                                </a:lnTo>
                                <a:lnTo>
                                  <a:pt x="2465832" y="451103"/>
                                </a:lnTo>
                                <a:lnTo>
                                  <a:pt x="2642616" y="0"/>
                                </a:lnTo>
                                <a:lnTo>
                                  <a:pt x="2817876" y="249936"/>
                                </a:lnTo>
                                <a:lnTo>
                                  <a:pt x="2994660" y="891540"/>
                                </a:lnTo>
                              </a:path>
                            </a:pathLst>
                          </a:custGeom>
                          <a:ln w="27432">
                            <a:solidFill>
                              <a:srgbClr val="416EA6"/>
                            </a:solidFill>
                            <a:prstDash val="solid"/>
                          </a:ln>
                        </wps:spPr>
                        <wps:bodyPr wrap="square" lIns="0" tIns="0" rIns="0" bIns="0" rtlCol="0">
                          <a:prstTxWarp prst="textNoShape">
                            <a:avLst/>
                          </a:prstTxWarp>
                          <a:noAutofit/>
                        </wps:bodyPr>
                      </wps:wsp>
                      <pic:pic>
                        <pic:nvPicPr>
                          <pic:cNvPr id="717" name="Image 717"/>
                          <pic:cNvPicPr/>
                        </pic:nvPicPr>
                        <pic:blipFill>
                          <a:blip r:embed="rId152" cstate="print"/>
                          <a:stretch>
                            <a:fillRect/>
                          </a:stretch>
                        </pic:blipFill>
                        <pic:spPr>
                          <a:xfrm>
                            <a:off x="1087627" y="2272029"/>
                            <a:ext cx="98044" cy="98044"/>
                          </a:xfrm>
                          <a:prstGeom prst="rect">
                            <a:avLst/>
                          </a:prstGeom>
                        </pic:spPr>
                      </pic:pic>
                      <pic:pic>
                        <pic:nvPicPr>
                          <pic:cNvPr id="718" name="Image 718"/>
                          <pic:cNvPicPr/>
                        </pic:nvPicPr>
                        <pic:blipFill>
                          <a:blip r:embed="rId148" cstate="print"/>
                          <a:stretch>
                            <a:fillRect/>
                          </a:stretch>
                        </pic:blipFill>
                        <pic:spPr>
                          <a:xfrm>
                            <a:off x="1263777" y="2107057"/>
                            <a:ext cx="98044" cy="98044"/>
                          </a:xfrm>
                          <a:prstGeom prst="rect">
                            <a:avLst/>
                          </a:prstGeom>
                        </pic:spPr>
                      </pic:pic>
                      <pic:pic>
                        <pic:nvPicPr>
                          <pic:cNvPr id="719" name="Image 719"/>
                          <pic:cNvPicPr/>
                        </pic:nvPicPr>
                        <pic:blipFill>
                          <a:blip r:embed="rId152" cstate="print"/>
                          <a:stretch>
                            <a:fillRect/>
                          </a:stretch>
                        </pic:blipFill>
                        <pic:spPr>
                          <a:xfrm>
                            <a:off x="1439925" y="2086736"/>
                            <a:ext cx="98044" cy="98044"/>
                          </a:xfrm>
                          <a:prstGeom prst="rect">
                            <a:avLst/>
                          </a:prstGeom>
                        </pic:spPr>
                      </pic:pic>
                      <pic:pic>
                        <pic:nvPicPr>
                          <pic:cNvPr id="720" name="Image 720"/>
                          <pic:cNvPicPr/>
                        </pic:nvPicPr>
                        <pic:blipFill>
                          <a:blip r:embed="rId179" cstate="print"/>
                          <a:stretch>
                            <a:fillRect/>
                          </a:stretch>
                        </pic:blipFill>
                        <pic:spPr>
                          <a:xfrm>
                            <a:off x="1615947" y="2025269"/>
                            <a:ext cx="98171" cy="98044"/>
                          </a:xfrm>
                          <a:prstGeom prst="rect">
                            <a:avLst/>
                          </a:prstGeom>
                        </pic:spPr>
                      </pic:pic>
                      <pic:pic>
                        <pic:nvPicPr>
                          <pic:cNvPr id="721" name="Image 721"/>
                          <pic:cNvPicPr/>
                        </pic:nvPicPr>
                        <pic:blipFill>
                          <a:blip r:embed="rId152" cstate="print"/>
                          <a:stretch>
                            <a:fillRect/>
                          </a:stretch>
                        </pic:blipFill>
                        <pic:spPr>
                          <a:xfrm>
                            <a:off x="1792097" y="2038476"/>
                            <a:ext cx="98044" cy="98044"/>
                          </a:xfrm>
                          <a:prstGeom prst="rect">
                            <a:avLst/>
                          </a:prstGeom>
                        </pic:spPr>
                      </pic:pic>
                      <pic:pic>
                        <pic:nvPicPr>
                          <pic:cNvPr id="722" name="Image 722"/>
                          <pic:cNvPicPr/>
                        </pic:nvPicPr>
                        <pic:blipFill>
                          <a:blip r:embed="rId148" cstate="print"/>
                          <a:stretch>
                            <a:fillRect/>
                          </a:stretch>
                        </pic:blipFill>
                        <pic:spPr>
                          <a:xfrm>
                            <a:off x="1968245" y="2015744"/>
                            <a:ext cx="98044" cy="98044"/>
                          </a:xfrm>
                          <a:prstGeom prst="rect">
                            <a:avLst/>
                          </a:prstGeom>
                        </pic:spPr>
                      </pic:pic>
                      <pic:pic>
                        <pic:nvPicPr>
                          <pic:cNvPr id="723" name="Image 723"/>
                          <pic:cNvPicPr/>
                        </pic:nvPicPr>
                        <pic:blipFill>
                          <a:blip r:embed="rId152" cstate="print"/>
                          <a:stretch>
                            <a:fillRect/>
                          </a:stretch>
                        </pic:blipFill>
                        <pic:spPr>
                          <a:xfrm>
                            <a:off x="2144395" y="1862201"/>
                            <a:ext cx="98044" cy="98044"/>
                          </a:xfrm>
                          <a:prstGeom prst="rect">
                            <a:avLst/>
                          </a:prstGeom>
                        </pic:spPr>
                      </pic:pic>
                      <pic:pic>
                        <pic:nvPicPr>
                          <pic:cNvPr id="724" name="Image 724"/>
                          <pic:cNvPicPr/>
                        </pic:nvPicPr>
                        <pic:blipFill>
                          <a:blip r:embed="rId152" cstate="print"/>
                          <a:stretch>
                            <a:fillRect/>
                          </a:stretch>
                        </pic:blipFill>
                        <pic:spPr>
                          <a:xfrm>
                            <a:off x="2320544" y="1818513"/>
                            <a:ext cx="98044" cy="98044"/>
                          </a:xfrm>
                          <a:prstGeom prst="rect">
                            <a:avLst/>
                          </a:prstGeom>
                        </pic:spPr>
                      </pic:pic>
                      <pic:pic>
                        <pic:nvPicPr>
                          <pic:cNvPr id="725" name="Image 725"/>
                          <pic:cNvPicPr/>
                        </pic:nvPicPr>
                        <pic:blipFill>
                          <a:blip r:embed="rId155" cstate="print"/>
                          <a:stretch>
                            <a:fillRect/>
                          </a:stretch>
                        </pic:blipFill>
                        <pic:spPr>
                          <a:xfrm>
                            <a:off x="2496692" y="1432305"/>
                            <a:ext cx="98044" cy="98044"/>
                          </a:xfrm>
                          <a:prstGeom prst="rect">
                            <a:avLst/>
                          </a:prstGeom>
                        </pic:spPr>
                      </pic:pic>
                      <pic:pic>
                        <pic:nvPicPr>
                          <pic:cNvPr id="726" name="Image 726"/>
                          <pic:cNvPicPr/>
                        </pic:nvPicPr>
                        <pic:blipFill>
                          <a:blip r:embed="rId155" cstate="print"/>
                          <a:stretch>
                            <a:fillRect/>
                          </a:stretch>
                        </pic:blipFill>
                        <pic:spPr>
                          <a:xfrm>
                            <a:off x="2672714" y="1468119"/>
                            <a:ext cx="98044" cy="98044"/>
                          </a:xfrm>
                          <a:prstGeom prst="rect">
                            <a:avLst/>
                          </a:prstGeom>
                        </pic:spPr>
                      </pic:pic>
                      <pic:pic>
                        <pic:nvPicPr>
                          <pic:cNvPr id="727" name="Image 727"/>
                          <pic:cNvPicPr/>
                        </pic:nvPicPr>
                        <pic:blipFill>
                          <a:blip r:embed="rId151" cstate="print"/>
                          <a:stretch>
                            <a:fillRect/>
                          </a:stretch>
                        </pic:blipFill>
                        <pic:spPr>
                          <a:xfrm>
                            <a:off x="2848864" y="1433957"/>
                            <a:ext cx="98044" cy="98044"/>
                          </a:xfrm>
                          <a:prstGeom prst="rect">
                            <a:avLst/>
                          </a:prstGeom>
                        </pic:spPr>
                      </pic:pic>
                      <pic:pic>
                        <pic:nvPicPr>
                          <pic:cNvPr id="728" name="Image 728"/>
                          <pic:cNvPicPr/>
                        </pic:nvPicPr>
                        <pic:blipFill>
                          <a:blip r:embed="rId180" cstate="print"/>
                          <a:stretch>
                            <a:fillRect/>
                          </a:stretch>
                        </pic:blipFill>
                        <pic:spPr>
                          <a:xfrm>
                            <a:off x="3025013" y="1540383"/>
                            <a:ext cx="98044" cy="98171"/>
                          </a:xfrm>
                          <a:prstGeom prst="rect">
                            <a:avLst/>
                          </a:prstGeom>
                        </pic:spPr>
                      </pic:pic>
                      <pic:pic>
                        <pic:nvPicPr>
                          <pic:cNvPr id="729" name="Image 729"/>
                          <pic:cNvPicPr/>
                        </pic:nvPicPr>
                        <pic:blipFill>
                          <a:blip r:embed="rId151" cstate="print"/>
                          <a:stretch>
                            <a:fillRect/>
                          </a:stretch>
                        </pic:blipFill>
                        <pic:spPr>
                          <a:xfrm>
                            <a:off x="3201161" y="1423924"/>
                            <a:ext cx="98044" cy="98044"/>
                          </a:xfrm>
                          <a:prstGeom prst="rect">
                            <a:avLst/>
                          </a:prstGeom>
                        </pic:spPr>
                      </pic:pic>
                      <pic:pic>
                        <pic:nvPicPr>
                          <pic:cNvPr id="730" name="Image 730"/>
                          <pic:cNvPicPr/>
                        </pic:nvPicPr>
                        <pic:blipFill>
                          <a:blip r:embed="rId151" cstate="print"/>
                          <a:stretch>
                            <a:fillRect/>
                          </a:stretch>
                        </pic:blipFill>
                        <pic:spPr>
                          <a:xfrm>
                            <a:off x="3377310" y="1257172"/>
                            <a:ext cx="98044" cy="98044"/>
                          </a:xfrm>
                          <a:prstGeom prst="rect">
                            <a:avLst/>
                          </a:prstGeom>
                        </pic:spPr>
                      </pic:pic>
                      <pic:pic>
                        <pic:nvPicPr>
                          <pic:cNvPr id="731" name="Image 731"/>
                          <pic:cNvPicPr/>
                        </pic:nvPicPr>
                        <pic:blipFill>
                          <a:blip r:embed="rId154" cstate="print"/>
                          <a:stretch>
                            <a:fillRect/>
                          </a:stretch>
                        </pic:blipFill>
                        <pic:spPr>
                          <a:xfrm>
                            <a:off x="3553333" y="663575"/>
                            <a:ext cx="98171" cy="98044"/>
                          </a:xfrm>
                          <a:prstGeom prst="rect">
                            <a:avLst/>
                          </a:prstGeom>
                        </pic:spPr>
                      </pic:pic>
                      <pic:pic>
                        <pic:nvPicPr>
                          <pic:cNvPr id="732" name="Image 732"/>
                          <pic:cNvPicPr/>
                        </pic:nvPicPr>
                        <pic:blipFill>
                          <a:blip r:embed="rId155" cstate="print"/>
                          <a:stretch>
                            <a:fillRect/>
                          </a:stretch>
                        </pic:blipFill>
                        <pic:spPr>
                          <a:xfrm>
                            <a:off x="3729482" y="212090"/>
                            <a:ext cx="98044" cy="98044"/>
                          </a:xfrm>
                          <a:prstGeom prst="rect">
                            <a:avLst/>
                          </a:prstGeom>
                        </pic:spPr>
                      </pic:pic>
                      <pic:pic>
                        <pic:nvPicPr>
                          <pic:cNvPr id="733" name="Image 733"/>
                          <pic:cNvPicPr/>
                        </pic:nvPicPr>
                        <pic:blipFill>
                          <a:blip r:embed="rId151" cstate="print"/>
                          <a:stretch>
                            <a:fillRect/>
                          </a:stretch>
                        </pic:blipFill>
                        <pic:spPr>
                          <a:xfrm>
                            <a:off x="3905630" y="461263"/>
                            <a:ext cx="98044" cy="98044"/>
                          </a:xfrm>
                          <a:prstGeom prst="rect">
                            <a:avLst/>
                          </a:prstGeom>
                        </pic:spPr>
                      </pic:pic>
                      <pic:pic>
                        <pic:nvPicPr>
                          <pic:cNvPr id="734" name="Image 734"/>
                          <pic:cNvPicPr/>
                        </pic:nvPicPr>
                        <pic:blipFill>
                          <a:blip r:embed="rId155" cstate="print"/>
                          <a:stretch>
                            <a:fillRect/>
                          </a:stretch>
                        </pic:blipFill>
                        <pic:spPr>
                          <a:xfrm>
                            <a:off x="4081779" y="1102867"/>
                            <a:ext cx="98044" cy="98044"/>
                          </a:xfrm>
                          <a:prstGeom prst="rect">
                            <a:avLst/>
                          </a:prstGeom>
                        </pic:spPr>
                      </pic:pic>
                      <wps:wsp>
                        <wps:cNvPr id="735" name="Graphic 735"/>
                        <wps:cNvSpPr/>
                        <wps:spPr>
                          <a:xfrm>
                            <a:off x="1136396" y="2344166"/>
                            <a:ext cx="2994660" cy="32384"/>
                          </a:xfrm>
                          <a:custGeom>
                            <a:avLst/>
                            <a:gdLst/>
                            <a:ahLst/>
                            <a:cxnLst/>
                            <a:rect l="l" t="t" r="r" b="b"/>
                            <a:pathLst>
                              <a:path w="2994660" h="32384">
                                <a:moveTo>
                                  <a:pt x="0" y="32003"/>
                                </a:moveTo>
                                <a:lnTo>
                                  <a:pt x="176784" y="27431"/>
                                </a:lnTo>
                                <a:lnTo>
                                  <a:pt x="352044" y="0"/>
                                </a:lnTo>
                                <a:lnTo>
                                  <a:pt x="528828" y="27431"/>
                                </a:lnTo>
                                <a:lnTo>
                                  <a:pt x="704088" y="18287"/>
                                </a:lnTo>
                                <a:lnTo>
                                  <a:pt x="880872" y="25907"/>
                                </a:lnTo>
                                <a:lnTo>
                                  <a:pt x="1057656" y="21335"/>
                                </a:lnTo>
                                <a:lnTo>
                                  <a:pt x="1232916" y="25907"/>
                                </a:lnTo>
                                <a:lnTo>
                                  <a:pt x="1409700" y="21335"/>
                                </a:lnTo>
                                <a:lnTo>
                                  <a:pt x="1584959" y="6095"/>
                                </a:lnTo>
                                <a:lnTo>
                                  <a:pt x="1761744" y="10667"/>
                                </a:lnTo>
                                <a:lnTo>
                                  <a:pt x="1937004" y="15239"/>
                                </a:lnTo>
                                <a:lnTo>
                                  <a:pt x="2113788" y="15239"/>
                                </a:lnTo>
                                <a:lnTo>
                                  <a:pt x="2290572" y="19811"/>
                                </a:lnTo>
                                <a:lnTo>
                                  <a:pt x="2465832" y="22859"/>
                                </a:lnTo>
                                <a:lnTo>
                                  <a:pt x="2642616" y="10667"/>
                                </a:lnTo>
                                <a:lnTo>
                                  <a:pt x="2817876" y="9143"/>
                                </a:lnTo>
                                <a:lnTo>
                                  <a:pt x="2994660" y="28955"/>
                                </a:lnTo>
                              </a:path>
                            </a:pathLst>
                          </a:custGeom>
                          <a:ln w="27431">
                            <a:solidFill>
                              <a:srgbClr val="A8423E"/>
                            </a:solidFill>
                            <a:prstDash val="solid"/>
                          </a:ln>
                        </wps:spPr>
                        <wps:bodyPr wrap="square" lIns="0" tIns="0" rIns="0" bIns="0" rtlCol="0">
                          <a:prstTxWarp prst="textNoShape">
                            <a:avLst/>
                          </a:prstTxWarp>
                          <a:noAutofit/>
                        </wps:bodyPr>
                      </wps:wsp>
                      <wps:wsp>
                        <wps:cNvPr id="736" name="Graphic 736"/>
                        <wps:cNvSpPr/>
                        <wps:spPr>
                          <a:xfrm>
                            <a:off x="1092200" y="2331973"/>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AA4643"/>
                          </a:solidFill>
                        </wps:spPr>
                        <wps:bodyPr wrap="square" lIns="0" tIns="0" rIns="0" bIns="0" rtlCol="0">
                          <a:prstTxWarp prst="textNoShape">
                            <a:avLst/>
                          </a:prstTxWarp>
                          <a:noAutofit/>
                        </wps:bodyPr>
                      </wps:wsp>
                      <wps:wsp>
                        <wps:cNvPr id="737" name="Graphic 737"/>
                        <wps:cNvSpPr/>
                        <wps:spPr>
                          <a:xfrm>
                            <a:off x="1092200" y="2331973"/>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A8423E"/>
                            </a:solidFill>
                            <a:prstDash val="solid"/>
                          </a:ln>
                        </wps:spPr>
                        <wps:bodyPr wrap="square" lIns="0" tIns="0" rIns="0" bIns="0" rtlCol="0">
                          <a:prstTxWarp prst="textNoShape">
                            <a:avLst/>
                          </a:prstTxWarp>
                          <a:noAutofit/>
                        </wps:bodyPr>
                      </wps:wsp>
                      <wps:wsp>
                        <wps:cNvPr id="738" name="Graphic 738"/>
                        <wps:cNvSpPr/>
                        <wps:spPr>
                          <a:xfrm>
                            <a:off x="1268983" y="2327401"/>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AA4643"/>
                          </a:solidFill>
                        </wps:spPr>
                        <wps:bodyPr wrap="square" lIns="0" tIns="0" rIns="0" bIns="0" rtlCol="0">
                          <a:prstTxWarp prst="textNoShape">
                            <a:avLst/>
                          </a:prstTxWarp>
                          <a:noAutofit/>
                        </wps:bodyPr>
                      </wps:wsp>
                      <wps:wsp>
                        <wps:cNvPr id="739" name="Graphic 739"/>
                        <wps:cNvSpPr/>
                        <wps:spPr>
                          <a:xfrm>
                            <a:off x="1268983" y="2327401"/>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A8423E"/>
                            </a:solidFill>
                            <a:prstDash val="solid"/>
                          </a:ln>
                        </wps:spPr>
                        <wps:bodyPr wrap="square" lIns="0" tIns="0" rIns="0" bIns="0" rtlCol="0">
                          <a:prstTxWarp prst="textNoShape">
                            <a:avLst/>
                          </a:prstTxWarp>
                          <a:noAutofit/>
                        </wps:bodyPr>
                      </wps:wsp>
                      <wps:wsp>
                        <wps:cNvPr id="740" name="Graphic 740"/>
                        <wps:cNvSpPr/>
                        <wps:spPr>
                          <a:xfrm>
                            <a:off x="1444244" y="2299970"/>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AA4643"/>
                          </a:solidFill>
                        </wps:spPr>
                        <wps:bodyPr wrap="square" lIns="0" tIns="0" rIns="0" bIns="0" rtlCol="0">
                          <a:prstTxWarp prst="textNoShape">
                            <a:avLst/>
                          </a:prstTxWarp>
                          <a:noAutofit/>
                        </wps:bodyPr>
                      </wps:wsp>
                      <wps:wsp>
                        <wps:cNvPr id="741" name="Graphic 741"/>
                        <wps:cNvSpPr/>
                        <wps:spPr>
                          <a:xfrm>
                            <a:off x="1444244" y="2299970"/>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A8423E"/>
                            </a:solidFill>
                            <a:prstDash val="solid"/>
                          </a:ln>
                        </wps:spPr>
                        <wps:bodyPr wrap="square" lIns="0" tIns="0" rIns="0" bIns="0" rtlCol="0">
                          <a:prstTxWarp prst="textNoShape">
                            <a:avLst/>
                          </a:prstTxWarp>
                          <a:noAutofit/>
                        </wps:bodyPr>
                      </wps:wsp>
                      <wps:wsp>
                        <wps:cNvPr id="742" name="Graphic 742"/>
                        <wps:cNvSpPr/>
                        <wps:spPr>
                          <a:xfrm>
                            <a:off x="1621027" y="2327401"/>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AA4643"/>
                          </a:solidFill>
                        </wps:spPr>
                        <wps:bodyPr wrap="square" lIns="0" tIns="0" rIns="0" bIns="0" rtlCol="0">
                          <a:prstTxWarp prst="textNoShape">
                            <a:avLst/>
                          </a:prstTxWarp>
                          <a:noAutofit/>
                        </wps:bodyPr>
                      </wps:wsp>
                      <wps:wsp>
                        <wps:cNvPr id="743" name="Graphic 743"/>
                        <wps:cNvSpPr/>
                        <wps:spPr>
                          <a:xfrm>
                            <a:off x="1621027" y="2327401"/>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A8423E"/>
                            </a:solidFill>
                            <a:prstDash val="solid"/>
                          </a:ln>
                        </wps:spPr>
                        <wps:bodyPr wrap="square" lIns="0" tIns="0" rIns="0" bIns="0" rtlCol="0">
                          <a:prstTxWarp prst="textNoShape">
                            <a:avLst/>
                          </a:prstTxWarp>
                          <a:noAutofit/>
                        </wps:bodyPr>
                      </wps:wsp>
                      <wps:wsp>
                        <wps:cNvPr id="744" name="Graphic 744"/>
                        <wps:cNvSpPr/>
                        <wps:spPr>
                          <a:xfrm>
                            <a:off x="1796288" y="2318257"/>
                            <a:ext cx="90170" cy="88900"/>
                          </a:xfrm>
                          <a:custGeom>
                            <a:avLst/>
                            <a:gdLst/>
                            <a:ahLst/>
                            <a:cxnLst/>
                            <a:rect l="l" t="t" r="r" b="b"/>
                            <a:pathLst>
                              <a:path w="90170" h="88900">
                                <a:moveTo>
                                  <a:pt x="89916" y="0"/>
                                </a:moveTo>
                                <a:lnTo>
                                  <a:pt x="0" y="0"/>
                                </a:lnTo>
                                <a:lnTo>
                                  <a:pt x="0" y="88392"/>
                                </a:lnTo>
                                <a:lnTo>
                                  <a:pt x="89916" y="88392"/>
                                </a:lnTo>
                                <a:lnTo>
                                  <a:pt x="89916" y="0"/>
                                </a:lnTo>
                                <a:close/>
                              </a:path>
                            </a:pathLst>
                          </a:custGeom>
                          <a:solidFill>
                            <a:srgbClr val="AA4643"/>
                          </a:solidFill>
                        </wps:spPr>
                        <wps:bodyPr wrap="square" lIns="0" tIns="0" rIns="0" bIns="0" rtlCol="0">
                          <a:prstTxWarp prst="textNoShape">
                            <a:avLst/>
                          </a:prstTxWarp>
                          <a:noAutofit/>
                        </wps:bodyPr>
                      </wps:wsp>
                      <wps:wsp>
                        <wps:cNvPr id="745" name="Graphic 745"/>
                        <wps:cNvSpPr/>
                        <wps:spPr>
                          <a:xfrm>
                            <a:off x="1796288" y="2318257"/>
                            <a:ext cx="90170" cy="88900"/>
                          </a:xfrm>
                          <a:custGeom>
                            <a:avLst/>
                            <a:gdLst/>
                            <a:ahLst/>
                            <a:cxnLst/>
                            <a:rect l="l" t="t" r="r" b="b"/>
                            <a:pathLst>
                              <a:path w="90170" h="88900">
                                <a:moveTo>
                                  <a:pt x="0" y="88392"/>
                                </a:moveTo>
                                <a:lnTo>
                                  <a:pt x="89916" y="88392"/>
                                </a:lnTo>
                                <a:lnTo>
                                  <a:pt x="89916" y="0"/>
                                </a:lnTo>
                                <a:lnTo>
                                  <a:pt x="0" y="0"/>
                                </a:lnTo>
                                <a:lnTo>
                                  <a:pt x="0" y="88392"/>
                                </a:lnTo>
                                <a:close/>
                              </a:path>
                            </a:pathLst>
                          </a:custGeom>
                          <a:ln w="9144">
                            <a:solidFill>
                              <a:srgbClr val="A8423E"/>
                            </a:solidFill>
                            <a:prstDash val="solid"/>
                          </a:ln>
                        </wps:spPr>
                        <wps:bodyPr wrap="square" lIns="0" tIns="0" rIns="0" bIns="0" rtlCol="0">
                          <a:prstTxWarp prst="textNoShape">
                            <a:avLst/>
                          </a:prstTxWarp>
                          <a:noAutofit/>
                        </wps:bodyPr>
                      </wps:wsp>
                      <wps:wsp>
                        <wps:cNvPr id="746" name="Graphic 746"/>
                        <wps:cNvSpPr/>
                        <wps:spPr>
                          <a:xfrm>
                            <a:off x="1973072" y="2327401"/>
                            <a:ext cx="88900" cy="86995"/>
                          </a:xfrm>
                          <a:custGeom>
                            <a:avLst/>
                            <a:gdLst/>
                            <a:ahLst/>
                            <a:cxnLst/>
                            <a:rect l="l" t="t" r="r" b="b"/>
                            <a:pathLst>
                              <a:path w="88900" h="86995">
                                <a:moveTo>
                                  <a:pt x="88392" y="0"/>
                                </a:moveTo>
                                <a:lnTo>
                                  <a:pt x="0" y="0"/>
                                </a:lnTo>
                                <a:lnTo>
                                  <a:pt x="0" y="86868"/>
                                </a:lnTo>
                                <a:lnTo>
                                  <a:pt x="88392" y="86868"/>
                                </a:lnTo>
                                <a:lnTo>
                                  <a:pt x="88392" y="0"/>
                                </a:lnTo>
                                <a:close/>
                              </a:path>
                            </a:pathLst>
                          </a:custGeom>
                          <a:solidFill>
                            <a:srgbClr val="AA4643"/>
                          </a:solidFill>
                        </wps:spPr>
                        <wps:bodyPr wrap="square" lIns="0" tIns="0" rIns="0" bIns="0" rtlCol="0">
                          <a:prstTxWarp prst="textNoShape">
                            <a:avLst/>
                          </a:prstTxWarp>
                          <a:noAutofit/>
                        </wps:bodyPr>
                      </wps:wsp>
                      <wps:wsp>
                        <wps:cNvPr id="747" name="Graphic 747"/>
                        <wps:cNvSpPr/>
                        <wps:spPr>
                          <a:xfrm>
                            <a:off x="1973072" y="2327401"/>
                            <a:ext cx="88900" cy="86995"/>
                          </a:xfrm>
                          <a:custGeom>
                            <a:avLst/>
                            <a:gdLst/>
                            <a:ahLst/>
                            <a:cxnLst/>
                            <a:rect l="l" t="t" r="r" b="b"/>
                            <a:pathLst>
                              <a:path w="88900" h="86995">
                                <a:moveTo>
                                  <a:pt x="0" y="86868"/>
                                </a:moveTo>
                                <a:lnTo>
                                  <a:pt x="88392" y="86868"/>
                                </a:lnTo>
                                <a:lnTo>
                                  <a:pt x="88392" y="0"/>
                                </a:lnTo>
                                <a:lnTo>
                                  <a:pt x="0" y="0"/>
                                </a:lnTo>
                                <a:lnTo>
                                  <a:pt x="0" y="86868"/>
                                </a:lnTo>
                                <a:close/>
                              </a:path>
                            </a:pathLst>
                          </a:custGeom>
                          <a:ln w="9144">
                            <a:solidFill>
                              <a:srgbClr val="A8423E"/>
                            </a:solidFill>
                            <a:prstDash val="solid"/>
                          </a:ln>
                        </wps:spPr>
                        <wps:bodyPr wrap="square" lIns="0" tIns="0" rIns="0" bIns="0" rtlCol="0">
                          <a:prstTxWarp prst="textNoShape">
                            <a:avLst/>
                          </a:prstTxWarp>
                          <a:noAutofit/>
                        </wps:bodyPr>
                      </wps:wsp>
                      <wps:wsp>
                        <wps:cNvPr id="748" name="Graphic 748"/>
                        <wps:cNvSpPr/>
                        <wps:spPr>
                          <a:xfrm>
                            <a:off x="2148332" y="2321305"/>
                            <a:ext cx="90170" cy="88900"/>
                          </a:xfrm>
                          <a:custGeom>
                            <a:avLst/>
                            <a:gdLst/>
                            <a:ahLst/>
                            <a:cxnLst/>
                            <a:rect l="l" t="t" r="r" b="b"/>
                            <a:pathLst>
                              <a:path w="90170" h="88900">
                                <a:moveTo>
                                  <a:pt x="89916" y="0"/>
                                </a:moveTo>
                                <a:lnTo>
                                  <a:pt x="0" y="0"/>
                                </a:lnTo>
                                <a:lnTo>
                                  <a:pt x="0" y="88392"/>
                                </a:lnTo>
                                <a:lnTo>
                                  <a:pt x="89916" y="88392"/>
                                </a:lnTo>
                                <a:lnTo>
                                  <a:pt x="89916" y="0"/>
                                </a:lnTo>
                                <a:close/>
                              </a:path>
                            </a:pathLst>
                          </a:custGeom>
                          <a:solidFill>
                            <a:srgbClr val="AA4643"/>
                          </a:solidFill>
                        </wps:spPr>
                        <wps:bodyPr wrap="square" lIns="0" tIns="0" rIns="0" bIns="0" rtlCol="0">
                          <a:prstTxWarp prst="textNoShape">
                            <a:avLst/>
                          </a:prstTxWarp>
                          <a:noAutofit/>
                        </wps:bodyPr>
                      </wps:wsp>
                      <wps:wsp>
                        <wps:cNvPr id="749" name="Graphic 749"/>
                        <wps:cNvSpPr/>
                        <wps:spPr>
                          <a:xfrm>
                            <a:off x="2148332" y="2321305"/>
                            <a:ext cx="90170" cy="88900"/>
                          </a:xfrm>
                          <a:custGeom>
                            <a:avLst/>
                            <a:gdLst/>
                            <a:ahLst/>
                            <a:cxnLst/>
                            <a:rect l="l" t="t" r="r" b="b"/>
                            <a:pathLst>
                              <a:path w="90170" h="88900">
                                <a:moveTo>
                                  <a:pt x="0" y="88392"/>
                                </a:moveTo>
                                <a:lnTo>
                                  <a:pt x="89916" y="88392"/>
                                </a:lnTo>
                                <a:lnTo>
                                  <a:pt x="89916" y="0"/>
                                </a:lnTo>
                                <a:lnTo>
                                  <a:pt x="0" y="0"/>
                                </a:lnTo>
                                <a:lnTo>
                                  <a:pt x="0" y="88392"/>
                                </a:lnTo>
                                <a:close/>
                              </a:path>
                            </a:pathLst>
                          </a:custGeom>
                          <a:ln w="9144">
                            <a:solidFill>
                              <a:srgbClr val="A8423E"/>
                            </a:solidFill>
                            <a:prstDash val="solid"/>
                          </a:ln>
                        </wps:spPr>
                        <wps:bodyPr wrap="square" lIns="0" tIns="0" rIns="0" bIns="0" rtlCol="0">
                          <a:prstTxWarp prst="textNoShape">
                            <a:avLst/>
                          </a:prstTxWarp>
                          <a:noAutofit/>
                        </wps:bodyPr>
                      </wps:wsp>
                      <wps:wsp>
                        <wps:cNvPr id="750" name="Graphic 750"/>
                        <wps:cNvSpPr/>
                        <wps:spPr>
                          <a:xfrm>
                            <a:off x="2325116" y="2325877"/>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AA4643"/>
                          </a:solidFill>
                        </wps:spPr>
                        <wps:bodyPr wrap="square" lIns="0" tIns="0" rIns="0" bIns="0" rtlCol="0">
                          <a:prstTxWarp prst="textNoShape">
                            <a:avLst/>
                          </a:prstTxWarp>
                          <a:noAutofit/>
                        </wps:bodyPr>
                      </wps:wsp>
                      <wps:wsp>
                        <wps:cNvPr id="751" name="Graphic 751"/>
                        <wps:cNvSpPr/>
                        <wps:spPr>
                          <a:xfrm>
                            <a:off x="2325116" y="2325877"/>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A8423E"/>
                            </a:solidFill>
                            <a:prstDash val="solid"/>
                          </a:ln>
                        </wps:spPr>
                        <wps:bodyPr wrap="square" lIns="0" tIns="0" rIns="0" bIns="0" rtlCol="0">
                          <a:prstTxWarp prst="textNoShape">
                            <a:avLst/>
                          </a:prstTxWarp>
                          <a:noAutofit/>
                        </wps:bodyPr>
                      </wps:wsp>
                      <wps:wsp>
                        <wps:cNvPr id="752" name="Graphic 752"/>
                        <wps:cNvSpPr/>
                        <wps:spPr>
                          <a:xfrm>
                            <a:off x="2501900" y="2321305"/>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AA4643"/>
                          </a:solidFill>
                        </wps:spPr>
                        <wps:bodyPr wrap="square" lIns="0" tIns="0" rIns="0" bIns="0" rtlCol="0">
                          <a:prstTxWarp prst="textNoShape">
                            <a:avLst/>
                          </a:prstTxWarp>
                          <a:noAutofit/>
                        </wps:bodyPr>
                      </wps:wsp>
                      <wps:wsp>
                        <wps:cNvPr id="753" name="Graphic 753"/>
                        <wps:cNvSpPr/>
                        <wps:spPr>
                          <a:xfrm>
                            <a:off x="2501900" y="2321305"/>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A8423E"/>
                            </a:solidFill>
                            <a:prstDash val="solid"/>
                          </a:ln>
                        </wps:spPr>
                        <wps:bodyPr wrap="square" lIns="0" tIns="0" rIns="0" bIns="0" rtlCol="0">
                          <a:prstTxWarp prst="textNoShape">
                            <a:avLst/>
                          </a:prstTxWarp>
                          <a:noAutofit/>
                        </wps:bodyPr>
                      </wps:wsp>
                      <wps:wsp>
                        <wps:cNvPr id="754" name="Graphic 754"/>
                        <wps:cNvSpPr/>
                        <wps:spPr>
                          <a:xfrm>
                            <a:off x="2677160" y="2306066"/>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AA4643"/>
                          </a:solidFill>
                        </wps:spPr>
                        <wps:bodyPr wrap="square" lIns="0" tIns="0" rIns="0" bIns="0" rtlCol="0">
                          <a:prstTxWarp prst="textNoShape">
                            <a:avLst/>
                          </a:prstTxWarp>
                          <a:noAutofit/>
                        </wps:bodyPr>
                      </wps:wsp>
                      <wps:wsp>
                        <wps:cNvPr id="755" name="Graphic 755"/>
                        <wps:cNvSpPr/>
                        <wps:spPr>
                          <a:xfrm>
                            <a:off x="2677160" y="2306066"/>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A8423E"/>
                            </a:solidFill>
                            <a:prstDash val="solid"/>
                          </a:ln>
                        </wps:spPr>
                        <wps:bodyPr wrap="square" lIns="0" tIns="0" rIns="0" bIns="0" rtlCol="0">
                          <a:prstTxWarp prst="textNoShape">
                            <a:avLst/>
                          </a:prstTxWarp>
                          <a:noAutofit/>
                        </wps:bodyPr>
                      </wps:wsp>
                      <wps:wsp>
                        <wps:cNvPr id="756" name="Graphic 756"/>
                        <wps:cNvSpPr/>
                        <wps:spPr>
                          <a:xfrm>
                            <a:off x="2853944" y="2310638"/>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AA4643"/>
                          </a:solidFill>
                        </wps:spPr>
                        <wps:bodyPr wrap="square" lIns="0" tIns="0" rIns="0" bIns="0" rtlCol="0">
                          <a:prstTxWarp prst="textNoShape">
                            <a:avLst/>
                          </a:prstTxWarp>
                          <a:noAutofit/>
                        </wps:bodyPr>
                      </wps:wsp>
                      <wps:wsp>
                        <wps:cNvPr id="757" name="Graphic 757"/>
                        <wps:cNvSpPr/>
                        <wps:spPr>
                          <a:xfrm>
                            <a:off x="2853944" y="2310638"/>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A8423E"/>
                            </a:solidFill>
                            <a:prstDash val="solid"/>
                          </a:ln>
                        </wps:spPr>
                        <wps:bodyPr wrap="square" lIns="0" tIns="0" rIns="0" bIns="0" rtlCol="0">
                          <a:prstTxWarp prst="textNoShape">
                            <a:avLst/>
                          </a:prstTxWarp>
                          <a:noAutofit/>
                        </wps:bodyPr>
                      </wps:wsp>
                      <wps:wsp>
                        <wps:cNvPr id="758" name="Graphic 758"/>
                        <wps:cNvSpPr/>
                        <wps:spPr>
                          <a:xfrm>
                            <a:off x="3029204" y="2315210"/>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AA4643"/>
                          </a:solidFill>
                        </wps:spPr>
                        <wps:bodyPr wrap="square" lIns="0" tIns="0" rIns="0" bIns="0" rtlCol="0">
                          <a:prstTxWarp prst="textNoShape">
                            <a:avLst/>
                          </a:prstTxWarp>
                          <a:noAutofit/>
                        </wps:bodyPr>
                      </wps:wsp>
                      <wps:wsp>
                        <wps:cNvPr id="759" name="Graphic 759"/>
                        <wps:cNvSpPr/>
                        <wps:spPr>
                          <a:xfrm>
                            <a:off x="3029204" y="2315210"/>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A8423E"/>
                            </a:solidFill>
                            <a:prstDash val="solid"/>
                          </a:ln>
                        </wps:spPr>
                        <wps:bodyPr wrap="square" lIns="0" tIns="0" rIns="0" bIns="0" rtlCol="0">
                          <a:prstTxWarp prst="textNoShape">
                            <a:avLst/>
                          </a:prstTxWarp>
                          <a:noAutofit/>
                        </wps:bodyPr>
                      </wps:wsp>
                      <wps:wsp>
                        <wps:cNvPr id="760" name="Graphic 760"/>
                        <wps:cNvSpPr/>
                        <wps:spPr>
                          <a:xfrm>
                            <a:off x="3205988" y="2315210"/>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AA4643"/>
                          </a:solidFill>
                        </wps:spPr>
                        <wps:bodyPr wrap="square" lIns="0" tIns="0" rIns="0" bIns="0" rtlCol="0">
                          <a:prstTxWarp prst="textNoShape">
                            <a:avLst/>
                          </a:prstTxWarp>
                          <a:noAutofit/>
                        </wps:bodyPr>
                      </wps:wsp>
                      <wps:wsp>
                        <wps:cNvPr id="761" name="Graphic 761"/>
                        <wps:cNvSpPr/>
                        <wps:spPr>
                          <a:xfrm>
                            <a:off x="3205988" y="2315210"/>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A8423E"/>
                            </a:solidFill>
                            <a:prstDash val="solid"/>
                          </a:ln>
                        </wps:spPr>
                        <wps:bodyPr wrap="square" lIns="0" tIns="0" rIns="0" bIns="0" rtlCol="0">
                          <a:prstTxWarp prst="textNoShape">
                            <a:avLst/>
                          </a:prstTxWarp>
                          <a:noAutofit/>
                        </wps:bodyPr>
                      </wps:wsp>
                      <wps:wsp>
                        <wps:cNvPr id="762" name="Graphic 762"/>
                        <wps:cNvSpPr/>
                        <wps:spPr>
                          <a:xfrm>
                            <a:off x="3381247" y="2319782"/>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AA4643"/>
                          </a:solidFill>
                        </wps:spPr>
                        <wps:bodyPr wrap="square" lIns="0" tIns="0" rIns="0" bIns="0" rtlCol="0">
                          <a:prstTxWarp prst="textNoShape">
                            <a:avLst/>
                          </a:prstTxWarp>
                          <a:noAutofit/>
                        </wps:bodyPr>
                      </wps:wsp>
                      <wps:wsp>
                        <wps:cNvPr id="763" name="Graphic 763"/>
                        <wps:cNvSpPr/>
                        <wps:spPr>
                          <a:xfrm>
                            <a:off x="3381247" y="2319782"/>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A8423E"/>
                            </a:solidFill>
                            <a:prstDash val="solid"/>
                          </a:ln>
                        </wps:spPr>
                        <wps:bodyPr wrap="square" lIns="0" tIns="0" rIns="0" bIns="0" rtlCol="0">
                          <a:prstTxWarp prst="textNoShape">
                            <a:avLst/>
                          </a:prstTxWarp>
                          <a:noAutofit/>
                        </wps:bodyPr>
                      </wps:wsp>
                      <wps:wsp>
                        <wps:cNvPr id="764" name="Graphic 764"/>
                        <wps:cNvSpPr/>
                        <wps:spPr>
                          <a:xfrm>
                            <a:off x="3558032" y="2322829"/>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AA4643"/>
                          </a:solidFill>
                        </wps:spPr>
                        <wps:bodyPr wrap="square" lIns="0" tIns="0" rIns="0" bIns="0" rtlCol="0">
                          <a:prstTxWarp prst="textNoShape">
                            <a:avLst/>
                          </a:prstTxWarp>
                          <a:noAutofit/>
                        </wps:bodyPr>
                      </wps:wsp>
                      <wps:wsp>
                        <wps:cNvPr id="765" name="Graphic 765"/>
                        <wps:cNvSpPr/>
                        <wps:spPr>
                          <a:xfrm>
                            <a:off x="3558032" y="2322829"/>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A8423E"/>
                            </a:solidFill>
                            <a:prstDash val="solid"/>
                          </a:ln>
                        </wps:spPr>
                        <wps:bodyPr wrap="square" lIns="0" tIns="0" rIns="0" bIns="0" rtlCol="0">
                          <a:prstTxWarp prst="textNoShape">
                            <a:avLst/>
                          </a:prstTxWarp>
                          <a:noAutofit/>
                        </wps:bodyPr>
                      </wps:wsp>
                      <wps:wsp>
                        <wps:cNvPr id="766" name="Graphic 766"/>
                        <wps:cNvSpPr/>
                        <wps:spPr>
                          <a:xfrm>
                            <a:off x="3734815" y="2310638"/>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AA4643"/>
                          </a:solidFill>
                        </wps:spPr>
                        <wps:bodyPr wrap="square" lIns="0" tIns="0" rIns="0" bIns="0" rtlCol="0">
                          <a:prstTxWarp prst="textNoShape">
                            <a:avLst/>
                          </a:prstTxWarp>
                          <a:noAutofit/>
                        </wps:bodyPr>
                      </wps:wsp>
                      <wps:wsp>
                        <wps:cNvPr id="767" name="Graphic 767"/>
                        <wps:cNvSpPr/>
                        <wps:spPr>
                          <a:xfrm>
                            <a:off x="3734815" y="2310638"/>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A8423E"/>
                            </a:solidFill>
                            <a:prstDash val="solid"/>
                          </a:ln>
                        </wps:spPr>
                        <wps:bodyPr wrap="square" lIns="0" tIns="0" rIns="0" bIns="0" rtlCol="0">
                          <a:prstTxWarp prst="textNoShape">
                            <a:avLst/>
                          </a:prstTxWarp>
                          <a:noAutofit/>
                        </wps:bodyPr>
                      </wps:wsp>
                      <wps:wsp>
                        <wps:cNvPr id="768" name="Graphic 768"/>
                        <wps:cNvSpPr/>
                        <wps:spPr>
                          <a:xfrm>
                            <a:off x="3910076" y="2309114"/>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AA4643"/>
                          </a:solidFill>
                        </wps:spPr>
                        <wps:bodyPr wrap="square" lIns="0" tIns="0" rIns="0" bIns="0" rtlCol="0">
                          <a:prstTxWarp prst="textNoShape">
                            <a:avLst/>
                          </a:prstTxWarp>
                          <a:noAutofit/>
                        </wps:bodyPr>
                      </wps:wsp>
                      <wps:wsp>
                        <wps:cNvPr id="769" name="Graphic 769"/>
                        <wps:cNvSpPr/>
                        <wps:spPr>
                          <a:xfrm>
                            <a:off x="3910076" y="2309114"/>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A8423E"/>
                            </a:solidFill>
                            <a:prstDash val="solid"/>
                          </a:ln>
                        </wps:spPr>
                        <wps:bodyPr wrap="square" lIns="0" tIns="0" rIns="0" bIns="0" rtlCol="0">
                          <a:prstTxWarp prst="textNoShape">
                            <a:avLst/>
                          </a:prstTxWarp>
                          <a:noAutofit/>
                        </wps:bodyPr>
                      </wps:wsp>
                      <wps:wsp>
                        <wps:cNvPr id="770" name="Graphic 770"/>
                        <wps:cNvSpPr/>
                        <wps:spPr>
                          <a:xfrm>
                            <a:off x="4086859" y="2328926"/>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AA4643"/>
                          </a:solidFill>
                        </wps:spPr>
                        <wps:bodyPr wrap="square" lIns="0" tIns="0" rIns="0" bIns="0" rtlCol="0">
                          <a:prstTxWarp prst="textNoShape">
                            <a:avLst/>
                          </a:prstTxWarp>
                          <a:noAutofit/>
                        </wps:bodyPr>
                      </wps:wsp>
                      <wps:wsp>
                        <wps:cNvPr id="771" name="Graphic 771"/>
                        <wps:cNvSpPr/>
                        <wps:spPr>
                          <a:xfrm>
                            <a:off x="4086859" y="2328926"/>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A8423E"/>
                            </a:solidFill>
                            <a:prstDash val="solid"/>
                          </a:ln>
                        </wps:spPr>
                        <wps:bodyPr wrap="square" lIns="0" tIns="0" rIns="0" bIns="0" rtlCol="0">
                          <a:prstTxWarp prst="textNoShape">
                            <a:avLst/>
                          </a:prstTxWarp>
                          <a:noAutofit/>
                        </wps:bodyPr>
                      </wps:wsp>
                      <wps:wsp>
                        <wps:cNvPr id="772" name="Graphic 772"/>
                        <wps:cNvSpPr/>
                        <wps:spPr>
                          <a:xfrm>
                            <a:off x="1136396" y="2295398"/>
                            <a:ext cx="2994660" cy="81280"/>
                          </a:xfrm>
                          <a:custGeom>
                            <a:avLst/>
                            <a:gdLst/>
                            <a:ahLst/>
                            <a:cxnLst/>
                            <a:rect l="l" t="t" r="r" b="b"/>
                            <a:pathLst>
                              <a:path w="2994660" h="81280">
                                <a:moveTo>
                                  <a:pt x="0" y="80772"/>
                                </a:moveTo>
                                <a:lnTo>
                                  <a:pt x="176784" y="77724"/>
                                </a:lnTo>
                                <a:lnTo>
                                  <a:pt x="352044" y="76200"/>
                                </a:lnTo>
                                <a:lnTo>
                                  <a:pt x="528828" y="76200"/>
                                </a:lnTo>
                                <a:lnTo>
                                  <a:pt x="704088" y="71627"/>
                                </a:lnTo>
                                <a:lnTo>
                                  <a:pt x="880872" y="77724"/>
                                </a:lnTo>
                                <a:lnTo>
                                  <a:pt x="1057656" y="74675"/>
                                </a:lnTo>
                                <a:lnTo>
                                  <a:pt x="1232916" y="67055"/>
                                </a:lnTo>
                                <a:lnTo>
                                  <a:pt x="1409700" y="64007"/>
                                </a:lnTo>
                                <a:lnTo>
                                  <a:pt x="1584959" y="57911"/>
                                </a:lnTo>
                                <a:lnTo>
                                  <a:pt x="1761744" y="59435"/>
                                </a:lnTo>
                                <a:lnTo>
                                  <a:pt x="1937004" y="62483"/>
                                </a:lnTo>
                                <a:lnTo>
                                  <a:pt x="2113788" y="65531"/>
                                </a:lnTo>
                                <a:lnTo>
                                  <a:pt x="2290572" y="0"/>
                                </a:lnTo>
                                <a:lnTo>
                                  <a:pt x="2465832" y="6096"/>
                                </a:lnTo>
                                <a:lnTo>
                                  <a:pt x="2642616" y="28955"/>
                                </a:lnTo>
                                <a:lnTo>
                                  <a:pt x="2817876" y="27431"/>
                                </a:lnTo>
                                <a:lnTo>
                                  <a:pt x="2994660" y="59435"/>
                                </a:lnTo>
                              </a:path>
                            </a:pathLst>
                          </a:custGeom>
                          <a:ln w="27432">
                            <a:solidFill>
                              <a:srgbClr val="85A349"/>
                            </a:solidFill>
                            <a:prstDash val="solid"/>
                          </a:ln>
                        </wps:spPr>
                        <wps:bodyPr wrap="square" lIns="0" tIns="0" rIns="0" bIns="0" rtlCol="0">
                          <a:prstTxWarp prst="textNoShape">
                            <a:avLst/>
                          </a:prstTxWarp>
                          <a:noAutofit/>
                        </wps:bodyPr>
                      </wps:wsp>
                      <pic:pic>
                        <pic:nvPicPr>
                          <pic:cNvPr id="773" name="Image 773"/>
                          <pic:cNvPicPr/>
                        </pic:nvPicPr>
                        <pic:blipFill>
                          <a:blip r:embed="rId181" cstate="print"/>
                          <a:stretch>
                            <a:fillRect/>
                          </a:stretch>
                        </pic:blipFill>
                        <pic:spPr>
                          <a:xfrm>
                            <a:off x="1087627" y="2328164"/>
                            <a:ext cx="98044" cy="98298"/>
                          </a:xfrm>
                          <a:prstGeom prst="rect">
                            <a:avLst/>
                          </a:prstGeom>
                        </pic:spPr>
                      </pic:pic>
                      <pic:pic>
                        <pic:nvPicPr>
                          <pic:cNvPr id="774" name="Image 774"/>
                          <pic:cNvPicPr/>
                        </pic:nvPicPr>
                        <pic:blipFill>
                          <a:blip r:embed="rId182" cstate="print"/>
                          <a:stretch>
                            <a:fillRect/>
                          </a:stretch>
                        </pic:blipFill>
                        <pic:spPr>
                          <a:xfrm>
                            <a:off x="1263777" y="2325116"/>
                            <a:ext cx="98044" cy="98298"/>
                          </a:xfrm>
                          <a:prstGeom prst="rect">
                            <a:avLst/>
                          </a:prstGeom>
                        </pic:spPr>
                      </pic:pic>
                      <pic:pic>
                        <pic:nvPicPr>
                          <pic:cNvPr id="775" name="Image 775"/>
                          <pic:cNvPicPr/>
                        </pic:nvPicPr>
                        <pic:blipFill>
                          <a:blip r:embed="rId182" cstate="print"/>
                          <a:stretch>
                            <a:fillRect/>
                          </a:stretch>
                        </pic:blipFill>
                        <pic:spPr>
                          <a:xfrm>
                            <a:off x="1439925" y="2322829"/>
                            <a:ext cx="98044" cy="98298"/>
                          </a:xfrm>
                          <a:prstGeom prst="rect">
                            <a:avLst/>
                          </a:prstGeom>
                        </pic:spPr>
                      </pic:pic>
                      <pic:pic>
                        <pic:nvPicPr>
                          <pic:cNvPr id="776" name="Image 776"/>
                          <pic:cNvPicPr/>
                        </pic:nvPicPr>
                        <pic:blipFill>
                          <a:blip r:embed="rId183" cstate="print"/>
                          <a:stretch>
                            <a:fillRect/>
                          </a:stretch>
                        </pic:blipFill>
                        <pic:spPr>
                          <a:xfrm>
                            <a:off x="1615947" y="2323592"/>
                            <a:ext cx="98171" cy="98298"/>
                          </a:xfrm>
                          <a:prstGeom prst="rect">
                            <a:avLst/>
                          </a:prstGeom>
                        </pic:spPr>
                      </pic:pic>
                      <pic:pic>
                        <pic:nvPicPr>
                          <pic:cNvPr id="777" name="Image 777"/>
                          <pic:cNvPicPr/>
                        </pic:nvPicPr>
                        <pic:blipFill>
                          <a:blip r:embed="rId181" cstate="print"/>
                          <a:stretch>
                            <a:fillRect/>
                          </a:stretch>
                        </pic:blipFill>
                        <pic:spPr>
                          <a:xfrm>
                            <a:off x="1792097" y="2319147"/>
                            <a:ext cx="98044" cy="98298"/>
                          </a:xfrm>
                          <a:prstGeom prst="rect">
                            <a:avLst/>
                          </a:prstGeom>
                        </pic:spPr>
                      </pic:pic>
                      <pic:pic>
                        <pic:nvPicPr>
                          <pic:cNvPr id="778" name="Image 778"/>
                          <pic:cNvPicPr/>
                        </pic:nvPicPr>
                        <pic:blipFill>
                          <a:blip r:embed="rId182" cstate="print"/>
                          <a:stretch>
                            <a:fillRect/>
                          </a:stretch>
                        </pic:blipFill>
                        <pic:spPr>
                          <a:xfrm>
                            <a:off x="1968245" y="2325497"/>
                            <a:ext cx="98044" cy="98298"/>
                          </a:xfrm>
                          <a:prstGeom prst="rect">
                            <a:avLst/>
                          </a:prstGeom>
                        </pic:spPr>
                      </pic:pic>
                      <pic:pic>
                        <pic:nvPicPr>
                          <pic:cNvPr id="779" name="Image 779"/>
                          <pic:cNvPicPr/>
                        </pic:nvPicPr>
                        <pic:blipFill>
                          <a:blip r:embed="rId182" cstate="print"/>
                          <a:stretch>
                            <a:fillRect/>
                          </a:stretch>
                        </pic:blipFill>
                        <pic:spPr>
                          <a:xfrm>
                            <a:off x="2144395" y="2322448"/>
                            <a:ext cx="98044" cy="98298"/>
                          </a:xfrm>
                          <a:prstGeom prst="rect">
                            <a:avLst/>
                          </a:prstGeom>
                        </pic:spPr>
                      </pic:pic>
                      <pic:pic>
                        <pic:nvPicPr>
                          <pic:cNvPr id="780" name="Image 780"/>
                          <pic:cNvPicPr/>
                        </pic:nvPicPr>
                        <pic:blipFill>
                          <a:blip r:embed="rId181" cstate="print"/>
                          <a:stretch>
                            <a:fillRect/>
                          </a:stretch>
                        </pic:blipFill>
                        <pic:spPr>
                          <a:xfrm>
                            <a:off x="2320544" y="2314955"/>
                            <a:ext cx="98044" cy="98298"/>
                          </a:xfrm>
                          <a:prstGeom prst="rect">
                            <a:avLst/>
                          </a:prstGeom>
                        </pic:spPr>
                      </pic:pic>
                      <pic:pic>
                        <pic:nvPicPr>
                          <pic:cNvPr id="781" name="Image 781"/>
                          <pic:cNvPicPr/>
                        </pic:nvPicPr>
                        <pic:blipFill>
                          <a:blip r:embed="rId184" cstate="print"/>
                          <a:stretch>
                            <a:fillRect/>
                          </a:stretch>
                        </pic:blipFill>
                        <pic:spPr>
                          <a:xfrm>
                            <a:off x="2496692" y="2311526"/>
                            <a:ext cx="98044" cy="98425"/>
                          </a:xfrm>
                          <a:prstGeom prst="rect">
                            <a:avLst/>
                          </a:prstGeom>
                        </pic:spPr>
                      </pic:pic>
                      <pic:pic>
                        <pic:nvPicPr>
                          <pic:cNvPr id="782" name="Image 782"/>
                          <pic:cNvPicPr/>
                        </pic:nvPicPr>
                        <pic:blipFill>
                          <a:blip r:embed="rId185" cstate="print"/>
                          <a:stretch>
                            <a:fillRect/>
                          </a:stretch>
                        </pic:blipFill>
                        <pic:spPr>
                          <a:xfrm>
                            <a:off x="2672714" y="2304669"/>
                            <a:ext cx="98044" cy="98298"/>
                          </a:xfrm>
                          <a:prstGeom prst="rect">
                            <a:avLst/>
                          </a:prstGeom>
                        </pic:spPr>
                      </pic:pic>
                      <pic:pic>
                        <pic:nvPicPr>
                          <pic:cNvPr id="783" name="Image 783"/>
                          <pic:cNvPicPr/>
                        </pic:nvPicPr>
                        <pic:blipFill>
                          <a:blip r:embed="rId184" cstate="print"/>
                          <a:stretch>
                            <a:fillRect/>
                          </a:stretch>
                        </pic:blipFill>
                        <pic:spPr>
                          <a:xfrm>
                            <a:off x="2848864" y="2306954"/>
                            <a:ext cx="98044" cy="98425"/>
                          </a:xfrm>
                          <a:prstGeom prst="rect">
                            <a:avLst/>
                          </a:prstGeom>
                        </pic:spPr>
                      </pic:pic>
                      <pic:pic>
                        <pic:nvPicPr>
                          <pic:cNvPr id="784" name="Image 784"/>
                          <pic:cNvPicPr/>
                        </pic:nvPicPr>
                        <pic:blipFill>
                          <a:blip r:embed="rId185" cstate="print"/>
                          <a:stretch>
                            <a:fillRect/>
                          </a:stretch>
                        </pic:blipFill>
                        <pic:spPr>
                          <a:xfrm>
                            <a:off x="3025013" y="2309876"/>
                            <a:ext cx="98044" cy="98298"/>
                          </a:xfrm>
                          <a:prstGeom prst="rect">
                            <a:avLst/>
                          </a:prstGeom>
                        </pic:spPr>
                      </pic:pic>
                      <pic:pic>
                        <pic:nvPicPr>
                          <pic:cNvPr id="785" name="Image 785"/>
                          <pic:cNvPicPr/>
                        </pic:nvPicPr>
                        <pic:blipFill>
                          <a:blip r:embed="rId184" cstate="print"/>
                          <a:stretch>
                            <a:fillRect/>
                          </a:stretch>
                        </pic:blipFill>
                        <pic:spPr>
                          <a:xfrm>
                            <a:off x="3201161" y="2313304"/>
                            <a:ext cx="98044" cy="98425"/>
                          </a:xfrm>
                          <a:prstGeom prst="rect">
                            <a:avLst/>
                          </a:prstGeom>
                        </pic:spPr>
                      </pic:pic>
                      <pic:pic>
                        <pic:nvPicPr>
                          <pic:cNvPr id="786" name="Image 786"/>
                          <pic:cNvPicPr/>
                        </pic:nvPicPr>
                        <pic:blipFill>
                          <a:blip r:embed="rId186" cstate="print"/>
                          <a:stretch>
                            <a:fillRect/>
                          </a:stretch>
                        </pic:blipFill>
                        <pic:spPr>
                          <a:xfrm>
                            <a:off x="3377310" y="2246629"/>
                            <a:ext cx="98044" cy="98298"/>
                          </a:xfrm>
                          <a:prstGeom prst="rect">
                            <a:avLst/>
                          </a:prstGeom>
                        </pic:spPr>
                      </pic:pic>
                      <pic:pic>
                        <pic:nvPicPr>
                          <pic:cNvPr id="787" name="Image 787"/>
                          <pic:cNvPicPr/>
                        </pic:nvPicPr>
                        <pic:blipFill>
                          <a:blip r:embed="rId187" cstate="print"/>
                          <a:stretch>
                            <a:fillRect/>
                          </a:stretch>
                        </pic:blipFill>
                        <pic:spPr>
                          <a:xfrm>
                            <a:off x="3553333" y="2252726"/>
                            <a:ext cx="98171" cy="98298"/>
                          </a:xfrm>
                          <a:prstGeom prst="rect">
                            <a:avLst/>
                          </a:prstGeom>
                        </pic:spPr>
                      </pic:pic>
                      <pic:pic>
                        <pic:nvPicPr>
                          <pic:cNvPr id="788" name="Image 788"/>
                          <pic:cNvPicPr/>
                        </pic:nvPicPr>
                        <pic:blipFill>
                          <a:blip r:embed="rId186" cstate="print"/>
                          <a:stretch>
                            <a:fillRect/>
                          </a:stretch>
                        </pic:blipFill>
                        <pic:spPr>
                          <a:xfrm>
                            <a:off x="3729482" y="2275077"/>
                            <a:ext cx="98044" cy="98298"/>
                          </a:xfrm>
                          <a:prstGeom prst="rect">
                            <a:avLst/>
                          </a:prstGeom>
                        </pic:spPr>
                      </pic:pic>
                      <pic:pic>
                        <pic:nvPicPr>
                          <pic:cNvPr id="789" name="Image 789"/>
                          <pic:cNvPicPr/>
                        </pic:nvPicPr>
                        <pic:blipFill>
                          <a:blip r:embed="rId186" cstate="print"/>
                          <a:stretch>
                            <a:fillRect/>
                          </a:stretch>
                        </pic:blipFill>
                        <pic:spPr>
                          <a:xfrm>
                            <a:off x="3905630" y="2274570"/>
                            <a:ext cx="98044" cy="98298"/>
                          </a:xfrm>
                          <a:prstGeom prst="rect">
                            <a:avLst/>
                          </a:prstGeom>
                        </pic:spPr>
                      </pic:pic>
                      <pic:pic>
                        <pic:nvPicPr>
                          <pic:cNvPr id="790" name="Image 790"/>
                          <pic:cNvPicPr/>
                        </pic:nvPicPr>
                        <pic:blipFill>
                          <a:blip r:embed="rId186" cstate="print"/>
                          <a:stretch>
                            <a:fillRect/>
                          </a:stretch>
                        </pic:blipFill>
                        <pic:spPr>
                          <a:xfrm>
                            <a:off x="4081779" y="2306192"/>
                            <a:ext cx="98044" cy="98298"/>
                          </a:xfrm>
                          <a:prstGeom prst="rect">
                            <a:avLst/>
                          </a:prstGeom>
                        </pic:spPr>
                      </pic:pic>
                      <wps:wsp>
                        <wps:cNvPr id="791" name="Graphic 791"/>
                        <wps:cNvSpPr/>
                        <wps:spPr>
                          <a:xfrm>
                            <a:off x="1136396" y="2338070"/>
                            <a:ext cx="2994660" cy="38100"/>
                          </a:xfrm>
                          <a:custGeom>
                            <a:avLst/>
                            <a:gdLst/>
                            <a:ahLst/>
                            <a:cxnLst/>
                            <a:rect l="l" t="t" r="r" b="b"/>
                            <a:pathLst>
                              <a:path w="2994660" h="38100">
                                <a:moveTo>
                                  <a:pt x="0" y="38100"/>
                                </a:moveTo>
                                <a:lnTo>
                                  <a:pt x="176784" y="36575"/>
                                </a:lnTo>
                                <a:lnTo>
                                  <a:pt x="352044" y="36575"/>
                                </a:lnTo>
                                <a:lnTo>
                                  <a:pt x="528828" y="32003"/>
                                </a:lnTo>
                                <a:lnTo>
                                  <a:pt x="704088" y="35051"/>
                                </a:lnTo>
                                <a:lnTo>
                                  <a:pt x="880872" y="35051"/>
                                </a:lnTo>
                                <a:lnTo>
                                  <a:pt x="1057656" y="35051"/>
                                </a:lnTo>
                                <a:lnTo>
                                  <a:pt x="1232916" y="35051"/>
                                </a:lnTo>
                                <a:lnTo>
                                  <a:pt x="1409700" y="30479"/>
                                </a:lnTo>
                                <a:lnTo>
                                  <a:pt x="1584959" y="28955"/>
                                </a:lnTo>
                                <a:lnTo>
                                  <a:pt x="1761744" y="27431"/>
                                </a:lnTo>
                                <a:lnTo>
                                  <a:pt x="1937004" y="28955"/>
                                </a:lnTo>
                                <a:lnTo>
                                  <a:pt x="2113788" y="30479"/>
                                </a:lnTo>
                                <a:lnTo>
                                  <a:pt x="2290572" y="28955"/>
                                </a:lnTo>
                                <a:lnTo>
                                  <a:pt x="2465832" y="28955"/>
                                </a:lnTo>
                                <a:lnTo>
                                  <a:pt x="2642616" y="0"/>
                                </a:lnTo>
                                <a:lnTo>
                                  <a:pt x="2817876" y="0"/>
                                </a:lnTo>
                                <a:lnTo>
                                  <a:pt x="2994660" y="19811"/>
                                </a:lnTo>
                              </a:path>
                            </a:pathLst>
                          </a:custGeom>
                          <a:ln w="27432">
                            <a:solidFill>
                              <a:srgbClr val="6D538D"/>
                            </a:solidFill>
                            <a:prstDash val="solid"/>
                          </a:ln>
                        </wps:spPr>
                        <wps:bodyPr wrap="square" lIns="0" tIns="0" rIns="0" bIns="0" rtlCol="0">
                          <a:prstTxWarp prst="textNoShape">
                            <a:avLst/>
                          </a:prstTxWarp>
                          <a:noAutofit/>
                        </wps:bodyPr>
                      </wps:wsp>
                      <wps:wsp>
                        <wps:cNvPr id="792" name="Graphic 792"/>
                        <wps:cNvSpPr/>
                        <wps:spPr>
                          <a:xfrm>
                            <a:off x="1092200" y="2293873"/>
                            <a:ext cx="3083560" cy="127000"/>
                          </a:xfrm>
                          <a:custGeom>
                            <a:avLst/>
                            <a:gdLst/>
                            <a:ahLst/>
                            <a:cxnLst/>
                            <a:rect l="l" t="t" r="r" b="b"/>
                            <a:pathLst>
                              <a:path w="3083560" h="127000">
                                <a:moveTo>
                                  <a:pt x="44196" y="82296"/>
                                </a:moveTo>
                                <a:lnTo>
                                  <a:pt x="0" y="126492"/>
                                </a:lnTo>
                                <a:lnTo>
                                  <a:pt x="88392" y="126492"/>
                                </a:lnTo>
                                <a:lnTo>
                                  <a:pt x="44196" y="82296"/>
                                </a:lnTo>
                                <a:close/>
                              </a:path>
                              <a:path w="3083560" h="127000">
                                <a:moveTo>
                                  <a:pt x="88392" y="38100"/>
                                </a:moveTo>
                                <a:lnTo>
                                  <a:pt x="0" y="38100"/>
                                </a:lnTo>
                                <a:lnTo>
                                  <a:pt x="44196" y="82296"/>
                                </a:lnTo>
                                <a:lnTo>
                                  <a:pt x="88392" y="38100"/>
                                </a:lnTo>
                                <a:close/>
                              </a:path>
                              <a:path w="3083560" h="127000">
                                <a:moveTo>
                                  <a:pt x="220979" y="80010"/>
                                </a:moveTo>
                                <a:lnTo>
                                  <a:pt x="176783" y="124968"/>
                                </a:lnTo>
                                <a:lnTo>
                                  <a:pt x="265175" y="124968"/>
                                </a:lnTo>
                                <a:lnTo>
                                  <a:pt x="220979" y="80010"/>
                                </a:lnTo>
                                <a:close/>
                              </a:path>
                              <a:path w="3083560" h="127000">
                                <a:moveTo>
                                  <a:pt x="265175" y="35051"/>
                                </a:moveTo>
                                <a:lnTo>
                                  <a:pt x="176783" y="35051"/>
                                </a:lnTo>
                                <a:lnTo>
                                  <a:pt x="220979" y="80010"/>
                                </a:lnTo>
                                <a:lnTo>
                                  <a:pt x="265175" y="35051"/>
                                </a:lnTo>
                                <a:close/>
                              </a:path>
                              <a:path w="3083560" h="127000">
                                <a:moveTo>
                                  <a:pt x="396239" y="80772"/>
                                </a:moveTo>
                                <a:lnTo>
                                  <a:pt x="352044" y="124968"/>
                                </a:lnTo>
                                <a:lnTo>
                                  <a:pt x="440436" y="124968"/>
                                </a:lnTo>
                                <a:lnTo>
                                  <a:pt x="396239" y="80772"/>
                                </a:lnTo>
                                <a:close/>
                              </a:path>
                              <a:path w="3083560" h="127000">
                                <a:moveTo>
                                  <a:pt x="440436" y="36575"/>
                                </a:moveTo>
                                <a:lnTo>
                                  <a:pt x="352044" y="36575"/>
                                </a:lnTo>
                                <a:lnTo>
                                  <a:pt x="396239" y="80772"/>
                                </a:lnTo>
                                <a:lnTo>
                                  <a:pt x="440436" y="36575"/>
                                </a:lnTo>
                                <a:close/>
                              </a:path>
                              <a:path w="3083560" h="127000">
                                <a:moveTo>
                                  <a:pt x="573024" y="76200"/>
                                </a:moveTo>
                                <a:lnTo>
                                  <a:pt x="528827" y="120396"/>
                                </a:lnTo>
                                <a:lnTo>
                                  <a:pt x="617219" y="120396"/>
                                </a:lnTo>
                                <a:lnTo>
                                  <a:pt x="573024" y="76200"/>
                                </a:lnTo>
                                <a:close/>
                              </a:path>
                              <a:path w="3083560" h="127000">
                                <a:moveTo>
                                  <a:pt x="617219" y="32003"/>
                                </a:moveTo>
                                <a:lnTo>
                                  <a:pt x="528827" y="32003"/>
                                </a:lnTo>
                                <a:lnTo>
                                  <a:pt x="573024" y="76200"/>
                                </a:lnTo>
                                <a:lnTo>
                                  <a:pt x="617219" y="32003"/>
                                </a:lnTo>
                                <a:close/>
                              </a:path>
                              <a:path w="3083560" h="127000">
                                <a:moveTo>
                                  <a:pt x="749046" y="79248"/>
                                </a:moveTo>
                                <a:lnTo>
                                  <a:pt x="704088" y="123444"/>
                                </a:lnTo>
                                <a:lnTo>
                                  <a:pt x="794004" y="123444"/>
                                </a:lnTo>
                                <a:lnTo>
                                  <a:pt x="749046" y="79248"/>
                                </a:lnTo>
                                <a:close/>
                              </a:path>
                              <a:path w="3083560" h="127000">
                                <a:moveTo>
                                  <a:pt x="794004" y="35051"/>
                                </a:moveTo>
                                <a:lnTo>
                                  <a:pt x="704088" y="35051"/>
                                </a:lnTo>
                                <a:lnTo>
                                  <a:pt x="749046" y="79248"/>
                                </a:lnTo>
                                <a:lnTo>
                                  <a:pt x="794004" y="35051"/>
                                </a:lnTo>
                                <a:close/>
                              </a:path>
                              <a:path w="3083560" h="127000">
                                <a:moveTo>
                                  <a:pt x="925068" y="79248"/>
                                </a:moveTo>
                                <a:lnTo>
                                  <a:pt x="880872" y="123444"/>
                                </a:lnTo>
                                <a:lnTo>
                                  <a:pt x="969263" y="123444"/>
                                </a:lnTo>
                                <a:lnTo>
                                  <a:pt x="925068" y="79248"/>
                                </a:lnTo>
                                <a:close/>
                              </a:path>
                              <a:path w="3083560" h="127000">
                                <a:moveTo>
                                  <a:pt x="969263" y="35051"/>
                                </a:moveTo>
                                <a:lnTo>
                                  <a:pt x="880872" y="35051"/>
                                </a:lnTo>
                                <a:lnTo>
                                  <a:pt x="925068" y="79248"/>
                                </a:lnTo>
                                <a:lnTo>
                                  <a:pt x="969263" y="35051"/>
                                </a:lnTo>
                                <a:close/>
                              </a:path>
                              <a:path w="3083560" h="127000">
                                <a:moveTo>
                                  <a:pt x="1101089" y="79248"/>
                                </a:moveTo>
                                <a:lnTo>
                                  <a:pt x="1056132" y="123444"/>
                                </a:lnTo>
                                <a:lnTo>
                                  <a:pt x="1146048" y="123444"/>
                                </a:lnTo>
                                <a:lnTo>
                                  <a:pt x="1101089" y="79248"/>
                                </a:lnTo>
                                <a:close/>
                              </a:path>
                              <a:path w="3083560" h="127000">
                                <a:moveTo>
                                  <a:pt x="1146048" y="35051"/>
                                </a:moveTo>
                                <a:lnTo>
                                  <a:pt x="1056132" y="35051"/>
                                </a:lnTo>
                                <a:lnTo>
                                  <a:pt x="1101089" y="79248"/>
                                </a:lnTo>
                                <a:lnTo>
                                  <a:pt x="1146048" y="35051"/>
                                </a:lnTo>
                                <a:close/>
                              </a:path>
                              <a:path w="3083560" h="127000">
                                <a:moveTo>
                                  <a:pt x="1277112" y="78485"/>
                                </a:moveTo>
                                <a:lnTo>
                                  <a:pt x="1232915" y="123444"/>
                                </a:lnTo>
                                <a:lnTo>
                                  <a:pt x="1321308" y="123444"/>
                                </a:lnTo>
                                <a:lnTo>
                                  <a:pt x="1277112" y="78485"/>
                                </a:lnTo>
                                <a:close/>
                              </a:path>
                              <a:path w="3083560" h="127000">
                                <a:moveTo>
                                  <a:pt x="1321308" y="33527"/>
                                </a:moveTo>
                                <a:lnTo>
                                  <a:pt x="1232915" y="33527"/>
                                </a:lnTo>
                                <a:lnTo>
                                  <a:pt x="1277112" y="78485"/>
                                </a:lnTo>
                                <a:lnTo>
                                  <a:pt x="1321308" y="33527"/>
                                </a:lnTo>
                                <a:close/>
                              </a:path>
                              <a:path w="3083560" h="127000">
                                <a:moveTo>
                                  <a:pt x="1453896" y="73914"/>
                                </a:moveTo>
                                <a:lnTo>
                                  <a:pt x="1409700" y="118872"/>
                                </a:lnTo>
                                <a:lnTo>
                                  <a:pt x="1498091" y="118872"/>
                                </a:lnTo>
                                <a:lnTo>
                                  <a:pt x="1453896" y="73914"/>
                                </a:lnTo>
                                <a:close/>
                              </a:path>
                              <a:path w="3083560" h="127000">
                                <a:moveTo>
                                  <a:pt x="1498091" y="28955"/>
                                </a:moveTo>
                                <a:lnTo>
                                  <a:pt x="1409700" y="28955"/>
                                </a:lnTo>
                                <a:lnTo>
                                  <a:pt x="1453896" y="73914"/>
                                </a:lnTo>
                                <a:lnTo>
                                  <a:pt x="1498091" y="28955"/>
                                </a:lnTo>
                                <a:close/>
                              </a:path>
                              <a:path w="3083560" h="127000">
                                <a:moveTo>
                                  <a:pt x="1629155" y="73151"/>
                                </a:moveTo>
                                <a:lnTo>
                                  <a:pt x="1584960" y="117348"/>
                                </a:lnTo>
                                <a:lnTo>
                                  <a:pt x="1673352" y="117348"/>
                                </a:lnTo>
                                <a:lnTo>
                                  <a:pt x="1629155" y="73151"/>
                                </a:lnTo>
                                <a:close/>
                              </a:path>
                              <a:path w="3083560" h="127000">
                                <a:moveTo>
                                  <a:pt x="1673352" y="28955"/>
                                </a:moveTo>
                                <a:lnTo>
                                  <a:pt x="1584960" y="28955"/>
                                </a:lnTo>
                                <a:lnTo>
                                  <a:pt x="1629155" y="73151"/>
                                </a:lnTo>
                                <a:lnTo>
                                  <a:pt x="1673352" y="28955"/>
                                </a:lnTo>
                                <a:close/>
                              </a:path>
                              <a:path w="3083560" h="127000">
                                <a:moveTo>
                                  <a:pt x="1805940" y="71627"/>
                                </a:moveTo>
                                <a:lnTo>
                                  <a:pt x="1761744" y="115824"/>
                                </a:lnTo>
                                <a:lnTo>
                                  <a:pt x="1850136" y="115824"/>
                                </a:lnTo>
                                <a:lnTo>
                                  <a:pt x="1805940" y="71627"/>
                                </a:lnTo>
                                <a:close/>
                              </a:path>
                              <a:path w="3083560" h="127000">
                                <a:moveTo>
                                  <a:pt x="1850136" y="27431"/>
                                </a:moveTo>
                                <a:lnTo>
                                  <a:pt x="1761744" y="27431"/>
                                </a:lnTo>
                                <a:lnTo>
                                  <a:pt x="1805940" y="71627"/>
                                </a:lnTo>
                                <a:lnTo>
                                  <a:pt x="1850136" y="27431"/>
                                </a:lnTo>
                                <a:close/>
                              </a:path>
                              <a:path w="3083560" h="127000">
                                <a:moveTo>
                                  <a:pt x="1981962" y="73151"/>
                                </a:moveTo>
                                <a:lnTo>
                                  <a:pt x="1937003" y="117348"/>
                                </a:lnTo>
                                <a:lnTo>
                                  <a:pt x="2026920" y="117348"/>
                                </a:lnTo>
                                <a:lnTo>
                                  <a:pt x="1981962" y="73151"/>
                                </a:lnTo>
                                <a:close/>
                              </a:path>
                              <a:path w="3083560" h="127000">
                                <a:moveTo>
                                  <a:pt x="2026920" y="28955"/>
                                </a:moveTo>
                                <a:lnTo>
                                  <a:pt x="1937003" y="28955"/>
                                </a:lnTo>
                                <a:lnTo>
                                  <a:pt x="1981962" y="73151"/>
                                </a:lnTo>
                                <a:lnTo>
                                  <a:pt x="2026920" y="28955"/>
                                </a:lnTo>
                                <a:close/>
                              </a:path>
                              <a:path w="3083560" h="127000">
                                <a:moveTo>
                                  <a:pt x="2157983" y="75437"/>
                                </a:moveTo>
                                <a:lnTo>
                                  <a:pt x="2113788" y="120396"/>
                                </a:lnTo>
                                <a:lnTo>
                                  <a:pt x="2202179" y="120396"/>
                                </a:lnTo>
                                <a:lnTo>
                                  <a:pt x="2157983" y="75437"/>
                                </a:lnTo>
                                <a:close/>
                              </a:path>
                              <a:path w="3083560" h="127000">
                                <a:moveTo>
                                  <a:pt x="2202179" y="30479"/>
                                </a:moveTo>
                                <a:lnTo>
                                  <a:pt x="2113788" y="30479"/>
                                </a:lnTo>
                                <a:lnTo>
                                  <a:pt x="2157983" y="75437"/>
                                </a:lnTo>
                                <a:lnTo>
                                  <a:pt x="2202179" y="30479"/>
                                </a:lnTo>
                                <a:close/>
                              </a:path>
                              <a:path w="3083560" h="127000">
                                <a:moveTo>
                                  <a:pt x="2334005" y="72389"/>
                                </a:moveTo>
                                <a:lnTo>
                                  <a:pt x="2289048" y="117348"/>
                                </a:lnTo>
                                <a:lnTo>
                                  <a:pt x="2378964" y="117348"/>
                                </a:lnTo>
                                <a:lnTo>
                                  <a:pt x="2334005" y="72389"/>
                                </a:lnTo>
                                <a:close/>
                              </a:path>
                              <a:path w="3083560" h="127000">
                                <a:moveTo>
                                  <a:pt x="2378964" y="27431"/>
                                </a:moveTo>
                                <a:lnTo>
                                  <a:pt x="2289048" y="27431"/>
                                </a:lnTo>
                                <a:lnTo>
                                  <a:pt x="2334005" y="72389"/>
                                </a:lnTo>
                                <a:lnTo>
                                  <a:pt x="2378964" y="27431"/>
                                </a:lnTo>
                                <a:close/>
                              </a:path>
                              <a:path w="3083560" h="127000">
                                <a:moveTo>
                                  <a:pt x="2510028" y="73151"/>
                                </a:moveTo>
                                <a:lnTo>
                                  <a:pt x="2465832" y="117348"/>
                                </a:lnTo>
                                <a:lnTo>
                                  <a:pt x="2554224" y="117348"/>
                                </a:lnTo>
                                <a:lnTo>
                                  <a:pt x="2510028" y="73151"/>
                                </a:lnTo>
                                <a:close/>
                              </a:path>
                              <a:path w="3083560" h="127000">
                                <a:moveTo>
                                  <a:pt x="2554224" y="28955"/>
                                </a:moveTo>
                                <a:lnTo>
                                  <a:pt x="2465832" y="28955"/>
                                </a:lnTo>
                                <a:lnTo>
                                  <a:pt x="2510028" y="73151"/>
                                </a:lnTo>
                                <a:lnTo>
                                  <a:pt x="2554224" y="28955"/>
                                </a:lnTo>
                                <a:close/>
                              </a:path>
                              <a:path w="3083560" h="127000">
                                <a:moveTo>
                                  <a:pt x="2686812" y="44958"/>
                                </a:moveTo>
                                <a:lnTo>
                                  <a:pt x="2642616" y="89916"/>
                                </a:lnTo>
                                <a:lnTo>
                                  <a:pt x="2731008" y="89916"/>
                                </a:lnTo>
                                <a:lnTo>
                                  <a:pt x="2686812" y="44958"/>
                                </a:lnTo>
                                <a:close/>
                              </a:path>
                              <a:path w="3083560" h="127000">
                                <a:moveTo>
                                  <a:pt x="2731008" y="0"/>
                                </a:moveTo>
                                <a:lnTo>
                                  <a:pt x="2642616" y="0"/>
                                </a:lnTo>
                                <a:lnTo>
                                  <a:pt x="2686812" y="44958"/>
                                </a:lnTo>
                                <a:lnTo>
                                  <a:pt x="2731008" y="0"/>
                                </a:lnTo>
                                <a:close/>
                              </a:path>
                              <a:path w="3083560" h="127000">
                                <a:moveTo>
                                  <a:pt x="2862072" y="44196"/>
                                </a:moveTo>
                                <a:lnTo>
                                  <a:pt x="2817876" y="88392"/>
                                </a:lnTo>
                                <a:lnTo>
                                  <a:pt x="2906267" y="88392"/>
                                </a:lnTo>
                                <a:lnTo>
                                  <a:pt x="2862072" y="44196"/>
                                </a:lnTo>
                                <a:close/>
                              </a:path>
                              <a:path w="3083560" h="127000">
                                <a:moveTo>
                                  <a:pt x="2906267" y="0"/>
                                </a:moveTo>
                                <a:lnTo>
                                  <a:pt x="2817876" y="0"/>
                                </a:lnTo>
                                <a:lnTo>
                                  <a:pt x="2862072" y="44196"/>
                                </a:lnTo>
                                <a:lnTo>
                                  <a:pt x="2906267" y="0"/>
                                </a:lnTo>
                                <a:close/>
                              </a:path>
                              <a:path w="3083560" h="127000">
                                <a:moveTo>
                                  <a:pt x="3038855" y="64007"/>
                                </a:moveTo>
                                <a:lnTo>
                                  <a:pt x="2994660" y="108203"/>
                                </a:lnTo>
                                <a:lnTo>
                                  <a:pt x="3083052" y="108203"/>
                                </a:lnTo>
                                <a:lnTo>
                                  <a:pt x="3038855" y="64007"/>
                                </a:lnTo>
                                <a:close/>
                              </a:path>
                              <a:path w="3083560" h="127000">
                                <a:moveTo>
                                  <a:pt x="3083052" y="19811"/>
                                </a:moveTo>
                                <a:lnTo>
                                  <a:pt x="2994660" y="19811"/>
                                </a:lnTo>
                                <a:lnTo>
                                  <a:pt x="3038855" y="64007"/>
                                </a:lnTo>
                                <a:lnTo>
                                  <a:pt x="3083052" y="19811"/>
                                </a:lnTo>
                                <a:close/>
                              </a:path>
                            </a:pathLst>
                          </a:custGeom>
                          <a:solidFill>
                            <a:srgbClr val="70578F"/>
                          </a:solidFill>
                        </wps:spPr>
                        <wps:bodyPr wrap="square" lIns="0" tIns="0" rIns="0" bIns="0" rtlCol="0">
                          <a:prstTxWarp prst="textNoShape">
                            <a:avLst/>
                          </a:prstTxWarp>
                          <a:noAutofit/>
                        </wps:bodyPr>
                      </wps:wsp>
                      <wps:wsp>
                        <wps:cNvPr id="793" name="Graphic 793"/>
                        <wps:cNvSpPr/>
                        <wps:spPr>
                          <a:xfrm>
                            <a:off x="1092200" y="2293873"/>
                            <a:ext cx="3083560" cy="127000"/>
                          </a:xfrm>
                          <a:custGeom>
                            <a:avLst/>
                            <a:gdLst/>
                            <a:ahLst/>
                            <a:cxnLst/>
                            <a:rect l="l" t="t" r="r" b="b"/>
                            <a:pathLst>
                              <a:path w="3083560" h="127000">
                                <a:moveTo>
                                  <a:pt x="88392" y="126492"/>
                                </a:moveTo>
                                <a:lnTo>
                                  <a:pt x="0" y="38100"/>
                                </a:lnTo>
                              </a:path>
                              <a:path w="3083560" h="127000">
                                <a:moveTo>
                                  <a:pt x="0" y="126492"/>
                                </a:moveTo>
                                <a:lnTo>
                                  <a:pt x="88392" y="38100"/>
                                </a:lnTo>
                              </a:path>
                              <a:path w="3083560" h="127000">
                                <a:moveTo>
                                  <a:pt x="265175" y="124968"/>
                                </a:moveTo>
                                <a:lnTo>
                                  <a:pt x="176783" y="35051"/>
                                </a:lnTo>
                              </a:path>
                              <a:path w="3083560" h="127000">
                                <a:moveTo>
                                  <a:pt x="176783" y="124968"/>
                                </a:moveTo>
                                <a:lnTo>
                                  <a:pt x="265175" y="35051"/>
                                </a:lnTo>
                              </a:path>
                              <a:path w="3083560" h="127000">
                                <a:moveTo>
                                  <a:pt x="440436" y="124968"/>
                                </a:moveTo>
                                <a:lnTo>
                                  <a:pt x="352044" y="36575"/>
                                </a:lnTo>
                              </a:path>
                              <a:path w="3083560" h="127000">
                                <a:moveTo>
                                  <a:pt x="352044" y="124968"/>
                                </a:moveTo>
                                <a:lnTo>
                                  <a:pt x="440436" y="36575"/>
                                </a:lnTo>
                              </a:path>
                              <a:path w="3083560" h="127000">
                                <a:moveTo>
                                  <a:pt x="617219" y="120396"/>
                                </a:moveTo>
                                <a:lnTo>
                                  <a:pt x="528827" y="32003"/>
                                </a:lnTo>
                              </a:path>
                              <a:path w="3083560" h="127000">
                                <a:moveTo>
                                  <a:pt x="528827" y="120396"/>
                                </a:moveTo>
                                <a:lnTo>
                                  <a:pt x="617219" y="32003"/>
                                </a:lnTo>
                              </a:path>
                              <a:path w="3083560" h="127000">
                                <a:moveTo>
                                  <a:pt x="794004" y="123444"/>
                                </a:moveTo>
                                <a:lnTo>
                                  <a:pt x="704088" y="35051"/>
                                </a:lnTo>
                              </a:path>
                              <a:path w="3083560" h="127000">
                                <a:moveTo>
                                  <a:pt x="704088" y="123444"/>
                                </a:moveTo>
                                <a:lnTo>
                                  <a:pt x="794004" y="35051"/>
                                </a:lnTo>
                              </a:path>
                              <a:path w="3083560" h="127000">
                                <a:moveTo>
                                  <a:pt x="969263" y="123444"/>
                                </a:moveTo>
                                <a:lnTo>
                                  <a:pt x="880872" y="35051"/>
                                </a:lnTo>
                              </a:path>
                              <a:path w="3083560" h="127000">
                                <a:moveTo>
                                  <a:pt x="880872" y="123444"/>
                                </a:moveTo>
                                <a:lnTo>
                                  <a:pt x="969263" y="35051"/>
                                </a:lnTo>
                              </a:path>
                              <a:path w="3083560" h="127000">
                                <a:moveTo>
                                  <a:pt x="1146048" y="123444"/>
                                </a:moveTo>
                                <a:lnTo>
                                  <a:pt x="1056132" y="35051"/>
                                </a:lnTo>
                              </a:path>
                              <a:path w="3083560" h="127000">
                                <a:moveTo>
                                  <a:pt x="1056132" y="123444"/>
                                </a:moveTo>
                                <a:lnTo>
                                  <a:pt x="1146048" y="35051"/>
                                </a:lnTo>
                              </a:path>
                              <a:path w="3083560" h="127000">
                                <a:moveTo>
                                  <a:pt x="1321308" y="123444"/>
                                </a:moveTo>
                                <a:lnTo>
                                  <a:pt x="1232915" y="33527"/>
                                </a:lnTo>
                              </a:path>
                              <a:path w="3083560" h="127000">
                                <a:moveTo>
                                  <a:pt x="1232915" y="123444"/>
                                </a:moveTo>
                                <a:lnTo>
                                  <a:pt x="1321308" y="33527"/>
                                </a:lnTo>
                              </a:path>
                              <a:path w="3083560" h="127000">
                                <a:moveTo>
                                  <a:pt x="1498091" y="118872"/>
                                </a:moveTo>
                                <a:lnTo>
                                  <a:pt x="1409700" y="28955"/>
                                </a:lnTo>
                              </a:path>
                              <a:path w="3083560" h="127000">
                                <a:moveTo>
                                  <a:pt x="1409700" y="118872"/>
                                </a:moveTo>
                                <a:lnTo>
                                  <a:pt x="1498091" y="28955"/>
                                </a:lnTo>
                              </a:path>
                              <a:path w="3083560" h="127000">
                                <a:moveTo>
                                  <a:pt x="1673352" y="117348"/>
                                </a:moveTo>
                                <a:lnTo>
                                  <a:pt x="1584960" y="28955"/>
                                </a:lnTo>
                              </a:path>
                              <a:path w="3083560" h="127000">
                                <a:moveTo>
                                  <a:pt x="1584960" y="117348"/>
                                </a:moveTo>
                                <a:lnTo>
                                  <a:pt x="1673352" y="28955"/>
                                </a:lnTo>
                              </a:path>
                              <a:path w="3083560" h="127000">
                                <a:moveTo>
                                  <a:pt x="1850136" y="115824"/>
                                </a:moveTo>
                                <a:lnTo>
                                  <a:pt x="1761744" y="27431"/>
                                </a:lnTo>
                              </a:path>
                              <a:path w="3083560" h="127000">
                                <a:moveTo>
                                  <a:pt x="1761744" y="115824"/>
                                </a:moveTo>
                                <a:lnTo>
                                  <a:pt x="1850136" y="27431"/>
                                </a:lnTo>
                              </a:path>
                              <a:path w="3083560" h="127000">
                                <a:moveTo>
                                  <a:pt x="2026920" y="117348"/>
                                </a:moveTo>
                                <a:lnTo>
                                  <a:pt x="1937003" y="28955"/>
                                </a:lnTo>
                              </a:path>
                              <a:path w="3083560" h="127000">
                                <a:moveTo>
                                  <a:pt x="1937003" y="117348"/>
                                </a:moveTo>
                                <a:lnTo>
                                  <a:pt x="2026920" y="28955"/>
                                </a:lnTo>
                              </a:path>
                              <a:path w="3083560" h="127000">
                                <a:moveTo>
                                  <a:pt x="2202179" y="120396"/>
                                </a:moveTo>
                                <a:lnTo>
                                  <a:pt x="2113788" y="30479"/>
                                </a:lnTo>
                              </a:path>
                              <a:path w="3083560" h="127000">
                                <a:moveTo>
                                  <a:pt x="2113788" y="120396"/>
                                </a:moveTo>
                                <a:lnTo>
                                  <a:pt x="2202179" y="30479"/>
                                </a:lnTo>
                              </a:path>
                              <a:path w="3083560" h="127000">
                                <a:moveTo>
                                  <a:pt x="2378964" y="117348"/>
                                </a:moveTo>
                                <a:lnTo>
                                  <a:pt x="2289048" y="27431"/>
                                </a:lnTo>
                              </a:path>
                              <a:path w="3083560" h="127000">
                                <a:moveTo>
                                  <a:pt x="2289048" y="117348"/>
                                </a:moveTo>
                                <a:lnTo>
                                  <a:pt x="2378964" y="27431"/>
                                </a:lnTo>
                              </a:path>
                              <a:path w="3083560" h="127000">
                                <a:moveTo>
                                  <a:pt x="2554224" y="117348"/>
                                </a:moveTo>
                                <a:lnTo>
                                  <a:pt x="2465832" y="28955"/>
                                </a:lnTo>
                              </a:path>
                              <a:path w="3083560" h="127000">
                                <a:moveTo>
                                  <a:pt x="2465832" y="117348"/>
                                </a:moveTo>
                                <a:lnTo>
                                  <a:pt x="2554224" y="28955"/>
                                </a:lnTo>
                              </a:path>
                              <a:path w="3083560" h="127000">
                                <a:moveTo>
                                  <a:pt x="2731008" y="89916"/>
                                </a:moveTo>
                                <a:lnTo>
                                  <a:pt x="2642616" y="0"/>
                                </a:lnTo>
                              </a:path>
                              <a:path w="3083560" h="127000">
                                <a:moveTo>
                                  <a:pt x="2642616" y="89916"/>
                                </a:moveTo>
                                <a:lnTo>
                                  <a:pt x="2731008" y="0"/>
                                </a:lnTo>
                              </a:path>
                              <a:path w="3083560" h="127000">
                                <a:moveTo>
                                  <a:pt x="2906267" y="88392"/>
                                </a:moveTo>
                                <a:lnTo>
                                  <a:pt x="2817876" y="0"/>
                                </a:lnTo>
                              </a:path>
                              <a:path w="3083560" h="127000">
                                <a:moveTo>
                                  <a:pt x="2817876" y="88392"/>
                                </a:moveTo>
                                <a:lnTo>
                                  <a:pt x="2906267" y="0"/>
                                </a:lnTo>
                              </a:path>
                              <a:path w="3083560" h="127000">
                                <a:moveTo>
                                  <a:pt x="3083052" y="108203"/>
                                </a:moveTo>
                                <a:lnTo>
                                  <a:pt x="2994660" y="19811"/>
                                </a:lnTo>
                              </a:path>
                              <a:path w="3083560" h="127000">
                                <a:moveTo>
                                  <a:pt x="2994660" y="108203"/>
                                </a:moveTo>
                                <a:lnTo>
                                  <a:pt x="3083052" y="19811"/>
                                </a:lnTo>
                              </a:path>
                            </a:pathLst>
                          </a:custGeom>
                          <a:ln w="9144">
                            <a:solidFill>
                              <a:srgbClr val="6D538D"/>
                            </a:solidFill>
                            <a:prstDash val="solid"/>
                          </a:ln>
                        </wps:spPr>
                        <wps:bodyPr wrap="square" lIns="0" tIns="0" rIns="0" bIns="0" rtlCol="0">
                          <a:prstTxWarp prst="textNoShape">
                            <a:avLst/>
                          </a:prstTxWarp>
                          <a:noAutofit/>
                        </wps:bodyPr>
                      </wps:wsp>
                      <wps:wsp>
                        <wps:cNvPr id="794" name="Graphic 794"/>
                        <wps:cNvSpPr/>
                        <wps:spPr>
                          <a:xfrm>
                            <a:off x="1136396" y="2338070"/>
                            <a:ext cx="2994660" cy="38100"/>
                          </a:xfrm>
                          <a:custGeom>
                            <a:avLst/>
                            <a:gdLst/>
                            <a:ahLst/>
                            <a:cxnLst/>
                            <a:rect l="l" t="t" r="r" b="b"/>
                            <a:pathLst>
                              <a:path w="2994660" h="38100">
                                <a:moveTo>
                                  <a:pt x="0" y="38100"/>
                                </a:moveTo>
                                <a:lnTo>
                                  <a:pt x="176784" y="35051"/>
                                </a:lnTo>
                                <a:lnTo>
                                  <a:pt x="352044" y="36575"/>
                                </a:lnTo>
                                <a:lnTo>
                                  <a:pt x="528828" y="36575"/>
                                </a:lnTo>
                                <a:lnTo>
                                  <a:pt x="704088" y="36575"/>
                                </a:lnTo>
                                <a:lnTo>
                                  <a:pt x="880872" y="36575"/>
                                </a:lnTo>
                                <a:lnTo>
                                  <a:pt x="1057656" y="35051"/>
                                </a:lnTo>
                                <a:lnTo>
                                  <a:pt x="1232916" y="33527"/>
                                </a:lnTo>
                                <a:lnTo>
                                  <a:pt x="1409700" y="27431"/>
                                </a:lnTo>
                                <a:lnTo>
                                  <a:pt x="1584959" y="28955"/>
                                </a:lnTo>
                                <a:lnTo>
                                  <a:pt x="1761744" y="24383"/>
                                </a:lnTo>
                                <a:lnTo>
                                  <a:pt x="1937004" y="30479"/>
                                </a:lnTo>
                                <a:lnTo>
                                  <a:pt x="2113788" y="30479"/>
                                </a:lnTo>
                                <a:lnTo>
                                  <a:pt x="2290572" y="30479"/>
                                </a:lnTo>
                                <a:lnTo>
                                  <a:pt x="2465832" y="30479"/>
                                </a:lnTo>
                                <a:lnTo>
                                  <a:pt x="2642616" y="0"/>
                                </a:lnTo>
                                <a:lnTo>
                                  <a:pt x="2817876" y="4572"/>
                                </a:lnTo>
                                <a:lnTo>
                                  <a:pt x="2994660" y="30479"/>
                                </a:lnTo>
                              </a:path>
                            </a:pathLst>
                          </a:custGeom>
                          <a:ln w="27432">
                            <a:solidFill>
                              <a:srgbClr val="3C95AD"/>
                            </a:solidFill>
                            <a:prstDash val="solid"/>
                          </a:ln>
                        </wps:spPr>
                        <wps:bodyPr wrap="square" lIns="0" tIns="0" rIns="0" bIns="0" rtlCol="0">
                          <a:prstTxWarp prst="textNoShape">
                            <a:avLst/>
                          </a:prstTxWarp>
                          <a:noAutofit/>
                        </wps:bodyPr>
                      </wps:wsp>
                      <wps:wsp>
                        <wps:cNvPr id="795" name="Graphic 795"/>
                        <wps:cNvSpPr/>
                        <wps:spPr>
                          <a:xfrm>
                            <a:off x="1092200" y="2293873"/>
                            <a:ext cx="3039110" cy="128270"/>
                          </a:xfrm>
                          <a:custGeom>
                            <a:avLst/>
                            <a:gdLst/>
                            <a:ahLst/>
                            <a:cxnLst/>
                            <a:rect l="l" t="t" r="r" b="b"/>
                            <a:pathLst>
                              <a:path w="3039110" h="128270">
                                <a:moveTo>
                                  <a:pt x="44195" y="83058"/>
                                </a:moveTo>
                                <a:lnTo>
                                  <a:pt x="0" y="128016"/>
                                </a:lnTo>
                                <a:lnTo>
                                  <a:pt x="44195" y="128016"/>
                                </a:lnTo>
                                <a:lnTo>
                                  <a:pt x="44195" y="83058"/>
                                </a:lnTo>
                                <a:close/>
                              </a:path>
                              <a:path w="3039110" h="128270">
                                <a:moveTo>
                                  <a:pt x="44195" y="38100"/>
                                </a:moveTo>
                                <a:lnTo>
                                  <a:pt x="0" y="38100"/>
                                </a:lnTo>
                                <a:lnTo>
                                  <a:pt x="44196" y="83058"/>
                                </a:lnTo>
                                <a:lnTo>
                                  <a:pt x="44195" y="38100"/>
                                </a:lnTo>
                                <a:close/>
                              </a:path>
                              <a:path w="3039110" h="128270">
                                <a:moveTo>
                                  <a:pt x="220980" y="80010"/>
                                </a:moveTo>
                                <a:lnTo>
                                  <a:pt x="176783" y="124968"/>
                                </a:lnTo>
                                <a:lnTo>
                                  <a:pt x="220980" y="124968"/>
                                </a:lnTo>
                                <a:lnTo>
                                  <a:pt x="220980" y="80010"/>
                                </a:lnTo>
                                <a:close/>
                              </a:path>
                              <a:path w="3039110" h="128270">
                                <a:moveTo>
                                  <a:pt x="220980" y="35051"/>
                                </a:moveTo>
                                <a:lnTo>
                                  <a:pt x="176783" y="35051"/>
                                </a:lnTo>
                                <a:lnTo>
                                  <a:pt x="220980" y="80010"/>
                                </a:lnTo>
                                <a:lnTo>
                                  <a:pt x="220980" y="35051"/>
                                </a:lnTo>
                                <a:close/>
                              </a:path>
                              <a:path w="3039110" h="128270">
                                <a:moveTo>
                                  <a:pt x="396239" y="82296"/>
                                </a:moveTo>
                                <a:lnTo>
                                  <a:pt x="352044" y="126492"/>
                                </a:lnTo>
                                <a:lnTo>
                                  <a:pt x="396239" y="126492"/>
                                </a:lnTo>
                                <a:lnTo>
                                  <a:pt x="396239" y="82296"/>
                                </a:lnTo>
                                <a:close/>
                              </a:path>
                              <a:path w="3039110" h="128270">
                                <a:moveTo>
                                  <a:pt x="396239" y="38100"/>
                                </a:moveTo>
                                <a:lnTo>
                                  <a:pt x="352044" y="38100"/>
                                </a:lnTo>
                                <a:lnTo>
                                  <a:pt x="396239" y="82296"/>
                                </a:lnTo>
                                <a:lnTo>
                                  <a:pt x="396239" y="38100"/>
                                </a:lnTo>
                                <a:close/>
                              </a:path>
                              <a:path w="3039110" h="128270">
                                <a:moveTo>
                                  <a:pt x="573024" y="82296"/>
                                </a:moveTo>
                                <a:lnTo>
                                  <a:pt x="528827" y="126492"/>
                                </a:lnTo>
                                <a:lnTo>
                                  <a:pt x="573024" y="126492"/>
                                </a:lnTo>
                                <a:lnTo>
                                  <a:pt x="573024" y="82296"/>
                                </a:lnTo>
                                <a:close/>
                              </a:path>
                              <a:path w="3039110" h="128270">
                                <a:moveTo>
                                  <a:pt x="573024" y="38100"/>
                                </a:moveTo>
                                <a:lnTo>
                                  <a:pt x="528827" y="38100"/>
                                </a:lnTo>
                                <a:lnTo>
                                  <a:pt x="573024" y="82296"/>
                                </a:lnTo>
                                <a:lnTo>
                                  <a:pt x="573024" y="38100"/>
                                </a:lnTo>
                                <a:close/>
                              </a:path>
                              <a:path w="3039110" h="128270">
                                <a:moveTo>
                                  <a:pt x="748283" y="83045"/>
                                </a:moveTo>
                                <a:lnTo>
                                  <a:pt x="704088" y="126492"/>
                                </a:lnTo>
                                <a:lnTo>
                                  <a:pt x="748283" y="126492"/>
                                </a:lnTo>
                                <a:lnTo>
                                  <a:pt x="748283" y="83045"/>
                                </a:lnTo>
                                <a:close/>
                              </a:path>
                              <a:path w="3039110" h="128270">
                                <a:moveTo>
                                  <a:pt x="748283" y="81546"/>
                                </a:moveTo>
                                <a:lnTo>
                                  <a:pt x="748283" y="83045"/>
                                </a:lnTo>
                                <a:lnTo>
                                  <a:pt x="749046" y="82296"/>
                                </a:lnTo>
                                <a:lnTo>
                                  <a:pt x="748283" y="81546"/>
                                </a:lnTo>
                                <a:close/>
                              </a:path>
                              <a:path w="3039110" h="128270">
                                <a:moveTo>
                                  <a:pt x="748283" y="38100"/>
                                </a:moveTo>
                                <a:lnTo>
                                  <a:pt x="704088" y="38100"/>
                                </a:lnTo>
                                <a:lnTo>
                                  <a:pt x="748283" y="81546"/>
                                </a:lnTo>
                                <a:lnTo>
                                  <a:pt x="748283" y="38100"/>
                                </a:lnTo>
                                <a:close/>
                              </a:path>
                              <a:path w="3039110" h="128270">
                                <a:moveTo>
                                  <a:pt x="925068" y="82296"/>
                                </a:moveTo>
                                <a:lnTo>
                                  <a:pt x="880872" y="126492"/>
                                </a:lnTo>
                                <a:lnTo>
                                  <a:pt x="925068" y="126492"/>
                                </a:lnTo>
                                <a:lnTo>
                                  <a:pt x="925068" y="82296"/>
                                </a:lnTo>
                                <a:close/>
                              </a:path>
                              <a:path w="3039110" h="128270">
                                <a:moveTo>
                                  <a:pt x="925068" y="38100"/>
                                </a:moveTo>
                                <a:lnTo>
                                  <a:pt x="880872" y="38100"/>
                                </a:lnTo>
                                <a:lnTo>
                                  <a:pt x="925068" y="82296"/>
                                </a:lnTo>
                                <a:lnTo>
                                  <a:pt x="925068" y="38100"/>
                                </a:lnTo>
                                <a:close/>
                              </a:path>
                              <a:path w="3039110" h="128270">
                                <a:moveTo>
                                  <a:pt x="1101089" y="80772"/>
                                </a:moveTo>
                                <a:lnTo>
                                  <a:pt x="1056132" y="124968"/>
                                </a:lnTo>
                                <a:lnTo>
                                  <a:pt x="1101852" y="124968"/>
                                </a:lnTo>
                                <a:lnTo>
                                  <a:pt x="1101852" y="81521"/>
                                </a:lnTo>
                                <a:lnTo>
                                  <a:pt x="1101089" y="80772"/>
                                </a:lnTo>
                                <a:close/>
                              </a:path>
                              <a:path w="3039110" h="128270">
                                <a:moveTo>
                                  <a:pt x="1101852" y="36575"/>
                                </a:moveTo>
                                <a:lnTo>
                                  <a:pt x="1056132" y="36575"/>
                                </a:lnTo>
                                <a:lnTo>
                                  <a:pt x="1101089" y="80772"/>
                                </a:lnTo>
                                <a:lnTo>
                                  <a:pt x="1101852" y="80022"/>
                                </a:lnTo>
                                <a:lnTo>
                                  <a:pt x="1101852" y="36575"/>
                                </a:lnTo>
                                <a:close/>
                              </a:path>
                              <a:path w="3039110" h="128270">
                                <a:moveTo>
                                  <a:pt x="1277112" y="79248"/>
                                </a:moveTo>
                                <a:lnTo>
                                  <a:pt x="1232915" y="123444"/>
                                </a:lnTo>
                                <a:lnTo>
                                  <a:pt x="1277112" y="123444"/>
                                </a:lnTo>
                                <a:lnTo>
                                  <a:pt x="1277112" y="79248"/>
                                </a:lnTo>
                                <a:close/>
                              </a:path>
                              <a:path w="3039110" h="128270">
                                <a:moveTo>
                                  <a:pt x="1277112" y="35051"/>
                                </a:moveTo>
                                <a:lnTo>
                                  <a:pt x="1232915" y="35051"/>
                                </a:lnTo>
                                <a:lnTo>
                                  <a:pt x="1277112" y="79248"/>
                                </a:lnTo>
                                <a:lnTo>
                                  <a:pt x="1277112" y="35051"/>
                                </a:lnTo>
                                <a:close/>
                              </a:path>
                              <a:path w="3039110" h="128270">
                                <a:moveTo>
                                  <a:pt x="1453896" y="73151"/>
                                </a:moveTo>
                                <a:lnTo>
                                  <a:pt x="1409700" y="117348"/>
                                </a:lnTo>
                                <a:lnTo>
                                  <a:pt x="1453896" y="117348"/>
                                </a:lnTo>
                                <a:lnTo>
                                  <a:pt x="1453896" y="73151"/>
                                </a:lnTo>
                                <a:close/>
                              </a:path>
                              <a:path w="3039110" h="128270">
                                <a:moveTo>
                                  <a:pt x="1453896" y="28955"/>
                                </a:moveTo>
                                <a:lnTo>
                                  <a:pt x="1409700" y="28955"/>
                                </a:lnTo>
                                <a:lnTo>
                                  <a:pt x="1453896" y="73151"/>
                                </a:lnTo>
                                <a:lnTo>
                                  <a:pt x="1453896" y="28955"/>
                                </a:lnTo>
                                <a:close/>
                              </a:path>
                              <a:path w="3039110" h="128270">
                                <a:moveTo>
                                  <a:pt x="1629155" y="74675"/>
                                </a:moveTo>
                                <a:lnTo>
                                  <a:pt x="1584960" y="118872"/>
                                </a:lnTo>
                                <a:lnTo>
                                  <a:pt x="1629155" y="118872"/>
                                </a:lnTo>
                                <a:lnTo>
                                  <a:pt x="1629155" y="74675"/>
                                </a:lnTo>
                                <a:close/>
                              </a:path>
                              <a:path w="3039110" h="128270">
                                <a:moveTo>
                                  <a:pt x="1629155" y="30479"/>
                                </a:moveTo>
                                <a:lnTo>
                                  <a:pt x="1584960" y="30479"/>
                                </a:lnTo>
                                <a:lnTo>
                                  <a:pt x="1629155" y="74675"/>
                                </a:lnTo>
                                <a:lnTo>
                                  <a:pt x="1629155" y="30479"/>
                                </a:lnTo>
                                <a:close/>
                              </a:path>
                              <a:path w="3039110" h="128270">
                                <a:moveTo>
                                  <a:pt x="1805939" y="69342"/>
                                </a:moveTo>
                                <a:lnTo>
                                  <a:pt x="1761744" y="114300"/>
                                </a:lnTo>
                                <a:lnTo>
                                  <a:pt x="1805939" y="114300"/>
                                </a:lnTo>
                                <a:lnTo>
                                  <a:pt x="1805939" y="69342"/>
                                </a:lnTo>
                                <a:close/>
                              </a:path>
                              <a:path w="3039110" h="128270">
                                <a:moveTo>
                                  <a:pt x="1805939" y="24383"/>
                                </a:moveTo>
                                <a:lnTo>
                                  <a:pt x="1761744" y="24383"/>
                                </a:lnTo>
                                <a:lnTo>
                                  <a:pt x="1805940" y="69342"/>
                                </a:lnTo>
                                <a:lnTo>
                                  <a:pt x="1805939" y="24383"/>
                                </a:lnTo>
                                <a:close/>
                              </a:path>
                              <a:path w="3039110" h="128270">
                                <a:moveTo>
                                  <a:pt x="1981200" y="76200"/>
                                </a:moveTo>
                                <a:lnTo>
                                  <a:pt x="1937003" y="120396"/>
                                </a:lnTo>
                                <a:lnTo>
                                  <a:pt x="1981200" y="120396"/>
                                </a:lnTo>
                                <a:lnTo>
                                  <a:pt x="1981200" y="76200"/>
                                </a:lnTo>
                                <a:close/>
                              </a:path>
                              <a:path w="3039110" h="128270">
                                <a:moveTo>
                                  <a:pt x="1981200" y="74675"/>
                                </a:moveTo>
                                <a:lnTo>
                                  <a:pt x="1981200" y="76200"/>
                                </a:lnTo>
                                <a:lnTo>
                                  <a:pt x="1981962" y="75437"/>
                                </a:lnTo>
                                <a:lnTo>
                                  <a:pt x="1981200" y="74675"/>
                                </a:lnTo>
                                <a:close/>
                              </a:path>
                              <a:path w="3039110" h="128270">
                                <a:moveTo>
                                  <a:pt x="1981200" y="30479"/>
                                </a:moveTo>
                                <a:lnTo>
                                  <a:pt x="1937003" y="30479"/>
                                </a:lnTo>
                                <a:lnTo>
                                  <a:pt x="1981200" y="74675"/>
                                </a:lnTo>
                                <a:lnTo>
                                  <a:pt x="1981200" y="30479"/>
                                </a:lnTo>
                                <a:close/>
                              </a:path>
                              <a:path w="3039110" h="128270">
                                <a:moveTo>
                                  <a:pt x="2157984" y="76200"/>
                                </a:moveTo>
                                <a:lnTo>
                                  <a:pt x="2113788" y="120396"/>
                                </a:lnTo>
                                <a:lnTo>
                                  <a:pt x="2157984" y="120396"/>
                                </a:lnTo>
                                <a:lnTo>
                                  <a:pt x="2157984" y="76200"/>
                                </a:lnTo>
                                <a:close/>
                              </a:path>
                              <a:path w="3039110" h="128270">
                                <a:moveTo>
                                  <a:pt x="2157984" y="32003"/>
                                </a:moveTo>
                                <a:lnTo>
                                  <a:pt x="2113788" y="32003"/>
                                </a:lnTo>
                                <a:lnTo>
                                  <a:pt x="2157984" y="76200"/>
                                </a:lnTo>
                                <a:lnTo>
                                  <a:pt x="2157984" y="32003"/>
                                </a:lnTo>
                                <a:close/>
                              </a:path>
                              <a:path w="3039110" h="128270">
                                <a:moveTo>
                                  <a:pt x="2334005" y="75437"/>
                                </a:moveTo>
                                <a:lnTo>
                                  <a:pt x="2289048" y="120396"/>
                                </a:lnTo>
                                <a:lnTo>
                                  <a:pt x="2334767" y="120396"/>
                                </a:lnTo>
                                <a:lnTo>
                                  <a:pt x="2334767" y="76200"/>
                                </a:lnTo>
                                <a:lnTo>
                                  <a:pt x="2334005" y="75437"/>
                                </a:lnTo>
                                <a:close/>
                              </a:path>
                              <a:path w="3039110" h="128270">
                                <a:moveTo>
                                  <a:pt x="2334767" y="30479"/>
                                </a:moveTo>
                                <a:lnTo>
                                  <a:pt x="2289048" y="30479"/>
                                </a:lnTo>
                                <a:lnTo>
                                  <a:pt x="2334005" y="75437"/>
                                </a:lnTo>
                                <a:lnTo>
                                  <a:pt x="2334767" y="74675"/>
                                </a:lnTo>
                                <a:lnTo>
                                  <a:pt x="2334767" y="30479"/>
                                </a:lnTo>
                                <a:close/>
                              </a:path>
                              <a:path w="3039110" h="128270">
                                <a:moveTo>
                                  <a:pt x="2510028" y="76200"/>
                                </a:moveTo>
                                <a:lnTo>
                                  <a:pt x="2465832" y="120396"/>
                                </a:lnTo>
                                <a:lnTo>
                                  <a:pt x="2510028" y="120396"/>
                                </a:lnTo>
                                <a:lnTo>
                                  <a:pt x="2510028" y="76200"/>
                                </a:lnTo>
                                <a:close/>
                              </a:path>
                              <a:path w="3039110" h="128270">
                                <a:moveTo>
                                  <a:pt x="2510028" y="32003"/>
                                </a:moveTo>
                                <a:lnTo>
                                  <a:pt x="2465832" y="32003"/>
                                </a:lnTo>
                                <a:lnTo>
                                  <a:pt x="2510028" y="76200"/>
                                </a:lnTo>
                                <a:lnTo>
                                  <a:pt x="2510028" y="32003"/>
                                </a:lnTo>
                                <a:close/>
                              </a:path>
                              <a:path w="3039110" h="128270">
                                <a:moveTo>
                                  <a:pt x="2686812" y="44958"/>
                                </a:moveTo>
                                <a:lnTo>
                                  <a:pt x="2642616" y="89916"/>
                                </a:lnTo>
                                <a:lnTo>
                                  <a:pt x="2686812" y="89916"/>
                                </a:lnTo>
                                <a:lnTo>
                                  <a:pt x="2686812" y="44958"/>
                                </a:lnTo>
                                <a:close/>
                              </a:path>
                              <a:path w="3039110" h="128270">
                                <a:moveTo>
                                  <a:pt x="2686812" y="0"/>
                                </a:moveTo>
                                <a:lnTo>
                                  <a:pt x="2642616" y="0"/>
                                </a:lnTo>
                                <a:lnTo>
                                  <a:pt x="2686812" y="44958"/>
                                </a:lnTo>
                                <a:lnTo>
                                  <a:pt x="2686812" y="0"/>
                                </a:lnTo>
                                <a:close/>
                              </a:path>
                              <a:path w="3039110" h="128270">
                                <a:moveTo>
                                  <a:pt x="2862072" y="49529"/>
                                </a:moveTo>
                                <a:lnTo>
                                  <a:pt x="2817876" y="94487"/>
                                </a:lnTo>
                                <a:lnTo>
                                  <a:pt x="2862072" y="94487"/>
                                </a:lnTo>
                                <a:lnTo>
                                  <a:pt x="2862072" y="49529"/>
                                </a:lnTo>
                                <a:close/>
                              </a:path>
                              <a:path w="3039110" h="128270">
                                <a:moveTo>
                                  <a:pt x="2862072" y="4572"/>
                                </a:moveTo>
                                <a:lnTo>
                                  <a:pt x="2817876" y="4572"/>
                                </a:lnTo>
                                <a:lnTo>
                                  <a:pt x="2862072" y="49529"/>
                                </a:lnTo>
                                <a:lnTo>
                                  <a:pt x="2862072" y="4572"/>
                                </a:lnTo>
                                <a:close/>
                              </a:path>
                              <a:path w="3039110" h="128270">
                                <a:moveTo>
                                  <a:pt x="3038855" y="76200"/>
                                </a:moveTo>
                                <a:lnTo>
                                  <a:pt x="2994660" y="120396"/>
                                </a:lnTo>
                                <a:lnTo>
                                  <a:pt x="3038855" y="120396"/>
                                </a:lnTo>
                                <a:lnTo>
                                  <a:pt x="3038855" y="76200"/>
                                </a:lnTo>
                                <a:close/>
                              </a:path>
                              <a:path w="3039110" h="128270">
                                <a:moveTo>
                                  <a:pt x="3038855" y="32003"/>
                                </a:moveTo>
                                <a:lnTo>
                                  <a:pt x="2994660" y="32003"/>
                                </a:lnTo>
                                <a:lnTo>
                                  <a:pt x="3038855" y="76200"/>
                                </a:lnTo>
                                <a:lnTo>
                                  <a:pt x="3038855" y="32003"/>
                                </a:lnTo>
                                <a:close/>
                              </a:path>
                            </a:pathLst>
                          </a:custGeom>
                          <a:solidFill>
                            <a:srgbClr val="4197AE"/>
                          </a:solidFill>
                        </wps:spPr>
                        <wps:bodyPr wrap="square" lIns="0" tIns="0" rIns="0" bIns="0" rtlCol="0">
                          <a:prstTxWarp prst="textNoShape">
                            <a:avLst/>
                          </a:prstTxWarp>
                          <a:noAutofit/>
                        </wps:bodyPr>
                      </wps:wsp>
                      <wps:wsp>
                        <wps:cNvPr id="796" name="Graphic 796"/>
                        <wps:cNvSpPr/>
                        <wps:spPr>
                          <a:xfrm>
                            <a:off x="1092200" y="2293873"/>
                            <a:ext cx="3083560" cy="128270"/>
                          </a:xfrm>
                          <a:custGeom>
                            <a:avLst/>
                            <a:gdLst/>
                            <a:ahLst/>
                            <a:cxnLst/>
                            <a:rect l="l" t="t" r="r" b="b"/>
                            <a:pathLst>
                              <a:path w="3083560" h="128270">
                                <a:moveTo>
                                  <a:pt x="88392" y="128016"/>
                                </a:moveTo>
                                <a:lnTo>
                                  <a:pt x="0" y="38100"/>
                                </a:lnTo>
                              </a:path>
                              <a:path w="3083560" h="128270">
                                <a:moveTo>
                                  <a:pt x="44195" y="38100"/>
                                </a:moveTo>
                                <a:lnTo>
                                  <a:pt x="44195" y="128016"/>
                                </a:lnTo>
                              </a:path>
                              <a:path w="3083560" h="128270">
                                <a:moveTo>
                                  <a:pt x="0" y="128016"/>
                                </a:moveTo>
                                <a:lnTo>
                                  <a:pt x="88392" y="38100"/>
                                </a:lnTo>
                              </a:path>
                              <a:path w="3083560" h="128270">
                                <a:moveTo>
                                  <a:pt x="265175" y="124968"/>
                                </a:moveTo>
                                <a:lnTo>
                                  <a:pt x="176783" y="35051"/>
                                </a:lnTo>
                              </a:path>
                              <a:path w="3083560" h="128270">
                                <a:moveTo>
                                  <a:pt x="220980" y="35051"/>
                                </a:moveTo>
                                <a:lnTo>
                                  <a:pt x="220980" y="124968"/>
                                </a:lnTo>
                              </a:path>
                              <a:path w="3083560" h="128270">
                                <a:moveTo>
                                  <a:pt x="176783" y="124968"/>
                                </a:moveTo>
                                <a:lnTo>
                                  <a:pt x="265175" y="35051"/>
                                </a:lnTo>
                              </a:path>
                              <a:path w="3083560" h="128270">
                                <a:moveTo>
                                  <a:pt x="440436" y="126492"/>
                                </a:moveTo>
                                <a:lnTo>
                                  <a:pt x="352044" y="38100"/>
                                </a:lnTo>
                              </a:path>
                              <a:path w="3083560" h="128270">
                                <a:moveTo>
                                  <a:pt x="396239" y="38100"/>
                                </a:moveTo>
                                <a:lnTo>
                                  <a:pt x="396239" y="126492"/>
                                </a:lnTo>
                              </a:path>
                              <a:path w="3083560" h="128270">
                                <a:moveTo>
                                  <a:pt x="352044" y="126492"/>
                                </a:moveTo>
                                <a:lnTo>
                                  <a:pt x="440436" y="38100"/>
                                </a:lnTo>
                              </a:path>
                              <a:path w="3083560" h="128270">
                                <a:moveTo>
                                  <a:pt x="617219" y="126492"/>
                                </a:moveTo>
                                <a:lnTo>
                                  <a:pt x="528827" y="38100"/>
                                </a:lnTo>
                              </a:path>
                              <a:path w="3083560" h="128270">
                                <a:moveTo>
                                  <a:pt x="573024" y="38100"/>
                                </a:moveTo>
                                <a:lnTo>
                                  <a:pt x="573024" y="126492"/>
                                </a:lnTo>
                              </a:path>
                              <a:path w="3083560" h="128270">
                                <a:moveTo>
                                  <a:pt x="528827" y="126492"/>
                                </a:moveTo>
                                <a:lnTo>
                                  <a:pt x="617219" y="38100"/>
                                </a:lnTo>
                              </a:path>
                              <a:path w="3083560" h="128270">
                                <a:moveTo>
                                  <a:pt x="794004" y="126492"/>
                                </a:moveTo>
                                <a:lnTo>
                                  <a:pt x="704088" y="38100"/>
                                </a:lnTo>
                              </a:path>
                              <a:path w="3083560" h="128270">
                                <a:moveTo>
                                  <a:pt x="748283" y="38100"/>
                                </a:moveTo>
                                <a:lnTo>
                                  <a:pt x="748283" y="126492"/>
                                </a:lnTo>
                              </a:path>
                              <a:path w="3083560" h="128270">
                                <a:moveTo>
                                  <a:pt x="704088" y="126492"/>
                                </a:moveTo>
                                <a:lnTo>
                                  <a:pt x="794004" y="38100"/>
                                </a:lnTo>
                              </a:path>
                              <a:path w="3083560" h="128270">
                                <a:moveTo>
                                  <a:pt x="969263" y="126492"/>
                                </a:moveTo>
                                <a:lnTo>
                                  <a:pt x="880872" y="38100"/>
                                </a:lnTo>
                              </a:path>
                              <a:path w="3083560" h="128270">
                                <a:moveTo>
                                  <a:pt x="925068" y="38100"/>
                                </a:moveTo>
                                <a:lnTo>
                                  <a:pt x="925068" y="126492"/>
                                </a:lnTo>
                              </a:path>
                              <a:path w="3083560" h="128270">
                                <a:moveTo>
                                  <a:pt x="880872" y="126492"/>
                                </a:moveTo>
                                <a:lnTo>
                                  <a:pt x="969263" y="38100"/>
                                </a:lnTo>
                              </a:path>
                              <a:path w="3083560" h="128270">
                                <a:moveTo>
                                  <a:pt x="1146048" y="124968"/>
                                </a:moveTo>
                                <a:lnTo>
                                  <a:pt x="1056132" y="36575"/>
                                </a:lnTo>
                              </a:path>
                              <a:path w="3083560" h="128270">
                                <a:moveTo>
                                  <a:pt x="1101852" y="36575"/>
                                </a:moveTo>
                                <a:lnTo>
                                  <a:pt x="1101852" y="124968"/>
                                </a:lnTo>
                              </a:path>
                              <a:path w="3083560" h="128270">
                                <a:moveTo>
                                  <a:pt x="1056132" y="124968"/>
                                </a:moveTo>
                                <a:lnTo>
                                  <a:pt x="1146048" y="36575"/>
                                </a:lnTo>
                              </a:path>
                              <a:path w="3083560" h="128270">
                                <a:moveTo>
                                  <a:pt x="1321308" y="123444"/>
                                </a:moveTo>
                                <a:lnTo>
                                  <a:pt x="1232915" y="35051"/>
                                </a:lnTo>
                              </a:path>
                              <a:path w="3083560" h="128270">
                                <a:moveTo>
                                  <a:pt x="1277112" y="35051"/>
                                </a:moveTo>
                                <a:lnTo>
                                  <a:pt x="1277112" y="123444"/>
                                </a:lnTo>
                              </a:path>
                              <a:path w="3083560" h="128270">
                                <a:moveTo>
                                  <a:pt x="1232915" y="123444"/>
                                </a:moveTo>
                                <a:lnTo>
                                  <a:pt x="1321308" y="35051"/>
                                </a:lnTo>
                              </a:path>
                              <a:path w="3083560" h="128270">
                                <a:moveTo>
                                  <a:pt x="1498091" y="117348"/>
                                </a:moveTo>
                                <a:lnTo>
                                  <a:pt x="1409700" y="28955"/>
                                </a:lnTo>
                              </a:path>
                              <a:path w="3083560" h="128270">
                                <a:moveTo>
                                  <a:pt x="1453896" y="28955"/>
                                </a:moveTo>
                                <a:lnTo>
                                  <a:pt x="1453896" y="117348"/>
                                </a:lnTo>
                              </a:path>
                              <a:path w="3083560" h="128270">
                                <a:moveTo>
                                  <a:pt x="1409700" y="117348"/>
                                </a:moveTo>
                                <a:lnTo>
                                  <a:pt x="1498091" y="28955"/>
                                </a:lnTo>
                              </a:path>
                              <a:path w="3083560" h="128270">
                                <a:moveTo>
                                  <a:pt x="1673352" y="118872"/>
                                </a:moveTo>
                                <a:lnTo>
                                  <a:pt x="1584960" y="30479"/>
                                </a:lnTo>
                              </a:path>
                              <a:path w="3083560" h="128270">
                                <a:moveTo>
                                  <a:pt x="1629155" y="30479"/>
                                </a:moveTo>
                                <a:lnTo>
                                  <a:pt x="1629155" y="118872"/>
                                </a:lnTo>
                              </a:path>
                              <a:path w="3083560" h="128270">
                                <a:moveTo>
                                  <a:pt x="1584960" y="118872"/>
                                </a:moveTo>
                                <a:lnTo>
                                  <a:pt x="1673352" y="30479"/>
                                </a:lnTo>
                              </a:path>
                              <a:path w="3083560" h="128270">
                                <a:moveTo>
                                  <a:pt x="1850136" y="114300"/>
                                </a:moveTo>
                                <a:lnTo>
                                  <a:pt x="1761744" y="24383"/>
                                </a:lnTo>
                              </a:path>
                              <a:path w="3083560" h="128270">
                                <a:moveTo>
                                  <a:pt x="1805939" y="24383"/>
                                </a:moveTo>
                                <a:lnTo>
                                  <a:pt x="1805939" y="114300"/>
                                </a:lnTo>
                              </a:path>
                              <a:path w="3083560" h="128270">
                                <a:moveTo>
                                  <a:pt x="1761744" y="114300"/>
                                </a:moveTo>
                                <a:lnTo>
                                  <a:pt x="1850136" y="24383"/>
                                </a:lnTo>
                              </a:path>
                              <a:path w="3083560" h="128270">
                                <a:moveTo>
                                  <a:pt x="2026920" y="120396"/>
                                </a:moveTo>
                                <a:lnTo>
                                  <a:pt x="1937003" y="30479"/>
                                </a:lnTo>
                              </a:path>
                              <a:path w="3083560" h="128270">
                                <a:moveTo>
                                  <a:pt x="1981200" y="30479"/>
                                </a:moveTo>
                                <a:lnTo>
                                  <a:pt x="1981200" y="120396"/>
                                </a:lnTo>
                              </a:path>
                              <a:path w="3083560" h="128270">
                                <a:moveTo>
                                  <a:pt x="1937003" y="120396"/>
                                </a:moveTo>
                                <a:lnTo>
                                  <a:pt x="2026920" y="30479"/>
                                </a:lnTo>
                              </a:path>
                              <a:path w="3083560" h="128270">
                                <a:moveTo>
                                  <a:pt x="2202179" y="120396"/>
                                </a:moveTo>
                                <a:lnTo>
                                  <a:pt x="2113788" y="32003"/>
                                </a:lnTo>
                              </a:path>
                              <a:path w="3083560" h="128270">
                                <a:moveTo>
                                  <a:pt x="2157984" y="32003"/>
                                </a:moveTo>
                                <a:lnTo>
                                  <a:pt x="2157984" y="120396"/>
                                </a:lnTo>
                              </a:path>
                              <a:path w="3083560" h="128270">
                                <a:moveTo>
                                  <a:pt x="2113788" y="120396"/>
                                </a:moveTo>
                                <a:lnTo>
                                  <a:pt x="2202179" y="32003"/>
                                </a:lnTo>
                              </a:path>
                              <a:path w="3083560" h="128270">
                                <a:moveTo>
                                  <a:pt x="2378964" y="120396"/>
                                </a:moveTo>
                                <a:lnTo>
                                  <a:pt x="2289048" y="30479"/>
                                </a:lnTo>
                              </a:path>
                              <a:path w="3083560" h="128270">
                                <a:moveTo>
                                  <a:pt x="2334767" y="30479"/>
                                </a:moveTo>
                                <a:lnTo>
                                  <a:pt x="2334767" y="120396"/>
                                </a:lnTo>
                              </a:path>
                              <a:path w="3083560" h="128270">
                                <a:moveTo>
                                  <a:pt x="2289048" y="120396"/>
                                </a:moveTo>
                                <a:lnTo>
                                  <a:pt x="2378964" y="30479"/>
                                </a:lnTo>
                              </a:path>
                              <a:path w="3083560" h="128270">
                                <a:moveTo>
                                  <a:pt x="2554224" y="120396"/>
                                </a:moveTo>
                                <a:lnTo>
                                  <a:pt x="2465832" y="32003"/>
                                </a:lnTo>
                              </a:path>
                              <a:path w="3083560" h="128270">
                                <a:moveTo>
                                  <a:pt x="2510028" y="32003"/>
                                </a:moveTo>
                                <a:lnTo>
                                  <a:pt x="2510028" y="120396"/>
                                </a:lnTo>
                              </a:path>
                              <a:path w="3083560" h="128270">
                                <a:moveTo>
                                  <a:pt x="2465832" y="120396"/>
                                </a:moveTo>
                                <a:lnTo>
                                  <a:pt x="2554224" y="32003"/>
                                </a:lnTo>
                              </a:path>
                              <a:path w="3083560" h="128270">
                                <a:moveTo>
                                  <a:pt x="2731008" y="89916"/>
                                </a:moveTo>
                                <a:lnTo>
                                  <a:pt x="2642616" y="0"/>
                                </a:lnTo>
                              </a:path>
                              <a:path w="3083560" h="128270">
                                <a:moveTo>
                                  <a:pt x="2686812" y="0"/>
                                </a:moveTo>
                                <a:lnTo>
                                  <a:pt x="2686812" y="89916"/>
                                </a:lnTo>
                              </a:path>
                              <a:path w="3083560" h="128270">
                                <a:moveTo>
                                  <a:pt x="2642616" y="89916"/>
                                </a:moveTo>
                                <a:lnTo>
                                  <a:pt x="2731008" y="0"/>
                                </a:lnTo>
                              </a:path>
                              <a:path w="3083560" h="128270">
                                <a:moveTo>
                                  <a:pt x="2906267" y="94487"/>
                                </a:moveTo>
                                <a:lnTo>
                                  <a:pt x="2817876" y="4572"/>
                                </a:lnTo>
                              </a:path>
                              <a:path w="3083560" h="128270">
                                <a:moveTo>
                                  <a:pt x="2862072" y="4572"/>
                                </a:moveTo>
                                <a:lnTo>
                                  <a:pt x="2862072" y="94487"/>
                                </a:lnTo>
                              </a:path>
                              <a:path w="3083560" h="128270">
                                <a:moveTo>
                                  <a:pt x="2817876" y="94487"/>
                                </a:moveTo>
                                <a:lnTo>
                                  <a:pt x="2906267" y="4572"/>
                                </a:lnTo>
                              </a:path>
                              <a:path w="3083560" h="128270">
                                <a:moveTo>
                                  <a:pt x="3083052" y="120396"/>
                                </a:moveTo>
                                <a:lnTo>
                                  <a:pt x="2994660" y="32003"/>
                                </a:lnTo>
                              </a:path>
                              <a:path w="3083560" h="128270">
                                <a:moveTo>
                                  <a:pt x="3038855" y="32003"/>
                                </a:moveTo>
                                <a:lnTo>
                                  <a:pt x="3038855" y="120396"/>
                                </a:lnTo>
                              </a:path>
                              <a:path w="3083560" h="128270">
                                <a:moveTo>
                                  <a:pt x="2994660" y="120396"/>
                                </a:moveTo>
                                <a:lnTo>
                                  <a:pt x="3083052" y="32003"/>
                                </a:lnTo>
                              </a:path>
                            </a:pathLst>
                          </a:custGeom>
                          <a:ln w="9144">
                            <a:solidFill>
                              <a:srgbClr val="3C95AD"/>
                            </a:solidFill>
                            <a:prstDash val="solid"/>
                          </a:ln>
                        </wps:spPr>
                        <wps:bodyPr wrap="square" lIns="0" tIns="0" rIns="0" bIns="0" rtlCol="0">
                          <a:prstTxWarp prst="textNoShape">
                            <a:avLst/>
                          </a:prstTxWarp>
                          <a:noAutofit/>
                        </wps:bodyPr>
                      </wps:wsp>
                      <wps:wsp>
                        <wps:cNvPr id="797" name="Graphic 797"/>
                        <wps:cNvSpPr/>
                        <wps:spPr>
                          <a:xfrm>
                            <a:off x="1136396" y="1978405"/>
                            <a:ext cx="2994660" cy="398145"/>
                          </a:xfrm>
                          <a:custGeom>
                            <a:avLst/>
                            <a:gdLst/>
                            <a:ahLst/>
                            <a:cxnLst/>
                            <a:rect l="l" t="t" r="r" b="b"/>
                            <a:pathLst>
                              <a:path w="2994660" h="398145">
                                <a:moveTo>
                                  <a:pt x="0" y="397764"/>
                                </a:moveTo>
                                <a:lnTo>
                                  <a:pt x="176784" y="359664"/>
                                </a:lnTo>
                                <a:lnTo>
                                  <a:pt x="352044" y="379475"/>
                                </a:lnTo>
                                <a:lnTo>
                                  <a:pt x="528828" y="381000"/>
                                </a:lnTo>
                                <a:lnTo>
                                  <a:pt x="704088" y="391668"/>
                                </a:lnTo>
                                <a:lnTo>
                                  <a:pt x="880872" y="356616"/>
                                </a:lnTo>
                                <a:lnTo>
                                  <a:pt x="1057656" y="338327"/>
                                </a:lnTo>
                                <a:lnTo>
                                  <a:pt x="1232916" y="345948"/>
                                </a:lnTo>
                                <a:lnTo>
                                  <a:pt x="1409700" y="303275"/>
                                </a:lnTo>
                                <a:lnTo>
                                  <a:pt x="1584959" y="278892"/>
                                </a:lnTo>
                                <a:lnTo>
                                  <a:pt x="1761744" y="281940"/>
                                </a:lnTo>
                                <a:lnTo>
                                  <a:pt x="1937004" y="303275"/>
                                </a:lnTo>
                                <a:lnTo>
                                  <a:pt x="2113788" y="318516"/>
                                </a:lnTo>
                                <a:lnTo>
                                  <a:pt x="2290572" y="324612"/>
                                </a:lnTo>
                                <a:lnTo>
                                  <a:pt x="2465832" y="278892"/>
                                </a:lnTo>
                                <a:lnTo>
                                  <a:pt x="2642616" y="134112"/>
                                </a:lnTo>
                                <a:lnTo>
                                  <a:pt x="2817876" y="0"/>
                                </a:lnTo>
                                <a:lnTo>
                                  <a:pt x="2994660" y="152400"/>
                                </a:lnTo>
                              </a:path>
                            </a:pathLst>
                          </a:custGeom>
                          <a:ln w="27432">
                            <a:solidFill>
                              <a:srgbClr val="DA8137"/>
                            </a:solidFill>
                            <a:prstDash val="solid"/>
                          </a:ln>
                        </wps:spPr>
                        <wps:bodyPr wrap="square" lIns="0" tIns="0" rIns="0" bIns="0" rtlCol="0">
                          <a:prstTxWarp prst="textNoShape">
                            <a:avLst/>
                          </a:prstTxWarp>
                          <a:noAutofit/>
                        </wps:bodyPr>
                      </wps:wsp>
                      <pic:pic>
                        <pic:nvPicPr>
                          <pic:cNvPr id="798" name="Image 798"/>
                          <pic:cNvPicPr/>
                        </pic:nvPicPr>
                        <pic:blipFill>
                          <a:blip r:embed="rId164" cstate="print"/>
                          <a:stretch>
                            <a:fillRect/>
                          </a:stretch>
                        </pic:blipFill>
                        <pic:spPr>
                          <a:xfrm>
                            <a:off x="1087627" y="2327401"/>
                            <a:ext cx="97536" cy="97536"/>
                          </a:xfrm>
                          <a:prstGeom prst="rect">
                            <a:avLst/>
                          </a:prstGeom>
                        </pic:spPr>
                      </pic:pic>
                      <pic:pic>
                        <pic:nvPicPr>
                          <pic:cNvPr id="799" name="Image 799"/>
                          <pic:cNvPicPr/>
                        </pic:nvPicPr>
                        <pic:blipFill>
                          <a:blip r:embed="rId165" cstate="print"/>
                          <a:stretch>
                            <a:fillRect/>
                          </a:stretch>
                        </pic:blipFill>
                        <pic:spPr>
                          <a:xfrm>
                            <a:off x="1264411" y="2287777"/>
                            <a:ext cx="97536" cy="99060"/>
                          </a:xfrm>
                          <a:prstGeom prst="rect">
                            <a:avLst/>
                          </a:prstGeom>
                        </pic:spPr>
                      </pic:pic>
                      <pic:pic>
                        <pic:nvPicPr>
                          <pic:cNvPr id="800" name="Image 800"/>
                          <pic:cNvPicPr/>
                        </pic:nvPicPr>
                        <pic:blipFill>
                          <a:blip r:embed="rId172" cstate="print"/>
                          <a:stretch>
                            <a:fillRect/>
                          </a:stretch>
                        </pic:blipFill>
                        <pic:spPr>
                          <a:xfrm>
                            <a:off x="1439672" y="2307589"/>
                            <a:ext cx="97536" cy="99060"/>
                          </a:xfrm>
                          <a:prstGeom prst="rect">
                            <a:avLst/>
                          </a:prstGeom>
                        </pic:spPr>
                      </pic:pic>
                      <pic:pic>
                        <pic:nvPicPr>
                          <pic:cNvPr id="801" name="Image 801"/>
                          <pic:cNvPicPr/>
                        </pic:nvPicPr>
                        <pic:blipFill>
                          <a:blip r:embed="rId168" cstate="print"/>
                          <a:stretch>
                            <a:fillRect/>
                          </a:stretch>
                        </pic:blipFill>
                        <pic:spPr>
                          <a:xfrm>
                            <a:off x="1616455" y="2310638"/>
                            <a:ext cx="97536" cy="97536"/>
                          </a:xfrm>
                          <a:prstGeom prst="rect">
                            <a:avLst/>
                          </a:prstGeom>
                        </pic:spPr>
                      </pic:pic>
                      <pic:pic>
                        <pic:nvPicPr>
                          <pic:cNvPr id="802" name="Image 802"/>
                          <pic:cNvPicPr/>
                        </pic:nvPicPr>
                        <pic:blipFill>
                          <a:blip r:embed="rId188" cstate="print"/>
                          <a:stretch>
                            <a:fillRect/>
                          </a:stretch>
                        </pic:blipFill>
                        <pic:spPr>
                          <a:xfrm>
                            <a:off x="1791716" y="2319782"/>
                            <a:ext cx="99060" cy="99060"/>
                          </a:xfrm>
                          <a:prstGeom prst="rect">
                            <a:avLst/>
                          </a:prstGeom>
                        </pic:spPr>
                      </pic:pic>
                      <pic:pic>
                        <pic:nvPicPr>
                          <pic:cNvPr id="803" name="Image 803"/>
                          <pic:cNvPicPr/>
                        </pic:nvPicPr>
                        <pic:blipFill>
                          <a:blip r:embed="rId173" cstate="print"/>
                          <a:stretch>
                            <a:fillRect/>
                          </a:stretch>
                        </pic:blipFill>
                        <pic:spPr>
                          <a:xfrm>
                            <a:off x="1968500" y="2286254"/>
                            <a:ext cx="97536" cy="97536"/>
                          </a:xfrm>
                          <a:prstGeom prst="rect">
                            <a:avLst/>
                          </a:prstGeom>
                        </pic:spPr>
                      </pic:pic>
                      <pic:pic>
                        <pic:nvPicPr>
                          <pic:cNvPr id="804" name="Image 804"/>
                          <pic:cNvPicPr/>
                        </pic:nvPicPr>
                        <pic:blipFill>
                          <a:blip r:embed="rId169" cstate="print"/>
                          <a:stretch>
                            <a:fillRect/>
                          </a:stretch>
                        </pic:blipFill>
                        <pic:spPr>
                          <a:xfrm>
                            <a:off x="2143760" y="2267966"/>
                            <a:ext cx="99060" cy="97535"/>
                          </a:xfrm>
                          <a:prstGeom prst="rect">
                            <a:avLst/>
                          </a:prstGeom>
                        </pic:spPr>
                      </pic:pic>
                      <pic:pic>
                        <pic:nvPicPr>
                          <pic:cNvPr id="805" name="Image 805"/>
                          <pic:cNvPicPr/>
                        </pic:nvPicPr>
                        <pic:blipFill>
                          <a:blip r:embed="rId172" cstate="print"/>
                          <a:stretch>
                            <a:fillRect/>
                          </a:stretch>
                        </pic:blipFill>
                        <pic:spPr>
                          <a:xfrm>
                            <a:off x="2320544" y="2274061"/>
                            <a:ext cx="97536" cy="99060"/>
                          </a:xfrm>
                          <a:prstGeom prst="rect">
                            <a:avLst/>
                          </a:prstGeom>
                        </pic:spPr>
                      </pic:pic>
                      <pic:pic>
                        <pic:nvPicPr>
                          <pic:cNvPr id="806" name="Image 806"/>
                          <pic:cNvPicPr/>
                        </pic:nvPicPr>
                        <pic:blipFill>
                          <a:blip r:embed="rId168" cstate="print"/>
                          <a:stretch>
                            <a:fillRect/>
                          </a:stretch>
                        </pic:blipFill>
                        <pic:spPr>
                          <a:xfrm>
                            <a:off x="2497327" y="2232914"/>
                            <a:ext cx="97536" cy="97536"/>
                          </a:xfrm>
                          <a:prstGeom prst="rect">
                            <a:avLst/>
                          </a:prstGeom>
                        </pic:spPr>
                      </pic:pic>
                      <pic:pic>
                        <pic:nvPicPr>
                          <pic:cNvPr id="807" name="Image 807"/>
                          <pic:cNvPicPr/>
                        </pic:nvPicPr>
                        <pic:blipFill>
                          <a:blip r:embed="rId172" cstate="print"/>
                          <a:stretch>
                            <a:fillRect/>
                          </a:stretch>
                        </pic:blipFill>
                        <pic:spPr>
                          <a:xfrm>
                            <a:off x="2672588" y="2207005"/>
                            <a:ext cx="97536" cy="99060"/>
                          </a:xfrm>
                          <a:prstGeom prst="rect">
                            <a:avLst/>
                          </a:prstGeom>
                        </pic:spPr>
                      </pic:pic>
                      <pic:pic>
                        <pic:nvPicPr>
                          <pic:cNvPr id="808" name="Image 808"/>
                          <pic:cNvPicPr/>
                        </pic:nvPicPr>
                        <pic:blipFill>
                          <a:blip r:embed="rId167" cstate="print"/>
                          <a:stretch>
                            <a:fillRect/>
                          </a:stretch>
                        </pic:blipFill>
                        <pic:spPr>
                          <a:xfrm>
                            <a:off x="2849372" y="2211577"/>
                            <a:ext cx="97536" cy="97536"/>
                          </a:xfrm>
                          <a:prstGeom prst="rect">
                            <a:avLst/>
                          </a:prstGeom>
                        </pic:spPr>
                      </pic:pic>
                      <pic:pic>
                        <pic:nvPicPr>
                          <pic:cNvPr id="809" name="Image 809"/>
                          <pic:cNvPicPr/>
                        </pic:nvPicPr>
                        <pic:blipFill>
                          <a:blip r:embed="rId169" cstate="print"/>
                          <a:stretch>
                            <a:fillRect/>
                          </a:stretch>
                        </pic:blipFill>
                        <pic:spPr>
                          <a:xfrm>
                            <a:off x="3024632" y="2232914"/>
                            <a:ext cx="99060" cy="97536"/>
                          </a:xfrm>
                          <a:prstGeom prst="rect">
                            <a:avLst/>
                          </a:prstGeom>
                        </pic:spPr>
                      </pic:pic>
                      <pic:pic>
                        <pic:nvPicPr>
                          <pic:cNvPr id="810" name="Image 810"/>
                          <pic:cNvPicPr/>
                        </pic:nvPicPr>
                        <pic:blipFill>
                          <a:blip r:embed="rId173" cstate="print"/>
                          <a:stretch>
                            <a:fillRect/>
                          </a:stretch>
                        </pic:blipFill>
                        <pic:spPr>
                          <a:xfrm>
                            <a:off x="3201416" y="2248154"/>
                            <a:ext cx="97536" cy="97536"/>
                          </a:xfrm>
                          <a:prstGeom prst="rect">
                            <a:avLst/>
                          </a:prstGeom>
                        </pic:spPr>
                      </pic:pic>
                      <pic:pic>
                        <pic:nvPicPr>
                          <pic:cNvPr id="811" name="Image 811"/>
                          <pic:cNvPicPr/>
                        </pic:nvPicPr>
                        <pic:blipFill>
                          <a:blip r:embed="rId189" cstate="print"/>
                          <a:stretch>
                            <a:fillRect/>
                          </a:stretch>
                        </pic:blipFill>
                        <pic:spPr>
                          <a:xfrm>
                            <a:off x="3376676" y="2254250"/>
                            <a:ext cx="99060" cy="97536"/>
                          </a:xfrm>
                          <a:prstGeom prst="rect">
                            <a:avLst/>
                          </a:prstGeom>
                        </pic:spPr>
                      </pic:pic>
                      <pic:pic>
                        <pic:nvPicPr>
                          <pic:cNvPr id="812" name="Image 812"/>
                          <pic:cNvPicPr/>
                        </pic:nvPicPr>
                        <pic:blipFill>
                          <a:blip r:embed="rId167" cstate="print"/>
                          <a:stretch>
                            <a:fillRect/>
                          </a:stretch>
                        </pic:blipFill>
                        <pic:spPr>
                          <a:xfrm>
                            <a:off x="3553459" y="2208529"/>
                            <a:ext cx="97536" cy="97536"/>
                          </a:xfrm>
                          <a:prstGeom prst="rect">
                            <a:avLst/>
                          </a:prstGeom>
                        </pic:spPr>
                      </pic:pic>
                      <pic:pic>
                        <pic:nvPicPr>
                          <pic:cNvPr id="813" name="Image 813"/>
                          <pic:cNvPicPr/>
                        </pic:nvPicPr>
                        <pic:blipFill>
                          <a:blip r:embed="rId173" cstate="print"/>
                          <a:stretch>
                            <a:fillRect/>
                          </a:stretch>
                        </pic:blipFill>
                        <pic:spPr>
                          <a:xfrm>
                            <a:off x="3730244" y="2063750"/>
                            <a:ext cx="97536" cy="97536"/>
                          </a:xfrm>
                          <a:prstGeom prst="rect">
                            <a:avLst/>
                          </a:prstGeom>
                        </pic:spPr>
                      </pic:pic>
                      <pic:pic>
                        <pic:nvPicPr>
                          <pic:cNvPr id="814" name="Image 814"/>
                          <pic:cNvPicPr/>
                        </pic:nvPicPr>
                        <pic:blipFill>
                          <a:blip r:embed="rId173" cstate="print"/>
                          <a:stretch>
                            <a:fillRect/>
                          </a:stretch>
                        </pic:blipFill>
                        <pic:spPr>
                          <a:xfrm>
                            <a:off x="3905503" y="1929638"/>
                            <a:ext cx="97536" cy="97536"/>
                          </a:xfrm>
                          <a:prstGeom prst="rect">
                            <a:avLst/>
                          </a:prstGeom>
                        </pic:spPr>
                      </pic:pic>
                      <pic:pic>
                        <pic:nvPicPr>
                          <pic:cNvPr id="815" name="Image 815"/>
                          <pic:cNvPicPr/>
                        </pic:nvPicPr>
                        <pic:blipFill>
                          <a:blip r:embed="rId173" cstate="print"/>
                          <a:stretch>
                            <a:fillRect/>
                          </a:stretch>
                        </pic:blipFill>
                        <pic:spPr>
                          <a:xfrm>
                            <a:off x="4082288" y="2082038"/>
                            <a:ext cx="97536" cy="97536"/>
                          </a:xfrm>
                          <a:prstGeom prst="rect">
                            <a:avLst/>
                          </a:prstGeom>
                        </pic:spPr>
                      </pic:pic>
                      <pic:pic>
                        <pic:nvPicPr>
                          <pic:cNvPr id="816" name="Image 816"/>
                          <pic:cNvPicPr/>
                        </pic:nvPicPr>
                        <pic:blipFill>
                          <a:blip r:embed="rId174" cstate="print"/>
                          <a:stretch>
                            <a:fillRect/>
                          </a:stretch>
                        </pic:blipFill>
                        <pic:spPr>
                          <a:xfrm>
                            <a:off x="4417567" y="966469"/>
                            <a:ext cx="243840" cy="85344"/>
                          </a:xfrm>
                          <a:prstGeom prst="rect">
                            <a:avLst/>
                          </a:prstGeom>
                        </pic:spPr>
                      </pic:pic>
                      <wps:wsp>
                        <wps:cNvPr id="817" name="Graphic 817"/>
                        <wps:cNvSpPr/>
                        <wps:spPr>
                          <a:xfrm>
                            <a:off x="4417567" y="1239266"/>
                            <a:ext cx="243840" cy="1270"/>
                          </a:xfrm>
                          <a:custGeom>
                            <a:avLst/>
                            <a:gdLst/>
                            <a:ahLst/>
                            <a:cxnLst/>
                            <a:rect l="l" t="t" r="r" b="b"/>
                            <a:pathLst>
                              <a:path w="243840" h="0">
                                <a:moveTo>
                                  <a:pt x="0" y="0"/>
                                </a:moveTo>
                                <a:lnTo>
                                  <a:pt x="243840" y="0"/>
                                </a:lnTo>
                              </a:path>
                            </a:pathLst>
                          </a:custGeom>
                          <a:ln w="24384">
                            <a:solidFill>
                              <a:srgbClr val="A8423E"/>
                            </a:solidFill>
                            <a:prstDash val="solid"/>
                          </a:ln>
                        </wps:spPr>
                        <wps:bodyPr wrap="square" lIns="0" tIns="0" rIns="0" bIns="0" rtlCol="0">
                          <a:prstTxWarp prst="textNoShape">
                            <a:avLst/>
                          </a:prstTxWarp>
                          <a:noAutofit/>
                        </wps:bodyPr>
                      </wps:wsp>
                      <wps:wsp>
                        <wps:cNvPr id="818" name="Graphic 818"/>
                        <wps:cNvSpPr/>
                        <wps:spPr>
                          <a:xfrm>
                            <a:off x="4501388" y="1201166"/>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AA4643"/>
                          </a:solidFill>
                        </wps:spPr>
                        <wps:bodyPr wrap="square" lIns="0" tIns="0" rIns="0" bIns="0" rtlCol="0">
                          <a:prstTxWarp prst="textNoShape">
                            <a:avLst/>
                          </a:prstTxWarp>
                          <a:noAutofit/>
                        </wps:bodyPr>
                      </wps:wsp>
                      <wps:wsp>
                        <wps:cNvPr id="819" name="Graphic 819"/>
                        <wps:cNvSpPr/>
                        <wps:spPr>
                          <a:xfrm>
                            <a:off x="4501388" y="1201166"/>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A8423E"/>
                            </a:solidFill>
                            <a:prstDash val="solid"/>
                          </a:ln>
                        </wps:spPr>
                        <wps:bodyPr wrap="square" lIns="0" tIns="0" rIns="0" bIns="0" rtlCol="0">
                          <a:prstTxWarp prst="textNoShape">
                            <a:avLst/>
                          </a:prstTxWarp>
                          <a:noAutofit/>
                        </wps:bodyPr>
                      </wps:wsp>
                      <pic:pic>
                        <pic:nvPicPr>
                          <pic:cNvPr id="820" name="Image 820"/>
                          <pic:cNvPicPr/>
                        </pic:nvPicPr>
                        <pic:blipFill>
                          <a:blip r:embed="rId190" cstate="print"/>
                          <a:stretch>
                            <a:fillRect/>
                          </a:stretch>
                        </pic:blipFill>
                        <pic:spPr>
                          <a:xfrm>
                            <a:off x="4417567" y="1426717"/>
                            <a:ext cx="243840" cy="85344"/>
                          </a:xfrm>
                          <a:prstGeom prst="rect">
                            <a:avLst/>
                          </a:prstGeom>
                        </pic:spPr>
                      </pic:pic>
                      <pic:pic>
                        <pic:nvPicPr>
                          <pic:cNvPr id="821" name="Image 821"/>
                          <pic:cNvPicPr/>
                        </pic:nvPicPr>
                        <pic:blipFill>
                          <a:blip r:embed="rId176" cstate="print"/>
                          <a:stretch>
                            <a:fillRect/>
                          </a:stretch>
                        </pic:blipFill>
                        <pic:spPr>
                          <a:xfrm>
                            <a:off x="4417567" y="1656842"/>
                            <a:ext cx="243840" cy="85344"/>
                          </a:xfrm>
                          <a:prstGeom prst="rect">
                            <a:avLst/>
                          </a:prstGeom>
                        </pic:spPr>
                      </pic:pic>
                      <pic:pic>
                        <pic:nvPicPr>
                          <pic:cNvPr id="822" name="Image 822"/>
                          <pic:cNvPicPr/>
                        </pic:nvPicPr>
                        <pic:blipFill>
                          <a:blip r:embed="rId191" cstate="print"/>
                          <a:stretch>
                            <a:fillRect/>
                          </a:stretch>
                        </pic:blipFill>
                        <pic:spPr>
                          <a:xfrm>
                            <a:off x="4417567" y="1885442"/>
                            <a:ext cx="243840" cy="85344"/>
                          </a:xfrm>
                          <a:prstGeom prst="rect">
                            <a:avLst/>
                          </a:prstGeom>
                        </pic:spPr>
                      </pic:pic>
                      <pic:pic>
                        <pic:nvPicPr>
                          <pic:cNvPr id="823" name="Image 823"/>
                          <pic:cNvPicPr/>
                        </pic:nvPicPr>
                        <pic:blipFill>
                          <a:blip r:embed="rId178" cstate="print"/>
                          <a:stretch>
                            <a:fillRect/>
                          </a:stretch>
                        </pic:blipFill>
                        <pic:spPr>
                          <a:xfrm>
                            <a:off x="4417567" y="2115566"/>
                            <a:ext cx="243840" cy="85344"/>
                          </a:xfrm>
                          <a:prstGeom prst="rect">
                            <a:avLst/>
                          </a:prstGeom>
                        </pic:spPr>
                      </pic:pic>
                      <wps:wsp>
                        <wps:cNvPr id="824" name="Graphic 824"/>
                        <wps:cNvSpPr/>
                        <wps:spPr>
                          <a:xfrm>
                            <a:off x="6350" y="6350"/>
                            <a:ext cx="5941060" cy="3155315"/>
                          </a:xfrm>
                          <a:custGeom>
                            <a:avLst/>
                            <a:gdLst/>
                            <a:ahLst/>
                            <a:cxnLst/>
                            <a:rect l="l" t="t" r="r" b="b"/>
                            <a:pathLst>
                              <a:path w="5941060" h="3155315">
                                <a:moveTo>
                                  <a:pt x="0" y="3155188"/>
                                </a:moveTo>
                                <a:lnTo>
                                  <a:pt x="5940679" y="3155188"/>
                                </a:lnTo>
                                <a:lnTo>
                                  <a:pt x="5940679" y="0"/>
                                </a:lnTo>
                                <a:lnTo>
                                  <a:pt x="0" y="0"/>
                                </a:lnTo>
                                <a:lnTo>
                                  <a:pt x="0" y="3155188"/>
                                </a:lnTo>
                                <a:close/>
                              </a:path>
                            </a:pathLst>
                          </a:custGeom>
                          <a:ln w="12700">
                            <a:solidFill>
                              <a:srgbClr val="858585"/>
                            </a:solidFill>
                            <a:prstDash val="solid"/>
                          </a:ln>
                        </wps:spPr>
                        <wps:bodyPr wrap="square" lIns="0" tIns="0" rIns="0" bIns="0" rtlCol="0">
                          <a:prstTxWarp prst="textNoShape">
                            <a:avLst/>
                          </a:prstTxWarp>
                          <a:noAutofit/>
                        </wps:bodyPr>
                      </wps:wsp>
                      <wps:wsp>
                        <wps:cNvPr id="825" name="Textbox 825"/>
                        <wps:cNvSpPr txBox="1"/>
                        <wps:spPr>
                          <a:xfrm>
                            <a:off x="417068" y="88518"/>
                            <a:ext cx="525145" cy="1985010"/>
                          </a:xfrm>
                          <a:prstGeom prst="rect">
                            <a:avLst/>
                          </a:prstGeom>
                        </wps:spPr>
                        <wps:txbx>
                          <w:txbxContent>
                            <w:p>
                              <w:pPr>
                                <w:spacing w:line="203" w:lineRule="exact" w:before="0"/>
                                <w:ind w:left="0" w:right="0" w:firstLine="0"/>
                                <w:jc w:val="left"/>
                                <w:rPr>
                                  <w:rFonts w:ascii="Calibri"/>
                                  <w:sz w:val="20"/>
                                </w:rPr>
                              </w:pPr>
                              <w:r>
                                <w:rPr>
                                  <w:rFonts w:ascii="Calibri"/>
                                  <w:spacing w:val="-2"/>
                                  <w:sz w:val="20"/>
                                </w:rPr>
                                <w:t>30000000</w:t>
                              </w:r>
                            </w:p>
                            <w:p>
                              <w:pPr>
                                <w:spacing w:line="240" w:lineRule="auto" w:before="96"/>
                                <w:rPr>
                                  <w:rFonts w:ascii="Calibri"/>
                                  <w:sz w:val="20"/>
                                </w:rPr>
                              </w:pPr>
                            </w:p>
                            <w:p>
                              <w:pPr>
                                <w:spacing w:before="1"/>
                                <w:ind w:left="0" w:right="0" w:firstLine="0"/>
                                <w:jc w:val="left"/>
                                <w:rPr>
                                  <w:rFonts w:ascii="Calibri"/>
                                  <w:sz w:val="20"/>
                                </w:rPr>
                              </w:pPr>
                              <w:r>
                                <w:rPr>
                                  <w:rFonts w:ascii="Calibri"/>
                                  <w:spacing w:val="-2"/>
                                  <w:sz w:val="20"/>
                                </w:rPr>
                                <w:t>25000000</w:t>
                              </w:r>
                            </w:p>
                            <w:p>
                              <w:pPr>
                                <w:spacing w:line="240" w:lineRule="auto" w:before="97"/>
                                <w:rPr>
                                  <w:rFonts w:ascii="Calibri"/>
                                  <w:sz w:val="20"/>
                                </w:rPr>
                              </w:pPr>
                            </w:p>
                            <w:p>
                              <w:pPr>
                                <w:spacing w:before="0"/>
                                <w:ind w:left="0" w:right="0" w:firstLine="0"/>
                                <w:jc w:val="left"/>
                                <w:rPr>
                                  <w:rFonts w:ascii="Calibri"/>
                                  <w:sz w:val="20"/>
                                </w:rPr>
                              </w:pPr>
                              <w:r>
                                <w:rPr>
                                  <w:rFonts w:ascii="Calibri"/>
                                  <w:spacing w:val="-2"/>
                                  <w:sz w:val="20"/>
                                </w:rPr>
                                <w:t>20000000</w:t>
                              </w:r>
                            </w:p>
                            <w:p>
                              <w:pPr>
                                <w:spacing w:line="240" w:lineRule="auto" w:before="97"/>
                                <w:rPr>
                                  <w:rFonts w:ascii="Calibri"/>
                                  <w:sz w:val="20"/>
                                </w:rPr>
                              </w:pPr>
                            </w:p>
                            <w:p>
                              <w:pPr>
                                <w:spacing w:before="0"/>
                                <w:ind w:left="0" w:right="0" w:firstLine="0"/>
                                <w:jc w:val="left"/>
                                <w:rPr>
                                  <w:rFonts w:ascii="Calibri"/>
                                  <w:sz w:val="20"/>
                                </w:rPr>
                              </w:pPr>
                              <w:r>
                                <w:rPr>
                                  <w:rFonts w:ascii="Calibri"/>
                                  <w:spacing w:val="-2"/>
                                  <w:sz w:val="20"/>
                                </w:rPr>
                                <w:t>15000000</w:t>
                              </w:r>
                            </w:p>
                            <w:p>
                              <w:pPr>
                                <w:spacing w:line="240" w:lineRule="auto" w:before="97"/>
                                <w:rPr>
                                  <w:rFonts w:ascii="Calibri"/>
                                  <w:sz w:val="20"/>
                                </w:rPr>
                              </w:pPr>
                            </w:p>
                            <w:p>
                              <w:pPr>
                                <w:spacing w:before="0"/>
                                <w:ind w:left="0" w:right="0" w:firstLine="0"/>
                                <w:jc w:val="left"/>
                                <w:rPr>
                                  <w:rFonts w:ascii="Calibri"/>
                                  <w:sz w:val="20"/>
                                </w:rPr>
                              </w:pPr>
                              <w:r>
                                <w:rPr>
                                  <w:rFonts w:ascii="Calibri"/>
                                  <w:spacing w:val="-2"/>
                                  <w:sz w:val="20"/>
                                </w:rPr>
                                <w:t>10000000</w:t>
                              </w:r>
                            </w:p>
                            <w:p>
                              <w:pPr>
                                <w:spacing w:line="240" w:lineRule="auto" w:before="97"/>
                                <w:rPr>
                                  <w:rFonts w:ascii="Calibri"/>
                                  <w:sz w:val="20"/>
                                </w:rPr>
                              </w:pPr>
                            </w:p>
                            <w:p>
                              <w:pPr>
                                <w:spacing w:line="240" w:lineRule="exact" w:before="0"/>
                                <w:ind w:left="0" w:right="0" w:firstLine="0"/>
                                <w:jc w:val="left"/>
                                <w:rPr>
                                  <w:rFonts w:ascii="Calibri"/>
                                  <w:sz w:val="20"/>
                                </w:rPr>
                              </w:pPr>
                              <w:r>
                                <w:rPr>
                                  <w:rFonts w:ascii="Calibri"/>
                                  <w:spacing w:val="-2"/>
                                  <w:sz w:val="20"/>
                                </w:rPr>
                                <w:t>50000000</w:t>
                              </w:r>
                            </w:p>
                          </w:txbxContent>
                        </wps:txbx>
                        <wps:bodyPr wrap="square" lIns="0" tIns="0" rIns="0" bIns="0" rtlCol="0">
                          <a:noAutofit/>
                        </wps:bodyPr>
                      </wps:wsp>
                      <wps:wsp>
                        <wps:cNvPr id="826" name="Textbox 826"/>
                        <wps:cNvSpPr txBox="1"/>
                        <wps:spPr>
                          <a:xfrm>
                            <a:off x="4687570" y="951102"/>
                            <a:ext cx="1139825" cy="1275080"/>
                          </a:xfrm>
                          <a:prstGeom prst="rect">
                            <a:avLst/>
                          </a:prstGeom>
                        </wps:spPr>
                        <wps:txbx>
                          <w:txbxContent>
                            <w:p>
                              <w:pPr>
                                <w:spacing w:line="203" w:lineRule="exact" w:before="0"/>
                                <w:ind w:left="0" w:right="0" w:firstLine="0"/>
                                <w:jc w:val="left"/>
                                <w:rPr>
                                  <w:rFonts w:ascii="Calibri"/>
                                  <w:sz w:val="20"/>
                                </w:rPr>
                              </w:pPr>
                              <w:r>
                                <w:rPr>
                                  <w:rFonts w:ascii="Calibri"/>
                                  <w:sz w:val="20"/>
                                </w:rPr>
                                <w:t>Annual</w:t>
                              </w:r>
                              <w:r>
                                <w:rPr>
                                  <w:rFonts w:ascii="Calibri"/>
                                  <w:spacing w:val="-10"/>
                                  <w:sz w:val="20"/>
                                </w:rPr>
                                <w:t> </w:t>
                              </w:r>
                              <w:r>
                                <w:rPr>
                                  <w:rFonts w:ascii="Calibri"/>
                                  <w:sz w:val="20"/>
                                </w:rPr>
                                <w:t>Total</w:t>
                              </w:r>
                              <w:r>
                                <w:rPr>
                                  <w:rFonts w:ascii="Calibri"/>
                                  <w:spacing w:val="-5"/>
                                  <w:sz w:val="20"/>
                                </w:rPr>
                                <w:t> </w:t>
                              </w:r>
                              <w:r>
                                <w:rPr>
                                  <w:rFonts w:ascii="Calibri"/>
                                  <w:spacing w:val="-2"/>
                                  <w:sz w:val="20"/>
                                </w:rPr>
                                <w:t>Revenue</w:t>
                              </w:r>
                            </w:p>
                            <w:p>
                              <w:pPr>
                                <w:spacing w:line="355" w:lineRule="auto" w:before="117"/>
                                <w:ind w:left="0" w:right="495" w:firstLine="0"/>
                                <w:jc w:val="left"/>
                                <w:rPr>
                                  <w:rFonts w:ascii="Calibri"/>
                                  <w:sz w:val="20"/>
                                </w:rPr>
                              </w:pPr>
                              <w:r>
                                <w:rPr>
                                  <w:rFonts w:ascii="Calibri"/>
                                  <w:spacing w:val="-2"/>
                                  <w:sz w:val="20"/>
                                </w:rPr>
                                <w:t>Housing Education Health Agriculture</w:t>
                              </w:r>
                            </w:p>
                            <w:p>
                              <w:pPr>
                                <w:spacing w:line="240" w:lineRule="exact" w:before="2"/>
                                <w:ind w:left="0" w:right="0" w:firstLine="0"/>
                                <w:jc w:val="left"/>
                                <w:rPr>
                                  <w:rFonts w:ascii="Calibri"/>
                                  <w:sz w:val="20"/>
                                </w:rPr>
                              </w:pPr>
                              <w:r>
                                <w:rPr>
                                  <w:rFonts w:ascii="Calibri"/>
                                  <w:spacing w:val="-2"/>
                                  <w:sz w:val="20"/>
                                </w:rPr>
                                <w:t>Works</w:t>
                              </w:r>
                            </w:p>
                          </w:txbxContent>
                        </wps:txbx>
                        <wps:bodyPr wrap="square" lIns="0" tIns="0" rIns="0" bIns="0" rtlCol="0">
                          <a:noAutofit/>
                        </wps:bodyPr>
                      </wps:wsp>
                      <wps:wsp>
                        <wps:cNvPr id="827" name="Textbox 827"/>
                        <wps:cNvSpPr txBox="1"/>
                        <wps:spPr>
                          <a:xfrm>
                            <a:off x="866647" y="2318766"/>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s:wsp>
                        <wps:cNvPr id="828" name="Textbox 828"/>
                        <wps:cNvSpPr txBox="1"/>
                        <wps:spPr>
                          <a:xfrm>
                            <a:off x="2488819" y="2873882"/>
                            <a:ext cx="300990"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Years</w:t>
                              </w:r>
                            </w:p>
                          </w:txbxContent>
                        </wps:txbx>
                        <wps:bodyPr wrap="square" lIns="0" tIns="0" rIns="0" bIns="0" rtlCol="0">
                          <a:noAutofit/>
                        </wps:bodyPr>
                      </wps:wsp>
                    </wpg:wgp>
                  </a:graphicData>
                </a:graphic>
              </wp:anchor>
            </w:drawing>
          </mc:Choice>
          <mc:Fallback>
            <w:pict>
              <v:group style="position:absolute;margin-left:73pt;margin-top:-250.328903pt;width:468.8pt;height:249.45pt;mso-position-horizontal-relative:page;mso-position-vertical-relative:paragraph;z-index:15766528" id="docshapegroup666" coordorigin="1460,-5007" coordsize="9376,4989">
                <v:shape style="position:absolute;left:3048;top:-4774;width:5057;height:3512" id="docshape667" coordorigin="3048,-4773" coordsize="5057,3512" path="m3113,-1848l8105,-1848m3113,-2433l8105,-2433m3113,-3019l8105,-3019m3113,-3602l8105,-3602m3113,-4188l8105,-4188m3113,-4773l8105,-4773m3113,-1262l3113,-4773m3048,-1262l3113,-1262m3048,-1848l3113,-1848m3048,-2433l3113,-2433m3048,-3019l3113,-3019m3048,-3602l3113,-3602m3048,-4188l3113,-4188m3048,-4773l3113,-4773e" filled="false" stroked="true" strokeweight=".72pt" strokecolor="#858585">
                  <v:path arrowok="t"/>
                  <v:stroke dashstyle="solid"/>
                </v:shape>
                <v:shape style="position:absolute;left:3112;top:-1263;width:4992;height:2" id="docshape668" coordorigin="3113,-1262" coordsize="4992,0" path="m6094,-1262l6230,-1262m4706,-1262l4843,-1262m6372,-1262l6509,-1262m6648,-1262l6785,-1262m6926,-1262l7063,-1262m7202,-1262l7342,-1262m7481,-1262l7618,-1262m7757,-1262l7896,-1262m8035,-1262l8105,-1262m5815,-1262l5954,-1262m5539,-1262l5676,-1262m5261,-1262l5400,-1262m4985,-1262l5122,-1262m4430,-1262l4567,-1262m4152,-1262l4289,-1262m3874,-1262l4013,-1262m3598,-1262l3734,-1262m3113,-1262l3458,-1262e" filled="false" stroked="true" strokeweight=".72pt" strokecolor="#858585">
                  <v:path arrowok="t"/>
                  <v:stroke dashstyle="solid"/>
                </v:shape>
                <v:shape style="position:absolute;left:3249;top:-4596;width:4716;height:3245" id="docshape669" coordorigin="3250,-4596" coordsize="4716,3245" path="m3250,-1351l3528,-1610,3804,-1644,4082,-1740,4358,-1718,4637,-1754,4915,-1997,5191,-2066,5470,-2673,5746,-2618,6024,-2671,6300,-2503,6578,-2688,6857,-2949,7133,-3885,7411,-4596,7687,-4202,7966,-3192e" filled="false" stroked="true" strokeweight="2.16pt" strokecolor="#416ea6">
                  <v:path arrowok="t"/>
                  <v:stroke dashstyle="solid"/>
                </v:shape>
                <v:shape style="position:absolute;left:3172;top:-1429;width:155;height:155" type="#_x0000_t75" id="docshape670" stroked="false">
                  <v:imagedata r:id="rId152" o:title=""/>
                </v:shape>
                <v:shape style="position:absolute;left:3450;top:-1689;width:155;height:155" type="#_x0000_t75" id="docshape671" stroked="false">
                  <v:imagedata r:id="rId148" o:title=""/>
                </v:shape>
                <v:shape style="position:absolute;left:3727;top:-1721;width:155;height:155" type="#_x0000_t75" id="docshape672" stroked="false">
                  <v:imagedata r:id="rId152" o:title=""/>
                </v:shape>
                <v:shape style="position:absolute;left:4004;top:-1818;width:155;height:155" type="#_x0000_t75" id="docshape673" stroked="false">
                  <v:imagedata r:id="rId179" o:title=""/>
                </v:shape>
                <v:shape style="position:absolute;left:4282;top:-1797;width:155;height:155" type="#_x0000_t75" id="docshape674" stroked="false">
                  <v:imagedata r:id="rId152" o:title=""/>
                </v:shape>
                <v:shape style="position:absolute;left:4559;top:-1833;width:155;height:155" type="#_x0000_t75" id="docshape675" stroked="false">
                  <v:imagedata r:id="rId148" o:title=""/>
                </v:shape>
                <v:shape style="position:absolute;left:4837;top:-2074;width:155;height:155" type="#_x0000_t75" id="docshape676" stroked="false">
                  <v:imagedata r:id="rId152" o:title=""/>
                </v:shape>
                <v:shape style="position:absolute;left:5114;top:-2143;width:155;height:155" type="#_x0000_t75" id="docshape677" stroked="false">
                  <v:imagedata r:id="rId152" o:title=""/>
                </v:shape>
                <v:shape style="position:absolute;left:5391;top:-2751;width:155;height:155" type="#_x0000_t75" id="docshape678" stroked="false">
                  <v:imagedata r:id="rId155" o:title=""/>
                </v:shape>
                <v:shape style="position:absolute;left:5669;top:-2695;width:155;height:155" type="#_x0000_t75" id="docshape679" stroked="false">
                  <v:imagedata r:id="rId155" o:title=""/>
                </v:shape>
                <v:shape style="position:absolute;left:5946;top:-2749;width:155;height:155" type="#_x0000_t75" id="docshape680" stroked="false">
                  <v:imagedata r:id="rId151" o:title=""/>
                </v:shape>
                <v:shape style="position:absolute;left:6223;top:-2581;width:155;height:155" type="#_x0000_t75" id="docshape681" stroked="false">
                  <v:imagedata r:id="rId180" o:title=""/>
                </v:shape>
                <v:shape style="position:absolute;left:6501;top:-2765;width:155;height:155" type="#_x0000_t75" id="docshape682" stroked="false">
                  <v:imagedata r:id="rId151" o:title=""/>
                </v:shape>
                <v:shape style="position:absolute;left:6778;top:-3027;width:155;height:155" type="#_x0000_t75" id="docshape683" stroked="false">
                  <v:imagedata r:id="rId151" o:title=""/>
                </v:shape>
                <v:shape style="position:absolute;left:7055;top:-3962;width:155;height:155" type="#_x0000_t75" id="docshape684" stroked="false">
                  <v:imagedata r:id="rId154" o:title=""/>
                </v:shape>
                <v:shape style="position:absolute;left:7333;top:-4673;width:155;height:155" type="#_x0000_t75" id="docshape685" stroked="false">
                  <v:imagedata r:id="rId155" o:title=""/>
                </v:shape>
                <v:shape style="position:absolute;left:7610;top:-4281;width:155;height:155" type="#_x0000_t75" id="docshape686" stroked="false">
                  <v:imagedata r:id="rId151" o:title=""/>
                </v:shape>
                <v:shape style="position:absolute;left:7888;top:-3270;width:155;height:155" type="#_x0000_t75" id="docshape687" stroked="false">
                  <v:imagedata r:id="rId155" o:title=""/>
                </v:shape>
                <v:shape style="position:absolute;left:3249;top:-1315;width:4716;height:51" id="docshape688" coordorigin="3250,-1315" coordsize="4716,51" path="m3250,-1265l3528,-1272,3804,-1315,4082,-1272,4358,-1286,4637,-1274,4915,-1281,5191,-1274,5470,-1281,5746,-1305,6024,-1298,6300,-1291,6578,-1291,6857,-1284,7133,-1279,7411,-1298,7687,-1301,7966,-1269e" filled="false" stroked="true" strokeweight="2.16pt" strokecolor="#a8423e">
                  <v:path arrowok="t"/>
                  <v:stroke dashstyle="solid"/>
                </v:shape>
                <v:rect style="position:absolute;left:3180;top:-1335;width:140;height:140" id="docshape689" filled="true" fillcolor="#aa4643" stroked="false">
                  <v:fill type="solid"/>
                </v:rect>
                <v:rect style="position:absolute;left:3180;top:-1335;width:140;height:140" id="docshape690" filled="false" stroked="true" strokeweight=".72pt" strokecolor="#a8423e">
                  <v:stroke dashstyle="solid"/>
                </v:rect>
                <v:rect style="position:absolute;left:3458;top:-1342;width:140;height:140" id="docshape691" filled="true" fillcolor="#aa4643" stroked="false">
                  <v:fill type="solid"/>
                </v:rect>
                <v:rect style="position:absolute;left:3458;top:-1342;width:140;height:140" id="docshape692" filled="false" stroked="true" strokeweight=".72pt" strokecolor="#a8423e">
                  <v:stroke dashstyle="solid"/>
                </v:rect>
                <v:rect style="position:absolute;left:3734;top:-1385;width:140;height:140" id="docshape693" filled="true" fillcolor="#aa4643" stroked="false">
                  <v:fill type="solid"/>
                </v:rect>
                <v:rect style="position:absolute;left:3734;top:-1385;width:140;height:140" id="docshape694" filled="false" stroked="true" strokeweight=".72pt" strokecolor="#a8423e">
                  <v:stroke dashstyle="solid"/>
                </v:rect>
                <v:rect style="position:absolute;left:4012;top:-1342;width:140;height:140" id="docshape695" filled="true" fillcolor="#aa4643" stroked="false">
                  <v:fill type="solid"/>
                </v:rect>
                <v:rect style="position:absolute;left:4012;top:-1342;width:140;height:140" id="docshape696" filled="false" stroked="true" strokeweight=".72pt" strokecolor="#a8423e">
                  <v:stroke dashstyle="solid"/>
                </v:rect>
                <v:rect style="position:absolute;left:4288;top:-1356;width:142;height:140" id="docshape697" filled="true" fillcolor="#aa4643" stroked="false">
                  <v:fill type="solid"/>
                </v:rect>
                <v:rect style="position:absolute;left:4288;top:-1356;width:142;height:140" id="docshape698" filled="false" stroked="true" strokeweight=".72pt" strokecolor="#a8423e">
                  <v:stroke dashstyle="solid"/>
                </v:rect>
                <v:rect style="position:absolute;left:4567;top:-1342;width:140;height:137" id="docshape699" filled="true" fillcolor="#aa4643" stroked="false">
                  <v:fill type="solid"/>
                </v:rect>
                <v:rect style="position:absolute;left:4567;top:-1342;width:140;height:137" id="docshape700" filled="false" stroked="true" strokeweight=".72pt" strokecolor="#a8423e">
                  <v:stroke dashstyle="solid"/>
                </v:rect>
                <v:rect style="position:absolute;left:4843;top:-1351;width:142;height:140" id="docshape701" filled="true" fillcolor="#aa4643" stroked="false">
                  <v:fill type="solid"/>
                </v:rect>
                <v:rect style="position:absolute;left:4843;top:-1351;width:142;height:140" id="docshape702" filled="false" stroked="true" strokeweight=".72pt" strokecolor="#a8423e">
                  <v:stroke dashstyle="solid"/>
                </v:rect>
                <v:rect style="position:absolute;left:5121;top:-1344;width:140;height:140" id="docshape703" filled="true" fillcolor="#aa4643" stroked="false">
                  <v:fill type="solid"/>
                </v:rect>
                <v:rect style="position:absolute;left:5121;top:-1344;width:140;height:140" id="docshape704" filled="false" stroked="true" strokeweight=".72pt" strokecolor="#a8423e">
                  <v:stroke dashstyle="solid"/>
                </v:rect>
                <v:rect style="position:absolute;left:5400;top:-1351;width:140;height:140" id="docshape705" filled="true" fillcolor="#aa4643" stroked="false">
                  <v:fill type="solid"/>
                </v:rect>
                <v:rect style="position:absolute;left:5400;top:-1351;width:140;height:140" id="docshape706" filled="false" stroked="true" strokeweight=".72pt" strokecolor="#a8423e">
                  <v:stroke dashstyle="solid"/>
                </v:rect>
                <v:rect style="position:absolute;left:5676;top:-1375;width:140;height:140" id="docshape707" filled="true" fillcolor="#aa4643" stroked="false">
                  <v:fill type="solid"/>
                </v:rect>
                <v:rect style="position:absolute;left:5676;top:-1375;width:140;height:140" id="docshape708" filled="false" stroked="true" strokeweight=".72pt" strokecolor="#a8423e">
                  <v:stroke dashstyle="solid"/>
                </v:rect>
                <v:rect style="position:absolute;left:5954;top:-1368;width:140;height:140" id="docshape709" filled="true" fillcolor="#aa4643" stroked="false">
                  <v:fill type="solid"/>
                </v:rect>
                <v:rect style="position:absolute;left:5954;top:-1368;width:140;height:140" id="docshape710" filled="false" stroked="true" strokeweight=".72pt" strokecolor="#a8423e">
                  <v:stroke dashstyle="solid"/>
                </v:rect>
                <v:rect style="position:absolute;left:6230;top:-1361;width:142;height:140" id="docshape711" filled="true" fillcolor="#aa4643" stroked="false">
                  <v:fill type="solid"/>
                </v:rect>
                <v:rect style="position:absolute;left:6230;top:-1361;width:142;height:140" id="docshape712" filled="false" stroked="true" strokeweight=".72pt" strokecolor="#a8423e">
                  <v:stroke dashstyle="solid"/>
                </v:rect>
                <v:rect style="position:absolute;left:6508;top:-1361;width:140;height:140" id="docshape713" filled="true" fillcolor="#aa4643" stroked="false">
                  <v:fill type="solid"/>
                </v:rect>
                <v:rect style="position:absolute;left:6508;top:-1361;width:140;height:140" id="docshape714" filled="false" stroked="true" strokeweight=".72pt" strokecolor="#a8423e">
                  <v:stroke dashstyle="solid"/>
                </v:rect>
                <v:rect style="position:absolute;left:6784;top:-1354;width:142;height:140" id="docshape715" filled="true" fillcolor="#aa4643" stroked="false">
                  <v:fill type="solid"/>
                </v:rect>
                <v:rect style="position:absolute;left:6784;top:-1354;width:142;height:140" id="docshape716" filled="false" stroked="true" strokeweight=".72pt" strokecolor="#a8423e">
                  <v:stroke dashstyle="solid"/>
                </v:rect>
                <v:rect style="position:absolute;left:7063;top:-1349;width:140;height:140" id="docshape717" filled="true" fillcolor="#aa4643" stroked="false">
                  <v:fill type="solid"/>
                </v:rect>
                <v:rect style="position:absolute;left:7063;top:-1349;width:140;height:140" id="docshape718" filled="false" stroked="true" strokeweight=".72pt" strokecolor="#a8423e">
                  <v:stroke dashstyle="solid"/>
                </v:rect>
                <v:rect style="position:absolute;left:7341;top:-1368;width:140;height:140" id="docshape719" filled="true" fillcolor="#aa4643" stroked="false">
                  <v:fill type="solid"/>
                </v:rect>
                <v:rect style="position:absolute;left:7341;top:-1368;width:140;height:140" id="docshape720" filled="false" stroked="true" strokeweight=".72pt" strokecolor="#a8423e">
                  <v:stroke dashstyle="solid"/>
                </v:rect>
                <v:rect style="position:absolute;left:7617;top:-1371;width:140;height:140" id="docshape721" filled="true" fillcolor="#aa4643" stroked="false">
                  <v:fill type="solid"/>
                </v:rect>
                <v:rect style="position:absolute;left:7617;top:-1371;width:140;height:140" id="docshape722" filled="false" stroked="true" strokeweight=".72pt" strokecolor="#a8423e">
                  <v:stroke dashstyle="solid"/>
                </v:rect>
                <v:rect style="position:absolute;left:7896;top:-1339;width:140;height:140" id="docshape723" filled="true" fillcolor="#aa4643" stroked="false">
                  <v:fill type="solid"/>
                </v:rect>
                <v:rect style="position:absolute;left:7896;top:-1339;width:140;height:140" id="docshape724" filled="false" stroked="true" strokeweight=".72pt" strokecolor="#a8423e">
                  <v:stroke dashstyle="solid"/>
                </v:rect>
                <v:shape style="position:absolute;left:3249;top:-1392;width:4716;height:128" id="docshape725" coordorigin="3250,-1392" coordsize="4716,128" path="m3250,-1265l3528,-1269,3804,-1272,4082,-1272,4358,-1279,4637,-1269,4915,-1274,5191,-1286,5470,-1291,5746,-1301,6024,-1298,6300,-1293,6578,-1289,6857,-1392,7133,-1382,7411,-1346,7687,-1349,7966,-1298e" filled="false" stroked="true" strokeweight="2.16pt" strokecolor="#85a349">
                  <v:path arrowok="t"/>
                  <v:stroke dashstyle="solid"/>
                </v:shape>
                <v:shape style="position:absolute;left:3172;top:-1341;width:155;height:155" type="#_x0000_t75" id="docshape726" stroked="false">
                  <v:imagedata r:id="rId181" o:title=""/>
                </v:shape>
                <v:shape style="position:absolute;left:3450;top:-1345;width:155;height:155" type="#_x0000_t75" id="docshape727" stroked="false">
                  <v:imagedata r:id="rId182" o:title=""/>
                </v:shape>
                <v:shape style="position:absolute;left:3727;top:-1349;width:155;height:155" type="#_x0000_t75" id="docshape728" stroked="false">
                  <v:imagedata r:id="rId182" o:title=""/>
                </v:shape>
                <v:shape style="position:absolute;left:4004;top:-1348;width:155;height:155" type="#_x0000_t75" id="docshape729" stroked="false">
                  <v:imagedata r:id="rId183" o:title=""/>
                </v:shape>
                <v:shape style="position:absolute;left:4282;top:-1355;width:155;height:155" type="#_x0000_t75" id="docshape730" stroked="false">
                  <v:imagedata r:id="rId181" o:title=""/>
                </v:shape>
                <v:shape style="position:absolute;left:4559;top:-1345;width:155;height:155" type="#_x0000_t75" id="docshape731" stroked="false">
                  <v:imagedata r:id="rId182" o:title=""/>
                </v:shape>
                <v:shape style="position:absolute;left:4837;top:-1350;width:155;height:155" type="#_x0000_t75" id="docshape732" stroked="false">
                  <v:imagedata r:id="rId182" o:title=""/>
                </v:shape>
                <v:shape style="position:absolute;left:5114;top:-1361;width:155;height:155" type="#_x0000_t75" id="docshape733" stroked="false">
                  <v:imagedata r:id="rId181" o:title=""/>
                </v:shape>
                <v:shape style="position:absolute;left:5391;top:-1367;width:155;height:155" type="#_x0000_t75" id="docshape734" stroked="false">
                  <v:imagedata r:id="rId184" o:title=""/>
                </v:shape>
                <v:shape style="position:absolute;left:5669;top:-1378;width:155;height:155" type="#_x0000_t75" id="docshape735" stroked="false">
                  <v:imagedata r:id="rId185" o:title=""/>
                </v:shape>
                <v:shape style="position:absolute;left:5946;top:-1374;width:155;height:155" type="#_x0000_t75" id="docshape736" stroked="false">
                  <v:imagedata r:id="rId184" o:title=""/>
                </v:shape>
                <v:shape style="position:absolute;left:6223;top:-1369;width:155;height:155" type="#_x0000_t75" id="docshape737" stroked="false">
                  <v:imagedata r:id="rId185" o:title=""/>
                </v:shape>
                <v:shape style="position:absolute;left:6501;top:-1364;width:155;height:155" type="#_x0000_t75" id="docshape738" stroked="false">
                  <v:imagedata r:id="rId184" o:title=""/>
                </v:shape>
                <v:shape style="position:absolute;left:6778;top:-1469;width:155;height:155" type="#_x0000_t75" id="docshape739" stroked="false">
                  <v:imagedata r:id="rId186" o:title=""/>
                </v:shape>
                <v:shape style="position:absolute;left:7055;top:-1459;width:155;height:155" type="#_x0000_t75" id="docshape740" stroked="false">
                  <v:imagedata r:id="rId187" o:title=""/>
                </v:shape>
                <v:shape style="position:absolute;left:7333;top:-1424;width:155;height:155" type="#_x0000_t75" id="docshape741" stroked="false">
                  <v:imagedata r:id="rId186" o:title=""/>
                </v:shape>
                <v:shape style="position:absolute;left:7610;top:-1425;width:155;height:155" type="#_x0000_t75" id="docshape742" stroked="false">
                  <v:imagedata r:id="rId186" o:title=""/>
                </v:shape>
                <v:shape style="position:absolute;left:7888;top:-1375;width:155;height:155" type="#_x0000_t75" id="docshape743" stroked="false">
                  <v:imagedata r:id="rId186" o:title=""/>
                </v:shape>
                <v:shape style="position:absolute;left:3249;top:-1325;width:4716;height:60" id="docshape744" coordorigin="3250,-1325" coordsize="4716,60" path="m3250,-1265l3528,-1267,3804,-1267,4082,-1274,4358,-1269,4637,-1269,4915,-1269,5191,-1269,5470,-1277,5746,-1279,6024,-1281,6300,-1279,6578,-1277,6857,-1279,7133,-1279,7411,-1325,7687,-1325,7966,-1293e" filled="false" stroked="true" strokeweight="2.16pt" strokecolor="#6d538d">
                  <v:path arrowok="t"/>
                  <v:stroke dashstyle="solid"/>
                </v:shape>
                <v:shape style="position:absolute;left:3180;top:-1395;width:4856;height:200" id="docshape745" coordorigin="3180,-1394" coordsize="4856,200" path="m3250,-1265l3180,-1195,3319,-1195,3250,-1265xm3319,-1334l3180,-1334,3250,-1265,3319,-1334xm3528,-1268l3458,-1197,3598,-1197,3528,-1268xm3598,-1339l3458,-1339,3528,-1268,3598,-1339xm3804,-1267l3734,-1197,3874,-1197,3804,-1267xm3874,-1337l3734,-1337,3804,-1267,3874,-1337xm4082,-1274l4013,-1205,4152,-1205,4082,-1274xm4152,-1344l4013,-1344,4082,-1274,4152,-1344xm4360,-1269l4289,-1200,4430,-1200,4360,-1269xm4430,-1339l4289,-1339,4360,-1269,4430,-1339xm4637,-1269l4567,-1200,4706,-1200,4637,-1269xm4706,-1339l4567,-1339,4637,-1269,4706,-1339xm4914,-1269l4843,-1200,4985,-1200,4914,-1269xm4985,-1339l4843,-1339,4914,-1269,4985,-1339xm5191,-1271l5122,-1200,5261,-1200,5191,-1271xm5261,-1341l5122,-1341,5191,-1271,5261,-1341xm5470,-1278l5400,-1207,5539,-1207,5470,-1278xm5539,-1349l5400,-1349,5470,-1278,5539,-1349xm5746,-1279l5676,-1209,5815,-1209,5746,-1279xm5815,-1349l5676,-1349,5746,-1279,5815,-1349xm6024,-1281l5954,-1212,6094,-1212,6024,-1281xm6094,-1351l5954,-1351,6024,-1281,6094,-1351xm6301,-1279l6230,-1209,6372,-1209,6301,-1279xm6372,-1349l6230,-1349,6301,-1279,6372,-1349xm6578,-1275l6509,-1205,6648,-1205,6578,-1275xm6648,-1346l6509,-1346,6578,-1275,6648,-1346xm6856,-1280l6785,-1209,6926,-1209,6856,-1280xm6926,-1351l6785,-1351,6856,-1280,6926,-1351xm7133,-1279l7063,-1209,7202,-1209,7133,-1279xm7202,-1349l7063,-1349,7133,-1279,7202,-1349xm7411,-1323l7342,-1253,7481,-1253,7411,-1323xm7481,-1394l7342,-1394,7411,-1323,7481,-1394xm7687,-1325l7618,-1255,7757,-1255,7687,-1325xm7757,-1394l7618,-1394,7687,-1325,7757,-1394xm7966,-1293l7896,-1224,8035,-1224,7966,-1293xm8035,-1363l7896,-1363,7966,-1293,8035,-1363xe" filled="true" fillcolor="#70578f" stroked="false">
                  <v:path arrowok="t"/>
                  <v:fill type="solid"/>
                </v:shape>
                <v:shape style="position:absolute;left:3180;top:-1395;width:4856;height:200" id="docshape746" coordorigin="3180,-1394" coordsize="4856,200" path="m3319,-1195l3180,-1334m3180,-1195l3319,-1334m3598,-1197l3458,-1339m3458,-1197l3598,-1339m3874,-1197l3734,-1337m3734,-1197l3874,-1337m4152,-1205l4013,-1344m4013,-1205l4152,-1344m4430,-1200l4289,-1339m4289,-1200l4430,-1339m4706,-1200l4567,-1339m4567,-1200l4706,-1339m4985,-1200l4843,-1339m4843,-1200l4985,-1339m5261,-1200l5122,-1341m5122,-1200l5261,-1341m5539,-1207l5400,-1349m5400,-1207l5539,-1349m5815,-1209l5676,-1349m5676,-1209l5815,-1349m6094,-1212l5954,-1351m5954,-1212l6094,-1351m6372,-1209l6230,-1349m6230,-1209l6372,-1349m6648,-1205l6509,-1346m6509,-1205l6648,-1346m6926,-1209l6785,-1351m6785,-1209l6926,-1351m7202,-1209l7063,-1349m7063,-1209l7202,-1349m7481,-1253l7342,-1394m7342,-1253l7481,-1394m7757,-1255l7618,-1394m7618,-1255l7757,-1394m8035,-1224l7896,-1363m7896,-1224l8035,-1363e" filled="false" stroked="true" strokeweight=".72pt" strokecolor="#6d538d">
                  <v:path arrowok="t"/>
                  <v:stroke dashstyle="solid"/>
                </v:shape>
                <v:shape style="position:absolute;left:3249;top:-1325;width:4716;height:60" id="docshape747" coordorigin="3250,-1325" coordsize="4716,60" path="m3250,-1265l3528,-1269,3804,-1267,4082,-1267,4358,-1267,4637,-1267,4915,-1269,5191,-1272,5470,-1281,5746,-1279,6024,-1286,6300,-1277,6578,-1277,6857,-1277,7133,-1277,7411,-1325,7687,-1317,7966,-1277e" filled="false" stroked="true" strokeweight="2.16pt" strokecolor="#3c95ad">
                  <v:path arrowok="t"/>
                  <v:stroke dashstyle="solid"/>
                </v:shape>
                <v:shape style="position:absolute;left:3180;top:-1395;width:4786;height:202" id="docshape748" coordorigin="3180,-1394" coordsize="4786,202" path="m3250,-1263l3180,-1193,3250,-1193,3250,-1263xm3250,-1334l3180,-1334,3250,-1263,3250,-1334xm3528,-1268l3458,-1197,3528,-1197,3528,-1268xm3528,-1339l3458,-1339,3528,-1268,3528,-1339xm3804,-1265l3734,-1195,3804,-1195,3804,-1265xm3804,-1334l3734,-1334,3804,-1265,3804,-1334xm4082,-1265l4013,-1195,4082,-1195,4082,-1265xm4082,-1334l4013,-1334,4082,-1265,4082,-1334xm4358,-1263l4289,-1195,4358,-1195,4358,-1263xm4358,-1266l4358,-1263,4360,-1265,4358,-1266xm4358,-1334l4289,-1334,4358,-1266,4358,-1334xm4637,-1265l4567,-1195,4637,-1195,4637,-1265xm4637,-1334l4567,-1334,4637,-1265,4637,-1334xm4914,-1267l4843,-1197,4915,-1197,4915,-1266,4914,-1267xm4915,-1337l4843,-1337,4914,-1267,4915,-1268,4915,-1337xm5191,-1269l5122,-1200,5191,-1200,5191,-1269xm5191,-1339l5122,-1339,5191,-1269,5191,-1339xm5470,-1279l5400,-1209,5470,-1209,5470,-1279xm5470,-1349l5400,-1349,5470,-1279,5470,-1349xm5746,-1277l5676,-1207,5746,-1207,5746,-1277xm5746,-1346l5676,-1346,5746,-1277,5746,-1346xm6024,-1285l5954,-1214,6024,-1214,6024,-1285xm6024,-1356l5954,-1356,6024,-1285,6024,-1356xm6300,-1274l6230,-1205,6300,-1205,6300,-1274xm6300,-1277l6300,-1274,6301,-1275,6300,-1277xm6300,-1346l6230,-1346,6300,-1277,6300,-1346xm6578,-1274l6509,-1205,6578,-1205,6578,-1274xm6578,-1344l6509,-1344,6578,-1274,6578,-1344xm6856,-1275l6785,-1205,6857,-1205,6857,-1274,6856,-1275xm6857,-1346l6785,-1346,6856,-1275,6857,-1277,6857,-1346xm7133,-1274l7063,-1205,7133,-1205,7133,-1274xm7133,-1344l7063,-1344,7133,-1274,7133,-1344xm7411,-1323l7342,-1253,7411,-1253,7411,-1323xm7411,-1394l7342,-1394,7411,-1323,7411,-1394xm7687,-1316l7618,-1245,7687,-1245,7687,-1316xm7687,-1387l7618,-1387,7687,-1316,7687,-1387xm7966,-1274l7896,-1205,7966,-1205,7966,-1274xm7966,-1344l7896,-1344,7966,-1274,7966,-1344xe" filled="true" fillcolor="#4197ae" stroked="false">
                  <v:path arrowok="t"/>
                  <v:fill type="solid"/>
                </v:shape>
                <v:shape style="position:absolute;left:3180;top:-1395;width:4856;height:202" id="docshape749" coordorigin="3180,-1394" coordsize="4856,202" path="m3319,-1193l3180,-1334m3250,-1334l3250,-1193m3180,-1193l3319,-1334m3598,-1197l3458,-1339m3528,-1339l3528,-1197m3458,-1197l3598,-1339m3874,-1195l3734,-1334m3804,-1334l3804,-1195m3734,-1195l3874,-1334m4152,-1195l4013,-1334m4082,-1334l4082,-1195m4013,-1195l4152,-1334m4430,-1195l4289,-1334m4358,-1334l4358,-1195m4289,-1195l4430,-1334m4706,-1195l4567,-1334m4637,-1334l4637,-1195m4567,-1195l4706,-1334m4985,-1197l4843,-1337m4915,-1337l4915,-1197m4843,-1197l4985,-1337m5261,-1200l5122,-1339m5191,-1339l5191,-1200m5122,-1200l5261,-1339m5539,-1209l5400,-1349m5470,-1349l5470,-1209m5400,-1209l5539,-1349m5815,-1207l5676,-1346m5746,-1346l5746,-1207m5676,-1207l5815,-1346m6094,-1214l5954,-1356m6024,-1356l6024,-1214m5954,-1214l6094,-1356m6372,-1205l6230,-1346m6300,-1346l6300,-1205m6230,-1205l6372,-1346m6648,-1205l6509,-1344m6578,-1344l6578,-1205m6509,-1205l6648,-1344m6926,-1205l6785,-1346m6857,-1346l6857,-1205m6785,-1205l6926,-1346m7202,-1205l7063,-1344m7133,-1344l7133,-1205m7063,-1205l7202,-1344m7481,-1253l7342,-1394m7411,-1394l7411,-1253m7342,-1253l7481,-1394m7757,-1245l7618,-1387m7687,-1387l7687,-1245m7618,-1245l7757,-1387m8035,-1205l7896,-1344m7966,-1344l7966,-1205m7896,-1205l8035,-1344e" filled="false" stroked="true" strokeweight=".72pt" strokecolor="#3c95ad">
                  <v:path arrowok="t"/>
                  <v:stroke dashstyle="solid"/>
                </v:shape>
                <v:shape style="position:absolute;left:3249;top:-1891;width:4716;height:627" id="docshape750" coordorigin="3250,-1891" coordsize="4716,627" path="m3250,-1265l3528,-1325,3804,-1293,4082,-1291,4358,-1274,4637,-1329,4915,-1358,5191,-1346,5470,-1413,5746,-1452,6024,-1447,6300,-1413,6578,-1389,6857,-1380,7133,-1452,7411,-1680,7687,-1891,7966,-1651e" filled="false" stroked="true" strokeweight="2.16pt" strokecolor="#da8137">
                  <v:path arrowok="t"/>
                  <v:stroke dashstyle="solid"/>
                </v:shape>
                <v:shape style="position:absolute;left:3172;top:-1342;width:154;height:154" type="#_x0000_t75" id="docshape751" stroked="false">
                  <v:imagedata r:id="rId164" o:title=""/>
                </v:shape>
                <v:shape style="position:absolute;left:3451;top:-1404;width:154;height:156" type="#_x0000_t75" id="docshape752" stroked="false">
                  <v:imagedata r:id="rId165" o:title=""/>
                </v:shape>
                <v:shape style="position:absolute;left:3727;top:-1373;width:154;height:156" type="#_x0000_t75" id="docshape753" stroked="false">
                  <v:imagedata r:id="rId172" o:title=""/>
                </v:shape>
                <v:shape style="position:absolute;left:4005;top:-1368;width:154;height:154" type="#_x0000_t75" id="docshape754" stroked="false">
                  <v:imagedata r:id="rId168" o:title=""/>
                </v:shape>
                <v:shape style="position:absolute;left:4281;top:-1354;width:156;height:156" type="#_x0000_t75" id="docshape755" stroked="false">
                  <v:imagedata r:id="rId188" o:title=""/>
                </v:shape>
                <v:shape style="position:absolute;left:4560;top:-1407;width:154;height:154" type="#_x0000_t75" id="docshape756" stroked="false">
                  <v:imagedata r:id="rId173" o:title=""/>
                </v:shape>
                <v:shape style="position:absolute;left:4836;top:-1435;width:156;height:154" type="#_x0000_t75" id="docshape757" stroked="false">
                  <v:imagedata r:id="rId169" o:title=""/>
                </v:shape>
                <v:shape style="position:absolute;left:5114;top:-1426;width:154;height:156" type="#_x0000_t75" id="docshape758" stroked="false">
                  <v:imagedata r:id="rId172" o:title=""/>
                </v:shape>
                <v:shape style="position:absolute;left:5392;top:-1491;width:154;height:154" type="#_x0000_t75" id="docshape759" stroked="false">
                  <v:imagedata r:id="rId168" o:title=""/>
                </v:shape>
                <v:shape style="position:absolute;left:5668;top:-1531;width:154;height:156" type="#_x0000_t75" id="docshape760" stroked="false">
                  <v:imagedata r:id="rId172" o:title=""/>
                </v:shape>
                <v:shape style="position:absolute;left:5947;top:-1524;width:154;height:154" type="#_x0000_t75" id="docshape761" stroked="false">
                  <v:imagedata r:id="rId167" o:title=""/>
                </v:shape>
                <v:shape style="position:absolute;left:6223;top:-1491;width:156;height:154" type="#_x0000_t75" id="docshape762" stroked="false">
                  <v:imagedata r:id="rId169" o:title=""/>
                </v:shape>
                <v:shape style="position:absolute;left:6501;top:-1467;width:154;height:154" type="#_x0000_t75" id="docshape763" stroked="false">
                  <v:imagedata r:id="rId173" o:title=""/>
                </v:shape>
                <v:shape style="position:absolute;left:6777;top:-1457;width:156;height:154" type="#_x0000_t75" id="docshape764" stroked="false">
                  <v:imagedata r:id="rId189" o:title=""/>
                </v:shape>
                <v:shape style="position:absolute;left:7056;top:-1529;width:154;height:154" type="#_x0000_t75" id="docshape765" stroked="false">
                  <v:imagedata r:id="rId167" o:title=""/>
                </v:shape>
                <v:shape style="position:absolute;left:7334;top:-1757;width:154;height:154" type="#_x0000_t75" id="docshape766" stroked="false">
                  <v:imagedata r:id="rId173" o:title=""/>
                </v:shape>
                <v:shape style="position:absolute;left:7610;top:-1968;width:154;height:154" type="#_x0000_t75" id="docshape767" stroked="false">
                  <v:imagedata r:id="rId173" o:title=""/>
                </v:shape>
                <v:shape style="position:absolute;left:7888;top:-1728;width:154;height:154" type="#_x0000_t75" id="docshape768" stroked="false">
                  <v:imagedata r:id="rId173" o:title=""/>
                </v:shape>
                <v:shape style="position:absolute;left:8416;top:-3485;width:384;height:135" type="#_x0000_t75" id="docshape769" stroked="false">
                  <v:imagedata r:id="rId174" o:title=""/>
                </v:shape>
                <v:line style="position:absolute" from="8417,-3055" to="8801,-3055" stroked="true" strokeweight="1.92pt" strokecolor="#a8423e">
                  <v:stroke dashstyle="solid"/>
                </v:line>
                <v:rect style="position:absolute;left:8548;top:-3115;width:120;height:120" id="docshape770" filled="true" fillcolor="#aa4643" stroked="false">
                  <v:fill type="solid"/>
                </v:rect>
                <v:rect style="position:absolute;left:8548;top:-3115;width:120;height:120" id="docshape771" filled="false" stroked="true" strokeweight=".72pt" strokecolor="#a8423e">
                  <v:stroke dashstyle="solid"/>
                </v:rect>
                <v:shape style="position:absolute;left:8416;top:-2760;width:384;height:135" type="#_x0000_t75" id="docshape772" stroked="false">
                  <v:imagedata r:id="rId190" o:title=""/>
                </v:shape>
                <v:shape style="position:absolute;left:8416;top:-2398;width:384;height:135" type="#_x0000_t75" id="docshape773" stroked="false">
                  <v:imagedata r:id="rId176" o:title=""/>
                </v:shape>
                <v:shape style="position:absolute;left:8416;top:-2038;width:384;height:135" type="#_x0000_t75" id="docshape774" stroked="false">
                  <v:imagedata r:id="rId191" o:title=""/>
                </v:shape>
                <v:shape style="position:absolute;left:8416;top:-1675;width:384;height:135" type="#_x0000_t75" id="docshape775" stroked="false">
                  <v:imagedata r:id="rId178" o:title=""/>
                </v:shape>
                <v:rect style="position:absolute;left:1470;top:-4997;width:9356;height:4969" id="docshape776" filled="false" stroked="true" strokeweight="1pt" strokecolor="#858585">
                  <v:stroke dashstyle="solid"/>
                </v:rect>
                <v:shape style="position:absolute;left:2116;top:-4868;width:827;height:3126" type="#_x0000_t202" id="docshape777" filled="false" stroked="false">
                  <v:textbox inset="0,0,0,0">
                    <w:txbxContent>
                      <w:p>
                        <w:pPr>
                          <w:spacing w:line="203" w:lineRule="exact" w:before="0"/>
                          <w:ind w:left="0" w:right="0" w:firstLine="0"/>
                          <w:jc w:val="left"/>
                          <w:rPr>
                            <w:rFonts w:ascii="Calibri"/>
                            <w:sz w:val="20"/>
                          </w:rPr>
                        </w:pPr>
                        <w:r>
                          <w:rPr>
                            <w:rFonts w:ascii="Calibri"/>
                            <w:spacing w:val="-2"/>
                            <w:sz w:val="20"/>
                          </w:rPr>
                          <w:t>30000000</w:t>
                        </w:r>
                      </w:p>
                      <w:p>
                        <w:pPr>
                          <w:spacing w:line="240" w:lineRule="auto" w:before="96"/>
                          <w:rPr>
                            <w:rFonts w:ascii="Calibri"/>
                            <w:sz w:val="20"/>
                          </w:rPr>
                        </w:pPr>
                      </w:p>
                      <w:p>
                        <w:pPr>
                          <w:spacing w:before="1"/>
                          <w:ind w:left="0" w:right="0" w:firstLine="0"/>
                          <w:jc w:val="left"/>
                          <w:rPr>
                            <w:rFonts w:ascii="Calibri"/>
                            <w:sz w:val="20"/>
                          </w:rPr>
                        </w:pPr>
                        <w:r>
                          <w:rPr>
                            <w:rFonts w:ascii="Calibri"/>
                            <w:spacing w:val="-2"/>
                            <w:sz w:val="20"/>
                          </w:rPr>
                          <w:t>25000000</w:t>
                        </w:r>
                      </w:p>
                      <w:p>
                        <w:pPr>
                          <w:spacing w:line="240" w:lineRule="auto" w:before="97"/>
                          <w:rPr>
                            <w:rFonts w:ascii="Calibri"/>
                            <w:sz w:val="20"/>
                          </w:rPr>
                        </w:pPr>
                      </w:p>
                      <w:p>
                        <w:pPr>
                          <w:spacing w:before="0"/>
                          <w:ind w:left="0" w:right="0" w:firstLine="0"/>
                          <w:jc w:val="left"/>
                          <w:rPr>
                            <w:rFonts w:ascii="Calibri"/>
                            <w:sz w:val="20"/>
                          </w:rPr>
                        </w:pPr>
                        <w:r>
                          <w:rPr>
                            <w:rFonts w:ascii="Calibri"/>
                            <w:spacing w:val="-2"/>
                            <w:sz w:val="20"/>
                          </w:rPr>
                          <w:t>20000000</w:t>
                        </w:r>
                      </w:p>
                      <w:p>
                        <w:pPr>
                          <w:spacing w:line="240" w:lineRule="auto" w:before="97"/>
                          <w:rPr>
                            <w:rFonts w:ascii="Calibri"/>
                            <w:sz w:val="20"/>
                          </w:rPr>
                        </w:pPr>
                      </w:p>
                      <w:p>
                        <w:pPr>
                          <w:spacing w:before="0"/>
                          <w:ind w:left="0" w:right="0" w:firstLine="0"/>
                          <w:jc w:val="left"/>
                          <w:rPr>
                            <w:rFonts w:ascii="Calibri"/>
                            <w:sz w:val="20"/>
                          </w:rPr>
                        </w:pPr>
                        <w:r>
                          <w:rPr>
                            <w:rFonts w:ascii="Calibri"/>
                            <w:spacing w:val="-2"/>
                            <w:sz w:val="20"/>
                          </w:rPr>
                          <w:t>15000000</w:t>
                        </w:r>
                      </w:p>
                      <w:p>
                        <w:pPr>
                          <w:spacing w:line="240" w:lineRule="auto" w:before="97"/>
                          <w:rPr>
                            <w:rFonts w:ascii="Calibri"/>
                            <w:sz w:val="20"/>
                          </w:rPr>
                        </w:pPr>
                      </w:p>
                      <w:p>
                        <w:pPr>
                          <w:spacing w:before="0"/>
                          <w:ind w:left="0" w:right="0" w:firstLine="0"/>
                          <w:jc w:val="left"/>
                          <w:rPr>
                            <w:rFonts w:ascii="Calibri"/>
                            <w:sz w:val="20"/>
                          </w:rPr>
                        </w:pPr>
                        <w:r>
                          <w:rPr>
                            <w:rFonts w:ascii="Calibri"/>
                            <w:spacing w:val="-2"/>
                            <w:sz w:val="20"/>
                          </w:rPr>
                          <w:t>10000000</w:t>
                        </w:r>
                      </w:p>
                      <w:p>
                        <w:pPr>
                          <w:spacing w:line="240" w:lineRule="auto" w:before="97"/>
                          <w:rPr>
                            <w:rFonts w:ascii="Calibri"/>
                            <w:sz w:val="20"/>
                          </w:rPr>
                        </w:pPr>
                      </w:p>
                      <w:p>
                        <w:pPr>
                          <w:spacing w:line="240" w:lineRule="exact" w:before="0"/>
                          <w:ind w:left="0" w:right="0" w:firstLine="0"/>
                          <w:jc w:val="left"/>
                          <w:rPr>
                            <w:rFonts w:ascii="Calibri"/>
                            <w:sz w:val="20"/>
                          </w:rPr>
                        </w:pPr>
                        <w:r>
                          <w:rPr>
                            <w:rFonts w:ascii="Calibri"/>
                            <w:spacing w:val="-2"/>
                            <w:sz w:val="20"/>
                          </w:rPr>
                          <w:t>50000000</w:t>
                        </w:r>
                      </w:p>
                    </w:txbxContent>
                  </v:textbox>
                  <w10:wrap type="none"/>
                </v:shape>
                <v:shape style="position:absolute;left:8842;top:-3509;width:1795;height:2008" type="#_x0000_t202" id="docshape778" filled="false" stroked="false">
                  <v:textbox inset="0,0,0,0">
                    <w:txbxContent>
                      <w:p>
                        <w:pPr>
                          <w:spacing w:line="203" w:lineRule="exact" w:before="0"/>
                          <w:ind w:left="0" w:right="0" w:firstLine="0"/>
                          <w:jc w:val="left"/>
                          <w:rPr>
                            <w:rFonts w:ascii="Calibri"/>
                            <w:sz w:val="20"/>
                          </w:rPr>
                        </w:pPr>
                        <w:r>
                          <w:rPr>
                            <w:rFonts w:ascii="Calibri"/>
                            <w:sz w:val="20"/>
                          </w:rPr>
                          <w:t>Annual</w:t>
                        </w:r>
                        <w:r>
                          <w:rPr>
                            <w:rFonts w:ascii="Calibri"/>
                            <w:spacing w:val="-10"/>
                            <w:sz w:val="20"/>
                          </w:rPr>
                          <w:t> </w:t>
                        </w:r>
                        <w:r>
                          <w:rPr>
                            <w:rFonts w:ascii="Calibri"/>
                            <w:sz w:val="20"/>
                          </w:rPr>
                          <w:t>Total</w:t>
                        </w:r>
                        <w:r>
                          <w:rPr>
                            <w:rFonts w:ascii="Calibri"/>
                            <w:spacing w:val="-5"/>
                            <w:sz w:val="20"/>
                          </w:rPr>
                          <w:t> </w:t>
                        </w:r>
                        <w:r>
                          <w:rPr>
                            <w:rFonts w:ascii="Calibri"/>
                            <w:spacing w:val="-2"/>
                            <w:sz w:val="20"/>
                          </w:rPr>
                          <w:t>Revenue</w:t>
                        </w:r>
                      </w:p>
                      <w:p>
                        <w:pPr>
                          <w:spacing w:line="355" w:lineRule="auto" w:before="117"/>
                          <w:ind w:left="0" w:right="495" w:firstLine="0"/>
                          <w:jc w:val="left"/>
                          <w:rPr>
                            <w:rFonts w:ascii="Calibri"/>
                            <w:sz w:val="20"/>
                          </w:rPr>
                        </w:pPr>
                        <w:r>
                          <w:rPr>
                            <w:rFonts w:ascii="Calibri"/>
                            <w:spacing w:val="-2"/>
                            <w:sz w:val="20"/>
                          </w:rPr>
                          <w:t>Housing Education Health Agriculture</w:t>
                        </w:r>
                      </w:p>
                      <w:p>
                        <w:pPr>
                          <w:spacing w:line="240" w:lineRule="exact" w:before="2"/>
                          <w:ind w:left="0" w:right="0" w:firstLine="0"/>
                          <w:jc w:val="left"/>
                          <w:rPr>
                            <w:rFonts w:ascii="Calibri"/>
                            <w:sz w:val="20"/>
                          </w:rPr>
                        </w:pPr>
                        <w:r>
                          <w:rPr>
                            <w:rFonts w:ascii="Calibri"/>
                            <w:spacing w:val="-2"/>
                            <w:sz w:val="20"/>
                          </w:rPr>
                          <w:t>Works</w:t>
                        </w:r>
                      </w:p>
                    </w:txbxContent>
                  </v:textbox>
                  <w10:wrap type="none"/>
                </v:shape>
                <v:shape style="position:absolute;left:2824;top:-1355;width:121;height:200" type="#_x0000_t202" id="docshape779"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v:shape style="position:absolute;left:5379;top:-481;width:474;height:200" type="#_x0000_t202" id="docshape780" filled="false" stroked="false">
                  <v:textbox inset="0,0,0,0">
                    <w:txbxContent>
                      <w:p>
                        <w:pPr>
                          <w:spacing w:line="199" w:lineRule="exact" w:before="0"/>
                          <w:ind w:left="0" w:right="0" w:firstLine="0"/>
                          <w:jc w:val="left"/>
                          <w:rPr>
                            <w:rFonts w:ascii="Calibri"/>
                            <w:b/>
                            <w:sz w:val="20"/>
                          </w:rPr>
                        </w:pPr>
                        <w:r>
                          <w:rPr>
                            <w:rFonts w:ascii="Calibri"/>
                            <w:b/>
                            <w:spacing w:val="-2"/>
                            <w:sz w:val="20"/>
                          </w:rPr>
                          <w:t>Years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8576">
                <wp:simplePos x="0" y="0"/>
                <wp:positionH relativeFrom="page">
                  <wp:posOffset>1999233</wp:posOffset>
                </wp:positionH>
                <wp:positionV relativeFrom="paragraph">
                  <wp:posOffset>-695946</wp:posOffset>
                </wp:positionV>
                <wp:extent cx="3146425" cy="281940"/>
                <wp:effectExtent l="0" t="0" r="0" b="0"/>
                <wp:wrapNone/>
                <wp:docPr id="829" name="Textbox 829"/>
                <wp:cNvGraphicFramePr>
                  <a:graphicFrameLocks/>
                </wp:cNvGraphicFramePr>
                <a:graphic>
                  <a:graphicData uri="http://schemas.microsoft.com/office/word/2010/wordprocessingShape">
                    <wps:wsp>
                      <wps:cNvPr id="829" name="Textbox 829"/>
                      <wps:cNvSpPr txBox="1"/>
                      <wps:spPr>
                        <a:xfrm>
                          <a:off x="0" y="0"/>
                          <a:ext cx="3146425" cy="281940"/>
                        </a:xfrm>
                        <a:prstGeom prst="rect">
                          <a:avLst/>
                        </a:prstGeom>
                      </wps:spPr>
                      <wps:txbx>
                        <w:txbxContent>
                          <w:p>
                            <w:pPr>
                              <w:spacing w:line="223" w:lineRule="exact" w:before="0"/>
                              <w:ind w:left="20" w:right="0" w:firstLine="0"/>
                              <w:jc w:val="left"/>
                              <w:rPr>
                                <w:rFonts w:ascii="Calibri"/>
                                <w:sz w:val="20"/>
                              </w:rPr>
                            </w:pPr>
                            <w:r>
                              <w:rPr>
                                <w:rFonts w:ascii="Calibri"/>
                                <w:spacing w:val="-4"/>
                                <w:sz w:val="20"/>
                              </w:rPr>
                              <w:t>1999</w:t>
                            </w:r>
                          </w:p>
                          <w:p>
                            <w:pPr>
                              <w:spacing w:before="33"/>
                              <w:ind w:left="20" w:right="0" w:firstLine="0"/>
                              <w:jc w:val="left"/>
                              <w:rPr>
                                <w:rFonts w:ascii="Calibri"/>
                                <w:sz w:val="20"/>
                              </w:rPr>
                            </w:pPr>
                            <w:r>
                              <w:rPr>
                                <w:rFonts w:ascii="Calibri"/>
                                <w:spacing w:val="-4"/>
                                <w:sz w:val="20"/>
                              </w:rPr>
                              <w:t>2000</w:t>
                            </w:r>
                          </w:p>
                          <w:p>
                            <w:pPr>
                              <w:spacing w:before="33"/>
                              <w:ind w:left="20" w:right="0" w:firstLine="0"/>
                              <w:jc w:val="left"/>
                              <w:rPr>
                                <w:rFonts w:ascii="Calibri"/>
                                <w:sz w:val="20"/>
                              </w:rPr>
                            </w:pPr>
                            <w:r>
                              <w:rPr>
                                <w:rFonts w:ascii="Calibri"/>
                                <w:spacing w:val="-4"/>
                                <w:sz w:val="20"/>
                              </w:rPr>
                              <w:t>2001</w:t>
                            </w:r>
                          </w:p>
                          <w:p>
                            <w:pPr>
                              <w:spacing w:before="33"/>
                              <w:ind w:left="20" w:right="0" w:firstLine="0"/>
                              <w:jc w:val="left"/>
                              <w:rPr>
                                <w:rFonts w:ascii="Calibri"/>
                                <w:sz w:val="20"/>
                              </w:rPr>
                            </w:pPr>
                            <w:r>
                              <w:rPr>
                                <w:rFonts w:ascii="Calibri"/>
                                <w:spacing w:val="-4"/>
                                <w:sz w:val="20"/>
                              </w:rPr>
                              <w:t>2002</w:t>
                            </w:r>
                          </w:p>
                          <w:p>
                            <w:pPr>
                              <w:spacing w:before="33"/>
                              <w:ind w:left="20" w:right="0" w:firstLine="0"/>
                              <w:jc w:val="left"/>
                              <w:rPr>
                                <w:rFonts w:ascii="Calibri"/>
                                <w:sz w:val="20"/>
                              </w:rPr>
                            </w:pPr>
                            <w:r>
                              <w:rPr>
                                <w:rFonts w:ascii="Calibri"/>
                                <w:spacing w:val="-4"/>
                                <w:sz w:val="20"/>
                              </w:rPr>
                              <w:t>2003</w:t>
                            </w:r>
                          </w:p>
                          <w:p>
                            <w:pPr>
                              <w:spacing w:before="34"/>
                              <w:ind w:left="20" w:right="0" w:firstLine="0"/>
                              <w:jc w:val="left"/>
                              <w:rPr>
                                <w:rFonts w:ascii="Calibri"/>
                                <w:sz w:val="20"/>
                              </w:rPr>
                            </w:pPr>
                            <w:r>
                              <w:rPr>
                                <w:rFonts w:ascii="Calibri"/>
                                <w:spacing w:val="-4"/>
                                <w:sz w:val="20"/>
                              </w:rPr>
                              <w:t>2004</w:t>
                            </w:r>
                          </w:p>
                          <w:p>
                            <w:pPr>
                              <w:spacing w:before="33"/>
                              <w:ind w:left="20" w:right="0" w:firstLine="0"/>
                              <w:jc w:val="left"/>
                              <w:rPr>
                                <w:rFonts w:ascii="Calibri"/>
                                <w:sz w:val="20"/>
                              </w:rPr>
                            </w:pPr>
                            <w:r>
                              <w:rPr>
                                <w:rFonts w:ascii="Calibri"/>
                                <w:spacing w:val="-4"/>
                                <w:sz w:val="20"/>
                              </w:rPr>
                              <w:t>2005</w:t>
                            </w:r>
                          </w:p>
                          <w:p>
                            <w:pPr>
                              <w:spacing w:before="33"/>
                              <w:ind w:left="20" w:right="0" w:firstLine="0"/>
                              <w:jc w:val="left"/>
                              <w:rPr>
                                <w:rFonts w:ascii="Calibri"/>
                                <w:sz w:val="20"/>
                              </w:rPr>
                            </w:pPr>
                            <w:r>
                              <w:rPr>
                                <w:rFonts w:ascii="Calibri"/>
                                <w:spacing w:val="-4"/>
                                <w:sz w:val="20"/>
                              </w:rPr>
                              <w:t>2006</w:t>
                            </w:r>
                          </w:p>
                          <w:p>
                            <w:pPr>
                              <w:spacing w:before="34"/>
                              <w:ind w:left="20" w:right="0" w:firstLine="0"/>
                              <w:jc w:val="left"/>
                              <w:rPr>
                                <w:rFonts w:ascii="Calibri"/>
                                <w:sz w:val="20"/>
                              </w:rPr>
                            </w:pPr>
                            <w:r>
                              <w:rPr>
                                <w:rFonts w:ascii="Calibri"/>
                                <w:spacing w:val="-4"/>
                                <w:sz w:val="20"/>
                              </w:rPr>
                              <w:t>2007</w:t>
                            </w:r>
                          </w:p>
                          <w:p>
                            <w:pPr>
                              <w:spacing w:before="33"/>
                              <w:ind w:left="20" w:right="0" w:firstLine="0"/>
                              <w:jc w:val="left"/>
                              <w:rPr>
                                <w:rFonts w:ascii="Calibri"/>
                                <w:sz w:val="20"/>
                              </w:rPr>
                            </w:pPr>
                            <w:r>
                              <w:rPr>
                                <w:rFonts w:ascii="Calibri"/>
                                <w:spacing w:val="-4"/>
                                <w:sz w:val="20"/>
                              </w:rPr>
                              <w:t>2008</w:t>
                            </w:r>
                          </w:p>
                          <w:p>
                            <w:pPr>
                              <w:spacing w:before="33"/>
                              <w:ind w:left="20" w:right="0" w:firstLine="0"/>
                              <w:jc w:val="left"/>
                              <w:rPr>
                                <w:rFonts w:ascii="Calibri"/>
                                <w:sz w:val="20"/>
                              </w:rPr>
                            </w:pPr>
                            <w:r>
                              <w:rPr>
                                <w:rFonts w:ascii="Calibri"/>
                                <w:spacing w:val="-4"/>
                                <w:sz w:val="20"/>
                              </w:rPr>
                              <w:t>2009</w:t>
                            </w:r>
                          </w:p>
                          <w:p>
                            <w:pPr>
                              <w:spacing w:before="34"/>
                              <w:ind w:left="20" w:right="0" w:firstLine="0"/>
                              <w:jc w:val="left"/>
                              <w:rPr>
                                <w:rFonts w:ascii="Calibri"/>
                                <w:sz w:val="20"/>
                              </w:rPr>
                            </w:pPr>
                            <w:r>
                              <w:rPr>
                                <w:rFonts w:ascii="Calibri"/>
                                <w:spacing w:val="-4"/>
                                <w:sz w:val="20"/>
                              </w:rPr>
                              <w:t>2010</w:t>
                            </w:r>
                          </w:p>
                          <w:p>
                            <w:pPr>
                              <w:spacing w:before="33"/>
                              <w:ind w:left="20" w:right="0" w:firstLine="0"/>
                              <w:jc w:val="left"/>
                              <w:rPr>
                                <w:rFonts w:ascii="Calibri"/>
                                <w:sz w:val="20"/>
                              </w:rPr>
                            </w:pPr>
                            <w:r>
                              <w:rPr>
                                <w:rFonts w:ascii="Calibri"/>
                                <w:spacing w:val="-4"/>
                                <w:sz w:val="20"/>
                              </w:rPr>
                              <w:t>2011</w:t>
                            </w:r>
                          </w:p>
                          <w:p>
                            <w:pPr>
                              <w:spacing w:before="33"/>
                              <w:ind w:left="20" w:right="0" w:firstLine="0"/>
                              <w:jc w:val="left"/>
                              <w:rPr>
                                <w:rFonts w:ascii="Calibri"/>
                                <w:sz w:val="20"/>
                              </w:rPr>
                            </w:pPr>
                            <w:r>
                              <w:rPr>
                                <w:rFonts w:ascii="Calibri"/>
                                <w:spacing w:val="-4"/>
                                <w:sz w:val="20"/>
                              </w:rPr>
                              <w:t>2012</w:t>
                            </w:r>
                          </w:p>
                          <w:p>
                            <w:pPr>
                              <w:spacing w:before="33"/>
                              <w:ind w:left="20" w:right="0" w:firstLine="0"/>
                              <w:jc w:val="left"/>
                              <w:rPr>
                                <w:rFonts w:ascii="Calibri"/>
                                <w:sz w:val="20"/>
                              </w:rPr>
                            </w:pPr>
                            <w:r>
                              <w:rPr>
                                <w:rFonts w:ascii="Calibri"/>
                                <w:spacing w:val="-4"/>
                                <w:sz w:val="20"/>
                              </w:rPr>
                              <w:t>2013</w:t>
                            </w:r>
                          </w:p>
                          <w:p>
                            <w:pPr>
                              <w:spacing w:before="33"/>
                              <w:ind w:left="20" w:right="0" w:firstLine="0"/>
                              <w:jc w:val="left"/>
                              <w:rPr>
                                <w:rFonts w:ascii="Calibri"/>
                                <w:sz w:val="20"/>
                              </w:rPr>
                            </w:pPr>
                            <w:r>
                              <w:rPr>
                                <w:rFonts w:ascii="Calibri"/>
                                <w:spacing w:val="-4"/>
                                <w:sz w:val="20"/>
                              </w:rPr>
                              <w:t>2014</w:t>
                            </w:r>
                          </w:p>
                          <w:p>
                            <w:pPr>
                              <w:spacing w:before="33"/>
                              <w:ind w:left="20" w:right="0" w:firstLine="0"/>
                              <w:jc w:val="left"/>
                              <w:rPr>
                                <w:rFonts w:ascii="Calibri"/>
                                <w:sz w:val="20"/>
                              </w:rPr>
                            </w:pPr>
                            <w:r>
                              <w:rPr>
                                <w:rFonts w:ascii="Calibri"/>
                                <w:spacing w:val="-4"/>
                                <w:sz w:val="20"/>
                              </w:rPr>
                              <w:t>2015</w:t>
                            </w:r>
                          </w:p>
                          <w:p>
                            <w:pPr>
                              <w:spacing w:before="34"/>
                              <w:ind w:left="20" w:right="0" w:firstLine="0"/>
                              <w:jc w:val="left"/>
                              <w:rPr>
                                <w:rFonts w:ascii="Calibri"/>
                                <w:sz w:val="20"/>
                              </w:rPr>
                            </w:pPr>
                            <w:r>
                              <w:rPr>
                                <w:rFonts w:ascii="Calibri"/>
                                <w:spacing w:val="-4"/>
                                <w:sz w:val="20"/>
                              </w:rPr>
                              <w:t>2016</w:t>
                            </w:r>
                          </w:p>
                        </w:txbxContent>
                      </wps:txbx>
                      <wps:bodyPr wrap="square" lIns="0" tIns="0" rIns="0" bIns="0" rtlCol="0" vert="vert270">
                        <a:noAutofit/>
                      </wps:bodyPr>
                    </wps:wsp>
                  </a:graphicData>
                </a:graphic>
              </wp:anchor>
            </w:drawing>
          </mc:Choice>
          <mc:Fallback>
            <w:pict>
              <v:shape style="position:absolute;margin-left:157.419998pt;margin-top:-54.798908pt;width:247.75pt;height:22.2pt;mso-position-horizontal-relative:page;mso-position-vertical-relative:paragraph;z-index:15768576" type="#_x0000_t202" id="docshape781"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spacing w:val="-4"/>
                          <w:sz w:val="20"/>
                        </w:rPr>
                        <w:t>1999</w:t>
                      </w:r>
                    </w:p>
                    <w:p>
                      <w:pPr>
                        <w:spacing w:before="33"/>
                        <w:ind w:left="20" w:right="0" w:firstLine="0"/>
                        <w:jc w:val="left"/>
                        <w:rPr>
                          <w:rFonts w:ascii="Calibri"/>
                          <w:sz w:val="20"/>
                        </w:rPr>
                      </w:pPr>
                      <w:r>
                        <w:rPr>
                          <w:rFonts w:ascii="Calibri"/>
                          <w:spacing w:val="-4"/>
                          <w:sz w:val="20"/>
                        </w:rPr>
                        <w:t>2000</w:t>
                      </w:r>
                    </w:p>
                    <w:p>
                      <w:pPr>
                        <w:spacing w:before="33"/>
                        <w:ind w:left="20" w:right="0" w:firstLine="0"/>
                        <w:jc w:val="left"/>
                        <w:rPr>
                          <w:rFonts w:ascii="Calibri"/>
                          <w:sz w:val="20"/>
                        </w:rPr>
                      </w:pPr>
                      <w:r>
                        <w:rPr>
                          <w:rFonts w:ascii="Calibri"/>
                          <w:spacing w:val="-4"/>
                          <w:sz w:val="20"/>
                        </w:rPr>
                        <w:t>2001</w:t>
                      </w:r>
                    </w:p>
                    <w:p>
                      <w:pPr>
                        <w:spacing w:before="33"/>
                        <w:ind w:left="20" w:right="0" w:firstLine="0"/>
                        <w:jc w:val="left"/>
                        <w:rPr>
                          <w:rFonts w:ascii="Calibri"/>
                          <w:sz w:val="20"/>
                        </w:rPr>
                      </w:pPr>
                      <w:r>
                        <w:rPr>
                          <w:rFonts w:ascii="Calibri"/>
                          <w:spacing w:val="-4"/>
                          <w:sz w:val="20"/>
                        </w:rPr>
                        <w:t>2002</w:t>
                      </w:r>
                    </w:p>
                    <w:p>
                      <w:pPr>
                        <w:spacing w:before="33"/>
                        <w:ind w:left="20" w:right="0" w:firstLine="0"/>
                        <w:jc w:val="left"/>
                        <w:rPr>
                          <w:rFonts w:ascii="Calibri"/>
                          <w:sz w:val="20"/>
                        </w:rPr>
                      </w:pPr>
                      <w:r>
                        <w:rPr>
                          <w:rFonts w:ascii="Calibri"/>
                          <w:spacing w:val="-4"/>
                          <w:sz w:val="20"/>
                        </w:rPr>
                        <w:t>2003</w:t>
                      </w:r>
                    </w:p>
                    <w:p>
                      <w:pPr>
                        <w:spacing w:before="34"/>
                        <w:ind w:left="20" w:right="0" w:firstLine="0"/>
                        <w:jc w:val="left"/>
                        <w:rPr>
                          <w:rFonts w:ascii="Calibri"/>
                          <w:sz w:val="20"/>
                        </w:rPr>
                      </w:pPr>
                      <w:r>
                        <w:rPr>
                          <w:rFonts w:ascii="Calibri"/>
                          <w:spacing w:val="-4"/>
                          <w:sz w:val="20"/>
                        </w:rPr>
                        <w:t>2004</w:t>
                      </w:r>
                    </w:p>
                    <w:p>
                      <w:pPr>
                        <w:spacing w:before="33"/>
                        <w:ind w:left="20" w:right="0" w:firstLine="0"/>
                        <w:jc w:val="left"/>
                        <w:rPr>
                          <w:rFonts w:ascii="Calibri"/>
                          <w:sz w:val="20"/>
                        </w:rPr>
                      </w:pPr>
                      <w:r>
                        <w:rPr>
                          <w:rFonts w:ascii="Calibri"/>
                          <w:spacing w:val="-4"/>
                          <w:sz w:val="20"/>
                        </w:rPr>
                        <w:t>2005</w:t>
                      </w:r>
                    </w:p>
                    <w:p>
                      <w:pPr>
                        <w:spacing w:before="33"/>
                        <w:ind w:left="20" w:right="0" w:firstLine="0"/>
                        <w:jc w:val="left"/>
                        <w:rPr>
                          <w:rFonts w:ascii="Calibri"/>
                          <w:sz w:val="20"/>
                        </w:rPr>
                      </w:pPr>
                      <w:r>
                        <w:rPr>
                          <w:rFonts w:ascii="Calibri"/>
                          <w:spacing w:val="-4"/>
                          <w:sz w:val="20"/>
                        </w:rPr>
                        <w:t>2006</w:t>
                      </w:r>
                    </w:p>
                    <w:p>
                      <w:pPr>
                        <w:spacing w:before="34"/>
                        <w:ind w:left="20" w:right="0" w:firstLine="0"/>
                        <w:jc w:val="left"/>
                        <w:rPr>
                          <w:rFonts w:ascii="Calibri"/>
                          <w:sz w:val="20"/>
                        </w:rPr>
                      </w:pPr>
                      <w:r>
                        <w:rPr>
                          <w:rFonts w:ascii="Calibri"/>
                          <w:spacing w:val="-4"/>
                          <w:sz w:val="20"/>
                        </w:rPr>
                        <w:t>2007</w:t>
                      </w:r>
                    </w:p>
                    <w:p>
                      <w:pPr>
                        <w:spacing w:before="33"/>
                        <w:ind w:left="20" w:right="0" w:firstLine="0"/>
                        <w:jc w:val="left"/>
                        <w:rPr>
                          <w:rFonts w:ascii="Calibri"/>
                          <w:sz w:val="20"/>
                        </w:rPr>
                      </w:pPr>
                      <w:r>
                        <w:rPr>
                          <w:rFonts w:ascii="Calibri"/>
                          <w:spacing w:val="-4"/>
                          <w:sz w:val="20"/>
                        </w:rPr>
                        <w:t>2008</w:t>
                      </w:r>
                    </w:p>
                    <w:p>
                      <w:pPr>
                        <w:spacing w:before="33"/>
                        <w:ind w:left="20" w:right="0" w:firstLine="0"/>
                        <w:jc w:val="left"/>
                        <w:rPr>
                          <w:rFonts w:ascii="Calibri"/>
                          <w:sz w:val="20"/>
                        </w:rPr>
                      </w:pPr>
                      <w:r>
                        <w:rPr>
                          <w:rFonts w:ascii="Calibri"/>
                          <w:spacing w:val="-4"/>
                          <w:sz w:val="20"/>
                        </w:rPr>
                        <w:t>2009</w:t>
                      </w:r>
                    </w:p>
                    <w:p>
                      <w:pPr>
                        <w:spacing w:before="34"/>
                        <w:ind w:left="20" w:right="0" w:firstLine="0"/>
                        <w:jc w:val="left"/>
                        <w:rPr>
                          <w:rFonts w:ascii="Calibri"/>
                          <w:sz w:val="20"/>
                        </w:rPr>
                      </w:pPr>
                      <w:r>
                        <w:rPr>
                          <w:rFonts w:ascii="Calibri"/>
                          <w:spacing w:val="-4"/>
                          <w:sz w:val="20"/>
                        </w:rPr>
                        <w:t>2010</w:t>
                      </w:r>
                    </w:p>
                    <w:p>
                      <w:pPr>
                        <w:spacing w:before="33"/>
                        <w:ind w:left="20" w:right="0" w:firstLine="0"/>
                        <w:jc w:val="left"/>
                        <w:rPr>
                          <w:rFonts w:ascii="Calibri"/>
                          <w:sz w:val="20"/>
                        </w:rPr>
                      </w:pPr>
                      <w:r>
                        <w:rPr>
                          <w:rFonts w:ascii="Calibri"/>
                          <w:spacing w:val="-4"/>
                          <w:sz w:val="20"/>
                        </w:rPr>
                        <w:t>2011</w:t>
                      </w:r>
                    </w:p>
                    <w:p>
                      <w:pPr>
                        <w:spacing w:before="33"/>
                        <w:ind w:left="20" w:right="0" w:firstLine="0"/>
                        <w:jc w:val="left"/>
                        <w:rPr>
                          <w:rFonts w:ascii="Calibri"/>
                          <w:sz w:val="20"/>
                        </w:rPr>
                      </w:pPr>
                      <w:r>
                        <w:rPr>
                          <w:rFonts w:ascii="Calibri"/>
                          <w:spacing w:val="-4"/>
                          <w:sz w:val="20"/>
                        </w:rPr>
                        <w:t>2012</w:t>
                      </w:r>
                    </w:p>
                    <w:p>
                      <w:pPr>
                        <w:spacing w:before="33"/>
                        <w:ind w:left="20" w:right="0" w:firstLine="0"/>
                        <w:jc w:val="left"/>
                        <w:rPr>
                          <w:rFonts w:ascii="Calibri"/>
                          <w:sz w:val="20"/>
                        </w:rPr>
                      </w:pPr>
                      <w:r>
                        <w:rPr>
                          <w:rFonts w:ascii="Calibri"/>
                          <w:spacing w:val="-4"/>
                          <w:sz w:val="20"/>
                        </w:rPr>
                        <w:t>2013</w:t>
                      </w:r>
                    </w:p>
                    <w:p>
                      <w:pPr>
                        <w:spacing w:before="33"/>
                        <w:ind w:left="20" w:right="0" w:firstLine="0"/>
                        <w:jc w:val="left"/>
                        <w:rPr>
                          <w:rFonts w:ascii="Calibri"/>
                          <w:sz w:val="20"/>
                        </w:rPr>
                      </w:pPr>
                      <w:r>
                        <w:rPr>
                          <w:rFonts w:ascii="Calibri"/>
                          <w:spacing w:val="-4"/>
                          <w:sz w:val="20"/>
                        </w:rPr>
                        <w:t>2014</w:t>
                      </w:r>
                    </w:p>
                    <w:p>
                      <w:pPr>
                        <w:spacing w:before="33"/>
                        <w:ind w:left="20" w:right="0" w:firstLine="0"/>
                        <w:jc w:val="left"/>
                        <w:rPr>
                          <w:rFonts w:ascii="Calibri"/>
                          <w:sz w:val="20"/>
                        </w:rPr>
                      </w:pPr>
                      <w:r>
                        <w:rPr>
                          <w:rFonts w:ascii="Calibri"/>
                          <w:spacing w:val="-4"/>
                          <w:sz w:val="20"/>
                        </w:rPr>
                        <w:t>2015</w:t>
                      </w:r>
                    </w:p>
                    <w:p>
                      <w:pPr>
                        <w:spacing w:before="34"/>
                        <w:ind w:left="20" w:right="0" w:firstLine="0"/>
                        <w:jc w:val="left"/>
                        <w:rPr>
                          <w:rFonts w:ascii="Calibri"/>
                          <w:sz w:val="20"/>
                        </w:rPr>
                      </w:pPr>
                      <w:r>
                        <w:rPr>
                          <w:rFonts w:ascii="Calibri"/>
                          <w:spacing w:val="-4"/>
                          <w:sz w:val="20"/>
                        </w:rPr>
                        <w:t>2016</w:t>
                      </w:r>
                    </w:p>
                  </w:txbxContent>
                </v:textbox>
                <w10:wrap type="none"/>
              </v:shape>
            </w:pict>
          </mc:Fallback>
        </mc:AlternateContent>
      </w:r>
      <w:r>
        <w:rPr>
          <w:b/>
        </w:rPr>
        <w:t>Figure 5.6: </w:t>
      </w:r>
      <w:r>
        <w:rPr/>
        <w:t>Trend of Anambra State annual housing, education, health, agriculture and works sector budget allocation and total revenue from 1999 – 2016 (Researcher‘s plot with MS- Excel, </w:t>
      </w:r>
      <w:r>
        <w:rPr>
          <w:spacing w:val="-2"/>
        </w:rPr>
        <w:t>2017)</w:t>
      </w:r>
    </w:p>
    <w:p>
      <w:pPr>
        <w:pStyle w:val="BodyText"/>
        <w:spacing w:before="2"/>
      </w:pPr>
    </w:p>
    <w:p>
      <w:pPr>
        <w:pStyle w:val="BodyText"/>
        <w:spacing w:line="360" w:lineRule="auto" w:before="1"/>
        <w:ind w:left="240" w:right="835"/>
        <w:jc w:val="both"/>
      </w:pPr>
      <w:r>
        <w:rPr/>
        <mc:AlternateContent>
          <mc:Choice Requires="wps">
            <w:drawing>
              <wp:anchor distT="0" distB="0" distL="0" distR="0" allowOverlap="1" layoutInCell="1" locked="0" behindDoc="0" simplePos="0" relativeHeight="15767040">
                <wp:simplePos x="0" y="0"/>
                <wp:positionH relativeFrom="page">
                  <wp:posOffset>927100</wp:posOffset>
                </wp:positionH>
                <wp:positionV relativeFrom="paragraph">
                  <wp:posOffset>1437713</wp:posOffset>
                </wp:positionV>
                <wp:extent cx="5951220" cy="2233930"/>
                <wp:effectExtent l="0" t="0" r="0" b="0"/>
                <wp:wrapNone/>
                <wp:docPr id="830" name="Group 830"/>
                <wp:cNvGraphicFramePr>
                  <a:graphicFrameLocks/>
                </wp:cNvGraphicFramePr>
                <a:graphic>
                  <a:graphicData uri="http://schemas.microsoft.com/office/word/2010/wordprocessingGroup">
                    <wpg:wgp>
                      <wpg:cNvPr id="830" name="Group 830"/>
                      <wpg:cNvGrpSpPr/>
                      <wpg:grpSpPr>
                        <a:xfrm>
                          <a:off x="0" y="0"/>
                          <a:ext cx="5951220" cy="2233930"/>
                          <a:chExt cx="5951220" cy="2233930"/>
                        </a:xfrm>
                      </wpg:grpSpPr>
                      <pic:pic>
                        <pic:nvPicPr>
                          <pic:cNvPr id="831" name="Image 831"/>
                          <pic:cNvPicPr/>
                        </pic:nvPicPr>
                        <pic:blipFill>
                          <a:blip r:embed="rId192" cstate="print"/>
                          <a:stretch>
                            <a:fillRect/>
                          </a:stretch>
                        </pic:blipFill>
                        <pic:spPr>
                          <a:xfrm>
                            <a:off x="1720850" y="148209"/>
                            <a:ext cx="3922776" cy="1394460"/>
                          </a:xfrm>
                          <a:prstGeom prst="rect">
                            <a:avLst/>
                          </a:prstGeom>
                        </pic:spPr>
                      </pic:pic>
                      <wps:wsp>
                        <wps:cNvPr id="832" name="Graphic 832"/>
                        <wps:cNvSpPr/>
                        <wps:spPr>
                          <a:xfrm>
                            <a:off x="1704085" y="303656"/>
                            <a:ext cx="40640" cy="1219200"/>
                          </a:xfrm>
                          <a:custGeom>
                            <a:avLst/>
                            <a:gdLst/>
                            <a:ahLst/>
                            <a:cxnLst/>
                            <a:rect l="l" t="t" r="r" b="b"/>
                            <a:pathLst>
                              <a:path w="40640" h="1219200">
                                <a:moveTo>
                                  <a:pt x="40131" y="1218945"/>
                                </a:moveTo>
                                <a:lnTo>
                                  <a:pt x="0" y="1218945"/>
                                </a:lnTo>
                              </a:path>
                              <a:path w="40640" h="1219200">
                                <a:moveTo>
                                  <a:pt x="40131" y="975359"/>
                                </a:moveTo>
                                <a:lnTo>
                                  <a:pt x="0" y="975359"/>
                                </a:lnTo>
                              </a:path>
                              <a:path w="40640" h="1219200">
                                <a:moveTo>
                                  <a:pt x="40131" y="731519"/>
                                </a:moveTo>
                                <a:lnTo>
                                  <a:pt x="0" y="731519"/>
                                </a:lnTo>
                              </a:path>
                              <a:path w="40640" h="1219200">
                                <a:moveTo>
                                  <a:pt x="40131" y="487679"/>
                                </a:moveTo>
                                <a:lnTo>
                                  <a:pt x="0" y="487679"/>
                                </a:lnTo>
                              </a:path>
                              <a:path w="40640" h="1219200">
                                <a:moveTo>
                                  <a:pt x="40131" y="243839"/>
                                </a:moveTo>
                                <a:lnTo>
                                  <a:pt x="0" y="243839"/>
                                </a:lnTo>
                              </a:path>
                              <a:path w="40640" h="1219200">
                                <a:moveTo>
                                  <a:pt x="40131" y="0"/>
                                </a:moveTo>
                                <a:lnTo>
                                  <a:pt x="0" y="0"/>
                                </a:lnTo>
                              </a:path>
                            </a:pathLst>
                          </a:custGeom>
                          <a:ln w="12700">
                            <a:solidFill>
                              <a:srgbClr val="858585"/>
                            </a:solidFill>
                            <a:prstDash val="solid"/>
                          </a:ln>
                        </wps:spPr>
                        <wps:bodyPr wrap="square" lIns="0" tIns="0" rIns="0" bIns="0" rtlCol="0">
                          <a:prstTxWarp prst="textNoShape">
                            <a:avLst/>
                          </a:prstTxWarp>
                          <a:noAutofit/>
                        </wps:bodyPr>
                      </wps:wsp>
                      <wps:wsp>
                        <wps:cNvPr id="833" name="Graphic 833"/>
                        <wps:cNvSpPr/>
                        <wps:spPr>
                          <a:xfrm>
                            <a:off x="405638" y="643267"/>
                            <a:ext cx="36830" cy="83820"/>
                          </a:xfrm>
                          <a:custGeom>
                            <a:avLst/>
                            <a:gdLst/>
                            <a:ahLst/>
                            <a:cxnLst/>
                            <a:rect l="l" t="t" r="r" b="b"/>
                            <a:pathLst>
                              <a:path w="36830" h="83820">
                                <a:moveTo>
                                  <a:pt x="12179" y="0"/>
                                </a:moveTo>
                                <a:lnTo>
                                  <a:pt x="0" y="0"/>
                                </a:lnTo>
                                <a:lnTo>
                                  <a:pt x="0" y="83807"/>
                                </a:lnTo>
                                <a:lnTo>
                                  <a:pt x="12179" y="83807"/>
                                </a:lnTo>
                                <a:lnTo>
                                  <a:pt x="12179" y="0"/>
                                </a:lnTo>
                                <a:close/>
                              </a:path>
                              <a:path w="36830" h="83820">
                                <a:moveTo>
                                  <a:pt x="36576" y="0"/>
                                </a:moveTo>
                                <a:lnTo>
                                  <a:pt x="24384" y="0"/>
                                </a:lnTo>
                                <a:lnTo>
                                  <a:pt x="24384" y="83807"/>
                                </a:lnTo>
                                <a:lnTo>
                                  <a:pt x="36576" y="83807"/>
                                </a:lnTo>
                                <a:lnTo>
                                  <a:pt x="36576" y="0"/>
                                </a:lnTo>
                                <a:close/>
                              </a:path>
                            </a:pathLst>
                          </a:custGeom>
                          <a:solidFill>
                            <a:srgbClr val="000000"/>
                          </a:solidFill>
                        </wps:spPr>
                        <wps:bodyPr wrap="square" lIns="0" tIns="0" rIns="0" bIns="0" rtlCol="0">
                          <a:prstTxWarp prst="textNoShape">
                            <a:avLst/>
                          </a:prstTxWarp>
                          <a:noAutofit/>
                        </wps:bodyPr>
                      </wps:wsp>
                      <wps:wsp>
                        <wps:cNvPr id="834" name="Graphic 834"/>
                        <wps:cNvSpPr/>
                        <wps:spPr>
                          <a:xfrm>
                            <a:off x="6350" y="6350"/>
                            <a:ext cx="5938520" cy="2221230"/>
                          </a:xfrm>
                          <a:custGeom>
                            <a:avLst/>
                            <a:gdLst/>
                            <a:ahLst/>
                            <a:cxnLst/>
                            <a:rect l="l" t="t" r="r" b="b"/>
                            <a:pathLst>
                              <a:path w="5938520" h="2221230">
                                <a:moveTo>
                                  <a:pt x="0" y="2220722"/>
                                </a:moveTo>
                                <a:lnTo>
                                  <a:pt x="5938138" y="2220722"/>
                                </a:lnTo>
                                <a:lnTo>
                                  <a:pt x="5938138" y="0"/>
                                </a:lnTo>
                                <a:lnTo>
                                  <a:pt x="0" y="0"/>
                                </a:lnTo>
                                <a:lnTo>
                                  <a:pt x="0" y="2220722"/>
                                </a:lnTo>
                                <a:close/>
                              </a:path>
                            </a:pathLst>
                          </a:custGeom>
                          <a:ln w="12700">
                            <a:solidFill>
                              <a:srgbClr val="858585"/>
                            </a:solidFill>
                            <a:prstDash val="solid"/>
                          </a:ln>
                        </wps:spPr>
                        <wps:bodyPr wrap="square" lIns="0" tIns="0" rIns="0" bIns="0" rtlCol="0">
                          <a:prstTxWarp prst="textNoShape">
                            <a:avLst/>
                          </a:prstTxWarp>
                          <a:noAutofit/>
                        </wps:bodyPr>
                      </wps:wsp>
                      <wps:wsp>
                        <wps:cNvPr id="835" name="Textbox 835"/>
                        <wps:cNvSpPr txBox="1"/>
                        <wps:spPr>
                          <a:xfrm>
                            <a:off x="599694" y="251840"/>
                            <a:ext cx="1038860" cy="1346835"/>
                          </a:xfrm>
                          <a:prstGeom prst="rect">
                            <a:avLst/>
                          </a:prstGeom>
                        </wps:spPr>
                        <wps:txbx>
                          <w:txbxContent>
                            <w:p>
                              <w:pPr>
                                <w:spacing w:line="203" w:lineRule="exact" w:before="0"/>
                                <w:ind w:left="0" w:right="19" w:firstLine="0"/>
                                <w:jc w:val="right"/>
                                <w:rPr>
                                  <w:rFonts w:ascii="Calibri"/>
                                  <w:sz w:val="20"/>
                                </w:rPr>
                              </w:pPr>
                              <w:r>
                                <w:rPr>
                                  <w:rFonts w:ascii="Calibri"/>
                                  <w:spacing w:val="-2"/>
                                  <w:sz w:val="20"/>
                                </w:rPr>
                                <w:t>250,000,000,000.00</w:t>
                              </w:r>
                            </w:p>
                            <w:p>
                              <w:pPr>
                                <w:spacing w:before="140"/>
                                <w:ind w:left="0" w:right="19" w:firstLine="0"/>
                                <w:jc w:val="right"/>
                                <w:rPr>
                                  <w:rFonts w:ascii="Calibri"/>
                                  <w:sz w:val="20"/>
                                </w:rPr>
                              </w:pPr>
                              <w:r>
                                <w:rPr>
                                  <w:rFonts w:ascii="Calibri"/>
                                  <w:spacing w:val="-2"/>
                                  <w:sz w:val="20"/>
                                </w:rPr>
                                <w:t>200,000,000,000.00</w:t>
                              </w:r>
                            </w:p>
                            <w:p>
                              <w:pPr>
                                <w:spacing w:before="140"/>
                                <w:ind w:left="0" w:right="19" w:firstLine="0"/>
                                <w:jc w:val="right"/>
                                <w:rPr>
                                  <w:rFonts w:ascii="Calibri"/>
                                  <w:sz w:val="20"/>
                                </w:rPr>
                              </w:pPr>
                              <w:r>
                                <w:rPr>
                                  <w:rFonts w:ascii="Calibri"/>
                                  <w:spacing w:val="-2"/>
                                  <w:sz w:val="20"/>
                                </w:rPr>
                                <w:t>150,000,000,000.00</w:t>
                              </w:r>
                            </w:p>
                            <w:p>
                              <w:pPr>
                                <w:spacing w:before="140"/>
                                <w:ind w:left="0" w:right="19" w:firstLine="0"/>
                                <w:jc w:val="right"/>
                                <w:rPr>
                                  <w:rFonts w:ascii="Calibri"/>
                                  <w:sz w:val="20"/>
                                </w:rPr>
                              </w:pPr>
                              <w:r>
                                <w:rPr>
                                  <w:rFonts w:ascii="Calibri"/>
                                  <w:spacing w:val="-2"/>
                                  <w:sz w:val="20"/>
                                </w:rPr>
                                <w:t>100,000,000,000.00</w:t>
                              </w:r>
                            </w:p>
                            <w:p>
                              <w:pPr>
                                <w:spacing w:before="140"/>
                                <w:ind w:left="0" w:right="19" w:firstLine="0"/>
                                <w:jc w:val="right"/>
                                <w:rPr>
                                  <w:rFonts w:ascii="Calibri"/>
                                  <w:sz w:val="20"/>
                                </w:rPr>
                              </w:pPr>
                              <w:r>
                                <w:rPr>
                                  <w:rFonts w:ascii="Calibri"/>
                                  <w:spacing w:val="-2"/>
                                  <w:sz w:val="20"/>
                                </w:rPr>
                                <w:t>50,000,000,000.00</w:t>
                              </w:r>
                            </w:p>
                            <w:p>
                              <w:pPr>
                                <w:spacing w:line="240" w:lineRule="exact" w:before="140"/>
                                <w:ind w:left="0" w:right="18" w:firstLine="0"/>
                                <w:jc w:val="right"/>
                                <w:rPr>
                                  <w:rFonts w:ascii="Calibri"/>
                                  <w:sz w:val="20"/>
                                </w:rPr>
                              </w:pPr>
                              <w:r>
                                <w:rPr>
                                  <w:rFonts w:ascii="Calibri"/>
                                  <w:spacing w:val="-4"/>
                                  <w:sz w:val="20"/>
                                </w:rPr>
                                <w:t>0.00</w:t>
                              </w:r>
                            </w:p>
                          </w:txbxContent>
                        </wps:txbx>
                        <wps:bodyPr wrap="square" lIns="0" tIns="0" rIns="0" bIns="0" rtlCol="0">
                          <a:noAutofit/>
                        </wps:bodyPr>
                      </wps:wsp>
                      <wps:wsp>
                        <wps:cNvPr id="836" name="Textbox 836"/>
                        <wps:cNvSpPr txBox="1"/>
                        <wps:spPr>
                          <a:xfrm>
                            <a:off x="1905761" y="1667636"/>
                            <a:ext cx="429895"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Housing</w:t>
                              </w:r>
                            </w:p>
                          </w:txbxContent>
                        </wps:txbx>
                        <wps:bodyPr wrap="square" lIns="0" tIns="0" rIns="0" bIns="0" rtlCol="0">
                          <a:noAutofit/>
                        </wps:bodyPr>
                      </wps:wsp>
                      <wps:wsp>
                        <wps:cNvPr id="837" name="Textbox 837"/>
                        <wps:cNvSpPr txBox="1"/>
                        <wps:spPr>
                          <a:xfrm>
                            <a:off x="2597657" y="1667636"/>
                            <a:ext cx="1181100" cy="127000"/>
                          </a:xfrm>
                          <a:prstGeom prst="rect">
                            <a:avLst/>
                          </a:prstGeom>
                        </wps:spPr>
                        <wps:txbx>
                          <w:txbxContent>
                            <w:p>
                              <w:pPr>
                                <w:tabs>
                                  <w:tab w:pos="1303" w:val="left" w:leader="none"/>
                                </w:tabs>
                                <w:spacing w:line="199" w:lineRule="exact" w:before="0"/>
                                <w:ind w:left="0" w:right="0" w:firstLine="0"/>
                                <w:jc w:val="left"/>
                                <w:rPr>
                                  <w:rFonts w:ascii="Calibri"/>
                                  <w:sz w:val="20"/>
                                </w:rPr>
                              </w:pPr>
                              <w:r>
                                <w:rPr>
                                  <w:rFonts w:ascii="Calibri"/>
                                  <w:spacing w:val="-2"/>
                                  <w:sz w:val="20"/>
                                </w:rPr>
                                <w:t>Education</w:t>
                              </w:r>
                              <w:r>
                                <w:rPr>
                                  <w:rFonts w:ascii="Calibri"/>
                                  <w:sz w:val="20"/>
                                </w:rPr>
                                <w:tab/>
                              </w:r>
                              <w:r>
                                <w:rPr>
                                  <w:rFonts w:ascii="Calibri"/>
                                  <w:spacing w:val="-2"/>
                                  <w:sz w:val="20"/>
                                </w:rPr>
                                <w:t>Health</w:t>
                              </w:r>
                            </w:p>
                          </w:txbxContent>
                        </wps:txbx>
                        <wps:bodyPr wrap="square" lIns="0" tIns="0" rIns="0" bIns="0" rtlCol="0">
                          <a:noAutofit/>
                        </wps:bodyPr>
                      </wps:wsp>
                      <wps:wsp>
                        <wps:cNvPr id="838" name="Textbox 838"/>
                        <wps:cNvSpPr txBox="1"/>
                        <wps:spPr>
                          <a:xfrm>
                            <a:off x="4051553" y="1667636"/>
                            <a:ext cx="584200"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Agriculture</w:t>
                              </w:r>
                            </w:p>
                          </w:txbxContent>
                        </wps:txbx>
                        <wps:bodyPr wrap="square" lIns="0" tIns="0" rIns="0" bIns="0" rtlCol="0">
                          <a:noAutofit/>
                        </wps:bodyPr>
                      </wps:wsp>
                      <wps:wsp>
                        <wps:cNvPr id="839" name="Textbox 839"/>
                        <wps:cNvSpPr txBox="1"/>
                        <wps:spPr>
                          <a:xfrm>
                            <a:off x="4912233" y="1667636"/>
                            <a:ext cx="344170"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Works</w:t>
                              </w:r>
                            </w:p>
                          </w:txbxContent>
                        </wps:txbx>
                        <wps:bodyPr wrap="square" lIns="0" tIns="0" rIns="0" bIns="0" rtlCol="0">
                          <a:noAutofit/>
                        </wps:bodyPr>
                      </wps:wsp>
                      <wps:wsp>
                        <wps:cNvPr id="840" name="Textbox 840"/>
                        <wps:cNvSpPr txBox="1"/>
                        <wps:spPr>
                          <a:xfrm>
                            <a:off x="3198622" y="1923414"/>
                            <a:ext cx="807720"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Priority</w:t>
                              </w:r>
                              <w:r>
                                <w:rPr>
                                  <w:rFonts w:ascii="Calibri"/>
                                  <w:b/>
                                  <w:spacing w:val="3"/>
                                  <w:sz w:val="20"/>
                                </w:rPr>
                                <w:t> </w:t>
                              </w:r>
                              <w:r>
                                <w:rPr>
                                  <w:rFonts w:ascii="Calibri"/>
                                  <w:b/>
                                  <w:spacing w:val="-2"/>
                                  <w:sz w:val="20"/>
                                </w:rPr>
                                <w:t>sectors</w:t>
                              </w:r>
                            </w:p>
                          </w:txbxContent>
                        </wps:txbx>
                        <wps:bodyPr wrap="square" lIns="0" tIns="0" rIns="0" bIns="0" rtlCol="0">
                          <a:noAutofit/>
                        </wps:bodyPr>
                      </wps:wsp>
                    </wpg:wgp>
                  </a:graphicData>
                </a:graphic>
              </wp:anchor>
            </w:drawing>
          </mc:Choice>
          <mc:Fallback>
            <w:pict>
              <v:group style="position:absolute;margin-left:73pt;margin-top:113.20578pt;width:468.6pt;height:175.9pt;mso-position-horizontal-relative:page;mso-position-vertical-relative:paragraph;z-index:15767040" id="docshapegroup782" coordorigin="1460,2264" coordsize="9372,3518">
                <v:shape style="position:absolute;left:4170;top:2497;width:6178;height:2196" type="#_x0000_t75" id="docshape783" stroked="false">
                  <v:imagedata r:id="rId192" o:title=""/>
                </v:shape>
                <v:shape style="position:absolute;left:4143;top:2742;width:64;height:1920" id="docshape784" coordorigin="4144,2742" coordsize="64,1920" path="m4207,4662l4144,4662m4207,4278l4144,4278m4207,3894l4144,3894m4207,3510l4144,3510m4207,3126l4144,3126m4207,2742l4144,2742e" filled="false" stroked="true" strokeweight="1pt" strokecolor="#858585">
                  <v:path arrowok="t"/>
                  <v:stroke dashstyle="solid"/>
                </v:shape>
                <v:shape style="position:absolute;left:2098;top:3277;width:58;height:132" id="docshape785" coordorigin="2099,3277" coordsize="58,132" path="m2118,3277l2099,3277,2099,3409,2118,3409,2118,3277xm2156,3277l2137,3277,2137,3409,2156,3409,2156,3277xe" filled="true" fillcolor="#000000" stroked="false">
                  <v:path arrowok="t"/>
                  <v:fill type="solid"/>
                </v:shape>
                <v:rect style="position:absolute;left:1470;top:2274;width:9352;height:3498" id="docshape786" filled="false" stroked="true" strokeweight="1pt" strokecolor="#858585">
                  <v:stroke dashstyle="solid"/>
                </v:rect>
                <v:shape style="position:absolute;left:2404;top:2660;width:1636;height:2121" type="#_x0000_t202" id="docshape787" filled="false" stroked="false">
                  <v:textbox inset="0,0,0,0">
                    <w:txbxContent>
                      <w:p>
                        <w:pPr>
                          <w:spacing w:line="203" w:lineRule="exact" w:before="0"/>
                          <w:ind w:left="0" w:right="19" w:firstLine="0"/>
                          <w:jc w:val="right"/>
                          <w:rPr>
                            <w:rFonts w:ascii="Calibri"/>
                            <w:sz w:val="20"/>
                          </w:rPr>
                        </w:pPr>
                        <w:r>
                          <w:rPr>
                            <w:rFonts w:ascii="Calibri"/>
                            <w:spacing w:val="-2"/>
                            <w:sz w:val="20"/>
                          </w:rPr>
                          <w:t>250,000,000,000.00</w:t>
                        </w:r>
                      </w:p>
                      <w:p>
                        <w:pPr>
                          <w:spacing w:before="140"/>
                          <w:ind w:left="0" w:right="19" w:firstLine="0"/>
                          <w:jc w:val="right"/>
                          <w:rPr>
                            <w:rFonts w:ascii="Calibri"/>
                            <w:sz w:val="20"/>
                          </w:rPr>
                        </w:pPr>
                        <w:r>
                          <w:rPr>
                            <w:rFonts w:ascii="Calibri"/>
                            <w:spacing w:val="-2"/>
                            <w:sz w:val="20"/>
                          </w:rPr>
                          <w:t>200,000,000,000.00</w:t>
                        </w:r>
                      </w:p>
                      <w:p>
                        <w:pPr>
                          <w:spacing w:before="140"/>
                          <w:ind w:left="0" w:right="19" w:firstLine="0"/>
                          <w:jc w:val="right"/>
                          <w:rPr>
                            <w:rFonts w:ascii="Calibri"/>
                            <w:sz w:val="20"/>
                          </w:rPr>
                        </w:pPr>
                        <w:r>
                          <w:rPr>
                            <w:rFonts w:ascii="Calibri"/>
                            <w:spacing w:val="-2"/>
                            <w:sz w:val="20"/>
                          </w:rPr>
                          <w:t>150,000,000,000.00</w:t>
                        </w:r>
                      </w:p>
                      <w:p>
                        <w:pPr>
                          <w:spacing w:before="140"/>
                          <w:ind w:left="0" w:right="19" w:firstLine="0"/>
                          <w:jc w:val="right"/>
                          <w:rPr>
                            <w:rFonts w:ascii="Calibri"/>
                            <w:sz w:val="20"/>
                          </w:rPr>
                        </w:pPr>
                        <w:r>
                          <w:rPr>
                            <w:rFonts w:ascii="Calibri"/>
                            <w:spacing w:val="-2"/>
                            <w:sz w:val="20"/>
                          </w:rPr>
                          <w:t>100,000,000,000.00</w:t>
                        </w:r>
                      </w:p>
                      <w:p>
                        <w:pPr>
                          <w:spacing w:before="140"/>
                          <w:ind w:left="0" w:right="19" w:firstLine="0"/>
                          <w:jc w:val="right"/>
                          <w:rPr>
                            <w:rFonts w:ascii="Calibri"/>
                            <w:sz w:val="20"/>
                          </w:rPr>
                        </w:pPr>
                        <w:r>
                          <w:rPr>
                            <w:rFonts w:ascii="Calibri"/>
                            <w:spacing w:val="-2"/>
                            <w:sz w:val="20"/>
                          </w:rPr>
                          <w:t>50,000,000,000.00</w:t>
                        </w:r>
                      </w:p>
                      <w:p>
                        <w:pPr>
                          <w:spacing w:line="240" w:lineRule="exact" w:before="140"/>
                          <w:ind w:left="0" w:right="18" w:firstLine="0"/>
                          <w:jc w:val="right"/>
                          <w:rPr>
                            <w:rFonts w:ascii="Calibri"/>
                            <w:sz w:val="20"/>
                          </w:rPr>
                        </w:pPr>
                        <w:r>
                          <w:rPr>
                            <w:rFonts w:ascii="Calibri"/>
                            <w:spacing w:val="-4"/>
                            <w:sz w:val="20"/>
                          </w:rPr>
                          <w:t>0.00</w:t>
                        </w:r>
                      </w:p>
                    </w:txbxContent>
                  </v:textbox>
                  <w10:wrap type="none"/>
                </v:shape>
                <v:shape style="position:absolute;left:4461;top:4890;width:677;height:200" type="#_x0000_t202" id="docshape788" filled="false" stroked="false">
                  <v:textbox inset="0,0,0,0">
                    <w:txbxContent>
                      <w:p>
                        <w:pPr>
                          <w:spacing w:line="199" w:lineRule="exact" w:before="0"/>
                          <w:ind w:left="0" w:right="0" w:firstLine="0"/>
                          <w:jc w:val="left"/>
                          <w:rPr>
                            <w:rFonts w:ascii="Calibri"/>
                            <w:sz w:val="20"/>
                          </w:rPr>
                        </w:pPr>
                        <w:r>
                          <w:rPr>
                            <w:rFonts w:ascii="Calibri"/>
                            <w:spacing w:val="-2"/>
                            <w:sz w:val="20"/>
                          </w:rPr>
                          <w:t>Housing</w:t>
                        </w:r>
                      </w:p>
                    </w:txbxContent>
                  </v:textbox>
                  <w10:wrap type="none"/>
                </v:shape>
                <v:shape style="position:absolute;left:5550;top:4890;width:1860;height:200" type="#_x0000_t202" id="docshape789" filled="false" stroked="false">
                  <v:textbox inset="0,0,0,0">
                    <w:txbxContent>
                      <w:p>
                        <w:pPr>
                          <w:tabs>
                            <w:tab w:pos="1303" w:val="left" w:leader="none"/>
                          </w:tabs>
                          <w:spacing w:line="199" w:lineRule="exact" w:before="0"/>
                          <w:ind w:left="0" w:right="0" w:firstLine="0"/>
                          <w:jc w:val="left"/>
                          <w:rPr>
                            <w:rFonts w:ascii="Calibri"/>
                            <w:sz w:val="20"/>
                          </w:rPr>
                        </w:pPr>
                        <w:r>
                          <w:rPr>
                            <w:rFonts w:ascii="Calibri"/>
                            <w:spacing w:val="-2"/>
                            <w:sz w:val="20"/>
                          </w:rPr>
                          <w:t>Education</w:t>
                        </w:r>
                        <w:r>
                          <w:rPr>
                            <w:rFonts w:ascii="Calibri"/>
                            <w:sz w:val="20"/>
                          </w:rPr>
                          <w:tab/>
                        </w:r>
                        <w:r>
                          <w:rPr>
                            <w:rFonts w:ascii="Calibri"/>
                            <w:spacing w:val="-2"/>
                            <w:sz w:val="20"/>
                          </w:rPr>
                          <w:t>Health</w:t>
                        </w:r>
                      </w:p>
                    </w:txbxContent>
                  </v:textbox>
                  <w10:wrap type="none"/>
                </v:shape>
                <v:shape style="position:absolute;left:7840;top:4890;width:920;height:200" type="#_x0000_t202" id="docshape790" filled="false" stroked="false">
                  <v:textbox inset="0,0,0,0">
                    <w:txbxContent>
                      <w:p>
                        <w:pPr>
                          <w:spacing w:line="199" w:lineRule="exact" w:before="0"/>
                          <w:ind w:left="0" w:right="0" w:firstLine="0"/>
                          <w:jc w:val="left"/>
                          <w:rPr>
                            <w:rFonts w:ascii="Calibri"/>
                            <w:sz w:val="20"/>
                          </w:rPr>
                        </w:pPr>
                        <w:r>
                          <w:rPr>
                            <w:rFonts w:ascii="Calibri"/>
                            <w:spacing w:val="-2"/>
                            <w:sz w:val="20"/>
                          </w:rPr>
                          <w:t>Agriculture</w:t>
                        </w:r>
                      </w:p>
                    </w:txbxContent>
                  </v:textbox>
                  <w10:wrap type="none"/>
                </v:shape>
                <v:shape style="position:absolute;left:9195;top:4890;width:542;height:200" type="#_x0000_t202" id="docshape791" filled="false" stroked="false">
                  <v:textbox inset="0,0,0,0">
                    <w:txbxContent>
                      <w:p>
                        <w:pPr>
                          <w:spacing w:line="199" w:lineRule="exact" w:before="0"/>
                          <w:ind w:left="0" w:right="0" w:firstLine="0"/>
                          <w:jc w:val="left"/>
                          <w:rPr>
                            <w:rFonts w:ascii="Calibri"/>
                            <w:sz w:val="20"/>
                          </w:rPr>
                        </w:pPr>
                        <w:r>
                          <w:rPr>
                            <w:rFonts w:ascii="Calibri"/>
                            <w:spacing w:val="-2"/>
                            <w:sz w:val="20"/>
                          </w:rPr>
                          <w:t>Works</w:t>
                        </w:r>
                      </w:p>
                    </w:txbxContent>
                  </v:textbox>
                  <w10:wrap type="none"/>
                </v:shape>
                <v:shape style="position:absolute;left:6497;top:5293;width:1272;height:200" type="#_x0000_t202" id="docshape792" filled="false" stroked="false">
                  <v:textbox inset="0,0,0,0">
                    <w:txbxContent>
                      <w:p>
                        <w:pPr>
                          <w:spacing w:line="199" w:lineRule="exact" w:before="0"/>
                          <w:ind w:left="0" w:right="0" w:firstLine="0"/>
                          <w:jc w:val="left"/>
                          <w:rPr>
                            <w:rFonts w:ascii="Calibri"/>
                            <w:b/>
                            <w:sz w:val="20"/>
                          </w:rPr>
                        </w:pPr>
                        <w:r>
                          <w:rPr>
                            <w:rFonts w:ascii="Calibri"/>
                            <w:b/>
                            <w:spacing w:val="-2"/>
                            <w:sz w:val="20"/>
                          </w:rPr>
                          <w:t>Priority</w:t>
                        </w:r>
                        <w:r>
                          <w:rPr>
                            <w:rFonts w:ascii="Calibri"/>
                            <w:b/>
                            <w:spacing w:val="3"/>
                            <w:sz w:val="20"/>
                          </w:rPr>
                          <w:t> </w:t>
                        </w:r>
                        <w:r>
                          <w:rPr>
                            <w:rFonts w:ascii="Calibri"/>
                            <w:b/>
                            <w:spacing w:val="-2"/>
                            <w:sz w:val="20"/>
                          </w:rPr>
                          <w:t>sectors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8064">
                <wp:simplePos x="0" y="0"/>
                <wp:positionH relativeFrom="page">
                  <wp:posOffset>1269644</wp:posOffset>
                </wp:positionH>
                <wp:positionV relativeFrom="paragraph">
                  <wp:posOffset>2029784</wp:posOffset>
                </wp:positionV>
                <wp:extent cx="152400" cy="644525"/>
                <wp:effectExtent l="0" t="0" r="0" b="0"/>
                <wp:wrapNone/>
                <wp:docPr id="841" name="Textbox 841"/>
                <wp:cNvGraphicFramePr>
                  <a:graphicFrameLocks/>
                </wp:cNvGraphicFramePr>
                <a:graphic>
                  <a:graphicData uri="http://schemas.microsoft.com/office/word/2010/wordprocessingShape">
                    <wps:wsp>
                      <wps:cNvPr id="841" name="Textbox 841"/>
                      <wps:cNvSpPr txBox="1"/>
                      <wps:spPr>
                        <a:xfrm>
                          <a:off x="0" y="0"/>
                          <a:ext cx="152400" cy="644525"/>
                        </a:xfrm>
                        <a:prstGeom prst="rect">
                          <a:avLst/>
                        </a:prstGeom>
                      </wps:spPr>
                      <wps:txbx>
                        <w:txbxContent>
                          <w:p>
                            <w:pPr>
                              <w:spacing w:line="223" w:lineRule="exact" w:before="0"/>
                              <w:ind w:left="20" w:right="0" w:firstLine="0"/>
                              <w:jc w:val="left"/>
                              <w:rPr>
                                <w:rFonts w:ascii="Calibri"/>
                                <w:b/>
                                <w:sz w:val="20"/>
                              </w:rPr>
                            </w:pPr>
                            <w:r>
                              <w:rPr>
                                <w:rFonts w:ascii="Calibri"/>
                                <w:b/>
                                <w:spacing w:val="-2"/>
                                <w:sz w:val="20"/>
                              </w:rPr>
                              <w:t>Amount</w:t>
                            </w:r>
                            <w:r>
                              <w:rPr>
                                <w:rFonts w:ascii="Calibri"/>
                                <w:b/>
                                <w:sz w:val="20"/>
                              </w:rPr>
                              <w:t> </w:t>
                            </w:r>
                            <w:r>
                              <w:rPr>
                                <w:rFonts w:ascii="Calibri"/>
                                <w:b/>
                                <w:spacing w:val="-5"/>
                                <w:sz w:val="20"/>
                              </w:rPr>
                              <w:t>(N)</w:t>
                            </w:r>
                          </w:p>
                        </w:txbxContent>
                      </wps:txbx>
                      <wps:bodyPr wrap="square" lIns="0" tIns="0" rIns="0" bIns="0" rtlCol="0" vert="vert270">
                        <a:noAutofit/>
                      </wps:bodyPr>
                    </wps:wsp>
                  </a:graphicData>
                </a:graphic>
              </wp:anchor>
            </w:drawing>
          </mc:Choice>
          <mc:Fallback>
            <w:pict>
              <v:shape style="position:absolute;margin-left:99.972pt;margin-top:159.825531pt;width:12pt;height:50.75pt;mso-position-horizontal-relative:page;mso-position-vertical-relative:paragraph;z-index:15768064" type="#_x0000_t202" id="docshape793"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pacing w:val="-2"/>
                          <w:sz w:val="20"/>
                        </w:rPr>
                        <w:t>Amount</w:t>
                      </w:r>
                      <w:r>
                        <w:rPr>
                          <w:rFonts w:ascii="Calibri"/>
                          <w:b/>
                          <w:sz w:val="20"/>
                        </w:rPr>
                        <w:t> </w:t>
                      </w:r>
                      <w:r>
                        <w:rPr>
                          <w:rFonts w:ascii="Calibri"/>
                          <w:b/>
                          <w:spacing w:val="-5"/>
                          <w:sz w:val="20"/>
                        </w:rPr>
                        <w:t>(N)</w:t>
                      </w:r>
                    </w:p>
                  </w:txbxContent>
                </v:textbox>
                <w10:wrap type="none"/>
              </v:shape>
            </w:pict>
          </mc:Fallback>
        </mc:AlternateContent>
      </w:r>
      <w:r>
        <w:rPr/>
        <w:t>Figure 5.6 shows that annual budget allocation to education sector is closely related to annual allocations to health sector in Anambra state. The graph shows that the pattern of allocation to</w:t>
      </w:r>
      <w:r>
        <w:rPr>
          <w:spacing w:val="40"/>
        </w:rPr>
        <w:t> </w:t>
      </w:r>
      <w:r>
        <w:rPr/>
        <w:t>the key sectors in the State are related to one another, though there are variations in the amount being allocated to each of the sectors. Particularly, the amount allocated to the housing sector varies</w:t>
      </w:r>
      <w:r>
        <w:rPr>
          <w:spacing w:val="-3"/>
        </w:rPr>
        <w:t> </w:t>
      </w:r>
      <w:r>
        <w:rPr/>
        <w:t>widely</w:t>
      </w:r>
      <w:r>
        <w:rPr>
          <w:spacing w:val="-5"/>
        </w:rPr>
        <w:t> </w:t>
      </w:r>
      <w:r>
        <w:rPr/>
        <w:t>with that</w:t>
      </w:r>
      <w:r>
        <w:rPr>
          <w:spacing w:val="1"/>
        </w:rPr>
        <w:t> </w:t>
      </w:r>
      <w:r>
        <w:rPr/>
        <w:t>given to</w:t>
      </w:r>
      <w:r>
        <w:rPr>
          <w:spacing w:val="2"/>
        </w:rPr>
        <w:t> </w:t>
      </w:r>
      <w:r>
        <w:rPr/>
        <w:t>other</w:t>
      </w:r>
      <w:r>
        <w:rPr>
          <w:spacing w:val="-3"/>
        </w:rPr>
        <w:t> </w:t>
      </w:r>
      <w:r>
        <w:rPr/>
        <w:t>sectors in Anambra</w:t>
      </w:r>
      <w:r>
        <w:rPr>
          <w:spacing w:val="-3"/>
        </w:rPr>
        <w:t> </w:t>
      </w:r>
      <w:r>
        <w:rPr/>
        <w:t>State</w:t>
      </w:r>
      <w:r>
        <w:rPr>
          <w:spacing w:val="-1"/>
        </w:rPr>
        <w:t> </w:t>
      </w:r>
      <w:r>
        <w:rPr/>
        <w:t>with respect</w:t>
      </w:r>
      <w:r>
        <w:rPr>
          <w:spacing w:val="-1"/>
        </w:rPr>
        <w:t> </w:t>
      </w:r>
      <w:r>
        <w:rPr/>
        <w:t>annual total </w:t>
      </w:r>
      <w:r>
        <w:rPr>
          <w:spacing w:val="-2"/>
        </w:rPr>
        <w:t>revenue.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0"/>
      </w:pPr>
    </w:p>
    <w:p>
      <w:pPr>
        <w:pStyle w:val="BodyText"/>
        <w:spacing w:line="242" w:lineRule="auto"/>
        <w:ind w:left="240" w:right="837"/>
        <w:jc w:val="both"/>
      </w:pPr>
      <w:r>
        <w:rPr>
          <w:b/>
        </w:rPr>
        <w:t>Figure 5.7: </w:t>
      </w:r>
      <w:r>
        <w:rPr/>
        <w:t>Priority sectors of Anambra State by total budget allocation from 1999 – 2016 (Researcher‘s plot with MS- Excel, 2017)</w:t>
      </w:r>
    </w:p>
    <w:p>
      <w:pPr>
        <w:spacing w:after="0" w:line="242" w:lineRule="auto"/>
        <w:jc w:val="both"/>
        <w:sectPr>
          <w:pgSz w:w="12240" w:h="15840"/>
          <w:pgMar w:header="0" w:footer="1036" w:top="1420" w:bottom="1220" w:left="1200" w:right="600"/>
        </w:sectPr>
      </w:pPr>
    </w:p>
    <w:p>
      <w:pPr>
        <w:pStyle w:val="BodyText"/>
        <w:spacing w:line="360" w:lineRule="auto" w:before="74"/>
        <w:ind w:left="240" w:right="831"/>
        <w:jc w:val="both"/>
      </w:pPr>
      <w:r>
        <w:rPr/>
        <w:t>The results of Figure 5.7 reveals that the most prioritized sector by total budget allocation or sector</w:t>
      </w:r>
      <w:r>
        <w:rPr>
          <w:spacing w:val="40"/>
        </w:rPr>
        <w:t> </w:t>
      </w:r>
      <w:r>
        <w:rPr/>
        <w:t>of focus in Anambra State during the study period is the works sector, followed by education</w:t>
      </w:r>
      <w:r>
        <w:rPr>
          <w:spacing w:val="-2"/>
        </w:rPr>
        <w:t> </w:t>
      </w:r>
      <w:r>
        <w:rPr/>
        <w:t>sector,</w:t>
      </w:r>
      <w:r>
        <w:rPr>
          <w:spacing w:val="-2"/>
        </w:rPr>
        <w:t> </w:t>
      </w:r>
      <w:r>
        <w:rPr/>
        <w:t>then</w:t>
      </w:r>
      <w:r>
        <w:rPr>
          <w:spacing w:val="-2"/>
        </w:rPr>
        <w:t> </w:t>
      </w:r>
      <w:r>
        <w:rPr/>
        <w:t>housing</w:t>
      </w:r>
      <w:r>
        <w:rPr>
          <w:spacing w:val="-4"/>
        </w:rPr>
        <w:t> </w:t>
      </w:r>
      <w:r>
        <w:rPr/>
        <w:t>sector,</w:t>
      </w:r>
      <w:r>
        <w:rPr>
          <w:spacing w:val="-2"/>
        </w:rPr>
        <w:t> </w:t>
      </w:r>
      <w:r>
        <w:rPr/>
        <w:t>health</w:t>
      </w:r>
      <w:r>
        <w:rPr>
          <w:spacing w:val="-2"/>
        </w:rPr>
        <w:t> </w:t>
      </w:r>
      <w:r>
        <w:rPr/>
        <w:t>sector</w:t>
      </w:r>
      <w:r>
        <w:rPr>
          <w:spacing w:val="-2"/>
        </w:rPr>
        <w:t> </w:t>
      </w:r>
      <w:r>
        <w:rPr/>
        <w:t>and</w:t>
      </w:r>
      <w:r>
        <w:rPr>
          <w:spacing w:val="-2"/>
        </w:rPr>
        <w:t> </w:t>
      </w:r>
      <w:r>
        <w:rPr/>
        <w:t>lastly</w:t>
      </w:r>
      <w:r>
        <w:rPr>
          <w:spacing w:val="-7"/>
        </w:rPr>
        <w:t> </w:t>
      </w:r>
      <w:r>
        <w:rPr/>
        <w:t>agricultural</w:t>
      </w:r>
      <w:r>
        <w:rPr>
          <w:spacing w:val="-2"/>
        </w:rPr>
        <w:t> </w:t>
      </w:r>
      <w:r>
        <w:rPr/>
        <w:t>sector.</w:t>
      </w:r>
      <w:r>
        <w:rPr>
          <w:spacing w:val="-2"/>
        </w:rPr>
        <w:t> </w:t>
      </w:r>
      <w:r>
        <w:rPr/>
        <w:t>Specifically,</w:t>
      </w:r>
      <w:r>
        <w:rPr>
          <w:spacing w:val="-2"/>
        </w:rPr>
        <w:t> </w:t>
      </w:r>
      <w:r>
        <w:rPr/>
        <w:t>the result shows that about </w:t>
      </w:r>
      <w:r>
        <w:rPr>
          <w:dstrike/>
        </w:rPr>
        <w:t>N</w:t>
      </w:r>
      <w:r>
        <w:rPr>
          <w:strike w:val="0"/>
        </w:rPr>
        <w:t>249 billion is allocated to works; about </w:t>
      </w:r>
      <w:r>
        <w:rPr>
          <w:dstrike/>
        </w:rPr>
        <w:t>N</w:t>
      </w:r>
      <w:r>
        <w:rPr>
          <w:strike w:val="0"/>
        </w:rPr>
        <w:t>58 billion to education sector; about </w:t>
      </w:r>
      <w:r>
        <w:rPr>
          <w:dstrike/>
        </w:rPr>
        <w:t>N</w:t>
      </w:r>
      <w:r>
        <w:rPr>
          <w:strike w:val="0"/>
        </w:rPr>
        <w:t>35 billion to housing, while about </w:t>
      </w:r>
      <w:r>
        <w:rPr>
          <w:dstrike/>
        </w:rPr>
        <w:t>N</w:t>
      </w:r>
      <w:r>
        <w:rPr>
          <w:strike w:val="0"/>
        </w:rPr>
        <w:t>25 billion and </w:t>
      </w:r>
      <w:r>
        <w:rPr>
          <w:dstrike/>
        </w:rPr>
        <w:t>N</w:t>
      </w:r>
      <w:r>
        <w:rPr>
          <w:strike w:val="0"/>
        </w:rPr>
        <w:t>22 billion are allocated</w:t>
      </w:r>
      <w:r>
        <w:rPr>
          <w:strike w:val="0"/>
          <w:spacing w:val="-1"/>
        </w:rPr>
        <w:t> </w:t>
      </w:r>
      <w:r>
        <w:rPr>
          <w:strike w:val="0"/>
        </w:rPr>
        <w:t>to health and agricultural sectors respectively.</w:t>
      </w:r>
    </w:p>
    <w:p>
      <w:pPr>
        <w:pStyle w:val="BodyText"/>
        <w:spacing w:before="202"/>
      </w:pPr>
    </w:p>
    <w:p>
      <w:pPr>
        <w:pStyle w:val="Heading4"/>
        <w:ind w:right="837"/>
      </w:pPr>
      <w:r>
        <w:rPr/>
        <w:t>Table 5.16. Annual Percentage Budgetary Allocation for Housing and other Key Sectors of Anambra State (1999 – 2016)</w:t>
      </w:r>
    </w:p>
    <w:p>
      <w:pPr>
        <w:pStyle w:val="BodyText"/>
        <w:spacing w:before="4"/>
        <w:rPr>
          <w:b/>
          <w:sz w:val="10"/>
        </w:rPr>
      </w:pPr>
    </w:p>
    <w:tbl>
      <w:tblPr>
        <w:tblW w:w="0" w:type="auto"/>
        <w:jc w:val="left"/>
        <w:tblInd w:w="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9"/>
        <w:gridCol w:w="1721"/>
        <w:gridCol w:w="1667"/>
        <w:gridCol w:w="1365"/>
        <w:gridCol w:w="1552"/>
        <w:gridCol w:w="2133"/>
      </w:tblGrid>
      <w:tr>
        <w:trPr>
          <w:trHeight w:val="760" w:hRule="atLeast"/>
        </w:trPr>
        <w:tc>
          <w:tcPr>
            <w:tcW w:w="939" w:type="dxa"/>
            <w:tcBorders>
              <w:top w:val="single" w:sz="8" w:space="0" w:color="4F81BC"/>
              <w:bottom w:val="single" w:sz="8" w:space="0" w:color="4F81BC"/>
            </w:tcBorders>
          </w:tcPr>
          <w:p>
            <w:pPr>
              <w:pStyle w:val="TableParagraph"/>
              <w:spacing w:line="251" w:lineRule="exact"/>
              <w:ind w:left="122"/>
              <w:rPr>
                <w:b/>
                <w:sz w:val="22"/>
              </w:rPr>
            </w:pPr>
            <w:r>
              <w:rPr>
                <w:b/>
                <w:spacing w:val="-4"/>
                <w:sz w:val="22"/>
              </w:rPr>
              <w:t>Year</w:t>
            </w:r>
          </w:p>
        </w:tc>
        <w:tc>
          <w:tcPr>
            <w:tcW w:w="1721" w:type="dxa"/>
            <w:tcBorders>
              <w:top w:val="single" w:sz="8" w:space="0" w:color="4F81BC"/>
              <w:bottom w:val="single" w:sz="8" w:space="0" w:color="4F81BC"/>
            </w:tcBorders>
          </w:tcPr>
          <w:p>
            <w:pPr>
              <w:pStyle w:val="TableParagraph"/>
              <w:spacing w:line="251" w:lineRule="exact"/>
              <w:ind w:left="352"/>
              <w:rPr>
                <w:b/>
                <w:sz w:val="22"/>
              </w:rPr>
            </w:pPr>
            <w:r>
              <w:rPr>
                <w:b/>
                <w:sz w:val="22"/>
              </w:rPr>
              <w:t>Housing</w:t>
            </w:r>
            <w:r>
              <w:rPr>
                <w:b/>
                <w:spacing w:val="-3"/>
                <w:sz w:val="22"/>
              </w:rPr>
              <w:t> </w:t>
            </w:r>
            <w:r>
              <w:rPr>
                <w:b/>
                <w:spacing w:val="-5"/>
                <w:sz w:val="22"/>
              </w:rPr>
              <w:t>(%)</w:t>
            </w:r>
          </w:p>
        </w:tc>
        <w:tc>
          <w:tcPr>
            <w:tcW w:w="1667" w:type="dxa"/>
            <w:tcBorders>
              <w:top w:val="single" w:sz="8" w:space="0" w:color="4F81BC"/>
              <w:bottom w:val="single" w:sz="8" w:space="0" w:color="4F81BC"/>
            </w:tcBorders>
          </w:tcPr>
          <w:p>
            <w:pPr>
              <w:pStyle w:val="TableParagraph"/>
              <w:spacing w:line="251" w:lineRule="exact"/>
              <w:ind w:left="162"/>
              <w:rPr>
                <w:b/>
                <w:sz w:val="22"/>
              </w:rPr>
            </w:pPr>
            <w:r>
              <w:rPr>
                <w:b/>
                <w:sz w:val="22"/>
              </w:rPr>
              <w:t>Education</w:t>
            </w:r>
            <w:r>
              <w:rPr>
                <w:b/>
                <w:spacing w:val="-3"/>
                <w:sz w:val="22"/>
              </w:rPr>
              <w:t> </w:t>
            </w:r>
            <w:r>
              <w:rPr>
                <w:b/>
                <w:spacing w:val="-5"/>
                <w:sz w:val="22"/>
              </w:rPr>
              <w:t>(%)</w:t>
            </w:r>
          </w:p>
        </w:tc>
        <w:tc>
          <w:tcPr>
            <w:tcW w:w="1365" w:type="dxa"/>
            <w:tcBorders>
              <w:top w:val="single" w:sz="8" w:space="0" w:color="4F81BC"/>
              <w:bottom w:val="single" w:sz="8" w:space="0" w:color="4F81BC"/>
            </w:tcBorders>
          </w:tcPr>
          <w:p>
            <w:pPr>
              <w:pStyle w:val="TableParagraph"/>
              <w:spacing w:line="251" w:lineRule="exact"/>
              <w:ind w:left="115"/>
              <w:rPr>
                <w:b/>
                <w:sz w:val="22"/>
              </w:rPr>
            </w:pPr>
            <w:r>
              <w:rPr>
                <w:b/>
                <w:sz w:val="22"/>
              </w:rPr>
              <w:t>Health</w:t>
            </w:r>
            <w:r>
              <w:rPr>
                <w:b/>
                <w:spacing w:val="-4"/>
                <w:sz w:val="22"/>
              </w:rPr>
              <w:t> </w:t>
            </w:r>
            <w:r>
              <w:rPr>
                <w:b/>
                <w:spacing w:val="-5"/>
                <w:sz w:val="22"/>
              </w:rPr>
              <w:t>(%)</w:t>
            </w:r>
          </w:p>
        </w:tc>
        <w:tc>
          <w:tcPr>
            <w:tcW w:w="1552" w:type="dxa"/>
            <w:tcBorders>
              <w:top w:val="single" w:sz="8" w:space="0" w:color="4F81BC"/>
              <w:bottom w:val="single" w:sz="8" w:space="0" w:color="4F81BC"/>
            </w:tcBorders>
          </w:tcPr>
          <w:p>
            <w:pPr>
              <w:pStyle w:val="TableParagraph"/>
              <w:ind w:left="191"/>
              <w:rPr>
                <w:b/>
                <w:sz w:val="22"/>
              </w:rPr>
            </w:pPr>
            <w:r>
              <w:rPr>
                <w:b/>
                <w:spacing w:val="-2"/>
                <w:sz w:val="22"/>
              </w:rPr>
              <w:t>Agriculture </w:t>
            </w:r>
            <w:r>
              <w:rPr>
                <w:b/>
                <w:spacing w:val="-4"/>
                <w:sz w:val="22"/>
              </w:rPr>
              <w:t>(%)</w:t>
            </w:r>
          </w:p>
        </w:tc>
        <w:tc>
          <w:tcPr>
            <w:tcW w:w="2133" w:type="dxa"/>
            <w:tcBorders>
              <w:top w:val="single" w:sz="8" w:space="0" w:color="4F81BC"/>
              <w:bottom w:val="single" w:sz="8" w:space="0" w:color="4F81BC"/>
            </w:tcBorders>
          </w:tcPr>
          <w:p>
            <w:pPr>
              <w:pStyle w:val="TableParagraph"/>
              <w:spacing w:line="251" w:lineRule="exact"/>
              <w:ind w:left="259"/>
              <w:rPr>
                <w:b/>
                <w:sz w:val="22"/>
              </w:rPr>
            </w:pPr>
            <w:r>
              <w:rPr>
                <w:b/>
                <w:sz w:val="22"/>
              </w:rPr>
              <w:t>Land</w:t>
            </w:r>
            <w:r>
              <w:rPr>
                <w:b/>
                <w:spacing w:val="-2"/>
                <w:sz w:val="22"/>
              </w:rPr>
              <w:t> Transport</w:t>
            </w:r>
          </w:p>
          <w:p>
            <w:pPr>
              <w:pStyle w:val="TableParagraph"/>
              <w:spacing w:line="252" w:lineRule="exact"/>
              <w:ind w:left="259" w:right="303"/>
              <w:rPr>
                <w:b/>
                <w:sz w:val="22"/>
              </w:rPr>
            </w:pPr>
            <w:r>
              <w:rPr>
                <w:b/>
                <w:sz w:val="22"/>
              </w:rPr>
              <w:t>(Roads,</w:t>
            </w:r>
            <w:r>
              <w:rPr>
                <w:b/>
                <w:spacing w:val="-14"/>
                <w:sz w:val="22"/>
              </w:rPr>
              <w:t> </w:t>
            </w:r>
            <w:r>
              <w:rPr>
                <w:b/>
                <w:sz w:val="22"/>
              </w:rPr>
              <w:t>Bridges) &amp; Works (%)</w:t>
            </w:r>
          </w:p>
        </w:tc>
      </w:tr>
      <w:tr>
        <w:trPr>
          <w:trHeight w:val="299" w:hRule="atLeast"/>
        </w:trPr>
        <w:tc>
          <w:tcPr>
            <w:tcW w:w="939" w:type="dxa"/>
            <w:tcBorders>
              <w:top w:val="single" w:sz="8" w:space="0" w:color="4F81BC"/>
            </w:tcBorders>
            <w:shd w:val="clear" w:color="auto" w:fill="D2DFED"/>
          </w:tcPr>
          <w:p>
            <w:pPr>
              <w:pStyle w:val="TableParagraph"/>
              <w:spacing w:line="246" w:lineRule="exact"/>
              <w:ind w:left="122"/>
              <w:rPr>
                <w:sz w:val="22"/>
              </w:rPr>
            </w:pPr>
            <w:r>
              <w:rPr>
                <w:spacing w:val="-4"/>
                <w:sz w:val="22"/>
              </w:rPr>
              <w:t>1999</w:t>
            </w:r>
          </w:p>
        </w:tc>
        <w:tc>
          <w:tcPr>
            <w:tcW w:w="1721" w:type="dxa"/>
            <w:tcBorders>
              <w:top w:val="single" w:sz="8" w:space="0" w:color="4F81BC"/>
            </w:tcBorders>
            <w:shd w:val="clear" w:color="auto" w:fill="D2DFED"/>
          </w:tcPr>
          <w:p>
            <w:pPr>
              <w:pStyle w:val="TableParagraph"/>
              <w:spacing w:line="246" w:lineRule="exact"/>
              <w:ind w:left="352"/>
              <w:rPr>
                <w:sz w:val="22"/>
              </w:rPr>
            </w:pPr>
            <w:r>
              <w:rPr>
                <w:spacing w:val="-2"/>
                <w:sz w:val="22"/>
              </w:rPr>
              <w:t>13.00</w:t>
            </w:r>
          </w:p>
        </w:tc>
        <w:tc>
          <w:tcPr>
            <w:tcW w:w="1667" w:type="dxa"/>
            <w:tcBorders>
              <w:top w:val="single" w:sz="8" w:space="0" w:color="4F81BC"/>
            </w:tcBorders>
            <w:shd w:val="clear" w:color="auto" w:fill="D2DFED"/>
          </w:tcPr>
          <w:p>
            <w:pPr>
              <w:pStyle w:val="TableParagraph"/>
              <w:spacing w:line="246" w:lineRule="exact"/>
              <w:ind w:left="162"/>
              <w:rPr>
                <w:sz w:val="22"/>
              </w:rPr>
            </w:pPr>
            <w:r>
              <w:rPr>
                <w:spacing w:val="-4"/>
                <w:sz w:val="22"/>
              </w:rPr>
              <w:t>5.00</w:t>
            </w:r>
          </w:p>
        </w:tc>
        <w:tc>
          <w:tcPr>
            <w:tcW w:w="1365" w:type="dxa"/>
            <w:tcBorders>
              <w:top w:val="single" w:sz="8" w:space="0" w:color="4F81BC"/>
            </w:tcBorders>
            <w:shd w:val="clear" w:color="auto" w:fill="D2DFED"/>
          </w:tcPr>
          <w:p>
            <w:pPr>
              <w:pStyle w:val="TableParagraph"/>
              <w:spacing w:line="246" w:lineRule="exact"/>
              <w:ind w:left="115"/>
              <w:rPr>
                <w:sz w:val="22"/>
              </w:rPr>
            </w:pPr>
            <w:r>
              <w:rPr>
                <w:spacing w:val="-4"/>
                <w:sz w:val="22"/>
              </w:rPr>
              <w:t>7.00</w:t>
            </w:r>
          </w:p>
        </w:tc>
        <w:tc>
          <w:tcPr>
            <w:tcW w:w="1552" w:type="dxa"/>
            <w:tcBorders>
              <w:top w:val="single" w:sz="8" w:space="0" w:color="4F81BC"/>
            </w:tcBorders>
            <w:shd w:val="clear" w:color="auto" w:fill="D2DFED"/>
          </w:tcPr>
          <w:p>
            <w:pPr>
              <w:pStyle w:val="TableParagraph"/>
              <w:spacing w:line="246" w:lineRule="exact"/>
              <w:ind w:left="191"/>
              <w:rPr>
                <w:sz w:val="22"/>
              </w:rPr>
            </w:pPr>
            <w:r>
              <w:rPr>
                <w:spacing w:val="-4"/>
                <w:sz w:val="22"/>
              </w:rPr>
              <w:t>5.00</w:t>
            </w:r>
          </w:p>
        </w:tc>
        <w:tc>
          <w:tcPr>
            <w:tcW w:w="2133" w:type="dxa"/>
            <w:tcBorders>
              <w:top w:val="single" w:sz="8" w:space="0" w:color="4F81BC"/>
            </w:tcBorders>
            <w:shd w:val="clear" w:color="auto" w:fill="D2DFED"/>
          </w:tcPr>
          <w:p>
            <w:pPr>
              <w:pStyle w:val="TableParagraph"/>
              <w:spacing w:line="246" w:lineRule="exact"/>
              <w:ind w:left="259"/>
              <w:rPr>
                <w:sz w:val="22"/>
              </w:rPr>
            </w:pPr>
            <w:r>
              <w:rPr>
                <w:spacing w:val="-4"/>
                <w:sz w:val="22"/>
              </w:rPr>
              <w:t>9.00</w:t>
            </w:r>
          </w:p>
        </w:tc>
      </w:tr>
      <w:tr>
        <w:trPr>
          <w:trHeight w:val="300" w:hRule="atLeast"/>
        </w:trPr>
        <w:tc>
          <w:tcPr>
            <w:tcW w:w="939" w:type="dxa"/>
          </w:tcPr>
          <w:p>
            <w:pPr>
              <w:pStyle w:val="TableParagraph"/>
              <w:spacing w:line="247" w:lineRule="exact"/>
              <w:ind w:left="122"/>
              <w:rPr>
                <w:sz w:val="22"/>
              </w:rPr>
            </w:pPr>
            <w:r>
              <w:rPr>
                <w:spacing w:val="-4"/>
                <w:sz w:val="22"/>
              </w:rPr>
              <w:t>2000</w:t>
            </w:r>
          </w:p>
        </w:tc>
        <w:tc>
          <w:tcPr>
            <w:tcW w:w="1721" w:type="dxa"/>
          </w:tcPr>
          <w:p>
            <w:pPr>
              <w:pStyle w:val="TableParagraph"/>
              <w:spacing w:line="247" w:lineRule="exact"/>
              <w:ind w:left="352"/>
              <w:rPr>
                <w:sz w:val="22"/>
              </w:rPr>
            </w:pPr>
            <w:r>
              <w:rPr>
                <w:spacing w:val="-4"/>
                <w:sz w:val="22"/>
              </w:rPr>
              <w:t>5.00</w:t>
            </w:r>
          </w:p>
        </w:tc>
        <w:tc>
          <w:tcPr>
            <w:tcW w:w="1667" w:type="dxa"/>
          </w:tcPr>
          <w:p>
            <w:pPr>
              <w:pStyle w:val="TableParagraph"/>
              <w:spacing w:line="247" w:lineRule="exact"/>
              <w:ind w:left="162"/>
              <w:rPr>
                <w:sz w:val="22"/>
              </w:rPr>
            </w:pPr>
            <w:r>
              <w:rPr>
                <w:spacing w:val="-4"/>
                <w:sz w:val="22"/>
              </w:rPr>
              <w:t>3.00</w:t>
            </w:r>
          </w:p>
        </w:tc>
        <w:tc>
          <w:tcPr>
            <w:tcW w:w="1365" w:type="dxa"/>
          </w:tcPr>
          <w:p>
            <w:pPr>
              <w:pStyle w:val="TableParagraph"/>
              <w:spacing w:line="247" w:lineRule="exact"/>
              <w:ind w:left="115"/>
              <w:rPr>
                <w:sz w:val="22"/>
              </w:rPr>
            </w:pPr>
            <w:r>
              <w:rPr>
                <w:spacing w:val="-4"/>
                <w:sz w:val="22"/>
              </w:rPr>
              <w:t>3.00</w:t>
            </w:r>
          </w:p>
        </w:tc>
        <w:tc>
          <w:tcPr>
            <w:tcW w:w="1552" w:type="dxa"/>
          </w:tcPr>
          <w:p>
            <w:pPr>
              <w:pStyle w:val="TableParagraph"/>
              <w:spacing w:line="247" w:lineRule="exact"/>
              <w:ind w:left="191"/>
              <w:rPr>
                <w:sz w:val="22"/>
              </w:rPr>
            </w:pPr>
            <w:r>
              <w:rPr>
                <w:spacing w:val="-4"/>
                <w:sz w:val="22"/>
              </w:rPr>
              <w:t>4.00</w:t>
            </w:r>
          </w:p>
        </w:tc>
        <w:tc>
          <w:tcPr>
            <w:tcW w:w="2133" w:type="dxa"/>
          </w:tcPr>
          <w:p>
            <w:pPr>
              <w:pStyle w:val="TableParagraph"/>
              <w:spacing w:line="247" w:lineRule="exact"/>
              <w:ind w:left="259"/>
              <w:rPr>
                <w:sz w:val="22"/>
              </w:rPr>
            </w:pPr>
            <w:r>
              <w:rPr>
                <w:spacing w:val="-2"/>
                <w:sz w:val="22"/>
              </w:rPr>
              <w:t>38.00</w:t>
            </w:r>
          </w:p>
        </w:tc>
      </w:tr>
      <w:tr>
        <w:trPr>
          <w:trHeight w:val="300" w:hRule="atLeast"/>
        </w:trPr>
        <w:tc>
          <w:tcPr>
            <w:tcW w:w="939" w:type="dxa"/>
            <w:shd w:val="clear" w:color="auto" w:fill="D2DFED"/>
          </w:tcPr>
          <w:p>
            <w:pPr>
              <w:pStyle w:val="TableParagraph"/>
              <w:spacing w:line="247" w:lineRule="exact"/>
              <w:ind w:left="122"/>
              <w:rPr>
                <w:sz w:val="22"/>
              </w:rPr>
            </w:pPr>
            <w:r>
              <w:rPr>
                <w:spacing w:val="-4"/>
                <w:sz w:val="22"/>
              </w:rPr>
              <w:t>2001</w:t>
            </w:r>
          </w:p>
        </w:tc>
        <w:tc>
          <w:tcPr>
            <w:tcW w:w="1721" w:type="dxa"/>
            <w:shd w:val="clear" w:color="auto" w:fill="D2DFED"/>
          </w:tcPr>
          <w:p>
            <w:pPr>
              <w:pStyle w:val="TableParagraph"/>
              <w:spacing w:line="247" w:lineRule="exact"/>
              <w:ind w:left="352"/>
              <w:rPr>
                <w:sz w:val="22"/>
              </w:rPr>
            </w:pPr>
            <w:r>
              <w:rPr>
                <w:spacing w:val="-2"/>
                <w:sz w:val="22"/>
              </w:rPr>
              <w:t>36.00</w:t>
            </w:r>
          </w:p>
        </w:tc>
        <w:tc>
          <w:tcPr>
            <w:tcW w:w="1667" w:type="dxa"/>
            <w:shd w:val="clear" w:color="auto" w:fill="D2DFED"/>
          </w:tcPr>
          <w:p>
            <w:pPr>
              <w:pStyle w:val="TableParagraph"/>
              <w:spacing w:line="247" w:lineRule="exact"/>
              <w:ind w:left="162"/>
              <w:rPr>
                <w:sz w:val="22"/>
              </w:rPr>
            </w:pPr>
            <w:r>
              <w:rPr>
                <w:spacing w:val="-4"/>
                <w:sz w:val="22"/>
              </w:rPr>
              <w:t>6.00</w:t>
            </w:r>
          </w:p>
        </w:tc>
        <w:tc>
          <w:tcPr>
            <w:tcW w:w="1365" w:type="dxa"/>
            <w:shd w:val="clear" w:color="auto" w:fill="D2DFED"/>
          </w:tcPr>
          <w:p>
            <w:pPr>
              <w:pStyle w:val="TableParagraph"/>
              <w:spacing w:line="247" w:lineRule="exact"/>
              <w:ind w:left="115"/>
              <w:rPr>
                <w:sz w:val="22"/>
              </w:rPr>
            </w:pPr>
            <w:r>
              <w:rPr>
                <w:spacing w:val="-4"/>
                <w:sz w:val="22"/>
              </w:rPr>
              <w:t>2.00</w:t>
            </w:r>
          </w:p>
        </w:tc>
        <w:tc>
          <w:tcPr>
            <w:tcW w:w="1552" w:type="dxa"/>
            <w:shd w:val="clear" w:color="auto" w:fill="D2DFED"/>
          </w:tcPr>
          <w:p>
            <w:pPr>
              <w:pStyle w:val="TableParagraph"/>
              <w:spacing w:line="247" w:lineRule="exact"/>
              <w:ind w:left="191"/>
              <w:rPr>
                <w:sz w:val="22"/>
              </w:rPr>
            </w:pPr>
            <w:r>
              <w:rPr>
                <w:spacing w:val="-4"/>
                <w:sz w:val="22"/>
              </w:rPr>
              <w:t>2.00</w:t>
            </w:r>
          </w:p>
        </w:tc>
        <w:tc>
          <w:tcPr>
            <w:tcW w:w="2133" w:type="dxa"/>
            <w:shd w:val="clear" w:color="auto" w:fill="D2DFED"/>
          </w:tcPr>
          <w:p>
            <w:pPr>
              <w:pStyle w:val="TableParagraph"/>
              <w:spacing w:line="247" w:lineRule="exact"/>
              <w:ind w:left="259"/>
              <w:rPr>
                <w:sz w:val="22"/>
              </w:rPr>
            </w:pPr>
            <w:r>
              <w:rPr>
                <w:spacing w:val="-2"/>
                <w:sz w:val="22"/>
              </w:rPr>
              <w:t>21.00</w:t>
            </w:r>
          </w:p>
        </w:tc>
      </w:tr>
      <w:tr>
        <w:trPr>
          <w:trHeight w:val="300" w:hRule="atLeast"/>
        </w:trPr>
        <w:tc>
          <w:tcPr>
            <w:tcW w:w="939" w:type="dxa"/>
          </w:tcPr>
          <w:p>
            <w:pPr>
              <w:pStyle w:val="TableParagraph"/>
              <w:spacing w:line="247" w:lineRule="exact"/>
              <w:ind w:left="122"/>
              <w:rPr>
                <w:sz w:val="22"/>
              </w:rPr>
            </w:pPr>
            <w:r>
              <w:rPr>
                <w:spacing w:val="-4"/>
                <w:sz w:val="22"/>
              </w:rPr>
              <w:t>2002</w:t>
            </w:r>
          </w:p>
        </w:tc>
        <w:tc>
          <w:tcPr>
            <w:tcW w:w="1721" w:type="dxa"/>
          </w:tcPr>
          <w:p>
            <w:pPr>
              <w:pStyle w:val="TableParagraph"/>
              <w:spacing w:line="247" w:lineRule="exact"/>
              <w:ind w:left="352"/>
              <w:rPr>
                <w:sz w:val="22"/>
              </w:rPr>
            </w:pPr>
            <w:r>
              <w:rPr>
                <w:spacing w:val="-4"/>
                <w:sz w:val="22"/>
              </w:rPr>
              <w:t>8.00</w:t>
            </w:r>
          </w:p>
        </w:tc>
        <w:tc>
          <w:tcPr>
            <w:tcW w:w="1667" w:type="dxa"/>
          </w:tcPr>
          <w:p>
            <w:pPr>
              <w:pStyle w:val="TableParagraph"/>
              <w:spacing w:line="247" w:lineRule="exact"/>
              <w:ind w:left="162"/>
              <w:rPr>
                <w:sz w:val="22"/>
              </w:rPr>
            </w:pPr>
            <w:r>
              <w:rPr>
                <w:spacing w:val="-4"/>
                <w:sz w:val="22"/>
              </w:rPr>
              <w:t>7.00</w:t>
            </w:r>
          </w:p>
        </w:tc>
        <w:tc>
          <w:tcPr>
            <w:tcW w:w="1365" w:type="dxa"/>
          </w:tcPr>
          <w:p>
            <w:pPr>
              <w:pStyle w:val="TableParagraph"/>
              <w:spacing w:line="247" w:lineRule="exact"/>
              <w:ind w:left="115"/>
              <w:rPr>
                <w:sz w:val="22"/>
              </w:rPr>
            </w:pPr>
            <w:r>
              <w:rPr>
                <w:spacing w:val="-4"/>
                <w:sz w:val="22"/>
              </w:rPr>
              <w:t>8.00</w:t>
            </w:r>
          </w:p>
        </w:tc>
        <w:tc>
          <w:tcPr>
            <w:tcW w:w="1552" w:type="dxa"/>
          </w:tcPr>
          <w:p>
            <w:pPr>
              <w:pStyle w:val="TableParagraph"/>
              <w:spacing w:line="247" w:lineRule="exact"/>
              <w:ind w:left="191"/>
              <w:rPr>
                <w:sz w:val="22"/>
              </w:rPr>
            </w:pPr>
            <w:r>
              <w:rPr>
                <w:spacing w:val="-4"/>
                <w:sz w:val="22"/>
              </w:rPr>
              <w:t>2.00</w:t>
            </w:r>
          </w:p>
        </w:tc>
        <w:tc>
          <w:tcPr>
            <w:tcW w:w="2133" w:type="dxa"/>
          </w:tcPr>
          <w:p>
            <w:pPr>
              <w:pStyle w:val="TableParagraph"/>
              <w:spacing w:line="247" w:lineRule="exact"/>
              <w:ind w:left="259"/>
              <w:rPr>
                <w:sz w:val="22"/>
              </w:rPr>
            </w:pPr>
            <w:r>
              <w:rPr>
                <w:spacing w:val="-2"/>
                <w:sz w:val="22"/>
              </w:rPr>
              <w:t>23.00</w:t>
            </w:r>
          </w:p>
        </w:tc>
      </w:tr>
      <w:tr>
        <w:trPr>
          <w:trHeight w:val="300" w:hRule="atLeast"/>
        </w:trPr>
        <w:tc>
          <w:tcPr>
            <w:tcW w:w="939" w:type="dxa"/>
            <w:shd w:val="clear" w:color="auto" w:fill="D2DFED"/>
          </w:tcPr>
          <w:p>
            <w:pPr>
              <w:pStyle w:val="TableParagraph"/>
              <w:spacing w:line="247" w:lineRule="exact"/>
              <w:ind w:left="122"/>
              <w:rPr>
                <w:sz w:val="22"/>
              </w:rPr>
            </w:pPr>
            <w:r>
              <w:rPr>
                <w:spacing w:val="-4"/>
                <w:sz w:val="22"/>
              </w:rPr>
              <w:t>2003</w:t>
            </w:r>
          </w:p>
        </w:tc>
        <w:tc>
          <w:tcPr>
            <w:tcW w:w="1721" w:type="dxa"/>
            <w:shd w:val="clear" w:color="auto" w:fill="D2DFED"/>
          </w:tcPr>
          <w:p>
            <w:pPr>
              <w:pStyle w:val="TableParagraph"/>
              <w:spacing w:line="247" w:lineRule="exact"/>
              <w:ind w:left="352"/>
              <w:rPr>
                <w:sz w:val="22"/>
              </w:rPr>
            </w:pPr>
            <w:r>
              <w:rPr>
                <w:spacing w:val="-2"/>
                <w:sz w:val="22"/>
              </w:rPr>
              <w:t>26.00</w:t>
            </w:r>
          </w:p>
        </w:tc>
        <w:tc>
          <w:tcPr>
            <w:tcW w:w="1667" w:type="dxa"/>
            <w:shd w:val="clear" w:color="auto" w:fill="D2DFED"/>
          </w:tcPr>
          <w:p>
            <w:pPr>
              <w:pStyle w:val="TableParagraph"/>
              <w:spacing w:line="247" w:lineRule="exact"/>
              <w:ind w:left="162"/>
              <w:rPr>
                <w:sz w:val="22"/>
              </w:rPr>
            </w:pPr>
            <w:r>
              <w:rPr>
                <w:spacing w:val="-2"/>
                <w:sz w:val="22"/>
              </w:rPr>
              <w:t>16.00</w:t>
            </w:r>
          </w:p>
        </w:tc>
        <w:tc>
          <w:tcPr>
            <w:tcW w:w="1365" w:type="dxa"/>
            <w:shd w:val="clear" w:color="auto" w:fill="D2DFED"/>
          </w:tcPr>
          <w:p>
            <w:pPr>
              <w:pStyle w:val="TableParagraph"/>
              <w:spacing w:line="247" w:lineRule="exact"/>
              <w:ind w:left="115"/>
              <w:rPr>
                <w:sz w:val="22"/>
              </w:rPr>
            </w:pPr>
            <w:r>
              <w:rPr>
                <w:spacing w:val="-4"/>
                <w:sz w:val="22"/>
              </w:rPr>
              <w:t>6.00</w:t>
            </w:r>
          </w:p>
        </w:tc>
        <w:tc>
          <w:tcPr>
            <w:tcW w:w="1552" w:type="dxa"/>
            <w:shd w:val="clear" w:color="auto" w:fill="D2DFED"/>
          </w:tcPr>
          <w:p>
            <w:pPr>
              <w:pStyle w:val="TableParagraph"/>
              <w:spacing w:line="247" w:lineRule="exact"/>
              <w:ind w:left="191"/>
              <w:rPr>
                <w:sz w:val="22"/>
              </w:rPr>
            </w:pPr>
            <w:r>
              <w:rPr>
                <w:spacing w:val="-4"/>
                <w:sz w:val="22"/>
              </w:rPr>
              <w:t>2.00</w:t>
            </w:r>
          </w:p>
        </w:tc>
        <w:tc>
          <w:tcPr>
            <w:tcW w:w="2133" w:type="dxa"/>
            <w:shd w:val="clear" w:color="auto" w:fill="D2DFED"/>
          </w:tcPr>
          <w:p>
            <w:pPr>
              <w:pStyle w:val="TableParagraph"/>
              <w:spacing w:line="247" w:lineRule="exact"/>
              <w:ind w:left="259"/>
              <w:rPr>
                <w:sz w:val="22"/>
              </w:rPr>
            </w:pPr>
            <w:r>
              <w:rPr>
                <w:spacing w:val="-2"/>
                <w:sz w:val="22"/>
              </w:rPr>
              <w:t>13.00</w:t>
            </w:r>
          </w:p>
        </w:tc>
      </w:tr>
      <w:tr>
        <w:trPr>
          <w:trHeight w:val="300" w:hRule="atLeast"/>
        </w:trPr>
        <w:tc>
          <w:tcPr>
            <w:tcW w:w="939" w:type="dxa"/>
          </w:tcPr>
          <w:p>
            <w:pPr>
              <w:pStyle w:val="TableParagraph"/>
              <w:spacing w:line="247" w:lineRule="exact"/>
              <w:ind w:left="122"/>
              <w:rPr>
                <w:sz w:val="22"/>
              </w:rPr>
            </w:pPr>
            <w:r>
              <w:rPr>
                <w:spacing w:val="-4"/>
                <w:sz w:val="22"/>
              </w:rPr>
              <w:t>2004</w:t>
            </w:r>
          </w:p>
        </w:tc>
        <w:tc>
          <w:tcPr>
            <w:tcW w:w="1721" w:type="dxa"/>
          </w:tcPr>
          <w:p>
            <w:pPr>
              <w:pStyle w:val="TableParagraph"/>
              <w:spacing w:line="247" w:lineRule="exact"/>
              <w:ind w:left="352"/>
              <w:rPr>
                <w:sz w:val="22"/>
              </w:rPr>
            </w:pPr>
            <w:r>
              <w:rPr>
                <w:spacing w:val="-4"/>
                <w:sz w:val="22"/>
              </w:rPr>
              <w:t>7.00</w:t>
            </w:r>
          </w:p>
        </w:tc>
        <w:tc>
          <w:tcPr>
            <w:tcW w:w="1667" w:type="dxa"/>
          </w:tcPr>
          <w:p>
            <w:pPr>
              <w:pStyle w:val="TableParagraph"/>
              <w:spacing w:line="247" w:lineRule="exact"/>
              <w:ind w:left="162"/>
              <w:rPr>
                <w:sz w:val="22"/>
              </w:rPr>
            </w:pPr>
            <w:r>
              <w:rPr>
                <w:spacing w:val="-4"/>
                <w:sz w:val="22"/>
              </w:rPr>
              <w:t>4.00</w:t>
            </w:r>
          </w:p>
        </w:tc>
        <w:tc>
          <w:tcPr>
            <w:tcW w:w="1365" w:type="dxa"/>
          </w:tcPr>
          <w:p>
            <w:pPr>
              <w:pStyle w:val="TableParagraph"/>
              <w:spacing w:line="247" w:lineRule="exact"/>
              <w:ind w:left="115"/>
              <w:rPr>
                <w:sz w:val="22"/>
              </w:rPr>
            </w:pPr>
            <w:r>
              <w:rPr>
                <w:spacing w:val="-4"/>
                <w:sz w:val="22"/>
              </w:rPr>
              <w:t>4.00</w:t>
            </w:r>
          </w:p>
        </w:tc>
        <w:tc>
          <w:tcPr>
            <w:tcW w:w="1552" w:type="dxa"/>
          </w:tcPr>
          <w:p>
            <w:pPr>
              <w:pStyle w:val="TableParagraph"/>
              <w:spacing w:line="247" w:lineRule="exact"/>
              <w:ind w:left="191"/>
              <w:rPr>
                <w:sz w:val="22"/>
              </w:rPr>
            </w:pPr>
            <w:r>
              <w:rPr>
                <w:spacing w:val="-4"/>
                <w:sz w:val="22"/>
              </w:rPr>
              <w:t>2.00</w:t>
            </w:r>
          </w:p>
        </w:tc>
        <w:tc>
          <w:tcPr>
            <w:tcW w:w="2133" w:type="dxa"/>
          </w:tcPr>
          <w:p>
            <w:pPr>
              <w:pStyle w:val="TableParagraph"/>
              <w:spacing w:line="247" w:lineRule="exact"/>
              <w:ind w:left="259"/>
              <w:rPr>
                <w:sz w:val="22"/>
              </w:rPr>
            </w:pPr>
            <w:r>
              <w:rPr>
                <w:spacing w:val="-2"/>
                <w:sz w:val="22"/>
              </w:rPr>
              <w:t>49.00</w:t>
            </w:r>
          </w:p>
        </w:tc>
      </w:tr>
      <w:tr>
        <w:trPr>
          <w:trHeight w:val="300" w:hRule="atLeast"/>
        </w:trPr>
        <w:tc>
          <w:tcPr>
            <w:tcW w:w="939" w:type="dxa"/>
            <w:shd w:val="clear" w:color="auto" w:fill="D2DFED"/>
          </w:tcPr>
          <w:p>
            <w:pPr>
              <w:pStyle w:val="TableParagraph"/>
              <w:spacing w:line="247" w:lineRule="exact"/>
              <w:ind w:left="122"/>
              <w:rPr>
                <w:sz w:val="22"/>
              </w:rPr>
            </w:pPr>
            <w:r>
              <w:rPr>
                <w:spacing w:val="-4"/>
                <w:sz w:val="22"/>
              </w:rPr>
              <w:t>2005</w:t>
            </w:r>
          </w:p>
        </w:tc>
        <w:tc>
          <w:tcPr>
            <w:tcW w:w="1721" w:type="dxa"/>
            <w:shd w:val="clear" w:color="auto" w:fill="D2DFED"/>
          </w:tcPr>
          <w:p>
            <w:pPr>
              <w:pStyle w:val="TableParagraph"/>
              <w:spacing w:line="247" w:lineRule="exact"/>
              <w:ind w:left="352"/>
              <w:rPr>
                <w:sz w:val="22"/>
              </w:rPr>
            </w:pPr>
            <w:r>
              <w:rPr>
                <w:spacing w:val="-4"/>
                <w:sz w:val="22"/>
              </w:rPr>
              <w:t>9.00</w:t>
            </w:r>
          </w:p>
        </w:tc>
        <w:tc>
          <w:tcPr>
            <w:tcW w:w="1667" w:type="dxa"/>
            <w:shd w:val="clear" w:color="auto" w:fill="D2DFED"/>
          </w:tcPr>
          <w:p>
            <w:pPr>
              <w:pStyle w:val="TableParagraph"/>
              <w:spacing w:line="247" w:lineRule="exact"/>
              <w:ind w:left="162"/>
              <w:rPr>
                <w:sz w:val="22"/>
              </w:rPr>
            </w:pPr>
            <w:r>
              <w:rPr>
                <w:spacing w:val="-4"/>
                <w:sz w:val="22"/>
              </w:rPr>
              <w:t>5.00</w:t>
            </w:r>
          </w:p>
        </w:tc>
        <w:tc>
          <w:tcPr>
            <w:tcW w:w="1365" w:type="dxa"/>
            <w:shd w:val="clear" w:color="auto" w:fill="D2DFED"/>
          </w:tcPr>
          <w:p>
            <w:pPr>
              <w:pStyle w:val="TableParagraph"/>
              <w:spacing w:line="247" w:lineRule="exact"/>
              <w:ind w:left="115"/>
              <w:rPr>
                <w:sz w:val="22"/>
              </w:rPr>
            </w:pPr>
            <w:r>
              <w:rPr>
                <w:spacing w:val="-4"/>
                <w:sz w:val="22"/>
              </w:rPr>
              <w:t>3.00</w:t>
            </w:r>
          </w:p>
        </w:tc>
        <w:tc>
          <w:tcPr>
            <w:tcW w:w="1552" w:type="dxa"/>
            <w:shd w:val="clear" w:color="auto" w:fill="D2DFED"/>
          </w:tcPr>
          <w:p>
            <w:pPr>
              <w:pStyle w:val="TableParagraph"/>
              <w:spacing w:line="247" w:lineRule="exact"/>
              <w:ind w:left="191"/>
              <w:rPr>
                <w:sz w:val="22"/>
              </w:rPr>
            </w:pPr>
            <w:r>
              <w:rPr>
                <w:spacing w:val="-4"/>
                <w:sz w:val="22"/>
              </w:rPr>
              <w:t>3.00</w:t>
            </w:r>
          </w:p>
        </w:tc>
        <w:tc>
          <w:tcPr>
            <w:tcW w:w="2133" w:type="dxa"/>
            <w:shd w:val="clear" w:color="auto" w:fill="D2DFED"/>
          </w:tcPr>
          <w:p>
            <w:pPr>
              <w:pStyle w:val="TableParagraph"/>
              <w:spacing w:line="247" w:lineRule="exact"/>
              <w:ind w:left="259"/>
              <w:rPr>
                <w:sz w:val="22"/>
              </w:rPr>
            </w:pPr>
            <w:r>
              <w:rPr>
                <w:spacing w:val="-2"/>
                <w:sz w:val="22"/>
              </w:rPr>
              <w:t>49.00</w:t>
            </w:r>
          </w:p>
        </w:tc>
      </w:tr>
      <w:tr>
        <w:trPr>
          <w:trHeight w:val="299" w:hRule="atLeast"/>
        </w:trPr>
        <w:tc>
          <w:tcPr>
            <w:tcW w:w="939" w:type="dxa"/>
          </w:tcPr>
          <w:p>
            <w:pPr>
              <w:pStyle w:val="TableParagraph"/>
              <w:spacing w:line="247" w:lineRule="exact"/>
              <w:ind w:left="122"/>
              <w:rPr>
                <w:sz w:val="22"/>
              </w:rPr>
            </w:pPr>
            <w:r>
              <w:rPr>
                <w:spacing w:val="-4"/>
                <w:sz w:val="22"/>
              </w:rPr>
              <w:t>2006</w:t>
            </w:r>
          </w:p>
        </w:tc>
        <w:tc>
          <w:tcPr>
            <w:tcW w:w="1721" w:type="dxa"/>
          </w:tcPr>
          <w:p>
            <w:pPr>
              <w:pStyle w:val="TableParagraph"/>
              <w:spacing w:line="247" w:lineRule="exact"/>
              <w:ind w:left="352"/>
              <w:rPr>
                <w:sz w:val="22"/>
              </w:rPr>
            </w:pPr>
            <w:r>
              <w:rPr>
                <w:spacing w:val="-4"/>
                <w:sz w:val="22"/>
              </w:rPr>
              <w:t>6.00</w:t>
            </w:r>
          </w:p>
        </w:tc>
        <w:tc>
          <w:tcPr>
            <w:tcW w:w="1667" w:type="dxa"/>
          </w:tcPr>
          <w:p>
            <w:pPr>
              <w:pStyle w:val="TableParagraph"/>
              <w:spacing w:line="247" w:lineRule="exact"/>
              <w:ind w:left="162"/>
              <w:rPr>
                <w:sz w:val="22"/>
              </w:rPr>
            </w:pPr>
            <w:r>
              <w:rPr>
                <w:spacing w:val="-2"/>
                <w:sz w:val="22"/>
              </w:rPr>
              <w:t>10.00</w:t>
            </w:r>
          </w:p>
        </w:tc>
        <w:tc>
          <w:tcPr>
            <w:tcW w:w="1365" w:type="dxa"/>
          </w:tcPr>
          <w:p>
            <w:pPr>
              <w:pStyle w:val="TableParagraph"/>
              <w:spacing w:line="247" w:lineRule="exact"/>
              <w:ind w:left="115"/>
              <w:rPr>
                <w:sz w:val="22"/>
              </w:rPr>
            </w:pPr>
            <w:r>
              <w:rPr>
                <w:spacing w:val="-4"/>
                <w:sz w:val="22"/>
              </w:rPr>
              <w:t>3.00</w:t>
            </w:r>
          </w:p>
        </w:tc>
        <w:tc>
          <w:tcPr>
            <w:tcW w:w="1552" w:type="dxa"/>
          </w:tcPr>
          <w:p>
            <w:pPr>
              <w:pStyle w:val="TableParagraph"/>
              <w:spacing w:line="247" w:lineRule="exact"/>
              <w:ind w:left="191"/>
              <w:rPr>
                <w:sz w:val="22"/>
              </w:rPr>
            </w:pPr>
            <w:r>
              <w:rPr>
                <w:spacing w:val="-4"/>
                <w:sz w:val="22"/>
              </w:rPr>
              <w:t>3.00</w:t>
            </w:r>
          </w:p>
        </w:tc>
        <w:tc>
          <w:tcPr>
            <w:tcW w:w="2133" w:type="dxa"/>
          </w:tcPr>
          <w:p>
            <w:pPr>
              <w:pStyle w:val="TableParagraph"/>
              <w:spacing w:line="247" w:lineRule="exact"/>
              <w:ind w:left="259"/>
              <w:rPr>
                <w:sz w:val="22"/>
              </w:rPr>
            </w:pPr>
            <w:r>
              <w:rPr>
                <w:spacing w:val="-2"/>
                <w:sz w:val="22"/>
              </w:rPr>
              <w:t>41.00</w:t>
            </w:r>
          </w:p>
        </w:tc>
      </w:tr>
      <w:tr>
        <w:trPr>
          <w:trHeight w:val="300" w:hRule="atLeast"/>
        </w:trPr>
        <w:tc>
          <w:tcPr>
            <w:tcW w:w="939" w:type="dxa"/>
            <w:shd w:val="clear" w:color="auto" w:fill="D2DFED"/>
          </w:tcPr>
          <w:p>
            <w:pPr>
              <w:pStyle w:val="TableParagraph"/>
              <w:spacing w:line="247" w:lineRule="exact"/>
              <w:ind w:left="122"/>
              <w:rPr>
                <w:sz w:val="22"/>
              </w:rPr>
            </w:pPr>
            <w:r>
              <w:rPr>
                <w:spacing w:val="-4"/>
                <w:sz w:val="22"/>
              </w:rPr>
              <w:t>2007</w:t>
            </w:r>
          </w:p>
        </w:tc>
        <w:tc>
          <w:tcPr>
            <w:tcW w:w="1721" w:type="dxa"/>
            <w:shd w:val="clear" w:color="auto" w:fill="D2DFED"/>
          </w:tcPr>
          <w:p>
            <w:pPr>
              <w:pStyle w:val="TableParagraph"/>
              <w:spacing w:line="247" w:lineRule="exact"/>
              <w:ind w:left="352"/>
              <w:rPr>
                <w:sz w:val="22"/>
              </w:rPr>
            </w:pPr>
            <w:r>
              <w:rPr>
                <w:spacing w:val="-4"/>
                <w:sz w:val="22"/>
              </w:rPr>
              <w:t>4.00</w:t>
            </w:r>
          </w:p>
        </w:tc>
        <w:tc>
          <w:tcPr>
            <w:tcW w:w="1667" w:type="dxa"/>
            <w:shd w:val="clear" w:color="auto" w:fill="D2DFED"/>
          </w:tcPr>
          <w:p>
            <w:pPr>
              <w:pStyle w:val="TableParagraph"/>
              <w:spacing w:line="247" w:lineRule="exact"/>
              <w:ind w:left="162"/>
              <w:rPr>
                <w:sz w:val="22"/>
              </w:rPr>
            </w:pPr>
            <w:r>
              <w:rPr>
                <w:spacing w:val="-4"/>
                <w:sz w:val="22"/>
              </w:rPr>
              <w:t>7.00</w:t>
            </w:r>
          </w:p>
        </w:tc>
        <w:tc>
          <w:tcPr>
            <w:tcW w:w="1365" w:type="dxa"/>
            <w:shd w:val="clear" w:color="auto" w:fill="D2DFED"/>
          </w:tcPr>
          <w:p>
            <w:pPr>
              <w:pStyle w:val="TableParagraph"/>
              <w:spacing w:line="247" w:lineRule="exact"/>
              <w:ind w:left="115"/>
              <w:rPr>
                <w:sz w:val="22"/>
              </w:rPr>
            </w:pPr>
            <w:r>
              <w:rPr>
                <w:spacing w:val="-4"/>
                <w:sz w:val="22"/>
              </w:rPr>
              <w:t>3.00</w:t>
            </w:r>
          </w:p>
        </w:tc>
        <w:tc>
          <w:tcPr>
            <w:tcW w:w="1552" w:type="dxa"/>
            <w:shd w:val="clear" w:color="auto" w:fill="D2DFED"/>
          </w:tcPr>
          <w:p>
            <w:pPr>
              <w:pStyle w:val="TableParagraph"/>
              <w:spacing w:line="247" w:lineRule="exact"/>
              <w:ind w:left="191"/>
              <w:rPr>
                <w:sz w:val="22"/>
              </w:rPr>
            </w:pPr>
            <w:r>
              <w:rPr>
                <w:spacing w:val="-4"/>
                <w:sz w:val="22"/>
              </w:rPr>
              <w:t>4.00</w:t>
            </w:r>
          </w:p>
        </w:tc>
        <w:tc>
          <w:tcPr>
            <w:tcW w:w="2133" w:type="dxa"/>
            <w:shd w:val="clear" w:color="auto" w:fill="D2DFED"/>
          </w:tcPr>
          <w:p>
            <w:pPr>
              <w:pStyle w:val="TableParagraph"/>
              <w:spacing w:line="247" w:lineRule="exact"/>
              <w:ind w:left="259"/>
              <w:rPr>
                <w:sz w:val="22"/>
              </w:rPr>
            </w:pPr>
            <w:r>
              <w:rPr>
                <w:spacing w:val="-2"/>
                <w:sz w:val="22"/>
              </w:rPr>
              <w:t>37.00</w:t>
            </w:r>
          </w:p>
        </w:tc>
      </w:tr>
      <w:tr>
        <w:trPr>
          <w:trHeight w:val="300" w:hRule="atLeast"/>
        </w:trPr>
        <w:tc>
          <w:tcPr>
            <w:tcW w:w="939" w:type="dxa"/>
          </w:tcPr>
          <w:p>
            <w:pPr>
              <w:pStyle w:val="TableParagraph"/>
              <w:spacing w:line="247" w:lineRule="exact"/>
              <w:ind w:left="122"/>
              <w:rPr>
                <w:sz w:val="22"/>
              </w:rPr>
            </w:pPr>
            <w:r>
              <w:rPr>
                <w:spacing w:val="-4"/>
                <w:sz w:val="22"/>
              </w:rPr>
              <w:t>2008</w:t>
            </w:r>
          </w:p>
        </w:tc>
        <w:tc>
          <w:tcPr>
            <w:tcW w:w="1721" w:type="dxa"/>
          </w:tcPr>
          <w:p>
            <w:pPr>
              <w:pStyle w:val="TableParagraph"/>
              <w:spacing w:line="247" w:lineRule="exact"/>
              <w:ind w:left="352"/>
              <w:rPr>
                <w:sz w:val="22"/>
              </w:rPr>
            </w:pPr>
            <w:r>
              <w:rPr>
                <w:spacing w:val="-4"/>
                <w:sz w:val="22"/>
              </w:rPr>
              <w:t>7.00</w:t>
            </w:r>
          </w:p>
        </w:tc>
        <w:tc>
          <w:tcPr>
            <w:tcW w:w="1667" w:type="dxa"/>
          </w:tcPr>
          <w:p>
            <w:pPr>
              <w:pStyle w:val="TableParagraph"/>
              <w:spacing w:line="247" w:lineRule="exact"/>
              <w:ind w:left="162"/>
              <w:rPr>
                <w:sz w:val="22"/>
              </w:rPr>
            </w:pPr>
            <w:r>
              <w:rPr>
                <w:spacing w:val="-4"/>
                <w:sz w:val="22"/>
              </w:rPr>
              <w:t>6.00</w:t>
            </w:r>
          </w:p>
        </w:tc>
        <w:tc>
          <w:tcPr>
            <w:tcW w:w="1365" w:type="dxa"/>
          </w:tcPr>
          <w:p>
            <w:pPr>
              <w:pStyle w:val="TableParagraph"/>
              <w:spacing w:line="247" w:lineRule="exact"/>
              <w:ind w:left="115"/>
              <w:rPr>
                <w:sz w:val="22"/>
              </w:rPr>
            </w:pPr>
            <w:r>
              <w:rPr>
                <w:spacing w:val="-4"/>
                <w:sz w:val="22"/>
              </w:rPr>
              <w:t>3.00</w:t>
            </w:r>
          </w:p>
        </w:tc>
        <w:tc>
          <w:tcPr>
            <w:tcW w:w="1552" w:type="dxa"/>
          </w:tcPr>
          <w:p>
            <w:pPr>
              <w:pStyle w:val="TableParagraph"/>
              <w:spacing w:line="247" w:lineRule="exact"/>
              <w:ind w:left="191"/>
              <w:rPr>
                <w:sz w:val="22"/>
              </w:rPr>
            </w:pPr>
            <w:r>
              <w:rPr>
                <w:spacing w:val="-4"/>
                <w:sz w:val="22"/>
              </w:rPr>
              <w:t>2.00</w:t>
            </w:r>
          </w:p>
        </w:tc>
        <w:tc>
          <w:tcPr>
            <w:tcW w:w="2133" w:type="dxa"/>
          </w:tcPr>
          <w:p>
            <w:pPr>
              <w:pStyle w:val="TableParagraph"/>
              <w:spacing w:line="247" w:lineRule="exact"/>
              <w:ind w:left="259"/>
              <w:rPr>
                <w:sz w:val="22"/>
              </w:rPr>
            </w:pPr>
            <w:r>
              <w:rPr>
                <w:spacing w:val="-2"/>
                <w:sz w:val="22"/>
              </w:rPr>
              <w:t>32.00</w:t>
            </w:r>
          </w:p>
        </w:tc>
      </w:tr>
      <w:tr>
        <w:trPr>
          <w:trHeight w:val="300" w:hRule="atLeast"/>
        </w:trPr>
        <w:tc>
          <w:tcPr>
            <w:tcW w:w="939" w:type="dxa"/>
            <w:shd w:val="clear" w:color="auto" w:fill="D2DFED"/>
          </w:tcPr>
          <w:p>
            <w:pPr>
              <w:pStyle w:val="TableParagraph"/>
              <w:spacing w:line="247" w:lineRule="exact"/>
              <w:ind w:left="122"/>
              <w:rPr>
                <w:sz w:val="22"/>
              </w:rPr>
            </w:pPr>
            <w:r>
              <w:rPr>
                <w:spacing w:val="-4"/>
                <w:sz w:val="22"/>
              </w:rPr>
              <w:t>2009</w:t>
            </w:r>
          </w:p>
        </w:tc>
        <w:tc>
          <w:tcPr>
            <w:tcW w:w="1721" w:type="dxa"/>
            <w:shd w:val="clear" w:color="auto" w:fill="D2DFED"/>
          </w:tcPr>
          <w:p>
            <w:pPr>
              <w:pStyle w:val="TableParagraph"/>
              <w:spacing w:line="247" w:lineRule="exact"/>
              <w:ind w:left="352"/>
              <w:rPr>
                <w:sz w:val="22"/>
              </w:rPr>
            </w:pPr>
            <w:r>
              <w:rPr>
                <w:spacing w:val="-4"/>
                <w:sz w:val="22"/>
              </w:rPr>
              <w:t>6.00</w:t>
            </w:r>
          </w:p>
        </w:tc>
        <w:tc>
          <w:tcPr>
            <w:tcW w:w="1667" w:type="dxa"/>
            <w:shd w:val="clear" w:color="auto" w:fill="D2DFED"/>
          </w:tcPr>
          <w:p>
            <w:pPr>
              <w:pStyle w:val="TableParagraph"/>
              <w:spacing w:line="247" w:lineRule="exact"/>
              <w:ind w:left="162"/>
              <w:rPr>
                <w:sz w:val="22"/>
              </w:rPr>
            </w:pPr>
            <w:r>
              <w:rPr>
                <w:spacing w:val="-4"/>
                <w:sz w:val="22"/>
              </w:rPr>
              <w:t>6.00</w:t>
            </w:r>
          </w:p>
        </w:tc>
        <w:tc>
          <w:tcPr>
            <w:tcW w:w="1365" w:type="dxa"/>
            <w:shd w:val="clear" w:color="auto" w:fill="D2DFED"/>
          </w:tcPr>
          <w:p>
            <w:pPr>
              <w:pStyle w:val="TableParagraph"/>
              <w:spacing w:line="247" w:lineRule="exact"/>
              <w:ind w:left="115"/>
              <w:rPr>
                <w:sz w:val="22"/>
              </w:rPr>
            </w:pPr>
            <w:r>
              <w:rPr>
                <w:spacing w:val="-4"/>
                <w:sz w:val="22"/>
              </w:rPr>
              <w:t>3.00</w:t>
            </w:r>
          </w:p>
        </w:tc>
        <w:tc>
          <w:tcPr>
            <w:tcW w:w="1552" w:type="dxa"/>
            <w:shd w:val="clear" w:color="auto" w:fill="D2DFED"/>
          </w:tcPr>
          <w:p>
            <w:pPr>
              <w:pStyle w:val="TableParagraph"/>
              <w:spacing w:line="247" w:lineRule="exact"/>
              <w:ind w:left="191"/>
              <w:rPr>
                <w:sz w:val="22"/>
              </w:rPr>
            </w:pPr>
            <w:r>
              <w:rPr>
                <w:spacing w:val="-4"/>
                <w:sz w:val="22"/>
              </w:rPr>
              <w:t>4.00</w:t>
            </w:r>
          </w:p>
        </w:tc>
        <w:tc>
          <w:tcPr>
            <w:tcW w:w="2133" w:type="dxa"/>
            <w:shd w:val="clear" w:color="auto" w:fill="D2DFED"/>
          </w:tcPr>
          <w:p>
            <w:pPr>
              <w:pStyle w:val="TableParagraph"/>
              <w:spacing w:line="247" w:lineRule="exact"/>
              <w:ind w:left="259"/>
              <w:rPr>
                <w:sz w:val="22"/>
              </w:rPr>
            </w:pPr>
            <w:r>
              <w:rPr>
                <w:spacing w:val="-2"/>
                <w:sz w:val="22"/>
              </w:rPr>
              <w:t>33.00</w:t>
            </w:r>
          </w:p>
        </w:tc>
      </w:tr>
      <w:tr>
        <w:trPr>
          <w:trHeight w:val="300" w:hRule="atLeast"/>
        </w:trPr>
        <w:tc>
          <w:tcPr>
            <w:tcW w:w="939" w:type="dxa"/>
          </w:tcPr>
          <w:p>
            <w:pPr>
              <w:pStyle w:val="TableParagraph"/>
              <w:spacing w:line="247" w:lineRule="exact"/>
              <w:ind w:left="122"/>
              <w:rPr>
                <w:sz w:val="22"/>
              </w:rPr>
            </w:pPr>
            <w:r>
              <w:rPr>
                <w:spacing w:val="-4"/>
                <w:sz w:val="22"/>
              </w:rPr>
              <w:t>2010</w:t>
            </w:r>
          </w:p>
        </w:tc>
        <w:tc>
          <w:tcPr>
            <w:tcW w:w="1721" w:type="dxa"/>
          </w:tcPr>
          <w:p>
            <w:pPr>
              <w:pStyle w:val="TableParagraph"/>
              <w:spacing w:line="247" w:lineRule="exact"/>
              <w:ind w:left="352"/>
              <w:rPr>
                <w:sz w:val="22"/>
              </w:rPr>
            </w:pPr>
            <w:r>
              <w:rPr>
                <w:spacing w:val="-4"/>
                <w:sz w:val="22"/>
              </w:rPr>
              <w:t>6.00</w:t>
            </w:r>
          </w:p>
        </w:tc>
        <w:tc>
          <w:tcPr>
            <w:tcW w:w="1667" w:type="dxa"/>
          </w:tcPr>
          <w:p>
            <w:pPr>
              <w:pStyle w:val="TableParagraph"/>
              <w:spacing w:line="247" w:lineRule="exact"/>
              <w:ind w:left="162"/>
              <w:rPr>
                <w:sz w:val="22"/>
              </w:rPr>
            </w:pPr>
            <w:r>
              <w:rPr>
                <w:spacing w:val="-4"/>
                <w:sz w:val="22"/>
              </w:rPr>
              <w:t>6.00</w:t>
            </w:r>
          </w:p>
        </w:tc>
        <w:tc>
          <w:tcPr>
            <w:tcW w:w="1365" w:type="dxa"/>
          </w:tcPr>
          <w:p>
            <w:pPr>
              <w:pStyle w:val="TableParagraph"/>
              <w:spacing w:line="247" w:lineRule="exact"/>
              <w:ind w:left="115"/>
              <w:rPr>
                <w:sz w:val="22"/>
              </w:rPr>
            </w:pPr>
            <w:r>
              <w:rPr>
                <w:spacing w:val="-4"/>
                <w:sz w:val="22"/>
              </w:rPr>
              <w:t>3.00</w:t>
            </w:r>
          </w:p>
        </w:tc>
        <w:tc>
          <w:tcPr>
            <w:tcW w:w="1552" w:type="dxa"/>
          </w:tcPr>
          <w:p>
            <w:pPr>
              <w:pStyle w:val="TableParagraph"/>
              <w:spacing w:line="247" w:lineRule="exact"/>
              <w:ind w:left="191"/>
              <w:rPr>
                <w:sz w:val="22"/>
              </w:rPr>
            </w:pPr>
            <w:r>
              <w:rPr>
                <w:spacing w:val="-4"/>
                <w:sz w:val="22"/>
              </w:rPr>
              <w:t>3.00</w:t>
            </w:r>
          </w:p>
        </w:tc>
        <w:tc>
          <w:tcPr>
            <w:tcW w:w="2133" w:type="dxa"/>
          </w:tcPr>
          <w:p>
            <w:pPr>
              <w:pStyle w:val="TableParagraph"/>
              <w:spacing w:line="247" w:lineRule="exact"/>
              <w:ind w:left="259"/>
              <w:rPr>
                <w:sz w:val="22"/>
              </w:rPr>
            </w:pPr>
            <w:r>
              <w:rPr>
                <w:spacing w:val="-2"/>
                <w:sz w:val="22"/>
              </w:rPr>
              <w:t>32.00</w:t>
            </w:r>
          </w:p>
        </w:tc>
      </w:tr>
      <w:tr>
        <w:trPr>
          <w:trHeight w:val="300" w:hRule="atLeast"/>
        </w:trPr>
        <w:tc>
          <w:tcPr>
            <w:tcW w:w="939" w:type="dxa"/>
            <w:shd w:val="clear" w:color="auto" w:fill="D2DFED"/>
          </w:tcPr>
          <w:p>
            <w:pPr>
              <w:pStyle w:val="TableParagraph"/>
              <w:spacing w:line="247" w:lineRule="exact"/>
              <w:ind w:left="122"/>
              <w:rPr>
                <w:sz w:val="22"/>
              </w:rPr>
            </w:pPr>
            <w:r>
              <w:rPr>
                <w:spacing w:val="-4"/>
                <w:sz w:val="22"/>
              </w:rPr>
              <w:t>2011</w:t>
            </w:r>
          </w:p>
        </w:tc>
        <w:tc>
          <w:tcPr>
            <w:tcW w:w="1721" w:type="dxa"/>
            <w:shd w:val="clear" w:color="auto" w:fill="D2DFED"/>
          </w:tcPr>
          <w:p>
            <w:pPr>
              <w:pStyle w:val="TableParagraph"/>
              <w:spacing w:line="247" w:lineRule="exact"/>
              <w:ind w:left="352"/>
              <w:rPr>
                <w:sz w:val="22"/>
              </w:rPr>
            </w:pPr>
            <w:r>
              <w:rPr>
                <w:spacing w:val="-4"/>
                <w:sz w:val="22"/>
              </w:rPr>
              <w:t>7.00</w:t>
            </w:r>
          </w:p>
        </w:tc>
        <w:tc>
          <w:tcPr>
            <w:tcW w:w="1667" w:type="dxa"/>
            <w:shd w:val="clear" w:color="auto" w:fill="D2DFED"/>
          </w:tcPr>
          <w:p>
            <w:pPr>
              <w:pStyle w:val="TableParagraph"/>
              <w:spacing w:line="247" w:lineRule="exact"/>
              <w:ind w:left="162"/>
              <w:rPr>
                <w:sz w:val="22"/>
              </w:rPr>
            </w:pPr>
            <w:r>
              <w:rPr>
                <w:spacing w:val="-4"/>
                <w:sz w:val="22"/>
              </w:rPr>
              <w:t>6.00</w:t>
            </w:r>
          </w:p>
        </w:tc>
        <w:tc>
          <w:tcPr>
            <w:tcW w:w="1365" w:type="dxa"/>
            <w:shd w:val="clear" w:color="auto" w:fill="D2DFED"/>
          </w:tcPr>
          <w:p>
            <w:pPr>
              <w:pStyle w:val="TableParagraph"/>
              <w:spacing w:line="247" w:lineRule="exact"/>
              <w:ind w:left="115"/>
              <w:rPr>
                <w:sz w:val="22"/>
              </w:rPr>
            </w:pPr>
            <w:r>
              <w:rPr>
                <w:spacing w:val="-4"/>
                <w:sz w:val="22"/>
              </w:rPr>
              <w:t>3.00</w:t>
            </w:r>
          </w:p>
        </w:tc>
        <w:tc>
          <w:tcPr>
            <w:tcW w:w="1552" w:type="dxa"/>
            <w:shd w:val="clear" w:color="auto" w:fill="D2DFED"/>
          </w:tcPr>
          <w:p>
            <w:pPr>
              <w:pStyle w:val="TableParagraph"/>
              <w:spacing w:line="247" w:lineRule="exact"/>
              <w:ind w:left="191"/>
              <w:rPr>
                <w:sz w:val="22"/>
              </w:rPr>
            </w:pPr>
            <w:r>
              <w:rPr>
                <w:spacing w:val="-4"/>
                <w:sz w:val="22"/>
              </w:rPr>
              <w:t>3.00</w:t>
            </w:r>
          </w:p>
        </w:tc>
        <w:tc>
          <w:tcPr>
            <w:tcW w:w="2133" w:type="dxa"/>
            <w:shd w:val="clear" w:color="auto" w:fill="D2DFED"/>
          </w:tcPr>
          <w:p>
            <w:pPr>
              <w:pStyle w:val="TableParagraph"/>
              <w:spacing w:line="247" w:lineRule="exact"/>
              <w:ind w:left="259"/>
              <w:rPr>
                <w:sz w:val="22"/>
              </w:rPr>
            </w:pPr>
            <w:r>
              <w:rPr>
                <w:spacing w:val="-2"/>
                <w:sz w:val="22"/>
              </w:rPr>
              <w:t>32.00</w:t>
            </w:r>
          </w:p>
        </w:tc>
      </w:tr>
      <w:tr>
        <w:trPr>
          <w:trHeight w:val="300" w:hRule="atLeast"/>
        </w:trPr>
        <w:tc>
          <w:tcPr>
            <w:tcW w:w="939" w:type="dxa"/>
          </w:tcPr>
          <w:p>
            <w:pPr>
              <w:pStyle w:val="TableParagraph"/>
              <w:spacing w:line="247" w:lineRule="exact"/>
              <w:ind w:left="122"/>
              <w:rPr>
                <w:sz w:val="22"/>
              </w:rPr>
            </w:pPr>
            <w:r>
              <w:rPr>
                <w:spacing w:val="-4"/>
                <w:sz w:val="22"/>
              </w:rPr>
              <w:t>2012</w:t>
            </w:r>
          </w:p>
        </w:tc>
        <w:tc>
          <w:tcPr>
            <w:tcW w:w="1721" w:type="dxa"/>
          </w:tcPr>
          <w:p>
            <w:pPr>
              <w:pStyle w:val="TableParagraph"/>
              <w:spacing w:line="247" w:lineRule="exact"/>
              <w:ind w:left="352"/>
              <w:rPr>
                <w:sz w:val="22"/>
              </w:rPr>
            </w:pPr>
            <w:r>
              <w:rPr>
                <w:spacing w:val="-4"/>
                <w:sz w:val="22"/>
              </w:rPr>
              <w:t>4.00</w:t>
            </w:r>
          </w:p>
        </w:tc>
        <w:tc>
          <w:tcPr>
            <w:tcW w:w="1667" w:type="dxa"/>
          </w:tcPr>
          <w:p>
            <w:pPr>
              <w:pStyle w:val="TableParagraph"/>
              <w:spacing w:line="247" w:lineRule="exact"/>
              <w:ind w:left="162"/>
              <w:rPr>
                <w:sz w:val="22"/>
              </w:rPr>
            </w:pPr>
            <w:r>
              <w:rPr>
                <w:spacing w:val="-2"/>
                <w:sz w:val="22"/>
              </w:rPr>
              <w:t>23.00</w:t>
            </w:r>
          </w:p>
        </w:tc>
        <w:tc>
          <w:tcPr>
            <w:tcW w:w="1365" w:type="dxa"/>
          </w:tcPr>
          <w:p>
            <w:pPr>
              <w:pStyle w:val="TableParagraph"/>
              <w:spacing w:line="247" w:lineRule="exact"/>
              <w:ind w:left="115"/>
              <w:rPr>
                <w:sz w:val="22"/>
              </w:rPr>
            </w:pPr>
            <w:r>
              <w:rPr>
                <w:spacing w:val="-4"/>
                <w:sz w:val="22"/>
              </w:rPr>
              <w:t>3.00</w:t>
            </w:r>
          </w:p>
        </w:tc>
        <w:tc>
          <w:tcPr>
            <w:tcW w:w="1552" w:type="dxa"/>
          </w:tcPr>
          <w:p>
            <w:pPr>
              <w:pStyle w:val="TableParagraph"/>
              <w:spacing w:line="247" w:lineRule="exact"/>
              <w:ind w:left="191"/>
              <w:rPr>
                <w:sz w:val="22"/>
              </w:rPr>
            </w:pPr>
            <w:r>
              <w:rPr>
                <w:spacing w:val="-4"/>
                <w:sz w:val="22"/>
              </w:rPr>
              <w:t>2.00</w:t>
            </w:r>
          </w:p>
        </w:tc>
        <w:tc>
          <w:tcPr>
            <w:tcW w:w="2133" w:type="dxa"/>
          </w:tcPr>
          <w:p>
            <w:pPr>
              <w:pStyle w:val="TableParagraph"/>
              <w:spacing w:line="247" w:lineRule="exact"/>
              <w:ind w:left="259"/>
              <w:rPr>
                <w:sz w:val="22"/>
              </w:rPr>
            </w:pPr>
            <w:r>
              <w:rPr>
                <w:spacing w:val="-2"/>
                <w:sz w:val="22"/>
              </w:rPr>
              <w:t>21.00</w:t>
            </w:r>
          </w:p>
        </w:tc>
      </w:tr>
      <w:tr>
        <w:trPr>
          <w:trHeight w:val="300" w:hRule="atLeast"/>
        </w:trPr>
        <w:tc>
          <w:tcPr>
            <w:tcW w:w="939" w:type="dxa"/>
            <w:shd w:val="clear" w:color="auto" w:fill="D2DFED"/>
          </w:tcPr>
          <w:p>
            <w:pPr>
              <w:pStyle w:val="TableParagraph"/>
              <w:spacing w:line="247" w:lineRule="exact"/>
              <w:ind w:left="122"/>
              <w:rPr>
                <w:sz w:val="22"/>
              </w:rPr>
            </w:pPr>
            <w:r>
              <w:rPr>
                <w:spacing w:val="-4"/>
                <w:sz w:val="22"/>
              </w:rPr>
              <w:t>2013</w:t>
            </w:r>
          </w:p>
        </w:tc>
        <w:tc>
          <w:tcPr>
            <w:tcW w:w="1721" w:type="dxa"/>
            <w:shd w:val="clear" w:color="auto" w:fill="D2DFED"/>
          </w:tcPr>
          <w:p>
            <w:pPr>
              <w:pStyle w:val="TableParagraph"/>
              <w:spacing w:line="247" w:lineRule="exact"/>
              <w:ind w:left="352"/>
              <w:rPr>
                <w:sz w:val="22"/>
              </w:rPr>
            </w:pPr>
            <w:r>
              <w:rPr>
                <w:spacing w:val="-4"/>
                <w:sz w:val="22"/>
              </w:rPr>
              <w:t>2.00</w:t>
            </w:r>
          </w:p>
        </w:tc>
        <w:tc>
          <w:tcPr>
            <w:tcW w:w="1667" w:type="dxa"/>
            <w:shd w:val="clear" w:color="auto" w:fill="D2DFED"/>
          </w:tcPr>
          <w:p>
            <w:pPr>
              <w:pStyle w:val="TableParagraph"/>
              <w:spacing w:line="247" w:lineRule="exact"/>
              <w:ind w:left="162"/>
              <w:rPr>
                <w:sz w:val="22"/>
              </w:rPr>
            </w:pPr>
            <w:r>
              <w:rPr>
                <w:spacing w:val="-2"/>
                <w:sz w:val="22"/>
              </w:rPr>
              <w:t>14.00</w:t>
            </w:r>
          </w:p>
        </w:tc>
        <w:tc>
          <w:tcPr>
            <w:tcW w:w="1365" w:type="dxa"/>
            <w:shd w:val="clear" w:color="auto" w:fill="D2DFED"/>
          </w:tcPr>
          <w:p>
            <w:pPr>
              <w:pStyle w:val="TableParagraph"/>
              <w:spacing w:line="247" w:lineRule="exact"/>
              <w:ind w:left="115"/>
              <w:rPr>
                <w:sz w:val="22"/>
              </w:rPr>
            </w:pPr>
            <w:r>
              <w:rPr>
                <w:spacing w:val="-4"/>
                <w:sz w:val="22"/>
              </w:rPr>
              <w:t>2.00</w:t>
            </w:r>
          </w:p>
        </w:tc>
        <w:tc>
          <w:tcPr>
            <w:tcW w:w="1552" w:type="dxa"/>
            <w:shd w:val="clear" w:color="auto" w:fill="D2DFED"/>
          </w:tcPr>
          <w:p>
            <w:pPr>
              <w:pStyle w:val="TableParagraph"/>
              <w:spacing w:line="247" w:lineRule="exact"/>
              <w:ind w:left="191"/>
              <w:rPr>
                <w:sz w:val="22"/>
              </w:rPr>
            </w:pPr>
            <w:r>
              <w:rPr>
                <w:spacing w:val="-4"/>
                <w:sz w:val="22"/>
              </w:rPr>
              <w:t>1.00</w:t>
            </w:r>
          </w:p>
        </w:tc>
        <w:tc>
          <w:tcPr>
            <w:tcW w:w="2133" w:type="dxa"/>
            <w:shd w:val="clear" w:color="auto" w:fill="D2DFED"/>
          </w:tcPr>
          <w:p>
            <w:pPr>
              <w:pStyle w:val="TableParagraph"/>
              <w:spacing w:line="247" w:lineRule="exact"/>
              <w:ind w:left="259"/>
              <w:rPr>
                <w:sz w:val="22"/>
              </w:rPr>
            </w:pPr>
            <w:r>
              <w:rPr>
                <w:spacing w:val="-2"/>
                <w:sz w:val="22"/>
              </w:rPr>
              <w:t>23.00</w:t>
            </w:r>
          </w:p>
        </w:tc>
      </w:tr>
      <w:tr>
        <w:trPr>
          <w:trHeight w:val="299" w:hRule="atLeast"/>
        </w:trPr>
        <w:tc>
          <w:tcPr>
            <w:tcW w:w="939" w:type="dxa"/>
          </w:tcPr>
          <w:p>
            <w:pPr>
              <w:pStyle w:val="TableParagraph"/>
              <w:spacing w:line="247" w:lineRule="exact"/>
              <w:ind w:left="122"/>
              <w:rPr>
                <w:sz w:val="22"/>
              </w:rPr>
            </w:pPr>
            <w:r>
              <w:rPr>
                <w:spacing w:val="-4"/>
                <w:sz w:val="22"/>
              </w:rPr>
              <w:t>2014</w:t>
            </w:r>
          </w:p>
        </w:tc>
        <w:tc>
          <w:tcPr>
            <w:tcW w:w="1721" w:type="dxa"/>
          </w:tcPr>
          <w:p>
            <w:pPr>
              <w:pStyle w:val="TableParagraph"/>
              <w:spacing w:line="247" w:lineRule="exact"/>
              <w:ind w:left="352"/>
              <w:rPr>
                <w:sz w:val="22"/>
              </w:rPr>
            </w:pPr>
            <w:r>
              <w:rPr>
                <w:spacing w:val="-4"/>
                <w:sz w:val="22"/>
              </w:rPr>
              <w:t>3.00</w:t>
            </w:r>
          </w:p>
        </w:tc>
        <w:tc>
          <w:tcPr>
            <w:tcW w:w="1667" w:type="dxa"/>
          </w:tcPr>
          <w:p>
            <w:pPr>
              <w:pStyle w:val="TableParagraph"/>
              <w:spacing w:line="247" w:lineRule="exact"/>
              <w:ind w:left="162"/>
              <w:rPr>
                <w:sz w:val="22"/>
              </w:rPr>
            </w:pPr>
            <w:r>
              <w:rPr>
                <w:spacing w:val="-4"/>
                <w:sz w:val="22"/>
              </w:rPr>
              <w:t>7.00</w:t>
            </w:r>
          </w:p>
        </w:tc>
        <w:tc>
          <w:tcPr>
            <w:tcW w:w="1365" w:type="dxa"/>
          </w:tcPr>
          <w:p>
            <w:pPr>
              <w:pStyle w:val="TableParagraph"/>
              <w:spacing w:line="247" w:lineRule="exact"/>
              <w:ind w:left="115"/>
              <w:rPr>
                <w:sz w:val="22"/>
              </w:rPr>
            </w:pPr>
            <w:r>
              <w:rPr>
                <w:spacing w:val="-4"/>
                <w:sz w:val="22"/>
              </w:rPr>
              <w:t>5.00</w:t>
            </w:r>
          </w:p>
        </w:tc>
        <w:tc>
          <w:tcPr>
            <w:tcW w:w="1552" w:type="dxa"/>
          </w:tcPr>
          <w:p>
            <w:pPr>
              <w:pStyle w:val="TableParagraph"/>
              <w:spacing w:line="247" w:lineRule="exact"/>
              <w:ind w:left="191"/>
              <w:rPr>
                <w:sz w:val="22"/>
              </w:rPr>
            </w:pPr>
            <w:r>
              <w:rPr>
                <w:spacing w:val="-4"/>
                <w:sz w:val="22"/>
              </w:rPr>
              <w:t>5.00</w:t>
            </w:r>
          </w:p>
        </w:tc>
        <w:tc>
          <w:tcPr>
            <w:tcW w:w="2133" w:type="dxa"/>
          </w:tcPr>
          <w:p>
            <w:pPr>
              <w:pStyle w:val="TableParagraph"/>
              <w:spacing w:line="247" w:lineRule="exact"/>
              <w:ind w:left="259"/>
              <w:rPr>
                <w:sz w:val="22"/>
              </w:rPr>
            </w:pPr>
            <w:r>
              <w:rPr>
                <w:spacing w:val="-2"/>
                <w:sz w:val="22"/>
              </w:rPr>
              <w:t>34.00</w:t>
            </w:r>
          </w:p>
        </w:tc>
      </w:tr>
      <w:tr>
        <w:trPr>
          <w:trHeight w:val="300" w:hRule="atLeast"/>
        </w:trPr>
        <w:tc>
          <w:tcPr>
            <w:tcW w:w="939" w:type="dxa"/>
            <w:shd w:val="clear" w:color="auto" w:fill="D2DFED"/>
          </w:tcPr>
          <w:p>
            <w:pPr>
              <w:pStyle w:val="TableParagraph"/>
              <w:spacing w:line="247" w:lineRule="exact"/>
              <w:ind w:left="122"/>
              <w:rPr>
                <w:sz w:val="22"/>
              </w:rPr>
            </w:pPr>
            <w:r>
              <w:rPr>
                <w:spacing w:val="-4"/>
                <w:sz w:val="22"/>
              </w:rPr>
              <w:t>2015</w:t>
            </w:r>
          </w:p>
        </w:tc>
        <w:tc>
          <w:tcPr>
            <w:tcW w:w="1721" w:type="dxa"/>
            <w:shd w:val="clear" w:color="auto" w:fill="D2DFED"/>
          </w:tcPr>
          <w:p>
            <w:pPr>
              <w:pStyle w:val="TableParagraph"/>
              <w:spacing w:line="247" w:lineRule="exact"/>
              <w:ind w:left="352"/>
              <w:rPr>
                <w:sz w:val="22"/>
              </w:rPr>
            </w:pPr>
            <w:r>
              <w:rPr>
                <w:spacing w:val="-4"/>
                <w:sz w:val="22"/>
              </w:rPr>
              <w:t>3.00</w:t>
            </w:r>
          </w:p>
        </w:tc>
        <w:tc>
          <w:tcPr>
            <w:tcW w:w="1667" w:type="dxa"/>
            <w:shd w:val="clear" w:color="auto" w:fill="D2DFED"/>
          </w:tcPr>
          <w:p>
            <w:pPr>
              <w:pStyle w:val="TableParagraph"/>
              <w:spacing w:line="247" w:lineRule="exact"/>
              <w:ind w:left="162"/>
              <w:rPr>
                <w:sz w:val="22"/>
              </w:rPr>
            </w:pPr>
            <w:r>
              <w:rPr>
                <w:spacing w:val="-4"/>
                <w:sz w:val="22"/>
              </w:rPr>
              <w:t>7.00</w:t>
            </w:r>
          </w:p>
        </w:tc>
        <w:tc>
          <w:tcPr>
            <w:tcW w:w="1365" w:type="dxa"/>
            <w:shd w:val="clear" w:color="auto" w:fill="D2DFED"/>
          </w:tcPr>
          <w:p>
            <w:pPr>
              <w:pStyle w:val="TableParagraph"/>
              <w:spacing w:line="247" w:lineRule="exact"/>
              <w:ind w:left="115"/>
              <w:rPr>
                <w:sz w:val="22"/>
              </w:rPr>
            </w:pPr>
            <w:r>
              <w:rPr>
                <w:spacing w:val="-4"/>
                <w:sz w:val="22"/>
              </w:rPr>
              <w:t>5.00</w:t>
            </w:r>
          </w:p>
        </w:tc>
        <w:tc>
          <w:tcPr>
            <w:tcW w:w="1552" w:type="dxa"/>
            <w:shd w:val="clear" w:color="auto" w:fill="D2DFED"/>
          </w:tcPr>
          <w:p>
            <w:pPr>
              <w:pStyle w:val="TableParagraph"/>
              <w:spacing w:line="247" w:lineRule="exact"/>
              <w:ind w:left="191"/>
              <w:rPr>
                <w:sz w:val="22"/>
              </w:rPr>
            </w:pPr>
            <w:r>
              <w:rPr>
                <w:spacing w:val="-4"/>
                <w:sz w:val="22"/>
              </w:rPr>
              <w:t>4.00</w:t>
            </w:r>
          </w:p>
        </w:tc>
        <w:tc>
          <w:tcPr>
            <w:tcW w:w="2133" w:type="dxa"/>
            <w:shd w:val="clear" w:color="auto" w:fill="D2DFED"/>
          </w:tcPr>
          <w:p>
            <w:pPr>
              <w:pStyle w:val="TableParagraph"/>
              <w:spacing w:line="247" w:lineRule="exact"/>
              <w:ind w:left="259"/>
              <w:rPr>
                <w:sz w:val="22"/>
              </w:rPr>
            </w:pPr>
            <w:r>
              <w:rPr>
                <w:spacing w:val="-2"/>
                <w:sz w:val="22"/>
              </w:rPr>
              <w:t>48.00</w:t>
            </w:r>
          </w:p>
        </w:tc>
      </w:tr>
      <w:tr>
        <w:trPr>
          <w:trHeight w:val="299" w:hRule="atLeast"/>
        </w:trPr>
        <w:tc>
          <w:tcPr>
            <w:tcW w:w="939" w:type="dxa"/>
            <w:tcBorders>
              <w:bottom w:val="single" w:sz="8" w:space="0" w:color="4F81BC"/>
            </w:tcBorders>
          </w:tcPr>
          <w:p>
            <w:pPr>
              <w:pStyle w:val="TableParagraph"/>
              <w:spacing w:line="247" w:lineRule="exact"/>
              <w:ind w:left="122"/>
              <w:rPr>
                <w:sz w:val="22"/>
              </w:rPr>
            </w:pPr>
            <w:r>
              <w:rPr>
                <w:spacing w:val="-4"/>
                <w:sz w:val="22"/>
              </w:rPr>
              <w:t>2016</w:t>
            </w:r>
          </w:p>
        </w:tc>
        <w:tc>
          <w:tcPr>
            <w:tcW w:w="1721" w:type="dxa"/>
            <w:tcBorders>
              <w:bottom w:val="single" w:sz="8" w:space="0" w:color="4F81BC"/>
            </w:tcBorders>
          </w:tcPr>
          <w:p>
            <w:pPr>
              <w:pStyle w:val="TableParagraph"/>
              <w:spacing w:line="247" w:lineRule="exact"/>
              <w:ind w:left="352"/>
              <w:rPr>
                <w:sz w:val="22"/>
              </w:rPr>
            </w:pPr>
            <w:r>
              <w:rPr>
                <w:spacing w:val="-4"/>
                <w:sz w:val="22"/>
              </w:rPr>
              <w:t>1.00</w:t>
            </w:r>
          </w:p>
        </w:tc>
        <w:tc>
          <w:tcPr>
            <w:tcW w:w="1667" w:type="dxa"/>
            <w:tcBorders>
              <w:bottom w:val="single" w:sz="8" w:space="0" w:color="4F81BC"/>
            </w:tcBorders>
          </w:tcPr>
          <w:p>
            <w:pPr>
              <w:pStyle w:val="TableParagraph"/>
              <w:spacing w:line="247" w:lineRule="exact"/>
              <w:ind w:left="162"/>
              <w:rPr>
                <w:sz w:val="22"/>
              </w:rPr>
            </w:pPr>
            <w:r>
              <w:rPr>
                <w:spacing w:val="-4"/>
                <w:sz w:val="22"/>
              </w:rPr>
              <w:t>6.00</w:t>
            </w:r>
          </w:p>
        </w:tc>
        <w:tc>
          <w:tcPr>
            <w:tcW w:w="1365" w:type="dxa"/>
            <w:tcBorders>
              <w:bottom w:val="single" w:sz="8" w:space="0" w:color="4F81BC"/>
            </w:tcBorders>
          </w:tcPr>
          <w:p>
            <w:pPr>
              <w:pStyle w:val="TableParagraph"/>
              <w:spacing w:line="247" w:lineRule="exact"/>
              <w:ind w:left="115"/>
              <w:rPr>
                <w:sz w:val="22"/>
              </w:rPr>
            </w:pPr>
            <w:r>
              <w:rPr>
                <w:spacing w:val="-4"/>
                <w:sz w:val="22"/>
              </w:rPr>
              <w:t>5.00</w:t>
            </w:r>
          </w:p>
        </w:tc>
        <w:tc>
          <w:tcPr>
            <w:tcW w:w="1552" w:type="dxa"/>
            <w:tcBorders>
              <w:bottom w:val="single" w:sz="8" w:space="0" w:color="4F81BC"/>
            </w:tcBorders>
          </w:tcPr>
          <w:p>
            <w:pPr>
              <w:pStyle w:val="TableParagraph"/>
              <w:spacing w:line="247" w:lineRule="exact"/>
              <w:ind w:left="191"/>
              <w:rPr>
                <w:sz w:val="22"/>
              </w:rPr>
            </w:pPr>
            <w:r>
              <w:rPr>
                <w:spacing w:val="-4"/>
                <w:sz w:val="22"/>
              </w:rPr>
              <w:t>2.00</w:t>
            </w:r>
          </w:p>
        </w:tc>
        <w:tc>
          <w:tcPr>
            <w:tcW w:w="2133" w:type="dxa"/>
            <w:tcBorders>
              <w:bottom w:val="single" w:sz="8" w:space="0" w:color="4F81BC"/>
            </w:tcBorders>
          </w:tcPr>
          <w:p>
            <w:pPr>
              <w:pStyle w:val="TableParagraph"/>
              <w:spacing w:line="247" w:lineRule="exact"/>
              <w:ind w:left="259"/>
              <w:rPr>
                <w:sz w:val="22"/>
              </w:rPr>
            </w:pPr>
            <w:r>
              <w:rPr>
                <w:spacing w:val="-2"/>
                <w:sz w:val="22"/>
              </w:rPr>
              <w:t>63.00</w:t>
            </w:r>
          </w:p>
        </w:tc>
      </w:tr>
    </w:tbl>
    <w:p>
      <w:pPr>
        <w:pStyle w:val="BodyText"/>
        <w:spacing w:before="45"/>
        <w:ind w:left="240"/>
        <w:jc w:val="both"/>
      </w:pPr>
      <w:r>
        <w:rPr>
          <w:b/>
        </w:rPr>
        <w:t>Source:</w:t>
      </w:r>
      <w:r>
        <w:rPr>
          <w:b/>
          <w:spacing w:val="-2"/>
        </w:rPr>
        <w:t> </w:t>
      </w:r>
      <w:r>
        <w:rPr/>
        <w:t>Researcher‘s field</w:t>
      </w:r>
      <w:r>
        <w:rPr>
          <w:spacing w:val="-1"/>
        </w:rPr>
        <w:t> </w:t>
      </w:r>
      <w:r>
        <w:rPr/>
        <w:t>survey</w:t>
      </w:r>
      <w:r>
        <w:rPr>
          <w:spacing w:val="-1"/>
        </w:rPr>
        <w:t> </w:t>
      </w:r>
      <w:r>
        <w:rPr>
          <w:spacing w:val="-2"/>
        </w:rPr>
        <w:t>(2017)</w:t>
      </w:r>
    </w:p>
    <w:p>
      <w:pPr>
        <w:spacing w:after="0"/>
        <w:jc w:val="both"/>
        <w:sectPr>
          <w:pgSz w:w="12240" w:h="15840"/>
          <w:pgMar w:header="0" w:footer="1036" w:top="1360" w:bottom="1220" w:left="1200" w:right="600"/>
        </w:sectPr>
      </w:pPr>
    </w:p>
    <w:p>
      <w:pPr>
        <w:pStyle w:val="Heading4"/>
        <w:spacing w:before="76" w:after="28"/>
        <w:jc w:val="left"/>
      </w:pPr>
      <w:r>
        <w:rPr/>
        <w:t>Table</w:t>
      </w:r>
      <w:r>
        <w:rPr>
          <w:spacing w:val="-2"/>
        </w:rPr>
        <w:t> </w:t>
      </w:r>
      <w:r>
        <w:rPr/>
        <w:t>5.17:</w:t>
      </w:r>
      <w:r>
        <w:rPr>
          <w:spacing w:val="-3"/>
        </w:rPr>
        <w:t> </w:t>
      </w:r>
      <w:r>
        <w:rPr/>
        <w:t>Descriptive</w:t>
      </w:r>
      <w:r>
        <w:rPr>
          <w:spacing w:val="-1"/>
        </w:rPr>
        <w:t> </w:t>
      </w:r>
      <w:r>
        <w:rPr/>
        <w:t>Statistics</w:t>
      </w:r>
      <w:r>
        <w:rPr>
          <w:spacing w:val="-1"/>
        </w:rPr>
        <w:t> </w:t>
      </w:r>
      <w:r>
        <w:rPr/>
        <w:t>of the</w:t>
      </w:r>
      <w:r>
        <w:rPr>
          <w:spacing w:val="-3"/>
        </w:rPr>
        <w:t> </w:t>
      </w:r>
      <w:r>
        <w:rPr/>
        <w:t>Key</w:t>
      </w:r>
      <w:r>
        <w:rPr>
          <w:spacing w:val="-1"/>
        </w:rPr>
        <w:t> </w:t>
      </w:r>
      <w:r>
        <w:rPr/>
        <w:t>Sectors’</w:t>
      </w:r>
      <w:r>
        <w:rPr>
          <w:spacing w:val="-2"/>
        </w:rPr>
        <w:t> </w:t>
      </w:r>
      <w:r>
        <w:rPr/>
        <w:t>Allocation in Anambra</w:t>
      </w:r>
      <w:r>
        <w:rPr>
          <w:spacing w:val="-1"/>
        </w:rPr>
        <w:t> </w:t>
      </w:r>
      <w:r>
        <w:rPr>
          <w:spacing w:val="-2"/>
        </w:rPr>
        <w:t>State</w:t>
      </w: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6"/>
        <w:gridCol w:w="1496"/>
        <w:gridCol w:w="1786"/>
        <w:gridCol w:w="1365"/>
        <w:gridCol w:w="1806"/>
        <w:gridCol w:w="1638"/>
      </w:tblGrid>
      <w:tr>
        <w:trPr>
          <w:trHeight w:val="222" w:hRule="atLeast"/>
        </w:trPr>
        <w:tc>
          <w:tcPr>
            <w:tcW w:w="1396" w:type="dxa"/>
            <w:tcBorders>
              <w:top w:val="single" w:sz="4" w:space="0" w:color="000000"/>
              <w:bottom w:val="single" w:sz="4" w:space="0" w:color="000000"/>
            </w:tcBorders>
            <w:shd w:val="clear" w:color="auto" w:fill="DBE4F0"/>
          </w:tcPr>
          <w:p>
            <w:pPr>
              <w:pStyle w:val="TableParagraph"/>
              <w:rPr>
                <w:sz w:val="14"/>
              </w:rPr>
            </w:pPr>
          </w:p>
        </w:tc>
        <w:tc>
          <w:tcPr>
            <w:tcW w:w="1496" w:type="dxa"/>
            <w:tcBorders>
              <w:top w:val="single" w:sz="4" w:space="0" w:color="000000"/>
              <w:bottom w:val="single" w:sz="4" w:space="0" w:color="000000"/>
            </w:tcBorders>
            <w:shd w:val="clear" w:color="auto" w:fill="DBE4F0"/>
          </w:tcPr>
          <w:p>
            <w:pPr>
              <w:pStyle w:val="TableParagraph"/>
              <w:spacing w:line="202" w:lineRule="exact"/>
              <w:ind w:left="183"/>
              <w:rPr>
                <w:sz w:val="18"/>
              </w:rPr>
            </w:pPr>
            <w:r>
              <w:rPr>
                <w:sz w:val="18"/>
              </w:rPr>
              <w:t>HOUSING</w:t>
            </w:r>
            <w:r>
              <w:rPr>
                <w:spacing w:val="-2"/>
                <w:sz w:val="18"/>
              </w:rPr>
              <w:t> </w:t>
            </w:r>
            <w:r>
              <w:rPr>
                <w:spacing w:val="-10"/>
                <w:sz w:val="18"/>
              </w:rPr>
              <w:t>%</w:t>
            </w:r>
          </w:p>
        </w:tc>
        <w:tc>
          <w:tcPr>
            <w:tcW w:w="1786" w:type="dxa"/>
            <w:tcBorders>
              <w:top w:val="single" w:sz="4" w:space="0" w:color="000000"/>
              <w:bottom w:val="single" w:sz="4" w:space="0" w:color="000000"/>
            </w:tcBorders>
            <w:shd w:val="clear" w:color="auto" w:fill="DBE4F0"/>
          </w:tcPr>
          <w:p>
            <w:pPr>
              <w:pStyle w:val="TableParagraph"/>
              <w:spacing w:line="202" w:lineRule="exact"/>
              <w:ind w:left="307"/>
              <w:rPr>
                <w:sz w:val="18"/>
              </w:rPr>
            </w:pPr>
            <w:r>
              <w:rPr>
                <w:sz w:val="18"/>
              </w:rPr>
              <w:t>EDUCATION</w:t>
            </w:r>
            <w:r>
              <w:rPr>
                <w:spacing w:val="-1"/>
                <w:sz w:val="18"/>
              </w:rPr>
              <w:t> </w:t>
            </w:r>
            <w:r>
              <w:rPr>
                <w:spacing w:val="-10"/>
                <w:sz w:val="18"/>
              </w:rPr>
              <w:t>%</w:t>
            </w:r>
          </w:p>
        </w:tc>
        <w:tc>
          <w:tcPr>
            <w:tcW w:w="1365" w:type="dxa"/>
            <w:tcBorders>
              <w:top w:val="single" w:sz="4" w:space="0" w:color="000000"/>
              <w:bottom w:val="single" w:sz="4" w:space="0" w:color="000000"/>
            </w:tcBorders>
            <w:shd w:val="clear" w:color="auto" w:fill="DBE4F0"/>
          </w:tcPr>
          <w:p>
            <w:pPr>
              <w:pStyle w:val="TableParagraph"/>
              <w:spacing w:line="202" w:lineRule="exact"/>
              <w:ind w:left="232"/>
              <w:rPr>
                <w:sz w:val="18"/>
              </w:rPr>
            </w:pPr>
            <w:r>
              <w:rPr>
                <w:sz w:val="18"/>
              </w:rPr>
              <w:t>HEALTH</w:t>
            </w:r>
            <w:r>
              <w:rPr>
                <w:spacing w:val="-2"/>
                <w:sz w:val="18"/>
              </w:rPr>
              <w:t> </w:t>
            </w:r>
            <w:r>
              <w:rPr>
                <w:spacing w:val="-10"/>
                <w:sz w:val="18"/>
              </w:rPr>
              <w:t>%</w:t>
            </w:r>
          </w:p>
        </w:tc>
        <w:tc>
          <w:tcPr>
            <w:tcW w:w="1806" w:type="dxa"/>
            <w:tcBorders>
              <w:top w:val="single" w:sz="4" w:space="0" w:color="000000"/>
              <w:bottom w:val="single" w:sz="4" w:space="0" w:color="000000"/>
            </w:tcBorders>
            <w:shd w:val="clear" w:color="auto" w:fill="DBE4F0"/>
          </w:tcPr>
          <w:p>
            <w:pPr>
              <w:pStyle w:val="TableParagraph"/>
              <w:spacing w:line="202" w:lineRule="exact"/>
              <w:ind w:left="217"/>
              <w:rPr>
                <w:sz w:val="18"/>
              </w:rPr>
            </w:pPr>
            <w:r>
              <w:rPr>
                <w:sz w:val="18"/>
              </w:rPr>
              <w:t>AGRICULTURE</w:t>
            </w:r>
            <w:r>
              <w:rPr>
                <w:spacing w:val="-4"/>
                <w:sz w:val="18"/>
              </w:rPr>
              <w:t> </w:t>
            </w:r>
            <w:r>
              <w:rPr>
                <w:spacing w:val="-10"/>
                <w:sz w:val="18"/>
              </w:rPr>
              <w:t>%</w:t>
            </w:r>
          </w:p>
        </w:tc>
        <w:tc>
          <w:tcPr>
            <w:tcW w:w="1638" w:type="dxa"/>
            <w:tcBorders>
              <w:top w:val="single" w:sz="4" w:space="0" w:color="000000"/>
              <w:bottom w:val="single" w:sz="4" w:space="0" w:color="000000"/>
            </w:tcBorders>
            <w:shd w:val="clear" w:color="auto" w:fill="DBE4F0"/>
          </w:tcPr>
          <w:p>
            <w:pPr>
              <w:pStyle w:val="TableParagraph"/>
              <w:spacing w:line="202" w:lineRule="exact"/>
              <w:ind w:left="122"/>
              <w:rPr>
                <w:sz w:val="18"/>
              </w:rPr>
            </w:pPr>
            <w:r>
              <w:rPr>
                <w:sz w:val="18"/>
              </w:rPr>
              <w:t>WORKS</w:t>
            </w:r>
            <w:r>
              <w:rPr>
                <w:spacing w:val="-5"/>
                <w:sz w:val="18"/>
              </w:rPr>
              <w:t> </w:t>
            </w:r>
            <w:r>
              <w:rPr>
                <w:spacing w:val="-10"/>
                <w:sz w:val="18"/>
              </w:rPr>
              <w:t>%</w:t>
            </w:r>
          </w:p>
        </w:tc>
      </w:tr>
      <w:tr>
        <w:trPr>
          <w:trHeight w:val="216" w:hRule="atLeast"/>
        </w:trPr>
        <w:tc>
          <w:tcPr>
            <w:tcW w:w="1396" w:type="dxa"/>
            <w:tcBorders>
              <w:top w:val="single" w:sz="4" w:space="0" w:color="000000"/>
            </w:tcBorders>
          </w:tcPr>
          <w:p>
            <w:pPr>
              <w:pStyle w:val="TableParagraph"/>
              <w:spacing w:line="196" w:lineRule="exact"/>
              <w:ind w:left="168"/>
              <w:rPr>
                <w:sz w:val="18"/>
              </w:rPr>
            </w:pPr>
            <w:r>
              <w:rPr>
                <w:spacing w:val="-4"/>
                <w:sz w:val="18"/>
              </w:rPr>
              <w:t>Mean</w:t>
            </w:r>
          </w:p>
        </w:tc>
        <w:tc>
          <w:tcPr>
            <w:tcW w:w="1496" w:type="dxa"/>
            <w:tcBorders>
              <w:top w:val="single" w:sz="4" w:space="0" w:color="000000"/>
            </w:tcBorders>
          </w:tcPr>
          <w:p>
            <w:pPr>
              <w:pStyle w:val="TableParagraph"/>
              <w:spacing w:line="196" w:lineRule="exact"/>
              <w:ind w:left="228"/>
              <w:rPr>
                <w:sz w:val="18"/>
              </w:rPr>
            </w:pPr>
            <w:r>
              <w:rPr>
                <w:spacing w:val="-2"/>
                <w:sz w:val="18"/>
              </w:rPr>
              <w:t>8.500000</w:t>
            </w:r>
          </w:p>
        </w:tc>
        <w:tc>
          <w:tcPr>
            <w:tcW w:w="1786" w:type="dxa"/>
            <w:tcBorders>
              <w:top w:val="single" w:sz="4" w:space="0" w:color="000000"/>
            </w:tcBorders>
          </w:tcPr>
          <w:p>
            <w:pPr>
              <w:pStyle w:val="TableParagraph"/>
              <w:spacing w:line="196" w:lineRule="exact"/>
              <w:ind w:left="353"/>
              <w:rPr>
                <w:sz w:val="18"/>
              </w:rPr>
            </w:pPr>
            <w:r>
              <w:rPr>
                <w:spacing w:val="-2"/>
                <w:sz w:val="18"/>
              </w:rPr>
              <w:t>8.000000</w:t>
            </w:r>
          </w:p>
        </w:tc>
        <w:tc>
          <w:tcPr>
            <w:tcW w:w="1365" w:type="dxa"/>
            <w:tcBorders>
              <w:top w:val="single" w:sz="4" w:space="0" w:color="000000"/>
            </w:tcBorders>
          </w:tcPr>
          <w:p>
            <w:pPr>
              <w:pStyle w:val="TableParagraph"/>
              <w:spacing w:line="196" w:lineRule="exact"/>
              <w:ind w:left="278"/>
              <w:rPr>
                <w:sz w:val="18"/>
              </w:rPr>
            </w:pPr>
            <w:r>
              <w:rPr>
                <w:spacing w:val="-2"/>
                <w:sz w:val="18"/>
              </w:rPr>
              <w:t>3.944444</w:t>
            </w:r>
          </w:p>
        </w:tc>
        <w:tc>
          <w:tcPr>
            <w:tcW w:w="1806" w:type="dxa"/>
            <w:tcBorders>
              <w:top w:val="single" w:sz="4" w:space="0" w:color="000000"/>
            </w:tcBorders>
          </w:tcPr>
          <w:p>
            <w:pPr>
              <w:pStyle w:val="TableParagraph"/>
              <w:spacing w:line="196" w:lineRule="exact"/>
              <w:ind w:left="262"/>
              <w:rPr>
                <w:sz w:val="18"/>
              </w:rPr>
            </w:pPr>
            <w:r>
              <w:rPr>
                <w:spacing w:val="-2"/>
                <w:sz w:val="18"/>
              </w:rPr>
              <w:t>2.944444</w:t>
            </w:r>
          </w:p>
        </w:tc>
        <w:tc>
          <w:tcPr>
            <w:tcW w:w="1638" w:type="dxa"/>
            <w:tcBorders>
              <w:top w:val="single" w:sz="4" w:space="0" w:color="000000"/>
            </w:tcBorders>
          </w:tcPr>
          <w:p>
            <w:pPr>
              <w:pStyle w:val="TableParagraph"/>
              <w:spacing w:line="196" w:lineRule="exact"/>
              <w:ind w:left="168"/>
              <w:rPr>
                <w:sz w:val="18"/>
              </w:rPr>
            </w:pPr>
            <w:r>
              <w:rPr>
                <w:spacing w:val="-2"/>
                <w:sz w:val="18"/>
              </w:rPr>
              <w:t>33.22222</w:t>
            </w:r>
          </w:p>
        </w:tc>
      </w:tr>
      <w:tr>
        <w:trPr>
          <w:trHeight w:val="224" w:hRule="atLeast"/>
        </w:trPr>
        <w:tc>
          <w:tcPr>
            <w:tcW w:w="1396" w:type="dxa"/>
          </w:tcPr>
          <w:p>
            <w:pPr>
              <w:pStyle w:val="TableParagraph"/>
              <w:spacing w:line="200" w:lineRule="exact" w:before="4"/>
              <w:ind w:left="168"/>
              <w:rPr>
                <w:sz w:val="18"/>
              </w:rPr>
            </w:pPr>
            <w:r>
              <w:rPr>
                <w:spacing w:val="-2"/>
                <w:sz w:val="18"/>
              </w:rPr>
              <w:t>Median</w:t>
            </w:r>
          </w:p>
        </w:tc>
        <w:tc>
          <w:tcPr>
            <w:tcW w:w="1496" w:type="dxa"/>
          </w:tcPr>
          <w:p>
            <w:pPr>
              <w:pStyle w:val="TableParagraph"/>
              <w:spacing w:line="200" w:lineRule="exact" w:before="4"/>
              <w:ind w:left="228"/>
              <w:rPr>
                <w:sz w:val="18"/>
              </w:rPr>
            </w:pPr>
            <w:r>
              <w:rPr>
                <w:spacing w:val="-2"/>
                <w:sz w:val="18"/>
              </w:rPr>
              <w:t>6.000000</w:t>
            </w:r>
          </w:p>
        </w:tc>
        <w:tc>
          <w:tcPr>
            <w:tcW w:w="1786" w:type="dxa"/>
          </w:tcPr>
          <w:p>
            <w:pPr>
              <w:pStyle w:val="TableParagraph"/>
              <w:spacing w:line="200" w:lineRule="exact" w:before="4"/>
              <w:ind w:left="353"/>
              <w:rPr>
                <w:sz w:val="18"/>
              </w:rPr>
            </w:pPr>
            <w:r>
              <w:rPr>
                <w:spacing w:val="-2"/>
                <w:sz w:val="18"/>
              </w:rPr>
              <w:t>6.000000</w:t>
            </w:r>
          </w:p>
        </w:tc>
        <w:tc>
          <w:tcPr>
            <w:tcW w:w="1365" w:type="dxa"/>
          </w:tcPr>
          <w:p>
            <w:pPr>
              <w:pStyle w:val="TableParagraph"/>
              <w:spacing w:line="200" w:lineRule="exact" w:before="4"/>
              <w:ind w:left="278"/>
              <w:rPr>
                <w:sz w:val="18"/>
              </w:rPr>
            </w:pPr>
            <w:r>
              <w:rPr>
                <w:spacing w:val="-2"/>
                <w:sz w:val="18"/>
              </w:rPr>
              <w:t>3.000000</w:t>
            </w:r>
          </w:p>
        </w:tc>
        <w:tc>
          <w:tcPr>
            <w:tcW w:w="1806" w:type="dxa"/>
          </w:tcPr>
          <w:p>
            <w:pPr>
              <w:pStyle w:val="TableParagraph"/>
              <w:spacing w:line="200" w:lineRule="exact" w:before="4"/>
              <w:ind w:left="262"/>
              <w:rPr>
                <w:sz w:val="18"/>
              </w:rPr>
            </w:pPr>
            <w:r>
              <w:rPr>
                <w:spacing w:val="-2"/>
                <w:sz w:val="18"/>
              </w:rPr>
              <w:t>3.000000</w:t>
            </w:r>
          </w:p>
        </w:tc>
        <w:tc>
          <w:tcPr>
            <w:tcW w:w="1638" w:type="dxa"/>
          </w:tcPr>
          <w:p>
            <w:pPr>
              <w:pStyle w:val="TableParagraph"/>
              <w:spacing w:line="200" w:lineRule="exact" w:before="4"/>
              <w:ind w:left="168"/>
              <w:rPr>
                <w:sz w:val="18"/>
              </w:rPr>
            </w:pPr>
            <w:r>
              <w:rPr>
                <w:spacing w:val="-2"/>
                <w:sz w:val="18"/>
              </w:rPr>
              <w:t>32.50000</w:t>
            </w:r>
          </w:p>
        </w:tc>
      </w:tr>
      <w:tr>
        <w:trPr>
          <w:trHeight w:val="225" w:hRule="atLeast"/>
        </w:trPr>
        <w:tc>
          <w:tcPr>
            <w:tcW w:w="1396" w:type="dxa"/>
          </w:tcPr>
          <w:p>
            <w:pPr>
              <w:pStyle w:val="TableParagraph"/>
              <w:spacing w:line="200" w:lineRule="exact" w:before="5"/>
              <w:ind w:left="168"/>
              <w:rPr>
                <w:sz w:val="18"/>
              </w:rPr>
            </w:pPr>
            <w:r>
              <w:rPr>
                <w:spacing w:val="-2"/>
                <w:sz w:val="18"/>
              </w:rPr>
              <w:t>Maximum</w:t>
            </w:r>
          </w:p>
        </w:tc>
        <w:tc>
          <w:tcPr>
            <w:tcW w:w="1496" w:type="dxa"/>
          </w:tcPr>
          <w:p>
            <w:pPr>
              <w:pStyle w:val="TableParagraph"/>
              <w:spacing w:line="200" w:lineRule="exact" w:before="5"/>
              <w:ind w:left="228"/>
              <w:rPr>
                <w:sz w:val="18"/>
              </w:rPr>
            </w:pPr>
            <w:r>
              <w:rPr>
                <w:spacing w:val="-2"/>
                <w:sz w:val="18"/>
              </w:rPr>
              <w:t>36.00000</w:t>
            </w:r>
          </w:p>
        </w:tc>
        <w:tc>
          <w:tcPr>
            <w:tcW w:w="1786" w:type="dxa"/>
          </w:tcPr>
          <w:p>
            <w:pPr>
              <w:pStyle w:val="TableParagraph"/>
              <w:spacing w:line="200" w:lineRule="exact" w:before="5"/>
              <w:ind w:left="353"/>
              <w:rPr>
                <w:sz w:val="18"/>
              </w:rPr>
            </w:pPr>
            <w:r>
              <w:rPr>
                <w:spacing w:val="-2"/>
                <w:sz w:val="18"/>
              </w:rPr>
              <w:t>23.00000</w:t>
            </w:r>
          </w:p>
        </w:tc>
        <w:tc>
          <w:tcPr>
            <w:tcW w:w="1365" w:type="dxa"/>
          </w:tcPr>
          <w:p>
            <w:pPr>
              <w:pStyle w:val="TableParagraph"/>
              <w:spacing w:line="200" w:lineRule="exact" w:before="5"/>
              <w:ind w:left="278"/>
              <w:rPr>
                <w:sz w:val="18"/>
              </w:rPr>
            </w:pPr>
            <w:r>
              <w:rPr>
                <w:spacing w:val="-2"/>
                <w:sz w:val="18"/>
              </w:rPr>
              <w:t>8.000000</w:t>
            </w:r>
          </w:p>
        </w:tc>
        <w:tc>
          <w:tcPr>
            <w:tcW w:w="1806" w:type="dxa"/>
          </w:tcPr>
          <w:p>
            <w:pPr>
              <w:pStyle w:val="TableParagraph"/>
              <w:spacing w:line="200" w:lineRule="exact" w:before="5"/>
              <w:ind w:left="262"/>
              <w:rPr>
                <w:sz w:val="18"/>
              </w:rPr>
            </w:pPr>
            <w:r>
              <w:rPr>
                <w:spacing w:val="-2"/>
                <w:sz w:val="18"/>
              </w:rPr>
              <w:t>5.000000</w:t>
            </w:r>
          </w:p>
        </w:tc>
        <w:tc>
          <w:tcPr>
            <w:tcW w:w="1638" w:type="dxa"/>
          </w:tcPr>
          <w:p>
            <w:pPr>
              <w:pStyle w:val="TableParagraph"/>
              <w:spacing w:line="200" w:lineRule="exact" w:before="5"/>
              <w:ind w:left="168"/>
              <w:rPr>
                <w:sz w:val="18"/>
              </w:rPr>
            </w:pPr>
            <w:r>
              <w:rPr>
                <w:spacing w:val="-2"/>
                <w:sz w:val="18"/>
              </w:rPr>
              <w:t>63.00000</w:t>
            </w:r>
          </w:p>
        </w:tc>
      </w:tr>
      <w:tr>
        <w:trPr>
          <w:trHeight w:val="225" w:hRule="atLeast"/>
        </w:trPr>
        <w:tc>
          <w:tcPr>
            <w:tcW w:w="1396" w:type="dxa"/>
          </w:tcPr>
          <w:p>
            <w:pPr>
              <w:pStyle w:val="TableParagraph"/>
              <w:spacing w:line="200" w:lineRule="exact" w:before="5"/>
              <w:ind w:left="168"/>
              <w:rPr>
                <w:sz w:val="18"/>
              </w:rPr>
            </w:pPr>
            <w:r>
              <w:rPr>
                <w:spacing w:val="-2"/>
                <w:sz w:val="18"/>
              </w:rPr>
              <w:t>Minimum</w:t>
            </w:r>
          </w:p>
        </w:tc>
        <w:tc>
          <w:tcPr>
            <w:tcW w:w="1496" w:type="dxa"/>
          </w:tcPr>
          <w:p>
            <w:pPr>
              <w:pStyle w:val="TableParagraph"/>
              <w:spacing w:line="200" w:lineRule="exact" w:before="5"/>
              <w:ind w:left="228"/>
              <w:rPr>
                <w:sz w:val="18"/>
              </w:rPr>
            </w:pPr>
            <w:r>
              <w:rPr>
                <w:spacing w:val="-2"/>
                <w:sz w:val="18"/>
              </w:rPr>
              <w:t>1.000000</w:t>
            </w:r>
          </w:p>
        </w:tc>
        <w:tc>
          <w:tcPr>
            <w:tcW w:w="1786" w:type="dxa"/>
          </w:tcPr>
          <w:p>
            <w:pPr>
              <w:pStyle w:val="TableParagraph"/>
              <w:spacing w:line="200" w:lineRule="exact" w:before="5"/>
              <w:ind w:left="353"/>
              <w:rPr>
                <w:sz w:val="18"/>
              </w:rPr>
            </w:pPr>
            <w:r>
              <w:rPr>
                <w:spacing w:val="-2"/>
                <w:sz w:val="18"/>
              </w:rPr>
              <w:t>3.000000</w:t>
            </w:r>
          </w:p>
        </w:tc>
        <w:tc>
          <w:tcPr>
            <w:tcW w:w="1365" w:type="dxa"/>
          </w:tcPr>
          <w:p>
            <w:pPr>
              <w:pStyle w:val="TableParagraph"/>
              <w:spacing w:line="200" w:lineRule="exact" w:before="5"/>
              <w:ind w:left="278"/>
              <w:rPr>
                <w:sz w:val="18"/>
              </w:rPr>
            </w:pPr>
            <w:r>
              <w:rPr>
                <w:spacing w:val="-2"/>
                <w:sz w:val="18"/>
              </w:rPr>
              <w:t>2.000000</w:t>
            </w:r>
          </w:p>
        </w:tc>
        <w:tc>
          <w:tcPr>
            <w:tcW w:w="1806" w:type="dxa"/>
          </w:tcPr>
          <w:p>
            <w:pPr>
              <w:pStyle w:val="TableParagraph"/>
              <w:spacing w:line="200" w:lineRule="exact" w:before="5"/>
              <w:ind w:left="262"/>
              <w:rPr>
                <w:sz w:val="18"/>
              </w:rPr>
            </w:pPr>
            <w:r>
              <w:rPr>
                <w:spacing w:val="-2"/>
                <w:sz w:val="18"/>
              </w:rPr>
              <w:t>1.000000</w:t>
            </w:r>
          </w:p>
        </w:tc>
        <w:tc>
          <w:tcPr>
            <w:tcW w:w="1638" w:type="dxa"/>
          </w:tcPr>
          <w:p>
            <w:pPr>
              <w:pStyle w:val="TableParagraph"/>
              <w:spacing w:line="200" w:lineRule="exact" w:before="5"/>
              <w:ind w:left="168"/>
              <w:rPr>
                <w:sz w:val="18"/>
              </w:rPr>
            </w:pPr>
            <w:r>
              <w:rPr>
                <w:spacing w:val="-2"/>
                <w:sz w:val="18"/>
              </w:rPr>
              <w:t>9.000000</w:t>
            </w:r>
          </w:p>
        </w:tc>
      </w:tr>
      <w:tr>
        <w:trPr>
          <w:trHeight w:val="224" w:hRule="atLeast"/>
        </w:trPr>
        <w:tc>
          <w:tcPr>
            <w:tcW w:w="1396" w:type="dxa"/>
          </w:tcPr>
          <w:p>
            <w:pPr>
              <w:pStyle w:val="TableParagraph"/>
              <w:spacing w:line="199" w:lineRule="exact" w:before="5"/>
              <w:ind w:left="168"/>
              <w:rPr>
                <w:sz w:val="18"/>
              </w:rPr>
            </w:pPr>
            <w:r>
              <w:rPr>
                <w:sz w:val="18"/>
              </w:rPr>
              <w:t>Std.</w:t>
            </w:r>
            <w:r>
              <w:rPr>
                <w:spacing w:val="-3"/>
                <w:sz w:val="18"/>
              </w:rPr>
              <w:t> </w:t>
            </w:r>
            <w:r>
              <w:rPr>
                <w:spacing w:val="-4"/>
                <w:sz w:val="18"/>
              </w:rPr>
              <w:t>Dev.</w:t>
            </w:r>
          </w:p>
        </w:tc>
        <w:tc>
          <w:tcPr>
            <w:tcW w:w="1496" w:type="dxa"/>
          </w:tcPr>
          <w:p>
            <w:pPr>
              <w:pStyle w:val="TableParagraph"/>
              <w:spacing w:line="199" w:lineRule="exact" w:before="5"/>
              <w:ind w:left="228"/>
              <w:rPr>
                <w:sz w:val="18"/>
              </w:rPr>
            </w:pPr>
            <w:r>
              <w:rPr>
                <w:spacing w:val="-2"/>
                <w:sz w:val="18"/>
              </w:rPr>
              <w:t>8.813426</w:t>
            </w:r>
          </w:p>
        </w:tc>
        <w:tc>
          <w:tcPr>
            <w:tcW w:w="1786" w:type="dxa"/>
          </w:tcPr>
          <w:p>
            <w:pPr>
              <w:pStyle w:val="TableParagraph"/>
              <w:spacing w:line="199" w:lineRule="exact" w:before="5"/>
              <w:ind w:left="353"/>
              <w:rPr>
                <w:sz w:val="18"/>
              </w:rPr>
            </w:pPr>
            <w:r>
              <w:rPr>
                <w:spacing w:val="-2"/>
                <w:sz w:val="18"/>
              </w:rPr>
              <w:t>4.946776</w:t>
            </w:r>
          </w:p>
        </w:tc>
        <w:tc>
          <w:tcPr>
            <w:tcW w:w="1365" w:type="dxa"/>
          </w:tcPr>
          <w:p>
            <w:pPr>
              <w:pStyle w:val="TableParagraph"/>
              <w:spacing w:line="199" w:lineRule="exact" w:before="5"/>
              <w:ind w:left="278"/>
              <w:rPr>
                <w:sz w:val="18"/>
              </w:rPr>
            </w:pPr>
            <w:r>
              <w:rPr>
                <w:spacing w:val="-2"/>
                <w:sz w:val="18"/>
              </w:rPr>
              <w:t>1.696787</w:t>
            </w:r>
          </w:p>
        </w:tc>
        <w:tc>
          <w:tcPr>
            <w:tcW w:w="1806" w:type="dxa"/>
          </w:tcPr>
          <w:p>
            <w:pPr>
              <w:pStyle w:val="TableParagraph"/>
              <w:spacing w:line="199" w:lineRule="exact" w:before="5"/>
              <w:ind w:left="262"/>
              <w:rPr>
                <w:sz w:val="18"/>
              </w:rPr>
            </w:pPr>
            <w:r>
              <w:rPr>
                <w:spacing w:val="-2"/>
                <w:sz w:val="18"/>
              </w:rPr>
              <w:t>1.161754</w:t>
            </w:r>
          </w:p>
        </w:tc>
        <w:tc>
          <w:tcPr>
            <w:tcW w:w="1638" w:type="dxa"/>
          </w:tcPr>
          <w:p>
            <w:pPr>
              <w:pStyle w:val="TableParagraph"/>
              <w:spacing w:line="199" w:lineRule="exact" w:before="5"/>
              <w:ind w:left="168"/>
              <w:rPr>
                <w:sz w:val="18"/>
              </w:rPr>
            </w:pPr>
            <w:r>
              <w:rPr>
                <w:spacing w:val="-2"/>
                <w:sz w:val="18"/>
              </w:rPr>
              <w:t>13.73940</w:t>
            </w:r>
          </w:p>
        </w:tc>
      </w:tr>
      <w:tr>
        <w:trPr>
          <w:trHeight w:val="224" w:hRule="atLeast"/>
        </w:trPr>
        <w:tc>
          <w:tcPr>
            <w:tcW w:w="1396" w:type="dxa"/>
          </w:tcPr>
          <w:p>
            <w:pPr>
              <w:pStyle w:val="TableParagraph"/>
              <w:spacing w:line="200" w:lineRule="exact" w:before="4"/>
              <w:ind w:left="168"/>
              <w:rPr>
                <w:sz w:val="18"/>
              </w:rPr>
            </w:pPr>
            <w:r>
              <w:rPr>
                <w:spacing w:val="-2"/>
                <w:sz w:val="18"/>
              </w:rPr>
              <w:t>Skewness</w:t>
            </w:r>
          </w:p>
        </w:tc>
        <w:tc>
          <w:tcPr>
            <w:tcW w:w="1496" w:type="dxa"/>
          </w:tcPr>
          <w:p>
            <w:pPr>
              <w:pStyle w:val="TableParagraph"/>
              <w:spacing w:line="200" w:lineRule="exact" w:before="4"/>
              <w:ind w:left="228"/>
              <w:rPr>
                <w:sz w:val="18"/>
              </w:rPr>
            </w:pPr>
            <w:r>
              <w:rPr>
                <w:spacing w:val="-2"/>
                <w:sz w:val="18"/>
              </w:rPr>
              <w:t>2.204730</w:t>
            </w:r>
          </w:p>
        </w:tc>
        <w:tc>
          <w:tcPr>
            <w:tcW w:w="1786" w:type="dxa"/>
          </w:tcPr>
          <w:p>
            <w:pPr>
              <w:pStyle w:val="TableParagraph"/>
              <w:spacing w:line="200" w:lineRule="exact" w:before="4"/>
              <w:ind w:left="353"/>
              <w:rPr>
                <w:sz w:val="18"/>
              </w:rPr>
            </w:pPr>
            <w:r>
              <w:rPr>
                <w:spacing w:val="-2"/>
                <w:sz w:val="18"/>
              </w:rPr>
              <w:t>1.908115</w:t>
            </w:r>
          </w:p>
        </w:tc>
        <w:tc>
          <w:tcPr>
            <w:tcW w:w="1365" w:type="dxa"/>
          </w:tcPr>
          <w:p>
            <w:pPr>
              <w:pStyle w:val="TableParagraph"/>
              <w:spacing w:line="200" w:lineRule="exact" w:before="4"/>
              <w:ind w:left="278"/>
              <w:rPr>
                <w:sz w:val="18"/>
              </w:rPr>
            </w:pPr>
            <w:r>
              <w:rPr>
                <w:spacing w:val="-2"/>
                <w:sz w:val="18"/>
              </w:rPr>
              <w:t>1.055162</w:t>
            </w:r>
          </w:p>
        </w:tc>
        <w:tc>
          <w:tcPr>
            <w:tcW w:w="1806" w:type="dxa"/>
          </w:tcPr>
          <w:p>
            <w:pPr>
              <w:pStyle w:val="TableParagraph"/>
              <w:spacing w:line="200" w:lineRule="exact" w:before="4"/>
              <w:ind w:left="262"/>
              <w:rPr>
                <w:sz w:val="18"/>
              </w:rPr>
            </w:pPr>
            <w:r>
              <w:rPr>
                <w:spacing w:val="-2"/>
                <w:sz w:val="18"/>
              </w:rPr>
              <w:t>0.340754</w:t>
            </w:r>
          </w:p>
        </w:tc>
        <w:tc>
          <w:tcPr>
            <w:tcW w:w="1638" w:type="dxa"/>
          </w:tcPr>
          <w:p>
            <w:pPr>
              <w:pStyle w:val="TableParagraph"/>
              <w:spacing w:line="200" w:lineRule="exact" w:before="4"/>
              <w:ind w:left="168"/>
              <w:rPr>
                <w:sz w:val="18"/>
              </w:rPr>
            </w:pPr>
            <w:r>
              <w:rPr>
                <w:spacing w:val="-2"/>
                <w:sz w:val="18"/>
              </w:rPr>
              <w:t>0.229793</w:t>
            </w:r>
          </w:p>
        </w:tc>
      </w:tr>
      <w:tr>
        <w:trPr>
          <w:trHeight w:val="338" w:hRule="atLeast"/>
        </w:trPr>
        <w:tc>
          <w:tcPr>
            <w:tcW w:w="1396" w:type="dxa"/>
          </w:tcPr>
          <w:p>
            <w:pPr>
              <w:pStyle w:val="TableParagraph"/>
              <w:spacing w:before="5"/>
              <w:ind w:left="168"/>
              <w:rPr>
                <w:sz w:val="18"/>
              </w:rPr>
            </w:pPr>
            <w:r>
              <w:rPr>
                <w:spacing w:val="-2"/>
                <w:sz w:val="18"/>
              </w:rPr>
              <w:t>Kurtosis</w:t>
            </w:r>
          </w:p>
        </w:tc>
        <w:tc>
          <w:tcPr>
            <w:tcW w:w="1496" w:type="dxa"/>
          </w:tcPr>
          <w:p>
            <w:pPr>
              <w:pStyle w:val="TableParagraph"/>
              <w:spacing w:before="5"/>
              <w:ind w:left="228"/>
              <w:rPr>
                <w:sz w:val="18"/>
              </w:rPr>
            </w:pPr>
            <w:r>
              <w:rPr>
                <w:spacing w:val="-2"/>
                <w:sz w:val="18"/>
              </w:rPr>
              <w:t>6.957488</w:t>
            </w:r>
          </w:p>
        </w:tc>
        <w:tc>
          <w:tcPr>
            <w:tcW w:w="1786" w:type="dxa"/>
          </w:tcPr>
          <w:p>
            <w:pPr>
              <w:pStyle w:val="TableParagraph"/>
              <w:spacing w:before="5"/>
              <w:ind w:left="353"/>
              <w:rPr>
                <w:sz w:val="18"/>
              </w:rPr>
            </w:pPr>
            <w:r>
              <w:rPr>
                <w:spacing w:val="-2"/>
                <w:sz w:val="18"/>
              </w:rPr>
              <w:t>5.947023</w:t>
            </w:r>
          </w:p>
        </w:tc>
        <w:tc>
          <w:tcPr>
            <w:tcW w:w="1365" w:type="dxa"/>
          </w:tcPr>
          <w:p>
            <w:pPr>
              <w:pStyle w:val="TableParagraph"/>
              <w:spacing w:before="5"/>
              <w:ind w:left="278"/>
              <w:rPr>
                <w:sz w:val="18"/>
              </w:rPr>
            </w:pPr>
            <w:r>
              <w:rPr>
                <w:spacing w:val="-2"/>
                <w:sz w:val="18"/>
              </w:rPr>
              <w:t>3.118406</w:t>
            </w:r>
          </w:p>
        </w:tc>
        <w:tc>
          <w:tcPr>
            <w:tcW w:w="1806" w:type="dxa"/>
          </w:tcPr>
          <w:p>
            <w:pPr>
              <w:pStyle w:val="TableParagraph"/>
              <w:spacing w:before="5"/>
              <w:ind w:left="262"/>
              <w:rPr>
                <w:sz w:val="18"/>
              </w:rPr>
            </w:pPr>
            <w:r>
              <w:rPr>
                <w:spacing w:val="-2"/>
                <w:sz w:val="18"/>
              </w:rPr>
              <w:t>2.069831</w:t>
            </w:r>
          </w:p>
        </w:tc>
        <w:tc>
          <w:tcPr>
            <w:tcW w:w="1638" w:type="dxa"/>
          </w:tcPr>
          <w:p>
            <w:pPr>
              <w:pStyle w:val="TableParagraph"/>
              <w:spacing w:before="5"/>
              <w:ind w:left="168"/>
              <w:rPr>
                <w:sz w:val="18"/>
              </w:rPr>
            </w:pPr>
            <w:r>
              <w:rPr>
                <w:spacing w:val="-2"/>
                <w:sz w:val="18"/>
              </w:rPr>
              <w:t>2.692071</w:t>
            </w:r>
          </w:p>
        </w:tc>
      </w:tr>
      <w:tr>
        <w:trPr>
          <w:trHeight w:val="337" w:hRule="atLeast"/>
        </w:trPr>
        <w:tc>
          <w:tcPr>
            <w:tcW w:w="1396" w:type="dxa"/>
          </w:tcPr>
          <w:p>
            <w:pPr>
              <w:pStyle w:val="TableParagraph"/>
              <w:spacing w:line="199" w:lineRule="exact" w:before="118"/>
              <w:ind w:left="168"/>
              <w:rPr>
                <w:sz w:val="18"/>
              </w:rPr>
            </w:pPr>
            <w:r>
              <w:rPr>
                <w:spacing w:val="-2"/>
                <w:sz w:val="18"/>
              </w:rPr>
              <w:t>Jarque-</w:t>
            </w:r>
            <w:r>
              <w:rPr>
                <w:spacing w:val="-4"/>
                <w:sz w:val="18"/>
              </w:rPr>
              <w:t>Bera</w:t>
            </w:r>
          </w:p>
        </w:tc>
        <w:tc>
          <w:tcPr>
            <w:tcW w:w="1496" w:type="dxa"/>
          </w:tcPr>
          <w:p>
            <w:pPr>
              <w:pStyle w:val="TableParagraph"/>
              <w:spacing w:line="199" w:lineRule="exact" w:before="118"/>
              <w:ind w:left="228"/>
              <w:rPr>
                <w:sz w:val="18"/>
              </w:rPr>
            </w:pPr>
            <w:r>
              <w:rPr>
                <w:spacing w:val="-2"/>
                <w:sz w:val="18"/>
              </w:rPr>
              <w:t>26.32879</w:t>
            </w:r>
          </w:p>
        </w:tc>
        <w:tc>
          <w:tcPr>
            <w:tcW w:w="1786" w:type="dxa"/>
          </w:tcPr>
          <w:p>
            <w:pPr>
              <w:pStyle w:val="TableParagraph"/>
              <w:spacing w:line="199" w:lineRule="exact" w:before="118"/>
              <w:ind w:left="353"/>
              <w:rPr>
                <w:sz w:val="18"/>
              </w:rPr>
            </w:pPr>
            <w:r>
              <w:rPr>
                <w:spacing w:val="-2"/>
                <w:sz w:val="18"/>
              </w:rPr>
              <w:t>17.43642</w:t>
            </w:r>
          </w:p>
        </w:tc>
        <w:tc>
          <w:tcPr>
            <w:tcW w:w="1365" w:type="dxa"/>
          </w:tcPr>
          <w:p>
            <w:pPr>
              <w:pStyle w:val="TableParagraph"/>
              <w:spacing w:line="199" w:lineRule="exact" w:before="118"/>
              <w:ind w:left="278"/>
              <w:rPr>
                <w:sz w:val="18"/>
              </w:rPr>
            </w:pPr>
            <w:r>
              <w:rPr>
                <w:spacing w:val="-2"/>
                <w:sz w:val="18"/>
              </w:rPr>
              <w:t>3.350618</w:t>
            </w:r>
          </w:p>
        </w:tc>
        <w:tc>
          <w:tcPr>
            <w:tcW w:w="1806" w:type="dxa"/>
          </w:tcPr>
          <w:p>
            <w:pPr>
              <w:pStyle w:val="TableParagraph"/>
              <w:spacing w:line="199" w:lineRule="exact" w:before="118"/>
              <w:ind w:left="262"/>
              <w:rPr>
                <w:sz w:val="18"/>
              </w:rPr>
            </w:pPr>
            <w:r>
              <w:rPr>
                <w:spacing w:val="-2"/>
                <w:sz w:val="18"/>
              </w:rPr>
              <w:t>0.997251</w:t>
            </w:r>
          </w:p>
        </w:tc>
        <w:tc>
          <w:tcPr>
            <w:tcW w:w="1638" w:type="dxa"/>
          </w:tcPr>
          <w:p>
            <w:pPr>
              <w:pStyle w:val="TableParagraph"/>
              <w:spacing w:line="199" w:lineRule="exact" w:before="118"/>
              <w:ind w:left="168"/>
              <w:rPr>
                <w:sz w:val="18"/>
              </w:rPr>
            </w:pPr>
            <w:r>
              <w:rPr>
                <w:spacing w:val="-2"/>
                <w:sz w:val="18"/>
              </w:rPr>
              <w:t>0.229529</w:t>
            </w:r>
          </w:p>
        </w:tc>
      </w:tr>
      <w:tr>
        <w:trPr>
          <w:trHeight w:val="224" w:hRule="atLeast"/>
        </w:trPr>
        <w:tc>
          <w:tcPr>
            <w:tcW w:w="1396" w:type="dxa"/>
          </w:tcPr>
          <w:p>
            <w:pPr>
              <w:pStyle w:val="TableParagraph"/>
              <w:spacing w:line="200" w:lineRule="exact" w:before="4"/>
              <w:ind w:left="165"/>
              <w:rPr>
                <w:sz w:val="18"/>
              </w:rPr>
            </w:pPr>
            <w:r>
              <w:rPr>
                <w:spacing w:val="-2"/>
                <w:sz w:val="18"/>
              </w:rPr>
              <w:t>Probability</w:t>
            </w:r>
          </w:p>
        </w:tc>
        <w:tc>
          <w:tcPr>
            <w:tcW w:w="1496" w:type="dxa"/>
          </w:tcPr>
          <w:p>
            <w:pPr>
              <w:pStyle w:val="TableParagraph"/>
              <w:spacing w:line="200" w:lineRule="exact" w:before="4"/>
              <w:ind w:left="228"/>
              <w:rPr>
                <w:sz w:val="18"/>
              </w:rPr>
            </w:pPr>
            <w:r>
              <w:rPr>
                <w:spacing w:val="-2"/>
                <w:sz w:val="18"/>
              </w:rPr>
              <w:t>0.000002</w:t>
            </w:r>
          </w:p>
        </w:tc>
        <w:tc>
          <w:tcPr>
            <w:tcW w:w="1786" w:type="dxa"/>
          </w:tcPr>
          <w:p>
            <w:pPr>
              <w:pStyle w:val="TableParagraph"/>
              <w:spacing w:line="200" w:lineRule="exact" w:before="4"/>
              <w:ind w:left="353"/>
              <w:rPr>
                <w:sz w:val="18"/>
              </w:rPr>
            </w:pPr>
            <w:r>
              <w:rPr>
                <w:spacing w:val="-2"/>
                <w:sz w:val="18"/>
              </w:rPr>
              <w:t>0.000164</w:t>
            </w:r>
          </w:p>
        </w:tc>
        <w:tc>
          <w:tcPr>
            <w:tcW w:w="1365" w:type="dxa"/>
          </w:tcPr>
          <w:p>
            <w:pPr>
              <w:pStyle w:val="TableParagraph"/>
              <w:spacing w:line="200" w:lineRule="exact" w:before="4"/>
              <w:ind w:left="278"/>
              <w:rPr>
                <w:sz w:val="18"/>
              </w:rPr>
            </w:pPr>
            <w:r>
              <w:rPr>
                <w:spacing w:val="-2"/>
                <w:sz w:val="18"/>
              </w:rPr>
              <w:t>0.187250</w:t>
            </w:r>
          </w:p>
        </w:tc>
        <w:tc>
          <w:tcPr>
            <w:tcW w:w="1806" w:type="dxa"/>
          </w:tcPr>
          <w:p>
            <w:pPr>
              <w:pStyle w:val="TableParagraph"/>
              <w:spacing w:line="200" w:lineRule="exact" w:before="4"/>
              <w:ind w:left="262"/>
              <w:rPr>
                <w:sz w:val="18"/>
              </w:rPr>
            </w:pPr>
            <w:r>
              <w:rPr>
                <w:spacing w:val="-2"/>
                <w:sz w:val="18"/>
              </w:rPr>
              <w:t>0.607365</w:t>
            </w:r>
          </w:p>
        </w:tc>
        <w:tc>
          <w:tcPr>
            <w:tcW w:w="1638" w:type="dxa"/>
          </w:tcPr>
          <w:p>
            <w:pPr>
              <w:pStyle w:val="TableParagraph"/>
              <w:spacing w:line="200" w:lineRule="exact" w:before="4"/>
              <w:ind w:left="168"/>
              <w:rPr>
                <w:sz w:val="18"/>
              </w:rPr>
            </w:pPr>
            <w:r>
              <w:rPr>
                <w:spacing w:val="-2"/>
                <w:sz w:val="18"/>
              </w:rPr>
              <w:t>0.891576</w:t>
            </w:r>
          </w:p>
        </w:tc>
      </w:tr>
      <w:tr>
        <w:trPr>
          <w:trHeight w:val="225" w:hRule="atLeast"/>
        </w:trPr>
        <w:tc>
          <w:tcPr>
            <w:tcW w:w="1396" w:type="dxa"/>
          </w:tcPr>
          <w:p>
            <w:pPr>
              <w:pStyle w:val="TableParagraph"/>
              <w:spacing w:line="200" w:lineRule="exact" w:before="5"/>
              <w:ind w:left="87"/>
              <w:jc w:val="center"/>
              <w:rPr>
                <w:sz w:val="18"/>
              </w:rPr>
            </w:pPr>
            <w:r>
              <w:rPr>
                <w:spacing w:val="-5"/>
                <w:sz w:val="18"/>
              </w:rPr>
              <w:t>&lt;&lt;</w:t>
            </w:r>
          </w:p>
        </w:tc>
        <w:tc>
          <w:tcPr>
            <w:tcW w:w="1496" w:type="dxa"/>
          </w:tcPr>
          <w:p>
            <w:pPr>
              <w:pStyle w:val="TableParagraph"/>
              <w:rPr>
                <w:sz w:val="16"/>
              </w:rPr>
            </w:pPr>
          </w:p>
        </w:tc>
        <w:tc>
          <w:tcPr>
            <w:tcW w:w="1786" w:type="dxa"/>
          </w:tcPr>
          <w:p>
            <w:pPr>
              <w:pStyle w:val="TableParagraph"/>
              <w:rPr>
                <w:sz w:val="16"/>
              </w:rPr>
            </w:pPr>
          </w:p>
        </w:tc>
        <w:tc>
          <w:tcPr>
            <w:tcW w:w="1365" w:type="dxa"/>
          </w:tcPr>
          <w:p>
            <w:pPr>
              <w:pStyle w:val="TableParagraph"/>
              <w:rPr>
                <w:sz w:val="16"/>
              </w:rPr>
            </w:pPr>
          </w:p>
        </w:tc>
        <w:tc>
          <w:tcPr>
            <w:tcW w:w="1806" w:type="dxa"/>
          </w:tcPr>
          <w:p>
            <w:pPr>
              <w:pStyle w:val="TableParagraph"/>
              <w:rPr>
                <w:sz w:val="16"/>
              </w:rPr>
            </w:pPr>
          </w:p>
        </w:tc>
        <w:tc>
          <w:tcPr>
            <w:tcW w:w="1638" w:type="dxa"/>
          </w:tcPr>
          <w:p>
            <w:pPr>
              <w:pStyle w:val="TableParagraph"/>
              <w:rPr>
                <w:sz w:val="16"/>
              </w:rPr>
            </w:pPr>
          </w:p>
        </w:tc>
      </w:tr>
      <w:tr>
        <w:trPr>
          <w:trHeight w:val="225" w:hRule="atLeast"/>
        </w:trPr>
        <w:tc>
          <w:tcPr>
            <w:tcW w:w="1396" w:type="dxa"/>
          </w:tcPr>
          <w:p>
            <w:pPr>
              <w:pStyle w:val="TableParagraph"/>
              <w:spacing w:line="200" w:lineRule="exact" w:before="5"/>
              <w:ind w:left="168"/>
              <w:rPr>
                <w:sz w:val="18"/>
              </w:rPr>
            </w:pPr>
            <w:r>
              <w:rPr>
                <w:spacing w:val="-5"/>
                <w:sz w:val="18"/>
              </w:rPr>
              <w:t>Sum</w:t>
            </w:r>
          </w:p>
        </w:tc>
        <w:tc>
          <w:tcPr>
            <w:tcW w:w="1496" w:type="dxa"/>
          </w:tcPr>
          <w:p>
            <w:pPr>
              <w:pStyle w:val="TableParagraph"/>
              <w:spacing w:line="200" w:lineRule="exact" w:before="5"/>
              <w:ind w:left="228"/>
              <w:rPr>
                <w:sz w:val="18"/>
              </w:rPr>
            </w:pPr>
            <w:r>
              <w:rPr>
                <w:spacing w:val="-2"/>
                <w:sz w:val="18"/>
              </w:rPr>
              <w:t>153.0000</w:t>
            </w:r>
          </w:p>
        </w:tc>
        <w:tc>
          <w:tcPr>
            <w:tcW w:w="1786" w:type="dxa"/>
          </w:tcPr>
          <w:p>
            <w:pPr>
              <w:pStyle w:val="TableParagraph"/>
              <w:spacing w:line="200" w:lineRule="exact" w:before="5"/>
              <w:ind w:left="353"/>
              <w:rPr>
                <w:sz w:val="18"/>
              </w:rPr>
            </w:pPr>
            <w:r>
              <w:rPr>
                <w:spacing w:val="-2"/>
                <w:sz w:val="18"/>
              </w:rPr>
              <w:t>144.0000</w:t>
            </w:r>
          </w:p>
        </w:tc>
        <w:tc>
          <w:tcPr>
            <w:tcW w:w="1365" w:type="dxa"/>
          </w:tcPr>
          <w:p>
            <w:pPr>
              <w:pStyle w:val="TableParagraph"/>
              <w:spacing w:line="200" w:lineRule="exact" w:before="5"/>
              <w:ind w:left="278"/>
              <w:rPr>
                <w:sz w:val="18"/>
              </w:rPr>
            </w:pPr>
            <w:r>
              <w:rPr>
                <w:spacing w:val="-2"/>
                <w:sz w:val="18"/>
              </w:rPr>
              <w:t>71.00000</w:t>
            </w:r>
          </w:p>
        </w:tc>
        <w:tc>
          <w:tcPr>
            <w:tcW w:w="1806" w:type="dxa"/>
          </w:tcPr>
          <w:p>
            <w:pPr>
              <w:pStyle w:val="TableParagraph"/>
              <w:spacing w:line="200" w:lineRule="exact" w:before="5"/>
              <w:ind w:left="262"/>
              <w:rPr>
                <w:sz w:val="18"/>
              </w:rPr>
            </w:pPr>
            <w:r>
              <w:rPr>
                <w:spacing w:val="-2"/>
                <w:sz w:val="18"/>
              </w:rPr>
              <w:t>53.00000</w:t>
            </w:r>
          </w:p>
        </w:tc>
        <w:tc>
          <w:tcPr>
            <w:tcW w:w="1638" w:type="dxa"/>
          </w:tcPr>
          <w:p>
            <w:pPr>
              <w:pStyle w:val="TableParagraph"/>
              <w:spacing w:line="200" w:lineRule="exact" w:before="5"/>
              <w:ind w:left="168"/>
              <w:rPr>
                <w:sz w:val="18"/>
              </w:rPr>
            </w:pPr>
            <w:r>
              <w:rPr>
                <w:spacing w:val="-2"/>
                <w:sz w:val="18"/>
              </w:rPr>
              <w:t>598.0000</w:t>
            </w:r>
          </w:p>
        </w:tc>
      </w:tr>
      <w:tr>
        <w:trPr>
          <w:trHeight w:val="459" w:hRule="atLeast"/>
        </w:trPr>
        <w:tc>
          <w:tcPr>
            <w:tcW w:w="1396" w:type="dxa"/>
            <w:tcBorders>
              <w:bottom w:val="single" w:sz="4" w:space="0" w:color="000000"/>
            </w:tcBorders>
          </w:tcPr>
          <w:p>
            <w:pPr>
              <w:pStyle w:val="TableParagraph"/>
              <w:spacing w:before="5"/>
              <w:ind w:left="168"/>
              <w:rPr>
                <w:sz w:val="18"/>
              </w:rPr>
            </w:pPr>
            <w:r>
              <w:rPr>
                <w:sz w:val="18"/>
              </w:rPr>
              <w:t>Sum</w:t>
            </w:r>
            <w:r>
              <w:rPr>
                <w:spacing w:val="-5"/>
                <w:sz w:val="18"/>
              </w:rPr>
              <w:t> </w:t>
            </w:r>
            <w:r>
              <w:rPr>
                <w:sz w:val="18"/>
              </w:rPr>
              <w:t>Sq.</w:t>
            </w:r>
            <w:r>
              <w:rPr>
                <w:spacing w:val="2"/>
                <w:sz w:val="18"/>
              </w:rPr>
              <w:t> </w:t>
            </w:r>
            <w:r>
              <w:rPr>
                <w:spacing w:val="-4"/>
                <w:sz w:val="18"/>
              </w:rPr>
              <w:t>Dev.</w:t>
            </w:r>
          </w:p>
        </w:tc>
        <w:tc>
          <w:tcPr>
            <w:tcW w:w="1496" w:type="dxa"/>
            <w:tcBorders>
              <w:bottom w:val="single" w:sz="4" w:space="0" w:color="000000"/>
            </w:tcBorders>
          </w:tcPr>
          <w:p>
            <w:pPr>
              <w:pStyle w:val="TableParagraph"/>
              <w:spacing w:before="5"/>
              <w:ind w:left="228"/>
              <w:rPr>
                <w:sz w:val="18"/>
              </w:rPr>
            </w:pPr>
            <w:r>
              <w:rPr>
                <w:spacing w:val="-2"/>
                <w:sz w:val="18"/>
              </w:rPr>
              <w:t>1320.500</w:t>
            </w:r>
          </w:p>
        </w:tc>
        <w:tc>
          <w:tcPr>
            <w:tcW w:w="1786" w:type="dxa"/>
            <w:tcBorders>
              <w:bottom w:val="single" w:sz="4" w:space="0" w:color="000000"/>
            </w:tcBorders>
          </w:tcPr>
          <w:p>
            <w:pPr>
              <w:pStyle w:val="TableParagraph"/>
              <w:spacing w:before="5"/>
              <w:ind w:left="353"/>
              <w:rPr>
                <w:sz w:val="18"/>
              </w:rPr>
            </w:pPr>
            <w:r>
              <w:rPr>
                <w:spacing w:val="-2"/>
                <w:sz w:val="18"/>
              </w:rPr>
              <w:t>416.0000</w:t>
            </w:r>
          </w:p>
        </w:tc>
        <w:tc>
          <w:tcPr>
            <w:tcW w:w="1365" w:type="dxa"/>
            <w:tcBorders>
              <w:bottom w:val="single" w:sz="4" w:space="0" w:color="000000"/>
            </w:tcBorders>
          </w:tcPr>
          <w:p>
            <w:pPr>
              <w:pStyle w:val="TableParagraph"/>
              <w:spacing w:before="5"/>
              <w:ind w:left="278"/>
              <w:rPr>
                <w:sz w:val="18"/>
              </w:rPr>
            </w:pPr>
            <w:r>
              <w:rPr>
                <w:spacing w:val="-2"/>
                <w:sz w:val="18"/>
              </w:rPr>
              <w:t>48.94444</w:t>
            </w:r>
          </w:p>
        </w:tc>
        <w:tc>
          <w:tcPr>
            <w:tcW w:w="1806" w:type="dxa"/>
            <w:tcBorders>
              <w:bottom w:val="single" w:sz="4" w:space="0" w:color="000000"/>
            </w:tcBorders>
          </w:tcPr>
          <w:p>
            <w:pPr>
              <w:pStyle w:val="TableParagraph"/>
              <w:spacing w:before="5"/>
              <w:ind w:left="262"/>
              <w:rPr>
                <w:sz w:val="18"/>
              </w:rPr>
            </w:pPr>
            <w:r>
              <w:rPr>
                <w:spacing w:val="-2"/>
                <w:sz w:val="18"/>
              </w:rPr>
              <w:t>22.94444</w:t>
            </w:r>
          </w:p>
        </w:tc>
        <w:tc>
          <w:tcPr>
            <w:tcW w:w="1638" w:type="dxa"/>
            <w:tcBorders>
              <w:bottom w:val="single" w:sz="4" w:space="0" w:color="000000"/>
            </w:tcBorders>
          </w:tcPr>
          <w:p>
            <w:pPr>
              <w:pStyle w:val="TableParagraph"/>
              <w:spacing w:before="5"/>
              <w:ind w:left="168"/>
              <w:rPr>
                <w:sz w:val="18"/>
              </w:rPr>
            </w:pPr>
            <w:r>
              <w:rPr>
                <w:spacing w:val="-2"/>
                <w:sz w:val="18"/>
              </w:rPr>
              <w:t>3209.111</w:t>
            </w:r>
          </w:p>
        </w:tc>
      </w:tr>
      <w:tr>
        <w:trPr>
          <w:trHeight w:val="225" w:hRule="atLeast"/>
        </w:trPr>
        <w:tc>
          <w:tcPr>
            <w:tcW w:w="1396" w:type="dxa"/>
            <w:tcBorders>
              <w:top w:val="single" w:sz="4" w:space="0" w:color="000000"/>
              <w:bottom w:val="single" w:sz="4" w:space="0" w:color="000000"/>
            </w:tcBorders>
            <w:shd w:val="clear" w:color="auto" w:fill="DBE4F0"/>
          </w:tcPr>
          <w:p>
            <w:pPr>
              <w:pStyle w:val="TableParagraph"/>
              <w:spacing w:line="202" w:lineRule="exact"/>
              <w:ind w:left="168"/>
              <w:rPr>
                <w:sz w:val="18"/>
              </w:rPr>
            </w:pPr>
            <w:r>
              <w:rPr>
                <w:spacing w:val="-2"/>
                <w:sz w:val="18"/>
              </w:rPr>
              <w:t>Observations</w:t>
            </w:r>
          </w:p>
        </w:tc>
        <w:tc>
          <w:tcPr>
            <w:tcW w:w="1496" w:type="dxa"/>
            <w:tcBorders>
              <w:top w:val="single" w:sz="4" w:space="0" w:color="000000"/>
              <w:bottom w:val="single" w:sz="4" w:space="0" w:color="000000"/>
            </w:tcBorders>
            <w:shd w:val="clear" w:color="auto" w:fill="DBE4F0"/>
          </w:tcPr>
          <w:p>
            <w:pPr>
              <w:pStyle w:val="TableParagraph"/>
              <w:spacing w:line="202" w:lineRule="exact"/>
              <w:ind w:left="228"/>
              <w:rPr>
                <w:sz w:val="18"/>
              </w:rPr>
            </w:pPr>
            <w:r>
              <w:rPr>
                <w:spacing w:val="-5"/>
                <w:sz w:val="18"/>
              </w:rPr>
              <w:t>18</w:t>
            </w:r>
          </w:p>
        </w:tc>
        <w:tc>
          <w:tcPr>
            <w:tcW w:w="1786" w:type="dxa"/>
            <w:tcBorders>
              <w:top w:val="single" w:sz="4" w:space="0" w:color="000000"/>
              <w:bottom w:val="single" w:sz="4" w:space="0" w:color="000000"/>
            </w:tcBorders>
            <w:shd w:val="clear" w:color="auto" w:fill="DBE4F0"/>
          </w:tcPr>
          <w:p>
            <w:pPr>
              <w:pStyle w:val="TableParagraph"/>
              <w:spacing w:line="202" w:lineRule="exact"/>
              <w:ind w:left="353"/>
              <w:rPr>
                <w:sz w:val="18"/>
              </w:rPr>
            </w:pPr>
            <w:r>
              <w:rPr>
                <w:spacing w:val="-5"/>
                <w:sz w:val="18"/>
              </w:rPr>
              <w:t>18</w:t>
            </w:r>
          </w:p>
        </w:tc>
        <w:tc>
          <w:tcPr>
            <w:tcW w:w="1365" w:type="dxa"/>
            <w:tcBorders>
              <w:top w:val="single" w:sz="4" w:space="0" w:color="000000"/>
              <w:bottom w:val="single" w:sz="4" w:space="0" w:color="000000"/>
            </w:tcBorders>
            <w:shd w:val="clear" w:color="auto" w:fill="DBE4F0"/>
          </w:tcPr>
          <w:p>
            <w:pPr>
              <w:pStyle w:val="TableParagraph"/>
              <w:spacing w:line="202" w:lineRule="exact"/>
              <w:ind w:left="278"/>
              <w:rPr>
                <w:sz w:val="18"/>
              </w:rPr>
            </w:pPr>
            <w:r>
              <w:rPr>
                <w:spacing w:val="-5"/>
                <w:sz w:val="18"/>
              </w:rPr>
              <w:t>18</w:t>
            </w:r>
          </w:p>
        </w:tc>
        <w:tc>
          <w:tcPr>
            <w:tcW w:w="1806" w:type="dxa"/>
            <w:tcBorders>
              <w:top w:val="single" w:sz="4" w:space="0" w:color="000000"/>
              <w:bottom w:val="single" w:sz="4" w:space="0" w:color="000000"/>
            </w:tcBorders>
            <w:shd w:val="clear" w:color="auto" w:fill="DBE4F0"/>
          </w:tcPr>
          <w:p>
            <w:pPr>
              <w:pStyle w:val="TableParagraph"/>
              <w:spacing w:line="202" w:lineRule="exact"/>
              <w:ind w:left="262"/>
              <w:rPr>
                <w:sz w:val="18"/>
              </w:rPr>
            </w:pPr>
            <w:r>
              <w:rPr>
                <w:spacing w:val="-5"/>
                <w:sz w:val="18"/>
              </w:rPr>
              <w:t>18</w:t>
            </w:r>
          </w:p>
        </w:tc>
        <w:tc>
          <w:tcPr>
            <w:tcW w:w="1638" w:type="dxa"/>
            <w:tcBorders>
              <w:top w:val="single" w:sz="4" w:space="0" w:color="000000"/>
              <w:bottom w:val="single" w:sz="4" w:space="0" w:color="000000"/>
            </w:tcBorders>
            <w:shd w:val="clear" w:color="auto" w:fill="DBE4F0"/>
          </w:tcPr>
          <w:p>
            <w:pPr>
              <w:pStyle w:val="TableParagraph"/>
              <w:spacing w:line="202" w:lineRule="exact"/>
              <w:ind w:left="168"/>
              <w:rPr>
                <w:sz w:val="18"/>
              </w:rPr>
            </w:pPr>
            <w:r>
              <w:rPr>
                <w:spacing w:val="-5"/>
                <w:sz w:val="18"/>
              </w:rPr>
              <w:t>18</w:t>
            </w:r>
          </w:p>
        </w:tc>
      </w:tr>
    </w:tbl>
    <w:p>
      <w:pPr>
        <w:pStyle w:val="BodyText"/>
        <w:ind w:left="240"/>
      </w:pPr>
      <w:r>
        <w:rPr>
          <w:b/>
        </w:rPr>
        <w:t>Source:</w:t>
      </w:r>
      <w:r>
        <w:rPr>
          <w:b/>
          <w:spacing w:val="-3"/>
        </w:rPr>
        <w:t> </w:t>
      </w:r>
      <w:r>
        <w:rPr/>
        <w:t>Researcher‘s</w:t>
      </w:r>
      <w:r>
        <w:rPr>
          <w:spacing w:val="1"/>
        </w:rPr>
        <w:t> </w:t>
      </w:r>
      <w:r>
        <w:rPr/>
        <w:t>extract</w:t>
      </w:r>
      <w:r>
        <w:rPr>
          <w:spacing w:val="-2"/>
        </w:rPr>
        <w:t> </w:t>
      </w:r>
      <w:r>
        <w:rPr/>
        <w:t>from</w:t>
      </w:r>
      <w:r>
        <w:rPr>
          <w:spacing w:val="1"/>
        </w:rPr>
        <w:t> </w:t>
      </w:r>
      <w:r>
        <w:rPr/>
        <w:t>output</w:t>
      </w:r>
      <w:r>
        <w:rPr>
          <w:spacing w:val="-2"/>
        </w:rPr>
        <w:t> </w:t>
      </w:r>
      <w:r>
        <w:rPr/>
        <w:t>of</w:t>
      </w:r>
      <w:r>
        <w:rPr>
          <w:spacing w:val="-1"/>
        </w:rPr>
        <w:t> </w:t>
      </w:r>
      <w:r>
        <w:rPr/>
        <w:t>E-views</w:t>
      </w:r>
      <w:r>
        <w:rPr>
          <w:spacing w:val="-1"/>
        </w:rPr>
        <w:t> </w:t>
      </w:r>
      <w:r>
        <w:rPr/>
        <w:t>7</w:t>
      </w:r>
      <w:r>
        <w:rPr>
          <w:spacing w:val="-2"/>
        </w:rPr>
        <w:t> </w:t>
      </w:r>
      <w:r>
        <w:rPr/>
        <w:t>econometric</w:t>
      </w:r>
      <w:r>
        <w:rPr>
          <w:spacing w:val="-1"/>
        </w:rPr>
        <w:t> </w:t>
      </w:r>
      <w:r>
        <w:rPr/>
        <w:t>software</w:t>
      </w:r>
      <w:r>
        <w:rPr>
          <w:spacing w:val="-2"/>
        </w:rPr>
        <w:t> (2017)</w:t>
      </w:r>
    </w:p>
    <w:p>
      <w:pPr>
        <w:pStyle w:val="BodyText"/>
        <w:spacing w:before="141"/>
      </w:pPr>
    </w:p>
    <w:p>
      <w:pPr>
        <w:pStyle w:val="Heading4"/>
        <w:spacing w:before="1" w:after="18"/>
        <w:ind w:right="840"/>
        <w:jc w:val="left"/>
      </w:pPr>
      <w:r>
        <w:rPr/>
        <w:t>Table</w:t>
      </w:r>
      <w:r>
        <w:rPr>
          <w:spacing w:val="38"/>
        </w:rPr>
        <w:t> </w:t>
      </w:r>
      <w:r>
        <w:rPr/>
        <w:t>5.18:</w:t>
      </w:r>
      <w:r>
        <w:rPr>
          <w:spacing w:val="38"/>
        </w:rPr>
        <w:t> </w:t>
      </w:r>
      <w:r>
        <w:rPr/>
        <w:t>Summary</w:t>
      </w:r>
      <w:r>
        <w:rPr>
          <w:spacing w:val="40"/>
        </w:rPr>
        <w:t> </w:t>
      </w:r>
      <w:r>
        <w:rPr/>
        <w:t>of</w:t>
      </w:r>
      <w:r>
        <w:rPr>
          <w:spacing w:val="40"/>
        </w:rPr>
        <w:t> </w:t>
      </w:r>
      <w:r>
        <w:rPr/>
        <w:t>Descriptive</w:t>
      </w:r>
      <w:r>
        <w:rPr>
          <w:spacing w:val="37"/>
        </w:rPr>
        <w:t> </w:t>
      </w:r>
      <w:r>
        <w:rPr/>
        <w:t>Statistics</w:t>
      </w:r>
      <w:r>
        <w:rPr>
          <w:spacing w:val="38"/>
        </w:rPr>
        <w:t> </w:t>
      </w:r>
      <w:r>
        <w:rPr/>
        <w:t>of</w:t>
      </w:r>
      <w:r>
        <w:rPr>
          <w:spacing w:val="40"/>
        </w:rPr>
        <w:t> </w:t>
      </w:r>
      <w:r>
        <w:rPr/>
        <w:t>Annual</w:t>
      </w:r>
      <w:r>
        <w:rPr>
          <w:spacing w:val="37"/>
        </w:rPr>
        <w:t> </w:t>
      </w:r>
      <w:r>
        <w:rPr/>
        <w:t>Percentage</w:t>
      </w:r>
      <w:r>
        <w:rPr>
          <w:spacing w:val="39"/>
        </w:rPr>
        <w:t> </w:t>
      </w:r>
      <w:r>
        <w:rPr/>
        <w:t>Allocations</w:t>
      </w:r>
      <w:r>
        <w:rPr>
          <w:spacing w:val="39"/>
        </w:rPr>
        <w:t> </w:t>
      </w:r>
      <w:r>
        <w:rPr/>
        <w:t>to</w:t>
      </w:r>
      <w:r>
        <w:rPr>
          <w:spacing w:val="38"/>
        </w:rPr>
        <w:t> </w:t>
      </w:r>
      <w:r>
        <w:rPr/>
        <w:t>Key Sectors in Anambra State (1999-2016)</w:t>
      </w: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3"/>
        <w:gridCol w:w="1193"/>
        <w:gridCol w:w="1491"/>
        <w:gridCol w:w="1566"/>
        <w:gridCol w:w="1647"/>
        <w:gridCol w:w="1954"/>
      </w:tblGrid>
      <w:tr>
        <w:trPr>
          <w:trHeight w:val="413" w:hRule="atLeast"/>
        </w:trPr>
        <w:tc>
          <w:tcPr>
            <w:tcW w:w="1633" w:type="dxa"/>
            <w:tcBorders>
              <w:top w:val="thinThickMediumGap" w:sz="6" w:space="0" w:color="000000"/>
              <w:bottom w:val="single" w:sz="8" w:space="0" w:color="000000"/>
            </w:tcBorders>
            <w:shd w:val="clear" w:color="auto" w:fill="DBE4F0"/>
          </w:tcPr>
          <w:p>
            <w:pPr>
              <w:pStyle w:val="TableParagraph"/>
              <w:ind w:left="122"/>
              <w:rPr>
                <w:b/>
                <w:sz w:val="24"/>
              </w:rPr>
            </w:pPr>
            <w:r>
              <w:rPr>
                <w:b/>
                <w:spacing w:val="-2"/>
                <w:sz w:val="24"/>
              </w:rPr>
              <w:t>Sectors</w:t>
            </w:r>
          </w:p>
        </w:tc>
        <w:tc>
          <w:tcPr>
            <w:tcW w:w="1193" w:type="dxa"/>
            <w:tcBorders>
              <w:top w:val="thinThickMediumGap" w:sz="6" w:space="0" w:color="000000"/>
              <w:bottom w:val="single" w:sz="8" w:space="0" w:color="000000"/>
            </w:tcBorders>
            <w:shd w:val="clear" w:color="auto" w:fill="DBE4F0"/>
          </w:tcPr>
          <w:p>
            <w:pPr>
              <w:pStyle w:val="TableParagraph"/>
              <w:ind w:left="13"/>
              <w:jc w:val="center"/>
              <w:rPr>
                <w:b/>
                <w:sz w:val="24"/>
              </w:rPr>
            </w:pPr>
            <w:r>
              <w:rPr>
                <w:b/>
                <w:spacing w:val="-4"/>
                <w:sz w:val="24"/>
              </w:rPr>
              <w:t>Mean</w:t>
            </w:r>
          </w:p>
        </w:tc>
        <w:tc>
          <w:tcPr>
            <w:tcW w:w="1491" w:type="dxa"/>
            <w:tcBorders>
              <w:top w:val="thinThickMediumGap" w:sz="6" w:space="0" w:color="000000"/>
              <w:bottom w:val="single" w:sz="8" w:space="0" w:color="000000"/>
            </w:tcBorders>
            <w:shd w:val="clear" w:color="auto" w:fill="DBE4F0"/>
          </w:tcPr>
          <w:p>
            <w:pPr>
              <w:pStyle w:val="TableParagraph"/>
              <w:ind w:left="29"/>
              <w:jc w:val="center"/>
              <w:rPr>
                <w:b/>
                <w:sz w:val="24"/>
              </w:rPr>
            </w:pPr>
            <w:r>
              <w:rPr>
                <w:b/>
                <w:sz w:val="24"/>
              </w:rPr>
              <w:t>Std. </w:t>
            </w:r>
            <w:r>
              <w:rPr>
                <w:b/>
                <w:spacing w:val="-4"/>
                <w:sz w:val="24"/>
              </w:rPr>
              <w:t>Dev.</w:t>
            </w:r>
          </w:p>
        </w:tc>
        <w:tc>
          <w:tcPr>
            <w:tcW w:w="1566" w:type="dxa"/>
            <w:tcBorders>
              <w:top w:val="thinThickMediumGap" w:sz="6" w:space="0" w:color="000000"/>
              <w:bottom w:val="single" w:sz="8" w:space="0" w:color="000000"/>
            </w:tcBorders>
            <w:shd w:val="clear" w:color="auto" w:fill="DBE4F0"/>
          </w:tcPr>
          <w:p>
            <w:pPr>
              <w:pStyle w:val="TableParagraph"/>
              <w:ind w:right="54"/>
              <w:jc w:val="center"/>
              <w:rPr>
                <w:b/>
                <w:sz w:val="24"/>
              </w:rPr>
            </w:pPr>
            <w:r>
              <w:rPr>
                <w:b/>
                <w:spacing w:val="-2"/>
                <w:sz w:val="24"/>
              </w:rPr>
              <w:t>Skewness</w:t>
            </w:r>
          </w:p>
        </w:tc>
        <w:tc>
          <w:tcPr>
            <w:tcW w:w="1647" w:type="dxa"/>
            <w:tcBorders>
              <w:top w:val="thinThickMediumGap" w:sz="6" w:space="0" w:color="000000"/>
              <w:bottom w:val="single" w:sz="8" w:space="0" w:color="000000"/>
            </w:tcBorders>
            <w:shd w:val="clear" w:color="auto" w:fill="DBE4F0"/>
          </w:tcPr>
          <w:p>
            <w:pPr>
              <w:pStyle w:val="TableParagraph"/>
              <w:ind w:right="118"/>
              <w:jc w:val="center"/>
              <w:rPr>
                <w:b/>
                <w:sz w:val="24"/>
              </w:rPr>
            </w:pPr>
            <w:r>
              <w:rPr>
                <w:b/>
                <w:spacing w:val="-2"/>
                <w:sz w:val="24"/>
              </w:rPr>
              <w:t>Kurtosis</w:t>
            </w:r>
          </w:p>
        </w:tc>
        <w:tc>
          <w:tcPr>
            <w:tcW w:w="1954" w:type="dxa"/>
            <w:tcBorders>
              <w:top w:val="thinThickMediumGap" w:sz="6" w:space="0" w:color="000000"/>
              <w:bottom w:val="single" w:sz="8" w:space="0" w:color="000000"/>
            </w:tcBorders>
            <w:shd w:val="clear" w:color="auto" w:fill="DBE4F0"/>
          </w:tcPr>
          <w:p>
            <w:pPr>
              <w:pStyle w:val="TableParagraph"/>
              <w:ind w:left="1" w:right="120"/>
              <w:jc w:val="center"/>
              <w:rPr>
                <w:b/>
                <w:sz w:val="24"/>
              </w:rPr>
            </w:pPr>
            <w:r>
              <w:rPr>
                <w:b/>
                <w:spacing w:val="-2"/>
                <w:sz w:val="24"/>
              </w:rPr>
              <w:t>Prob(JB)</w:t>
            </w:r>
          </w:p>
        </w:tc>
      </w:tr>
      <w:tr>
        <w:trPr>
          <w:trHeight w:val="300" w:hRule="atLeast"/>
        </w:trPr>
        <w:tc>
          <w:tcPr>
            <w:tcW w:w="1633" w:type="dxa"/>
            <w:tcBorders>
              <w:top w:val="single" w:sz="8" w:space="0" w:color="000000"/>
            </w:tcBorders>
          </w:tcPr>
          <w:p>
            <w:pPr>
              <w:pStyle w:val="TableParagraph"/>
              <w:spacing w:before="1"/>
              <w:ind w:left="122"/>
              <w:rPr>
                <w:b/>
                <w:sz w:val="24"/>
              </w:rPr>
            </w:pPr>
            <w:r>
              <w:rPr>
                <w:b/>
                <w:spacing w:val="-2"/>
                <w:sz w:val="24"/>
              </w:rPr>
              <w:t>Housing</w:t>
            </w:r>
          </w:p>
        </w:tc>
        <w:tc>
          <w:tcPr>
            <w:tcW w:w="1193" w:type="dxa"/>
            <w:tcBorders>
              <w:top w:val="single" w:sz="8" w:space="0" w:color="000000"/>
            </w:tcBorders>
          </w:tcPr>
          <w:p>
            <w:pPr>
              <w:pStyle w:val="TableParagraph"/>
              <w:spacing w:line="272" w:lineRule="exact"/>
              <w:ind w:left="13" w:right="1"/>
              <w:jc w:val="center"/>
              <w:rPr>
                <w:sz w:val="24"/>
              </w:rPr>
            </w:pPr>
            <w:r>
              <w:rPr>
                <w:spacing w:val="-4"/>
                <w:sz w:val="24"/>
              </w:rPr>
              <w:t>8.50</w:t>
            </w:r>
          </w:p>
        </w:tc>
        <w:tc>
          <w:tcPr>
            <w:tcW w:w="1491" w:type="dxa"/>
            <w:tcBorders>
              <w:top w:val="single" w:sz="8" w:space="0" w:color="000000"/>
            </w:tcBorders>
          </w:tcPr>
          <w:p>
            <w:pPr>
              <w:pStyle w:val="TableParagraph"/>
              <w:spacing w:line="272" w:lineRule="exact"/>
              <w:ind w:left="29" w:right="3"/>
              <w:jc w:val="center"/>
              <w:rPr>
                <w:sz w:val="24"/>
              </w:rPr>
            </w:pPr>
            <w:r>
              <w:rPr>
                <w:spacing w:val="-4"/>
                <w:sz w:val="24"/>
              </w:rPr>
              <w:t>8.81</w:t>
            </w:r>
          </w:p>
        </w:tc>
        <w:tc>
          <w:tcPr>
            <w:tcW w:w="1566" w:type="dxa"/>
            <w:tcBorders>
              <w:top w:val="single" w:sz="8" w:space="0" w:color="000000"/>
            </w:tcBorders>
          </w:tcPr>
          <w:p>
            <w:pPr>
              <w:pStyle w:val="TableParagraph"/>
              <w:spacing w:line="272" w:lineRule="exact"/>
              <w:ind w:left="2" w:right="54"/>
              <w:jc w:val="center"/>
              <w:rPr>
                <w:sz w:val="24"/>
              </w:rPr>
            </w:pPr>
            <w:r>
              <w:rPr>
                <w:spacing w:val="-4"/>
                <w:sz w:val="24"/>
              </w:rPr>
              <w:t>2.20</w:t>
            </w:r>
          </w:p>
        </w:tc>
        <w:tc>
          <w:tcPr>
            <w:tcW w:w="1647" w:type="dxa"/>
            <w:tcBorders>
              <w:top w:val="single" w:sz="8" w:space="0" w:color="000000"/>
            </w:tcBorders>
          </w:tcPr>
          <w:p>
            <w:pPr>
              <w:pStyle w:val="TableParagraph"/>
              <w:spacing w:line="272" w:lineRule="exact"/>
              <w:ind w:left="3" w:right="118"/>
              <w:jc w:val="center"/>
              <w:rPr>
                <w:sz w:val="24"/>
              </w:rPr>
            </w:pPr>
            <w:r>
              <w:rPr>
                <w:spacing w:val="-4"/>
                <w:sz w:val="24"/>
              </w:rPr>
              <w:t>6.96</w:t>
            </w:r>
          </w:p>
        </w:tc>
        <w:tc>
          <w:tcPr>
            <w:tcW w:w="1954" w:type="dxa"/>
            <w:tcBorders>
              <w:top w:val="single" w:sz="8" w:space="0" w:color="000000"/>
            </w:tcBorders>
          </w:tcPr>
          <w:p>
            <w:pPr>
              <w:pStyle w:val="TableParagraph"/>
              <w:spacing w:line="272" w:lineRule="exact"/>
              <w:ind w:right="120"/>
              <w:jc w:val="center"/>
              <w:rPr>
                <w:sz w:val="24"/>
              </w:rPr>
            </w:pPr>
            <w:r>
              <w:rPr>
                <w:spacing w:val="-2"/>
                <w:sz w:val="24"/>
              </w:rPr>
              <w:t>0.0000</w:t>
            </w:r>
          </w:p>
        </w:tc>
      </w:tr>
      <w:tr>
        <w:trPr>
          <w:trHeight w:val="316" w:hRule="atLeast"/>
        </w:trPr>
        <w:tc>
          <w:tcPr>
            <w:tcW w:w="1633" w:type="dxa"/>
          </w:tcPr>
          <w:p>
            <w:pPr>
              <w:pStyle w:val="TableParagraph"/>
              <w:spacing w:before="17"/>
              <w:ind w:left="122"/>
              <w:rPr>
                <w:b/>
                <w:sz w:val="24"/>
              </w:rPr>
            </w:pPr>
            <w:r>
              <w:rPr>
                <w:b/>
                <w:spacing w:val="-2"/>
                <w:sz w:val="24"/>
              </w:rPr>
              <w:t>Education</w:t>
            </w:r>
          </w:p>
        </w:tc>
        <w:tc>
          <w:tcPr>
            <w:tcW w:w="1193" w:type="dxa"/>
          </w:tcPr>
          <w:p>
            <w:pPr>
              <w:pStyle w:val="TableParagraph"/>
              <w:spacing w:before="13"/>
              <w:ind w:left="13" w:right="1"/>
              <w:jc w:val="center"/>
              <w:rPr>
                <w:sz w:val="24"/>
              </w:rPr>
            </w:pPr>
            <w:r>
              <w:rPr>
                <w:spacing w:val="-4"/>
                <w:sz w:val="24"/>
              </w:rPr>
              <w:t>8.00</w:t>
            </w:r>
          </w:p>
        </w:tc>
        <w:tc>
          <w:tcPr>
            <w:tcW w:w="1491" w:type="dxa"/>
          </w:tcPr>
          <w:p>
            <w:pPr>
              <w:pStyle w:val="TableParagraph"/>
              <w:spacing w:before="13"/>
              <w:ind w:left="29" w:right="3"/>
              <w:jc w:val="center"/>
              <w:rPr>
                <w:sz w:val="24"/>
              </w:rPr>
            </w:pPr>
            <w:r>
              <w:rPr>
                <w:spacing w:val="-4"/>
                <w:sz w:val="24"/>
              </w:rPr>
              <w:t>4.95</w:t>
            </w:r>
          </w:p>
        </w:tc>
        <w:tc>
          <w:tcPr>
            <w:tcW w:w="1566" w:type="dxa"/>
          </w:tcPr>
          <w:p>
            <w:pPr>
              <w:pStyle w:val="TableParagraph"/>
              <w:spacing w:before="13"/>
              <w:ind w:left="2" w:right="54"/>
              <w:jc w:val="center"/>
              <w:rPr>
                <w:sz w:val="24"/>
              </w:rPr>
            </w:pPr>
            <w:r>
              <w:rPr>
                <w:spacing w:val="-4"/>
                <w:sz w:val="24"/>
              </w:rPr>
              <w:t>1.91</w:t>
            </w:r>
          </w:p>
        </w:tc>
        <w:tc>
          <w:tcPr>
            <w:tcW w:w="1647" w:type="dxa"/>
          </w:tcPr>
          <w:p>
            <w:pPr>
              <w:pStyle w:val="TableParagraph"/>
              <w:spacing w:before="13"/>
              <w:ind w:left="3" w:right="118"/>
              <w:jc w:val="center"/>
              <w:rPr>
                <w:sz w:val="24"/>
              </w:rPr>
            </w:pPr>
            <w:r>
              <w:rPr>
                <w:spacing w:val="-4"/>
                <w:sz w:val="24"/>
              </w:rPr>
              <w:t>5.95</w:t>
            </w:r>
          </w:p>
        </w:tc>
        <w:tc>
          <w:tcPr>
            <w:tcW w:w="1954" w:type="dxa"/>
          </w:tcPr>
          <w:p>
            <w:pPr>
              <w:pStyle w:val="TableParagraph"/>
              <w:spacing w:before="13"/>
              <w:ind w:right="120"/>
              <w:jc w:val="center"/>
              <w:rPr>
                <w:sz w:val="24"/>
              </w:rPr>
            </w:pPr>
            <w:r>
              <w:rPr>
                <w:spacing w:val="-2"/>
                <w:sz w:val="24"/>
              </w:rPr>
              <w:t>0.0002</w:t>
            </w:r>
          </w:p>
        </w:tc>
      </w:tr>
      <w:tr>
        <w:trPr>
          <w:trHeight w:val="316" w:hRule="atLeast"/>
        </w:trPr>
        <w:tc>
          <w:tcPr>
            <w:tcW w:w="1633" w:type="dxa"/>
          </w:tcPr>
          <w:p>
            <w:pPr>
              <w:pStyle w:val="TableParagraph"/>
              <w:spacing w:before="17"/>
              <w:ind w:left="122"/>
              <w:rPr>
                <w:b/>
                <w:sz w:val="24"/>
              </w:rPr>
            </w:pPr>
            <w:r>
              <w:rPr>
                <w:b/>
                <w:spacing w:val="-2"/>
                <w:sz w:val="24"/>
              </w:rPr>
              <w:t>Health</w:t>
            </w:r>
          </w:p>
        </w:tc>
        <w:tc>
          <w:tcPr>
            <w:tcW w:w="1193" w:type="dxa"/>
          </w:tcPr>
          <w:p>
            <w:pPr>
              <w:pStyle w:val="TableParagraph"/>
              <w:spacing w:before="13"/>
              <w:ind w:left="13" w:right="1"/>
              <w:jc w:val="center"/>
              <w:rPr>
                <w:sz w:val="24"/>
              </w:rPr>
            </w:pPr>
            <w:r>
              <w:rPr>
                <w:spacing w:val="-4"/>
                <w:sz w:val="24"/>
              </w:rPr>
              <w:t>3.94</w:t>
            </w:r>
          </w:p>
        </w:tc>
        <w:tc>
          <w:tcPr>
            <w:tcW w:w="1491" w:type="dxa"/>
          </w:tcPr>
          <w:p>
            <w:pPr>
              <w:pStyle w:val="TableParagraph"/>
              <w:spacing w:before="13"/>
              <w:ind w:left="29" w:right="3"/>
              <w:jc w:val="center"/>
              <w:rPr>
                <w:sz w:val="24"/>
              </w:rPr>
            </w:pPr>
            <w:r>
              <w:rPr>
                <w:spacing w:val="-4"/>
                <w:sz w:val="24"/>
              </w:rPr>
              <w:t>1.70</w:t>
            </w:r>
          </w:p>
        </w:tc>
        <w:tc>
          <w:tcPr>
            <w:tcW w:w="1566" w:type="dxa"/>
          </w:tcPr>
          <w:p>
            <w:pPr>
              <w:pStyle w:val="TableParagraph"/>
              <w:spacing w:before="13"/>
              <w:ind w:left="2" w:right="54"/>
              <w:jc w:val="center"/>
              <w:rPr>
                <w:sz w:val="24"/>
              </w:rPr>
            </w:pPr>
            <w:r>
              <w:rPr>
                <w:spacing w:val="-4"/>
                <w:sz w:val="24"/>
              </w:rPr>
              <w:t>1.06</w:t>
            </w:r>
          </w:p>
        </w:tc>
        <w:tc>
          <w:tcPr>
            <w:tcW w:w="1647" w:type="dxa"/>
          </w:tcPr>
          <w:p>
            <w:pPr>
              <w:pStyle w:val="TableParagraph"/>
              <w:spacing w:before="13"/>
              <w:ind w:left="3" w:right="118"/>
              <w:jc w:val="center"/>
              <w:rPr>
                <w:sz w:val="24"/>
              </w:rPr>
            </w:pPr>
            <w:r>
              <w:rPr>
                <w:spacing w:val="-4"/>
                <w:sz w:val="24"/>
              </w:rPr>
              <w:t>3.12</w:t>
            </w:r>
          </w:p>
        </w:tc>
        <w:tc>
          <w:tcPr>
            <w:tcW w:w="1954" w:type="dxa"/>
          </w:tcPr>
          <w:p>
            <w:pPr>
              <w:pStyle w:val="TableParagraph"/>
              <w:spacing w:before="13"/>
              <w:ind w:right="120"/>
              <w:jc w:val="center"/>
              <w:rPr>
                <w:sz w:val="24"/>
              </w:rPr>
            </w:pPr>
            <w:r>
              <w:rPr>
                <w:spacing w:val="-2"/>
                <w:sz w:val="24"/>
              </w:rPr>
              <w:t>0.1873</w:t>
            </w:r>
          </w:p>
        </w:tc>
      </w:tr>
      <w:tr>
        <w:trPr>
          <w:trHeight w:val="316" w:hRule="atLeast"/>
        </w:trPr>
        <w:tc>
          <w:tcPr>
            <w:tcW w:w="1633" w:type="dxa"/>
          </w:tcPr>
          <w:p>
            <w:pPr>
              <w:pStyle w:val="TableParagraph"/>
              <w:spacing w:before="17"/>
              <w:ind w:left="122"/>
              <w:rPr>
                <w:b/>
                <w:sz w:val="24"/>
              </w:rPr>
            </w:pPr>
            <w:r>
              <w:rPr>
                <w:b/>
                <w:spacing w:val="-2"/>
                <w:sz w:val="24"/>
              </w:rPr>
              <w:t>Agriculture</w:t>
            </w:r>
          </w:p>
        </w:tc>
        <w:tc>
          <w:tcPr>
            <w:tcW w:w="1193" w:type="dxa"/>
          </w:tcPr>
          <w:p>
            <w:pPr>
              <w:pStyle w:val="TableParagraph"/>
              <w:spacing w:before="13"/>
              <w:ind w:left="13" w:right="1"/>
              <w:jc w:val="center"/>
              <w:rPr>
                <w:sz w:val="24"/>
              </w:rPr>
            </w:pPr>
            <w:r>
              <w:rPr>
                <w:spacing w:val="-4"/>
                <w:sz w:val="24"/>
              </w:rPr>
              <w:t>2.94</w:t>
            </w:r>
          </w:p>
        </w:tc>
        <w:tc>
          <w:tcPr>
            <w:tcW w:w="1491" w:type="dxa"/>
          </w:tcPr>
          <w:p>
            <w:pPr>
              <w:pStyle w:val="TableParagraph"/>
              <w:spacing w:before="13"/>
              <w:ind w:left="29" w:right="3"/>
              <w:jc w:val="center"/>
              <w:rPr>
                <w:sz w:val="24"/>
              </w:rPr>
            </w:pPr>
            <w:r>
              <w:rPr>
                <w:spacing w:val="-4"/>
                <w:sz w:val="24"/>
              </w:rPr>
              <w:t>1.16</w:t>
            </w:r>
          </w:p>
        </w:tc>
        <w:tc>
          <w:tcPr>
            <w:tcW w:w="1566" w:type="dxa"/>
          </w:tcPr>
          <w:p>
            <w:pPr>
              <w:pStyle w:val="TableParagraph"/>
              <w:spacing w:before="13"/>
              <w:ind w:left="2" w:right="54"/>
              <w:jc w:val="center"/>
              <w:rPr>
                <w:sz w:val="24"/>
              </w:rPr>
            </w:pPr>
            <w:r>
              <w:rPr>
                <w:spacing w:val="-4"/>
                <w:sz w:val="24"/>
              </w:rPr>
              <w:t>0.34</w:t>
            </w:r>
          </w:p>
        </w:tc>
        <w:tc>
          <w:tcPr>
            <w:tcW w:w="1647" w:type="dxa"/>
          </w:tcPr>
          <w:p>
            <w:pPr>
              <w:pStyle w:val="TableParagraph"/>
              <w:spacing w:before="13"/>
              <w:ind w:left="3" w:right="118"/>
              <w:jc w:val="center"/>
              <w:rPr>
                <w:sz w:val="24"/>
              </w:rPr>
            </w:pPr>
            <w:r>
              <w:rPr>
                <w:spacing w:val="-4"/>
                <w:sz w:val="24"/>
              </w:rPr>
              <w:t>2.07</w:t>
            </w:r>
          </w:p>
        </w:tc>
        <w:tc>
          <w:tcPr>
            <w:tcW w:w="1954" w:type="dxa"/>
          </w:tcPr>
          <w:p>
            <w:pPr>
              <w:pStyle w:val="TableParagraph"/>
              <w:spacing w:before="13"/>
              <w:ind w:right="120"/>
              <w:jc w:val="center"/>
              <w:rPr>
                <w:sz w:val="24"/>
              </w:rPr>
            </w:pPr>
            <w:r>
              <w:rPr>
                <w:spacing w:val="-2"/>
                <w:sz w:val="24"/>
              </w:rPr>
              <w:t>0.6074</w:t>
            </w:r>
          </w:p>
        </w:tc>
      </w:tr>
      <w:tr>
        <w:trPr>
          <w:trHeight w:val="339" w:hRule="atLeast"/>
        </w:trPr>
        <w:tc>
          <w:tcPr>
            <w:tcW w:w="1633" w:type="dxa"/>
            <w:tcBorders>
              <w:bottom w:val="thinThickMediumGap" w:sz="6" w:space="0" w:color="000000"/>
            </w:tcBorders>
          </w:tcPr>
          <w:p>
            <w:pPr>
              <w:pStyle w:val="TableParagraph"/>
              <w:spacing w:before="18"/>
              <w:ind w:left="122"/>
              <w:rPr>
                <w:b/>
                <w:sz w:val="24"/>
              </w:rPr>
            </w:pPr>
            <w:r>
              <w:rPr>
                <w:b/>
                <w:spacing w:val="-2"/>
                <w:sz w:val="24"/>
              </w:rPr>
              <w:t>Works</w:t>
            </w:r>
          </w:p>
        </w:tc>
        <w:tc>
          <w:tcPr>
            <w:tcW w:w="1193" w:type="dxa"/>
            <w:tcBorders>
              <w:bottom w:val="thinThickMediumGap" w:sz="6" w:space="0" w:color="000000"/>
            </w:tcBorders>
          </w:tcPr>
          <w:p>
            <w:pPr>
              <w:pStyle w:val="TableParagraph"/>
              <w:spacing w:before="13"/>
              <w:ind w:left="13" w:right="1"/>
              <w:jc w:val="center"/>
              <w:rPr>
                <w:sz w:val="24"/>
              </w:rPr>
            </w:pPr>
            <w:r>
              <w:rPr>
                <w:spacing w:val="-2"/>
                <w:sz w:val="24"/>
              </w:rPr>
              <w:t>33.22</w:t>
            </w:r>
          </w:p>
        </w:tc>
        <w:tc>
          <w:tcPr>
            <w:tcW w:w="1491" w:type="dxa"/>
            <w:tcBorders>
              <w:bottom w:val="thinThickMediumGap" w:sz="6" w:space="0" w:color="000000"/>
            </w:tcBorders>
          </w:tcPr>
          <w:p>
            <w:pPr>
              <w:pStyle w:val="TableParagraph"/>
              <w:spacing w:before="13"/>
              <w:ind w:left="29" w:right="3"/>
              <w:jc w:val="center"/>
              <w:rPr>
                <w:sz w:val="24"/>
              </w:rPr>
            </w:pPr>
            <w:r>
              <w:rPr>
                <w:spacing w:val="-2"/>
                <w:sz w:val="24"/>
              </w:rPr>
              <w:t>13.74</w:t>
            </w:r>
          </w:p>
        </w:tc>
        <w:tc>
          <w:tcPr>
            <w:tcW w:w="1566" w:type="dxa"/>
            <w:tcBorders>
              <w:bottom w:val="thinThickMediumGap" w:sz="6" w:space="0" w:color="000000"/>
            </w:tcBorders>
          </w:tcPr>
          <w:p>
            <w:pPr>
              <w:pStyle w:val="TableParagraph"/>
              <w:spacing w:before="13"/>
              <w:ind w:left="2" w:right="54"/>
              <w:jc w:val="center"/>
              <w:rPr>
                <w:sz w:val="24"/>
              </w:rPr>
            </w:pPr>
            <w:r>
              <w:rPr>
                <w:spacing w:val="-4"/>
                <w:sz w:val="24"/>
              </w:rPr>
              <w:t>0.23</w:t>
            </w:r>
          </w:p>
        </w:tc>
        <w:tc>
          <w:tcPr>
            <w:tcW w:w="1647" w:type="dxa"/>
            <w:tcBorders>
              <w:bottom w:val="thinThickMediumGap" w:sz="6" w:space="0" w:color="000000"/>
            </w:tcBorders>
          </w:tcPr>
          <w:p>
            <w:pPr>
              <w:pStyle w:val="TableParagraph"/>
              <w:spacing w:before="13"/>
              <w:ind w:left="3" w:right="118"/>
              <w:jc w:val="center"/>
              <w:rPr>
                <w:sz w:val="24"/>
              </w:rPr>
            </w:pPr>
            <w:r>
              <w:rPr>
                <w:spacing w:val="-4"/>
                <w:sz w:val="24"/>
              </w:rPr>
              <w:t>2.69</w:t>
            </w:r>
          </w:p>
        </w:tc>
        <w:tc>
          <w:tcPr>
            <w:tcW w:w="1954" w:type="dxa"/>
            <w:tcBorders>
              <w:bottom w:val="thinThickMediumGap" w:sz="6" w:space="0" w:color="000000"/>
            </w:tcBorders>
          </w:tcPr>
          <w:p>
            <w:pPr>
              <w:pStyle w:val="TableParagraph"/>
              <w:spacing w:before="13"/>
              <w:ind w:right="120"/>
              <w:jc w:val="center"/>
              <w:rPr>
                <w:sz w:val="24"/>
              </w:rPr>
            </w:pPr>
            <w:r>
              <w:rPr>
                <w:spacing w:val="-2"/>
                <w:sz w:val="24"/>
              </w:rPr>
              <w:t>0.8916</w:t>
            </w:r>
          </w:p>
        </w:tc>
      </w:tr>
    </w:tbl>
    <w:p>
      <w:pPr>
        <w:pStyle w:val="BodyText"/>
        <w:ind w:left="240"/>
      </w:pPr>
      <w:r>
        <w:rPr>
          <w:b/>
        </w:rPr>
        <w:t>Source:</w:t>
      </w:r>
      <w:r>
        <w:rPr>
          <w:b/>
          <w:spacing w:val="-5"/>
        </w:rPr>
        <w:t> </w:t>
      </w:r>
      <w:r>
        <w:rPr/>
        <w:t>Researcher‘s</w:t>
      </w:r>
      <w:r>
        <w:rPr>
          <w:spacing w:val="2"/>
        </w:rPr>
        <w:t> </w:t>
      </w:r>
      <w:r>
        <w:rPr/>
        <w:t>computation</w:t>
      </w:r>
      <w:r>
        <w:rPr>
          <w:spacing w:val="-1"/>
        </w:rPr>
        <w:t> </w:t>
      </w:r>
      <w:r>
        <w:rPr/>
        <w:t>and</w:t>
      </w:r>
      <w:r>
        <w:rPr>
          <w:spacing w:val="-2"/>
        </w:rPr>
        <w:t> </w:t>
      </w:r>
      <w:r>
        <w:rPr/>
        <w:t>extract</w:t>
      </w:r>
      <w:r>
        <w:rPr>
          <w:spacing w:val="1"/>
        </w:rPr>
        <w:t> </w:t>
      </w:r>
      <w:r>
        <w:rPr/>
        <w:t>from</w:t>
      </w:r>
      <w:r>
        <w:rPr>
          <w:spacing w:val="-1"/>
        </w:rPr>
        <w:t> </w:t>
      </w:r>
      <w:r>
        <w:rPr/>
        <w:t>E-views</w:t>
      </w:r>
      <w:r>
        <w:rPr>
          <w:spacing w:val="-2"/>
        </w:rPr>
        <w:t> </w:t>
      </w:r>
      <w:r>
        <w:rPr/>
        <w:t>7</w:t>
      </w:r>
      <w:r>
        <w:rPr>
          <w:spacing w:val="-1"/>
        </w:rPr>
        <w:t> </w:t>
      </w:r>
      <w:r>
        <w:rPr/>
        <w:t>econometric</w:t>
      </w:r>
      <w:r>
        <w:rPr>
          <w:spacing w:val="-3"/>
        </w:rPr>
        <w:t> </w:t>
      </w:r>
      <w:r>
        <w:rPr/>
        <w:t>software</w:t>
      </w:r>
      <w:r>
        <w:rPr>
          <w:spacing w:val="-1"/>
        </w:rPr>
        <w:t> </w:t>
      </w:r>
      <w:r>
        <w:rPr>
          <w:spacing w:val="-2"/>
        </w:rPr>
        <w:t>(2017)</w:t>
      </w:r>
    </w:p>
    <w:p>
      <w:pPr>
        <w:pStyle w:val="BodyText"/>
        <w:spacing w:line="360" w:lineRule="auto" w:before="238"/>
        <w:ind w:left="240" w:right="835"/>
        <w:jc w:val="both"/>
      </w:pPr>
      <w:r>
        <w:rPr/>
        <w:t>From Table 5.18, it can be observed that the average percentage budget allocation for roads/bridges and works sector remains the highest with 33.22%, followed by housing with a paltry 8.50% allocation. This is followed closely by education with 8.00%, with agriculture coming least with 2.94%. Again, it can be deduced from this percentage analysis, that the works sector is the most prioritized sector of Anambra State, considering the wide margin in average percentage budget allocation when compared to housing. In view of this result, this research suggests that provision of housing facilities in Anambra State can be improved if the state government will review its percentage allocation to the housing sector.</w:t>
      </w:r>
    </w:p>
    <w:p>
      <w:pPr>
        <w:spacing w:after="0" w:line="360" w:lineRule="auto"/>
        <w:jc w:val="both"/>
        <w:sectPr>
          <w:pgSz w:w="12240" w:h="15840"/>
          <w:pgMar w:header="0" w:footer="1036" w:top="1360" w:bottom="1220" w:left="1200" w:right="600"/>
        </w:sectPr>
      </w:pPr>
    </w:p>
    <w:p>
      <w:pPr>
        <w:pStyle w:val="BodyText"/>
        <w:spacing w:line="360" w:lineRule="auto" w:before="74"/>
        <w:ind w:left="240" w:right="833"/>
        <w:jc w:val="both"/>
      </w:pPr>
      <w:r>
        <w:rPr/>
        <w:t>Furthermore, the summary of the descriptive statistics, as depicted by Table 5.18 shows that the housing budgetary allocation stood at average value of 8.5% with a standard deviation of 8.81% which indicates a wide spread in the sector‘s allocation within the period. The skewness and kurtosis statistics indicates that allocation to this sector is skewed to the right with excess</w:t>
      </w:r>
      <w:r>
        <w:rPr>
          <w:spacing w:val="40"/>
        </w:rPr>
        <w:t> </w:t>
      </w:r>
      <w:r>
        <w:rPr/>
        <w:t>kurtosis while the prob (Jarque-Bera) statistic which is a goodness of fit test shows that the budget allocation to the housing sector does not follow a smooth distribution and hence cannot</w:t>
      </w:r>
      <w:r>
        <w:rPr>
          <w:spacing w:val="40"/>
        </w:rPr>
        <w:t> </w:t>
      </w:r>
      <w:r>
        <w:rPr/>
        <w:t>be predicted.</w:t>
      </w:r>
    </w:p>
    <w:p>
      <w:pPr>
        <w:pStyle w:val="BodyText"/>
        <w:spacing w:line="360" w:lineRule="auto" w:before="201"/>
        <w:ind w:left="240" w:right="836"/>
        <w:jc w:val="both"/>
      </w:pPr>
      <w:r>
        <w:rPr/>
        <w:t>The budgetary allocation to education sector stood at average value of 8.00% with associated standard deviation of 4.94%. The skewness and kurtosis values are 1.91 and 5.95 respectively which indicates that budgetary allocation to education sector in Anambra State is positively skewed with excess kurtosis of 2.95. The distribution of the sector‘s allocation within the period is not smooth with Prob(Jarque-Bera) statistic less than 0.05.</w:t>
      </w:r>
    </w:p>
    <w:p>
      <w:pPr>
        <w:pStyle w:val="BodyText"/>
        <w:spacing w:line="360" w:lineRule="auto" w:before="199"/>
        <w:ind w:left="240" w:right="838"/>
        <w:jc w:val="both"/>
      </w:pPr>
      <w:r>
        <w:rPr/>
        <mc:AlternateContent>
          <mc:Choice Requires="wps">
            <w:drawing>
              <wp:anchor distT="0" distB="0" distL="0" distR="0" allowOverlap="1" layoutInCell="1" locked="0" behindDoc="0" simplePos="0" relativeHeight="15769088">
                <wp:simplePos x="0" y="0"/>
                <wp:positionH relativeFrom="page">
                  <wp:posOffset>908050</wp:posOffset>
                </wp:positionH>
                <wp:positionV relativeFrom="paragraph">
                  <wp:posOffset>1740421</wp:posOffset>
                </wp:positionV>
                <wp:extent cx="5613400" cy="2708275"/>
                <wp:effectExtent l="0" t="0" r="0" b="0"/>
                <wp:wrapNone/>
                <wp:docPr id="842" name="Group 842"/>
                <wp:cNvGraphicFramePr>
                  <a:graphicFrameLocks/>
                </wp:cNvGraphicFramePr>
                <a:graphic>
                  <a:graphicData uri="http://schemas.microsoft.com/office/word/2010/wordprocessingGroup">
                    <wpg:wgp>
                      <wpg:cNvPr id="842" name="Group 842"/>
                      <wpg:cNvGrpSpPr/>
                      <wpg:grpSpPr>
                        <a:xfrm>
                          <a:off x="0" y="0"/>
                          <a:ext cx="5613400" cy="2708275"/>
                          <a:chExt cx="5613400" cy="2708275"/>
                        </a:xfrm>
                      </wpg:grpSpPr>
                      <pic:pic>
                        <pic:nvPicPr>
                          <pic:cNvPr id="843" name="Image 843"/>
                          <pic:cNvPicPr/>
                        </pic:nvPicPr>
                        <pic:blipFill>
                          <a:blip r:embed="rId193" cstate="print"/>
                          <a:stretch>
                            <a:fillRect/>
                          </a:stretch>
                        </pic:blipFill>
                        <pic:spPr>
                          <a:xfrm>
                            <a:off x="875030" y="180086"/>
                            <a:ext cx="3223260" cy="1719071"/>
                          </a:xfrm>
                          <a:prstGeom prst="rect">
                            <a:avLst/>
                          </a:prstGeom>
                        </pic:spPr>
                      </pic:pic>
                      <wps:wsp>
                        <wps:cNvPr id="844" name="Graphic 844"/>
                        <wps:cNvSpPr/>
                        <wps:spPr>
                          <a:xfrm>
                            <a:off x="839977" y="230377"/>
                            <a:ext cx="40640" cy="1663064"/>
                          </a:xfrm>
                          <a:custGeom>
                            <a:avLst/>
                            <a:gdLst/>
                            <a:ahLst/>
                            <a:cxnLst/>
                            <a:rect l="l" t="t" r="r" b="b"/>
                            <a:pathLst>
                              <a:path w="40640" h="1663064">
                                <a:moveTo>
                                  <a:pt x="40132" y="1662811"/>
                                </a:moveTo>
                                <a:lnTo>
                                  <a:pt x="0" y="1662811"/>
                                </a:lnTo>
                              </a:path>
                              <a:path w="40640" h="1663064">
                                <a:moveTo>
                                  <a:pt x="40132" y="1496568"/>
                                </a:moveTo>
                                <a:lnTo>
                                  <a:pt x="0" y="1496568"/>
                                </a:lnTo>
                              </a:path>
                              <a:path w="40640" h="1663064">
                                <a:moveTo>
                                  <a:pt x="40132" y="1330452"/>
                                </a:moveTo>
                                <a:lnTo>
                                  <a:pt x="0" y="1330452"/>
                                </a:lnTo>
                              </a:path>
                              <a:path w="40640" h="1663064">
                                <a:moveTo>
                                  <a:pt x="40132" y="1164336"/>
                                </a:moveTo>
                                <a:lnTo>
                                  <a:pt x="0" y="1164336"/>
                                </a:lnTo>
                              </a:path>
                              <a:path w="40640" h="1663064">
                                <a:moveTo>
                                  <a:pt x="40132" y="998219"/>
                                </a:moveTo>
                                <a:lnTo>
                                  <a:pt x="0" y="998219"/>
                                </a:lnTo>
                              </a:path>
                              <a:path w="40640" h="1663064">
                                <a:moveTo>
                                  <a:pt x="40132" y="832104"/>
                                </a:moveTo>
                                <a:lnTo>
                                  <a:pt x="0" y="832104"/>
                                </a:lnTo>
                              </a:path>
                              <a:path w="40640" h="1663064">
                                <a:moveTo>
                                  <a:pt x="40132" y="665988"/>
                                </a:moveTo>
                                <a:lnTo>
                                  <a:pt x="0" y="665988"/>
                                </a:lnTo>
                              </a:path>
                              <a:path w="40640" h="1663064">
                                <a:moveTo>
                                  <a:pt x="40132" y="498348"/>
                                </a:moveTo>
                                <a:lnTo>
                                  <a:pt x="0" y="498348"/>
                                </a:lnTo>
                              </a:path>
                              <a:path w="40640" h="1663064">
                                <a:moveTo>
                                  <a:pt x="40132" y="332232"/>
                                </a:moveTo>
                                <a:lnTo>
                                  <a:pt x="0" y="332232"/>
                                </a:lnTo>
                              </a:path>
                              <a:path w="40640" h="1663064">
                                <a:moveTo>
                                  <a:pt x="40132" y="166115"/>
                                </a:moveTo>
                                <a:lnTo>
                                  <a:pt x="0" y="166115"/>
                                </a:lnTo>
                              </a:path>
                              <a:path w="40640" h="1663064">
                                <a:moveTo>
                                  <a:pt x="40132" y="0"/>
                                </a:moveTo>
                                <a:lnTo>
                                  <a:pt x="0" y="0"/>
                                </a:lnTo>
                              </a:path>
                            </a:pathLst>
                          </a:custGeom>
                          <a:ln w="12700">
                            <a:solidFill>
                              <a:srgbClr val="858585"/>
                            </a:solidFill>
                            <a:prstDash val="solid"/>
                          </a:ln>
                        </wps:spPr>
                        <wps:bodyPr wrap="square" lIns="0" tIns="0" rIns="0" bIns="0" rtlCol="0">
                          <a:prstTxWarp prst="textNoShape">
                            <a:avLst/>
                          </a:prstTxWarp>
                          <a:noAutofit/>
                        </wps:bodyPr>
                      </wps:wsp>
                      <wps:wsp>
                        <wps:cNvPr id="845" name="Graphic 845"/>
                        <wps:cNvSpPr/>
                        <wps:spPr>
                          <a:xfrm>
                            <a:off x="4376546" y="859887"/>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AACC5"/>
                          </a:solidFill>
                        </wps:spPr>
                        <wps:bodyPr wrap="square" lIns="0" tIns="0" rIns="0" bIns="0" rtlCol="0">
                          <a:prstTxWarp prst="textNoShape">
                            <a:avLst/>
                          </a:prstTxWarp>
                          <a:noAutofit/>
                        </wps:bodyPr>
                      </wps:wsp>
                      <wps:wsp>
                        <wps:cNvPr id="846" name="Graphic 846"/>
                        <wps:cNvSpPr/>
                        <wps:spPr>
                          <a:xfrm>
                            <a:off x="4376546" y="1089632"/>
                            <a:ext cx="69850" cy="69850"/>
                          </a:xfrm>
                          <a:custGeom>
                            <a:avLst/>
                            <a:gdLst/>
                            <a:ahLst/>
                            <a:cxnLst/>
                            <a:rect l="l" t="t" r="r" b="b"/>
                            <a:pathLst>
                              <a:path w="69850" h="69850">
                                <a:moveTo>
                                  <a:pt x="69752" y="0"/>
                                </a:moveTo>
                                <a:lnTo>
                                  <a:pt x="0" y="0"/>
                                </a:lnTo>
                                <a:lnTo>
                                  <a:pt x="0" y="69750"/>
                                </a:lnTo>
                                <a:lnTo>
                                  <a:pt x="69752" y="69750"/>
                                </a:lnTo>
                                <a:lnTo>
                                  <a:pt x="69752" y="0"/>
                                </a:lnTo>
                                <a:close/>
                              </a:path>
                            </a:pathLst>
                          </a:custGeom>
                          <a:solidFill>
                            <a:srgbClr val="8063A1"/>
                          </a:solidFill>
                        </wps:spPr>
                        <wps:bodyPr wrap="square" lIns="0" tIns="0" rIns="0" bIns="0" rtlCol="0">
                          <a:prstTxWarp prst="textNoShape">
                            <a:avLst/>
                          </a:prstTxWarp>
                          <a:noAutofit/>
                        </wps:bodyPr>
                      </wps:wsp>
                      <wps:wsp>
                        <wps:cNvPr id="847" name="Graphic 847"/>
                        <wps:cNvSpPr/>
                        <wps:spPr>
                          <a:xfrm>
                            <a:off x="4376546" y="1319246"/>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9BBA58"/>
                          </a:solidFill>
                        </wps:spPr>
                        <wps:bodyPr wrap="square" lIns="0" tIns="0" rIns="0" bIns="0" rtlCol="0">
                          <a:prstTxWarp prst="textNoShape">
                            <a:avLst/>
                          </a:prstTxWarp>
                          <a:noAutofit/>
                        </wps:bodyPr>
                      </wps:wsp>
                      <wps:wsp>
                        <wps:cNvPr id="848" name="Graphic 848"/>
                        <wps:cNvSpPr/>
                        <wps:spPr>
                          <a:xfrm>
                            <a:off x="4376546" y="1548864"/>
                            <a:ext cx="69850" cy="69850"/>
                          </a:xfrm>
                          <a:custGeom>
                            <a:avLst/>
                            <a:gdLst/>
                            <a:ahLst/>
                            <a:cxnLst/>
                            <a:rect l="l" t="t" r="r" b="b"/>
                            <a:pathLst>
                              <a:path w="69850" h="69850">
                                <a:moveTo>
                                  <a:pt x="69752" y="0"/>
                                </a:moveTo>
                                <a:lnTo>
                                  <a:pt x="0" y="0"/>
                                </a:lnTo>
                                <a:lnTo>
                                  <a:pt x="0" y="69750"/>
                                </a:lnTo>
                                <a:lnTo>
                                  <a:pt x="69752" y="69750"/>
                                </a:lnTo>
                                <a:lnTo>
                                  <a:pt x="69752" y="0"/>
                                </a:lnTo>
                                <a:close/>
                              </a:path>
                            </a:pathLst>
                          </a:custGeom>
                          <a:solidFill>
                            <a:srgbClr val="C0504D"/>
                          </a:solidFill>
                        </wps:spPr>
                        <wps:bodyPr wrap="square" lIns="0" tIns="0" rIns="0" bIns="0" rtlCol="0">
                          <a:prstTxWarp prst="textNoShape">
                            <a:avLst/>
                          </a:prstTxWarp>
                          <a:noAutofit/>
                        </wps:bodyPr>
                      </wps:wsp>
                      <wps:wsp>
                        <wps:cNvPr id="849" name="Graphic 849"/>
                        <wps:cNvSpPr/>
                        <wps:spPr>
                          <a:xfrm>
                            <a:off x="4376546" y="1778605"/>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F81BC"/>
                          </a:solidFill>
                        </wps:spPr>
                        <wps:bodyPr wrap="square" lIns="0" tIns="0" rIns="0" bIns="0" rtlCol="0">
                          <a:prstTxWarp prst="textNoShape">
                            <a:avLst/>
                          </a:prstTxWarp>
                          <a:noAutofit/>
                        </wps:bodyPr>
                      </wps:wsp>
                      <wps:wsp>
                        <wps:cNvPr id="850" name="Graphic 850"/>
                        <wps:cNvSpPr/>
                        <wps:spPr>
                          <a:xfrm>
                            <a:off x="6350" y="6350"/>
                            <a:ext cx="5600700" cy="2695575"/>
                          </a:xfrm>
                          <a:custGeom>
                            <a:avLst/>
                            <a:gdLst/>
                            <a:ahLst/>
                            <a:cxnLst/>
                            <a:rect l="l" t="t" r="r" b="b"/>
                            <a:pathLst>
                              <a:path w="5600700" h="2695575">
                                <a:moveTo>
                                  <a:pt x="0" y="2695575"/>
                                </a:moveTo>
                                <a:lnTo>
                                  <a:pt x="5600700" y="2695575"/>
                                </a:lnTo>
                                <a:lnTo>
                                  <a:pt x="5600700" y="0"/>
                                </a:lnTo>
                                <a:lnTo>
                                  <a:pt x="0" y="0"/>
                                </a:lnTo>
                                <a:lnTo>
                                  <a:pt x="0" y="2695575"/>
                                </a:lnTo>
                                <a:close/>
                              </a:path>
                            </a:pathLst>
                          </a:custGeom>
                          <a:ln w="12700">
                            <a:solidFill>
                              <a:srgbClr val="858585"/>
                            </a:solidFill>
                            <a:prstDash val="solid"/>
                          </a:ln>
                        </wps:spPr>
                        <wps:bodyPr wrap="square" lIns="0" tIns="0" rIns="0" bIns="0" rtlCol="0">
                          <a:prstTxWarp prst="textNoShape">
                            <a:avLst/>
                          </a:prstTxWarp>
                          <a:noAutofit/>
                        </wps:bodyPr>
                      </wps:wsp>
                      <wps:wsp>
                        <wps:cNvPr id="851" name="Textbox 851"/>
                        <wps:cNvSpPr txBox="1"/>
                        <wps:spPr>
                          <a:xfrm>
                            <a:off x="479044" y="179578"/>
                            <a:ext cx="295910" cy="1789430"/>
                          </a:xfrm>
                          <a:prstGeom prst="rect">
                            <a:avLst/>
                          </a:prstGeom>
                        </wps:spPr>
                        <wps:txbx>
                          <w:txbxContent>
                            <w:p>
                              <w:pPr>
                                <w:spacing w:line="203" w:lineRule="exact" w:before="0"/>
                                <w:ind w:left="0" w:right="18" w:firstLine="0"/>
                                <w:jc w:val="right"/>
                                <w:rPr>
                                  <w:rFonts w:ascii="Calibri"/>
                                  <w:sz w:val="20"/>
                                </w:rPr>
                              </w:pPr>
                              <w:r>
                                <w:rPr>
                                  <w:rFonts w:ascii="Calibri"/>
                                  <w:spacing w:val="-4"/>
                                  <w:sz w:val="20"/>
                                </w:rPr>
                                <w:t>100%</w:t>
                              </w:r>
                            </w:p>
                            <w:p>
                              <w:pPr>
                                <w:spacing w:before="17"/>
                                <w:ind w:left="0" w:right="18" w:firstLine="0"/>
                                <w:jc w:val="right"/>
                                <w:rPr>
                                  <w:rFonts w:ascii="Calibri"/>
                                  <w:sz w:val="20"/>
                                </w:rPr>
                              </w:pPr>
                              <w:r>
                                <w:rPr>
                                  <w:rFonts w:ascii="Calibri"/>
                                  <w:spacing w:val="-5"/>
                                  <w:sz w:val="20"/>
                                </w:rPr>
                                <w:t>90%</w:t>
                              </w:r>
                            </w:p>
                            <w:p>
                              <w:pPr>
                                <w:spacing w:before="18"/>
                                <w:ind w:left="0" w:right="18" w:firstLine="0"/>
                                <w:jc w:val="right"/>
                                <w:rPr>
                                  <w:rFonts w:ascii="Calibri"/>
                                  <w:sz w:val="20"/>
                                </w:rPr>
                              </w:pPr>
                              <w:r>
                                <w:rPr>
                                  <w:rFonts w:ascii="Calibri"/>
                                  <w:spacing w:val="-5"/>
                                  <w:sz w:val="20"/>
                                </w:rPr>
                                <w:t>80%</w:t>
                              </w:r>
                            </w:p>
                            <w:p>
                              <w:pPr>
                                <w:spacing w:before="18"/>
                                <w:ind w:left="0" w:right="18" w:firstLine="0"/>
                                <w:jc w:val="right"/>
                                <w:rPr>
                                  <w:rFonts w:ascii="Calibri"/>
                                  <w:sz w:val="20"/>
                                </w:rPr>
                              </w:pPr>
                              <w:r>
                                <w:rPr>
                                  <w:rFonts w:ascii="Calibri"/>
                                  <w:spacing w:val="-5"/>
                                  <w:sz w:val="20"/>
                                </w:rPr>
                                <w:t>70%</w:t>
                              </w:r>
                            </w:p>
                            <w:p>
                              <w:pPr>
                                <w:spacing w:before="18"/>
                                <w:ind w:left="0" w:right="18" w:firstLine="0"/>
                                <w:jc w:val="right"/>
                                <w:rPr>
                                  <w:rFonts w:ascii="Calibri"/>
                                  <w:sz w:val="20"/>
                                </w:rPr>
                              </w:pPr>
                              <w:r>
                                <w:rPr>
                                  <w:rFonts w:ascii="Calibri"/>
                                  <w:spacing w:val="-5"/>
                                  <w:sz w:val="20"/>
                                </w:rPr>
                                <w:t>60%</w:t>
                              </w:r>
                            </w:p>
                            <w:p>
                              <w:pPr>
                                <w:spacing w:before="17"/>
                                <w:ind w:left="0" w:right="18" w:firstLine="0"/>
                                <w:jc w:val="right"/>
                                <w:rPr>
                                  <w:rFonts w:ascii="Calibri"/>
                                  <w:sz w:val="20"/>
                                </w:rPr>
                              </w:pPr>
                              <w:r>
                                <w:rPr>
                                  <w:rFonts w:ascii="Calibri"/>
                                  <w:spacing w:val="-5"/>
                                  <w:sz w:val="20"/>
                                </w:rPr>
                                <w:t>50%</w:t>
                              </w:r>
                            </w:p>
                            <w:p>
                              <w:pPr>
                                <w:spacing w:before="18"/>
                                <w:ind w:left="0" w:right="18" w:firstLine="0"/>
                                <w:jc w:val="right"/>
                                <w:rPr>
                                  <w:rFonts w:ascii="Calibri"/>
                                  <w:sz w:val="20"/>
                                </w:rPr>
                              </w:pPr>
                              <w:r>
                                <w:rPr>
                                  <w:rFonts w:ascii="Calibri"/>
                                  <w:spacing w:val="-5"/>
                                  <w:sz w:val="20"/>
                                </w:rPr>
                                <w:t>40%</w:t>
                              </w:r>
                            </w:p>
                            <w:p>
                              <w:pPr>
                                <w:spacing w:before="18"/>
                                <w:ind w:left="0" w:right="18" w:firstLine="0"/>
                                <w:jc w:val="right"/>
                                <w:rPr>
                                  <w:rFonts w:ascii="Calibri"/>
                                  <w:sz w:val="20"/>
                                </w:rPr>
                              </w:pPr>
                              <w:r>
                                <w:rPr>
                                  <w:rFonts w:ascii="Calibri"/>
                                  <w:spacing w:val="-5"/>
                                  <w:sz w:val="20"/>
                                </w:rPr>
                                <w:t>30%</w:t>
                              </w:r>
                            </w:p>
                            <w:p>
                              <w:pPr>
                                <w:spacing w:before="17"/>
                                <w:ind w:left="0" w:right="18" w:firstLine="0"/>
                                <w:jc w:val="right"/>
                                <w:rPr>
                                  <w:rFonts w:ascii="Calibri"/>
                                  <w:sz w:val="20"/>
                                </w:rPr>
                              </w:pPr>
                              <w:r>
                                <w:rPr>
                                  <w:rFonts w:ascii="Calibri"/>
                                  <w:spacing w:val="-5"/>
                                  <w:sz w:val="20"/>
                                </w:rPr>
                                <w:t>20%</w:t>
                              </w:r>
                            </w:p>
                            <w:p>
                              <w:pPr>
                                <w:spacing w:before="18"/>
                                <w:ind w:left="0" w:right="18" w:firstLine="0"/>
                                <w:jc w:val="right"/>
                                <w:rPr>
                                  <w:rFonts w:ascii="Calibri"/>
                                  <w:sz w:val="20"/>
                                </w:rPr>
                              </w:pPr>
                              <w:r>
                                <w:rPr>
                                  <w:rFonts w:ascii="Calibri"/>
                                  <w:spacing w:val="-5"/>
                                  <w:sz w:val="20"/>
                                </w:rPr>
                                <w:t>10%</w:t>
                              </w:r>
                            </w:p>
                            <w:p>
                              <w:pPr>
                                <w:spacing w:line="240" w:lineRule="exact" w:before="18"/>
                                <w:ind w:left="0" w:right="18" w:firstLine="0"/>
                                <w:jc w:val="right"/>
                                <w:rPr>
                                  <w:rFonts w:ascii="Calibri"/>
                                  <w:sz w:val="20"/>
                                </w:rPr>
                              </w:pPr>
                              <w:r>
                                <w:rPr>
                                  <w:rFonts w:ascii="Calibri"/>
                                  <w:spacing w:val="-5"/>
                                  <w:sz w:val="20"/>
                                </w:rPr>
                                <w:t>0%</w:t>
                              </w:r>
                            </w:p>
                          </w:txbxContent>
                        </wps:txbx>
                        <wps:bodyPr wrap="square" lIns="0" tIns="0" rIns="0" bIns="0" rtlCol="0">
                          <a:noAutofit/>
                        </wps:bodyPr>
                      </wps:wsp>
                      <wps:wsp>
                        <wps:cNvPr id="852" name="Textbox 852"/>
                        <wps:cNvSpPr txBox="1"/>
                        <wps:spPr>
                          <a:xfrm>
                            <a:off x="4477511" y="836802"/>
                            <a:ext cx="1011555" cy="1045210"/>
                          </a:xfrm>
                          <a:prstGeom prst="rect">
                            <a:avLst/>
                          </a:prstGeom>
                        </wps:spPr>
                        <wps:txbx>
                          <w:txbxContent>
                            <w:p>
                              <w:pPr>
                                <w:spacing w:line="203" w:lineRule="exact" w:before="0"/>
                                <w:ind w:left="0" w:right="0" w:firstLine="0"/>
                                <w:jc w:val="left"/>
                                <w:rPr>
                                  <w:rFonts w:ascii="Calibri"/>
                                  <w:sz w:val="20"/>
                                </w:rPr>
                              </w:pPr>
                              <w:r>
                                <w:rPr>
                                  <w:rFonts w:ascii="Calibri"/>
                                  <w:sz w:val="20"/>
                                </w:rPr>
                                <w:t>Works</w:t>
                              </w:r>
                              <w:r>
                                <w:rPr>
                                  <w:rFonts w:ascii="Calibri"/>
                                  <w:spacing w:val="-10"/>
                                  <w:sz w:val="20"/>
                                </w:rPr>
                                <w:t> </w:t>
                              </w:r>
                              <w:r>
                                <w:rPr>
                                  <w:rFonts w:ascii="Calibri"/>
                                  <w:spacing w:val="-2"/>
                                  <w:sz w:val="20"/>
                                </w:rPr>
                                <w:t>percent</w:t>
                              </w:r>
                            </w:p>
                            <w:p>
                              <w:pPr>
                                <w:spacing w:line="362" w:lineRule="exact" w:before="0"/>
                                <w:ind w:left="0" w:right="0" w:firstLine="0"/>
                                <w:jc w:val="left"/>
                                <w:rPr>
                                  <w:rFonts w:ascii="Calibri"/>
                                  <w:sz w:val="20"/>
                                </w:rPr>
                              </w:pPr>
                              <w:r>
                                <w:rPr>
                                  <w:rFonts w:ascii="Calibri"/>
                                  <w:spacing w:val="-2"/>
                                  <w:sz w:val="20"/>
                                </w:rPr>
                                <w:t>Agriculture</w:t>
                              </w:r>
                              <w:r>
                                <w:rPr>
                                  <w:rFonts w:ascii="Calibri"/>
                                  <w:spacing w:val="-8"/>
                                  <w:sz w:val="20"/>
                                </w:rPr>
                                <w:t> </w:t>
                              </w:r>
                              <w:r>
                                <w:rPr>
                                  <w:rFonts w:ascii="Calibri"/>
                                  <w:spacing w:val="-2"/>
                                  <w:sz w:val="20"/>
                                </w:rPr>
                                <w:t>percent </w:t>
                              </w:r>
                              <w:r>
                                <w:rPr>
                                  <w:rFonts w:ascii="Calibri"/>
                                  <w:sz w:val="20"/>
                                </w:rPr>
                                <w:t>Health percent Education</w:t>
                              </w:r>
                              <w:r>
                                <w:rPr>
                                  <w:rFonts w:ascii="Calibri"/>
                                  <w:spacing w:val="-3"/>
                                  <w:sz w:val="20"/>
                                </w:rPr>
                                <w:t> </w:t>
                              </w:r>
                              <w:r>
                                <w:rPr>
                                  <w:rFonts w:ascii="Calibri"/>
                                  <w:sz w:val="20"/>
                                </w:rPr>
                                <w:t>percetn Housing</w:t>
                              </w:r>
                              <w:r>
                                <w:rPr>
                                  <w:rFonts w:ascii="Calibri"/>
                                  <w:spacing w:val="-1"/>
                                  <w:sz w:val="20"/>
                                </w:rPr>
                                <w:t> </w:t>
                              </w:r>
                              <w:r>
                                <w:rPr>
                                  <w:rFonts w:ascii="Calibri"/>
                                  <w:sz w:val="20"/>
                                </w:rPr>
                                <w:t>percent</w:t>
                              </w:r>
                            </w:p>
                          </w:txbxContent>
                        </wps:txbx>
                        <wps:bodyPr wrap="square" lIns="0" tIns="0" rIns="0" bIns="0" rtlCol="0">
                          <a:noAutofit/>
                        </wps:bodyPr>
                      </wps:wsp>
                      <wps:wsp>
                        <wps:cNvPr id="853" name="Textbox 853"/>
                        <wps:cNvSpPr txBox="1"/>
                        <wps:spPr>
                          <a:xfrm>
                            <a:off x="2313051" y="2394966"/>
                            <a:ext cx="300990"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Years</w:t>
                              </w:r>
                            </w:p>
                          </w:txbxContent>
                        </wps:txbx>
                        <wps:bodyPr wrap="square" lIns="0" tIns="0" rIns="0" bIns="0" rtlCol="0">
                          <a:noAutofit/>
                        </wps:bodyPr>
                      </wps:wsp>
                    </wpg:wgp>
                  </a:graphicData>
                </a:graphic>
              </wp:anchor>
            </w:drawing>
          </mc:Choice>
          <mc:Fallback>
            <w:pict>
              <v:group style="position:absolute;margin-left:71.5pt;margin-top:137.041092pt;width:442pt;height:213.25pt;mso-position-horizontal-relative:page;mso-position-vertical-relative:paragraph;z-index:15769088" id="docshapegroup794" coordorigin="1430,2741" coordsize="8840,4265">
                <v:shape style="position:absolute;left:2808;top:3024;width:5076;height:2708" type="#_x0000_t75" id="docshape795" stroked="false">
                  <v:imagedata r:id="rId193" o:title=""/>
                </v:shape>
                <v:shape style="position:absolute;left:2752;top:3103;width:64;height:2619" id="docshape796" coordorigin="2753,3104" coordsize="64,2619" path="m2816,5722l2753,5722m2816,5460l2753,5460m2816,5199l2753,5199m2816,4937l2753,4937m2816,4676l2753,4676m2816,4414l2753,4414m2816,4152l2753,4152m2816,3888l2753,3888m2816,3627l2753,3627m2816,3365l2753,3365m2816,3104l2753,3104e" filled="false" stroked="true" strokeweight="1pt" strokecolor="#858585">
                  <v:path arrowok="t"/>
                  <v:stroke dashstyle="solid"/>
                </v:shape>
                <v:rect style="position:absolute;left:8322;top:4094;width:110;height:110" id="docshape797" filled="true" fillcolor="#4aacc5" stroked="false">
                  <v:fill type="solid"/>
                </v:rect>
                <v:rect style="position:absolute;left:8322;top:4456;width:110;height:110" id="docshape798" filled="true" fillcolor="#8063a1" stroked="false">
                  <v:fill type="solid"/>
                </v:rect>
                <v:rect style="position:absolute;left:8322;top:4818;width:110;height:110" id="docshape799" filled="true" fillcolor="#9bba58" stroked="false">
                  <v:fill type="solid"/>
                </v:rect>
                <v:rect style="position:absolute;left:8322;top:5179;width:110;height:110" id="docshape800" filled="true" fillcolor="#c0504d" stroked="false">
                  <v:fill type="solid"/>
                </v:rect>
                <v:rect style="position:absolute;left:8322;top:5541;width:110;height:110" id="docshape801" filled="true" fillcolor="#4f81bc" stroked="false">
                  <v:fill type="solid"/>
                </v:rect>
                <v:rect style="position:absolute;left:1440;top:2750;width:8820;height:4245" id="docshape802" filled="false" stroked="true" strokeweight="1pt" strokecolor="#858585">
                  <v:stroke dashstyle="solid"/>
                </v:rect>
                <v:shape style="position:absolute;left:2184;top:3023;width:466;height:2818" type="#_x0000_t202" id="docshape803" filled="false" stroked="false">
                  <v:textbox inset="0,0,0,0">
                    <w:txbxContent>
                      <w:p>
                        <w:pPr>
                          <w:spacing w:line="203" w:lineRule="exact" w:before="0"/>
                          <w:ind w:left="0" w:right="18" w:firstLine="0"/>
                          <w:jc w:val="right"/>
                          <w:rPr>
                            <w:rFonts w:ascii="Calibri"/>
                            <w:sz w:val="20"/>
                          </w:rPr>
                        </w:pPr>
                        <w:r>
                          <w:rPr>
                            <w:rFonts w:ascii="Calibri"/>
                            <w:spacing w:val="-4"/>
                            <w:sz w:val="20"/>
                          </w:rPr>
                          <w:t>100%</w:t>
                        </w:r>
                      </w:p>
                      <w:p>
                        <w:pPr>
                          <w:spacing w:before="17"/>
                          <w:ind w:left="0" w:right="18" w:firstLine="0"/>
                          <w:jc w:val="right"/>
                          <w:rPr>
                            <w:rFonts w:ascii="Calibri"/>
                            <w:sz w:val="20"/>
                          </w:rPr>
                        </w:pPr>
                        <w:r>
                          <w:rPr>
                            <w:rFonts w:ascii="Calibri"/>
                            <w:spacing w:val="-5"/>
                            <w:sz w:val="20"/>
                          </w:rPr>
                          <w:t>90%</w:t>
                        </w:r>
                      </w:p>
                      <w:p>
                        <w:pPr>
                          <w:spacing w:before="18"/>
                          <w:ind w:left="0" w:right="18" w:firstLine="0"/>
                          <w:jc w:val="right"/>
                          <w:rPr>
                            <w:rFonts w:ascii="Calibri"/>
                            <w:sz w:val="20"/>
                          </w:rPr>
                        </w:pPr>
                        <w:r>
                          <w:rPr>
                            <w:rFonts w:ascii="Calibri"/>
                            <w:spacing w:val="-5"/>
                            <w:sz w:val="20"/>
                          </w:rPr>
                          <w:t>80%</w:t>
                        </w:r>
                      </w:p>
                      <w:p>
                        <w:pPr>
                          <w:spacing w:before="18"/>
                          <w:ind w:left="0" w:right="18" w:firstLine="0"/>
                          <w:jc w:val="right"/>
                          <w:rPr>
                            <w:rFonts w:ascii="Calibri"/>
                            <w:sz w:val="20"/>
                          </w:rPr>
                        </w:pPr>
                        <w:r>
                          <w:rPr>
                            <w:rFonts w:ascii="Calibri"/>
                            <w:spacing w:val="-5"/>
                            <w:sz w:val="20"/>
                          </w:rPr>
                          <w:t>70%</w:t>
                        </w:r>
                      </w:p>
                      <w:p>
                        <w:pPr>
                          <w:spacing w:before="18"/>
                          <w:ind w:left="0" w:right="18" w:firstLine="0"/>
                          <w:jc w:val="right"/>
                          <w:rPr>
                            <w:rFonts w:ascii="Calibri"/>
                            <w:sz w:val="20"/>
                          </w:rPr>
                        </w:pPr>
                        <w:r>
                          <w:rPr>
                            <w:rFonts w:ascii="Calibri"/>
                            <w:spacing w:val="-5"/>
                            <w:sz w:val="20"/>
                          </w:rPr>
                          <w:t>60%</w:t>
                        </w:r>
                      </w:p>
                      <w:p>
                        <w:pPr>
                          <w:spacing w:before="17"/>
                          <w:ind w:left="0" w:right="18" w:firstLine="0"/>
                          <w:jc w:val="right"/>
                          <w:rPr>
                            <w:rFonts w:ascii="Calibri"/>
                            <w:sz w:val="20"/>
                          </w:rPr>
                        </w:pPr>
                        <w:r>
                          <w:rPr>
                            <w:rFonts w:ascii="Calibri"/>
                            <w:spacing w:val="-5"/>
                            <w:sz w:val="20"/>
                          </w:rPr>
                          <w:t>50%</w:t>
                        </w:r>
                      </w:p>
                      <w:p>
                        <w:pPr>
                          <w:spacing w:before="18"/>
                          <w:ind w:left="0" w:right="18" w:firstLine="0"/>
                          <w:jc w:val="right"/>
                          <w:rPr>
                            <w:rFonts w:ascii="Calibri"/>
                            <w:sz w:val="20"/>
                          </w:rPr>
                        </w:pPr>
                        <w:r>
                          <w:rPr>
                            <w:rFonts w:ascii="Calibri"/>
                            <w:spacing w:val="-5"/>
                            <w:sz w:val="20"/>
                          </w:rPr>
                          <w:t>40%</w:t>
                        </w:r>
                      </w:p>
                      <w:p>
                        <w:pPr>
                          <w:spacing w:before="18"/>
                          <w:ind w:left="0" w:right="18" w:firstLine="0"/>
                          <w:jc w:val="right"/>
                          <w:rPr>
                            <w:rFonts w:ascii="Calibri"/>
                            <w:sz w:val="20"/>
                          </w:rPr>
                        </w:pPr>
                        <w:r>
                          <w:rPr>
                            <w:rFonts w:ascii="Calibri"/>
                            <w:spacing w:val="-5"/>
                            <w:sz w:val="20"/>
                          </w:rPr>
                          <w:t>30%</w:t>
                        </w:r>
                      </w:p>
                      <w:p>
                        <w:pPr>
                          <w:spacing w:before="17"/>
                          <w:ind w:left="0" w:right="18" w:firstLine="0"/>
                          <w:jc w:val="right"/>
                          <w:rPr>
                            <w:rFonts w:ascii="Calibri"/>
                            <w:sz w:val="20"/>
                          </w:rPr>
                        </w:pPr>
                        <w:r>
                          <w:rPr>
                            <w:rFonts w:ascii="Calibri"/>
                            <w:spacing w:val="-5"/>
                            <w:sz w:val="20"/>
                          </w:rPr>
                          <w:t>20%</w:t>
                        </w:r>
                      </w:p>
                      <w:p>
                        <w:pPr>
                          <w:spacing w:before="18"/>
                          <w:ind w:left="0" w:right="18" w:firstLine="0"/>
                          <w:jc w:val="right"/>
                          <w:rPr>
                            <w:rFonts w:ascii="Calibri"/>
                            <w:sz w:val="20"/>
                          </w:rPr>
                        </w:pPr>
                        <w:r>
                          <w:rPr>
                            <w:rFonts w:ascii="Calibri"/>
                            <w:spacing w:val="-5"/>
                            <w:sz w:val="20"/>
                          </w:rPr>
                          <w:t>10%</w:t>
                        </w:r>
                      </w:p>
                      <w:p>
                        <w:pPr>
                          <w:spacing w:line="240" w:lineRule="exact" w:before="18"/>
                          <w:ind w:left="0" w:right="18" w:firstLine="0"/>
                          <w:jc w:val="right"/>
                          <w:rPr>
                            <w:rFonts w:ascii="Calibri"/>
                            <w:sz w:val="20"/>
                          </w:rPr>
                        </w:pPr>
                        <w:r>
                          <w:rPr>
                            <w:rFonts w:ascii="Calibri"/>
                            <w:spacing w:val="-5"/>
                            <w:sz w:val="20"/>
                          </w:rPr>
                          <w:t>0%</w:t>
                        </w:r>
                      </w:p>
                    </w:txbxContent>
                  </v:textbox>
                  <w10:wrap type="none"/>
                </v:shape>
                <v:shape style="position:absolute;left:8481;top:4058;width:1593;height:1646" type="#_x0000_t202" id="docshape804" filled="false" stroked="false">
                  <v:textbox inset="0,0,0,0">
                    <w:txbxContent>
                      <w:p>
                        <w:pPr>
                          <w:spacing w:line="203" w:lineRule="exact" w:before="0"/>
                          <w:ind w:left="0" w:right="0" w:firstLine="0"/>
                          <w:jc w:val="left"/>
                          <w:rPr>
                            <w:rFonts w:ascii="Calibri"/>
                            <w:sz w:val="20"/>
                          </w:rPr>
                        </w:pPr>
                        <w:r>
                          <w:rPr>
                            <w:rFonts w:ascii="Calibri"/>
                            <w:sz w:val="20"/>
                          </w:rPr>
                          <w:t>Works</w:t>
                        </w:r>
                        <w:r>
                          <w:rPr>
                            <w:rFonts w:ascii="Calibri"/>
                            <w:spacing w:val="-10"/>
                            <w:sz w:val="20"/>
                          </w:rPr>
                          <w:t> </w:t>
                        </w:r>
                        <w:r>
                          <w:rPr>
                            <w:rFonts w:ascii="Calibri"/>
                            <w:spacing w:val="-2"/>
                            <w:sz w:val="20"/>
                          </w:rPr>
                          <w:t>percent</w:t>
                        </w:r>
                      </w:p>
                      <w:p>
                        <w:pPr>
                          <w:spacing w:line="362" w:lineRule="exact" w:before="0"/>
                          <w:ind w:left="0" w:right="0" w:firstLine="0"/>
                          <w:jc w:val="left"/>
                          <w:rPr>
                            <w:rFonts w:ascii="Calibri"/>
                            <w:sz w:val="20"/>
                          </w:rPr>
                        </w:pPr>
                        <w:r>
                          <w:rPr>
                            <w:rFonts w:ascii="Calibri"/>
                            <w:spacing w:val="-2"/>
                            <w:sz w:val="20"/>
                          </w:rPr>
                          <w:t>Agriculture</w:t>
                        </w:r>
                        <w:r>
                          <w:rPr>
                            <w:rFonts w:ascii="Calibri"/>
                            <w:spacing w:val="-8"/>
                            <w:sz w:val="20"/>
                          </w:rPr>
                          <w:t> </w:t>
                        </w:r>
                        <w:r>
                          <w:rPr>
                            <w:rFonts w:ascii="Calibri"/>
                            <w:spacing w:val="-2"/>
                            <w:sz w:val="20"/>
                          </w:rPr>
                          <w:t>percent </w:t>
                        </w:r>
                        <w:r>
                          <w:rPr>
                            <w:rFonts w:ascii="Calibri"/>
                            <w:sz w:val="20"/>
                          </w:rPr>
                          <w:t>Health percent Education</w:t>
                        </w:r>
                        <w:r>
                          <w:rPr>
                            <w:rFonts w:ascii="Calibri"/>
                            <w:spacing w:val="-3"/>
                            <w:sz w:val="20"/>
                          </w:rPr>
                          <w:t> </w:t>
                        </w:r>
                        <w:r>
                          <w:rPr>
                            <w:rFonts w:ascii="Calibri"/>
                            <w:sz w:val="20"/>
                          </w:rPr>
                          <w:t>percetn Housing</w:t>
                        </w:r>
                        <w:r>
                          <w:rPr>
                            <w:rFonts w:ascii="Calibri"/>
                            <w:spacing w:val="-1"/>
                            <w:sz w:val="20"/>
                          </w:rPr>
                          <w:t> </w:t>
                        </w:r>
                        <w:r>
                          <w:rPr>
                            <w:rFonts w:ascii="Calibri"/>
                            <w:sz w:val="20"/>
                          </w:rPr>
                          <w:t>percent</w:t>
                        </w:r>
                      </w:p>
                    </w:txbxContent>
                  </v:textbox>
                  <w10:wrap type="none"/>
                </v:shape>
                <v:shape style="position:absolute;left:5072;top:6512;width:474;height:200" type="#_x0000_t202" id="docshape805" filled="false" stroked="false">
                  <v:textbox inset="0,0,0,0">
                    <w:txbxContent>
                      <w:p>
                        <w:pPr>
                          <w:spacing w:line="199" w:lineRule="exact" w:before="0"/>
                          <w:ind w:left="0" w:right="0" w:firstLine="0"/>
                          <w:jc w:val="left"/>
                          <w:rPr>
                            <w:rFonts w:ascii="Calibri"/>
                            <w:b/>
                            <w:sz w:val="20"/>
                          </w:rPr>
                        </w:pPr>
                        <w:r>
                          <w:rPr>
                            <w:rFonts w:ascii="Calibri"/>
                            <w:b/>
                            <w:spacing w:val="-2"/>
                            <w:sz w:val="20"/>
                          </w:rPr>
                          <w:t>Years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9600">
                <wp:simplePos x="0" y="0"/>
                <wp:positionH relativeFrom="page">
                  <wp:posOffset>1140891</wp:posOffset>
                </wp:positionH>
                <wp:positionV relativeFrom="paragraph">
                  <wp:posOffset>2214953</wp:posOffset>
                </wp:positionV>
                <wp:extent cx="152400" cy="1177290"/>
                <wp:effectExtent l="0" t="0" r="0" b="0"/>
                <wp:wrapNone/>
                <wp:docPr id="854" name="Textbox 854"/>
                <wp:cNvGraphicFramePr>
                  <a:graphicFrameLocks/>
                </wp:cNvGraphicFramePr>
                <a:graphic>
                  <a:graphicData uri="http://schemas.microsoft.com/office/word/2010/wordprocessingShape">
                    <wps:wsp>
                      <wps:cNvPr id="854" name="Textbox 854"/>
                      <wps:cNvSpPr txBox="1"/>
                      <wps:spPr>
                        <a:xfrm>
                          <a:off x="0" y="0"/>
                          <a:ext cx="152400" cy="1177290"/>
                        </a:xfrm>
                        <a:prstGeom prst="rect">
                          <a:avLst/>
                        </a:prstGeom>
                      </wps:spPr>
                      <wps:txbx>
                        <w:txbxContent>
                          <w:p>
                            <w:pPr>
                              <w:spacing w:line="223" w:lineRule="exact" w:before="0"/>
                              <w:ind w:left="20" w:right="0" w:firstLine="0"/>
                              <w:jc w:val="left"/>
                              <w:rPr>
                                <w:rFonts w:ascii="Calibri"/>
                                <w:b/>
                                <w:sz w:val="20"/>
                              </w:rPr>
                            </w:pPr>
                            <w:r>
                              <w:rPr>
                                <w:rFonts w:ascii="Calibri"/>
                                <w:b/>
                                <w:spacing w:val="-2"/>
                                <w:sz w:val="20"/>
                              </w:rPr>
                              <w:t>Percentage</w:t>
                            </w:r>
                            <w:r>
                              <w:rPr>
                                <w:rFonts w:ascii="Calibri"/>
                                <w:b/>
                                <w:spacing w:val="4"/>
                                <w:sz w:val="20"/>
                              </w:rPr>
                              <w:t> </w:t>
                            </w:r>
                            <w:r>
                              <w:rPr>
                                <w:rFonts w:ascii="Calibri"/>
                                <w:b/>
                                <w:spacing w:val="-2"/>
                                <w:sz w:val="20"/>
                              </w:rPr>
                              <w:t>Allocation</w:t>
                            </w:r>
                          </w:p>
                        </w:txbxContent>
                      </wps:txbx>
                      <wps:bodyPr wrap="square" lIns="0" tIns="0" rIns="0" bIns="0" rtlCol="0" vert="vert270">
                        <a:noAutofit/>
                      </wps:bodyPr>
                    </wps:wsp>
                  </a:graphicData>
                </a:graphic>
              </wp:anchor>
            </w:drawing>
          </mc:Choice>
          <mc:Fallback>
            <w:pict>
              <v:shape style="position:absolute;margin-left:89.834pt;margin-top:174.405762pt;width:12pt;height:92.7pt;mso-position-horizontal-relative:page;mso-position-vertical-relative:paragraph;z-index:15769600" type="#_x0000_t202" id="docshape806"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pacing w:val="-2"/>
                          <w:sz w:val="20"/>
                        </w:rPr>
                        <w:t>Percentage</w:t>
                      </w:r>
                      <w:r>
                        <w:rPr>
                          <w:rFonts w:ascii="Calibri"/>
                          <w:b/>
                          <w:spacing w:val="4"/>
                          <w:sz w:val="20"/>
                        </w:rPr>
                        <w:t> </w:t>
                      </w:r>
                      <w:r>
                        <w:rPr>
                          <w:rFonts w:ascii="Calibri"/>
                          <w:b/>
                          <w:spacing w:val="-2"/>
                          <w:sz w:val="20"/>
                        </w:rPr>
                        <w:t>Allocation</w:t>
                      </w:r>
                    </w:p>
                  </w:txbxContent>
                </v:textbox>
                <w10:wrap type="none"/>
              </v:shape>
            </w:pict>
          </mc:Fallback>
        </mc:AlternateContent>
      </w:r>
      <w:r>
        <w:rPr/>
        <w:t>The budgetary</w:t>
      </w:r>
      <w:r>
        <w:rPr>
          <w:spacing w:val="-1"/>
        </w:rPr>
        <w:t> </w:t>
      </w:r>
      <w:r>
        <w:rPr/>
        <w:t>allocations to Health, Agriculture, and Works, stood at 3.94% 2.94% and 33.22% respectively with associated standard deviations of result of 1.70%, 1.16% and 13.74% respectively. The skewness and kurtosis statistics shows that the sectoral budgetary allocations are all positively skewed with only the Health allocation having excess kurtosis of 0.12 within</w:t>
      </w:r>
      <w:r>
        <w:rPr>
          <w:spacing w:val="40"/>
        </w:rPr>
        <w:t> </w:t>
      </w:r>
      <w:r>
        <w:rPr/>
        <w:t>the study period.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3"/>
      </w:pPr>
    </w:p>
    <w:p>
      <w:pPr>
        <w:pStyle w:val="BodyText"/>
        <w:ind w:left="240" w:right="831"/>
        <w:jc w:val="both"/>
      </w:pPr>
      <w:r>
        <w:rPr/>
        <mc:AlternateContent>
          <mc:Choice Requires="wps">
            <w:drawing>
              <wp:anchor distT="0" distB="0" distL="0" distR="0" allowOverlap="1" layoutInCell="1" locked="0" behindDoc="0" simplePos="0" relativeHeight="15770112">
                <wp:simplePos x="0" y="0"/>
                <wp:positionH relativeFrom="page">
                  <wp:posOffset>1811401</wp:posOffset>
                </wp:positionH>
                <wp:positionV relativeFrom="paragraph">
                  <wp:posOffset>-705487</wp:posOffset>
                </wp:positionV>
                <wp:extent cx="3129915" cy="281940"/>
                <wp:effectExtent l="0" t="0" r="0" b="0"/>
                <wp:wrapNone/>
                <wp:docPr id="855" name="Textbox 855"/>
                <wp:cNvGraphicFramePr>
                  <a:graphicFrameLocks/>
                </wp:cNvGraphicFramePr>
                <a:graphic>
                  <a:graphicData uri="http://schemas.microsoft.com/office/word/2010/wordprocessingShape">
                    <wps:wsp>
                      <wps:cNvPr id="855" name="Textbox 855"/>
                      <wps:cNvSpPr txBox="1"/>
                      <wps:spPr>
                        <a:xfrm>
                          <a:off x="0" y="0"/>
                          <a:ext cx="3129915" cy="281940"/>
                        </a:xfrm>
                        <a:prstGeom prst="rect">
                          <a:avLst/>
                        </a:prstGeom>
                      </wps:spPr>
                      <wps:txbx>
                        <w:txbxContent>
                          <w:p>
                            <w:pPr>
                              <w:spacing w:line="223" w:lineRule="exact" w:before="0"/>
                              <w:ind w:left="20" w:right="0" w:firstLine="0"/>
                              <w:jc w:val="left"/>
                              <w:rPr>
                                <w:rFonts w:ascii="Calibri"/>
                                <w:sz w:val="20"/>
                              </w:rPr>
                            </w:pPr>
                            <w:r>
                              <w:rPr>
                                <w:rFonts w:ascii="Calibri"/>
                                <w:spacing w:val="-4"/>
                                <w:sz w:val="20"/>
                              </w:rPr>
                              <w:t>1999</w:t>
                            </w:r>
                          </w:p>
                          <w:p>
                            <w:pPr>
                              <w:spacing w:before="31"/>
                              <w:ind w:left="20" w:right="0" w:firstLine="0"/>
                              <w:jc w:val="left"/>
                              <w:rPr>
                                <w:rFonts w:ascii="Calibri"/>
                                <w:sz w:val="20"/>
                              </w:rPr>
                            </w:pPr>
                            <w:r>
                              <w:rPr>
                                <w:rFonts w:ascii="Calibri"/>
                                <w:spacing w:val="-4"/>
                                <w:sz w:val="20"/>
                              </w:rPr>
                              <w:t>2000</w:t>
                            </w:r>
                          </w:p>
                          <w:p>
                            <w:pPr>
                              <w:spacing w:before="32"/>
                              <w:ind w:left="20" w:right="0" w:firstLine="0"/>
                              <w:jc w:val="left"/>
                              <w:rPr>
                                <w:rFonts w:ascii="Calibri"/>
                                <w:sz w:val="20"/>
                              </w:rPr>
                            </w:pPr>
                            <w:r>
                              <w:rPr>
                                <w:rFonts w:ascii="Calibri"/>
                                <w:spacing w:val="-4"/>
                                <w:sz w:val="20"/>
                              </w:rPr>
                              <w:t>2001</w:t>
                            </w:r>
                          </w:p>
                          <w:p>
                            <w:pPr>
                              <w:spacing w:before="32"/>
                              <w:ind w:left="20" w:right="0" w:firstLine="0"/>
                              <w:jc w:val="left"/>
                              <w:rPr>
                                <w:rFonts w:ascii="Calibri"/>
                                <w:sz w:val="20"/>
                              </w:rPr>
                            </w:pPr>
                            <w:r>
                              <w:rPr>
                                <w:rFonts w:ascii="Calibri"/>
                                <w:spacing w:val="-4"/>
                                <w:sz w:val="20"/>
                              </w:rPr>
                              <w:t>2002</w:t>
                            </w:r>
                          </w:p>
                          <w:p>
                            <w:pPr>
                              <w:spacing w:before="31"/>
                              <w:ind w:left="20" w:right="0" w:firstLine="0"/>
                              <w:jc w:val="left"/>
                              <w:rPr>
                                <w:rFonts w:ascii="Calibri"/>
                                <w:sz w:val="20"/>
                              </w:rPr>
                            </w:pPr>
                            <w:r>
                              <w:rPr>
                                <w:rFonts w:ascii="Calibri"/>
                                <w:spacing w:val="-4"/>
                                <w:sz w:val="20"/>
                              </w:rPr>
                              <w:t>2003</w:t>
                            </w:r>
                          </w:p>
                          <w:p>
                            <w:pPr>
                              <w:spacing w:before="32"/>
                              <w:ind w:left="20" w:right="0" w:firstLine="0"/>
                              <w:jc w:val="left"/>
                              <w:rPr>
                                <w:rFonts w:ascii="Calibri"/>
                                <w:sz w:val="20"/>
                              </w:rPr>
                            </w:pPr>
                            <w:r>
                              <w:rPr>
                                <w:rFonts w:ascii="Calibri"/>
                                <w:spacing w:val="-4"/>
                                <w:sz w:val="20"/>
                              </w:rPr>
                              <w:t>2004</w:t>
                            </w:r>
                          </w:p>
                          <w:p>
                            <w:pPr>
                              <w:spacing w:before="32"/>
                              <w:ind w:left="20" w:right="0" w:firstLine="0"/>
                              <w:jc w:val="left"/>
                              <w:rPr>
                                <w:rFonts w:ascii="Calibri"/>
                                <w:sz w:val="20"/>
                              </w:rPr>
                            </w:pPr>
                            <w:r>
                              <w:rPr>
                                <w:rFonts w:ascii="Calibri"/>
                                <w:spacing w:val="-4"/>
                                <w:sz w:val="20"/>
                              </w:rPr>
                              <w:t>2005</w:t>
                            </w:r>
                          </w:p>
                          <w:p>
                            <w:pPr>
                              <w:spacing w:before="31"/>
                              <w:ind w:left="20" w:right="0" w:firstLine="0"/>
                              <w:jc w:val="left"/>
                              <w:rPr>
                                <w:rFonts w:ascii="Calibri"/>
                                <w:sz w:val="20"/>
                              </w:rPr>
                            </w:pPr>
                            <w:r>
                              <w:rPr>
                                <w:rFonts w:ascii="Calibri"/>
                                <w:spacing w:val="-4"/>
                                <w:sz w:val="20"/>
                              </w:rPr>
                              <w:t>2006</w:t>
                            </w:r>
                          </w:p>
                          <w:p>
                            <w:pPr>
                              <w:spacing w:before="32"/>
                              <w:ind w:left="20" w:right="0" w:firstLine="0"/>
                              <w:jc w:val="left"/>
                              <w:rPr>
                                <w:rFonts w:ascii="Calibri"/>
                                <w:sz w:val="20"/>
                              </w:rPr>
                            </w:pPr>
                            <w:r>
                              <w:rPr>
                                <w:rFonts w:ascii="Calibri"/>
                                <w:spacing w:val="-4"/>
                                <w:sz w:val="20"/>
                              </w:rPr>
                              <w:t>2007</w:t>
                            </w:r>
                          </w:p>
                          <w:p>
                            <w:pPr>
                              <w:spacing w:before="32"/>
                              <w:ind w:left="20" w:right="0" w:firstLine="0"/>
                              <w:jc w:val="left"/>
                              <w:rPr>
                                <w:rFonts w:ascii="Calibri"/>
                                <w:sz w:val="20"/>
                              </w:rPr>
                            </w:pPr>
                            <w:r>
                              <w:rPr>
                                <w:rFonts w:ascii="Calibri"/>
                                <w:spacing w:val="-4"/>
                                <w:sz w:val="20"/>
                              </w:rPr>
                              <w:t>2008</w:t>
                            </w:r>
                          </w:p>
                          <w:p>
                            <w:pPr>
                              <w:spacing w:before="31"/>
                              <w:ind w:left="20" w:right="0" w:firstLine="0"/>
                              <w:jc w:val="left"/>
                              <w:rPr>
                                <w:rFonts w:ascii="Calibri"/>
                                <w:sz w:val="20"/>
                              </w:rPr>
                            </w:pPr>
                            <w:r>
                              <w:rPr>
                                <w:rFonts w:ascii="Calibri"/>
                                <w:spacing w:val="-4"/>
                                <w:sz w:val="20"/>
                              </w:rPr>
                              <w:t>2009</w:t>
                            </w:r>
                          </w:p>
                          <w:p>
                            <w:pPr>
                              <w:spacing w:before="32"/>
                              <w:ind w:left="20" w:right="0" w:firstLine="0"/>
                              <w:jc w:val="left"/>
                              <w:rPr>
                                <w:rFonts w:ascii="Calibri"/>
                                <w:sz w:val="20"/>
                              </w:rPr>
                            </w:pPr>
                            <w:r>
                              <w:rPr>
                                <w:rFonts w:ascii="Calibri"/>
                                <w:spacing w:val="-4"/>
                                <w:sz w:val="20"/>
                              </w:rPr>
                              <w:t>2010</w:t>
                            </w:r>
                          </w:p>
                          <w:p>
                            <w:pPr>
                              <w:spacing w:before="32"/>
                              <w:ind w:left="20" w:right="0" w:firstLine="0"/>
                              <w:jc w:val="left"/>
                              <w:rPr>
                                <w:rFonts w:ascii="Calibri"/>
                                <w:sz w:val="20"/>
                              </w:rPr>
                            </w:pPr>
                            <w:r>
                              <w:rPr>
                                <w:rFonts w:ascii="Calibri"/>
                                <w:spacing w:val="-4"/>
                                <w:sz w:val="20"/>
                              </w:rPr>
                              <w:t>2011</w:t>
                            </w:r>
                          </w:p>
                          <w:p>
                            <w:pPr>
                              <w:spacing w:before="32"/>
                              <w:ind w:left="20" w:right="0" w:firstLine="0"/>
                              <w:jc w:val="left"/>
                              <w:rPr>
                                <w:rFonts w:ascii="Calibri"/>
                                <w:sz w:val="20"/>
                              </w:rPr>
                            </w:pPr>
                            <w:r>
                              <w:rPr>
                                <w:rFonts w:ascii="Calibri"/>
                                <w:spacing w:val="-4"/>
                                <w:sz w:val="20"/>
                              </w:rPr>
                              <w:t>2012</w:t>
                            </w:r>
                          </w:p>
                          <w:p>
                            <w:pPr>
                              <w:spacing w:before="31"/>
                              <w:ind w:left="20" w:right="0" w:firstLine="0"/>
                              <w:jc w:val="left"/>
                              <w:rPr>
                                <w:rFonts w:ascii="Calibri"/>
                                <w:sz w:val="20"/>
                              </w:rPr>
                            </w:pPr>
                            <w:r>
                              <w:rPr>
                                <w:rFonts w:ascii="Calibri"/>
                                <w:spacing w:val="-4"/>
                                <w:sz w:val="20"/>
                              </w:rPr>
                              <w:t>2013</w:t>
                            </w:r>
                          </w:p>
                          <w:p>
                            <w:pPr>
                              <w:spacing w:before="32"/>
                              <w:ind w:left="20" w:right="0" w:firstLine="0"/>
                              <w:jc w:val="left"/>
                              <w:rPr>
                                <w:rFonts w:ascii="Calibri"/>
                                <w:sz w:val="20"/>
                              </w:rPr>
                            </w:pPr>
                            <w:r>
                              <w:rPr>
                                <w:rFonts w:ascii="Calibri"/>
                                <w:spacing w:val="-4"/>
                                <w:sz w:val="20"/>
                              </w:rPr>
                              <w:t>2014</w:t>
                            </w:r>
                          </w:p>
                          <w:p>
                            <w:pPr>
                              <w:spacing w:before="32"/>
                              <w:ind w:left="20" w:right="0" w:firstLine="0"/>
                              <w:jc w:val="left"/>
                              <w:rPr>
                                <w:rFonts w:ascii="Calibri"/>
                                <w:sz w:val="20"/>
                              </w:rPr>
                            </w:pPr>
                            <w:r>
                              <w:rPr>
                                <w:rFonts w:ascii="Calibri"/>
                                <w:spacing w:val="-4"/>
                                <w:sz w:val="20"/>
                              </w:rPr>
                              <w:t>2015</w:t>
                            </w:r>
                          </w:p>
                          <w:p>
                            <w:pPr>
                              <w:spacing w:before="32"/>
                              <w:ind w:left="20" w:right="0" w:firstLine="0"/>
                              <w:jc w:val="left"/>
                              <w:rPr>
                                <w:rFonts w:ascii="Calibri"/>
                                <w:sz w:val="20"/>
                              </w:rPr>
                            </w:pPr>
                            <w:r>
                              <w:rPr>
                                <w:rFonts w:ascii="Calibri"/>
                                <w:spacing w:val="-4"/>
                                <w:sz w:val="20"/>
                              </w:rPr>
                              <w:t>2016</w:t>
                            </w:r>
                          </w:p>
                        </w:txbxContent>
                      </wps:txbx>
                      <wps:bodyPr wrap="square" lIns="0" tIns="0" rIns="0" bIns="0" rtlCol="0" vert="vert270">
                        <a:noAutofit/>
                      </wps:bodyPr>
                    </wps:wsp>
                  </a:graphicData>
                </a:graphic>
              </wp:anchor>
            </w:drawing>
          </mc:Choice>
          <mc:Fallback>
            <w:pict>
              <v:shape style="position:absolute;margin-left:142.630005pt;margin-top:-55.550198pt;width:246.45pt;height:22.2pt;mso-position-horizontal-relative:page;mso-position-vertical-relative:paragraph;z-index:15770112" type="#_x0000_t202" id="docshape807"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spacing w:val="-4"/>
                          <w:sz w:val="20"/>
                        </w:rPr>
                        <w:t>1999</w:t>
                      </w:r>
                    </w:p>
                    <w:p>
                      <w:pPr>
                        <w:spacing w:before="31"/>
                        <w:ind w:left="20" w:right="0" w:firstLine="0"/>
                        <w:jc w:val="left"/>
                        <w:rPr>
                          <w:rFonts w:ascii="Calibri"/>
                          <w:sz w:val="20"/>
                        </w:rPr>
                      </w:pPr>
                      <w:r>
                        <w:rPr>
                          <w:rFonts w:ascii="Calibri"/>
                          <w:spacing w:val="-4"/>
                          <w:sz w:val="20"/>
                        </w:rPr>
                        <w:t>2000</w:t>
                      </w:r>
                    </w:p>
                    <w:p>
                      <w:pPr>
                        <w:spacing w:before="32"/>
                        <w:ind w:left="20" w:right="0" w:firstLine="0"/>
                        <w:jc w:val="left"/>
                        <w:rPr>
                          <w:rFonts w:ascii="Calibri"/>
                          <w:sz w:val="20"/>
                        </w:rPr>
                      </w:pPr>
                      <w:r>
                        <w:rPr>
                          <w:rFonts w:ascii="Calibri"/>
                          <w:spacing w:val="-4"/>
                          <w:sz w:val="20"/>
                        </w:rPr>
                        <w:t>2001</w:t>
                      </w:r>
                    </w:p>
                    <w:p>
                      <w:pPr>
                        <w:spacing w:before="32"/>
                        <w:ind w:left="20" w:right="0" w:firstLine="0"/>
                        <w:jc w:val="left"/>
                        <w:rPr>
                          <w:rFonts w:ascii="Calibri"/>
                          <w:sz w:val="20"/>
                        </w:rPr>
                      </w:pPr>
                      <w:r>
                        <w:rPr>
                          <w:rFonts w:ascii="Calibri"/>
                          <w:spacing w:val="-4"/>
                          <w:sz w:val="20"/>
                        </w:rPr>
                        <w:t>2002</w:t>
                      </w:r>
                    </w:p>
                    <w:p>
                      <w:pPr>
                        <w:spacing w:before="31"/>
                        <w:ind w:left="20" w:right="0" w:firstLine="0"/>
                        <w:jc w:val="left"/>
                        <w:rPr>
                          <w:rFonts w:ascii="Calibri"/>
                          <w:sz w:val="20"/>
                        </w:rPr>
                      </w:pPr>
                      <w:r>
                        <w:rPr>
                          <w:rFonts w:ascii="Calibri"/>
                          <w:spacing w:val="-4"/>
                          <w:sz w:val="20"/>
                        </w:rPr>
                        <w:t>2003</w:t>
                      </w:r>
                    </w:p>
                    <w:p>
                      <w:pPr>
                        <w:spacing w:before="32"/>
                        <w:ind w:left="20" w:right="0" w:firstLine="0"/>
                        <w:jc w:val="left"/>
                        <w:rPr>
                          <w:rFonts w:ascii="Calibri"/>
                          <w:sz w:val="20"/>
                        </w:rPr>
                      </w:pPr>
                      <w:r>
                        <w:rPr>
                          <w:rFonts w:ascii="Calibri"/>
                          <w:spacing w:val="-4"/>
                          <w:sz w:val="20"/>
                        </w:rPr>
                        <w:t>2004</w:t>
                      </w:r>
                    </w:p>
                    <w:p>
                      <w:pPr>
                        <w:spacing w:before="32"/>
                        <w:ind w:left="20" w:right="0" w:firstLine="0"/>
                        <w:jc w:val="left"/>
                        <w:rPr>
                          <w:rFonts w:ascii="Calibri"/>
                          <w:sz w:val="20"/>
                        </w:rPr>
                      </w:pPr>
                      <w:r>
                        <w:rPr>
                          <w:rFonts w:ascii="Calibri"/>
                          <w:spacing w:val="-4"/>
                          <w:sz w:val="20"/>
                        </w:rPr>
                        <w:t>2005</w:t>
                      </w:r>
                    </w:p>
                    <w:p>
                      <w:pPr>
                        <w:spacing w:before="31"/>
                        <w:ind w:left="20" w:right="0" w:firstLine="0"/>
                        <w:jc w:val="left"/>
                        <w:rPr>
                          <w:rFonts w:ascii="Calibri"/>
                          <w:sz w:val="20"/>
                        </w:rPr>
                      </w:pPr>
                      <w:r>
                        <w:rPr>
                          <w:rFonts w:ascii="Calibri"/>
                          <w:spacing w:val="-4"/>
                          <w:sz w:val="20"/>
                        </w:rPr>
                        <w:t>2006</w:t>
                      </w:r>
                    </w:p>
                    <w:p>
                      <w:pPr>
                        <w:spacing w:before="32"/>
                        <w:ind w:left="20" w:right="0" w:firstLine="0"/>
                        <w:jc w:val="left"/>
                        <w:rPr>
                          <w:rFonts w:ascii="Calibri"/>
                          <w:sz w:val="20"/>
                        </w:rPr>
                      </w:pPr>
                      <w:r>
                        <w:rPr>
                          <w:rFonts w:ascii="Calibri"/>
                          <w:spacing w:val="-4"/>
                          <w:sz w:val="20"/>
                        </w:rPr>
                        <w:t>2007</w:t>
                      </w:r>
                    </w:p>
                    <w:p>
                      <w:pPr>
                        <w:spacing w:before="32"/>
                        <w:ind w:left="20" w:right="0" w:firstLine="0"/>
                        <w:jc w:val="left"/>
                        <w:rPr>
                          <w:rFonts w:ascii="Calibri"/>
                          <w:sz w:val="20"/>
                        </w:rPr>
                      </w:pPr>
                      <w:r>
                        <w:rPr>
                          <w:rFonts w:ascii="Calibri"/>
                          <w:spacing w:val="-4"/>
                          <w:sz w:val="20"/>
                        </w:rPr>
                        <w:t>2008</w:t>
                      </w:r>
                    </w:p>
                    <w:p>
                      <w:pPr>
                        <w:spacing w:before="31"/>
                        <w:ind w:left="20" w:right="0" w:firstLine="0"/>
                        <w:jc w:val="left"/>
                        <w:rPr>
                          <w:rFonts w:ascii="Calibri"/>
                          <w:sz w:val="20"/>
                        </w:rPr>
                      </w:pPr>
                      <w:r>
                        <w:rPr>
                          <w:rFonts w:ascii="Calibri"/>
                          <w:spacing w:val="-4"/>
                          <w:sz w:val="20"/>
                        </w:rPr>
                        <w:t>2009</w:t>
                      </w:r>
                    </w:p>
                    <w:p>
                      <w:pPr>
                        <w:spacing w:before="32"/>
                        <w:ind w:left="20" w:right="0" w:firstLine="0"/>
                        <w:jc w:val="left"/>
                        <w:rPr>
                          <w:rFonts w:ascii="Calibri"/>
                          <w:sz w:val="20"/>
                        </w:rPr>
                      </w:pPr>
                      <w:r>
                        <w:rPr>
                          <w:rFonts w:ascii="Calibri"/>
                          <w:spacing w:val="-4"/>
                          <w:sz w:val="20"/>
                        </w:rPr>
                        <w:t>2010</w:t>
                      </w:r>
                    </w:p>
                    <w:p>
                      <w:pPr>
                        <w:spacing w:before="32"/>
                        <w:ind w:left="20" w:right="0" w:firstLine="0"/>
                        <w:jc w:val="left"/>
                        <w:rPr>
                          <w:rFonts w:ascii="Calibri"/>
                          <w:sz w:val="20"/>
                        </w:rPr>
                      </w:pPr>
                      <w:r>
                        <w:rPr>
                          <w:rFonts w:ascii="Calibri"/>
                          <w:spacing w:val="-4"/>
                          <w:sz w:val="20"/>
                        </w:rPr>
                        <w:t>2011</w:t>
                      </w:r>
                    </w:p>
                    <w:p>
                      <w:pPr>
                        <w:spacing w:before="32"/>
                        <w:ind w:left="20" w:right="0" w:firstLine="0"/>
                        <w:jc w:val="left"/>
                        <w:rPr>
                          <w:rFonts w:ascii="Calibri"/>
                          <w:sz w:val="20"/>
                        </w:rPr>
                      </w:pPr>
                      <w:r>
                        <w:rPr>
                          <w:rFonts w:ascii="Calibri"/>
                          <w:spacing w:val="-4"/>
                          <w:sz w:val="20"/>
                        </w:rPr>
                        <w:t>2012</w:t>
                      </w:r>
                    </w:p>
                    <w:p>
                      <w:pPr>
                        <w:spacing w:before="31"/>
                        <w:ind w:left="20" w:right="0" w:firstLine="0"/>
                        <w:jc w:val="left"/>
                        <w:rPr>
                          <w:rFonts w:ascii="Calibri"/>
                          <w:sz w:val="20"/>
                        </w:rPr>
                      </w:pPr>
                      <w:r>
                        <w:rPr>
                          <w:rFonts w:ascii="Calibri"/>
                          <w:spacing w:val="-4"/>
                          <w:sz w:val="20"/>
                        </w:rPr>
                        <w:t>2013</w:t>
                      </w:r>
                    </w:p>
                    <w:p>
                      <w:pPr>
                        <w:spacing w:before="32"/>
                        <w:ind w:left="20" w:right="0" w:firstLine="0"/>
                        <w:jc w:val="left"/>
                        <w:rPr>
                          <w:rFonts w:ascii="Calibri"/>
                          <w:sz w:val="20"/>
                        </w:rPr>
                      </w:pPr>
                      <w:r>
                        <w:rPr>
                          <w:rFonts w:ascii="Calibri"/>
                          <w:spacing w:val="-4"/>
                          <w:sz w:val="20"/>
                        </w:rPr>
                        <w:t>2014</w:t>
                      </w:r>
                    </w:p>
                    <w:p>
                      <w:pPr>
                        <w:spacing w:before="32"/>
                        <w:ind w:left="20" w:right="0" w:firstLine="0"/>
                        <w:jc w:val="left"/>
                        <w:rPr>
                          <w:rFonts w:ascii="Calibri"/>
                          <w:sz w:val="20"/>
                        </w:rPr>
                      </w:pPr>
                      <w:r>
                        <w:rPr>
                          <w:rFonts w:ascii="Calibri"/>
                          <w:spacing w:val="-4"/>
                          <w:sz w:val="20"/>
                        </w:rPr>
                        <w:t>2015</w:t>
                      </w:r>
                    </w:p>
                    <w:p>
                      <w:pPr>
                        <w:spacing w:before="32"/>
                        <w:ind w:left="20" w:right="0" w:firstLine="0"/>
                        <w:jc w:val="left"/>
                        <w:rPr>
                          <w:rFonts w:ascii="Calibri"/>
                          <w:sz w:val="20"/>
                        </w:rPr>
                      </w:pPr>
                      <w:r>
                        <w:rPr>
                          <w:rFonts w:ascii="Calibri"/>
                          <w:spacing w:val="-4"/>
                          <w:sz w:val="20"/>
                        </w:rPr>
                        <w:t>2016</w:t>
                      </w:r>
                    </w:p>
                  </w:txbxContent>
                </v:textbox>
                <w10:wrap type="none"/>
              </v:shape>
            </w:pict>
          </mc:Fallback>
        </mc:AlternateContent>
      </w:r>
      <w:r>
        <w:rPr>
          <w:b/>
        </w:rPr>
        <w:t>Figure 5.8: </w:t>
      </w:r>
      <w:r>
        <w:rPr/>
        <w:t>Component bar chart of percentage proportions of budgetary allocation to the key sectors in Anambra State from 1999-2016 (Researcher‘s plot with MS- Excel, 2017)</w:t>
      </w:r>
    </w:p>
    <w:p>
      <w:pPr>
        <w:spacing w:after="0"/>
        <w:jc w:val="both"/>
        <w:sectPr>
          <w:pgSz w:w="12240" w:h="15840"/>
          <w:pgMar w:header="0" w:footer="1036" w:top="1360" w:bottom="1220" w:left="1200" w:right="600"/>
        </w:sectPr>
      </w:pPr>
    </w:p>
    <w:p>
      <w:pPr>
        <w:pStyle w:val="BodyText"/>
        <w:spacing w:line="360" w:lineRule="auto" w:before="74"/>
        <w:ind w:left="240" w:right="835"/>
        <w:jc w:val="both"/>
      </w:pPr>
      <w:r>
        <w:rPr/>
        <w:t>The</w:t>
      </w:r>
      <w:r>
        <w:rPr>
          <w:spacing w:val="-2"/>
        </w:rPr>
        <w:t> </w:t>
      </w:r>
      <w:r>
        <w:rPr/>
        <w:t>component</w:t>
      </w:r>
      <w:r>
        <w:rPr>
          <w:spacing w:val="-1"/>
        </w:rPr>
        <w:t> </w:t>
      </w:r>
      <w:r>
        <w:rPr/>
        <w:t>bar</w:t>
      </w:r>
      <w:r>
        <w:rPr>
          <w:spacing w:val="-2"/>
        </w:rPr>
        <w:t> </w:t>
      </w:r>
      <w:r>
        <w:rPr/>
        <w:t>chart (Figure</w:t>
      </w:r>
      <w:r>
        <w:rPr>
          <w:spacing w:val="-2"/>
        </w:rPr>
        <w:t> </w:t>
      </w:r>
      <w:r>
        <w:rPr/>
        <w:t>5.8)</w:t>
      </w:r>
      <w:r>
        <w:rPr>
          <w:spacing w:val="-2"/>
        </w:rPr>
        <w:t> </w:t>
      </w:r>
      <w:r>
        <w:rPr/>
        <w:t>shows</w:t>
      </w:r>
      <w:r>
        <w:rPr>
          <w:spacing w:val="-1"/>
        </w:rPr>
        <w:t> </w:t>
      </w:r>
      <w:r>
        <w:rPr/>
        <w:t>that</w:t>
      </w:r>
      <w:r>
        <w:rPr>
          <w:spacing w:val="-1"/>
        </w:rPr>
        <w:t> </w:t>
      </w:r>
      <w:r>
        <w:rPr/>
        <w:t>in</w:t>
      </w:r>
      <w:r>
        <w:rPr>
          <w:spacing w:val="-1"/>
        </w:rPr>
        <w:t> </w:t>
      </w:r>
      <w:r>
        <w:rPr/>
        <w:t>1999</w:t>
      </w:r>
      <w:r>
        <w:rPr>
          <w:spacing w:val="-1"/>
        </w:rPr>
        <w:t> </w:t>
      </w:r>
      <w:r>
        <w:rPr/>
        <w:t>the</w:t>
      </w:r>
      <w:r>
        <w:rPr>
          <w:spacing w:val="-2"/>
        </w:rPr>
        <w:t> </w:t>
      </w:r>
      <w:r>
        <w:rPr/>
        <w:t>highest budget allocation</w:t>
      </w:r>
      <w:r>
        <w:rPr>
          <w:spacing w:val="-1"/>
        </w:rPr>
        <w:t> </w:t>
      </w:r>
      <w:r>
        <w:rPr/>
        <w:t>was given to housing followed by works. This appears to be the only year the Anambra State Government made some efforts to improve housing delivery because after this year, the scenario was</w:t>
      </w:r>
      <w:r>
        <w:rPr>
          <w:spacing w:val="40"/>
        </w:rPr>
        <w:t> </w:t>
      </w:r>
      <w:r>
        <w:rPr/>
        <w:t>different.</w:t>
      </w:r>
      <w:r>
        <w:rPr>
          <w:spacing w:val="40"/>
        </w:rPr>
        <w:t> </w:t>
      </w:r>
      <w:r>
        <w:rPr/>
        <w:t>In 2000, greater percentage of the allocation was given to works; and to housing in 2001 and 2003. In 2002, 2004 to 2011, greater percentage of the allocations was given to works while</w:t>
      </w:r>
      <w:r>
        <w:rPr>
          <w:spacing w:val="-2"/>
        </w:rPr>
        <w:t> </w:t>
      </w:r>
      <w:r>
        <w:rPr/>
        <w:t>in</w:t>
      </w:r>
      <w:r>
        <w:rPr>
          <w:spacing w:val="-2"/>
        </w:rPr>
        <w:t> </w:t>
      </w:r>
      <w:r>
        <w:rPr/>
        <w:t>2012</w:t>
      </w:r>
      <w:r>
        <w:rPr>
          <w:spacing w:val="-2"/>
        </w:rPr>
        <w:t> </w:t>
      </w:r>
      <w:r>
        <w:rPr/>
        <w:t>and</w:t>
      </w:r>
      <w:r>
        <w:rPr>
          <w:spacing w:val="-2"/>
        </w:rPr>
        <w:t> </w:t>
      </w:r>
      <w:r>
        <w:rPr/>
        <w:t>2013</w:t>
      </w:r>
      <w:r>
        <w:rPr>
          <w:spacing w:val="-2"/>
        </w:rPr>
        <w:t> </w:t>
      </w:r>
      <w:r>
        <w:rPr/>
        <w:t>there</w:t>
      </w:r>
      <w:r>
        <w:rPr>
          <w:spacing w:val="-4"/>
        </w:rPr>
        <w:t> </w:t>
      </w:r>
      <w:r>
        <w:rPr/>
        <w:t>were</w:t>
      </w:r>
      <w:r>
        <w:rPr>
          <w:spacing w:val="-2"/>
        </w:rPr>
        <w:t> </w:t>
      </w:r>
      <w:r>
        <w:rPr/>
        <w:t>almost</w:t>
      </w:r>
      <w:r>
        <w:rPr>
          <w:spacing w:val="-2"/>
        </w:rPr>
        <w:t> </w:t>
      </w:r>
      <w:r>
        <w:rPr/>
        <w:t>proportion</w:t>
      </w:r>
      <w:r>
        <w:rPr>
          <w:spacing w:val="-2"/>
        </w:rPr>
        <w:t> </w:t>
      </w:r>
      <w:r>
        <w:rPr/>
        <w:t>of</w:t>
      </w:r>
      <w:r>
        <w:rPr>
          <w:spacing w:val="-2"/>
        </w:rPr>
        <w:t> </w:t>
      </w:r>
      <w:r>
        <w:rPr/>
        <w:t>budgetary</w:t>
      </w:r>
      <w:r>
        <w:rPr>
          <w:spacing w:val="-5"/>
        </w:rPr>
        <w:t> </w:t>
      </w:r>
      <w:r>
        <w:rPr/>
        <w:t>allocations</w:t>
      </w:r>
      <w:r>
        <w:rPr>
          <w:spacing w:val="-2"/>
        </w:rPr>
        <w:t> </w:t>
      </w:r>
      <w:r>
        <w:rPr/>
        <w:t>to</w:t>
      </w:r>
      <w:r>
        <w:rPr>
          <w:spacing w:val="-2"/>
        </w:rPr>
        <w:t> </w:t>
      </w:r>
      <w:r>
        <w:rPr/>
        <w:t>education</w:t>
      </w:r>
      <w:r>
        <w:rPr>
          <w:spacing w:val="-2"/>
        </w:rPr>
        <w:t> </w:t>
      </w:r>
      <w:r>
        <w:rPr/>
        <w:t>sector and works. From 2014 to 2016, most of the allocations were given to works with health and education sector having closely equal proportions of the budget allocations.</w:t>
      </w:r>
    </w:p>
    <w:p>
      <w:pPr>
        <w:pStyle w:val="BodyText"/>
        <w:spacing w:before="10"/>
        <w:rPr>
          <w:sz w:val="14"/>
        </w:rPr>
      </w:pPr>
      <w:r>
        <w:rPr/>
        <mc:AlternateContent>
          <mc:Choice Requires="wps">
            <w:drawing>
              <wp:anchor distT="0" distB="0" distL="0" distR="0" allowOverlap="1" layoutInCell="1" locked="0" behindDoc="1" simplePos="0" relativeHeight="487629824">
                <wp:simplePos x="0" y="0"/>
                <wp:positionH relativeFrom="page">
                  <wp:posOffset>927100</wp:posOffset>
                </wp:positionH>
                <wp:positionV relativeFrom="paragraph">
                  <wp:posOffset>124384</wp:posOffset>
                </wp:positionV>
                <wp:extent cx="5831840" cy="2736215"/>
                <wp:effectExtent l="0" t="0" r="0" b="0"/>
                <wp:wrapTopAndBottom/>
                <wp:docPr id="856" name="Group 856"/>
                <wp:cNvGraphicFramePr>
                  <a:graphicFrameLocks/>
                </wp:cNvGraphicFramePr>
                <a:graphic>
                  <a:graphicData uri="http://schemas.microsoft.com/office/word/2010/wordprocessingGroup">
                    <wpg:wgp>
                      <wpg:cNvPr id="856" name="Group 856"/>
                      <wpg:cNvGrpSpPr/>
                      <wpg:grpSpPr>
                        <a:xfrm>
                          <a:off x="0" y="0"/>
                          <a:ext cx="5831840" cy="2736215"/>
                          <a:chExt cx="5831840" cy="2736215"/>
                        </a:xfrm>
                      </wpg:grpSpPr>
                      <pic:pic>
                        <pic:nvPicPr>
                          <pic:cNvPr id="857" name="Image 857"/>
                          <pic:cNvPicPr/>
                        </pic:nvPicPr>
                        <pic:blipFill>
                          <a:blip r:embed="rId194" cstate="print"/>
                          <a:stretch>
                            <a:fillRect/>
                          </a:stretch>
                        </pic:blipFill>
                        <pic:spPr>
                          <a:xfrm>
                            <a:off x="641858" y="331088"/>
                            <a:ext cx="3525012" cy="2066544"/>
                          </a:xfrm>
                          <a:prstGeom prst="rect">
                            <a:avLst/>
                          </a:prstGeom>
                        </pic:spPr>
                      </pic:pic>
                      <wps:wsp>
                        <wps:cNvPr id="858" name="Graphic 858"/>
                        <wps:cNvSpPr/>
                        <wps:spPr>
                          <a:xfrm>
                            <a:off x="4865370" y="873730"/>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F81BC"/>
                          </a:solidFill>
                        </wps:spPr>
                        <wps:bodyPr wrap="square" lIns="0" tIns="0" rIns="0" bIns="0" rtlCol="0">
                          <a:prstTxWarp prst="textNoShape">
                            <a:avLst/>
                          </a:prstTxWarp>
                          <a:noAutofit/>
                        </wps:bodyPr>
                      </wps:wsp>
                      <wps:wsp>
                        <wps:cNvPr id="859" name="Graphic 859"/>
                        <wps:cNvSpPr/>
                        <wps:spPr>
                          <a:xfrm>
                            <a:off x="4865370" y="110347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C0504D"/>
                          </a:solidFill>
                        </wps:spPr>
                        <wps:bodyPr wrap="square" lIns="0" tIns="0" rIns="0" bIns="0" rtlCol="0">
                          <a:prstTxWarp prst="textNoShape">
                            <a:avLst/>
                          </a:prstTxWarp>
                          <a:noAutofit/>
                        </wps:bodyPr>
                      </wps:wsp>
                      <wps:wsp>
                        <wps:cNvPr id="860" name="Graphic 860"/>
                        <wps:cNvSpPr/>
                        <wps:spPr>
                          <a:xfrm>
                            <a:off x="4865370" y="1333089"/>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9BBA58"/>
                          </a:solidFill>
                        </wps:spPr>
                        <wps:bodyPr wrap="square" lIns="0" tIns="0" rIns="0" bIns="0" rtlCol="0">
                          <a:prstTxWarp prst="textNoShape">
                            <a:avLst/>
                          </a:prstTxWarp>
                          <a:noAutofit/>
                        </wps:bodyPr>
                      </wps:wsp>
                      <wps:wsp>
                        <wps:cNvPr id="861" name="Graphic 861"/>
                        <wps:cNvSpPr/>
                        <wps:spPr>
                          <a:xfrm>
                            <a:off x="4865370" y="1562705"/>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8063A1"/>
                          </a:solidFill>
                        </wps:spPr>
                        <wps:bodyPr wrap="square" lIns="0" tIns="0" rIns="0" bIns="0" rtlCol="0">
                          <a:prstTxWarp prst="textNoShape">
                            <a:avLst/>
                          </a:prstTxWarp>
                          <a:noAutofit/>
                        </wps:bodyPr>
                      </wps:wsp>
                      <wps:wsp>
                        <wps:cNvPr id="862" name="Graphic 862"/>
                        <wps:cNvSpPr/>
                        <wps:spPr>
                          <a:xfrm>
                            <a:off x="4865370" y="1792448"/>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AACC5"/>
                          </a:solidFill>
                        </wps:spPr>
                        <wps:bodyPr wrap="square" lIns="0" tIns="0" rIns="0" bIns="0" rtlCol="0">
                          <a:prstTxWarp prst="textNoShape">
                            <a:avLst/>
                          </a:prstTxWarp>
                          <a:noAutofit/>
                        </wps:bodyPr>
                      </wps:wsp>
                      <wps:wsp>
                        <wps:cNvPr id="863" name="Graphic 863"/>
                        <wps:cNvSpPr/>
                        <wps:spPr>
                          <a:xfrm>
                            <a:off x="6350" y="6350"/>
                            <a:ext cx="5819140" cy="2723515"/>
                          </a:xfrm>
                          <a:custGeom>
                            <a:avLst/>
                            <a:gdLst/>
                            <a:ahLst/>
                            <a:cxnLst/>
                            <a:rect l="l" t="t" r="r" b="b"/>
                            <a:pathLst>
                              <a:path w="5819140" h="2723515">
                                <a:moveTo>
                                  <a:pt x="0" y="2723133"/>
                                </a:moveTo>
                                <a:lnTo>
                                  <a:pt x="5818886" y="2723133"/>
                                </a:lnTo>
                                <a:lnTo>
                                  <a:pt x="5818886" y="0"/>
                                </a:lnTo>
                                <a:lnTo>
                                  <a:pt x="0" y="0"/>
                                </a:lnTo>
                                <a:lnTo>
                                  <a:pt x="0" y="2723133"/>
                                </a:lnTo>
                                <a:close/>
                              </a:path>
                            </a:pathLst>
                          </a:custGeom>
                          <a:ln w="12700">
                            <a:solidFill>
                              <a:srgbClr val="858585"/>
                            </a:solidFill>
                            <a:prstDash val="solid"/>
                          </a:ln>
                        </wps:spPr>
                        <wps:bodyPr wrap="square" lIns="0" tIns="0" rIns="0" bIns="0" rtlCol="0">
                          <a:prstTxWarp prst="textNoShape">
                            <a:avLst/>
                          </a:prstTxWarp>
                          <a:noAutofit/>
                        </wps:bodyPr>
                      </wps:wsp>
                      <wps:wsp>
                        <wps:cNvPr id="864" name="Textbox 864"/>
                        <wps:cNvSpPr txBox="1"/>
                        <wps:spPr>
                          <a:xfrm>
                            <a:off x="2741422" y="461137"/>
                            <a:ext cx="327660"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8.50%</w:t>
                              </w:r>
                            </w:p>
                          </w:txbxContent>
                        </wps:txbx>
                        <wps:bodyPr wrap="square" lIns="0" tIns="0" rIns="0" bIns="0" rtlCol="0">
                          <a:noAutofit/>
                        </wps:bodyPr>
                      </wps:wsp>
                      <wps:wsp>
                        <wps:cNvPr id="865" name="Textbox 865"/>
                        <wps:cNvSpPr txBox="1"/>
                        <wps:spPr>
                          <a:xfrm>
                            <a:off x="3608323" y="842136"/>
                            <a:ext cx="327660"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8.00%</w:t>
                              </w:r>
                            </w:p>
                          </w:txbxContent>
                        </wps:txbx>
                        <wps:bodyPr wrap="square" lIns="0" tIns="0" rIns="0" bIns="0" rtlCol="0">
                          <a:noAutofit/>
                        </wps:bodyPr>
                      </wps:wsp>
                      <wps:wsp>
                        <wps:cNvPr id="866" name="Textbox 866"/>
                        <wps:cNvSpPr txBox="1"/>
                        <wps:spPr>
                          <a:xfrm>
                            <a:off x="750569" y="1194688"/>
                            <a:ext cx="391795"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33.22%</w:t>
                              </w:r>
                            </w:p>
                          </w:txbxContent>
                        </wps:txbx>
                        <wps:bodyPr wrap="square" lIns="0" tIns="0" rIns="0" bIns="0" rtlCol="0">
                          <a:noAutofit/>
                        </wps:bodyPr>
                      </wps:wsp>
                      <wps:wsp>
                        <wps:cNvPr id="867" name="Textbox 867"/>
                        <wps:cNvSpPr txBox="1"/>
                        <wps:spPr>
                          <a:xfrm>
                            <a:off x="3675126" y="1289811"/>
                            <a:ext cx="327660"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3.94%</w:t>
                              </w:r>
                            </w:p>
                          </w:txbxContent>
                        </wps:txbx>
                        <wps:bodyPr wrap="square" lIns="0" tIns="0" rIns="0" bIns="0" rtlCol="0">
                          <a:noAutofit/>
                        </wps:bodyPr>
                      </wps:wsp>
                      <wps:wsp>
                        <wps:cNvPr id="868" name="Textbox 868"/>
                        <wps:cNvSpPr txBox="1"/>
                        <wps:spPr>
                          <a:xfrm>
                            <a:off x="3351021" y="1547113"/>
                            <a:ext cx="327660"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2.94%</w:t>
                              </w:r>
                            </w:p>
                          </w:txbxContent>
                        </wps:txbx>
                        <wps:bodyPr wrap="square" lIns="0" tIns="0" rIns="0" bIns="0" rtlCol="0">
                          <a:noAutofit/>
                        </wps:bodyPr>
                      </wps:wsp>
                      <wps:wsp>
                        <wps:cNvPr id="869" name="Textbox 869"/>
                        <wps:cNvSpPr txBox="1"/>
                        <wps:spPr>
                          <a:xfrm>
                            <a:off x="4966208" y="850264"/>
                            <a:ext cx="739775" cy="1045210"/>
                          </a:xfrm>
                          <a:prstGeom prst="rect">
                            <a:avLst/>
                          </a:prstGeom>
                        </wps:spPr>
                        <wps:txbx>
                          <w:txbxContent>
                            <w:p>
                              <w:pPr>
                                <w:spacing w:line="203" w:lineRule="exact" w:before="0"/>
                                <w:ind w:left="0" w:right="0" w:firstLine="0"/>
                                <w:jc w:val="left"/>
                                <w:rPr>
                                  <w:rFonts w:ascii="Calibri"/>
                                  <w:sz w:val="20"/>
                                </w:rPr>
                              </w:pPr>
                              <w:r>
                                <w:rPr>
                                  <w:rFonts w:ascii="Calibri"/>
                                  <w:spacing w:val="-2"/>
                                  <w:sz w:val="20"/>
                                </w:rPr>
                                <w:t>HOUSING</w:t>
                              </w:r>
                            </w:p>
                            <w:p>
                              <w:pPr>
                                <w:spacing w:line="355" w:lineRule="auto" w:before="117"/>
                                <w:ind w:left="0" w:right="15" w:firstLine="0"/>
                                <w:jc w:val="left"/>
                                <w:rPr>
                                  <w:rFonts w:ascii="Calibri"/>
                                  <w:sz w:val="20"/>
                                </w:rPr>
                              </w:pPr>
                              <w:r>
                                <w:rPr>
                                  <w:rFonts w:ascii="Calibri"/>
                                  <w:spacing w:val="-2"/>
                                  <w:sz w:val="20"/>
                                </w:rPr>
                                <w:t>EDUCATION HEALTH AGRICULTURE</w:t>
                              </w:r>
                            </w:p>
                            <w:p>
                              <w:pPr>
                                <w:spacing w:line="240" w:lineRule="exact" w:before="1"/>
                                <w:ind w:left="0" w:right="0" w:firstLine="0"/>
                                <w:jc w:val="left"/>
                                <w:rPr>
                                  <w:rFonts w:ascii="Calibri"/>
                                  <w:sz w:val="20"/>
                                </w:rPr>
                              </w:pPr>
                              <w:r>
                                <w:rPr>
                                  <w:rFonts w:ascii="Calibri"/>
                                  <w:spacing w:val="-2"/>
                                  <w:sz w:val="20"/>
                                </w:rPr>
                                <w:t>WORKS</w:t>
                              </w:r>
                            </w:p>
                          </w:txbxContent>
                        </wps:txbx>
                        <wps:bodyPr wrap="square" lIns="0" tIns="0" rIns="0" bIns="0" rtlCol="0">
                          <a:noAutofit/>
                        </wps:bodyPr>
                      </wps:wsp>
                    </wpg:wgp>
                  </a:graphicData>
                </a:graphic>
              </wp:anchor>
            </w:drawing>
          </mc:Choice>
          <mc:Fallback>
            <w:pict>
              <v:group style="position:absolute;margin-left:73pt;margin-top:9.794063pt;width:459.2pt;height:215.45pt;mso-position-horizontal-relative:page;mso-position-vertical-relative:paragraph;z-index:-15686656;mso-wrap-distance-left:0;mso-wrap-distance-right:0" id="docshapegroup808" coordorigin="1460,196" coordsize="9184,4309">
                <v:shape style="position:absolute;left:2470;top:717;width:5552;height:3255" type="#_x0000_t75" id="docshape809" stroked="false">
                  <v:imagedata r:id="rId194" o:title=""/>
                </v:shape>
                <v:rect style="position:absolute;left:9122;top:1571;width:110;height:110" id="docshape810" filled="true" fillcolor="#4f81bc" stroked="false">
                  <v:fill type="solid"/>
                </v:rect>
                <v:rect style="position:absolute;left:9122;top:1933;width:110;height:110" id="docshape811" filled="true" fillcolor="#c0504d" stroked="false">
                  <v:fill type="solid"/>
                </v:rect>
                <v:rect style="position:absolute;left:9122;top:2295;width:110;height:110" id="docshape812" filled="true" fillcolor="#9bba58" stroked="false">
                  <v:fill type="solid"/>
                </v:rect>
                <v:rect style="position:absolute;left:9122;top:2656;width:110;height:110" id="docshape813" filled="true" fillcolor="#8063a1" stroked="false">
                  <v:fill type="solid"/>
                </v:rect>
                <v:rect style="position:absolute;left:9122;top:3018;width:110;height:110" id="docshape814" filled="true" fillcolor="#4aacc5" stroked="false">
                  <v:fill type="solid"/>
                </v:rect>
                <v:rect style="position:absolute;left:1470;top:205;width:9164;height:4289" id="docshape815" filled="false" stroked="true" strokeweight="1pt" strokecolor="#858585">
                  <v:stroke dashstyle="solid"/>
                </v:rect>
                <v:shape style="position:absolute;left:5777;top:922;width:516;height:200" type="#_x0000_t202" id="docshape816" filled="false" stroked="false">
                  <v:textbox inset="0,0,0,0">
                    <w:txbxContent>
                      <w:p>
                        <w:pPr>
                          <w:spacing w:line="199" w:lineRule="exact" w:before="0"/>
                          <w:ind w:left="0" w:right="0" w:firstLine="0"/>
                          <w:jc w:val="left"/>
                          <w:rPr>
                            <w:rFonts w:ascii="Calibri"/>
                            <w:sz w:val="20"/>
                          </w:rPr>
                        </w:pPr>
                        <w:r>
                          <w:rPr>
                            <w:rFonts w:ascii="Calibri"/>
                            <w:spacing w:val="-2"/>
                            <w:sz w:val="20"/>
                          </w:rPr>
                          <w:t>8.50%</w:t>
                        </w:r>
                      </w:p>
                    </w:txbxContent>
                  </v:textbox>
                  <w10:wrap type="none"/>
                </v:shape>
                <v:shape style="position:absolute;left:7142;top:1522;width:516;height:200" type="#_x0000_t202" id="docshape817" filled="false" stroked="false">
                  <v:textbox inset="0,0,0,0">
                    <w:txbxContent>
                      <w:p>
                        <w:pPr>
                          <w:spacing w:line="199" w:lineRule="exact" w:before="0"/>
                          <w:ind w:left="0" w:right="0" w:firstLine="0"/>
                          <w:jc w:val="left"/>
                          <w:rPr>
                            <w:rFonts w:ascii="Calibri"/>
                            <w:sz w:val="20"/>
                          </w:rPr>
                        </w:pPr>
                        <w:r>
                          <w:rPr>
                            <w:rFonts w:ascii="Calibri"/>
                            <w:spacing w:val="-2"/>
                            <w:sz w:val="20"/>
                          </w:rPr>
                          <w:t>8.00%</w:t>
                        </w:r>
                      </w:p>
                    </w:txbxContent>
                  </v:textbox>
                  <w10:wrap type="none"/>
                </v:shape>
                <v:shape style="position:absolute;left:2642;top:2077;width:617;height:200" type="#_x0000_t202" id="docshape818" filled="false" stroked="false">
                  <v:textbox inset="0,0,0,0">
                    <w:txbxContent>
                      <w:p>
                        <w:pPr>
                          <w:spacing w:line="199" w:lineRule="exact" w:before="0"/>
                          <w:ind w:left="0" w:right="0" w:firstLine="0"/>
                          <w:jc w:val="left"/>
                          <w:rPr>
                            <w:rFonts w:ascii="Calibri"/>
                            <w:sz w:val="20"/>
                          </w:rPr>
                        </w:pPr>
                        <w:r>
                          <w:rPr>
                            <w:rFonts w:ascii="Calibri"/>
                            <w:spacing w:val="-2"/>
                            <w:sz w:val="20"/>
                          </w:rPr>
                          <w:t>33.22%</w:t>
                        </w:r>
                      </w:p>
                    </w:txbxContent>
                  </v:textbox>
                  <w10:wrap type="none"/>
                </v:shape>
                <v:shape style="position:absolute;left:7247;top:2227;width:516;height:200" type="#_x0000_t202" id="docshape819" filled="false" stroked="false">
                  <v:textbox inset="0,0,0,0">
                    <w:txbxContent>
                      <w:p>
                        <w:pPr>
                          <w:spacing w:line="199" w:lineRule="exact" w:before="0"/>
                          <w:ind w:left="0" w:right="0" w:firstLine="0"/>
                          <w:jc w:val="left"/>
                          <w:rPr>
                            <w:rFonts w:ascii="Calibri"/>
                            <w:sz w:val="20"/>
                          </w:rPr>
                        </w:pPr>
                        <w:r>
                          <w:rPr>
                            <w:rFonts w:ascii="Calibri"/>
                            <w:spacing w:val="-2"/>
                            <w:sz w:val="20"/>
                          </w:rPr>
                          <w:t>3.94%</w:t>
                        </w:r>
                      </w:p>
                    </w:txbxContent>
                  </v:textbox>
                  <w10:wrap type="none"/>
                </v:shape>
                <v:shape style="position:absolute;left:6737;top:2632;width:516;height:200" type="#_x0000_t202" id="docshape820" filled="false" stroked="false">
                  <v:textbox inset="0,0,0,0">
                    <w:txbxContent>
                      <w:p>
                        <w:pPr>
                          <w:spacing w:line="199" w:lineRule="exact" w:before="0"/>
                          <w:ind w:left="0" w:right="0" w:firstLine="0"/>
                          <w:jc w:val="left"/>
                          <w:rPr>
                            <w:rFonts w:ascii="Calibri"/>
                            <w:sz w:val="20"/>
                          </w:rPr>
                        </w:pPr>
                        <w:r>
                          <w:rPr>
                            <w:rFonts w:ascii="Calibri"/>
                            <w:spacing w:val="-2"/>
                            <w:sz w:val="20"/>
                          </w:rPr>
                          <w:t>2.94%</w:t>
                        </w:r>
                      </w:p>
                    </w:txbxContent>
                  </v:textbox>
                  <w10:wrap type="none"/>
                </v:shape>
                <v:shape style="position:absolute;left:9280;top:1534;width:1165;height:1646" type="#_x0000_t202" id="docshape821" filled="false" stroked="false">
                  <v:textbox inset="0,0,0,0">
                    <w:txbxContent>
                      <w:p>
                        <w:pPr>
                          <w:spacing w:line="203" w:lineRule="exact" w:before="0"/>
                          <w:ind w:left="0" w:right="0" w:firstLine="0"/>
                          <w:jc w:val="left"/>
                          <w:rPr>
                            <w:rFonts w:ascii="Calibri"/>
                            <w:sz w:val="20"/>
                          </w:rPr>
                        </w:pPr>
                        <w:r>
                          <w:rPr>
                            <w:rFonts w:ascii="Calibri"/>
                            <w:spacing w:val="-2"/>
                            <w:sz w:val="20"/>
                          </w:rPr>
                          <w:t>HOUSING</w:t>
                        </w:r>
                      </w:p>
                      <w:p>
                        <w:pPr>
                          <w:spacing w:line="355" w:lineRule="auto" w:before="117"/>
                          <w:ind w:left="0" w:right="15" w:firstLine="0"/>
                          <w:jc w:val="left"/>
                          <w:rPr>
                            <w:rFonts w:ascii="Calibri"/>
                            <w:sz w:val="20"/>
                          </w:rPr>
                        </w:pPr>
                        <w:r>
                          <w:rPr>
                            <w:rFonts w:ascii="Calibri"/>
                            <w:spacing w:val="-2"/>
                            <w:sz w:val="20"/>
                          </w:rPr>
                          <w:t>EDUCATION HEALTH AGRICULTURE</w:t>
                        </w:r>
                      </w:p>
                      <w:p>
                        <w:pPr>
                          <w:spacing w:line="240" w:lineRule="exact" w:before="1"/>
                          <w:ind w:left="0" w:right="0" w:firstLine="0"/>
                          <w:jc w:val="left"/>
                          <w:rPr>
                            <w:rFonts w:ascii="Calibri"/>
                            <w:sz w:val="20"/>
                          </w:rPr>
                        </w:pPr>
                        <w:r>
                          <w:rPr>
                            <w:rFonts w:ascii="Calibri"/>
                            <w:spacing w:val="-2"/>
                            <w:sz w:val="20"/>
                          </w:rPr>
                          <w:t>WORKS</w:t>
                        </w:r>
                      </w:p>
                    </w:txbxContent>
                  </v:textbox>
                  <w10:wrap type="none"/>
                </v:shape>
                <w10:wrap type="topAndBottom"/>
              </v:group>
            </w:pict>
          </mc:Fallback>
        </mc:AlternateContent>
      </w:r>
    </w:p>
    <w:p>
      <w:pPr>
        <w:pStyle w:val="BodyText"/>
        <w:spacing w:line="242" w:lineRule="auto" w:before="146"/>
        <w:ind w:left="240" w:right="848"/>
        <w:jc w:val="both"/>
      </w:pPr>
      <w:r>
        <w:rPr>
          <w:b/>
        </w:rPr>
        <w:t>Figure 5.9: </w:t>
      </w:r>
      <w:r>
        <w:rPr/>
        <w:t>Average</w:t>
      </w:r>
      <w:r>
        <w:rPr>
          <w:spacing w:val="-1"/>
        </w:rPr>
        <w:t> </w:t>
      </w:r>
      <w:r>
        <w:rPr/>
        <w:t>percentage budgetary</w:t>
      </w:r>
      <w:r>
        <w:rPr>
          <w:spacing w:val="-5"/>
        </w:rPr>
        <w:t> </w:t>
      </w:r>
      <w:r>
        <w:rPr/>
        <w:t>allocation to key</w:t>
      </w:r>
      <w:r>
        <w:rPr>
          <w:spacing w:val="-5"/>
        </w:rPr>
        <w:t> </w:t>
      </w:r>
      <w:r>
        <w:rPr/>
        <w:t>sectors of Anambra</w:t>
      </w:r>
      <w:r>
        <w:rPr>
          <w:spacing w:val="-2"/>
        </w:rPr>
        <w:t> </w:t>
      </w:r>
      <w:r>
        <w:rPr/>
        <w:t>State from 1999 – 2016 (Researcher‘s plot with MS- Excel, 2017)</w:t>
      </w:r>
    </w:p>
    <w:p>
      <w:pPr>
        <w:pStyle w:val="BodyText"/>
        <w:spacing w:before="155"/>
      </w:pPr>
    </w:p>
    <w:p>
      <w:pPr>
        <w:pStyle w:val="BodyText"/>
        <w:spacing w:line="360" w:lineRule="auto" w:before="1"/>
        <w:ind w:left="240" w:right="835"/>
        <w:jc w:val="both"/>
      </w:pPr>
      <w:r>
        <w:rPr/>
        <w:t>The Pie chart (figure 5.9) shows that the sectoral distribution of budgetary allocations in Anambra</w:t>
      </w:r>
      <w:r>
        <w:rPr>
          <w:spacing w:val="-2"/>
        </w:rPr>
        <w:t> </w:t>
      </w:r>
      <w:r>
        <w:rPr/>
        <w:t>State. About 33.2%</w:t>
      </w:r>
      <w:r>
        <w:rPr>
          <w:spacing w:val="-1"/>
        </w:rPr>
        <w:t> </w:t>
      </w:r>
      <w:r>
        <w:rPr/>
        <w:t>of</w:t>
      </w:r>
      <w:r>
        <w:rPr>
          <w:spacing w:val="-1"/>
        </w:rPr>
        <w:t> </w:t>
      </w:r>
      <w:r>
        <w:rPr/>
        <w:t>the key</w:t>
      </w:r>
      <w:r>
        <w:rPr>
          <w:spacing w:val="-5"/>
        </w:rPr>
        <w:t> </w:t>
      </w:r>
      <w:r>
        <w:rPr/>
        <w:t>sectors allocation is allocated to works; 8.5%</w:t>
      </w:r>
      <w:r>
        <w:rPr>
          <w:spacing w:val="-1"/>
        </w:rPr>
        <w:t> </w:t>
      </w:r>
      <w:r>
        <w:rPr/>
        <w:t>to housing sector; 8.0% to education sector; 3.9% to health sector and only about 2.9% to the agriculture sector. From this pictorial elucidation, it is also quite evident therefore that works sector gulps</w:t>
      </w:r>
      <w:r>
        <w:rPr>
          <w:spacing w:val="40"/>
        </w:rPr>
        <w:t> </w:t>
      </w:r>
      <w:r>
        <w:rPr/>
        <w:t>the largest chunk of Anambra State‘s annual budget.</w:t>
      </w:r>
    </w:p>
    <w:p>
      <w:pPr>
        <w:spacing w:after="0" w:line="360" w:lineRule="auto"/>
        <w:jc w:val="both"/>
        <w:sectPr>
          <w:pgSz w:w="12240" w:h="15840"/>
          <w:pgMar w:header="0" w:footer="1036" w:top="1360" w:bottom="1220" w:left="1200" w:right="600"/>
        </w:sectPr>
      </w:pPr>
    </w:p>
    <w:p>
      <w:pPr>
        <w:pStyle w:val="Heading4"/>
        <w:numPr>
          <w:ilvl w:val="2"/>
          <w:numId w:val="96"/>
        </w:numPr>
        <w:tabs>
          <w:tab w:pos="887" w:val="left" w:leader="none"/>
        </w:tabs>
        <w:spacing w:line="240" w:lineRule="auto" w:before="60" w:after="0"/>
        <w:ind w:left="887" w:right="0" w:hanging="647"/>
        <w:jc w:val="both"/>
        <w:rPr>
          <w:sz w:val="26"/>
        </w:rPr>
      </w:pPr>
      <w:r>
        <w:rPr/>
        <w:t>Analysis</w:t>
      </w:r>
      <w:r>
        <w:rPr>
          <w:spacing w:val="-1"/>
        </w:rPr>
        <w:t> </w:t>
      </w:r>
      <w:r>
        <w:rPr/>
        <w:t>of Annual Housing</w:t>
      </w:r>
      <w:r>
        <w:rPr>
          <w:spacing w:val="-4"/>
        </w:rPr>
        <w:t> </w:t>
      </w:r>
      <w:r>
        <w:rPr/>
        <w:t>Budget </w:t>
      </w:r>
      <w:r>
        <w:rPr>
          <w:spacing w:val="-2"/>
        </w:rPr>
        <w:t>Ceiling</w:t>
      </w:r>
    </w:p>
    <w:p>
      <w:pPr>
        <w:pStyle w:val="BodyText"/>
        <w:spacing w:line="360" w:lineRule="auto" w:before="144"/>
        <w:ind w:left="240" w:right="834"/>
        <w:jc w:val="both"/>
      </w:pPr>
      <w:r>
        <w:rPr/>
        <w:t>This sub-section compares the annual housing budget ceiling and annual budget estimate of Anambra State. This is with a view to</w:t>
      </w:r>
      <w:r>
        <w:rPr>
          <w:spacing w:val="-1"/>
        </w:rPr>
        <w:t> </w:t>
      </w:r>
      <w:r>
        <w:rPr/>
        <w:t>ascertaining the margin of difference between both figures and if there is a general increase or decrease in the annual housing budget allocation over the years, in relation with the ceiling stipulated by</w:t>
      </w:r>
      <w:r>
        <w:rPr>
          <w:spacing w:val="-4"/>
        </w:rPr>
        <w:t> </w:t>
      </w:r>
      <w:r>
        <w:rPr/>
        <w:t>the Ministry</w:t>
      </w:r>
      <w:r>
        <w:rPr>
          <w:spacing w:val="-5"/>
        </w:rPr>
        <w:t> </w:t>
      </w:r>
      <w:r>
        <w:rPr/>
        <w:t>of Budget and Economic Planning</w:t>
      </w:r>
      <w:r>
        <w:rPr>
          <w:spacing w:val="-1"/>
        </w:rPr>
        <w:t> </w:t>
      </w:r>
      <w:r>
        <w:rPr/>
        <w:t>in their annual Budget Call Circulars. Table 5.19 shows the data and result of the analysis.</w:t>
      </w:r>
    </w:p>
    <w:p>
      <w:pPr>
        <w:pStyle w:val="BodyText"/>
        <w:spacing w:before="126"/>
      </w:pPr>
    </w:p>
    <w:p>
      <w:pPr>
        <w:pStyle w:val="Heading4"/>
      </w:pPr>
      <w:r>
        <w:rPr/>
        <w:t>Table</w:t>
      </w:r>
      <w:r>
        <w:rPr>
          <w:spacing w:val="-1"/>
        </w:rPr>
        <w:t> </w:t>
      </w:r>
      <w:r>
        <w:rPr/>
        <w:t>5.19.</w:t>
      </w:r>
      <w:r>
        <w:rPr>
          <w:spacing w:val="-1"/>
        </w:rPr>
        <w:t> </w:t>
      </w:r>
      <w:r>
        <w:rPr/>
        <w:t>Annual</w:t>
      </w:r>
      <w:r>
        <w:rPr>
          <w:spacing w:val="-1"/>
        </w:rPr>
        <w:t> </w:t>
      </w:r>
      <w:r>
        <w:rPr/>
        <w:t>Housing</w:t>
      </w:r>
      <w:r>
        <w:rPr>
          <w:spacing w:val="-1"/>
        </w:rPr>
        <w:t> </w:t>
      </w:r>
      <w:r>
        <w:rPr/>
        <w:t>Budget</w:t>
      </w:r>
      <w:r>
        <w:rPr>
          <w:spacing w:val="-1"/>
        </w:rPr>
        <w:t> </w:t>
      </w:r>
      <w:r>
        <w:rPr/>
        <w:t>Ceiling and</w:t>
      </w:r>
      <w:r>
        <w:rPr>
          <w:spacing w:val="-3"/>
        </w:rPr>
        <w:t> </w:t>
      </w:r>
      <w:r>
        <w:rPr/>
        <w:t>Housing</w:t>
      </w:r>
      <w:r>
        <w:rPr>
          <w:spacing w:val="-4"/>
        </w:rPr>
        <w:t> </w:t>
      </w:r>
      <w:r>
        <w:rPr/>
        <w:t>Budget</w:t>
      </w:r>
      <w:r>
        <w:rPr>
          <w:spacing w:val="-1"/>
        </w:rPr>
        <w:t> </w:t>
      </w:r>
      <w:r>
        <w:rPr/>
        <w:t>Allocations</w:t>
      </w:r>
      <w:r>
        <w:rPr>
          <w:spacing w:val="-1"/>
        </w:rPr>
        <w:t> </w:t>
      </w:r>
      <w:r>
        <w:rPr/>
        <w:t>(2010</w:t>
      </w:r>
      <w:r>
        <w:rPr>
          <w:spacing w:val="3"/>
        </w:rPr>
        <w:t> </w:t>
      </w:r>
      <w:r>
        <w:rPr/>
        <w:t>– </w:t>
      </w:r>
      <w:r>
        <w:rPr>
          <w:spacing w:val="-2"/>
        </w:rPr>
        <w:t>2016)</w:t>
      </w:r>
    </w:p>
    <w:p>
      <w:pPr>
        <w:pStyle w:val="BodyText"/>
        <w:spacing w:before="8"/>
        <w:rPr>
          <w:b/>
          <w:sz w:val="9"/>
        </w:rPr>
      </w:pPr>
    </w:p>
    <w:tbl>
      <w:tblPr>
        <w:tblW w:w="0" w:type="auto"/>
        <w:jc w:val="left"/>
        <w:tblInd w:w="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9"/>
        <w:gridCol w:w="2137"/>
        <w:gridCol w:w="1979"/>
        <w:gridCol w:w="2098"/>
        <w:gridCol w:w="2400"/>
      </w:tblGrid>
      <w:tr>
        <w:trPr>
          <w:trHeight w:val="506" w:hRule="atLeast"/>
        </w:trPr>
        <w:tc>
          <w:tcPr>
            <w:tcW w:w="849" w:type="dxa"/>
            <w:tcBorders>
              <w:top w:val="single" w:sz="8" w:space="0" w:color="4F81BC"/>
              <w:bottom w:val="single" w:sz="8" w:space="0" w:color="4F81BC"/>
            </w:tcBorders>
          </w:tcPr>
          <w:p>
            <w:pPr>
              <w:pStyle w:val="TableParagraph"/>
              <w:spacing w:line="251" w:lineRule="exact"/>
              <w:ind w:left="122"/>
              <w:rPr>
                <w:b/>
                <w:sz w:val="22"/>
              </w:rPr>
            </w:pPr>
            <w:r>
              <w:rPr>
                <w:b/>
                <w:spacing w:val="-4"/>
                <w:sz w:val="22"/>
              </w:rPr>
              <w:t>Year</w:t>
            </w:r>
          </w:p>
        </w:tc>
        <w:tc>
          <w:tcPr>
            <w:tcW w:w="2137" w:type="dxa"/>
            <w:tcBorders>
              <w:top w:val="single" w:sz="8" w:space="0" w:color="4F81BC"/>
              <w:bottom w:val="single" w:sz="8" w:space="0" w:color="4F81BC"/>
            </w:tcBorders>
          </w:tcPr>
          <w:p>
            <w:pPr>
              <w:pStyle w:val="TableParagraph"/>
              <w:spacing w:line="251" w:lineRule="exact"/>
              <w:ind w:left="262"/>
              <w:rPr>
                <w:b/>
                <w:sz w:val="20"/>
              </w:rPr>
            </w:pPr>
            <w:r>
              <w:rPr>
                <w:b/>
                <w:sz w:val="22"/>
              </w:rPr>
              <w:t>Budget</w:t>
            </w:r>
            <w:r>
              <w:rPr>
                <w:b/>
                <w:spacing w:val="-2"/>
                <w:sz w:val="22"/>
              </w:rPr>
              <w:t> Ceiling</w:t>
            </w:r>
            <w:r>
              <w:rPr>
                <w:b/>
                <w:spacing w:val="-2"/>
                <w:sz w:val="20"/>
              </w:rPr>
              <w:t>(</w:t>
            </w:r>
            <w:r>
              <w:rPr>
                <w:b/>
                <w:dstrike/>
                <w:spacing w:val="-2"/>
                <w:sz w:val="20"/>
              </w:rPr>
              <w:t>N</w:t>
            </w:r>
            <w:r>
              <w:rPr>
                <w:b/>
                <w:strike w:val="0"/>
                <w:spacing w:val="-2"/>
                <w:sz w:val="20"/>
              </w:rPr>
              <w:t>)</w:t>
            </w:r>
          </w:p>
        </w:tc>
        <w:tc>
          <w:tcPr>
            <w:tcW w:w="1979" w:type="dxa"/>
            <w:tcBorders>
              <w:top w:val="single" w:sz="8" w:space="0" w:color="4F81BC"/>
              <w:bottom w:val="single" w:sz="8" w:space="0" w:color="4F81BC"/>
            </w:tcBorders>
          </w:tcPr>
          <w:p>
            <w:pPr>
              <w:pStyle w:val="TableParagraph"/>
              <w:spacing w:line="252" w:lineRule="exact"/>
              <w:ind w:left="196"/>
              <w:rPr>
                <w:b/>
                <w:sz w:val="20"/>
              </w:rPr>
            </w:pPr>
            <w:r>
              <w:rPr>
                <w:b/>
                <w:sz w:val="22"/>
              </w:rPr>
              <w:t>Final</w:t>
            </w:r>
            <w:r>
              <w:rPr>
                <w:b/>
                <w:spacing w:val="-9"/>
                <w:sz w:val="22"/>
              </w:rPr>
              <w:t> </w:t>
            </w:r>
            <w:r>
              <w:rPr>
                <w:b/>
                <w:sz w:val="22"/>
              </w:rPr>
              <w:t>Budget </w:t>
            </w:r>
            <w:r>
              <w:rPr>
                <w:b/>
                <w:spacing w:val="-2"/>
                <w:sz w:val="22"/>
              </w:rPr>
              <w:t>Allocation</w:t>
            </w:r>
            <w:r>
              <w:rPr>
                <w:b/>
                <w:spacing w:val="-2"/>
                <w:sz w:val="20"/>
              </w:rPr>
              <w:t>(</w:t>
            </w:r>
            <w:r>
              <w:rPr>
                <w:b/>
                <w:dstrike/>
                <w:spacing w:val="-2"/>
                <w:sz w:val="20"/>
              </w:rPr>
              <w:t>N</w:t>
            </w:r>
            <w:r>
              <w:rPr>
                <w:b/>
                <w:strike w:val="0"/>
                <w:spacing w:val="-2"/>
                <w:sz w:val="20"/>
              </w:rPr>
              <w:t>)</w:t>
            </w:r>
          </w:p>
        </w:tc>
        <w:tc>
          <w:tcPr>
            <w:tcW w:w="2098" w:type="dxa"/>
            <w:tcBorders>
              <w:top w:val="single" w:sz="8" w:space="0" w:color="4F81BC"/>
              <w:bottom w:val="single" w:sz="8" w:space="0" w:color="4F81BC"/>
            </w:tcBorders>
          </w:tcPr>
          <w:p>
            <w:pPr>
              <w:pStyle w:val="TableParagraph"/>
              <w:spacing w:line="251" w:lineRule="exact"/>
              <w:ind w:left="287"/>
              <w:rPr>
                <w:b/>
                <w:sz w:val="20"/>
              </w:rPr>
            </w:pPr>
            <w:r>
              <w:rPr>
                <w:b/>
                <w:sz w:val="22"/>
              </w:rPr>
              <w:t>Difference</w:t>
            </w:r>
            <w:r>
              <w:rPr>
                <w:b/>
                <w:spacing w:val="-8"/>
                <w:sz w:val="22"/>
              </w:rPr>
              <w:t> </w:t>
            </w:r>
            <w:r>
              <w:rPr>
                <w:b/>
                <w:spacing w:val="-5"/>
                <w:sz w:val="20"/>
              </w:rPr>
              <w:t>(</w:t>
            </w:r>
            <w:r>
              <w:rPr>
                <w:b/>
                <w:dstrike/>
                <w:spacing w:val="-5"/>
                <w:sz w:val="20"/>
              </w:rPr>
              <w:t>N</w:t>
            </w:r>
            <w:r>
              <w:rPr>
                <w:b/>
                <w:strike w:val="0"/>
                <w:spacing w:val="-5"/>
                <w:sz w:val="20"/>
              </w:rPr>
              <w:t>)</w:t>
            </w:r>
          </w:p>
        </w:tc>
        <w:tc>
          <w:tcPr>
            <w:tcW w:w="2400" w:type="dxa"/>
            <w:tcBorders>
              <w:top w:val="single" w:sz="8" w:space="0" w:color="4F81BC"/>
              <w:bottom w:val="single" w:sz="8" w:space="0" w:color="4F81BC"/>
            </w:tcBorders>
          </w:tcPr>
          <w:p>
            <w:pPr>
              <w:pStyle w:val="TableParagraph"/>
              <w:spacing w:line="228" w:lineRule="exact"/>
              <w:ind w:left="349"/>
              <w:rPr>
                <w:b/>
                <w:sz w:val="20"/>
              </w:rPr>
            </w:pPr>
            <w:r>
              <w:rPr>
                <w:b/>
                <w:sz w:val="20"/>
              </w:rPr>
              <w:t>%</w:t>
            </w:r>
            <w:r>
              <w:rPr>
                <w:b/>
                <w:spacing w:val="-2"/>
                <w:sz w:val="20"/>
              </w:rPr>
              <w:t> Difference</w:t>
            </w:r>
          </w:p>
        </w:tc>
      </w:tr>
      <w:tr>
        <w:trPr>
          <w:trHeight w:val="299" w:hRule="atLeast"/>
        </w:trPr>
        <w:tc>
          <w:tcPr>
            <w:tcW w:w="849" w:type="dxa"/>
            <w:tcBorders>
              <w:top w:val="single" w:sz="8" w:space="0" w:color="4F81BC"/>
            </w:tcBorders>
            <w:shd w:val="clear" w:color="auto" w:fill="D2DFED"/>
          </w:tcPr>
          <w:p>
            <w:pPr>
              <w:pStyle w:val="TableParagraph"/>
              <w:spacing w:line="223" w:lineRule="exact"/>
              <w:ind w:left="122"/>
              <w:rPr>
                <w:sz w:val="20"/>
              </w:rPr>
            </w:pPr>
            <w:r>
              <w:rPr>
                <w:spacing w:val="-4"/>
                <w:sz w:val="20"/>
              </w:rPr>
              <w:t>2010</w:t>
            </w:r>
          </w:p>
        </w:tc>
        <w:tc>
          <w:tcPr>
            <w:tcW w:w="2137" w:type="dxa"/>
            <w:tcBorders>
              <w:top w:val="single" w:sz="8" w:space="0" w:color="4F81BC"/>
            </w:tcBorders>
            <w:shd w:val="clear" w:color="auto" w:fill="D2DFED"/>
          </w:tcPr>
          <w:p>
            <w:pPr>
              <w:pStyle w:val="TableParagraph"/>
              <w:spacing w:line="223" w:lineRule="exact"/>
              <w:ind w:left="262"/>
              <w:rPr>
                <w:sz w:val="20"/>
              </w:rPr>
            </w:pPr>
            <w:r>
              <w:rPr>
                <w:spacing w:val="-2"/>
                <w:sz w:val="20"/>
              </w:rPr>
              <w:t>2,640,000,000.00</w:t>
            </w:r>
          </w:p>
        </w:tc>
        <w:tc>
          <w:tcPr>
            <w:tcW w:w="1979" w:type="dxa"/>
            <w:tcBorders>
              <w:top w:val="single" w:sz="8" w:space="0" w:color="4F81BC"/>
            </w:tcBorders>
            <w:shd w:val="clear" w:color="auto" w:fill="D2DFED"/>
          </w:tcPr>
          <w:p>
            <w:pPr>
              <w:pStyle w:val="TableParagraph"/>
              <w:spacing w:line="223" w:lineRule="exact"/>
              <w:ind w:left="196"/>
              <w:rPr>
                <w:sz w:val="20"/>
              </w:rPr>
            </w:pPr>
            <w:r>
              <w:rPr>
                <w:spacing w:val="-2"/>
                <w:sz w:val="20"/>
              </w:rPr>
              <w:t>2,430,000,000.00</w:t>
            </w:r>
          </w:p>
        </w:tc>
        <w:tc>
          <w:tcPr>
            <w:tcW w:w="2098" w:type="dxa"/>
            <w:tcBorders>
              <w:top w:val="single" w:sz="8" w:space="0" w:color="4F81BC"/>
            </w:tcBorders>
            <w:shd w:val="clear" w:color="auto" w:fill="D2DFED"/>
          </w:tcPr>
          <w:p>
            <w:pPr>
              <w:pStyle w:val="TableParagraph"/>
              <w:spacing w:line="223" w:lineRule="exact"/>
              <w:ind w:left="337"/>
              <w:rPr>
                <w:sz w:val="20"/>
              </w:rPr>
            </w:pPr>
            <w:r>
              <w:rPr>
                <w:spacing w:val="-2"/>
                <w:sz w:val="20"/>
              </w:rPr>
              <w:t>210,000,000.00</w:t>
            </w:r>
          </w:p>
        </w:tc>
        <w:tc>
          <w:tcPr>
            <w:tcW w:w="2400" w:type="dxa"/>
            <w:tcBorders>
              <w:top w:val="single" w:sz="8" w:space="0" w:color="4F81BC"/>
            </w:tcBorders>
            <w:shd w:val="clear" w:color="auto" w:fill="D2DFED"/>
          </w:tcPr>
          <w:p>
            <w:pPr>
              <w:pStyle w:val="TableParagraph"/>
              <w:spacing w:line="223" w:lineRule="exact"/>
              <w:ind w:left="349"/>
              <w:rPr>
                <w:sz w:val="20"/>
              </w:rPr>
            </w:pPr>
            <w:r>
              <w:rPr>
                <w:spacing w:val="-4"/>
                <w:sz w:val="20"/>
              </w:rPr>
              <w:t>7.95</w:t>
            </w:r>
          </w:p>
        </w:tc>
      </w:tr>
      <w:tr>
        <w:trPr>
          <w:trHeight w:val="300" w:hRule="atLeast"/>
        </w:trPr>
        <w:tc>
          <w:tcPr>
            <w:tcW w:w="849" w:type="dxa"/>
          </w:tcPr>
          <w:p>
            <w:pPr>
              <w:pStyle w:val="TableParagraph"/>
              <w:spacing w:line="223" w:lineRule="exact"/>
              <w:ind w:left="122"/>
              <w:rPr>
                <w:sz w:val="20"/>
              </w:rPr>
            </w:pPr>
            <w:r>
              <w:rPr>
                <w:spacing w:val="-4"/>
                <w:sz w:val="20"/>
              </w:rPr>
              <w:t>2011</w:t>
            </w:r>
          </w:p>
        </w:tc>
        <w:tc>
          <w:tcPr>
            <w:tcW w:w="2137" w:type="dxa"/>
          </w:tcPr>
          <w:p>
            <w:pPr>
              <w:pStyle w:val="TableParagraph"/>
              <w:spacing w:line="223" w:lineRule="exact"/>
              <w:ind w:left="262"/>
              <w:rPr>
                <w:sz w:val="20"/>
              </w:rPr>
            </w:pPr>
            <w:r>
              <w:rPr>
                <w:spacing w:val="-2"/>
                <w:sz w:val="20"/>
              </w:rPr>
              <w:t>2,200,000,000.00</w:t>
            </w:r>
          </w:p>
        </w:tc>
        <w:tc>
          <w:tcPr>
            <w:tcW w:w="1979" w:type="dxa"/>
          </w:tcPr>
          <w:p>
            <w:pPr>
              <w:pStyle w:val="TableParagraph"/>
              <w:spacing w:line="223" w:lineRule="exact"/>
              <w:ind w:left="196"/>
              <w:rPr>
                <w:sz w:val="20"/>
              </w:rPr>
            </w:pPr>
            <w:r>
              <w:rPr>
                <w:spacing w:val="-2"/>
                <w:sz w:val="20"/>
              </w:rPr>
              <w:t>2,451,000,000.00</w:t>
            </w:r>
          </w:p>
        </w:tc>
        <w:tc>
          <w:tcPr>
            <w:tcW w:w="2098" w:type="dxa"/>
          </w:tcPr>
          <w:p>
            <w:pPr>
              <w:pStyle w:val="TableParagraph"/>
              <w:spacing w:line="223" w:lineRule="exact"/>
              <w:ind w:left="287"/>
              <w:rPr>
                <w:sz w:val="20"/>
              </w:rPr>
            </w:pPr>
            <w:r>
              <w:rPr>
                <w:spacing w:val="-4"/>
                <w:sz w:val="20"/>
              </w:rPr>
              <w:t>-</w:t>
            </w:r>
            <w:r>
              <w:rPr>
                <w:spacing w:val="-2"/>
                <w:sz w:val="20"/>
              </w:rPr>
              <w:t>251,000,000.00</w:t>
            </w:r>
          </w:p>
        </w:tc>
        <w:tc>
          <w:tcPr>
            <w:tcW w:w="2400" w:type="dxa"/>
          </w:tcPr>
          <w:p>
            <w:pPr>
              <w:pStyle w:val="TableParagraph"/>
              <w:spacing w:line="223" w:lineRule="exact"/>
              <w:ind w:left="349"/>
              <w:rPr>
                <w:sz w:val="20"/>
              </w:rPr>
            </w:pPr>
            <w:r>
              <w:rPr>
                <w:spacing w:val="-4"/>
                <w:sz w:val="20"/>
              </w:rPr>
              <w:t>-11.41</w:t>
            </w:r>
          </w:p>
        </w:tc>
      </w:tr>
      <w:tr>
        <w:trPr>
          <w:trHeight w:val="300" w:hRule="atLeast"/>
        </w:trPr>
        <w:tc>
          <w:tcPr>
            <w:tcW w:w="849" w:type="dxa"/>
            <w:shd w:val="clear" w:color="auto" w:fill="D2DFED"/>
          </w:tcPr>
          <w:p>
            <w:pPr>
              <w:pStyle w:val="TableParagraph"/>
              <w:spacing w:line="223" w:lineRule="exact"/>
              <w:ind w:left="122"/>
              <w:rPr>
                <w:sz w:val="20"/>
              </w:rPr>
            </w:pPr>
            <w:r>
              <w:rPr>
                <w:spacing w:val="-4"/>
                <w:sz w:val="20"/>
              </w:rPr>
              <w:t>2012</w:t>
            </w:r>
          </w:p>
        </w:tc>
        <w:tc>
          <w:tcPr>
            <w:tcW w:w="2137" w:type="dxa"/>
            <w:shd w:val="clear" w:color="auto" w:fill="D2DFED"/>
          </w:tcPr>
          <w:p>
            <w:pPr>
              <w:pStyle w:val="TableParagraph"/>
              <w:spacing w:line="223" w:lineRule="exact"/>
              <w:ind w:left="262"/>
              <w:rPr>
                <w:sz w:val="20"/>
              </w:rPr>
            </w:pPr>
            <w:r>
              <w:rPr>
                <w:spacing w:val="-2"/>
                <w:sz w:val="20"/>
              </w:rPr>
              <w:t>1,500,000,000.00</w:t>
            </w:r>
          </w:p>
        </w:tc>
        <w:tc>
          <w:tcPr>
            <w:tcW w:w="1979" w:type="dxa"/>
            <w:shd w:val="clear" w:color="auto" w:fill="D2DFED"/>
          </w:tcPr>
          <w:p>
            <w:pPr>
              <w:pStyle w:val="TableParagraph"/>
              <w:spacing w:line="223" w:lineRule="exact"/>
              <w:ind w:left="196"/>
              <w:rPr>
                <w:sz w:val="20"/>
              </w:rPr>
            </w:pPr>
            <w:r>
              <w:rPr>
                <w:spacing w:val="-2"/>
                <w:sz w:val="20"/>
              </w:rPr>
              <w:t>1,808,000,000.00</w:t>
            </w:r>
          </w:p>
        </w:tc>
        <w:tc>
          <w:tcPr>
            <w:tcW w:w="2098" w:type="dxa"/>
            <w:shd w:val="clear" w:color="auto" w:fill="D2DFED"/>
          </w:tcPr>
          <w:p>
            <w:pPr>
              <w:pStyle w:val="TableParagraph"/>
              <w:spacing w:line="223" w:lineRule="exact"/>
              <w:ind w:left="287"/>
              <w:rPr>
                <w:sz w:val="20"/>
              </w:rPr>
            </w:pPr>
            <w:r>
              <w:rPr>
                <w:spacing w:val="-4"/>
                <w:sz w:val="20"/>
              </w:rPr>
              <w:t>-</w:t>
            </w:r>
            <w:r>
              <w:rPr>
                <w:spacing w:val="-2"/>
                <w:sz w:val="20"/>
              </w:rPr>
              <w:t>308,000,000.00</w:t>
            </w:r>
          </w:p>
        </w:tc>
        <w:tc>
          <w:tcPr>
            <w:tcW w:w="2400" w:type="dxa"/>
            <w:shd w:val="clear" w:color="auto" w:fill="D2DFED"/>
          </w:tcPr>
          <w:p>
            <w:pPr>
              <w:pStyle w:val="TableParagraph"/>
              <w:spacing w:line="223" w:lineRule="exact"/>
              <w:ind w:left="349"/>
              <w:rPr>
                <w:sz w:val="20"/>
              </w:rPr>
            </w:pPr>
            <w:r>
              <w:rPr>
                <w:spacing w:val="-4"/>
                <w:sz w:val="20"/>
              </w:rPr>
              <w:t>-20.53</w:t>
            </w:r>
          </w:p>
        </w:tc>
      </w:tr>
      <w:tr>
        <w:trPr>
          <w:trHeight w:val="300" w:hRule="atLeast"/>
        </w:trPr>
        <w:tc>
          <w:tcPr>
            <w:tcW w:w="849" w:type="dxa"/>
          </w:tcPr>
          <w:p>
            <w:pPr>
              <w:pStyle w:val="TableParagraph"/>
              <w:spacing w:line="223" w:lineRule="exact"/>
              <w:ind w:left="122"/>
              <w:rPr>
                <w:sz w:val="20"/>
              </w:rPr>
            </w:pPr>
            <w:r>
              <w:rPr>
                <w:spacing w:val="-4"/>
                <w:sz w:val="20"/>
              </w:rPr>
              <w:t>2013</w:t>
            </w:r>
          </w:p>
        </w:tc>
        <w:tc>
          <w:tcPr>
            <w:tcW w:w="2137" w:type="dxa"/>
          </w:tcPr>
          <w:p>
            <w:pPr>
              <w:pStyle w:val="TableParagraph"/>
              <w:spacing w:line="223" w:lineRule="exact"/>
              <w:ind w:left="262"/>
              <w:rPr>
                <w:sz w:val="20"/>
              </w:rPr>
            </w:pPr>
            <w:r>
              <w:rPr>
                <w:spacing w:val="-2"/>
                <w:sz w:val="20"/>
              </w:rPr>
              <w:t>1,221,000,000.00</w:t>
            </w:r>
          </w:p>
        </w:tc>
        <w:tc>
          <w:tcPr>
            <w:tcW w:w="1979" w:type="dxa"/>
          </w:tcPr>
          <w:p>
            <w:pPr>
              <w:pStyle w:val="TableParagraph"/>
              <w:spacing w:line="223" w:lineRule="exact"/>
              <w:ind w:left="196"/>
              <w:rPr>
                <w:sz w:val="20"/>
              </w:rPr>
            </w:pPr>
            <w:r>
              <w:rPr>
                <w:spacing w:val="-2"/>
                <w:sz w:val="20"/>
              </w:rPr>
              <w:t>1,406,800,000.00</w:t>
            </w:r>
          </w:p>
        </w:tc>
        <w:tc>
          <w:tcPr>
            <w:tcW w:w="2098" w:type="dxa"/>
          </w:tcPr>
          <w:p>
            <w:pPr>
              <w:pStyle w:val="TableParagraph"/>
              <w:spacing w:line="223" w:lineRule="exact"/>
              <w:ind w:left="287"/>
              <w:rPr>
                <w:sz w:val="20"/>
              </w:rPr>
            </w:pPr>
            <w:r>
              <w:rPr>
                <w:spacing w:val="-4"/>
                <w:sz w:val="20"/>
              </w:rPr>
              <w:t>-</w:t>
            </w:r>
            <w:r>
              <w:rPr>
                <w:spacing w:val="-2"/>
                <w:sz w:val="20"/>
              </w:rPr>
              <w:t>185,800,000.00</w:t>
            </w:r>
          </w:p>
        </w:tc>
        <w:tc>
          <w:tcPr>
            <w:tcW w:w="2400" w:type="dxa"/>
          </w:tcPr>
          <w:p>
            <w:pPr>
              <w:pStyle w:val="TableParagraph"/>
              <w:spacing w:line="223" w:lineRule="exact"/>
              <w:ind w:left="349"/>
              <w:rPr>
                <w:sz w:val="20"/>
              </w:rPr>
            </w:pPr>
            <w:r>
              <w:rPr>
                <w:spacing w:val="-4"/>
                <w:sz w:val="20"/>
              </w:rPr>
              <w:t>-15.21</w:t>
            </w:r>
          </w:p>
        </w:tc>
      </w:tr>
      <w:tr>
        <w:trPr>
          <w:trHeight w:val="300" w:hRule="atLeast"/>
        </w:trPr>
        <w:tc>
          <w:tcPr>
            <w:tcW w:w="849" w:type="dxa"/>
            <w:shd w:val="clear" w:color="auto" w:fill="D2DFED"/>
          </w:tcPr>
          <w:p>
            <w:pPr>
              <w:pStyle w:val="TableParagraph"/>
              <w:spacing w:line="223" w:lineRule="exact"/>
              <w:ind w:left="122"/>
              <w:rPr>
                <w:sz w:val="20"/>
              </w:rPr>
            </w:pPr>
            <w:r>
              <w:rPr>
                <w:spacing w:val="-4"/>
                <w:sz w:val="20"/>
              </w:rPr>
              <w:t>2014</w:t>
            </w:r>
          </w:p>
        </w:tc>
        <w:tc>
          <w:tcPr>
            <w:tcW w:w="2137" w:type="dxa"/>
            <w:shd w:val="clear" w:color="auto" w:fill="D2DFED"/>
          </w:tcPr>
          <w:p>
            <w:pPr>
              <w:pStyle w:val="TableParagraph"/>
              <w:spacing w:line="223" w:lineRule="exact"/>
              <w:ind w:left="262"/>
              <w:rPr>
                <w:sz w:val="20"/>
              </w:rPr>
            </w:pPr>
            <w:r>
              <w:rPr>
                <w:spacing w:val="-2"/>
                <w:sz w:val="20"/>
              </w:rPr>
              <w:t>1,200,000,000.00</w:t>
            </w:r>
          </w:p>
        </w:tc>
        <w:tc>
          <w:tcPr>
            <w:tcW w:w="1979" w:type="dxa"/>
            <w:shd w:val="clear" w:color="auto" w:fill="D2DFED"/>
          </w:tcPr>
          <w:p>
            <w:pPr>
              <w:pStyle w:val="TableParagraph"/>
              <w:spacing w:line="223" w:lineRule="exact"/>
              <w:ind w:left="196"/>
              <w:rPr>
                <w:sz w:val="20"/>
              </w:rPr>
            </w:pPr>
            <w:r>
              <w:rPr>
                <w:spacing w:val="-2"/>
                <w:sz w:val="20"/>
              </w:rPr>
              <w:t>2,947,000,000.00</w:t>
            </w:r>
          </w:p>
        </w:tc>
        <w:tc>
          <w:tcPr>
            <w:tcW w:w="2098" w:type="dxa"/>
            <w:shd w:val="clear" w:color="auto" w:fill="D2DFED"/>
          </w:tcPr>
          <w:p>
            <w:pPr>
              <w:pStyle w:val="TableParagraph"/>
              <w:spacing w:line="223" w:lineRule="exact"/>
              <w:ind w:left="287"/>
              <w:rPr>
                <w:sz w:val="20"/>
              </w:rPr>
            </w:pPr>
            <w:r>
              <w:rPr>
                <w:spacing w:val="-2"/>
                <w:sz w:val="20"/>
              </w:rPr>
              <w:t>1,747,000,000.00</w:t>
            </w:r>
          </w:p>
        </w:tc>
        <w:tc>
          <w:tcPr>
            <w:tcW w:w="2400" w:type="dxa"/>
            <w:shd w:val="clear" w:color="auto" w:fill="D2DFED"/>
          </w:tcPr>
          <w:p>
            <w:pPr>
              <w:pStyle w:val="TableParagraph"/>
              <w:spacing w:line="223" w:lineRule="exact"/>
              <w:ind w:left="349"/>
              <w:rPr>
                <w:sz w:val="20"/>
              </w:rPr>
            </w:pPr>
            <w:r>
              <w:rPr>
                <w:spacing w:val="-2"/>
                <w:sz w:val="20"/>
              </w:rPr>
              <w:t>145.48</w:t>
            </w:r>
          </w:p>
        </w:tc>
      </w:tr>
      <w:tr>
        <w:trPr>
          <w:trHeight w:val="300" w:hRule="atLeast"/>
        </w:trPr>
        <w:tc>
          <w:tcPr>
            <w:tcW w:w="849" w:type="dxa"/>
          </w:tcPr>
          <w:p>
            <w:pPr>
              <w:pStyle w:val="TableParagraph"/>
              <w:spacing w:line="223" w:lineRule="exact"/>
              <w:ind w:left="122"/>
              <w:rPr>
                <w:sz w:val="20"/>
              </w:rPr>
            </w:pPr>
            <w:r>
              <w:rPr>
                <w:spacing w:val="-4"/>
                <w:sz w:val="20"/>
              </w:rPr>
              <w:t>2015</w:t>
            </w:r>
          </w:p>
        </w:tc>
        <w:tc>
          <w:tcPr>
            <w:tcW w:w="2137" w:type="dxa"/>
          </w:tcPr>
          <w:p>
            <w:pPr>
              <w:pStyle w:val="TableParagraph"/>
              <w:spacing w:line="223" w:lineRule="exact"/>
              <w:ind w:left="262"/>
              <w:rPr>
                <w:sz w:val="20"/>
              </w:rPr>
            </w:pPr>
            <w:r>
              <w:rPr>
                <w:spacing w:val="-2"/>
                <w:sz w:val="20"/>
              </w:rPr>
              <w:t>1,020,000,000.00</w:t>
            </w:r>
          </w:p>
        </w:tc>
        <w:tc>
          <w:tcPr>
            <w:tcW w:w="1979" w:type="dxa"/>
          </w:tcPr>
          <w:p>
            <w:pPr>
              <w:pStyle w:val="TableParagraph"/>
              <w:spacing w:line="223" w:lineRule="exact"/>
              <w:ind w:left="196"/>
              <w:rPr>
                <w:sz w:val="20"/>
              </w:rPr>
            </w:pPr>
            <w:r>
              <w:rPr>
                <w:spacing w:val="-2"/>
                <w:sz w:val="20"/>
              </w:rPr>
              <w:t>3,320,000,000.00</w:t>
            </w:r>
          </w:p>
        </w:tc>
        <w:tc>
          <w:tcPr>
            <w:tcW w:w="2098" w:type="dxa"/>
          </w:tcPr>
          <w:p>
            <w:pPr>
              <w:pStyle w:val="TableParagraph"/>
              <w:spacing w:line="223" w:lineRule="exact"/>
              <w:ind w:left="287"/>
              <w:rPr>
                <w:sz w:val="20"/>
              </w:rPr>
            </w:pPr>
            <w:r>
              <w:rPr>
                <w:spacing w:val="-2"/>
                <w:sz w:val="20"/>
              </w:rPr>
              <w:t>2,300,000,000.00</w:t>
            </w:r>
          </w:p>
        </w:tc>
        <w:tc>
          <w:tcPr>
            <w:tcW w:w="2400" w:type="dxa"/>
          </w:tcPr>
          <w:p>
            <w:pPr>
              <w:pStyle w:val="TableParagraph"/>
              <w:spacing w:line="223" w:lineRule="exact"/>
              <w:ind w:left="349"/>
              <w:rPr>
                <w:sz w:val="20"/>
              </w:rPr>
            </w:pPr>
            <w:r>
              <w:rPr>
                <w:spacing w:val="-2"/>
                <w:sz w:val="20"/>
              </w:rPr>
              <w:t>225.49</w:t>
            </w:r>
          </w:p>
        </w:tc>
      </w:tr>
      <w:tr>
        <w:trPr>
          <w:trHeight w:val="300" w:hRule="atLeast"/>
        </w:trPr>
        <w:tc>
          <w:tcPr>
            <w:tcW w:w="849" w:type="dxa"/>
            <w:shd w:val="clear" w:color="auto" w:fill="D2DFED"/>
          </w:tcPr>
          <w:p>
            <w:pPr>
              <w:pStyle w:val="TableParagraph"/>
              <w:spacing w:line="223" w:lineRule="exact"/>
              <w:ind w:left="122"/>
              <w:rPr>
                <w:sz w:val="20"/>
              </w:rPr>
            </w:pPr>
            <w:r>
              <w:rPr>
                <w:spacing w:val="-4"/>
                <w:sz w:val="20"/>
              </w:rPr>
              <w:t>2016</w:t>
            </w:r>
          </w:p>
        </w:tc>
        <w:tc>
          <w:tcPr>
            <w:tcW w:w="2137" w:type="dxa"/>
            <w:shd w:val="clear" w:color="auto" w:fill="D2DFED"/>
          </w:tcPr>
          <w:p>
            <w:pPr>
              <w:pStyle w:val="TableParagraph"/>
              <w:spacing w:line="223" w:lineRule="exact"/>
              <w:ind w:left="262"/>
              <w:rPr>
                <w:sz w:val="20"/>
              </w:rPr>
            </w:pPr>
            <w:r>
              <w:rPr>
                <w:spacing w:val="-2"/>
                <w:sz w:val="20"/>
              </w:rPr>
              <w:t>581,996,504.00</w:t>
            </w:r>
          </w:p>
        </w:tc>
        <w:tc>
          <w:tcPr>
            <w:tcW w:w="1979" w:type="dxa"/>
            <w:shd w:val="clear" w:color="auto" w:fill="D2DFED"/>
          </w:tcPr>
          <w:p>
            <w:pPr>
              <w:pStyle w:val="TableParagraph"/>
              <w:spacing w:line="223" w:lineRule="exact"/>
              <w:ind w:left="196"/>
              <w:rPr>
                <w:sz w:val="20"/>
              </w:rPr>
            </w:pPr>
            <w:r>
              <w:rPr>
                <w:spacing w:val="-2"/>
                <w:sz w:val="20"/>
              </w:rPr>
              <w:t>500,000,000.00</w:t>
            </w:r>
          </w:p>
        </w:tc>
        <w:tc>
          <w:tcPr>
            <w:tcW w:w="2098" w:type="dxa"/>
            <w:shd w:val="clear" w:color="auto" w:fill="D2DFED"/>
          </w:tcPr>
          <w:p>
            <w:pPr>
              <w:pStyle w:val="TableParagraph"/>
              <w:spacing w:line="223" w:lineRule="exact"/>
              <w:ind w:left="287"/>
              <w:rPr>
                <w:sz w:val="20"/>
              </w:rPr>
            </w:pPr>
            <w:r>
              <w:rPr>
                <w:spacing w:val="-2"/>
                <w:sz w:val="20"/>
              </w:rPr>
              <w:t>81,996,504.00</w:t>
            </w:r>
          </w:p>
        </w:tc>
        <w:tc>
          <w:tcPr>
            <w:tcW w:w="2400" w:type="dxa"/>
            <w:shd w:val="clear" w:color="auto" w:fill="D2DFED"/>
          </w:tcPr>
          <w:p>
            <w:pPr>
              <w:pStyle w:val="TableParagraph"/>
              <w:spacing w:line="223" w:lineRule="exact"/>
              <w:ind w:left="349"/>
              <w:rPr>
                <w:sz w:val="20"/>
              </w:rPr>
            </w:pPr>
            <w:r>
              <w:rPr>
                <w:spacing w:val="-2"/>
                <w:sz w:val="20"/>
              </w:rPr>
              <w:t>14.08</w:t>
            </w:r>
          </w:p>
        </w:tc>
      </w:tr>
      <w:tr>
        <w:trPr>
          <w:trHeight w:val="299" w:hRule="atLeast"/>
        </w:trPr>
        <w:tc>
          <w:tcPr>
            <w:tcW w:w="849" w:type="dxa"/>
            <w:tcBorders>
              <w:bottom w:val="single" w:sz="8" w:space="0" w:color="4F81BC"/>
            </w:tcBorders>
          </w:tcPr>
          <w:p>
            <w:pPr>
              <w:pStyle w:val="TableParagraph"/>
              <w:spacing w:line="228" w:lineRule="exact"/>
              <w:ind w:left="122"/>
              <w:rPr>
                <w:b/>
                <w:sz w:val="20"/>
              </w:rPr>
            </w:pPr>
            <w:r>
              <w:rPr>
                <w:b/>
                <w:spacing w:val="-2"/>
                <w:sz w:val="20"/>
              </w:rPr>
              <w:t>Total</w:t>
            </w:r>
          </w:p>
        </w:tc>
        <w:tc>
          <w:tcPr>
            <w:tcW w:w="2137" w:type="dxa"/>
            <w:tcBorders>
              <w:bottom w:val="single" w:sz="8" w:space="0" w:color="4F81BC"/>
            </w:tcBorders>
          </w:tcPr>
          <w:p>
            <w:pPr>
              <w:pStyle w:val="TableParagraph"/>
              <w:spacing w:line="228" w:lineRule="exact"/>
              <w:ind w:left="262"/>
              <w:rPr>
                <w:b/>
                <w:sz w:val="20"/>
              </w:rPr>
            </w:pPr>
            <w:r>
              <w:rPr>
                <w:b/>
                <w:spacing w:val="-2"/>
                <w:sz w:val="20"/>
              </w:rPr>
              <w:t>10,362,996,504.00</w:t>
            </w:r>
          </w:p>
        </w:tc>
        <w:tc>
          <w:tcPr>
            <w:tcW w:w="1979" w:type="dxa"/>
            <w:tcBorders>
              <w:bottom w:val="single" w:sz="8" w:space="0" w:color="4F81BC"/>
            </w:tcBorders>
          </w:tcPr>
          <w:p>
            <w:pPr>
              <w:pStyle w:val="TableParagraph"/>
              <w:spacing w:line="228" w:lineRule="exact"/>
              <w:ind w:left="196"/>
              <w:rPr>
                <w:b/>
                <w:sz w:val="20"/>
              </w:rPr>
            </w:pPr>
            <w:r>
              <w:rPr>
                <w:b/>
                <w:spacing w:val="-2"/>
                <w:sz w:val="20"/>
              </w:rPr>
              <w:t>14,862,800,000.00</w:t>
            </w:r>
          </w:p>
        </w:tc>
        <w:tc>
          <w:tcPr>
            <w:tcW w:w="2098" w:type="dxa"/>
            <w:tcBorders>
              <w:bottom w:val="single" w:sz="8" w:space="0" w:color="4F81BC"/>
            </w:tcBorders>
          </w:tcPr>
          <w:p>
            <w:pPr>
              <w:pStyle w:val="TableParagraph"/>
              <w:spacing w:line="228" w:lineRule="exact"/>
              <w:ind w:left="287"/>
              <w:rPr>
                <w:b/>
                <w:sz w:val="20"/>
              </w:rPr>
            </w:pPr>
            <w:r>
              <w:rPr>
                <w:b/>
                <w:spacing w:val="-2"/>
                <w:sz w:val="20"/>
              </w:rPr>
              <w:t>-4,499,803,496.00</w:t>
            </w:r>
          </w:p>
        </w:tc>
        <w:tc>
          <w:tcPr>
            <w:tcW w:w="2400" w:type="dxa"/>
            <w:tcBorders>
              <w:bottom w:val="single" w:sz="8" w:space="0" w:color="4F81BC"/>
            </w:tcBorders>
          </w:tcPr>
          <w:p>
            <w:pPr>
              <w:pStyle w:val="TableParagraph"/>
              <w:spacing w:line="228" w:lineRule="exact"/>
              <w:ind w:left="349"/>
              <w:rPr>
                <w:b/>
                <w:sz w:val="20"/>
              </w:rPr>
            </w:pPr>
            <w:r>
              <w:rPr>
                <w:b/>
                <w:spacing w:val="-2"/>
                <w:sz w:val="20"/>
              </w:rPr>
              <w:t>-30.28</w:t>
            </w:r>
          </w:p>
        </w:tc>
      </w:tr>
    </w:tbl>
    <w:p>
      <w:pPr>
        <w:spacing w:before="0"/>
        <w:ind w:left="240" w:right="834" w:firstLine="0"/>
        <w:jc w:val="both"/>
        <w:rPr>
          <w:sz w:val="22"/>
        </w:rPr>
      </w:pPr>
      <w:r>
        <w:rPr>
          <w:b/>
          <w:sz w:val="22"/>
        </w:rPr>
        <w:t>Source:</w:t>
      </w:r>
      <w:r>
        <w:rPr>
          <w:b/>
          <w:spacing w:val="-2"/>
          <w:sz w:val="22"/>
        </w:rPr>
        <w:t> </w:t>
      </w:r>
      <w:r>
        <w:rPr>
          <w:sz w:val="22"/>
        </w:rPr>
        <w:t>Budget</w:t>
      </w:r>
      <w:r>
        <w:rPr>
          <w:spacing w:val="-2"/>
          <w:sz w:val="22"/>
        </w:rPr>
        <w:t> </w:t>
      </w:r>
      <w:r>
        <w:rPr>
          <w:sz w:val="22"/>
        </w:rPr>
        <w:t>Ceilings</w:t>
      </w:r>
      <w:r>
        <w:rPr>
          <w:spacing w:val="-3"/>
          <w:sz w:val="22"/>
        </w:rPr>
        <w:t> </w:t>
      </w:r>
      <w:r>
        <w:rPr>
          <w:sz w:val="22"/>
        </w:rPr>
        <w:t>were</w:t>
      </w:r>
      <w:r>
        <w:rPr>
          <w:spacing w:val="-3"/>
          <w:sz w:val="22"/>
        </w:rPr>
        <w:t> </w:t>
      </w:r>
      <w:r>
        <w:rPr>
          <w:sz w:val="22"/>
        </w:rPr>
        <w:t>extracted</w:t>
      </w:r>
      <w:r>
        <w:rPr>
          <w:spacing w:val="-5"/>
          <w:sz w:val="22"/>
        </w:rPr>
        <w:t> </w:t>
      </w:r>
      <w:r>
        <w:rPr>
          <w:sz w:val="22"/>
        </w:rPr>
        <w:t>from</w:t>
      </w:r>
      <w:r>
        <w:rPr>
          <w:spacing w:val="-7"/>
          <w:sz w:val="22"/>
        </w:rPr>
        <w:t> </w:t>
      </w:r>
      <w:r>
        <w:rPr>
          <w:sz w:val="22"/>
        </w:rPr>
        <w:t>annual Budget</w:t>
      </w:r>
      <w:r>
        <w:rPr>
          <w:spacing w:val="-1"/>
          <w:sz w:val="22"/>
        </w:rPr>
        <w:t> </w:t>
      </w:r>
      <w:r>
        <w:rPr>
          <w:sz w:val="22"/>
        </w:rPr>
        <w:t>Call</w:t>
      </w:r>
      <w:r>
        <w:rPr>
          <w:spacing w:val="-2"/>
          <w:sz w:val="22"/>
        </w:rPr>
        <w:t> </w:t>
      </w:r>
      <w:r>
        <w:rPr>
          <w:sz w:val="22"/>
        </w:rPr>
        <w:t>Circulars,</w:t>
      </w:r>
      <w:r>
        <w:rPr>
          <w:spacing w:val="-3"/>
          <w:sz w:val="22"/>
        </w:rPr>
        <w:t> </w:t>
      </w:r>
      <w:r>
        <w:rPr>
          <w:sz w:val="22"/>
        </w:rPr>
        <w:t>while</w:t>
      </w:r>
      <w:r>
        <w:rPr>
          <w:spacing w:val="-5"/>
          <w:sz w:val="22"/>
        </w:rPr>
        <w:t> </w:t>
      </w:r>
      <w:r>
        <w:rPr>
          <w:sz w:val="22"/>
        </w:rPr>
        <w:t>final</w:t>
      </w:r>
      <w:r>
        <w:rPr>
          <w:spacing w:val="-2"/>
          <w:sz w:val="22"/>
        </w:rPr>
        <w:t> </w:t>
      </w:r>
      <w:r>
        <w:rPr>
          <w:sz w:val="22"/>
        </w:rPr>
        <w:t>budget</w:t>
      </w:r>
      <w:r>
        <w:rPr>
          <w:spacing w:val="-2"/>
          <w:sz w:val="22"/>
        </w:rPr>
        <w:t> </w:t>
      </w:r>
      <w:r>
        <w:rPr>
          <w:sz w:val="22"/>
        </w:rPr>
        <w:t>allocations were extracted from the annual, published budget estimates of Anambra State (2010– 2016)</w:t>
      </w:r>
    </w:p>
    <w:p>
      <w:pPr>
        <w:pStyle w:val="BodyText"/>
        <w:spacing w:before="158"/>
        <w:rPr>
          <w:sz w:val="22"/>
        </w:rPr>
      </w:pPr>
    </w:p>
    <w:p>
      <w:pPr>
        <w:pStyle w:val="BodyText"/>
        <w:spacing w:line="360" w:lineRule="auto"/>
        <w:ind w:left="240" w:right="836"/>
        <w:jc w:val="both"/>
      </w:pPr>
      <w:r>
        <w:rPr/>
        <w:t>A study of Table 5.19 shows that data on housing budget ceilings began from 2010. Date from 1999 - 2009 could not be obtained due to inability of staff</w:t>
      </w:r>
      <w:r>
        <w:rPr>
          <w:spacing w:val="40"/>
        </w:rPr>
        <w:t> </w:t>
      </w:r>
      <w:r>
        <w:rPr/>
        <w:t>of</w:t>
      </w:r>
      <w:r>
        <w:rPr>
          <w:spacing w:val="40"/>
        </w:rPr>
        <w:t> </w:t>
      </w:r>
      <w:r>
        <w:rPr/>
        <w:t>the Ministries of Budget and Housing to retrieve Budget Call Circulars for those years and make them available for the researcher. However, data for the 7 years obtained indicates that there was a general increase in housing budget allocation when compared with the initial Budget Ceiling, except in 2010 and 2016 where the final budget allocations or </w:t>
      </w:r>
      <w:r>
        <w:rPr>
          <w:dstrike/>
        </w:rPr>
        <w:t>N</w:t>
      </w:r>
      <w:r>
        <w:rPr>
          <w:strike w:val="0"/>
        </w:rPr>
        <w:t>2.43b and </w:t>
      </w:r>
      <w:r>
        <w:rPr>
          <w:dstrike/>
        </w:rPr>
        <w:t>N</w:t>
      </w:r>
      <w:r>
        <w:rPr>
          <w:strike w:val="0"/>
        </w:rPr>
        <w:t>500m was lesser than the budget</w:t>
      </w:r>
      <w:r>
        <w:rPr>
          <w:strike w:val="0"/>
          <w:spacing w:val="40"/>
        </w:rPr>
        <w:t> </w:t>
      </w:r>
      <w:r>
        <w:rPr>
          <w:strike w:val="0"/>
        </w:rPr>
        <w:t>ceilings of </w:t>
      </w:r>
      <w:r>
        <w:rPr>
          <w:dstrike/>
        </w:rPr>
        <w:t>N</w:t>
      </w:r>
      <w:r>
        <w:rPr>
          <w:strike w:val="0"/>
        </w:rPr>
        <w:t>2.64b and </w:t>
      </w:r>
      <w:r>
        <w:rPr>
          <w:dstrike/>
        </w:rPr>
        <w:t>N</w:t>
      </w:r>
      <w:r>
        <w:rPr>
          <w:strike w:val="0"/>
        </w:rPr>
        <w:t>581m. Similarly, based on the total sums, it can be seen that the total sum of the final budget allocation from 2010 – 2016 is </w:t>
      </w:r>
      <w:r>
        <w:rPr>
          <w:dstrike/>
        </w:rPr>
        <w:t>N</w:t>
      </w:r>
      <w:r>
        <w:rPr>
          <w:strike w:val="0"/>
        </w:rPr>
        <w:t>14.86b, which is higher than the total budget ceiling of </w:t>
      </w:r>
      <w:r>
        <w:rPr>
          <w:dstrike/>
        </w:rPr>
        <w:t>N</w:t>
      </w:r>
      <w:r>
        <w:rPr>
          <w:strike w:val="0"/>
        </w:rPr>
        <w:t>10.36b, with a difference of about </w:t>
      </w:r>
      <w:r>
        <w:rPr>
          <w:dstrike/>
        </w:rPr>
        <w:t>N</w:t>
      </w:r>
      <w:r>
        <w:rPr>
          <w:strike w:val="0"/>
        </w:rPr>
        <w:t>4.5b. Hence, the total percentage difference comes to about -30.28%.</w:t>
      </w:r>
    </w:p>
    <w:p>
      <w:pPr>
        <w:spacing w:after="0" w:line="360" w:lineRule="auto"/>
        <w:jc w:val="both"/>
        <w:sectPr>
          <w:pgSz w:w="12240" w:h="15840"/>
          <w:pgMar w:header="0" w:footer="1036" w:top="1380" w:bottom="1220" w:left="1200" w:right="600"/>
        </w:sectPr>
      </w:pPr>
    </w:p>
    <w:p>
      <w:pPr>
        <w:pStyle w:val="BodyText"/>
        <w:spacing w:line="360" w:lineRule="auto" w:before="74"/>
        <w:ind w:left="240" w:right="831"/>
        <w:jc w:val="both"/>
      </w:pPr>
      <w:r>
        <w:rPr/>
        <mc:AlternateContent>
          <mc:Choice Requires="wps">
            <w:drawing>
              <wp:anchor distT="0" distB="0" distL="0" distR="0" allowOverlap="1" layoutInCell="1" locked="0" behindDoc="0" simplePos="0" relativeHeight="15771136">
                <wp:simplePos x="0" y="0"/>
                <wp:positionH relativeFrom="page">
                  <wp:posOffset>908050</wp:posOffset>
                </wp:positionH>
                <wp:positionV relativeFrom="paragraph">
                  <wp:posOffset>1095883</wp:posOffset>
                </wp:positionV>
                <wp:extent cx="5880100" cy="3051175"/>
                <wp:effectExtent l="0" t="0" r="0" b="0"/>
                <wp:wrapNone/>
                <wp:docPr id="870" name="Group 870"/>
                <wp:cNvGraphicFramePr>
                  <a:graphicFrameLocks/>
                </wp:cNvGraphicFramePr>
                <a:graphic>
                  <a:graphicData uri="http://schemas.microsoft.com/office/word/2010/wordprocessingGroup">
                    <wpg:wgp>
                      <wpg:cNvPr id="870" name="Group 870"/>
                      <wpg:cNvGrpSpPr/>
                      <wpg:grpSpPr>
                        <a:xfrm>
                          <a:off x="0" y="0"/>
                          <a:ext cx="5880100" cy="3051175"/>
                          <a:chExt cx="5880100" cy="3051175"/>
                        </a:xfrm>
                      </wpg:grpSpPr>
                      <wps:wsp>
                        <wps:cNvPr id="871" name="Graphic 871"/>
                        <wps:cNvSpPr/>
                        <wps:spPr>
                          <a:xfrm>
                            <a:off x="983233" y="1097661"/>
                            <a:ext cx="3106420" cy="948055"/>
                          </a:xfrm>
                          <a:custGeom>
                            <a:avLst/>
                            <a:gdLst/>
                            <a:ahLst/>
                            <a:cxnLst/>
                            <a:rect l="l" t="t" r="r" b="b"/>
                            <a:pathLst>
                              <a:path w="3106420" h="948055">
                                <a:moveTo>
                                  <a:pt x="0" y="947927"/>
                                </a:moveTo>
                                <a:lnTo>
                                  <a:pt x="3105912" y="947927"/>
                                </a:lnTo>
                              </a:path>
                              <a:path w="3106420" h="948055">
                                <a:moveTo>
                                  <a:pt x="0" y="632459"/>
                                </a:moveTo>
                                <a:lnTo>
                                  <a:pt x="3105912" y="632459"/>
                                </a:lnTo>
                              </a:path>
                              <a:path w="3106420" h="948055">
                                <a:moveTo>
                                  <a:pt x="0" y="315467"/>
                                </a:moveTo>
                                <a:lnTo>
                                  <a:pt x="3105912" y="315467"/>
                                </a:lnTo>
                              </a:path>
                              <a:path w="3106420" h="948055">
                                <a:moveTo>
                                  <a:pt x="0" y="0"/>
                                </a:moveTo>
                                <a:lnTo>
                                  <a:pt x="3105912" y="0"/>
                                </a:lnTo>
                              </a:path>
                            </a:pathLst>
                          </a:custGeom>
                          <a:ln w="9144">
                            <a:solidFill>
                              <a:srgbClr val="858585"/>
                            </a:solidFill>
                            <a:prstDash val="solid"/>
                          </a:ln>
                        </wps:spPr>
                        <wps:bodyPr wrap="square" lIns="0" tIns="0" rIns="0" bIns="0" rtlCol="0">
                          <a:prstTxWarp prst="textNoShape">
                            <a:avLst/>
                          </a:prstTxWarp>
                          <a:noAutofit/>
                        </wps:bodyPr>
                      </wps:wsp>
                      <wps:wsp>
                        <wps:cNvPr id="872" name="Graphic 872"/>
                        <wps:cNvSpPr/>
                        <wps:spPr>
                          <a:xfrm>
                            <a:off x="983233" y="465201"/>
                            <a:ext cx="3106420" cy="315595"/>
                          </a:xfrm>
                          <a:custGeom>
                            <a:avLst/>
                            <a:gdLst/>
                            <a:ahLst/>
                            <a:cxnLst/>
                            <a:rect l="l" t="t" r="r" b="b"/>
                            <a:pathLst>
                              <a:path w="3106420" h="315595">
                                <a:moveTo>
                                  <a:pt x="710184" y="315468"/>
                                </a:moveTo>
                                <a:lnTo>
                                  <a:pt x="3105912" y="315468"/>
                                </a:lnTo>
                              </a:path>
                              <a:path w="3106420" h="315595">
                                <a:moveTo>
                                  <a:pt x="0" y="315468"/>
                                </a:moveTo>
                                <a:lnTo>
                                  <a:pt x="621792" y="315468"/>
                                </a:lnTo>
                              </a:path>
                              <a:path w="3106420" h="315595">
                                <a:moveTo>
                                  <a:pt x="2040635" y="0"/>
                                </a:moveTo>
                                <a:lnTo>
                                  <a:pt x="3105912" y="0"/>
                                </a:lnTo>
                              </a:path>
                              <a:path w="3106420" h="315595">
                                <a:moveTo>
                                  <a:pt x="0" y="0"/>
                                </a:moveTo>
                                <a:lnTo>
                                  <a:pt x="1952244" y="0"/>
                                </a:lnTo>
                              </a:path>
                            </a:pathLst>
                          </a:custGeom>
                          <a:ln w="9144">
                            <a:solidFill>
                              <a:srgbClr val="858585"/>
                            </a:solidFill>
                            <a:prstDash val="solid"/>
                          </a:ln>
                        </wps:spPr>
                        <wps:bodyPr wrap="square" lIns="0" tIns="0" rIns="0" bIns="0" rtlCol="0">
                          <a:prstTxWarp prst="textNoShape">
                            <a:avLst/>
                          </a:prstTxWarp>
                          <a:noAutofit/>
                        </wps:bodyPr>
                      </wps:wsp>
                      <wps:wsp>
                        <wps:cNvPr id="873" name="Graphic 873"/>
                        <wps:cNvSpPr/>
                        <wps:spPr>
                          <a:xfrm>
                            <a:off x="943610" y="148209"/>
                            <a:ext cx="3145790" cy="2214880"/>
                          </a:xfrm>
                          <a:custGeom>
                            <a:avLst/>
                            <a:gdLst/>
                            <a:ahLst/>
                            <a:cxnLst/>
                            <a:rect l="l" t="t" r="r" b="b"/>
                            <a:pathLst>
                              <a:path w="3145790" h="2214880">
                                <a:moveTo>
                                  <a:pt x="39623" y="0"/>
                                </a:moveTo>
                                <a:lnTo>
                                  <a:pt x="3145536" y="0"/>
                                </a:lnTo>
                              </a:path>
                              <a:path w="3145790" h="2214880">
                                <a:moveTo>
                                  <a:pt x="39623" y="2214371"/>
                                </a:moveTo>
                                <a:lnTo>
                                  <a:pt x="39623" y="0"/>
                                </a:lnTo>
                              </a:path>
                              <a:path w="3145790" h="2214880">
                                <a:moveTo>
                                  <a:pt x="0" y="2214371"/>
                                </a:moveTo>
                                <a:lnTo>
                                  <a:pt x="39623" y="2214371"/>
                                </a:lnTo>
                              </a:path>
                              <a:path w="3145790" h="2214880">
                                <a:moveTo>
                                  <a:pt x="0" y="1897379"/>
                                </a:moveTo>
                                <a:lnTo>
                                  <a:pt x="39623" y="1897379"/>
                                </a:lnTo>
                              </a:path>
                              <a:path w="3145790" h="2214880">
                                <a:moveTo>
                                  <a:pt x="0" y="1581911"/>
                                </a:moveTo>
                                <a:lnTo>
                                  <a:pt x="39623" y="1581911"/>
                                </a:lnTo>
                              </a:path>
                              <a:path w="3145790" h="2214880">
                                <a:moveTo>
                                  <a:pt x="0" y="1264919"/>
                                </a:moveTo>
                                <a:lnTo>
                                  <a:pt x="39623" y="1264919"/>
                                </a:lnTo>
                              </a:path>
                              <a:path w="3145790" h="2214880">
                                <a:moveTo>
                                  <a:pt x="0" y="949451"/>
                                </a:moveTo>
                                <a:lnTo>
                                  <a:pt x="39623" y="949451"/>
                                </a:lnTo>
                              </a:path>
                              <a:path w="3145790" h="2214880">
                                <a:moveTo>
                                  <a:pt x="0" y="632459"/>
                                </a:moveTo>
                                <a:lnTo>
                                  <a:pt x="39623" y="632459"/>
                                </a:lnTo>
                              </a:path>
                              <a:path w="3145790" h="2214880">
                                <a:moveTo>
                                  <a:pt x="0" y="316991"/>
                                </a:moveTo>
                                <a:lnTo>
                                  <a:pt x="39623" y="316991"/>
                                </a:lnTo>
                              </a:path>
                              <a:path w="3145790" h="2214880">
                                <a:moveTo>
                                  <a:pt x="0" y="0"/>
                                </a:moveTo>
                                <a:lnTo>
                                  <a:pt x="39623" y="0"/>
                                </a:lnTo>
                              </a:path>
                              <a:path w="3145790" h="2214880">
                                <a:moveTo>
                                  <a:pt x="39623" y="2214371"/>
                                </a:moveTo>
                                <a:lnTo>
                                  <a:pt x="3145536" y="2214371"/>
                                </a:lnTo>
                              </a:path>
                            </a:pathLst>
                          </a:custGeom>
                          <a:ln w="9144">
                            <a:solidFill>
                              <a:srgbClr val="858585"/>
                            </a:solidFill>
                            <a:prstDash val="solid"/>
                          </a:ln>
                        </wps:spPr>
                        <wps:bodyPr wrap="square" lIns="0" tIns="0" rIns="0" bIns="0" rtlCol="0">
                          <a:prstTxWarp prst="textNoShape">
                            <a:avLst/>
                          </a:prstTxWarp>
                          <a:noAutofit/>
                        </wps:bodyPr>
                      </wps:wsp>
                      <wps:wsp>
                        <wps:cNvPr id="874" name="Graphic 874"/>
                        <wps:cNvSpPr/>
                        <wps:spPr>
                          <a:xfrm>
                            <a:off x="1205738" y="692276"/>
                            <a:ext cx="2661285" cy="1303020"/>
                          </a:xfrm>
                          <a:custGeom>
                            <a:avLst/>
                            <a:gdLst/>
                            <a:ahLst/>
                            <a:cxnLst/>
                            <a:rect l="l" t="t" r="r" b="b"/>
                            <a:pathLst>
                              <a:path w="2661285" h="1303020">
                                <a:moveTo>
                                  <a:pt x="0" y="0"/>
                                </a:moveTo>
                                <a:lnTo>
                                  <a:pt x="443484" y="278892"/>
                                </a:lnTo>
                                <a:lnTo>
                                  <a:pt x="886968" y="722376"/>
                                </a:lnTo>
                                <a:lnTo>
                                  <a:pt x="1330452" y="899160"/>
                                </a:lnTo>
                                <a:lnTo>
                                  <a:pt x="1773936" y="911352"/>
                                </a:lnTo>
                                <a:lnTo>
                                  <a:pt x="2217420" y="1025652"/>
                                </a:lnTo>
                                <a:lnTo>
                                  <a:pt x="2660904" y="1303020"/>
                                </a:lnTo>
                              </a:path>
                            </a:pathLst>
                          </a:custGeom>
                          <a:ln w="27432">
                            <a:solidFill>
                              <a:srgbClr val="497DBA"/>
                            </a:solidFill>
                            <a:prstDash val="solid"/>
                          </a:ln>
                        </wps:spPr>
                        <wps:bodyPr wrap="square" lIns="0" tIns="0" rIns="0" bIns="0" rtlCol="0">
                          <a:prstTxWarp prst="textNoShape">
                            <a:avLst/>
                          </a:prstTxWarp>
                          <a:noAutofit/>
                        </wps:bodyPr>
                      </wps:wsp>
                      <pic:pic>
                        <pic:nvPicPr>
                          <pic:cNvPr id="875" name="Image 875"/>
                          <pic:cNvPicPr/>
                        </pic:nvPicPr>
                        <pic:blipFill>
                          <a:blip r:embed="rId116" cstate="print"/>
                          <a:stretch>
                            <a:fillRect/>
                          </a:stretch>
                        </pic:blipFill>
                        <pic:spPr>
                          <a:xfrm>
                            <a:off x="1156969" y="643508"/>
                            <a:ext cx="98044" cy="98044"/>
                          </a:xfrm>
                          <a:prstGeom prst="rect">
                            <a:avLst/>
                          </a:prstGeom>
                        </pic:spPr>
                      </pic:pic>
                      <pic:pic>
                        <pic:nvPicPr>
                          <pic:cNvPr id="876" name="Image 876"/>
                          <pic:cNvPicPr/>
                        </pic:nvPicPr>
                        <pic:blipFill>
                          <a:blip r:embed="rId113" cstate="print"/>
                          <a:stretch>
                            <a:fillRect/>
                          </a:stretch>
                        </pic:blipFill>
                        <pic:spPr>
                          <a:xfrm>
                            <a:off x="1600327" y="922019"/>
                            <a:ext cx="98044" cy="98044"/>
                          </a:xfrm>
                          <a:prstGeom prst="rect">
                            <a:avLst/>
                          </a:prstGeom>
                        </pic:spPr>
                      </pic:pic>
                      <pic:pic>
                        <pic:nvPicPr>
                          <pic:cNvPr id="877" name="Image 877"/>
                          <pic:cNvPicPr/>
                        </pic:nvPicPr>
                        <pic:blipFill>
                          <a:blip r:embed="rId113" cstate="print"/>
                          <a:stretch>
                            <a:fillRect/>
                          </a:stretch>
                        </pic:blipFill>
                        <pic:spPr>
                          <a:xfrm>
                            <a:off x="2043810" y="1364996"/>
                            <a:ext cx="98044" cy="98044"/>
                          </a:xfrm>
                          <a:prstGeom prst="rect">
                            <a:avLst/>
                          </a:prstGeom>
                        </pic:spPr>
                      </pic:pic>
                      <pic:pic>
                        <pic:nvPicPr>
                          <pic:cNvPr id="878" name="Image 878"/>
                          <pic:cNvPicPr/>
                        </pic:nvPicPr>
                        <pic:blipFill>
                          <a:blip r:embed="rId195" cstate="print"/>
                          <a:stretch>
                            <a:fillRect/>
                          </a:stretch>
                        </pic:blipFill>
                        <pic:spPr>
                          <a:xfrm>
                            <a:off x="2487167" y="1541652"/>
                            <a:ext cx="98044" cy="97917"/>
                          </a:xfrm>
                          <a:prstGeom prst="rect">
                            <a:avLst/>
                          </a:prstGeom>
                        </pic:spPr>
                      </pic:pic>
                      <pic:pic>
                        <pic:nvPicPr>
                          <pic:cNvPr id="879" name="Image 879"/>
                          <pic:cNvPicPr/>
                        </pic:nvPicPr>
                        <pic:blipFill>
                          <a:blip r:embed="rId111" cstate="print"/>
                          <a:stretch>
                            <a:fillRect/>
                          </a:stretch>
                        </pic:blipFill>
                        <pic:spPr>
                          <a:xfrm>
                            <a:off x="2930525" y="1554861"/>
                            <a:ext cx="98044" cy="98043"/>
                          </a:xfrm>
                          <a:prstGeom prst="rect">
                            <a:avLst/>
                          </a:prstGeom>
                        </pic:spPr>
                      </pic:pic>
                      <pic:pic>
                        <pic:nvPicPr>
                          <pic:cNvPr id="880" name="Image 880"/>
                          <pic:cNvPicPr/>
                        </pic:nvPicPr>
                        <pic:blipFill>
                          <a:blip r:embed="rId119" cstate="print"/>
                          <a:stretch>
                            <a:fillRect/>
                          </a:stretch>
                        </pic:blipFill>
                        <pic:spPr>
                          <a:xfrm>
                            <a:off x="3374009" y="1668779"/>
                            <a:ext cx="98044" cy="98044"/>
                          </a:xfrm>
                          <a:prstGeom prst="rect">
                            <a:avLst/>
                          </a:prstGeom>
                        </pic:spPr>
                      </pic:pic>
                      <pic:pic>
                        <pic:nvPicPr>
                          <pic:cNvPr id="881" name="Image 881"/>
                          <pic:cNvPicPr/>
                        </pic:nvPicPr>
                        <pic:blipFill>
                          <a:blip r:embed="rId111" cstate="print"/>
                          <a:stretch>
                            <a:fillRect/>
                          </a:stretch>
                        </pic:blipFill>
                        <pic:spPr>
                          <a:xfrm>
                            <a:off x="3817365" y="1946020"/>
                            <a:ext cx="98044" cy="98044"/>
                          </a:xfrm>
                          <a:prstGeom prst="rect">
                            <a:avLst/>
                          </a:prstGeom>
                        </pic:spPr>
                      </pic:pic>
                      <wps:wsp>
                        <wps:cNvPr id="882" name="Graphic 882"/>
                        <wps:cNvSpPr/>
                        <wps:spPr>
                          <a:xfrm>
                            <a:off x="1205738" y="260984"/>
                            <a:ext cx="2661285" cy="1786255"/>
                          </a:xfrm>
                          <a:custGeom>
                            <a:avLst/>
                            <a:gdLst/>
                            <a:ahLst/>
                            <a:cxnLst/>
                            <a:rect l="l" t="t" r="r" b="b"/>
                            <a:pathLst>
                              <a:path w="2661285" h="1786255">
                                <a:moveTo>
                                  <a:pt x="0" y="563879"/>
                                </a:moveTo>
                                <a:lnTo>
                                  <a:pt x="443484" y="550163"/>
                                </a:lnTo>
                                <a:lnTo>
                                  <a:pt x="886968" y="957072"/>
                                </a:lnTo>
                                <a:lnTo>
                                  <a:pt x="1330452" y="1211579"/>
                                </a:lnTo>
                                <a:lnTo>
                                  <a:pt x="1773936" y="236220"/>
                                </a:lnTo>
                                <a:lnTo>
                                  <a:pt x="2217420" y="0"/>
                                </a:lnTo>
                                <a:lnTo>
                                  <a:pt x="2660904" y="1786127"/>
                                </a:lnTo>
                              </a:path>
                            </a:pathLst>
                          </a:custGeom>
                          <a:ln w="27432">
                            <a:solidFill>
                              <a:srgbClr val="BD4A47"/>
                            </a:solidFill>
                            <a:prstDash val="solid"/>
                          </a:ln>
                        </wps:spPr>
                        <wps:bodyPr wrap="square" lIns="0" tIns="0" rIns="0" bIns="0" rtlCol="0">
                          <a:prstTxWarp prst="textNoShape">
                            <a:avLst/>
                          </a:prstTxWarp>
                          <a:noAutofit/>
                        </wps:bodyPr>
                      </wps:wsp>
                      <wps:wsp>
                        <wps:cNvPr id="883" name="Graphic 883"/>
                        <wps:cNvSpPr/>
                        <wps:spPr>
                          <a:xfrm>
                            <a:off x="1161541" y="780669"/>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884" name="Graphic 884"/>
                        <wps:cNvSpPr/>
                        <wps:spPr>
                          <a:xfrm>
                            <a:off x="1161541" y="780669"/>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885" name="Graphic 885"/>
                        <wps:cNvSpPr/>
                        <wps:spPr>
                          <a:xfrm>
                            <a:off x="1605025" y="766952"/>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886" name="Graphic 886"/>
                        <wps:cNvSpPr/>
                        <wps:spPr>
                          <a:xfrm>
                            <a:off x="1605025" y="766952"/>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887" name="Graphic 887"/>
                        <wps:cNvSpPr/>
                        <wps:spPr>
                          <a:xfrm>
                            <a:off x="2048510" y="1173861"/>
                            <a:ext cx="88900" cy="90170"/>
                          </a:xfrm>
                          <a:custGeom>
                            <a:avLst/>
                            <a:gdLst/>
                            <a:ahLst/>
                            <a:cxnLst/>
                            <a:rect l="l" t="t" r="r" b="b"/>
                            <a:pathLst>
                              <a:path w="88900" h="90170">
                                <a:moveTo>
                                  <a:pt x="88392" y="0"/>
                                </a:moveTo>
                                <a:lnTo>
                                  <a:pt x="0" y="0"/>
                                </a:lnTo>
                                <a:lnTo>
                                  <a:pt x="0" y="89916"/>
                                </a:lnTo>
                                <a:lnTo>
                                  <a:pt x="88392" y="89916"/>
                                </a:lnTo>
                                <a:lnTo>
                                  <a:pt x="88392" y="0"/>
                                </a:lnTo>
                                <a:close/>
                              </a:path>
                            </a:pathLst>
                          </a:custGeom>
                          <a:solidFill>
                            <a:srgbClr val="C0504D"/>
                          </a:solidFill>
                        </wps:spPr>
                        <wps:bodyPr wrap="square" lIns="0" tIns="0" rIns="0" bIns="0" rtlCol="0">
                          <a:prstTxWarp prst="textNoShape">
                            <a:avLst/>
                          </a:prstTxWarp>
                          <a:noAutofit/>
                        </wps:bodyPr>
                      </wps:wsp>
                      <wps:wsp>
                        <wps:cNvPr id="888" name="Graphic 888"/>
                        <wps:cNvSpPr/>
                        <wps:spPr>
                          <a:xfrm>
                            <a:off x="2048510" y="1173861"/>
                            <a:ext cx="88900" cy="90170"/>
                          </a:xfrm>
                          <a:custGeom>
                            <a:avLst/>
                            <a:gdLst/>
                            <a:ahLst/>
                            <a:cxnLst/>
                            <a:rect l="l" t="t" r="r" b="b"/>
                            <a:pathLst>
                              <a:path w="88900" h="90170">
                                <a:moveTo>
                                  <a:pt x="0" y="89916"/>
                                </a:moveTo>
                                <a:lnTo>
                                  <a:pt x="88392" y="89916"/>
                                </a:lnTo>
                                <a:lnTo>
                                  <a:pt x="88392"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889" name="Graphic 889"/>
                        <wps:cNvSpPr/>
                        <wps:spPr>
                          <a:xfrm>
                            <a:off x="2491994" y="1428369"/>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890" name="Graphic 890"/>
                        <wps:cNvSpPr/>
                        <wps:spPr>
                          <a:xfrm>
                            <a:off x="2491994" y="1428369"/>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891" name="Graphic 891"/>
                        <wps:cNvSpPr/>
                        <wps:spPr>
                          <a:xfrm>
                            <a:off x="2935477" y="453008"/>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892" name="Graphic 892"/>
                        <wps:cNvSpPr/>
                        <wps:spPr>
                          <a:xfrm>
                            <a:off x="2935477" y="453008"/>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893" name="Graphic 893"/>
                        <wps:cNvSpPr/>
                        <wps:spPr>
                          <a:xfrm>
                            <a:off x="3378961" y="216788"/>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894" name="Graphic 894"/>
                        <wps:cNvSpPr/>
                        <wps:spPr>
                          <a:xfrm>
                            <a:off x="3378961" y="216788"/>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895" name="Graphic 895"/>
                        <wps:cNvSpPr/>
                        <wps:spPr>
                          <a:xfrm>
                            <a:off x="3822446" y="2002917"/>
                            <a:ext cx="88900" cy="88900"/>
                          </a:xfrm>
                          <a:custGeom>
                            <a:avLst/>
                            <a:gdLst/>
                            <a:ahLst/>
                            <a:cxnLst/>
                            <a:rect l="l" t="t" r="r" b="b"/>
                            <a:pathLst>
                              <a:path w="88900" h="88900">
                                <a:moveTo>
                                  <a:pt x="88391" y="0"/>
                                </a:moveTo>
                                <a:lnTo>
                                  <a:pt x="0" y="0"/>
                                </a:lnTo>
                                <a:lnTo>
                                  <a:pt x="0" y="88391"/>
                                </a:lnTo>
                                <a:lnTo>
                                  <a:pt x="88391" y="88391"/>
                                </a:lnTo>
                                <a:lnTo>
                                  <a:pt x="88391" y="0"/>
                                </a:lnTo>
                                <a:close/>
                              </a:path>
                            </a:pathLst>
                          </a:custGeom>
                          <a:solidFill>
                            <a:srgbClr val="C0504D"/>
                          </a:solidFill>
                        </wps:spPr>
                        <wps:bodyPr wrap="square" lIns="0" tIns="0" rIns="0" bIns="0" rtlCol="0">
                          <a:prstTxWarp prst="textNoShape">
                            <a:avLst/>
                          </a:prstTxWarp>
                          <a:noAutofit/>
                        </wps:bodyPr>
                      </wps:wsp>
                      <wps:wsp>
                        <wps:cNvPr id="896" name="Graphic 896"/>
                        <wps:cNvSpPr/>
                        <wps:spPr>
                          <a:xfrm>
                            <a:off x="3822446" y="2002917"/>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897" name="Graphic 897"/>
                        <wps:cNvSpPr/>
                        <wps:spPr>
                          <a:xfrm>
                            <a:off x="241300" y="1095882"/>
                            <a:ext cx="36830" cy="83820"/>
                          </a:xfrm>
                          <a:custGeom>
                            <a:avLst/>
                            <a:gdLst/>
                            <a:ahLst/>
                            <a:cxnLst/>
                            <a:rect l="l" t="t" r="r" b="b"/>
                            <a:pathLst>
                              <a:path w="36830" h="83820">
                                <a:moveTo>
                                  <a:pt x="12192" y="0"/>
                                </a:moveTo>
                                <a:lnTo>
                                  <a:pt x="0" y="0"/>
                                </a:lnTo>
                                <a:lnTo>
                                  <a:pt x="0" y="83820"/>
                                </a:lnTo>
                                <a:lnTo>
                                  <a:pt x="12192" y="83820"/>
                                </a:lnTo>
                                <a:lnTo>
                                  <a:pt x="12192" y="0"/>
                                </a:lnTo>
                                <a:close/>
                              </a:path>
                              <a:path w="36830" h="83820">
                                <a:moveTo>
                                  <a:pt x="36576" y="0"/>
                                </a:moveTo>
                                <a:lnTo>
                                  <a:pt x="24384" y="0"/>
                                </a:lnTo>
                                <a:lnTo>
                                  <a:pt x="24384" y="83820"/>
                                </a:lnTo>
                                <a:lnTo>
                                  <a:pt x="36576" y="83820"/>
                                </a:lnTo>
                                <a:lnTo>
                                  <a:pt x="36576" y="0"/>
                                </a:lnTo>
                                <a:close/>
                              </a:path>
                            </a:pathLst>
                          </a:custGeom>
                          <a:solidFill>
                            <a:srgbClr val="000000"/>
                          </a:solidFill>
                        </wps:spPr>
                        <wps:bodyPr wrap="square" lIns="0" tIns="0" rIns="0" bIns="0" rtlCol="0">
                          <a:prstTxWarp prst="textNoShape">
                            <a:avLst/>
                          </a:prstTxWarp>
                          <a:noAutofit/>
                        </wps:bodyPr>
                      </wps:wsp>
                      <pic:pic>
                        <pic:nvPicPr>
                          <pic:cNvPr id="898" name="Image 898"/>
                          <pic:cNvPicPr/>
                        </pic:nvPicPr>
                        <pic:blipFill>
                          <a:blip r:embed="rId126" cstate="print"/>
                          <a:stretch>
                            <a:fillRect/>
                          </a:stretch>
                        </pic:blipFill>
                        <pic:spPr>
                          <a:xfrm>
                            <a:off x="4287265" y="1368933"/>
                            <a:ext cx="243839" cy="85344"/>
                          </a:xfrm>
                          <a:prstGeom prst="rect">
                            <a:avLst/>
                          </a:prstGeom>
                        </pic:spPr>
                      </pic:pic>
                      <wps:wsp>
                        <wps:cNvPr id="899" name="Graphic 899"/>
                        <wps:cNvSpPr/>
                        <wps:spPr>
                          <a:xfrm>
                            <a:off x="4287265" y="1640204"/>
                            <a:ext cx="243840" cy="1270"/>
                          </a:xfrm>
                          <a:custGeom>
                            <a:avLst/>
                            <a:gdLst/>
                            <a:ahLst/>
                            <a:cxnLst/>
                            <a:rect l="l" t="t" r="r" b="b"/>
                            <a:pathLst>
                              <a:path w="243840" h="0">
                                <a:moveTo>
                                  <a:pt x="0" y="0"/>
                                </a:moveTo>
                                <a:lnTo>
                                  <a:pt x="243839" y="0"/>
                                </a:lnTo>
                              </a:path>
                            </a:pathLst>
                          </a:custGeom>
                          <a:ln w="24384">
                            <a:solidFill>
                              <a:srgbClr val="BD4A47"/>
                            </a:solidFill>
                            <a:prstDash val="solid"/>
                          </a:ln>
                        </wps:spPr>
                        <wps:bodyPr wrap="square" lIns="0" tIns="0" rIns="0" bIns="0" rtlCol="0">
                          <a:prstTxWarp prst="textNoShape">
                            <a:avLst/>
                          </a:prstTxWarp>
                          <a:noAutofit/>
                        </wps:bodyPr>
                      </wps:wsp>
                      <wps:wsp>
                        <wps:cNvPr id="900" name="Graphic 900"/>
                        <wps:cNvSpPr/>
                        <wps:spPr>
                          <a:xfrm>
                            <a:off x="4371085" y="1602105"/>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C0504D"/>
                          </a:solidFill>
                        </wps:spPr>
                        <wps:bodyPr wrap="square" lIns="0" tIns="0" rIns="0" bIns="0" rtlCol="0">
                          <a:prstTxWarp prst="textNoShape">
                            <a:avLst/>
                          </a:prstTxWarp>
                          <a:noAutofit/>
                        </wps:bodyPr>
                      </wps:wsp>
                      <wps:wsp>
                        <wps:cNvPr id="901" name="Graphic 901"/>
                        <wps:cNvSpPr/>
                        <wps:spPr>
                          <a:xfrm>
                            <a:off x="4371085" y="1602105"/>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BD4A47"/>
                            </a:solidFill>
                            <a:prstDash val="solid"/>
                          </a:ln>
                        </wps:spPr>
                        <wps:bodyPr wrap="square" lIns="0" tIns="0" rIns="0" bIns="0" rtlCol="0">
                          <a:prstTxWarp prst="textNoShape">
                            <a:avLst/>
                          </a:prstTxWarp>
                          <a:noAutofit/>
                        </wps:bodyPr>
                      </wps:wsp>
                      <wps:wsp>
                        <wps:cNvPr id="902" name="Graphic 902"/>
                        <wps:cNvSpPr/>
                        <wps:spPr>
                          <a:xfrm>
                            <a:off x="6350" y="6350"/>
                            <a:ext cx="5867400" cy="3038475"/>
                          </a:xfrm>
                          <a:custGeom>
                            <a:avLst/>
                            <a:gdLst/>
                            <a:ahLst/>
                            <a:cxnLst/>
                            <a:rect l="l" t="t" r="r" b="b"/>
                            <a:pathLst>
                              <a:path w="5867400" h="3038475">
                                <a:moveTo>
                                  <a:pt x="0" y="3038475"/>
                                </a:moveTo>
                                <a:lnTo>
                                  <a:pt x="5867400" y="3038475"/>
                                </a:lnTo>
                                <a:lnTo>
                                  <a:pt x="5867400" y="0"/>
                                </a:lnTo>
                                <a:lnTo>
                                  <a:pt x="0" y="0"/>
                                </a:lnTo>
                                <a:lnTo>
                                  <a:pt x="0" y="3038475"/>
                                </a:lnTo>
                                <a:close/>
                              </a:path>
                            </a:pathLst>
                          </a:custGeom>
                          <a:ln w="12700">
                            <a:solidFill>
                              <a:srgbClr val="858585"/>
                            </a:solidFill>
                            <a:prstDash val="solid"/>
                          </a:ln>
                        </wps:spPr>
                        <wps:bodyPr wrap="square" lIns="0" tIns="0" rIns="0" bIns="0" rtlCol="0">
                          <a:prstTxWarp prst="textNoShape">
                            <a:avLst/>
                          </a:prstTxWarp>
                          <a:noAutofit/>
                        </wps:bodyPr>
                      </wps:wsp>
                      <wps:wsp>
                        <wps:cNvPr id="903" name="Textbox 903"/>
                        <wps:cNvSpPr txBox="1"/>
                        <wps:spPr>
                          <a:xfrm>
                            <a:off x="416941" y="88646"/>
                            <a:ext cx="461009" cy="1709420"/>
                          </a:xfrm>
                          <a:prstGeom prst="rect">
                            <a:avLst/>
                          </a:prstGeom>
                        </wps:spPr>
                        <wps:txbx>
                          <w:txbxContent>
                            <w:p>
                              <w:pPr>
                                <w:spacing w:line="203" w:lineRule="exact" w:before="0"/>
                                <w:ind w:left="0" w:right="0" w:firstLine="0"/>
                                <w:jc w:val="left"/>
                                <w:rPr>
                                  <w:rFonts w:ascii="Calibri"/>
                                  <w:sz w:val="20"/>
                                </w:rPr>
                              </w:pPr>
                              <w:r>
                                <w:rPr>
                                  <w:rFonts w:ascii="Calibri"/>
                                  <w:spacing w:val="-2"/>
                                  <w:sz w:val="20"/>
                                </w:rPr>
                                <w:t>3500000</w:t>
                              </w:r>
                            </w:p>
                            <w:p>
                              <w:pPr>
                                <w:spacing w:line="240" w:lineRule="auto" w:before="10"/>
                                <w:rPr>
                                  <w:rFonts w:ascii="Calibri"/>
                                  <w:sz w:val="20"/>
                                </w:rPr>
                              </w:pPr>
                            </w:p>
                            <w:p>
                              <w:pPr>
                                <w:spacing w:before="0"/>
                                <w:ind w:left="0" w:right="0" w:firstLine="0"/>
                                <w:jc w:val="left"/>
                                <w:rPr>
                                  <w:rFonts w:ascii="Calibri"/>
                                  <w:sz w:val="20"/>
                                </w:rPr>
                              </w:pPr>
                              <w:r>
                                <w:rPr>
                                  <w:rFonts w:ascii="Calibri"/>
                                  <w:spacing w:val="-2"/>
                                  <w:sz w:val="20"/>
                                </w:rPr>
                                <w:t>3000000</w:t>
                              </w:r>
                            </w:p>
                            <w:p>
                              <w:pPr>
                                <w:spacing w:line="240" w:lineRule="auto" w:before="10"/>
                                <w:rPr>
                                  <w:rFonts w:ascii="Calibri"/>
                                  <w:sz w:val="20"/>
                                </w:rPr>
                              </w:pPr>
                            </w:p>
                            <w:p>
                              <w:pPr>
                                <w:spacing w:before="0"/>
                                <w:ind w:left="0" w:right="0" w:firstLine="0"/>
                                <w:jc w:val="left"/>
                                <w:rPr>
                                  <w:rFonts w:ascii="Calibri"/>
                                  <w:sz w:val="20"/>
                                </w:rPr>
                              </w:pPr>
                              <w:r>
                                <w:rPr>
                                  <w:rFonts w:ascii="Calibri"/>
                                  <w:spacing w:val="-2"/>
                                  <w:sz w:val="20"/>
                                </w:rPr>
                                <w:t>2500000</w:t>
                              </w:r>
                            </w:p>
                            <w:p>
                              <w:pPr>
                                <w:spacing w:line="240" w:lineRule="auto" w:before="10"/>
                                <w:rPr>
                                  <w:rFonts w:ascii="Calibri"/>
                                  <w:sz w:val="20"/>
                                </w:rPr>
                              </w:pPr>
                            </w:p>
                            <w:p>
                              <w:pPr>
                                <w:spacing w:before="1"/>
                                <w:ind w:left="0" w:right="0" w:firstLine="0"/>
                                <w:jc w:val="left"/>
                                <w:rPr>
                                  <w:rFonts w:ascii="Calibri"/>
                                  <w:sz w:val="20"/>
                                </w:rPr>
                              </w:pPr>
                              <w:r>
                                <w:rPr>
                                  <w:rFonts w:ascii="Calibri"/>
                                  <w:spacing w:val="-2"/>
                                  <w:sz w:val="20"/>
                                </w:rPr>
                                <w:t>2000000</w:t>
                              </w:r>
                            </w:p>
                            <w:p>
                              <w:pPr>
                                <w:spacing w:line="240" w:lineRule="auto" w:before="9"/>
                                <w:rPr>
                                  <w:rFonts w:ascii="Calibri"/>
                                  <w:sz w:val="20"/>
                                </w:rPr>
                              </w:pPr>
                            </w:p>
                            <w:p>
                              <w:pPr>
                                <w:spacing w:before="1"/>
                                <w:ind w:left="0" w:right="0" w:firstLine="0"/>
                                <w:jc w:val="left"/>
                                <w:rPr>
                                  <w:rFonts w:ascii="Calibri"/>
                                  <w:sz w:val="20"/>
                                </w:rPr>
                              </w:pPr>
                              <w:r>
                                <w:rPr>
                                  <w:rFonts w:ascii="Calibri"/>
                                  <w:spacing w:val="-2"/>
                                  <w:sz w:val="20"/>
                                </w:rPr>
                                <w:t>1500000</w:t>
                              </w:r>
                            </w:p>
                            <w:p>
                              <w:pPr>
                                <w:spacing w:line="240" w:lineRule="auto" w:before="10"/>
                                <w:rPr>
                                  <w:rFonts w:ascii="Calibri"/>
                                  <w:sz w:val="20"/>
                                </w:rPr>
                              </w:pPr>
                            </w:p>
                            <w:p>
                              <w:pPr>
                                <w:spacing w:line="240" w:lineRule="exact" w:before="0"/>
                                <w:ind w:left="0" w:right="0" w:firstLine="0"/>
                                <w:jc w:val="left"/>
                                <w:rPr>
                                  <w:rFonts w:ascii="Calibri"/>
                                  <w:sz w:val="20"/>
                                </w:rPr>
                              </w:pPr>
                              <w:r>
                                <w:rPr>
                                  <w:rFonts w:ascii="Calibri"/>
                                  <w:spacing w:val="-2"/>
                                  <w:sz w:val="20"/>
                                </w:rPr>
                                <w:t>1000000</w:t>
                              </w:r>
                            </w:p>
                          </w:txbxContent>
                        </wps:txbx>
                        <wps:bodyPr wrap="square" lIns="0" tIns="0" rIns="0" bIns="0" rtlCol="0">
                          <a:noAutofit/>
                        </wps:bodyPr>
                      </wps:wsp>
                      <wps:wsp>
                        <wps:cNvPr id="904" name="Textbox 904"/>
                        <wps:cNvSpPr txBox="1"/>
                        <wps:spPr>
                          <a:xfrm>
                            <a:off x="4557903" y="1352422"/>
                            <a:ext cx="1196975" cy="356235"/>
                          </a:xfrm>
                          <a:prstGeom prst="rect">
                            <a:avLst/>
                          </a:prstGeom>
                        </wps:spPr>
                        <wps:txbx>
                          <w:txbxContent>
                            <w:p>
                              <w:pPr>
                                <w:spacing w:line="203" w:lineRule="exact" w:before="0"/>
                                <w:ind w:left="0" w:right="0" w:firstLine="0"/>
                                <w:jc w:val="left"/>
                                <w:rPr>
                                  <w:rFonts w:ascii="Calibri"/>
                                  <w:sz w:val="20"/>
                                </w:rPr>
                              </w:pPr>
                              <w:r>
                                <w:rPr>
                                  <w:rFonts w:ascii="Calibri"/>
                                  <w:sz w:val="20"/>
                                </w:rPr>
                                <w:t>Budget</w:t>
                              </w:r>
                              <w:r>
                                <w:rPr>
                                  <w:rFonts w:ascii="Calibri"/>
                                  <w:spacing w:val="-10"/>
                                  <w:sz w:val="20"/>
                                </w:rPr>
                                <w:t> </w:t>
                              </w:r>
                              <w:r>
                                <w:rPr>
                                  <w:rFonts w:ascii="Calibri"/>
                                  <w:spacing w:val="-2"/>
                                  <w:sz w:val="20"/>
                                </w:rPr>
                                <w:t>Ceiling</w:t>
                              </w:r>
                            </w:p>
                            <w:p>
                              <w:pPr>
                                <w:spacing w:line="240" w:lineRule="exact" w:before="117"/>
                                <w:ind w:left="0" w:right="0" w:firstLine="0"/>
                                <w:jc w:val="left"/>
                                <w:rPr>
                                  <w:rFonts w:ascii="Calibri"/>
                                  <w:sz w:val="20"/>
                                </w:rPr>
                              </w:pPr>
                              <w:r>
                                <w:rPr>
                                  <w:rFonts w:ascii="Calibri"/>
                                  <w:sz w:val="20"/>
                                </w:rPr>
                                <w:t>Final</w:t>
                              </w:r>
                              <w:r>
                                <w:rPr>
                                  <w:rFonts w:ascii="Calibri"/>
                                  <w:spacing w:val="-9"/>
                                  <w:sz w:val="20"/>
                                </w:rPr>
                                <w:t> </w:t>
                              </w:r>
                              <w:r>
                                <w:rPr>
                                  <w:rFonts w:ascii="Calibri"/>
                                  <w:sz w:val="20"/>
                                </w:rPr>
                                <w:t>Budget</w:t>
                              </w:r>
                              <w:r>
                                <w:rPr>
                                  <w:rFonts w:ascii="Calibri"/>
                                  <w:spacing w:val="-5"/>
                                  <w:sz w:val="20"/>
                                </w:rPr>
                                <w:t> </w:t>
                              </w:r>
                              <w:r>
                                <w:rPr>
                                  <w:rFonts w:ascii="Calibri"/>
                                  <w:spacing w:val="-2"/>
                                  <w:sz w:val="20"/>
                                </w:rPr>
                                <w:t>Allocation</w:t>
                              </w:r>
                            </w:p>
                          </w:txbxContent>
                        </wps:txbx>
                        <wps:bodyPr wrap="square" lIns="0" tIns="0" rIns="0" bIns="0" rtlCol="0">
                          <a:noAutofit/>
                        </wps:bodyPr>
                      </wps:wsp>
                      <wps:wsp>
                        <wps:cNvPr id="905" name="Textbox 905"/>
                        <wps:cNvSpPr txBox="1"/>
                        <wps:spPr>
                          <a:xfrm>
                            <a:off x="481202" y="1988185"/>
                            <a:ext cx="398145" cy="443230"/>
                          </a:xfrm>
                          <a:prstGeom prst="rect">
                            <a:avLst/>
                          </a:prstGeom>
                        </wps:spPr>
                        <wps:txbx>
                          <w:txbxContent>
                            <w:p>
                              <w:pPr>
                                <w:spacing w:line="203" w:lineRule="exact" w:before="0"/>
                                <w:ind w:left="0" w:right="19" w:firstLine="0"/>
                                <w:jc w:val="right"/>
                                <w:rPr>
                                  <w:rFonts w:ascii="Calibri"/>
                                  <w:sz w:val="20"/>
                                </w:rPr>
                              </w:pPr>
                              <w:r>
                                <w:rPr>
                                  <w:rFonts w:ascii="Calibri"/>
                                  <w:spacing w:val="-2"/>
                                  <w:sz w:val="20"/>
                                </w:rPr>
                                <w:t>500000</w:t>
                              </w:r>
                            </w:p>
                            <w:p>
                              <w:pPr>
                                <w:spacing w:line="240" w:lineRule="auto" w:before="9"/>
                                <w:rPr>
                                  <w:rFonts w:ascii="Calibri"/>
                                  <w:sz w:val="20"/>
                                </w:rPr>
                              </w:pPr>
                            </w:p>
                            <w:p>
                              <w:pPr>
                                <w:spacing w:line="240" w:lineRule="exact" w:before="1"/>
                                <w:ind w:left="0" w:right="18" w:firstLine="0"/>
                                <w:jc w:val="right"/>
                                <w:rPr>
                                  <w:rFonts w:ascii="Calibri"/>
                                  <w:sz w:val="20"/>
                                </w:rPr>
                              </w:pPr>
                              <w:r>
                                <w:rPr>
                                  <w:rFonts w:ascii="Calibri"/>
                                  <w:spacing w:val="-10"/>
                                  <w:sz w:val="20"/>
                                </w:rPr>
                                <w:t>0</w:t>
                              </w:r>
                            </w:p>
                          </w:txbxContent>
                        </wps:txbx>
                        <wps:bodyPr wrap="square" lIns="0" tIns="0" rIns="0" bIns="0" rtlCol="0">
                          <a:noAutofit/>
                        </wps:bodyPr>
                      </wps:wsp>
                      <wps:wsp>
                        <wps:cNvPr id="906" name="Textbox 906"/>
                        <wps:cNvSpPr txBox="1"/>
                        <wps:spPr>
                          <a:xfrm>
                            <a:off x="1077467" y="2506979"/>
                            <a:ext cx="2930525" cy="377190"/>
                          </a:xfrm>
                          <a:prstGeom prst="rect">
                            <a:avLst/>
                          </a:prstGeom>
                        </wps:spPr>
                        <wps:txbx>
                          <w:txbxContent>
                            <w:p>
                              <w:pPr>
                                <w:tabs>
                                  <w:tab w:pos="698" w:val="left" w:leader="none"/>
                                  <w:tab w:pos="1396" w:val="left" w:leader="none"/>
                                  <w:tab w:pos="2095" w:val="left" w:leader="none"/>
                                  <w:tab w:pos="2793" w:val="left" w:leader="none"/>
                                  <w:tab w:pos="3492" w:val="left" w:leader="none"/>
                                  <w:tab w:pos="4191" w:val="left" w:leader="none"/>
                                </w:tabs>
                                <w:spacing w:line="203" w:lineRule="exact" w:before="0"/>
                                <w:ind w:left="0" w:right="18" w:firstLine="0"/>
                                <w:jc w:val="center"/>
                                <w:rPr>
                                  <w:rFonts w:ascii="Calibri"/>
                                  <w:sz w:val="20"/>
                                </w:rPr>
                              </w:pPr>
                              <w:r>
                                <w:rPr>
                                  <w:rFonts w:ascii="Calibri"/>
                                  <w:spacing w:val="-4"/>
                                  <w:sz w:val="20"/>
                                </w:rPr>
                                <w:t>2010</w:t>
                              </w:r>
                              <w:r>
                                <w:rPr>
                                  <w:rFonts w:ascii="Calibri"/>
                                  <w:sz w:val="20"/>
                                </w:rPr>
                                <w:tab/>
                              </w:r>
                              <w:r>
                                <w:rPr>
                                  <w:rFonts w:ascii="Calibri"/>
                                  <w:spacing w:val="-4"/>
                                  <w:sz w:val="20"/>
                                </w:rPr>
                                <w:t>2011</w:t>
                              </w:r>
                              <w:r>
                                <w:rPr>
                                  <w:rFonts w:ascii="Calibri"/>
                                  <w:sz w:val="20"/>
                                </w:rPr>
                                <w:tab/>
                              </w:r>
                              <w:r>
                                <w:rPr>
                                  <w:rFonts w:ascii="Calibri"/>
                                  <w:spacing w:val="-4"/>
                                  <w:sz w:val="20"/>
                                </w:rPr>
                                <w:t>2012</w:t>
                              </w:r>
                              <w:r>
                                <w:rPr>
                                  <w:rFonts w:ascii="Calibri"/>
                                  <w:sz w:val="20"/>
                                </w:rPr>
                                <w:tab/>
                              </w:r>
                              <w:r>
                                <w:rPr>
                                  <w:rFonts w:ascii="Calibri"/>
                                  <w:spacing w:val="-4"/>
                                  <w:sz w:val="20"/>
                                </w:rPr>
                                <w:t>2013</w:t>
                              </w:r>
                              <w:r>
                                <w:rPr>
                                  <w:rFonts w:ascii="Calibri"/>
                                  <w:sz w:val="20"/>
                                </w:rPr>
                                <w:tab/>
                              </w:r>
                              <w:r>
                                <w:rPr>
                                  <w:rFonts w:ascii="Calibri"/>
                                  <w:spacing w:val="-4"/>
                                  <w:sz w:val="20"/>
                                </w:rPr>
                                <w:t>2014</w:t>
                              </w:r>
                              <w:r>
                                <w:rPr>
                                  <w:rFonts w:ascii="Calibri"/>
                                  <w:sz w:val="20"/>
                                </w:rPr>
                                <w:tab/>
                              </w:r>
                              <w:r>
                                <w:rPr>
                                  <w:rFonts w:ascii="Calibri"/>
                                  <w:spacing w:val="-4"/>
                                  <w:sz w:val="20"/>
                                </w:rPr>
                                <w:t>2015</w:t>
                              </w:r>
                              <w:r>
                                <w:rPr>
                                  <w:rFonts w:ascii="Calibri"/>
                                  <w:sz w:val="20"/>
                                </w:rPr>
                                <w:tab/>
                              </w:r>
                              <w:r>
                                <w:rPr>
                                  <w:rFonts w:ascii="Calibri"/>
                                  <w:spacing w:val="-4"/>
                                  <w:sz w:val="20"/>
                                </w:rPr>
                                <w:t>2016</w:t>
                              </w:r>
                            </w:p>
                            <w:p>
                              <w:pPr>
                                <w:spacing w:line="240" w:lineRule="exact" w:before="150"/>
                                <w:ind w:left="0" w:right="18" w:firstLine="0"/>
                                <w:jc w:val="center"/>
                                <w:rPr>
                                  <w:rFonts w:ascii="Calibri"/>
                                  <w:b/>
                                  <w:sz w:val="20"/>
                                </w:rPr>
                              </w:pPr>
                              <w:r>
                                <w:rPr>
                                  <w:rFonts w:ascii="Calibri"/>
                                  <w:b/>
                                  <w:spacing w:val="-2"/>
                                  <w:sz w:val="20"/>
                                </w:rPr>
                                <w:t>Years</w:t>
                              </w:r>
                            </w:p>
                          </w:txbxContent>
                        </wps:txbx>
                        <wps:bodyPr wrap="square" lIns="0" tIns="0" rIns="0" bIns="0" rtlCol="0">
                          <a:noAutofit/>
                        </wps:bodyPr>
                      </wps:wsp>
                    </wpg:wgp>
                  </a:graphicData>
                </a:graphic>
              </wp:anchor>
            </w:drawing>
          </mc:Choice>
          <mc:Fallback>
            <w:pict>
              <v:group style="position:absolute;margin-left:71.5pt;margin-top:86.290001pt;width:463pt;height:240.25pt;mso-position-horizontal-relative:page;mso-position-vertical-relative:paragraph;z-index:15771136" id="docshapegroup822" coordorigin="1430,1726" coordsize="9260,4805">
                <v:shape style="position:absolute;left:2978;top:3454;width:4892;height:1493" id="docshape823" coordorigin="2978,3454" coordsize="4892,1493" path="m2978,4947l7870,4947m2978,4450l7870,4450m2978,3951l7870,3951m2978,3454l7870,3454e" filled="false" stroked="true" strokeweight=".72pt" strokecolor="#858585">
                  <v:path arrowok="t"/>
                  <v:stroke dashstyle="solid"/>
                </v:shape>
                <v:shape style="position:absolute;left:2978;top:2458;width:4892;height:497" id="docshape824" coordorigin="2978,2458" coordsize="4892,497" path="m4097,2955l7870,2955m2978,2955l3958,2955m6192,2458l7870,2458m2978,2458l6053,2458e" filled="false" stroked="true" strokeweight=".72pt" strokecolor="#858585">
                  <v:path arrowok="t"/>
                  <v:stroke dashstyle="solid"/>
                </v:shape>
                <v:shape style="position:absolute;left:2916;top:1959;width:4954;height:3488" id="docshape825" coordorigin="2916,1959" coordsize="4954,3488" path="m2978,1959l7870,1959m2978,5446l2978,1959m2916,5446l2978,5446m2916,4947l2978,4947m2916,4450l2978,4450m2916,3951l2978,3951m2916,3454l2978,3454m2916,2955l2978,2955m2916,2458l2978,2458m2916,1959l2978,1959m2978,5446l7870,5446e" filled="false" stroked="true" strokeweight=".72pt" strokecolor="#858585">
                  <v:path arrowok="t"/>
                  <v:stroke dashstyle="solid"/>
                </v:shape>
                <v:shape style="position:absolute;left:3328;top:2816;width:4191;height:2052" id="docshape826" coordorigin="3329,2816" coordsize="4191,2052" path="m3329,2816l4027,3255,4726,3954,5424,4232,6122,4251,6821,4431,7519,4868e" filled="false" stroked="true" strokeweight="2.16pt" strokecolor="#497dba">
                  <v:path arrowok="t"/>
                  <v:stroke dashstyle="solid"/>
                </v:shape>
                <v:shape style="position:absolute;left:3252;top:2739;width:155;height:155" type="#_x0000_t75" id="docshape827" stroked="false">
                  <v:imagedata r:id="rId116" o:title=""/>
                </v:shape>
                <v:shape style="position:absolute;left:3950;top:3177;width:155;height:155" type="#_x0000_t75" id="docshape828" stroked="false">
                  <v:imagedata r:id="rId113" o:title=""/>
                </v:shape>
                <v:shape style="position:absolute;left:4648;top:3875;width:155;height:155" type="#_x0000_t75" id="docshape829" stroked="false">
                  <v:imagedata r:id="rId113" o:title=""/>
                </v:shape>
                <v:shape style="position:absolute;left:5346;top:4153;width:155;height:155" type="#_x0000_t75" id="docshape830" stroked="false">
                  <v:imagedata r:id="rId195" o:title=""/>
                </v:shape>
                <v:shape style="position:absolute;left:6045;top:4174;width:155;height:155" type="#_x0000_t75" id="docshape831" stroked="false">
                  <v:imagedata r:id="rId111" o:title=""/>
                </v:shape>
                <v:shape style="position:absolute;left:6743;top:4353;width:155;height:155" type="#_x0000_t75" id="docshape832" stroked="false">
                  <v:imagedata r:id="rId119" o:title=""/>
                </v:shape>
                <v:shape style="position:absolute;left:7441;top:4790;width:155;height:155" type="#_x0000_t75" id="docshape833" stroked="false">
                  <v:imagedata r:id="rId111" o:title=""/>
                </v:shape>
                <v:shape style="position:absolute;left:3328;top:2136;width:4191;height:2813" id="docshape834" coordorigin="3329,2137" coordsize="4191,2813" path="m3329,3025l4027,3003,4726,3644,5424,4045,6122,2509,6821,2137,7519,4950e" filled="false" stroked="true" strokeweight="2.16pt" strokecolor="#bd4a47">
                  <v:path arrowok="t"/>
                  <v:stroke dashstyle="solid"/>
                </v:shape>
                <v:rect style="position:absolute;left:3259;top:2955;width:140;height:140" id="docshape835" filled="true" fillcolor="#c0504d" stroked="false">
                  <v:fill type="solid"/>
                </v:rect>
                <v:rect style="position:absolute;left:3259;top:2955;width:140;height:140" id="docshape836" filled="false" stroked="true" strokeweight=".72pt" strokecolor="#bd4a47">
                  <v:stroke dashstyle="solid"/>
                </v:rect>
                <v:rect style="position:absolute;left:3957;top:2933;width:140;height:140" id="docshape837" filled="true" fillcolor="#c0504d" stroked="false">
                  <v:fill type="solid"/>
                </v:rect>
                <v:rect style="position:absolute;left:3957;top:2933;width:140;height:140" id="docshape838" filled="false" stroked="true" strokeweight=".72pt" strokecolor="#bd4a47">
                  <v:stroke dashstyle="solid"/>
                </v:rect>
                <v:rect style="position:absolute;left:4656;top:3574;width:140;height:142" id="docshape839" filled="true" fillcolor="#c0504d" stroked="false">
                  <v:fill type="solid"/>
                </v:rect>
                <v:rect style="position:absolute;left:4656;top:3574;width:140;height:142" id="docshape840" filled="false" stroked="true" strokeweight=".72pt" strokecolor="#bd4a47">
                  <v:stroke dashstyle="solid"/>
                </v:rect>
                <v:rect style="position:absolute;left:5354;top:3975;width:140;height:140" id="docshape841" filled="true" fillcolor="#c0504d" stroked="false">
                  <v:fill type="solid"/>
                </v:rect>
                <v:rect style="position:absolute;left:5354;top:3975;width:140;height:140" id="docshape842" filled="false" stroked="true" strokeweight=".72pt" strokecolor="#bd4a47">
                  <v:stroke dashstyle="solid"/>
                </v:rect>
                <v:rect style="position:absolute;left:6052;top:2439;width:140;height:140" id="docshape843" filled="true" fillcolor="#c0504d" stroked="false">
                  <v:fill type="solid"/>
                </v:rect>
                <v:rect style="position:absolute;left:6052;top:2439;width:140;height:140" id="docshape844" filled="false" stroked="true" strokeweight=".72pt" strokecolor="#bd4a47">
                  <v:stroke dashstyle="solid"/>
                </v:rect>
                <v:rect style="position:absolute;left:6751;top:2067;width:140;height:140" id="docshape845" filled="true" fillcolor="#c0504d" stroked="false">
                  <v:fill type="solid"/>
                </v:rect>
                <v:rect style="position:absolute;left:6751;top:2067;width:140;height:140" id="docshape846" filled="false" stroked="true" strokeweight=".72pt" strokecolor="#bd4a47">
                  <v:stroke dashstyle="solid"/>
                </v:rect>
                <v:rect style="position:absolute;left:7449;top:4880;width:140;height:140" id="docshape847" filled="true" fillcolor="#c0504d" stroked="false">
                  <v:fill type="solid"/>
                </v:rect>
                <v:rect style="position:absolute;left:7449;top:4880;width:140;height:140" id="docshape848" filled="false" stroked="true" strokeweight=".72pt" strokecolor="#bd4a47">
                  <v:stroke dashstyle="solid"/>
                </v:rect>
                <v:shape style="position:absolute;left:1810;top:3451;width:58;height:132" id="docshape849" coordorigin="1810,3452" coordsize="58,132" path="m1829,3452l1810,3452,1810,3584,1829,3584,1829,3452xm1868,3452l1848,3452,1848,3584,1868,3584,1868,3452xe" filled="true" fillcolor="#000000" stroked="false">
                  <v:path arrowok="t"/>
                  <v:fill type="solid"/>
                </v:shape>
                <v:shape style="position:absolute;left:8181;top:3881;width:384;height:135" type="#_x0000_t75" id="docshape850" stroked="false">
                  <v:imagedata r:id="rId126" o:title=""/>
                </v:shape>
                <v:line style="position:absolute" from="8182,4309" to="8566,4309" stroked="true" strokeweight="1.92pt" strokecolor="#bd4a47">
                  <v:stroke dashstyle="solid"/>
                </v:line>
                <v:rect style="position:absolute;left:8313;top:4248;width:120;height:120" id="docshape851" filled="true" fillcolor="#c0504d" stroked="false">
                  <v:fill type="solid"/>
                </v:rect>
                <v:rect style="position:absolute;left:8313;top:4248;width:120;height:120" id="docshape852" filled="false" stroked="true" strokeweight=".72pt" strokecolor="#bd4a47">
                  <v:stroke dashstyle="solid"/>
                </v:rect>
                <v:rect style="position:absolute;left:1440;top:1735;width:9240;height:4785" id="docshape853" filled="false" stroked="true" strokeweight="1.0pt" strokecolor="#858585">
                  <v:stroke dashstyle="solid"/>
                </v:rect>
                <v:shape style="position:absolute;left:2086;top:1865;width:726;height:2692" type="#_x0000_t202" id="docshape854" filled="false" stroked="false">
                  <v:textbox inset="0,0,0,0">
                    <w:txbxContent>
                      <w:p>
                        <w:pPr>
                          <w:spacing w:line="203" w:lineRule="exact" w:before="0"/>
                          <w:ind w:left="0" w:right="0" w:firstLine="0"/>
                          <w:jc w:val="left"/>
                          <w:rPr>
                            <w:rFonts w:ascii="Calibri"/>
                            <w:sz w:val="20"/>
                          </w:rPr>
                        </w:pPr>
                        <w:r>
                          <w:rPr>
                            <w:rFonts w:ascii="Calibri"/>
                            <w:spacing w:val="-2"/>
                            <w:sz w:val="20"/>
                          </w:rPr>
                          <w:t>3500000</w:t>
                        </w:r>
                      </w:p>
                      <w:p>
                        <w:pPr>
                          <w:spacing w:line="240" w:lineRule="auto" w:before="10"/>
                          <w:rPr>
                            <w:rFonts w:ascii="Calibri"/>
                            <w:sz w:val="20"/>
                          </w:rPr>
                        </w:pPr>
                      </w:p>
                      <w:p>
                        <w:pPr>
                          <w:spacing w:before="0"/>
                          <w:ind w:left="0" w:right="0" w:firstLine="0"/>
                          <w:jc w:val="left"/>
                          <w:rPr>
                            <w:rFonts w:ascii="Calibri"/>
                            <w:sz w:val="20"/>
                          </w:rPr>
                        </w:pPr>
                        <w:r>
                          <w:rPr>
                            <w:rFonts w:ascii="Calibri"/>
                            <w:spacing w:val="-2"/>
                            <w:sz w:val="20"/>
                          </w:rPr>
                          <w:t>3000000</w:t>
                        </w:r>
                      </w:p>
                      <w:p>
                        <w:pPr>
                          <w:spacing w:line="240" w:lineRule="auto" w:before="10"/>
                          <w:rPr>
                            <w:rFonts w:ascii="Calibri"/>
                            <w:sz w:val="20"/>
                          </w:rPr>
                        </w:pPr>
                      </w:p>
                      <w:p>
                        <w:pPr>
                          <w:spacing w:before="0"/>
                          <w:ind w:left="0" w:right="0" w:firstLine="0"/>
                          <w:jc w:val="left"/>
                          <w:rPr>
                            <w:rFonts w:ascii="Calibri"/>
                            <w:sz w:val="20"/>
                          </w:rPr>
                        </w:pPr>
                        <w:r>
                          <w:rPr>
                            <w:rFonts w:ascii="Calibri"/>
                            <w:spacing w:val="-2"/>
                            <w:sz w:val="20"/>
                          </w:rPr>
                          <w:t>2500000</w:t>
                        </w:r>
                      </w:p>
                      <w:p>
                        <w:pPr>
                          <w:spacing w:line="240" w:lineRule="auto" w:before="10"/>
                          <w:rPr>
                            <w:rFonts w:ascii="Calibri"/>
                            <w:sz w:val="20"/>
                          </w:rPr>
                        </w:pPr>
                      </w:p>
                      <w:p>
                        <w:pPr>
                          <w:spacing w:before="1"/>
                          <w:ind w:left="0" w:right="0" w:firstLine="0"/>
                          <w:jc w:val="left"/>
                          <w:rPr>
                            <w:rFonts w:ascii="Calibri"/>
                            <w:sz w:val="20"/>
                          </w:rPr>
                        </w:pPr>
                        <w:r>
                          <w:rPr>
                            <w:rFonts w:ascii="Calibri"/>
                            <w:spacing w:val="-2"/>
                            <w:sz w:val="20"/>
                          </w:rPr>
                          <w:t>2000000</w:t>
                        </w:r>
                      </w:p>
                      <w:p>
                        <w:pPr>
                          <w:spacing w:line="240" w:lineRule="auto" w:before="9"/>
                          <w:rPr>
                            <w:rFonts w:ascii="Calibri"/>
                            <w:sz w:val="20"/>
                          </w:rPr>
                        </w:pPr>
                      </w:p>
                      <w:p>
                        <w:pPr>
                          <w:spacing w:before="1"/>
                          <w:ind w:left="0" w:right="0" w:firstLine="0"/>
                          <w:jc w:val="left"/>
                          <w:rPr>
                            <w:rFonts w:ascii="Calibri"/>
                            <w:sz w:val="20"/>
                          </w:rPr>
                        </w:pPr>
                        <w:r>
                          <w:rPr>
                            <w:rFonts w:ascii="Calibri"/>
                            <w:spacing w:val="-2"/>
                            <w:sz w:val="20"/>
                          </w:rPr>
                          <w:t>1500000</w:t>
                        </w:r>
                      </w:p>
                      <w:p>
                        <w:pPr>
                          <w:spacing w:line="240" w:lineRule="auto" w:before="10"/>
                          <w:rPr>
                            <w:rFonts w:ascii="Calibri"/>
                            <w:sz w:val="20"/>
                          </w:rPr>
                        </w:pPr>
                      </w:p>
                      <w:p>
                        <w:pPr>
                          <w:spacing w:line="240" w:lineRule="exact" w:before="0"/>
                          <w:ind w:left="0" w:right="0" w:firstLine="0"/>
                          <w:jc w:val="left"/>
                          <w:rPr>
                            <w:rFonts w:ascii="Calibri"/>
                            <w:sz w:val="20"/>
                          </w:rPr>
                        </w:pPr>
                        <w:r>
                          <w:rPr>
                            <w:rFonts w:ascii="Calibri"/>
                            <w:spacing w:val="-2"/>
                            <w:sz w:val="20"/>
                          </w:rPr>
                          <w:t>1000000</w:t>
                        </w:r>
                      </w:p>
                    </w:txbxContent>
                  </v:textbox>
                  <w10:wrap type="none"/>
                </v:shape>
                <v:shape style="position:absolute;left:8607;top:3855;width:1885;height:561" type="#_x0000_t202" id="docshape855" filled="false" stroked="false">
                  <v:textbox inset="0,0,0,0">
                    <w:txbxContent>
                      <w:p>
                        <w:pPr>
                          <w:spacing w:line="203" w:lineRule="exact" w:before="0"/>
                          <w:ind w:left="0" w:right="0" w:firstLine="0"/>
                          <w:jc w:val="left"/>
                          <w:rPr>
                            <w:rFonts w:ascii="Calibri"/>
                            <w:sz w:val="20"/>
                          </w:rPr>
                        </w:pPr>
                        <w:r>
                          <w:rPr>
                            <w:rFonts w:ascii="Calibri"/>
                            <w:sz w:val="20"/>
                          </w:rPr>
                          <w:t>Budget</w:t>
                        </w:r>
                        <w:r>
                          <w:rPr>
                            <w:rFonts w:ascii="Calibri"/>
                            <w:spacing w:val="-10"/>
                            <w:sz w:val="20"/>
                          </w:rPr>
                          <w:t> </w:t>
                        </w:r>
                        <w:r>
                          <w:rPr>
                            <w:rFonts w:ascii="Calibri"/>
                            <w:spacing w:val="-2"/>
                            <w:sz w:val="20"/>
                          </w:rPr>
                          <w:t>Ceiling</w:t>
                        </w:r>
                      </w:p>
                      <w:p>
                        <w:pPr>
                          <w:spacing w:line="240" w:lineRule="exact" w:before="117"/>
                          <w:ind w:left="0" w:right="0" w:firstLine="0"/>
                          <w:jc w:val="left"/>
                          <w:rPr>
                            <w:rFonts w:ascii="Calibri"/>
                            <w:sz w:val="20"/>
                          </w:rPr>
                        </w:pPr>
                        <w:r>
                          <w:rPr>
                            <w:rFonts w:ascii="Calibri"/>
                            <w:sz w:val="20"/>
                          </w:rPr>
                          <w:t>Final</w:t>
                        </w:r>
                        <w:r>
                          <w:rPr>
                            <w:rFonts w:ascii="Calibri"/>
                            <w:spacing w:val="-9"/>
                            <w:sz w:val="20"/>
                          </w:rPr>
                          <w:t> </w:t>
                        </w:r>
                        <w:r>
                          <w:rPr>
                            <w:rFonts w:ascii="Calibri"/>
                            <w:sz w:val="20"/>
                          </w:rPr>
                          <w:t>Budget</w:t>
                        </w:r>
                        <w:r>
                          <w:rPr>
                            <w:rFonts w:ascii="Calibri"/>
                            <w:spacing w:val="-5"/>
                            <w:sz w:val="20"/>
                          </w:rPr>
                          <w:t> </w:t>
                        </w:r>
                        <w:r>
                          <w:rPr>
                            <w:rFonts w:ascii="Calibri"/>
                            <w:spacing w:val="-2"/>
                            <w:sz w:val="20"/>
                          </w:rPr>
                          <w:t>Allocation</w:t>
                        </w:r>
                      </w:p>
                    </w:txbxContent>
                  </v:textbox>
                  <w10:wrap type="none"/>
                </v:shape>
                <v:shape style="position:absolute;left:2187;top:4856;width:627;height:698" type="#_x0000_t202" id="docshape856" filled="false" stroked="false">
                  <v:textbox inset="0,0,0,0">
                    <w:txbxContent>
                      <w:p>
                        <w:pPr>
                          <w:spacing w:line="203" w:lineRule="exact" w:before="0"/>
                          <w:ind w:left="0" w:right="19" w:firstLine="0"/>
                          <w:jc w:val="right"/>
                          <w:rPr>
                            <w:rFonts w:ascii="Calibri"/>
                            <w:sz w:val="20"/>
                          </w:rPr>
                        </w:pPr>
                        <w:r>
                          <w:rPr>
                            <w:rFonts w:ascii="Calibri"/>
                            <w:spacing w:val="-2"/>
                            <w:sz w:val="20"/>
                          </w:rPr>
                          <w:t>500000</w:t>
                        </w:r>
                      </w:p>
                      <w:p>
                        <w:pPr>
                          <w:spacing w:line="240" w:lineRule="auto" w:before="9"/>
                          <w:rPr>
                            <w:rFonts w:ascii="Calibri"/>
                            <w:sz w:val="20"/>
                          </w:rPr>
                        </w:pPr>
                      </w:p>
                      <w:p>
                        <w:pPr>
                          <w:spacing w:line="240" w:lineRule="exact" w:before="1"/>
                          <w:ind w:left="0" w:right="18" w:firstLine="0"/>
                          <w:jc w:val="right"/>
                          <w:rPr>
                            <w:rFonts w:ascii="Calibri"/>
                            <w:sz w:val="20"/>
                          </w:rPr>
                        </w:pPr>
                        <w:r>
                          <w:rPr>
                            <w:rFonts w:ascii="Calibri"/>
                            <w:spacing w:val="-10"/>
                            <w:sz w:val="20"/>
                          </w:rPr>
                          <w:t>0</w:t>
                        </w:r>
                      </w:p>
                    </w:txbxContent>
                  </v:textbox>
                  <w10:wrap type="none"/>
                </v:shape>
                <v:shape style="position:absolute;left:3126;top:5673;width:4615;height:594" type="#_x0000_t202" id="docshape857" filled="false" stroked="false">
                  <v:textbox inset="0,0,0,0">
                    <w:txbxContent>
                      <w:p>
                        <w:pPr>
                          <w:tabs>
                            <w:tab w:pos="698" w:val="left" w:leader="none"/>
                            <w:tab w:pos="1396" w:val="left" w:leader="none"/>
                            <w:tab w:pos="2095" w:val="left" w:leader="none"/>
                            <w:tab w:pos="2793" w:val="left" w:leader="none"/>
                            <w:tab w:pos="3492" w:val="left" w:leader="none"/>
                            <w:tab w:pos="4191" w:val="left" w:leader="none"/>
                          </w:tabs>
                          <w:spacing w:line="203" w:lineRule="exact" w:before="0"/>
                          <w:ind w:left="0" w:right="18" w:firstLine="0"/>
                          <w:jc w:val="center"/>
                          <w:rPr>
                            <w:rFonts w:ascii="Calibri"/>
                            <w:sz w:val="20"/>
                          </w:rPr>
                        </w:pPr>
                        <w:r>
                          <w:rPr>
                            <w:rFonts w:ascii="Calibri"/>
                            <w:spacing w:val="-4"/>
                            <w:sz w:val="20"/>
                          </w:rPr>
                          <w:t>2010</w:t>
                        </w:r>
                        <w:r>
                          <w:rPr>
                            <w:rFonts w:ascii="Calibri"/>
                            <w:sz w:val="20"/>
                          </w:rPr>
                          <w:tab/>
                        </w:r>
                        <w:r>
                          <w:rPr>
                            <w:rFonts w:ascii="Calibri"/>
                            <w:spacing w:val="-4"/>
                            <w:sz w:val="20"/>
                          </w:rPr>
                          <w:t>2011</w:t>
                        </w:r>
                        <w:r>
                          <w:rPr>
                            <w:rFonts w:ascii="Calibri"/>
                            <w:sz w:val="20"/>
                          </w:rPr>
                          <w:tab/>
                        </w:r>
                        <w:r>
                          <w:rPr>
                            <w:rFonts w:ascii="Calibri"/>
                            <w:spacing w:val="-4"/>
                            <w:sz w:val="20"/>
                          </w:rPr>
                          <w:t>2012</w:t>
                        </w:r>
                        <w:r>
                          <w:rPr>
                            <w:rFonts w:ascii="Calibri"/>
                            <w:sz w:val="20"/>
                          </w:rPr>
                          <w:tab/>
                        </w:r>
                        <w:r>
                          <w:rPr>
                            <w:rFonts w:ascii="Calibri"/>
                            <w:spacing w:val="-4"/>
                            <w:sz w:val="20"/>
                          </w:rPr>
                          <w:t>2013</w:t>
                        </w:r>
                        <w:r>
                          <w:rPr>
                            <w:rFonts w:ascii="Calibri"/>
                            <w:sz w:val="20"/>
                          </w:rPr>
                          <w:tab/>
                        </w:r>
                        <w:r>
                          <w:rPr>
                            <w:rFonts w:ascii="Calibri"/>
                            <w:spacing w:val="-4"/>
                            <w:sz w:val="20"/>
                          </w:rPr>
                          <w:t>2014</w:t>
                        </w:r>
                        <w:r>
                          <w:rPr>
                            <w:rFonts w:ascii="Calibri"/>
                            <w:sz w:val="20"/>
                          </w:rPr>
                          <w:tab/>
                        </w:r>
                        <w:r>
                          <w:rPr>
                            <w:rFonts w:ascii="Calibri"/>
                            <w:spacing w:val="-4"/>
                            <w:sz w:val="20"/>
                          </w:rPr>
                          <w:t>2015</w:t>
                        </w:r>
                        <w:r>
                          <w:rPr>
                            <w:rFonts w:ascii="Calibri"/>
                            <w:sz w:val="20"/>
                          </w:rPr>
                          <w:tab/>
                        </w:r>
                        <w:r>
                          <w:rPr>
                            <w:rFonts w:ascii="Calibri"/>
                            <w:spacing w:val="-4"/>
                            <w:sz w:val="20"/>
                          </w:rPr>
                          <w:t>2016</w:t>
                        </w:r>
                      </w:p>
                      <w:p>
                        <w:pPr>
                          <w:spacing w:line="240" w:lineRule="exact" w:before="150"/>
                          <w:ind w:left="0" w:right="18" w:firstLine="0"/>
                          <w:jc w:val="center"/>
                          <w:rPr>
                            <w:rFonts w:ascii="Calibri"/>
                            <w:b/>
                            <w:sz w:val="20"/>
                          </w:rPr>
                        </w:pPr>
                        <w:r>
                          <w:rPr>
                            <w:rFonts w:ascii="Calibri"/>
                            <w:b/>
                            <w:spacing w:val="-2"/>
                            <w:sz w:val="20"/>
                          </w:rPr>
                          <w:t>Years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1648">
                <wp:simplePos x="0" y="0"/>
                <wp:positionH relativeFrom="page">
                  <wp:posOffset>1086332</wp:posOffset>
                </wp:positionH>
                <wp:positionV relativeFrom="paragraph">
                  <wp:posOffset>1918628</wp:posOffset>
                </wp:positionV>
                <wp:extent cx="152400" cy="865505"/>
                <wp:effectExtent l="0" t="0" r="0" b="0"/>
                <wp:wrapNone/>
                <wp:docPr id="907" name="Textbox 907"/>
                <wp:cNvGraphicFramePr>
                  <a:graphicFrameLocks/>
                </wp:cNvGraphicFramePr>
                <a:graphic>
                  <a:graphicData uri="http://schemas.microsoft.com/office/word/2010/wordprocessingShape">
                    <wps:wsp>
                      <wps:cNvPr id="907" name="Textbox 907"/>
                      <wps:cNvSpPr txBox="1"/>
                      <wps:spPr>
                        <a:xfrm>
                          <a:off x="0" y="0"/>
                          <a:ext cx="152400" cy="865505"/>
                        </a:xfrm>
                        <a:prstGeom prst="rect">
                          <a:avLst/>
                        </a:prstGeom>
                      </wps:spPr>
                      <wps:txbx>
                        <w:txbxContent>
                          <w:p>
                            <w:pPr>
                              <w:spacing w:line="223" w:lineRule="exact" w:before="0"/>
                              <w:ind w:left="20" w:right="0" w:firstLine="0"/>
                              <w:jc w:val="left"/>
                              <w:rPr>
                                <w:rFonts w:ascii="Calibri"/>
                                <w:b/>
                                <w:sz w:val="20"/>
                              </w:rPr>
                            </w:pPr>
                            <w:r>
                              <w:rPr>
                                <w:rFonts w:ascii="Calibri"/>
                                <w:b/>
                                <w:spacing w:val="-2"/>
                                <w:sz w:val="20"/>
                              </w:rPr>
                              <w:t>Amount</w:t>
                            </w:r>
                            <w:r>
                              <w:rPr>
                                <w:rFonts w:ascii="Calibri"/>
                                <w:b/>
                                <w:sz w:val="20"/>
                              </w:rPr>
                              <w:t> </w:t>
                            </w:r>
                            <w:r>
                              <w:rPr>
                                <w:rFonts w:ascii="Calibri"/>
                                <w:b/>
                                <w:spacing w:val="-2"/>
                                <w:sz w:val="20"/>
                              </w:rPr>
                              <w:t>(N'000)</w:t>
                            </w:r>
                          </w:p>
                        </w:txbxContent>
                      </wps:txbx>
                      <wps:bodyPr wrap="square" lIns="0" tIns="0" rIns="0" bIns="0" rtlCol="0" vert="vert270">
                        <a:noAutofit/>
                      </wps:bodyPr>
                    </wps:wsp>
                  </a:graphicData>
                </a:graphic>
              </wp:anchor>
            </w:drawing>
          </mc:Choice>
          <mc:Fallback>
            <w:pict>
              <v:shape style="position:absolute;margin-left:85.538002pt;margin-top:151.073135pt;width:12pt;height:68.150pt;mso-position-horizontal-relative:page;mso-position-vertical-relative:paragraph;z-index:15771648" type="#_x0000_t202" id="docshape858"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pacing w:val="-2"/>
                          <w:sz w:val="20"/>
                        </w:rPr>
                        <w:t>Amount</w:t>
                      </w:r>
                      <w:r>
                        <w:rPr>
                          <w:rFonts w:ascii="Calibri"/>
                          <w:b/>
                          <w:sz w:val="20"/>
                        </w:rPr>
                        <w:t> </w:t>
                      </w:r>
                      <w:r>
                        <w:rPr>
                          <w:rFonts w:ascii="Calibri"/>
                          <w:b/>
                          <w:spacing w:val="-2"/>
                          <w:sz w:val="20"/>
                        </w:rPr>
                        <w:t>(N'000)</w:t>
                      </w:r>
                    </w:p>
                  </w:txbxContent>
                </v:textbox>
                <w10:wrap type="none"/>
              </v:shape>
            </w:pict>
          </mc:Fallback>
        </mc:AlternateContent>
      </w:r>
      <w:r>
        <w:rPr/>
        <w:t>From the foregoing, it can be surmised that the amount stipulated as housing budget ceiling by the Ministry of Budget and Economic Planning is not a prohibiting factor because there is a general increase in final allocation even after the ceiling is stipulated. The issue therefore still</w:t>
      </w:r>
      <w:r>
        <w:rPr>
          <w:spacing w:val="40"/>
        </w:rPr>
        <w:t> </w:t>
      </w:r>
      <w:r>
        <w:rPr/>
        <w:t>lies in the criteria for stipulating the ceilings.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3"/>
      </w:pPr>
    </w:p>
    <w:p>
      <w:pPr>
        <w:pStyle w:val="BodyText"/>
        <w:spacing w:line="242" w:lineRule="auto"/>
        <w:ind w:left="240" w:right="842"/>
        <w:jc w:val="both"/>
      </w:pPr>
      <w:r>
        <w:rPr>
          <w:b/>
        </w:rPr>
        <w:t>Figure 5.10: </w:t>
      </w:r>
      <w:r>
        <w:rPr/>
        <w:t>Trend of housing budget ceiling and final housing budget allocation for Anambra State from 1999 – 2016 (Researcher‘s plot with MS- Excel, 2017)</w:t>
      </w:r>
    </w:p>
    <w:p>
      <w:pPr>
        <w:pStyle w:val="BodyText"/>
        <w:spacing w:before="43"/>
      </w:pPr>
    </w:p>
    <w:p>
      <w:pPr>
        <w:pStyle w:val="BodyText"/>
        <w:spacing w:line="348" w:lineRule="auto"/>
        <w:ind w:left="240" w:right="836"/>
        <w:jc w:val="both"/>
      </w:pPr>
      <w:r>
        <w:rPr/>
        <w:t>The trend graph in Figure 5.10 shows that annual housing budget ceiling and final housing budget allocation follows a similar pattern from 2010 to 2013. However, from 2013, there was a wide margin or gap between both of them. The final budget allocation rose in 2014 and 2015,</w:t>
      </w:r>
      <w:r>
        <w:rPr>
          <w:spacing w:val="40"/>
        </w:rPr>
        <w:t> </w:t>
      </w:r>
      <w:r>
        <w:rPr/>
        <w:t>and fell in 2016 while the budget ceiling continued to fall within the period. It can be deduced from this, that the Ministry of housing, via the Commissioner for Housing must have made concerted efforts within this period to ensure that the budget ceiling was not adhered to during the final budget allocation, as depicted by the increase from 2013. In 2016, however, it appears that the status quo was reverted to.</w:t>
      </w:r>
    </w:p>
    <w:p>
      <w:pPr>
        <w:spacing w:after="0" w:line="348" w:lineRule="auto"/>
        <w:jc w:val="both"/>
        <w:sectPr>
          <w:pgSz w:w="12240" w:h="15840"/>
          <w:pgMar w:header="0" w:footer="1036" w:top="1360" w:bottom="1220" w:left="1200" w:right="600"/>
        </w:sectPr>
      </w:pPr>
    </w:p>
    <w:p>
      <w:pPr>
        <w:pStyle w:val="Heading4"/>
        <w:numPr>
          <w:ilvl w:val="2"/>
          <w:numId w:val="96"/>
        </w:numPr>
        <w:tabs>
          <w:tab w:pos="887" w:val="left" w:leader="none"/>
        </w:tabs>
        <w:spacing w:line="240" w:lineRule="auto" w:before="60" w:after="0"/>
        <w:ind w:left="887" w:right="0" w:hanging="647"/>
        <w:jc w:val="both"/>
        <w:rPr>
          <w:sz w:val="26"/>
        </w:rPr>
      </w:pPr>
      <w:r>
        <w:rPr/>
        <w:t>Analysis</w:t>
      </w:r>
      <w:r>
        <w:rPr>
          <w:spacing w:val="-1"/>
        </w:rPr>
        <w:t> </w:t>
      </w:r>
      <w:r>
        <w:rPr/>
        <w:t>of</w:t>
      </w:r>
      <w:r>
        <w:rPr>
          <w:spacing w:val="1"/>
        </w:rPr>
        <w:t> </w:t>
      </w:r>
      <w:r>
        <w:rPr/>
        <w:t>Housing Budget</w:t>
      </w:r>
      <w:r>
        <w:rPr>
          <w:spacing w:val="1"/>
        </w:rPr>
        <w:t> </w:t>
      </w:r>
      <w:r>
        <w:rPr>
          <w:spacing w:val="-2"/>
        </w:rPr>
        <w:t>Implementation</w:t>
      </w:r>
    </w:p>
    <w:p>
      <w:pPr>
        <w:pStyle w:val="BodyText"/>
        <w:spacing w:line="360" w:lineRule="auto" w:before="144"/>
        <w:ind w:left="240" w:right="836"/>
        <w:jc w:val="both"/>
      </w:pPr>
      <w:r>
        <w:rPr/>
        <w:t>Previous sub-sections dealt with analysis of housing budget estimates or allocation and ceiling. This sub-section however is concerned with the actual rate of housing budget implementation or how disciplined the Government is in adhering to the allocated or approved housing budget during the housing delivery process (otherwise referred to as budget discipline). In view of this, data on budget estimate, approved allocation and actual expenditure were used (</w:t>
      </w:r>
      <w:r>
        <w:rPr>
          <w:i/>
        </w:rPr>
        <w:t>see appendix 5</w:t>
      </w:r>
      <w:r>
        <w:rPr/>
        <w:t>), as shown in Table 5.20.</w:t>
      </w:r>
    </w:p>
    <w:p>
      <w:pPr>
        <w:pStyle w:val="BodyText"/>
        <w:spacing w:before="3"/>
      </w:pPr>
    </w:p>
    <w:p>
      <w:pPr>
        <w:pStyle w:val="Heading4"/>
        <w:ind w:right="834"/>
      </w:pPr>
      <w:r>
        <w:rPr/>
        <w:t>Table</w:t>
      </w:r>
      <w:r>
        <w:rPr>
          <w:spacing w:val="-2"/>
        </w:rPr>
        <w:t> </w:t>
      </w:r>
      <w:r>
        <w:rPr/>
        <w:t>5.20.</w:t>
      </w:r>
      <w:r>
        <w:rPr>
          <w:spacing w:val="-1"/>
        </w:rPr>
        <w:t> </w:t>
      </w:r>
      <w:r>
        <w:rPr/>
        <w:t>Budget</w:t>
      </w:r>
      <w:r>
        <w:rPr>
          <w:spacing w:val="-1"/>
        </w:rPr>
        <w:t> </w:t>
      </w:r>
      <w:r>
        <w:rPr/>
        <w:t>Estimate,</w:t>
      </w:r>
      <w:r>
        <w:rPr>
          <w:spacing w:val="-1"/>
        </w:rPr>
        <w:t> </w:t>
      </w:r>
      <w:r>
        <w:rPr/>
        <w:t>Approved</w:t>
      </w:r>
      <w:r>
        <w:rPr>
          <w:spacing w:val="-1"/>
        </w:rPr>
        <w:t> </w:t>
      </w:r>
      <w:r>
        <w:rPr/>
        <w:t>Allocation and</w:t>
      </w:r>
      <w:r>
        <w:rPr>
          <w:spacing w:val="-1"/>
        </w:rPr>
        <w:t> </w:t>
      </w:r>
      <w:r>
        <w:rPr/>
        <w:t>Actual Expenditure</w:t>
      </w:r>
      <w:r>
        <w:rPr>
          <w:spacing w:val="-1"/>
        </w:rPr>
        <w:t> </w:t>
      </w:r>
      <w:r>
        <w:rPr/>
        <w:t>for</w:t>
      </w:r>
      <w:r>
        <w:rPr>
          <w:spacing w:val="-2"/>
        </w:rPr>
        <w:t> </w:t>
      </w:r>
      <w:r>
        <w:rPr/>
        <w:t>the</w:t>
      </w:r>
      <w:r>
        <w:rPr>
          <w:spacing w:val="-2"/>
        </w:rPr>
        <w:t> </w:t>
      </w:r>
      <w:r>
        <w:rPr/>
        <w:t>Housing Sector in Anambra State (1999 – 2016)</w:t>
      </w:r>
    </w:p>
    <w:p>
      <w:pPr>
        <w:pStyle w:val="BodyText"/>
        <w:spacing w:before="4"/>
        <w:rPr>
          <w:b/>
          <w:sz w:val="10"/>
        </w:rPr>
      </w:pPr>
    </w:p>
    <w:tbl>
      <w:tblPr>
        <w:tblW w:w="0" w:type="auto"/>
        <w:jc w:val="left"/>
        <w:tblInd w:w="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1"/>
        <w:gridCol w:w="1521"/>
        <w:gridCol w:w="1576"/>
        <w:gridCol w:w="1490"/>
        <w:gridCol w:w="1570"/>
        <w:gridCol w:w="1094"/>
        <w:gridCol w:w="1664"/>
      </w:tblGrid>
      <w:tr>
        <w:trPr>
          <w:trHeight w:val="688" w:hRule="atLeast"/>
        </w:trPr>
        <w:tc>
          <w:tcPr>
            <w:tcW w:w="641" w:type="dxa"/>
            <w:tcBorders>
              <w:top w:val="single" w:sz="8" w:space="0" w:color="4F81BC"/>
              <w:bottom w:val="single" w:sz="8" w:space="0" w:color="4F81BC"/>
            </w:tcBorders>
          </w:tcPr>
          <w:p>
            <w:pPr>
              <w:pStyle w:val="TableParagraph"/>
              <w:spacing w:line="251" w:lineRule="exact"/>
              <w:ind w:left="122"/>
              <w:rPr>
                <w:b/>
                <w:sz w:val="22"/>
              </w:rPr>
            </w:pPr>
            <w:r>
              <w:rPr>
                <w:b/>
                <w:spacing w:val="-5"/>
                <w:sz w:val="22"/>
              </w:rPr>
              <w:t>Yr</w:t>
            </w:r>
          </w:p>
        </w:tc>
        <w:tc>
          <w:tcPr>
            <w:tcW w:w="1521" w:type="dxa"/>
            <w:tcBorders>
              <w:top w:val="single" w:sz="8" w:space="0" w:color="4F81BC"/>
              <w:bottom w:val="single" w:sz="8" w:space="0" w:color="4F81BC"/>
            </w:tcBorders>
          </w:tcPr>
          <w:p>
            <w:pPr>
              <w:pStyle w:val="TableParagraph"/>
              <w:spacing w:line="251" w:lineRule="exact"/>
              <w:ind w:left="110"/>
              <w:rPr>
                <w:b/>
                <w:sz w:val="20"/>
              </w:rPr>
            </w:pPr>
            <w:r>
              <w:rPr>
                <w:b/>
                <w:spacing w:val="-2"/>
                <w:sz w:val="22"/>
              </w:rPr>
              <w:t>BES</w:t>
            </w:r>
            <w:r>
              <w:rPr>
                <w:b/>
                <w:spacing w:val="-2"/>
                <w:sz w:val="20"/>
              </w:rPr>
              <w:t>(</w:t>
            </w:r>
            <w:r>
              <w:rPr>
                <w:b/>
                <w:dstrike/>
                <w:spacing w:val="-2"/>
                <w:sz w:val="20"/>
              </w:rPr>
              <w:t>N</w:t>
            </w:r>
            <w:r>
              <w:rPr>
                <w:b/>
                <w:strike w:val="0"/>
                <w:spacing w:val="-2"/>
                <w:sz w:val="20"/>
              </w:rPr>
              <w:t>)</w:t>
            </w:r>
          </w:p>
        </w:tc>
        <w:tc>
          <w:tcPr>
            <w:tcW w:w="1576" w:type="dxa"/>
            <w:tcBorders>
              <w:top w:val="single" w:sz="8" w:space="0" w:color="4F81BC"/>
              <w:bottom w:val="single" w:sz="8" w:space="0" w:color="4F81BC"/>
            </w:tcBorders>
          </w:tcPr>
          <w:p>
            <w:pPr>
              <w:pStyle w:val="TableParagraph"/>
              <w:spacing w:line="228" w:lineRule="exact"/>
              <w:ind w:left="209"/>
              <w:rPr>
                <w:b/>
                <w:sz w:val="20"/>
              </w:rPr>
            </w:pPr>
            <w:r>
              <w:rPr>
                <w:b/>
                <w:spacing w:val="-2"/>
                <w:sz w:val="20"/>
              </w:rPr>
              <w:t>AAL(</w:t>
            </w:r>
            <w:r>
              <w:rPr>
                <w:b/>
                <w:dstrike/>
                <w:spacing w:val="-2"/>
                <w:sz w:val="20"/>
              </w:rPr>
              <w:t>N</w:t>
            </w:r>
            <w:r>
              <w:rPr>
                <w:b/>
                <w:strike w:val="0"/>
                <w:spacing w:val="-2"/>
                <w:sz w:val="20"/>
              </w:rPr>
              <w:t>)</w:t>
            </w:r>
          </w:p>
        </w:tc>
        <w:tc>
          <w:tcPr>
            <w:tcW w:w="1490" w:type="dxa"/>
            <w:tcBorders>
              <w:top w:val="single" w:sz="8" w:space="0" w:color="4F81BC"/>
              <w:bottom w:val="single" w:sz="8" w:space="0" w:color="4F81BC"/>
            </w:tcBorders>
          </w:tcPr>
          <w:p>
            <w:pPr>
              <w:pStyle w:val="TableParagraph"/>
              <w:spacing w:line="251" w:lineRule="exact"/>
              <w:ind w:left="164"/>
              <w:rPr>
                <w:b/>
                <w:sz w:val="20"/>
              </w:rPr>
            </w:pPr>
            <w:r>
              <w:rPr>
                <w:b/>
                <w:spacing w:val="-2"/>
                <w:sz w:val="22"/>
              </w:rPr>
              <w:t>AEX</w:t>
            </w:r>
            <w:r>
              <w:rPr>
                <w:b/>
                <w:spacing w:val="-2"/>
                <w:sz w:val="20"/>
              </w:rPr>
              <w:t>(</w:t>
            </w:r>
            <w:r>
              <w:rPr>
                <w:b/>
                <w:dstrike/>
                <w:spacing w:val="-2"/>
                <w:sz w:val="20"/>
              </w:rPr>
              <w:t>N</w:t>
            </w:r>
            <w:r>
              <w:rPr>
                <w:b/>
                <w:strike w:val="0"/>
                <w:spacing w:val="-2"/>
                <w:sz w:val="20"/>
              </w:rPr>
              <w:t>)</w:t>
            </w:r>
          </w:p>
        </w:tc>
        <w:tc>
          <w:tcPr>
            <w:tcW w:w="1570" w:type="dxa"/>
            <w:tcBorders>
              <w:top w:val="single" w:sz="8" w:space="0" w:color="4F81BC"/>
              <w:bottom w:val="single" w:sz="8" w:space="0" w:color="4F81BC"/>
            </w:tcBorders>
          </w:tcPr>
          <w:p>
            <w:pPr>
              <w:pStyle w:val="TableParagraph"/>
              <w:spacing w:line="250" w:lineRule="exact"/>
              <w:ind w:left="204"/>
              <w:rPr>
                <w:b/>
                <w:sz w:val="20"/>
              </w:rPr>
            </w:pPr>
            <w:r>
              <w:rPr>
                <w:b/>
                <w:spacing w:val="-2"/>
                <w:sz w:val="22"/>
              </w:rPr>
              <w:t>Variance</w:t>
            </w:r>
            <w:r>
              <w:rPr>
                <w:b/>
                <w:spacing w:val="-2"/>
                <w:sz w:val="20"/>
              </w:rPr>
              <w:t>(</w:t>
            </w:r>
            <w:r>
              <w:rPr>
                <w:b/>
                <w:dstrike/>
                <w:spacing w:val="-2"/>
                <w:sz w:val="20"/>
              </w:rPr>
              <w:t>N</w:t>
            </w:r>
            <w:r>
              <w:rPr>
                <w:b/>
                <w:strike w:val="0"/>
                <w:spacing w:val="-2"/>
                <w:sz w:val="20"/>
              </w:rPr>
              <w:t>)</w:t>
            </w:r>
          </w:p>
          <w:p>
            <w:pPr>
              <w:pStyle w:val="TableParagraph"/>
              <w:spacing w:line="183" w:lineRule="exact"/>
              <w:ind w:left="204"/>
              <w:rPr>
                <w:b/>
                <w:sz w:val="16"/>
              </w:rPr>
            </w:pPr>
            <w:r>
              <w:rPr>
                <w:b/>
                <w:sz w:val="16"/>
              </w:rPr>
              <w:t>(BES</w:t>
            </w:r>
            <w:r>
              <w:rPr>
                <w:b/>
                <w:spacing w:val="-5"/>
                <w:sz w:val="16"/>
              </w:rPr>
              <w:t> </w:t>
            </w:r>
            <w:r>
              <w:rPr>
                <w:b/>
                <w:sz w:val="16"/>
              </w:rPr>
              <w:t>–</w:t>
            </w:r>
            <w:r>
              <w:rPr>
                <w:b/>
                <w:spacing w:val="2"/>
                <w:sz w:val="16"/>
              </w:rPr>
              <w:t> </w:t>
            </w:r>
            <w:r>
              <w:rPr>
                <w:b/>
                <w:spacing w:val="-4"/>
                <w:sz w:val="16"/>
              </w:rPr>
              <w:t>AEX)</w:t>
            </w:r>
          </w:p>
        </w:tc>
        <w:tc>
          <w:tcPr>
            <w:tcW w:w="1094" w:type="dxa"/>
            <w:tcBorders>
              <w:top w:val="single" w:sz="8" w:space="0" w:color="4F81BC"/>
              <w:bottom w:val="single" w:sz="8" w:space="0" w:color="4F81BC"/>
            </w:tcBorders>
          </w:tcPr>
          <w:p>
            <w:pPr>
              <w:pStyle w:val="TableParagraph"/>
              <w:spacing w:line="228" w:lineRule="exact"/>
              <w:ind w:left="165"/>
              <w:rPr>
                <w:b/>
                <w:sz w:val="20"/>
              </w:rPr>
            </w:pPr>
            <w:r>
              <w:rPr>
                <w:b/>
                <w:spacing w:val="-10"/>
                <w:sz w:val="20"/>
              </w:rPr>
              <w:t>%</w:t>
            </w:r>
          </w:p>
          <w:p>
            <w:pPr>
              <w:pStyle w:val="TableParagraph"/>
              <w:ind w:left="165"/>
              <w:rPr>
                <w:b/>
                <w:sz w:val="20"/>
              </w:rPr>
            </w:pPr>
            <w:r>
              <w:rPr>
                <w:b/>
                <w:spacing w:val="-2"/>
                <w:sz w:val="20"/>
              </w:rPr>
              <w:t>Variance</w:t>
            </w:r>
          </w:p>
        </w:tc>
        <w:tc>
          <w:tcPr>
            <w:tcW w:w="1664" w:type="dxa"/>
            <w:tcBorders>
              <w:top w:val="single" w:sz="8" w:space="0" w:color="4F81BC"/>
              <w:bottom w:val="single" w:sz="8" w:space="0" w:color="4F81BC"/>
            </w:tcBorders>
          </w:tcPr>
          <w:p>
            <w:pPr>
              <w:pStyle w:val="TableParagraph"/>
              <w:spacing w:line="228" w:lineRule="exact"/>
              <w:ind w:left="151"/>
              <w:rPr>
                <w:b/>
                <w:sz w:val="20"/>
              </w:rPr>
            </w:pPr>
            <w:r>
              <w:rPr>
                <w:b/>
                <w:spacing w:val="-10"/>
                <w:sz w:val="20"/>
              </w:rPr>
              <w:t>%</w:t>
            </w:r>
          </w:p>
          <w:p>
            <w:pPr>
              <w:pStyle w:val="TableParagraph"/>
              <w:spacing w:line="230" w:lineRule="atLeast"/>
              <w:ind w:left="151"/>
              <w:rPr>
                <w:b/>
                <w:sz w:val="20"/>
              </w:rPr>
            </w:pPr>
            <w:r>
              <w:rPr>
                <w:b/>
                <w:spacing w:val="-2"/>
                <w:sz w:val="20"/>
              </w:rPr>
              <w:t>Implementation (AEX/AAL)</w:t>
            </w:r>
          </w:p>
        </w:tc>
      </w:tr>
      <w:tr>
        <w:trPr>
          <w:trHeight w:val="301" w:hRule="atLeast"/>
        </w:trPr>
        <w:tc>
          <w:tcPr>
            <w:tcW w:w="641" w:type="dxa"/>
            <w:tcBorders>
              <w:top w:val="single" w:sz="8" w:space="0" w:color="4F81BC"/>
            </w:tcBorders>
            <w:shd w:val="clear" w:color="auto" w:fill="D2DFED"/>
          </w:tcPr>
          <w:p>
            <w:pPr>
              <w:pStyle w:val="TableParagraph"/>
              <w:spacing w:line="204" w:lineRule="exact"/>
              <w:ind w:left="122"/>
              <w:rPr>
                <w:sz w:val="18"/>
              </w:rPr>
            </w:pPr>
            <w:r>
              <w:rPr>
                <w:spacing w:val="-4"/>
                <w:sz w:val="18"/>
              </w:rPr>
              <w:t>1999</w:t>
            </w:r>
          </w:p>
        </w:tc>
        <w:tc>
          <w:tcPr>
            <w:tcW w:w="1521" w:type="dxa"/>
            <w:tcBorders>
              <w:top w:val="single" w:sz="8" w:space="0" w:color="4F81BC"/>
            </w:tcBorders>
            <w:shd w:val="clear" w:color="auto" w:fill="D2DFED"/>
          </w:tcPr>
          <w:p>
            <w:pPr>
              <w:pStyle w:val="TableParagraph"/>
              <w:spacing w:line="181" w:lineRule="exact"/>
              <w:ind w:left="110"/>
              <w:rPr>
                <w:sz w:val="16"/>
              </w:rPr>
            </w:pPr>
            <w:r>
              <w:rPr>
                <w:spacing w:val="-2"/>
                <w:sz w:val="16"/>
              </w:rPr>
              <w:t>148,415,000.00</w:t>
            </w:r>
          </w:p>
        </w:tc>
        <w:tc>
          <w:tcPr>
            <w:tcW w:w="1576" w:type="dxa"/>
            <w:tcBorders>
              <w:top w:val="single" w:sz="8" w:space="0" w:color="4F81BC"/>
            </w:tcBorders>
            <w:shd w:val="clear" w:color="auto" w:fill="D2DFED"/>
          </w:tcPr>
          <w:p>
            <w:pPr>
              <w:pStyle w:val="TableParagraph"/>
              <w:spacing w:line="181" w:lineRule="exact"/>
              <w:ind w:left="209"/>
              <w:rPr>
                <w:sz w:val="16"/>
              </w:rPr>
            </w:pPr>
            <w:r>
              <w:rPr>
                <w:spacing w:val="-2"/>
                <w:sz w:val="16"/>
              </w:rPr>
              <w:t>408,415,000.00</w:t>
            </w:r>
          </w:p>
        </w:tc>
        <w:tc>
          <w:tcPr>
            <w:tcW w:w="1490" w:type="dxa"/>
            <w:tcBorders>
              <w:top w:val="single" w:sz="8" w:space="0" w:color="4F81BC"/>
            </w:tcBorders>
            <w:shd w:val="clear" w:color="auto" w:fill="D2DFED"/>
          </w:tcPr>
          <w:p>
            <w:pPr>
              <w:pStyle w:val="TableParagraph"/>
              <w:spacing w:line="181" w:lineRule="exact"/>
              <w:ind w:left="164"/>
              <w:rPr>
                <w:sz w:val="16"/>
              </w:rPr>
            </w:pPr>
            <w:r>
              <w:rPr>
                <w:spacing w:val="-2"/>
                <w:sz w:val="16"/>
              </w:rPr>
              <w:t>105,574,000.00</w:t>
            </w:r>
          </w:p>
        </w:tc>
        <w:tc>
          <w:tcPr>
            <w:tcW w:w="1570" w:type="dxa"/>
            <w:tcBorders>
              <w:top w:val="single" w:sz="8" w:space="0" w:color="4F81BC"/>
            </w:tcBorders>
            <w:shd w:val="clear" w:color="auto" w:fill="D2DFED"/>
          </w:tcPr>
          <w:p>
            <w:pPr>
              <w:pStyle w:val="TableParagraph"/>
              <w:spacing w:line="181" w:lineRule="exact"/>
              <w:ind w:left="204"/>
              <w:rPr>
                <w:sz w:val="16"/>
              </w:rPr>
            </w:pPr>
            <w:r>
              <w:rPr>
                <w:spacing w:val="-2"/>
                <w:sz w:val="16"/>
              </w:rPr>
              <w:t>42,841,000.00</w:t>
            </w:r>
          </w:p>
        </w:tc>
        <w:tc>
          <w:tcPr>
            <w:tcW w:w="1094" w:type="dxa"/>
            <w:tcBorders>
              <w:top w:val="single" w:sz="8" w:space="0" w:color="4F81BC"/>
            </w:tcBorders>
            <w:shd w:val="clear" w:color="auto" w:fill="D2DFED"/>
          </w:tcPr>
          <w:p>
            <w:pPr>
              <w:pStyle w:val="TableParagraph"/>
              <w:spacing w:line="181" w:lineRule="exact"/>
              <w:ind w:left="165"/>
              <w:rPr>
                <w:sz w:val="16"/>
              </w:rPr>
            </w:pPr>
            <w:r>
              <w:rPr>
                <w:spacing w:val="-2"/>
                <w:sz w:val="16"/>
              </w:rPr>
              <w:t>28.87</w:t>
            </w:r>
          </w:p>
        </w:tc>
        <w:tc>
          <w:tcPr>
            <w:tcW w:w="1664" w:type="dxa"/>
            <w:tcBorders>
              <w:top w:val="single" w:sz="8" w:space="0" w:color="4F81BC"/>
            </w:tcBorders>
            <w:shd w:val="clear" w:color="auto" w:fill="D2DFED"/>
          </w:tcPr>
          <w:p>
            <w:pPr>
              <w:pStyle w:val="TableParagraph"/>
              <w:spacing w:line="181" w:lineRule="exact"/>
              <w:ind w:left="151"/>
              <w:rPr>
                <w:sz w:val="16"/>
              </w:rPr>
            </w:pPr>
            <w:r>
              <w:rPr>
                <w:spacing w:val="-2"/>
                <w:sz w:val="16"/>
              </w:rPr>
              <w:t>25.85</w:t>
            </w:r>
          </w:p>
        </w:tc>
      </w:tr>
      <w:tr>
        <w:trPr>
          <w:trHeight w:val="300" w:hRule="atLeast"/>
        </w:trPr>
        <w:tc>
          <w:tcPr>
            <w:tcW w:w="641" w:type="dxa"/>
          </w:tcPr>
          <w:p>
            <w:pPr>
              <w:pStyle w:val="TableParagraph"/>
              <w:spacing w:line="202" w:lineRule="exact"/>
              <w:ind w:left="122"/>
              <w:rPr>
                <w:sz w:val="18"/>
              </w:rPr>
            </w:pPr>
            <w:r>
              <w:rPr>
                <w:spacing w:val="-4"/>
                <w:sz w:val="18"/>
              </w:rPr>
              <w:t>2000</w:t>
            </w:r>
          </w:p>
        </w:tc>
        <w:tc>
          <w:tcPr>
            <w:tcW w:w="1521" w:type="dxa"/>
          </w:tcPr>
          <w:p>
            <w:pPr>
              <w:pStyle w:val="TableParagraph"/>
              <w:spacing w:line="179" w:lineRule="exact"/>
              <w:ind w:left="110"/>
              <w:rPr>
                <w:sz w:val="16"/>
              </w:rPr>
            </w:pPr>
            <w:r>
              <w:rPr>
                <w:spacing w:val="-2"/>
                <w:sz w:val="16"/>
              </w:rPr>
              <w:t>743,000,000.00</w:t>
            </w:r>
          </w:p>
        </w:tc>
        <w:tc>
          <w:tcPr>
            <w:tcW w:w="1576" w:type="dxa"/>
          </w:tcPr>
          <w:p>
            <w:pPr>
              <w:pStyle w:val="TableParagraph"/>
              <w:spacing w:line="179" w:lineRule="exact"/>
              <w:ind w:left="209"/>
              <w:rPr>
                <w:sz w:val="16"/>
              </w:rPr>
            </w:pPr>
            <w:r>
              <w:rPr>
                <w:spacing w:val="-2"/>
                <w:sz w:val="16"/>
              </w:rPr>
              <w:t>743,000,000.00</w:t>
            </w:r>
          </w:p>
        </w:tc>
        <w:tc>
          <w:tcPr>
            <w:tcW w:w="1490" w:type="dxa"/>
          </w:tcPr>
          <w:p>
            <w:pPr>
              <w:pStyle w:val="TableParagraph"/>
              <w:spacing w:line="179" w:lineRule="exact"/>
              <w:ind w:left="164"/>
              <w:rPr>
                <w:sz w:val="16"/>
              </w:rPr>
            </w:pPr>
            <w:r>
              <w:rPr>
                <w:spacing w:val="-2"/>
                <w:sz w:val="16"/>
              </w:rPr>
              <w:t>1,589,461,000.00</w:t>
            </w:r>
          </w:p>
        </w:tc>
        <w:tc>
          <w:tcPr>
            <w:tcW w:w="1570" w:type="dxa"/>
          </w:tcPr>
          <w:p>
            <w:pPr>
              <w:pStyle w:val="TableParagraph"/>
              <w:spacing w:line="179" w:lineRule="exact"/>
              <w:ind w:left="204"/>
              <w:rPr>
                <w:sz w:val="16"/>
              </w:rPr>
            </w:pPr>
            <w:r>
              <w:rPr>
                <w:spacing w:val="-2"/>
                <w:sz w:val="16"/>
              </w:rPr>
              <w:t>-846,461,000.00</w:t>
            </w:r>
          </w:p>
        </w:tc>
        <w:tc>
          <w:tcPr>
            <w:tcW w:w="1094" w:type="dxa"/>
          </w:tcPr>
          <w:p>
            <w:pPr>
              <w:pStyle w:val="TableParagraph"/>
              <w:spacing w:line="179" w:lineRule="exact"/>
              <w:ind w:left="165"/>
              <w:rPr>
                <w:sz w:val="16"/>
              </w:rPr>
            </w:pPr>
            <w:r>
              <w:rPr>
                <w:spacing w:val="-2"/>
                <w:sz w:val="16"/>
              </w:rPr>
              <w:t>-113.92</w:t>
            </w:r>
          </w:p>
        </w:tc>
        <w:tc>
          <w:tcPr>
            <w:tcW w:w="1664" w:type="dxa"/>
          </w:tcPr>
          <w:p>
            <w:pPr>
              <w:pStyle w:val="TableParagraph"/>
              <w:spacing w:line="179" w:lineRule="exact"/>
              <w:ind w:left="151"/>
              <w:rPr>
                <w:sz w:val="16"/>
              </w:rPr>
            </w:pPr>
            <w:r>
              <w:rPr>
                <w:spacing w:val="-2"/>
                <w:sz w:val="16"/>
              </w:rPr>
              <w:t>213.92</w:t>
            </w:r>
          </w:p>
        </w:tc>
      </w:tr>
      <w:tr>
        <w:trPr>
          <w:trHeight w:val="300" w:hRule="atLeast"/>
        </w:trPr>
        <w:tc>
          <w:tcPr>
            <w:tcW w:w="641" w:type="dxa"/>
            <w:shd w:val="clear" w:color="auto" w:fill="D2DFED"/>
          </w:tcPr>
          <w:p>
            <w:pPr>
              <w:pStyle w:val="TableParagraph"/>
              <w:spacing w:line="202" w:lineRule="exact"/>
              <w:ind w:left="122"/>
              <w:rPr>
                <w:sz w:val="18"/>
              </w:rPr>
            </w:pPr>
            <w:r>
              <w:rPr>
                <w:spacing w:val="-4"/>
                <w:sz w:val="18"/>
              </w:rPr>
              <w:t>2001</w:t>
            </w:r>
          </w:p>
        </w:tc>
        <w:tc>
          <w:tcPr>
            <w:tcW w:w="1521" w:type="dxa"/>
            <w:shd w:val="clear" w:color="auto" w:fill="D2DFED"/>
          </w:tcPr>
          <w:p>
            <w:pPr>
              <w:pStyle w:val="TableParagraph"/>
              <w:spacing w:line="179" w:lineRule="exact"/>
              <w:ind w:left="110"/>
              <w:rPr>
                <w:sz w:val="16"/>
              </w:rPr>
            </w:pPr>
            <w:r>
              <w:rPr>
                <w:spacing w:val="-2"/>
                <w:sz w:val="16"/>
              </w:rPr>
              <w:t>4,487,000,000.00</w:t>
            </w:r>
          </w:p>
        </w:tc>
        <w:tc>
          <w:tcPr>
            <w:tcW w:w="1576" w:type="dxa"/>
            <w:shd w:val="clear" w:color="auto" w:fill="D2DFED"/>
          </w:tcPr>
          <w:p>
            <w:pPr>
              <w:pStyle w:val="TableParagraph"/>
              <w:spacing w:line="179" w:lineRule="exact"/>
              <w:ind w:left="209"/>
              <w:rPr>
                <w:sz w:val="16"/>
              </w:rPr>
            </w:pPr>
            <w:r>
              <w:rPr>
                <w:spacing w:val="-2"/>
                <w:sz w:val="16"/>
              </w:rPr>
              <w:t>4,487,000,000.00</w:t>
            </w:r>
          </w:p>
        </w:tc>
        <w:tc>
          <w:tcPr>
            <w:tcW w:w="1490" w:type="dxa"/>
            <w:shd w:val="clear" w:color="auto" w:fill="D2DFED"/>
          </w:tcPr>
          <w:p>
            <w:pPr>
              <w:pStyle w:val="TableParagraph"/>
              <w:spacing w:line="179" w:lineRule="exact"/>
              <w:ind w:left="164"/>
              <w:rPr>
                <w:sz w:val="16"/>
              </w:rPr>
            </w:pPr>
            <w:r>
              <w:rPr>
                <w:spacing w:val="-2"/>
                <w:sz w:val="16"/>
              </w:rPr>
              <w:t>1,041,444,000.00</w:t>
            </w:r>
          </w:p>
        </w:tc>
        <w:tc>
          <w:tcPr>
            <w:tcW w:w="1570" w:type="dxa"/>
            <w:shd w:val="clear" w:color="auto" w:fill="D2DFED"/>
          </w:tcPr>
          <w:p>
            <w:pPr>
              <w:pStyle w:val="TableParagraph"/>
              <w:spacing w:line="179" w:lineRule="exact"/>
              <w:ind w:left="204"/>
              <w:rPr>
                <w:sz w:val="16"/>
              </w:rPr>
            </w:pPr>
            <w:r>
              <w:rPr>
                <w:spacing w:val="-2"/>
                <w:sz w:val="16"/>
              </w:rPr>
              <w:t>3,445,556,000.00</w:t>
            </w:r>
          </w:p>
        </w:tc>
        <w:tc>
          <w:tcPr>
            <w:tcW w:w="1094" w:type="dxa"/>
            <w:shd w:val="clear" w:color="auto" w:fill="D2DFED"/>
          </w:tcPr>
          <w:p>
            <w:pPr>
              <w:pStyle w:val="TableParagraph"/>
              <w:spacing w:line="179" w:lineRule="exact"/>
              <w:ind w:left="165"/>
              <w:rPr>
                <w:sz w:val="16"/>
              </w:rPr>
            </w:pPr>
            <w:r>
              <w:rPr>
                <w:spacing w:val="-2"/>
                <w:sz w:val="16"/>
              </w:rPr>
              <w:t>76.79</w:t>
            </w:r>
          </w:p>
        </w:tc>
        <w:tc>
          <w:tcPr>
            <w:tcW w:w="1664" w:type="dxa"/>
            <w:shd w:val="clear" w:color="auto" w:fill="D2DFED"/>
          </w:tcPr>
          <w:p>
            <w:pPr>
              <w:pStyle w:val="TableParagraph"/>
              <w:spacing w:line="179" w:lineRule="exact"/>
              <w:ind w:left="151"/>
              <w:rPr>
                <w:sz w:val="16"/>
              </w:rPr>
            </w:pPr>
            <w:r>
              <w:rPr>
                <w:spacing w:val="-2"/>
                <w:sz w:val="16"/>
              </w:rPr>
              <w:t>23.21</w:t>
            </w:r>
          </w:p>
        </w:tc>
      </w:tr>
      <w:tr>
        <w:trPr>
          <w:trHeight w:val="300" w:hRule="atLeast"/>
        </w:trPr>
        <w:tc>
          <w:tcPr>
            <w:tcW w:w="641" w:type="dxa"/>
          </w:tcPr>
          <w:p>
            <w:pPr>
              <w:pStyle w:val="TableParagraph"/>
              <w:spacing w:line="202" w:lineRule="exact"/>
              <w:ind w:left="122"/>
              <w:rPr>
                <w:sz w:val="18"/>
              </w:rPr>
            </w:pPr>
            <w:r>
              <w:rPr>
                <w:spacing w:val="-4"/>
                <w:sz w:val="18"/>
              </w:rPr>
              <w:t>2002</w:t>
            </w:r>
          </w:p>
        </w:tc>
        <w:tc>
          <w:tcPr>
            <w:tcW w:w="1521" w:type="dxa"/>
          </w:tcPr>
          <w:p>
            <w:pPr>
              <w:pStyle w:val="TableParagraph"/>
              <w:spacing w:line="179" w:lineRule="exact"/>
              <w:ind w:left="110"/>
              <w:rPr>
                <w:sz w:val="16"/>
              </w:rPr>
            </w:pPr>
            <w:r>
              <w:rPr>
                <w:spacing w:val="-2"/>
                <w:sz w:val="16"/>
              </w:rPr>
              <w:t>777,400,000.00</w:t>
            </w:r>
          </w:p>
        </w:tc>
        <w:tc>
          <w:tcPr>
            <w:tcW w:w="1576" w:type="dxa"/>
          </w:tcPr>
          <w:p>
            <w:pPr>
              <w:pStyle w:val="TableParagraph"/>
              <w:spacing w:line="179" w:lineRule="exact"/>
              <w:ind w:left="209"/>
              <w:rPr>
                <w:sz w:val="16"/>
              </w:rPr>
            </w:pPr>
            <w:r>
              <w:rPr>
                <w:spacing w:val="-2"/>
                <w:sz w:val="16"/>
              </w:rPr>
              <w:t>1,257,400,000.00</w:t>
            </w:r>
          </w:p>
        </w:tc>
        <w:tc>
          <w:tcPr>
            <w:tcW w:w="1490" w:type="dxa"/>
          </w:tcPr>
          <w:p>
            <w:pPr>
              <w:pStyle w:val="TableParagraph"/>
              <w:spacing w:line="179" w:lineRule="exact"/>
              <w:ind w:left="164"/>
              <w:rPr>
                <w:sz w:val="16"/>
              </w:rPr>
            </w:pPr>
            <w:r>
              <w:rPr>
                <w:spacing w:val="-2"/>
                <w:sz w:val="16"/>
              </w:rPr>
              <w:t>873,000,000.00</w:t>
            </w:r>
          </w:p>
        </w:tc>
        <w:tc>
          <w:tcPr>
            <w:tcW w:w="1570" w:type="dxa"/>
          </w:tcPr>
          <w:p>
            <w:pPr>
              <w:pStyle w:val="TableParagraph"/>
              <w:spacing w:line="179" w:lineRule="exact"/>
              <w:ind w:left="204"/>
              <w:rPr>
                <w:sz w:val="16"/>
              </w:rPr>
            </w:pPr>
            <w:r>
              <w:rPr>
                <w:spacing w:val="-2"/>
                <w:sz w:val="16"/>
              </w:rPr>
              <w:t>-95,600,000.00</w:t>
            </w:r>
          </w:p>
        </w:tc>
        <w:tc>
          <w:tcPr>
            <w:tcW w:w="1094" w:type="dxa"/>
          </w:tcPr>
          <w:p>
            <w:pPr>
              <w:pStyle w:val="TableParagraph"/>
              <w:spacing w:line="179" w:lineRule="exact"/>
              <w:ind w:left="165"/>
              <w:rPr>
                <w:sz w:val="16"/>
              </w:rPr>
            </w:pPr>
            <w:r>
              <w:rPr>
                <w:spacing w:val="-2"/>
                <w:sz w:val="16"/>
              </w:rPr>
              <w:t>-12.29</w:t>
            </w:r>
          </w:p>
        </w:tc>
        <w:tc>
          <w:tcPr>
            <w:tcW w:w="1664" w:type="dxa"/>
          </w:tcPr>
          <w:p>
            <w:pPr>
              <w:pStyle w:val="TableParagraph"/>
              <w:spacing w:line="179" w:lineRule="exact"/>
              <w:ind w:left="151"/>
              <w:rPr>
                <w:sz w:val="16"/>
              </w:rPr>
            </w:pPr>
            <w:r>
              <w:rPr>
                <w:spacing w:val="-2"/>
                <w:sz w:val="16"/>
              </w:rPr>
              <w:t>69.43</w:t>
            </w:r>
          </w:p>
        </w:tc>
      </w:tr>
      <w:tr>
        <w:trPr>
          <w:trHeight w:val="300" w:hRule="atLeast"/>
        </w:trPr>
        <w:tc>
          <w:tcPr>
            <w:tcW w:w="641" w:type="dxa"/>
            <w:shd w:val="clear" w:color="auto" w:fill="D2DFED"/>
          </w:tcPr>
          <w:p>
            <w:pPr>
              <w:pStyle w:val="TableParagraph"/>
              <w:spacing w:line="202" w:lineRule="exact"/>
              <w:ind w:left="122"/>
              <w:rPr>
                <w:sz w:val="18"/>
              </w:rPr>
            </w:pPr>
            <w:r>
              <w:rPr>
                <w:spacing w:val="-4"/>
                <w:sz w:val="18"/>
              </w:rPr>
              <w:t>2003</w:t>
            </w:r>
          </w:p>
        </w:tc>
        <w:tc>
          <w:tcPr>
            <w:tcW w:w="1521" w:type="dxa"/>
            <w:shd w:val="clear" w:color="auto" w:fill="D2DFED"/>
          </w:tcPr>
          <w:p>
            <w:pPr>
              <w:pStyle w:val="TableParagraph"/>
              <w:spacing w:line="179" w:lineRule="exact"/>
              <w:ind w:left="110"/>
              <w:rPr>
                <w:sz w:val="16"/>
              </w:rPr>
            </w:pPr>
            <w:r>
              <w:rPr>
                <w:spacing w:val="-2"/>
                <w:sz w:val="16"/>
              </w:rPr>
              <w:t>2,037,500,000.00</w:t>
            </w:r>
          </w:p>
        </w:tc>
        <w:tc>
          <w:tcPr>
            <w:tcW w:w="1576" w:type="dxa"/>
            <w:shd w:val="clear" w:color="auto" w:fill="D2DFED"/>
          </w:tcPr>
          <w:p>
            <w:pPr>
              <w:pStyle w:val="TableParagraph"/>
              <w:spacing w:line="179" w:lineRule="exact"/>
              <w:ind w:left="209"/>
              <w:rPr>
                <w:sz w:val="16"/>
              </w:rPr>
            </w:pPr>
            <w:r>
              <w:rPr>
                <w:spacing w:val="-2"/>
                <w:sz w:val="16"/>
              </w:rPr>
              <w:t>2,037,500,000.00</w:t>
            </w:r>
          </w:p>
        </w:tc>
        <w:tc>
          <w:tcPr>
            <w:tcW w:w="1490" w:type="dxa"/>
            <w:shd w:val="clear" w:color="auto" w:fill="D2DFED"/>
          </w:tcPr>
          <w:p>
            <w:pPr>
              <w:pStyle w:val="TableParagraph"/>
              <w:spacing w:line="179" w:lineRule="exact"/>
              <w:ind w:left="164"/>
              <w:rPr>
                <w:sz w:val="16"/>
              </w:rPr>
            </w:pPr>
            <w:r>
              <w:rPr>
                <w:spacing w:val="-2"/>
                <w:sz w:val="16"/>
              </w:rPr>
              <w:t>221,655,675.77</w:t>
            </w:r>
          </w:p>
        </w:tc>
        <w:tc>
          <w:tcPr>
            <w:tcW w:w="1570" w:type="dxa"/>
            <w:shd w:val="clear" w:color="auto" w:fill="D2DFED"/>
          </w:tcPr>
          <w:p>
            <w:pPr>
              <w:pStyle w:val="TableParagraph"/>
              <w:spacing w:line="179" w:lineRule="exact"/>
              <w:ind w:left="204"/>
              <w:rPr>
                <w:sz w:val="16"/>
              </w:rPr>
            </w:pPr>
            <w:r>
              <w:rPr>
                <w:spacing w:val="-2"/>
                <w:sz w:val="16"/>
              </w:rPr>
              <w:t>1,815,844,324.23</w:t>
            </w:r>
          </w:p>
        </w:tc>
        <w:tc>
          <w:tcPr>
            <w:tcW w:w="1094" w:type="dxa"/>
            <w:shd w:val="clear" w:color="auto" w:fill="D2DFED"/>
          </w:tcPr>
          <w:p>
            <w:pPr>
              <w:pStyle w:val="TableParagraph"/>
              <w:spacing w:line="179" w:lineRule="exact"/>
              <w:ind w:left="165"/>
              <w:rPr>
                <w:sz w:val="16"/>
              </w:rPr>
            </w:pPr>
            <w:r>
              <w:rPr>
                <w:spacing w:val="-2"/>
                <w:sz w:val="16"/>
              </w:rPr>
              <w:t>89.12</w:t>
            </w:r>
          </w:p>
        </w:tc>
        <w:tc>
          <w:tcPr>
            <w:tcW w:w="1664" w:type="dxa"/>
            <w:shd w:val="clear" w:color="auto" w:fill="D2DFED"/>
          </w:tcPr>
          <w:p>
            <w:pPr>
              <w:pStyle w:val="TableParagraph"/>
              <w:spacing w:line="179" w:lineRule="exact"/>
              <w:ind w:left="151"/>
              <w:rPr>
                <w:sz w:val="16"/>
              </w:rPr>
            </w:pPr>
            <w:r>
              <w:rPr>
                <w:spacing w:val="-2"/>
                <w:sz w:val="16"/>
              </w:rPr>
              <w:t>10.88</w:t>
            </w:r>
          </w:p>
        </w:tc>
      </w:tr>
      <w:tr>
        <w:trPr>
          <w:trHeight w:val="300" w:hRule="atLeast"/>
        </w:trPr>
        <w:tc>
          <w:tcPr>
            <w:tcW w:w="641" w:type="dxa"/>
          </w:tcPr>
          <w:p>
            <w:pPr>
              <w:pStyle w:val="TableParagraph"/>
              <w:spacing w:line="202" w:lineRule="exact"/>
              <w:ind w:left="122"/>
              <w:rPr>
                <w:sz w:val="18"/>
              </w:rPr>
            </w:pPr>
            <w:r>
              <w:rPr>
                <w:spacing w:val="-4"/>
                <w:sz w:val="18"/>
              </w:rPr>
              <w:t>2004</w:t>
            </w:r>
          </w:p>
        </w:tc>
        <w:tc>
          <w:tcPr>
            <w:tcW w:w="1521" w:type="dxa"/>
          </w:tcPr>
          <w:p>
            <w:pPr>
              <w:pStyle w:val="TableParagraph"/>
              <w:spacing w:line="179" w:lineRule="exact"/>
              <w:ind w:left="110"/>
              <w:rPr>
                <w:sz w:val="16"/>
              </w:rPr>
            </w:pPr>
            <w:r>
              <w:rPr>
                <w:spacing w:val="-2"/>
                <w:sz w:val="16"/>
              </w:rPr>
              <w:t>875,000,000.00</w:t>
            </w:r>
          </w:p>
        </w:tc>
        <w:tc>
          <w:tcPr>
            <w:tcW w:w="1576" w:type="dxa"/>
          </w:tcPr>
          <w:p>
            <w:pPr>
              <w:pStyle w:val="TableParagraph"/>
              <w:spacing w:line="179" w:lineRule="exact"/>
              <w:ind w:left="209"/>
              <w:rPr>
                <w:sz w:val="16"/>
              </w:rPr>
            </w:pPr>
            <w:r>
              <w:rPr>
                <w:spacing w:val="-2"/>
                <w:sz w:val="16"/>
              </w:rPr>
              <w:t>875,000,000.00</w:t>
            </w:r>
          </w:p>
        </w:tc>
        <w:tc>
          <w:tcPr>
            <w:tcW w:w="1490" w:type="dxa"/>
          </w:tcPr>
          <w:p>
            <w:pPr>
              <w:pStyle w:val="TableParagraph"/>
              <w:spacing w:line="179" w:lineRule="exact"/>
              <w:ind w:left="164"/>
              <w:rPr>
                <w:sz w:val="16"/>
              </w:rPr>
            </w:pPr>
            <w:r>
              <w:rPr>
                <w:spacing w:val="-2"/>
                <w:sz w:val="16"/>
              </w:rPr>
              <w:t>34,705,000.00</w:t>
            </w:r>
          </w:p>
        </w:tc>
        <w:tc>
          <w:tcPr>
            <w:tcW w:w="1570" w:type="dxa"/>
          </w:tcPr>
          <w:p>
            <w:pPr>
              <w:pStyle w:val="TableParagraph"/>
              <w:spacing w:line="179" w:lineRule="exact"/>
              <w:ind w:left="204"/>
              <w:rPr>
                <w:sz w:val="16"/>
              </w:rPr>
            </w:pPr>
            <w:r>
              <w:rPr>
                <w:spacing w:val="-2"/>
                <w:sz w:val="16"/>
              </w:rPr>
              <w:t>840,295,000.00</w:t>
            </w:r>
          </w:p>
        </w:tc>
        <w:tc>
          <w:tcPr>
            <w:tcW w:w="1094" w:type="dxa"/>
          </w:tcPr>
          <w:p>
            <w:pPr>
              <w:pStyle w:val="TableParagraph"/>
              <w:spacing w:line="179" w:lineRule="exact"/>
              <w:ind w:left="165"/>
              <w:rPr>
                <w:sz w:val="16"/>
              </w:rPr>
            </w:pPr>
            <w:r>
              <w:rPr>
                <w:spacing w:val="-2"/>
                <w:sz w:val="16"/>
              </w:rPr>
              <w:t>96.03</w:t>
            </w:r>
          </w:p>
        </w:tc>
        <w:tc>
          <w:tcPr>
            <w:tcW w:w="1664" w:type="dxa"/>
          </w:tcPr>
          <w:p>
            <w:pPr>
              <w:pStyle w:val="TableParagraph"/>
              <w:spacing w:line="179" w:lineRule="exact"/>
              <w:ind w:left="151"/>
              <w:rPr>
                <w:sz w:val="16"/>
              </w:rPr>
            </w:pPr>
            <w:r>
              <w:rPr>
                <w:spacing w:val="-4"/>
                <w:sz w:val="16"/>
              </w:rPr>
              <w:t>3.97</w:t>
            </w:r>
          </w:p>
        </w:tc>
      </w:tr>
      <w:tr>
        <w:trPr>
          <w:trHeight w:val="300" w:hRule="atLeast"/>
        </w:trPr>
        <w:tc>
          <w:tcPr>
            <w:tcW w:w="641" w:type="dxa"/>
            <w:shd w:val="clear" w:color="auto" w:fill="D2DFED"/>
          </w:tcPr>
          <w:p>
            <w:pPr>
              <w:pStyle w:val="TableParagraph"/>
              <w:spacing w:line="202" w:lineRule="exact"/>
              <w:ind w:left="122"/>
              <w:rPr>
                <w:sz w:val="18"/>
              </w:rPr>
            </w:pPr>
            <w:r>
              <w:rPr>
                <w:spacing w:val="-4"/>
                <w:sz w:val="18"/>
              </w:rPr>
              <w:t>2005</w:t>
            </w:r>
          </w:p>
        </w:tc>
        <w:tc>
          <w:tcPr>
            <w:tcW w:w="1521" w:type="dxa"/>
            <w:shd w:val="clear" w:color="auto" w:fill="D2DFED"/>
          </w:tcPr>
          <w:p>
            <w:pPr>
              <w:pStyle w:val="TableParagraph"/>
              <w:spacing w:line="179" w:lineRule="exact"/>
              <w:ind w:left="110"/>
              <w:rPr>
                <w:sz w:val="16"/>
              </w:rPr>
            </w:pPr>
            <w:r>
              <w:rPr>
                <w:spacing w:val="-2"/>
                <w:sz w:val="16"/>
              </w:rPr>
              <w:t>1,537,900,000.00</w:t>
            </w:r>
          </w:p>
        </w:tc>
        <w:tc>
          <w:tcPr>
            <w:tcW w:w="1576" w:type="dxa"/>
            <w:shd w:val="clear" w:color="auto" w:fill="D2DFED"/>
          </w:tcPr>
          <w:p>
            <w:pPr>
              <w:pStyle w:val="TableParagraph"/>
              <w:spacing w:line="179" w:lineRule="exact"/>
              <w:ind w:left="209"/>
              <w:rPr>
                <w:sz w:val="16"/>
              </w:rPr>
            </w:pPr>
            <w:r>
              <w:rPr>
                <w:spacing w:val="-2"/>
                <w:sz w:val="16"/>
              </w:rPr>
              <w:t>1,537,900,000.00</w:t>
            </w:r>
          </w:p>
        </w:tc>
        <w:tc>
          <w:tcPr>
            <w:tcW w:w="1490" w:type="dxa"/>
            <w:shd w:val="clear" w:color="auto" w:fill="D2DFED"/>
          </w:tcPr>
          <w:p>
            <w:pPr>
              <w:pStyle w:val="TableParagraph"/>
              <w:spacing w:line="179" w:lineRule="exact"/>
              <w:ind w:left="164"/>
              <w:rPr>
                <w:sz w:val="16"/>
              </w:rPr>
            </w:pPr>
            <w:r>
              <w:rPr>
                <w:spacing w:val="-2"/>
                <w:sz w:val="16"/>
              </w:rPr>
              <w:t>521,977,000.00</w:t>
            </w:r>
          </w:p>
        </w:tc>
        <w:tc>
          <w:tcPr>
            <w:tcW w:w="1570" w:type="dxa"/>
            <w:shd w:val="clear" w:color="auto" w:fill="D2DFED"/>
          </w:tcPr>
          <w:p>
            <w:pPr>
              <w:pStyle w:val="TableParagraph"/>
              <w:spacing w:line="179" w:lineRule="exact"/>
              <w:ind w:left="204"/>
              <w:rPr>
                <w:sz w:val="16"/>
              </w:rPr>
            </w:pPr>
            <w:r>
              <w:rPr>
                <w:spacing w:val="-2"/>
                <w:sz w:val="16"/>
              </w:rPr>
              <w:t>1,015,923,000.00</w:t>
            </w:r>
          </w:p>
        </w:tc>
        <w:tc>
          <w:tcPr>
            <w:tcW w:w="1094" w:type="dxa"/>
            <w:shd w:val="clear" w:color="auto" w:fill="D2DFED"/>
          </w:tcPr>
          <w:p>
            <w:pPr>
              <w:pStyle w:val="TableParagraph"/>
              <w:spacing w:line="179" w:lineRule="exact"/>
              <w:ind w:left="165"/>
              <w:rPr>
                <w:sz w:val="16"/>
              </w:rPr>
            </w:pPr>
            <w:r>
              <w:rPr>
                <w:spacing w:val="-2"/>
                <w:sz w:val="16"/>
              </w:rPr>
              <w:t>66.06</w:t>
            </w:r>
          </w:p>
        </w:tc>
        <w:tc>
          <w:tcPr>
            <w:tcW w:w="1664" w:type="dxa"/>
            <w:shd w:val="clear" w:color="auto" w:fill="D2DFED"/>
          </w:tcPr>
          <w:p>
            <w:pPr>
              <w:pStyle w:val="TableParagraph"/>
              <w:spacing w:line="179" w:lineRule="exact"/>
              <w:ind w:left="151"/>
              <w:rPr>
                <w:sz w:val="16"/>
              </w:rPr>
            </w:pPr>
            <w:r>
              <w:rPr>
                <w:spacing w:val="-2"/>
                <w:sz w:val="16"/>
              </w:rPr>
              <w:t>33.94</w:t>
            </w:r>
          </w:p>
        </w:tc>
      </w:tr>
      <w:tr>
        <w:trPr>
          <w:trHeight w:val="300" w:hRule="atLeast"/>
        </w:trPr>
        <w:tc>
          <w:tcPr>
            <w:tcW w:w="641" w:type="dxa"/>
          </w:tcPr>
          <w:p>
            <w:pPr>
              <w:pStyle w:val="TableParagraph"/>
              <w:spacing w:line="202" w:lineRule="exact"/>
              <w:ind w:left="122"/>
              <w:rPr>
                <w:sz w:val="18"/>
              </w:rPr>
            </w:pPr>
            <w:r>
              <w:rPr>
                <w:spacing w:val="-4"/>
                <w:sz w:val="18"/>
              </w:rPr>
              <w:t>2006</w:t>
            </w:r>
          </w:p>
        </w:tc>
        <w:tc>
          <w:tcPr>
            <w:tcW w:w="1521" w:type="dxa"/>
          </w:tcPr>
          <w:p>
            <w:pPr>
              <w:pStyle w:val="TableParagraph"/>
              <w:spacing w:line="179" w:lineRule="exact"/>
              <w:ind w:left="110"/>
              <w:rPr>
                <w:sz w:val="16"/>
              </w:rPr>
            </w:pPr>
            <w:r>
              <w:rPr>
                <w:spacing w:val="-2"/>
                <w:sz w:val="16"/>
              </w:rPr>
              <w:t>1,057,500,000.00</w:t>
            </w:r>
          </w:p>
        </w:tc>
        <w:tc>
          <w:tcPr>
            <w:tcW w:w="1576" w:type="dxa"/>
          </w:tcPr>
          <w:p>
            <w:pPr>
              <w:pStyle w:val="TableParagraph"/>
              <w:spacing w:line="179" w:lineRule="exact"/>
              <w:ind w:left="209"/>
              <w:rPr>
                <w:sz w:val="16"/>
              </w:rPr>
            </w:pPr>
            <w:r>
              <w:rPr>
                <w:spacing w:val="-2"/>
                <w:sz w:val="16"/>
              </w:rPr>
              <w:t>1,057,500,000.00</w:t>
            </w:r>
          </w:p>
        </w:tc>
        <w:tc>
          <w:tcPr>
            <w:tcW w:w="1490" w:type="dxa"/>
          </w:tcPr>
          <w:p>
            <w:pPr>
              <w:pStyle w:val="TableParagraph"/>
              <w:spacing w:line="179" w:lineRule="exact"/>
              <w:ind w:left="164"/>
              <w:rPr>
                <w:sz w:val="16"/>
              </w:rPr>
            </w:pPr>
            <w:r>
              <w:rPr>
                <w:spacing w:val="-2"/>
                <w:sz w:val="16"/>
              </w:rPr>
              <w:t>131,598,001.95</w:t>
            </w:r>
          </w:p>
        </w:tc>
        <w:tc>
          <w:tcPr>
            <w:tcW w:w="1570" w:type="dxa"/>
          </w:tcPr>
          <w:p>
            <w:pPr>
              <w:pStyle w:val="TableParagraph"/>
              <w:spacing w:line="179" w:lineRule="exact"/>
              <w:ind w:left="204"/>
              <w:rPr>
                <w:sz w:val="16"/>
              </w:rPr>
            </w:pPr>
            <w:r>
              <w:rPr>
                <w:spacing w:val="-2"/>
                <w:sz w:val="16"/>
              </w:rPr>
              <w:t>925,901,998.05</w:t>
            </w:r>
          </w:p>
        </w:tc>
        <w:tc>
          <w:tcPr>
            <w:tcW w:w="1094" w:type="dxa"/>
          </w:tcPr>
          <w:p>
            <w:pPr>
              <w:pStyle w:val="TableParagraph"/>
              <w:spacing w:line="179" w:lineRule="exact"/>
              <w:ind w:left="165"/>
              <w:rPr>
                <w:sz w:val="16"/>
              </w:rPr>
            </w:pPr>
            <w:r>
              <w:rPr>
                <w:spacing w:val="-2"/>
                <w:sz w:val="16"/>
              </w:rPr>
              <w:t>87.56</w:t>
            </w:r>
          </w:p>
        </w:tc>
        <w:tc>
          <w:tcPr>
            <w:tcW w:w="1664" w:type="dxa"/>
          </w:tcPr>
          <w:p>
            <w:pPr>
              <w:pStyle w:val="TableParagraph"/>
              <w:spacing w:line="179" w:lineRule="exact"/>
              <w:ind w:left="151"/>
              <w:rPr>
                <w:sz w:val="16"/>
              </w:rPr>
            </w:pPr>
            <w:r>
              <w:rPr>
                <w:spacing w:val="-2"/>
                <w:sz w:val="16"/>
              </w:rPr>
              <w:t>12.44</w:t>
            </w:r>
          </w:p>
        </w:tc>
      </w:tr>
      <w:tr>
        <w:trPr>
          <w:trHeight w:val="300" w:hRule="atLeast"/>
        </w:trPr>
        <w:tc>
          <w:tcPr>
            <w:tcW w:w="641" w:type="dxa"/>
            <w:shd w:val="clear" w:color="auto" w:fill="D2DFED"/>
          </w:tcPr>
          <w:p>
            <w:pPr>
              <w:pStyle w:val="TableParagraph"/>
              <w:spacing w:line="202" w:lineRule="exact"/>
              <w:ind w:left="122"/>
              <w:rPr>
                <w:sz w:val="18"/>
              </w:rPr>
            </w:pPr>
            <w:r>
              <w:rPr>
                <w:spacing w:val="-4"/>
                <w:sz w:val="18"/>
              </w:rPr>
              <w:t>2007</w:t>
            </w:r>
          </w:p>
        </w:tc>
        <w:tc>
          <w:tcPr>
            <w:tcW w:w="1521" w:type="dxa"/>
            <w:shd w:val="clear" w:color="auto" w:fill="D2DFED"/>
          </w:tcPr>
          <w:p>
            <w:pPr>
              <w:pStyle w:val="TableParagraph"/>
              <w:spacing w:line="179" w:lineRule="exact"/>
              <w:ind w:left="110"/>
              <w:rPr>
                <w:sz w:val="16"/>
              </w:rPr>
            </w:pPr>
            <w:r>
              <w:rPr>
                <w:spacing w:val="-2"/>
                <w:sz w:val="16"/>
              </w:rPr>
              <w:t>1,550,000,000.00</w:t>
            </w:r>
          </w:p>
        </w:tc>
        <w:tc>
          <w:tcPr>
            <w:tcW w:w="1576" w:type="dxa"/>
            <w:shd w:val="clear" w:color="auto" w:fill="D2DFED"/>
          </w:tcPr>
          <w:p>
            <w:pPr>
              <w:pStyle w:val="TableParagraph"/>
              <w:spacing w:line="179" w:lineRule="exact"/>
              <w:ind w:left="209"/>
              <w:rPr>
                <w:sz w:val="16"/>
              </w:rPr>
            </w:pPr>
            <w:r>
              <w:rPr>
                <w:spacing w:val="-2"/>
                <w:sz w:val="16"/>
              </w:rPr>
              <w:t>1,550,000,000.00</w:t>
            </w:r>
          </w:p>
        </w:tc>
        <w:tc>
          <w:tcPr>
            <w:tcW w:w="1490" w:type="dxa"/>
            <w:shd w:val="clear" w:color="auto" w:fill="D2DFED"/>
          </w:tcPr>
          <w:p>
            <w:pPr>
              <w:pStyle w:val="TableParagraph"/>
              <w:spacing w:line="179" w:lineRule="exact"/>
              <w:ind w:left="164"/>
              <w:rPr>
                <w:sz w:val="16"/>
              </w:rPr>
            </w:pPr>
            <w:r>
              <w:rPr>
                <w:spacing w:val="-2"/>
                <w:sz w:val="16"/>
              </w:rPr>
              <w:t>837,154,858.23</w:t>
            </w:r>
          </w:p>
        </w:tc>
        <w:tc>
          <w:tcPr>
            <w:tcW w:w="1570" w:type="dxa"/>
            <w:shd w:val="clear" w:color="auto" w:fill="D2DFED"/>
          </w:tcPr>
          <w:p>
            <w:pPr>
              <w:pStyle w:val="TableParagraph"/>
              <w:spacing w:line="179" w:lineRule="exact"/>
              <w:ind w:left="204"/>
              <w:rPr>
                <w:sz w:val="16"/>
              </w:rPr>
            </w:pPr>
            <w:r>
              <w:rPr>
                <w:spacing w:val="-2"/>
                <w:sz w:val="16"/>
              </w:rPr>
              <w:t>712,845,141.77</w:t>
            </w:r>
          </w:p>
        </w:tc>
        <w:tc>
          <w:tcPr>
            <w:tcW w:w="1094" w:type="dxa"/>
            <w:shd w:val="clear" w:color="auto" w:fill="D2DFED"/>
          </w:tcPr>
          <w:p>
            <w:pPr>
              <w:pStyle w:val="TableParagraph"/>
              <w:spacing w:line="179" w:lineRule="exact"/>
              <w:ind w:left="165"/>
              <w:rPr>
                <w:sz w:val="16"/>
              </w:rPr>
            </w:pPr>
            <w:r>
              <w:rPr>
                <w:spacing w:val="-2"/>
                <w:sz w:val="16"/>
              </w:rPr>
              <w:t>45.99</w:t>
            </w:r>
          </w:p>
        </w:tc>
        <w:tc>
          <w:tcPr>
            <w:tcW w:w="1664" w:type="dxa"/>
            <w:shd w:val="clear" w:color="auto" w:fill="D2DFED"/>
          </w:tcPr>
          <w:p>
            <w:pPr>
              <w:pStyle w:val="TableParagraph"/>
              <w:spacing w:line="179" w:lineRule="exact"/>
              <w:ind w:left="151"/>
              <w:rPr>
                <w:sz w:val="16"/>
              </w:rPr>
            </w:pPr>
            <w:r>
              <w:rPr>
                <w:spacing w:val="-2"/>
                <w:sz w:val="16"/>
              </w:rPr>
              <w:t>54.01</w:t>
            </w:r>
          </w:p>
        </w:tc>
      </w:tr>
      <w:tr>
        <w:trPr>
          <w:trHeight w:val="242" w:hRule="atLeast"/>
        </w:trPr>
        <w:tc>
          <w:tcPr>
            <w:tcW w:w="641" w:type="dxa"/>
          </w:tcPr>
          <w:p>
            <w:pPr>
              <w:pStyle w:val="TableParagraph"/>
              <w:spacing w:line="202" w:lineRule="exact"/>
              <w:ind w:left="122"/>
              <w:rPr>
                <w:sz w:val="18"/>
              </w:rPr>
            </w:pPr>
            <w:r>
              <w:rPr>
                <w:spacing w:val="-4"/>
                <w:sz w:val="18"/>
              </w:rPr>
              <w:t>2008</w:t>
            </w:r>
          </w:p>
        </w:tc>
        <w:tc>
          <w:tcPr>
            <w:tcW w:w="1521" w:type="dxa"/>
          </w:tcPr>
          <w:p>
            <w:pPr>
              <w:pStyle w:val="TableParagraph"/>
              <w:spacing w:line="179" w:lineRule="exact"/>
              <w:ind w:left="110"/>
              <w:rPr>
                <w:sz w:val="16"/>
              </w:rPr>
            </w:pPr>
            <w:r>
              <w:rPr>
                <w:spacing w:val="-2"/>
                <w:sz w:val="16"/>
              </w:rPr>
              <w:t>3,750,000,000.00</w:t>
            </w:r>
          </w:p>
        </w:tc>
        <w:tc>
          <w:tcPr>
            <w:tcW w:w="1576" w:type="dxa"/>
          </w:tcPr>
          <w:p>
            <w:pPr>
              <w:pStyle w:val="TableParagraph"/>
              <w:spacing w:line="179" w:lineRule="exact"/>
              <w:ind w:left="209"/>
              <w:rPr>
                <w:sz w:val="16"/>
              </w:rPr>
            </w:pPr>
            <w:r>
              <w:rPr>
                <w:spacing w:val="-2"/>
                <w:sz w:val="16"/>
              </w:rPr>
              <w:t>4,150,000,000.00</w:t>
            </w:r>
          </w:p>
        </w:tc>
        <w:tc>
          <w:tcPr>
            <w:tcW w:w="1490" w:type="dxa"/>
          </w:tcPr>
          <w:p>
            <w:pPr>
              <w:pStyle w:val="TableParagraph"/>
              <w:spacing w:line="179" w:lineRule="exact"/>
              <w:ind w:left="164"/>
              <w:rPr>
                <w:sz w:val="16"/>
              </w:rPr>
            </w:pPr>
            <w:r>
              <w:rPr>
                <w:spacing w:val="-2"/>
                <w:sz w:val="16"/>
              </w:rPr>
              <w:t>763,029,727.00</w:t>
            </w:r>
          </w:p>
        </w:tc>
        <w:tc>
          <w:tcPr>
            <w:tcW w:w="1570" w:type="dxa"/>
          </w:tcPr>
          <w:p>
            <w:pPr>
              <w:pStyle w:val="TableParagraph"/>
              <w:spacing w:line="179" w:lineRule="exact"/>
              <w:ind w:left="204"/>
              <w:rPr>
                <w:sz w:val="16"/>
              </w:rPr>
            </w:pPr>
            <w:r>
              <w:rPr>
                <w:spacing w:val="-2"/>
                <w:sz w:val="16"/>
              </w:rPr>
              <w:t>2,986,970,273.00</w:t>
            </w:r>
          </w:p>
        </w:tc>
        <w:tc>
          <w:tcPr>
            <w:tcW w:w="1094" w:type="dxa"/>
          </w:tcPr>
          <w:p>
            <w:pPr>
              <w:pStyle w:val="TableParagraph"/>
              <w:spacing w:line="179" w:lineRule="exact"/>
              <w:ind w:left="165"/>
              <w:rPr>
                <w:sz w:val="16"/>
              </w:rPr>
            </w:pPr>
            <w:r>
              <w:rPr>
                <w:spacing w:val="-2"/>
                <w:sz w:val="16"/>
              </w:rPr>
              <w:t>79.65</w:t>
            </w:r>
          </w:p>
        </w:tc>
        <w:tc>
          <w:tcPr>
            <w:tcW w:w="1664" w:type="dxa"/>
          </w:tcPr>
          <w:p>
            <w:pPr>
              <w:pStyle w:val="TableParagraph"/>
              <w:spacing w:line="179" w:lineRule="exact"/>
              <w:ind w:left="151"/>
              <w:rPr>
                <w:sz w:val="16"/>
              </w:rPr>
            </w:pPr>
            <w:r>
              <w:rPr>
                <w:spacing w:val="-2"/>
                <w:sz w:val="16"/>
              </w:rPr>
              <w:t>18.39</w:t>
            </w:r>
          </w:p>
        </w:tc>
      </w:tr>
      <w:tr>
        <w:trPr>
          <w:trHeight w:val="300" w:hRule="atLeast"/>
        </w:trPr>
        <w:tc>
          <w:tcPr>
            <w:tcW w:w="641" w:type="dxa"/>
            <w:shd w:val="clear" w:color="auto" w:fill="D2DFED"/>
          </w:tcPr>
          <w:p>
            <w:pPr>
              <w:pStyle w:val="TableParagraph"/>
              <w:spacing w:line="202" w:lineRule="exact"/>
              <w:ind w:left="122"/>
              <w:rPr>
                <w:sz w:val="18"/>
              </w:rPr>
            </w:pPr>
            <w:r>
              <w:rPr>
                <w:spacing w:val="-4"/>
                <w:sz w:val="18"/>
              </w:rPr>
              <w:t>2009</w:t>
            </w:r>
          </w:p>
        </w:tc>
        <w:tc>
          <w:tcPr>
            <w:tcW w:w="1521" w:type="dxa"/>
            <w:shd w:val="clear" w:color="auto" w:fill="D2DFED"/>
          </w:tcPr>
          <w:p>
            <w:pPr>
              <w:pStyle w:val="TableParagraph"/>
              <w:spacing w:line="179" w:lineRule="exact"/>
              <w:ind w:left="110"/>
              <w:rPr>
                <w:sz w:val="16"/>
              </w:rPr>
            </w:pPr>
            <w:r>
              <w:rPr>
                <w:spacing w:val="-2"/>
                <w:sz w:val="16"/>
              </w:rPr>
              <w:t>3,002,000,000.00</w:t>
            </w:r>
          </w:p>
        </w:tc>
        <w:tc>
          <w:tcPr>
            <w:tcW w:w="1576" w:type="dxa"/>
            <w:shd w:val="clear" w:color="auto" w:fill="D2DFED"/>
          </w:tcPr>
          <w:p>
            <w:pPr>
              <w:pStyle w:val="TableParagraph"/>
              <w:spacing w:line="179" w:lineRule="exact"/>
              <w:ind w:left="209"/>
              <w:rPr>
                <w:sz w:val="16"/>
              </w:rPr>
            </w:pPr>
            <w:r>
              <w:rPr>
                <w:spacing w:val="-2"/>
                <w:sz w:val="16"/>
              </w:rPr>
              <w:t>2,702,000,000.00</w:t>
            </w:r>
          </w:p>
        </w:tc>
        <w:tc>
          <w:tcPr>
            <w:tcW w:w="1490" w:type="dxa"/>
            <w:shd w:val="clear" w:color="auto" w:fill="D2DFED"/>
          </w:tcPr>
          <w:p>
            <w:pPr>
              <w:pStyle w:val="TableParagraph"/>
              <w:spacing w:line="179" w:lineRule="exact"/>
              <w:ind w:left="164"/>
              <w:rPr>
                <w:sz w:val="16"/>
              </w:rPr>
            </w:pPr>
            <w:r>
              <w:rPr>
                <w:spacing w:val="-2"/>
                <w:sz w:val="16"/>
              </w:rPr>
              <w:t>300,882,222.63</w:t>
            </w:r>
          </w:p>
        </w:tc>
        <w:tc>
          <w:tcPr>
            <w:tcW w:w="1570" w:type="dxa"/>
            <w:shd w:val="clear" w:color="auto" w:fill="D2DFED"/>
          </w:tcPr>
          <w:p>
            <w:pPr>
              <w:pStyle w:val="TableParagraph"/>
              <w:spacing w:line="179" w:lineRule="exact"/>
              <w:ind w:left="204"/>
              <w:rPr>
                <w:sz w:val="16"/>
              </w:rPr>
            </w:pPr>
            <w:r>
              <w:rPr>
                <w:spacing w:val="-2"/>
                <w:sz w:val="16"/>
              </w:rPr>
              <w:t>2,701,117,777.37</w:t>
            </w:r>
          </w:p>
        </w:tc>
        <w:tc>
          <w:tcPr>
            <w:tcW w:w="1094" w:type="dxa"/>
            <w:shd w:val="clear" w:color="auto" w:fill="D2DFED"/>
          </w:tcPr>
          <w:p>
            <w:pPr>
              <w:pStyle w:val="TableParagraph"/>
              <w:spacing w:line="179" w:lineRule="exact"/>
              <w:ind w:left="165"/>
              <w:rPr>
                <w:sz w:val="16"/>
              </w:rPr>
            </w:pPr>
            <w:r>
              <w:rPr>
                <w:spacing w:val="-2"/>
                <w:sz w:val="16"/>
              </w:rPr>
              <w:t>89.98</w:t>
            </w:r>
          </w:p>
        </w:tc>
        <w:tc>
          <w:tcPr>
            <w:tcW w:w="1664" w:type="dxa"/>
            <w:shd w:val="clear" w:color="auto" w:fill="D2DFED"/>
          </w:tcPr>
          <w:p>
            <w:pPr>
              <w:pStyle w:val="TableParagraph"/>
              <w:spacing w:line="179" w:lineRule="exact"/>
              <w:ind w:left="151"/>
              <w:rPr>
                <w:sz w:val="16"/>
              </w:rPr>
            </w:pPr>
            <w:r>
              <w:rPr>
                <w:spacing w:val="-2"/>
                <w:sz w:val="16"/>
              </w:rPr>
              <w:t>11.14</w:t>
            </w:r>
          </w:p>
        </w:tc>
      </w:tr>
      <w:tr>
        <w:trPr>
          <w:trHeight w:val="300" w:hRule="atLeast"/>
        </w:trPr>
        <w:tc>
          <w:tcPr>
            <w:tcW w:w="641" w:type="dxa"/>
          </w:tcPr>
          <w:p>
            <w:pPr>
              <w:pStyle w:val="TableParagraph"/>
              <w:spacing w:line="202" w:lineRule="exact"/>
              <w:ind w:left="122"/>
              <w:rPr>
                <w:sz w:val="18"/>
              </w:rPr>
            </w:pPr>
            <w:r>
              <w:rPr>
                <w:spacing w:val="-4"/>
                <w:sz w:val="18"/>
              </w:rPr>
              <w:t>2010</w:t>
            </w:r>
          </w:p>
        </w:tc>
        <w:tc>
          <w:tcPr>
            <w:tcW w:w="1521" w:type="dxa"/>
          </w:tcPr>
          <w:p>
            <w:pPr>
              <w:pStyle w:val="TableParagraph"/>
              <w:spacing w:line="179" w:lineRule="exact"/>
              <w:ind w:left="110"/>
              <w:rPr>
                <w:sz w:val="16"/>
              </w:rPr>
            </w:pPr>
            <w:r>
              <w:rPr>
                <w:spacing w:val="-2"/>
                <w:sz w:val="16"/>
              </w:rPr>
              <w:t>2,430,000,000.00</w:t>
            </w:r>
          </w:p>
        </w:tc>
        <w:tc>
          <w:tcPr>
            <w:tcW w:w="1576" w:type="dxa"/>
          </w:tcPr>
          <w:p>
            <w:pPr>
              <w:pStyle w:val="TableParagraph"/>
              <w:spacing w:line="179" w:lineRule="exact"/>
              <w:ind w:left="209"/>
              <w:rPr>
                <w:sz w:val="16"/>
              </w:rPr>
            </w:pPr>
            <w:r>
              <w:rPr>
                <w:spacing w:val="-2"/>
                <w:sz w:val="16"/>
              </w:rPr>
              <w:t>2,430,000,000.00</w:t>
            </w:r>
          </w:p>
        </w:tc>
        <w:tc>
          <w:tcPr>
            <w:tcW w:w="1490" w:type="dxa"/>
          </w:tcPr>
          <w:p>
            <w:pPr>
              <w:pStyle w:val="TableParagraph"/>
              <w:spacing w:line="179" w:lineRule="exact"/>
              <w:ind w:left="164"/>
              <w:rPr>
                <w:sz w:val="16"/>
              </w:rPr>
            </w:pPr>
            <w:r>
              <w:rPr>
                <w:spacing w:val="-2"/>
                <w:sz w:val="16"/>
              </w:rPr>
              <w:t>161,018,131.20</w:t>
            </w:r>
          </w:p>
        </w:tc>
        <w:tc>
          <w:tcPr>
            <w:tcW w:w="1570" w:type="dxa"/>
          </w:tcPr>
          <w:p>
            <w:pPr>
              <w:pStyle w:val="TableParagraph"/>
              <w:spacing w:line="179" w:lineRule="exact"/>
              <w:ind w:left="204"/>
              <w:rPr>
                <w:sz w:val="16"/>
              </w:rPr>
            </w:pPr>
            <w:r>
              <w:rPr>
                <w:spacing w:val="-2"/>
                <w:sz w:val="16"/>
              </w:rPr>
              <w:t>2,268,981,868.80</w:t>
            </w:r>
          </w:p>
        </w:tc>
        <w:tc>
          <w:tcPr>
            <w:tcW w:w="1094" w:type="dxa"/>
          </w:tcPr>
          <w:p>
            <w:pPr>
              <w:pStyle w:val="TableParagraph"/>
              <w:spacing w:line="179" w:lineRule="exact"/>
              <w:ind w:left="165"/>
              <w:rPr>
                <w:sz w:val="16"/>
              </w:rPr>
            </w:pPr>
            <w:r>
              <w:rPr>
                <w:spacing w:val="-2"/>
                <w:sz w:val="16"/>
              </w:rPr>
              <w:t>93.37</w:t>
            </w:r>
          </w:p>
        </w:tc>
        <w:tc>
          <w:tcPr>
            <w:tcW w:w="1664" w:type="dxa"/>
          </w:tcPr>
          <w:p>
            <w:pPr>
              <w:pStyle w:val="TableParagraph"/>
              <w:spacing w:line="179" w:lineRule="exact"/>
              <w:ind w:left="151"/>
              <w:rPr>
                <w:sz w:val="16"/>
              </w:rPr>
            </w:pPr>
            <w:r>
              <w:rPr>
                <w:spacing w:val="-4"/>
                <w:sz w:val="16"/>
              </w:rPr>
              <w:t>6.63</w:t>
            </w:r>
          </w:p>
        </w:tc>
      </w:tr>
      <w:tr>
        <w:trPr>
          <w:trHeight w:val="300" w:hRule="atLeast"/>
        </w:trPr>
        <w:tc>
          <w:tcPr>
            <w:tcW w:w="641" w:type="dxa"/>
            <w:shd w:val="clear" w:color="auto" w:fill="D2DFED"/>
          </w:tcPr>
          <w:p>
            <w:pPr>
              <w:pStyle w:val="TableParagraph"/>
              <w:spacing w:line="202" w:lineRule="exact"/>
              <w:ind w:left="122"/>
              <w:rPr>
                <w:sz w:val="18"/>
              </w:rPr>
            </w:pPr>
            <w:r>
              <w:rPr>
                <w:spacing w:val="-4"/>
                <w:sz w:val="18"/>
              </w:rPr>
              <w:t>2011</w:t>
            </w:r>
          </w:p>
        </w:tc>
        <w:tc>
          <w:tcPr>
            <w:tcW w:w="1521" w:type="dxa"/>
            <w:shd w:val="clear" w:color="auto" w:fill="D2DFED"/>
          </w:tcPr>
          <w:p>
            <w:pPr>
              <w:pStyle w:val="TableParagraph"/>
              <w:spacing w:line="179" w:lineRule="exact"/>
              <w:ind w:left="110"/>
              <w:rPr>
                <w:sz w:val="16"/>
              </w:rPr>
            </w:pPr>
            <w:r>
              <w:rPr>
                <w:spacing w:val="-2"/>
                <w:sz w:val="16"/>
              </w:rPr>
              <w:t>2,451,000,000.00</w:t>
            </w:r>
          </w:p>
        </w:tc>
        <w:tc>
          <w:tcPr>
            <w:tcW w:w="1576" w:type="dxa"/>
            <w:shd w:val="clear" w:color="auto" w:fill="D2DFED"/>
          </w:tcPr>
          <w:p>
            <w:pPr>
              <w:pStyle w:val="TableParagraph"/>
              <w:spacing w:line="179" w:lineRule="exact"/>
              <w:ind w:left="209"/>
              <w:rPr>
                <w:sz w:val="16"/>
              </w:rPr>
            </w:pPr>
            <w:r>
              <w:rPr>
                <w:spacing w:val="-2"/>
                <w:sz w:val="16"/>
              </w:rPr>
              <w:t>2,451,000,000.00</w:t>
            </w:r>
          </w:p>
        </w:tc>
        <w:tc>
          <w:tcPr>
            <w:tcW w:w="1490" w:type="dxa"/>
            <w:shd w:val="clear" w:color="auto" w:fill="D2DFED"/>
          </w:tcPr>
          <w:p>
            <w:pPr>
              <w:pStyle w:val="TableParagraph"/>
              <w:spacing w:line="179" w:lineRule="exact"/>
              <w:ind w:left="164"/>
              <w:rPr>
                <w:sz w:val="16"/>
              </w:rPr>
            </w:pPr>
            <w:r>
              <w:rPr>
                <w:spacing w:val="-2"/>
                <w:sz w:val="16"/>
              </w:rPr>
              <w:t>68,226,876.97</w:t>
            </w:r>
          </w:p>
        </w:tc>
        <w:tc>
          <w:tcPr>
            <w:tcW w:w="1570" w:type="dxa"/>
            <w:shd w:val="clear" w:color="auto" w:fill="D2DFED"/>
          </w:tcPr>
          <w:p>
            <w:pPr>
              <w:pStyle w:val="TableParagraph"/>
              <w:spacing w:line="179" w:lineRule="exact"/>
              <w:ind w:left="204"/>
              <w:rPr>
                <w:sz w:val="16"/>
              </w:rPr>
            </w:pPr>
            <w:r>
              <w:rPr>
                <w:spacing w:val="-2"/>
                <w:sz w:val="16"/>
              </w:rPr>
              <w:t>2,382,773,123.03</w:t>
            </w:r>
          </w:p>
        </w:tc>
        <w:tc>
          <w:tcPr>
            <w:tcW w:w="1094" w:type="dxa"/>
            <w:shd w:val="clear" w:color="auto" w:fill="D2DFED"/>
          </w:tcPr>
          <w:p>
            <w:pPr>
              <w:pStyle w:val="TableParagraph"/>
              <w:spacing w:line="179" w:lineRule="exact"/>
              <w:ind w:left="165"/>
              <w:rPr>
                <w:sz w:val="16"/>
              </w:rPr>
            </w:pPr>
            <w:r>
              <w:rPr>
                <w:spacing w:val="-2"/>
                <w:sz w:val="16"/>
              </w:rPr>
              <w:t>97.22</w:t>
            </w:r>
          </w:p>
        </w:tc>
        <w:tc>
          <w:tcPr>
            <w:tcW w:w="1664" w:type="dxa"/>
            <w:shd w:val="clear" w:color="auto" w:fill="D2DFED"/>
          </w:tcPr>
          <w:p>
            <w:pPr>
              <w:pStyle w:val="TableParagraph"/>
              <w:spacing w:line="179" w:lineRule="exact"/>
              <w:ind w:left="151"/>
              <w:rPr>
                <w:sz w:val="16"/>
              </w:rPr>
            </w:pPr>
            <w:r>
              <w:rPr>
                <w:spacing w:val="-4"/>
                <w:sz w:val="16"/>
              </w:rPr>
              <w:t>2.78</w:t>
            </w:r>
          </w:p>
        </w:tc>
      </w:tr>
      <w:tr>
        <w:trPr>
          <w:trHeight w:val="300" w:hRule="atLeast"/>
        </w:trPr>
        <w:tc>
          <w:tcPr>
            <w:tcW w:w="641" w:type="dxa"/>
          </w:tcPr>
          <w:p>
            <w:pPr>
              <w:pStyle w:val="TableParagraph"/>
              <w:spacing w:line="202" w:lineRule="exact"/>
              <w:ind w:left="122"/>
              <w:rPr>
                <w:sz w:val="18"/>
              </w:rPr>
            </w:pPr>
            <w:r>
              <w:rPr>
                <w:spacing w:val="-4"/>
                <w:sz w:val="18"/>
              </w:rPr>
              <w:t>2012</w:t>
            </w:r>
          </w:p>
        </w:tc>
        <w:tc>
          <w:tcPr>
            <w:tcW w:w="1521" w:type="dxa"/>
          </w:tcPr>
          <w:p>
            <w:pPr>
              <w:pStyle w:val="TableParagraph"/>
              <w:spacing w:line="179" w:lineRule="exact"/>
              <w:ind w:left="110"/>
              <w:rPr>
                <w:sz w:val="16"/>
              </w:rPr>
            </w:pPr>
            <w:r>
              <w:rPr>
                <w:spacing w:val="-2"/>
                <w:sz w:val="16"/>
              </w:rPr>
              <w:t>1,808,000,000.00</w:t>
            </w:r>
          </w:p>
        </w:tc>
        <w:tc>
          <w:tcPr>
            <w:tcW w:w="1576" w:type="dxa"/>
          </w:tcPr>
          <w:p>
            <w:pPr>
              <w:pStyle w:val="TableParagraph"/>
              <w:spacing w:line="179" w:lineRule="exact"/>
              <w:ind w:left="209"/>
              <w:rPr>
                <w:sz w:val="16"/>
              </w:rPr>
            </w:pPr>
            <w:r>
              <w:rPr>
                <w:spacing w:val="-2"/>
                <w:sz w:val="16"/>
              </w:rPr>
              <w:t>1,808,000,000.00</w:t>
            </w:r>
          </w:p>
        </w:tc>
        <w:tc>
          <w:tcPr>
            <w:tcW w:w="1490" w:type="dxa"/>
          </w:tcPr>
          <w:p>
            <w:pPr>
              <w:pStyle w:val="TableParagraph"/>
              <w:spacing w:line="179" w:lineRule="exact"/>
              <w:ind w:left="164"/>
              <w:rPr>
                <w:sz w:val="16"/>
              </w:rPr>
            </w:pPr>
            <w:r>
              <w:rPr>
                <w:spacing w:val="-2"/>
                <w:sz w:val="16"/>
              </w:rPr>
              <w:t>117,802,375.62</w:t>
            </w:r>
          </w:p>
        </w:tc>
        <w:tc>
          <w:tcPr>
            <w:tcW w:w="1570" w:type="dxa"/>
          </w:tcPr>
          <w:p>
            <w:pPr>
              <w:pStyle w:val="TableParagraph"/>
              <w:spacing w:line="179" w:lineRule="exact"/>
              <w:ind w:left="204"/>
              <w:rPr>
                <w:sz w:val="16"/>
              </w:rPr>
            </w:pPr>
            <w:r>
              <w:rPr>
                <w:spacing w:val="-2"/>
                <w:sz w:val="16"/>
              </w:rPr>
              <w:t>1,690,197,624.38</w:t>
            </w:r>
          </w:p>
        </w:tc>
        <w:tc>
          <w:tcPr>
            <w:tcW w:w="1094" w:type="dxa"/>
          </w:tcPr>
          <w:p>
            <w:pPr>
              <w:pStyle w:val="TableParagraph"/>
              <w:spacing w:line="179" w:lineRule="exact"/>
              <w:ind w:left="165"/>
              <w:rPr>
                <w:sz w:val="16"/>
              </w:rPr>
            </w:pPr>
            <w:r>
              <w:rPr>
                <w:spacing w:val="-2"/>
                <w:sz w:val="16"/>
              </w:rPr>
              <w:t>93.48</w:t>
            </w:r>
          </w:p>
        </w:tc>
        <w:tc>
          <w:tcPr>
            <w:tcW w:w="1664" w:type="dxa"/>
          </w:tcPr>
          <w:p>
            <w:pPr>
              <w:pStyle w:val="TableParagraph"/>
              <w:spacing w:line="179" w:lineRule="exact"/>
              <w:ind w:left="151"/>
              <w:rPr>
                <w:sz w:val="16"/>
              </w:rPr>
            </w:pPr>
            <w:r>
              <w:rPr>
                <w:spacing w:val="-4"/>
                <w:sz w:val="16"/>
              </w:rPr>
              <w:t>6.52</w:t>
            </w:r>
          </w:p>
        </w:tc>
      </w:tr>
      <w:tr>
        <w:trPr>
          <w:trHeight w:val="300" w:hRule="atLeast"/>
        </w:trPr>
        <w:tc>
          <w:tcPr>
            <w:tcW w:w="641" w:type="dxa"/>
            <w:shd w:val="clear" w:color="auto" w:fill="D2DFED"/>
          </w:tcPr>
          <w:p>
            <w:pPr>
              <w:pStyle w:val="TableParagraph"/>
              <w:spacing w:line="202" w:lineRule="exact"/>
              <w:ind w:left="122"/>
              <w:rPr>
                <w:sz w:val="18"/>
              </w:rPr>
            </w:pPr>
            <w:r>
              <w:rPr>
                <w:spacing w:val="-4"/>
                <w:sz w:val="18"/>
              </w:rPr>
              <w:t>2013</w:t>
            </w:r>
          </w:p>
        </w:tc>
        <w:tc>
          <w:tcPr>
            <w:tcW w:w="1521" w:type="dxa"/>
            <w:shd w:val="clear" w:color="auto" w:fill="D2DFED"/>
          </w:tcPr>
          <w:p>
            <w:pPr>
              <w:pStyle w:val="TableParagraph"/>
              <w:spacing w:line="179" w:lineRule="exact"/>
              <w:ind w:left="110"/>
              <w:rPr>
                <w:sz w:val="16"/>
              </w:rPr>
            </w:pPr>
            <w:r>
              <w:rPr>
                <w:spacing w:val="-2"/>
                <w:sz w:val="16"/>
              </w:rPr>
              <w:t>1,406,800,000.00</w:t>
            </w:r>
          </w:p>
        </w:tc>
        <w:tc>
          <w:tcPr>
            <w:tcW w:w="1576" w:type="dxa"/>
            <w:shd w:val="clear" w:color="auto" w:fill="D2DFED"/>
          </w:tcPr>
          <w:p>
            <w:pPr>
              <w:pStyle w:val="TableParagraph"/>
              <w:spacing w:line="179" w:lineRule="exact"/>
              <w:ind w:left="209"/>
              <w:rPr>
                <w:sz w:val="16"/>
              </w:rPr>
            </w:pPr>
            <w:r>
              <w:rPr>
                <w:spacing w:val="-2"/>
                <w:sz w:val="16"/>
              </w:rPr>
              <w:t>1,406,800,000.00</w:t>
            </w:r>
          </w:p>
        </w:tc>
        <w:tc>
          <w:tcPr>
            <w:tcW w:w="1490" w:type="dxa"/>
            <w:shd w:val="clear" w:color="auto" w:fill="D2DFED"/>
          </w:tcPr>
          <w:p>
            <w:pPr>
              <w:pStyle w:val="TableParagraph"/>
              <w:spacing w:line="179" w:lineRule="exact"/>
              <w:ind w:left="164"/>
              <w:rPr>
                <w:sz w:val="16"/>
              </w:rPr>
            </w:pPr>
            <w:r>
              <w:rPr>
                <w:spacing w:val="-2"/>
                <w:sz w:val="16"/>
              </w:rPr>
              <w:t>1,160,541,883.00</w:t>
            </w:r>
          </w:p>
        </w:tc>
        <w:tc>
          <w:tcPr>
            <w:tcW w:w="1570" w:type="dxa"/>
            <w:shd w:val="clear" w:color="auto" w:fill="D2DFED"/>
          </w:tcPr>
          <w:p>
            <w:pPr>
              <w:pStyle w:val="TableParagraph"/>
              <w:spacing w:line="179" w:lineRule="exact"/>
              <w:ind w:left="204"/>
              <w:rPr>
                <w:sz w:val="16"/>
              </w:rPr>
            </w:pPr>
            <w:r>
              <w:rPr>
                <w:spacing w:val="-2"/>
                <w:sz w:val="16"/>
              </w:rPr>
              <w:t>246,258,117.00</w:t>
            </w:r>
          </w:p>
        </w:tc>
        <w:tc>
          <w:tcPr>
            <w:tcW w:w="1094" w:type="dxa"/>
            <w:shd w:val="clear" w:color="auto" w:fill="D2DFED"/>
          </w:tcPr>
          <w:p>
            <w:pPr>
              <w:pStyle w:val="TableParagraph"/>
              <w:spacing w:line="179" w:lineRule="exact"/>
              <w:ind w:left="165"/>
              <w:rPr>
                <w:sz w:val="16"/>
              </w:rPr>
            </w:pPr>
            <w:r>
              <w:rPr>
                <w:spacing w:val="-2"/>
                <w:sz w:val="16"/>
              </w:rPr>
              <w:t>17.50</w:t>
            </w:r>
          </w:p>
        </w:tc>
        <w:tc>
          <w:tcPr>
            <w:tcW w:w="1664" w:type="dxa"/>
            <w:shd w:val="clear" w:color="auto" w:fill="D2DFED"/>
          </w:tcPr>
          <w:p>
            <w:pPr>
              <w:pStyle w:val="TableParagraph"/>
              <w:spacing w:line="179" w:lineRule="exact"/>
              <w:ind w:left="151"/>
              <w:rPr>
                <w:sz w:val="16"/>
              </w:rPr>
            </w:pPr>
            <w:r>
              <w:rPr>
                <w:spacing w:val="-2"/>
                <w:sz w:val="16"/>
              </w:rPr>
              <w:t>82.50</w:t>
            </w:r>
          </w:p>
        </w:tc>
      </w:tr>
      <w:tr>
        <w:trPr>
          <w:trHeight w:val="299" w:hRule="atLeast"/>
        </w:trPr>
        <w:tc>
          <w:tcPr>
            <w:tcW w:w="641" w:type="dxa"/>
          </w:tcPr>
          <w:p>
            <w:pPr>
              <w:pStyle w:val="TableParagraph"/>
              <w:spacing w:line="202" w:lineRule="exact"/>
              <w:ind w:left="122"/>
              <w:rPr>
                <w:sz w:val="18"/>
              </w:rPr>
            </w:pPr>
            <w:r>
              <w:rPr>
                <w:spacing w:val="-4"/>
                <w:sz w:val="18"/>
              </w:rPr>
              <w:t>2014</w:t>
            </w:r>
          </w:p>
        </w:tc>
        <w:tc>
          <w:tcPr>
            <w:tcW w:w="1521" w:type="dxa"/>
          </w:tcPr>
          <w:p>
            <w:pPr>
              <w:pStyle w:val="TableParagraph"/>
              <w:spacing w:line="179" w:lineRule="exact"/>
              <w:ind w:left="110"/>
              <w:rPr>
                <w:sz w:val="16"/>
              </w:rPr>
            </w:pPr>
            <w:r>
              <w:rPr>
                <w:spacing w:val="-2"/>
                <w:sz w:val="16"/>
              </w:rPr>
              <w:t>2,947,000,000.00</w:t>
            </w:r>
          </w:p>
        </w:tc>
        <w:tc>
          <w:tcPr>
            <w:tcW w:w="1576" w:type="dxa"/>
          </w:tcPr>
          <w:p>
            <w:pPr>
              <w:pStyle w:val="TableParagraph"/>
              <w:spacing w:line="179" w:lineRule="exact"/>
              <w:ind w:left="209"/>
              <w:rPr>
                <w:sz w:val="16"/>
              </w:rPr>
            </w:pPr>
            <w:r>
              <w:rPr>
                <w:spacing w:val="-2"/>
                <w:sz w:val="16"/>
              </w:rPr>
              <w:t>2,947,000,000.00</w:t>
            </w:r>
          </w:p>
        </w:tc>
        <w:tc>
          <w:tcPr>
            <w:tcW w:w="1490" w:type="dxa"/>
          </w:tcPr>
          <w:p>
            <w:pPr>
              <w:pStyle w:val="TableParagraph"/>
              <w:spacing w:line="179" w:lineRule="exact"/>
              <w:ind w:left="164"/>
              <w:rPr>
                <w:sz w:val="16"/>
              </w:rPr>
            </w:pPr>
            <w:r>
              <w:rPr>
                <w:spacing w:val="-2"/>
                <w:sz w:val="16"/>
              </w:rPr>
              <w:t>1,037,546,390.00</w:t>
            </w:r>
          </w:p>
        </w:tc>
        <w:tc>
          <w:tcPr>
            <w:tcW w:w="1570" w:type="dxa"/>
          </w:tcPr>
          <w:p>
            <w:pPr>
              <w:pStyle w:val="TableParagraph"/>
              <w:spacing w:line="179" w:lineRule="exact"/>
              <w:ind w:left="204"/>
              <w:rPr>
                <w:sz w:val="16"/>
              </w:rPr>
            </w:pPr>
            <w:r>
              <w:rPr>
                <w:spacing w:val="-2"/>
                <w:sz w:val="16"/>
              </w:rPr>
              <w:t>1,909,453,610.00</w:t>
            </w:r>
          </w:p>
        </w:tc>
        <w:tc>
          <w:tcPr>
            <w:tcW w:w="1094" w:type="dxa"/>
          </w:tcPr>
          <w:p>
            <w:pPr>
              <w:pStyle w:val="TableParagraph"/>
              <w:spacing w:line="179" w:lineRule="exact"/>
              <w:ind w:left="165"/>
              <w:rPr>
                <w:sz w:val="16"/>
              </w:rPr>
            </w:pPr>
            <w:r>
              <w:rPr>
                <w:spacing w:val="-2"/>
                <w:sz w:val="16"/>
              </w:rPr>
              <w:t>64.79</w:t>
            </w:r>
          </w:p>
        </w:tc>
        <w:tc>
          <w:tcPr>
            <w:tcW w:w="1664" w:type="dxa"/>
          </w:tcPr>
          <w:p>
            <w:pPr>
              <w:pStyle w:val="TableParagraph"/>
              <w:spacing w:line="179" w:lineRule="exact"/>
              <w:ind w:left="151"/>
              <w:rPr>
                <w:sz w:val="16"/>
              </w:rPr>
            </w:pPr>
            <w:r>
              <w:rPr>
                <w:spacing w:val="-2"/>
                <w:sz w:val="16"/>
              </w:rPr>
              <w:t>35.21</w:t>
            </w:r>
          </w:p>
        </w:tc>
      </w:tr>
      <w:tr>
        <w:trPr>
          <w:trHeight w:val="300" w:hRule="atLeast"/>
        </w:trPr>
        <w:tc>
          <w:tcPr>
            <w:tcW w:w="641" w:type="dxa"/>
            <w:shd w:val="clear" w:color="auto" w:fill="D2DFED"/>
          </w:tcPr>
          <w:p>
            <w:pPr>
              <w:pStyle w:val="TableParagraph"/>
              <w:spacing w:line="202" w:lineRule="exact"/>
              <w:ind w:left="122"/>
              <w:rPr>
                <w:sz w:val="18"/>
              </w:rPr>
            </w:pPr>
            <w:r>
              <w:rPr>
                <w:spacing w:val="-4"/>
                <w:sz w:val="18"/>
              </w:rPr>
              <w:t>2015</w:t>
            </w:r>
          </w:p>
        </w:tc>
        <w:tc>
          <w:tcPr>
            <w:tcW w:w="1521" w:type="dxa"/>
            <w:shd w:val="clear" w:color="auto" w:fill="D2DFED"/>
          </w:tcPr>
          <w:p>
            <w:pPr>
              <w:pStyle w:val="TableParagraph"/>
              <w:spacing w:line="179" w:lineRule="exact"/>
              <w:ind w:left="110"/>
              <w:rPr>
                <w:sz w:val="16"/>
              </w:rPr>
            </w:pPr>
            <w:r>
              <w:rPr>
                <w:spacing w:val="-2"/>
                <w:sz w:val="16"/>
              </w:rPr>
              <w:t>3,320,000,000.00</w:t>
            </w:r>
          </w:p>
        </w:tc>
        <w:tc>
          <w:tcPr>
            <w:tcW w:w="1576" w:type="dxa"/>
            <w:shd w:val="clear" w:color="auto" w:fill="D2DFED"/>
          </w:tcPr>
          <w:p>
            <w:pPr>
              <w:pStyle w:val="TableParagraph"/>
              <w:spacing w:line="179" w:lineRule="exact"/>
              <w:ind w:left="209"/>
              <w:rPr>
                <w:sz w:val="16"/>
              </w:rPr>
            </w:pPr>
            <w:r>
              <w:rPr>
                <w:spacing w:val="-2"/>
                <w:sz w:val="16"/>
              </w:rPr>
              <w:t>3,300,000,000.00</w:t>
            </w:r>
          </w:p>
        </w:tc>
        <w:tc>
          <w:tcPr>
            <w:tcW w:w="1490" w:type="dxa"/>
            <w:shd w:val="clear" w:color="auto" w:fill="D2DFED"/>
          </w:tcPr>
          <w:p>
            <w:pPr>
              <w:pStyle w:val="TableParagraph"/>
              <w:spacing w:line="179" w:lineRule="exact"/>
              <w:ind w:left="164"/>
              <w:rPr>
                <w:sz w:val="16"/>
              </w:rPr>
            </w:pPr>
            <w:r>
              <w:rPr>
                <w:spacing w:val="-2"/>
                <w:sz w:val="16"/>
              </w:rPr>
              <w:t>777,254,039.00</w:t>
            </w:r>
          </w:p>
        </w:tc>
        <w:tc>
          <w:tcPr>
            <w:tcW w:w="1570" w:type="dxa"/>
            <w:shd w:val="clear" w:color="auto" w:fill="D2DFED"/>
          </w:tcPr>
          <w:p>
            <w:pPr>
              <w:pStyle w:val="TableParagraph"/>
              <w:spacing w:line="179" w:lineRule="exact"/>
              <w:ind w:left="204"/>
              <w:rPr>
                <w:sz w:val="16"/>
              </w:rPr>
            </w:pPr>
            <w:r>
              <w:rPr>
                <w:spacing w:val="-2"/>
                <w:sz w:val="16"/>
              </w:rPr>
              <w:t>2,542,745,961.00</w:t>
            </w:r>
          </w:p>
        </w:tc>
        <w:tc>
          <w:tcPr>
            <w:tcW w:w="1094" w:type="dxa"/>
            <w:shd w:val="clear" w:color="auto" w:fill="D2DFED"/>
          </w:tcPr>
          <w:p>
            <w:pPr>
              <w:pStyle w:val="TableParagraph"/>
              <w:spacing w:line="179" w:lineRule="exact"/>
              <w:ind w:left="165"/>
              <w:rPr>
                <w:sz w:val="16"/>
              </w:rPr>
            </w:pPr>
            <w:r>
              <w:rPr>
                <w:spacing w:val="-2"/>
                <w:sz w:val="16"/>
              </w:rPr>
              <w:t>76.59</w:t>
            </w:r>
          </w:p>
        </w:tc>
        <w:tc>
          <w:tcPr>
            <w:tcW w:w="1664" w:type="dxa"/>
            <w:shd w:val="clear" w:color="auto" w:fill="D2DFED"/>
          </w:tcPr>
          <w:p>
            <w:pPr>
              <w:pStyle w:val="TableParagraph"/>
              <w:spacing w:line="179" w:lineRule="exact"/>
              <w:ind w:left="151"/>
              <w:rPr>
                <w:sz w:val="16"/>
              </w:rPr>
            </w:pPr>
            <w:r>
              <w:rPr>
                <w:spacing w:val="-2"/>
                <w:sz w:val="16"/>
              </w:rPr>
              <w:t>23.55</w:t>
            </w:r>
          </w:p>
        </w:tc>
      </w:tr>
      <w:tr>
        <w:trPr>
          <w:trHeight w:val="299" w:hRule="atLeast"/>
        </w:trPr>
        <w:tc>
          <w:tcPr>
            <w:tcW w:w="641" w:type="dxa"/>
          </w:tcPr>
          <w:p>
            <w:pPr>
              <w:pStyle w:val="TableParagraph"/>
              <w:spacing w:line="202" w:lineRule="exact"/>
              <w:ind w:left="122"/>
              <w:rPr>
                <w:sz w:val="18"/>
              </w:rPr>
            </w:pPr>
            <w:r>
              <w:rPr>
                <w:spacing w:val="-4"/>
                <w:sz w:val="18"/>
              </w:rPr>
              <w:t>2016</w:t>
            </w:r>
          </w:p>
        </w:tc>
        <w:tc>
          <w:tcPr>
            <w:tcW w:w="1521" w:type="dxa"/>
          </w:tcPr>
          <w:p>
            <w:pPr>
              <w:pStyle w:val="TableParagraph"/>
              <w:spacing w:line="179" w:lineRule="exact"/>
              <w:ind w:left="110"/>
              <w:rPr>
                <w:sz w:val="16"/>
              </w:rPr>
            </w:pPr>
            <w:r>
              <w:rPr>
                <w:spacing w:val="-2"/>
                <w:sz w:val="16"/>
              </w:rPr>
              <w:t>500,000,000.00</w:t>
            </w:r>
          </w:p>
        </w:tc>
        <w:tc>
          <w:tcPr>
            <w:tcW w:w="1576" w:type="dxa"/>
          </w:tcPr>
          <w:p>
            <w:pPr>
              <w:pStyle w:val="TableParagraph"/>
              <w:spacing w:line="179" w:lineRule="exact"/>
              <w:ind w:left="209"/>
              <w:rPr>
                <w:sz w:val="16"/>
              </w:rPr>
            </w:pPr>
            <w:r>
              <w:rPr>
                <w:spacing w:val="-2"/>
                <w:sz w:val="16"/>
              </w:rPr>
              <w:t>500,000,000.00</w:t>
            </w:r>
          </w:p>
        </w:tc>
        <w:tc>
          <w:tcPr>
            <w:tcW w:w="1490" w:type="dxa"/>
          </w:tcPr>
          <w:p>
            <w:pPr>
              <w:pStyle w:val="TableParagraph"/>
              <w:spacing w:line="179" w:lineRule="exact"/>
              <w:ind w:left="164"/>
              <w:rPr>
                <w:sz w:val="16"/>
              </w:rPr>
            </w:pPr>
            <w:r>
              <w:rPr>
                <w:spacing w:val="-2"/>
                <w:sz w:val="16"/>
              </w:rPr>
              <w:t>114,045,000.00</w:t>
            </w:r>
          </w:p>
        </w:tc>
        <w:tc>
          <w:tcPr>
            <w:tcW w:w="1570" w:type="dxa"/>
          </w:tcPr>
          <w:p>
            <w:pPr>
              <w:pStyle w:val="TableParagraph"/>
              <w:spacing w:line="179" w:lineRule="exact"/>
              <w:ind w:left="204"/>
              <w:rPr>
                <w:sz w:val="16"/>
              </w:rPr>
            </w:pPr>
            <w:r>
              <w:rPr>
                <w:spacing w:val="-2"/>
                <w:sz w:val="16"/>
              </w:rPr>
              <w:t>385,955,000.00</w:t>
            </w:r>
          </w:p>
        </w:tc>
        <w:tc>
          <w:tcPr>
            <w:tcW w:w="1094" w:type="dxa"/>
          </w:tcPr>
          <w:p>
            <w:pPr>
              <w:pStyle w:val="TableParagraph"/>
              <w:spacing w:line="179" w:lineRule="exact"/>
              <w:ind w:left="165"/>
              <w:rPr>
                <w:sz w:val="16"/>
              </w:rPr>
            </w:pPr>
            <w:r>
              <w:rPr>
                <w:spacing w:val="-2"/>
                <w:sz w:val="16"/>
              </w:rPr>
              <w:t>77.19</w:t>
            </w:r>
          </w:p>
        </w:tc>
        <w:tc>
          <w:tcPr>
            <w:tcW w:w="1664" w:type="dxa"/>
          </w:tcPr>
          <w:p>
            <w:pPr>
              <w:pStyle w:val="TableParagraph"/>
              <w:spacing w:line="179" w:lineRule="exact"/>
              <w:ind w:left="151"/>
              <w:rPr>
                <w:sz w:val="16"/>
              </w:rPr>
            </w:pPr>
            <w:r>
              <w:rPr>
                <w:spacing w:val="-2"/>
                <w:sz w:val="16"/>
              </w:rPr>
              <w:t>22.81</w:t>
            </w:r>
          </w:p>
        </w:tc>
      </w:tr>
      <w:tr>
        <w:trPr>
          <w:trHeight w:val="367" w:hRule="atLeast"/>
        </w:trPr>
        <w:tc>
          <w:tcPr>
            <w:tcW w:w="641" w:type="dxa"/>
            <w:shd w:val="clear" w:color="auto" w:fill="D2DFED"/>
          </w:tcPr>
          <w:p>
            <w:pPr>
              <w:pStyle w:val="TableParagraph"/>
              <w:ind w:left="122"/>
              <w:rPr>
                <w:b/>
                <w:sz w:val="18"/>
              </w:rPr>
            </w:pPr>
            <w:r>
              <w:rPr>
                <w:b/>
                <w:spacing w:val="-2"/>
                <w:sz w:val="18"/>
              </w:rPr>
              <w:t>Total</w:t>
            </w:r>
          </w:p>
        </w:tc>
        <w:tc>
          <w:tcPr>
            <w:tcW w:w="1521" w:type="dxa"/>
            <w:shd w:val="clear" w:color="auto" w:fill="D2DFED"/>
          </w:tcPr>
          <w:p>
            <w:pPr>
              <w:pStyle w:val="TableParagraph"/>
              <w:spacing w:before="21"/>
              <w:ind w:left="110"/>
              <w:rPr>
                <w:b/>
                <w:sz w:val="16"/>
              </w:rPr>
            </w:pPr>
            <w:r>
              <w:rPr>
                <w:b/>
                <w:spacing w:val="-2"/>
                <w:sz w:val="16"/>
              </w:rPr>
              <w:t>38,828,515,000.00</w:t>
            </w:r>
          </w:p>
        </w:tc>
        <w:tc>
          <w:tcPr>
            <w:tcW w:w="1576" w:type="dxa"/>
            <w:shd w:val="clear" w:color="auto" w:fill="D2DFED"/>
          </w:tcPr>
          <w:p>
            <w:pPr>
              <w:pStyle w:val="TableParagraph"/>
              <w:spacing w:line="181" w:lineRule="exact"/>
              <w:ind w:left="209"/>
              <w:rPr>
                <w:b/>
                <w:sz w:val="16"/>
              </w:rPr>
            </w:pPr>
            <w:r>
              <w:rPr>
                <w:b/>
                <w:spacing w:val="-2"/>
                <w:sz w:val="16"/>
              </w:rPr>
              <w:t>35,648,515,000.00</w:t>
            </w:r>
          </w:p>
        </w:tc>
        <w:tc>
          <w:tcPr>
            <w:tcW w:w="1490" w:type="dxa"/>
            <w:shd w:val="clear" w:color="auto" w:fill="D2DFED"/>
          </w:tcPr>
          <w:p>
            <w:pPr>
              <w:pStyle w:val="TableParagraph"/>
              <w:spacing w:line="181" w:lineRule="exact"/>
              <w:ind w:left="164"/>
              <w:rPr>
                <w:b/>
                <w:sz w:val="16"/>
              </w:rPr>
            </w:pPr>
            <w:r>
              <w:rPr>
                <w:b/>
                <w:spacing w:val="-2"/>
                <w:sz w:val="16"/>
              </w:rPr>
              <w:t>9,856,916,181.37</w:t>
            </w:r>
          </w:p>
        </w:tc>
        <w:tc>
          <w:tcPr>
            <w:tcW w:w="1570" w:type="dxa"/>
            <w:shd w:val="clear" w:color="auto" w:fill="D2DFED"/>
          </w:tcPr>
          <w:p>
            <w:pPr>
              <w:pStyle w:val="TableParagraph"/>
              <w:spacing w:line="181" w:lineRule="exact"/>
              <w:ind w:left="204"/>
              <w:rPr>
                <w:b/>
                <w:sz w:val="16"/>
              </w:rPr>
            </w:pPr>
            <w:r>
              <w:rPr>
                <w:b/>
                <w:spacing w:val="-2"/>
                <w:sz w:val="16"/>
              </w:rPr>
              <w:t>24,971,598,818.63</w:t>
            </w:r>
          </w:p>
        </w:tc>
        <w:tc>
          <w:tcPr>
            <w:tcW w:w="1094" w:type="dxa"/>
            <w:shd w:val="clear" w:color="auto" w:fill="D2DFED"/>
          </w:tcPr>
          <w:p>
            <w:pPr>
              <w:pStyle w:val="TableParagraph"/>
              <w:rPr>
                <w:sz w:val="18"/>
              </w:rPr>
            </w:pPr>
          </w:p>
        </w:tc>
        <w:tc>
          <w:tcPr>
            <w:tcW w:w="1664" w:type="dxa"/>
            <w:shd w:val="clear" w:color="auto" w:fill="D2DFED"/>
          </w:tcPr>
          <w:p>
            <w:pPr>
              <w:pStyle w:val="TableParagraph"/>
              <w:rPr>
                <w:sz w:val="18"/>
              </w:rPr>
            </w:pPr>
          </w:p>
        </w:tc>
      </w:tr>
      <w:tr>
        <w:trPr>
          <w:trHeight w:val="460" w:hRule="atLeast"/>
        </w:trPr>
        <w:tc>
          <w:tcPr>
            <w:tcW w:w="5228" w:type="dxa"/>
            <w:gridSpan w:val="4"/>
            <w:tcBorders>
              <w:bottom w:val="single" w:sz="8" w:space="0" w:color="4F81BC"/>
            </w:tcBorders>
          </w:tcPr>
          <w:p>
            <w:pPr>
              <w:pStyle w:val="TableParagraph"/>
              <w:tabs>
                <w:tab w:pos="4560" w:val="left" w:leader="none"/>
              </w:tabs>
              <w:spacing w:line="229" w:lineRule="exact"/>
              <w:ind w:left="122"/>
              <w:rPr>
                <w:b/>
                <w:sz w:val="20"/>
              </w:rPr>
            </w:pPr>
            <w:r>
              <w:rPr>
                <w:b/>
                <w:sz w:val="20"/>
              </w:rPr>
              <w:t>Overall</w:t>
            </w:r>
            <w:r>
              <w:rPr>
                <w:b/>
                <w:spacing w:val="-5"/>
                <w:sz w:val="20"/>
              </w:rPr>
              <w:t> </w:t>
            </w:r>
            <w:r>
              <w:rPr>
                <w:b/>
                <w:sz w:val="20"/>
              </w:rPr>
              <w:t>%</w:t>
            </w:r>
            <w:r>
              <w:rPr>
                <w:b/>
                <w:spacing w:val="-5"/>
                <w:sz w:val="20"/>
              </w:rPr>
              <w:t> </w:t>
            </w:r>
            <w:r>
              <w:rPr>
                <w:b/>
                <w:sz w:val="20"/>
              </w:rPr>
              <w:t>Housing</w:t>
            </w:r>
            <w:r>
              <w:rPr>
                <w:b/>
                <w:spacing w:val="-4"/>
                <w:sz w:val="20"/>
              </w:rPr>
              <w:t> </w:t>
            </w:r>
            <w:r>
              <w:rPr>
                <w:b/>
                <w:sz w:val="20"/>
              </w:rPr>
              <w:t>Budget</w:t>
            </w:r>
            <w:r>
              <w:rPr>
                <w:b/>
                <w:spacing w:val="-2"/>
                <w:sz w:val="20"/>
              </w:rPr>
              <w:t> Implementation</w:t>
            </w:r>
            <w:r>
              <w:rPr>
                <w:b/>
                <w:sz w:val="20"/>
              </w:rPr>
              <w:tab/>
            </w:r>
            <w:r>
              <w:rPr>
                <w:b/>
                <w:spacing w:val="-10"/>
                <w:sz w:val="20"/>
              </w:rPr>
              <w:t>=</w:t>
            </w:r>
          </w:p>
        </w:tc>
        <w:tc>
          <w:tcPr>
            <w:tcW w:w="1570" w:type="dxa"/>
            <w:tcBorders>
              <w:bottom w:val="single" w:sz="8" w:space="0" w:color="4F81BC"/>
            </w:tcBorders>
          </w:tcPr>
          <w:p>
            <w:pPr>
              <w:pStyle w:val="TableParagraph"/>
              <w:rPr>
                <w:sz w:val="18"/>
              </w:rPr>
            </w:pPr>
          </w:p>
        </w:tc>
        <w:tc>
          <w:tcPr>
            <w:tcW w:w="2758" w:type="dxa"/>
            <w:gridSpan w:val="2"/>
            <w:tcBorders>
              <w:bottom w:val="single" w:sz="8" w:space="0" w:color="4F81BC"/>
            </w:tcBorders>
          </w:tcPr>
          <w:p>
            <w:pPr>
              <w:pStyle w:val="TableParagraph"/>
              <w:spacing w:line="230" w:lineRule="exact"/>
              <w:ind w:left="827" w:right="153" w:hanging="3"/>
              <w:rPr>
                <w:b/>
                <w:sz w:val="20"/>
              </w:rPr>
            </w:pPr>
            <w:r>
              <w:rPr>
                <w:b/>
                <w:sz w:val="20"/>
              </w:rPr>
              <w:t>25.39% of total BES 27.65%</w:t>
            </w:r>
            <w:r>
              <w:rPr>
                <w:b/>
                <w:spacing w:val="-5"/>
                <w:sz w:val="20"/>
              </w:rPr>
              <w:t> </w:t>
            </w:r>
            <w:r>
              <w:rPr>
                <w:b/>
                <w:sz w:val="20"/>
              </w:rPr>
              <w:t>of</w:t>
            </w:r>
            <w:r>
              <w:rPr>
                <w:b/>
                <w:spacing w:val="-4"/>
                <w:sz w:val="20"/>
              </w:rPr>
              <w:t> </w:t>
            </w:r>
            <w:r>
              <w:rPr>
                <w:b/>
                <w:sz w:val="20"/>
              </w:rPr>
              <w:t>total</w:t>
            </w:r>
            <w:r>
              <w:rPr>
                <w:b/>
                <w:spacing w:val="-5"/>
                <w:sz w:val="20"/>
              </w:rPr>
              <w:t> </w:t>
            </w:r>
            <w:r>
              <w:rPr>
                <w:b/>
                <w:spacing w:val="-5"/>
                <w:sz w:val="20"/>
              </w:rPr>
              <w:t>AAL</w:t>
            </w:r>
          </w:p>
        </w:tc>
      </w:tr>
    </w:tbl>
    <w:p>
      <w:pPr>
        <w:spacing w:before="34"/>
        <w:ind w:left="240" w:right="0" w:firstLine="0"/>
        <w:jc w:val="both"/>
        <w:rPr>
          <w:sz w:val="22"/>
        </w:rPr>
      </w:pPr>
      <w:r>
        <w:rPr>
          <w:sz w:val="22"/>
        </w:rPr>
        <w:t>BES=</w:t>
      </w:r>
      <w:r>
        <w:rPr>
          <w:spacing w:val="-7"/>
          <w:sz w:val="22"/>
        </w:rPr>
        <w:t> </w:t>
      </w:r>
      <w:r>
        <w:rPr>
          <w:sz w:val="22"/>
        </w:rPr>
        <w:t>Budget</w:t>
      </w:r>
      <w:r>
        <w:rPr>
          <w:spacing w:val="-3"/>
          <w:sz w:val="22"/>
        </w:rPr>
        <w:t> </w:t>
      </w:r>
      <w:r>
        <w:rPr>
          <w:sz w:val="22"/>
        </w:rPr>
        <w:t>Estimate;</w:t>
      </w:r>
      <w:r>
        <w:rPr>
          <w:spacing w:val="-3"/>
          <w:sz w:val="22"/>
        </w:rPr>
        <w:t> </w:t>
      </w:r>
      <w:r>
        <w:rPr>
          <w:sz w:val="22"/>
        </w:rPr>
        <w:t>AAL=</w:t>
      </w:r>
      <w:r>
        <w:rPr>
          <w:spacing w:val="-4"/>
          <w:sz w:val="22"/>
        </w:rPr>
        <w:t> </w:t>
      </w:r>
      <w:r>
        <w:rPr>
          <w:sz w:val="22"/>
        </w:rPr>
        <w:t>Approved</w:t>
      </w:r>
      <w:r>
        <w:rPr>
          <w:spacing w:val="-4"/>
          <w:sz w:val="22"/>
        </w:rPr>
        <w:t> </w:t>
      </w:r>
      <w:r>
        <w:rPr>
          <w:sz w:val="22"/>
        </w:rPr>
        <w:t>Allocation;</w:t>
      </w:r>
      <w:r>
        <w:rPr>
          <w:spacing w:val="-6"/>
          <w:sz w:val="22"/>
        </w:rPr>
        <w:t> </w:t>
      </w:r>
      <w:r>
        <w:rPr>
          <w:sz w:val="22"/>
        </w:rPr>
        <w:t>AEX=</w:t>
      </w:r>
      <w:r>
        <w:rPr>
          <w:spacing w:val="-4"/>
          <w:sz w:val="22"/>
        </w:rPr>
        <w:t> </w:t>
      </w:r>
      <w:r>
        <w:rPr>
          <w:sz w:val="22"/>
        </w:rPr>
        <w:t>Actual</w:t>
      </w:r>
      <w:r>
        <w:rPr>
          <w:spacing w:val="-3"/>
          <w:sz w:val="22"/>
        </w:rPr>
        <w:t> </w:t>
      </w:r>
      <w:r>
        <w:rPr>
          <w:spacing w:val="-2"/>
          <w:sz w:val="22"/>
        </w:rPr>
        <w:t>Expenditure.</w:t>
      </w:r>
    </w:p>
    <w:p>
      <w:pPr>
        <w:spacing w:before="114"/>
        <w:ind w:left="240" w:right="834" w:firstLine="0"/>
        <w:jc w:val="both"/>
        <w:rPr>
          <w:sz w:val="22"/>
        </w:rPr>
      </w:pPr>
      <w:r>
        <w:rPr>
          <w:b/>
          <w:sz w:val="22"/>
        </w:rPr>
        <w:t>Source: </w:t>
      </w:r>
      <w:r>
        <w:rPr>
          <w:sz w:val="22"/>
        </w:rPr>
        <w:t>BES, AAL and AEX were extracted from the annual, published budget estimates of Anambra State (1999 – 2016) and Anambra State Auditor-General‘s annual reports (2007 -2012), while the</w:t>
      </w:r>
      <w:r>
        <w:rPr>
          <w:spacing w:val="40"/>
          <w:sz w:val="22"/>
        </w:rPr>
        <w:t> </w:t>
      </w:r>
      <w:r>
        <w:rPr>
          <w:sz w:val="22"/>
        </w:rPr>
        <w:t>variance and percentage implementation were computed by the researcher</w:t>
      </w:r>
    </w:p>
    <w:p>
      <w:pPr>
        <w:spacing w:after="0"/>
        <w:jc w:val="both"/>
        <w:rPr>
          <w:sz w:val="22"/>
        </w:rPr>
        <w:sectPr>
          <w:pgSz w:w="12240" w:h="15840"/>
          <w:pgMar w:header="0" w:footer="1036" w:top="1380" w:bottom="1220" w:left="1200" w:right="600"/>
        </w:sectPr>
      </w:pPr>
    </w:p>
    <w:p>
      <w:pPr>
        <w:pStyle w:val="BodyText"/>
        <w:spacing w:line="360" w:lineRule="auto" w:before="74"/>
        <w:ind w:left="240" w:right="833"/>
        <w:jc w:val="both"/>
      </w:pPr>
      <w:r>
        <w:rPr/>
        <w:t>A careful observation of the analysis in Table 5.20 for an 18 year period (1999 – 2016) shows that Anambra State housing budget implementation has been consistently poor and inefficient. On an annual basis, only the years 2000 and 2002 were periods where actual expenditure exceeded</w:t>
      </w:r>
      <w:r>
        <w:rPr>
          <w:spacing w:val="-1"/>
        </w:rPr>
        <w:t> </w:t>
      </w:r>
      <w:r>
        <w:rPr/>
        <w:t>the</w:t>
      </w:r>
      <w:r>
        <w:rPr>
          <w:spacing w:val="-2"/>
        </w:rPr>
        <w:t> </w:t>
      </w:r>
      <w:r>
        <w:rPr/>
        <w:t>budget estimate</w:t>
      </w:r>
      <w:r>
        <w:rPr>
          <w:spacing w:val="-2"/>
        </w:rPr>
        <w:t> </w:t>
      </w:r>
      <w:r>
        <w:rPr/>
        <w:t>or</w:t>
      </w:r>
      <w:r>
        <w:rPr>
          <w:spacing w:val="-2"/>
        </w:rPr>
        <w:t> </w:t>
      </w:r>
      <w:r>
        <w:rPr/>
        <w:t>approved</w:t>
      </w:r>
      <w:r>
        <w:rPr>
          <w:spacing w:val="-1"/>
        </w:rPr>
        <w:t> </w:t>
      </w:r>
      <w:r>
        <w:rPr/>
        <w:t>allocation. This</w:t>
      </w:r>
      <w:r>
        <w:rPr>
          <w:spacing w:val="-1"/>
        </w:rPr>
        <w:t> </w:t>
      </w:r>
      <w:r>
        <w:rPr/>
        <w:t>is</w:t>
      </w:r>
      <w:r>
        <w:rPr>
          <w:spacing w:val="-1"/>
        </w:rPr>
        <w:t> </w:t>
      </w:r>
      <w:r>
        <w:rPr/>
        <w:t>evidenced</w:t>
      </w:r>
      <w:r>
        <w:rPr>
          <w:spacing w:val="-1"/>
        </w:rPr>
        <w:t> </w:t>
      </w:r>
      <w:r>
        <w:rPr/>
        <w:t>by</w:t>
      </w:r>
      <w:r>
        <w:rPr>
          <w:spacing w:val="-4"/>
        </w:rPr>
        <w:t> </w:t>
      </w:r>
      <w:r>
        <w:rPr/>
        <w:t>the negative</w:t>
      </w:r>
      <w:r>
        <w:rPr>
          <w:spacing w:val="-2"/>
        </w:rPr>
        <w:t> </w:t>
      </w:r>
      <w:r>
        <w:rPr/>
        <w:t>variances or differences of -</w:t>
      </w:r>
      <w:r>
        <w:rPr>
          <w:dstrike/>
        </w:rPr>
        <w:t>N</w:t>
      </w:r>
      <w:r>
        <w:rPr>
          <w:strike w:val="0"/>
        </w:rPr>
        <w:t>846,461,000.00 for 2000 and -</w:t>
      </w:r>
      <w:r>
        <w:rPr>
          <w:dstrike/>
        </w:rPr>
        <w:t>N</w:t>
      </w:r>
      <w:r>
        <w:rPr>
          <w:strike w:val="0"/>
        </w:rPr>
        <w:t>95,600,000.00, with percentage implementations of 213.92% and 69.43%; which can also be regarded as cases of over spending. Other years recorded lesser actual expenditure. A comparison of the total budgeted housing estimate over the years which amounts to </w:t>
      </w:r>
      <w:r>
        <w:rPr>
          <w:dstrike/>
        </w:rPr>
        <w:t>N</w:t>
      </w:r>
      <w:r>
        <w:rPr>
          <w:strike w:val="0"/>
        </w:rPr>
        <w:t>38.83b and the total approved housing expenditure which amounts to </w:t>
      </w:r>
      <w:r>
        <w:rPr>
          <w:dstrike/>
        </w:rPr>
        <w:t>N</w:t>
      </w:r>
      <w:r>
        <w:rPr>
          <w:strike w:val="0"/>
        </w:rPr>
        <w:t>35.65b; shows that approved expenditure for housing by the government is close to the budget estimate, with a difference of 3.18b, which is quite commendable. However, comparing the total amounts of the budgeted housing estimate (38.83b) and total approved allocation (35.65b) with the total actual housing expenditure of </w:t>
      </w:r>
      <w:r>
        <w:rPr>
          <w:dstrike/>
        </w:rPr>
        <w:t>N</w:t>
      </w:r>
      <w:r>
        <w:rPr>
          <w:strike w:val="0"/>
        </w:rPr>
        <w:t>9.86b, the results indicate that the rate of budget implementation is 25.39% of the total budgeted estimate and 27.65% of the total approved allocation. This result also closely corroborates the findings from the</w:t>
      </w:r>
      <w:r>
        <w:rPr>
          <w:strike w:val="0"/>
          <w:spacing w:val="40"/>
        </w:rPr>
        <w:t> </w:t>
      </w:r>
      <w:r>
        <w:rPr>
          <w:strike w:val="0"/>
        </w:rPr>
        <w:t>questionnaire survey, where majority of the respondents indicated a 20% - 40% rate of implementation of the housing budget.</w:t>
      </w:r>
    </w:p>
    <w:p>
      <w:pPr>
        <w:pStyle w:val="BodyText"/>
        <w:spacing w:line="360" w:lineRule="auto" w:before="242"/>
        <w:ind w:left="240" w:right="837"/>
        <w:jc w:val="both"/>
      </w:pPr>
      <w:r>
        <w:rPr/>
        <w:t>From the foregoing, it can be surmised that aside the poor commitment of the Anambra State Government to housing provision, the problem of housing budget implementation lies not in the approval itself, but the will to actual implement the approved budget, hence, the housing budget of Anambra State been grossly under implemented. This further explains the dearth of public or Government financed housing developments in the State. In view of this, it should be noted that in the course of oral interviews conducted by the researcher, it was further revealed that the</w:t>
      </w:r>
      <w:r>
        <w:rPr>
          <w:spacing w:val="40"/>
        </w:rPr>
        <w:t> </w:t>
      </w:r>
      <w:r>
        <w:rPr/>
        <w:t>likely</w:t>
      </w:r>
      <w:r>
        <w:rPr>
          <w:spacing w:val="-1"/>
        </w:rPr>
        <w:t> </w:t>
      </w:r>
      <w:r>
        <w:rPr/>
        <w:t>reasons for the poor housing budget implementation are financial mismanagement, budget indiscipline and extra budgetary expenditure which is rife in the Anambra State housing budget system; where appropriations for housing projects are diverted or used for projects in other sectors, considered more ‗critical‘ than housing. This is also worsened by lack of transparency. These issues probably explain the shortfall in actual housing expenditure over the study period</w:t>
      </w:r>
    </w:p>
    <w:p>
      <w:pPr>
        <w:spacing w:after="0" w:line="360" w:lineRule="auto"/>
        <w:jc w:val="both"/>
        <w:sectPr>
          <w:pgSz w:w="12240" w:h="15840"/>
          <w:pgMar w:header="0" w:footer="1036" w:top="1360" w:bottom="1220" w:left="1200" w:right="6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8"/>
      </w:pPr>
    </w:p>
    <w:p>
      <w:pPr>
        <w:pStyle w:val="BodyText"/>
        <w:spacing w:before="1"/>
        <w:ind w:left="240" w:right="841"/>
        <w:jc w:val="both"/>
      </w:pPr>
      <w:r>
        <w:rPr/>
        <mc:AlternateContent>
          <mc:Choice Requires="wps">
            <w:drawing>
              <wp:anchor distT="0" distB="0" distL="0" distR="0" allowOverlap="1" layoutInCell="1" locked="0" behindDoc="0" simplePos="0" relativeHeight="15772160">
                <wp:simplePos x="0" y="0"/>
                <wp:positionH relativeFrom="page">
                  <wp:posOffset>927100</wp:posOffset>
                </wp:positionH>
                <wp:positionV relativeFrom="paragraph">
                  <wp:posOffset>-2522011</wp:posOffset>
                </wp:positionV>
                <wp:extent cx="5386070" cy="2484755"/>
                <wp:effectExtent l="0" t="0" r="0" b="0"/>
                <wp:wrapNone/>
                <wp:docPr id="908" name="Group 908"/>
                <wp:cNvGraphicFramePr>
                  <a:graphicFrameLocks/>
                </wp:cNvGraphicFramePr>
                <a:graphic>
                  <a:graphicData uri="http://schemas.microsoft.com/office/word/2010/wordprocessingGroup">
                    <wpg:wgp>
                      <wpg:cNvPr id="908" name="Group 908"/>
                      <wpg:cNvGrpSpPr/>
                      <wpg:grpSpPr>
                        <a:xfrm>
                          <a:off x="0" y="0"/>
                          <a:ext cx="5386070" cy="2484755"/>
                          <a:chExt cx="5386070" cy="2484755"/>
                        </a:xfrm>
                      </wpg:grpSpPr>
                      <wps:wsp>
                        <wps:cNvPr id="909" name="Graphic 909"/>
                        <wps:cNvSpPr/>
                        <wps:spPr>
                          <a:xfrm>
                            <a:off x="983996" y="1301750"/>
                            <a:ext cx="2746375" cy="330835"/>
                          </a:xfrm>
                          <a:custGeom>
                            <a:avLst/>
                            <a:gdLst/>
                            <a:ahLst/>
                            <a:cxnLst/>
                            <a:rect l="l" t="t" r="r" b="b"/>
                            <a:pathLst>
                              <a:path w="2746375" h="330835">
                                <a:moveTo>
                                  <a:pt x="0" y="330707"/>
                                </a:moveTo>
                                <a:lnTo>
                                  <a:pt x="32004" y="330707"/>
                                </a:lnTo>
                              </a:path>
                              <a:path w="2746375" h="330835">
                                <a:moveTo>
                                  <a:pt x="120396" y="330707"/>
                                </a:moveTo>
                                <a:lnTo>
                                  <a:pt x="2746248" y="330707"/>
                                </a:lnTo>
                              </a:path>
                              <a:path w="2746375" h="330835">
                                <a:moveTo>
                                  <a:pt x="0" y="166116"/>
                                </a:moveTo>
                                <a:lnTo>
                                  <a:pt x="1100328" y="166116"/>
                                </a:lnTo>
                              </a:path>
                              <a:path w="2746375" h="330835">
                                <a:moveTo>
                                  <a:pt x="1188720" y="166116"/>
                                </a:moveTo>
                                <a:lnTo>
                                  <a:pt x="2746248" y="166116"/>
                                </a:lnTo>
                              </a:path>
                              <a:path w="2746375" h="330835">
                                <a:moveTo>
                                  <a:pt x="1036320" y="0"/>
                                </a:moveTo>
                                <a:lnTo>
                                  <a:pt x="1252728" y="0"/>
                                </a:lnTo>
                              </a:path>
                              <a:path w="2746375" h="330835">
                                <a:moveTo>
                                  <a:pt x="2257044" y="0"/>
                                </a:moveTo>
                                <a:lnTo>
                                  <a:pt x="2746248" y="0"/>
                                </a:lnTo>
                              </a:path>
                              <a:path w="2746375" h="330835">
                                <a:moveTo>
                                  <a:pt x="1341120" y="0"/>
                                </a:moveTo>
                                <a:lnTo>
                                  <a:pt x="2167128" y="0"/>
                                </a:lnTo>
                              </a:path>
                              <a:path w="2746375" h="330835">
                                <a:moveTo>
                                  <a:pt x="0" y="0"/>
                                </a:moveTo>
                                <a:lnTo>
                                  <a:pt x="947928" y="0"/>
                                </a:lnTo>
                              </a:path>
                            </a:pathLst>
                          </a:custGeom>
                          <a:ln w="9144">
                            <a:solidFill>
                              <a:srgbClr val="858585"/>
                            </a:solidFill>
                            <a:prstDash val="solid"/>
                          </a:ln>
                        </wps:spPr>
                        <wps:bodyPr wrap="square" lIns="0" tIns="0" rIns="0" bIns="0" rtlCol="0">
                          <a:prstTxWarp prst="textNoShape">
                            <a:avLst/>
                          </a:prstTxWarp>
                          <a:noAutofit/>
                        </wps:bodyPr>
                      </wps:wsp>
                      <wps:wsp>
                        <wps:cNvPr id="910" name="Graphic 910"/>
                        <wps:cNvSpPr/>
                        <wps:spPr>
                          <a:xfrm>
                            <a:off x="983996" y="1137158"/>
                            <a:ext cx="2746375" cy="1270"/>
                          </a:xfrm>
                          <a:custGeom>
                            <a:avLst/>
                            <a:gdLst/>
                            <a:ahLst/>
                            <a:cxnLst/>
                            <a:rect l="l" t="t" r="r" b="b"/>
                            <a:pathLst>
                              <a:path w="2746375" h="0">
                                <a:moveTo>
                                  <a:pt x="0" y="0"/>
                                </a:moveTo>
                                <a:lnTo>
                                  <a:pt x="2746248" y="0"/>
                                </a:lnTo>
                              </a:path>
                            </a:pathLst>
                          </a:custGeom>
                          <a:ln w="9144">
                            <a:solidFill>
                              <a:srgbClr val="858585"/>
                            </a:solidFill>
                            <a:prstDash val="solid"/>
                          </a:ln>
                        </wps:spPr>
                        <wps:bodyPr wrap="square" lIns="0" tIns="0" rIns="0" bIns="0" rtlCol="0">
                          <a:prstTxWarp prst="textNoShape">
                            <a:avLst/>
                          </a:prstTxWarp>
                          <a:noAutofit/>
                        </wps:bodyPr>
                      </wps:wsp>
                      <wps:wsp>
                        <wps:cNvPr id="911" name="Graphic 911"/>
                        <wps:cNvSpPr/>
                        <wps:spPr>
                          <a:xfrm>
                            <a:off x="983996" y="807973"/>
                            <a:ext cx="2746375" cy="165100"/>
                          </a:xfrm>
                          <a:custGeom>
                            <a:avLst/>
                            <a:gdLst/>
                            <a:ahLst/>
                            <a:cxnLst/>
                            <a:rect l="l" t="t" r="r" b="b"/>
                            <a:pathLst>
                              <a:path w="2746375" h="165100">
                                <a:moveTo>
                                  <a:pt x="1952244" y="164592"/>
                                </a:moveTo>
                                <a:lnTo>
                                  <a:pt x="2746248" y="164592"/>
                                </a:lnTo>
                              </a:path>
                              <a:path w="2746375" h="165100">
                                <a:moveTo>
                                  <a:pt x="0" y="164592"/>
                                </a:moveTo>
                                <a:lnTo>
                                  <a:pt x="1862328" y="164592"/>
                                </a:lnTo>
                              </a:path>
                              <a:path w="2746375" h="165100">
                                <a:moveTo>
                                  <a:pt x="2409444" y="0"/>
                                </a:moveTo>
                                <a:lnTo>
                                  <a:pt x="2746248" y="0"/>
                                </a:lnTo>
                              </a:path>
                              <a:path w="2746375" h="165100">
                                <a:moveTo>
                                  <a:pt x="0" y="0"/>
                                </a:moveTo>
                                <a:lnTo>
                                  <a:pt x="2319528" y="0"/>
                                </a:lnTo>
                              </a:path>
                            </a:pathLst>
                          </a:custGeom>
                          <a:ln w="9144">
                            <a:solidFill>
                              <a:srgbClr val="858585"/>
                            </a:solidFill>
                            <a:prstDash val="solid"/>
                          </a:ln>
                        </wps:spPr>
                        <wps:bodyPr wrap="square" lIns="0" tIns="0" rIns="0" bIns="0" rtlCol="0">
                          <a:prstTxWarp prst="textNoShape">
                            <a:avLst/>
                          </a:prstTxWarp>
                          <a:noAutofit/>
                        </wps:bodyPr>
                      </wps:wsp>
                      <wps:wsp>
                        <wps:cNvPr id="912" name="Graphic 912"/>
                        <wps:cNvSpPr/>
                        <wps:spPr>
                          <a:xfrm>
                            <a:off x="983996" y="477266"/>
                            <a:ext cx="2746375" cy="166370"/>
                          </a:xfrm>
                          <a:custGeom>
                            <a:avLst/>
                            <a:gdLst/>
                            <a:ahLst/>
                            <a:cxnLst/>
                            <a:rect l="l" t="t" r="r" b="b"/>
                            <a:pathLst>
                              <a:path w="2746375" h="166370">
                                <a:moveTo>
                                  <a:pt x="0" y="166115"/>
                                </a:moveTo>
                                <a:lnTo>
                                  <a:pt x="2746248" y="166115"/>
                                </a:lnTo>
                              </a:path>
                              <a:path w="2746375" h="166370">
                                <a:moveTo>
                                  <a:pt x="0" y="0"/>
                                </a:moveTo>
                                <a:lnTo>
                                  <a:pt x="2746248" y="0"/>
                                </a:lnTo>
                              </a:path>
                            </a:pathLst>
                          </a:custGeom>
                          <a:ln w="9144">
                            <a:solidFill>
                              <a:srgbClr val="858585"/>
                            </a:solidFill>
                            <a:prstDash val="solid"/>
                          </a:ln>
                        </wps:spPr>
                        <wps:bodyPr wrap="square" lIns="0" tIns="0" rIns="0" bIns="0" rtlCol="0">
                          <a:prstTxWarp prst="textNoShape">
                            <a:avLst/>
                          </a:prstTxWarp>
                          <a:noAutofit/>
                        </wps:bodyPr>
                      </wps:wsp>
                      <wps:wsp>
                        <wps:cNvPr id="913" name="Graphic 913"/>
                        <wps:cNvSpPr/>
                        <wps:spPr>
                          <a:xfrm>
                            <a:off x="983996" y="312674"/>
                            <a:ext cx="2746375" cy="1270"/>
                          </a:xfrm>
                          <a:custGeom>
                            <a:avLst/>
                            <a:gdLst/>
                            <a:ahLst/>
                            <a:cxnLst/>
                            <a:rect l="l" t="t" r="r" b="b"/>
                            <a:pathLst>
                              <a:path w="2746375" h="0">
                                <a:moveTo>
                                  <a:pt x="426720" y="0"/>
                                </a:moveTo>
                                <a:lnTo>
                                  <a:pt x="2746248" y="0"/>
                                </a:lnTo>
                              </a:path>
                              <a:path w="2746375" h="0">
                                <a:moveTo>
                                  <a:pt x="0" y="0"/>
                                </a:moveTo>
                                <a:lnTo>
                                  <a:pt x="336804" y="0"/>
                                </a:lnTo>
                              </a:path>
                            </a:pathLst>
                          </a:custGeom>
                          <a:ln w="9144">
                            <a:solidFill>
                              <a:srgbClr val="858585"/>
                            </a:solidFill>
                            <a:prstDash val="solid"/>
                          </a:ln>
                        </wps:spPr>
                        <wps:bodyPr wrap="square" lIns="0" tIns="0" rIns="0" bIns="0" rtlCol="0">
                          <a:prstTxWarp prst="textNoShape">
                            <a:avLst/>
                          </a:prstTxWarp>
                          <a:noAutofit/>
                        </wps:bodyPr>
                      </wps:wsp>
                      <wps:wsp>
                        <wps:cNvPr id="914" name="Graphic 914"/>
                        <wps:cNvSpPr/>
                        <wps:spPr>
                          <a:xfrm>
                            <a:off x="944372" y="148081"/>
                            <a:ext cx="2786380" cy="1649095"/>
                          </a:xfrm>
                          <a:custGeom>
                            <a:avLst/>
                            <a:gdLst/>
                            <a:ahLst/>
                            <a:cxnLst/>
                            <a:rect l="l" t="t" r="r" b="b"/>
                            <a:pathLst>
                              <a:path w="2786380" h="1649095">
                                <a:moveTo>
                                  <a:pt x="39623" y="0"/>
                                </a:moveTo>
                                <a:lnTo>
                                  <a:pt x="2785872" y="0"/>
                                </a:lnTo>
                              </a:path>
                              <a:path w="2786380" h="1649095">
                                <a:moveTo>
                                  <a:pt x="39623" y="1648968"/>
                                </a:moveTo>
                                <a:lnTo>
                                  <a:pt x="39623" y="0"/>
                                </a:lnTo>
                              </a:path>
                              <a:path w="2786380" h="1649095">
                                <a:moveTo>
                                  <a:pt x="0" y="1648968"/>
                                </a:moveTo>
                                <a:lnTo>
                                  <a:pt x="39623" y="1648968"/>
                                </a:lnTo>
                              </a:path>
                              <a:path w="2786380" h="1649095">
                                <a:moveTo>
                                  <a:pt x="0" y="1484376"/>
                                </a:moveTo>
                                <a:lnTo>
                                  <a:pt x="39623" y="1484376"/>
                                </a:lnTo>
                              </a:path>
                              <a:path w="2786380" h="1649095">
                                <a:moveTo>
                                  <a:pt x="0" y="1319784"/>
                                </a:moveTo>
                                <a:lnTo>
                                  <a:pt x="39623" y="1319784"/>
                                </a:lnTo>
                              </a:path>
                              <a:path w="2786380" h="1649095">
                                <a:moveTo>
                                  <a:pt x="0" y="1153668"/>
                                </a:moveTo>
                                <a:lnTo>
                                  <a:pt x="39623" y="1153668"/>
                                </a:lnTo>
                              </a:path>
                              <a:path w="2786380" h="1649095">
                                <a:moveTo>
                                  <a:pt x="0" y="989076"/>
                                </a:moveTo>
                                <a:lnTo>
                                  <a:pt x="39623" y="989076"/>
                                </a:lnTo>
                              </a:path>
                              <a:path w="2786380" h="1649095">
                                <a:moveTo>
                                  <a:pt x="0" y="824484"/>
                                </a:moveTo>
                                <a:lnTo>
                                  <a:pt x="39623" y="824484"/>
                                </a:lnTo>
                              </a:path>
                              <a:path w="2786380" h="1649095">
                                <a:moveTo>
                                  <a:pt x="0" y="659892"/>
                                </a:moveTo>
                                <a:lnTo>
                                  <a:pt x="39623" y="659892"/>
                                </a:lnTo>
                              </a:path>
                              <a:path w="2786380" h="1649095">
                                <a:moveTo>
                                  <a:pt x="0" y="495300"/>
                                </a:moveTo>
                                <a:lnTo>
                                  <a:pt x="39623" y="495300"/>
                                </a:lnTo>
                              </a:path>
                              <a:path w="2786380" h="1649095">
                                <a:moveTo>
                                  <a:pt x="0" y="329184"/>
                                </a:moveTo>
                                <a:lnTo>
                                  <a:pt x="39623" y="329184"/>
                                </a:lnTo>
                              </a:path>
                              <a:path w="2786380" h="1649095">
                                <a:moveTo>
                                  <a:pt x="0" y="164592"/>
                                </a:moveTo>
                                <a:lnTo>
                                  <a:pt x="39623" y="164592"/>
                                </a:lnTo>
                              </a:path>
                              <a:path w="2786380" h="1649095">
                                <a:moveTo>
                                  <a:pt x="0" y="0"/>
                                </a:moveTo>
                                <a:lnTo>
                                  <a:pt x="39623" y="0"/>
                                </a:lnTo>
                              </a:path>
                              <a:path w="2786380" h="1649095">
                                <a:moveTo>
                                  <a:pt x="39623" y="1648968"/>
                                </a:moveTo>
                                <a:lnTo>
                                  <a:pt x="2785872" y="1648968"/>
                                </a:lnTo>
                              </a:path>
                            </a:pathLst>
                          </a:custGeom>
                          <a:ln w="9144">
                            <a:solidFill>
                              <a:srgbClr val="858585"/>
                            </a:solidFill>
                            <a:prstDash val="solid"/>
                          </a:ln>
                        </wps:spPr>
                        <wps:bodyPr wrap="square" lIns="0" tIns="0" rIns="0" bIns="0" rtlCol="0">
                          <a:prstTxWarp prst="textNoShape">
                            <a:avLst/>
                          </a:prstTxWarp>
                          <a:noAutofit/>
                        </wps:bodyPr>
                      </wps:wsp>
                      <wps:wsp>
                        <wps:cNvPr id="915" name="Graphic 915"/>
                        <wps:cNvSpPr/>
                        <wps:spPr>
                          <a:xfrm>
                            <a:off x="1060196" y="317245"/>
                            <a:ext cx="2593975" cy="1430020"/>
                          </a:xfrm>
                          <a:custGeom>
                            <a:avLst/>
                            <a:gdLst/>
                            <a:ahLst/>
                            <a:cxnLst/>
                            <a:rect l="l" t="t" r="r" b="b"/>
                            <a:pathLst>
                              <a:path w="2593975" h="1430020">
                                <a:moveTo>
                                  <a:pt x="0" y="1429511"/>
                                </a:moveTo>
                                <a:lnTo>
                                  <a:pt x="152400" y="1232915"/>
                                </a:lnTo>
                                <a:lnTo>
                                  <a:pt x="304800" y="0"/>
                                </a:lnTo>
                                <a:lnTo>
                                  <a:pt x="457200" y="1222248"/>
                                </a:lnTo>
                                <a:lnTo>
                                  <a:pt x="609600" y="807720"/>
                                </a:lnTo>
                                <a:lnTo>
                                  <a:pt x="763524" y="1190244"/>
                                </a:lnTo>
                                <a:lnTo>
                                  <a:pt x="915924" y="972311"/>
                                </a:lnTo>
                                <a:lnTo>
                                  <a:pt x="1068324" y="1129283"/>
                                </a:lnTo>
                                <a:lnTo>
                                  <a:pt x="1220724" y="967739"/>
                                </a:lnTo>
                                <a:lnTo>
                                  <a:pt x="1373124" y="242315"/>
                                </a:lnTo>
                                <a:lnTo>
                                  <a:pt x="1525524" y="489203"/>
                                </a:lnTo>
                                <a:lnTo>
                                  <a:pt x="1677924" y="678179"/>
                                </a:lnTo>
                                <a:lnTo>
                                  <a:pt x="1830324" y="670559"/>
                                </a:lnTo>
                                <a:lnTo>
                                  <a:pt x="1984248" y="882396"/>
                                </a:lnTo>
                                <a:lnTo>
                                  <a:pt x="2136648" y="1014983"/>
                                </a:lnTo>
                                <a:lnTo>
                                  <a:pt x="2289048" y="507492"/>
                                </a:lnTo>
                                <a:lnTo>
                                  <a:pt x="2441448" y="384048"/>
                                </a:lnTo>
                                <a:lnTo>
                                  <a:pt x="2593848" y="1313687"/>
                                </a:lnTo>
                              </a:path>
                            </a:pathLst>
                          </a:custGeom>
                          <a:ln w="27432">
                            <a:solidFill>
                              <a:srgbClr val="497DBA"/>
                            </a:solidFill>
                            <a:prstDash val="solid"/>
                          </a:ln>
                        </wps:spPr>
                        <wps:bodyPr wrap="square" lIns="0" tIns="0" rIns="0" bIns="0" rtlCol="0">
                          <a:prstTxWarp prst="textNoShape">
                            <a:avLst/>
                          </a:prstTxWarp>
                          <a:noAutofit/>
                        </wps:bodyPr>
                      </wps:wsp>
                      <pic:pic>
                        <pic:nvPicPr>
                          <pic:cNvPr id="916" name="Image 916"/>
                          <pic:cNvPicPr/>
                        </pic:nvPicPr>
                        <pic:blipFill>
                          <a:blip r:embed="rId196" cstate="print"/>
                          <a:stretch>
                            <a:fillRect/>
                          </a:stretch>
                        </pic:blipFill>
                        <pic:spPr>
                          <a:xfrm>
                            <a:off x="1011427" y="1698879"/>
                            <a:ext cx="98044" cy="98171"/>
                          </a:xfrm>
                          <a:prstGeom prst="rect">
                            <a:avLst/>
                          </a:prstGeom>
                        </pic:spPr>
                      </pic:pic>
                      <wps:wsp>
                        <wps:cNvPr id="917" name="Graphic 917"/>
                        <wps:cNvSpPr/>
                        <wps:spPr>
                          <a:xfrm>
                            <a:off x="1168527" y="271525"/>
                            <a:ext cx="241935" cy="1325245"/>
                          </a:xfrm>
                          <a:custGeom>
                            <a:avLst/>
                            <a:gdLst/>
                            <a:ahLst/>
                            <a:cxnLst/>
                            <a:rect l="l" t="t" r="r" b="b"/>
                            <a:pathLst>
                              <a:path w="241935" h="1325245">
                                <a:moveTo>
                                  <a:pt x="44450" y="1324737"/>
                                </a:moveTo>
                                <a:lnTo>
                                  <a:pt x="0" y="1280159"/>
                                </a:lnTo>
                                <a:lnTo>
                                  <a:pt x="44450" y="1235709"/>
                                </a:lnTo>
                                <a:lnTo>
                                  <a:pt x="88900" y="1280159"/>
                                </a:lnTo>
                                <a:lnTo>
                                  <a:pt x="44450" y="1324737"/>
                                </a:lnTo>
                              </a:path>
                              <a:path w="241935" h="1325245">
                                <a:moveTo>
                                  <a:pt x="196977" y="89026"/>
                                </a:moveTo>
                                <a:lnTo>
                                  <a:pt x="152527" y="44450"/>
                                </a:lnTo>
                                <a:lnTo>
                                  <a:pt x="196977" y="0"/>
                                </a:lnTo>
                                <a:lnTo>
                                  <a:pt x="241427" y="44450"/>
                                </a:lnTo>
                                <a:lnTo>
                                  <a:pt x="196977" y="89026"/>
                                </a:lnTo>
                              </a:path>
                            </a:pathLst>
                          </a:custGeom>
                          <a:ln w="9144">
                            <a:solidFill>
                              <a:srgbClr val="497DBA"/>
                            </a:solidFill>
                            <a:prstDash val="solid"/>
                          </a:ln>
                        </wps:spPr>
                        <wps:bodyPr wrap="square" lIns="0" tIns="0" rIns="0" bIns="0" rtlCol="0">
                          <a:prstTxWarp prst="textNoShape">
                            <a:avLst/>
                          </a:prstTxWarp>
                          <a:noAutofit/>
                        </wps:bodyPr>
                      </wps:wsp>
                      <pic:pic>
                        <pic:nvPicPr>
                          <pic:cNvPr id="918" name="Image 918"/>
                          <pic:cNvPicPr/>
                        </pic:nvPicPr>
                        <pic:blipFill>
                          <a:blip r:embed="rId119" cstate="print"/>
                          <a:stretch>
                            <a:fillRect/>
                          </a:stretch>
                        </pic:blipFill>
                        <pic:spPr>
                          <a:xfrm>
                            <a:off x="1469136" y="1491361"/>
                            <a:ext cx="98044" cy="98044"/>
                          </a:xfrm>
                          <a:prstGeom prst="rect">
                            <a:avLst/>
                          </a:prstGeom>
                        </pic:spPr>
                      </pic:pic>
                      <pic:pic>
                        <pic:nvPicPr>
                          <pic:cNvPr id="919" name="Image 919"/>
                          <pic:cNvPicPr/>
                        </pic:nvPicPr>
                        <pic:blipFill>
                          <a:blip r:embed="rId111" cstate="print"/>
                          <a:stretch>
                            <a:fillRect/>
                          </a:stretch>
                        </pic:blipFill>
                        <pic:spPr>
                          <a:xfrm>
                            <a:off x="1621663" y="1075436"/>
                            <a:ext cx="98044" cy="98044"/>
                          </a:xfrm>
                          <a:prstGeom prst="rect">
                            <a:avLst/>
                          </a:prstGeom>
                        </pic:spPr>
                      </pic:pic>
                      <pic:pic>
                        <pic:nvPicPr>
                          <pic:cNvPr id="920" name="Image 920"/>
                          <pic:cNvPicPr/>
                        </pic:nvPicPr>
                        <pic:blipFill>
                          <a:blip r:embed="rId197" cstate="print"/>
                          <a:stretch>
                            <a:fillRect/>
                          </a:stretch>
                        </pic:blipFill>
                        <pic:spPr>
                          <a:xfrm>
                            <a:off x="1774189" y="1459102"/>
                            <a:ext cx="98044" cy="98171"/>
                          </a:xfrm>
                          <a:prstGeom prst="rect">
                            <a:avLst/>
                          </a:prstGeom>
                        </pic:spPr>
                      </pic:pic>
                      <wps:wsp>
                        <wps:cNvPr id="921" name="Graphic 921"/>
                        <wps:cNvSpPr/>
                        <wps:spPr>
                          <a:xfrm>
                            <a:off x="1931289" y="1240916"/>
                            <a:ext cx="394335" cy="251460"/>
                          </a:xfrm>
                          <a:custGeom>
                            <a:avLst/>
                            <a:gdLst/>
                            <a:ahLst/>
                            <a:cxnLst/>
                            <a:rect l="l" t="t" r="r" b="b"/>
                            <a:pathLst>
                              <a:path w="394335" h="251460">
                                <a:moveTo>
                                  <a:pt x="44450" y="92963"/>
                                </a:moveTo>
                                <a:lnTo>
                                  <a:pt x="0" y="48513"/>
                                </a:lnTo>
                                <a:lnTo>
                                  <a:pt x="44450" y="3936"/>
                                </a:lnTo>
                                <a:lnTo>
                                  <a:pt x="88900" y="48513"/>
                                </a:lnTo>
                                <a:lnTo>
                                  <a:pt x="44450" y="92963"/>
                                </a:lnTo>
                              </a:path>
                              <a:path w="394335" h="251460">
                                <a:moveTo>
                                  <a:pt x="196977" y="251459"/>
                                </a:moveTo>
                                <a:lnTo>
                                  <a:pt x="152527" y="207009"/>
                                </a:lnTo>
                                <a:lnTo>
                                  <a:pt x="196977" y="162559"/>
                                </a:lnTo>
                                <a:lnTo>
                                  <a:pt x="241427" y="207009"/>
                                </a:lnTo>
                                <a:lnTo>
                                  <a:pt x="196977" y="251459"/>
                                </a:lnTo>
                              </a:path>
                              <a:path w="394335" h="251460">
                                <a:moveTo>
                                  <a:pt x="349504" y="88900"/>
                                </a:moveTo>
                                <a:lnTo>
                                  <a:pt x="305054" y="44450"/>
                                </a:lnTo>
                                <a:lnTo>
                                  <a:pt x="349504" y="0"/>
                                </a:lnTo>
                                <a:lnTo>
                                  <a:pt x="393953" y="44450"/>
                                </a:lnTo>
                                <a:lnTo>
                                  <a:pt x="349504" y="88900"/>
                                </a:lnTo>
                              </a:path>
                            </a:pathLst>
                          </a:custGeom>
                          <a:ln w="9144">
                            <a:solidFill>
                              <a:srgbClr val="497DBA"/>
                            </a:solidFill>
                            <a:prstDash val="solid"/>
                          </a:ln>
                        </wps:spPr>
                        <wps:bodyPr wrap="square" lIns="0" tIns="0" rIns="0" bIns="0" rtlCol="0">
                          <a:prstTxWarp prst="textNoShape">
                            <a:avLst/>
                          </a:prstTxWarp>
                          <a:noAutofit/>
                        </wps:bodyPr>
                      </wps:wsp>
                      <pic:pic>
                        <pic:nvPicPr>
                          <pic:cNvPr id="922" name="Image 922"/>
                          <pic:cNvPicPr/>
                        </pic:nvPicPr>
                        <pic:blipFill>
                          <a:blip r:embed="rId198" cstate="print"/>
                          <a:stretch>
                            <a:fillRect/>
                          </a:stretch>
                        </pic:blipFill>
                        <pic:spPr>
                          <a:xfrm>
                            <a:off x="2384425" y="510158"/>
                            <a:ext cx="98044" cy="98171"/>
                          </a:xfrm>
                          <a:prstGeom prst="rect">
                            <a:avLst/>
                          </a:prstGeom>
                        </pic:spPr>
                      </pic:pic>
                      <pic:pic>
                        <pic:nvPicPr>
                          <pic:cNvPr id="923" name="Image 923"/>
                          <pic:cNvPicPr/>
                        </pic:nvPicPr>
                        <pic:blipFill>
                          <a:blip r:embed="rId198" cstate="print"/>
                          <a:stretch>
                            <a:fillRect/>
                          </a:stretch>
                        </pic:blipFill>
                        <pic:spPr>
                          <a:xfrm>
                            <a:off x="2536951" y="757047"/>
                            <a:ext cx="98044" cy="98171"/>
                          </a:xfrm>
                          <a:prstGeom prst="rect">
                            <a:avLst/>
                          </a:prstGeom>
                        </pic:spPr>
                      </pic:pic>
                      <pic:pic>
                        <pic:nvPicPr>
                          <pic:cNvPr id="924" name="Image 924"/>
                          <pic:cNvPicPr/>
                        </pic:nvPicPr>
                        <pic:blipFill>
                          <a:blip r:embed="rId111" cstate="print"/>
                          <a:stretch>
                            <a:fillRect/>
                          </a:stretch>
                        </pic:blipFill>
                        <pic:spPr>
                          <a:xfrm>
                            <a:off x="2689479" y="945896"/>
                            <a:ext cx="98044" cy="98044"/>
                          </a:xfrm>
                          <a:prstGeom prst="rect">
                            <a:avLst/>
                          </a:prstGeom>
                        </pic:spPr>
                      </pic:pic>
                      <wps:wsp>
                        <wps:cNvPr id="925" name="Graphic 925"/>
                        <wps:cNvSpPr/>
                        <wps:spPr>
                          <a:xfrm>
                            <a:off x="2846577" y="779780"/>
                            <a:ext cx="546735" cy="597535"/>
                          </a:xfrm>
                          <a:custGeom>
                            <a:avLst/>
                            <a:gdLst/>
                            <a:ahLst/>
                            <a:cxnLst/>
                            <a:rect l="l" t="t" r="r" b="b"/>
                            <a:pathLst>
                              <a:path w="546735" h="597535">
                                <a:moveTo>
                                  <a:pt x="44450" y="252729"/>
                                </a:moveTo>
                                <a:lnTo>
                                  <a:pt x="0" y="208279"/>
                                </a:lnTo>
                                <a:lnTo>
                                  <a:pt x="44450" y="163702"/>
                                </a:lnTo>
                                <a:lnTo>
                                  <a:pt x="88900" y="208279"/>
                                </a:lnTo>
                                <a:lnTo>
                                  <a:pt x="44450" y="252729"/>
                                </a:lnTo>
                              </a:path>
                              <a:path w="546735" h="597535">
                                <a:moveTo>
                                  <a:pt x="196976" y="464947"/>
                                </a:moveTo>
                                <a:lnTo>
                                  <a:pt x="152526" y="420497"/>
                                </a:lnTo>
                                <a:lnTo>
                                  <a:pt x="196976" y="375920"/>
                                </a:lnTo>
                                <a:lnTo>
                                  <a:pt x="241426" y="420497"/>
                                </a:lnTo>
                                <a:lnTo>
                                  <a:pt x="196976" y="464947"/>
                                </a:lnTo>
                              </a:path>
                              <a:path w="546735" h="597535">
                                <a:moveTo>
                                  <a:pt x="349504" y="597408"/>
                                </a:moveTo>
                                <a:lnTo>
                                  <a:pt x="305054" y="552830"/>
                                </a:lnTo>
                                <a:lnTo>
                                  <a:pt x="349504" y="508380"/>
                                </a:lnTo>
                                <a:lnTo>
                                  <a:pt x="393954" y="552830"/>
                                </a:lnTo>
                                <a:lnTo>
                                  <a:pt x="349504" y="597408"/>
                                </a:lnTo>
                              </a:path>
                              <a:path w="546735" h="597535">
                                <a:moveTo>
                                  <a:pt x="502158" y="89026"/>
                                </a:moveTo>
                                <a:lnTo>
                                  <a:pt x="457708" y="44576"/>
                                </a:lnTo>
                                <a:lnTo>
                                  <a:pt x="502158" y="0"/>
                                </a:lnTo>
                                <a:lnTo>
                                  <a:pt x="546608" y="44576"/>
                                </a:lnTo>
                                <a:lnTo>
                                  <a:pt x="502158" y="89026"/>
                                </a:lnTo>
                              </a:path>
                            </a:pathLst>
                          </a:custGeom>
                          <a:ln w="9144">
                            <a:solidFill>
                              <a:srgbClr val="497DBA"/>
                            </a:solidFill>
                            <a:prstDash val="solid"/>
                          </a:ln>
                        </wps:spPr>
                        <wps:bodyPr wrap="square" lIns="0" tIns="0" rIns="0" bIns="0" rtlCol="0">
                          <a:prstTxWarp prst="textNoShape">
                            <a:avLst/>
                          </a:prstTxWarp>
                          <a:noAutofit/>
                        </wps:bodyPr>
                      </wps:wsp>
                      <pic:pic>
                        <pic:nvPicPr>
                          <pic:cNvPr id="926" name="Image 926"/>
                          <pic:cNvPicPr/>
                        </pic:nvPicPr>
                        <pic:blipFill>
                          <a:blip r:embed="rId116" cstate="print"/>
                          <a:stretch>
                            <a:fillRect/>
                          </a:stretch>
                        </pic:blipFill>
                        <pic:spPr>
                          <a:xfrm>
                            <a:off x="3452240" y="652144"/>
                            <a:ext cx="98044" cy="98044"/>
                          </a:xfrm>
                          <a:prstGeom prst="rect">
                            <a:avLst/>
                          </a:prstGeom>
                        </pic:spPr>
                      </pic:pic>
                      <pic:pic>
                        <pic:nvPicPr>
                          <pic:cNvPr id="927" name="Image 927"/>
                          <pic:cNvPicPr/>
                        </pic:nvPicPr>
                        <pic:blipFill>
                          <a:blip r:embed="rId113" cstate="print"/>
                          <a:stretch>
                            <a:fillRect/>
                          </a:stretch>
                        </pic:blipFill>
                        <pic:spPr>
                          <a:xfrm>
                            <a:off x="3604767" y="1582927"/>
                            <a:ext cx="98044" cy="98044"/>
                          </a:xfrm>
                          <a:prstGeom prst="rect">
                            <a:avLst/>
                          </a:prstGeom>
                        </pic:spPr>
                      </pic:pic>
                      <wps:wsp>
                        <wps:cNvPr id="928" name="Graphic 928"/>
                        <wps:cNvSpPr/>
                        <wps:spPr>
                          <a:xfrm>
                            <a:off x="1060196" y="317245"/>
                            <a:ext cx="2593975" cy="1344295"/>
                          </a:xfrm>
                          <a:custGeom>
                            <a:avLst/>
                            <a:gdLst/>
                            <a:ahLst/>
                            <a:cxnLst/>
                            <a:rect l="l" t="t" r="r" b="b"/>
                            <a:pathLst>
                              <a:path w="2593975" h="1344295">
                                <a:moveTo>
                                  <a:pt x="0" y="1344168"/>
                                </a:moveTo>
                                <a:lnTo>
                                  <a:pt x="152400" y="1234439"/>
                                </a:lnTo>
                                <a:lnTo>
                                  <a:pt x="304800" y="0"/>
                                </a:lnTo>
                                <a:lnTo>
                                  <a:pt x="457200" y="1063752"/>
                                </a:lnTo>
                                <a:lnTo>
                                  <a:pt x="609600" y="807720"/>
                                </a:lnTo>
                                <a:lnTo>
                                  <a:pt x="763524" y="1190244"/>
                                </a:lnTo>
                                <a:lnTo>
                                  <a:pt x="915924" y="972311"/>
                                </a:lnTo>
                                <a:lnTo>
                                  <a:pt x="1068324" y="1130807"/>
                                </a:lnTo>
                                <a:lnTo>
                                  <a:pt x="1220724" y="967739"/>
                                </a:lnTo>
                                <a:lnTo>
                                  <a:pt x="1373124" y="111251"/>
                                </a:lnTo>
                                <a:lnTo>
                                  <a:pt x="1525524" y="588263"/>
                                </a:lnTo>
                                <a:lnTo>
                                  <a:pt x="1677924" y="678179"/>
                                </a:lnTo>
                                <a:lnTo>
                                  <a:pt x="1830324" y="670559"/>
                                </a:lnTo>
                                <a:lnTo>
                                  <a:pt x="1984248" y="882396"/>
                                </a:lnTo>
                                <a:lnTo>
                                  <a:pt x="2136648" y="1014983"/>
                                </a:lnTo>
                                <a:lnTo>
                                  <a:pt x="2289048" y="507492"/>
                                </a:lnTo>
                                <a:lnTo>
                                  <a:pt x="2441448" y="391668"/>
                                </a:lnTo>
                                <a:lnTo>
                                  <a:pt x="2593848" y="1313687"/>
                                </a:lnTo>
                              </a:path>
                            </a:pathLst>
                          </a:custGeom>
                          <a:ln w="27431">
                            <a:solidFill>
                              <a:srgbClr val="BD4A47"/>
                            </a:solidFill>
                            <a:prstDash val="solid"/>
                          </a:ln>
                        </wps:spPr>
                        <wps:bodyPr wrap="square" lIns="0" tIns="0" rIns="0" bIns="0" rtlCol="0">
                          <a:prstTxWarp prst="textNoShape">
                            <a:avLst/>
                          </a:prstTxWarp>
                          <a:noAutofit/>
                        </wps:bodyPr>
                      </wps:wsp>
                      <wps:wsp>
                        <wps:cNvPr id="929" name="Graphic 929"/>
                        <wps:cNvSpPr/>
                        <wps:spPr>
                          <a:xfrm>
                            <a:off x="1016000" y="1617217"/>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930" name="Graphic 930"/>
                        <wps:cNvSpPr/>
                        <wps:spPr>
                          <a:xfrm>
                            <a:off x="1016000" y="1617217"/>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931" name="Graphic 931"/>
                        <wps:cNvSpPr/>
                        <wps:spPr>
                          <a:xfrm>
                            <a:off x="1168400" y="1505966"/>
                            <a:ext cx="88900" cy="90170"/>
                          </a:xfrm>
                          <a:custGeom>
                            <a:avLst/>
                            <a:gdLst/>
                            <a:ahLst/>
                            <a:cxnLst/>
                            <a:rect l="l" t="t" r="r" b="b"/>
                            <a:pathLst>
                              <a:path w="88900" h="90170">
                                <a:moveTo>
                                  <a:pt x="88392" y="0"/>
                                </a:moveTo>
                                <a:lnTo>
                                  <a:pt x="0" y="0"/>
                                </a:lnTo>
                                <a:lnTo>
                                  <a:pt x="0" y="89916"/>
                                </a:lnTo>
                                <a:lnTo>
                                  <a:pt x="88392" y="89916"/>
                                </a:lnTo>
                                <a:lnTo>
                                  <a:pt x="88392" y="0"/>
                                </a:lnTo>
                                <a:close/>
                              </a:path>
                            </a:pathLst>
                          </a:custGeom>
                          <a:solidFill>
                            <a:srgbClr val="C0504D"/>
                          </a:solidFill>
                        </wps:spPr>
                        <wps:bodyPr wrap="square" lIns="0" tIns="0" rIns="0" bIns="0" rtlCol="0">
                          <a:prstTxWarp prst="textNoShape">
                            <a:avLst/>
                          </a:prstTxWarp>
                          <a:noAutofit/>
                        </wps:bodyPr>
                      </wps:wsp>
                      <wps:wsp>
                        <wps:cNvPr id="932" name="Graphic 932"/>
                        <wps:cNvSpPr/>
                        <wps:spPr>
                          <a:xfrm>
                            <a:off x="1168400" y="1505966"/>
                            <a:ext cx="88900" cy="90170"/>
                          </a:xfrm>
                          <a:custGeom>
                            <a:avLst/>
                            <a:gdLst/>
                            <a:ahLst/>
                            <a:cxnLst/>
                            <a:rect l="l" t="t" r="r" b="b"/>
                            <a:pathLst>
                              <a:path w="88900" h="90170">
                                <a:moveTo>
                                  <a:pt x="0" y="89916"/>
                                </a:moveTo>
                                <a:lnTo>
                                  <a:pt x="88392" y="89916"/>
                                </a:lnTo>
                                <a:lnTo>
                                  <a:pt x="88392"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933" name="Graphic 933"/>
                        <wps:cNvSpPr/>
                        <wps:spPr>
                          <a:xfrm>
                            <a:off x="1320800" y="271525"/>
                            <a:ext cx="90170" cy="88900"/>
                          </a:xfrm>
                          <a:custGeom>
                            <a:avLst/>
                            <a:gdLst/>
                            <a:ahLst/>
                            <a:cxnLst/>
                            <a:rect l="l" t="t" r="r" b="b"/>
                            <a:pathLst>
                              <a:path w="90170" h="88900">
                                <a:moveTo>
                                  <a:pt x="89916" y="0"/>
                                </a:moveTo>
                                <a:lnTo>
                                  <a:pt x="0" y="0"/>
                                </a:lnTo>
                                <a:lnTo>
                                  <a:pt x="0" y="88392"/>
                                </a:lnTo>
                                <a:lnTo>
                                  <a:pt x="89916" y="88392"/>
                                </a:lnTo>
                                <a:lnTo>
                                  <a:pt x="89916" y="0"/>
                                </a:lnTo>
                                <a:close/>
                              </a:path>
                            </a:pathLst>
                          </a:custGeom>
                          <a:solidFill>
                            <a:srgbClr val="C0504D"/>
                          </a:solidFill>
                        </wps:spPr>
                        <wps:bodyPr wrap="square" lIns="0" tIns="0" rIns="0" bIns="0" rtlCol="0">
                          <a:prstTxWarp prst="textNoShape">
                            <a:avLst/>
                          </a:prstTxWarp>
                          <a:noAutofit/>
                        </wps:bodyPr>
                      </wps:wsp>
                      <wps:wsp>
                        <wps:cNvPr id="934" name="Graphic 934"/>
                        <wps:cNvSpPr/>
                        <wps:spPr>
                          <a:xfrm>
                            <a:off x="1320800" y="271525"/>
                            <a:ext cx="90170" cy="88900"/>
                          </a:xfrm>
                          <a:custGeom>
                            <a:avLst/>
                            <a:gdLst/>
                            <a:ahLst/>
                            <a:cxnLst/>
                            <a:rect l="l" t="t" r="r" b="b"/>
                            <a:pathLst>
                              <a:path w="90170" h="88900">
                                <a:moveTo>
                                  <a:pt x="0" y="88392"/>
                                </a:moveTo>
                                <a:lnTo>
                                  <a:pt x="89916" y="88392"/>
                                </a:lnTo>
                                <a:lnTo>
                                  <a:pt x="89916"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935" name="Graphic 935"/>
                        <wps:cNvSpPr/>
                        <wps:spPr>
                          <a:xfrm>
                            <a:off x="1473200" y="1336802"/>
                            <a:ext cx="90170" cy="88900"/>
                          </a:xfrm>
                          <a:custGeom>
                            <a:avLst/>
                            <a:gdLst/>
                            <a:ahLst/>
                            <a:cxnLst/>
                            <a:rect l="l" t="t" r="r" b="b"/>
                            <a:pathLst>
                              <a:path w="90170" h="88900">
                                <a:moveTo>
                                  <a:pt x="89916" y="0"/>
                                </a:moveTo>
                                <a:lnTo>
                                  <a:pt x="0" y="0"/>
                                </a:lnTo>
                                <a:lnTo>
                                  <a:pt x="0" y="88392"/>
                                </a:lnTo>
                                <a:lnTo>
                                  <a:pt x="89916" y="88392"/>
                                </a:lnTo>
                                <a:lnTo>
                                  <a:pt x="89916" y="0"/>
                                </a:lnTo>
                                <a:close/>
                              </a:path>
                            </a:pathLst>
                          </a:custGeom>
                          <a:solidFill>
                            <a:srgbClr val="C0504D"/>
                          </a:solidFill>
                        </wps:spPr>
                        <wps:bodyPr wrap="square" lIns="0" tIns="0" rIns="0" bIns="0" rtlCol="0">
                          <a:prstTxWarp prst="textNoShape">
                            <a:avLst/>
                          </a:prstTxWarp>
                          <a:noAutofit/>
                        </wps:bodyPr>
                      </wps:wsp>
                      <wps:wsp>
                        <wps:cNvPr id="936" name="Graphic 936"/>
                        <wps:cNvSpPr/>
                        <wps:spPr>
                          <a:xfrm>
                            <a:off x="1473200" y="1336802"/>
                            <a:ext cx="90170" cy="88900"/>
                          </a:xfrm>
                          <a:custGeom>
                            <a:avLst/>
                            <a:gdLst/>
                            <a:ahLst/>
                            <a:cxnLst/>
                            <a:rect l="l" t="t" r="r" b="b"/>
                            <a:pathLst>
                              <a:path w="90170" h="88900">
                                <a:moveTo>
                                  <a:pt x="0" y="88392"/>
                                </a:moveTo>
                                <a:lnTo>
                                  <a:pt x="89916" y="88392"/>
                                </a:lnTo>
                                <a:lnTo>
                                  <a:pt x="89916"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937" name="Graphic 937"/>
                        <wps:cNvSpPr/>
                        <wps:spPr>
                          <a:xfrm>
                            <a:off x="1625600" y="1079246"/>
                            <a:ext cx="90170" cy="88900"/>
                          </a:xfrm>
                          <a:custGeom>
                            <a:avLst/>
                            <a:gdLst/>
                            <a:ahLst/>
                            <a:cxnLst/>
                            <a:rect l="l" t="t" r="r" b="b"/>
                            <a:pathLst>
                              <a:path w="90170" h="88900">
                                <a:moveTo>
                                  <a:pt x="89916" y="0"/>
                                </a:moveTo>
                                <a:lnTo>
                                  <a:pt x="0" y="0"/>
                                </a:lnTo>
                                <a:lnTo>
                                  <a:pt x="0" y="88392"/>
                                </a:lnTo>
                                <a:lnTo>
                                  <a:pt x="89916" y="88392"/>
                                </a:lnTo>
                                <a:lnTo>
                                  <a:pt x="89916" y="0"/>
                                </a:lnTo>
                                <a:close/>
                              </a:path>
                            </a:pathLst>
                          </a:custGeom>
                          <a:solidFill>
                            <a:srgbClr val="C0504D"/>
                          </a:solidFill>
                        </wps:spPr>
                        <wps:bodyPr wrap="square" lIns="0" tIns="0" rIns="0" bIns="0" rtlCol="0">
                          <a:prstTxWarp prst="textNoShape">
                            <a:avLst/>
                          </a:prstTxWarp>
                          <a:noAutofit/>
                        </wps:bodyPr>
                      </wps:wsp>
                      <wps:wsp>
                        <wps:cNvPr id="938" name="Graphic 938"/>
                        <wps:cNvSpPr/>
                        <wps:spPr>
                          <a:xfrm>
                            <a:off x="1625600" y="1079246"/>
                            <a:ext cx="90170" cy="88900"/>
                          </a:xfrm>
                          <a:custGeom>
                            <a:avLst/>
                            <a:gdLst/>
                            <a:ahLst/>
                            <a:cxnLst/>
                            <a:rect l="l" t="t" r="r" b="b"/>
                            <a:pathLst>
                              <a:path w="90170" h="88900">
                                <a:moveTo>
                                  <a:pt x="0" y="88392"/>
                                </a:moveTo>
                                <a:lnTo>
                                  <a:pt x="89916" y="88392"/>
                                </a:lnTo>
                                <a:lnTo>
                                  <a:pt x="89916"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939" name="Graphic 939"/>
                        <wps:cNvSpPr/>
                        <wps:spPr>
                          <a:xfrm>
                            <a:off x="1778000" y="1463294"/>
                            <a:ext cx="90170" cy="88900"/>
                          </a:xfrm>
                          <a:custGeom>
                            <a:avLst/>
                            <a:gdLst/>
                            <a:ahLst/>
                            <a:cxnLst/>
                            <a:rect l="l" t="t" r="r" b="b"/>
                            <a:pathLst>
                              <a:path w="90170" h="88900">
                                <a:moveTo>
                                  <a:pt x="89916" y="0"/>
                                </a:moveTo>
                                <a:lnTo>
                                  <a:pt x="0" y="0"/>
                                </a:lnTo>
                                <a:lnTo>
                                  <a:pt x="0" y="88392"/>
                                </a:lnTo>
                                <a:lnTo>
                                  <a:pt x="89916" y="88392"/>
                                </a:lnTo>
                                <a:lnTo>
                                  <a:pt x="89916" y="0"/>
                                </a:lnTo>
                                <a:close/>
                              </a:path>
                            </a:pathLst>
                          </a:custGeom>
                          <a:solidFill>
                            <a:srgbClr val="C0504D"/>
                          </a:solidFill>
                        </wps:spPr>
                        <wps:bodyPr wrap="square" lIns="0" tIns="0" rIns="0" bIns="0" rtlCol="0">
                          <a:prstTxWarp prst="textNoShape">
                            <a:avLst/>
                          </a:prstTxWarp>
                          <a:noAutofit/>
                        </wps:bodyPr>
                      </wps:wsp>
                      <wps:wsp>
                        <wps:cNvPr id="940" name="Graphic 940"/>
                        <wps:cNvSpPr/>
                        <wps:spPr>
                          <a:xfrm>
                            <a:off x="1778000" y="1463294"/>
                            <a:ext cx="90170" cy="88900"/>
                          </a:xfrm>
                          <a:custGeom>
                            <a:avLst/>
                            <a:gdLst/>
                            <a:ahLst/>
                            <a:cxnLst/>
                            <a:rect l="l" t="t" r="r" b="b"/>
                            <a:pathLst>
                              <a:path w="90170" h="88900">
                                <a:moveTo>
                                  <a:pt x="0" y="88392"/>
                                </a:moveTo>
                                <a:lnTo>
                                  <a:pt x="89916" y="88392"/>
                                </a:lnTo>
                                <a:lnTo>
                                  <a:pt x="89916"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941" name="Graphic 941"/>
                        <wps:cNvSpPr/>
                        <wps:spPr>
                          <a:xfrm>
                            <a:off x="1931923" y="1243838"/>
                            <a:ext cx="88900" cy="90170"/>
                          </a:xfrm>
                          <a:custGeom>
                            <a:avLst/>
                            <a:gdLst/>
                            <a:ahLst/>
                            <a:cxnLst/>
                            <a:rect l="l" t="t" r="r" b="b"/>
                            <a:pathLst>
                              <a:path w="88900" h="90170">
                                <a:moveTo>
                                  <a:pt x="88392" y="0"/>
                                </a:moveTo>
                                <a:lnTo>
                                  <a:pt x="0" y="0"/>
                                </a:lnTo>
                                <a:lnTo>
                                  <a:pt x="0" y="89916"/>
                                </a:lnTo>
                                <a:lnTo>
                                  <a:pt x="88392" y="89916"/>
                                </a:lnTo>
                                <a:lnTo>
                                  <a:pt x="88392" y="0"/>
                                </a:lnTo>
                                <a:close/>
                              </a:path>
                            </a:pathLst>
                          </a:custGeom>
                          <a:solidFill>
                            <a:srgbClr val="C0504D"/>
                          </a:solidFill>
                        </wps:spPr>
                        <wps:bodyPr wrap="square" lIns="0" tIns="0" rIns="0" bIns="0" rtlCol="0">
                          <a:prstTxWarp prst="textNoShape">
                            <a:avLst/>
                          </a:prstTxWarp>
                          <a:noAutofit/>
                        </wps:bodyPr>
                      </wps:wsp>
                      <wps:wsp>
                        <wps:cNvPr id="942" name="Graphic 942"/>
                        <wps:cNvSpPr/>
                        <wps:spPr>
                          <a:xfrm>
                            <a:off x="1931923" y="1243838"/>
                            <a:ext cx="88900" cy="90170"/>
                          </a:xfrm>
                          <a:custGeom>
                            <a:avLst/>
                            <a:gdLst/>
                            <a:ahLst/>
                            <a:cxnLst/>
                            <a:rect l="l" t="t" r="r" b="b"/>
                            <a:pathLst>
                              <a:path w="88900" h="90170">
                                <a:moveTo>
                                  <a:pt x="0" y="89916"/>
                                </a:moveTo>
                                <a:lnTo>
                                  <a:pt x="88392" y="89916"/>
                                </a:lnTo>
                                <a:lnTo>
                                  <a:pt x="88392"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943" name="Graphic 943"/>
                        <wps:cNvSpPr/>
                        <wps:spPr>
                          <a:xfrm>
                            <a:off x="2084323" y="1402333"/>
                            <a:ext cx="88900" cy="90170"/>
                          </a:xfrm>
                          <a:custGeom>
                            <a:avLst/>
                            <a:gdLst/>
                            <a:ahLst/>
                            <a:cxnLst/>
                            <a:rect l="l" t="t" r="r" b="b"/>
                            <a:pathLst>
                              <a:path w="88900" h="90170">
                                <a:moveTo>
                                  <a:pt x="88392" y="0"/>
                                </a:moveTo>
                                <a:lnTo>
                                  <a:pt x="0" y="0"/>
                                </a:lnTo>
                                <a:lnTo>
                                  <a:pt x="0" y="89916"/>
                                </a:lnTo>
                                <a:lnTo>
                                  <a:pt x="88392" y="89916"/>
                                </a:lnTo>
                                <a:lnTo>
                                  <a:pt x="88392" y="0"/>
                                </a:lnTo>
                                <a:close/>
                              </a:path>
                            </a:pathLst>
                          </a:custGeom>
                          <a:solidFill>
                            <a:srgbClr val="C0504D"/>
                          </a:solidFill>
                        </wps:spPr>
                        <wps:bodyPr wrap="square" lIns="0" tIns="0" rIns="0" bIns="0" rtlCol="0">
                          <a:prstTxWarp prst="textNoShape">
                            <a:avLst/>
                          </a:prstTxWarp>
                          <a:noAutofit/>
                        </wps:bodyPr>
                      </wps:wsp>
                      <wps:wsp>
                        <wps:cNvPr id="944" name="Graphic 944"/>
                        <wps:cNvSpPr/>
                        <wps:spPr>
                          <a:xfrm>
                            <a:off x="2084323" y="1402333"/>
                            <a:ext cx="88900" cy="90170"/>
                          </a:xfrm>
                          <a:custGeom>
                            <a:avLst/>
                            <a:gdLst/>
                            <a:ahLst/>
                            <a:cxnLst/>
                            <a:rect l="l" t="t" r="r" b="b"/>
                            <a:pathLst>
                              <a:path w="88900" h="90170">
                                <a:moveTo>
                                  <a:pt x="0" y="89916"/>
                                </a:moveTo>
                                <a:lnTo>
                                  <a:pt x="88392" y="89916"/>
                                </a:lnTo>
                                <a:lnTo>
                                  <a:pt x="88392"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945" name="Graphic 945"/>
                        <wps:cNvSpPr/>
                        <wps:spPr>
                          <a:xfrm>
                            <a:off x="2236723" y="1240789"/>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946" name="Graphic 946"/>
                        <wps:cNvSpPr/>
                        <wps:spPr>
                          <a:xfrm>
                            <a:off x="2236723" y="1240789"/>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947" name="Graphic 947"/>
                        <wps:cNvSpPr/>
                        <wps:spPr>
                          <a:xfrm>
                            <a:off x="2389123" y="382777"/>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948" name="Graphic 948"/>
                        <wps:cNvSpPr/>
                        <wps:spPr>
                          <a:xfrm>
                            <a:off x="2389123" y="382777"/>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949" name="Graphic 949"/>
                        <wps:cNvSpPr/>
                        <wps:spPr>
                          <a:xfrm>
                            <a:off x="2541523" y="859789"/>
                            <a:ext cx="88900" cy="90170"/>
                          </a:xfrm>
                          <a:custGeom>
                            <a:avLst/>
                            <a:gdLst/>
                            <a:ahLst/>
                            <a:cxnLst/>
                            <a:rect l="l" t="t" r="r" b="b"/>
                            <a:pathLst>
                              <a:path w="88900" h="90170">
                                <a:moveTo>
                                  <a:pt x="88391" y="0"/>
                                </a:moveTo>
                                <a:lnTo>
                                  <a:pt x="0" y="0"/>
                                </a:lnTo>
                                <a:lnTo>
                                  <a:pt x="0" y="89916"/>
                                </a:lnTo>
                                <a:lnTo>
                                  <a:pt x="88391" y="89916"/>
                                </a:lnTo>
                                <a:lnTo>
                                  <a:pt x="88391" y="0"/>
                                </a:lnTo>
                                <a:close/>
                              </a:path>
                            </a:pathLst>
                          </a:custGeom>
                          <a:solidFill>
                            <a:srgbClr val="C0504D"/>
                          </a:solidFill>
                        </wps:spPr>
                        <wps:bodyPr wrap="square" lIns="0" tIns="0" rIns="0" bIns="0" rtlCol="0">
                          <a:prstTxWarp prst="textNoShape">
                            <a:avLst/>
                          </a:prstTxWarp>
                          <a:noAutofit/>
                        </wps:bodyPr>
                      </wps:wsp>
                      <wps:wsp>
                        <wps:cNvPr id="950" name="Graphic 950"/>
                        <wps:cNvSpPr/>
                        <wps:spPr>
                          <a:xfrm>
                            <a:off x="2541523" y="859789"/>
                            <a:ext cx="88900" cy="90170"/>
                          </a:xfrm>
                          <a:custGeom>
                            <a:avLst/>
                            <a:gdLst/>
                            <a:ahLst/>
                            <a:cxnLst/>
                            <a:rect l="l" t="t" r="r" b="b"/>
                            <a:pathLst>
                              <a:path w="88900" h="90170">
                                <a:moveTo>
                                  <a:pt x="0" y="89916"/>
                                </a:moveTo>
                                <a:lnTo>
                                  <a:pt x="88391" y="89916"/>
                                </a:lnTo>
                                <a:lnTo>
                                  <a:pt x="88391"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951" name="Graphic 951"/>
                        <wps:cNvSpPr/>
                        <wps:spPr>
                          <a:xfrm>
                            <a:off x="2693923" y="949705"/>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952" name="Graphic 952"/>
                        <wps:cNvSpPr/>
                        <wps:spPr>
                          <a:xfrm>
                            <a:off x="2693923" y="949705"/>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953" name="Graphic 953"/>
                        <wps:cNvSpPr/>
                        <wps:spPr>
                          <a:xfrm>
                            <a:off x="2846323" y="943610"/>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C0504D"/>
                          </a:solidFill>
                        </wps:spPr>
                        <wps:bodyPr wrap="square" lIns="0" tIns="0" rIns="0" bIns="0" rtlCol="0">
                          <a:prstTxWarp prst="textNoShape">
                            <a:avLst/>
                          </a:prstTxWarp>
                          <a:noAutofit/>
                        </wps:bodyPr>
                      </wps:wsp>
                      <wps:wsp>
                        <wps:cNvPr id="954" name="Graphic 954"/>
                        <wps:cNvSpPr/>
                        <wps:spPr>
                          <a:xfrm>
                            <a:off x="2846323" y="943610"/>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955" name="Graphic 955"/>
                        <wps:cNvSpPr/>
                        <wps:spPr>
                          <a:xfrm>
                            <a:off x="2998723" y="1155446"/>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C0504D"/>
                          </a:solidFill>
                        </wps:spPr>
                        <wps:bodyPr wrap="square" lIns="0" tIns="0" rIns="0" bIns="0" rtlCol="0">
                          <a:prstTxWarp prst="textNoShape">
                            <a:avLst/>
                          </a:prstTxWarp>
                          <a:noAutofit/>
                        </wps:bodyPr>
                      </wps:wsp>
                      <wps:wsp>
                        <wps:cNvPr id="956" name="Graphic 956"/>
                        <wps:cNvSpPr/>
                        <wps:spPr>
                          <a:xfrm>
                            <a:off x="2998723" y="1155446"/>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957" name="Graphic 957"/>
                        <wps:cNvSpPr/>
                        <wps:spPr>
                          <a:xfrm>
                            <a:off x="3151123" y="1288033"/>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C0504D"/>
                          </a:solidFill>
                        </wps:spPr>
                        <wps:bodyPr wrap="square" lIns="0" tIns="0" rIns="0" bIns="0" rtlCol="0">
                          <a:prstTxWarp prst="textNoShape">
                            <a:avLst/>
                          </a:prstTxWarp>
                          <a:noAutofit/>
                        </wps:bodyPr>
                      </wps:wsp>
                      <wps:wsp>
                        <wps:cNvPr id="958" name="Graphic 958"/>
                        <wps:cNvSpPr/>
                        <wps:spPr>
                          <a:xfrm>
                            <a:off x="3151123" y="1288033"/>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959" name="Graphic 959"/>
                        <wps:cNvSpPr/>
                        <wps:spPr>
                          <a:xfrm>
                            <a:off x="3303523" y="779018"/>
                            <a:ext cx="90170" cy="90170"/>
                          </a:xfrm>
                          <a:custGeom>
                            <a:avLst/>
                            <a:gdLst/>
                            <a:ahLst/>
                            <a:cxnLst/>
                            <a:rect l="l" t="t" r="r" b="b"/>
                            <a:pathLst>
                              <a:path w="90170" h="90170">
                                <a:moveTo>
                                  <a:pt x="89915" y="0"/>
                                </a:moveTo>
                                <a:lnTo>
                                  <a:pt x="0" y="0"/>
                                </a:lnTo>
                                <a:lnTo>
                                  <a:pt x="0" y="89916"/>
                                </a:lnTo>
                                <a:lnTo>
                                  <a:pt x="89915" y="89916"/>
                                </a:lnTo>
                                <a:lnTo>
                                  <a:pt x="89915" y="0"/>
                                </a:lnTo>
                                <a:close/>
                              </a:path>
                            </a:pathLst>
                          </a:custGeom>
                          <a:solidFill>
                            <a:srgbClr val="C0504D"/>
                          </a:solidFill>
                        </wps:spPr>
                        <wps:bodyPr wrap="square" lIns="0" tIns="0" rIns="0" bIns="0" rtlCol="0">
                          <a:prstTxWarp prst="textNoShape">
                            <a:avLst/>
                          </a:prstTxWarp>
                          <a:noAutofit/>
                        </wps:bodyPr>
                      </wps:wsp>
                      <wps:wsp>
                        <wps:cNvPr id="960" name="Graphic 960"/>
                        <wps:cNvSpPr/>
                        <wps:spPr>
                          <a:xfrm>
                            <a:off x="3303523" y="779018"/>
                            <a:ext cx="90170" cy="90170"/>
                          </a:xfrm>
                          <a:custGeom>
                            <a:avLst/>
                            <a:gdLst/>
                            <a:ahLst/>
                            <a:cxnLst/>
                            <a:rect l="l" t="t" r="r" b="b"/>
                            <a:pathLst>
                              <a:path w="90170" h="90170">
                                <a:moveTo>
                                  <a:pt x="0" y="89916"/>
                                </a:moveTo>
                                <a:lnTo>
                                  <a:pt x="89915" y="89916"/>
                                </a:lnTo>
                                <a:lnTo>
                                  <a:pt x="89915"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961" name="Graphic 961"/>
                        <wps:cNvSpPr/>
                        <wps:spPr>
                          <a:xfrm>
                            <a:off x="3457447" y="663194"/>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962" name="Graphic 962"/>
                        <wps:cNvSpPr/>
                        <wps:spPr>
                          <a:xfrm>
                            <a:off x="3457447" y="663194"/>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963" name="Graphic 963"/>
                        <wps:cNvSpPr/>
                        <wps:spPr>
                          <a:xfrm>
                            <a:off x="3609847" y="1586738"/>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964" name="Graphic 964"/>
                        <wps:cNvSpPr/>
                        <wps:spPr>
                          <a:xfrm>
                            <a:off x="3609847" y="1586738"/>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965" name="Graphic 965"/>
                        <wps:cNvSpPr/>
                        <wps:spPr>
                          <a:xfrm>
                            <a:off x="1060196" y="1272794"/>
                            <a:ext cx="2593975" cy="512445"/>
                          </a:xfrm>
                          <a:custGeom>
                            <a:avLst/>
                            <a:gdLst/>
                            <a:ahLst/>
                            <a:cxnLst/>
                            <a:rect l="l" t="t" r="r" b="b"/>
                            <a:pathLst>
                              <a:path w="2593975" h="512445">
                                <a:moveTo>
                                  <a:pt x="0" y="489203"/>
                                </a:moveTo>
                                <a:lnTo>
                                  <a:pt x="152400" y="0"/>
                                </a:lnTo>
                                <a:lnTo>
                                  <a:pt x="304800" y="179831"/>
                                </a:lnTo>
                                <a:lnTo>
                                  <a:pt x="457200" y="236220"/>
                                </a:lnTo>
                                <a:lnTo>
                                  <a:pt x="609600" y="451103"/>
                                </a:lnTo>
                                <a:lnTo>
                                  <a:pt x="763524" y="512063"/>
                                </a:lnTo>
                                <a:lnTo>
                                  <a:pt x="915924" y="352044"/>
                                </a:lnTo>
                                <a:lnTo>
                                  <a:pt x="1068324" y="480059"/>
                                </a:lnTo>
                                <a:lnTo>
                                  <a:pt x="1220724" y="248411"/>
                                </a:lnTo>
                                <a:lnTo>
                                  <a:pt x="1373124" y="272796"/>
                                </a:lnTo>
                                <a:lnTo>
                                  <a:pt x="1525524" y="423672"/>
                                </a:lnTo>
                                <a:lnTo>
                                  <a:pt x="1677924" y="470915"/>
                                </a:lnTo>
                                <a:lnTo>
                                  <a:pt x="1830324" y="501396"/>
                                </a:lnTo>
                                <a:lnTo>
                                  <a:pt x="1984248" y="484631"/>
                                </a:lnTo>
                                <a:lnTo>
                                  <a:pt x="2136648" y="141731"/>
                                </a:lnTo>
                                <a:lnTo>
                                  <a:pt x="2289048" y="181355"/>
                                </a:lnTo>
                                <a:lnTo>
                                  <a:pt x="2441448" y="268224"/>
                                </a:lnTo>
                                <a:lnTo>
                                  <a:pt x="2593848" y="486155"/>
                                </a:lnTo>
                              </a:path>
                            </a:pathLst>
                          </a:custGeom>
                          <a:ln w="27432">
                            <a:solidFill>
                              <a:srgbClr val="97B853"/>
                            </a:solidFill>
                            <a:prstDash val="solid"/>
                          </a:ln>
                        </wps:spPr>
                        <wps:bodyPr wrap="square" lIns="0" tIns="0" rIns="0" bIns="0" rtlCol="0">
                          <a:prstTxWarp prst="textNoShape">
                            <a:avLst/>
                          </a:prstTxWarp>
                          <a:noAutofit/>
                        </wps:bodyPr>
                      </wps:wsp>
                      <wps:wsp>
                        <wps:cNvPr id="966" name="Graphic 966"/>
                        <wps:cNvSpPr/>
                        <wps:spPr>
                          <a:xfrm>
                            <a:off x="1016000" y="1716785"/>
                            <a:ext cx="88900" cy="88900"/>
                          </a:xfrm>
                          <a:custGeom>
                            <a:avLst/>
                            <a:gdLst/>
                            <a:ahLst/>
                            <a:cxnLst/>
                            <a:rect l="l" t="t" r="r" b="b"/>
                            <a:pathLst>
                              <a:path w="88900" h="88900">
                                <a:moveTo>
                                  <a:pt x="44450" y="0"/>
                                </a:moveTo>
                                <a:lnTo>
                                  <a:pt x="0" y="88900"/>
                                </a:lnTo>
                                <a:lnTo>
                                  <a:pt x="88900" y="88900"/>
                                </a:lnTo>
                                <a:lnTo>
                                  <a:pt x="44450" y="0"/>
                                </a:lnTo>
                                <a:close/>
                              </a:path>
                            </a:pathLst>
                          </a:custGeom>
                          <a:solidFill>
                            <a:srgbClr val="9BBA58"/>
                          </a:solidFill>
                        </wps:spPr>
                        <wps:bodyPr wrap="square" lIns="0" tIns="0" rIns="0" bIns="0" rtlCol="0">
                          <a:prstTxWarp prst="textNoShape">
                            <a:avLst/>
                          </a:prstTxWarp>
                          <a:noAutofit/>
                        </wps:bodyPr>
                      </wps:wsp>
                      <wps:wsp>
                        <wps:cNvPr id="967" name="Graphic 967"/>
                        <wps:cNvSpPr/>
                        <wps:spPr>
                          <a:xfrm>
                            <a:off x="1016000" y="1716785"/>
                            <a:ext cx="88900" cy="88900"/>
                          </a:xfrm>
                          <a:custGeom>
                            <a:avLst/>
                            <a:gdLst/>
                            <a:ahLst/>
                            <a:cxnLst/>
                            <a:rect l="l" t="t" r="r" b="b"/>
                            <a:pathLst>
                              <a:path w="88900" h="88900">
                                <a:moveTo>
                                  <a:pt x="44450" y="0"/>
                                </a:moveTo>
                                <a:lnTo>
                                  <a:pt x="88900" y="88900"/>
                                </a:lnTo>
                                <a:lnTo>
                                  <a:pt x="0" y="88900"/>
                                </a:lnTo>
                                <a:lnTo>
                                  <a:pt x="44450" y="0"/>
                                </a:lnTo>
                              </a:path>
                            </a:pathLst>
                          </a:custGeom>
                          <a:ln w="9144">
                            <a:solidFill>
                              <a:srgbClr val="97B853"/>
                            </a:solidFill>
                            <a:prstDash val="solid"/>
                          </a:ln>
                        </wps:spPr>
                        <wps:bodyPr wrap="square" lIns="0" tIns="0" rIns="0" bIns="0" rtlCol="0">
                          <a:prstTxWarp prst="textNoShape">
                            <a:avLst/>
                          </a:prstTxWarp>
                          <a:noAutofit/>
                        </wps:bodyPr>
                      </wps:wsp>
                      <pic:pic>
                        <pic:nvPicPr>
                          <pic:cNvPr id="968" name="Image 968"/>
                          <pic:cNvPicPr/>
                        </pic:nvPicPr>
                        <pic:blipFill>
                          <a:blip r:embed="rId199" cstate="print"/>
                          <a:stretch>
                            <a:fillRect/>
                          </a:stretch>
                        </pic:blipFill>
                        <pic:spPr>
                          <a:xfrm>
                            <a:off x="1163955" y="1222502"/>
                            <a:ext cx="98044" cy="98044"/>
                          </a:xfrm>
                          <a:prstGeom prst="rect">
                            <a:avLst/>
                          </a:prstGeom>
                        </pic:spPr>
                      </pic:pic>
                      <pic:pic>
                        <pic:nvPicPr>
                          <pic:cNvPr id="969" name="Image 969"/>
                          <pic:cNvPicPr/>
                        </pic:nvPicPr>
                        <pic:blipFill>
                          <a:blip r:embed="rId199" cstate="print"/>
                          <a:stretch>
                            <a:fillRect/>
                          </a:stretch>
                        </pic:blipFill>
                        <pic:spPr>
                          <a:xfrm>
                            <a:off x="1316482" y="1403350"/>
                            <a:ext cx="98044" cy="98044"/>
                          </a:xfrm>
                          <a:prstGeom prst="rect">
                            <a:avLst/>
                          </a:prstGeom>
                        </pic:spPr>
                      </pic:pic>
                      <pic:pic>
                        <pic:nvPicPr>
                          <pic:cNvPr id="970" name="Image 970"/>
                          <pic:cNvPicPr/>
                        </pic:nvPicPr>
                        <pic:blipFill>
                          <a:blip r:embed="rId199" cstate="print"/>
                          <a:stretch>
                            <a:fillRect/>
                          </a:stretch>
                        </pic:blipFill>
                        <pic:spPr>
                          <a:xfrm>
                            <a:off x="1469136" y="1458975"/>
                            <a:ext cx="98044" cy="98044"/>
                          </a:xfrm>
                          <a:prstGeom prst="rect">
                            <a:avLst/>
                          </a:prstGeom>
                        </pic:spPr>
                      </pic:pic>
                      <pic:pic>
                        <pic:nvPicPr>
                          <pic:cNvPr id="971" name="Image 971"/>
                          <pic:cNvPicPr/>
                        </pic:nvPicPr>
                        <pic:blipFill>
                          <a:blip r:embed="rId199" cstate="print"/>
                          <a:stretch>
                            <a:fillRect/>
                          </a:stretch>
                        </pic:blipFill>
                        <pic:spPr>
                          <a:xfrm>
                            <a:off x="1621663" y="1673860"/>
                            <a:ext cx="98044" cy="98044"/>
                          </a:xfrm>
                          <a:prstGeom prst="rect">
                            <a:avLst/>
                          </a:prstGeom>
                        </pic:spPr>
                      </pic:pic>
                      <pic:pic>
                        <pic:nvPicPr>
                          <pic:cNvPr id="972" name="Image 972"/>
                          <pic:cNvPicPr/>
                        </pic:nvPicPr>
                        <pic:blipFill>
                          <a:blip r:embed="rId199" cstate="print"/>
                          <a:stretch>
                            <a:fillRect/>
                          </a:stretch>
                        </pic:blipFill>
                        <pic:spPr>
                          <a:xfrm>
                            <a:off x="1774189" y="1735582"/>
                            <a:ext cx="98044" cy="98044"/>
                          </a:xfrm>
                          <a:prstGeom prst="rect">
                            <a:avLst/>
                          </a:prstGeom>
                        </pic:spPr>
                      </pic:pic>
                      <pic:pic>
                        <pic:nvPicPr>
                          <pic:cNvPr id="973" name="Image 973"/>
                          <pic:cNvPicPr/>
                        </pic:nvPicPr>
                        <pic:blipFill>
                          <a:blip r:embed="rId199" cstate="print"/>
                          <a:stretch>
                            <a:fillRect/>
                          </a:stretch>
                        </pic:blipFill>
                        <pic:spPr>
                          <a:xfrm>
                            <a:off x="1926717" y="1574800"/>
                            <a:ext cx="98044" cy="98044"/>
                          </a:xfrm>
                          <a:prstGeom prst="rect">
                            <a:avLst/>
                          </a:prstGeom>
                        </pic:spPr>
                      </pic:pic>
                      <pic:pic>
                        <pic:nvPicPr>
                          <pic:cNvPr id="974" name="Image 974"/>
                          <pic:cNvPicPr/>
                        </pic:nvPicPr>
                        <pic:blipFill>
                          <a:blip r:embed="rId199" cstate="print"/>
                          <a:stretch>
                            <a:fillRect/>
                          </a:stretch>
                        </pic:blipFill>
                        <pic:spPr>
                          <a:xfrm>
                            <a:off x="2079244" y="1703577"/>
                            <a:ext cx="98044" cy="98044"/>
                          </a:xfrm>
                          <a:prstGeom prst="rect">
                            <a:avLst/>
                          </a:prstGeom>
                        </pic:spPr>
                      </pic:pic>
                      <pic:pic>
                        <pic:nvPicPr>
                          <pic:cNvPr id="975" name="Image 975"/>
                          <pic:cNvPicPr/>
                        </pic:nvPicPr>
                        <pic:blipFill>
                          <a:blip r:embed="rId199" cstate="print"/>
                          <a:stretch>
                            <a:fillRect/>
                          </a:stretch>
                        </pic:blipFill>
                        <pic:spPr>
                          <a:xfrm>
                            <a:off x="2231770" y="1470786"/>
                            <a:ext cx="98043" cy="98044"/>
                          </a:xfrm>
                          <a:prstGeom prst="rect">
                            <a:avLst/>
                          </a:prstGeom>
                        </pic:spPr>
                      </pic:pic>
                      <pic:pic>
                        <pic:nvPicPr>
                          <pic:cNvPr id="976" name="Image 976"/>
                          <pic:cNvPicPr/>
                        </pic:nvPicPr>
                        <pic:blipFill>
                          <a:blip r:embed="rId200" cstate="print"/>
                          <a:stretch>
                            <a:fillRect/>
                          </a:stretch>
                        </pic:blipFill>
                        <pic:spPr>
                          <a:xfrm>
                            <a:off x="2384425" y="1495171"/>
                            <a:ext cx="98044" cy="98171"/>
                          </a:xfrm>
                          <a:prstGeom prst="rect">
                            <a:avLst/>
                          </a:prstGeom>
                        </pic:spPr>
                      </pic:pic>
                      <pic:pic>
                        <pic:nvPicPr>
                          <pic:cNvPr id="977" name="Image 977"/>
                          <pic:cNvPicPr/>
                        </pic:nvPicPr>
                        <pic:blipFill>
                          <a:blip r:embed="rId201" cstate="print"/>
                          <a:stretch>
                            <a:fillRect/>
                          </a:stretch>
                        </pic:blipFill>
                        <pic:spPr>
                          <a:xfrm>
                            <a:off x="2536951" y="1647698"/>
                            <a:ext cx="98044" cy="98044"/>
                          </a:xfrm>
                          <a:prstGeom prst="rect">
                            <a:avLst/>
                          </a:prstGeom>
                        </pic:spPr>
                      </pic:pic>
                      <pic:pic>
                        <pic:nvPicPr>
                          <pic:cNvPr id="978" name="Image 978"/>
                          <pic:cNvPicPr/>
                        </pic:nvPicPr>
                        <pic:blipFill>
                          <a:blip r:embed="rId202" cstate="print"/>
                          <a:stretch>
                            <a:fillRect/>
                          </a:stretch>
                        </pic:blipFill>
                        <pic:spPr>
                          <a:xfrm>
                            <a:off x="2689479" y="1693798"/>
                            <a:ext cx="98044" cy="98171"/>
                          </a:xfrm>
                          <a:prstGeom prst="rect">
                            <a:avLst/>
                          </a:prstGeom>
                        </pic:spPr>
                      </pic:pic>
                      <pic:pic>
                        <pic:nvPicPr>
                          <pic:cNvPr id="979" name="Image 979"/>
                          <pic:cNvPicPr/>
                        </pic:nvPicPr>
                        <pic:blipFill>
                          <a:blip r:embed="rId201" cstate="print"/>
                          <a:stretch>
                            <a:fillRect/>
                          </a:stretch>
                        </pic:blipFill>
                        <pic:spPr>
                          <a:xfrm>
                            <a:off x="2842005" y="1724532"/>
                            <a:ext cx="98044" cy="98044"/>
                          </a:xfrm>
                          <a:prstGeom prst="rect">
                            <a:avLst/>
                          </a:prstGeom>
                        </pic:spPr>
                      </pic:pic>
                      <pic:pic>
                        <pic:nvPicPr>
                          <pic:cNvPr id="980" name="Image 980"/>
                          <pic:cNvPicPr/>
                        </pic:nvPicPr>
                        <pic:blipFill>
                          <a:blip r:embed="rId199" cstate="print"/>
                          <a:stretch>
                            <a:fillRect/>
                          </a:stretch>
                        </pic:blipFill>
                        <pic:spPr>
                          <a:xfrm>
                            <a:off x="2994532" y="1708150"/>
                            <a:ext cx="98044" cy="98044"/>
                          </a:xfrm>
                          <a:prstGeom prst="rect">
                            <a:avLst/>
                          </a:prstGeom>
                        </pic:spPr>
                      </pic:pic>
                      <pic:pic>
                        <pic:nvPicPr>
                          <pic:cNvPr id="981" name="Image 981"/>
                          <pic:cNvPicPr/>
                        </pic:nvPicPr>
                        <pic:blipFill>
                          <a:blip r:embed="rId202" cstate="print"/>
                          <a:stretch>
                            <a:fillRect/>
                          </a:stretch>
                        </pic:blipFill>
                        <pic:spPr>
                          <a:xfrm>
                            <a:off x="3147060" y="1363980"/>
                            <a:ext cx="98044" cy="98171"/>
                          </a:xfrm>
                          <a:prstGeom prst="rect">
                            <a:avLst/>
                          </a:prstGeom>
                        </pic:spPr>
                      </pic:pic>
                      <pic:pic>
                        <pic:nvPicPr>
                          <pic:cNvPr id="982" name="Image 982"/>
                          <pic:cNvPicPr/>
                        </pic:nvPicPr>
                        <pic:blipFill>
                          <a:blip r:embed="rId203" cstate="print"/>
                          <a:stretch>
                            <a:fillRect/>
                          </a:stretch>
                        </pic:blipFill>
                        <pic:spPr>
                          <a:xfrm>
                            <a:off x="3299714" y="1404619"/>
                            <a:ext cx="98044" cy="98044"/>
                          </a:xfrm>
                          <a:prstGeom prst="rect">
                            <a:avLst/>
                          </a:prstGeom>
                        </pic:spPr>
                      </pic:pic>
                      <pic:pic>
                        <pic:nvPicPr>
                          <pic:cNvPr id="983" name="Image 983"/>
                          <pic:cNvPicPr/>
                        </pic:nvPicPr>
                        <pic:blipFill>
                          <a:blip r:embed="rId204" cstate="print"/>
                          <a:stretch>
                            <a:fillRect/>
                          </a:stretch>
                        </pic:blipFill>
                        <pic:spPr>
                          <a:xfrm>
                            <a:off x="3452240" y="1490472"/>
                            <a:ext cx="98044" cy="98171"/>
                          </a:xfrm>
                          <a:prstGeom prst="rect">
                            <a:avLst/>
                          </a:prstGeom>
                        </pic:spPr>
                      </pic:pic>
                      <pic:pic>
                        <pic:nvPicPr>
                          <pic:cNvPr id="984" name="Image 984"/>
                          <pic:cNvPicPr/>
                        </pic:nvPicPr>
                        <pic:blipFill>
                          <a:blip r:embed="rId203" cstate="print"/>
                          <a:stretch>
                            <a:fillRect/>
                          </a:stretch>
                        </pic:blipFill>
                        <pic:spPr>
                          <a:xfrm>
                            <a:off x="3604767" y="1709420"/>
                            <a:ext cx="98044" cy="98044"/>
                          </a:xfrm>
                          <a:prstGeom prst="rect">
                            <a:avLst/>
                          </a:prstGeom>
                        </pic:spPr>
                      </pic:pic>
                      <wps:wsp>
                        <wps:cNvPr id="985" name="Graphic 985"/>
                        <wps:cNvSpPr/>
                        <wps:spPr>
                          <a:xfrm>
                            <a:off x="1060196" y="317245"/>
                            <a:ext cx="2593975" cy="1480185"/>
                          </a:xfrm>
                          <a:custGeom>
                            <a:avLst/>
                            <a:gdLst/>
                            <a:ahLst/>
                            <a:cxnLst/>
                            <a:rect l="l" t="t" r="r" b="b"/>
                            <a:pathLst>
                              <a:path w="2593975" h="1480185">
                                <a:moveTo>
                                  <a:pt x="0" y="1479803"/>
                                </a:moveTo>
                                <a:lnTo>
                                  <a:pt x="0" y="1344168"/>
                                </a:lnTo>
                              </a:path>
                              <a:path w="2593975" h="1480185">
                                <a:moveTo>
                                  <a:pt x="153924" y="1479803"/>
                                </a:moveTo>
                                <a:lnTo>
                                  <a:pt x="153924" y="955548"/>
                                </a:lnTo>
                              </a:path>
                              <a:path w="2593975" h="1480185">
                                <a:moveTo>
                                  <a:pt x="306324" y="1479803"/>
                                </a:moveTo>
                                <a:lnTo>
                                  <a:pt x="306324" y="0"/>
                                </a:lnTo>
                              </a:path>
                              <a:path w="2593975" h="1480185">
                                <a:moveTo>
                                  <a:pt x="458724" y="1479803"/>
                                </a:moveTo>
                                <a:lnTo>
                                  <a:pt x="458724" y="1063752"/>
                                </a:lnTo>
                              </a:path>
                              <a:path w="2593975" h="1480185">
                                <a:moveTo>
                                  <a:pt x="611124" y="1479803"/>
                                </a:moveTo>
                                <a:lnTo>
                                  <a:pt x="611124" y="807720"/>
                                </a:lnTo>
                              </a:path>
                              <a:path w="2593975" h="1480185">
                                <a:moveTo>
                                  <a:pt x="763524" y="1479803"/>
                                </a:moveTo>
                                <a:lnTo>
                                  <a:pt x="763524" y="1190244"/>
                                </a:lnTo>
                              </a:path>
                              <a:path w="2593975" h="1480185">
                                <a:moveTo>
                                  <a:pt x="915924" y="1479803"/>
                                </a:moveTo>
                                <a:lnTo>
                                  <a:pt x="915924" y="972311"/>
                                </a:lnTo>
                              </a:path>
                              <a:path w="2593975" h="1480185">
                                <a:moveTo>
                                  <a:pt x="1068324" y="1479803"/>
                                </a:moveTo>
                                <a:lnTo>
                                  <a:pt x="1068324" y="1130807"/>
                                </a:lnTo>
                              </a:path>
                              <a:path w="2593975" h="1480185">
                                <a:moveTo>
                                  <a:pt x="1220724" y="1479803"/>
                                </a:moveTo>
                                <a:lnTo>
                                  <a:pt x="1220724" y="967739"/>
                                </a:lnTo>
                              </a:path>
                              <a:path w="2593975" h="1480185">
                                <a:moveTo>
                                  <a:pt x="1373124" y="1479803"/>
                                </a:moveTo>
                                <a:lnTo>
                                  <a:pt x="1373124" y="109727"/>
                                </a:lnTo>
                              </a:path>
                              <a:path w="2593975" h="1480185">
                                <a:moveTo>
                                  <a:pt x="1525524" y="1479803"/>
                                </a:moveTo>
                                <a:lnTo>
                                  <a:pt x="1525524" y="489203"/>
                                </a:lnTo>
                              </a:path>
                              <a:path w="2593975" h="1480185">
                                <a:moveTo>
                                  <a:pt x="1677924" y="1479803"/>
                                </a:moveTo>
                                <a:lnTo>
                                  <a:pt x="1677924" y="678179"/>
                                </a:lnTo>
                              </a:path>
                              <a:path w="2593975" h="1480185">
                                <a:moveTo>
                                  <a:pt x="1831848" y="1479803"/>
                                </a:moveTo>
                                <a:lnTo>
                                  <a:pt x="1831848" y="670559"/>
                                </a:lnTo>
                              </a:path>
                              <a:path w="2593975" h="1480185">
                                <a:moveTo>
                                  <a:pt x="1984248" y="1479803"/>
                                </a:moveTo>
                                <a:lnTo>
                                  <a:pt x="1984248" y="882396"/>
                                </a:lnTo>
                              </a:path>
                              <a:path w="2593975" h="1480185">
                                <a:moveTo>
                                  <a:pt x="2136648" y="1479803"/>
                                </a:moveTo>
                                <a:lnTo>
                                  <a:pt x="2136648" y="1014983"/>
                                </a:lnTo>
                              </a:path>
                              <a:path w="2593975" h="1480185">
                                <a:moveTo>
                                  <a:pt x="2289048" y="1479803"/>
                                </a:moveTo>
                                <a:lnTo>
                                  <a:pt x="2289048" y="507492"/>
                                </a:lnTo>
                              </a:path>
                              <a:path w="2593975" h="1480185">
                                <a:moveTo>
                                  <a:pt x="2441448" y="1479803"/>
                                </a:moveTo>
                                <a:lnTo>
                                  <a:pt x="2441448" y="384048"/>
                                </a:lnTo>
                              </a:path>
                              <a:path w="2593975" h="1480185">
                                <a:moveTo>
                                  <a:pt x="2593848" y="1479803"/>
                                </a:moveTo>
                                <a:lnTo>
                                  <a:pt x="2593848" y="1313687"/>
                                </a:lnTo>
                              </a:path>
                            </a:pathLst>
                          </a:custGeom>
                          <a:ln w="9144">
                            <a:solidFill>
                              <a:srgbClr val="000000"/>
                            </a:solidFill>
                            <a:prstDash val="solid"/>
                          </a:ln>
                        </wps:spPr>
                        <wps:bodyPr wrap="square" lIns="0" tIns="0" rIns="0" bIns="0" rtlCol="0">
                          <a:prstTxWarp prst="textNoShape">
                            <a:avLst/>
                          </a:prstTxWarp>
                          <a:noAutofit/>
                        </wps:bodyPr>
                      </wps:wsp>
                      <wps:wsp>
                        <wps:cNvPr id="986" name="Graphic 986"/>
                        <wps:cNvSpPr/>
                        <wps:spPr>
                          <a:xfrm>
                            <a:off x="241300" y="812926"/>
                            <a:ext cx="36830" cy="83820"/>
                          </a:xfrm>
                          <a:custGeom>
                            <a:avLst/>
                            <a:gdLst/>
                            <a:ahLst/>
                            <a:cxnLst/>
                            <a:rect l="l" t="t" r="r" b="b"/>
                            <a:pathLst>
                              <a:path w="36830" h="83820">
                                <a:moveTo>
                                  <a:pt x="12192" y="0"/>
                                </a:moveTo>
                                <a:lnTo>
                                  <a:pt x="0" y="0"/>
                                </a:lnTo>
                                <a:lnTo>
                                  <a:pt x="0" y="83820"/>
                                </a:lnTo>
                                <a:lnTo>
                                  <a:pt x="12192" y="83820"/>
                                </a:lnTo>
                                <a:lnTo>
                                  <a:pt x="12192" y="0"/>
                                </a:lnTo>
                                <a:close/>
                              </a:path>
                              <a:path w="36830" h="83820">
                                <a:moveTo>
                                  <a:pt x="36576" y="0"/>
                                </a:moveTo>
                                <a:lnTo>
                                  <a:pt x="24384" y="0"/>
                                </a:lnTo>
                                <a:lnTo>
                                  <a:pt x="24384" y="83820"/>
                                </a:lnTo>
                                <a:lnTo>
                                  <a:pt x="36576" y="83820"/>
                                </a:lnTo>
                                <a:lnTo>
                                  <a:pt x="36576" y="0"/>
                                </a:lnTo>
                                <a:close/>
                              </a:path>
                            </a:pathLst>
                          </a:custGeom>
                          <a:solidFill>
                            <a:srgbClr val="000000"/>
                          </a:solidFill>
                        </wps:spPr>
                        <wps:bodyPr wrap="square" lIns="0" tIns="0" rIns="0" bIns="0" rtlCol="0">
                          <a:prstTxWarp prst="textNoShape">
                            <a:avLst/>
                          </a:prstTxWarp>
                          <a:noAutofit/>
                        </wps:bodyPr>
                      </wps:wsp>
                      <pic:pic>
                        <pic:nvPicPr>
                          <pic:cNvPr id="987" name="Image 987"/>
                          <pic:cNvPicPr/>
                        </pic:nvPicPr>
                        <pic:blipFill>
                          <a:blip r:embed="rId126" cstate="print"/>
                          <a:stretch>
                            <a:fillRect/>
                          </a:stretch>
                        </pic:blipFill>
                        <pic:spPr>
                          <a:xfrm>
                            <a:off x="3928364" y="969517"/>
                            <a:ext cx="243839" cy="85344"/>
                          </a:xfrm>
                          <a:prstGeom prst="rect">
                            <a:avLst/>
                          </a:prstGeom>
                        </pic:spPr>
                      </pic:pic>
                      <wps:wsp>
                        <wps:cNvPr id="988" name="Graphic 988"/>
                        <wps:cNvSpPr/>
                        <wps:spPr>
                          <a:xfrm>
                            <a:off x="3928364" y="1242313"/>
                            <a:ext cx="243840" cy="1270"/>
                          </a:xfrm>
                          <a:custGeom>
                            <a:avLst/>
                            <a:gdLst/>
                            <a:ahLst/>
                            <a:cxnLst/>
                            <a:rect l="l" t="t" r="r" b="b"/>
                            <a:pathLst>
                              <a:path w="243840" h="0">
                                <a:moveTo>
                                  <a:pt x="0" y="0"/>
                                </a:moveTo>
                                <a:lnTo>
                                  <a:pt x="243839" y="0"/>
                                </a:lnTo>
                              </a:path>
                            </a:pathLst>
                          </a:custGeom>
                          <a:ln w="24384">
                            <a:solidFill>
                              <a:srgbClr val="BD4A47"/>
                            </a:solidFill>
                            <a:prstDash val="solid"/>
                          </a:ln>
                        </wps:spPr>
                        <wps:bodyPr wrap="square" lIns="0" tIns="0" rIns="0" bIns="0" rtlCol="0">
                          <a:prstTxWarp prst="textNoShape">
                            <a:avLst/>
                          </a:prstTxWarp>
                          <a:noAutofit/>
                        </wps:bodyPr>
                      </wps:wsp>
                      <wps:wsp>
                        <wps:cNvPr id="989" name="Graphic 989"/>
                        <wps:cNvSpPr/>
                        <wps:spPr>
                          <a:xfrm>
                            <a:off x="4012184" y="1204213"/>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C0504D"/>
                          </a:solidFill>
                        </wps:spPr>
                        <wps:bodyPr wrap="square" lIns="0" tIns="0" rIns="0" bIns="0" rtlCol="0">
                          <a:prstTxWarp prst="textNoShape">
                            <a:avLst/>
                          </a:prstTxWarp>
                          <a:noAutofit/>
                        </wps:bodyPr>
                      </wps:wsp>
                      <wps:wsp>
                        <wps:cNvPr id="990" name="Graphic 990"/>
                        <wps:cNvSpPr/>
                        <wps:spPr>
                          <a:xfrm>
                            <a:off x="4012184" y="1204213"/>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BD4A47"/>
                            </a:solidFill>
                            <a:prstDash val="solid"/>
                          </a:ln>
                        </wps:spPr>
                        <wps:bodyPr wrap="square" lIns="0" tIns="0" rIns="0" bIns="0" rtlCol="0">
                          <a:prstTxWarp prst="textNoShape">
                            <a:avLst/>
                          </a:prstTxWarp>
                          <a:noAutofit/>
                        </wps:bodyPr>
                      </wps:wsp>
                      <pic:pic>
                        <pic:nvPicPr>
                          <pic:cNvPr id="991" name="Image 991"/>
                          <pic:cNvPicPr/>
                        </pic:nvPicPr>
                        <pic:blipFill>
                          <a:blip r:embed="rId205" cstate="print"/>
                          <a:stretch>
                            <a:fillRect/>
                          </a:stretch>
                        </pic:blipFill>
                        <pic:spPr>
                          <a:xfrm>
                            <a:off x="3928364" y="1429766"/>
                            <a:ext cx="243839" cy="85344"/>
                          </a:xfrm>
                          <a:prstGeom prst="rect">
                            <a:avLst/>
                          </a:prstGeom>
                        </pic:spPr>
                      </pic:pic>
                      <wps:wsp>
                        <wps:cNvPr id="992" name="Graphic 992"/>
                        <wps:cNvSpPr/>
                        <wps:spPr>
                          <a:xfrm>
                            <a:off x="6350" y="6350"/>
                            <a:ext cx="5373370" cy="2472055"/>
                          </a:xfrm>
                          <a:custGeom>
                            <a:avLst/>
                            <a:gdLst/>
                            <a:ahLst/>
                            <a:cxnLst/>
                            <a:rect l="l" t="t" r="r" b="b"/>
                            <a:pathLst>
                              <a:path w="5373370" h="2472055">
                                <a:moveTo>
                                  <a:pt x="0" y="2471928"/>
                                </a:moveTo>
                                <a:lnTo>
                                  <a:pt x="5372989" y="2471928"/>
                                </a:lnTo>
                                <a:lnTo>
                                  <a:pt x="5372989" y="0"/>
                                </a:lnTo>
                                <a:lnTo>
                                  <a:pt x="0" y="0"/>
                                </a:lnTo>
                                <a:lnTo>
                                  <a:pt x="0" y="2471928"/>
                                </a:lnTo>
                                <a:close/>
                              </a:path>
                            </a:pathLst>
                          </a:custGeom>
                          <a:ln w="12700">
                            <a:solidFill>
                              <a:srgbClr val="858585"/>
                            </a:solidFill>
                            <a:prstDash val="solid"/>
                          </a:ln>
                        </wps:spPr>
                        <wps:bodyPr wrap="square" lIns="0" tIns="0" rIns="0" bIns="0" rtlCol="0">
                          <a:prstTxWarp prst="textNoShape">
                            <a:avLst/>
                          </a:prstTxWarp>
                          <a:noAutofit/>
                        </wps:bodyPr>
                      </wps:wsp>
                      <wps:wsp>
                        <wps:cNvPr id="993" name="Textbox 993"/>
                        <wps:cNvSpPr txBox="1"/>
                        <wps:spPr>
                          <a:xfrm>
                            <a:off x="415798" y="88518"/>
                            <a:ext cx="462280" cy="1776095"/>
                          </a:xfrm>
                          <a:prstGeom prst="rect">
                            <a:avLst/>
                          </a:prstGeom>
                        </wps:spPr>
                        <wps:txbx>
                          <w:txbxContent>
                            <w:p>
                              <w:pPr>
                                <w:spacing w:line="203" w:lineRule="exact" w:before="0"/>
                                <w:ind w:left="0" w:right="20" w:firstLine="0"/>
                                <w:jc w:val="right"/>
                                <w:rPr>
                                  <w:rFonts w:ascii="Calibri"/>
                                  <w:sz w:val="20"/>
                                </w:rPr>
                              </w:pPr>
                              <w:r>
                                <w:rPr>
                                  <w:rFonts w:ascii="Calibri"/>
                                  <w:spacing w:val="-2"/>
                                  <w:sz w:val="20"/>
                                </w:rPr>
                                <w:t>5000000</w:t>
                              </w:r>
                            </w:p>
                            <w:p>
                              <w:pPr>
                                <w:spacing w:before="15"/>
                                <w:ind w:left="0" w:right="20" w:firstLine="0"/>
                                <w:jc w:val="right"/>
                                <w:rPr>
                                  <w:rFonts w:ascii="Calibri"/>
                                  <w:sz w:val="20"/>
                                </w:rPr>
                              </w:pPr>
                              <w:r>
                                <w:rPr>
                                  <w:rFonts w:ascii="Calibri"/>
                                  <w:spacing w:val="-2"/>
                                  <w:sz w:val="20"/>
                                </w:rPr>
                                <w:t>4500000</w:t>
                              </w:r>
                            </w:p>
                            <w:p>
                              <w:pPr>
                                <w:spacing w:before="16"/>
                                <w:ind w:left="0" w:right="20" w:firstLine="0"/>
                                <w:jc w:val="right"/>
                                <w:rPr>
                                  <w:rFonts w:ascii="Calibri"/>
                                  <w:sz w:val="20"/>
                                </w:rPr>
                              </w:pPr>
                              <w:r>
                                <w:rPr>
                                  <w:rFonts w:ascii="Calibri"/>
                                  <w:spacing w:val="-2"/>
                                  <w:sz w:val="20"/>
                                </w:rPr>
                                <w:t>4000000</w:t>
                              </w:r>
                            </w:p>
                            <w:p>
                              <w:pPr>
                                <w:spacing w:before="15"/>
                                <w:ind w:left="0" w:right="20" w:firstLine="0"/>
                                <w:jc w:val="right"/>
                                <w:rPr>
                                  <w:rFonts w:ascii="Calibri"/>
                                  <w:sz w:val="20"/>
                                </w:rPr>
                              </w:pPr>
                              <w:r>
                                <w:rPr>
                                  <w:rFonts w:ascii="Calibri"/>
                                  <w:spacing w:val="-2"/>
                                  <w:sz w:val="20"/>
                                </w:rPr>
                                <w:t>3500000</w:t>
                              </w:r>
                            </w:p>
                            <w:p>
                              <w:pPr>
                                <w:spacing w:before="16"/>
                                <w:ind w:left="0" w:right="20" w:firstLine="0"/>
                                <w:jc w:val="right"/>
                                <w:rPr>
                                  <w:rFonts w:ascii="Calibri"/>
                                  <w:sz w:val="20"/>
                                </w:rPr>
                              </w:pPr>
                              <w:r>
                                <w:rPr>
                                  <w:rFonts w:ascii="Calibri"/>
                                  <w:spacing w:val="-2"/>
                                  <w:sz w:val="20"/>
                                </w:rPr>
                                <w:t>3000000</w:t>
                              </w:r>
                            </w:p>
                            <w:p>
                              <w:pPr>
                                <w:spacing w:before="15"/>
                                <w:ind w:left="0" w:right="20" w:firstLine="0"/>
                                <w:jc w:val="right"/>
                                <w:rPr>
                                  <w:rFonts w:ascii="Calibri"/>
                                  <w:sz w:val="20"/>
                                </w:rPr>
                              </w:pPr>
                              <w:r>
                                <w:rPr>
                                  <w:rFonts w:ascii="Calibri"/>
                                  <w:spacing w:val="-2"/>
                                  <w:sz w:val="20"/>
                                </w:rPr>
                                <w:t>2500000</w:t>
                              </w:r>
                            </w:p>
                            <w:p>
                              <w:pPr>
                                <w:spacing w:before="16"/>
                                <w:ind w:left="0" w:right="20" w:firstLine="0"/>
                                <w:jc w:val="right"/>
                                <w:rPr>
                                  <w:rFonts w:ascii="Calibri"/>
                                  <w:sz w:val="20"/>
                                </w:rPr>
                              </w:pPr>
                              <w:r>
                                <w:rPr>
                                  <w:rFonts w:ascii="Calibri"/>
                                  <w:spacing w:val="-2"/>
                                  <w:sz w:val="20"/>
                                </w:rPr>
                                <w:t>2000000</w:t>
                              </w:r>
                            </w:p>
                            <w:p>
                              <w:pPr>
                                <w:spacing w:before="16"/>
                                <w:ind w:left="0" w:right="20" w:firstLine="0"/>
                                <w:jc w:val="right"/>
                                <w:rPr>
                                  <w:rFonts w:ascii="Calibri"/>
                                  <w:sz w:val="20"/>
                                </w:rPr>
                              </w:pPr>
                              <w:r>
                                <w:rPr>
                                  <w:rFonts w:ascii="Calibri"/>
                                  <w:spacing w:val="-2"/>
                                  <w:sz w:val="20"/>
                                </w:rPr>
                                <w:t>1500000</w:t>
                              </w:r>
                            </w:p>
                            <w:p>
                              <w:pPr>
                                <w:spacing w:before="16"/>
                                <w:ind w:left="0" w:right="20" w:firstLine="0"/>
                                <w:jc w:val="right"/>
                                <w:rPr>
                                  <w:rFonts w:ascii="Calibri"/>
                                  <w:sz w:val="20"/>
                                </w:rPr>
                              </w:pPr>
                              <w:r>
                                <w:rPr>
                                  <w:rFonts w:ascii="Calibri"/>
                                  <w:spacing w:val="-2"/>
                                  <w:sz w:val="20"/>
                                </w:rPr>
                                <w:t>1000000</w:t>
                              </w:r>
                            </w:p>
                            <w:p>
                              <w:pPr>
                                <w:spacing w:before="15"/>
                                <w:ind w:left="0" w:right="19" w:firstLine="0"/>
                                <w:jc w:val="right"/>
                                <w:rPr>
                                  <w:rFonts w:ascii="Calibri"/>
                                  <w:sz w:val="20"/>
                                </w:rPr>
                              </w:pPr>
                              <w:r>
                                <w:rPr>
                                  <w:rFonts w:ascii="Calibri"/>
                                  <w:spacing w:val="-2"/>
                                  <w:sz w:val="20"/>
                                </w:rPr>
                                <w:t>500000</w:t>
                              </w:r>
                            </w:p>
                            <w:p>
                              <w:pPr>
                                <w:spacing w:line="240" w:lineRule="exact" w:before="16"/>
                                <w:ind w:left="0" w:right="18" w:firstLine="0"/>
                                <w:jc w:val="right"/>
                                <w:rPr>
                                  <w:rFonts w:ascii="Calibri"/>
                                  <w:sz w:val="20"/>
                                </w:rPr>
                              </w:pPr>
                              <w:r>
                                <w:rPr>
                                  <w:rFonts w:ascii="Calibri"/>
                                  <w:spacing w:val="-10"/>
                                  <w:sz w:val="20"/>
                                </w:rPr>
                                <w:t>0</w:t>
                              </w:r>
                            </w:p>
                          </w:txbxContent>
                        </wps:txbx>
                        <wps:bodyPr wrap="square" lIns="0" tIns="0" rIns="0" bIns="0" rtlCol="0">
                          <a:noAutofit/>
                        </wps:bodyPr>
                      </wps:wsp>
                      <wps:wsp>
                        <wps:cNvPr id="994" name="Textbox 994"/>
                        <wps:cNvSpPr txBox="1"/>
                        <wps:spPr>
                          <a:xfrm>
                            <a:off x="4198746" y="953897"/>
                            <a:ext cx="1061085" cy="586105"/>
                          </a:xfrm>
                          <a:prstGeom prst="rect">
                            <a:avLst/>
                          </a:prstGeom>
                        </wps:spPr>
                        <wps:txbx>
                          <w:txbxContent>
                            <w:p>
                              <w:pPr>
                                <w:spacing w:line="203" w:lineRule="exact" w:before="0"/>
                                <w:ind w:left="0" w:right="0" w:firstLine="0"/>
                                <w:jc w:val="left"/>
                                <w:rPr>
                                  <w:rFonts w:ascii="Calibri"/>
                                  <w:sz w:val="20"/>
                                </w:rPr>
                              </w:pPr>
                              <w:r>
                                <w:rPr>
                                  <w:rFonts w:ascii="Calibri"/>
                                  <w:sz w:val="20"/>
                                </w:rPr>
                                <w:t>Budget</w:t>
                              </w:r>
                              <w:r>
                                <w:rPr>
                                  <w:rFonts w:ascii="Calibri"/>
                                  <w:spacing w:val="-10"/>
                                  <w:sz w:val="20"/>
                                </w:rPr>
                                <w:t> </w:t>
                              </w:r>
                              <w:r>
                                <w:rPr>
                                  <w:rFonts w:ascii="Calibri"/>
                                  <w:spacing w:val="-2"/>
                                  <w:sz w:val="20"/>
                                </w:rPr>
                                <w:t>Estimate</w:t>
                              </w:r>
                            </w:p>
                            <w:p>
                              <w:pPr>
                                <w:spacing w:line="360" w:lineRule="atLeast" w:before="0"/>
                                <w:ind w:left="0" w:right="0" w:firstLine="0"/>
                                <w:jc w:val="left"/>
                                <w:rPr>
                                  <w:rFonts w:ascii="Calibri"/>
                                  <w:sz w:val="20"/>
                                </w:rPr>
                              </w:pPr>
                              <w:r>
                                <w:rPr>
                                  <w:rFonts w:ascii="Calibri"/>
                                  <w:spacing w:val="-2"/>
                                  <w:sz w:val="20"/>
                                </w:rPr>
                                <w:t>Approved</w:t>
                              </w:r>
                              <w:r>
                                <w:rPr>
                                  <w:rFonts w:ascii="Calibri"/>
                                  <w:spacing w:val="-10"/>
                                  <w:sz w:val="20"/>
                                </w:rPr>
                                <w:t> </w:t>
                              </w:r>
                              <w:r>
                                <w:rPr>
                                  <w:rFonts w:ascii="Calibri"/>
                                  <w:spacing w:val="-2"/>
                                  <w:sz w:val="20"/>
                                </w:rPr>
                                <w:t>Allocation </w:t>
                              </w:r>
                              <w:r>
                                <w:rPr>
                                  <w:rFonts w:ascii="Calibri"/>
                                  <w:sz w:val="20"/>
                                </w:rPr>
                                <w:t>Actual Expenditure</w:t>
                              </w:r>
                            </w:p>
                          </w:txbxContent>
                        </wps:txbx>
                        <wps:bodyPr wrap="square" lIns="0" tIns="0" rIns="0" bIns="0" rtlCol="0">
                          <a:noAutofit/>
                        </wps:bodyPr>
                      </wps:wsp>
                      <wps:wsp>
                        <wps:cNvPr id="995" name="Textbox 995"/>
                        <wps:cNvSpPr txBox="1"/>
                        <wps:spPr>
                          <a:xfrm>
                            <a:off x="932433" y="1940179"/>
                            <a:ext cx="2710180" cy="377190"/>
                          </a:xfrm>
                          <a:prstGeom prst="rect">
                            <a:avLst/>
                          </a:prstGeom>
                        </wps:spPr>
                        <wps:txbx>
                          <w:txbxContent>
                            <w:p>
                              <w:pPr>
                                <w:spacing w:line="203" w:lineRule="exact" w:before="0"/>
                                <w:ind w:left="0" w:right="0" w:firstLine="0"/>
                                <w:jc w:val="left"/>
                                <w:rPr>
                                  <w:rFonts w:ascii="Calibri"/>
                                  <w:sz w:val="20"/>
                                </w:rPr>
                              </w:pPr>
                              <w:r>
                                <w:rPr>
                                  <w:rFonts w:ascii="Calibri"/>
                                  <w:sz w:val="20"/>
                                </w:rPr>
                                <w:t>1999</w:t>
                              </w:r>
                              <w:r>
                                <w:rPr>
                                  <w:rFonts w:ascii="Calibri"/>
                                  <w:spacing w:val="23"/>
                                  <w:sz w:val="20"/>
                                </w:rPr>
                                <w:t> </w:t>
                              </w:r>
                              <w:r>
                                <w:rPr>
                                  <w:rFonts w:ascii="Calibri"/>
                                  <w:sz w:val="20"/>
                                </w:rPr>
                                <w:t>2001</w:t>
                              </w:r>
                              <w:r>
                                <w:rPr>
                                  <w:rFonts w:ascii="Calibri"/>
                                  <w:spacing w:val="24"/>
                                  <w:sz w:val="20"/>
                                </w:rPr>
                                <w:t> </w:t>
                              </w:r>
                              <w:r>
                                <w:rPr>
                                  <w:rFonts w:ascii="Calibri"/>
                                  <w:sz w:val="20"/>
                                </w:rPr>
                                <w:t>2003</w:t>
                              </w:r>
                              <w:r>
                                <w:rPr>
                                  <w:rFonts w:ascii="Calibri"/>
                                  <w:spacing w:val="24"/>
                                  <w:sz w:val="20"/>
                                </w:rPr>
                                <w:t> </w:t>
                              </w:r>
                              <w:r>
                                <w:rPr>
                                  <w:rFonts w:ascii="Calibri"/>
                                  <w:sz w:val="20"/>
                                </w:rPr>
                                <w:t>2005</w:t>
                              </w:r>
                              <w:r>
                                <w:rPr>
                                  <w:rFonts w:ascii="Calibri"/>
                                  <w:spacing w:val="24"/>
                                  <w:sz w:val="20"/>
                                </w:rPr>
                                <w:t> </w:t>
                              </w:r>
                              <w:r>
                                <w:rPr>
                                  <w:rFonts w:ascii="Calibri"/>
                                  <w:sz w:val="20"/>
                                </w:rPr>
                                <w:t>2007</w:t>
                              </w:r>
                              <w:r>
                                <w:rPr>
                                  <w:rFonts w:ascii="Calibri"/>
                                  <w:spacing w:val="24"/>
                                  <w:sz w:val="20"/>
                                </w:rPr>
                                <w:t> </w:t>
                              </w:r>
                              <w:r>
                                <w:rPr>
                                  <w:rFonts w:ascii="Calibri"/>
                                  <w:sz w:val="20"/>
                                </w:rPr>
                                <w:t>2009</w:t>
                              </w:r>
                              <w:r>
                                <w:rPr>
                                  <w:rFonts w:ascii="Calibri"/>
                                  <w:spacing w:val="24"/>
                                  <w:sz w:val="20"/>
                                </w:rPr>
                                <w:t> </w:t>
                              </w:r>
                              <w:r>
                                <w:rPr>
                                  <w:rFonts w:ascii="Calibri"/>
                                  <w:sz w:val="20"/>
                                </w:rPr>
                                <w:t>2011</w:t>
                              </w:r>
                              <w:r>
                                <w:rPr>
                                  <w:rFonts w:ascii="Calibri"/>
                                  <w:spacing w:val="25"/>
                                  <w:sz w:val="20"/>
                                </w:rPr>
                                <w:t> </w:t>
                              </w:r>
                              <w:r>
                                <w:rPr>
                                  <w:rFonts w:ascii="Calibri"/>
                                  <w:sz w:val="20"/>
                                </w:rPr>
                                <w:t>2013</w:t>
                              </w:r>
                              <w:r>
                                <w:rPr>
                                  <w:rFonts w:ascii="Calibri"/>
                                  <w:spacing w:val="24"/>
                                  <w:sz w:val="20"/>
                                </w:rPr>
                                <w:t> </w:t>
                              </w:r>
                              <w:r>
                                <w:rPr>
                                  <w:rFonts w:ascii="Calibri"/>
                                  <w:spacing w:val="-4"/>
                                  <w:sz w:val="20"/>
                                </w:rPr>
                                <w:t>2015</w:t>
                              </w:r>
                            </w:p>
                            <w:p>
                              <w:pPr>
                                <w:spacing w:line="240" w:lineRule="exact" w:before="150"/>
                                <w:ind w:left="217" w:right="0" w:firstLine="0"/>
                                <w:jc w:val="center"/>
                                <w:rPr>
                                  <w:rFonts w:ascii="Calibri"/>
                                  <w:b/>
                                  <w:sz w:val="20"/>
                                </w:rPr>
                              </w:pPr>
                              <w:r>
                                <w:rPr>
                                  <w:rFonts w:ascii="Calibri"/>
                                  <w:b/>
                                  <w:spacing w:val="-2"/>
                                  <w:sz w:val="20"/>
                                </w:rPr>
                                <w:t>Years</w:t>
                              </w:r>
                            </w:p>
                          </w:txbxContent>
                        </wps:txbx>
                        <wps:bodyPr wrap="square" lIns="0" tIns="0" rIns="0" bIns="0" rtlCol="0">
                          <a:noAutofit/>
                        </wps:bodyPr>
                      </wps:wsp>
                    </wpg:wgp>
                  </a:graphicData>
                </a:graphic>
              </wp:anchor>
            </w:drawing>
          </mc:Choice>
          <mc:Fallback>
            <w:pict>
              <v:group style="position:absolute;margin-left:73pt;margin-top:-198.583588pt;width:424.1pt;height:195.65pt;mso-position-horizontal-relative:page;mso-position-vertical-relative:paragraph;z-index:15772160" id="docshapegroup859" coordorigin="1460,-3972" coordsize="8482,3913">
                <v:shape style="position:absolute;left:3009;top:-1922;width:4325;height:521" id="docshape860" coordorigin="3010,-1922" coordsize="4325,521" path="m3010,-1401l3060,-1401m3199,-1401l7334,-1401m3010,-1660l4742,-1660m4882,-1660l7334,-1660m4642,-1922l4982,-1922m6564,-1922l7334,-1922m5122,-1922l6422,-1922m3010,-1922l4502,-1922e" filled="false" stroked="true" strokeweight=".72pt" strokecolor="#858585">
                  <v:path arrowok="t"/>
                  <v:stroke dashstyle="solid"/>
                </v:shape>
                <v:line style="position:absolute" from="3010,-2181" to="7334,-2181" stroked="true" strokeweight=".72pt" strokecolor="#858585">
                  <v:stroke dashstyle="solid"/>
                </v:line>
                <v:shape style="position:absolute;left:3009;top:-2700;width:4325;height:260" id="docshape861" coordorigin="3010,-2699" coordsize="4325,260" path="m6084,-2440l7334,-2440m3010,-2440l5942,-2440m6804,-2699l7334,-2699m3010,-2699l6662,-2699e" filled="false" stroked="true" strokeweight=".72pt" strokecolor="#858585">
                  <v:path arrowok="t"/>
                  <v:stroke dashstyle="solid"/>
                </v:shape>
                <v:shape style="position:absolute;left:3009;top:-3221;width:4325;height:262" id="docshape862" coordorigin="3010,-3220" coordsize="4325,262" path="m3010,-2958l7334,-2958m3010,-3220l7334,-3220e" filled="false" stroked="true" strokeweight=".72pt" strokecolor="#858585">
                  <v:path arrowok="t"/>
                  <v:stroke dashstyle="solid"/>
                </v:shape>
                <v:shape style="position:absolute;left:3009;top:-3480;width:4325;height:2" id="docshape863" coordorigin="3010,-3479" coordsize="4325,0" path="m3682,-3479l7334,-3479m3010,-3479l3540,-3479e" filled="false" stroked="true" strokeweight=".72pt" strokecolor="#858585">
                  <v:path arrowok="t"/>
                  <v:stroke dashstyle="solid"/>
                </v:shape>
                <v:shape style="position:absolute;left:2947;top:-3739;width:4388;height:2597" id="docshape864" coordorigin="2947,-3738" coordsize="4388,2597" path="m3010,-3738l7334,-3738m3010,-1142l3010,-3738m2947,-1142l3010,-1142m2947,-1401l3010,-1401m2947,-1660l3010,-1660m2947,-1922l3010,-1922m2947,-2181l3010,-2181m2947,-2440l3010,-2440m2947,-2699l3010,-2699m2947,-2958l3010,-2958m2947,-3220l3010,-3220m2947,-3479l3010,-3479m2947,-3738l3010,-3738m3010,-1142l7334,-1142e" filled="false" stroked="true" strokeweight=".72pt" strokecolor="#858585">
                  <v:path arrowok="t"/>
                  <v:stroke dashstyle="solid"/>
                </v:shape>
                <v:shape style="position:absolute;left:3129;top:-3473;width:4085;height:2252" id="docshape865" coordorigin="3130,-3472" coordsize="4085,2252" path="m3130,-1221l3370,-1530,3610,-3472,3850,-1547,4090,-2200,4332,-1598,4572,-1941,4812,-1694,5052,-1948,5292,-3090,5532,-2702,5772,-2404,6012,-2416,6254,-2082,6494,-1874,6734,-2673,6974,-2867,7214,-1403e" filled="false" stroked="true" strokeweight="2.16pt" strokecolor="#497dba">
                  <v:path arrowok="t"/>
                  <v:stroke dashstyle="solid"/>
                </v:shape>
                <v:shape style="position:absolute;left:3052;top:-1297;width:155;height:155" type="#_x0000_t75" id="docshape866" stroked="false">
                  <v:imagedata r:id="rId196" o:title=""/>
                </v:shape>
                <v:shape style="position:absolute;left:3300;top:-3545;width:381;height:2087" id="docshape867" coordorigin="3300,-3544" coordsize="381,2087" path="m3370,-1458l3300,-1528,3370,-1598,3440,-1528,3370,-1458m3610,-3404l3540,-3474,3610,-3544,3680,-3474,3610,-3404e" filled="false" stroked="true" strokeweight=".72pt" strokecolor="#497dba">
                  <v:path arrowok="t"/>
                  <v:stroke dashstyle="solid"/>
                </v:shape>
                <v:shape style="position:absolute;left:3773;top:-1624;width:155;height:155" type="#_x0000_t75" id="docshape868" stroked="false">
                  <v:imagedata r:id="rId119" o:title=""/>
                </v:shape>
                <v:shape style="position:absolute;left:4013;top:-2279;width:155;height:155" type="#_x0000_t75" id="docshape869" stroked="false">
                  <v:imagedata r:id="rId111" o:title=""/>
                </v:shape>
                <v:shape style="position:absolute;left:4254;top:-1674;width:155;height:155" type="#_x0000_t75" id="docshape870" stroked="false">
                  <v:imagedata r:id="rId197" o:title=""/>
                </v:shape>
                <v:shape style="position:absolute;left:4501;top:-2018;width:621;height:396" id="docshape871" coordorigin="4501,-2017" coordsize="621,396" path="m4571,-1871l4501,-1941,4571,-2011,4641,-1941,4571,-1871m4812,-1621l4742,-1691,4812,-1761,4882,-1691,4812,-1621m5052,-1877l4982,-1947,5052,-2017,5122,-1947,5052,-1877e" filled="false" stroked="true" strokeweight=".72pt" strokecolor="#497dba">
                  <v:path arrowok="t"/>
                  <v:stroke dashstyle="solid"/>
                </v:shape>
                <v:shape style="position:absolute;left:5215;top:-3169;width:155;height:155" type="#_x0000_t75" id="docshape872" stroked="false">
                  <v:imagedata r:id="rId198" o:title=""/>
                </v:shape>
                <v:shape style="position:absolute;left:5455;top:-2780;width:155;height:155" type="#_x0000_t75" id="docshape873" stroked="false">
                  <v:imagedata r:id="rId198" o:title=""/>
                </v:shape>
                <v:shape style="position:absolute;left:5695;top:-2483;width:155;height:155" type="#_x0000_t75" id="docshape874" stroked="false">
                  <v:imagedata r:id="rId111" o:title=""/>
                </v:shape>
                <v:shape style="position:absolute;left:5942;top:-2744;width:861;height:941" id="docshape875" coordorigin="5943,-2744" coordsize="861,941" path="m6013,-2346l5943,-2416,6013,-2486,6083,-2416,6013,-2346m6253,-2011l6183,-2081,6253,-2152,6323,-2081,6253,-2011m6493,-1803l6423,-1873,6493,-1943,6563,-1873,6493,-1803m6734,-2603l6664,-2673,6734,-2744,6804,-2673,6734,-2603e" filled="false" stroked="true" strokeweight=".72pt" strokecolor="#497dba">
                  <v:path arrowok="t"/>
                  <v:stroke dashstyle="solid"/>
                </v:shape>
                <v:shape style="position:absolute;left:6896;top:-2945;width:155;height:155" type="#_x0000_t75" id="docshape876" stroked="false">
                  <v:imagedata r:id="rId116" o:title=""/>
                </v:shape>
                <v:shape style="position:absolute;left:7136;top:-1479;width:155;height:155" type="#_x0000_t75" id="docshape877" stroked="false">
                  <v:imagedata r:id="rId113" o:title=""/>
                </v:shape>
                <v:shape style="position:absolute;left:3129;top:-3473;width:4085;height:2117" id="docshape878" coordorigin="3130,-3472" coordsize="4085,2117" path="m3130,-1355l3370,-1528,3610,-3472,3850,-1797,4090,-2200,4332,-1598,4572,-1941,4812,-1691,5052,-1948,5292,-3297,5532,-2546,5772,-2404,6012,-2416,6254,-2082,6494,-1874,6734,-2673,6974,-2855,7214,-1403e" filled="false" stroked="true" strokeweight="2.16pt" strokecolor="#bd4a47">
                  <v:path arrowok="t"/>
                  <v:stroke dashstyle="solid"/>
                </v:shape>
                <v:rect style="position:absolute;left:3060;top:-1425;width:140;height:140" id="docshape879" filled="true" fillcolor="#c0504d" stroked="false">
                  <v:fill type="solid"/>
                </v:rect>
                <v:rect style="position:absolute;left:3060;top:-1425;width:140;height:140" id="docshape880" filled="false" stroked="true" strokeweight=".72pt" strokecolor="#bd4a47">
                  <v:stroke dashstyle="solid"/>
                </v:rect>
                <v:rect style="position:absolute;left:3300;top:-1601;width:140;height:142" id="docshape881" filled="true" fillcolor="#c0504d" stroked="false">
                  <v:fill type="solid"/>
                </v:rect>
                <v:rect style="position:absolute;left:3300;top:-1601;width:140;height:142" id="docshape882" filled="false" stroked="true" strokeweight=".72pt" strokecolor="#bd4a47">
                  <v:stroke dashstyle="solid"/>
                </v:rect>
                <v:rect style="position:absolute;left:3540;top:-3545;width:142;height:140" id="docshape883" filled="true" fillcolor="#c0504d" stroked="false">
                  <v:fill type="solid"/>
                </v:rect>
                <v:rect style="position:absolute;left:3540;top:-3545;width:142;height:140" id="docshape884" filled="false" stroked="true" strokeweight=".72pt" strokecolor="#bd4a47">
                  <v:stroke dashstyle="solid"/>
                </v:rect>
                <v:rect style="position:absolute;left:3780;top:-1867;width:142;height:140" id="docshape885" filled="true" fillcolor="#c0504d" stroked="false">
                  <v:fill type="solid"/>
                </v:rect>
                <v:rect style="position:absolute;left:3780;top:-1867;width:142;height:140" id="docshape886" filled="false" stroked="true" strokeweight=".72pt" strokecolor="#bd4a47">
                  <v:stroke dashstyle="solid"/>
                </v:rect>
                <v:rect style="position:absolute;left:4020;top:-2273;width:142;height:140" id="docshape887" filled="true" fillcolor="#c0504d" stroked="false">
                  <v:fill type="solid"/>
                </v:rect>
                <v:rect style="position:absolute;left:4020;top:-2273;width:142;height:140" id="docshape888" filled="false" stroked="true" strokeweight=".72pt" strokecolor="#bd4a47">
                  <v:stroke dashstyle="solid"/>
                </v:rect>
                <v:rect style="position:absolute;left:4260;top:-1668;width:142;height:140" id="docshape889" filled="true" fillcolor="#c0504d" stroked="false">
                  <v:fill type="solid"/>
                </v:rect>
                <v:rect style="position:absolute;left:4260;top:-1668;width:142;height:140" id="docshape890" filled="false" stroked="true" strokeweight=".72pt" strokecolor="#bd4a47">
                  <v:stroke dashstyle="solid"/>
                </v:rect>
                <v:rect style="position:absolute;left:4502;top:-2013;width:140;height:142" id="docshape891" filled="true" fillcolor="#c0504d" stroked="false">
                  <v:fill type="solid"/>
                </v:rect>
                <v:rect style="position:absolute;left:4502;top:-2013;width:140;height:142" id="docshape892" filled="false" stroked="true" strokeweight=".72pt" strokecolor="#bd4a47">
                  <v:stroke dashstyle="solid"/>
                </v:rect>
                <v:rect style="position:absolute;left:4742;top:-1764;width:140;height:142" id="docshape893" filled="true" fillcolor="#c0504d" stroked="false">
                  <v:fill type="solid"/>
                </v:rect>
                <v:rect style="position:absolute;left:4742;top:-1764;width:140;height:142" id="docshape894" filled="false" stroked="true" strokeweight=".72pt" strokecolor="#bd4a47">
                  <v:stroke dashstyle="solid"/>
                </v:rect>
                <v:rect style="position:absolute;left:4982;top:-2018;width:140;height:140" id="docshape895" filled="true" fillcolor="#c0504d" stroked="false">
                  <v:fill type="solid"/>
                </v:rect>
                <v:rect style="position:absolute;left:4982;top:-2018;width:140;height:140" id="docshape896" filled="false" stroked="true" strokeweight=".72pt" strokecolor="#bd4a47">
                  <v:stroke dashstyle="solid"/>
                </v:rect>
                <v:rect style="position:absolute;left:5222;top:-3369;width:140;height:140" id="docshape897" filled="true" fillcolor="#c0504d" stroked="false">
                  <v:fill type="solid"/>
                </v:rect>
                <v:rect style="position:absolute;left:5222;top:-3369;width:140;height:140" id="docshape898" filled="false" stroked="true" strokeweight=".72pt" strokecolor="#bd4a47">
                  <v:stroke dashstyle="solid"/>
                </v:rect>
                <v:rect style="position:absolute;left:5462;top:-2618;width:140;height:142" id="docshape899" filled="true" fillcolor="#c0504d" stroked="false">
                  <v:fill type="solid"/>
                </v:rect>
                <v:rect style="position:absolute;left:5462;top:-2618;width:140;height:142" id="docshape900" filled="false" stroked="true" strokeweight=".72pt" strokecolor="#bd4a47">
                  <v:stroke dashstyle="solid"/>
                </v:rect>
                <v:rect style="position:absolute;left:5702;top:-2477;width:140;height:140" id="docshape901" filled="true" fillcolor="#c0504d" stroked="false">
                  <v:fill type="solid"/>
                </v:rect>
                <v:rect style="position:absolute;left:5702;top:-2477;width:140;height:140" id="docshape902" filled="false" stroked="true" strokeweight=".72pt" strokecolor="#bd4a47">
                  <v:stroke dashstyle="solid"/>
                </v:rect>
                <v:rect style="position:absolute;left:5942;top:-2486;width:142;height:140" id="docshape903" filled="true" fillcolor="#c0504d" stroked="false">
                  <v:fill type="solid"/>
                </v:rect>
                <v:rect style="position:absolute;left:5942;top:-2486;width:142;height:140" id="docshape904" filled="false" stroked="true" strokeweight=".72pt" strokecolor="#bd4a47">
                  <v:stroke dashstyle="solid"/>
                </v:rect>
                <v:rect style="position:absolute;left:6182;top:-2153;width:142;height:140" id="docshape905" filled="true" fillcolor="#c0504d" stroked="false">
                  <v:fill type="solid"/>
                </v:rect>
                <v:rect style="position:absolute;left:6182;top:-2153;width:142;height:140" id="docshape906" filled="false" stroked="true" strokeweight=".72pt" strokecolor="#bd4a47">
                  <v:stroke dashstyle="solid"/>
                </v:rect>
                <v:rect style="position:absolute;left:6422;top:-1944;width:142;height:140" id="docshape907" filled="true" fillcolor="#c0504d" stroked="false">
                  <v:fill type="solid"/>
                </v:rect>
                <v:rect style="position:absolute;left:6422;top:-1944;width:142;height:140" id="docshape908" filled="false" stroked="true" strokeweight=".72pt" strokecolor="#bd4a47">
                  <v:stroke dashstyle="solid"/>
                </v:rect>
                <v:rect style="position:absolute;left:6662;top:-2745;width:142;height:142" id="docshape909" filled="true" fillcolor="#c0504d" stroked="false">
                  <v:fill type="solid"/>
                </v:rect>
                <v:rect style="position:absolute;left:6662;top:-2745;width:142;height:142" id="docshape910" filled="false" stroked="true" strokeweight=".72pt" strokecolor="#bd4a47">
                  <v:stroke dashstyle="solid"/>
                </v:rect>
                <v:rect style="position:absolute;left:6904;top:-2928;width:140;height:140" id="docshape911" filled="true" fillcolor="#c0504d" stroked="false">
                  <v:fill type="solid"/>
                </v:rect>
                <v:rect style="position:absolute;left:6904;top:-2928;width:140;height:140" id="docshape912" filled="false" stroked="true" strokeweight=".72pt" strokecolor="#bd4a47">
                  <v:stroke dashstyle="solid"/>
                </v:rect>
                <v:rect style="position:absolute;left:7144;top:-1473;width:140;height:140" id="docshape913" filled="true" fillcolor="#c0504d" stroked="false">
                  <v:fill type="solid"/>
                </v:rect>
                <v:rect style="position:absolute;left:7144;top:-1473;width:140;height:140" id="docshape914" filled="false" stroked="true" strokeweight=".72pt" strokecolor="#bd4a47">
                  <v:stroke dashstyle="solid"/>
                </v:rect>
                <v:shape style="position:absolute;left:3129;top:-1968;width:4085;height:807" id="docshape915" coordorigin="3130,-1967" coordsize="4085,807" path="m3130,-1197l3370,-1967,3610,-1684,3850,-1595,4090,-1257,4332,-1161,4572,-1413,4812,-1211,5052,-1576,5292,-1538,5532,-1300,5772,-1226,6012,-1178,6254,-1204,6494,-1744,6734,-1682,6974,-1545,7214,-1202e" filled="false" stroked="true" strokeweight="2.16pt" strokecolor="#97b853">
                  <v:path arrowok="t"/>
                  <v:stroke dashstyle="solid"/>
                </v:shape>
                <v:shape style="position:absolute;left:3060;top:-1269;width:140;height:140" id="docshape916" coordorigin="3060,-1268" coordsize="140,140" path="m3130,-1268l3060,-1128,3200,-1128,3130,-1268xe" filled="true" fillcolor="#9bba58" stroked="false">
                  <v:path arrowok="t"/>
                  <v:fill type="solid"/>
                </v:shape>
                <v:shape style="position:absolute;left:3060;top:-1269;width:140;height:140" id="docshape917" coordorigin="3060,-1268" coordsize="140,140" path="m3130,-1268l3200,-1128,3060,-1128,3130,-1268e" filled="false" stroked="true" strokeweight=".72pt" strokecolor="#97b853">
                  <v:path arrowok="t"/>
                  <v:stroke dashstyle="solid"/>
                </v:shape>
                <v:shape style="position:absolute;left:3293;top:-2047;width:155;height:155" type="#_x0000_t75" id="docshape918" stroked="false">
                  <v:imagedata r:id="rId199" o:title=""/>
                </v:shape>
                <v:shape style="position:absolute;left:3533;top:-1762;width:155;height:155" type="#_x0000_t75" id="docshape919" stroked="false">
                  <v:imagedata r:id="rId199" o:title=""/>
                </v:shape>
                <v:shape style="position:absolute;left:3773;top:-1675;width:155;height:155" type="#_x0000_t75" id="docshape920" stroked="false">
                  <v:imagedata r:id="rId199" o:title=""/>
                </v:shape>
                <v:shape style="position:absolute;left:4013;top:-1336;width:155;height:155" type="#_x0000_t75" id="docshape921" stroked="false">
                  <v:imagedata r:id="rId199" o:title=""/>
                </v:shape>
                <v:shape style="position:absolute;left:4254;top:-1239;width:155;height:155" type="#_x0000_t75" id="docshape922" stroked="false">
                  <v:imagedata r:id="rId199" o:title=""/>
                </v:shape>
                <v:shape style="position:absolute;left:4494;top:-1492;width:155;height:155" type="#_x0000_t75" id="docshape923" stroked="false">
                  <v:imagedata r:id="rId199" o:title=""/>
                </v:shape>
                <v:shape style="position:absolute;left:4734;top:-1289;width:155;height:155" type="#_x0000_t75" id="docshape924" stroked="false">
                  <v:imagedata r:id="rId199" o:title=""/>
                </v:shape>
                <v:shape style="position:absolute;left:4974;top:-1656;width:155;height:155" type="#_x0000_t75" id="docshape925" stroked="false">
                  <v:imagedata r:id="rId199" o:title=""/>
                </v:shape>
                <v:shape style="position:absolute;left:5215;top:-1618;width:155;height:155" type="#_x0000_t75" id="docshape926" stroked="false">
                  <v:imagedata r:id="rId200" o:title=""/>
                </v:shape>
                <v:shape style="position:absolute;left:5455;top:-1377;width:155;height:155" type="#_x0000_t75" id="docshape927" stroked="false">
                  <v:imagedata r:id="rId201" o:title=""/>
                </v:shape>
                <v:shape style="position:absolute;left:5695;top:-1305;width:155;height:155" type="#_x0000_t75" id="docshape928" stroked="false">
                  <v:imagedata r:id="rId202" o:title=""/>
                </v:shape>
                <v:shape style="position:absolute;left:5935;top:-1256;width:155;height:155" type="#_x0000_t75" id="docshape929" stroked="false">
                  <v:imagedata r:id="rId201" o:title=""/>
                </v:shape>
                <v:shape style="position:absolute;left:6175;top:-1282;width:155;height:155" type="#_x0000_t75" id="docshape930" stroked="false">
                  <v:imagedata r:id="rId199" o:title=""/>
                </v:shape>
                <v:shape style="position:absolute;left:6416;top:-1824;width:155;height:155" type="#_x0000_t75" id="docshape931" stroked="false">
                  <v:imagedata r:id="rId202" o:title=""/>
                </v:shape>
                <v:shape style="position:absolute;left:6656;top:-1760;width:155;height:155" type="#_x0000_t75" id="docshape932" stroked="false">
                  <v:imagedata r:id="rId203" o:title=""/>
                </v:shape>
                <v:shape style="position:absolute;left:6896;top:-1625;width:155;height:155" type="#_x0000_t75" id="docshape933" stroked="false">
                  <v:imagedata r:id="rId204" o:title=""/>
                </v:shape>
                <v:shape style="position:absolute;left:7136;top:-1280;width:155;height:155" type="#_x0000_t75" id="docshape934" stroked="false">
                  <v:imagedata r:id="rId203" o:title=""/>
                </v:shape>
                <v:shape style="position:absolute;left:3129;top:-3473;width:4085;height:2331" id="docshape935" coordorigin="3130,-3472" coordsize="4085,2331" path="m3130,-1142l3130,-1355m3372,-1142l3372,-1967m3612,-1142l3612,-3472m3852,-1142l3852,-1797m4092,-1142l4092,-2200m4332,-1142l4332,-1598m4572,-1142l4572,-1941m4812,-1142l4812,-1691m5052,-1142l5052,-1948m5292,-1142l5292,-3299m5532,-1142l5532,-2702m5772,-1142l5772,-2404m6014,-1142l6014,-2416m6254,-1142l6254,-2082m6494,-1142l6494,-1874m6734,-1142l6734,-2673m6974,-1142l6974,-2867m7214,-1142l7214,-1403e" filled="false" stroked="true" strokeweight=".72pt" strokecolor="#000000">
                  <v:path arrowok="t"/>
                  <v:stroke dashstyle="solid"/>
                </v:shape>
                <v:shape style="position:absolute;left:1840;top:-2692;width:58;height:132" id="docshape936" coordorigin="1840,-2691" coordsize="58,132" path="m1859,-2691l1840,-2691,1840,-2559,1859,-2559,1859,-2691xm1898,-2691l1878,-2691,1878,-2559,1898,-2559,1898,-2691xe" filled="true" fillcolor="#000000" stroked="false">
                  <v:path arrowok="t"/>
                  <v:fill type="solid"/>
                </v:shape>
                <v:shape style="position:absolute;left:7646;top:-2445;width:384;height:135" type="#_x0000_t75" id="docshape937" stroked="false">
                  <v:imagedata r:id="rId126" o:title=""/>
                </v:shape>
                <v:line style="position:absolute" from="7646,-2015" to="8030,-2015" stroked="true" strokeweight="1.92pt" strokecolor="#bd4a47">
                  <v:stroke dashstyle="solid"/>
                </v:line>
                <v:rect style="position:absolute;left:7778;top:-2076;width:120;height:120" id="docshape938" filled="true" fillcolor="#c0504d" stroked="false">
                  <v:fill type="solid"/>
                </v:rect>
                <v:rect style="position:absolute;left:7778;top:-2076;width:120;height:120" id="docshape939" filled="false" stroked="true" strokeweight=".72pt" strokecolor="#bd4a47">
                  <v:stroke dashstyle="solid"/>
                </v:rect>
                <v:shape style="position:absolute;left:7646;top:-1721;width:384;height:135" type="#_x0000_t75" id="docshape940" stroked="false">
                  <v:imagedata r:id="rId205" o:title=""/>
                </v:shape>
                <v:rect style="position:absolute;left:1470;top:-3962;width:8462;height:3893" id="docshape941" filled="false" stroked="true" strokeweight="1pt" strokecolor="#858585">
                  <v:stroke dashstyle="solid"/>
                </v:rect>
                <v:shape style="position:absolute;left:2114;top:-3833;width:728;height:2797" type="#_x0000_t202" id="docshape942" filled="false" stroked="false">
                  <v:textbox inset="0,0,0,0">
                    <w:txbxContent>
                      <w:p>
                        <w:pPr>
                          <w:spacing w:line="203" w:lineRule="exact" w:before="0"/>
                          <w:ind w:left="0" w:right="20" w:firstLine="0"/>
                          <w:jc w:val="right"/>
                          <w:rPr>
                            <w:rFonts w:ascii="Calibri"/>
                            <w:sz w:val="20"/>
                          </w:rPr>
                        </w:pPr>
                        <w:r>
                          <w:rPr>
                            <w:rFonts w:ascii="Calibri"/>
                            <w:spacing w:val="-2"/>
                            <w:sz w:val="20"/>
                          </w:rPr>
                          <w:t>5000000</w:t>
                        </w:r>
                      </w:p>
                      <w:p>
                        <w:pPr>
                          <w:spacing w:before="15"/>
                          <w:ind w:left="0" w:right="20" w:firstLine="0"/>
                          <w:jc w:val="right"/>
                          <w:rPr>
                            <w:rFonts w:ascii="Calibri"/>
                            <w:sz w:val="20"/>
                          </w:rPr>
                        </w:pPr>
                        <w:r>
                          <w:rPr>
                            <w:rFonts w:ascii="Calibri"/>
                            <w:spacing w:val="-2"/>
                            <w:sz w:val="20"/>
                          </w:rPr>
                          <w:t>4500000</w:t>
                        </w:r>
                      </w:p>
                      <w:p>
                        <w:pPr>
                          <w:spacing w:before="16"/>
                          <w:ind w:left="0" w:right="20" w:firstLine="0"/>
                          <w:jc w:val="right"/>
                          <w:rPr>
                            <w:rFonts w:ascii="Calibri"/>
                            <w:sz w:val="20"/>
                          </w:rPr>
                        </w:pPr>
                        <w:r>
                          <w:rPr>
                            <w:rFonts w:ascii="Calibri"/>
                            <w:spacing w:val="-2"/>
                            <w:sz w:val="20"/>
                          </w:rPr>
                          <w:t>4000000</w:t>
                        </w:r>
                      </w:p>
                      <w:p>
                        <w:pPr>
                          <w:spacing w:before="15"/>
                          <w:ind w:left="0" w:right="20" w:firstLine="0"/>
                          <w:jc w:val="right"/>
                          <w:rPr>
                            <w:rFonts w:ascii="Calibri"/>
                            <w:sz w:val="20"/>
                          </w:rPr>
                        </w:pPr>
                        <w:r>
                          <w:rPr>
                            <w:rFonts w:ascii="Calibri"/>
                            <w:spacing w:val="-2"/>
                            <w:sz w:val="20"/>
                          </w:rPr>
                          <w:t>3500000</w:t>
                        </w:r>
                      </w:p>
                      <w:p>
                        <w:pPr>
                          <w:spacing w:before="16"/>
                          <w:ind w:left="0" w:right="20" w:firstLine="0"/>
                          <w:jc w:val="right"/>
                          <w:rPr>
                            <w:rFonts w:ascii="Calibri"/>
                            <w:sz w:val="20"/>
                          </w:rPr>
                        </w:pPr>
                        <w:r>
                          <w:rPr>
                            <w:rFonts w:ascii="Calibri"/>
                            <w:spacing w:val="-2"/>
                            <w:sz w:val="20"/>
                          </w:rPr>
                          <w:t>3000000</w:t>
                        </w:r>
                      </w:p>
                      <w:p>
                        <w:pPr>
                          <w:spacing w:before="15"/>
                          <w:ind w:left="0" w:right="20" w:firstLine="0"/>
                          <w:jc w:val="right"/>
                          <w:rPr>
                            <w:rFonts w:ascii="Calibri"/>
                            <w:sz w:val="20"/>
                          </w:rPr>
                        </w:pPr>
                        <w:r>
                          <w:rPr>
                            <w:rFonts w:ascii="Calibri"/>
                            <w:spacing w:val="-2"/>
                            <w:sz w:val="20"/>
                          </w:rPr>
                          <w:t>2500000</w:t>
                        </w:r>
                      </w:p>
                      <w:p>
                        <w:pPr>
                          <w:spacing w:before="16"/>
                          <w:ind w:left="0" w:right="20" w:firstLine="0"/>
                          <w:jc w:val="right"/>
                          <w:rPr>
                            <w:rFonts w:ascii="Calibri"/>
                            <w:sz w:val="20"/>
                          </w:rPr>
                        </w:pPr>
                        <w:r>
                          <w:rPr>
                            <w:rFonts w:ascii="Calibri"/>
                            <w:spacing w:val="-2"/>
                            <w:sz w:val="20"/>
                          </w:rPr>
                          <w:t>2000000</w:t>
                        </w:r>
                      </w:p>
                      <w:p>
                        <w:pPr>
                          <w:spacing w:before="16"/>
                          <w:ind w:left="0" w:right="20" w:firstLine="0"/>
                          <w:jc w:val="right"/>
                          <w:rPr>
                            <w:rFonts w:ascii="Calibri"/>
                            <w:sz w:val="20"/>
                          </w:rPr>
                        </w:pPr>
                        <w:r>
                          <w:rPr>
                            <w:rFonts w:ascii="Calibri"/>
                            <w:spacing w:val="-2"/>
                            <w:sz w:val="20"/>
                          </w:rPr>
                          <w:t>1500000</w:t>
                        </w:r>
                      </w:p>
                      <w:p>
                        <w:pPr>
                          <w:spacing w:before="16"/>
                          <w:ind w:left="0" w:right="20" w:firstLine="0"/>
                          <w:jc w:val="right"/>
                          <w:rPr>
                            <w:rFonts w:ascii="Calibri"/>
                            <w:sz w:val="20"/>
                          </w:rPr>
                        </w:pPr>
                        <w:r>
                          <w:rPr>
                            <w:rFonts w:ascii="Calibri"/>
                            <w:spacing w:val="-2"/>
                            <w:sz w:val="20"/>
                          </w:rPr>
                          <w:t>1000000</w:t>
                        </w:r>
                      </w:p>
                      <w:p>
                        <w:pPr>
                          <w:spacing w:before="15"/>
                          <w:ind w:left="0" w:right="19" w:firstLine="0"/>
                          <w:jc w:val="right"/>
                          <w:rPr>
                            <w:rFonts w:ascii="Calibri"/>
                            <w:sz w:val="20"/>
                          </w:rPr>
                        </w:pPr>
                        <w:r>
                          <w:rPr>
                            <w:rFonts w:ascii="Calibri"/>
                            <w:spacing w:val="-2"/>
                            <w:sz w:val="20"/>
                          </w:rPr>
                          <w:t>500000</w:t>
                        </w:r>
                      </w:p>
                      <w:p>
                        <w:pPr>
                          <w:spacing w:line="240" w:lineRule="exact" w:before="16"/>
                          <w:ind w:left="0" w:right="18" w:firstLine="0"/>
                          <w:jc w:val="right"/>
                          <w:rPr>
                            <w:rFonts w:ascii="Calibri"/>
                            <w:sz w:val="20"/>
                          </w:rPr>
                        </w:pPr>
                        <w:r>
                          <w:rPr>
                            <w:rFonts w:ascii="Calibri"/>
                            <w:spacing w:val="-10"/>
                            <w:sz w:val="20"/>
                          </w:rPr>
                          <w:t>0</w:t>
                        </w:r>
                      </w:p>
                    </w:txbxContent>
                  </v:textbox>
                  <w10:wrap type="none"/>
                </v:shape>
                <v:shape style="position:absolute;left:8072;top:-2470;width:1671;height:923" type="#_x0000_t202" id="docshape943" filled="false" stroked="false">
                  <v:textbox inset="0,0,0,0">
                    <w:txbxContent>
                      <w:p>
                        <w:pPr>
                          <w:spacing w:line="203" w:lineRule="exact" w:before="0"/>
                          <w:ind w:left="0" w:right="0" w:firstLine="0"/>
                          <w:jc w:val="left"/>
                          <w:rPr>
                            <w:rFonts w:ascii="Calibri"/>
                            <w:sz w:val="20"/>
                          </w:rPr>
                        </w:pPr>
                        <w:r>
                          <w:rPr>
                            <w:rFonts w:ascii="Calibri"/>
                            <w:sz w:val="20"/>
                          </w:rPr>
                          <w:t>Budget</w:t>
                        </w:r>
                        <w:r>
                          <w:rPr>
                            <w:rFonts w:ascii="Calibri"/>
                            <w:spacing w:val="-10"/>
                            <w:sz w:val="20"/>
                          </w:rPr>
                          <w:t> </w:t>
                        </w:r>
                        <w:r>
                          <w:rPr>
                            <w:rFonts w:ascii="Calibri"/>
                            <w:spacing w:val="-2"/>
                            <w:sz w:val="20"/>
                          </w:rPr>
                          <w:t>Estimate</w:t>
                        </w:r>
                      </w:p>
                      <w:p>
                        <w:pPr>
                          <w:spacing w:line="360" w:lineRule="atLeast" w:before="0"/>
                          <w:ind w:left="0" w:right="0" w:firstLine="0"/>
                          <w:jc w:val="left"/>
                          <w:rPr>
                            <w:rFonts w:ascii="Calibri"/>
                            <w:sz w:val="20"/>
                          </w:rPr>
                        </w:pPr>
                        <w:r>
                          <w:rPr>
                            <w:rFonts w:ascii="Calibri"/>
                            <w:spacing w:val="-2"/>
                            <w:sz w:val="20"/>
                          </w:rPr>
                          <w:t>Approved</w:t>
                        </w:r>
                        <w:r>
                          <w:rPr>
                            <w:rFonts w:ascii="Calibri"/>
                            <w:spacing w:val="-10"/>
                            <w:sz w:val="20"/>
                          </w:rPr>
                          <w:t> </w:t>
                        </w:r>
                        <w:r>
                          <w:rPr>
                            <w:rFonts w:ascii="Calibri"/>
                            <w:spacing w:val="-2"/>
                            <w:sz w:val="20"/>
                          </w:rPr>
                          <w:t>Allocation </w:t>
                        </w:r>
                        <w:r>
                          <w:rPr>
                            <w:rFonts w:ascii="Calibri"/>
                            <w:sz w:val="20"/>
                          </w:rPr>
                          <w:t>Actual Expenditure</w:t>
                        </w:r>
                      </w:p>
                    </w:txbxContent>
                  </v:textbox>
                  <w10:wrap type="none"/>
                </v:shape>
                <v:shape style="position:absolute;left:2928;top:-917;width:4268;height:594" type="#_x0000_t202" id="docshape944" filled="false" stroked="false">
                  <v:textbox inset="0,0,0,0">
                    <w:txbxContent>
                      <w:p>
                        <w:pPr>
                          <w:spacing w:line="203" w:lineRule="exact" w:before="0"/>
                          <w:ind w:left="0" w:right="0" w:firstLine="0"/>
                          <w:jc w:val="left"/>
                          <w:rPr>
                            <w:rFonts w:ascii="Calibri"/>
                            <w:sz w:val="20"/>
                          </w:rPr>
                        </w:pPr>
                        <w:r>
                          <w:rPr>
                            <w:rFonts w:ascii="Calibri"/>
                            <w:sz w:val="20"/>
                          </w:rPr>
                          <w:t>1999</w:t>
                        </w:r>
                        <w:r>
                          <w:rPr>
                            <w:rFonts w:ascii="Calibri"/>
                            <w:spacing w:val="23"/>
                            <w:sz w:val="20"/>
                          </w:rPr>
                          <w:t> </w:t>
                        </w:r>
                        <w:r>
                          <w:rPr>
                            <w:rFonts w:ascii="Calibri"/>
                            <w:sz w:val="20"/>
                          </w:rPr>
                          <w:t>2001</w:t>
                        </w:r>
                        <w:r>
                          <w:rPr>
                            <w:rFonts w:ascii="Calibri"/>
                            <w:spacing w:val="24"/>
                            <w:sz w:val="20"/>
                          </w:rPr>
                          <w:t> </w:t>
                        </w:r>
                        <w:r>
                          <w:rPr>
                            <w:rFonts w:ascii="Calibri"/>
                            <w:sz w:val="20"/>
                          </w:rPr>
                          <w:t>2003</w:t>
                        </w:r>
                        <w:r>
                          <w:rPr>
                            <w:rFonts w:ascii="Calibri"/>
                            <w:spacing w:val="24"/>
                            <w:sz w:val="20"/>
                          </w:rPr>
                          <w:t> </w:t>
                        </w:r>
                        <w:r>
                          <w:rPr>
                            <w:rFonts w:ascii="Calibri"/>
                            <w:sz w:val="20"/>
                          </w:rPr>
                          <w:t>2005</w:t>
                        </w:r>
                        <w:r>
                          <w:rPr>
                            <w:rFonts w:ascii="Calibri"/>
                            <w:spacing w:val="24"/>
                            <w:sz w:val="20"/>
                          </w:rPr>
                          <w:t> </w:t>
                        </w:r>
                        <w:r>
                          <w:rPr>
                            <w:rFonts w:ascii="Calibri"/>
                            <w:sz w:val="20"/>
                          </w:rPr>
                          <w:t>2007</w:t>
                        </w:r>
                        <w:r>
                          <w:rPr>
                            <w:rFonts w:ascii="Calibri"/>
                            <w:spacing w:val="24"/>
                            <w:sz w:val="20"/>
                          </w:rPr>
                          <w:t> </w:t>
                        </w:r>
                        <w:r>
                          <w:rPr>
                            <w:rFonts w:ascii="Calibri"/>
                            <w:sz w:val="20"/>
                          </w:rPr>
                          <w:t>2009</w:t>
                        </w:r>
                        <w:r>
                          <w:rPr>
                            <w:rFonts w:ascii="Calibri"/>
                            <w:spacing w:val="24"/>
                            <w:sz w:val="20"/>
                          </w:rPr>
                          <w:t> </w:t>
                        </w:r>
                        <w:r>
                          <w:rPr>
                            <w:rFonts w:ascii="Calibri"/>
                            <w:sz w:val="20"/>
                          </w:rPr>
                          <w:t>2011</w:t>
                        </w:r>
                        <w:r>
                          <w:rPr>
                            <w:rFonts w:ascii="Calibri"/>
                            <w:spacing w:val="25"/>
                            <w:sz w:val="20"/>
                          </w:rPr>
                          <w:t> </w:t>
                        </w:r>
                        <w:r>
                          <w:rPr>
                            <w:rFonts w:ascii="Calibri"/>
                            <w:sz w:val="20"/>
                          </w:rPr>
                          <w:t>2013</w:t>
                        </w:r>
                        <w:r>
                          <w:rPr>
                            <w:rFonts w:ascii="Calibri"/>
                            <w:spacing w:val="24"/>
                            <w:sz w:val="20"/>
                          </w:rPr>
                          <w:t> </w:t>
                        </w:r>
                        <w:r>
                          <w:rPr>
                            <w:rFonts w:ascii="Calibri"/>
                            <w:spacing w:val="-4"/>
                            <w:sz w:val="20"/>
                          </w:rPr>
                          <w:t>2015</w:t>
                        </w:r>
                      </w:p>
                      <w:p>
                        <w:pPr>
                          <w:spacing w:line="240" w:lineRule="exact" w:before="150"/>
                          <w:ind w:left="217" w:right="0" w:firstLine="0"/>
                          <w:jc w:val="center"/>
                          <w:rPr>
                            <w:rFonts w:ascii="Calibri"/>
                            <w:b/>
                            <w:sz w:val="20"/>
                          </w:rPr>
                        </w:pPr>
                        <w:r>
                          <w:rPr>
                            <w:rFonts w:ascii="Calibri"/>
                            <w:b/>
                            <w:spacing w:val="-2"/>
                            <w:sz w:val="20"/>
                          </w:rPr>
                          <w:t>Years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3696">
                <wp:simplePos x="0" y="0"/>
                <wp:positionH relativeFrom="page">
                  <wp:posOffset>1105230</wp:posOffset>
                </wp:positionH>
                <wp:positionV relativeFrom="paragraph">
                  <wp:posOffset>-1982475</wp:posOffset>
                </wp:positionV>
                <wp:extent cx="152400" cy="866140"/>
                <wp:effectExtent l="0" t="0" r="0" b="0"/>
                <wp:wrapNone/>
                <wp:docPr id="996" name="Textbox 996"/>
                <wp:cNvGraphicFramePr>
                  <a:graphicFrameLocks/>
                </wp:cNvGraphicFramePr>
                <a:graphic>
                  <a:graphicData uri="http://schemas.microsoft.com/office/word/2010/wordprocessingShape">
                    <wps:wsp>
                      <wps:cNvPr id="996" name="Textbox 996"/>
                      <wps:cNvSpPr txBox="1"/>
                      <wps:spPr>
                        <a:xfrm>
                          <a:off x="0" y="0"/>
                          <a:ext cx="152400" cy="866140"/>
                        </a:xfrm>
                        <a:prstGeom prst="rect">
                          <a:avLst/>
                        </a:prstGeom>
                      </wps:spPr>
                      <wps:txbx>
                        <w:txbxContent>
                          <w:p>
                            <w:pPr>
                              <w:spacing w:line="223" w:lineRule="exact" w:before="0"/>
                              <w:ind w:left="20" w:right="0" w:firstLine="0"/>
                              <w:jc w:val="left"/>
                              <w:rPr>
                                <w:rFonts w:ascii="Calibri"/>
                                <w:b/>
                                <w:sz w:val="20"/>
                              </w:rPr>
                            </w:pPr>
                            <w:r>
                              <w:rPr>
                                <w:rFonts w:ascii="Calibri"/>
                                <w:b/>
                                <w:spacing w:val="-2"/>
                                <w:sz w:val="20"/>
                              </w:rPr>
                              <w:t>Amount</w:t>
                            </w:r>
                            <w:r>
                              <w:rPr>
                                <w:rFonts w:ascii="Calibri"/>
                                <w:b/>
                                <w:sz w:val="20"/>
                              </w:rPr>
                              <w:t> </w:t>
                            </w:r>
                            <w:r>
                              <w:rPr>
                                <w:rFonts w:ascii="Calibri"/>
                                <w:b/>
                                <w:spacing w:val="-2"/>
                                <w:sz w:val="20"/>
                              </w:rPr>
                              <w:t>(N'000)</w:t>
                            </w:r>
                          </w:p>
                        </w:txbxContent>
                      </wps:txbx>
                      <wps:bodyPr wrap="square" lIns="0" tIns="0" rIns="0" bIns="0" rtlCol="0" vert="vert270">
                        <a:noAutofit/>
                      </wps:bodyPr>
                    </wps:wsp>
                  </a:graphicData>
                </a:graphic>
              </wp:anchor>
            </w:drawing>
          </mc:Choice>
          <mc:Fallback>
            <w:pict>
              <v:shape style="position:absolute;margin-left:87.026001pt;margin-top:-156.100449pt;width:12pt;height:68.2pt;mso-position-horizontal-relative:page;mso-position-vertical-relative:paragraph;z-index:15773696" type="#_x0000_t202" id="docshape945"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pacing w:val="-2"/>
                          <w:sz w:val="20"/>
                        </w:rPr>
                        <w:t>Amount</w:t>
                      </w:r>
                      <w:r>
                        <w:rPr>
                          <w:rFonts w:ascii="Calibri"/>
                          <w:b/>
                          <w:sz w:val="20"/>
                        </w:rPr>
                        <w:t> </w:t>
                      </w:r>
                      <w:r>
                        <w:rPr>
                          <w:rFonts w:ascii="Calibri"/>
                          <w:b/>
                          <w:spacing w:val="-2"/>
                          <w:sz w:val="20"/>
                        </w:rPr>
                        <w:t>(N'000)</w:t>
                      </w:r>
                    </w:p>
                  </w:txbxContent>
                </v:textbox>
                <w10:wrap type="none"/>
              </v:shape>
            </w:pict>
          </mc:Fallback>
        </mc:AlternateContent>
      </w:r>
      <w:r>
        <w:rPr>
          <w:b/>
        </w:rPr>
        <w:t>Figure 5.11: </w:t>
      </w:r>
      <w:r>
        <w:rPr/>
        <w:t>Trend of budgeted, approved and actual expenditure for housing in Anambra State from 1999 – 2016 (Researcher‘s plot with MS- Excel, 2017)</w:t>
      </w:r>
    </w:p>
    <w:p>
      <w:pPr>
        <w:pStyle w:val="BodyText"/>
        <w:spacing w:line="348" w:lineRule="auto" w:before="124"/>
        <w:ind w:left="240" w:right="836"/>
        <w:jc w:val="both"/>
      </w:pPr>
      <w:r>
        <w:rPr/>
        <mc:AlternateContent>
          <mc:Choice Requires="wps">
            <w:drawing>
              <wp:anchor distT="0" distB="0" distL="0" distR="0" allowOverlap="1" layoutInCell="1" locked="0" behindDoc="0" simplePos="0" relativeHeight="15772672">
                <wp:simplePos x="0" y="0"/>
                <wp:positionH relativeFrom="page">
                  <wp:posOffset>927100</wp:posOffset>
                </wp:positionH>
                <wp:positionV relativeFrom="paragraph">
                  <wp:posOffset>2204958</wp:posOffset>
                </wp:positionV>
                <wp:extent cx="5938520" cy="2705735"/>
                <wp:effectExtent l="0" t="0" r="0" b="0"/>
                <wp:wrapNone/>
                <wp:docPr id="997" name="Group 997"/>
                <wp:cNvGraphicFramePr>
                  <a:graphicFrameLocks/>
                </wp:cNvGraphicFramePr>
                <a:graphic>
                  <a:graphicData uri="http://schemas.microsoft.com/office/word/2010/wordprocessingGroup">
                    <wpg:wgp>
                      <wpg:cNvPr id="997" name="Group 997"/>
                      <wpg:cNvGrpSpPr/>
                      <wpg:grpSpPr>
                        <a:xfrm>
                          <a:off x="0" y="0"/>
                          <a:ext cx="5938520" cy="2705735"/>
                          <a:chExt cx="5938520" cy="2705735"/>
                        </a:xfrm>
                      </wpg:grpSpPr>
                      <wps:wsp>
                        <wps:cNvPr id="998" name="Graphic 998"/>
                        <wps:cNvSpPr/>
                        <wps:spPr>
                          <a:xfrm>
                            <a:off x="983996" y="147954"/>
                            <a:ext cx="3464560" cy="1590040"/>
                          </a:xfrm>
                          <a:custGeom>
                            <a:avLst/>
                            <a:gdLst/>
                            <a:ahLst/>
                            <a:cxnLst/>
                            <a:rect l="l" t="t" r="r" b="b"/>
                            <a:pathLst>
                              <a:path w="3464560" h="1590040">
                                <a:moveTo>
                                  <a:pt x="0" y="1589532"/>
                                </a:moveTo>
                                <a:lnTo>
                                  <a:pt x="3464052" y="1589532"/>
                                </a:lnTo>
                              </a:path>
                              <a:path w="3464560" h="1590040">
                                <a:moveTo>
                                  <a:pt x="0" y="1412748"/>
                                </a:moveTo>
                                <a:lnTo>
                                  <a:pt x="3464052" y="1412748"/>
                                </a:lnTo>
                              </a:path>
                              <a:path w="3464560" h="1590040">
                                <a:moveTo>
                                  <a:pt x="0" y="1235964"/>
                                </a:moveTo>
                                <a:lnTo>
                                  <a:pt x="3464052" y="1235964"/>
                                </a:lnTo>
                              </a:path>
                              <a:path w="3464560" h="1590040">
                                <a:moveTo>
                                  <a:pt x="0" y="1059180"/>
                                </a:moveTo>
                                <a:lnTo>
                                  <a:pt x="3464052" y="1059180"/>
                                </a:lnTo>
                              </a:path>
                              <a:path w="3464560" h="1590040">
                                <a:moveTo>
                                  <a:pt x="0" y="882395"/>
                                </a:moveTo>
                                <a:lnTo>
                                  <a:pt x="3464052" y="882395"/>
                                </a:lnTo>
                              </a:path>
                              <a:path w="3464560" h="1590040">
                                <a:moveTo>
                                  <a:pt x="0" y="707136"/>
                                </a:moveTo>
                                <a:lnTo>
                                  <a:pt x="3464052" y="707136"/>
                                </a:lnTo>
                              </a:path>
                              <a:path w="3464560" h="1590040">
                                <a:moveTo>
                                  <a:pt x="0" y="530351"/>
                                </a:moveTo>
                                <a:lnTo>
                                  <a:pt x="3464052" y="530351"/>
                                </a:lnTo>
                              </a:path>
                              <a:path w="3464560" h="1590040">
                                <a:moveTo>
                                  <a:pt x="0" y="353567"/>
                                </a:moveTo>
                                <a:lnTo>
                                  <a:pt x="3464052" y="353567"/>
                                </a:lnTo>
                              </a:path>
                              <a:path w="3464560" h="1590040">
                                <a:moveTo>
                                  <a:pt x="0" y="176784"/>
                                </a:moveTo>
                                <a:lnTo>
                                  <a:pt x="3464052" y="176784"/>
                                </a:lnTo>
                              </a:path>
                              <a:path w="3464560" h="1590040">
                                <a:moveTo>
                                  <a:pt x="0" y="0"/>
                                </a:moveTo>
                                <a:lnTo>
                                  <a:pt x="3464052" y="0"/>
                                </a:lnTo>
                              </a:path>
                            </a:pathLst>
                          </a:custGeom>
                          <a:ln w="9144">
                            <a:solidFill>
                              <a:srgbClr val="858585"/>
                            </a:solidFill>
                            <a:prstDash val="solid"/>
                          </a:ln>
                        </wps:spPr>
                        <wps:bodyPr wrap="square" lIns="0" tIns="0" rIns="0" bIns="0" rtlCol="0">
                          <a:prstTxWarp prst="textNoShape">
                            <a:avLst/>
                          </a:prstTxWarp>
                          <a:noAutofit/>
                        </wps:bodyPr>
                      </wps:wsp>
                      <wps:wsp>
                        <wps:cNvPr id="999" name="Graphic 999"/>
                        <wps:cNvSpPr/>
                        <wps:spPr>
                          <a:xfrm>
                            <a:off x="1032764" y="329310"/>
                            <a:ext cx="3302635" cy="1584960"/>
                          </a:xfrm>
                          <a:custGeom>
                            <a:avLst/>
                            <a:gdLst/>
                            <a:ahLst/>
                            <a:cxnLst/>
                            <a:rect l="l" t="t" r="r" b="b"/>
                            <a:pathLst>
                              <a:path w="3302635" h="1584960">
                                <a:moveTo>
                                  <a:pt x="32004" y="1533144"/>
                                </a:moveTo>
                                <a:lnTo>
                                  <a:pt x="0" y="1533144"/>
                                </a:lnTo>
                                <a:lnTo>
                                  <a:pt x="0" y="1584960"/>
                                </a:lnTo>
                                <a:lnTo>
                                  <a:pt x="32004" y="1584960"/>
                                </a:lnTo>
                                <a:lnTo>
                                  <a:pt x="32004" y="1533144"/>
                                </a:lnTo>
                                <a:close/>
                              </a:path>
                              <a:path w="3302635" h="1584960">
                                <a:moveTo>
                                  <a:pt x="224028" y="1322832"/>
                                </a:moveTo>
                                <a:lnTo>
                                  <a:pt x="192024" y="1322832"/>
                                </a:lnTo>
                                <a:lnTo>
                                  <a:pt x="192024" y="1584960"/>
                                </a:lnTo>
                                <a:lnTo>
                                  <a:pt x="224028" y="1584960"/>
                                </a:lnTo>
                                <a:lnTo>
                                  <a:pt x="224028" y="1322832"/>
                                </a:lnTo>
                                <a:close/>
                              </a:path>
                              <a:path w="3302635" h="1584960">
                                <a:moveTo>
                                  <a:pt x="416052" y="0"/>
                                </a:moveTo>
                                <a:lnTo>
                                  <a:pt x="384048" y="0"/>
                                </a:lnTo>
                                <a:lnTo>
                                  <a:pt x="384048" y="1584960"/>
                                </a:lnTo>
                                <a:lnTo>
                                  <a:pt x="416052" y="1584960"/>
                                </a:lnTo>
                                <a:lnTo>
                                  <a:pt x="416052" y="0"/>
                                </a:lnTo>
                                <a:close/>
                              </a:path>
                              <a:path w="3302635" h="1584960">
                                <a:moveTo>
                                  <a:pt x="608076" y="1310640"/>
                                </a:moveTo>
                                <a:lnTo>
                                  <a:pt x="576072" y="1310640"/>
                                </a:lnTo>
                                <a:lnTo>
                                  <a:pt x="576072" y="1584960"/>
                                </a:lnTo>
                                <a:lnTo>
                                  <a:pt x="608076" y="1584960"/>
                                </a:lnTo>
                                <a:lnTo>
                                  <a:pt x="608076" y="1310640"/>
                                </a:lnTo>
                                <a:close/>
                              </a:path>
                              <a:path w="3302635" h="1584960">
                                <a:moveTo>
                                  <a:pt x="801624" y="865632"/>
                                </a:moveTo>
                                <a:lnTo>
                                  <a:pt x="769620" y="865632"/>
                                </a:lnTo>
                                <a:lnTo>
                                  <a:pt x="769620" y="1584960"/>
                                </a:lnTo>
                                <a:lnTo>
                                  <a:pt x="801624" y="1584960"/>
                                </a:lnTo>
                                <a:lnTo>
                                  <a:pt x="801624" y="865632"/>
                                </a:lnTo>
                                <a:close/>
                              </a:path>
                              <a:path w="3302635" h="1584960">
                                <a:moveTo>
                                  <a:pt x="993648" y="1275588"/>
                                </a:moveTo>
                                <a:lnTo>
                                  <a:pt x="961644" y="1275588"/>
                                </a:lnTo>
                                <a:lnTo>
                                  <a:pt x="961644" y="1584960"/>
                                </a:lnTo>
                                <a:lnTo>
                                  <a:pt x="993648" y="1584960"/>
                                </a:lnTo>
                                <a:lnTo>
                                  <a:pt x="993648" y="1275588"/>
                                </a:lnTo>
                                <a:close/>
                              </a:path>
                              <a:path w="3302635" h="1584960">
                                <a:moveTo>
                                  <a:pt x="1185672" y="1042416"/>
                                </a:moveTo>
                                <a:lnTo>
                                  <a:pt x="1153668" y="1042416"/>
                                </a:lnTo>
                                <a:lnTo>
                                  <a:pt x="1153668" y="1584960"/>
                                </a:lnTo>
                                <a:lnTo>
                                  <a:pt x="1185672" y="1584960"/>
                                </a:lnTo>
                                <a:lnTo>
                                  <a:pt x="1185672" y="1042416"/>
                                </a:lnTo>
                                <a:close/>
                              </a:path>
                              <a:path w="3302635" h="1584960">
                                <a:moveTo>
                                  <a:pt x="1379220" y="1211580"/>
                                </a:moveTo>
                                <a:lnTo>
                                  <a:pt x="1347203" y="1211580"/>
                                </a:lnTo>
                                <a:lnTo>
                                  <a:pt x="1347203" y="1584960"/>
                                </a:lnTo>
                                <a:lnTo>
                                  <a:pt x="1379220" y="1584960"/>
                                </a:lnTo>
                                <a:lnTo>
                                  <a:pt x="1379220" y="1211580"/>
                                </a:lnTo>
                                <a:close/>
                              </a:path>
                              <a:path w="3302635" h="1584960">
                                <a:moveTo>
                                  <a:pt x="1571244" y="1037844"/>
                                </a:moveTo>
                                <a:lnTo>
                                  <a:pt x="1539240" y="1037844"/>
                                </a:lnTo>
                                <a:lnTo>
                                  <a:pt x="1539240" y="1584960"/>
                                </a:lnTo>
                                <a:lnTo>
                                  <a:pt x="1571244" y="1584960"/>
                                </a:lnTo>
                                <a:lnTo>
                                  <a:pt x="1571244" y="1037844"/>
                                </a:lnTo>
                                <a:close/>
                              </a:path>
                              <a:path w="3302635" h="1584960">
                                <a:moveTo>
                                  <a:pt x="1763268" y="260604"/>
                                </a:moveTo>
                                <a:lnTo>
                                  <a:pt x="1731264" y="260604"/>
                                </a:lnTo>
                                <a:lnTo>
                                  <a:pt x="1731264" y="1584960"/>
                                </a:lnTo>
                                <a:lnTo>
                                  <a:pt x="1763268" y="1584960"/>
                                </a:lnTo>
                                <a:lnTo>
                                  <a:pt x="1763268" y="260604"/>
                                </a:lnTo>
                                <a:close/>
                              </a:path>
                              <a:path w="3302635" h="1584960">
                                <a:moveTo>
                                  <a:pt x="1955292" y="524256"/>
                                </a:moveTo>
                                <a:lnTo>
                                  <a:pt x="1923288" y="524256"/>
                                </a:lnTo>
                                <a:lnTo>
                                  <a:pt x="1923288" y="1584960"/>
                                </a:lnTo>
                                <a:lnTo>
                                  <a:pt x="1955292" y="1584960"/>
                                </a:lnTo>
                                <a:lnTo>
                                  <a:pt x="1955292" y="524256"/>
                                </a:lnTo>
                                <a:close/>
                              </a:path>
                              <a:path w="3302635" h="1584960">
                                <a:moveTo>
                                  <a:pt x="2148840" y="726948"/>
                                </a:moveTo>
                                <a:lnTo>
                                  <a:pt x="2116836" y="726948"/>
                                </a:lnTo>
                                <a:lnTo>
                                  <a:pt x="2116836" y="1584960"/>
                                </a:lnTo>
                                <a:lnTo>
                                  <a:pt x="2148840" y="1584960"/>
                                </a:lnTo>
                                <a:lnTo>
                                  <a:pt x="2148840" y="726948"/>
                                </a:lnTo>
                                <a:close/>
                              </a:path>
                              <a:path w="3302635" h="1584960">
                                <a:moveTo>
                                  <a:pt x="2340864" y="719328"/>
                                </a:moveTo>
                                <a:lnTo>
                                  <a:pt x="2308860" y="719328"/>
                                </a:lnTo>
                                <a:lnTo>
                                  <a:pt x="2308860" y="1584960"/>
                                </a:lnTo>
                                <a:lnTo>
                                  <a:pt x="2340864" y="1584960"/>
                                </a:lnTo>
                                <a:lnTo>
                                  <a:pt x="2340864" y="719328"/>
                                </a:lnTo>
                                <a:close/>
                              </a:path>
                              <a:path w="3302635" h="1584960">
                                <a:moveTo>
                                  <a:pt x="2532888" y="946404"/>
                                </a:moveTo>
                                <a:lnTo>
                                  <a:pt x="2500884" y="946404"/>
                                </a:lnTo>
                                <a:lnTo>
                                  <a:pt x="2500884" y="1584960"/>
                                </a:lnTo>
                                <a:lnTo>
                                  <a:pt x="2532888" y="1584960"/>
                                </a:lnTo>
                                <a:lnTo>
                                  <a:pt x="2532888" y="946404"/>
                                </a:lnTo>
                                <a:close/>
                              </a:path>
                              <a:path w="3302635" h="1584960">
                                <a:moveTo>
                                  <a:pt x="2726436" y="1088136"/>
                                </a:moveTo>
                                <a:lnTo>
                                  <a:pt x="2692908" y="1088136"/>
                                </a:lnTo>
                                <a:lnTo>
                                  <a:pt x="2692908" y="1584960"/>
                                </a:lnTo>
                                <a:lnTo>
                                  <a:pt x="2726436" y="1584960"/>
                                </a:lnTo>
                                <a:lnTo>
                                  <a:pt x="2726436" y="1088136"/>
                                </a:lnTo>
                                <a:close/>
                              </a:path>
                              <a:path w="3302635" h="1584960">
                                <a:moveTo>
                                  <a:pt x="2918460" y="544068"/>
                                </a:moveTo>
                                <a:lnTo>
                                  <a:pt x="2886456" y="544068"/>
                                </a:lnTo>
                                <a:lnTo>
                                  <a:pt x="2886456" y="1584960"/>
                                </a:lnTo>
                                <a:lnTo>
                                  <a:pt x="2918460" y="1584960"/>
                                </a:lnTo>
                                <a:lnTo>
                                  <a:pt x="2918460" y="544068"/>
                                </a:lnTo>
                                <a:close/>
                              </a:path>
                              <a:path w="3302635" h="1584960">
                                <a:moveTo>
                                  <a:pt x="3110484" y="411480"/>
                                </a:moveTo>
                                <a:lnTo>
                                  <a:pt x="3078480" y="411480"/>
                                </a:lnTo>
                                <a:lnTo>
                                  <a:pt x="3078480" y="1584960"/>
                                </a:lnTo>
                                <a:lnTo>
                                  <a:pt x="3110484" y="1584960"/>
                                </a:lnTo>
                                <a:lnTo>
                                  <a:pt x="3110484" y="411480"/>
                                </a:lnTo>
                                <a:close/>
                              </a:path>
                              <a:path w="3302635" h="1584960">
                                <a:moveTo>
                                  <a:pt x="3302508" y="1408176"/>
                                </a:moveTo>
                                <a:lnTo>
                                  <a:pt x="3270504" y="1408176"/>
                                </a:lnTo>
                                <a:lnTo>
                                  <a:pt x="3270504" y="1584960"/>
                                </a:lnTo>
                                <a:lnTo>
                                  <a:pt x="3302508" y="1584960"/>
                                </a:lnTo>
                                <a:lnTo>
                                  <a:pt x="3302508" y="1408176"/>
                                </a:lnTo>
                                <a:close/>
                              </a:path>
                            </a:pathLst>
                          </a:custGeom>
                          <a:solidFill>
                            <a:srgbClr val="4F81BC"/>
                          </a:solidFill>
                        </wps:spPr>
                        <wps:bodyPr wrap="square" lIns="0" tIns="0" rIns="0" bIns="0" rtlCol="0">
                          <a:prstTxWarp prst="textNoShape">
                            <a:avLst/>
                          </a:prstTxWarp>
                          <a:noAutofit/>
                        </wps:bodyPr>
                      </wps:wsp>
                      <wps:wsp>
                        <wps:cNvPr id="1000" name="Graphic 1000"/>
                        <wps:cNvSpPr/>
                        <wps:spPr>
                          <a:xfrm>
                            <a:off x="1064768" y="329310"/>
                            <a:ext cx="3302635" cy="1584960"/>
                          </a:xfrm>
                          <a:custGeom>
                            <a:avLst/>
                            <a:gdLst/>
                            <a:ahLst/>
                            <a:cxnLst/>
                            <a:rect l="l" t="t" r="r" b="b"/>
                            <a:pathLst>
                              <a:path w="3302635" h="1584960">
                                <a:moveTo>
                                  <a:pt x="32004" y="1440180"/>
                                </a:moveTo>
                                <a:lnTo>
                                  <a:pt x="0" y="1440180"/>
                                </a:lnTo>
                                <a:lnTo>
                                  <a:pt x="0" y="1584960"/>
                                </a:lnTo>
                                <a:lnTo>
                                  <a:pt x="32004" y="1584960"/>
                                </a:lnTo>
                                <a:lnTo>
                                  <a:pt x="32004" y="1440180"/>
                                </a:lnTo>
                                <a:close/>
                              </a:path>
                              <a:path w="3302635" h="1584960">
                                <a:moveTo>
                                  <a:pt x="224028" y="1322832"/>
                                </a:moveTo>
                                <a:lnTo>
                                  <a:pt x="192024" y="1322832"/>
                                </a:lnTo>
                                <a:lnTo>
                                  <a:pt x="192024" y="1584960"/>
                                </a:lnTo>
                                <a:lnTo>
                                  <a:pt x="224028" y="1584960"/>
                                </a:lnTo>
                                <a:lnTo>
                                  <a:pt x="224028" y="1322832"/>
                                </a:lnTo>
                                <a:close/>
                              </a:path>
                              <a:path w="3302635" h="1584960">
                                <a:moveTo>
                                  <a:pt x="416052" y="0"/>
                                </a:moveTo>
                                <a:lnTo>
                                  <a:pt x="384048" y="0"/>
                                </a:lnTo>
                                <a:lnTo>
                                  <a:pt x="384048" y="1584960"/>
                                </a:lnTo>
                                <a:lnTo>
                                  <a:pt x="416052" y="1584960"/>
                                </a:lnTo>
                                <a:lnTo>
                                  <a:pt x="416052" y="0"/>
                                </a:lnTo>
                                <a:close/>
                              </a:path>
                              <a:path w="3302635" h="1584960">
                                <a:moveTo>
                                  <a:pt x="608076" y="1141476"/>
                                </a:moveTo>
                                <a:lnTo>
                                  <a:pt x="576072" y="1141476"/>
                                </a:lnTo>
                                <a:lnTo>
                                  <a:pt x="576072" y="1584960"/>
                                </a:lnTo>
                                <a:lnTo>
                                  <a:pt x="608076" y="1584960"/>
                                </a:lnTo>
                                <a:lnTo>
                                  <a:pt x="608076" y="1141476"/>
                                </a:lnTo>
                                <a:close/>
                              </a:path>
                              <a:path w="3302635" h="1584960">
                                <a:moveTo>
                                  <a:pt x="801624" y="865632"/>
                                </a:moveTo>
                                <a:lnTo>
                                  <a:pt x="769620" y="865632"/>
                                </a:lnTo>
                                <a:lnTo>
                                  <a:pt x="769620" y="1584960"/>
                                </a:lnTo>
                                <a:lnTo>
                                  <a:pt x="801624" y="1584960"/>
                                </a:lnTo>
                                <a:lnTo>
                                  <a:pt x="801624" y="865632"/>
                                </a:lnTo>
                                <a:close/>
                              </a:path>
                              <a:path w="3302635" h="1584960">
                                <a:moveTo>
                                  <a:pt x="993648" y="1275588"/>
                                </a:moveTo>
                                <a:lnTo>
                                  <a:pt x="961644" y="1275588"/>
                                </a:lnTo>
                                <a:lnTo>
                                  <a:pt x="961644" y="1584960"/>
                                </a:lnTo>
                                <a:lnTo>
                                  <a:pt x="993648" y="1584960"/>
                                </a:lnTo>
                                <a:lnTo>
                                  <a:pt x="993648" y="1275588"/>
                                </a:lnTo>
                                <a:close/>
                              </a:path>
                              <a:path w="3302635" h="1584960">
                                <a:moveTo>
                                  <a:pt x="1185672" y="1042416"/>
                                </a:moveTo>
                                <a:lnTo>
                                  <a:pt x="1153668" y="1042416"/>
                                </a:lnTo>
                                <a:lnTo>
                                  <a:pt x="1153668" y="1584960"/>
                                </a:lnTo>
                                <a:lnTo>
                                  <a:pt x="1185672" y="1584960"/>
                                </a:lnTo>
                                <a:lnTo>
                                  <a:pt x="1185672" y="1042416"/>
                                </a:lnTo>
                                <a:close/>
                              </a:path>
                              <a:path w="3302635" h="1584960">
                                <a:moveTo>
                                  <a:pt x="1379220" y="1211580"/>
                                </a:moveTo>
                                <a:lnTo>
                                  <a:pt x="1347216" y="1211580"/>
                                </a:lnTo>
                                <a:lnTo>
                                  <a:pt x="1347216" y="1584960"/>
                                </a:lnTo>
                                <a:lnTo>
                                  <a:pt x="1379220" y="1584960"/>
                                </a:lnTo>
                                <a:lnTo>
                                  <a:pt x="1379220" y="1211580"/>
                                </a:lnTo>
                                <a:close/>
                              </a:path>
                              <a:path w="3302635" h="1584960">
                                <a:moveTo>
                                  <a:pt x="1571244" y="1037844"/>
                                </a:moveTo>
                                <a:lnTo>
                                  <a:pt x="1539240" y="1037844"/>
                                </a:lnTo>
                                <a:lnTo>
                                  <a:pt x="1539240" y="1584960"/>
                                </a:lnTo>
                                <a:lnTo>
                                  <a:pt x="1571244" y="1584960"/>
                                </a:lnTo>
                                <a:lnTo>
                                  <a:pt x="1571244" y="1037844"/>
                                </a:lnTo>
                                <a:close/>
                              </a:path>
                              <a:path w="3302635" h="1584960">
                                <a:moveTo>
                                  <a:pt x="1763268" y="118872"/>
                                </a:moveTo>
                                <a:lnTo>
                                  <a:pt x="1731264" y="118872"/>
                                </a:lnTo>
                                <a:lnTo>
                                  <a:pt x="1731264" y="1584960"/>
                                </a:lnTo>
                                <a:lnTo>
                                  <a:pt x="1763268" y="1584960"/>
                                </a:lnTo>
                                <a:lnTo>
                                  <a:pt x="1763268" y="118872"/>
                                </a:lnTo>
                                <a:close/>
                              </a:path>
                              <a:path w="3302635" h="1584960">
                                <a:moveTo>
                                  <a:pt x="1955292" y="630936"/>
                                </a:moveTo>
                                <a:lnTo>
                                  <a:pt x="1923288" y="630936"/>
                                </a:lnTo>
                                <a:lnTo>
                                  <a:pt x="1923288" y="1584960"/>
                                </a:lnTo>
                                <a:lnTo>
                                  <a:pt x="1955292" y="1584960"/>
                                </a:lnTo>
                                <a:lnTo>
                                  <a:pt x="1955292" y="630936"/>
                                </a:lnTo>
                                <a:close/>
                              </a:path>
                              <a:path w="3302635" h="1584960">
                                <a:moveTo>
                                  <a:pt x="2148840" y="726948"/>
                                </a:moveTo>
                                <a:lnTo>
                                  <a:pt x="2116836" y="726948"/>
                                </a:lnTo>
                                <a:lnTo>
                                  <a:pt x="2116836" y="1584960"/>
                                </a:lnTo>
                                <a:lnTo>
                                  <a:pt x="2148840" y="1584960"/>
                                </a:lnTo>
                                <a:lnTo>
                                  <a:pt x="2148840" y="726948"/>
                                </a:lnTo>
                                <a:close/>
                              </a:path>
                              <a:path w="3302635" h="1584960">
                                <a:moveTo>
                                  <a:pt x="2340864" y="719328"/>
                                </a:moveTo>
                                <a:lnTo>
                                  <a:pt x="2308860" y="719328"/>
                                </a:lnTo>
                                <a:lnTo>
                                  <a:pt x="2308860" y="1584960"/>
                                </a:lnTo>
                                <a:lnTo>
                                  <a:pt x="2340864" y="1584960"/>
                                </a:lnTo>
                                <a:lnTo>
                                  <a:pt x="2340864" y="719328"/>
                                </a:lnTo>
                                <a:close/>
                              </a:path>
                              <a:path w="3302635" h="1584960">
                                <a:moveTo>
                                  <a:pt x="2532888" y="946404"/>
                                </a:moveTo>
                                <a:lnTo>
                                  <a:pt x="2500884" y="946404"/>
                                </a:lnTo>
                                <a:lnTo>
                                  <a:pt x="2500884" y="1584960"/>
                                </a:lnTo>
                                <a:lnTo>
                                  <a:pt x="2532888" y="1584960"/>
                                </a:lnTo>
                                <a:lnTo>
                                  <a:pt x="2532888" y="946404"/>
                                </a:lnTo>
                                <a:close/>
                              </a:path>
                              <a:path w="3302635" h="1584960">
                                <a:moveTo>
                                  <a:pt x="2726436" y="1088136"/>
                                </a:moveTo>
                                <a:lnTo>
                                  <a:pt x="2694432" y="1088136"/>
                                </a:lnTo>
                                <a:lnTo>
                                  <a:pt x="2694432" y="1584960"/>
                                </a:lnTo>
                                <a:lnTo>
                                  <a:pt x="2726436" y="1584960"/>
                                </a:lnTo>
                                <a:lnTo>
                                  <a:pt x="2726436" y="1088136"/>
                                </a:lnTo>
                                <a:close/>
                              </a:path>
                              <a:path w="3302635" h="1584960">
                                <a:moveTo>
                                  <a:pt x="2918460" y="544068"/>
                                </a:moveTo>
                                <a:lnTo>
                                  <a:pt x="2886456" y="544068"/>
                                </a:lnTo>
                                <a:lnTo>
                                  <a:pt x="2886456" y="1584960"/>
                                </a:lnTo>
                                <a:lnTo>
                                  <a:pt x="2918460" y="1584960"/>
                                </a:lnTo>
                                <a:lnTo>
                                  <a:pt x="2918460" y="544068"/>
                                </a:lnTo>
                                <a:close/>
                              </a:path>
                              <a:path w="3302635" h="1584960">
                                <a:moveTo>
                                  <a:pt x="3110484" y="419100"/>
                                </a:moveTo>
                                <a:lnTo>
                                  <a:pt x="3078480" y="419100"/>
                                </a:lnTo>
                                <a:lnTo>
                                  <a:pt x="3078480" y="1584960"/>
                                </a:lnTo>
                                <a:lnTo>
                                  <a:pt x="3110484" y="1584960"/>
                                </a:lnTo>
                                <a:lnTo>
                                  <a:pt x="3110484" y="419100"/>
                                </a:lnTo>
                                <a:close/>
                              </a:path>
                              <a:path w="3302635" h="1584960">
                                <a:moveTo>
                                  <a:pt x="3302508" y="1408176"/>
                                </a:moveTo>
                                <a:lnTo>
                                  <a:pt x="3270504" y="1408176"/>
                                </a:lnTo>
                                <a:lnTo>
                                  <a:pt x="3270504" y="1584960"/>
                                </a:lnTo>
                                <a:lnTo>
                                  <a:pt x="3302508" y="1584960"/>
                                </a:lnTo>
                                <a:lnTo>
                                  <a:pt x="3302508" y="1408176"/>
                                </a:lnTo>
                                <a:close/>
                              </a:path>
                            </a:pathLst>
                          </a:custGeom>
                          <a:solidFill>
                            <a:srgbClr val="C0504D"/>
                          </a:solidFill>
                        </wps:spPr>
                        <wps:bodyPr wrap="square" lIns="0" tIns="0" rIns="0" bIns="0" rtlCol="0">
                          <a:prstTxWarp prst="textNoShape">
                            <a:avLst/>
                          </a:prstTxWarp>
                          <a:noAutofit/>
                        </wps:bodyPr>
                      </wps:wsp>
                      <wps:wsp>
                        <wps:cNvPr id="1001" name="Graphic 1001"/>
                        <wps:cNvSpPr/>
                        <wps:spPr>
                          <a:xfrm>
                            <a:off x="1096772" y="1353438"/>
                            <a:ext cx="3302635" cy="561340"/>
                          </a:xfrm>
                          <a:custGeom>
                            <a:avLst/>
                            <a:gdLst/>
                            <a:ahLst/>
                            <a:cxnLst/>
                            <a:rect l="l" t="t" r="r" b="b"/>
                            <a:pathLst>
                              <a:path w="3302635" h="561340">
                                <a:moveTo>
                                  <a:pt x="32004" y="524256"/>
                                </a:moveTo>
                                <a:lnTo>
                                  <a:pt x="0" y="524256"/>
                                </a:lnTo>
                                <a:lnTo>
                                  <a:pt x="0" y="560832"/>
                                </a:lnTo>
                                <a:lnTo>
                                  <a:pt x="32004" y="560832"/>
                                </a:lnTo>
                                <a:lnTo>
                                  <a:pt x="32004" y="524256"/>
                                </a:lnTo>
                                <a:close/>
                              </a:path>
                              <a:path w="3302635" h="561340">
                                <a:moveTo>
                                  <a:pt x="224028" y="0"/>
                                </a:moveTo>
                                <a:lnTo>
                                  <a:pt x="192024" y="0"/>
                                </a:lnTo>
                                <a:lnTo>
                                  <a:pt x="192024" y="560832"/>
                                </a:lnTo>
                                <a:lnTo>
                                  <a:pt x="224028" y="560832"/>
                                </a:lnTo>
                                <a:lnTo>
                                  <a:pt x="224028" y="0"/>
                                </a:lnTo>
                                <a:close/>
                              </a:path>
                              <a:path w="3302635" h="561340">
                                <a:moveTo>
                                  <a:pt x="416052" y="193548"/>
                                </a:moveTo>
                                <a:lnTo>
                                  <a:pt x="384048" y="193548"/>
                                </a:lnTo>
                                <a:lnTo>
                                  <a:pt x="384048" y="560832"/>
                                </a:lnTo>
                                <a:lnTo>
                                  <a:pt x="416052" y="560832"/>
                                </a:lnTo>
                                <a:lnTo>
                                  <a:pt x="416052" y="193548"/>
                                </a:lnTo>
                                <a:close/>
                              </a:path>
                              <a:path w="3302635" h="561340">
                                <a:moveTo>
                                  <a:pt x="609600" y="252984"/>
                                </a:moveTo>
                                <a:lnTo>
                                  <a:pt x="576072" y="252984"/>
                                </a:lnTo>
                                <a:lnTo>
                                  <a:pt x="576072" y="560832"/>
                                </a:lnTo>
                                <a:lnTo>
                                  <a:pt x="609600" y="560832"/>
                                </a:lnTo>
                                <a:lnTo>
                                  <a:pt x="609600" y="252984"/>
                                </a:lnTo>
                                <a:close/>
                              </a:path>
                              <a:path w="3302635" h="561340">
                                <a:moveTo>
                                  <a:pt x="801624" y="483108"/>
                                </a:moveTo>
                                <a:lnTo>
                                  <a:pt x="769620" y="483108"/>
                                </a:lnTo>
                                <a:lnTo>
                                  <a:pt x="769620" y="560832"/>
                                </a:lnTo>
                                <a:lnTo>
                                  <a:pt x="801624" y="560832"/>
                                </a:lnTo>
                                <a:lnTo>
                                  <a:pt x="801624" y="483108"/>
                                </a:lnTo>
                                <a:close/>
                              </a:path>
                              <a:path w="3302635" h="561340">
                                <a:moveTo>
                                  <a:pt x="993648" y="548640"/>
                                </a:moveTo>
                                <a:lnTo>
                                  <a:pt x="961644" y="548640"/>
                                </a:lnTo>
                                <a:lnTo>
                                  <a:pt x="961644" y="560832"/>
                                </a:lnTo>
                                <a:lnTo>
                                  <a:pt x="993648" y="560832"/>
                                </a:lnTo>
                                <a:lnTo>
                                  <a:pt x="993648" y="548640"/>
                                </a:lnTo>
                                <a:close/>
                              </a:path>
                              <a:path w="3302635" h="561340">
                                <a:moveTo>
                                  <a:pt x="1185672" y="376428"/>
                                </a:moveTo>
                                <a:lnTo>
                                  <a:pt x="1153668" y="376428"/>
                                </a:lnTo>
                                <a:lnTo>
                                  <a:pt x="1153668" y="560832"/>
                                </a:lnTo>
                                <a:lnTo>
                                  <a:pt x="1185672" y="560832"/>
                                </a:lnTo>
                                <a:lnTo>
                                  <a:pt x="1185672" y="376428"/>
                                </a:lnTo>
                                <a:close/>
                              </a:path>
                              <a:path w="3302635" h="561340">
                                <a:moveTo>
                                  <a:pt x="1379220" y="513588"/>
                                </a:moveTo>
                                <a:lnTo>
                                  <a:pt x="1347216" y="513588"/>
                                </a:lnTo>
                                <a:lnTo>
                                  <a:pt x="1347216" y="560832"/>
                                </a:lnTo>
                                <a:lnTo>
                                  <a:pt x="1379220" y="560832"/>
                                </a:lnTo>
                                <a:lnTo>
                                  <a:pt x="1379220" y="513588"/>
                                </a:lnTo>
                                <a:close/>
                              </a:path>
                              <a:path w="3302635" h="561340">
                                <a:moveTo>
                                  <a:pt x="1571244" y="265176"/>
                                </a:moveTo>
                                <a:lnTo>
                                  <a:pt x="1539240" y="265176"/>
                                </a:lnTo>
                                <a:lnTo>
                                  <a:pt x="1539240" y="560832"/>
                                </a:lnTo>
                                <a:lnTo>
                                  <a:pt x="1571244" y="560832"/>
                                </a:lnTo>
                                <a:lnTo>
                                  <a:pt x="1571244" y="265176"/>
                                </a:lnTo>
                                <a:close/>
                              </a:path>
                              <a:path w="3302635" h="561340">
                                <a:moveTo>
                                  <a:pt x="1763268" y="291084"/>
                                </a:moveTo>
                                <a:lnTo>
                                  <a:pt x="1731264" y="291084"/>
                                </a:lnTo>
                                <a:lnTo>
                                  <a:pt x="1731264" y="560832"/>
                                </a:lnTo>
                                <a:lnTo>
                                  <a:pt x="1763268" y="560832"/>
                                </a:lnTo>
                                <a:lnTo>
                                  <a:pt x="1763268" y="291084"/>
                                </a:lnTo>
                                <a:close/>
                              </a:path>
                              <a:path w="3302635" h="561340">
                                <a:moveTo>
                                  <a:pt x="1955292" y="454152"/>
                                </a:moveTo>
                                <a:lnTo>
                                  <a:pt x="1923288" y="454152"/>
                                </a:lnTo>
                                <a:lnTo>
                                  <a:pt x="1923288" y="560832"/>
                                </a:lnTo>
                                <a:lnTo>
                                  <a:pt x="1955292" y="560832"/>
                                </a:lnTo>
                                <a:lnTo>
                                  <a:pt x="1955292" y="454152"/>
                                </a:lnTo>
                                <a:close/>
                              </a:path>
                              <a:path w="3302635" h="561340">
                                <a:moveTo>
                                  <a:pt x="2148840" y="504444"/>
                                </a:moveTo>
                                <a:lnTo>
                                  <a:pt x="2116836" y="504444"/>
                                </a:lnTo>
                                <a:lnTo>
                                  <a:pt x="2116836" y="560832"/>
                                </a:lnTo>
                                <a:lnTo>
                                  <a:pt x="2148840" y="560832"/>
                                </a:lnTo>
                                <a:lnTo>
                                  <a:pt x="2148840" y="504444"/>
                                </a:lnTo>
                                <a:close/>
                              </a:path>
                              <a:path w="3302635" h="561340">
                                <a:moveTo>
                                  <a:pt x="2340864" y="536448"/>
                                </a:moveTo>
                                <a:lnTo>
                                  <a:pt x="2308860" y="536448"/>
                                </a:lnTo>
                                <a:lnTo>
                                  <a:pt x="2308860" y="560832"/>
                                </a:lnTo>
                                <a:lnTo>
                                  <a:pt x="2340864" y="560832"/>
                                </a:lnTo>
                                <a:lnTo>
                                  <a:pt x="2340864" y="536448"/>
                                </a:lnTo>
                                <a:close/>
                              </a:path>
                              <a:path w="3302635" h="561340">
                                <a:moveTo>
                                  <a:pt x="2532888" y="519684"/>
                                </a:moveTo>
                                <a:lnTo>
                                  <a:pt x="2500884" y="519684"/>
                                </a:lnTo>
                                <a:lnTo>
                                  <a:pt x="2500884" y="560832"/>
                                </a:lnTo>
                                <a:lnTo>
                                  <a:pt x="2532888" y="560832"/>
                                </a:lnTo>
                                <a:lnTo>
                                  <a:pt x="2532888" y="519684"/>
                                </a:lnTo>
                                <a:close/>
                              </a:path>
                              <a:path w="3302635" h="561340">
                                <a:moveTo>
                                  <a:pt x="2726436" y="150876"/>
                                </a:moveTo>
                                <a:lnTo>
                                  <a:pt x="2694432" y="150876"/>
                                </a:lnTo>
                                <a:lnTo>
                                  <a:pt x="2694432" y="560832"/>
                                </a:lnTo>
                                <a:lnTo>
                                  <a:pt x="2726436" y="560832"/>
                                </a:lnTo>
                                <a:lnTo>
                                  <a:pt x="2726436" y="150876"/>
                                </a:lnTo>
                                <a:close/>
                              </a:path>
                              <a:path w="3302635" h="561340">
                                <a:moveTo>
                                  <a:pt x="2918460" y="193548"/>
                                </a:moveTo>
                                <a:lnTo>
                                  <a:pt x="2886456" y="193548"/>
                                </a:lnTo>
                                <a:lnTo>
                                  <a:pt x="2886456" y="560832"/>
                                </a:lnTo>
                                <a:lnTo>
                                  <a:pt x="2918460" y="560832"/>
                                </a:lnTo>
                                <a:lnTo>
                                  <a:pt x="2918460" y="193548"/>
                                </a:lnTo>
                                <a:close/>
                              </a:path>
                              <a:path w="3302635" h="561340">
                                <a:moveTo>
                                  <a:pt x="3110484" y="286512"/>
                                </a:moveTo>
                                <a:lnTo>
                                  <a:pt x="3078480" y="286512"/>
                                </a:lnTo>
                                <a:lnTo>
                                  <a:pt x="3078480" y="560832"/>
                                </a:lnTo>
                                <a:lnTo>
                                  <a:pt x="3110484" y="560832"/>
                                </a:lnTo>
                                <a:lnTo>
                                  <a:pt x="3110484" y="286512"/>
                                </a:lnTo>
                                <a:close/>
                              </a:path>
                              <a:path w="3302635" h="561340">
                                <a:moveTo>
                                  <a:pt x="3302508" y="521208"/>
                                </a:moveTo>
                                <a:lnTo>
                                  <a:pt x="3270504" y="521208"/>
                                </a:lnTo>
                                <a:lnTo>
                                  <a:pt x="3270504" y="560832"/>
                                </a:lnTo>
                                <a:lnTo>
                                  <a:pt x="3302508" y="560832"/>
                                </a:lnTo>
                                <a:lnTo>
                                  <a:pt x="3302508" y="521208"/>
                                </a:lnTo>
                                <a:close/>
                              </a:path>
                            </a:pathLst>
                          </a:custGeom>
                          <a:solidFill>
                            <a:srgbClr val="9BBA58"/>
                          </a:solidFill>
                        </wps:spPr>
                        <wps:bodyPr wrap="square" lIns="0" tIns="0" rIns="0" bIns="0" rtlCol="0">
                          <a:prstTxWarp prst="textNoShape">
                            <a:avLst/>
                          </a:prstTxWarp>
                          <a:noAutofit/>
                        </wps:bodyPr>
                      </wps:wsp>
                      <wps:wsp>
                        <wps:cNvPr id="1002" name="Graphic 1002"/>
                        <wps:cNvSpPr/>
                        <wps:spPr>
                          <a:xfrm>
                            <a:off x="944372" y="147954"/>
                            <a:ext cx="3503929" cy="1766570"/>
                          </a:xfrm>
                          <a:custGeom>
                            <a:avLst/>
                            <a:gdLst/>
                            <a:ahLst/>
                            <a:cxnLst/>
                            <a:rect l="l" t="t" r="r" b="b"/>
                            <a:pathLst>
                              <a:path w="3503929" h="1766570">
                                <a:moveTo>
                                  <a:pt x="39623" y="1766316"/>
                                </a:moveTo>
                                <a:lnTo>
                                  <a:pt x="39623" y="0"/>
                                </a:lnTo>
                              </a:path>
                              <a:path w="3503929" h="1766570">
                                <a:moveTo>
                                  <a:pt x="0" y="1766316"/>
                                </a:moveTo>
                                <a:lnTo>
                                  <a:pt x="39623" y="1766316"/>
                                </a:lnTo>
                              </a:path>
                              <a:path w="3503929" h="1766570">
                                <a:moveTo>
                                  <a:pt x="0" y="1589532"/>
                                </a:moveTo>
                                <a:lnTo>
                                  <a:pt x="39623" y="1589532"/>
                                </a:lnTo>
                              </a:path>
                              <a:path w="3503929" h="1766570">
                                <a:moveTo>
                                  <a:pt x="0" y="1412748"/>
                                </a:moveTo>
                                <a:lnTo>
                                  <a:pt x="39623" y="1412748"/>
                                </a:lnTo>
                              </a:path>
                              <a:path w="3503929" h="1766570">
                                <a:moveTo>
                                  <a:pt x="0" y="1235964"/>
                                </a:moveTo>
                                <a:lnTo>
                                  <a:pt x="39623" y="1235964"/>
                                </a:lnTo>
                              </a:path>
                              <a:path w="3503929" h="1766570">
                                <a:moveTo>
                                  <a:pt x="0" y="1059180"/>
                                </a:moveTo>
                                <a:lnTo>
                                  <a:pt x="39623" y="1059180"/>
                                </a:lnTo>
                              </a:path>
                              <a:path w="3503929" h="1766570">
                                <a:moveTo>
                                  <a:pt x="0" y="882395"/>
                                </a:moveTo>
                                <a:lnTo>
                                  <a:pt x="39623" y="882395"/>
                                </a:lnTo>
                              </a:path>
                              <a:path w="3503929" h="1766570">
                                <a:moveTo>
                                  <a:pt x="0" y="707136"/>
                                </a:moveTo>
                                <a:lnTo>
                                  <a:pt x="39623" y="707136"/>
                                </a:lnTo>
                              </a:path>
                              <a:path w="3503929" h="1766570">
                                <a:moveTo>
                                  <a:pt x="0" y="530351"/>
                                </a:moveTo>
                                <a:lnTo>
                                  <a:pt x="39623" y="530351"/>
                                </a:lnTo>
                              </a:path>
                              <a:path w="3503929" h="1766570">
                                <a:moveTo>
                                  <a:pt x="0" y="353567"/>
                                </a:moveTo>
                                <a:lnTo>
                                  <a:pt x="39623" y="353567"/>
                                </a:lnTo>
                              </a:path>
                              <a:path w="3503929" h="1766570">
                                <a:moveTo>
                                  <a:pt x="0" y="176784"/>
                                </a:moveTo>
                                <a:lnTo>
                                  <a:pt x="39623" y="176784"/>
                                </a:lnTo>
                              </a:path>
                              <a:path w="3503929" h="1766570">
                                <a:moveTo>
                                  <a:pt x="0" y="0"/>
                                </a:moveTo>
                                <a:lnTo>
                                  <a:pt x="39623" y="0"/>
                                </a:lnTo>
                              </a:path>
                              <a:path w="3503929" h="1766570">
                                <a:moveTo>
                                  <a:pt x="39623" y="1766316"/>
                                </a:moveTo>
                                <a:lnTo>
                                  <a:pt x="3503676" y="1766316"/>
                                </a:lnTo>
                              </a:path>
                            </a:pathLst>
                          </a:custGeom>
                          <a:ln w="9144">
                            <a:solidFill>
                              <a:srgbClr val="858585"/>
                            </a:solidFill>
                            <a:prstDash val="solid"/>
                          </a:ln>
                        </wps:spPr>
                        <wps:bodyPr wrap="square" lIns="0" tIns="0" rIns="0" bIns="0" rtlCol="0">
                          <a:prstTxWarp prst="textNoShape">
                            <a:avLst/>
                          </a:prstTxWarp>
                          <a:noAutofit/>
                        </wps:bodyPr>
                      </wps:wsp>
                      <wps:wsp>
                        <wps:cNvPr id="1003" name="Graphic 1003"/>
                        <wps:cNvSpPr/>
                        <wps:spPr>
                          <a:xfrm>
                            <a:off x="241300" y="872108"/>
                            <a:ext cx="36830" cy="83820"/>
                          </a:xfrm>
                          <a:custGeom>
                            <a:avLst/>
                            <a:gdLst/>
                            <a:ahLst/>
                            <a:cxnLst/>
                            <a:rect l="l" t="t" r="r" b="b"/>
                            <a:pathLst>
                              <a:path w="36830" h="83820">
                                <a:moveTo>
                                  <a:pt x="12192" y="0"/>
                                </a:moveTo>
                                <a:lnTo>
                                  <a:pt x="0" y="0"/>
                                </a:lnTo>
                                <a:lnTo>
                                  <a:pt x="0" y="83820"/>
                                </a:lnTo>
                                <a:lnTo>
                                  <a:pt x="12192" y="83820"/>
                                </a:lnTo>
                                <a:lnTo>
                                  <a:pt x="12192" y="0"/>
                                </a:lnTo>
                                <a:close/>
                              </a:path>
                              <a:path w="36830" h="83820">
                                <a:moveTo>
                                  <a:pt x="36576" y="0"/>
                                </a:moveTo>
                                <a:lnTo>
                                  <a:pt x="24384" y="0"/>
                                </a:lnTo>
                                <a:lnTo>
                                  <a:pt x="24384" y="83820"/>
                                </a:lnTo>
                                <a:lnTo>
                                  <a:pt x="36576" y="83820"/>
                                </a:lnTo>
                                <a:lnTo>
                                  <a:pt x="36576" y="0"/>
                                </a:lnTo>
                                <a:close/>
                              </a:path>
                            </a:pathLst>
                          </a:custGeom>
                          <a:solidFill>
                            <a:srgbClr val="000000"/>
                          </a:solidFill>
                        </wps:spPr>
                        <wps:bodyPr wrap="square" lIns="0" tIns="0" rIns="0" bIns="0" rtlCol="0">
                          <a:prstTxWarp prst="textNoShape">
                            <a:avLst/>
                          </a:prstTxWarp>
                          <a:noAutofit/>
                        </wps:bodyPr>
                      </wps:wsp>
                      <wps:wsp>
                        <wps:cNvPr id="1004" name="Graphic 1004"/>
                        <wps:cNvSpPr/>
                        <wps:spPr>
                          <a:xfrm>
                            <a:off x="4650740" y="1088263"/>
                            <a:ext cx="70485" cy="70485"/>
                          </a:xfrm>
                          <a:custGeom>
                            <a:avLst/>
                            <a:gdLst/>
                            <a:ahLst/>
                            <a:cxnLst/>
                            <a:rect l="l" t="t" r="r" b="b"/>
                            <a:pathLst>
                              <a:path w="70485" h="70485">
                                <a:moveTo>
                                  <a:pt x="70103" y="0"/>
                                </a:moveTo>
                                <a:lnTo>
                                  <a:pt x="0" y="0"/>
                                </a:lnTo>
                                <a:lnTo>
                                  <a:pt x="0" y="70104"/>
                                </a:lnTo>
                                <a:lnTo>
                                  <a:pt x="70103" y="70104"/>
                                </a:lnTo>
                                <a:lnTo>
                                  <a:pt x="70103" y="0"/>
                                </a:lnTo>
                                <a:close/>
                              </a:path>
                            </a:pathLst>
                          </a:custGeom>
                          <a:solidFill>
                            <a:srgbClr val="4F81BC"/>
                          </a:solidFill>
                        </wps:spPr>
                        <wps:bodyPr wrap="square" lIns="0" tIns="0" rIns="0" bIns="0" rtlCol="0">
                          <a:prstTxWarp prst="textNoShape">
                            <a:avLst/>
                          </a:prstTxWarp>
                          <a:noAutofit/>
                        </wps:bodyPr>
                      </wps:wsp>
                      <wps:wsp>
                        <wps:cNvPr id="1005" name="Graphic 1005"/>
                        <wps:cNvSpPr/>
                        <wps:spPr>
                          <a:xfrm>
                            <a:off x="4650740" y="1318386"/>
                            <a:ext cx="70485" cy="68580"/>
                          </a:xfrm>
                          <a:custGeom>
                            <a:avLst/>
                            <a:gdLst/>
                            <a:ahLst/>
                            <a:cxnLst/>
                            <a:rect l="l" t="t" r="r" b="b"/>
                            <a:pathLst>
                              <a:path w="70485" h="68580">
                                <a:moveTo>
                                  <a:pt x="70103" y="0"/>
                                </a:moveTo>
                                <a:lnTo>
                                  <a:pt x="0" y="0"/>
                                </a:lnTo>
                                <a:lnTo>
                                  <a:pt x="0" y="68580"/>
                                </a:lnTo>
                                <a:lnTo>
                                  <a:pt x="70103" y="68580"/>
                                </a:lnTo>
                                <a:lnTo>
                                  <a:pt x="70103" y="0"/>
                                </a:lnTo>
                                <a:close/>
                              </a:path>
                            </a:pathLst>
                          </a:custGeom>
                          <a:solidFill>
                            <a:srgbClr val="C0504D"/>
                          </a:solidFill>
                        </wps:spPr>
                        <wps:bodyPr wrap="square" lIns="0" tIns="0" rIns="0" bIns="0" rtlCol="0">
                          <a:prstTxWarp prst="textNoShape">
                            <a:avLst/>
                          </a:prstTxWarp>
                          <a:noAutofit/>
                        </wps:bodyPr>
                      </wps:wsp>
                      <wps:wsp>
                        <wps:cNvPr id="1006" name="Graphic 1006"/>
                        <wps:cNvSpPr/>
                        <wps:spPr>
                          <a:xfrm>
                            <a:off x="4650740" y="1546986"/>
                            <a:ext cx="70485" cy="70485"/>
                          </a:xfrm>
                          <a:custGeom>
                            <a:avLst/>
                            <a:gdLst/>
                            <a:ahLst/>
                            <a:cxnLst/>
                            <a:rect l="l" t="t" r="r" b="b"/>
                            <a:pathLst>
                              <a:path w="70485" h="70485">
                                <a:moveTo>
                                  <a:pt x="70103" y="0"/>
                                </a:moveTo>
                                <a:lnTo>
                                  <a:pt x="0" y="0"/>
                                </a:lnTo>
                                <a:lnTo>
                                  <a:pt x="0" y="70104"/>
                                </a:lnTo>
                                <a:lnTo>
                                  <a:pt x="70103" y="70104"/>
                                </a:lnTo>
                                <a:lnTo>
                                  <a:pt x="70103" y="0"/>
                                </a:lnTo>
                                <a:close/>
                              </a:path>
                            </a:pathLst>
                          </a:custGeom>
                          <a:solidFill>
                            <a:srgbClr val="9BBA58"/>
                          </a:solidFill>
                        </wps:spPr>
                        <wps:bodyPr wrap="square" lIns="0" tIns="0" rIns="0" bIns="0" rtlCol="0">
                          <a:prstTxWarp prst="textNoShape">
                            <a:avLst/>
                          </a:prstTxWarp>
                          <a:noAutofit/>
                        </wps:bodyPr>
                      </wps:wsp>
                      <wps:wsp>
                        <wps:cNvPr id="1007" name="Graphic 1007"/>
                        <wps:cNvSpPr/>
                        <wps:spPr>
                          <a:xfrm>
                            <a:off x="6350" y="6350"/>
                            <a:ext cx="5925820" cy="2693035"/>
                          </a:xfrm>
                          <a:custGeom>
                            <a:avLst/>
                            <a:gdLst/>
                            <a:ahLst/>
                            <a:cxnLst/>
                            <a:rect l="l" t="t" r="r" b="b"/>
                            <a:pathLst>
                              <a:path w="5925820" h="2693035">
                                <a:moveTo>
                                  <a:pt x="0" y="2692907"/>
                                </a:moveTo>
                                <a:lnTo>
                                  <a:pt x="5925692" y="2692907"/>
                                </a:lnTo>
                                <a:lnTo>
                                  <a:pt x="5925692" y="0"/>
                                </a:lnTo>
                                <a:lnTo>
                                  <a:pt x="0" y="0"/>
                                </a:lnTo>
                                <a:lnTo>
                                  <a:pt x="0" y="2692907"/>
                                </a:lnTo>
                                <a:close/>
                              </a:path>
                            </a:pathLst>
                          </a:custGeom>
                          <a:ln w="12700">
                            <a:solidFill>
                              <a:srgbClr val="858585"/>
                            </a:solidFill>
                            <a:prstDash val="solid"/>
                          </a:ln>
                        </wps:spPr>
                        <wps:bodyPr wrap="square" lIns="0" tIns="0" rIns="0" bIns="0" rtlCol="0">
                          <a:prstTxWarp prst="textNoShape">
                            <a:avLst/>
                          </a:prstTxWarp>
                          <a:noAutofit/>
                        </wps:bodyPr>
                      </wps:wsp>
                      <wps:wsp>
                        <wps:cNvPr id="1008" name="Textbox 1008"/>
                        <wps:cNvSpPr txBox="1"/>
                        <wps:spPr>
                          <a:xfrm>
                            <a:off x="416813" y="89027"/>
                            <a:ext cx="462280" cy="1894839"/>
                          </a:xfrm>
                          <a:prstGeom prst="rect">
                            <a:avLst/>
                          </a:prstGeom>
                        </wps:spPr>
                        <wps:txbx>
                          <w:txbxContent>
                            <w:p>
                              <w:pPr>
                                <w:spacing w:line="203" w:lineRule="exact" w:before="0"/>
                                <w:ind w:left="0" w:right="19" w:firstLine="0"/>
                                <w:jc w:val="right"/>
                                <w:rPr>
                                  <w:rFonts w:ascii="Calibri"/>
                                  <w:sz w:val="20"/>
                                </w:rPr>
                              </w:pPr>
                              <w:r>
                                <w:rPr>
                                  <w:rFonts w:ascii="Calibri"/>
                                  <w:spacing w:val="-2"/>
                                  <w:sz w:val="20"/>
                                </w:rPr>
                                <w:t>5000000</w:t>
                              </w:r>
                            </w:p>
                            <w:p>
                              <w:pPr>
                                <w:spacing w:before="34"/>
                                <w:ind w:left="0" w:right="19" w:firstLine="0"/>
                                <w:jc w:val="right"/>
                                <w:rPr>
                                  <w:rFonts w:ascii="Calibri"/>
                                  <w:sz w:val="20"/>
                                </w:rPr>
                              </w:pPr>
                              <w:r>
                                <w:rPr>
                                  <w:rFonts w:ascii="Calibri"/>
                                  <w:spacing w:val="-2"/>
                                  <w:sz w:val="20"/>
                                </w:rPr>
                                <w:t>4500000</w:t>
                              </w:r>
                            </w:p>
                            <w:p>
                              <w:pPr>
                                <w:spacing w:before="34"/>
                                <w:ind w:left="0" w:right="19" w:firstLine="0"/>
                                <w:jc w:val="right"/>
                                <w:rPr>
                                  <w:rFonts w:ascii="Calibri"/>
                                  <w:sz w:val="20"/>
                                </w:rPr>
                              </w:pPr>
                              <w:r>
                                <w:rPr>
                                  <w:rFonts w:ascii="Calibri"/>
                                  <w:spacing w:val="-2"/>
                                  <w:sz w:val="20"/>
                                </w:rPr>
                                <w:t>4000000</w:t>
                              </w:r>
                            </w:p>
                            <w:p>
                              <w:pPr>
                                <w:spacing w:before="34"/>
                                <w:ind w:left="0" w:right="19" w:firstLine="0"/>
                                <w:jc w:val="right"/>
                                <w:rPr>
                                  <w:rFonts w:ascii="Calibri"/>
                                  <w:sz w:val="20"/>
                                </w:rPr>
                              </w:pPr>
                              <w:r>
                                <w:rPr>
                                  <w:rFonts w:ascii="Calibri"/>
                                  <w:spacing w:val="-2"/>
                                  <w:sz w:val="20"/>
                                </w:rPr>
                                <w:t>3500000</w:t>
                              </w:r>
                            </w:p>
                            <w:p>
                              <w:pPr>
                                <w:spacing w:before="35"/>
                                <w:ind w:left="0" w:right="19" w:firstLine="0"/>
                                <w:jc w:val="right"/>
                                <w:rPr>
                                  <w:rFonts w:ascii="Calibri"/>
                                  <w:sz w:val="20"/>
                                </w:rPr>
                              </w:pPr>
                              <w:r>
                                <w:rPr>
                                  <w:rFonts w:ascii="Calibri"/>
                                  <w:spacing w:val="-2"/>
                                  <w:sz w:val="20"/>
                                </w:rPr>
                                <w:t>3000000</w:t>
                              </w:r>
                            </w:p>
                            <w:p>
                              <w:pPr>
                                <w:spacing w:before="34"/>
                                <w:ind w:left="0" w:right="19" w:firstLine="0"/>
                                <w:jc w:val="right"/>
                                <w:rPr>
                                  <w:rFonts w:ascii="Calibri"/>
                                  <w:sz w:val="20"/>
                                </w:rPr>
                              </w:pPr>
                              <w:r>
                                <w:rPr>
                                  <w:rFonts w:ascii="Calibri"/>
                                  <w:spacing w:val="-2"/>
                                  <w:sz w:val="20"/>
                                </w:rPr>
                                <w:t>2500000</w:t>
                              </w:r>
                            </w:p>
                            <w:p>
                              <w:pPr>
                                <w:spacing w:before="34"/>
                                <w:ind w:left="0" w:right="19" w:firstLine="0"/>
                                <w:jc w:val="right"/>
                                <w:rPr>
                                  <w:rFonts w:ascii="Calibri"/>
                                  <w:sz w:val="20"/>
                                </w:rPr>
                              </w:pPr>
                              <w:r>
                                <w:rPr>
                                  <w:rFonts w:ascii="Calibri"/>
                                  <w:spacing w:val="-2"/>
                                  <w:sz w:val="20"/>
                                </w:rPr>
                                <w:t>2000000</w:t>
                              </w:r>
                            </w:p>
                            <w:p>
                              <w:pPr>
                                <w:spacing w:before="35"/>
                                <w:ind w:left="0" w:right="19" w:firstLine="0"/>
                                <w:jc w:val="right"/>
                                <w:rPr>
                                  <w:rFonts w:ascii="Calibri"/>
                                  <w:sz w:val="20"/>
                                </w:rPr>
                              </w:pPr>
                              <w:r>
                                <w:rPr>
                                  <w:rFonts w:ascii="Calibri"/>
                                  <w:spacing w:val="-2"/>
                                  <w:sz w:val="20"/>
                                </w:rPr>
                                <w:t>1500000</w:t>
                              </w:r>
                            </w:p>
                            <w:p>
                              <w:pPr>
                                <w:spacing w:before="34"/>
                                <w:ind w:left="0" w:right="19" w:firstLine="0"/>
                                <w:jc w:val="right"/>
                                <w:rPr>
                                  <w:rFonts w:ascii="Calibri"/>
                                  <w:sz w:val="20"/>
                                </w:rPr>
                              </w:pPr>
                              <w:r>
                                <w:rPr>
                                  <w:rFonts w:ascii="Calibri"/>
                                  <w:spacing w:val="-2"/>
                                  <w:sz w:val="20"/>
                                </w:rPr>
                                <w:t>1000000</w:t>
                              </w:r>
                            </w:p>
                            <w:p>
                              <w:pPr>
                                <w:spacing w:before="35"/>
                                <w:ind w:left="0" w:right="19" w:firstLine="0"/>
                                <w:jc w:val="right"/>
                                <w:rPr>
                                  <w:rFonts w:ascii="Calibri"/>
                                  <w:sz w:val="20"/>
                                </w:rPr>
                              </w:pPr>
                              <w:r>
                                <w:rPr>
                                  <w:rFonts w:ascii="Calibri"/>
                                  <w:spacing w:val="-2"/>
                                  <w:sz w:val="20"/>
                                </w:rPr>
                                <w:t>500000</w:t>
                              </w:r>
                            </w:p>
                            <w:p>
                              <w:pPr>
                                <w:spacing w:line="240" w:lineRule="exact" w:before="34"/>
                                <w:ind w:left="0" w:right="18" w:firstLine="0"/>
                                <w:jc w:val="right"/>
                                <w:rPr>
                                  <w:rFonts w:ascii="Calibri"/>
                                  <w:sz w:val="20"/>
                                </w:rPr>
                              </w:pPr>
                              <w:r>
                                <w:rPr>
                                  <w:rFonts w:ascii="Calibri"/>
                                  <w:spacing w:val="-10"/>
                                  <w:sz w:val="20"/>
                                </w:rPr>
                                <w:t>0</w:t>
                              </w:r>
                            </w:p>
                          </w:txbxContent>
                        </wps:txbx>
                        <wps:bodyPr wrap="square" lIns="0" tIns="0" rIns="0" bIns="0" rtlCol="0">
                          <a:noAutofit/>
                        </wps:bodyPr>
                      </wps:wsp>
                      <wps:wsp>
                        <wps:cNvPr id="1009" name="Textbox 1009"/>
                        <wps:cNvSpPr txBox="1"/>
                        <wps:spPr>
                          <a:xfrm>
                            <a:off x="4751578" y="1065022"/>
                            <a:ext cx="1061085" cy="586105"/>
                          </a:xfrm>
                          <a:prstGeom prst="rect">
                            <a:avLst/>
                          </a:prstGeom>
                        </wps:spPr>
                        <wps:txbx>
                          <w:txbxContent>
                            <w:p>
                              <w:pPr>
                                <w:spacing w:line="203" w:lineRule="exact" w:before="0"/>
                                <w:ind w:left="0" w:right="0" w:firstLine="0"/>
                                <w:jc w:val="left"/>
                                <w:rPr>
                                  <w:rFonts w:ascii="Calibri"/>
                                  <w:sz w:val="20"/>
                                </w:rPr>
                              </w:pPr>
                              <w:r>
                                <w:rPr>
                                  <w:rFonts w:ascii="Calibri"/>
                                  <w:sz w:val="20"/>
                                </w:rPr>
                                <w:t>Budget</w:t>
                              </w:r>
                              <w:r>
                                <w:rPr>
                                  <w:rFonts w:ascii="Calibri"/>
                                  <w:spacing w:val="-10"/>
                                  <w:sz w:val="20"/>
                                </w:rPr>
                                <w:t> </w:t>
                              </w:r>
                              <w:r>
                                <w:rPr>
                                  <w:rFonts w:ascii="Calibri"/>
                                  <w:spacing w:val="-2"/>
                                  <w:sz w:val="20"/>
                                </w:rPr>
                                <w:t>Estimate</w:t>
                              </w:r>
                            </w:p>
                            <w:p>
                              <w:pPr>
                                <w:spacing w:line="360" w:lineRule="atLeast" w:before="0"/>
                                <w:ind w:left="0" w:right="0" w:firstLine="0"/>
                                <w:jc w:val="left"/>
                                <w:rPr>
                                  <w:rFonts w:ascii="Calibri"/>
                                  <w:sz w:val="20"/>
                                </w:rPr>
                              </w:pPr>
                              <w:r>
                                <w:rPr>
                                  <w:rFonts w:ascii="Calibri"/>
                                  <w:spacing w:val="-2"/>
                                  <w:sz w:val="20"/>
                                </w:rPr>
                                <w:t>Approved</w:t>
                              </w:r>
                              <w:r>
                                <w:rPr>
                                  <w:rFonts w:ascii="Calibri"/>
                                  <w:spacing w:val="-10"/>
                                  <w:sz w:val="20"/>
                                </w:rPr>
                                <w:t> </w:t>
                              </w:r>
                              <w:r>
                                <w:rPr>
                                  <w:rFonts w:ascii="Calibri"/>
                                  <w:spacing w:val="-2"/>
                                  <w:sz w:val="20"/>
                                </w:rPr>
                                <w:t>Allocation </w:t>
                              </w:r>
                              <w:r>
                                <w:rPr>
                                  <w:rFonts w:ascii="Calibri"/>
                                  <w:sz w:val="20"/>
                                </w:rPr>
                                <w:t>Actual Expenditure</w:t>
                              </w:r>
                            </w:p>
                          </w:txbxContent>
                        </wps:txbx>
                        <wps:bodyPr wrap="square" lIns="0" tIns="0" rIns="0" bIns="0" rtlCol="0">
                          <a:noAutofit/>
                        </wps:bodyPr>
                      </wps:wsp>
                      <wps:wsp>
                        <wps:cNvPr id="1010" name="Textbox 1010"/>
                        <wps:cNvSpPr txBox="1"/>
                        <wps:spPr>
                          <a:xfrm>
                            <a:off x="2571369" y="2412238"/>
                            <a:ext cx="300990"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Years</w:t>
                              </w:r>
                            </w:p>
                          </w:txbxContent>
                        </wps:txbx>
                        <wps:bodyPr wrap="square" lIns="0" tIns="0" rIns="0" bIns="0" rtlCol="0">
                          <a:noAutofit/>
                        </wps:bodyPr>
                      </wps:wsp>
                    </wpg:wgp>
                  </a:graphicData>
                </a:graphic>
              </wp:anchor>
            </w:drawing>
          </mc:Choice>
          <mc:Fallback>
            <w:pict>
              <v:group style="position:absolute;margin-left:73pt;margin-top:173.618744pt;width:467.6pt;height:213.05pt;mso-position-horizontal-relative:page;mso-position-vertical-relative:paragraph;z-index:15772672" id="docshapegroup946" coordorigin="1460,3472" coordsize="9352,4261">
                <v:shape style="position:absolute;left:3009;top:3705;width:5456;height:2504" id="docshape947" coordorigin="3010,3705" coordsize="5456,2504" path="m3010,6209l8465,6209m3010,5930l8465,5930m3010,5652l8465,5652m3010,5373l8465,5373m3010,5095l8465,5095m3010,4819l8465,4819m3010,4541l8465,4541m3010,4262l8465,4262m3010,3984l8465,3984m3010,3705l8465,3705e" filled="false" stroked="true" strokeweight=".72pt" strokecolor="#858585">
                  <v:path arrowok="t"/>
                  <v:stroke dashstyle="solid"/>
                </v:shape>
                <v:shape style="position:absolute;left:3086;top:3990;width:5201;height:2496" id="docshape948" coordorigin="3086,3991" coordsize="5201,2496" path="m3137,6405l3086,6405,3086,6487,3137,6487,3137,6405xm3439,6074l3389,6074,3389,6487,3439,6487,3439,6074xm3742,3991l3691,3991,3691,6487,3742,6487,3742,3991xm4044,6055l3994,6055,3994,6487,4044,6487,4044,6055xm4349,5354l4298,5354,4298,6487,4349,6487,4349,5354xm4651,6000l4601,6000,4601,6487,4651,6487,4651,6000xm4954,5633l4903,5633,4903,6487,4954,6487,4954,5633xm5258,5899l5208,5899,5208,6487,5258,6487,5258,5899xm5561,5625l5510,5625,5510,6487,5561,6487,5561,5625xm5863,4401l5813,4401,5813,6487,5863,6487,5863,4401xm6166,4817l6115,4817,6115,6487,6166,6487,6166,4817xm6470,5136l6420,5136,6420,6487,6470,6487,6470,5136xm6773,5124l6722,5124,6722,6487,6773,6487,6773,5124xm7075,5481l7025,5481,7025,6487,7075,6487,7075,5481xm7380,5705l7327,5705,7327,6487,7380,6487,7380,5705xm7682,4848l7632,4848,7632,6487,7682,6487,7682,4848xm7985,4639l7934,4639,7934,6487,7985,6487,7985,4639xm8287,6209l8237,6209,8237,6487,8287,6487,8287,6209xe" filled="true" fillcolor="#4f81bc" stroked="false">
                  <v:path arrowok="t"/>
                  <v:fill type="solid"/>
                </v:shape>
                <v:shape style="position:absolute;left:3136;top:3990;width:5201;height:2496" id="docshape949" coordorigin="3137,3991" coordsize="5201,2496" path="m3187,6259l3137,6259,3137,6487,3187,6487,3187,6259xm3490,6074l3439,6074,3439,6487,3490,6487,3490,6074xm3792,3991l3742,3991,3742,6487,3792,6487,3792,3991xm4094,5789l4044,5789,4044,6487,4094,6487,4094,5789xm4399,5354l4349,5354,4349,6487,4399,6487,4399,5354xm4702,6000l4651,6000,4651,6487,4702,6487,4702,6000xm5004,5633l4954,5633,4954,6487,5004,6487,5004,5633xm5309,5899l5258,5899,5258,6487,5309,6487,5309,5899xm5611,5625l5561,5625,5561,6487,5611,6487,5611,5625xm5914,4178l5863,4178,5863,6487,5914,6487,5914,4178xm6216,4985l6166,4985,6166,6487,6216,6487,6216,4985xm6521,5136l6470,5136,6470,6487,6521,6487,6521,5136xm6823,5124l6773,5124,6773,6487,6823,6487,6823,5124xm7126,5481l7075,5481,7075,6487,7126,6487,7126,5481xm7430,5705l7380,5705,7380,6487,7430,6487,7430,5705xm7733,4848l7682,4848,7682,6487,7733,6487,7733,4848xm8035,4651l7985,4651,7985,6487,8035,6487,8035,4651xm8338,6209l8287,6209,8287,6487,8338,6487,8338,6209xe" filled="true" fillcolor="#c0504d" stroked="false">
                  <v:path arrowok="t"/>
                  <v:fill type="solid"/>
                </v:shape>
                <v:shape style="position:absolute;left:3187;top:5603;width:5201;height:884" id="docshape950" coordorigin="3187,5604" coordsize="5201,884" path="m3238,6429l3187,6429,3187,6487,3238,6487,3238,6429xm3540,5604l3490,5604,3490,6487,3540,6487,3540,5604xm3842,5909l3792,5909,3792,6487,3842,6487,3842,5909xm4147,6002l4094,6002,4094,6487,4147,6487,4147,6002xm4450,6365l4399,6365,4399,6487,4450,6487,4450,6365xm4752,6468l4702,6468,4702,6487,4752,6487,4752,6468xm5054,6197l5004,6197,5004,6487,5054,6487,5054,6197xm5359,6413l5309,6413,5309,6487,5359,6487,5359,6413xm5662,6021l5611,6021,5611,6487,5662,6487,5662,6021xm5964,6062l5914,6062,5914,6487,5964,6487,5964,6062xm6266,6319l6216,6319,6216,6487,6266,6487,6266,6319xm6571,6398l6521,6398,6521,6487,6571,6487,6571,6398xm6874,6449l6823,6449,6823,6487,6874,6487,6874,6449xm7176,6422l7126,6422,7126,6487,7176,6487,7176,6422xm7481,5841l7430,5841,7430,6487,7481,6487,7481,5841xm7783,5909l7733,5909,7733,6487,7783,6487,7783,5909xm8086,6055l8035,6055,8035,6487,8086,6487,8086,6055xm8388,6425l8338,6425,8338,6487,8388,6487,8388,6425xe" filled="true" fillcolor="#9bba58" stroked="false">
                  <v:path arrowok="t"/>
                  <v:fill type="solid"/>
                </v:shape>
                <v:shape style="position:absolute;left:2947;top:3705;width:5518;height:2782" id="docshape951" coordorigin="2947,3705" coordsize="5518,2782" path="m3010,6487l3010,3705m2947,6487l3010,6487m2947,6209l3010,6209m2947,5930l3010,5930m2947,5652l3010,5652m2947,5373l3010,5373m2947,5095l3010,5095m2947,4819l3010,4819m2947,4541l3010,4541m2947,4262l3010,4262m2947,3984l3010,3984m2947,3705l3010,3705m3010,6487l8465,6487e" filled="false" stroked="true" strokeweight=".72pt" strokecolor="#858585">
                  <v:path arrowok="t"/>
                  <v:stroke dashstyle="solid"/>
                </v:shape>
                <v:shape style="position:absolute;left:1840;top:4845;width:58;height:132" id="docshape952" coordorigin="1840,4846" coordsize="58,132" path="m1859,4846l1840,4846,1840,4978,1859,4978,1859,4846xm1898,4846l1878,4846,1878,4978,1898,4978,1898,4846xe" filled="true" fillcolor="#000000" stroked="false">
                  <v:path arrowok="t"/>
                  <v:fill type="solid"/>
                </v:shape>
                <v:rect style="position:absolute;left:8784;top:5186;width:111;height:111" id="docshape953" filled="true" fillcolor="#4f81bc" stroked="false">
                  <v:fill type="solid"/>
                </v:rect>
                <v:rect style="position:absolute;left:8784;top:5548;width:111;height:108" id="docshape954" filled="true" fillcolor="#c0504d" stroked="false">
                  <v:fill type="solid"/>
                </v:rect>
                <v:rect style="position:absolute;left:8784;top:5908;width:111;height:111" id="docshape955" filled="true" fillcolor="#9bba58" stroked="false">
                  <v:fill type="solid"/>
                </v:rect>
                <v:rect style="position:absolute;left:1470;top:3482;width:9332;height:4241" id="docshape956" filled="false" stroked="true" strokeweight="1pt" strokecolor="#858585">
                  <v:stroke dashstyle="solid"/>
                </v:rect>
                <v:shape style="position:absolute;left:2116;top:3612;width:728;height:2984" type="#_x0000_t202" id="docshape957" filled="false" stroked="false">
                  <v:textbox inset="0,0,0,0">
                    <w:txbxContent>
                      <w:p>
                        <w:pPr>
                          <w:spacing w:line="203" w:lineRule="exact" w:before="0"/>
                          <w:ind w:left="0" w:right="19" w:firstLine="0"/>
                          <w:jc w:val="right"/>
                          <w:rPr>
                            <w:rFonts w:ascii="Calibri"/>
                            <w:sz w:val="20"/>
                          </w:rPr>
                        </w:pPr>
                        <w:r>
                          <w:rPr>
                            <w:rFonts w:ascii="Calibri"/>
                            <w:spacing w:val="-2"/>
                            <w:sz w:val="20"/>
                          </w:rPr>
                          <w:t>5000000</w:t>
                        </w:r>
                      </w:p>
                      <w:p>
                        <w:pPr>
                          <w:spacing w:before="34"/>
                          <w:ind w:left="0" w:right="19" w:firstLine="0"/>
                          <w:jc w:val="right"/>
                          <w:rPr>
                            <w:rFonts w:ascii="Calibri"/>
                            <w:sz w:val="20"/>
                          </w:rPr>
                        </w:pPr>
                        <w:r>
                          <w:rPr>
                            <w:rFonts w:ascii="Calibri"/>
                            <w:spacing w:val="-2"/>
                            <w:sz w:val="20"/>
                          </w:rPr>
                          <w:t>4500000</w:t>
                        </w:r>
                      </w:p>
                      <w:p>
                        <w:pPr>
                          <w:spacing w:before="34"/>
                          <w:ind w:left="0" w:right="19" w:firstLine="0"/>
                          <w:jc w:val="right"/>
                          <w:rPr>
                            <w:rFonts w:ascii="Calibri"/>
                            <w:sz w:val="20"/>
                          </w:rPr>
                        </w:pPr>
                        <w:r>
                          <w:rPr>
                            <w:rFonts w:ascii="Calibri"/>
                            <w:spacing w:val="-2"/>
                            <w:sz w:val="20"/>
                          </w:rPr>
                          <w:t>4000000</w:t>
                        </w:r>
                      </w:p>
                      <w:p>
                        <w:pPr>
                          <w:spacing w:before="34"/>
                          <w:ind w:left="0" w:right="19" w:firstLine="0"/>
                          <w:jc w:val="right"/>
                          <w:rPr>
                            <w:rFonts w:ascii="Calibri"/>
                            <w:sz w:val="20"/>
                          </w:rPr>
                        </w:pPr>
                        <w:r>
                          <w:rPr>
                            <w:rFonts w:ascii="Calibri"/>
                            <w:spacing w:val="-2"/>
                            <w:sz w:val="20"/>
                          </w:rPr>
                          <w:t>3500000</w:t>
                        </w:r>
                      </w:p>
                      <w:p>
                        <w:pPr>
                          <w:spacing w:before="35"/>
                          <w:ind w:left="0" w:right="19" w:firstLine="0"/>
                          <w:jc w:val="right"/>
                          <w:rPr>
                            <w:rFonts w:ascii="Calibri"/>
                            <w:sz w:val="20"/>
                          </w:rPr>
                        </w:pPr>
                        <w:r>
                          <w:rPr>
                            <w:rFonts w:ascii="Calibri"/>
                            <w:spacing w:val="-2"/>
                            <w:sz w:val="20"/>
                          </w:rPr>
                          <w:t>3000000</w:t>
                        </w:r>
                      </w:p>
                      <w:p>
                        <w:pPr>
                          <w:spacing w:before="34"/>
                          <w:ind w:left="0" w:right="19" w:firstLine="0"/>
                          <w:jc w:val="right"/>
                          <w:rPr>
                            <w:rFonts w:ascii="Calibri"/>
                            <w:sz w:val="20"/>
                          </w:rPr>
                        </w:pPr>
                        <w:r>
                          <w:rPr>
                            <w:rFonts w:ascii="Calibri"/>
                            <w:spacing w:val="-2"/>
                            <w:sz w:val="20"/>
                          </w:rPr>
                          <w:t>2500000</w:t>
                        </w:r>
                      </w:p>
                      <w:p>
                        <w:pPr>
                          <w:spacing w:before="34"/>
                          <w:ind w:left="0" w:right="19" w:firstLine="0"/>
                          <w:jc w:val="right"/>
                          <w:rPr>
                            <w:rFonts w:ascii="Calibri"/>
                            <w:sz w:val="20"/>
                          </w:rPr>
                        </w:pPr>
                        <w:r>
                          <w:rPr>
                            <w:rFonts w:ascii="Calibri"/>
                            <w:spacing w:val="-2"/>
                            <w:sz w:val="20"/>
                          </w:rPr>
                          <w:t>2000000</w:t>
                        </w:r>
                      </w:p>
                      <w:p>
                        <w:pPr>
                          <w:spacing w:before="35"/>
                          <w:ind w:left="0" w:right="19" w:firstLine="0"/>
                          <w:jc w:val="right"/>
                          <w:rPr>
                            <w:rFonts w:ascii="Calibri"/>
                            <w:sz w:val="20"/>
                          </w:rPr>
                        </w:pPr>
                        <w:r>
                          <w:rPr>
                            <w:rFonts w:ascii="Calibri"/>
                            <w:spacing w:val="-2"/>
                            <w:sz w:val="20"/>
                          </w:rPr>
                          <w:t>1500000</w:t>
                        </w:r>
                      </w:p>
                      <w:p>
                        <w:pPr>
                          <w:spacing w:before="34"/>
                          <w:ind w:left="0" w:right="19" w:firstLine="0"/>
                          <w:jc w:val="right"/>
                          <w:rPr>
                            <w:rFonts w:ascii="Calibri"/>
                            <w:sz w:val="20"/>
                          </w:rPr>
                        </w:pPr>
                        <w:r>
                          <w:rPr>
                            <w:rFonts w:ascii="Calibri"/>
                            <w:spacing w:val="-2"/>
                            <w:sz w:val="20"/>
                          </w:rPr>
                          <w:t>1000000</w:t>
                        </w:r>
                      </w:p>
                      <w:p>
                        <w:pPr>
                          <w:spacing w:before="35"/>
                          <w:ind w:left="0" w:right="19" w:firstLine="0"/>
                          <w:jc w:val="right"/>
                          <w:rPr>
                            <w:rFonts w:ascii="Calibri"/>
                            <w:sz w:val="20"/>
                          </w:rPr>
                        </w:pPr>
                        <w:r>
                          <w:rPr>
                            <w:rFonts w:ascii="Calibri"/>
                            <w:spacing w:val="-2"/>
                            <w:sz w:val="20"/>
                          </w:rPr>
                          <w:t>500000</w:t>
                        </w:r>
                      </w:p>
                      <w:p>
                        <w:pPr>
                          <w:spacing w:line="240" w:lineRule="exact" w:before="34"/>
                          <w:ind w:left="0" w:right="18" w:firstLine="0"/>
                          <w:jc w:val="right"/>
                          <w:rPr>
                            <w:rFonts w:ascii="Calibri"/>
                            <w:sz w:val="20"/>
                          </w:rPr>
                        </w:pPr>
                        <w:r>
                          <w:rPr>
                            <w:rFonts w:ascii="Calibri"/>
                            <w:spacing w:val="-10"/>
                            <w:sz w:val="20"/>
                          </w:rPr>
                          <w:t>0</w:t>
                        </w:r>
                      </w:p>
                    </w:txbxContent>
                  </v:textbox>
                  <w10:wrap type="none"/>
                </v:shape>
                <v:shape style="position:absolute;left:8942;top:5149;width:1671;height:923" type="#_x0000_t202" id="docshape958" filled="false" stroked="false">
                  <v:textbox inset="0,0,0,0">
                    <w:txbxContent>
                      <w:p>
                        <w:pPr>
                          <w:spacing w:line="203" w:lineRule="exact" w:before="0"/>
                          <w:ind w:left="0" w:right="0" w:firstLine="0"/>
                          <w:jc w:val="left"/>
                          <w:rPr>
                            <w:rFonts w:ascii="Calibri"/>
                            <w:sz w:val="20"/>
                          </w:rPr>
                        </w:pPr>
                        <w:r>
                          <w:rPr>
                            <w:rFonts w:ascii="Calibri"/>
                            <w:sz w:val="20"/>
                          </w:rPr>
                          <w:t>Budget</w:t>
                        </w:r>
                        <w:r>
                          <w:rPr>
                            <w:rFonts w:ascii="Calibri"/>
                            <w:spacing w:val="-10"/>
                            <w:sz w:val="20"/>
                          </w:rPr>
                          <w:t> </w:t>
                        </w:r>
                        <w:r>
                          <w:rPr>
                            <w:rFonts w:ascii="Calibri"/>
                            <w:spacing w:val="-2"/>
                            <w:sz w:val="20"/>
                          </w:rPr>
                          <w:t>Estimate</w:t>
                        </w:r>
                      </w:p>
                      <w:p>
                        <w:pPr>
                          <w:spacing w:line="360" w:lineRule="atLeast" w:before="0"/>
                          <w:ind w:left="0" w:right="0" w:firstLine="0"/>
                          <w:jc w:val="left"/>
                          <w:rPr>
                            <w:rFonts w:ascii="Calibri"/>
                            <w:sz w:val="20"/>
                          </w:rPr>
                        </w:pPr>
                        <w:r>
                          <w:rPr>
                            <w:rFonts w:ascii="Calibri"/>
                            <w:spacing w:val="-2"/>
                            <w:sz w:val="20"/>
                          </w:rPr>
                          <w:t>Approved</w:t>
                        </w:r>
                        <w:r>
                          <w:rPr>
                            <w:rFonts w:ascii="Calibri"/>
                            <w:spacing w:val="-10"/>
                            <w:sz w:val="20"/>
                          </w:rPr>
                          <w:t> </w:t>
                        </w:r>
                        <w:r>
                          <w:rPr>
                            <w:rFonts w:ascii="Calibri"/>
                            <w:spacing w:val="-2"/>
                            <w:sz w:val="20"/>
                          </w:rPr>
                          <w:t>Allocation </w:t>
                        </w:r>
                        <w:r>
                          <w:rPr>
                            <w:rFonts w:ascii="Calibri"/>
                            <w:sz w:val="20"/>
                          </w:rPr>
                          <w:t>Actual Expenditure</w:t>
                        </w:r>
                      </w:p>
                    </w:txbxContent>
                  </v:textbox>
                  <w10:wrap type="none"/>
                </v:shape>
                <v:shape style="position:absolute;left:5509;top:7271;width:474;height:200" type="#_x0000_t202" id="docshape959" filled="false" stroked="false">
                  <v:textbox inset="0,0,0,0">
                    <w:txbxContent>
                      <w:p>
                        <w:pPr>
                          <w:spacing w:line="199" w:lineRule="exact" w:before="0"/>
                          <w:ind w:left="0" w:right="0" w:firstLine="0"/>
                          <w:jc w:val="left"/>
                          <w:rPr>
                            <w:rFonts w:ascii="Calibri"/>
                            <w:b/>
                            <w:sz w:val="20"/>
                          </w:rPr>
                        </w:pPr>
                        <w:r>
                          <w:rPr>
                            <w:rFonts w:ascii="Calibri"/>
                            <w:b/>
                            <w:spacing w:val="-2"/>
                            <w:sz w:val="20"/>
                          </w:rPr>
                          <w:t>Years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3184">
                <wp:simplePos x="0" y="0"/>
                <wp:positionH relativeFrom="page">
                  <wp:posOffset>1105230</wp:posOffset>
                </wp:positionH>
                <wp:positionV relativeFrom="paragraph">
                  <wp:posOffset>2804437</wp:posOffset>
                </wp:positionV>
                <wp:extent cx="152400" cy="865505"/>
                <wp:effectExtent l="0" t="0" r="0" b="0"/>
                <wp:wrapNone/>
                <wp:docPr id="1011" name="Textbox 1011"/>
                <wp:cNvGraphicFramePr>
                  <a:graphicFrameLocks/>
                </wp:cNvGraphicFramePr>
                <a:graphic>
                  <a:graphicData uri="http://schemas.microsoft.com/office/word/2010/wordprocessingShape">
                    <wps:wsp>
                      <wps:cNvPr id="1011" name="Textbox 1011"/>
                      <wps:cNvSpPr txBox="1"/>
                      <wps:spPr>
                        <a:xfrm>
                          <a:off x="0" y="0"/>
                          <a:ext cx="152400" cy="865505"/>
                        </a:xfrm>
                        <a:prstGeom prst="rect">
                          <a:avLst/>
                        </a:prstGeom>
                      </wps:spPr>
                      <wps:txbx>
                        <w:txbxContent>
                          <w:p>
                            <w:pPr>
                              <w:spacing w:line="223" w:lineRule="exact" w:before="0"/>
                              <w:ind w:left="20" w:right="0" w:firstLine="0"/>
                              <w:jc w:val="left"/>
                              <w:rPr>
                                <w:rFonts w:ascii="Calibri"/>
                                <w:b/>
                                <w:sz w:val="20"/>
                              </w:rPr>
                            </w:pPr>
                            <w:r>
                              <w:rPr>
                                <w:rFonts w:ascii="Calibri"/>
                                <w:b/>
                                <w:spacing w:val="-2"/>
                                <w:sz w:val="20"/>
                              </w:rPr>
                              <w:t>Amount</w:t>
                            </w:r>
                            <w:r>
                              <w:rPr>
                                <w:rFonts w:ascii="Calibri"/>
                                <w:b/>
                                <w:sz w:val="20"/>
                              </w:rPr>
                              <w:t> </w:t>
                            </w:r>
                            <w:r>
                              <w:rPr>
                                <w:rFonts w:ascii="Calibri"/>
                                <w:b/>
                                <w:spacing w:val="-2"/>
                                <w:sz w:val="20"/>
                              </w:rPr>
                              <w:t>(N'000)</w:t>
                            </w:r>
                          </w:p>
                        </w:txbxContent>
                      </wps:txbx>
                      <wps:bodyPr wrap="square" lIns="0" tIns="0" rIns="0" bIns="0" rtlCol="0" vert="vert270">
                        <a:noAutofit/>
                      </wps:bodyPr>
                    </wps:wsp>
                  </a:graphicData>
                </a:graphic>
              </wp:anchor>
            </w:drawing>
          </mc:Choice>
          <mc:Fallback>
            <w:pict>
              <v:shape style="position:absolute;margin-left:87.026001pt;margin-top:220.821884pt;width:12pt;height:68.150pt;mso-position-horizontal-relative:page;mso-position-vertical-relative:paragraph;z-index:15773184" type="#_x0000_t202" id="docshape960"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pacing w:val="-2"/>
                          <w:sz w:val="20"/>
                        </w:rPr>
                        <w:t>Amount</w:t>
                      </w:r>
                      <w:r>
                        <w:rPr>
                          <w:rFonts w:ascii="Calibri"/>
                          <w:b/>
                          <w:sz w:val="20"/>
                        </w:rPr>
                        <w:t> </w:t>
                      </w:r>
                      <w:r>
                        <w:rPr>
                          <w:rFonts w:ascii="Calibri"/>
                          <w:b/>
                          <w:spacing w:val="-2"/>
                          <w:sz w:val="20"/>
                        </w:rPr>
                        <w:t>(N'000)</w:t>
                      </w:r>
                    </w:p>
                  </w:txbxContent>
                </v:textbox>
                <w10:wrap type="none"/>
              </v:shape>
            </w:pict>
          </mc:Fallback>
        </mc:AlternateContent>
      </w:r>
      <w:r>
        <w:rPr/>
        <w:t>The graph (figure 5.11) shows a random movement in the housing budget estimate, approved allocation and actual expenditure within the study period. The figure shows that the budget estimate and approved allocation are more related compared with actual housing expenditure in Anambra</w:t>
      </w:r>
      <w:r>
        <w:rPr>
          <w:spacing w:val="-2"/>
        </w:rPr>
        <w:t> </w:t>
      </w:r>
      <w:r>
        <w:rPr/>
        <w:t>State.</w:t>
      </w:r>
      <w:r>
        <w:rPr>
          <w:spacing w:val="-1"/>
        </w:rPr>
        <w:t> </w:t>
      </w:r>
      <w:r>
        <w:rPr/>
        <w:t>This</w:t>
      </w:r>
      <w:r>
        <w:rPr>
          <w:spacing w:val="-1"/>
        </w:rPr>
        <w:t> </w:t>
      </w:r>
      <w:r>
        <w:rPr/>
        <w:t>indicates</w:t>
      </w:r>
      <w:r>
        <w:rPr>
          <w:spacing w:val="-1"/>
        </w:rPr>
        <w:t> </w:t>
      </w:r>
      <w:r>
        <w:rPr/>
        <w:t>that</w:t>
      </w:r>
      <w:r>
        <w:rPr>
          <w:spacing w:val="-1"/>
        </w:rPr>
        <w:t> </w:t>
      </w:r>
      <w:r>
        <w:rPr/>
        <w:t>almost</w:t>
      </w:r>
      <w:r>
        <w:rPr>
          <w:spacing w:val="-1"/>
        </w:rPr>
        <w:t> </w:t>
      </w:r>
      <w:r>
        <w:rPr/>
        <w:t>all</w:t>
      </w:r>
      <w:r>
        <w:rPr>
          <w:spacing w:val="-1"/>
        </w:rPr>
        <w:t> </w:t>
      </w:r>
      <w:r>
        <w:rPr/>
        <w:t>estimated</w:t>
      </w:r>
      <w:r>
        <w:rPr>
          <w:spacing w:val="-1"/>
        </w:rPr>
        <w:t> </w:t>
      </w:r>
      <w:r>
        <w:rPr/>
        <w:t>housing</w:t>
      </w:r>
      <w:r>
        <w:rPr>
          <w:spacing w:val="-3"/>
        </w:rPr>
        <w:t> </w:t>
      </w:r>
      <w:r>
        <w:rPr/>
        <w:t>budget</w:t>
      </w:r>
      <w:r>
        <w:rPr>
          <w:spacing w:val="-1"/>
        </w:rPr>
        <w:t> </w:t>
      </w:r>
      <w:r>
        <w:rPr/>
        <w:t>in the</w:t>
      </w:r>
      <w:r>
        <w:rPr>
          <w:spacing w:val="-1"/>
        </w:rPr>
        <w:t> </w:t>
      </w:r>
      <w:r>
        <w:rPr/>
        <w:t>State</w:t>
      </w:r>
      <w:r>
        <w:rPr>
          <w:spacing w:val="-1"/>
        </w:rPr>
        <w:t> </w:t>
      </w:r>
      <w:r>
        <w:rPr/>
        <w:t>are</w:t>
      </w:r>
      <w:r>
        <w:rPr>
          <w:spacing w:val="-2"/>
        </w:rPr>
        <w:t> </w:t>
      </w:r>
      <w:r>
        <w:rPr/>
        <w:t>approved, but not spent or used for housing. The trend graph also shows a wide gap between annual approved allocation in the housing sector and their actual expenditures in Anambra State. In</w:t>
      </w:r>
      <w:r>
        <w:rPr>
          <w:spacing w:val="40"/>
        </w:rPr>
        <w:t> </w:t>
      </w:r>
      <w:r>
        <w:rPr/>
        <w:t>other words, indicating that the housing expenditures carried out as approved and estimated or </w:t>
      </w:r>
      <w:r>
        <w:rPr>
          <w:spacing w:val="-2"/>
        </w:rPr>
        <w:t>budgeted.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5"/>
      </w:pPr>
    </w:p>
    <w:p>
      <w:pPr>
        <w:pStyle w:val="BodyText"/>
        <w:ind w:left="240" w:right="844"/>
        <w:jc w:val="both"/>
      </w:pPr>
      <w:r>
        <w:rPr/>
        <mc:AlternateContent>
          <mc:Choice Requires="wps">
            <w:drawing>
              <wp:anchor distT="0" distB="0" distL="0" distR="0" allowOverlap="1" layoutInCell="1" locked="0" behindDoc="0" simplePos="0" relativeHeight="15774208">
                <wp:simplePos x="0" y="0"/>
                <wp:positionH relativeFrom="page">
                  <wp:posOffset>1942845</wp:posOffset>
                </wp:positionH>
                <wp:positionV relativeFrom="paragraph">
                  <wp:posOffset>-717155</wp:posOffset>
                </wp:positionV>
                <wp:extent cx="3424554" cy="281940"/>
                <wp:effectExtent l="0" t="0" r="0" b="0"/>
                <wp:wrapNone/>
                <wp:docPr id="1012" name="Textbox 1012"/>
                <wp:cNvGraphicFramePr>
                  <a:graphicFrameLocks/>
                </wp:cNvGraphicFramePr>
                <a:graphic>
                  <a:graphicData uri="http://schemas.microsoft.com/office/word/2010/wordprocessingShape">
                    <wps:wsp>
                      <wps:cNvPr id="1012" name="Textbox 1012"/>
                      <wps:cNvSpPr txBox="1"/>
                      <wps:spPr>
                        <a:xfrm>
                          <a:off x="0" y="0"/>
                          <a:ext cx="3424554" cy="281940"/>
                        </a:xfrm>
                        <a:prstGeom prst="rect">
                          <a:avLst/>
                        </a:prstGeom>
                      </wps:spPr>
                      <wps:txbx>
                        <w:txbxContent>
                          <w:p>
                            <w:pPr>
                              <w:spacing w:line="223" w:lineRule="exact" w:before="0"/>
                              <w:ind w:left="20" w:right="0" w:firstLine="0"/>
                              <w:jc w:val="left"/>
                              <w:rPr>
                                <w:rFonts w:ascii="Calibri"/>
                                <w:sz w:val="20"/>
                              </w:rPr>
                            </w:pPr>
                            <w:r>
                              <w:rPr>
                                <w:rFonts w:ascii="Calibri"/>
                                <w:spacing w:val="-4"/>
                                <w:sz w:val="20"/>
                              </w:rPr>
                              <w:t>1999</w:t>
                            </w:r>
                          </w:p>
                          <w:p>
                            <w:pPr>
                              <w:spacing w:before="59"/>
                              <w:ind w:left="20" w:right="0" w:firstLine="0"/>
                              <w:jc w:val="left"/>
                              <w:rPr>
                                <w:rFonts w:ascii="Calibri"/>
                                <w:sz w:val="20"/>
                              </w:rPr>
                            </w:pPr>
                            <w:r>
                              <w:rPr>
                                <w:rFonts w:ascii="Calibri"/>
                                <w:spacing w:val="-4"/>
                                <w:sz w:val="20"/>
                              </w:rPr>
                              <w:t>2000</w:t>
                            </w:r>
                          </w:p>
                          <w:p>
                            <w:pPr>
                              <w:spacing w:before="59"/>
                              <w:ind w:left="20" w:right="0" w:firstLine="0"/>
                              <w:jc w:val="left"/>
                              <w:rPr>
                                <w:rFonts w:ascii="Calibri"/>
                                <w:sz w:val="20"/>
                              </w:rPr>
                            </w:pPr>
                            <w:r>
                              <w:rPr>
                                <w:rFonts w:ascii="Calibri"/>
                                <w:spacing w:val="-4"/>
                                <w:sz w:val="20"/>
                              </w:rPr>
                              <w:t>2001</w:t>
                            </w:r>
                          </w:p>
                          <w:p>
                            <w:pPr>
                              <w:spacing w:before="59"/>
                              <w:ind w:left="20" w:right="0" w:firstLine="0"/>
                              <w:jc w:val="left"/>
                              <w:rPr>
                                <w:rFonts w:ascii="Calibri"/>
                                <w:sz w:val="20"/>
                              </w:rPr>
                            </w:pPr>
                            <w:r>
                              <w:rPr>
                                <w:rFonts w:ascii="Calibri"/>
                                <w:spacing w:val="-4"/>
                                <w:sz w:val="20"/>
                              </w:rPr>
                              <w:t>2002</w:t>
                            </w:r>
                          </w:p>
                          <w:p>
                            <w:pPr>
                              <w:spacing w:before="59"/>
                              <w:ind w:left="20" w:right="0" w:firstLine="0"/>
                              <w:jc w:val="left"/>
                              <w:rPr>
                                <w:rFonts w:ascii="Calibri"/>
                                <w:sz w:val="20"/>
                              </w:rPr>
                            </w:pPr>
                            <w:r>
                              <w:rPr>
                                <w:rFonts w:ascii="Calibri"/>
                                <w:spacing w:val="-4"/>
                                <w:sz w:val="20"/>
                              </w:rPr>
                              <w:t>2003</w:t>
                            </w:r>
                          </w:p>
                          <w:p>
                            <w:pPr>
                              <w:spacing w:before="58"/>
                              <w:ind w:left="20" w:right="0" w:firstLine="0"/>
                              <w:jc w:val="left"/>
                              <w:rPr>
                                <w:rFonts w:ascii="Calibri"/>
                                <w:sz w:val="20"/>
                              </w:rPr>
                            </w:pPr>
                            <w:r>
                              <w:rPr>
                                <w:rFonts w:ascii="Calibri"/>
                                <w:spacing w:val="-4"/>
                                <w:sz w:val="20"/>
                              </w:rPr>
                              <w:t>2004</w:t>
                            </w:r>
                          </w:p>
                          <w:p>
                            <w:pPr>
                              <w:spacing w:before="59"/>
                              <w:ind w:left="20" w:right="0" w:firstLine="0"/>
                              <w:jc w:val="left"/>
                              <w:rPr>
                                <w:rFonts w:ascii="Calibri"/>
                                <w:sz w:val="20"/>
                              </w:rPr>
                            </w:pPr>
                            <w:r>
                              <w:rPr>
                                <w:rFonts w:ascii="Calibri"/>
                                <w:spacing w:val="-4"/>
                                <w:sz w:val="20"/>
                              </w:rPr>
                              <w:t>2005</w:t>
                            </w:r>
                          </w:p>
                          <w:p>
                            <w:pPr>
                              <w:spacing w:before="59"/>
                              <w:ind w:left="20" w:right="0" w:firstLine="0"/>
                              <w:jc w:val="left"/>
                              <w:rPr>
                                <w:rFonts w:ascii="Calibri"/>
                                <w:sz w:val="20"/>
                              </w:rPr>
                            </w:pPr>
                            <w:r>
                              <w:rPr>
                                <w:rFonts w:ascii="Calibri"/>
                                <w:spacing w:val="-4"/>
                                <w:sz w:val="20"/>
                              </w:rPr>
                              <w:t>2006</w:t>
                            </w:r>
                          </w:p>
                          <w:p>
                            <w:pPr>
                              <w:spacing w:before="60"/>
                              <w:ind w:left="20" w:right="0" w:firstLine="0"/>
                              <w:jc w:val="left"/>
                              <w:rPr>
                                <w:rFonts w:ascii="Calibri"/>
                                <w:sz w:val="20"/>
                              </w:rPr>
                            </w:pPr>
                            <w:r>
                              <w:rPr>
                                <w:rFonts w:ascii="Calibri"/>
                                <w:spacing w:val="-4"/>
                                <w:sz w:val="20"/>
                              </w:rPr>
                              <w:t>2007</w:t>
                            </w:r>
                          </w:p>
                          <w:p>
                            <w:pPr>
                              <w:spacing w:before="58"/>
                              <w:ind w:left="20" w:right="0" w:firstLine="0"/>
                              <w:jc w:val="left"/>
                              <w:rPr>
                                <w:rFonts w:ascii="Calibri"/>
                                <w:sz w:val="20"/>
                              </w:rPr>
                            </w:pPr>
                            <w:r>
                              <w:rPr>
                                <w:rFonts w:ascii="Calibri"/>
                                <w:spacing w:val="-4"/>
                                <w:sz w:val="20"/>
                              </w:rPr>
                              <w:t>2008</w:t>
                            </w:r>
                          </w:p>
                          <w:p>
                            <w:pPr>
                              <w:spacing w:before="59"/>
                              <w:ind w:left="20" w:right="0" w:firstLine="0"/>
                              <w:jc w:val="left"/>
                              <w:rPr>
                                <w:rFonts w:ascii="Calibri"/>
                                <w:sz w:val="20"/>
                              </w:rPr>
                            </w:pPr>
                            <w:r>
                              <w:rPr>
                                <w:rFonts w:ascii="Calibri"/>
                                <w:spacing w:val="-4"/>
                                <w:sz w:val="20"/>
                              </w:rPr>
                              <w:t>2009</w:t>
                            </w:r>
                          </w:p>
                          <w:p>
                            <w:pPr>
                              <w:spacing w:before="59"/>
                              <w:ind w:left="20" w:right="0" w:firstLine="0"/>
                              <w:jc w:val="left"/>
                              <w:rPr>
                                <w:rFonts w:ascii="Calibri"/>
                                <w:sz w:val="20"/>
                              </w:rPr>
                            </w:pPr>
                            <w:r>
                              <w:rPr>
                                <w:rFonts w:ascii="Calibri"/>
                                <w:spacing w:val="-4"/>
                                <w:sz w:val="20"/>
                              </w:rPr>
                              <w:t>2010</w:t>
                            </w:r>
                          </w:p>
                          <w:p>
                            <w:pPr>
                              <w:spacing w:before="59"/>
                              <w:ind w:left="20" w:right="0" w:firstLine="0"/>
                              <w:jc w:val="left"/>
                              <w:rPr>
                                <w:rFonts w:ascii="Calibri"/>
                                <w:sz w:val="20"/>
                              </w:rPr>
                            </w:pPr>
                            <w:r>
                              <w:rPr>
                                <w:rFonts w:ascii="Calibri"/>
                                <w:spacing w:val="-4"/>
                                <w:sz w:val="20"/>
                              </w:rPr>
                              <w:t>2011</w:t>
                            </w:r>
                          </w:p>
                          <w:p>
                            <w:pPr>
                              <w:spacing w:before="59"/>
                              <w:ind w:left="20" w:right="0" w:firstLine="0"/>
                              <w:jc w:val="left"/>
                              <w:rPr>
                                <w:rFonts w:ascii="Calibri"/>
                                <w:sz w:val="20"/>
                              </w:rPr>
                            </w:pPr>
                            <w:r>
                              <w:rPr>
                                <w:rFonts w:ascii="Calibri"/>
                                <w:spacing w:val="-4"/>
                                <w:sz w:val="20"/>
                              </w:rPr>
                              <w:t>2012</w:t>
                            </w:r>
                          </w:p>
                          <w:p>
                            <w:pPr>
                              <w:spacing w:before="59"/>
                              <w:ind w:left="20" w:right="0" w:firstLine="0"/>
                              <w:jc w:val="left"/>
                              <w:rPr>
                                <w:rFonts w:ascii="Calibri"/>
                                <w:sz w:val="20"/>
                              </w:rPr>
                            </w:pPr>
                            <w:r>
                              <w:rPr>
                                <w:rFonts w:ascii="Calibri"/>
                                <w:spacing w:val="-4"/>
                                <w:sz w:val="20"/>
                              </w:rPr>
                              <w:t>2013</w:t>
                            </w:r>
                          </w:p>
                          <w:p>
                            <w:pPr>
                              <w:spacing w:before="59"/>
                              <w:ind w:left="20" w:right="0" w:firstLine="0"/>
                              <w:jc w:val="left"/>
                              <w:rPr>
                                <w:rFonts w:ascii="Calibri"/>
                                <w:sz w:val="20"/>
                              </w:rPr>
                            </w:pPr>
                            <w:r>
                              <w:rPr>
                                <w:rFonts w:ascii="Calibri"/>
                                <w:spacing w:val="-4"/>
                                <w:sz w:val="20"/>
                              </w:rPr>
                              <w:t>2014</w:t>
                            </w:r>
                          </w:p>
                          <w:p>
                            <w:pPr>
                              <w:spacing w:before="59"/>
                              <w:ind w:left="20" w:right="0" w:firstLine="0"/>
                              <w:jc w:val="left"/>
                              <w:rPr>
                                <w:rFonts w:ascii="Calibri"/>
                                <w:sz w:val="20"/>
                              </w:rPr>
                            </w:pPr>
                            <w:r>
                              <w:rPr>
                                <w:rFonts w:ascii="Calibri"/>
                                <w:spacing w:val="-4"/>
                                <w:sz w:val="20"/>
                              </w:rPr>
                              <w:t>2015</w:t>
                            </w:r>
                          </w:p>
                          <w:p>
                            <w:pPr>
                              <w:spacing w:before="59"/>
                              <w:ind w:left="20" w:right="0" w:firstLine="0"/>
                              <w:jc w:val="left"/>
                              <w:rPr>
                                <w:rFonts w:ascii="Calibri"/>
                                <w:sz w:val="20"/>
                              </w:rPr>
                            </w:pPr>
                            <w:r>
                              <w:rPr>
                                <w:rFonts w:ascii="Calibri"/>
                                <w:spacing w:val="-4"/>
                                <w:sz w:val="20"/>
                              </w:rPr>
                              <w:t>2016</w:t>
                            </w:r>
                          </w:p>
                        </w:txbxContent>
                      </wps:txbx>
                      <wps:bodyPr wrap="square" lIns="0" tIns="0" rIns="0" bIns="0" rtlCol="0" vert="vert270">
                        <a:noAutofit/>
                      </wps:bodyPr>
                    </wps:wsp>
                  </a:graphicData>
                </a:graphic>
              </wp:anchor>
            </w:drawing>
          </mc:Choice>
          <mc:Fallback>
            <w:pict>
              <v:shape style="position:absolute;margin-left:152.979996pt;margin-top:-56.468906pt;width:269.650pt;height:22.2pt;mso-position-horizontal-relative:page;mso-position-vertical-relative:paragraph;z-index:15774208" type="#_x0000_t202" id="docshape961"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spacing w:val="-4"/>
                          <w:sz w:val="20"/>
                        </w:rPr>
                        <w:t>1999</w:t>
                      </w:r>
                    </w:p>
                    <w:p>
                      <w:pPr>
                        <w:spacing w:before="59"/>
                        <w:ind w:left="20" w:right="0" w:firstLine="0"/>
                        <w:jc w:val="left"/>
                        <w:rPr>
                          <w:rFonts w:ascii="Calibri"/>
                          <w:sz w:val="20"/>
                        </w:rPr>
                      </w:pPr>
                      <w:r>
                        <w:rPr>
                          <w:rFonts w:ascii="Calibri"/>
                          <w:spacing w:val="-4"/>
                          <w:sz w:val="20"/>
                        </w:rPr>
                        <w:t>2000</w:t>
                      </w:r>
                    </w:p>
                    <w:p>
                      <w:pPr>
                        <w:spacing w:before="59"/>
                        <w:ind w:left="20" w:right="0" w:firstLine="0"/>
                        <w:jc w:val="left"/>
                        <w:rPr>
                          <w:rFonts w:ascii="Calibri"/>
                          <w:sz w:val="20"/>
                        </w:rPr>
                      </w:pPr>
                      <w:r>
                        <w:rPr>
                          <w:rFonts w:ascii="Calibri"/>
                          <w:spacing w:val="-4"/>
                          <w:sz w:val="20"/>
                        </w:rPr>
                        <w:t>2001</w:t>
                      </w:r>
                    </w:p>
                    <w:p>
                      <w:pPr>
                        <w:spacing w:before="59"/>
                        <w:ind w:left="20" w:right="0" w:firstLine="0"/>
                        <w:jc w:val="left"/>
                        <w:rPr>
                          <w:rFonts w:ascii="Calibri"/>
                          <w:sz w:val="20"/>
                        </w:rPr>
                      </w:pPr>
                      <w:r>
                        <w:rPr>
                          <w:rFonts w:ascii="Calibri"/>
                          <w:spacing w:val="-4"/>
                          <w:sz w:val="20"/>
                        </w:rPr>
                        <w:t>2002</w:t>
                      </w:r>
                    </w:p>
                    <w:p>
                      <w:pPr>
                        <w:spacing w:before="59"/>
                        <w:ind w:left="20" w:right="0" w:firstLine="0"/>
                        <w:jc w:val="left"/>
                        <w:rPr>
                          <w:rFonts w:ascii="Calibri"/>
                          <w:sz w:val="20"/>
                        </w:rPr>
                      </w:pPr>
                      <w:r>
                        <w:rPr>
                          <w:rFonts w:ascii="Calibri"/>
                          <w:spacing w:val="-4"/>
                          <w:sz w:val="20"/>
                        </w:rPr>
                        <w:t>2003</w:t>
                      </w:r>
                    </w:p>
                    <w:p>
                      <w:pPr>
                        <w:spacing w:before="58"/>
                        <w:ind w:left="20" w:right="0" w:firstLine="0"/>
                        <w:jc w:val="left"/>
                        <w:rPr>
                          <w:rFonts w:ascii="Calibri"/>
                          <w:sz w:val="20"/>
                        </w:rPr>
                      </w:pPr>
                      <w:r>
                        <w:rPr>
                          <w:rFonts w:ascii="Calibri"/>
                          <w:spacing w:val="-4"/>
                          <w:sz w:val="20"/>
                        </w:rPr>
                        <w:t>2004</w:t>
                      </w:r>
                    </w:p>
                    <w:p>
                      <w:pPr>
                        <w:spacing w:before="59"/>
                        <w:ind w:left="20" w:right="0" w:firstLine="0"/>
                        <w:jc w:val="left"/>
                        <w:rPr>
                          <w:rFonts w:ascii="Calibri"/>
                          <w:sz w:val="20"/>
                        </w:rPr>
                      </w:pPr>
                      <w:r>
                        <w:rPr>
                          <w:rFonts w:ascii="Calibri"/>
                          <w:spacing w:val="-4"/>
                          <w:sz w:val="20"/>
                        </w:rPr>
                        <w:t>2005</w:t>
                      </w:r>
                    </w:p>
                    <w:p>
                      <w:pPr>
                        <w:spacing w:before="59"/>
                        <w:ind w:left="20" w:right="0" w:firstLine="0"/>
                        <w:jc w:val="left"/>
                        <w:rPr>
                          <w:rFonts w:ascii="Calibri"/>
                          <w:sz w:val="20"/>
                        </w:rPr>
                      </w:pPr>
                      <w:r>
                        <w:rPr>
                          <w:rFonts w:ascii="Calibri"/>
                          <w:spacing w:val="-4"/>
                          <w:sz w:val="20"/>
                        </w:rPr>
                        <w:t>2006</w:t>
                      </w:r>
                    </w:p>
                    <w:p>
                      <w:pPr>
                        <w:spacing w:before="60"/>
                        <w:ind w:left="20" w:right="0" w:firstLine="0"/>
                        <w:jc w:val="left"/>
                        <w:rPr>
                          <w:rFonts w:ascii="Calibri"/>
                          <w:sz w:val="20"/>
                        </w:rPr>
                      </w:pPr>
                      <w:r>
                        <w:rPr>
                          <w:rFonts w:ascii="Calibri"/>
                          <w:spacing w:val="-4"/>
                          <w:sz w:val="20"/>
                        </w:rPr>
                        <w:t>2007</w:t>
                      </w:r>
                    </w:p>
                    <w:p>
                      <w:pPr>
                        <w:spacing w:before="58"/>
                        <w:ind w:left="20" w:right="0" w:firstLine="0"/>
                        <w:jc w:val="left"/>
                        <w:rPr>
                          <w:rFonts w:ascii="Calibri"/>
                          <w:sz w:val="20"/>
                        </w:rPr>
                      </w:pPr>
                      <w:r>
                        <w:rPr>
                          <w:rFonts w:ascii="Calibri"/>
                          <w:spacing w:val="-4"/>
                          <w:sz w:val="20"/>
                        </w:rPr>
                        <w:t>2008</w:t>
                      </w:r>
                    </w:p>
                    <w:p>
                      <w:pPr>
                        <w:spacing w:before="59"/>
                        <w:ind w:left="20" w:right="0" w:firstLine="0"/>
                        <w:jc w:val="left"/>
                        <w:rPr>
                          <w:rFonts w:ascii="Calibri"/>
                          <w:sz w:val="20"/>
                        </w:rPr>
                      </w:pPr>
                      <w:r>
                        <w:rPr>
                          <w:rFonts w:ascii="Calibri"/>
                          <w:spacing w:val="-4"/>
                          <w:sz w:val="20"/>
                        </w:rPr>
                        <w:t>2009</w:t>
                      </w:r>
                    </w:p>
                    <w:p>
                      <w:pPr>
                        <w:spacing w:before="59"/>
                        <w:ind w:left="20" w:right="0" w:firstLine="0"/>
                        <w:jc w:val="left"/>
                        <w:rPr>
                          <w:rFonts w:ascii="Calibri"/>
                          <w:sz w:val="20"/>
                        </w:rPr>
                      </w:pPr>
                      <w:r>
                        <w:rPr>
                          <w:rFonts w:ascii="Calibri"/>
                          <w:spacing w:val="-4"/>
                          <w:sz w:val="20"/>
                        </w:rPr>
                        <w:t>2010</w:t>
                      </w:r>
                    </w:p>
                    <w:p>
                      <w:pPr>
                        <w:spacing w:before="59"/>
                        <w:ind w:left="20" w:right="0" w:firstLine="0"/>
                        <w:jc w:val="left"/>
                        <w:rPr>
                          <w:rFonts w:ascii="Calibri"/>
                          <w:sz w:val="20"/>
                        </w:rPr>
                      </w:pPr>
                      <w:r>
                        <w:rPr>
                          <w:rFonts w:ascii="Calibri"/>
                          <w:spacing w:val="-4"/>
                          <w:sz w:val="20"/>
                        </w:rPr>
                        <w:t>2011</w:t>
                      </w:r>
                    </w:p>
                    <w:p>
                      <w:pPr>
                        <w:spacing w:before="59"/>
                        <w:ind w:left="20" w:right="0" w:firstLine="0"/>
                        <w:jc w:val="left"/>
                        <w:rPr>
                          <w:rFonts w:ascii="Calibri"/>
                          <w:sz w:val="20"/>
                        </w:rPr>
                      </w:pPr>
                      <w:r>
                        <w:rPr>
                          <w:rFonts w:ascii="Calibri"/>
                          <w:spacing w:val="-4"/>
                          <w:sz w:val="20"/>
                        </w:rPr>
                        <w:t>2012</w:t>
                      </w:r>
                    </w:p>
                    <w:p>
                      <w:pPr>
                        <w:spacing w:before="59"/>
                        <w:ind w:left="20" w:right="0" w:firstLine="0"/>
                        <w:jc w:val="left"/>
                        <w:rPr>
                          <w:rFonts w:ascii="Calibri"/>
                          <w:sz w:val="20"/>
                        </w:rPr>
                      </w:pPr>
                      <w:r>
                        <w:rPr>
                          <w:rFonts w:ascii="Calibri"/>
                          <w:spacing w:val="-4"/>
                          <w:sz w:val="20"/>
                        </w:rPr>
                        <w:t>2013</w:t>
                      </w:r>
                    </w:p>
                    <w:p>
                      <w:pPr>
                        <w:spacing w:before="59"/>
                        <w:ind w:left="20" w:right="0" w:firstLine="0"/>
                        <w:jc w:val="left"/>
                        <w:rPr>
                          <w:rFonts w:ascii="Calibri"/>
                          <w:sz w:val="20"/>
                        </w:rPr>
                      </w:pPr>
                      <w:r>
                        <w:rPr>
                          <w:rFonts w:ascii="Calibri"/>
                          <w:spacing w:val="-4"/>
                          <w:sz w:val="20"/>
                        </w:rPr>
                        <w:t>2014</w:t>
                      </w:r>
                    </w:p>
                    <w:p>
                      <w:pPr>
                        <w:spacing w:before="59"/>
                        <w:ind w:left="20" w:right="0" w:firstLine="0"/>
                        <w:jc w:val="left"/>
                        <w:rPr>
                          <w:rFonts w:ascii="Calibri"/>
                          <w:sz w:val="20"/>
                        </w:rPr>
                      </w:pPr>
                      <w:r>
                        <w:rPr>
                          <w:rFonts w:ascii="Calibri"/>
                          <w:spacing w:val="-4"/>
                          <w:sz w:val="20"/>
                        </w:rPr>
                        <w:t>2015</w:t>
                      </w:r>
                    </w:p>
                    <w:p>
                      <w:pPr>
                        <w:spacing w:before="59"/>
                        <w:ind w:left="20" w:right="0" w:firstLine="0"/>
                        <w:jc w:val="left"/>
                        <w:rPr>
                          <w:rFonts w:ascii="Calibri"/>
                          <w:sz w:val="20"/>
                        </w:rPr>
                      </w:pPr>
                      <w:r>
                        <w:rPr>
                          <w:rFonts w:ascii="Calibri"/>
                          <w:spacing w:val="-4"/>
                          <w:sz w:val="20"/>
                        </w:rPr>
                        <w:t>2016</w:t>
                      </w:r>
                    </w:p>
                  </w:txbxContent>
                </v:textbox>
                <w10:wrap type="none"/>
              </v:shape>
            </w:pict>
          </mc:Fallback>
        </mc:AlternateContent>
      </w:r>
      <w:r>
        <w:rPr>
          <w:b/>
        </w:rPr>
        <w:t>Figure 5.12: </w:t>
      </w:r>
      <w:r>
        <w:rPr/>
        <w:t>Multiple bar chart of budgeted, approved and actual expenditure for housing in Anambra State from 1999 – 2016 (Researcher‘s plot with MS- Excel, 2017)</w:t>
      </w:r>
    </w:p>
    <w:p>
      <w:pPr>
        <w:spacing w:after="0"/>
        <w:jc w:val="both"/>
        <w:sectPr>
          <w:pgSz w:w="12240" w:h="15840"/>
          <w:pgMar w:header="0" w:footer="1036" w:top="1420" w:bottom="1220" w:left="1200" w:right="600"/>
        </w:sectPr>
      </w:pPr>
    </w:p>
    <w:p>
      <w:pPr>
        <w:pStyle w:val="BodyText"/>
        <w:spacing w:line="360" w:lineRule="auto" w:before="74"/>
        <w:ind w:left="240" w:right="832"/>
        <w:jc w:val="both"/>
      </w:pPr>
      <w:r>
        <w:rPr/>
        <mc:AlternateContent>
          <mc:Choice Requires="wps">
            <w:drawing>
              <wp:anchor distT="0" distB="0" distL="0" distR="0" allowOverlap="1" layoutInCell="1" locked="0" behindDoc="0" simplePos="0" relativeHeight="15774720">
                <wp:simplePos x="0" y="0"/>
                <wp:positionH relativeFrom="page">
                  <wp:posOffset>908050</wp:posOffset>
                </wp:positionH>
                <wp:positionV relativeFrom="paragraph">
                  <wp:posOffset>2673095</wp:posOffset>
                </wp:positionV>
                <wp:extent cx="5356225" cy="3060700"/>
                <wp:effectExtent l="0" t="0" r="0" b="0"/>
                <wp:wrapNone/>
                <wp:docPr id="1013" name="Group 1013"/>
                <wp:cNvGraphicFramePr>
                  <a:graphicFrameLocks/>
                </wp:cNvGraphicFramePr>
                <a:graphic>
                  <a:graphicData uri="http://schemas.microsoft.com/office/word/2010/wordprocessingGroup">
                    <wpg:wgp>
                      <wpg:cNvPr id="1013" name="Group 1013"/>
                      <wpg:cNvGrpSpPr/>
                      <wpg:grpSpPr>
                        <a:xfrm>
                          <a:off x="0" y="0"/>
                          <a:ext cx="5356225" cy="3060700"/>
                          <a:chExt cx="5356225" cy="3060700"/>
                        </a:xfrm>
                      </wpg:grpSpPr>
                      <wps:wsp>
                        <wps:cNvPr id="1014" name="Graphic 1014"/>
                        <wps:cNvSpPr/>
                        <wps:spPr>
                          <a:xfrm>
                            <a:off x="686054" y="148336"/>
                            <a:ext cx="4525010" cy="2087880"/>
                          </a:xfrm>
                          <a:custGeom>
                            <a:avLst/>
                            <a:gdLst/>
                            <a:ahLst/>
                            <a:cxnLst/>
                            <a:rect l="l" t="t" r="r" b="b"/>
                            <a:pathLst>
                              <a:path w="4525010" h="2087880">
                                <a:moveTo>
                                  <a:pt x="39623" y="1670303"/>
                                </a:moveTo>
                                <a:lnTo>
                                  <a:pt x="4524756" y="1670303"/>
                                </a:lnTo>
                              </a:path>
                              <a:path w="4525010" h="2087880">
                                <a:moveTo>
                                  <a:pt x="39623" y="1252727"/>
                                </a:moveTo>
                                <a:lnTo>
                                  <a:pt x="4524756" y="1252727"/>
                                </a:lnTo>
                              </a:path>
                              <a:path w="4525010" h="2087880">
                                <a:moveTo>
                                  <a:pt x="39623" y="835151"/>
                                </a:moveTo>
                                <a:lnTo>
                                  <a:pt x="4524756" y="835151"/>
                                </a:lnTo>
                              </a:path>
                              <a:path w="4525010" h="2087880">
                                <a:moveTo>
                                  <a:pt x="39623" y="417575"/>
                                </a:moveTo>
                                <a:lnTo>
                                  <a:pt x="4524756" y="417575"/>
                                </a:lnTo>
                              </a:path>
                              <a:path w="4525010" h="2087880">
                                <a:moveTo>
                                  <a:pt x="39623" y="0"/>
                                </a:moveTo>
                                <a:lnTo>
                                  <a:pt x="4524756" y="0"/>
                                </a:lnTo>
                              </a:path>
                              <a:path w="4525010" h="2087880">
                                <a:moveTo>
                                  <a:pt x="39623" y="2087879"/>
                                </a:moveTo>
                                <a:lnTo>
                                  <a:pt x="39623" y="0"/>
                                </a:lnTo>
                              </a:path>
                              <a:path w="4525010" h="2087880">
                                <a:moveTo>
                                  <a:pt x="0" y="2087879"/>
                                </a:moveTo>
                                <a:lnTo>
                                  <a:pt x="39623" y="2087879"/>
                                </a:lnTo>
                              </a:path>
                              <a:path w="4525010" h="2087880">
                                <a:moveTo>
                                  <a:pt x="0" y="1670303"/>
                                </a:moveTo>
                                <a:lnTo>
                                  <a:pt x="39623" y="1670303"/>
                                </a:lnTo>
                              </a:path>
                              <a:path w="4525010" h="2087880">
                                <a:moveTo>
                                  <a:pt x="0" y="1252727"/>
                                </a:moveTo>
                                <a:lnTo>
                                  <a:pt x="39623" y="1252727"/>
                                </a:lnTo>
                              </a:path>
                              <a:path w="4525010" h="2087880">
                                <a:moveTo>
                                  <a:pt x="0" y="835151"/>
                                </a:moveTo>
                                <a:lnTo>
                                  <a:pt x="39623" y="835151"/>
                                </a:lnTo>
                              </a:path>
                              <a:path w="4525010" h="2087880">
                                <a:moveTo>
                                  <a:pt x="0" y="417575"/>
                                </a:moveTo>
                                <a:lnTo>
                                  <a:pt x="39623" y="417575"/>
                                </a:lnTo>
                              </a:path>
                              <a:path w="4525010" h="2087880">
                                <a:moveTo>
                                  <a:pt x="0" y="0"/>
                                </a:moveTo>
                                <a:lnTo>
                                  <a:pt x="39623" y="0"/>
                                </a:lnTo>
                              </a:path>
                              <a:path w="4525010" h="2087880">
                                <a:moveTo>
                                  <a:pt x="39623" y="2087879"/>
                                </a:moveTo>
                                <a:lnTo>
                                  <a:pt x="4524756" y="2087879"/>
                                </a:lnTo>
                              </a:path>
                            </a:pathLst>
                          </a:custGeom>
                          <a:ln w="9144">
                            <a:solidFill>
                              <a:srgbClr val="858585"/>
                            </a:solidFill>
                            <a:prstDash val="solid"/>
                          </a:ln>
                        </wps:spPr>
                        <wps:bodyPr wrap="square" lIns="0" tIns="0" rIns="0" bIns="0" rtlCol="0">
                          <a:prstTxWarp prst="textNoShape">
                            <a:avLst/>
                          </a:prstTxWarp>
                          <a:noAutofit/>
                        </wps:bodyPr>
                      </wps:wsp>
                      <wps:wsp>
                        <wps:cNvPr id="1015" name="Graphic 1015"/>
                        <wps:cNvSpPr/>
                        <wps:spPr>
                          <a:xfrm>
                            <a:off x="850646" y="448563"/>
                            <a:ext cx="4235450" cy="1765300"/>
                          </a:xfrm>
                          <a:custGeom>
                            <a:avLst/>
                            <a:gdLst/>
                            <a:ahLst/>
                            <a:cxnLst/>
                            <a:rect l="l" t="t" r="r" b="b"/>
                            <a:pathLst>
                              <a:path w="4235450" h="1765300">
                                <a:moveTo>
                                  <a:pt x="0" y="1571243"/>
                                </a:moveTo>
                                <a:lnTo>
                                  <a:pt x="248412" y="0"/>
                                </a:lnTo>
                                <a:lnTo>
                                  <a:pt x="498348" y="1594103"/>
                                </a:lnTo>
                                <a:lnTo>
                                  <a:pt x="746760" y="1207007"/>
                                </a:lnTo>
                                <a:lnTo>
                                  <a:pt x="996696" y="1697736"/>
                                </a:lnTo>
                                <a:lnTo>
                                  <a:pt x="1245108" y="1754124"/>
                                </a:lnTo>
                                <a:lnTo>
                                  <a:pt x="1495044" y="1504188"/>
                                </a:lnTo>
                                <a:lnTo>
                                  <a:pt x="1743456" y="1684019"/>
                                </a:lnTo>
                                <a:lnTo>
                                  <a:pt x="1993392" y="1336548"/>
                                </a:lnTo>
                                <a:lnTo>
                                  <a:pt x="2241804" y="1633727"/>
                                </a:lnTo>
                                <a:lnTo>
                                  <a:pt x="2491740" y="1694688"/>
                                </a:lnTo>
                                <a:lnTo>
                                  <a:pt x="2740152" y="1732788"/>
                                </a:lnTo>
                                <a:lnTo>
                                  <a:pt x="2990088" y="1764791"/>
                                </a:lnTo>
                                <a:lnTo>
                                  <a:pt x="3238500" y="1732788"/>
                                </a:lnTo>
                                <a:lnTo>
                                  <a:pt x="3488436" y="1098803"/>
                                </a:lnTo>
                                <a:lnTo>
                                  <a:pt x="3736848" y="1493519"/>
                                </a:lnTo>
                                <a:lnTo>
                                  <a:pt x="3986783" y="1591055"/>
                                </a:lnTo>
                                <a:lnTo>
                                  <a:pt x="4235196" y="1597152"/>
                                </a:lnTo>
                              </a:path>
                            </a:pathLst>
                          </a:custGeom>
                          <a:ln w="27432">
                            <a:solidFill>
                              <a:srgbClr val="497DBA"/>
                            </a:solidFill>
                            <a:prstDash val="solid"/>
                          </a:ln>
                        </wps:spPr>
                        <wps:bodyPr wrap="square" lIns="0" tIns="0" rIns="0" bIns="0" rtlCol="0">
                          <a:prstTxWarp prst="textNoShape">
                            <a:avLst/>
                          </a:prstTxWarp>
                          <a:noAutofit/>
                        </wps:bodyPr>
                      </wps:wsp>
                      <wps:wsp>
                        <wps:cNvPr id="1016" name="Graphic 1016"/>
                        <wps:cNvSpPr/>
                        <wps:spPr>
                          <a:xfrm>
                            <a:off x="806450" y="1975866"/>
                            <a:ext cx="88900" cy="88900"/>
                          </a:xfrm>
                          <a:custGeom>
                            <a:avLst/>
                            <a:gdLst/>
                            <a:ahLst/>
                            <a:cxnLst/>
                            <a:rect l="l" t="t" r="r" b="b"/>
                            <a:pathLst>
                              <a:path w="88900" h="88900">
                                <a:moveTo>
                                  <a:pt x="44450" y="0"/>
                                </a:moveTo>
                                <a:lnTo>
                                  <a:pt x="0" y="44450"/>
                                </a:lnTo>
                                <a:lnTo>
                                  <a:pt x="44450" y="88900"/>
                                </a:lnTo>
                                <a:lnTo>
                                  <a:pt x="88900" y="44450"/>
                                </a:lnTo>
                                <a:lnTo>
                                  <a:pt x="44450" y="0"/>
                                </a:lnTo>
                                <a:close/>
                              </a:path>
                            </a:pathLst>
                          </a:custGeom>
                          <a:solidFill>
                            <a:srgbClr val="4F81BC"/>
                          </a:solidFill>
                        </wps:spPr>
                        <wps:bodyPr wrap="square" lIns="0" tIns="0" rIns="0" bIns="0" rtlCol="0">
                          <a:prstTxWarp prst="textNoShape">
                            <a:avLst/>
                          </a:prstTxWarp>
                          <a:noAutofit/>
                        </wps:bodyPr>
                      </wps:wsp>
                      <wps:wsp>
                        <wps:cNvPr id="1017" name="Graphic 1017"/>
                        <wps:cNvSpPr/>
                        <wps:spPr>
                          <a:xfrm>
                            <a:off x="806450" y="1975866"/>
                            <a:ext cx="88900" cy="88900"/>
                          </a:xfrm>
                          <a:custGeom>
                            <a:avLst/>
                            <a:gdLst/>
                            <a:ahLst/>
                            <a:cxnLst/>
                            <a:rect l="l" t="t" r="r" b="b"/>
                            <a:pathLst>
                              <a:path w="88900" h="88900">
                                <a:moveTo>
                                  <a:pt x="44450" y="88900"/>
                                </a:moveTo>
                                <a:lnTo>
                                  <a:pt x="0" y="44450"/>
                                </a:lnTo>
                                <a:lnTo>
                                  <a:pt x="44450" y="0"/>
                                </a:lnTo>
                                <a:lnTo>
                                  <a:pt x="88900" y="44450"/>
                                </a:lnTo>
                                <a:lnTo>
                                  <a:pt x="44450" y="88900"/>
                                </a:lnTo>
                              </a:path>
                            </a:pathLst>
                          </a:custGeom>
                          <a:ln w="9144">
                            <a:solidFill>
                              <a:srgbClr val="497DBA"/>
                            </a:solidFill>
                            <a:prstDash val="solid"/>
                          </a:ln>
                        </wps:spPr>
                        <wps:bodyPr wrap="square" lIns="0" tIns="0" rIns="0" bIns="0" rtlCol="0">
                          <a:prstTxWarp prst="textNoShape">
                            <a:avLst/>
                          </a:prstTxWarp>
                          <a:noAutofit/>
                        </wps:bodyPr>
                      </wps:wsp>
                      <pic:pic>
                        <pic:nvPicPr>
                          <pic:cNvPr id="1018" name="Image 1018"/>
                          <pic:cNvPicPr/>
                        </pic:nvPicPr>
                        <pic:blipFill>
                          <a:blip r:embed="rId119" cstate="print"/>
                          <a:stretch>
                            <a:fillRect/>
                          </a:stretch>
                        </pic:blipFill>
                        <pic:spPr>
                          <a:xfrm>
                            <a:off x="1050925" y="399795"/>
                            <a:ext cx="98044" cy="98044"/>
                          </a:xfrm>
                          <a:prstGeom prst="rect">
                            <a:avLst/>
                          </a:prstGeom>
                        </pic:spPr>
                      </pic:pic>
                      <pic:pic>
                        <pic:nvPicPr>
                          <pic:cNvPr id="1019" name="Image 1019"/>
                          <pic:cNvPicPr/>
                        </pic:nvPicPr>
                        <pic:blipFill>
                          <a:blip r:embed="rId113" cstate="print"/>
                          <a:stretch>
                            <a:fillRect/>
                          </a:stretch>
                        </pic:blipFill>
                        <pic:spPr>
                          <a:xfrm>
                            <a:off x="1300099" y="1993392"/>
                            <a:ext cx="98044" cy="98044"/>
                          </a:xfrm>
                          <a:prstGeom prst="rect">
                            <a:avLst/>
                          </a:prstGeom>
                        </pic:spPr>
                      </pic:pic>
                      <pic:pic>
                        <pic:nvPicPr>
                          <pic:cNvPr id="1020" name="Image 1020"/>
                          <pic:cNvPicPr/>
                        </pic:nvPicPr>
                        <pic:blipFill>
                          <a:blip r:embed="rId111" cstate="print"/>
                          <a:stretch>
                            <a:fillRect/>
                          </a:stretch>
                        </pic:blipFill>
                        <pic:spPr>
                          <a:xfrm>
                            <a:off x="1549146" y="1607185"/>
                            <a:ext cx="98044" cy="98044"/>
                          </a:xfrm>
                          <a:prstGeom prst="rect">
                            <a:avLst/>
                          </a:prstGeom>
                        </pic:spPr>
                      </pic:pic>
                      <pic:pic>
                        <pic:nvPicPr>
                          <pic:cNvPr id="1021" name="Image 1021"/>
                          <pic:cNvPicPr/>
                        </pic:nvPicPr>
                        <pic:blipFill>
                          <a:blip r:embed="rId119" cstate="print"/>
                          <a:stretch>
                            <a:fillRect/>
                          </a:stretch>
                        </pic:blipFill>
                        <pic:spPr>
                          <a:xfrm>
                            <a:off x="1798320" y="2096389"/>
                            <a:ext cx="98044" cy="98044"/>
                          </a:xfrm>
                          <a:prstGeom prst="rect">
                            <a:avLst/>
                          </a:prstGeom>
                        </pic:spPr>
                      </pic:pic>
                      <pic:pic>
                        <pic:nvPicPr>
                          <pic:cNvPr id="1022" name="Image 1022"/>
                          <pic:cNvPicPr/>
                        </pic:nvPicPr>
                        <pic:blipFill>
                          <a:blip r:embed="rId113" cstate="print"/>
                          <a:stretch>
                            <a:fillRect/>
                          </a:stretch>
                        </pic:blipFill>
                        <pic:spPr>
                          <a:xfrm>
                            <a:off x="2047367" y="2154173"/>
                            <a:ext cx="98044" cy="98044"/>
                          </a:xfrm>
                          <a:prstGeom prst="rect">
                            <a:avLst/>
                          </a:prstGeom>
                        </pic:spPr>
                      </pic:pic>
                      <pic:pic>
                        <pic:nvPicPr>
                          <pic:cNvPr id="1023" name="Image 1023"/>
                          <pic:cNvPicPr/>
                        </pic:nvPicPr>
                        <pic:blipFill>
                          <a:blip r:embed="rId113" cstate="print"/>
                          <a:stretch>
                            <a:fillRect/>
                          </a:stretch>
                        </pic:blipFill>
                        <pic:spPr>
                          <a:xfrm>
                            <a:off x="2296414" y="1903729"/>
                            <a:ext cx="98044" cy="98044"/>
                          </a:xfrm>
                          <a:prstGeom prst="rect">
                            <a:avLst/>
                          </a:prstGeom>
                        </pic:spPr>
                      </pic:pic>
                      <pic:pic>
                        <pic:nvPicPr>
                          <pic:cNvPr id="1024" name="Image 1024"/>
                          <pic:cNvPicPr/>
                        </pic:nvPicPr>
                        <pic:blipFill>
                          <a:blip r:embed="rId111" cstate="print"/>
                          <a:stretch>
                            <a:fillRect/>
                          </a:stretch>
                        </pic:blipFill>
                        <pic:spPr>
                          <a:xfrm>
                            <a:off x="2545588" y="2083307"/>
                            <a:ext cx="98044" cy="98044"/>
                          </a:xfrm>
                          <a:prstGeom prst="rect">
                            <a:avLst/>
                          </a:prstGeom>
                        </pic:spPr>
                      </pic:pic>
                      <pic:pic>
                        <pic:nvPicPr>
                          <pic:cNvPr id="1025" name="Image 1025"/>
                          <pic:cNvPicPr/>
                        </pic:nvPicPr>
                        <pic:blipFill>
                          <a:blip r:embed="rId111" cstate="print"/>
                          <a:stretch>
                            <a:fillRect/>
                          </a:stretch>
                        </pic:blipFill>
                        <pic:spPr>
                          <a:xfrm>
                            <a:off x="2794635" y="1735963"/>
                            <a:ext cx="98044" cy="98044"/>
                          </a:xfrm>
                          <a:prstGeom prst="rect">
                            <a:avLst/>
                          </a:prstGeom>
                        </pic:spPr>
                      </pic:pic>
                      <pic:pic>
                        <pic:nvPicPr>
                          <pic:cNvPr id="1026" name="Image 1026"/>
                          <pic:cNvPicPr/>
                        </pic:nvPicPr>
                        <pic:blipFill>
                          <a:blip r:embed="rId116" cstate="print"/>
                          <a:stretch>
                            <a:fillRect/>
                          </a:stretch>
                        </pic:blipFill>
                        <pic:spPr>
                          <a:xfrm>
                            <a:off x="3043808" y="2033651"/>
                            <a:ext cx="98044" cy="98044"/>
                          </a:xfrm>
                          <a:prstGeom prst="rect">
                            <a:avLst/>
                          </a:prstGeom>
                        </pic:spPr>
                      </pic:pic>
                      <pic:pic>
                        <pic:nvPicPr>
                          <pic:cNvPr id="1027" name="Image 1027"/>
                          <pic:cNvPicPr/>
                        </pic:nvPicPr>
                        <pic:blipFill>
                          <a:blip r:embed="rId111" cstate="print"/>
                          <a:stretch>
                            <a:fillRect/>
                          </a:stretch>
                        </pic:blipFill>
                        <pic:spPr>
                          <a:xfrm>
                            <a:off x="3292855" y="2094229"/>
                            <a:ext cx="98044" cy="98044"/>
                          </a:xfrm>
                          <a:prstGeom prst="rect">
                            <a:avLst/>
                          </a:prstGeom>
                        </pic:spPr>
                      </pic:pic>
                      <pic:pic>
                        <pic:nvPicPr>
                          <pic:cNvPr id="1028" name="Image 1028"/>
                          <pic:cNvPicPr/>
                        </pic:nvPicPr>
                        <pic:blipFill>
                          <a:blip r:embed="rId111" cstate="print"/>
                          <a:stretch>
                            <a:fillRect/>
                          </a:stretch>
                        </pic:blipFill>
                        <pic:spPr>
                          <a:xfrm>
                            <a:off x="3542029" y="2131948"/>
                            <a:ext cx="98044" cy="98044"/>
                          </a:xfrm>
                          <a:prstGeom prst="rect">
                            <a:avLst/>
                          </a:prstGeom>
                        </pic:spPr>
                      </pic:pic>
                      <pic:pic>
                        <pic:nvPicPr>
                          <pic:cNvPr id="1029" name="Image 1029"/>
                          <pic:cNvPicPr/>
                        </pic:nvPicPr>
                        <pic:blipFill>
                          <a:blip r:embed="rId113" cstate="print"/>
                          <a:stretch>
                            <a:fillRect/>
                          </a:stretch>
                        </pic:blipFill>
                        <pic:spPr>
                          <a:xfrm>
                            <a:off x="3791077" y="2164079"/>
                            <a:ext cx="98044" cy="98044"/>
                          </a:xfrm>
                          <a:prstGeom prst="rect">
                            <a:avLst/>
                          </a:prstGeom>
                        </pic:spPr>
                      </pic:pic>
                      <pic:pic>
                        <pic:nvPicPr>
                          <pic:cNvPr id="1030" name="Image 1030"/>
                          <pic:cNvPicPr/>
                        </pic:nvPicPr>
                        <pic:blipFill>
                          <a:blip r:embed="rId111" cstate="print"/>
                          <a:stretch>
                            <a:fillRect/>
                          </a:stretch>
                        </pic:blipFill>
                        <pic:spPr>
                          <a:xfrm>
                            <a:off x="4040123" y="2132838"/>
                            <a:ext cx="98044" cy="98044"/>
                          </a:xfrm>
                          <a:prstGeom prst="rect">
                            <a:avLst/>
                          </a:prstGeom>
                        </pic:spPr>
                      </pic:pic>
                      <pic:pic>
                        <pic:nvPicPr>
                          <pic:cNvPr id="1031" name="Image 1031"/>
                          <pic:cNvPicPr/>
                        </pic:nvPicPr>
                        <pic:blipFill>
                          <a:blip r:embed="rId111" cstate="print"/>
                          <a:stretch>
                            <a:fillRect/>
                          </a:stretch>
                        </pic:blipFill>
                        <pic:spPr>
                          <a:xfrm>
                            <a:off x="4289297" y="1497964"/>
                            <a:ext cx="98044" cy="98044"/>
                          </a:xfrm>
                          <a:prstGeom prst="rect">
                            <a:avLst/>
                          </a:prstGeom>
                        </pic:spPr>
                      </pic:pic>
                      <pic:pic>
                        <pic:nvPicPr>
                          <pic:cNvPr id="1032" name="Image 1032"/>
                          <pic:cNvPicPr/>
                        </pic:nvPicPr>
                        <pic:blipFill>
                          <a:blip r:embed="rId113" cstate="print"/>
                          <a:stretch>
                            <a:fillRect/>
                          </a:stretch>
                        </pic:blipFill>
                        <pic:spPr>
                          <a:xfrm>
                            <a:off x="4538345" y="1893061"/>
                            <a:ext cx="98044" cy="98044"/>
                          </a:xfrm>
                          <a:prstGeom prst="rect">
                            <a:avLst/>
                          </a:prstGeom>
                        </pic:spPr>
                      </pic:pic>
                      <pic:pic>
                        <pic:nvPicPr>
                          <pic:cNvPr id="1033" name="Image 1033"/>
                          <pic:cNvPicPr/>
                        </pic:nvPicPr>
                        <pic:blipFill>
                          <a:blip r:embed="rId119" cstate="print"/>
                          <a:stretch>
                            <a:fillRect/>
                          </a:stretch>
                        </pic:blipFill>
                        <pic:spPr>
                          <a:xfrm>
                            <a:off x="4787519" y="1990470"/>
                            <a:ext cx="98044" cy="98044"/>
                          </a:xfrm>
                          <a:prstGeom prst="rect">
                            <a:avLst/>
                          </a:prstGeom>
                        </pic:spPr>
                      </pic:pic>
                      <pic:pic>
                        <pic:nvPicPr>
                          <pic:cNvPr id="1034" name="Image 1034"/>
                          <pic:cNvPicPr/>
                        </pic:nvPicPr>
                        <pic:blipFill>
                          <a:blip r:embed="rId119" cstate="print"/>
                          <a:stretch>
                            <a:fillRect/>
                          </a:stretch>
                        </pic:blipFill>
                        <pic:spPr>
                          <a:xfrm>
                            <a:off x="5036565" y="1996694"/>
                            <a:ext cx="98044" cy="98044"/>
                          </a:xfrm>
                          <a:prstGeom prst="rect">
                            <a:avLst/>
                          </a:prstGeom>
                        </pic:spPr>
                      </pic:pic>
                      <wps:wsp>
                        <wps:cNvPr id="1035" name="Graphic 1035"/>
                        <wps:cNvSpPr/>
                        <wps:spPr>
                          <a:xfrm>
                            <a:off x="850646" y="448563"/>
                            <a:ext cx="4235450" cy="1788160"/>
                          </a:xfrm>
                          <a:custGeom>
                            <a:avLst/>
                            <a:gdLst/>
                            <a:ahLst/>
                            <a:cxnLst/>
                            <a:rect l="l" t="t" r="r" b="b"/>
                            <a:pathLst>
                              <a:path w="4235450" h="1788160">
                                <a:moveTo>
                                  <a:pt x="0" y="1787652"/>
                                </a:moveTo>
                                <a:lnTo>
                                  <a:pt x="0" y="1571243"/>
                                </a:lnTo>
                              </a:path>
                              <a:path w="4235450" h="1788160">
                                <a:moveTo>
                                  <a:pt x="249936" y="1787652"/>
                                </a:moveTo>
                                <a:lnTo>
                                  <a:pt x="249936" y="0"/>
                                </a:lnTo>
                              </a:path>
                              <a:path w="4235450" h="1788160">
                                <a:moveTo>
                                  <a:pt x="498348" y="1787652"/>
                                </a:moveTo>
                                <a:lnTo>
                                  <a:pt x="498348" y="1594103"/>
                                </a:lnTo>
                              </a:path>
                              <a:path w="4235450" h="1788160">
                                <a:moveTo>
                                  <a:pt x="748284" y="1787652"/>
                                </a:moveTo>
                                <a:lnTo>
                                  <a:pt x="748284" y="1207007"/>
                                </a:lnTo>
                              </a:path>
                              <a:path w="4235450" h="1788160">
                                <a:moveTo>
                                  <a:pt x="996696" y="1787652"/>
                                </a:moveTo>
                                <a:lnTo>
                                  <a:pt x="996696" y="1696212"/>
                                </a:lnTo>
                              </a:path>
                              <a:path w="4235450" h="1788160">
                                <a:moveTo>
                                  <a:pt x="1245108" y="1787652"/>
                                </a:moveTo>
                                <a:lnTo>
                                  <a:pt x="1245108" y="1754124"/>
                                </a:lnTo>
                              </a:path>
                              <a:path w="4235450" h="1788160">
                                <a:moveTo>
                                  <a:pt x="1495044" y="1787652"/>
                                </a:moveTo>
                                <a:lnTo>
                                  <a:pt x="1495044" y="1504188"/>
                                </a:lnTo>
                              </a:path>
                              <a:path w="4235450" h="1788160">
                                <a:moveTo>
                                  <a:pt x="1743456" y="1787652"/>
                                </a:moveTo>
                                <a:lnTo>
                                  <a:pt x="1743456" y="1684019"/>
                                </a:lnTo>
                              </a:path>
                              <a:path w="4235450" h="1788160">
                                <a:moveTo>
                                  <a:pt x="1993392" y="1787652"/>
                                </a:moveTo>
                                <a:lnTo>
                                  <a:pt x="1993392" y="1336548"/>
                                </a:lnTo>
                              </a:path>
                              <a:path w="4235450" h="1788160">
                                <a:moveTo>
                                  <a:pt x="2241804" y="1787652"/>
                                </a:moveTo>
                                <a:lnTo>
                                  <a:pt x="2241804" y="1633727"/>
                                </a:lnTo>
                              </a:path>
                              <a:path w="4235450" h="1788160">
                                <a:moveTo>
                                  <a:pt x="2491740" y="1787652"/>
                                </a:moveTo>
                                <a:lnTo>
                                  <a:pt x="2491740" y="1694688"/>
                                </a:lnTo>
                              </a:path>
                              <a:path w="4235450" h="1788160">
                                <a:moveTo>
                                  <a:pt x="2740152" y="1787652"/>
                                </a:moveTo>
                                <a:lnTo>
                                  <a:pt x="2740152" y="1732788"/>
                                </a:lnTo>
                              </a:path>
                              <a:path w="4235450" h="1788160">
                                <a:moveTo>
                                  <a:pt x="2990088" y="1787652"/>
                                </a:moveTo>
                                <a:lnTo>
                                  <a:pt x="2990088" y="1764791"/>
                                </a:lnTo>
                              </a:path>
                              <a:path w="4235450" h="1788160">
                                <a:moveTo>
                                  <a:pt x="3238500" y="1787652"/>
                                </a:moveTo>
                                <a:lnTo>
                                  <a:pt x="3238500" y="1732788"/>
                                </a:lnTo>
                              </a:path>
                              <a:path w="4235450" h="1788160">
                                <a:moveTo>
                                  <a:pt x="3486912" y="1787652"/>
                                </a:moveTo>
                                <a:lnTo>
                                  <a:pt x="3486912" y="1098803"/>
                                </a:lnTo>
                              </a:path>
                              <a:path w="4235450" h="1788160">
                                <a:moveTo>
                                  <a:pt x="3736848" y="1787652"/>
                                </a:moveTo>
                                <a:lnTo>
                                  <a:pt x="3736848" y="1493519"/>
                                </a:lnTo>
                              </a:path>
                              <a:path w="4235450" h="1788160">
                                <a:moveTo>
                                  <a:pt x="3985259" y="1787652"/>
                                </a:moveTo>
                                <a:lnTo>
                                  <a:pt x="3985259" y="1591055"/>
                                </a:lnTo>
                              </a:path>
                              <a:path w="4235450" h="1788160">
                                <a:moveTo>
                                  <a:pt x="4235196" y="1787652"/>
                                </a:moveTo>
                                <a:lnTo>
                                  <a:pt x="4235196" y="1597152"/>
                                </a:lnTo>
                              </a:path>
                            </a:pathLst>
                          </a:custGeom>
                          <a:ln w="9144">
                            <a:solidFill>
                              <a:srgbClr val="000000"/>
                            </a:solidFill>
                            <a:prstDash val="solid"/>
                          </a:ln>
                        </wps:spPr>
                        <wps:bodyPr wrap="square" lIns="0" tIns="0" rIns="0" bIns="0" rtlCol="0">
                          <a:prstTxWarp prst="textNoShape">
                            <a:avLst/>
                          </a:prstTxWarp>
                          <a:noAutofit/>
                        </wps:bodyPr>
                      </wps:wsp>
                      <pic:pic>
                        <pic:nvPicPr>
                          <pic:cNvPr id="1036" name="Image 1036"/>
                          <pic:cNvPicPr/>
                        </pic:nvPicPr>
                        <pic:blipFill>
                          <a:blip r:embed="rId206" cstate="print"/>
                          <a:stretch>
                            <a:fillRect/>
                          </a:stretch>
                        </pic:blipFill>
                        <pic:spPr>
                          <a:xfrm>
                            <a:off x="660019" y="2388361"/>
                            <a:ext cx="4442206" cy="226060"/>
                          </a:xfrm>
                          <a:prstGeom prst="rect">
                            <a:avLst/>
                          </a:prstGeom>
                        </pic:spPr>
                      </pic:pic>
                      <wps:wsp>
                        <wps:cNvPr id="1037" name="Graphic 1037"/>
                        <wps:cNvSpPr/>
                        <wps:spPr>
                          <a:xfrm>
                            <a:off x="6350" y="6350"/>
                            <a:ext cx="5343525" cy="3048000"/>
                          </a:xfrm>
                          <a:custGeom>
                            <a:avLst/>
                            <a:gdLst/>
                            <a:ahLst/>
                            <a:cxnLst/>
                            <a:rect l="l" t="t" r="r" b="b"/>
                            <a:pathLst>
                              <a:path w="5343525" h="3048000">
                                <a:moveTo>
                                  <a:pt x="0" y="3048000"/>
                                </a:moveTo>
                                <a:lnTo>
                                  <a:pt x="5343525" y="3048000"/>
                                </a:lnTo>
                                <a:lnTo>
                                  <a:pt x="5343525" y="0"/>
                                </a:lnTo>
                                <a:lnTo>
                                  <a:pt x="0" y="0"/>
                                </a:lnTo>
                                <a:lnTo>
                                  <a:pt x="0" y="3048000"/>
                                </a:lnTo>
                                <a:close/>
                              </a:path>
                            </a:pathLst>
                          </a:custGeom>
                          <a:ln w="12700">
                            <a:solidFill>
                              <a:srgbClr val="858585"/>
                            </a:solidFill>
                            <a:prstDash val="solid"/>
                          </a:ln>
                        </wps:spPr>
                        <wps:bodyPr wrap="square" lIns="0" tIns="0" rIns="0" bIns="0" rtlCol="0">
                          <a:prstTxWarp prst="textNoShape">
                            <a:avLst/>
                          </a:prstTxWarp>
                          <a:noAutofit/>
                        </wps:bodyPr>
                      </wps:wsp>
                      <wps:wsp>
                        <wps:cNvPr id="1038" name="Textbox 1038"/>
                        <wps:cNvSpPr txBox="1"/>
                        <wps:spPr>
                          <a:xfrm>
                            <a:off x="12700" y="6603"/>
                            <a:ext cx="5330825" cy="3041650"/>
                          </a:xfrm>
                          <a:prstGeom prst="rect">
                            <a:avLst/>
                          </a:prstGeom>
                        </wps:spPr>
                        <wps:txbx>
                          <w:txbxContent>
                            <w:p>
                              <w:pPr>
                                <w:spacing w:before="88"/>
                                <w:ind w:left="0" w:right="7455" w:firstLine="0"/>
                                <w:jc w:val="right"/>
                                <w:rPr>
                                  <w:rFonts w:ascii="Calibri"/>
                                  <w:sz w:val="20"/>
                                </w:rPr>
                              </w:pPr>
                              <w:r>
                                <w:rPr>
                                  <w:rFonts w:ascii="Calibri"/>
                                  <w:spacing w:val="-5"/>
                                  <w:sz w:val="20"/>
                                </w:rPr>
                                <w:t>250</w:t>
                              </w:r>
                            </w:p>
                            <w:p>
                              <w:pPr>
                                <w:spacing w:line="240" w:lineRule="auto" w:before="170"/>
                                <w:rPr>
                                  <w:rFonts w:ascii="Calibri"/>
                                  <w:sz w:val="20"/>
                                </w:rPr>
                              </w:pPr>
                            </w:p>
                            <w:p>
                              <w:pPr>
                                <w:spacing w:before="0"/>
                                <w:ind w:left="0" w:right="7455" w:firstLine="0"/>
                                <w:jc w:val="right"/>
                                <w:rPr>
                                  <w:rFonts w:ascii="Calibri"/>
                                  <w:sz w:val="20"/>
                                </w:rPr>
                              </w:pPr>
                              <w:r>
                                <w:rPr>
                                  <w:rFonts w:ascii="Calibri"/>
                                  <w:spacing w:val="-5"/>
                                  <w:sz w:val="20"/>
                                </w:rPr>
                                <w:t>200</w:t>
                              </w:r>
                            </w:p>
                            <w:p>
                              <w:pPr>
                                <w:spacing w:line="240" w:lineRule="auto" w:before="170"/>
                                <w:rPr>
                                  <w:rFonts w:ascii="Calibri"/>
                                  <w:sz w:val="20"/>
                                </w:rPr>
                              </w:pPr>
                            </w:p>
                            <w:p>
                              <w:pPr>
                                <w:spacing w:before="0"/>
                                <w:ind w:left="0" w:right="7455" w:firstLine="0"/>
                                <w:jc w:val="right"/>
                                <w:rPr>
                                  <w:rFonts w:ascii="Calibri"/>
                                  <w:sz w:val="20"/>
                                </w:rPr>
                              </w:pPr>
                              <w:r>
                                <w:rPr>
                                  <w:rFonts w:ascii="Calibri"/>
                                  <w:spacing w:val="-5"/>
                                  <w:sz w:val="20"/>
                                </w:rPr>
                                <w:t>150</w:t>
                              </w:r>
                            </w:p>
                            <w:p>
                              <w:pPr>
                                <w:spacing w:line="240" w:lineRule="auto" w:before="169"/>
                                <w:rPr>
                                  <w:rFonts w:ascii="Calibri"/>
                                  <w:sz w:val="20"/>
                                </w:rPr>
                              </w:pPr>
                            </w:p>
                            <w:p>
                              <w:pPr>
                                <w:spacing w:before="0"/>
                                <w:ind w:left="0" w:right="7455" w:firstLine="0"/>
                                <w:jc w:val="right"/>
                                <w:rPr>
                                  <w:rFonts w:ascii="Calibri"/>
                                  <w:sz w:val="20"/>
                                </w:rPr>
                              </w:pPr>
                              <w:r>
                                <w:rPr>
                                  <w:rFonts w:ascii="Calibri"/>
                                  <w:spacing w:val="-5"/>
                                  <w:sz w:val="20"/>
                                </w:rPr>
                                <w:t>100</w:t>
                              </w:r>
                            </w:p>
                            <w:p>
                              <w:pPr>
                                <w:spacing w:line="240" w:lineRule="auto" w:before="170"/>
                                <w:rPr>
                                  <w:rFonts w:ascii="Calibri"/>
                                  <w:sz w:val="20"/>
                                </w:rPr>
                              </w:pPr>
                            </w:p>
                            <w:p>
                              <w:pPr>
                                <w:spacing w:before="0"/>
                                <w:ind w:left="0" w:right="7456" w:firstLine="0"/>
                                <w:jc w:val="right"/>
                                <w:rPr>
                                  <w:rFonts w:ascii="Calibri"/>
                                  <w:sz w:val="20"/>
                                </w:rPr>
                              </w:pPr>
                              <w:r>
                                <w:rPr>
                                  <w:rFonts w:ascii="Calibri"/>
                                  <w:spacing w:val="-5"/>
                                  <w:sz w:val="20"/>
                                </w:rPr>
                                <w:t>50</w:t>
                              </w:r>
                            </w:p>
                            <w:p>
                              <w:pPr>
                                <w:spacing w:line="240" w:lineRule="auto" w:before="169"/>
                                <w:rPr>
                                  <w:rFonts w:ascii="Calibri"/>
                                  <w:sz w:val="20"/>
                                </w:rPr>
                              </w:pPr>
                            </w:p>
                            <w:p>
                              <w:pPr>
                                <w:spacing w:before="0"/>
                                <w:ind w:left="0" w:right="7454" w:firstLine="0"/>
                                <w:jc w:val="right"/>
                                <w:rPr>
                                  <w:rFonts w:ascii="Calibri"/>
                                  <w:sz w:val="20"/>
                                </w:rPr>
                              </w:pPr>
                              <w:r>
                                <w:rPr>
                                  <w:rFonts w:ascii="Calibri"/>
                                  <w:spacing w:val="-10"/>
                                  <w:sz w:val="20"/>
                                </w:rPr>
                                <w:t>0</w:t>
                              </w:r>
                            </w:p>
                            <w:p>
                              <w:pPr>
                                <w:spacing w:line="240" w:lineRule="auto" w:before="0"/>
                                <w:rPr>
                                  <w:rFonts w:ascii="Calibri"/>
                                  <w:sz w:val="20"/>
                                </w:rPr>
                              </w:pPr>
                            </w:p>
                            <w:p>
                              <w:pPr>
                                <w:spacing w:line="240" w:lineRule="auto" w:before="196"/>
                                <w:rPr>
                                  <w:rFonts w:ascii="Calibri"/>
                                  <w:sz w:val="20"/>
                                </w:rPr>
                              </w:pPr>
                            </w:p>
                            <w:p>
                              <w:pPr>
                                <w:spacing w:before="0"/>
                                <w:ind w:left="915" w:right="0" w:firstLine="0"/>
                                <w:jc w:val="center"/>
                                <w:rPr>
                                  <w:rFonts w:ascii="Calibri"/>
                                  <w:b/>
                                  <w:sz w:val="20"/>
                                </w:rPr>
                              </w:pPr>
                              <w:r>
                                <w:rPr>
                                  <w:rFonts w:ascii="Calibri"/>
                                  <w:b/>
                                  <w:spacing w:val="-2"/>
                                  <w:sz w:val="20"/>
                                </w:rPr>
                                <w:t>Years</w:t>
                              </w:r>
                            </w:p>
                          </w:txbxContent>
                        </wps:txbx>
                        <wps:bodyPr wrap="square" lIns="0" tIns="0" rIns="0" bIns="0" rtlCol="0">
                          <a:noAutofit/>
                        </wps:bodyPr>
                      </wps:wsp>
                    </wpg:wgp>
                  </a:graphicData>
                </a:graphic>
              </wp:anchor>
            </w:drawing>
          </mc:Choice>
          <mc:Fallback>
            <w:pict>
              <v:group style="position:absolute;margin-left:71.5pt;margin-top:210.479996pt;width:421.75pt;height:241pt;mso-position-horizontal-relative:page;mso-position-vertical-relative:paragraph;z-index:15774720" id="docshapegroup962" coordorigin="1430,4210" coordsize="8435,4820">
                <v:shape style="position:absolute;left:2510;top:4443;width:7126;height:3288" id="docshape963" coordorigin="2510,4443" coordsize="7126,3288" path="m2573,7074l9636,7074m2573,6416l9636,6416m2573,5758l9636,5758m2573,5101l9636,5101m2573,4443l9636,4443m2573,7731l2573,4443m2510,7731l2573,7731m2510,7074l2573,7074m2510,6416l2573,6416m2510,5758l2573,5758m2510,5101l2573,5101m2510,4443l2573,4443m2573,7731l9636,7731e" filled="false" stroked="true" strokeweight=".72pt" strokecolor="#858585">
                  <v:path arrowok="t"/>
                  <v:stroke dashstyle="solid"/>
                </v:shape>
                <v:shape style="position:absolute;left:2769;top:4916;width:6670;height:2780" id="docshape964" coordorigin="2770,4916" coordsize="6670,2780" path="m2770,7390l3161,4916,3554,7426,3946,6817,4339,7590,4730,7678,5124,7285,5515,7568,5909,7021,6300,7489,6694,7585,7085,7645,7478,7695,7870,7645,8263,6646,8654,7268,9048,7422,9439,7431e" filled="false" stroked="true" strokeweight="2.16pt" strokecolor="#497dba">
                  <v:path arrowok="t"/>
                  <v:stroke dashstyle="solid"/>
                </v:shape>
                <v:shape style="position:absolute;left:2700;top:7321;width:140;height:140" id="docshape965" coordorigin="2700,7321" coordsize="140,140" path="m2770,7321l2700,7391,2770,7461,2840,7391,2770,7321xe" filled="true" fillcolor="#4f81bc" stroked="false">
                  <v:path arrowok="t"/>
                  <v:fill type="solid"/>
                </v:shape>
                <v:shape style="position:absolute;left:2700;top:7321;width:140;height:140" id="docshape966" coordorigin="2700,7321" coordsize="140,140" path="m2770,7461l2700,7391,2770,7321,2840,7391,2770,7461e" filled="false" stroked="true" strokeweight=".72pt" strokecolor="#497dba">
                  <v:path arrowok="t"/>
                  <v:stroke dashstyle="solid"/>
                </v:shape>
                <v:shape style="position:absolute;left:3085;top:4839;width:155;height:155" type="#_x0000_t75" id="docshape967" stroked="false">
                  <v:imagedata r:id="rId119" o:title=""/>
                </v:shape>
                <v:shape style="position:absolute;left:3477;top:7348;width:155;height:155" type="#_x0000_t75" id="docshape968" stroked="false">
                  <v:imagedata r:id="rId113" o:title=""/>
                </v:shape>
                <v:shape style="position:absolute;left:3869;top:6740;width:155;height:155" type="#_x0000_t75" id="docshape969" stroked="false">
                  <v:imagedata r:id="rId111" o:title=""/>
                </v:shape>
                <v:shape style="position:absolute;left:4262;top:7511;width:155;height:155" type="#_x0000_t75" id="docshape970" stroked="false">
                  <v:imagedata r:id="rId119" o:title=""/>
                </v:shape>
                <v:shape style="position:absolute;left:4654;top:7602;width:155;height:155" type="#_x0000_t75" id="docshape971" stroked="false">
                  <v:imagedata r:id="rId113" o:title=""/>
                </v:shape>
                <v:shape style="position:absolute;left:5046;top:7207;width:155;height:155" type="#_x0000_t75" id="docshape972" stroked="false">
                  <v:imagedata r:id="rId113" o:title=""/>
                </v:shape>
                <v:shape style="position:absolute;left:5438;top:7490;width:155;height:155" type="#_x0000_t75" id="docshape973" stroked="false">
                  <v:imagedata r:id="rId111" o:title=""/>
                </v:shape>
                <v:shape style="position:absolute;left:5831;top:6943;width:155;height:155" type="#_x0000_t75" id="docshape974" stroked="false">
                  <v:imagedata r:id="rId111" o:title=""/>
                </v:shape>
                <v:shape style="position:absolute;left:6223;top:7412;width:155;height:155" type="#_x0000_t75" id="docshape975" stroked="false">
                  <v:imagedata r:id="rId116" o:title=""/>
                </v:shape>
                <v:shape style="position:absolute;left:6615;top:7507;width:155;height:155" type="#_x0000_t75" id="docshape976" stroked="false">
                  <v:imagedata r:id="rId111" o:title=""/>
                </v:shape>
                <v:shape style="position:absolute;left:7008;top:7567;width:155;height:155" type="#_x0000_t75" id="docshape977" stroked="false">
                  <v:imagedata r:id="rId111" o:title=""/>
                </v:shape>
                <v:shape style="position:absolute;left:7400;top:7617;width:155;height:155" type="#_x0000_t75" id="docshape978" stroked="false">
                  <v:imagedata r:id="rId113" o:title=""/>
                </v:shape>
                <v:shape style="position:absolute;left:7792;top:7568;width:155;height:155" type="#_x0000_t75" id="docshape979" stroked="false">
                  <v:imagedata r:id="rId111" o:title=""/>
                </v:shape>
                <v:shape style="position:absolute;left:8184;top:6568;width:155;height:155" type="#_x0000_t75" id="docshape980" stroked="false">
                  <v:imagedata r:id="rId111" o:title=""/>
                </v:shape>
                <v:shape style="position:absolute;left:8577;top:7190;width:155;height:155" type="#_x0000_t75" id="docshape981" stroked="false">
                  <v:imagedata r:id="rId113" o:title=""/>
                </v:shape>
                <v:shape style="position:absolute;left:8969;top:7344;width:155;height:155" type="#_x0000_t75" id="docshape982" stroked="false">
                  <v:imagedata r:id="rId119" o:title=""/>
                </v:shape>
                <v:shape style="position:absolute;left:9361;top:7354;width:155;height:155" type="#_x0000_t75" id="docshape983" stroked="false">
                  <v:imagedata r:id="rId119" o:title=""/>
                </v:shape>
                <v:shape style="position:absolute;left:2769;top:4916;width:6670;height:2816" id="docshape984" coordorigin="2770,4916" coordsize="6670,2816" path="m2770,7731l2770,7390m3163,7731l3163,4916m3554,7731l3554,7426m3948,7731l3948,6817m4339,7731l4339,7587m4730,7731l4730,7678m5124,7731l5124,7285m5515,7731l5515,7568m5909,7731l5909,7021m6300,7731l6300,7489m6694,7731l6694,7585m7085,7731l7085,7645m7478,7731l7478,7695m7870,7731l7870,7645m8261,7731l8261,6646m8654,7731l8654,7268m9046,7731l9046,7422m9439,7731l9439,7431e" filled="false" stroked="true" strokeweight=".72pt" strokecolor="#000000">
                  <v:path arrowok="t"/>
                  <v:stroke dashstyle="solid"/>
                </v:shape>
                <v:shape style="position:absolute;left:2469;top:7970;width:6996;height:356" type="#_x0000_t75" id="docshape985" stroked="false">
                  <v:imagedata r:id="rId206" o:title=""/>
                </v:shape>
                <v:rect style="position:absolute;left:1440;top:4219;width:8415;height:4800" id="docshape986" filled="false" stroked="true" strokeweight="1pt" strokecolor="#858585">
                  <v:stroke dashstyle="solid"/>
                </v:rect>
                <v:shape style="position:absolute;left:1450;top:4220;width:8395;height:4790" type="#_x0000_t202" id="docshape987" filled="false" stroked="false">
                  <v:textbox inset="0,0,0,0">
                    <w:txbxContent>
                      <w:p>
                        <w:pPr>
                          <w:spacing w:before="88"/>
                          <w:ind w:left="0" w:right="7455" w:firstLine="0"/>
                          <w:jc w:val="right"/>
                          <w:rPr>
                            <w:rFonts w:ascii="Calibri"/>
                            <w:sz w:val="20"/>
                          </w:rPr>
                        </w:pPr>
                        <w:r>
                          <w:rPr>
                            <w:rFonts w:ascii="Calibri"/>
                            <w:spacing w:val="-5"/>
                            <w:sz w:val="20"/>
                          </w:rPr>
                          <w:t>250</w:t>
                        </w:r>
                      </w:p>
                      <w:p>
                        <w:pPr>
                          <w:spacing w:line="240" w:lineRule="auto" w:before="170"/>
                          <w:rPr>
                            <w:rFonts w:ascii="Calibri"/>
                            <w:sz w:val="20"/>
                          </w:rPr>
                        </w:pPr>
                      </w:p>
                      <w:p>
                        <w:pPr>
                          <w:spacing w:before="0"/>
                          <w:ind w:left="0" w:right="7455" w:firstLine="0"/>
                          <w:jc w:val="right"/>
                          <w:rPr>
                            <w:rFonts w:ascii="Calibri"/>
                            <w:sz w:val="20"/>
                          </w:rPr>
                        </w:pPr>
                        <w:r>
                          <w:rPr>
                            <w:rFonts w:ascii="Calibri"/>
                            <w:spacing w:val="-5"/>
                            <w:sz w:val="20"/>
                          </w:rPr>
                          <w:t>200</w:t>
                        </w:r>
                      </w:p>
                      <w:p>
                        <w:pPr>
                          <w:spacing w:line="240" w:lineRule="auto" w:before="170"/>
                          <w:rPr>
                            <w:rFonts w:ascii="Calibri"/>
                            <w:sz w:val="20"/>
                          </w:rPr>
                        </w:pPr>
                      </w:p>
                      <w:p>
                        <w:pPr>
                          <w:spacing w:before="0"/>
                          <w:ind w:left="0" w:right="7455" w:firstLine="0"/>
                          <w:jc w:val="right"/>
                          <w:rPr>
                            <w:rFonts w:ascii="Calibri"/>
                            <w:sz w:val="20"/>
                          </w:rPr>
                        </w:pPr>
                        <w:r>
                          <w:rPr>
                            <w:rFonts w:ascii="Calibri"/>
                            <w:spacing w:val="-5"/>
                            <w:sz w:val="20"/>
                          </w:rPr>
                          <w:t>150</w:t>
                        </w:r>
                      </w:p>
                      <w:p>
                        <w:pPr>
                          <w:spacing w:line="240" w:lineRule="auto" w:before="169"/>
                          <w:rPr>
                            <w:rFonts w:ascii="Calibri"/>
                            <w:sz w:val="20"/>
                          </w:rPr>
                        </w:pPr>
                      </w:p>
                      <w:p>
                        <w:pPr>
                          <w:spacing w:before="0"/>
                          <w:ind w:left="0" w:right="7455" w:firstLine="0"/>
                          <w:jc w:val="right"/>
                          <w:rPr>
                            <w:rFonts w:ascii="Calibri"/>
                            <w:sz w:val="20"/>
                          </w:rPr>
                        </w:pPr>
                        <w:r>
                          <w:rPr>
                            <w:rFonts w:ascii="Calibri"/>
                            <w:spacing w:val="-5"/>
                            <w:sz w:val="20"/>
                          </w:rPr>
                          <w:t>100</w:t>
                        </w:r>
                      </w:p>
                      <w:p>
                        <w:pPr>
                          <w:spacing w:line="240" w:lineRule="auto" w:before="170"/>
                          <w:rPr>
                            <w:rFonts w:ascii="Calibri"/>
                            <w:sz w:val="20"/>
                          </w:rPr>
                        </w:pPr>
                      </w:p>
                      <w:p>
                        <w:pPr>
                          <w:spacing w:before="0"/>
                          <w:ind w:left="0" w:right="7456" w:firstLine="0"/>
                          <w:jc w:val="right"/>
                          <w:rPr>
                            <w:rFonts w:ascii="Calibri"/>
                            <w:sz w:val="20"/>
                          </w:rPr>
                        </w:pPr>
                        <w:r>
                          <w:rPr>
                            <w:rFonts w:ascii="Calibri"/>
                            <w:spacing w:val="-5"/>
                            <w:sz w:val="20"/>
                          </w:rPr>
                          <w:t>50</w:t>
                        </w:r>
                      </w:p>
                      <w:p>
                        <w:pPr>
                          <w:spacing w:line="240" w:lineRule="auto" w:before="169"/>
                          <w:rPr>
                            <w:rFonts w:ascii="Calibri"/>
                            <w:sz w:val="20"/>
                          </w:rPr>
                        </w:pPr>
                      </w:p>
                      <w:p>
                        <w:pPr>
                          <w:spacing w:before="0"/>
                          <w:ind w:left="0" w:right="7454" w:firstLine="0"/>
                          <w:jc w:val="right"/>
                          <w:rPr>
                            <w:rFonts w:ascii="Calibri"/>
                            <w:sz w:val="20"/>
                          </w:rPr>
                        </w:pPr>
                        <w:r>
                          <w:rPr>
                            <w:rFonts w:ascii="Calibri"/>
                            <w:spacing w:val="-10"/>
                            <w:sz w:val="20"/>
                          </w:rPr>
                          <w:t>0</w:t>
                        </w:r>
                      </w:p>
                      <w:p>
                        <w:pPr>
                          <w:spacing w:line="240" w:lineRule="auto" w:before="0"/>
                          <w:rPr>
                            <w:rFonts w:ascii="Calibri"/>
                            <w:sz w:val="20"/>
                          </w:rPr>
                        </w:pPr>
                      </w:p>
                      <w:p>
                        <w:pPr>
                          <w:spacing w:line="240" w:lineRule="auto" w:before="196"/>
                          <w:rPr>
                            <w:rFonts w:ascii="Calibri"/>
                            <w:sz w:val="20"/>
                          </w:rPr>
                        </w:pPr>
                      </w:p>
                      <w:p>
                        <w:pPr>
                          <w:spacing w:before="0"/>
                          <w:ind w:left="915" w:right="0" w:firstLine="0"/>
                          <w:jc w:val="center"/>
                          <w:rPr>
                            <w:rFonts w:ascii="Calibri"/>
                            <w:b/>
                            <w:sz w:val="20"/>
                          </w:rPr>
                        </w:pPr>
                        <w:r>
                          <w:rPr>
                            <w:rFonts w:ascii="Calibri"/>
                            <w:b/>
                            <w:spacing w:val="-2"/>
                            <w:sz w:val="20"/>
                          </w:rPr>
                          <w:t>Years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5232">
                <wp:simplePos x="0" y="0"/>
                <wp:positionH relativeFrom="page">
                  <wp:posOffset>1086332</wp:posOffset>
                </wp:positionH>
                <wp:positionV relativeFrom="paragraph">
                  <wp:posOffset>3018515</wp:posOffset>
                </wp:positionV>
                <wp:extent cx="152400" cy="1697989"/>
                <wp:effectExtent l="0" t="0" r="0" b="0"/>
                <wp:wrapNone/>
                <wp:docPr id="1039" name="Textbox 1039"/>
                <wp:cNvGraphicFramePr>
                  <a:graphicFrameLocks/>
                </wp:cNvGraphicFramePr>
                <a:graphic>
                  <a:graphicData uri="http://schemas.microsoft.com/office/word/2010/wordprocessingShape">
                    <wps:wsp>
                      <wps:cNvPr id="1039" name="Textbox 1039"/>
                      <wps:cNvSpPr txBox="1"/>
                      <wps:spPr>
                        <a:xfrm>
                          <a:off x="0" y="0"/>
                          <a:ext cx="152400" cy="1697989"/>
                        </a:xfrm>
                        <a:prstGeom prst="rect">
                          <a:avLst/>
                        </a:prstGeom>
                      </wps:spPr>
                      <wps:txbx>
                        <w:txbxContent>
                          <w:p>
                            <w:pPr>
                              <w:spacing w:line="223" w:lineRule="exact" w:before="0"/>
                              <w:ind w:left="20" w:right="0" w:firstLine="0"/>
                              <w:jc w:val="left"/>
                              <w:rPr>
                                <w:rFonts w:ascii="Calibri"/>
                                <w:b/>
                                <w:sz w:val="20"/>
                              </w:rPr>
                            </w:pPr>
                            <w:r>
                              <w:rPr>
                                <w:rFonts w:ascii="Calibri"/>
                                <w:b/>
                                <w:spacing w:val="-2"/>
                                <w:sz w:val="20"/>
                              </w:rPr>
                              <w:t>Percentage</w:t>
                            </w:r>
                            <w:r>
                              <w:rPr>
                                <w:rFonts w:ascii="Calibri"/>
                                <w:b/>
                                <w:spacing w:val="7"/>
                                <w:sz w:val="20"/>
                              </w:rPr>
                              <w:t> </w:t>
                            </w:r>
                            <w:r>
                              <w:rPr>
                                <w:rFonts w:ascii="Calibri"/>
                                <w:b/>
                                <w:spacing w:val="-2"/>
                                <w:sz w:val="20"/>
                              </w:rPr>
                              <w:t>Implementation</w:t>
                            </w:r>
                            <w:r>
                              <w:rPr>
                                <w:rFonts w:ascii="Calibri"/>
                                <w:b/>
                                <w:spacing w:val="7"/>
                                <w:sz w:val="20"/>
                              </w:rPr>
                              <w:t> </w:t>
                            </w:r>
                            <w:r>
                              <w:rPr>
                                <w:rFonts w:ascii="Calibri"/>
                                <w:b/>
                                <w:spacing w:val="-5"/>
                                <w:sz w:val="20"/>
                              </w:rPr>
                              <w:t>(%)</w:t>
                            </w:r>
                          </w:p>
                        </w:txbxContent>
                      </wps:txbx>
                      <wps:bodyPr wrap="square" lIns="0" tIns="0" rIns="0" bIns="0" rtlCol="0" vert="vert270">
                        <a:noAutofit/>
                      </wps:bodyPr>
                    </wps:wsp>
                  </a:graphicData>
                </a:graphic>
              </wp:anchor>
            </w:drawing>
          </mc:Choice>
          <mc:Fallback>
            <w:pict>
              <v:shape style="position:absolute;margin-left:85.538002pt;margin-top:237.67836pt;width:12pt;height:133.7pt;mso-position-horizontal-relative:page;mso-position-vertical-relative:paragraph;z-index:15775232" type="#_x0000_t202" id="docshape988"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pacing w:val="-2"/>
                          <w:sz w:val="20"/>
                        </w:rPr>
                        <w:t>Percentage</w:t>
                      </w:r>
                      <w:r>
                        <w:rPr>
                          <w:rFonts w:ascii="Calibri"/>
                          <w:b/>
                          <w:spacing w:val="7"/>
                          <w:sz w:val="20"/>
                        </w:rPr>
                        <w:t> </w:t>
                      </w:r>
                      <w:r>
                        <w:rPr>
                          <w:rFonts w:ascii="Calibri"/>
                          <w:b/>
                          <w:spacing w:val="-2"/>
                          <w:sz w:val="20"/>
                        </w:rPr>
                        <w:t>Implementation</w:t>
                      </w:r>
                      <w:r>
                        <w:rPr>
                          <w:rFonts w:ascii="Calibri"/>
                          <w:b/>
                          <w:spacing w:val="7"/>
                          <w:sz w:val="20"/>
                        </w:rPr>
                        <w:t> </w:t>
                      </w:r>
                      <w:r>
                        <w:rPr>
                          <w:rFonts w:ascii="Calibri"/>
                          <w:b/>
                          <w:spacing w:val="-5"/>
                          <w:sz w:val="20"/>
                        </w:rPr>
                        <w:t>(%)</w:t>
                      </w:r>
                    </w:p>
                  </w:txbxContent>
                </v:textbox>
                <w10:wrap type="none"/>
              </v:shape>
            </w:pict>
          </mc:Fallback>
        </mc:AlternateContent>
      </w:r>
      <w:r>
        <w:rPr/>
        <w:t>Figure 5.12 is a comparative chart in form of a multiple bar chart</w:t>
      </w:r>
      <w:r>
        <w:rPr>
          <w:spacing w:val="40"/>
        </w:rPr>
        <w:t> </w:t>
      </w:r>
      <w:r>
        <w:rPr/>
        <w:t>of annual budget allocation, estimate and actual expenditure on housing sector in Anambra State from 1999-2016. A cursory look at the graph shows that within the study</w:t>
      </w:r>
      <w:r>
        <w:rPr>
          <w:spacing w:val="-3"/>
        </w:rPr>
        <w:t> </w:t>
      </w:r>
      <w:r>
        <w:rPr/>
        <w:t>period, there is a close relationship between annual approved housing budget allocation and housing budget estimate. Particularly, there was an excess expenditure in the year 2000 as the expenditure was above the budget estimate and approved allocation, while for the years: 2003, 2004, 2006, 2008, 2009, 2010, 2011 and 2012,</w:t>
      </w:r>
      <w:r>
        <w:rPr>
          <w:spacing w:val="40"/>
        </w:rPr>
        <w:t> </w:t>
      </w:r>
      <w:r>
        <w:rPr/>
        <w:t>not even up to 30% of the approved allocation and estimate was implemented. The worst was in 2004, where not even 5% of the approved allocation to the sector was utilized. From 2014 -</w:t>
      </w:r>
      <w:r>
        <w:rPr>
          <w:spacing w:val="40"/>
        </w:rPr>
        <w:t> </w:t>
      </w:r>
      <w:r>
        <w:rPr/>
        <w:t>2016, the expenditures were also low, as about 20-40% of the allocations were implemented, while in 2002, 2007 and 2013, above 50% of approved allocation to the sector were utilized.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6"/>
      </w:pPr>
    </w:p>
    <w:p>
      <w:pPr>
        <w:pStyle w:val="BodyText"/>
        <w:spacing w:before="1"/>
        <w:ind w:left="240" w:right="836"/>
        <w:jc w:val="both"/>
      </w:pPr>
      <w:r>
        <w:rPr>
          <w:b/>
        </w:rPr>
        <w:t>Figure 5.13:</w:t>
      </w:r>
      <w:r>
        <w:rPr>
          <w:b/>
          <w:spacing w:val="40"/>
        </w:rPr>
        <w:t> </w:t>
      </w:r>
      <w:r>
        <w:rPr/>
        <w:t>Trend of annual housing budget implementation from 1999 – 2016 (Researcher‘s plot with MS- Excel, 2017)</w:t>
      </w:r>
    </w:p>
    <w:p>
      <w:pPr>
        <w:pStyle w:val="BodyText"/>
        <w:spacing w:before="2"/>
      </w:pPr>
    </w:p>
    <w:p>
      <w:pPr>
        <w:pStyle w:val="BodyText"/>
        <w:spacing w:line="360" w:lineRule="auto"/>
        <w:ind w:left="240" w:right="836"/>
        <w:jc w:val="both"/>
      </w:pPr>
      <w:r>
        <w:rPr/>
        <w:t>The graph (figure 5.13) of annual housing budget implementation in Anambra State for the period of 1999 to 2016 shows a random movement within the period. Apart from spikes in 2000, 2002</w:t>
      </w:r>
      <w:r>
        <w:rPr>
          <w:spacing w:val="-2"/>
        </w:rPr>
        <w:t> </w:t>
      </w:r>
      <w:r>
        <w:rPr/>
        <w:t>and</w:t>
      </w:r>
      <w:r>
        <w:rPr>
          <w:spacing w:val="-2"/>
        </w:rPr>
        <w:t> </w:t>
      </w:r>
      <w:r>
        <w:rPr/>
        <w:t>2013,</w:t>
      </w:r>
      <w:r>
        <w:rPr>
          <w:spacing w:val="-2"/>
        </w:rPr>
        <w:t> </w:t>
      </w:r>
      <w:r>
        <w:rPr/>
        <w:t>the</w:t>
      </w:r>
      <w:r>
        <w:rPr>
          <w:spacing w:val="-1"/>
        </w:rPr>
        <w:t> </w:t>
      </w:r>
      <w:r>
        <w:rPr/>
        <w:t>housing</w:t>
      </w:r>
      <w:r>
        <w:rPr>
          <w:spacing w:val="-5"/>
        </w:rPr>
        <w:t> </w:t>
      </w:r>
      <w:r>
        <w:rPr/>
        <w:t>budget</w:t>
      </w:r>
      <w:r>
        <w:rPr>
          <w:spacing w:val="-2"/>
        </w:rPr>
        <w:t> </w:t>
      </w:r>
      <w:r>
        <w:rPr/>
        <w:t>implementation</w:t>
      </w:r>
      <w:r>
        <w:rPr>
          <w:spacing w:val="-2"/>
        </w:rPr>
        <w:t> </w:t>
      </w:r>
      <w:r>
        <w:rPr/>
        <w:t>in</w:t>
      </w:r>
      <w:r>
        <w:rPr>
          <w:spacing w:val="-2"/>
        </w:rPr>
        <w:t> </w:t>
      </w:r>
      <w:r>
        <w:rPr/>
        <w:t>the</w:t>
      </w:r>
      <w:r>
        <w:rPr>
          <w:spacing w:val="-3"/>
        </w:rPr>
        <w:t> </w:t>
      </w:r>
      <w:r>
        <w:rPr/>
        <w:t>State</w:t>
      </w:r>
      <w:r>
        <w:rPr>
          <w:spacing w:val="-3"/>
        </w:rPr>
        <w:t> </w:t>
      </w:r>
      <w:r>
        <w:rPr/>
        <w:t>ranges</w:t>
      </w:r>
      <w:r>
        <w:rPr>
          <w:spacing w:val="-2"/>
        </w:rPr>
        <w:t> </w:t>
      </w:r>
      <w:r>
        <w:rPr/>
        <w:t>between</w:t>
      </w:r>
      <w:r>
        <w:rPr>
          <w:spacing w:val="-2"/>
        </w:rPr>
        <w:t> </w:t>
      </w:r>
      <w:r>
        <w:rPr/>
        <w:t>3-50%</w:t>
      </w:r>
      <w:r>
        <w:rPr>
          <w:spacing w:val="-3"/>
        </w:rPr>
        <w:t> </w:t>
      </w:r>
      <w:r>
        <w:rPr/>
        <w:t>within</w:t>
      </w:r>
      <w:r>
        <w:rPr>
          <w:spacing w:val="-2"/>
        </w:rPr>
        <w:t> </w:t>
      </w:r>
      <w:r>
        <w:rPr/>
        <w:t>the study period. This shows poor implementation of the housing budget in Anambra State.</w:t>
      </w:r>
    </w:p>
    <w:p>
      <w:pPr>
        <w:spacing w:after="0" w:line="360" w:lineRule="auto"/>
        <w:jc w:val="both"/>
        <w:sectPr>
          <w:pgSz w:w="12240" w:h="15840"/>
          <w:pgMar w:header="0" w:footer="1036" w:top="1360" w:bottom="1220" w:left="1200" w:right="600"/>
        </w:sectPr>
      </w:pPr>
    </w:p>
    <w:p>
      <w:pPr>
        <w:pStyle w:val="Heading3"/>
        <w:numPr>
          <w:ilvl w:val="1"/>
          <w:numId w:val="81"/>
        </w:numPr>
        <w:tabs>
          <w:tab w:pos="692" w:val="left" w:leader="none"/>
        </w:tabs>
        <w:spacing w:line="240" w:lineRule="auto" w:before="60" w:after="0"/>
        <w:ind w:left="692" w:right="0" w:hanging="452"/>
        <w:jc w:val="left"/>
      </w:pPr>
      <w:r>
        <w:rPr/>
        <w:t>Validation</w:t>
      </w:r>
      <w:r>
        <w:rPr>
          <w:spacing w:val="-6"/>
        </w:rPr>
        <w:t> </w:t>
      </w:r>
      <w:r>
        <w:rPr/>
        <w:t>of</w:t>
      </w:r>
      <w:r>
        <w:rPr>
          <w:spacing w:val="-6"/>
        </w:rPr>
        <w:t> </w:t>
      </w:r>
      <w:r>
        <w:rPr>
          <w:spacing w:val="-2"/>
        </w:rPr>
        <w:t>Hypotheses</w:t>
      </w:r>
    </w:p>
    <w:p>
      <w:pPr>
        <w:pStyle w:val="BodyText"/>
        <w:spacing w:line="360" w:lineRule="auto" w:before="144"/>
        <w:ind w:left="240" w:right="840"/>
      </w:pPr>
      <w:r>
        <w:rPr/>
        <w:t>Based on the objectives of this research the following</w:t>
      </w:r>
      <w:r>
        <w:rPr>
          <w:spacing w:val="-1"/>
        </w:rPr>
        <w:t> </w:t>
      </w:r>
      <w:r>
        <w:rPr/>
        <w:t>null hypotheses were</w:t>
      </w:r>
      <w:r>
        <w:rPr>
          <w:spacing w:val="-1"/>
        </w:rPr>
        <w:t> </w:t>
      </w:r>
      <w:r>
        <w:rPr/>
        <w:t>postulated and tested in the cause of this research.</w:t>
      </w:r>
    </w:p>
    <w:p>
      <w:pPr>
        <w:pStyle w:val="BodyText"/>
        <w:spacing w:before="39"/>
      </w:pPr>
    </w:p>
    <w:p>
      <w:pPr>
        <w:pStyle w:val="Heading4"/>
        <w:numPr>
          <w:ilvl w:val="2"/>
          <w:numId w:val="81"/>
        </w:numPr>
        <w:tabs>
          <w:tab w:pos="780" w:val="left" w:leader="none"/>
        </w:tabs>
        <w:spacing w:line="240" w:lineRule="auto" w:before="0" w:after="0"/>
        <w:ind w:left="780" w:right="0" w:hanging="540"/>
        <w:jc w:val="left"/>
      </w:pPr>
      <w:r>
        <w:rPr/>
        <w:t>Hypothesis</w:t>
      </w:r>
      <w:r>
        <w:rPr>
          <w:spacing w:val="-1"/>
        </w:rPr>
        <w:t> </w:t>
      </w:r>
      <w:r>
        <w:rPr>
          <w:spacing w:val="-5"/>
        </w:rPr>
        <w:t>One</w:t>
      </w:r>
    </w:p>
    <w:p>
      <w:pPr>
        <w:pStyle w:val="BodyText"/>
        <w:spacing w:line="360" w:lineRule="auto" w:before="134"/>
        <w:ind w:left="240" w:right="840"/>
      </w:pPr>
      <w:r>
        <w:rPr/>
        <w:t>There</w:t>
      </w:r>
      <w:r>
        <w:rPr>
          <w:spacing w:val="-1"/>
        </w:rPr>
        <w:t> </w:t>
      </w:r>
      <w:r>
        <w:rPr/>
        <w:t>is no significant trend in annual housing</w:t>
      </w:r>
      <w:r>
        <w:rPr>
          <w:spacing w:val="-1"/>
        </w:rPr>
        <w:t> </w:t>
      </w:r>
      <w:r>
        <w:rPr/>
        <w:t>budget allocation in Anambra State for the period under study.</w:t>
      </w:r>
    </w:p>
    <w:p>
      <w:pPr>
        <w:pStyle w:val="ListParagraph"/>
        <w:numPr>
          <w:ilvl w:val="0"/>
          <w:numId w:val="97"/>
        </w:numPr>
        <w:tabs>
          <w:tab w:pos="603" w:val="left" w:leader="none"/>
        </w:tabs>
        <w:spacing w:line="360" w:lineRule="auto" w:before="0" w:after="0"/>
        <w:ind w:left="240" w:right="837" w:firstLine="0"/>
        <w:jc w:val="left"/>
        <w:rPr>
          <w:sz w:val="24"/>
        </w:rPr>
      </w:pPr>
      <w:r>
        <w:rPr>
          <w:b/>
          <w:sz w:val="24"/>
        </w:rPr>
        <w:t>Data</w:t>
      </w:r>
      <w:r>
        <w:rPr>
          <w:b/>
          <w:spacing w:val="23"/>
          <w:sz w:val="24"/>
        </w:rPr>
        <w:t> </w:t>
      </w:r>
      <w:r>
        <w:rPr>
          <w:b/>
          <w:sz w:val="24"/>
        </w:rPr>
        <w:t>used</w:t>
      </w:r>
      <w:r>
        <w:rPr>
          <w:sz w:val="24"/>
        </w:rPr>
        <w:t>:</w:t>
      </w:r>
      <w:r>
        <w:rPr>
          <w:spacing w:val="23"/>
          <w:sz w:val="24"/>
        </w:rPr>
        <w:t> </w:t>
      </w:r>
      <w:r>
        <w:rPr>
          <w:sz w:val="24"/>
        </w:rPr>
        <w:t>Annual</w:t>
      </w:r>
      <w:r>
        <w:rPr>
          <w:spacing w:val="23"/>
          <w:sz w:val="24"/>
        </w:rPr>
        <w:t> </w:t>
      </w:r>
      <w:r>
        <w:rPr>
          <w:sz w:val="24"/>
        </w:rPr>
        <w:t>budgetary allocations</w:t>
      </w:r>
      <w:r>
        <w:rPr>
          <w:spacing w:val="23"/>
          <w:sz w:val="24"/>
        </w:rPr>
        <w:t> </w:t>
      </w:r>
      <w:r>
        <w:rPr>
          <w:sz w:val="24"/>
        </w:rPr>
        <w:t>for</w:t>
      </w:r>
      <w:r>
        <w:rPr>
          <w:spacing w:val="23"/>
          <w:sz w:val="24"/>
        </w:rPr>
        <w:t> </w:t>
      </w:r>
      <w:r>
        <w:rPr>
          <w:sz w:val="24"/>
        </w:rPr>
        <w:t>housing in</w:t>
      </w:r>
      <w:r>
        <w:rPr>
          <w:spacing w:val="25"/>
          <w:sz w:val="24"/>
        </w:rPr>
        <w:t> </w:t>
      </w:r>
      <w:r>
        <w:rPr>
          <w:sz w:val="24"/>
        </w:rPr>
        <w:t>Anambra State from</w:t>
      </w:r>
      <w:r>
        <w:rPr>
          <w:spacing w:val="23"/>
          <w:sz w:val="24"/>
        </w:rPr>
        <w:t> </w:t>
      </w:r>
      <w:r>
        <w:rPr>
          <w:sz w:val="24"/>
        </w:rPr>
        <w:t>1999</w:t>
      </w:r>
      <w:r>
        <w:rPr>
          <w:spacing w:val="25"/>
          <w:sz w:val="24"/>
        </w:rPr>
        <w:t> </w:t>
      </w:r>
      <w:r>
        <w:rPr>
          <w:sz w:val="24"/>
        </w:rPr>
        <w:t>–</w:t>
      </w:r>
      <w:r>
        <w:rPr>
          <w:spacing w:val="23"/>
          <w:sz w:val="24"/>
        </w:rPr>
        <w:t> </w:t>
      </w:r>
      <w:r>
        <w:rPr>
          <w:sz w:val="24"/>
        </w:rPr>
        <w:t>2016 (table 5.15).</w:t>
      </w:r>
    </w:p>
    <w:p>
      <w:pPr>
        <w:pStyle w:val="ListParagraph"/>
        <w:numPr>
          <w:ilvl w:val="0"/>
          <w:numId w:val="97"/>
        </w:numPr>
        <w:tabs>
          <w:tab w:pos="592" w:val="left" w:leader="none"/>
        </w:tabs>
        <w:spacing w:line="240" w:lineRule="auto" w:before="35" w:after="0"/>
        <w:ind w:left="592" w:right="0" w:hanging="352"/>
        <w:jc w:val="left"/>
        <w:rPr>
          <w:sz w:val="24"/>
        </w:rPr>
      </w:pPr>
      <w:r>
        <w:rPr>
          <w:b/>
          <w:sz w:val="24"/>
        </w:rPr>
        <w:t>Data</w:t>
      </w:r>
      <w:r>
        <w:rPr>
          <w:b/>
          <w:spacing w:val="-3"/>
          <w:sz w:val="24"/>
        </w:rPr>
        <w:t> </w:t>
      </w:r>
      <w:r>
        <w:rPr>
          <w:b/>
          <w:sz w:val="24"/>
        </w:rPr>
        <w:t>analysis</w:t>
      </w:r>
      <w:r>
        <w:rPr>
          <w:b/>
          <w:spacing w:val="-1"/>
          <w:sz w:val="24"/>
        </w:rPr>
        <w:t> </w:t>
      </w:r>
      <w:r>
        <w:rPr>
          <w:b/>
          <w:sz w:val="24"/>
        </w:rPr>
        <w:t>softwares</w:t>
      </w:r>
      <w:r>
        <w:rPr>
          <w:sz w:val="24"/>
        </w:rPr>
        <w:t>:</w:t>
      </w:r>
      <w:r>
        <w:rPr>
          <w:spacing w:val="-1"/>
          <w:sz w:val="24"/>
        </w:rPr>
        <w:t> </w:t>
      </w:r>
      <w:r>
        <w:rPr>
          <w:sz w:val="24"/>
        </w:rPr>
        <w:t>SPSS version</w:t>
      </w:r>
      <w:r>
        <w:rPr>
          <w:spacing w:val="-1"/>
          <w:sz w:val="24"/>
        </w:rPr>
        <w:t> </w:t>
      </w:r>
      <w:r>
        <w:rPr>
          <w:sz w:val="24"/>
        </w:rPr>
        <w:t>22</w:t>
      </w:r>
      <w:r>
        <w:rPr>
          <w:spacing w:val="-1"/>
          <w:sz w:val="24"/>
        </w:rPr>
        <w:t> </w:t>
      </w:r>
      <w:r>
        <w:rPr>
          <w:sz w:val="24"/>
        </w:rPr>
        <w:t>and</w:t>
      </w:r>
      <w:r>
        <w:rPr>
          <w:spacing w:val="-1"/>
          <w:sz w:val="24"/>
        </w:rPr>
        <w:t> </w:t>
      </w:r>
      <w:r>
        <w:rPr>
          <w:sz w:val="24"/>
        </w:rPr>
        <w:t>E-views</w:t>
      </w:r>
      <w:r>
        <w:rPr>
          <w:spacing w:val="-1"/>
          <w:sz w:val="24"/>
        </w:rPr>
        <w:t> </w:t>
      </w:r>
      <w:r>
        <w:rPr>
          <w:sz w:val="24"/>
        </w:rPr>
        <w:t>7 </w:t>
      </w:r>
      <w:r>
        <w:rPr>
          <w:spacing w:val="-2"/>
          <w:sz w:val="24"/>
        </w:rPr>
        <w:t>econometric.</w:t>
      </w:r>
    </w:p>
    <w:p>
      <w:pPr>
        <w:pStyle w:val="ListParagraph"/>
        <w:numPr>
          <w:ilvl w:val="0"/>
          <w:numId w:val="97"/>
        </w:numPr>
        <w:tabs>
          <w:tab w:pos="599" w:val="left" w:leader="none"/>
        </w:tabs>
        <w:spacing w:line="360" w:lineRule="auto" w:before="136" w:after="0"/>
        <w:ind w:left="240" w:right="836" w:firstLine="0"/>
        <w:jc w:val="left"/>
        <w:rPr>
          <w:sz w:val="24"/>
        </w:rPr>
      </w:pPr>
      <w:r>
        <w:rPr>
          <w:b/>
          <w:sz w:val="24"/>
        </w:rPr>
        <w:t>Data</w:t>
      </w:r>
      <w:r>
        <w:rPr>
          <w:b/>
          <w:spacing w:val="80"/>
          <w:w w:val="150"/>
          <w:sz w:val="24"/>
        </w:rPr>
        <w:t> </w:t>
      </w:r>
      <w:r>
        <w:rPr>
          <w:b/>
          <w:sz w:val="24"/>
        </w:rPr>
        <w:t>analysis</w:t>
      </w:r>
      <w:r>
        <w:rPr>
          <w:b/>
          <w:spacing w:val="80"/>
          <w:w w:val="150"/>
          <w:sz w:val="24"/>
        </w:rPr>
        <w:t> </w:t>
      </w:r>
      <w:r>
        <w:rPr>
          <w:b/>
          <w:sz w:val="24"/>
        </w:rPr>
        <w:t>methods/tools</w:t>
      </w:r>
      <w:r>
        <w:rPr>
          <w:sz w:val="24"/>
        </w:rPr>
        <w:t>:</w:t>
      </w:r>
      <w:r>
        <w:rPr>
          <w:spacing w:val="80"/>
          <w:w w:val="150"/>
          <w:sz w:val="24"/>
        </w:rPr>
        <w:t> </w:t>
      </w:r>
      <w:r>
        <w:rPr>
          <w:sz w:val="24"/>
        </w:rPr>
        <w:t>Trend</w:t>
      </w:r>
      <w:r>
        <w:rPr>
          <w:spacing w:val="80"/>
          <w:w w:val="150"/>
          <w:sz w:val="24"/>
        </w:rPr>
        <w:t> </w:t>
      </w:r>
      <w:r>
        <w:rPr>
          <w:sz w:val="24"/>
        </w:rPr>
        <w:t>analysis</w:t>
      </w:r>
      <w:r>
        <w:rPr>
          <w:spacing w:val="80"/>
          <w:w w:val="150"/>
          <w:sz w:val="24"/>
        </w:rPr>
        <w:t> </w:t>
      </w:r>
      <w:r>
        <w:rPr>
          <w:sz w:val="24"/>
        </w:rPr>
        <w:t>and</w:t>
      </w:r>
      <w:r>
        <w:rPr>
          <w:spacing w:val="80"/>
          <w:w w:val="150"/>
          <w:sz w:val="24"/>
        </w:rPr>
        <w:t> </w:t>
      </w:r>
      <w:r>
        <w:rPr>
          <w:sz w:val="24"/>
        </w:rPr>
        <w:t>Pearson</w:t>
      </w:r>
      <w:r>
        <w:rPr>
          <w:spacing w:val="80"/>
          <w:w w:val="150"/>
          <w:sz w:val="24"/>
        </w:rPr>
        <w:t> </w:t>
      </w:r>
      <w:r>
        <w:rPr>
          <w:sz w:val="24"/>
        </w:rPr>
        <w:t>correlation</w:t>
      </w:r>
      <w:r>
        <w:rPr>
          <w:spacing w:val="80"/>
          <w:w w:val="150"/>
          <w:sz w:val="24"/>
        </w:rPr>
        <w:t> </w:t>
      </w:r>
      <w:r>
        <w:rPr>
          <w:sz w:val="24"/>
        </w:rPr>
        <w:t>analysis</w:t>
      </w:r>
      <w:r>
        <w:rPr>
          <w:spacing w:val="80"/>
          <w:w w:val="150"/>
          <w:sz w:val="24"/>
        </w:rPr>
        <w:t> </w:t>
      </w:r>
      <w:r>
        <w:rPr>
          <w:sz w:val="24"/>
        </w:rPr>
        <w:t>and Regression analysis.</w:t>
      </w:r>
    </w:p>
    <w:p>
      <w:pPr>
        <w:pStyle w:val="ListParagraph"/>
        <w:numPr>
          <w:ilvl w:val="0"/>
          <w:numId w:val="97"/>
        </w:numPr>
        <w:tabs>
          <w:tab w:pos="618" w:val="left" w:leader="none"/>
        </w:tabs>
        <w:spacing w:line="360" w:lineRule="auto" w:before="0" w:after="0"/>
        <w:ind w:left="240" w:right="835" w:firstLine="0"/>
        <w:jc w:val="left"/>
        <w:rPr>
          <w:sz w:val="24"/>
        </w:rPr>
      </w:pPr>
      <w:r>
        <w:rPr>
          <w:b/>
          <w:sz w:val="24"/>
        </w:rPr>
        <w:t>Decision</w:t>
      </w:r>
      <w:r>
        <w:rPr>
          <w:b/>
          <w:spacing w:val="23"/>
          <w:sz w:val="24"/>
        </w:rPr>
        <w:t> </w:t>
      </w:r>
      <w:r>
        <w:rPr>
          <w:b/>
          <w:sz w:val="24"/>
        </w:rPr>
        <w:t>rule</w:t>
      </w:r>
      <w:r>
        <w:rPr>
          <w:sz w:val="24"/>
        </w:rPr>
        <w:t>:</w:t>
      </w:r>
      <w:r>
        <w:rPr>
          <w:spacing w:val="23"/>
          <w:sz w:val="24"/>
        </w:rPr>
        <w:t> </w:t>
      </w:r>
      <w:r>
        <w:rPr>
          <w:sz w:val="24"/>
        </w:rPr>
        <w:t>Reject</w:t>
      </w:r>
      <w:r>
        <w:rPr>
          <w:spacing w:val="23"/>
          <w:sz w:val="24"/>
        </w:rPr>
        <w:t> </w:t>
      </w:r>
      <w:r>
        <w:rPr>
          <w:sz w:val="24"/>
        </w:rPr>
        <w:t>the</w:t>
      </w:r>
      <w:r>
        <w:rPr>
          <w:spacing w:val="22"/>
          <w:sz w:val="24"/>
        </w:rPr>
        <w:t> </w:t>
      </w:r>
      <w:r>
        <w:rPr>
          <w:sz w:val="24"/>
        </w:rPr>
        <w:t>null</w:t>
      </w:r>
      <w:r>
        <w:rPr>
          <w:spacing w:val="21"/>
          <w:sz w:val="24"/>
        </w:rPr>
        <w:t> </w:t>
      </w:r>
      <w:r>
        <w:rPr>
          <w:sz w:val="24"/>
        </w:rPr>
        <w:t>hypothesis</w:t>
      </w:r>
      <w:r>
        <w:rPr>
          <w:spacing w:val="23"/>
          <w:sz w:val="24"/>
        </w:rPr>
        <w:t> </w:t>
      </w:r>
      <w:r>
        <w:rPr>
          <w:sz w:val="24"/>
        </w:rPr>
        <w:t>if</w:t>
      </w:r>
      <w:r>
        <w:rPr>
          <w:spacing w:val="22"/>
          <w:sz w:val="24"/>
        </w:rPr>
        <w:t> </w:t>
      </w:r>
      <w:r>
        <w:rPr>
          <w:sz w:val="24"/>
        </w:rPr>
        <w:t>p-value</w:t>
      </w:r>
      <w:r>
        <w:rPr>
          <w:spacing w:val="22"/>
          <w:sz w:val="24"/>
        </w:rPr>
        <w:t> </w:t>
      </w:r>
      <w:r>
        <w:rPr>
          <w:sz w:val="24"/>
        </w:rPr>
        <w:t>is</w:t>
      </w:r>
      <w:r>
        <w:rPr>
          <w:spacing w:val="23"/>
          <w:sz w:val="24"/>
        </w:rPr>
        <w:t> </w:t>
      </w:r>
      <w:r>
        <w:rPr>
          <w:sz w:val="24"/>
        </w:rPr>
        <w:t>less</w:t>
      </w:r>
      <w:r>
        <w:rPr>
          <w:spacing w:val="23"/>
          <w:sz w:val="24"/>
        </w:rPr>
        <w:t> </w:t>
      </w:r>
      <w:r>
        <w:rPr>
          <w:sz w:val="24"/>
        </w:rPr>
        <w:t>than</w:t>
      </w:r>
      <w:r>
        <w:rPr>
          <w:spacing w:val="22"/>
          <w:sz w:val="24"/>
        </w:rPr>
        <w:t> </w:t>
      </w:r>
      <w:r>
        <w:rPr>
          <w:sz w:val="24"/>
        </w:rPr>
        <w:t>or</w:t>
      </w:r>
      <w:r>
        <w:rPr>
          <w:spacing w:val="22"/>
          <w:sz w:val="24"/>
        </w:rPr>
        <w:t> </w:t>
      </w:r>
      <w:r>
        <w:rPr>
          <w:sz w:val="24"/>
        </w:rPr>
        <w:t>equal</w:t>
      </w:r>
      <w:r>
        <w:rPr>
          <w:spacing w:val="23"/>
          <w:sz w:val="24"/>
        </w:rPr>
        <w:t> </w:t>
      </w:r>
      <w:r>
        <w:rPr>
          <w:sz w:val="24"/>
        </w:rPr>
        <w:t>to</w:t>
      </w:r>
      <w:r>
        <w:rPr>
          <w:spacing w:val="23"/>
          <w:sz w:val="24"/>
        </w:rPr>
        <w:t> </w:t>
      </w:r>
      <w:r>
        <w:rPr>
          <w:sz w:val="24"/>
        </w:rPr>
        <w:t>0.05</w:t>
      </w:r>
      <w:r>
        <w:rPr>
          <w:spacing w:val="24"/>
          <w:sz w:val="24"/>
        </w:rPr>
        <w:t> </w:t>
      </w:r>
      <w:r>
        <w:rPr>
          <w:sz w:val="24"/>
        </w:rPr>
        <w:t>[</w:t>
      </w:r>
      <w:r>
        <w:rPr>
          <w:b/>
          <w:sz w:val="24"/>
        </w:rPr>
        <w:t>Level</w:t>
      </w:r>
      <w:r>
        <w:rPr>
          <w:b/>
          <w:spacing w:val="23"/>
          <w:sz w:val="24"/>
        </w:rPr>
        <w:t> </w:t>
      </w:r>
      <w:r>
        <w:rPr>
          <w:b/>
          <w:sz w:val="24"/>
        </w:rPr>
        <w:t>of significance (α)]; </w:t>
      </w:r>
      <w:r>
        <w:rPr>
          <w:sz w:val="24"/>
        </w:rPr>
        <w:t>otherwise do not reject.</w:t>
      </w:r>
    </w:p>
    <w:p>
      <w:pPr>
        <w:pStyle w:val="BodyText"/>
        <w:rPr>
          <w:sz w:val="14"/>
        </w:rPr>
      </w:pPr>
    </w:p>
    <w:p>
      <w:pPr>
        <w:pStyle w:val="BodyText"/>
        <w:spacing w:before="65"/>
        <w:rPr>
          <w:sz w:val="14"/>
        </w:rPr>
      </w:pPr>
    </w:p>
    <w:p>
      <w:pPr>
        <w:spacing w:before="0"/>
        <w:ind w:left="0" w:right="226" w:firstLine="0"/>
        <w:jc w:val="center"/>
        <w:rPr>
          <w:rFonts w:ascii="Arial MT"/>
          <w:sz w:val="14"/>
        </w:rPr>
      </w:pPr>
      <w:r>
        <w:rPr>
          <w:rFonts w:ascii="Arial MT"/>
          <w:w w:val="90"/>
          <w:sz w:val="14"/>
        </w:rPr>
        <w:t>Linear</w:t>
      </w:r>
      <w:r>
        <w:rPr>
          <w:rFonts w:ascii="Arial MT"/>
          <w:spacing w:val="7"/>
          <w:sz w:val="14"/>
        </w:rPr>
        <w:t> </w:t>
      </w:r>
      <w:r>
        <w:rPr>
          <w:rFonts w:ascii="Arial MT"/>
          <w:w w:val="90"/>
          <w:sz w:val="14"/>
        </w:rPr>
        <w:t>Trend</w:t>
      </w:r>
      <w:r>
        <w:rPr>
          <w:rFonts w:ascii="Arial MT"/>
          <w:spacing w:val="13"/>
          <w:sz w:val="14"/>
        </w:rPr>
        <w:t> </w:t>
      </w:r>
      <w:r>
        <w:rPr>
          <w:rFonts w:ascii="Arial MT"/>
          <w:spacing w:val="-2"/>
          <w:w w:val="90"/>
          <w:sz w:val="14"/>
        </w:rPr>
        <w:t>Model</w:t>
      </w:r>
    </w:p>
    <w:p>
      <w:pPr>
        <w:spacing w:after="0"/>
        <w:jc w:val="center"/>
        <w:rPr>
          <w:rFonts w:ascii="Arial MT"/>
          <w:sz w:val="14"/>
        </w:rPr>
        <w:sectPr>
          <w:pgSz w:w="12240" w:h="15840"/>
          <w:pgMar w:header="0" w:footer="1036" w:top="1380" w:bottom="1220" w:left="1200" w:right="600"/>
        </w:sectPr>
      </w:pPr>
    </w:p>
    <w:p>
      <w:pPr>
        <w:pStyle w:val="BodyText"/>
        <w:rPr>
          <w:rFonts w:ascii="Arial MT"/>
          <w:sz w:val="14"/>
        </w:rPr>
      </w:pPr>
    </w:p>
    <w:p>
      <w:pPr>
        <w:pStyle w:val="BodyText"/>
        <w:rPr>
          <w:rFonts w:ascii="Arial MT"/>
          <w:sz w:val="14"/>
        </w:rPr>
      </w:pPr>
    </w:p>
    <w:p>
      <w:pPr>
        <w:pStyle w:val="BodyText"/>
        <w:spacing w:before="20"/>
        <w:rPr>
          <w:rFonts w:ascii="Arial MT"/>
          <w:sz w:val="14"/>
        </w:rPr>
      </w:pPr>
    </w:p>
    <w:p>
      <w:pPr>
        <w:spacing w:before="0"/>
        <w:ind w:left="0" w:right="38" w:firstLine="0"/>
        <w:jc w:val="right"/>
        <w:rPr>
          <w:rFonts w:ascii="Arial MT"/>
          <w:sz w:val="14"/>
        </w:rPr>
      </w:pPr>
      <w:r>
        <w:rPr/>
        <mc:AlternateContent>
          <mc:Choice Requires="wps">
            <w:drawing>
              <wp:anchor distT="0" distB="0" distL="0" distR="0" allowOverlap="1" layoutInCell="1" locked="0" behindDoc="0" simplePos="0" relativeHeight="15778304">
                <wp:simplePos x="0" y="0"/>
                <wp:positionH relativeFrom="page">
                  <wp:posOffset>1252688</wp:posOffset>
                </wp:positionH>
                <wp:positionV relativeFrom="paragraph">
                  <wp:posOffset>53634</wp:posOffset>
                </wp:positionV>
                <wp:extent cx="155575" cy="1544320"/>
                <wp:effectExtent l="0" t="0" r="0" b="0"/>
                <wp:wrapNone/>
                <wp:docPr id="1040" name="Textbox 1040"/>
                <wp:cNvGraphicFramePr>
                  <a:graphicFrameLocks/>
                </wp:cNvGraphicFramePr>
                <a:graphic>
                  <a:graphicData uri="http://schemas.microsoft.com/office/word/2010/wordprocessingShape">
                    <wps:wsp>
                      <wps:cNvPr id="1040" name="Textbox 1040"/>
                      <wps:cNvSpPr txBox="1"/>
                      <wps:spPr>
                        <a:xfrm>
                          <a:off x="0" y="0"/>
                          <a:ext cx="155575" cy="1544320"/>
                        </a:xfrm>
                        <a:prstGeom prst="rect">
                          <a:avLst/>
                        </a:prstGeom>
                      </wps:spPr>
                      <wps:txbx>
                        <w:txbxContent>
                          <w:p>
                            <w:pPr>
                              <w:spacing w:before="16"/>
                              <w:ind w:left="20" w:right="0" w:firstLine="0"/>
                              <w:jc w:val="left"/>
                              <w:rPr>
                                <w:rFonts w:ascii="Arial MT"/>
                                <w:sz w:val="18"/>
                              </w:rPr>
                            </w:pPr>
                            <w:r>
                              <w:rPr>
                                <w:rFonts w:ascii="Arial MT"/>
                                <w:spacing w:val="-2"/>
                                <w:w w:val="110"/>
                                <w:sz w:val="18"/>
                              </w:rPr>
                              <w:t>Housing</w:t>
                            </w:r>
                            <w:r>
                              <w:rPr>
                                <w:rFonts w:ascii="Arial MT"/>
                                <w:spacing w:val="-14"/>
                                <w:w w:val="110"/>
                                <w:sz w:val="18"/>
                              </w:rPr>
                              <w:t> </w:t>
                            </w:r>
                            <w:r>
                              <w:rPr>
                                <w:rFonts w:ascii="Arial MT"/>
                                <w:spacing w:val="-2"/>
                                <w:w w:val="110"/>
                                <w:sz w:val="18"/>
                              </w:rPr>
                              <w:t>Budget</w:t>
                            </w:r>
                            <w:r>
                              <w:rPr>
                                <w:rFonts w:ascii="Arial MT"/>
                                <w:spacing w:val="-3"/>
                                <w:w w:val="110"/>
                                <w:sz w:val="18"/>
                              </w:rPr>
                              <w:t> </w:t>
                            </w:r>
                            <w:r>
                              <w:rPr>
                                <w:rFonts w:ascii="Arial MT"/>
                                <w:spacing w:val="-2"/>
                                <w:w w:val="110"/>
                                <w:sz w:val="18"/>
                              </w:rPr>
                              <w:t>Allocations</w:t>
                            </w:r>
                          </w:p>
                        </w:txbxContent>
                      </wps:txbx>
                      <wps:bodyPr wrap="square" lIns="0" tIns="0" rIns="0" bIns="0" rtlCol="0" vert="vert270">
                        <a:noAutofit/>
                      </wps:bodyPr>
                    </wps:wsp>
                  </a:graphicData>
                </a:graphic>
              </wp:anchor>
            </w:drawing>
          </mc:Choice>
          <mc:Fallback>
            <w:pict>
              <v:shape style="position:absolute;margin-left:98.636917pt;margin-top:4.223227pt;width:12.25pt;height:121.6pt;mso-position-horizontal-relative:page;mso-position-vertical-relative:paragraph;z-index:15778304" type="#_x0000_t202" id="docshape989" filled="false" stroked="false">
                <v:textbox inset="0,0,0,0" style="layout-flow:vertical;mso-layout-flow-alt:bottom-to-top">
                  <w:txbxContent>
                    <w:p>
                      <w:pPr>
                        <w:spacing w:before="16"/>
                        <w:ind w:left="20" w:right="0" w:firstLine="0"/>
                        <w:jc w:val="left"/>
                        <w:rPr>
                          <w:rFonts w:ascii="Arial MT"/>
                          <w:sz w:val="18"/>
                        </w:rPr>
                      </w:pPr>
                      <w:r>
                        <w:rPr>
                          <w:rFonts w:ascii="Arial MT"/>
                          <w:spacing w:val="-2"/>
                          <w:w w:val="110"/>
                          <w:sz w:val="18"/>
                        </w:rPr>
                        <w:t>Housing</w:t>
                      </w:r>
                      <w:r>
                        <w:rPr>
                          <w:rFonts w:ascii="Arial MT"/>
                          <w:spacing w:val="-14"/>
                          <w:w w:val="110"/>
                          <w:sz w:val="18"/>
                        </w:rPr>
                        <w:t> </w:t>
                      </w:r>
                      <w:r>
                        <w:rPr>
                          <w:rFonts w:ascii="Arial MT"/>
                          <w:spacing w:val="-2"/>
                          <w:w w:val="110"/>
                          <w:sz w:val="18"/>
                        </w:rPr>
                        <w:t>Budget</w:t>
                      </w:r>
                      <w:r>
                        <w:rPr>
                          <w:rFonts w:ascii="Arial MT"/>
                          <w:spacing w:val="-3"/>
                          <w:w w:val="110"/>
                          <w:sz w:val="18"/>
                        </w:rPr>
                        <w:t> </w:t>
                      </w:r>
                      <w:r>
                        <w:rPr>
                          <w:rFonts w:ascii="Arial MT"/>
                          <w:spacing w:val="-2"/>
                          <w:w w:val="110"/>
                          <w:sz w:val="18"/>
                        </w:rPr>
                        <w:t>Allocations</w:t>
                      </w:r>
                    </w:p>
                  </w:txbxContent>
                </v:textbox>
                <w10:wrap type="none"/>
              </v:shape>
            </w:pict>
          </mc:Fallback>
        </mc:AlternateContent>
      </w:r>
      <w:r>
        <w:rPr>
          <w:rFonts w:ascii="Arial MT"/>
          <w:spacing w:val="-2"/>
          <w:sz w:val="14"/>
        </w:rPr>
        <w:t>5.00E+09</w:t>
      </w:r>
    </w:p>
    <w:p>
      <w:pPr>
        <w:pStyle w:val="BodyText"/>
        <w:rPr>
          <w:rFonts w:ascii="Arial MT"/>
          <w:sz w:val="14"/>
        </w:rPr>
      </w:pPr>
    </w:p>
    <w:p>
      <w:pPr>
        <w:pStyle w:val="BodyText"/>
        <w:spacing w:before="122"/>
        <w:rPr>
          <w:rFonts w:ascii="Arial MT"/>
          <w:sz w:val="14"/>
        </w:rPr>
      </w:pPr>
    </w:p>
    <w:p>
      <w:pPr>
        <w:spacing w:before="0"/>
        <w:ind w:left="0" w:right="38" w:firstLine="0"/>
        <w:jc w:val="right"/>
        <w:rPr>
          <w:rFonts w:ascii="Arial MT"/>
          <w:sz w:val="14"/>
        </w:rPr>
      </w:pPr>
      <w:r>
        <w:rPr>
          <w:rFonts w:ascii="Arial MT"/>
          <w:spacing w:val="-2"/>
          <w:sz w:val="14"/>
        </w:rPr>
        <w:t>4.00E+09</w:t>
      </w:r>
    </w:p>
    <w:p>
      <w:pPr>
        <w:pStyle w:val="BodyText"/>
        <w:rPr>
          <w:rFonts w:ascii="Arial MT"/>
          <w:sz w:val="14"/>
        </w:rPr>
      </w:pPr>
    </w:p>
    <w:p>
      <w:pPr>
        <w:pStyle w:val="BodyText"/>
        <w:spacing w:before="123"/>
        <w:rPr>
          <w:rFonts w:ascii="Arial MT"/>
          <w:sz w:val="14"/>
        </w:rPr>
      </w:pPr>
    </w:p>
    <w:p>
      <w:pPr>
        <w:spacing w:before="0"/>
        <w:ind w:left="0" w:right="38" w:firstLine="0"/>
        <w:jc w:val="right"/>
        <w:rPr>
          <w:rFonts w:ascii="Arial MT"/>
          <w:sz w:val="14"/>
        </w:rPr>
      </w:pPr>
      <w:r>
        <w:rPr>
          <w:rFonts w:ascii="Arial MT"/>
          <w:spacing w:val="-2"/>
          <w:sz w:val="14"/>
        </w:rPr>
        <w:t>3.00E+09</w:t>
      </w:r>
    </w:p>
    <w:p>
      <w:pPr>
        <w:pStyle w:val="BodyText"/>
        <w:rPr>
          <w:rFonts w:ascii="Arial MT"/>
          <w:sz w:val="14"/>
        </w:rPr>
      </w:pPr>
    </w:p>
    <w:p>
      <w:pPr>
        <w:pStyle w:val="BodyText"/>
        <w:spacing w:before="134"/>
        <w:rPr>
          <w:rFonts w:ascii="Arial MT"/>
          <w:sz w:val="14"/>
        </w:rPr>
      </w:pPr>
    </w:p>
    <w:p>
      <w:pPr>
        <w:spacing w:before="0"/>
        <w:ind w:left="0" w:right="38" w:firstLine="0"/>
        <w:jc w:val="right"/>
        <w:rPr>
          <w:rFonts w:ascii="Arial MT"/>
          <w:sz w:val="14"/>
        </w:rPr>
      </w:pPr>
      <w:r>
        <w:rPr>
          <w:rFonts w:ascii="Arial MT"/>
          <w:spacing w:val="-2"/>
          <w:sz w:val="14"/>
        </w:rPr>
        <w:t>2.00E+09</w:t>
      </w:r>
    </w:p>
    <w:p>
      <w:pPr>
        <w:spacing w:line="240" w:lineRule="auto" w:before="27"/>
        <w:rPr>
          <w:rFonts w:ascii="Arial MT"/>
          <w:sz w:val="14"/>
        </w:rPr>
      </w:pPr>
      <w:r>
        <w:rPr/>
        <w:br w:type="column"/>
      </w:r>
      <w:r>
        <w:rPr>
          <w:rFonts w:ascii="Arial MT"/>
          <w:sz w:val="14"/>
        </w:rPr>
      </w:r>
    </w:p>
    <w:p>
      <w:pPr>
        <w:spacing w:before="1"/>
        <w:ind w:left="1291" w:right="0" w:firstLine="0"/>
        <w:jc w:val="left"/>
        <w:rPr>
          <w:rFonts w:ascii="Arial MT"/>
          <w:sz w:val="14"/>
        </w:rPr>
      </w:pPr>
      <w:r>
        <w:rPr>
          <w:rFonts w:ascii="Arial MT"/>
          <w:w w:val="90"/>
          <w:sz w:val="14"/>
        </w:rPr>
        <w:t>Yt</w:t>
      </w:r>
      <w:r>
        <w:rPr>
          <w:rFonts w:ascii="Arial MT"/>
          <w:spacing w:val="-4"/>
          <w:w w:val="90"/>
          <w:sz w:val="14"/>
        </w:rPr>
        <w:t> </w:t>
      </w:r>
      <w:r>
        <w:rPr>
          <w:rFonts w:ascii="Arial MT"/>
          <w:w w:val="90"/>
          <w:sz w:val="14"/>
        </w:rPr>
        <w:t>=</w:t>
      </w:r>
      <w:r>
        <w:rPr>
          <w:rFonts w:ascii="Arial MT"/>
          <w:spacing w:val="-4"/>
          <w:sz w:val="14"/>
        </w:rPr>
        <w:t> </w:t>
      </w:r>
      <w:r>
        <w:rPr>
          <w:rFonts w:ascii="Arial MT"/>
          <w:w w:val="90"/>
          <w:sz w:val="14"/>
        </w:rPr>
        <w:t>1.42E+09</w:t>
      </w:r>
      <w:r>
        <w:rPr>
          <w:rFonts w:ascii="Arial MT"/>
          <w:spacing w:val="1"/>
          <w:sz w:val="14"/>
        </w:rPr>
        <w:t> </w:t>
      </w:r>
      <w:r>
        <w:rPr>
          <w:rFonts w:ascii="Arial MT"/>
          <w:w w:val="90"/>
          <w:sz w:val="14"/>
        </w:rPr>
        <w:t>+</w:t>
      </w:r>
      <w:r>
        <w:rPr>
          <w:rFonts w:ascii="Arial MT"/>
          <w:spacing w:val="-4"/>
          <w:sz w:val="14"/>
        </w:rPr>
        <w:t> </w:t>
      </w:r>
      <w:r>
        <w:rPr>
          <w:rFonts w:ascii="Arial MT"/>
          <w:spacing w:val="-2"/>
          <w:w w:val="90"/>
          <w:sz w:val="14"/>
        </w:rPr>
        <w:t>54691275*t</w:t>
      </w:r>
    </w:p>
    <w:p>
      <w:pPr>
        <w:spacing w:line="240" w:lineRule="auto" w:before="0"/>
        <w:rPr>
          <w:rFonts w:ascii="Arial MT"/>
          <w:sz w:val="10"/>
        </w:rPr>
      </w:pPr>
      <w:r>
        <w:rPr/>
        <w:br w:type="column"/>
      </w:r>
      <w:r>
        <w:rPr>
          <w:rFonts w:ascii="Arial MT"/>
          <w:sz w:val="10"/>
        </w:rPr>
      </w:r>
    </w:p>
    <w:p>
      <w:pPr>
        <w:pStyle w:val="BodyText"/>
        <w:rPr>
          <w:rFonts w:ascii="Arial MT"/>
          <w:sz w:val="10"/>
        </w:rPr>
      </w:pPr>
    </w:p>
    <w:p>
      <w:pPr>
        <w:pStyle w:val="BodyText"/>
        <w:rPr>
          <w:rFonts w:ascii="Arial MT"/>
          <w:sz w:val="10"/>
        </w:rPr>
      </w:pPr>
    </w:p>
    <w:p>
      <w:pPr>
        <w:pStyle w:val="BodyText"/>
        <w:rPr>
          <w:rFonts w:ascii="Arial MT"/>
          <w:sz w:val="10"/>
        </w:rPr>
      </w:pPr>
    </w:p>
    <w:p>
      <w:pPr>
        <w:pStyle w:val="BodyText"/>
        <w:spacing w:before="12"/>
        <w:rPr>
          <w:rFonts w:ascii="Arial MT"/>
          <w:sz w:val="10"/>
        </w:rPr>
      </w:pPr>
    </w:p>
    <w:p>
      <w:pPr>
        <w:spacing w:before="0"/>
        <w:ind w:left="1291" w:right="0" w:firstLine="0"/>
        <w:jc w:val="left"/>
        <w:rPr>
          <w:rFonts w:ascii="Arial MT"/>
          <w:sz w:val="10"/>
        </w:rPr>
      </w:pPr>
      <w:r>
        <w:rPr/>
        <mc:AlternateContent>
          <mc:Choice Requires="wps">
            <w:drawing>
              <wp:anchor distT="0" distB="0" distL="0" distR="0" allowOverlap="1" layoutInCell="1" locked="0" behindDoc="0" simplePos="0" relativeHeight="15775744">
                <wp:simplePos x="0" y="0"/>
                <wp:positionH relativeFrom="page">
                  <wp:posOffset>2043085</wp:posOffset>
                </wp:positionH>
                <wp:positionV relativeFrom="paragraph">
                  <wp:posOffset>-51121</wp:posOffset>
                </wp:positionV>
                <wp:extent cx="3827779" cy="2082164"/>
                <wp:effectExtent l="0" t="0" r="0" b="0"/>
                <wp:wrapNone/>
                <wp:docPr id="1041" name="Group 1041"/>
                <wp:cNvGraphicFramePr>
                  <a:graphicFrameLocks/>
                </wp:cNvGraphicFramePr>
                <a:graphic>
                  <a:graphicData uri="http://schemas.microsoft.com/office/word/2010/wordprocessingGroup">
                    <wpg:wgp>
                      <wpg:cNvPr id="1041" name="Group 1041"/>
                      <wpg:cNvGrpSpPr/>
                      <wpg:grpSpPr>
                        <a:xfrm>
                          <a:off x="0" y="0"/>
                          <a:ext cx="3827779" cy="2082164"/>
                          <a:chExt cx="3827779" cy="2082164"/>
                        </a:xfrm>
                      </wpg:grpSpPr>
                      <wps:wsp>
                        <wps:cNvPr id="1042" name="Graphic 1042"/>
                        <wps:cNvSpPr/>
                        <wps:spPr>
                          <a:xfrm>
                            <a:off x="0" y="3654"/>
                            <a:ext cx="3824604" cy="2078355"/>
                          </a:xfrm>
                          <a:custGeom>
                            <a:avLst/>
                            <a:gdLst/>
                            <a:ahLst/>
                            <a:cxnLst/>
                            <a:rect l="l" t="t" r="r" b="b"/>
                            <a:pathLst>
                              <a:path w="3824604" h="2078355">
                                <a:moveTo>
                                  <a:pt x="123024" y="2011626"/>
                                </a:moveTo>
                                <a:lnTo>
                                  <a:pt x="3823998" y="2011626"/>
                                </a:lnTo>
                                <a:lnTo>
                                  <a:pt x="3823998" y="0"/>
                                </a:lnTo>
                                <a:lnTo>
                                  <a:pt x="123024" y="0"/>
                                </a:lnTo>
                                <a:lnTo>
                                  <a:pt x="123024" y="2011626"/>
                                </a:lnTo>
                              </a:path>
                              <a:path w="3824604" h="2078355">
                                <a:moveTo>
                                  <a:pt x="3762631" y="2011626"/>
                                </a:moveTo>
                                <a:lnTo>
                                  <a:pt x="3762631" y="2078106"/>
                                </a:lnTo>
                              </a:path>
                              <a:path w="3824604" h="2078355">
                                <a:moveTo>
                                  <a:pt x="1973414" y="2011626"/>
                                </a:moveTo>
                                <a:lnTo>
                                  <a:pt x="1973414" y="2078106"/>
                                </a:lnTo>
                              </a:path>
                              <a:path w="3824604" h="2078355">
                                <a:moveTo>
                                  <a:pt x="184391" y="2011626"/>
                                </a:moveTo>
                                <a:lnTo>
                                  <a:pt x="184391" y="2078106"/>
                                </a:lnTo>
                              </a:path>
                              <a:path w="3824604" h="2078355">
                                <a:moveTo>
                                  <a:pt x="123024" y="36968"/>
                                </a:moveTo>
                                <a:lnTo>
                                  <a:pt x="0" y="36968"/>
                                </a:lnTo>
                              </a:path>
                              <a:path w="3824604" h="2078355">
                                <a:moveTo>
                                  <a:pt x="123024" y="421612"/>
                                </a:moveTo>
                                <a:lnTo>
                                  <a:pt x="0" y="421612"/>
                                </a:lnTo>
                              </a:path>
                              <a:path w="3824604" h="2078355">
                                <a:moveTo>
                                  <a:pt x="123024" y="813522"/>
                                </a:moveTo>
                                <a:lnTo>
                                  <a:pt x="0" y="813522"/>
                                </a:lnTo>
                              </a:path>
                              <a:path w="3824604" h="2078355">
                                <a:moveTo>
                                  <a:pt x="123024" y="1198166"/>
                                </a:moveTo>
                                <a:lnTo>
                                  <a:pt x="0" y="1198166"/>
                                </a:lnTo>
                              </a:path>
                              <a:path w="3824604" h="2078355">
                                <a:moveTo>
                                  <a:pt x="123024" y="1590108"/>
                                </a:moveTo>
                                <a:lnTo>
                                  <a:pt x="0" y="1590108"/>
                                </a:lnTo>
                              </a:path>
                              <a:path w="3824604" h="2078355">
                                <a:moveTo>
                                  <a:pt x="123024" y="1974699"/>
                                </a:moveTo>
                                <a:lnTo>
                                  <a:pt x="0" y="1974699"/>
                                </a:lnTo>
                              </a:path>
                              <a:path w="3824604" h="2078355">
                                <a:moveTo>
                                  <a:pt x="123024" y="1974699"/>
                                </a:moveTo>
                                <a:lnTo>
                                  <a:pt x="123024" y="36968"/>
                                </a:lnTo>
                              </a:path>
                              <a:path w="3824604" h="2078355">
                                <a:moveTo>
                                  <a:pt x="184391" y="2011626"/>
                                </a:moveTo>
                                <a:lnTo>
                                  <a:pt x="3762631" y="2011626"/>
                                </a:lnTo>
                              </a:path>
                            </a:pathLst>
                          </a:custGeom>
                          <a:ln w="7124">
                            <a:solidFill>
                              <a:srgbClr val="000000"/>
                            </a:solidFill>
                            <a:prstDash val="solid"/>
                          </a:ln>
                        </wps:spPr>
                        <wps:bodyPr wrap="square" lIns="0" tIns="0" rIns="0" bIns="0" rtlCol="0">
                          <a:prstTxWarp prst="textNoShape">
                            <a:avLst/>
                          </a:prstTxWarp>
                          <a:noAutofit/>
                        </wps:bodyPr>
                      </wps:wsp>
                      <wps:wsp>
                        <wps:cNvPr id="1043" name="Graphic 1043"/>
                        <wps:cNvSpPr/>
                        <wps:spPr>
                          <a:xfrm>
                            <a:off x="3383507" y="1767589"/>
                            <a:ext cx="27940" cy="29845"/>
                          </a:xfrm>
                          <a:custGeom>
                            <a:avLst/>
                            <a:gdLst/>
                            <a:ahLst/>
                            <a:cxnLst/>
                            <a:rect l="l" t="t" r="r" b="b"/>
                            <a:pathLst>
                              <a:path w="27940" h="29845">
                                <a:moveTo>
                                  <a:pt x="20681" y="0"/>
                                </a:moveTo>
                                <a:lnTo>
                                  <a:pt x="6861" y="0"/>
                                </a:lnTo>
                                <a:lnTo>
                                  <a:pt x="0" y="7383"/>
                                </a:lnTo>
                                <a:lnTo>
                                  <a:pt x="0" y="14776"/>
                                </a:lnTo>
                                <a:lnTo>
                                  <a:pt x="0" y="22160"/>
                                </a:lnTo>
                                <a:lnTo>
                                  <a:pt x="6861" y="29543"/>
                                </a:lnTo>
                                <a:lnTo>
                                  <a:pt x="20681" y="29543"/>
                                </a:lnTo>
                                <a:lnTo>
                                  <a:pt x="27542" y="22160"/>
                                </a:lnTo>
                                <a:lnTo>
                                  <a:pt x="27542" y="7383"/>
                                </a:lnTo>
                                <a:lnTo>
                                  <a:pt x="20681" y="0"/>
                                </a:lnTo>
                                <a:close/>
                              </a:path>
                            </a:pathLst>
                          </a:custGeom>
                          <a:solidFill>
                            <a:srgbClr val="000000"/>
                          </a:solidFill>
                        </wps:spPr>
                        <wps:bodyPr wrap="square" lIns="0" tIns="0" rIns="0" bIns="0" rtlCol="0">
                          <a:prstTxWarp prst="textNoShape">
                            <a:avLst/>
                          </a:prstTxWarp>
                          <a:noAutofit/>
                        </wps:bodyPr>
                      </wps:wsp>
                      <wps:wsp>
                        <wps:cNvPr id="1044" name="Graphic 1044"/>
                        <wps:cNvSpPr/>
                        <wps:spPr>
                          <a:xfrm>
                            <a:off x="3383507" y="1767589"/>
                            <a:ext cx="27940" cy="29845"/>
                          </a:xfrm>
                          <a:custGeom>
                            <a:avLst/>
                            <a:gdLst/>
                            <a:ahLst/>
                            <a:cxnLst/>
                            <a:rect l="l" t="t" r="r" b="b"/>
                            <a:pathLst>
                              <a:path w="27940" h="29845">
                                <a:moveTo>
                                  <a:pt x="0" y="14776"/>
                                </a:moveTo>
                                <a:lnTo>
                                  <a:pt x="0" y="22160"/>
                                </a:lnTo>
                                <a:lnTo>
                                  <a:pt x="6861" y="29543"/>
                                </a:lnTo>
                                <a:lnTo>
                                  <a:pt x="13626" y="29543"/>
                                </a:lnTo>
                                <a:lnTo>
                                  <a:pt x="20681" y="29543"/>
                                </a:lnTo>
                                <a:lnTo>
                                  <a:pt x="27542" y="22160"/>
                                </a:lnTo>
                                <a:lnTo>
                                  <a:pt x="27542" y="14776"/>
                                </a:lnTo>
                                <a:lnTo>
                                  <a:pt x="27542" y="7383"/>
                                </a:lnTo>
                                <a:lnTo>
                                  <a:pt x="20681" y="0"/>
                                </a:lnTo>
                                <a:lnTo>
                                  <a:pt x="13626" y="0"/>
                                </a:lnTo>
                                <a:lnTo>
                                  <a:pt x="6861" y="0"/>
                                </a:lnTo>
                                <a:lnTo>
                                  <a:pt x="0" y="7383"/>
                                </a:lnTo>
                                <a:lnTo>
                                  <a:pt x="0" y="14776"/>
                                </a:lnTo>
                                <a:close/>
                              </a:path>
                            </a:pathLst>
                          </a:custGeom>
                          <a:ln w="7103">
                            <a:solidFill>
                              <a:srgbClr val="000000"/>
                            </a:solidFill>
                            <a:prstDash val="solid"/>
                          </a:ln>
                        </wps:spPr>
                        <wps:bodyPr wrap="square" lIns="0" tIns="0" rIns="0" bIns="0" rtlCol="0">
                          <a:prstTxWarp prst="textNoShape">
                            <a:avLst/>
                          </a:prstTxWarp>
                          <a:noAutofit/>
                        </wps:bodyPr>
                      </wps:wsp>
                      <wps:wsp>
                        <wps:cNvPr id="1045" name="Graphic 1045"/>
                        <wps:cNvSpPr/>
                        <wps:spPr>
                          <a:xfrm>
                            <a:off x="3205977" y="672883"/>
                            <a:ext cx="27940" cy="29845"/>
                          </a:xfrm>
                          <a:custGeom>
                            <a:avLst/>
                            <a:gdLst/>
                            <a:ahLst/>
                            <a:cxnLst/>
                            <a:rect l="l" t="t" r="r" b="b"/>
                            <a:pathLst>
                              <a:path w="27940" h="29845">
                                <a:moveTo>
                                  <a:pt x="20487" y="0"/>
                                </a:moveTo>
                                <a:lnTo>
                                  <a:pt x="6861" y="0"/>
                                </a:lnTo>
                                <a:lnTo>
                                  <a:pt x="0" y="7688"/>
                                </a:lnTo>
                                <a:lnTo>
                                  <a:pt x="0" y="15061"/>
                                </a:lnTo>
                                <a:lnTo>
                                  <a:pt x="0" y="22434"/>
                                </a:lnTo>
                                <a:lnTo>
                                  <a:pt x="6861" y="29806"/>
                                </a:lnTo>
                                <a:lnTo>
                                  <a:pt x="20487" y="29806"/>
                                </a:lnTo>
                                <a:lnTo>
                                  <a:pt x="27349" y="22434"/>
                                </a:lnTo>
                                <a:lnTo>
                                  <a:pt x="27349" y="7688"/>
                                </a:lnTo>
                                <a:lnTo>
                                  <a:pt x="20487" y="0"/>
                                </a:lnTo>
                                <a:close/>
                              </a:path>
                            </a:pathLst>
                          </a:custGeom>
                          <a:solidFill>
                            <a:srgbClr val="000000"/>
                          </a:solidFill>
                        </wps:spPr>
                        <wps:bodyPr wrap="square" lIns="0" tIns="0" rIns="0" bIns="0" rtlCol="0">
                          <a:prstTxWarp prst="textNoShape">
                            <a:avLst/>
                          </a:prstTxWarp>
                          <a:noAutofit/>
                        </wps:bodyPr>
                      </wps:wsp>
                      <wps:wsp>
                        <wps:cNvPr id="1046" name="Graphic 1046"/>
                        <wps:cNvSpPr/>
                        <wps:spPr>
                          <a:xfrm>
                            <a:off x="3205977" y="672883"/>
                            <a:ext cx="27940" cy="29845"/>
                          </a:xfrm>
                          <a:custGeom>
                            <a:avLst/>
                            <a:gdLst/>
                            <a:ahLst/>
                            <a:cxnLst/>
                            <a:rect l="l" t="t" r="r" b="b"/>
                            <a:pathLst>
                              <a:path w="27940" h="29845">
                                <a:moveTo>
                                  <a:pt x="0" y="15061"/>
                                </a:moveTo>
                                <a:lnTo>
                                  <a:pt x="0" y="22434"/>
                                </a:lnTo>
                                <a:lnTo>
                                  <a:pt x="6861" y="29806"/>
                                </a:lnTo>
                                <a:lnTo>
                                  <a:pt x="13626" y="29806"/>
                                </a:lnTo>
                                <a:lnTo>
                                  <a:pt x="20487" y="29806"/>
                                </a:lnTo>
                                <a:lnTo>
                                  <a:pt x="27349" y="22434"/>
                                </a:lnTo>
                                <a:lnTo>
                                  <a:pt x="27349" y="15061"/>
                                </a:lnTo>
                                <a:lnTo>
                                  <a:pt x="27349" y="7688"/>
                                </a:lnTo>
                                <a:lnTo>
                                  <a:pt x="20487" y="0"/>
                                </a:lnTo>
                                <a:lnTo>
                                  <a:pt x="13626" y="0"/>
                                </a:lnTo>
                                <a:lnTo>
                                  <a:pt x="6861" y="0"/>
                                </a:lnTo>
                                <a:lnTo>
                                  <a:pt x="0" y="7688"/>
                                </a:lnTo>
                                <a:lnTo>
                                  <a:pt x="0" y="15061"/>
                                </a:lnTo>
                                <a:close/>
                              </a:path>
                            </a:pathLst>
                          </a:custGeom>
                          <a:ln w="7098">
                            <a:solidFill>
                              <a:srgbClr val="000000"/>
                            </a:solidFill>
                            <a:prstDash val="solid"/>
                          </a:ln>
                        </wps:spPr>
                        <wps:bodyPr wrap="square" lIns="0" tIns="0" rIns="0" bIns="0" rtlCol="0">
                          <a:prstTxWarp prst="textNoShape">
                            <a:avLst/>
                          </a:prstTxWarp>
                          <a:noAutofit/>
                        </wps:bodyPr>
                      </wps:wsp>
                      <wps:wsp>
                        <wps:cNvPr id="1047" name="Graphic 1047"/>
                        <wps:cNvSpPr/>
                        <wps:spPr>
                          <a:xfrm>
                            <a:off x="3028544" y="820863"/>
                            <a:ext cx="27305" cy="29845"/>
                          </a:xfrm>
                          <a:custGeom>
                            <a:avLst/>
                            <a:gdLst/>
                            <a:ahLst/>
                            <a:cxnLst/>
                            <a:rect l="l" t="t" r="r" b="b"/>
                            <a:pathLst>
                              <a:path w="27305" h="29845">
                                <a:moveTo>
                                  <a:pt x="20391" y="0"/>
                                </a:moveTo>
                                <a:lnTo>
                                  <a:pt x="6764" y="0"/>
                                </a:lnTo>
                                <a:lnTo>
                                  <a:pt x="0" y="7372"/>
                                </a:lnTo>
                                <a:lnTo>
                                  <a:pt x="0" y="14850"/>
                                </a:lnTo>
                                <a:lnTo>
                                  <a:pt x="0" y="22223"/>
                                </a:lnTo>
                                <a:lnTo>
                                  <a:pt x="6764" y="29596"/>
                                </a:lnTo>
                                <a:lnTo>
                                  <a:pt x="20391" y="29596"/>
                                </a:lnTo>
                                <a:lnTo>
                                  <a:pt x="27252" y="22223"/>
                                </a:lnTo>
                                <a:lnTo>
                                  <a:pt x="27252" y="7372"/>
                                </a:lnTo>
                                <a:lnTo>
                                  <a:pt x="20391" y="0"/>
                                </a:lnTo>
                                <a:close/>
                              </a:path>
                            </a:pathLst>
                          </a:custGeom>
                          <a:solidFill>
                            <a:srgbClr val="000000"/>
                          </a:solidFill>
                        </wps:spPr>
                        <wps:bodyPr wrap="square" lIns="0" tIns="0" rIns="0" bIns="0" rtlCol="0">
                          <a:prstTxWarp prst="textNoShape">
                            <a:avLst/>
                          </a:prstTxWarp>
                          <a:noAutofit/>
                        </wps:bodyPr>
                      </wps:wsp>
                      <wps:wsp>
                        <wps:cNvPr id="1048" name="Graphic 1048"/>
                        <wps:cNvSpPr/>
                        <wps:spPr>
                          <a:xfrm>
                            <a:off x="3028544" y="820863"/>
                            <a:ext cx="27305" cy="29845"/>
                          </a:xfrm>
                          <a:custGeom>
                            <a:avLst/>
                            <a:gdLst/>
                            <a:ahLst/>
                            <a:cxnLst/>
                            <a:rect l="l" t="t" r="r" b="b"/>
                            <a:pathLst>
                              <a:path w="27305" h="29845">
                                <a:moveTo>
                                  <a:pt x="0" y="14850"/>
                                </a:moveTo>
                                <a:lnTo>
                                  <a:pt x="0" y="22223"/>
                                </a:lnTo>
                                <a:lnTo>
                                  <a:pt x="6764" y="29596"/>
                                </a:lnTo>
                                <a:lnTo>
                                  <a:pt x="13626" y="29596"/>
                                </a:lnTo>
                                <a:lnTo>
                                  <a:pt x="20391" y="29596"/>
                                </a:lnTo>
                                <a:lnTo>
                                  <a:pt x="27252" y="22223"/>
                                </a:lnTo>
                                <a:lnTo>
                                  <a:pt x="27252" y="14850"/>
                                </a:lnTo>
                                <a:lnTo>
                                  <a:pt x="27252" y="7372"/>
                                </a:lnTo>
                                <a:lnTo>
                                  <a:pt x="20391" y="0"/>
                                </a:lnTo>
                                <a:lnTo>
                                  <a:pt x="13626" y="0"/>
                                </a:lnTo>
                                <a:lnTo>
                                  <a:pt x="6764" y="0"/>
                                </a:lnTo>
                                <a:lnTo>
                                  <a:pt x="0" y="7372"/>
                                </a:lnTo>
                                <a:lnTo>
                                  <a:pt x="0" y="14850"/>
                                </a:lnTo>
                                <a:close/>
                              </a:path>
                            </a:pathLst>
                          </a:custGeom>
                          <a:ln w="7099">
                            <a:solidFill>
                              <a:srgbClr val="000000"/>
                            </a:solidFill>
                            <a:prstDash val="solid"/>
                          </a:ln>
                        </wps:spPr>
                        <wps:bodyPr wrap="square" lIns="0" tIns="0" rIns="0" bIns="0" rtlCol="0">
                          <a:prstTxWarp prst="textNoShape">
                            <a:avLst/>
                          </a:prstTxWarp>
                          <a:noAutofit/>
                        </wps:bodyPr>
                      </wps:wsp>
                      <wps:wsp>
                        <wps:cNvPr id="1049" name="Graphic 1049"/>
                        <wps:cNvSpPr/>
                        <wps:spPr>
                          <a:xfrm>
                            <a:off x="2844152" y="1412574"/>
                            <a:ext cx="27305" cy="29845"/>
                          </a:xfrm>
                          <a:custGeom>
                            <a:avLst/>
                            <a:gdLst/>
                            <a:ahLst/>
                            <a:cxnLst/>
                            <a:rect l="l" t="t" r="r" b="b"/>
                            <a:pathLst>
                              <a:path w="27305" h="29845">
                                <a:moveTo>
                                  <a:pt x="20487" y="0"/>
                                </a:moveTo>
                                <a:lnTo>
                                  <a:pt x="6861" y="0"/>
                                </a:lnTo>
                                <a:lnTo>
                                  <a:pt x="0" y="7372"/>
                                </a:lnTo>
                                <a:lnTo>
                                  <a:pt x="0" y="14745"/>
                                </a:lnTo>
                                <a:lnTo>
                                  <a:pt x="0" y="22118"/>
                                </a:lnTo>
                                <a:lnTo>
                                  <a:pt x="6861" y="29490"/>
                                </a:lnTo>
                                <a:lnTo>
                                  <a:pt x="20487" y="29490"/>
                                </a:lnTo>
                                <a:lnTo>
                                  <a:pt x="27252" y="22118"/>
                                </a:lnTo>
                                <a:lnTo>
                                  <a:pt x="27252" y="7372"/>
                                </a:lnTo>
                                <a:lnTo>
                                  <a:pt x="20487" y="0"/>
                                </a:lnTo>
                                <a:close/>
                              </a:path>
                            </a:pathLst>
                          </a:custGeom>
                          <a:solidFill>
                            <a:srgbClr val="000000"/>
                          </a:solidFill>
                        </wps:spPr>
                        <wps:bodyPr wrap="square" lIns="0" tIns="0" rIns="0" bIns="0" rtlCol="0">
                          <a:prstTxWarp prst="textNoShape">
                            <a:avLst/>
                          </a:prstTxWarp>
                          <a:noAutofit/>
                        </wps:bodyPr>
                      </wps:wsp>
                      <wps:wsp>
                        <wps:cNvPr id="1050" name="Graphic 1050"/>
                        <wps:cNvSpPr/>
                        <wps:spPr>
                          <a:xfrm>
                            <a:off x="2844152" y="1412574"/>
                            <a:ext cx="27305" cy="29845"/>
                          </a:xfrm>
                          <a:custGeom>
                            <a:avLst/>
                            <a:gdLst/>
                            <a:ahLst/>
                            <a:cxnLst/>
                            <a:rect l="l" t="t" r="r" b="b"/>
                            <a:pathLst>
                              <a:path w="27305" h="29845">
                                <a:moveTo>
                                  <a:pt x="0" y="14745"/>
                                </a:moveTo>
                                <a:lnTo>
                                  <a:pt x="0" y="22118"/>
                                </a:lnTo>
                                <a:lnTo>
                                  <a:pt x="6861" y="29490"/>
                                </a:lnTo>
                                <a:lnTo>
                                  <a:pt x="13626" y="29490"/>
                                </a:lnTo>
                                <a:lnTo>
                                  <a:pt x="20487" y="29490"/>
                                </a:lnTo>
                                <a:lnTo>
                                  <a:pt x="27252" y="22118"/>
                                </a:lnTo>
                                <a:lnTo>
                                  <a:pt x="27252" y="14745"/>
                                </a:lnTo>
                                <a:lnTo>
                                  <a:pt x="27252" y="7372"/>
                                </a:lnTo>
                                <a:lnTo>
                                  <a:pt x="20487" y="0"/>
                                </a:lnTo>
                                <a:lnTo>
                                  <a:pt x="13626" y="0"/>
                                </a:lnTo>
                                <a:lnTo>
                                  <a:pt x="6861" y="0"/>
                                </a:lnTo>
                                <a:lnTo>
                                  <a:pt x="0" y="7372"/>
                                </a:lnTo>
                                <a:lnTo>
                                  <a:pt x="0" y="14745"/>
                                </a:lnTo>
                                <a:close/>
                              </a:path>
                            </a:pathLst>
                          </a:custGeom>
                          <a:ln w="7100">
                            <a:solidFill>
                              <a:srgbClr val="000000"/>
                            </a:solidFill>
                            <a:prstDash val="solid"/>
                          </a:ln>
                        </wps:spPr>
                        <wps:bodyPr wrap="square" lIns="0" tIns="0" rIns="0" bIns="0" rtlCol="0">
                          <a:prstTxWarp prst="textNoShape">
                            <a:avLst/>
                          </a:prstTxWarp>
                          <a:noAutofit/>
                        </wps:bodyPr>
                      </wps:wsp>
                      <wps:wsp>
                        <wps:cNvPr id="1051" name="Graphic 1051"/>
                        <wps:cNvSpPr/>
                        <wps:spPr>
                          <a:xfrm>
                            <a:off x="2666622" y="1257221"/>
                            <a:ext cx="27305" cy="29845"/>
                          </a:xfrm>
                          <a:custGeom>
                            <a:avLst/>
                            <a:gdLst/>
                            <a:ahLst/>
                            <a:cxnLst/>
                            <a:rect l="l" t="t" r="r" b="b"/>
                            <a:pathLst>
                              <a:path w="27305" h="29845">
                                <a:moveTo>
                                  <a:pt x="20487" y="0"/>
                                </a:moveTo>
                                <a:lnTo>
                                  <a:pt x="6861" y="0"/>
                                </a:lnTo>
                                <a:lnTo>
                                  <a:pt x="0" y="7372"/>
                                </a:lnTo>
                                <a:lnTo>
                                  <a:pt x="0" y="14745"/>
                                </a:lnTo>
                                <a:lnTo>
                                  <a:pt x="0" y="22118"/>
                                </a:lnTo>
                                <a:lnTo>
                                  <a:pt x="6861" y="29490"/>
                                </a:lnTo>
                                <a:lnTo>
                                  <a:pt x="20487" y="29490"/>
                                </a:lnTo>
                                <a:lnTo>
                                  <a:pt x="27252" y="22118"/>
                                </a:lnTo>
                                <a:lnTo>
                                  <a:pt x="27252" y="7372"/>
                                </a:lnTo>
                                <a:lnTo>
                                  <a:pt x="20487" y="0"/>
                                </a:lnTo>
                                <a:close/>
                              </a:path>
                            </a:pathLst>
                          </a:custGeom>
                          <a:solidFill>
                            <a:srgbClr val="000000"/>
                          </a:solidFill>
                        </wps:spPr>
                        <wps:bodyPr wrap="square" lIns="0" tIns="0" rIns="0" bIns="0" rtlCol="0">
                          <a:prstTxWarp prst="textNoShape">
                            <a:avLst/>
                          </a:prstTxWarp>
                          <a:noAutofit/>
                        </wps:bodyPr>
                      </wps:wsp>
                      <wps:wsp>
                        <wps:cNvPr id="1052" name="Graphic 1052"/>
                        <wps:cNvSpPr/>
                        <wps:spPr>
                          <a:xfrm>
                            <a:off x="2666622" y="1257221"/>
                            <a:ext cx="27305" cy="29845"/>
                          </a:xfrm>
                          <a:custGeom>
                            <a:avLst/>
                            <a:gdLst/>
                            <a:ahLst/>
                            <a:cxnLst/>
                            <a:rect l="l" t="t" r="r" b="b"/>
                            <a:pathLst>
                              <a:path w="27305" h="29845">
                                <a:moveTo>
                                  <a:pt x="0" y="14745"/>
                                </a:moveTo>
                                <a:lnTo>
                                  <a:pt x="0" y="22118"/>
                                </a:lnTo>
                                <a:lnTo>
                                  <a:pt x="6861" y="29490"/>
                                </a:lnTo>
                                <a:lnTo>
                                  <a:pt x="13626" y="29490"/>
                                </a:lnTo>
                                <a:lnTo>
                                  <a:pt x="20487" y="29490"/>
                                </a:lnTo>
                                <a:lnTo>
                                  <a:pt x="27252" y="22118"/>
                                </a:lnTo>
                                <a:lnTo>
                                  <a:pt x="27252" y="14745"/>
                                </a:lnTo>
                                <a:lnTo>
                                  <a:pt x="27252" y="7372"/>
                                </a:lnTo>
                                <a:lnTo>
                                  <a:pt x="20487" y="0"/>
                                </a:lnTo>
                                <a:lnTo>
                                  <a:pt x="13626" y="0"/>
                                </a:lnTo>
                                <a:lnTo>
                                  <a:pt x="6861" y="0"/>
                                </a:lnTo>
                                <a:lnTo>
                                  <a:pt x="0" y="7372"/>
                                </a:lnTo>
                                <a:lnTo>
                                  <a:pt x="0" y="14745"/>
                                </a:lnTo>
                                <a:close/>
                              </a:path>
                            </a:pathLst>
                          </a:custGeom>
                          <a:ln w="7100">
                            <a:solidFill>
                              <a:srgbClr val="000000"/>
                            </a:solidFill>
                            <a:prstDash val="solid"/>
                          </a:ln>
                        </wps:spPr>
                        <wps:bodyPr wrap="square" lIns="0" tIns="0" rIns="0" bIns="0" rtlCol="0">
                          <a:prstTxWarp prst="textNoShape">
                            <a:avLst/>
                          </a:prstTxWarp>
                          <a:noAutofit/>
                        </wps:bodyPr>
                      </wps:wsp>
                      <wps:wsp>
                        <wps:cNvPr id="1053" name="Graphic 1053"/>
                        <wps:cNvSpPr/>
                        <wps:spPr>
                          <a:xfrm>
                            <a:off x="2489092" y="1013185"/>
                            <a:ext cx="27940" cy="29845"/>
                          </a:xfrm>
                          <a:custGeom>
                            <a:avLst/>
                            <a:gdLst/>
                            <a:ahLst/>
                            <a:cxnLst/>
                            <a:rect l="l" t="t" r="r" b="b"/>
                            <a:pathLst>
                              <a:path w="27940" h="29845">
                                <a:moveTo>
                                  <a:pt x="20487" y="0"/>
                                </a:moveTo>
                                <a:lnTo>
                                  <a:pt x="6861" y="0"/>
                                </a:lnTo>
                                <a:lnTo>
                                  <a:pt x="0" y="7372"/>
                                </a:lnTo>
                                <a:lnTo>
                                  <a:pt x="0" y="14745"/>
                                </a:lnTo>
                                <a:lnTo>
                                  <a:pt x="0" y="22118"/>
                                </a:lnTo>
                                <a:lnTo>
                                  <a:pt x="6861" y="29596"/>
                                </a:lnTo>
                                <a:lnTo>
                                  <a:pt x="20487" y="29596"/>
                                </a:lnTo>
                                <a:lnTo>
                                  <a:pt x="27349" y="22118"/>
                                </a:lnTo>
                                <a:lnTo>
                                  <a:pt x="27349" y="7372"/>
                                </a:lnTo>
                                <a:lnTo>
                                  <a:pt x="20487" y="0"/>
                                </a:lnTo>
                                <a:close/>
                              </a:path>
                            </a:pathLst>
                          </a:custGeom>
                          <a:solidFill>
                            <a:srgbClr val="000000"/>
                          </a:solidFill>
                        </wps:spPr>
                        <wps:bodyPr wrap="square" lIns="0" tIns="0" rIns="0" bIns="0" rtlCol="0">
                          <a:prstTxWarp prst="textNoShape">
                            <a:avLst/>
                          </a:prstTxWarp>
                          <a:noAutofit/>
                        </wps:bodyPr>
                      </wps:wsp>
                      <wps:wsp>
                        <wps:cNvPr id="1054" name="Graphic 1054"/>
                        <wps:cNvSpPr/>
                        <wps:spPr>
                          <a:xfrm>
                            <a:off x="2489092" y="1013185"/>
                            <a:ext cx="27940" cy="29845"/>
                          </a:xfrm>
                          <a:custGeom>
                            <a:avLst/>
                            <a:gdLst/>
                            <a:ahLst/>
                            <a:cxnLst/>
                            <a:rect l="l" t="t" r="r" b="b"/>
                            <a:pathLst>
                              <a:path w="27940" h="29845">
                                <a:moveTo>
                                  <a:pt x="0" y="14745"/>
                                </a:moveTo>
                                <a:lnTo>
                                  <a:pt x="0" y="22118"/>
                                </a:lnTo>
                                <a:lnTo>
                                  <a:pt x="6861" y="29596"/>
                                </a:lnTo>
                                <a:lnTo>
                                  <a:pt x="13626" y="29596"/>
                                </a:lnTo>
                                <a:lnTo>
                                  <a:pt x="20487" y="29596"/>
                                </a:lnTo>
                                <a:lnTo>
                                  <a:pt x="27349" y="22118"/>
                                </a:lnTo>
                                <a:lnTo>
                                  <a:pt x="27349" y="14745"/>
                                </a:lnTo>
                                <a:lnTo>
                                  <a:pt x="27349" y="7372"/>
                                </a:lnTo>
                                <a:lnTo>
                                  <a:pt x="20487" y="0"/>
                                </a:lnTo>
                                <a:lnTo>
                                  <a:pt x="13626" y="0"/>
                                </a:lnTo>
                                <a:lnTo>
                                  <a:pt x="6861" y="0"/>
                                </a:lnTo>
                                <a:lnTo>
                                  <a:pt x="0" y="7372"/>
                                </a:lnTo>
                                <a:lnTo>
                                  <a:pt x="0" y="14745"/>
                                </a:lnTo>
                                <a:close/>
                              </a:path>
                            </a:pathLst>
                          </a:custGeom>
                          <a:ln w="7100">
                            <a:solidFill>
                              <a:srgbClr val="000000"/>
                            </a:solidFill>
                            <a:prstDash val="solid"/>
                          </a:ln>
                        </wps:spPr>
                        <wps:bodyPr wrap="square" lIns="0" tIns="0" rIns="0" bIns="0" rtlCol="0">
                          <a:prstTxWarp prst="textNoShape">
                            <a:avLst/>
                          </a:prstTxWarp>
                          <a:noAutofit/>
                        </wps:bodyPr>
                      </wps:wsp>
                      <wps:wsp>
                        <wps:cNvPr id="1055" name="Graphic 1055"/>
                        <wps:cNvSpPr/>
                        <wps:spPr>
                          <a:xfrm>
                            <a:off x="2311659" y="1020558"/>
                            <a:ext cx="27305" cy="29845"/>
                          </a:xfrm>
                          <a:custGeom>
                            <a:avLst/>
                            <a:gdLst/>
                            <a:ahLst/>
                            <a:cxnLst/>
                            <a:rect l="l" t="t" r="r" b="b"/>
                            <a:pathLst>
                              <a:path w="27305" h="29845">
                                <a:moveTo>
                                  <a:pt x="20391" y="0"/>
                                </a:moveTo>
                                <a:lnTo>
                                  <a:pt x="6764" y="0"/>
                                </a:lnTo>
                                <a:lnTo>
                                  <a:pt x="0" y="7372"/>
                                </a:lnTo>
                                <a:lnTo>
                                  <a:pt x="0" y="14745"/>
                                </a:lnTo>
                                <a:lnTo>
                                  <a:pt x="0" y="22223"/>
                                </a:lnTo>
                                <a:lnTo>
                                  <a:pt x="6764" y="29596"/>
                                </a:lnTo>
                                <a:lnTo>
                                  <a:pt x="20391" y="29596"/>
                                </a:lnTo>
                                <a:lnTo>
                                  <a:pt x="27252" y="22223"/>
                                </a:lnTo>
                                <a:lnTo>
                                  <a:pt x="27252" y="7372"/>
                                </a:lnTo>
                                <a:lnTo>
                                  <a:pt x="20391" y="0"/>
                                </a:lnTo>
                                <a:close/>
                              </a:path>
                            </a:pathLst>
                          </a:custGeom>
                          <a:solidFill>
                            <a:srgbClr val="000000"/>
                          </a:solidFill>
                        </wps:spPr>
                        <wps:bodyPr wrap="square" lIns="0" tIns="0" rIns="0" bIns="0" rtlCol="0">
                          <a:prstTxWarp prst="textNoShape">
                            <a:avLst/>
                          </a:prstTxWarp>
                          <a:noAutofit/>
                        </wps:bodyPr>
                      </wps:wsp>
                      <wps:wsp>
                        <wps:cNvPr id="1056" name="Graphic 1056"/>
                        <wps:cNvSpPr/>
                        <wps:spPr>
                          <a:xfrm>
                            <a:off x="2311659" y="1020558"/>
                            <a:ext cx="27305" cy="29845"/>
                          </a:xfrm>
                          <a:custGeom>
                            <a:avLst/>
                            <a:gdLst/>
                            <a:ahLst/>
                            <a:cxnLst/>
                            <a:rect l="l" t="t" r="r" b="b"/>
                            <a:pathLst>
                              <a:path w="27305" h="29845">
                                <a:moveTo>
                                  <a:pt x="0" y="14745"/>
                                </a:moveTo>
                                <a:lnTo>
                                  <a:pt x="0" y="22223"/>
                                </a:lnTo>
                                <a:lnTo>
                                  <a:pt x="6764" y="29596"/>
                                </a:lnTo>
                                <a:lnTo>
                                  <a:pt x="13626" y="29596"/>
                                </a:lnTo>
                                <a:lnTo>
                                  <a:pt x="20391" y="29596"/>
                                </a:lnTo>
                                <a:lnTo>
                                  <a:pt x="27252" y="22223"/>
                                </a:lnTo>
                                <a:lnTo>
                                  <a:pt x="27252" y="14745"/>
                                </a:lnTo>
                                <a:lnTo>
                                  <a:pt x="27252" y="7372"/>
                                </a:lnTo>
                                <a:lnTo>
                                  <a:pt x="20391" y="0"/>
                                </a:lnTo>
                                <a:lnTo>
                                  <a:pt x="13626" y="0"/>
                                </a:lnTo>
                                <a:lnTo>
                                  <a:pt x="6764" y="0"/>
                                </a:lnTo>
                                <a:lnTo>
                                  <a:pt x="0" y="7372"/>
                                </a:lnTo>
                                <a:lnTo>
                                  <a:pt x="0" y="14745"/>
                                </a:lnTo>
                                <a:close/>
                              </a:path>
                            </a:pathLst>
                          </a:custGeom>
                          <a:ln w="7099">
                            <a:solidFill>
                              <a:srgbClr val="000000"/>
                            </a:solidFill>
                            <a:prstDash val="solid"/>
                          </a:ln>
                        </wps:spPr>
                        <wps:bodyPr wrap="square" lIns="0" tIns="0" rIns="0" bIns="0" rtlCol="0">
                          <a:prstTxWarp prst="textNoShape">
                            <a:avLst/>
                          </a:prstTxWarp>
                          <a:noAutofit/>
                        </wps:bodyPr>
                      </wps:wsp>
                      <wps:wsp>
                        <wps:cNvPr id="1057" name="Graphic 1057"/>
                        <wps:cNvSpPr/>
                        <wps:spPr>
                          <a:xfrm>
                            <a:off x="2133839" y="798745"/>
                            <a:ext cx="27940" cy="29845"/>
                          </a:xfrm>
                          <a:custGeom>
                            <a:avLst/>
                            <a:gdLst/>
                            <a:ahLst/>
                            <a:cxnLst/>
                            <a:rect l="l" t="t" r="r" b="b"/>
                            <a:pathLst>
                              <a:path w="27940" h="29845">
                                <a:moveTo>
                                  <a:pt x="20681" y="0"/>
                                </a:moveTo>
                                <a:lnTo>
                                  <a:pt x="7054" y="0"/>
                                </a:lnTo>
                                <a:lnTo>
                                  <a:pt x="0" y="7372"/>
                                </a:lnTo>
                                <a:lnTo>
                                  <a:pt x="0" y="14745"/>
                                </a:lnTo>
                                <a:lnTo>
                                  <a:pt x="0" y="22118"/>
                                </a:lnTo>
                                <a:lnTo>
                                  <a:pt x="7054" y="29490"/>
                                </a:lnTo>
                                <a:lnTo>
                                  <a:pt x="20681" y="29490"/>
                                </a:lnTo>
                                <a:lnTo>
                                  <a:pt x="27542" y="22118"/>
                                </a:lnTo>
                                <a:lnTo>
                                  <a:pt x="27542" y="7372"/>
                                </a:lnTo>
                                <a:lnTo>
                                  <a:pt x="20681" y="0"/>
                                </a:lnTo>
                                <a:close/>
                              </a:path>
                            </a:pathLst>
                          </a:custGeom>
                          <a:solidFill>
                            <a:srgbClr val="000000"/>
                          </a:solidFill>
                        </wps:spPr>
                        <wps:bodyPr wrap="square" lIns="0" tIns="0" rIns="0" bIns="0" rtlCol="0">
                          <a:prstTxWarp prst="textNoShape">
                            <a:avLst/>
                          </a:prstTxWarp>
                          <a:noAutofit/>
                        </wps:bodyPr>
                      </wps:wsp>
                      <wps:wsp>
                        <wps:cNvPr id="1058" name="Graphic 1058"/>
                        <wps:cNvSpPr/>
                        <wps:spPr>
                          <a:xfrm>
                            <a:off x="2133839" y="798745"/>
                            <a:ext cx="27940" cy="29845"/>
                          </a:xfrm>
                          <a:custGeom>
                            <a:avLst/>
                            <a:gdLst/>
                            <a:ahLst/>
                            <a:cxnLst/>
                            <a:rect l="l" t="t" r="r" b="b"/>
                            <a:pathLst>
                              <a:path w="27940" h="29845">
                                <a:moveTo>
                                  <a:pt x="0" y="14745"/>
                                </a:moveTo>
                                <a:lnTo>
                                  <a:pt x="0" y="22118"/>
                                </a:lnTo>
                                <a:lnTo>
                                  <a:pt x="7054" y="29490"/>
                                </a:lnTo>
                                <a:lnTo>
                                  <a:pt x="13916" y="29490"/>
                                </a:lnTo>
                                <a:lnTo>
                                  <a:pt x="20681" y="29490"/>
                                </a:lnTo>
                                <a:lnTo>
                                  <a:pt x="27542" y="22118"/>
                                </a:lnTo>
                                <a:lnTo>
                                  <a:pt x="27542" y="14745"/>
                                </a:lnTo>
                                <a:lnTo>
                                  <a:pt x="27542" y="7372"/>
                                </a:lnTo>
                                <a:lnTo>
                                  <a:pt x="20681" y="0"/>
                                </a:lnTo>
                                <a:lnTo>
                                  <a:pt x="13916" y="0"/>
                                </a:lnTo>
                                <a:lnTo>
                                  <a:pt x="7054" y="0"/>
                                </a:lnTo>
                                <a:lnTo>
                                  <a:pt x="0" y="7372"/>
                                </a:lnTo>
                                <a:lnTo>
                                  <a:pt x="0" y="14745"/>
                                </a:lnTo>
                                <a:close/>
                              </a:path>
                            </a:pathLst>
                          </a:custGeom>
                          <a:ln w="7103">
                            <a:solidFill>
                              <a:srgbClr val="000000"/>
                            </a:solidFill>
                            <a:prstDash val="solid"/>
                          </a:ln>
                        </wps:spPr>
                        <wps:bodyPr wrap="square" lIns="0" tIns="0" rIns="0" bIns="0" rtlCol="0">
                          <a:prstTxWarp prst="textNoShape">
                            <a:avLst/>
                          </a:prstTxWarp>
                          <a:noAutofit/>
                        </wps:bodyPr>
                      </wps:wsp>
                      <wps:wsp>
                        <wps:cNvPr id="1059" name="Graphic 1059"/>
                        <wps:cNvSpPr/>
                        <wps:spPr>
                          <a:xfrm>
                            <a:off x="1956309" y="510368"/>
                            <a:ext cx="27940" cy="29845"/>
                          </a:xfrm>
                          <a:custGeom>
                            <a:avLst/>
                            <a:gdLst/>
                            <a:ahLst/>
                            <a:cxnLst/>
                            <a:rect l="l" t="t" r="r" b="b"/>
                            <a:pathLst>
                              <a:path w="27940" h="29845">
                                <a:moveTo>
                                  <a:pt x="20681" y="0"/>
                                </a:moveTo>
                                <a:lnTo>
                                  <a:pt x="6861" y="0"/>
                                </a:lnTo>
                                <a:lnTo>
                                  <a:pt x="0" y="7478"/>
                                </a:lnTo>
                                <a:lnTo>
                                  <a:pt x="0" y="14850"/>
                                </a:lnTo>
                                <a:lnTo>
                                  <a:pt x="0" y="22223"/>
                                </a:lnTo>
                                <a:lnTo>
                                  <a:pt x="6861" y="29596"/>
                                </a:lnTo>
                                <a:lnTo>
                                  <a:pt x="20681" y="29596"/>
                                </a:lnTo>
                                <a:lnTo>
                                  <a:pt x="27542" y="22223"/>
                                </a:lnTo>
                                <a:lnTo>
                                  <a:pt x="27542" y="7478"/>
                                </a:lnTo>
                                <a:lnTo>
                                  <a:pt x="20681" y="0"/>
                                </a:lnTo>
                                <a:close/>
                              </a:path>
                            </a:pathLst>
                          </a:custGeom>
                          <a:solidFill>
                            <a:srgbClr val="000000"/>
                          </a:solidFill>
                        </wps:spPr>
                        <wps:bodyPr wrap="square" lIns="0" tIns="0" rIns="0" bIns="0" rtlCol="0">
                          <a:prstTxWarp prst="textNoShape">
                            <a:avLst/>
                          </a:prstTxWarp>
                          <a:noAutofit/>
                        </wps:bodyPr>
                      </wps:wsp>
                      <wps:wsp>
                        <wps:cNvPr id="1060" name="Graphic 1060"/>
                        <wps:cNvSpPr/>
                        <wps:spPr>
                          <a:xfrm>
                            <a:off x="1956309" y="510368"/>
                            <a:ext cx="27940" cy="29845"/>
                          </a:xfrm>
                          <a:custGeom>
                            <a:avLst/>
                            <a:gdLst/>
                            <a:ahLst/>
                            <a:cxnLst/>
                            <a:rect l="l" t="t" r="r" b="b"/>
                            <a:pathLst>
                              <a:path w="27940" h="29845">
                                <a:moveTo>
                                  <a:pt x="0" y="14850"/>
                                </a:moveTo>
                                <a:lnTo>
                                  <a:pt x="0" y="22223"/>
                                </a:lnTo>
                                <a:lnTo>
                                  <a:pt x="6861" y="29596"/>
                                </a:lnTo>
                                <a:lnTo>
                                  <a:pt x="13626" y="29596"/>
                                </a:lnTo>
                                <a:lnTo>
                                  <a:pt x="20681" y="29596"/>
                                </a:lnTo>
                                <a:lnTo>
                                  <a:pt x="27542" y="22223"/>
                                </a:lnTo>
                                <a:lnTo>
                                  <a:pt x="27542" y="14850"/>
                                </a:lnTo>
                                <a:lnTo>
                                  <a:pt x="27542" y="7478"/>
                                </a:lnTo>
                                <a:lnTo>
                                  <a:pt x="20681" y="0"/>
                                </a:lnTo>
                                <a:lnTo>
                                  <a:pt x="13626" y="0"/>
                                </a:lnTo>
                                <a:lnTo>
                                  <a:pt x="6861" y="0"/>
                                </a:lnTo>
                                <a:lnTo>
                                  <a:pt x="0" y="7478"/>
                                </a:lnTo>
                                <a:lnTo>
                                  <a:pt x="0" y="14850"/>
                                </a:lnTo>
                                <a:close/>
                              </a:path>
                            </a:pathLst>
                          </a:custGeom>
                          <a:ln w="7102">
                            <a:solidFill>
                              <a:srgbClr val="000000"/>
                            </a:solidFill>
                            <a:prstDash val="solid"/>
                          </a:ln>
                        </wps:spPr>
                        <wps:bodyPr wrap="square" lIns="0" tIns="0" rIns="0" bIns="0" rtlCol="0">
                          <a:prstTxWarp prst="textNoShape">
                            <a:avLst/>
                          </a:prstTxWarp>
                          <a:noAutofit/>
                        </wps:bodyPr>
                      </wps:wsp>
                      <wps:wsp>
                        <wps:cNvPr id="1061" name="Graphic 1061"/>
                        <wps:cNvSpPr/>
                        <wps:spPr>
                          <a:xfrm>
                            <a:off x="1778876" y="1360860"/>
                            <a:ext cx="27305" cy="29845"/>
                          </a:xfrm>
                          <a:custGeom>
                            <a:avLst/>
                            <a:gdLst/>
                            <a:ahLst/>
                            <a:cxnLst/>
                            <a:rect l="l" t="t" r="r" b="b"/>
                            <a:pathLst>
                              <a:path w="27305" h="29845">
                                <a:moveTo>
                                  <a:pt x="20391" y="0"/>
                                </a:moveTo>
                                <a:lnTo>
                                  <a:pt x="6764" y="0"/>
                                </a:lnTo>
                                <a:lnTo>
                                  <a:pt x="0" y="7372"/>
                                </a:lnTo>
                                <a:lnTo>
                                  <a:pt x="0" y="14745"/>
                                </a:lnTo>
                                <a:lnTo>
                                  <a:pt x="0" y="22118"/>
                                </a:lnTo>
                                <a:lnTo>
                                  <a:pt x="6764" y="29490"/>
                                </a:lnTo>
                                <a:lnTo>
                                  <a:pt x="20391" y="29490"/>
                                </a:lnTo>
                                <a:lnTo>
                                  <a:pt x="27252" y="22118"/>
                                </a:lnTo>
                                <a:lnTo>
                                  <a:pt x="27252" y="7372"/>
                                </a:lnTo>
                                <a:lnTo>
                                  <a:pt x="20391" y="0"/>
                                </a:lnTo>
                                <a:close/>
                              </a:path>
                            </a:pathLst>
                          </a:custGeom>
                          <a:solidFill>
                            <a:srgbClr val="000000"/>
                          </a:solidFill>
                        </wps:spPr>
                        <wps:bodyPr wrap="square" lIns="0" tIns="0" rIns="0" bIns="0" rtlCol="0">
                          <a:prstTxWarp prst="textNoShape">
                            <a:avLst/>
                          </a:prstTxWarp>
                          <a:noAutofit/>
                        </wps:bodyPr>
                      </wps:wsp>
                      <wps:wsp>
                        <wps:cNvPr id="1062" name="Graphic 1062"/>
                        <wps:cNvSpPr/>
                        <wps:spPr>
                          <a:xfrm>
                            <a:off x="1778876" y="1360860"/>
                            <a:ext cx="27305" cy="29845"/>
                          </a:xfrm>
                          <a:custGeom>
                            <a:avLst/>
                            <a:gdLst/>
                            <a:ahLst/>
                            <a:cxnLst/>
                            <a:rect l="l" t="t" r="r" b="b"/>
                            <a:pathLst>
                              <a:path w="27305" h="29845">
                                <a:moveTo>
                                  <a:pt x="0" y="14745"/>
                                </a:moveTo>
                                <a:lnTo>
                                  <a:pt x="0" y="22118"/>
                                </a:lnTo>
                                <a:lnTo>
                                  <a:pt x="6764" y="29490"/>
                                </a:lnTo>
                                <a:lnTo>
                                  <a:pt x="13626" y="29490"/>
                                </a:lnTo>
                                <a:lnTo>
                                  <a:pt x="20391" y="29490"/>
                                </a:lnTo>
                                <a:lnTo>
                                  <a:pt x="27252" y="22118"/>
                                </a:lnTo>
                                <a:lnTo>
                                  <a:pt x="27252" y="14745"/>
                                </a:lnTo>
                                <a:lnTo>
                                  <a:pt x="27252" y="7372"/>
                                </a:lnTo>
                                <a:lnTo>
                                  <a:pt x="20391" y="0"/>
                                </a:lnTo>
                                <a:lnTo>
                                  <a:pt x="13626" y="0"/>
                                </a:lnTo>
                                <a:lnTo>
                                  <a:pt x="6764" y="0"/>
                                </a:lnTo>
                                <a:lnTo>
                                  <a:pt x="0" y="7372"/>
                                </a:lnTo>
                                <a:lnTo>
                                  <a:pt x="0" y="14745"/>
                                </a:lnTo>
                                <a:close/>
                              </a:path>
                            </a:pathLst>
                          </a:custGeom>
                          <a:ln w="7100">
                            <a:solidFill>
                              <a:srgbClr val="000000"/>
                            </a:solidFill>
                            <a:prstDash val="solid"/>
                          </a:ln>
                        </wps:spPr>
                        <wps:bodyPr wrap="square" lIns="0" tIns="0" rIns="0" bIns="0" rtlCol="0">
                          <a:prstTxWarp prst="textNoShape">
                            <a:avLst/>
                          </a:prstTxWarp>
                          <a:noAutofit/>
                        </wps:bodyPr>
                      </wps:wsp>
                      <wps:wsp>
                        <wps:cNvPr id="1063" name="Graphic 1063"/>
                        <wps:cNvSpPr/>
                        <wps:spPr>
                          <a:xfrm>
                            <a:off x="1601346" y="1553139"/>
                            <a:ext cx="27305" cy="29845"/>
                          </a:xfrm>
                          <a:custGeom>
                            <a:avLst/>
                            <a:gdLst/>
                            <a:ahLst/>
                            <a:cxnLst/>
                            <a:rect l="l" t="t" r="r" b="b"/>
                            <a:pathLst>
                              <a:path w="27305" h="29845">
                                <a:moveTo>
                                  <a:pt x="20391" y="0"/>
                                </a:moveTo>
                                <a:lnTo>
                                  <a:pt x="6764" y="0"/>
                                </a:lnTo>
                                <a:lnTo>
                                  <a:pt x="0" y="7383"/>
                                </a:lnTo>
                                <a:lnTo>
                                  <a:pt x="0" y="14766"/>
                                </a:lnTo>
                                <a:lnTo>
                                  <a:pt x="0" y="22160"/>
                                </a:lnTo>
                                <a:lnTo>
                                  <a:pt x="6764" y="29543"/>
                                </a:lnTo>
                                <a:lnTo>
                                  <a:pt x="20391" y="29543"/>
                                </a:lnTo>
                                <a:lnTo>
                                  <a:pt x="27252" y="22160"/>
                                </a:lnTo>
                                <a:lnTo>
                                  <a:pt x="27252" y="7383"/>
                                </a:lnTo>
                                <a:lnTo>
                                  <a:pt x="20391" y="0"/>
                                </a:lnTo>
                                <a:close/>
                              </a:path>
                            </a:pathLst>
                          </a:custGeom>
                          <a:solidFill>
                            <a:srgbClr val="000000"/>
                          </a:solidFill>
                        </wps:spPr>
                        <wps:bodyPr wrap="square" lIns="0" tIns="0" rIns="0" bIns="0" rtlCol="0">
                          <a:prstTxWarp prst="textNoShape">
                            <a:avLst/>
                          </a:prstTxWarp>
                          <a:noAutofit/>
                        </wps:bodyPr>
                      </wps:wsp>
                      <wps:wsp>
                        <wps:cNvPr id="1064" name="Graphic 1064"/>
                        <wps:cNvSpPr/>
                        <wps:spPr>
                          <a:xfrm>
                            <a:off x="1601346" y="1553139"/>
                            <a:ext cx="27305" cy="29845"/>
                          </a:xfrm>
                          <a:custGeom>
                            <a:avLst/>
                            <a:gdLst/>
                            <a:ahLst/>
                            <a:cxnLst/>
                            <a:rect l="l" t="t" r="r" b="b"/>
                            <a:pathLst>
                              <a:path w="27305" h="29845">
                                <a:moveTo>
                                  <a:pt x="0" y="14766"/>
                                </a:moveTo>
                                <a:lnTo>
                                  <a:pt x="0" y="22160"/>
                                </a:lnTo>
                                <a:lnTo>
                                  <a:pt x="6764" y="29543"/>
                                </a:lnTo>
                                <a:lnTo>
                                  <a:pt x="13626" y="29543"/>
                                </a:lnTo>
                                <a:lnTo>
                                  <a:pt x="20391" y="29543"/>
                                </a:lnTo>
                                <a:lnTo>
                                  <a:pt x="27252" y="22160"/>
                                </a:lnTo>
                                <a:lnTo>
                                  <a:pt x="27252" y="14766"/>
                                </a:lnTo>
                                <a:lnTo>
                                  <a:pt x="27252" y="7383"/>
                                </a:lnTo>
                                <a:lnTo>
                                  <a:pt x="20391" y="0"/>
                                </a:lnTo>
                                <a:lnTo>
                                  <a:pt x="13626" y="0"/>
                                </a:lnTo>
                                <a:lnTo>
                                  <a:pt x="6764" y="0"/>
                                </a:lnTo>
                                <a:lnTo>
                                  <a:pt x="0" y="7383"/>
                                </a:lnTo>
                                <a:lnTo>
                                  <a:pt x="0" y="14766"/>
                                </a:lnTo>
                                <a:close/>
                              </a:path>
                            </a:pathLst>
                          </a:custGeom>
                          <a:ln w="7100">
                            <a:solidFill>
                              <a:srgbClr val="000000"/>
                            </a:solidFill>
                            <a:prstDash val="solid"/>
                          </a:ln>
                        </wps:spPr>
                        <wps:bodyPr wrap="square" lIns="0" tIns="0" rIns="0" bIns="0" rtlCol="0">
                          <a:prstTxWarp prst="textNoShape">
                            <a:avLst/>
                          </a:prstTxWarp>
                          <a:noAutofit/>
                        </wps:bodyPr>
                      </wps:wsp>
                      <wps:wsp>
                        <wps:cNvPr id="1065" name="Graphic 1065"/>
                        <wps:cNvSpPr/>
                        <wps:spPr>
                          <a:xfrm>
                            <a:off x="1423815" y="1360860"/>
                            <a:ext cx="27305" cy="29845"/>
                          </a:xfrm>
                          <a:custGeom>
                            <a:avLst/>
                            <a:gdLst/>
                            <a:ahLst/>
                            <a:cxnLst/>
                            <a:rect l="l" t="t" r="r" b="b"/>
                            <a:pathLst>
                              <a:path w="27305" h="29845">
                                <a:moveTo>
                                  <a:pt x="20391" y="0"/>
                                </a:moveTo>
                                <a:lnTo>
                                  <a:pt x="6764" y="0"/>
                                </a:lnTo>
                                <a:lnTo>
                                  <a:pt x="0" y="7372"/>
                                </a:lnTo>
                                <a:lnTo>
                                  <a:pt x="0" y="14745"/>
                                </a:lnTo>
                                <a:lnTo>
                                  <a:pt x="0" y="22118"/>
                                </a:lnTo>
                                <a:lnTo>
                                  <a:pt x="6764" y="29490"/>
                                </a:lnTo>
                                <a:lnTo>
                                  <a:pt x="20391" y="29490"/>
                                </a:lnTo>
                                <a:lnTo>
                                  <a:pt x="27252" y="22118"/>
                                </a:lnTo>
                                <a:lnTo>
                                  <a:pt x="27252" y="7372"/>
                                </a:lnTo>
                                <a:lnTo>
                                  <a:pt x="20391" y="0"/>
                                </a:lnTo>
                                <a:close/>
                              </a:path>
                            </a:pathLst>
                          </a:custGeom>
                          <a:solidFill>
                            <a:srgbClr val="000000"/>
                          </a:solidFill>
                        </wps:spPr>
                        <wps:bodyPr wrap="square" lIns="0" tIns="0" rIns="0" bIns="0" rtlCol="0">
                          <a:prstTxWarp prst="textNoShape">
                            <a:avLst/>
                          </a:prstTxWarp>
                          <a:noAutofit/>
                        </wps:bodyPr>
                      </wps:wsp>
                      <wps:wsp>
                        <wps:cNvPr id="1066" name="Graphic 1066"/>
                        <wps:cNvSpPr/>
                        <wps:spPr>
                          <a:xfrm>
                            <a:off x="1423815" y="1360860"/>
                            <a:ext cx="27305" cy="29845"/>
                          </a:xfrm>
                          <a:custGeom>
                            <a:avLst/>
                            <a:gdLst/>
                            <a:ahLst/>
                            <a:cxnLst/>
                            <a:rect l="l" t="t" r="r" b="b"/>
                            <a:pathLst>
                              <a:path w="27305" h="29845">
                                <a:moveTo>
                                  <a:pt x="0" y="14745"/>
                                </a:moveTo>
                                <a:lnTo>
                                  <a:pt x="0" y="22118"/>
                                </a:lnTo>
                                <a:lnTo>
                                  <a:pt x="6764" y="29490"/>
                                </a:lnTo>
                                <a:lnTo>
                                  <a:pt x="13626" y="29490"/>
                                </a:lnTo>
                                <a:lnTo>
                                  <a:pt x="20391" y="29490"/>
                                </a:lnTo>
                                <a:lnTo>
                                  <a:pt x="27252" y="22118"/>
                                </a:lnTo>
                                <a:lnTo>
                                  <a:pt x="27252" y="14745"/>
                                </a:lnTo>
                                <a:lnTo>
                                  <a:pt x="27252" y="7372"/>
                                </a:lnTo>
                                <a:lnTo>
                                  <a:pt x="20391" y="0"/>
                                </a:lnTo>
                                <a:lnTo>
                                  <a:pt x="13626" y="0"/>
                                </a:lnTo>
                                <a:lnTo>
                                  <a:pt x="6764" y="0"/>
                                </a:lnTo>
                                <a:lnTo>
                                  <a:pt x="0" y="7372"/>
                                </a:lnTo>
                                <a:lnTo>
                                  <a:pt x="0" y="14745"/>
                                </a:lnTo>
                                <a:close/>
                              </a:path>
                            </a:pathLst>
                          </a:custGeom>
                          <a:ln w="7100">
                            <a:solidFill>
                              <a:srgbClr val="000000"/>
                            </a:solidFill>
                            <a:prstDash val="solid"/>
                          </a:ln>
                        </wps:spPr>
                        <wps:bodyPr wrap="square" lIns="0" tIns="0" rIns="0" bIns="0" rtlCol="0">
                          <a:prstTxWarp prst="textNoShape">
                            <a:avLst/>
                          </a:prstTxWarp>
                          <a:noAutofit/>
                        </wps:bodyPr>
                      </wps:wsp>
                      <wps:wsp>
                        <wps:cNvPr id="1067" name="Graphic 1067"/>
                        <wps:cNvSpPr/>
                        <wps:spPr>
                          <a:xfrm>
                            <a:off x="1246285" y="1619609"/>
                            <a:ext cx="27305" cy="29845"/>
                          </a:xfrm>
                          <a:custGeom>
                            <a:avLst/>
                            <a:gdLst/>
                            <a:ahLst/>
                            <a:cxnLst/>
                            <a:rect l="l" t="t" r="r" b="b"/>
                            <a:pathLst>
                              <a:path w="27305" h="29845">
                                <a:moveTo>
                                  <a:pt x="20487" y="0"/>
                                </a:moveTo>
                                <a:lnTo>
                                  <a:pt x="6764" y="0"/>
                                </a:lnTo>
                                <a:lnTo>
                                  <a:pt x="0" y="7393"/>
                                </a:lnTo>
                                <a:lnTo>
                                  <a:pt x="0" y="14776"/>
                                </a:lnTo>
                                <a:lnTo>
                                  <a:pt x="0" y="22160"/>
                                </a:lnTo>
                                <a:lnTo>
                                  <a:pt x="6764" y="29553"/>
                                </a:lnTo>
                                <a:lnTo>
                                  <a:pt x="20487" y="29553"/>
                                </a:lnTo>
                                <a:lnTo>
                                  <a:pt x="27252" y="22160"/>
                                </a:lnTo>
                                <a:lnTo>
                                  <a:pt x="27252" y="7393"/>
                                </a:lnTo>
                                <a:lnTo>
                                  <a:pt x="20487" y="0"/>
                                </a:lnTo>
                                <a:close/>
                              </a:path>
                            </a:pathLst>
                          </a:custGeom>
                          <a:solidFill>
                            <a:srgbClr val="000000"/>
                          </a:solidFill>
                        </wps:spPr>
                        <wps:bodyPr wrap="square" lIns="0" tIns="0" rIns="0" bIns="0" rtlCol="0">
                          <a:prstTxWarp prst="textNoShape">
                            <a:avLst/>
                          </a:prstTxWarp>
                          <a:noAutofit/>
                        </wps:bodyPr>
                      </wps:wsp>
                      <wps:wsp>
                        <wps:cNvPr id="1068" name="Graphic 1068"/>
                        <wps:cNvSpPr/>
                        <wps:spPr>
                          <a:xfrm>
                            <a:off x="1246285" y="1619609"/>
                            <a:ext cx="27305" cy="29845"/>
                          </a:xfrm>
                          <a:custGeom>
                            <a:avLst/>
                            <a:gdLst/>
                            <a:ahLst/>
                            <a:cxnLst/>
                            <a:rect l="l" t="t" r="r" b="b"/>
                            <a:pathLst>
                              <a:path w="27305" h="29845">
                                <a:moveTo>
                                  <a:pt x="0" y="14776"/>
                                </a:moveTo>
                                <a:lnTo>
                                  <a:pt x="0" y="22160"/>
                                </a:lnTo>
                                <a:lnTo>
                                  <a:pt x="6764" y="29553"/>
                                </a:lnTo>
                                <a:lnTo>
                                  <a:pt x="13626" y="29553"/>
                                </a:lnTo>
                                <a:lnTo>
                                  <a:pt x="20487" y="29553"/>
                                </a:lnTo>
                                <a:lnTo>
                                  <a:pt x="27252" y="22160"/>
                                </a:lnTo>
                                <a:lnTo>
                                  <a:pt x="27252" y="14776"/>
                                </a:lnTo>
                                <a:lnTo>
                                  <a:pt x="27252" y="7393"/>
                                </a:lnTo>
                                <a:lnTo>
                                  <a:pt x="20487" y="0"/>
                                </a:lnTo>
                                <a:lnTo>
                                  <a:pt x="13626" y="0"/>
                                </a:lnTo>
                                <a:lnTo>
                                  <a:pt x="6764" y="0"/>
                                </a:lnTo>
                                <a:lnTo>
                                  <a:pt x="0" y="7393"/>
                                </a:lnTo>
                                <a:lnTo>
                                  <a:pt x="0" y="14776"/>
                                </a:lnTo>
                                <a:close/>
                              </a:path>
                            </a:pathLst>
                          </a:custGeom>
                          <a:ln w="7100">
                            <a:solidFill>
                              <a:srgbClr val="000000"/>
                            </a:solidFill>
                            <a:prstDash val="solid"/>
                          </a:ln>
                        </wps:spPr>
                        <wps:bodyPr wrap="square" lIns="0" tIns="0" rIns="0" bIns="0" rtlCol="0">
                          <a:prstTxWarp prst="textNoShape">
                            <a:avLst/>
                          </a:prstTxWarp>
                          <a:noAutofit/>
                        </wps:bodyPr>
                      </wps:wsp>
                      <wps:wsp>
                        <wps:cNvPr id="1069" name="Graphic 1069"/>
                        <wps:cNvSpPr/>
                        <wps:spPr>
                          <a:xfrm>
                            <a:off x="1068755" y="1168538"/>
                            <a:ext cx="27305" cy="29845"/>
                          </a:xfrm>
                          <a:custGeom>
                            <a:avLst/>
                            <a:gdLst/>
                            <a:ahLst/>
                            <a:cxnLst/>
                            <a:rect l="l" t="t" r="r" b="b"/>
                            <a:pathLst>
                              <a:path w="27305" h="29845">
                                <a:moveTo>
                                  <a:pt x="20487" y="0"/>
                                </a:moveTo>
                                <a:lnTo>
                                  <a:pt x="6861" y="0"/>
                                </a:lnTo>
                                <a:lnTo>
                                  <a:pt x="0" y="7372"/>
                                </a:lnTo>
                                <a:lnTo>
                                  <a:pt x="0" y="14745"/>
                                </a:lnTo>
                                <a:lnTo>
                                  <a:pt x="0" y="22118"/>
                                </a:lnTo>
                                <a:lnTo>
                                  <a:pt x="6861" y="29596"/>
                                </a:lnTo>
                                <a:lnTo>
                                  <a:pt x="20487" y="29596"/>
                                </a:lnTo>
                                <a:lnTo>
                                  <a:pt x="27252" y="22118"/>
                                </a:lnTo>
                                <a:lnTo>
                                  <a:pt x="27252" y="7372"/>
                                </a:lnTo>
                                <a:lnTo>
                                  <a:pt x="20487" y="0"/>
                                </a:lnTo>
                                <a:close/>
                              </a:path>
                            </a:pathLst>
                          </a:custGeom>
                          <a:solidFill>
                            <a:srgbClr val="000000"/>
                          </a:solidFill>
                        </wps:spPr>
                        <wps:bodyPr wrap="square" lIns="0" tIns="0" rIns="0" bIns="0" rtlCol="0">
                          <a:prstTxWarp prst="textNoShape">
                            <a:avLst/>
                          </a:prstTxWarp>
                          <a:noAutofit/>
                        </wps:bodyPr>
                      </wps:wsp>
                      <wps:wsp>
                        <wps:cNvPr id="1070" name="Graphic 1070"/>
                        <wps:cNvSpPr/>
                        <wps:spPr>
                          <a:xfrm>
                            <a:off x="1068755" y="1168538"/>
                            <a:ext cx="27305" cy="29845"/>
                          </a:xfrm>
                          <a:custGeom>
                            <a:avLst/>
                            <a:gdLst/>
                            <a:ahLst/>
                            <a:cxnLst/>
                            <a:rect l="l" t="t" r="r" b="b"/>
                            <a:pathLst>
                              <a:path w="27305" h="29845">
                                <a:moveTo>
                                  <a:pt x="0" y="14745"/>
                                </a:moveTo>
                                <a:lnTo>
                                  <a:pt x="0" y="22118"/>
                                </a:lnTo>
                                <a:lnTo>
                                  <a:pt x="6861" y="29596"/>
                                </a:lnTo>
                                <a:lnTo>
                                  <a:pt x="13626" y="29596"/>
                                </a:lnTo>
                                <a:lnTo>
                                  <a:pt x="20487" y="29596"/>
                                </a:lnTo>
                                <a:lnTo>
                                  <a:pt x="27252" y="22118"/>
                                </a:lnTo>
                                <a:lnTo>
                                  <a:pt x="27252" y="14745"/>
                                </a:lnTo>
                                <a:lnTo>
                                  <a:pt x="27252" y="7372"/>
                                </a:lnTo>
                                <a:lnTo>
                                  <a:pt x="20487" y="0"/>
                                </a:lnTo>
                                <a:lnTo>
                                  <a:pt x="13626" y="0"/>
                                </a:lnTo>
                                <a:lnTo>
                                  <a:pt x="6861" y="0"/>
                                </a:lnTo>
                                <a:lnTo>
                                  <a:pt x="0" y="7372"/>
                                </a:lnTo>
                                <a:lnTo>
                                  <a:pt x="0" y="14745"/>
                                </a:lnTo>
                                <a:close/>
                              </a:path>
                            </a:pathLst>
                          </a:custGeom>
                          <a:ln w="7099">
                            <a:solidFill>
                              <a:srgbClr val="000000"/>
                            </a:solidFill>
                            <a:prstDash val="solid"/>
                          </a:ln>
                        </wps:spPr>
                        <wps:bodyPr wrap="square" lIns="0" tIns="0" rIns="0" bIns="0" rtlCol="0">
                          <a:prstTxWarp prst="textNoShape">
                            <a:avLst/>
                          </a:prstTxWarp>
                          <a:noAutofit/>
                        </wps:bodyPr>
                      </wps:wsp>
                      <wps:wsp>
                        <wps:cNvPr id="1071" name="Graphic 1071"/>
                        <wps:cNvSpPr/>
                        <wps:spPr>
                          <a:xfrm>
                            <a:off x="884461" y="1656546"/>
                            <a:ext cx="27305" cy="29845"/>
                          </a:xfrm>
                          <a:custGeom>
                            <a:avLst/>
                            <a:gdLst/>
                            <a:ahLst/>
                            <a:cxnLst/>
                            <a:rect l="l" t="t" r="r" b="b"/>
                            <a:pathLst>
                              <a:path w="27305" h="29845">
                                <a:moveTo>
                                  <a:pt x="20391" y="0"/>
                                </a:moveTo>
                                <a:lnTo>
                                  <a:pt x="6764" y="0"/>
                                </a:lnTo>
                                <a:lnTo>
                                  <a:pt x="0" y="7383"/>
                                </a:lnTo>
                                <a:lnTo>
                                  <a:pt x="0" y="14766"/>
                                </a:lnTo>
                                <a:lnTo>
                                  <a:pt x="0" y="22160"/>
                                </a:lnTo>
                                <a:lnTo>
                                  <a:pt x="6764" y="29543"/>
                                </a:lnTo>
                                <a:lnTo>
                                  <a:pt x="20391" y="29543"/>
                                </a:lnTo>
                                <a:lnTo>
                                  <a:pt x="27252" y="22160"/>
                                </a:lnTo>
                                <a:lnTo>
                                  <a:pt x="27252" y="7383"/>
                                </a:lnTo>
                                <a:lnTo>
                                  <a:pt x="20391" y="0"/>
                                </a:lnTo>
                                <a:close/>
                              </a:path>
                            </a:pathLst>
                          </a:custGeom>
                          <a:solidFill>
                            <a:srgbClr val="000000"/>
                          </a:solidFill>
                        </wps:spPr>
                        <wps:bodyPr wrap="square" lIns="0" tIns="0" rIns="0" bIns="0" rtlCol="0">
                          <a:prstTxWarp prst="textNoShape">
                            <a:avLst/>
                          </a:prstTxWarp>
                          <a:noAutofit/>
                        </wps:bodyPr>
                      </wps:wsp>
                      <wps:wsp>
                        <wps:cNvPr id="1072" name="Graphic 1072"/>
                        <wps:cNvSpPr/>
                        <wps:spPr>
                          <a:xfrm>
                            <a:off x="884461" y="1656546"/>
                            <a:ext cx="27305" cy="29845"/>
                          </a:xfrm>
                          <a:custGeom>
                            <a:avLst/>
                            <a:gdLst/>
                            <a:ahLst/>
                            <a:cxnLst/>
                            <a:rect l="l" t="t" r="r" b="b"/>
                            <a:pathLst>
                              <a:path w="27305" h="29845">
                                <a:moveTo>
                                  <a:pt x="0" y="14766"/>
                                </a:moveTo>
                                <a:lnTo>
                                  <a:pt x="0" y="22160"/>
                                </a:lnTo>
                                <a:lnTo>
                                  <a:pt x="6764" y="29543"/>
                                </a:lnTo>
                                <a:lnTo>
                                  <a:pt x="13626" y="29543"/>
                                </a:lnTo>
                                <a:lnTo>
                                  <a:pt x="20391" y="29543"/>
                                </a:lnTo>
                                <a:lnTo>
                                  <a:pt x="27252" y="22160"/>
                                </a:lnTo>
                                <a:lnTo>
                                  <a:pt x="27252" y="14766"/>
                                </a:lnTo>
                                <a:lnTo>
                                  <a:pt x="27252" y="7383"/>
                                </a:lnTo>
                                <a:lnTo>
                                  <a:pt x="20391" y="0"/>
                                </a:lnTo>
                                <a:lnTo>
                                  <a:pt x="13626" y="0"/>
                                </a:lnTo>
                                <a:lnTo>
                                  <a:pt x="6764" y="0"/>
                                </a:lnTo>
                                <a:lnTo>
                                  <a:pt x="0" y="7383"/>
                                </a:lnTo>
                                <a:lnTo>
                                  <a:pt x="0" y="14766"/>
                                </a:lnTo>
                                <a:close/>
                              </a:path>
                            </a:pathLst>
                          </a:custGeom>
                          <a:ln w="7100">
                            <a:solidFill>
                              <a:srgbClr val="000000"/>
                            </a:solidFill>
                            <a:prstDash val="solid"/>
                          </a:ln>
                        </wps:spPr>
                        <wps:bodyPr wrap="square" lIns="0" tIns="0" rIns="0" bIns="0" rtlCol="0">
                          <a:prstTxWarp prst="textNoShape">
                            <a:avLst/>
                          </a:prstTxWarp>
                          <a:noAutofit/>
                        </wps:bodyPr>
                      </wps:wsp>
                      <wps:wsp>
                        <wps:cNvPr id="1073" name="Graphic 1073"/>
                        <wps:cNvSpPr/>
                        <wps:spPr>
                          <a:xfrm>
                            <a:off x="706641" y="221885"/>
                            <a:ext cx="27940" cy="29845"/>
                          </a:xfrm>
                          <a:custGeom>
                            <a:avLst/>
                            <a:gdLst/>
                            <a:ahLst/>
                            <a:cxnLst/>
                            <a:rect l="l" t="t" r="r" b="b"/>
                            <a:pathLst>
                              <a:path w="27940" h="29845">
                                <a:moveTo>
                                  <a:pt x="20681" y="0"/>
                                </a:moveTo>
                                <a:lnTo>
                                  <a:pt x="7054" y="0"/>
                                </a:lnTo>
                                <a:lnTo>
                                  <a:pt x="0" y="7372"/>
                                </a:lnTo>
                                <a:lnTo>
                                  <a:pt x="0" y="14745"/>
                                </a:lnTo>
                                <a:lnTo>
                                  <a:pt x="0" y="22118"/>
                                </a:lnTo>
                                <a:lnTo>
                                  <a:pt x="7054" y="29490"/>
                                </a:lnTo>
                                <a:lnTo>
                                  <a:pt x="20681" y="29490"/>
                                </a:lnTo>
                                <a:lnTo>
                                  <a:pt x="27542" y="22118"/>
                                </a:lnTo>
                                <a:lnTo>
                                  <a:pt x="27542" y="7372"/>
                                </a:lnTo>
                                <a:lnTo>
                                  <a:pt x="20681" y="0"/>
                                </a:lnTo>
                                <a:close/>
                              </a:path>
                            </a:pathLst>
                          </a:custGeom>
                          <a:solidFill>
                            <a:srgbClr val="000000"/>
                          </a:solidFill>
                        </wps:spPr>
                        <wps:bodyPr wrap="square" lIns="0" tIns="0" rIns="0" bIns="0" rtlCol="0">
                          <a:prstTxWarp prst="textNoShape">
                            <a:avLst/>
                          </a:prstTxWarp>
                          <a:noAutofit/>
                        </wps:bodyPr>
                      </wps:wsp>
                      <wps:wsp>
                        <wps:cNvPr id="1074" name="Graphic 1074"/>
                        <wps:cNvSpPr/>
                        <wps:spPr>
                          <a:xfrm>
                            <a:off x="706641" y="221885"/>
                            <a:ext cx="27940" cy="29845"/>
                          </a:xfrm>
                          <a:custGeom>
                            <a:avLst/>
                            <a:gdLst/>
                            <a:ahLst/>
                            <a:cxnLst/>
                            <a:rect l="l" t="t" r="r" b="b"/>
                            <a:pathLst>
                              <a:path w="27940" h="29845">
                                <a:moveTo>
                                  <a:pt x="0" y="14745"/>
                                </a:moveTo>
                                <a:lnTo>
                                  <a:pt x="0" y="22118"/>
                                </a:lnTo>
                                <a:lnTo>
                                  <a:pt x="7054" y="29490"/>
                                </a:lnTo>
                                <a:lnTo>
                                  <a:pt x="13916" y="29490"/>
                                </a:lnTo>
                                <a:lnTo>
                                  <a:pt x="20681" y="29490"/>
                                </a:lnTo>
                                <a:lnTo>
                                  <a:pt x="27542" y="22118"/>
                                </a:lnTo>
                                <a:lnTo>
                                  <a:pt x="27542" y="14745"/>
                                </a:lnTo>
                                <a:lnTo>
                                  <a:pt x="27542" y="7372"/>
                                </a:lnTo>
                                <a:lnTo>
                                  <a:pt x="20681" y="0"/>
                                </a:lnTo>
                                <a:lnTo>
                                  <a:pt x="13916" y="0"/>
                                </a:lnTo>
                                <a:lnTo>
                                  <a:pt x="7054" y="0"/>
                                </a:lnTo>
                                <a:lnTo>
                                  <a:pt x="0" y="7372"/>
                                </a:lnTo>
                                <a:lnTo>
                                  <a:pt x="0" y="14745"/>
                                </a:lnTo>
                                <a:close/>
                              </a:path>
                            </a:pathLst>
                          </a:custGeom>
                          <a:ln w="7103">
                            <a:solidFill>
                              <a:srgbClr val="000000"/>
                            </a:solidFill>
                            <a:prstDash val="solid"/>
                          </a:ln>
                        </wps:spPr>
                        <wps:bodyPr wrap="square" lIns="0" tIns="0" rIns="0" bIns="0" rtlCol="0">
                          <a:prstTxWarp prst="textNoShape">
                            <a:avLst/>
                          </a:prstTxWarp>
                          <a:noAutofit/>
                        </wps:bodyPr>
                      </wps:wsp>
                      <wps:wsp>
                        <wps:cNvPr id="1075" name="Graphic 1075"/>
                        <wps:cNvSpPr/>
                        <wps:spPr>
                          <a:xfrm>
                            <a:off x="529207" y="1671313"/>
                            <a:ext cx="27940" cy="29845"/>
                          </a:xfrm>
                          <a:custGeom>
                            <a:avLst/>
                            <a:gdLst/>
                            <a:ahLst/>
                            <a:cxnLst/>
                            <a:rect l="l" t="t" r="r" b="b"/>
                            <a:pathLst>
                              <a:path w="27940" h="29845">
                                <a:moveTo>
                                  <a:pt x="20391" y="0"/>
                                </a:moveTo>
                                <a:lnTo>
                                  <a:pt x="6764" y="0"/>
                                </a:lnTo>
                                <a:lnTo>
                                  <a:pt x="0" y="7393"/>
                                </a:lnTo>
                                <a:lnTo>
                                  <a:pt x="0" y="14776"/>
                                </a:lnTo>
                                <a:lnTo>
                                  <a:pt x="0" y="22160"/>
                                </a:lnTo>
                                <a:lnTo>
                                  <a:pt x="6764" y="29553"/>
                                </a:lnTo>
                                <a:lnTo>
                                  <a:pt x="20391" y="29553"/>
                                </a:lnTo>
                                <a:lnTo>
                                  <a:pt x="27446" y="22160"/>
                                </a:lnTo>
                                <a:lnTo>
                                  <a:pt x="27446" y="7393"/>
                                </a:lnTo>
                                <a:lnTo>
                                  <a:pt x="20391" y="0"/>
                                </a:lnTo>
                                <a:close/>
                              </a:path>
                            </a:pathLst>
                          </a:custGeom>
                          <a:solidFill>
                            <a:srgbClr val="000000"/>
                          </a:solidFill>
                        </wps:spPr>
                        <wps:bodyPr wrap="square" lIns="0" tIns="0" rIns="0" bIns="0" rtlCol="0">
                          <a:prstTxWarp prst="textNoShape">
                            <a:avLst/>
                          </a:prstTxWarp>
                          <a:noAutofit/>
                        </wps:bodyPr>
                      </wps:wsp>
                      <wps:wsp>
                        <wps:cNvPr id="1076" name="Graphic 1076"/>
                        <wps:cNvSpPr/>
                        <wps:spPr>
                          <a:xfrm>
                            <a:off x="529207" y="1671313"/>
                            <a:ext cx="27940" cy="29845"/>
                          </a:xfrm>
                          <a:custGeom>
                            <a:avLst/>
                            <a:gdLst/>
                            <a:ahLst/>
                            <a:cxnLst/>
                            <a:rect l="l" t="t" r="r" b="b"/>
                            <a:pathLst>
                              <a:path w="27940" h="29845">
                                <a:moveTo>
                                  <a:pt x="0" y="14776"/>
                                </a:moveTo>
                                <a:lnTo>
                                  <a:pt x="0" y="22160"/>
                                </a:lnTo>
                                <a:lnTo>
                                  <a:pt x="6764" y="29553"/>
                                </a:lnTo>
                                <a:lnTo>
                                  <a:pt x="13626" y="29553"/>
                                </a:lnTo>
                                <a:lnTo>
                                  <a:pt x="20391" y="29553"/>
                                </a:lnTo>
                                <a:lnTo>
                                  <a:pt x="27446" y="22160"/>
                                </a:lnTo>
                                <a:lnTo>
                                  <a:pt x="27446" y="14776"/>
                                </a:lnTo>
                                <a:lnTo>
                                  <a:pt x="27446" y="7393"/>
                                </a:lnTo>
                                <a:lnTo>
                                  <a:pt x="20391" y="0"/>
                                </a:lnTo>
                                <a:lnTo>
                                  <a:pt x="13626" y="0"/>
                                </a:lnTo>
                                <a:lnTo>
                                  <a:pt x="6764" y="0"/>
                                </a:lnTo>
                                <a:lnTo>
                                  <a:pt x="0" y="7393"/>
                                </a:lnTo>
                                <a:lnTo>
                                  <a:pt x="0" y="14776"/>
                                </a:lnTo>
                                <a:close/>
                              </a:path>
                            </a:pathLst>
                          </a:custGeom>
                          <a:ln w="7102">
                            <a:solidFill>
                              <a:srgbClr val="000000"/>
                            </a:solidFill>
                            <a:prstDash val="solid"/>
                          </a:ln>
                        </wps:spPr>
                        <wps:bodyPr wrap="square" lIns="0" tIns="0" rIns="0" bIns="0" rtlCol="0">
                          <a:prstTxWarp prst="textNoShape">
                            <a:avLst/>
                          </a:prstTxWarp>
                          <a:noAutofit/>
                        </wps:bodyPr>
                      </wps:wsp>
                      <wps:wsp>
                        <wps:cNvPr id="1077" name="Graphic 1077"/>
                        <wps:cNvSpPr/>
                        <wps:spPr>
                          <a:xfrm>
                            <a:off x="351677" y="1900540"/>
                            <a:ext cx="27305" cy="29845"/>
                          </a:xfrm>
                          <a:custGeom>
                            <a:avLst/>
                            <a:gdLst/>
                            <a:ahLst/>
                            <a:cxnLst/>
                            <a:rect l="l" t="t" r="r" b="b"/>
                            <a:pathLst>
                              <a:path w="27305" h="29845">
                                <a:moveTo>
                                  <a:pt x="20391" y="0"/>
                                </a:moveTo>
                                <a:lnTo>
                                  <a:pt x="6764" y="0"/>
                                </a:lnTo>
                                <a:lnTo>
                                  <a:pt x="0" y="7393"/>
                                </a:lnTo>
                                <a:lnTo>
                                  <a:pt x="0" y="14776"/>
                                </a:lnTo>
                                <a:lnTo>
                                  <a:pt x="0" y="22412"/>
                                </a:lnTo>
                                <a:lnTo>
                                  <a:pt x="6764" y="29806"/>
                                </a:lnTo>
                                <a:lnTo>
                                  <a:pt x="20391" y="29806"/>
                                </a:lnTo>
                                <a:lnTo>
                                  <a:pt x="27252" y="22412"/>
                                </a:lnTo>
                                <a:lnTo>
                                  <a:pt x="27252" y="7393"/>
                                </a:lnTo>
                                <a:lnTo>
                                  <a:pt x="20391" y="0"/>
                                </a:lnTo>
                                <a:close/>
                              </a:path>
                            </a:pathLst>
                          </a:custGeom>
                          <a:solidFill>
                            <a:srgbClr val="000000"/>
                          </a:solidFill>
                        </wps:spPr>
                        <wps:bodyPr wrap="square" lIns="0" tIns="0" rIns="0" bIns="0" rtlCol="0">
                          <a:prstTxWarp prst="textNoShape">
                            <a:avLst/>
                          </a:prstTxWarp>
                          <a:noAutofit/>
                        </wps:bodyPr>
                      </wps:wsp>
                      <wps:wsp>
                        <wps:cNvPr id="1078" name="Graphic 1078"/>
                        <wps:cNvSpPr/>
                        <wps:spPr>
                          <a:xfrm>
                            <a:off x="351677" y="1900540"/>
                            <a:ext cx="27305" cy="29845"/>
                          </a:xfrm>
                          <a:custGeom>
                            <a:avLst/>
                            <a:gdLst/>
                            <a:ahLst/>
                            <a:cxnLst/>
                            <a:rect l="l" t="t" r="r" b="b"/>
                            <a:pathLst>
                              <a:path w="27305" h="29845">
                                <a:moveTo>
                                  <a:pt x="0" y="14776"/>
                                </a:moveTo>
                                <a:lnTo>
                                  <a:pt x="0" y="22412"/>
                                </a:lnTo>
                                <a:lnTo>
                                  <a:pt x="6764" y="29806"/>
                                </a:lnTo>
                                <a:lnTo>
                                  <a:pt x="13626" y="29806"/>
                                </a:lnTo>
                                <a:lnTo>
                                  <a:pt x="20391" y="29806"/>
                                </a:lnTo>
                                <a:lnTo>
                                  <a:pt x="27252" y="22412"/>
                                </a:lnTo>
                                <a:lnTo>
                                  <a:pt x="27252" y="14776"/>
                                </a:lnTo>
                                <a:lnTo>
                                  <a:pt x="27252" y="7393"/>
                                </a:lnTo>
                                <a:lnTo>
                                  <a:pt x="20391" y="0"/>
                                </a:lnTo>
                                <a:lnTo>
                                  <a:pt x="13626" y="0"/>
                                </a:lnTo>
                                <a:lnTo>
                                  <a:pt x="6764" y="0"/>
                                </a:lnTo>
                                <a:lnTo>
                                  <a:pt x="0" y="7393"/>
                                </a:lnTo>
                                <a:lnTo>
                                  <a:pt x="0" y="14776"/>
                                </a:lnTo>
                                <a:close/>
                              </a:path>
                            </a:pathLst>
                          </a:custGeom>
                          <a:ln w="7097">
                            <a:solidFill>
                              <a:srgbClr val="000000"/>
                            </a:solidFill>
                            <a:prstDash val="solid"/>
                          </a:ln>
                        </wps:spPr>
                        <wps:bodyPr wrap="square" lIns="0" tIns="0" rIns="0" bIns="0" rtlCol="0">
                          <a:prstTxWarp prst="textNoShape">
                            <a:avLst/>
                          </a:prstTxWarp>
                          <a:noAutofit/>
                        </wps:bodyPr>
                      </wps:wsp>
                      <wps:wsp>
                        <wps:cNvPr id="1079" name="Graphic 1079"/>
                        <wps:cNvSpPr/>
                        <wps:spPr>
                          <a:xfrm>
                            <a:off x="355060" y="1031617"/>
                            <a:ext cx="3059430" cy="384810"/>
                          </a:xfrm>
                          <a:custGeom>
                            <a:avLst/>
                            <a:gdLst/>
                            <a:ahLst/>
                            <a:cxnLst/>
                            <a:rect l="l" t="t" r="r" b="b"/>
                            <a:pathLst>
                              <a:path w="3059430" h="384810">
                                <a:moveTo>
                                  <a:pt x="3045553" y="0"/>
                                </a:moveTo>
                                <a:lnTo>
                                  <a:pt x="3031926" y="22223"/>
                                </a:lnTo>
                                <a:lnTo>
                                  <a:pt x="3059373" y="22223"/>
                                </a:lnTo>
                                <a:lnTo>
                                  <a:pt x="3045553" y="0"/>
                                </a:lnTo>
                              </a:path>
                              <a:path w="3059430" h="384810">
                                <a:moveTo>
                                  <a:pt x="2868023" y="22223"/>
                                </a:moveTo>
                                <a:lnTo>
                                  <a:pt x="2854396" y="44341"/>
                                </a:lnTo>
                                <a:lnTo>
                                  <a:pt x="2881649" y="44341"/>
                                </a:lnTo>
                                <a:lnTo>
                                  <a:pt x="2868023" y="22223"/>
                                </a:lnTo>
                              </a:path>
                              <a:path w="3059430" h="384810">
                                <a:moveTo>
                                  <a:pt x="2690493" y="44341"/>
                                </a:moveTo>
                                <a:lnTo>
                                  <a:pt x="2676866" y="66775"/>
                                </a:lnTo>
                                <a:lnTo>
                                  <a:pt x="2704119" y="66775"/>
                                </a:lnTo>
                                <a:lnTo>
                                  <a:pt x="2690493" y="44341"/>
                                </a:lnTo>
                              </a:path>
                              <a:path w="3059430" h="384810">
                                <a:moveTo>
                                  <a:pt x="2506101" y="66775"/>
                                </a:moveTo>
                                <a:lnTo>
                                  <a:pt x="2492475" y="88893"/>
                                </a:lnTo>
                                <a:lnTo>
                                  <a:pt x="2519824" y="88893"/>
                                </a:lnTo>
                                <a:lnTo>
                                  <a:pt x="2506101" y="66775"/>
                                </a:lnTo>
                              </a:path>
                              <a:path w="3059430" h="384810">
                                <a:moveTo>
                                  <a:pt x="2328668" y="88893"/>
                                </a:moveTo>
                                <a:lnTo>
                                  <a:pt x="2315041" y="111116"/>
                                </a:lnTo>
                                <a:lnTo>
                                  <a:pt x="2342294" y="111116"/>
                                </a:lnTo>
                                <a:lnTo>
                                  <a:pt x="2328668" y="88893"/>
                                </a:lnTo>
                              </a:path>
                              <a:path w="3059430" h="384810">
                                <a:moveTo>
                                  <a:pt x="2151138" y="111116"/>
                                </a:moveTo>
                                <a:lnTo>
                                  <a:pt x="2137511" y="133234"/>
                                </a:lnTo>
                                <a:lnTo>
                                  <a:pt x="2164764" y="133234"/>
                                </a:lnTo>
                                <a:lnTo>
                                  <a:pt x="2151138" y="111116"/>
                                </a:lnTo>
                              </a:path>
                              <a:path w="3059430" h="384810">
                                <a:moveTo>
                                  <a:pt x="1973608" y="125862"/>
                                </a:moveTo>
                                <a:lnTo>
                                  <a:pt x="1959981" y="147980"/>
                                </a:lnTo>
                                <a:lnTo>
                                  <a:pt x="1987234" y="147980"/>
                                </a:lnTo>
                                <a:lnTo>
                                  <a:pt x="1973608" y="125862"/>
                                </a:lnTo>
                              </a:path>
                              <a:path w="3059430" h="384810">
                                <a:moveTo>
                                  <a:pt x="1796078" y="147980"/>
                                </a:moveTo>
                                <a:lnTo>
                                  <a:pt x="1782258" y="170203"/>
                                </a:lnTo>
                                <a:lnTo>
                                  <a:pt x="1809704" y="170203"/>
                                </a:lnTo>
                                <a:lnTo>
                                  <a:pt x="1796078" y="147980"/>
                                </a:lnTo>
                              </a:path>
                              <a:path w="3059430" h="384810">
                                <a:moveTo>
                                  <a:pt x="1618354" y="170203"/>
                                </a:moveTo>
                                <a:lnTo>
                                  <a:pt x="1604728" y="192321"/>
                                </a:lnTo>
                                <a:lnTo>
                                  <a:pt x="1632174" y="192321"/>
                                </a:lnTo>
                                <a:lnTo>
                                  <a:pt x="1618354" y="170203"/>
                                </a:lnTo>
                              </a:path>
                              <a:path w="3059430" h="384810">
                                <a:moveTo>
                                  <a:pt x="1440824" y="192321"/>
                                </a:moveTo>
                                <a:lnTo>
                                  <a:pt x="1427198" y="214439"/>
                                </a:lnTo>
                                <a:lnTo>
                                  <a:pt x="1454451" y="214439"/>
                                </a:lnTo>
                                <a:lnTo>
                                  <a:pt x="1440824" y="192321"/>
                                </a:lnTo>
                              </a:path>
                              <a:path w="3059430" h="384810">
                                <a:moveTo>
                                  <a:pt x="1263294" y="214439"/>
                                </a:moveTo>
                                <a:lnTo>
                                  <a:pt x="1249668" y="236663"/>
                                </a:lnTo>
                                <a:lnTo>
                                  <a:pt x="1276921" y="236663"/>
                                </a:lnTo>
                                <a:lnTo>
                                  <a:pt x="1263294" y="214439"/>
                                </a:lnTo>
                              </a:path>
                              <a:path w="3059430" h="384810">
                                <a:moveTo>
                                  <a:pt x="1085764" y="236663"/>
                                </a:moveTo>
                                <a:lnTo>
                                  <a:pt x="1072138" y="258781"/>
                                </a:lnTo>
                                <a:lnTo>
                                  <a:pt x="1099391" y="258781"/>
                                </a:lnTo>
                                <a:lnTo>
                                  <a:pt x="1085764" y="236663"/>
                                </a:lnTo>
                              </a:path>
                              <a:path w="3059430" h="384810">
                                <a:moveTo>
                                  <a:pt x="908234" y="258781"/>
                                </a:moveTo>
                                <a:lnTo>
                                  <a:pt x="894608" y="281215"/>
                                </a:lnTo>
                                <a:lnTo>
                                  <a:pt x="921861" y="281215"/>
                                </a:lnTo>
                                <a:lnTo>
                                  <a:pt x="908234" y="258781"/>
                                </a:lnTo>
                              </a:path>
                              <a:path w="3059430" h="384810">
                                <a:moveTo>
                                  <a:pt x="730704" y="281215"/>
                                </a:moveTo>
                                <a:lnTo>
                                  <a:pt x="717078" y="303333"/>
                                </a:lnTo>
                                <a:lnTo>
                                  <a:pt x="744427" y="303333"/>
                                </a:lnTo>
                                <a:lnTo>
                                  <a:pt x="730704" y="281215"/>
                                </a:lnTo>
                              </a:path>
                              <a:path w="3059430" h="384810">
                                <a:moveTo>
                                  <a:pt x="546409" y="295960"/>
                                </a:moveTo>
                                <a:lnTo>
                                  <a:pt x="532783" y="318183"/>
                                </a:lnTo>
                                <a:lnTo>
                                  <a:pt x="560036" y="318183"/>
                                </a:lnTo>
                                <a:lnTo>
                                  <a:pt x="546409" y="295960"/>
                                </a:lnTo>
                              </a:path>
                              <a:path w="3059430" h="384810">
                                <a:moveTo>
                                  <a:pt x="368879" y="318183"/>
                                </a:moveTo>
                                <a:lnTo>
                                  <a:pt x="355060" y="340301"/>
                                </a:lnTo>
                                <a:lnTo>
                                  <a:pt x="382506" y="340301"/>
                                </a:lnTo>
                                <a:lnTo>
                                  <a:pt x="368879" y="318183"/>
                                </a:lnTo>
                              </a:path>
                              <a:path w="3059430" h="384810">
                                <a:moveTo>
                                  <a:pt x="191156" y="340301"/>
                                </a:moveTo>
                                <a:lnTo>
                                  <a:pt x="177530" y="362420"/>
                                </a:lnTo>
                                <a:lnTo>
                                  <a:pt x="204976" y="362420"/>
                                </a:lnTo>
                                <a:lnTo>
                                  <a:pt x="191156" y="340301"/>
                                </a:lnTo>
                              </a:path>
                              <a:path w="3059430" h="384810">
                                <a:moveTo>
                                  <a:pt x="13626" y="362420"/>
                                </a:moveTo>
                                <a:lnTo>
                                  <a:pt x="0" y="384643"/>
                                </a:lnTo>
                                <a:lnTo>
                                  <a:pt x="27252" y="384643"/>
                                </a:lnTo>
                                <a:lnTo>
                                  <a:pt x="13626" y="362420"/>
                                </a:lnTo>
                              </a:path>
                            </a:pathLst>
                          </a:custGeom>
                          <a:ln w="7124">
                            <a:solidFill>
                              <a:srgbClr val="0000FF"/>
                            </a:solidFill>
                            <a:prstDash val="solid"/>
                          </a:ln>
                        </wps:spPr>
                        <wps:bodyPr wrap="square" lIns="0" tIns="0" rIns="0" bIns="0" rtlCol="0">
                          <a:prstTxWarp prst="textNoShape">
                            <a:avLst/>
                          </a:prstTxWarp>
                          <a:noAutofit/>
                        </wps:bodyPr>
                      </wps:wsp>
                      <wps:wsp>
                        <wps:cNvPr id="1080" name="Graphic 1080"/>
                        <wps:cNvSpPr/>
                        <wps:spPr>
                          <a:xfrm>
                            <a:off x="368686" y="240317"/>
                            <a:ext cx="3032125" cy="1678939"/>
                          </a:xfrm>
                          <a:custGeom>
                            <a:avLst/>
                            <a:gdLst/>
                            <a:ahLst/>
                            <a:cxnLst/>
                            <a:rect l="l" t="t" r="r" b="b"/>
                            <a:pathLst>
                              <a:path w="3032125" h="1678939">
                                <a:moveTo>
                                  <a:pt x="0" y="1678686"/>
                                </a:moveTo>
                                <a:lnTo>
                                  <a:pt x="177530" y="1449469"/>
                                </a:lnTo>
                                <a:lnTo>
                                  <a:pt x="355253" y="0"/>
                                </a:lnTo>
                                <a:lnTo>
                                  <a:pt x="532783" y="1434692"/>
                                </a:lnTo>
                                <a:lnTo>
                                  <a:pt x="717078" y="946652"/>
                                </a:lnTo>
                                <a:lnTo>
                                  <a:pt x="894608" y="1397765"/>
                                </a:lnTo>
                                <a:lnTo>
                                  <a:pt x="1072138" y="1138974"/>
                                </a:lnTo>
                                <a:lnTo>
                                  <a:pt x="1249668" y="1331285"/>
                                </a:lnTo>
                                <a:lnTo>
                                  <a:pt x="1427198" y="1138974"/>
                                </a:lnTo>
                                <a:lnTo>
                                  <a:pt x="1604728" y="288587"/>
                                </a:lnTo>
                                <a:lnTo>
                                  <a:pt x="1782451" y="576859"/>
                                </a:lnTo>
                                <a:lnTo>
                                  <a:pt x="1959981" y="798672"/>
                                </a:lnTo>
                                <a:lnTo>
                                  <a:pt x="2137511" y="791299"/>
                                </a:lnTo>
                                <a:lnTo>
                                  <a:pt x="2315041" y="1035335"/>
                                </a:lnTo>
                                <a:lnTo>
                                  <a:pt x="2492475" y="1190688"/>
                                </a:lnTo>
                                <a:lnTo>
                                  <a:pt x="2676866" y="599083"/>
                                </a:lnTo>
                                <a:lnTo>
                                  <a:pt x="2854396" y="451313"/>
                                </a:lnTo>
                                <a:lnTo>
                                  <a:pt x="3031926" y="1545735"/>
                                </a:lnTo>
                              </a:path>
                            </a:pathLst>
                          </a:custGeom>
                          <a:ln w="7287">
                            <a:solidFill>
                              <a:srgbClr val="000000"/>
                            </a:solidFill>
                            <a:prstDash val="solid"/>
                          </a:ln>
                        </wps:spPr>
                        <wps:bodyPr wrap="square" lIns="0" tIns="0" rIns="0" bIns="0" rtlCol="0">
                          <a:prstTxWarp prst="textNoShape">
                            <a:avLst/>
                          </a:prstTxWarp>
                          <a:noAutofit/>
                        </wps:bodyPr>
                      </wps:wsp>
                      <wps:wsp>
                        <wps:cNvPr id="1081" name="Graphic 1081"/>
                        <wps:cNvSpPr/>
                        <wps:spPr>
                          <a:xfrm>
                            <a:off x="368686" y="1053840"/>
                            <a:ext cx="2997835" cy="355600"/>
                          </a:xfrm>
                          <a:custGeom>
                            <a:avLst/>
                            <a:gdLst/>
                            <a:ahLst/>
                            <a:cxnLst/>
                            <a:rect l="l" t="t" r="r" b="b"/>
                            <a:pathLst>
                              <a:path w="2997835" h="355600">
                                <a:moveTo>
                                  <a:pt x="0" y="355047"/>
                                </a:moveTo>
                                <a:lnTo>
                                  <a:pt x="68422" y="347674"/>
                                </a:lnTo>
                              </a:path>
                              <a:path w="2997835" h="355600">
                                <a:moveTo>
                                  <a:pt x="109301" y="340196"/>
                                </a:moveTo>
                                <a:lnTo>
                                  <a:pt x="177530" y="332823"/>
                                </a:lnTo>
                              </a:path>
                              <a:path w="2997835" h="355600">
                                <a:moveTo>
                                  <a:pt x="218699" y="325451"/>
                                </a:moveTo>
                                <a:lnTo>
                                  <a:pt x="286831" y="318078"/>
                                </a:lnTo>
                              </a:path>
                              <a:path w="2997835" h="355600">
                                <a:moveTo>
                                  <a:pt x="327807" y="318078"/>
                                </a:moveTo>
                                <a:lnTo>
                                  <a:pt x="355253" y="310705"/>
                                </a:lnTo>
                              </a:path>
                              <a:path w="2997835" h="355600">
                                <a:moveTo>
                                  <a:pt x="355253" y="310705"/>
                                </a:moveTo>
                                <a:lnTo>
                                  <a:pt x="396229" y="310705"/>
                                </a:lnTo>
                              </a:path>
                              <a:path w="2997835" h="355600">
                                <a:moveTo>
                                  <a:pt x="437108" y="303333"/>
                                </a:moveTo>
                                <a:lnTo>
                                  <a:pt x="505530" y="295960"/>
                                </a:lnTo>
                              </a:path>
                              <a:path w="2997835" h="355600">
                                <a:moveTo>
                                  <a:pt x="546409" y="288587"/>
                                </a:moveTo>
                                <a:lnTo>
                                  <a:pt x="614638" y="281109"/>
                                </a:lnTo>
                              </a:path>
                              <a:path w="2997835" h="355600">
                                <a:moveTo>
                                  <a:pt x="655517" y="273737"/>
                                </a:moveTo>
                                <a:lnTo>
                                  <a:pt x="717078" y="273737"/>
                                </a:lnTo>
                              </a:path>
                              <a:path w="2997835" h="355600">
                                <a:moveTo>
                                  <a:pt x="717078" y="273737"/>
                                </a:moveTo>
                                <a:lnTo>
                                  <a:pt x="717078" y="266364"/>
                                </a:lnTo>
                              </a:path>
                              <a:path w="2997835" h="355600">
                                <a:moveTo>
                                  <a:pt x="758054" y="266364"/>
                                </a:moveTo>
                                <a:lnTo>
                                  <a:pt x="826476" y="258991"/>
                                </a:lnTo>
                              </a:path>
                              <a:path w="2997835" h="355600">
                                <a:moveTo>
                                  <a:pt x="867355" y="251619"/>
                                </a:moveTo>
                                <a:lnTo>
                                  <a:pt x="894608" y="251619"/>
                                </a:lnTo>
                              </a:path>
                              <a:path w="2997835" h="355600">
                                <a:moveTo>
                                  <a:pt x="894608" y="251619"/>
                                </a:moveTo>
                                <a:lnTo>
                                  <a:pt x="935584" y="243930"/>
                                </a:lnTo>
                              </a:path>
                              <a:path w="2997835" h="355600">
                                <a:moveTo>
                                  <a:pt x="976463" y="236557"/>
                                </a:moveTo>
                                <a:lnTo>
                                  <a:pt x="1044885" y="229185"/>
                                </a:lnTo>
                              </a:path>
                              <a:path w="2997835" h="355600">
                                <a:moveTo>
                                  <a:pt x="1085764" y="229185"/>
                                </a:moveTo>
                                <a:lnTo>
                                  <a:pt x="1154186" y="214439"/>
                                </a:lnTo>
                              </a:path>
                              <a:path w="2997835" h="355600">
                                <a:moveTo>
                                  <a:pt x="1195162" y="214439"/>
                                </a:moveTo>
                                <a:lnTo>
                                  <a:pt x="1249668" y="207067"/>
                                </a:lnTo>
                              </a:path>
                              <a:path w="2997835" h="355600">
                                <a:moveTo>
                                  <a:pt x="1249668" y="207067"/>
                                </a:moveTo>
                                <a:lnTo>
                                  <a:pt x="1263294" y="207067"/>
                                </a:lnTo>
                              </a:path>
                              <a:path w="2997835" h="355600">
                                <a:moveTo>
                                  <a:pt x="1304464" y="199694"/>
                                </a:moveTo>
                                <a:lnTo>
                                  <a:pt x="1372596" y="192216"/>
                                </a:lnTo>
                              </a:path>
                              <a:path w="2997835" h="355600">
                                <a:moveTo>
                                  <a:pt x="1413572" y="184843"/>
                                </a:moveTo>
                                <a:lnTo>
                                  <a:pt x="1427198" y="184843"/>
                                </a:lnTo>
                              </a:path>
                              <a:path w="2997835" h="355600">
                                <a:moveTo>
                                  <a:pt x="1427198" y="184843"/>
                                </a:moveTo>
                                <a:lnTo>
                                  <a:pt x="1481994" y="177471"/>
                                </a:lnTo>
                              </a:path>
                              <a:path w="2997835" h="355600">
                                <a:moveTo>
                                  <a:pt x="1522873" y="177471"/>
                                </a:moveTo>
                                <a:lnTo>
                                  <a:pt x="1591102" y="162725"/>
                                </a:lnTo>
                              </a:path>
                              <a:path w="2997835" h="355600">
                                <a:moveTo>
                                  <a:pt x="1632174" y="162725"/>
                                </a:moveTo>
                                <a:lnTo>
                                  <a:pt x="1700403" y="155352"/>
                                </a:lnTo>
                              </a:path>
                              <a:path w="2997835" h="355600">
                                <a:moveTo>
                                  <a:pt x="1741282" y="147980"/>
                                </a:moveTo>
                                <a:lnTo>
                                  <a:pt x="1782451" y="140607"/>
                                </a:lnTo>
                              </a:path>
                              <a:path w="2997835" h="355600">
                                <a:moveTo>
                                  <a:pt x="1782451" y="140607"/>
                                </a:moveTo>
                                <a:lnTo>
                                  <a:pt x="1809704" y="140607"/>
                                </a:lnTo>
                              </a:path>
                              <a:path w="2997835" h="355600">
                                <a:moveTo>
                                  <a:pt x="1843819" y="133129"/>
                                </a:moveTo>
                                <a:lnTo>
                                  <a:pt x="1912047" y="125756"/>
                                </a:lnTo>
                              </a:path>
                              <a:path w="2997835" h="355600">
                                <a:moveTo>
                                  <a:pt x="1953120" y="125756"/>
                                </a:moveTo>
                                <a:lnTo>
                                  <a:pt x="1959981" y="118384"/>
                                </a:lnTo>
                              </a:path>
                              <a:path w="2997835" h="355600">
                                <a:moveTo>
                                  <a:pt x="1959981" y="118384"/>
                                </a:moveTo>
                                <a:lnTo>
                                  <a:pt x="2021349" y="111011"/>
                                </a:lnTo>
                              </a:path>
                              <a:path w="2997835" h="355600">
                                <a:moveTo>
                                  <a:pt x="2062228" y="111011"/>
                                </a:moveTo>
                                <a:lnTo>
                                  <a:pt x="2130650" y="103638"/>
                                </a:lnTo>
                              </a:path>
                              <a:path w="2997835" h="355600">
                                <a:moveTo>
                                  <a:pt x="2171626" y="96266"/>
                                </a:moveTo>
                                <a:lnTo>
                                  <a:pt x="2239758" y="88893"/>
                                </a:lnTo>
                              </a:path>
                              <a:path w="2997835" h="355600">
                                <a:moveTo>
                                  <a:pt x="2280927" y="81520"/>
                                </a:moveTo>
                                <a:lnTo>
                                  <a:pt x="2315041" y="81520"/>
                                </a:lnTo>
                              </a:path>
                              <a:path w="2997835" h="355600">
                                <a:moveTo>
                                  <a:pt x="2315041" y="81520"/>
                                </a:moveTo>
                                <a:lnTo>
                                  <a:pt x="2349059" y="74042"/>
                                </a:lnTo>
                              </a:path>
                              <a:path w="2997835" h="355600">
                                <a:moveTo>
                                  <a:pt x="2390035" y="74042"/>
                                </a:moveTo>
                                <a:lnTo>
                                  <a:pt x="2458457" y="59297"/>
                                </a:lnTo>
                              </a:path>
                              <a:path w="2997835" h="355600">
                                <a:moveTo>
                                  <a:pt x="2499336" y="59297"/>
                                </a:moveTo>
                                <a:lnTo>
                                  <a:pt x="2567758" y="51924"/>
                                </a:lnTo>
                              </a:path>
                              <a:path w="2997835" h="355600">
                                <a:moveTo>
                                  <a:pt x="2608638" y="44552"/>
                                </a:moveTo>
                                <a:lnTo>
                                  <a:pt x="2676866" y="36863"/>
                                </a:lnTo>
                              </a:path>
                              <a:path w="2997835" h="355600">
                                <a:moveTo>
                                  <a:pt x="2717746" y="29490"/>
                                </a:moveTo>
                                <a:lnTo>
                                  <a:pt x="2786168" y="22118"/>
                                </a:lnTo>
                              </a:path>
                              <a:path w="2997835" h="355600">
                                <a:moveTo>
                                  <a:pt x="2827144" y="22118"/>
                                </a:moveTo>
                                <a:lnTo>
                                  <a:pt x="2854396" y="14745"/>
                                </a:lnTo>
                              </a:path>
                              <a:path w="2997835" h="355600">
                                <a:moveTo>
                                  <a:pt x="2854396" y="14745"/>
                                </a:moveTo>
                                <a:lnTo>
                                  <a:pt x="2895566" y="7372"/>
                                </a:lnTo>
                              </a:path>
                              <a:path w="2997835" h="355600">
                                <a:moveTo>
                                  <a:pt x="2936445" y="7372"/>
                                </a:moveTo>
                                <a:lnTo>
                                  <a:pt x="2997812" y="0"/>
                                </a:lnTo>
                              </a:path>
                            </a:pathLst>
                          </a:custGeom>
                          <a:ln w="7124">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0.872849pt;margin-top:-4.025345pt;width:301.4pt;height:163.95pt;mso-position-horizontal-relative:page;mso-position-vertical-relative:paragraph;z-index:15775744" id="docshapegroup990" coordorigin="3217,-81" coordsize="6028,3279">
                <v:shape style="position:absolute;left:3217;top:-75;width:6023;height:3273" id="docshape991" coordorigin="3217,-75" coordsize="6023,3273" path="m3411,3093l9240,3093,9240,-75,3411,-75,3411,3093,3411,3093m9143,3093l9143,3198m6325,3093l6325,3198m3508,3093l3508,3198m3411,-17l3217,-17m3411,589l3217,589m3411,1206l3217,1206m3411,1812l3217,1812m3411,2429l3217,2429m3411,3035l3217,3035m3411,3035l3411,-17m3508,3093l9143,3093e" filled="false" stroked="true" strokeweight=".56101pt" strokecolor="#000000">
                  <v:path arrowok="t"/>
                  <v:stroke dashstyle="solid"/>
                </v:shape>
                <v:shape style="position:absolute;left:8545;top:2703;width:44;height:47" id="docshape992" coordorigin="8546,2703" coordsize="44,47" path="m8578,2703l8557,2703,8546,2715,8546,2726,8546,2738,8557,2750,8578,2750,8589,2738,8589,2715,8578,2703xe" filled="true" fillcolor="#000000" stroked="false">
                  <v:path arrowok="t"/>
                  <v:fill type="solid"/>
                </v:shape>
                <v:shape style="position:absolute;left:8545;top:2703;width:44;height:47" id="docshape993" coordorigin="8546,2703" coordsize="44,47" path="m8546,2726l8546,2738,8557,2750,8567,2750,8578,2750,8589,2738,8589,2726,8589,2715,8578,2703,8567,2703,8557,2703,8546,2715,8546,2726xe" filled="false" stroked="true" strokeweight=".559322pt" strokecolor="#000000">
                  <v:path arrowok="t"/>
                  <v:stroke dashstyle="solid"/>
                </v:shape>
                <v:shape style="position:absolute;left:8266;top:979;width:44;height:47" id="docshape994" coordorigin="8266,979" coordsize="44,47" path="m8299,979l8277,979,8266,991,8266,1003,8266,1014,8277,1026,8299,1026,8309,1014,8309,991,8299,979xe" filled="true" fillcolor="#000000" stroked="false">
                  <v:path arrowok="t"/>
                  <v:fill type="solid"/>
                </v:shape>
                <v:shape style="position:absolute;left:8266;top:979;width:44;height:47" id="docshape995" coordorigin="8266,979" coordsize="44,47" path="m8266,1003l8266,1014,8277,1026,8288,1026,8299,1026,8309,1014,8309,1003,8309,991,8299,979,8288,979,8277,979,8266,991,8266,1003xe" filled="false" stroked="true" strokeweight=".55894pt" strokecolor="#000000">
                  <v:path arrowok="t"/>
                  <v:stroke dashstyle="solid"/>
                </v:shape>
                <v:shape style="position:absolute;left:7986;top:1212;width:43;height:47" id="docshape996" coordorigin="7987,1212" coordsize="43,47" path="m8019,1212l7997,1212,7987,1224,7987,1236,7987,1247,7997,1259,8019,1259,8030,1247,8030,1224,8019,1212xe" filled="true" fillcolor="#000000" stroked="false">
                  <v:path arrowok="t"/>
                  <v:fill type="solid"/>
                </v:shape>
                <v:shape style="position:absolute;left:7986;top:1212;width:43;height:47" id="docshape997" coordorigin="7987,1212" coordsize="43,47" path="m7987,1236l7987,1247,7997,1259,8008,1259,8019,1259,8030,1247,8030,1236,8030,1224,8019,1212,8008,1212,7997,1212,7987,1224,7987,1236xe" filled="false" stroked="true" strokeweight=".559025pt" strokecolor="#000000">
                  <v:path arrowok="t"/>
                  <v:stroke dashstyle="solid"/>
                </v:shape>
                <v:shape style="position:absolute;left:7696;top:2144;width:43;height:47" id="docshape998" coordorigin="7696,2144" coordsize="43,47" path="m7729,2144l7707,2144,7696,2156,7696,2167,7696,2179,7707,2190,7729,2190,7739,2179,7739,2156,7729,2144xe" filled="true" fillcolor="#000000" stroked="false">
                  <v:path arrowok="t"/>
                  <v:fill type="solid"/>
                </v:shape>
                <v:shape style="position:absolute;left:7696;top:2144;width:43;height:47" id="docshape999" coordorigin="7696,2144" coordsize="43,47" path="m7696,2167l7696,2179,7707,2190,7718,2190,7729,2190,7739,2179,7739,2167,7739,2156,7729,2144,7718,2144,7707,2144,7696,2156,7696,2167xe" filled="false" stroked="true" strokeweight=".559111pt" strokecolor="#000000">
                  <v:path arrowok="t"/>
                  <v:stroke dashstyle="solid"/>
                </v:shape>
                <v:shape style="position:absolute;left:7416;top:1899;width:43;height:47" id="docshape1000" coordorigin="7417,1899" coordsize="43,47" path="m7449,1899l7428,1899,7417,1911,7417,1923,7417,1934,7428,1946,7449,1946,7460,1934,7460,1911,7449,1899xe" filled="true" fillcolor="#000000" stroked="false">
                  <v:path arrowok="t"/>
                  <v:fill type="solid"/>
                </v:shape>
                <v:shape style="position:absolute;left:7416;top:1899;width:43;height:47" id="docshape1001" coordorigin="7417,1899" coordsize="43,47" path="m7417,1923l7417,1934,7428,1946,7438,1946,7449,1946,7460,1934,7460,1923,7460,1911,7449,1899,7438,1899,7428,1899,7417,1911,7417,1923xe" filled="false" stroked="true" strokeweight=".559111pt" strokecolor="#000000">
                  <v:path arrowok="t"/>
                  <v:stroke dashstyle="solid"/>
                </v:shape>
                <v:shape style="position:absolute;left:7137;top:1515;width:44;height:47" id="docshape1002" coordorigin="7137,1515" coordsize="44,47" path="m7170,1515l7148,1515,7137,1527,7137,1538,7137,1550,7148,1562,7170,1562,7180,1550,7180,1527,7170,1515xe" filled="true" fillcolor="#000000" stroked="false">
                  <v:path arrowok="t"/>
                  <v:fill type="solid"/>
                </v:shape>
                <v:shape style="position:absolute;left:7137;top:1515;width:44;height:47" id="docshape1003" coordorigin="7137,1515" coordsize="44,47" path="m7137,1538l7137,1550,7148,1562,7159,1562,7170,1562,7180,1550,7180,1538,7180,1527,7170,1515,7159,1515,7148,1515,7137,1527,7137,1538xe" filled="false" stroked="true" strokeweight=".55911pt" strokecolor="#000000">
                  <v:path arrowok="t"/>
                  <v:stroke dashstyle="solid"/>
                </v:shape>
                <v:shape style="position:absolute;left:6857;top:1526;width:43;height:47" id="docshape1004" coordorigin="6858,1527" coordsize="43,47" path="m6890,1527l6869,1527,6858,1538,6858,1550,6858,1562,6869,1573,6890,1573,6901,1562,6901,1538,6890,1527xe" filled="true" fillcolor="#000000" stroked="false">
                  <v:path arrowok="t"/>
                  <v:fill type="solid"/>
                </v:shape>
                <v:shape style="position:absolute;left:6857;top:1526;width:43;height:47" id="docshape1005" coordorigin="6858,1527" coordsize="43,47" path="m6858,1550l6858,1562,6869,1573,6879,1573,6890,1573,6901,1562,6901,1550,6901,1538,6890,1527,6879,1527,6869,1527,6858,1538,6858,1550xe" filled="false" stroked="true" strokeweight=".559025pt" strokecolor="#000000">
                  <v:path arrowok="t"/>
                  <v:stroke dashstyle="solid"/>
                </v:shape>
                <v:shape style="position:absolute;left:6577;top:1177;width:44;height:47" id="docshape1006" coordorigin="6578,1177" coordsize="44,47" path="m6610,1177l6589,1177,6578,1189,6578,1201,6578,1212,6589,1224,6610,1224,6621,1212,6621,1189,6610,1177xe" filled="true" fillcolor="#000000" stroked="false">
                  <v:path arrowok="t"/>
                  <v:fill type="solid"/>
                </v:shape>
                <v:shape style="position:absolute;left:6577;top:1177;width:44;height:47" id="docshape1007" coordorigin="6578,1177" coordsize="44,47" path="m6578,1201l6578,1212,6589,1224,6600,1224,6610,1224,6621,1212,6621,1201,6621,1189,6610,1177,6600,1177,6589,1177,6578,1189,6578,1201xe" filled="false" stroked="true" strokeweight=".559365pt" strokecolor="#000000">
                  <v:path arrowok="t"/>
                  <v:stroke dashstyle="solid"/>
                </v:shape>
                <v:shape style="position:absolute;left:6298;top:723;width:44;height:47" id="docshape1008" coordorigin="6298,723" coordsize="44,47" path="m6331,723l6309,723,6298,735,6298,747,6298,758,6309,770,6331,770,6342,758,6342,735,6331,723xe" filled="true" fillcolor="#000000" stroked="false">
                  <v:path arrowok="t"/>
                  <v:fill type="solid"/>
                </v:shape>
                <v:shape style="position:absolute;left:6298;top:723;width:44;height:47" id="docshape1009" coordorigin="6298,723" coordsize="44,47" path="m6298,747l6298,758,6309,770,6320,770,6331,770,6342,758,6342,747,6342,735,6331,723,6320,723,6309,723,6298,735,6298,747xe" filled="false" stroked="true" strokeweight=".559279pt" strokecolor="#000000">
                  <v:path arrowok="t"/>
                  <v:stroke dashstyle="solid"/>
                </v:shape>
                <v:shape style="position:absolute;left:6018;top:2062;width:43;height:47" id="docshape1010" coordorigin="6019,2063" coordsize="43,47" path="m6051,2063l6029,2063,6019,2074,6019,2086,6019,2097,6029,2109,6051,2109,6062,2097,6062,2074,6051,2063xe" filled="true" fillcolor="#000000" stroked="false">
                  <v:path arrowok="t"/>
                  <v:fill type="solid"/>
                </v:shape>
                <v:shape style="position:absolute;left:6018;top:2062;width:43;height:47" id="docshape1011" coordorigin="6019,2063" coordsize="43,47" path="m6019,2086l6019,2097,6029,2109,6040,2109,6051,2109,6062,2097,6062,2086,6062,2074,6051,2063,6040,2063,6029,2063,6019,2074,6019,2086xe" filled="false" stroked="true" strokeweight=".559111pt" strokecolor="#000000">
                  <v:path arrowok="t"/>
                  <v:stroke dashstyle="solid"/>
                </v:shape>
                <v:shape style="position:absolute;left:5739;top:2365;width:43;height:47" id="docshape1012" coordorigin="5739,2365" coordsize="43,47" path="m5771,2365l5750,2365,5739,2377,5739,2389,5739,2400,5750,2412,5771,2412,5782,2400,5782,2377,5771,2365xe" filled="true" fillcolor="#000000" stroked="false">
                  <v:path arrowok="t"/>
                  <v:fill type="solid"/>
                </v:shape>
                <v:shape style="position:absolute;left:5739;top:2365;width:43;height:47" id="docshape1013" coordorigin="5739,2365" coordsize="43,47" path="m5739,2389l5739,2400,5750,2412,5761,2412,5771,2412,5782,2400,5782,2389,5782,2377,5771,2365,5761,2365,5750,2365,5739,2377,5739,2389xe" filled="false" stroked="true" strokeweight=".559068pt" strokecolor="#000000">
                  <v:path arrowok="t"/>
                  <v:stroke dashstyle="solid"/>
                </v:shape>
                <v:shape style="position:absolute;left:5459;top:2062;width:43;height:47" id="docshape1014" coordorigin="5460,2063" coordsize="43,47" path="m5492,2063l5470,2063,5460,2074,5460,2086,5460,2097,5470,2109,5492,2109,5503,2097,5503,2074,5492,2063xe" filled="true" fillcolor="#000000" stroked="false">
                  <v:path arrowok="t"/>
                  <v:fill type="solid"/>
                </v:shape>
                <v:shape style="position:absolute;left:5459;top:2062;width:43;height:47" id="docshape1015" coordorigin="5460,2063" coordsize="43,47" path="m5460,2086l5460,2097,5470,2109,5481,2109,5492,2109,5503,2097,5503,2086,5503,2074,5492,2063,5481,2063,5470,2063,5460,2074,5460,2086xe" filled="false" stroked="true" strokeweight=".559111pt" strokecolor="#000000">
                  <v:path arrowok="t"/>
                  <v:stroke dashstyle="solid"/>
                </v:shape>
                <v:shape style="position:absolute;left:5180;top:2470;width:43;height:47" id="docshape1016" coordorigin="5180,2470" coordsize="43,47" path="m5212,2470l5191,2470,5180,2482,5180,2493,5180,2505,5191,2517,5212,2517,5223,2505,5223,2482,5212,2470xe" filled="true" fillcolor="#000000" stroked="false">
                  <v:path arrowok="t"/>
                  <v:fill type="solid"/>
                </v:shape>
                <v:shape style="position:absolute;left:5180;top:2470;width:43;height:47" id="docshape1017" coordorigin="5180,2470" coordsize="43,47" path="m5180,2493l5180,2505,5191,2517,5202,2517,5212,2517,5223,2505,5223,2493,5223,2482,5212,2470,5202,2470,5191,2470,5180,2482,5180,2493xe" filled="false" stroked="true" strokeweight=".55906pt" strokecolor="#000000">
                  <v:path arrowok="t"/>
                  <v:stroke dashstyle="solid"/>
                </v:shape>
                <v:shape style="position:absolute;left:4900;top:1759;width:43;height:47" id="docshape1018" coordorigin="4901,1760" coordsize="43,47" path="m4933,1760l4911,1760,4901,1771,4901,1783,4901,1795,4911,1806,4933,1806,4943,1795,4943,1771,4933,1760xe" filled="true" fillcolor="#000000" stroked="false">
                  <v:path arrowok="t"/>
                  <v:fill type="solid"/>
                </v:shape>
                <v:shape style="position:absolute;left:4900;top:1759;width:43;height:47" id="docshape1019" coordorigin="4901,1760" coordsize="43,47" path="m4901,1783l4901,1795,4911,1806,4922,1806,4933,1806,4943,1795,4943,1783,4943,1771,4933,1760,4922,1760,4911,1760,4901,1771,4901,1783xe" filled="false" stroked="true" strokeweight=".559025pt" strokecolor="#000000">
                  <v:path arrowok="t"/>
                  <v:stroke dashstyle="solid"/>
                </v:shape>
                <v:shape style="position:absolute;left:4610;top:2528;width:43;height:47" id="docshape1020" coordorigin="4610,2528" coordsize="43,47" path="m4642,2528l4621,2528,4610,2540,4610,2551,4610,2563,4621,2575,4642,2575,4653,2563,4653,2540,4642,2528xe" filled="true" fillcolor="#000000" stroked="false">
                  <v:path arrowok="t"/>
                  <v:fill type="solid"/>
                </v:shape>
                <v:shape style="position:absolute;left:4610;top:2528;width:43;height:47" id="docshape1021" coordorigin="4610,2528" coordsize="43,47" path="m4610,2551l4610,2563,4621,2575,4632,2575,4642,2575,4653,2563,4653,2551,4653,2540,4642,2528,4632,2528,4621,2528,4610,2540,4610,2551xe" filled="false" stroked="true" strokeweight=".559068pt" strokecolor="#000000">
                  <v:path arrowok="t"/>
                  <v:stroke dashstyle="solid"/>
                </v:shape>
                <v:shape style="position:absolute;left:4330;top:268;width:44;height:47" id="docshape1022" coordorigin="4330,269" coordsize="44,47" path="m4363,269l4341,269,4330,281,4330,292,4330,304,4341,315,4363,315,4374,304,4374,281,4363,269xe" filled="true" fillcolor="#000000" stroked="false">
                  <v:path arrowok="t"/>
                  <v:fill type="solid"/>
                </v:shape>
                <v:shape style="position:absolute;left:4330;top:268;width:44;height:47" id="docshape1023" coordorigin="4330,269" coordsize="44,47" path="m4330,292l4330,304,4341,315,4352,315,4363,315,4374,304,4374,292,4374,281,4363,269,4352,269,4341,269,4330,281,4330,292xe" filled="false" stroked="true" strokeweight=".559365pt" strokecolor="#000000">
                  <v:path arrowok="t"/>
                  <v:stroke dashstyle="solid"/>
                </v:shape>
                <v:shape style="position:absolute;left:4050;top:2551;width:44;height:47" id="docshape1024" coordorigin="4051,2551" coordsize="44,47" path="m4083,2551l4062,2551,4051,2563,4051,2575,4051,2586,4062,2598,4083,2598,4094,2586,4094,2563,4083,2551xe" filled="true" fillcolor="#000000" stroked="false">
                  <v:path arrowok="t"/>
                  <v:fill type="solid"/>
                </v:shape>
                <v:shape style="position:absolute;left:4050;top:2551;width:44;height:47" id="docshape1025" coordorigin="4051,2551" coordsize="44,47" path="m4051,2575l4051,2586,4062,2598,4072,2598,4083,2598,4094,2586,4094,2575,4094,2563,4083,2551,4072,2551,4062,2551,4051,2563,4051,2575xe" filled="false" stroked="true" strokeweight=".559229pt" strokecolor="#000000">
                  <v:path arrowok="t"/>
                  <v:stroke dashstyle="solid"/>
                </v:shape>
                <v:shape style="position:absolute;left:3771;top:2912;width:43;height:47" id="docshape1026" coordorigin="3771,2912" coordsize="43,47" path="m3803,2912l3782,2912,3771,2924,3771,2936,3771,2948,3782,2959,3803,2959,3814,2948,3814,2924,3803,2912xe" filled="true" fillcolor="#000000" stroked="false">
                  <v:path arrowok="t"/>
                  <v:fill type="solid"/>
                </v:shape>
                <v:shape style="position:absolute;left:3771;top:2912;width:43;height:47" id="docshape1027" coordorigin="3771,2912" coordsize="43,47" path="m3771,2936l3771,2948,3782,2959,3793,2959,3803,2959,3814,2948,3814,2936,3814,2924,3803,2912,3793,2912,3782,2912,3771,2924,3771,2936xe" filled="false" stroked="true" strokeweight=".558856pt" strokecolor="#000000">
                  <v:path arrowok="t"/>
                  <v:stroke dashstyle="solid"/>
                </v:shape>
                <v:shape style="position:absolute;left:3776;top:1544;width:4818;height:606" id="docshape1028" coordorigin="3777,1544" coordsize="4818,606" path="m8573,1544l8551,1579,8595,1579,8573,1544m8293,1579l8272,1614,8315,1614,8293,1579m8014,1614l7992,1649,8035,1649,8014,1614m7723,1649l7702,1684,7745,1684,7723,1649m7444,1684l7422,1719,7465,1719,7444,1684m7164,1719l7143,1754,7186,1754,7164,1719m6885,1742l6863,1777,6906,1777,6885,1742m6605,1777l6583,1812,6627,1812,6605,1777m6325,1812l6304,1847,6347,1847,6325,1812m6046,1847l6024,1882,6067,1882,6046,1847m5766,1882l5745,1917,5788,1917,5766,1882m5486,1917l5465,1952,5508,1952,5486,1917m5207,1952l5185,1987,5228,1987,5207,1952m4927,1987l4906,2022,4949,2022,4927,1987m4637,2010l4616,2045,4659,2045,4637,2010m4358,2045l4336,2080,4379,2080,4358,2045m4078,2080l4056,2115,4099,2115,4078,2080m3798,2115l3777,2150,3820,2150,3798,2115e" filled="false" stroked="true" strokeweight=".56101pt" strokecolor="#0000ff">
                  <v:path arrowok="t"/>
                  <v:stroke dashstyle="solid"/>
                </v:shape>
                <v:shape style="position:absolute;left:3798;top:297;width:4775;height:2644" id="docshape1029" coordorigin="3798,298" coordsize="4775,2644" path="m3798,2942l4078,2581,4358,298,4637,2557,4927,1789,5207,2499,5486,2092,5766,2394,6046,2092,6325,752,6605,1206,6885,1556,7164,1544,7444,1928,7723,2173,8014,1241,8293,1009,8573,2732e" filled="false" stroked="true" strokeweight=".573811pt" strokecolor="#000000">
                  <v:path arrowok="t"/>
                  <v:stroke dashstyle="solid"/>
                </v:shape>
                <v:shape style="position:absolute;left:3798;top:1579;width:4721;height:560" id="docshape1030" coordorigin="3798,1579" coordsize="4721,560" path="m3798,2138l3906,2127m3970,2115l4078,2103m4142,2092l4250,2080m4314,2080l4358,2068m4358,2068l4422,2068m4486,2057l4594,2045m4659,2034l4766,2022m4830,2010l4927,2010m4927,2010l4927,1999m4992,1999l5100,1987m5164,1975l5207,1975m5207,1975l5271,1963m5336,1952l5444,1940m5508,1940l5616,1917m5680,1917l5766,1905m5766,1905l5788,1905m5852,1894l5960,1882m6024,1870l6046,1870m6046,1870l6132,1859m6196,1859l6304,1835m6368,1835l6476,1824m6540,1812l6605,1801m6605,1801l6648,1801m6702,1789l6809,1777m6874,1777l6885,1766m6885,1766l6981,1754m7046,1754l7153,1742m7218,1731l7325,1719m7390,1707l7444,1707m7444,1707l7497,1696m7562,1696l7670,1672m7734,1672l7842,1661m7906,1649l8014,1637m8078,1626l8186,1614m8250,1614l8293,1602m8293,1602l8358,1591m8422,1591l8519,1579e" filled="false" stroked="true" strokeweight=".56101pt" strokecolor="#0000ff">
                  <v:path arrowok="t"/>
                  <v:stroke dashstyle="solid"/>
                </v:shape>
                <w10:wrap type="none"/>
              </v:group>
            </w:pict>
          </mc:Fallback>
        </mc:AlternateContent>
      </w:r>
      <w:r>
        <w:rPr/>
        <mc:AlternateContent>
          <mc:Choice Requires="wps">
            <w:drawing>
              <wp:anchor distT="0" distB="0" distL="0" distR="0" allowOverlap="1" layoutInCell="1" locked="0" behindDoc="0" simplePos="0" relativeHeight="15776256">
                <wp:simplePos x="0" y="0"/>
                <wp:positionH relativeFrom="page">
                  <wp:posOffset>6119716</wp:posOffset>
                </wp:positionH>
                <wp:positionV relativeFrom="paragraph">
                  <wp:posOffset>12058</wp:posOffset>
                </wp:positionV>
                <wp:extent cx="34925" cy="36830"/>
                <wp:effectExtent l="0" t="0" r="0" b="0"/>
                <wp:wrapNone/>
                <wp:docPr id="1082" name="Group 1082"/>
                <wp:cNvGraphicFramePr>
                  <a:graphicFrameLocks/>
                </wp:cNvGraphicFramePr>
                <a:graphic>
                  <a:graphicData uri="http://schemas.microsoft.com/office/word/2010/wordprocessingGroup">
                    <wpg:wgp>
                      <wpg:cNvPr id="1082" name="Group 1082"/>
                      <wpg:cNvGrpSpPr/>
                      <wpg:grpSpPr>
                        <a:xfrm>
                          <a:off x="0" y="0"/>
                          <a:ext cx="34925" cy="36830"/>
                          <a:chExt cx="34925" cy="36830"/>
                        </a:xfrm>
                      </wpg:grpSpPr>
                      <wps:wsp>
                        <wps:cNvPr id="1083" name="Graphic 1083"/>
                        <wps:cNvSpPr/>
                        <wps:spPr>
                          <a:xfrm>
                            <a:off x="3563" y="3563"/>
                            <a:ext cx="27305" cy="29845"/>
                          </a:xfrm>
                          <a:custGeom>
                            <a:avLst/>
                            <a:gdLst/>
                            <a:ahLst/>
                            <a:cxnLst/>
                            <a:rect l="l" t="t" r="r" b="b"/>
                            <a:pathLst>
                              <a:path w="27305" h="29845">
                                <a:moveTo>
                                  <a:pt x="20487" y="0"/>
                                </a:moveTo>
                                <a:lnTo>
                                  <a:pt x="6861" y="0"/>
                                </a:lnTo>
                                <a:lnTo>
                                  <a:pt x="0" y="7372"/>
                                </a:lnTo>
                                <a:lnTo>
                                  <a:pt x="0" y="14745"/>
                                </a:lnTo>
                                <a:lnTo>
                                  <a:pt x="0" y="22118"/>
                                </a:lnTo>
                                <a:lnTo>
                                  <a:pt x="6861" y="29490"/>
                                </a:lnTo>
                                <a:lnTo>
                                  <a:pt x="20487" y="29490"/>
                                </a:lnTo>
                                <a:lnTo>
                                  <a:pt x="27252" y="22118"/>
                                </a:lnTo>
                                <a:lnTo>
                                  <a:pt x="27252" y="7372"/>
                                </a:lnTo>
                                <a:lnTo>
                                  <a:pt x="20487" y="0"/>
                                </a:lnTo>
                                <a:close/>
                              </a:path>
                            </a:pathLst>
                          </a:custGeom>
                          <a:solidFill>
                            <a:srgbClr val="000000"/>
                          </a:solidFill>
                        </wps:spPr>
                        <wps:bodyPr wrap="square" lIns="0" tIns="0" rIns="0" bIns="0" rtlCol="0">
                          <a:prstTxWarp prst="textNoShape">
                            <a:avLst/>
                          </a:prstTxWarp>
                          <a:noAutofit/>
                        </wps:bodyPr>
                      </wps:wsp>
                      <wps:wsp>
                        <wps:cNvPr id="1084" name="Graphic 1084"/>
                        <wps:cNvSpPr/>
                        <wps:spPr>
                          <a:xfrm>
                            <a:off x="3563" y="3563"/>
                            <a:ext cx="27305" cy="29845"/>
                          </a:xfrm>
                          <a:custGeom>
                            <a:avLst/>
                            <a:gdLst/>
                            <a:ahLst/>
                            <a:cxnLst/>
                            <a:rect l="l" t="t" r="r" b="b"/>
                            <a:pathLst>
                              <a:path w="27305" h="29845">
                                <a:moveTo>
                                  <a:pt x="0" y="14745"/>
                                </a:moveTo>
                                <a:lnTo>
                                  <a:pt x="0" y="22118"/>
                                </a:lnTo>
                                <a:lnTo>
                                  <a:pt x="6861" y="29490"/>
                                </a:lnTo>
                                <a:lnTo>
                                  <a:pt x="13626" y="29490"/>
                                </a:lnTo>
                                <a:lnTo>
                                  <a:pt x="20487" y="29490"/>
                                </a:lnTo>
                                <a:lnTo>
                                  <a:pt x="27252" y="22118"/>
                                </a:lnTo>
                                <a:lnTo>
                                  <a:pt x="27252" y="14745"/>
                                </a:lnTo>
                                <a:lnTo>
                                  <a:pt x="27252" y="7372"/>
                                </a:lnTo>
                                <a:lnTo>
                                  <a:pt x="20487" y="0"/>
                                </a:lnTo>
                                <a:lnTo>
                                  <a:pt x="13626" y="0"/>
                                </a:lnTo>
                                <a:lnTo>
                                  <a:pt x="6861" y="0"/>
                                </a:lnTo>
                                <a:lnTo>
                                  <a:pt x="0" y="7372"/>
                                </a:lnTo>
                                <a:lnTo>
                                  <a:pt x="0" y="14745"/>
                                </a:lnTo>
                                <a:close/>
                              </a:path>
                            </a:pathLst>
                          </a:custGeom>
                          <a:ln w="7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1.867462pt;margin-top:.94947pt;width:2.75pt;height:2.9pt;mso-position-horizontal-relative:page;mso-position-vertical-relative:paragraph;z-index:15776256" id="docshapegroup1031" coordorigin="9637,19" coordsize="55,58">
                <v:shape style="position:absolute;left:9642;top:24;width:43;height:47" id="docshape1032" coordorigin="9643,25" coordsize="43,47" path="m9675,25l9654,25,9643,36,9643,48,9643,59,9654,71,9675,71,9686,59,9686,36,9675,25xe" filled="true" fillcolor="#000000" stroked="false">
                  <v:path arrowok="t"/>
                  <v:fill type="solid"/>
                </v:shape>
                <v:shape style="position:absolute;left:9642;top:24;width:43;height:47" id="docshape1033" coordorigin="9643,25" coordsize="43,47" path="m9643,48l9643,59,9654,71,9664,71,9675,71,9686,59,9686,48,9686,36,9675,25,9664,25,9654,25,9643,36,9643,48xe" filled="false" stroked="true" strokeweight=".559111pt" strokecolor="#000000">
                  <v:path arrowok="t"/>
                  <v:stroke dashstyle="solid"/>
                </v:shape>
                <w10:wrap type="none"/>
              </v:group>
            </w:pict>
          </mc:Fallback>
        </mc:AlternateContent>
      </w:r>
      <w:r>
        <w:rPr>
          <w:rFonts w:ascii="Arial MT"/>
          <w:spacing w:val="-2"/>
          <w:sz w:val="10"/>
        </w:rPr>
        <w:t>Actual</w:t>
      </w:r>
    </w:p>
    <w:p>
      <w:pPr>
        <w:spacing w:line="376" w:lineRule="auto" w:before="106"/>
        <w:ind w:left="1291" w:right="1357" w:firstLine="0"/>
        <w:jc w:val="left"/>
        <w:rPr>
          <w:rFonts w:ascii="Arial MT"/>
          <w:sz w:val="10"/>
        </w:rPr>
      </w:pPr>
      <w:r>
        <w:rPr/>
        <mc:AlternateContent>
          <mc:Choice Requires="wps">
            <w:drawing>
              <wp:anchor distT="0" distB="0" distL="0" distR="0" allowOverlap="1" layoutInCell="1" locked="0" behindDoc="0" simplePos="0" relativeHeight="15776768">
                <wp:simplePos x="0" y="0"/>
                <wp:positionH relativeFrom="page">
                  <wp:posOffset>6126662</wp:posOffset>
                </wp:positionH>
                <wp:positionV relativeFrom="paragraph">
                  <wp:posOffset>79208</wp:posOffset>
                </wp:positionV>
                <wp:extent cx="27305" cy="22225"/>
                <wp:effectExtent l="0" t="0" r="0" b="0"/>
                <wp:wrapNone/>
                <wp:docPr id="1085" name="Graphic 1085"/>
                <wp:cNvGraphicFramePr>
                  <a:graphicFrameLocks/>
                </wp:cNvGraphicFramePr>
                <a:graphic>
                  <a:graphicData uri="http://schemas.microsoft.com/office/word/2010/wordprocessingShape">
                    <wps:wsp>
                      <wps:cNvPr id="1085" name="Graphic 1085"/>
                      <wps:cNvSpPr/>
                      <wps:spPr>
                        <a:xfrm>
                          <a:off x="0" y="0"/>
                          <a:ext cx="27305" cy="22225"/>
                        </a:xfrm>
                        <a:custGeom>
                          <a:avLst/>
                          <a:gdLst/>
                          <a:ahLst/>
                          <a:cxnLst/>
                          <a:rect l="l" t="t" r="r" b="b"/>
                          <a:pathLst>
                            <a:path w="27305" h="22225">
                              <a:moveTo>
                                <a:pt x="13626" y="0"/>
                              </a:moveTo>
                              <a:lnTo>
                                <a:pt x="0" y="22223"/>
                              </a:lnTo>
                              <a:lnTo>
                                <a:pt x="27252" y="22223"/>
                              </a:lnTo>
                              <a:lnTo>
                                <a:pt x="13626" y="0"/>
                              </a:lnTo>
                            </a:path>
                          </a:pathLst>
                        </a:custGeom>
                        <a:ln w="7186">
                          <a:solidFill>
                            <a:srgbClr val="0000FF"/>
                          </a:solidFill>
                          <a:prstDash val="solid"/>
                        </a:ln>
                      </wps:spPr>
                      <wps:bodyPr wrap="square" lIns="0" tIns="0" rIns="0" bIns="0" rtlCol="0">
                        <a:prstTxWarp prst="textNoShape">
                          <a:avLst/>
                        </a:prstTxWarp>
                        <a:noAutofit/>
                      </wps:bodyPr>
                    </wps:wsp>
                  </a:graphicData>
                </a:graphic>
              </wp:anchor>
            </w:drawing>
          </mc:Choice>
          <mc:Fallback>
            <w:pict>
              <v:shape style="position:absolute;margin-left:482.414368pt;margin-top:6.236871pt;width:2.15pt;height:1.75pt;mso-position-horizontal-relative:page;mso-position-vertical-relative:paragraph;z-index:15776768" id="docshape1034" coordorigin="9648,125" coordsize="43,35" path="m9670,125l9648,160,9691,160,9670,125e" filled="false" stroked="true" strokeweight=".565864pt" strokecolor="#0000ff">
                <v:path arrowok="t"/>
                <v:stroke dashstyle="solid"/>
                <w10:wrap type="none"/>
              </v:shape>
            </w:pict>
          </mc:Fallback>
        </mc:AlternateContent>
      </w:r>
      <w:r>
        <w:rPr/>
        <mc:AlternateContent>
          <mc:Choice Requires="wps">
            <w:drawing>
              <wp:anchor distT="0" distB="0" distL="0" distR="0" allowOverlap="1" layoutInCell="1" locked="0" behindDoc="0" simplePos="0" relativeHeight="15777280">
                <wp:simplePos x="0" y="0"/>
                <wp:positionH relativeFrom="page">
                  <wp:posOffset>6017361</wp:posOffset>
                </wp:positionH>
                <wp:positionV relativeFrom="paragraph">
                  <wp:posOffset>219815</wp:posOffset>
                </wp:positionV>
                <wp:extent cx="246379" cy="1270"/>
                <wp:effectExtent l="0" t="0" r="0" b="0"/>
                <wp:wrapNone/>
                <wp:docPr id="1086" name="Graphic 1086"/>
                <wp:cNvGraphicFramePr>
                  <a:graphicFrameLocks/>
                </wp:cNvGraphicFramePr>
                <a:graphic>
                  <a:graphicData uri="http://schemas.microsoft.com/office/word/2010/wordprocessingShape">
                    <wps:wsp>
                      <wps:cNvPr id="1086" name="Graphic 1086"/>
                      <wps:cNvSpPr/>
                      <wps:spPr>
                        <a:xfrm>
                          <a:off x="0" y="0"/>
                          <a:ext cx="246379" cy="1270"/>
                        </a:xfrm>
                        <a:custGeom>
                          <a:avLst/>
                          <a:gdLst/>
                          <a:ahLst/>
                          <a:cxnLst/>
                          <a:rect l="l" t="t" r="r" b="b"/>
                          <a:pathLst>
                            <a:path w="246379" h="0">
                              <a:moveTo>
                                <a:pt x="0" y="0"/>
                              </a:moveTo>
                              <a:lnTo>
                                <a:pt x="245952" y="0"/>
                              </a:lnTo>
                            </a:path>
                          </a:pathLst>
                        </a:custGeom>
                        <a:ln w="743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7280" from="473.807983pt,17.308334pt" to="493.174288pt,17.308334pt" stroked="true" strokeweight=".585129pt" strokecolor="#000000">
                <v:stroke dashstyle="solid"/>
                <w10:wrap type="none"/>
              </v:line>
            </w:pict>
          </mc:Fallback>
        </mc:AlternateContent>
      </w:r>
      <w:r>
        <w:rPr/>
        <mc:AlternateContent>
          <mc:Choice Requires="wps">
            <w:drawing>
              <wp:anchor distT="0" distB="0" distL="0" distR="0" allowOverlap="1" layoutInCell="1" locked="0" behindDoc="0" simplePos="0" relativeHeight="15777792">
                <wp:simplePos x="0" y="0"/>
                <wp:positionH relativeFrom="page">
                  <wp:posOffset>6017361</wp:posOffset>
                </wp:positionH>
                <wp:positionV relativeFrom="paragraph">
                  <wp:posOffset>330616</wp:posOffset>
                </wp:positionV>
                <wp:extent cx="246379" cy="1270"/>
                <wp:effectExtent l="0" t="0" r="0" b="0"/>
                <wp:wrapNone/>
                <wp:docPr id="1087" name="Graphic 1087"/>
                <wp:cNvGraphicFramePr>
                  <a:graphicFrameLocks/>
                </wp:cNvGraphicFramePr>
                <a:graphic>
                  <a:graphicData uri="http://schemas.microsoft.com/office/word/2010/wordprocessingShape">
                    <wps:wsp>
                      <wps:cNvPr id="1087" name="Graphic 1087"/>
                      <wps:cNvSpPr/>
                      <wps:spPr>
                        <a:xfrm>
                          <a:off x="0" y="0"/>
                          <a:ext cx="246379" cy="1270"/>
                        </a:xfrm>
                        <a:custGeom>
                          <a:avLst/>
                          <a:gdLst/>
                          <a:ahLst/>
                          <a:cxnLst/>
                          <a:rect l="l" t="t" r="r" b="b"/>
                          <a:pathLst>
                            <a:path w="246379" h="0">
                              <a:moveTo>
                                <a:pt x="0" y="0"/>
                              </a:moveTo>
                              <a:lnTo>
                                <a:pt x="68422" y="0"/>
                              </a:lnTo>
                            </a:path>
                            <a:path w="246379" h="0">
                              <a:moveTo>
                                <a:pt x="109301" y="0"/>
                              </a:moveTo>
                              <a:lnTo>
                                <a:pt x="177530" y="0"/>
                              </a:lnTo>
                            </a:path>
                            <a:path w="246379" h="0">
                              <a:moveTo>
                                <a:pt x="218409" y="0"/>
                              </a:moveTo>
                              <a:lnTo>
                                <a:pt x="245952" y="0"/>
                              </a:lnTo>
                            </a:path>
                          </a:pathLst>
                        </a:custGeom>
                        <a:ln w="7124">
                          <a:solidFill>
                            <a:srgbClr val="0000FF"/>
                          </a:solidFill>
                          <a:prstDash val="solid"/>
                        </a:ln>
                      </wps:spPr>
                      <wps:bodyPr wrap="square" lIns="0" tIns="0" rIns="0" bIns="0" rtlCol="0">
                        <a:prstTxWarp prst="textNoShape">
                          <a:avLst/>
                        </a:prstTxWarp>
                        <a:noAutofit/>
                      </wps:bodyPr>
                    </wps:wsp>
                  </a:graphicData>
                </a:graphic>
              </wp:anchor>
            </w:drawing>
          </mc:Choice>
          <mc:Fallback>
            <w:pict>
              <v:shape style="position:absolute;margin-left:473.807983pt;margin-top:26.032814pt;width:19.4pt;height:.1pt;mso-position-horizontal-relative:page;mso-position-vertical-relative:paragraph;z-index:15777792" id="docshape1035" coordorigin="9476,521" coordsize="388,0" path="m9476,521l9584,521m9648,521l9756,521m9820,521l9863,521e" filled="false" stroked="true" strokeweight=".56101pt" strokecolor="#0000ff">
                <v:path arrowok="t"/>
                <v:stroke dashstyle="solid"/>
                <w10:wrap type="none"/>
              </v:shape>
            </w:pict>
          </mc:Fallback>
        </mc:AlternateContent>
      </w:r>
      <w:r>
        <w:rPr>
          <w:rFonts w:ascii="Arial MT"/>
          <w:spacing w:val="-4"/>
          <w:sz w:val="10"/>
        </w:rPr>
        <w:t>Fits</w:t>
      </w:r>
      <w:r>
        <w:rPr>
          <w:rFonts w:ascii="Arial MT"/>
          <w:spacing w:val="40"/>
          <w:sz w:val="10"/>
        </w:rPr>
        <w:t> </w:t>
      </w:r>
      <w:r>
        <w:rPr>
          <w:rFonts w:ascii="Arial MT"/>
          <w:spacing w:val="-2"/>
          <w:sz w:val="10"/>
        </w:rPr>
        <w:t>Actual</w:t>
      </w:r>
      <w:r>
        <w:rPr>
          <w:rFonts w:ascii="Arial MT"/>
          <w:spacing w:val="40"/>
          <w:sz w:val="10"/>
        </w:rPr>
        <w:t> </w:t>
      </w:r>
      <w:r>
        <w:rPr>
          <w:rFonts w:ascii="Arial MT"/>
          <w:spacing w:val="-4"/>
          <w:sz w:val="10"/>
        </w:rPr>
        <w:t>Fits</w:t>
      </w:r>
    </w:p>
    <w:p>
      <w:pPr>
        <w:spacing w:after="0" w:line="376" w:lineRule="auto"/>
        <w:jc w:val="left"/>
        <w:rPr>
          <w:rFonts w:ascii="Arial MT"/>
          <w:sz w:val="10"/>
        </w:rPr>
        <w:sectPr>
          <w:type w:val="continuous"/>
          <w:pgSz w:w="12240" w:h="15840"/>
          <w:pgMar w:header="0" w:footer="1036" w:top="1520" w:bottom="1220" w:left="1200" w:right="600"/>
          <w:cols w:num="3" w:equalWidth="0">
            <w:col w:w="1897" w:space="1103"/>
            <w:col w:w="2976" w:space="1530"/>
            <w:col w:w="2934"/>
          </w:cols>
        </w:sectPr>
      </w:pPr>
    </w:p>
    <w:p>
      <w:pPr>
        <w:pStyle w:val="BodyText"/>
        <w:spacing w:before="119"/>
        <w:rPr>
          <w:rFonts w:ascii="Arial MT"/>
          <w:sz w:val="20"/>
        </w:rPr>
      </w:pPr>
    </w:p>
    <w:p>
      <w:pPr>
        <w:spacing w:after="0"/>
        <w:rPr>
          <w:rFonts w:ascii="Arial MT"/>
          <w:sz w:val="20"/>
        </w:rPr>
        <w:sectPr>
          <w:type w:val="continuous"/>
          <w:pgSz w:w="12240" w:h="15840"/>
          <w:pgMar w:header="0" w:footer="1036" w:top="1520" w:bottom="1220" w:left="1200" w:right="600"/>
        </w:sectPr>
      </w:pPr>
    </w:p>
    <w:p>
      <w:pPr>
        <w:spacing w:before="96"/>
        <w:ind w:left="0" w:right="512" w:firstLine="0"/>
        <w:jc w:val="right"/>
        <w:rPr>
          <w:rFonts w:ascii="Arial MT"/>
          <w:sz w:val="14"/>
        </w:rPr>
      </w:pPr>
      <w:r>
        <w:rPr>
          <w:rFonts w:ascii="Arial MT"/>
          <w:spacing w:val="-2"/>
          <w:sz w:val="14"/>
        </w:rPr>
        <w:t>1.00E+09</w:t>
      </w:r>
    </w:p>
    <w:p>
      <w:pPr>
        <w:pStyle w:val="BodyText"/>
        <w:rPr>
          <w:rFonts w:ascii="Arial MT"/>
          <w:sz w:val="14"/>
        </w:rPr>
      </w:pPr>
    </w:p>
    <w:p>
      <w:pPr>
        <w:pStyle w:val="BodyText"/>
        <w:spacing w:before="134"/>
        <w:rPr>
          <w:rFonts w:ascii="Arial MT"/>
          <w:sz w:val="14"/>
        </w:rPr>
      </w:pPr>
    </w:p>
    <w:p>
      <w:pPr>
        <w:spacing w:before="1"/>
        <w:ind w:left="0" w:right="511" w:firstLine="0"/>
        <w:jc w:val="right"/>
        <w:rPr>
          <w:rFonts w:ascii="Arial MT"/>
          <w:sz w:val="14"/>
        </w:rPr>
      </w:pPr>
      <w:r>
        <w:rPr>
          <w:rFonts w:ascii="Arial MT"/>
          <w:spacing w:val="-10"/>
          <w:sz w:val="14"/>
        </w:rPr>
        <w:t>0</w:t>
      </w:r>
    </w:p>
    <w:p>
      <w:pPr>
        <w:spacing w:before="130"/>
        <w:ind w:left="0" w:right="38" w:firstLine="0"/>
        <w:jc w:val="right"/>
        <w:rPr>
          <w:rFonts w:ascii="Arial MT"/>
          <w:sz w:val="14"/>
        </w:rPr>
      </w:pPr>
      <w:r>
        <w:rPr>
          <w:rFonts w:ascii="Arial MT"/>
          <w:spacing w:val="-10"/>
          <w:sz w:val="14"/>
        </w:rPr>
        <w:t>0</w:t>
      </w:r>
    </w:p>
    <w:p>
      <w:pPr>
        <w:spacing w:line="240" w:lineRule="auto" w:before="0"/>
        <w:rPr>
          <w:rFonts w:ascii="Arial MT"/>
          <w:sz w:val="14"/>
        </w:rPr>
      </w:pPr>
      <w:r>
        <w:rPr/>
        <w:br w:type="column"/>
      </w:r>
      <w:r>
        <w:rPr>
          <w:rFonts w:ascii="Arial MT"/>
          <w:sz w:val="14"/>
        </w:rPr>
      </w: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spacing w:before="15"/>
        <w:rPr>
          <w:rFonts w:ascii="Arial MT"/>
          <w:sz w:val="14"/>
        </w:rPr>
      </w:pPr>
    </w:p>
    <w:p>
      <w:pPr>
        <w:spacing w:before="1"/>
        <w:ind w:left="1300" w:right="0" w:firstLine="0"/>
        <w:jc w:val="center"/>
        <w:rPr>
          <w:rFonts w:ascii="Arial MT"/>
          <w:sz w:val="14"/>
        </w:rPr>
      </w:pPr>
      <w:r>
        <w:rPr>
          <w:rFonts w:ascii="Arial MT"/>
          <w:spacing w:val="-4"/>
          <w:sz w:val="14"/>
        </w:rPr>
        <w:t>2008</w:t>
      </w:r>
    </w:p>
    <w:p>
      <w:pPr>
        <w:spacing w:before="73"/>
        <w:ind w:left="1251" w:right="0" w:firstLine="0"/>
        <w:jc w:val="center"/>
        <w:rPr>
          <w:rFonts w:ascii="Arial MT"/>
          <w:sz w:val="20"/>
        </w:rPr>
      </w:pPr>
      <w:r>
        <w:rPr>
          <w:rFonts w:ascii="Arial MT"/>
          <w:spacing w:val="-2"/>
          <w:sz w:val="20"/>
        </w:rPr>
        <w:t>Years</w:t>
      </w:r>
    </w:p>
    <w:p>
      <w:pPr>
        <w:spacing w:line="240" w:lineRule="auto" w:before="0"/>
        <w:rPr>
          <w:rFonts w:ascii="Arial MT"/>
          <w:sz w:val="14"/>
        </w:rPr>
      </w:pPr>
      <w:r>
        <w:rPr/>
        <w:br w:type="column"/>
      </w:r>
      <w:r>
        <w:rPr>
          <w:rFonts w:ascii="Arial MT"/>
          <w:sz w:val="14"/>
        </w:rPr>
      </w: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spacing w:before="15"/>
        <w:rPr>
          <w:rFonts w:ascii="Arial MT"/>
          <w:sz w:val="14"/>
        </w:rPr>
      </w:pPr>
    </w:p>
    <w:p>
      <w:pPr>
        <w:spacing w:before="1"/>
        <w:ind w:left="0" w:right="0" w:firstLine="0"/>
        <w:jc w:val="right"/>
        <w:rPr>
          <w:rFonts w:ascii="Arial MT"/>
          <w:sz w:val="14"/>
        </w:rPr>
      </w:pPr>
      <w:r>
        <w:rPr>
          <w:rFonts w:ascii="Arial MT"/>
          <w:spacing w:val="-4"/>
          <w:sz w:val="14"/>
        </w:rPr>
        <w:t>2018</w:t>
      </w:r>
    </w:p>
    <w:p>
      <w:pPr>
        <w:spacing w:line="240" w:lineRule="auto" w:before="0"/>
        <w:rPr>
          <w:rFonts w:ascii="Arial MT"/>
          <w:sz w:val="10"/>
        </w:rPr>
      </w:pPr>
      <w:r>
        <w:rPr/>
        <w:br w:type="column"/>
      </w:r>
      <w:r>
        <w:rPr>
          <w:rFonts w:ascii="Arial MT"/>
          <w:sz w:val="10"/>
        </w:rPr>
      </w:r>
    </w:p>
    <w:p>
      <w:pPr>
        <w:pStyle w:val="BodyText"/>
        <w:spacing w:before="113"/>
        <w:rPr>
          <w:rFonts w:ascii="Arial MT"/>
          <w:sz w:val="10"/>
        </w:rPr>
      </w:pPr>
    </w:p>
    <w:p>
      <w:pPr>
        <w:spacing w:line="376" w:lineRule="auto" w:before="1"/>
        <w:ind w:left="0" w:right="0" w:firstLine="0"/>
        <w:jc w:val="left"/>
        <w:rPr>
          <w:rFonts w:ascii="Arial MT"/>
          <w:sz w:val="10"/>
        </w:rPr>
      </w:pPr>
      <w:r>
        <w:rPr>
          <w:rFonts w:ascii="Arial MT"/>
          <w:spacing w:val="-6"/>
          <w:sz w:val="10"/>
        </w:rPr>
        <w:t>MAPE:</w:t>
      </w:r>
      <w:r>
        <w:rPr>
          <w:rFonts w:ascii="Arial MT"/>
          <w:spacing w:val="40"/>
          <w:sz w:val="10"/>
        </w:rPr>
        <w:t> </w:t>
      </w:r>
      <w:r>
        <w:rPr>
          <w:rFonts w:ascii="Arial MT"/>
          <w:spacing w:val="-4"/>
          <w:sz w:val="10"/>
        </w:rPr>
        <w:t>MAD:</w:t>
      </w:r>
      <w:r>
        <w:rPr>
          <w:rFonts w:ascii="Arial MT"/>
          <w:spacing w:val="40"/>
          <w:sz w:val="10"/>
        </w:rPr>
        <w:t> </w:t>
      </w:r>
      <w:r>
        <w:rPr>
          <w:rFonts w:ascii="Arial MT"/>
          <w:spacing w:val="-4"/>
          <w:sz w:val="10"/>
        </w:rPr>
        <w:t>MSD:</w:t>
      </w:r>
    </w:p>
    <w:p>
      <w:pPr>
        <w:spacing w:line="240" w:lineRule="auto" w:before="0"/>
        <w:rPr>
          <w:rFonts w:ascii="Arial MT"/>
          <w:sz w:val="10"/>
        </w:rPr>
      </w:pPr>
      <w:r>
        <w:rPr/>
        <w:br w:type="column"/>
      </w:r>
      <w:r>
        <w:rPr>
          <w:rFonts w:ascii="Arial MT"/>
          <w:sz w:val="10"/>
        </w:rPr>
      </w:r>
    </w:p>
    <w:p>
      <w:pPr>
        <w:pStyle w:val="BodyText"/>
        <w:spacing w:before="90"/>
        <w:rPr>
          <w:rFonts w:ascii="Arial MT"/>
          <w:sz w:val="10"/>
        </w:rPr>
      </w:pPr>
    </w:p>
    <w:p>
      <w:pPr>
        <w:spacing w:before="0"/>
        <w:ind w:left="589" w:right="0" w:firstLine="0"/>
        <w:jc w:val="left"/>
        <w:rPr>
          <w:rFonts w:ascii="Arial MT"/>
          <w:sz w:val="10"/>
        </w:rPr>
      </w:pPr>
      <w:r>
        <w:rPr>
          <w:rFonts w:ascii="Arial MT"/>
          <w:spacing w:val="-2"/>
          <w:sz w:val="10"/>
        </w:rPr>
        <w:t>112.329</w:t>
      </w:r>
    </w:p>
    <w:p>
      <w:pPr>
        <w:spacing w:before="71"/>
        <w:ind w:left="524" w:right="0" w:firstLine="0"/>
        <w:jc w:val="left"/>
        <w:rPr>
          <w:rFonts w:ascii="Arial MT"/>
          <w:sz w:val="10"/>
        </w:rPr>
      </w:pPr>
      <w:r>
        <w:rPr>
          <w:rFonts w:ascii="Arial MT"/>
          <w:spacing w:val="-2"/>
          <w:sz w:val="10"/>
        </w:rPr>
        <w:t>927061776</w:t>
      </w:r>
    </w:p>
    <w:p>
      <w:pPr>
        <w:spacing w:after="0"/>
        <w:jc w:val="left"/>
        <w:rPr>
          <w:rFonts w:ascii="Arial MT"/>
          <w:sz w:val="10"/>
        </w:rPr>
        <w:sectPr>
          <w:type w:val="continuous"/>
          <w:pgSz w:w="12240" w:h="15840"/>
          <w:pgMar w:header="0" w:footer="1036" w:top="1520" w:bottom="1220" w:left="1200" w:right="600"/>
          <w:cols w:num="5" w:equalWidth="0">
            <w:col w:w="2372" w:space="1263"/>
            <w:col w:w="1799" w:space="1126"/>
            <w:col w:w="1593" w:space="11"/>
            <w:col w:w="296" w:space="39"/>
            <w:col w:w="1941"/>
          </w:cols>
        </w:sectPr>
      </w:pPr>
    </w:p>
    <w:p>
      <w:pPr>
        <w:pStyle w:val="BodyText"/>
        <w:spacing w:before="144"/>
        <w:rPr>
          <w:rFonts w:ascii="Arial MT"/>
        </w:rPr>
      </w:pPr>
    </w:p>
    <w:p>
      <w:pPr>
        <w:pStyle w:val="BodyText"/>
        <w:spacing w:line="276" w:lineRule="auto"/>
        <w:ind w:left="240" w:right="853"/>
      </w:pPr>
      <w:r>
        <w:rPr>
          <w:b/>
        </w:rPr>
        <w:t>Figure</w:t>
      </w:r>
      <w:r>
        <w:rPr>
          <w:b/>
          <w:spacing w:val="-4"/>
        </w:rPr>
        <w:t> </w:t>
      </w:r>
      <w:r>
        <w:rPr>
          <w:b/>
        </w:rPr>
        <w:t>5.14:</w:t>
      </w:r>
      <w:r>
        <w:rPr>
          <w:b/>
          <w:spacing w:val="40"/>
        </w:rPr>
        <w:t> </w:t>
      </w:r>
      <w:r>
        <w:rPr/>
        <w:t>Trend</w:t>
      </w:r>
      <w:r>
        <w:rPr>
          <w:spacing w:val="-3"/>
        </w:rPr>
        <w:t> </w:t>
      </w:r>
      <w:r>
        <w:rPr/>
        <w:t>Model</w:t>
      </w:r>
      <w:r>
        <w:rPr>
          <w:spacing w:val="-3"/>
        </w:rPr>
        <w:t> </w:t>
      </w:r>
      <w:r>
        <w:rPr/>
        <w:t>of</w:t>
      </w:r>
      <w:r>
        <w:rPr>
          <w:spacing w:val="-3"/>
        </w:rPr>
        <w:t> </w:t>
      </w:r>
      <w:r>
        <w:rPr/>
        <w:t>annual</w:t>
      </w:r>
      <w:r>
        <w:rPr>
          <w:spacing w:val="-3"/>
        </w:rPr>
        <w:t> </w:t>
      </w:r>
      <w:r>
        <w:rPr/>
        <w:t>housing</w:t>
      </w:r>
      <w:r>
        <w:rPr>
          <w:spacing w:val="-4"/>
        </w:rPr>
        <w:t> </w:t>
      </w:r>
      <w:r>
        <w:rPr/>
        <w:t>budget</w:t>
      </w:r>
      <w:r>
        <w:rPr>
          <w:spacing w:val="-1"/>
        </w:rPr>
        <w:t> </w:t>
      </w:r>
      <w:r>
        <w:rPr/>
        <w:t>allocation</w:t>
      </w:r>
      <w:r>
        <w:rPr>
          <w:spacing w:val="-3"/>
        </w:rPr>
        <w:t> </w:t>
      </w:r>
      <w:r>
        <w:rPr/>
        <w:t>in</w:t>
      </w:r>
      <w:r>
        <w:rPr>
          <w:spacing w:val="-3"/>
        </w:rPr>
        <w:t> </w:t>
      </w:r>
      <w:r>
        <w:rPr/>
        <w:t>Anambra</w:t>
      </w:r>
      <w:r>
        <w:rPr>
          <w:spacing w:val="-4"/>
        </w:rPr>
        <w:t> </w:t>
      </w:r>
      <w:r>
        <w:rPr/>
        <w:t>State</w:t>
      </w:r>
      <w:r>
        <w:rPr>
          <w:spacing w:val="-4"/>
        </w:rPr>
        <w:t> </w:t>
      </w:r>
      <w:r>
        <w:rPr/>
        <w:t>from1999- 2016 (Researcher‘s plot and computation with E-views econometric software, 2017)</w:t>
      </w:r>
    </w:p>
    <w:p>
      <w:pPr>
        <w:spacing w:after="0" w:line="276" w:lineRule="auto"/>
        <w:sectPr>
          <w:type w:val="continuous"/>
          <w:pgSz w:w="12240" w:h="15840"/>
          <w:pgMar w:header="0" w:footer="1036" w:top="1520" w:bottom="1220" w:left="1200" w:right="600"/>
        </w:sectPr>
      </w:pPr>
    </w:p>
    <w:p>
      <w:pPr>
        <w:pStyle w:val="Heading4"/>
        <w:spacing w:before="76"/>
        <w:jc w:val="left"/>
      </w:pPr>
      <w:r>
        <w:rPr/>
        <w:t>Table</w:t>
      </w:r>
      <w:r>
        <w:rPr>
          <w:spacing w:val="-2"/>
        </w:rPr>
        <w:t> </w:t>
      </w:r>
      <w:r>
        <w:rPr/>
        <w:t>5.21.</w:t>
      </w:r>
      <w:r>
        <w:rPr>
          <w:spacing w:val="-1"/>
        </w:rPr>
        <w:t> </w:t>
      </w:r>
      <w:r>
        <w:rPr/>
        <w:t>Trend Results</w:t>
      </w:r>
      <w:r>
        <w:rPr>
          <w:spacing w:val="-1"/>
        </w:rPr>
        <w:t> </w:t>
      </w:r>
      <w:r>
        <w:rPr/>
        <w:t>of</w:t>
      </w:r>
      <w:r>
        <w:rPr>
          <w:spacing w:val="-1"/>
        </w:rPr>
        <w:t> </w:t>
      </w:r>
      <w:r>
        <w:rPr/>
        <w:t>Annual</w:t>
      </w:r>
      <w:r>
        <w:rPr>
          <w:spacing w:val="-1"/>
        </w:rPr>
        <w:t> </w:t>
      </w:r>
      <w:r>
        <w:rPr/>
        <w:t>Housing</w:t>
      </w:r>
      <w:r>
        <w:rPr>
          <w:spacing w:val="-1"/>
        </w:rPr>
        <w:t> </w:t>
      </w:r>
      <w:r>
        <w:rPr/>
        <w:t>Budget</w:t>
      </w:r>
      <w:r>
        <w:rPr>
          <w:spacing w:val="-1"/>
        </w:rPr>
        <w:t> </w:t>
      </w:r>
      <w:r>
        <w:rPr/>
        <w:t>Allocation</w:t>
      </w:r>
      <w:r>
        <w:rPr>
          <w:spacing w:val="-1"/>
        </w:rPr>
        <w:t> </w:t>
      </w:r>
      <w:r>
        <w:rPr/>
        <w:t>over</w:t>
      </w:r>
      <w:r>
        <w:rPr>
          <w:spacing w:val="1"/>
        </w:rPr>
        <w:t> </w:t>
      </w:r>
      <w:r>
        <w:rPr/>
        <w:t>the</w:t>
      </w:r>
      <w:r>
        <w:rPr>
          <w:spacing w:val="-2"/>
        </w:rPr>
        <w:t> </w:t>
      </w:r>
      <w:r>
        <w:rPr/>
        <w:t>study</w:t>
      </w:r>
      <w:r>
        <w:rPr>
          <w:spacing w:val="-1"/>
        </w:rPr>
        <w:t> </w:t>
      </w:r>
      <w:r>
        <w:rPr>
          <w:spacing w:val="-2"/>
        </w:rPr>
        <w:t>period.</w:t>
      </w:r>
    </w:p>
    <w:p>
      <w:pPr>
        <w:pStyle w:val="BodyText"/>
        <w:spacing w:before="3"/>
        <w:rPr>
          <w:b/>
          <w:sz w:val="12"/>
        </w:rPr>
      </w:pPr>
    </w:p>
    <w:tbl>
      <w:tblPr>
        <w:tblW w:w="0" w:type="auto"/>
        <w:jc w:val="left"/>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87"/>
        <w:gridCol w:w="1436"/>
        <w:gridCol w:w="1770"/>
        <w:gridCol w:w="1710"/>
        <w:gridCol w:w="1621"/>
        <w:gridCol w:w="267"/>
        <w:gridCol w:w="906"/>
        <w:gridCol w:w="1168"/>
      </w:tblGrid>
      <w:tr>
        <w:trPr>
          <w:trHeight w:val="315" w:hRule="atLeast"/>
        </w:trPr>
        <w:tc>
          <w:tcPr>
            <w:tcW w:w="9365" w:type="dxa"/>
            <w:gridSpan w:val="8"/>
          </w:tcPr>
          <w:p>
            <w:pPr>
              <w:pStyle w:val="TableParagraph"/>
              <w:spacing w:line="189" w:lineRule="exact" w:before="106"/>
              <w:ind w:left="754" w:right="715"/>
              <w:jc w:val="center"/>
              <w:rPr>
                <w:rFonts w:ascii="Arial"/>
                <w:b/>
                <w:sz w:val="18"/>
              </w:rPr>
            </w:pPr>
            <w:r>
              <w:rPr>
                <w:rFonts w:ascii="Arial"/>
                <w:b/>
                <w:spacing w:val="-2"/>
                <w:sz w:val="18"/>
              </w:rPr>
              <w:t>Coefficients</w:t>
            </w:r>
            <w:r>
              <w:rPr>
                <w:rFonts w:ascii="Arial"/>
                <w:b/>
                <w:spacing w:val="-2"/>
                <w:sz w:val="18"/>
                <w:vertAlign w:val="superscript"/>
              </w:rPr>
              <w:t>a</w:t>
            </w:r>
          </w:p>
        </w:tc>
      </w:tr>
      <w:tr>
        <w:trPr>
          <w:trHeight w:val="401" w:hRule="atLeast"/>
        </w:trPr>
        <w:tc>
          <w:tcPr>
            <w:tcW w:w="1923" w:type="dxa"/>
            <w:gridSpan w:val="2"/>
            <w:vMerge w:val="restart"/>
          </w:tcPr>
          <w:p>
            <w:pPr>
              <w:pStyle w:val="TableParagraph"/>
              <w:rPr>
                <w:b/>
                <w:sz w:val="18"/>
              </w:rPr>
            </w:pPr>
          </w:p>
          <w:p>
            <w:pPr>
              <w:pStyle w:val="TableParagraph"/>
              <w:spacing w:before="150"/>
              <w:rPr>
                <w:b/>
                <w:sz w:val="18"/>
              </w:rPr>
            </w:pPr>
          </w:p>
          <w:p>
            <w:pPr>
              <w:pStyle w:val="TableParagraph"/>
              <w:spacing w:line="186" w:lineRule="exact"/>
              <w:ind w:left="78"/>
              <w:rPr>
                <w:rFonts w:ascii="Arial MT"/>
                <w:sz w:val="18"/>
              </w:rPr>
            </w:pPr>
            <w:r>
              <w:rPr>
                <w:rFonts w:ascii="Arial MT"/>
                <w:spacing w:val="-2"/>
                <w:sz w:val="18"/>
              </w:rPr>
              <w:t>Model</w:t>
            </w:r>
          </w:p>
        </w:tc>
        <w:tc>
          <w:tcPr>
            <w:tcW w:w="3480" w:type="dxa"/>
            <w:gridSpan w:val="2"/>
            <w:tcBorders>
              <w:bottom w:val="single" w:sz="8" w:space="0" w:color="000000"/>
              <w:right w:val="single" w:sz="8" w:space="0" w:color="000000"/>
            </w:tcBorders>
          </w:tcPr>
          <w:p>
            <w:pPr>
              <w:pStyle w:val="TableParagraph"/>
              <w:spacing w:line="177" w:lineRule="exact" w:before="204"/>
              <w:ind w:left="611"/>
              <w:rPr>
                <w:rFonts w:ascii="Arial MT"/>
                <w:sz w:val="18"/>
              </w:rPr>
            </w:pPr>
            <w:r>
              <w:rPr>
                <w:rFonts w:ascii="Arial MT"/>
                <w:spacing w:val="-2"/>
                <w:sz w:val="18"/>
              </w:rPr>
              <w:t>Unstandardized</w:t>
            </w:r>
            <w:r>
              <w:rPr>
                <w:rFonts w:ascii="Arial MT"/>
                <w:spacing w:val="9"/>
                <w:sz w:val="18"/>
              </w:rPr>
              <w:t> </w:t>
            </w:r>
            <w:r>
              <w:rPr>
                <w:rFonts w:ascii="Arial MT"/>
                <w:spacing w:val="-2"/>
                <w:sz w:val="18"/>
              </w:rPr>
              <w:t>Coefficients</w:t>
            </w:r>
          </w:p>
        </w:tc>
        <w:tc>
          <w:tcPr>
            <w:tcW w:w="1888" w:type="dxa"/>
            <w:gridSpan w:val="2"/>
            <w:tcBorders>
              <w:left w:val="single" w:sz="8" w:space="0" w:color="000000"/>
              <w:bottom w:val="single" w:sz="8" w:space="0" w:color="000000"/>
              <w:right w:val="single" w:sz="8" w:space="0" w:color="000000"/>
            </w:tcBorders>
          </w:tcPr>
          <w:p>
            <w:pPr>
              <w:pStyle w:val="TableParagraph"/>
              <w:spacing w:line="206" w:lineRule="exact"/>
              <w:ind w:left="482" w:hanging="60"/>
              <w:rPr>
                <w:rFonts w:ascii="Arial MT"/>
                <w:sz w:val="18"/>
              </w:rPr>
            </w:pPr>
            <w:r>
              <w:rPr>
                <w:rFonts w:ascii="Arial MT"/>
                <w:spacing w:val="-2"/>
                <w:sz w:val="18"/>
              </w:rPr>
              <w:t>Standardized Coefficients</w:t>
            </w:r>
          </w:p>
        </w:tc>
        <w:tc>
          <w:tcPr>
            <w:tcW w:w="906" w:type="dxa"/>
            <w:vMerge w:val="restart"/>
            <w:tcBorders>
              <w:left w:val="single" w:sz="8" w:space="0" w:color="000000"/>
              <w:right w:val="single" w:sz="8" w:space="0" w:color="000000"/>
            </w:tcBorders>
          </w:tcPr>
          <w:p>
            <w:pPr>
              <w:pStyle w:val="TableParagraph"/>
              <w:rPr>
                <w:b/>
                <w:sz w:val="18"/>
              </w:rPr>
            </w:pPr>
          </w:p>
          <w:p>
            <w:pPr>
              <w:pStyle w:val="TableParagraph"/>
              <w:spacing w:before="150"/>
              <w:rPr>
                <w:b/>
                <w:sz w:val="18"/>
              </w:rPr>
            </w:pPr>
          </w:p>
          <w:p>
            <w:pPr>
              <w:pStyle w:val="TableParagraph"/>
              <w:spacing w:line="186" w:lineRule="exact"/>
              <w:ind w:left="40"/>
              <w:jc w:val="center"/>
              <w:rPr>
                <w:rFonts w:ascii="Arial MT"/>
                <w:sz w:val="18"/>
              </w:rPr>
            </w:pPr>
            <w:r>
              <w:rPr>
                <w:rFonts w:ascii="Arial MT"/>
                <w:spacing w:val="-10"/>
                <w:sz w:val="18"/>
              </w:rPr>
              <w:t>t</w:t>
            </w:r>
          </w:p>
        </w:tc>
        <w:tc>
          <w:tcPr>
            <w:tcW w:w="1168" w:type="dxa"/>
            <w:vMerge w:val="restart"/>
            <w:tcBorders>
              <w:left w:val="single" w:sz="8" w:space="0" w:color="000000"/>
            </w:tcBorders>
          </w:tcPr>
          <w:p>
            <w:pPr>
              <w:pStyle w:val="TableParagraph"/>
              <w:rPr>
                <w:b/>
                <w:sz w:val="18"/>
              </w:rPr>
            </w:pPr>
          </w:p>
          <w:p>
            <w:pPr>
              <w:pStyle w:val="TableParagraph"/>
              <w:spacing w:before="150"/>
              <w:rPr>
                <w:b/>
                <w:sz w:val="18"/>
              </w:rPr>
            </w:pPr>
          </w:p>
          <w:p>
            <w:pPr>
              <w:pStyle w:val="TableParagraph"/>
              <w:spacing w:line="186" w:lineRule="exact"/>
              <w:ind w:left="39"/>
              <w:jc w:val="center"/>
              <w:rPr>
                <w:rFonts w:ascii="Arial MT"/>
                <w:sz w:val="18"/>
              </w:rPr>
            </w:pPr>
            <w:r>
              <w:rPr>
                <w:rFonts w:ascii="Arial MT"/>
                <w:spacing w:val="-4"/>
                <w:sz w:val="18"/>
              </w:rPr>
              <w:t>Sig.</w:t>
            </w:r>
          </w:p>
        </w:tc>
      </w:tr>
      <w:tr>
        <w:trPr>
          <w:trHeight w:val="313" w:hRule="atLeast"/>
        </w:trPr>
        <w:tc>
          <w:tcPr>
            <w:tcW w:w="1923" w:type="dxa"/>
            <w:gridSpan w:val="2"/>
            <w:vMerge/>
            <w:tcBorders>
              <w:top w:val="nil"/>
            </w:tcBorders>
          </w:tcPr>
          <w:p>
            <w:pPr>
              <w:rPr>
                <w:sz w:val="2"/>
                <w:szCs w:val="2"/>
              </w:rPr>
            </w:pPr>
          </w:p>
        </w:tc>
        <w:tc>
          <w:tcPr>
            <w:tcW w:w="1770" w:type="dxa"/>
            <w:tcBorders>
              <w:top w:val="single" w:sz="8" w:space="0" w:color="000000"/>
              <w:right w:val="single" w:sz="8" w:space="0" w:color="000000"/>
            </w:tcBorders>
          </w:tcPr>
          <w:p>
            <w:pPr>
              <w:pStyle w:val="TableParagraph"/>
              <w:spacing w:line="186" w:lineRule="exact" w:before="107"/>
              <w:ind w:left="55" w:right="28"/>
              <w:jc w:val="center"/>
              <w:rPr>
                <w:rFonts w:ascii="Arial MT"/>
                <w:sz w:val="18"/>
              </w:rPr>
            </w:pPr>
            <w:r>
              <w:rPr>
                <w:rFonts w:ascii="Arial MT"/>
                <w:spacing w:val="-10"/>
                <w:sz w:val="18"/>
              </w:rPr>
              <w:t>B</w:t>
            </w:r>
          </w:p>
        </w:tc>
        <w:tc>
          <w:tcPr>
            <w:tcW w:w="1710" w:type="dxa"/>
            <w:tcBorders>
              <w:top w:val="single" w:sz="8" w:space="0" w:color="000000"/>
              <w:left w:val="single" w:sz="8" w:space="0" w:color="000000"/>
              <w:right w:val="single" w:sz="8" w:space="0" w:color="000000"/>
            </w:tcBorders>
          </w:tcPr>
          <w:p>
            <w:pPr>
              <w:pStyle w:val="TableParagraph"/>
              <w:spacing w:line="186" w:lineRule="exact" w:before="107"/>
              <w:ind w:left="478"/>
              <w:rPr>
                <w:rFonts w:ascii="Arial MT"/>
                <w:sz w:val="18"/>
              </w:rPr>
            </w:pPr>
            <w:r>
              <w:rPr>
                <w:rFonts w:ascii="Arial MT"/>
                <w:sz w:val="18"/>
              </w:rPr>
              <w:t>Std.</w:t>
            </w:r>
            <w:r>
              <w:rPr>
                <w:rFonts w:ascii="Arial MT"/>
                <w:spacing w:val="-2"/>
                <w:sz w:val="18"/>
              </w:rPr>
              <w:t> Error</w:t>
            </w:r>
          </w:p>
        </w:tc>
        <w:tc>
          <w:tcPr>
            <w:tcW w:w="1888" w:type="dxa"/>
            <w:gridSpan w:val="2"/>
            <w:tcBorders>
              <w:top w:val="single" w:sz="8" w:space="0" w:color="000000"/>
              <w:left w:val="single" w:sz="8" w:space="0" w:color="000000"/>
              <w:right w:val="single" w:sz="8" w:space="0" w:color="000000"/>
            </w:tcBorders>
          </w:tcPr>
          <w:p>
            <w:pPr>
              <w:pStyle w:val="TableParagraph"/>
              <w:spacing w:line="186" w:lineRule="exact" w:before="107"/>
              <w:ind w:left="38"/>
              <w:jc w:val="center"/>
              <w:rPr>
                <w:rFonts w:ascii="Arial MT"/>
                <w:sz w:val="18"/>
              </w:rPr>
            </w:pPr>
            <w:r>
              <w:rPr>
                <w:rFonts w:ascii="Arial MT"/>
                <w:spacing w:val="-4"/>
                <w:sz w:val="18"/>
              </w:rPr>
              <w:t>Beta</w:t>
            </w:r>
          </w:p>
        </w:tc>
        <w:tc>
          <w:tcPr>
            <w:tcW w:w="906" w:type="dxa"/>
            <w:vMerge/>
            <w:tcBorders>
              <w:top w:val="nil"/>
              <w:left w:val="single" w:sz="8" w:space="0" w:color="000000"/>
              <w:right w:val="single" w:sz="8" w:space="0" w:color="000000"/>
            </w:tcBorders>
          </w:tcPr>
          <w:p>
            <w:pPr>
              <w:rPr>
                <w:sz w:val="2"/>
                <w:szCs w:val="2"/>
              </w:rPr>
            </w:pPr>
          </w:p>
        </w:tc>
        <w:tc>
          <w:tcPr>
            <w:tcW w:w="1168" w:type="dxa"/>
            <w:vMerge/>
            <w:tcBorders>
              <w:top w:val="nil"/>
              <w:left w:val="single" w:sz="8" w:space="0" w:color="000000"/>
            </w:tcBorders>
          </w:tcPr>
          <w:p>
            <w:pPr>
              <w:rPr>
                <w:sz w:val="2"/>
                <w:szCs w:val="2"/>
              </w:rPr>
            </w:pPr>
          </w:p>
        </w:tc>
      </w:tr>
      <w:tr>
        <w:trPr>
          <w:trHeight w:val="372" w:hRule="atLeast"/>
        </w:trPr>
        <w:tc>
          <w:tcPr>
            <w:tcW w:w="487" w:type="dxa"/>
            <w:tcBorders>
              <w:bottom w:val="nil"/>
              <w:right w:val="nil"/>
            </w:tcBorders>
          </w:tcPr>
          <w:p>
            <w:pPr>
              <w:pStyle w:val="TableParagraph"/>
              <w:spacing w:before="108"/>
              <w:ind w:left="78"/>
              <w:rPr>
                <w:rFonts w:ascii="Arial MT"/>
                <w:sz w:val="18"/>
              </w:rPr>
            </w:pPr>
            <w:r>
              <w:rPr>
                <w:rFonts w:ascii="Arial MT"/>
                <w:spacing w:val="-10"/>
                <w:sz w:val="18"/>
              </w:rPr>
              <w:t>1</w:t>
            </w:r>
          </w:p>
        </w:tc>
        <w:tc>
          <w:tcPr>
            <w:tcW w:w="1436" w:type="dxa"/>
            <w:tcBorders>
              <w:left w:val="nil"/>
              <w:bottom w:val="nil"/>
            </w:tcBorders>
          </w:tcPr>
          <w:p>
            <w:pPr>
              <w:pStyle w:val="TableParagraph"/>
              <w:spacing w:before="108"/>
              <w:ind w:left="328"/>
              <w:rPr>
                <w:rFonts w:ascii="Arial MT"/>
                <w:sz w:val="18"/>
              </w:rPr>
            </w:pPr>
            <w:r>
              <w:rPr>
                <w:rFonts w:ascii="Arial MT"/>
                <w:spacing w:val="-2"/>
                <w:sz w:val="18"/>
              </w:rPr>
              <w:t>(Constant)</w:t>
            </w:r>
          </w:p>
        </w:tc>
        <w:tc>
          <w:tcPr>
            <w:tcW w:w="1770" w:type="dxa"/>
            <w:tcBorders>
              <w:bottom w:val="nil"/>
              <w:right w:val="single" w:sz="8" w:space="0" w:color="000000"/>
            </w:tcBorders>
          </w:tcPr>
          <w:p>
            <w:pPr>
              <w:pStyle w:val="TableParagraph"/>
              <w:spacing w:before="108"/>
              <w:ind w:right="40"/>
              <w:jc w:val="right"/>
              <w:rPr>
                <w:rFonts w:ascii="Arial MT"/>
                <w:sz w:val="18"/>
              </w:rPr>
            </w:pPr>
            <w:r>
              <w:rPr>
                <w:rFonts w:ascii="Arial MT"/>
                <w:spacing w:val="-2"/>
                <w:sz w:val="18"/>
              </w:rPr>
              <w:t>1415350392.157</w:t>
            </w:r>
          </w:p>
        </w:tc>
        <w:tc>
          <w:tcPr>
            <w:tcW w:w="1710" w:type="dxa"/>
            <w:tcBorders>
              <w:left w:val="single" w:sz="8" w:space="0" w:color="000000"/>
              <w:bottom w:val="nil"/>
              <w:right w:val="single" w:sz="8" w:space="0" w:color="000000"/>
            </w:tcBorders>
          </w:tcPr>
          <w:p>
            <w:pPr>
              <w:pStyle w:val="TableParagraph"/>
              <w:spacing w:before="108"/>
              <w:ind w:right="38"/>
              <w:jc w:val="right"/>
              <w:rPr>
                <w:rFonts w:ascii="Arial MT"/>
                <w:sz w:val="18"/>
              </w:rPr>
            </w:pPr>
            <w:r>
              <w:rPr>
                <w:rFonts w:ascii="Arial MT"/>
                <w:spacing w:val="-2"/>
                <w:sz w:val="18"/>
              </w:rPr>
              <w:t>595558159.091</w:t>
            </w:r>
          </w:p>
        </w:tc>
        <w:tc>
          <w:tcPr>
            <w:tcW w:w="1888" w:type="dxa"/>
            <w:gridSpan w:val="2"/>
            <w:vMerge w:val="restart"/>
            <w:tcBorders>
              <w:left w:val="single" w:sz="8" w:space="0" w:color="000000"/>
              <w:right w:val="single" w:sz="8" w:space="0" w:color="000000"/>
            </w:tcBorders>
          </w:tcPr>
          <w:p>
            <w:pPr>
              <w:pStyle w:val="TableParagraph"/>
              <w:rPr>
                <w:b/>
                <w:sz w:val="18"/>
              </w:rPr>
            </w:pPr>
          </w:p>
          <w:p>
            <w:pPr>
              <w:pStyle w:val="TableParagraph"/>
              <w:spacing w:before="54"/>
              <w:rPr>
                <w:b/>
                <w:sz w:val="18"/>
              </w:rPr>
            </w:pPr>
          </w:p>
          <w:p>
            <w:pPr>
              <w:pStyle w:val="TableParagraph"/>
              <w:spacing w:line="186" w:lineRule="exact"/>
              <w:ind w:right="35"/>
              <w:jc w:val="right"/>
              <w:rPr>
                <w:rFonts w:ascii="Arial MT"/>
                <w:sz w:val="18"/>
              </w:rPr>
            </w:pPr>
            <w:r>
              <w:rPr>
                <w:rFonts w:ascii="Arial MT"/>
                <w:spacing w:val="-4"/>
                <w:sz w:val="18"/>
              </w:rPr>
              <w:t>.241</w:t>
            </w:r>
          </w:p>
        </w:tc>
        <w:tc>
          <w:tcPr>
            <w:tcW w:w="906" w:type="dxa"/>
            <w:tcBorders>
              <w:left w:val="single" w:sz="8" w:space="0" w:color="000000"/>
              <w:bottom w:val="nil"/>
              <w:right w:val="single" w:sz="8" w:space="0" w:color="000000"/>
            </w:tcBorders>
          </w:tcPr>
          <w:p>
            <w:pPr>
              <w:pStyle w:val="TableParagraph"/>
              <w:spacing w:before="108"/>
              <w:ind w:right="39"/>
              <w:jc w:val="right"/>
              <w:rPr>
                <w:rFonts w:ascii="Arial MT"/>
                <w:sz w:val="18"/>
              </w:rPr>
            </w:pPr>
            <w:r>
              <w:rPr>
                <w:rFonts w:ascii="Arial MT"/>
                <w:spacing w:val="-2"/>
                <w:sz w:val="18"/>
              </w:rPr>
              <w:t>2.377</w:t>
            </w:r>
          </w:p>
        </w:tc>
        <w:tc>
          <w:tcPr>
            <w:tcW w:w="1168" w:type="dxa"/>
            <w:tcBorders>
              <w:left w:val="single" w:sz="8" w:space="0" w:color="000000"/>
              <w:bottom w:val="nil"/>
            </w:tcBorders>
          </w:tcPr>
          <w:p>
            <w:pPr>
              <w:pStyle w:val="TableParagraph"/>
              <w:spacing w:before="108"/>
              <w:ind w:right="35"/>
              <w:jc w:val="right"/>
              <w:rPr>
                <w:rFonts w:ascii="Arial MT"/>
                <w:sz w:val="18"/>
              </w:rPr>
            </w:pPr>
            <w:r>
              <w:rPr>
                <w:rFonts w:ascii="Arial MT"/>
                <w:spacing w:val="-4"/>
                <w:sz w:val="18"/>
              </w:rPr>
              <w:t>.030</w:t>
            </w:r>
          </w:p>
        </w:tc>
      </w:tr>
      <w:tr>
        <w:trPr>
          <w:trHeight w:val="257" w:hRule="atLeast"/>
        </w:trPr>
        <w:tc>
          <w:tcPr>
            <w:tcW w:w="487" w:type="dxa"/>
            <w:tcBorders>
              <w:top w:val="nil"/>
              <w:right w:val="nil"/>
            </w:tcBorders>
          </w:tcPr>
          <w:p>
            <w:pPr>
              <w:pStyle w:val="TableParagraph"/>
              <w:rPr>
                <w:sz w:val="18"/>
              </w:rPr>
            </w:pPr>
          </w:p>
        </w:tc>
        <w:tc>
          <w:tcPr>
            <w:tcW w:w="1436" w:type="dxa"/>
            <w:tcBorders>
              <w:top w:val="nil"/>
              <w:left w:val="nil"/>
            </w:tcBorders>
          </w:tcPr>
          <w:p>
            <w:pPr>
              <w:pStyle w:val="TableParagraph"/>
              <w:spacing w:line="186" w:lineRule="exact" w:before="51"/>
              <w:ind w:left="328"/>
              <w:rPr>
                <w:rFonts w:ascii="Arial MT"/>
                <w:sz w:val="18"/>
              </w:rPr>
            </w:pPr>
            <w:r>
              <w:rPr>
                <w:rFonts w:ascii="Arial MT"/>
                <w:spacing w:val="-4"/>
                <w:sz w:val="18"/>
              </w:rPr>
              <w:t>Time</w:t>
            </w:r>
          </w:p>
        </w:tc>
        <w:tc>
          <w:tcPr>
            <w:tcW w:w="1770" w:type="dxa"/>
            <w:tcBorders>
              <w:top w:val="nil"/>
              <w:right w:val="single" w:sz="8" w:space="0" w:color="000000"/>
            </w:tcBorders>
          </w:tcPr>
          <w:p>
            <w:pPr>
              <w:pStyle w:val="TableParagraph"/>
              <w:spacing w:line="186" w:lineRule="exact" w:before="51"/>
              <w:ind w:right="39"/>
              <w:jc w:val="right"/>
              <w:rPr>
                <w:rFonts w:ascii="Arial MT"/>
                <w:sz w:val="18"/>
              </w:rPr>
            </w:pPr>
            <w:r>
              <w:rPr>
                <w:rFonts w:ascii="Arial MT"/>
                <w:spacing w:val="-2"/>
                <w:sz w:val="18"/>
              </w:rPr>
              <w:t>54691274.510</w:t>
            </w:r>
          </w:p>
        </w:tc>
        <w:tc>
          <w:tcPr>
            <w:tcW w:w="1710" w:type="dxa"/>
            <w:tcBorders>
              <w:top w:val="nil"/>
              <w:left w:val="single" w:sz="8" w:space="0" w:color="000000"/>
              <w:right w:val="single" w:sz="8" w:space="0" w:color="000000"/>
            </w:tcBorders>
          </w:tcPr>
          <w:p>
            <w:pPr>
              <w:pStyle w:val="TableParagraph"/>
              <w:spacing w:line="186" w:lineRule="exact" w:before="51"/>
              <w:ind w:right="38"/>
              <w:jc w:val="right"/>
              <w:rPr>
                <w:rFonts w:ascii="Arial MT"/>
                <w:sz w:val="18"/>
              </w:rPr>
            </w:pPr>
            <w:r>
              <w:rPr>
                <w:rFonts w:ascii="Arial MT"/>
                <w:spacing w:val="-2"/>
                <w:sz w:val="18"/>
              </w:rPr>
              <w:t>55020197.057</w:t>
            </w:r>
          </w:p>
        </w:tc>
        <w:tc>
          <w:tcPr>
            <w:tcW w:w="1888" w:type="dxa"/>
            <w:gridSpan w:val="2"/>
            <w:vMerge/>
            <w:tcBorders>
              <w:top w:val="nil"/>
              <w:left w:val="single" w:sz="8" w:space="0" w:color="000000"/>
              <w:right w:val="single" w:sz="8" w:space="0" w:color="000000"/>
            </w:tcBorders>
          </w:tcPr>
          <w:p>
            <w:pPr>
              <w:rPr>
                <w:sz w:val="2"/>
                <w:szCs w:val="2"/>
              </w:rPr>
            </w:pPr>
          </w:p>
        </w:tc>
        <w:tc>
          <w:tcPr>
            <w:tcW w:w="906" w:type="dxa"/>
            <w:tcBorders>
              <w:top w:val="nil"/>
              <w:left w:val="single" w:sz="8" w:space="0" w:color="000000"/>
              <w:right w:val="single" w:sz="8" w:space="0" w:color="000000"/>
            </w:tcBorders>
          </w:tcPr>
          <w:p>
            <w:pPr>
              <w:pStyle w:val="TableParagraph"/>
              <w:spacing w:line="186" w:lineRule="exact" w:before="51"/>
              <w:ind w:right="38"/>
              <w:jc w:val="right"/>
              <w:rPr>
                <w:rFonts w:ascii="Arial MT"/>
                <w:sz w:val="18"/>
              </w:rPr>
            </w:pPr>
            <w:r>
              <w:rPr>
                <w:rFonts w:ascii="Arial MT"/>
                <w:spacing w:val="-4"/>
                <w:sz w:val="18"/>
              </w:rPr>
              <w:t>.994</w:t>
            </w:r>
          </w:p>
        </w:tc>
        <w:tc>
          <w:tcPr>
            <w:tcW w:w="1168" w:type="dxa"/>
            <w:tcBorders>
              <w:top w:val="nil"/>
              <w:left w:val="single" w:sz="8" w:space="0" w:color="000000"/>
            </w:tcBorders>
          </w:tcPr>
          <w:p>
            <w:pPr>
              <w:pStyle w:val="TableParagraph"/>
              <w:spacing w:line="186" w:lineRule="exact" w:before="51"/>
              <w:ind w:right="35"/>
              <w:jc w:val="right"/>
              <w:rPr>
                <w:rFonts w:ascii="Arial MT"/>
                <w:sz w:val="18"/>
              </w:rPr>
            </w:pPr>
            <w:r>
              <w:rPr>
                <w:rFonts w:ascii="Arial MT"/>
                <w:spacing w:val="-4"/>
                <w:sz w:val="18"/>
              </w:rPr>
              <w:t>.335</w:t>
            </w:r>
          </w:p>
        </w:tc>
      </w:tr>
      <w:tr>
        <w:trPr>
          <w:trHeight w:val="315" w:hRule="atLeast"/>
        </w:trPr>
        <w:tc>
          <w:tcPr>
            <w:tcW w:w="5403" w:type="dxa"/>
            <w:gridSpan w:val="4"/>
            <w:tcBorders>
              <w:right w:val="single" w:sz="8" w:space="0" w:color="000000"/>
            </w:tcBorders>
          </w:tcPr>
          <w:p>
            <w:pPr>
              <w:pStyle w:val="TableParagraph"/>
              <w:spacing w:line="186" w:lineRule="exact" w:before="108"/>
              <w:ind w:left="733"/>
              <w:rPr>
                <w:rFonts w:ascii="Arial MT"/>
                <w:sz w:val="18"/>
              </w:rPr>
            </w:pPr>
            <w:r>
              <w:rPr>
                <w:rFonts w:ascii="Arial MT"/>
                <w:sz w:val="18"/>
              </w:rPr>
              <w:t>a.</w:t>
            </w:r>
            <w:r>
              <w:rPr>
                <w:rFonts w:ascii="Arial MT"/>
                <w:spacing w:val="-4"/>
                <w:sz w:val="18"/>
              </w:rPr>
              <w:t> </w:t>
            </w:r>
            <w:r>
              <w:rPr>
                <w:rFonts w:ascii="Arial MT"/>
                <w:sz w:val="18"/>
              </w:rPr>
              <w:t>Dependent</w:t>
            </w:r>
            <w:r>
              <w:rPr>
                <w:rFonts w:ascii="Arial MT"/>
                <w:spacing w:val="-4"/>
                <w:sz w:val="18"/>
              </w:rPr>
              <w:t> </w:t>
            </w:r>
            <w:r>
              <w:rPr>
                <w:rFonts w:ascii="Arial MT"/>
                <w:sz w:val="18"/>
              </w:rPr>
              <w:t>Variable:</w:t>
            </w:r>
            <w:r>
              <w:rPr>
                <w:rFonts w:ascii="Arial MT"/>
                <w:spacing w:val="-4"/>
                <w:sz w:val="18"/>
              </w:rPr>
              <w:t> </w:t>
            </w:r>
            <w:r>
              <w:rPr>
                <w:rFonts w:ascii="Arial MT"/>
                <w:sz w:val="18"/>
              </w:rPr>
              <w:t>Housing</w:t>
            </w:r>
            <w:r>
              <w:rPr>
                <w:rFonts w:ascii="Arial MT"/>
                <w:spacing w:val="-4"/>
                <w:sz w:val="18"/>
              </w:rPr>
              <w:t> </w:t>
            </w:r>
            <w:r>
              <w:rPr>
                <w:rFonts w:ascii="Arial MT"/>
                <w:sz w:val="18"/>
              </w:rPr>
              <w:t>budget</w:t>
            </w:r>
            <w:r>
              <w:rPr>
                <w:rFonts w:ascii="Arial MT"/>
                <w:spacing w:val="-3"/>
                <w:sz w:val="18"/>
              </w:rPr>
              <w:t> </w:t>
            </w:r>
            <w:r>
              <w:rPr>
                <w:rFonts w:ascii="Arial MT"/>
                <w:spacing w:val="-2"/>
                <w:sz w:val="18"/>
              </w:rPr>
              <w:t>allocations</w:t>
            </w:r>
          </w:p>
        </w:tc>
        <w:tc>
          <w:tcPr>
            <w:tcW w:w="1888" w:type="dxa"/>
            <w:gridSpan w:val="2"/>
            <w:tcBorders>
              <w:left w:val="single" w:sz="8" w:space="0" w:color="000000"/>
              <w:right w:val="single" w:sz="8" w:space="0" w:color="000000"/>
            </w:tcBorders>
          </w:tcPr>
          <w:p>
            <w:pPr>
              <w:pStyle w:val="TableParagraph"/>
              <w:rPr>
                <w:sz w:val="22"/>
              </w:rPr>
            </w:pPr>
          </w:p>
        </w:tc>
        <w:tc>
          <w:tcPr>
            <w:tcW w:w="906" w:type="dxa"/>
            <w:tcBorders>
              <w:left w:val="single" w:sz="8" w:space="0" w:color="000000"/>
              <w:right w:val="single" w:sz="8" w:space="0" w:color="000000"/>
            </w:tcBorders>
          </w:tcPr>
          <w:p>
            <w:pPr>
              <w:pStyle w:val="TableParagraph"/>
              <w:rPr>
                <w:sz w:val="22"/>
              </w:rPr>
            </w:pPr>
          </w:p>
        </w:tc>
        <w:tc>
          <w:tcPr>
            <w:tcW w:w="1168" w:type="dxa"/>
            <w:tcBorders>
              <w:left w:val="single" w:sz="8" w:space="0" w:color="000000"/>
            </w:tcBorders>
          </w:tcPr>
          <w:p>
            <w:pPr>
              <w:pStyle w:val="TableParagraph"/>
              <w:rPr>
                <w:sz w:val="22"/>
              </w:rPr>
            </w:pPr>
          </w:p>
        </w:tc>
      </w:tr>
      <w:tr>
        <w:trPr>
          <w:trHeight w:val="315" w:hRule="atLeast"/>
        </w:trPr>
        <w:tc>
          <w:tcPr>
            <w:tcW w:w="9365" w:type="dxa"/>
            <w:gridSpan w:val="8"/>
          </w:tcPr>
          <w:p>
            <w:pPr>
              <w:pStyle w:val="TableParagraph"/>
              <w:spacing w:line="191" w:lineRule="exact" w:before="104"/>
              <w:ind w:left="754"/>
              <w:jc w:val="center"/>
              <w:rPr>
                <w:rFonts w:ascii="Arial"/>
                <w:b/>
                <w:sz w:val="18"/>
              </w:rPr>
            </w:pPr>
            <w:r>
              <w:rPr>
                <w:rFonts w:ascii="Arial"/>
                <w:b/>
                <w:sz w:val="18"/>
              </w:rPr>
              <w:t>Model</w:t>
            </w:r>
            <w:r>
              <w:rPr>
                <w:rFonts w:ascii="Arial"/>
                <w:b/>
                <w:spacing w:val="1"/>
                <w:sz w:val="18"/>
              </w:rPr>
              <w:t> </w:t>
            </w:r>
            <w:r>
              <w:rPr>
                <w:rFonts w:ascii="Arial"/>
                <w:b/>
                <w:spacing w:val="-2"/>
                <w:sz w:val="18"/>
              </w:rPr>
              <w:t>Summary</w:t>
            </w:r>
          </w:p>
        </w:tc>
      </w:tr>
      <w:tr>
        <w:trPr>
          <w:trHeight w:val="408" w:hRule="atLeast"/>
        </w:trPr>
        <w:tc>
          <w:tcPr>
            <w:tcW w:w="1923" w:type="dxa"/>
            <w:gridSpan w:val="2"/>
          </w:tcPr>
          <w:p>
            <w:pPr>
              <w:pStyle w:val="TableParagraph"/>
              <w:spacing w:line="203" w:lineRule="exact"/>
              <w:ind w:left="77"/>
              <w:jc w:val="center"/>
              <w:rPr>
                <w:rFonts w:ascii="Arial MT"/>
                <w:sz w:val="18"/>
              </w:rPr>
            </w:pPr>
            <w:r>
              <w:rPr>
                <w:rFonts w:ascii="Arial MT"/>
                <w:spacing w:val="-2"/>
                <w:sz w:val="18"/>
              </w:rPr>
              <w:t>Model</w:t>
            </w:r>
          </w:p>
        </w:tc>
        <w:tc>
          <w:tcPr>
            <w:tcW w:w="1770" w:type="dxa"/>
            <w:tcBorders>
              <w:right w:val="single" w:sz="8" w:space="0" w:color="000000"/>
            </w:tcBorders>
          </w:tcPr>
          <w:p>
            <w:pPr>
              <w:pStyle w:val="TableParagraph"/>
              <w:spacing w:before="99"/>
              <w:ind w:left="28" w:right="56"/>
              <w:jc w:val="center"/>
              <w:rPr>
                <w:rFonts w:ascii="Arial MT"/>
                <w:sz w:val="18"/>
              </w:rPr>
            </w:pPr>
            <w:r>
              <w:rPr>
                <w:rFonts w:ascii="Arial MT"/>
                <w:spacing w:val="-10"/>
                <w:sz w:val="18"/>
              </w:rPr>
              <w:t>R</w:t>
            </w:r>
          </w:p>
        </w:tc>
        <w:tc>
          <w:tcPr>
            <w:tcW w:w="1710" w:type="dxa"/>
            <w:tcBorders>
              <w:left w:val="single" w:sz="8" w:space="0" w:color="000000"/>
              <w:right w:val="single" w:sz="8" w:space="0" w:color="000000"/>
            </w:tcBorders>
          </w:tcPr>
          <w:p>
            <w:pPr>
              <w:pStyle w:val="TableParagraph"/>
              <w:spacing w:before="99"/>
              <w:ind w:left="485"/>
              <w:rPr>
                <w:rFonts w:ascii="Arial MT"/>
                <w:sz w:val="18"/>
              </w:rPr>
            </w:pPr>
            <w:r>
              <w:rPr>
                <w:rFonts w:ascii="Arial MT"/>
                <w:sz w:val="18"/>
              </w:rPr>
              <w:t>R</w:t>
            </w:r>
            <w:r>
              <w:rPr>
                <w:rFonts w:ascii="Arial MT"/>
                <w:spacing w:val="-2"/>
                <w:sz w:val="18"/>
              </w:rPr>
              <w:t> Square</w:t>
            </w:r>
          </w:p>
        </w:tc>
        <w:tc>
          <w:tcPr>
            <w:tcW w:w="1621" w:type="dxa"/>
            <w:tcBorders>
              <w:left w:val="single" w:sz="8" w:space="0" w:color="000000"/>
              <w:right w:val="single" w:sz="8" w:space="0" w:color="000000"/>
            </w:tcBorders>
          </w:tcPr>
          <w:p>
            <w:pPr>
              <w:pStyle w:val="TableParagraph"/>
              <w:spacing w:line="203" w:lineRule="exact"/>
              <w:ind w:left="41" w:right="2"/>
              <w:jc w:val="center"/>
              <w:rPr>
                <w:rFonts w:ascii="Arial MT"/>
                <w:sz w:val="18"/>
              </w:rPr>
            </w:pPr>
            <w:r>
              <w:rPr>
                <w:rFonts w:ascii="Arial MT"/>
                <w:sz w:val="18"/>
              </w:rPr>
              <w:t>Adjusted</w:t>
            </w:r>
            <w:r>
              <w:rPr>
                <w:rFonts w:ascii="Arial MT"/>
                <w:spacing w:val="-4"/>
                <w:sz w:val="18"/>
              </w:rPr>
              <w:t> </w:t>
            </w:r>
            <w:r>
              <w:rPr>
                <w:rFonts w:ascii="Arial MT"/>
                <w:spacing w:val="-10"/>
                <w:sz w:val="18"/>
              </w:rPr>
              <w:t>R</w:t>
            </w:r>
          </w:p>
          <w:p>
            <w:pPr>
              <w:pStyle w:val="TableParagraph"/>
              <w:spacing w:line="184" w:lineRule="exact" w:before="2"/>
              <w:ind w:left="41"/>
              <w:jc w:val="center"/>
              <w:rPr>
                <w:rFonts w:ascii="Arial MT"/>
                <w:sz w:val="18"/>
              </w:rPr>
            </w:pPr>
            <w:r>
              <w:rPr>
                <w:rFonts w:ascii="Arial MT"/>
                <w:spacing w:val="-2"/>
                <w:sz w:val="18"/>
              </w:rPr>
              <w:t>Square</w:t>
            </w:r>
          </w:p>
        </w:tc>
        <w:tc>
          <w:tcPr>
            <w:tcW w:w="2341" w:type="dxa"/>
            <w:gridSpan w:val="3"/>
            <w:tcBorders>
              <w:left w:val="single" w:sz="8" w:space="0" w:color="000000"/>
            </w:tcBorders>
          </w:tcPr>
          <w:p>
            <w:pPr>
              <w:pStyle w:val="TableParagraph"/>
              <w:spacing w:before="99"/>
              <w:ind w:left="248"/>
              <w:rPr>
                <w:rFonts w:ascii="Arial MT"/>
                <w:sz w:val="18"/>
              </w:rPr>
            </w:pPr>
            <w:r>
              <w:rPr>
                <w:rFonts w:ascii="Arial MT"/>
                <w:sz w:val="18"/>
              </w:rPr>
              <w:t>Std.</w:t>
            </w:r>
            <w:r>
              <w:rPr>
                <w:rFonts w:ascii="Arial MT"/>
                <w:spacing w:val="-3"/>
                <w:sz w:val="18"/>
              </w:rPr>
              <w:t> </w:t>
            </w:r>
            <w:r>
              <w:rPr>
                <w:rFonts w:ascii="Arial MT"/>
                <w:sz w:val="18"/>
              </w:rPr>
              <w:t>Error</w:t>
            </w:r>
            <w:r>
              <w:rPr>
                <w:rFonts w:ascii="Arial MT"/>
                <w:spacing w:val="-3"/>
                <w:sz w:val="18"/>
              </w:rPr>
              <w:t> </w:t>
            </w:r>
            <w:r>
              <w:rPr>
                <w:rFonts w:ascii="Arial MT"/>
                <w:sz w:val="18"/>
              </w:rPr>
              <w:t>of</w:t>
            </w:r>
            <w:r>
              <w:rPr>
                <w:rFonts w:ascii="Arial MT"/>
                <w:spacing w:val="-2"/>
                <w:sz w:val="18"/>
              </w:rPr>
              <w:t> </w:t>
            </w:r>
            <w:r>
              <w:rPr>
                <w:rFonts w:ascii="Arial MT"/>
                <w:sz w:val="18"/>
              </w:rPr>
              <w:t>the</w:t>
            </w:r>
            <w:r>
              <w:rPr>
                <w:rFonts w:ascii="Arial MT"/>
                <w:spacing w:val="-2"/>
                <w:sz w:val="18"/>
              </w:rPr>
              <w:t> Estimate</w:t>
            </w:r>
          </w:p>
        </w:tc>
      </w:tr>
      <w:tr>
        <w:trPr>
          <w:trHeight w:val="318" w:hRule="atLeast"/>
        </w:trPr>
        <w:tc>
          <w:tcPr>
            <w:tcW w:w="1923" w:type="dxa"/>
            <w:gridSpan w:val="2"/>
          </w:tcPr>
          <w:p>
            <w:pPr>
              <w:pStyle w:val="TableParagraph"/>
              <w:spacing w:line="203" w:lineRule="exact"/>
              <w:ind w:left="20"/>
              <w:rPr>
                <w:rFonts w:ascii="Arial MT"/>
                <w:sz w:val="18"/>
              </w:rPr>
            </w:pPr>
            <w:r>
              <w:rPr>
                <w:rFonts w:ascii="Arial MT"/>
                <w:spacing w:val="-10"/>
                <w:sz w:val="18"/>
              </w:rPr>
              <w:t>1</w:t>
            </w:r>
          </w:p>
        </w:tc>
        <w:tc>
          <w:tcPr>
            <w:tcW w:w="1770" w:type="dxa"/>
            <w:tcBorders>
              <w:right w:val="single" w:sz="8" w:space="0" w:color="000000"/>
            </w:tcBorders>
          </w:tcPr>
          <w:p>
            <w:pPr>
              <w:pStyle w:val="TableParagraph"/>
              <w:spacing w:line="189" w:lineRule="exact" w:before="109"/>
              <w:ind w:left="56" w:right="28"/>
              <w:jc w:val="center"/>
              <w:rPr>
                <w:rFonts w:ascii="Arial MT"/>
                <w:sz w:val="18"/>
              </w:rPr>
            </w:pPr>
            <w:r>
              <w:rPr>
                <w:rFonts w:ascii="Arial MT"/>
                <w:spacing w:val="-2"/>
                <w:sz w:val="18"/>
              </w:rPr>
              <w:t>.241</w:t>
            </w:r>
            <w:r>
              <w:rPr>
                <w:rFonts w:ascii="Arial MT"/>
                <w:spacing w:val="-2"/>
                <w:sz w:val="18"/>
                <w:vertAlign w:val="superscript"/>
              </w:rPr>
              <w:t>a</w:t>
            </w:r>
          </w:p>
        </w:tc>
        <w:tc>
          <w:tcPr>
            <w:tcW w:w="1710" w:type="dxa"/>
            <w:tcBorders>
              <w:left w:val="single" w:sz="8" w:space="0" w:color="000000"/>
              <w:right w:val="single" w:sz="8" w:space="0" w:color="000000"/>
            </w:tcBorders>
          </w:tcPr>
          <w:p>
            <w:pPr>
              <w:pStyle w:val="TableParagraph"/>
              <w:spacing w:line="189" w:lineRule="exact" w:before="109"/>
              <w:ind w:left="40"/>
              <w:jc w:val="center"/>
              <w:rPr>
                <w:rFonts w:ascii="Arial MT"/>
                <w:sz w:val="18"/>
              </w:rPr>
            </w:pPr>
            <w:r>
              <w:rPr>
                <w:rFonts w:ascii="Arial MT"/>
                <w:spacing w:val="-4"/>
                <w:sz w:val="18"/>
              </w:rPr>
              <w:t>.058</w:t>
            </w:r>
          </w:p>
        </w:tc>
        <w:tc>
          <w:tcPr>
            <w:tcW w:w="1621" w:type="dxa"/>
            <w:tcBorders>
              <w:left w:val="single" w:sz="8" w:space="0" w:color="000000"/>
              <w:right w:val="single" w:sz="8" w:space="0" w:color="000000"/>
            </w:tcBorders>
          </w:tcPr>
          <w:p>
            <w:pPr>
              <w:pStyle w:val="TableParagraph"/>
              <w:spacing w:line="189" w:lineRule="exact" w:before="109"/>
              <w:ind w:left="41" w:right="2"/>
              <w:jc w:val="center"/>
              <w:rPr>
                <w:rFonts w:ascii="Arial MT"/>
                <w:sz w:val="18"/>
              </w:rPr>
            </w:pPr>
            <w:r>
              <w:rPr>
                <w:rFonts w:ascii="Arial MT"/>
                <w:spacing w:val="-2"/>
                <w:sz w:val="18"/>
              </w:rPr>
              <w:t>-</w:t>
            </w:r>
            <w:r>
              <w:rPr>
                <w:rFonts w:ascii="Arial MT"/>
                <w:spacing w:val="-4"/>
                <w:sz w:val="18"/>
              </w:rPr>
              <w:t>.001</w:t>
            </w:r>
          </w:p>
        </w:tc>
        <w:tc>
          <w:tcPr>
            <w:tcW w:w="2341" w:type="dxa"/>
            <w:gridSpan w:val="3"/>
            <w:tcBorders>
              <w:left w:val="single" w:sz="8" w:space="0" w:color="000000"/>
            </w:tcBorders>
          </w:tcPr>
          <w:p>
            <w:pPr>
              <w:pStyle w:val="TableParagraph"/>
              <w:spacing w:line="189" w:lineRule="exact" w:before="109"/>
              <w:ind w:left="714"/>
              <w:rPr>
                <w:rFonts w:ascii="Arial MT"/>
                <w:sz w:val="18"/>
              </w:rPr>
            </w:pPr>
            <w:r>
              <w:rPr>
                <w:rFonts w:ascii="Arial MT"/>
                <w:spacing w:val="-2"/>
                <w:sz w:val="18"/>
              </w:rPr>
              <w:t>1211069403.36644</w:t>
            </w:r>
          </w:p>
        </w:tc>
      </w:tr>
      <w:tr>
        <w:trPr>
          <w:trHeight w:val="319" w:hRule="atLeast"/>
        </w:trPr>
        <w:tc>
          <w:tcPr>
            <w:tcW w:w="5403" w:type="dxa"/>
            <w:gridSpan w:val="4"/>
            <w:tcBorders>
              <w:right w:val="single" w:sz="8" w:space="0" w:color="000000"/>
            </w:tcBorders>
          </w:tcPr>
          <w:p>
            <w:pPr>
              <w:pStyle w:val="TableParagraph"/>
              <w:spacing w:line="186" w:lineRule="exact" w:before="113"/>
              <w:ind w:left="793"/>
              <w:rPr>
                <w:rFonts w:ascii="Arial MT"/>
                <w:sz w:val="18"/>
              </w:rPr>
            </w:pPr>
            <w:r>
              <w:rPr>
                <w:rFonts w:ascii="Arial MT"/>
                <w:sz w:val="18"/>
              </w:rPr>
              <w:t>a.</w:t>
            </w:r>
            <w:r>
              <w:rPr>
                <w:rFonts w:ascii="Arial MT"/>
                <w:spacing w:val="-5"/>
                <w:sz w:val="18"/>
              </w:rPr>
              <w:t> </w:t>
            </w:r>
            <w:r>
              <w:rPr>
                <w:rFonts w:ascii="Arial MT"/>
                <w:sz w:val="18"/>
              </w:rPr>
              <w:t>Predictors:</w:t>
            </w:r>
            <w:r>
              <w:rPr>
                <w:rFonts w:ascii="Arial MT"/>
                <w:spacing w:val="-5"/>
                <w:sz w:val="18"/>
              </w:rPr>
              <w:t> </w:t>
            </w:r>
            <w:r>
              <w:rPr>
                <w:rFonts w:ascii="Arial MT"/>
                <w:sz w:val="18"/>
              </w:rPr>
              <w:t>(Constant),</w:t>
            </w:r>
            <w:r>
              <w:rPr>
                <w:rFonts w:ascii="Arial MT"/>
                <w:spacing w:val="-4"/>
                <w:sz w:val="18"/>
              </w:rPr>
              <w:t> Time</w:t>
            </w:r>
          </w:p>
        </w:tc>
        <w:tc>
          <w:tcPr>
            <w:tcW w:w="1621" w:type="dxa"/>
            <w:tcBorders>
              <w:left w:val="single" w:sz="8" w:space="0" w:color="000000"/>
              <w:right w:val="single" w:sz="8" w:space="0" w:color="000000"/>
            </w:tcBorders>
          </w:tcPr>
          <w:p>
            <w:pPr>
              <w:pStyle w:val="TableParagraph"/>
              <w:rPr>
                <w:sz w:val="22"/>
              </w:rPr>
            </w:pPr>
          </w:p>
        </w:tc>
        <w:tc>
          <w:tcPr>
            <w:tcW w:w="2341" w:type="dxa"/>
            <w:gridSpan w:val="3"/>
            <w:tcBorders>
              <w:left w:val="single" w:sz="8" w:space="0" w:color="000000"/>
            </w:tcBorders>
          </w:tcPr>
          <w:p>
            <w:pPr>
              <w:pStyle w:val="TableParagraph"/>
              <w:rPr>
                <w:sz w:val="22"/>
              </w:rPr>
            </w:pPr>
          </w:p>
        </w:tc>
      </w:tr>
    </w:tbl>
    <w:p>
      <w:pPr>
        <w:pStyle w:val="BodyText"/>
        <w:ind w:left="240"/>
      </w:pPr>
      <w:r>
        <w:rPr>
          <w:b/>
        </w:rPr>
        <w:t>Source:</w:t>
      </w:r>
      <w:r>
        <w:rPr>
          <w:b/>
          <w:spacing w:val="-5"/>
        </w:rPr>
        <w:t> </w:t>
      </w:r>
      <w:r>
        <w:rPr/>
        <w:t>Researcher‘s</w:t>
      </w:r>
      <w:r>
        <w:rPr>
          <w:spacing w:val="1"/>
        </w:rPr>
        <w:t> </w:t>
      </w:r>
      <w:r>
        <w:rPr/>
        <w:t>computation</w:t>
      </w:r>
      <w:r>
        <w:rPr>
          <w:spacing w:val="-1"/>
        </w:rPr>
        <w:t> </w:t>
      </w:r>
      <w:r>
        <w:rPr/>
        <w:t>and</w:t>
      </w:r>
      <w:r>
        <w:rPr>
          <w:spacing w:val="-1"/>
        </w:rPr>
        <w:t> </w:t>
      </w:r>
      <w:r>
        <w:rPr/>
        <w:t>extract</w:t>
      </w:r>
      <w:r>
        <w:rPr>
          <w:spacing w:val="-2"/>
        </w:rPr>
        <w:t> </w:t>
      </w:r>
      <w:r>
        <w:rPr/>
        <w:t>from</w:t>
      </w:r>
      <w:r>
        <w:rPr>
          <w:spacing w:val="-1"/>
        </w:rPr>
        <w:t> </w:t>
      </w:r>
      <w:r>
        <w:rPr/>
        <w:t>SPSS</w:t>
      </w:r>
      <w:r>
        <w:rPr>
          <w:spacing w:val="-1"/>
        </w:rPr>
        <w:t> </w:t>
      </w:r>
      <w:r>
        <w:rPr/>
        <w:t>version</w:t>
      </w:r>
      <w:r>
        <w:rPr>
          <w:spacing w:val="-1"/>
        </w:rPr>
        <w:t> </w:t>
      </w:r>
      <w:r>
        <w:rPr/>
        <w:t>22</w:t>
      </w:r>
      <w:r>
        <w:rPr>
          <w:spacing w:val="2"/>
        </w:rPr>
        <w:t> </w:t>
      </w:r>
      <w:r>
        <w:rPr>
          <w:spacing w:val="-2"/>
        </w:rPr>
        <w:t>(2017)</w:t>
      </w:r>
    </w:p>
    <w:p>
      <w:pPr>
        <w:pStyle w:val="BodyText"/>
        <w:spacing w:before="180"/>
      </w:pPr>
    </w:p>
    <w:p>
      <w:pPr>
        <w:pStyle w:val="BodyText"/>
        <w:spacing w:line="360" w:lineRule="auto"/>
        <w:ind w:left="240" w:right="837"/>
        <w:jc w:val="both"/>
      </w:pPr>
      <w:r>
        <w:rPr>
          <w:b/>
        </w:rPr>
        <w:t>Interpretation and Decision</w:t>
      </w:r>
      <w:r>
        <w:rPr/>
        <w:t>: The result in Table 5.21 shows a positive movement in trends of Housing budget allocations (with a slope = 54691274.5) in Anambra State for the period under review. The Mean Absolute Deviation (MAD) and Mean Absolute Percentage Error (MAPE) values of 927061776 and 112.329 respectively showed that there are wide variations in movement of the trend which also indicates unpredictability of housing budget allocations in the </w:t>
      </w:r>
      <w:r>
        <w:rPr>
          <w:spacing w:val="-2"/>
        </w:rPr>
        <w:t>State.</w:t>
      </w:r>
    </w:p>
    <w:p>
      <w:pPr>
        <w:pStyle w:val="BodyText"/>
        <w:spacing w:line="360" w:lineRule="auto" w:before="203"/>
        <w:ind w:left="240" w:right="835"/>
        <w:jc w:val="both"/>
      </w:pPr>
      <w:r>
        <w:rPr/>
        <w:t>The correlation coefficient (R) result of the trend equation is 0.241 with associated probability value of 0.335 &gt; 0.05 which indicates a low and insignificant trend. This is further confirmed by R-square estimate which measures the goodness of fit of the model showing that only about</w:t>
      </w:r>
      <w:r>
        <w:rPr>
          <w:spacing w:val="40"/>
        </w:rPr>
        <w:t> </w:t>
      </w:r>
      <w:r>
        <w:rPr/>
        <w:t>5.8% of the total variations in annual housing budget allocation in the State could be explained</w:t>
      </w:r>
      <w:r>
        <w:rPr>
          <w:spacing w:val="40"/>
        </w:rPr>
        <w:t> </w:t>
      </w:r>
      <w:r>
        <w:rPr/>
        <w:t>by time. The remaining 94.2% are unexplained. We therefore accept the null hypothesis of no significant</w:t>
      </w:r>
      <w:r>
        <w:rPr>
          <w:spacing w:val="29"/>
        </w:rPr>
        <w:t> </w:t>
      </w:r>
      <w:r>
        <w:rPr/>
        <w:t>trend</w:t>
      </w:r>
      <w:r>
        <w:rPr>
          <w:spacing w:val="30"/>
        </w:rPr>
        <w:t> </w:t>
      </w:r>
      <w:r>
        <w:rPr/>
        <w:t>of</w:t>
      </w:r>
      <w:r>
        <w:rPr>
          <w:spacing w:val="30"/>
        </w:rPr>
        <w:t> </w:t>
      </w:r>
      <w:r>
        <w:rPr/>
        <w:t>annual</w:t>
      </w:r>
      <w:r>
        <w:rPr>
          <w:spacing w:val="31"/>
        </w:rPr>
        <w:t> </w:t>
      </w:r>
      <w:r>
        <w:rPr/>
        <w:t>housing</w:t>
      </w:r>
      <w:r>
        <w:rPr>
          <w:spacing w:val="28"/>
        </w:rPr>
        <w:t> </w:t>
      </w:r>
      <w:r>
        <w:rPr/>
        <w:t>budget</w:t>
      </w:r>
      <w:r>
        <w:rPr>
          <w:spacing w:val="31"/>
        </w:rPr>
        <w:t> </w:t>
      </w:r>
      <w:r>
        <w:rPr/>
        <w:t>allocation</w:t>
      </w:r>
      <w:r>
        <w:rPr>
          <w:spacing w:val="30"/>
        </w:rPr>
        <w:t> </w:t>
      </w:r>
      <w:r>
        <w:rPr/>
        <w:t>for</w:t>
      </w:r>
      <w:r>
        <w:rPr>
          <w:spacing w:val="29"/>
        </w:rPr>
        <w:t> </w:t>
      </w:r>
      <w:r>
        <w:rPr/>
        <w:t>the</w:t>
      </w:r>
      <w:r>
        <w:rPr>
          <w:spacing w:val="30"/>
        </w:rPr>
        <w:t> </w:t>
      </w:r>
      <w:r>
        <w:rPr/>
        <w:t>period</w:t>
      </w:r>
      <w:r>
        <w:rPr>
          <w:spacing w:val="30"/>
        </w:rPr>
        <w:t> </w:t>
      </w:r>
      <w:r>
        <w:rPr/>
        <w:t>of</w:t>
      </w:r>
      <w:r>
        <w:rPr>
          <w:spacing w:val="30"/>
        </w:rPr>
        <w:t> </w:t>
      </w:r>
      <w:r>
        <w:rPr/>
        <w:t>study,</w:t>
      </w:r>
      <w:r>
        <w:rPr>
          <w:spacing w:val="31"/>
        </w:rPr>
        <w:t> </w:t>
      </w:r>
      <w:r>
        <w:rPr/>
        <w:t>since</w:t>
      </w:r>
      <w:r>
        <w:rPr>
          <w:spacing w:val="29"/>
        </w:rPr>
        <w:t> </w:t>
      </w:r>
      <w:r>
        <w:rPr/>
        <w:t>p-value</w:t>
      </w:r>
      <w:r>
        <w:rPr>
          <w:spacing w:val="30"/>
        </w:rPr>
        <w:t> </w:t>
      </w:r>
      <w:r>
        <w:rPr>
          <w:spacing w:val="-5"/>
        </w:rPr>
        <w:t>of</w:t>
      </w:r>
    </w:p>
    <w:p>
      <w:pPr>
        <w:pStyle w:val="BodyText"/>
        <w:spacing w:before="1"/>
        <w:ind w:left="240"/>
        <w:jc w:val="both"/>
      </w:pPr>
      <w:r>
        <w:rPr/>
        <w:t>0.335 &gt;</w:t>
      </w:r>
      <w:r>
        <w:rPr>
          <w:spacing w:val="-1"/>
        </w:rPr>
        <w:t> </w:t>
      </w:r>
      <w:r>
        <w:rPr>
          <w:spacing w:val="-2"/>
        </w:rPr>
        <w:t>0.05.</w:t>
      </w:r>
    </w:p>
    <w:p>
      <w:pPr>
        <w:spacing w:after="0"/>
        <w:jc w:val="both"/>
        <w:sectPr>
          <w:pgSz w:w="12240" w:h="15840"/>
          <w:pgMar w:header="0" w:footer="1036" w:top="1360" w:bottom="1220" w:left="1200" w:right="600"/>
        </w:sectPr>
      </w:pPr>
    </w:p>
    <w:p>
      <w:pPr>
        <w:pStyle w:val="Heading4"/>
        <w:numPr>
          <w:ilvl w:val="2"/>
          <w:numId w:val="81"/>
        </w:numPr>
        <w:tabs>
          <w:tab w:pos="780" w:val="left" w:leader="none"/>
        </w:tabs>
        <w:spacing w:line="240" w:lineRule="auto" w:before="79" w:after="0"/>
        <w:ind w:left="780" w:right="0" w:hanging="540"/>
        <w:jc w:val="left"/>
      </w:pPr>
      <w:r>
        <w:rPr/>
        <w:t>Hypothesis</w:t>
      </w:r>
      <w:r>
        <w:rPr>
          <w:spacing w:val="-1"/>
        </w:rPr>
        <w:t> </w:t>
      </w:r>
      <w:r>
        <w:rPr>
          <w:spacing w:val="-5"/>
        </w:rPr>
        <w:t>Two</w:t>
      </w:r>
    </w:p>
    <w:p>
      <w:pPr>
        <w:pStyle w:val="BodyText"/>
        <w:spacing w:line="360" w:lineRule="auto" w:before="132"/>
        <w:ind w:left="240" w:right="840"/>
      </w:pPr>
      <w:r>
        <w:rPr/>
        <w:t>There is no causal relationship between the State‘s annual housing budget and the annual federal </w:t>
      </w:r>
      <w:r>
        <w:rPr>
          <w:spacing w:val="-2"/>
        </w:rPr>
        <w:t>allocation.</w:t>
      </w:r>
    </w:p>
    <w:p>
      <w:pPr>
        <w:pStyle w:val="ListParagraph"/>
        <w:numPr>
          <w:ilvl w:val="0"/>
          <w:numId w:val="98"/>
        </w:numPr>
        <w:tabs>
          <w:tab w:pos="596" w:val="left" w:leader="none"/>
        </w:tabs>
        <w:spacing w:line="360" w:lineRule="auto" w:before="0" w:after="0"/>
        <w:ind w:left="240" w:right="835" w:firstLine="0"/>
        <w:jc w:val="left"/>
        <w:rPr>
          <w:sz w:val="24"/>
        </w:rPr>
      </w:pPr>
      <w:r>
        <w:rPr>
          <w:b/>
          <w:sz w:val="24"/>
        </w:rPr>
        <w:t>Data used</w:t>
      </w:r>
      <w:r>
        <w:rPr>
          <w:sz w:val="24"/>
        </w:rPr>
        <w:t>: Annual budget allocation for housing and annual federal allocation of Anambra State from 1999 – 2016 (tables 5.14 and 5.15).</w:t>
      </w:r>
    </w:p>
    <w:p>
      <w:pPr>
        <w:pStyle w:val="ListParagraph"/>
        <w:numPr>
          <w:ilvl w:val="0"/>
          <w:numId w:val="98"/>
        </w:numPr>
        <w:tabs>
          <w:tab w:pos="652" w:val="left" w:leader="none"/>
        </w:tabs>
        <w:spacing w:line="240" w:lineRule="auto" w:before="70" w:after="0"/>
        <w:ind w:left="652" w:right="0" w:hanging="412"/>
        <w:jc w:val="left"/>
        <w:rPr>
          <w:sz w:val="24"/>
        </w:rPr>
      </w:pPr>
      <w:r>
        <w:rPr>
          <w:b/>
          <w:sz w:val="24"/>
        </w:rPr>
        <w:t>Data</w:t>
      </w:r>
      <w:r>
        <w:rPr>
          <w:b/>
          <w:spacing w:val="-4"/>
          <w:sz w:val="24"/>
        </w:rPr>
        <w:t> </w:t>
      </w:r>
      <w:r>
        <w:rPr>
          <w:b/>
          <w:sz w:val="24"/>
        </w:rPr>
        <w:t>analysis</w:t>
      </w:r>
      <w:r>
        <w:rPr>
          <w:b/>
          <w:spacing w:val="-1"/>
          <w:sz w:val="24"/>
        </w:rPr>
        <w:t> </w:t>
      </w:r>
      <w:r>
        <w:rPr>
          <w:b/>
          <w:sz w:val="24"/>
        </w:rPr>
        <w:t>software</w:t>
      </w:r>
      <w:r>
        <w:rPr>
          <w:sz w:val="24"/>
        </w:rPr>
        <w:t>:</w:t>
      </w:r>
      <w:r>
        <w:rPr>
          <w:spacing w:val="-1"/>
          <w:sz w:val="24"/>
        </w:rPr>
        <w:t> </w:t>
      </w:r>
      <w:r>
        <w:rPr>
          <w:sz w:val="24"/>
        </w:rPr>
        <w:t>E-views</w:t>
      </w:r>
      <w:r>
        <w:rPr>
          <w:spacing w:val="-2"/>
          <w:sz w:val="24"/>
        </w:rPr>
        <w:t> </w:t>
      </w:r>
      <w:r>
        <w:rPr>
          <w:sz w:val="24"/>
        </w:rPr>
        <w:t>7</w:t>
      </w:r>
      <w:r>
        <w:rPr>
          <w:spacing w:val="1"/>
          <w:sz w:val="24"/>
        </w:rPr>
        <w:t> </w:t>
      </w:r>
      <w:r>
        <w:rPr>
          <w:sz w:val="24"/>
        </w:rPr>
        <w:t>econometric</w:t>
      </w:r>
      <w:r>
        <w:rPr>
          <w:spacing w:val="-3"/>
          <w:sz w:val="24"/>
        </w:rPr>
        <w:t> </w:t>
      </w:r>
      <w:r>
        <w:rPr>
          <w:spacing w:val="-2"/>
          <w:sz w:val="24"/>
        </w:rPr>
        <w:t>software.</w:t>
      </w:r>
    </w:p>
    <w:p>
      <w:pPr>
        <w:pStyle w:val="ListParagraph"/>
        <w:numPr>
          <w:ilvl w:val="0"/>
          <w:numId w:val="98"/>
        </w:numPr>
        <w:tabs>
          <w:tab w:pos="623" w:val="left" w:leader="none"/>
        </w:tabs>
        <w:spacing w:line="240" w:lineRule="auto" w:before="139" w:after="0"/>
        <w:ind w:left="623" w:right="0" w:hanging="383"/>
        <w:jc w:val="left"/>
        <w:rPr>
          <w:sz w:val="24"/>
        </w:rPr>
      </w:pPr>
      <w:r>
        <w:rPr>
          <w:b/>
          <w:sz w:val="24"/>
        </w:rPr>
        <w:t>Data</w:t>
      </w:r>
      <w:r>
        <w:rPr>
          <w:b/>
          <w:spacing w:val="-3"/>
          <w:sz w:val="24"/>
        </w:rPr>
        <w:t> </w:t>
      </w:r>
      <w:r>
        <w:rPr>
          <w:b/>
          <w:sz w:val="24"/>
        </w:rPr>
        <w:t>analysis</w:t>
      </w:r>
      <w:r>
        <w:rPr>
          <w:b/>
          <w:spacing w:val="-1"/>
          <w:sz w:val="24"/>
        </w:rPr>
        <w:t> </w:t>
      </w:r>
      <w:r>
        <w:rPr>
          <w:b/>
          <w:sz w:val="24"/>
        </w:rPr>
        <w:t>method/tool</w:t>
      </w:r>
      <w:r>
        <w:rPr>
          <w:sz w:val="24"/>
        </w:rPr>
        <w:t>: Granger</w:t>
      </w:r>
      <w:r>
        <w:rPr>
          <w:spacing w:val="-1"/>
          <w:sz w:val="24"/>
        </w:rPr>
        <w:t> </w:t>
      </w:r>
      <w:r>
        <w:rPr>
          <w:sz w:val="24"/>
        </w:rPr>
        <w:t>Causality</w:t>
      </w:r>
      <w:r>
        <w:rPr>
          <w:spacing w:val="-3"/>
          <w:sz w:val="24"/>
        </w:rPr>
        <w:t> </w:t>
      </w:r>
      <w:r>
        <w:rPr>
          <w:spacing w:val="-2"/>
          <w:sz w:val="24"/>
        </w:rPr>
        <w:t>test.</w:t>
      </w:r>
    </w:p>
    <w:p>
      <w:pPr>
        <w:pStyle w:val="ListParagraph"/>
        <w:numPr>
          <w:ilvl w:val="0"/>
          <w:numId w:val="98"/>
        </w:numPr>
        <w:tabs>
          <w:tab w:pos="623" w:val="left" w:leader="none"/>
        </w:tabs>
        <w:spacing w:line="360" w:lineRule="auto" w:before="137" w:after="0"/>
        <w:ind w:left="240" w:right="835" w:firstLine="0"/>
        <w:jc w:val="left"/>
        <w:rPr>
          <w:sz w:val="24"/>
        </w:rPr>
      </w:pPr>
      <w:r>
        <w:rPr>
          <w:b/>
          <w:sz w:val="24"/>
        </w:rPr>
        <w:t>Decision</w:t>
      </w:r>
      <w:r>
        <w:rPr>
          <w:b/>
          <w:spacing w:val="28"/>
          <w:sz w:val="24"/>
        </w:rPr>
        <w:t> </w:t>
      </w:r>
      <w:r>
        <w:rPr>
          <w:b/>
          <w:sz w:val="24"/>
        </w:rPr>
        <w:t>rule</w:t>
      </w:r>
      <w:r>
        <w:rPr>
          <w:sz w:val="24"/>
        </w:rPr>
        <w:t>:</w:t>
      </w:r>
      <w:r>
        <w:rPr>
          <w:spacing w:val="28"/>
          <w:sz w:val="24"/>
        </w:rPr>
        <w:t> </w:t>
      </w:r>
      <w:r>
        <w:rPr>
          <w:sz w:val="24"/>
        </w:rPr>
        <w:t>Reject</w:t>
      </w:r>
      <w:r>
        <w:rPr>
          <w:spacing w:val="28"/>
          <w:sz w:val="24"/>
        </w:rPr>
        <w:t> </w:t>
      </w:r>
      <w:r>
        <w:rPr>
          <w:sz w:val="24"/>
        </w:rPr>
        <w:t>the</w:t>
      </w:r>
      <w:r>
        <w:rPr>
          <w:spacing w:val="27"/>
          <w:sz w:val="24"/>
        </w:rPr>
        <w:t> </w:t>
      </w:r>
      <w:r>
        <w:rPr>
          <w:sz w:val="24"/>
        </w:rPr>
        <w:t>null</w:t>
      </w:r>
      <w:r>
        <w:rPr>
          <w:spacing w:val="28"/>
          <w:sz w:val="24"/>
        </w:rPr>
        <w:t> </w:t>
      </w:r>
      <w:r>
        <w:rPr>
          <w:sz w:val="24"/>
        </w:rPr>
        <w:t>hypothesis</w:t>
      </w:r>
      <w:r>
        <w:rPr>
          <w:spacing w:val="28"/>
          <w:sz w:val="24"/>
        </w:rPr>
        <w:t> </w:t>
      </w:r>
      <w:r>
        <w:rPr>
          <w:sz w:val="24"/>
        </w:rPr>
        <w:t>if</w:t>
      </w:r>
      <w:r>
        <w:rPr>
          <w:spacing w:val="29"/>
          <w:sz w:val="24"/>
        </w:rPr>
        <w:t> </w:t>
      </w:r>
      <w:r>
        <w:rPr>
          <w:sz w:val="24"/>
        </w:rPr>
        <w:t>p-value</w:t>
      </w:r>
      <w:r>
        <w:rPr>
          <w:spacing w:val="27"/>
          <w:sz w:val="24"/>
        </w:rPr>
        <w:t> </w:t>
      </w:r>
      <w:r>
        <w:rPr>
          <w:sz w:val="24"/>
        </w:rPr>
        <w:t>is</w:t>
      </w:r>
      <w:r>
        <w:rPr>
          <w:spacing w:val="28"/>
          <w:sz w:val="24"/>
        </w:rPr>
        <w:t> </w:t>
      </w:r>
      <w:r>
        <w:rPr>
          <w:sz w:val="24"/>
        </w:rPr>
        <w:t>less</w:t>
      </w:r>
      <w:r>
        <w:rPr>
          <w:spacing w:val="27"/>
          <w:sz w:val="24"/>
        </w:rPr>
        <w:t> </w:t>
      </w:r>
      <w:r>
        <w:rPr>
          <w:sz w:val="24"/>
        </w:rPr>
        <w:t>than</w:t>
      </w:r>
      <w:r>
        <w:rPr>
          <w:spacing w:val="27"/>
          <w:sz w:val="24"/>
        </w:rPr>
        <w:t> </w:t>
      </w:r>
      <w:r>
        <w:rPr>
          <w:sz w:val="24"/>
        </w:rPr>
        <w:t>or</w:t>
      </w:r>
      <w:r>
        <w:rPr>
          <w:spacing w:val="24"/>
          <w:sz w:val="24"/>
        </w:rPr>
        <w:t> </w:t>
      </w:r>
      <w:r>
        <w:rPr>
          <w:sz w:val="24"/>
        </w:rPr>
        <w:t>equal</w:t>
      </w:r>
      <w:r>
        <w:rPr>
          <w:spacing w:val="28"/>
          <w:sz w:val="24"/>
        </w:rPr>
        <w:t> </w:t>
      </w:r>
      <w:r>
        <w:rPr>
          <w:sz w:val="24"/>
        </w:rPr>
        <w:t>to</w:t>
      </w:r>
      <w:r>
        <w:rPr>
          <w:spacing w:val="28"/>
          <w:sz w:val="24"/>
        </w:rPr>
        <w:t> </w:t>
      </w:r>
      <w:r>
        <w:rPr>
          <w:sz w:val="24"/>
        </w:rPr>
        <w:t>0.05</w:t>
      </w:r>
      <w:r>
        <w:rPr>
          <w:b/>
          <w:sz w:val="24"/>
        </w:rPr>
        <w:t>[Level</w:t>
      </w:r>
      <w:r>
        <w:rPr>
          <w:b/>
          <w:spacing w:val="28"/>
          <w:sz w:val="24"/>
        </w:rPr>
        <w:t> </w:t>
      </w:r>
      <w:r>
        <w:rPr>
          <w:b/>
          <w:sz w:val="24"/>
        </w:rPr>
        <w:t>of significance (α)]</w:t>
      </w:r>
      <w:r>
        <w:rPr>
          <w:sz w:val="24"/>
        </w:rPr>
        <w:t>; otherwise do not reject.</w:t>
      </w:r>
    </w:p>
    <w:p>
      <w:pPr>
        <w:pStyle w:val="Heading4"/>
        <w:spacing w:before="210"/>
        <w:ind w:right="840"/>
        <w:jc w:val="left"/>
      </w:pPr>
      <w:r>
        <w:rPr/>
        <w:t>Table</w:t>
      </w:r>
      <w:r>
        <w:rPr>
          <w:spacing w:val="27"/>
        </w:rPr>
        <w:t> </w:t>
      </w:r>
      <w:r>
        <w:rPr/>
        <w:t>5.22.</w:t>
      </w:r>
      <w:r>
        <w:rPr>
          <w:spacing w:val="28"/>
        </w:rPr>
        <w:t> </w:t>
      </w:r>
      <w:r>
        <w:rPr/>
        <w:t>Granger</w:t>
      </w:r>
      <w:r>
        <w:rPr>
          <w:spacing w:val="27"/>
        </w:rPr>
        <w:t> </w:t>
      </w:r>
      <w:r>
        <w:rPr/>
        <w:t>Causality</w:t>
      </w:r>
      <w:r>
        <w:rPr>
          <w:spacing w:val="27"/>
        </w:rPr>
        <w:t> </w:t>
      </w:r>
      <w:r>
        <w:rPr/>
        <w:t>Result</w:t>
      </w:r>
      <w:r>
        <w:rPr>
          <w:spacing w:val="27"/>
        </w:rPr>
        <w:t> </w:t>
      </w:r>
      <w:r>
        <w:rPr/>
        <w:t>of</w:t>
      </w:r>
      <w:r>
        <w:rPr>
          <w:spacing w:val="31"/>
        </w:rPr>
        <w:t> </w:t>
      </w:r>
      <w:r>
        <w:rPr/>
        <w:t>Annual</w:t>
      </w:r>
      <w:r>
        <w:rPr>
          <w:spacing w:val="28"/>
        </w:rPr>
        <w:t> </w:t>
      </w:r>
      <w:r>
        <w:rPr/>
        <w:t>Housing</w:t>
      </w:r>
      <w:r>
        <w:rPr>
          <w:spacing w:val="29"/>
        </w:rPr>
        <w:t> </w:t>
      </w:r>
      <w:r>
        <w:rPr/>
        <w:t>Budget</w:t>
      </w:r>
      <w:r>
        <w:rPr>
          <w:spacing w:val="27"/>
        </w:rPr>
        <w:t> </w:t>
      </w:r>
      <w:r>
        <w:rPr/>
        <w:t>Allocation</w:t>
      </w:r>
      <w:r>
        <w:rPr>
          <w:spacing w:val="29"/>
        </w:rPr>
        <w:t> </w:t>
      </w:r>
      <w:r>
        <w:rPr/>
        <w:t>and</w:t>
      </w:r>
      <w:r>
        <w:rPr>
          <w:spacing w:val="28"/>
        </w:rPr>
        <w:t> </w:t>
      </w:r>
      <w:r>
        <w:rPr/>
        <w:t>Federal Allocation</w:t>
      </w:r>
      <w:r>
        <w:rPr>
          <w:spacing w:val="40"/>
        </w:rPr>
        <w:t> </w:t>
      </w:r>
      <w:r>
        <w:rPr/>
        <w:t>in Anambra State</w:t>
      </w:r>
    </w:p>
    <w:p>
      <w:pPr>
        <w:pStyle w:val="BodyText"/>
        <w:spacing w:before="6"/>
        <w:rPr>
          <w:b/>
          <w:sz w:val="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12"/>
        <w:gridCol w:w="811"/>
        <w:gridCol w:w="1162"/>
        <w:gridCol w:w="809"/>
      </w:tblGrid>
      <w:tr>
        <w:trPr>
          <w:trHeight w:val="218" w:hRule="atLeast"/>
        </w:trPr>
        <w:tc>
          <w:tcPr>
            <w:tcW w:w="6612" w:type="dxa"/>
            <w:tcBorders>
              <w:top w:val="thinThickMediumGap" w:sz="12" w:space="0" w:color="000000"/>
            </w:tcBorders>
          </w:tcPr>
          <w:p>
            <w:pPr>
              <w:pStyle w:val="TableParagraph"/>
              <w:spacing w:line="198" w:lineRule="exact" w:before="1"/>
              <w:ind w:left="122"/>
              <w:rPr>
                <w:rFonts w:ascii="Arial MT"/>
                <w:sz w:val="18"/>
              </w:rPr>
            </w:pPr>
            <w:r>
              <w:rPr>
                <w:rFonts w:ascii="Arial MT"/>
                <w:sz w:val="18"/>
              </w:rPr>
              <w:t>Pairwise</w:t>
            </w:r>
            <w:r>
              <w:rPr>
                <w:rFonts w:ascii="Arial MT"/>
                <w:spacing w:val="-5"/>
                <w:sz w:val="18"/>
              </w:rPr>
              <w:t> </w:t>
            </w:r>
            <w:r>
              <w:rPr>
                <w:rFonts w:ascii="Arial MT"/>
                <w:sz w:val="18"/>
              </w:rPr>
              <w:t>Granger</w:t>
            </w:r>
            <w:r>
              <w:rPr>
                <w:rFonts w:ascii="Arial MT"/>
                <w:spacing w:val="-4"/>
                <w:sz w:val="18"/>
              </w:rPr>
              <w:t> </w:t>
            </w:r>
            <w:r>
              <w:rPr>
                <w:rFonts w:ascii="Arial MT"/>
                <w:sz w:val="18"/>
              </w:rPr>
              <w:t>Causality</w:t>
            </w:r>
            <w:r>
              <w:rPr>
                <w:rFonts w:ascii="Arial MT"/>
                <w:spacing w:val="-5"/>
                <w:sz w:val="18"/>
              </w:rPr>
              <w:t> </w:t>
            </w:r>
            <w:r>
              <w:rPr>
                <w:rFonts w:ascii="Arial MT"/>
                <w:sz w:val="18"/>
              </w:rPr>
              <w:t>Test</w:t>
            </w:r>
            <w:r>
              <w:rPr>
                <w:rFonts w:ascii="Arial MT"/>
                <w:spacing w:val="-4"/>
                <w:sz w:val="18"/>
              </w:rPr>
              <w:t> </w:t>
            </w:r>
            <w:r>
              <w:rPr>
                <w:rFonts w:ascii="Arial MT"/>
                <w:spacing w:val="-2"/>
                <w:sz w:val="18"/>
              </w:rPr>
              <w:t>Result</w:t>
            </w:r>
          </w:p>
        </w:tc>
        <w:tc>
          <w:tcPr>
            <w:tcW w:w="811" w:type="dxa"/>
            <w:tcBorders>
              <w:top w:val="thinThickMediumGap" w:sz="12" w:space="0" w:color="000000"/>
            </w:tcBorders>
          </w:tcPr>
          <w:p>
            <w:pPr>
              <w:pStyle w:val="TableParagraph"/>
              <w:rPr>
                <w:sz w:val="14"/>
              </w:rPr>
            </w:pPr>
          </w:p>
        </w:tc>
        <w:tc>
          <w:tcPr>
            <w:tcW w:w="1162" w:type="dxa"/>
            <w:tcBorders>
              <w:top w:val="thinThickMediumGap" w:sz="12" w:space="0" w:color="000000"/>
            </w:tcBorders>
          </w:tcPr>
          <w:p>
            <w:pPr>
              <w:pStyle w:val="TableParagraph"/>
              <w:rPr>
                <w:sz w:val="14"/>
              </w:rPr>
            </w:pPr>
          </w:p>
        </w:tc>
        <w:tc>
          <w:tcPr>
            <w:tcW w:w="809" w:type="dxa"/>
            <w:tcBorders>
              <w:top w:val="thinThickMediumGap" w:sz="12" w:space="0" w:color="000000"/>
            </w:tcBorders>
          </w:tcPr>
          <w:p>
            <w:pPr>
              <w:pStyle w:val="TableParagraph"/>
              <w:rPr>
                <w:sz w:val="14"/>
              </w:rPr>
            </w:pPr>
          </w:p>
        </w:tc>
      </w:tr>
      <w:tr>
        <w:trPr>
          <w:trHeight w:val="224" w:hRule="atLeast"/>
        </w:trPr>
        <w:tc>
          <w:tcPr>
            <w:tcW w:w="6612" w:type="dxa"/>
          </w:tcPr>
          <w:p>
            <w:pPr>
              <w:pStyle w:val="TableParagraph"/>
              <w:spacing w:line="199" w:lineRule="exact" w:before="5"/>
              <w:ind w:left="122"/>
              <w:rPr>
                <w:rFonts w:ascii="Arial MT"/>
                <w:sz w:val="18"/>
              </w:rPr>
            </w:pPr>
            <w:r>
              <w:rPr>
                <w:rFonts w:ascii="Arial MT"/>
                <w:sz w:val="18"/>
              </w:rPr>
              <w:t>Date:</w:t>
            </w:r>
            <w:r>
              <w:rPr>
                <w:rFonts w:ascii="Arial MT"/>
                <w:spacing w:val="-4"/>
                <w:sz w:val="18"/>
              </w:rPr>
              <w:t> </w:t>
            </w:r>
            <w:r>
              <w:rPr>
                <w:rFonts w:ascii="Arial MT"/>
                <w:sz w:val="18"/>
              </w:rPr>
              <w:t>03/30/17</w:t>
            </w:r>
            <w:r>
              <w:rPr>
                <w:rFonts w:ascii="Arial MT"/>
                <w:spacing w:val="67"/>
                <w:w w:val="150"/>
                <w:sz w:val="18"/>
              </w:rPr>
              <w:t> </w:t>
            </w:r>
            <w:r>
              <w:rPr>
                <w:rFonts w:ascii="Arial MT"/>
                <w:sz w:val="18"/>
              </w:rPr>
              <w:t>Time:</w:t>
            </w:r>
            <w:r>
              <w:rPr>
                <w:rFonts w:ascii="Arial MT"/>
                <w:spacing w:val="-3"/>
                <w:sz w:val="18"/>
              </w:rPr>
              <w:t> </w:t>
            </w:r>
            <w:r>
              <w:rPr>
                <w:rFonts w:ascii="Arial MT"/>
                <w:spacing w:val="-4"/>
                <w:sz w:val="18"/>
              </w:rPr>
              <w:t>13:51</w:t>
            </w:r>
          </w:p>
        </w:tc>
        <w:tc>
          <w:tcPr>
            <w:tcW w:w="811" w:type="dxa"/>
          </w:tcPr>
          <w:p>
            <w:pPr>
              <w:pStyle w:val="TableParagraph"/>
              <w:rPr>
                <w:sz w:val="16"/>
              </w:rPr>
            </w:pPr>
          </w:p>
        </w:tc>
        <w:tc>
          <w:tcPr>
            <w:tcW w:w="1162" w:type="dxa"/>
          </w:tcPr>
          <w:p>
            <w:pPr>
              <w:pStyle w:val="TableParagraph"/>
              <w:rPr>
                <w:sz w:val="16"/>
              </w:rPr>
            </w:pPr>
          </w:p>
        </w:tc>
        <w:tc>
          <w:tcPr>
            <w:tcW w:w="809" w:type="dxa"/>
          </w:tcPr>
          <w:p>
            <w:pPr>
              <w:pStyle w:val="TableParagraph"/>
              <w:rPr>
                <w:sz w:val="16"/>
              </w:rPr>
            </w:pPr>
          </w:p>
        </w:tc>
      </w:tr>
      <w:tr>
        <w:trPr>
          <w:trHeight w:val="225" w:hRule="atLeast"/>
        </w:trPr>
        <w:tc>
          <w:tcPr>
            <w:tcW w:w="6612" w:type="dxa"/>
          </w:tcPr>
          <w:p>
            <w:pPr>
              <w:pStyle w:val="TableParagraph"/>
              <w:spacing w:line="199" w:lineRule="exact" w:before="6"/>
              <w:ind w:left="122"/>
              <w:rPr>
                <w:rFonts w:ascii="Arial MT"/>
                <w:sz w:val="18"/>
              </w:rPr>
            </w:pPr>
            <w:r>
              <w:rPr>
                <w:rFonts w:ascii="Arial MT"/>
                <w:sz w:val="18"/>
              </w:rPr>
              <w:t>Sample:</w:t>
            </w:r>
            <w:r>
              <w:rPr>
                <w:rFonts w:ascii="Arial MT"/>
                <w:spacing w:val="-7"/>
                <w:sz w:val="18"/>
              </w:rPr>
              <w:t> </w:t>
            </w:r>
            <w:r>
              <w:rPr>
                <w:rFonts w:ascii="Arial MT"/>
                <w:sz w:val="18"/>
              </w:rPr>
              <w:t>1999</w:t>
            </w:r>
            <w:r>
              <w:rPr>
                <w:rFonts w:ascii="Arial MT"/>
                <w:spacing w:val="-5"/>
                <w:sz w:val="18"/>
              </w:rPr>
              <w:t> </w:t>
            </w:r>
            <w:r>
              <w:rPr>
                <w:rFonts w:ascii="Arial MT"/>
                <w:spacing w:val="-4"/>
                <w:sz w:val="18"/>
              </w:rPr>
              <w:t>2016</w:t>
            </w:r>
          </w:p>
        </w:tc>
        <w:tc>
          <w:tcPr>
            <w:tcW w:w="811" w:type="dxa"/>
          </w:tcPr>
          <w:p>
            <w:pPr>
              <w:pStyle w:val="TableParagraph"/>
              <w:rPr>
                <w:sz w:val="16"/>
              </w:rPr>
            </w:pPr>
          </w:p>
        </w:tc>
        <w:tc>
          <w:tcPr>
            <w:tcW w:w="1162" w:type="dxa"/>
          </w:tcPr>
          <w:p>
            <w:pPr>
              <w:pStyle w:val="TableParagraph"/>
              <w:rPr>
                <w:sz w:val="16"/>
              </w:rPr>
            </w:pPr>
          </w:p>
        </w:tc>
        <w:tc>
          <w:tcPr>
            <w:tcW w:w="809" w:type="dxa"/>
          </w:tcPr>
          <w:p>
            <w:pPr>
              <w:pStyle w:val="TableParagraph"/>
              <w:rPr>
                <w:sz w:val="16"/>
              </w:rPr>
            </w:pPr>
          </w:p>
        </w:tc>
      </w:tr>
      <w:tr>
        <w:trPr>
          <w:trHeight w:val="292" w:hRule="atLeast"/>
        </w:trPr>
        <w:tc>
          <w:tcPr>
            <w:tcW w:w="6612" w:type="dxa"/>
          </w:tcPr>
          <w:p>
            <w:pPr>
              <w:pStyle w:val="TableParagraph"/>
              <w:spacing w:before="6"/>
              <w:ind w:left="122"/>
              <w:rPr>
                <w:rFonts w:ascii="Arial MT"/>
                <w:sz w:val="18"/>
              </w:rPr>
            </w:pPr>
            <w:r>
              <w:rPr>
                <w:rFonts w:ascii="Arial MT"/>
                <w:sz w:val="18"/>
              </w:rPr>
              <w:t>Lags:</w:t>
            </w:r>
            <w:r>
              <w:rPr>
                <w:rFonts w:ascii="Arial MT"/>
                <w:spacing w:val="-5"/>
                <w:sz w:val="18"/>
              </w:rPr>
              <w:t> </w:t>
            </w:r>
            <w:r>
              <w:rPr>
                <w:rFonts w:ascii="Arial MT"/>
                <w:spacing w:val="-10"/>
                <w:sz w:val="18"/>
              </w:rPr>
              <w:t>2</w:t>
            </w:r>
          </w:p>
        </w:tc>
        <w:tc>
          <w:tcPr>
            <w:tcW w:w="811" w:type="dxa"/>
          </w:tcPr>
          <w:p>
            <w:pPr>
              <w:pStyle w:val="TableParagraph"/>
              <w:rPr>
                <w:sz w:val="20"/>
              </w:rPr>
            </w:pPr>
          </w:p>
        </w:tc>
        <w:tc>
          <w:tcPr>
            <w:tcW w:w="1162" w:type="dxa"/>
          </w:tcPr>
          <w:p>
            <w:pPr>
              <w:pStyle w:val="TableParagraph"/>
              <w:rPr>
                <w:sz w:val="20"/>
              </w:rPr>
            </w:pPr>
          </w:p>
        </w:tc>
        <w:tc>
          <w:tcPr>
            <w:tcW w:w="809" w:type="dxa"/>
          </w:tcPr>
          <w:p>
            <w:pPr>
              <w:pStyle w:val="TableParagraph"/>
              <w:rPr>
                <w:sz w:val="20"/>
              </w:rPr>
            </w:pPr>
          </w:p>
        </w:tc>
      </w:tr>
      <w:tr>
        <w:trPr>
          <w:trHeight w:val="360" w:hRule="atLeast"/>
        </w:trPr>
        <w:tc>
          <w:tcPr>
            <w:tcW w:w="6612" w:type="dxa"/>
          </w:tcPr>
          <w:p>
            <w:pPr>
              <w:pStyle w:val="TableParagraph"/>
              <w:spacing w:before="73"/>
              <w:ind w:left="172"/>
              <w:rPr>
                <w:rFonts w:ascii="Arial MT"/>
                <w:sz w:val="18"/>
              </w:rPr>
            </w:pPr>
            <w:r>
              <w:rPr>
                <w:rFonts w:ascii="Arial MT"/>
                <w:sz w:val="18"/>
              </w:rPr>
              <w:t>Null</w:t>
            </w:r>
            <w:r>
              <w:rPr>
                <w:rFonts w:ascii="Arial MT"/>
                <w:spacing w:val="-4"/>
                <w:sz w:val="18"/>
              </w:rPr>
              <w:t> </w:t>
            </w:r>
            <w:r>
              <w:rPr>
                <w:rFonts w:ascii="Arial MT"/>
                <w:spacing w:val="-2"/>
                <w:sz w:val="18"/>
              </w:rPr>
              <w:t>Hypothesis:</w:t>
            </w:r>
          </w:p>
        </w:tc>
        <w:tc>
          <w:tcPr>
            <w:tcW w:w="811" w:type="dxa"/>
          </w:tcPr>
          <w:p>
            <w:pPr>
              <w:pStyle w:val="TableParagraph"/>
              <w:spacing w:before="73"/>
              <w:ind w:left="98" w:right="59"/>
              <w:jc w:val="center"/>
              <w:rPr>
                <w:rFonts w:ascii="Arial MT"/>
                <w:sz w:val="18"/>
              </w:rPr>
            </w:pPr>
            <w:r>
              <w:rPr>
                <w:rFonts w:ascii="Arial MT"/>
                <w:spacing w:val="-5"/>
                <w:sz w:val="18"/>
              </w:rPr>
              <w:t>Obs</w:t>
            </w:r>
          </w:p>
        </w:tc>
        <w:tc>
          <w:tcPr>
            <w:tcW w:w="1162" w:type="dxa"/>
          </w:tcPr>
          <w:p>
            <w:pPr>
              <w:pStyle w:val="TableParagraph"/>
              <w:spacing w:before="73"/>
              <w:ind w:left="221"/>
              <w:rPr>
                <w:rFonts w:ascii="Arial MT"/>
                <w:sz w:val="18"/>
              </w:rPr>
            </w:pPr>
            <w:r>
              <w:rPr>
                <w:rFonts w:ascii="Arial MT"/>
                <w:spacing w:val="-2"/>
                <w:sz w:val="18"/>
              </w:rPr>
              <w:t>F-Statistic</w:t>
            </w:r>
          </w:p>
        </w:tc>
        <w:tc>
          <w:tcPr>
            <w:tcW w:w="809" w:type="dxa"/>
          </w:tcPr>
          <w:p>
            <w:pPr>
              <w:pStyle w:val="TableParagraph"/>
              <w:spacing w:before="73"/>
              <w:ind w:left="37"/>
              <w:jc w:val="center"/>
              <w:rPr>
                <w:rFonts w:ascii="Arial MT"/>
                <w:sz w:val="18"/>
              </w:rPr>
            </w:pPr>
            <w:r>
              <w:rPr>
                <w:rFonts w:ascii="Arial MT"/>
                <w:spacing w:val="-2"/>
                <w:sz w:val="18"/>
              </w:rPr>
              <w:t>Prob.</w:t>
            </w:r>
          </w:p>
        </w:tc>
      </w:tr>
      <w:tr>
        <w:trPr>
          <w:trHeight w:val="292" w:hRule="atLeast"/>
        </w:trPr>
        <w:tc>
          <w:tcPr>
            <w:tcW w:w="6612" w:type="dxa"/>
          </w:tcPr>
          <w:p>
            <w:pPr>
              <w:pStyle w:val="TableParagraph"/>
              <w:spacing w:line="199" w:lineRule="exact" w:before="73"/>
              <w:ind w:left="122"/>
              <w:rPr>
                <w:rFonts w:ascii="Arial MT"/>
                <w:sz w:val="18"/>
              </w:rPr>
            </w:pPr>
            <w:r>
              <w:rPr>
                <w:rFonts w:ascii="Arial MT"/>
                <w:sz w:val="18"/>
              </w:rPr>
              <w:t>Annual</w:t>
            </w:r>
            <w:r>
              <w:rPr>
                <w:rFonts w:ascii="Arial MT"/>
                <w:spacing w:val="-6"/>
                <w:sz w:val="18"/>
              </w:rPr>
              <w:t> </w:t>
            </w:r>
            <w:r>
              <w:rPr>
                <w:rFonts w:ascii="Arial MT"/>
                <w:sz w:val="18"/>
              </w:rPr>
              <w:t>Federal</w:t>
            </w:r>
            <w:r>
              <w:rPr>
                <w:rFonts w:ascii="Arial MT"/>
                <w:spacing w:val="-3"/>
                <w:sz w:val="18"/>
              </w:rPr>
              <w:t> </w:t>
            </w:r>
            <w:r>
              <w:rPr>
                <w:rFonts w:ascii="Arial MT"/>
                <w:sz w:val="18"/>
              </w:rPr>
              <w:t>Allocation</w:t>
            </w:r>
            <w:r>
              <w:rPr>
                <w:rFonts w:ascii="Arial MT"/>
                <w:spacing w:val="-5"/>
                <w:sz w:val="18"/>
              </w:rPr>
              <w:t> </w:t>
            </w:r>
            <w:r>
              <w:rPr>
                <w:rFonts w:ascii="Arial MT"/>
                <w:sz w:val="18"/>
              </w:rPr>
              <w:t>does</w:t>
            </w:r>
            <w:r>
              <w:rPr>
                <w:rFonts w:ascii="Arial MT"/>
                <w:spacing w:val="-2"/>
                <w:sz w:val="18"/>
              </w:rPr>
              <w:t> </w:t>
            </w:r>
            <w:r>
              <w:rPr>
                <w:rFonts w:ascii="Arial MT"/>
                <w:sz w:val="18"/>
              </w:rPr>
              <w:t>not</w:t>
            </w:r>
            <w:r>
              <w:rPr>
                <w:rFonts w:ascii="Arial MT"/>
                <w:spacing w:val="-5"/>
                <w:sz w:val="18"/>
              </w:rPr>
              <w:t> </w:t>
            </w:r>
            <w:r>
              <w:rPr>
                <w:rFonts w:ascii="Arial MT"/>
                <w:sz w:val="18"/>
              </w:rPr>
              <w:t>Granger</w:t>
            </w:r>
            <w:r>
              <w:rPr>
                <w:rFonts w:ascii="Arial MT"/>
                <w:spacing w:val="-6"/>
                <w:sz w:val="18"/>
              </w:rPr>
              <w:t> </w:t>
            </w:r>
            <w:r>
              <w:rPr>
                <w:rFonts w:ascii="Arial MT"/>
                <w:sz w:val="18"/>
              </w:rPr>
              <w:t>Cause</w:t>
            </w:r>
            <w:r>
              <w:rPr>
                <w:rFonts w:ascii="Arial MT"/>
                <w:spacing w:val="-3"/>
                <w:sz w:val="18"/>
              </w:rPr>
              <w:t> </w:t>
            </w:r>
            <w:r>
              <w:rPr>
                <w:rFonts w:ascii="Arial MT"/>
                <w:sz w:val="18"/>
              </w:rPr>
              <w:t>Housing</w:t>
            </w:r>
            <w:r>
              <w:rPr>
                <w:rFonts w:ascii="Arial MT"/>
                <w:spacing w:val="-5"/>
                <w:sz w:val="18"/>
              </w:rPr>
              <w:t> </w:t>
            </w:r>
            <w:r>
              <w:rPr>
                <w:rFonts w:ascii="Arial MT"/>
                <w:sz w:val="18"/>
              </w:rPr>
              <w:t>Budget</w:t>
            </w:r>
            <w:r>
              <w:rPr>
                <w:rFonts w:ascii="Arial MT"/>
                <w:spacing w:val="-3"/>
                <w:sz w:val="18"/>
              </w:rPr>
              <w:t> </w:t>
            </w:r>
            <w:r>
              <w:rPr>
                <w:rFonts w:ascii="Arial MT"/>
                <w:spacing w:val="-2"/>
                <w:sz w:val="18"/>
              </w:rPr>
              <w:t>Allocation</w:t>
            </w:r>
          </w:p>
        </w:tc>
        <w:tc>
          <w:tcPr>
            <w:tcW w:w="811" w:type="dxa"/>
          </w:tcPr>
          <w:p>
            <w:pPr>
              <w:pStyle w:val="TableParagraph"/>
              <w:spacing w:line="199" w:lineRule="exact" w:before="73"/>
              <w:ind w:left="39" w:right="98"/>
              <w:jc w:val="center"/>
              <w:rPr>
                <w:rFonts w:ascii="Arial MT"/>
                <w:sz w:val="18"/>
              </w:rPr>
            </w:pPr>
            <w:r>
              <w:rPr>
                <w:rFonts w:ascii="Arial MT"/>
                <w:spacing w:val="-5"/>
                <w:sz w:val="18"/>
              </w:rPr>
              <w:t>18</w:t>
            </w:r>
          </w:p>
        </w:tc>
        <w:tc>
          <w:tcPr>
            <w:tcW w:w="1162" w:type="dxa"/>
          </w:tcPr>
          <w:p>
            <w:pPr>
              <w:pStyle w:val="TableParagraph"/>
              <w:spacing w:line="199" w:lineRule="exact" w:before="73"/>
              <w:ind w:left="245"/>
              <w:rPr>
                <w:rFonts w:ascii="Arial MT"/>
                <w:sz w:val="18"/>
              </w:rPr>
            </w:pPr>
            <w:r>
              <w:rPr>
                <w:rFonts w:ascii="Arial MT"/>
                <w:spacing w:val="-2"/>
                <w:sz w:val="18"/>
              </w:rPr>
              <w:t>0.45618</w:t>
            </w:r>
          </w:p>
        </w:tc>
        <w:tc>
          <w:tcPr>
            <w:tcW w:w="809" w:type="dxa"/>
          </w:tcPr>
          <w:p>
            <w:pPr>
              <w:pStyle w:val="TableParagraph"/>
              <w:spacing w:line="199" w:lineRule="exact" w:before="73"/>
              <w:ind w:left="37" w:right="15"/>
              <w:jc w:val="center"/>
              <w:rPr>
                <w:rFonts w:ascii="Arial MT"/>
                <w:sz w:val="18"/>
              </w:rPr>
            </w:pPr>
            <w:r>
              <w:rPr>
                <w:rFonts w:ascii="Arial MT"/>
                <w:spacing w:val="-2"/>
                <w:sz w:val="18"/>
              </w:rPr>
              <w:t>0.6452</w:t>
            </w:r>
          </w:p>
        </w:tc>
      </w:tr>
      <w:tr>
        <w:trPr>
          <w:trHeight w:val="366" w:hRule="atLeast"/>
        </w:trPr>
        <w:tc>
          <w:tcPr>
            <w:tcW w:w="6612" w:type="dxa"/>
            <w:tcBorders>
              <w:bottom w:val="thinThickMediumGap" w:sz="12" w:space="0" w:color="000000"/>
            </w:tcBorders>
          </w:tcPr>
          <w:p>
            <w:pPr>
              <w:pStyle w:val="TableParagraph"/>
              <w:spacing w:before="6"/>
              <w:ind w:left="122"/>
              <w:rPr>
                <w:rFonts w:ascii="Arial MT"/>
                <w:sz w:val="18"/>
              </w:rPr>
            </w:pPr>
            <w:r>
              <w:rPr>
                <w:rFonts w:ascii="Arial MT"/>
                <w:sz w:val="18"/>
              </w:rPr>
              <w:t>Annual</w:t>
            </w:r>
            <w:r>
              <w:rPr>
                <w:rFonts w:ascii="Arial MT"/>
                <w:spacing w:val="-6"/>
                <w:sz w:val="18"/>
              </w:rPr>
              <w:t> </w:t>
            </w:r>
            <w:r>
              <w:rPr>
                <w:rFonts w:ascii="Arial MT"/>
                <w:sz w:val="18"/>
              </w:rPr>
              <w:t>Housing</w:t>
            </w:r>
            <w:r>
              <w:rPr>
                <w:rFonts w:ascii="Arial MT"/>
                <w:spacing w:val="-5"/>
                <w:sz w:val="18"/>
              </w:rPr>
              <w:t> </w:t>
            </w:r>
            <w:r>
              <w:rPr>
                <w:rFonts w:ascii="Arial MT"/>
                <w:sz w:val="18"/>
              </w:rPr>
              <w:t>Budget</w:t>
            </w:r>
            <w:r>
              <w:rPr>
                <w:rFonts w:ascii="Arial MT"/>
                <w:spacing w:val="-3"/>
                <w:sz w:val="18"/>
              </w:rPr>
              <w:t> </w:t>
            </w:r>
            <w:r>
              <w:rPr>
                <w:rFonts w:ascii="Arial MT"/>
                <w:sz w:val="18"/>
              </w:rPr>
              <w:t>Allocation</w:t>
            </w:r>
            <w:r>
              <w:rPr>
                <w:rFonts w:ascii="Arial MT"/>
                <w:spacing w:val="-5"/>
                <w:sz w:val="18"/>
              </w:rPr>
              <w:t> </w:t>
            </w:r>
            <w:r>
              <w:rPr>
                <w:rFonts w:ascii="Arial MT"/>
                <w:sz w:val="18"/>
              </w:rPr>
              <w:t>does</w:t>
            </w:r>
            <w:r>
              <w:rPr>
                <w:rFonts w:ascii="Arial MT"/>
                <w:spacing w:val="-2"/>
                <w:sz w:val="18"/>
              </w:rPr>
              <w:t> </w:t>
            </w:r>
            <w:r>
              <w:rPr>
                <w:rFonts w:ascii="Arial MT"/>
                <w:sz w:val="18"/>
              </w:rPr>
              <w:t>not</w:t>
            </w:r>
            <w:r>
              <w:rPr>
                <w:rFonts w:ascii="Arial MT"/>
                <w:spacing w:val="-6"/>
                <w:sz w:val="18"/>
              </w:rPr>
              <w:t> </w:t>
            </w:r>
            <w:r>
              <w:rPr>
                <w:rFonts w:ascii="Arial MT"/>
                <w:sz w:val="18"/>
              </w:rPr>
              <w:t>Granger</w:t>
            </w:r>
            <w:r>
              <w:rPr>
                <w:rFonts w:ascii="Arial MT"/>
                <w:spacing w:val="-6"/>
                <w:sz w:val="18"/>
              </w:rPr>
              <w:t> </w:t>
            </w:r>
            <w:r>
              <w:rPr>
                <w:rFonts w:ascii="Arial MT"/>
                <w:sz w:val="18"/>
              </w:rPr>
              <w:t>Cause</w:t>
            </w:r>
            <w:r>
              <w:rPr>
                <w:rFonts w:ascii="Arial MT"/>
                <w:spacing w:val="-5"/>
                <w:sz w:val="18"/>
              </w:rPr>
              <w:t> </w:t>
            </w:r>
            <w:r>
              <w:rPr>
                <w:rFonts w:ascii="Arial MT"/>
                <w:sz w:val="18"/>
              </w:rPr>
              <w:t>Federal</w:t>
            </w:r>
            <w:r>
              <w:rPr>
                <w:rFonts w:ascii="Arial MT"/>
                <w:spacing w:val="-3"/>
                <w:sz w:val="18"/>
              </w:rPr>
              <w:t> </w:t>
            </w:r>
            <w:r>
              <w:rPr>
                <w:rFonts w:ascii="Arial MT"/>
                <w:spacing w:val="-2"/>
                <w:sz w:val="18"/>
              </w:rPr>
              <w:t>Allocation</w:t>
            </w:r>
          </w:p>
        </w:tc>
        <w:tc>
          <w:tcPr>
            <w:tcW w:w="811" w:type="dxa"/>
            <w:tcBorders>
              <w:bottom w:val="thinThickMediumGap" w:sz="12" w:space="0" w:color="000000"/>
            </w:tcBorders>
          </w:tcPr>
          <w:p>
            <w:pPr>
              <w:pStyle w:val="TableParagraph"/>
              <w:rPr>
                <w:sz w:val="22"/>
              </w:rPr>
            </w:pPr>
          </w:p>
        </w:tc>
        <w:tc>
          <w:tcPr>
            <w:tcW w:w="1162" w:type="dxa"/>
            <w:tcBorders>
              <w:bottom w:val="thinThickMediumGap" w:sz="12" w:space="0" w:color="000000"/>
            </w:tcBorders>
          </w:tcPr>
          <w:p>
            <w:pPr>
              <w:pStyle w:val="TableParagraph"/>
              <w:spacing w:before="6"/>
              <w:ind w:left="245"/>
              <w:rPr>
                <w:rFonts w:ascii="Arial MT"/>
                <w:sz w:val="18"/>
              </w:rPr>
            </w:pPr>
            <w:r>
              <w:rPr>
                <w:rFonts w:ascii="Arial MT"/>
                <w:spacing w:val="-2"/>
                <w:sz w:val="18"/>
              </w:rPr>
              <w:t>0.16090</w:t>
            </w:r>
          </w:p>
        </w:tc>
        <w:tc>
          <w:tcPr>
            <w:tcW w:w="809" w:type="dxa"/>
            <w:tcBorders>
              <w:bottom w:val="thinThickMediumGap" w:sz="12" w:space="0" w:color="000000"/>
            </w:tcBorders>
          </w:tcPr>
          <w:p>
            <w:pPr>
              <w:pStyle w:val="TableParagraph"/>
              <w:spacing w:before="6"/>
              <w:ind w:left="37" w:right="15"/>
              <w:jc w:val="center"/>
              <w:rPr>
                <w:rFonts w:ascii="Arial MT"/>
                <w:sz w:val="18"/>
              </w:rPr>
            </w:pPr>
            <w:r>
              <w:rPr>
                <w:rFonts w:ascii="Arial MT"/>
                <w:spacing w:val="-2"/>
                <w:sz w:val="18"/>
              </w:rPr>
              <w:t>0.8533</w:t>
            </w:r>
          </w:p>
        </w:tc>
      </w:tr>
    </w:tbl>
    <w:p>
      <w:pPr>
        <w:pStyle w:val="BodyText"/>
        <w:ind w:left="240"/>
      </w:pPr>
      <w:r>
        <w:rPr>
          <w:b/>
        </w:rPr>
        <w:t>Source:</w:t>
      </w:r>
      <w:r>
        <w:rPr>
          <w:b/>
          <w:spacing w:val="-4"/>
        </w:rPr>
        <w:t> </w:t>
      </w:r>
      <w:r>
        <w:rPr/>
        <w:t>Researcher‘s</w:t>
      </w:r>
      <w:r>
        <w:rPr>
          <w:spacing w:val="1"/>
        </w:rPr>
        <w:t> </w:t>
      </w:r>
      <w:r>
        <w:rPr/>
        <w:t>computation</w:t>
      </w:r>
      <w:r>
        <w:rPr>
          <w:spacing w:val="-1"/>
        </w:rPr>
        <w:t> </w:t>
      </w:r>
      <w:r>
        <w:rPr/>
        <w:t>and</w:t>
      </w:r>
      <w:r>
        <w:rPr>
          <w:spacing w:val="-1"/>
        </w:rPr>
        <w:t> </w:t>
      </w:r>
      <w:r>
        <w:rPr/>
        <w:t>extract</w:t>
      </w:r>
      <w:r>
        <w:rPr>
          <w:spacing w:val="-1"/>
        </w:rPr>
        <w:t> </w:t>
      </w:r>
      <w:r>
        <w:rPr/>
        <w:t>from</w:t>
      </w:r>
      <w:r>
        <w:rPr>
          <w:spacing w:val="-1"/>
        </w:rPr>
        <w:t> </w:t>
      </w:r>
      <w:r>
        <w:rPr/>
        <w:t>E-views</w:t>
      </w:r>
      <w:r>
        <w:rPr>
          <w:spacing w:val="-1"/>
        </w:rPr>
        <w:t> </w:t>
      </w:r>
      <w:r>
        <w:rPr/>
        <w:t>7</w:t>
      </w:r>
      <w:r>
        <w:rPr>
          <w:spacing w:val="-1"/>
        </w:rPr>
        <w:t> </w:t>
      </w:r>
      <w:r>
        <w:rPr/>
        <w:t>econometric</w:t>
      </w:r>
      <w:r>
        <w:rPr>
          <w:spacing w:val="-3"/>
        </w:rPr>
        <w:t> </w:t>
      </w:r>
      <w:r>
        <w:rPr/>
        <w:t>software </w:t>
      </w:r>
      <w:r>
        <w:rPr>
          <w:spacing w:val="-2"/>
        </w:rPr>
        <w:t>(2017)</w:t>
      </w:r>
    </w:p>
    <w:p>
      <w:pPr>
        <w:pStyle w:val="BodyText"/>
        <w:spacing w:before="182"/>
      </w:pPr>
    </w:p>
    <w:p>
      <w:pPr>
        <w:pStyle w:val="BodyText"/>
        <w:spacing w:line="360" w:lineRule="auto"/>
        <w:ind w:left="240" w:right="837"/>
        <w:jc w:val="both"/>
      </w:pPr>
      <w:r>
        <w:rPr>
          <w:b/>
        </w:rPr>
        <w:t>Interpretation and Decision: </w:t>
      </w:r>
      <w:r>
        <w:rPr/>
        <w:t>The pairwise Granger causality test result in Table 5.22 reveals that the probability (p) values of 0.6452 &gt; 0.05 and 0.8533 &gt; 0.05, Hence, we do not reject the null hypothesis of no causal relationship between the State‘s annual housing budget and annual federal allocation in Anambra State and infer that there is no causal relationship between the State‘s annual housing budget allocation and annual federal allocation in Anambra State for the period under study. This implies that Anambra State‘s annual housing budget is not determined the federal allocation (i.e. it is not a consideration) and vice versa.</w:t>
      </w:r>
    </w:p>
    <w:p>
      <w:pPr>
        <w:spacing w:after="0" w:line="360" w:lineRule="auto"/>
        <w:jc w:val="both"/>
        <w:sectPr>
          <w:pgSz w:w="12240" w:h="15840"/>
          <w:pgMar w:header="0" w:footer="1036" w:top="1360" w:bottom="1220" w:left="1200" w:right="600"/>
        </w:sectPr>
      </w:pPr>
    </w:p>
    <w:p>
      <w:pPr>
        <w:pStyle w:val="Heading4"/>
        <w:numPr>
          <w:ilvl w:val="2"/>
          <w:numId w:val="81"/>
        </w:numPr>
        <w:tabs>
          <w:tab w:pos="780" w:val="left" w:leader="none"/>
        </w:tabs>
        <w:spacing w:line="240" w:lineRule="auto" w:before="79" w:after="0"/>
        <w:ind w:left="780" w:right="0" w:hanging="540"/>
        <w:jc w:val="left"/>
      </w:pPr>
      <w:r>
        <w:rPr/>
        <w:t>Hypothesis </w:t>
      </w:r>
      <w:r>
        <w:rPr>
          <w:spacing w:val="-2"/>
        </w:rPr>
        <w:t>Three</w:t>
      </w:r>
    </w:p>
    <w:p>
      <w:pPr>
        <w:pStyle w:val="BodyText"/>
        <w:spacing w:line="360" w:lineRule="auto" w:before="132"/>
        <w:ind w:left="240" w:right="840"/>
      </w:pPr>
      <w:r>
        <w:rPr/>
        <w:t>Housing budget problems have no significant effect on housing budget performance in Anambra </w:t>
      </w:r>
      <w:r>
        <w:rPr>
          <w:spacing w:val="-2"/>
        </w:rPr>
        <w:t>State.</w:t>
      </w:r>
    </w:p>
    <w:p>
      <w:pPr>
        <w:pStyle w:val="ListParagraph"/>
        <w:numPr>
          <w:ilvl w:val="0"/>
          <w:numId w:val="99"/>
        </w:numPr>
        <w:tabs>
          <w:tab w:pos="620" w:val="left" w:leader="none"/>
        </w:tabs>
        <w:spacing w:line="360" w:lineRule="auto" w:before="0" w:after="0"/>
        <w:ind w:left="240" w:right="842" w:firstLine="0"/>
        <w:jc w:val="left"/>
        <w:rPr>
          <w:sz w:val="24"/>
        </w:rPr>
      </w:pPr>
      <w:r>
        <w:rPr>
          <w:b/>
          <w:sz w:val="24"/>
        </w:rPr>
        <w:t>Data</w:t>
      </w:r>
      <w:r>
        <w:rPr>
          <w:b/>
          <w:spacing w:val="38"/>
          <w:sz w:val="24"/>
        </w:rPr>
        <w:t> </w:t>
      </w:r>
      <w:r>
        <w:rPr>
          <w:b/>
          <w:sz w:val="24"/>
        </w:rPr>
        <w:t>used</w:t>
      </w:r>
      <w:r>
        <w:rPr>
          <w:sz w:val="24"/>
        </w:rPr>
        <w:t>:</w:t>
      </w:r>
      <w:r>
        <w:rPr>
          <w:spacing w:val="39"/>
          <w:sz w:val="24"/>
        </w:rPr>
        <w:t> </w:t>
      </w:r>
      <w:r>
        <w:rPr>
          <w:sz w:val="24"/>
        </w:rPr>
        <w:t>Ranking</w:t>
      </w:r>
      <w:r>
        <w:rPr>
          <w:spacing w:val="37"/>
          <w:sz w:val="24"/>
        </w:rPr>
        <w:t> </w:t>
      </w:r>
      <w:r>
        <w:rPr>
          <w:sz w:val="24"/>
        </w:rPr>
        <w:t>of</w:t>
      </w:r>
      <w:r>
        <w:rPr>
          <w:spacing w:val="38"/>
          <w:sz w:val="24"/>
        </w:rPr>
        <w:t> </w:t>
      </w:r>
      <w:r>
        <w:rPr>
          <w:sz w:val="24"/>
        </w:rPr>
        <w:t>the</w:t>
      </w:r>
      <w:r>
        <w:rPr>
          <w:spacing w:val="38"/>
          <w:sz w:val="24"/>
        </w:rPr>
        <w:t> </w:t>
      </w:r>
      <w:r>
        <w:rPr>
          <w:sz w:val="24"/>
        </w:rPr>
        <w:t>problems</w:t>
      </w:r>
      <w:r>
        <w:rPr>
          <w:spacing w:val="39"/>
          <w:sz w:val="24"/>
        </w:rPr>
        <w:t> </w:t>
      </w:r>
      <w:r>
        <w:rPr>
          <w:sz w:val="24"/>
        </w:rPr>
        <w:t>hindering</w:t>
      </w:r>
      <w:r>
        <w:rPr>
          <w:spacing w:val="37"/>
          <w:sz w:val="24"/>
        </w:rPr>
        <w:t> </w:t>
      </w:r>
      <w:r>
        <w:rPr>
          <w:sz w:val="24"/>
        </w:rPr>
        <w:t>housing</w:t>
      </w:r>
      <w:r>
        <w:rPr>
          <w:spacing w:val="36"/>
          <w:sz w:val="24"/>
        </w:rPr>
        <w:t> </w:t>
      </w:r>
      <w:r>
        <w:rPr>
          <w:sz w:val="24"/>
        </w:rPr>
        <w:t>budget</w:t>
      </w:r>
      <w:r>
        <w:rPr>
          <w:spacing w:val="39"/>
          <w:sz w:val="24"/>
        </w:rPr>
        <w:t> </w:t>
      </w:r>
      <w:r>
        <w:rPr>
          <w:sz w:val="24"/>
        </w:rPr>
        <w:t>performance</w:t>
      </w:r>
      <w:r>
        <w:rPr>
          <w:spacing w:val="38"/>
          <w:sz w:val="24"/>
        </w:rPr>
        <w:t> </w:t>
      </w:r>
      <w:r>
        <w:rPr>
          <w:sz w:val="24"/>
        </w:rPr>
        <w:t>in</w:t>
      </w:r>
      <w:r>
        <w:rPr>
          <w:spacing w:val="39"/>
          <w:sz w:val="24"/>
        </w:rPr>
        <w:t> </w:t>
      </w:r>
      <w:r>
        <w:rPr>
          <w:sz w:val="24"/>
        </w:rPr>
        <w:t>Anambra State (table 5.13).</w:t>
      </w:r>
    </w:p>
    <w:p>
      <w:pPr>
        <w:pStyle w:val="ListParagraph"/>
        <w:numPr>
          <w:ilvl w:val="0"/>
          <w:numId w:val="99"/>
        </w:numPr>
        <w:tabs>
          <w:tab w:pos="592" w:val="left" w:leader="none"/>
        </w:tabs>
        <w:spacing w:line="240" w:lineRule="auto" w:before="70" w:after="0"/>
        <w:ind w:left="592" w:right="0" w:hanging="352"/>
        <w:jc w:val="left"/>
        <w:rPr>
          <w:sz w:val="24"/>
        </w:rPr>
      </w:pPr>
      <w:r>
        <w:rPr>
          <w:b/>
          <w:sz w:val="24"/>
        </w:rPr>
        <w:t>Data</w:t>
      </w:r>
      <w:r>
        <w:rPr>
          <w:b/>
          <w:spacing w:val="-2"/>
          <w:sz w:val="24"/>
        </w:rPr>
        <w:t> </w:t>
      </w:r>
      <w:r>
        <w:rPr>
          <w:b/>
          <w:sz w:val="24"/>
        </w:rPr>
        <w:t>analysis</w:t>
      </w:r>
      <w:r>
        <w:rPr>
          <w:b/>
          <w:spacing w:val="-1"/>
          <w:sz w:val="24"/>
        </w:rPr>
        <w:t> </w:t>
      </w:r>
      <w:r>
        <w:rPr>
          <w:b/>
          <w:sz w:val="24"/>
        </w:rPr>
        <w:t>software</w:t>
      </w:r>
      <w:r>
        <w:rPr>
          <w:sz w:val="24"/>
        </w:rPr>
        <w:t>:</w:t>
      </w:r>
      <w:r>
        <w:rPr>
          <w:spacing w:val="-1"/>
          <w:sz w:val="24"/>
        </w:rPr>
        <w:t> </w:t>
      </w:r>
      <w:r>
        <w:rPr>
          <w:sz w:val="24"/>
        </w:rPr>
        <w:t>SPSS</w:t>
      </w:r>
      <w:r>
        <w:rPr>
          <w:spacing w:val="-1"/>
          <w:sz w:val="24"/>
        </w:rPr>
        <w:t> </w:t>
      </w:r>
      <w:r>
        <w:rPr>
          <w:sz w:val="24"/>
        </w:rPr>
        <w:t>version</w:t>
      </w:r>
      <w:r>
        <w:rPr>
          <w:spacing w:val="-1"/>
          <w:sz w:val="24"/>
        </w:rPr>
        <w:t> </w:t>
      </w:r>
      <w:r>
        <w:rPr>
          <w:spacing w:val="-5"/>
          <w:sz w:val="24"/>
        </w:rPr>
        <w:t>22</w:t>
      </w:r>
    </w:p>
    <w:p>
      <w:pPr>
        <w:pStyle w:val="ListParagraph"/>
        <w:numPr>
          <w:ilvl w:val="0"/>
          <w:numId w:val="99"/>
        </w:numPr>
        <w:tabs>
          <w:tab w:pos="563" w:val="left" w:leader="none"/>
        </w:tabs>
        <w:spacing w:line="240" w:lineRule="auto" w:before="139" w:after="0"/>
        <w:ind w:left="563" w:right="0" w:hanging="323"/>
        <w:jc w:val="left"/>
        <w:rPr>
          <w:sz w:val="24"/>
        </w:rPr>
      </w:pPr>
      <w:r>
        <w:rPr>
          <w:b/>
          <w:sz w:val="24"/>
        </w:rPr>
        <w:t>Data</w:t>
      </w:r>
      <w:r>
        <w:rPr>
          <w:b/>
          <w:spacing w:val="-1"/>
          <w:sz w:val="24"/>
        </w:rPr>
        <w:t> </w:t>
      </w:r>
      <w:r>
        <w:rPr>
          <w:b/>
          <w:sz w:val="24"/>
        </w:rPr>
        <w:t>analysis method/tool</w:t>
      </w:r>
      <w:r>
        <w:rPr>
          <w:sz w:val="24"/>
        </w:rPr>
        <w:t>:</w:t>
      </w:r>
      <w:r>
        <w:rPr>
          <w:spacing w:val="-1"/>
          <w:sz w:val="24"/>
        </w:rPr>
        <w:t> </w:t>
      </w:r>
      <w:r>
        <w:rPr>
          <w:sz w:val="24"/>
        </w:rPr>
        <w:t>One</w:t>
      </w:r>
      <w:r>
        <w:rPr>
          <w:spacing w:val="-2"/>
          <w:sz w:val="24"/>
        </w:rPr>
        <w:t> </w:t>
      </w:r>
      <w:r>
        <w:rPr>
          <w:sz w:val="24"/>
        </w:rPr>
        <w:t>sample t-</w:t>
      </w:r>
      <w:r>
        <w:rPr>
          <w:spacing w:val="-2"/>
          <w:sz w:val="24"/>
        </w:rPr>
        <w:t>test.</w:t>
      </w:r>
    </w:p>
    <w:p>
      <w:pPr>
        <w:pStyle w:val="ListParagraph"/>
        <w:numPr>
          <w:ilvl w:val="0"/>
          <w:numId w:val="99"/>
        </w:numPr>
        <w:tabs>
          <w:tab w:pos="623" w:val="left" w:leader="none"/>
        </w:tabs>
        <w:spacing w:line="360" w:lineRule="auto" w:before="137" w:after="0"/>
        <w:ind w:left="240" w:right="835" w:firstLine="0"/>
        <w:jc w:val="left"/>
        <w:rPr>
          <w:sz w:val="24"/>
        </w:rPr>
      </w:pPr>
      <w:r>
        <w:rPr>
          <w:b/>
          <w:sz w:val="24"/>
        </w:rPr>
        <w:t>Decision</w:t>
      </w:r>
      <w:r>
        <w:rPr>
          <w:b/>
          <w:spacing w:val="28"/>
          <w:sz w:val="24"/>
        </w:rPr>
        <w:t> </w:t>
      </w:r>
      <w:r>
        <w:rPr>
          <w:b/>
          <w:sz w:val="24"/>
        </w:rPr>
        <w:t>rule</w:t>
      </w:r>
      <w:r>
        <w:rPr>
          <w:sz w:val="24"/>
        </w:rPr>
        <w:t>:</w:t>
      </w:r>
      <w:r>
        <w:rPr>
          <w:spacing w:val="28"/>
          <w:sz w:val="24"/>
        </w:rPr>
        <w:t> </w:t>
      </w:r>
      <w:r>
        <w:rPr>
          <w:sz w:val="24"/>
        </w:rPr>
        <w:t>Reject</w:t>
      </w:r>
      <w:r>
        <w:rPr>
          <w:spacing w:val="28"/>
          <w:sz w:val="24"/>
        </w:rPr>
        <w:t> </w:t>
      </w:r>
      <w:r>
        <w:rPr>
          <w:sz w:val="24"/>
        </w:rPr>
        <w:t>the</w:t>
      </w:r>
      <w:r>
        <w:rPr>
          <w:spacing w:val="27"/>
          <w:sz w:val="24"/>
        </w:rPr>
        <w:t> </w:t>
      </w:r>
      <w:r>
        <w:rPr>
          <w:sz w:val="24"/>
        </w:rPr>
        <w:t>null</w:t>
      </w:r>
      <w:r>
        <w:rPr>
          <w:spacing w:val="28"/>
          <w:sz w:val="24"/>
        </w:rPr>
        <w:t> </w:t>
      </w:r>
      <w:r>
        <w:rPr>
          <w:sz w:val="24"/>
        </w:rPr>
        <w:t>hypothesis</w:t>
      </w:r>
      <w:r>
        <w:rPr>
          <w:spacing w:val="28"/>
          <w:sz w:val="24"/>
        </w:rPr>
        <w:t> </w:t>
      </w:r>
      <w:r>
        <w:rPr>
          <w:sz w:val="24"/>
        </w:rPr>
        <w:t>if</w:t>
      </w:r>
      <w:r>
        <w:rPr>
          <w:spacing w:val="29"/>
          <w:sz w:val="24"/>
        </w:rPr>
        <w:t> </w:t>
      </w:r>
      <w:r>
        <w:rPr>
          <w:sz w:val="24"/>
        </w:rPr>
        <w:t>p-value</w:t>
      </w:r>
      <w:r>
        <w:rPr>
          <w:spacing w:val="27"/>
          <w:sz w:val="24"/>
        </w:rPr>
        <w:t> </w:t>
      </w:r>
      <w:r>
        <w:rPr>
          <w:sz w:val="24"/>
        </w:rPr>
        <w:t>is</w:t>
      </w:r>
      <w:r>
        <w:rPr>
          <w:spacing w:val="28"/>
          <w:sz w:val="24"/>
        </w:rPr>
        <w:t> </w:t>
      </w:r>
      <w:r>
        <w:rPr>
          <w:sz w:val="24"/>
        </w:rPr>
        <w:t>less</w:t>
      </w:r>
      <w:r>
        <w:rPr>
          <w:spacing w:val="27"/>
          <w:sz w:val="24"/>
        </w:rPr>
        <w:t> </w:t>
      </w:r>
      <w:r>
        <w:rPr>
          <w:sz w:val="24"/>
        </w:rPr>
        <w:t>than</w:t>
      </w:r>
      <w:r>
        <w:rPr>
          <w:spacing w:val="27"/>
          <w:sz w:val="24"/>
        </w:rPr>
        <w:t> </w:t>
      </w:r>
      <w:r>
        <w:rPr>
          <w:sz w:val="24"/>
        </w:rPr>
        <w:t>or</w:t>
      </w:r>
      <w:r>
        <w:rPr>
          <w:spacing w:val="24"/>
          <w:sz w:val="24"/>
        </w:rPr>
        <w:t> </w:t>
      </w:r>
      <w:r>
        <w:rPr>
          <w:sz w:val="24"/>
        </w:rPr>
        <w:t>equal</w:t>
      </w:r>
      <w:r>
        <w:rPr>
          <w:spacing w:val="28"/>
          <w:sz w:val="24"/>
        </w:rPr>
        <w:t> </w:t>
      </w:r>
      <w:r>
        <w:rPr>
          <w:sz w:val="24"/>
        </w:rPr>
        <w:t>to</w:t>
      </w:r>
      <w:r>
        <w:rPr>
          <w:spacing w:val="28"/>
          <w:sz w:val="24"/>
        </w:rPr>
        <w:t> </w:t>
      </w:r>
      <w:r>
        <w:rPr>
          <w:sz w:val="24"/>
        </w:rPr>
        <w:t>0.05</w:t>
      </w:r>
      <w:r>
        <w:rPr>
          <w:b/>
          <w:sz w:val="24"/>
        </w:rPr>
        <w:t>[Level</w:t>
      </w:r>
      <w:r>
        <w:rPr>
          <w:b/>
          <w:spacing w:val="28"/>
          <w:sz w:val="24"/>
        </w:rPr>
        <w:t> </w:t>
      </w:r>
      <w:r>
        <w:rPr>
          <w:b/>
          <w:sz w:val="24"/>
        </w:rPr>
        <w:t>of significance (α)]</w:t>
      </w:r>
      <w:r>
        <w:rPr>
          <w:sz w:val="24"/>
        </w:rPr>
        <w:t>; otherwise do not reject.</w:t>
      </w:r>
    </w:p>
    <w:p>
      <w:pPr>
        <w:pStyle w:val="Heading4"/>
        <w:spacing w:before="210"/>
        <w:ind w:right="840"/>
        <w:jc w:val="left"/>
      </w:pPr>
      <w:r>
        <w:rPr/>
        <w:t>Table</w:t>
      </w:r>
      <w:r>
        <w:rPr>
          <w:spacing w:val="-3"/>
        </w:rPr>
        <w:t> </w:t>
      </w:r>
      <w:r>
        <w:rPr/>
        <w:t>5.23.</w:t>
      </w:r>
      <w:r>
        <w:rPr>
          <w:spacing w:val="-3"/>
        </w:rPr>
        <w:t> </w:t>
      </w:r>
      <w:r>
        <w:rPr/>
        <w:t>One</w:t>
      </w:r>
      <w:r>
        <w:rPr>
          <w:spacing w:val="-4"/>
        </w:rPr>
        <w:t> </w:t>
      </w:r>
      <w:r>
        <w:rPr/>
        <w:t>Sample</w:t>
      </w:r>
      <w:r>
        <w:rPr>
          <w:spacing w:val="-3"/>
        </w:rPr>
        <w:t> </w:t>
      </w:r>
      <w:r>
        <w:rPr/>
        <w:t>t-test</w:t>
      </w:r>
      <w:r>
        <w:rPr>
          <w:spacing w:val="-4"/>
        </w:rPr>
        <w:t> </w:t>
      </w:r>
      <w:r>
        <w:rPr/>
        <w:t>Results</w:t>
      </w:r>
      <w:r>
        <w:rPr>
          <w:spacing w:val="-3"/>
        </w:rPr>
        <w:t> </w:t>
      </w:r>
      <w:r>
        <w:rPr/>
        <w:t>of</w:t>
      </w:r>
      <w:r>
        <w:rPr>
          <w:spacing w:val="-2"/>
        </w:rPr>
        <w:t> </w:t>
      </w:r>
      <w:r>
        <w:rPr/>
        <w:t>the</w:t>
      </w:r>
      <w:r>
        <w:rPr>
          <w:spacing w:val="-3"/>
        </w:rPr>
        <w:t> </w:t>
      </w:r>
      <w:r>
        <w:rPr/>
        <w:t>Effect</w:t>
      </w:r>
      <w:r>
        <w:rPr>
          <w:spacing w:val="-3"/>
        </w:rPr>
        <w:t> </w:t>
      </w:r>
      <w:r>
        <w:rPr/>
        <w:t>of</w:t>
      </w:r>
      <w:r>
        <w:rPr>
          <w:spacing w:val="-3"/>
        </w:rPr>
        <w:t> </w:t>
      </w:r>
      <w:r>
        <w:rPr/>
        <w:t>Housing</w:t>
      </w:r>
      <w:r>
        <w:rPr>
          <w:spacing w:val="-2"/>
        </w:rPr>
        <w:t> </w:t>
      </w:r>
      <w:r>
        <w:rPr/>
        <w:t>Budget</w:t>
      </w:r>
      <w:r>
        <w:rPr>
          <w:spacing w:val="-3"/>
        </w:rPr>
        <w:t> </w:t>
      </w:r>
      <w:r>
        <w:rPr/>
        <w:t>Problems</w:t>
      </w:r>
      <w:r>
        <w:rPr>
          <w:spacing w:val="-3"/>
        </w:rPr>
        <w:t> </w:t>
      </w:r>
      <w:r>
        <w:rPr/>
        <w:t>on</w:t>
      </w:r>
      <w:r>
        <w:rPr>
          <w:spacing w:val="-3"/>
        </w:rPr>
        <w:t> </w:t>
      </w:r>
      <w:r>
        <w:rPr/>
        <w:t>Housing Budget Performance</w:t>
      </w:r>
    </w:p>
    <w:p>
      <w:pPr>
        <w:pStyle w:val="BodyText"/>
        <w:spacing w:before="3"/>
        <w:rPr>
          <w:b/>
          <w:sz w:val="10"/>
        </w:rPr>
      </w:pPr>
    </w:p>
    <w:tbl>
      <w:tblPr>
        <w:tblW w:w="0" w:type="auto"/>
        <w:jc w:val="left"/>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27"/>
        <w:gridCol w:w="899"/>
        <w:gridCol w:w="1595"/>
        <w:gridCol w:w="1638"/>
        <w:gridCol w:w="2318"/>
      </w:tblGrid>
      <w:tr>
        <w:trPr>
          <w:trHeight w:val="1133" w:hRule="atLeast"/>
        </w:trPr>
        <w:tc>
          <w:tcPr>
            <w:tcW w:w="2927" w:type="dxa"/>
            <w:tcBorders>
              <w:top w:val="single" w:sz="18" w:space="0" w:color="000000"/>
              <w:bottom w:val="single" w:sz="18" w:space="0" w:color="000000"/>
            </w:tcBorders>
          </w:tcPr>
          <w:p>
            <w:pPr>
              <w:pStyle w:val="TableParagraph"/>
              <w:spacing w:line="226" w:lineRule="exact" w:before="5"/>
              <w:ind w:left="14"/>
              <w:rPr>
                <w:rFonts w:ascii="Courier New"/>
                <w:sz w:val="20"/>
              </w:rPr>
            </w:pPr>
            <w:r>
              <w:rPr>
                <w:rFonts w:ascii="Courier New"/>
                <w:spacing w:val="-2"/>
                <w:sz w:val="20"/>
              </w:rPr>
              <w:t>T-</w:t>
            </w:r>
            <w:r>
              <w:rPr>
                <w:rFonts w:ascii="Courier New"/>
                <w:spacing w:val="-4"/>
                <w:sz w:val="20"/>
              </w:rPr>
              <w:t>TEST</w:t>
            </w:r>
          </w:p>
          <w:p>
            <w:pPr>
              <w:pStyle w:val="TableParagraph"/>
              <w:spacing w:line="226" w:lineRule="exact"/>
              <w:ind w:left="14"/>
              <w:rPr>
                <w:rFonts w:ascii="Courier New"/>
                <w:sz w:val="20"/>
              </w:rPr>
            </w:pPr>
            <w:r>
              <w:rPr>
                <w:rFonts w:ascii="Courier New"/>
                <w:spacing w:val="-2"/>
                <w:sz w:val="20"/>
              </w:rPr>
              <w:t>/TESTVAL=0.5</w:t>
            </w:r>
          </w:p>
          <w:p>
            <w:pPr>
              <w:pStyle w:val="TableParagraph"/>
              <w:spacing w:line="226" w:lineRule="exact" w:before="2"/>
              <w:ind w:left="14"/>
              <w:rPr>
                <w:rFonts w:ascii="Courier New"/>
                <w:sz w:val="20"/>
              </w:rPr>
            </w:pPr>
            <w:r>
              <w:rPr>
                <w:rFonts w:ascii="Courier New"/>
                <w:spacing w:val="-2"/>
                <w:sz w:val="20"/>
              </w:rPr>
              <w:t>/MISSING=ANALYSIS</w:t>
            </w:r>
          </w:p>
          <w:p>
            <w:pPr>
              <w:pStyle w:val="TableParagraph"/>
              <w:spacing w:line="226" w:lineRule="exact"/>
              <w:ind w:left="14"/>
              <w:rPr>
                <w:rFonts w:ascii="Courier New"/>
                <w:sz w:val="20"/>
              </w:rPr>
            </w:pPr>
            <w:r>
              <w:rPr>
                <w:rFonts w:ascii="Courier New"/>
                <w:spacing w:val="-2"/>
                <w:sz w:val="20"/>
              </w:rPr>
              <w:t>/VARIABLES=VAR00001</w:t>
            </w:r>
          </w:p>
          <w:p>
            <w:pPr>
              <w:pStyle w:val="TableParagraph"/>
              <w:spacing w:line="203" w:lineRule="exact"/>
              <w:ind w:left="14"/>
              <w:rPr>
                <w:rFonts w:ascii="Courier New"/>
                <w:sz w:val="20"/>
              </w:rPr>
            </w:pPr>
            <w:r>
              <w:rPr>
                <w:rFonts w:ascii="Courier New"/>
                <w:spacing w:val="-2"/>
                <w:sz w:val="20"/>
              </w:rPr>
              <w:t>/CRITERIA=CI(.95).</w:t>
            </w:r>
          </w:p>
        </w:tc>
        <w:tc>
          <w:tcPr>
            <w:tcW w:w="899" w:type="dxa"/>
            <w:tcBorders>
              <w:top w:val="single" w:sz="18" w:space="0" w:color="000000"/>
              <w:bottom w:val="single" w:sz="18" w:space="0" w:color="000000"/>
            </w:tcBorders>
          </w:tcPr>
          <w:p>
            <w:pPr>
              <w:pStyle w:val="TableParagraph"/>
              <w:rPr>
                <w:sz w:val="22"/>
              </w:rPr>
            </w:pPr>
          </w:p>
        </w:tc>
        <w:tc>
          <w:tcPr>
            <w:tcW w:w="1595" w:type="dxa"/>
            <w:tcBorders>
              <w:top w:val="single" w:sz="18" w:space="0" w:color="000000"/>
              <w:bottom w:val="single" w:sz="18" w:space="0" w:color="000000"/>
            </w:tcBorders>
          </w:tcPr>
          <w:p>
            <w:pPr>
              <w:pStyle w:val="TableParagraph"/>
              <w:rPr>
                <w:sz w:val="22"/>
              </w:rPr>
            </w:pPr>
          </w:p>
        </w:tc>
        <w:tc>
          <w:tcPr>
            <w:tcW w:w="1638" w:type="dxa"/>
            <w:tcBorders>
              <w:top w:val="single" w:sz="18" w:space="0" w:color="000000"/>
              <w:bottom w:val="single" w:sz="18" w:space="0" w:color="000000"/>
            </w:tcBorders>
          </w:tcPr>
          <w:p>
            <w:pPr>
              <w:pStyle w:val="TableParagraph"/>
              <w:rPr>
                <w:sz w:val="22"/>
              </w:rPr>
            </w:pPr>
          </w:p>
        </w:tc>
        <w:tc>
          <w:tcPr>
            <w:tcW w:w="2318" w:type="dxa"/>
            <w:tcBorders>
              <w:top w:val="single" w:sz="18" w:space="0" w:color="000000"/>
              <w:bottom w:val="single" w:sz="18" w:space="0" w:color="000000"/>
            </w:tcBorders>
          </w:tcPr>
          <w:p>
            <w:pPr>
              <w:pStyle w:val="TableParagraph"/>
              <w:rPr>
                <w:sz w:val="22"/>
              </w:rPr>
            </w:pPr>
          </w:p>
        </w:tc>
      </w:tr>
      <w:tr>
        <w:trPr>
          <w:trHeight w:val="319" w:hRule="atLeast"/>
        </w:trPr>
        <w:tc>
          <w:tcPr>
            <w:tcW w:w="9377" w:type="dxa"/>
            <w:gridSpan w:val="5"/>
            <w:tcBorders>
              <w:top w:val="single" w:sz="18" w:space="0" w:color="000000"/>
              <w:bottom w:val="single" w:sz="18" w:space="0" w:color="000000"/>
            </w:tcBorders>
          </w:tcPr>
          <w:p>
            <w:pPr>
              <w:pStyle w:val="TableParagraph"/>
              <w:spacing w:line="191" w:lineRule="exact" w:before="108"/>
              <w:ind w:left="13"/>
              <w:jc w:val="center"/>
              <w:rPr>
                <w:rFonts w:ascii="Arial"/>
                <w:b/>
                <w:sz w:val="18"/>
              </w:rPr>
            </w:pPr>
            <w:r>
              <w:rPr>
                <w:rFonts w:ascii="Arial"/>
                <w:b/>
                <w:sz w:val="18"/>
              </w:rPr>
              <w:t>One-Sample</w:t>
            </w:r>
            <w:r>
              <w:rPr>
                <w:rFonts w:ascii="Arial"/>
                <w:b/>
                <w:spacing w:val="-2"/>
                <w:sz w:val="18"/>
              </w:rPr>
              <w:t> Statistics</w:t>
            </w:r>
          </w:p>
        </w:tc>
      </w:tr>
      <w:tr>
        <w:trPr>
          <w:trHeight w:val="379" w:hRule="atLeast"/>
        </w:trPr>
        <w:tc>
          <w:tcPr>
            <w:tcW w:w="2927" w:type="dxa"/>
            <w:tcBorders>
              <w:top w:val="single" w:sz="18" w:space="0" w:color="000000"/>
            </w:tcBorders>
          </w:tcPr>
          <w:p>
            <w:pPr>
              <w:pStyle w:val="TableParagraph"/>
              <w:rPr>
                <w:sz w:val="22"/>
              </w:rPr>
            </w:pPr>
          </w:p>
        </w:tc>
        <w:tc>
          <w:tcPr>
            <w:tcW w:w="899" w:type="dxa"/>
            <w:tcBorders>
              <w:top w:val="single" w:sz="18" w:space="0" w:color="000000"/>
            </w:tcBorders>
          </w:tcPr>
          <w:p>
            <w:pPr>
              <w:pStyle w:val="TableParagraph"/>
              <w:spacing w:before="113"/>
              <w:ind w:left="37" w:right="7"/>
              <w:jc w:val="center"/>
              <w:rPr>
                <w:rFonts w:ascii="Arial MT"/>
                <w:sz w:val="18"/>
              </w:rPr>
            </w:pPr>
            <w:r>
              <w:rPr>
                <w:rFonts w:ascii="Arial MT"/>
                <w:spacing w:val="-10"/>
                <w:sz w:val="18"/>
              </w:rPr>
              <w:t>N</w:t>
            </w:r>
          </w:p>
        </w:tc>
        <w:tc>
          <w:tcPr>
            <w:tcW w:w="1595" w:type="dxa"/>
            <w:tcBorders>
              <w:top w:val="single" w:sz="18" w:space="0" w:color="000000"/>
            </w:tcBorders>
          </w:tcPr>
          <w:p>
            <w:pPr>
              <w:pStyle w:val="TableParagraph"/>
              <w:spacing w:before="113"/>
              <w:ind w:left="144" w:right="5"/>
              <w:jc w:val="center"/>
              <w:rPr>
                <w:rFonts w:ascii="Arial MT"/>
                <w:sz w:val="18"/>
              </w:rPr>
            </w:pPr>
            <w:r>
              <w:rPr>
                <w:rFonts w:ascii="Arial MT"/>
                <w:spacing w:val="-4"/>
                <w:sz w:val="18"/>
              </w:rPr>
              <w:t>Mean</w:t>
            </w:r>
          </w:p>
        </w:tc>
        <w:tc>
          <w:tcPr>
            <w:tcW w:w="1638" w:type="dxa"/>
            <w:tcBorders>
              <w:top w:val="single" w:sz="18" w:space="0" w:color="000000"/>
            </w:tcBorders>
          </w:tcPr>
          <w:p>
            <w:pPr>
              <w:pStyle w:val="TableParagraph"/>
              <w:spacing w:before="113"/>
              <w:ind w:left="71" w:right="9"/>
              <w:jc w:val="center"/>
              <w:rPr>
                <w:rFonts w:ascii="Arial MT"/>
                <w:sz w:val="18"/>
              </w:rPr>
            </w:pPr>
            <w:r>
              <w:rPr>
                <w:rFonts w:ascii="Arial MT"/>
                <w:sz w:val="18"/>
              </w:rPr>
              <w:t>Std.</w:t>
            </w:r>
            <w:r>
              <w:rPr>
                <w:rFonts w:ascii="Arial MT"/>
                <w:spacing w:val="-2"/>
                <w:sz w:val="18"/>
              </w:rPr>
              <w:t> Deviation</w:t>
            </w:r>
          </w:p>
        </w:tc>
        <w:tc>
          <w:tcPr>
            <w:tcW w:w="2318" w:type="dxa"/>
            <w:tcBorders>
              <w:top w:val="single" w:sz="18" w:space="0" w:color="000000"/>
            </w:tcBorders>
          </w:tcPr>
          <w:p>
            <w:pPr>
              <w:pStyle w:val="TableParagraph"/>
              <w:spacing w:before="113"/>
              <w:ind w:left="66"/>
              <w:jc w:val="center"/>
              <w:rPr>
                <w:rFonts w:ascii="Arial MT"/>
                <w:sz w:val="18"/>
              </w:rPr>
            </w:pPr>
            <w:r>
              <w:rPr>
                <w:rFonts w:ascii="Arial MT"/>
                <w:sz w:val="18"/>
              </w:rPr>
              <w:t>Std.</w:t>
            </w:r>
            <w:r>
              <w:rPr>
                <w:rFonts w:ascii="Arial MT"/>
                <w:spacing w:val="-5"/>
                <w:sz w:val="18"/>
              </w:rPr>
              <w:t> </w:t>
            </w:r>
            <w:r>
              <w:rPr>
                <w:rFonts w:ascii="Arial MT"/>
                <w:sz w:val="18"/>
              </w:rPr>
              <w:t>Error</w:t>
            </w:r>
            <w:r>
              <w:rPr>
                <w:rFonts w:ascii="Arial MT"/>
                <w:spacing w:val="-2"/>
                <w:sz w:val="18"/>
              </w:rPr>
              <w:t> </w:t>
            </w:r>
            <w:r>
              <w:rPr>
                <w:rFonts w:ascii="Arial MT"/>
                <w:spacing w:val="-4"/>
                <w:sz w:val="18"/>
              </w:rPr>
              <w:t>Mean</w:t>
            </w:r>
          </w:p>
        </w:tc>
      </w:tr>
      <w:tr>
        <w:trPr>
          <w:trHeight w:val="259" w:hRule="atLeast"/>
        </w:trPr>
        <w:tc>
          <w:tcPr>
            <w:tcW w:w="2927" w:type="dxa"/>
            <w:tcBorders>
              <w:bottom w:val="single" w:sz="18" w:space="0" w:color="000000"/>
            </w:tcBorders>
          </w:tcPr>
          <w:p>
            <w:pPr>
              <w:pStyle w:val="TableParagraph"/>
              <w:spacing w:line="186" w:lineRule="exact" w:before="53"/>
              <w:ind w:left="74"/>
              <w:rPr>
                <w:rFonts w:ascii="Arial MT"/>
                <w:sz w:val="18"/>
              </w:rPr>
            </w:pPr>
            <w:r>
              <w:rPr>
                <w:rFonts w:ascii="Arial MT"/>
                <w:sz w:val="18"/>
              </w:rPr>
              <w:t>Relative</w:t>
            </w:r>
            <w:r>
              <w:rPr>
                <w:rFonts w:ascii="Arial MT"/>
                <w:spacing w:val="-5"/>
                <w:sz w:val="18"/>
              </w:rPr>
              <w:t> </w:t>
            </w:r>
            <w:r>
              <w:rPr>
                <w:rFonts w:ascii="Arial MT"/>
                <w:sz w:val="18"/>
              </w:rPr>
              <w:t>Importance</w:t>
            </w:r>
            <w:r>
              <w:rPr>
                <w:rFonts w:ascii="Arial MT"/>
                <w:spacing w:val="-5"/>
                <w:sz w:val="18"/>
              </w:rPr>
              <w:t> </w:t>
            </w:r>
            <w:r>
              <w:rPr>
                <w:rFonts w:ascii="Arial MT"/>
                <w:sz w:val="18"/>
              </w:rPr>
              <w:t>Index</w:t>
            </w:r>
            <w:r>
              <w:rPr>
                <w:rFonts w:ascii="Arial MT"/>
                <w:spacing w:val="-8"/>
                <w:sz w:val="18"/>
              </w:rPr>
              <w:t> </w:t>
            </w:r>
            <w:r>
              <w:rPr>
                <w:rFonts w:ascii="Arial MT"/>
                <w:spacing w:val="-2"/>
                <w:sz w:val="18"/>
              </w:rPr>
              <w:t>(RII)</w:t>
            </w:r>
          </w:p>
        </w:tc>
        <w:tc>
          <w:tcPr>
            <w:tcW w:w="899" w:type="dxa"/>
            <w:tcBorders>
              <w:bottom w:val="single" w:sz="18" w:space="0" w:color="000000"/>
            </w:tcBorders>
          </w:tcPr>
          <w:p>
            <w:pPr>
              <w:pStyle w:val="TableParagraph"/>
              <w:spacing w:line="186" w:lineRule="exact" w:before="53"/>
              <w:ind w:left="37" w:right="7"/>
              <w:jc w:val="center"/>
              <w:rPr>
                <w:rFonts w:ascii="Arial MT"/>
                <w:sz w:val="18"/>
              </w:rPr>
            </w:pPr>
            <w:r>
              <w:rPr>
                <w:rFonts w:ascii="Arial MT"/>
                <w:spacing w:val="-5"/>
                <w:sz w:val="18"/>
              </w:rPr>
              <w:t>20</w:t>
            </w:r>
          </w:p>
        </w:tc>
        <w:tc>
          <w:tcPr>
            <w:tcW w:w="1595" w:type="dxa"/>
            <w:tcBorders>
              <w:bottom w:val="single" w:sz="18" w:space="0" w:color="000000"/>
            </w:tcBorders>
          </w:tcPr>
          <w:p>
            <w:pPr>
              <w:pStyle w:val="TableParagraph"/>
              <w:spacing w:line="186" w:lineRule="exact" w:before="53"/>
              <w:ind w:left="144" w:right="1"/>
              <w:jc w:val="center"/>
              <w:rPr>
                <w:rFonts w:ascii="Arial MT"/>
                <w:sz w:val="18"/>
              </w:rPr>
            </w:pPr>
            <w:r>
              <w:rPr>
                <w:rFonts w:ascii="Arial MT"/>
                <w:spacing w:val="-2"/>
                <w:sz w:val="18"/>
              </w:rPr>
              <w:t>.7500</w:t>
            </w:r>
          </w:p>
        </w:tc>
        <w:tc>
          <w:tcPr>
            <w:tcW w:w="1638" w:type="dxa"/>
            <w:tcBorders>
              <w:bottom w:val="single" w:sz="18" w:space="0" w:color="000000"/>
            </w:tcBorders>
          </w:tcPr>
          <w:p>
            <w:pPr>
              <w:pStyle w:val="TableParagraph"/>
              <w:spacing w:line="186" w:lineRule="exact" w:before="53"/>
              <w:ind w:left="71" w:right="8"/>
              <w:jc w:val="center"/>
              <w:rPr>
                <w:rFonts w:ascii="Arial MT"/>
                <w:sz w:val="18"/>
              </w:rPr>
            </w:pPr>
            <w:r>
              <w:rPr>
                <w:rFonts w:ascii="Arial MT"/>
                <w:spacing w:val="-2"/>
                <w:sz w:val="18"/>
              </w:rPr>
              <w:t>.07867</w:t>
            </w:r>
          </w:p>
        </w:tc>
        <w:tc>
          <w:tcPr>
            <w:tcW w:w="2318" w:type="dxa"/>
            <w:tcBorders>
              <w:bottom w:val="single" w:sz="18" w:space="0" w:color="000000"/>
            </w:tcBorders>
          </w:tcPr>
          <w:p>
            <w:pPr>
              <w:pStyle w:val="TableParagraph"/>
              <w:spacing w:line="186" w:lineRule="exact" w:before="53"/>
              <w:ind w:left="68"/>
              <w:jc w:val="center"/>
              <w:rPr>
                <w:rFonts w:ascii="Arial MT"/>
                <w:sz w:val="18"/>
              </w:rPr>
            </w:pPr>
            <w:r>
              <w:rPr>
                <w:rFonts w:ascii="Arial MT"/>
                <w:spacing w:val="-2"/>
                <w:sz w:val="18"/>
              </w:rPr>
              <w:t>.01759</w:t>
            </w:r>
          </w:p>
        </w:tc>
      </w:tr>
      <w:tr>
        <w:trPr>
          <w:trHeight w:val="320" w:hRule="atLeast"/>
        </w:trPr>
        <w:tc>
          <w:tcPr>
            <w:tcW w:w="2927" w:type="dxa"/>
            <w:tcBorders>
              <w:top w:val="single" w:sz="18" w:space="0" w:color="000000"/>
              <w:bottom w:val="single" w:sz="18" w:space="0" w:color="000000"/>
            </w:tcBorders>
          </w:tcPr>
          <w:p>
            <w:pPr>
              <w:pStyle w:val="TableParagraph"/>
              <w:rPr>
                <w:sz w:val="22"/>
              </w:rPr>
            </w:pPr>
          </w:p>
        </w:tc>
        <w:tc>
          <w:tcPr>
            <w:tcW w:w="899" w:type="dxa"/>
            <w:tcBorders>
              <w:top w:val="single" w:sz="18" w:space="0" w:color="000000"/>
              <w:bottom w:val="single" w:sz="18" w:space="0" w:color="000000"/>
            </w:tcBorders>
          </w:tcPr>
          <w:p>
            <w:pPr>
              <w:pStyle w:val="TableParagraph"/>
              <w:rPr>
                <w:sz w:val="22"/>
              </w:rPr>
            </w:pPr>
          </w:p>
        </w:tc>
        <w:tc>
          <w:tcPr>
            <w:tcW w:w="1595" w:type="dxa"/>
            <w:tcBorders>
              <w:top w:val="single" w:sz="18" w:space="0" w:color="000000"/>
              <w:bottom w:val="single" w:sz="18" w:space="0" w:color="000000"/>
            </w:tcBorders>
          </w:tcPr>
          <w:p>
            <w:pPr>
              <w:pStyle w:val="TableParagraph"/>
              <w:spacing w:line="191" w:lineRule="exact" w:before="109"/>
              <w:ind w:left="132" w:right="-15"/>
              <w:jc w:val="center"/>
              <w:rPr>
                <w:rFonts w:ascii="Arial"/>
                <w:b/>
                <w:sz w:val="18"/>
              </w:rPr>
            </w:pPr>
            <w:r>
              <w:rPr>
                <w:rFonts w:ascii="Arial"/>
                <w:b/>
                <w:sz w:val="18"/>
              </w:rPr>
              <w:t>One-Sample</w:t>
            </w:r>
            <w:r>
              <w:rPr>
                <w:rFonts w:ascii="Arial"/>
                <w:b/>
                <w:spacing w:val="-1"/>
                <w:sz w:val="18"/>
              </w:rPr>
              <w:t> </w:t>
            </w:r>
            <w:r>
              <w:rPr>
                <w:rFonts w:ascii="Arial"/>
                <w:b/>
                <w:spacing w:val="-4"/>
                <w:sz w:val="18"/>
              </w:rPr>
              <w:t>Test</w:t>
            </w:r>
          </w:p>
        </w:tc>
        <w:tc>
          <w:tcPr>
            <w:tcW w:w="1638" w:type="dxa"/>
            <w:tcBorders>
              <w:top w:val="single" w:sz="18" w:space="0" w:color="000000"/>
              <w:bottom w:val="single" w:sz="18" w:space="0" w:color="000000"/>
            </w:tcBorders>
          </w:tcPr>
          <w:p>
            <w:pPr>
              <w:pStyle w:val="TableParagraph"/>
              <w:rPr>
                <w:sz w:val="22"/>
              </w:rPr>
            </w:pPr>
          </w:p>
        </w:tc>
        <w:tc>
          <w:tcPr>
            <w:tcW w:w="2318" w:type="dxa"/>
            <w:tcBorders>
              <w:top w:val="single" w:sz="18" w:space="0" w:color="000000"/>
              <w:bottom w:val="single" w:sz="18" w:space="0" w:color="000000"/>
            </w:tcBorders>
          </w:tcPr>
          <w:p>
            <w:pPr>
              <w:pStyle w:val="TableParagraph"/>
              <w:rPr>
                <w:sz w:val="22"/>
              </w:rPr>
            </w:pPr>
          </w:p>
        </w:tc>
      </w:tr>
      <w:tr>
        <w:trPr>
          <w:trHeight w:val="324" w:hRule="atLeast"/>
        </w:trPr>
        <w:tc>
          <w:tcPr>
            <w:tcW w:w="2927" w:type="dxa"/>
            <w:tcBorders>
              <w:top w:val="single" w:sz="18" w:space="0" w:color="000000"/>
            </w:tcBorders>
          </w:tcPr>
          <w:p>
            <w:pPr>
              <w:pStyle w:val="TableParagraph"/>
              <w:rPr>
                <w:sz w:val="22"/>
              </w:rPr>
            </w:pPr>
          </w:p>
        </w:tc>
        <w:tc>
          <w:tcPr>
            <w:tcW w:w="899" w:type="dxa"/>
            <w:tcBorders>
              <w:top w:val="single" w:sz="18" w:space="0" w:color="000000"/>
            </w:tcBorders>
          </w:tcPr>
          <w:p>
            <w:pPr>
              <w:pStyle w:val="TableParagraph"/>
              <w:rPr>
                <w:sz w:val="22"/>
              </w:rPr>
            </w:pPr>
          </w:p>
        </w:tc>
        <w:tc>
          <w:tcPr>
            <w:tcW w:w="1595" w:type="dxa"/>
            <w:tcBorders>
              <w:top w:val="single" w:sz="18" w:space="0" w:color="000000"/>
            </w:tcBorders>
          </w:tcPr>
          <w:p>
            <w:pPr>
              <w:pStyle w:val="TableParagraph"/>
              <w:rPr>
                <w:sz w:val="22"/>
              </w:rPr>
            </w:pPr>
          </w:p>
        </w:tc>
        <w:tc>
          <w:tcPr>
            <w:tcW w:w="1638" w:type="dxa"/>
            <w:tcBorders>
              <w:top w:val="single" w:sz="18" w:space="0" w:color="000000"/>
            </w:tcBorders>
          </w:tcPr>
          <w:p>
            <w:pPr>
              <w:pStyle w:val="TableParagraph"/>
              <w:spacing w:line="191" w:lineRule="exact" w:before="113"/>
              <w:ind w:left="71"/>
              <w:jc w:val="center"/>
              <w:rPr>
                <w:rFonts w:ascii="Arial MT"/>
                <w:sz w:val="18"/>
              </w:rPr>
            </w:pPr>
            <w:r>
              <w:rPr>
                <w:rFonts w:ascii="Arial MT"/>
                <w:sz w:val="18"/>
              </w:rPr>
              <w:t>Test</w:t>
            </w:r>
            <w:r>
              <w:rPr>
                <w:rFonts w:ascii="Arial MT"/>
                <w:spacing w:val="-4"/>
                <w:sz w:val="18"/>
              </w:rPr>
              <w:t> </w:t>
            </w:r>
            <w:r>
              <w:rPr>
                <w:rFonts w:ascii="Arial MT"/>
                <w:sz w:val="18"/>
              </w:rPr>
              <w:t>Value</w:t>
            </w:r>
            <w:r>
              <w:rPr>
                <w:rFonts w:ascii="Arial MT"/>
                <w:spacing w:val="-3"/>
                <w:sz w:val="18"/>
              </w:rPr>
              <w:t> </w:t>
            </w:r>
            <w:r>
              <w:rPr>
                <w:rFonts w:ascii="Arial MT"/>
                <w:sz w:val="18"/>
              </w:rPr>
              <w:t>=</w:t>
            </w:r>
            <w:r>
              <w:rPr>
                <w:rFonts w:ascii="Arial MT"/>
                <w:spacing w:val="-1"/>
                <w:sz w:val="18"/>
              </w:rPr>
              <w:t> </w:t>
            </w:r>
            <w:r>
              <w:rPr>
                <w:rFonts w:ascii="Arial MT"/>
                <w:spacing w:val="-5"/>
                <w:sz w:val="18"/>
              </w:rPr>
              <w:t>0.5</w:t>
            </w:r>
          </w:p>
        </w:tc>
        <w:tc>
          <w:tcPr>
            <w:tcW w:w="2318" w:type="dxa"/>
            <w:tcBorders>
              <w:top w:val="single" w:sz="18" w:space="0" w:color="000000"/>
            </w:tcBorders>
          </w:tcPr>
          <w:p>
            <w:pPr>
              <w:pStyle w:val="TableParagraph"/>
              <w:rPr>
                <w:sz w:val="22"/>
              </w:rPr>
            </w:pPr>
          </w:p>
        </w:tc>
      </w:tr>
      <w:tr>
        <w:trPr>
          <w:trHeight w:val="410" w:hRule="atLeast"/>
        </w:trPr>
        <w:tc>
          <w:tcPr>
            <w:tcW w:w="2927" w:type="dxa"/>
            <w:tcBorders>
              <w:bottom w:val="single" w:sz="18" w:space="0" w:color="000000"/>
            </w:tcBorders>
          </w:tcPr>
          <w:p>
            <w:pPr>
              <w:pStyle w:val="TableParagraph"/>
              <w:spacing w:before="110"/>
              <w:ind w:right="110"/>
              <w:jc w:val="center"/>
              <w:rPr>
                <w:rFonts w:ascii="Arial MT"/>
                <w:sz w:val="18"/>
              </w:rPr>
            </w:pPr>
            <w:r>
              <w:rPr>
                <w:rFonts w:ascii="Arial MT"/>
                <w:spacing w:val="-10"/>
                <w:sz w:val="18"/>
              </w:rPr>
              <w:t>t</w:t>
            </w:r>
          </w:p>
        </w:tc>
        <w:tc>
          <w:tcPr>
            <w:tcW w:w="899" w:type="dxa"/>
            <w:tcBorders>
              <w:bottom w:val="single" w:sz="18" w:space="0" w:color="000000"/>
            </w:tcBorders>
          </w:tcPr>
          <w:p>
            <w:pPr>
              <w:pStyle w:val="TableParagraph"/>
              <w:spacing w:before="101"/>
              <w:ind w:left="37" w:right="9"/>
              <w:jc w:val="center"/>
              <w:rPr>
                <w:rFonts w:ascii="Arial MT"/>
                <w:sz w:val="18"/>
              </w:rPr>
            </w:pPr>
            <w:r>
              <w:rPr>
                <w:rFonts w:ascii="Arial MT"/>
                <w:spacing w:val="-5"/>
                <w:sz w:val="18"/>
              </w:rPr>
              <w:t>df</w:t>
            </w:r>
          </w:p>
        </w:tc>
        <w:tc>
          <w:tcPr>
            <w:tcW w:w="1595" w:type="dxa"/>
            <w:tcBorders>
              <w:bottom w:val="single" w:sz="18" w:space="0" w:color="000000"/>
            </w:tcBorders>
          </w:tcPr>
          <w:p>
            <w:pPr>
              <w:pStyle w:val="TableParagraph"/>
              <w:spacing w:before="101"/>
              <w:ind w:left="144"/>
              <w:jc w:val="center"/>
              <w:rPr>
                <w:rFonts w:ascii="Arial MT"/>
                <w:sz w:val="18"/>
              </w:rPr>
            </w:pPr>
            <w:r>
              <w:rPr>
                <w:rFonts w:ascii="Arial MT"/>
                <w:sz w:val="18"/>
              </w:rPr>
              <w:t>Sig.</w:t>
            </w:r>
            <w:r>
              <w:rPr>
                <w:rFonts w:ascii="Arial MT"/>
                <w:spacing w:val="-3"/>
                <w:sz w:val="18"/>
              </w:rPr>
              <w:t> </w:t>
            </w:r>
            <w:r>
              <w:rPr>
                <w:rFonts w:ascii="Arial MT"/>
                <w:sz w:val="18"/>
              </w:rPr>
              <w:t>(2-</w:t>
            </w:r>
            <w:r>
              <w:rPr>
                <w:rFonts w:ascii="Arial MT"/>
                <w:spacing w:val="-2"/>
                <w:sz w:val="18"/>
              </w:rPr>
              <w:t>tailed)</w:t>
            </w:r>
          </w:p>
        </w:tc>
        <w:tc>
          <w:tcPr>
            <w:tcW w:w="1638" w:type="dxa"/>
            <w:tcBorders>
              <w:bottom w:val="single" w:sz="18" w:space="0" w:color="000000"/>
            </w:tcBorders>
          </w:tcPr>
          <w:p>
            <w:pPr>
              <w:pStyle w:val="TableParagraph"/>
              <w:spacing w:before="101"/>
              <w:ind w:left="71" w:right="12"/>
              <w:jc w:val="center"/>
              <w:rPr>
                <w:rFonts w:ascii="Arial MT"/>
                <w:sz w:val="18"/>
              </w:rPr>
            </w:pPr>
            <w:r>
              <w:rPr>
                <w:rFonts w:ascii="Arial MT"/>
                <w:sz w:val="18"/>
              </w:rPr>
              <w:t>Mean</w:t>
            </w:r>
            <w:r>
              <w:rPr>
                <w:rFonts w:ascii="Arial MT"/>
                <w:spacing w:val="-11"/>
                <w:sz w:val="18"/>
              </w:rPr>
              <w:t> </w:t>
            </w:r>
            <w:r>
              <w:rPr>
                <w:rFonts w:ascii="Arial MT"/>
                <w:spacing w:val="-2"/>
                <w:sz w:val="18"/>
              </w:rPr>
              <w:t>Difference</w:t>
            </w:r>
          </w:p>
        </w:tc>
        <w:tc>
          <w:tcPr>
            <w:tcW w:w="2318" w:type="dxa"/>
            <w:tcBorders>
              <w:bottom w:val="single" w:sz="18" w:space="0" w:color="000000"/>
            </w:tcBorders>
          </w:tcPr>
          <w:p>
            <w:pPr>
              <w:pStyle w:val="TableParagraph"/>
              <w:spacing w:line="206" w:lineRule="exact"/>
              <w:ind w:left="533" w:right="42" w:hanging="322"/>
              <w:rPr>
                <w:rFonts w:ascii="Arial MT"/>
                <w:sz w:val="18"/>
              </w:rPr>
            </w:pPr>
            <w:r>
              <w:rPr>
                <w:rFonts w:ascii="Arial MT"/>
                <w:sz w:val="18"/>
              </w:rPr>
              <w:t>95%</w:t>
            </w:r>
            <w:r>
              <w:rPr>
                <w:rFonts w:ascii="Arial MT"/>
                <w:spacing w:val="-15"/>
                <w:sz w:val="18"/>
              </w:rPr>
              <w:t> </w:t>
            </w:r>
            <w:r>
              <w:rPr>
                <w:rFonts w:ascii="Arial MT"/>
                <w:sz w:val="18"/>
              </w:rPr>
              <w:t>Confidence</w:t>
            </w:r>
            <w:r>
              <w:rPr>
                <w:rFonts w:ascii="Arial MT"/>
                <w:spacing w:val="-12"/>
                <w:sz w:val="18"/>
              </w:rPr>
              <w:t> </w:t>
            </w:r>
            <w:r>
              <w:rPr>
                <w:rFonts w:ascii="Arial MT"/>
                <w:sz w:val="18"/>
              </w:rPr>
              <w:t>Interval of the Difference</w:t>
            </w:r>
          </w:p>
        </w:tc>
      </w:tr>
      <w:tr>
        <w:trPr>
          <w:trHeight w:val="378" w:hRule="atLeast"/>
        </w:trPr>
        <w:tc>
          <w:tcPr>
            <w:tcW w:w="2927" w:type="dxa"/>
            <w:tcBorders>
              <w:top w:val="single" w:sz="18" w:space="0" w:color="000000"/>
            </w:tcBorders>
          </w:tcPr>
          <w:p>
            <w:pPr>
              <w:pStyle w:val="TableParagraph"/>
              <w:spacing w:before="112"/>
              <w:ind w:left="7" w:right="110"/>
              <w:jc w:val="center"/>
              <w:rPr>
                <w:rFonts w:ascii="Arial MT"/>
                <w:sz w:val="18"/>
              </w:rPr>
            </w:pPr>
            <w:r>
              <w:rPr>
                <w:rFonts w:ascii="Arial MT"/>
                <w:spacing w:val="-2"/>
                <w:sz w:val="18"/>
              </w:rPr>
              <w:t>14.211</w:t>
            </w:r>
          </w:p>
        </w:tc>
        <w:tc>
          <w:tcPr>
            <w:tcW w:w="899" w:type="dxa"/>
            <w:tcBorders>
              <w:top w:val="single" w:sz="18" w:space="0" w:color="000000"/>
            </w:tcBorders>
          </w:tcPr>
          <w:p>
            <w:pPr>
              <w:pStyle w:val="TableParagraph"/>
              <w:spacing w:before="112"/>
              <w:ind w:left="37" w:right="7"/>
              <w:jc w:val="center"/>
              <w:rPr>
                <w:rFonts w:ascii="Arial MT"/>
                <w:sz w:val="18"/>
              </w:rPr>
            </w:pPr>
            <w:r>
              <w:rPr>
                <w:rFonts w:ascii="Arial MT"/>
                <w:spacing w:val="-5"/>
                <w:sz w:val="18"/>
              </w:rPr>
              <w:t>19</w:t>
            </w:r>
          </w:p>
        </w:tc>
        <w:tc>
          <w:tcPr>
            <w:tcW w:w="1595" w:type="dxa"/>
            <w:tcBorders>
              <w:top w:val="single" w:sz="18" w:space="0" w:color="000000"/>
            </w:tcBorders>
          </w:tcPr>
          <w:p>
            <w:pPr>
              <w:pStyle w:val="TableParagraph"/>
              <w:spacing w:before="112"/>
              <w:ind w:left="144"/>
              <w:jc w:val="center"/>
              <w:rPr>
                <w:rFonts w:ascii="Arial MT"/>
                <w:sz w:val="18"/>
              </w:rPr>
            </w:pPr>
            <w:r>
              <w:rPr>
                <w:rFonts w:ascii="Arial MT"/>
                <w:spacing w:val="-4"/>
                <w:sz w:val="18"/>
              </w:rPr>
              <w:t>.000</w:t>
            </w:r>
          </w:p>
        </w:tc>
        <w:tc>
          <w:tcPr>
            <w:tcW w:w="1638" w:type="dxa"/>
            <w:tcBorders>
              <w:top w:val="single" w:sz="18" w:space="0" w:color="000000"/>
            </w:tcBorders>
          </w:tcPr>
          <w:p>
            <w:pPr>
              <w:pStyle w:val="TableParagraph"/>
              <w:spacing w:before="112"/>
              <w:ind w:left="71" w:right="8"/>
              <w:jc w:val="center"/>
              <w:rPr>
                <w:rFonts w:ascii="Arial MT"/>
                <w:sz w:val="18"/>
              </w:rPr>
            </w:pPr>
            <w:r>
              <w:rPr>
                <w:rFonts w:ascii="Arial MT"/>
                <w:spacing w:val="-2"/>
                <w:sz w:val="18"/>
              </w:rPr>
              <w:t>.25000</w:t>
            </w:r>
          </w:p>
        </w:tc>
        <w:tc>
          <w:tcPr>
            <w:tcW w:w="2318" w:type="dxa"/>
            <w:tcBorders>
              <w:top w:val="single" w:sz="18" w:space="0" w:color="000000"/>
            </w:tcBorders>
          </w:tcPr>
          <w:p>
            <w:pPr>
              <w:pStyle w:val="TableParagraph"/>
              <w:tabs>
                <w:tab w:pos="1608" w:val="left" w:leader="none"/>
              </w:tabs>
              <w:spacing w:before="112"/>
              <w:ind w:left="17"/>
              <w:jc w:val="center"/>
              <w:rPr>
                <w:rFonts w:ascii="Arial MT"/>
                <w:sz w:val="18"/>
              </w:rPr>
            </w:pPr>
            <w:r>
              <w:rPr>
                <w:rFonts w:ascii="Arial MT"/>
                <w:spacing w:val="-4"/>
                <w:sz w:val="18"/>
              </w:rPr>
              <w:t>Lower</w:t>
            </w:r>
            <w:r>
              <w:rPr>
                <w:rFonts w:ascii="Arial MT"/>
                <w:sz w:val="18"/>
              </w:rPr>
              <w:tab/>
            </w:r>
            <w:r>
              <w:rPr>
                <w:rFonts w:ascii="Arial MT"/>
                <w:spacing w:val="-4"/>
                <w:sz w:val="18"/>
              </w:rPr>
              <w:t>Upper</w:t>
            </w:r>
          </w:p>
        </w:tc>
      </w:tr>
      <w:tr>
        <w:trPr>
          <w:trHeight w:val="259" w:hRule="atLeast"/>
        </w:trPr>
        <w:tc>
          <w:tcPr>
            <w:tcW w:w="2927" w:type="dxa"/>
            <w:tcBorders>
              <w:bottom w:val="single" w:sz="18" w:space="0" w:color="000000"/>
            </w:tcBorders>
          </w:tcPr>
          <w:p>
            <w:pPr>
              <w:pStyle w:val="TableParagraph"/>
              <w:rPr>
                <w:sz w:val="18"/>
              </w:rPr>
            </w:pPr>
          </w:p>
        </w:tc>
        <w:tc>
          <w:tcPr>
            <w:tcW w:w="899" w:type="dxa"/>
            <w:tcBorders>
              <w:bottom w:val="single" w:sz="18" w:space="0" w:color="000000"/>
            </w:tcBorders>
          </w:tcPr>
          <w:p>
            <w:pPr>
              <w:pStyle w:val="TableParagraph"/>
              <w:rPr>
                <w:sz w:val="18"/>
              </w:rPr>
            </w:pPr>
          </w:p>
        </w:tc>
        <w:tc>
          <w:tcPr>
            <w:tcW w:w="1595" w:type="dxa"/>
            <w:tcBorders>
              <w:bottom w:val="single" w:sz="18" w:space="0" w:color="000000"/>
            </w:tcBorders>
          </w:tcPr>
          <w:p>
            <w:pPr>
              <w:pStyle w:val="TableParagraph"/>
              <w:rPr>
                <w:sz w:val="18"/>
              </w:rPr>
            </w:pPr>
          </w:p>
        </w:tc>
        <w:tc>
          <w:tcPr>
            <w:tcW w:w="1638" w:type="dxa"/>
            <w:tcBorders>
              <w:bottom w:val="single" w:sz="18" w:space="0" w:color="000000"/>
            </w:tcBorders>
          </w:tcPr>
          <w:p>
            <w:pPr>
              <w:pStyle w:val="TableParagraph"/>
              <w:rPr>
                <w:sz w:val="18"/>
              </w:rPr>
            </w:pPr>
          </w:p>
        </w:tc>
        <w:tc>
          <w:tcPr>
            <w:tcW w:w="2318" w:type="dxa"/>
            <w:tcBorders>
              <w:bottom w:val="single" w:sz="18" w:space="0" w:color="000000"/>
            </w:tcBorders>
          </w:tcPr>
          <w:p>
            <w:pPr>
              <w:pStyle w:val="TableParagraph"/>
              <w:tabs>
                <w:tab w:pos="1603" w:val="left" w:leader="none"/>
              </w:tabs>
              <w:spacing w:line="186" w:lineRule="exact" w:before="53"/>
              <w:ind w:right="6"/>
              <w:jc w:val="center"/>
              <w:rPr>
                <w:rFonts w:ascii="Arial MT"/>
                <w:sz w:val="18"/>
              </w:rPr>
            </w:pPr>
            <w:r>
              <w:rPr>
                <w:rFonts w:ascii="Arial MT"/>
                <w:spacing w:val="-2"/>
                <w:sz w:val="18"/>
              </w:rPr>
              <w:t>.2132</w:t>
            </w:r>
            <w:r>
              <w:rPr>
                <w:rFonts w:ascii="Arial MT"/>
                <w:sz w:val="18"/>
              </w:rPr>
              <w:tab/>
            </w:r>
            <w:r>
              <w:rPr>
                <w:rFonts w:ascii="Arial MT"/>
                <w:spacing w:val="-4"/>
                <w:sz w:val="18"/>
              </w:rPr>
              <w:t>.2868</w:t>
            </w:r>
          </w:p>
        </w:tc>
      </w:tr>
      <w:tr>
        <w:trPr>
          <w:trHeight w:val="321" w:hRule="atLeast"/>
        </w:trPr>
        <w:tc>
          <w:tcPr>
            <w:tcW w:w="2927" w:type="dxa"/>
            <w:tcBorders>
              <w:top w:val="single" w:sz="18" w:space="0" w:color="000000"/>
            </w:tcBorders>
          </w:tcPr>
          <w:p>
            <w:pPr>
              <w:pStyle w:val="TableParagraph"/>
              <w:spacing w:line="214" w:lineRule="exact" w:before="87"/>
              <w:ind w:left="74"/>
              <w:rPr>
                <w:rFonts w:ascii="Arial"/>
                <w:b/>
                <w:sz w:val="20"/>
              </w:rPr>
            </w:pPr>
            <w:r>
              <w:rPr>
                <w:rFonts w:ascii="Arial"/>
                <w:b/>
                <w:spacing w:val="-2"/>
                <w:sz w:val="20"/>
              </w:rPr>
              <w:t>Summary</w:t>
            </w:r>
          </w:p>
        </w:tc>
        <w:tc>
          <w:tcPr>
            <w:tcW w:w="899" w:type="dxa"/>
            <w:tcBorders>
              <w:top w:val="single" w:sz="18" w:space="0" w:color="000000"/>
            </w:tcBorders>
          </w:tcPr>
          <w:p>
            <w:pPr>
              <w:pStyle w:val="TableParagraph"/>
              <w:rPr>
                <w:sz w:val="22"/>
              </w:rPr>
            </w:pPr>
          </w:p>
        </w:tc>
        <w:tc>
          <w:tcPr>
            <w:tcW w:w="1595" w:type="dxa"/>
            <w:tcBorders>
              <w:top w:val="single" w:sz="18" w:space="0" w:color="000000"/>
            </w:tcBorders>
          </w:tcPr>
          <w:p>
            <w:pPr>
              <w:pStyle w:val="TableParagraph"/>
              <w:rPr>
                <w:sz w:val="22"/>
              </w:rPr>
            </w:pPr>
          </w:p>
        </w:tc>
        <w:tc>
          <w:tcPr>
            <w:tcW w:w="1638" w:type="dxa"/>
            <w:tcBorders>
              <w:top w:val="single" w:sz="18" w:space="0" w:color="000000"/>
            </w:tcBorders>
          </w:tcPr>
          <w:p>
            <w:pPr>
              <w:pStyle w:val="TableParagraph"/>
              <w:rPr>
                <w:sz w:val="22"/>
              </w:rPr>
            </w:pPr>
          </w:p>
        </w:tc>
        <w:tc>
          <w:tcPr>
            <w:tcW w:w="2318" w:type="dxa"/>
            <w:tcBorders>
              <w:top w:val="single" w:sz="18" w:space="0" w:color="000000"/>
            </w:tcBorders>
          </w:tcPr>
          <w:p>
            <w:pPr>
              <w:pStyle w:val="TableParagraph"/>
              <w:rPr>
                <w:sz w:val="22"/>
              </w:rPr>
            </w:pPr>
          </w:p>
        </w:tc>
      </w:tr>
      <w:tr>
        <w:trPr>
          <w:trHeight w:val="691" w:hRule="atLeast"/>
        </w:trPr>
        <w:tc>
          <w:tcPr>
            <w:tcW w:w="2927" w:type="dxa"/>
            <w:tcBorders>
              <w:bottom w:val="single" w:sz="18" w:space="0" w:color="000000"/>
            </w:tcBorders>
          </w:tcPr>
          <w:p>
            <w:pPr>
              <w:pStyle w:val="TableParagraph"/>
              <w:spacing w:line="237" w:lineRule="auto"/>
              <w:ind w:left="72" w:right="1231"/>
              <w:rPr>
                <w:sz w:val="20"/>
              </w:rPr>
            </w:pPr>
            <w:r>
              <w:rPr>
                <w:sz w:val="20"/>
              </w:rPr>
              <w:t>Cluster</w:t>
            </w:r>
            <w:r>
              <w:rPr>
                <w:spacing w:val="-13"/>
                <w:sz w:val="20"/>
              </w:rPr>
              <w:t> </w:t>
            </w:r>
            <w:r>
              <w:rPr>
                <w:sz w:val="20"/>
              </w:rPr>
              <w:t>mean</w:t>
            </w:r>
            <w:r>
              <w:rPr>
                <w:spacing w:val="-12"/>
                <w:sz w:val="20"/>
              </w:rPr>
              <w:t> </w:t>
            </w:r>
            <w:r>
              <w:rPr>
                <w:sz w:val="20"/>
              </w:rPr>
              <w:t>=</w:t>
            </w:r>
            <w:r>
              <w:rPr>
                <w:spacing w:val="-13"/>
                <w:sz w:val="20"/>
              </w:rPr>
              <w:t> </w:t>
            </w:r>
            <w:r>
              <w:rPr>
                <w:sz w:val="20"/>
              </w:rPr>
              <w:t>0.75 t-stat.</w:t>
            </w:r>
            <w:r>
              <w:rPr>
                <w:spacing w:val="40"/>
                <w:sz w:val="20"/>
              </w:rPr>
              <w:t> </w:t>
            </w:r>
            <w:r>
              <w:rPr>
                <w:sz w:val="20"/>
              </w:rPr>
              <w:t>= 14.21</w:t>
            </w:r>
          </w:p>
          <w:p>
            <w:pPr>
              <w:pStyle w:val="TableParagraph"/>
              <w:spacing w:line="219" w:lineRule="exact"/>
              <w:ind w:left="72"/>
              <w:rPr>
                <w:sz w:val="20"/>
              </w:rPr>
            </w:pPr>
            <w:r>
              <w:rPr>
                <w:sz w:val="20"/>
              </w:rPr>
              <w:t>Prob.(t-stat.)</w:t>
            </w:r>
            <w:r>
              <w:rPr>
                <w:spacing w:val="-8"/>
                <w:sz w:val="20"/>
              </w:rPr>
              <w:t> </w:t>
            </w:r>
            <w:r>
              <w:rPr>
                <w:sz w:val="20"/>
              </w:rPr>
              <w:t>=</w:t>
            </w:r>
            <w:r>
              <w:rPr>
                <w:spacing w:val="-7"/>
                <w:sz w:val="20"/>
              </w:rPr>
              <w:t> </w:t>
            </w:r>
            <w:r>
              <w:rPr>
                <w:spacing w:val="-2"/>
                <w:sz w:val="20"/>
              </w:rPr>
              <w:t>(0.0000)</w:t>
            </w:r>
          </w:p>
        </w:tc>
        <w:tc>
          <w:tcPr>
            <w:tcW w:w="899" w:type="dxa"/>
            <w:tcBorders>
              <w:bottom w:val="single" w:sz="18" w:space="0" w:color="000000"/>
            </w:tcBorders>
          </w:tcPr>
          <w:p>
            <w:pPr>
              <w:pStyle w:val="TableParagraph"/>
              <w:rPr>
                <w:sz w:val="22"/>
              </w:rPr>
            </w:pPr>
          </w:p>
        </w:tc>
        <w:tc>
          <w:tcPr>
            <w:tcW w:w="1595" w:type="dxa"/>
            <w:tcBorders>
              <w:bottom w:val="single" w:sz="18" w:space="0" w:color="000000"/>
            </w:tcBorders>
          </w:tcPr>
          <w:p>
            <w:pPr>
              <w:pStyle w:val="TableParagraph"/>
              <w:rPr>
                <w:sz w:val="22"/>
              </w:rPr>
            </w:pPr>
          </w:p>
        </w:tc>
        <w:tc>
          <w:tcPr>
            <w:tcW w:w="1638" w:type="dxa"/>
            <w:tcBorders>
              <w:bottom w:val="single" w:sz="18" w:space="0" w:color="000000"/>
            </w:tcBorders>
          </w:tcPr>
          <w:p>
            <w:pPr>
              <w:pStyle w:val="TableParagraph"/>
              <w:rPr>
                <w:sz w:val="22"/>
              </w:rPr>
            </w:pPr>
          </w:p>
        </w:tc>
        <w:tc>
          <w:tcPr>
            <w:tcW w:w="2318" w:type="dxa"/>
            <w:tcBorders>
              <w:bottom w:val="single" w:sz="18" w:space="0" w:color="000000"/>
            </w:tcBorders>
          </w:tcPr>
          <w:p>
            <w:pPr>
              <w:pStyle w:val="TableParagraph"/>
              <w:rPr>
                <w:sz w:val="22"/>
              </w:rPr>
            </w:pPr>
          </w:p>
        </w:tc>
      </w:tr>
    </w:tbl>
    <w:p>
      <w:pPr>
        <w:pStyle w:val="BodyText"/>
        <w:ind w:left="240"/>
      </w:pPr>
      <w:r>
        <w:rPr>
          <w:b/>
        </w:rPr>
        <w:t>Source:</w:t>
      </w:r>
      <w:r>
        <w:rPr>
          <w:b/>
          <w:spacing w:val="-5"/>
        </w:rPr>
        <w:t> </w:t>
      </w:r>
      <w:r>
        <w:rPr/>
        <w:t>Researcher‘s</w:t>
      </w:r>
      <w:r>
        <w:rPr>
          <w:spacing w:val="1"/>
        </w:rPr>
        <w:t> </w:t>
      </w:r>
      <w:r>
        <w:rPr/>
        <w:t>computation</w:t>
      </w:r>
      <w:r>
        <w:rPr>
          <w:spacing w:val="-1"/>
        </w:rPr>
        <w:t> </w:t>
      </w:r>
      <w:r>
        <w:rPr/>
        <w:t>and</w:t>
      </w:r>
      <w:r>
        <w:rPr>
          <w:spacing w:val="-2"/>
        </w:rPr>
        <w:t> </w:t>
      </w:r>
      <w:r>
        <w:rPr/>
        <w:t>extract</w:t>
      </w:r>
      <w:r>
        <w:rPr>
          <w:spacing w:val="-1"/>
        </w:rPr>
        <w:t> </w:t>
      </w:r>
      <w:r>
        <w:rPr/>
        <w:t>from</w:t>
      </w:r>
      <w:r>
        <w:rPr>
          <w:spacing w:val="1"/>
        </w:rPr>
        <w:t> </w:t>
      </w:r>
      <w:r>
        <w:rPr/>
        <w:t>SPSS</w:t>
      </w:r>
      <w:r>
        <w:rPr>
          <w:spacing w:val="-1"/>
        </w:rPr>
        <w:t> </w:t>
      </w:r>
      <w:r>
        <w:rPr/>
        <w:t>version</w:t>
      </w:r>
      <w:r>
        <w:rPr>
          <w:spacing w:val="-1"/>
        </w:rPr>
        <w:t> </w:t>
      </w:r>
      <w:r>
        <w:rPr/>
        <w:t>22 </w:t>
      </w:r>
      <w:r>
        <w:rPr>
          <w:spacing w:val="-2"/>
        </w:rPr>
        <w:t>(2017)</w:t>
      </w:r>
    </w:p>
    <w:p>
      <w:pPr>
        <w:pStyle w:val="BodyText"/>
        <w:spacing w:before="198"/>
      </w:pPr>
    </w:p>
    <w:p>
      <w:pPr>
        <w:pStyle w:val="BodyText"/>
        <w:spacing w:line="360" w:lineRule="auto"/>
        <w:ind w:left="240" w:right="837"/>
        <w:jc w:val="both"/>
      </w:pPr>
      <w:r>
        <w:rPr>
          <w:b/>
        </w:rPr>
        <w:t>Interpretation and Decision</w:t>
      </w:r>
      <w:r>
        <w:rPr/>
        <w:t>: The results as shown in Table 5.23; with t-statistic value of 14.21 and associated probability value of 0.0000 &lt; 0.05 indicates the rejection of the null hypothesis which implies that Housing budget challenges has a significant effect on the housing budget performance in Anambra State.</w:t>
      </w:r>
    </w:p>
    <w:p>
      <w:pPr>
        <w:spacing w:after="0" w:line="360" w:lineRule="auto"/>
        <w:jc w:val="both"/>
        <w:sectPr>
          <w:pgSz w:w="12240" w:h="15840"/>
          <w:pgMar w:header="0" w:footer="1036" w:top="1360" w:bottom="1220" w:left="1200" w:right="600"/>
        </w:sectPr>
      </w:pPr>
    </w:p>
    <w:p>
      <w:pPr>
        <w:pStyle w:val="Heading4"/>
        <w:numPr>
          <w:ilvl w:val="2"/>
          <w:numId w:val="81"/>
        </w:numPr>
        <w:tabs>
          <w:tab w:pos="780" w:val="left" w:leader="none"/>
        </w:tabs>
        <w:spacing w:line="240" w:lineRule="auto" w:before="79" w:after="0"/>
        <w:ind w:left="780" w:right="0" w:hanging="540"/>
        <w:jc w:val="left"/>
      </w:pPr>
      <w:r>
        <w:rPr/>
        <w:t>Hypothesis</w:t>
      </w:r>
      <w:r>
        <w:rPr>
          <w:spacing w:val="-3"/>
        </w:rPr>
        <w:t> </w:t>
      </w:r>
      <w:r>
        <w:rPr>
          <w:spacing w:val="-4"/>
        </w:rPr>
        <w:t>Four</w:t>
      </w:r>
    </w:p>
    <w:p>
      <w:pPr>
        <w:pStyle w:val="BodyText"/>
        <w:spacing w:line="360" w:lineRule="auto" w:before="132"/>
        <w:ind w:left="240" w:right="840"/>
      </w:pPr>
      <w:r>
        <w:rPr/>
        <w:t>There is no significant relationship between annual housing budget allocation and annual actual housing expenditure in Anambra State.</w:t>
      </w:r>
    </w:p>
    <w:p>
      <w:pPr>
        <w:pStyle w:val="ListParagraph"/>
        <w:numPr>
          <w:ilvl w:val="0"/>
          <w:numId w:val="100"/>
        </w:numPr>
        <w:tabs>
          <w:tab w:pos="594" w:val="left" w:leader="none"/>
        </w:tabs>
        <w:spacing w:line="360" w:lineRule="auto" w:before="0" w:after="0"/>
        <w:ind w:left="240" w:right="836" w:firstLine="0"/>
        <w:jc w:val="left"/>
        <w:rPr>
          <w:sz w:val="24"/>
        </w:rPr>
      </w:pPr>
      <w:r>
        <w:rPr>
          <w:b/>
          <w:sz w:val="24"/>
        </w:rPr>
        <w:t>Data used</w:t>
      </w:r>
      <w:r>
        <w:rPr>
          <w:sz w:val="24"/>
        </w:rPr>
        <w:t>: Annual budget allocation/estimate and actual expenditure for the housing sector in Anambra State from 1999 – 2016 (Table 5.20)</w:t>
      </w:r>
    </w:p>
    <w:p>
      <w:pPr>
        <w:pStyle w:val="ListParagraph"/>
        <w:numPr>
          <w:ilvl w:val="0"/>
          <w:numId w:val="100"/>
        </w:numPr>
        <w:tabs>
          <w:tab w:pos="592" w:val="left" w:leader="none"/>
        </w:tabs>
        <w:spacing w:line="240" w:lineRule="auto" w:before="70" w:after="0"/>
        <w:ind w:left="592" w:right="0" w:hanging="352"/>
        <w:jc w:val="left"/>
        <w:rPr>
          <w:sz w:val="24"/>
        </w:rPr>
      </w:pPr>
      <w:r>
        <w:rPr>
          <w:b/>
          <w:sz w:val="24"/>
        </w:rPr>
        <w:t>Data</w:t>
      </w:r>
      <w:r>
        <w:rPr>
          <w:b/>
          <w:spacing w:val="-4"/>
          <w:sz w:val="24"/>
        </w:rPr>
        <w:t> </w:t>
      </w:r>
      <w:r>
        <w:rPr>
          <w:b/>
          <w:sz w:val="24"/>
        </w:rPr>
        <w:t>Analysis</w:t>
      </w:r>
      <w:r>
        <w:rPr>
          <w:b/>
          <w:spacing w:val="-2"/>
          <w:sz w:val="24"/>
        </w:rPr>
        <w:t> </w:t>
      </w:r>
      <w:r>
        <w:rPr>
          <w:b/>
          <w:sz w:val="24"/>
        </w:rPr>
        <w:t>Software</w:t>
      </w:r>
      <w:r>
        <w:rPr>
          <w:sz w:val="24"/>
        </w:rPr>
        <w:t>:</w:t>
      </w:r>
      <w:r>
        <w:rPr>
          <w:spacing w:val="-1"/>
          <w:sz w:val="24"/>
        </w:rPr>
        <w:t> </w:t>
      </w:r>
      <w:r>
        <w:rPr>
          <w:sz w:val="24"/>
        </w:rPr>
        <w:t>E-views</w:t>
      </w:r>
      <w:r>
        <w:rPr>
          <w:spacing w:val="-2"/>
          <w:sz w:val="24"/>
        </w:rPr>
        <w:t> </w:t>
      </w:r>
      <w:r>
        <w:rPr>
          <w:sz w:val="24"/>
        </w:rPr>
        <w:t>7 econometric</w:t>
      </w:r>
      <w:r>
        <w:rPr>
          <w:spacing w:val="-3"/>
          <w:sz w:val="24"/>
        </w:rPr>
        <w:t> </w:t>
      </w:r>
      <w:r>
        <w:rPr>
          <w:spacing w:val="-2"/>
          <w:sz w:val="24"/>
        </w:rPr>
        <w:t>software</w:t>
      </w:r>
    </w:p>
    <w:p>
      <w:pPr>
        <w:pStyle w:val="ListParagraph"/>
        <w:numPr>
          <w:ilvl w:val="0"/>
          <w:numId w:val="100"/>
        </w:numPr>
        <w:tabs>
          <w:tab w:pos="563" w:val="left" w:leader="none"/>
        </w:tabs>
        <w:spacing w:line="240" w:lineRule="auto" w:before="139" w:after="0"/>
        <w:ind w:left="563" w:right="0" w:hanging="323"/>
        <w:jc w:val="left"/>
        <w:rPr>
          <w:sz w:val="24"/>
        </w:rPr>
      </w:pPr>
      <w:r>
        <w:rPr>
          <w:b/>
          <w:sz w:val="24"/>
        </w:rPr>
        <w:t>Data</w:t>
      </w:r>
      <w:r>
        <w:rPr>
          <w:b/>
          <w:spacing w:val="-4"/>
          <w:sz w:val="24"/>
        </w:rPr>
        <w:t> </w:t>
      </w:r>
      <w:r>
        <w:rPr>
          <w:b/>
          <w:sz w:val="24"/>
        </w:rPr>
        <w:t>Analysis</w:t>
      </w:r>
      <w:r>
        <w:rPr>
          <w:b/>
          <w:spacing w:val="-1"/>
          <w:sz w:val="24"/>
        </w:rPr>
        <w:t> </w:t>
      </w:r>
      <w:r>
        <w:rPr>
          <w:b/>
          <w:sz w:val="24"/>
        </w:rPr>
        <w:t>Method/tool</w:t>
      </w:r>
      <w:r>
        <w:rPr>
          <w:sz w:val="24"/>
        </w:rPr>
        <w:t>:</w:t>
      </w:r>
      <w:r>
        <w:rPr>
          <w:spacing w:val="-1"/>
          <w:sz w:val="24"/>
        </w:rPr>
        <w:t> </w:t>
      </w:r>
      <w:r>
        <w:rPr>
          <w:sz w:val="24"/>
        </w:rPr>
        <w:t>Trend</w:t>
      </w:r>
      <w:r>
        <w:rPr>
          <w:spacing w:val="-1"/>
          <w:sz w:val="24"/>
        </w:rPr>
        <w:t> </w:t>
      </w:r>
      <w:r>
        <w:rPr>
          <w:sz w:val="24"/>
        </w:rPr>
        <w:t>analysis</w:t>
      </w:r>
      <w:r>
        <w:rPr>
          <w:spacing w:val="-1"/>
          <w:sz w:val="24"/>
        </w:rPr>
        <w:t> </w:t>
      </w:r>
      <w:r>
        <w:rPr>
          <w:sz w:val="24"/>
        </w:rPr>
        <w:t>and</w:t>
      </w:r>
      <w:r>
        <w:rPr>
          <w:spacing w:val="-1"/>
          <w:sz w:val="24"/>
        </w:rPr>
        <w:t> </w:t>
      </w:r>
      <w:r>
        <w:rPr>
          <w:sz w:val="24"/>
        </w:rPr>
        <w:t>Pearson</w:t>
      </w:r>
      <w:r>
        <w:rPr>
          <w:spacing w:val="-1"/>
          <w:sz w:val="24"/>
        </w:rPr>
        <w:t> </w:t>
      </w:r>
      <w:r>
        <w:rPr>
          <w:sz w:val="24"/>
        </w:rPr>
        <w:t>correlation and</w:t>
      </w:r>
      <w:r>
        <w:rPr>
          <w:spacing w:val="-1"/>
          <w:sz w:val="24"/>
        </w:rPr>
        <w:t> </w:t>
      </w:r>
      <w:r>
        <w:rPr>
          <w:sz w:val="24"/>
        </w:rPr>
        <w:t>Regression</w:t>
      </w:r>
      <w:r>
        <w:rPr>
          <w:spacing w:val="-1"/>
          <w:sz w:val="24"/>
        </w:rPr>
        <w:t> </w:t>
      </w:r>
      <w:r>
        <w:rPr>
          <w:spacing w:val="-2"/>
          <w:sz w:val="24"/>
        </w:rPr>
        <w:t>analysis</w:t>
      </w:r>
    </w:p>
    <w:p>
      <w:pPr>
        <w:pStyle w:val="ListParagraph"/>
        <w:numPr>
          <w:ilvl w:val="0"/>
          <w:numId w:val="100"/>
        </w:numPr>
        <w:tabs>
          <w:tab w:pos="623" w:val="left" w:leader="none"/>
        </w:tabs>
        <w:spacing w:line="360" w:lineRule="auto" w:before="137" w:after="0"/>
        <w:ind w:left="240" w:right="835" w:firstLine="0"/>
        <w:jc w:val="left"/>
        <w:rPr>
          <w:sz w:val="24"/>
        </w:rPr>
      </w:pPr>
      <w:r>
        <w:rPr>
          <w:b/>
          <w:sz w:val="24"/>
        </w:rPr>
        <w:t>Decision</w:t>
      </w:r>
      <w:r>
        <w:rPr>
          <w:b/>
          <w:spacing w:val="28"/>
          <w:sz w:val="24"/>
        </w:rPr>
        <w:t> </w:t>
      </w:r>
      <w:r>
        <w:rPr>
          <w:b/>
          <w:sz w:val="24"/>
        </w:rPr>
        <w:t>rule</w:t>
      </w:r>
      <w:r>
        <w:rPr>
          <w:sz w:val="24"/>
        </w:rPr>
        <w:t>:</w:t>
      </w:r>
      <w:r>
        <w:rPr>
          <w:spacing w:val="28"/>
          <w:sz w:val="24"/>
        </w:rPr>
        <w:t> </w:t>
      </w:r>
      <w:r>
        <w:rPr>
          <w:sz w:val="24"/>
        </w:rPr>
        <w:t>Reject</w:t>
      </w:r>
      <w:r>
        <w:rPr>
          <w:spacing w:val="28"/>
          <w:sz w:val="24"/>
        </w:rPr>
        <w:t> </w:t>
      </w:r>
      <w:r>
        <w:rPr>
          <w:sz w:val="24"/>
        </w:rPr>
        <w:t>the</w:t>
      </w:r>
      <w:r>
        <w:rPr>
          <w:spacing w:val="27"/>
          <w:sz w:val="24"/>
        </w:rPr>
        <w:t> </w:t>
      </w:r>
      <w:r>
        <w:rPr>
          <w:sz w:val="24"/>
        </w:rPr>
        <w:t>null</w:t>
      </w:r>
      <w:r>
        <w:rPr>
          <w:spacing w:val="28"/>
          <w:sz w:val="24"/>
        </w:rPr>
        <w:t> </w:t>
      </w:r>
      <w:r>
        <w:rPr>
          <w:sz w:val="24"/>
        </w:rPr>
        <w:t>hypothesis</w:t>
      </w:r>
      <w:r>
        <w:rPr>
          <w:spacing w:val="28"/>
          <w:sz w:val="24"/>
        </w:rPr>
        <w:t> </w:t>
      </w:r>
      <w:r>
        <w:rPr>
          <w:sz w:val="24"/>
        </w:rPr>
        <w:t>if</w:t>
      </w:r>
      <w:r>
        <w:rPr>
          <w:spacing w:val="29"/>
          <w:sz w:val="24"/>
        </w:rPr>
        <w:t> </w:t>
      </w:r>
      <w:r>
        <w:rPr>
          <w:sz w:val="24"/>
        </w:rPr>
        <w:t>p-value</w:t>
      </w:r>
      <w:r>
        <w:rPr>
          <w:spacing w:val="27"/>
          <w:sz w:val="24"/>
        </w:rPr>
        <w:t> </w:t>
      </w:r>
      <w:r>
        <w:rPr>
          <w:sz w:val="24"/>
        </w:rPr>
        <w:t>is</w:t>
      </w:r>
      <w:r>
        <w:rPr>
          <w:spacing w:val="28"/>
          <w:sz w:val="24"/>
        </w:rPr>
        <w:t> </w:t>
      </w:r>
      <w:r>
        <w:rPr>
          <w:sz w:val="24"/>
        </w:rPr>
        <w:t>less</w:t>
      </w:r>
      <w:r>
        <w:rPr>
          <w:spacing w:val="27"/>
          <w:sz w:val="24"/>
        </w:rPr>
        <w:t> </w:t>
      </w:r>
      <w:r>
        <w:rPr>
          <w:sz w:val="24"/>
        </w:rPr>
        <w:t>than</w:t>
      </w:r>
      <w:r>
        <w:rPr>
          <w:spacing w:val="27"/>
          <w:sz w:val="24"/>
        </w:rPr>
        <w:t> </w:t>
      </w:r>
      <w:r>
        <w:rPr>
          <w:sz w:val="24"/>
        </w:rPr>
        <w:t>or</w:t>
      </w:r>
      <w:r>
        <w:rPr>
          <w:spacing w:val="24"/>
          <w:sz w:val="24"/>
        </w:rPr>
        <w:t> </w:t>
      </w:r>
      <w:r>
        <w:rPr>
          <w:sz w:val="24"/>
        </w:rPr>
        <w:t>equal</w:t>
      </w:r>
      <w:r>
        <w:rPr>
          <w:spacing w:val="28"/>
          <w:sz w:val="24"/>
        </w:rPr>
        <w:t> </w:t>
      </w:r>
      <w:r>
        <w:rPr>
          <w:sz w:val="24"/>
        </w:rPr>
        <w:t>to</w:t>
      </w:r>
      <w:r>
        <w:rPr>
          <w:spacing w:val="28"/>
          <w:sz w:val="24"/>
        </w:rPr>
        <w:t> </w:t>
      </w:r>
      <w:r>
        <w:rPr>
          <w:sz w:val="24"/>
        </w:rPr>
        <w:t>0.05</w:t>
      </w:r>
      <w:r>
        <w:rPr>
          <w:b/>
          <w:sz w:val="24"/>
        </w:rPr>
        <w:t>[Level</w:t>
      </w:r>
      <w:r>
        <w:rPr>
          <w:b/>
          <w:spacing w:val="28"/>
          <w:sz w:val="24"/>
        </w:rPr>
        <w:t> </w:t>
      </w:r>
      <w:r>
        <w:rPr>
          <w:b/>
          <w:sz w:val="24"/>
        </w:rPr>
        <w:t>of significance (α)]</w:t>
      </w:r>
      <w:r>
        <w:rPr>
          <w:sz w:val="24"/>
        </w:rPr>
        <w:t>; otherwise do not reject.</w:t>
      </w:r>
    </w:p>
    <w:p>
      <w:pPr>
        <w:pStyle w:val="BodyText"/>
      </w:pPr>
    </w:p>
    <w:p>
      <w:pPr>
        <w:pStyle w:val="BodyText"/>
        <w:spacing w:before="3"/>
      </w:pPr>
    </w:p>
    <w:p>
      <w:pPr>
        <w:pStyle w:val="Heading4"/>
        <w:ind w:right="840"/>
        <w:jc w:val="left"/>
      </w:pPr>
      <w:r>
        <w:rPr/>
        <w:t>Table</w:t>
      </w:r>
      <w:r>
        <w:rPr>
          <w:spacing w:val="27"/>
        </w:rPr>
        <w:t> </w:t>
      </w:r>
      <w:r>
        <w:rPr/>
        <w:t>5.24.</w:t>
      </w:r>
      <w:r>
        <w:rPr>
          <w:spacing w:val="28"/>
        </w:rPr>
        <w:t> </w:t>
      </w:r>
      <w:r>
        <w:rPr/>
        <w:t>Correlation</w:t>
      </w:r>
      <w:r>
        <w:rPr>
          <w:spacing w:val="28"/>
        </w:rPr>
        <w:t> </w:t>
      </w:r>
      <w:r>
        <w:rPr/>
        <w:t>Result</w:t>
      </w:r>
      <w:r>
        <w:rPr>
          <w:spacing w:val="27"/>
        </w:rPr>
        <w:t> </w:t>
      </w:r>
      <w:r>
        <w:rPr/>
        <w:t>of</w:t>
      </w:r>
      <w:r>
        <w:rPr>
          <w:spacing w:val="29"/>
        </w:rPr>
        <w:t> </w:t>
      </w:r>
      <w:r>
        <w:rPr/>
        <w:t>Annual</w:t>
      </w:r>
      <w:r>
        <w:rPr>
          <w:spacing w:val="28"/>
        </w:rPr>
        <w:t> </w:t>
      </w:r>
      <w:r>
        <w:rPr/>
        <w:t>Housing</w:t>
      </w:r>
      <w:r>
        <w:rPr>
          <w:spacing w:val="27"/>
        </w:rPr>
        <w:t> </w:t>
      </w:r>
      <w:r>
        <w:rPr/>
        <w:t>Budget</w:t>
      </w:r>
      <w:r>
        <w:rPr>
          <w:spacing w:val="27"/>
        </w:rPr>
        <w:t> </w:t>
      </w:r>
      <w:r>
        <w:rPr/>
        <w:t>Allocation</w:t>
      </w:r>
      <w:r>
        <w:rPr>
          <w:spacing w:val="30"/>
        </w:rPr>
        <w:t> </w:t>
      </w:r>
      <w:r>
        <w:rPr/>
        <w:t>and</w:t>
      </w:r>
      <w:r>
        <w:rPr>
          <w:spacing w:val="28"/>
        </w:rPr>
        <w:t> </w:t>
      </w:r>
      <w:r>
        <w:rPr/>
        <w:t>Annual</w:t>
      </w:r>
      <w:r>
        <w:rPr>
          <w:spacing w:val="28"/>
        </w:rPr>
        <w:t> </w:t>
      </w:r>
      <w:r>
        <w:rPr/>
        <w:t>Actual Housing Expenditure in Anambra State</w:t>
      </w:r>
    </w:p>
    <w:p>
      <w:pPr>
        <w:pStyle w:val="BodyText"/>
        <w:spacing w:before="6"/>
        <w:rPr>
          <w:b/>
          <w:sz w:val="5"/>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5"/>
        <w:gridCol w:w="2138"/>
        <w:gridCol w:w="3411"/>
      </w:tblGrid>
      <w:tr>
        <w:trPr>
          <w:trHeight w:val="218" w:hRule="atLeast"/>
        </w:trPr>
        <w:tc>
          <w:tcPr>
            <w:tcW w:w="7774" w:type="dxa"/>
            <w:gridSpan w:val="3"/>
            <w:tcBorders>
              <w:top w:val="thinThickMediumGap" w:sz="12" w:space="0" w:color="000000"/>
            </w:tcBorders>
          </w:tcPr>
          <w:p>
            <w:pPr>
              <w:pStyle w:val="TableParagraph"/>
              <w:spacing w:line="198" w:lineRule="exact" w:before="1"/>
              <w:ind w:left="122"/>
              <w:rPr>
                <w:rFonts w:ascii="Arial MT"/>
                <w:sz w:val="18"/>
              </w:rPr>
            </w:pPr>
            <w:r>
              <w:rPr>
                <w:rFonts w:ascii="Arial MT"/>
                <w:spacing w:val="-2"/>
                <w:sz w:val="18"/>
              </w:rPr>
              <w:t>Covariance</w:t>
            </w:r>
            <w:r>
              <w:rPr>
                <w:rFonts w:ascii="Arial MT"/>
                <w:spacing w:val="5"/>
                <w:sz w:val="18"/>
              </w:rPr>
              <w:t> </w:t>
            </w:r>
            <w:r>
              <w:rPr>
                <w:rFonts w:ascii="Arial MT"/>
                <w:spacing w:val="-2"/>
                <w:sz w:val="18"/>
              </w:rPr>
              <w:t>Analysis:</w:t>
            </w:r>
            <w:r>
              <w:rPr>
                <w:rFonts w:ascii="Arial MT"/>
                <w:spacing w:val="6"/>
                <w:sz w:val="18"/>
              </w:rPr>
              <w:t> </w:t>
            </w:r>
            <w:r>
              <w:rPr>
                <w:rFonts w:ascii="Arial MT"/>
                <w:spacing w:val="-2"/>
                <w:sz w:val="18"/>
              </w:rPr>
              <w:t>Ordinary</w:t>
            </w:r>
          </w:p>
        </w:tc>
      </w:tr>
      <w:tr>
        <w:trPr>
          <w:trHeight w:val="224" w:hRule="atLeast"/>
        </w:trPr>
        <w:tc>
          <w:tcPr>
            <w:tcW w:w="7774" w:type="dxa"/>
            <w:gridSpan w:val="3"/>
          </w:tcPr>
          <w:p>
            <w:pPr>
              <w:pStyle w:val="TableParagraph"/>
              <w:spacing w:line="199" w:lineRule="exact" w:before="5"/>
              <w:ind w:left="122"/>
              <w:rPr>
                <w:rFonts w:ascii="Arial MT"/>
                <w:sz w:val="18"/>
              </w:rPr>
            </w:pPr>
            <w:r>
              <w:rPr>
                <w:rFonts w:ascii="Arial MT"/>
                <w:sz w:val="18"/>
              </w:rPr>
              <w:t>Date:</w:t>
            </w:r>
            <w:r>
              <w:rPr>
                <w:rFonts w:ascii="Arial MT"/>
                <w:spacing w:val="-4"/>
                <w:sz w:val="18"/>
              </w:rPr>
              <w:t> </w:t>
            </w:r>
            <w:r>
              <w:rPr>
                <w:rFonts w:ascii="Arial MT"/>
                <w:sz w:val="18"/>
              </w:rPr>
              <w:t>04/14/17</w:t>
            </w:r>
            <w:r>
              <w:rPr>
                <w:rFonts w:ascii="Arial MT"/>
                <w:spacing w:val="67"/>
                <w:w w:val="150"/>
                <w:sz w:val="18"/>
              </w:rPr>
              <w:t> </w:t>
            </w:r>
            <w:r>
              <w:rPr>
                <w:rFonts w:ascii="Arial MT"/>
                <w:sz w:val="18"/>
              </w:rPr>
              <w:t>Time:</w:t>
            </w:r>
            <w:r>
              <w:rPr>
                <w:rFonts w:ascii="Arial MT"/>
                <w:spacing w:val="-3"/>
                <w:sz w:val="18"/>
              </w:rPr>
              <w:t> </w:t>
            </w:r>
            <w:r>
              <w:rPr>
                <w:rFonts w:ascii="Arial MT"/>
                <w:spacing w:val="-4"/>
                <w:sz w:val="18"/>
              </w:rPr>
              <w:t>21:40</w:t>
            </w:r>
          </w:p>
        </w:tc>
      </w:tr>
      <w:tr>
        <w:trPr>
          <w:trHeight w:val="225" w:hRule="atLeast"/>
        </w:trPr>
        <w:tc>
          <w:tcPr>
            <w:tcW w:w="2225" w:type="dxa"/>
          </w:tcPr>
          <w:p>
            <w:pPr>
              <w:pStyle w:val="TableParagraph"/>
              <w:spacing w:line="199" w:lineRule="exact" w:before="6"/>
              <w:ind w:left="122"/>
              <w:rPr>
                <w:rFonts w:ascii="Arial MT"/>
                <w:sz w:val="18"/>
              </w:rPr>
            </w:pPr>
            <w:r>
              <w:rPr>
                <w:rFonts w:ascii="Arial MT"/>
                <w:sz w:val="18"/>
              </w:rPr>
              <w:t>Sample:</w:t>
            </w:r>
            <w:r>
              <w:rPr>
                <w:rFonts w:ascii="Arial MT"/>
                <w:spacing w:val="-7"/>
                <w:sz w:val="18"/>
              </w:rPr>
              <w:t> </w:t>
            </w:r>
            <w:r>
              <w:rPr>
                <w:rFonts w:ascii="Arial MT"/>
                <w:sz w:val="18"/>
              </w:rPr>
              <w:t>1999</w:t>
            </w:r>
            <w:r>
              <w:rPr>
                <w:rFonts w:ascii="Arial MT"/>
                <w:spacing w:val="-5"/>
                <w:sz w:val="18"/>
              </w:rPr>
              <w:t> </w:t>
            </w:r>
            <w:r>
              <w:rPr>
                <w:rFonts w:ascii="Arial MT"/>
                <w:spacing w:val="-4"/>
                <w:sz w:val="18"/>
              </w:rPr>
              <w:t>2016</w:t>
            </w:r>
          </w:p>
        </w:tc>
        <w:tc>
          <w:tcPr>
            <w:tcW w:w="2138" w:type="dxa"/>
          </w:tcPr>
          <w:p>
            <w:pPr>
              <w:pStyle w:val="TableParagraph"/>
              <w:rPr>
                <w:sz w:val="16"/>
              </w:rPr>
            </w:pPr>
          </w:p>
        </w:tc>
        <w:tc>
          <w:tcPr>
            <w:tcW w:w="3411" w:type="dxa"/>
          </w:tcPr>
          <w:p>
            <w:pPr>
              <w:pStyle w:val="TableParagraph"/>
              <w:rPr>
                <w:sz w:val="16"/>
              </w:rPr>
            </w:pPr>
          </w:p>
        </w:tc>
      </w:tr>
      <w:tr>
        <w:trPr>
          <w:trHeight w:val="232" w:hRule="atLeast"/>
        </w:trPr>
        <w:tc>
          <w:tcPr>
            <w:tcW w:w="2225" w:type="dxa"/>
            <w:tcBorders>
              <w:bottom w:val="double" w:sz="4" w:space="0" w:color="000000"/>
            </w:tcBorders>
          </w:tcPr>
          <w:p>
            <w:pPr>
              <w:pStyle w:val="TableParagraph"/>
              <w:spacing w:line="206" w:lineRule="exact" w:before="6"/>
              <w:ind w:left="122"/>
              <w:rPr>
                <w:rFonts w:ascii="Arial MT"/>
                <w:sz w:val="18"/>
              </w:rPr>
            </w:pPr>
            <w:r>
              <w:rPr>
                <w:rFonts w:ascii="Arial MT"/>
                <w:sz w:val="18"/>
              </w:rPr>
              <w:t>Included</w:t>
            </w:r>
            <w:r>
              <w:rPr>
                <w:rFonts w:ascii="Arial MT"/>
                <w:spacing w:val="-6"/>
                <w:sz w:val="18"/>
              </w:rPr>
              <w:t> </w:t>
            </w:r>
            <w:r>
              <w:rPr>
                <w:rFonts w:ascii="Arial MT"/>
                <w:sz w:val="18"/>
              </w:rPr>
              <w:t>observations:</w:t>
            </w:r>
            <w:r>
              <w:rPr>
                <w:rFonts w:ascii="Arial MT"/>
                <w:spacing w:val="-5"/>
                <w:sz w:val="18"/>
              </w:rPr>
              <w:t> 18</w:t>
            </w:r>
          </w:p>
        </w:tc>
        <w:tc>
          <w:tcPr>
            <w:tcW w:w="2138" w:type="dxa"/>
            <w:tcBorders>
              <w:bottom w:val="double" w:sz="4" w:space="0" w:color="000000"/>
            </w:tcBorders>
          </w:tcPr>
          <w:p>
            <w:pPr>
              <w:pStyle w:val="TableParagraph"/>
              <w:rPr>
                <w:sz w:val="16"/>
              </w:rPr>
            </w:pPr>
          </w:p>
        </w:tc>
        <w:tc>
          <w:tcPr>
            <w:tcW w:w="3411" w:type="dxa"/>
            <w:tcBorders>
              <w:bottom w:val="double" w:sz="4" w:space="0" w:color="000000"/>
            </w:tcBorders>
          </w:tcPr>
          <w:p>
            <w:pPr>
              <w:pStyle w:val="TableParagraph"/>
              <w:rPr>
                <w:sz w:val="16"/>
              </w:rPr>
            </w:pPr>
          </w:p>
        </w:tc>
      </w:tr>
      <w:tr>
        <w:trPr>
          <w:trHeight w:val="412" w:hRule="atLeast"/>
        </w:trPr>
        <w:tc>
          <w:tcPr>
            <w:tcW w:w="2225" w:type="dxa"/>
            <w:tcBorders>
              <w:top w:val="double" w:sz="4" w:space="0" w:color="000000"/>
            </w:tcBorders>
          </w:tcPr>
          <w:p>
            <w:pPr>
              <w:pStyle w:val="TableParagraph"/>
              <w:spacing w:line="199" w:lineRule="exact" w:before="193"/>
              <w:ind w:left="122"/>
              <w:rPr>
                <w:rFonts w:ascii="Arial MT"/>
                <w:sz w:val="18"/>
              </w:rPr>
            </w:pPr>
            <w:r>
              <w:rPr>
                <w:rFonts w:ascii="Arial MT"/>
                <w:spacing w:val="-2"/>
                <w:sz w:val="18"/>
              </w:rPr>
              <w:t>Correlation</w:t>
            </w:r>
          </w:p>
        </w:tc>
        <w:tc>
          <w:tcPr>
            <w:tcW w:w="2138" w:type="dxa"/>
            <w:tcBorders>
              <w:top w:val="double" w:sz="4" w:space="0" w:color="000000"/>
            </w:tcBorders>
          </w:tcPr>
          <w:p>
            <w:pPr>
              <w:pStyle w:val="TableParagraph"/>
              <w:rPr>
                <w:sz w:val="22"/>
              </w:rPr>
            </w:pPr>
          </w:p>
        </w:tc>
        <w:tc>
          <w:tcPr>
            <w:tcW w:w="3411" w:type="dxa"/>
            <w:tcBorders>
              <w:top w:val="double" w:sz="4" w:space="0" w:color="000000"/>
            </w:tcBorders>
          </w:tcPr>
          <w:p>
            <w:pPr>
              <w:pStyle w:val="TableParagraph"/>
              <w:rPr>
                <w:sz w:val="22"/>
              </w:rPr>
            </w:pPr>
          </w:p>
        </w:tc>
      </w:tr>
      <w:tr>
        <w:trPr>
          <w:trHeight w:val="225" w:hRule="atLeast"/>
        </w:trPr>
        <w:tc>
          <w:tcPr>
            <w:tcW w:w="2225" w:type="dxa"/>
          </w:tcPr>
          <w:p>
            <w:pPr>
              <w:pStyle w:val="TableParagraph"/>
              <w:spacing w:line="199" w:lineRule="exact" w:before="6"/>
              <w:ind w:left="122"/>
              <w:rPr>
                <w:rFonts w:ascii="Arial MT"/>
                <w:sz w:val="18"/>
              </w:rPr>
            </w:pPr>
            <w:r>
              <w:rPr>
                <w:rFonts w:ascii="Arial MT"/>
                <w:sz w:val="18"/>
              </w:rPr>
              <w:t>t-</w:t>
            </w:r>
            <w:r>
              <w:rPr>
                <w:rFonts w:ascii="Arial MT"/>
                <w:spacing w:val="-2"/>
                <w:sz w:val="18"/>
              </w:rPr>
              <w:t>Statistic</w:t>
            </w:r>
          </w:p>
        </w:tc>
        <w:tc>
          <w:tcPr>
            <w:tcW w:w="2138" w:type="dxa"/>
          </w:tcPr>
          <w:p>
            <w:pPr>
              <w:pStyle w:val="TableParagraph"/>
              <w:rPr>
                <w:sz w:val="16"/>
              </w:rPr>
            </w:pPr>
          </w:p>
        </w:tc>
        <w:tc>
          <w:tcPr>
            <w:tcW w:w="3411" w:type="dxa"/>
          </w:tcPr>
          <w:p>
            <w:pPr>
              <w:pStyle w:val="TableParagraph"/>
              <w:rPr>
                <w:sz w:val="16"/>
              </w:rPr>
            </w:pPr>
          </w:p>
        </w:tc>
      </w:tr>
      <w:tr>
        <w:trPr>
          <w:trHeight w:val="225" w:hRule="atLeast"/>
        </w:trPr>
        <w:tc>
          <w:tcPr>
            <w:tcW w:w="2225" w:type="dxa"/>
          </w:tcPr>
          <w:p>
            <w:pPr>
              <w:pStyle w:val="TableParagraph"/>
              <w:spacing w:line="199" w:lineRule="exact" w:before="6"/>
              <w:ind w:left="122"/>
              <w:rPr>
                <w:rFonts w:ascii="Arial MT"/>
                <w:sz w:val="18"/>
              </w:rPr>
            </w:pPr>
            <w:r>
              <w:rPr>
                <w:rFonts w:ascii="Arial MT"/>
                <w:spacing w:val="-2"/>
                <w:sz w:val="18"/>
              </w:rPr>
              <w:t>Probability</w:t>
            </w:r>
          </w:p>
        </w:tc>
        <w:tc>
          <w:tcPr>
            <w:tcW w:w="2138" w:type="dxa"/>
          </w:tcPr>
          <w:p>
            <w:pPr>
              <w:pStyle w:val="TableParagraph"/>
              <w:spacing w:line="199" w:lineRule="exact" w:before="6"/>
              <w:ind w:right="222"/>
              <w:jc w:val="right"/>
              <w:rPr>
                <w:rFonts w:ascii="Arial MT"/>
                <w:sz w:val="18"/>
              </w:rPr>
            </w:pPr>
            <w:r>
              <w:rPr>
                <w:rFonts w:ascii="Arial MT"/>
                <w:sz w:val="18"/>
              </w:rPr>
              <w:t>Budget</w:t>
            </w:r>
            <w:r>
              <w:rPr>
                <w:rFonts w:ascii="Arial MT"/>
                <w:spacing w:val="-5"/>
                <w:sz w:val="18"/>
              </w:rPr>
              <w:t> </w:t>
            </w:r>
            <w:r>
              <w:rPr>
                <w:rFonts w:ascii="Arial MT"/>
                <w:spacing w:val="-2"/>
                <w:sz w:val="18"/>
              </w:rPr>
              <w:t>estimate</w:t>
            </w:r>
          </w:p>
        </w:tc>
        <w:tc>
          <w:tcPr>
            <w:tcW w:w="3411" w:type="dxa"/>
          </w:tcPr>
          <w:p>
            <w:pPr>
              <w:pStyle w:val="TableParagraph"/>
              <w:spacing w:line="199" w:lineRule="exact" w:before="6"/>
              <w:ind w:right="1745"/>
              <w:jc w:val="right"/>
              <w:rPr>
                <w:rFonts w:ascii="Arial MT"/>
                <w:sz w:val="18"/>
              </w:rPr>
            </w:pPr>
            <w:r>
              <w:rPr>
                <w:rFonts w:ascii="Arial MT"/>
                <w:sz w:val="18"/>
              </w:rPr>
              <w:t>Actual</w:t>
            </w:r>
            <w:r>
              <w:rPr>
                <w:rFonts w:ascii="Arial MT"/>
                <w:spacing w:val="-3"/>
                <w:sz w:val="18"/>
              </w:rPr>
              <w:t> </w:t>
            </w:r>
            <w:r>
              <w:rPr>
                <w:rFonts w:ascii="Arial MT"/>
                <w:spacing w:val="-2"/>
                <w:sz w:val="18"/>
              </w:rPr>
              <w:t>expenditure</w:t>
            </w:r>
          </w:p>
        </w:tc>
      </w:tr>
      <w:tr>
        <w:trPr>
          <w:trHeight w:val="224" w:hRule="atLeast"/>
        </w:trPr>
        <w:tc>
          <w:tcPr>
            <w:tcW w:w="2225" w:type="dxa"/>
          </w:tcPr>
          <w:p>
            <w:pPr>
              <w:pStyle w:val="TableParagraph"/>
              <w:spacing w:line="198" w:lineRule="exact" w:before="6"/>
              <w:ind w:left="122"/>
              <w:rPr>
                <w:rFonts w:ascii="Arial MT"/>
                <w:sz w:val="18"/>
              </w:rPr>
            </w:pPr>
            <w:r>
              <w:rPr>
                <w:rFonts w:ascii="Arial MT"/>
                <w:sz w:val="18"/>
              </w:rPr>
              <w:t>Budget</w:t>
            </w:r>
            <w:r>
              <w:rPr>
                <w:rFonts w:ascii="Arial MT"/>
                <w:spacing w:val="-5"/>
                <w:sz w:val="18"/>
              </w:rPr>
              <w:t> </w:t>
            </w:r>
            <w:r>
              <w:rPr>
                <w:rFonts w:ascii="Arial MT"/>
                <w:spacing w:val="-2"/>
                <w:sz w:val="18"/>
              </w:rPr>
              <w:t>estimate</w:t>
            </w:r>
          </w:p>
        </w:tc>
        <w:tc>
          <w:tcPr>
            <w:tcW w:w="2138" w:type="dxa"/>
          </w:tcPr>
          <w:p>
            <w:pPr>
              <w:pStyle w:val="TableParagraph"/>
              <w:spacing w:line="198" w:lineRule="exact" w:before="6"/>
              <w:ind w:right="171"/>
              <w:jc w:val="right"/>
              <w:rPr>
                <w:rFonts w:ascii="Arial MT"/>
                <w:sz w:val="18"/>
              </w:rPr>
            </w:pPr>
            <w:r>
              <w:rPr>
                <w:rFonts w:ascii="Arial MT"/>
                <w:spacing w:val="-2"/>
                <w:sz w:val="18"/>
              </w:rPr>
              <w:t>1.000000</w:t>
            </w:r>
          </w:p>
        </w:tc>
        <w:tc>
          <w:tcPr>
            <w:tcW w:w="3411" w:type="dxa"/>
          </w:tcPr>
          <w:p>
            <w:pPr>
              <w:pStyle w:val="TableParagraph"/>
              <w:rPr>
                <w:sz w:val="16"/>
              </w:rPr>
            </w:pPr>
          </w:p>
        </w:tc>
      </w:tr>
      <w:tr>
        <w:trPr>
          <w:trHeight w:val="224" w:hRule="atLeast"/>
        </w:trPr>
        <w:tc>
          <w:tcPr>
            <w:tcW w:w="2225" w:type="dxa"/>
          </w:tcPr>
          <w:p>
            <w:pPr>
              <w:pStyle w:val="TableParagraph"/>
              <w:rPr>
                <w:sz w:val="16"/>
              </w:rPr>
            </w:pPr>
          </w:p>
        </w:tc>
        <w:tc>
          <w:tcPr>
            <w:tcW w:w="2138" w:type="dxa"/>
          </w:tcPr>
          <w:p>
            <w:pPr>
              <w:pStyle w:val="TableParagraph"/>
              <w:spacing w:after="1"/>
              <w:rPr>
                <w:b/>
                <w:sz w:val="11"/>
              </w:rPr>
            </w:pPr>
          </w:p>
          <w:p>
            <w:pPr>
              <w:pStyle w:val="TableParagraph"/>
              <w:spacing w:line="20" w:lineRule="exact"/>
              <w:ind w:left="1613"/>
              <w:rPr>
                <w:sz w:val="2"/>
              </w:rPr>
            </w:pPr>
            <w:r>
              <w:rPr>
                <w:sz w:val="2"/>
              </w:rPr>
              <mc:AlternateContent>
                <mc:Choice Requires="wps">
                  <w:drawing>
                    <wp:inline distT="0" distB="0" distL="0" distR="0">
                      <wp:extent cx="190500" cy="10160"/>
                      <wp:effectExtent l="9525" t="0" r="0" b="8890"/>
                      <wp:docPr id="1088" name="Group 1088"/>
                      <wp:cNvGraphicFramePr>
                        <a:graphicFrameLocks/>
                      </wp:cNvGraphicFramePr>
                      <a:graphic>
                        <a:graphicData uri="http://schemas.microsoft.com/office/word/2010/wordprocessingGroup">
                          <wpg:wgp>
                            <wpg:cNvPr id="1088" name="Group 1088"/>
                            <wpg:cNvGrpSpPr/>
                            <wpg:grpSpPr>
                              <a:xfrm>
                                <a:off x="0" y="0"/>
                                <a:ext cx="190500" cy="10160"/>
                                <a:chExt cx="190500" cy="10160"/>
                              </a:xfrm>
                            </wpg:grpSpPr>
                            <wps:wsp>
                              <wps:cNvPr id="1089" name="Graphic 1089"/>
                              <wps:cNvSpPr/>
                              <wps:spPr>
                                <a:xfrm>
                                  <a:off x="0" y="5029"/>
                                  <a:ext cx="190500" cy="1270"/>
                                </a:xfrm>
                                <a:custGeom>
                                  <a:avLst/>
                                  <a:gdLst/>
                                  <a:ahLst/>
                                  <a:cxnLst/>
                                  <a:rect l="l" t="t" r="r" b="b"/>
                                  <a:pathLst>
                                    <a:path w="190500" h="0">
                                      <a:moveTo>
                                        <a:pt x="0" y="0"/>
                                      </a:moveTo>
                                      <a:lnTo>
                                        <a:pt x="190500" y="0"/>
                                      </a:lnTo>
                                    </a:path>
                                  </a:pathLst>
                                </a:custGeom>
                                <a:ln w="10058">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style="width:15pt;height:.8pt;mso-position-horizontal-relative:char;mso-position-vertical-relative:line" id="docshapegroup1036" coordorigin="0,0" coordsize="300,16">
                      <v:line style="position:absolute" from="0,8" to="300,8" stroked="true" strokeweight=".792pt" strokecolor="#000000">
                        <v:stroke dashstyle="dash"/>
                      </v:line>
                    </v:group>
                  </w:pict>
                </mc:Fallback>
              </mc:AlternateContent>
            </w:r>
            <w:r>
              <w:rPr>
                <w:sz w:val="2"/>
              </w:rPr>
            </w:r>
          </w:p>
        </w:tc>
        <w:tc>
          <w:tcPr>
            <w:tcW w:w="3411" w:type="dxa"/>
          </w:tcPr>
          <w:p>
            <w:pPr>
              <w:pStyle w:val="TableParagraph"/>
              <w:rPr>
                <w:sz w:val="16"/>
              </w:rPr>
            </w:pPr>
          </w:p>
        </w:tc>
      </w:tr>
      <w:tr>
        <w:trPr>
          <w:trHeight w:val="338" w:hRule="atLeast"/>
        </w:trPr>
        <w:tc>
          <w:tcPr>
            <w:tcW w:w="2225" w:type="dxa"/>
          </w:tcPr>
          <w:p>
            <w:pPr>
              <w:pStyle w:val="TableParagraph"/>
              <w:rPr>
                <w:sz w:val="22"/>
              </w:rPr>
            </w:pPr>
          </w:p>
        </w:tc>
        <w:tc>
          <w:tcPr>
            <w:tcW w:w="2138" w:type="dxa"/>
          </w:tcPr>
          <w:p>
            <w:pPr>
              <w:pStyle w:val="TableParagraph"/>
              <w:spacing w:before="2"/>
              <w:rPr>
                <w:b/>
                <w:sz w:val="11"/>
              </w:rPr>
            </w:pPr>
          </w:p>
          <w:p>
            <w:pPr>
              <w:pStyle w:val="TableParagraph"/>
              <w:spacing w:line="20" w:lineRule="exact"/>
              <w:ind w:left="1613"/>
              <w:rPr>
                <w:sz w:val="2"/>
              </w:rPr>
            </w:pPr>
            <w:r>
              <w:rPr>
                <w:sz w:val="2"/>
              </w:rPr>
              <mc:AlternateContent>
                <mc:Choice Requires="wps">
                  <w:drawing>
                    <wp:inline distT="0" distB="0" distL="0" distR="0">
                      <wp:extent cx="190500" cy="10160"/>
                      <wp:effectExtent l="9525" t="0" r="0" b="8890"/>
                      <wp:docPr id="1090" name="Group 1090"/>
                      <wp:cNvGraphicFramePr>
                        <a:graphicFrameLocks/>
                      </wp:cNvGraphicFramePr>
                      <a:graphic>
                        <a:graphicData uri="http://schemas.microsoft.com/office/word/2010/wordprocessingGroup">
                          <wpg:wgp>
                            <wpg:cNvPr id="1090" name="Group 1090"/>
                            <wpg:cNvGrpSpPr/>
                            <wpg:grpSpPr>
                              <a:xfrm>
                                <a:off x="0" y="0"/>
                                <a:ext cx="190500" cy="10160"/>
                                <a:chExt cx="190500" cy="10160"/>
                              </a:xfrm>
                            </wpg:grpSpPr>
                            <wps:wsp>
                              <wps:cNvPr id="1091" name="Graphic 1091"/>
                              <wps:cNvSpPr/>
                              <wps:spPr>
                                <a:xfrm>
                                  <a:off x="0" y="5029"/>
                                  <a:ext cx="190500" cy="1270"/>
                                </a:xfrm>
                                <a:custGeom>
                                  <a:avLst/>
                                  <a:gdLst/>
                                  <a:ahLst/>
                                  <a:cxnLst/>
                                  <a:rect l="l" t="t" r="r" b="b"/>
                                  <a:pathLst>
                                    <a:path w="190500" h="0">
                                      <a:moveTo>
                                        <a:pt x="0" y="0"/>
                                      </a:moveTo>
                                      <a:lnTo>
                                        <a:pt x="190500" y="0"/>
                                      </a:lnTo>
                                    </a:path>
                                  </a:pathLst>
                                </a:custGeom>
                                <a:ln w="10058">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style="width:15pt;height:.8pt;mso-position-horizontal-relative:char;mso-position-vertical-relative:line" id="docshapegroup1037" coordorigin="0,0" coordsize="300,16">
                      <v:line style="position:absolute" from="0,8" to="300,8" stroked="true" strokeweight=".792pt" strokecolor="#000000">
                        <v:stroke dashstyle="dash"/>
                      </v:line>
                    </v:group>
                  </w:pict>
                </mc:Fallback>
              </mc:AlternateContent>
            </w:r>
            <w:r>
              <w:rPr>
                <w:sz w:val="2"/>
              </w:rPr>
            </w:r>
          </w:p>
        </w:tc>
        <w:tc>
          <w:tcPr>
            <w:tcW w:w="3411" w:type="dxa"/>
          </w:tcPr>
          <w:p>
            <w:pPr>
              <w:pStyle w:val="TableParagraph"/>
              <w:rPr>
                <w:sz w:val="22"/>
              </w:rPr>
            </w:pPr>
          </w:p>
        </w:tc>
      </w:tr>
      <w:tr>
        <w:trPr>
          <w:trHeight w:val="337" w:hRule="atLeast"/>
        </w:trPr>
        <w:tc>
          <w:tcPr>
            <w:tcW w:w="2225" w:type="dxa"/>
          </w:tcPr>
          <w:p>
            <w:pPr>
              <w:pStyle w:val="TableParagraph"/>
              <w:spacing w:line="198" w:lineRule="exact" w:before="119"/>
              <w:ind w:left="122"/>
              <w:rPr>
                <w:rFonts w:ascii="Arial MT"/>
                <w:sz w:val="18"/>
              </w:rPr>
            </w:pPr>
            <w:r>
              <w:rPr>
                <w:rFonts w:ascii="Arial MT"/>
                <w:sz w:val="18"/>
              </w:rPr>
              <w:t>Actual</w:t>
            </w:r>
            <w:r>
              <w:rPr>
                <w:rFonts w:ascii="Arial MT"/>
                <w:spacing w:val="-3"/>
                <w:sz w:val="18"/>
              </w:rPr>
              <w:t> </w:t>
            </w:r>
            <w:r>
              <w:rPr>
                <w:rFonts w:ascii="Arial MT"/>
                <w:spacing w:val="-2"/>
                <w:sz w:val="18"/>
              </w:rPr>
              <w:t>expenditure</w:t>
            </w:r>
          </w:p>
        </w:tc>
        <w:tc>
          <w:tcPr>
            <w:tcW w:w="2138" w:type="dxa"/>
          </w:tcPr>
          <w:p>
            <w:pPr>
              <w:pStyle w:val="TableParagraph"/>
              <w:spacing w:line="198" w:lineRule="exact" w:before="119"/>
              <w:ind w:right="171"/>
              <w:jc w:val="right"/>
              <w:rPr>
                <w:rFonts w:ascii="Arial MT"/>
                <w:sz w:val="18"/>
              </w:rPr>
            </w:pPr>
            <w:r>
              <w:rPr>
                <w:rFonts w:ascii="Arial MT"/>
                <w:spacing w:val="-2"/>
                <w:sz w:val="18"/>
              </w:rPr>
              <w:t>0.212258</w:t>
            </w:r>
          </w:p>
        </w:tc>
        <w:tc>
          <w:tcPr>
            <w:tcW w:w="3411" w:type="dxa"/>
          </w:tcPr>
          <w:p>
            <w:pPr>
              <w:pStyle w:val="TableParagraph"/>
              <w:spacing w:line="198" w:lineRule="exact" w:before="119"/>
              <w:ind w:right="1693"/>
              <w:jc w:val="right"/>
              <w:rPr>
                <w:rFonts w:ascii="Arial MT"/>
                <w:sz w:val="18"/>
              </w:rPr>
            </w:pPr>
            <w:r>
              <w:rPr>
                <w:rFonts w:ascii="Arial MT"/>
                <w:spacing w:val="-2"/>
                <w:sz w:val="18"/>
              </w:rPr>
              <w:t>1.000000</w:t>
            </w:r>
          </w:p>
        </w:tc>
      </w:tr>
      <w:tr>
        <w:trPr>
          <w:trHeight w:val="224" w:hRule="atLeast"/>
        </w:trPr>
        <w:tc>
          <w:tcPr>
            <w:tcW w:w="2225" w:type="dxa"/>
          </w:tcPr>
          <w:p>
            <w:pPr>
              <w:pStyle w:val="TableParagraph"/>
              <w:rPr>
                <w:sz w:val="16"/>
              </w:rPr>
            </w:pPr>
          </w:p>
        </w:tc>
        <w:tc>
          <w:tcPr>
            <w:tcW w:w="2138" w:type="dxa"/>
          </w:tcPr>
          <w:p>
            <w:pPr>
              <w:pStyle w:val="TableParagraph"/>
              <w:spacing w:line="199" w:lineRule="exact" w:before="5"/>
              <w:ind w:right="171"/>
              <w:jc w:val="right"/>
              <w:rPr>
                <w:rFonts w:ascii="Arial MT"/>
                <w:sz w:val="18"/>
              </w:rPr>
            </w:pPr>
            <w:r>
              <w:rPr>
                <w:rFonts w:ascii="Arial MT"/>
                <w:spacing w:val="-2"/>
                <w:sz w:val="18"/>
              </w:rPr>
              <w:t>0.868831</w:t>
            </w:r>
          </w:p>
        </w:tc>
        <w:tc>
          <w:tcPr>
            <w:tcW w:w="3411" w:type="dxa"/>
          </w:tcPr>
          <w:p>
            <w:pPr>
              <w:pStyle w:val="TableParagraph"/>
              <w:spacing w:line="199" w:lineRule="exact" w:before="5"/>
              <w:ind w:right="1744"/>
              <w:jc w:val="right"/>
              <w:rPr>
                <w:rFonts w:ascii="Arial MT"/>
                <w:sz w:val="18"/>
              </w:rPr>
            </w:pPr>
            <w:r>
              <w:rPr>
                <w:rFonts w:ascii="Arial MT"/>
                <w:spacing w:val="-2"/>
                <w:sz w:val="18"/>
              </w:rPr>
              <w:t>----</w:t>
            </w:r>
            <w:r>
              <w:rPr>
                <w:rFonts w:ascii="Arial MT"/>
                <w:spacing w:val="-10"/>
                <w:sz w:val="18"/>
              </w:rPr>
              <w:t>-</w:t>
            </w:r>
          </w:p>
        </w:tc>
      </w:tr>
      <w:tr>
        <w:trPr>
          <w:trHeight w:val="323" w:hRule="atLeast"/>
        </w:trPr>
        <w:tc>
          <w:tcPr>
            <w:tcW w:w="2225" w:type="dxa"/>
            <w:tcBorders>
              <w:bottom w:val="thinThickMediumGap" w:sz="12" w:space="0" w:color="000000"/>
            </w:tcBorders>
          </w:tcPr>
          <w:p>
            <w:pPr>
              <w:pStyle w:val="TableParagraph"/>
              <w:rPr>
                <w:sz w:val="22"/>
              </w:rPr>
            </w:pPr>
          </w:p>
        </w:tc>
        <w:tc>
          <w:tcPr>
            <w:tcW w:w="2138" w:type="dxa"/>
            <w:tcBorders>
              <w:bottom w:val="thinThickMediumGap" w:sz="12" w:space="0" w:color="000000"/>
            </w:tcBorders>
          </w:tcPr>
          <w:p>
            <w:pPr>
              <w:pStyle w:val="TableParagraph"/>
              <w:spacing w:before="6"/>
              <w:ind w:right="171"/>
              <w:jc w:val="right"/>
              <w:rPr>
                <w:rFonts w:ascii="Arial MT"/>
                <w:sz w:val="18"/>
              </w:rPr>
            </w:pPr>
            <w:r>
              <w:rPr>
                <w:rFonts w:ascii="Arial MT"/>
                <w:spacing w:val="-2"/>
                <w:sz w:val="18"/>
              </w:rPr>
              <w:t>0.3978</w:t>
            </w:r>
          </w:p>
        </w:tc>
        <w:tc>
          <w:tcPr>
            <w:tcW w:w="3411" w:type="dxa"/>
            <w:tcBorders>
              <w:bottom w:val="thinThickMediumGap" w:sz="12" w:space="0" w:color="000000"/>
            </w:tcBorders>
          </w:tcPr>
          <w:p>
            <w:pPr>
              <w:pStyle w:val="TableParagraph"/>
              <w:spacing w:before="6"/>
              <w:ind w:right="1744"/>
              <w:jc w:val="right"/>
              <w:rPr>
                <w:rFonts w:ascii="Arial MT"/>
                <w:sz w:val="18"/>
              </w:rPr>
            </w:pPr>
            <w:r>
              <w:rPr>
                <w:rFonts w:ascii="Arial MT"/>
                <w:spacing w:val="-2"/>
                <w:sz w:val="18"/>
              </w:rPr>
              <w:t>----</w:t>
            </w:r>
            <w:r>
              <w:rPr>
                <w:rFonts w:ascii="Arial MT"/>
                <w:spacing w:val="-10"/>
                <w:sz w:val="18"/>
              </w:rPr>
              <w:t>-</w:t>
            </w:r>
          </w:p>
        </w:tc>
      </w:tr>
    </w:tbl>
    <w:p>
      <w:pPr>
        <w:pStyle w:val="BodyText"/>
        <w:ind w:left="240"/>
      </w:pPr>
      <w:r>
        <w:rPr>
          <w:b/>
        </w:rPr>
        <w:t>Source:</w:t>
      </w:r>
      <w:r>
        <w:rPr>
          <w:b/>
          <w:spacing w:val="-4"/>
        </w:rPr>
        <w:t> </w:t>
      </w:r>
      <w:r>
        <w:rPr/>
        <w:t>Researcher‘s</w:t>
      </w:r>
      <w:r>
        <w:rPr>
          <w:spacing w:val="1"/>
        </w:rPr>
        <w:t> </w:t>
      </w:r>
      <w:r>
        <w:rPr/>
        <w:t>computation</w:t>
      </w:r>
      <w:r>
        <w:rPr>
          <w:spacing w:val="-1"/>
        </w:rPr>
        <w:t> </w:t>
      </w:r>
      <w:r>
        <w:rPr/>
        <w:t>and</w:t>
      </w:r>
      <w:r>
        <w:rPr>
          <w:spacing w:val="-1"/>
        </w:rPr>
        <w:t> </w:t>
      </w:r>
      <w:r>
        <w:rPr/>
        <w:t>extract</w:t>
      </w:r>
      <w:r>
        <w:rPr>
          <w:spacing w:val="-1"/>
        </w:rPr>
        <w:t> </w:t>
      </w:r>
      <w:r>
        <w:rPr/>
        <w:t>from</w:t>
      </w:r>
      <w:r>
        <w:rPr>
          <w:spacing w:val="-1"/>
        </w:rPr>
        <w:t> </w:t>
      </w:r>
      <w:r>
        <w:rPr/>
        <w:t>E-views</w:t>
      </w:r>
      <w:r>
        <w:rPr>
          <w:spacing w:val="-1"/>
        </w:rPr>
        <w:t> </w:t>
      </w:r>
      <w:r>
        <w:rPr/>
        <w:t>7</w:t>
      </w:r>
      <w:r>
        <w:rPr>
          <w:spacing w:val="-1"/>
        </w:rPr>
        <w:t> </w:t>
      </w:r>
      <w:r>
        <w:rPr/>
        <w:t>econometric</w:t>
      </w:r>
      <w:r>
        <w:rPr>
          <w:spacing w:val="-3"/>
        </w:rPr>
        <w:t> </w:t>
      </w:r>
      <w:r>
        <w:rPr/>
        <w:t>software</w:t>
      </w:r>
      <w:r>
        <w:rPr>
          <w:spacing w:val="-1"/>
        </w:rPr>
        <w:t> </w:t>
      </w:r>
      <w:r>
        <w:rPr>
          <w:spacing w:val="-2"/>
        </w:rPr>
        <w:t>(2017)</w:t>
      </w:r>
    </w:p>
    <w:p>
      <w:pPr>
        <w:pStyle w:val="BodyText"/>
        <w:spacing w:line="360" w:lineRule="auto" w:before="227"/>
        <w:ind w:left="240" w:right="835"/>
        <w:jc w:val="both"/>
      </w:pPr>
      <w:r>
        <w:rPr>
          <w:b/>
        </w:rPr>
        <w:t>Interpretation and Decision</w:t>
      </w:r>
      <w:r>
        <w:rPr/>
        <w:t>: From Table 5.24, the correlation test result above having the correlation coefficient (R) value of 0.212; t-statistic value of 0.869 and associated p-value of 0.3978&gt; 0.05 shows that there is an insignificant positive relationship between annual housing budget estimate and annual actual housing expenditure in Anambra State. Hence, we do not</w:t>
      </w:r>
      <w:r>
        <w:rPr>
          <w:spacing w:val="40"/>
        </w:rPr>
        <w:t> </w:t>
      </w:r>
      <w:r>
        <w:rPr/>
        <w:t>reject the null hypothesis and conclude that there is a no significant relationship between annual housing budget allocation and annual actual housing expenditure in Anambra State.</w:t>
      </w:r>
    </w:p>
    <w:p>
      <w:pPr>
        <w:spacing w:after="0" w:line="360" w:lineRule="auto"/>
        <w:jc w:val="both"/>
        <w:sectPr>
          <w:pgSz w:w="12240" w:h="15840"/>
          <w:pgMar w:header="0" w:footer="1036" w:top="1360" w:bottom="1220" w:left="1200" w:right="600"/>
        </w:sectPr>
      </w:pPr>
    </w:p>
    <w:p>
      <w:pPr>
        <w:pStyle w:val="Heading3"/>
        <w:spacing w:before="60"/>
        <w:ind w:left="780" w:right="838" w:hanging="540"/>
      </w:pPr>
      <w:r>
        <w:rPr/>
        <w:t>5.5. Analysis of Implementation Milestones and Budget Allocation for Residential Housing Schemes in Anambra State</w:t>
      </w:r>
    </w:p>
    <w:p>
      <w:pPr>
        <w:pStyle w:val="BodyText"/>
        <w:spacing w:line="360" w:lineRule="auto" w:before="200"/>
        <w:ind w:left="240" w:right="833"/>
        <w:jc w:val="both"/>
      </w:pPr>
      <w:r>
        <w:rPr/>
        <w:t>This subsection focuses on studying the housing development milestones for housing estates and budget milestones for all residential housing projects in Anambra State. The data is as shown in Tables 5.25 and 5.26 respectively. The analysis is considered pertinent because of the neglect of residential or mass housing projects by the Anambra State government as established in the questionnaire survey and also for the fact that these projects are crucial to improving the living standards of the citizens. Undoubtedly, other types of housing projects also exist in the State, but housing output is easier to determine from housing estates, because they have a pre-defined number of houses units to be constructed. The implication of this is that a significant shortfall in the proposed units indicates a failure of that housing scheme. The rate of budget implementation of all types of housing projects during the study period in Anambra State was however established via the annual published budget figures (</w:t>
      </w:r>
      <w:r>
        <w:rPr>
          <w:i/>
        </w:rPr>
        <w:t>see Table 5.20</w:t>
      </w:r>
      <w:r>
        <w:rPr/>
        <w:t>).</w:t>
      </w:r>
    </w:p>
    <w:p>
      <w:pPr>
        <w:spacing w:after="0" w:line="360" w:lineRule="auto"/>
        <w:jc w:val="both"/>
        <w:sectPr>
          <w:pgSz w:w="12240" w:h="15840"/>
          <w:pgMar w:header="0" w:footer="1036" w:top="1380" w:bottom="1220" w:left="1200" w:right="600"/>
        </w:sectPr>
      </w:pPr>
    </w:p>
    <w:p>
      <w:pPr>
        <w:pStyle w:val="Heading4"/>
        <w:spacing w:before="76"/>
        <w:jc w:val="left"/>
      </w:pPr>
      <w:r>
        <w:rPr/>
        <w:t>Table</w:t>
      </w:r>
      <w:r>
        <w:rPr>
          <w:spacing w:val="-2"/>
        </w:rPr>
        <w:t> </w:t>
      </w:r>
      <w:r>
        <w:rPr/>
        <w:t>5.25.</w:t>
      </w:r>
      <w:r>
        <w:rPr>
          <w:spacing w:val="-3"/>
        </w:rPr>
        <w:t> </w:t>
      </w:r>
      <w:r>
        <w:rPr/>
        <w:t>Implementation Milestones</w:t>
      </w:r>
      <w:r>
        <w:rPr>
          <w:spacing w:val="-2"/>
        </w:rPr>
        <w:t> </w:t>
      </w:r>
      <w:r>
        <w:rPr/>
        <w:t>of</w:t>
      </w:r>
      <w:r>
        <w:rPr>
          <w:spacing w:val="-1"/>
        </w:rPr>
        <w:t> </w:t>
      </w:r>
      <w:r>
        <w:rPr/>
        <w:t>Housing</w:t>
      </w:r>
      <w:r>
        <w:rPr>
          <w:spacing w:val="-2"/>
        </w:rPr>
        <w:t> </w:t>
      </w:r>
      <w:r>
        <w:rPr/>
        <w:t>Estates</w:t>
      </w:r>
      <w:r>
        <w:rPr>
          <w:spacing w:val="-2"/>
        </w:rPr>
        <w:t> </w:t>
      </w:r>
      <w:r>
        <w:rPr/>
        <w:t>in</w:t>
      </w:r>
      <w:r>
        <w:rPr>
          <w:spacing w:val="-1"/>
        </w:rPr>
        <w:t> </w:t>
      </w:r>
      <w:r>
        <w:rPr/>
        <w:t>Anambra</w:t>
      </w:r>
      <w:r>
        <w:rPr>
          <w:spacing w:val="1"/>
        </w:rPr>
        <w:t> </w:t>
      </w:r>
      <w:r>
        <w:rPr>
          <w:spacing w:val="-2"/>
        </w:rPr>
        <w:t>State.</w:t>
      </w:r>
    </w:p>
    <w:p>
      <w:pPr>
        <w:pStyle w:val="BodyText"/>
        <w:spacing w:before="4"/>
        <w:rPr>
          <w:b/>
          <w:sz w:val="10"/>
        </w:rPr>
      </w:pPr>
    </w:p>
    <w:tbl>
      <w:tblPr>
        <w:tblW w:w="0" w:type="auto"/>
        <w:jc w:val="left"/>
        <w:tblInd w:w="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8"/>
        <w:gridCol w:w="1141"/>
        <w:gridCol w:w="1809"/>
        <w:gridCol w:w="1350"/>
        <w:gridCol w:w="1332"/>
        <w:gridCol w:w="2825"/>
      </w:tblGrid>
      <w:tr>
        <w:trPr>
          <w:trHeight w:val="690" w:hRule="atLeast"/>
        </w:trPr>
        <w:tc>
          <w:tcPr>
            <w:tcW w:w="1638" w:type="dxa"/>
            <w:tcBorders>
              <w:top w:val="single" w:sz="4" w:space="0" w:color="000000"/>
              <w:bottom w:val="single" w:sz="4" w:space="0" w:color="000000"/>
            </w:tcBorders>
          </w:tcPr>
          <w:p>
            <w:pPr>
              <w:pStyle w:val="TableParagraph"/>
              <w:spacing w:line="228" w:lineRule="exact"/>
              <w:ind w:left="122"/>
              <w:rPr>
                <w:b/>
                <w:sz w:val="20"/>
              </w:rPr>
            </w:pPr>
            <w:r>
              <w:rPr>
                <w:b/>
                <w:sz w:val="20"/>
              </w:rPr>
              <w:t>Housing</w:t>
            </w:r>
            <w:r>
              <w:rPr>
                <w:b/>
                <w:spacing w:val="-8"/>
                <w:sz w:val="20"/>
              </w:rPr>
              <w:t> </w:t>
            </w:r>
            <w:r>
              <w:rPr>
                <w:b/>
                <w:spacing w:val="-2"/>
                <w:sz w:val="20"/>
              </w:rPr>
              <w:t>scheme</w:t>
            </w:r>
          </w:p>
        </w:tc>
        <w:tc>
          <w:tcPr>
            <w:tcW w:w="1141" w:type="dxa"/>
            <w:tcBorders>
              <w:top w:val="single" w:sz="4" w:space="0" w:color="000000"/>
              <w:bottom w:val="single" w:sz="4" w:space="0" w:color="000000"/>
            </w:tcBorders>
          </w:tcPr>
          <w:p>
            <w:pPr>
              <w:pStyle w:val="TableParagraph"/>
              <w:spacing w:line="230" w:lineRule="exact"/>
              <w:ind w:left="224" w:right="171" w:hanging="2"/>
              <w:jc w:val="center"/>
              <w:rPr>
                <w:b/>
                <w:sz w:val="20"/>
              </w:rPr>
            </w:pPr>
            <w:r>
              <w:rPr>
                <w:b/>
                <w:spacing w:val="-4"/>
                <w:sz w:val="20"/>
              </w:rPr>
              <w:t>Year/ </w:t>
            </w:r>
            <w:r>
              <w:rPr>
                <w:b/>
                <w:spacing w:val="-2"/>
                <w:sz w:val="20"/>
              </w:rPr>
              <w:t>period/ duration</w:t>
            </w:r>
          </w:p>
        </w:tc>
        <w:tc>
          <w:tcPr>
            <w:tcW w:w="1809" w:type="dxa"/>
            <w:tcBorders>
              <w:top w:val="single" w:sz="4" w:space="0" w:color="000000"/>
              <w:bottom w:val="single" w:sz="4" w:space="0" w:color="000000"/>
            </w:tcBorders>
          </w:tcPr>
          <w:p>
            <w:pPr>
              <w:pStyle w:val="TableParagraph"/>
              <w:spacing w:line="230" w:lineRule="exact"/>
              <w:ind w:left="132" w:right="121" w:hanging="4"/>
              <w:jc w:val="center"/>
              <w:rPr>
                <w:b/>
                <w:sz w:val="20"/>
              </w:rPr>
            </w:pPr>
            <w:r>
              <w:rPr>
                <w:b/>
                <w:sz w:val="20"/>
              </w:rPr>
              <w:t>No of housing </w:t>
            </w:r>
            <w:r>
              <w:rPr>
                <w:b/>
                <w:spacing w:val="-2"/>
                <w:sz w:val="20"/>
              </w:rPr>
              <w:t>units planned/projected</w:t>
            </w:r>
          </w:p>
        </w:tc>
        <w:tc>
          <w:tcPr>
            <w:tcW w:w="1350" w:type="dxa"/>
            <w:tcBorders>
              <w:top w:val="single" w:sz="4" w:space="0" w:color="000000"/>
              <w:bottom w:val="single" w:sz="4" w:space="0" w:color="000000"/>
            </w:tcBorders>
          </w:tcPr>
          <w:p>
            <w:pPr>
              <w:pStyle w:val="TableParagraph"/>
              <w:spacing w:line="230" w:lineRule="exact"/>
              <w:ind w:left="69" w:right="95"/>
              <w:jc w:val="center"/>
              <w:rPr>
                <w:b/>
                <w:sz w:val="20"/>
              </w:rPr>
            </w:pPr>
            <w:r>
              <w:rPr>
                <w:b/>
                <w:spacing w:val="-2"/>
                <w:sz w:val="20"/>
              </w:rPr>
              <w:t>Outcome/No </w:t>
            </w:r>
            <w:r>
              <w:rPr>
                <w:b/>
                <w:sz w:val="20"/>
              </w:rPr>
              <w:t>of units </w:t>
            </w:r>
            <w:r>
              <w:rPr>
                <w:b/>
                <w:spacing w:val="-2"/>
                <w:sz w:val="20"/>
              </w:rPr>
              <w:t>constructed</w:t>
            </w:r>
          </w:p>
        </w:tc>
        <w:tc>
          <w:tcPr>
            <w:tcW w:w="1332" w:type="dxa"/>
            <w:tcBorders>
              <w:top w:val="single" w:sz="4" w:space="0" w:color="000000"/>
              <w:bottom w:val="single" w:sz="4" w:space="0" w:color="000000"/>
            </w:tcBorders>
          </w:tcPr>
          <w:p>
            <w:pPr>
              <w:pStyle w:val="TableParagraph"/>
              <w:ind w:left="506" w:right="133" w:hanging="353"/>
              <w:rPr>
                <w:b/>
                <w:sz w:val="20"/>
              </w:rPr>
            </w:pPr>
            <w:r>
              <w:rPr>
                <w:b/>
                <w:sz w:val="20"/>
              </w:rPr>
              <w:t>Success</w:t>
            </w:r>
            <w:r>
              <w:rPr>
                <w:b/>
                <w:spacing w:val="-13"/>
                <w:sz w:val="20"/>
              </w:rPr>
              <w:t> </w:t>
            </w:r>
            <w:r>
              <w:rPr>
                <w:b/>
                <w:sz w:val="20"/>
              </w:rPr>
              <w:t>rate </w:t>
            </w:r>
            <w:r>
              <w:rPr>
                <w:b/>
                <w:spacing w:val="-4"/>
                <w:sz w:val="20"/>
              </w:rPr>
              <w:t>(%)</w:t>
            </w:r>
          </w:p>
        </w:tc>
        <w:tc>
          <w:tcPr>
            <w:tcW w:w="2825" w:type="dxa"/>
            <w:tcBorders>
              <w:top w:val="single" w:sz="4" w:space="0" w:color="000000"/>
              <w:bottom w:val="single" w:sz="4" w:space="0" w:color="000000"/>
            </w:tcBorders>
          </w:tcPr>
          <w:p>
            <w:pPr>
              <w:pStyle w:val="TableParagraph"/>
              <w:spacing w:line="228" w:lineRule="exact"/>
              <w:ind w:left="142"/>
              <w:rPr>
                <w:b/>
                <w:sz w:val="20"/>
              </w:rPr>
            </w:pPr>
            <w:r>
              <w:rPr>
                <w:b/>
                <w:spacing w:val="-2"/>
                <w:sz w:val="20"/>
              </w:rPr>
              <w:t>Remarks</w:t>
            </w:r>
          </w:p>
        </w:tc>
      </w:tr>
      <w:tr>
        <w:trPr>
          <w:trHeight w:val="1240" w:hRule="atLeast"/>
        </w:trPr>
        <w:tc>
          <w:tcPr>
            <w:tcW w:w="1638" w:type="dxa"/>
            <w:tcBorders>
              <w:top w:val="single" w:sz="4" w:space="0" w:color="000000"/>
            </w:tcBorders>
            <w:shd w:val="clear" w:color="auto" w:fill="D2DFED"/>
          </w:tcPr>
          <w:p>
            <w:pPr>
              <w:pStyle w:val="TableParagraph"/>
              <w:ind w:left="122" w:right="373"/>
              <w:rPr>
                <w:sz w:val="18"/>
              </w:rPr>
            </w:pPr>
            <w:r>
              <w:rPr>
                <w:sz w:val="18"/>
              </w:rPr>
              <w:t>Udoka</w:t>
            </w:r>
            <w:r>
              <w:rPr>
                <w:spacing w:val="-12"/>
                <w:sz w:val="18"/>
              </w:rPr>
              <w:t> </w:t>
            </w:r>
            <w:r>
              <w:rPr>
                <w:sz w:val="18"/>
              </w:rPr>
              <w:t>Housing estate, Awka </w:t>
            </w:r>
            <w:r>
              <w:rPr>
                <w:spacing w:val="-2"/>
                <w:sz w:val="18"/>
              </w:rPr>
              <w:t>(Phases1&amp;2)</w:t>
            </w:r>
          </w:p>
        </w:tc>
        <w:tc>
          <w:tcPr>
            <w:tcW w:w="1141" w:type="dxa"/>
            <w:tcBorders>
              <w:top w:val="single" w:sz="4" w:space="0" w:color="000000"/>
            </w:tcBorders>
            <w:shd w:val="clear" w:color="auto" w:fill="D2DFED"/>
          </w:tcPr>
          <w:p>
            <w:pPr>
              <w:pStyle w:val="TableParagraph"/>
              <w:spacing w:line="202" w:lineRule="exact"/>
              <w:ind w:left="6" w:right="88"/>
              <w:jc w:val="center"/>
              <w:rPr>
                <w:sz w:val="18"/>
              </w:rPr>
            </w:pPr>
            <w:r>
              <w:rPr>
                <w:spacing w:val="-2"/>
                <w:sz w:val="18"/>
              </w:rPr>
              <w:t>1996-</w:t>
            </w:r>
            <w:r>
              <w:rPr>
                <w:spacing w:val="-4"/>
                <w:sz w:val="18"/>
              </w:rPr>
              <w:t>2000</w:t>
            </w:r>
          </w:p>
        </w:tc>
        <w:tc>
          <w:tcPr>
            <w:tcW w:w="1809" w:type="dxa"/>
            <w:tcBorders>
              <w:top w:val="single" w:sz="4" w:space="0" w:color="000000"/>
            </w:tcBorders>
            <w:shd w:val="clear" w:color="auto" w:fill="D2DFED"/>
          </w:tcPr>
          <w:p>
            <w:pPr>
              <w:pStyle w:val="TableParagraph"/>
              <w:spacing w:line="202" w:lineRule="exact"/>
              <w:ind w:right="91"/>
              <w:jc w:val="center"/>
              <w:rPr>
                <w:sz w:val="18"/>
              </w:rPr>
            </w:pPr>
            <w:r>
              <w:rPr>
                <w:spacing w:val="-5"/>
                <w:sz w:val="18"/>
              </w:rPr>
              <w:t>333</w:t>
            </w:r>
          </w:p>
        </w:tc>
        <w:tc>
          <w:tcPr>
            <w:tcW w:w="1350" w:type="dxa"/>
            <w:tcBorders>
              <w:top w:val="single" w:sz="4" w:space="0" w:color="000000"/>
            </w:tcBorders>
            <w:shd w:val="clear" w:color="auto" w:fill="D2DFED"/>
          </w:tcPr>
          <w:p>
            <w:pPr>
              <w:pStyle w:val="TableParagraph"/>
              <w:spacing w:line="202" w:lineRule="exact"/>
              <w:ind w:right="653"/>
              <w:jc w:val="right"/>
              <w:rPr>
                <w:sz w:val="18"/>
              </w:rPr>
            </w:pPr>
            <w:r>
              <w:rPr>
                <w:spacing w:val="-5"/>
                <w:sz w:val="18"/>
              </w:rPr>
              <w:t>107</w:t>
            </w:r>
          </w:p>
        </w:tc>
        <w:tc>
          <w:tcPr>
            <w:tcW w:w="1332" w:type="dxa"/>
            <w:tcBorders>
              <w:top w:val="single" w:sz="4" w:space="0" w:color="000000"/>
            </w:tcBorders>
            <w:shd w:val="clear" w:color="auto" w:fill="D2DFED"/>
          </w:tcPr>
          <w:p>
            <w:pPr>
              <w:pStyle w:val="TableParagraph"/>
              <w:spacing w:line="202" w:lineRule="exact"/>
              <w:ind w:right="80"/>
              <w:jc w:val="center"/>
              <w:rPr>
                <w:sz w:val="18"/>
              </w:rPr>
            </w:pPr>
            <w:r>
              <w:rPr>
                <w:spacing w:val="-5"/>
                <w:sz w:val="18"/>
              </w:rPr>
              <w:t>32</w:t>
            </w:r>
          </w:p>
        </w:tc>
        <w:tc>
          <w:tcPr>
            <w:tcW w:w="2825" w:type="dxa"/>
            <w:tcBorders>
              <w:top w:val="single" w:sz="4" w:space="0" w:color="000000"/>
            </w:tcBorders>
            <w:shd w:val="clear" w:color="auto" w:fill="D2DFED"/>
          </w:tcPr>
          <w:p>
            <w:pPr>
              <w:pStyle w:val="TableParagraph"/>
              <w:ind w:left="142"/>
              <w:rPr>
                <w:sz w:val="18"/>
              </w:rPr>
            </w:pPr>
            <w:r>
              <w:rPr>
                <w:sz w:val="18"/>
              </w:rPr>
              <w:t>A World Bank assisted scheme. Works</w:t>
            </w:r>
            <w:r>
              <w:rPr>
                <w:spacing w:val="-5"/>
                <w:sz w:val="18"/>
              </w:rPr>
              <w:t> </w:t>
            </w:r>
            <w:r>
              <w:rPr>
                <w:sz w:val="18"/>
              </w:rPr>
              <w:t>were</w:t>
            </w:r>
            <w:r>
              <w:rPr>
                <w:spacing w:val="-8"/>
                <w:sz w:val="18"/>
              </w:rPr>
              <w:t> </w:t>
            </w:r>
            <w:r>
              <w:rPr>
                <w:sz w:val="18"/>
              </w:rPr>
              <w:t>cut</w:t>
            </w:r>
            <w:r>
              <w:rPr>
                <w:spacing w:val="-7"/>
                <w:sz w:val="18"/>
              </w:rPr>
              <w:t> </w:t>
            </w:r>
            <w:r>
              <w:rPr>
                <w:sz w:val="18"/>
              </w:rPr>
              <w:t>short</w:t>
            </w:r>
            <w:r>
              <w:rPr>
                <w:spacing w:val="-7"/>
                <w:sz w:val="18"/>
              </w:rPr>
              <w:t> </w:t>
            </w:r>
            <w:r>
              <w:rPr>
                <w:sz w:val="18"/>
              </w:rPr>
              <w:t>at</w:t>
            </w:r>
            <w:r>
              <w:rPr>
                <w:spacing w:val="-7"/>
                <w:sz w:val="18"/>
              </w:rPr>
              <w:t> </w:t>
            </w:r>
            <w:r>
              <w:rPr>
                <w:sz w:val="18"/>
              </w:rPr>
              <w:t>some</w:t>
            </w:r>
            <w:r>
              <w:rPr>
                <w:spacing w:val="-8"/>
                <w:sz w:val="18"/>
              </w:rPr>
              <w:t> </w:t>
            </w:r>
            <w:r>
              <w:rPr>
                <w:sz w:val="18"/>
              </w:rPr>
              <w:t>point due to non-release of funds, hence stifling work progress. After this period, individuals bought up</w:t>
            </w:r>
          </w:p>
          <w:p>
            <w:pPr>
              <w:pStyle w:val="TableParagraph"/>
              <w:spacing w:line="191" w:lineRule="exact"/>
              <w:ind w:left="142"/>
              <w:rPr>
                <w:sz w:val="18"/>
              </w:rPr>
            </w:pPr>
            <w:r>
              <w:rPr>
                <w:sz w:val="18"/>
              </w:rPr>
              <w:t>vacant</w:t>
            </w:r>
            <w:r>
              <w:rPr>
                <w:spacing w:val="-5"/>
                <w:sz w:val="18"/>
              </w:rPr>
              <w:t> </w:t>
            </w:r>
            <w:r>
              <w:rPr>
                <w:sz w:val="18"/>
              </w:rPr>
              <w:t>plots</w:t>
            </w:r>
            <w:r>
              <w:rPr>
                <w:spacing w:val="-2"/>
                <w:sz w:val="18"/>
              </w:rPr>
              <w:t> </w:t>
            </w:r>
            <w:r>
              <w:rPr>
                <w:sz w:val="18"/>
              </w:rPr>
              <w:t>and</w:t>
            </w:r>
            <w:r>
              <w:rPr>
                <w:spacing w:val="-2"/>
                <w:sz w:val="18"/>
              </w:rPr>
              <w:t> </w:t>
            </w:r>
            <w:r>
              <w:rPr>
                <w:sz w:val="18"/>
              </w:rPr>
              <w:t>developed</w:t>
            </w:r>
            <w:r>
              <w:rPr>
                <w:spacing w:val="-1"/>
                <w:sz w:val="18"/>
              </w:rPr>
              <w:t> </w:t>
            </w:r>
            <w:r>
              <w:rPr>
                <w:spacing w:val="-4"/>
                <w:sz w:val="18"/>
              </w:rPr>
              <w:t>them.</w:t>
            </w:r>
          </w:p>
        </w:tc>
      </w:tr>
      <w:tr>
        <w:trPr>
          <w:trHeight w:val="1656" w:hRule="atLeast"/>
        </w:trPr>
        <w:tc>
          <w:tcPr>
            <w:tcW w:w="1638" w:type="dxa"/>
          </w:tcPr>
          <w:p>
            <w:pPr>
              <w:pStyle w:val="TableParagraph"/>
              <w:ind w:left="122"/>
              <w:rPr>
                <w:sz w:val="18"/>
              </w:rPr>
            </w:pPr>
            <w:r>
              <w:rPr>
                <w:sz w:val="18"/>
              </w:rPr>
              <w:t>Niger</w:t>
            </w:r>
            <w:r>
              <w:rPr>
                <w:spacing w:val="-12"/>
                <w:sz w:val="18"/>
              </w:rPr>
              <w:t> </w:t>
            </w:r>
            <w:r>
              <w:rPr>
                <w:sz w:val="18"/>
              </w:rPr>
              <w:t>Bridge</w:t>
            </w:r>
            <w:r>
              <w:rPr>
                <w:spacing w:val="-11"/>
                <w:sz w:val="18"/>
              </w:rPr>
              <w:t> </w:t>
            </w:r>
            <w:r>
              <w:rPr>
                <w:sz w:val="18"/>
              </w:rPr>
              <w:t>Head estate, Onitsha</w:t>
            </w:r>
          </w:p>
        </w:tc>
        <w:tc>
          <w:tcPr>
            <w:tcW w:w="1141" w:type="dxa"/>
          </w:tcPr>
          <w:p>
            <w:pPr>
              <w:pStyle w:val="TableParagraph"/>
              <w:spacing w:line="202" w:lineRule="exact"/>
              <w:ind w:left="88" w:right="82"/>
              <w:jc w:val="center"/>
              <w:rPr>
                <w:sz w:val="18"/>
              </w:rPr>
            </w:pPr>
            <w:r>
              <w:rPr>
                <w:sz w:val="18"/>
              </w:rPr>
              <w:t>1979 -</w:t>
            </w:r>
            <w:r>
              <w:rPr>
                <w:spacing w:val="-2"/>
                <w:sz w:val="18"/>
              </w:rPr>
              <w:t> </w:t>
            </w:r>
            <w:r>
              <w:rPr>
                <w:spacing w:val="-4"/>
                <w:sz w:val="18"/>
              </w:rPr>
              <w:t>1986</w:t>
            </w:r>
          </w:p>
        </w:tc>
        <w:tc>
          <w:tcPr>
            <w:tcW w:w="1809" w:type="dxa"/>
          </w:tcPr>
          <w:p>
            <w:pPr>
              <w:pStyle w:val="TableParagraph"/>
              <w:spacing w:line="202" w:lineRule="exact"/>
              <w:ind w:right="91"/>
              <w:jc w:val="center"/>
              <w:rPr>
                <w:sz w:val="18"/>
              </w:rPr>
            </w:pPr>
            <w:r>
              <w:rPr>
                <w:spacing w:val="-5"/>
                <w:sz w:val="18"/>
              </w:rPr>
              <w:t>541</w:t>
            </w:r>
          </w:p>
        </w:tc>
        <w:tc>
          <w:tcPr>
            <w:tcW w:w="1350" w:type="dxa"/>
          </w:tcPr>
          <w:p>
            <w:pPr>
              <w:pStyle w:val="TableParagraph"/>
              <w:spacing w:line="202" w:lineRule="exact"/>
              <w:ind w:right="653"/>
              <w:jc w:val="right"/>
              <w:rPr>
                <w:sz w:val="18"/>
              </w:rPr>
            </w:pPr>
            <w:r>
              <w:rPr>
                <w:spacing w:val="-5"/>
                <w:sz w:val="18"/>
              </w:rPr>
              <w:t>319</w:t>
            </w:r>
          </w:p>
        </w:tc>
        <w:tc>
          <w:tcPr>
            <w:tcW w:w="1332" w:type="dxa"/>
          </w:tcPr>
          <w:p>
            <w:pPr>
              <w:pStyle w:val="TableParagraph"/>
              <w:spacing w:line="202" w:lineRule="exact"/>
              <w:ind w:right="80"/>
              <w:jc w:val="center"/>
              <w:rPr>
                <w:sz w:val="18"/>
              </w:rPr>
            </w:pPr>
            <w:r>
              <w:rPr>
                <w:spacing w:val="-5"/>
                <w:sz w:val="18"/>
              </w:rPr>
              <w:t>59</w:t>
            </w:r>
          </w:p>
        </w:tc>
        <w:tc>
          <w:tcPr>
            <w:tcW w:w="2825" w:type="dxa"/>
          </w:tcPr>
          <w:p>
            <w:pPr>
              <w:pStyle w:val="TableParagraph"/>
              <w:ind w:left="142" w:right="128"/>
              <w:rPr>
                <w:sz w:val="18"/>
              </w:rPr>
            </w:pPr>
            <w:r>
              <w:rPr>
                <w:sz w:val="18"/>
              </w:rPr>
              <w:t>Considered the oldest housing scheme in the State. Was initially inhabited by expatriates before units</w:t>
            </w:r>
            <w:r>
              <w:rPr>
                <w:spacing w:val="-8"/>
                <w:sz w:val="18"/>
              </w:rPr>
              <w:t> </w:t>
            </w:r>
            <w:r>
              <w:rPr>
                <w:sz w:val="18"/>
              </w:rPr>
              <w:t>and</w:t>
            </w:r>
            <w:r>
              <w:rPr>
                <w:spacing w:val="-8"/>
                <w:sz w:val="18"/>
              </w:rPr>
              <w:t> </w:t>
            </w:r>
            <w:r>
              <w:rPr>
                <w:sz w:val="18"/>
              </w:rPr>
              <w:t>vacant</w:t>
            </w:r>
            <w:r>
              <w:rPr>
                <w:spacing w:val="-8"/>
                <w:sz w:val="18"/>
              </w:rPr>
              <w:t> </w:t>
            </w:r>
            <w:r>
              <w:rPr>
                <w:sz w:val="18"/>
              </w:rPr>
              <w:t>plots</w:t>
            </w:r>
            <w:r>
              <w:rPr>
                <w:spacing w:val="-8"/>
                <w:sz w:val="18"/>
              </w:rPr>
              <w:t> </w:t>
            </w:r>
            <w:r>
              <w:rPr>
                <w:sz w:val="18"/>
              </w:rPr>
              <w:t>were</w:t>
            </w:r>
            <w:r>
              <w:rPr>
                <w:spacing w:val="-9"/>
                <w:sz w:val="18"/>
              </w:rPr>
              <w:t> </w:t>
            </w:r>
            <w:r>
              <w:rPr>
                <w:sz w:val="18"/>
              </w:rPr>
              <w:t>bought by citizens and refurbished or developed. Made appreciable progress before works were</w:t>
            </w:r>
          </w:p>
          <w:p>
            <w:pPr>
              <w:pStyle w:val="TableParagraph"/>
              <w:spacing w:line="191" w:lineRule="exact"/>
              <w:ind w:left="142"/>
              <w:rPr>
                <w:sz w:val="18"/>
              </w:rPr>
            </w:pPr>
            <w:r>
              <w:rPr>
                <w:sz w:val="18"/>
              </w:rPr>
              <w:t>suspended</w:t>
            </w:r>
            <w:r>
              <w:rPr>
                <w:spacing w:val="-1"/>
                <w:sz w:val="18"/>
              </w:rPr>
              <w:t> </w:t>
            </w:r>
            <w:r>
              <w:rPr>
                <w:sz w:val="18"/>
              </w:rPr>
              <w:t>due</w:t>
            </w:r>
            <w:r>
              <w:rPr>
                <w:spacing w:val="-2"/>
                <w:sz w:val="18"/>
              </w:rPr>
              <w:t> </w:t>
            </w:r>
            <w:r>
              <w:rPr>
                <w:sz w:val="18"/>
              </w:rPr>
              <w:t>to</w:t>
            </w:r>
            <w:r>
              <w:rPr>
                <w:spacing w:val="-3"/>
                <w:sz w:val="18"/>
              </w:rPr>
              <w:t> </w:t>
            </w:r>
            <w:r>
              <w:rPr>
                <w:sz w:val="18"/>
              </w:rPr>
              <w:t>misuse</w:t>
            </w:r>
            <w:r>
              <w:rPr>
                <w:spacing w:val="-2"/>
                <w:sz w:val="18"/>
              </w:rPr>
              <w:t> </w:t>
            </w:r>
            <w:r>
              <w:rPr>
                <w:sz w:val="18"/>
              </w:rPr>
              <w:t>of</w:t>
            </w:r>
            <w:r>
              <w:rPr>
                <w:spacing w:val="-1"/>
                <w:sz w:val="18"/>
              </w:rPr>
              <w:t> </w:t>
            </w:r>
            <w:r>
              <w:rPr>
                <w:spacing w:val="-2"/>
                <w:sz w:val="18"/>
              </w:rPr>
              <w:t>funds.</w:t>
            </w:r>
          </w:p>
        </w:tc>
      </w:tr>
      <w:tr>
        <w:trPr>
          <w:trHeight w:val="1034" w:hRule="atLeast"/>
        </w:trPr>
        <w:tc>
          <w:tcPr>
            <w:tcW w:w="1638" w:type="dxa"/>
            <w:shd w:val="clear" w:color="auto" w:fill="D2DFED"/>
          </w:tcPr>
          <w:p>
            <w:pPr>
              <w:pStyle w:val="TableParagraph"/>
              <w:ind w:left="122" w:right="87"/>
              <w:rPr>
                <w:sz w:val="18"/>
              </w:rPr>
            </w:pPr>
            <w:r>
              <w:rPr>
                <w:sz w:val="18"/>
              </w:rPr>
              <w:t>Ahocol estate, Awka</w:t>
            </w:r>
            <w:r>
              <w:rPr>
                <w:spacing w:val="-12"/>
                <w:sz w:val="18"/>
              </w:rPr>
              <w:t> </w:t>
            </w:r>
            <w:r>
              <w:rPr>
                <w:sz w:val="18"/>
              </w:rPr>
              <w:t>(Phases</w:t>
            </w:r>
            <w:r>
              <w:rPr>
                <w:spacing w:val="-11"/>
                <w:sz w:val="18"/>
              </w:rPr>
              <w:t> </w:t>
            </w:r>
            <w:r>
              <w:rPr>
                <w:sz w:val="18"/>
              </w:rPr>
              <w:t>1</w:t>
            </w:r>
            <w:r>
              <w:rPr>
                <w:spacing w:val="-11"/>
                <w:sz w:val="18"/>
              </w:rPr>
              <w:t> </w:t>
            </w:r>
            <w:r>
              <w:rPr>
                <w:sz w:val="18"/>
              </w:rPr>
              <w:t>&amp; </w:t>
            </w:r>
            <w:r>
              <w:rPr>
                <w:spacing w:val="-6"/>
                <w:sz w:val="18"/>
              </w:rPr>
              <w:t>2)</w:t>
            </w:r>
          </w:p>
        </w:tc>
        <w:tc>
          <w:tcPr>
            <w:tcW w:w="1141" w:type="dxa"/>
            <w:shd w:val="clear" w:color="auto" w:fill="D2DFED"/>
          </w:tcPr>
          <w:p>
            <w:pPr>
              <w:pStyle w:val="TableParagraph"/>
              <w:spacing w:line="202" w:lineRule="exact"/>
              <w:ind w:left="88" w:right="82"/>
              <w:jc w:val="center"/>
              <w:rPr>
                <w:sz w:val="18"/>
              </w:rPr>
            </w:pPr>
            <w:r>
              <w:rPr>
                <w:sz w:val="18"/>
              </w:rPr>
              <w:t>1994 -</w:t>
            </w:r>
            <w:r>
              <w:rPr>
                <w:spacing w:val="-2"/>
                <w:sz w:val="18"/>
              </w:rPr>
              <w:t> </w:t>
            </w:r>
            <w:r>
              <w:rPr>
                <w:spacing w:val="-4"/>
                <w:sz w:val="18"/>
              </w:rPr>
              <w:t>1998</w:t>
            </w:r>
          </w:p>
        </w:tc>
        <w:tc>
          <w:tcPr>
            <w:tcW w:w="1809" w:type="dxa"/>
            <w:shd w:val="clear" w:color="auto" w:fill="D2DFED"/>
          </w:tcPr>
          <w:p>
            <w:pPr>
              <w:pStyle w:val="TableParagraph"/>
              <w:spacing w:line="202" w:lineRule="exact"/>
              <w:ind w:right="91"/>
              <w:jc w:val="center"/>
              <w:rPr>
                <w:sz w:val="18"/>
              </w:rPr>
            </w:pPr>
            <w:r>
              <w:rPr>
                <w:spacing w:val="-5"/>
                <w:sz w:val="18"/>
              </w:rPr>
              <w:t>176</w:t>
            </w:r>
          </w:p>
        </w:tc>
        <w:tc>
          <w:tcPr>
            <w:tcW w:w="1350" w:type="dxa"/>
            <w:shd w:val="clear" w:color="auto" w:fill="D2DFED"/>
          </w:tcPr>
          <w:p>
            <w:pPr>
              <w:pStyle w:val="TableParagraph"/>
              <w:spacing w:line="202" w:lineRule="exact"/>
              <w:ind w:right="698"/>
              <w:jc w:val="right"/>
              <w:rPr>
                <w:sz w:val="18"/>
              </w:rPr>
            </w:pPr>
            <w:r>
              <w:rPr>
                <w:spacing w:val="-5"/>
                <w:sz w:val="18"/>
              </w:rPr>
              <w:t>84</w:t>
            </w:r>
          </w:p>
        </w:tc>
        <w:tc>
          <w:tcPr>
            <w:tcW w:w="1332" w:type="dxa"/>
            <w:shd w:val="clear" w:color="auto" w:fill="D2DFED"/>
          </w:tcPr>
          <w:p>
            <w:pPr>
              <w:pStyle w:val="TableParagraph"/>
              <w:spacing w:line="202" w:lineRule="exact"/>
              <w:ind w:right="80"/>
              <w:jc w:val="center"/>
              <w:rPr>
                <w:sz w:val="18"/>
              </w:rPr>
            </w:pPr>
            <w:r>
              <w:rPr>
                <w:spacing w:val="-5"/>
                <w:sz w:val="18"/>
              </w:rPr>
              <w:t>48</w:t>
            </w:r>
          </w:p>
        </w:tc>
        <w:tc>
          <w:tcPr>
            <w:tcW w:w="2825" w:type="dxa"/>
            <w:shd w:val="clear" w:color="auto" w:fill="D2DFED"/>
          </w:tcPr>
          <w:p>
            <w:pPr>
              <w:pStyle w:val="TableParagraph"/>
              <w:ind w:left="142" w:right="128"/>
              <w:rPr>
                <w:sz w:val="18"/>
              </w:rPr>
            </w:pPr>
            <w:r>
              <w:rPr>
                <w:sz w:val="18"/>
              </w:rPr>
              <w:t>Nature of works comprised: bungalows, 1, 2 and 3 bedroom bungalows</w:t>
            </w:r>
            <w:r>
              <w:rPr>
                <w:spacing w:val="-12"/>
                <w:sz w:val="18"/>
              </w:rPr>
              <w:t> </w:t>
            </w:r>
            <w:r>
              <w:rPr>
                <w:sz w:val="18"/>
              </w:rPr>
              <w:t>and</w:t>
            </w:r>
            <w:r>
              <w:rPr>
                <w:spacing w:val="-11"/>
                <w:sz w:val="18"/>
              </w:rPr>
              <w:t> </w:t>
            </w:r>
            <w:r>
              <w:rPr>
                <w:sz w:val="18"/>
              </w:rPr>
              <w:t>duplexes.</w:t>
            </w:r>
            <w:r>
              <w:rPr>
                <w:spacing w:val="-11"/>
                <w:sz w:val="18"/>
              </w:rPr>
              <w:t> </w:t>
            </w:r>
            <w:r>
              <w:rPr>
                <w:sz w:val="18"/>
              </w:rPr>
              <w:t>Works were abandoned due to lack of</w:t>
            </w:r>
          </w:p>
          <w:p>
            <w:pPr>
              <w:pStyle w:val="TableParagraph"/>
              <w:spacing w:line="191" w:lineRule="exact"/>
              <w:ind w:left="142"/>
              <w:rPr>
                <w:sz w:val="18"/>
              </w:rPr>
            </w:pPr>
            <w:r>
              <w:rPr>
                <w:spacing w:val="-2"/>
                <w:sz w:val="18"/>
              </w:rPr>
              <w:t>funds.</w:t>
            </w:r>
          </w:p>
        </w:tc>
      </w:tr>
      <w:tr>
        <w:trPr>
          <w:trHeight w:val="1036" w:hRule="atLeast"/>
        </w:trPr>
        <w:tc>
          <w:tcPr>
            <w:tcW w:w="1638" w:type="dxa"/>
          </w:tcPr>
          <w:p>
            <w:pPr>
              <w:pStyle w:val="TableParagraph"/>
              <w:spacing w:line="242" w:lineRule="auto"/>
              <w:ind w:left="122" w:right="233"/>
              <w:rPr>
                <w:sz w:val="18"/>
              </w:rPr>
            </w:pPr>
            <w:r>
              <w:rPr>
                <w:sz w:val="18"/>
              </w:rPr>
              <w:t>Government</w:t>
            </w:r>
            <w:r>
              <w:rPr>
                <w:spacing w:val="-12"/>
                <w:sz w:val="18"/>
              </w:rPr>
              <w:t> </w:t>
            </w:r>
            <w:r>
              <w:rPr>
                <w:sz w:val="18"/>
              </w:rPr>
              <w:t>Real Estate, Awka</w:t>
            </w:r>
          </w:p>
        </w:tc>
        <w:tc>
          <w:tcPr>
            <w:tcW w:w="1141" w:type="dxa"/>
          </w:tcPr>
          <w:p>
            <w:pPr>
              <w:pStyle w:val="TableParagraph"/>
              <w:spacing w:line="202" w:lineRule="exact"/>
              <w:ind w:left="6" w:right="88"/>
              <w:jc w:val="center"/>
              <w:rPr>
                <w:sz w:val="18"/>
              </w:rPr>
            </w:pPr>
            <w:r>
              <w:rPr>
                <w:spacing w:val="-2"/>
                <w:sz w:val="18"/>
              </w:rPr>
              <w:t>1998-</w:t>
            </w:r>
            <w:r>
              <w:rPr>
                <w:spacing w:val="-4"/>
                <w:sz w:val="18"/>
              </w:rPr>
              <w:t>2000</w:t>
            </w:r>
          </w:p>
        </w:tc>
        <w:tc>
          <w:tcPr>
            <w:tcW w:w="1809" w:type="dxa"/>
          </w:tcPr>
          <w:p>
            <w:pPr>
              <w:pStyle w:val="TableParagraph"/>
              <w:spacing w:line="202" w:lineRule="exact"/>
              <w:ind w:right="91"/>
              <w:jc w:val="center"/>
              <w:rPr>
                <w:sz w:val="18"/>
              </w:rPr>
            </w:pPr>
            <w:r>
              <w:rPr>
                <w:spacing w:val="-5"/>
                <w:sz w:val="18"/>
              </w:rPr>
              <w:t>500</w:t>
            </w:r>
          </w:p>
        </w:tc>
        <w:tc>
          <w:tcPr>
            <w:tcW w:w="1350" w:type="dxa"/>
          </w:tcPr>
          <w:p>
            <w:pPr>
              <w:pStyle w:val="TableParagraph"/>
              <w:spacing w:line="202" w:lineRule="exact"/>
              <w:ind w:right="653"/>
              <w:jc w:val="right"/>
              <w:rPr>
                <w:sz w:val="18"/>
              </w:rPr>
            </w:pPr>
            <w:r>
              <w:rPr>
                <w:spacing w:val="-5"/>
                <w:sz w:val="18"/>
              </w:rPr>
              <w:t>206</w:t>
            </w:r>
          </w:p>
        </w:tc>
        <w:tc>
          <w:tcPr>
            <w:tcW w:w="1332" w:type="dxa"/>
          </w:tcPr>
          <w:p>
            <w:pPr>
              <w:pStyle w:val="TableParagraph"/>
              <w:spacing w:line="202" w:lineRule="exact"/>
              <w:ind w:right="80"/>
              <w:jc w:val="center"/>
              <w:rPr>
                <w:sz w:val="18"/>
              </w:rPr>
            </w:pPr>
            <w:r>
              <w:rPr>
                <w:spacing w:val="-5"/>
                <w:sz w:val="18"/>
              </w:rPr>
              <w:t>41</w:t>
            </w:r>
          </w:p>
        </w:tc>
        <w:tc>
          <w:tcPr>
            <w:tcW w:w="2825" w:type="dxa"/>
          </w:tcPr>
          <w:p>
            <w:pPr>
              <w:pStyle w:val="TableParagraph"/>
              <w:ind w:left="142" w:right="128"/>
              <w:rPr>
                <w:sz w:val="18"/>
              </w:rPr>
            </w:pPr>
            <w:r>
              <w:rPr>
                <w:sz w:val="18"/>
              </w:rPr>
              <w:t>Failure to pay contractors for houses constructed, led to abandonment of the works. Nature</w:t>
            </w:r>
          </w:p>
          <w:p>
            <w:pPr>
              <w:pStyle w:val="TableParagraph"/>
              <w:spacing w:line="206" w:lineRule="exact"/>
              <w:ind w:left="142" w:right="77"/>
              <w:rPr>
                <w:sz w:val="18"/>
              </w:rPr>
            </w:pPr>
            <w:r>
              <w:rPr>
                <w:sz w:val="18"/>
              </w:rPr>
              <w:t>of</w:t>
            </w:r>
            <w:r>
              <w:rPr>
                <w:spacing w:val="28"/>
                <w:sz w:val="18"/>
              </w:rPr>
              <w:t> </w:t>
            </w:r>
            <w:r>
              <w:rPr>
                <w:sz w:val="18"/>
              </w:rPr>
              <w:t>works</w:t>
            </w:r>
            <w:r>
              <w:rPr>
                <w:spacing w:val="-8"/>
                <w:sz w:val="18"/>
              </w:rPr>
              <w:t> </w:t>
            </w:r>
            <w:r>
              <w:rPr>
                <w:sz w:val="18"/>
              </w:rPr>
              <w:t>comprised:</w:t>
            </w:r>
            <w:r>
              <w:rPr>
                <w:spacing w:val="-6"/>
                <w:sz w:val="18"/>
              </w:rPr>
              <w:t> </w:t>
            </w:r>
            <w:r>
              <w:rPr>
                <w:sz w:val="18"/>
              </w:rPr>
              <w:t>bungalows,</w:t>
            </w:r>
            <w:r>
              <w:rPr>
                <w:spacing w:val="-8"/>
                <w:sz w:val="18"/>
              </w:rPr>
              <w:t> </w:t>
            </w:r>
            <w:r>
              <w:rPr>
                <w:sz w:val="18"/>
              </w:rPr>
              <w:t>1, 2 and 3 bedroom flats.</w:t>
            </w:r>
          </w:p>
        </w:tc>
      </w:tr>
      <w:tr>
        <w:trPr>
          <w:trHeight w:val="1447" w:hRule="atLeast"/>
        </w:trPr>
        <w:tc>
          <w:tcPr>
            <w:tcW w:w="1638" w:type="dxa"/>
            <w:shd w:val="clear" w:color="auto" w:fill="D2DFED"/>
          </w:tcPr>
          <w:p>
            <w:pPr>
              <w:pStyle w:val="TableParagraph"/>
              <w:ind w:left="122" w:right="593"/>
              <w:rPr>
                <w:sz w:val="18"/>
              </w:rPr>
            </w:pPr>
            <w:r>
              <w:rPr>
                <w:sz w:val="18"/>
              </w:rPr>
              <w:t>Iyiagu</w:t>
            </w:r>
            <w:r>
              <w:rPr>
                <w:spacing w:val="-12"/>
                <w:sz w:val="18"/>
              </w:rPr>
              <w:t> </w:t>
            </w:r>
            <w:r>
              <w:rPr>
                <w:sz w:val="18"/>
              </w:rPr>
              <w:t>estate (Phase 1)</w:t>
            </w:r>
          </w:p>
        </w:tc>
        <w:tc>
          <w:tcPr>
            <w:tcW w:w="1141" w:type="dxa"/>
            <w:shd w:val="clear" w:color="auto" w:fill="D2DFED"/>
          </w:tcPr>
          <w:p>
            <w:pPr>
              <w:pStyle w:val="TableParagraph"/>
              <w:spacing w:line="202" w:lineRule="exact"/>
              <w:ind w:left="88" w:right="82"/>
              <w:jc w:val="center"/>
              <w:rPr>
                <w:sz w:val="18"/>
              </w:rPr>
            </w:pPr>
            <w:r>
              <w:rPr>
                <w:sz w:val="18"/>
              </w:rPr>
              <w:t>1998 -</w:t>
            </w:r>
            <w:r>
              <w:rPr>
                <w:spacing w:val="-2"/>
                <w:sz w:val="18"/>
              </w:rPr>
              <w:t> </w:t>
            </w:r>
            <w:r>
              <w:rPr>
                <w:spacing w:val="-4"/>
                <w:sz w:val="18"/>
              </w:rPr>
              <w:t>1999</w:t>
            </w:r>
          </w:p>
        </w:tc>
        <w:tc>
          <w:tcPr>
            <w:tcW w:w="1809" w:type="dxa"/>
            <w:shd w:val="clear" w:color="auto" w:fill="D2DFED"/>
          </w:tcPr>
          <w:p>
            <w:pPr>
              <w:pStyle w:val="TableParagraph"/>
              <w:spacing w:line="202" w:lineRule="exact"/>
              <w:ind w:right="91"/>
              <w:jc w:val="center"/>
              <w:rPr>
                <w:sz w:val="18"/>
              </w:rPr>
            </w:pPr>
            <w:r>
              <w:rPr>
                <w:spacing w:val="-5"/>
                <w:sz w:val="18"/>
              </w:rPr>
              <w:t>283</w:t>
            </w:r>
          </w:p>
        </w:tc>
        <w:tc>
          <w:tcPr>
            <w:tcW w:w="1350" w:type="dxa"/>
            <w:shd w:val="clear" w:color="auto" w:fill="D2DFED"/>
          </w:tcPr>
          <w:p>
            <w:pPr>
              <w:pStyle w:val="TableParagraph"/>
              <w:spacing w:line="202" w:lineRule="exact"/>
              <w:ind w:right="653"/>
              <w:jc w:val="right"/>
              <w:rPr>
                <w:sz w:val="18"/>
              </w:rPr>
            </w:pPr>
            <w:r>
              <w:rPr>
                <w:spacing w:val="-5"/>
                <w:sz w:val="18"/>
              </w:rPr>
              <w:t>142</w:t>
            </w:r>
          </w:p>
        </w:tc>
        <w:tc>
          <w:tcPr>
            <w:tcW w:w="1332" w:type="dxa"/>
            <w:shd w:val="clear" w:color="auto" w:fill="D2DFED"/>
          </w:tcPr>
          <w:p>
            <w:pPr>
              <w:pStyle w:val="TableParagraph"/>
              <w:spacing w:line="202" w:lineRule="exact"/>
              <w:ind w:right="80"/>
              <w:jc w:val="center"/>
              <w:rPr>
                <w:sz w:val="18"/>
              </w:rPr>
            </w:pPr>
            <w:r>
              <w:rPr>
                <w:spacing w:val="-5"/>
                <w:sz w:val="18"/>
              </w:rPr>
              <w:t>50</w:t>
            </w:r>
          </w:p>
        </w:tc>
        <w:tc>
          <w:tcPr>
            <w:tcW w:w="2825" w:type="dxa"/>
            <w:shd w:val="clear" w:color="auto" w:fill="D2DFED"/>
          </w:tcPr>
          <w:p>
            <w:pPr>
              <w:pStyle w:val="TableParagraph"/>
              <w:ind w:left="142" w:right="128"/>
              <w:rPr>
                <w:sz w:val="18"/>
              </w:rPr>
            </w:pPr>
            <w:r>
              <w:rPr>
                <w:sz w:val="18"/>
              </w:rPr>
              <w:t>Originally</w:t>
            </w:r>
            <w:r>
              <w:rPr>
                <w:spacing w:val="-11"/>
                <w:sz w:val="18"/>
              </w:rPr>
              <w:t> </w:t>
            </w:r>
            <w:r>
              <w:rPr>
                <w:sz w:val="18"/>
              </w:rPr>
              <w:t>built</w:t>
            </w:r>
            <w:r>
              <w:rPr>
                <w:spacing w:val="-6"/>
                <w:sz w:val="18"/>
              </w:rPr>
              <w:t> </w:t>
            </w:r>
            <w:r>
              <w:rPr>
                <w:sz w:val="18"/>
              </w:rPr>
              <w:t>for</w:t>
            </w:r>
            <w:r>
              <w:rPr>
                <w:spacing w:val="-8"/>
                <w:sz w:val="18"/>
              </w:rPr>
              <w:t> </w:t>
            </w:r>
            <w:r>
              <w:rPr>
                <w:sz w:val="18"/>
              </w:rPr>
              <w:t>the</w:t>
            </w:r>
            <w:r>
              <w:rPr>
                <w:spacing w:val="-8"/>
                <w:sz w:val="18"/>
              </w:rPr>
              <w:t> </w:t>
            </w:r>
            <w:r>
              <w:rPr>
                <w:sz w:val="18"/>
              </w:rPr>
              <w:t>members</w:t>
            </w:r>
            <w:r>
              <w:rPr>
                <w:spacing w:val="-6"/>
                <w:sz w:val="18"/>
              </w:rPr>
              <w:t> </w:t>
            </w:r>
            <w:r>
              <w:rPr>
                <w:sz w:val="18"/>
              </w:rPr>
              <w:t>of the House of Assembly. It marked the first time that the contract sum was fully released for projects in the State. Works were however halted due to the corrupt</w:t>
            </w:r>
          </w:p>
          <w:p>
            <w:pPr>
              <w:pStyle w:val="TableParagraph"/>
              <w:spacing w:line="191" w:lineRule="exact"/>
              <w:ind w:left="142"/>
              <w:rPr>
                <w:sz w:val="18"/>
              </w:rPr>
            </w:pPr>
            <w:r>
              <w:rPr>
                <w:sz w:val="18"/>
              </w:rPr>
              <w:t>democratic</w:t>
            </w:r>
            <w:r>
              <w:rPr>
                <w:spacing w:val="-6"/>
                <w:sz w:val="18"/>
              </w:rPr>
              <w:t> </w:t>
            </w:r>
            <w:r>
              <w:rPr>
                <w:spacing w:val="-2"/>
                <w:sz w:val="18"/>
              </w:rPr>
              <w:t>government</w:t>
            </w:r>
          </w:p>
        </w:tc>
      </w:tr>
      <w:tr>
        <w:trPr>
          <w:trHeight w:val="1655" w:hRule="atLeast"/>
        </w:trPr>
        <w:tc>
          <w:tcPr>
            <w:tcW w:w="1638" w:type="dxa"/>
            <w:tcBorders>
              <w:bottom w:val="single" w:sz="4" w:space="0" w:color="000000"/>
            </w:tcBorders>
          </w:tcPr>
          <w:p>
            <w:pPr>
              <w:pStyle w:val="TableParagraph"/>
              <w:ind w:left="122" w:right="443"/>
              <w:rPr>
                <w:sz w:val="18"/>
              </w:rPr>
            </w:pPr>
            <w:r>
              <w:rPr>
                <w:sz w:val="18"/>
              </w:rPr>
              <w:t>Ngozika</w:t>
            </w:r>
            <w:r>
              <w:rPr>
                <w:spacing w:val="-12"/>
                <w:sz w:val="18"/>
              </w:rPr>
              <w:t> </w:t>
            </w:r>
            <w:r>
              <w:rPr>
                <w:sz w:val="18"/>
              </w:rPr>
              <w:t>estate (phases 1</w:t>
            </w:r>
            <w:r>
              <w:rPr>
                <w:spacing w:val="1"/>
                <w:sz w:val="18"/>
              </w:rPr>
              <w:t> </w:t>
            </w:r>
            <w:r>
              <w:rPr>
                <w:sz w:val="18"/>
              </w:rPr>
              <w:t>&amp;</w:t>
            </w:r>
            <w:r>
              <w:rPr>
                <w:spacing w:val="-1"/>
                <w:sz w:val="18"/>
              </w:rPr>
              <w:t> </w:t>
            </w:r>
            <w:r>
              <w:rPr>
                <w:spacing w:val="-5"/>
                <w:sz w:val="18"/>
              </w:rPr>
              <w:t>2)</w:t>
            </w:r>
          </w:p>
        </w:tc>
        <w:tc>
          <w:tcPr>
            <w:tcW w:w="1141" w:type="dxa"/>
            <w:tcBorders>
              <w:bottom w:val="single" w:sz="4" w:space="0" w:color="000000"/>
            </w:tcBorders>
          </w:tcPr>
          <w:p>
            <w:pPr>
              <w:pStyle w:val="TableParagraph"/>
              <w:spacing w:line="202" w:lineRule="exact"/>
              <w:ind w:left="88" w:right="82"/>
              <w:jc w:val="center"/>
              <w:rPr>
                <w:sz w:val="18"/>
              </w:rPr>
            </w:pPr>
            <w:r>
              <w:rPr>
                <w:sz w:val="18"/>
              </w:rPr>
              <w:t>2004 -</w:t>
            </w:r>
            <w:r>
              <w:rPr>
                <w:spacing w:val="-2"/>
                <w:sz w:val="18"/>
              </w:rPr>
              <w:t> </w:t>
            </w:r>
            <w:r>
              <w:rPr>
                <w:spacing w:val="-4"/>
                <w:sz w:val="18"/>
              </w:rPr>
              <w:t>2006</w:t>
            </w:r>
          </w:p>
        </w:tc>
        <w:tc>
          <w:tcPr>
            <w:tcW w:w="1809" w:type="dxa"/>
            <w:tcBorders>
              <w:bottom w:val="single" w:sz="4" w:space="0" w:color="000000"/>
            </w:tcBorders>
          </w:tcPr>
          <w:p>
            <w:pPr>
              <w:pStyle w:val="TableParagraph"/>
              <w:spacing w:line="202" w:lineRule="exact"/>
              <w:ind w:right="91"/>
              <w:jc w:val="center"/>
              <w:rPr>
                <w:sz w:val="18"/>
              </w:rPr>
            </w:pPr>
            <w:r>
              <w:rPr>
                <w:spacing w:val="-5"/>
                <w:sz w:val="18"/>
              </w:rPr>
              <w:t>891</w:t>
            </w:r>
          </w:p>
        </w:tc>
        <w:tc>
          <w:tcPr>
            <w:tcW w:w="1350" w:type="dxa"/>
            <w:tcBorders>
              <w:bottom w:val="single" w:sz="4" w:space="0" w:color="000000"/>
            </w:tcBorders>
          </w:tcPr>
          <w:p>
            <w:pPr>
              <w:pStyle w:val="TableParagraph"/>
              <w:spacing w:line="202" w:lineRule="exact"/>
              <w:ind w:right="653"/>
              <w:jc w:val="right"/>
              <w:rPr>
                <w:sz w:val="18"/>
              </w:rPr>
            </w:pPr>
            <w:r>
              <w:rPr>
                <w:spacing w:val="-5"/>
                <w:sz w:val="18"/>
              </w:rPr>
              <w:t>124</w:t>
            </w:r>
          </w:p>
        </w:tc>
        <w:tc>
          <w:tcPr>
            <w:tcW w:w="1332" w:type="dxa"/>
            <w:tcBorders>
              <w:bottom w:val="single" w:sz="4" w:space="0" w:color="000000"/>
            </w:tcBorders>
          </w:tcPr>
          <w:p>
            <w:pPr>
              <w:pStyle w:val="TableParagraph"/>
              <w:spacing w:line="202" w:lineRule="exact"/>
              <w:ind w:right="80"/>
              <w:jc w:val="center"/>
              <w:rPr>
                <w:sz w:val="18"/>
              </w:rPr>
            </w:pPr>
            <w:r>
              <w:rPr>
                <w:spacing w:val="-5"/>
                <w:sz w:val="18"/>
              </w:rPr>
              <w:t>14</w:t>
            </w:r>
          </w:p>
        </w:tc>
        <w:tc>
          <w:tcPr>
            <w:tcW w:w="2825" w:type="dxa"/>
            <w:tcBorders>
              <w:bottom w:val="single" w:sz="4" w:space="0" w:color="000000"/>
            </w:tcBorders>
          </w:tcPr>
          <w:p>
            <w:pPr>
              <w:pStyle w:val="TableParagraph"/>
              <w:ind w:left="142" w:right="110"/>
              <w:rPr>
                <w:sz w:val="18"/>
              </w:rPr>
            </w:pPr>
            <w:r>
              <w:rPr>
                <w:sz w:val="18"/>
              </w:rPr>
              <w:t>Formerly called ‗1000 housing units‘ and was a partnership with a private developer. Works never reached full completion due to misuse</w:t>
            </w:r>
            <w:r>
              <w:rPr>
                <w:spacing w:val="-7"/>
                <w:sz w:val="18"/>
              </w:rPr>
              <w:t> </w:t>
            </w:r>
            <w:r>
              <w:rPr>
                <w:sz w:val="18"/>
              </w:rPr>
              <w:t>of</w:t>
            </w:r>
            <w:r>
              <w:rPr>
                <w:spacing w:val="-8"/>
                <w:sz w:val="18"/>
              </w:rPr>
              <w:t> </w:t>
            </w:r>
            <w:r>
              <w:rPr>
                <w:sz w:val="18"/>
              </w:rPr>
              <w:t>funds.</w:t>
            </w:r>
            <w:r>
              <w:rPr>
                <w:spacing w:val="-6"/>
                <w:sz w:val="18"/>
              </w:rPr>
              <w:t> </w:t>
            </w:r>
            <w:r>
              <w:rPr>
                <w:sz w:val="18"/>
              </w:rPr>
              <w:t>Works</w:t>
            </w:r>
            <w:r>
              <w:rPr>
                <w:spacing w:val="-4"/>
                <w:sz w:val="18"/>
              </w:rPr>
              <w:t> </w:t>
            </w:r>
            <w:r>
              <w:rPr>
                <w:sz w:val="18"/>
              </w:rPr>
              <w:t>were</w:t>
            </w:r>
            <w:r>
              <w:rPr>
                <w:spacing w:val="-7"/>
                <w:sz w:val="18"/>
              </w:rPr>
              <w:t> </w:t>
            </w:r>
            <w:r>
              <w:rPr>
                <w:sz w:val="18"/>
              </w:rPr>
              <w:t>left</w:t>
            </w:r>
            <w:r>
              <w:rPr>
                <w:spacing w:val="-6"/>
                <w:sz w:val="18"/>
              </w:rPr>
              <w:t> </w:t>
            </w:r>
            <w:r>
              <w:rPr>
                <w:sz w:val="18"/>
              </w:rPr>
              <w:t>at various</w:t>
            </w:r>
            <w:r>
              <w:rPr>
                <w:spacing w:val="-1"/>
                <w:sz w:val="18"/>
              </w:rPr>
              <w:t> </w:t>
            </w:r>
            <w:r>
              <w:rPr>
                <w:sz w:val="18"/>
              </w:rPr>
              <w:t>stages</w:t>
            </w:r>
            <w:r>
              <w:rPr>
                <w:spacing w:val="-2"/>
                <w:sz w:val="18"/>
              </w:rPr>
              <w:t> </w:t>
            </w:r>
            <w:r>
              <w:rPr>
                <w:sz w:val="18"/>
              </w:rPr>
              <w:t>of</w:t>
            </w:r>
            <w:r>
              <w:rPr>
                <w:spacing w:val="-2"/>
                <w:sz w:val="18"/>
              </w:rPr>
              <w:t> </w:t>
            </w:r>
            <w:r>
              <w:rPr>
                <w:sz w:val="18"/>
              </w:rPr>
              <w:t>completion </w:t>
            </w:r>
            <w:r>
              <w:rPr>
                <w:spacing w:val="-2"/>
                <w:sz w:val="18"/>
              </w:rPr>
              <w:t>before</w:t>
            </w:r>
          </w:p>
          <w:p>
            <w:pPr>
              <w:pStyle w:val="TableParagraph"/>
              <w:spacing w:line="206" w:lineRule="exact"/>
              <w:ind w:left="142" w:right="206"/>
              <w:rPr>
                <w:sz w:val="18"/>
              </w:rPr>
            </w:pPr>
            <w:r>
              <w:rPr>
                <w:sz w:val="18"/>
              </w:rPr>
              <w:t>being</w:t>
            </w:r>
            <w:r>
              <w:rPr>
                <w:spacing w:val="-10"/>
                <w:sz w:val="18"/>
              </w:rPr>
              <w:t> </w:t>
            </w:r>
            <w:r>
              <w:rPr>
                <w:sz w:val="18"/>
              </w:rPr>
              <w:t>bought</w:t>
            </w:r>
            <w:r>
              <w:rPr>
                <w:spacing w:val="-11"/>
                <w:sz w:val="18"/>
              </w:rPr>
              <w:t> </w:t>
            </w:r>
            <w:r>
              <w:rPr>
                <w:sz w:val="18"/>
              </w:rPr>
              <w:t>by</w:t>
            </w:r>
            <w:r>
              <w:rPr>
                <w:spacing w:val="25"/>
                <w:sz w:val="18"/>
              </w:rPr>
              <w:t> </w:t>
            </w:r>
            <w:r>
              <w:rPr>
                <w:sz w:val="18"/>
              </w:rPr>
              <w:t>private </w:t>
            </w:r>
            <w:r>
              <w:rPr>
                <w:spacing w:val="-2"/>
                <w:sz w:val="18"/>
              </w:rPr>
              <w:t>individuals</w:t>
            </w:r>
          </w:p>
        </w:tc>
      </w:tr>
    </w:tbl>
    <w:p>
      <w:pPr>
        <w:pStyle w:val="BodyText"/>
        <w:spacing w:before="20"/>
        <w:ind w:left="240"/>
      </w:pPr>
      <w:r>
        <w:rPr>
          <w:b/>
          <w:sz w:val="22"/>
        </w:rPr>
        <w:t>Source: </w:t>
      </w:r>
      <w:r>
        <w:rPr/>
        <w:t>Researcher‘s</w:t>
      </w:r>
      <w:r>
        <w:rPr>
          <w:spacing w:val="-1"/>
        </w:rPr>
        <w:t> </w:t>
      </w:r>
      <w:r>
        <w:rPr/>
        <w:t>field</w:t>
      </w:r>
      <w:r>
        <w:rPr>
          <w:spacing w:val="-2"/>
        </w:rPr>
        <w:t> </w:t>
      </w:r>
      <w:r>
        <w:rPr/>
        <w:t>survey</w:t>
      </w:r>
      <w:r>
        <w:rPr>
          <w:spacing w:val="-4"/>
        </w:rPr>
        <w:t> </w:t>
      </w:r>
      <w:r>
        <w:rPr>
          <w:spacing w:val="-2"/>
        </w:rPr>
        <w:t>(2017)</w:t>
      </w:r>
    </w:p>
    <w:p>
      <w:pPr>
        <w:spacing w:after="0"/>
        <w:sectPr>
          <w:pgSz w:w="12240" w:h="15840"/>
          <w:pgMar w:header="0" w:footer="1036" w:top="1360" w:bottom="1220" w:left="1200" w:right="600"/>
        </w:sectPr>
      </w:pPr>
    </w:p>
    <w:p>
      <w:pPr>
        <w:pStyle w:val="BodyText"/>
        <w:spacing w:line="360" w:lineRule="auto" w:before="74"/>
        <w:ind w:left="240" w:right="837"/>
        <w:jc w:val="both"/>
      </w:pPr>
      <w:r>
        <w:rPr/>
        <w:t>A study of the progress of residential housing estates in Anambra State (Table 5.25) carried out by the researcher indicates that all residential housing estates were initiated by the military regime and not during the democratic era which was from 1999 (The years before 1999, fall outside the period of this study, but they were purposefully indicated for emphasis). These projects where those that kicked-off during the existence of the old Anambra State (comprising Anambra and Enugu States), before the creation of Anambra State.</w:t>
      </w:r>
      <w:r>
        <w:rPr>
          <w:spacing w:val="40"/>
        </w:rPr>
        <w:t> </w:t>
      </w:r>
      <w:r>
        <w:rPr/>
        <w:t>This shows that since the inception of democracy in Nigeria, residential housing schemes has not being a priority of the Anambra State government. The only exception is Ngozika housing estate, which fell into 2006. However, during this period, no new houses were being constructed by the government because the vacant plots and the partially completed houses have already being bought by individuals. Ongoing works were mainly infrastructure (drainages and roads).</w:t>
      </w:r>
    </w:p>
    <w:p>
      <w:pPr>
        <w:pStyle w:val="BodyText"/>
        <w:spacing w:before="139"/>
      </w:pPr>
    </w:p>
    <w:p>
      <w:pPr>
        <w:pStyle w:val="BodyText"/>
        <w:spacing w:line="360" w:lineRule="auto"/>
        <w:ind w:left="240" w:right="842"/>
        <w:jc w:val="both"/>
      </w:pPr>
      <w:r>
        <w:rPr/>
        <w:t>It is also pertinent to note that the initial intent of housing schemes was to accommodate the</w:t>
      </w:r>
      <w:r>
        <w:rPr>
          <w:spacing w:val="40"/>
        </w:rPr>
        <w:t> </w:t>
      </w:r>
      <w:r>
        <w:rPr/>
        <w:t>State civil servants who left Enugu State, after the creation of Anambra State and not the masses or low income earners in the State. This corroborates the findings from the questionnaire survey, which revealed that mass housing schemes for the citizenry has not been taken seriously by the Anambra State government.</w:t>
      </w:r>
    </w:p>
    <w:p>
      <w:pPr>
        <w:pStyle w:val="BodyText"/>
        <w:spacing w:before="139"/>
      </w:pPr>
    </w:p>
    <w:p>
      <w:pPr>
        <w:pStyle w:val="BodyText"/>
        <w:spacing w:line="360" w:lineRule="auto"/>
        <w:ind w:left="240" w:right="838"/>
        <w:jc w:val="both"/>
      </w:pPr>
      <w:r>
        <w:rPr/>
        <w:t>It will also be observed from the remarks that the progress of these housing schemes was marred mainly by non-release of funds and corruption issues. A typical case is the Iyiagu housing estate scheme, where the then military regime released the full contract sum for the projects, but when the democratic government took office, financial demands or kickbacks were made on the contractors, which greatly hampered the completion of the houses.</w:t>
      </w:r>
      <w:r>
        <w:rPr>
          <w:spacing w:val="33"/>
        </w:rPr>
        <w:t> </w:t>
      </w:r>
      <w:r>
        <w:rPr/>
        <w:t>It was for this very reason</w:t>
      </w:r>
      <w:r>
        <w:rPr>
          <w:spacing w:val="40"/>
        </w:rPr>
        <w:t> </w:t>
      </w:r>
      <w:r>
        <w:rPr/>
        <w:t>that only two housing estate schemes, namely: Iyiagu estate (Phase 1) and Niger Bridge Head estate,</w:t>
      </w:r>
      <w:r>
        <w:rPr>
          <w:spacing w:val="-1"/>
        </w:rPr>
        <w:t> </w:t>
      </w:r>
      <w:r>
        <w:rPr/>
        <w:t>Onitsha</w:t>
      </w:r>
      <w:r>
        <w:rPr>
          <w:spacing w:val="-1"/>
        </w:rPr>
        <w:t> </w:t>
      </w:r>
      <w:r>
        <w:rPr/>
        <w:t>were</w:t>
      </w:r>
      <w:r>
        <w:rPr>
          <w:spacing w:val="-2"/>
        </w:rPr>
        <w:t> </w:t>
      </w:r>
      <w:r>
        <w:rPr/>
        <w:t>able to</w:t>
      </w:r>
      <w:r>
        <w:rPr>
          <w:spacing w:val="-1"/>
        </w:rPr>
        <w:t> </w:t>
      </w:r>
      <w:r>
        <w:rPr/>
        <w:t>attain</w:t>
      </w:r>
      <w:r>
        <w:rPr>
          <w:spacing w:val="-1"/>
        </w:rPr>
        <w:t> </w:t>
      </w:r>
      <w:r>
        <w:rPr/>
        <w:t>up</w:t>
      </w:r>
      <w:r>
        <w:rPr>
          <w:spacing w:val="-1"/>
        </w:rPr>
        <w:t> </w:t>
      </w:r>
      <w:r>
        <w:rPr/>
        <w:t>to 50%</w:t>
      </w:r>
      <w:r>
        <w:rPr>
          <w:spacing w:val="-2"/>
        </w:rPr>
        <w:t> </w:t>
      </w:r>
      <w:r>
        <w:rPr/>
        <w:t>success</w:t>
      </w:r>
      <w:r>
        <w:rPr>
          <w:spacing w:val="-1"/>
        </w:rPr>
        <w:t> </w:t>
      </w:r>
      <w:r>
        <w:rPr/>
        <w:t>rate,</w:t>
      </w:r>
      <w:r>
        <w:rPr>
          <w:spacing w:val="-1"/>
        </w:rPr>
        <w:t> </w:t>
      </w:r>
      <w:r>
        <w:rPr/>
        <w:t>probably</w:t>
      </w:r>
      <w:r>
        <w:rPr>
          <w:spacing w:val="-6"/>
        </w:rPr>
        <w:t> </w:t>
      </w:r>
      <w:r>
        <w:rPr/>
        <w:t>because</w:t>
      </w:r>
      <w:r>
        <w:rPr>
          <w:spacing w:val="-2"/>
        </w:rPr>
        <w:t> </w:t>
      </w:r>
      <w:r>
        <w:rPr/>
        <w:t>the</w:t>
      </w:r>
      <w:r>
        <w:rPr>
          <w:spacing w:val="-2"/>
        </w:rPr>
        <w:t> </w:t>
      </w:r>
      <w:r>
        <w:rPr/>
        <w:t>government</w:t>
      </w:r>
      <w:r>
        <w:rPr>
          <w:spacing w:val="-1"/>
        </w:rPr>
        <w:t> </w:t>
      </w:r>
      <w:r>
        <w:rPr/>
        <w:t>as</w:t>
      </w:r>
      <w:r>
        <w:rPr>
          <w:spacing w:val="-1"/>
        </w:rPr>
        <w:t> </w:t>
      </w:r>
      <w:r>
        <w:rPr/>
        <w:t>at that time had the interest of expatriates and legislators in mind and hence the projects were taken seriously. However, on a general note, the housing estate schemes were poorly</w:t>
      </w:r>
      <w:r>
        <w:rPr>
          <w:spacing w:val="-3"/>
        </w:rPr>
        <w:t> </w:t>
      </w:r>
      <w:r>
        <w:rPr/>
        <w:t>implemented, but fared better when compared to the democratic regime as revealed by Tables 5.20 and 5.26.</w:t>
      </w:r>
    </w:p>
    <w:p>
      <w:pPr>
        <w:spacing w:after="0" w:line="360" w:lineRule="auto"/>
        <w:jc w:val="both"/>
        <w:sectPr>
          <w:pgSz w:w="12240" w:h="15840"/>
          <w:pgMar w:header="0" w:footer="1036" w:top="1360" w:bottom="1220" w:left="1200" w:right="600"/>
        </w:sectPr>
      </w:pPr>
    </w:p>
    <w:p>
      <w:pPr>
        <w:pStyle w:val="Heading4"/>
        <w:spacing w:before="77"/>
        <w:ind w:left="120"/>
        <w:jc w:val="left"/>
      </w:pPr>
      <w:r>
        <w:rPr/>
        <w:t>Table</w:t>
      </w:r>
      <w:r>
        <w:rPr>
          <w:spacing w:val="-2"/>
        </w:rPr>
        <w:t> </w:t>
      </w:r>
      <w:r>
        <w:rPr/>
        <w:t>5.26.</w:t>
      </w:r>
      <w:r>
        <w:rPr>
          <w:spacing w:val="-1"/>
        </w:rPr>
        <w:t> </w:t>
      </w:r>
      <w:r>
        <w:rPr/>
        <w:t>Budget</w:t>
      </w:r>
      <w:r>
        <w:rPr>
          <w:spacing w:val="-1"/>
        </w:rPr>
        <w:t> </w:t>
      </w:r>
      <w:r>
        <w:rPr/>
        <w:t>Allocation for</w:t>
      </w:r>
      <w:r>
        <w:rPr>
          <w:spacing w:val="-3"/>
        </w:rPr>
        <w:t> </w:t>
      </w:r>
      <w:r>
        <w:rPr/>
        <w:t>Residential</w:t>
      </w:r>
      <w:r>
        <w:rPr>
          <w:spacing w:val="-1"/>
        </w:rPr>
        <w:t> </w:t>
      </w:r>
      <w:r>
        <w:rPr/>
        <w:t>Housing</w:t>
      </w:r>
      <w:r>
        <w:rPr>
          <w:spacing w:val="-1"/>
        </w:rPr>
        <w:t> </w:t>
      </w:r>
      <w:r>
        <w:rPr/>
        <w:t>Projects</w:t>
      </w:r>
      <w:r>
        <w:rPr>
          <w:spacing w:val="-1"/>
        </w:rPr>
        <w:t> </w:t>
      </w:r>
      <w:r>
        <w:rPr/>
        <w:t>in</w:t>
      </w:r>
      <w:r>
        <w:rPr>
          <w:spacing w:val="-2"/>
        </w:rPr>
        <w:t> </w:t>
      </w:r>
      <w:r>
        <w:rPr/>
        <w:t>Anambra</w:t>
      </w:r>
      <w:r>
        <w:rPr>
          <w:spacing w:val="-1"/>
        </w:rPr>
        <w:t> </w:t>
      </w:r>
      <w:r>
        <w:rPr/>
        <w:t>State</w:t>
      </w:r>
      <w:r>
        <w:rPr>
          <w:spacing w:val="-3"/>
        </w:rPr>
        <w:t> </w:t>
      </w:r>
      <w:r>
        <w:rPr/>
        <w:t>(1999 –</w:t>
      </w:r>
      <w:r>
        <w:rPr>
          <w:spacing w:val="-1"/>
        </w:rPr>
        <w:t> </w:t>
      </w:r>
      <w:r>
        <w:rPr>
          <w:spacing w:val="-2"/>
        </w:rPr>
        <w:t>2016)</w:t>
      </w:r>
    </w:p>
    <w:p>
      <w:pPr>
        <w:pStyle w:val="BodyText"/>
        <w:spacing w:before="2"/>
        <w:rPr>
          <w:b/>
          <w:sz w:val="8"/>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5"/>
        <w:gridCol w:w="1009"/>
        <w:gridCol w:w="1072"/>
        <w:gridCol w:w="1103"/>
        <w:gridCol w:w="1351"/>
        <w:gridCol w:w="1087"/>
        <w:gridCol w:w="885"/>
        <w:gridCol w:w="897"/>
        <w:gridCol w:w="1159"/>
        <w:gridCol w:w="1066"/>
        <w:gridCol w:w="1127"/>
        <w:gridCol w:w="1418"/>
        <w:gridCol w:w="1294"/>
      </w:tblGrid>
      <w:tr>
        <w:trPr>
          <w:trHeight w:val="1242" w:hRule="atLeast"/>
        </w:trPr>
        <w:tc>
          <w:tcPr>
            <w:tcW w:w="695" w:type="dxa"/>
            <w:tcBorders>
              <w:top w:val="single" w:sz="4" w:space="0" w:color="000000"/>
              <w:bottom w:val="single" w:sz="4" w:space="0" w:color="000000"/>
            </w:tcBorders>
            <w:shd w:val="clear" w:color="auto" w:fill="DBE4F0"/>
          </w:tcPr>
          <w:p>
            <w:pPr>
              <w:pStyle w:val="TableParagraph"/>
              <w:spacing w:line="202" w:lineRule="exact"/>
              <w:ind w:left="122"/>
              <w:rPr>
                <w:sz w:val="18"/>
              </w:rPr>
            </w:pPr>
            <w:r>
              <w:rPr>
                <w:spacing w:val="-4"/>
                <w:sz w:val="18"/>
              </w:rPr>
              <w:t>Year</w:t>
            </w:r>
          </w:p>
        </w:tc>
        <w:tc>
          <w:tcPr>
            <w:tcW w:w="1009" w:type="dxa"/>
            <w:tcBorders>
              <w:top w:val="single" w:sz="4" w:space="0" w:color="000000"/>
              <w:bottom w:val="single" w:sz="4" w:space="0" w:color="000000"/>
            </w:tcBorders>
            <w:shd w:val="clear" w:color="auto" w:fill="DBE4F0"/>
          </w:tcPr>
          <w:p>
            <w:pPr>
              <w:pStyle w:val="TableParagraph"/>
              <w:ind w:left="147" w:right="268"/>
              <w:rPr>
                <w:sz w:val="18"/>
              </w:rPr>
            </w:pPr>
            <w:r>
              <w:rPr>
                <w:spacing w:val="-2"/>
                <w:sz w:val="18"/>
              </w:rPr>
              <w:t>Civil servants quarters </w:t>
            </w:r>
            <w:r>
              <w:rPr>
                <w:spacing w:val="-4"/>
                <w:sz w:val="18"/>
              </w:rPr>
              <w:t>(500</w:t>
            </w:r>
          </w:p>
          <w:p>
            <w:pPr>
              <w:pStyle w:val="TableParagraph"/>
              <w:ind w:left="147"/>
              <w:rPr>
                <w:sz w:val="18"/>
              </w:rPr>
            </w:pPr>
            <w:r>
              <w:rPr>
                <w:spacing w:val="-2"/>
                <w:sz w:val="18"/>
              </w:rPr>
              <w:t>buildings)</w:t>
            </w:r>
          </w:p>
        </w:tc>
        <w:tc>
          <w:tcPr>
            <w:tcW w:w="1072" w:type="dxa"/>
            <w:tcBorders>
              <w:top w:val="single" w:sz="4" w:space="0" w:color="000000"/>
              <w:bottom w:val="single" w:sz="4" w:space="0" w:color="000000"/>
            </w:tcBorders>
            <w:shd w:val="clear" w:color="auto" w:fill="DBE4F0"/>
          </w:tcPr>
          <w:p>
            <w:pPr>
              <w:pStyle w:val="TableParagraph"/>
              <w:ind w:left="127" w:right="136"/>
              <w:jc w:val="both"/>
              <w:rPr>
                <w:sz w:val="18"/>
              </w:rPr>
            </w:pPr>
            <w:r>
              <w:rPr>
                <w:spacing w:val="-2"/>
                <w:sz w:val="18"/>
              </w:rPr>
              <w:t>Permanent Secretary‘s Quarters</w:t>
            </w:r>
          </w:p>
        </w:tc>
        <w:tc>
          <w:tcPr>
            <w:tcW w:w="1103" w:type="dxa"/>
            <w:tcBorders>
              <w:top w:val="single" w:sz="4" w:space="0" w:color="000000"/>
              <w:bottom w:val="single" w:sz="4" w:space="0" w:color="000000"/>
            </w:tcBorders>
            <w:shd w:val="clear" w:color="auto" w:fill="DBE4F0"/>
          </w:tcPr>
          <w:p>
            <w:pPr>
              <w:pStyle w:val="TableParagraph"/>
              <w:ind w:left="135" w:right="35"/>
              <w:rPr>
                <w:sz w:val="18"/>
              </w:rPr>
            </w:pPr>
            <w:r>
              <w:rPr>
                <w:spacing w:val="-2"/>
                <w:sz w:val="18"/>
              </w:rPr>
              <w:t>Completion </w:t>
            </w:r>
            <w:r>
              <w:rPr>
                <w:sz w:val="18"/>
              </w:rPr>
              <w:t>of Real </w:t>
            </w:r>
            <w:r>
              <w:rPr>
                <w:spacing w:val="-2"/>
                <w:sz w:val="18"/>
              </w:rPr>
              <w:t>Estate Buildings</w:t>
            </w:r>
          </w:p>
        </w:tc>
        <w:tc>
          <w:tcPr>
            <w:tcW w:w="1351" w:type="dxa"/>
            <w:tcBorders>
              <w:top w:val="single" w:sz="4" w:space="0" w:color="000000"/>
              <w:bottom w:val="single" w:sz="4" w:space="0" w:color="000000"/>
            </w:tcBorders>
            <w:shd w:val="clear" w:color="auto" w:fill="DBE4F0"/>
          </w:tcPr>
          <w:p>
            <w:pPr>
              <w:pStyle w:val="TableParagraph"/>
              <w:ind w:left="113"/>
              <w:rPr>
                <w:sz w:val="18"/>
              </w:rPr>
            </w:pPr>
            <w:r>
              <w:rPr>
                <w:sz w:val="18"/>
              </w:rPr>
              <w:t>Quarters for </w:t>
            </w:r>
            <w:r>
              <w:rPr>
                <w:spacing w:val="-2"/>
                <w:sz w:val="18"/>
              </w:rPr>
              <w:t>Honourable Commissioners</w:t>
            </w:r>
          </w:p>
        </w:tc>
        <w:tc>
          <w:tcPr>
            <w:tcW w:w="1087" w:type="dxa"/>
            <w:tcBorders>
              <w:top w:val="single" w:sz="4" w:space="0" w:color="000000"/>
              <w:bottom w:val="single" w:sz="4" w:space="0" w:color="000000"/>
            </w:tcBorders>
            <w:shd w:val="clear" w:color="auto" w:fill="DBE4F0"/>
          </w:tcPr>
          <w:p>
            <w:pPr>
              <w:pStyle w:val="TableParagraph"/>
              <w:spacing w:line="242" w:lineRule="auto"/>
              <w:ind w:left="113"/>
              <w:rPr>
                <w:sz w:val="18"/>
              </w:rPr>
            </w:pPr>
            <w:r>
              <w:rPr>
                <w:spacing w:val="-2"/>
                <w:sz w:val="18"/>
              </w:rPr>
              <w:t>Legislators‘ quarters</w:t>
            </w:r>
          </w:p>
        </w:tc>
        <w:tc>
          <w:tcPr>
            <w:tcW w:w="885" w:type="dxa"/>
            <w:tcBorders>
              <w:top w:val="single" w:sz="4" w:space="0" w:color="000000"/>
              <w:bottom w:val="single" w:sz="4" w:space="0" w:color="000000"/>
            </w:tcBorders>
            <w:shd w:val="clear" w:color="auto" w:fill="DBE4F0"/>
          </w:tcPr>
          <w:p>
            <w:pPr>
              <w:pStyle w:val="TableParagraph"/>
              <w:ind w:left="106" w:right="204"/>
              <w:jc w:val="both"/>
              <w:rPr>
                <w:sz w:val="18"/>
              </w:rPr>
            </w:pPr>
            <w:r>
              <w:rPr>
                <w:spacing w:val="-2"/>
                <w:sz w:val="18"/>
              </w:rPr>
              <w:t>Constr. </w:t>
            </w:r>
            <w:r>
              <w:rPr>
                <w:sz w:val="18"/>
              </w:rPr>
              <w:t>of</w:t>
            </w:r>
            <w:r>
              <w:rPr>
                <w:spacing w:val="-12"/>
                <w:sz w:val="18"/>
              </w:rPr>
              <w:t> </w:t>
            </w:r>
            <w:r>
              <w:rPr>
                <w:sz w:val="18"/>
              </w:rPr>
              <w:t>1000 </w:t>
            </w:r>
            <w:r>
              <w:rPr>
                <w:spacing w:val="-2"/>
                <w:sz w:val="18"/>
              </w:rPr>
              <w:t>housing </w:t>
            </w:r>
            <w:r>
              <w:rPr>
                <w:sz w:val="18"/>
              </w:rPr>
              <w:t>units at </w:t>
            </w:r>
            <w:r>
              <w:rPr>
                <w:spacing w:val="-4"/>
                <w:sz w:val="18"/>
              </w:rPr>
              <w:t>Awka</w:t>
            </w:r>
          </w:p>
        </w:tc>
        <w:tc>
          <w:tcPr>
            <w:tcW w:w="897" w:type="dxa"/>
            <w:tcBorders>
              <w:top w:val="single" w:sz="4" w:space="0" w:color="000000"/>
              <w:bottom w:val="single" w:sz="4" w:space="0" w:color="000000"/>
            </w:tcBorders>
            <w:shd w:val="clear" w:color="auto" w:fill="DBE4F0"/>
          </w:tcPr>
          <w:p>
            <w:pPr>
              <w:pStyle w:val="TableParagraph"/>
              <w:ind w:left="121" w:right="134"/>
              <w:rPr>
                <w:sz w:val="18"/>
              </w:rPr>
            </w:pPr>
            <w:r>
              <w:rPr>
                <w:spacing w:val="-2"/>
                <w:sz w:val="18"/>
              </w:rPr>
              <w:t>Civil servants quarters </w:t>
            </w:r>
            <w:r>
              <w:rPr>
                <w:sz w:val="18"/>
              </w:rPr>
              <w:t>at</w:t>
            </w:r>
            <w:r>
              <w:rPr>
                <w:spacing w:val="-1"/>
                <w:sz w:val="18"/>
              </w:rPr>
              <w:t> </w:t>
            </w:r>
            <w:r>
              <w:rPr>
                <w:spacing w:val="-2"/>
                <w:sz w:val="18"/>
              </w:rPr>
              <w:t>Iyiagu</w:t>
            </w:r>
          </w:p>
        </w:tc>
        <w:tc>
          <w:tcPr>
            <w:tcW w:w="1159" w:type="dxa"/>
            <w:tcBorders>
              <w:top w:val="single" w:sz="4" w:space="0" w:color="000000"/>
              <w:bottom w:val="single" w:sz="4" w:space="0" w:color="000000"/>
            </w:tcBorders>
            <w:shd w:val="clear" w:color="auto" w:fill="DBE4F0"/>
          </w:tcPr>
          <w:p>
            <w:pPr>
              <w:pStyle w:val="TableParagraph"/>
              <w:ind w:left="129" w:right="60"/>
              <w:rPr>
                <w:sz w:val="18"/>
              </w:rPr>
            </w:pPr>
            <w:r>
              <w:rPr>
                <w:sz w:val="18"/>
              </w:rPr>
              <w:t>Constr. of 2no judges </w:t>
            </w:r>
            <w:r>
              <w:rPr>
                <w:spacing w:val="-4"/>
                <w:sz w:val="18"/>
              </w:rPr>
              <w:t>and </w:t>
            </w:r>
            <w:r>
              <w:rPr>
                <w:spacing w:val="-2"/>
                <w:sz w:val="18"/>
              </w:rPr>
              <w:t>magistrates‘ quarters</w:t>
            </w:r>
          </w:p>
        </w:tc>
        <w:tc>
          <w:tcPr>
            <w:tcW w:w="1066" w:type="dxa"/>
            <w:tcBorders>
              <w:top w:val="single" w:sz="4" w:space="0" w:color="000000"/>
              <w:bottom w:val="single" w:sz="4" w:space="0" w:color="000000"/>
            </w:tcBorders>
            <w:shd w:val="clear" w:color="auto" w:fill="DBE4F0"/>
          </w:tcPr>
          <w:p>
            <w:pPr>
              <w:pStyle w:val="TableParagraph"/>
              <w:ind w:left="134" w:right="164"/>
              <w:rPr>
                <w:sz w:val="18"/>
              </w:rPr>
            </w:pPr>
            <w:r>
              <w:rPr>
                <w:sz w:val="18"/>
              </w:rPr>
              <w:t>Constr.</w:t>
            </w:r>
            <w:r>
              <w:rPr>
                <w:spacing w:val="-12"/>
                <w:sz w:val="18"/>
              </w:rPr>
              <w:t> </w:t>
            </w:r>
            <w:r>
              <w:rPr>
                <w:sz w:val="18"/>
              </w:rPr>
              <w:t>Of </w:t>
            </w:r>
            <w:r>
              <w:rPr>
                <w:spacing w:val="-2"/>
                <w:sz w:val="18"/>
              </w:rPr>
              <w:t>Chief Judge‘s Quarters, </w:t>
            </w:r>
            <w:r>
              <w:rPr>
                <w:sz w:val="18"/>
              </w:rPr>
              <w:t>State</w:t>
            </w:r>
            <w:r>
              <w:rPr>
                <w:spacing w:val="-12"/>
                <w:sz w:val="18"/>
              </w:rPr>
              <w:t> </w:t>
            </w:r>
            <w:r>
              <w:rPr>
                <w:sz w:val="18"/>
              </w:rPr>
              <w:t>wide</w:t>
            </w:r>
          </w:p>
        </w:tc>
        <w:tc>
          <w:tcPr>
            <w:tcW w:w="1127" w:type="dxa"/>
            <w:tcBorders>
              <w:top w:val="single" w:sz="4" w:space="0" w:color="000000"/>
              <w:bottom w:val="single" w:sz="4" w:space="0" w:color="000000"/>
            </w:tcBorders>
            <w:shd w:val="clear" w:color="auto" w:fill="DBE4F0"/>
          </w:tcPr>
          <w:p>
            <w:pPr>
              <w:pStyle w:val="TableParagraph"/>
              <w:ind w:left="149" w:right="115"/>
              <w:rPr>
                <w:sz w:val="18"/>
              </w:rPr>
            </w:pPr>
            <w:r>
              <w:rPr>
                <w:spacing w:val="-2"/>
                <w:sz w:val="18"/>
              </w:rPr>
              <w:t>Deputy Governor‘s </w:t>
            </w:r>
            <w:r>
              <w:rPr>
                <w:sz w:val="18"/>
              </w:rPr>
              <w:t>residence</w:t>
            </w:r>
            <w:r>
              <w:rPr>
                <w:spacing w:val="-12"/>
                <w:sz w:val="18"/>
              </w:rPr>
              <w:t> </w:t>
            </w:r>
            <w:r>
              <w:rPr>
                <w:sz w:val="18"/>
              </w:rPr>
              <w:t>at </w:t>
            </w:r>
            <w:r>
              <w:rPr>
                <w:spacing w:val="-2"/>
                <w:sz w:val="18"/>
              </w:rPr>
              <w:t>Ngene, Amawbia</w:t>
            </w:r>
          </w:p>
        </w:tc>
        <w:tc>
          <w:tcPr>
            <w:tcW w:w="1418" w:type="dxa"/>
            <w:tcBorders>
              <w:top w:val="single" w:sz="4" w:space="0" w:color="000000"/>
              <w:bottom w:val="single" w:sz="4" w:space="0" w:color="000000"/>
            </w:tcBorders>
            <w:shd w:val="clear" w:color="auto" w:fill="DBE4F0"/>
          </w:tcPr>
          <w:p>
            <w:pPr>
              <w:pStyle w:val="TableParagraph"/>
              <w:ind w:left="102" w:right="143"/>
              <w:rPr>
                <w:sz w:val="18"/>
              </w:rPr>
            </w:pPr>
            <w:r>
              <w:rPr>
                <w:sz w:val="18"/>
              </w:rPr>
              <w:t>Development</w:t>
            </w:r>
            <w:r>
              <w:rPr>
                <w:spacing w:val="-12"/>
                <w:sz w:val="18"/>
              </w:rPr>
              <w:t> </w:t>
            </w:r>
            <w:r>
              <w:rPr>
                <w:sz w:val="18"/>
              </w:rPr>
              <w:t>of 200</w:t>
            </w:r>
            <w:r>
              <w:rPr>
                <w:spacing w:val="-12"/>
                <w:sz w:val="18"/>
              </w:rPr>
              <w:t> </w:t>
            </w:r>
            <w:r>
              <w:rPr>
                <w:sz w:val="18"/>
              </w:rPr>
              <w:t>low</w:t>
            </w:r>
            <w:r>
              <w:rPr>
                <w:spacing w:val="-11"/>
                <w:sz w:val="18"/>
              </w:rPr>
              <w:t> </w:t>
            </w:r>
            <w:r>
              <w:rPr>
                <w:sz w:val="18"/>
              </w:rPr>
              <w:t>income houses each in Onitsha,</w:t>
            </w:r>
            <w:r>
              <w:rPr>
                <w:spacing w:val="-3"/>
                <w:sz w:val="18"/>
              </w:rPr>
              <w:t> </w:t>
            </w:r>
            <w:r>
              <w:rPr>
                <w:sz w:val="18"/>
              </w:rPr>
              <w:t>Nnewi and 300 in</w:t>
            </w:r>
          </w:p>
          <w:p>
            <w:pPr>
              <w:pStyle w:val="TableParagraph"/>
              <w:spacing w:line="191" w:lineRule="exact"/>
              <w:ind w:left="102"/>
              <w:rPr>
                <w:sz w:val="18"/>
              </w:rPr>
            </w:pPr>
            <w:r>
              <w:rPr>
                <w:sz w:val="18"/>
              </w:rPr>
              <w:t>Awka</w:t>
            </w:r>
            <w:r>
              <w:rPr>
                <w:spacing w:val="-3"/>
                <w:sz w:val="18"/>
              </w:rPr>
              <w:t> </w:t>
            </w:r>
            <w:r>
              <w:rPr>
                <w:sz w:val="18"/>
              </w:rPr>
              <w:t>by</w:t>
            </w:r>
            <w:r>
              <w:rPr>
                <w:spacing w:val="-4"/>
                <w:sz w:val="18"/>
              </w:rPr>
              <w:t> 2020</w:t>
            </w:r>
          </w:p>
        </w:tc>
        <w:tc>
          <w:tcPr>
            <w:tcW w:w="1294" w:type="dxa"/>
            <w:tcBorders>
              <w:top w:val="single" w:sz="4" w:space="0" w:color="000000"/>
              <w:bottom w:val="single" w:sz="4" w:space="0" w:color="000000"/>
            </w:tcBorders>
            <w:shd w:val="clear" w:color="auto" w:fill="DBE4F0"/>
          </w:tcPr>
          <w:p>
            <w:pPr>
              <w:pStyle w:val="TableParagraph"/>
              <w:ind w:left="124" w:right="141"/>
              <w:rPr>
                <w:sz w:val="18"/>
              </w:rPr>
            </w:pPr>
            <w:r>
              <w:rPr>
                <w:spacing w:val="-2"/>
                <w:sz w:val="18"/>
              </w:rPr>
              <w:t>Development </w:t>
            </w:r>
            <w:r>
              <w:rPr>
                <w:sz w:val="18"/>
              </w:rPr>
              <w:t>of</w:t>
            </w:r>
            <w:r>
              <w:rPr>
                <w:spacing w:val="34"/>
                <w:sz w:val="18"/>
              </w:rPr>
              <w:t> </w:t>
            </w:r>
            <w:r>
              <w:rPr>
                <w:sz w:val="18"/>
              </w:rPr>
              <w:t>3</w:t>
            </w:r>
            <w:r>
              <w:rPr>
                <w:spacing w:val="-4"/>
                <w:sz w:val="18"/>
              </w:rPr>
              <w:t> </w:t>
            </w:r>
            <w:r>
              <w:rPr>
                <w:sz w:val="18"/>
              </w:rPr>
              <w:t>housing estates by </w:t>
            </w:r>
            <w:r>
              <w:rPr>
                <w:spacing w:val="-4"/>
                <w:sz w:val="18"/>
              </w:rPr>
              <w:t>2020</w:t>
            </w:r>
          </w:p>
        </w:tc>
      </w:tr>
      <w:tr>
        <w:trPr>
          <w:trHeight w:val="227" w:hRule="atLeast"/>
        </w:trPr>
        <w:tc>
          <w:tcPr>
            <w:tcW w:w="695" w:type="dxa"/>
            <w:tcBorders>
              <w:top w:val="single" w:sz="4" w:space="0" w:color="000000"/>
            </w:tcBorders>
          </w:tcPr>
          <w:p>
            <w:pPr>
              <w:pStyle w:val="TableParagraph"/>
              <w:spacing w:line="208" w:lineRule="exact"/>
              <w:ind w:left="122"/>
              <w:rPr>
                <w:sz w:val="20"/>
              </w:rPr>
            </w:pPr>
            <w:r>
              <w:rPr>
                <w:spacing w:val="-4"/>
                <w:sz w:val="20"/>
              </w:rPr>
              <w:t>1999</w:t>
            </w:r>
          </w:p>
        </w:tc>
        <w:tc>
          <w:tcPr>
            <w:tcW w:w="1009" w:type="dxa"/>
            <w:tcBorders>
              <w:top w:val="single" w:sz="4" w:space="0" w:color="000000"/>
            </w:tcBorders>
          </w:tcPr>
          <w:p>
            <w:pPr>
              <w:pStyle w:val="TableParagraph"/>
              <w:spacing w:line="208" w:lineRule="exact"/>
              <w:ind w:left="147"/>
              <w:rPr>
                <w:sz w:val="20"/>
              </w:rPr>
            </w:pPr>
            <w:r>
              <w:rPr>
                <w:spacing w:val="-2"/>
                <w:sz w:val="20"/>
              </w:rPr>
              <w:t>111.42m</w:t>
            </w:r>
          </w:p>
        </w:tc>
        <w:tc>
          <w:tcPr>
            <w:tcW w:w="1072" w:type="dxa"/>
            <w:tcBorders>
              <w:top w:val="single" w:sz="4" w:space="0" w:color="000000"/>
            </w:tcBorders>
          </w:tcPr>
          <w:p>
            <w:pPr>
              <w:pStyle w:val="TableParagraph"/>
              <w:spacing w:line="208" w:lineRule="exact"/>
              <w:ind w:left="127"/>
              <w:rPr>
                <w:sz w:val="20"/>
              </w:rPr>
            </w:pPr>
            <w:r>
              <w:rPr>
                <w:spacing w:val="-10"/>
                <w:sz w:val="20"/>
              </w:rPr>
              <w:t>-</w:t>
            </w:r>
          </w:p>
        </w:tc>
        <w:tc>
          <w:tcPr>
            <w:tcW w:w="1103" w:type="dxa"/>
            <w:tcBorders>
              <w:top w:val="single" w:sz="4" w:space="0" w:color="000000"/>
            </w:tcBorders>
          </w:tcPr>
          <w:p>
            <w:pPr>
              <w:pStyle w:val="TableParagraph"/>
              <w:spacing w:line="208" w:lineRule="exact"/>
              <w:ind w:left="135"/>
              <w:rPr>
                <w:sz w:val="20"/>
              </w:rPr>
            </w:pPr>
            <w:r>
              <w:rPr>
                <w:spacing w:val="-10"/>
                <w:sz w:val="20"/>
              </w:rPr>
              <w:t>-</w:t>
            </w:r>
          </w:p>
        </w:tc>
        <w:tc>
          <w:tcPr>
            <w:tcW w:w="1351" w:type="dxa"/>
            <w:tcBorders>
              <w:top w:val="single" w:sz="4" w:space="0" w:color="000000"/>
            </w:tcBorders>
          </w:tcPr>
          <w:p>
            <w:pPr>
              <w:pStyle w:val="TableParagraph"/>
              <w:spacing w:line="208" w:lineRule="exact"/>
              <w:ind w:left="113"/>
              <w:rPr>
                <w:sz w:val="20"/>
              </w:rPr>
            </w:pPr>
            <w:r>
              <w:rPr>
                <w:spacing w:val="-10"/>
                <w:sz w:val="20"/>
              </w:rPr>
              <w:t>-</w:t>
            </w:r>
          </w:p>
        </w:tc>
        <w:tc>
          <w:tcPr>
            <w:tcW w:w="1087" w:type="dxa"/>
            <w:tcBorders>
              <w:top w:val="single" w:sz="4" w:space="0" w:color="000000"/>
            </w:tcBorders>
          </w:tcPr>
          <w:p>
            <w:pPr>
              <w:pStyle w:val="TableParagraph"/>
              <w:spacing w:line="208" w:lineRule="exact"/>
              <w:ind w:left="113"/>
              <w:rPr>
                <w:sz w:val="20"/>
              </w:rPr>
            </w:pPr>
            <w:r>
              <w:rPr>
                <w:spacing w:val="-10"/>
                <w:sz w:val="20"/>
              </w:rPr>
              <w:t>-</w:t>
            </w:r>
          </w:p>
        </w:tc>
        <w:tc>
          <w:tcPr>
            <w:tcW w:w="885" w:type="dxa"/>
            <w:tcBorders>
              <w:top w:val="single" w:sz="4" w:space="0" w:color="000000"/>
            </w:tcBorders>
          </w:tcPr>
          <w:p>
            <w:pPr>
              <w:pStyle w:val="TableParagraph"/>
              <w:spacing w:line="208" w:lineRule="exact"/>
              <w:ind w:left="106"/>
              <w:rPr>
                <w:sz w:val="20"/>
              </w:rPr>
            </w:pPr>
            <w:r>
              <w:rPr>
                <w:spacing w:val="-10"/>
                <w:sz w:val="20"/>
              </w:rPr>
              <w:t>-</w:t>
            </w:r>
          </w:p>
        </w:tc>
        <w:tc>
          <w:tcPr>
            <w:tcW w:w="897" w:type="dxa"/>
            <w:tcBorders>
              <w:top w:val="single" w:sz="4" w:space="0" w:color="000000"/>
            </w:tcBorders>
          </w:tcPr>
          <w:p>
            <w:pPr>
              <w:pStyle w:val="TableParagraph"/>
              <w:spacing w:line="208" w:lineRule="exact"/>
              <w:ind w:left="121"/>
              <w:rPr>
                <w:sz w:val="20"/>
              </w:rPr>
            </w:pPr>
            <w:r>
              <w:rPr>
                <w:spacing w:val="-10"/>
                <w:sz w:val="20"/>
              </w:rPr>
              <w:t>-</w:t>
            </w:r>
          </w:p>
        </w:tc>
        <w:tc>
          <w:tcPr>
            <w:tcW w:w="1159" w:type="dxa"/>
            <w:tcBorders>
              <w:top w:val="single" w:sz="4" w:space="0" w:color="000000"/>
            </w:tcBorders>
          </w:tcPr>
          <w:p>
            <w:pPr>
              <w:pStyle w:val="TableParagraph"/>
              <w:spacing w:line="208" w:lineRule="exact"/>
              <w:ind w:left="129"/>
              <w:rPr>
                <w:sz w:val="20"/>
              </w:rPr>
            </w:pPr>
            <w:r>
              <w:rPr>
                <w:spacing w:val="-10"/>
                <w:sz w:val="20"/>
              </w:rPr>
              <w:t>-</w:t>
            </w:r>
          </w:p>
        </w:tc>
        <w:tc>
          <w:tcPr>
            <w:tcW w:w="1066" w:type="dxa"/>
            <w:tcBorders>
              <w:top w:val="single" w:sz="4" w:space="0" w:color="000000"/>
            </w:tcBorders>
          </w:tcPr>
          <w:p>
            <w:pPr>
              <w:pStyle w:val="TableParagraph"/>
              <w:spacing w:line="208" w:lineRule="exact"/>
              <w:ind w:left="134"/>
              <w:rPr>
                <w:sz w:val="20"/>
              </w:rPr>
            </w:pPr>
            <w:r>
              <w:rPr>
                <w:spacing w:val="-10"/>
                <w:sz w:val="20"/>
              </w:rPr>
              <w:t>-</w:t>
            </w:r>
          </w:p>
        </w:tc>
        <w:tc>
          <w:tcPr>
            <w:tcW w:w="1127" w:type="dxa"/>
            <w:tcBorders>
              <w:top w:val="single" w:sz="4" w:space="0" w:color="000000"/>
            </w:tcBorders>
          </w:tcPr>
          <w:p>
            <w:pPr>
              <w:pStyle w:val="TableParagraph"/>
              <w:spacing w:line="208" w:lineRule="exact"/>
              <w:ind w:left="149"/>
              <w:rPr>
                <w:sz w:val="20"/>
              </w:rPr>
            </w:pPr>
            <w:r>
              <w:rPr>
                <w:spacing w:val="-10"/>
                <w:sz w:val="20"/>
              </w:rPr>
              <w:t>-</w:t>
            </w:r>
          </w:p>
        </w:tc>
        <w:tc>
          <w:tcPr>
            <w:tcW w:w="1418" w:type="dxa"/>
            <w:tcBorders>
              <w:top w:val="single" w:sz="4" w:space="0" w:color="000000"/>
            </w:tcBorders>
          </w:tcPr>
          <w:p>
            <w:pPr>
              <w:pStyle w:val="TableParagraph"/>
              <w:spacing w:line="208" w:lineRule="exact"/>
              <w:ind w:left="102"/>
              <w:rPr>
                <w:sz w:val="20"/>
              </w:rPr>
            </w:pPr>
            <w:r>
              <w:rPr>
                <w:spacing w:val="-10"/>
                <w:sz w:val="20"/>
              </w:rPr>
              <w:t>-</w:t>
            </w:r>
          </w:p>
        </w:tc>
        <w:tc>
          <w:tcPr>
            <w:tcW w:w="1294" w:type="dxa"/>
            <w:tcBorders>
              <w:top w:val="single" w:sz="4" w:space="0" w:color="000000"/>
            </w:tcBorders>
          </w:tcPr>
          <w:p>
            <w:pPr>
              <w:pStyle w:val="TableParagraph"/>
              <w:spacing w:line="208" w:lineRule="exact"/>
              <w:ind w:left="124"/>
              <w:rPr>
                <w:sz w:val="20"/>
              </w:rPr>
            </w:pPr>
            <w:r>
              <w:rPr>
                <w:spacing w:val="-10"/>
                <w:sz w:val="20"/>
              </w:rPr>
              <w:t>-</w:t>
            </w:r>
          </w:p>
        </w:tc>
      </w:tr>
      <w:tr>
        <w:trPr>
          <w:trHeight w:val="230" w:hRule="atLeast"/>
        </w:trPr>
        <w:tc>
          <w:tcPr>
            <w:tcW w:w="695" w:type="dxa"/>
          </w:tcPr>
          <w:p>
            <w:pPr>
              <w:pStyle w:val="TableParagraph"/>
              <w:spacing w:line="210" w:lineRule="exact"/>
              <w:ind w:left="122"/>
              <w:rPr>
                <w:sz w:val="20"/>
              </w:rPr>
            </w:pPr>
            <w:r>
              <w:rPr>
                <w:spacing w:val="-4"/>
                <w:sz w:val="20"/>
              </w:rPr>
              <w:t>2000</w:t>
            </w:r>
          </w:p>
        </w:tc>
        <w:tc>
          <w:tcPr>
            <w:tcW w:w="1009" w:type="dxa"/>
          </w:tcPr>
          <w:p>
            <w:pPr>
              <w:pStyle w:val="TableParagraph"/>
              <w:spacing w:line="210" w:lineRule="exact"/>
              <w:ind w:left="147"/>
              <w:rPr>
                <w:sz w:val="20"/>
              </w:rPr>
            </w:pPr>
            <w:r>
              <w:rPr>
                <w:spacing w:val="-5"/>
                <w:sz w:val="20"/>
              </w:rPr>
              <w:t>30m</w:t>
            </w:r>
          </w:p>
        </w:tc>
        <w:tc>
          <w:tcPr>
            <w:tcW w:w="1072" w:type="dxa"/>
          </w:tcPr>
          <w:p>
            <w:pPr>
              <w:pStyle w:val="TableParagraph"/>
              <w:spacing w:line="210" w:lineRule="exact"/>
              <w:ind w:left="127"/>
              <w:rPr>
                <w:sz w:val="20"/>
              </w:rPr>
            </w:pPr>
            <w:r>
              <w:rPr>
                <w:spacing w:val="-5"/>
                <w:sz w:val="20"/>
              </w:rPr>
              <w:t>16m</w:t>
            </w:r>
          </w:p>
        </w:tc>
        <w:tc>
          <w:tcPr>
            <w:tcW w:w="1103" w:type="dxa"/>
          </w:tcPr>
          <w:p>
            <w:pPr>
              <w:pStyle w:val="TableParagraph"/>
              <w:spacing w:line="210" w:lineRule="exact"/>
              <w:ind w:left="135"/>
              <w:rPr>
                <w:sz w:val="20"/>
              </w:rPr>
            </w:pPr>
            <w:r>
              <w:rPr>
                <w:spacing w:val="-5"/>
                <w:sz w:val="20"/>
              </w:rPr>
              <w:t>10m</w:t>
            </w:r>
          </w:p>
        </w:tc>
        <w:tc>
          <w:tcPr>
            <w:tcW w:w="1351" w:type="dxa"/>
          </w:tcPr>
          <w:p>
            <w:pPr>
              <w:pStyle w:val="TableParagraph"/>
              <w:spacing w:line="210" w:lineRule="exact"/>
              <w:ind w:left="113"/>
              <w:rPr>
                <w:sz w:val="20"/>
              </w:rPr>
            </w:pPr>
            <w:r>
              <w:rPr>
                <w:spacing w:val="-5"/>
                <w:sz w:val="20"/>
              </w:rPr>
              <w:t>10m</w:t>
            </w:r>
          </w:p>
        </w:tc>
        <w:tc>
          <w:tcPr>
            <w:tcW w:w="1087" w:type="dxa"/>
          </w:tcPr>
          <w:p>
            <w:pPr>
              <w:pStyle w:val="TableParagraph"/>
              <w:spacing w:line="210" w:lineRule="exact"/>
              <w:ind w:left="113"/>
              <w:rPr>
                <w:sz w:val="20"/>
              </w:rPr>
            </w:pPr>
            <w:r>
              <w:rPr>
                <w:spacing w:val="-10"/>
                <w:sz w:val="20"/>
              </w:rPr>
              <w:t>-</w:t>
            </w:r>
          </w:p>
        </w:tc>
        <w:tc>
          <w:tcPr>
            <w:tcW w:w="885" w:type="dxa"/>
          </w:tcPr>
          <w:p>
            <w:pPr>
              <w:pStyle w:val="TableParagraph"/>
              <w:spacing w:line="210" w:lineRule="exact"/>
              <w:ind w:left="106"/>
              <w:rPr>
                <w:sz w:val="20"/>
              </w:rPr>
            </w:pPr>
            <w:r>
              <w:rPr>
                <w:spacing w:val="-10"/>
                <w:sz w:val="20"/>
              </w:rPr>
              <w:t>-</w:t>
            </w:r>
          </w:p>
        </w:tc>
        <w:tc>
          <w:tcPr>
            <w:tcW w:w="897" w:type="dxa"/>
          </w:tcPr>
          <w:p>
            <w:pPr>
              <w:pStyle w:val="TableParagraph"/>
              <w:spacing w:line="210" w:lineRule="exact"/>
              <w:ind w:left="121"/>
              <w:rPr>
                <w:sz w:val="20"/>
              </w:rPr>
            </w:pPr>
            <w:r>
              <w:rPr>
                <w:spacing w:val="-10"/>
                <w:sz w:val="20"/>
              </w:rPr>
              <w:t>-</w:t>
            </w:r>
          </w:p>
        </w:tc>
        <w:tc>
          <w:tcPr>
            <w:tcW w:w="1159" w:type="dxa"/>
          </w:tcPr>
          <w:p>
            <w:pPr>
              <w:pStyle w:val="TableParagraph"/>
              <w:spacing w:line="210" w:lineRule="exact"/>
              <w:ind w:left="129"/>
              <w:rPr>
                <w:sz w:val="20"/>
              </w:rPr>
            </w:pPr>
            <w:r>
              <w:rPr>
                <w:spacing w:val="-10"/>
                <w:sz w:val="20"/>
              </w:rPr>
              <w:t>-</w:t>
            </w:r>
          </w:p>
        </w:tc>
        <w:tc>
          <w:tcPr>
            <w:tcW w:w="1066" w:type="dxa"/>
          </w:tcPr>
          <w:p>
            <w:pPr>
              <w:pStyle w:val="TableParagraph"/>
              <w:spacing w:line="210" w:lineRule="exact"/>
              <w:ind w:left="134"/>
              <w:rPr>
                <w:sz w:val="20"/>
              </w:rPr>
            </w:pPr>
            <w:r>
              <w:rPr>
                <w:spacing w:val="-10"/>
                <w:sz w:val="20"/>
              </w:rPr>
              <w:t>-</w:t>
            </w:r>
          </w:p>
        </w:tc>
        <w:tc>
          <w:tcPr>
            <w:tcW w:w="1127" w:type="dxa"/>
          </w:tcPr>
          <w:p>
            <w:pPr>
              <w:pStyle w:val="TableParagraph"/>
              <w:spacing w:line="210" w:lineRule="exact"/>
              <w:ind w:left="149"/>
              <w:rPr>
                <w:sz w:val="20"/>
              </w:rPr>
            </w:pPr>
            <w:r>
              <w:rPr>
                <w:spacing w:val="-10"/>
                <w:sz w:val="20"/>
              </w:rPr>
              <w:t>-</w:t>
            </w:r>
          </w:p>
        </w:tc>
        <w:tc>
          <w:tcPr>
            <w:tcW w:w="1418" w:type="dxa"/>
          </w:tcPr>
          <w:p>
            <w:pPr>
              <w:pStyle w:val="TableParagraph"/>
              <w:spacing w:line="210" w:lineRule="exact"/>
              <w:ind w:left="102"/>
              <w:rPr>
                <w:sz w:val="20"/>
              </w:rPr>
            </w:pPr>
            <w:r>
              <w:rPr>
                <w:spacing w:val="-10"/>
                <w:sz w:val="20"/>
              </w:rPr>
              <w:t>-</w:t>
            </w:r>
          </w:p>
        </w:tc>
        <w:tc>
          <w:tcPr>
            <w:tcW w:w="1294" w:type="dxa"/>
          </w:tcPr>
          <w:p>
            <w:pPr>
              <w:pStyle w:val="TableParagraph"/>
              <w:spacing w:line="210" w:lineRule="exact"/>
              <w:ind w:left="124"/>
              <w:rPr>
                <w:sz w:val="20"/>
              </w:rPr>
            </w:pPr>
            <w:r>
              <w:rPr>
                <w:spacing w:val="-10"/>
                <w:sz w:val="20"/>
              </w:rPr>
              <w:t>-</w:t>
            </w:r>
          </w:p>
        </w:tc>
      </w:tr>
      <w:tr>
        <w:trPr>
          <w:trHeight w:val="230" w:hRule="atLeast"/>
        </w:trPr>
        <w:tc>
          <w:tcPr>
            <w:tcW w:w="695" w:type="dxa"/>
          </w:tcPr>
          <w:p>
            <w:pPr>
              <w:pStyle w:val="TableParagraph"/>
              <w:spacing w:line="211" w:lineRule="exact"/>
              <w:ind w:left="122"/>
              <w:rPr>
                <w:sz w:val="20"/>
              </w:rPr>
            </w:pPr>
            <w:r>
              <w:rPr>
                <w:spacing w:val="-4"/>
                <w:sz w:val="20"/>
              </w:rPr>
              <w:t>2001</w:t>
            </w:r>
          </w:p>
        </w:tc>
        <w:tc>
          <w:tcPr>
            <w:tcW w:w="1009" w:type="dxa"/>
          </w:tcPr>
          <w:p>
            <w:pPr>
              <w:pStyle w:val="TableParagraph"/>
              <w:spacing w:line="211" w:lineRule="exact"/>
              <w:ind w:left="147"/>
              <w:rPr>
                <w:sz w:val="20"/>
              </w:rPr>
            </w:pPr>
            <w:r>
              <w:rPr>
                <w:spacing w:val="-4"/>
                <w:sz w:val="20"/>
              </w:rPr>
              <w:t>900m</w:t>
            </w:r>
          </w:p>
        </w:tc>
        <w:tc>
          <w:tcPr>
            <w:tcW w:w="1072" w:type="dxa"/>
          </w:tcPr>
          <w:p>
            <w:pPr>
              <w:pStyle w:val="TableParagraph"/>
              <w:spacing w:line="211" w:lineRule="exact"/>
              <w:ind w:left="127"/>
              <w:rPr>
                <w:sz w:val="20"/>
              </w:rPr>
            </w:pPr>
            <w:r>
              <w:rPr>
                <w:spacing w:val="-10"/>
                <w:sz w:val="20"/>
              </w:rPr>
              <w:t>-</w:t>
            </w:r>
          </w:p>
        </w:tc>
        <w:tc>
          <w:tcPr>
            <w:tcW w:w="1103" w:type="dxa"/>
          </w:tcPr>
          <w:p>
            <w:pPr>
              <w:pStyle w:val="TableParagraph"/>
              <w:spacing w:line="211" w:lineRule="exact"/>
              <w:ind w:left="135"/>
              <w:rPr>
                <w:sz w:val="20"/>
              </w:rPr>
            </w:pPr>
            <w:r>
              <w:rPr>
                <w:spacing w:val="-5"/>
                <w:sz w:val="20"/>
              </w:rPr>
              <w:t>10m</w:t>
            </w:r>
          </w:p>
        </w:tc>
        <w:tc>
          <w:tcPr>
            <w:tcW w:w="1351" w:type="dxa"/>
          </w:tcPr>
          <w:p>
            <w:pPr>
              <w:pStyle w:val="TableParagraph"/>
              <w:spacing w:line="211" w:lineRule="exact"/>
              <w:ind w:left="113"/>
              <w:rPr>
                <w:sz w:val="20"/>
              </w:rPr>
            </w:pPr>
            <w:r>
              <w:rPr>
                <w:spacing w:val="-5"/>
                <w:sz w:val="20"/>
              </w:rPr>
              <w:t>5m</w:t>
            </w:r>
          </w:p>
        </w:tc>
        <w:tc>
          <w:tcPr>
            <w:tcW w:w="1087" w:type="dxa"/>
          </w:tcPr>
          <w:p>
            <w:pPr>
              <w:pStyle w:val="TableParagraph"/>
              <w:spacing w:line="211" w:lineRule="exact"/>
              <w:ind w:left="113"/>
              <w:rPr>
                <w:sz w:val="20"/>
              </w:rPr>
            </w:pPr>
            <w:r>
              <w:rPr>
                <w:spacing w:val="-5"/>
                <w:sz w:val="20"/>
              </w:rPr>
              <w:t>75m</w:t>
            </w:r>
          </w:p>
        </w:tc>
        <w:tc>
          <w:tcPr>
            <w:tcW w:w="885" w:type="dxa"/>
          </w:tcPr>
          <w:p>
            <w:pPr>
              <w:pStyle w:val="TableParagraph"/>
              <w:spacing w:line="211" w:lineRule="exact"/>
              <w:ind w:left="106"/>
              <w:rPr>
                <w:sz w:val="20"/>
              </w:rPr>
            </w:pPr>
            <w:r>
              <w:rPr>
                <w:spacing w:val="-2"/>
                <w:sz w:val="20"/>
              </w:rPr>
              <w:t>1.15b</w:t>
            </w:r>
          </w:p>
        </w:tc>
        <w:tc>
          <w:tcPr>
            <w:tcW w:w="897" w:type="dxa"/>
          </w:tcPr>
          <w:p>
            <w:pPr>
              <w:pStyle w:val="TableParagraph"/>
              <w:spacing w:line="211" w:lineRule="exact"/>
              <w:ind w:left="121"/>
              <w:rPr>
                <w:sz w:val="20"/>
              </w:rPr>
            </w:pPr>
            <w:r>
              <w:rPr>
                <w:spacing w:val="-10"/>
                <w:sz w:val="20"/>
              </w:rPr>
              <w:t>-</w:t>
            </w:r>
          </w:p>
        </w:tc>
        <w:tc>
          <w:tcPr>
            <w:tcW w:w="1159" w:type="dxa"/>
          </w:tcPr>
          <w:p>
            <w:pPr>
              <w:pStyle w:val="TableParagraph"/>
              <w:spacing w:line="211" w:lineRule="exact"/>
              <w:ind w:left="129"/>
              <w:rPr>
                <w:sz w:val="20"/>
              </w:rPr>
            </w:pPr>
            <w:r>
              <w:rPr>
                <w:spacing w:val="-10"/>
                <w:sz w:val="20"/>
              </w:rPr>
              <w:t>-</w:t>
            </w:r>
          </w:p>
        </w:tc>
        <w:tc>
          <w:tcPr>
            <w:tcW w:w="1066" w:type="dxa"/>
          </w:tcPr>
          <w:p>
            <w:pPr>
              <w:pStyle w:val="TableParagraph"/>
              <w:spacing w:line="211" w:lineRule="exact"/>
              <w:ind w:left="134"/>
              <w:rPr>
                <w:sz w:val="20"/>
              </w:rPr>
            </w:pPr>
            <w:r>
              <w:rPr>
                <w:spacing w:val="-10"/>
                <w:sz w:val="20"/>
              </w:rPr>
              <w:t>-</w:t>
            </w:r>
          </w:p>
        </w:tc>
        <w:tc>
          <w:tcPr>
            <w:tcW w:w="1127" w:type="dxa"/>
          </w:tcPr>
          <w:p>
            <w:pPr>
              <w:pStyle w:val="TableParagraph"/>
              <w:spacing w:line="211" w:lineRule="exact"/>
              <w:ind w:left="149"/>
              <w:rPr>
                <w:sz w:val="20"/>
              </w:rPr>
            </w:pPr>
            <w:r>
              <w:rPr>
                <w:spacing w:val="-10"/>
                <w:sz w:val="20"/>
              </w:rPr>
              <w:t>-</w:t>
            </w:r>
          </w:p>
        </w:tc>
        <w:tc>
          <w:tcPr>
            <w:tcW w:w="1418" w:type="dxa"/>
          </w:tcPr>
          <w:p>
            <w:pPr>
              <w:pStyle w:val="TableParagraph"/>
              <w:spacing w:line="211" w:lineRule="exact"/>
              <w:ind w:left="102"/>
              <w:rPr>
                <w:sz w:val="20"/>
              </w:rPr>
            </w:pPr>
            <w:r>
              <w:rPr>
                <w:spacing w:val="-10"/>
                <w:sz w:val="20"/>
              </w:rPr>
              <w:t>-</w:t>
            </w:r>
          </w:p>
        </w:tc>
        <w:tc>
          <w:tcPr>
            <w:tcW w:w="1294" w:type="dxa"/>
          </w:tcPr>
          <w:p>
            <w:pPr>
              <w:pStyle w:val="TableParagraph"/>
              <w:spacing w:line="211" w:lineRule="exact"/>
              <w:ind w:left="124"/>
              <w:rPr>
                <w:sz w:val="20"/>
              </w:rPr>
            </w:pPr>
            <w:r>
              <w:rPr>
                <w:spacing w:val="-10"/>
                <w:sz w:val="20"/>
              </w:rPr>
              <w:t>-</w:t>
            </w:r>
          </w:p>
        </w:tc>
      </w:tr>
      <w:tr>
        <w:trPr>
          <w:trHeight w:val="229" w:hRule="atLeast"/>
        </w:trPr>
        <w:tc>
          <w:tcPr>
            <w:tcW w:w="695" w:type="dxa"/>
          </w:tcPr>
          <w:p>
            <w:pPr>
              <w:pStyle w:val="TableParagraph"/>
              <w:spacing w:line="210" w:lineRule="exact"/>
              <w:ind w:left="122"/>
              <w:rPr>
                <w:sz w:val="20"/>
              </w:rPr>
            </w:pPr>
            <w:r>
              <w:rPr>
                <w:spacing w:val="-4"/>
                <w:sz w:val="20"/>
              </w:rPr>
              <w:t>2002</w:t>
            </w:r>
          </w:p>
        </w:tc>
        <w:tc>
          <w:tcPr>
            <w:tcW w:w="1009" w:type="dxa"/>
          </w:tcPr>
          <w:p>
            <w:pPr>
              <w:pStyle w:val="TableParagraph"/>
              <w:spacing w:line="210" w:lineRule="exact"/>
              <w:ind w:left="147"/>
              <w:rPr>
                <w:sz w:val="20"/>
              </w:rPr>
            </w:pPr>
            <w:r>
              <w:rPr>
                <w:spacing w:val="-5"/>
                <w:sz w:val="20"/>
              </w:rPr>
              <w:t>50m</w:t>
            </w:r>
          </w:p>
        </w:tc>
        <w:tc>
          <w:tcPr>
            <w:tcW w:w="1072" w:type="dxa"/>
          </w:tcPr>
          <w:p>
            <w:pPr>
              <w:pStyle w:val="TableParagraph"/>
              <w:spacing w:line="210" w:lineRule="exact"/>
              <w:ind w:left="127"/>
              <w:rPr>
                <w:sz w:val="20"/>
              </w:rPr>
            </w:pPr>
            <w:r>
              <w:rPr>
                <w:spacing w:val="-10"/>
                <w:sz w:val="20"/>
              </w:rPr>
              <w:t>-</w:t>
            </w:r>
          </w:p>
        </w:tc>
        <w:tc>
          <w:tcPr>
            <w:tcW w:w="1103" w:type="dxa"/>
          </w:tcPr>
          <w:p>
            <w:pPr>
              <w:pStyle w:val="TableParagraph"/>
              <w:spacing w:line="210" w:lineRule="exact"/>
              <w:ind w:left="135"/>
              <w:rPr>
                <w:sz w:val="20"/>
              </w:rPr>
            </w:pPr>
            <w:r>
              <w:rPr>
                <w:spacing w:val="-5"/>
                <w:sz w:val="20"/>
              </w:rPr>
              <w:t>20m</w:t>
            </w:r>
          </w:p>
        </w:tc>
        <w:tc>
          <w:tcPr>
            <w:tcW w:w="1351" w:type="dxa"/>
          </w:tcPr>
          <w:p>
            <w:pPr>
              <w:pStyle w:val="TableParagraph"/>
              <w:spacing w:line="210" w:lineRule="exact"/>
              <w:ind w:left="113"/>
              <w:rPr>
                <w:sz w:val="20"/>
              </w:rPr>
            </w:pPr>
            <w:r>
              <w:rPr>
                <w:spacing w:val="-5"/>
                <w:sz w:val="20"/>
              </w:rPr>
              <w:t>5m</w:t>
            </w:r>
          </w:p>
        </w:tc>
        <w:tc>
          <w:tcPr>
            <w:tcW w:w="1087" w:type="dxa"/>
          </w:tcPr>
          <w:p>
            <w:pPr>
              <w:pStyle w:val="TableParagraph"/>
              <w:spacing w:line="210" w:lineRule="exact"/>
              <w:ind w:left="113"/>
              <w:rPr>
                <w:sz w:val="20"/>
              </w:rPr>
            </w:pPr>
            <w:r>
              <w:rPr>
                <w:spacing w:val="-5"/>
                <w:sz w:val="20"/>
              </w:rPr>
              <w:t>20m</w:t>
            </w:r>
          </w:p>
        </w:tc>
        <w:tc>
          <w:tcPr>
            <w:tcW w:w="885" w:type="dxa"/>
          </w:tcPr>
          <w:p>
            <w:pPr>
              <w:pStyle w:val="TableParagraph"/>
              <w:spacing w:line="210" w:lineRule="exact"/>
              <w:ind w:left="106"/>
              <w:rPr>
                <w:sz w:val="20"/>
              </w:rPr>
            </w:pPr>
            <w:r>
              <w:rPr>
                <w:spacing w:val="-5"/>
                <w:sz w:val="20"/>
              </w:rPr>
              <w:t>70m</w:t>
            </w:r>
          </w:p>
        </w:tc>
        <w:tc>
          <w:tcPr>
            <w:tcW w:w="897" w:type="dxa"/>
          </w:tcPr>
          <w:p>
            <w:pPr>
              <w:pStyle w:val="TableParagraph"/>
              <w:spacing w:line="210" w:lineRule="exact"/>
              <w:ind w:left="121"/>
              <w:rPr>
                <w:sz w:val="20"/>
              </w:rPr>
            </w:pPr>
            <w:r>
              <w:rPr>
                <w:spacing w:val="-10"/>
                <w:sz w:val="20"/>
              </w:rPr>
              <w:t>-</w:t>
            </w:r>
          </w:p>
        </w:tc>
        <w:tc>
          <w:tcPr>
            <w:tcW w:w="1159" w:type="dxa"/>
          </w:tcPr>
          <w:p>
            <w:pPr>
              <w:pStyle w:val="TableParagraph"/>
              <w:spacing w:line="210" w:lineRule="exact"/>
              <w:ind w:left="129"/>
              <w:rPr>
                <w:sz w:val="20"/>
              </w:rPr>
            </w:pPr>
            <w:r>
              <w:rPr>
                <w:spacing w:val="-10"/>
                <w:sz w:val="20"/>
              </w:rPr>
              <w:t>-</w:t>
            </w:r>
          </w:p>
        </w:tc>
        <w:tc>
          <w:tcPr>
            <w:tcW w:w="1066" w:type="dxa"/>
          </w:tcPr>
          <w:p>
            <w:pPr>
              <w:pStyle w:val="TableParagraph"/>
              <w:spacing w:line="210" w:lineRule="exact"/>
              <w:ind w:left="134"/>
              <w:rPr>
                <w:sz w:val="20"/>
              </w:rPr>
            </w:pPr>
            <w:r>
              <w:rPr>
                <w:spacing w:val="-10"/>
                <w:sz w:val="20"/>
              </w:rPr>
              <w:t>-</w:t>
            </w:r>
          </w:p>
        </w:tc>
        <w:tc>
          <w:tcPr>
            <w:tcW w:w="1127" w:type="dxa"/>
          </w:tcPr>
          <w:p>
            <w:pPr>
              <w:pStyle w:val="TableParagraph"/>
              <w:spacing w:line="210" w:lineRule="exact"/>
              <w:ind w:left="149"/>
              <w:rPr>
                <w:sz w:val="20"/>
              </w:rPr>
            </w:pPr>
            <w:r>
              <w:rPr>
                <w:spacing w:val="-10"/>
                <w:sz w:val="20"/>
              </w:rPr>
              <w:t>-</w:t>
            </w:r>
          </w:p>
        </w:tc>
        <w:tc>
          <w:tcPr>
            <w:tcW w:w="1418" w:type="dxa"/>
          </w:tcPr>
          <w:p>
            <w:pPr>
              <w:pStyle w:val="TableParagraph"/>
              <w:spacing w:line="210" w:lineRule="exact"/>
              <w:ind w:left="102"/>
              <w:rPr>
                <w:sz w:val="20"/>
              </w:rPr>
            </w:pPr>
            <w:r>
              <w:rPr>
                <w:spacing w:val="-10"/>
                <w:sz w:val="20"/>
              </w:rPr>
              <w:t>-</w:t>
            </w:r>
          </w:p>
        </w:tc>
        <w:tc>
          <w:tcPr>
            <w:tcW w:w="1294" w:type="dxa"/>
          </w:tcPr>
          <w:p>
            <w:pPr>
              <w:pStyle w:val="TableParagraph"/>
              <w:spacing w:line="210" w:lineRule="exact"/>
              <w:ind w:left="124"/>
              <w:rPr>
                <w:sz w:val="20"/>
              </w:rPr>
            </w:pPr>
            <w:r>
              <w:rPr>
                <w:spacing w:val="-10"/>
                <w:sz w:val="20"/>
              </w:rPr>
              <w:t>-</w:t>
            </w:r>
          </w:p>
        </w:tc>
      </w:tr>
      <w:tr>
        <w:trPr>
          <w:trHeight w:val="229" w:hRule="atLeast"/>
        </w:trPr>
        <w:tc>
          <w:tcPr>
            <w:tcW w:w="695" w:type="dxa"/>
          </w:tcPr>
          <w:p>
            <w:pPr>
              <w:pStyle w:val="TableParagraph"/>
              <w:spacing w:line="209" w:lineRule="exact"/>
              <w:ind w:left="122"/>
              <w:rPr>
                <w:sz w:val="20"/>
              </w:rPr>
            </w:pPr>
            <w:r>
              <w:rPr>
                <w:spacing w:val="-4"/>
                <w:sz w:val="20"/>
              </w:rPr>
              <w:t>2003</w:t>
            </w:r>
          </w:p>
        </w:tc>
        <w:tc>
          <w:tcPr>
            <w:tcW w:w="1009" w:type="dxa"/>
          </w:tcPr>
          <w:p>
            <w:pPr>
              <w:pStyle w:val="TableParagraph"/>
              <w:spacing w:line="209" w:lineRule="exact"/>
              <w:ind w:left="147"/>
              <w:rPr>
                <w:sz w:val="20"/>
              </w:rPr>
            </w:pPr>
            <w:r>
              <w:rPr>
                <w:spacing w:val="-5"/>
                <w:sz w:val="20"/>
              </w:rPr>
              <w:t>10m</w:t>
            </w:r>
          </w:p>
        </w:tc>
        <w:tc>
          <w:tcPr>
            <w:tcW w:w="1072" w:type="dxa"/>
          </w:tcPr>
          <w:p>
            <w:pPr>
              <w:pStyle w:val="TableParagraph"/>
              <w:spacing w:line="209" w:lineRule="exact"/>
              <w:ind w:left="127"/>
              <w:rPr>
                <w:sz w:val="20"/>
              </w:rPr>
            </w:pPr>
            <w:r>
              <w:rPr>
                <w:spacing w:val="-10"/>
                <w:sz w:val="20"/>
              </w:rPr>
              <w:t>-</w:t>
            </w:r>
          </w:p>
        </w:tc>
        <w:tc>
          <w:tcPr>
            <w:tcW w:w="1103" w:type="dxa"/>
          </w:tcPr>
          <w:p>
            <w:pPr>
              <w:pStyle w:val="TableParagraph"/>
              <w:spacing w:line="209" w:lineRule="exact"/>
              <w:ind w:left="135"/>
              <w:rPr>
                <w:sz w:val="20"/>
              </w:rPr>
            </w:pPr>
            <w:r>
              <w:rPr>
                <w:spacing w:val="-5"/>
                <w:sz w:val="20"/>
              </w:rPr>
              <w:t>5m</w:t>
            </w:r>
          </w:p>
        </w:tc>
        <w:tc>
          <w:tcPr>
            <w:tcW w:w="1351" w:type="dxa"/>
          </w:tcPr>
          <w:p>
            <w:pPr>
              <w:pStyle w:val="TableParagraph"/>
              <w:spacing w:line="209" w:lineRule="exact"/>
              <w:ind w:left="113"/>
              <w:rPr>
                <w:sz w:val="20"/>
              </w:rPr>
            </w:pPr>
            <w:r>
              <w:rPr>
                <w:spacing w:val="-5"/>
                <w:sz w:val="20"/>
              </w:rPr>
              <w:t>2m</w:t>
            </w:r>
          </w:p>
        </w:tc>
        <w:tc>
          <w:tcPr>
            <w:tcW w:w="1087" w:type="dxa"/>
          </w:tcPr>
          <w:p>
            <w:pPr>
              <w:pStyle w:val="TableParagraph"/>
              <w:spacing w:line="209" w:lineRule="exact"/>
              <w:ind w:left="113"/>
              <w:rPr>
                <w:sz w:val="20"/>
              </w:rPr>
            </w:pPr>
            <w:r>
              <w:rPr>
                <w:spacing w:val="-5"/>
                <w:sz w:val="20"/>
              </w:rPr>
              <w:t>99m</w:t>
            </w:r>
          </w:p>
        </w:tc>
        <w:tc>
          <w:tcPr>
            <w:tcW w:w="885" w:type="dxa"/>
          </w:tcPr>
          <w:p>
            <w:pPr>
              <w:pStyle w:val="TableParagraph"/>
              <w:spacing w:line="209" w:lineRule="exact"/>
              <w:ind w:left="106"/>
              <w:rPr>
                <w:sz w:val="20"/>
              </w:rPr>
            </w:pPr>
            <w:r>
              <w:rPr>
                <w:spacing w:val="-5"/>
                <w:sz w:val="20"/>
              </w:rPr>
              <w:t>10m</w:t>
            </w:r>
          </w:p>
        </w:tc>
        <w:tc>
          <w:tcPr>
            <w:tcW w:w="897" w:type="dxa"/>
          </w:tcPr>
          <w:p>
            <w:pPr>
              <w:pStyle w:val="TableParagraph"/>
              <w:spacing w:line="209" w:lineRule="exact"/>
              <w:ind w:left="121"/>
              <w:rPr>
                <w:sz w:val="20"/>
              </w:rPr>
            </w:pPr>
            <w:r>
              <w:rPr>
                <w:spacing w:val="-5"/>
                <w:sz w:val="20"/>
              </w:rPr>
              <w:t>20m</w:t>
            </w:r>
          </w:p>
        </w:tc>
        <w:tc>
          <w:tcPr>
            <w:tcW w:w="1159" w:type="dxa"/>
          </w:tcPr>
          <w:p>
            <w:pPr>
              <w:pStyle w:val="TableParagraph"/>
              <w:spacing w:line="209" w:lineRule="exact"/>
              <w:ind w:left="129"/>
              <w:rPr>
                <w:sz w:val="20"/>
              </w:rPr>
            </w:pPr>
            <w:r>
              <w:rPr>
                <w:spacing w:val="-5"/>
                <w:sz w:val="20"/>
              </w:rPr>
              <w:t>20m</w:t>
            </w:r>
          </w:p>
        </w:tc>
        <w:tc>
          <w:tcPr>
            <w:tcW w:w="1066" w:type="dxa"/>
          </w:tcPr>
          <w:p>
            <w:pPr>
              <w:pStyle w:val="TableParagraph"/>
              <w:spacing w:line="209" w:lineRule="exact"/>
              <w:ind w:left="134"/>
              <w:rPr>
                <w:sz w:val="20"/>
              </w:rPr>
            </w:pPr>
            <w:r>
              <w:rPr>
                <w:spacing w:val="-10"/>
                <w:sz w:val="20"/>
              </w:rPr>
              <w:t>-</w:t>
            </w:r>
          </w:p>
        </w:tc>
        <w:tc>
          <w:tcPr>
            <w:tcW w:w="1127" w:type="dxa"/>
          </w:tcPr>
          <w:p>
            <w:pPr>
              <w:pStyle w:val="TableParagraph"/>
              <w:spacing w:line="209" w:lineRule="exact"/>
              <w:ind w:left="149"/>
              <w:rPr>
                <w:sz w:val="20"/>
              </w:rPr>
            </w:pPr>
            <w:r>
              <w:rPr>
                <w:spacing w:val="-10"/>
                <w:sz w:val="20"/>
              </w:rPr>
              <w:t>-</w:t>
            </w:r>
          </w:p>
        </w:tc>
        <w:tc>
          <w:tcPr>
            <w:tcW w:w="1418" w:type="dxa"/>
          </w:tcPr>
          <w:p>
            <w:pPr>
              <w:pStyle w:val="TableParagraph"/>
              <w:spacing w:line="209" w:lineRule="exact"/>
              <w:ind w:left="102"/>
              <w:rPr>
                <w:sz w:val="20"/>
              </w:rPr>
            </w:pPr>
            <w:r>
              <w:rPr>
                <w:spacing w:val="-10"/>
                <w:sz w:val="20"/>
              </w:rPr>
              <w:t>-</w:t>
            </w:r>
          </w:p>
        </w:tc>
        <w:tc>
          <w:tcPr>
            <w:tcW w:w="1294" w:type="dxa"/>
          </w:tcPr>
          <w:p>
            <w:pPr>
              <w:pStyle w:val="TableParagraph"/>
              <w:spacing w:line="209" w:lineRule="exact"/>
              <w:ind w:left="124"/>
              <w:rPr>
                <w:sz w:val="20"/>
              </w:rPr>
            </w:pPr>
            <w:r>
              <w:rPr>
                <w:spacing w:val="-10"/>
                <w:sz w:val="20"/>
              </w:rPr>
              <w:t>-</w:t>
            </w:r>
          </w:p>
        </w:tc>
      </w:tr>
      <w:tr>
        <w:trPr>
          <w:trHeight w:val="230" w:hRule="atLeast"/>
        </w:trPr>
        <w:tc>
          <w:tcPr>
            <w:tcW w:w="695" w:type="dxa"/>
          </w:tcPr>
          <w:p>
            <w:pPr>
              <w:pStyle w:val="TableParagraph"/>
              <w:spacing w:line="210" w:lineRule="exact"/>
              <w:ind w:left="122"/>
              <w:rPr>
                <w:sz w:val="20"/>
              </w:rPr>
            </w:pPr>
            <w:r>
              <w:rPr>
                <w:spacing w:val="-4"/>
                <w:sz w:val="20"/>
              </w:rPr>
              <w:t>2004</w:t>
            </w:r>
          </w:p>
        </w:tc>
        <w:tc>
          <w:tcPr>
            <w:tcW w:w="1009" w:type="dxa"/>
          </w:tcPr>
          <w:p>
            <w:pPr>
              <w:pStyle w:val="TableParagraph"/>
              <w:spacing w:line="210" w:lineRule="exact"/>
              <w:ind w:left="147"/>
              <w:rPr>
                <w:sz w:val="20"/>
              </w:rPr>
            </w:pPr>
            <w:r>
              <w:rPr>
                <w:spacing w:val="-5"/>
                <w:sz w:val="20"/>
              </w:rPr>
              <w:t>10m</w:t>
            </w:r>
          </w:p>
        </w:tc>
        <w:tc>
          <w:tcPr>
            <w:tcW w:w="1072" w:type="dxa"/>
          </w:tcPr>
          <w:p>
            <w:pPr>
              <w:pStyle w:val="TableParagraph"/>
              <w:spacing w:line="210" w:lineRule="exact"/>
              <w:ind w:left="127"/>
              <w:rPr>
                <w:sz w:val="20"/>
              </w:rPr>
            </w:pPr>
            <w:r>
              <w:rPr>
                <w:spacing w:val="-10"/>
                <w:sz w:val="20"/>
              </w:rPr>
              <w:t>-</w:t>
            </w:r>
          </w:p>
        </w:tc>
        <w:tc>
          <w:tcPr>
            <w:tcW w:w="1103" w:type="dxa"/>
          </w:tcPr>
          <w:p>
            <w:pPr>
              <w:pStyle w:val="TableParagraph"/>
              <w:spacing w:line="210" w:lineRule="exact"/>
              <w:ind w:left="135"/>
              <w:rPr>
                <w:sz w:val="20"/>
              </w:rPr>
            </w:pPr>
            <w:r>
              <w:rPr>
                <w:spacing w:val="-5"/>
                <w:sz w:val="20"/>
              </w:rPr>
              <w:t>5m</w:t>
            </w:r>
          </w:p>
        </w:tc>
        <w:tc>
          <w:tcPr>
            <w:tcW w:w="1351" w:type="dxa"/>
          </w:tcPr>
          <w:p>
            <w:pPr>
              <w:pStyle w:val="TableParagraph"/>
              <w:spacing w:line="210" w:lineRule="exact"/>
              <w:ind w:left="113"/>
              <w:rPr>
                <w:sz w:val="20"/>
              </w:rPr>
            </w:pPr>
            <w:r>
              <w:rPr>
                <w:spacing w:val="-10"/>
                <w:sz w:val="20"/>
              </w:rPr>
              <w:t>-</w:t>
            </w:r>
          </w:p>
        </w:tc>
        <w:tc>
          <w:tcPr>
            <w:tcW w:w="1087" w:type="dxa"/>
          </w:tcPr>
          <w:p>
            <w:pPr>
              <w:pStyle w:val="TableParagraph"/>
              <w:spacing w:line="210" w:lineRule="exact"/>
              <w:ind w:left="113"/>
              <w:rPr>
                <w:sz w:val="20"/>
              </w:rPr>
            </w:pPr>
            <w:r>
              <w:rPr>
                <w:spacing w:val="-4"/>
                <w:sz w:val="20"/>
              </w:rPr>
              <w:t>200m</w:t>
            </w:r>
          </w:p>
        </w:tc>
        <w:tc>
          <w:tcPr>
            <w:tcW w:w="885" w:type="dxa"/>
          </w:tcPr>
          <w:p>
            <w:pPr>
              <w:pStyle w:val="TableParagraph"/>
              <w:spacing w:line="210" w:lineRule="exact"/>
              <w:ind w:left="106"/>
              <w:rPr>
                <w:sz w:val="20"/>
              </w:rPr>
            </w:pPr>
            <w:r>
              <w:rPr>
                <w:spacing w:val="-5"/>
                <w:sz w:val="20"/>
              </w:rPr>
              <w:t>10m</w:t>
            </w:r>
          </w:p>
        </w:tc>
        <w:tc>
          <w:tcPr>
            <w:tcW w:w="897" w:type="dxa"/>
          </w:tcPr>
          <w:p>
            <w:pPr>
              <w:pStyle w:val="TableParagraph"/>
              <w:spacing w:line="210" w:lineRule="exact"/>
              <w:ind w:left="121"/>
              <w:rPr>
                <w:sz w:val="20"/>
              </w:rPr>
            </w:pPr>
            <w:r>
              <w:rPr>
                <w:spacing w:val="-5"/>
                <w:sz w:val="20"/>
              </w:rPr>
              <w:t>10m</w:t>
            </w:r>
          </w:p>
        </w:tc>
        <w:tc>
          <w:tcPr>
            <w:tcW w:w="1159" w:type="dxa"/>
          </w:tcPr>
          <w:p>
            <w:pPr>
              <w:pStyle w:val="TableParagraph"/>
              <w:spacing w:line="210" w:lineRule="exact"/>
              <w:ind w:left="129"/>
              <w:rPr>
                <w:sz w:val="20"/>
              </w:rPr>
            </w:pPr>
            <w:r>
              <w:rPr>
                <w:spacing w:val="-5"/>
                <w:sz w:val="20"/>
              </w:rPr>
              <w:t>10m</w:t>
            </w:r>
          </w:p>
        </w:tc>
        <w:tc>
          <w:tcPr>
            <w:tcW w:w="1066" w:type="dxa"/>
          </w:tcPr>
          <w:p>
            <w:pPr>
              <w:pStyle w:val="TableParagraph"/>
              <w:spacing w:line="210" w:lineRule="exact"/>
              <w:ind w:left="134"/>
              <w:rPr>
                <w:sz w:val="20"/>
              </w:rPr>
            </w:pPr>
            <w:r>
              <w:rPr>
                <w:spacing w:val="-10"/>
                <w:sz w:val="20"/>
              </w:rPr>
              <w:t>-</w:t>
            </w:r>
          </w:p>
        </w:tc>
        <w:tc>
          <w:tcPr>
            <w:tcW w:w="1127" w:type="dxa"/>
          </w:tcPr>
          <w:p>
            <w:pPr>
              <w:pStyle w:val="TableParagraph"/>
              <w:spacing w:line="210" w:lineRule="exact"/>
              <w:ind w:left="149"/>
              <w:rPr>
                <w:sz w:val="20"/>
              </w:rPr>
            </w:pPr>
            <w:r>
              <w:rPr>
                <w:spacing w:val="-10"/>
                <w:sz w:val="20"/>
              </w:rPr>
              <w:t>-</w:t>
            </w:r>
          </w:p>
        </w:tc>
        <w:tc>
          <w:tcPr>
            <w:tcW w:w="1418" w:type="dxa"/>
          </w:tcPr>
          <w:p>
            <w:pPr>
              <w:pStyle w:val="TableParagraph"/>
              <w:spacing w:line="210" w:lineRule="exact"/>
              <w:ind w:left="102"/>
              <w:rPr>
                <w:sz w:val="20"/>
              </w:rPr>
            </w:pPr>
            <w:r>
              <w:rPr>
                <w:spacing w:val="-10"/>
                <w:sz w:val="20"/>
              </w:rPr>
              <w:t>-</w:t>
            </w:r>
          </w:p>
        </w:tc>
        <w:tc>
          <w:tcPr>
            <w:tcW w:w="1294" w:type="dxa"/>
          </w:tcPr>
          <w:p>
            <w:pPr>
              <w:pStyle w:val="TableParagraph"/>
              <w:spacing w:line="210" w:lineRule="exact"/>
              <w:ind w:left="124"/>
              <w:rPr>
                <w:sz w:val="20"/>
              </w:rPr>
            </w:pPr>
            <w:r>
              <w:rPr>
                <w:spacing w:val="-10"/>
                <w:sz w:val="20"/>
              </w:rPr>
              <w:t>-</w:t>
            </w:r>
          </w:p>
        </w:tc>
      </w:tr>
      <w:tr>
        <w:trPr>
          <w:trHeight w:val="230" w:hRule="atLeast"/>
        </w:trPr>
        <w:tc>
          <w:tcPr>
            <w:tcW w:w="695" w:type="dxa"/>
          </w:tcPr>
          <w:p>
            <w:pPr>
              <w:pStyle w:val="TableParagraph"/>
              <w:spacing w:line="210" w:lineRule="exact"/>
              <w:ind w:left="122"/>
              <w:rPr>
                <w:sz w:val="20"/>
              </w:rPr>
            </w:pPr>
            <w:r>
              <w:rPr>
                <w:spacing w:val="-4"/>
                <w:sz w:val="20"/>
              </w:rPr>
              <w:t>2005</w:t>
            </w:r>
          </w:p>
        </w:tc>
        <w:tc>
          <w:tcPr>
            <w:tcW w:w="1009" w:type="dxa"/>
          </w:tcPr>
          <w:p>
            <w:pPr>
              <w:pStyle w:val="TableParagraph"/>
              <w:spacing w:line="210" w:lineRule="exact"/>
              <w:ind w:left="147"/>
              <w:rPr>
                <w:sz w:val="20"/>
              </w:rPr>
            </w:pPr>
            <w:r>
              <w:rPr>
                <w:spacing w:val="-4"/>
                <w:sz w:val="20"/>
              </w:rPr>
              <w:t>175m</w:t>
            </w:r>
          </w:p>
        </w:tc>
        <w:tc>
          <w:tcPr>
            <w:tcW w:w="1072" w:type="dxa"/>
          </w:tcPr>
          <w:p>
            <w:pPr>
              <w:pStyle w:val="TableParagraph"/>
              <w:spacing w:line="210" w:lineRule="exact"/>
              <w:ind w:left="127"/>
              <w:rPr>
                <w:sz w:val="20"/>
              </w:rPr>
            </w:pPr>
            <w:r>
              <w:rPr>
                <w:spacing w:val="-10"/>
                <w:sz w:val="20"/>
              </w:rPr>
              <w:t>-</w:t>
            </w:r>
          </w:p>
        </w:tc>
        <w:tc>
          <w:tcPr>
            <w:tcW w:w="1103" w:type="dxa"/>
          </w:tcPr>
          <w:p>
            <w:pPr>
              <w:pStyle w:val="TableParagraph"/>
              <w:spacing w:line="210" w:lineRule="exact"/>
              <w:ind w:left="135"/>
              <w:rPr>
                <w:sz w:val="20"/>
              </w:rPr>
            </w:pPr>
            <w:r>
              <w:rPr>
                <w:spacing w:val="-5"/>
                <w:sz w:val="20"/>
              </w:rPr>
              <w:t>10m</w:t>
            </w:r>
          </w:p>
        </w:tc>
        <w:tc>
          <w:tcPr>
            <w:tcW w:w="1351" w:type="dxa"/>
          </w:tcPr>
          <w:p>
            <w:pPr>
              <w:pStyle w:val="TableParagraph"/>
              <w:spacing w:line="210" w:lineRule="exact"/>
              <w:ind w:left="113"/>
              <w:rPr>
                <w:sz w:val="20"/>
              </w:rPr>
            </w:pPr>
            <w:r>
              <w:rPr>
                <w:spacing w:val="-10"/>
                <w:sz w:val="20"/>
              </w:rPr>
              <w:t>-</w:t>
            </w:r>
          </w:p>
        </w:tc>
        <w:tc>
          <w:tcPr>
            <w:tcW w:w="1087" w:type="dxa"/>
          </w:tcPr>
          <w:p>
            <w:pPr>
              <w:pStyle w:val="TableParagraph"/>
              <w:spacing w:line="210" w:lineRule="exact"/>
              <w:ind w:left="113"/>
              <w:rPr>
                <w:sz w:val="20"/>
              </w:rPr>
            </w:pPr>
            <w:r>
              <w:rPr>
                <w:spacing w:val="-5"/>
                <w:sz w:val="20"/>
              </w:rPr>
              <w:t>10m</w:t>
            </w:r>
          </w:p>
        </w:tc>
        <w:tc>
          <w:tcPr>
            <w:tcW w:w="885" w:type="dxa"/>
          </w:tcPr>
          <w:p>
            <w:pPr>
              <w:pStyle w:val="TableParagraph"/>
              <w:spacing w:line="210" w:lineRule="exact"/>
              <w:ind w:left="106"/>
              <w:rPr>
                <w:sz w:val="20"/>
              </w:rPr>
            </w:pPr>
            <w:r>
              <w:rPr>
                <w:spacing w:val="-5"/>
                <w:sz w:val="20"/>
              </w:rPr>
              <w:t>10m</w:t>
            </w:r>
          </w:p>
        </w:tc>
        <w:tc>
          <w:tcPr>
            <w:tcW w:w="897" w:type="dxa"/>
          </w:tcPr>
          <w:p>
            <w:pPr>
              <w:pStyle w:val="TableParagraph"/>
              <w:spacing w:line="210" w:lineRule="exact"/>
              <w:ind w:left="121"/>
              <w:rPr>
                <w:sz w:val="20"/>
              </w:rPr>
            </w:pPr>
            <w:r>
              <w:rPr>
                <w:spacing w:val="-5"/>
                <w:sz w:val="20"/>
              </w:rPr>
              <w:t>50m</w:t>
            </w:r>
          </w:p>
        </w:tc>
        <w:tc>
          <w:tcPr>
            <w:tcW w:w="1159" w:type="dxa"/>
          </w:tcPr>
          <w:p>
            <w:pPr>
              <w:pStyle w:val="TableParagraph"/>
              <w:spacing w:line="210" w:lineRule="exact"/>
              <w:ind w:left="129"/>
              <w:rPr>
                <w:sz w:val="20"/>
              </w:rPr>
            </w:pPr>
            <w:r>
              <w:rPr>
                <w:spacing w:val="-5"/>
                <w:sz w:val="20"/>
              </w:rPr>
              <w:t>40m</w:t>
            </w:r>
          </w:p>
        </w:tc>
        <w:tc>
          <w:tcPr>
            <w:tcW w:w="1066" w:type="dxa"/>
          </w:tcPr>
          <w:p>
            <w:pPr>
              <w:pStyle w:val="TableParagraph"/>
              <w:spacing w:line="210" w:lineRule="exact"/>
              <w:ind w:left="134"/>
              <w:rPr>
                <w:sz w:val="20"/>
              </w:rPr>
            </w:pPr>
            <w:r>
              <w:rPr>
                <w:spacing w:val="-5"/>
                <w:sz w:val="20"/>
              </w:rPr>
              <w:t>10m</w:t>
            </w:r>
          </w:p>
        </w:tc>
        <w:tc>
          <w:tcPr>
            <w:tcW w:w="1127" w:type="dxa"/>
          </w:tcPr>
          <w:p>
            <w:pPr>
              <w:pStyle w:val="TableParagraph"/>
              <w:spacing w:line="210" w:lineRule="exact"/>
              <w:ind w:left="149"/>
              <w:rPr>
                <w:sz w:val="20"/>
              </w:rPr>
            </w:pPr>
            <w:r>
              <w:rPr>
                <w:spacing w:val="-10"/>
                <w:sz w:val="20"/>
              </w:rPr>
              <w:t>-</w:t>
            </w:r>
          </w:p>
        </w:tc>
        <w:tc>
          <w:tcPr>
            <w:tcW w:w="1418" w:type="dxa"/>
          </w:tcPr>
          <w:p>
            <w:pPr>
              <w:pStyle w:val="TableParagraph"/>
              <w:spacing w:line="210" w:lineRule="exact"/>
              <w:ind w:left="102"/>
              <w:rPr>
                <w:sz w:val="20"/>
              </w:rPr>
            </w:pPr>
            <w:r>
              <w:rPr>
                <w:spacing w:val="-10"/>
                <w:sz w:val="20"/>
              </w:rPr>
              <w:t>-</w:t>
            </w:r>
          </w:p>
        </w:tc>
        <w:tc>
          <w:tcPr>
            <w:tcW w:w="1294" w:type="dxa"/>
          </w:tcPr>
          <w:p>
            <w:pPr>
              <w:pStyle w:val="TableParagraph"/>
              <w:spacing w:line="210" w:lineRule="exact"/>
              <w:ind w:left="124"/>
              <w:rPr>
                <w:sz w:val="20"/>
              </w:rPr>
            </w:pPr>
            <w:r>
              <w:rPr>
                <w:spacing w:val="-10"/>
                <w:sz w:val="20"/>
              </w:rPr>
              <w:t>-</w:t>
            </w:r>
          </w:p>
        </w:tc>
      </w:tr>
      <w:tr>
        <w:trPr>
          <w:trHeight w:val="230" w:hRule="atLeast"/>
        </w:trPr>
        <w:tc>
          <w:tcPr>
            <w:tcW w:w="695" w:type="dxa"/>
          </w:tcPr>
          <w:p>
            <w:pPr>
              <w:pStyle w:val="TableParagraph"/>
              <w:spacing w:line="210" w:lineRule="exact"/>
              <w:ind w:left="122"/>
              <w:rPr>
                <w:sz w:val="20"/>
              </w:rPr>
            </w:pPr>
            <w:r>
              <w:rPr>
                <w:spacing w:val="-4"/>
                <w:sz w:val="20"/>
              </w:rPr>
              <w:t>2006</w:t>
            </w:r>
          </w:p>
        </w:tc>
        <w:tc>
          <w:tcPr>
            <w:tcW w:w="1009" w:type="dxa"/>
          </w:tcPr>
          <w:p>
            <w:pPr>
              <w:pStyle w:val="TableParagraph"/>
              <w:spacing w:line="210" w:lineRule="exact"/>
              <w:ind w:left="147"/>
              <w:rPr>
                <w:sz w:val="20"/>
              </w:rPr>
            </w:pPr>
            <w:r>
              <w:rPr>
                <w:spacing w:val="-4"/>
                <w:sz w:val="20"/>
              </w:rPr>
              <w:t>100m</w:t>
            </w:r>
          </w:p>
        </w:tc>
        <w:tc>
          <w:tcPr>
            <w:tcW w:w="1072" w:type="dxa"/>
          </w:tcPr>
          <w:p>
            <w:pPr>
              <w:pStyle w:val="TableParagraph"/>
              <w:spacing w:line="210" w:lineRule="exact"/>
              <w:ind w:left="127"/>
              <w:rPr>
                <w:sz w:val="20"/>
              </w:rPr>
            </w:pPr>
            <w:r>
              <w:rPr>
                <w:spacing w:val="-10"/>
                <w:sz w:val="20"/>
              </w:rPr>
              <w:t>-</w:t>
            </w:r>
          </w:p>
        </w:tc>
        <w:tc>
          <w:tcPr>
            <w:tcW w:w="1103" w:type="dxa"/>
          </w:tcPr>
          <w:p>
            <w:pPr>
              <w:pStyle w:val="TableParagraph"/>
              <w:spacing w:line="210" w:lineRule="exact"/>
              <w:ind w:left="135"/>
              <w:rPr>
                <w:sz w:val="20"/>
              </w:rPr>
            </w:pPr>
            <w:r>
              <w:rPr>
                <w:spacing w:val="-5"/>
                <w:sz w:val="20"/>
              </w:rPr>
              <w:t>10m</w:t>
            </w:r>
          </w:p>
        </w:tc>
        <w:tc>
          <w:tcPr>
            <w:tcW w:w="1351" w:type="dxa"/>
          </w:tcPr>
          <w:p>
            <w:pPr>
              <w:pStyle w:val="TableParagraph"/>
              <w:spacing w:line="210" w:lineRule="exact"/>
              <w:ind w:left="113"/>
              <w:rPr>
                <w:sz w:val="20"/>
              </w:rPr>
            </w:pPr>
            <w:r>
              <w:rPr>
                <w:spacing w:val="-10"/>
                <w:sz w:val="20"/>
              </w:rPr>
              <w:t>-</w:t>
            </w:r>
          </w:p>
        </w:tc>
        <w:tc>
          <w:tcPr>
            <w:tcW w:w="1087" w:type="dxa"/>
          </w:tcPr>
          <w:p>
            <w:pPr>
              <w:pStyle w:val="TableParagraph"/>
              <w:spacing w:line="210" w:lineRule="exact"/>
              <w:ind w:left="113"/>
              <w:rPr>
                <w:sz w:val="20"/>
              </w:rPr>
            </w:pPr>
            <w:r>
              <w:rPr>
                <w:spacing w:val="-10"/>
                <w:sz w:val="20"/>
              </w:rPr>
              <w:t>-</w:t>
            </w:r>
          </w:p>
        </w:tc>
        <w:tc>
          <w:tcPr>
            <w:tcW w:w="885" w:type="dxa"/>
          </w:tcPr>
          <w:p>
            <w:pPr>
              <w:pStyle w:val="TableParagraph"/>
              <w:spacing w:line="210" w:lineRule="exact"/>
              <w:ind w:left="106"/>
              <w:rPr>
                <w:sz w:val="20"/>
              </w:rPr>
            </w:pPr>
            <w:r>
              <w:rPr>
                <w:spacing w:val="-5"/>
                <w:sz w:val="20"/>
              </w:rPr>
              <w:t>10m</w:t>
            </w:r>
          </w:p>
        </w:tc>
        <w:tc>
          <w:tcPr>
            <w:tcW w:w="897" w:type="dxa"/>
          </w:tcPr>
          <w:p>
            <w:pPr>
              <w:pStyle w:val="TableParagraph"/>
              <w:spacing w:line="210" w:lineRule="exact"/>
              <w:ind w:left="121"/>
              <w:rPr>
                <w:sz w:val="20"/>
              </w:rPr>
            </w:pPr>
            <w:r>
              <w:rPr>
                <w:spacing w:val="-5"/>
                <w:sz w:val="20"/>
              </w:rPr>
              <w:t>10m</w:t>
            </w:r>
          </w:p>
        </w:tc>
        <w:tc>
          <w:tcPr>
            <w:tcW w:w="1159" w:type="dxa"/>
          </w:tcPr>
          <w:p>
            <w:pPr>
              <w:pStyle w:val="TableParagraph"/>
              <w:spacing w:line="210" w:lineRule="exact"/>
              <w:ind w:left="129"/>
              <w:rPr>
                <w:sz w:val="20"/>
              </w:rPr>
            </w:pPr>
            <w:r>
              <w:rPr>
                <w:spacing w:val="-5"/>
                <w:sz w:val="20"/>
              </w:rPr>
              <w:t>10m</w:t>
            </w:r>
          </w:p>
        </w:tc>
        <w:tc>
          <w:tcPr>
            <w:tcW w:w="1066" w:type="dxa"/>
          </w:tcPr>
          <w:p>
            <w:pPr>
              <w:pStyle w:val="TableParagraph"/>
              <w:spacing w:line="210" w:lineRule="exact"/>
              <w:ind w:left="134"/>
              <w:rPr>
                <w:sz w:val="20"/>
              </w:rPr>
            </w:pPr>
            <w:r>
              <w:rPr>
                <w:spacing w:val="-10"/>
                <w:sz w:val="20"/>
              </w:rPr>
              <w:t>-</w:t>
            </w:r>
          </w:p>
        </w:tc>
        <w:tc>
          <w:tcPr>
            <w:tcW w:w="1127" w:type="dxa"/>
          </w:tcPr>
          <w:p>
            <w:pPr>
              <w:pStyle w:val="TableParagraph"/>
              <w:spacing w:line="210" w:lineRule="exact"/>
              <w:ind w:left="149"/>
              <w:rPr>
                <w:sz w:val="20"/>
              </w:rPr>
            </w:pPr>
            <w:r>
              <w:rPr>
                <w:spacing w:val="-5"/>
                <w:sz w:val="20"/>
              </w:rPr>
              <w:t>50m</w:t>
            </w:r>
          </w:p>
        </w:tc>
        <w:tc>
          <w:tcPr>
            <w:tcW w:w="1418" w:type="dxa"/>
          </w:tcPr>
          <w:p>
            <w:pPr>
              <w:pStyle w:val="TableParagraph"/>
              <w:spacing w:line="210" w:lineRule="exact"/>
              <w:ind w:left="102"/>
              <w:rPr>
                <w:sz w:val="20"/>
              </w:rPr>
            </w:pPr>
            <w:r>
              <w:rPr>
                <w:spacing w:val="-10"/>
                <w:sz w:val="20"/>
              </w:rPr>
              <w:t>-</w:t>
            </w:r>
          </w:p>
        </w:tc>
        <w:tc>
          <w:tcPr>
            <w:tcW w:w="1294" w:type="dxa"/>
          </w:tcPr>
          <w:p>
            <w:pPr>
              <w:pStyle w:val="TableParagraph"/>
              <w:spacing w:line="210" w:lineRule="exact"/>
              <w:ind w:left="124"/>
              <w:rPr>
                <w:sz w:val="20"/>
              </w:rPr>
            </w:pPr>
            <w:r>
              <w:rPr>
                <w:spacing w:val="-10"/>
                <w:sz w:val="20"/>
              </w:rPr>
              <w:t>-</w:t>
            </w:r>
          </w:p>
        </w:tc>
      </w:tr>
      <w:tr>
        <w:trPr>
          <w:trHeight w:val="230" w:hRule="atLeast"/>
        </w:trPr>
        <w:tc>
          <w:tcPr>
            <w:tcW w:w="695" w:type="dxa"/>
          </w:tcPr>
          <w:p>
            <w:pPr>
              <w:pStyle w:val="TableParagraph"/>
              <w:spacing w:line="210" w:lineRule="exact"/>
              <w:ind w:left="122"/>
              <w:rPr>
                <w:sz w:val="20"/>
              </w:rPr>
            </w:pPr>
            <w:r>
              <w:rPr>
                <w:spacing w:val="-4"/>
                <w:sz w:val="20"/>
              </w:rPr>
              <w:t>2007</w:t>
            </w:r>
          </w:p>
        </w:tc>
        <w:tc>
          <w:tcPr>
            <w:tcW w:w="1009" w:type="dxa"/>
          </w:tcPr>
          <w:p>
            <w:pPr>
              <w:pStyle w:val="TableParagraph"/>
              <w:spacing w:line="210" w:lineRule="exact"/>
              <w:ind w:left="147"/>
              <w:rPr>
                <w:sz w:val="20"/>
              </w:rPr>
            </w:pPr>
            <w:r>
              <w:rPr>
                <w:spacing w:val="-4"/>
                <w:sz w:val="20"/>
              </w:rPr>
              <w:t>100m</w:t>
            </w:r>
          </w:p>
        </w:tc>
        <w:tc>
          <w:tcPr>
            <w:tcW w:w="1072" w:type="dxa"/>
          </w:tcPr>
          <w:p>
            <w:pPr>
              <w:pStyle w:val="TableParagraph"/>
              <w:spacing w:line="210" w:lineRule="exact"/>
              <w:ind w:left="127"/>
              <w:rPr>
                <w:sz w:val="20"/>
              </w:rPr>
            </w:pPr>
            <w:r>
              <w:rPr>
                <w:spacing w:val="-10"/>
                <w:sz w:val="20"/>
              </w:rPr>
              <w:t>-</w:t>
            </w:r>
          </w:p>
        </w:tc>
        <w:tc>
          <w:tcPr>
            <w:tcW w:w="1103" w:type="dxa"/>
          </w:tcPr>
          <w:p>
            <w:pPr>
              <w:pStyle w:val="TableParagraph"/>
              <w:spacing w:line="210" w:lineRule="exact"/>
              <w:ind w:left="135"/>
              <w:rPr>
                <w:sz w:val="20"/>
              </w:rPr>
            </w:pPr>
            <w:r>
              <w:rPr>
                <w:spacing w:val="-5"/>
                <w:sz w:val="20"/>
              </w:rPr>
              <w:t>10m</w:t>
            </w:r>
          </w:p>
        </w:tc>
        <w:tc>
          <w:tcPr>
            <w:tcW w:w="1351" w:type="dxa"/>
          </w:tcPr>
          <w:p>
            <w:pPr>
              <w:pStyle w:val="TableParagraph"/>
              <w:spacing w:line="210" w:lineRule="exact"/>
              <w:ind w:left="113"/>
              <w:rPr>
                <w:sz w:val="20"/>
              </w:rPr>
            </w:pPr>
            <w:r>
              <w:rPr>
                <w:spacing w:val="-10"/>
                <w:sz w:val="20"/>
              </w:rPr>
              <w:t>-</w:t>
            </w:r>
          </w:p>
        </w:tc>
        <w:tc>
          <w:tcPr>
            <w:tcW w:w="1087" w:type="dxa"/>
          </w:tcPr>
          <w:p>
            <w:pPr>
              <w:pStyle w:val="TableParagraph"/>
              <w:spacing w:line="210" w:lineRule="exact"/>
              <w:ind w:left="113"/>
              <w:rPr>
                <w:sz w:val="20"/>
              </w:rPr>
            </w:pPr>
            <w:r>
              <w:rPr>
                <w:spacing w:val="-5"/>
                <w:sz w:val="20"/>
              </w:rPr>
              <w:t>10m</w:t>
            </w:r>
          </w:p>
        </w:tc>
        <w:tc>
          <w:tcPr>
            <w:tcW w:w="885" w:type="dxa"/>
          </w:tcPr>
          <w:p>
            <w:pPr>
              <w:pStyle w:val="TableParagraph"/>
              <w:spacing w:line="210" w:lineRule="exact"/>
              <w:ind w:left="106"/>
              <w:rPr>
                <w:sz w:val="20"/>
              </w:rPr>
            </w:pPr>
            <w:r>
              <w:rPr>
                <w:spacing w:val="-5"/>
                <w:sz w:val="20"/>
              </w:rPr>
              <w:t>10m</w:t>
            </w:r>
          </w:p>
        </w:tc>
        <w:tc>
          <w:tcPr>
            <w:tcW w:w="897" w:type="dxa"/>
          </w:tcPr>
          <w:p>
            <w:pPr>
              <w:pStyle w:val="TableParagraph"/>
              <w:spacing w:line="210" w:lineRule="exact"/>
              <w:ind w:left="121"/>
              <w:rPr>
                <w:sz w:val="20"/>
              </w:rPr>
            </w:pPr>
            <w:r>
              <w:rPr>
                <w:spacing w:val="-5"/>
                <w:sz w:val="20"/>
              </w:rPr>
              <w:t>10m</w:t>
            </w:r>
          </w:p>
        </w:tc>
        <w:tc>
          <w:tcPr>
            <w:tcW w:w="1159" w:type="dxa"/>
          </w:tcPr>
          <w:p>
            <w:pPr>
              <w:pStyle w:val="TableParagraph"/>
              <w:spacing w:line="210" w:lineRule="exact"/>
              <w:ind w:left="129"/>
              <w:rPr>
                <w:sz w:val="20"/>
              </w:rPr>
            </w:pPr>
            <w:r>
              <w:rPr>
                <w:spacing w:val="-5"/>
                <w:sz w:val="20"/>
              </w:rPr>
              <w:t>10m</w:t>
            </w:r>
          </w:p>
        </w:tc>
        <w:tc>
          <w:tcPr>
            <w:tcW w:w="1066" w:type="dxa"/>
          </w:tcPr>
          <w:p>
            <w:pPr>
              <w:pStyle w:val="TableParagraph"/>
              <w:spacing w:line="210" w:lineRule="exact"/>
              <w:ind w:left="134"/>
              <w:rPr>
                <w:sz w:val="20"/>
              </w:rPr>
            </w:pPr>
            <w:r>
              <w:rPr>
                <w:spacing w:val="-5"/>
                <w:sz w:val="20"/>
              </w:rPr>
              <w:t>10m</w:t>
            </w:r>
          </w:p>
        </w:tc>
        <w:tc>
          <w:tcPr>
            <w:tcW w:w="1127" w:type="dxa"/>
          </w:tcPr>
          <w:p>
            <w:pPr>
              <w:pStyle w:val="TableParagraph"/>
              <w:spacing w:line="210" w:lineRule="exact"/>
              <w:ind w:left="149"/>
              <w:rPr>
                <w:sz w:val="20"/>
              </w:rPr>
            </w:pPr>
            <w:r>
              <w:rPr>
                <w:spacing w:val="-5"/>
                <w:sz w:val="20"/>
              </w:rPr>
              <w:t>50m</w:t>
            </w:r>
          </w:p>
        </w:tc>
        <w:tc>
          <w:tcPr>
            <w:tcW w:w="1418" w:type="dxa"/>
          </w:tcPr>
          <w:p>
            <w:pPr>
              <w:pStyle w:val="TableParagraph"/>
              <w:spacing w:line="210" w:lineRule="exact"/>
              <w:ind w:left="102"/>
              <w:rPr>
                <w:sz w:val="20"/>
              </w:rPr>
            </w:pPr>
            <w:r>
              <w:rPr>
                <w:spacing w:val="-10"/>
                <w:sz w:val="20"/>
              </w:rPr>
              <w:t>-</w:t>
            </w:r>
          </w:p>
        </w:tc>
        <w:tc>
          <w:tcPr>
            <w:tcW w:w="1294" w:type="dxa"/>
          </w:tcPr>
          <w:p>
            <w:pPr>
              <w:pStyle w:val="TableParagraph"/>
              <w:spacing w:line="210" w:lineRule="exact"/>
              <w:ind w:left="124"/>
              <w:rPr>
                <w:sz w:val="20"/>
              </w:rPr>
            </w:pPr>
            <w:r>
              <w:rPr>
                <w:spacing w:val="-10"/>
                <w:sz w:val="20"/>
              </w:rPr>
              <w:t>-</w:t>
            </w:r>
          </w:p>
        </w:tc>
      </w:tr>
      <w:tr>
        <w:trPr>
          <w:trHeight w:val="229" w:hRule="atLeast"/>
        </w:trPr>
        <w:tc>
          <w:tcPr>
            <w:tcW w:w="695" w:type="dxa"/>
          </w:tcPr>
          <w:p>
            <w:pPr>
              <w:pStyle w:val="TableParagraph"/>
              <w:spacing w:line="209" w:lineRule="exact"/>
              <w:ind w:left="122"/>
              <w:rPr>
                <w:sz w:val="20"/>
              </w:rPr>
            </w:pPr>
            <w:r>
              <w:rPr>
                <w:spacing w:val="-4"/>
                <w:sz w:val="20"/>
              </w:rPr>
              <w:t>2008</w:t>
            </w:r>
          </w:p>
        </w:tc>
        <w:tc>
          <w:tcPr>
            <w:tcW w:w="1009" w:type="dxa"/>
          </w:tcPr>
          <w:p>
            <w:pPr>
              <w:pStyle w:val="TableParagraph"/>
              <w:spacing w:line="209" w:lineRule="exact"/>
              <w:ind w:left="147"/>
              <w:rPr>
                <w:sz w:val="20"/>
              </w:rPr>
            </w:pPr>
            <w:r>
              <w:rPr>
                <w:spacing w:val="-5"/>
                <w:sz w:val="20"/>
              </w:rPr>
              <w:t>10m</w:t>
            </w:r>
          </w:p>
        </w:tc>
        <w:tc>
          <w:tcPr>
            <w:tcW w:w="1072" w:type="dxa"/>
          </w:tcPr>
          <w:p>
            <w:pPr>
              <w:pStyle w:val="TableParagraph"/>
              <w:spacing w:line="209" w:lineRule="exact"/>
              <w:ind w:left="127"/>
              <w:rPr>
                <w:sz w:val="20"/>
              </w:rPr>
            </w:pPr>
            <w:r>
              <w:rPr>
                <w:spacing w:val="-10"/>
                <w:sz w:val="20"/>
              </w:rPr>
              <w:t>-</w:t>
            </w:r>
          </w:p>
        </w:tc>
        <w:tc>
          <w:tcPr>
            <w:tcW w:w="1103" w:type="dxa"/>
          </w:tcPr>
          <w:p>
            <w:pPr>
              <w:pStyle w:val="TableParagraph"/>
              <w:spacing w:line="209" w:lineRule="exact"/>
              <w:ind w:left="135"/>
              <w:rPr>
                <w:sz w:val="20"/>
              </w:rPr>
            </w:pPr>
            <w:r>
              <w:rPr>
                <w:spacing w:val="-5"/>
                <w:sz w:val="20"/>
              </w:rPr>
              <w:t>10m</w:t>
            </w:r>
          </w:p>
        </w:tc>
        <w:tc>
          <w:tcPr>
            <w:tcW w:w="1351" w:type="dxa"/>
          </w:tcPr>
          <w:p>
            <w:pPr>
              <w:pStyle w:val="TableParagraph"/>
              <w:spacing w:line="209" w:lineRule="exact"/>
              <w:ind w:left="113"/>
              <w:rPr>
                <w:sz w:val="20"/>
              </w:rPr>
            </w:pPr>
            <w:r>
              <w:rPr>
                <w:spacing w:val="-10"/>
                <w:sz w:val="20"/>
              </w:rPr>
              <w:t>-</w:t>
            </w:r>
          </w:p>
        </w:tc>
        <w:tc>
          <w:tcPr>
            <w:tcW w:w="1087" w:type="dxa"/>
          </w:tcPr>
          <w:p>
            <w:pPr>
              <w:pStyle w:val="TableParagraph"/>
              <w:spacing w:line="209" w:lineRule="exact"/>
              <w:ind w:left="113"/>
              <w:rPr>
                <w:sz w:val="20"/>
              </w:rPr>
            </w:pPr>
            <w:r>
              <w:rPr>
                <w:spacing w:val="-5"/>
                <w:sz w:val="20"/>
              </w:rPr>
              <w:t>50m</w:t>
            </w:r>
          </w:p>
        </w:tc>
        <w:tc>
          <w:tcPr>
            <w:tcW w:w="885" w:type="dxa"/>
          </w:tcPr>
          <w:p>
            <w:pPr>
              <w:pStyle w:val="TableParagraph"/>
              <w:spacing w:line="209" w:lineRule="exact"/>
              <w:ind w:left="106"/>
              <w:rPr>
                <w:sz w:val="20"/>
              </w:rPr>
            </w:pPr>
            <w:r>
              <w:rPr>
                <w:spacing w:val="-5"/>
                <w:sz w:val="20"/>
              </w:rPr>
              <w:t>10m</w:t>
            </w:r>
          </w:p>
        </w:tc>
        <w:tc>
          <w:tcPr>
            <w:tcW w:w="897" w:type="dxa"/>
          </w:tcPr>
          <w:p>
            <w:pPr>
              <w:pStyle w:val="TableParagraph"/>
              <w:spacing w:line="209" w:lineRule="exact"/>
              <w:ind w:left="121"/>
              <w:rPr>
                <w:sz w:val="20"/>
              </w:rPr>
            </w:pPr>
            <w:r>
              <w:rPr>
                <w:spacing w:val="-5"/>
                <w:sz w:val="20"/>
              </w:rPr>
              <w:t>10m</w:t>
            </w:r>
          </w:p>
        </w:tc>
        <w:tc>
          <w:tcPr>
            <w:tcW w:w="1159" w:type="dxa"/>
          </w:tcPr>
          <w:p>
            <w:pPr>
              <w:pStyle w:val="TableParagraph"/>
              <w:spacing w:line="209" w:lineRule="exact"/>
              <w:ind w:left="129"/>
              <w:rPr>
                <w:sz w:val="20"/>
              </w:rPr>
            </w:pPr>
            <w:r>
              <w:rPr>
                <w:spacing w:val="-5"/>
                <w:sz w:val="20"/>
              </w:rPr>
              <w:t>10m</w:t>
            </w:r>
          </w:p>
        </w:tc>
        <w:tc>
          <w:tcPr>
            <w:tcW w:w="1066" w:type="dxa"/>
          </w:tcPr>
          <w:p>
            <w:pPr>
              <w:pStyle w:val="TableParagraph"/>
              <w:spacing w:line="209" w:lineRule="exact"/>
              <w:ind w:left="134"/>
              <w:rPr>
                <w:sz w:val="20"/>
              </w:rPr>
            </w:pPr>
            <w:r>
              <w:rPr>
                <w:spacing w:val="-5"/>
                <w:sz w:val="20"/>
              </w:rPr>
              <w:t>10m</w:t>
            </w:r>
          </w:p>
        </w:tc>
        <w:tc>
          <w:tcPr>
            <w:tcW w:w="1127" w:type="dxa"/>
          </w:tcPr>
          <w:p>
            <w:pPr>
              <w:pStyle w:val="TableParagraph"/>
              <w:spacing w:line="209" w:lineRule="exact"/>
              <w:ind w:left="149"/>
              <w:rPr>
                <w:sz w:val="20"/>
              </w:rPr>
            </w:pPr>
            <w:r>
              <w:rPr>
                <w:spacing w:val="-5"/>
                <w:sz w:val="20"/>
              </w:rPr>
              <w:t>25m</w:t>
            </w:r>
          </w:p>
        </w:tc>
        <w:tc>
          <w:tcPr>
            <w:tcW w:w="1418" w:type="dxa"/>
          </w:tcPr>
          <w:p>
            <w:pPr>
              <w:pStyle w:val="TableParagraph"/>
              <w:spacing w:line="209" w:lineRule="exact"/>
              <w:ind w:left="102"/>
              <w:rPr>
                <w:sz w:val="20"/>
              </w:rPr>
            </w:pPr>
            <w:r>
              <w:rPr>
                <w:spacing w:val="-10"/>
                <w:sz w:val="20"/>
              </w:rPr>
              <w:t>-</w:t>
            </w:r>
          </w:p>
        </w:tc>
        <w:tc>
          <w:tcPr>
            <w:tcW w:w="1294" w:type="dxa"/>
          </w:tcPr>
          <w:p>
            <w:pPr>
              <w:pStyle w:val="TableParagraph"/>
              <w:spacing w:line="209" w:lineRule="exact"/>
              <w:ind w:left="124"/>
              <w:rPr>
                <w:sz w:val="20"/>
              </w:rPr>
            </w:pPr>
            <w:r>
              <w:rPr>
                <w:spacing w:val="-10"/>
                <w:sz w:val="20"/>
              </w:rPr>
              <w:t>-</w:t>
            </w:r>
          </w:p>
        </w:tc>
      </w:tr>
      <w:tr>
        <w:trPr>
          <w:trHeight w:val="229" w:hRule="atLeast"/>
        </w:trPr>
        <w:tc>
          <w:tcPr>
            <w:tcW w:w="695" w:type="dxa"/>
          </w:tcPr>
          <w:p>
            <w:pPr>
              <w:pStyle w:val="TableParagraph"/>
              <w:spacing w:line="209" w:lineRule="exact"/>
              <w:ind w:left="122"/>
              <w:rPr>
                <w:sz w:val="20"/>
              </w:rPr>
            </w:pPr>
            <w:r>
              <w:rPr>
                <w:spacing w:val="-4"/>
                <w:sz w:val="20"/>
              </w:rPr>
              <w:t>2009</w:t>
            </w:r>
          </w:p>
        </w:tc>
        <w:tc>
          <w:tcPr>
            <w:tcW w:w="1009" w:type="dxa"/>
          </w:tcPr>
          <w:p>
            <w:pPr>
              <w:pStyle w:val="TableParagraph"/>
              <w:spacing w:line="209" w:lineRule="exact"/>
              <w:ind w:left="147"/>
              <w:rPr>
                <w:sz w:val="20"/>
              </w:rPr>
            </w:pPr>
            <w:r>
              <w:rPr>
                <w:spacing w:val="-5"/>
                <w:sz w:val="20"/>
              </w:rPr>
              <w:t>10m</w:t>
            </w:r>
          </w:p>
        </w:tc>
        <w:tc>
          <w:tcPr>
            <w:tcW w:w="1072" w:type="dxa"/>
          </w:tcPr>
          <w:p>
            <w:pPr>
              <w:pStyle w:val="TableParagraph"/>
              <w:spacing w:line="209" w:lineRule="exact"/>
              <w:ind w:left="127"/>
              <w:rPr>
                <w:sz w:val="20"/>
              </w:rPr>
            </w:pPr>
            <w:r>
              <w:rPr>
                <w:spacing w:val="-10"/>
                <w:sz w:val="20"/>
              </w:rPr>
              <w:t>-</w:t>
            </w:r>
          </w:p>
        </w:tc>
        <w:tc>
          <w:tcPr>
            <w:tcW w:w="1103" w:type="dxa"/>
          </w:tcPr>
          <w:p>
            <w:pPr>
              <w:pStyle w:val="TableParagraph"/>
              <w:spacing w:line="209" w:lineRule="exact"/>
              <w:ind w:left="135"/>
              <w:rPr>
                <w:sz w:val="20"/>
              </w:rPr>
            </w:pPr>
            <w:r>
              <w:rPr>
                <w:spacing w:val="-4"/>
                <w:sz w:val="20"/>
              </w:rPr>
              <w:t>200m</w:t>
            </w:r>
          </w:p>
        </w:tc>
        <w:tc>
          <w:tcPr>
            <w:tcW w:w="1351" w:type="dxa"/>
          </w:tcPr>
          <w:p>
            <w:pPr>
              <w:pStyle w:val="TableParagraph"/>
              <w:spacing w:line="209" w:lineRule="exact"/>
              <w:ind w:left="113"/>
              <w:rPr>
                <w:sz w:val="20"/>
              </w:rPr>
            </w:pPr>
            <w:r>
              <w:rPr>
                <w:spacing w:val="-10"/>
                <w:sz w:val="20"/>
              </w:rPr>
              <w:t>-</w:t>
            </w:r>
          </w:p>
        </w:tc>
        <w:tc>
          <w:tcPr>
            <w:tcW w:w="1087" w:type="dxa"/>
          </w:tcPr>
          <w:p>
            <w:pPr>
              <w:pStyle w:val="TableParagraph"/>
              <w:spacing w:line="209" w:lineRule="exact"/>
              <w:ind w:left="113"/>
              <w:rPr>
                <w:sz w:val="20"/>
              </w:rPr>
            </w:pPr>
            <w:r>
              <w:rPr>
                <w:spacing w:val="-5"/>
                <w:sz w:val="20"/>
              </w:rPr>
              <w:t>50m</w:t>
            </w:r>
          </w:p>
        </w:tc>
        <w:tc>
          <w:tcPr>
            <w:tcW w:w="885" w:type="dxa"/>
          </w:tcPr>
          <w:p>
            <w:pPr>
              <w:pStyle w:val="TableParagraph"/>
              <w:spacing w:line="209" w:lineRule="exact"/>
              <w:ind w:left="106"/>
              <w:rPr>
                <w:sz w:val="20"/>
              </w:rPr>
            </w:pPr>
            <w:r>
              <w:rPr>
                <w:spacing w:val="-10"/>
                <w:sz w:val="20"/>
              </w:rPr>
              <w:t>-</w:t>
            </w:r>
          </w:p>
        </w:tc>
        <w:tc>
          <w:tcPr>
            <w:tcW w:w="897" w:type="dxa"/>
          </w:tcPr>
          <w:p>
            <w:pPr>
              <w:pStyle w:val="TableParagraph"/>
              <w:spacing w:line="209" w:lineRule="exact"/>
              <w:ind w:left="121"/>
              <w:rPr>
                <w:sz w:val="20"/>
              </w:rPr>
            </w:pPr>
            <w:r>
              <w:rPr>
                <w:spacing w:val="-10"/>
                <w:sz w:val="20"/>
              </w:rPr>
              <w:t>-</w:t>
            </w:r>
          </w:p>
        </w:tc>
        <w:tc>
          <w:tcPr>
            <w:tcW w:w="1159" w:type="dxa"/>
          </w:tcPr>
          <w:p>
            <w:pPr>
              <w:pStyle w:val="TableParagraph"/>
              <w:spacing w:line="209" w:lineRule="exact"/>
              <w:ind w:left="129"/>
              <w:rPr>
                <w:sz w:val="20"/>
              </w:rPr>
            </w:pPr>
            <w:r>
              <w:rPr>
                <w:spacing w:val="-5"/>
                <w:sz w:val="20"/>
              </w:rPr>
              <w:t>30m</w:t>
            </w:r>
          </w:p>
        </w:tc>
        <w:tc>
          <w:tcPr>
            <w:tcW w:w="1066" w:type="dxa"/>
          </w:tcPr>
          <w:p>
            <w:pPr>
              <w:pStyle w:val="TableParagraph"/>
              <w:spacing w:line="209" w:lineRule="exact"/>
              <w:ind w:left="134"/>
              <w:rPr>
                <w:sz w:val="20"/>
              </w:rPr>
            </w:pPr>
            <w:r>
              <w:rPr>
                <w:spacing w:val="-10"/>
                <w:sz w:val="20"/>
              </w:rPr>
              <w:t>-</w:t>
            </w:r>
          </w:p>
        </w:tc>
        <w:tc>
          <w:tcPr>
            <w:tcW w:w="1127" w:type="dxa"/>
          </w:tcPr>
          <w:p>
            <w:pPr>
              <w:pStyle w:val="TableParagraph"/>
              <w:spacing w:line="209" w:lineRule="exact"/>
              <w:ind w:left="149"/>
              <w:rPr>
                <w:sz w:val="20"/>
              </w:rPr>
            </w:pPr>
            <w:r>
              <w:rPr>
                <w:spacing w:val="-5"/>
                <w:sz w:val="20"/>
              </w:rPr>
              <w:t>45m</w:t>
            </w:r>
          </w:p>
        </w:tc>
        <w:tc>
          <w:tcPr>
            <w:tcW w:w="1418" w:type="dxa"/>
          </w:tcPr>
          <w:p>
            <w:pPr>
              <w:pStyle w:val="TableParagraph"/>
              <w:spacing w:line="209" w:lineRule="exact"/>
              <w:ind w:left="102"/>
              <w:rPr>
                <w:sz w:val="20"/>
              </w:rPr>
            </w:pPr>
            <w:r>
              <w:rPr>
                <w:spacing w:val="-10"/>
                <w:sz w:val="20"/>
              </w:rPr>
              <w:t>-</w:t>
            </w:r>
          </w:p>
        </w:tc>
        <w:tc>
          <w:tcPr>
            <w:tcW w:w="1294" w:type="dxa"/>
          </w:tcPr>
          <w:p>
            <w:pPr>
              <w:pStyle w:val="TableParagraph"/>
              <w:spacing w:line="209" w:lineRule="exact"/>
              <w:ind w:left="124"/>
              <w:rPr>
                <w:sz w:val="20"/>
              </w:rPr>
            </w:pPr>
            <w:r>
              <w:rPr>
                <w:spacing w:val="-10"/>
                <w:sz w:val="20"/>
              </w:rPr>
              <w:t>-</w:t>
            </w:r>
          </w:p>
        </w:tc>
      </w:tr>
      <w:tr>
        <w:trPr>
          <w:trHeight w:val="230" w:hRule="atLeast"/>
        </w:trPr>
        <w:tc>
          <w:tcPr>
            <w:tcW w:w="695" w:type="dxa"/>
          </w:tcPr>
          <w:p>
            <w:pPr>
              <w:pStyle w:val="TableParagraph"/>
              <w:spacing w:line="210" w:lineRule="exact"/>
              <w:ind w:left="122"/>
              <w:rPr>
                <w:sz w:val="20"/>
              </w:rPr>
            </w:pPr>
            <w:r>
              <w:rPr>
                <w:spacing w:val="-4"/>
                <w:sz w:val="20"/>
              </w:rPr>
              <w:t>2010</w:t>
            </w:r>
          </w:p>
        </w:tc>
        <w:tc>
          <w:tcPr>
            <w:tcW w:w="1009" w:type="dxa"/>
          </w:tcPr>
          <w:p>
            <w:pPr>
              <w:pStyle w:val="TableParagraph"/>
              <w:spacing w:line="210" w:lineRule="exact"/>
              <w:ind w:left="147"/>
              <w:rPr>
                <w:sz w:val="20"/>
              </w:rPr>
            </w:pPr>
            <w:r>
              <w:rPr>
                <w:spacing w:val="-5"/>
                <w:sz w:val="20"/>
              </w:rPr>
              <w:t>10m</w:t>
            </w:r>
          </w:p>
        </w:tc>
        <w:tc>
          <w:tcPr>
            <w:tcW w:w="1072" w:type="dxa"/>
          </w:tcPr>
          <w:p>
            <w:pPr>
              <w:pStyle w:val="TableParagraph"/>
              <w:spacing w:line="210" w:lineRule="exact"/>
              <w:ind w:left="127"/>
              <w:rPr>
                <w:sz w:val="20"/>
              </w:rPr>
            </w:pPr>
            <w:r>
              <w:rPr>
                <w:spacing w:val="-10"/>
                <w:sz w:val="20"/>
              </w:rPr>
              <w:t>-</w:t>
            </w:r>
          </w:p>
        </w:tc>
        <w:tc>
          <w:tcPr>
            <w:tcW w:w="1103" w:type="dxa"/>
          </w:tcPr>
          <w:p>
            <w:pPr>
              <w:pStyle w:val="TableParagraph"/>
              <w:spacing w:line="210" w:lineRule="exact"/>
              <w:ind w:left="135"/>
              <w:rPr>
                <w:sz w:val="20"/>
              </w:rPr>
            </w:pPr>
            <w:r>
              <w:rPr>
                <w:spacing w:val="-4"/>
                <w:sz w:val="20"/>
              </w:rPr>
              <w:t>100m</w:t>
            </w:r>
          </w:p>
        </w:tc>
        <w:tc>
          <w:tcPr>
            <w:tcW w:w="1351" w:type="dxa"/>
          </w:tcPr>
          <w:p>
            <w:pPr>
              <w:pStyle w:val="TableParagraph"/>
              <w:spacing w:line="210" w:lineRule="exact"/>
              <w:ind w:left="113"/>
              <w:rPr>
                <w:sz w:val="20"/>
              </w:rPr>
            </w:pPr>
            <w:r>
              <w:rPr>
                <w:spacing w:val="-10"/>
                <w:sz w:val="20"/>
              </w:rPr>
              <w:t>-</w:t>
            </w:r>
          </w:p>
        </w:tc>
        <w:tc>
          <w:tcPr>
            <w:tcW w:w="1087" w:type="dxa"/>
          </w:tcPr>
          <w:p>
            <w:pPr>
              <w:pStyle w:val="TableParagraph"/>
              <w:spacing w:line="210" w:lineRule="exact"/>
              <w:ind w:left="113"/>
              <w:rPr>
                <w:sz w:val="20"/>
              </w:rPr>
            </w:pPr>
            <w:r>
              <w:rPr>
                <w:spacing w:val="-5"/>
                <w:sz w:val="20"/>
              </w:rPr>
              <w:t>10m</w:t>
            </w:r>
          </w:p>
        </w:tc>
        <w:tc>
          <w:tcPr>
            <w:tcW w:w="885" w:type="dxa"/>
          </w:tcPr>
          <w:p>
            <w:pPr>
              <w:pStyle w:val="TableParagraph"/>
              <w:spacing w:line="210" w:lineRule="exact"/>
              <w:ind w:left="106"/>
              <w:rPr>
                <w:sz w:val="20"/>
              </w:rPr>
            </w:pPr>
            <w:r>
              <w:rPr>
                <w:spacing w:val="-10"/>
                <w:sz w:val="20"/>
              </w:rPr>
              <w:t>-</w:t>
            </w:r>
          </w:p>
        </w:tc>
        <w:tc>
          <w:tcPr>
            <w:tcW w:w="897" w:type="dxa"/>
          </w:tcPr>
          <w:p>
            <w:pPr>
              <w:pStyle w:val="TableParagraph"/>
              <w:spacing w:line="210" w:lineRule="exact"/>
              <w:ind w:left="121"/>
              <w:rPr>
                <w:sz w:val="20"/>
              </w:rPr>
            </w:pPr>
            <w:r>
              <w:rPr>
                <w:spacing w:val="-10"/>
                <w:sz w:val="20"/>
              </w:rPr>
              <w:t>-</w:t>
            </w:r>
          </w:p>
        </w:tc>
        <w:tc>
          <w:tcPr>
            <w:tcW w:w="1159" w:type="dxa"/>
          </w:tcPr>
          <w:p>
            <w:pPr>
              <w:pStyle w:val="TableParagraph"/>
              <w:spacing w:line="210" w:lineRule="exact"/>
              <w:ind w:left="129"/>
              <w:rPr>
                <w:sz w:val="20"/>
              </w:rPr>
            </w:pPr>
            <w:r>
              <w:rPr>
                <w:spacing w:val="-5"/>
                <w:sz w:val="20"/>
              </w:rPr>
              <w:t>10m</w:t>
            </w:r>
          </w:p>
        </w:tc>
        <w:tc>
          <w:tcPr>
            <w:tcW w:w="1066" w:type="dxa"/>
          </w:tcPr>
          <w:p>
            <w:pPr>
              <w:pStyle w:val="TableParagraph"/>
              <w:spacing w:line="210" w:lineRule="exact"/>
              <w:ind w:left="134"/>
              <w:rPr>
                <w:sz w:val="20"/>
              </w:rPr>
            </w:pPr>
            <w:r>
              <w:rPr>
                <w:spacing w:val="-10"/>
                <w:sz w:val="20"/>
              </w:rPr>
              <w:t>-</w:t>
            </w:r>
          </w:p>
        </w:tc>
        <w:tc>
          <w:tcPr>
            <w:tcW w:w="1127" w:type="dxa"/>
          </w:tcPr>
          <w:p>
            <w:pPr>
              <w:pStyle w:val="TableParagraph"/>
              <w:spacing w:line="210" w:lineRule="exact"/>
              <w:ind w:left="149"/>
              <w:rPr>
                <w:sz w:val="20"/>
              </w:rPr>
            </w:pPr>
            <w:r>
              <w:rPr>
                <w:spacing w:val="-5"/>
                <w:sz w:val="20"/>
              </w:rPr>
              <w:t>50m</w:t>
            </w:r>
          </w:p>
        </w:tc>
        <w:tc>
          <w:tcPr>
            <w:tcW w:w="1418" w:type="dxa"/>
          </w:tcPr>
          <w:p>
            <w:pPr>
              <w:pStyle w:val="TableParagraph"/>
              <w:spacing w:line="210" w:lineRule="exact"/>
              <w:ind w:left="102"/>
              <w:rPr>
                <w:sz w:val="20"/>
              </w:rPr>
            </w:pPr>
            <w:r>
              <w:rPr>
                <w:spacing w:val="-10"/>
                <w:sz w:val="20"/>
              </w:rPr>
              <w:t>-</w:t>
            </w:r>
          </w:p>
        </w:tc>
        <w:tc>
          <w:tcPr>
            <w:tcW w:w="1294" w:type="dxa"/>
          </w:tcPr>
          <w:p>
            <w:pPr>
              <w:pStyle w:val="TableParagraph"/>
              <w:spacing w:line="210" w:lineRule="exact"/>
              <w:ind w:left="124"/>
              <w:rPr>
                <w:sz w:val="20"/>
              </w:rPr>
            </w:pPr>
            <w:r>
              <w:rPr>
                <w:spacing w:val="-10"/>
                <w:sz w:val="20"/>
              </w:rPr>
              <w:t>-</w:t>
            </w:r>
          </w:p>
        </w:tc>
      </w:tr>
      <w:tr>
        <w:trPr>
          <w:trHeight w:val="230" w:hRule="atLeast"/>
        </w:trPr>
        <w:tc>
          <w:tcPr>
            <w:tcW w:w="695" w:type="dxa"/>
          </w:tcPr>
          <w:p>
            <w:pPr>
              <w:pStyle w:val="TableParagraph"/>
              <w:spacing w:line="210" w:lineRule="exact"/>
              <w:ind w:left="122"/>
              <w:rPr>
                <w:sz w:val="20"/>
              </w:rPr>
            </w:pPr>
            <w:r>
              <w:rPr>
                <w:spacing w:val="-4"/>
                <w:sz w:val="20"/>
              </w:rPr>
              <w:t>2011</w:t>
            </w:r>
          </w:p>
        </w:tc>
        <w:tc>
          <w:tcPr>
            <w:tcW w:w="1009" w:type="dxa"/>
          </w:tcPr>
          <w:p>
            <w:pPr>
              <w:pStyle w:val="TableParagraph"/>
              <w:spacing w:line="210" w:lineRule="exact"/>
              <w:ind w:left="147"/>
              <w:rPr>
                <w:sz w:val="20"/>
              </w:rPr>
            </w:pPr>
            <w:r>
              <w:rPr>
                <w:spacing w:val="-10"/>
                <w:sz w:val="20"/>
              </w:rPr>
              <w:t>-</w:t>
            </w:r>
          </w:p>
        </w:tc>
        <w:tc>
          <w:tcPr>
            <w:tcW w:w="1072" w:type="dxa"/>
          </w:tcPr>
          <w:p>
            <w:pPr>
              <w:pStyle w:val="TableParagraph"/>
              <w:spacing w:line="210" w:lineRule="exact"/>
              <w:ind w:left="127"/>
              <w:rPr>
                <w:sz w:val="20"/>
              </w:rPr>
            </w:pPr>
            <w:r>
              <w:rPr>
                <w:spacing w:val="-10"/>
                <w:sz w:val="20"/>
              </w:rPr>
              <w:t>-</w:t>
            </w:r>
          </w:p>
        </w:tc>
        <w:tc>
          <w:tcPr>
            <w:tcW w:w="1103" w:type="dxa"/>
          </w:tcPr>
          <w:p>
            <w:pPr>
              <w:pStyle w:val="TableParagraph"/>
              <w:spacing w:line="210" w:lineRule="exact"/>
              <w:ind w:left="135"/>
              <w:rPr>
                <w:sz w:val="20"/>
              </w:rPr>
            </w:pPr>
            <w:r>
              <w:rPr>
                <w:spacing w:val="-5"/>
                <w:sz w:val="20"/>
              </w:rPr>
              <w:t>60m</w:t>
            </w:r>
          </w:p>
        </w:tc>
        <w:tc>
          <w:tcPr>
            <w:tcW w:w="1351" w:type="dxa"/>
          </w:tcPr>
          <w:p>
            <w:pPr>
              <w:pStyle w:val="TableParagraph"/>
              <w:spacing w:line="210" w:lineRule="exact"/>
              <w:ind w:left="113"/>
              <w:rPr>
                <w:sz w:val="20"/>
              </w:rPr>
            </w:pPr>
            <w:r>
              <w:rPr>
                <w:spacing w:val="-10"/>
                <w:sz w:val="20"/>
              </w:rPr>
              <w:t>-</w:t>
            </w:r>
          </w:p>
        </w:tc>
        <w:tc>
          <w:tcPr>
            <w:tcW w:w="1087" w:type="dxa"/>
          </w:tcPr>
          <w:p>
            <w:pPr>
              <w:pStyle w:val="TableParagraph"/>
              <w:spacing w:line="210" w:lineRule="exact"/>
              <w:ind w:left="113"/>
              <w:rPr>
                <w:sz w:val="20"/>
              </w:rPr>
            </w:pPr>
            <w:r>
              <w:rPr>
                <w:spacing w:val="-10"/>
                <w:sz w:val="20"/>
              </w:rPr>
              <w:t>-</w:t>
            </w:r>
          </w:p>
        </w:tc>
        <w:tc>
          <w:tcPr>
            <w:tcW w:w="885" w:type="dxa"/>
          </w:tcPr>
          <w:p>
            <w:pPr>
              <w:pStyle w:val="TableParagraph"/>
              <w:spacing w:line="210" w:lineRule="exact"/>
              <w:ind w:left="106"/>
              <w:rPr>
                <w:sz w:val="20"/>
              </w:rPr>
            </w:pPr>
            <w:r>
              <w:rPr>
                <w:spacing w:val="-10"/>
                <w:sz w:val="20"/>
              </w:rPr>
              <w:t>-</w:t>
            </w:r>
          </w:p>
        </w:tc>
        <w:tc>
          <w:tcPr>
            <w:tcW w:w="897" w:type="dxa"/>
          </w:tcPr>
          <w:p>
            <w:pPr>
              <w:pStyle w:val="TableParagraph"/>
              <w:spacing w:line="210" w:lineRule="exact"/>
              <w:ind w:left="121"/>
              <w:rPr>
                <w:sz w:val="20"/>
              </w:rPr>
            </w:pPr>
            <w:r>
              <w:rPr>
                <w:spacing w:val="-10"/>
                <w:sz w:val="20"/>
              </w:rPr>
              <w:t>-</w:t>
            </w:r>
          </w:p>
        </w:tc>
        <w:tc>
          <w:tcPr>
            <w:tcW w:w="1159" w:type="dxa"/>
          </w:tcPr>
          <w:p>
            <w:pPr>
              <w:pStyle w:val="TableParagraph"/>
              <w:spacing w:line="210" w:lineRule="exact"/>
              <w:ind w:left="129"/>
              <w:rPr>
                <w:sz w:val="20"/>
              </w:rPr>
            </w:pPr>
            <w:r>
              <w:rPr>
                <w:spacing w:val="-5"/>
                <w:sz w:val="20"/>
              </w:rPr>
              <w:t>10m</w:t>
            </w:r>
          </w:p>
        </w:tc>
        <w:tc>
          <w:tcPr>
            <w:tcW w:w="1066" w:type="dxa"/>
          </w:tcPr>
          <w:p>
            <w:pPr>
              <w:pStyle w:val="TableParagraph"/>
              <w:spacing w:line="210" w:lineRule="exact"/>
              <w:ind w:left="134"/>
              <w:rPr>
                <w:sz w:val="20"/>
              </w:rPr>
            </w:pPr>
            <w:r>
              <w:rPr>
                <w:spacing w:val="-5"/>
                <w:sz w:val="20"/>
              </w:rPr>
              <w:t>80m</w:t>
            </w:r>
          </w:p>
        </w:tc>
        <w:tc>
          <w:tcPr>
            <w:tcW w:w="1127" w:type="dxa"/>
          </w:tcPr>
          <w:p>
            <w:pPr>
              <w:pStyle w:val="TableParagraph"/>
              <w:spacing w:line="210" w:lineRule="exact"/>
              <w:ind w:left="149"/>
              <w:rPr>
                <w:sz w:val="20"/>
              </w:rPr>
            </w:pPr>
            <w:r>
              <w:rPr>
                <w:spacing w:val="-5"/>
                <w:sz w:val="20"/>
              </w:rPr>
              <w:t>80m</w:t>
            </w:r>
          </w:p>
        </w:tc>
        <w:tc>
          <w:tcPr>
            <w:tcW w:w="1418" w:type="dxa"/>
          </w:tcPr>
          <w:p>
            <w:pPr>
              <w:pStyle w:val="TableParagraph"/>
              <w:spacing w:line="210" w:lineRule="exact"/>
              <w:ind w:left="102"/>
              <w:rPr>
                <w:sz w:val="20"/>
              </w:rPr>
            </w:pPr>
            <w:r>
              <w:rPr>
                <w:spacing w:val="-10"/>
                <w:sz w:val="20"/>
              </w:rPr>
              <w:t>-</w:t>
            </w:r>
          </w:p>
        </w:tc>
        <w:tc>
          <w:tcPr>
            <w:tcW w:w="1294" w:type="dxa"/>
          </w:tcPr>
          <w:p>
            <w:pPr>
              <w:pStyle w:val="TableParagraph"/>
              <w:spacing w:line="210" w:lineRule="exact"/>
              <w:ind w:left="124"/>
              <w:rPr>
                <w:sz w:val="20"/>
              </w:rPr>
            </w:pPr>
            <w:r>
              <w:rPr>
                <w:spacing w:val="-10"/>
                <w:sz w:val="20"/>
              </w:rPr>
              <w:t>-</w:t>
            </w:r>
          </w:p>
        </w:tc>
      </w:tr>
      <w:tr>
        <w:trPr>
          <w:trHeight w:val="230" w:hRule="atLeast"/>
        </w:trPr>
        <w:tc>
          <w:tcPr>
            <w:tcW w:w="695" w:type="dxa"/>
          </w:tcPr>
          <w:p>
            <w:pPr>
              <w:pStyle w:val="TableParagraph"/>
              <w:spacing w:line="210" w:lineRule="exact"/>
              <w:ind w:left="122"/>
              <w:rPr>
                <w:sz w:val="20"/>
              </w:rPr>
            </w:pPr>
            <w:r>
              <w:rPr>
                <w:spacing w:val="-4"/>
                <w:sz w:val="20"/>
              </w:rPr>
              <w:t>2012</w:t>
            </w:r>
          </w:p>
        </w:tc>
        <w:tc>
          <w:tcPr>
            <w:tcW w:w="1009" w:type="dxa"/>
          </w:tcPr>
          <w:p>
            <w:pPr>
              <w:pStyle w:val="TableParagraph"/>
              <w:spacing w:line="210" w:lineRule="exact"/>
              <w:ind w:left="147"/>
              <w:rPr>
                <w:sz w:val="20"/>
              </w:rPr>
            </w:pPr>
            <w:r>
              <w:rPr>
                <w:spacing w:val="-10"/>
                <w:sz w:val="20"/>
              </w:rPr>
              <w:t>-</w:t>
            </w:r>
          </w:p>
        </w:tc>
        <w:tc>
          <w:tcPr>
            <w:tcW w:w="1072" w:type="dxa"/>
          </w:tcPr>
          <w:p>
            <w:pPr>
              <w:pStyle w:val="TableParagraph"/>
              <w:spacing w:line="210" w:lineRule="exact"/>
              <w:ind w:left="127"/>
              <w:rPr>
                <w:sz w:val="20"/>
              </w:rPr>
            </w:pPr>
            <w:r>
              <w:rPr>
                <w:spacing w:val="-10"/>
                <w:sz w:val="20"/>
              </w:rPr>
              <w:t>-</w:t>
            </w:r>
          </w:p>
        </w:tc>
        <w:tc>
          <w:tcPr>
            <w:tcW w:w="1103" w:type="dxa"/>
          </w:tcPr>
          <w:p>
            <w:pPr>
              <w:pStyle w:val="TableParagraph"/>
              <w:spacing w:line="210" w:lineRule="exact"/>
              <w:ind w:left="135"/>
              <w:rPr>
                <w:sz w:val="20"/>
              </w:rPr>
            </w:pPr>
            <w:r>
              <w:rPr>
                <w:spacing w:val="-5"/>
                <w:sz w:val="20"/>
              </w:rPr>
              <w:t>10m</w:t>
            </w:r>
          </w:p>
        </w:tc>
        <w:tc>
          <w:tcPr>
            <w:tcW w:w="1351" w:type="dxa"/>
          </w:tcPr>
          <w:p>
            <w:pPr>
              <w:pStyle w:val="TableParagraph"/>
              <w:spacing w:line="210" w:lineRule="exact"/>
              <w:ind w:left="113"/>
              <w:rPr>
                <w:sz w:val="20"/>
              </w:rPr>
            </w:pPr>
            <w:r>
              <w:rPr>
                <w:spacing w:val="-10"/>
                <w:sz w:val="20"/>
              </w:rPr>
              <w:t>-</w:t>
            </w:r>
          </w:p>
        </w:tc>
        <w:tc>
          <w:tcPr>
            <w:tcW w:w="1087" w:type="dxa"/>
          </w:tcPr>
          <w:p>
            <w:pPr>
              <w:pStyle w:val="TableParagraph"/>
              <w:spacing w:line="210" w:lineRule="exact"/>
              <w:ind w:left="113"/>
              <w:rPr>
                <w:sz w:val="20"/>
              </w:rPr>
            </w:pPr>
            <w:r>
              <w:rPr>
                <w:spacing w:val="-10"/>
                <w:sz w:val="20"/>
              </w:rPr>
              <w:t>-</w:t>
            </w:r>
          </w:p>
        </w:tc>
        <w:tc>
          <w:tcPr>
            <w:tcW w:w="885" w:type="dxa"/>
          </w:tcPr>
          <w:p>
            <w:pPr>
              <w:pStyle w:val="TableParagraph"/>
              <w:spacing w:line="210" w:lineRule="exact"/>
              <w:ind w:left="106"/>
              <w:rPr>
                <w:sz w:val="20"/>
              </w:rPr>
            </w:pPr>
            <w:r>
              <w:rPr>
                <w:spacing w:val="-10"/>
                <w:sz w:val="20"/>
              </w:rPr>
              <w:t>-</w:t>
            </w:r>
          </w:p>
        </w:tc>
        <w:tc>
          <w:tcPr>
            <w:tcW w:w="897" w:type="dxa"/>
          </w:tcPr>
          <w:p>
            <w:pPr>
              <w:pStyle w:val="TableParagraph"/>
              <w:spacing w:line="210" w:lineRule="exact"/>
              <w:ind w:left="121"/>
              <w:rPr>
                <w:sz w:val="20"/>
              </w:rPr>
            </w:pPr>
            <w:r>
              <w:rPr>
                <w:spacing w:val="-10"/>
                <w:sz w:val="20"/>
              </w:rPr>
              <w:t>-</w:t>
            </w:r>
          </w:p>
        </w:tc>
        <w:tc>
          <w:tcPr>
            <w:tcW w:w="1159" w:type="dxa"/>
          </w:tcPr>
          <w:p>
            <w:pPr>
              <w:pStyle w:val="TableParagraph"/>
              <w:spacing w:line="210" w:lineRule="exact"/>
              <w:ind w:left="129"/>
              <w:rPr>
                <w:sz w:val="20"/>
              </w:rPr>
            </w:pPr>
            <w:r>
              <w:rPr>
                <w:spacing w:val="-5"/>
                <w:sz w:val="20"/>
              </w:rPr>
              <w:t>10m</w:t>
            </w:r>
          </w:p>
        </w:tc>
        <w:tc>
          <w:tcPr>
            <w:tcW w:w="1066" w:type="dxa"/>
          </w:tcPr>
          <w:p>
            <w:pPr>
              <w:pStyle w:val="TableParagraph"/>
              <w:spacing w:line="210" w:lineRule="exact"/>
              <w:ind w:left="134"/>
              <w:rPr>
                <w:sz w:val="20"/>
              </w:rPr>
            </w:pPr>
            <w:r>
              <w:rPr>
                <w:spacing w:val="-4"/>
                <w:sz w:val="20"/>
              </w:rPr>
              <w:t>400m</w:t>
            </w:r>
          </w:p>
        </w:tc>
        <w:tc>
          <w:tcPr>
            <w:tcW w:w="1127" w:type="dxa"/>
          </w:tcPr>
          <w:p>
            <w:pPr>
              <w:pStyle w:val="TableParagraph"/>
              <w:spacing w:line="210" w:lineRule="exact"/>
              <w:ind w:left="149"/>
              <w:rPr>
                <w:sz w:val="20"/>
              </w:rPr>
            </w:pPr>
            <w:r>
              <w:rPr>
                <w:spacing w:val="-5"/>
                <w:sz w:val="20"/>
              </w:rPr>
              <w:t>5m</w:t>
            </w:r>
          </w:p>
        </w:tc>
        <w:tc>
          <w:tcPr>
            <w:tcW w:w="1418" w:type="dxa"/>
          </w:tcPr>
          <w:p>
            <w:pPr>
              <w:pStyle w:val="TableParagraph"/>
              <w:spacing w:line="210" w:lineRule="exact"/>
              <w:ind w:left="102"/>
              <w:rPr>
                <w:sz w:val="20"/>
              </w:rPr>
            </w:pPr>
            <w:r>
              <w:rPr>
                <w:spacing w:val="-10"/>
                <w:sz w:val="20"/>
              </w:rPr>
              <w:t>-</w:t>
            </w:r>
          </w:p>
        </w:tc>
        <w:tc>
          <w:tcPr>
            <w:tcW w:w="1294" w:type="dxa"/>
          </w:tcPr>
          <w:p>
            <w:pPr>
              <w:pStyle w:val="TableParagraph"/>
              <w:spacing w:line="210" w:lineRule="exact"/>
              <w:ind w:left="124"/>
              <w:rPr>
                <w:sz w:val="20"/>
              </w:rPr>
            </w:pPr>
            <w:r>
              <w:rPr>
                <w:spacing w:val="-10"/>
                <w:sz w:val="20"/>
              </w:rPr>
              <w:t>-</w:t>
            </w:r>
          </w:p>
        </w:tc>
      </w:tr>
      <w:tr>
        <w:trPr>
          <w:trHeight w:val="229" w:hRule="atLeast"/>
        </w:trPr>
        <w:tc>
          <w:tcPr>
            <w:tcW w:w="695" w:type="dxa"/>
          </w:tcPr>
          <w:p>
            <w:pPr>
              <w:pStyle w:val="TableParagraph"/>
              <w:spacing w:line="209" w:lineRule="exact"/>
              <w:ind w:left="122"/>
              <w:rPr>
                <w:sz w:val="20"/>
              </w:rPr>
            </w:pPr>
            <w:r>
              <w:rPr>
                <w:spacing w:val="-4"/>
                <w:sz w:val="20"/>
              </w:rPr>
              <w:t>2013</w:t>
            </w:r>
          </w:p>
        </w:tc>
        <w:tc>
          <w:tcPr>
            <w:tcW w:w="1009" w:type="dxa"/>
          </w:tcPr>
          <w:p>
            <w:pPr>
              <w:pStyle w:val="TableParagraph"/>
              <w:spacing w:line="209" w:lineRule="exact"/>
              <w:ind w:left="147"/>
              <w:rPr>
                <w:sz w:val="20"/>
              </w:rPr>
            </w:pPr>
            <w:r>
              <w:rPr>
                <w:spacing w:val="-10"/>
                <w:sz w:val="20"/>
              </w:rPr>
              <w:t>-</w:t>
            </w:r>
          </w:p>
        </w:tc>
        <w:tc>
          <w:tcPr>
            <w:tcW w:w="1072" w:type="dxa"/>
          </w:tcPr>
          <w:p>
            <w:pPr>
              <w:pStyle w:val="TableParagraph"/>
              <w:spacing w:line="209" w:lineRule="exact"/>
              <w:ind w:left="127"/>
              <w:rPr>
                <w:sz w:val="20"/>
              </w:rPr>
            </w:pPr>
            <w:r>
              <w:rPr>
                <w:spacing w:val="-10"/>
                <w:sz w:val="20"/>
              </w:rPr>
              <w:t>-</w:t>
            </w:r>
          </w:p>
        </w:tc>
        <w:tc>
          <w:tcPr>
            <w:tcW w:w="1103" w:type="dxa"/>
          </w:tcPr>
          <w:p>
            <w:pPr>
              <w:pStyle w:val="TableParagraph"/>
              <w:spacing w:line="209" w:lineRule="exact"/>
              <w:ind w:left="135"/>
              <w:rPr>
                <w:sz w:val="20"/>
              </w:rPr>
            </w:pPr>
            <w:r>
              <w:rPr>
                <w:spacing w:val="-5"/>
                <w:sz w:val="20"/>
              </w:rPr>
              <w:t>30m</w:t>
            </w:r>
          </w:p>
        </w:tc>
        <w:tc>
          <w:tcPr>
            <w:tcW w:w="1351" w:type="dxa"/>
          </w:tcPr>
          <w:p>
            <w:pPr>
              <w:pStyle w:val="TableParagraph"/>
              <w:spacing w:line="209" w:lineRule="exact"/>
              <w:ind w:left="113"/>
              <w:rPr>
                <w:sz w:val="20"/>
              </w:rPr>
            </w:pPr>
            <w:r>
              <w:rPr>
                <w:spacing w:val="-10"/>
                <w:sz w:val="20"/>
              </w:rPr>
              <w:t>-</w:t>
            </w:r>
          </w:p>
        </w:tc>
        <w:tc>
          <w:tcPr>
            <w:tcW w:w="1087" w:type="dxa"/>
          </w:tcPr>
          <w:p>
            <w:pPr>
              <w:pStyle w:val="TableParagraph"/>
              <w:spacing w:line="209" w:lineRule="exact"/>
              <w:ind w:left="113"/>
              <w:rPr>
                <w:sz w:val="20"/>
              </w:rPr>
            </w:pPr>
            <w:r>
              <w:rPr>
                <w:spacing w:val="-10"/>
                <w:sz w:val="20"/>
              </w:rPr>
              <w:t>-</w:t>
            </w:r>
          </w:p>
        </w:tc>
        <w:tc>
          <w:tcPr>
            <w:tcW w:w="885" w:type="dxa"/>
          </w:tcPr>
          <w:p>
            <w:pPr>
              <w:pStyle w:val="TableParagraph"/>
              <w:spacing w:line="209" w:lineRule="exact"/>
              <w:ind w:left="106"/>
              <w:rPr>
                <w:sz w:val="20"/>
              </w:rPr>
            </w:pPr>
            <w:r>
              <w:rPr>
                <w:spacing w:val="-10"/>
                <w:sz w:val="20"/>
              </w:rPr>
              <w:t>-</w:t>
            </w:r>
          </w:p>
        </w:tc>
        <w:tc>
          <w:tcPr>
            <w:tcW w:w="897" w:type="dxa"/>
          </w:tcPr>
          <w:p>
            <w:pPr>
              <w:pStyle w:val="TableParagraph"/>
              <w:spacing w:line="209" w:lineRule="exact"/>
              <w:ind w:left="121"/>
              <w:rPr>
                <w:sz w:val="20"/>
              </w:rPr>
            </w:pPr>
            <w:r>
              <w:rPr>
                <w:spacing w:val="-10"/>
                <w:sz w:val="20"/>
              </w:rPr>
              <w:t>-</w:t>
            </w:r>
          </w:p>
        </w:tc>
        <w:tc>
          <w:tcPr>
            <w:tcW w:w="1159" w:type="dxa"/>
          </w:tcPr>
          <w:p>
            <w:pPr>
              <w:pStyle w:val="TableParagraph"/>
              <w:spacing w:line="209" w:lineRule="exact"/>
              <w:ind w:left="129"/>
              <w:rPr>
                <w:sz w:val="20"/>
              </w:rPr>
            </w:pPr>
            <w:r>
              <w:rPr>
                <w:spacing w:val="-5"/>
                <w:sz w:val="20"/>
              </w:rPr>
              <w:t>10m</w:t>
            </w:r>
          </w:p>
        </w:tc>
        <w:tc>
          <w:tcPr>
            <w:tcW w:w="1066" w:type="dxa"/>
          </w:tcPr>
          <w:p>
            <w:pPr>
              <w:pStyle w:val="TableParagraph"/>
              <w:spacing w:line="209" w:lineRule="exact"/>
              <w:ind w:left="134"/>
              <w:rPr>
                <w:sz w:val="20"/>
              </w:rPr>
            </w:pPr>
            <w:r>
              <w:rPr>
                <w:spacing w:val="-4"/>
                <w:sz w:val="20"/>
              </w:rPr>
              <w:t>100m</w:t>
            </w:r>
          </w:p>
        </w:tc>
        <w:tc>
          <w:tcPr>
            <w:tcW w:w="1127" w:type="dxa"/>
          </w:tcPr>
          <w:p>
            <w:pPr>
              <w:pStyle w:val="TableParagraph"/>
              <w:spacing w:line="209" w:lineRule="exact"/>
              <w:ind w:left="149"/>
              <w:rPr>
                <w:sz w:val="20"/>
              </w:rPr>
            </w:pPr>
            <w:r>
              <w:rPr>
                <w:spacing w:val="-5"/>
                <w:sz w:val="20"/>
              </w:rPr>
              <w:t>5m</w:t>
            </w:r>
          </w:p>
        </w:tc>
        <w:tc>
          <w:tcPr>
            <w:tcW w:w="1418" w:type="dxa"/>
          </w:tcPr>
          <w:p>
            <w:pPr>
              <w:pStyle w:val="TableParagraph"/>
              <w:spacing w:line="209" w:lineRule="exact"/>
              <w:ind w:left="102"/>
              <w:rPr>
                <w:sz w:val="20"/>
              </w:rPr>
            </w:pPr>
            <w:r>
              <w:rPr>
                <w:spacing w:val="-10"/>
                <w:sz w:val="20"/>
              </w:rPr>
              <w:t>-</w:t>
            </w:r>
          </w:p>
        </w:tc>
        <w:tc>
          <w:tcPr>
            <w:tcW w:w="1294" w:type="dxa"/>
          </w:tcPr>
          <w:p>
            <w:pPr>
              <w:pStyle w:val="TableParagraph"/>
              <w:spacing w:line="209" w:lineRule="exact"/>
              <w:ind w:left="124"/>
              <w:rPr>
                <w:sz w:val="20"/>
              </w:rPr>
            </w:pPr>
            <w:r>
              <w:rPr>
                <w:spacing w:val="-10"/>
                <w:sz w:val="20"/>
              </w:rPr>
              <w:t>-</w:t>
            </w:r>
          </w:p>
        </w:tc>
      </w:tr>
      <w:tr>
        <w:trPr>
          <w:trHeight w:val="229" w:hRule="atLeast"/>
        </w:trPr>
        <w:tc>
          <w:tcPr>
            <w:tcW w:w="695" w:type="dxa"/>
          </w:tcPr>
          <w:p>
            <w:pPr>
              <w:pStyle w:val="TableParagraph"/>
              <w:spacing w:line="209" w:lineRule="exact"/>
              <w:ind w:left="122"/>
              <w:rPr>
                <w:sz w:val="20"/>
              </w:rPr>
            </w:pPr>
            <w:r>
              <w:rPr>
                <w:spacing w:val="-4"/>
                <w:sz w:val="20"/>
              </w:rPr>
              <w:t>2014</w:t>
            </w:r>
          </w:p>
        </w:tc>
        <w:tc>
          <w:tcPr>
            <w:tcW w:w="1009" w:type="dxa"/>
          </w:tcPr>
          <w:p>
            <w:pPr>
              <w:pStyle w:val="TableParagraph"/>
              <w:spacing w:line="209" w:lineRule="exact"/>
              <w:ind w:left="147"/>
              <w:rPr>
                <w:sz w:val="20"/>
              </w:rPr>
            </w:pPr>
            <w:r>
              <w:rPr>
                <w:spacing w:val="-10"/>
                <w:sz w:val="20"/>
              </w:rPr>
              <w:t>-</w:t>
            </w:r>
          </w:p>
        </w:tc>
        <w:tc>
          <w:tcPr>
            <w:tcW w:w="1072" w:type="dxa"/>
          </w:tcPr>
          <w:p>
            <w:pPr>
              <w:pStyle w:val="TableParagraph"/>
              <w:spacing w:line="209" w:lineRule="exact"/>
              <w:ind w:left="127"/>
              <w:rPr>
                <w:sz w:val="20"/>
              </w:rPr>
            </w:pPr>
            <w:r>
              <w:rPr>
                <w:spacing w:val="-10"/>
                <w:sz w:val="20"/>
              </w:rPr>
              <w:t>-</w:t>
            </w:r>
          </w:p>
        </w:tc>
        <w:tc>
          <w:tcPr>
            <w:tcW w:w="1103" w:type="dxa"/>
          </w:tcPr>
          <w:p>
            <w:pPr>
              <w:pStyle w:val="TableParagraph"/>
              <w:spacing w:line="209" w:lineRule="exact"/>
              <w:ind w:left="135"/>
              <w:rPr>
                <w:sz w:val="20"/>
              </w:rPr>
            </w:pPr>
            <w:r>
              <w:rPr>
                <w:spacing w:val="-10"/>
                <w:sz w:val="20"/>
              </w:rPr>
              <w:t>-</w:t>
            </w:r>
          </w:p>
        </w:tc>
        <w:tc>
          <w:tcPr>
            <w:tcW w:w="1351" w:type="dxa"/>
          </w:tcPr>
          <w:p>
            <w:pPr>
              <w:pStyle w:val="TableParagraph"/>
              <w:spacing w:line="209" w:lineRule="exact"/>
              <w:ind w:left="113"/>
              <w:rPr>
                <w:sz w:val="20"/>
              </w:rPr>
            </w:pPr>
            <w:r>
              <w:rPr>
                <w:spacing w:val="-10"/>
                <w:sz w:val="20"/>
              </w:rPr>
              <w:t>-</w:t>
            </w:r>
          </w:p>
        </w:tc>
        <w:tc>
          <w:tcPr>
            <w:tcW w:w="1087" w:type="dxa"/>
          </w:tcPr>
          <w:p>
            <w:pPr>
              <w:pStyle w:val="TableParagraph"/>
              <w:spacing w:line="209" w:lineRule="exact"/>
              <w:ind w:left="113"/>
              <w:rPr>
                <w:sz w:val="20"/>
              </w:rPr>
            </w:pPr>
            <w:r>
              <w:rPr>
                <w:spacing w:val="-10"/>
                <w:sz w:val="20"/>
              </w:rPr>
              <w:t>-</w:t>
            </w:r>
          </w:p>
        </w:tc>
        <w:tc>
          <w:tcPr>
            <w:tcW w:w="885" w:type="dxa"/>
          </w:tcPr>
          <w:p>
            <w:pPr>
              <w:pStyle w:val="TableParagraph"/>
              <w:spacing w:line="209" w:lineRule="exact"/>
              <w:ind w:left="106"/>
              <w:rPr>
                <w:sz w:val="20"/>
              </w:rPr>
            </w:pPr>
            <w:r>
              <w:rPr>
                <w:spacing w:val="-10"/>
                <w:sz w:val="20"/>
              </w:rPr>
              <w:t>-</w:t>
            </w:r>
          </w:p>
        </w:tc>
        <w:tc>
          <w:tcPr>
            <w:tcW w:w="897" w:type="dxa"/>
          </w:tcPr>
          <w:p>
            <w:pPr>
              <w:pStyle w:val="TableParagraph"/>
              <w:spacing w:line="209" w:lineRule="exact"/>
              <w:ind w:left="121"/>
              <w:rPr>
                <w:sz w:val="20"/>
              </w:rPr>
            </w:pPr>
            <w:r>
              <w:rPr>
                <w:spacing w:val="-10"/>
                <w:sz w:val="20"/>
              </w:rPr>
              <w:t>-</w:t>
            </w:r>
          </w:p>
        </w:tc>
        <w:tc>
          <w:tcPr>
            <w:tcW w:w="1159" w:type="dxa"/>
          </w:tcPr>
          <w:p>
            <w:pPr>
              <w:pStyle w:val="TableParagraph"/>
              <w:spacing w:line="209" w:lineRule="exact"/>
              <w:ind w:left="129"/>
              <w:rPr>
                <w:sz w:val="20"/>
              </w:rPr>
            </w:pPr>
            <w:r>
              <w:rPr>
                <w:spacing w:val="-10"/>
                <w:sz w:val="20"/>
              </w:rPr>
              <w:t>-</w:t>
            </w:r>
          </w:p>
        </w:tc>
        <w:tc>
          <w:tcPr>
            <w:tcW w:w="1066" w:type="dxa"/>
          </w:tcPr>
          <w:p>
            <w:pPr>
              <w:pStyle w:val="TableParagraph"/>
              <w:spacing w:line="209" w:lineRule="exact"/>
              <w:ind w:left="134"/>
              <w:rPr>
                <w:sz w:val="20"/>
              </w:rPr>
            </w:pPr>
            <w:r>
              <w:rPr>
                <w:spacing w:val="-10"/>
                <w:sz w:val="20"/>
              </w:rPr>
              <w:t>-</w:t>
            </w:r>
          </w:p>
        </w:tc>
        <w:tc>
          <w:tcPr>
            <w:tcW w:w="1127" w:type="dxa"/>
          </w:tcPr>
          <w:p>
            <w:pPr>
              <w:pStyle w:val="TableParagraph"/>
              <w:spacing w:line="209" w:lineRule="exact"/>
              <w:ind w:left="149"/>
              <w:rPr>
                <w:sz w:val="20"/>
              </w:rPr>
            </w:pPr>
            <w:r>
              <w:rPr>
                <w:spacing w:val="-10"/>
                <w:sz w:val="20"/>
              </w:rPr>
              <w:t>-</w:t>
            </w:r>
          </w:p>
        </w:tc>
        <w:tc>
          <w:tcPr>
            <w:tcW w:w="1418" w:type="dxa"/>
          </w:tcPr>
          <w:p>
            <w:pPr>
              <w:pStyle w:val="TableParagraph"/>
              <w:spacing w:line="209" w:lineRule="exact"/>
              <w:ind w:left="102"/>
              <w:rPr>
                <w:sz w:val="20"/>
              </w:rPr>
            </w:pPr>
            <w:r>
              <w:rPr>
                <w:spacing w:val="-2"/>
                <w:sz w:val="20"/>
              </w:rPr>
              <w:t>1.31b</w:t>
            </w:r>
          </w:p>
        </w:tc>
        <w:tc>
          <w:tcPr>
            <w:tcW w:w="1294" w:type="dxa"/>
          </w:tcPr>
          <w:p>
            <w:pPr>
              <w:pStyle w:val="TableParagraph"/>
              <w:spacing w:line="209" w:lineRule="exact"/>
              <w:ind w:left="124"/>
              <w:rPr>
                <w:sz w:val="20"/>
              </w:rPr>
            </w:pPr>
            <w:r>
              <w:rPr>
                <w:spacing w:val="-4"/>
                <w:sz w:val="20"/>
              </w:rPr>
              <w:t>137m</w:t>
            </w:r>
          </w:p>
        </w:tc>
      </w:tr>
      <w:tr>
        <w:trPr>
          <w:trHeight w:val="230" w:hRule="atLeast"/>
        </w:trPr>
        <w:tc>
          <w:tcPr>
            <w:tcW w:w="695" w:type="dxa"/>
          </w:tcPr>
          <w:p>
            <w:pPr>
              <w:pStyle w:val="TableParagraph"/>
              <w:spacing w:line="210" w:lineRule="exact"/>
              <w:ind w:left="122"/>
              <w:rPr>
                <w:sz w:val="20"/>
              </w:rPr>
            </w:pPr>
            <w:r>
              <w:rPr>
                <w:spacing w:val="-4"/>
                <w:sz w:val="20"/>
              </w:rPr>
              <w:t>2015</w:t>
            </w:r>
          </w:p>
        </w:tc>
        <w:tc>
          <w:tcPr>
            <w:tcW w:w="1009" w:type="dxa"/>
          </w:tcPr>
          <w:p>
            <w:pPr>
              <w:pStyle w:val="TableParagraph"/>
              <w:spacing w:line="210" w:lineRule="exact"/>
              <w:ind w:left="147"/>
              <w:rPr>
                <w:sz w:val="20"/>
              </w:rPr>
            </w:pPr>
            <w:r>
              <w:rPr>
                <w:spacing w:val="-10"/>
                <w:sz w:val="20"/>
              </w:rPr>
              <w:t>-</w:t>
            </w:r>
          </w:p>
        </w:tc>
        <w:tc>
          <w:tcPr>
            <w:tcW w:w="1072" w:type="dxa"/>
          </w:tcPr>
          <w:p>
            <w:pPr>
              <w:pStyle w:val="TableParagraph"/>
              <w:spacing w:line="210" w:lineRule="exact"/>
              <w:ind w:left="127"/>
              <w:rPr>
                <w:sz w:val="20"/>
              </w:rPr>
            </w:pPr>
            <w:r>
              <w:rPr>
                <w:spacing w:val="-10"/>
                <w:sz w:val="20"/>
              </w:rPr>
              <w:t>-</w:t>
            </w:r>
          </w:p>
        </w:tc>
        <w:tc>
          <w:tcPr>
            <w:tcW w:w="1103" w:type="dxa"/>
          </w:tcPr>
          <w:p>
            <w:pPr>
              <w:pStyle w:val="TableParagraph"/>
              <w:spacing w:line="210" w:lineRule="exact"/>
              <w:ind w:left="135"/>
              <w:rPr>
                <w:sz w:val="20"/>
              </w:rPr>
            </w:pPr>
            <w:r>
              <w:rPr>
                <w:spacing w:val="-10"/>
                <w:sz w:val="20"/>
              </w:rPr>
              <w:t>-</w:t>
            </w:r>
          </w:p>
        </w:tc>
        <w:tc>
          <w:tcPr>
            <w:tcW w:w="1351" w:type="dxa"/>
          </w:tcPr>
          <w:p>
            <w:pPr>
              <w:pStyle w:val="TableParagraph"/>
              <w:spacing w:line="210" w:lineRule="exact"/>
              <w:ind w:left="113"/>
              <w:rPr>
                <w:sz w:val="20"/>
              </w:rPr>
            </w:pPr>
            <w:r>
              <w:rPr>
                <w:spacing w:val="-10"/>
                <w:sz w:val="20"/>
              </w:rPr>
              <w:t>-</w:t>
            </w:r>
          </w:p>
        </w:tc>
        <w:tc>
          <w:tcPr>
            <w:tcW w:w="1087" w:type="dxa"/>
          </w:tcPr>
          <w:p>
            <w:pPr>
              <w:pStyle w:val="TableParagraph"/>
              <w:spacing w:line="210" w:lineRule="exact"/>
              <w:ind w:left="113"/>
              <w:rPr>
                <w:sz w:val="20"/>
              </w:rPr>
            </w:pPr>
            <w:r>
              <w:rPr>
                <w:spacing w:val="-10"/>
                <w:sz w:val="20"/>
              </w:rPr>
              <w:t>-</w:t>
            </w:r>
          </w:p>
        </w:tc>
        <w:tc>
          <w:tcPr>
            <w:tcW w:w="885" w:type="dxa"/>
          </w:tcPr>
          <w:p>
            <w:pPr>
              <w:pStyle w:val="TableParagraph"/>
              <w:spacing w:line="210" w:lineRule="exact"/>
              <w:ind w:left="106"/>
              <w:rPr>
                <w:sz w:val="20"/>
              </w:rPr>
            </w:pPr>
            <w:r>
              <w:rPr>
                <w:spacing w:val="-10"/>
                <w:sz w:val="20"/>
              </w:rPr>
              <w:t>-</w:t>
            </w:r>
          </w:p>
        </w:tc>
        <w:tc>
          <w:tcPr>
            <w:tcW w:w="897" w:type="dxa"/>
          </w:tcPr>
          <w:p>
            <w:pPr>
              <w:pStyle w:val="TableParagraph"/>
              <w:spacing w:line="210" w:lineRule="exact"/>
              <w:ind w:left="121"/>
              <w:rPr>
                <w:sz w:val="20"/>
              </w:rPr>
            </w:pPr>
            <w:r>
              <w:rPr>
                <w:spacing w:val="-10"/>
                <w:sz w:val="20"/>
              </w:rPr>
              <w:t>-</w:t>
            </w:r>
          </w:p>
        </w:tc>
        <w:tc>
          <w:tcPr>
            <w:tcW w:w="1159" w:type="dxa"/>
          </w:tcPr>
          <w:p>
            <w:pPr>
              <w:pStyle w:val="TableParagraph"/>
              <w:spacing w:line="210" w:lineRule="exact"/>
              <w:ind w:left="129"/>
              <w:rPr>
                <w:sz w:val="20"/>
              </w:rPr>
            </w:pPr>
            <w:r>
              <w:rPr>
                <w:spacing w:val="-10"/>
                <w:sz w:val="20"/>
              </w:rPr>
              <w:t>-</w:t>
            </w:r>
          </w:p>
        </w:tc>
        <w:tc>
          <w:tcPr>
            <w:tcW w:w="1066" w:type="dxa"/>
          </w:tcPr>
          <w:p>
            <w:pPr>
              <w:pStyle w:val="TableParagraph"/>
              <w:spacing w:line="210" w:lineRule="exact"/>
              <w:ind w:left="134"/>
              <w:rPr>
                <w:sz w:val="20"/>
              </w:rPr>
            </w:pPr>
            <w:r>
              <w:rPr>
                <w:spacing w:val="-10"/>
                <w:sz w:val="20"/>
              </w:rPr>
              <w:t>-</w:t>
            </w:r>
          </w:p>
        </w:tc>
        <w:tc>
          <w:tcPr>
            <w:tcW w:w="1127" w:type="dxa"/>
          </w:tcPr>
          <w:p>
            <w:pPr>
              <w:pStyle w:val="TableParagraph"/>
              <w:spacing w:line="210" w:lineRule="exact"/>
              <w:ind w:left="149"/>
              <w:rPr>
                <w:sz w:val="20"/>
              </w:rPr>
            </w:pPr>
            <w:r>
              <w:rPr>
                <w:spacing w:val="-10"/>
                <w:sz w:val="20"/>
              </w:rPr>
              <w:t>-</w:t>
            </w:r>
          </w:p>
        </w:tc>
        <w:tc>
          <w:tcPr>
            <w:tcW w:w="1418" w:type="dxa"/>
          </w:tcPr>
          <w:p>
            <w:pPr>
              <w:pStyle w:val="TableParagraph"/>
              <w:spacing w:line="210" w:lineRule="exact"/>
              <w:ind w:left="102"/>
              <w:rPr>
                <w:sz w:val="20"/>
              </w:rPr>
            </w:pPr>
            <w:r>
              <w:rPr>
                <w:spacing w:val="-4"/>
                <w:sz w:val="20"/>
              </w:rPr>
              <w:t>2.0b</w:t>
            </w:r>
          </w:p>
        </w:tc>
        <w:tc>
          <w:tcPr>
            <w:tcW w:w="1294" w:type="dxa"/>
          </w:tcPr>
          <w:p>
            <w:pPr>
              <w:pStyle w:val="TableParagraph"/>
              <w:spacing w:line="210" w:lineRule="exact"/>
              <w:ind w:left="124"/>
              <w:rPr>
                <w:sz w:val="20"/>
              </w:rPr>
            </w:pPr>
            <w:r>
              <w:rPr>
                <w:spacing w:val="-4"/>
                <w:sz w:val="20"/>
              </w:rPr>
              <w:t>185m</w:t>
            </w:r>
          </w:p>
        </w:tc>
      </w:tr>
      <w:tr>
        <w:trPr>
          <w:trHeight w:val="232" w:hRule="atLeast"/>
        </w:trPr>
        <w:tc>
          <w:tcPr>
            <w:tcW w:w="695" w:type="dxa"/>
            <w:tcBorders>
              <w:bottom w:val="single" w:sz="4" w:space="0" w:color="000000"/>
            </w:tcBorders>
          </w:tcPr>
          <w:p>
            <w:pPr>
              <w:pStyle w:val="TableParagraph"/>
              <w:spacing w:line="213" w:lineRule="exact"/>
              <w:ind w:left="122"/>
              <w:rPr>
                <w:sz w:val="20"/>
              </w:rPr>
            </w:pPr>
            <w:r>
              <w:rPr>
                <w:spacing w:val="-4"/>
                <w:sz w:val="20"/>
              </w:rPr>
              <w:t>2016</w:t>
            </w:r>
          </w:p>
        </w:tc>
        <w:tc>
          <w:tcPr>
            <w:tcW w:w="1009" w:type="dxa"/>
            <w:tcBorders>
              <w:bottom w:val="single" w:sz="4" w:space="0" w:color="000000"/>
            </w:tcBorders>
          </w:tcPr>
          <w:p>
            <w:pPr>
              <w:pStyle w:val="TableParagraph"/>
              <w:spacing w:line="213" w:lineRule="exact"/>
              <w:ind w:left="147"/>
              <w:rPr>
                <w:sz w:val="20"/>
              </w:rPr>
            </w:pPr>
            <w:r>
              <w:rPr>
                <w:spacing w:val="-10"/>
                <w:sz w:val="20"/>
              </w:rPr>
              <w:t>-</w:t>
            </w:r>
          </w:p>
        </w:tc>
        <w:tc>
          <w:tcPr>
            <w:tcW w:w="1072" w:type="dxa"/>
            <w:tcBorders>
              <w:bottom w:val="single" w:sz="4" w:space="0" w:color="000000"/>
            </w:tcBorders>
          </w:tcPr>
          <w:p>
            <w:pPr>
              <w:pStyle w:val="TableParagraph"/>
              <w:spacing w:line="213" w:lineRule="exact"/>
              <w:ind w:left="127"/>
              <w:rPr>
                <w:sz w:val="20"/>
              </w:rPr>
            </w:pPr>
            <w:r>
              <w:rPr>
                <w:spacing w:val="-10"/>
                <w:sz w:val="20"/>
              </w:rPr>
              <w:t>-</w:t>
            </w:r>
          </w:p>
        </w:tc>
        <w:tc>
          <w:tcPr>
            <w:tcW w:w="1103" w:type="dxa"/>
            <w:tcBorders>
              <w:bottom w:val="single" w:sz="4" w:space="0" w:color="000000"/>
            </w:tcBorders>
          </w:tcPr>
          <w:p>
            <w:pPr>
              <w:pStyle w:val="TableParagraph"/>
              <w:spacing w:line="213" w:lineRule="exact"/>
              <w:ind w:left="135"/>
              <w:rPr>
                <w:sz w:val="20"/>
              </w:rPr>
            </w:pPr>
            <w:r>
              <w:rPr>
                <w:spacing w:val="-10"/>
                <w:sz w:val="20"/>
              </w:rPr>
              <w:t>-</w:t>
            </w:r>
          </w:p>
        </w:tc>
        <w:tc>
          <w:tcPr>
            <w:tcW w:w="1351" w:type="dxa"/>
            <w:tcBorders>
              <w:bottom w:val="single" w:sz="4" w:space="0" w:color="000000"/>
            </w:tcBorders>
          </w:tcPr>
          <w:p>
            <w:pPr>
              <w:pStyle w:val="TableParagraph"/>
              <w:spacing w:line="213" w:lineRule="exact"/>
              <w:ind w:left="113"/>
              <w:rPr>
                <w:sz w:val="20"/>
              </w:rPr>
            </w:pPr>
            <w:r>
              <w:rPr>
                <w:spacing w:val="-10"/>
                <w:sz w:val="20"/>
              </w:rPr>
              <w:t>-</w:t>
            </w:r>
          </w:p>
        </w:tc>
        <w:tc>
          <w:tcPr>
            <w:tcW w:w="1087" w:type="dxa"/>
            <w:tcBorders>
              <w:bottom w:val="single" w:sz="4" w:space="0" w:color="000000"/>
            </w:tcBorders>
          </w:tcPr>
          <w:p>
            <w:pPr>
              <w:pStyle w:val="TableParagraph"/>
              <w:spacing w:line="213" w:lineRule="exact"/>
              <w:ind w:left="113"/>
              <w:rPr>
                <w:sz w:val="20"/>
              </w:rPr>
            </w:pPr>
            <w:r>
              <w:rPr>
                <w:spacing w:val="-10"/>
                <w:sz w:val="20"/>
              </w:rPr>
              <w:t>-</w:t>
            </w:r>
          </w:p>
        </w:tc>
        <w:tc>
          <w:tcPr>
            <w:tcW w:w="885" w:type="dxa"/>
            <w:tcBorders>
              <w:bottom w:val="single" w:sz="4" w:space="0" w:color="000000"/>
            </w:tcBorders>
          </w:tcPr>
          <w:p>
            <w:pPr>
              <w:pStyle w:val="TableParagraph"/>
              <w:spacing w:line="213" w:lineRule="exact"/>
              <w:ind w:left="106"/>
              <w:rPr>
                <w:sz w:val="20"/>
              </w:rPr>
            </w:pPr>
            <w:r>
              <w:rPr>
                <w:spacing w:val="-10"/>
                <w:sz w:val="20"/>
              </w:rPr>
              <w:t>-</w:t>
            </w:r>
          </w:p>
        </w:tc>
        <w:tc>
          <w:tcPr>
            <w:tcW w:w="897" w:type="dxa"/>
            <w:tcBorders>
              <w:bottom w:val="single" w:sz="4" w:space="0" w:color="000000"/>
            </w:tcBorders>
          </w:tcPr>
          <w:p>
            <w:pPr>
              <w:pStyle w:val="TableParagraph"/>
              <w:spacing w:line="213" w:lineRule="exact"/>
              <w:ind w:left="121"/>
              <w:rPr>
                <w:sz w:val="20"/>
              </w:rPr>
            </w:pPr>
            <w:r>
              <w:rPr>
                <w:spacing w:val="-10"/>
                <w:sz w:val="20"/>
              </w:rPr>
              <w:t>-</w:t>
            </w:r>
          </w:p>
        </w:tc>
        <w:tc>
          <w:tcPr>
            <w:tcW w:w="1159" w:type="dxa"/>
            <w:tcBorders>
              <w:bottom w:val="single" w:sz="4" w:space="0" w:color="000000"/>
            </w:tcBorders>
          </w:tcPr>
          <w:p>
            <w:pPr>
              <w:pStyle w:val="TableParagraph"/>
              <w:spacing w:line="213" w:lineRule="exact"/>
              <w:ind w:left="129"/>
              <w:rPr>
                <w:sz w:val="20"/>
              </w:rPr>
            </w:pPr>
            <w:r>
              <w:rPr>
                <w:spacing w:val="-10"/>
                <w:sz w:val="20"/>
              </w:rPr>
              <w:t>-</w:t>
            </w:r>
          </w:p>
        </w:tc>
        <w:tc>
          <w:tcPr>
            <w:tcW w:w="1066" w:type="dxa"/>
            <w:tcBorders>
              <w:bottom w:val="single" w:sz="4" w:space="0" w:color="000000"/>
            </w:tcBorders>
          </w:tcPr>
          <w:p>
            <w:pPr>
              <w:pStyle w:val="TableParagraph"/>
              <w:spacing w:line="213" w:lineRule="exact"/>
              <w:ind w:left="134"/>
              <w:rPr>
                <w:sz w:val="20"/>
              </w:rPr>
            </w:pPr>
            <w:r>
              <w:rPr>
                <w:spacing w:val="-10"/>
                <w:sz w:val="20"/>
              </w:rPr>
              <w:t>-</w:t>
            </w:r>
          </w:p>
        </w:tc>
        <w:tc>
          <w:tcPr>
            <w:tcW w:w="1127" w:type="dxa"/>
            <w:tcBorders>
              <w:bottom w:val="single" w:sz="4" w:space="0" w:color="000000"/>
            </w:tcBorders>
          </w:tcPr>
          <w:p>
            <w:pPr>
              <w:pStyle w:val="TableParagraph"/>
              <w:spacing w:line="213" w:lineRule="exact"/>
              <w:ind w:left="149"/>
              <w:rPr>
                <w:sz w:val="20"/>
              </w:rPr>
            </w:pPr>
            <w:r>
              <w:rPr>
                <w:spacing w:val="-10"/>
                <w:sz w:val="20"/>
              </w:rPr>
              <w:t>-</w:t>
            </w:r>
          </w:p>
        </w:tc>
        <w:tc>
          <w:tcPr>
            <w:tcW w:w="1418" w:type="dxa"/>
            <w:tcBorders>
              <w:bottom w:val="single" w:sz="4" w:space="0" w:color="000000"/>
            </w:tcBorders>
          </w:tcPr>
          <w:p>
            <w:pPr>
              <w:pStyle w:val="TableParagraph"/>
              <w:spacing w:line="213" w:lineRule="exact"/>
              <w:ind w:left="102"/>
              <w:rPr>
                <w:sz w:val="20"/>
              </w:rPr>
            </w:pPr>
            <w:r>
              <w:rPr>
                <w:spacing w:val="-10"/>
                <w:sz w:val="20"/>
              </w:rPr>
              <w:t>-</w:t>
            </w:r>
          </w:p>
        </w:tc>
        <w:tc>
          <w:tcPr>
            <w:tcW w:w="1294" w:type="dxa"/>
            <w:tcBorders>
              <w:bottom w:val="single" w:sz="4" w:space="0" w:color="000000"/>
            </w:tcBorders>
          </w:tcPr>
          <w:p>
            <w:pPr>
              <w:pStyle w:val="TableParagraph"/>
              <w:spacing w:line="213" w:lineRule="exact"/>
              <w:ind w:left="124"/>
              <w:rPr>
                <w:sz w:val="20"/>
              </w:rPr>
            </w:pPr>
            <w:r>
              <w:rPr>
                <w:spacing w:val="-4"/>
                <w:sz w:val="20"/>
              </w:rPr>
              <w:t>168m</w:t>
            </w:r>
          </w:p>
        </w:tc>
      </w:tr>
      <w:tr>
        <w:trPr>
          <w:trHeight w:val="460" w:hRule="atLeast"/>
        </w:trPr>
        <w:tc>
          <w:tcPr>
            <w:tcW w:w="695" w:type="dxa"/>
            <w:tcBorders>
              <w:top w:val="single" w:sz="4" w:space="0" w:color="000000"/>
              <w:bottom w:val="single" w:sz="4" w:space="0" w:color="000000"/>
            </w:tcBorders>
            <w:shd w:val="clear" w:color="auto" w:fill="DBE4F0"/>
          </w:tcPr>
          <w:p>
            <w:pPr>
              <w:pStyle w:val="TableParagraph"/>
              <w:spacing w:line="223" w:lineRule="exact"/>
              <w:ind w:left="122"/>
              <w:rPr>
                <w:sz w:val="20"/>
              </w:rPr>
            </w:pPr>
            <w:r>
              <w:rPr>
                <w:spacing w:val="-2"/>
                <w:sz w:val="20"/>
              </w:rPr>
              <w:t>Total</w:t>
            </w:r>
          </w:p>
        </w:tc>
        <w:tc>
          <w:tcPr>
            <w:tcW w:w="1009" w:type="dxa"/>
            <w:tcBorders>
              <w:top w:val="single" w:sz="4" w:space="0" w:color="000000"/>
              <w:bottom w:val="single" w:sz="4" w:space="0" w:color="000000"/>
            </w:tcBorders>
            <w:shd w:val="clear" w:color="auto" w:fill="DBE4F0"/>
          </w:tcPr>
          <w:p>
            <w:pPr>
              <w:pStyle w:val="TableParagraph"/>
              <w:spacing w:line="223" w:lineRule="exact"/>
              <w:ind w:left="147"/>
              <w:rPr>
                <w:sz w:val="20"/>
              </w:rPr>
            </w:pPr>
            <w:r>
              <w:rPr>
                <w:dstrike/>
                <w:spacing w:val="-2"/>
                <w:sz w:val="20"/>
              </w:rPr>
              <w:t>N</w:t>
            </w:r>
            <w:r>
              <w:rPr>
                <w:strike w:val="0"/>
                <w:spacing w:val="-2"/>
                <w:sz w:val="20"/>
              </w:rPr>
              <w:t>1.52b</w:t>
            </w:r>
          </w:p>
        </w:tc>
        <w:tc>
          <w:tcPr>
            <w:tcW w:w="1072" w:type="dxa"/>
            <w:tcBorders>
              <w:top w:val="single" w:sz="4" w:space="0" w:color="000000"/>
              <w:bottom w:val="single" w:sz="4" w:space="0" w:color="000000"/>
            </w:tcBorders>
            <w:shd w:val="clear" w:color="auto" w:fill="DBE4F0"/>
          </w:tcPr>
          <w:p>
            <w:pPr>
              <w:pStyle w:val="TableParagraph"/>
              <w:spacing w:line="223" w:lineRule="exact"/>
              <w:ind w:left="127"/>
              <w:rPr>
                <w:sz w:val="20"/>
              </w:rPr>
            </w:pPr>
            <w:r>
              <w:rPr>
                <w:dstrike/>
                <w:spacing w:val="-4"/>
                <w:sz w:val="20"/>
              </w:rPr>
              <w:t>N</w:t>
            </w:r>
            <w:r>
              <w:rPr>
                <w:strike w:val="0"/>
                <w:spacing w:val="-4"/>
                <w:sz w:val="20"/>
              </w:rPr>
              <w:t>16m</w:t>
            </w:r>
          </w:p>
        </w:tc>
        <w:tc>
          <w:tcPr>
            <w:tcW w:w="1103" w:type="dxa"/>
            <w:tcBorders>
              <w:top w:val="single" w:sz="4" w:space="0" w:color="000000"/>
              <w:bottom w:val="single" w:sz="4" w:space="0" w:color="000000"/>
            </w:tcBorders>
            <w:shd w:val="clear" w:color="auto" w:fill="DBE4F0"/>
          </w:tcPr>
          <w:p>
            <w:pPr>
              <w:pStyle w:val="TableParagraph"/>
              <w:spacing w:line="223" w:lineRule="exact"/>
              <w:ind w:left="135"/>
              <w:rPr>
                <w:sz w:val="20"/>
              </w:rPr>
            </w:pPr>
            <w:r>
              <w:rPr>
                <w:dstrike/>
                <w:spacing w:val="-2"/>
                <w:sz w:val="20"/>
              </w:rPr>
              <w:t>N</w:t>
            </w:r>
            <w:r>
              <w:rPr>
                <w:strike w:val="0"/>
                <w:spacing w:val="-2"/>
                <w:sz w:val="20"/>
              </w:rPr>
              <w:t>490m</w:t>
            </w:r>
          </w:p>
        </w:tc>
        <w:tc>
          <w:tcPr>
            <w:tcW w:w="1351" w:type="dxa"/>
            <w:tcBorders>
              <w:top w:val="single" w:sz="4" w:space="0" w:color="000000"/>
              <w:bottom w:val="single" w:sz="4" w:space="0" w:color="000000"/>
            </w:tcBorders>
            <w:shd w:val="clear" w:color="auto" w:fill="DBE4F0"/>
          </w:tcPr>
          <w:p>
            <w:pPr>
              <w:pStyle w:val="TableParagraph"/>
              <w:spacing w:line="223" w:lineRule="exact"/>
              <w:ind w:left="113"/>
              <w:rPr>
                <w:sz w:val="20"/>
              </w:rPr>
            </w:pPr>
            <w:r>
              <w:rPr>
                <w:dstrike/>
                <w:spacing w:val="-4"/>
                <w:sz w:val="20"/>
              </w:rPr>
              <w:t>N</w:t>
            </w:r>
            <w:r>
              <w:rPr>
                <w:strike w:val="0"/>
                <w:spacing w:val="-4"/>
                <w:sz w:val="20"/>
              </w:rPr>
              <w:t>22m</w:t>
            </w:r>
          </w:p>
        </w:tc>
        <w:tc>
          <w:tcPr>
            <w:tcW w:w="1087" w:type="dxa"/>
            <w:tcBorders>
              <w:top w:val="single" w:sz="4" w:space="0" w:color="000000"/>
              <w:bottom w:val="single" w:sz="4" w:space="0" w:color="000000"/>
            </w:tcBorders>
            <w:shd w:val="clear" w:color="auto" w:fill="DBE4F0"/>
          </w:tcPr>
          <w:p>
            <w:pPr>
              <w:pStyle w:val="TableParagraph"/>
              <w:spacing w:line="223" w:lineRule="exact"/>
              <w:ind w:left="113"/>
              <w:rPr>
                <w:sz w:val="20"/>
              </w:rPr>
            </w:pPr>
            <w:r>
              <w:rPr>
                <w:dstrike/>
                <w:spacing w:val="-2"/>
                <w:sz w:val="20"/>
              </w:rPr>
              <w:t>N</w:t>
            </w:r>
            <w:r>
              <w:rPr>
                <w:strike w:val="0"/>
                <w:spacing w:val="-2"/>
                <w:sz w:val="20"/>
              </w:rPr>
              <w:t>524m</w:t>
            </w:r>
          </w:p>
        </w:tc>
        <w:tc>
          <w:tcPr>
            <w:tcW w:w="885" w:type="dxa"/>
            <w:tcBorders>
              <w:top w:val="single" w:sz="4" w:space="0" w:color="000000"/>
              <w:bottom w:val="single" w:sz="4" w:space="0" w:color="000000"/>
            </w:tcBorders>
            <w:shd w:val="clear" w:color="auto" w:fill="DBE4F0"/>
          </w:tcPr>
          <w:p>
            <w:pPr>
              <w:pStyle w:val="TableParagraph"/>
              <w:spacing w:line="223" w:lineRule="exact"/>
              <w:ind w:left="106"/>
              <w:rPr>
                <w:sz w:val="20"/>
              </w:rPr>
            </w:pPr>
            <w:r>
              <w:rPr>
                <w:dstrike/>
                <w:sz w:val="20"/>
              </w:rPr>
              <w:t>N</w:t>
            </w:r>
            <w:r>
              <w:rPr>
                <w:strike w:val="0"/>
                <w:spacing w:val="-2"/>
                <w:sz w:val="20"/>
              </w:rPr>
              <w:t> 1.28b</w:t>
            </w:r>
          </w:p>
        </w:tc>
        <w:tc>
          <w:tcPr>
            <w:tcW w:w="897" w:type="dxa"/>
            <w:tcBorders>
              <w:top w:val="single" w:sz="4" w:space="0" w:color="000000"/>
              <w:bottom w:val="single" w:sz="4" w:space="0" w:color="000000"/>
            </w:tcBorders>
            <w:shd w:val="clear" w:color="auto" w:fill="DBE4F0"/>
          </w:tcPr>
          <w:p>
            <w:pPr>
              <w:pStyle w:val="TableParagraph"/>
              <w:spacing w:line="223" w:lineRule="exact"/>
              <w:ind w:left="121"/>
              <w:rPr>
                <w:sz w:val="20"/>
              </w:rPr>
            </w:pPr>
            <w:r>
              <w:rPr>
                <w:dstrike/>
                <w:spacing w:val="-2"/>
                <w:sz w:val="20"/>
              </w:rPr>
              <w:t>N</w:t>
            </w:r>
            <w:r>
              <w:rPr>
                <w:strike w:val="0"/>
                <w:spacing w:val="-2"/>
                <w:sz w:val="20"/>
              </w:rPr>
              <w:t>110m</w:t>
            </w:r>
          </w:p>
        </w:tc>
        <w:tc>
          <w:tcPr>
            <w:tcW w:w="1159" w:type="dxa"/>
            <w:tcBorders>
              <w:top w:val="single" w:sz="4" w:space="0" w:color="000000"/>
              <w:bottom w:val="single" w:sz="4" w:space="0" w:color="000000"/>
            </w:tcBorders>
            <w:shd w:val="clear" w:color="auto" w:fill="DBE4F0"/>
          </w:tcPr>
          <w:p>
            <w:pPr>
              <w:pStyle w:val="TableParagraph"/>
              <w:spacing w:line="223" w:lineRule="exact"/>
              <w:ind w:left="129"/>
              <w:rPr>
                <w:sz w:val="20"/>
              </w:rPr>
            </w:pPr>
            <w:r>
              <w:rPr>
                <w:dstrike/>
                <w:spacing w:val="-2"/>
                <w:sz w:val="20"/>
              </w:rPr>
              <w:t>N</w:t>
            </w:r>
            <w:r>
              <w:rPr>
                <w:strike w:val="0"/>
                <w:spacing w:val="-2"/>
                <w:sz w:val="20"/>
              </w:rPr>
              <w:t>170m</w:t>
            </w:r>
          </w:p>
        </w:tc>
        <w:tc>
          <w:tcPr>
            <w:tcW w:w="1066" w:type="dxa"/>
            <w:tcBorders>
              <w:top w:val="single" w:sz="4" w:space="0" w:color="000000"/>
              <w:bottom w:val="single" w:sz="4" w:space="0" w:color="000000"/>
            </w:tcBorders>
            <w:shd w:val="clear" w:color="auto" w:fill="DBE4F0"/>
          </w:tcPr>
          <w:p>
            <w:pPr>
              <w:pStyle w:val="TableParagraph"/>
              <w:spacing w:line="223" w:lineRule="exact"/>
              <w:ind w:left="134"/>
              <w:rPr>
                <w:sz w:val="20"/>
              </w:rPr>
            </w:pPr>
            <w:r>
              <w:rPr>
                <w:dstrike/>
                <w:spacing w:val="-2"/>
                <w:sz w:val="20"/>
              </w:rPr>
              <w:t>N</w:t>
            </w:r>
            <w:r>
              <w:rPr>
                <w:strike w:val="0"/>
                <w:spacing w:val="-2"/>
                <w:sz w:val="20"/>
              </w:rPr>
              <w:t>610m</w:t>
            </w:r>
          </w:p>
        </w:tc>
        <w:tc>
          <w:tcPr>
            <w:tcW w:w="1127" w:type="dxa"/>
            <w:tcBorders>
              <w:top w:val="single" w:sz="4" w:space="0" w:color="000000"/>
              <w:bottom w:val="single" w:sz="4" w:space="0" w:color="000000"/>
            </w:tcBorders>
            <w:shd w:val="clear" w:color="auto" w:fill="DBE4F0"/>
          </w:tcPr>
          <w:p>
            <w:pPr>
              <w:pStyle w:val="TableParagraph"/>
              <w:spacing w:line="223" w:lineRule="exact"/>
              <w:ind w:left="149"/>
              <w:rPr>
                <w:sz w:val="20"/>
              </w:rPr>
            </w:pPr>
            <w:r>
              <w:rPr>
                <w:dstrike/>
                <w:spacing w:val="-2"/>
                <w:sz w:val="20"/>
              </w:rPr>
              <w:t>N</w:t>
            </w:r>
            <w:r>
              <w:rPr>
                <w:strike w:val="0"/>
                <w:spacing w:val="-2"/>
                <w:sz w:val="20"/>
              </w:rPr>
              <w:t>310m</w:t>
            </w:r>
          </w:p>
        </w:tc>
        <w:tc>
          <w:tcPr>
            <w:tcW w:w="1418" w:type="dxa"/>
            <w:tcBorders>
              <w:top w:val="single" w:sz="4" w:space="0" w:color="000000"/>
              <w:bottom w:val="single" w:sz="4" w:space="0" w:color="000000"/>
            </w:tcBorders>
            <w:shd w:val="clear" w:color="auto" w:fill="DBE4F0"/>
          </w:tcPr>
          <w:p>
            <w:pPr>
              <w:pStyle w:val="TableParagraph"/>
              <w:spacing w:line="223" w:lineRule="exact"/>
              <w:ind w:left="102"/>
              <w:rPr>
                <w:sz w:val="20"/>
              </w:rPr>
            </w:pPr>
            <w:r>
              <w:rPr>
                <w:dstrike/>
                <w:spacing w:val="-2"/>
                <w:sz w:val="20"/>
              </w:rPr>
              <w:t>N</w:t>
            </w:r>
            <w:r>
              <w:rPr>
                <w:strike w:val="0"/>
                <w:spacing w:val="-2"/>
                <w:sz w:val="20"/>
              </w:rPr>
              <w:t>3.31b</w:t>
            </w:r>
          </w:p>
        </w:tc>
        <w:tc>
          <w:tcPr>
            <w:tcW w:w="1294" w:type="dxa"/>
            <w:tcBorders>
              <w:top w:val="single" w:sz="4" w:space="0" w:color="000000"/>
              <w:bottom w:val="single" w:sz="4" w:space="0" w:color="000000"/>
            </w:tcBorders>
            <w:shd w:val="clear" w:color="auto" w:fill="DBE4F0"/>
          </w:tcPr>
          <w:p>
            <w:pPr>
              <w:pStyle w:val="TableParagraph"/>
              <w:spacing w:line="223" w:lineRule="exact"/>
              <w:ind w:left="124"/>
              <w:rPr>
                <w:sz w:val="20"/>
              </w:rPr>
            </w:pPr>
            <w:r>
              <w:rPr>
                <w:dstrike/>
                <w:spacing w:val="-2"/>
                <w:sz w:val="20"/>
              </w:rPr>
              <w:t>N</w:t>
            </w:r>
            <w:r>
              <w:rPr>
                <w:strike w:val="0"/>
                <w:spacing w:val="-2"/>
                <w:sz w:val="20"/>
              </w:rPr>
              <w:t>490m</w:t>
            </w:r>
          </w:p>
        </w:tc>
      </w:tr>
    </w:tbl>
    <w:p>
      <w:pPr>
        <w:pStyle w:val="BodyText"/>
        <w:ind w:left="120"/>
      </w:pPr>
      <w:r>
        <w:rPr>
          <w:b/>
          <w:sz w:val="2"/>
        </w:rPr>
        <w:t>-</w:t>
      </w:r>
      <w:r>
        <w:rPr>
          <w:b/>
        </w:rPr>
        <w:t>Source:</w:t>
      </w:r>
      <w:r>
        <w:rPr>
          <w:b/>
          <w:spacing w:val="-1"/>
        </w:rPr>
        <w:t> </w:t>
      </w:r>
      <w:r>
        <w:rPr/>
        <w:t>Extract</w:t>
      </w:r>
      <w:r>
        <w:rPr>
          <w:spacing w:val="-1"/>
        </w:rPr>
        <w:t> </w:t>
      </w:r>
      <w:r>
        <w:rPr/>
        <w:t>from</w:t>
      </w:r>
      <w:r>
        <w:rPr>
          <w:spacing w:val="-1"/>
        </w:rPr>
        <w:t> </w:t>
      </w:r>
      <w:r>
        <w:rPr/>
        <w:t>the annual,</w:t>
      </w:r>
      <w:r>
        <w:rPr>
          <w:spacing w:val="-1"/>
        </w:rPr>
        <w:t> </w:t>
      </w:r>
      <w:r>
        <w:rPr/>
        <w:t>published</w:t>
      </w:r>
      <w:r>
        <w:rPr>
          <w:spacing w:val="-1"/>
        </w:rPr>
        <w:t> </w:t>
      </w:r>
      <w:r>
        <w:rPr/>
        <w:t>Budget</w:t>
      </w:r>
      <w:r>
        <w:rPr>
          <w:spacing w:val="-1"/>
        </w:rPr>
        <w:t> </w:t>
      </w:r>
      <w:r>
        <w:rPr/>
        <w:t>Estimates</w:t>
      </w:r>
      <w:r>
        <w:rPr>
          <w:spacing w:val="-1"/>
        </w:rPr>
        <w:t> </w:t>
      </w:r>
      <w:r>
        <w:rPr/>
        <w:t>of</w:t>
      </w:r>
      <w:r>
        <w:rPr>
          <w:spacing w:val="-2"/>
        </w:rPr>
        <w:t> </w:t>
      </w:r>
      <w:r>
        <w:rPr/>
        <w:t>Anambra</w:t>
      </w:r>
      <w:r>
        <w:rPr>
          <w:spacing w:val="-1"/>
        </w:rPr>
        <w:t> </w:t>
      </w:r>
      <w:r>
        <w:rPr/>
        <w:t>State</w:t>
      </w:r>
      <w:r>
        <w:rPr>
          <w:spacing w:val="-2"/>
        </w:rPr>
        <w:t> (1999–2016)</w:t>
      </w:r>
    </w:p>
    <w:p>
      <w:pPr>
        <w:spacing w:after="0"/>
        <w:sectPr>
          <w:footerReference w:type="default" r:id="rId207"/>
          <w:pgSz w:w="15840" w:h="12240" w:orient="landscape"/>
          <w:pgMar w:header="0" w:footer="1036" w:top="1360" w:bottom="1220" w:left="1320" w:right="160"/>
        </w:sectPr>
      </w:pPr>
    </w:p>
    <w:p>
      <w:pPr>
        <w:pStyle w:val="BodyText"/>
        <w:spacing w:line="360" w:lineRule="auto" w:before="68"/>
        <w:ind w:left="120" w:right="1115"/>
        <w:jc w:val="both"/>
      </w:pPr>
      <w:r>
        <w:rPr/>
        <w:t>Table 5.26 shows the budget allocation for residential housing projects in Anambra from 1999- 2016 in Anambra State. A perusal of the table shows that there are twelve projects; precisely six estate development projects and 6 residential housing projects for political office holders. However, a closer study of the table also reveals a number of inefficiencies and setbacks in budget allocation for the residential housing projects, as follows:</w:t>
      </w:r>
    </w:p>
    <w:p>
      <w:pPr>
        <w:pStyle w:val="BodyText"/>
        <w:spacing w:before="138"/>
      </w:pPr>
    </w:p>
    <w:p>
      <w:pPr>
        <w:pStyle w:val="BodyText"/>
        <w:spacing w:line="360" w:lineRule="auto"/>
        <w:ind w:left="120" w:right="1116"/>
        <w:jc w:val="both"/>
      </w:pPr>
      <w:r>
        <w:rPr/>
        <w:t>The</w:t>
      </w:r>
      <w:r>
        <w:rPr>
          <w:spacing w:val="-4"/>
        </w:rPr>
        <w:t> </w:t>
      </w:r>
      <w:r>
        <w:rPr/>
        <w:t>period</w:t>
      </w:r>
      <w:r>
        <w:rPr>
          <w:spacing w:val="-2"/>
        </w:rPr>
        <w:t> </w:t>
      </w:r>
      <w:r>
        <w:rPr/>
        <w:t>of</w:t>
      </w:r>
      <w:r>
        <w:rPr>
          <w:spacing w:val="-1"/>
        </w:rPr>
        <w:t> </w:t>
      </w:r>
      <w:r>
        <w:rPr/>
        <w:t>budget allocation</w:t>
      </w:r>
      <w:r>
        <w:rPr>
          <w:spacing w:val="-2"/>
        </w:rPr>
        <w:t> </w:t>
      </w:r>
      <w:r>
        <w:rPr/>
        <w:t>of</w:t>
      </w:r>
      <w:r>
        <w:rPr>
          <w:spacing w:val="-1"/>
        </w:rPr>
        <w:t> </w:t>
      </w:r>
      <w:r>
        <w:rPr/>
        <w:t>the</w:t>
      </w:r>
      <w:r>
        <w:rPr>
          <w:spacing w:val="-2"/>
        </w:rPr>
        <w:t> </w:t>
      </w:r>
      <w:r>
        <w:rPr/>
        <w:t>housing</w:t>
      </w:r>
      <w:r>
        <w:rPr>
          <w:spacing w:val="-3"/>
        </w:rPr>
        <w:t> </w:t>
      </w:r>
      <w:r>
        <w:rPr/>
        <w:t>estates</w:t>
      </w:r>
      <w:r>
        <w:rPr>
          <w:spacing w:val="-2"/>
        </w:rPr>
        <w:t> </w:t>
      </w:r>
      <w:r>
        <w:rPr/>
        <w:t>contradicts the</w:t>
      </w:r>
      <w:r>
        <w:rPr>
          <w:spacing w:val="-1"/>
        </w:rPr>
        <w:t> </w:t>
      </w:r>
      <w:r>
        <w:rPr/>
        <w:t>construction</w:t>
      </w:r>
      <w:r>
        <w:rPr>
          <w:spacing w:val="-2"/>
        </w:rPr>
        <w:t> </w:t>
      </w:r>
      <w:r>
        <w:rPr/>
        <w:t>duration of</w:t>
      </w:r>
      <w:r>
        <w:rPr>
          <w:spacing w:val="-2"/>
        </w:rPr>
        <w:t> </w:t>
      </w:r>
      <w:r>
        <w:rPr/>
        <w:t>the estates as revealed in the field survey (Table 5.25). For instance, the completion of Real Estate Buildings and Civil servants quarters at Iyiagu stretched up to 2013 and 2008 respectively, while the field survey revealed that housing construction in these estates ended in 2000 and 1999 respectively, after which no new housing units were constructed. The plausible explanation for this budget allocations (which were quite substantial too in the total sum of </w:t>
      </w:r>
      <w:r>
        <w:rPr>
          <w:dstrike/>
        </w:rPr>
        <w:t>N</w:t>
      </w:r>
      <w:r>
        <w:rPr>
          <w:strike w:val="0"/>
        </w:rPr>
        <w:t>600m)even after stoppage or abandonment of construction works is that the monies were either used for ghost/non-existent projects or for infrastructure (roads, drainages, electricity) and renovation works, which the budget specified or stated clearly. This also raises suspicion of corrupt and unethical practices.</w:t>
      </w:r>
    </w:p>
    <w:p>
      <w:pPr>
        <w:pStyle w:val="BodyText"/>
        <w:spacing w:before="141"/>
      </w:pPr>
    </w:p>
    <w:p>
      <w:pPr>
        <w:pStyle w:val="BodyText"/>
        <w:spacing w:line="360" w:lineRule="auto"/>
        <w:ind w:left="120" w:right="1117"/>
        <w:jc w:val="both"/>
      </w:pPr>
      <w:r>
        <w:rPr/>
        <w:t>Some of the housing estate projects captured in the budget have no specific name and location</w:t>
      </w:r>
      <w:r>
        <w:rPr>
          <w:spacing w:val="40"/>
        </w:rPr>
        <w:t> </w:t>
      </w:r>
      <w:r>
        <w:rPr/>
        <w:t>for easy identification by interested citizens or stakeholders. For example, the 500 buildings for civil servants quarters and the 3 housing estates by 2020 project (which have substantial allocations in the total sum of </w:t>
      </w:r>
      <w:r>
        <w:rPr>
          <w:dstrike/>
        </w:rPr>
        <w:t>N</w:t>
      </w:r>
      <w:r>
        <w:rPr>
          <w:strike w:val="0"/>
        </w:rPr>
        <w:t>2.01b) appears fictitious and raises suspicion. If however the intent was genuine since it was captured in the budget, then the locations or communities or addresses should be traceable. This further buttresses the need for effective citizen participation in the housing budget process and community based project monitoring to checkmate fictitious allocations or projects. However, this may not be possible when citizens are ignorant or nonchalant about their annual housing budget.</w:t>
      </w:r>
      <w:r>
        <w:rPr>
          <w:strike w:val="0"/>
          <w:spacing w:val="40"/>
        </w:rPr>
        <w:t> </w:t>
      </w:r>
      <w:r>
        <w:rPr>
          <w:strike w:val="0"/>
        </w:rPr>
        <w:t>To compound this, no details of completion or actual expenditure for these residential housing projects are indicated, which also raises accountability issues and makes it difficult to track work progress and expenditure.</w:t>
      </w:r>
    </w:p>
    <w:p>
      <w:pPr>
        <w:spacing w:after="0" w:line="360" w:lineRule="auto"/>
        <w:jc w:val="both"/>
        <w:sectPr>
          <w:footerReference w:type="default" r:id="rId208"/>
          <w:pgSz w:w="12240" w:h="15840"/>
          <w:pgMar w:header="0" w:footer="1036" w:top="1400" w:bottom="1220" w:left="1320" w:right="320"/>
          <w:pgNumType w:start="265"/>
        </w:sectPr>
      </w:pPr>
    </w:p>
    <w:p>
      <w:pPr>
        <w:pStyle w:val="BodyText"/>
        <w:spacing w:line="360" w:lineRule="auto" w:before="74"/>
        <w:ind w:left="120" w:right="1114"/>
        <w:jc w:val="both"/>
      </w:pPr>
      <w:r>
        <w:rPr/>
        <w:t>The duration of some housing projects in the budget appears fictitious or even ridiculous. For example, the 2 no judges and magistrate quarters began in 2003 and ended in 2006 (11 years) while the deputy governor‘s residence began in 2006 and ended in 2013 (8 years). This seems impracticable, but these projects were consistently funded throughout for these periods. The probable explanation for this is that after the projects were completed much earlier and, the monies subsequently allocated were either misused or plunged into other projects.</w:t>
      </w:r>
    </w:p>
    <w:p>
      <w:pPr>
        <w:pStyle w:val="BodyText"/>
        <w:spacing w:before="137"/>
      </w:pPr>
    </w:p>
    <w:p>
      <w:pPr>
        <w:pStyle w:val="BodyText"/>
        <w:spacing w:line="360" w:lineRule="auto"/>
        <w:ind w:left="120" w:right="1116"/>
        <w:jc w:val="both"/>
      </w:pPr>
      <w:r>
        <w:rPr/>
        <w:t>Two housing estate schemes, namely: development of 200 low income houses each in Onitsha, Nnewi</w:t>
      </w:r>
      <w:r>
        <w:rPr>
          <w:spacing w:val="40"/>
        </w:rPr>
        <w:t> </w:t>
      </w:r>
      <w:r>
        <w:rPr/>
        <w:t>and 300 in Awka</w:t>
      </w:r>
      <w:r>
        <w:rPr>
          <w:spacing w:val="-1"/>
        </w:rPr>
        <w:t> </w:t>
      </w:r>
      <w:r>
        <w:rPr/>
        <w:t>by</w:t>
      </w:r>
      <w:r>
        <w:rPr>
          <w:spacing w:val="-8"/>
        </w:rPr>
        <w:t> </w:t>
      </w:r>
      <w:r>
        <w:rPr/>
        <w:t>2020 and development of</w:t>
      </w:r>
      <w:r>
        <w:rPr>
          <w:spacing w:val="40"/>
        </w:rPr>
        <w:t> </w:t>
      </w:r>
      <w:r>
        <w:rPr/>
        <w:t>three housing</w:t>
      </w:r>
      <w:r>
        <w:rPr>
          <w:spacing w:val="-3"/>
        </w:rPr>
        <w:t> </w:t>
      </w:r>
      <w:r>
        <w:rPr/>
        <w:t>estates by</w:t>
      </w:r>
      <w:r>
        <w:rPr>
          <w:spacing w:val="-5"/>
        </w:rPr>
        <w:t> </w:t>
      </w:r>
      <w:r>
        <w:rPr/>
        <w:t>2020 which have budget allocations from 2014 to 2016 and 2014 to 2016 respectively is yet to be executed till date. These allocations are quite substantial; in the total sum of </w:t>
      </w:r>
      <w:r>
        <w:rPr>
          <w:dstrike/>
        </w:rPr>
        <w:t>N</w:t>
      </w:r>
      <w:r>
        <w:rPr>
          <w:strike w:val="0"/>
        </w:rPr>
        <w:t>3.8b. This again, raises the</w:t>
      </w:r>
      <w:r>
        <w:rPr>
          <w:strike w:val="0"/>
          <w:spacing w:val="40"/>
        </w:rPr>
        <w:t> </w:t>
      </w:r>
      <w:r>
        <w:rPr>
          <w:strike w:val="0"/>
        </w:rPr>
        <w:t>issue of weak planning, poor budget implementation and possible unethical practices. Thus, a pertinent question that needs to be asked is: if there are no plans or funds to begin these projects, why then were they allocated budgets?</w:t>
      </w:r>
    </w:p>
    <w:p>
      <w:pPr>
        <w:pStyle w:val="BodyText"/>
        <w:spacing w:before="144"/>
      </w:pPr>
    </w:p>
    <w:p>
      <w:pPr>
        <w:pStyle w:val="Heading3"/>
        <w:numPr>
          <w:ilvl w:val="1"/>
          <w:numId w:val="81"/>
        </w:numPr>
        <w:tabs>
          <w:tab w:pos="572" w:val="left" w:leader="none"/>
        </w:tabs>
        <w:spacing w:line="240" w:lineRule="auto" w:before="1" w:after="0"/>
        <w:ind w:left="572" w:right="0" w:hanging="452"/>
        <w:jc w:val="both"/>
      </w:pPr>
      <w:r>
        <w:rPr/>
        <w:t>Development</w:t>
      </w:r>
      <w:r>
        <w:rPr>
          <w:spacing w:val="-6"/>
        </w:rPr>
        <w:t> </w:t>
      </w:r>
      <w:r>
        <w:rPr/>
        <w:t>of</w:t>
      </w:r>
      <w:r>
        <w:rPr>
          <w:spacing w:val="-9"/>
        </w:rPr>
        <w:t> </w:t>
      </w:r>
      <w:r>
        <w:rPr/>
        <w:t>the</w:t>
      </w:r>
      <w:r>
        <w:rPr>
          <w:spacing w:val="-7"/>
        </w:rPr>
        <w:t> </w:t>
      </w:r>
      <w:r>
        <w:rPr/>
        <w:t>Housing</w:t>
      </w:r>
      <w:r>
        <w:rPr>
          <w:spacing w:val="-8"/>
        </w:rPr>
        <w:t> </w:t>
      </w:r>
      <w:r>
        <w:rPr/>
        <w:t>Budget</w:t>
      </w:r>
      <w:r>
        <w:rPr>
          <w:spacing w:val="-9"/>
        </w:rPr>
        <w:t> </w:t>
      </w:r>
      <w:r>
        <w:rPr/>
        <w:t>Performance</w:t>
      </w:r>
      <w:r>
        <w:rPr>
          <w:spacing w:val="-5"/>
        </w:rPr>
        <w:t> </w:t>
      </w:r>
      <w:r>
        <w:rPr>
          <w:spacing w:val="-2"/>
        </w:rPr>
        <w:t>Model</w:t>
      </w:r>
    </w:p>
    <w:p>
      <w:pPr>
        <w:pStyle w:val="BodyText"/>
        <w:spacing w:before="136"/>
        <w:rPr>
          <w:b/>
          <w:sz w:val="26"/>
        </w:rPr>
      </w:pPr>
    </w:p>
    <w:p>
      <w:pPr>
        <w:pStyle w:val="Heading4"/>
        <w:numPr>
          <w:ilvl w:val="2"/>
          <w:numId w:val="101"/>
        </w:numPr>
        <w:tabs>
          <w:tab w:pos="720" w:val="left" w:leader="none"/>
        </w:tabs>
        <w:spacing w:line="240" w:lineRule="auto" w:before="0" w:after="0"/>
        <w:ind w:left="720" w:right="0" w:hanging="600"/>
        <w:jc w:val="both"/>
      </w:pPr>
      <w:r>
        <w:rPr>
          <w:spacing w:val="-2"/>
        </w:rPr>
        <w:t>Introduction</w:t>
      </w:r>
    </w:p>
    <w:p>
      <w:pPr>
        <w:pStyle w:val="BodyText"/>
        <w:spacing w:line="360" w:lineRule="auto" w:before="134"/>
        <w:ind w:left="120" w:right="1113"/>
        <w:jc w:val="both"/>
      </w:pPr>
      <w:r>
        <w:rPr/>
        <w:t>According</w:t>
      </w:r>
      <w:r>
        <w:rPr>
          <w:spacing w:val="-1"/>
        </w:rPr>
        <w:t> </w:t>
      </w:r>
      <w:r>
        <w:rPr/>
        <w:t>to Muller (2016), a model is a graphical, mathematical (symbolic), physical, or verbal representation</w:t>
      </w:r>
      <w:r>
        <w:rPr>
          <w:spacing w:val="-1"/>
        </w:rPr>
        <w:t> </w:t>
      </w:r>
      <w:r>
        <w:rPr/>
        <w:t>or</w:t>
      </w:r>
      <w:r>
        <w:rPr>
          <w:spacing w:val="-2"/>
        </w:rPr>
        <w:t> </w:t>
      </w:r>
      <w:r>
        <w:rPr/>
        <w:t>simplified</w:t>
      </w:r>
      <w:r>
        <w:rPr>
          <w:spacing w:val="-1"/>
        </w:rPr>
        <w:t> </w:t>
      </w:r>
      <w:r>
        <w:rPr/>
        <w:t>version</w:t>
      </w:r>
      <w:r>
        <w:rPr>
          <w:spacing w:val="-1"/>
        </w:rPr>
        <w:t> </w:t>
      </w:r>
      <w:r>
        <w:rPr/>
        <w:t>of a</w:t>
      </w:r>
      <w:r>
        <w:rPr>
          <w:spacing w:val="-2"/>
        </w:rPr>
        <w:t> </w:t>
      </w:r>
      <w:r>
        <w:rPr/>
        <w:t>concept, phenomenon,</w:t>
      </w:r>
      <w:r>
        <w:rPr>
          <w:spacing w:val="-2"/>
        </w:rPr>
        <w:t> </w:t>
      </w:r>
      <w:r>
        <w:rPr/>
        <w:t>relationship,</w:t>
      </w:r>
      <w:r>
        <w:rPr>
          <w:spacing w:val="-1"/>
        </w:rPr>
        <w:t> </w:t>
      </w:r>
      <w:r>
        <w:rPr/>
        <w:t>structure,</w:t>
      </w:r>
      <w:r>
        <w:rPr>
          <w:spacing w:val="-1"/>
        </w:rPr>
        <w:t> </w:t>
      </w:r>
      <w:r>
        <w:rPr/>
        <w:t>system,</w:t>
      </w:r>
      <w:r>
        <w:rPr>
          <w:spacing w:val="-1"/>
        </w:rPr>
        <w:t> </w:t>
      </w:r>
      <w:r>
        <w:rPr/>
        <w:t>or an aspect of the real world. It can also be regarded as a selected simplified representation of the essential or relevant entities (modules) of some specific reality and their characteristics (fields, factors, features). The</w:t>
      </w:r>
      <w:r>
        <w:rPr>
          <w:spacing w:val="-1"/>
        </w:rPr>
        <w:t> </w:t>
      </w:r>
      <w:r>
        <w:rPr/>
        <w:t>objectives of</w:t>
      </w:r>
      <w:r>
        <w:rPr>
          <w:spacing w:val="-1"/>
        </w:rPr>
        <w:t> </w:t>
      </w:r>
      <w:r>
        <w:rPr/>
        <w:t>a</w:t>
      </w:r>
      <w:r>
        <w:rPr>
          <w:spacing w:val="-1"/>
        </w:rPr>
        <w:t> </w:t>
      </w:r>
      <w:r>
        <w:rPr/>
        <w:t>model include</w:t>
      </w:r>
      <w:r>
        <w:rPr>
          <w:spacing w:val="-1"/>
        </w:rPr>
        <w:t> </w:t>
      </w:r>
      <w:r>
        <w:rPr/>
        <w:t>(a)</w:t>
      </w:r>
      <w:r>
        <w:rPr>
          <w:spacing w:val="-1"/>
        </w:rPr>
        <w:t> </w:t>
      </w:r>
      <w:r>
        <w:rPr/>
        <w:t>to facilitate</w:t>
      </w:r>
      <w:r>
        <w:rPr>
          <w:spacing w:val="-1"/>
        </w:rPr>
        <w:t> </w:t>
      </w:r>
      <w:r>
        <w:rPr/>
        <w:t>understanding</w:t>
      </w:r>
      <w:r>
        <w:rPr>
          <w:spacing w:val="-3"/>
        </w:rPr>
        <w:t> </w:t>
      </w:r>
      <w:r>
        <w:rPr/>
        <w:t>by</w:t>
      </w:r>
      <w:r>
        <w:rPr>
          <w:spacing w:val="-5"/>
        </w:rPr>
        <w:t> </w:t>
      </w:r>
      <w:r>
        <w:rPr/>
        <w:t>eliminating unnecessary components, (b) to aid in decision making by simulating 'what if' scenarios, (c) to explain, control, and predict events on the basis of past observations. Since most objects and phenomenon are very complicated (have numerous parts) and much too complex (parts have dense interconnections) to be comprehended in their entirety, a model contains only those features that are of primary importance to the model maker's purpose. Muller (2016) surmises that the use of models allows for: exploration, explanation and extrapolation. One of the initial steps in a modeling exercise is to organize the elements of the system being studied in some fashion. Thus, models provide a means of visualizing a system structure and operation.</w:t>
      </w:r>
    </w:p>
    <w:p>
      <w:pPr>
        <w:spacing w:after="0" w:line="360" w:lineRule="auto"/>
        <w:jc w:val="both"/>
        <w:sectPr>
          <w:pgSz w:w="12240" w:h="15840"/>
          <w:pgMar w:header="0" w:footer="1036" w:top="1360" w:bottom="1220" w:left="1320" w:right="320"/>
        </w:sectPr>
      </w:pPr>
    </w:p>
    <w:p>
      <w:pPr>
        <w:pStyle w:val="BodyText"/>
        <w:spacing w:line="360" w:lineRule="auto" w:before="74"/>
        <w:ind w:left="120" w:right="1117"/>
        <w:jc w:val="both"/>
      </w:pPr>
      <w:r>
        <w:rPr/>
        <w:t>Models range from simple sketches to computer programs with millions of lines of code, but all of them have one thing in common: some elements of the actual 'thing' are abstracted or mapped into</w:t>
      </w:r>
      <w:r>
        <w:rPr>
          <w:spacing w:val="16"/>
        </w:rPr>
        <w:t> </w:t>
      </w:r>
      <w:r>
        <w:rPr/>
        <w:t>the</w:t>
      </w:r>
      <w:r>
        <w:rPr>
          <w:spacing w:val="16"/>
        </w:rPr>
        <w:t> </w:t>
      </w:r>
      <w:r>
        <w:rPr/>
        <w:t>model.</w:t>
      </w:r>
      <w:r>
        <w:rPr>
          <w:spacing w:val="16"/>
        </w:rPr>
        <w:t> </w:t>
      </w:r>
      <w:r>
        <w:rPr/>
        <w:t>Models</w:t>
      </w:r>
      <w:r>
        <w:rPr>
          <w:spacing w:val="18"/>
        </w:rPr>
        <w:t> </w:t>
      </w:r>
      <w:r>
        <w:rPr/>
        <w:t>are</w:t>
      </w:r>
      <w:r>
        <w:rPr>
          <w:spacing w:val="14"/>
        </w:rPr>
        <w:t> </w:t>
      </w:r>
      <w:r>
        <w:rPr/>
        <w:t>divided</w:t>
      </w:r>
      <w:r>
        <w:rPr>
          <w:spacing w:val="16"/>
        </w:rPr>
        <w:t> </w:t>
      </w:r>
      <w:r>
        <w:rPr/>
        <w:t>into</w:t>
      </w:r>
      <w:r>
        <w:rPr>
          <w:spacing w:val="16"/>
        </w:rPr>
        <w:t> </w:t>
      </w:r>
      <w:r>
        <w:rPr/>
        <w:t>three</w:t>
      </w:r>
      <w:r>
        <w:rPr>
          <w:spacing w:val="18"/>
        </w:rPr>
        <w:t> </w:t>
      </w:r>
      <w:r>
        <w:rPr/>
        <w:t>classes</w:t>
      </w:r>
      <w:r>
        <w:rPr>
          <w:spacing w:val="16"/>
        </w:rPr>
        <w:t> </w:t>
      </w:r>
      <w:r>
        <w:rPr/>
        <w:t>on</w:t>
      </w:r>
      <w:r>
        <w:rPr>
          <w:spacing w:val="16"/>
        </w:rPr>
        <w:t> </w:t>
      </w:r>
      <w:r>
        <w:rPr/>
        <w:t>the</w:t>
      </w:r>
      <w:r>
        <w:rPr>
          <w:spacing w:val="16"/>
        </w:rPr>
        <w:t> </w:t>
      </w:r>
      <w:r>
        <w:rPr/>
        <w:t>basis</w:t>
      </w:r>
      <w:r>
        <w:rPr>
          <w:spacing w:val="17"/>
        </w:rPr>
        <w:t> </w:t>
      </w:r>
      <w:r>
        <w:rPr/>
        <w:t>of</w:t>
      </w:r>
      <w:r>
        <w:rPr>
          <w:spacing w:val="18"/>
        </w:rPr>
        <w:t> </w:t>
      </w:r>
      <w:r>
        <w:rPr/>
        <w:t>their</w:t>
      </w:r>
      <w:r>
        <w:rPr>
          <w:spacing w:val="18"/>
        </w:rPr>
        <w:t> </w:t>
      </w:r>
      <w:r>
        <w:rPr/>
        <w:t>degree</w:t>
      </w:r>
      <w:r>
        <w:rPr>
          <w:spacing w:val="15"/>
        </w:rPr>
        <w:t> </w:t>
      </w:r>
      <w:r>
        <w:rPr/>
        <w:t>of</w:t>
      </w:r>
      <w:r>
        <w:rPr>
          <w:spacing w:val="19"/>
        </w:rPr>
        <w:t> </w:t>
      </w:r>
      <w:r>
        <w:rPr>
          <w:spacing w:val="-2"/>
        </w:rPr>
        <w:t>abstraction</w:t>
      </w:r>
    </w:p>
    <w:p>
      <w:pPr>
        <w:pStyle w:val="BodyText"/>
        <w:spacing w:line="360" w:lineRule="auto"/>
        <w:ind w:left="120" w:right="1115"/>
        <w:jc w:val="both"/>
      </w:pPr>
      <w:r>
        <w:rPr/>
        <w:t>(a) Iconic model: It is the least abstract, physical, 'look-alike' representation of some specific entity, such as a model airplane or train or house. (b) Analogue model: more abstract but having some resemblance to what it represents, such as a chart, graph, map, network diagram.(c) Symbolic model: most-abstract model with no resemblance but only an approximation to what it represents, such as a mathematical equation or formula, financial statement, language, and set of accounts.</w:t>
      </w:r>
      <w:r>
        <w:rPr>
          <w:spacing w:val="40"/>
        </w:rPr>
        <w:t> </w:t>
      </w:r>
      <w:r>
        <w:rPr/>
        <w:t>In the context of this research, the housing budget performance model developed falls into the class of an analogous model.</w:t>
      </w:r>
    </w:p>
    <w:p>
      <w:pPr>
        <w:pStyle w:val="BodyText"/>
        <w:spacing w:before="143"/>
      </w:pPr>
    </w:p>
    <w:p>
      <w:pPr>
        <w:pStyle w:val="Heading4"/>
        <w:numPr>
          <w:ilvl w:val="2"/>
          <w:numId w:val="101"/>
        </w:numPr>
        <w:tabs>
          <w:tab w:pos="720" w:val="left" w:leader="none"/>
        </w:tabs>
        <w:spacing w:line="240" w:lineRule="auto" w:before="0" w:after="0"/>
        <w:ind w:left="720" w:right="0" w:hanging="600"/>
        <w:jc w:val="both"/>
      </w:pPr>
      <w:r>
        <w:rPr/>
        <w:t>Basis</w:t>
      </w:r>
      <w:r>
        <w:rPr>
          <w:spacing w:val="-4"/>
        </w:rPr>
        <w:t> </w:t>
      </w:r>
      <w:r>
        <w:rPr/>
        <w:t>for</w:t>
      </w:r>
      <w:r>
        <w:rPr>
          <w:spacing w:val="-3"/>
        </w:rPr>
        <w:t> </w:t>
      </w:r>
      <w:r>
        <w:rPr/>
        <w:t>the</w:t>
      </w:r>
      <w:r>
        <w:rPr>
          <w:spacing w:val="-2"/>
        </w:rPr>
        <w:t> </w:t>
      </w:r>
      <w:r>
        <w:rPr/>
        <w:t>Development</w:t>
      </w:r>
      <w:r>
        <w:rPr>
          <w:spacing w:val="-2"/>
        </w:rPr>
        <w:t> </w:t>
      </w:r>
      <w:r>
        <w:rPr/>
        <w:t>of</w:t>
      </w:r>
      <w:r>
        <w:rPr>
          <w:spacing w:val="-1"/>
        </w:rPr>
        <w:t> </w:t>
      </w:r>
      <w:r>
        <w:rPr/>
        <w:t>the</w:t>
      </w:r>
      <w:r>
        <w:rPr>
          <w:spacing w:val="-3"/>
        </w:rPr>
        <w:t> </w:t>
      </w:r>
      <w:r>
        <w:rPr/>
        <w:t>Housing</w:t>
      </w:r>
      <w:r>
        <w:rPr>
          <w:spacing w:val="-4"/>
        </w:rPr>
        <w:t> </w:t>
      </w:r>
      <w:r>
        <w:rPr/>
        <w:t>Budget</w:t>
      </w:r>
      <w:r>
        <w:rPr>
          <w:spacing w:val="-2"/>
        </w:rPr>
        <w:t> </w:t>
      </w:r>
      <w:r>
        <w:rPr/>
        <w:t>Performance </w:t>
      </w:r>
      <w:r>
        <w:rPr>
          <w:spacing w:val="-2"/>
        </w:rPr>
        <w:t>model</w:t>
      </w:r>
    </w:p>
    <w:p>
      <w:pPr>
        <w:pStyle w:val="BodyText"/>
        <w:spacing w:line="360" w:lineRule="auto" w:before="134"/>
        <w:ind w:left="120" w:right="1111"/>
        <w:jc w:val="both"/>
      </w:pPr>
      <w:r>
        <w:rPr/>
        <w:t>The success of a housing budget is assessed by the extent the budget fulfils its functions of adequate implementation and how the citizens benefit from it and the impact on not just housing infrastructure delivery, but economic development of the society as well (Jambol </w:t>
      </w:r>
      <w:r>
        <w:rPr>
          <w:i/>
        </w:rPr>
        <w:t>et al</w:t>
      </w:r>
      <w:r>
        <w:rPr/>
        <w:t>., 2013).</w:t>
      </w:r>
    </w:p>
    <w:p>
      <w:pPr>
        <w:pStyle w:val="BodyText"/>
        <w:spacing w:line="360" w:lineRule="auto"/>
        <w:ind w:left="120" w:right="1114"/>
        <w:jc w:val="both"/>
      </w:pPr>
      <w:r>
        <w:rPr/>
        <w:t>This shows that improper or inefficient budgeting for housing by the public sector can have adverse impact on the living</w:t>
      </w:r>
      <w:r>
        <w:rPr>
          <w:spacing w:val="-1"/>
        </w:rPr>
        <w:t> </w:t>
      </w:r>
      <w:r>
        <w:rPr/>
        <w:t>standard of the citizens and societal development. Hence, budgeting for housing in the public sector is anchored on three broad and key issues, namely: efficient management, adequate funding, and stakeholders‘ needs. The incremental, rationalist, citizen participation impact and the balanced scorecard budget models all provide a good potential for addressing these issues and ultimately developing the housing budget performance model which is one of the objectives of this research. The following further explains the key characteristics of these models that make them the foundation for the proposed model.</w:t>
      </w:r>
    </w:p>
    <w:p>
      <w:pPr>
        <w:pStyle w:val="BodyText"/>
        <w:spacing w:before="91"/>
      </w:pPr>
    </w:p>
    <w:p>
      <w:pPr>
        <w:pStyle w:val="BodyText"/>
        <w:spacing w:line="360" w:lineRule="auto"/>
        <w:ind w:left="120" w:right="1116"/>
        <w:jc w:val="both"/>
      </w:pPr>
      <w:r>
        <w:rPr/>
        <w:t>The incremental model (</w:t>
      </w:r>
      <w:r>
        <w:rPr>
          <w:i/>
        </w:rPr>
        <w:t>see figure 3.9</w:t>
      </w:r>
      <w:r>
        <w:rPr/>
        <w:t>) provides a good platform for addressing adequate</w:t>
      </w:r>
      <w:r>
        <w:rPr>
          <w:spacing w:val="40"/>
        </w:rPr>
        <w:t> </w:t>
      </w:r>
      <w:r>
        <w:rPr/>
        <w:t>funding for housing infrastructure, especially in the face of rapid urbanization and insufficient time to conduct a housing needs assessment. It is premised on simply increasing the budget allocated to housing on an annual basis in view of the present economic realities such as</w:t>
      </w:r>
      <w:r>
        <w:rPr>
          <w:spacing w:val="40"/>
        </w:rPr>
        <w:t> </w:t>
      </w:r>
      <w:r>
        <w:rPr/>
        <w:t>inflation, improved IGR and federal allocation etc. The key issues in the incremental model is that it establishes that increased or improved</w:t>
      </w:r>
      <w:r>
        <w:rPr>
          <w:spacing w:val="40"/>
        </w:rPr>
        <w:t> </w:t>
      </w:r>
      <w:r>
        <w:rPr/>
        <w:t>funding or allocation determines to a large extent, the success of any infrastructural development such housing.</w:t>
      </w:r>
    </w:p>
    <w:p>
      <w:pPr>
        <w:spacing w:after="0" w:line="360" w:lineRule="auto"/>
        <w:jc w:val="both"/>
        <w:sectPr>
          <w:pgSz w:w="12240" w:h="15840"/>
          <w:pgMar w:header="0" w:footer="1036" w:top="1360" w:bottom="1220" w:left="1320" w:right="320"/>
        </w:sectPr>
      </w:pPr>
    </w:p>
    <w:p>
      <w:pPr>
        <w:pStyle w:val="BodyText"/>
        <w:spacing w:line="360" w:lineRule="auto" w:before="74"/>
        <w:ind w:left="120" w:right="1115"/>
        <w:jc w:val="both"/>
      </w:pPr>
      <w:r>
        <w:rPr/>
        <w:t>The rationalist model (</w:t>
      </w:r>
      <w:r>
        <w:rPr>
          <w:i/>
        </w:rPr>
        <w:t>see figure 3.10</w:t>
      </w:r>
      <w:r>
        <w:rPr/>
        <w:t>) focuses on the factors that need to be taken into consideration in preparing the budget in view of a complex society and myriad of competing sectors</w:t>
      </w:r>
      <w:r>
        <w:rPr>
          <w:spacing w:val="-3"/>
        </w:rPr>
        <w:t> </w:t>
      </w:r>
      <w:r>
        <w:rPr/>
        <w:t>which</w:t>
      </w:r>
      <w:r>
        <w:rPr>
          <w:spacing w:val="-2"/>
        </w:rPr>
        <w:t> </w:t>
      </w:r>
      <w:r>
        <w:rPr/>
        <w:t>the</w:t>
      </w:r>
      <w:r>
        <w:rPr>
          <w:spacing w:val="-1"/>
        </w:rPr>
        <w:t> </w:t>
      </w:r>
      <w:r>
        <w:rPr/>
        <w:t>budget decision</w:t>
      </w:r>
      <w:r>
        <w:rPr>
          <w:spacing w:val="-2"/>
        </w:rPr>
        <w:t> </w:t>
      </w:r>
      <w:r>
        <w:rPr/>
        <w:t>maker</w:t>
      </w:r>
      <w:r>
        <w:rPr>
          <w:spacing w:val="-2"/>
        </w:rPr>
        <w:t> </w:t>
      </w:r>
      <w:r>
        <w:rPr/>
        <w:t>finds</w:t>
      </w:r>
      <w:r>
        <w:rPr>
          <w:spacing w:val="-2"/>
        </w:rPr>
        <w:t> </w:t>
      </w:r>
      <w:r>
        <w:rPr/>
        <w:t>himself</w:t>
      </w:r>
      <w:r>
        <w:rPr>
          <w:spacing w:val="-2"/>
        </w:rPr>
        <w:t> </w:t>
      </w:r>
      <w:r>
        <w:rPr/>
        <w:t>in. These</w:t>
      </w:r>
      <w:r>
        <w:rPr>
          <w:spacing w:val="-1"/>
        </w:rPr>
        <w:t> </w:t>
      </w:r>
      <w:r>
        <w:rPr/>
        <w:t>complexities</w:t>
      </w:r>
      <w:r>
        <w:rPr>
          <w:spacing w:val="-2"/>
        </w:rPr>
        <w:t> </w:t>
      </w:r>
      <w:r>
        <w:rPr/>
        <w:t>have</w:t>
      </w:r>
      <w:r>
        <w:rPr>
          <w:spacing w:val="-3"/>
        </w:rPr>
        <w:t> </w:t>
      </w:r>
      <w:r>
        <w:rPr/>
        <w:t>to</w:t>
      </w:r>
      <w:r>
        <w:rPr>
          <w:spacing w:val="-2"/>
        </w:rPr>
        <w:t> </w:t>
      </w:r>
      <w:r>
        <w:rPr/>
        <w:t>do with</w:t>
      </w:r>
      <w:r>
        <w:rPr>
          <w:spacing w:val="-2"/>
        </w:rPr>
        <w:t> </w:t>
      </w:r>
      <w:r>
        <w:rPr/>
        <w:t>the political, legal, social environment as well as the economic and technical requirements required to effectively develop, recommend, pass and execute the budget. Thus, these issues have to be thoroughly evaluated to enable a rational decision to be taken on the budget. The crux of this model is that for the housing budget to perform effectively, the budgeter or Government in the face</w:t>
      </w:r>
      <w:r>
        <w:rPr>
          <w:spacing w:val="-2"/>
        </w:rPr>
        <w:t> </w:t>
      </w:r>
      <w:r>
        <w:rPr/>
        <w:t>of</w:t>
      </w:r>
      <w:r>
        <w:rPr>
          <w:spacing w:val="-3"/>
        </w:rPr>
        <w:t> </w:t>
      </w:r>
      <w:r>
        <w:rPr/>
        <w:t>the</w:t>
      </w:r>
      <w:r>
        <w:rPr>
          <w:spacing w:val="-4"/>
        </w:rPr>
        <w:t> </w:t>
      </w:r>
      <w:r>
        <w:rPr/>
        <w:t>political,</w:t>
      </w:r>
      <w:r>
        <w:rPr>
          <w:spacing w:val="-3"/>
        </w:rPr>
        <w:t> </w:t>
      </w:r>
      <w:r>
        <w:rPr/>
        <w:t>physical</w:t>
      </w:r>
      <w:r>
        <w:rPr>
          <w:spacing w:val="-3"/>
        </w:rPr>
        <w:t> </w:t>
      </w:r>
      <w:r>
        <w:rPr/>
        <w:t>and</w:t>
      </w:r>
      <w:r>
        <w:rPr>
          <w:spacing w:val="-2"/>
        </w:rPr>
        <w:t> </w:t>
      </w:r>
      <w:r>
        <w:rPr/>
        <w:t>economic</w:t>
      </w:r>
      <w:r>
        <w:rPr>
          <w:spacing w:val="-2"/>
        </w:rPr>
        <w:t> </w:t>
      </w:r>
      <w:r>
        <w:rPr/>
        <w:t>environment,</w:t>
      </w:r>
      <w:r>
        <w:rPr>
          <w:spacing w:val="-3"/>
        </w:rPr>
        <w:t> </w:t>
      </w:r>
      <w:r>
        <w:rPr/>
        <w:t>must</w:t>
      </w:r>
      <w:r>
        <w:rPr>
          <w:spacing w:val="-3"/>
        </w:rPr>
        <w:t> </w:t>
      </w:r>
      <w:r>
        <w:rPr/>
        <w:t>be</w:t>
      </w:r>
      <w:r>
        <w:rPr>
          <w:spacing w:val="-4"/>
        </w:rPr>
        <w:t> </w:t>
      </w:r>
      <w:r>
        <w:rPr/>
        <w:t>objective</w:t>
      </w:r>
      <w:r>
        <w:rPr>
          <w:spacing w:val="-2"/>
        </w:rPr>
        <w:t> </w:t>
      </w:r>
      <w:r>
        <w:rPr/>
        <w:t>and</w:t>
      </w:r>
      <w:r>
        <w:rPr>
          <w:spacing w:val="-3"/>
        </w:rPr>
        <w:t> </w:t>
      </w:r>
      <w:r>
        <w:rPr/>
        <w:t>unbiased;</w:t>
      </w:r>
      <w:r>
        <w:rPr>
          <w:spacing w:val="-3"/>
        </w:rPr>
        <w:t> </w:t>
      </w:r>
      <w:r>
        <w:rPr/>
        <w:t>setting aside any</w:t>
      </w:r>
      <w:r>
        <w:rPr>
          <w:spacing w:val="40"/>
        </w:rPr>
        <w:t> </w:t>
      </w:r>
      <w:r>
        <w:rPr/>
        <w:t>ethnic/tribal, political, ideological and religious values which may affect his sense of </w:t>
      </w:r>
      <w:r>
        <w:rPr>
          <w:spacing w:val="-2"/>
        </w:rPr>
        <w:t>judgment.</w:t>
      </w:r>
    </w:p>
    <w:p>
      <w:pPr>
        <w:pStyle w:val="BodyText"/>
        <w:spacing w:before="138"/>
      </w:pPr>
    </w:p>
    <w:p>
      <w:pPr>
        <w:pStyle w:val="BodyText"/>
        <w:spacing w:line="360" w:lineRule="auto"/>
        <w:ind w:left="120" w:right="1114"/>
        <w:jc w:val="both"/>
      </w:pPr>
      <w:r>
        <w:rPr/>
        <w:t>The citizen participation impact model (</w:t>
      </w:r>
      <w:r>
        <w:rPr>
          <w:i/>
        </w:rPr>
        <w:t>see figure 3.11</w:t>
      </w:r>
      <w:r>
        <w:rPr/>
        <w:t>) recognizes the need to include citizens</w:t>
      </w:r>
      <w:r>
        <w:rPr>
          <w:spacing w:val="80"/>
        </w:rPr>
        <w:t> </w:t>
      </w:r>
      <w:r>
        <w:rPr/>
        <w:t>in budgetary decision making which is aimed at increasing Government‘s awareness of their priorities and preferences. This models further stresses that for participation to be effective, certain key variables (classified as dependent and independent) must be considered. The independent variables include: the political culture, legal requirements, population size and diversity, type of budget allocation, method of selecting participants, preferences and the mechanisms used to elicit participation e.g. focus groups, surveys. The dependent variables are the</w:t>
      </w:r>
      <w:r>
        <w:rPr>
          <w:spacing w:val="-2"/>
        </w:rPr>
        <w:t> </w:t>
      </w:r>
      <w:r>
        <w:rPr/>
        <w:t>goals</w:t>
      </w:r>
      <w:r>
        <w:rPr>
          <w:spacing w:val="-2"/>
        </w:rPr>
        <w:t> </w:t>
      </w:r>
      <w:r>
        <w:rPr/>
        <w:t>and</w:t>
      </w:r>
      <w:r>
        <w:rPr>
          <w:spacing w:val="-2"/>
        </w:rPr>
        <w:t> </w:t>
      </w:r>
      <w:r>
        <w:rPr/>
        <w:t>outcomes</w:t>
      </w:r>
      <w:r>
        <w:rPr>
          <w:spacing w:val="-2"/>
        </w:rPr>
        <w:t> </w:t>
      </w:r>
      <w:r>
        <w:rPr/>
        <w:t>desired</w:t>
      </w:r>
      <w:r>
        <w:rPr>
          <w:spacing w:val="-2"/>
        </w:rPr>
        <w:t> </w:t>
      </w:r>
      <w:r>
        <w:rPr/>
        <w:t>from</w:t>
      </w:r>
      <w:r>
        <w:rPr>
          <w:spacing w:val="-2"/>
        </w:rPr>
        <w:t> </w:t>
      </w:r>
      <w:r>
        <w:rPr/>
        <w:t>participation</w:t>
      </w:r>
      <w:r>
        <w:rPr>
          <w:spacing w:val="-2"/>
        </w:rPr>
        <w:t> </w:t>
      </w:r>
      <w:r>
        <w:rPr/>
        <w:t>in</w:t>
      </w:r>
      <w:r>
        <w:rPr>
          <w:spacing w:val="-2"/>
        </w:rPr>
        <w:t> </w:t>
      </w:r>
      <w:r>
        <w:rPr/>
        <w:t>the</w:t>
      </w:r>
      <w:r>
        <w:rPr>
          <w:spacing w:val="-3"/>
        </w:rPr>
        <w:t> </w:t>
      </w:r>
      <w:r>
        <w:rPr/>
        <w:t>budget</w:t>
      </w:r>
      <w:r>
        <w:rPr>
          <w:spacing w:val="-2"/>
        </w:rPr>
        <w:t> </w:t>
      </w:r>
      <w:r>
        <w:rPr/>
        <w:t>decision</w:t>
      </w:r>
      <w:r>
        <w:rPr>
          <w:spacing w:val="-2"/>
        </w:rPr>
        <w:t> </w:t>
      </w:r>
      <w:r>
        <w:rPr/>
        <w:t>making,</w:t>
      </w:r>
      <w:r>
        <w:rPr>
          <w:spacing w:val="-2"/>
        </w:rPr>
        <w:t> </w:t>
      </w:r>
      <w:r>
        <w:rPr/>
        <w:t>such</w:t>
      </w:r>
      <w:r>
        <w:rPr>
          <w:spacing w:val="-2"/>
        </w:rPr>
        <w:t> </w:t>
      </w:r>
      <w:r>
        <w:rPr/>
        <w:t>as support of budget proposals and change of resource allocation. It follows therefore, while citizen participation is essential for a successful housing budget implementation, participation can impact positively on housing budget performance, when these critical elements are well articulated by the Government/budget decision maker.</w:t>
      </w:r>
    </w:p>
    <w:p>
      <w:pPr>
        <w:pStyle w:val="BodyText"/>
        <w:spacing w:before="70"/>
      </w:pPr>
    </w:p>
    <w:p>
      <w:pPr>
        <w:pStyle w:val="BodyText"/>
        <w:spacing w:line="360" w:lineRule="auto" w:before="1"/>
        <w:ind w:left="120" w:right="1116"/>
        <w:jc w:val="both"/>
      </w:pPr>
      <w:r>
        <w:rPr/>
        <w:t>The balanced scorecard model (</w:t>
      </w:r>
      <w:r>
        <w:rPr>
          <w:i/>
        </w:rPr>
        <w:t>see figure 3.12</w:t>
      </w:r>
      <w:r>
        <w:rPr/>
        <w:t>) contends that budget makers or the public sector strives to provide value by pursuing satisfaction of stakeholders/the community, improving the performance of their budget procedures or management and services, their financial base or revenue and learning from their mistakes through performance evaluation and reviews which is aimed at constantly innovating, improving their strategies and having a long term vision for the community. Consequently, the locus of the balanced scorecard model is that housing budget performance</w:t>
      </w:r>
      <w:r>
        <w:rPr>
          <w:spacing w:val="35"/>
        </w:rPr>
        <w:t> </w:t>
      </w:r>
      <w:r>
        <w:rPr/>
        <w:t>can</w:t>
      </w:r>
      <w:r>
        <w:rPr>
          <w:spacing w:val="37"/>
        </w:rPr>
        <w:t> </w:t>
      </w:r>
      <w:r>
        <w:rPr/>
        <w:t>be</w:t>
      </w:r>
      <w:r>
        <w:rPr>
          <w:spacing w:val="36"/>
        </w:rPr>
        <w:t> </w:t>
      </w:r>
      <w:r>
        <w:rPr/>
        <w:t>improved</w:t>
      </w:r>
      <w:r>
        <w:rPr>
          <w:spacing w:val="39"/>
        </w:rPr>
        <w:t> </w:t>
      </w:r>
      <w:r>
        <w:rPr/>
        <w:t>if</w:t>
      </w:r>
      <w:r>
        <w:rPr>
          <w:spacing w:val="36"/>
        </w:rPr>
        <w:t> </w:t>
      </w:r>
      <w:r>
        <w:rPr/>
        <w:t>the</w:t>
      </w:r>
      <w:r>
        <w:rPr>
          <w:spacing w:val="36"/>
        </w:rPr>
        <w:t> </w:t>
      </w:r>
      <w:r>
        <w:rPr/>
        <w:t>public</w:t>
      </w:r>
      <w:r>
        <w:rPr>
          <w:spacing w:val="37"/>
        </w:rPr>
        <w:t> </w:t>
      </w:r>
      <w:r>
        <w:rPr/>
        <w:t>sector</w:t>
      </w:r>
      <w:r>
        <w:rPr>
          <w:spacing w:val="36"/>
        </w:rPr>
        <w:t> </w:t>
      </w:r>
      <w:r>
        <w:rPr/>
        <w:t>or</w:t>
      </w:r>
      <w:r>
        <w:rPr>
          <w:spacing w:val="38"/>
        </w:rPr>
        <w:t> </w:t>
      </w:r>
      <w:r>
        <w:rPr/>
        <w:t>government</w:t>
      </w:r>
      <w:r>
        <w:rPr>
          <w:spacing w:val="37"/>
        </w:rPr>
        <w:t> </w:t>
      </w:r>
      <w:r>
        <w:rPr/>
        <w:t>takes</w:t>
      </w:r>
      <w:r>
        <w:rPr>
          <w:spacing w:val="39"/>
        </w:rPr>
        <w:t> </w:t>
      </w:r>
      <w:r>
        <w:rPr/>
        <w:t>adequate</w:t>
      </w:r>
      <w:r>
        <w:rPr>
          <w:spacing w:val="36"/>
        </w:rPr>
        <w:t> </w:t>
      </w:r>
      <w:r>
        <w:rPr/>
        <w:t>measures</w:t>
      </w:r>
      <w:r>
        <w:rPr>
          <w:spacing w:val="42"/>
        </w:rPr>
        <w:t> </w:t>
      </w:r>
      <w:r>
        <w:rPr>
          <w:spacing w:val="-5"/>
        </w:rPr>
        <w:t>to</w:t>
      </w:r>
    </w:p>
    <w:p>
      <w:pPr>
        <w:spacing w:after="0" w:line="360" w:lineRule="auto"/>
        <w:jc w:val="both"/>
        <w:sectPr>
          <w:pgSz w:w="12240" w:h="15840"/>
          <w:pgMar w:header="0" w:footer="1036" w:top="1360" w:bottom="1220" w:left="1320" w:right="320"/>
        </w:sectPr>
      </w:pPr>
    </w:p>
    <w:p>
      <w:pPr>
        <w:pStyle w:val="BodyText"/>
        <w:spacing w:line="360" w:lineRule="auto" w:before="74"/>
        <w:ind w:left="120" w:right="1114"/>
        <w:jc w:val="both"/>
      </w:pPr>
      <w:r>
        <w:rPr/>
        <w:t>ensure budget discipline and justifying monies spent by</w:t>
      </w:r>
      <w:r>
        <w:rPr>
          <w:spacing w:val="-3"/>
        </w:rPr>
        <w:t> </w:t>
      </w:r>
      <w:r>
        <w:rPr/>
        <w:t>satisfying established budget monitoring organs, which will in turn promote transparency and accountability in the management of housing funds. It also indicates that resources (men, materials and money) for housing projects should be available and used efficiently to maximize performance. The development and recommendation of a housing budget performance model for this research is therefore guided by these budget models.</w:t>
      </w:r>
    </w:p>
    <w:p>
      <w:pPr>
        <w:pStyle w:val="BodyText"/>
        <w:spacing w:before="142"/>
      </w:pPr>
    </w:p>
    <w:p>
      <w:pPr>
        <w:pStyle w:val="Heading4"/>
        <w:numPr>
          <w:ilvl w:val="2"/>
          <w:numId w:val="101"/>
        </w:numPr>
        <w:tabs>
          <w:tab w:pos="720" w:val="left" w:leader="none"/>
        </w:tabs>
        <w:spacing w:line="240" w:lineRule="auto" w:before="0" w:after="0"/>
        <w:ind w:left="720" w:right="0" w:hanging="600"/>
        <w:jc w:val="both"/>
      </w:pPr>
      <w:r>
        <w:rPr/>
        <w:t>The</w:t>
      </w:r>
      <w:r>
        <w:rPr>
          <w:spacing w:val="-4"/>
        </w:rPr>
        <w:t> </w:t>
      </w:r>
      <w:r>
        <w:rPr/>
        <w:t>Housing</w:t>
      </w:r>
      <w:r>
        <w:rPr>
          <w:spacing w:val="-2"/>
        </w:rPr>
        <w:t> </w:t>
      </w:r>
      <w:r>
        <w:rPr/>
        <w:t>Budget</w:t>
      </w:r>
      <w:r>
        <w:rPr>
          <w:spacing w:val="-2"/>
        </w:rPr>
        <w:t> </w:t>
      </w:r>
      <w:r>
        <w:rPr/>
        <w:t>Performance</w:t>
      </w:r>
      <w:r>
        <w:rPr>
          <w:spacing w:val="-3"/>
        </w:rPr>
        <w:t> </w:t>
      </w:r>
      <w:r>
        <w:rPr>
          <w:spacing w:val="-4"/>
        </w:rPr>
        <w:t>Model</w:t>
      </w:r>
    </w:p>
    <w:p>
      <w:pPr>
        <w:pStyle w:val="BodyText"/>
        <w:spacing w:line="360" w:lineRule="auto" w:before="135"/>
        <w:ind w:left="120" w:right="1114"/>
        <w:jc w:val="both"/>
      </w:pPr>
      <w:r>
        <w:rPr/>
        <w:t>One of the objectives of this study is to recommend/develop a housing budget performance model that will incorporate best practices, procedures and other key</w:t>
      </w:r>
      <w:r>
        <w:rPr>
          <w:spacing w:val="-5"/>
        </w:rPr>
        <w:t> </w:t>
      </w:r>
      <w:r>
        <w:rPr/>
        <w:t>variables in the</w:t>
      </w:r>
      <w:r>
        <w:rPr>
          <w:spacing w:val="-1"/>
        </w:rPr>
        <w:t> </w:t>
      </w:r>
      <w:r>
        <w:rPr/>
        <w:t>management of Anambra State‘s housing budget to ensure effective performance. The conceptual model that will be recommended is based on the best practice criteria identified in the literature and case study investigations. The housing budget performance model will thus, be a decision making framework for successful budgeting for housing construction in Anambra State, which is ultimately aimed at improving housing delivery in the State.</w:t>
      </w:r>
    </w:p>
    <w:p>
      <w:pPr>
        <w:pStyle w:val="BodyText"/>
        <w:spacing w:before="138"/>
      </w:pPr>
    </w:p>
    <w:p>
      <w:pPr>
        <w:pStyle w:val="BodyText"/>
        <w:spacing w:line="360" w:lineRule="auto" w:before="1"/>
        <w:ind w:left="120" w:right="1114"/>
        <w:jc w:val="both"/>
      </w:pPr>
      <w:r>
        <w:rPr/>
        <w:t>This study has shown that, there is need to provide a model for effective performance of the budget process in the housing sector of Anambra State. Thus, the proposed model focuses on</w:t>
      </w:r>
      <w:r>
        <w:rPr>
          <w:spacing w:val="40"/>
        </w:rPr>
        <w:t> </w:t>
      </w:r>
      <w:r>
        <w:rPr/>
        <w:t>how the Anambra State Government or policy makers and staff of the Housing, Budget and Economic Planning Ministries should consciously and continually adopt the budget performance model, in order to deliver housing infrastructure effectively. It also provides these institutions with basis to evaluate the performance of the housing budget. An outline and description of this model is illustrated in figure 5.15.</w:t>
      </w:r>
    </w:p>
    <w:p>
      <w:pPr>
        <w:spacing w:after="0" w:line="360" w:lineRule="auto"/>
        <w:jc w:val="both"/>
        <w:sectPr>
          <w:pgSz w:w="12240" w:h="15840"/>
          <w:pgMar w:header="0" w:footer="1036" w:top="1360" w:bottom="1220" w:left="1320" w:right="320"/>
        </w:sectPr>
      </w:pPr>
    </w:p>
    <w:p>
      <w:pPr>
        <w:pStyle w:val="BodyText"/>
        <w:rPr>
          <w:sz w:val="20"/>
        </w:rPr>
      </w:pPr>
    </w:p>
    <w:p>
      <w:pPr>
        <w:pStyle w:val="BodyText"/>
        <w:rPr>
          <w:sz w:val="20"/>
        </w:rPr>
      </w:pPr>
    </w:p>
    <w:p>
      <w:pPr>
        <w:pStyle w:val="BodyText"/>
        <w:spacing w:before="35"/>
        <w:rPr>
          <w:sz w:val="20"/>
        </w:rPr>
      </w:pPr>
    </w:p>
    <w:p>
      <w:pPr>
        <w:spacing w:after="0"/>
        <w:rPr>
          <w:sz w:val="20"/>
        </w:rPr>
        <w:sectPr>
          <w:pgSz w:w="12240" w:h="15840"/>
          <w:pgMar w:header="0" w:footer="1036" w:top="1440" w:bottom="1220" w:left="1320" w:right="320"/>
        </w:sectPr>
      </w:pPr>
    </w:p>
    <w:p>
      <w:pPr>
        <w:spacing w:line="244" w:lineRule="auto" w:before="99"/>
        <w:ind w:left="857" w:right="38" w:firstLine="0"/>
        <w:jc w:val="center"/>
        <w:rPr>
          <w:rFonts w:ascii="Arial MT"/>
          <w:sz w:val="16"/>
        </w:rPr>
      </w:pPr>
      <w:r>
        <w:rPr/>
        <mc:AlternateContent>
          <mc:Choice Requires="wps">
            <w:drawing>
              <wp:anchor distT="0" distB="0" distL="0" distR="0" allowOverlap="1" layoutInCell="1" locked="0" behindDoc="1" simplePos="0" relativeHeight="478143488">
                <wp:simplePos x="0" y="0"/>
                <wp:positionH relativeFrom="page">
                  <wp:posOffset>921747</wp:posOffset>
                </wp:positionH>
                <wp:positionV relativeFrom="paragraph">
                  <wp:posOffset>-456863</wp:posOffset>
                </wp:positionV>
                <wp:extent cx="6475730" cy="6563995"/>
                <wp:effectExtent l="0" t="0" r="0" b="0"/>
                <wp:wrapNone/>
                <wp:docPr id="1094" name="Group 1094"/>
                <wp:cNvGraphicFramePr>
                  <a:graphicFrameLocks/>
                </wp:cNvGraphicFramePr>
                <a:graphic>
                  <a:graphicData uri="http://schemas.microsoft.com/office/word/2010/wordprocessingGroup">
                    <wpg:wgp>
                      <wpg:cNvPr id="1094" name="Group 1094"/>
                      <wpg:cNvGrpSpPr/>
                      <wpg:grpSpPr>
                        <a:xfrm>
                          <a:off x="0" y="0"/>
                          <a:ext cx="6475730" cy="6563995"/>
                          <a:chExt cx="6475730" cy="6563995"/>
                        </a:xfrm>
                      </wpg:grpSpPr>
                      <wps:wsp>
                        <wps:cNvPr id="1095" name="Graphic 1095"/>
                        <wps:cNvSpPr/>
                        <wps:spPr>
                          <a:xfrm>
                            <a:off x="1853567" y="2225026"/>
                            <a:ext cx="787400" cy="305435"/>
                          </a:xfrm>
                          <a:custGeom>
                            <a:avLst/>
                            <a:gdLst/>
                            <a:ahLst/>
                            <a:cxnLst/>
                            <a:rect l="l" t="t" r="r" b="b"/>
                            <a:pathLst>
                              <a:path w="787400" h="305435">
                                <a:moveTo>
                                  <a:pt x="787299" y="0"/>
                                </a:moveTo>
                                <a:lnTo>
                                  <a:pt x="0" y="0"/>
                                </a:lnTo>
                                <a:lnTo>
                                  <a:pt x="0" y="304855"/>
                                </a:lnTo>
                                <a:lnTo>
                                  <a:pt x="787299" y="304855"/>
                                </a:lnTo>
                                <a:lnTo>
                                  <a:pt x="787299" y="0"/>
                                </a:lnTo>
                                <a:close/>
                              </a:path>
                            </a:pathLst>
                          </a:custGeom>
                          <a:solidFill>
                            <a:srgbClr val="3A2378"/>
                          </a:solidFill>
                        </wps:spPr>
                        <wps:bodyPr wrap="square" lIns="0" tIns="0" rIns="0" bIns="0" rtlCol="0">
                          <a:prstTxWarp prst="textNoShape">
                            <a:avLst/>
                          </a:prstTxWarp>
                          <a:noAutofit/>
                        </wps:bodyPr>
                      </wps:wsp>
                      <wps:wsp>
                        <wps:cNvPr id="1096" name="Graphic 1096"/>
                        <wps:cNvSpPr/>
                        <wps:spPr>
                          <a:xfrm>
                            <a:off x="1853567" y="2225026"/>
                            <a:ext cx="1609090" cy="305435"/>
                          </a:xfrm>
                          <a:custGeom>
                            <a:avLst/>
                            <a:gdLst/>
                            <a:ahLst/>
                            <a:cxnLst/>
                            <a:rect l="l" t="t" r="r" b="b"/>
                            <a:pathLst>
                              <a:path w="1609090" h="305435">
                                <a:moveTo>
                                  <a:pt x="0" y="304855"/>
                                </a:moveTo>
                                <a:lnTo>
                                  <a:pt x="787299" y="304855"/>
                                </a:lnTo>
                                <a:lnTo>
                                  <a:pt x="787299" y="0"/>
                                </a:lnTo>
                                <a:lnTo>
                                  <a:pt x="0" y="0"/>
                                </a:lnTo>
                                <a:lnTo>
                                  <a:pt x="0" y="304855"/>
                                </a:lnTo>
                                <a:close/>
                              </a:path>
                              <a:path w="1609090" h="305435">
                                <a:moveTo>
                                  <a:pt x="969875" y="66"/>
                                </a:moveTo>
                                <a:lnTo>
                                  <a:pt x="1609057" y="66"/>
                                </a:lnTo>
                              </a:path>
                            </a:pathLst>
                          </a:custGeom>
                          <a:ln w="10450">
                            <a:solidFill>
                              <a:srgbClr val="23201D"/>
                            </a:solidFill>
                            <a:prstDash val="solid"/>
                          </a:ln>
                        </wps:spPr>
                        <wps:bodyPr wrap="square" lIns="0" tIns="0" rIns="0" bIns="0" rtlCol="0">
                          <a:prstTxWarp prst="textNoShape">
                            <a:avLst/>
                          </a:prstTxWarp>
                          <a:noAutofit/>
                        </wps:bodyPr>
                      </wps:wsp>
                      <wps:wsp>
                        <wps:cNvPr id="1097" name="Graphic 1097"/>
                        <wps:cNvSpPr/>
                        <wps:spPr>
                          <a:xfrm>
                            <a:off x="381512" y="43734"/>
                            <a:ext cx="1392555" cy="1296035"/>
                          </a:xfrm>
                          <a:custGeom>
                            <a:avLst/>
                            <a:gdLst/>
                            <a:ahLst/>
                            <a:cxnLst/>
                            <a:rect l="l" t="t" r="r" b="b"/>
                            <a:pathLst>
                              <a:path w="1392555" h="1296035">
                                <a:moveTo>
                                  <a:pt x="1392125" y="0"/>
                                </a:moveTo>
                                <a:lnTo>
                                  <a:pt x="0" y="0"/>
                                </a:lnTo>
                                <a:lnTo>
                                  <a:pt x="0" y="1295520"/>
                                </a:lnTo>
                                <a:lnTo>
                                  <a:pt x="1392125" y="1295520"/>
                                </a:lnTo>
                                <a:lnTo>
                                  <a:pt x="1392125" y="0"/>
                                </a:lnTo>
                                <a:close/>
                              </a:path>
                            </a:pathLst>
                          </a:custGeom>
                          <a:solidFill>
                            <a:srgbClr val="E9E600"/>
                          </a:solidFill>
                        </wps:spPr>
                        <wps:bodyPr wrap="square" lIns="0" tIns="0" rIns="0" bIns="0" rtlCol="0">
                          <a:prstTxWarp prst="textNoShape">
                            <a:avLst/>
                          </a:prstTxWarp>
                          <a:noAutofit/>
                        </wps:bodyPr>
                      </wps:wsp>
                      <wps:wsp>
                        <wps:cNvPr id="1098" name="Graphic 1098"/>
                        <wps:cNvSpPr/>
                        <wps:spPr>
                          <a:xfrm>
                            <a:off x="335654" y="5529"/>
                            <a:ext cx="1483995" cy="1372235"/>
                          </a:xfrm>
                          <a:custGeom>
                            <a:avLst/>
                            <a:gdLst/>
                            <a:ahLst/>
                            <a:cxnLst/>
                            <a:rect l="l" t="t" r="r" b="b"/>
                            <a:pathLst>
                              <a:path w="1483995" h="1372235">
                                <a:moveTo>
                                  <a:pt x="1483512" y="165"/>
                                </a:moveTo>
                                <a:lnTo>
                                  <a:pt x="1437970" y="165"/>
                                </a:lnTo>
                                <a:lnTo>
                                  <a:pt x="1437970" y="0"/>
                                </a:lnTo>
                                <a:lnTo>
                                  <a:pt x="1392415" y="0"/>
                                </a:lnTo>
                                <a:lnTo>
                                  <a:pt x="1392415" y="38150"/>
                                </a:lnTo>
                                <a:lnTo>
                                  <a:pt x="1392415" y="76530"/>
                                </a:lnTo>
                                <a:lnTo>
                                  <a:pt x="1392415" y="1295692"/>
                                </a:lnTo>
                                <a:lnTo>
                                  <a:pt x="91414" y="1295692"/>
                                </a:lnTo>
                                <a:lnTo>
                                  <a:pt x="91414" y="76530"/>
                                </a:lnTo>
                                <a:lnTo>
                                  <a:pt x="1392415" y="76530"/>
                                </a:lnTo>
                                <a:lnTo>
                                  <a:pt x="1392415" y="38214"/>
                                </a:lnTo>
                                <a:lnTo>
                                  <a:pt x="91414" y="38214"/>
                                </a:lnTo>
                                <a:lnTo>
                                  <a:pt x="1392415" y="38150"/>
                                </a:lnTo>
                                <a:lnTo>
                                  <a:pt x="1392415" y="0"/>
                                </a:lnTo>
                                <a:lnTo>
                                  <a:pt x="45847" y="0"/>
                                </a:lnTo>
                                <a:lnTo>
                                  <a:pt x="0" y="0"/>
                                </a:lnTo>
                                <a:lnTo>
                                  <a:pt x="0" y="76288"/>
                                </a:lnTo>
                                <a:lnTo>
                                  <a:pt x="0" y="1295742"/>
                                </a:lnTo>
                                <a:lnTo>
                                  <a:pt x="0" y="1372031"/>
                                </a:lnTo>
                                <a:lnTo>
                                  <a:pt x="45847" y="1372031"/>
                                </a:lnTo>
                                <a:lnTo>
                                  <a:pt x="45847" y="1333893"/>
                                </a:lnTo>
                                <a:lnTo>
                                  <a:pt x="91414" y="1333893"/>
                                </a:lnTo>
                                <a:lnTo>
                                  <a:pt x="91414" y="1333728"/>
                                </a:lnTo>
                                <a:lnTo>
                                  <a:pt x="1392415" y="1333728"/>
                                </a:lnTo>
                                <a:lnTo>
                                  <a:pt x="1392415" y="1333893"/>
                                </a:lnTo>
                                <a:lnTo>
                                  <a:pt x="1437970" y="1333893"/>
                                </a:lnTo>
                                <a:lnTo>
                                  <a:pt x="1437970" y="1371765"/>
                                </a:lnTo>
                                <a:lnTo>
                                  <a:pt x="1483512" y="1371765"/>
                                </a:lnTo>
                                <a:lnTo>
                                  <a:pt x="1483512" y="1295742"/>
                                </a:lnTo>
                                <a:lnTo>
                                  <a:pt x="1483512" y="76530"/>
                                </a:lnTo>
                                <a:lnTo>
                                  <a:pt x="1483512" y="76288"/>
                                </a:lnTo>
                                <a:lnTo>
                                  <a:pt x="1483512" y="165"/>
                                </a:lnTo>
                                <a:close/>
                              </a:path>
                            </a:pathLst>
                          </a:custGeom>
                          <a:solidFill>
                            <a:srgbClr val="23201D"/>
                          </a:solidFill>
                        </wps:spPr>
                        <wps:bodyPr wrap="square" lIns="0" tIns="0" rIns="0" bIns="0" rtlCol="0">
                          <a:prstTxWarp prst="textNoShape">
                            <a:avLst/>
                          </a:prstTxWarp>
                          <a:noAutofit/>
                        </wps:bodyPr>
                      </wps:wsp>
                      <wps:wsp>
                        <wps:cNvPr id="1099" name="Graphic 1099"/>
                        <wps:cNvSpPr/>
                        <wps:spPr>
                          <a:xfrm>
                            <a:off x="381512" y="1339254"/>
                            <a:ext cx="1392555" cy="1296035"/>
                          </a:xfrm>
                          <a:custGeom>
                            <a:avLst/>
                            <a:gdLst/>
                            <a:ahLst/>
                            <a:cxnLst/>
                            <a:rect l="l" t="t" r="r" b="b"/>
                            <a:pathLst>
                              <a:path w="1392555" h="1296035">
                                <a:moveTo>
                                  <a:pt x="1392125" y="0"/>
                                </a:moveTo>
                                <a:lnTo>
                                  <a:pt x="0" y="0"/>
                                </a:lnTo>
                                <a:lnTo>
                                  <a:pt x="0" y="1295520"/>
                                </a:lnTo>
                                <a:lnTo>
                                  <a:pt x="1392125" y="1295520"/>
                                </a:lnTo>
                                <a:lnTo>
                                  <a:pt x="1392125" y="0"/>
                                </a:lnTo>
                                <a:close/>
                              </a:path>
                            </a:pathLst>
                          </a:custGeom>
                          <a:solidFill>
                            <a:srgbClr val="E9E600"/>
                          </a:solidFill>
                        </wps:spPr>
                        <wps:bodyPr wrap="square" lIns="0" tIns="0" rIns="0" bIns="0" rtlCol="0">
                          <a:prstTxWarp prst="textNoShape">
                            <a:avLst/>
                          </a:prstTxWarp>
                          <a:noAutofit/>
                        </wps:bodyPr>
                      </wps:wsp>
                      <wps:wsp>
                        <wps:cNvPr id="1100" name="Graphic 1100"/>
                        <wps:cNvSpPr/>
                        <wps:spPr>
                          <a:xfrm>
                            <a:off x="335654" y="1301222"/>
                            <a:ext cx="1483995" cy="1372235"/>
                          </a:xfrm>
                          <a:custGeom>
                            <a:avLst/>
                            <a:gdLst/>
                            <a:ahLst/>
                            <a:cxnLst/>
                            <a:rect l="l" t="t" r="r" b="b"/>
                            <a:pathLst>
                              <a:path w="1483995" h="1372235">
                                <a:moveTo>
                                  <a:pt x="1483512" y="0"/>
                                </a:moveTo>
                                <a:lnTo>
                                  <a:pt x="1437970" y="0"/>
                                </a:lnTo>
                                <a:lnTo>
                                  <a:pt x="1392415" y="50"/>
                                </a:lnTo>
                                <a:lnTo>
                                  <a:pt x="1392415" y="76073"/>
                                </a:lnTo>
                                <a:lnTo>
                                  <a:pt x="1392415" y="76339"/>
                                </a:lnTo>
                                <a:lnTo>
                                  <a:pt x="1392415" y="1295234"/>
                                </a:lnTo>
                                <a:lnTo>
                                  <a:pt x="91414" y="1295234"/>
                                </a:lnTo>
                                <a:lnTo>
                                  <a:pt x="91414" y="76339"/>
                                </a:lnTo>
                                <a:lnTo>
                                  <a:pt x="91414" y="76073"/>
                                </a:lnTo>
                                <a:lnTo>
                                  <a:pt x="1392415" y="76073"/>
                                </a:lnTo>
                                <a:lnTo>
                                  <a:pt x="1392415" y="50"/>
                                </a:lnTo>
                                <a:lnTo>
                                  <a:pt x="45847" y="50"/>
                                </a:lnTo>
                                <a:lnTo>
                                  <a:pt x="0" y="50"/>
                                </a:lnTo>
                                <a:lnTo>
                                  <a:pt x="0" y="76339"/>
                                </a:lnTo>
                                <a:lnTo>
                                  <a:pt x="0" y="1295806"/>
                                </a:lnTo>
                                <a:lnTo>
                                  <a:pt x="0" y="1372095"/>
                                </a:lnTo>
                                <a:lnTo>
                                  <a:pt x="45847" y="1372095"/>
                                </a:lnTo>
                                <a:lnTo>
                                  <a:pt x="45847" y="1333563"/>
                                </a:lnTo>
                                <a:lnTo>
                                  <a:pt x="91414" y="1333563"/>
                                </a:lnTo>
                                <a:lnTo>
                                  <a:pt x="1392415" y="1333563"/>
                                </a:lnTo>
                                <a:lnTo>
                                  <a:pt x="1437970" y="1333563"/>
                                </a:lnTo>
                                <a:lnTo>
                                  <a:pt x="1437970" y="1371600"/>
                                </a:lnTo>
                                <a:lnTo>
                                  <a:pt x="1483512" y="1371600"/>
                                </a:lnTo>
                                <a:lnTo>
                                  <a:pt x="1483512" y="1295806"/>
                                </a:lnTo>
                                <a:lnTo>
                                  <a:pt x="1483512" y="1295234"/>
                                </a:lnTo>
                                <a:lnTo>
                                  <a:pt x="1483512" y="76339"/>
                                </a:lnTo>
                                <a:lnTo>
                                  <a:pt x="1437970" y="76339"/>
                                </a:lnTo>
                                <a:lnTo>
                                  <a:pt x="1437970" y="76073"/>
                                </a:lnTo>
                                <a:lnTo>
                                  <a:pt x="1483512" y="76073"/>
                                </a:lnTo>
                                <a:lnTo>
                                  <a:pt x="1483512" y="0"/>
                                </a:lnTo>
                                <a:close/>
                              </a:path>
                            </a:pathLst>
                          </a:custGeom>
                          <a:solidFill>
                            <a:srgbClr val="23201D"/>
                          </a:solidFill>
                        </wps:spPr>
                        <wps:bodyPr wrap="square" lIns="0" tIns="0" rIns="0" bIns="0" rtlCol="0">
                          <a:prstTxWarp prst="textNoShape">
                            <a:avLst/>
                          </a:prstTxWarp>
                          <a:noAutofit/>
                        </wps:bodyPr>
                      </wps:wsp>
                      <wps:wsp>
                        <wps:cNvPr id="1101" name="Graphic 1101"/>
                        <wps:cNvSpPr/>
                        <wps:spPr>
                          <a:xfrm>
                            <a:off x="381512" y="2634775"/>
                            <a:ext cx="1392555" cy="1295400"/>
                          </a:xfrm>
                          <a:custGeom>
                            <a:avLst/>
                            <a:gdLst/>
                            <a:ahLst/>
                            <a:cxnLst/>
                            <a:rect l="l" t="t" r="r" b="b"/>
                            <a:pathLst>
                              <a:path w="1392555" h="1295400">
                                <a:moveTo>
                                  <a:pt x="1392125" y="0"/>
                                </a:moveTo>
                                <a:lnTo>
                                  <a:pt x="0" y="0"/>
                                </a:lnTo>
                                <a:lnTo>
                                  <a:pt x="0" y="1295235"/>
                                </a:lnTo>
                                <a:lnTo>
                                  <a:pt x="1392125" y="1295235"/>
                                </a:lnTo>
                                <a:lnTo>
                                  <a:pt x="1392125" y="0"/>
                                </a:lnTo>
                                <a:close/>
                              </a:path>
                            </a:pathLst>
                          </a:custGeom>
                          <a:solidFill>
                            <a:srgbClr val="E9E600"/>
                          </a:solidFill>
                        </wps:spPr>
                        <wps:bodyPr wrap="square" lIns="0" tIns="0" rIns="0" bIns="0" rtlCol="0">
                          <a:prstTxWarp prst="textNoShape">
                            <a:avLst/>
                          </a:prstTxWarp>
                          <a:noAutofit/>
                        </wps:bodyPr>
                      </wps:wsp>
                      <wps:wsp>
                        <wps:cNvPr id="1102" name="Graphic 1102"/>
                        <wps:cNvSpPr/>
                        <wps:spPr>
                          <a:xfrm>
                            <a:off x="335654" y="2596457"/>
                            <a:ext cx="1483995" cy="1372235"/>
                          </a:xfrm>
                          <a:custGeom>
                            <a:avLst/>
                            <a:gdLst/>
                            <a:ahLst/>
                            <a:cxnLst/>
                            <a:rect l="l" t="t" r="r" b="b"/>
                            <a:pathLst>
                              <a:path w="1483995" h="1372235">
                                <a:moveTo>
                                  <a:pt x="1483512" y="0"/>
                                </a:moveTo>
                                <a:lnTo>
                                  <a:pt x="1437970" y="0"/>
                                </a:lnTo>
                                <a:lnTo>
                                  <a:pt x="1437970" y="571"/>
                                </a:lnTo>
                                <a:lnTo>
                                  <a:pt x="1392415" y="571"/>
                                </a:lnTo>
                                <a:lnTo>
                                  <a:pt x="1392415" y="76365"/>
                                </a:lnTo>
                                <a:lnTo>
                                  <a:pt x="1392415" y="76860"/>
                                </a:lnTo>
                                <a:lnTo>
                                  <a:pt x="1392415" y="1295158"/>
                                </a:lnTo>
                                <a:lnTo>
                                  <a:pt x="1392415" y="1295527"/>
                                </a:lnTo>
                                <a:lnTo>
                                  <a:pt x="91414" y="1295527"/>
                                </a:lnTo>
                                <a:lnTo>
                                  <a:pt x="91414" y="1295158"/>
                                </a:lnTo>
                                <a:lnTo>
                                  <a:pt x="91414" y="76860"/>
                                </a:lnTo>
                                <a:lnTo>
                                  <a:pt x="91414" y="76365"/>
                                </a:lnTo>
                                <a:lnTo>
                                  <a:pt x="1392415" y="76365"/>
                                </a:lnTo>
                                <a:lnTo>
                                  <a:pt x="1392415" y="571"/>
                                </a:lnTo>
                                <a:lnTo>
                                  <a:pt x="45847" y="571"/>
                                </a:lnTo>
                                <a:lnTo>
                                  <a:pt x="0" y="571"/>
                                </a:lnTo>
                                <a:lnTo>
                                  <a:pt x="0" y="76860"/>
                                </a:lnTo>
                                <a:lnTo>
                                  <a:pt x="0" y="1295158"/>
                                </a:lnTo>
                                <a:lnTo>
                                  <a:pt x="0" y="1371447"/>
                                </a:lnTo>
                                <a:lnTo>
                                  <a:pt x="45847" y="1371447"/>
                                </a:lnTo>
                                <a:lnTo>
                                  <a:pt x="45847" y="1333296"/>
                                </a:lnTo>
                                <a:lnTo>
                                  <a:pt x="91414" y="1333296"/>
                                </a:lnTo>
                                <a:lnTo>
                                  <a:pt x="91414" y="1333563"/>
                                </a:lnTo>
                                <a:lnTo>
                                  <a:pt x="1392415" y="1333563"/>
                                </a:lnTo>
                                <a:lnTo>
                                  <a:pt x="1392415" y="1333296"/>
                                </a:lnTo>
                                <a:lnTo>
                                  <a:pt x="1437970" y="1333296"/>
                                </a:lnTo>
                                <a:lnTo>
                                  <a:pt x="1437970" y="1371879"/>
                                </a:lnTo>
                                <a:lnTo>
                                  <a:pt x="1483512" y="1371879"/>
                                </a:lnTo>
                                <a:lnTo>
                                  <a:pt x="1483512" y="1295527"/>
                                </a:lnTo>
                                <a:lnTo>
                                  <a:pt x="1437970" y="1295527"/>
                                </a:lnTo>
                                <a:lnTo>
                                  <a:pt x="1437970" y="1295158"/>
                                </a:lnTo>
                                <a:lnTo>
                                  <a:pt x="1483512" y="1295158"/>
                                </a:lnTo>
                                <a:lnTo>
                                  <a:pt x="1483512" y="76860"/>
                                </a:lnTo>
                                <a:lnTo>
                                  <a:pt x="1437970" y="76860"/>
                                </a:lnTo>
                                <a:lnTo>
                                  <a:pt x="1437970" y="76365"/>
                                </a:lnTo>
                                <a:lnTo>
                                  <a:pt x="1483512" y="76365"/>
                                </a:lnTo>
                                <a:lnTo>
                                  <a:pt x="1483512" y="0"/>
                                </a:lnTo>
                                <a:close/>
                              </a:path>
                            </a:pathLst>
                          </a:custGeom>
                          <a:solidFill>
                            <a:srgbClr val="23201D"/>
                          </a:solidFill>
                        </wps:spPr>
                        <wps:bodyPr wrap="square" lIns="0" tIns="0" rIns="0" bIns="0" rtlCol="0">
                          <a:prstTxWarp prst="textNoShape">
                            <a:avLst/>
                          </a:prstTxWarp>
                          <a:noAutofit/>
                        </wps:bodyPr>
                      </wps:wsp>
                      <wps:wsp>
                        <wps:cNvPr id="1103" name="Graphic 1103"/>
                        <wps:cNvSpPr/>
                        <wps:spPr>
                          <a:xfrm>
                            <a:off x="381512" y="3930011"/>
                            <a:ext cx="1392555" cy="1296035"/>
                          </a:xfrm>
                          <a:custGeom>
                            <a:avLst/>
                            <a:gdLst/>
                            <a:ahLst/>
                            <a:cxnLst/>
                            <a:rect l="l" t="t" r="r" b="b"/>
                            <a:pathLst>
                              <a:path w="1392555" h="1296035">
                                <a:moveTo>
                                  <a:pt x="1392125" y="0"/>
                                </a:moveTo>
                                <a:lnTo>
                                  <a:pt x="0" y="0"/>
                                </a:lnTo>
                                <a:lnTo>
                                  <a:pt x="0" y="1295520"/>
                                </a:lnTo>
                                <a:lnTo>
                                  <a:pt x="1392125" y="1295520"/>
                                </a:lnTo>
                                <a:lnTo>
                                  <a:pt x="1392125" y="0"/>
                                </a:lnTo>
                                <a:close/>
                              </a:path>
                            </a:pathLst>
                          </a:custGeom>
                          <a:solidFill>
                            <a:srgbClr val="E9E600"/>
                          </a:solidFill>
                        </wps:spPr>
                        <wps:bodyPr wrap="square" lIns="0" tIns="0" rIns="0" bIns="0" rtlCol="0">
                          <a:prstTxWarp prst="textNoShape">
                            <a:avLst/>
                          </a:prstTxWarp>
                          <a:noAutofit/>
                        </wps:bodyPr>
                      </wps:wsp>
                      <wps:wsp>
                        <wps:cNvPr id="1104" name="Graphic 1104"/>
                        <wps:cNvSpPr/>
                        <wps:spPr>
                          <a:xfrm>
                            <a:off x="335654" y="3891615"/>
                            <a:ext cx="1483995" cy="1372235"/>
                          </a:xfrm>
                          <a:custGeom>
                            <a:avLst/>
                            <a:gdLst/>
                            <a:ahLst/>
                            <a:cxnLst/>
                            <a:rect l="l" t="t" r="r" b="b"/>
                            <a:pathLst>
                              <a:path w="1483995" h="1372235">
                                <a:moveTo>
                                  <a:pt x="1483512" y="368"/>
                                </a:moveTo>
                                <a:lnTo>
                                  <a:pt x="1437970" y="368"/>
                                </a:lnTo>
                                <a:lnTo>
                                  <a:pt x="1437970" y="0"/>
                                </a:lnTo>
                                <a:lnTo>
                                  <a:pt x="1392415" y="0"/>
                                </a:lnTo>
                                <a:lnTo>
                                  <a:pt x="1392415" y="1295882"/>
                                </a:lnTo>
                                <a:lnTo>
                                  <a:pt x="91414" y="1295882"/>
                                </a:lnTo>
                                <a:lnTo>
                                  <a:pt x="91414" y="1295742"/>
                                </a:lnTo>
                                <a:lnTo>
                                  <a:pt x="91414" y="76720"/>
                                </a:lnTo>
                                <a:lnTo>
                                  <a:pt x="1392415" y="76720"/>
                                </a:lnTo>
                                <a:lnTo>
                                  <a:pt x="1392415" y="38404"/>
                                </a:lnTo>
                                <a:lnTo>
                                  <a:pt x="91414" y="38404"/>
                                </a:lnTo>
                                <a:lnTo>
                                  <a:pt x="91414" y="38138"/>
                                </a:lnTo>
                                <a:lnTo>
                                  <a:pt x="1392415" y="38138"/>
                                </a:lnTo>
                                <a:lnTo>
                                  <a:pt x="1392415" y="0"/>
                                </a:lnTo>
                                <a:lnTo>
                                  <a:pt x="45847" y="0"/>
                                </a:lnTo>
                                <a:lnTo>
                                  <a:pt x="0" y="0"/>
                                </a:lnTo>
                                <a:lnTo>
                                  <a:pt x="0" y="76288"/>
                                </a:lnTo>
                                <a:lnTo>
                                  <a:pt x="0" y="1295742"/>
                                </a:lnTo>
                                <a:lnTo>
                                  <a:pt x="0" y="1372031"/>
                                </a:lnTo>
                                <a:lnTo>
                                  <a:pt x="45847" y="1372031"/>
                                </a:lnTo>
                                <a:lnTo>
                                  <a:pt x="45847" y="1333893"/>
                                </a:lnTo>
                                <a:lnTo>
                                  <a:pt x="91414" y="1333893"/>
                                </a:lnTo>
                                <a:lnTo>
                                  <a:pt x="1392415" y="1333919"/>
                                </a:lnTo>
                                <a:lnTo>
                                  <a:pt x="1437970" y="1333893"/>
                                </a:lnTo>
                                <a:lnTo>
                                  <a:pt x="1437970" y="1371955"/>
                                </a:lnTo>
                                <a:lnTo>
                                  <a:pt x="1483512" y="1371955"/>
                                </a:lnTo>
                                <a:lnTo>
                                  <a:pt x="1483512" y="1295882"/>
                                </a:lnTo>
                                <a:lnTo>
                                  <a:pt x="1437970" y="1295882"/>
                                </a:lnTo>
                                <a:lnTo>
                                  <a:pt x="1437970" y="1295742"/>
                                </a:lnTo>
                                <a:lnTo>
                                  <a:pt x="1483512" y="1295742"/>
                                </a:lnTo>
                                <a:lnTo>
                                  <a:pt x="1483512" y="76720"/>
                                </a:lnTo>
                                <a:lnTo>
                                  <a:pt x="1483512" y="76288"/>
                                </a:lnTo>
                                <a:lnTo>
                                  <a:pt x="1483512" y="368"/>
                                </a:lnTo>
                                <a:close/>
                              </a:path>
                            </a:pathLst>
                          </a:custGeom>
                          <a:solidFill>
                            <a:srgbClr val="23201D"/>
                          </a:solidFill>
                        </wps:spPr>
                        <wps:bodyPr wrap="square" lIns="0" tIns="0" rIns="0" bIns="0" rtlCol="0">
                          <a:prstTxWarp prst="textNoShape">
                            <a:avLst/>
                          </a:prstTxWarp>
                          <a:noAutofit/>
                        </wps:bodyPr>
                      </wps:wsp>
                      <wps:wsp>
                        <wps:cNvPr id="1105" name="Graphic 1105"/>
                        <wps:cNvSpPr/>
                        <wps:spPr>
                          <a:xfrm>
                            <a:off x="381512" y="5225541"/>
                            <a:ext cx="1392555" cy="1296035"/>
                          </a:xfrm>
                          <a:custGeom>
                            <a:avLst/>
                            <a:gdLst/>
                            <a:ahLst/>
                            <a:cxnLst/>
                            <a:rect l="l" t="t" r="r" b="b"/>
                            <a:pathLst>
                              <a:path w="1392555" h="1296035">
                                <a:moveTo>
                                  <a:pt x="1392125" y="0"/>
                                </a:moveTo>
                                <a:lnTo>
                                  <a:pt x="0" y="0"/>
                                </a:lnTo>
                                <a:lnTo>
                                  <a:pt x="0" y="1295520"/>
                                </a:lnTo>
                                <a:lnTo>
                                  <a:pt x="1392125" y="1295520"/>
                                </a:lnTo>
                                <a:lnTo>
                                  <a:pt x="1392125" y="0"/>
                                </a:lnTo>
                                <a:close/>
                              </a:path>
                            </a:pathLst>
                          </a:custGeom>
                          <a:solidFill>
                            <a:srgbClr val="E9E600"/>
                          </a:solidFill>
                        </wps:spPr>
                        <wps:bodyPr wrap="square" lIns="0" tIns="0" rIns="0" bIns="0" rtlCol="0">
                          <a:prstTxWarp prst="textNoShape">
                            <a:avLst/>
                          </a:prstTxWarp>
                          <a:noAutofit/>
                        </wps:bodyPr>
                      </wps:wsp>
                      <wps:wsp>
                        <wps:cNvPr id="1106" name="Graphic 1106"/>
                        <wps:cNvSpPr/>
                        <wps:spPr>
                          <a:xfrm>
                            <a:off x="335654" y="5187358"/>
                            <a:ext cx="1483995" cy="1372235"/>
                          </a:xfrm>
                          <a:custGeom>
                            <a:avLst/>
                            <a:gdLst/>
                            <a:ahLst/>
                            <a:cxnLst/>
                            <a:rect l="l" t="t" r="r" b="b"/>
                            <a:pathLst>
                              <a:path w="1483995" h="1372235">
                                <a:moveTo>
                                  <a:pt x="1483512" y="139"/>
                                </a:moveTo>
                                <a:lnTo>
                                  <a:pt x="1437970" y="139"/>
                                </a:lnTo>
                                <a:lnTo>
                                  <a:pt x="1437970" y="0"/>
                                </a:lnTo>
                                <a:lnTo>
                                  <a:pt x="1392415" y="0"/>
                                </a:lnTo>
                                <a:lnTo>
                                  <a:pt x="1392415" y="1333893"/>
                                </a:lnTo>
                                <a:lnTo>
                                  <a:pt x="91414" y="1333893"/>
                                </a:lnTo>
                                <a:lnTo>
                                  <a:pt x="91414" y="1333715"/>
                                </a:lnTo>
                                <a:lnTo>
                                  <a:pt x="1392415" y="1333715"/>
                                </a:lnTo>
                                <a:lnTo>
                                  <a:pt x="1392415" y="1295666"/>
                                </a:lnTo>
                                <a:lnTo>
                                  <a:pt x="91414" y="1295666"/>
                                </a:lnTo>
                                <a:lnTo>
                                  <a:pt x="91414" y="76288"/>
                                </a:lnTo>
                                <a:lnTo>
                                  <a:pt x="1392415" y="76212"/>
                                </a:lnTo>
                                <a:lnTo>
                                  <a:pt x="1392415" y="38176"/>
                                </a:lnTo>
                                <a:lnTo>
                                  <a:pt x="91414" y="38176"/>
                                </a:lnTo>
                                <a:lnTo>
                                  <a:pt x="1392415" y="38150"/>
                                </a:lnTo>
                                <a:lnTo>
                                  <a:pt x="1392415" y="0"/>
                                </a:lnTo>
                                <a:lnTo>
                                  <a:pt x="45847" y="0"/>
                                </a:lnTo>
                                <a:lnTo>
                                  <a:pt x="0" y="0"/>
                                </a:lnTo>
                                <a:lnTo>
                                  <a:pt x="0" y="76288"/>
                                </a:lnTo>
                                <a:lnTo>
                                  <a:pt x="0" y="1295755"/>
                                </a:lnTo>
                                <a:lnTo>
                                  <a:pt x="0" y="1372044"/>
                                </a:lnTo>
                                <a:lnTo>
                                  <a:pt x="45847" y="1372044"/>
                                </a:lnTo>
                                <a:lnTo>
                                  <a:pt x="1437970" y="1372044"/>
                                </a:lnTo>
                                <a:lnTo>
                                  <a:pt x="1437970" y="1371752"/>
                                </a:lnTo>
                                <a:lnTo>
                                  <a:pt x="1483512" y="1371752"/>
                                </a:lnTo>
                                <a:lnTo>
                                  <a:pt x="1483512" y="1295755"/>
                                </a:lnTo>
                                <a:lnTo>
                                  <a:pt x="1483512" y="76288"/>
                                </a:lnTo>
                                <a:lnTo>
                                  <a:pt x="1437970" y="76288"/>
                                </a:lnTo>
                                <a:lnTo>
                                  <a:pt x="1483512" y="76212"/>
                                </a:lnTo>
                                <a:lnTo>
                                  <a:pt x="1483512" y="139"/>
                                </a:lnTo>
                                <a:close/>
                              </a:path>
                            </a:pathLst>
                          </a:custGeom>
                          <a:solidFill>
                            <a:srgbClr val="23201D"/>
                          </a:solidFill>
                        </wps:spPr>
                        <wps:bodyPr wrap="square" lIns="0" tIns="0" rIns="0" bIns="0" rtlCol="0">
                          <a:prstTxWarp prst="textNoShape">
                            <a:avLst/>
                          </a:prstTxWarp>
                          <a:noAutofit/>
                        </wps:bodyPr>
                      </wps:wsp>
                      <wps:wsp>
                        <wps:cNvPr id="1107" name="Graphic 1107"/>
                        <wps:cNvSpPr/>
                        <wps:spPr>
                          <a:xfrm>
                            <a:off x="4215796" y="624878"/>
                            <a:ext cx="160020" cy="400050"/>
                          </a:xfrm>
                          <a:custGeom>
                            <a:avLst/>
                            <a:gdLst/>
                            <a:ahLst/>
                            <a:cxnLst/>
                            <a:rect l="l" t="t" r="r" b="b"/>
                            <a:pathLst>
                              <a:path w="160020" h="400050">
                                <a:moveTo>
                                  <a:pt x="0" y="0"/>
                                </a:moveTo>
                                <a:lnTo>
                                  <a:pt x="159767" y="0"/>
                                </a:lnTo>
                              </a:path>
                              <a:path w="160020" h="400050">
                                <a:moveTo>
                                  <a:pt x="159767" y="399982"/>
                                </a:moveTo>
                                <a:lnTo>
                                  <a:pt x="159767" y="0"/>
                                </a:lnTo>
                              </a:path>
                            </a:pathLst>
                          </a:custGeom>
                          <a:ln w="10450">
                            <a:solidFill>
                              <a:srgbClr val="23201D"/>
                            </a:solidFill>
                            <a:prstDash val="solid"/>
                          </a:ln>
                        </wps:spPr>
                        <wps:bodyPr wrap="square" lIns="0" tIns="0" rIns="0" bIns="0" rtlCol="0">
                          <a:prstTxWarp prst="textNoShape">
                            <a:avLst/>
                          </a:prstTxWarp>
                          <a:noAutofit/>
                        </wps:bodyPr>
                      </wps:wsp>
                      <wps:wsp>
                        <wps:cNvPr id="1108" name="Graphic 1108"/>
                        <wps:cNvSpPr/>
                        <wps:spPr>
                          <a:xfrm>
                            <a:off x="4364175" y="1024860"/>
                            <a:ext cx="34290" cy="28575"/>
                          </a:xfrm>
                          <a:custGeom>
                            <a:avLst/>
                            <a:gdLst/>
                            <a:ahLst/>
                            <a:cxnLst/>
                            <a:rect l="l" t="t" r="r" b="b"/>
                            <a:pathLst>
                              <a:path w="34290" h="28575">
                                <a:moveTo>
                                  <a:pt x="34162" y="0"/>
                                </a:moveTo>
                                <a:lnTo>
                                  <a:pt x="22775" y="0"/>
                                </a:lnTo>
                                <a:lnTo>
                                  <a:pt x="0" y="0"/>
                                </a:lnTo>
                                <a:lnTo>
                                  <a:pt x="11387" y="28529"/>
                                </a:lnTo>
                                <a:lnTo>
                                  <a:pt x="34162" y="0"/>
                                </a:lnTo>
                                <a:close/>
                              </a:path>
                            </a:pathLst>
                          </a:custGeom>
                          <a:solidFill>
                            <a:srgbClr val="23282B"/>
                          </a:solidFill>
                        </wps:spPr>
                        <wps:bodyPr wrap="square" lIns="0" tIns="0" rIns="0" bIns="0" rtlCol="0">
                          <a:prstTxWarp prst="textNoShape">
                            <a:avLst/>
                          </a:prstTxWarp>
                          <a:noAutofit/>
                        </wps:bodyPr>
                      </wps:wsp>
                      <wps:wsp>
                        <wps:cNvPr id="1109" name="Graphic 1109"/>
                        <wps:cNvSpPr/>
                        <wps:spPr>
                          <a:xfrm>
                            <a:off x="3222917" y="405677"/>
                            <a:ext cx="993140" cy="438784"/>
                          </a:xfrm>
                          <a:custGeom>
                            <a:avLst/>
                            <a:gdLst/>
                            <a:ahLst/>
                            <a:cxnLst/>
                            <a:rect l="l" t="t" r="r" b="b"/>
                            <a:pathLst>
                              <a:path w="993140" h="438784">
                                <a:moveTo>
                                  <a:pt x="741669" y="0"/>
                                </a:moveTo>
                                <a:lnTo>
                                  <a:pt x="239707" y="0"/>
                                </a:lnTo>
                                <a:lnTo>
                                  <a:pt x="125604" y="104893"/>
                                </a:lnTo>
                                <a:lnTo>
                                  <a:pt x="0" y="219201"/>
                                </a:lnTo>
                                <a:lnTo>
                                  <a:pt x="125604" y="333413"/>
                                </a:lnTo>
                                <a:lnTo>
                                  <a:pt x="239707" y="438211"/>
                                </a:lnTo>
                                <a:lnTo>
                                  <a:pt x="741669" y="438211"/>
                                </a:lnTo>
                                <a:lnTo>
                                  <a:pt x="867274" y="333413"/>
                                </a:lnTo>
                                <a:lnTo>
                                  <a:pt x="992878" y="219201"/>
                                </a:lnTo>
                                <a:lnTo>
                                  <a:pt x="867274" y="104893"/>
                                </a:lnTo>
                                <a:lnTo>
                                  <a:pt x="741669" y="0"/>
                                </a:lnTo>
                                <a:close/>
                              </a:path>
                            </a:pathLst>
                          </a:custGeom>
                          <a:solidFill>
                            <a:srgbClr val="1D464B"/>
                          </a:solidFill>
                        </wps:spPr>
                        <wps:bodyPr wrap="square" lIns="0" tIns="0" rIns="0" bIns="0" rtlCol="0">
                          <a:prstTxWarp prst="textNoShape">
                            <a:avLst/>
                          </a:prstTxWarp>
                          <a:noAutofit/>
                        </wps:bodyPr>
                      </wps:wsp>
                      <wps:wsp>
                        <wps:cNvPr id="1110" name="Graphic 1110"/>
                        <wps:cNvSpPr/>
                        <wps:spPr>
                          <a:xfrm>
                            <a:off x="3964587" y="1644139"/>
                            <a:ext cx="400050" cy="581025"/>
                          </a:xfrm>
                          <a:custGeom>
                            <a:avLst/>
                            <a:gdLst/>
                            <a:ahLst/>
                            <a:cxnLst/>
                            <a:rect l="l" t="t" r="r" b="b"/>
                            <a:pathLst>
                              <a:path w="400050" h="581025">
                                <a:moveTo>
                                  <a:pt x="0" y="580954"/>
                                </a:moveTo>
                                <a:lnTo>
                                  <a:pt x="399588" y="580954"/>
                                </a:lnTo>
                              </a:path>
                              <a:path w="400050" h="581025">
                                <a:moveTo>
                                  <a:pt x="399588" y="0"/>
                                </a:moveTo>
                                <a:lnTo>
                                  <a:pt x="399588" y="580954"/>
                                </a:lnTo>
                              </a:path>
                            </a:pathLst>
                          </a:custGeom>
                          <a:ln w="10450">
                            <a:solidFill>
                              <a:srgbClr val="23201D"/>
                            </a:solidFill>
                            <a:prstDash val="solid"/>
                          </a:ln>
                        </wps:spPr>
                        <wps:bodyPr wrap="square" lIns="0" tIns="0" rIns="0" bIns="0" rtlCol="0">
                          <a:prstTxWarp prst="textNoShape">
                            <a:avLst/>
                          </a:prstTxWarp>
                          <a:noAutofit/>
                        </wps:bodyPr>
                      </wps:wsp>
                      <wps:wsp>
                        <wps:cNvPr id="1111" name="Graphic 1111"/>
                        <wps:cNvSpPr/>
                        <wps:spPr>
                          <a:xfrm>
                            <a:off x="4341400" y="1615609"/>
                            <a:ext cx="45720" cy="28575"/>
                          </a:xfrm>
                          <a:custGeom>
                            <a:avLst/>
                            <a:gdLst/>
                            <a:ahLst/>
                            <a:cxnLst/>
                            <a:rect l="l" t="t" r="r" b="b"/>
                            <a:pathLst>
                              <a:path w="45720" h="28575">
                                <a:moveTo>
                                  <a:pt x="22775" y="0"/>
                                </a:moveTo>
                                <a:lnTo>
                                  <a:pt x="0" y="28529"/>
                                </a:lnTo>
                                <a:lnTo>
                                  <a:pt x="34162" y="28529"/>
                                </a:lnTo>
                                <a:lnTo>
                                  <a:pt x="45550" y="28529"/>
                                </a:lnTo>
                                <a:lnTo>
                                  <a:pt x="22775" y="0"/>
                                </a:lnTo>
                                <a:close/>
                              </a:path>
                            </a:pathLst>
                          </a:custGeom>
                          <a:solidFill>
                            <a:srgbClr val="23282B"/>
                          </a:solidFill>
                        </wps:spPr>
                        <wps:bodyPr wrap="square" lIns="0" tIns="0" rIns="0" bIns="0" rtlCol="0">
                          <a:prstTxWarp prst="textNoShape">
                            <a:avLst/>
                          </a:prstTxWarp>
                          <a:noAutofit/>
                        </wps:bodyPr>
                      </wps:wsp>
                      <wps:wsp>
                        <wps:cNvPr id="1112" name="Graphic 1112"/>
                        <wps:cNvSpPr/>
                        <wps:spPr>
                          <a:xfrm>
                            <a:off x="4021638" y="396167"/>
                            <a:ext cx="2373630" cy="19050"/>
                          </a:xfrm>
                          <a:custGeom>
                            <a:avLst/>
                            <a:gdLst/>
                            <a:ahLst/>
                            <a:cxnLst/>
                            <a:rect l="l" t="t" r="r" b="b"/>
                            <a:pathLst>
                              <a:path w="2373630" h="19050">
                                <a:moveTo>
                                  <a:pt x="0" y="0"/>
                                </a:moveTo>
                                <a:lnTo>
                                  <a:pt x="2373502" y="19019"/>
                                </a:lnTo>
                              </a:path>
                            </a:pathLst>
                          </a:custGeom>
                          <a:ln w="9511">
                            <a:solidFill>
                              <a:srgbClr val="23201D"/>
                            </a:solidFill>
                            <a:prstDash val="solid"/>
                          </a:ln>
                        </wps:spPr>
                        <wps:bodyPr wrap="square" lIns="0" tIns="0" rIns="0" bIns="0" rtlCol="0">
                          <a:prstTxWarp prst="textNoShape">
                            <a:avLst/>
                          </a:prstTxWarp>
                          <a:noAutofit/>
                        </wps:bodyPr>
                      </wps:wsp>
                      <pic:pic>
                        <pic:nvPicPr>
                          <pic:cNvPr id="1113" name="Image 1113"/>
                          <pic:cNvPicPr/>
                        </pic:nvPicPr>
                        <pic:blipFill>
                          <a:blip r:embed="rId209" cstate="print"/>
                          <a:stretch>
                            <a:fillRect/>
                          </a:stretch>
                        </pic:blipFill>
                        <pic:spPr>
                          <a:xfrm>
                            <a:off x="3959299" y="362350"/>
                            <a:ext cx="90629" cy="86938"/>
                          </a:xfrm>
                          <a:prstGeom prst="rect">
                            <a:avLst/>
                          </a:prstGeom>
                        </pic:spPr>
                      </pic:pic>
                      <wps:wsp>
                        <wps:cNvPr id="1114" name="Graphic 1114"/>
                        <wps:cNvSpPr/>
                        <wps:spPr>
                          <a:xfrm>
                            <a:off x="3964587" y="405677"/>
                            <a:ext cx="2430780" cy="5601335"/>
                          </a:xfrm>
                          <a:custGeom>
                            <a:avLst/>
                            <a:gdLst/>
                            <a:ahLst/>
                            <a:cxnLst/>
                            <a:rect l="l" t="t" r="r" b="b"/>
                            <a:pathLst>
                              <a:path w="2430780" h="5601335">
                                <a:moveTo>
                                  <a:pt x="2430554" y="5601028"/>
                                </a:moveTo>
                                <a:lnTo>
                                  <a:pt x="2430554" y="0"/>
                                </a:lnTo>
                              </a:path>
                              <a:path w="2430780" h="5601335">
                                <a:moveTo>
                                  <a:pt x="0" y="1819416"/>
                                </a:moveTo>
                                <a:lnTo>
                                  <a:pt x="0" y="1933723"/>
                                </a:lnTo>
                              </a:path>
                            </a:pathLst>
                          </a:custGeom>
                          <a:ln w="10450">
                            <a:solidFill>
                              <a:srgbClr val="23201D"/>
                            </a:solidFill>
                            <a:prstDash val="solid"/>
                          </a:ln>
                        </wps:spPr>
                        <wps:bodyPr wrap="square" lIns="0" tIns="0" rIns="0" bIns="0" rtlCol="0">
                          <a:prstTxWarp prst="textNoShape">
                            <a:avLst/>
                          </a:prstTxWarp>
                          <a:noAutofit/>
                        </wps:bodyPr>
                      </wps:wsp>
                      <wps:wsp>
                        <wps:cNvPr id="1115" name="Graphic 1115"/>
                        <wps:cNvSpPr/>
                        <wps:spPr>
                          <a:xfrm>
                            <a:off x="3222917" y="1787071"/>
                            <a:ext cx="993140" cy="438150"/>
                          </a:xfrm>
                          <a:custGeom>
                            <a:avLst/>
                            <a:gdLst/>
                            <a:ahLst/>
                            <a:cxnLst/>
                            <a:rect l="l" t="t" r="r" b="b"/>
                            <a:pathLst>
                              <a:path w="993140" h="438150">
                                <a:moveTo>
                                  <a:pt x="741669" y="0"/>
                                </a:moveTo>
                                <a:lnTo>
                                  <a:pt x="239707" y="0"/>
                                </a:lnTo>
                                <a:lnTo>
                                  <a:pt x="125604" y="114117"/>
                                </a:lnTo>
                                <a:lnTo>
                                  <a:pt x="0" y="219010"/>
                                </a:lnTo>
                                <a:lnTo>
                                  <a:pt x="125604" y="333318"/>
                                </a:lnTo>
                                <a:lnTo>
                                  <a:pt x="239707" y="438021"/>
                                </a:lnTo>
                                <a:lnTo>
                                  <a:pt x="741669" y="438021"/>
                                </a:lnTo>
                                <a:lnTo>
                                  <a:pt x="867274" y="333318"/>
                                </a:lnTo>
                                <a:lnTo>
                                  <a:pt x="992878" y="219010"/>
                                </a:lnTo>
                                <a:lnTo>
                                  <a:pt x="867274" y="114117"/>
                                </a:lnTo>
                                <a:lnTo>
                                  <a:pt x="741669" y="0"/>
                                </a:lnTo>
                                <a:close/>
                              </a:path>
                            </a:pathLst>
                          </a:custGeom>
                          <a:solidFill>
                            <a:srgbClr val="1D464B"/>
                          </a:solidFill>
                        </wps:spPr>
                        <wps:bodyPr wrap="square" lIns="0" tIns="0" rIns="0" bIns="0" rtlCol="0">
                          <a:prstTxWarp prst="textNoShape">
                            <a:avLst/>
                          </a:prstTxWarp>
                          <a:noAutofit/>
                        </wps:bodyPr>
                      </wps:wsp>
                      <wps:wsp>
                        <wps:cNvPr id="1116" name="Graphic 1116"/>
                        <wps:cNvSpPr/>
                        <wps:spPr>
                          <a:xfrm>
                            <a:off x="1899117" y="1815600"/>
                            <a:ext cx="845185" cy="342900"/>
                          </a:xfrm>
                          <a:custGeom>
                            <a:avLst/>
                            <a:gdLst/>
                            <a:ahLst/>
                            <a:cxnLst/>
                            <a:rect l="l" t="t" r="r" b="b"/>
                            <a:pathLst>
                              <a:path w="845185" h="342900">
                                <a:moveTo>
                                  <a:pt x="559241" y="0"/>
                                </a:moveTo>
                                <a:lnTo>
                                  <a:pt x="559241" y="85588"/>
                                </a:lnTo>
                                <a:lnTo>
                                  <a:pt x="0" y="85588"/>
                                </a:lnTo>
                                <a:lnTo>
                                  <a:pt x="0" y="257050"/>
                                </a:lnTo>
                                <a:lnTo>
                                  <a:pt x="559241" y="257050"/>
                                </a:lnTo>
                                <a:lnTo>
                                  <a:pt x="559241" y="342828"/>
                                </a:lnTo>
                                <a:lnTo>
                                  <a:pt x="844612" y="171461"/>
                                </a:lnTo>
                                <a:lnTo>
                                  <a:pt x="559241" y="0"/>
                                </a:lnTo>
                                <a:close/>
                              </a:path>
                            </a:pathLst>
                          </a:custGeom>
                          <a:solidFill>
                            <a:srgbClr val="E44200"/>
                          </a:solidFill>
                        </wps:spPr>
                        <wps:bodyPr wrap="square" lIns="0" tIns="0" rIns="0" bIns="0" rtlCol="0">
                          <a:prstTxWarp prst="textNoShape">
                            <a:avLst/>
                          </a:prstTxWarp>
                          <a:noAutofit/>
                        </wps:bodyPr>
                      </wps:wsp>
                      <wps:wsp>
                        <wps:cNvPr id="1117" name="Graphic 1117"/>
                        <wps:cNvSpPr/>
                        <wps:spPr>
                          <a:xfrm>
                            <a:off x="3222910" y="3006235"/>
                            <a:ext cx="993140" cy="3048635"/>
                          </a:xfrm>
                          <a:custGeom>
                            <a:avLst/>
                            <a:gdLst/>
                            <a:ahLst/>
                            <a:cxnLst/>
                            <a:rect l="l" t="t" r="r" b="b"/>
                            <a:pathLst>
                              <a:path w="993140" h="3048635">
                                <a:moveTo>
                                  <a:pt x="992873" y="2829077"/>
                                </a:moveTo>
                                <a:lnTo>
                                  <a:pt x="867270" y="2714663"/>
                                </a:lnTo>
                                <a:lnTo>
                                  <a:pt x="741667" y="2609773"/>
                                </a:lnTo>
                                <a:lnTo>
                                  <a:pt x="239712" y="2609773"/>
                                </a:lnTo>
                                <a:lnTo>
                                  <a:pt x="125603" y="2714663"/>
                                </a:lnTo>
                                <a:lnTo>
                                  <a:pt x="0" y="2829077"/>
                                </a:lnTo>
                                <a:lnTo>
                                  <a:pt x="125603" y="2943174"/>
                                </a:lnTo>
                                <a:lnTo>
                                  <a:pt x="239712" y="3048050"/>
                                </a:lnTo>
                                <a:lnTo>
                                  <a:pt x="741667" y="3048050"/>
                                </a:lnTo>
                                <a:lnTo>
                                  <a:pt x="867270" y="2943174"/>
                                </a:lnTo>
                                <a:lnTo>
                                  <a:pt x="992873" y="2829077"/>
                                </a:lnTo>
                                <a:close/>
                              </a:path>
                              <a:path w="993140" h="3048635">
                                <a:moveTo>
                                  <a:pt x="992873" y="1514525"/>
                                </a:moveTo>
                                <a:lnTo>
                                  <a:pt x="867270" y="1400124"/>
                                </a:lnTo>
                                <a:lnTo>
                                  <a:pt x="741667" y="1295514"/>
                                </a:lnTo>
                                <a:lnTo>
                                  <a:pt x="239712" y="1295514"/>
                                </a:lnTo>
                                <a:lnTo>
                                  <a:pt x="125603" y="1400124"/>
                                </a:lnTo>
                                <a:lnTo>
                                  <a:pt x="0" y="1514525"/>
                                </a:lnTo>
                                <a:lnTo>
                                  <a:pt x="125603" y="1619326"/>
                                </a:lnTo>
                                <a:lnTo>
                                  <a:pt x="239712" y="1733537"/>
                                </a:lnTo>
                                <a:lnTo>
                                  <a:pt x="741667" y="1733537"/>
                                </a:lnTo>
                                <a:lnTo>
                                  <a:pt x="867270" y="1619326"/>
                                </a:lnTo>
                                <a:lnTo>
                                  <a:pt x="992873" y="1514525"/>
                                </a:lnTo>
                                <a:close/>
                              </a:path>
                              <a:path w="993140" h="3048635">
                                <a:moveTo>
                                  <a:pt x="992873" y="219011"/>
                                </a:moveTo>
                                <a:lnTo>
                                  <a:pt x="867270" y="114401"/>
                                </a:lnTo>
                                <a:lnTo>
                                  <a:pt x="741667" y="0"/>
                                </a:lnTo>
                                <a:lnTo>
                                  <a:pt x="239712" y="0"/>
                                </a:lnTo>
                                <a:lnTo>
                                  <a:pt x="125603" y="114401"/>
                                </a:lnTo>
                                <a:lnTo>
                                  <a:pt x="0" y="219011"/>
                                </a:lnTo>
                                <a:lnTo>
                                  <a:pt x="125603" y="333413"/>
                                </a:lnTo>
                                <a:lnTo>
                                  <a:pt x="239712" y="447725"/>
                                </a:lnTo>
                                <a:lnTo>
                                  <a:pt x="741667" y="447725"/>
                                </a:lnTo>
                                <a:lnTo>
                                  <a:pt x="992873" y="219011"/>
                                </a:lnTo>
                                <a:close/>
                              </a:path>
                            </a:pathLst>
                          </a:custGeom>
                          <a:solidFill>
                            <a:srgbClr val="1D464B"/>
                          </a:solidFill>
                        </wps:spPr>
                        <wps:bodyPr wrap="square" lIns="0" tIns="0" rIns="0" bIns="0" rtlCol="0">
                          <a:prstTxWarp prst="textNoShape">
                            <a:avLst/>
                          </a:prstTxWarp>
                          <a:noAutofit/>
                        </wps:bodyPr>
                      </wps:wsp>
                      <wps:wsp>
                        <wps:cNvPr id="1118" name="Graphic 1118"/>
                        <wps:cNvSpPr/>
                        <wps:spPr>
                          <a:xfrm>
                            <a:off x="2583963" y="1148773"/>
                            <a:ext cx="467995" cy="409575"/>
                          </a:xfrm>
                          <a:custGeom>
                            <a:avLst/>
                            <a:gdLst/>
                            <a:ahLst/>
                            <a:cxnLst/>
                            <a:rect l="l" t="t" r="r" b="b"/>
                            <a:pathLst>
                              <a:path w="467995" h="409575">
                                <a:moveTo>
                                  <a:pt x="239479" y="0"/>
                                </a:moveTo>
                                <a:lnTo>
                                  <a:pt x="113875" y="104607"/>
                                </a:lnTo>
                                <a:lnTo>
                                  <a:pt x="0" y="199991"/>
                                </a:lnTo>
                                <a:lnTo>
                                  <a:pt x="113875" y="304884"/>
                                </a:lnTo>
                                <a:lnTo>
                                  <a:pt x="239479" y="409492"/>
                                </a:lnTo>
                                <a:lnTo>
                                  <a:pt x="467799" y="199991"/>
                                </a:lnTo>
                                <a:lnTo>
                                  <a:pt x="353582" y="104607"/>
                                </a:lnTo>
                                <a:lnTo>
                                  <a:pt x="239479" y="0"/>
                                </a:lnTo>
                                <a:close/>
                              </a:path>
                            </a:pathLst>
                          </a:custGeom>
                          <a:solidFill>
                            <a:srgbClr val="7D443E"/>
                          </a:solidFill>
                        </wps:spPr>
                        <wps:bodyPr wrap="square" lIns="0" tIns="0" rIns="0" bIns="0" rtlCol="0">
                          <a:prstTxWarp prst="textNoShape">
                            <a:avLst/>
                          </a:prstTxWarp>
                          <a:noAutofit/>
                        </wps:bodyPr>
                      </wps:wsp>
                      <wps:wsp>
                        <wps:cNvPr id="1119" name="Graphic 1119"/>
                        <wps:cNvSpPr/>
                        <wps:spPr>
                          <a:xfrm>
                            <a:off x="1853567" y="1463101"/>
                            <a:ext cx="787400" cy="305435"/>
                          </a:xfrm>
                          <a:custGeom>
                            <a:avLst/>
                            <a:gdLst/>
                            <a:ahLst/>
                            <a:cxnLst/>
                            <a:rect l="l" t="t" r="r" b="b"/>
                            <a:pathLst>
                              <a:path w="787400" h="305435">
                                <a:moveTo>
                                  <a:pt x="787299" y="0"/>
                                </a:moveTo>
                                <a:lnTo>
                                  <a:pt x="0" y="0"/>
                                </a:lnTo>
                                <a:lnTo>
                                  <a:pt x="0" y="304855"/>
                                </a:lnTo>
                                <a:lnTo>
                                  <a:pt x="787299" y="304855"/>
                                </a:lnTo>
                                <a:lnTo>
                                  <a:pt x="787299" y="0"/>
                                </a:lnTo>
                                <a:close/>
                              </a:path>
                            </a:pathLst>
                          </a:custGeom>
                          <a:solidFill>
                            <a:srgbClr val="3A2378"/>
                          </a:solidFill>
                        </wps:spPr>
                        <wps:bodyPr wrap="square" lIns="0" tIns="0" rIns="0" bIns="0" rtlCol="0">
                          <a:prstTxWarp prst="textNoShape">
                            <a:avLst/>
                          </a:prstTxWarp>
                          <a:noAutofit/>
                        </wps:bodyPr>
                      </wps:wsp>
                      <wps:wsp>
                        <wps:cNvPr id="1120" name="Graphic 1120"/>
                        <wps:cNvSpPr/>
                        <wps:spPr>
                          <a:xfrm>
                            <a:off x="1853567" y="1463101"/>
                            <a:ext cx="787400" cy="305435"/>
                          </a:xfrm>
                          <a:custGeom>
                            <a:avLst/>
                            <a:gdLst/>
                            <a:ahLst/>
                            <a:cxnLst/>
                            <a:rect l="l" t="t" r="r" b="b"/>
                            <a:pathLst>
                              <a:path w="787400" h="305435">
                                <a:moveTo>
                                  <a:pt x="0" y="304855"/>
                                </a:moveTo>
                                <a:lnTo>
                                  <a:pt x="787299" y="304855"/>
                                </a:lnTo>
                                <a:lnTo>
                                  <a:pt x="787299" y="0"/>
                                </a:lnTo>
                                <a:lnTo>
                                  <a:pt x="0" y="0"/>
                                </a:lnTo>
                                <a:lnTo>
                                  <a:pt x="0" y="304855"/>
                                </a:lnTo>
                                <a:close/>
                              </a:path>
                            </a:pathLst>
                          </a:custGeom>
                          <a:ln w="9756">
                            <a:solidFill>
                              <a:srgbClr val="23201D"/>
                            </a:solidFill>
                            <a:prstDash val="solid"/>
                          </a:ln>
                        </wps:spPr>
                        <wps:bodyPr wrap="square" lIns="0" tIns="0" rIns="0" bIns="0" rtlCol="0">
                          <a:prstTxWarp prst="textNoShape">
                            <a:avLst/>
                          </a:prstTxWarp>
                          <a:noAutofit/>
                        </wps:bodyPr>
                      </wps:wsp>
                      <wps:wsp>
                        <wps:cNvPr id="1121" name="Graphic 1121"/>
                        <wps:cNvSpPr/>
                        <wps:spPr>
                          <a:xfrm>
                            <a:off x="1899117" y="453511"/>
                            <a:ext cx="845185" cy="342900"/>
                          </a:xfrm>
                          <a:custGeom>
                            <a:avLst/>
                            <a:gdLst/>
                            <a:ahLst/>
                            <a:cxnLst/>
                            <a:rect l="l" t="t" r="r" b="b"/>
                            <a:pathLst>
                              <a:path w="845185" h="342900">
                                <a:moveTo>
                                  <a:pt x="559241" y="0"/>
                                </a:moveTo>
                                <a:lnTo>
                                  <a:pt x="559241" y="85588"/>
                                </a:lnTo>
                                <a:lnTo>
                                  <a:pt x="0" y="85588"/>
                                </a:lnTo>
                                <a:lnTo>
                                  <a:pt x="0" y="257050"/>
                                </a:lnTo>
                                <a:lnTo>
                                  <a:pt x="559241" y="257050"/>
                                </a:lnTo>
                                <a:lnTo>
                                  <a:pt x="559241" y="342828"/>
                                </a:lnTo>
                                <a:lnTo>
                                  <a:pt x="844612" y="171366"/>
                                </a:lnTo>
                                <a:lnTo>
                                  <a:pt x="559241" y="0"/>
                                </a:lnTo>
                                <a:close/>
                              </a:path>
                            </a:pathLst>
                          </a:custGeom>
                          <a:solidFill>
                            <a:srgbClr val="E44200"/>
                          </a:solidFill>
                        </wps:spPr>
                        <wps:bodyPr wrap="square" lIns="0" tIns="0" rIns="0" bIns="0" rtlCol="0">
                          <a:prstTxWarp prst="textNoShape">
                            <a:avLst/>
                          </a:prstTxWarp>
                          <a:noAutofit/>
                        </wps:bodyPr>
                      </wps:wsp>
                      <wps:wsp>
                        <wps:cNvPr id="1122" name="Graphic 1122"/>
                        <wps:cNvSpPr/>
                        <wps:spPr>
                          <a:xfrm>
                            <a:off x="1967556" y="1863150"/>
                            <a:ext cx="445134" cy="248285"/>
                          </a:xfrm>
                          <a:custGeom>
                            <a:avLst/>
                            <a:gdLst/>
                            <a:ahLst/>
                            <a:cxnLst/>
                            <a:rect l="l" t="t" r="r" b="b"/>
                            <a:pathLst>
                              <a:path w="445134" h="248285">
                                <a:moveTo>
                                  <a:pt x="228319" y="0"/>
                                </a:moveTo>
                                <a:lnTo>
                                  <a:pt x="167794" y="4536"/>
                                </a:lnTo>
                                <a:lnTo>
                                  <a:pt x="113301" y="17269"/>
                                </a:lnTo>
                                <a:lnTo>
                                  <a:pt x="67058" y="36886"/>
                                </a:lnTo>
                                <a:lnTo>
                                  <a:pt x="31281" y="62074"/>
                                </a:lnTo>
                                <a:lnTo>
                                  <a:pt x="0" y="123912"/>
                                </a:lnTo>
                                <a:lnTo>
                                  <a:pt x="8190" y="156198"/>
                                </a:lnTo>
                                <a:lnTo>
                                  <a:pt x="67058" y="210784"/>
                                </a:lnTo>
                                <a:lnTo>
                                  <a:pt x="113301" y="230422"/>
                                </a:lnTo>
                                <a:lnTo>
                                  <a:pt x="167794" y="243181"/>
                                </a:lnTo>
                                <a:lnTo>
                                  <a:pt x="228319" y="247730"/>
                                </a:lnTo>
                                <a:lnTo>
                                  <a:pt x="283991" y="243181"/>
                                </a:lnTo>
                                <a:lnTo>
                                  <a:pt x="335215" y="230422"/>
                                </a:lnTo>
                                <a:lnTo>
                                  <a:pt x="379460" y="210784"/>
                                </a:lnTo>
                                <a:lnTo>
                                  <a:pt x="414198" y="185599"/>
                                </a:lnTo>
                                <a:lnTo>
                                  <a:pt x="445024" y="123912"/>
                                </a:lnTo>
                                <a:lnTo>
                                  <a:pt x="436896" y="91520"/>
                                </a:lnTo>
                                <a:lnTo>
                                  <a:pt x="379460" y="36886"/>
                                </a:lnTo>
                                <a:lnTo>
                                  <a:pt x="335215" y="17269"/>
                                </a:lnTo>
                                <a:lnTo>
                                  <a:pt x="283991" y="4536"/>
                                </a:lnTo>
                                <a:lnTo>
                                  <a:pt x="228319" y="0"/>
                                </a:lnTo>
                                <a:close/>
                              </a:path>
                            </a:pathLst>
                          </a:custGeom>
                          <a:solidFill>
                            <a:srgbClr val="B8376C"/>
                          </a:solidFill>
                        </wps:spPr>
                        <wps:bodyPr wrap="square" lIns="0" tIns="0" rIns="0" bIns="0" rtlCol="0">
                          <a:prstTxWarp prst="textNoShape">
                            <a:avLst/>
                          </a:prstTxWarp>
                          <a:noAutofit/>
                        </wps:bodyPr>
                      </wps:wsp>
                      <wps:wsp>
                        <wps:cNvPr id="1123" name="Graphic 1123"/>
                        <wps:cNvSpPr/>
                        <wps:spPr>
                          <a:xfrm>
                            <a:off x="2572568" y="2434786"/>
                            <a:ext cx="479425" cy="3048635"/>
                          </a:xfrm>
                          <a:custGeom>
                            <a:avLst/>
                            <a:gdLst/>
                            <a:ahLst/>
                            <a:cxnLst/>
                            <a:rect l="l" t="t" r="r" b="b"/>
                            <a:pathLst>
                              <a:path w="479425" h="3048635">
                                <a:moveTo>
                                  <a:pt x="479183" y="2838297"/>
                                </a:moveTo>
                                <a:lnTo>
                                  <a:pt x="364972" y="2743200"/>
                                </a:lnTo>
                                <a:lnTo>
                                  <a:pt x="250863" y="2638310"/>
                                </a:lnTo>
                                <a:lnTo>
                                  <a:pt x="11391" y="2838297"/>
                                </a:lnTo>
                                <a:lnTo>
                                  <a:pt x="125260" y="2943199"/>
                                </a:lnTo>
                                <a:lnTo>
                                  <a:pt x="250863" y="3048089"/>
                                </a:lnTo>
                                <a:lnTo>
                                  <a:pt x="479183" y="2838297"/>
                                </a:lnTo>
                                <a:close/>
                              </a:path>
                              <a:path w="479425" h="3048635">
                                <a:moveTo>
                                  <a:pt x="479183" y="1514538"/>
                                </a:moveTo>
                                <a:lnTo>
                                  <a:pt x="364972" y="1419148"/>
                                </a:lnTo>
                                <a:lnTo>
                                  <a:pt x="250863" y="1314259"/>
                                </a:lnTo>
                                <a:lnTo>
                                  <a:pt x="125260" y="1419148"/>
                                </a:lnTo>
                                <a:lnTo>
                                  <a:pt x="11391" y="1514538"/>
                                </a:lnTo>
                                <a:lnTo>
                                  <a:pt x="125260" y="1619148"/>
                                </a:lnTo>
                                <a:lnTo>
                                  <a:pt x="250863" y="1724037"/>
                                </a:lnTo>
                                <a:lnTo>
                                  <a:pt x="364972" y="1619148"/>
                                </a:lnTo>
                                <a:lnTo>
                                  <a:pt x="479183" y="1514538"/>
                                </a:lnTo>
                                <a:close/>
                              </a:path>
                              <a:path w="479425" h="3048635">
                                <a:moveTo>
                                  <a:pt x="479183" y="199999"/>
                                </a:moveTo>
                                <a:lnTo>
                                  <a:pt x="364972" y="95097"/>
                                </a:lnTo>
                                <a:lnTo>
                                  <a:pt x="239483" y="0"/>
                                </a:lnTo>
                                <a:lnTo>
                                  <a:pt x="125260" y="95097"/>
                                </a:lnTo>
                                <a:lnTo>
                                  <a:pt x="0" y="199999"/>
                                </a:lnTo>
                                <a:lnTo>
                                  <a:pt x="239483" y="399986"/>
                                </a:lnTo>
                                <a:lnTo>
                                  <a:pt x="364972" y="304609"/>
                                </a:lnTo>
                                <a:lnTo>
                                  <a:pt x="479183" y="199999"/>
                                </a:lnTo>
                                <a:close/>
                              </a:path>
                            </a:pathLst>
                          </a:custGeom>
                          <a:solidFill>
                            <a:srgbClr val="7D443E"/>
                          </a:solidFill>
                        </wps:spPr>
                        <wps:bodyPr wrap="square" lIns="0" tIns="0" rIns="0" bIns="0" rtlCol="0">
                          <a:prstTxWarp prst="textNoShape">
                            <a:avLst/>
                          </a:prstTxWarp>
                          <a:noAutofit/>
                        </wps:bodyPr>
                      </wps:wsp>
                      <wps:wsp>
                        <wps:cNvPr id="1124" name="Graphic 1124"/>
                        <wps:cNvSpPr/>
                        <wps:spPr>
                          <a:xfrm>
                            <a:off x="1899112" y="3063296"/>
                            <a:ext cx="845185" cy="2981960"/>
                          </a:xfrm>
                          <a:custGeom>
                            <a:avLst/>
                            <a:gdLst/>
                            <a:ahLst/>
                            <a:cxnLst/>
                            <a:rect l="l" t="t" r="r" b="b"/>
                            <a:pathLst>
                              <a:path w="845185" h="2981960">
                                <a:moveTo>
                                  <a:pt x="844613" y="2810027"/>
                                </a:moveTo>
                                <a:lnTo>
                                  <a:pt x="559244" y="2638590"/>
                                </a:lnTo>
                                <a:lnTo>
                                  <a:pt x="559244" y="2724175"/>
                                </a:lnTo>
                                <a:lnTo>
                                  <a:pt x="0" y="2724175"/>
                                </a:lnTo>
                                <a:lnTo>
                                  <a:pt x="0" y="2895625"/>
                                </a:lnTo>
                                <a:lnTo>
                                  <a:pt x="559244" y="2895625"/>
                                </a:lnTo>
                                <a:lnTo>
                                  <a:pt x="559244" y="2981464"/>
                                </a:lnTo>
                                <a:lnTo>
                                  <a:pt x="844613" y="2810027"/>
                                </a:lnTo>
                                <a:close/>
                              </a:path>
                              <a:path w="845185" h="2981960">
                                <a:moveTo>
                                  <a:pt x="844613" y="1514525"/>
                                </a:moveTo>
                                <a:lnTo>
                                  <a:pt x="559244" y="1343063"/>
                                </a:lnTo>
                                <a:lnTo>
                                  <a:pt x="559244" y="1428940"/>
                                </a:lnTo>
                                <a:lnTo>
                                  <a:pt x="0" y="1428940"/>
                                </a:lnTo>
                                <a:lnTo>
                                  <a:pt x="0" y="1600301"/>
                                </a:lnTo>
                                <a:lnTo>
                                  <a:pt x="559244" y="1600301"/>
                                </a:lnTo>
                                <a:lnTo>
                                  <a:pt x="559244" y="1685988"/>
                                </a:lnTo>
                                <a:lnTo>
                                  <a:pt x="844613" y="1514525"/>
                                </a:lnTo>
                                <a:close/>
                              </a:path>
                              <a:path w="845185" h="2981960">
                                <a:moveTo>
                                  <a:pt x="844613" y="161950"/>
                                </a:moveTo>
                                <a:lnTo>
                                  <a:pt x="559244" y="0"/>
                                </a:lnTo>
                                <a:lnTo>
                                  <a:pt x="559244" y="85864"/>
                                </a:lnTo>
                                <a:lnTo>
                                  <a:pt x="0" y="85864"/>
                                </a:lnTo>
                                <a:lnTo>
                                  <a:pt x="0" y="247726"/>
                                </a:lnTo>
                                <a:lnTo>
                                  <a:pt x="559244" y="247726"/>
                                </a:lnTo>
                                <a:lnTo>
                                  <a:pt x="559244" y="333413"/>
                                </a:lnTo>
                                <a:lnTo>
                                  <a:pt x="844613" y="161950"/>
                                </a:lnTo>
                                <a:close/>
                              </a:path>
                            </a:pathLst>
                          </a:custGeom>
                          <a:solidFill>
                            <a:srgbClr val="E44200"/>
                          </a:solidFill>
                        </wps:spPr>
                        <wps:bodyPr wrap="square" lIns="0" tIns="0" rIns="0" bIns="0" rtlCol="0">
                          <a:prstTxWarp prst="textNoShape">
                            <a:avLst/>
                          </a:prstTxWarp>
                          <a:noAutofit/>
                        </wps:bodyPr>
                      </wps:wsp>
                      <wps:wsp>
                        <wps:cNvPr id="1125" name="Graphic 1125"/>
                        <wps:cNvSpPr/>
                        <wps:spPr>
                          <a:xfrm>
                            <a:off x="3736267" y="834379"/>
                            <a:ext cx="1270" cy="914400"/>
                          </a:xfrm>
                          <a:custGeom>
                            <a:avLst/>
                            <a:gdLst/>
                            <a:ahLst/>
                            <a:cxnLst/>
                            <a:rect l="l" t="t" r="r" b="b"/>
                            <a:pathLst>
                              <a:path w="0" h="914400">
                                <a:moveTo>
                                  <a:pt x="0" y="914367"/>
                                </a:moveTo>
                                <a:lnTo>
                                  <a:pt x="0" y="0"/>
                                </a:lnTo>
                              </a:path>
                            </a:pathLst>
                          </a:custGeom>
                          <a:ln w="11389">
                            <a:solidFill>
                              <a:srgbClr val="23201D"/>
                            </a:solidFill>
                            <a:prstDash val="solid"/>
                          </a:ln>
                        </wps:spPr>
                        <wps:bodyPr wrap="square" lIns="0" tIns="0" rIns="0" bIns="0" rtlCol="0">
                          <a:prstTxWarp prst="textNoShape">
                            <a:avLst/>
                          </a:prstTxWarp>
                          <a:noAutofit/>
                        </wps:bodyPr>
                      </wps:wsp>
                      <wps:wsp>
                        <wps:cNvPr id="1126" name="Graphic 1126"/>
                        <wps:cNvSpPr/>
                        <wps:spPr>
                          <a:xfrm>
                            <a:off x="3713492" y="1748747"/>
                            <a:ext cx="46355" cy="38735"/>
                          </a:xfrm>
                          <a:custGeom>
                            <a:avLst/>
                            <a:gdLst/>
                            <a:ahLst/>
                            <a:cxnLst/>
                            <a:rect l="l" t="t" r="r" b="b"/>
                            <a:pathLst>
                              <a:path w="46355" h="38735">
                                <a:moveTo>
                                  <a:pt x="45891" y="0"/>
                                </a:moveTo>
                                <a:lnTo>
                                  <a:pt x="11387" y="0"/>
                                </a:lnTo>
                                <a:lnTo>
                                  <a:pt x="0" y="0"/>
                                </a:lnTo>
                                <a:lnTo>
                                  <a:pt x="22775" y="38324"/>
                                </a:lnTo>
                                <a:lnTo>
                                  <a:pt x="45891" y="0"/>
                                </a:lnTo>
                                <a:close/>
                              </a:path>
                            </a:pathLst>
                          </a:custGeom>
                          <a:solidFill>
                            <a:srgbClr val="23282B"/>
                          </a:solidFill>
                        </wps:spPr>
                        <wps:bodyPr wrap="square" lIns="0" tIns="0" rIns="0" bIns="0" rtlCol="0">
                          <a:prstTxWarp prst="textNoShape">
                            <a:avLst/>
                          </a:prstTxWarp>
                          <a:noAutofit/>
                        </wps:bodyPr>
                      </wps:wsp>
                      <wps:wsp>
                        <wps:cNvPr id="1127" name="Graphic 1127"/>
                        <wps:cNvSpPr/>
                        <wps:spPr>
                          <a:xfrm>
                            <a:off x="3051762" y="1348764"/>
                            <a:ext cx="1084580" cy="1270"/>
                          </a:xfrm>
                          <a:custGeom>
                            <a:avLst/>
                            <a:gdLst/>
                            <a:ahLst/>
                            <a:cxnLst/>
                            <a:rect l="l" t="t" r="r" b="b"/>
                            <a:pathLst>
                              <a:path w="1084580" h="0">
                                <a:moveTo>
                                  <a:pt x="91100" y="0"/>
                                </a:moveTo>
                                <a:lnTo>
                                  <a:pt x="0" y="0"/>
                                </a:lnTo>
                              </a:path>
                              <a:path w="1084580" h="0">
                                <a:moveTo>
                                  <a:pt x="193929" y="0"/>
                                </a:moveTo>
                                <a:lnTo>
                                  <a:pt x="114216" y="0"/>
                                </a:lnTo>
                              </a:path>
                              <a:path w="1084580" h="0">
                                <a:moveTo>
                                  <a:pt x="308146" y="0"/>
                                </a:moveTo>
                                <a:lnTo>
                                  <a:pt x="216704" y="0"/>
                                </a:lnTo>
                              </a:path>
                              <a:path w="1084580" h="0">
                                <a:moveTo>
                                  <a:pt x="422249" y="0"/>
                                </a:moveTo>
                                <a:lnTo>
                                  <a:pt x="330921" y="0"/>
                                </a:lnTo>
                              </a:path>
                              <a:path w="1084580" h="0">
                                <a:moveTo>
                                  <a:pt x="524737" y="0"/>
                                </a:moveTo>
                                <a:lnTo>
                                  <a:pt x="445024" y="0"/>
                                </a:lnTo>
                              </a:path>
                              <a:path w="1084580" h="0">
                                <a:moveTo>
                                  <a:pt x="638954" y="0"/>
                                </a:moveTo>
                                <a:lnTo>
                                  <a:pt x="547512" y="0"/>
                                </a:lnTo>
                              </a:path>
                              <a:path w="1084580" h="0">
                                <a:moveTo>
                                  <a:pt x="753171" y="0"/>
                                </a:moveTo>
                                <a:lnTo>
                                  <a:pt x="661729" y="0"/>
                                </a:lnTo>
                              </a:path>
                              <a:path w="1084580" h="0">
                                <a:moveTo>
                                  <a:pt x="855886" y="0"/>
                                </a:moveTo>
                                <a:lnTo>
                                  <a:pt x="775946" y="0"/>
                                </a:lnTo>
                              </a:path>
                              <a:path w="1084580" h="0">
                                <a:moveTo>
                                  <a:pt x="969875" y="0"/>
                                </a:moveTo>
                                <a:lnTo>
                                  <a:pt x="878661" y="0"/>
                                </a:lnTo>
                              </a:path>
                              <a:path w="1084580" h="0">
                                <a:moveTo>
                                  <a:pt x="1083978" y="0"/>
                                </a:moveTo>
                                <a:lnTo>
                                  <a:pt x="992878" y="0"/>
                                </a:lnTo>
                              </a:path>
                            </a:pathLst>
                          </a:custGeom>
                          <a:ln w="10450">
                            <a:solidFill>
                              <a:srgbClr val="23201D"/>
                            </a:solidFill>
                            <a:prstDash val="solid"/>
                          </a:ln>
                        </wps:spPr>
                        <wps:bodyPr wrap="square" lIns="0" tIns="0" rIns="0" bIns="0" rtlCol="0">
                          <a:prstTxWarp prst="textNoShape">
                            <a:avLst/>
                          </a:prstTxWarp>
                          <a:noAutofit/>
                        </wps:bodyPr>
                      </wps:wsp>
                      <wps:wsp>
                        <wps:cNvPr id="1128" name="Graphic 1128"/>
                        <wps:cNvSpPr/>
                        <wps:spPr>
                          <a:xfrm>
                            <a:off x="4238571" y="1053466"/>
                            <a:ext cx="605155" cy="562610"/>
                          </a:xfrm>
                          <a:custGeom>
                            <a:avLst/>
                            <a:gdLst/>
                            <a:ahLst/>
                            <a:cxnLst/>
                            <a:rect l="l" t="t" r="r" b="b"/>
                            <a:pathLst>
                              <a:path w="605155" h="562610">
                                <a:moveTo>
                                  <a:pt x="604780" y="0"/>
                                </a:moveTo>
                                <a:lnTo>
                                  <a:pt x="0" y="0"/>
                                </a:lnTo>
                                <a:lnTo>
                                  <a:pt x="0" y="562143"/>
                                </a:lnTo>
                                <a:lnTo>
                                  <a:pt x="604780" y="562143"/>
                                </a:lnTo>
                                <a:lnTo>
                                  <a:pt x="604780" y="0"/>
                                </a:lnTo>
                                <a:close/>
                              </a:path>
                            </a:pathLst>
                          </a:custGeom>
                          <a:solidFill>
                            <a:srgbClr val="7D443E"/>
                          </a:solidFill>
                        </wps:spPr>
                        <wps:bodyPr wrap="square" lIns="0" tIns="0" rIns="0" bIns="0" rtlCol="0">
                          <a:prstTxWarp prst="textNoShape">
                            <a:avLst/>
                          </a:prstTxWarp>
                          <a:noAutofit/>
                        </wps:bodyPr>
                      </wps:wsp>
                      <wps:wsp>
                        <wps:cNvPr id="1129" name="Graphic 1129"/>
                        <wps:cNvSpPr/>
                        <wps:spPr>
                          <a:xfrm>
                            <a:off x="4147129" y="1348764"/>
                            <a:ext cx="91440" cy="1270"/>
                          </a:xfrm>
                          <a:custGeom>
                            <a:avLst/>
                            <a:gdLst/>
                            <a:ahLst/>
                            <a:cxnLst/>
                            <a:rect l="l" t="t" r="r" b="b"/>
                            <a:pathLst>
                              <a:path w="91440" h="0">
                                <a:moveTo>
                                  <a:pt x="91441" y="0"/>
                                </a:moveTo>
                                <a:lnTo>
                                  <a:pt x="0" y="0"/>
                                </a:lnTo>
                              </a:path>
                            </a:pathLst>
                          </a:custGeom>
                          <a:ln w="9511">
                            <a:solidFill>
                              <a:srgbClr val="23201D"/>
                            </a:solidFill>
                            <a:prstDash val="solid"/>
                          </a:ln>
                        </wps:spPr>
                        <wps:bodyPr wrap="square" lIns="0" tIns="0" rIns="0" bIns="0" rtlCol="0">
                          <a:prstTxWarp prst="textNoShape">
                            <a:avLst/>
                          </a:prstTxWarp>
                          <a:noAutofit/>
                        </wps:bodyPr>
                      </wps:wsp>
                      <wps:wsp>
                        <wps:cNvPr id="1130" name="Graphic 1130"/>
                        <wps:cNvSpPr/>
                        <wps:spPr>
                          <a:xfrm>
                            <a:off x="3325747" y="1444148"/>
                            <a:ext cx="297180" cy="209550"/>
                          </a:xfrm>
                          <a:custGeom>
                            <a:avLst/>
                            <a:gdLst/>
                            <a:ahLst/>
                            <a:cxnLst/>
                            <a:rect l="l" t="t" r="r" b="b"/>
                            <a:pathLst>
                              <a:path w="297180" h="209550">
                                <a:moveTo>
                                  <a:pt x="148265" y="0"/>
                                </a:moveTo>
                                <a:lnTo>
                                  <a:pt x="91374" y="8321"/>
                                </a:lnTo>
                                <a:lnTo>
                                  <a:pt x="44155" y="30906"/>
                                </a:lnTo>
                                <a:lnTo>
                                  <a:pt x="11924" y="64191"/>
                                </a:lnTo>
                                <a:lnTo>
                                  <a:pt x="0" y="104607"/>
                                </a:lnTo>
                                <a:lnTo>
                                  <a:pt x="11924" y="145189"/>
                                </a:lnTo>
                                <a:lnTo>
                                  <a:pt x="44155" y="178558"/>
                                </a:lnTo>
                                <a:lnTo>
                                  <a:pt x="91374" y="201175"/>
                                </a:lnTo>
                                <a:lnTo>
                                  <a:pt x="148265" y="209501"/>
                                </a:lnTo>
                                <a:lnTo>
                                  <a:pt x="205078" y="201175"/>
                                </a:lnTo>
                                <a:lnTo>
                                  <a:pt x="252347" y="178558"/>
                                </a:lnTo>
                                <a:lnTo>
                                  <a:pt x="284670" y="145189"/>
                                </a:lnTo>
                                <a:lnTo>
                                  <a:pt x="296645" y="104607"/>
                                </a:lnTo>
                                <a:lnTo>
                                  <a:pt x="284670" y="64191"/>
                                </a:lnTo>
                                <a:lnTo>
                                  <a:pt x="252347" y="30906"/>
                                </a:lnTo>
                                <a:lnTo>
                                  <a:pt x="205078" y="8321"/>
                                </a:lnTo>
                                <a:lnTo>
                                  <a:pt x="148265" y="0"/>
                                </a:lnTo>
                                <a:close/>
                              </a:path>
                            </a:pathLst>
                          </a:custGeom>
                          <a:solidFill>
                            <a:srgbClr val="007046"/>
                          </a:solidFill>
                        </wps:spPr>
                        <wps:bodyPr wrap="square" lIns="0" tIns="0" rIns="0" bIns="0" rtlCol="0">
                          <a:prstTxWarp prst="textNoShape">
                            <a:avLst/>
                          </a:prstTxWarp>
                          <a:noAutofit/>
                        </wps:bodyPr>
                      </wps:wsp>
                      <wps:wsp>
                        <wps:cNvPr id="1131" name="Graphic 1131"/>
                        <wps:cNvSpPr/>
                        <wps:spPr>
                          <a:xfrm>
                            <a:off x="3474012" y="1644139"/>
                            <a:ext cx="1270" cy="143510"/>
                          </a:xfrm>
                          <a:custGeom>
                            <a:avLst/>
                            <a:gdLst/>
                            <a:ahLst/>
                            <a:cxnLst/>
                            <a:rect l="l" t="t" r="r" b="b"/>
                            <a:pathLst>
                              <a:path w="0" h="143510">
                                <a:moveTo>
                                  <a:pt x="0" y="0"/>
                                </a:moveTo>
                                <a:lnTo>
                                  <a:pt x="0" y="142932"/>
                                </a:lnTo>
                              </a:path>
                            </a:pathLst>
                          </a:custGeom>
                          <a:ln w="11389">
                            <a:solidFill>
                              <a:srgbClr val="23201D"/>
                            </a:solidFill>
                            <a:prstDash val="solid"/>
                          </a:ln>
                        </wps:spPr>
                        <wps:bodyPr wrap="square" lIns="0" tIns="0" rIns="0" bIns="0" rtlCol="0">
                          <a:prstTxWarp prst="textNoShape">
                            <a:avLst/>
                          </a:prstTxWarp>
                          <a:noAutofit/>
                        </wps:bodyPr>
                      </wps:wsp>
                      <wps:wsp>
                        <wps:cNvPr id="1132" name="Graphic 1132"/>
                        <wps:cNvSpPr/>
                        <wps:spPr>
                          <a:xfrm>
                            <a:off x="2789280" y="1110734"/>
                            <a:ext cx="45720" cy="38100"/>
                          </a:xfrm>
                          <a:custGeom>
                            <a:avLst/>
                            <a:gdLst/>
                            <a:ahLst/>
                            <a:cxnLst/>
                            <a:rect l="l" t="t" r="r" b="b"/>
                            <a:pathLst>
                              <a:path w="45720" h="38100">
                                <a:moveTo>
                                  <a:pt x="45550" y="0"/>
                                </a:moveTo>
                                <a:lnTo>
                                  <a:pt x="11387" y="0"/>
                                </a:lnTo>
                                <a:lnTo>
                                  <a:pt x="0" y="0"/>
                                </a:lnTo>
                                <a:lnTo>
                                  <a:pt x="22775" y="38039"/>
                                </a:lnTo>
                                <a:lnTo>
                                  <a:pt x="45550" y="0"/>
                                </a:lnTo>
                                <a:close/>
                              </a:path>
                            </a:pathLst>
                          </a:custGeom>
                          <a:solidFill>
                            <a:srgbClr val="23282B"/>
                          </a:solidFill>
                        </wps:spPr>
                        <wps:bodyPr wrap="square" lIns="0" tIns="0" rIns="0" bIns="0" rtlCol="0">
                          <a:prstTxWarp prst="textNoShape">
                            <a:avLst/>
                          </a:prstTxWarp>
                          <a:noAutofit/>
                        </wps:bodyPr>
                      </wps:wsp>
                      <wps:wsp>
                        <wps:cNvPr id="1133" name="Graphic 1133"/>
                        <wps:cNvSpPr/>
                        <wps:spPr>
                          <a:xfrm>
                            <a:off x="2812055" y="1558265"/>
                            <a:ext cx="639445" cy="229235"/>
                          </a:xfrm>
                          <a:custGeom>
                            <a:avLst/>
                            <a:gdLst/>
                            <a:ahLst/>
                            <a:cxnLst/>
                            <a:rect l="l" t="t" r="r" b="b"/>
                            <a:pathLst>
                              <a:path w="639445" h="229235">
                                <a:moveTo>
                                  <a:pt x="11387" y="0"/>
                                </a:moveTo>
                                <a:lnTo>
                                  <a:pt x="11387" y="228805"/>
                                </a:lnTo>
                              </a:path>
                              <a:path w="639445" h="229235">
                                <a:moveTo>
                                  <a:pt x="0" y="228805"/>
                                </a:moveTo>
                                <a:lnTo>
                                  <a:pt x="638954" y="228805"/>
                                </a:lnTo>
                              </a:path>
                            </a:pathLst>
                          </a:custGeom>
                          <a:ln w="10450">
                            <a:solidFill>
                              <a:srgbClr val="23201D"/>
                            </a:solidFill>
                            <a:prstDash val="solid"/>
                          </a:ln>
                        </wps:spPr>
                        <wps:bodyPr wrap="square" lIns="0" tIns="0" rIns="0" bIns="0" rtlCol="0">
                          <a:prstTxWarp prst="textNoShape">
                            <a:avLst/>
                          </a:prstTxWarp>
                          <a:noAutofit/>
                        </wps:bodyPr>
                      </wps:wsp>
                      <wps:wsp>
                        <wps:cNvPr id="1134" name="Graphic 1134"/>
                        <wps:cNvSpPr/>
                        <wps:spPr>
                          <a:xfrm>
                            <a:off x="3428234" y="1767957"/>
                            <a:ext cx="46355" cy="38735"/>
                          </a:xfrm>
                          <a:custGeom>
                            <a:avLst/>
                            <a:gdLst/>
                            <a:ahLst/>
                            <a:cxnLst/>
                            <a:rect l="l" t="t" r="r" b="b"/>
                            <a:pathLst>
                              <a:path w="46355" h="38735">
                                <a:moveTo>
                                  <a:pt x="0" y="0"/>
                                </a:moveTo>
                                <a:lnTo>
                                  <a:pt x="0" y="28624"/>
                                </a:lnTo>
                                <a:lnTo>
                                  <a:pt x="0" y="38134"/>
                                </a:lnTo>
                                <a:lnTo>
                                  <a:pt x="45777" y="19114"/>
                                </a:lnTo>
                                <a:lnTo>
                                  <a:pt x="0" y="0"/>
                                </a:lnTo>
                                <a:close/>
                              </a:path>
                            </a:pathLst>
                          </a:custGeom>
                          <a:solidFill>
                            <a:srgbClr val="23282B"/>
                          </a:solidFill>
                        </wps:spPr>
                        <wps:bodyPr wrap="square" lIns="0" tIns="0" rIns="0" bIns="0" rtlCol="0">
                          <a:prstTxWarp prst="textNoShape">
                            <a:avLst/>
                          </a:prstTxWarp>
                          <a:noAutofit/>
                        </wps:bodyPr>
                      </wps:wsp>
                      <wps:wsp>
                        <wps:cNvPr id="1135" name="Graphic 1135"/>
                        <wps:cNvSpPr/>
                        <wps:spPr>
                          <a:xfrm>
                            <a:off x="2640901" y="1634629"/>
                            <a:ext cx="160020" cy="1270"/>
                          </a:xfrm>
                          <a:custGeom>
                            <a:avLst/>
                            <a:gdLst/>
                            <a:ahLst/>
                            <a:cxnLst/>
                            <a:rect l="l" t="t" r="r" b="b"/>
                            <a:pathLst>
                              <a:path w="160020" h="0">
                                <a:moveTo>
                                  <a:pt x="159767" y="0"/>
                                </a:moveTo>
                                <a:lnTo>
                                  <a:pt x="0" y="0"/>
                                </a:lnTo>
                              </a:path>
                            </a:pathLst>
                          </a:custGeom>
                          <a:ln w="9511">
                            <a:solidFill>
                              <a:srgbClr val="23201D"/>
                            </a:solidFill>
                            <a:prstDash val="solid"/>
                          </a:ln>
                        </wps:spPr>
                        <wps:bodyPr wrap="square" lIns="0" tIns="0" rIns="0" bIns="0" rtlCol="0">
                          <a:prstTxWarp prst="textNoShape">
                            <a:avLst/>
                          </a:prstTxWarp>
                          <a:noAutofit/>
                        </wps:bodyPr>
                      </wps:wsp>
                      <wps:wsp>
                        <wps:cNvPr id="1136" name="Graphic 1136"/>
                        <wps:cNvSpPr/>
                        <wps:spPr>
                          <a:xfrm>
                            <a:off x="3428234" y="2987209"/>
                            <a:ext cx="46355" cy="47625"/>
                          </a:xfrm>
                          <a:custGeom>
                            <a:avLst/>
                            <a:gdLst/>
                            <a:ahLst/>
                            <a:cxnLst/>
                            <a:rect l="l" t="t" r="r" b="b"/>
                            <a:pathLst>
                              <a:path w="46355" h="47625">
                                <a:moveTo>
                                  <a:pt x="0" y="0"/>
                                </a:moveTo>
                                <a:lnTo>
                                  <a:pt x="0" y="28529"/>
                                </a:lnTo>
                                <a:lnTo>
                                  <a:pt x="0" y="47549"/>
                                </a:lnTo>
                                <a:lnTo>
                                  <a:pt x="45777" y="19019"/>
                                </a:lnTo>
                                <a:lnTo>
                                  <a:pt x="0" y="0"/>
                                </a:lnTo>
                                <a:close/>
                              </a:path>
                            </a:pathLst>
                          </a:custGeom>
                          <a:solidFill>
                            <a:srgbClr val="23282B"/>
                          </a:solidFill>
                        </wps:spPr>
                        <wps:bodyPr wrap="square" lIns="0" tIns="0" rIns="0" bIns="0" rtlCol="0">
                          <a:prstTxWarp prst="textNoShape">
                            <a:avLst/>
                          </a:prstTxWarp>
                          <a:noAutofit/>
                        </wps:bodyPr>
                      </wps:wsp>
                      <pic:pic>
                        <pic:nvPicPr>
                          <pic:cNvPr id="1137" name="Image 1137"/>
                          <pic:cNvPicPr/>
                        </pic:nvPicPr>
                        <pic:blipFill>
                          <a:blip r:embed="rId210" cstate="print"/>
                          <a:stretch>
                            <a:fillRect/>
                          </a:stretch>
                        </pic:blipFill>
                        <pic:spPr>
                          <a:xfrm>
                            <a:off x="2640901" y="2225093"/>
                            <a:ext cx="205317" cy="209691"/>
                          </a:xfrm>
                          <a:prstGeom prst="rect">
                            <a:avLst/>
                          </a:prstGeom>
                        </pic:spPr>
                      </pic:pic>
                      <wps:wsp>
                        <wps:cNvPr id="1138" name="Graphic 1138"/>
                        <wps:cNvSpPr/>
                        <wps:spPr>
                          <a:xfrm>
                            <a:off x="1944667" y="2634775"/>
                            <a:ext cx="2191385" cy="1270"/>
                          </a:xfrm>
                          <a:custGeom>
                            <a:avLst/>
                            <a:gdLst/>
                            <a:ahLst/>
                            <a:cxnLst/>
                            <a:rect l="l" t="t" r="r" b="b"/>
                            <a:pathLst>
                              <a:path w="2191385" h="0">
                                <a:moveTo>
                                  <a:pt x="80054" y="0"/>
                                </a:moveTo>
                                <a:lnTo>
                                  <a:pt x="0" y="0"/>
                                </a:lnTo>
                              </a:path>
                              <a:path w="2191385" h="0">
                                <a:moveTo>
                                  <a:pt x="194271" y="0"/>
                                </a:moveTo>
                                <a:lnTo>
                                  <a:pt x="102829" y="0"/>
                                </a:lnTo>
                              </a:path>
                              <a:path w="2191385" h="0">
                                <a:moveTo>
                                  <a:pt x="308146" y="0"/>
                                </a:moveTo>
                                <a:lnTo>
                                  <a:pt x="217046" y="0"/>
                                </a:lnTo>
                              </a:path>
                              <a:path w="2191385" h="0">
                                <a:moveTo>
                                  <a:pt x="410975" y="0"/>
                                </a:moveTo>
                                <a:lnTo>
                                  <a:pt x="331149" y="0"/>
                                </a:lnTo>
                              </a:path>
                              <a:path w="2191385" h="0">
                                <a:moveTo>
                                  <a:pt x="525078" y="0"/>
                                </a:moveTo>
                                <a:lnTo>
                                  <a:pt x="433750" y="0"/>
                                </a:lnTo>
                              </a:path>
                              <a:path w="2191385" h="0">
                                <a:moveTo>
                                  <a:pt x="639295" y="0"/>
                                </a:moveTo>
                                <a:lnTo>
                                  <a:pt x="547854" y="0"/>
                                </a:lnTo>
                              </a:path>
                              <a:path w="2191385" h="0">
                                <a:moveTo>
                                  <a:pt x="1198195" y="0"/>
                                </a:moveTo>
                                <a:lnTo>
                                  <a:pt x="1107095" y="0"/>
                                </a:lnTo>
                              </a:path>
                              <a:path w="2191385" h="0">
                                <a:moveTo>
                                  <a:pt x="1301025" y="0"/>
                                </a:moveTo>
                                <a:lnTo>
                                  <a:pt x="1209583" y="0"/>
                                </a:lnTo>
                              </a:path>
                              <a:path w="2191385" h="0">
                                <a:moveTo>
                                  <a:pt x="1415242" y="0"/>
                                </a:moveTo>
                                <a:lnTo>
                                  <a:pt x="1323800" y="0"/>
                                </a:lnTo>
                              </a:path>
                              <a:path w="2191385" h="0">
                                <a:moveTo>
                                  <a:pt x="1529345" y="0"/>
                                </a:moveTo>
                                <a:lnTo>
                                  <a:pt x="1438017" y="0"/>
                                </a:lnTo>
                              </a:path>
                              <a:path w="2191385" h="0">
                                <a:moveTo>
                                  <a:pt x="1631832" y="0"/>
                                </a:moveTo>
                                <a:lnTo>
                                  <a:pt x="1540732" y="0"/>
                                </a:lnTo>
                              </a:path>
                              <a:path w="2191385" h="0">
                                <a:moveTo>
                                  <a:pt x="1746049" y="0"/>
                                </a:moveTo>
                                <a:lnTo>
                                  <a:pt x="1654607" y="0"/>
                                </a:lnTo>
                              </a:path>
                              <a:path w="2191385" h="0">
                                <a:moveTo>
                                  <a:pt x="1860266" y="0"/>
                                </a:moveTo>
                                <a:lnTo>
                                  <a:pt x="1768824" y="0"/>
                                </a:lnTo>
                              </a:path>
                              <a:path w="2191385" h="0">
                                <a:moveTo>
                                  <a:pt x="1962982" y="0"/>
                                </a:moveTo>
                                <a:lnTo>
                                  <a:pt x="1871654" y="0"/>
                                </a:lnTo>
                              </a:path>
                              <a:path w="2191385" h="0">
                                <a:moveTo>
                                  <a:pt x="2076971" y="0"/>
                                </a:moveTo>
                                <a:lnTo>
                                  <a:pt x="1985757" y="0"/>
                                </a:lnTo>
                              </a:path>
                              <a:path w="2191385" h="0">
                                <a:moveTo>
                                  <a:pt x="2191074" y="0"/>
                                </a:moveTo>
                                <a:lnTo>
                                  <a:pt x="2099974" y="0"/>
                                </a:lnTo>
                              </a:path>
                            </a:pathLst>
                          </a:custGeom>
                          <a:ln w="10450">
                            <a:solidFill>
                              <a:srgbClr val="23201D"/>
                            </a:solidFill>
                            <a:prstDash val="solid"/>
                          </a:ln>
                        </wps:spPr>
                        <wps:bodyPr wrap="square" lIns="0" tIns="0" rIns="0" bIns="0" rtlCol="0">
                          <a:prstTxWarp prst="textNoShape">
                            <a:avLst/>
                          </a:prstTxWarp>
                          <a:noAutofit/>
                        </wps:bodyPr>
                      </wps:wsp>
                      <wps:wsp>
                        <wps:cNvPr id="1139" name="Graphic 1139"/>
                        <wps:cNvSpPr/>
                        <wps:spPr>
                          <a:xfrm>
                            <a:off x="4147129" y="2634775"/>
                            <a:ext cx="69215" cy="1270"/>
                          </a:xfrm>
                          <a:custGeom>
                            <a:avLst/>
                            <a:gdLst/>
                            <a:ahLst/>
                            <a:cxnLst/>
                            <a:rect l="l" t="t" r="r" b="b"/>
                            <a:pathLst>
                              <a:path w="69215" h="0">
                                <a:moveTo>
                                  <a:pt x="0" y="0"/>
                                </a:moveTo>
                                <a:lnTo>
                                  <a:pt x="68666" y="0"/>
                                </a:lnTo>
                              </a:path>
                            </a:pathLst>
                          </a:custGeom>
                          <a:ln w="9511">
                            <a:solidFill>
                              <a:srgbClr val="23201D"/>
                            </a:solidFill>
                            <a:prstDash val="solid"/>
                          </a:ln>
                        </wps:spPr>
                        <wps:bodyPr wrap="square" lIns="0" tIns="0" rIns="0" bIns="0" rtlCol="0">
                          <a:prstTxWarp prst="textNoShape">
                            <a:avLst/>
                          </a:prstTxWarp>
                          <a:noAutofit/>
                        </wps:bodyPr>
                      </wps:wsp>
                      <pic:pic>
                        <pic:nvPicPr>
                          <pic:cNvPr id="1140" name="Image 1140"/>
                          <pic:cNvPicPr/>
                        </pic:nvPicPr>
                        <pic:blipFill>
                          <a:blip r:embed="rId211" cstate="print"/>
                          <a:stretch>
                            <a:fillRect/>
                          </a:stretch>
                        </pic:blipFill>
                        <pic:spPr>
                          <a:xfrm>
                            <a:off x="3839096" y="2339401"/>
                            <a:ext cx="251095" cy="209501"/>
                          </a:xfrm>
                          <a:prstGeom prst="rect">
                            <a:avLst/>
                          </a:prstGeom>
                        </pic:spPr>
                      </pic:pic>
                      <wps:wsp>
                        <wps:cNvPr id="1141" name="Graphic 1141"/>
                        <wps:cNvSpPr/>
                        <wps:spPr>
                          <a:xfrm>
                            <a:off x="4215796" y="2396536"/>
                            <a:ext cx="593725" cy="553085"/>
                          </a:xfrm>
                          <a:custGeom>
                            <a:avLst/>
                            <a:gdLst/>
                            <a:ahLst/>
                            <a:cxnLst/>
                            <a:rect l="l" t="t" r="r" b="b"/>
                            <a:pathLst>
                              <a:path w="593725" h="553085">
                                <a:moveTo>
                                  <a:pt x="593392" y="0"/>
                                </a:moveTo>
                                <a:lnTo>
                                  <a:pt x="0" y="0"/>
                                </a:lnTo>
                                <a:lnTo>
                                  <a:pt x="0" y="552633"/>
                                </a:lnTo>
                                <a:lnTo>
                                  <a:pt x="593392" y="552633"/>
                                </a:lnTo>
                                <a:lnTo>
                                  <a:pt x="593392" y="0"/>
                                </a:lnTo>
                                <a:close/>
                              </a:path>
                            </a:pathLst>
                          </a:custGeom>
                          <a:solidFill>
                            <a:srgbClr val="7D443E"/>
                          </a:solidFill>
                        </wps:spPr>
                        <wps:bodyPr wrap="square" lIns="0" tIns="0" rIns="0" bIns="0" rtlCol="0">
                          <a:prstTxWarp prst="textNoShape">
                            <a:avLst/>
                          </a:prstTxWarp>
                          <a:noAutofit/>
                        </wps:bodyPr>
                      </wps:wsp>
                      <wps:wsp>
                        <wps:cNvPr id="1142" name="Graphic 1142"/>
                        <wps:cNvSpPr/>
                        <wps:spPr>
                          <a:xfrm>
                            <a:off x="3690717" y="2225093"/>
                            <a:ext cx="1270" cy="772160"/>
                          </a:xfrm>
                          <a:custGeom>
                            <a:avLst/>
                            <a:gdLst/>
                            <a:ahLst/>
                            <a:cxnLst/>
                            <a:rect l="l" t="t" r="r" b="b"/>
                            <a:pathLst>
                              <a:path w="0" h="772160">
                                <a:moveTo>
                                  <a:pt x="0" y="771625"/>
                                </a:moveTo>
                                <a:lnTo>
                                  <a:pt x="0" y="0"/>
                                </a:lnTo>
                              </a:path>
                            </a:pathLst>
                          </a:custGeom>
                          <a:ln w="11389">
                            <a:solidFill>
                              <a:srgbClr val="23201D"/>
                            </a:solidFill>
                            <a:prstDash val="solid"/>
                          </a:ln>
                        </wps:spPr>
                        <wps:bodyPr wrap="square" lIns="0" tIns="0" rIns="0" bIns="0" rtlCol="0">
                          <a:prstTxWarp prst="textNoShape">
                            <a:avLst/>
                          </a:prstTxWarp>
                          <a:noAutofit/>
                        </wps:bodyPr>
                      </wps:wsp>
                      <wps:wsp>
                        <wps:cNvPr id="1143" name="Graphic 1143"/>
                        <wps:cNvSpPr/>
                        <wps:spPr>
                          <a:xfrm>
                            <a:off x="3667942" y="2977699"/>
                            <a:ext cx="45720" cy="38100"/>
                          </a:xfrm>
                          <a:custGeom>
                            <a:avLst/>
                            <a:gdLst/>
                            <a:ahLst/>
                            <a:cxnLst/>
                            <a:rect l="l" t="t" r="r" b="b"/>
                            <a:pathLst>
                              <a:path w="45720" h="38100">
                                <a:moveTo>
                                  <a:pt x="45550" y="0"/>
                                </a:moveTo>
                                <a:lnTo>
                                  <a:pt x="11387" y="0"/>
                                </a:lnTo>
                                <a:lnTo>
                                  <a:pt x="0" y="0"/>
                                </a:lnTo>
                                <a:lnTo>
                                  <a:pt x="22775" y="38039"/>
                                </a:lnTo>
                                <a:lnTo>
                                  <a:pt x="45550" y="0"/>
                                </a:lnTo>
                                <a:close/>
                              </a:path>
                            </a:pathLst>
                          </a:custGeom>
                          <a:solidFill>
                            <a:srgbClr val="23282B"/>
                          </a:solidFill>
                        </wps:spPr>
                        <wps:bodyPr wrap="square" lIns="0" tIns="0" rIns="0" bIns="0" rtlCol="0">
                          <a:prstTxWarp prst="textNoShape">
                            <a:avLst/>
                          </a:prstTxWarp>
                          <a:noAutofit/>
                        </wps:bodyPr>
                      </wps:wsp>
                      <wps:wsp>
                        <wps:cNvPr id="1144" name="Graphic 1144"/>
                        <wps:cNvSpPr/>
                        <wps:spPr>
                          <a:xfrm>
                            <a:off x="2812055" y="1720217"/>
                            <a:ext cx="1415415" cy="1296035"/>
                          </a:xfrm>
                          <a:custGeom>
                            <a:avLst/>
                            <a:gdLst/>
                            <a:ahLst/>
                            <a:cxnLst/>
                            <a:rect l="l" t="t" r="r" b="b"/>
                            <a:pathLst>
                              <a:path w="1415415" h="1296035">
                                <a:moveTo>
                                  <a:pt x="1415128" y="57344"/>
                                </a:moveTo>
                                <a:lnTo>
                                  <a:pt x="1415128" y="85873"/>
                                </a:lnTo>
                              </a:path>
                              <a:path w="1415415" h="1296035">
                                <a:moveTo>
                                  <a:pt x="1415128" y="95383"/>
                                </a:moveTo>
                                <a:lnTo>
                                  <a:pt x="1415128" y="123912"/>
                                </a:lnTo>
                              </a:path>
                              <a:path w="1415415" h="1296035">
                                <a:moveTo>
                                  <a:pt x="1415128" y="133422"/>
                                </a:moveTo>
                                <a:lnTo>
                                  <a:pt x="1415128" y="171461"/>
                                </a:lnTo>
                              </a:path>
                              <a:path w="1415415" h="1296035">
                                <a:moveTo>
                                  <a:pt x="1415128" y="180971"/>
                                </a:moveTo>
                                <a:lnTo>
                                  <a:pt x="1415128" y="209691"/>
                                </a:lnTo>
                              </a:path>
                              <a:path w="1415415" h="1296035">
                                <a:moveTo>
                                  <a:pt x="1415128" y="219201"/>
                                </a:moveTo>
                                <a:lnTo>
                                  <a:pt x="1415128" y="257240"/>
                                </a:lnTo>
                              </a:path>
                              <a:path w="1415415" h="1296035">
                                <a:moveTo>
                                  <a:pt x="1415128" y="266845"/>
                                </a:moveTo>
                                <a:lnTo>
                                  <a:pt x="1415128" y="295374"/>
                                </a:lnTo>
                              </a:path>
                              <a:path w="1415415" h="1296035">
                                <a:moveTo>
                                  <a:pt x="1415128" y="304884"/>
                                </a:moveTo>
                                <a:lnTo>
                                  <a:pt x="1415128" y="333413"/>
                                </a:lnTo>
                              </a:path>
                              <a:path w="1415415" h="1296035">
                                <a:moveTo>
                                  <a:pt x="1415128" y="342923"/>
                                </a:moveTo>
                                <a:lnTo>
                                  <a:pt x="1415128" y="381153"/>
                                </a:lnTo>
                              </a:path>
                              <a:path w="1415415" h="1296035">
                                <a:moveTo>
                                  <a:pt x="1415128" y="390662"/>
                                </a:moveTo>
                                <a:lnTo>
                                  <a:pt x="1415128" y="419192"/>
                                </a:lnTo>
                              </a:path>
                              <a:path w="1415415" h="1296035">
                                <a:moveTo>
                                  <a:pt x="1415128" y="428702"/>
                                </a:moveTo>
                                <a:lnTo>
                                  <a:pt x="1415128" y="466741"/>
                                </a:lnTo>
                              </a:path>
                              <a:path w="1415415" h="1296035">
                                <a:moveTo>
                                  <a:pt x="1415128" y="476251"/>
                                </a:moveTo>
                                <a:lnTo>
                                  <a:pt x="1415128" y="504875"/>
                                </a:lnTo>
                              </a:path>
                              <a:path w="1415415" h="1296035">
                                <a:moveTo>
                                  <a:pt x="878661" y="0"/>
                                </a:moveTo>
                                <a:lnTo>
                                  <a:pt x="912824" y="0"/>
                                </a:lnTo>
                              </a:path>
                              <a:path w="1415415" h="1296035">
                                <a:moveTo>
                                  <a:pt x="924211" y="0"/>
                                </a:moveTo>
                                <a:lnTo>
                                  <a:pt x="970103" y="0"/>
                                </a:lnTo>
                              </a:path>
                              <a:path w="1415415" h="1296035">
                                <a:moveTo>
                                  <a:pt x="981491" y="0"/>
                                </a:moveTo>
                                <a:lnTo>
                                  <a:pt x="1015653" y="0"/>
                                </a:lnTo>
                              </a:path>
                              <a:path w="1415415" h="1296035">
                                <a:moveTo>
                                  <a:pt x="1027041" y="0"/>
                                </a:moveTo>
                                <a:lnTo>
                                  <a:pt x="1061203" y="0"/>
                                </a:lnTo>
                              </a:path>
                              <a:path w="1415415" h="1296035">
                                <a:moveTo>
                                  <a:pt x="1084206" y="0"/>
                                </a:moveTo>
                                <a:lnTo>
                                  <a:pt x="1118369" y="0"/>
                                </a:lnTo>
                              </a:path>
                              <a:path w="1415415" h="1296035">
                                <a:moveTo>
                                  <a:pt x="1129756" y="0"/>
                                </a:moveTo>
                                <a:lnTo>
                                  <a:pt x="1164033" y="0"/>
                                </a:lnTo>
                              </a:path>
                              <a:path w="1415415" h="1296035">
                                <a:moveTo>
                                  <a:pt x="1175420" y="0"/>
                                </a:moveTo>
                                <a:lnTo>
                                  <a:pt x="1220970" y="0"/>
                                </a:lnTo>
                              </a:path>
                              <a:path w="1415415" h="1296035">
                                <a:moveTo>
                                  <a:pt x="1232586" y="0"/>
                                </a:moveTo>
                                <a:lnTo>
                                  <a:pt x="1266748" y="0"/>
                                </a:lnTo>
                              </a:path>
                              <a:path w="1415415" h="1296035">
                                <a:moveTo>
                                  <a:pt x="1278136" y="0"/>
                                </a:moveTo>
                                <a:lnTo>
                                  <a:pt x="1312298" y="0"/>
                                </a:lnTo>
                              </a:path>
                              <a:path w="1415415" h="1296035">
                                <a:moveTo>
                                  <a:pt x="1335073" y="0"/>
                                </a:moveTo>
                                <a:lnTo>
                                  <a:pt x="1369236" y="0"/>
                                </a:lnTo>
                              </a:path>
                              <a:path w="1415415" h="1296035">
                                <a:moveTo>
                                  <a:pt x="1380965" y="0"/>
                                </a:moveTo>
                                <a:lnTo>
                                  <a:pt x="1415128" y="0"/>
                                </a:lnTo>
                              </a:path>
                              <a:path w="1415415" h="1296035">
                                <a:moveTo>
                                  <a:pt x="673344" y="0"/>
                                </a:moveTo>
                                <a:lnTo>
                                  <a:pt x="707507" y="0"/>
                                </a:lnTo>
                              </a:path>
                              <a:path w="1415415" h="1296035">
                                <a:moveTo>
                                  <a:pt x="718894" y="0"/>
                                </a:moveTo>
                                <a:lnTo>
                                  <a:pt x="764444" y="0"/>
                                </a:lnTo>
                              </a:path>
                              <a:path w="1415415" h="1296035">
                                <a:moveTo>
                                  <a:pt x="775832" y="0"/>
                                </a:moveTo>
                                <a:lnTo>
                                  <a:pt x="810336" y="0"/>
                                </a:lnTo>
                              </a:path>
                              <a:path w="1415415" h="1296035">
                                <a:moveTo>
                                  <a:pt x="821724" y="0"/>
                                </a:moveTo>
                                <a:lnTo>
                                  <a:pt x="855886" y="0"/>
                                </a:lnTo>
                              </a:path>
                              <a:path w="1415415" h="1296035">
                                <a:moveTo>
                                  <a:pt x="616179" y="0"/>
                                </a:moveTo>
                                <a:lnTo>
                                  <a:pt x="650569" y="0"/>
                                </a:lnTo>
                              </a:path>
                              <a:path w="1415415" h="1296035">
                                <a:moveTo>
                                  <a:pt x="410862" y="0"/>
                                </a:moveTo>
                                <a:lnTo>
                                  <a:pt x="445024" y="0"/>
                                </a:lnTo>
                              </a:path>
                              <a:path w="1415415" h="1296035">
                                <a:moveTo>
                                  <a:pt x="456412" y="0"/>
                                </a:moveTo>
                                <a:lnTo>
                                  <a:pt x="502190" y="0"/>
                                </a:lnTo>
                              </a:path>
                              <a:path w="1415415" h="1296035">
                                <a:moveTo>
                                  <a:pt x="513691" y="0"/>
                                </a:moveTo>
                                <a:lnTo>
                                  <a:pt x="547854" y="0"/>
                                </a:lnTo>
                              </a:path>
                              <a:path w="1415415" h="1296035">
                                <a:moveTo>
                                  <a:pt x="559241" y="0"/>
                                </a:moveTo>
                                <a:lnTo>
                                  <a:pt x="593404" y="0"/>
                                </a:lnTo>
                              </a:path>
                              <a:path w="1415415" h="1296035">
                                <a:moveTo>
                                  <a:pt x="399474" y="57344"/>
                                </a:moveTo>
                                <a:lnTo>
                                  <a:pt x="399474" y="85873"/>
                                </a:lnTo>
                              </a:path>
                              <a:path w="1415415" h="1296035">
                                <a:moveTo>
                                  <a:pt x="399474" y="95383"/>
                                </a:moveTo>
                                <a:lnTo>
                                  <a:pt x="399474" y="123912"/>
                                </a:lnTo>
                              </a:path>
                              <a:path w="1415415" h="1296035">
                                <a:moveTo>
                                  <a:pt x="399474" y="133422"/>
                                </a:moveTo>
                                <a:lnTo>
                                  <a:pt x="399474" y="171461"/>
                                </a:lnTo>
                              </a:path>
                              <a:path w="1415415" h="1296035">
                                <a:moveTo>
                                  <a:pt x="399474" y="180971"/>
                                </a:moveTo>
                                <a:lnTo>
                                  <a:pt x="399474" y="209691"/>
                                </a:lnTo>
                              </a:path>
                              <a:path w="1415415" h="1296035">
                                <a:moveTo>
                                  <a:pt x="399474" y="219201"/>
                                </a:moveTo>
                                <a:lnTo>
                                  <a:pt x="399474" y="257240"/>
                                </a:lnTo>
                              </a:path>
                              <a:path w="1415415" h="1296035">
                                <a:moveTo>
                                  <a:pt x="399474" y="266845"/>
                                </a:moveTo>
                                <a:lnTo>
                                  <a:pt x="399474" y="295374"/>
                                </a:lnTo>
                              </a:path>
                              <a:path w="1415415" h="1296035">
                                <a:moveTo>
                                  <a:pt x="399474" y="304884"/>
                                </a:moveTo>
                                <a:lnTo>
                                  <a:pt x="399474" y="333413"/>
                                </a:lnTo>
                              </a:path>
                              <a:path w="1415415" h="1296035">
                                <a:moveTo>
                                  <a:pt x="399474" y="342923"/>
                                </a:moveTo>
                                <a:lnTo>
                                  <a:pt x="399474" y="381153"/>
                                </a:lnTo>
                              </a:path>
                              <a:path w="1415415" h="1296035">
                                <a:moveTo>
                                  <a:pt x="399474" y="390662"/>
                                </a:moveTo>
                                <a:lnTo>
                                  <a:pt x="399474" y="419192"/>
                                </a:lnTo>
                              </a:path>
                              <a:path w="1415415" h="1296035">
                                <a:moveTo>
                                  <a:pt x="399474" y="428702"/>
                                </a:moveTo>
                                <a:lnTo>
                                  <a:pt x="399474" y="466741"/>
                                </a:lnTo>
                              </a:path>
                              <a:path w="1415415" h="1296035">
                                <a:moveTo>
                                  <a:pt x="399474" y="476251"/>
                                </a:moveTo>
                                <a:lnTo>
                                  <a:pt x="399474" y="504875"/>
                                </a:lnTo>
                              </a:path>
                              <a:path w="1415415" h="1296035">
                                <a:moveTo>
                                  <a:pt x="399474" y="9509"/>
                                </a:moveTo>
                                <a:lnTo>
                                  <a:pt x="399474" y="47739"/>
                                </a:lnTo>
                              </a:path>
                              <a:path w="1415415" h="1296035">
                                <a:moveTo>
                                  <a:pt x="0" y="1114549"/>
                                </a:moveTo>
                                <a:lnTo>
                                  <a:pt x="0" y="1295520"/>
                                </a:lnTo>
                              </a:path>
                              <a:path w="1415415" h="1296035">
                                <a:moveTo>
                                  <a:pt x="0" y="1286011"/>
                                </a:moveTo>
                                <a:lnTo>
                                  <a:pt x="638954" y="1286011"/>
                                </a:lnTo>
                              </a:path>
                            </a:pathLst>
                          </a:custGeom>
                          <a:ln w="10450">
                            <a:solidFill>
                              <a:srgbClr val="23201D"/>
                            </a:solidFill>
                            <a:prstDash val="solid"/>
                          </a:ln>
                        </wps:spPr>
                        <wps:bodyPr wrap="square" lIns="0" tIns="0" rIns="0" bIns="0" rtlCol="0">
                          <a:prstTxWarp prst="textNoShape">
                            <a:avLst/>
                          </a:prstTxWarp>
                          <a:noAutofit/>
                        </wps:bodyPr>
                      </wps:wsp>
                      <pic:pic>
                        <pic:nvPicPr>
                          <pic:cNvPr id="1145" name="Image 1145"/>
                          <pic:cNvPicPr/>
                        </pic:nvPicPr>
                        <pic:blipFill>
                          <a:blip r:embed="rId212" cstate="print"/>
                          <a:stretch>
                            <a:fillRect/>
                          </a:stretch>
                        </pic:blipFill>
                        <pic:spPr>
                          <a:xfrm>
                            <a:off x="4204408" y="2949169"/>
                            <a:ext cx="228092" cy="280825"/>
                          </a:xfrm>
                          <a:prstGeom prst="rect">
                            <a:avLst/>
                          </a:prstGeom>
                        </pic:spPr>
                      </pic:pic>
                      <wps:wsp>
                        <wps:cNvPr id="1146" name="Graphic 1146"/>
                        <wps:cNvSpPr/>
                        <wps:spPr>
                          <a:xfrm>
                            <a:off x="2823442" y="3444440"/>
                            <a:ext cx="708025" cy="295275"/>
                          </a:xfrm>
                          <a:custGeom>
                            <a:avLst/>
                            <a:gdLst/>
                            <a:ahLst/>
                            <a:cxnLst/>
                            <a:rect l="l" t="t" r="r" b="b"/>
                            <a:pathLst>
                              <a:path w="708025" h="295275">
                                <a:moveTo>
                                  <a:pt x="0" y="0"/>
                                </a:moveTo>
                                <a:lnTo>
                                  <a:pt x="707507" y="0"/>
                                </a:lnTo>
                              </a:path>
                              <a:path w="708025" h="295275">
                                <a:moveTo>
                                  <a:pt x="0" y="0"/>
                                </a:moveTo>
                                <a:lnTo>
                                  <a:pt x="0" y="295089"/>
                                </a:lnTo>
                              </a:path>
                            </a:pathLst>
                          </a:custGeom>
                          <a:ln w="10450">
                            <a:solidFill>
                              <a:srgbClr val="23201D"/>
                            </a:solidFill>
                            <a:prstDash val="solid"/>
                          </a:ln>
                        </wps:spPr>
                        <wps:bodyPr wrap="square" lIns="0" tIns="0" rIns="0" bIns="0" rtlCol="0">
                          <a:prstTxWarp prst="textNoShape">
                            <a:avLst/>
                          </a:prstTxWarp>
                          <a:noAutofit/>
                        </wps:bodyPr>
                      </wps:wsp>
                      <wps:wsp>
                        <wps:cNvPr id="1147" name="Graphic 1147"/>
                        <wps:cNvSpPr/>
                        <wps:spPr>
                          <a:xfrm>
                            <a:off x="2800668" y="3720510"/>
                            <a:ext cx="45720" cy="28575"/>
                          </a:xfrm>
                          <a:custGeom>
                            <a:avLst/>
                            <a:gdLst/>
                            <a:ahLst/>
                            <a:cxnLst/>
                            <a:rect l="l" t="t" r="r" b="b"/>
                            <a:pathLst>
                              <a:path w="45720" h="28575">
                                <a:moveTo>
                                  <a:pt x="45550" y="0"/>
                                </a:moveTo>
                                <a:lnTo>
                                  <a:pt x="11387" y="0"/>
                                </a:lnTo>
                                <a:lnTo>
                                  <a:pt x="0" y="0"/>
                                </a:lnTo>
                                <a:lnTo>
                                  <a:pt x="22775" y="28529"/>
                                </a:lnTo>
                                <a:lnTo>
                                  <a:pt x="45550" y="0"/>
                                </a:lnTo>
                                <a:close/>
                              </a:path>
                            </a:pathLst>
                          </a:custGeom>
                          <a:solidFill>
                            <a:srgbClr val="23282B"/>
                          </a:solidFill>
                        </wps:spPr>
                        <wps:bodyPr wrap="square" lIns="0" tIns="0" rIns="0" bIns="0" rtlCol="0">
                          <a:prstTxWarp prst="textNoShape">
                            <a:avLst/>
                          </a:prstTxWarp>
                          <a:noAutofit/>
                        </wps:bodyPr>
                      </wps:wsp>
                      <wps:wsp>
                        <wps:cNvPr id="1148" name="Graphic 1148"/>
                        <wps:cNvSpPr/>
                        <wps:spPr>
                          <a:xfrm>
                            <a:off x="3439610" y="3663485"/>
                            <a:ext cx="1392555" cy="552450"/>
                          </a:xfrm>
                          <a:custGeom>
                            <a:avLst/>
                            <a:gdLst/>
                            <a:ahLst/>
                            <a:cxnLst/>
                            <a:rect l="l" t="t" r="r" b="b"/>
                            <a:pathLst>
                              <a:path w="1392555" h="552450">
                                <a:moveTo>
                                  <a:pt x="547865" y="285838"/>
                                </a:moveTo>
                                <a:lnTo>
                                  <a:pt x="543344" y="242519"/>
                                </a:lnTo>
                                <a:lnTo>
                                  <a:pt x="530377" y="201955"/>
                                </a:lnTo>
                                <a:lnTo>
                                  <a:pt x="509803" y="164757"/>
                                </a:lnTo>
                                <a:lnTo>
                                  <a:pt x="482460" y="131546"/>
                                </a:lnTo>
                                <a:lnTo>
                                  <a:pt x="449186" y="102971"/>
                                </a:lnTo>
                                <a:lnTo>
                                  <a:pt x="410857" y="79654"/>
                                </a:lnTo>
                                <a:lnTo>
                                  <a:pt x="368287" y="62217"/>
                                </a:lnTo>
                                <a:lnTo>
                                  <a:pt x="322351" y="51295"/>
                                </a:lnTo>
                                <a:lnTo>
                                  <a:pt x="273875" y="47523"/>
                                </a:lnTo>
                                <a:lnTo>
                                  <a:pt x="225399" y="51295"/>
                                </a:lnTo>
                                <a:lnTo>
                                  <a:pt x="179476" y="62217"/>
                                </a:lnTo>
                                <a:lnTo>
                                  <a:pt x="136931" y="79654"/>
                                </a:lnTo>
                                <a:lnTo>
                                  <a:pt x="98602" y="102971"/>
                                </a:lnTo>
                                <a:lnTo>
                                  <a:pt x="65366" y="131546"/>
                                </a:lnTo>
                                <a:lnTo>
                                  <a:pt x="38036" y="164757"/>
                                </a:lnTo>
                                <a:lnTo>
                                  <a:pt x="17475" y="201955"/>
                                </a:lnTo>
                                <a:lnTo>
                                  <a:pt x="4508" y="242519"/>
                                </a:lnTo>
                                <a:lnTo>
                                  <a:pt x="0" y="285838"/>
                                </a:lnTo>
                                <a:lnTo>
                                  <a:pt x="4508" y="329069"/>
                                </a:lnTo>
                                <a:lnTo>
                                  <a:pt x="17475" y="369570"/>
                                </a:lnTo>
                                <a:lnTo>
                                  <a:pt x="38036" y="406717"/>
                                </a:lnTo>
                                <a:lnTo>
                                  <a:pt x="65366" y="439889"/>
                                </a:lnTo>
                                <a:lnTo>
                                  <a:pt x="98602" y="468439"/>
                                </a:lnTo>
                                <a:lnTo>
                                  <a:pt x="136931" y="491744"/>
                                </a:lnTo>
                                <a:lnTo>
                                  <a:pt x="179476" y="509168"/>
                                </a:lnTo>
                                <a:lnTo>
                                  <a:pt x="225399" y="520090"/>
                                </a:lnTo>
                                <a:lnTo>
                                  <a:pt x="273875" y="523862"/>
                                </a:lnTo>
                                <a:lnTo>
                                  <a:pt x="322351" y="520090"/>
                                </a:lnTo>
                                <a:lnTo>
                                  <a:pt x="368287" y="509168"/>
                                </a:lnTo>
                                <a:lnTo>
                                  <a:pt x="410857" y="491744"/>
                                </a:lnTo>
                                <a:lnTo>
                                  <a:pt x="449186" y="468439"/>
                                </a:lnTo>
                                <a:lnTo>
                                  <a:pt x="482460" y="439889"/>
                                </a:lnTo>
                                <a:lnTo>
                                  <a:pt x="509803" y="406717"/>
                                </a:lnTo>
                                <a:lnTo>
                                  <a:pt x="530377" y="369570"/>
                                </a:lnTo>
                                <a:lnTo>
                                  <a:pt x="543344" y="329069"/>
                                </a:lnTo>
                                <a:lnTo>
                                  <a:pt x="547865" y="285838"/>
                                </a:lnTo>
                                <a:close/>
                              </a:path>
                              <a:path w="1392555" h="552450">
                                <a:moveTo>
                                  <a:pt x="1392351" y="0"/>
                                </a:moveTo>
                                <a:lnTo>
                                  <a:pt x="798957" y="0"/>
                                </a:lnTo>
                                <a:lnTo>
                                  <a:pt x="798957" y="552399"/>
                                </a:lnTo>
                                <a:lnTo>
                                  <a:pt x="1392351" y="552399"/>
                                </a:lnTo>
                                <a:lnTo>
                                  <a:pt x="1392351" y="0"/>
                                </a:lnTo>
                                <a:close/>
                              </a:path>
                            </a:pathLst>
                          </a:custGeom>
                          <a:solidFill>
                            <a:srgbClr val="7D443E"/>
                          </a:solidFill>
                        </wps:spPr>
                        <wps:bodyPr wrap="square" lIns="0" tIns="0" rIns="0" bIns="0" rtlCol="0">
                          <a:prstTxWarp prst="textNoShape">
                            <a:avLst/>
                          </a:prstTxWarp>
                          <a:noAutofit/>
                        </wps:bodyPr>
                      </wps:wsp>
                      <wps:wsp>
                        <wps:cNvPr id="1149" name="Graphic 1149"/>
                        <wps:cNvSpPr/>
                        <wps:spPr>
                          <a:xfrm>
                            <a:off x="1830564" y="3453950"/>
                            <a:ext cx="1883410" cy="495934"/>
                          </a:xfrm>
                          <a:custGeom>
                            <a:avLst/>
                            <a:gdLst/>
                            <a:ahLst/>
                            <a:cxnLst/>
                            <a:rect l="l" t="t" r="r" b="b"/>
                            <a:pathLst>
                              <a:path w="1883410" h="495934">
                                <a:moveTo>
                                  <a:pt x="91327" y="495365"/>
                                </a:moveTo>
                                <a:lnTo>
                                  <a:pt x="0" y="495365"/>
                                </a:lnTo>
                              </a:path>
                              <a:path w="1883410" h="495934">
                                <a:moveTo>
                                  <a:pt x="194157" y="495365"/>
                                </a:moveTo>
                                <a:lnTo>
                                  <a:pt x="114103" y="495365"/>
                                </a:lnTo>
                              </a:path>
                              <a:path w="1883410" h="495934">
                                <a:moveTo>
                                  <a:pt x="308374" y="495365"/>
                                </a:moveTo>
                                <a:lnTo>
                                  <a:pt x="216932" y="495365"/>
                                </a:lnTo>
                              </a:path>
                              <a:path w="1883410" h="495934">
                                <a:moveTo>
                                  <a:pt x="422249" y="495365"/>
                                </a:moveTo>
                                <a:lnTo>
                                  <a:pt x="331149" y="495365"/>
                                </a:lnTo>
                              </a:path>
                              <a:path w="1883410" h="495934">
                                <a:moveTo>
                                  <a:pt x="525078" y="495365"/>
                                </a:moveTo>
                                <a:lnTo>
                                  <a:pt x="445252" y="495365"/>
                                </a:lnTo>
                              </a:path>
                              <a:path w="1883410" h="495934">
                                <a:moveTo>
                                  <a:pt x="639181" y="495365"/>
                                </a:moveTo>
                                <a:lnTo>
                                  <a:pt x="547854" y="495365"/>
                                </a:lnTo>
                              </a:path>
                              <a:path w="1883410" h="495934">
                                <a:moveTo>
                                  <a:pt x="753398" y="495365"/>
                                </a:moveTo>
                                <a:lnTo>
                                  <a:pt x="661957" y="495365"/>
                                </a:lnTo>
                              </a:path>
                              <a:path w="1883410" h="495934">
                                <a:moveTo>
                                  <a:pt x="1882927" y="0"/>
                                </a:moveTo>
                                <a:lnTo>
                                  <a:pt x="1882927" y="219010"/>
                                </a:lnTo>
                              </a:path>
                            </a:pathLst>
                          </a:custGeom>
                          <a:ln w="10450">
                            <a:solidFill>
                              <a:srgbClr val="23201D"/>
                            </a:solidFill>
                            <a:prstDash val="solid"/>
                          </a:ln>
                        </wps:spPr>
                        <wps:bodyPr wrap="square" lIns="0" tIns="0" rIns="0" bIns="0" rtlCol="0">
                          <a:prstTxWarp prst="textNoShape">
                            <a:avLst/>
                          </a:prstTxWarp>
                          <a:noAutofit/>
                        </wps:bodyPr>
                      </wps:wsp>
                      <wps:wsp>
                        <wps:cNvPr id="1150" name="Graphic 1150"/>
                        <wps:cNvSpPr/>
                        <wps:spPr>
                          <a:xfrm>
                            <a:off x="3690717" y="3672961"/>
                            <a:ext cx="45720" cy="38100"/>
                          </a:xfrm>
                          <a:custGeom>
                            <a:avLst/>
                            <a:gdLst/>
                            <a:ahLst/>
                            <a:cxnLst/>
                            <a:rect l="l" t="t" r="r" b="b"/>
                            <a:pathLst>
                              <a:path w="45720" h="38100">
                                <a:moveTo>
                                  <a:pt x="45550" y="0"/>
                                </a:moveTo>
                                <a:lnTo>
                                  <a:pt x="11387" y="0"/>
                                </a:lnTo>
                                <a:lnTo>
                                  <a:pt x="0" y="0"/>
                                </a:lnTo>
                                <a:lnTo>
                                  <a:pt x="22775" y="38039"/>
                                </a:lnTo>
                                <a:lnTo>
                                  <a:pt x="45550" y="0"/>
                                </a:lnTo>
                                <a:close/>
                              </a:path>
                            </a:pathLst>
                          </a:custGeom>
                          <a:solidFill>
                            <a:srgbClr val="23282B"/>
                          </a:solidFill>
                        </wps:spPr>
                        <wps:bodyPr wrap="square" lIns="0" tIns="0" rIns="0" bIns="0" rtlCol="0">
                          <a:prstTxWarp prst="textNoShape">
                            <a:avLst/>
                          </a:prstTxWarp>
                          <a:noAutofit/>
                        </wps:bodyPr>
                      </wps:wsp>
                      <wps:wsp>
                        <wps:cNvPr id="1151" name="Graphic 1151"/>
                        <wps:cNvSpPr/>
                        <wps:spPr>
                          <a:xfrm>
                            <a:off x="3713492" y="4187346"/>
                            <a:ext cx="1270" cy="95250"/>
                          </a:xfrm>
                          <a:custGeom>
                            <a:avLst/>
                            <a:gdLst/>
                            <a:ahLst/>
                            <a:cxnLst/>
                            <a:rect l="l" t="t" r="r" b="b"/>
                            <a:pathLst>
                              <a:path w="0" h="95250">
                                <a:moveTo>
                                  <a:pt x="0" y="0"/>
                                </a:moveTo>
                                <a:lnTo>
                                  <a:pt x="0" y="95098"/>
                                </a:lnTo>
                              </a:path>
                            </a:pathLst>
                          </a:custGeom>
                          <a:ln w="11389">
                            <a:solidFill>
                              <a:srgbClr val="23201D"/>
                            </a:solidFill>
                            <a:prstDash val="solid"/>
                          </a:ln>
                        </wps:spPr>
                        <wps:bodyPr wrap="square" lIns="0" tIns="0" rIns="0" bIns="0" rtlCol="0">
                          <a:prstTxWarp prst="textNoShape">
                            <a:avLst/>
                          </a:prstTxWarp>
                          <a:noAutofit/>
                        </wps:bodyPr>
                      </wps:wsp>
                      <wps:wsp>
                        <wps:cNvPr id="1152" name="Graphic 1152"/>
                        <wps:cNvSpPr/>
                        <wps:spPr>
                          <a:xfrm>
                            <a:off x="3690714" y="3930020"/>
                            <a:ext cx="548005" cy="362585"/>
                          </a:xfrm>
                          <a:custGeom>
                            <a:avLst/>
                            <a:gdLst/>
                            <a:ahLst/>
                            <a:cxnLst/>
                            <a:rect l="l" t="t" r="r" b="b"/>
                            <a:pathLst>
                              <a:path w="548005" h="362585">
                                <a:moveTo>
                                  <a:pt x="45542" y="333413"/>
                                </a:moveTo>
                                <a:lnTo>
                                  <a:pt x="11379" y="333413"/>
                                </a:lnTo>
                                <a:lnTo>
                                  <a:pt x="0" y="333413"/>
                                </a:lnTo>
                                <a:lnTo>
                                  <a:pt x="22771" y="362229"/>
                                </a:lnTo>
                                <a:lnTo>
                                  <a:pt x="45542" y="333413"/>
                                </a:lnTo>
                                <a:close/>
                              </a:path>
                              <a:path w="548005" h="362585">
                                <a:moveTo>
                                  <a:pt x="547852" y="19304"/>
                                </a:moveTo>
                                <a:lnTo>
                                  <a:pt x="502297" y="0"/>
                                </a:lnTo>
                                <a:lnTo>
                                  <a:pt x="502297" y="28816"/>
                                </a:lnTo>
                                <a:lnTo>
                                  <a:pt x="502297" y="38315"/>
                                </a:lnTo>
                                <a:lnTo>
                                  <a:pt x="547852" y="19304"/>
                                </a:lnTo>
                                <a:close/>
                              </a:path>
                            </a:pathLst>
                          </a:custGeom>
                          <a:solidFill>
                            <a:srgbClr val="23282B"/>
                          </a:solidFill>
                        </wps:spPr>
                        <wps:bodyPr wrap="square" lIns="0" tIns="0" rIns="0" bIns="0" rtlCol="0">
                          <a:prstTxWarp prst="textNoShape">
                            <a:avLst/>
                          </a:prstTxWarp>
                          <a:noAutofit/>
                        </wps:bodyPr>
                      </wps:wsp>
                      <wps:wsp>
                        <wps:cNvPr id="1153" name="Graphic 1153"/>
                        <wps:cNvSpPr/>
                        <wps:spPr>
                          <a:xfrm>
                            <a:off x="3987475" y="3949316"/>
                            <a:ext cx="2419985" cy="314325"/>
                          </a:xfrm>
                          <a:custGeom>
                            <a:avLst/>
                            <a:gdLst/>
                            <a:ahLst/>
                            <a:cxnLst/>
                            <a:rect l="l" t="t" r="r" b="b"/>
                            <a:pathLst>
                              <a:path w="2419985" h="314325">
                                <a:moveTo>
                                  <a:pt x="0" y="0"/>
                                </a:moveTo>
                                <a:lnTo>
                                  <a:pt x="205544" y="0"/>
                                </a:lnTo>
                              </a:path>
                              <a:path w="2419985" h="314325">
                                <a:moveTo>
                                  <a:pt x="935599" y="0"/>
                                </a:moveTo>
                                <a:lnTo>
                                  <a:pt x="855886" y="0"/>
                                </a:lnTo>
                              </a:path>
                              <a:path w="2419985" h="314325">
                                <a:moveTo>
                                  <a:pt x="1049816" y="0"/>
                                </a:moveTo>
                                <a:lnTo>
                                  <a:pt x="958602" y="0"/>
                                </a:lnTo>
                              </a:path>
                              <a:path w="2419985" h="314325">
                                <a:moveTo>
                                  <a:pt x="1163919" y="0"/>
                                </a:moveTo>
                                <a:lnTo>
                                  <a:pt x="1072591" y="0"/>
                                </a:lnTo>
                              </a:path>
                              <a:path w="2419985" h="314325">
                                <a:moveTo>
                                  <a:pt x="1266748" y="0"/>
                                </a:moveTo>
                                <a:lnTo>
                                  <a:pt x="1186694" y="0"/>
                                </a:lnTo>
                              </a:path>
                              <a:path w="2419985" h="314325">
                                <a:moveTo>
                                  <a:pt x="1380965" y="0"/>
                                </a:moveTo>
                                <a:lnTo>
                                  <a:pt x="1289523" y="0"/>
                                </a:lnTo>
                              </a:path>
                              <a:path w="2419985" h="314325">
                                <a:moveTo>
                                  <a:pt x="1494840" y="0"/>
                                </a:moveTo>
                                <a:lnTo>
                                  <a:pt x="1403740" y="0"/>
                                </a:lnTo>
                              </a:path>
                              <a:path w="2419985" h="314325">
                                <a:moveTo>
                                  <a:pt x="1631832" y="0"/>
                                </a:moveTo>
                                <a:lnTo>
                                  <a:pt x="1540618" y="0"/>
                                </a:lnTo>
                              </a:path>
                              <a:path w="2419985" h="314325">
                                <a:moveTo>
                                  <a:pt x="1734548" y="0"/>
                                </a:moveTo>
                                <a:lnTo>
                                  <a:pt x="1643220" y="0"/>
                                </a:lnTo>
                              </a:path>
                              <a:path w="2419985" h="314325">
                                <a:moveTo>
                                  <a:pt x="1848765" y="0"/>
                                </a:moveTo>
                                <a:lnTo>
                                  <a:pt x="1757323" y="0"/>
                                </a:lnTo>
                              </a:path>
                              <a:path w="2419985" h="314325">
                                <a:moveTo>
                                  <a:pt x="1962640" y="0"/>
                                </a:moveTo>
                                <a:lnTo>
                                  <a:pt x="1871540" y="0"/>
                                </a:lnTo>
                              </a:path>
                              <a:path w="2419985" h="314325">
                                <a:moveTo>
                                  <a:pt x="2065469" y="0"/>
                                </a:moveTo>
                                <a:lnTo>
                                  <a:pt x="1974255" y="0"/>
                                </a:lnTo>
                              </a:path>
                              <a:path w="2419985" h="314325">
                                <a:moveTo>
                                  <a:pt x="2179572" y="0"/>
                                </a:moveTo>
                                <a:lnTo>
                                  <a:pt x="2088245" y="0"/>
                                </a:lnTo>
                              </a:path>
                              <a:path w="2419985" h="314325">
                                <a:moveTo>
                                  <a:pt x="2305177" y="0"/>
                                </a:moveTo>
                                <a:lnTo>
                                  <a:pt x="2213735" y="0"/>
                                </a:lnTo>
                              </a:path>
                              <a:path w="2419985" h="314325">
                                <a:moveTo>
                                  <a:pt x="2419394" y="0"/>
                                </a:moveTo>
                                <a:lnTo>
                                  <a:pt x="2327952" y="0"/>
                                </a:lnTo>
                              </a:path>
                              <a:path w="2419985" h="314325">
                                <a:moveTo>
                                  <a:pt x="1095594" y="85588"/>
                                </a:moveTo>
                                <a:lnTo>
                                  <a:pt x="1095594" y="257050"/>
                                </a:lnTo>
                              </a:path>
                              <a:path w="2419985" h="314325">
                                <a:moveTo>
                                  <a:pt x="1095594" y="85588"/>
                                </a:moveTo>
                                <a:lnTo>
                                  <a:pt x="867274" y="85588"/>
                                </a:lnTo>
                              </a:path>
                              <a:path w="2419985" h="314325">
                                <a:moveTo>
                                  <a:pt x="148265" y="314108"/>
                                </a:moveTo>
                                <a:lnTo>
                                  <a:pt x="935599" y="314108"/>
                                </a:lnTo>
                              </a:path>
                            </a:pathLst>
                          </a:custGeom>
                          <a:ln w="10450">
                            <a:solidFill>
                              <a:srgbClr val="23201D"/>
                            </a:solidFill>
                            <a:prstDash val="solid"/>
                          </a:ln>
                        </wps:spPr>
                        <wps:bodyPr wrap="square" lIns="0" tIns="0" rIns="0" bIns="0" rtlCol="0">
                          <a:prstTxWarp prst="textNoShape">
                            <a:avLst/>
                          </a:prstTxWarp>
                          <a:noAutofit/>
                        </wps:bodyPr>
                      </wps:wsp>
                      <wps:wsp>
                        <wps:cNvPr id="1154" name="Graphic 1154"/>
                        <wps:cNvSpPr/>
                        <wps:spPr>
                          <a:xfrm>
                            <a:off x="3987475" y="3949316"/>
                            <a:ext cx="45720" cy="38100"/>
                          </a:xfrm>
                          <a:custGeom>
                            <a:avLst/>
                            <a:gdLst/>
                            <a:ahLst/>
                            <a:cxnLst/>
                            <a:rect l="l" t="t" r="r" b="b"/>
                            <a:pathLst>
                              <a:path w="45720" h="38100">
                                <a:moveTo>
                                  <a:pt x="0" y="0"/>
                                </a:moveTo>
                                <a:lnTo>
                                  <a:pt x="11387" y="38039"/>
                                </a:lnTo>
                                <a:lnTo>
                                  <a:pt x="34162" y="28529"/>
                                </a:lnTo>
                                <a:lnTo>
                                  <a:pt x="45550" y="19019"/>
                                </a:lnTo>
                                <a:lnTo>
                                  <a:pt x="0" y="0"/>
                                </a:lnTo>
                                <a:close/>
                              </a:path>
                            </a:pathLst>
                          </a:custGeom>
                          <a:solidFill>
                            <a:srgbClr val="23282B"/>
                          </a:solidFill>
                        </wps:spPr>
                        <wps:bodyPr wrap="square" lIns="0" tIns="0" rIns="0" bIns="0" rtlCol="0">
                          <a:prstTxWarp prst="textNoShape">
                            <a:avLst/>
                          </a:prstTxWarp>
                          <a:noAutofit/>
                        </wps:bodyPr>
                      </wps:wsp>
                      <wps:wsp>
                        <wps:cNvPr id="1155" name="Graphic 1155"/>
                        <wps:cNvSpPr/>
                        <wps:spPr>
                          <a:xfrm>
                            <a:off x="4010251" y="3977845"/>
                            <a:ext cx="125730" cy="285750"/>
                          </a:xfrm>
                          <a:custGeom>
                            <a:avLst/>
                            <a:gdLst/>
                            <a:ahLst/>
                            <a:cxnLst/>
                            <a:rect l="l" t="t" r="r" b="b"/>
                            <a:pathLst>
                              <a:path w="125730" h="285750">
                                <a:moveTo>
                                  <a:pt x="125490" y="285579"/>
                                </a:moveTo>
                                <a:lnTo>
                                  <a:pt x="0" y="0"/>
                                </a:lnTo>
                              </a:path>
                            </a:pathLst>
                          </a:custGeom>
                          <a:ln w="11085">
                            <a:solidFill>
                              <a:srgbClr val="23201D"/>
                            </a:solidFill>
                            <a:prstDash val="solid"/>
                          </a:ln>
                        </wps:spPr>
                        <wps:bodyPr wrap="square" lIns="0" tIns="0" rIns="0" bIns="0" rtlCol="0">
                          <a:prstTxWarp prst="textNoShape">
                            <a:avLst/>
                          </a:prstTxWarp>
                          <a:noAutofit/>
                        </wps:bodyPr>
                      </wps:wsp>
                      <wps:wsp>
                        <wps:cNvPr id="1156" name="Graphic 1156"/>
                        <wps:cNvSpPr/>
                        <wps:spPr>
                          <a:xfrm>
                            <a:off x="3428231" y="4272946"/>
                            <a:ext cx="822325" cy="267335"/>
                          </a:xfrm>
                          <a:custGeom>
                            <a:avLst/>
                            <a:gdLst/>
                            <a:ahLst/>
                            <a:cxnLst/>
                            <a:rect l="l" t="t" r="r" b="b"/>
                            <a:pathLst>
                              <a:path w="822325" h="267335">
                                <a:moveTo>
                                  <a:pt x="45770" y="19304"/>
                                </a:moveTo>
                                <a:lnTo>
                                  <a:pt x="0" y="0"/>
                                </a:lnTo>
                                <a:lnTo>
                                  <a:pt x="0" y="28803"/>
                                </a:lnTo>
                                <a:lnTo>
                                  <a:pt x="0" y="47828"/>
                                </a:lnTo>
                                <a:lnTo>
                                  <a:pt x="45770" y="19304"/>
                                </a:lnTo>
                                <a:close/>
                              </a:path>
                              <a:path w="822325" h="267335">
                                <a:moveTo>
                                  <a:pt x="821715" y="228803"/>
                                </a:moveTo>
                                <a:lnTo>
                                  <a:pt x="787552" y="247815"/>
                                </a:lnTo>
                                <a:lnTo>
                                  <a:pt x="821715" y="266839"/>
                                </a:lnTo>
                                <a:lnTo>
                                  <a:pt x="821715" y="238315"/>
                                </a:lnTo>
                                <a:lnTo>
                                  <a:pt x="821715" y="228803"/>
                                </a:lnTo>
                                <a:close/>
                              </a:path>
                            </a:pathLst>
                          </a:custGeom>
                          <a:solidFill>
                            <a:srgbClr val="23282B"/>
                          </a:solidFill>
                        </wps:spPr>
                        <wps:bodyPr wrap="square" lIns="0" tIns="0" rIns="0" bIns="0" rtlCol="0">
                          <a:prstTxWarp prst="textNoShape">
                            <a:avLst/>
                          </a:prstTxWarp>
                          <a:noAutofit/>
                        </wps:bodyPr>
                      </wps:wsp>
                      <wps:wsp>
                        <wps:cNvPr id="1157" name="Graphic 1157"/>
                        <wps:cNvSpPr/>
                        <wps:spPr>
                          <a:xfrm>
                            <a:off x="2823442" y="4149307"/>
                            <a:ext cx="2099945" cy="371475"/>
                          </a:xfrm>
                          <a:custGeom>
                            <a:avLst/>
                            <a:gdLst/>
                            <a:ahLst/>
                            <a:cxnLst/>
                            <a:rect l="l" t="t" r="r" b="b"/>
                            <a:pathLst>
                              <a:path w="2099945" h="371475">
                                <a:moveTo>
                                  <a:pt x="0" y="0"/>
                                </a:moveTo>
                                <a:lnTo>
                                  <a:pt x="0" y="152442"/>
                                </a:lnTo>
                              </a:path>
                              <a:path w="2099945" h="371475">
                                <a:moveTo>
                                  <a:pt x="0" y="142932"/>
                                </a:moveTo>
                                <a:lnTo>
                                  <a:pt x="627566" y="142932"/>
                                </a:lnTo>
                              </a:path>
                              <a:path w="2099945" h="371475">
                                <a:moveTo>
                                  <a:pt x="1392353" y="371453"/>
                                </a:moveTo>
                                <a:lnTo>
                                  <a:pt x="2099632" y="371453"/>
                                </a:lnTo>
                              </a:path>
                            </a:pathLst>
                          </a:custGeom>
                          <a:ln w="10450">
                            <a:solidFill>
                              <a:srgbClr val="23201D"/>
                            </a:solidFill>
                            <a:prstDash val="solid"/>
                          </a:ln>
                        </wps:spPr>
                        <wps:bodyPr wrap="square" lIns="0" tIns="0" rIns="0" bIns="0" rtlCol="0">
                          <a:prstTxWarp prst="textNoShape">
                            <a:avLst/>
                          </a:prstTxWarp>
                          <a:noAutofit/>
                        </wps:bodyPr>
                      </wps:wsp>
                      <wps:wsp>
                        <wps:cNvPr id="1158" name="Graphic 1158"/>
                        <wps:cNvSpPr/>
                        <wps:spPr>
                          <a:xfrm>
                            <a:off x="4831975" y="4015884"/>
                            <a:ext cx="45720" cy="38100"/>
                          </a:xfrm>
                          <a:custGeom>
                            <a:avLst/>
                            <a:gdLst/>
                            <a:ahLst/>
                            <a:cxnLst/>
                            <a:rect l="l" t="t" r="r" b="b"/>
                            <a:pathLst>
                              <a:path w="45720" h="38100">
                                <a:moveTo>
                                  <a:pt x="45550" y="0"/>
                                </a:moveTo>
                                <a:lnTo>
                                  <a:pt x="0" y="19019"/>
                                </a:lnTo>
                                <a:lnTo>
                                  <a:pt x="45550" y="38039"/>
                                </a:lnTo>
                                <a:lnTo>
                                  <a:pt x="45550" y="9509"/>
                                </a:lnTo>
                                <a:lnTo>
                                  <a:pt x="45550" y="0"/>
                                </a:lnTo>
                                <a:close/>
                              </a:path>
                            </a:pathLst>
                          </a:custGeom>
                          <a:solidFill>
                            <a:srgbClr val="23282B"/>
                          </a:solidFill>
                        </wps:spPr>
                        <wps:bodyPr wrap="square" lIns="0" tIns="0" rIns="0" bIns="0" rtlCol="0">
                          <a:prstTxWarp prst="textNoShape">
                            <a:avLst/>
                          </a:prstTxWarp>
                          <a:noAutofit/>
                        </wps:bodyPr>
                      </wps:wsp>
                      <wps:wsp>
                        <wps:cNvPr id="1159" name="Graphic 1159"/>
                        <wps:cNvSpPr/>
                        <wps:spPr>
                          <a:xfrm>
                            <a:off x="2823442" y="4730261"/>
                            <a:ext cx="708025" cy="304800"/>
                          </a:xfrm>
                          <a:custGeom>
                            <a:avLst/>
                            <a:gdLst/>
                            <a:ahLst/>
                            <a:cxnLst/>
                            <a:rect l="l" t="t" r="r" b="b"/>
                            <a:pathLst>
                              <a:path w="708025" h="304800">
                                <a:moveTo>
                                  <a:pt x="0" y="0"/>
                                </a:moveTo>
                                <a:lnTo>
                                  <a:pt x="707507" y="0"/>
                                </a:lnTo>
                              </a:path>
                              <a:path w="708025" h="304800">
                                <a:moveTo>
                                  <a:pt x="0" y="0"/>
                                </a:moveTo>
                                <a:lnTo>
                                  <a:pt x="0" y="304789"/>
                                </a:lnTo>
                              </a:path>
                            </a:pathLst>
                          </a:custGeom>
                          <a:ln w="10450">
                            <a:solidFill>
                              <a:srgbClr val="23201D"/>
                            </a:solidFill>
                            <a:prstDash val="solid"/>
                          </a:ln>
                        </wps:spPr>
                        <wps:bodyPr wrap="square" lIns="0" tIns="0" rIns="0" bIns="0" rtlCol="0">
                          <a:prstTxWarp prst="textNoShape">
                            <a:avLst/>
                          </a:prstTxWarp>
                          <a:noAutofit/>
                        </wps:bodyPr>
                      </wps:wsp>
                      <wps:wsp>
                        <wps:cNvPr id="1160" name="Graphic 1160"/>
                        <wps:cNvSpPr/>
                        <wps:spPr>
                          <a:xfrm>
                            <a:off x="2800668" y="5035050"/>
                            <a:ext cx="45720" cy="38100"/>
                          </a:xfrm>
                          <a:custGeom>
                            <a:avLst/>
                            <a:gdLst/>
                            <a:ahLst/>
                            <a:cxnLst/>
                            <a:rect l="l" t="t" r="r" b="b"/>
                            <a:pathLst>
                              <a:path w="45720" h="38100">
                                <a:moveTo>
                                  <a:pt x="45550" y="0"/>
                                </a:moveTo>
                                <a:lnTo>
                                  <a:pt x="11387" y="0"/>
                                </a:lnTo>
                                <a:lnTo>
                                  <a:pt x="0" y="0"/>
                                </a:lnTo>
                                <a:lnTo>
                                  <a:pt x="22775" y="38039"/>
                                </a:lnTo>
                                <a:lnTo>
                                  <a:pt x="45550" y="0"/>
                                </a:lnTo>
                                <a:close/>
                              </a:path>
                            </a:pathLst>
                          </a:custGeom>
                          <a:solidFill>
                            <a:srgbClr val="23282B"/>
                          </a:solidFill>
                        </wps:spPr>
                        <wps:bodyPr wrap="square" lIns="0" tIns="0" rIns="0" bIns="0" rtlCol="0">
                          <a:prstTxWarp prst="textNoShape">
                            <a:avLst/>
                          </a:prstTxWarp>
                          <a:noAutofit/>
                        </wps:bodyPr>
                      </wps:wsp>
                      <wps:wsp>
                        <wps:cNvPr id="1161" name="Graphic 1161"/>
                        <wps:cNvSpPr/>
                        <wps:spPr>
                          <a:xfrm>
                            <a:off x="3736267" y="4739771"/>
                            <a:ext cx="1270" cy="847725"/>
                          </a:xfrm>
                          <a:custGeom>
                            <a:avLst/>
                            <a:gdLst/>
                            <a:ahLst/>
                            <a:cxnLst/>
                            <a:rect l="l" t="t" r="r" b="b"/>
                            <a:pathLst>
                              <a:path w="0" h="847725">
                                <a:moveTo>
                                  <a:pt x="0" y="847704"/>
                                </a:moveTo>
                                <a:lnTo>
                                  <a:pt x="0" y="0"/>
                                </a:lnTo>
                              </a:path>
                            </a:pathLst>
                          </a:custGeom>
                          <a:ln w="11389">
                            <a:solidFill>
                              <a:srgbClr val="23201D"/>
                            </a:solidFill>
                            <a:prstDash val="solid"/>
                          </a:ln>
                        </wps:spPr>
                        <wps:bodyPr wrap="square" lIns="0" tIns="0" rIns="0" bIns="0" rtlCol="0">
                          <a:prstTxWarp prst="textNoShape">
                            <a:avLst/>
                          </a:prstTxWarp>
                          <a:noAutofit/>
                        </wps:bodyPr>
                      </wps:wsp>
                      <wps:wsp>
                        <wps:cNvPr id="1162" name="Graphic 1162"/>
                        <wps:cNvSpPr/>
                        <wps:spPr>
                          <a:xfrm>
                            <a:off x="3713492" y="5587475"/>
                            <a:ext cx="46355" cy="28575"/>
                          </a:xfrm>
                          <a:custGeom>
                            <a:avLst/>
                            <a:gdLst/>
                            <a:ahLst/>
                            <a:cxnLst/>
                            <a:rect l="l" t="t" r="r" b="b"/>
                            <a:pathLst>
                              <a:path w="46355" h="28575">
                                <a:moveTo>
                                  <a:pt x="45891" y="0"/>
                                </a:moveTo>
                                <a:lnTo>
                                  <a:pt x="11387" y="0"/>
                                </a:lnTo>
                                <a:lnTo>
                                  <a:pt x="0" y="0"/>
                                </a:lnTo>
                                <a:lnTo>
                                  <a:pt x="22775" y="28529"/>
                                </a:lnTo>
                                <a:lnTo>
                                  <a:pt x="45891" y="0"/>
                                </a:lnTo>
                                <a:close/>
                              </a:path>
                            </a:pathLst>
                          </a:custGeom>
                          <a:solidFill>
                            <a:srgbClr val="23282B"/>
                          </a:solidFill>
                        </wps:spPr>
                        <wps:bodyPr wrap="square" lIns="0" tIns="0" rIns="0" bIns="0" rtlCol="0">
                          <a:prstTxWarp prst="textNoShape">
                            <a:avLst/>
                          </a:prstTxWarp>
                          <a:noAutofit/>
                        </wps:bodyPr>
                      </wps:wsp>
                      <wps:wsp>
                        <wps:cNvPr id="1163" name="Graphic 1163"/>
                        <wps:cNvSpPr/>
                        <wps:spPr>
                          <a:xfrm>
                            <a:off x="3987475" y="4787320"/>
                            <a:ext cx="935990" cy="810260"/>
                          </a:xfrm>
                          <a:custGeom>
                            <a:avLst/>
                            <a:gdLst/>
                            <a:ahLst/>
                            <a:cxnLst/>
                            <a:rect l="l" t="t" r="r" b="b"/>
                            <a:pathLst>
                              <a:path w="935990" h="810260">
                                <a:moveTo>
                                  <a:pt x="285257" y="0"/>
                                </a:moveTo>
                                <a:lnTo>
                                  <a:pt x="935599" y="0"/>
                                </a:lnTo>
                              </a:path>
                              <a:path w="935990" h="810260">
                                <a:moveTo>
                                  <a:pt x="285257" y="0"/>
                                </a:moveTo>
                                <a:lnTo>
                                  <a:pt x="0" y="809664"/>
                                </a:lnTo>
                              </a:path>
                            </a:pathLst>
                          </a:custGeom>
                          <a:ln w="10450">
                            <a:solidFill>
                              <a:srgbClr val="23201D"/>
                            </a:solidFill>
                            <a:prstDash val="solid"/>
                          </a:ln>
                        </wps:spPr>
                        <wps:bodyPr wrap="square" lIns="0" tIns="0" rIns="0" bIns="0" rtlCol="0">
                          <a:prstTxWarp prst="textNoShape">
                            <a:avLst/>
                          </a:prstTxWarp>
                          <a:noAutofit/>
                        </wps:bodyPr>
                      </wps:wsp>
                      <wps:wsp>
                        <wps:cNvPr id="1164" name="Graphic 1164"/>
                        <wps:cNvSpPr/>
                        <wps:spPr>
                          <a:xfrm>
                            <a:off x="3964587" y="5577965"/>
                            <a:ext cx="45720" cy="38100"/>
                          </a:xfrm>
                          <a:custGeom>
                            <a:avLst/>
                            <a:gdLst/>
                            <a:ahLst/>
                            <a:cxnLst/>
                            <a:rect l="l" t="t" r="r" b="b"/>
                            <a:pathLst>
                              <a:path w="45720" h="38100">
                                <a:moveTo>
                                  <a:pt x="0" y="0"/>
                                </a:moveTo>
                                <a:lnTo>
                                  <a:pt x="0" y="38039"/>
                                </a:lnTo>
                                <a:lnTo>
                                  <a:pt x="11501" y="28529"/>
                                </a:lnTo>
                                <a:lnTo>
                                  <a:pt x="34276" y="28529"/>
                                </a:lnTo>
                                <a:lnTo>
                                  <a:pt x="45663" y="19019"/>
                                </a:lnTo>
                                <a:lnTo>
                                  <a:pt x="0" y="0"/>
                                </a:lnTo>
                                <a:close/>
                              </a:path>
                            </a:pathLst>
                          </a:custGeom>
                          <a:solidFill>
                            <a:srgbClr val="23282B"/>
                          </a:solidFill>
                        </wps:spPr>
                        <wps:bodyPr wrap="square" lIns="0" tIns="0" rIns="0" bIns="0" rtlCol="0">
                          <a:prstTxWarp prst="textNoShape">
                            <a:avLst/>
                          </a:prstTxWarp>
                          <a:noAutofit/>
                        </wps:bodyPr>
                      </wps:wsp>
                      <wps:wsp>
                        <wps:cNvPr id="1165" name="Graphic 1165"/>
                        <wps:cNvSpPr/>
                        <wps:spPr>
                          <a:xfrm>
                            <a:off x="4238571" y="4959000"/>
                            <a:ext cx="593725" cy="552450"/>
                          </a:xfrm>
                          <a:custGeom>
                            <a:avLst/>
                            <a:gdLst/>
                            <a:ahLst/>
                            <a:cxnLst/>
                            <a:rect l="l" t="t" r="r" b="b"/>
                            <a:pathLst>
                              <a:path w="593725" h="552450">
                                <a:moveTo>
                                  <a:pt x="593392" y="0"/>
                                </a:moveTo>
                                <a:lnTo>
                                  <a:pt x="0" y="0"/>
                                </a:lnTo>
                                <a:lnTo>
                                  <a:pt x="0" y="552396"/>
                                </a:lnTo>
                                <a:lnTo>
                                  <a:pt x="593392" y="552396"/>
                                </a:lnTo>
                                <a:lnTo>
                                  <a:pt x="593392" y="0"/>
                                </a:lnTo>
                                <a:close/>
                              </a:path>
                            </a:pathLst>
                          </a:custGeom>
                          <a:solidFill>
                            <a:srgbClr val="7D443E"/>
                          </a:solidFill>
                        </wps:spPr>
                        <wps:bodyPr wrap="square" lIns="0" tIns="0" rIns="0" bIns="0" rtlCol="0">
                          <a:prstTxWarp prst="textNoShape">
                            <a:avLst/>
                          </a:prstTxWarp>
                          <a:noAutofit/>
                        </wps:bodyPr>
                      </wps:wsp>
                      <wps:wsp>
                        <wps:cNvPr id="1166" name="Graphic 1166"/>
                        <wps:cNvSpPr/>
                        <wps:spPr>
                          <a:xfrm>
                            <a:off x="4204408" y="5549436"/>
                            <a:ext cx="205740" cy="286385"/>
                          </a:xfrm>
                          <a:custGeom>
                            <a:avLst/>
                            <a:gdLst/>
                            <a:ahLst/>
                            <a:cxnLst/>
                            <a:rect l="l" t="t" r="r" b="b"/>
                            <a:pathLst>
                              <a:path w="205740" h="286385">
                                <a:moveTo>
                                  <a:pt x="0" y="285864"/>
                                </a:moveTo>
                                <a:lnTo>
                                  <a:pt x="205317" y="285864"/>
                                </a:lnTo>
                              </a:path>
                              <a:path w="205740" h="286385">
                                <a:moveTo>
                                  <a:pt x="205317" y="0"/>
                                </a:moveTo>
                                <a:lnTo>
                                  <a:pt x="205317" y="285864"/>
                                </a:lnTo>
                              </a:path>
                            </a:pathLst>
                          </a:custGeom>
                          <a:ln w="10450">
                            <a:solidFill>
                              <a:srgbClr val="23201D"/>
                            </a:solidFill>
                            <a:prstDash val="solid"/>
                          </a:ln>
                        </wps:spPr>
                        <wps:bodyPr wrap="square" lIns="0" tIns="0" rIns="0" bIns="0" rtlCol="0">
                          <a:prstTxWarp prst="textNoShape">
                            <a:avLst/>
                          </a:prstTxWarp>
                          <a:noAutofit/>
                        </wps:bodyPr>
                      </wps:wsp>
                      <wps:wsp>
                        <wps:cNvPr id="1167" name="Graphic 1167"/>
                        <wps:cNvSpPr/>
                        <wps:spPr>
                          <a:xfrm>
                            <a:off x="3428231" y="5511399"/>
                            <a:ext cx="1004569" cy="124460"/>
                          </a:xfrm>
                          <a:custGeom>
                            <a:avLst/>
                            <a:gdLst/>
                            <a:ahLst/>
                            <a:cxnLst/>
                            <a:rect l="l" t="t" r="r" b="b"/>
                            <a:pathLst>
                              <a:path w="1004569" h="124460">
                                <a:moveTo>
                                  <a:pt x="45770" y="104609"/>
                                </a:moveTo>
                                <a:lnTo>
                                  <a:pt x="0" y="85598"/>
                                </a:lnTo>
                                <a:lnTo>
                                  <a:pt x="0" y="114122"/>
                                </a:lnTo>
                                <a:lnTo>
                                  <a:pt x="0" y="123913"/>
                                </a:lnTo>
                                <a:lnTo>
                                  <a:pt x="45770" y="104609"/>
                                </a:lnTo>
                                <a:close/>
                              </a:path>
                              <a:path w="1004569" h="124460">
                                <a:moveTo>
                                  <a:pt x="1004265" y="38049"/>
                                </a:moveTo>
                                <a:lnTo>
                                  <a:pt x="981494" y="0"/>
                                </a:lnTo>
                                <a:lnTo>
                                  <a:pt x="958710" y="38049"/>
                                </a:lnTo>
                                <a:lnTo>
                                  <a:pt x="992873" y="38049"/>
                                </a:lnTo>
                                <a:lnTo>
                                  <a:pt x="1004265" y="38049"/>
                                </a:lnTo>
                                <a:close/>
                              </a:path>
                            </a:pathLst>
                          </a:custGeom>
                          <a:solidFill>
                            <a:srgbClr val="23282B"/>
                          </a:solidFill>
                        </wps:spPr>
                        <wps:bodyPr wrap="square" lIns="0" tIns="0" rIns="0" bIns="0" rtlCol="0">
                          <a:prstTxWarp prst="textNoShape">
                            <a:avLst/>
                          </a:prstTxWarp>
                          <a:noAutofit/>
                        </wps:bodyPr>
                      </wps:wsp>
                      <wps:wsp>
                        <wps:cNvPr id="1168" name="Graphic 1168"/>
                        <wps:cNvSpPr/>
                        <wps:spPr>
                          <a:xfrm>
                            <a:off x="2823442" y="5473357"/>
                            <a:ext cx="628015" cy="142875"/>
                          </a:xfrm>
                          <a:custGeom>
                            <a:avLst/>
                            <a:gdLst/>
                            <a:ahLst/>
                            <a:cxnLst/>
                            <a:rect l="l" t="t" r="r" b="b"/>
                            <a:pathLst>
                              <a:path w="628015" h="142875">
                                <a:moveTo>
                                  <a:pt x="0" y="0"/>
                                </a:moveTo>
                                <a:lnTo>
                                  <a:pt x="0" y="142647"/>
                                </a:lnTo>
                              </a:path>
                              <a:path w="628015" h="142875">
                                <a:moveTo>
                                  <a:pt x="0" y="142647"/>
                                </a:moveTo>
                                <a:lnTo>
                                  <a:pt x="627566" y="142647"/>
                                </a:lnTo>
                              </a:path>
                            </a:pathLst>
                          </a:custGeom>
                          <a:ln w="10450">
                            <a:solidFill>
                              <a:srgbClr val="23201D"/>
                            </a:solidFill>
                            <a:prstDash val="solid"/>
                          </a:ln>
                        </wps:spPr>
                        <wps:bodyPr wrap="square" lIns="0" tIns="0" rIns="0" bIns="0" rtlCol="0">
                          <a:prstTxWarp prst="textNoShape">
                            <a:avLst/>
                          </a:prstTxWarp>
                          <a:noAutofit/>
                        </wps:bodyPr>
                      </wps:wsp>
                      <wps:wsp>
                        <wps:cNvPr id="1169" name="Graphic 1169"/>
                        <wps:cNvSpPr/>
                        <wps:spPr>
                          <a:xfrm>
                            <a:off x="2777892" y="1615609"/>
                            <a:ext cx="45720" cy="38100"/>
                          </a:xfrm>
                          <a:custGeom>
                            <a:avLst/>
                            <a:gdLst/>
                            <a:ahLst/>
                            <a:cxnLst/>
                            <a:rect l="l" t="t" r="r" b="b"/>
                            <a:pathLst>
                              <a:path w="45720" h="38100">
                                <a:moveTo>
                                  <a:pt x="0" y="0"/>
                                </a:moveTo>
                                <a:lnTo>
                                  <a:pt x="0" y="28529"/>
                                </a:lnTo>
                                <a:lnTo>
                                  <a:pt x="0" y="38039"/>
                                </a:lnTo>
                                <a:lnTo>
                                  <a:pt x="45550" y="19019"/>
                                </a:lnTo>
                                <a:lnTo>
                                  <a:pt x="0" y="0"/>
                                </a:lnTo>
                                <a:close/>
                              </a:path>
                            </a:pathLst>
                          </a:custGeom>
                          <a:solidFill>
                            <a:srgbClr val="23282B"/>
                          </a:solidFill>
                        </wps:spPr>
                        <wps:bodyPr wrap="square" lIns="0" tIns="0" rIns="0" bIns="0" rtlCol="0">
                          <a:prstTxWarp prst="textNoShape">
                            <a:avLst/>
                          </a:prstTxWarp>
                          <a:noAutofit/>
                        </wps:bodyPr>
                      </wps:wsp>
                      <wps:wsp>
                        <wps:cNvPr id="1170" name="Graphic 1170"/>
                        <wps:cNvSpPr/>
                        <wps:spPr>
                          <a:xfrm>
                            <a:off x="1830564" y="624878"/>
                            <a:ext cx="4462145" cy="4639310"/>
                          </a:xfrm>
                          <a:custGeom>
                            <a:avLst/>
                            <a:gdLst/>
                            <a:ahLst/>
                            <a:cxnLst/>
                            <a:rect l="l" t="t" r="r" b="b"/>
                            <a:pathLst>
                              <a:path w="4462145" h="4639310">
                                <a:moveTo>
                                  <a:pt x="981491" y="0"/>
                                </a:moveTo>
                                <a:lnTo>
                                  <a:pt x="1415128" y="0"/>
                                </a:lnTo>
                              </a:path>
                              <a:path w="4462145" h="4639310">
                                <a:moveTo>
                                  <a:pt x="981491" y="0"/>
                                </a:moveTo>
                                <a:lnTo>
                                  <a:pt x="981491" y="495365"/>
                                </a:lnTo>
                              </a:path>
                              <a:path w="4462145" h="4639310">
                                <a:moveTo>
                                  <a:pt x="91327" y="4638693"/>
                                </a:moveTo>
                                <a:lnTo>
                                  <a:pt x="0" y="4638693"/>
                                </a:lnTo>
                              </a:path>
                              <a:path w="4462145" h="4639310">
                                <a:moveTo>
                                  <a:pt x="194157" y="4638693"/>
                                </a:moveTo>
                                <a:lnTo>
                                  <a:pt x="114103" y="4638693"/>
                                </a:lnTo>
                              </a:path>
                              <a:path w="4462145" h="4639310">
                                <a:moveTo>
                                  <a:pt x="308374" y="4638693"/>
                                </a:moveTo>
                                <a:lnTo>
                                  <a:pt x="216932" y="4638693"/>
                                </a:lnTo>
                              </a:path>
                              <a:path w="4462145" h="4639310">
                                <a:moveTo>
                                  <a:pt x="422249" y="4638693"/>
                                </a:moveTo>
                                <a:lnTo>
                                  <a:pt x="331149" y="4638693"/>
                                </a:lnTo>
                              </a:path>
                              <a:path w="4462145" h="4639310">
                                <a:moveTo>
                                  <a:pt x="525078" y="4638693"/>
                                </a:moveTo>
                                <a:lnTo>
                                  <a:pt x="445252" y="4638693"/>
                                </a:lnTo>
                              </a:path>
                              <a:path w="4462145" h="4639310">
                                <a:moveTo>
                                  <a:pt x="639181" y="4638693"/>
                                </a:moveTo>
                                <a:lnTo>
                                  <a:pt x="547854" y="4638693"/>
                                </a:lnTo>
                              </a:path>
                              <a:path w="4462145" h="4639310">
                                <a:moveTo>
                                  <a:pt x="753398" y="4638693"/>
                                </a:moveTo>
                                <a:lnTo>
                                  <a:pt x="661957" y="4638693"/>
                                </a:lnTo>
                              </a:path>
                              <a:path w="4462145" h="4639310">
                                <a:moveTo>
                                  <a:pt x="1312298" y="4638693"/>
                                </a:moveTo>
                                <a:lnTo>
                                  <a:pt x="1221198" y="4638693"/>
                                </a:lnTo>
                              </a:path>
                              <a:path w="4462145" h="4639310">
                                <a:moveTo>
                                  <a:pt x="1415128" y="4638693"/>
                                </a:moveTo>
                                <a:lnTo>
                                  <a:pt x="1323686" y="4638693"/>
                                </a:lnTo>
                              </a:path>
                              <a:path w="4462145" h="4639310">
                                <a:moveTo>
                                  <a:pt x="1529345" y="4638693"/>
                                </a:moveTo>
                                <a:lnTo>
                                  <a:pt x="1437903" y="4638693"/>
                                </a:lnTo>
                              </a:path>
                              <a:path w="4462145" h="4639310">
                                <a:moveTo>
                                  <a:pt x="1620445" y="4638693"/>
                                </a:moveTo>
                                <a:lnTo>
                                  <a:pt x="1552120" y="4638693"/>
                                </a:lnTo>
                              </a:path>
                              <a:path w="4462145" h="4639310">
                                <a:moveTo>
                                  <a:pt x="3092511" y="4638693"/>
                                </a:moveTo>
                                <a:lnTo>
                                  <a:pt x="3012798" y="4638693"/>
                                </a:lnTo>
                              </a:path>
                              <a:path w="4462145" h="4639310">
                                <a:moveTo>
                                  <a:pt x="3206728" y="4638693"/>
                                </a:moveTo>
                                <a:lnTo>
                                  <a:pt x="3126901" y="4638693"/>
                                </a:lnTo>
                              </a:path>
                              <a:path w="4462145" h="4639310">
                                <a:moveTo>
                                  <a:pt x="3320831" y="4638693"/>
                                </a:moveTo>
                                <a:lnTo>
                                  <a:pt x="3229503" y="4638693"/>
                                </a:lnTo>
                              </a:path>
                              <a:path w="4462145" h="4639310">
                                <a:moveTo>
                                  <a:pt x="3435048" y="4638693"/>
                                </a:moveTo>
                                <a:lnTo>
                                  <a:pt x="3343606" y="4638693"/>
                                </a:lnTo>
                              </a:path>
                              <a:path w="4462145" h="4639310">
                                <a:moveTo>
                                  <a:pt x="3537877" y="4638693"/>
                                </a:moveTo>
                                <a:lnTo>
                                  <a:pt x="3457823" y="4638693"/>
                                </a:lnTo>
                              </a:path>
                              <a:path w="4462145" h="4639310">
                                <a:moveTo>
                                  <a:pt x="3651752" y="4638693"/>
                                </a:moveTo>
                                <a:lnTo>
                                  <a:pt x="3560652" y="4638693"/>
                                </a:lnTo>
                              </a:path>
                              <a:path w="4462145" h="4639310">
                                <a:moveTo>
                                  <a:pt x="3788744" y="4638693"/>
                                </a:moveTo>
                                <a:lnTo>
                                  <a:pt x="3697530" y="4638693"/>
                                </a:lnTo>
                              </a:path>
                              <a:path w="4462145" h="4639310">
                                <a:moveTo>
                                  <a:pt x="3902847" y="4638693"/>
                                </a:moveTo>
                                <a:lnTo>
                                  <a:pt x="3811519" y="4638693"/>
                                </a:lnTo>
                              </a:path>
                              <a:path w="4462145" h="4639310">
                                <a:moveTo>
                                  <a:pt x="4005677" y="4638693"/>
                                </a:moveTo>
                                <a:lnTo>
                                  <a:pt x="3914235" y="4638693"/>
                                </a:lnTo>
                              </a:path>
                              <a:path w="4462145" h="4639310">
                                <a:moveTo>
                                  <a:pt x="4119552" y="4638693"/>
                                </a:moveTo>
                                <a:lnTo>
                                  <a:pt x="4028452" y="4638693"/>
                                </a:lnTo>
                              </a:path>
                              <a:path w="4462145" h="4639310">
                                <a:moveTo>
                                  <a:pt x="4233769" y="4638693"/>
                                </a:moveTo>
                                <a:lnTo>
                                  <a:pt x="4142669" y="4638693"/>
                                </a:lnTo>
                              </a:path>
                              <a:path w="4462145" h="4639310">
                                <a:moveTo>
                                  <a:pt x="4336484" y="4638693"/>
                                </a:moveTo>
                                <a:lnTo>
                                  <a:pt x="4245156" y="4638693"/>
                                </a:lnTo>
                              </a:path>
                              <a:path w="4462145" h="4639310">
                                <a:moveTo>
                                  <a:pt x="4462089" y="4638693"/>
                                </a:moveTo>
                                <a:lnTo>
                                  <a:pt x="4382034" y="4638693"/>
                                </a:lnTo>
                              </a:path>
                              <a:path w="4462145" h="4639310">
                                <a:moveTo>
                                  <a:pt x="1734548" y="4638693"/>
                                </a:moveTo>
                                <a:lnTo>
                                  <a:pt x="1654835" y="4638693"/>
                                </a:lnTo>
                              </a:path>
                              <a:path w="4462145" h="4639310">
                                <a:moveTo>
                                  <a:pt x="1848765" y="4638693"/>
                                </a:moveTo>
                                <a:lnTo>
                                  <a:pt x="1757323" y="4638693"/>
                                </a:lnTo>
                              </a:path>
                              <a:path w="4462145" h="4639310">
                                <a:moveTo>
                                  <a:pt x="2008532" y="4638693"/>
                                </a:moveTo>
                                <a:lnTo>
                                  <a:pt x="1928819" y="4638693"/>
                                </a:lnTo>
                              </a:path>
                              <a:path w="4462145" h="4639310">
                                <a:moveTo>
                                  <a:pt x="2099860" y="4638693"/>
                                </a:moveTo>
                                <a:lnTo>
                                  <a:pt x="2031307" y="4638693"/>
                                </a:lnTo>
                              </a:path>
                              <a:path w="4462145" h="4639310">
                                <a:moveTo>
                                  <a:pt x="2225464" y="4638693"/>
                                </a:moveTo>
                                <a:lnTo>
                                  <a:pt x="2134022" y="4638693"/>
                                </a:lnTo>
                              </a:path>
                              <a:path w="4462145" h="4639310">
                                <a:moveTo>
                                  <a:pt x="2339340" y="4638693"/>
                                </a:moveTo>
                                <a:lnTo>
                                  <a:pt x="2248239" y="4638693"/>
                                </a:lnTo>
                              </a:path>
                            </a:pathLst>
                          </a:custGeom>
                          <a:ln w="10450">
                            <a:solidFill>
                              <a:srgbClr val="23201D"/>
                            </a:solidFill>
                            <a:prstDash val="solid"/>
                          </a:ln>
                        </wps:spPr>
                        <wps:bodyPr wrap="square" lIns="0" tIns="0" rIns="0" bIns="0" rtlCol="0">
                          <a:prstTxWarp prst="textNoShape">
                            <a:avLst/>
                          </a:prstTxWarp>
                          <a:noAutofit/>
                        </wps:bodyPr>
                      </wps:wsp>
                      <wps:wsp>
                        <wps:cNvPr id="1171" name="Graphic 1171"/>
                        <wps:cNvSpPr/>
                        <wps:spPr>
                          <a:xfrm>
                            <a:off x="4112964" y="3358672"/>
                            <a:ext cx="775970" cy="2933700"/>
                          </a:xfrm>
                          <a:custGeom>
                            <a:avLst/>
                            <a:gdLst/>
                            <a:ahLst/>
                            <a:cxnLst/>
                            <a:rect l="l" t="t" r="r" b="b"/>
                            <a:pathLst>
                              <a:path w="775970" h="2933700">
                                <a:moveTo>
                                  <a:pt x="741781" y="47548"/>
                                </a:moveTo>
                                <a:lnTo>
                                  <a:pt x="433628" y="47548"/>
                                </a:lnTo>
                                <a:lnTo>
                                  <a:pt x="433628" y="0"/>
                                </a:lnTo>
                                <a:lnTo>
                                  <a:pt x="273977" y="95288"/>
                                </a:lnTo>
                                <a:lnTo>
                                  <a:pt x="433628" y="190474"/>
                                </a:lnTo>
                                <a:lnTo>
                                  <a:pt x="433628" y="142836"/>
                                </a:lnTo>
                                <a:lnTo>
                                  <a:pt x="741781" y="142836"/>
                                </a:lnTo>
                                <a:lnTo>
                                  <a:pt x="741781" y="47548"/>
                                </a:lnTo>
                                <a:close/>
                              </a:path>
                              <a:path w="775970" h="2933700">
                                <a:moveTo>
                                  <a:pt x="775944" y="2838526"/>
                                </a:moveTo>
                                <a:lnTo>
                                  <a:pt x="638949" y="2743162"/>
                                </a:lnTo>
                                <a:lnTo>
                                  <a:pt x="638949" y="2790964"/>
                                </a:lnTo>
                                <a:lnTo>
                                  <a:pt x="0" y="2790964"/>
                                </a:lnTo>
                                <a:lnTo>
                                  <a:pt x="0" y="2886075"/>
                                </a:lnTo>
                                <a:lnTo>
                                  <a:pt x="638949" y="2886075"/>
                                </a:lnTo>
                                <a:lnTo>
                                  <a:pt x="638949" y="2933636"/>
                                </a:lnTo>
                                <a:lnTo>
                                  <a:pt x="775944" y="2838526"/>
                                </a:lnTo>
                                <a:close/>
                              </a:path>
                            </a:pathLst>
                          </a:custGeom>
                          <a:solidFill>
                            <a:srgbClr val="3A2378"/>
                          </a:solidFill>
                        </wps:spPr>
                        <wps:bodyPr wrap="square" lIns="0" tIns="0" rIns="0" bIns="0" rtlCol="0">
                          <a:prstTxWarp prst="textNoShape">
                            <a:avLst/>
                          </a:prstTxWarp>
                          <a:noAutofit/>
                        </wps:bodyPr>
                      </wps:wsp>
                      <wps:wsp>
                        <wps:cNvPr id="1172" name="Graphic 1172"/>
                        <wps:cNvSpPr/>
                        <wps:spPr>
                          <a:xfrm>
                            <a:off x="4238571" y="6092322"/>
                            <a:ext cx="525145" cy="248285"/>
                          </a:xfrm>
                          <a:custGeom>
                            <a:avLst/>
                            <a:gdLst/>
                            <a:ahLst/>
                            <a:cxnLst/>
                            <a:rect l="l" t="t" r="r" b="b"/>
                            <a:pathLst>
                              <a:path w="525145" h="248285">
                                <a:moveTo>
                                  <a:pt x="262482" y="0"/>
                                </a:moveTo>
                                <a:lnTo>
                                  <a:pt x="201258" y="3368"/>
                                </a:lnTo>
                                <a:lnTo>
                                  <a:pt x="145605" y="12913"/>
                                </a:lnTo>
                                <a:lnTo>
                                  <a:pt x="96927" y="27795"/>
                                </a:lnTo>
                                <a:lnTo>
                                  <a:pt x="56625" y="47173"/>
                                </a:lnTo>
                                <a:lnTo>
                                  <a:pt x="26101" y="70208"/>
                                </a:lnTo>
                                <a:lnTo>
                                  <a:pt x="0" y="123884"/>
                                </a:lnTo>
                                <a:lnTo>
                                  <a:pt x="6759" y="151713"/>
                                </a:lnTo>
                                <a:lnTo>
                                  <a:pt x="56625" y="200602"/>
                                </a:lnTo>
                                <a:lnTo>
                                  <a:pt x="96927" y="219981"/>
                                </a:lnTo>
                                <a:lnTo>
                                  <a:pt x="145605" y="234863"/>
                                </a:lnTo>
                                <a:lnTo>
                                  <a:pt x="201258" y="244409"/>
                                </a:lnTo>
                                <a:lnTo>
                                  <a:pt x="262482" y="247777"/>
                                </a:lnTo>
                                <a:lnTo>
                                  <a:pt x="320144" y="244409"/>
                                </a:lnTo>
                                <a:lnTo>
                                  <a:pt x="374383" y="234863"/>
                                </a:lnTo>
                                <a:lnTo>
                                  <a:pt x="423215" y="219981"/>
                                </a:lnTo>
                                <a:lnTo>
                                  <a:pt x="464652" y="200602"/>
                                </a:lnTo>
                                <a:lnTo>
                                  <a:pt x="496708" y="177566"/>
                                </a:lnTo>
                                <a:lnTo>
                                  <a:pt x="524737" y="123884"/>
                                </a:lnTo>
                                <a:lnTo>
                                  <a:pt x="517399" y="96058"/>
                                </a:lnTo>
                                <a:lnTo>
                                  <a:pt x="464652" y="47173"/>
                                </a:lnTo>
                                <a:lnTo>
                                  <a:pt x="423215" y="27795"/>
                                </a:lnTo>
                                <a:lnTo>
                                  <a:pt x="374383" y="12913"/>
                                </a:lnTo>
                                <a:lnTo>
                                  <a:pt x="320144" y="3368"/>
                                </a:lnTo>
                                <a:lnTo>
                                  <a:pt x="262482" y="0"/>
                                </a:lnTo>
                                <a:close/>
                              </a:path>
                            </a:pathLst>
                          </a:custGeom>
                          <a:solidFill>
                            <a:srgbClr val="7D443E"/>
                          </a:solidFill>
                        </wps:spPr>
                        <wps:bodyPr wrap="square" lIns="0" tIns="0" rIns="0" bIns="0" rtlCol="0">
                          <a:prstTxWarp prst="textNoShape">
                            <a:avLst/>
                          </a:prstTxWarp>
                          <a:noAutofit/>
                        </wps:bodyPr>
                      </wps:wsp>
                      <wps:wsp>
                        <wps:cNvPr id="1173" name="Graphic 1173"/>
                        <wps:cNvSpPr/>
                        <wps:spPr>
                          <a:xfrm>
                            <a:off x="1807789" y="15204"/>
                            <a:ext cx="4667885" cy="6534784"/>
                          </a:xfrm>
                          <a:custGeom>
                            <a:avLst/>
                            <a:gdLst/>
                            <a:ahLst/>
                            <a:cxnLst/>
                            <a:rect l="l" t="t" r="r" b="b"/>
                            <a:pathLst>
                              <a:path w="4667885" h="6534784">
                                <a:moveTo>
                                  <a:pt x="4507639" y="5991501"/>
                                </a:moveTo>
                                <a:lnTo>
                                  <a:pt x="4587352" y="5991501"/>
                                </a:lnTo>
                              </a:path>
                              <a:path w="4667885" h="6534784">
                                <a:moveTo>
                                  <a:pt x="3126901" y="2619571"/>
                                </a:moveTo>
                                <a:lnTo>
                                  <a:pt x="3035573" y="2619571"/>
                                </a:lnTo>
                              </a:path>
                              <a:path w="4667885" h="6534784">
                                <a:moveTo>
                                  <a:pt x="4621856" y="0"/>
                                </a:moveTo>
                                <a:lnTo>
                                  <a:pt x="4667406" y="0"/>
                                </a:lnTo>
                              </a:path>
                              <a:path w="4667885" h="6534784">
                                <a:moveTo>
                                  <a:pt x="0" y="9509"/>
                                </a:moveTo>
                                <a:lnTo>
                                  <a:pt x="194157" y="9509"/>
                                </a:lnTo>
                              </a:path>
                              <a:path w="4667885" h="6534784">
                                <a:moveTo>
                                  <a:pt x="251095" y="9509"/>
                                </a:moveTo>
                                <a:lnTo>
                                  <a:pt x="445024" y="9509"/>
                                </a:lnTo>
                              </a:path>
                              <a:path w="4667885" h="6534784">
                                <a:moveTo>
                                  <a:pt x="513691" y="9509"/>
                                </a:moveTo>
                                <a:lnTo>
                                  <a:pt x="696119" y="9509"/>
                                </a:lnTo>
                              </a:path>
                              <a:path w="4667885" h="6534784">
                                <a:moveTo>
                                  <a:pt x="764786" y="9509"/>
                                </a:moveTo>
                                <a:lnTo>
                                  <a:pt x="958716" y="9509"/>
                                </a:lnTo>
                              </a:path>
                              <a:path w="4667885" h="6534784">
                                <a:moveTo>
                                  <a:pt x="1015653" y="9509"/>
                                </a:moveTo>
                                <a:lnTo>
                                  <a:pt x="1209811" y="9509"/>
                                </a:lnTo>
                              </a:path>
                              <a:path w="4667885" h="6534784">
                                <a:moveTo>
                                  <a:pt x="1278136" y="9509"/>
                                </a:moveTo>
                                <a:lnTo>
                                  <a:pt x="1472065" y="9509"/>
                                </a:lnTo>
                              </a:path>
                              <a:path w="4667885" h="6534784">
                                <a:moveTo>
                                  <a:pt x="1529345" y="9509"/>
                                </a:moveTo>
                                <a:lnTo>
                                  <a:pt x="1723160" y="9509"/>
                                </a:lnTo>
                              </a:path>
                              <a:path w="4667885" h="6534784">
                                <a:moveTo>
                                  <a:pt x="1780098" y="9509"/>
                                </a:moveTo>
                                <a:lnTo>
                                  <a:pt x="1974369" y="9509"/>
                                </a:lnTo>
                              </a:path>
                              <a:path w="4667885" h="6534784">
                                <a:moveTo>
                                  <a:pt x="2042694" y="9509"/>
                                </a:moveTo>
                                <a:lnTo>
                                  <a:pt x="2236852" y="9509"/>
                                </a:lnTo>
                              </a:path>
                              <a:path w="4667885" h="6534784">
                                <a:moveTo>
                                  <a:pt x="2293789" y="9509"/>
                                </a:moveTo>
                                <a:lnTo>
                                  <a:pt x="2487719" y="9509"/>
                                </a:lnTo>
                              </a:path>
                              <a:path w="4667885" h="6534784">
                                <a:moveTo>
                                  <a:pt x="2556386" y="9509"/>
                                </a:moveTo>
                                <a:lnTo>
                                  <a:pt x="2738814" y="9509"/>
                                </a:lnTo>
                              </a:path>
                              <a:path w="4667885" h="6534784">
                                <a:moveTo>
                                  <a:pt x="2807253" y="9509"/>
                                </a:moveTo>
                                <a:lnTo>
                                  <a:pt x="3001410" y="9509"/>
                                </a:lnTo>
                              </a:path>
                              <a:path w="4667885" h="6534784">
                                <a:moveTo>
                                  <a:pt x="3058348" y="9509"/>
                                </a:moveTo>
                                <a:lnTo>
                                  <a:pt x="3252278" y="9509"/>
                                </a:lnTo>
                              </a:path>
                              <a:path w="4667885" h="6534784">
                                <a:moveTo>
                                  <a:pt x="3320831" y="9509"/>
                                </a:moveTo>
                                <a:lnTo>
                                  <a:pt x="3514760" y="9509"/>
                                </a:lnTo>
                              </a:path>
                              <a:path w="4667885" h="6534784">
                                <a:moveTo>
                                  <a:pt x="3572039" y="9509"/>
                                </a:moveTo>
                                <a:lnTo>
                                  <a:pt x="3765855" y="9509"/>
                                </a:lnTo>
                              </a:path>
                              <a:path w="4667885" h="6534784">
                                <a:moveTo>
                                  <a:pt x="3834294" y="9509"/>
                                </a:moveTo>
                                <a:lnTo>
                                  <a:pt x="4017064" y="9509"/>
                                </a:lnTo>
                              </a:path>
                              <a:path w="4667885" h="6534784">
                                <a:moveTo>
                                  <a:pt x="4085389" y="9509"/>
                                </a:moveTo>
                                <a:lnTo>
                                  <a:pt x="4279319" y="9509"/>
                                </a:lnTo>
                              </a:path>
                              <a:path w="4667885" h="6534784">
                                <a:moveTo>
                                  <a:pt x="4336484" y="9509"/>
                                </a:moveTo>
                                <a:lnTo>
                                  <a:pt x="4530414" y="9509"/>
                                </a:lnTo>
                              </a:path>
                              <a:path w="4667885" h="6534784">
                                <a:moveTo>
                                  <a:pt x="4644631" y="9509"/>
                                </a:moveTo>
                                <a:lnTo>
                                  <a:pt x="4644631" y="161951"/>
                                </a:lnTo>
                              </a:path>
                              <a:path w="4667885" h="6534784">
                                <a:moveTo>
                                  <a:pt x="4644631" y="314394"/>
                                </a:moveTo>
                                <a:lnTo>
                                  <a:pt x="4644631" y="476346"/>
                                </a:lnTo>
                              </a:path>
                              <a:path w="4667885" h="6534784">
                                <a:moveTo>
                                  <a:pt x="4644631" y="628788"/>
                                </a:moveTo>
                                <a:lnTo>
                                  <a:pt x="4644631" y="790645"/>
                                </a:lnTo>
                              </a:path>
                              <a:path w="4667885" h="6534784">
                                <a:moveTo>
                                  <a:pt x="4644631" y="943087"/>
                                </a:moveTo>
                                <a:lnTo>
                                  <a:pt x="4644631" y="1105039"/>
                                </a:lnTo>
                              </a:path>
                              <a:path w="4667885" h="6534784">
                                <a:moveTo>
                                  <a:pt x="4644631" y="1257481"/>
                                </a:moveTo>
                                <a:lnTo>
                                  <a:pt x="4644631" y="1419433"/>
                                </a:lnTo>
                              </a:path>
                              <a:path w="4667885" h="6534784">
                                <a:moveTo>
                                  <a:pt x="4644631" y="1571590"/>
                                </a:moveTo>
                                <a:lnTo>
                                  <a:pt x="4644631" y="1733542"/>
                                </a:lnTo>
                              </a:path>
                              <a:path w="4667885" h="6534784">
                                <a:moveTo>
                                  <a:pt x="4644631" y="1885984"/>
                                </a:moveTo>
                                <a:lnTo>
                                  <a:pt x="4644631" y="2047936"/>
                                </a:lnTo>
                              </a:path>
                              <a:path w="4667885" h="6534784">
                                <a:moveTo>
                                  <a:pt x="4644631" y="2200378"/>
                                </a:moveTo>
                                <a:lnTo>
                                  <a:pt x="4644631" y="2362235"/>
                                </a:lnTo>
                              </a:path>
                              <a:path w="4667885" h="6534784">
                                <a:moveTo>
                                  <a:pt x="4644631" y="2514677"/>
                                </a:moveTo>
                                <a:lnTo>
                                  <a:pt x="4644631" y="2676629"/>
                                </a:lnTo>
                              </a:path>
                              <a:path w="4667885" h="6534784">
                                <a:moveTo>
                                  <a:pt x="4644631" y="2829072"/>
                                </a:moveTo>
                                <a:lnTo>
                                  <a:pt x="4644631" y="2991024"/>
                                </a:lnTo>
                              </a:path>
                              <a:path w="4667885" h="6534784">
                                <a:moveTo>
                                  <a:pt x="4644631" y="3143466"/>
                                </a:moveTo>
                                <a:lnTo>
                                  <a:pt x="4644631" y="3305323"/>
                                </a:lnTo>
                              </a:path>
                              <a:path w="4667885" h="6534784">
                                <a:moveTo>
                                  <a:pt x="4644631" y="3457765"/>
                                </a:moveTo>
                                <a:lnTo>
                                  <a:pt x="4644631" y="3619717"/>
                                </a:lnTo>
                              </a:path>
                              <a:path w="4667885" h="6534784">
                                <a:moveTo>
                                  <a:pt x="4644631" y="3772159"/>
                                </a:moveTo>
                                <a:lnTo>
                                  <a:pt x="4644631" y="3934111"/>
                                </a:lnTo>
                              </a:path>
                              <a:path w="4667885" h="6534784">
                                <a:moveTo>
                                  <a:pt x="4644631" y="4086268"/>
                                </a:moveTo>
                                <a:lnTo>
                                  <a:pt x="4644631" y="4248220"/>
                                </a:lnTo>
                              </a:path>
                              <a:path w="4667885" h="6534784">
                                <a:moveTo>
                                  <a:pt x="4644631" y="4400662"/>
                                </a:moveTo>
                                <a:lnTo>
                                  <a:pt x="4644631" y="4553104"/>
                                </a:lnTo>
                              </a:path>
                              <a:path w="4667885" h="6534784">
                                <a:moveTo>
                                  <a:pt x="4644631" y="4715056"/>
                                </a:moveTo>
                                <a:lnTo>
                                  <a:pt x="4644631" y="4867403"/>
                                </a:lnTo>
                              </a:path>
                              <a:path w="4667885" h="6534784">
                                <a:moveTo>
                                  <a:pt x="4644631" y="5029355"/>
                                </a:moveTo>
                                <a:lnTo>
                                  <a:pt x="4644631" y="5181798"/>
                                </a:lnTo>
                              </a:path>
                              <a:path w="4667885" h="6534784">
                                <a:moveTo>
                                  <a:pt x="4644631" y="5334240"/>
                                </a:moveTo>
                                <a:lnTo>
                                  <a:pt x="4644631" y="5496192"/>
                                </a:lnTo>
                              </a:path>
                              <a:path w="4667885" h="6534784">
                                <a:moveTo>
                                  <a:pt x="4644631" y="5648634"/>
                                </a:moveTo>
                                <a:lnTo>
                                  <a:pt x="4644631" y="5810586"/>
                                </a:lnTo>
                              </a:path>
                              <a:path w="4667885" h="6534784">
                                <a:moveTo>
                                  <a:pt x="4644631" y="5962971"/>
                                </a:moveTo>
                                <a:lnTo>
                                  <a:pt x="4644631" y="6124904"/>
                                </a:lnTo>
                              </a:path>
                              <a:path w="4667885" h="6534784">
                                <a:moveTo>
                                  <a:pt x="4644631" y="6277099"/>
                                </a:moveTo>
                                <a:lnTo>
                                  <a:pt x="4644631" y="6439042"/>
                                </a:lnTo>
                              </a:path>
                              <a:path w="4667885" h="6534784">
                                <a:moveTo>
                                  <a:pt x="0" y="6534396"/>
                                </a:moveTo>
                                <a:lnTo>
                                  <a:pt x="194157" y="6534396"/>
                                </a:lnTo>
                              </a:path>
                              <a:path w="4667885" h="6534784">
                                <a:moveTo>
                                  <a:pt x="251095" y="6534396"/>
                                </a:moveTo>
                                <a:lnTo>
                                  <a:pt x="445024" y="6534396"/>
                                </a:lnTo>
                              </a:path>
                              <a:path w="4667885" h="6534784">
                                <a:moveTo>
                                  <a:pt x="513691" y="6534396"/>
                                </a:moveTo>
                                <a:lnTo>
                                  <a:pt x="696119" y="6534396"/>
                                </a:lnTo>
                              </a:path>
                              <a:path w="4667885" h="6534784">
                                <a:moveTo>
                                  <a:pt x="764786" y="6534396"/>
                                </a:moveTo>
                                <a:lnTo>
                                  <a:pt x="958716" y="6534396"/>
                                </a:lnTo>
                              </a:path>
                              <a:path w="4667885" h="6534784">
                                <a:moveTo>
                                  <a:pt x="1015653" y="6534396"/>
                                </a:moveTo>
                                <a:lnTo>
                                  <a:pt x="1209811" y="6534396"/>
                                </a:lnTo>
                              </a:path>
                              <a:path w="4667885" h="6534784">
                                <a:moveTo>
                                  <a:pt x="1278136" y="6534396"/>
                                </a:moveTo>
                                <a:lnTo>
                                  <a:pt x="1472065" y="6534396"/>
                                </a:lnTo>
                              </a:path>
                              <a:path w="4667885" h="6534784">
                                <a:moveTo>
                                  <a:pt x="1529345" y="6534396"/>
                                </a:moveTo>
                                <a:lnTo>
                                  <a:pt x="1723160" y="6534396"/>
                                </a:lnTo>
                              </a:path>
                              <a:path w="4667885" h="6534784">
                                <a:moveTo>
                                  <a:pt x="1780098" y="6534396"/>
                                </a:moveTo>
                                <a:lnTo>
                                  <a:pt x="1974369" y="6534396"/>
                                </a:lnTo>
                              </a:path>
                              <a:path w="4667885" h="6534784">
                                <a:moveTo>
                                  <a:pt x="2042694" y="6534396"/>
                                </a:moveTo>
                                <a:lnTo>
                                  <a:pt x="2236852" y="6534396"/>
                                </a:lnTo>
                              </a:path>
                              <a:path w="4667885" h="6534784">
                                <a:moveTo>
                                  <a:pt x="2293789" y="6534396"/>
                                </a:moveTo>
                                <a:lnTo>
                                  <a:pt x="2487719" y="6534396"/>
                                </a:lnTo>
                              </a:path>
                              <a:path w="4667885" h="6534784">
                                <a:moveTo>
                                  <a:pt x="2556386" y="6534396"/>
                                </a:moveTo>
                                <a:lnTo>
                                  <a:pt x="2738814" y="6534396"/>
                                </a:lnTo>
                              </a:path>
                              <a:path w="4667885" h="6534784">
                                <a:moveTo>
                                  <a:pt x="2807253" y="6534396"/>
                                </a:moveTo>
                                <a:lnTo>
                                  <a:pt x="3001410" y="6534396"/>
                                </a:lnTo>
                              </a:path>
                              <a:path w="4667885" h="6534784">
                                <a:moveTo>
                                  <a:pt x="3058348" y="6534396"/>
                                </a:moveTo>
                                <a:lnTo>
                                  <a:pt x="3252278" y="6534396"/>
                                </a:lnTo>
                              </a:path>
                              <a:path w="4667885" h="6534784">
                                <a:moveTo>
                                  <a:pt x="3320831" y="6534396"/>
                                </a:moveTo>
                                <a:lnTo>
                                  <a:pt x="3514760" y="6534396"/>
                                </a:lnTo>
                              </a:path>
                              <a:path w="4667885" h="6534784">
                                <a:moveTo>
                                  <a:pt x="3572039" y="6534396"/>
                                </a:moveTo>
                                <a:lnTo>
                                  <a:pt x="3765855" y="6534396"/>
                                </a:lnTo>
                              </a:path>
                              <a:path w="4667885" h="6534784">
                                <a:moveTo>
                                  <a:pt x="3834294" y="6534396"/>
                                </a:moveTo>
                                <a:lnTo>
                                  <a:pt x="4017064" y="6534396"/>
                                </a:lnTo>
                              </a:path>
                              <a:path w="4667885" h="6534784">
                                <a:moveTo>
                                  <a:pt x="4085389" y="6534396"/>
                                </a:moveTo>
                                <a:lnTo>
                                  <a:pt x="4279319" y="6534396"/>
                                </a:lnTo>
                              </a:path>
                              <a:path w="4667885" h="6534784">
                                <a:moveTo>
                                  <a:pt x="4336484" y="6534396"/>
                                </a:moveTo>
                                <a:lnTo>
                                  <a:pt x="4530414" y="6534396"/>
                                </a:lnTo>
                              </a:path>
                              <a:path w="4667885" h="6534784">
                                <a:moveTo>
                                  <a:pt x="4621856" y="6524877"/>
                                </a:moveTo>
                                <a:lnTo>
                                  <a:pt x="4667406" y="6524877"/>
                                </a:lnTo>
                              </a:path>
                              <a:path w="4667885" h="6534784">
                                <a:moveTo>
                                  <a:pt x="4587352" y="1238176"/>
                                </a:moveTo>
                                <a:lnTo>
                                  <a:pt x="4519026" y="1238176"/>
                                </a:lnTo>
                              </a:path>
                              <a:path w="4667885" h="6534784">
                                <a:moveTo>
                                  <a:pt x="4633243" y="1238176"/>
                                </a:moveTo>
                                <a:lnTo>
                                  <a:pt x="4610468" y="1238176"/>
                                </a:lnTo>
                              </a:path>
                              <a:path w="4667885" h="6534784">
                                <a:moveTo>
                                  <a:pt x="4644631" y="5248366"/>
                                </a:moveTo>
                                <a:lnTo>
                                  <a:pt x="4599081" y="5248366"/>
                                </a:lnTo>
                              </a:path>
                            </a:pathLst>
                          </a:custGeom>
                          <a:ln w="10450">
                            <a:solidFill>
                              <a:srgbClr val="23201D"/>
                            </a:solidFill>
                            <a:prstDash val="solid"/>
                          </a:ln>
                        </wps:spPr>
                        <wps:bodyPr wrap="square" lIns="0" tIns="0" rIns="0" bIns="0" rtlCol="0">
                          <a:prstTxWarp prst="textNoShape">
                            <a:avLst/>
                          </a:prstTxWarp>
                          <a:noAutofit/>
                        </wps:bodyPr>
                      </wps:wsp>
                      <wps:wsp>
                        <wps:cNvPr id="1174" name="Graphic 1174"/>
                        <wps:cNvSpPr/>
                        <wps:spPr>
                          <a:xfrm>
                            <a:off x="4295508" y="1215342"/>
                            <a:ext cx="46355" cy="28575"/>
                          </a:xfrm>
                          <a:custGeom>
                            <a:avLst/>
                            <a:gdLst/>
                            <a:ahLst/>
                            <a:cxnLst/>
                            <a:rect l="l" t="t" r="r" b="b"/>
                            <a:pathLst>
                              <a:path w="46355" h="28575">
                                <a:moveTo>
                                  <a:pt x="45891" y="0"/>
                                </a:moveTo>
                                <a:lnTo>
                                  <a:pt x="22775" y="0"/>
                                </a:lnTo>
                                <a:lnTo>
                                  <a:pt x="0" y="0"/>
                                </a:lnTo>
                                <a:lnTo>
                                  <a:pt x="0" y="9509"/>
                                </a:lnTo>
                                <a:lnTo>
                                  <a:pt x="1957" y="16493"/>
                                </a:lnTo>
                                <a:lnTo>
                                  <a:pt x="7117" y="22585"/>
                                </a:lnTo>
                                <a:lnTo>
                                  <a:pt x="14412" y="26894"/>
                                </a:lnTo>
                                <a:lnTo>
                                  <a:pt x="22775" y="28529"/>
                                </a:lnTo>
                                <a:lnTo>
                                  <a:pt x="31191" y="26894"/>
                                </a:lnTo>
                                <a:lnTo>
                                  <a:pt x="38603" y="22585"/>
                                </a:lnTo>
                                <a:lnTo>
                                  <a:pt x="43881" y="16493"/>
                                </a:lnTo>
                                <a:lnTo>
                                  <a:pt x="45891" y="9509"/>
                                </a:lnTo>
                                <a:lnTo>
                                  <a:pt x="45891" y="0"/>
                                </a:lnTo>
                                <a:close/>
                              </a:path>
                            </a:pathLst>
                          </a:custGeom>
                          <a:solidFill>
                            <a:srgbClr val="FFFFFF"/>
                          </a:solidFill>
                        </wps:spPr>
                        <wps:bodyPr wrap="square" lIns="0" tIns="0" rIns="0" bIns="0" rtlCol="0">
                          <a:prstTxWarp prst="textNoShape">
                            <a:avLst/>
                          </a:prstTxWarp>
                          <a:noAutofit/>
                        </wps:bodyPr>
                      </wps:wsp>
                      <wps:wsp>
                        <wps:cNvPr id="1175" name="Graphic 1175"/>
                        <wps:cNvSpPr/>
                        <wps:spPr>
                          <a:xfrm>
                            <a:off x="4295508" y="1215342"/>
                            <a:ext cx="46355" cy="28575"/>
                          </a:xfrm>
                          <a:custGeom>
                            <a:avLst/>
                            <a:gdLst/>
                            <a:ahLst/>
                            <a:cxnLst/>
                            <a:rect l="l" t="t" r="r" b="b"/>
                            <a:pathLst>
                              <a:path w="46355" h="28575">
                                <a:moveTo>
                                  <a:pt x="22775" y="0"/>
                                </a:moveTo>
                                <a:lnTo>
                                  <a:pt x="34162" y="0"/>
                                </a:lnTo>
                                <a:lnTo>
                                  <a:pt x="45891" y="0"/>
                                </a:lnTo>
                                <a:lnTo>
                                  <a:pt x="45891" y="9509"/>
                                </a:lnTo>
                                <a:lnTo>
                                  <a:pt x="43881" y="16493"/>
                                </a:lnTo>
                                <a:lnTo>
                                  <a:pt x="38603" y="22585"/>
                                </a:lnTo>
                                <a:lnTo>
                                  <a:pt x="31191" y="26894"/>
                                </a:lnTo>
                                <a:lnTo>
                                  <a:pt x="22775" y="28529"/>
                                </a:lnTo>
                                <a:lnTo>
                                  <a:pt x="14412" y="26894"/>
                                </a:lnTo>
                                <a:lnTo>
                                  <a:pt x="7117" y="22585"/>
                                </a:lnTo>
                                <a:lnTo>
                                  <a:pt x="1957" y="16493"/>
                                </a:lnTo>
                                <a:lnTo>
                                  <a:pt x="0" y="9509"/>
                                </a:lnTo>
                                <a:lnTo>
                                  <a:pt x="0" y="0"/>
                                </a:lnTo>
                                <a:lnTo>
                                  <a:pt x="11387" y="0"/>
                                </a:lnTo>
                                <a:lnTo>
                                  <a:pt x="22775" y="0"/>
                                </a:lnTo>
                                <a:close/>
                              </a:path>
                            </a:pathLst>
                          </a:custGeom>
                          <a:ln w="10035">
                            <a:solidFill>
                              <a:srgbClr val="FFFFFF"/>
                            </a:solidFill>
                            <a:prstDash val="solid"/>
                          </a:ln>
                        </wps:spPr>
                        <wps:bodyPr wrap="square" lIns="0" tIns="0" rIns="0" bIns="0" rtlCol="0">
                          <a:prstTxWarp prst="textNoShape">
                            <a:avLst/>
                          </a:prstTxWarp>
                          <a:noAutofit/>
                        </wps:bodyPr>
                      </wps:wsp>
                      <wps:wsp>
                        <wps:cNvPr id="1176" name="Graphic 1176"/>
                        <wps:cNvSpPr/>
                        <wps:spPr>
                          <a:xfrm>
                            <a:off x="4295508" y="1282196"/>
                            <a:ext cx="46355" cy="28575"/>
                          </a:xfrm>
                          <a:custGeom>
                            <a:avLst/>
                            <a:gdLst/>
                            <a:ahLst/>
                            <a:cxnLst/>
                            <a:rect l="l" t="t" r="r" b="b"/>
                            <a:pathLst>
                              <a:path w="46355" h="28575">
                                <a:moveTo>
                                  <a:pt x="45891" y="0"/>
                                </a:moveTo>
                                <a:lnTo>
                                  <a:pt x="22775" y="0"/>
                                </a:lnTo>
                                <a:lnTo>
                                  <a:pt x="0" y="0"/>
                                </a:lnTo>
                                <a:lnTo>
                                  <a:pt x="0" y="9509"/>
                                </a:lnTo>
                                <a:lnTo>
                                  <a:pt x="1957" y="16493"/>
                                </a:lnTo>
                                <a:lnTo>
                                  <a:pt x="7117" y="22585"/>
                                </a:lnTo>
                                <a:lnTo>
                                  <a:pt x="14412" y="26894"/>
                                </a:lnTo>
                                <a:lnTo>
                                  <a:pt x="22775" y="28529"/>
                                </a:lnTo>
                                <a:lnTo>
                                  <a:pt x="31191" y="26894"/>
                                </a:lnTo>
                                <a:lnTo>
                                  <a:pt x="38603" y="22585"/>
                                </a:lnTo>
                                <a:lnTo>
                                  <a:pt x="43881" y="16493"/>
                                </a:lnTo>
                                <a:lnTo>
                                  <a:pt x="45891" y="9509"/>
                                </a:lnTo>
                                <a:lnTo>
                                  <a:pt x="45891" y="0"/>
                                </a:lnTo>
                                <a:close/>
                              </a:path>
                            </a:pathLst>
                          </a:custGeom>
                          <a:solidFill>
                            <a:srgbClr val="FFFFFF"/>
                          </a:solidFill>
                        </wps:spPr>
                        <wps:bodyPr wrap="square" lIns="0" tIns="0" rIns="0" bIns="0" rtlCol="0">
                          <a:prstTxWarp prst="textNoShape">
                            <a:avLst/>
                          </a:prstTxWarp>
                          <a:noAutofit/>
                        </wps:bodyPr>
                      </wps:wsp>
                      <wps:wsp>
                        <wps:cNvPr id="1177" name="Graphic 1177"/>
                        <wps:cNvSpPr/>
                        <wps:spPr>
                          <a:xfrm>
                            <a:off x="4295508" y="1282196"/>
                            <a:ext cx="46355" cy="28575"/>
                          </a:xfrm>
                          <a:custGeom>
                            <a:avLst/>
                            <a:gdLst/>
                            <a:ahLst/>
                            <a:cxnLst/>
                            <a:rect l="l" t="t" r="r" b="b"/>
                            <a:pathLst>
                              <a:path w="46355" h="28575">
                                <a:moveTo>
                                  <a:pt x="22775" y="0"/>
                                </a:moveTo>
                                <a:lnTo>
                                  <a:pt x="34162" y="0"/>
                                </a:lnTo>
                                <a:lnTo>
                                  <a:pt x="45891" y="0"/>
                                </a:lnTo>
                                <a:lnTo>
                                  <a:pt x="45891" y="9509"/>
                                </a:lnTo>
                                <a:lnTo>
                                  <a:pt x="43881" y="16493"/>
                                </a:lnTo>
                                <a:lnTo>
                                  <a:pt x="38603" y="22585"/>
                                </a:lnTo>
                                <a:lnTo>
                                  <a:pt x="31191" y="26894"/>
                                </a:lnTo>
                                <a:lnTo>
                                  <a:pt x="22775" y="28529"/>
                                </a:lnTo>
                                <a:lnTo>
                                  <a:pt x="14412" y="26894"/>
                                </a:lnTo>
                                <a:lnTo>
                                  <a:pt x="7117" y="22585"/>
                                </a:lnTo>
                                <a:lnTo>
                                  <a:pt x="1957" y="16493"/>
                                </a:lnTo>
                                <a:lnTo>
                                  <a:pt x="0" y="9509"/>
                                </a:lnTo>
                                <a:lnTo>
                                  <a:pt x="0" y="0"/>
                                </a:lnTo>
                                <a:lnTo>
                                  <a:pt x="11387" y="0"/>
                                </a:lnTo>
                                <a:lnTo>
                                  <a:pt x="22775" y="0"/>
                                </a:lnTo>
                                <a:close/>
                              </a:path>
                            </a:pathLst>
                          </a:custGeom>
                          <a:ln w="10035">
                            <a:solidFill>
                              <a:srgbClr val="FFFFFF"/>
                            </a:solidFill>
                            <a:prstDash val="solid"/>
                          </a:ln>
                        </wps:spPr>
                        <wps:bodyPr wrap="square" lIns="0" tIns="0" rIns="0" bIns="0" rtlCol="0">
                          <a:prstTxWarp prst="textNoShape">
                            <a:avLst/>
                          </a:prstTxWarp>
                          <a:noAutofit/>
                        </wps:bodyPr>
                      </wps:wsp>
                      <wps:wsp>
                        <wps:cNvPr id="1178" name="Graphic 1178"/>
                        <wps:cNvSpPr/>
                        <wps:spPr>
                          <a:xfrm>
                            <a:off x="4295508" y="1348764"/>
                            <a:ext cx="46355" cy="28575"/>
                          </a:xfrm>
                          <a:custGeom>
                            <a:avLst/>
                            <a:gdLst/>
                            <a:ahLst/>
                            <a:cxnLst/>
                            <a:rect l="l" t="t" r="r" b="b"/>
                            <a:pathLst>
                              <a:path w="46355" h="28575">
                                <a:moveTo>
                                  <a:pt x="45891" y="0"/>
                                </a:moveTo>
                                <a:lnTo>
                                  <a:pt x="22775" y="0"/>
                                </a:lnTo>
                                <a:lnTo>
                                  <a:pt x="0" y="0"/>
                                </a:lnTo>
                                <a:lnTo>
                                  <a:pt x="0" y="9509"/>
                                </a:lnTo>
                                <a:lnTo>
                                  <a:pt x="1957" y="16493"/>
                                </a:lnTo>
                                <a:lnTo>
                                  <a:pt x="7117" y="22585"/>
                                </a:lnTo>
                                <a:lnTo>
                                  <a:pt x="14412" y="26894"/>
                                </a:lnTo>
                                <a:lnTo>
                                  <a:pt x="22775" y="28529"/>
                                </a:lnTo>
                                <a:lnTo>
                                  <a:pt x="31191" y="26894"/>
                                </a:lnTo>
                                <a:lnTo>
                                  <a:pt x="38603" y="22585"/>
                                </a:lnTo>
                                <a:lnTo>
                                  <a:pt x="43881" y="16493"/>
                                </a:lnTo>
                                <a:lnTo>
                                  <a:pt x="45891" y="9509"/>
                                </a:lnTo>
                                <a:lnTo>
                                  <a:pt x="45891" y="0"/>
                                </a:lnTo>
                                <a:close/>
                              </a:path>
                            </a:pathLst>
                          </a:custGeom>
                          <a:solidFill>
                            <a:srgbClr val="FFFFFF"/>
                          </a:solidFill>
                        </wps:spPr>
                        <wps:bodyPr wrap="square" lIns="0" tIns="0" rIns="0" bIns="0" rtlCol="0">
                          <a:prstTxWarp prst="textNoShape">
                            <a:avLst/>
                          </a:prstTxWarp>
                          <a:noAutofit/>
                        </wps:bodyPr>
                      </wps:wsp>
                      <wps:wsp>
                        <wps:cNvPr id="1179" name="Graphic 1179"/>
                        <wps:cNvSpPr/>
                        <wps:spPr>
                          <a:xfrm>
                            <a:off x="4295508" y="1348764"/>
                            <a:ext cx="46355" cy="28575"/>
                          </a:xfrm>
                          <a:custGeom>
                            <a:avLst/>
                            <a:gdLst/>
                            <a:ahLst/>
                            <a:cxnLst/>
                            <a:rect l="l" t="t" r="r" b="b"/>
                            <a:pathLst>
                              <a:path w="46355" h="28575">
                                <a:moveTo>
                                  <a:pt x="22775" y="0"/>
                                </a:moveTo>
                                <a:lnTo>
                                  <a:pt x="34162" y="0"/>
                                </a:lnTo>
                                <a:lnTo>
                                  <a:pt x="45891" y="0"/>
                                </a:lnTo>
                                <a:lnTo>
                                  <a:pt x="45891" y="9509"/>
                                </a:lnTo>
                                <a:lnTo>
                                  <a:pt x="43881" y="16493"/>
                                </a:lnTo>
                                <a:lnTo>
                                  <a:pt x="38603" y="22585"/>
                                </a:lnTo>
                                <a:lnTo>
                                  <a:pt x="31191" y="26894"/>
                                </a:lnTo>
                                <a:lnTo>
                                  <a:pt x="22775" y="28529"/>
                                </a:lnTo>
                                <a:lnTo>
                                  <a:pt x="14412" y="26894"/>
                                </a:lnTo>
                                <a:lnTo>
                                  <a:pt x="7117" y="22585"/>
                                </a:lnTo>
                                <a:lnTo>
                                  <a:pt x="1957" y="16493"/>
                                </a:lnTo>
                                <a:lnTo>
                                  <a:pt x="0" y="9509"/>
                                </a:lnTo>
                                <a:lnTo>
                                  <a:pt x="0" y="0"/>
                                </a:lnTo>
                                <a:lnTo>
                                  <a:pt x="11387" y="0"/>
                                </a:lnTo>
                                <a:lnTo>
                                  <a:pt x="22775" y="0"/>
                                </a:lnTo>
                                <a:close/>
                              </a:path>
                            </a:pathLst>
                          </a:custGeom>
                          <a:ln w="10035">
                            <a:solidFill>
                              <a:srgbClr val="FFFFFF"/>
                            </a:solidFill>
                            <a:prstDash val="solid"/>
                          </a:ln>
                        </wps:spPr>
                        <wps:bodyPr wrap="square" lIns="0" tIns="0" rIns="0" bIns="0" rtlCol="0">
                          <a:prstTxWarp prst="textNoShape">
                            <a:avLst/>
                          </a:prstTxWarp>
                          <a:noAutofit/>
                        </wps:bodyPr>
                      </wps:wsp>
                      <wps:wsp>
                        <wps:cNvPr id="1180" name="Graphic 1180"/>
                        <wps:cNvSpPr/>
                        <wps:spPr>
                          <a:xfrm>
                            <a:off x="4295508" y="1482187"/>
                            <a:ext cx="46355" cy="28575"/>
                          </a:xfrm>
                          <a:custGeom>
                            <a:avLst/>
                            <a:gdLst/>
                            <a:ahLst/>
                            <a:cxnLst/>
                            <a:rect l="l" t="t" r="r" b="b"/>
                            <a:pathLst>
                              <a:path w="46355" h="28575">
                                <a:moveTo>
                                  <a:pt x="34162" y="0"/>
                                </a:moveTo>
                                <a:lnTo>
                                  <a:pt x="11387" y="0"/>
                                </a:lnTo>
                                <a:lnTo>
                                  <a:pt x="0" y="9509"/>
                                </a:lnTo>
                                <a:lnTo>
                                  <a:pt x="1957" y="16493"/>
                                </a:lnTo>
                                <a:lnTo>
                                  <a:pt x="7117" y="22585"/>
                                </a:lnTo>
                                <a:lnTo>
                                  <a:pt x="14412" y="26894"/>
                                </a:lnTo>
                                <a:lnTo>
                                  <a:pt x="22775" y="28529"/>
                                </a:lnTo>
                                <a:lnTo>
                                  <a:pt x="31191" y="26894"/>
                                </a:lnTo>
                                <a:lnTo>
                                  <a:pt x="38603" y="22585"/>
                                </a:lnTo>
                                <a:lnTo>
                                  <a:pt x="43881" y="16493"/>
                                </a:lnTo>
                                <a:lnTo>
                                  <a:pt x="45891" y="9509"/>
                                </a:lnTo>
                                <a:lnTo>
                                  <a:pt x="34162" y="0"/>
                                </a:lnTo>
                                <a:close/>
                              </a:path>
                            </a:pathLst>
                          </a:custGeom>
                          <a:solidFill>
                            <a:srgbClr val="FFFFFF"/>
                          </a:solidFill>
                        </wps:spPr>
                        <wps:bodyPr wrap="square" lIns="0" tIns="0" rIns="0" bIns="0" rtlCol="0">
                          <a:prstTxWarp prst="textNoShape">
                            <a:avLst/>
                          </a:prstTxWarp>
                          <a:noAutofit/>
                        </wps:bodyPr>
                      </wps:wsp>
                      <wps:wsp>
                        <wps:cNvPr id="1181" name="Graphic 1181"/>
                        <wps:cNvSpPr/>
                        <wps:spPr>
                          <a:xfrm>
                            <a:off x="4295508" y="1482187"/>
                            <a:ext cx="46355" cy="28575"/>
                          </a:xfrm>
                          <a:custGeom>
                            <a:avLst/>
                            <a:gdLst/>
                            <a:ahLst/>
                            <a:cxnLst/>
                            <a:rect l="l" t="t" r="r" b="b"/>
                            <a:pathLst>
                              <a:path w="46355" h="28575">
                                <a:moveTo>
                                  <a:pt x="22775" y="0"/>
                                </a:moveTo>
                                <a:lnTo>
                                  <a:pt x="34162" y="0"/>
                                </a:lnTo>
                                <a:lnTo>
                                  <a:pt x="45891" y="9509"/>
                                </a:lnTo>
                                <a:lnTo>
                                  <a:pt x="43881" y="16493"/>
                                </a:lnTo>
                                <a:lnTo>
                                  <a:pt x="38603" y="22585"/>
                                </a:lnTo>
                                <a:lnTo>
                                  <a:pt x="31191" y="26894"/>
                                </a:lnTo>
                                <a:lnTo>
                                  <a:pt x="22775" y="28529"/>
                                </a:lnTo>
                                <a:lnTo>
                                  <a:pt x="14412" y="26894"/>
                                </a:lnTo>
                                <a:lnTo>
                                  <a:pt x="7117" y="22585"/>
                                </a:lnTo>
                                <a:lnTo>
                                  <a:pt x="1957" y="16493"/>
                                </a:lnTo>
                                <a:lnTo>
                                  <a:pt x="0" y="9509"/>
                                </a:lnTo>
                                <a:lnTo>
                                  <a:pt x="11387" y="0"/>
                                </a:lnTo>
                                <a:lnTo>
                                  <a:pt x="22775" y="0"/>
                                </a:lnTo>
                                <a:close/>
                              </a:path>
                            </a:pathLst>
                          </a:custGeom>
                          <a:ln w="10035">
                            <a:solidFill>
                              <a:srgbClr val="FFFFFF"/>
                            </a:solidFill>
                            <a:prstDash val="solid"/>
                          </a:ln>
                        </wps:spPr>
                        <wps:bodyPr wrap="square" lIns="0" tIns="0" rIns="0" bIns="0" rtlCol="0">
                          <a:prstTxWarp prst="textNoShape">
                            <a:avLst/>
                          </a:prstTxWarp>
                          <a:noAutofit/>
                        </wps:bodyPr>
                      </wps:wsp>
                      <wps:wsp>
                        <wps:cNvPr id="1182" name="Graphic 1182"/>
                        <wps:cNvSpPr/>
                        <wps:spPr>
                          <a:xfrm>
                            <a:off x="4261346" y="2625265"/>
                            <a:ext cx="45720" cy="38100"/>
                          </a:xfrm>
                          <a:custGeom>
                            <a:avLst/>
                            <a:gdLst/>
                            <a:ahLst/>
                            <a:cxnLst/>
                            <a:rect l="l" t="t" r="r" b="b"/>
                            <a:pathLst>
                              <a:path w="45720" h="38100">
                                <a:moveTo>
                                  <a:pt x="22775" y="0"/>
                                </a:moveTo>
                                <a:lnTo>
                                  <a:pt x="14412" y="1634"/>
                                </a:lnTo>
                                <a:lnTo>
                                  <a:pt x="7117" y="5943"/>
                                </a:lnTo>
                                <a:lnTo>
                                  <a:pt x="1957" y="12035"/>
                                </a:lnTo>
                                <a:lnTo>
                                  <a:pt x="0" y="19019"/>
                                </a:lnTo>
                                <a:lnTo>
                                  <a:pt x="1957" y="26003"/>
                                </a:lnTo>
                                <a:lnTo>
                                  <a:pt x="7117" y="32095"/>
                                </a:lnTo>
                                <a:lnTo>
                                  <a:pt x="14412" y="36404"/>
                                </a:lnTo>
                                <a:lnTo>
                                  <a:pt x="22775" y="38039"/>
                                </a:lnTo>
                                <a:lnTo>
                                  <a:pt x="35941" y="36404"/>
                                </a:lnTo>
                                <a:lnTo>
                                  <a:pt x="42703" y="32095"/>
                                </a:lnTo>
                                <a:lnTo>
                                  <a:pt x="45194" y="26003"/>
                                </a:lnTo>
                                <a:lnTo>
                                  <a:pt x="45550" y="19019"/>
                                </a:lnTo>
                                <a:lnTo>
                                  <a:pt x="45194" y="12035"/>
                                </a:lnTo>
                                <a:lnTo>
                                  <a:pt x="42703" y="5943"/>
                                </a:lnTo>
                                <a:lnTo>
                                  <a:pt x="35941" y="1634"/>
                                </a:lnTo>
                                <a:lnTo>
                                  <a:pt x="22775" y="0"/>
                                </a:lnTo>
                                <a:close/>
                              </a:path>
                            </a:pathLst>
                          </a:custGeom>
                          <a:solidFill>
                            <a:srgbClr val="FFFFFF"/>
                          </a:solidFill>
                        </wps:spPr>
                        <wps:bodyPr wrap="square" lIns="0" tIns="0" rIns="0" bIns="0" rtlCol="0">
                          <a:prstTxWarp prst="textNoShape">
                            <a:avLst/>
                          </a:prstTxWarp>
                          <a:noAutofit/>
                        </wps:bodyPr>
                      </wps:wsp>
                      <wps:wsp>
                        <wps:cNvPr id="1183" name="Graphic 1183"/>
                        <wps:cNvSpPr/>
                        <wps:spPr>
                          <a:xfrm>
                            <a:off x="4261346" y="2625265"/>
                            <a:ext cx="45720" cy="38100"/>
                          </a:xfrm>
                          <a:custGeom>
                            <a:avLst/>
                            <a:gdLst/>
                            <a:ahLst/>
                            <a:cxnLst/>
                            <a:rect l="l" t="t" r="r" b="b"/>
                            <a:pathLst>
                              <a:path w="45720" h="38100">
                                <a:moveTo>
                                  <a:pt x="22775" y="0"/>
                                </a:moveTo>
                                <a:lnTo>
                                  <a:pt x="35941" y="1634"/>
                                </a:lnTo>
                                <a:lnTo>
                                  <a:pt x="42703" y="5943"/>
                                </a:lnTo>
                                <a:lnTo>
                                  <a:pt x="45194" y="12035"/>
                                </a:lnTo>
                                <a:lnTo>
                                  <a:pt x="45550" y="19019"/>
                                </a:lnTo>
                                <a:lnTo>
                                  <a:pt x="45194" y="26003"/>
                                </a:lnTo>
                                <a:lnTo>
                                  <a:pt x="42703" y="32095"/>
                                </a:lnTo>
                                <a:lnTo>
                                  <a:pt x="35941" y="36404"/>
                                </a:lnTo>
                                <a:lnTo>
                                  <a:pt x="22775" y="38039"/>
                                </a:lnTo>
                                <a:lnTo>
                                  <a:pt x="14412" y="36404"/>
                                </a:lnTo>
                                <a:lnTo>
                                  <a:pt x="7117" y="32095"/>
                                </a:lnTo>
                                <a:lnTo>
                                  <a:pt x="1957" y="26003"/>
                                </a:lnTo>
                                <a:lnTo>
                                  <a:pt x="0" y="19019"/>
                                </a:lnTo>
                                <a:lnTo>
                                  <a:pt x="1957" y="12035"/>
                                </a:lnTo>
                                <a:lnTo>
                                  <a:pt x="7117" y="5943"/>
                                </a:lnTo>
                                <a:lnTo>
                                  <a:pt x="14412" y="1634"/>
                                </a:lnTo>
                                <a:lnTo>
                                  <a:pt x="22775" y="0"/>
                                </a:lnTo>
                                <a:close/>
                              </a:path>
                            </a:pathLst>
                          </a:custGeom>
                          <a:ln w="10283">
                            <a:solidFill>
                              <a:srgbClr val="FFFFFF"/>
                            </a:solidFill>
                            <a:prstDash val="solid"/>
                          </a:ln>
                        </wps:spPr>
                        <wps:bodyPr wrap="square" lIns="0" tIns="0" rIns="0" bIns="0" rtlCol="0">
                          <a:prstTxWarp prst="textNoShape">
                            <a:avLst/>
                          </a:prstTxWarp>
                          <a:noAutofit/>
                        </wps:bodyPr>
                      </wps:wsp>
                      <wps:wsp>
                        <wps:cNvPr id="1184" name="Graphic 1184"/>
                        <wps:cNvSpPr/>
                        <wps:spPr>
                          <a:xfrm>
                            <a:off x="4261346" y="2691834"/>
                            <a:ext cx="45720" cy="38100"/>
                          </a:xfrm>
                          <a:custGeom>
                            <a:avLst/>
                            <a:gdLst/>
                            <a:ahLst/>
                            <a:cxnLst/>
                            <a:rect l="l" t="t" r="r" b="b"/>
                            <a:pathLst>
                              <a:path w="45720" h="38100">
                                <a:moveTo>
                                  <a:pt x="22775" y="0"/>
                                </a:moveTo>
                                <a:lnTo>
                                  <a:pt x="14412" y="1634"/>
                                </a:lnTo>
                                <a:lnTo>
                                  <a:pt x="7117" y="5943"/>
                                </a:lnTo>
                                <a:lnTo>
                                  <a:pt x="1957" y="12035"/>
                                </a:lnTo>
                                <a:lnTo>
                                  <a:pt x="0" y="19019"/>
                                </a:lnTo>
                                <a:lnTo>
                                  <a:pt x="1957" y="26003"/>
                                </a:lnTo>
                                <a:lnTo>
                                  <a:pt x="7117" y="32095"/>
                                </a:lnTo>
                                <a:lnTo>
                                  <a:pt x="14412" y="36404"/>
                                </a:lnTo>
                                <a:lnTo>
                                  <a:pt x="22775" y="38039"/>
                                </a:lnTo>
                                <a:lnTo>
                                  <a:pt x="35941" y="36404"/>
                                </a:lnTo>
                                <a:lnTo>
                                  <a:pt x="42703" y="32095"/>
                                </a:lnTo>
                                <a:lnTo>
                                  <a:pt x="45194" y="26003"/>
                                </a:lnTo>
                                <a:lnTo>
                                  <a:pt x="45550" y="19019"/>
                                </a:lnTo>
                                <a:lnTo>
                                  <a:pt x="45194" y="12035"/>
                                </a:lnTo>
                                <a:lnTo>
                                  <a:pt x="42703" y="5943"/>
                                </a:lnTo>
                                <a:lnTo>
                                  <a:pt x="35941" y="1634"/>
                                </a:lnTo>
                                <a:lnTo>
                                  <a:pt x="22775" y="0"/>
                                </a:lnTo>
                                <a:close/>
                              </a:path>
                            </a:pathLst>
                          </a:custGeom>
                          <a:solidFill>
                            <a:srgbClr val="FFFFFF"/>
                          </a:solidFill>
                        </wps:spPr>
                        <wps:bodyPr wrap="square" lIns="0" tIns="0" rIns="0" bIns="0" rtlCol="0">
                          <a:prstTxWarp prst="textNoShape">
                            <a:avLst/>
                          </a:prstTxWarp>
                          <a:noAutofit/>
                        </wps:bodyPr>
                      </wps:wsp>
                      <wps:wsp>
                        <wps:cNvPr id="1185" name="Graphic 1185"/>
                        <wps:cNvSpPr/>
                        <wps:spPr>
                          <a:xfrm>
                            <a:off x="4261346" y="2691834"/>
                            <a:ext cx="45720" cy="38100"/>
                          </a:xfrm>
                          <a:custGeom>
                            <a:avLst/>
                            <a:gdLst/>
                            <a:ahLst/>
                            <a:cxnLst/>
                            <a:rect l="l" t="t" r="r" b="b"/>
                            <a:pathLst>
                              <a:path w="45720" h="38100">
                                <a:moveTo>
                                  <a:pt x="22775" y="0"/>
                                </a:moveTo>
                                <a:lnTo>
                                  <a:pt x="35941" y="1634"/>
                                </a:lnTo>
                                <a:lnTo>
                                  <a:pt x="42703" y="5943"/>
                                </a:lnTo>
                                <a:lnTo>
                                  <a:pt x="45194" y="12035"/>
                                </a:lnTo>
                                <a:lnTo>
                                  <a:pt x="45550" y="19019"/>
                                </a:lnTo>
                                <a:lnTo>
                                  <a:pt x="45194" y="26003"/>
                                </a:lnTo>
                                <a:lnTo>
                                  <a:pt x="42703" y="32095"/>
                                </a:lnTo>
                                <a:lnTo>
                                  <a:pt x="35941" y="36404"/>
                                </a:lnTo>
                                <a:lnTo>
                                  <a:pt x="22775" y="38039"/>
                                </a:lnTo>
                                <a:lnTo>
                                  <a:pt x="14412" y="36404"/>
                                </a:lnTo>
                                <a:lnTo>
                                  <a:pt x="7117" y="32095"/>
                                </a:lnTo>
                                <a:lnTo>
                                  <a:pt x="1957" y="26003"/>
                                </a:lnTo>
                                <a:lnTo>
                                  <a:pt x="0" y="19019"/>
                                </a:lnTo>
                                <a:lnTo>
                                  <a:pt x="1957" y="12035"/>
                                </a:lnTo>
                                <a:lnTo>
                                  <a:pt x="7117" y="5943"/>
                                </a:lnTo>
                                <a:lnTo>
                                  <a:pt x="14412" y="1634"/>
                                </a:lnTo>
                                <a:lnTo>
                                  <a:pt x="22775" y="0"/>
                                </a:lnTo>
                                <a:close/>
                              </a:path>
                            </a:pathLst>
                          </a:custGeom>
                          <a:ln w="10283">
                            <a:solidFill>
                              <a:srgbClr val="FFFFFF"/>
                            </a:solidFill>
                            <a:prstDash val="solid"/>
                          </a:ln>
                        </wps:spPr>
                        <wps:bodyPr wrap="square" lIns="0" tIns="0" rIns="0" bIns="0" rtlCol="0">
                          <a:prstTxWarp prst="textNoShape">
                            <a:avLst/>
                          </a:prstTxWarp>
                          <a:noAutofit/>
                        </wps:bodyPr>
                      </wps:wsp>
                      <wps:wsp>
                        <wps:cNvPr id="1186" name="Graphic 1186"/>
                        <wps:cNvSpPr/>
                        <wps:spPr>
                          <a:xfrm>
                            <a:off x="4272733" y="3834913"/>
                            <a:ext cx="45720" cy="38100"/>
                          </a:xfrm>
                          <a:custGeom>
                            <a:avLst/>
                            <a:gdLst/>
                            <a:ahLst/>
                            <a:cxnLst/>
                            <a:rect l="l" t="t" r="r" b="b"/>
                            <a:pathLst>
                              <a:path w="45720" h="38100">
                                <a:moveTo>
                                  <a:pt x="22775" y="0"/>
                                </a:moveTo>
                                <a:lnTo>
                                  <a:pt x="14412" y="1634"/>
                                </a:lnTo>
                                <a:lnTo>
                                  <a:pt x="7117" y="5943"/>
                                </a:lnTo>
                                <a:lnTo>
                                  <a:pt x="1957" y="12035"/>
                                </a:lnTo>
                                <a:lnTo>
                                  <a:pt x="0" y="19019"/>
                                </a:lnTo>
                                <a:lnTo>
                                  <a:pt x="1957" y="26003"/>
                                </a:lnTo>
                                <a:lnTo>
                                  <a:pt x="7117" y="32095"/>
                                </a:lnTo>
                                <a:lnTo>
                                  <a:pt x="14412" y="36404"/>
                                </a:lnTo>
                                <a:lnTo>
                                  <a:pt x="22775" y="38039"/>
                                </a:lnTo>
                                <a:lnTo>
                                  <a:pt x="31137" y="36404"/>
                                </a:lnTo>
                                <a:lnTo>
                                  <a:pt x="38432" y="32095"/>
                                </a:lnTo>
                                <a:lnTo>
                                  <a:pt x="43592" y="26003"/>
                                </a:lnTo>
                                <a:lnTo>
                                  <a:pt x="45550" y="19019"/>
                                </a:lnTo>
                                <a:lnTo>
                                  <a:pt x="43592" y="12035"/>
                                </a:lnTo>
                                <a:lnTo>
                                  <a:pt x="38432" y="5943"/>
                                </a:lnTo>
                                <a:lnTo>
                                  <a:pt x="31137" y="1634"/>
                                </a:lnTo>
                                <a:lnTo>
                                  <a:pt x="22775" y="0"/>
                                </a:lnTo>
                                <a:close/>
                              </a:path>
                            </a:pathLst>
                          </a:custGeom>
                          <a:solidFill>
                            <a:srgbClr val="FFFFFF"/>
                          </a:solidFill>
                        </wps:spPr>
                        <wps:bodyPr wrap="square" lIns="0" tIns="0" rIns="0" bIns="0" rtlCol="0">
                          <a:prstTxWarp prst="textNoShape">
                            <a:avLst/>
                          </a:prstTxWarp>
                          <a:noAutofit/>
                        </wps:bodyPr>
                      </wps:wsp>
                      <wps:wsp>
                        <wps:cNvPr id="1187" name="Graphic 1187"/>
                        <wps:cNvSpPr/>
                        <wps:spPr>
                          <a:xfrm>
                            <a:off x="4272733" y="3834913"/>
                            <a:ext cx="45720" cy="38100"/>
                          </a:xfrm>
                          <a:custGeom>
                            <a:avLst/>
                            <a:gdLst/>
                            <a:ahLst/>
                            <a:cxnLst/>
                            <a:rect l="l" t="t" r="r" b="b"/>
                            <a:pathLst>
                              <a:path w="45720" h="38100">
                                <a:moveTo>
                                  <a:pt x="22775" y="0"/>
                                </a:moveTo>
                                <a:lnTo>
                                  <a:pt x="31137" y="1634"/>
                                </a:lnTo>
                                <a:lnTo>
                                  <a:pt x="38432" y="5943"/>
                                </a:lnTo>
                                <a:lnTo>
                                  <a:pt x="43592" y="12035"/>
                                </a:lnTo>
                                <a:lnTo>
                                  <a:pt x="45550" y="19019"/>
                                </a:lnTo>
                                <a:lnTo>
                                  <a:pt x="43592" y="26003"/>
                                </a:lnTo>
                                <a:lnTo>
                                  <a:pt x="38432" y="32095"/>
                                </a:lnTo>
                                <a:lnTo>
                                  <a:pt x="31137" y="36404"/>
                                </a:lnTo>
                                <a:lnTo>
                                  <a:pt x="22775" y="38039"/>
                                </a:lnTo>
                                <a:lnTo>
                                  <a:pt x="14412" y="36404"/>
                                </a:lnTo>
                                <a:lnTo>
                                  <a:pt x="7117" y="32095"/>
                                </a:lnTo>
                                <a:lnTo>
                                  <a:pt x="1957" y="26003"/>
                                </a:lnTo>
                                <a:lnTo>
                                  <a:pt x="0" y="19019"/>
                                </a:lnTo>
                                <a:lnTo>
                                  <a:pt x="1957" y="12035"/>
                                </a:lnTo>
                                <a:lnTo>
                                  <a:pt x="7117" y="5943"/>
                                </a:lnTo>
                                <a:lnTo>
                                  <a:pt x="14412" y="1634"/>
                                </a:lnTo>
                                <a:lnTo>
                                  <a:pt x="22775" y="0"/>
                                </a:lnTo>
                                <a:close/>
                              </a:path>
                            </a:pathLst>
                          </a:custGeom>
                          <a:ln w="10283">
                            <a:solidFill>
                              <a:srgbClr val="FFFFFF"/>
                            </a:solidFill>
                            <a:prstDash val="solid"/>
                          </a:ln>
                        </wps:spPr>
                        <wps:bodyPr wrap="square" lIns="0" tIns="0" rIns="0" bIns="0" rtlCol="0">
                          <a:prstTxWarp prst="textNoShape">
                            <a:avLst/>
                          </a:prstTxWarp>
                          <a:noAutofit/>
                        </wps:bodyPr>
                      </wps:wsp>
                      <wps:wsp>
                        <wps:cNvPr id="1188" name="Graphic 1188"/>
                        <wps:cNvSpPr/>
                        <wps:spPr>
                          <a:xfrm>
                            <a:off x="4238571" y="5187493"/>
                            <a:ext cx="45720" cy="28575"/>
                          </a:xfrm>
                          <a:custGeom>
                            <a:avLst/>
                            <a:gdLst/>
                            <a:ahLst/>
                            <a:cxnLst/>
                            <a:rect l="l" t="t" r="r" b="b"/>
                            <a:pathLst>
                              <a:path w="45720" h="28575">
                                <a:moveTo>
                                  <a:pt x="45550" y="0"/>
                                </a:moveTo>
                                <a:lnTo>
                                  <a:pt x="0" y="0"/>
                                </a:lnTo>
                                <a:lnTo>
                                  <a:pt x="0" y="9509"/>
                                </a:lnTo>
                                <a:lnTo>
                                  <a:pt x="1957" y="16493"/>
                                </a:lnTo>
                                <a:lnTo>
                                  <a:pt x="7117" y="22585"/>
                                </a:lnTo>
                                <a:lnTo>
                                  <a:pt x="14412" y="26894"/>
                                </a:lnTo>
                                <a:lnTo>
                                  <a:pt x="22775" y="28529"/>
                                </a:lnTo>
                                <a:lnTo>
                                  <a:pt x="35941" y="26894"/>
                                </a:lnTo>
                                <a:lnTo>
                                  <a:pt x="42703" y="22585"/>
                                </a:lnTo>
                                <a:lnTo>
                                  <a:pt x="45194" y="16493"/>
                                </a:lnTo>
                                <a:lnTo>
                                  <a:pt x="45550" y="9509"/>
                                </a:lnTo>
                                <a:lnTo>
                                  <a:pt x="45550" y="0"/>
                                </a:lnTo>
                                <a:close/>
                              </a:path>
                            </a:pathLst>
                          </a:custGeom>
                          <a:solidFill>
                            <a:srgbClr val="FFFFFF"/>
                          </a:solidFill>
                        </wps:spPr>
                        <wps:bodyPr wrap="square" lIns="0" tIns="0" rIns="0" bIns="0" rtlCol="0">
                          <a:prstTxWarp prst="textNoShape">
                            <a:avLst/>
                          </a:prstTxWarp>
                          <a:noAutofit/>
                        </wps:bodyPr>
                      </wps:wsp>
                      <wps:wsp>
                        <wps:cNvPr id="1189" name="Graphic 1189"/>
                        <wps:cNvSpPr/>
                        <wps:spPr>
                          <a:xfrm>
                            <a:off x="4238571" y="5187493"/>
                            <a:ext cx="45720" cy="28575"/>
                          </a:xfrm>
                          <a:custGeom>
                            <a:avLst/>
                            <a:gdLst/>
                            <a:ahLst/>
                            <a:cxnLst/>
                            <a:rect l="l" t="t" r="r" b="b"/>
                            <a:pathLst>
                              <a:path w="45720" h="28575">
                                <a:moveTo>
                                  <a:pt x="22775" y="0"/>
                                </a:moveTo>
                                <a:lnTo>
                                  <a:pt x="45550" y="0"/>
                                </a:lnTo>
                                <a:lnTo>
                                  <a:pt x="45550" y="9509"/>
                                </a:lnTo>
                                <a:lnTo>
                                  <a:pt x="45194" y="16493"/>
                                </a:lnTo>
                                <a:lnTo>
                                  <a:pt x="42703" y="22585"/>
                                </a:lnTo>
                                <a:lnTo>
                                  <a:pt x="35941" y="26894"/>
                                </a:lnTo>
                                <a:lnTo>
                                  <a:pt x="22775" y="28529"/>
                                </a:lnTo>
                                <a:lnTo>
                                  <a:pt x="14412" y="26894"/>
                                </a:lnTo>
                                <a:lnTo>
                                  <a:pt x="7117" y="22585"/>
                                </a:lnTo>
                                <a:lnTo>
                                  <a:pt x="1957" y="16493"/>
                                </a:lnTo>
                                <a:lnTo>
                                  <a:pt x="0" y="9509"/>
                                </a:lnTo>
                                <a:lnTo>
                                  <a:pt x="0" y="0"/>
                                </a:lnTo>
                                <a:lnTo>
                                  <a:pt x="11387" y="0"/>
                                </a:lnTo>
                                <a:lnTo>
                                  <a:pt x="22775" y="0"/>
                                </a:lnTo>
                                <a:close/>
                              </a:path>
                            </a:pathLst>
                          </a:custGeom>
                          <a:ln w="10040">
                            <a:solidFill>
                              <a:srgbClr val="FFFFFF"/>
                            </a:solidFill>
                            <a:prstDash val="solid"/>
                          </a:ln>
                        </wps:spPr>
                        <wps:bodyPr wrap="square" lIns="0" tIns="0" rIns="0" bIns="0" rtlCol="0">
                          <a:prstTxWarp prst="textNoShape">
                            <a:avLst/>
                          </a:prstTxWarp>
                          <a:noAutofit/>
                        </wps:bodyPr>
                      </wps:wsp>
                      <wps:wsp>
                        <wps:cNvPr id="1190" name="Graphic 1190"/>
                        <wps:cNvSpPr/>
                        <wps:spPr>
                          <a:xfrm>
                            <a:off x="16194" y="5678"/>
                            <a:ext cx="331470" cy="66675"/>
                          </a:xfrm>
                          <a:custGeom>
                            <a:avLst/>
                            <a:gdLst/>
                            <a:ahLst/>
                            <a:cxnLst/>
                            <a:rect l="l" t="t" r="r" b="b"/>
                            <a:pathLst>
                              <a:path w="331470" h="66675">
                                <a:moveTo>
                                  <a:pt x="330864" y="0"/>
                                </a:moveTo>
                                <a:lnTo>
                                  <a:pt x="0" y="0"/>
                                </a:lnTo>
                                <a:lnTo>
                                  <a:pt x="0" y="66584"/>
                                </a:lnTo>
                                <a:lnTo>
                                  <a:pt x="330864" y="66584"/>
                                </a:lnTo>
                                <a:lnTo>
                                  <a:pt x="330864" y="0"/>
                                </a:lnTo>
                                <a:close/>
                              </a:path>
                            </a:pathLst>
                          </a:custGeom>
                          <a:solidFill>
                            <a:srgbClr val="23282B"/>
                          </a:solidFill>
                        </wps:spPr>
                        <wps:bodyPr wrap="square" lIns="0" tIns="0" rIns="0" bIns="0" rtlCol="0">
                          <a:prstTxWarp prst="textNoShape">
                            <a:avLst/>
                          </a:prstTxWarp>
                          <a:noAutofit/>
                        </wps:bodyPr>
                      </wps:wsp>
                      <wps:wsp>
                        <wps:cNvPr id="1191" name="Graphic 1191"/>
                        <wps:cNvSpPr/>
                        <wps:spPr>
                          <a:xfrm>
                            <a:off x="16194" y="5678"/>
                            <a:ext cx="4211320" cy="5258435"/>
                          </a:xfrm>
                          <a:custGeom>
                            <a:avLst/>
                            <a:gdLst/>
                            <a:ahLst/>
                            <a:cxnLst/>
                            <a:rect l="l" t="t" r="r" b="b"/>
                            <a:pathLst>
                              <a:path w="4211320" h="5258435">
                                <a:moveTo>
                                  <a:pt x="0" y="66584"/>
                                </a:moveTo>
                                <a:lnTo>
                                  <a:pt x="330864" y="66584"/>
                                </a:lnTo>
                                <a:lnTo>
                                  <a:pt x="330864" y="0"/>
                                </a:lnTo>
                                <a:lnTo>
                                  <a:pt x="0" y="0"/>
                                </a:lnTo>
                                <a:lnTo>
                                  <a:pt x="0" y="66584"/>
                                </a:lnTo>
                                <a:close/>
                              </a:path>
                              <a:path w="4211320" h="5258435">
                                <a:moveTo>
                                  <a:pt x="4210989" y="5257892"/>
                                </a:moveTo>
                                <a:lnTo>
                                  <a:pt x="4165097" y="5257892"/>
                                </a:lnTo>
                              </a:path>
                              <a:path w="4211320" h="5258435">
                                <a:moveTo>
                                  <a:pt x="1905698" y="2629097"/>
                                </a:moveTo>
                                <a:lnTo>
                                  <a:pt x="1814370" y="2629097"/>
                                </a:lnTo>
                              </a:path>
                              <a:path w="4211320" h="5258435">
                                <a:moveTo>
                                  <a:pt x="2008527" y="1343086"/>
                                </a:moveTo>
                                <a:lnTo>
                                  <a:pt x="1917085" y="1343086"/>
                                </a:lnTo>
                              </a:path>
                              <a:path w="4211320" h="5258435">
                                <a:moveTo>
                                  <a:pt x="2122744" y="1343086"/>
                                </a:moveTo>
                                <a:lnTo>
                                  <a:pt x="2031302" y="1343086"/>
                                </a:lnTo>
                              </a:path>
                              <a:path w="4211320" h="5258435">
                                <a:moveTo>
                                  <a:pt x="2225232" y="1343086"/>
                                </a:moveTo>
                                <a:lnTo>
                                  <a:pt x="2134132" y="1343086"/>
                                </a:lnTo>
                              </a:path>
                              <a:path w="4211320" h="5258435">
                                <a:moveTo>
                                  <a:pt x="2339449" y="1343086"/>
                                </a:moveTo>
                                <a:lnTo>
                                  <a:pt x="2248007" y="1343086"/>
                                </a:lnTo>
                              </a:path>
                              <a:path w="4211320" h="5258435">
                                <a:moveTo>
                                  <a:pt x="2453552" y="1343086"/>
                                </a:moveTo>
                                <a:lnTo>
                                  <a:pt x="2362224" y="1343086"/>
                                </a:lnTo>
                              </a:path>
                              <a:path w="4211320" h="5258435">
                                <a:moveTo>
                                  <a:pt x="2556381" y="1343086"/>
                                </a:moveTo>
                                <a:lnTo>
                                  <a:pt x="2464939" y="1343086"/>
                                </a:lnTo>
                              </a:path>
                              <a:path w="4211320" h="5258435">
                                <a:moveTo>
                                  <a:pt x="1894310" y="1343086"/>
                                </a:moveTo>
                                <a:lnTo>
                                  <a:pt x="1802982" y="1343086"/>
                                </a:lnTo>
                              </a:path>
                            </a:pathLst>
                          </a:custGeom>
                          <a:ln w="10450">
                            <a:solidFill>
                              <a:srgbClr val="23201D"/>
                            </a:solidFill>
                            <a:prstDash val="solid"/>
                          </a:ln>
                        </wps:spPr>
                        <wps:bodyPr wrap="square" lIns="0" tIns="0" rIns="0" bIns="0" rtlCol="0">
                          <a:prstTxWarp prst="textNoShape">
                            <a:avLst/>
                          </a:prstTxWarp>
                          <a:noAutofit/>
                        </wps:bodyPr>
                      </wps:wsp>
                      <wps:wsp>
                        <wps:cNvPr id="1192" name="Graphic 1192"/>
                        <wps:cNvSpPr/>
                        <wps:spPr>
                          <a:xfrm>
                            <a:off x="3451009" y="1748747"/>
                            <a:ext cx="46355" cy="38735"/>
                          </a:xfrm>
                          <a:custGeom>
                            <a:avLst/>
                            <a:gdLst/>
                            <a:ahLst/>
                            <a:cxnLst/>
                            <a:rect l="l" t="t" r="r" b="b"/>
                            <a:pathLst>
                              <a:path w="46355" h="38735">
                                <a:moveTo>
                                  <a:pt x="45777" y="0"/>
                                </a:moveTo>
                                <a:lnTo>
                                  <a:pt x="11615" y="0"/>
                                </a:lnTo>
                                <a:lnTo>
                                  <a:pt x="0" y="0"/>
                                </a:lnTo>
                                <a:lnTo>
                                  <a:pt x="23002" y="38324"/>
                                </a:lnTo>
                                <a:lnTo>
                                  <a:pt x="45777" y="0"/>
                                </a:lnTo>
                                <a:close/>
                              </a:path>
                            </a:pathLst>
                          </a:custGeom>
                          <a:solidFill>
                            <a:srgbClr val="23282B"/>
                          </a:solidFill>
                        </wps:spPr>
                        <wps:bodyPr wrap="square" lIns="0" tIns="0" rIns="0" bIns="0" rtlCol="0">
                          <a:prstTxWarp prst="textNoShape">
                            <a:avLst/>
                          </a:prstTxWarp>
                          <a:noAutofit/>
                        </wps:bodyPr>
                      </wps:wsp>
                      <wps:wsp>
                        <wps:cNvPr id="1193" name="Graphic 1193"/>
                        <wps:cNvSpPr/>
                        <wps:spPr>
                          <a:xfrm>
                            <a:off x="4227183" y="1729727"/>
                            <a:ext cx="2168525" cy="905510"/>
                          </a:xfrm>
                          <a:custGeom>
                            <a:avLst/>
                            <a:gdLst/>
                            <a:ahLst/>
                            <a:cxnLst/>
                            <a:rect l="l" t="t" r="r" b="b"/>
                            <a:pathLst>
                              <a:path w="2168525" h="905510">
                                <a:moveTo>
                                  <a:pt x="0" y="0"/>
                                </a:moveTo>
                                <a:lnTo>
                                  <a:pt x="0" y="28529"/>
                                </a:lnTo>
                              </a:path>
                              <a:path w="2168525" h="905510">
                                <a:moveTo>
                                  <a:pt x="2167957" y="905048"/>
                                </a:moveTo>
                                <a:lnTo>
                                  <a:pt x="2099632" y="905048"/>
                                </a:lnTo>
                              </a:path>
                            </a:pathLst>
                          </a:custGeom>
                          <a:ln w="10450">
                            <a:solidFill>
                              <a:srgbClr val="23201D"/>
                            </a:solidFill>
                            <a:prstDash val="solid"/>
                          </a:ln>
                        </wps:spPr>
                        <wps:bodyPr wrap="square" lIns="0" tIns="0" rIns="0" bIns="0" rtlCol="0">
                          <a:prstTxWarp prst="textNoShape">
                            <a:avLst/>
                          </a:prstTxWarp>
                          <a:noAutofit/>
                        </wps:bodyPr>
                      </wps:wsp>
                      <wps:wsp>
                        <wps:cNvPr id="1194" name="Graphic 1194"/>
                        <wps:cNvSpPr/>
                        <wps:spPr>
                          <a:xfrm>
                            <a:off x="4352778" y="424985"/>
                            <a:ext cx="548005" cy="5372735"/>
                          </a:xfrm>
                          <a:custGeom>
                            <a:avLst/>
                            <a:gdLst/>
                            <a:ahLst/>
                            <a:cxnLst/>
                            <a:rect l="l" t="t" r="r" b="b"/>
                            <a:pathLst>
                              <a:path w="548005" h="5372735">
                                <a:moveTo>
                                  <a:pt x="467804" y="1533461"/>
                                </a:moveTo>
                                <a:lnTo>
                                  <a:pt x="159651" y="1533461"/>
                                </a:lnTo>
                                <a:lnTo>
                                  <a:pt x="159651" y="1485722"/>
                                </a:lnTo>
                                <a:lnTo>
                                  <a:pt x="0" y="1581099"/>
                                </a:lnTo>
                                <a:lnTo>
                                  <a:pt x="159651" y="1676387"/>
                                </a:lnTo>
                                <a:lnTo>
                                  <a:pt x="159651" y="1628648"/>
                                </a:lnTo>
                                <a:lnTo>
                                  <a:pt x="467804" y="1628648"/>
                                </a:lnTo>
                                <a:lnTo>
                                  <a:pt x="467804" y="1533461"/>
                                </a:lnTo>
                                <a:close/>
                              </a:path>
                              <a:path w="548005" h="5372735">
                                <a:moveTo>
                                  <a:pt x="501967" y="47548"/>
                                </a:moveTo>
                                <a:lnTo>
                                  <a:pt x="193814" y="47548"/>
                                </a:lnTo>
                                <a:lnTo>
                                  <a:pt x="193814" y="0"/>
                                </a:lnTo>
                                <a:lnTo>
                                  <a:pt x="34163" y="95097"/>
                                </a:lnTo>
                                <a:lnTo>
                                  <a:pt x="193814" y="190385"/>
                                </a:lnTo>
                                <a:lnTo>
                                  <a:pt x="193814" y="142646"/>
                                </a:lnTo>
                                <a:lnTo>
                                  <a:pt x="501967" y="142646"/>
                                </a:lnTo>
                                <a:lnTo>
                                  <a:pt x="501967" y="47548"/>
                                </a:lnTo>
                                <a:close/>
                              </a:path>
                              <a:path w="548005" h="5372735">
                                <a:moveTo>
                                  <a:pt x="547509" y="5229352"/>
                                </a:moveTo>
                                <a:lnTo>
                                  <a:pt x="239369" y="5229352"/>
                                </a:lnTo>
                                <a:lnTo>
                                  <a:pt x="239369" y="5181511"/>
                                </a:lnTo>
                                <a:lnTo>
                                  <a:pt x="79717" y="5276901"/>
                                </a:lnTo>
                                <a:lnTo>
                                  <a:pt x="239369" y="5372189"/>
                                </a:lnTo>
                                <a:lnTo>
                                  <a:pt x="239369" y="5324449"/>
                                </a:lnTo>
                                <a:lnTo>
                                  <a:pt x="547509" y="5324449"/>
                                </a:lnTo>
                                <a:lnTo>
                                  <a:pt x="547509" y="5229352"/>
                                </a:lnTo>
                                <a:close/>
                              </a:path>
                            </a:pathLst>
                          </a:custGeom>
                          <a:solidFill>
                            <a:srgbClr val="3A2378"/>
                          </a:solidFill>
                        </wps:spPr>
                        <wps:bodyPr wrap="square" lIns="0" tIns="0" rIns="0" bIns="0" rtlCol="0">
                          <a:prstTxWarp prst="textNoShape">
                            <a:avLst/>
                          </a:prstTxWarp>
                          <a:noAutofit/>
                        </wps:bodyPr>
                      </wps:wsp>
                      <wps:wsp>
                        <wps:cNvPr id="1195" name="Graphic 1195"/>
                        <wps:cNvSpPr/>
                        <wps:spPr>
                          <a:xfrm>
                            <a:off x="16194" y="3901518"/>
                            <a:ext cx="331470" cy="67310"/>
                          </a:xfrm>
                          <a:custGeom>
                            <a:avLst/>
                            <a:gdLst/>
                            <a:ahLst/>
                            <a:cxnLst/>
                            <a:rect l="l" t="t" r="r" b="b"/>
                            <a:pathLst>
                              <a:path w="331470" h="67310">
                                <a:moveTo>
                                  <a:pt x="330864" y="0"/>
                                </a:moveTo>
                                <a:lnTo>
                                  <a:pt x="0" y="0"/>
                                </a:lnTo>
                                <a:lnTo>
                                  <a:pt x="0" y="66816"/>
                                </a:lnTo>
                                <a:lnTo>
                                  <a:pt x="330864" y="66816"/>
                                </a:lnTo>
                                <a:lnTo>
                                  <a:pt x="330864" y="0"/>
                                </a:lnTo>
                                <a:close/>
                              </a:path>
                            </a:pathLst>
                          </a:custGeom>
                          <a:solidFill>
                            <a:srgbClr val="23282B"/>
                          </a:solidFill>
                        </wps:spPr>
                        <wps:bodyPr wrap="square" lIns="0" tIns="0" rIns="0" bIns="0" rtlCol="0">
                          <a:prstTxWarp prst="textNoShape">
                            <a:avLst/>
                          </a:prstTxWarp>
                          <a:noAutofit/>
                        </wps:bodyPr>
                      </wps:wsp>
                      <wps:wsp>
                        <wps:cNvPr id="1196" name="Graphic 1196"/>
                        <wps:cNvSpPr/>
                        <wps:spPr>
                          <a:xfrm>
                            <a:off x="16194" y="3901518"/>
                            <a:ext cx="331470" cy="67310"/>
                          </a:xfrm>
                          <a:custGeom>
                            <a:avLst/>
                            <a:gdLst/>
                            <a:ahLst/>
                            <a:cxnLst/>
                            <a:rect l="l" t="t" r="r" b="b"/>
                            <a:pathLst>
                              <a:path w="331470" h="67310">
                                <a:moveTo>
                                  <a:pt x="0" y="66816"/>
                                </a:moveTo>
                                <a:lnTo>
                                  <a:pt x="330864" y="66816"/>
                                </a:lnTo>
                                <a:lnTo>
                                  <a:pt x="330864" y="0"/>
                                </a:lnTo>
                                <a:lnTo>
                                  <a:pt x="0" y="0"/>
                                </a:lnTo>
                                <a:lnTo>
                                  <a:pt x="0" y="66816"/>
                                </a:lnTo>
                                <a:close/>
                              </a:path>
                            </a:pathLst>
                          </a:custGeom>
                          <a:ln w="9585">
                            <a:solidFill>
                              <a:srgbClr val="23201D"/>
                            </a:solidFill>
                            <a:prstDash val="solid"/>
                          </a:ln>
                        </wps:spPr>
                        <wps:bodyPr wrap="square" lIns="0" tIns="0" rIns="0" bIns="0" rtlCol="0">
                          <a:prstTxWarp prst="textNoShape">
                            <a:avLst/>
                          </a:prstTxWarp>
                          <a:noAutofit/>
                        </wps:bodyPr>
                      </wps:wsp>
                      <wps:wsp>
                        <wps:cNvPr id="1197" name="Graphic 1197"/>
                        <wps:cNvSpPr/>
                        <wps:spPr>
                          <a:xfrm>
                            <a:off x="4804" y="6492525"/>
                            <a:ext cx="342265" cy="66675"/>
                          </a:xfrm>
                          <a:custGeom>
                            <a:avLst/>
                            <a:gdLst/>
                            <a:ahLst/>
                            <a:cxnLst/>
                            <a:rect l="l" t="t" r="r" b="b"/>
                            <a:pathLst>
                              <a:path w="342265" h="66675">
                                <a:moveTo>
                                  <a:pt x="342252" y="0"/>
                                </a:moveTo>
                                <a:lnTo>
                                  <a:pt x="0" y="0"/>
                                </a:lnTo>
                                <a:lnTo>
                                  <a:pt x="0" y="66585"/>
                                </a:lnTo>
                                <a:lnTo>
                                  <a:pt x="342252" y="66585"/>
                                </a:lnTo>
                                <a:lnTo>
                                  <a:pt x="342252" y="0"/>
                                </a:lnTo>
                                <a:close/>
                              </a:path>
                            </a:pathLst>
                          </a:custGeom>
                          <a:solidFill>
                            <a:srgbClr val="23282B"/>
                          </a:solidFill>
                        </wps:spPr>
                        <wps:bodyPr wrap="square" lIns="0" tIns="0" rIns="0" bIns="0" rtlCol="0">
                          <a:prstTxWarp prst="textNoShape">
                            <a:avLst/>
                          </a:prstTxWarp>
                          <a:noAutofit/>
                        </wps:bodyPr>
                      </wps:wsp>
                      <wps:wsp>
                        <wps:cNvPr id="1198" name="Graphic 1198"/>
                        <wps:cNvSpPr/>
                        <wps:spPr>
                          <a:xfrm>
                            <a:off x="4804" y="6492525"/>
                            <a:ext cx="342265" cy="66675"/>
                          </a:xfrm>
                          <a:custGeom>
                            <a:avLst/>
                            <a:gdLst/>
                            <a:ahLst/>
                            <a:cxnLst/>
                            <a:rect l="l" t="t" r="r" b="b"/>
                            <a:pathLst>
                              <a:path w="342265" h="66675">
                                <a:moveTo>
                                  <a:pt x="0" y="66585"/>
                                </a:moveTo>
                                <a:lnTo>
                                  <a:pt x="342252" y="66585"/>
                                </a:lnTo>
                                <a:lnTo>
                                  <a:pt x="342252" y="0"/>
                                </a:lnTo>
                                <a:lnTo>
                                  <a:pt x="0" y="0"/>
                                </a:lnTo>
                                <a:lnTo>
                                  <a:pt x="0" y="66585"/>
                                </a:lnTo>
                                <a:close/>
                              </a:path>
                            </a:pathLst>
                          </a:custGeom>
                          <a:ln w="9580">
                            <a:solidFill>
                              <a:srgbClr val="23201D"/>
                            </a:solidFill>
                            <a:prstDash val="solid"/>
                          </a:ln>
                        </wps:spPr>
                        <wps:bodyPr wrap="square" lIns="0" tIns="0" rIns="0" bIns="0" rtlCol="0">
                          <a:prstTxWarp prst="textNoShape">
                            <a:avLst/>
                          </a:prstTxWarp>
                          <a:noAutofit/>
                        </wps:bodyPr>
                      </wps:wsp>
                      <wps:wsp>
                        <wps:cNvPr id="1199" name="Graphic 1199"/>
                        <wps:cNvSpPr/>
                        <wps:spPr>
                          <a:xfrm>
                            <a:off x="16194" y="5694"/>
                            <a:ext cx="80010" cy="6487160"/>
                          </a:xfrm>
                          <a:custGeom>
                            <a:avLst/>
                            <a:gdLst/>
                            <a:ahLst/>
                            <a:cxnLst/>
                            <a:rect l="l" t="t" r="r" b="b"/>
                            <a:pathLst>
                              <a:path w="80010" h="6487160">
                                <a:moveTo>
                                  <a:pt x="80007" y="0"/>
                                </a:moveTo>
                                <a:lnTo>
                                  <a:pt x="0" y="0"/>
                                </a:lnTo>
                                <a:lnTo>
                                  <a:pt x="0" y="6486828"/>
                                </a:lnTo>
                                <a:lnTo>
                                  <a:pt x="80007" y="6486828"/>
                                </a:lnTo>
                                <a:lnTo>
                                  <a:pt x="80007" y="0"/>
                                </a:lnTo>
                                <a:close/>
                              </a:path>
                            </a:pathLst>
                          </a:custGeom>
                          <a:solidFill>
                            <a:srgbClr val="23282B"/>
                          </a:solidFill>
                        </wps:spPr>
                        <wps:bodyPr wrap="square" lIns="0" tIns="0" rIns="0" bIns="0" rtlCol="0">
                          <a:prstTxWarp prst="textNoShape">
                            <a:avLst/>
                          </a:prstTxWarp>
                          <a:noAutofit/>
                        </wps:bodyPr>
                      </wps:wsp>
                      <wps:wsp>
                        <wps:cNvPr id="1200" name="Graphic 1200"/>
                        <wps:cNvSpPr/>
                        <wps:spPr>
                          <a:xfrm>
                            <a:off x="16194" y="5694"/>
                            <a:ext cx="80010" cy="6487160"/>
                          </a:xfrm>
                          <a:custGeom>
                            <a:avLst/>
                            <a:gdLst/>
                            <a:ahLst/>
                            <a:cxnLst/>
                            <a:rect l="l" t="t" r="r" b="b"/>
                            <a:pathLst>
                              <a:path w="80010" h="6487160">
                                <a:moveTo>
                                  <a:pt x="0" y="6486828"/>
                                </a:moveTo>
                                <a:lnTo>
                                  <a:pt x="80007" y="6486828"/>
                                </a:lnTo>
                                <a:lnTo>
                                  <a:pt x="80007" y="0"/>
                                </a:lnTo>
                                <a:lnTo>
                                  <a:pt x="0" y="0"/>
                                </a:lnTo>
                                <a:lnTo>
                                  <a:pt x="0" y="6486828"/>
                                </a:lnTo>
                                <a:close/>
                              </a:path>
                            </a:pathLst>
                          </a:custGeom>
                          <a:ln w="11389">
                            <a:solidFill>
                              <a:srgbClr val="23201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578552pt;margin-top:-35.973534pt;width:509.9pt;height:516.85pt;mso-position-horizontal-relative:page;mso-position-vertical-relative:paragraph;z-index:-25172992" id="docshapegroup1040" coordorigin="1452,-719" coordsize="10198,10337">
                <v:rect style="position:absolute;left:4370;top:2784;width:1240;height:481" id="docshape1041" filled="true" fillcolor="#3a2378" stroked="false">
                  <v:fill type="solid"/>
                </v:rect>
                <v:shape style="position:absolute;left:4370;top:2784;width:2534;height:481" id="docshape1042" coordorigin="4371,2785" coordsize="2534,481" path="m4371,3265l5610,3265,5610,2785,4371,2785,4371,3265xm5898,2785l6905,2785e" filled="false" stroked="true" strokeweight=".822894pt" strokecolor="#23201d">
                  <v:path arrowok="t"/>
                  <v:stroke dashstyle="solid"/>
                </v:shape>
                <v:rect style="position:absolute;left:2052;top:-651;width:2193;height:2041" id="docshape1043" filled="true" fillcolor="#e9e600" stroked="false">
                  <v:fill type="solid"/>
                </v:rect>
                <v:shape style="position:absolute;left:1980;top:-711;width:2337;height:2161" id="docshape1044" coordorigin="1980,-711" coordsize="2337,2161" path="m4316,-711l4245,-711,4245,-711,4173,-711,4173,-651,4173,-590,4173,1330,2124,1330,2124,-590,4173,-590,4173,-651,2124,-651,4173,-651,4173,-711,2052,-711,1980,-711,1980,-591,1980,1330,1980,1450,2052,1450,2052,1390,2124,1390,2124,1390,4173,1390,4173,1390,4245,1390,4245,1449,4316,1449,4316,1330,4316,-590,4316,-591,4316,-711xe" filled="true" fillcolor="#23201d" stroked="false">
                  <v:path arrowok="t"/>
                  <v:fill type="solid"/>
                </v:shape>
                <v:rect style="position:absolute;left:2052;top:1389;width:2193;height:2041" id="docshape1045" filled="true" fillcolor="#e9e600" stroked="false">
                  <v:fill type="solid"/>
                </v:rect>
                <v:shape style="position:absolute;left:1980;top:1329;width:2337;height:2161" id="docshape1046" coordorigin="1980,1330" coordsize="2337,2161" path="m4316,1330l4245,1330,4173,1330,4173,1449,4173,1450,4173,3369,2124,3369,2124,1450,2124,1449,4173,1449,4173,1330,2052,1330,1980,1330,1980,1450,1980,3370,1980,3490,2052,3490,2052,3430,2124,3430,4173,3430,4245,3430,4245,3490,4316,3490,4316,3370,4316,3369,4316,1450,4245,1450,4245,1449,4316,1449,4316,1330xe" filled="true" fillcolor="#23201d" stroked="false">
                  <v:path arrowok="t"/>
                  <v:fill type="solid"/>
                </v:shape>
                <v:rect style="position:absolute;left:2052;top:3429;width:2193;height:2040" id="docshape1047" filled="true" fillcolor="#e9e600" stroked="false">
                  <v:fill type="solid"/>
                </v:rect>
                <v:shape style="position:absolute;left:1980;top:3369;width:2337;height:2161" id="docshape1048" coordorigin="1980,3369" coordsize="2337,2161" path="m4316,3369l4245,3369,4245,3370,4173,3370,4173,3490,4173,3490,4173,5409,4173,5410,2124,5410,2124,5409,2124,3490,2124,3490,4173,3490,4173,3370,2052,3370,1980,3370,1980,3490,1980,5409,1980,5529,2052,5529,2052,5469,2124,5469,2124,5470,4173,5470,4173,5469,4245,5469,4245,5530,4316,5530,4316,5410,4245,5410,4245,5409,4316,5409,4316,3490,4245,3490,4245,3490,4316,3490,4316,3369xe" filled="true" fillcolor="#23201d" stroked="false">
                  <v:path arrowok="t"/>
                  <v:fill type="solid"/>
                </v:shape>
                <v:rect style="position:absolute;left:2052;top:5469;width:2193;height:2041" id="docshape1049" filled="true" fillcolor="#e9e600" stroked="false">
                  <v:fill type="solid"/>
                </v:rect>
                <v:shape style="position:absolute;left:1980;top:5409;width:2337;height:2161" id="docshape1050" coordorigin="1980,5409" coordsize="2337,2161" path="m4316,5410l4245,5410,4245,5409,4173,5409,4173,7450,2124,7450,2124,7450,2124,5530,4173,5530,4173,5470,2124,5470,2124,5469,4173,5469,4173,5409,2052,5409,1980,5409,1980,5529,1980,7450,1980,7570,2052,7570,2052,7510,2124,7510,4173,7510,4245,7510,4245,7570,4316,7570,4316,7450,4245,7450,4245,7450,4316,7450,4316,5530,4316,5529,4316,5410xe" filled="true" fillcolor="#23201d" stroked="false">
                  <v:path arrowok="t"/>
                  <v:fill type="solid"/>
                </v:shape>
                <v:rect style="position:absolute;left:2052;top:7509;width:2193;height:2041" id="docshape1051" filled="true" fillcolor="#e9e600" stroked="false">
                  <v:fill type="solid"/>
                </v:rect>
                <v:shape style="position:absolute;left:1980;top:7449;width:2337;height:2161" id="docshape1052" coordorigin="1980,7450" coordsize="2337,2161" path="m4316,7450l4245,7450,4245,7450,4173,7450,4173,9550,2124,9550,2124,9550,4173,9550,4173,9490,2124,9490,2124,7570,4173,7570,4173,7510,2124,7510,4173,7510,4173,7450,2052,7450,1980,7450,1980,7570,1980,9490,1980,9610,2052,9610,4245,9610,4245,9610,4316,9610,4316,9490,4316,7570,4245,7570,4316,7570,4316,7450xe" filled="true" fillcolor="#23201d" stroked="false">
                  <v:path arrowok="t"/>
                  <v:fill type="solid"/>
                </v:shape>
                <v:shape style="position:absolute;left:8090;top:264;width:252;height:630" id="docshape1053" coordorigin="8091,265" coordsize="252,630" path="m8091,265l8342,265m8342,894l8342,265e" filled="false" stroked="true" strokeweight=".822894pt" strokecolor="#23201d">
                  <v:path arrowok="t"/>
                  <v:stroke dashstyle="solid"/>
                </v:shape>
                <v:shape style="position:absolute;left:8324;top:894;width:54;height:45" id="docshape1054" coordorigin="8324,894" coordsize="54,45" path="m8378,894l8360,894,8324,894,8342,939,8378,894xe" filled="true" fillcolor="#23282b" stroked="false">
                  <v:path arrowok="t"/>
                  <v:fill type="solid"/>
                </v:shape>
                <v:shape style="position:absolute;left:6527;top:-81;width:1564;height:691" id="docshape1055" coordorigin="6527,-81" coordsize="1564,691" path="m7695,-81l6905,-81,6725,85,6527,265,6725,444,6905,609,7695,609,7893,444,8091,265,7893,85,7695,-81xe" filled="true" fillcolor="#1d464b" stroked="false">
                  <v:path arrowok="t"/>
                  <v:fill type="solid"/>
                </v:shape>
                <v:shape style="position:absolute;left:7695;top:1869;width:630;height:915" id="docshape1056" coordorigin="7695,1870" coordsize="630,915" path="m7695,2785l8324,2785m8324,1870l8324,2785e" filled="false" stroked="true" strokeweight=".822894pt" strokecolor="#23201d">
                  <v:path arrowok="t"/>
                  <v:stroke dashstyle="solid"/>
                </v:shape>
                <v:shape style="position:absolute;left:8288;top:1824;width:72;height:45" id="docshape1057" coordorigin="8288,1825" coordsize="72,45" path="m8324,1825l8288,1870,8342,1870,8360,1870,8324,1825xe" filled="true" fillcolor="#23282b" stroked="false">
                  <v:path arrowok="t"/>
                  <v:fill type="solid"/>
                </v:shape>
                <v:line style="position:absolute" from="7785,-96" to="11523,-66" stroked="true" strokeweight=".748963pt" strokecolor="#23201d">
                  <v:stroke dashstyle="solid"/>
                </v:line>
                <v:shape style="position:absolute;left:7686;top:-149;width:143;height:137" type="#_x0000_t75" id="docshape1058" stroked="false">
                  <v:imagedata r:id="rId209" o:title=""/>
                </v:shape>
                <v:shape style="position:absolute;left:7695;top:-81;width:3828;height:8821" id="docshape1059" coordorigin="7695,-81" coordsize="3828,8821" path="m11523,8740l11523,-81m7695,2785l7695,2965e" filled="false" stroked="true" strokeweight=".822894pt" strokecolor="#23201d">
                  <v:path arrowok="t"/>
                  <v:stroke dashstyle="solid"/>
                </v:shape>
                <v:shape style="position:absolute;left:6527;top:2094;width:1564;height:690" id="docshape1060" coordorigin="6527,2095" coordsize="1564,690" path="m7695,2095l6905,2095,6725,2275,6527,2440,6725,2620,6905,2785,7695,2785,7893,2620,8091,2440,7893,2275,7695,2095xe" filled="true" fillcolor="#1d464b" stroked="false">
                  <v:path arrowok="t"/>
                  <v:fill type="solid"/>
                </v:shape>
                <v:shape style="position:absolute;left:4442;top:2139;width:1331;height:540" id="docshape1061" coordorigin="4442,2140" coordsize="1331,540" path="m5323,2140l5323,2275,4442,2275,4442,2545,5323,2545,5323,2680,5772,2410,5323,2140xe" filled="true" fillcolor="#e44200" stroked="false">
                  <v:path arrowok="t"/>
                  <v:fill type="solid"/>
                </v:shape>
                <v:shape style="position:absolute;left:6527;top:4014;width:1564;height:4801" id="docshape1062" coordorigin="6527,4015" coordsize="1564,4801" path="m8091,8470l7893,8290,7695,8125,6905,8125,6725,8290,6527,8470,6725,8650,6905,8815,7695,8815,7893,8650,8091,8470xm8091,6400l7893,6220,7695,6055,6905,6055,6725,6220,6527,6400,6725,6565,6905,6745,7695,6745,7893,6565,8091,6400xm8091,4360l7893,4195,7695,4015,6905,4015,6725,4195,6527,4360,6725,4540,6905,4720,7695,4720,8091,4360xe" filled="true" fillcolor="#1d464b" stroked="false">
                  <v:path arrowok="t"/>
                  <v:fill type="solid"/>
                </v:shape>
                <v:shape style="position:absolute;left:5520;top:1089;width:737;height:645" id="docshape1063" coordorigin="5521,1090" coordsize="737,645" path="m5898,1090l5700,1254,5521,1405,5700,1570,5898,1734,6257,1405,6078,1254,5898,1090xe" filled="true" fillcolor="#7d443e" stroked="false">
                  <v:path arrowok="t"/>
                  <v:fill type="solid"/>
                </v:shape>
                <v:rect style="position:absolute;left:4370;top:1584;width:1240;height:481" id="docshape1064" filled="true" fillcolor="#3a2378" stroked="false">
                  <v:fill type="solid"/>
                </v:rect>
                <v:rect style="position:absolute;left:4370;top:1584;width:1240;height:481" id="docshape1065" filled="false" stroked="true" strokeweight=".768235pt" strokecolor="#23201d">
                  <v:stroke dashstyle="solid"/>
                </v:rect>
                <v:shape style="position:absolute;left:4442;top:-6;width:1331;height:540" id="docshape1066" coordorigin="4442,-5" coordsize="1331,540" path="m5323,-5l5323,130,4442,130,4442,400,5323,400,5323,535,5772,265,5323,-5xe" filled="true" fillcolor="#e44200" stroked="false">
                  <v:path arrowok="t"/>
                  <v:fill type="solid"/>
                </v:shape>
                <v:shape style="position:absolute;left:4550;top:2214;width:701;height:391" id="docshape1067" coordorigin="4550,2215" coordsize="701,391" path="m4910,2215l4814,2222,4729,2242,4656,2273,4599,2312,4550,2410,4563,2461,4656,2547,4729,2577,4814,2598,4910,2605,4997,2598,5078,2577,5148,2547,5202,2507,5251,2410,5238,2359,5148,2273,5078,2242,4997,2222,4910,2215xe" filled="true" fillcolor="#b8376c" stroked="false">
                  <v:path arrowok="t"/>
                  <v:fill type="solid"/>
                </v:shape>
                <v:shape style="position:absolute;left:5502;top:3114;width:755;height:4801" id="docshape1068" coordorigin="5503,3115" coordsize="755,4801" path="m6257,7585l6078,7435,5898,7270,5521,7585,5700,7750,5898,7915,6257,7585xm6257,5500l6078,5350,5898,5185,5700,5350,5521,5500,5700,5665,5898,5830,6078,5665,6257,5500xm6257,3430l6078,3265,5880,3115,5700,3265,5503,3430,5880,3745,6078,3595,6257,3430xe" filled="true" fillcolor="#7d443e" stroked="false">
                  <v:path arrowok="t"/>
                  <v:fill type="solid"/>
                </v:shape>
                <v:shape style="position:absolute;left:4442;top:4104;width:1331;height:4696" id="docshape1069" coordorigin="4442,4105" coordsize="1331,4696" path="m5772,8530l5323,8260,5323,8395,4442,8395,4442,8665,5323,8665,5323,8800,5772,8530xm5772,6490l5323,6220,5323,6355,4442,6355,4442,6625,5323,6625,5323,6760,5772,6490xm5772,4360l5323,4105,5323,4240,4442,4240,4442,4495,5323,4495,5323,4630,5772,4360xe" filled="true" fillcolor="#e44200" stroked="false">
                  <v:path arrowok="t"/>
                  <v:fill type="solid"/>
                </v:shape>
                <v:line style="position:absolute" from="7335,2034" to="7335,595" stroked="true" strokeweight=".896835pt" strokecolor="#23201d">
                  <v:stroke dashstyle="solid"/>
                </v:line>
                <v:shape style="position:absolute;left:7299;top:2034;width:73;height:61" id="docshape1070" coordorigin="7300,2034" coordsize="73,61" path="m7372,2034l7318,2034,7300,2034,7335,2095,7372,2034xe" filled="true" fillcolor="#23282b" stroked="false">
                  <v:path arrowok="t"/>
                  <v:fill type="solid"/>
                </v:shape>
                <v:shape style="position:absolute;left:6257;top:1404;width:1708;height:2" id="docshape1071" coordorigin="6257,1405" coordsize="1708,0" path="m6401,1405l6257,1405m6563,1405l6437,1405m6743,1405l6599,1405m6922,1405l6779,1405m7084,1405l6958,1405m7264,1405l7120,1405m7444,1405l7300,1405m7605,1405l7479,1405m7785,1405l7641,1405m7965,1405l7821,1405e" filled="false" stroked="true" strokeweight=".822894pt" strokecolor="#23201d">
                  <v:path arrowok="t"/>
                  <v:stroke dashstyle="solid"/>
                </v:shape>
                <v:rect style="position:absolute;left:8126;top:939;width:953;height:886" id="docshape1072" filled="true" fillcolor="#7d443e" stroked="false">
                  <v:fill type="solid"/>
                </v:rect>
                <v:line style="position:absolute" from="8126,1405" to="7982,1405" stroked="true" strokeweight=".748953pt" strokecolor="#23201d">
                  <v:stroke dashstyle="solid"/>
                </v:line>
                <v:shape style="position:absolute;left:6688;top:1554;width:468;height:330" id="docshape1073" coordorigin="6689,1555" coordsize="468,330" path="m6922,1555l6833,1568,6759,1603,6708,1656,6689,1720,6708,1783,6759,1836,6833,1872,6922,1885,7012,1872,7086,1836,7137,1783,7156,1720,7137,1656,7086,1603,7012,1568,6922,1555xe" filled="true" fillcolor="#007046" stroked="false">
                  <v:path arrowok="t"/>
                  <v:fill type="solid"/>
                </v:shape>
                <v:line style="position:absolute" from="6922,1870" to="6922,2095" stroked="true" strokeweight=".896835pt" strokecolor="#23201d">
                  <v:stroke dashstyle="solid"/>
                </v:line>
                <v:shape style="position:absolute;left:5844;top:1029;width:72;height:60" id="docshape1074" coordorigin="5844,1030" coordsize="72,60" path="m5916,1030l5862,1030,5844,1030,5880,1090,5916,1030xe" filled="true" fillcolor="#23282b" stroked="false">
                  <v:path arrowok="t"/>
                  <v:fill type="solid"/>
                </v:shape>
                <v:shape style="position:absolute;left:5880;top:1734;width:1007;height:361" id="docshape1075" coordorigin="5880,1734" coordsize="1007,361" path="m5898,1734l5898,2095m5880,2095l6886,2095e" filled="false" stroked="true" strokeweight=".822894pt" strokecolor="#23201d">
                  <v:path arrowok="t"/>
                  <v:stroke dashstyle="solid"/>
                </v:shape>
                <v:shape style="position:absolute;left:6850;top:2064;width:73;height:61" id="docshape1076" coordorigin="6850,2065" coordsize="73,61" path="m6850,2065l6850,2110,6850,2125,6922,2095,6850,2065xe" filled="true" fillcolor="#23282b" stroked="false">
                  <v:path arrowok="t"/>
                  <v:fill type="solid"/>
                </v:shape>
                <v:line style="position:absolute" from="5862,1855" to="5610,1855" stroked="true" strokeweight=".748953pt" strokecolor="#23201d">
                  <v:stroke dashstyle="solid"/>
                </v:line>
                <v:shape style="position:absolute;left:6850;top:3984;width:73;height:75" id="docshape1077" coordorigin="6850,3985" coordsize="73,75" path="m6850,3985l6850,4030,6850,4060,6922,4015,6850,3985xe" filled="true" fillcolor="#23282b" stroked="false">
                  <v:path arrowok="t"/>
                  <v:fill type="solid"/>
                </v:shape>
                <v:shape style="position:absolute;left:5610;top:2784;width:324;height:331" type="#_x0000_t75" id="docshape1078" stroked="false">
                  <v:imagedata r:id="rId210" o:title=""/>
                </v:shape>
                <v:shape style="position:absolute;left:4514;top:3429;width:3451;height:2" id="docshape1079" coordorigin="4514,3430" coordsize="3451,0" path="m4640,3430l4514,3430m4820,3430l4676,3430m4999,3430l4856,3430m5161,3430l5036,3430m5341,3430l5197,3430m5521,3430l5377,3430m6401,3430l6257,3430m6563,3430l6419,3430m6743,3430l6599,3430m6922,3430l6779,3430m7084,3430l6940,3430m7264,3430l7120,3430m7444,3430l7300,3430m7605,3430l7462,3430m7785,3430l7641,3430m7965,3430l7821,3430e" filled="false" stroked="true" strokeweight=".822894pt" strokecolor="#23201d">
                  <v:path arrowok="t"/>
                  <v:stroke dashstyle="solid"/>
                </v:shape>
                <v:line style="position:absolute" from="7982,3430" to="8091,3430" stroked="true" strokeweight=".748953pt" strokecolor="#23201d">
                  <v:stroke dashstyle="solid"/>
                </v:line>
                <v:shape style="position:absolute;left:7497;top:2964;width:396;height:330" type="#_x0000_t75" id="docshape1080" stroked="false">
                  <v:imagedata r:id="rId211" o:title=""/>
                </v:shape>
                <v:rect style="position:absolute;left:8090;top:3054;width:935;height:871" id="docshape1081" filled="true" fillcolor="#7d443e" stroked="false">
                  <v:fill type="solid"/>
                </v:rect>
                <v:line style="position:absolute" from="7264,4000" to="7264,2785" stroked="true" strokeweight=".896835pt" strokecolor="#23201d">
                  <v:stroke dashstyle="solid"/>
                </v:line>
                <v:shape style="position:absolute;left:7227;top:3969;width:72;height:60" id="docshape1082" coordorigin="7228,3970" coordsize="72,60" path="m7300,3970l7246,3970,7228,3970,7264,4030,7300,3970xe" filled="true" fillcolor="#23282b" stroked="false">
                  <v:path arrowok="t"/>
                  <v:fill type="solid"/>
                </v:shape>
                <v:shape style="position:absolute;left:5880;top:1989;width:2229;height:2041" id="docshape1083" coordorigin="5880,1990" coordsize="2229,2041" path="m8109,2080l8109,2125m8109,2140l8109,2185m8109,2200l8109,2260m8109,2275l8109,2320m8109,2335l8109,2395m8109,2410l8109,2455m8109,2470l8109,2515m8109,2530l8109,2590m8109,2605l8109,2650m8109,2665l8109,2725m8109,2740l8109,2785m7264,1990l7318,1990m7335,1990l7408,1990m7426,1990l7479,1990m7497,1990l7551,1990m7587,1990l7641,1990m7659,1990l7713,1990m7731,1990l7803,1990m7821,1990l7875,1990m7893,1990l7947,1990m7982,1990l8036,1990m8055,1990l8109,1990m6940,1990l6994,1990m7012,1990l7084,1990m7102,1990l7156,1990m7174,1990l7228,1990m6850,1990l6905,1990m6527,1990l6581,1990m6599,1990l6671,1990m6689,1990l6743,1990m6761,1990l6814,1990m6509,2080l6509,2125m6509,2140l6509,2185m6509,2200l6509,2260m6509,2275l6509,2320m6509,2335l6509,2395m6509,2410l6509,2455m6509,2470l6509,2515m6509,2530l6509,2590m6509,2605l6509,2650m6509,2665l6509,2725m6509,2740l6509,2785m6509,2005l6509,2065m5880,3745l5880,4030m5880,4015l6886,4015e" filled="false" stroked="true" strokeweight=".822894pt" strokecolor="#23201d">
                  <v:path arrowok="t"/>
                  <v:stroke dashstyle="solid"/>
                </v:shape>
                <v:shape style="position:absolute;left:8072;top:3924;width:360;height:443" type="#_x0000_t75" id="docshape1084" stroked="false">
                  <v:imagedata r:id="rId212" o:title=""/>
                </v:shape>
                <v:shape style="position:absolute;left:5897;top:4704;width:1115;height:465" id="docshape1085" coordorigin="5898,4705" coordsize="1115,465" path="m5898,4705l7012,4705m5898,4705l5898,5170e" filled="false" stroked="true" strokeweight=".822894pt" strokecolor="#23201d">
                  <v:path arrowok="t"/>
                  <v:stroke dashstyle="solid"/>
                </v:shape>
                <v:shape style="position:absolute;left:5862;top:5139;width:72;height:45" id="docshape1086" coordorigin="5862,5140" coordsize="72,45" path="m5934,5140l5880,5140,5862,5140,5898,5185,5934,5140xe" filled="true" fillcolor="#23282b" stroked="false">
                  <v:path arrowok="t"/>
                  <v:fill type="solid"/>
                </v:shape>
                <v:shape style="position:absolute;left:6868;top:5049;width:2193;height:870" id="docshape1087" coordorigin="6868,5050" coordsize="2193,870" path="m7731,5500l7724,5432,7704,5368,7671,5309,7628,5257,7576,5212,7515,5175,7448,5148,7376,5131,7300,5125,7223,5131,7151,5148,7084,5175,7024,5212,6971,5257,6928,5309,6896,5368,6875,5432,6868,5500,6875,5568,6896,5632,6928,5690,6971,5743,7024,5787,7084,5824,7151,5852,7223,5869,7300,5875,7376,5869,7448,5852,7515,5824,7576,5787,7628,5743,7671,5690,7704,5632,7724,5568,7731,5500xm9061,5050l8126,5050,8126,5920,9061,5920,9061,5050xe" filled="true" fillcolor="#7d443e" stroked="false">
                  <v:path arrowok="t"/>
                  <v:fill type="solid"/>
                </v:shape>
                <v:shape style="position:absolute;left:4334;top:4719;width:2966;height:781" id="docshape1088" coordorigin="4334,4720" coordsize="2966,781" path="m4478,5500l4334,5500m4640,5500l4514,5500m4820,5500l4676,5500m4999,5500l4856,5500m5161,5500l5036,5500m5341,5500l5197,5500m5521,5500l5377,5500m7300,4720l7300,5065e" filled="false" stroked="true" strokeweight=".822894pt" strokecolor="#23201d">
                  <v:path arrowok="t"/>
                  <v:stroke dashstyle="solid"/>
                </v:shape>
                <v:shape style="position:absolute;left:7263;top:5064;width:72;height:60" id="docshape1089" coordorigin="7264,5065" coordsize="72,60" path="m7335,5065l7282,5065,7264,5065,7300,5125,7335,5065xe" filled="true" fillcolor="#23282b" stroked="false">
                  <v:path arrowok="t"/>
                  <v:fill type="solid"/>
                </v:shape>
                <v:line style="position:absolute" from="7300,5875" to="7300,6025" stroked="true" strokeweight=".896835pt" strokecolor="#23201d">
                  <v:stroke dashstyle="solid"/>
                </v:line>
                <v:shape style="position:absolute;left:7263;top:5469;width:863;height:571" id="docshape1090" coordorigin="7264,5470" coordsize="863,571" path="m7335,5995l7282,5995,7264,5995,7300,6040,7335,5995xm8126,5500l8055,5470,8055,5515,8055,5530,8126,5500xe" filled="true" fillcolor="#23282b" stroked="false">
                  <v:path arrowok="t"/>
                  <v:fill type="solid"/>
                </v:shape>
                <v:shape style="position:absolute;left:7731;top:5499;width:3811;height:495" id="docshape1091" coordorigin="7731,5500" coordsize="3811,495" path="m7731,5500l8055,5500m9204,5500l9079,5500m9384,5500l9241,5500m9564,5500l9420,5500m9726,5500l9600,5500m9906,5500l9762,5500m10085,5500l9942,5500m10301,5500l10157,5500m10463,5500l10319,5500m10643,5500l10498,5500m10822,5500l10678,5500m10984,5500l10840,5500m11163,5500l11020,5500m11361,5500l11217,5500m11541,5500l11397,5500m9456,5635l9456,5905m9456,5635l9097,5635m7965,5995l9204,5995e" filled="false" stroked="true" strokeweight=".822894pt" strokecolor="#23201d">
                  <v:path arrowok="t"/>
                  <v:stroke dashstyle="solid"/>
                </v:shape>
                <v:shape style="position:absolute;left:7731;top:5499;width:72;height:60" id="docshape1092" coordorigin="7731,5500" coordsize="72,60" path="m7731,5500l7749,5560,7785,5545,7803,5530,7731,5500xe" filled="true" fillcolor="#23282b" stroked="false">
                  <v:path arrowok="t"/>
                  <v:fill type="solid"/>
                </v:shape>
                <v:line style="position:absolute" from="7965,5995" to="7767,5545" stroked="true" strokeweight=".872902pt" strokecolor="#23201d">
                  <v:stroke dashstyle="solid"/>
                </v:line>
                <v:shape style="position:absolute;left:6850;top:6009;width:1295;height:421" id="docshape1093" coordorigin="6850,6010" coordsize="1295,421" path="m6922,6040l6850,6010,6850,6055,6850,6085,6922,6040xm8144,6370l8091,6400,8144,6430,8144,6385,8144,6370xe" filled="true" fillcolor="#23282b" stroked="false">
                  <v:path arrowok="t"/>
                  <v:fill type="solid"/>
                </v:shape>
                <v:shape style="position:absolute;left:5897;top:5814;width:3307;height:585" id="docshape1094" coordorigin="5898,5815" coordsize="3307,585" path="m5898,5815l5898,6055m5898,6040l6886,6040m8091,6400l9204,6400e" filled="false" stroked="true" strokeweight=".822894pt" strokecolor="#23201d">
                  <v:path arrowok="t"/>
                  <v:stroke dashstyle="solid"/>
                </v:shape>
                <v:shape style="position:absolute;left:9060;top:5604;width:72;height:60" id="docshape1095" coordorigin="9061,5605" coordsize="72,60" path="m9133,5605l9061,5635,9133,5665,9133,5620,9133,5605xe" filled="true" fillcolor="#23282b" stroked="false">
                  <v:path arrowok="t"/>
                  <v:fill type="solid"/>
                </v:shape>
                <v:shape style="position:absolute;left:5897;top:6729;width:1115;height:480" id="docshape1096" coordorigin="5898,6730" coordsize="1115,480" path="m5898,6730l7012,6730m5898,6730l5898,7210e" filled="false" stroked="true" strokeweight=".822894pt" strokecolor="#23201d">
                  <v:path arrowok="t"/>
                  <v:stroke dashstyle="solid"/>
                </v:shape>
                <v:shape style="position:absolute;left:5862;top:7209;width:72;height:60" id="docshape1097" coordorigin="5862,7210" coordsize="72,60" path="m5934,7210l5880,7210,5862,7210,5898,7270,5934,7210xe" filled="true" fillcolor="#23282b" stroked="false">
                  <v:path arrowok="t"/>
                  <v:fill type="solid"/>
                </v:shape>
                <v:line style="position:absolute" from="7335,8080" to="7335,6745" stroked="true" strokeweight=".896835pt" strokecolor="#23201d">
                  <v:stroke dashstyle="solid"/>
                </v:line>
                <v:shape style="position:absolute;left:7299;top:8079;width:73;height:45" id="docshape1098" coordorigin="7300,8080" coordsize="73,45" path="m7372,8080l7318,8080,7300,8080,7335,8125,7372,8080xe" filled="true" fillcolor="#23282b" stroked="false">
                  <v:path arrowok="t"/>
                  <v:fill type="solid"/>
                </v:shape>
                <v:shape style="position:absolute;left:7731;top:6819;width:1474;height:1276" id="docshape1099" coordorigin="7731,6820" coordsize="1474,1276" path="m8180,6820l9204,6820m8180,6820l7731,8095e" filled="false" stroked="true" strokeweight=".822894pt" strokecolor="#23201d">
                  <v:path arrowok="t"/>
                  <v:stroke dashstyle="solid"/>
                </v:shape>
                <v:shape style="position:absolute;left:7695;top:8064;width:72;height:60" id="docshape1100" coordorigin="7695,8065" coordsize="72,60" path="m7695,8065l7695,8125,7713,8110,7749,8110,7767,8095,7695,8065xe" filled="true" fillcolor="#23282b" stroked="false">
                  <v:path arrowok="t"/>
                  <v:fill type="solid"/>
                </v:shape>
                <v:rect style="position:absolute;left:8126;top:7089;width:935;height:870" id="docshape1101" filled="true" fillcolor="#7d443e" stroked="false">
                  <v:fill type="solid"/>
                </v:rect>
                <v:shape style="position:absolute;left:8072;top:8019;width:324;height:451" id="docshape1102" coordorigin="8073,8020" coordsize="324,451" path="m8073,8470l8396,8470m8396,8020l8396,8470e" filled="false" stroked="true" strokeweight=".822894pt" strokecolor="#23201d">
                  <v:path arrowok="t"/>
                  <v:stroke dashstyle="solid"/>
                </v:shape>
                <v:shape style="position:absolute;left:6850;top:7959;width:1582;height:196" id="docshape1103" coordorigin="6850,7960" coordsize="1582,196" path="m6922,8125l6850,8095,6850,8140,6850,8155,6922,8125xm8432,8020l8396,7960,8360,8020,8414,8020,8432,8020xe" filled="true" fillcolor="#23282b" stroked="false">
                  <v:path arrowok="t"/>
                  <v:fill type="solid"/>
                </v:shape>
                <v:shape style="position:absolute;left:5897;top:7900;width:989;height:225" id="docshape1104" coordorigin="5898,7900" coordsize="989,225" path="m5898,7900l5898,8125m5898,8125l6886,8125e" filled="false" stroked="true" strokeweight=".822894pt" strokecolor="#23201d">
                  <v:path arrowok="t"/>
                  <v:stroke dashstyle="solid"/>
                </v:shape>
                <v:shape style="position:absolute;left:5826;top:1824;width:72;height:60" id="docshape1105" coordorigin="5826,1825" coordsize="72,60" path="m5826,1825l5826,1870,5826,1885,5898,1855,5826,1825xe" filled="true" fillcolor="#23282b" stroked="false">
                  <v:path arrowok="t"/>
                  <v:fill type="solid"/>
                </v:shape>
                <v:shape style="position:absolute;left:4334;top:264;width:7027;height:7306" id="docshape1106" coordorigin="4334,265" coordsize="7027,7306" path="m5880,265l6563,265m5880,265l5880,1045m4478,7570l4334,7570m4640,7570l4514,7570m4820,7570l4676,7570m4999,7570l4856,7570m5161,7570l5036,7570m5341,7570l5197,7570m5521,7570l5377,7570m6401,7570l6257,7570m6563,7570l6419,7570m6743,7570l6599,7570m6886,7570l6779,7570m9204,7570l9079,7570m9384,7570l9259,7570m9564,7570l9420,7570m9744,7570l9600,7570m9906,7570l9780,7570m10085,7570l9942,7570m10301,7570l10157,7570m10481,7570l10337,7570m10643,7570l10498,7570m10822,7570l10678,7570m11002,7570l10858,7570m11163,7570l11020,7570m11361,7570l11235,7570m7066,7570l6940,7570m7246,7570l7102,7570m7497,7570l7372,7570m7641,7570l7533,7570m7839,7570l7695,7570m8018,7570l7875,7570e" filled="false" stroked="true" strokeweight=".822894pt" strokecolor="#23201d">
                  <v:path arrowok="t"/>
                  <v:stroke dashstyle="solid"/>
                </v:shape>
                <v:shape style="position:absolute;left:7928;top:4569;width:1222;height:4620" id="docshape1107" coordorigin="7929,4570" coordsize="1222,4620" path="m9097,4645l8612,4645,8612,4570,8360,4720,8612,4870,8612,4795,9097,4795,9097,4645xm9151,9040l8935,8890,8935,8965,7929,8965,7929,9115,8935,9115,8935,9190,9151,9040xe" filled="true" fillcolor="#3a2378" stroked="false">
                  <v:path arrowok="t"/>
                  <v:fill type="solid"/>
                </v:shape>
                <v:shape style="position:absolute;left:8126;top:8874;width:827;height:391" id="docshape1108" coordorigin="8126,8875" coordsize="827,391" path="m8540,8875l8443,8880,8356,8895,8279,8919,8216,8949,8168,8985,8126,9070,8137,9114,8216,9191,8279,9221,8356,9245,8443,9260,8540,9265,8631,9260,8716,9245,8793,9221,8858,9191,8909,9154,8953,9070,8941,9026,8858,8949,8793,8919,8716,8895,8631,8880,8540,8875xe" filled="true" fillcolor="#7d443e" stroked="false">
                  <v:path arrowok="t"/>
                  <v:fill type="solid"/>
                </v:shape>
                <v:shape style="position:absolute;left:4298;top:-696;width:7351;height:10291" id="docshape1109" coordorigin="4298,-696" coordsize="7351,10291" path="m11397,8740l11523,8740m9223,3430l9079,3430m11577,-696l11649,-696m4298,-681l4604,-681m4694,-681l4999,-681m5107,-681l5395,-681m5503,-681l5808,-681m5898,-681l6204,-681m6311,-681l6617,-681m6707,-681l7012,-681m7102,-681l7408,-681m7515,-681l7821,-681m7911,-681l8216,-681m8324,-681l8612,-681m8719,-681l9025,-681m9115,-681l9420,-681m9528,-681l9834,-681m9924,-681l10229,-681m10337,-681l10625,-681m10732,-681l11038,-681m11128,-681l11433,-681m11613,-681l11613,-440m11613,-200l11613,55m11613,295l11613,550m11613,790l11613,1045m11613,1285l11613,1540m11613,1779l11613,2034m11613,2275l11613,2530m11613,2770l11613,3025m11613,3265l11613,3520m11613,3760l11613,4015m11613,4255l11613,4510m11613,4750l11613,5005m11613,5245l11613,5500m11613,5740l11613,5995m11613,6235l11613,6475m11613,6730l11613,6970m11613,7225l11613,7465m11613,7705l11613,7960m11613,8200l11613,8455m11613,8695l11613,8950m11613,9190l11613,9445m4298,9595l4604,9595m4694,9595l4999,9595m5107,9595l5395,9595m5503,9595l5808,9595m5898,9595l6204,9595m6311,9595l6617,9595m6707,9595l7012,9595m7102,9595l7408,9595m7515,9595l7821,9595m7911,9595l8216,9595m8324,9595l8612,9595m8719,9595l9025,9595m9115,9595l9420,9595m9528,9595l9834,9595m9924,9595l10229,9595m10337,9595l10625,9595m10732,9595l11038,9595m11128,9595l11433,9595m11577,9580l11649,9580m11523,1254l11415,1254m11595,1254l11559,1254m11613,7570l11541,7570e" filled="false" stroked="true" strokeweight=".822894pt" strokecolor="#23201d">
                  <v:path arrowok="t"/>
                  <v:stroke dashstyle="solid"/>
                </v:shape>
                <v:shape style="position:absolute;left:8216;top:1194;width:73;height:45" id="docshape1110" coordorigin="8216,1194" coordsize="73,45" path="m8288,1194l8252,1194,8216,1194,8216,1209,8219,1220,8227,1230,8239,1237,8252,1239,8265,1237,8277,1230,8285,1220,8288,1209,8288,1194xe" filled="true" fillcolor="#ffffff" stroked="false">
                  <v:path arrowok="t"/>
                  <v:fill type="solid"/>
                </v:shape>
                <v:shape style="position:absolute;left:8216;top:1194;width:73;height:45" id="docshape1111" coordorigin="8216,1194" coordsize="73,45" path="m8252,1194l8270,1194,8288,1194,8288,1209,8285,1220,8277,1230,8265,1237,8252,1239,8239,1237,8227,1230,8219,1220,8216,1209,8216,1194,8234,1194,8252,1194xe" filled="false" stroked="true" strokeweight=".790175pt" strokecolor="#ffffff">
                  <v:path arrowok="t"/>
                  <v:stroke dashstyle="solid"/>
                </v:shape>
                <v:shape style="position:absolute;left:8216;top:1299;width:73;height:45" id="docshape1112" coordorigin="8216,1300" coordsize="73,45" path="m8288,1300l8252,1300,8216,1300,8216,1315,8219,1326,8227,1335,8239,1342,8252,1345,8265,1342,8277,1335,8285,1326,8288,1315,8288,1300xe" filled="true" fillcolor="#ffffff" stroked="false">
                  <v:path arrowok="t"/>
                  <v:fill type="solid"/>
                </v:shape>
                <v:shape style="position:absolute;left:8216;top:1299;width:73;height:45" id="docshape1113" coordorigin="8216,1300" coordsize="73,45" path="m8252,1300l8270,1300,8288,1300,8288,1315,8285,1326,8277,1335,8265,1342,8252,1345,8239,1342,8227,1335,8219,1326,8216,1315,8216,1300,8234,1300,8252,1300xe" filled="false" stroked="true" strokeweight=".790175pt" strokecolor="#ffffff">
                  <v:path arrowok="t"/>
                  <v:stroke dashstyle="solid"/>
                </v:shape>
                <v:shape style="position:absolute;left:8216;top:1404;width:73;height:45" id="docshape1114" coordorigin="8216,1405" coordsize="73,45" path="m8288,1405l8252,1405,8216,1405,8216,1420,8219,1431,8227,1440,8239,1447,8252,1449,8265,1447,8277,1440,8285,1431,8288,1420,8288,1405xe" filled="true" fillcolor="#ffffff" stroked="false">
                  <v:path arrowok="t"/>
                  <v:fill type="solid"/>
                </v:shape>
                <v:shape style="position:absolute;left:8216;top:1404;width:73;height:45" id="docshape1115" coordorigin="8216,1405" coordsize="73,45" path="m8252,1405l8270,1405,8288,1405,8288,1420,8285,1431,8277,1440,8265,1447,8252,1449,8239,1447,8227,1440,8219,1431,8216,1420,8216,1405,8234,1405,8252,1405xe" filled="false" stroked="true" strokeweight=".790175pt" strokecolor="#ffffff">
                  <v:path arrowok="t"/>
                  <v:stroke dashstyle="solid"/>
                </v:shape>
                <v:shape style="position:absolute;left:8216;top:1614;width:73;height:45" id="docshape1116" coordorigin="8216,1615" coordsize="73,45" path="m8270,1615l8234,1615,8216,1630,8219,1641,8227,1650,8239,1657,8252,1660,8265,1657,8277,1650,8285,1641,8288,1630,8270,1615xe" filled="true" fillcolor="#ffffff" stroked="false">
                  <v:path arrowok="t"/>
                  <v:fill type="solid"/>
                </v:shape>
                <v:shape style="position:absolute;left:8216;top:1614;width:73;height:45" id="docshape1117" coordorigin="8216,1615" coordsize="73,45" path="m8252,1615l8270,1615,8288,1630,8285,1641,8277,1650,8265,1657,8252,1660,8239,1657,8227,1650,8219,1641,8216,1630,8234,1615,8252,1615xe" filled="false" stroked="true" strokeweight=".790175pt" strokecolor="#ffffff">
                  <v:path arrowok="t"/>
                  <v:stroke dashstyle="solid"/>
                </v:shape>
                <v:shape style="position:absolute;left:8162;top:3414;width:72;height:60" id="docshape1118" coordorigin="8162,3415" coordsize="72,60" path="m8198,3415l8185,3417,8174,3424,8165,3434,8162,3445,8165,3456,8174,3465,8185,3472,8198,3475,8219,3472,8230,3465,8234,3456,8234,3445,8234,3434,8230,3424,8219,3417,8198,3415xe" filled="true" fillcolor="#ffffff" stroked="false">
                  <v:path arrowok="t"/>
                  <v:fill type="solid"/>
                </v:shape>
                <v:shape style="position:absolute;left:8162;top:3414;width:72;height:60" id="docshape1119" coordorigin="8162,3415" coordsize="72,60" path="m8198,3415l8219,3417,8230,3424,8234,3434,8234,3445,8234,3456,8230,3465,8219,3472,8198,3475,8185,3472,8174,3465,8165,3456,8162,3445,8165,3434,8174,3424,8185,3417,8198,3415xe" filled="false" stroked="true" strokeweight=".809713pt" strokecolor="#ffffff">
                  <v:path arrowok="t"/>
                  <v:stroke dashstyle="solid"/>
                </v:shape>
                <v:shape style="position:absolute;left:8162;top:3519;width:72;height:60" id="docshape1120" coordorigin="8162,3520" coordsize="72,60" path="m8198,3520l8185,3522,8174,3529,8165,3539,8162,3550,8165,3561,8174,3570,8185,3577,8198,3580,8219,3577,8230,3570,8234,3561,8234,3550,8234,3539,8230,3529,8219,3522,8198,3520xe" filled="true" fillcolor="#ffffff" stroked="false">
                  <v:path arrowok="t"/>
                  <v:fill type="solid"/>
                </v:shape>
                <v:shape style="position:absolute;left:8162;top:3519;width:72;height:60" id="docshape1121" coordorigin="8162,3520" coordsize="72,60" path="m8198,3520l8219,3522,8230,3529,8234,3539,8234,3550,8234,3561,8230,3570,8219,3577,8198,3580,8185,3577,8174,3570,8165,3561,8162,3550,8165,3539,8174,3529,8185,3522,8198,3520xe" filled="false" stroked="true" strokeweight=".809713pt" strokecolor="#ffffff">
                  <v:path arrowok="t"/>
                  <v:stroke dashstyle="solid"/>
                </v:shape>
                <v:shape style="position:absolute;left:8180;top:5319;width:72;height:60" id="docshape1122" coordorigin="8180,5320" coordsize="72,60" path="m8216,5320l8203,5322,8191,5329,8183,5339,8180,5350,8183,5361,8191,5370,8203,5377,8216,5380,8229,5377,8241,5370,8249,5361,8252,5350,8249,5339,8241,5329,8229,5322,8216,5320xe" filled="true" fillcolor="#ffffff" stroked="false">
                  <v:path arrowok="t"/>
                  <v:fill type="solid"/>
                </v:shape>
                <v:shape style="position:absolute;left:8180;top:5319;width:72;height:60" id="docshape1123" coordorigin="8180,5320" coordsize="72,60" path="m8216,5320l8229,5322,8241,5329,8249,5339,8252,5350,8249,5361,8241,5370,8229,5377,8216,5380,8203,5377,8191,5370,8183,5361,8180,5350,8183,5339,8191,5329,8203,5322,8216,5320xe" filled="false" stroked="true" strokeweight=".809713pt" strokecolor="#ffffff">
                  <v:path arrowok="t"/>
                  <v:stroke dashstyle="solid"/>
                </v:shape>
                <v:shape style="position:absolute;left:8126;top:7449;width:72;height:45" id="docshape1124" coordorigin="8126,7450" coordsize="72,45" path="m8198,7450l8126,7450,8126,7465,8130,7476,8138,7485,8149,7492,8162,7495,8183,7492,8194,7485,8198,7476,8198,7465,8198,7450xe" filled="true" fillcolor="#ffffff" stroked="false">
                  <v:path arrowok="t"/>
                  <v:fill type="solid"/>
                </v:shape>
                <v:shape style="position:absolute;left:8126;top:7449;width:72;height:45" id="docshape1125" coordorigin="8126,7450" coordsize="72,45" path="m8162,7450l8198,7450,8198,7465,8198,7476,8194,7485,8183,7492,8162,7495,8149,7492,8138,7485,8130,7476,8126,7465,8126,7450,8144,7450,8162,7450xe" filled="false" stroked="true" strokeweight=".79062pt" strokecolor="#ffffff">
                  <v:path arrowok="t"/>
                  <v:stroke dashstyle="solid"/>
                </v:shape>
                <v:rect style="position:absolute;left:1477;top:-711;width:522;height:105" id="docshape1126" filled="true" fillcolor="#23282b" stroked="false">
                  <v:fill type="solid"/>
                </v:rect>
                <v:shape style="position:absolute;left:1477;top:-711;width:6632;height:8281" id="docshape1127" coordorigin="1477,-711" coordsize="6632,8281" path="m1477,-606l1998,-606,1998,-711,1477,-711,1477,-606xm8109,7570l8036,7570m4478,3430l4334,3430m4640,1405l4496,1405m4820,1405l4676,1405m4981,1405l4838,1405m5161,1405l5017,1405m5341,1405l5197,1405m5503,1405l5359,1405m4460,1405l4316,1405e" filled="false" stroked="true" strokeweight=".822894pt" strokecolor="#23201d">
                  <v:path arrowok="t"/>
                  <v:stroke dashstyle="solid"/>
                </v:shape>
                <v:shape style="position:absolute;left:6886;top:2034;width:73;height:61" id="docshape1128" coordorigin="6886,2034" coordsize="73,61" path="m6958,2034l6905,2034,6886,2034,6922,2095,6958,2034xe" filled="true" fillcolor="#23282b" stroked="false">
                  <v:path arrowok="t"/>
                  <v:fill type="solid"/>
                </v:shape>
                <v:shape style="position:absolute;left:8108;top:2004;width:3415;height:1426" id="docshape1129" coordorigin="8109,2005" coordsize="3415,1426" path="m8109,2005l8109,2049m11523,3430l11415,3430e" filled="false" stroked="true" strokeweight=".822894pt" strokecolor="#23201d">
                  <v:path arrowok="t"/>
                  <v:stroke dashstyle="solid"/>
                </v:shape>
                <v:shape style="position:absolute;left:8306;top:-51;width:863;height:8461" id="docshape1130" coordorigin="8306,-50" coordsize="863,8461" path="m9043,2365l8558,2365,8558,2290,8306,2440,8558,2590,8558,2515,9043,2515,9043,2365xm9097,25l8612,25,8612,-50,8360,100,8612,250,8612,174,9097,174,9097,25xm9169,8185l8683,8185,8683,8110,8432,8260,8683,8410,8683,8335,9169,8335,9169,8185xe" filled="true" fillcolor="#3a2378" stroked="false">
                  <v:path arrowok="t"/>
                  <v:fill type="solid"/>
                </v:shape>
                <v:rect style="position:absolute;left:1477;top:5424;width:522;height:106" id="docshape1131" filled="true" fillcolor="#23282b" stroked="false">
                  <v:fill type="solid"/>
                </v:rect>
                <v:rect style="position:absolute;left:1477;top:5424;width:522;height:106" id="docshape1132" filled="false" stroked="true" strokeweight=".754748pt" strokecolor="#23201d">
                  <v:stroke dashstyle="solid"/>
                </v:rect>
                <v:rect style="position:absolute;left:1459;top:9504;width:539;height:105" id="docshape1133" filled="true" fillcolor="#23282b" stroked="false">
                  <v:fill type="solid"/>
                </v:rect>
                <v:rect style="position:absolute;left:1459;top:9504;width:539;height:105" id="docshape1134" filled="false" stroked="true" strokeweight=".754347pt" strokecolor="#23201d">
                  <v:stroke dashstyle="solid"/>
                </v:rect>
                <v:rect style="position:absolute;left:1477;top:-711;width:126;height:10216" id="docshape1135" filled="true" fillcolor="#23282b" stroked="false">
                  <v:fill type="solid"/>
                </v:rect>
                <v:rect style="position:absolute;left:1477;top:-711;width:126;height:10216" id="docshape1136" filled="false" stroked="true" strokeweight=".896813pt" strokecolor="#23201d">
                  <v:stroke dashstyle="solid"/>
                </v:rect>
                <w10:wrap type="none"/>
              </v:group>
            </w:pict>
          </mc:Fallback>
        </mc:AlternateContent>
      </w:r>
      <w:r>
        <w:rPr>
          <w:rFonts w:ascii="Arial MT"/>
          <w:color w:val="23201D"/>
          <w:spacing w:val="-2"/>
          <w:w w:val="125"/>
          <w:sz w:val="16"/>
        </w:rPr>
        <w:t>BUDGET</w:t>
      </w:r>
      <w:r>
        <w:rPr>
          <w:rFonts w:ascii="Arial MT"/>
          <w:color w:val="23201D"/>
          <w:spacing w:val="-12"/>
          <w:w w:val="125"/>
          <w:sz w:val="16"/>
        </w:rPr>
        <w:t> </w:t>
      </w:r>
      <w:r>
        <w:rPr>
          <w:rFonts w:ascii="Arial MT"/>
          <w:color w:val="23201D"/>
          <w:spacing w:val="-2"/>
          <w:w w:val="125"/>
          <w:sz w:val="16"/>
        </w:rPr>
        <w:t>PLANNING </w:t>
      </w:r>
      <w:r>
        <w:rPr>
          <w:rFonts w:ascii="Arial MT"/>
          <w:color w:val="23201D"/>
          <w:spacing w:val="-4"/>
          <w:w w:val="125"/>
          <w:sz w:val="16"/>
        </w:rPr>
        <w:t>AND</w:t>
      </w:r>
      <w:r>
        <w:rPr>
          <w:rFonts w:ascii="Arial MT"/>
          <w:color w:val="23201D"/>
          <w:spacing w:val="40"/>
          <w:w w:val="125"/>
          <w:sz w:val="16"/>
        </w:rPr>
        <w:t> </w:t>
      </w:r>
      <w:r>
        <w:rPr>
          <w:rFonts w:ascii="Arial MT"/>
          <w:color w:val="23201D"/>
          <w:spacing w:val="-2"/>
          <w:w w:val="125"/>
          <w:sz w:val="16"/>
        </w:rPr>
        <w:t>FORMULATION</w:t>
      </w:r>
    </w:p>
    <w:p>
      <w:pPr>
        <w:spacing w:line="235" w:lineRule="auto" w:before="124"/>
        <w:ind w:left="857" w:right="4153" w:firstLine="0"/>
        <w:jc w:val="left"/>
        <w:rPr>
          <w:rFonts w:ascii="Arial MT"/>
          <w:sz w:val="12"/>
        </w:rPr>
      </w:pPr>
      <w:r>
        <w:rPr/>
        <w:br w:type="column"/>
      </w:r>
      <w:r>
        <w:rPr>
          <w:rFonts w:ascii="Arial MT"/>
          <w:color w:val="FFFFFF"/>
          <w:spacing w:val="-8"/>
          <w:w w:val="120"/>
          <w:sz w:val="12"/>
        </w:rPr>
        <w:t>Housing</w:t>
      </w:r>
      <w:r>
        <w:rPr>
          <w:rFonts w:ascii="Arial MT"/>
          <w:color w:val="FFFFFF"/>
          <w:spacing w:val="-13"/>
          <w:w w:val="120"/>
          <w:sz w:val="12"/>
        </w:rPr>
        <w:t> </w:t>
      </w:r>
      <w:r>
        <w:rPr>
          <w:rFonts w:ascii="Arial MT"/>
          <w:color w:val="FFFFFF"/>
          <w:spacing w:val="-8"/>
          <w:w w:val="120"/>
          <w:sz w:val="12"/>
        </w:rPr>
        <w:t>Needs</w:t>
      </w:r>
      <w:r>
        <w:rPr>
          <w:rFonts w:ascii="Arial MT"/>
          <w:color w:val="FFFFFF"/>
          <w:spacing w:val="40"/>
          <w:w w:val="120"/>
          <w:sz w:val="12"/>
        </w:rPr>
        <w:t> </w:t>
      </w:r>
      <w:r>
        <w:rPr>
          <w:rFonts w:ascii="Arial MT"/>
          <w:color w:val="FFFFFF"/>
          <w:spacing w:val="-2"/>
          <w:w w:val="120"/>
          <w:sz w:val="12"/>
        </w:rPr>
        <w:t>Assessment</w:t>
      </w:r>
    </w:p>
    <w:p>
      <w:pPr>
        <w:spacing w:after="0" w:line="235" w:lineRule="auto"/>
        <w:jc w:val="left"/>
        <w:rPr>
          <w:rFonts w:ascii="Arial MT"/>
          <w:sz w:val="12"/>
        </w:rPr>
        <w:sectPr>
          <w:type w:val="continuous"/>
          <w:pgSz w:w="12240" w:h="15840"/>
          <w:pgMar w:header="0" w:footer="1036" w:top="1520" w:bottom="1220" w:left="1320" w:right="320"/>
          <w:cols w:num="2" w:equalWidth="0">
            <w:col w:w="2778" w:space="1913"/>
            <w:col w:w="5909"/>
          </w:cols>
        </w:sectPr>
      </w:pPr>
    </w:p>
    <w:p>
      <w:pPr>
        <w:pStyle w:val="BodyText"/>
        <w:rPr>
          <w:rFonts w:ascii="Arial MT"/>
          <w:sz w:val="20"/>
        </w:rPr>
      </w:pPr>
    </w:p>
    <w:p>
      <w:pPr>
        <w:pStyle w:val="BodyText"/>
        <w:spacing w:before="131"/>
        <w:rPr>
          <w:rFonts w:ascii="Arial MT"/>
          <w:sz w:val="20"/>
        </w:rPr>
      </w:pPr>
    </w:p>
    <w:p>
      <w:pPr>
        <w:spacing w:after="0"/>
        <w:rPr>
          <w:rFonts w:ascii="Arial MT"/>
          <w:sz w:val="20"/>
        </w:rPr>
        <w:sectPr>
          <w:type w:val="continuous"/>
          <w:pgSz w:w="12240" w:h="15840"/>
          <w:pgMar w:header="0" w:footer="1036" w:top="1520" w:bottom="1220" w:left="1320" w:right="320"/>
        </w:sect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spacing w:before="153"/>
        <w:rPr>
          <w:rFonts w:ascii="Arial MT"/>
          <w:sz w:val="16"/>
        </w:rPr>
      </w:pPr>
    </w:p>
    <w:p>
      <w:pPr>
        <w:spacing w:line="235" w:lineRule="auto" w:before="0"/>
        <w:ind w:left="1612" w:right="0" w:hanging="809"/>
        <w:jc w:val="left"/>
        <w:rPr>
          <w:rFonts w:ascii="Arial MT"/>
          <w:sz w:val="16"/>
        </w:rPr>
      </w:pPr>
      <w:r>
        <w:rPr/>
        <mc:AlternateContent>
          <mc:Choice Requires="wps">
            <w:drawing>
              <wp:anchor distT="0" distB="0" distL="0" distR="0" allowOverlap="1" layoutInCell="1" locked="0" behindDoc="0" simplePos="0" relativeHeight="15785472">
                <wp:simplePos x="0" y="0"/>
                <wp:positionH relativeFrom="page">
                  <wp:posOffset>1051314</wp:posOffset>
                </wp:positionH>
                <wp:positionV relativeFrom="paragraph">
                  <wp:posOffset>-783002</wp:posOffset>
                </wp:positionV>
                <wp:extent cx="165735" cy="2346960"/>
                <wp:effectExtent l="0" t="0" r="0" b="0"/>
                <wp:wrapNone/>
                <wp:docPr id="1201" name="Textbox 1201"/>
                <wp:cNvGraphicFramePr>
                  <a:graphicFrameLocks/>
                </wp:cNvGraphicFramePr>
                <a:graphic>
                  <a:graphicData uri="http://schemas.microsoft.com/office/word/2010/wordprocessingShape">
                    <wps:wsp>
                      <wps:cNvPr id="1201" name="Textbox 1201"/>
                      <wps:cNvSpPr txBox="1"/>
                      <wps:spPr>
                        <a:xfrm>
                          <a:off x="0" y="0"/>
                          <a:ext cx="165735" cy="2346960"/>
                        </a:xfrm>
                        <a:prstGeom prst="rect">
                          <a:avLst/>
                        </a:prstGeom>
                      </wps:spPr>
                      <wps:txbx>
                        <w:txbxContent>
                          <w:p>
                            <w:pPr>
                              <w:spacing w:before="20"/>
                              <w:ind w:left="20" w:right="0" w:firstLine="0"/>
                              <w:jc w:val="left"/>
                              <w:rPr>
                                <w:rFonts w:ascii="Arial MT"/>
                                <w:sz w:val="19"/>
                              </w:rPr>
                            </w:pPr>
                            <w:r>
                              <w:rPr>
                                <w:rFonts w:ascii="Arial MT"/>
                                <w:color w:val="23201D"/>
                                <w:w w:val="85"/>
                                <w:sz w:val="19"/>
                              </w:rPr>
                              <w:t>HOUSING</w:t>
                            </w:r>
                            <w:r>
                              <w:rPr>
                                <w:rFonts w:ascii="Arial MT"/>
                                <w:color w:val="23201D"/>
                                <w:spacing w:val="-7"/>
                                <w:sz w:val="19"/>
                              </w:rPr>
                              <w:t> </w:t>
                            </w:r>
                            <w:r>
                              <w:rPr>
                                <w:rFonts w:ascii="Arial MT"/>
                                <w:color w:val="23201D"/>
                                <w:w w:val="85"/>
                                <w:sz w:val="19"/>
                              </w:rPr>
                              <w:t>BUDGET</w:t>
                            </w:r>
                            <w:r>
                              <w:rPr>
                                <w:rFonts w:ascii="Arial MT"/>
                                <w:color w:val="23201D"/>
                                <w:spacing w:val="11"/>
                                <w:sz w:val="19"/>
                              </w:rPr>
                              <w:t> </w:t>
                            </w:r>
                            <w:r>
                              <w:rPr>
                                <w:rFonts w:ascii="Arial MT"/>
                                <w:color w:val="23201D"/>
                                <w:w w:val="85"/>
                                <w:sz w:val="19"/>
                              </w:rPr>
                              <w:t>DECISION</w:t>
                            </w:r>
                            <w:r>
                              <w:rPr>
                                <w:rFonts w:ascii="Arial MT"/>
                                <w:color w:val="23201D"/>
                                <w:spacing w:val="25"/>
                                <w:sz w:val="19"/>
                              </w:rPr>
                              <w:t> </w:t>
                            </w:r>
                            <w:r>
                              <w:rPr>
                                <w:rFonts w:ascii="Arial MT"/>
                                <w:color w:val="23201D"/>
                                <w:spacing w:val="-2"/>
                                <w:w w:val="85"/>
                                <w:sz w:val="19"/>
                              </w:rPr>
                              <w:t>ENVIRONMENT</w:t>
                            </w:r>
                          </w:p>
                        </w:txbxContent>
                      </wps:txbx>
                      <wps:bodyPr wrap="square" lIns="0" tIns="0" rIns="0" bIns="0" rtlCol="0" vert="vert270">
                        <a:noAutofit/>
                      </wps:bodyPr>
                    </wps:wsp>
                  </a:graphicData>
                </a:graphic>
              </wp:anchor>
            </w:drawing>
          </mc:Choice>
          <mc:Fallback>
            <w:pict>
              <v:shape style="position:absolute;margin-left:82.780678pt;margin-top:-61.653736pt;width:13.05pt;height:184.8pt;mso-position-horizontal-relative:page;mso-position-vertical-relative:paragraph;z-index:15785472" type="#_x0000_t202" id="docshape1137" filled="false" stroked="false">
                <v:textbox inset="0,0,0,0" style="layout-flow:vertical;mso-layout-flow-alt:bottom-to-top">
                  <w:txbxContent>
                    <w:p>
                      <w:pPr>
                        <w:spacing w:before="20"/>
                        <w:ind w:left="20" w:right="0" w:firstLine="0"/>
                        <w:jc w:val="left"/>
                        <w:rPr>
                          <w:rFonts w:ascii="Arial MT"/>
                          <w:sz w:val="19"/>
                        </w:rPr>
                      </w:pPr>
                      <w:r>
                        <w:rPr>
                          <w:rFonts w:ascii="Arial MT"/>
                          <w:color w:val="23201D"/>
                          <w:w w:val="85"/>
                          <w:sz w:val="19"/>
                        </w:rPr>
                        <w:t>HOUSING</w:t>
                      </w:r>
                      <w:r>
                        <w:rPr>
                          <w:rFonts w:ascii="Arial MT"/>
                          <w:color w:val="23201D"/>
                          <w:spacing w:val="-7"/>
                          <w:sz w:val="19"/>
                        </w:rPr>
                        <w:t> </w:t>
                      </w:r>
                      <w:r>
                        <w:rPr>
                          <w:rFonts w:ascii="Arial MT"/>
                          <w:color w:val="23201D"/>
                          <w:w w:val="85"/>
                          <w:sz w:val="19"/>
                        </w:rPr>
                        <w:t>BUDGET</w:t>
                      </w:r>
                      <w:r>
                        <w:rPr>
                          <w:rFonts w:ascii="Arial MT"/>
                          <w:color w:val="23201D"/>
                          <w:spacing w:val="11"/>
                          <w:sz w:val="19"/>
                        </w:rPr>
                        <w:t> </w:t>
                      </w:r>
                      <w:r>
                        <w:rPr>
                          <w:rFonts w:ascii="Arial MT"/>
                          <w:color w:val="23201D"/>
                          <w:w w:val="85"/>
                          <w:sz w:val="19"/>
                        </w:rPr>
                        <w:t>DECISION</w:t>
                      </w:r>
                      <w:r>
                        <w:rPr>
                          <w:rFonts w:ascii="Arial MT"/>
                          <w:color w:val="23201D"/>
                          <w:spacing w:val="25"/>
                          <w:sz w:val="19"/>
                        </w:rPr>
                        <w:t> </w:t>
                      </w:r>
                      <w:r>
                        <w:rPr>
                          <w:rFonts w:ascii="Arial MT"/>
                          <w:color w:val="23201D"/>
                          <w:spacing w:val="-2"/>
                          <w:w w:val="85"/>
                          <w:sz w:val="19"/>
                        </w:rPr>
                        <w:t>ENVIRONMENT</w:t>
                      </w:r>
                    </w:p>
                  </w:txbxContent>
                </v:textbox>
                <w10:wrap type="none"/>
              </v:shape>
            </w:pict>
          </mc:Fallback>
        </mc:AlternateContent>
      </w:r>
      <w:r>
        <w:rPr>
          <w:rFonts w:ascii="Arial MT"/>
          <w:color w:val="23201D"/>
          <w:spacing w:val="-8"/>
          <w:w w:val="120"/>
          <w:sz w:val="16"/>
        </w:rPr>
        <w:t>BUDGET</w:t>
      </w:r>
      <w:r>
        <w:rPr>
          <w:rFonts w:ascii="Arial MT"/>
          <w:color w:val="23201D"/>
          <w:spacing w:val="-13"/>
          <w:w w:val="120"/>
          <w:sz w:val="16"/>
        </w:rPr>
        <w:t> </w:t>
      </w:r>
      <w:r>
        <w:rPr>
          <w:rFonts w:ascii="Arial MT"/>
          <w:color w:val="23201D"/>
          <w:spacing w:val="-8"/>
          <w:w w:val="120"/>
          <w:sz w:val="16"/>
        </w:rPr>
        <w:t>PREPARATION </w:t>
      </w:r>
      <w:r>
        <w:rPr>
          <w:rFonts w:ascii="Arial MT"/>
          <w:color w:val="23201D"/>
          <w:spacing w:val="-4"/>
          <w:w w:val="125"/>
          <w:sz w:val="16"/>
        </w:rPr>
        <w:t>AND</w:t>
      </w:r>
    </w:p>
    <w:p>
      <w:pPr>
        <w:spacing w:before="12"/>
        <w:ind w:left="1055" w:right="0" w:firstLine="0"/>
        <w:jc w:val="left"/>
        <w:rPr>
          <w:rFonts w:ascii="Arial MT"/>
          <w:sz w:val="16"/>
        </w:rPr>
      </w:pPr>
      <w:r>
        <w:rPr>
          <w:rFonts w:ascii="Arial MT"/>
          <w:color w:val="23201D"/>
          <w:spacing w:val="-2"/>
          <w:w w:val="125"/>
          <w:sz w:val="16"/>
        </w:rPr>
        <w:t>DEVELOPMENT</w:t>
      </w:r>
    </w:p>
    <w:p>
      <w:pPr>
        <w:spacing w:line="240" w:lineRule="auto" w:before="0"/>
        <w:rPr>
          <w:rFonts w:ascii="Arial MT"/>
          <w:sz w:val="12"/>
        </w:rPr>
      </w:pPr>
      <w:r>
        <w:rPr/>
        <w:br w:type="column"/>
      </w:r>
      <w:r>
        <w:rPr>
          <w:rFonts w:ascii="Arial MT"/>
          <w:sz w:val="12"/>
        </w:rPr>
      </w:r>
    </w:p>
    <w:p>
      <w:pPr>
        <w:pStyle w:val="BodyText"/>
        <w:spacing w:before="107"/>
        <w:rPr>
          <w:rFonts w:ascii="Arial MT"/>
          <w:sz w:val="12"/>
        </w:rPr>
      </w:pPr>
    </w:p>
    <w:p>
      <w:pPr>
        <w:spacing w:line="208" w:lineRule="auto" w:before="0"/>
        <w:ind w:left="122" w:right="0" w:hanging="12"/>
        <w:jc w:val="center"/>
        <w:rPr>
          <w:rFonts w:ascii="Arial MT"/>
          <w:sz w:val="12"/>
        </w:rPr>
      </w:pPr>
      <w:r>
        <w:rPr>
          <w:rFonts w:ascii="Arial MT"/>
          <w:color w:val="FFFFFF"/>
          <w:spacing w:val="-2"/>
          <w:w w:val="120"/>
          <w:sz w:val="12"/>
        </w:rPr>
        <w:t>Issuance</w:t>
      </w:r>
      <w:r>
        <w:rPr>
          <w:rFonts w:ascii="Arial MT"/>
          <w:color w:val="FFFFFF"/>
          <w:spacing w:val="-13"/>
          <w:w w:val="120"/>
          <w:sz w:val="12"/>
        </w:rPr>
        <w:t> </w:t>
      </w:r>
      <w:r>
        <w:rPr>
          <w:rFonts w:ascii="Arial MT"/>
          <w:color w:val="FFFFFF"/>
          <w:spacing w:val="-2"/>
          <w:w w:val="120"/>
          <w:sz w:val="12"/>
        </w:rPr>
        <w:t>of</w:t>
      </w:r>
      <w:r>
        <w:rPr>
          <w:rFonts w:ascii="Arial MT"/>
          <w:color w:val="FFFFFF"/>
          <w:spacing w:val="-9"/>
          <w:w w:val="120"/>
          <w:sz w:val="12"/>
        </w:rPr>
        <w:t> </w:t>
      </w:r>
      <w:r>
        <w:rPr>
          <w:rFonts w:ascii="Arial MT"/>
          <w:color w:val="FFFFFF"/>
          <w:spacing w:val="-2"/>
          <w:w w:val="120"/>
          <w:sz w:val="12"/>
        </w:rPr>
        <w:t>Call</w:t>
      </w:r>
      <w:r>
        <w:rPr>
          <w:rFonts w:ascii="Arial MT"/>
          <w:color w:val="FFFFFF"/>
          <w:spacing w:val="40"/>
          <w:w w:val="120"/>
          <w:sz w:val="12"/>
        </w:rPr>
        <w:t> </w:t>
      </w:r>
      <w:r>
        <w:rPr>
          <w:rFonts w:ascii="Arial MT"/>
          <w:color w:val="FFFFFF"/>
          <w:spacing w:val="-12"/>
          <w:w w:val="120"/>
          <w:sz w:val="12"/>
        </w:rPr>
        <w:t>Circular and </w:t>
      </w:r>
      <w:r>
        <w:rPr>
          <w:rFonts w:ascii="Arial MT"/>
          <w:color w:val="FFFFFF"/>
          <w:spacing w:val="-12"/>
          <w:w w:val="120"/>
          <w:sz w:val="12"/>
        </w:rPr>
        <w:t>Stipulation</w:t>
      </w:r>
    </w:p>
    <w:p>
      <w:pPr>
        <w:spacing w:before="16"/>
        <w:ind w:left="104" w:right="0" w:firstLine="0"/>
        <w:jc w:val="center"/>
        <w:rPr>
          <w:rFonts w:ascii="Arial MT"/>
          <w:sz w:val="12"/>
        </w:rPr>
      </w:pPr>
      <w:r>
        <w:rPr>
          <w:rFonts w:ascii="Arial MT"/>
          <w:color w:val="FFFFFF"/>
          <w:spacing w:val="-8"/>
          <w:w w:val="115"/>
          <w:sz w:val="12"/>
        </w:rPr>
        <w:t>of</w:t>
      </w:r>
      <w:r>
        <w:rPr>
          <w:rFonts w:ascii="Arial MT"/>
          <w:color w:val="FFFFFF"/>
          <w:w w:val="115"/>
          <w:sz w:val="12"/>
        </w:rPr>
        <w:t> </w:t>
      </w:r>
      <w:r>
        <w:rPr>
          <w:rFonts w:ascii="Arial MT"/>
          <w:color w:val="FFFFFF"/>
          <w:spacing w:val="-8"/>
          <w:w w:val="115"/>
          <w:sz w:val="12"/>
        </w:rPr>
        <w:t>Budget</w:t>
      </w:r>
      <w:r>
        <w:rPr>
          <w:rFonts w:ascii="Arial MT"/>
          <w:color w:val="FFFFFF"/>
          <w:w w:val="115"/>
          <w:sz w:val="12"/>
        </w:rPr>
        <w:t> </w:t>
      </w:r>
      <w:r>
        <w:rPr>
          <w:rFonts w:ascii="Arial MT"/>
          <w:color w:val="FFFFFF"/>
          <w:spacing w:val="-8"/>
          <w:w w:val="115"/>
          <w:sz w:val="12"/>
        </w:rPr>
        <w:t>Ceiling</w:t>
      </w:r>
    </w:p>
    <w:p>
      <w:pPr>
        <w:pStyle w:val="BodyText"/>
        <w:rPr>
          <w:rFonts w:ascii="Arial MT"/>
          <w:sz w:val="12"/>
        </w:rPr>
      </w:pPr>
    </w:p>
    <w:p>
      <w:pPr>
        <w:pStyle w:val="BodyText"/>
        <w:spacing w:before="4"/>
        <w:rPr>
          <w:rFonts w:ascii="Arial MT"/>
          <w:sz w:val="12"/>
        </w:rPr>
      </w:pPr>
    </w:p>
    <w:p>
      <w:pPr>
        <w:spacing w:before="0"/>
        <w:ind w:left="409" w:right="494" w:firstLine="71"/>
        <w:jc w:val="left"/>
        <w:rPr>
          <w:rFonts w:ascii="Arial MT"/>
          <w:sz w:val="9"/>
        </w:rPr>
      </w:pPr>
      <w:r>
        <w:rPr>
          <w:rFonts w:ascii="Arial MT"/>
          <w:color w:val="FFFFFF"/>
          <w:spacing w:val="-2"/>
          <w:w w:val="120"/>
          <w:sz w:val="9"/>
        </w:rPr>
        <w:t>Annual</w:t>
      </w:r>
      <w:r>
        <w:rPr>
          <w:rFonts w:ascii="Arial MT"/>
          <w:color w:val="FFFFFF"/>
          <w:spacing w:val="40"/>
          <w:w w:val="120"/>
          <w:sz w:val="9"/>
        </w:rPr>
        <w:t> </w:t>
      </w:r>
      <w:r>
        <w:rPr>
          <w:rFonts w:ascii="Arial MT"/>
          <w:color w:val="FFFFFF"/>
          <w:spacing w:val="-4"/>
          <w:w w:val="120"/>
          <w:sz w:val="9"/>
        </w:rPr>
        <w:t>Increment</w:t>
      </w:r>
    </w:p>
    <w:p>
      <w:pPr>
        <w:pStyle w:val="BodyText"/>
        <w:rPr>
          <w:rFonts w:ascii="Arial MT"/>
          <w:sz w:val="9"/>
        </w:rPr>
      </w:pPr>
    </w:p>
    <w:p>
      <w:pPr>
        <w:pStyle w:val="BodyText"/>
        <w:rPr>
          <w:rFonts w:ascii="Arial MT"/>
          <w:sz w:val="9"/>
        </w:rPr>
      </w:pPr>
    </w:p>
    <w:p>
      <w:pPr>
        <w:pStyle w:val="BodyText"/>
        <w:spacing w:before="9"/>
        <w:rPr>
          <w:rFonts w:ascii="Arial MT"/>
          <w:sz w:val="9"/>
        </w:rPr>
      </w:pPr>
    </w:p>
    <w:p>
      <w:pPr>
        <w:spacing w:line="208" w:lineRule="auto" w:before="0"/>
        <w:ind w:left="122" w:right="6" w:firstLine="0"/>
        <w:jc w:val="center"/>
        <w:rPr>
          <w:rFonts w:ascii="Arial MT"/>
          <w:sz w:val="12"/>
        </w:rPr>
      </w:pPr>
      <w:r>
        <w:rPr>
          <w:rFonts w:ascii="Arial MT"/>
          <w:color w:val="FFFFFF"/>
          <w:spacing w:val="-4"/>
          <w:w w:val="120"/>
          <w:sz w:val="12"/>
        </w:rPr>
        <w:t>Bilateral</w:t>
      </w:r>
      <w:r>
        <w:rPr>
          <w:rFonts w:ascii="Arial MT"/>
          <w:color w:val="FFFFFF"/>
          <w:spacing w:val="-8"/>
          <w:w w:val="120"/>
          <w:sz w:val="12"/>
        </w:rPr>
        <w:t> </w:t>
      </w:r>
      <w:r>
        <w:rPr>
          <w:rFonts w:ascii="Arial MT"/>
          <w:color w:val="FFFFFF"/>
          <w:spacing w:val="-4"/>
          <w:w w:val="120"/>
          <w:sz w:val="12"/>
        </w:rPr>
        <w:t>discussions</w:t>
      </w:r>
      <w:r>
        <w:rPr>
          <w:rFonts w:ascii="Arial MT"/>
          <w:color w:val="FFFFFF"/>
          <w:spacing w:val="40"/>
          <w:w w:val="120"/>
          <w:sz w:val="12"/>
        </w:rPr>
        <w:t> </w:t>
      </w:r>
      <w:r>
        <w:rPr>
          <w:rFonts w:ascii="Arial MT"/>
          <w:color w:val="FFFFFF"/>
          <w:w w:val="120"/>
          <w:sz w:val="12"/>
        </w:rPr>
        <w:t>and</w:t>
      </w:r>
      <w:r>
        <w:rPr>
          <w:rFonts w:ascii="Arial MT"/>
          <w:color w:val="FFFFFF"/>
          <w:spacing w:val="-6"/>
          <w:w w:val="120"/>
          <w:sz w:val="12"/>
        </w:rPr>
        <w:t> </w:t>
      </w:r>
      <w:r>
        <w:rPr>
          <w:rFonts w:ascii="Arial MT"/>
          <w:color w:val="FFFFFF"/>
          <w:w w:val="120"/>
          <w:sz w:val="12"/>
        </w:rPr>
        <w:t>defense</w:t>
      </w:r>
      <w:r>
        <w:rPr>
          <w:rFonts w:ascii="Arial MT"/>
          <w:color w:val="FFFFFF"/>
          <w:spacing w:val="-6"/>
          <w:w w:val="120"/>
          <w:sz w:val="12"/>
        </w:rPr>
        <w:t> </w:t>
      </w:r>
      <w:r>
        <w:rPr>
          <w:rFonts w:ascii="Arial MT"/>
          <w:color w:val="FFFFFF"/>
          <w:w w:val="120"/>
          <w:sz w:val="12"/>
        </w:rPr>
        <w:t>of</w:t>
      </w:r>
    </w:p>
    <w:p>
      <w:pPr>
        <w:spacing w:before="15"/>
        <w:ind w:left="104" w:right="47" w:firstLine="0"/>
        <w:jc w:val="center"/>
        <w:rPr>
          <w:rFonts w:ascii="Arial MT"/>
          <w:sz w:val="12"/>
        </w:rPr>
      </w:pPr>
      <w:r>
        <w:rPr>
          <w:rFonts w:ascii="Arial MT"/>
          <w:color w:val="FFFFFF"/>
          <w:spacing w:val="-2"/>
          <w:w w:val="120"/>
          <w:sz w:val="12"/>
        </w:rPr>
        <w:t>proposal</w:t>
      </w:r>
    </w:p>
    <w:p>
      <w:pPr>
        <w:spacing w:before="97"/>
        <w:ind w:left="25" w:right="0" w:firstLine="0"/>
        <w:jc w:val="left"/>
        <w:rPr>
          <w:rFonts w:ascii="Arial MT"/>
          <w:sz w:val="9"/>
        </w:rPr>
      </w:pPr>
      <w:r>
        <w:rPr/>
        <w:br w:type="column"/>
      </w:r>
      <w:r>
        <w:rPr>
          <w:rFonts w:ascii="Arial MT"/>
          <w:color w:val="FFFFFF"/>
          <w:spacing w:val="-4"/>
          <w:w w:val="115"/>
          <w:sz w:val="9"/>
        </w:rPr>
        <w:t>Jan-</w:t>
      </w:r>
      <w:r>
        <w:rPr>
          <w:rFonts w:ascii="Arial MT"/>
          <w:color w:val="FFFFFF"/>
          <w:spacing w:val="-5"/>
          <w:w w:val="120"/>
          <w:sz w:val="9"/>
        </w:rPr>
        <w:t>May</w:t>
      </w:r>
    </w:p>
    <w:p>
      <w:pPr>
        <w:spacing w:line="240" w:lineRule="auto" w:before="0"/>
        <w:rPr>
          <w:rFonts w:ascii="Arial MT"/>
          <w:sz w:val="15"/>
        </w:rPr>
      </w:pPr>
      <w:r>
        <w:rPr/>
        <w:br w:type="column"/>
      </w:r>
      <w:r>
        <w:rPr>
          <w:rFonts w:ascii="Arial MT"/>
          <w:sz w:val="15"/>
        </w:rPr>
      </w:r>
    </w:p>
    <w:p>
      <w:pPr>
        <w:pStyle w:val="BodyText"/>
        <w:spacing w:before="25"/>
        <w:rPr>
          <w:rFonts w:ascii="Arial MT"/>
          <w:sz w:val="15"/>
        </w:rPr>
      </w:pPr>
    </w:p>
    <w:p>
      <w:pPr>
        <w:spacing w:before="1"/>
        <w:ind w:left="643" w:right="0" w:firstLine="0"/>
        <w:jc w:val="left"/>
        <w:rPr>
          <w:rFonts w:ascii="Arial MT"/>
          <w:sz w:val="15"/>
        </w:rPr>
      </w:pPr>
      <w:r>
        <w:rPr/>
        <mc:AlternateContent>
          <mc:Choice Requires="wps">
            <w:drawing>
              <wp:anchor distT="0" distB="0" distL="0" distR="0" allowOverlap="1" layoutInCell="1" locked="0" behindDoc="0" simplePos="0" relativeHeight="15783424">
                <wp:simplePos x="0" y="0"/>
                <wp:positionH relativeFrom="page">
                  <wp:posOffset>5160318</wp:posOffset>
                </wp:positionH>
                <wp:positionV relativeFrom="paragraph">
                  <wp:posOffset>-433954</wp:posOffset>
                </wp:positionV>
                <wp:extent cx="605155" cy="562610"/>
                <wp:effectExtent l="0" t="0" r="0" b="0"/>
                <wp:wrapNone/>
                <wp:docPr id="1202" name="Textbox 1202"/>
                <wp:cNvGraphicFramePr>
                  <a:graphicFrameLocks/>
                </wp:cNvGraphicFramePr>
                <a:graphic>
                  <a:graphicData uri="http://schemas.microsoft.com/office/word/2010/wordprocessingShape">
                    <wps:wsp>
                      <wps:cNvPr id="1202" name="Textbox 1202"/>
                      <wps:cNvSpPr txBox="1"/>
                      <wps:spPr>
                        <a:xfrm>
                          <a:off x="0" y="0"/>
                          <a:ext cx="605155" cy="562610"/>
                        </a:xfrm>
                        <a:prstGeom prst="rect">
                          <a:avLst/>
                        </a:prstGeom>
                      </wps:spPr>
                      <wps:txbx>
                        <w:txbxContent>
                          <w:p>
                            <w:pPr>
                              <w:pStyle w:val="BodyText"/>
                              <w:spacing w:before="22"/>
                              <w:rPr>
                                <w:sz w:val="9"/>
                              </w:rPr>
                            </w:pPr>
                          </w:p>
                          <w:p>
                            <w:pPr>
                              <w:spacing w:before="0"/>
                              <w:ind w:left="214" w:right="11" w:hanging="179"/>
                              <w:jc w:val="left"/>
                              <w:rPr>
                                <w:rFonts w:ascii="Arial MT"/>
                                <w:sz w:val="9"/>
                              </w:rPr>
                            </w:pPr>
                            <w:r>
                              <w:rPr>
                                <w:rFonts w:ascii="Arial MT"/>
                                <w:color w:val="FFFFFF"/>
                                <w:spacing w:val="-4"/>
                                <w:w w:val="120"/>
                                <w:sz w:val="9"/>
                              </w:rPr>
                              <w:t>Citizen Participation</w:t>
                            </w:r>
                            <w:r>
                              <w:rPr>
                                <w:rFonts w:ascii="Arial MT"/>
                                <w:color w:val="FFFFFF"/>
                                <w:spacing w:val="40"/>
                                <w:w w:val="120"/>
                                <w:sz w:val="9"/>
                              </w:rPr>
                              <w:t> </w:t>
                            </w:r>
                            <w:r>
                              <w:rPr>
                                <w:rFonts w:ascii="Arial MT"/>
                                <w:color w:val="FFFFFF"/>
                                <w:spacing w:val="-2"/>
                                <w:w w:val="120"/>
                                <w:sz w:val="9"/>
                              </w:rPr>
                              <w:t>Surveys</w:t>
                            </w:r>
                          </w:p>
                          <w:p>
                            <w:pPr>
                              <w:spacing w:line="172" w:lineRule="auto" w:before="27"/>
                              <w:ind w:left="196" w:right="167" w:firstLine="17"/>
                              <w:jc w:val="left"/>
                              <w:rPr>
                                <w:rFonts w:ascii="Arial MT"/>
                                <w:sz w:val="9"/>
                              </w:rPr>
                            </w:pPr>
                            <w:r>
                              <w:rPr>
                                <w:rFonts w:ascii="Arial MT"/>
                                <w:color w:val="FFFFFF"/>
                                <w:spacing w:val="-4"/>
                                <w:w w:val="120"/>
                                <w:sz w:val="9"/>
                              </w:rPr>
                              <w:t>Consultation</w:t>
                            </w:r>
                            <w:r>
                              <w:rPr>
                                <w:rFonts w:ascii="Arial MT"/>
                                <w:color w:val="FFFFFF"/>
                                <w:spacing w:val="40"/>
                                <w:w w:val="120"/>
                                <w:sz w:val="9"/>
                              </w:rPr>
                              <w:t> </w:t>
                            </w:r>
                            <w:r>
                              <w:rPr>
                                <w:rFonts w:ascii="Arial MT"/>
                                <w:color w:val="FFFFFF"/>
                                <w:spacing w:val="-2"/>
                                <w:w w:val="120"/>
                                <w:sz w:val="9"/>
                              </w:rPr>
                              <w:t>Advisory</w:t>
                            </w:r>
                          </w:p>
                          <w:p>
                            <w:pPr>
                              <w:spacing w:line="278" w:lineRule="auto" w:before="7"/>
                              <w:ind w:left="214" w:right="82" w:firstLine="0"/>
                              <w:jc w:val="left"/>
                              <w:rPr>
                                <w:rFonts w:ascii="Arial MT"/>
                                <w:sz w:val="9"/>
                              </w:rPr>
                            </w:pPr>
                            <w:r>
                              <w:rPr>
                                <w:rFonts w:ascii="Arial MT"/>
                                <w:color w:val="FFFFFF"/>
                                <w:spacing w:val="-2"/>
                                <w:w w:val="120"/>
                                <w:sz w:val="9"/>
                              </w:rPr>
                              <w:t>Committees</w:t>
                            </w:r>
                            <w:r>
                              <w:rPr>
                                <w:rFonts w:ascii="Arial MT"/>
                                <w:color w:val="FFFFFF"/>
                                <w:spacing w:val="40"/>
                                <w:w w:val="120"/>
                                <w:sz w:val="9"/>
                              </w:rPr>
                              <w:t> </w:t>
                            </w:r>
                            <w:r>
                              <w:rPr>
                                <w:rFonts w:ascii="Arial MT"/>
                                <w:color w:val="FFFFFF"/>
                                <w:spacing w:val="-4"/>
                                <w:w w:val="120"/>
                                <w:sz w:val="9"/>
                              </w:rPr>
                              <w:t>Budget</w:t>
                            </w:r>
                            <w:r>
                              <w:rPr>
                                <w:rFonts w:ascii="Arial MT"/>
                                <w:color w:val="FFFFFF"/>
                                <w:spacing w:val="-4"/>
                                <w:w w:val="120"/>
                                <w:sz w:val="9"/>
                              </w:rPr>
                              <w:t> Forum</w:t>
                            </w:r>
                          </w:p>
                        </w:txbxContent>
                      </wps:txbx>
                      <wps:bodyPr wrap="square" lIns="0" tIns="0" rIns="0" bIns="0" rtlCol="0">
                        <a:noAutofit/>
                      </wps:bodyPr>
                    </wps:wsp>
                  </a:graphicData>
                </a:graphic>
              </wp:anchor>
            </w:drawing>
          </mc:Choice>
          <mc:Fallback>
            <w:pict>
              <v:shape style="position:absolute;margin-left:406.32431pt;margin-top:-34.169632pt;width:47.65pt;height:44.3pt;mso-position-horizontal-relative:page;mso-position-vertical-relative:paragraph;z-index:15783424" type="#_x0000_t202" id="docshape1138" filled="false" stroked="false">
                <v:textbox inset="0,0,0,0">
                  <w:txbxContent>
                    <w:p>
                      <w:pPr>
                        <w:pStyle w:val="BodyText"/>
                        <w:spacing w:before="22"/>
                        <w:rPr>
                          <w:sz w:val="9"/>
                        </w:rPr>
                      </w:pPr>
                    </w:p>
                    <w:p>
                      <w:pPr>
                        <w:spacing w:before="0"/>
                        <w:ind w:left="214" w:right="11" w:hanging="179"/>
                        <w:jc w:val="left"/>
                        <w:rPr>
                          <w:rFonts w:ascii="Arial MT"/>
                          <w:sz w:val="9"/>
                        </w:rPr>
                      </w:pPr>
                      <w:r>
                        <w:rPr>
                          <w:rFonts w:ascii="Arial MT"/>
                          <w:color w:val="FFFFFF"/>
                          <w:spacing w:val="-4"/>
                          <w:w w:val="120"/>
                          <w:sz w:val="9"/>
                        </w:rPr>
                        <w:t>Citizen Participation</w:t>
                      </w:r>
                      <w:r>
                        <w:rPr>
                          <w:rFonts w:ascii="Arial MT"/>
                          <w:color w:val="FFFFFF"/>
                          <w:spacing w:val="40"/>
                          <w:w w:val="120"/>
                          <w:sz w:val="9"/>
                        </w:rPr>
                        <w:t> </w:t>
                      </w:r>
                      <w:r>
                        <w:rPr>
                          <w:rFonts w:ascii="Arial MT"/>
                          <w:color w:val="FFFFFF"/>
                          <w:spacing w:val="-2"/>
                          <w:w w:val="120"/>
                          <w:sz w:val="9"/>
                        </w:rPr>
                        <w:t>Surveys</w:t>
                      </w:r>
                    </w:p>
                    <w:p>
                      <w:pPr>
                        <w:spacing w:line="172" w:lineRule="auto" w:before="27"/>
                        <w:ind w:left="196" w:right="167" w:firstLine="17"/>
                        <w:jc w:val="left"/>
                        <w:rPr>
                          <w:rFonts w:ascii="Arial MT"/>
                          <w:sz w:val="9"/>
                        </w:rPr>
                      </w:pPr>
                      <w:r>
                        <w:rPr>
                          <w:rFonts w:ascii="Arial MT"/>
                          <w:color w:val="FFFFFF"/>
                          <w:spacing w:val="-4"/>
                          <w:w w:val="120"/>
                          <w:sz w:val="9"/>
                        </w:rPr>
                        <w:t>Consultation</w:t>
                      </w:r>
                      <w:r>
                        <w:rPr>
                          <w:rFonts w:ascii="Arial MT"/>
                          <w:color w:val="FFFFFF"/>
                          <w:spacing w:val="40"/>
                          <w:w w:val="120"/>
                          <w:sz w:val="9"/>
                        </w:rPr>
                        <w:t> </w:t>
                      </w:r>
                      <w:r>
                        <w:rPr>
                          <w:rFonts w:ascii="Arial MT"/>
                          <w:color w:val="FFFFFF"/>
                          <w:spacing w:val="-2"/>
                          <w:w w:val="120"/>
                          <w:sz w:val="9"/>
                        </w:rPr>
                        <w:t>Advisory</w:t>
                      </w:r>
                    </w:p>
                    <w:p>
                      <w:pPr>
                        <w:spacing w:line="278" w:lineRule="auto" w:before="7"/>
                        <w:ind w:left="214" w:right="82" w:firstLine="0"/>
                        <w:jc w:val="left"/>
                        <w:rPr>
                          <w:rFonts w:ascii="Arial MT"/>
                          <w:sz w:val="9"/>
                        </w:rPr>
                      </w:pPr>
                      <w:r>
                        <w:rPr>
                          <w:rFonts w:ascii="Arial MT"/>
                          <w:color w:val="FFFFFF"/>
                          <w:spacing w:val="-2"/>
                          <w:w w:val="120"/>
                          <w:sz w:val="9"/>
                        </w:rPr>
                        <w:t>Committees</w:t>
                      </w:r>
                      <w:r>
                        <w:rPr>
                          <w:rFonts w:ascii="Arial MT"/>
                          <w:color w:val="FFFFFF"/>
                          <w:spacing w:val="40"/>
                          <w:w w:val="120"/>
                          <w:sz w:val="9"/>
                        </w:rPr>
                        <w:t> </w:t>
                      </w:r>
                      <w:r>
                        <w:rPr>
                          <w:rFonts w:ascii="Arial MT"/>
                          <w:color w:val="FFFFFF"/>
                          <w:spacing w:val="-4"/>
                          <w:w w:val="120"/>
                          <w:sz w:val="9"/>
                        </w:rPr>
                        <w:t>Budget</w:t>
                      </w:r>
                      <w:r>
                        <w:rPr>
                          <w:rFonts w:ascii="Arial MT"/>
                          <w:color w:val="FFFFFF"/>
                          <w:spacing w:val="-4"/>
                          <w:w w:val="120"/>
                          <w:sz w:val="9"/>
                        </w:rPr>
                        <w:t> Forum</w:t>
                      </w:r>
                    </w:p>
                  </w:txbxContent>
                </v:textbox>
                <w10:wrap type="none"/>
              </v:shape>
            </w:pict>
          </mc:Fallback>
        </mc:AlternateContent>
      </w:r>
      <w:r>
        <w:rPr>
          <w:rFonts w:ascii="Arial MT"/>
          <w:color w:val="FFFFFF"/>
          <w:spacing w:val="-5"/>
          <w:w w:val="120"/>
          <w:sz w:val="15"/>
        </w:rPr>
        <w:t>Q.S</w:t>
      </w:r>
    </w:p>
    <w:p>
      <w:pPr>
        <w:pStyle w:val="BodyText"/>
        <w:spacing w:before="41"/>
        <w:rPr>
          <w:rFonts w:ascii="Arial MT"/>
          <w:sz w:val="15"/>
        </w:rPr>
      </w:pPr>
    </w:p>
    <w:p>
      <w:pPr>
        <w:spacing w:before="0"/>
        <w:ind w:left="1596" w:right="0" w:firstLine="0"/>
        <w:jc w:val="left"/>
        <w:rPr>
          <w:rFonts w:ascii="Arial MT"/>
          <w:sz w:val="9"/>
        </w:rPr>
      </w:pPr>
      <w:r>
        <w:rPr>
          <w:rFonts w:ascii="Arial MT"/>
          <w:color w:val="23282B"/>
          <w:spacing w:val="-4"/>
          <w:w w:val="120"/>
          <w:sz w:val="9"/>
        </w:rPr>
        <w:t>MTEF</w:t>
      </w:r>
    </w:p>
    <w:p>
      <w:pPr>
        <w:pStyle w:val="BodyText"/>
        <w:spacing w:before="94"/>
        <w:rPr>
          <w:rFonts w:ascii="Arial MT"/>
          <w:sz w:val="9"/>
        </w:rPr>
      </w:pPr>
    </w:p>
    <w:p>
      <w:pPr>
        <w:spacing w:line="208" w:lineRule="auto" w:before="1"/>
        <w:ind w:left="643" w:right="3117" w:firstLine="0"/>
        <w:jc w:val="left"/>
        <w:rPr>
          <w:rFonts w:ascii="Arial MT"/>
          <w:sz w:val="12"/>
        </w:rPr>
      </w:pPr>
      <w:r>
        <w:rPr>
          <w:rFonts w:ascii="Arial MT"/>
          <w:color w:val="FFFFFF"/>
          <w:w w:val="120"/>
          <w:sz w:val="12"/>
        </w:rPr>
        <w:t>Housing</w:t>
      </w:r>
      <w:r>
        <w:rPr>
          <w:rFonts w:ascii="Arial MT"/>
          <w:color w:val="FFFFFF"/>
          <w:spacing w:val="-13"/>
          <w:w w:val="120"/>
          <w:sz w:val="12"/>
        </w:rPr>
        <w:t> </w:t>
      </w:r>
      <w:r>
        <w:rPr>
          <w:rFonts w:ascii="Arial MT"/>
          <w:color w:val="FFFFFF"/>
          <w:w w:val="120"/>
          <w:sz w:val="12"/>
        </w:rPr>
        <w:t>Budget</w:t>
      </w:r>
      <w:r>
        <w:rPr>
          <w:rFonts w:ascii="Arial MT"/>
          <w:color w:val="FFFFFF"/>
          <w:spacing w:val="40"/>
          <w:w w:val="120"/>
          <w:sz w:val="12"/>
        </w:rPr>
        <w:t> </w:t>
      </w:r>
      <w:r>
        <w:rPr>
          <w:rFonts w:ascii="Arial MT"/>
          <w:color w:val="FFFFFF"/>
          <w:spacing w:val="-8"/>
          <w:w w:val="120"/>
          <w:sz w:val="12"/>
        </w:rPr>
        <w:t>Estimate/Proposal</w:t>
      </w:r>
    </w:p>
    <w:p>
      <w:pPr>
        <w:pStyle w:val="BodyText"/>
        <w:rPr>
          <w:rFonts w:ascii="Arial MT"/>
          <w:sz w:val="12"/>
        </w:rPr>
      </w:pPr>
    </w:p>
    <w:p>
      <w:pPr>
        <w:pStyle w:val="BodyText"/>
        <w:rPr>
          <w:rFonts w:ascii="Arial MT"/>
          <w:sz w:val="12"/>
        </w:rPr>
      </w:pPr>
    </w:p>
    <w:p>
      <w:pPr>
        <w:pStyle w:val="BodyText"/>
        <w:spacing w:before="101"/>
        <w:rPr>
          <w:rFonts w:ascii="Arial MT"/>
          <w:sz w:val="12"/>
        </w:rPr>
      </w:pPr>
    </w:p>
    <w:p>
      <w:pPr>
        <w:spacing w:before="1"/>
        <w:ind w:left="1398" w:right="0" w:firstLine="0"/>
        <w:jc w:val="left"/>
        <w:rPr>
          <w:rFonts w:ascii="Arial MT"/>
          <w:sz w:val="13"/>
        </w:rPr>
      </w:pPr>
      <w:r>
        <w:rPr/>
        <mc:AlternateContent>
          <mc:Choice Requires="wps">
            <w:drawing>
              <wp:anchor distT="0" distB="0" distL="0" distR="0" allowOverlap="1" layoutInCell="1" locked="0" behindDoc="0" simplePos="0" relativeHeight="15782912">
                <wp:simplePos x="0" y="0"/>
                <wp:positionH relativeFrom="page">
                  <wp:posOffset>5137543</wp:posOffset>
                </wp:positionH>
                <wp:positionV relativeFrom="paragraph">
                  <wp:posOffset>-7835</wp:posOffset>
                </wp:positionV>
                <wp:extent cx="593725" cy="553085"/>
                <wp:effectExtent l="0" t="0" r="0" b="0"/>
                <wp:wrapNone/>
                <wp:docPr id="1203" name="Textbox 1203"/>
                <wp:cNvGraphicFramePr>
                  <a:graphicFrameLocks/>
                </wp:cNvGraphicFramePr>
                <a:graphic>
                  <a:graphicData uri="http://schemas.microsoft.com/office/word/2010/wordprocessingShape">
                    <wps:wsp>
                      <wps:cNvPr id="1203" name="Textbox 1203"/>
                      <wps:cNvSpPr txBox="1"/>
                      <wps:spPr>
                        <a:xfrm>
                          <a:off x="0" y="0"/>
                          <a:ext cx="593725" cy="553085"/>
                        </a:xfrm>
                        <a:prstGeom prst="rect">
                          <a:avLst/>
                        </a:prstGeom>
                      </wps:spPr>
                      <wps:txbx>
                        <w:txbxContent>
                          <w:p>
                            <w:pPr>
                              <w:pStyle w:val="BodyText"/>
                              <w:rPr>
                                <w:sz w:val="9"/>
                              </w:rPr>
                            </w:pPr>
                          </w:p>
                          <w:p>
                            <w:pPr>
                              <w:pStyle w:val="BodyText"/>
                              <w:spacing w:before="41"/>
                              <w:rPr>
                                <w:sz w:val="9"/>
                              </w:rPr>
                            </w:pPr>
                          </w:p>
                          <w:p>
                            <w:pPr>
                              <w:spacing w:line="232" w:lineRule="auto" w:before="0"/>
                              <w:ind w:left="196" w:right="-36" w:hanging="143"/>
                              <w:jc w:val="left"/>
                              <w:rPr>
                                <w:rFonts w:ascii="Arial MT"/>
                                <w:sz w:val="9"/>
                              </w:rPr>
                            </w:pPr>
                            <w:r>
                              <w:rPr>
                                <w:rFonts w:ascii="Arial MT"/>
                                <w:color w:val="FFFFFF"/>
                                <w:spacing w:val="-4"/>
                                <w:w w:val="120"/>
                                <w:sz w:val="9"/>
                              </w:rPr>
                              <w:t>Citizen Participation</w:t>
                            </w:r>
                            <w:r>
                              <w:rPr>
                                <w:rFonts w:ascii="Arial MT"/>
                                <w:color w:val="FFFFFF"/>
                                <w:spacing w:val="40"/>
                                <w:w w:val="120"/>
                                <w:sz w:val="9"/>
                              </w:rPr>
                              <w:t> </w:t>
                            </w:r>
                            <w:r>
                              <w:rPr>
                                <w:rFonts w:ascii="Arial MT"/>
                                <w:color w:val="FFFFFF"/>
                                <w:w w:val="120"/>
                                <w:sz w:val="9"/>
                              </w:rPr>
                              <w:t>Focus</w:t>
                            </w:r>
                            <w:r>
                              <w:rPr>
                                <w:rFonts w:ascii="Arial MT"/>
                                <w:color w:val="FFFFFF"/>
                                <w:spacing w:val="-1"/>
                                <w:w w:val="120"/>
                                <w:sz w:val="9"/>
                              </w:rPr>
                              <w:t> </w:t>
                            </w:r>
                            <w:r>
                              <w:rPr>
                                <w:rFonts w:ascii="Arial MT"/>
                                <w:color w:val="FFFFFF"/>
                                <w:w w:val="120"/>
                                <w:sz w:val="9"/>
                              </w:rPr>
                              <w:t>Group</w:t>
                            </w:r>
                            <w:r>
                              <w:rPr>
                                <w:rFonts w:ascii="Arial MT"/>
                                <w:color w:val="FFFFFF"/>
                                <w:spacing w:val="40"/>
                                <w:w w:val="120"/>
                                <w:sz w:val="9"/>
                              </w:rPr>
                              <w:t> </w:t>
                            </w:r>
                            <w:r>
                              <w:rPr>
                                <w:rFonts w:ascii="Arial MT"/>
                                <w:color w:val="FFFFFF"/>
                                <w:w w:val="120"/>
                                <w:sz w:val="9"/>
                              </w:rPr>
                              <w:t>Public</w:t>
                            </w:r>
                            <w:r>
                              <w:rPr>
                                <w:rFonts w:ascii="Arial MT"/>
                                <w:color w:val="FFFFFF"/>
                                <w:spacing w:val="-8"/>
                                <w:w w:val="120"/>
                                <w:sz w:val="9"/>
                              </w:rPr>
                              <w:t> </w:t>
                            </w:r>
                            <w:r>
                              <w:rPr>
                                <w:rFonts w:ascii="Arial MT"/>
                                <w:color w:val="FFFFFF"/>
                                <w:w w:val="120"/>
                                <w:sz w:val="9"/>
                              </w:rPr>
                              <w:t>Meetings</w:t>
                            </w:r>
                            <w:r>
                              <w:rPr>
                                <w:rFonts w:ascii="Arial MT"/>
                                <w:color w:val="FFFFFF"/>
                                <w:spacing w:val="40"/>
                                <w:w w:val="120"/>
                                <w:sz w:val="9"/>
                              </w:rPr>
                              <w:t> </w:t>
                            </w:r>
                            <w:r>
                              <w:rPr>
                                <w:rFonts w:ascii="Arial MT"/>
                                <w:color w:val="FFFFFF"/>
                                <w:w w:val="120"/>
                                <w:sz w:val="9"/>
                              </w:rPr>
                              <w:t>and</w:t>
                            </w:r>
                            <w:r>
                              <w:rPr>
                                <w:rFonts w:ascii="Arial MT"/>
                                <w:color w:val="FFFFFF"/>
                                <w:spacing w:val="-8"/>
                                <w:w w:val="120"/>
                                <w:sz w:val="9"/>
                              </w:rPr>
                              <w:t> </w:t>
                            </w:r>
                            <w:r>
                              <w:rPr>
                                <w:rFonts w:ascii="Arial MT"/>
                                <w:color w:val="FFFFFF"/>
                                <w:w w:val="120"/>
                                <w:sz w:val="9"/>
                              </w:rPr>
                              <w:t>Hearing</w:t>
                            </w:r>
                          </w:p>
                        </w:txbxContent>
                      </wps:txbx>
                      <wps:bodyPr wrap="square" lIns="0" tIns="0" rIns="0" bIns="0" rtlCol="0">
                        <a:noAutofit/>
                      </wps:bodyPr>
                    </wps:wsp>
                  </a:graphicData>
                </a:graphic>
              </wp:anchor>
            </w:drawing>
          </mc:Choice>
          <mc:Fallback>
            <w:pict>
              <v:shape style="position:absolute;margin-left:404.531006pt;margin-top:-.616975pt;width:46.75pt;height:43.55pt;mso-position-horizontal-relative:page;mso-position-vertical-relative:paragraph;z-index:15782912" type="#_x0000_t202" id="docshape1139" filled="false" stroked="false">
                <v:textbox inset="0,0,0,0">
                  <w:txbxContent>
                    <w:p>
                      <w:pPr>
                        <w:pStyle w:val="BodyText"/>
                        <w:rPr>
                          <w:sz w:val="9"/>
                        </w:rPr>
                      </w:pPr>
                    </w:p>
                    <w:p>
                      <w:pPr>
                        <w:pStyle w:val="BodyText"/>
                        <w:spacing w:before="41"/>
                        <w:rPr>
                          <w:sz w:val="9"/>
                        </w:rPr>
                      </w:pPr>
                    </w:p>
                    <w:p>
                      <w:pPr>
                        <w:spacing w:line="232" w:lineRule="auto" w:before="0"/>
                        <w:ind w:left="196" w:right="-36" w:hanging="143"/>
                        <w:jc w:val="left"/>
                        <w:rPr>
                          <w:rFonts w:ascii="Arial MT"/>
                          <w:sz w:val="9"/>
                        </w:rPr>
                      </w:pPr>
                      <w:r>
                        <w:rPr>
                          <w:rFonts w:ascii="Arial MT"/>
                          <w:color w:val="FFFFFF"/>
                          <w:spacing w:val="-4"/>
                          <w:w w:val="120"/>
                          <w:sz w:val="9"/>
                        </w:rPr>
                        <w:t>Citizen Participation</w:t>
                      </w:r>
                      <w:r>
                        <w:rPr>
                          <w:rFonts w:ascii="Arial MT"/>
                          <w:color w:val="FFFFFF"/>
                          <w:spacing w:val="40"/>
                          <w:w w:val="120"/>
                          <w:sz w:val="9"/>
                        </w:rPr>
                        <w:t> </w:t>
                      </w:r>
                      <w:r>
                        <w:rPr>
                          <w:rFonts w:ascii="Arial MT"/>
                          <w:color w:val="FFFFFF"/>
                          <w:w w:val="120"/>
                          <w:sz w:val="9"/>
                        </w:rPr>
                        <w:t>Focus</w:t>
                      </w:r>
                      <w:r>
                        <w:rPr>
                          <w:rFonts w:ascii="Arial MT"/>
                          <w:color w:val="FFFFFF"/>
                          <w:spacing w:val="-1"/>
                          <w:w w:val="120"/>
                          <w:sz w:val="9"/>
                        </w:rPr>
                        <w:t> </w:t>
                      </w:r>
                      <w:r>
                        <w:rPr>
                          <w:rFonts w:ascii="Arial MT"/>
                          <w:color w:val="FFFFFF"/>
                          <w:w w:val="120"/>
                          <w:sz w:val="9"/>
                        </w:rPr>
                        <w:t>Group</w:t>
                      </w:r>
                      <w:r>
                        <w:rPr>
                          <w:rFonts w:ascii="Arial MT"/>
                          <w:color w:val="FFFFFF"/>
                          <w:spacing w:val="40"/>
                          <w:w w:val="120"/>
                          <w:sz w:val="9"/>
                        </w:rPr>
                        <w:t> </w:t>
                      </w:r>
                      <w:r>
                        <w:rPr>
                          <w:rFonts w:ascii="Arial MT"/>
                          <w:color w:val="FFFFFF"/>
                          <w:w w:val="120"/>
                          <w:sz w:val="9"/>
                        </w:rPr>
                        <w:t>Public</w:t>
                      </w:r>
                      <w:r>
                        <w:rPr>
                          <w:rFonts w:ascii="Arial MT"/>
                          <w:color w:val="FFFFFF"/>
                          <w:spacing w:val="-8"/>
                          <w:w w:val="120"/>
                          <w:sz w:val="9"/>
                        </w:rPr>
                        <w:t> </w:t>
                      </w:r>
                      <w:r>
                        <w:rPr>
                          <w:rFonts w:ascii="Arial MT"/>
                          <w:color w:val="FFFFFF"/>
                          <w:w w:val="120"/>
                          <w:sz w:val="9"/>
                        </w:rPr>
                        <w:t>Meetings</w:t>
                      </w:r>
                      <w:r>
                        <w:rPr>
                          <w:rFonts w:ascii="Arial MT"/>
                          <w:color w:val="FFFFFF"/>
                          <w:spacing w:val="40"/>
                          <w:w w:val="120"/>
                          <w:sz w:val="9"/>
                        </w:rPr>
                        <w:t> </w:t>
                      </w:r>
                      <w:r>
                        <w:rPr>
                          <w:rFonts w:ascii="Arial MT"/>
                          <w:color w:val="FFFFFF"/>
                          <w:w w:val="120"/>
                          <w:sz w:val="9"/>
                        </w:rPr>
                        <w:t>and</w:t>
                      </w:r>
                      <w:r>
                        <w:rPr>
                          <w:rFonts w:ascii="Arial MT"/>
                          <w:color w:val="FFFFFF"/>
                          <w:spacing w:val="-8"/>
                          <w:w w:val="120"/>
                          <w:sz w:val="9"/>
                        </w:rPr>
                        <w:t> </w:t>
                      </w:r>
                      <w:r>
                        <w:rPr>
                          <w:rFonts w:ascii="Arial MT"/>
                          <w:color w:val="FFFFFF"/>
                          <w:w w:val="120"/>
                          <w:sz w:val="9"/>
                        </w:rPr>
                        <w:t>Hearing</w:t>
                      </w:r>
                    </w:p>
                  </w:txbxContent>
                </v:textbox>
                <w10:wrap type="none"/>
              </v:shape>
            </w:pict>
          </mc:Fallback>
        </mc:AlternateContent>
      </w:r>
      <w:r>
        <w:rPr>
          <w:rFonts w:ascii="Arial MT"/>
          <w:color w:val="FFFFFF"/>
          <w:spacing w:val="-5"/>
          <w:w w:val="125"/>
          <w:sz w:val="13"/>
        </w:rPr>
        <w:t>BOQ</w:t>
      </w:r>
    </w:p>
    <w:p>
      <w:pPr>
        <w:spacing w:after="0"/>
        <w:jc w:val="left"/>
        <w:rPr>
          <w:rFonts w:ascii="Arial MT"/>
          <w:sz w:val="13"/>
        </w:rPr>
        <w:sectPr>
          <w:type w:val="continuous"/>
          <w:pgSz w:w="12240" w:h="15840"/>
          <w:pgMar w:header="0" w:footer="1036" w:top="1520" w:bottom="1220" w:left="1320" w:right="320"/>
          <w:cols w:num="4" w:equalWidth="0">
            <w:col w:w="2907" w:space="40"/>
            <w:col w:w="1368" w:space="39"/>
            <w:col w:w="421" w:space="40"/>
            <w:col w:w="5785"/>
          </w:cols>
        </w:sectPr>
      </w:pPr>
    </w:p>
    <w:p>
      <w:pPr>
        <w:pStyle w:val="BodyText"/>
        <w:spacing w:before="42"/>
        <w:rPr>
          <w:rFonts w:ascii="Arial MT"/>
          <w:sz w:val="9"/>
        </w:rPr>
      </w:pPr>
    </w:p>
    <w:p>
      <w:pPr>
        <w:spacing w:before="0"/>
        <w:ind w:left="6" w:right="1461" w:firstLine="0"/>
        <w:jc w:val="center"/>
        <w:rPr>
          <w:rFonts w:ascii="Arial MT"/>
          <w:sz w:val="9"/>
        </w:rPr>
      </w:pPr>
      <w:r>
        <w:rPr>
          <w:rFonts w:ascii="Arial MT"/>
          <w:color w:val="FFFFFF"/>
          <w:spacing w:val="-4"/>
          <w:w w:val="115"/>
          <w:sz w:val="9"/>
        </w:rPr>
        <w:t>Jun-</w:t>
      </w:r>
      <w:r>
        <w:rPr>
          <w:rFonts w:ascii="Arial MT"/>
          <w:color w:val="FFFFFF"/>
          <w:spacing w:val="-5"/>
          <w:w w:val="120"/>
          <w:sz w:val="9"/>
        </w:rPr>
        <w:t>Aug</w:t>
      </w:r>
    </w:p>
    <w:p>
      <w:pPr>
        <w:pStyle w:val="BodyText"/>
        <w:rPr>
          <w:rFonts w:ascii="Arial MT"/>
          <w:sz w:val="20"/>
        </w:rPr>
      </w:pPr>
    </w:p>
    <w:p>
      <w:pPr>
        <w:pStyle w:val="BodyText"/>
        <w:spacing w:before="137"/>
        <w:rPr>
          <w:rFonts w:ascii="Arial MT"/>
          <w:sz w:val="20"/>
        </w:rPr>
      </w:pPr>
    </w:p>
    <w:p>
      <w:pPr>
        <w:spacing w:after="0"/>
        <w:rPr>
          <w:rFonts w:ascii="Arial MT"/>
          <w:sz w:val="20"/>
        </w:rPr>
        <w:sectPr>
          <w:type w:val="continuous"/>
          <w:pgSz w:w="12240" w:h="15840"/>
          <w:pgMar w:header="0" w:footer="1036" w:top="1520" w:bottom="1220" w:left="1320" w:right="320"/>
        </w:sectPr>
      </w:pPr>
    </w:p>
    <w:p>
      <w:pPr>
        <w:pStyle w:val="BodyText"/>
        <w:spacing w:before="13"/>
        <w:rPr>
          <w:rFonts w:ascii="Arial MT"/>
          <w:sz w:val="16"/>
        </w:rPr>
      </w:pPr>
    </w:p>
    <w:p>
      <w:pPr>
        <w:spacing w:line="235" w:lineRule="auto" w:before="0"/>
        <w:ind w:left="1019" w:right="38" w:firstLine="377"/>
        <w:jc w:val="left"/>
        <w:rPr>
          <w:rFonts w:ascii="Arial MT"/>
          <w:sz w:val="16"/>
        </w:rPr>
      </w:pPr>
      <w:r>
        <w:rPr>
          <w:rFonts w:ascii="Arial MT"/>
          <w:color w:val="23201D"/>
          <w:spacing w:val="-2"/>
          <w:w w:val="125"/>
          <w:sz w:val="16"/>
        </w:rPr>
        <w:t>BUDGET </w:t>
      </w:r>
      <w:r>
        <w:rPr>
          <w:rFonts w:ascii="Arial MT"/>
          <w:color w:val="23201D"/>
          <w:spacing w:val="-2"/>
          <w:w w:val="120"/>
          <w:sz w:val="16"/>
        </w:rPr>
        <w:t>AUTHORIZATION</w:t>
      </w:r>
    </w:p>
    <w:p>
      <w:pPr>
        <w:spacing w:line="136" w:lineRule="exact" w:before="96"/>
        <w:ind w:left="1019" w:right="0" w:firstLine="72"/>
        <w:jc w:val="left"/>
        <w:rPr>
          <w:rFonts w:ascii="Arial MT"/>
          <w:sz w:val="12"/>
        </w:rPr>
      </w:pPr>
      <w:r>
        <w:rPr/>
        <w:br w:type="column"/>
      </w:r>
      <w:r>
        <w:rPr>
          <w:rFonts w:ascii="Arial MT"/>
          <w:color w:val="FFFFFF"/>
          <w:spacing w:val="-4"/>
          <w:w w:val="115"/>
          <w:sz w:val="12"/>
        </w:rPr>
        <w:t>SEC</w:t>
      </w:r>
      <w:r>
        <w:rPr>
          <w:rFonts w:ascii="Arial MT"/>
          <w:color w:val="FFFFFF"/>
          <w:spacing w:val="-13"/>
          <w:w w:val="115"/>
          <w:sz w:val="12"/>
        </w:rPr>
        <w:t> </w:t>
      </w:r>
      <w:r>
        <w:rPr>
          <w:rFonts w:ascii="Arial MT"/>
          <w:color w:val="FFFFFF"/>
          <w:spacing w:val="-4"/>
          <w:w w:val="115"/>
          <w:sz w:val="12"/>
        </w:rPr>
        <w:t>and</w:t>
      </w:r>
      <w:r>
        <w:rPr>
          <w:rFonts w:ascii="Arial MT"/>
          <w:color w:val="FFFFFF"/>
          <w:spacing w:val="-6"/>
          <w:w w:val="115"/>
          <w:sz w:val="12"/>
        </w:rPr>
        <w:t> </w:t>
      </w:r>
      <w:r>
        <w:rPr>
          <w:rFonts w:ascii="Arial MT"/>
          <w:color w:val="FFFFFF"/>
          <w:spacing w:val="-4"/>
          <w:w w:val="115"/>
          <w:sz w:val="12"/>
        </w:rPr>
        <w:t>Legislative</w:t>
      </w:r>
    </w:p>
    <w:p>
      <w:pPr>
        <w:spacing w:line="182" w:lineRule="auto" w:before="26"/>
        <w:ind w:left="1181" w:right="3912" w:hanging="162"/>
        <w:jc w:val="left"/>
        <w:rPr>
          <w:rFonts w:ascii="Arial MT" w:hAnsi="Arial MT"/>
          <w:sz w:val="12"/>
        </w:rPr>
      </w:pPr>
      <w:r>
        <w:rPr>
          <w:rFonts w:ascii="Arial MT" w:hAnsi="Arial MT"/>
          <w:color w:val="FFFFFF"/>
          <w:spacing w:val="-6"/>
          <w:w w:val="120"/>
          <w:sz w:val="12"/>
        </w:rPr>
        <w:t>Approval,</w:t>
      </w:r>
      <w:r>
        <w:rPr>
          <w:rFonts w:ascii="Arial MT" w:hAnsi="Arial MT"/>
          <w:color w:val="FFFFFF"/>
          <w:spacing w:val="-9"/>
          <w:w w:val="120"/>
          <w:sz w:val="12"/>
        </w:rPr>
        <w:t> </w:t>
      </w:r>
      <w:r>
        <w:rPr>
          <w:rFonts w:ascii="Arial MT" w:hAnsi="Arial MT"/>
          <w:color w:val="FFFFFF"/>
          <w:spacing w:val="-6"/>
          <w:w w:val="120"/>
          <w:sz w:val="12"/>
        </w:rPr>
        <w:t>Passage</w:t>
      </w:r>
      <w:r>
        <w:rPr>
          <w:rFonts w:ascii="Arial MT" w:hAnsi="Arial MT"/>
          <w:color w:val="FFFFFF"/>
          <w:spacing w:val="-13"/>
          <w:w w:val="120"/>
          <w:sz w:val="12"/>
        </w:rPr>
        <w:t> </w:t>
      </w:r>
      <w:r>
        <w:rPr>
          <w:rFonts w:ascii="Arial MT" w:hAnsi="Arial MT"/>
          <w:color w:val="FFFFFF"/>
          <w:spacing w:val="-6"/>
          <w:w w:val="120"/>
          <w:sz w:val="12"/>
        </w:rPr>
        <w:t>and</w:t>
      </w:r>
      <w:r>
        <w:rPr>
          <w:rFonts w:ascii="Arial MT" w:hAnsi="Arial MT"/>
          <w:color w:val="FFFFFF"/>
          <w:spacing w:val="40"/>
          <w:w w:val="120"/>
          <w:sz w:val="12"/>
        </w:rPr>
        <w:t> </w:t>
      </w:r>
      <w:r>
        <w:rPr>
          <w:rFonts w:ascii="Arial MT" w:hAnsi="Arial MT"/>
          <w:color w:val="FFFFFF"/>
          <w:w w:val="120"/>
          <w:sz w:val="12"/>
        </w:rPr>
        <w:t>Govenor’s</w:t>
      </w:r>
      <w:r>
        <w:rPr>
          <w:rFonts w:ascii="Arial MT" w:hAnsi="Arial MT"/>
          <w:color w:val="FFFFFF"/>
          <w:spacing w:val="-10"/>
          <w:w w:val="120"/>
          <w:sz w:val="12"/>
        </w:rPr>
        <w:t> </w:t>
      </w:r>
      <w:r>
        <w:rPr>
          <w:rFonts w:ascii="Arial MT" w:hAnsi="Arial MT"/>
          <w:color w:val="FFFFFF"/>
          <w:w w:val="120"/>
          <w:sz w:val="12"/>
        </w:rPr>
        <w:t>assent</w:t>
      </w:r>
    </w:p>
    <w:p>
      <w:pPr>
        <w:spacing w:after="0" w:line="182" w:lineRule="auto"/>
        <w:jc w:val="left"/>
        <w:rPr>
          <w:rFonts w:ascii="Arial MT" w:hAnsi="Arial MT"/>
          <w:sz w:val="12"/>
        </w:rPr>
        <w:sectPr>
          <w:type w:val="continuous"/>
          <w:pgSz w:w="12240" w:h="15840"/>
          <w:pgMar w:header="0" w:footer="1036" w:top="1520" w:bottom="1220" w:left="1320" w:right="320"/>
          <w:cols w:num="2" w:equalWidth="0">
            <w:col w:w="2695" w:space="1600"/>
            <w:col w:w="6305"/>
          </w:cols>
        </w:sectPr>
      </w:pPr>
    </w:p>
    <w:p>
      <w:pPr>
        <w:pStyle w:val="BodyText"/>
        <w:rPr>
          <w:rFonts w:ascii="Arial MT"/>
          <w:sz w:val="20"/>
        </w:rPr>
      </w:pPr>
    </w:p>
    <w:p>
      <w:pPr>
        <w:pStyle w:val="BodyText"/>
        <w:spacing w:before="120"/>
        <w:rPr>
          <w:rFonts w:ascii="Arial MT"/>
          <w:sz w:val="20"/>
        </w:rPr>
      </w:pPr>
    </w:p>
    <w:p>
      <w:pPr>
        <w:spacing w:after="0"/>
        <w:rPr>
          <w:rFonts w:ascii="Arial MT"/>
          <w:sz w:val="20"/>
        </w:rPr>
        <w:sectPr>
          <w:type w:val="continuous"/>
          <w:pgSz w:w="12240" w:h="15840"/>
          <w:pgMar w:header="0" w:footer="1036" w:top="1520" w:bottom="1220" w:left="1320" w:right="320"/>
        </w:sect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spacing w:before="89"/>
        <w:rPr>
          <w:rFonts w:ascii="Arial MT"/>
          <w:sz w:val="16"/>
        </w:rPr>
      </w:pPr>
    </w:p>
    <w:p>
      <w:pPr>
        <w:spacing w:line="235" w:lineRule="auto" w:before="1"/>
        <w:ind w:left="784" w:right="36" w:firstLine="0"/>
        <w:jc w:val="center"/>
        <w:rPr>
          <w:rFonts w:ascii="Arial MT"/>
          <w:sz w:val="16"/>
        </w:rPr>
      </w:pPr>
      <w:r>
        <w:rPr/>
        <mc:AlternateContent>
          <mc:Choice Requires="wps">
            <w:drawing>
              <wp:anchor distT="0" distB="0" distL="0" distR="0" allowOverlap="1" layoutInCell="1" locked="0" behindDoc="0" simplePos="0" relativeHeight="15784960">
                <wp:simplePos x="0" y="0"/>
                <wp:positionH relativeFrom="page">
                  <wp:posOffset>1051314</wp:posOffset>
                </wp:positionH>
                <wp:positionV relativeFrom="paragraph">
                  <wp:posOffset>-421145</wp:posOffset>
                </wp:positionV>
                <wp:extent cx="165735" cy="2452370"/>
                <wp:effectExtent l="0" t="0" r="0" b="0"/>
                <wp:wrapNone/>
                <wp:docPr id="1204" name="Textbox 1204"/>
                <wp:cNvGraphicFramePr>
                  <a:graphicFrameLocks/>
                </wp:cNvGraphicFramePr>
                <a:graphic>
                  <a:graphicData uri="http://schemas.microsoft.com/office/word/2010/wordprocessingShape">
                    <wps:wsp>
                      <wps:cNvPr id="1204" name="Textbox 1204"/>
                      <wps:cNvSpPr txBox="1"/>
                      <wps:spPr>
                        <a:xfrm>
                          <a:off x="0" y="0"/>
                          <a:ext cx="165735" cy="2452370"/>
                        </a:xfrm>
                        <a:prstGeom prst="rect">
                          <a:avLst/>
                        </a:prstGeom>
                      </wps:spPr>
                      <wps:txbx>
                        <w:txbxContent>
                          <w:p>
                            <w:pPr>
                              <w:spacing w:before="20"/>
                              <w:ind w:left="20" w:right="0" w:firstLine="0"/>
                              <w:jc w:val="left"/>
                              <w:rPr>
                                <w:rFonts w:ascii="Arial MT"/>
                                <w:sz w:val="19"/>
                              </w:rPr>
                            </w:pPr>
                            <w:r>
                              <w:rPr>
                                <w:rFonts w:ascii="Arial MT"/>
                                <w:color w:val="23201D"/>
                                <w:spacing w:val="-4"/>
                                <w:w w:val="85"/>
                                <w:sz w:val="19"/>
                              </w:rPr>
                              <w:t>HOUSING</w:t>
                            </w:r>
                            <w:r>
                              <w:rPr>
                                <w:rFonts w:ascii="Arial MT"/>
                                <w:color w:val="23201D"/>
                                <w:spacing w:val="-11"/>
                                <w:sz w:val="19"/>
                              </w:rPr>
                              <w:t> </w:t>
                            </w:r>
                            <w:r>
                              <w:rPr>
                                <w:rFonts w:ascii="Arial MT"/>
                                <w:color w:val="23201D"/>
                                <w:spacing w:val="-4"/>
                                <w:w w:val="85"/>
                                <w:sz w:val="19"/>
                              </w:rPr>
                              <w:t>BUDGET</w:t>
                            </w:r>
                            <w:r>
                              <w:rPr>
                                <w:rFonts w:ascii="Arial MT"/>
                                <w:color w:val="23201D"/>
                                <w:spacing w:val="-5"/>
                                <w:w w:val="85"/>
                                <w:sz w:val="19"/>
                              </w:rPr>
                              <w:t> </w:t>
                            </w:r>
                            <w:r>
                              <w:rPr>
                                <w:rFonts w:ascii="Arial MT"/>
                                <w:color w:val="23201D"/>
                                <w:spacing w:val="-4"/>
                                <w:w w:val="85"/>
                                <w:sz w:val="19"/>
                              </w:rPr>
                              <w:t>MANAGEMENT</w:t>
                            </w:r>
                            <w:r>
                              <w:rPr>
                                <w:rFonts w:ascii="Arial MT"/>
                                <w:color w:val="23201D"/>
                                <w:spacing w:val="-12"/>
                                <w:sz w:val="19"/>
                              </w:rPr>
                              <w:t> </w:t>
                            </w:r>
                            <w:r>
                              <w:rPr>
                                <w:rFonts w:ascii="Arial MT"/>
                                <w:color w:val="23201D"/>
                                <w:spacing w:val="-4"/>
                                <w:w w:val="85"/>
                                <w:sz w:val="19"/>
                              </w:rPr>
                              <w:t>ENVIRONMENT</w:t>
                            </w:r>
                          </w:p>
                        </w:txbxContent>
                      </wps:txbx>
                      <wps:bodyPr wrap="square" lIns="0" tIns="0" rIns="0" bIns="0" rtlCol="0" vert="vert270">
                        <a:noAutofit/>
                      </wps:bodyPr>
                    </wps:wsp>
                  </a:graphicData>
                </a:graphic>
              </wp:anchor>
            </w:drawing>
          </mc:Choice>
          <mc:Fallback>
            <w:pict>
              <v:shape style="position:absolute;margin-left:82.780678pt;margin-top:-33.161072pt;width:13.05pt;height:193.1pt;mso-position-horizontal-relative:page;mso-position-vertical-relative:paragraph;z-index:15784960" type="#_x0000_t202" id="docshape1140" filled="false" stroked="false">
                <v:textbox inset="0,0,0,0" style="layout-flow:vertical;mso-layout-flow-alt:bottom-to-top">
                  <w:txbxContent>
                    <w:p>
                      <w:pPr>
                        <w:spacing w:before="20"/>
                        <w:ind w:left="20" w:right="0" w:firstLine="0"/>
                        <w:jc w:val="left"/>
                        <w:rPr>
                          <w:rFonts w:ascii="Arial MT"/>
                          <w:sz w:val="19"/>
                        </w:rPr>
                      </w:pPr>
                      <w:r>
                        <w:rPr>
                          <w:rFonts w:ascii="Arial MT"/>
                          <w:color w:val="23201D"/>
                          <w:spacing w:val="-4"/>
                          <w:w w:val="85"/>
                          <w:sz w:val="19"/>
                        </w:rPr>
                        <w:t>HOUSING</w:t>
                      </w:r>
                      <w:r>
                        <w:rPr>
                          <w:rFonts w:ascii="Arial MT"/>
                          <w:color w:val="23201D"/>
                          <w:spacing w:val="-11"/>
                          <w:sz w:val="19"/>
                        </w:rPr>
                        <w:t> </w:t>
                      </w:r>
                      <w:r>
                        <w:rPr>
                          <w:rFonts w:ascii="Arial MT"/>
                          <w:color w:val="23201D"/>
                          <w:spacing w:val="-4"/>
                          <w:w w:val="85"/>
                          <w:sz w:val="19"/>
                        </w:rPr>
                        <w:t>BUDGET</w:t>
                      </w:r>
                      <w:r>
                        <w:rPr>
                          <w:rFonts w:ascii="Arial MT"/>
                          <w:color w:val="23201D"/>
                          <w:spacing w:val="-5"/>
                          <w:w w:val="85"/>
                          <w:sz w:val="19"/>
                        </w:rPr>
                        <w:t> </w:t>
                      </w:r>
                      <w:r>
                        <w:rPr>
                          <w:rFonts w:ascii="Arial MT"/>
                          <w:color w:val="23201D"/>
                          <w:spacing w:val="-4"/>
                          <w:w w:val="85"/>
                          <w:sz w:val="19"/>
                        </w:rPr>
                        <w:t>MANAGEMENT</w:t>
                      </w:r>
                      <w:r>
                        <w:rPr>
                          <w:rFonts w:ascii="Arial MT"/>
                          <w:color w:val="23201D"/>
                          <w:spacing w:val="-12"/>
                          <w:sz w:val="19"/>
                        </w:rPr>
                        <w:t> </w:t>
                      </w:r>
                      <w:r>
                        <w:rPr>
                          <w:rFonts w:ascii="Arial MT"/>
                          <w:color w:val="23201D"/>
                          <w:spacing w:val="-4"/>
                          <w:w w:val="85"/>
                          <w:sz w:val="19"/>
                        </w:rPr>
                        <w:t>ENVIRONMENT</w:t>
                      </w:r>
                    </w:p>
                  </w:txbxContent>
                </v:textbox>
                <w10:wrap type="none"/>
              </v:shape>
            </w:pict>
          </mc:Fallback>
        </mc:AlternateContent>
      </w:r>
      <w:r>
        <w:rPr>
          <w:rFonts w:ascii="Arial MT"/>
          <w:color w:val="23201D"/>
          <w:spacing w:val="-2"/>
          <w:w w:val="125"/>
          <w:sz w:val="16"/>
        </w:rPr>
        <w:t>BUDGET</w:t>
      </w:r>
      <w:r>
        <w:rPr>
          <w:rFonts w:ascii="Arial MT"/>
          <w:color w:val="23201D"/>
          <w:spacing w:val="-12"/>
          <w:w w:val="125"/>
          <w:sz w:val="16"/>
        </w:rPr>
        <w:t> </w:t>
      </w:r>
      <w:r>
        <w:rPr>
          <w:rFonts w:ascii="Arial MT"/>
          <w:color w:val="23201D"/>
          <w:spacing w:val="-2"/>
          <w:w w:val="125"/>
          <w:sz w:val="16"/>
        </w:rPr>
        <w:t>EXECUTION </w:t>
      </w:r>
      <w:r>
        <w:rPr>
          <w:rFonts w:ascii="Arial MT"/>
          <w:color w:val="23201D"/>
          <w:spacing w:val="-4"/>
          <w:w w:val="125"/>
          <w:sz w:val="16"/>
        </w:rPr>
        <w:t>AND</w:t>
      </w:r>
    </w:p>
    <w:p>
      <w:pPr>
        <w:spacing w:before="11"/>
        <w:ind w:left="784" w:right="0" w:firstLine="0"/>
        <w:jc w:val="center"/>
        <w:rPr>
          <w:rFonts w:ascii="Arial MT"/>
          <w:sz w:val="16"/>
        </w:rPr>
      </w:pPr>
      <w:r>
        <w:rPr>
          <w:rFonts w:ascii="Arial MT"/>
          <w:color w:val="23201D"/>
          <w:spacing w:val="-2"/>
          <w:w w:val="125"/>
          <w:sz w:val="16"/>
        </w:rPr>
        <w:t>CONTROL</w:t>
      </w:r>
    </w:p>
    <w:p>
      <w:pPr>
        <w:spacing w:line="240" w:lineRule="auto" w:before="0"/>
        <w:rPr>
          <w:rFonts w:ascii="Arial MT"/>
          <w:sz w:val="9"/>
        </w:rPr>
      </w:pPr>
      <w:r>
        <w:rPr/>
        <w:br w:type="column"/>
      </w:r>
      <w:r>
        <w:rPr>
          <w:rFonts w:ascii="Arial MT"/>
          <w:sz w:val="9"/>
        </w:rPr>
      </w:r>
    </w:p>
    <w:p>
      <w:pPr>
        <w:pStyle w:val="BodyText"/>
        <w:spacing w:before="25"/>
        <w:rPr>
          <w:rFonts w:ascii="Arial MT"/>
          <w:sz w:val="9"/>
        </w:rPr>
      </w:pPr>
    </w:p>
    <w:p>
      <w:pPr>
        <w:spacing w:before="0"/>
        <w:ind w:left="0" w:right="0" w:firstLine="0"/>
        <w:jc w:val="right"/>
        <w:rPr>
          <w:rFonts w:ascii="Arial MT"/>
          <w:sz w:val="9"/>
        </w:rPr>
      </w:pPr>
      <w:r>
        <w:rPr>
          <w:rFonts w:ascii="Arial MT"/>
          <w:color w:val="FFFFFF"/>
          <w:spacing w:val="-4"/>
          <w:w w:val="120"/>
          <w:sz w:val="9"/>
        </w:rPr>
        <w:t>Sept</w:t>
      </w:r>
    </w:p>
    <w:p>
      <w:pPr>
        <w:spacing w:before="97"/>
        <w:ind w:left="1098" w:right="0" w:firstLine="0"/>
        <w:jc w:val="left"/>
        <w:rPr>
          <w:rFonts w:ascii="Arial MT"/>
          <w:sz w:val="9"/>
        </w:rPr>
      </w:pPr>
      <w:r>
        <w:rPr/>
        <w:br w:type="column"/>
      </w:r>
      <w:r>
        <w:rPr>
          <w:rFonts w:ascii="Arial MT"/>
          <w:color w:val="FFFFFF"/>
          <w:spacing w:val="-2"/>
          <w:w w:val="120"/>
          <w:sz w:val="9"/>
        </w:rPr>
        <w:t>Budget</w:t>
      </w:r>
    </w:p>
    <w:p>
      <w:pPr>
        <w:tabs>
          <w:tab w:pos="871" w:val="left" w:leader="none"/>
        </w:tabs>
        <w:spacing w:before="2"/>
        <w:ind w:left="217" w:right="0" w:firstLine="0"/>
        <w:jc w:val="left"/>
        <w:rPr>
          <w:rFonts w:ascii="Arial MT"/>
          <w:sz w:val="9"/>
        </w:rPr>
      </w:pPr>
      <w:r>
        <w:rPr/>
        <mc:AlternateContent>
          <mc:Choice Requires="wps">
            <w:drawing>
              <wp:anchor distT="0" distB="0" distL="0" distR="0" allowOverlap="1" layoutInCell="1" locked="0" behindDoc="0" simplePos="0" relativeHeight="15782400">
                <wp:simplePos x="0" y="0"/>
                <wp:positionH relativeFrom="page">
                  <wp:posOffset>5160318</wp:posOffset>
                </wp:positionH>
                <wp:positionV relativeFrom="paragraph">
                  <wp:posOffset>-230973</wp:posOffset>
                </wp:positionV>
                <wp:extent cx="593725" cy="552450"/>
                <wp:effectExtent l="0" t="0" r="0" b="0"/>
                <wp:wrapNone/>
                <wp:docPr id="1205" name="Textbox 1205"/>
                <wp:cNvGraphicFramePr>
                  <a:graphicFrameLocks/>
                </wp:cNvGraphicFramePr>
                <a:graphic>
                  <a:graphicData uri="http://schemas.microsoft.com/office/word/2010/wordprocessingShape">
                    <wps:wsp>
                      <wps:cNvPr id="1205" name="Textbox 1205"/>
                      <wps:cNvSpPr txBox="1"/>
                      <wps:spPr>
                        <a:xfrm>
                          <a:off x="0" y="0"/>
                          <a:ext cx="593725" cy="552450"/>
                        </a:xfrm>
                        <a:prstGeom prst="rect">
                          <a:avLst/>
                        </a:prstGeom>
                      </wps:spPr>
                      <wps:txbx>
                        <w:txbxContent>
                          <w:p>
                            <w:pPr>
                              <w:pStyle w:val="BodyText"/>
                              <w:spacing w:before="39"/>
                              <w:rPr>
                                <w:sz w:val="9"/>
                              </w:rPr>
                            </w:pPr>
                          </w:p>
                          <w:p>
                            <w:pPr>
                              <w:spacing w:line="232" w:lineRule="auto" w:before="0"/>
                              <w:ind w:left="196" w:right="-36" w:hanging="179"/>
                              <w:jc w:val="left"/>
                              <w:rPr>
                                <w:rFonts w:ascii="Arial MT"/>
                                <w:sz w:val="9"/>
                              </w:rPr>
                            </w:pPr>
                            <w:r>
                              <w:rPr>
                                <w:rFonts w:ascii="Arial MT"/>
                                <w:color w:val="FFFFFF"/>
                                <w:spacing w:val="-4"/>
                                <w:w w:val="120"/>
                                <w:sz w:val="9"/>
                              </w:rPr>
                              <w:t>Citizen Participation</w:t>
                            </w:r>
                            <w:r>
                              <w:rPr>
                                <w:rFonts w:ascii="Arial MT"/>
                                <w:color w:val="FFFFFF"/>
                                <w:spacing w:val="40"/>
                                <w:w w:val="120"/>
                                <w:sz w:val="9"/>
                              </w:rPr>
                              <w:t> </w:t>
                            </w:r>
                            <w:r>
                              <w:rPr>
                                <w:rFonts w:ascii="Arial MT"/>
                                <w:color w:val="FFFFFF"/>
                                <w:w w:val="120"/>
                                <w:sz w:val="9"/>
                              </w:rPr>
                              <w:t>Budget</w:t>
                            </w:r>
                            <w:r>
                              <w:rPr>
                                <w:rFonts w:ascii="Arial MT"/>
                                <w:color w:val="FFFFFF"/>
                                <w:w w:val="120"/>
                                <w:sz w:val="9"/>
                              </w:rPr>
                              <w:t> and</w:t>
                            </w:r>
                            <w:r>
                              <w:rPr>
                                <w:rFonts w:ascii="Arial MT"/>
                                <w:color w:val="FFFFFF"/>
                                <w:spacing w:val="40"/>
                                <w:w w:val="120"/>
                                <w:sz w:val="9"/>
                              </w:rPr>
                              <w:t> </w:t>
                            </w:r>
                            <w:r>
                              <w:rPr>
                                <w:rFonts w:ascii="Arial MT"/>
                                <w:color w:val="FFFFFF"/>
                                <w:spacing w:val="-2"/>
                                <w:w w:val="120"/>
                                <w:sz w:val="9"/>
                              </w:rPr>
                              <w:t>Expenditure</w:t>
                            </w:r>
                            <w:r>
                              <w:rPr>
                                <w:rFonts w:ascii="Arial MT"/>
                                <w:color w:val="FFFFFF"/>
                                <w:spacing w:val="40"/>
                                <w:w w:val="120"/>
                                <w:sz w:val="9"/>
                              </w:rPr>
                              <w:t> </w:t>
                            </w:r>
                            <w:r>
                              <w:rPr>
                                <w:rFonts w:ascii="Arial MT"/>
                                <w:color w:val="FFFFFF"/>
                                <w:spacing w:val="-2"/>
                                <w:w w:val="120"/>
                                <w:sz w:val="9"/>
                              </w:rPr>
                              <w:t>publication</w:t>
                            </w:r>
                            <w:r>
                              <w:rPr>
                                <w:rFonts w:ascii="Arial MT"/>
                                <w:color w:val="FFFFFF"/>
                                <w:spacing w:val="-6"/>
                                <w:w w:val="120"/>
                                <w:sz w:val="9"/>
                              </w:rPr>
                              <w:t> </w:t>
                            </w:r>
                            <w:r>
                              <w:rPr>
                                <w:rFonts w:ascii="Arial MT"/>
                                <w:color w:val="FFFFFF"/>
                                <w:spacing w:val="-2"/>
                                <w:w w:val="120"/>
                                <w:sz w:val="9"/>
                              </w:rPr>
                              <w:t>and</w:t>
                            </w:r>
                          </w:p>
                          <w:p>
                            <w:pPr>
                              <w:spacing w:before="1"/>
                              <w:ind w:left="196" w:right="0" w:firstLine="0"/>
                              <w:jc w:val="left"/>
                              <w:rPr>
                                <w:rFonts w:ascii="Arial MT"/>
                                <w:sz w:val="9"/>
                              </w:rPr>
                            </w:pPr>
                            <w:r>
                              <w:rPr>
                                <w:rFonts w:ascii="Arial MT"/>
                                <w:color w:val="FFFFFF"/>
                                <w:spacing w:val="-2"/>
                                <w:w w:val="120"/>
                                <w:sz w:val="9"/>
                              </w:rPr>
                              <w:t>dissemination</w:t>
                            </w:r>
                          </w:p>
                        </w:txbxContent>
                      </wps:txbx>
                      <wps:bodyPr wrap="square" lIns="0" tIns="0" rIns="0" bIns="0" rtlCol="0">
                        <a:noAutofit/>
                      </wps:bodyPr>
                    </wps:wsp>
                  </a:graphicData>
                </a:graphic>
              </wp:anchor>
            </w:drawing>
          </mc:Choice>
          <mc:Fallback>
            <w:pict>
              <v:shape style="position:absolute;margin-left:406.32431pt;margin-top:-18.186911pt;width:46.75pt;height:43.5pt;mso-position-horizontal-relative:page;mso-position-vertical-relative:paragraph;z-index:15782400" type="#_x0000_t202" id="docshape1141" filled="false" stroked="false">
                <v:textbox inset="0,0,0,0">
                  <w:txbxContent>
                    <w:p>
                      <w:pPr>
                        <w:pStyle w:val="BodyText"/>
                        <w:spacing w:before="39"/>
                        <w:rPr>
                          <w:sz w:val="9"/>
                        </w:rPr>
                      </w:pPr>
                    </w:p>
                    <w:p>
                      <w:pPr>
                        <w:spacing w:line="232" w:lineRule="auto" w:before="0"/>
                        <w:ind w:left="196" w:right="-36" w:hanging="179"/>
                        <w:jc w:val="left"/>
                        <w:rPr>
                          <w:rFonts w:ascii="Arial MT"/>
                          <w:sz w:val="9"/>
                        </w:rPr>
                      </w:pPr>
                      <w:r>
                        <w:rPr>
                          <w:rFonts w:ascii="Arial MT"/>
                          <w:color w:val="FFFFFF"/>
                          <w:spacing w:val="-4"/>
                          <w:w w:val="120"/>
                          <w:sz w:val="9"/>
                        </w:rPr>
                        <w:t>Citizen Participation</w:t>
                      </w:r>
                      <w:r>
                        <w:rPr>
                          <w:rFonts w:ascii="Arial MT"/>
                          <w:color w:val="FFFFFF"/>
                          <w:spacing w:val="40"/>
                          <w:w w:val="120"/>
                          <w:sz w:val="9"/>
                        </w:rPr>
                        <w:t> </w:t>
                      </w:r>
                      <w:r>
                        <w:rPr>
                          <w:rFonts w:ascii="Arial MT"/>
                          <w:color w:val="FFFFFF"/>
                          <w:w w:val="120"/>
                          <w:sz w:val="9"/>
                        </w:rPr>
                        <w:t>Budget</w:t>
                      </w:r>
                      <w:r>
                        <w:rPr>
                          <w:rFonts w:ascii="Arial MT"/>
                          <w:color w:val="FFFFFF"/>
                          <w:w w:val="120"/>
                          <w:sz w:val="9"/>
                        </w:rPr>
                        <w:t> and</w:t>
                      </w:r>
                      <w:r>
                        <w:rPr>
                          <w:rFonts w:ascii="Arial MT"/>
                          <w:color w:val="FFFFFF"/>
                          <w:spacing w:val="40"/>
                          <w:w w:val="120"/>
                          <w:sz w:val="9"/>
                        </w:rPr>
                        <w:t> </w:t>
                      </w:r>
                      <w:r>
                        <w:rPr>
                          <w:rFonts w:ascii="Arial MT"/>
                          <w:color w:val="FFFFFF"/>
                          <w:spacing w:val="-2"/>
                          <w:w w:val="120"/>
                          <w:sz w:val="9"/>
                        </w:rPr>
                        <w:t>Expenditure</w:t>
                      </w:r>
                      <w:r>
                        <w:rPr>
                          <w:rFonts w:ascii="Arial MT"/>
                          <w:color w:val="FFFFFF"/>
                          <w:spacing w:val="40"/>
                          <w:w w:val="120"/>
                          <w:sz w:val="9"/>
                        </w:rPr>
                        <w:t> </w:t>
                      </w:r>
                      <w:r>
                        <w:rPr>
                          <w:rFonts w:ascii="Arial MT"/>
                          <w:color w:val="FFFFFF"/>
                          <w:spacing w:val="-2"/>
                          <w:w w:val="120"/>
                          <w:sz w:val="9"/>
                        </w:rPr>
                        <w:t>publication</w:t>
                      </w:r>
                      <w:r>
                        <w:rPr>
                          <w:rFonts w:ascii="Arial MT"/>
                          <w:color w:val="FFFFFF"/>
                          <w:spacing w:val="-6"/>
                          <w:w w:val="120"/>
                          <w:sz w:val="9"/>
                        </w:rPr>
                        <w:t> </w:t>
                      </w:r>
                      <w:r>
                        <w:rPr>
                          <w:rFonts w:ascii="Arial MT"/>
                          <w:color w:val="FFFFFF"/>
                          <w:spacing w:val="-2"/>
                          <w:w w:val="120"/>
                          <w:sz w:val="9"/>
                        </w:rPr>
                        <w:t>and</w:t>
                      </w:r>
                    </w:p>
                    <w:p>
                      <w:pPr>
                        <w:spacing w:before="1"/>
                        <w:ind w:left="196" w:right="0" w:firstLine="0"/>
                        <w:jc w:val="left"/>
                        <w:rPr>
                          <w:rFonts w:ascii="Arial MT"/>
                          <w:sz w:val="9"/>
                        </w:rPr>
                      </w:pPr>
                      <w:r>
                        <w:rPr>
                          <w:rFonts w:ascii="Arial MT"/>
                          <w:color w:val="FFFFFF"/>
                          <w:spacing w:val="-2"/>
                          <w:w w:val="120"/>
                          <w:sz w:val="9"/>
                        </w:rPr>
                        <w:t>dissemination</w:t>
                      </w:r>
                    </w:p>
                  </w:txbxContent>
                </v:textbox>
                <w10:wrap type="none"/>
              </v:shape>
            </w:pict>
          </mc:Fallback>
        </mc:AlternateContent>
      </w:r>
      <w:r>
        <w:rPr/>
        <mc:AlternateContent>
          <mc:Choice Requires="wps">
            <w:drawing>
              <wp:anchor distT="0" distB="0" distL="0" distR="0" allowOverlap="1" layoutInCell="1" locked="0" behindDoc="0" simplePos="0" relativeHeight="15783936">
                <wp:simplePos x="0" y="0"/>
                <wp:positionH relativeFrom="page">
                  <wp:posOffset>5867825</wp:posOffset>
                </wp:positionH>
                <wp:positionV relativeFrom="paragraph">
                  <wp:posOffset>-3440942</wp:posOffset>
                </wp:positionV>
                <wp:extent cx="1381125" cy="3096260"/>
                <wp:effectExtent l="0" t="0" r="0" b="0"/>
                <wp:wrapNone/>
                <wp:docPr id="1206" name="Textbox 1206"/>
                <wp:cNvGraphicFramePr>
                  <a:graphicFrameLocks/>
                </wp:cNvGraphicFramePr>
                <a:graphic>
                  <a:graphicData uri="http://schemas.microsoft.com/office/word/2010/wordprocessingShape">
                    <wps:wsp>
                      <wps:cNvPr id="1206" name="Textbox 1206"/>
                      <wps:cNvSpPr txBox="1"/>
                      <wps:spPr>
                        <a:xfrm>
                          <a:off x="0" y="0"/>
                          <a:ext cx="1381125" cy="3096260"/>
                        </a:xfrm>
                        <a:prstGeom prst="rect">
                          <a:avLst/>
                        </a:prstGeom>
                        <a:solidFill>
                          <a:srgbClr val="007046"/>
                        </a:solidFill>
                      </wps:spPr>
                      <wps:txbx>
                        <w:txbxContent>
                          <w:p>
                            <w:pPr>
                              <w:spacing w:before="121"/>
                              <w:ind w:left="62" w:right="1" w:firstLine="0"/>
                              <w:jc w:val="center"/>
                              <w:rPr>
                                <w:rFonts w:ascii="Arial MT"/>
                                <w:color w:val="000000"/>
                                <w:sz w:val="19"/>
                              </w:rPr>
                            </w:pPr>
                            <w:r>
                              <w:rPr>
                                <w:rFonts w:ascii="Arial MT"/>
                                <w:color w:val="FFFFFF"/>
                                <w:spacing w:val="-2"/>
                                <w:w w:val="120"/>
                                <w:sz w:val="19"/>
                              </w:rPr>
                              <w:t>Rationalities</w:t>
                            </w:r>
                          </w:p>
                          <w:p>
                            <w:pPr>
                              <w:pStyle w:val="BodyText"/>
                              <w:spacing w:before="206"/>
                              <w:rPr>
                                <w:rFonts w:ascii="Arial MT"/>
                                <w:color w:val="000000"/>
                                <w:sz w:val="19"/>
                              </w:rPr>
                            </w:pPr>
                          </w:p>
                          <w:p>
                            <w:pPr>
                              <w:spacing w:before="0"/>
                              <w:ind w:left="61" w:right="62" w:firstLine="0"/>
                              <w:jc w:val="center"/>
                              <w:rPr>
                                <w:rFonts w:ascii="Arial MT"/>
                                <w:color w:val="000000"/>
                                <w:sz w:val="16"/>
                              </w:rPr>
                            </w:pPr>
                            <w:r>
                              <w:rPr>
                                <w:rFonts w:ascii="Arial MT"/>
                                <w:color w:val="FFFFFF"/>
                                <w:spacing w:val="-5"/>
                                <w:w w:val="120"/>
                                <w:sz w:val="16"/>
                              </w:rPr>
                              <w:t>Political</w:t>
                            </w:r>
                            <w:r>
                              <w:rPr>
                                <w:rFonts w:ascii="Arial MT"/>
                                <w:color w:val="FFFFFF"/>
                                <w:w w:val="125"/>
                                <w:sz w:val="16"/>
                              </w:rPr>
                              <w:t> </w:t>
                            </w:r>
                            <w:r>
                              <w:rPr>
                                <w:rFonts w:ascii="Arial MT"/>
                                <w:color w:val="FFFFFF"/>
                                <w:spacing w:val="-2"/>
                                <w:w w:val="125"/>
                                <w:sz w:val="16"/>
                              </w:rPr>
                              <w:t>Environment</w:t>
                            </w:r>
                          </w:p>
                          <w:p>
                            <w:pPr>
                              <w:pStyle w:val="BodyText"/>
                              <w:rPr>
                                <w:rFonts w:ascii="Arial MT"/>
                                <w:color w:val="000000"/>
                                <w:sz w:val="16"/>
                              </w:rPr>
                            </w:pPr>
                          </w:p>
                          <w:p>
                            <w:pPr>
                              <w:pStyle w:val="BodyText"/>
                              <w:spacing w:before="139"/>
                              <w:rPr>
                                <w:rFonts w:ascii="Arial MT"/>
                                <w:color w:val="000000"/>
                                <w:sz w:val="16"/>
                              </w:rPr>
                            </w:pPr>
                          </w:p>
                          <w:p>
                            <w:pPr>
                              <w:spacing w:before="0"/>
                              <w:ind w:left="61" w:right="45" w:firstLine="0"/>
                              <w:jc w:val="center"/>
                              <w:rPr>
                                <w:rFonts w:ascii="Arial MT"/>
                                <w:color w:val="000000"/>
                                <w:sz w:val="16"/>
                              </w:rPr>
                            </w:pPr>
                            <w:r>
                              <w:rPr>
                                <w:rFonts w:ascii="Arial MT"/>
                                <w:color w:val="FFFFFF"/>
                                <w:spacing w:val="-2"/>
                                <w:w w:val="120"/>
                                <w:sz w:val="16"/>
                              </w:rPr>
                              <w:t>Economic</w:t>
                            </w:r>
                            <w:r>
                              <w:rPr>
                                <w:rFonts w:ascii="Arial MT"/>
                                <w:color w:val="FFFFFF"/>
                                <w:spacing w:val="-9"/>
                                <w:w w:val="120"/>
                                <w:sz w:val="16"/>
                              </w:rPr>
                              <w:t> </w:t>
                            </w:r>
                            <w:r>
                              <w:rPr>
                                <w:rFonts w:ascii="Arial MT"/>
                                <w:color w:val="FFFFFF"/>
                                <w:spacing w:val="-2"/>
                                <w:w w:val="125"/>
                                <w:sz w:val="16"/>
                              </w:rPr>
                              <w:t>Environment</w:t>
                            </w:r>
                          </w:p>
                          <w:p>
                            <w:pPr>
                              <w:pStyle w:val="BodyText"/>
                              <w:rPr>
                                <w:rFonts w:ascii="Arial MT"/>
                                <w:color w:val="000000"/>
                                <w:sz w:val="16"/>
                              </w:rPr>
                            </w:pPr>
                          </w:p>
                          <w:p>
                            <w:pPr>
                              <w:pStyle w:val="BodyText"/>
                              <w:spacing w:before="122"/>
                              <w:rPr>
                                <w:rFonts w:ascii="Arial MT"/>
                                <w:color w:val="000000"/>
                                <w:sz w:val="16"/>
                              </w:rPr>
                            </w:pPr>
                          </w:p>
                          <w:p>
                            <w:pPr>
                              <w:spacing w:before="1"/>
                              <w:ind w:left="61" w:right="37" w:firstLine="0"/>
                              <w:jc w:val="center"/>
                              <w:rPr>
                                <w:rFonts w:ascii="Arial MT"/>
                                <w:color w:val="000000"/>
                                <w:sz w:val="16"/>
                              </w:rPr>
                            </w:pPr>
                            <w:r>
                              <w:rPr>
                                <w:rFonts w:ascii="Arial MT"/>
                                <w:color w:val="FFFFFF"/>
                                <w:w w:val="120"/>
                                <w:sz w:val="16"/>
                              </w:rPr>
                              <w:t>Legal</w:t>
                            </w:r>
                            <w:r>
                              <w:rPr>
                                <w:rFonts w:ascii="Arial MT"/>
                                <w:color w:val="FFFFFF"/>
                                <w:spacing w:val="-9"/>
                                <w:w w:val="120"/>
                                <w:sz w:val="16"/>
                              </w:rPr>
                              <w:t> </w:t>
                            </w:r>
                            <w:r>
                              <w:rPr>
                                <w:rFonts w:ascii="Arial MT"/>
                                <w:color w:val="FFFFFF"/>
                                <w:spacing w:val="-2"/>
                                <w:w w:val="125"/>
                                <w:sz w:val="16"/>
                              </w:rPr>
                              <w:t>Requirements</w:t>
                            </w:r>
                          </w:p>
                          <w:p>
                            <w:pPr>
                              <w:pStyle w:val="BodyText"/>
                              <w:rPr>
                                <w:rFonts w:ascii="Arial MT"/>
                                <w:color w:val="000000"/>
                                <w:sz w:val="16"/>
                              </w:rPr>
                            </w:pPr>
                          </w:p>
                          <w:p>
                            <w:pPr>
                              <w:pStyle w:val="BodyText"/>
                              <w:spacing w:before="108"/>
                              <w:rPr>
                                <w:rFonts w:ascii="Arial MT"/>
                                <w:color w:val="000000"/>
                                <w:sz w:val="16"/>
                              </w:rPr>
                            </w:pPr>
                          </w:p>
                          <w:p>
                            <w:pPr>
                              <w:spacing w:before="0"/>
                              <w:ind w:left="61" w:right="36" w:firstLine="0"/>
                              <w:jc w:val="center"/>
                              <w:rPr>
                                <w:rFonts w:ascii="Arial MT"/>
                                <w:color w:val="000000"/>
                                <w:sz w:val="16"/>
                              </w:rPr>
                            </w:pPr>
                            <w:r>
                              <w:rPr>
                                <w:rFonts w:ascii="Arial MT"/>
                                <w:color w:val="FFFFFF"/>
                                <w:spacing w:val="-2"/>
                                <w:w w:val="125"/>
                                <w:sz w:val="16"/>
                              </w:rPr>
                              <w:t>Demography</w:t>
                            </w:r>
                          </w:p>
                          <w:p>
                            <w:pPr>
                              <w:pStyle w:val="BodyText"/>
                              <w:rPr>
                                <w:rFonts w:ascii="Arial MT"/>
                                <w:color w:val="000000"/>
                                <w:sz w:val="16"/>
                              </w:rPr>
                            </w:pPr>
                          </w:p>
                          <w:p>
                            <w:pPr>
                              <w:pStyle w:val="BodyText"/>
                              <w:rPr>
                                <w:rFonts w:ascii="Arial MT"/>
                                <w:color w:val="000000"/>
                                <w:sz w:val="16"/>
                              </w:rPr>
                            </w:pPr>
                          </w:p>
                          <w:p>
                            <w:pPr>
                              <w:pStyle w:val="BodyText"/>
                              <w:spacing w:before="14"/>
                              <w:rPr>
                                <w:rFonts w:ascii="Arial MT"/>
                                <w:color w:val="000000"/>
                                <w:sz w:val="16"/>
                              </w:rPr>
                            </w:pPr>
                          </w:p>
                          <w:p>
                            <w:pPr>
                              <w:spacing w:before="0"/>
                              <w:ind w:left="61" w:right="55" w:firstLine="0"/>
                              <w:jc w:val="center"/>
                              <w:rPr>
                                <w:rFonts w:ascii="Arial MT"/>
                                <w:color w:val="000000"/>
                                <w:sz w:val="16"/>
                              </w:rPr>
                            </w:pPr>
                            <w:r>
                              <w:rPr>
                                <w:rFonts w:ascii="Arial MT"/>
                                <w:color w:val="FFFFFF"/>
                                <w:spacing w:val="-7"/>
                                <w:w w:val="120"/>
                                <w:sz w:val="16"/>
                              </w:rPr>
                              <w:t>Technical</w:t>
                            </w:r>
                            <w:r>
                              <w:rPr>
                                <w:rFonts w:ascii="Arial MT"/>
                                <w:color w:val="FFFFFF"/>
                                <w:w w:val="125"/>
                                <w:sz w:val="16"/>
                              </w:rPr>
                              <w:t> </w:t>
                            </w:r>
                            <w:r>
                              <w:rPr>
                                <w:rFonts w:ascii="Arial MT"/>
                                <w:color w:val="FFFFFF"/>
                                <w:spacing w:val="-2"/>
                                <w:w w:val="125"/>
                                <w:sz w:val="16"/>
                              </w:rPr>
                              <w:t>Resources</w:t>
                            </w:r>
                          </w:p>
                          <w:p>
                            <w:pPr>
                              <w:pStyle w:val="BodyText"/>
                              <w:rPr>
                                <w:rFonts w:ascii="Arial MT"/>
                                <w:color w:val="000000"/>
                                <w:sz w:val="16"/>
                              </w:rPr>
                            </w:pPr>
                          </w:p>
                          <w:p>
                            <w:pPr>
                              <w:pStyle w:val="BodyText"/>
                              <w:spacing w:before="183"/>
                              <w:rPr>
                                <w:rFonts w:ascii="Arial MT"/>
                                <w:color w:val="000000"/>
                                <w:sz w:val="16"/>
                              </w:rPr>
                            </w:pPr>
                          </w:p>
                          <w:p>
                            <w:pPr>
                              <w:spacing w:before="0"/>
                              <w:ind w:left="61" w:right="55" w:firstLine="0"/>
                              <w:jc w:val="center"/>
                              <w:rPr>
                                <w:rFonts w:ascii="Arial MT"/>
                                <w:color w:val="000000"/>
                                <w:sz w:val="16"/>
                              </w:rPr>
                            </w:pPr>
                            <w:r>
                              <w:rPr>
                                <w:rFonts w:ascii="Arial MT"/>
                                <w:color w:val="FFFFFF"/>
                                <w:spacing w:val="-5"/>
                                <w:w w:val="120"/>
                                <w:sz w:val="16"/>
                              </w:rPr>
                              <w:t>Financial</w:t>
                            </w:r>
                            <w:r>
                              <w:rPr>
                                <w:rFonts w:ascii="Arial MT"/>
                                <w:color w:val="FFFFFF"/>
                                <w:spacing w:val="2"/>
                                <w:w w:val="120"/>
                                <w:sz w:val="16"/>
                              </w:rPr>
                              <w:t> </w:t>
                            </w:r>
                            <w:r>
                              <w:rPr>
                                <w:rFonts w:ascii="Arial MT"/>
                                <w:color w:val="FFFFFF"/>
                                <w:spacing w:val="-2"/>
                                <w:w w:val="120"/>
                                <w:sz w:val="16"/>
                              </w:rPr>
                              <w:t>Resources</w:t>
                            </w:r>
                          </w:p>
                        </w:txbxContent>
                      </wps:txbx>
                      <wps:bodyPr wrap="square" lIns="0" tIns="0" rIns="0" bIns="0" rtlCol="0">
                        <a:noAutofit/>
                      </wps:bodyPr>
                    </wps:wsp>
                  </a:graphicData>
                </a:graphic>
              </wp:anchor>
            </w:drawing>
          </mc:Choice>
          <mc:Fallback>
            <w:pict>
              <v:shape style="position:absolute;margin-left:462.033539pt;margin-top:-270.940338pt;width:108.75pt;height:243.8pt;mso-position-horizontal-relative:page;mso-position-vertical-relative:paragraph;z-index:15783936" type="#_x0000_t202" id="docshape1142" filled="true" fillcolor="#007046" stroked="false">
                <v:textbox inset="0,0,0,0">
                  <w:txbxContent>
                    <w:p>
                      <w:pPr>
                        <w:spacing w:before="121"/>
                        <w:ind w:left="62" w:right="1" w:firstLine="0"/>
                        <w:jc w:val="center"/>
                        <w:rPr>
                          <w:rFonts w:ascii="Arial MT"/>
                          <w:color w:val="000000"/>
                          <w:sz w:val="19"/>
                        </w:rPr>
                      </w:pPr>
                      <w:r>
                        <w:rPr>
                          <w:rFonts w:ascii="Arial MT"/>
                          <w:color w:val="FFFFFF"/>
                          <w:spacing w:val="-2"/>
                          <w:w w:val="120"/>
                          <w:sz w:val="19"/>
                        </w:rPr>
                        <w:t>Rationalities</w:t>
                      </w:r>
                    </w:p>
                    <w:p>
                      <w:pPr>
                        <w:pStyle w:val="BodyText"/>
                        <w:spacing w:before="206"/>
                        <w:rPr>
                          <w:rFonts w:ascii="Arial MT"/>
                          <w:color w:val="000000"/>
                          <w:sz w:val="19"/>
                        </w:rPr>
                      </w:pPr>
                    </w:p>
                    <w:p>
                      <w:pPr>
                        <w:spacing w:before="0"/>
                        <w:ind w:left="61" w:right="62" w:firstLine="0"/>
                        <w:jc w:val="center"/>
                        <w:rPr>
                          <w:rFonts w:ascii="Arial MT"/>
                          <w:color w:val="000000"/>
                          <w:sz w:val="16"/>
                        </w:rPr>
                      </w:pPr>
                      <w:r>
                        <w:rPr>
                          <w:rFonts w:ascii="Arial MT"/>
                          <w:color w:val="FFFFFF"/>
                          <w:spacing w:val="-5"/>
                          <w:w w:val="120"/>
                          <w:sz w:val="16"/>
                        </w:rPr>
                        <w:t>Political</w:t>
                      </w:r>
                      <w:r>
                        <w:rPr>
                          <w:rFonts w:ascii="Arial MT"/>
                          <w:color w:val="FFFFFF"/>
                          <w:w w:val="125"/>
                          <w:sz w:val="16"/>
                        </w:rPr>
                        <w:t> </w:t>
                      </w:r>
                      <w:r>
                        <w:rPr>
                          <w:rFonts w:ascii="Arial MT"/>
                          <w:color w:val="FFFFFF"/>
                          <w:spacing w:val="-2"/>
                          <w:w w:val="125"/>
                          <w:sz w:val="16"/>
                        </w:rPr>
                        <w:t>Environment</w:t>
                      </w:r>
                    </w:p>
                    <w:p>
                      <w:pPr>
                        <w:pStyle w:val="BodyText"/>
                        <w:rPr>
                          <w:rFonts w:ascii="Arial MT"/>
                          <w:color w:val="000000"/>
                          <w:sz w:val="16"/>
                        </w:rPr>
                      </w:pPr>
                    </w:p>
                    <w:p>
                      <w:pPr>
                        <w:pStyle w:val="BodyText"/>
                        <w:spacing w:before="139"/>
                        <w:rPr>
                          <w:rFonts w:ascii="Arial MT"/>
                          <w:color w:val="000000"/>
                          <w:sz w:val="16"/>
                        </w:rPr>
                      </w:pPr>
                    </w:p>
                    <w:p>
                      <w:pPr>
                        <w:spacing w:before="0"/>
                        <w:ind w:left="61" w:right="45" w:firstLine="0"/>
                        <w:jc w:val="center"/>
                        <w:rPr>
                          <w:rFonts w:ascii="Arial MT"/>
                          <w:color w:val="000000"/>
                          <w:sz w:val="16"/>
                        </w:rPr>
                      </w:pPr>
                      <w:r>
                        <w:rPr>
                          <w:rFonts w:ascii="Arial MT"/>
                          <w:color w:val="FFFFFF"/>
                          <w:spacing w:val="-2"/>
                          <w:w w:val="120"/>
                          <w:sz w:val="16"/>
                        </w:rPr>
                        <w:t>Economic</w:t>
                      </w:r>
                      <w:r>
                        <w:rPr>
                          <w:rFonts w:ascii="Arial MT"/>
                          <w:color w:val="FFFFFF"/>
                          <w:spacing w:val="-9"/>
                          <w:w w:val="120"/>
                          <w:sz w:val="16"/>
                        </w:rPr>
                        <w:t> </w:t>
                      </w:r>
                      <w:r>
                        <w:rPr>
                          <w:rFonts w:ascii="Arial MT"/>
                          <w:color w:val="FFFFFF"/>
                          <w:spacing w:val="-2"/>
                          <w:w w:val="125"/>
                          <w:sz w:val="16"/>
                        </w:rPr>
                        <w:t>Environment</w:t>
                      </w:r>
                    </w:p>
                    <w:p>
                      <w:pPr>
                        <w:pStyle w:val="BodyText"/>
                        <w:rPr>
                          <w:rFonts w:ascii="Arial MT"/>
                          <w:color w:val="000000"/>
                          <w:sz w:val="16"/>
                        </w:rPr>
                      </w:pPr>
                    </w:p>
                    <w:p>
                      <w:pPr>
                        <w:pStyle w:val="BodyText"/>
                        <w:spacing w:before="122"/>
                        <w:rPr>
                          <w:rFonts w:ascii="Arial MT"/>
                          <w:color w:val="000000"/>
                          <w:sz w:val="16"/>
                        </w:rPr>
                      </w:pPr>
                    </w:p>
                    <w:p>
                      <w:pPr>
                        <w:spacing w:before="1"/>
                        <w:ind w:left="61" w:right="37" w:firstLine="0"/>
                        <w:jc w:val="center"/>
                        <w:rPr>
                          <w:rFonts w:ascii="Arial MT"/>
                          <w:color w:val="000000"/>
                          <w:sz w:val="16"/>
                        </w:rPr>
                      </w:pPr>
                      <w:r>
                        <w:rPr>
                          <w:rFonts w:ascii="Arial MT"/>
                          <w:color w:val="FFFFFF"/>
                          <w:w w:val="120"/>
                          <w:sz w:val="16"/>
                        </w:rPr>
                        <w:t>Legal</w:t>
                      </w:r>
                      <w:r>
                        <w:rPr>
                          <w:rFonts w:ascii="Arial MT"/>
                          <w:color w:val="FFFFFF"/>
                          <w:spacing w:val="-9"/>
                          <w:w w:val="120"/>
                          <w:sz w:val="16"/>
                        </w:rPr>
                        <w:t> </w:t>
                      </w:r>
                      <w:r>
                        <w:rPr>
                          <w:rFonts w:ascii="Arial MT"/>
                          <w:color w:val="FFFFFF"/>
                          <w:spacing w:val="-2"/>
                          <w:w w:val="125"/>
                          <w:sz w:val="16"/>
                        </w:rPr>
                        <w:t>Requirements</w:t>
                      </w:r>
                    </w:p>
                    <w:p>
                      <w:pPr>
                        <w:pStyle w:val="BodyText"/>
                        <w:rPr>
                          <w:rFonts w:ascii="Arial MT"/>
                          <w:color w:val="000000"/>
                          <w:sz w:val="16"/>
                        </w:rPr>
                      </w:pPr>
                    </w:p>
                    <w:p>
                      <w:pPr>
                        <w:pStyle w:val="BodyText"/>
                        <w:spacing w:before="108"/>
                        <w:rPr>
                          <w:rFonts w:ascii="Arial MT"/>
                          <w:color w:val="000000"/>
                          <w:sz w:val="16"/>
                        </w:rPr>
                      </w:pPr>
                    </w:p>
                    <w:p>
                      <w:pPr>
                        <w:spacing w:before="0"/>
                        <w:ind w:left="61" w:right="36" w:firstLine="0"/>
                        <w:jc w:val="center"/>
                        <w:rPr>
                          <w:rFonts w:ascii="Arial MT"/>
                          <w:color w:val="000000"/>
                          <w:sz w:val="16"/>
                        </w:rPr>
                      </w:pPr>
                      <w:r>
                        <w:rPr>
                          <w:rFonts w:ascii="Arial MT"/>
                          <w:color w:val="FFFFFF"/>
                          <w:spacing w:val="-2"/>
                          <w:w w:val="125"/>
                          <w:sz w:val="16"/>
                        </w:rPr>
                        <w:t>Demography</w:t>
                      </w:r>
                    </w:p>
                    <w:p>
                      <w:pPr>
                        <w:pStyle w:val="BodyText"/>
                        <w:rPr>
                          <w:rFonts w:ascii="Arial MT"/>
                          <w:color w:val="000000"/>
                          <w:sz w:val="16"/>
                        </w:rPr>
                      </w:pPr>
                    </w:p>
                    <w:p>
                      <w:pPr>
                        <w:pStyle w:val="BodyText"/>
                        <w:rPr>
                          <w:rFonts w:ascii="Arial MT"/>
                          <w:color w:val="000000"/>
                          <w:sz w:val="16"/>
                        </w:rPr>
                      </w:pPr>
                    </w:p>
                    <w:p>
                      <w:pPr>
                        <w:pStyle w:val="BodyText"/>
                        <w:spacing w:before="14"/>
                        <w:rPr>
                          <w:rFonts w:ascii="Arial MT"/>
                          <w:color w:val="000000"/>
                          <w:sz w:val="16"/>
                        </w:rPr>
                      </w:pPr>
                    </w:p>
                    <w:p>
                      <w:pPr>
                        <w:spacing w:before="0"/>
                        <w:ind w:left="61" w:right="55" w:firstLine="0"/>
                        <w:jc w:val="center"/>
                        <w:rPr>
                          <w:rFonts w:ascii="Arial MT"/>
                          <w:color w:val="000000"/>
                          <w:sz w:val="16"/>
                        </w:rPr>
                      </w:pPr>
                      <w:r>
                        <w:rPr>
                          <w:rFonts w:ascii="Arial MT"/>
                          <w:color w:val="FFFFFF"/>
                          <w:spacing w:val="-7"/>
                          <w:w w:val="120"/>
                          <w:sz w:val="16"/>
                        </w:rPr>
                        <w:t>Technical</w:t>
                      </w:r>
                      <w:r>
                        <w:rPr>
                          <w:rFonts w:ascii="Arial MT"/>
                          <w:color w:val="FFFFFF"/>
                          <w:w w:val="125"/>
                          <w:sz w:val="16"/>
                        </w:rPr>
                        <w:t> </w:t>
                      </w:r>
                      <w:r>
                        <w:rPr>
                          <w:rFonts w:ascii="Arial MT"/>
                          <w:color w:val="FFFFFF"/>
                          <w:spacing w:val="-2"/>
                          <w:w w:val="125"/>
                          <w:sz w:val="16"/>
                        </w:rPr>
                        <w:t>Resources</w:t>
                      </w:r>
                    </w:p>
                    <w:p>
                      <w:pPr>
                        <w:pStyle w:val="BodyText"/>
                        <w:rPr>
                          <w:rFonts w:ascii="Arial MT"/>
                          <w:color w:val="000000"/>
                          <w:sz w:val="16"/>
                        </w:rPr>
                      </w:pPr>
                    </w:p>
                    <w:p>
                      <w:pPr>
                        <w:pStyle w:val="BodyText"/>
                        <w:spacing w:before="183"/>
                        <w:rPr>
                          <w:rFonts w:ascii="Arial MT"/>
                          <w:color w:val="000000"/>
                          <w:sz w:val="16"/>
                        </w:rPr>
                      </w:pPr>
                    </w:p>
                    <w:p>
                      <w:pPr>
                        <w:spacing w:before="0"/>
                        <w:ind w:left="61" w:right="55" w:firstLine="0"/>
                        <w:jc w:val="center"/>
                        <w:rPr>
                          <w:rFonts w:ascii="Arial MT"/>
                          <w:color w:val="000000"/>
                          <w:sz w:val="16"/>
                        </w:rPr>
                      </w:pPr>
                      <w:r>
                        <w:rPr>
                          <w:rFonts w:ascii="Arial MT"/>
                          <w:color w:val="FFFFFF"/>
                          <w:spacing w:val="-5"/>
                          <w:w w:val="120"/>
                          <w:sz w:val="16"/>
                        </w:rPr>
                        <w:t>Financial</w:t>
                      </w:r>
                      <w:r>
                        <w:rPr>
                          <w:rFonts w:ascii="Arial MT"/>
                          <w:color w:val="FFFFFF"/>
                          <w:spacing w:val="2"/>
                          <w:w w:val="120"/>
                          <w:sz w:val="16"/>
                        </w:rPr>
                        <w:t> </w:t>
                      </w:r>
                      <w:r>
                        <w:rPr>
                          <w:rFonts w:ascii="Arial MT"/>
                          <w:color w:val="FFFFFF"/>
                          <w:spacing w:val="-2"/>
                          <w:w w:val="120"/>
                          <w:sz w:val="16"/>
                        </w:rPr>
                        <w:t>Resources</w:t>
                      </w:r>
                    </w:p>
                  </w:txbxContent>
                </v:textbox>
                <v:fill type="solid"/>
                <w10:wrap type="none"/>
              </v:shape>
            </w:pict>
          </mc:Fallback>
        </mc:AlternateContent>
      </w:r>
      <w:r>
        <w:rPr>
          <w:rFonts w:ascii="Arial MT"/>
          <w:color w:val="FFFFFF"/>
          <w:sz w:val="9"/>
          <w:u w:val="single" w:color="23201D"/>
        </w:rPr>
        <w:tab/>
      </w:r>
      <w:r>
        <w:rPr>
          <w:rFonts w:ascii="Arial MT"/>
          <w:color w:val="FFFFFF"/>
          <w:spacing w:val="40"/>
          <w:w w:val="115"/>
          <w:sz w:val="9"/>
        </w:rPr>
        <w:t> </w:t>
      </w:r>
      <w:r>
        <w:rPr>
          <w:rFonts w:ascii="Arial MT"/>
          <w:color w:val="FFFFFF"/>
          <w:spacing w:val="-2"/>
          <w:w w:val="115"/>
          <w:sz w:val="9"/>
        </w:rPr>
        <w:t>Allocation </w:t>
      </w:r>
      <w:r>
        <w:rPr>
          <w:rFonts w:ascii="Arial MT"/>
          <w:color w:val="FFFFFF"/>
          <w:w w:val="120"/>
          <w:sz w:val="9"/>
        </w:rPr>
        <w:t>and</w:t>
      </w:r>
    </w:p>
    <w:p>
      <w:pPr>
        <w:spacing w:line="208" w:lineRule="auto" w:before="12"/>
        <w:ind w:left="1116" w:right="4400" w:hanging="91"/>
        <w:jc w:val="left"/>
        <w:rPr>
          <w:rFonts w:ascii="Arial MT"/>
          <w:sz w:val="9"/>
        </w:rPr>
      </w:pPr>
      <w:r>
        <w:rPr/>
        <mc:AlternateContent>
          <mc:Choice Requires="wps">
            <w:drawing>
              <wp:anchor distT="0" distB="0" distL="0" distR="0" allowOverlap="1" layoutInCell="1" locked="0" behindDoc="0" simplePos="0" relativeHeight="15781376">
                <wp:simplePos x="0" y="0"/>
                <wp:positionH relativeFrom="page">
                  <wp:posOffset>5844823</wp:posOffset>
                </wp:positionH>
                <wp:positionV relativeFrom="paragraph">
                  <wp:posOffset>244887</wp:posOffset>
                </wp:positionV>
                <wp:extent cx="1392555" cy="629285"/>
                <wp:effectExtent l="0" t="0" r="0" b="0"/>
                <wp:wrapNone/>
                <wp:docPr id="1207" name="Textbox 1207"/>
                <wp:cNvGraphicFramePr>
                  <a:graphicFrameLocks/>
                </wp:cNvGraphicFramePr>
                <a:graphic>
                  <a:graphicData uri="http://schemas.microsoft.com/office/word/2010/wordprocessingShape">
                    <wps:wsp>
                      <wps:cNvPr id="1207" name="Textbox 1207"/>
                      <wps:cNvSpPr txBox="1"/>
                      <wps:spPr>
                        <a:xfrm>
                          <a:off x="0" y="0"/>
                          <a:ext cx="1392555" cy="629285"/>
                        </a:xfrm>
                        <a:prstGeom prst="rect">
                          <a:avLst/>
                        </a:prstGeom>
                        <a:solidFill>
                          <a:srgbClr val="3A2378"/>
                        </a:solidFill>
                        <a:ln w="9936">
                          <a:solidFill>
                            <a:srgbClr val="23201D"/>
                          </a:solidFill>
                          <a:prstDash val="solid"/>
                        </a:ln>
                      </wps:spPr>
                      <wps:txbx>
                        <w:txbxContent>
                          <w:p>
                            <w:pPr>
                              <w:pStyle w:val="BodyText"/>
                              <w:spacing w:before="111"/>
                              <w:rPr>
                                <w:color w:val="000000"/>
                                <w:sz w:val="16"/>
                              </w:rPr>
                            </w:pPr>
                          </w:p>
                          <w:p>
                            <w:pPr>
                              <w:spacing w:line="235" w:lineRule="auto" w:before="0"/>
                              <w:ind w:left="405" w:right="404" w:firstLine="0"/>
                              <w:jc w:val="left"/>
                              <w:rPr>
                                <w:rFonts w:ascii="Arial MT"/>
                                <w:color w:val="000000"/>
                                <w:sz w:val="16"/>
                              </w:rPr>
                            </w:pPr>
                            <w:r>
                              <w:rPr>
                                <w:rFonts w:ascii="Arial MT"/>
                                <w:color w:val="FFFFFF"/>
                                <w:spacing w:val="-4"/>
                                <w:w w:val="120"/>
                                <w:sz w:val="16"/>
                              </w:rPr>
                              <w:t>Funds</w:t>
                            </w:r>
                            <w:r>
                              <w:rPr>
                                <w:rFonts w:ascii="Arial MT"/>
                                <w:color w:val="FFFFFF"/>
                                <w:spacing w:val="-10"/>
                                <w:w w:val="120"/>
                                <w:sz w:val="16"/>
                              </w:rPr>
                              <w:t> </w:t>
                            </w:r>
                            <w:r>
                              <w:rPr>
                                <w:rFonts w:ascii="Arial MT"/>
                                <w:color w:val="FFFFFF"/>
                                <w:spacing w:val="-4"/>
                                <w:w w:val="120"/>
                                <w:sz w:val="16"/>
                              </w:rPr>
                              <w:t>Utilization </w:t>
                            </w:r>
                            <w:r>
                              <w:rPr>
                                <w:rFonts w:ascii="Arial MT"/>
                                <w:color w:val="FFFFFF"/>
                                <w:spacing w:val="-2"/>
                                <w:w w:val="125"/>
                                <w:sz w:val="16"/>
                              </w:rPr>
                              <w:t>Monitoring</w:t>
                            </w:r>
                          </w:p>
                        </w:txbxContent>
                      </wps:txbx>
                      <wps:bodyPr wrap="square" lIns="0" tIns="0" rIns="0" bIns="0" rtlCol="0">
                        <a:noAutofit/>
                      </wps:bodyPr>
                    </wps:wsp>
                  </a:graphicData>
                </a:graphic>
              </wp:anchor>
            </w:drawing>
          </mc:Choice>
          <mc:Fallback>
            <w:pict>
              <v:shape style="position:absolute;margin-left:460.22229pt;margin-top:19.282486pt;width:109.65pt;height:49.55pt;mso-position-horizontal-relative:page;mso-position-vertical-relative:paragraph;z-index:15781376" type="#_x0000_t202" id="docshape1143" filled="true" fillcolor="#3a2378" stroked="true" strokeweight=".782409pt" strokecolor="#23201d">
                <v:textbox inset="0,0,0,0">
                  <w:txbxContent>
                    <w:p>
                      <w:pPr>
                        <w:pStyle w:val="BodyText"/>
                        <w:spacing w:before="111"/>
                        <w:rPr>
                          <w:color w:val="000000"/>
                          <w:sz w:val="16"/>
                        </w:rPr>
                      </w:pPr>
                    </w:p>
                    <w:p>
                      <w:pPr>
                        <w:spacing w:line="235" w:lineRule="auto" w:before="0"/>
                        <w:ind w:left="405" w:right="404" w:firstLine="0"/>
                        <w:jc w:val="left"/>
                        <w:rPr>
                          <w:rFonts w:ascii="Arial MT"/>
                          <w:color w:val="000000"/>
                          <w:sz w:val="16"/>
                        </w:rPr>
                      </w:pPr>
                      <w:r>
                        <w:rPr>
                          <w:rFonts w:ascii="Arial MT"/>
                          <w:color w:val="FFFFFF"/>
                          <w:spacing w:val="-4"/>
                          <w:w w:val="120"/>
                          <w:sz w:val="16"/>
                        </w:rPr>
                        <w:t>Funds</w:t>
                      </w:r>
                      <w:r>
                        <w:rPr>
                          <w:rFonts w:ascii="Arial MT"/>
                          <w:color w:val="FFFFFF"/>
                          <w:spacing w:val="-10"/>
                          <w:w w:val="120"/>
                          <w:sz w:val="16"/>
                        </w:rPr>
                        <w:t> </w:t>
                      </w:r>
                      <w:r>
                        <w:rPr>
                          <w:rFonts w:ascii="Arial MT"/>
                          <w:color w:val="FFFFFF"/>
                          <w:spacing w:val="-4"/>
                          <w:w w:val="120"/>
                          <w:sz w:val="16"/>
                        </w:rPr>
                        <w:t>Utilization </w:t>
                      </w:r>
                      <w:r>
                        <w:rPr>
                          <w:rFonts w:ascii="Arial MT"/>
                          <w:color w:val="FFFFFF"/>
                          <w:spacing w:val="-2"/>
                          <w:w w:val="125"/>
                          <w:sz w:val="16"/>
                        </w:rPr>
                        <w:t>Monitoring</w:t>
                      </w:r>
                    </w:p>
                  </w:txbxContent>
                </v:textbox>
                <v:fill type="solid"/>
                <v:stroke dashstyle="solid"/>
                <w10:wrap type="none"/>
              </v:shape>
            </w:pict>
          </mc:Fallback>
        </mc:AlternateContent>
      </w:r>
      <w:r>
        <w:rPr>
          <w:rFonts w:ascii="Arial MT"/>
          <w:color w:val="FFFFFF"/>
          <w:spacing w:val="-4"/>
          <w:w w:val="120"/>
          <w:sz w:val="9"/>
        </w:rPr>
        <w:t>release of</w:t>
      </w:r>
      <w:r>
        <w:rPr>
          <w:rFonts w:ascii="Arial MT"/>
          <w:color w:val="FFFFFF"/>
          <w:spacing w:val="40"/>
          <w:w w:val="120"/>
          <w:sz w:val="9"/>
        </w:rPr>
        <w:t> </w:t>
      </w:r>
      <w:r>
        <w:rPr>
          <w:rFonts w:ascii="Arial MT"/>
          <w:color w:val="FFFFFF"/>
          <w:spacing w:val="-2"/>
          <w:w w:val="120"/>
          <w:sz w:val="9"/>
        </w:rPr>
        <w:t>Funds</w:t>
      </w:r>
    </w:p>
    <w:p>
      <w:pPr>
        <w:pStyle w:val="BodyText"/>
        <w:rPr>
          <w:rFonts w:ascii="Arial MT"/>
          <w:sz w:val="9"/>
        </w:rPr>
      </w:pPr>
    </w:p>
    <w:p>
      <w:pPr>
        <w:pStyle w:val="BodyText"/>
        <w:rPr>
          <w:rFonts w:ascii="Arial MT"/>
          <w:sz w:val="9"/>
        </w:rPr>
      </w:pPr>
    </w:p>
    <w:p>
      <w:pPr>
        <w:pStyle w:val="BodyText"/>
        <w:rPr>
          <w:rFonts w:ascii="Arial MT"/>
          <w:sz w:val="9"/>
        </w:rPr>
      </w:pPr>
    </w:p>
    <w:p>
      <w:pPr>
        <w:pStyle w:val="BodyText"/>
        <w:spacing w:before="72"/>
        <w:rPr>
          <w:rFonts w:ascii="Arial MT"/>
          <w:sz w:val="9"/>
        </w:rPr>
      </w:pPr>
    </w:p>
    <w:p>
      <w:pPr>
        <w:spacing w:line="136" w:lineRule="exact" w:before="0"/>
        <w:ind w:left="367" w:right="3715" w:firstLine="0"/>
        <w:jc w:val="center"/>
        <w:rPr>
          <w:rFonts w:ascii="Arial MT"/>
          <w:sz w:val="12"/>
        </w:rPr>
      </w:pPr>
      <w:r>
        <w:rPr>
          <w:rFonts w:ascii="Arial MT"/>
          <w:color w:val="FFFFFF"/>
          <w:spacing w:val="-2"/>
          <w:w w:val="115"/>
          <w:sz w:val="12"/>
        </w:rPr>
        <w:t>Invitation</w:t>
      </w:r>
      <w:r>
        <w:rPr>
          <w:rFonts w:ascii="Arial MT"/>
          <w:color w:val="FFFFFF"/>
          <w:spacing w:val="-7"/>
          <w:w w:val="115"/>
          <w:sz w:val="12"/>
        </w:rPr>
        <w:t> </w:t>
      </w:r>
      <w:r>
        <w:rPr>
          <w:rFonts w:ascii="Arial MT"/>
          <w:color w:val="FFFFFF"/>
          <w:spacing w:val="-2"/>
          <w:w w:val="115"/>
          <w:sz w:val="12"/>
        </w:rPr>
        <w:t>to</w:t>
      </w:r>
      <w:r>
        <w:rPr>
          <w:rFonts w:ascii="Arial MT"/>
          <w:color w:val="FFFFFF"/>
          <w:spacing w:val="-7"/>
          <w:w w:val="115"/>
          <w:sz w:val="12"/>
        </w:rPr>
        <w:t> </w:t>
      </w:r>
      <w:r>
        <w:rPr>
          <w:rFonts w:ascii="Arial MT"/>
          <w:color w:val="FFFFFF"/>
          <w:spacing w:val="-2"/>
          <w:w w:val="115"/>
          <w:sz w:val="12"/>
        </w:rPr>
        <w:t>Tender</w:t>
      </w:r>
    </w:p>
    <w:p>
      <w:pPr>
        <w:spacing w:line="182" w:lineRule="auto" w:before="25"/>
        <w:ind w:left="367" w:right="3703" w:firstLine="0"/>
        <w:jc w:val="center"/>
        <w:rPr>
          <w:rFonts w:ascii="Arial MT"/>
          <w:sz w:val="12"/>
        </w:rPr>
      </w:pPr>
      <w:r>
        <w:rPr>
          <w:rFonts w:ascii="Arial MT"/>
          <w:color w:val="FFFFFF"/>
          <w:spacing w:val="-6"/>
          <w:w w:val="120"/>
          <w:sz w:val="12"/>
        </w:rPr>
        <w:t>Tender</w:t>
      </w:r>
      <w:r>
        <w:rPr>
          <w:rFonts w:ascii="Arial MT"/>
          <w:color w:val="FFFFFF"/>
          <w:spacing w:val="-17"/>
          <w:w w:val="120"/>
          <w:sz w:val="12"/>
        </w:rPr>
        <w:t> </w:t>
      </w:r>
      <w:r>
        <w:rPr>
          <w:rFonts w:ascii="Arial MT"/>
          <w:color w:val="FFFFFF"/>
          <w:spacing w:val="-6"/>
          <w:w w:val="120"/>
          <w:sz w:val="12"/>
        </w:rPr>
        <w:t>Evaluation</w:t>
      </w:r>
      <w:r>
        <w:rPr>
          <w:rFonts w:ascii="Arial MT"/>
          <w:color w:val="FFFFFF"/>
          <w:spacing w:val="-13"/>
          <w:w w:val="120"/>
          <w:sz w:val="12"/>
        </w:rPr>
        <w:t> </w:t>
      </w:r>
      <w:r>
        <w:rPr>
          <w:rFonts w:ascii="Arial MT"/>
          <w:color w:val="FFFFFF"/>
          <w:spacing w:val="-6"/>
          <w:w w:val="120"/>
          <w:sz w:val="12"/>
        </w:rPr>
        <w:t>and</w:t>
      </w:r>
      <w:r>
        <w:rPr>
          <w:rFonts w:ascii="Arial MT"/>
          <w:color w:val="FFFFFF"/>
          <w:spacing w:val="40"/>
          <w:w w:val="120"/>
          <w:sz w:val="12"/>
        </w:rPr>
        <w:t> </w:t>
      </w:r>
      <w:r>
        <w:rPr>
          <w:rFonts w:ascii="Arial MT"/>
          <w:color w:val="FFFFFF"/>
          <w:w w:val="120"/>
          <w:sz w:val="12"/>
        </w:rPr>
        <w:t>Contract</w:t>
      </w:r>
      <w:r>
        <w:rPr>
          <w:rFonts w:ascii="Arial MT"/>
          <w:color w:val="FFFFFF"/>
          <w:spacing w:val="-12"/>
          <w:w w:val="120"/>
          <w:sz w:val="12"/>
        </w:rPr>
        <w:t> </w:t>
      </w:r>
      <w:r>
        <w:rPr>
          <w:rFonts w:ascii="Arial MT"/>
          <w:color w:val="FFFFFF"/>
          <w:w w:val="120"/>
          <w:sz w:val="12"/>
        </w:rPr>
        <w:t>Award</w:t>
      </w:r>
    </w:p>
    <w:p>
      <w:pPr>
        <w:spacing w:after="0" w:line="182" w:lineRule="auto"/>
        <w:jc w:val="center"/>
        <w:rPr>
          <w:rFonts w:ascii="Arial MT"/>
          <w:sz w:val="12"/>
        </w:rPr>
        <w:sectPr>
          <w:type w:val="continuous"/>
          <w:pgSz w:w="12240" w:h="15840"/>
          <w:pgMar w:header="0" w:footer="1036" w:top="1520" w:bottom="1220" w:left="1320" w:right="320"/>
          <w:cols w:num="3" w:equalWidth="0">
            <w:col w:w="2857" w:space="827"/>
            <w:col w:w="996" w:space="40"/>
            <w:col w:w="5880"/>
          </w:cols>
        </w:sectPr>
      </w:pPr>
    </w:p>
    <w:p>
      <w:pPr>
        <w:pStyle w:val="BodyText"/>
        <w:rPr>
          <w:rFonts w:ascii="Arial MT"/>
          <w:sz w:val="9"/>
        </w:rPr>
      </w:pPr>
    </w:p>
    <w:p>
      <w:pPr>
        <w:pStyle w:val="BodyText"/>
        <w:rPr>
          <w:rFonts w:ascii="Arial MT"/>
          <w:sz w:val="9"/>
        </w:rPr>
      </w:pPr>
    </w:p>
    <w:p>
      <w:pPr>
        <w:pStyle w:val="BodyText"/>
        <w:rPr>
          <w:rFonts w:ascii="Arial MT"/>
          <w:sz w:val="9"/>
        </w:rPr>
      </w:pPr>
    </w:p>
    <w:p>
      <w:pPr>
        <w:pStyle w:val="BodyText"/>
        <w:rPr>
          <w:rFonts w:ascii="Arial MT"/>
          <w:sz w:val="9"/>
        </w:rPr>
      </w:pPr>
    </w:p>
    <w:p>
      <w:pPr>
        <w:pStyle w:val="BodyText"/>
        <w:rPr>
          <w:rFonts w:ascii="Arial MT"/>
          <w:sz w:val="9"/>
        </w:rPr>
      </w:pPr>
    </w:p>
    <w:p>
      <w:pPr>
        <w:pStyle w:val="BodyText"/>
        <w:rPr>
          <w:rFonts w:ascii="Arial MT"/>
          <w:sz w:val="9"/>
        </w:rPr>
      </w:pPr>
    </w:p>
    <w:p>
      <w:pPr>
        <w:pStyle w:val="BodyText"/>
        <w:spacing w:before="42"/>
        <w:rPr>
          <w:rFonts w:ascii="Arial MT"/>
          <w:sz w:val="9"/>
        </w:rPr>
      </w:pPr>
    </w:p>
    <w:p>
      <w:pPr>
        <w:spacing w:before="0"/>
        <w:ind w:left="0" w:right="1461" w:firstLine="0"/>
        <w:jc w:val="center"/>
        <w:rPr>
          <w:rFonts w:ascii="Arial MT"/>
          <w:sz w:val="9"/>
        </w:rPr>
      </w:pPr>
      <w:r>
        <w:rPr/>
        <mc:AlternateContent>
          <mc:Choice Requires="wps">
            <w:drawing>
              <wp:anchor distT="0" distB="0" distL="0" distR="0" allowOverlap="1" layoutInCell="1" locked="0" behindDoc="0" simplePos="0" relativeHeight="15781888">
                <wp:simplePos x="0" y="0"/>
                <wp:positionH relativeFrom="page">
                  <wp:posOffset>5160318</wp:posOffset>
                </wp:positionH>
                <wp:positionV relativeFrom="paragraph">
                  <wp:posOffset>-288931</wp:posOffset>
                </wp:positionV>
                <wp:extent cx="593725" cy="552450"/>
                <wp:effectExtent l="0" t="0" r="0" b="0"/>
                <wp:wrapNone/>
                <wp:docPr id="1208" name="Textbox 1208"/>
                <wp:cNvGraphicFramePr>
                  <a:graphicFrameLocks/>
                </wp:cNvGraphicFramePr>
                <a:graphic>
                  <a:graphicData uri="http://schemas.microsoft.com/office/word/2010/wordprocessingShape">
                    <wps:wsp>
                      <wps:cNvPr id="1208" name="Textbox 1208"/>
                      <wps:cNvSpPr txBox="1"/>
                      <wps:spPr>
                        <a:xfrm>
                          <a:off x="0" y="0"/>
                          <a:ext cx="593725" cy="552450"/>
                        </a:xfrm>
                        <a:prstGeom prst="rect">
                          <a:avLst/>
                        </a:prstGeom>
                      </wps:spPr>
                      <wps:txbx>
                        <w:txbxContent>
                          <w:p>
                            <w:pPr>
                              <w:pStyle w:val="BodyText"/>
                              <w:rPr>
                                <w:sz w:val="9"/>
                              </w:rPr>
                            </w:pPr>
                          </w:p>
                          <w:p>
                            <w:pPr>
                              <w:pStyle w:val="BodyText"/>
                              <w:spacing w:before="34"/>
                              <w:rPr>
                                <w:sz w:val="9"/>
                              </w:rPr>
                            </w:pPr>
                          </w:p>
                          <w:p>
                            <w:pPr>
                              <w:spacing w:line="208" w:lineRule="auto" w:before="0"/>
                              <w:ind w:left="125" w:right="-36" w:hanging="108"/>
                              <w:jc w:val="left"/>
                              <w:rPr>
                                <w:rFonts w:ascii="Arial MT"/>
                                <w:sz w:val="9"/>
                              </w:rPr>
                            </w:pPr>
                            <w:r>
                              <w:rPr>
                                <w:rFonts w:ascii="Arial MT"/>
                                <w:color w:val="FFFFFF"/>
                                <w:spacing w:val="-4"/>
                                <w:w w:val="120"/>
                                <w:sz w:val="9"/>
                              </w:rPr>
                              <w:t>Citizen Participation</w:t>
                            </w:r>
                            <w:r>
                              <w:rPr>
                                <w:rFonts w:ascii="Arial MT"/>
                                <w:color w:val="FFFFFF"/>
                                <w:spacing w:val="40"/>
                                <w:w w:val="120"/>
                                <w:sz w:val="9"/>
                              </w:rPr>
                              <w:t> </w:t>
                            </w:r>
                            <w:r>
                              <w:rPr>
                                <w:rFonts w:ascii="Arial MT"/>
                                <w:color w:val="FFFFFF"/>
                                <w:spacing w:val="-2"/>
                                <w:w w:val="120"/>
                                <w:sz w:val="9"/>
                              </w:rPr>
                              <w:t>Community</w:t>
                            </w:r>
                          </w:p>
                          <w:p>
                            <w:pPr>
                              <w:spacing w:line="172" w:lineRule="auto" w:before="43"/>
                              <w:ind w:left="125" w:right="-36" w:firstLine="0"/>
                              <w:jc w:val="left"/>
                              <w:rPr>
                                <w:rFonts w:ascii="Arial MT"/>
                                <w:sz w:val="9"/>
                              </w:rPr>
                            </w:pPr>
                            <w:r>
                              <w:rPr>
                                <w:rFonts w:ascii="Arial MT"/>
                                <w:color w:val="FFFFFF"/>
                                <w:spacing w:val="-4"/>
                                <w:w w:val="120"/>
                                <w:sz w:val="9"/>
                              </w:rPr>
                              <w:t>Based Monitoring</w:t>
                            </w:r>
                            <w:r>
                              <w:rPr>
                                <w:rFonts w:ascii="Arial MT"/>
                                <w:color w:val="FFFFFF"/>
                                <w:spacing w:val="40"/>
                                <w:w w:val="120"/>
                                <w:sz w:val="9"/>
                              </w:rPr>
                              <w:t> </w:t>
                            </w:r>
                            <w:r>
                              <w:rPr>
                                <w:rFonts w:ascii="Arial MT"/>
                                <w:color w:val="FFFFFF"/>
                                <w:w w:val="120"/>
                                <w:sz w:val="9"/>
                              </w:rPr>
                              <w:t>and</w:t>
                            </w:r>
                            <w:r>
                              <w:rPr>
                                <w:rFonts w:ascii="Arial MT"/>
                                <w:color w:val="FFFFFF"/>
                                <w:spacing w:val="-8"/>
                                <w:w w:val="120"/>
                                <w:sz w:val="9"/>
                              </w:rPr>
                              <w:t> </w:t>
                            </w:r>
                            <w:r>
                              <w:rPr>
                                <w:rFonts w:ascii="Arial MT"/>
                                <w:color w:val="FFFFFF"/>
                                <w:w w:val="120"/>
                                <w:sz w:val="9"/>
                              </w:rPr>
                              <w:t>Reporting</w:t>
                            </w:r>
                          </w:p>
                        </w:txbxContent>
                      </wps:txbx>
                      <wps:bodyPr wrap="square" lIns="0" tIns="0" rIns="0" bIns="0" rtlCol="0">
                        <a:noAutofit/>
                      </wps:bodyPr>
                    </wps:wsp>
                  </a:graphicData>
                </a:graphic>
              </wp:anchor>
            </w:drawing>
          </mc:Choice>
          <mc:Fallback>
            <w:pict>
              <v:shape style="position:absolute;margin-left:406.32431pt;margin-top:-22.750538pt;width:46.75pt;height:43.5pt;mso-position-horizontal-relative:page;mso-position-vertical-relative:paragraph;z-index:15781888" type="#_x0000_t202" id="docshape1144" filled="false" stroked="false">
                <v:textbox inset="0,0,0,0">
                  <w:txbxContent>
                    <w:p>
                      <w:pPr>
                        <w:pStyle w:val="BodyText"/>
                        <w:rPr>
                          <w:sz w:val="9"/>
                        </w:rPr>
                      </w:pPr>
                    </w:p>
                    <w:p>
                      <w:pPr>
                        <w:pStyle w:val="BodyText"/>
                        <w:spacing w:before="34"/>
                        <w:rPr>
                          <w:sz w:val="9"/>
                        </w:rPr>
                      </w:pPr>
                    </w:p>
                    <w:p>
                      <w:pPr>
                        <w:spacing w:line="208" w:lineRule="auto" w:before="0"/>
                        <w:ind w:left="125" w:right="-36" w:hanging="108"/>
                        <w:jc w:val="left"/>
                        <w:rPr>
                          <w:rFonts w:ascii="Arial MT"/>
                          <w:sz w:val="9"/>
                        </w:rPr>
                      </w:pPr>
                      <w:r>
                        <w:rPr>
                          <w:rFonts w:ascii="Arial MT"/>
                          <w:color w:val="FFFFFF"/>
                          <w:spacing w:val="-4"/>
                          <w:w w:val="120"/>
                          <w:sz w:val="9"/>
                        </w:rPr>
                        <w:t>Citizen Participation</w:t>
                      </w:r>
                      <w:r>
                        <w:rPr>
                          <w:rFonts w:ascii="Arial MT"/>
                          <w:color w:val="FFFFFF"/>
                          <w:spacing w:val="40"/>
                          <w:w w:val="120"/>
                          <w:sz w:val="9"/>
                        </w:rPr>
                        <w:t> </w:t>
                      </w:r>
                      <w:r>
                        <w:rPr>
                          <w:rFonts w:ascii="Arial MT"/>
                          <w:color w:val="FFFFFF"/>
                          <w:spacing w:val="-2"/>
                          <w:w w:val="120"/>
                          <w:sz w:val="9"/>
                        </w:rPr>
                        <w:t>Community</w:t>
                      </w:r>
                    </w:p>
                    <w:p>
                      <w:pPr>
                        <w:spacing w:line="172" w:lineRule="auto" w:before="43"/>
                        <w:ind w:left="125" w:right="-36" w:firstLine="0"/>
                        <w:jc w:val="left"/>
                        <w:rPr>
                          <w:rFonts w:ascii="Arial MT"/>
                          <w:sz w:val="9"/>
                        </w:rPr>
                      </w:pPr>
                      <w:r>
                        <w:rPr>
                          <w:rFonts w:ascii="Arial MT"/>
                          <w:color w:val="FFFFFF"/>
                          <w:spacing w:val="-4"/>
                          <w:w w:val="120"/>
                          <w:sz w:val="9"/>
                        </w:rPr>
                        <w:t>Based Monitoring</w:t>
                      </w:r>
                      <w:r>
                        <w:rPr>
                          <w:rFonts w:ascii="Arial MT"/>
                          <w:color w:val="FFFFFF"/>
                          <w:spacing w:val="40"/>
                          <w:w w:val="120"/>
                          <w:sz w:val="9"/>
                        </w:rPr>
                        <w:t> </w:t>
                      </w:r>
                      <w:r>
                        <w:rPr>
                          <w:rFonts w:ascii="Arial MT"/>
                          <w:color w:val="FFFFFF"/>
                          <w:w w:val="120"/>
                          <w:sz w:val="9"/>
                        </w:rPr>
                        <w:t>and</w:t>
                      </w:r>
                      <w:r>
                        <w:rPr>
                          <w:rFonts w:ascii="Arial MT"/>
                          <w:color w:val="FFFFFF"/>
                          <w:spacing w:val="-8"/>
                          <w:w w:val="120"/>
                          <w:sz w:val="9"/>
                        </w:rPr>
                        <w:t> </w:t>
                      </w:r>
                      <w:r>
                        <w:rPr>
                          <w:rFonts w:ascii="Arial MT"/>
                          <w:color w:val="FFFFFF"/>
                          <w:w w:val="120"/>
                          <w:sz w:val="9"/>
                        </w:rPr>
                        <w:t>Reporting</w:t>
                      </w:r>
                    </w:p>
                  </w:txbxContent>
                </v:textbox>
                <w10:wrap type="none"/>
              </v:shape>
            </w:pict>
          </mc:Fallback>
        </mc:AlternateContent>
      </w:r>
      <w:r>
        <w:rPr/>
        <mc:AlternateContent>
          <mc:Choice Requires="wps">
            <w:drawing>
              <wp:anchor distT="0" distB="0" distL="0" distR="0" allowOverlap="1" layoutInCell="1" locked="0" behindDoc="0" simplePos="0" relativeHeight="15784448">
                <wp:simplePos x="0" y="0"/>
                <wp:positionH relativeFrom="page">
                  <wp:posOffset>5844823</wp:posOffset>
                </wp:positionH>
                <wp:positionV relativeFrom="paragraph">
                  <wp:posOffset>111031</wp:posOffset>
                </wp:positionV>
                <wp:extent cx="1392555" cy="400050"/>
                <wp:effectExtent l="0" t="0" r="0" b="0"/>
                <wp:wrapNone/>
                <wp:docPr id="1209" name="Textbox 1209"/>
                <wp:cNvGraphicFramePr>
                  <a:graphicFrameLocks/>
                </wp:cNvGraphicFramePr>
                <a:graphic>
                  <a:graphicData uri="http://schemas.microsoft.com/office/word/2010/wordprocessingShape">
                    <wps:wsp>
                      <wps:cNvPr id="1209" name="Textbox 1209"/>
                      <wps:cNvSpPr txBox="1"/>
                      <wps:spPr>
                        <a:xfrm>
                          <a:off x="0" y="0"/>
                          <a:ext cx="1392555" cy="400050"/>
                        </a:xfrm>
                        <a:prstGeom prst="rect">
                          <a:avLst/>
                        </a:prstGeom>
                        <a:solidFill>
                          <a:srgbClr val="3A2378"/>
                        </a:solidFill>
                        <a:ln w="9710">
                          <a:solidFill>
                            <a:srgbClr val="23201D"/>
                          </a:solidFill>
                          <a:prstDash val="solid"/>
                        </a:ln>
                      </wps:spPr>
                      <wps:txbx>
                        <w:txbxContent>
                          <w:p>
                            <w:pPr>
                              <w:spacing w:line="244" w:lineRule="auto" w:before="22"/>
                              <w:ind w:left="208" w:right="189" w:firstLine="0"/>
                              <w:jc w:val="left"/>
                              <w:rPr>
                                <w:rFonts w:ascii="Arial MT"/>
                                <w:color w:val="000000"/>
                                <w:sz w:val="16"/>
                              </w:rPr>
                            </w:pPr>
                            <w:r>
                              <w:rPr>
                                <w:rFonts w:ascii="Arial MT"/>
                                <w:color w:val="FFFFFF"/>
                                <w:spacing w:val="-6"/>
                                <w:w w:val="125"/>
                                <w:sz w:val="16"/>
                              </w:rPr>
                              <w:t>Technical</w:t>
                            </w:r>
                            <w:r>
                              <w:rPr>
                                <w:rFonts w:ascii="Arial MT"/>
                                <w:color w:val="FFFFFF"/>
                                <w:spacing w:val="-11"/>
                                <w:w w:val="125"/>
                                <w:sz w:val="16"/>
                              </w:rPr>
                              <w:t> </w:t>
                            </w:r>
                            <w:r>
                              <w:rPr>
                                <w:rFonts w:ascii="Arial MT"/>
                                <w:color w:val="FFFFFF"/>
                                <w:spacing w:val="-6"/>
                                <w:w w:val="125"/>
                                <w:sz w:val="16"/>
                              </w:rPr>
                              <w:t>Resources </w:t>
                            </w:r>
                            <w:r>
                              <w:rPr>
                                <w:rFonts w:ascii="Arial MT"/>
                                <w:color w:val="FFFFFF"/>
                                <w:spacing w:val="-4"/>
                                <w:w w:val="120"/>
                                <w:sz w:val="16"/>
                              </w:rPr>
                              <w:t>(Manpower,</w:t>
                            </w:r>
                            <w:r>
                              <w:rPr>
                                <w:rFonts w:ascii="Arial MT"/>
                                <w:color w:val="FFFFFF"/>
                                <w:spacing w:val="-10"/>
                                <w:w w:val="120"/>
                                <w:sz w:val="16"/>
                              </w:rPr>
                              <w:t> </w:t>
                            </w:r>
                            <w:r>
                              <w:rPr>
                                <w:rFonts w:ascii="Arial MT"/>
                                <w:color w:val="FFFFFF"/>
                                <w:spacing w:val="-4"/>
                                <w:w w:val="120"/>
                                <w:sz w:val="16"/>
                              </w:rPr>
                              <w:t>Vehicles, </w:t>
                            </w:r>
                            <w:r>
                              <w:rPr>
                                <w:rFonts w:ascii="Arial MT"/>
                                <w:color w:val="FFFFFF"/>
                                <w:spacing w:val="-2"/>
                                <w:w w:val="125"/>
                                <w:sz w:val="16"/>
                              </w:rPr>
                              <w:t>Logistics)</w:t>
                            </w:r>
                          </w:p>
                        </w:txbxContent>
                      </wps:txbx>
                      <wps:bodyPr wrap="square" lIns="0" tIns="0" rIns="0" bIns="0" rtlCol="0">
                        <a:noAutofit/>
                      </wps:bodyPr>
                    </wps:wsp>
                  </a:graphicData>
                </a:graphic>
              </wp:anchor>
            </w:drawing>
          </mc:Choice>
          <mc:Fallback>
            <w:pict>
              <v:shape style="position:absolute;margin-left:460.22229pt;margin-top:8.742644pt;width:109.65pt;height:31.5pt;mso-position-horizontal-relative:page;mso-position-vertical-relative:paragraph;z-index:15784448" type="#_x0000_t202" id="docshape1145" filled="true" fillcolor="#3a2378" stroked="true" strokeweight=".76460pt" strokecolor="#23201d">
                <v:textbox inset="0,0,0,0">
                  <w:txbxContent>
                    <w:p>
                      <w:pPr>
                        <w:spacing w:line="244" w:lineRule="auto" w:before="22"/>
                        <w:ind w:left="208" w:right="189" w:firstLine="0"/>
                        <w:jc w:val="left"/>
                        <w:rPr>
                          <w:rFonts w:ascii="Arial MT"/>
                          <w:color w:val="000000"/>
                          <w:sz w:val="16"/>
                        </w:rPr>
                      </w:pPr>
                      <w:r>
                        <w:rPr>
                          <w:rFonts w:ascii="Arial MT"/>
                          <w:color w:val="FFFFFF"/>
                          <w:spacing w:val="-6"/>
                          <w:w w:val="125"/>
                          <w:sz w:val="16"/>
                        </w:rPr>
                        <w:t>Technical</w:t>
                      </w:r>
                      <w:r>
                        <w:rPr>
                          <w:rFonts w:ascii="Arial MT"/>
                          <w:color w:val="FFFFFF"/>
                          <w:spacing w:val="-11"/>
                          <w:w w:val="125"/>
                          <w:sz w:val="16"/>
                        </w:rPr>
                        <w:t> </w:t>
                      </w:r>
                      <w:r>
                        <w:rPr>
                          <w:rFonts w:ascii="Arial MT"/>
                          <w:color w:val="FFFFFF"/>
                          <w:spacing w:val="-6"/>
                          <w:w w:val="125"/>
                          <w:sz w:val="16"/>
                        </w:rPr>
                        <w:t>Resources </w:t>
                      </w:r>
                      <w:r>
                        <w:rPr>
                          <w:rFonts w:ascii="Arial MT"/>
                          <w:color w:val="FFFFFF"/>
                          <w:spacing w:val="-4"/>
                          <w:w w:val="120"/>
                          <w:sz w:val="16"/>
                        </w:rPr>
                        <w:t>(Manpower,</w:t>
                      </w:r>
                      <w:r>
                        <w:rPr>
                          <w:rFonts w:ascii="Arial MT"/>
                          <w:color w:val="FFFFFF"/>
                          <w:spacing w:val="-10"/>
                          <w:w w:val="120"/>
                          <w:sz w:val="16"/>
                        </w:rPr>
                        <w:t> </w:t>
                      </w:r>
                      <w:r>
                        <w:rPr>
                          <w:rFonts w:ascii="Arial MT"/>
                          <w:color w:val="FFFFFF"/>
                          <w:spacing w:val="-4"/>
                          <w:w w:val="120"/>
                          <w:sz w:val="16"/>
                        </w:rPr>
                        <w:t>Vehicles, </w:t>
                      </w:r>
                      <w:r>
                        <w:rPr>
                          <w:rFonts w:ascii="Arial MT"/>
                          <w:color w:val="FFFFFF"/>
                          <w:spacing w:val="-2"/>
                          <w:w w:val="125"/>
                          <w:sz w:val="16"/>
                        </w:rPr>
                        <w:t>Logistics)</w:t>
                      </w:r>
                    </w:p>
                  </w:txbxContent>
                </v:textbox>
                <v:fill type="solid"/>
                <v:stroke dashstyle="solid"/>
                <w10:wrap type="none"/>
              </v:shape>
            </w:pict>
          </mc:Fallback>
        </mc:AlternateContent>
      </w:r>
      <w:r>
        <w:rPr>
          <w:rFonts w:ascii="Arial MT"/>
          <w:color w:val="FFFFFF"/>
          <w:spacing w:val="-2"/>
          <w:w w:val="115"/>
          <w:sz w:val="9"/>
        </w:rPr>
        <w:t>Oct-</w:t>
      </w:r>
      <w:r>
        <w:rPr>
          <w:rFonts w:ascii="Arial MT"/>
          <w:color w:val="FFFFFF"/>
          <w:spacing w:val="-5"/>
          <w:w w:val="120"/>
          <w:sz w:val="9"/>
        </w:rPr>
        <w:t>Dec</w:t>
      </w:r>
    </w:p>
    <w:p>
      <w:pPr>
        <w:pStyle w:val="BodyText"/>
        <w:spacing w:before="191"/>
        <w:rPr>
          <w:rFonts w:ascii="Arial MT"/>
          <w:sz w:val="20"/>
        </w:rPr>
      </w:pPr>
    </w:p>
    <w:p>
      <w:pPr>
        <w:spacing w:after="0"/>
        <w:rPr>
          <w:rFonts w:ascii="Arial MT"/>
          <w:sz w:val="20"/>
        </w:rPr>
        <w:sectPr>
          <w:type w:val="continuous"/>
          <w:pgSz w:w="12240" w:h="15840"/>
          <w:pgMar w:header="0" w:footer="1036" w:top="1520" w:bottom="1220" w:left="1320" w:right="320"/>
        </w:sectPr>
      </w:pPr>
    </w:p>
    <w:p>
      <w:pPr>
        <w:spacing w:line="235" w:lineRule="auto" w:before="103"/>
        <w:ind w:left="766" w:right="0" w:firstLine="0"/>
        <w:jc w:val="center"/>
        <w:rPr>
          <w:rFonts w:ascii="Arial MT"/>
          <w:sz w:val="16"/>
        </w:rPr>
      </w:pPr>
      <w:r>
        <w:rPr>
          <w:rFonts w:ascii="Arial MT"/>
          <w:color w:val="23201D"/>
          <w:spacing w:val="-12"/>
          <w:w w:val="125"/>
          <w:sz w:val="16"/>
        </w:rPr>
        <w:t>BUDGET</w:t>
      </w:r>
      <w:r>
        <w:rPr>
          <w:rFonts w:ascii="Arial MT"/>
          <w:color w:val="23201D"/>
          <w:spacing w:val="-16"/>
          <w:w w:val="125"/>
          <w:sz w:val="16"/>
        </w:rPr>
        <w:t> </w:t>
      </w:r>
      <w:r>
        <w:rPr>
          <w:rFonts w:ascii="Arial MT"/>
          <w:color w:val="23201D"/>
          <w:spacing w:val="-12"/>
          <w:w w:val="125"/>
          <w:sz w:val="16"/>
        </w:rPr>
        <w:t>MONITORING, </w:t>
      </w:r>
      <w:r>
        <w:rPr>
          <w:rFonts w:ascii="Arial MT"/>
          <w:color w:val="23201D"/>
          <w:spacing w:val="-2"/>
          <w:w w:val="125"/>
          <w:sz w:val="16"/>
        </w:rPr>
        <w:t>EVALUATION</w:t>
      </w:r>
    </w:p>
    <w:p>
      <w:pPr>
        <w:spacing w:line="235" w:lineRule="auto" w:before="15"/>
        <w:ind w:left="1289" w:right="536" w:firstLine="10"/>
        <w:jc w:val="center"/>
        <w:rPr>
          <w:rFonts w:ascii="Arial MT"/>
          <w:sz w:val="16"/>
        </w:rPr>
      </w:pPr>
      <w:r>
        <w:rPr>
          <w:rFonts w:ascii="Arial MT"/>
          <w:color w:val="23201D"/>
          <w:spacing w:val="-4"/>
          <w:w w:val="125"/>
          <w:sz w:val="16"/>
        </w:rPr>
        <w:t>AND </w:t>
      </w:r>
      <w:r>
        <w:rPr>
          <w:rFonts w:ascii="Arial MT"/>
          <w:color w:val="23201D"/>
          <w:spacing w:val="-2"/>
          <w:w w:val="120"/>
          <w:sz w:val="16"/>
        </w:rPr>
        <w:t>FEEDBACK</w:t>
      </w:r>
    </w:p>
    <w:p>
      <w:pPr>
        <w:spacing w:line="240" w:lineRule="auto" w:before="68"/>
        <w:rPr>
          <w:rFonts w:ascii="Arial MT"/>
          <w:sz w:val="12"/>
        </w:rPr>
      </w:pPr>
      <w:r>
        <w:rPr/>
        <w:br w:type="column"/>
      </w:r>
      <w:r>
        <w:rPr>
          <w:rFonts w:ascii="Arial MT"/>
          <w:sz w:val="12"/>
        </w:rPr>
      </w:r>
    </w:p>
    <w:p>
      <w:pPr>
        <w:spacing w:line="220" w:lineRule="auto" w:before="0"/>
        <w:ind w:left="804" w:right="0" w:firstLine="0"/>
        <w:jc w:val="center"/>
        <w:rPr>
          <w:rFonts w:ascii="Arial MT"/>
          <w:sz w:val="12"/>
        </w:rPr>
      </w:pPr>
      <w:r>
        <w:rPr>
          <w:rFonts w:ascii="Arial MT"/>
          <w:color w:val="FFFFFF"/>
          <w:spacing w:val="-6"/>
          <w:w w:val="120"/>
          <w:sz w:val="12"/>
        </w:rPr>
        <w:t>Project</w:t>
      </w:r>
      <w:r>
        <w:rPr>
          <w:rFonts w:ascii="Arial MT"/>
          <w:color w:val="FFFFFF"/>
          <w:spacing w:val="-9"/>
          <w:w w:val="120"/>
          <w:sz w:val="12"/>
        </w:rPr>
        <w:t> </w:t>
      </w:r>
      <w:r>
        <w:rPr>
          <w:rFonts w:ascii="Arial MT"/>
          <w:color w:val="FFFFFF"/>
          <w:spacing w:val="-6"/>
          <w:w w:val="120"/>
          <w:sz w:val="12"/>
        </w:rPr>
        <w:t>Supervision/</w:t>
      </w:r>
      <w:r>
        <w:rPr>
          <w:rFonts w:ascii="Arial MT"/>
          <w:color w:val="FFFFFF"/>
          <w:spacing w:val="40"/>
          <w:w w:val="120"/>
          <w:sz w:val="12"/>
        </w:rPr>
        <w:t> </w:t>
      </w:r>
      <w:r>
        <w:rPr>
          <w:rFonts w:ascii="Arial MT"/>
          <w:color w:val="FFFFFF"/>
          <w:spacing w:val="-2"/>
          <w:w w:val="120"/>
          <w:sz w:val="12"/>
        </w:rPr>
        <w:t>Monitoring,</w:t>
      </w:r>
      <w:r>
        <w:rPr>
          <w:rFonts w:ascii="Arial MT"/>
          <w:color w:val="FFFFFF"/>
          <w:spacing w:val="-9"/>
          <w:w w:val="120"/>
          <w:sz w:val="12"/>
        </w:rPr>
        <w:t> </w:t>
      </w:r>
      <w:r>
        <w:rPr>
          <w:rFonts w:ascii="Arial MT"/>
          <w:color w:val="FFFFFF"/>
          <w:spacing w:val="-2"/>
          <w:w w:val="120"/>
          <w:sz w:val="12"/>
        </w:rPr>
        <w:t>Interim</w:t>
      </w:r>
      <w:r>
        <w:rPr>
          <w:rFonts w:ascii="Arial MT"/>
          <w:color w:val="FFFFFF"/>
          <w:spacing w:val="40"/>
          <w:w w:val="120"/>
          <w:sz w:val="12"/>
        </w:rPr>
        <w:t> </w:t>
      </w:r>
      <w:r>
        <w:rPr>
          <w:rFonts w:ascii="Arial MT"/>
          <w:color w:val="FFFFFF"/>
          <w:spacing w:val="-2"/>
          <w:w w:val="120"/>
          <w:sz w:val="12"/>
        </w:rPr>
        <w:t>Valuation</w:t>
      </w:r>
    </w:p>
    <w:p>
      <w:pPr>
        <w:spacing w:before="1"/>
        <w:ind w:left="782" w:right="0" w:firstLine="0"/>
        <w:jc w:val="center"/>
        <w:rPr>
          <w:rFonts w:ascii="Arial MT"/>
          <w:sz w:val="12"/>
        </w:rPr>
      </w:pPr>
      <w:r>
        <w:rPr>
          <w:rFonts w:ascii="Arial MT"/>
          <w:color w:val="FFFFFF"/>
          <w:spacing w:val="-5"/>
          <w:w w:val="115"/>
          <w:sz w:val="12"/>
        </w:rPr>
        <w:t>and</w:t>
      </w:r>
      <w:r>
        <w:rPr>
          <w:rFonts w:ascii="Arial MT"/>
          <w:color w:val="FFFFFF"/>
          <w:spacing w:val="-6"/>
          <w:w w:val="115"/>
          <w:sz w:val="12"/>
        </w:rPr>
        <w:t> </w:t>
      </w:r>
      <w:r>
        <w:rPr>
          <w:rFonts w:ascii="Arial MT"/>
          <w:color w:val="FFFFFF"/>
          <w:spacing w:val="-2"/>
          <w:w w:val="120"/>
          <w:sz w:val="12"/>
        </w:rPr>
        <w:t>Payments</w:t>
      </w:r>
    </w:p>
    <w:p>
      <w:pPr>
        <w:spacing w:line="240" w:lineRule="auto" w:before="0"/>
        <w:rPr>
          <w:rFonts w:ascii="Arial MT"/>
          <w:sz w:val="13"/>
        </w:rPr>
      </w:pPr>
      <w:r>
        <w:rPr/>
        <w:br w:type="column"/>
      </w:r>
      <w:r>
        <w:rPr>
          <w:rFonts w:ascii="Arial MT"/>
          <w:sz w:val="13"/>
        </w:rPr>
      </w:r>
    </w:p>
    <w:p>
      <w:pPr>
        <w:pStyle w:val="BodyText"/>
        <w:rPr>
          <w:rFonts w:ascii="Arial MT"/>
          <w:sz w:val="13"/>
        </w:rPr>
      </w:pPr>
    </w:p>
    <w:p>
      <w:pPr>
        <w:pStyle w:val="BodyText"/>
        <w:rPr>
          <w:rFonts w:ascii="Arial MT"/>
          <w:sz w:val="13"/>
        </w:rPr>
      </w:pPr>
    </w:p>
    <w:p>
      <w:pPr>
        <w:pStyle w:val="BodyText"/>
        <w:rPr>
          <w:rFonts w:ascii="Arial MT"/>
          <w:sz w:val="13"/>
        </w:rPr>
      </w:pPr>
    </w:p>
    <w:p>
      <w:pPr>
        <w:pStyle w:val="BodyText"/>
        <w:spacing w:before="113"/>
        <w:rPr>
          <w:rFonts w:ascii="Arial MT"/>
          <w:sz w:val="13"/>
        </w:rPr>
      </w:pPr>
    </w:p>
    <w:p>
      <w:pPr>
        <w:spacing w:line="216" w:lineRule="auto" w:before="0"/>
        <w:ind w:left="336" w:right="3090" w:firstLine="0"/>
        <w:jc w:val="left"/>
        <w:rPr>
          <w:rFonts w:ascii="Arial MT"/>
          <w:sz w:val="13"/>
        </w:rPr>
      </w:pPr>
      <w:r>
        <w:rPr/>
        <mc:AlternateContent>
          <mc:Choice Requires="wps">
            <w:drawing>
              <wp:anchor distT="0" distB="0" distL="0" distR="0" allowOverlap="1" layoutInCell="1" locked="0" behindDoc="0" simplePos="0" relativeHeight="15780864">
                <wp:simplePos x="0" y="0"/>
                <wp:positionH relativeFrom="page">
                  <wp:posOffset>5844823</wp:posOffset>
                </wp:positionH>
                <wp:positionV relativeFrom="paragraph">
                  <wp:posOffset>-292086</wp:posOffset>
                </wp:positionV>
                <wp:extent cx="1392555" cy="628650"/>
                <wp:effectExtent l="0" t="0" r="0" b="0"/>
                <wp:wrapNone/>
                <wp:docPr id="1210" name="Textbox 1210"/>
                <wp:cNvGraphicFramePr>
                  <a:graphicFrameLocks/>
                </wp:cNvGraphicFramePr>
                <a:graphic>
                  <a:graphicData uri="http://schemas.microsoft.com/office/word/2010/wordprocessingShape">
                    <wps:wsp>
                      <wps:cNvPr id="1210" name="Textbox 1210"/>
                      <wps:cNvSpPr txBox="1"/>
                      <wps:spPr>
                        <a:xfrm>
                          <a:off x="0" y="0"/>
                          <a:ext cx="1392555" cy="628650"/>
                        </a:xfrm>
                        <a:prstGeom prst="rect">
                          <a:avLst/>
                        </a:prstGeom>
                        <a:solidFill>
                          <a:srgbClr val="3A2378"/>
                        </a:solidFill>
                        <a:ln w="9936">
                          <a:solidFill>
                            <a:srgbClr val="23201D"/>
                          </a:solidFill>
                          <a:prstDash val="solid"/>
                        </a:ln>
                      </wps:spPr>
                      <wps:txbx>
                        <w:txbxContent>
                          <w:p>
                            <w:pPr>
                              <w:pStyle w:val="BodyText"/>
                              <w:spacing w:before="95"/>
                              <w:rPr>
                                <w:color w:val="000000"/>
                                <w:sz w:val="16"/>
                              </w:rPr>
                            </w:pPr>
                          </w:p>
                          <w:p>
                            <w:pPr>
                              <w:spacing w:line="235" w:lineRule="auto" w:before="1"/>
                              <w:ind w:left="207" w:right="134" w:firstLine="0"/>
                              <w:jc w:val="left"/>
                              <w:rPr>
                                <w:rFonts w:ascii="Arial MT"/>
                                <w:color w:val="000000"/>
                                <w:sz w:val="16"/>
                              </w:rPr>
                            </w:pPr>
                            <w:r>
                              <w:rPr>
                                <w:rFonts w:ascii="Arial MT"/>
                                <w:color w:val="FFFFFF"/>
                                <w:w w:val="125"/>
                                <w:sz w:val="16"/>
                              </w:rPr>
                              <w:t>Budget</w:t>
                            </w:r>
                            <w:r>
                              <w:rPr>
                                <w:rFonts w:ascii="Arial MT"/>
                                <w:color w:val="FFFFFF"/>
                                <w:spacing w:val="-14"/>
                                <w:w w:val="125"/>
                                <w:sz w:val="16"/>
                              </w:rPr>
                              <w:t> </w:t>
                            </w:r>
                            <w:r>
                              <w:rPr>
                                <w:rFonts w:ascii="Arial MT"/>
                                <w:color w:val="FFFFFF"/>
                                <w:w w:val="125"/>
                                <w:sz w:val="16"/>
                              </w:rPr>
                              <w:t>Performance </w:t>
                            </w:r>
                            <w:r>
                              <w:rPr>
                                <w:rFonts w:ascii="Arial MT"/>
                                <w:color w:val="FFFFFF"/>
                                <w:spacing w:val="-8"/>
                                <w:w w:val="125"/>
                                <w:sz w:val="16"/>
                              </w:rPr>
                              <w:t>Review</w:t>
                            </w:r>
                            <w:r>
                              <w:rPr>
                                <w:rFonts w:ascii="Arial MT"/>
                                <w:color w:val="FFFFFF"/>
                                <w:spacing w:val="-22"/>
                                <w:w w:val="125"/>
                                <w:sz w:val="16"/>
                              </w:rPr>
                              <w:t> </w:t>
                            </w:r>
                            <w:r>
                              <w:rPr>
                                <w:rFonts w:ascii="Arial MT"/>
                                <w:color w:val="FFFFFF"/>
                                <w:spacing w:val="-8"/>
                                <w:w w:val="125"/>
                                <w:sz w:val="16"/>
                              </w:rPr>
                              <w:t>and</w:t>
                            </w:r>
                            <w:r>
                              <w:rPr>
                                <w:rFonts w:ascii="Arial MT"/>
                                <w:color w:val="FFFFFF"/>
                                <w:spacing w:val="-5"/>
                                <w:w w:val="125"/>
                                <w:sz w:val="16"/>
                              </w:rPr>
                              <w:t> </w:t>
                            </w:r>
                            <w:r>
                              <w:rPr>
                                <w:rFonts w:ascii="Arial MT"/>
                                <w:color w:val="FFFFFF"/>
                                <w:spacing w:val="-8"/>
                                <w:w w:val="125"/>
                                <w:sz w:val="16"/>
                              </w:rPr>
                              <w:t>Reporting</w:t>
                            </w:r>
                          </w:p>
                        </w:txbxContent>
                      </wps:txbx>
                      <wps:bodyPr wrap="square" lIns="0" tIns="0" rIns="0" bIns="0" rtlCol="0">
                        <a:noAutofit/>
                      </wps:bodyPr>
                    </wps:wsp>
                  </a:graphicData>
                </a:graphic>
              </wp:anchor>
            </w:drawing>
          </mc:Choice>
          <mc:Fallback>
            <w:pict>
              <v:shape style="position:absolute;margin-left:460.22229pt;margin-top:-22.998938pt;width:109.65pt;height:49.5pt;mso-position-horizontal-relative:page;mso-position-vertical-relative:paragraph;z-index:15780864" type="#_x0000_t202" id="docshape1146" filled="true" fillcolor="#3a2378" stroked="true" strokeweight=".78239pt" strokecolor="#23201d">
                <v:textbox inset="0,0,0,0">
                  <w:txbxContent>
                    <w:p>
                      <w:pPr>
                        <w:pStyle w:val="BodyText"/>
                        <w:spacing w:before="95"/>
                        <w:rPr>
                          <w:color w:val="000000"/>
                          <w:sz w:val="16"/>
                        </w:rPr>
                      </w:pPr>
                    </w:p>
                    <w:p>
                      <w:pPr>
                        <w:spacing w:line="235" w:lineRule="auto" w:before="1"/>
                        <w:ind w:left="207" w:right="134" w:firstLine="0"/>
                        <w:jc w:val="left"/>
                        <w:rPr>
                          <w:rFonts w:ascii="Arial MT"/>
                          <w:color w:val="000000"/>
                          <w:sz w:val="16"/>
                        </w:rPr>
                      </w:pPr>
                      <w:r>
                        <w:rPr>
                          <w:rFonts w:ascii="Arial MT"/>
                          <w:color w:val="FFFFFF"/>
                          <w:w w:val="125"/>
                          <w:sz w:val="16"/>
                        </w:rPr>
                        <w:t>Budget</w:t>
                      </w:r>
                      <w:r>
                        <w:rPr>
                          <w:rFonts w:ascii="Arial MT"/>
                          <w:color w:val="FFFFFF"/>
                          <w:spacing w:val="-14"/>
                          <w:w w:val="125"/>
                          <w:sz w:val="16"/>
                        </w:rPr>
                        <w:t> </w:t>
                      </w:r>
                      <w:r>
                        <w:rPr>
                          <w:rFonts w:ascii="Arial MT"/>
                          <w:color w:val="FFFFFF"/>
                          <w:w w:val="125"/>
                          <w:sz w:val="16"/>
                        </w:rPr>
                        <w:t>Performance </w:t>
                      </w:r>
                      <w:r>
                        <w:rPr>
                          <w:rFonts w:ascii="Arial MT"/>
                          <w:color w:val="FFFFFF"/>
                          <w:spacing w:val="-8"/>
                          <w:w w:val="125"/>
                          <w:sz w:val="16"/>
                        </w:rPr>
                        <w:t>Review</w:t>
                      </w:r>
                      <w:r>
                        <w:rPr>
                          <w:rFonts w:ascii="Arial MT"/>
                          <w:color w:val="FFFFFF"/>
                          <w:spacing w:val="-22"/>
                          <w:w w:val="125"/>
                          <w:sz w:val="16"/>
                        </w:rPr>
                        <w:t> </w:t>
                      </w:r>
                      <w:r>
                        <w:rPr>
                          <w:rFonts w:ascii="Arial MT"/>
                          <w:color w:val="FFFFFF"/>
                          <w:spacing w:val="-8"/>
                          <w:w w:val="125"/>
                          <w:sz w:val="16"/>
                        </w:rPr>
                        <w:t>and</w:t>
                      </w:r>
                      <w:r>
                        <w:rPr>
                          <w:rFonts w:ascii="Arial MT"/>
                          <w:color w:val="FFFFFF"/>
                          <w:spacing w:val="-5"/>
                          <w:w w:val="125"/>
                          <w:sz w:val="16"/>
                        </w:rPr>
                        <w:t> </w:t>
                      </w:r>
                      <w:r>
                        <w:rPr>
                          <w:rFonts w:ascii="Arial MT"/>
                          <w:color w:val="FFFFFF"/>
                          <w:spacing w:val="-8"/>
                          <w:w w:val="125"/>
                          <w:sz w:val="16"/>
                        </w:rPr>
                        <w:t>Reporting</w:t>
                      </w:r>
                    </w:p>
                  </w:txbxContent>
                </v:textbox>
                <v:fill type="solid"/>
                <v:stroke dashstyle="solid"/>
                <w10:wrap type="none"/>
              </v:shape>
            </w:pict>
          </mc:Fallback>
        </mc:AlternateContent>
      </w:r>
      <w:r>
        <w:rPr>
          <w:rFonts w:ascii="Arial MT"/>
          <w:color w:val="FFFFFF"/>
          <w:spacing w:val="-2"/>
          <w:w w:val="125"/>
          <w:sz w:val="13"/>
        </w:rPr>
        <w:t>Project </w:t>
      </w:r>
      <w:r>
        <w:rPr>
          <w:rFonts w:ascii="Arial MT"/>
          <w:color w:val="FFFFFF"/>
          <w:spacing w:val="-4"/>
          <w:w w:val="125"/>
          <w:sz w:val="13"/>
        </w:rPr>
        <w:t>Closure</w:t>
      </w:r>
    </w:p>
    <w:p>
      <w:pPr>
        <w:spacing w:after="0" w:line="216" w:lineRule="auto"/>
        <w:jc w:val="left"/>
        <w:rPr>
          <w:rFonts w:ascii="Arial MT"/>
          <w:sz w:val="13"/>
        </w:rPr>
        <w:sectPr>
          <w:type w:val="continuous"/>
          <w:pgSz w:w="12240" w:h="15840"/>
          <w:pgMar w:header="0" w:footer="1036" w:top="1520" w:bottom="1220" w:left="1320" w:right="320"/>
          <w:cols w:num="3" w:equalWidth="0">
            <w:col w:w="2878" w:space="1723"/>
            <w:col w:w="1992" w:space="39"/>
            <w:col w:w="3968"/>
          </w:cols>
        </w:sectPr>
      </w:pPr>
    </w:p>
    <w:p>
      <w:pPr>
        <w:pStyle w:val="BodyText"/>
        <w:spacing w:before="66"/>
        <w:rPr>
          <w:rFonts w:ascii="Arial MT"/>
          <w:sz w:val="20"/>
        </w:rPr>
      </w:pPr>
    </w:p>
    <w:p>
      <w:pPr>
        <w:spacing w:after="0"/>
        <w:rPr>
          <w:rFonts w:ascii="Arial MT"/>
          <w:sz w:val="20"/>
        </w:rPr>
        <w:sectPr>
          <w:type w:val="continuous"/>
          <w:pgSz w:w="12240" w:h="15840"/>
          <w:pgMar w:header="0" w:footer="1036" w:top="1520" w:bottom="1220" w:left="1320" w:right="320"/>
        </w:sectPr>
      </w:pPr>
    </w:p>
    <w:p>
      <w:pPr>
        <w:spacing w:line="182" w:lineRule="exact" w:before="100"/>
        <w:ind w:left="3032" w:right="0" w:firstLine="0"/>
        <w:jc w:val="left"/>
        <w:rPr>
          <w:rFonts w:ascii="Arial MT"/>
          <w:sz w:val="16"/>
        </w:rPr>
      </w:pPr>
      <w:r>
        <w:rPr>
          <w:rFonts w:ascii="Arial MT"/>
          <w:color w:val="23282B"/>
          <w:spacing w:val="-2"/>
          <w:w w:val="120"/>
          <w:sz w:val="16"/>
        </w:rPr>
        <w:t>SEC</w:t>
      </w:r>
      <w:r>
        <w:rPr>
          <w:rFonts w:ascii="Arial MT"/>
          <w:color w:val="23282B"/>
          <w:spacing w:val="-17"/>
          <w:w w:val="120"/>
          <w:sz w:val="16"/>
        </w:rPr>
        <w:t> </w:t>
      </w:r>
      <w:r>
        <w:rPr>
          <w:rFonts w:ascii="Arial MT"/>
          <w:color w:val="23282B"/>
          <w:spacing w:val="-2"/>
          <w:w w:val="120"/>
          <w:sz w:val="16"/>
        </w:rPr>
        <w:t>-</w:t>
      </w:r>
      <w:r>
        <w:rPr>
          <w:rFonts w:ascii="Arial MT"/>
          <w:color w:val="23282B"/>
          <w:spacing w:val="-12"/>
          <w:w w:val="120"/>
          <w:sz w:val="16"/>
        </w:rPr>
        <w:t> </w:t>
      </w:r>
      <w:r>
        <w:rPr>
          <w:rFonts w:ascii="Arial MT"/>
          <w:color w:val="23282B"/>
          <w:spacing w:val="-2"/>
          <w:w w:val="120"/>
          <w:sz w:val="16"/>
        </w:rPr>
        <w:t>State Executive</w:t>
      </w:r>
      <w:r>
        <w:rPr>
          <w:rFonts w:ascii="Arial MT"/>
          <w:color w:val="23282B"/>
          <w:spacing w:val="-3"/>
          <w:w w:val="120"/>
          <w:sz w:val="16"/>
        </w:rPr>
        <w:t> </w:t>
      </w:r>
      <w:r>
        <w:rPr>
          <w:rFonts w:ascii="Arial MT"/>
          <w:color w:val="23282B"/>
          <w:spacing w:val="-2"/>
          <w:w w:val="120"/>
          <w:sz w:val="16"/>
        </w:rPr>
        <w:t>Council</w:t>
      </w:r>
    </w:p>
    <w:p>
      <w:pPr>
        <w:spacing w:line="182" w:lineRule="exact" w:before="0"/>
        <w:ind w:left="3032" w:right="0" w:firstLine="0"/>
        <w:jc w:val="left"/>
        <w:rPr>
          <w:rFonts w:ascii="Arial MT"/>
          <w:sz w:val="16"/>
        </w:rPr>
      </w:pPr>
      <w:r>
        <w:rPr>
          <w:rFonts w:ascii="Arial MT"/>
          <w:color w:val="23282B"/>
          <w:spacing w:val="-4"/>
          <w:w w:val="120"/>
          <w:sz w:val="16"/>
        </w:rPr>
        <w:t>MTEF</w:t>
      </w:r>
      <w:r>
        <w:rPr>
          <w:rFonts w:ascii="Arial MT"/>
          <w:color w:val="23282B"/>
          <w:spacing w:val="-9"/>
          <w:w w:val="120"/>
          <w:sz w:val="16"/>
        </w:rPr>
        <w:t> </w:t>
      </w:r>
      <w:r>
        <w:rPr>
          <w:rFonts w:ascii="Arial MT"/>
          <w:color w:val="23282B"/>
          <w:spacing w:val="-4"/>
          <w:w w:val="120"/>
          <w:sz w:val="16"/>
        </w:rPr>
        <w:t>-</w:t>
      </w:r>
      <w:r>
        <w:rPr>
          <w:rFonts w:ascii="Arial MT"/>
          <w:color w:val="23282B"/>
          <w:spacing w:val="-7"/>
          <w:w w:val="120"/>
          <w:sz w:val="16"/>
        </w:rPr>
        <w:t> </w:t>
      </w:r>
      <w:r>
        <w:rPr>
          <w:rFonts w:ascii="Arial MT"/>
          <w:color w:val="23282B"/>
          <w:spacing w:val="-4"/>
          <w:w w:val="120"/>
          <w:sz w:val="16"/>
        </w:rPr>
        <w:t>Medium</w:t>
      </w:r>
      <w:r>
        <w:rPr>
          <w:rFonts w:ascii="Arial MT"/>
          <w:color w:val="23282B"/>
          <w:spacing w:val="2"/>
          <w:w w:val="120"/>
          <w:sz w:val="16"/>
        </w:rPr>
        <w:t> </w:t>
      </w:r>
      <w:r>
        <w:rPr>
          <w:rFonts w:ascii="Arial MT"/>
          <w:color w:val="23282B"/>
          <w:spacing w:val="-4"/>
          <w:w w:val="120"/>
          <w:sz w:val="16"/>
        </w:rPr>
        <w:t>Term</w:t>
      </w:r>
      <w:r>
        <w:rPr>
          <w:rFonts w:ascii="Arial MT"/>
          <w:color w:val="23282B"/>
          <w:spacing w:val="3"/>
          <w:w w:val="120"/>
          <w:sz w:val="16"/>
        </w:rPr>
        <w:t> </w:t>
      </w:r>
      <w:r>
        <w:rPr>
          <w:rFonts w:ascii="Arial MT"/>
          <w:color w:val="23282B"/>
          <w:spacing w:val="-4"/>
          <w:w w:val="120"/>
          <w:sz w:val="16"/>
        </w:rPr>
        <w:t>Expenditure</w:t>
      </w:r>
      <w:r>
        <w:rPr>
          <w:rFonts w:ascii="Arial MT"/>
          <w:color w:val="23282B"/>
          <w:spacing w:val="3"/>
          <w:w w:val="120"/>
          <w:sz w:val="16"/>
        </w:rPr>
        <w:t> </w:t>
      </w:r>
      <w:r>
        <w:rPr>
          <w:rFonts w:ascii="Arial MT"/>
          <w:color w:val="23282B"/>
          <w:spacing w:val="-4"/>
          <w:w w:val="120"/>
          <w:sz w:val="16"/>
        </w:rPr>
        <w:t>Framework</w:t>
      </w:r>
    </w:p>
    <w:p>
      <w:pPr>
        <w:spacing w:line="235" w:lineRule="auto" w:before="103"/>
        <w:ind w:left="584" w:right="1088" w:firstLine="0"/>
        <w:jc w:val="left"/>
        <w:rPr>
          <w:rFonts w:ascii="Arial MT"/>
          <w:sz w:val="16"/>
        </w:rPr>
      </w:pPr>
      <w:r>
        <w:rPr/>
        <w:br w:type="column"/>
      </w:r>
      <w:r>
        <w:rPr>
          <w:rFonts w:ascii="Arial MT"/>
          <w:color w:val="23282B"/>
          <w:spacing w:val="-6"/>
          <w:w w:val="125"/>
          <w:sz w:val="16"/>
        </w:rPr>
        <w:t>Q.S</w:t>
      </w:r>
      <w:r>
        <w:rPr>
          <w:rFonts w:ascii="Arial MT"/>
          <w:color w:val="23282B"/>
          <w:spacing w:val="-9"/>
          <w:w w:val="125"/>
          <w:sz w:val="16"/>
        </w:rPr>
        <w:t> </w:t>
      </w:r>
      <w:r>
        <w:rPr>
          <w:rFonts w:ascii="Arial MT"/>
          <w:color w:val="23282B"/>
          <w:spacing w:val="-6"/>
          <w:w w:val="125"/>
          <w:sz w:val="16"/>
        </w:rPr>
        <w:t>-</w:t>
      </w:r>
      <w:r>
        <w:rPr>
          <w:rFonts w:ascii="Arial MT"/>
          <w:color w:val="23282B"/>
          <w:spacing w:val="-14"/>
          <w:w w:val="125"/>
          <w:sz w:val="16"/>
        </w:rPr>
        <w:t> </w:t>
      </w:r>
      <w:r>
        <w:rPr>
          <w:rFonts w:ascii="Arial MT"/>
          <w:color w:val="23282B"/>
          <w:spacing w:val="-6"/>
          <w:w w:val="125"/>
          <w:sz w:val="16"/>
        </w:rPr>
        <w:t>Quantity</w:t>
      </w:r>
      <w:r>
        <w:rPr>
          <w:rFonts w:ascii="Arial MT"/>
          <w:color w:val="23282B"/>
          <w:spacing w:val="-11"/>
          <w:w w:val="125"/>
          <w:sz w:val="16"/>
        </w:rPr>
        <w:t> </w:t>
      </w:r>
      <w:r>
        <w:rPr>
          <w:rFonts w:ascii="Arial MT"/>
          <w:color w:val="23282B"/>
          <w:spacing w:val="-6"/>
          <w:w w:val="125"/>
          <w:sz w:val="16"/>
        </w:rPr>
        <w:t>Surveyor </w:t>
      </w:r>
      <w:r>
        <w:rPr>
          <w:rFonts w:ascii="Arial MT"/>
          <w:color w:val="23282B"/>
          <w:spacing w:val="-4"/>
          <w:w w:val="120"/>
          <w:sz w:val="16"/>
        </w:rPr>
        <w:t>BOQ</w:t>
      </w:r>
      <w:r>
        <w:rPr>
          <w:rFonts w:ascii="Arial MT"/>
          <w:color w:val="23282B"/>
          <w:spacing w:val="-10"/>
          <w:w w:val="120"/>
          <w:sz w:val="16"/>
        </w:rPr>
        <w:t> </w:t>
      </w:r>
      <w:r>
        <w:rPr>
          <w:rFonts w:ascii="Arial MT"/>
          <w:color w:val="23282B"/>
          <w:spacing w:val="-4"/>
          <w:w w:val="120"/>
          <w:sz w:val="16"/>
        </w:rPr>
        <w:t>-Bills</w:t>
      </w:r>
      <w:r>
        <w:rPr>
          <w:rFonts w:ascii="Arial MT"/>
          <w:color w:val="23282B"/>
          <w:spacing w:val="-10"/>
          <w:w w:val="120"/>
          <w:sz w:val="16"/>
        </w:rPr>
        <w:t> </w:t>
      </w:r>
      <w:r>
        <w:rPr>
          <w:rFonts w:ascii="Arial MT"/>
          <w:color w:val="23282B"/>
          <w:spacing w:val="-4"/>
          <w:w w:val="120"/>
          <w:sz w:val="16"/>
        </w:rPr>
        <w:t>Of</w:t>
      </w:r>
      <w:r>
        <w:rPr>
          <w:rFonts w:ascii="Arial MT"/>
          <w:color w:val="23282B"/>
          <w:spacing w:val="-2"/>
          <w:w w:val="120"/>
          <w:sz w:val="16"/>
        </w:rPr>
        <w:t> </w:t>
      </w:r>
      <w:r>
        <w:rPr>
          <w:rFonts w:ascii="Arial MT"/>
          <w:color w:val="23282B"/>
          <w:spacing w:val="-4"/>
          <w:w w:val="120"/>
          <w:sz w:val="16"/>
        </w:rPr>
        <w:t>Quantities</w:t>
      </w:r>
    </w:p>
    <w:p>
      <w:pPr>
        <w:spacing w:after="0" w:line="235" w:lineRule="auto"/>
        <w:jc w:val="left"/>
        <w:rPr>
          <w:rFonts w:ascii="Arial MT"/>
          <w:sz w:val="16"/>
        </w:rPr>
        <w:sectPr>
          <w:type w:val="continuous"/>
          <w:pgSz w:w="12240" w:h="15840"/>
          <w:pgMar w:header="0" w:footer="1036" w:top="1520" w:bottom="1220" w:left="1320" w:right="320"/>
          <w:cols w:num="2" w:equalWidth="0">
            <w:col w:w="6884" w:space="40"/>
            <w:col w:w="3676"/>
          </w:cols>
        </w:sectPr>
      </w:pPr>
    </w:p>
    <w:p>
      <w:pPr>
        <w:pStyle w:val="BodyText"/>
        <w:spacing w:before="5"/>
        <w:rPr>
          <w:rFonts w:ascii="Arial MT"/>
          <w:sz w:val="4"/>
        </w:rPr>
      </w:pPr>
    </w:p>
    <w:p>
      <w:pPr>
        <w:pStyle w:val="BodyText"/>
        <w:spacing w:line="20" w:lineRule="exact"/>
        <w:ind w:left="120"/>
        <w:rPr>
          <w:rFonts w:ascii="Arial MT"/>
          <w:sz w:val="2"/>
        </w:rPr>
      </w:pPr>
      <w:r>
        <w:rPr>
          <w:rFonts w:ascii="Arial MT"/>
          <w:sz w:val="2"/>
        </w:rPr>
        <mc:AlternateContent>
          <mc:Choice Requires="wps">
            <w:drawing>
              <wp:inline distT="0" distB="0" distL="0" distR="0">
                <wp:extent cx="6504305" cy="9525"/>
                <wp:effectExtent l="0" t="0" r="0" b="0"/>
                <wp:docPr id="1211" name="Group 1211"/>
                <wp:cNvGraphicFramePr>
                  <a:graphicFrameLocks/>
                </wp:cNvGraphicFramePr>
                <a:graphic>
                  <a:graphicData uri="http://schemas.microsoft.com/office/word/2010/wordprocessingGroup">
                    <wpg:wgp>
                      <wpg:cNvPr id="1211" name="Group 1211"/>
                      <wpg:cNvGrpSpPr/>
                      <wpg:grpSpPr>
                        <a:xfrm>
                          <a:off x="0" y="0"/>
                          <a:ext cx="6504305" cy="9525"/>
                          <a:chExt cx="6504305" cy="9525"/>
                        </a:xfrm>
                      </wpg:grpSpPr>
                      <wps:wsp>
                        <wps:cNvPr id="1212" name="Graphic 1212"/>
                        <wps:cNvSpPr/>
                        <wps:spPr>
                          <a:xfrm>
                            <a:off x="0" y="0"/>
                            <a:ext cx="6504305" cy="9525"/>
                          </a:xfrm>
                          <a:custGeom>
                            <a:avLst/>
                            <a:gdLst/>
                            <a:ahLst/>
                            <a:cxnLst/>
                            <a:rect l="l" t="t" r="r" b="b"/>
                            <a:pathLst>
                              <a:path w="6504305" h="9525">
                                <a:moveTo>
                                  <a:pt x="6503797" y="0"/>
                                </a:moveTo>
                                <a:lnTo>
                                  <a:pt x="0" y="0"/>
                                </a:lnTo>
                                <a:lnTo>
                                  <a:pt x="0" y="9143"/>
                                </a:lnTo>
                                <a:lnTo>
                                  <a:pt x="6503797" y="9143"/>
                                </a:lnTo>
                                <a:lnTo>
                                  <a:pt x="650379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12.15pt;height:.75pt;mso-position-horizontal-relative:char;mso-position-vertical-relative:line" id="docshapegroup1147" coordorigin="0,0" coordsize="10243,15">
                <v:rect style="position:absolute;left:0;top:0;width:10243;height:15" id="docshape1148" filled="true" fillcolor="#000000" stroked="false">
                  <v:fill type="solid"/>
                </v:rect>
              </v:group>
            </w:pict>
          </mc:Fallback>
        </mc:AlternateContent>
      </w:r>
      <w:r>
        <w:rPr>
          <w:rFonts w:ascii="Arial MT"/>
          <w:sz w:val="2"/>
        </w:rPr>
      </w:r>
    </w:p>
    <w:p>
      <w:pPr>
        <w:pStyle w:val="BodyText"/>
        <w:spacing w:before="8"/>
        <w:ind w:left="120" w:right="1117"/>
      </w:pPr>
      <w:r>
        <w:rPr>
          <w:b/>
        </w:rPr>
        <w:t>Figure</w:t>
      </w:r>
      <w:r>
        <w:rPr>
          <w:b/>
          <w:spacing w:val="-5"/>
        </w:rPr>
        <w:t> </w:t>
      </w:r>
      <w:r>
        <w:rPr>
          <w:b/>
        </w:rPr>
        <w:t>5.15:</w:t>
      </w:r>
      <w:r>
        <w:rPr>
          <w:b/>
          <w:spacing w:val="40"/>
        </w:rPr>
        <w:t> </w:t>
      </w:r>
      <w:r>
        <w:rPr/>
        <w:t>The</w:t>
      </w:r>
      <w:r>
        <w:rPr>
          <w:spacing w:val="-3"/>
        </w:rPr>
        <w:t> </w:t>
      </w:r>
      <w:r>
        <w:rPr/>
        <w:t>Integrated</w:t>
      </w:r>
      <w:r>
        <w:rPr>
          <w:spacing w:val="-3"/>
        </w:rPr>
        <w:t> </w:t>
      </w:r>
      <w:r>
        <w:rPr/>
        <w:t>Housing</w:t>
      </w:r>
      <w:r>
        <w:rPr>
          <w:spacing w:val="-7"/>
        </w:rPr>
        <w:t> </w:t>
      </w:r>
      <w:r>
        <w:rPr/>
        <w:t>Budget</w:t>
      </w:r>
      <w:r>
        <w:rPr>
          <w:spacing w:val="-4"/>
        </w:rPr>
        <w:t> </w:t>
      </w:r>
      <w:r>
        <w:rPr/>
        <w:t>Performance</w:t>
      </w:r>
      <w:r>
        <w:rPr>
          <w:spacing w:val="-5"/>
        </w:rPr>
        <w:t> </w:t>
      </w:r>
      <w:r>
        <w:rPr/>
        <w:t>Model</w:t>
      </w:r>
      <w:r>
        <w:rPr>
          <w:spacing w:val="-4"/>
        </w:rPr>
        <w:t> </w:t>
      </w:r>
      <w:r>
        <w:rPr/>
        <w:t>(Researcher‘s</w:t>
      </w:r>
      <w:r>
        <w:rPr>
          <w:spacing w:val="-4"/>
        </w:rPr>
        <w:t> </w:t>
      </w:r>
      <w:r>
        <w:rPr/>
        <w:t>Construction, adapted from Davis </w:t>
      </w:r>
      <w:r>
        <w:rPr>
          <w:i/>
        </w:rPr>
        <w:t>et al</w:t>
      </w:r>
      <w:r>
        <w:rPr/>
        <w:t>., 1966; Kaplan and Norton, 1996; Thurmaier and Willoughby, 2001; Ebdon and Aimee, 2006)</w:t>
      </w:r>
    </w:p>
    <w:p>
      <w:pPr>
        <w:spacing w:after="0"/>
        <w:sectPr>
          <w:type w:val="continuous"/>
          <w:pgSz w:w="12240" w:h="15840"/>
          <w:pgMar w:header="0" w:footer="1036" w:top="1520" w:bottom="1220" w:left="1320" w:right="320"/>
        </w:sectPr>
      </w:pPr>
    </w:p>
    <w:p>
      <w:pPr>
        <w:pStyle w:val="BodyText"/>
        <w:spacing w:line="360" w:lineRule="auto" w:before="74"/>
        <w:ind w:left="120" w:right="1116"/>
        <w:jc w:val="both"/>
      </w:pPr>
      <w:r>
        <w:rPr/>
        <w:t>The</w:t>
      </w:r>
      <w:r>
        <w:rPr>
          <w:spacing w:val="-1"/>
        </w:rPr>
        <w:t> </w:t>
      </w:r>
      <w:r>
        <w:rPr/>
        <w:t>integrated housing</w:t>
      </w:r>
      <w:r>
        <w:rPr>
          <w:spacing w:val="-3"/>
        </w:rPr>
        <w:t> </w:t>
      </w:r>
      <w:r>
        <w:rPr/>
        <w:t>budget performance</w:t>
      </w:r>
      <w:r>
        <w:rPr>
          <w:spacing w:val="-1"/>
        </w:rPr>
        <w:t> </w:t>
      </w:r>
      <w:r>
        <w:rPr/>
        <w:t>model; which is a conceptual model, as evidenced in figure 5.15, describes the relationship and operationalization of the variables identified in the afore-reviewed</w:t>
      </w:r>
      <w:r>
        <w:rPr>
          <w:spacing w:val="-2"/>
        </w:rPr>
        <w:t> </w:t>
      </w:r>
      <w:r>
        <w:rPr/>
        <w:t>models</w:t>
      </w:r>
      <w:r>
        <w:rPr>
          <w:spacing w:val="-2"/>
        </w:rPr>
        <w:t> </w:t>
      </w:r>
      <w:r>
        <w:rPr/>
        <w:t>(</w:t>
      </w:r>
      <w:r>
        <w:rPr>
          <w:i/>
        </w:rPr>
        <w:t>section</w:t>
      </w:r>
      <w:r>
        <w:rPr>
          <w:i/>
          <w:spacing w:val="-2"/>
        </w:rPr>
        <w:t> </w:t>
      </w:r>
      <w:r>
        <w:rPr>
          <w:i/>
        </w:rPr>
        <w:t>3.6</w:t>
      </w:r>
      <w:r>
        <w:rPr/>
        <w:t>),</w:t>
      </w:r>
      <w:r>
        <w:rPr>
          <w:spacing w:val="-2"/>
        </w:rPr>
        <w:t> </w:t>
      </w:r>
      <w:r>
        <w:rPr/>
        <w:t>literature</w:t>
      </w:r>
      <w:r>
        <w:rPr>
          <w:spacing w:val="-3"/>
        </w:rPr>
        <w:t> </w:t>
      </w:r>
      <w:r>
        <w:rPr/>
        <w:t>survey, anecdotal</w:t>
      </w:r>
      <w:r>
        <w:rPr>
          <w:spacing w:val="-2"/>
        </w:rPr>
        <w:t> </w:t>
      </w:r>
      <w:r>
        <w:rPr/>
        <w:t>evidence</w:t>
      </w:r>
      <w:r>
        <w:rPr>
          <w:spacing w:val="-3"/>
        </w:rPr>
        <w:t> </w:t>
      </w:r>
      <w:r>
        <w:rPr/>
        <w:t>and</w:t>
      </w:r>
      <w:r>
        <w:rPr>
          <w:spacing w:val="-2"/>
        </w:rPr>
        <w:t> </w:t>
      </w:r>
      <w:r>
        <w:rPr/>
        <w:t>those</w:t>
      </w:r>
      <w:r>
        <w:rPr>
          <w:spacing w:val="-3"/>
        </w:rPr>
        <w:t> </w:t>
      </w:r>
      <w:r>
        <w:rPr/>
        <w:t>based on</w:t>
      </w:r>
      <w:r>
        <w:rPr>
          <w:spacing w:val="-2"/>
        </w:rPr>
        <w:t> </w:t>
      </w:r>
      <w:r>
        <w:rPr/>
        <w:t>the researcher‘s field work.</w:t>
      </w:r>
      <w:r>
        <w:rPr>
          <w:spacing w:val="40"/>
        </w:rPr>
        <w:t> </w:t>
      </w:r>
      <w:r>
        <w:rPr/>
        <w:t>This approach recognizes best practices identified in the study and can transform the current situation of the Anambra State housing budget to a systematic method of managing the entire housing budget process by the public sector. The model is a holistic one; articulating the conventional budget process/stages and procedures and peculiar nature of</w:t>
      </w:r>
      <w:r>
        <w:rPr>
          <w:spacing w:val="40"/>
        </w:rPr>
        <w:t> </w:t>
      </w:r>
      <w:r>
        <w:rPr/>
        <w:t>housing construction tendering, estimating and management, which makes it unique. The model is built around a combination, mix or harmony of the following perspectives:</w:t>
      </w:r>
    </w:p>
    <w:p>
      <w:pPr>
        <w:pStyle w:val="BodyText"/>
        <w:spacing w:before="139"/>
      </w:pPr>
    </w:p>
    <w:p>
      <w:pPr>
        <w:pStyle w:val="ListParagraph"/>
        <w:numPr>
          <w:ilvl w:val="0"/>
          <w:numId w:val="102"/>
        </w:numPr>
        <w:tabs>
          <w:tab w:pos="471" w:val="left" w:leader="none"/>
        </w:tabs>
        <w:spacing w:line="360" w:lineRule="auto" w:before="0" w:after="0"/>
        <w:ind w:left="120" w:right="1113" w:firstLine="0"/>
        <w:jc w:val="both"/>
        <w:rPr>
          <w:sz w:val="24"/>
        </w:rPr>
      </w:pPr>
      <w:r>
        <w:rPr>
          <w:b/>
          <w:sz w:val="24"/>
        </w:rPr>
        <w:t>Budget planning and formulation</w:t>
      </w:r>
      <w:r>
        <w:rPr>
          <w:sz w:val="24"/>
        </w:rPr>
        <w:t>: This entails organizing the budget activities required to achieve the desired goal and formulating a strategy to achieve optimum balance of needs or demands with the available resources. It can also be regarded as deciding what type of budget activities are to be carried out, how they will be done and who will execute it, in view of the projected revenues, cost, time and materials required for the housing projects. Specifically, it involves conducting a comprehensive needs assessment; which is a systematic process for determining and addressing needs, or "gaps" between current conditions and desired conditions or "wants". The discrepancy between the current condition and wanted condition must be measured to appropriately identify the need. This activity is very necessary to ascertain not only the extent of housing needs or priorities in various localities or communities and how to allocate resources for them, but also the number of citizens or individuals in need of such housing facilities. This will also enable long term planning for the housing sector. At this stage too, legal issues such as laws governing land use or ownership, boundaries and community owned land should be properly assessed.</w:t>
      </w:r>
    </w:p>
    <w:p>
      <w:pPr>
        <w:pStyle w:val="BodyText"/>
        <w:spacing w:before="139"/>
      </w:pPr>
    </w:p>
    <w:p>
      <w:pPr>
        <w:pStyle w:val="BodyText"/>
        <w:spacing w:line="360" w:lineRule="auto"/>
        <w:ind w:left="120" w:right="1115"/>
        <w:jc w:val="both"/>
      </w:pPr>
      <w:r>
        <w:rPr/>
        <w:t>Furthermore, there is the need for the citizens to be involved at this stage. Depending on the resources (time, money, and manpower) the needs assessment survey may take many different forms such as surveys, consultation and advisory committees. This will ensure that honest and objective descriptions of needs are obtained rather than relying on assumptions or what people say publicly. During the needs assessment process, it is pertinent to garner the political will and support</w:t>
      </w:r>
      <w:r>
        <w:rPr>
          <w:spacing w:val="56"/>
        </w:rPr>
        <w:t> </w:t>
      </w:r>
      <w:r>
        <w:rPr/>
        <w:t>of</w:t>
      </w:r>
      <w:r>
        <w:rPr>
          <w:spacing w:val="59"/>
        </w:rPr>
        <w:t> </w:t>
      </w:r>
      <w:r>
        <w:rPr/>
        <w:t>the</w:t>
      </w:r>
      <w:r>
        <w:rPr>
          <w:spacing w:val="58"/>
        </w:rPr>
        <w:t> </w:t>
      </w:r>
      <w:r>
        <w:rPr/>
        <w:t>Government,</w:t>
      </w:r>
      <w:r>
        <w:rPr>
          <w:spacing w:val="61"/>
        </w:rPr>
        <w:t> </w:t>
      </w:r>
      <w:r>
        <w:rPr/>
        <w:t>this</w:t>
      </w:r>
      <w:r>
        <w:rPr>
          <w:spacing w:val="60"/>
        </w:rPr>
        <w:t> </w:t>
      </w:r>
      <w:r>
        <w:rPr/>
        <w:t>will</w:t>
      </w:r>
      <w:r>
        <w:rPr>
          <w:spacing w:val="57"/>
        </w:rPr>
        <w:t> </w:t>
      </w:r>
      <w:r>
        <w:rPr/>
        <w:t>in</w:t>
      </w:r>
      <w:r>
        <w:rPr>
          <w:spacing w:val="60"/>
        </w:rPr>
        <w:t> </w:t>
      </w:r>
      <w:r>
        <w:rPr/>
        <w:t>turn</w:t>
      </w:r>
      <w:r>
        <w:rPr>
          <w:spacing w:val="56"/>
        </w:rPr>
        <w:t> </w:t>
      </w:r>
      <w:r>
        <w:rPr/>
        <w:t>ensure</w:t>
      </w:r>
      <w:r>
        <w:rPr>
          <w:spacing w:val="58"/>
        </w:rPr>
        <w:t> </w:t>
      </w:r>
      <w:r>
        <w:rPr/>
        <w:t>that</w:t>
      </w:r>
      <w:r>
        <w:rPr>
          <w:spacing w:val="59"/>
        </w:rPr>
        <w:t> </w:t>
      </w:r>
      <w:r>
        <w:rPr/>
        <w:t>adequate</w:t>
      </w:r>
      <w:r>
        <w:rPr>
          <w:spacing w:val="58"/>
        </w:rPr>
        <w:t> </w:t>
      </w:r>
      <w:r>
        <w:rPr/>
        <w:t>manpower</w:t>
      </w:r>
      <w:r>
        <w:rPr>
          <w:spacing w:val="61"/>
        </w:rPr>
        <w:t> </w:t>
      </w:r>
      <w:r>
        <w:rPr/>
        <w:t>and</w:t>
      </w:r>
      <w:r>
        <w:rPr>
          <w:spacing w:val="59"/>
        </w:rPr>
        <w:t> </w:t>
      </w:r>
      <w:r>
        <w:rPr>
          <w:spacing w:val="-2"/>
        </w:rPr>
        <w:t>financial</w:t>
      </w:r>
    </w:p>
    <w:p>
      <w:pPr>
        <w:spacing w:after="0" w:line="360" w:lineRule="auto"/>
        <w:jc w:val="both"/>
        <w:sectPr>
          <w:pgSz w:w="12240" w:h="15840"/>
          <w:pgMar w:header="0" w:footer="1036" w:top="1360" w:bottom="1220" w:left="1320" w:right="320"/>
        </w:sectPr>
      </w:pPr>
    </w:p>
    <w:p>
      <w:pPr>
        <w:pStyle w:val="BodyText"/>
        <w:spacing w:line="360" w:lineRule="auto" w:before="74"/>
        <w:ind w:left="120" w:right="1115"/>
        <w:jc w:val="both"/>
      </w:pPr>
      <w:r>
        <w:rPr/>
        <w:t>resources are deployed to carry out a demographic survey to determine the migratory trend, population density</w:t>
      </w:r>
      <w:r>
        <w:rPr>
          <w:spacing w:val="-3"/>
        </w:rPr>
        <w:t> </w:t>
      </w:r>
      <w:r>
        <w:rPr/>
        <w:t>and the number or size of population in need of specific housing types. It will also help provide the number of housing units or housing project size as at that period the survey was carried out. In this regard, the input of the Planning, Research and Statistics Departments of the Ministry of Housing and the Population Commission and independent demographers will be of immense importance. The entire process of planning and formulation, as proposed by the model should not be less than 5 months to enable a thorough work to be done. Adequate time should therefore be devoted to this process because it determines to a large extent, the success of the entire budget process.</w:t>
      </w:r>
    </w:p>
    <w:p>
      <w:pPr>
        <w:pStyle w:val="BodyText"/>
        <w:spacing w:before="185"/>
      </w:pPr>
    </w:p>
    <w:p>
      <w:pPr>
        <w:pStyle w:val="ListParagraph"/>
        <w:numPr>
          <w:ilvl w:val="0"/>
          <w:numId w:val="102"/>
        </w:numPr>
        <w:tabs>
          <w:tab w:pos="507" w:val="left" w:leader="none"/>
        </w:tabs>
        <w:spacing w:line="360" w:lineRule="auto" w:before="0" w:after="0"/>
        <w:ind w:left="120" w:right="1116" w:firstLine="0"/>
        <w:jc w:val="both"/>
        <w:rPr>
          <w:sz w:val="24"/>
        </w:rPr>
      </w:pPr>
      <w:r>
        <w:rPr>
          <w:b/>
          <w:sz w:val="24"/>
        </w:rPr>
        <w:t>Budget preparation and development</w:t>
      </w:r>
      <w:r>
        <w:rPr>
          <w:sz w:val="24"/>
        </w:rPr>
        <w:t>: The key elements of this perspective are: first; stipulation of budget ceiling (or limit) during the call for proposals based on the available financial resources such as Federal allocation, IGR and other rational and economic criteria such as GDP contribution. Second; the involvement of the Quantity Surveyor in the estimating</w:t>
      </w:r>
      <w:r>
        <w:rPr>
          <w:spacing w:val="40"/>
          <w:sz w:val="24"/>
        </w:rPr>
        <w:t> </w:t>
      </w:r>
      <w:r>
        <w:rPr>
          <w:sz w:val="24"/>
        </w:rPr>
        <w:t>process and the</w:t>
      </w:r>
      <w:r>
        <w:rPr>
          <w:spacing w:val="-1"/>
          <w:sz w:val="24"/>
        </w:rPr>
        <w:t> </w:t>
      </w:r>
      <w:r>
        <w:rPr>
          <w:sz w:val="24"/>
        </w:rPr>
        <w:t>production of</w:t>
      </w:r>
      <w:r>
        <w:rPr>
          <w:spacing w:val="-1"/>
          <w:sz w:val="24"/>
        </w:rPr>
        <w:t> </w:t>
      </w:r>
      <w:r>
        <w:rPr>
          <w:sz w:val="24"/>
        </w:rPr>
        <w:t>an objective</w:t>
      </w:r>
      <w:r>
        <w:rPr>
          <w:spacing w:val="-1"/>
          <w:sz w:val="24"/>
        </w:rPr>
        <w:t> </w:t>
      </w:r>
      <w:r>
        <w:rPr>
          <w:sz w:val="24"/>
        </w:rPr>
        <w:t>estimate</w:t>
      </w:r>
      <w:r>
        <w:rPr>
          <w:spacing w:val="-1"/>
          <w:sz w:val="24"/>
        </w:rPr>
        <w:t> </w:t>
      </w:r>
      <w:r>
        <w:rPr>
          <w:sz w:val="24"/>
        </w:rPr>
        <w:t>based on the</w:t>
      </w:r>
      <w:r>
        <w:rPr>
          <w:spacing w:val="-1"/>
          <w:sz w:val="24"/>
        </w:rPr>
        <w:t> </w:t>
      </w:r>
      <w:r>
        <w:rPr>
          <w:sz w:val="24"/>
        </w:rPr>
        <w:t>Bills of</w:t>
      </w:r>
      <w:r>
        <w:rPr>
          <w:spacing w:val="-1"/>
          <w:sz w:val="24"/>
        </w:rPr>
        <w:t> </w:t>
      </w:r>
      <w:r>
        <w:rPr>
          <w:sz w:val="24"/>
        </w:rPr>
        <w:t>Quantities in view</w:t>
      </w:r>
      <w:r>
        <w:rPr>
          <w:spacing w:val="-1"/>
          <w:sz w:val="24"/>
        </w:rPr>
        <w:t> </w:t>
      </w:r>
      <w:r>
        <w:rPr>
          <w:sz w:val="24"/>
        </w:rPr>
        <w:t>of</w:t>
      </w:r>
      <w:r>
        <w:rPr>
          <w:spacing w:val="-1"/>
          <w:sz w:val="24"/>
        </w:rPr>
        <w:t> </w:t>
      </w:r>
      <w:r>
        <w:rPr>
          <w:sz w:val="24"/>
        </w:rPr>
        <w:t>an adequate, equipped and motivated estimating staff and in line with the MTEF. Third, annual increment of the estimate in view of the economic realities such as inflation and exchange rates. Fourth, the bilateral discussions, defense of proposals and participatory</w:t>
      </w:r>
      <w:r>
        <w:rPr>
          <w:spacing w:val="-3"/>
          <w:sz w:val="24"/>
        </w:rPr>
        <w:t> </w:t>
      </w:r>
      <w:r>
        <w:rPr>
          <w:sz w:val="24"/>
        </w:rPr>
        <w:t>budget forum during this process and lastly, the expected duration of this stage.</w:t>
      </w:r>
    </w:p>
    <w:p>
      <w:pPr>
        <w:pStyle w:val="BodyText"/>
        <w:spacing w:before="139"/>
      </w:pPr>
    </w:p>
    <w:p>
      <w:pPr>
        <w:pStyle w:val="BodyText"/>
        <w:spacing w:line="360" w:lineRule="auto"/>
        <w:ind w:left="120" w:right="1118"/>
        <w:jc w:val="both"/>
      </w:pPr>
      <w:r>
        <w:rPr/>
        <w:t>The primary purpose of the call for proposals (or issuance of the budget circular) is to establish the</w:t>
      </w:r>
      <w:r>
        <w:rPr>
          <w:spacing w:val="-2"/>
        </w:rPr>
        <w:t> </w:t>
      </w:r>
      <w:r>
        <w:rPr/>
        <w:t>budget</w:t>
      </w:r>
      <w:r>
        <w:rPr>
          <w:spacing w:val="-2"/>
        </w:rPr>
        <w:t> </w:t>
      </w:r>
      <w:r>
        <w:rPr/>
        <w:t>or</w:t>
      </w:r>
      <w:r>
        <w:rPr>
          <w:spacing w:val="-2"/>
        </w:rPr>
        <w:t> </w:t>
      </w:r>
      <w:r>
        <w:rPr/>
        <w:t>spending</w:t>
      </w:r>
      <w:r>
        <w:rPr>
          <w:spacing w:val="-5"/>
        </w:rPr>
        <w:t> </w:t>
      </w:r>
      <w:r>
        <w:rPr/>
        <w:t>limits for</w:t>
      </w:r>
      <w:r>
        <w:rPr>
          <w:spacing w:val="-4"/>
        </w:rPr>
        <w:t> </w:t>
      </w:r>
      <w:r>
        <w:rPr/>
        <w:t>the</w:t>
      </w:r>
      <w:r>
        <w:rPr>
          <w:spacing w:val="-2"/>
        </w:rPr>
        <w:t> </w:t>
      </w:r>
      <w:r>
        <w:rPr/>
        <w:t>housing</w:t>
      </w:r>
      <w:r>
        <w:rPr>
          <w:spacing w:val="-5"/>
        </w:rPr>
        <w:t> </w:t>
      </w:r>
      <w:r>
        <w:rPr/>
        <w:t>sector.</w:t>
      </w:r>
      <w:r>
        <w:rPr>
          <w:spacing w:val="-2"/>
        </w:rPr>
        <w:t> </w:t>
      </w:r>
      <w:r>
        <w:rPr/>
        <w:t>This</w:t>
      </w:r>
      <w:r>
        <w:rPr>
          <w:spacing w:val="-1"/>
        </w:rPr>
        <w:t> </w:t>
      </w:r>
      <w:r>
        <w:rPr/>
        <w:t>activity/document</w:t>
      </w:r>
      <w:r>
        <w:rPr>
          <w:spacing w:val="-1"/>
        </w:rPr>
        <w:t> </w:t>
      </w:r>
      <w:r>
        <w:rPr/>
        <w:t>is</w:t>
      </w:r>
      <w:r>
        <w:rPr>
          <w:spacing w:val="-2"/>
        </w:rPr>
        <w:t> </w:t>
      </w:r>
      <w:r>
        <w:rPr/>
        <w:t>usually</w:t>
      </w:r>
      <w:r>
        <w:rPr>
          <w:spacing w:val="-5"/>
        </w:rPr>
        <w:t> </w:t>
      </w:r>
      <w:r>
        <w:rPr/>
        <w:t>carried</w:t>
      </w:r>
      <w:r>
        <w:rPr>
          <w:spacing w:val="-2"/>
        </w:rPr>
        <w:t> </w:t>
      </w:r>
      <w:r>
        <w:rPr/>
        <w:t>out or issued by the Ministry of Budget and Economic Planning to the Ministry of Housing. It is imperative that the housing budget ceiling be based on objective and verifiable criteria such as contribution to GDP and/or an established formula or percentage based on the IGR and Federal allocation of the State.</w:t>
      </w:r>
      <w:r>
        <w:rPr>
          <w:spacing w:val="40"/>
        </w:rPr>
        <w:t> </w:t>
      </w:r>
      <w:r>
        <w:rPr/>
        <w:t>The GDP is considered a good criterion for stipulating budget ceiling. GDP is commonly used as an </w:t>
      </w:r>
      <w:hyperlink r:id="rId213">
        <w:r>
          <w:rPr/>
          <w:t>indicator</w:t>
        </w:r>
      </w:hyperlink>
      <w:r>
        <w:rPr>
          <w:spacing w:val="-2"/>
        </w:rPr>
        <w:t> </w:t>
      </w:r>
      <w:r>
        <w:rPr/>
        <w:t>of the economic health of a nation, as well as a gauge of</w:t>
      </w:r>
      <w:r>
        <w:rPr>
          <w:spacing w:val="80"/>
        </w:rPr>
        <w:t> </w:t>
      </w:r>
      <w:r>
        <w:rPr/>
        <w:t>a country's </w:t>
      </w:r>
      <w:hyperlink r:id="rId214">
        <w:r>
          <w:rPr/>
          <w:t>standard of living</w:t>
        </w:r>
      </w:hyperlink>
      <w:r>
        <w:rPr/>
        <w:t>. It is the </w:t>
      </w:r>
      <w:hyperlink r:id="rId215">
        <w:r>
          <w:rPr/>
          <w:t>monetary value</w:t>
        </w:r>
      </w:hyperlink>
      <w:r>
        <w:rPr/>
        <w:t> of all the finished goods and services produced in the country, within a period of one year. In the case of the housing sector in Anambra State, it can be considered not as the total value of completed housing projects, but rather</w:t>
      </w:r>
      <w:r>
        <w:rPr>
          <w:spacing w:val="74"/>
        </w:rPr>
        <w:t> </w:t>
      </w:r>
      <w:r>
        <w:rPr/>
        <w:t>the</w:t>
      </w:r>
      <w:r>
        <w:rPr>
          <w:spacing w:val="78"/>
        </w:rPr>
        <w:t> </w:t>
      </w:r>
      <w:r>
        <w:rPr/>
        <w:t>difference</w:t>
      </w:r>
      <w:r>
        <w:rPr>
          <w:spacing w:val="77"/>
        </w:rPr>
        <w:t> </w:t>
      </w:r>
      <w:r>
        <w:rPr/>
        <w:t>in</w:t>
      </w:r>
      <w:r>
        <w:rPr>
          <w:spacing w:val="51"/>
          <w:w w:val="150"/>
        </w:rPr>
        <w:t> </w:t>
      </w:r>
      <w:r>
        <w:rPr/>
        <w:t>values</w:t>
      </w:r>
      <w:r>
        <w:rPr>
          <w:spacing w:val="77"/>
        </w:rPr>
        <w:t> </w:t>
      </w:r>
      <w:r>
        <w:rPr/>
        <w:t>of</w:t>
      </w:r>
      <w:r>
        <w:rPr>
          <w:spacing w:val="78"/>
        </w:rPr>
        <w:t> </w:t>
      </w:r>
      <w:r>
        <w:rPr/>
        <w:t>the</w:t>
      </w:r>
      <w:r>
        <w:rPr>
          <w:spacing w:val="79"/>
        </w:rPr>
        <w:t> </w:t>
      </w:r>
      <w:r>
        <w:rPr/>
        <w:t>completed</w:t>
      </w:r>
      <w:r>
        <w:rPr>
          <w:spacing w:val="78"/>
        </w:rPr>
        <w:t> </w:t>
      </w:r>
      <w:r>
        <w:rPr/>
        <w:t>projects</w:t>
      </w:r>
      <w:r>
        <w:rPr>
          <w:spacing w:val="78"/>
        </w:rPr>
        <w:t> </w:t>
      </w:r>
      <w:r>
        <w:rPr/>
        <w:t>and</w:t>
      </w:r>
      <w:r>
        <w:rPr>
          <w:spacing w:val="78"/>
        </w:rPr>
        <w:t> </w:t>
      </w:r>
      <w:r>
        <w:rPr/>
        <w:t>the</w:t>
      </w:r>
      <w:r>
        <w:rPr>
          <w:spacing w:val="77"/>
        </w:rPr>
        <w:t> </w:t>
      </w:r>
      <w:r>
        <w:rPr/>
        <w:t>materials</w:t>
      </w:r>
      <w:r>
        <w:rPr>
          <w:spacing w:val="79"/>
        </w:rPr>
        <w:t> </w:t>
      </w:r>
      <w:r>
        <w:rPr/>
        <w:t>used</w:t>
      </w:r>
      <w:r>
        <w:rPr>
          <w:spacing w:val="77"/>
        </w:rPr>
        <w:t> </w:t>
      </w:r>
      <w:r>
        <w:rPr/>
        <w:t>for</w:t>
      </w:r>
      <w:r>
        <w:rPr>
          <w:spacing w:val="78"/>
        </w:rPr>
        <w:t> </w:t>
      </w:r>
      <w:r>
        <w:rPr>
          <w:spacing w:val="-5"/>
        </w:rPr>
        <w:t>the</w:t>
      </w:r>
    </w:p>
    <w:p>
      <w:pPr>
        <w:spacing w:after="0" w:line="360" w:lineRule="auto"/>
        <w:jc w:val="both"/>
        <w:sectPr>
          <w:pgSz w:w="12240" w:h="15840"/>
          <w:pgMar w:header="0" w:footer="1036" w:top="1360" w:bottom="1220" w:left="1320" w:right="320"/>
        </w:sectPr>
      </w:pPr>
    </w:p>
    <w:p>
      <w:pPr>
        <w:pStyle w:val="BodyText"/>
        <w:spacing w:line="360" w:lineRule="auto" w:before="74"/>
        <w:ind w:left="120" w:right="1117"/>
        <w:jc w:val="both"/>
      </w:pPr>
      <w:r>
        <w:rPr/>
        <w:t>construction. Undoubtedly, the argument could arise that there are insufficient funds to execute housing projects, but such verifiable criteria will go a long way to dispel any suspicion of political interference.</w:t>
      </w:r>
    </w:p>
    <w:p>
      <w:pPr>
        <w:pStyle w:val="BodyText"/>
        <w:spacing w:before="138"/>
      </w:pPr>
    </w:p>
    <w:p>
      <w:pPr>
        <w:pStyle w:val="BodyText"/>
        <w:spacing w:line="360" w:lineRule="auto" w:before="1"/>
        <w:ind w:left="120" w:right="1114"/>
        <w:jc w:val="both"/>
      </w:pPr>
      <w:r>
        <w:rPr/>
        <w:t>The quantity surveyor‘s input in the housing budget estimating process cannot be overemphasized. This is because he is the most equipped, amongst all construction and development professionals to provide reliable cost estimate of proposed construction or development projects. He actualizes this by producing a document called the Bills of Quantities (BOQ) which basically provides the quantities, quality and cost of all work items for the proposed project. Thus the BOQ is an objective estimate on which the housing budget should be based. In addition to this, it is pertinent that the prepared housing budget and corresponding projects be spread across a period of 3 – 5 years. This is the import and intent of the Medium Term Expenditure Framework Policy; which is to give ample time for the execution of housing projects, rather than preparing the estimates annually and it is never implemented. It is also important that projects are completed before preparation of new estimates, rather than preparing estimates for work items on the same project annually</w:t>
      </w:r>
      <w:r>
        <w:rPr>
          <w:spacing w:val="-1"/>
        </w:rPr>
        <w:t> </w:t>
      </w:r>
      <w:r>
        <w:rPr/>
        <w:t>and facing the pressure of implementation within a short time frame. This is the crux of the zero based budgeting technique, which this model advocates. It also makes the budgeting process less complex or cumbersome. For the</w:t>
      </w:r>
      <w:r>
        <w:rPr>
          <w:spacing w:val="40"/>
        </w:rPr>
        <w:t> </w:t>
      </w:r>
      <w:r>
        <w:rPr/>
        <w:t>BOQ to be reliable, it is essential in this process, that the estimating staff or quantity surveyors who are responsible for the BOQ preparation, market surveys, site visits are not only</w:t>
      </w:r>
      <w:r>
        <w:rPr>
          <w:spacing w:val="-3"/>
        </w:rPr>
        <w:t> </w:t>
      </w:r>
      <w:r>
        <w:rPr/>
        <w:t>adequate in number due the large number of projects, but they are well motivated (via incentives) and equipped with work tools and vehicles so that they can carry out a thorough, reliable and honest </w:t>
      </w:r>
      <w:r>
        <w:rPr>
          <w:spacing w:val="-4"/>
        </w:rPr>
        <w:t>job.</w:t>
      </w:r>
    </w:p>
    <w:p>
      <w:pPr>
        <w:pStyle w:val="BodyText"/>
        <w:spacing w:before="139"/>
      </w:pPr>
    </w:p>
    <w:p>
      <w:pPr>
        <w:pStyle w:val="BodyText"/>
        <w:spacing w:line="360" w:lineRule="auto"/>
        <w:ind w:left="120" w:right="1116"/>
        <w:jc w:val="both"/>
      </w:pPr>
      <w:r>
        <w:rPr/>
        <w:t>During the Medium Term Expenditure period, there may be need to revise the already prepared estimates in view of inflationary trends and increase in exchange rates which may render the estimates unreliable. After the estimates or proposals have been prepared, and it is time for bilateral discussions, the representative of the Ministry of Housing (usually the permanent secretary, and directors) must convincingly and boldly defend their estimates/proposals in front of the budget staff from the Ministry of Budget and Economic Planning by justifying every cost item.</w:t>
      </w:r>
      <w:r>
        <w:rPr>
          <w:spacing w:val="18"/>
        </w:rPr>
        <w:t> </w:t>
      </w:r>
      <w:r>
        <w:rPr/>
        <w:t>That</w:t>
      </w:r>
      <w:r>
        <w:rPr>
          <w:spacing w:val="20"/>
        </w:rPr>
        <w:t> </w:t>
      </w:r>
      <w:r>
        <w:rPr/>
        <w:t>is</w:t>
      </w:r>
      <w:r>
        <w:rPr>
          <w:spacing w:val="18"/>
        </w:rPr>
        <w:t> </w:t>
      </w:r>
      <w:r>
        <w:rPr/>
        <w:t>why</w:t>
      </w:r>
      <w:r>
        <w:rPr>
          <w:spacing w:val="13"/>
        </w:rPr>
        <w:t> </w:t>
      </w:r>
      <w:r>
        <w:rPr/>
        <w:t>they</w:t>
      </w:r>
      <w:r>
        <w:rPr>
          <w:spacing w:val="17"/>
        </w:rPr>
        <w:t> </w:t>
      </w:r>
      <w:r>
        <w:rPr/>
        <w:t>must</w:t>
      </w:r>
      <w:r>
        <w:rPr>
          <w:spacing w:val="21"/>
        </w:rPr>
        <w:t> </w:t>
      </w:r>
      <w:r>
        <w:rPr/>
        <w:t>be</w:t>
      </w:r>
      <w:r>
        <w:rPr>
          <w:spacing w:val="22"/>
        </w:rPr>
        <w:t> </w:t>
      </w:r>
      <w:r>
        <w:rPr/>
        <w:t>well</w:t>
      </w:r>
      <w:r>
        <w:rPr>
          <w:spacing w:val="21"/>
        </w:rPr>
        <w:t> </w:t>
      </w:r>
      <w:r>
        <w:rPr/>
        <w:t>acquainted</w:t>
      </w:r>
      <w:r>
        <w:rPr>
          <w:spacing w:val="20"/>
        </w:rPr>
        <w:t> </w:t>
      </w:r>
      <w:r>
        <w:rPr/>
        <w:t>with</w:t>
      </w:r>
      <w:r>
        <w:rPr>
          <w:spacing w:val="20"/>
        </w:rPr>
        <w:t> </w:t>
      </w:r>
      <w:r>
        <w:rPr/>
        <w:t>the</w:t>
      </w:r>
      <w:r>
        <w:rPr>
          <w:spacing w:val="19"/>
        </w:rPr>
        <w:t> </w:t>
      </w:r>
      <w:r>
        <w:rPr/>
        <w:t>submitted</w:t>
      </w:r>
      <w:r>
        <w:rPr>
          <w:spacing w:val="20"/>
        </w:rPr>
        <w:t> </w:t>
      </w:r>
      <w:r>
        <w:rPr/>
        <w:t>estimate</w:t>
      </w:r>
      <w:r>
        <w:rPr>
          <w:spacing w:val="19"/>
        </w:rPr>
        <w:t> </w:t>
      </w:r>
      <w:r>
        <w:rPr/>
        <w:t>and</w:t>
      </w:r>
      <w:r>
        <w:rPr>
          <w:spacing w:val="20"/>
        </w:rPr>
        <w:t> </w:t>
      </w:r>
      <w:r>
        <w:rPr/>
        <w:t>work</w:t>
      </w:r>
      <w:r>
        <w:rPr>
          <w:spacing w:val="21"/>
        </w:rPr>
        <w:t> </w:t>
      </w:r>
      <w:r>
        <w:rPr>
          <w:spacing w:val="-2"/>
        </w:rPr>
        <w:t>together</w:t>
      </w:r>
    </w:p>
    <w:p>
      <w:pPr>
        <w:spacing w:after="0" w:line="360" w:lineRule="auto"/>
        <w:jc w:val="both"/>
        <w:sectPr>
          <w:pgSz w:w="12240" w:h="15840"/>
          <w:pgMar w:header="0" w:footer="1036" w:top="1360" w:bottom="1220" w:left="1320" w:right="320"/>
        </w:sectPr>
      </w:pPr>
    </w:p>
    <w:p>
      <w:pPr>
        <w:pStyle w:val="BodyText"/>
        <w:spacing w:line="360" w:lineRule="auto" w:before="74"/>
        <w:ind w:left="120" w:right="1115"/>
        <w:jc w:val="both"/>
      </w:pPr>
      <w:r>
        <w:rPr/>
        <w:t>with the quantity surveyors, planning, research and statistics and accounts departments to enable them answer any questions that may arise and justify the estimates when it exceeds the budget ceiling. The citizens must also be invited and carried along during this stage via a participatory budget forum. Here, representatives of town unions, youths, market woman, religious organizations should be present to witness the decisions made at this stage and make their inputs and observations where necessary. It should be understood their presence is not to alter the estimates or influence decisions but to make sure that any change to the estimate is rational, objective and entirely justified or not so much as to affect the scope of the intended housing projects. The budget preparation stage should not be rushed, since the execution stage depends</w:t>
      </w:r>
      <w:r>
        <w:rPr>
          <w:spacing w:val="40"/>
        </w:rPr>
        <w:t> </w:t>
      </w:r>
      <w:r>
        <w:rPr/>
        <w:t>on it, hence the period of at least three months is proposed by the model.</w:t>
      </w:r>
    </w:p>
    <w:p>
      <w:pPr>
        <w:pStyle w:val="BodyText"/>
        <w:spacing w:before="138"/>
      </w:pPr>
    </w:p>
    <w:p>
      <w:pPr>
        <w:pStyle w:val="ListParagraph"/>
        <w:numPr>
          <w:ilvl w:val="0"/>
          <w:numId w:val="102"/>
        </w:numPr>
        <w:tabs>
          <w:tab w:pos="457" w:val="left" w:leader="none"/>
        </w:tabs>
        <w:spacing w:line="360" w:lineRule="auto" w:before="0" w:after="0"/>
        <w:ind w:left="120" w:right="1113" w:firstLine="0"/>
        <w:jc w:val="both"/>
        <w:rPr>
          <w:sz w:val="24"/>
        </w:rPr>
      </w:pPr>
      <w:r>
        <w:rPr>
          <w:b/>
          <w:sz w:val="24"/>
        </w:rPr>
        <w:t>Budget</w:t>
      </w:r>
      <w:r>
        <w:rPr>
          <w:b/>
          <w:spacing w:val="-2"/>
          <w:sz w:val="24"/>
        </w:rPr>
        <w:t> </w:t>
      </w:r>
      <w:r>
        <w:rPr>
          <w:b/>
          <w:sz w:val="24"/>
        </w:rPr>
        <w:t>authorization</w:t>
      </w:r>
      <w:r>
        <w:rPr>
          <w:sz w:val="24"/>
        </w:rPr>
        <w:t>:</w:t>
      </w:r>
      <w:r>
        <w:rPr>
          <w:spacing w:val="-2"/>
          <w:sz w:val="24"/>
        </w:rPr>
        <w:t> </w:t>
      </w:r>
      <w:r>
        <w:rPr>
          <w:sz w:val="24"/>
        </w:rPr>
        <w:t>This</w:t>
      </w:r>
      <w:r>
        <w:rPr>
          <w:spacing w:val="-2"/>
          <w:sz w:val="24"/>
        </w:rPr>
        <w:t> </w:t>
      </w:r>
      <w:r>
        <w:rPr>
          <w:sz w:val="24"/>
        </w:rPr>
        <w:t>stage</w:t>
      </w:r>
      <w:r>
        <w:rPr>
          <w:spacing w:val="-3"/>
          <w:sz w:val="24"/>
        </w:rPr>
        <w:t> </w:t>
      </w:r>
      <w:r>
        <w:rPr>
          <w:sz w:val="24"/>
        </w:rPr>
        <w:t>is</w:t>
      </w:r>
      <w:r>
        <w:rPr>
          <w:spacing w:val="-2"/>
          <w:sz w:val="24"/>
        </w:rPr>
        <w:t> </w:t>
      </w:r>
      <w:r>
        <w:rPr>
          <w:sz w:val="24"/>
        </w:rPr>
        <w:t>largely</w:t>
      </w:r>
      <w:r>
        <w:rPr>
          <w:spacing w:val="-7"/>
          <w:sz w:val="24"/>
        </w:rPr>
        <w:t> </w:t>
      </w:r>
      <w:r>
        <w:rPr>
          <w:sz w:val="24"/>
        </w:rPr>
        <w:t>political,</w:t>
      </w:r>
      <w:r>
        <w:rPr>
          <w:spacing w:val="-2"/>
          <w:sz w:val="24"/>
        </w:rPr>
        <w:t> </w:t>
      </w:r>
      <w:r>
        <w:rPr>
          <w:sz w:val="24"/>
        </w:rPr>
        <w:t>thus,</w:t>
      </w:r>
      <w:r>
        <w:rPr>
          <w:spacing w:val="-2"/>
          <w:sz w:val="24"/>
        </w:rPr>
        <w:t> </w:t>
      </w:r>
      <w:r>
        <w:rPr>
          <w:sz w:val="24"/>
        </w:rPr>
        <w:t>this</w:t>
      </w:r>
      <w:r>
        <w:rPr>
          <w:spacing w:val="-2"/>
          <w:sz w:val="24"/>
        </w:rPr>
        <w:t> </w:t>
      </w:r>
      <w:r>
        <w:rPr>
          <w:sz w:val="24"/>
        </w:rPr>
        <w:t>model</w:t>
      </w:r>
      <w:r>
        <w:rPr>
          <w:spacing w:val="-2"/>
          <w:sz w:val="24"/>
        </w:rPr>
        <w:t> </w:t>
      </w:r>
      <w:r>
        <w:rPr>
          <w:sz w:val="24"/>
        </w:rPr>
        <w:t>advocates</w:t>
      </w:r>
      <w:r>
        <w:rPr>
          <w:spacing w:val="-1"/>
          <w:sz w:val="24"/>
        </w:rPr>
        <w:t> </w:t>
      </w:r>
      <w:r>
        <w:rPr>
          <w:sz w:val="24"/>
        </w:rPr>
        <w:t>that</w:t>
      </w:r>
      <w:r>
        <w:rPr>
          <w:spacing w:val="-2"/>
          <w:sz w:val="24"/>
        </w:rPr>
        <w:t> </w:t>
      </w:r>
      <w:r>
        <w:rPr>
          <w:sz w:val="24"/>
        </w:rPr>
        <w:t>first,</w:t>
      </w:r>
      <w:r>
        <w:rPr>
          <w:spacing w:val="-2"/>
          <w:sz w:val="24"/>
        </w:rPr>
        <w:t> </w:t>
      </w:r>
      <w:r>
        <w:rPr>
          <w:sz w:val="24"/>
        </w:rPr>
        <w:t>the Governor must have housing as a top priority in his agenda or administration. No matter how reliable, accurate and well thought out the housing estimates are, if the Governor has no interest to develop housing infrastructure, the proposal may suffer greatly</w:t>
      </w:r>
      <w:r>
        <w:rPr>
          <w:spacing w:val="-3"/>
          <w:sz w:val="24"/>
        </w:rPr>
        <w:t> </w:t>
      </w:r>
      <w:r>
        <w:rPr>
          <w:sz w:val="24"/>
        </w:rPr>
        <w:t>in implementation. In addition to this, if he has housing as a priority, he must not be easily</w:t>
      </w:r>
      <w:r>
        <w:rPr>
          <w:spacing w:val="-4"/>
          <w:sz w:val="24"/>
        </w:rPr>
        <w:t> </w:t>
      </w:r>
      <w:r>
        <w:rPr>
          <w:sz w:val="24"/>
        </w:rPr>
        <w:t>swayed by</w:t>
      </w:r>
      <w:r>
        <w:rPr>
          <w:spacing w:val="-4"/>
          <w:sz w:val="24"/>
        </w:rPr>
        <w:t> </w:t>
      </w:r>
      <w:r>
        <w:rPr>
          <w:sz w:val="24"/>
        </w:rPr>
        <w:t>the commissioners during the SEC meeting since they will obviously want to push their own individual agenda or ministerial or sectoral needs to the fore. The commissioner for housing must not only be a seasoned</w:t>
      </w:r>
      <w:r>
        <w:rPr>
          <w:spacing w:val="-1"/>
          <w:sz w:val="24"/>
        </w:rPr>
        <w:t> </w:t>
      </w:r>
      <w:r>
        <w:rPr>
          <w:sz w:val="24"/>
        </w:rPr>
        <w:t>housing</w:t>
      </w:r>
      <w:r>
        <w:rPr>
          <w:spacing w:val="-3"/>
          <w:sz w:val="24"/>
        </w:rPr>
        <w:t> </w:t>
      </w:r>
      <w:r>
        <w:rPr>
          <w:sz w:val="24"/>
        </w:rPr>
        <w:t>professional, but must</w:t>
      </w:r>
      <w:r>
        <w:rPr>
          <w:spacing w:val="-2"/>
          <w:sz w:val="24"/>
        </w:rPr>
        <w:t> </w:t>
      </w:r>
      <w:r>
        <w:rPr>
          <w:sz w:val="24"/>
        </w:rPr>
        <w:t>also be</w:t>
      </w:r>
      <w:r>
        <w:rPr>
          <w:spacing w:val="-1"/>
          <w:sz w:val="24"/>
        </w:rPr>
        <w:t> </w:t>
      </w:r>
      <w:r>
        <w:rPr>
          <w:sz w:val="24"/>
        </w:rPr>
        <w:t>able</w:t>
      </w:r>
      <w:r>
        <w:rPr>
          <w:spacing w:val="-1"/>
          <w:sz w:val="24"/>
        </w:rPr>
        <w:t> </w:t>
      </w:r>
      <w:r>
        <w:rPr>
          <w:sz w:val="24"/>
        </w:rPr>
        <w:t>to boldly</w:t>
      </w:r>
      <w:r>
        <w:rPr>
          <w:spacing w:val="-8"/>
          <w:sz w:val="24"/>
        </w:rPr>
        <w:t> </w:t>
      </w:r>
      <w:r>
        <w:rPr>
          <w:sz w:val="24"/>
        </w:rPr>
        <w:t>and confidently</w:t>
      </w:r>
      <w:r>
        <w:rPr>
          <w:spacing w:val="-2"/>
          <w:sz w:val="24"/>
        </w:rPr>
        <w:t> </w:t>
      </w:r>
      <w:r>
        <w:rPr>
          <w:sz w:val="24"/>
        </w:rPr>
        <w:t>defend and justify the housing budget proposal.</w:t>
      </w:r>
    </w:p>
    <w:p>
      <w:pPr>
        <w:pStyle w:val="BodyText"/>
        <w:spacing w:before="139"/>
      </w:pPr>
    </w:p>
    <w:p>
      <w:pPr>
        <w:pStyle w:val="BodyText"/>
        <w:spacing w:line="360" w:lineRule="auto"/>
        <w:ind w:left="120" w:right="1116"/>
        <w:jc w:val="both"/>
      </w:pPr>
      <w:r>
        <w:rPr/>
        <w:t>When the proposal must have been sent to the legislature for approval and passage, via the Governor in his budget speech, the members of the House of Assembly who will scrutinize it must also be</w:t>
      </w:r>
      <w:r>
        <w:rPr>
          <w:spacing w:val="-1"/>
        </w:rPr>
        <w:t> </w:t>
      </w:r>
      <w:r>
        <w:rPr/>
        <w:t>knowledgeable</w:t>
      </w:r>
      <w:r>
        <w:rPr>
          <w:spacing w:val="-1"/>
        </w:rPr>
        <w:t> </w:t>
      </w:r>
      <w:r>
        <w:rPr/>
        <w:t>so as not to make</w:t>
      </w:r>
      <w:r>
        <w:rPr>
          <w:spacing w:val="-2"/>
        </w:rPr>
        <w:t> </w:t>
      </w:r>
      <w:r>
        <w:rPr/>
        <w:t>a</w:t>
      </w:r>
      <w:r>
        <w:rPr>
          <w:spacing w:val="-1"/>
        </w:rPr>
        <w:t> </w:t>
      </w:r>
      <w:r>
        <w:rPr/>
        <w:t>mess of</w:t>
      </w:r>
      <w:r>
        <w:rPr>
          <w:spacing w:val="-1"/>
        </w:rPr>
        <w:t> </w:t>
      </w:r>
      <w:r>
        <w:rPr/>
        <w:t>the</w:t>
      </w:r>
      <w:r>
        <w:rPr>
          <w:spacing w:val="-1"/>
        </w:rPr>
        <w:t> </w:t>
      </w:r>
      <w:r>
        <w:rPr/>
        <w:t>submitted</w:t>
      </w:r>
      <w:r>
        <w:rPr>
          <w:spacing w:val="-1"/>
        </w:rPr>
        <w:t> </w:t>
      </w:r>
      <w:r>
        <w:rPr/>
        <w:t>proposal. Where</w:t>
      </w:r>
      <w:r>
        <w:rPr>
          <w:spacing w:val="-2"/>
        </w:rPr>
        <w:t> </w:t>
      </w:r>
      <w:r>
        <w:rPr/>
        <w:t>in doubt, they can seek clarifications from the commissioner for housing and organize public hearings. Again, the commissioner must show thorough knowledge and confidence to defend or explain</w:t>
      </w:r>
      <w:r>
        <w:rPr>
          <w:spacing w:val="40"/>
        </w:rPr>
        <w:t> </w:t>
      </w:r>
      <w:r>
        <w:rPr/>
        <w:t>the housing proposal. After the proposal has been passed and approved by the legislature and assented</w:t>
      </w:r>
      <w:r>
        <w:rPr>
          <w:spacing w:val="-2"/>
        </w:rPr>
        <w:t> </w:t>
      </w:r>
      <w:r>
        <w:rPr/>
        <w:t>to</w:t>
      </w:r>
      <w:r>
        <w:rPr>
          <w:spacing w:val="-2"/>
        </w:rPr>
        <w:t> </w:t>
      </w:r>
      <w:r>
        <w:rPr/>
        <w:t>by</w:t>
      </w:r>
      <w:r>
        <w:rPr>
          <w:spacing w:val="-7"/>
        </w:rPr>
        <w:t> </w:t>
      </w:r>
      <w:r>
        <w:rPr/>
        <w:t>the</w:t>
      </w:r>
      <w:r>
        <w:rPr>
          <w:spacing w:val="-1"/>
        </w:rPr>
        <w:t> </w:t>
      </w:r>
      <w:r>
        <w:rPr/>
        <w:t>Governor,</w:t>
      </w:r>
      <w:r>
        <w:rPr>
          <w:spacing w:val="-2"/>
        </w:rPr>
        <w:t> </w:t>
      </w:r>
      <w:r>
        <w:rPr/>
        <w:t>it</w:t>
      </w:r>
      <w:r>
        <w:rPr>
          <w:spacing w:val="-2"/>
        </w:rPr>
        <w:t> </w:t>
      </w:r>
      <w:r>
        <w:rPr/>
        <w:t>now</w:t>
      </w:r>
      <w:r>
        <w:rPr>
          <w:spacing w:val="-2"/>
        </w:rPr>
        <w:t> </w:t>
      </w:r>
      <w:r>
        <w:rPr/>
        <w:t>becomes</w:t>
      </w:r>
      <w:r>
        <w:rPr>
          <w:spacing w:val="-2"/>
        </w:rPr>
        <w:t> </w:t>
      </w:r>
      <w:r>
        <w:rPr/>
        <w:t>a legal working</w:t>
      </w:r>
      <w:r>
        <w:rPr>
          <w:spacing w:val="-5"/>
        </w:rPr>
        <w:t> </w:t>
      </w:r>
      <w:r>
        <w:rPr/>
        <w:t>document and</w:t>
      </w:r>
      <w:r>
        <w:rPr>
          <w:spacing w:val="-2"/>
        </w:rPr>
        <w:t> </w:t>
      </w:r>
      <w:r>
        <w:rPr/>
        <w:t>all</w:t>
      </w:r>
      <w:r>
        <w:rPr>
          <w:spacing w:val="-2"/>
        </w:rPr>
        <w:t> </w:t>
      </w:r>
      <w:r>
        <w:rPr/>
        <w:t>measures</w:t>
      </w:r>
      <w:r>
        <w:rPr>
          <w:spacing w:val="-2"/>
        </w:rPr>
        <w:t> </w:t>
      </w:r>
      <w:r>
        <w:rPr/>
        <w:t>must</w:t>
      </w:r>
      <w:r>
        <w:rPr>
          <w:spacing w:val="-2"/>
        </w:rPr>
        <w:t> </w:t>
      </w:r>
      <w:r>
        <w:rPr/>
        <w:t>be taken to ensure timely release of funds for the housing projects before tenders are called and not releasing funds in piece meal. The Accountant – General will be instrumental to actualizing this.</w:t>
      </w:r>
    </w:p>
    <w:p>
      <w:pPr>
        <w:spacing w:after="0" w:line="360" w:lineRule="auto"/>
        <w:jc w:val="both"/>
        <w:sectPr>
          <w:pgSz w:w="12240" w:h="15840"/>
          <w:pgMar w:header="0" w:footer="1036" w:top="1360" w:bottom="1220" w:left="1320" w:right="320"/>
        </w:sectPr>
      </w:pPr>
    </w:p>
    <w:p>
      <w:pPr>
        <w:pStyle w:val="BodyText"/>
        <w:spacing w:line="360" w:lineRule="auto" w:before="74"/>
        <w:ind w:left="120" w:right="1112"/>
        <w:jc w:val="both"/>
      </w:pPr>
      <w:r>
        <w:rPr/>
        <w:t>The citizens or populace should also be informed of the housing budget allocation by hardcopy</w:t>
      </w:r>
      <w:r>
        <w:rPr>
          <w:spacing w:val="40"/>
        </w:rPr>
        <w:t> </w:t>
      </w:r>
      <w:r>
        <w:rPr/>
        <w:t>or internet publication or dissemination. In addition to this there should be an appropriate mechanism for</w:t>
      </w:r>
      <w:r>
        <w:rPr>
          <w:spacing w:val="-2"/>
        </w:rPr>
        <w:t> </w:t>
      </w:r>
      <w:r>
        <w:rPr/>
        <w:t>monitoring housing</w:t>
      </w:r>
      <w:r>
        <w:rPr>
          <w:spacing w:val="-3"/>
        </w:rPr>
        <w:t> </w:t>
      </w:r>
      <w:r>
        <w:rPr/>
        <w:t>funds</w:t>
      </w:r>
      <w:r>
        <w:rPr>
          <w:spacing w:val="-1"/>
        </w:rPr>
        <w:t> </w:t>
      </w:r>
      <w:r>
        <w:rPr/>
        <w:t>expenditure</w:t>
      </w:r>
      <w:r>
        <w:rPr>
          <w:spacing w:val="-1"/>
        </w:rPr>
        <w:t> </w:t>
      </w:r>
      <w:r>
        <w:rPr/>
        <w:t>or</w:t>
      </w:r>
      <w:r>
        <w:rPr>
          <w:spacing w:val="-1"/>
        </w:rPr>
        <w:t> </w:t>
      </w:r>
      <w:r>
        <w:rPr/>
        <w:t>use and it should begin as soon as funds are released, to ensure transparency and accountability. The Auditor-General and Accounts Department of the Ministry of Housing will be instrumental to realizing this and hence, must be live up to expectation. The people should also be carried along in this process, by allowing them access to information on expenditure of housing funds. This could be done at periodic intervals via hard copy publications or on-line publications on a dedicated Government website. This model advocates a period of one month for this stage.</w:t>
      </w:r>
    </w:p>
    <w:p>
      <w:pPr>
        <w:pStyle w:val="BodyText"/>
        <w:spacing w:before="139"/>
      </w:pPr>
    </w:p>
    <w:p>
      <w:pPr>
        <w:pStyle w:val="ListParagraph"/>
        <w:numPr>
          <w:ilvl w:val="0"/>
          <w:numId w:val="102"/>
        </w:numPr>
        <w:tabs>
          <w:tab w:pos="478" w:val="left" w:leader="none"/>
        </w:tabs>
        <w:spacing w:line="360" w:lineRule="auto" w:before="0" w:after="0"/>
        <w:ind w:left="120" w:right="1112" w:firstLine="0"/>
        <w:jc w:val="both"/>
        <w:rPr>
          <w:sz w:val="24"/>
        </w:rPr>
      </w:pPr>
      <w:r>
        <w:rPr>
          <w:b/>
          <w:sz w:val="24"/>
        </w:rPr>
        <w:t>Budget execution and control</w:t>
      </w:r>
      <w:r>
        <w:rPr>
          <w:sz w:val="24"/>
        </w:rPr>
        <w:t>: This stage of the model sets the housing budget in motion especially after funds for housing projects have been released. It is considered an important aspect of this model because it signals the selection of experienced and competent contractors to execute the housing project, which marks the beginning of the housing budget implementation. Mistakes or inefficiencies made</w:t>
      </w:r>
      <w:r>
        <w:rPr>
          <w:spacing w:val="-1"/>
          <w:sz w:val="24"/>
        </w:rPr>
        <w:t> </w:t>
      </w:r>
      <w:r>
        <w:rPr>
          <w:sz w:val="24"/>
        </w:rPr>
        <w:t>at this stage may</w:t>
      </w:r>
      <w:r>
        <w:rPr>
          <w:spacing w:val="-2"/>
          <w:sz w:val="24"/>
        </w:rPr>
        <w:t> </w:t>
      </w:r>
      <w:r>
        <w:rPr>
          <w:sz w:val="24"/>
        </w:rPr>
        <w:t>lead to an unhappy</w:t>
      </w:r>
      <w:r>
        <w:rPr>
          <w:spacing w:val="-4"/>
          <w:sz w:val="24"/>
        </w:rPr>
        <w:t> </w:t>
      </w:r>
      <w:r>
        <w:rPr>
          <w:sz w:val="24"/>
        </w:rPr>
        <w:t>client (the</w:t>
      </w:r>
      <w:r>
        <w:rPr>
          <w:spacing w:val="-1"/>
          <w:sz w:val="24"/>
        </w:rPr>
        <w:t> </w:t>
      </w:r>
      <w:r>
        <w:rPr>
          <w:sz w:val="24"/>
        </w:rPr>
        <w:t>Government), an insolvent contractor, project delays, cost overruns and even abandonment, hence, resulting to non-delivery</w:t>
      </w:r>
      <w:r>
        <w:rPr>
          <w:spacing w:val="-4"/>
          <w:sz w:val="24"/>
        </w:rPr>
        <w:t> </w:t>
      </w:r>
      <w:r>
        <w:rPr>
          <w:sz w:val="24"/>
        </w:rPr>
        <w:t>of housing projects to the intended beneficiaries. It comprises the tendering</w:t>
      </w:r>
      <w:r>
        <w:rPr>
          <w:spacing w:val="-1"/>
          <w:sz w:val="24"/>
        </w:rPr>
        <w:t> </w:t>
      </w:r>
      <w:r>
        <w:rPr>
          <w:sz w:val="24"/>
        </w:rPr>
        <w:t>process which includes the invitation to tender, tender evaluation and contract award. The open, competitive tendering method is strongly advocated, to ensure transparency. Sequel to this, it is pertinent that tenders are invited and submitted early enough; It should not exceed 3 weeks depending on the complexity and scope of the project. Contract award should be based on a thorough and objective quantity surveyor‘s evaluation of the quality of pricing, manpower, technical (plant and equipment) and financial resources of the tenderers and good track record. Care must be taken to ensure that selection is not just based on the lowest tender, but the lowest responsive tender; which is; the tenderer with the lowest bid, who meets the afore-mentioned requirements or criteria for prequalification. At this stage too, it is essential that funds released are also monitored, especially with respect to advance payments or mobilization fee to the successful</w:t>
      </w:r>
      <w:r>
        <w:rPr>
          <w:spacing w:val="-1"/>
          <w:sz w:val="24"/>
        </w:rPr>
        <w:t> </w:t>
      </w:r>
      <w:r>
        <w:rPr>
          <w:sz w:val="24"/>
        </w:rPr>
        <w:t>contractor. Lastly,</w:t>
      </w:r>
      <w:r>
        <w:rPr>
          <w:spacing w:val="-1"/>
          <w:sz w:val="24"/>
        </w:rPr>
        <w:t> </w:t>
      </w:r>
      <w:r>
        <w:rPr>
          <w:sz w:val="24"/>
        </w:rPr>
        <w:t>the</w:t>
      </w:r>
      <w:r>
        <w:rPr>
          <w:spacing w:val="-2"/>
          <w:sz w:val="24"/>
        </w:rPr>
        <w:t> </w:t>
      </w:r>
      <w:r>
        <w:rPr>
          <w:sz w:val="24"/>
        </w:rPr>
        <w:t>model</w:t>
      </w:r>
      <w:r>
        <w:rPr>
          <w:spacing w:val="-1"/>
          <w:sz w:val="24"/>
        </w:rPr>
        <w:t> </w:t>
      </w:r>
      <w:r>
        <w:rPr>
          <w:sz w:val="24"/>
        </w:rPr>
        <w:t>proposes that</w:t>
      </w:r>
      <w:r>
        <w:rPr>
          <w:spacing w:val="-1"/>
          <w:sz w:val="24"/>
        </w:rPr>
        <w:t> </w:t>
      </w:r>
      <w:r>
        <w:rPr>
          <w:sz w:val="24"/>
        </w:rPr>
        <w:t>not</w:t>
      </w:r>
      <w:r>
        <w:rPr>
          <w:spacing w:val="-1"/>
          <w:sz w:val="24"/>
        </w:rPr>
        <w:t> </w:t>
      </w:r>
      <w:r>
        <w:rPr>
          <w:sz w:val="24"/>
        </w:rPr>
        <w:t>more</w:t>
      </w:r>
      <w:r>
        <w:rPr>
          <w:spacing w:val="-3"/>
          <w:sz w:val="24"/>
        </w:rPr>
        <w:t> </w:t>
      </w:r>
      <w:r>
        <w:rPr>
          <w:sz w:val="24"/>
        </w:rPr>
        <w:t>than</w:t>
      </w:r>
      <w:r>
        <w:rPr>
          <w:spacing w:val="-2"/>
          <w:sz w:val="24"/>
        </w:rPr>
        <w:t> </w:t>
      </w:r>
      <w:r>
        <w:rPr>
          <w:sz w:val="24"/>
        </w:rPr>
        <w:t>3</w:t>
      </w:r>
      <w:r>
        <w:rPr>
          <w:spacing w:val="-4"/>
          <w:sz w:val="24"/>
        </w:rPr>
        <w:t> </w:t>
      </w:r>
      <w:r>
        <w:rPr>
          <w:sz w:val="24"/>
        </w:rPr>
        <w:t>months</w:t>
      </w:r>
      <w:r>
        <w:rPr>
          <w:spacing w:val="-1"/>
          <w:sz w:val="24"/>
        </w:rPr>
        <w:t> </w:t>
      </w:r>
      <w:r>
        <w:rPr>
          <w:sz w:val="24"/>
        </w:rPr>
        <w:t>should</w:t>
      </w:r>
      <w:r>
        <w:rPr>
          <w:spacing w:val="-1"/>
          <w:sz w:val="24"/>
        </w:rPr>
        <w:t> </w:t>
      </w:r>
      <w:r>
        <w:rPr>
          <w:sz w:val="24"/>
        </w:rPr>
        <w:t>be</w:t>
      </w:r>
      <w:r>
        <w:rPr>
          <w:spacing w:val="-2"/>
          <w:sz w:val="24"/>
        </w:rPr>
        <w:t> </w:t>
      </w:r>
      <w:r>
        <w:rPr>
          <w:sz w:val="24"/>
        </w:rPr>
        <w:t>spent</w:t>
      </w:r>
      <w:r>
        <w:rPr>
          <w:spacing w:val="-4"/>
          <w:sz w:val="24"/>
        </w:rPr>
        <w:t> </w:t>
      </w:r>
      <w:r>
        <w:rPr>
          <w:sz w:val="24"/>
        </w:rPr>
        <w:t>by the relevant procurement department or tender board on this stage.</w:t>
      </w:r>
    </w:p>
    <w:p>
      <w:pPr>
        <w:spacing w:after="0" w:line="360" w:lineRule="auto"/>
        <w:jc w:val="both"/>
        <w:rPr>
          <w:sz w:val="24"/>
        </w:rPr>
        <w:sectPr>
          <w:pgSz w:w="12240" w:h="15840"/>
          <w:pgMar w:header="0" w:footer="1036" w:top="1360" w:bottom="1220" w:left="1320" w:right="320"/>
        </w:sectPr>
      </w:pPr>
    </w:p>
    <w:p>
      <w:pPr>
        <w:pStyle w:val="ListParagraph"/>
        <w:numPr>
          <w:ilvl w:val="0"/>
          <w:numId w:val="102"/>
        </w:numPr>
        <w:tabs>
          <w:tab w:pos="479" w:val="left" w:leader="none"/>
        </w:tabs>
        <w:spacing w:line="360" w:lineRule="auto" w:before="74" w:after="0"/>
        <w:ind w:left="120" w:right="1117" w:firstLine="0"/>
        <w:jc w:val="both"/>
        <w:rPr>
          <w:sz w:val="24"/>
        </w:rPr>
      </w:pPr>
      <w:r>
        <w:rPr>
          <w:b/>
          <w:sz w:val="24"/>
        </w:rPr>
        <w:t>Budget monitoring, evaluation and feedback</w:t>
      </w:r>
      <w:r>
        <w:rPr>
          <w:sz w:val="24"/>
        </w:rPr>
        <w:t>: This stage is very crucial to the success of the housing budget performance model. It is in fact so critical, that if poorly done, the housing budget implementation will be greatly compromised and efforts made at previous stages will be wasted. The key elements required at this stage of the model are: first; proper inspection/supervision and monitoring of ongoing housing projects in view of the availability of capable manpower, site vehicles and other relevant logistics. Second, periodic interim valuation of works executed and prompt payments to contractors as at when due. Third, community based monitoring and reporting by members of the community, where the housing projects are situate and lastly, budget performance review and reporting mechanism at periodic intervals and at project closure.</w:t>
      </w:r>
    </w:p>
    <w:p>
      <w:pPr>
        <w:pStyle w:val="BodyText"/>
        <w:spacing w:before="71"/>
      </w:pPr>
    </w:p>
    <w:p>
      <w:pPr>
        <w:pStyle w:val="BodyText"/>
        <w:spacing w:line="360" w:lineRule="auto"/>
        <w:ind w:left="120" w:right="1116"/>
        <w:jc w:val="both"/>
      </w:pPr>
      <w:r>
        <w:rPr/>
        <w:t>Project supervision/inspection and monitoring should be carried out jointly by motivated and competent staff of the Ministry of Housing and Ministry of Budget and Economic Planning.</w:t>
      </w:r>
      <w:r>
        <w:rPr>
          <w:spacing w:val="40"/>
        </w:rPr>
        <w:t> </w:t>
      </w:r>
      <w:r>
        <w:rPr/>
        <w:t>They should also be equipped with the necessary tools and site vehicles to facilitate movement and ensure wider coverage of the project sites. When contractors see dedication and seriousness on the part of the client, they will also be forced to sit up and ensure speedy progress of the works. Work progress will also depend to a large extent on prompt payment by the Government after interim valuations have been carried out by the quantity surveyors. Delays in contractor‘s‘ payments could greatly hamper implementation, thereby leading to duration overruns. This scenario could in turn increase contract cost due to fluctuations, thereby leading to budget revisions and deferments which further complicates the housing budget process. During the progress of the works, members of the community (possibly through representatives) where the projects are ongoing must be given access to independently monitor the works and make their comments, findings and observations and reports</w:t>
      </w:r>
      <w:r>
        <w:rPr>
          <w:spacing w:val="40"/>
        </w:rPr>
        <w:t> </w:t>
      </w:r>
      <w:r>
        <w:rPr/>
        <w:t>through appropriate channels of communication</w:t>
      </w:r>
      <w:r>
        <w:rPr>
          <w:spacing w:val="40"/>
        </w:rPr>
        <w:t> </w:t>
      </w:r>
      <w:r>
        <w:rPr/>
        <w:t>or mass (print and electronic) media. This dual (government- community) monitoring will help checkmate the lapses of the government especially when projects are suddenly stopped or progress is very slow.</w:t>
      </w:r>
    </w:p>
    <w:p>
      <w:pPr>
        <w:pStyle w:val="BodyText"/>
        <w:spacing w:before="138"/>
      </w:pPr>
    </w:p>
    <w:p>
      <w:pPr>
        <w:pStyle w:val="BodyText"/>
        <w:spacing w:line="360" w:lineRule="auto"/>
        <w:ind w:left="120" w:right="1114"/>
        <w:jc w:val="both"/>
      </w:pPr>
      <w:r>
        <w:rPr/>
        <w:t>During the progress of the works and after the completion of the housing project, this model advocates strongly, that a monthly or quarterly budget performance review and reporting</w:t>
      </w:r>
      <w:r>
        <w:rPr>
          <w:spacing w:val="40"/>
        </w:rPr>
        <w:t> </w:t>
      </w:r>
      <w:r>
        <w:rPr/>
        <w:t>exercise</w:t>
      </w:r>
      <w:r>
        <w:rPr>
          <w:spacing w:val="-2"/>
        </w:rPr>
        <w:t> </w:t>
      </w:r>
      <w:r>
        <w:rPr/>
        <w:t>is</w:t>
      </w:r>
      <w:r>
        <w:rPr>
          <w:spacing w:val="1"/>
        </w:rPr>
        <w:t> </w:t>
      </w:r>
      <w:r>
        <w:rPr/>
        <w:t>carried out.</w:t>
      </w:r>
      <w:r>
        <w:rPr>
          <w:spacing w:val="4"/>
        </w:rPr>
        <w:t> </w:t>
      </w:r>
      <w:r>
        <w:rPr/>
        <w:t>The</w:t>
      </w:r>
      <w:r>
        <w:rPr>
          <w:spacing w:val="-1"/>
        </w:rPr>
        <w:t> </w:t>
      </w:r>
      <w:r>
        <w:rPr/>
        <w:t>Ministry</w:t>
      </w:r>
      <w:r>
        <w:rPr>
          <w:spacing w:val="-7"/>
        </w:rPr>
        <w:t> </w:t>
      </w:r>
      <w:r>
        <w:rPr/>
        <w:t>of</w:t>
      </w:r>
      <w:r>
        <w:rPr>
          <w:spacing w:val="1"/>
        </w:rPr>
        <w:t> </w:t>
      </w:r>
      <w:r>
        <w:rPr/>
        <w:t>Budget</w:t>
      </w:r>
      <w:r>
        <w:rPr>
          <w:spacing w:val="1"/>
        </w:rPr>
        <w:t> </w:t>
      </w:r>
      <w:r>
        <w:rPr/>
        <w:t>and</w:t>
      </w:r>
      <w:r>
        <w:rPr>
          <w:spacing w:val="1"/>
        </w:rPr>
        <w:t> </w:t>
      </w:r>
      <w:r>
        <w:rPr/>
        <w:t>Economic Planning</w:t>
      </w:r>
      <w:r>
        <w:rPr>
          <w:spacing w:val="-1"/>
        </w:rPr>
        <w:t> </w:t>
      </w:r>
      <w:r>
        <w:rPr/>
        <w:t>should</w:t>
      </w:r>
      <w:r>
        <w:rPr>
          <w:spacing w:val="1"/>
        </w:rPr>
        <w:t> </w:t>
      </w:r>
      <w:r>
        <w:rPr/>
        <w:t>be</w:t>
      </w:r>
      <w:r>
        <w:rPr>
          <w:spacing w:val="6"/>
        </w:rPr>
        <w:t> </w:t>
      </w:r>
      <w:r>
        <w:rPr/>
        <w:t>instrumental</w:t>
      </w:r>
      <w:r>
        <w:rPr>
          <w:spacing w:val="2"/>
        </w:rPr>
        <w:t> </w:t>
      </w:r>
      <w:r>
        <w:rPr>
          <w:spacing w:val="-5"/>
        </w:rPr>
        <w:t>to</w:t>
      </w:r>
    </w:p>
    <w:p>
      <w:pPr>
        <w:spacing w:after="0" w:line="360" w:lineRule="auto"/>
        <w:jc w:val="both"/>
        <w:sectPr>
          <w:pgSz w:w="12240" w:h="15840"/>
          <w:pgMar w:header="0" w:footer="1036" w:top="1360" w:bottom="1220" w:left="1320" w:right="320"/>
        </w:sectPr>
      </w:pPr>
    </w:p>
    <w:p>
      <w:pPr>
        <w:pStyle w:val="BodyText"/>
        <w:spacing w:line="360" w:lineRule="auto" w:before="74"/>
        <w:ind w:left="120" w:right="1114"/>
        <w:jc w:val="both"/>
      </w:pPr>
      <w:r>
        <w:rPr/>
        <w:t>this and fully involved in this exercise. This will help keep projects and any related expenditure issues that arise on track by ensuring that standards are maintained/attained, current performance is measured and corrective actions taken to ensure that there is improved quality of projects executed. There</w:t>
      </w:r>
      <w:r>
        <w:rPr>
          <w:spacing w:val="-1"/>
        </w:rPr>
        <w:t> </w:t>
      </w:r>
      <w:r>
        <w:rPr/>
        <w:t>should also be</w:t>
      </w:r>
      <w:r>
        <w:rPr>
          <w:spacing w:val="-1"/>
        </w:rPr>
        <w:t> </w:t>
      </w:r>
      <w:r>
        <w:rPr/>
        <w:t>a form</w:t>
      </w:r>
      <w:r>
        <w:rPr>
          <w:spacing w:val="-1"/>
        </w:rPr>
        <w:t> </w:t>
      </w:r>
      <w:r>
        <w:rPr/>
        <w:t>of feedback mechanism to ensure</w:t>
      </w:r>
      <w:r>
        <w:rPr>
          <w:spacing w:val="-1"/>
        </w:rPr>
        <w:t> </w:t>
      </w:r>
      <w:r>
        <w:rPr/>
        <w:t>that the</w:t>
      </w:r>
      <w:r>
        <w:rPr>
          <w:spacing w:val="-1"/>
        </w:rPr>
        <w:t> </w:t>
      </w:r>
      <w:r>
        <w:rPr/>
        <w:t>Government via the Ministry of Housing performs better and learns from the outcome of their decisions to help them improve on future housing projects.</w:t>
      </w:r>
    </w:p>
    <w:p>
      <w:pPr>
        <w:pStyle w:val="BodyText"/>
        <w:spacing w:before="70"/>
      </w:pPr>
    </w:p>
    <w:p>
      <w:pPr>
        <w:pStyle w:val="BodyText"/>
        <w:spacing w:line="360" w:lineRule="auto"/>
        <w:ind w:left="120" w:right="1116"/>
        <w:jc w:val="both"/>
      </w:pPr>
      <w:r>
        <w:rPr/>
        <w:t>Summarily, the housing budget performance model is an effective, graphical, cognitive and descriptive tool that would guide the public sector or Government of Anambra State, specifically the Ministries of Housing, Budget and economic Planning on how to carryout effective and efficient management of the</w:t>
      </w:r>
      <w:r>
        <w:rPr>
          <w:spacing w:val="-1"/>
        </w:rPr>
        <w:t> </w:t>
      </w:r>
      <w:r>
        <w:rPr/>
        <w:t>housing budget process in its entirety. The</w:t>
      </w:r>
      <w:r>
        <w:rPr>
          <w:spacing w:val="-1"/>
        </w:rPr>
        <w:t> </w:t>
      </w:r>
      <w:r>
        <w:rPr/>
        <w:t>implication of</w:t>
      </w:r>
      <w:r>
        <w:rPr>
          <w:spacing w:val="-1"/>
        </w:rPr>
        <w:t> </w:t>
      </w:r>
      <w:r>
        <w:rPr/>
        <w:t>this model is that it would</w:t>
      </w:r>
      <w:r>
        <w:rPr>
          <w:spacing w:val="-1"/>
        </w:rPr>
        <w:t> </w:t>
      </w:r>
      <w:r>
        <w:rPr/>
        <w:t>ensure that housing</w:t>
      </w:r>
      <w:r>
        <w:rPr>
          <w:spacing w:val="-1"/>
        </w:rPr>
        <w:t> </w:t>
      </w:r>
      <w:r>
        <w:rPr/>
        <w:t>budget activities are</w:t>
      </w:r>
      <w:r>
        <w:rPr>
          <w:spacing w:val="-1"/>
        </w:rPr>
        <w:t> </w:t>
      </w:r>
      <w:r>
        <w:rPr/>
        <w:t>focused on sufficient funding/allocation, rational considerations (political, economic, legal, financial, demographic and technical factors), efficient preparation, authorization, allocation, timing, execution, utilization of funds and monitoring</w:t>
      </w:r>
      <w:r>
        <w:rPr>
          <w:spacing w:val="-1"/>
        </w:rPr>
        <w:t> </w:t>
      </w:r>
      <w:r>
        <w:rPr/>
        <w:t>of the budget implementation.</w:t>
      </w:r>
      <w:r>
        <w:rPr>
          <w:spacing w:val="40"/>
        </w:rPr>
        <w:t> </w:t>
      </w:r>
      <w:r>
        <w:rPr/>
        <w:t>Finally, the model is</w:t>
      </w:r>
      <w:r>
        <w:rPr>
          <w:spacing w:val="-1"/>
        </w:rPr>
        <w:t> </w:t>
      </w:r>
      <w:r>
        <w:rPr/>
        <w:t>concerned with making</w:t>
      </w:r>
      <w:r>
        <w:rPr>
          <w:spacing w:val="-1"/>
        </w:rPr>
        <w:t> </w:t>
      </w:r>
      <w:r>
        <w:rPr/>
        <w:t>sure that the interest of the citizens (users) is of utmost priority. These are ultimately geared towards achieving effective housing delivery in Anambra State.</w:t>
      </w:r>
    </w:p>
    <w:p>
      <w:pPr>
        <w:pStyle w:val="BodyText"/>
      </w:pPr>
    </w:p>
    <w:p>
      <w:pPr>
        <w:pStyle w:val="BodyText"/>
        <w:spacing w:before="110"/>
      </w:pPr>
    </w:p>
    <w:p>
      <w:pPr>
        <w:pStyle w:val="Heading3"/>
        <w:numPr>
          <w:ilvl w:val="1"/>
          <w:numId w:val="81"/>
        </w:numPr>
        <w:tabs>
          <w:tab w:pos="649" w:val="left" w:leader="none"/>
        </w:tabs>
        <w:spacing w:line="240" w:lineRule="auto" w:before="0" w:after="0"/>
        <w:ind w:left="120" w:right="1115" w:firstLine="0"/>
        <w:jc w:val="left"/>
      </w:pPr>
      <w:r>
        <w:rPr/>
        <w:t>Approach</w:t>
      </w:r>
      <w:r>
        <w:rPr>
          <w:spacing w:val="40"/>
        </w:rPr>
        <w:t> </w:t>
      </w:r>
      <w:r>
        <w:rPr/>
        <w:t>or</w:t>
      </w:r>
      <w:r>
        <w:rPr>
          <w:spacing w:val="40"/>
        </w:rPr>
        <w:t> </w:t>
      </w:r>
      <w:r>
        <w:rPr/>
        <w:t>Framework</w:t>
      </w:r>
      <w:r>
        <w:rPr>
          <w:spacing w:val="40"/>
        </w:rPr>
        <w:t> </w:t>
      </w:r>
      <w:r>
        <w:rPr/>
        <w:t>for</w:t>
      </w:r>
      <w:r>
        <w:rPr>
          <w:spacing w:val="40"/>
        </w:rPr>
        <w:t> </w:t>
      </w:r>
      <w:r>
        <w:rPr/>
        <w:t>Effective</w:t>
      </w:r>
      <w:r>
        <w:rPr>
          <w:spacing w:val="40"/>
        </w:rPr>
        <w:t> </w:t>
      </w:r>
      <w:r>
        <w:rPr/>
        <w:t>Housing</w:t>
      </w:r>
      <w:r>
        <w:rPr>
          <w:spacing w:val="40"/>
        </w:rPr>
        <w:t> </w:t>
      </w:r>
      <w:r>
        <w:rPr/>
        <w:t>Budget</w:t>
      </w:r>
      <w:r>
        <w:rPr>
          <w:spacing w:val="40"/>
        </w:rPr>
        <w:t> </w:t>
      </w:r>
      <w:r>
        <w:rPr/>
        <w:t>Implementation</w:t>
      </w:r>
      <w:r>
        <w:rPr>
          <w:spacing w:val="40"/>
        </w:rPr>
        <w:t> </w:t>
      </w:r>
      <w:r>
        <w:rPr/>
        <w:t>in</w:t>
      </w:r>
      <w:r>
        <w:rPr>
          <w:spacing w:val="80"/>
        </w:rPr>
        <w:t> </w:t>
      </w:r>
      <w:r>
        <w:rPr/>
        <w:t>Anambra State</w:t>
      </w:r>
    </w:p>
    <w:p>
      <w:pPr>
        <w:pStyle w:val="BodyText"/>
        <w:spacing w:before="12"/>
        <w:rPr>
          <w:b/>
          <w:sz w:val="26"/>
        </w:rPr>
      </w:pPr>
    </w:p>
    <w:p>
      <w:pPr>
        <w:pStyle w:val="BodyText"/>
        <w:spacing w:line="360" w:lineRule="auto"/>
        <w:ind w:left="120" w:right="1114"/>
        <w:jc w:val="both"/>
      </w:pPr>
      <w:r>
        <w:rPr/>
        <w:t>One of the problems identified by this research is that housing budget implementation in Anambra State is still poor. A contributory factor to this poor implementation is the lack of framework or template adopted/used by</w:t>
      </w:r>
      <w:r>
        <w:rPr>
          <w:spacing w:val="-3"/>
        </w:rPr>
        <w:t> </w:t>
      </w:r>
      <w:r>
        <w:rPr/>
        <w:t>the Government to monitor or track budget performance during</w:t>
      </w:r>
      <w:r>
        <w:rPr>
          <w:spacing w:val="-5"/>
        </w:rPr>
        <w:t> </w:t>
      </w:r>
      <w:r>
        <w:rPr/>
        <w:t>housing</w:t>
      </w:r>
      <w:r>
        <w:rPr>
          <w:spacing w:val="-5"/>
        </w:rPr>
        <w:t> </w:t>
      </w:r>
      <w:r>
        <w:rPr/>
        <w:t>budget</w:t>
      </w:r>
      <w:r>
        <w:rPr>
          <w:spacing w:val="-1"/>
        </w:rPr>
        <w:t> </w:t>
      </w:r>
      <w:r>
        <w:rPr/>
        <w:t>implementation</w:t>
      </w:r>
      <w:r>
        <w:rPr>
          <w:spacing w:val="-2"/>
        </w:rPr>
        <w:t> </w:t>
      </w:r>
      <w:r>
        <w:rPr/>
        <w:t>and</w:t>
      </w:r>
      <w:r>
        <w:rPr>
          <w:spacing w:val="-2"/>
        </w:rPr>
        <w:t> </w:t>
      </w:r>
      <w:r>
        <w:rPr/>
        <w:t>review</w:t>
      </w:r>
      <w:r>
        <w:rPr>
          <w:spacing w:val="-1"/>
        </w:rPr>
        <w:t> </w:t>
      </w:r>
      <w:r>
        <w:rPr/>
        <w:t>the</w:t>
      </w:r>
      <w:r>
        <w:rPr>
          <w:spacing w:val="-2"/>
        </w:rPr>
        <w:t> </w:t>
      </w:r>
      <w:r>
        <w:rPr/>
        <w:t>already</w:t>
      </w:r>
      <w:r>
        <w:rPr>
          <w:spacing w:val="-7"/>
        </w:rPr>
        <w:t> </w:t>
      </w:r>
      <w:r>
        <w:rPr/>
        <w:t>implemented</w:t>
      </w:r>
      <w:r>
        <w:rPr>
          <w:spacing w:val="-2"/>
        </w:rPr>
        <w:t> </w:t>
      </w:r>
      <w:r>
        <w:rPr/>
        <w:t>housing</w:t>
      </w:r>
      <w:r>
        <w:rPr>
          <w:spacing w:val="-4"/>
        </w:rPr>
        <w:t> </w:t>
      </w:r>
      <w:r>
        <w:rPr/>
        <w:t>budget.</w:t>
      </w:r>
      <w:r>
        <w:rPr>
          <w:spacing w:val="-2"/>
        </w:rPr>
        <w:t> </w:t>
      </w:r>
      <w:r>
        <w:rPr/>
        <w:t>This will facilitate the correction of mistakes made in the implementation of previous housing</w:t>
      </w:r>
      <w:r>
        <w:rPr>
          <w:spacing w:val="40"/>
        </w:rPr>
        <w:t> </w:t>
      </w:r>
      <w:r>
        <w:rPr/>
        <w:t>budgets.</w:t>
      </w:r>
      <w:r>
        <w:rPr>
          <w:spacing w:val="80"/>
        </w:rPr>
        <w:t> </w:t>
      </w:r>
      <w:r>
        <w:rPr/>
        <w:t>In the light of the foregoing, this research developed and advances templates or guides for housing budget performance monitoring and review (</w:t>
      </w:r>
      <w:r>
        <w:rPr>
          <w:i/>
        </w:rPr>
        <w:t>see appendix 3</w:t>
      </w:r>
      <w:r>
        <w:rPr/>
        <w:t>). The following sections explain the contents of these templates.</w:t>
      </w:r>
    </w:p>
    <w:p>
      <w:pPr>
        <w:spacing w:after="0" w:line="360" w:lineRule="auto"/>
        <w:jc w:val="both"/>
        <w:sectPr>
          <w:pgSz w:w="12240" w:h="15840"/>
          <w:pgMar w:header="0" w:footer="1036" w:top="1360" w:bottom="1220" w:left="1320" w:right="320"/>
        </w:sectPr>
      </w:pPr>
    </w:p>
    <w:p>
      <w:pPr>
        <w:pStyle w:val="Heading3"/>
        <w:numPr>
          <w:ilvl w:val="2"/>
          <w:numId w:val="81"/>
        </w:numPr>
        <w:tabs>
          <w:tab w:pos="832" w:val="left" w:leader="none"/>
        </w:tabs>
        <w:spacing w:line="240" w:lineRule="auto" w:before="60" w:after="0"/>
        <w:ind w:left="120" w:right="1118" w:firstLine="0"/>
        <w:jc w:val="both"/>
      </w:pPr>
      <w:r>
        <w:rPr/>
        <w:t>The Proposed Housing Budget Performance Monitoring Template for Anambra State</w:t>
      </w:r>
    </w:p>
    <w:p>
      <w:pPr>
        <w:pStyle w:val="BodyText"/>
        <w:spacing w:line="360" w:lineRule="auto" w:before="205"/>
        <w:ind w:left="120" w:right="1117"/>
        <w:jc w:val="both"/>
      </w:pPr>
      <w:r>
        <w:rPr/>
        <w:t>The proposed housing budget performance monitoring template (</w:t>
      </w:r>
      <w:r>
        <w:rPr>
          <w:i/>
        </w:rPr>
        <w:t>see appendix 3</w:t>
      </w:r>
      <w:r>
        <w:rPr/>
        <w:t>) is intended to address the following issues.</w:t>
      </w:r>
    </w:p>
    <w:p>
      <w:pPr>
        <w:pStyle w:val="ListParagraph"/>
        <w:numPr>
          <w:ilvl w:val="0"/>
          <w:numId w:val="103"/>
        </w:numPr>
        <w:tabs>
          <w:tab w:pos="479" w:val="left" w:leader="none"/>
        </w:tabs>
        <w:spacing w:line="240" w:lineRule="auto" w:before="0" w:after="0"/>
        <w:ind w:left="479" w:right="0" w:hanging="359"/>
        <w:jc w:val="both"/>
        <w:rPr>
          <w:sz w:val="24"/>
        </w:rPr>
      </w:pPr>
      <w:r>
        <w:rPr>
          <w:sz w:val="24"/>
        </w:rPr>
        <w:t>How</w:t>
      </w:r>
      <w:r>
        <w:rPr>
          <w:spacing w:val="-4"/>
          <w:sz w:val="24"/>
        </w:rPr>
        <w:t> </w:t>
      </w:r>
      <w:r>
        <w:rPr>
          <w:sz w:val="24"/>
        </w:rPr>
        <w:t>effective</w:t>
      </w:r>
      <w:r>
        <w:rPr>
          <w:spacing w:val="-1"/>
          <w:sz w:val="24"/>
        </w:rPr>
        <w:t> </w:t>
      </w:r>
      <w:r>
        <w:rPr>
          <w:sz w:val="24"/>
        </w:rPr>
        <w:t>the</w:t>
      </w:r>
      <w:r>
        <w:rPr>
          <w:spacing w:val="-1"/>
          <w:sz w:val="24"/>
        </w:rPr>
        <w:t> </w:t>
      </w:r>
      <w:r>
        <w:rPr>
          <w:sz w:val="24"/>
        </w:rPr>
        <w:t>housing</w:t>
      </w:r>
      <w:r>
        <w:rPr>
          <w:spacing w:val="-3"/>
          <w:sz w:val="24"/>
        </w:rPr>
        <w:t> </w:t>
      </w:r>
      <w:r>
        <w:rPr>
          <w:sz w:val="24"/>
        </w:rPr>
        <w:t>budget</w:t>
      </w:r>
      <w:r>
        <w:rPr>
          <w:spacing w:val="-1"/>
          <w:sz w:val="24"/>
        </w:rPr>
        <w:t> </w:t>
      </w:r>
      <w:r>
        <w:rPr>
          <w:sz w:val="24"/>
        </w:rPr>
        <w:t>or</w:t>
      </w:r>
      <w:r>
        <w:rPr>
          <w:spacing w:val="1"/>
          <w:sz w:val="24"/>
        </w:rPr>
        <w:t> </w:t>
      </w:r>
      <w:r>
        <w:rPr>
          <w:sz w:val="24"/>
        </w:rPr>
        <w:t>project</w:t>
      </w:r>
      <w:r>
        <w:rPr>
          <w:spacing w:val="-1"/>
          <w:sz w:val="24"/>
        </w:rPr>
        <w:t> </w:t>
      </w:r>
      <w:r>
        <w:rPr>
          <w:sz w:val="24"/>
        </w:rPr>
        <w:t>has been</w:t>
      </w:r>
      <w:r>
        <w:rPr>
          <w:spacing w:val="-1"/>
          <w:sz w:val="24"/>
        </w:rPr>
        <w:t> </w:t>
      </w:r>
      <w:r>
        <w:rPr>
          <w:sz w:val="24"/>
        </w:rPr>
        <w:t>in achieving</w:t>
      </w:r>
      <w:r>
        <w:rPr>
          <w:spacing w:val="-3"/>
          <w:sz w:val="24"/>
        </w:rPr>
        <w:t> </w:t>
      </w:r>
      <w:r>
        <w:rPr>
          <w:sz w:val="24"/>
        </w:rPr>
        <w:t>its objectives</w:t>
      </w:r>
      <w:r>
        <w:rPr>
          <w:spacing w:val="-1"/>
          <w:sz w:val="24"/>
        </w:rPr>
        <w:t> </w:t>
      </w:r>
      <w:r>
        <w:rPr>
          <w:sz w:val="24"/>
        </w:rPr>
        <w:t>and</w:t>
      </w:r>
      <w:r>
        <w:rPr>
          <w:spacing w:val="-1"/>
          <w:sz w:val="24"/>
        </w:rPr>
        <w:t> </w:t>
      </w:r>
      <w:r>
        <w:rPr>
          <w:spacing w:val="-2"/>
          <w:sz w:val="24"/>
        </w:rPr>
        <w:t>targets;</w:t>
      </w:r>
    </w:p>
    <w:p>
      <w:pPr>
        <w:pStyle w:val="ListParagraph"/>
        <w:numPr>
          <w:ilvl w:val="0"/>
          <w:numId w:val="103"/>
        </w:numPr>
        <w:tabs>
          <w:tab w:pos="480" w:val="left" w:leader="none"/>
          <w:tab w:pos="510" w:val="left" w:leader="none"/>
        </w:tabs>
        <w:spacing w:line="360" w:lineRule="auto" w:before="140" w:after="0"/>
        <w:ind w:left="480" w:right="1118" w:hanging="360"/>
        <w:jc w:val="both"/>
        <w:rPr>
          <w:sz w:val="24"/>
        </w:rPr>
      </w:pPr>
      <w:r>
        <w:rPr>
          <w:sz w:val="24"/>
        </w:rPr>
        <w:tab/>
        <w:t>Whether the housing</w:t>
      </w:r>
      <w:r>
        <w:rPr>
          <w:spacing w:val="-1"/>
          <w:sz w:val="24"/>
        </w:rPr>
        <w:t> </w:t>
      </w:r>
      <w:r>
        <w:rPr>
          <w:sz w:val="24"/>
        </w:rPr>
        <w:t>budget or housing</w:t>
      </w:r>
      <w:r>
        <w:rPr>
          <w:spacing w:val="-1"/>
          <w:sz w:val="24"/>
        </w:rPr>
        <w:t> </w:t>
      </w:r>
      <w:r>
        <w:rPr>
          <w:sz w:val="24"/>
        </w:rPr>
        <w:t>project has been executed in an efficient manner that justifies continued funding;</w:t>
      </w:r>
    </w:p>
    <w:p>
      <w:pPr>
        <w:pStyle w:val="ListParagraph"/>
        <w:numPr>
          <w:ilvl w:val="0"/>
          <w:numId w:val="103"/>
        </w:numPr>
        <w:tabs>
          <w:tab w:pos="480" w:val="left" w:leader="none"/>
          <w:tab w:pos="486" w:val="left" w:leader="none"/>
        </w:tabs>
        <w:spacing w:line="360" w:lineRule="auto" w:before="0" w:after="0"/>
        <w:ind w:left="480" w:right="1125" w:hanging="360"/>
        <w:jc w:val="both"/>
        <w:rPr>
          <w:sz w:val="24"/>
        </w:rPr>
      </w:pPr>
      <w:r>
        <w:rPr>
          <w:sz w:val="24"/>
        </w:rPr>
        <w:tab/>
        <w:t>Examine the extent or degree to which the beneficiaries of the project have been affected (positively or negatively) or whether implementation of the projects has improved the living standard of the beneficiaries;</w:t>
      </w:r>
    </w:p>
    <w:p>
      <w:pPr>
        <w:pStyle w:val="ListParagraph"/>
        <w:numPr>
          <w:ilvl w:val="0"/>
          <w:numId w:val="103"/>
        </w:numPr>
        <w:tabs>
          <w:tab w:pos="480" w:val="left" w:leader="none"/>
          <w:tab w:pos="498" w:val="left" w:leader="none"/>
        </w:tabs>
        <w:spacing w:line="360" w:lineRule="auto" w:before="0" w:after="0"/>
        <w:ind w:left="480" w:right="1117" w:hanging="360"/>
        <w:jc w:val="both"/>
        <w:rPr>
          <w:sz w:val="24"/>
        </w:rPr>
      </w:pPr>
      <w:r>
        <w:rPr>
          <w:sz w:val="24"/>
        </w:rPr>
        <w:tab/>
        <w:t>Ascertain</w:t>
      </w:r>
      <w:r>
        <w:rPr>
          <w:spacing w:val="-3"/>
          <w:sz w:val="24"/>
        </w:rPr>
        <w:t> </w:t>
      </w:r>
      <w:r>
        <w:rPr>
          <w:sz w:val="24"/>
        </w:rPr>
        <w:t>the</w:t>
      </w:r>
      <w:r>
        <w:rPr>
          <w:spacing w:val="-4"/>
          <w:sz w:val="24"/>
        </w:rPr>
        <w:t> </w:t>
      </w:r>
      <w:r>
        <w:rPr>
          <w:sz w:val="24"/>
        </w:rPr>
        <w:t>degree</w:t>
      </w:r>
      <w:r>
        <w:rPr>
          <w:spacing w:val="-2"/>
          <w:sz w:val="24"/>
        </w:rPr>
        <w:t> </w:t>
      </w:r>
      <w:r>
        <w:rPr>
          <w:sz w:val="24"/>
        </w:rPr>
        <w:t>of</w:t>
      </w:r>
      <w:r>
        <w:rPr>
          <w:spacing w:val="-4"/>
          <w:sz w:val="24"/>
        </w:rPr>
        <w:t> </w:t>
      </w:r>
      <w:r>
        <w:rPr>
          <w:sz w:val="24"/>
        </w:rPr>
        <w:t>acceptance</w:t>
      </w:r>
      <w:r>
        <w:rPr>
          <w:spacing w:val="-4"/>
          <w:sz w:val="24"/>
        </w:rPr>
        <w:t> </w:t>
      </w:r>
      <w:r>
        <w:rPr>
          <w:sz w:val="24"/>
        </w:rPr>
        <w:t>and</w:t>
      </w:r>
      <w:r>
        <w:rPr>
          <w:spacing w:val="-1"/>
          <w:sz w:val="24"/>
        </w:rPr>
        <w:t> </w:t>
      </w:r>
      <w:r>
        <w:rPr>
          <w:sz w:val="24"/>
        </w:rPr>
        <w:t>cooperation</w:t>
      </w:r>
      <w:r>
        <w:rPr>
          <w:spacing w:val="-3"/>
          <w:sz w:val="24"/>
        </w:rPr>
        <w:t> </w:t>
      </w:r>
      <w:r>
        <w:rPr>
          <w:sz w:val="24"/>
        </w:rPr>
        <w:t>from</w:t>
      </w:r>
      <w:r>
        <w:rPr>
          <w:spacing w:val="-3"/>
          <w:sz w:val="24"/>
        </w:rPr>
        <w:t> </w:t>
      </w:r>
      <w:r>
        <w:rPr>
          <w:sz w:val="24"/>
        </w:rPr>
        <w:t>the</w:t>
      </w:r>
      <w:r>
        <w:rPr>
          <w:spacing w:val="-4"/>
          <w:sz w:val="24"/>
        </w:rPr>
        <w:t> </w:t>
      </w:r>
      <w:r>
        <w:rPr>
          <w:sz w:val="24"/>
        </w:rPr>
        <w:t>target</w:t>
      </w:r>
      <w:r>
        <w:rPr>
          <w:spacing w:val="-3"/>
          <w:sz w:val="24"/>
        </w:rPr>
        <w:t> </w:t>
      </w:r>
      <w:r>
        <w:rPr>
          <w:sz w:val="24"/>
        </w:rPr>
        <w:t>beneficiaries</w:t>
      </w:r>
      <w:r>
        <w:rPr>
          <w:spacing w:val="-3"/>
          <w:sz w:val="24"/>
        </w:rPr>
        <w:t> </w:t>
      </w:r>
      <w:r>
        <w:rPr>
          <w:sz w:val="24"/>
        </w:rPr>
        <w:t>or</w:t>
      </w:r>
      <w:r>
        <w:rPr>
          <w:spacing w:val="-3"/>
          <w:sz w:val="24"/>
        </w:rPr>
        <w:t> </w:t>
      </w:r>
      <w:r>
        <w:rPr>
          <w:sz w:val="24"/>
        </w:rPr>
        <w:t>the</w:t>
      </w:r>
      <w:r>
        <w:rPr>
          <w:spacing w:val="-2"/>
          <w:sz w:val="24"/>
        </w:rPr>
        <w:t> </w:t>
      </w:r>
      <w:r>
        <w:rPr>
          <w:sz w:val="24"/>
        </w:rPr>
        <w:t>extent to which the housing project is addressing the needs of the beneficiaries; and</w:t>
      </w:r>
    </w:p>
    <w:p>
      <w:pPr>
        <w:pStyle w:val="ListParagraph"/>
        <w:numPr>
          <w:ilvl w:val="0"/>
          <w:numId w:val="104"/>
        </w:numPr>
        <w:tabs>
          <w:tab w:pos="480" w:val="left" w:leader="none"/>
          <w:tab w:pos="486" w:val="left" w:leader="none"/>
        </w:tabs>
        <w:spacing w:line="360" w:lineRule="auto" w:before="0" w:after="0"/>
        <w:ind w:left="480" w:right="1122" w:hanging="360"/>
        <w:jc w:val="both"/>
        <w:rPr>
          <w:sz w:val="24"/>
        </w:rPr>
      </w:pPr>
      <w:r>
        <w:rPr>
          <w:sz w:val="24"/>
        </w:rPr>
        <w:tab/>
        <w:t>Examine the factors or events that have impacted on the implementation and performance of the housing budget or project.</w:t>
      </w:r>
    </w:p>
    <w:p>
      <w:pPr>
        <w:pStyle w:val="BodyText"/>
        <w:spacing w:before="138"/>
      </w:pPr>
    </w:p>
    <w:p>
      <w:pPr>
        <w:pStyle w:val="BodyText"/>
        <w:spacing w:line="360" w:lineRule="auto" w:before="1"/>
        <w:ind w:left="120" w:right="1113"/>
        <w:jc w:val="both"/>
      </w:pPr>
      <w:r>
        <w:rPr/>
        <w:t>The housing budget performance monitoring should be followed by a reporting mechanism that should focus on and report performance at various levels of objectives and targets including input(resources; men, money, machine, materials), activities (tasks carried out by the Government or out sourced), output(expected levels of service derivable from using the inputs and comprises targets set to be achieved), outcome(expected benefits of the outputs that are created and delivered as a result of the use of a given unit of input) and impacts (ultimate improvement in standard of living which a community enjoys from the direct or indirect provision of housing).</w:t>
      </w:r>
    </w:p>
    <w:p>
      <w:pPr>
        <w:pStyle w:val="BodyText"/>
        <w:spacing w:before="22"/>
      </w:pPr>
    </w:p>
    <w:p>
      <w:pPr>
        <w:pStyle w:val="BodyText"/>
        <w:ind w:left="120"/>
        <w:jc w:val="both"/>
      </w:pPr>
      <w:r>
        <w:rPr/>
        <w:t>The</w:t>
      </w:r>
      <w:r>
        <w:rPr>
          <w:spacing w:val="-3"/>
        </w:rPr>
        <w:t> </w:t>
      </w:r>
      <w:r>
        <w:rPr/>
        <w:t>proposed</w:t>
      </w:r>
      <w:r>
        <w:rPr>
          <w:spacing w:val="-1"/>
        </w:rPr>
        <w:t> </w:t>
      </w:r>
      <w:r>
        <w:rPr/>
        <w:t>performance monitoring</w:t>
      </w:r>
      <w:r>
        <w:rPr>
          <w:spacing w:val="-3"/>
        </w:rPr>
        <w:t> </w:t>
      </w:r>
      <w:r>
        <w:rPr/>
        <w:t>template</w:t>
      </w:r>
      <w:r>
        <w:rPr>
          <w:spacing w:val="-1"/>
        </w:rPr>
        <w:t> </w:t>
      </w:r>
      <w:r>
        <w:rPr/>
        <w:t>comprises the</w:t>
      </w:r>
      <w:r>
        <w:rPr>
          <w:spacing w:val="-1"/>
        </w:rPr>
        <w:t> </w:t>
      </w:r>
      <w:r>
        <w:rPr/>
        <w:t>following</w:t>
      </w:r>
      <w:r>
        <w:rPr>
          <w:spacing w:val="-3"/>
        </w:rPr>
        <w:t> </w:t>
      </w:r>
      <w:r>
        <w:rPr>
          <w:spacing w:val="-2"/>
        </w:rPr>
        <w:t>items:</w:t>
      </w:r>
    </w:p>
    <w:p>
      <w:pPr>
        <w:pStyle w:val="ListParagraph"/>
        <w:numPr>
          <w:ilvl w:val="1"/>
          <w:numId w:val="104"/>
        </w:numPr>
        <w:tabs>
          <w:tab w:pos="840" w:val="left" w:leader="none"/>
        </w:tabs>
        <w:spacing w:line="360" w:lineRule="auto" w:before="260" w:after="0"/>
        <w:ind w:left="840" w:right="1116" w:hanging="360"/>
        <w:jc w:val="both"/>
        <w:rPr>
          <w:sz w:val="24"/>
        </w:rPr>
      </w:pPr>
      <w:r>
        <w:rPr>
          <w:b/>
          <w:sz w:val="24"/>
        </w:rPr>
        <w:t>Strategic Priority: </w:t>
      </w:r>
      <w:r>
        <w:rPr>
          <w:sz w:val="24"/>
        </w:rPr>
        <w:t>These are values that will enable the Government achieve its budget goals. They can be uncovered by understanding what the organization needs to focus on and pay attention to in order to attain its objectives. In the context of the housing budget. These priorities should include strictly, the erection or construction of housing units/buildings</w:t>
      </w:r>
      <w:r>
        <w:rPr>
          <w:spacing w:val="19"/>
          <w:sz w:val="24"/>
        </w:rPr>
        <w:t> </w:t>
      </w:r>
      <w:r>
        <w:rPr>
          <w:sz w:val="24"/>
        </w:rPr>
        <w:t>depending</w:t>
      </w:r>
      <w:r>
        <w:rPr>
          <w:spacing w:val="17"/>
          <w:sz w:val="24"/>
        </w:rPr>
        <w:t> </w:t>
      </w:r>
      <w:r>
        <w:rPr>
          <w:sz w:val="24"/>
        </w:rPr>
        <w:t>on</w:t>
      </w:r>
      <w:r>
        <w:rPr>
          <w:spacing w:val="18"/>
          <w:sz w:val="24"/>
        </w:rPr>
        <w:t> </w:t>
      </w:r>
      <w:r>
        <w:rPr>
          <w:sz w:val="24"/>
        </w:rPr>
        <w:t>the</w:t>
      </w:r>
      <w:r>
        <w:rPr>
          <w:spacing w:val="17"/>
          <w:sz w:val="24"/>
        </w:rPr>
        <w:t> </w:t>
      </w:r>
      <w:r>
        <w:rPr>
          <w:sz w:val="24"/>
        </w:rPr>
        <w:t>needs</w:t>
      </w:r>
      <w:r>
        <w:rPr>
          <w:spacing w:val="18"/>
          <w:sz w:val="24"/>
        </w:rPr>
        <w:t> </w:t>
      </w:r>
      <w:r>
        <w:rPr>
          <w:sz w:val="24"/>
        </w:rPr>
        <w:t>survey.</w:t>
      </w:r>
      <w:r>
        <w:rPr>
          <w:spacing w:val="22"/>
          <w:sz w:val="24"/>
        </w:rPr>
        <w:t> </w:t>
      </w:r>
      <w:r>
        <w:rPr>
          <w:sz w:val="24"/>
        </w:rPr>
        <w:t>If</w:t>
      </w:r>
      <w:r>
        <w:rPr>
          <w:spacing w:val="16"/>
          <w:sz w:val="24"/>
        </w:rPr>
        <w:t> </w:t>
      </w:r>
      <w:r>
        <w:rPr>
          <w:sz w:val="24"/>
        </w:rPr>
        <w:t>for</w:t>
      </w:r>
      <w:r>
        <w:rPr>
          <w:spacing w:val="16"/>
          <w:sz w:val="24"/>
        </w:rPr>
        <w:t> </w:t>
      </w:r>
      <w:r>
        <w:rPr>
          <w:sz w:val="24"/>
        </w:rPr>
        <w:t>instance,</w:t>
      </w:r>
      <w:r>
        <w:rPr>
          <w:spacing w:val="18"/>
          <w:sz w:val="24"/>
        </w:rPr>
        <w:t> </w:t>
      </w:r>
      <w:r>
        <w:rPr>
          <w:sz w:val="24"/>
        </w:rPr>
        <w:t>the</w:t>
      </w:r>
      <w:r>
        <w:rPr>
          <w:spacing w:val="17"/>
          <w:sz w:val="24"/>
        </w:rPr>
        <w:t> </w:t>
      </w:r>
      <w:r>
        <w:rPr>
          <w:sz w:val="24"/>
        </w:rPr>
        <w:t>priority</w:t>
      </w:r>
      <w:r>
        <w:rPr>
          <w:spacing w:val="15"/>
          <w:sz w:val="24"/>
        </w:rPr>
        <w:t> </w:t>
      </w:r>
      <w:r>
        <w:rPr>
          <w:sz w:val="24"/>
        </w:rPr>
        <w:t>is</w:t>
      </w:r>
      <w:r>
        <w:rPr>
          <w:spacing w:val="19"/>
          <w:sz w:val="24"/>
        </w:rPr>
        <w:t> </w:t>
      </w:r>
      <w:r>
        <w:rPr>
          <w:sz w:val="24"/>
        </w:rPr>
        <w:t>residential</w:t>
      </w:r>
    </w:p>
    <w:p>
      <w:pPr>
        <w:spacing w:after="0" w:line="360" w:lineRule="auto"/>
        <w:jc w:val="both"/>
        <w:rPr>
          <w:sz w:val="24"/>
        </w:rPr>
        <w:sectPr>
          <w:pgSz w:w="12240" w:h="15840"/>
          <w:pgMar w:header="0" w:footer="1036" w:top="1380" w:bottom="1220" w:left="1320" w:right="320"/>
        </w:sectPr>
      </w:pPr>
    </w:p>
    <w:p>
      <w:pPr>
        <w:pStyle w:val="BodyText"/>
        <w:spacing w:line="360" w:lineRule="auto" w:before="74"/>
        <w:ind w:left="840" w:right="1117"/>
      </w:pPr>
      <w:r>
        <w:rPr/>
        <w:t>housing then the strategic priority will be to increase the number of residential housing</w:t>
      </w:r>
      <w:r>
        <w:rPr>
          <w:spacing w:val="80"/>
        </w:rPr>
        <w:t> </w:t>
      </w:r>
      <w:r>
        <w:rPr/>
        <w:t>units of say 2 bedroom flats for State civil servants or low income earners.</w:t>
      </w:r>
    </w:p>
    <w:p>
      <w:pPr>
        <w:pStyle w:val="BodyText"/>
        <w:spacing w:before="92"/>
      </w:pPr>
    </w:p>
    <w:p>
      <w:pPr>
        <w:pStyle w:val="ListParagraph"/>
        <w:numPr>
          <w:ilvl w:val="1"/>
          <w:numId w:val="104"/>
        </w:numPr>
        <w:tabs>
          <w:tab w:pos="838" w:val="left" w:leader="none"/>
          <w:tab w:pos="840" w:val="left" w:leader="none"/>
        </w:tabs>
        <w:spacing w:line="360" w:lineRule="auto" w:before="0" w:after="0"/>
        <w:ind w:left="840" w:right="1115" w:hanging="360"/>
        <w:jc w:val="both"/>
        <w:rPr>
          <w:b/>
          <w:sz w:val="24"/>
        </w:rPr>
      </w:pPr>
      <w:r>
        <w:rPr>
          <w:b/>
          <w:sz w:val="24"/>
        </w:rPr>
        <w:t>Project Objectives: </w:t>
      </w:r>
      <w:r>
        <w:rPr>
          <w:sz w:val="24"/>
        </w:rPr>
        <w:t>These are specific results that the Government aims to achieve within a time frame and with available resources.</w:t>
      </w:r>
      <w:r>
        <w:rPr>
          <w:spacing w:val="40"/>
          <w:sz w:val="24"/>
        </w:rPr>
        <w:t> </w:t>
      </w:r>
      <w:r>
        <w:rPr>
          <w:sz w:val="24"/>
        </w:rPr>
        <w:t>The broad objective for monitoring performance of the housing budget could be to provide say 100 units of 2 bedroom flats</w:t>
      </w:r>
      <w:r>
        <w:rPr>
          <w:spacing w:val="40"/>
          <w:sz w:val="24"/>
        </w:rPr>
        <w:t> </w:t>
      </w:r>
      <w:r>
        <w:rPr>
          <w:sz w:val="24"/>
        </w:rPr>
        <w:t>in a particular community or Local Government Area of the State. However, broad objectives can be further broken down into sub-objectives. These sub-objectives if well implemented or carried out, will ensure the success of the overall objective. Sub- objectives may</w:t>
      </w:r>
      <w:r>
        <w:rPr>
          <w:spacing w:val="-3"/>
          <w:sz w:val="24"/>
        </w:rPr>
        <w:t> </w:t>
      </w:r>
      <w:r>
        <w:rPr>
          <w:sz w:val="24"/>
        </w:rPr>
        <w:t>include:</w:t>
      </w:r>
      <w:r>
        <w:rPr>
          <w:spacing w:val="40"/>
          <w:sz w:val="24"/>
        </w:rPr>
        <w:t> </w:t>
      </w:r>
      <w:r>
        <w:rPr>
          <w:sz w:val="24"/>
        </w:rPr>
        <w:t>to prepare/obtain the project work plan, expenditure projections, cash forecasting, issuance of Due Process (No Objection Certificate), Advance Payment Guarantee(APG), financial statements, interim certificates, cash backing (release of Mandate), audit of annual accounts.</w:t>
      </w:r>
    </w:p>
    <w:p>
      <w:pPr>
        <w:pStyle w:val="BodyText"/>
        <w:spacing w:before="41"/>
      </w:pPr>
    </w:p>
    <w:p>
      <w:pPr>
        <w:pStyle w:val="ListParagraph"/>
        <w:numPr>
          <w:ilvl w:val="1"/>
          <w:numId w:val="104"/>
        </w:numPr>
        <w:tabs>
          <w:tab w:pos="840" w:val="left" w:leader="none"/>
        </w:tabs>
        <w:spacing w:line="360" w:lineRule="auto" w:before="1" w:after="0"/>
        <w:ind w:left="840" w:right="1112" w:hanging="360"/>
        <w:jc w:val="both"/>
        <w:rPr>
          <w:sz w:val="24"/>
        </w:rPr>
      </w:pPr>
      <w:r>
        <w:rPr>
          <w:b/>
          <w:sz w:val="24"/>
        </w:rPr>
        <w:t>Expected Outcome: </w:t>
      </w:r>
      <w:r>
        <w:rPr>
          <w:sz w:val="24"/>
        </w:rPr>
        <w:t>The expected broad outcomes of the housing budget are basically, creation of jobs, availability of shelter and improvement of living standards of the citizens. Specifically, it could be; 100 units of 2 bedroom flats in a particular community will shelter 300 inhabitants of the community, given an average of 3 persons per house.</w:t>
      </w:r>
    </w:p>
    <w:p>
      <w:pPr>
        <w:pStyle w:val="BodyText"/>
        <w:spacing w:before="31"/>
      </w:pPr>
    </w:p>
    <w:p>
      <w:pPr>
        <w:pStyle w:val="ListParagraph"/>
        <w:numPr>
          <w:ilvl w:val="1"/>
          <w:numId w:val="104"/>
        </w:numPr>
        <w:tabs>
          <w:tab w:pos="840" w:val="left" w:leader="none"/>
        </w:tabs>
        <w:spacing w:line="360" w:lineRule="auto" w:before="0" w:after="0"/>
        <w:ind w:left="840" w:right="1115" w:hanging="360"/>
        <w:jc w:val="both"/>
        <w:rPr>
          <w:sz w:val="24"/>
        </w:rPr>
      </w:pPr>
      <w:r>
        <w:rPr>
          <w:b/>
          <w:sz w:val="24"/>
        </w:rPr>
        <w:t>Key Performance Indicators: </w:t>
      </w:r>
      <w:r>
        <w:rPr>
          <w:sz w:val="24"/>
        </w:rPr>
        <w:t>A good budgeting system must have performance indicators for tracking progress during</w:t>
      </w:r>
      <w:r>
        <w:rPr>
          <w:spacing w:val="-1"/>
          <w:sz w:val="24"/>
        </w:rPr>
        <w:t> </w:t>
      </w:r>
      <w:r>
        <w:rPr>
          <w:sz w:val="24"/>
        </w:rPr>
        <w:t>implementation and for benchmarking against key milestones. They are quantifiable metrics or measurable values that can be used by the Government to gauge or compare performance or evaluate their success at reaching targets (Reh, 2010). From the point of view of housing budget monitoring, simple performance indicators that can be considered are the number of 2 bedroom flats erected quarterly or half yearly, number of housing units erected per local government annually, number of people housed or who have benefited from the Government housing scheme, number of jobs created by the ongoing housing schemes or number of indigenous contractors engaged on the housing projects.</w:t>
      </w:r>
    </w:p>
    <w:p>
      <w:pPr>
        <w:spacing w:after="0" w:line="360" w:lineRule="auto"/>
        <w:jc w:val="both"/>
        <w:rPr>
          <w:sz w:val="24"/>
        </w:rPr>
        <w:sectPr>
          <w:pgSz w:w="12240" w:h="15840"/>
          <w:pgMar w:header="0" w:footer="1036" w:top="1360" w:bottom="1220" w:left="1320" w:right="320"/>
        </w:sectPr>
      </w:pPr>
    </w:p>
    <w:p>
      <w:pPr>
        <w:pStyle w:val="ListParagraph"/>
        <w:numPr>
          <w:ilvl w:val="1"/>
          <w:numId w:val="104"/>
        </w:numPr>
        <w:tabs>
          <w:tab w:pos="840" w:val="left" w:leader="none"/>
        </w:tabs>
        <w:spacing w:line="360" w:lineRule="auto" w:before="74" w:after="0"/>
        <w:ind w:left="840" w:right="1115" w:hanging="360"/>
        <w:jc w:val="both"/>
        <w:rPr>
          <w:b/>
          <w:sz w:val="24"/>
        </w:rPr>
      </w:pPr>
      <w:r>
        <w:rPr>
          <w:b/>
          <w:sz w:val="24"/>
        </w:rPr>
        <w:t>Baseline: </w:t>
      </w:r>
      <w:r>
        <w:rPr>
          <w:sz w:val="24"/>
        </w:rPr>
        <w:t>The baseline is the historic point of comparison that can be used to track changes, improvements or growth over time or the starting point from a point of growth. Baseline can also be regarded a benchmark or index that is used as a foundation for measuring or comparing current and past values. In housing budget monitoring for example, possible baselines could be 20 Government erected housing units in a community, 50 persons presently enjoying Government provided housing. These figures can be used subsequently to evaluate how well the number of houses has increased or</w:t>
      </w:r>
      <w:r>
        <w:rPr>
          <w:spacing w:val="40"/>
          <w:sz w:val="24"/>
        </w:rPr>
        <w:t> </w:t>
      </w:r>
      <w:r>
        <w:rPr>
          <w:sz w:val="24"/>
        </w:rPr>
        <w:t>how many more people have benefited from Government provided housing schemes. Negligible deviations or increase in these figures indicates poor performance.</w:t>
      </w:r>
      <w:r>
        <w:rPr>
          <w:spacing w:val="80"/>
          <w:sz w:val="24"/>
        </w:rPr>
        <w:t> </w:t>
      </w:r>
      <w:r>
        <w:rPr>
          <w:sz w:val="24"/>
        </w:rPr>
        <w:t>It should be noted that any year can serve as the baseline or reference year, recent years are however preferable because of similarities in economic conditions. What is important is that it should serve as the basis for the comparison.</w:t>
      </w:r>
    </w:p>
    <w:p>
      <w:pPr>
        <w:pStyle w:val="BodyText"/>
        <w:spacing w:before="71"/>
      </w:pPr>
    </w:p>
    <w:p>
      <w:pPr>
        <w:pStyle w:val="ListParagraph"/>
        <w:numPr>
          <w:ilvl w:val="1"/>
          <w:numId w:val="104"/>
        </w:numPr>
        <w:tabs>
          <w:tab w:pos="838" w:val="left" w:leader="none"/>
          <w:tab w:pos="840" w:val="left" w:leader="none"/>
        </w:tabs>
        <w:spacing w:line="360" w:lineRule="auto" w:before="0" w:after="0"/>
        <w:ind w:left="840" w:right="1117" w:hanging="360"/>
        <w:jc w:val="both"/>
        <w:rPr>
          <w:sz w:val="24"/>
        </w:rPr>
      </w:pPr>
      <w:r>
        <w:rPr>
          <w:b/>
          <w:sz w:val="24"/>
        </w:rPr>
        <w:t>Target</w:t>
      </w:r>
      <w:r>
        <w:rPr>
          <w:b/>
          <w:spacing w:val="-3"/>
          <w:sz w:val="24"/>
        </w:rPr>
        <w:t> </w:t>
      </w:r>
      <w:r>
        <w:rPr>
          <w:b/>
          <w:sz w:val="24"/>
        </w:rPr>
        <w:t>Implementation:</w:t>
      </w:r>
      <w:r>
        <w:rPr>
          <w:b/>
          <w:spacing w:val="-4"/>
          <w:sz w:val="24"/>
        </w:rPr>
        <w:t> </w:t>
      </w:r>
      <w:r>
        <w:rPr>
          <w:sz w:val="24"/>
        </w:rPr>
        <w:t>A</w:t>
      </w:r>
      <w:r>
        <w:rPr>
          <w:spacing w:val="-3"/>
          <w:sz w:val="24"/>
        </w:rPr>
        <w:t> </w:t>
      </w:r>
      <w:r>
        <w:rPr>
          <w:sz w:val="24"/>
        </w:rPr>
        <w:t>target</w:t>
      </w:r>
      <w:r>
        <w:rPr>
          <w:spacing w:val="-3"/>
          <w:sz w:val="24"/>
        </w:rPr>
        <w:t> </w:t>
      </w:r>
      <w:r>
        <w:rPr>
          <w:sz w:val="24"/>
        </w:rPr>
        <w:t>is</w:t>
      </w:r>
      <w:r>
        <w:rPr>
          <w:spacing w:val="-3"/>
          <w:sz w:val="24"/>
        </w:rPr>
        <w:t> </w:t>
      </w:r>
      <w:r>
        <w:rPr>
          <w:sz w:val="24"/>
        </w:rPr>
        <w:t>goal</w:t>
      </w:r>
      <w:r>
        <w:rPr>
          <w:spacing w:val="-3"/>
          <w:sz w:val="24"/>
        </w:rPr>
        <w:t> </w:t>
      </w:r>
      <w:r>
        <w:rPr>
          <w:sz w:val="24"/>
        </w:rPr>
        <w:t>intended</w:t>
      </w:r>
      <w:r>
        <w:rPr>
          <w:spacing w:val="-3"/>
          <w:sz w:val="24"/>
        </w:rPr>
        <w:t> </w:t>
      </w:r>
      <w:r>
        <w:rPr>
          <w:sz w:val="24"/>
        </w:rPr>
        <w:t>to</w:t>
      </w:r>
      <w:r>
        <w:rPr>
          <w:spacing w:val="-3"/>
          <w:sz w:val="24"/>
        </w:rPr>
        <w:t> </w:t>
      </w:r>
      <w:r>
        <w:rPr>
          <w:sz w:val="24"/>
        </w:rPr>
        <w:t>be</w:t>
      </w:r>
      <w:r>
        <w:rPr>
          <w:spacing w:val="-3"/>
          <w:sz w:val="24"/>
        </w:rPr>
        <w:t> </w:t>
      </w:r>
      <w:r>
        <w:rPr>
          <w:sz w:val="24"/>
        </w:rPr>
        <w:t>attained</w:t>
      </w:r>
      <w:r>
        <w:rPr>
          <w:spacing w:val="-2"/>
          <w:sz w:val="24"/>
        </w:rPr>
        <w:t> </w:t>
      </w:r>
      <w:r>
        <w:rPr>
          <w:sz w:val="24"/>
        </w:rPr>
        <w:t>and</w:t>
      </w:r>
      <w:r>
        <w:rPr>
          <w:spacing w:val="-1"/>
          <w:sz w:val="24"/>
        </w:rPr>
        <w:t> </w:t>
      </w:r>
      <w:r>
        <w:rPr>
          <w:sz w:val="24"/>
        </w:rPr>
        <w:t>which</w:t>
      </w:r>
      <w:r>
        <w:rPr>
          <w:spacing w:val="-3"/>
          <w:sz w:val="24"/>
        </w:rPr>
        <w:t> </w:t>
      </w:r>
      <w:r>
        <w:rPr>
          <w:sz w:val="24"/>
        </w:rPr>
        <w:t>is</w:t>
      </w:r>
      <w:r>
        <w:rPr>
          <w:spacing w:val="-3"/>
          <w:sz w:val="24"/>
        </w:rPr>
        <w:t> </w:t>
      </w:r>
      <w:r>
        <w:rPr>
          <w:sz w:val="24"/>
        </w:rPr>
        <w:t>believed</w:t>
      </w:r>
      <w:r>
        <w:rPr>
          <w:spacing w:val="-3"/>
          <w:sz w:val="24"/>
        </w:rPr>
        <w:t> </w:t>
      </w:r>
      <w:r>
        <w:rPr>
          <w:sz w:val="24"/>
        </w:rPr>
        <w:t>to be</w:t>
      </w:r>
      <w:r>
        <w:rPr>
          <w:spacing w:val="-1"/>
          <w:sz w:val="24"/>
        </w:rPr>
        <w:t> </w:t>
      </w:r>
      <w:r>
        <w:rPr>
          <w:sz w:val="24"/>
        </w:rPr>
        <w:t>attainable. A</w:t>
      </w:r>
      <w:r>
        <w:rPr>
          <w:spacing w:val="-1"/>
          <w:sz w:val="24"/>
        </w:rPr>
        <w:t> </w:t>
      </w:r>
      <w:r>
        <w:rPr>
          <w:sz w:val="24"/>
        </w:rPr>
        <w:t>key</w:t>
      </w:r>
      <w:r>
        <w:rPr>
          <w:spacing w:val="-3"/>
          <w:sz w:val="24"/>
        </w:rPr>
        <w:t> </w:t>
      </w:r>
      <w:r>
        <w:rPr>
          <w:sz w:val="24"/>
        </w:rPr>
        <w:t>element of</w:t>
      </w:r>
      <w:r>
        <w:rPr>
          <w:spacing w:val="-1"/>
          <w:sz w:val="24"/>
        </w:rPr>
        <w:t> </w:t>
      </w:r>
      <w:r>
        <w:rPr>
          <w:sz w:val="24"/>
        </w:rPr>
        <w:t>the</w:t>
      </w:r>
      <w:r>
        <w:rPr>
          <w:spacing w:val="-1"/>
          <w:sz w:val="24"/>
        </w:rPr>
        <w:t> </w:t>
      </w:r>
      <w:r>
        <w:rPr>
          <w:sz w:val="24"/>
        </w:rPr>
        <w:t>proposed monitoring</w:t>
      </w:r>
      <w:r>
        <w:rPr>
          <w:spacing w:val="-2"/>
          <w:sz w:val="24"/>
        </w:rPr>
        <w:t> </w:t>
      </w:r>
      <w:r>
        <w:rPr>
          <w:sz w:val="24"/>
        </w:rPr>
        <w:t>template</w:t>
      </w:r>
      <w:r>
        <w:rPr>
          <w:spacing w:val="-1"/>
          <w:sz w:val="24"/>
        </w:rPr>
        <w:t> </w:t>
      </w:r>
      <w:r>
        <w:rPr>
          <w:sz w:val="24"/>
        </w:rPr>
        <w:t>is that it is anchored on the MTEF. i.e., the targets are spread across a 4-year period to give ample time for implementation and progress tracking. In the housing context, targets may come in two ways, namely; the number (or percentage) of houses or housing units to be produced or completed during the planned duration stated in the KPI and the amount spent for</w:t>
      </w:r>
      <w:r>
        <w:rPr>
          <w:spacing w:val="40"/>
          <w:sz w:val="24"/>
        </w:rPr>
        <w:t> </w:t>
      </w:r>
      <w:r>
        <w:rPr>
          <w:sz w:val="24"/>
        </w:rPr>
        <w:t>erecting</w:t>
      </w:r>
      <w:r>
        <w:rPr>
          <w:spacing w:val="-4"/>
          <w:sz w:val="24"/>
        </w:rPr>
        <w:t> </w:t>
      </w:r>
      <w:r>
        <w:rPr>
          <w:sz w:val="24"/>
        </w:rPr>
        <w:t>these</w:t>
      </w:r>
      <w:r>
        <w:rPr>
          <w:spacing w:val="-3"/>
          <w:sz w:val="24"/>
        </w:rPr>
        <w:t> </w:t>
      </w:r>
      <w:r>
        <w:rPr>
          <w:sz w:val="24"/>
        </w:rPr>
        <w:t>houses</w:t>
      </w:r>
      <w:r>
        <w:rPr>
          <w:spacing w:val="-1"/>
          <w:sz w:val="24"/>
        </w:rPr>
        <w:t> </w:t>
      </w:r>
      <w:r>
        <w:rPr>
          <w:sz w:val="24"/>
        </w:rPr>
        <w:t>as allocated</w:t>
      </w:r>
      <w:r>
        <w:rPr>
          <w:spacing w:val="-2"/>
          <w:sz w:val="24"/>
        </w:rPr>
        <w:t> </w:t>
      </w:r>
      <w:r>
        <w:rPr>
          <w:sz w:val="24"/>
        </w:rPr>
        <w:t>and</w:t>
      </w:r>
      <w:r>
        <w:rPr>
          <w:spacing w:val="-1"/>
          <w:sz w:val="24"/>
        </w:rPr>
        <w:t> </w:t>
      </w:r>
      <w:r>
        <w:rPr>
          <w:sz w:val="24"/>
        </w:rPr>
        <w:t>approved</w:t>
      </w:r>
      <w:r>
        <w:rPr>
          <w:spacing w:val="-1"/>
          <w:sz w:val="24"/>
        </w:rPr>
        <w:t> </w:t>
      </w:r>
      <w:r>
        <w:rPr>
          <w:sz w:val="24"/>
        </w:rPr>
        <w:t>in</w:t>
      </w:r>
      <w:r>
        <w:rPr>
          <w:spacing w:val="-1"/>
          <w:sz w:val="24"/>
        </w:rPr>
        <w:t> </w:t>
      </w:r>
      <w:r>
        <w:rPr>
          <w:sz w:val="24"/>
        </w:rPr>
        <w:t>the</w:t>
      </w:r>
      <w:r>
        <w:rPr>
          <w:spacing w:val="-2"/>
          <w:sz w:val="24"/>
        </w:rPr>
        <w:t> </w:t>
      </w:r>
      <w:r>
        <w:rPr>
          <w:sz w:val="24"/>
        </w:rPr>
        <w:t>budget</w:t>
      </w:r>
      <w:r>
        <w:rPr>
          <w:spacing w:val="-1"/>
          <w:sz w:val="24"/>
        </w:rPr>
        <w:t> </w:t>
      </w:r>
      <w:r>
        <w:rPr>
          <w:sz w:val="24"/>
        </w:rPr>
        <w:t>estimate</w:t>
      </w:r>
      <w:r>
        <w:rPr>
          <w:spacing w:val="-2"/>
          <w:sz w:val="24"/>
        </w:rPr>
        <w:t> </w:t>
      </w:r>
      <w:r>
        <w:rPr>
          <w:sz w:val="24"/>
        </w:rPr>
        <w:t>during</w:t>
      </w:r>
      <w:r>
        <w:rPr>
          <w:spacing w:val="-3"/>
          <w:sz w:val="24"/>
        </w:rPr>
        <w:t> </w:t>
      </w:r>
      <w:r>
        <w:rPr>
          <w:sz w:val="24"/>
        </w:rPr>
        <w:t>the</w:t>
      </w:r>
      <w:r>
        <w:rPr>
          <w:spacing w:val="-2"/>
          <w:sz w:val="24"/>
        </w:rPr>
        <w:t> </w:t>
      </w:r>
      <w:r>
        <w:rPr>
          <w:sz w:val="24"/>
        </w:rPr>
        <w:t>planned period of time. For targets to make meaning, they must be realizable and this largely comes from experience of the budget planners and the housing contractors.</w:t>
      </w:r>
    </w:p>
    <w:p>
      <w:pPr>
        <w:pStyle w:val="BodyText"/>
        <w:spacing w:before="28"/>
      </w:pPr>
    </w:p>
    <w:p>
      <w:pPr>
        <w:pStyle w:val="ListParagraph"/>
        <w:numPr>
          <w:ilvl w:val="1"/>
          <w:numId w:val="104"/>
        </w:numPr>
        <w:tabs>
          <w:tab w:pos="838" w:val="left" w:leader="none"/>
          <w:tab w:pos="840" w:val="left" w:leader="none"/>
        </w:tabs>
        <w:spacing w:line="360" w:lineRule="auto" w:before="0" w:after="0"/>
        <w:ind w:left="840" w:right="1114" w:hanging="360"/>
        <w:jc w:val="both"/>
        <w:rPr>
          <w:sz w:val="24"/>
        </w:rPr>
      </w:pPr>
      <w:r>
        <w:rPr>
          <w:b/>
          <w:sz w:val="24"/>
        </w:rPr>
        <w:t>Actual Implementation: </w:t>
      </w:r>
      <w:r>
        <w:rPr>
          <w:sz w:val="24"/>
        </w:rPr>
        <w:t>This can be regarded as the opposite of</w:t>
      </w:r>
      <w:r>
        <w:rPr>
          <w:spacing w:val="-2"/>
          <w:sz w:val="24"/>
        </w:rPr>
        <w:t> </w:t>
      </w:r>
      <w:r>
        <w:rPr>
          <w:sz w:val="24"/>
        </w:rPr>
        <w:t>the targets. It is the real situation, stated objectively and honestly. Actual data on housing budget performance monitoring comprises the number of houses or residential buildings presently completed with respect to the planned duration. It also includes the amount of money spent or expended with respect to the approved budget and the planned duration. Little deviations from the target implementation suggest poor implementation and calls for concern from the Government and the relevant stakeholders.</w:t>
      </w:r>
    </w:p>
    <w:p>
      <w:pPr>
        <w:spacing w:after="0" w:line="360" w:lineRule="auto"/>
        <w:jc w:val="both"/>
        <w:rPr>
          <w:sz w:val="24"/>
        </w:rPr>
        <w:sectPr>
          <w:pgSz w:w="12240" w:h="15840"/>
          <w:pgMar w:header="0" w:footer="1036" w:top="1360" w:bottom="1220" w:left="1320" w:right="320"/>
        </w:sectPr>
      </w:pPr>
    </w:p>
    <w:p>
      <w:pPr>
        <w:pStyle w:val="ListParagraph"/>
        <w:numPr>
          <w:ilvl w:val="1"/>
          <w:numId w:val="104"/>
        </w:numPr>
        <w:tabs>
          <w:tab w:pos="840" w:val="left" w:leader="none"/>
        </w:tabs>
        <w:spacing w:line="360" w:lineRule="auto" w:before="74" w:after="0"/>
        <w:ind w:left="840" w:right="1116" w:hanging="360"/>
        <w:jc w:val="both"/>
        <w:rPr>
          <w:sz w:val="24"/>
        </w:rPr>
      </w:pPr>
      <w:r>
        <w:rPr>
          <w:b/>
          <w:sz w:val="24"/>
        </w:rPr>
        <w:t>Sources of Data: </w:t>
      </w:r>
      <w:r>
        <w:rPr>
          <w:sz w:val="24"/>
        </w:rPr>
        <w:t>These are the specific places (ministries, organizations, departments, units, agencies) and documents where the data that is used as a basis for the formulating the contents of the template originates, most especially; the KPIs and the implementation (target and actual). Such places and documents include: State Office of Statistics, Planning, Research and Statistics Departments in the Ministries of Housing, Finance, Budget and economic Planning, Population Commission, financial statements, interim certificates, expenditure transcriptions and audited accounts. These lend credence to the performance monitoring exercise.</w:t>
      </w:r>
    </w:p>
    <w:p>
      <w:pPr>
        <w:pStyle w:val="BodyText"/>
        <w:spacing w:before="42"/>
      </w:pPr>
    </w:p>
    <w:p>
      <w:pPr>
        <w:pStyle w:val="ListParagraph"/>
        <w:numPr>
          <w:ilvl w:val="1"/>
          <w:numId w:val="104"/>
        </w:numPr>
        <w:tabs>
          <w:tab w:pos="838" w:val="left" w:leader="none"/>
          <w:tab w:pos="840" w:val="left" w:leader="none"/>
        </w:tabs>
        <w:spacing w:line="360" w:lineRule="auto" w:before="0" w:after="0"/>
        <w:ind w:left="840" w:right="1117" w:hanging="360"/>
        <w:jc w:val="both"/>
        <w:rPr>
          <w:sz w:val="24"/>
        </w:rPr>
      </w:pPr>
      <w:r>
        <w:rPr>
          <w:b/>
          <w:sz w:val="24"/>
        </w:rPr>
        <w:t>Reasons for shortfall from Target: </w:t>
      </w:r>
      <w:r>
        <w:rPr>
          <w:sz w:val="24"/>
        </w:rPr>
        <w:t>Finally, the proposed monitoring template stresses that the valid reasons for not meeting the targets must be stated. This should also be done honestly and objectively. It helps direct the focus of the budget implementers; in this</w:t>
      </w:r>
      <w:r>
        <w:rPr>
          <w:spacing w:val="40"/>
          <w:sz w:val="24"/>
        </w:rPr>
        <w:t> </w:t>
      </w:r>
      <w:r>
        <w:rPr>
          <w:sz w:val="24"/>
        </w:rPr>
        <w:t>case, the ministries of Housing, Budget and Economic Planning, so that corrective</w:t>
      </w:r>
      <w:r>
        <w:rPr>
          <w:spacing w:val="40"/>
          <w:sz w:val="24"/>
        </w:rPr>
        <w:t> </w:t>
      </w:r>
      <w:r>
        <w:rPr>
          <w:sz w:val="24"/>
        </w:rPr>
        <w:t>actions or measures can be taken in subsequent projects or year(s) within the MTEF.</w:t>
      </w:r>
    </w:p>
    <w:p>
      <w:pPr>
        <w:pStyle w:val="BodyText"/>
        <w:spacing w:before="259"/>
      </w:pPr>
    </w:p>
    <w:p>
      <w:pPr>
        <w:pStyle w:val="Heading3"/>
        <w:numPr>
          <w:ilvl w:val="2"/>
          <w:numId w:val="81"/>
        </w:numPr>
        <w:tabs>
          <w:tab w:pos="743" w:val="left" w:leader="none"/>
        </w:tabs>
        <w:spacing w:line="240" w:lineRule="auto" w:before="0" w:after="0"/>
        <w:ind w:left="120" w:right="1119" w:firstLine="0"/>
        <w:jc w:val="left"/>
      </w:pPr>
      <w:r>
        <w:rPr/>
        <w:t>The</w:t>
      </w:r>
      <w:r>
        <w:rPr>
          <w:spacing w:val="33"/>
        </w:rPr>
        <w:t> </w:t>
      </w:r>
      <w:r>
        <w:rPr/>
        <w:t>Proposed</w:t>
      </w:r>
      <w:r>
        <w:rPr>
          <w:spacing w:val="33"/>
        </w:rPr>
        <w:t> </w:t>
      </w:r>
      <w:r>
        <w:rPr/>
        <w:t>Housing</w:t>
      </w:r>
      <w:r>
        <w:rPr>
          <w:spacing w:val="34"/>
        </w:rPr>
        <w:t> </w:t>
      </w:r>
      <w:r>
        <w:rPr/>
        <w:t>Budget</w:t>
      </w:r>
      <w:r>
        <w:rPr>
          <w:spacing w:val="33"/>
        </w:rPr>
        <w:t> </w:t>
      </w:r>
      <w:r>
        <w:rPr/>
        <w:t>Performance</w:t>
      </w:r>
      <w:r>
        <w:rPr>
          <w:spacing w:val="33"/>
        </w:rPr>
        <w:t> </w:t>
      </w:r>
      <w:r>
        <w:rPr/>
        <w:t>Review</w:t>
      </w:r>
      <w:r>
        <w:rPr>
          <w:spacing w:val="39"/>
        </w:rPr>
        <w:t> </w:t>
      </w:r>
      <w:r>
        <w:rPr/>
        <w:t>Template</w:t>
      </w:r>
      <w:r>
        <w:rPr>
          <w:spacing w:val="34"/>
        </w:rPr>
        <w:t> </w:t>
      </w:r>
      <w:r>
        <w:rPr/>
        <w:t>for</w:t>
      </w:r>
      <w:r>
        <w:rPr>
          <w:spacing w:val="33"/>
        </w:rPr>
        <w:t> </w:t>
      </w:r>
      <w:r>
        <w:rPr/>
        <w:t>Anambra </w:t>
      </w:r>
      <w:r>
        <w:rPr>
          <w:spacing w:val="-4"/>
        </w:rPr>
        <w:t>State</w:t>
      </w:r>
    </w:p>
    <w:p>
      <w:pPr>
        <w:pStyle w:val="BodyText"/>
        <w:spacing w:line="360" w:lineRule="auto" w:before="271"/>
        <w:ind w:left="120" w:right="1118"/>
        <w:jc w:val="both"/>
      </w:pPr>
      <w:r>
        <w:rPr/>
        <w:t>The need for review of the housing budget performance within the context of State‘s</w:t>
      </w:r>
      <w:r>
        <w:rPr>
          <w:spacing w:val="40"/>
        </w:rPr>
        <w:t> </w:t>
      </w:r>
      <w:r>
        <w:rPr/>
        <w:t>performance management is vital to sustainability and accountability in the housing sector of Anambra State. Unlike the monitoring, which is carried out during the progress of the works, performance reviews are usually prepared after a predefined duration (quarterly or annually).</w:t>
      </w:r>
    </w:p>
    <w:p>
      <w:pPr>
        <w:pStyle w:val="BodyText"/>
        <w:spacing w:before="120"/>
      </w:pPr>
    </w:p>
    <w:p>
      <w:pPr>
        <w:pStyle w:val="BodyText"/>
        <w:spacing w:line="360" w:lineRule="auto"/>
        <w:ind w:left="120" w:right="1114"/>
        <w:jc w:val="both"/>
      </w:pPr>
      <w:r>
        <w:rPr/>
        <w:t>The key items of the review template (</w:t>
      </w:r>
      <w:r>
        <w:rPr>
          <w:i/>
        </w:rPr>
        <w:t>see appendix 3</w:t>
      </w:r>
      <w:r>
        <w:rPr/>
        <w:t>) are the objectives, strategies, percentage implementation (progress) (of ongoing projects/budget execution of the preceding year and targets to be met for the succeeding years within the medium term framework. The project objectives and targets are similar to that already discussed under the monitoring template. However, strategies are plans of action designed to achieve a major or overall aim. In the</w:t>
      </w:r>
      <w:r>
        <w:rPr>
          <w:spacing w:val="40"/>
        </w:rPr>
        <w:t> </w:t>
      </w:r>
      <w:r>
        <w:rPr/>
        <w:t>housing budget context, they are the methods or plans chosen to bring about a desired budget results</w:t>
      </w:r>
      <w:r>
        <w:rPr>
          <w:spacing w:val="-3"/>
        </w:rPr>
        <w:t> </w:t>
      </w:r>
      <w:r>
        <w:rPr/>
        <w:t>or</w:t>
      </w:r>
      <w:r>
        <w:rPr>
          <w:spacing w:val="-3"/>
        </w:rPr>
        <w:t> </w:t>
      </w:r>
      <w:r>
        <w:rPr/>
        <w:t>successful</w:t>
      </w:r>
      <w:r>
        <w:rPr>
          <w:spacing w:val="-3"/>
        </w:rPr>
        <w:t> </w:t>
      </w:r>
      <w:r>
        <w:rPr/>
        <w:t>housing</w:t>
      </w:r>
      <w:r>
        <w:rPr>
          <w:spacing w:val="-6"/>
        </w:rPr>
        <w:t> </w:t>
      </w:r>
      <w:r>
        <w:rPr/>
        <w:t>delivery.</w:t>
      </w:r>
      <w:r>
        <w:rPr>
          <w:spacing w:val="-1"/>
        </w:rPr>
        <w:t> </w:t>
      </w:r>
      <w:r>
        <w:rPr/>
        <w:t>Such</w:t>
      </w:r>
      <w:r>
        <w:rPr>
          <w:spacing w:val="-3"/>
        </w:rPr>
        <w:t> </w:t>
      </w:r>
      <w:r>
        <w:rPr/>
        <w:t>methods</w:t>
      </w:r>
      <w:r>
        <w:rPr>
          <w:spacing w:val="-3"/>
        </w:rPr>
        <w:t> </w:t>
      </w:r>
      <w:r>
        <w:rPr/>
        <w:t>or</w:t>
      </w:r>
      <w:r>
        <w:rPr>
          <w:spacing w:val="-3"/>
        </w:rPr>
        <w:t> </w:t>
      </w:r>
      <w:r>
        <w:rPr/>
        <w:t>plans</w:t>
      </w:r>
      <w:r>
        <w:rPr>
          <w:spacing w:val="-3"/>
        </w:rPr>
        <w:t> </w:t>
      </w:r>
      <w:r>
        <w:rPr/>
        <w:t>may</w:t>
      </w:r>
      <w:r>
        <w:rPr>
          <w:spacing w:val="-8"/>
        </w:rPr>
        <w:t> </w:t>
      </w:r>
      <w:r>
        <w:rPr/>
        <w:t>include: prompt</w:t>
      </w:r>
      <w:r>
        <w:rPr>
          <w:spacing w:val="-3"/>
        </w:rPr>
        <w:t> </w:t>
      </w:r>
      <w:r>
        <w:rPr/>
        <w:t>submission</w:t>
      </w:r>
      <w:r>
        <w:rPr>
          <w:spacing w:val="-3"/>
        </w:rPr>
        <w:t> </w:t>
      </w:r>
      <w:r>
        <w:rPr/>
        <w:t>of quarterly expenditure work plan by the Ministry of Housing,</w:t>
      </w:r>
      <w:r>
        <w:rPr>
          <w:spacing w:val="40"/>
        </w:rPr>
        <w:t> </w:t>
      </w:r>
      <w:r>
        <w:rPr/>
        <w:t>approval of monthly or quarterly estimates,</w:t>
      </w:r>
      <w:r>
        <w:rPr>
          <w:spacing w:val="21"/>
        </w:rPr>
        <w:t> </w:t>
      </w:r>
      <w:r>
        <w:rPr/>
        <w:t>release</w:t>
      </w:r>
      <w:r>
        <w:rPr>
          <w:spacing w:val="22"/>
        </w:rPr>
        <w:t> </w:t>
      </w:r>
      <w:r>
        <w:rPr/>
        <w:t>of</w:t>
      </w:r>
      <w:r>
        <w:rPr>
          <w:spacing w:val="23"/>
        </w:rPr>
        <w:t> </w:t>
      </w:r>
      <w:r>
        <w:rPr/>
        <w:t>monthly</w:t>
      </w:r>
      <w:r>
        <w:rPr>
          <w:spacing w:val="18"/>
        </w:rPr>
        <w:t> </w:t>
      </w:r>
      <w:r>
        <w:rPr/>
        <w:t>or</w:t>
      </w:r>
      <w:r>
        <w:rPr>
          <w:spacing w:val="23"/>
        </w:rPr>
        <w:t> </w:t>
      </w:r>
      <w:r>
        <w:rPr/>
        <w:t>quarterly</w:t>
      </w:r>
      <w:r>
        <w:rPr>
          <w:spacing w:val="19"/>
        </w:rPr>
        <w:t> </w:t>
      </w:r>
      <w:r>
        <w:rPr/>
        <w:t>capital</w:t>
      </w:r>
      <w:r>
        <w:rPr>
          <w:spacing w:val="27"/>
        </w:rPr>
        <w:t> </w:t>
      </w:r>
      <w:r>
        <w:rPr/>
        <w:t>expenditure</w:t>
      </w:r>
      <w:r>
        <w:rPr>
          <w:spacing w:val="24"/>
        </w:rPr>
        <w:t> </w:t>
      </w:r>
      <w:r>
        <w:rPr/>
        <w:t>warrant</w:t>
      </w:r>
      <w:r>
        <w:rPr>
          <w:spacing w:val="23"/>
        </w:rPr>
        <w:t> </w:t>
      </w:r>
      <w:r>
        <w:rPr/>
        <w:t>and</w:t>
      </w:r>
      <w:r>
        <w:rPr>
          <w:spacing w:val="23"/>
        </w:rPr>
        <w:t> </w:t>
      </w:r>
      <w:r>
        <w:rPr/>
        <w:t>cash</w:t>
      </w:r>
      <w:r>
        <w:rPr>
          <w:spacing w:val="24"/>
        </w:rPr>
        <w:t> </w:t>
      </w:r>
      <w:r>
        <w:rPr/>
        <w:t>mandate</w:t>
      </w:r>
      <w:r>
        <w:rPr>
          <w:spacing w:val="25"/>
        </w:rPr>
        <w:t> </w:t>
      </w:r>
      <w:r>
        <w:rPr/>
        <w:t>of</w:t>
      </w:r>
      <w:r>
        <w:rPr>
          <w:spacing w:val="23"/>
        </w:rPr>
        <w:t> </w:t>
      </w:r>
      <w:r>
        <w:rPr>
          <w:spacing w:val="-5"/>
        </w:rPr>
        <w:t>the</w:t>
      </w:r>
    </w:p>
    <w:p>
      <w:pPr>
        <w:spacing w:after="0" w:line="360" w:lineRule="auto"/>
        <w:jc w:val="both"/>
        <w:sectPr>
          <w:pgSz w:w="12240" w:h="15840"/>
          <w:pgMar w:header="0" w:footer="1036" w:top="1360" w:bottom="1220" w:left="1320" w:right="320"/>
        </w:sectPr>
      </w:pPr>
    </w:p>
    <w:p>
      <w:pPr>
        <w:pStyle w:val="BodyText"/>
        <w:spacing w:line="360" w:lineRule="auto" w:before="74"/>
        <w:ind w:left="120" w:right="1116"/>
        <w:jc w:val="both"/>
      </w:pPr>
      <w:r>
        <w:rPr/>
        <w:t>Ministry of Housing by the Finance Commissioner and State Accountant General</w:t>
      </w:r>
      <w:r>
        <w:rPr>
          <w:spacing w:val="40"/>
        </w:rPr>
        <w:t> </w:t>
      </w:r>
      <w:r>
        <w:rPr/>
        <w:t>as at when due. The implementation progress, expressed in percentage is extent reached so far in implementing the budget or providing the units of houses as indicated in the KP1. A low percentage also connotes poor performance.</w:t>
      </w:r>
    </w:p>
    <w:p>
      <w:pPr>
        <w:pStyle w:val="BodyText"/>
        <w:spacing w:before="70"/>
      </w:pPr>
    </w:p>
    <w:p>
      <w:pPr>
        <w:pStyle w:val="BodyText"/>
        <w:spacing w:line="360" w:lineRule="auto"/>
        <w:ind w:left="120" w:right="1119"/>
        <w:jc w:val="both"/>
      </w:pPr>
      <w:r>
        <w:rPr/>
        <w:t>In summary, the proposed housing budget performance monitoring and review templates are essential tools for the</w:t>
      </w:r>
      <w:r>
        <w:rPr>
          <w:spacing w:val="40"/>
        </w:rPr>
        <w:t> </w:t>
      </w:r>
      <w:r>
        <w:rPr/>
        <w:t>housing budgeting process, because they will help provide physical and non-physical variance analysis of actual work done with respect to (i) input availability as planned</w:t>
      </w:r>
      <w:r>
        <w:rPr>
          <w:spacing w:val="-1"/>
        </w:rPr>
        <w:t> </w:t>
      </w:r>
      <w:r>
        <w:rPr/>
        <w:t>(ii)</w:t>
      </w:r>
      <w:r>
        <w:rPr>
          <w:spacing w:val="3"/>
        </w:rPr>
        <w:t> </w:t>
      </w:r>
      <w:r>
        <w:rPr/>
        <w:t>activities</w:t>
      </w:r>
      <w:r>
        <w:rPr>
          <w:spacing w:val="3"/>
        </w:rPr>
        <w:t> </w:t>
      </w:r>
      <w:r>
        <w:rPr/>
        <w:t>already</w:t>
      </w:r>
      <w:r>
        <w:rPr>
          <w:spacing w:val="-1"/>
        </w:rPr>
        <w:t> </w:t>
      </w:r>
      <w:r>
        <w:rPr/>
        <w:t>carried</w:t>
      </w:r>
      <w:r>
        <w:rPr>
          <w:spacing w:val="2"/>
        </w:rPr>
        <w:t> </w:t>
      </w:r>
      <w:r>
        <w:rPr/>
        <w:t>out</w:t>
      </w:r>
      <w:r>
        <w:rPr>
          <w:spacing w:val="65"/>
        </w:rPr>
        <w:t> </w:t>
      </w:r>
      <w:r>
        <w:rPr/>
        <w:t>and</w:t>
      </w:r>
      <w:r>
        <w:rPr>
          <w:spacing w:val="3"/>
        </w:rPr>
        <w:t> </w:t>
      </w:r>
      <w:r>
        <w:rPr/>
        <w:t>whether the</w:t>
      </w:r>
      <w:r>
        <w:rPr>
          <w:spacing w:val="1"/>
        </w:rPr>
        <w:t> </w:t>
      </w:r>
      <w:r>
        <w:rPr/>
        <w:t>work plan</w:t>
      </w:r>
      <w:r>
        <w:rPr>
          <w:spacing w:val="3"/>
        </w:rPr>
        <w:t> </w:t>
      </w:r>
      <w:r>
        <w:rPr/>
        <w:t>was</w:t>
      </w:r>
      <w:r>
        <w:rPr>
          <w:spacing w:val="4"/>
        </w:rPr>
        <w:t> </w:t>
      </w:r>
      <w:r>
        <w:rPr/>
        <w:t>followed</w:t>
      </w:r>
      <w:r>
        <w:rPr>
          <w:spacing w:val="1"/>
        </w:rPr>
        <w:t> </w:t>
      </w:r>
      <w:r>
        <w:rPr/>
        <w:t>in</w:t>
      </w:r>
      <w:r>
        <w:rPr>
          <w:spacing w:val="2"/>
        </w:rPr>
        <w:t> </w:t>
      </w:r>
      <w:r>
        <w:rPr/>
        <w:t>the</w:t>
      </w:r>
      <w:r>
        <w:rPr>
          <w:spacing w:val="3"/>
        </w:rPr>
        <w:t> </w:t>
      </w:r>
      <w:r>
        <w:rPr>
          <w:spacing w:val="-2"/>
        </w:rPr>
        <w:t>process</w:t>
      </w:r>
    </w:p>
    <w:p>
      <w:pPr>
        <w:pStyle w:val="BodyText"/>
        <w:spacing w:line="360" w:lineRule="auto" w:before="1"/>
        <w:ind w:left="120" w:right="1122"/>
        <w:jc w:val="both"/>
      </w:pPr>
      <w:r>
        <w:rPr/>
        <w:t>(iii) whether outputs were achieved as expected (iv) changes made in the course of the project implementation (v) problems and difficulties encountered and (vi) and remedial actions taken</w:t>
      </w:r>
      <w:r>
        <w:rPr>
          <w:spacing w:val="40"/>
        </w:rPr>
        <w:t> </w:t>
      </w:r>
      <w:r>
        <w:rPr/>
        <w:t>and whether effected according to plans.</w:t>
      </w:r>
    </w:p>
    <w:p>
      <w:pPr>
        <w:pStyle w:val="BodyText"/>
      </w:pPr>
    </w:p>
    <w:p>
      <w:pPr>
        <w:pStyle w:val="BodyText"/>
        <w:spacing w:before="38"/>
      </w:pPr>
    </w:p>
    <w:p>
      <w:pPr>
        <w:pStyle w:val="Heading4"/>
        <w:numPr>
          <w:ilvl w:val="1"/>
          <w:numId w:val="81"/>
        </w:numPr>
        <w:tabs>
          <w:tab w:pos="572" w:val="left" w:leader="none"/>
        </w:tabs>
        <w:spacing w:line="240" w:lineRule="auto" w:before="0" w:after="0"/>
        <w:ind w:left="572" w:right="0" w:hanging="452"/>
        <w:jc w:val="both"/>
      </w:pPr>
      <w:r>
        <w:rPr/>
        <w:t>Summary</w:t>
      </w:r>
      <w:r>
        <w:rPr>
          <w:spacing w:val="-3"/>
        </w:rPr>
        <w:t> </w:t>
      </w:r>
      <w:r>
        <w:rPr/>
        <w:t>of</w:t>
      </w:r>
      <w:r>
        <w:rPr>
          <w:spacing w:val="-1"/>
        </w:rPr>
        <w:t> </w:t>
      </w:r>
      <w:r>
        <w:rPr/>
        <w:t>Appraisal of</w:t>
      </w:r>
      <w:r>
        <w:rPr>
          <w:spacing w:val="-1"/>
        </w:rPr>
        <w:t> </w:t>
      </w:r>
      <w:r>
        <w:rPr/>
        <w:t>Housing</w:t>
      </w:r>
      <w:r>
        <w:rPr>
          <w:spacing w:val="-5"/>
        </w:rPr>
        <w:t> </w:t>
      </w:r>
      <w:r>
        <w:rPr/>
        <w:t>Budget</w:t>
      </w:r>
      <w:r>
        <w:rPr>
          <w:spacing w:val="-2"/>
        </w:rPr>
        <w:t> </w:t>
      </w:r>
      <w:r>
        <w:rPr/>
        <w:t>Performance</w:t>
      </w:r>
      <w:r>
        <w:rPr>
          <w:spacing w:val="-3"/>
        </w:rPr>
        <w:t> </w:t>
      </w:r>
      <w:r>
        <w:rPr/>
        <w:t>in</w:t>
      </w:r>
      <w:r>
        <w:rPr>
          <w:spacing w:val="-1"/>
        </w:rPr>
        <w:t> </w:t>
      </w:r>
      <w:r>
        <w:rPr/>
        <w:t>Anambra</w:t>
      </w:r>
      <w:r>
        <w:rPr>
          <w:spacing w:val="-2"/>
        </w:rPr>
        <w:t> State</w:t>
      </w:r>
    </w:p>
    <w:p>
      <w:pPr>
        <w:pStyle w:val="BodyText"/>
        <w:spacing w:line="360" w:lineRule="auto" w:before="168"/>
        <w:ind w:left="120" w:right="1118"/>
        <w:jc w:val="both"/>
      </w:pPr>
      <w:r>
        <w:rPr/>
        <w:t>The purpose of this sub-section is to establish objectively, the overall percentage performance of the housing budget process of Anambra State based on an aggregate of the results of the analysis of the questionnaire survey and the annual budget. It is based on the researcher‘s independent judgment/appraisal, aimed at reducing the variables (identified in the research) to a common measure or single percentage and which can be said to characterize the housing budget performance of Anambra State.</w:t>
      </w:r>
      <w:r>
        <w:rPr>
          <w:spacing w:val="40"/>
        </w:rPr>
        <w:t> </w:t>
      </w:r>
      <w:r>
        <w:rPr/>
        <w:t>The approach used is as follows:</w:t>
      </w:r>
    </w:p>
    <w:p>
      <w:pPr>
        <w:pStyle w:val="ListParagraph"/>
        <w:numPr>
          <w:ilvl w:val="0"/>
          <w:numId w:val="105"/>
        </w:numPr>
        <w:tabs>
          <w:tab w:pos="444" w:val="left" w:leader="none"/>
        </w:tabs>
        <w:spacing w:line="240" w:lineRule="auto" w:before="174" w:after="0"/>
        <w:ind w:left="444" w:right="0" w:hanging="324"/>
        <w:jc w:val="left"/>
        <w:rPr>
          <w:sz w:val="24"/>
        </w:rPr>
      </w:pPr>
      <w:r>
        <w:rPr>
          <w:sz w:val="24"/>
        </w:rPr>
        <w:t>Collation</w:t>
      </w:r>
      <w:r>
        <w:rPr>
          <w:spacing w:val="-3"/>
          <w:sz w:val="24"/>
        </w:rPr>
        <w:t> </w:t>
      </w:r>
      <w:r>
        <w:rPr>
          <w:sz w:val="24"/>
        </w:rPr>
        <w:t>of</w:t>
      </w:r>
      <w:r>
        <w:rPr>
          <w:spacing w:val="-2"/>
          <w:sz w:val="24"/>
        </w:rPr>
        <w:t> </w:t>
      </w:r>
      <w:r>
        <w:rPr>
          <w:sz w:val="24"/>
        </w:rPr>
        <w:t>all</w:t>
      </w:r>
      <w:r>
        <w:rPr>
          <w:spacing w:val="-1"/>
          <w:sz w:val="24"/>
        </w:rPr>
        <w:t> </w:t>
      </w:r>
      <w:r>
        <w:rPr>
          <w:sz w:val="24"/>
        </w:rPr>
        <w:t>housing</w:t>
      </w:r>
      <w:r>
        <w:rPr>
          <w:spacing w:val="-3"/>
          <w:sz w:val="24"/>
        </w:rPr>
        <w:t> </w:t>
      </w:r>
      <w:r>
        <w:rPr>
          <w:sz w:val="24"/>
        </w:rPr>
        <w:t>budget</w:t>
      </w:r>
      <w:r>
        <w:rPr>
          <w:spacing w:val="-1"/>
          <w:sz w:val="24"/>
        </w:rPr>
        <w:t> </w:t>
      </w:r>
      <w:r>
        <w:rPr>
          <w:sz w:val="24"/>
        </w:rPr>
        <w:t>performance</w:t>
      </w:r>
      <w:r>
        <w:rPr>
          <w:spacing w:val="-2"/>
          <w:sz w:val="24"/>
        </w:rPr>
        <w:t> </w:t>
      </w:r>
      <w:r>
        <w:rPr>
          <w:sz w:val="24"/>
        </w:rPr>
        <w:t>variables identified</w:t>
      </w:r>
      <w:r>
        <w:rPr>
          <w:spacing w:val="1"/>
          <w:sz w:val="24"/>
        </w:rPr>
        <w:t> </w:t>
      </w:r>
      <w:r>
        <w:rPr>
          <w:sz w:val="24"/>
        </w:rPr>
        <w:t>in</w:t>
      </w:r>
      <w:r>
        <w:rPr>
          <w:spacing w:val="-1"/>
          <w:sz w:val="24"/>
        </w:rPr>
        <w:t> </w:t>
      </w:r>
      <w:r>
        <w:rPr>
          <w:sz w:val="24"/>
        </w:rPr>
        <w:t>the</w:t>
      </w:r>
      <w:r>
        <w:rPr>
          <w:spacing w:val="1"/>
          <w:sz w:val="24"/>
        </w:rPr>
        <w:t> </w:t>
      </w:r>
      <w:r>
        <w:rPr>
          <w:spacing w:val="-2"/>
          <w:sz w:val="24"/>
        </w:rPr>
        <w:t>analysis;</w:t>
      </w:r>
    </w:p>
    <w:p>
      <w:pPr>
        <w:pStyle w:val="ListParagraph"/>
        <w:numPr>
          <w:ilvl w:val="0"/>
          <w:numId w:val="105"/>
        </w:numPr>
        <w:tabs>
          <w:tab w:pos="457" w:val="left" w:leader="none"/>
        </w:tabs>
        <w:spacing w:line="240" w:lineRule="auto" w:before="137" w:after="0"/>
        <w:ind w:left="457" w:right="0" w:hanging="337"/>
        <w:jc w:val="left"/>
        <w:rPr>
          <w:sz w:val="24"/>
        </w:rPr>
      </w:pPr>
      <w:r>
        <w:rPr>
          <w:sz w:val="24"/>
        </w:rPr>
        <w:t>Brief</w:t>
      </w:r>
      <w:r>
        <w:rPr>
          <w:spacing w:val="-3"/>
          <w:sz w:val="24"/>
        </w:rPr>
        <w:t> </w:t>
      </w:r>
      <w:r>
        <w:rPr>
          <w:sz w:val="24"/>
        </w:rPr>
        <w:t>comments</w:t>
      </w:r>
      <w:r>
        <w:rPr>
          <w:spacing w:val="-1"/>
          <w:sz w:val="24"/>
        </w:rPr>
        <w:t> </w:t>
      </w:r>
      <w:r>
        <w:rPr>
          <w:sz w:val="24"/>
        </w:rPr>
        <w:t>or</w:t>
      </w:r>
      <w:r>
        <w:rPr>
          <w:spacing w:val="1"/>
          <w:sz w:val="24"/>
        </w:rPr>
        <w:t> </w:t>
      </w:r>
      <w:r>
        <w:rPr>
          <w:sz w:val="24"/>
        </w:rPr>
        <w:t>explanations</w:t>
      </w:r>
      <w:r>
        <w:rPr>
          <w:spacing w:val="-1"/>
          <w:sz w:val="24"/>
        </w:rPr>
        <w:t> </w:t>
      </w:r>
      <w:r>
        <w:rPr>
          <w:sz w:val="24"/>
        </w:rPr>
        <w:t>on</w:t>
      </w:r>
      <w:r>
        <w:rPr>
          <w:spacing w:val="-1"/>
          <w:sz w:val="24"/>
        </w:rPr>
        <w:t> </w:t>
      </w:r>
      <w:r>
        <w:rPr>
          <w:sz w:val="24"/>
        </w:rPr>
        <w:t>the</w:t>
      </w:r>
      <w:r>
        <w:rPr>
          <w:spacing w:val="-2"/>
          <w:sz w:val="24"/>
        </w:rPr>
        <w:t> </w:t>
      </w:r>
      <w:r>
        <w:rPr>
          <w:sz w:val="24"/>
        </w:rPr>
        <w:t>results</w:t>
      </w:r>
      <w:r>
        <w:rPr>
          <w:spacing w:val="-1"/>
          <w:sz w:val="24"/>
        </w:rPr>
        <w:t> </w:t>
      </w:r>
      <w:r>
        <w:rPr>
          <w:sz w:val="24"/>
        </w:rPr>
        <w:t>of</w:t>
      </w:r>
      <w:r>
        <w:rPr>
          <w:spacing w:val="-1"/>
          <w:sz w:val="24"/>
        </w:rPr>
        <w:t> </w:t>
      </w:r>
      <w:r>
        <w:rPr>
          <w:sz w:val="24"/>
        </w:rPr>
        <w:t>the</w:t>
      </w:r>
      <w:r>
        <w:rPr>
          <w:spacing w:val="-2"/>
          <w:sz w:val="24"/>
        </w:rPr>
        <w:t> </w:t>
      </w:r>
      <w:r>
        <w:rPr>
          <w:sz w:val="24"/>
        </w:rPr>
        <w:t>questionnaire</w:t>
      </w:r>
      <w:r>
        <w:rPr>
          <w:spacing w:val="-3"/>
          <w:sz w:val="24"/>
        </w:rPr>
        <w:t> </w:t>
      </w:r>
      <w:r>
        <w:rPr>
          <w:sz w:val="24"/>
        </w:rPr>
        <w:t>or</w:t>
      </w:r>
      <w:r>
        <w:rPr>
          <w:spacing w:val="-1"/>
          <w:sz w:val="24"/>
        </w:rPr>
        <w:t> </w:t>
      </w:r>
      <w:r>
        <w:rPr>
          <w:sz w:val="24"/>
        </w:rPr>
        <w:t>budget</w:t>
      </w:r>
      <w:r>
        <w:rPr>
          <w:spacing w:val="2"/>
          <w:sz w:val="24"/>
        </w:rPr>
        <w:t> </w:t>
      </w:r>
      <w:r>
        <w:rPr>
          <w:spacing w:val="-2"/>
          <w:sz w:val="24"/>
        </w:rPr>
        <w:t>analysis,</w:t>
      </w:r>
    </w:p>
    <w:p>
      <w:pPr>
        <w:pStyle w:val="ListParagraph"/>
        <w:numPr>
          <w:ilvl w:val="0"/>
          <w:numId w:val="106"/>
        </w:numPr>
        <w:tabs>
          <w:tab w:pos="505" w:val="left" w:leader="none"/>
        </w:tabs>
        <w:spacing w:line="360" w:lineRule="auto" w:before="139" w:after="0"/>
        <w:ind w:left="120" w:right="1120" w:firstLine="0"/>
        <w:jc w:val="left"/>
        <w:rPr>
          <w:sz w:val="24"/>
        </w:rPr>
      </w:pPr>
      <w:r>
        <w:rPr>
          <w:sz w:val="24"/>
        </w:rPr>
        <w:t>Allocation</w:t>
      </w:r>
      <w:r>
        <w:rPr>
          <w:spacing w:val="40"/>
          <w:sz w:val="24"/>
        </w:rPr>
        <w:t> </w:t>
      </w:r>
      <w:r>
        <w:rPr>
          <w:sz w:val="24"/>
        </w:rPr>
        <w:t>of</w:t>
      </w:r>
      <w:r>
        <w:rPr>
          <w:spacing w:val="40"/>
          <w:sz w:val="24"/>
        </w:rPr>
        <w:t> </w:t>
      </w:r>
      <w:r>
        <w:rPr>
          <w:sz w:val="24"/>
        </w:rPr>
        <w:t>percentage</w:t>
      </w:r>
      <w:r>
        <w:rPr>
          <w:spacing w:val="40"/>
          <w:sz w:val="24"/>
        </w:rPr>
        <w:t> </w:t>
      </w:r>
      <w:r>
        <w:rPr>
          <w:sz w:val="24"/>
        </w:rPr>
        <w:t>score</w:t>
      </w:r>
      <w:r>
        <w:rPr>
          <w:spacing w:val="40"/>
          <w:sz w:val="24"/>
        </w:rPr>
        <w:t> </w:t>
      </w:r>
      <w:r>
        <w:rPr>
          <w:sz w:val="24"/>
        </w:rPr>
        <w:t>to</w:t>
      </w:r>
      <w:r>
        <w:rPr>
          <w:spacing w:val="40"/>
          <w:sz w:val="24"/>
        </w:rPr>
        <w:t> </w:t>
      </w:r>
      <w:r>
        <w:rPr>
          <w:sz w:val="24"/>
        </w:rPr>
        <w:t>each</w:t>
      </w:r>
      <w:r>
        <w:rPr>
          <w:spacing w:val="40"/>
          <w:sz w:val="24"/>
        </w:rPr>
        <w:t> </w:t>
      </w:r>
      <w:r>
        <w:rPr>
          <w:sz w:val="24"/>
        </w:rPr>
        <w:t>performance</w:t>
      </w:r>
      <w:r>
        <w:rPr>
          <w:spacing w:val="40"/>
          <w:sz w:val="24"/>
        </w:rPr>
        <w:t> </w:t>
      </w:r>
      <w:r>
        <w:rPr>
          <w:sz w:val="24"/>
        </w:rPr>
        <w:t>variable</w:t>
      </w:r>
      <w:r>
        <w:rPr>
          <w:spacing w:val="40"/>
          <w:sz w:val="24"/>
        </w:rPr>
        <w:t> </w:t>
      </w:r>
      <w:r>
        <w:rPr>
          <w:sz w:val="24"/>
        </w:rPr>
        <w:t>based</w:t>
      </w:r>
      <w:r>
        <w:rPr>
          <w:spacing w:val="40"/>
          <w:sz w:val="24"/>
        </w:rPr>
        <w:t> </w:t>
      </w:r>
      <w:r>
        <w:rPr>
          <w:sz w:val="24"/>
        </w:rPr>
        <w:t>on</w:t>
      </w:r>
      <w:r>
        <w:rPr>
          <w:spacing w:val="40"/>
          <w:sz w:val="24"/>
        </w:rPr>
        <w:t> </w:t>
      </w:r>
      <w:r>
        <w:rPr>
          <w:sz w:val="24"/>
        </w:rPr>
        <w:t>the</w:t>
      </w:r>
      <w:r>
        <w:rPr>
          <w:spacing w:val="40"/>
          <w:sz w:val="24"/>
        </w:rPr>
        <w:t> </w:t>
      </w:r>
      <w:r>
        <w:rPr>
          <w:sz w:val="24"/>
        </w:rPr>
        <w:t>results</w:t>
      </w:r>
      <w:r>
        <w:rPr>
          <w:spacing w:val="40"/>
          <w:sz w:val="24"/>
        </w:rPr>
        <w:t> </w:t>
      </w:r>
      <w:r>
        <w:rPr>
          <w:sz w:val="24"/>
        </w:rPr>
        <w:t>of</w:t>
      </w:r>
      <w:r>
        <w:rPr>
          <w:spacing w:val="40"/>
          <w:sz w:val="24"/>
        </w:rPr>
        <w:t> </w:t>
      </w:r>
      <w:r>
        <w:rPr>
          <w:sz w:val="24"/>
        </w:rPr>
        <w:t>the analysis. The budget performance benchmark adopted by this study is 50%;</w:t>
      </w:r>
    </w:p>
    <w:p>
      <w:pPr>
        <w:pStyle w:val="ListParagraph"/>
        <w:numPr>
          <w:ilvl w:val="0"/>
          <w:numId w:val="106"/>
        </w:numPr>
        <w:tabs>
          <w:tab w:pos="444" w:val="left" w:leader="none"/>
        </w:tabs>
        <w:spacing w:line="240" w:lineRule="auto" w:before="0" w:after="0"/>
        <w:ind w:left="444" w:right="0" w:hanging="324"/>
        <w:jc w:val="left"/>
        <w:rPr>
          <w:sz w:val="24"/>
        </w:rPr>
      </w:pPr>
      <w:r>
        <w:rPr>
          <w:sz w:val="24"/>
        </w:rPr>
        <w:t>Allocation</w:t>
      </w:r>
      <w:r>
        <w:rPr>
          <w:spacing w:val="-3"/>
          <w:sz w:val="24"/>
        </w:rPr>
        <w:t> </w:t>
      </w:r>
      <w:r>
        <w:rPr>
          <w:sz w:val="24"/>
        </w:rPr>
        <w:t>of</w:t>
      </w:r>
      <w:r>
        <w:rPr>
          <w:spacing w:val="-2"/>
          <w:sz w:val="24"/>
        </w:rPr>
        <w:t> </w:t>
      </w:r>
      <w:r>
        <w:rPr>
          <w:sz w:val="24"/>
        </w:rPr>
        <w:t>grade</w:t>
      </w:r>
      <w:r>
        <w:rPr>
          <w:spacing w:val="-2"/>
          <w:sz w:val="24"/>
        </w:rPr>
        <w:t> </w:t>
      </w:r>
      <w:r>
        <w:rPr>
          <w:sz w:val="24"/>
        </w:rPr>
        <w:t>ratings to</w:t>
      </w:r>
      <w:r>
        <w:rPr>
          <w:spacing w:val="-1"/>
          <w:sz w:val="24"/>
        </w:rPr>
        <w:t> </w:t>
      </w:r>
      <w:r>
        <w:rPr>
          <w:sz w:val="24"/>
        </w:rPr>
        <w:t>each variable,</w:t>
      </w:r>
      <w:r>
        <w:rPr>
          <w:spacing w:val="-1"/>
          <w:sz w:val="24"/>
        </w:rPr>
        <w:t> </w:t>
      </w:r>
      <w:r>
        <w:rPr>
          <w:sz w:val="24"/>
        </w:rPr>
        <w:t>based</w:t>
      </w:r>
      <w:r>
        <w:rPr>
          <w:spacing w:val="-1"/>
          <w:sz w:val="24"/>
        </w:rPr>
        <w:t> </w:t>
      </w:r>
      <w:r>
        <w:rPr>
          <w:sz w:val="24"/>
        </w:rPr>
        <w:t>on the</w:t>
      </w:r>
      <w:r>
        <w:rPr>
          <w:spacing w:val="-1"/>
          <w:sz w:val="24"/>
        </w:rPr>
        <w:t> </w:t>
      </w:r>
      <w:r>
        <w:rPr>
          <w:sz w:val="24"/>
        </w:rPr>
        <w:t>percentage</w:t>
      </w:r>
      <w:r>
        <w:rPr>
          <w:spacing w:val="-1"/>
          <w:sz w:val="24"/>
        </w:rPr>
        <w:t> </w:t>
      </w:r>
      <w:r>
        <w:rPr>
          <w:spacing w:val="-2"/>
          <w:sz w:val="24"/>
        </w:rPr>
        <w:t>scores;</w:t>
      </w:r>
    </w:p>
    <w:p>
      <w:pPr>
        <w:pStyle w:val="ListParagraph"/>
        <w:numPr>
          <w:ilvl w:val="0"/>
          <w:numId w:val="106"/>
        </w:numPr>
        <w:tabs>
          <w:tab w:pos="417" w:val="left" w:leader="none"/>
        </w:tabs>
        <w:spacing w:line="240" w:lineRule="auto" w:before="137" w:after="0"/>
        <w:ind w:left="417" w:right="0" w:hanging="297"/>
        <w:jc w:val="left"/>
        <w:rPr>
          <w:sz w:val="24"/>
        </w:rPr>
      </w:pPr>
      <w:r>
        <w:rPr>
          <w:sz w:val="24"/>
        </w:rPr>
        <w:t>Decision</w:t>
      </w:r>
      <w:r>
        <w:rPr>
          <w:spacing w:val="-1"/>
          <w:sz w:val="24"/>
        </w:rPr>
        <w:t> </w:t>
      </w:r>
      <w:r>
        <w:rPr>
          <w:sz w:val="24"/>
        </w:rPr>
        <w:t>or</w:t>
      </w:r>
      <w:r>
        <w:rPr>
          <w:spacing w:val="-2"/>
          <w:sz w:val="24"/>
        </w:rPr>
        <w:t> </w:t>
      </w:r>
      <w:r>
        <w:rPr>
          <w:sz w:val="24"/>
        </w:rPr>
        <w:t>remarks</w:t>
      </w:r>
      <w:r>
        <w:rPr>
          <w:spacing w:val="-2"/>
          <w:sz w:val="24"/>
        </w:rPr>
        <w:t> </w:t>
      </w:r>
      <w:r>
        <w:rPr>
          <w:sz w:val="24"/>
        </w:rPr>
        <w:t>on</w:t>
      </w:r>
      <w:r>
        <w:rPr>
          <w:spacing w:val="-1"/>
          <w:sz w:val="24"/>
        </w:rPr>
        <w:t> </w:t>
      </w:r>
      <w:r>
        <w:rPr>
          <w:sz w:val="24"/>
        </w:rPr>
        <w:t>the</w:t>
      </w:r>
      <w:r>
        <w:rPr>
          <w:spacing w:val="-1"/>
          <w:sz w:val="24"/>
        </w:rPr>
        <w:t> </w:t>
      </w:r>
      <w:r>
        <w:rPr>
          <w:sz w:val="24"/>
        </w:rPr>
        <w:t>percentages/grades for</w:t>
      </w:r>
      <w:r>
        <w:rPr>
          <w:spacing w:val="-2"/>
          <w:sz w:val="24"/>
        </w:rPr>
        <w:t> </w:t>
      </w:r>
      <w:r>
        <w:rPr>
          <w:sz w:val="24"/>
        </w:rPr>
        <w:t>each</w:t>
      </w:r>
      <w:r>
        <w:rPr>
          <w:spacing w:val="-1"/>
          <w:sz w:val="24"/>
        </w:rPr>
        <w:t> </w:t>
      </w:r>
      <w:r>
        <w:rPr>
          <w:sz w:val="24"/>
        </w:rPr>
        <w:t>variable;</w:t>
      </w:r>
      <w:r>
        <w:rPr>
          <w:spacing w:val="-1"/>
          <w:sz w:val="24"/>
        </w:rPr>
        <w:t> </w:t>
      </w:r>
      <w:r>
        <w:rPr>
          <w:spacing w:val="-5"/>
          <w:sz w:val="24"/>
        </w:rPr>
        <w:t>and</w:t>
      </w:r>
    </w:p>
    <w:p>
      <w:pPr>
        <w:pStyle w:val="ListParagraph"/>
        <w:numPr>
          <w:ilvl w:val="0"/>
          <w:numId w:val="106"/>
        </w:numPr>
        <w:tabs>
          <w:tab w:pos="565" w:val="left" w:leader="none"/>
        </w:tabs>
        <w:spacing w:line="360" w:lineRule="auto" w:before="139" w:after="0"/>
        <w:ind w:left="120" w:right="1120" w:firstLine="0"/>
        <w:jc w:val="both"/>
        <w:rPr>
          <w:sz w:val="24"/>
        </w:rPr>
      </w:pPr>
      <w:r>
        <w:rPr>
          <w:sz w:val="24"/>
        </w:rPr>
        <w:t>Computation of the average percentage housing budget performance based on the performance of all identified performance variables. This research adopts the average percentage performance figure as the overall housing budget performance of Anambra State.</w:t>
      </w:r>
    </w:p>
    <w:p>
      <w:pPr>
        <w:spacing w:after="0" w:line="360" w:lineRule="auto"/>
        <w:jc w:val="both"/>
        <w:rPr>
          <w:sz w:val="24"/>
        </w:rPr>
        <w:sectPr>
          <w:pgSz w:w="12240" w:h="15840"/>
          <w:pgMar w:header="0" w:footer="1036" w:top="1360" w:bottom="1220" w:left="1320" w:right="320"/>
        </w:sectPr>
      </w:pPr>
    </w:p>
    <w:p>
      <w:pPr>
        <w:pStyle w:val="BodyText"/>
        <w:spacing w:line="360" w:lineRule="auto" w:before="74"/>
        <w:ind w:left="120" w:right="1117"/>
      </w:pPr>
      <w:r>
        <w:rPr/>
        <w:t>Table</w:t>
      </w:r>
      <w:r>
        <w:rPr>
          <w:spacing w:val="26"/>
        </w:rPr>
        <w:t> </w:t>
      </w:r>
      <w:r>
        <w:rPr/>
        <w:t>5.27</w:t>
      </w:r>
      <w:r>
        <w:rPr>
          <w:spacing w:val="26"/>
        </w:rPr>
        <w:t> </w:t>
      </w:r>
      <w:r>
        <w:rPr/>
        <w:t>shows</w:t>
      </w:r>
      <w:r>
        <w:rPr>
          <w:spacing w:val="26"/>
        </w:rPr>
        <w:t> </w:t>
      </w:r>
      <w:r>
        <w:rPr/>
        <w:t>the</w:t>
      </w:r>
      <w:r>
        <w:rPr>
          <w:spacing w:val="25"/>
        </w:rPr>
        <w:t> </w:t>
      </w:r>
      <w:r>
        <w:rPr/>
        <w:t>appraisal</w:t>
      </w:r>
      <w:r>
        <w:rPr>
          <w:spacing w:val="26"/>
        </w:rPr>
        <w:t> </w:t>
      </w:r>
      <w:r>
        <w:rPr/>
        <w:t>system</w:t>
      </w:r>
      <w:r>
        <w:rPr>
          <w:spacing w:val="29"/>
        </w:rPr>
        <w:t> </w:t>
      </w:r>
      <w:r>
        <w:rPr/>
        <w:t>or</w:t>
      </w:r>
      <w:r>
        <w:rPr>
          <w:spacing w:val="28"/>
        </w:rPr>
        <w:t> </w:t>
      </w:r>
      <w:r>
        <w:rPr/>
        <w:t>criteria</w:t>
      </w:r>
      <w:r>
        <w:rPr>
          <w:spacing w:val="29"/>
        </w:rPr>
        <w:t> </w:t>
      </w:r>
      <w:r>
        <w:rPr/>
        <w:t>adopted</w:t>
      </w:r>
      <w:r>
        <w:rPr>
          <w:spacing w:val="26"/>
        </w:rPr>
        <w:t> </w:t>
      </w:r>
      <w:r>
        <w:rPr/>
        <w:t>by</w:t>
      </w:r>
      <w:r>
        <w:rPr>
          <w:spacing w:val="21"/>
        </w:rPr>
        <w:t> </w:t>
      </w:r>
      <w:r>
        <w:rPr/>
        <w:t>the</w:t>
      </w:r>
      <w:r>
        <w:rPr>
          <w:spacing w:val="27"/>
        </w:rPr>
        <w:t> </w:t>
      </w:r>
      <w:r>
        <w:rPr/>
        <w:t>researcher,</w:t>
      </w:r>
      <w:r>
        <w:rPr>
          <w:spacing w:val="25"/>
        </w:rPr>
        <w:t> </w:t>
      </w:r>
      <w:r>
        <w:rPr/>
        <w:t>while</w:t>
      </w:r>
      <w:r>
        <w:rPr>
          <w:spacing w:val="26"/>
        </w:rPr>
        <w:t> </w:t>
      </w:r>
      <w:r>
        <w:rPr/>
        <w:t>Table</w:t>
      </w:r>
      <w:r>
        <w:rPr>
          <w:spacing w:val="26"/>
        </w:rPr>
        <w:t> </w:t>
      </w:r>
      <w:r>
        <w:rPr/>
        <w:t>5.28 shows the appraisal summary of housing budget performance.</w:t>
      </w:r>
    </w:p>
    <w:p>
      <w:pPr>
        <w:pStyle w:val="BodyText"/>
        <w:spacing w:before="36"/>
      </w:pPr>
    </w:p>
    <w:p>
      <w:pPr>
        <w:pStyle w:val="Heading4"/>
        <w:spacing w:before="1"/>
        <w:ind w:left="120"/>
        <w:jc w:val="left"/>
      </w:pPr>
      <w:r>
        <w:rPr/>
        <w:t>Table</w:t>
      </w:r>
      <w:r>
        <w:rPr>
          <w:spacing w:val="-2"/>
        </w:rPr>
        <w:t> </w:t>
      </w:r>
      <w:r>
        <w:rPr/>
        <w:t>5.27.</w:t>
      </w:r>
      <w:r>
        <w:rPr>
          <w:spacing w:val="-1"/>
        </w:rPr>
        <w:t> </w:t>
      </w:r>
      <w:r>
        <w:rPr/>
        <w:t>Appraisal</w:t>
      </w:r>
      <w:r>
        <w:rPr>
          <w:spacing w:val="-4"/>
        </w:rPr>
        <w:t> </w:t>
      </w:r>
      <w:r>
        <w:rPr/>
        <w:t>System/Criteria</w:t>
      </w:r>
      <w:r>
        <w:rPr>
          <w:spacing w:val="1"/>
        </w:rPr>
        <w:t> </w:t>
      </w:r>
      <w:r>
        <w:rPr/>
        <w:t>for</w:t>
      </w:r>
      <w:r>
        <w:rPr>
          <w:spacing w:val="-2"/>
        </w:rPr>
        <w:t> </w:t>
      </w:r>
      <w:r>
        <w:rPr/>
        <w:t>Housing</w:t>
      </w:r>
      <w:r>
        <w:rPr>
          <w:spacing w:val="-2"/>
        </w:rPr>
        <w:t> </w:t>
      </w:r>
      <w:r>
        <w:rPr/>
        <w:t>Budget</w:t>
      </w:r>
      <w:r>
        <w:rPr>
          <w:spacing w:val="-1"/>
        </w:rPr>
        <w:t> </w:t>
      </w:r>
      <w:r>
        <w:rPr/>
        <w:t>Performance</w:t>
      </w:r>
      <w:r>
        <w:rPr>
          <w:spacing w:val="-3"/>
        </w:rPr>
        <w:t> </w:t>
      </w:r>
      <w:r>
        <w:rPr/>
        <w:t>in</w:t>
      </w:r>
      <w:r>
        <w:rPr>
          <w:spacing w:val="1"/>
        </w:rPr>
        <w:t> </w:t>
      </w:r>
      <w:r>
        <w:rPr/>
        <w:t>Anambra</w:t>
      </w:r>
      <w:r>
        <w:rPr>
          <w:spacing w:val="-1"/>
        </w:rPr>
        <w:t> </w:t>
      </w:r>
      <w:r>
        <w:rPr>
          <w:spacing w:val="-2"/>
        </w:rPr>
        <w:t>State</w:t>
      </w:r>
    </w:p>
    <w:p>
      <w:pPr>
        <w:pStyle w:val="BodyText"/>
        <w:spacing w:before="8"/>
        <w:rPr>
          <w:b/>
          <w:sz w:val="10"/>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8"/>
        <w:gridCol w:w="2081"/>
        <w:gridCol w:w="2107"/>
        <w:gridCol w:w="2061"/>
        <w:gridCol w:w="1998"/>
      </w:tblGrid>
      <w:tr>
        <w:trPr>
          <w:trHeight w:val="374" w:hRule="atLeast"/>
        </w:trPr>
        <w:tc>
          <w:tcPr>
            <w:tcW w:w="1238" w:type="dxa"/>
            <w:tcBorders>
              <w:top w:val="single" w:sz="4" w:space="0" w:color="000000"/>
              <w:bottom w:val="single" w:sz="4" w:space="0" w:color="000000"/>
            </w:tcBorders>
            <w:shd w:val="clear" w:color="auto" w:fill="DBE4F0"/>
          </w:tcPr>
          <w:p>
            <w:pPr>
              <w:pStyle w:val="TableParagraph"/>
              <w:spacing w:line="251" w:lineRule="exact"/>
              <w:ind w:left="122"/>
              <w:rPr>
                <w:b/>
                <w:sz w:val="22"/>
              </w:rPr>
            </w:pPr>
            <w:r>
              <w:rPr>
                <w:b/>
                <w:spacing w:val="-2"/>
                <w:sz w:val="22"/>
              </w:rPr>
              <w:t>Remark</w:t>
            </w:r>
          </w:p>
        </w:tc>
        <w:tc>
          <w:tcPr>
            <w:tcW w:w="2081" w:type="dxa"/>
            <w:tcBorders>
              <w:top w:val="single" w:sz="4" w:space="0" w:color="000000"/>
              <w:bottom w:val="single" w:sz="4" w:space="0" w:color="000000"/>
            </w:tcBorders>
            <w:shd w:val="clear" w:color="auto" w:fill="DBE4F0"/>
          </w:tcPr>
          <w:p>
            <w:pPr>
              <w:pStyle w:val="TableParagraph"/>
              <w:spacing w:line="247" w:lineRule="exact"/>
              <w:ind w:right="124"/>
              <w:jc w:val="center"/>
              <w:rPr>
                <w:sz w:val="22"/>
              </w:rPr>
            </w:pPr>
            <w:r>
              <w:rPr>
                <w:sz w:val="22"/>
              </w:rPr>
              <w:t>High</w:t>
            </w:r>
            <w:r>
              <w:rPr>
                <w:spacing w:val="-5"/>
                <w:sz w:val="22"/>
              </w:rPr>
              <w:t> </w:t>
            </w:r>
            <w:r>
              <w:rPr>
                <w:spacing w:val="-2"/>
                <w:sz w:val="22"/>
              </w:rPr>
              <w:t>Performance</w:t>
            </w:r>
          </w:p>
        </w:tc>
        <w:tc>
          <w:tcPr>
            <w:tcW w:w="2107" w:type="dxa"/>
            <w:tcBorders>
              <w:top w:val="single" w:sz="4" w:space="0" w:color="000000"/>
              <w:bottom w:val="single" w:sz="4" w:space="0" w:color="000000"/>
            </w:tcBorders>
            <w:shd w:val="clear" w:color="auto" w:fill="DBE4F0"/>
          </w:tcPr>
          <w:p>
            <w:pPr>
              <w:pStyle w:val="TableParagraph"/>
              <w:spacing w:line="247" w:lineRule="exact"/>
              <w:ind w:left="16" w:right="2"/>
              <w:jc w:val="center"/>
              <w:rPr>
                <w:sz w:val="22"/>
              </w:rPr>
            </w:pPr>
            <w:r>
              <w:rPr>
                <w:sz w:val="22"/>
              </w:rPr>
              <w:t>Fair</w:t>
            </w:r>
            <w:r>
              <w:rPr>
                <w:spacing w:val="1"/>
                <w:sz w:val="22"/>
              </w:rPr>
              <w:t> </w:t>
            </w:r>
            <w:r>
              <w:rPr>
                <w:spacing w:val="-2"/>
                <w:sz w:val="22"/>
              </w:rPr>
              <w:t>Performance</w:t>
            </w:r>
          </w:p>
        </w:tc>
        <w:tc>
          <w:tcPr>
            <w:tcW w:w="2061" w:type="dxa"/>
            <w:tcBorders>
              <w:top w:val="single" w:sz="4" w:space="0" w:color="000000"/>
              <w:bottom w:val="single" w:sz="4" w:space="0" w:color="000000"/>
            </w:tcBorders>
            <w:shd w:val="clear" w:color="auto" w:fill="DBE4F0"/>
          </w:tcPr>
          <w:p>
            <w:pPr>
              <w:pStyle w:val="TableParagraph"/>
              <w:spacing w:line="247" w:lineRule="exact"/>
              <w:ind w:left="76"/>
              <w:jc w:val="center"/>
              <w:rPr>
                <w:sz w:val="22"/>
              </w:rPr>
            </w:pPr>
            <w:r>
              <w:rPr>
                <w:sz w:val="22"/>
              </w:rPr>
              <w:t>Low</w:t>
            </w:r>
            <w:r>
              <w:rPr>
                <w:spacing w:val="-2"/>
                <w:sz w:val="22"/>
              </w:rPr>
              <w:t> Performance</w:t>
            </w:r>
          </w:p>
        </w:tc>
        <w:tc>
          <w:tcPr>
            <w:tcW w:w="1998" w:type="dxa"/>
            <w:tcBorders>
              <w:top w:val="single" w:sz="4" w:space="0" w:color="000000"/>
              <w:bottom w:val="single" w:sz="4" w:space="0" w:color="000000"/>
            </w:tcBorders>
            <w:shd w:val="clear" w:color="auto" w:fill="DBE4F0"/>
          </w:tcPr>
          <w:p>
            <w:pPr>
              <w:pStyle w:val="TableParagraph"/>
              <w:spacing w:line="247" w:lineRule="exact"/>
              <w:ind w:left="4" w:right="6"/>
              <w:jc w:val="center"/>
              <w:rPr>
                <w:sz w:val="22"/>
              </w:rPr>
            </w:pPr>
            <w:r>
              <w:rPr>
                <w:sz w:val="22"/>
              </w:rPr>
              <w:t>Poor</w:t>
            </w:r>
            <w:r>
              <w:rPr>
                <w:spacing w:val="-2"/>
                <w:sz w:val="22"/>
              </w:rPr>
              <w:t> Performance</w:t>
            </w:r>
          </w:p>
        </w:tc>
      </w:tr>
      <w:tr>
        <w:trPr>
          <w:trHeight w:val="312" w:hRule="atLeast"/>
        </w:trPr>
        <w:tc>
          <w:tcPr>
            <w:tcW w:w="1238" w:type="dxa"/>
            <w:tcBorders>
              <w:top w:val="single" w:sz="4" w:space="0" w:color="000000"/>
            </w:tcBorders>
          </w:tcPr>
          <w:p>
            <w:pPr>
              <w:pStyle w:val="TableParagraph"/>
              <w:spacing w:line="251" w:lineRule="exact"/>
              <w:ind w:left="122"/>
              <w:rPr>
                <w:b/>
                <w:sz w:val="22"/>
              </w:rPr>
            </w:pPr>
            <w:r>
              <w:rPr>
                <w:b/>
                <w:sz w:val="22"/>
              </w:rPr>
              <w:t>Score</w:t>
            </w:r>
            <w:r>
              <w:rPr>
                <w:b/>
                <w:spacing w:val="-2"/>
                <w:sz w:val="22"/>
              </w:rPr>
              <w:t> </w:t>
            </w:r>
            <w:r>
              <w:rPr>
                <w:b/>
                <w:spacing w:val="-5"/>
                <w:sz w:val="22"/>
              </w:rPr>
              <w:t>(%)</w:t>
            </w:r>
          </w:p>
        </w:tc>
        <w:tc>
          <w:tcPr>
            <w:tcW w:w="2081" w:type="dxa"/>
            <w:tcBorders>
              <w:top w:val="single" w:sz="4" w:space="0" w:color="000000"/>
            </w:tcBorders>
          </w:tcPr>
          <w:p>
            <w:pPr>
              <w:pStyle w:val="TableParagraph"/>
              <w:spacing w:line="247" w:lineRule="exact"/>
              <w:ind w:left="2" w:right="124"/>
              <w:jc w:val="center"/>
              <w:rPr>
                <w:sz w:val="22"/>
              </w:rPr>
            </w:pPr>
            <w:r>
              <w:rPr>
                <w:sz w:val="22"/>
              </w:rPr>
              <w:t>70 -</w:t>
            </w:r>
            <w:r>
              <w:rPr>
                <w:spacing w:val="-4"/>
                <w:sz w:val="22"/>
              </w:rPr>
              <w:t> </w:t>
            </w:r>
            <w:r>
              <w:rPr>
                <w:spacing w:val="-5"/>
                <w:sz w:val="22"/>
              </w:rPr>
              <w:t>90</w:t>
            </w:r>
          </w:p>
        </w:tc>
        <w:tc>
          <w:tcPr>
            <w:tcW w:w="2107" w:type="dxa"/>
            <w:tcBorders>
              <w:top w:val="single" w:sz="4" w:space="0" w:color="000000"/>
            </w:tcBorders>
          </w:tcPr>
          <w:p>
            <w:pPr>
              <w:pStyle w:val="TableParagraph"/>
              <w:spacing w:line="247" w:lineRule="exact"/>
              <w:ind w:left="16"/>
              <w:jc w:val="center"/>
              <w:rPr>
                <w:sz w:val="22"/>
              </w:rPr>
            </w:pPr>
            <w:r>
              <w:rPr>
                <w:sz w:val="22"/>
              </w:rPr>
              <w:t>50 – </w:t>
            </w:r>
            <w:r>
              <w:rPr>
                <w:spacing w:val="-5"/>
                <w:sz w:val="22"/>
              </w:rPr>
              <w:t>69</w:t>
            </w:r>
          </w:p>
        </w:tc>
        <w:tc>
          <w:tcPr>
            <w:tcW w:w="2061" w:type="dxa"/>
            <w:tcBorders>
              <w:top w:val="single" w:sz="4" w:space="0" w:color="000000"/>
            </w:tcBorders>
          </w:tcPr>
          <w:p>
            <w:pPr>
              <w:pStyle w:val="TableParagraph"/>
              <w:spacing w:line="247" w:lineRule="exact"/>
              <w:ind w:left="76" w:right="6"/>
              <w:jc w:val="center"/>
              <w:rPr>
                <w:sz w:val="22"/>
              </w:rPr>
            </w:pPr>
            <w:r>
              <w:rPr>
                <w:sz w:val="22"/>
              </w:rPr>
              <w:t>30 -</w:t>
            </w:r>
            <w:r>
              <w:rPr>
                <w:spacing w:val="-4"/>
                <w:sz w:val="22"/>
              </w:rPr>
              <w:t> </w:t>
            </w:r>
            <w:r>
              <w:rPr>
                <w:spacing w:val="-5"/>
                <w:sz w:val="22"/>
              </w:rPr>
              <w:t>49</w:t>
            </w:r>
          </w:p>
        </w:tc>
        <w:tc>
          <w:tcPr>
            <w:tcW w:w="1998" w:type="dxa"/>
            <w:tcBorders>
              <w:top w:val="single" w:sz="4" w:space="0" w:color="000000"/>
            </w:tcBorders>
          </w:tcPr>
          <w:p>
            <w:pPr>
              <w:pStyle w:val="TableParagraph"/>
              <w:spacing w:line="247" w:lineRule="exact"/>
              <w:ind w:right="6"/>
              <w:jc w:val="center"/>
              <w:rPr>
                <w:sz w:val="22"/>
              </w:rPr>
            </w:pPr>
            <w:r>
              <w:rPr>
                <w:sz w:val="22"/>
              </w:rPr>
              <w:t>0 -</w:t>
            </w:r>
            <w:r>
              <w:rPr>
                <w:spacing w:val="-4"/>
                <w:sz w:val="22"/>
              </w:rPr>
              <w:t> </w:t>
            </w:r>
            <w:r>
              <w:rPr>
                <w:spacing w:val="-5"/>
                <w:sz w:val="22"/>
              </w:rPr>
              <w:t>29</w:t>
            </w:r>
          </w:p>
        </w:tc>
      </w:tr>
      <w:tr>
        <w:trPr>
          <w:trHeight w:val="433" w:hRule="atLeast"/>
        </w:trPr>
        <w:tc>
          <w:tcPr>
            <w:tcW w:w="1238" w:type="dxa"/>
            <w:tcBorders>
              <w:bottom w:val="single" w:sz="4" w:space="0" w:color="000000"/>
            </w:tcBorders>
          </w:tcPr>
          <w:p>
            <w:pPr>
              <w:pStyle w:val="TableParagraph"/>
              <w:spacing w:before="57"/>
              <w:ind w:left="122"/>
              <w:rPr>
                <w:b/>
                <w:sz w:val="22"/>
              </w:rPr>
            </w:pPr>
            <w:r>
              <w:rPr>
                <w:b/>
                <w:spacing w:val="-2"/>
                <w:sz w:val="22"/>
              </w:rPr>
              <w:t>Rating</w:t>
            </w:r>
          </w:p>
        </w:tc>
        <w:tc>
          <w:tcPr>
            <w:tcW w:w="2081" w:type="dxa"/>
            <w:tcBorders>
              <w:bottom w:val="single" w:sz="4" w:space="0" w:color="000000"/>
            </w:tcBorders>
          </w:tcPr>
          <w:p>
            <w:pPr>
              <w:pStyle w:val="TableParagraph"/>
              <w:spacing w:before="52"/>
              <w:ind w:left="6" w:right="124"/>
              <w:jc w:val="center"/>
              <w:rPr>
                <w:sz w:val="22"/>
              </w:rPr>
            </w:pPr>
            <w:r>
              <w:rPr>
                <w:spacing w:val="-10"/>
                <w:sz w:val="22"/>
              </w:rPr>
              <w:t>A</w:t>
            </w:r>
          </w:p>
        </w:tc>
        <w:tc>
          <w:tcPr>
            <w:tcW w:w="2107" w:type="dxa"/>
            <w:tcBorders>
              <w:bottom w:val="single" w:sz="4" w:space="0" w:color="000000"/>
            </w:tcBorders>
          </w:tcPr>
          <w:p>
            <w:pPr>
              <w:pStyle w:val="TableParagraph"/>
              <w:spacing w:before="52"/>
              <w:ind w:left="16" w:right="2"/>
              <w:jc w:val="center"/>
              <w:rPr>
                <w:sz w:val="22"/>
              </w:rPr>
            </w:pPr>
            <w:r>
              <w:rPr>
                <w:spacing w:val="-10"/>
                <w:sz w:val="22"/>
              </w:rPr>
              <w:t>B</w:t>
            </w:r>
          </w:p>
        </w:tc>
        <w:tc>
          <w:tcPr>
            <w:tcW w:w="2061" w:type="dxa"/>
            <w:tcBorders>
              <w:bottom w:val="single" w:sz="4" w:space="0" w:color="000000"/>
            </w:tcBorders>
          </w:tcPr>
          <w:p>
            <w:pPr>
              <w:pStyle w:val="TableParagraph"/>
              <w:spacing w:before="52"/>
              <w:ind w:left="76"/>
              <w:jc w:val="center"/>
              <w:rPr>
                <w:sz w:val="22"/>
              </w:rPr>
            </w:pPr>
            <w:r>
              <w:rPr>
                <w:spacing w:val="-10"/>
                <w:sz w:val="22"/>
              </w:rPr>
              <w:t>C</w:t>
            </w:r>
          </w:p>
        </w:tc>
        <w:tc>
          <w:tcPr>
            <w:tcW w:w="1998" w:type="dxa"/>
            <w:tcBorders>
              <w:bottom w:val="single" w:sz="4" w:space="0" w:color="000000"/>
            </w:tcBorders>
          </w:tcPr>
          <w:p>
            <w:pPr>
              <w:pStyle w:val="TableParagraph"/>
              <w:spacing w:before="52"/>
              <w:ind w:left="4" w:right="6"/>
              <w:jc w:val="center"/>
              <w:rPr>
                <w:sz w:val="22"/>
              </w:rPr>
            </w:pPr>
            <w:r>
              <w:rPr>
                <w:spacing w:val="-10"/>
                <w:sz w:val="22"/>
              </w:rPr>
              <w:t>D</w:t>
            </w:r>
          </w:p>
        </w:tc>
      </w:tr>
    </w:tbl>
    <w:p>
      <w:pPr>
        <w:spacing w:before="16"/>
        <w:ind w:left="120" w:right="0" w:firstLine="0"/>
        <w:jc w:val="left"/>
        <w:rPr>
          <w:sz w:val="24"/>
        </w:rPr>
      </w:pPr>
      <w:r>
        <w:rPr>
          <w:b/>
          <w:sz w:val="24"/>
        </w:rPr>
        <w:t>Source:</w:t>
      </w:r>
      <w:r>
        <w:rPr>
          <w:b/>
          <w:spacing w:val="-3"/>
          <w:sz w:val="24"/>
        </w:rPr>
        <w:t> </w:t>
      </w:r>
      <w:r>
        <w:rPr>
          <w:sz w:val="24"/>
        </w:rPr>
        <w:t>Researcher‘s</w:t>
      </w:r>
      <w:r>
        <w:rPr>
          <w:spacing w:val="-2"/>
          <w:sz w:val="24"/>
        </w:rPr>
        <w:t> </w:t>
      </w:r>
      <w:r>
        <w:rPr>
          <w:sz w:val="24"/>
        </w:rPr>
        <w:t>field</w:t>
      </w:r>
      <w:r>
        <w:rPr>
          <w:spacing w:val="-1"/>
          <w:sz w:val="24"/>
        </w:rPr>
        <w:t> </w:t>
      </w:r>
      <w:r>
        <w:rPr>
          <w:sz w:val="24"/>
        </w:rPr>
        <w:t>work</w:t>
      </w:r>
      <w:r>
        <w:rPr>
          <w:spacing w:val="-1"/>
          <w:sz w:val="24"/>
        </w:rPr>
        <w:t> </w:t>
      </w:r>
      <w:r>
        <w:rPr>
          <w:spacing w:val="-2"/>
          <w:sz w:val="24"/>
        </w:rPr>
        <w:t>(2017)</w:t>
      </w:r>
    </w:p>
    <w:p>
      <w:pPr>
        <w:pStyle w:val="BodyText"/>
        <w:spacing w:before="176"/>
      </w:pPr>
    </w:p>
    <w:p>
      <w:pPr>
        <w:pStyle w:val="Heading4"/>
        <w:ind w:left="120"/>
        <w:jc w:val="left"/>
      </w:pPr>
      <w:r>
        <w:rPr/>
        <w:t>Table</w:t>
      </w:r>
      <w:r>
        <w:rPr>
          <w:spacing w:val="-3"/>
        </w:rPr>
        <w:t> </w:t>
      </w:r>
      <w:r>
        <w:rPr/>
        <w:t>5.28.</w:t>
      </w:r>
      <w:r>
        <w:rPr>
          <w:spacing w:val="-1"/>
        </w:rPr>
        <w:t> </w:t>
      </w:r>
      <w:r>
        <w:rPr/>
        <w:t>Appraisal</w:t>
      </w:r>
      <w:r>
        <w:rPr>
          <w:spacing w:val="-3"/>
        </w:rPr>
        <w:t> </w:t>
      </w:r>
      <w:r>
        <w:rPr/>
        <w:t>Summary</w:t>
      </w:r>
      <w:r>
        <w:rPr>
          <w:spacing w:val="-1"/>
        </w:rPr>
        <w:t> </w:t>
      </w:r>
      <w:r>
        <w:rPr/>
        <w:t>of</w:t>
      </w:r>
      <w:r>
        <w:rPr>
          <w:spacing w:val="-1"/>
        </w:rPr>
        <w:t> </w:t>
      </w:r>
      <w:r>
        <w:rPr/>
        <w:t>Housing</w:t>
      </w:r>
      <w:r>
        <w:rPr>
          <w:spacing w:val="-4"/>
        </w:rPr>
        <w:t> </w:t>
      </w:r>
      <w:r>
        <w:rPr/>
        <w:t>Budget</w:t>
      </w:r>
      <w:r>
        <w:rPr>
          <w:spacing w:val="-2"/>
        </w:rPr>
        <w:t> </w:t>
      </w:r>
      <w:r>
        <w:rPr/>
        <w:t>Performance</w:t>
      </w:r>
      <w:r>
        <w:rPr>
          <w:spacing w:val="-2"/>
        </w:rPr>
        <w:t> </w:t>
      </w:r>
      <w:r>
        <w:rPr/>
        <w:t>in</w:t>
      </w:r>
      <w:r>
        <w:rPr>
          <w:spacing w:val="-1"/>
        </w:rPr>
        <w:t> </w:t>
      </w:r>
      <w:r>
        <w:rPr/>
        <w:t>Anambra</w:t>
      </w:r>
      <w:r>
        <w:rPr>
          <w:spacing w:val="-1"/>
        </w:rPr>
        <w:t> </w:t>
      </w:r>
      <w:r>
        <w:rPr>
          <w:spacing w:val="-2"/>
        </w:rPr>
        <w:t>State</w:t>
      </w:r>
    </w:p>
    <w:p>
      <w:pPr>
        <w:pStyle w:val="BodyText"/>
        <w:spacing w:before="1" w:after="1"/>
        <w:rPr>
          <w:b/>
          <w:sz w:val="11"/>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4"/>
        <w:gridCol w:w="1926"/>
        <w:gridCol w:w="3603"/>
        <w:gridCol w:w="1256"/>
        <w:gridCol w:w="903"/>
        <w:gridCol w:w="1189"/>
      </w:tblGrid>
      <w:tr>
        <w:trPr>
          <w:trHeight w:val="758" w:hRule="atLeast"/>
        </w:trPr>
        <w:tc>
          <w:tcPr>
            <w:tcW w:w="594" w:type="dxa"/>
            <w:tcBorders>
              <w:top w:val="single" w:sz="4" w:space="0" w:color="000000"/>
              <w:bottom w:val="single" w:sz="4" w:space="0" w:color="000000"/>
            </w:tcBorders>
            <w:shd w:val="clear" w:color="auto" w:fill="DBE4F0"/>
          </w:tcPr>
          <w:p>
            <w:pPr>
              <w:pStyle w:val="TableParagraph"/>
              <w:spacing w:line="251" w:lineRule="exact"/>
              <w:ind w:left="108"/>
              <w:rPr>
                <w:b/>
                <w:sz w:val="22"/>
              </w:rPr>
            </w:pPr>
            <w:r>
              <w:rPr>
                <w:b/>
                <w:spacing w:val="-5"/>
                <w:sz w:val="22"/>
              </w:rPr>
              <w:t>S/N</w:t>
            </w:r>
          </w:p>
        </w:tc>
        <w:tc>
          <w:tcPr>
            <w:tcW w:w="1926" w:type="dxa"/>
            <w:tcBorders>
              <w:top w:val="single" w:sz="4" w:space="0" w:color="000000"/>
              <w:bottom w:val="single" w:sz="4" w:space="0" w:color="000000"/>
            </w:tcBorders>
            <w:shd w:val="clear" w:color="auto" w:fill="DBE4F0"/>
          </w:tcPr>
          <w:p>
            <w:pPr>
              <w:pStyle w:val="TableParagraph"/>
              <w:spacing w:line="251" w:lineRule="exact"/>
              <w:ind w:left="142"/>
              <w:rPr>
                <w:b/>
                <w:sz w:val="22"/>
              </w:rPr>
            </w:pPr>
            <w:r>
              <w:rPr>
                <w:b/>
                <w:spacing w:val="-2"/>
                <w:sz w:val="22"/>
              </w:rPr>
              <w:t>Variable</w:t>
            </w:r>
          </w:p>
        </w:tc>
        <w:tc>
          <w:tcPr>
            <w:tcW w:w="3603" w:type="dxa"/>
            <w:tcBorders>
              <w:top w:val="single" w:sz="4" w:space="0" w:color="000000"/>
              <w:bottom w:val="single" w:sz="4" w:space="0" w:color="000000"/>
            </w:tcBorders>
            <w:shd w:val="clear" w:color="auto" w:fill="DBE4F0"/>
          </w:tcPr>
          <w:p>
            <w:pPr>
              <w:pStyle w:val="TableParagraph"/>
              <w:ind w:left="108"/>
              <w:rPr>
                <w:b/>
                <w:sz w:val="22"/>
              </w:rPr>
            </w:pPr>
            <w:r>
              <w:rPr>
                <w:b/>
                <w:sz w:val="22"/>
              </w:rPr>
              <w:t>Brief explanation</w:t>
            </w:r>
            <w:r>
              <w:rPr>
                <w:b/>
                <w:spacing w:val="-2"/>
                <w:sz w:val="22"/>
              </w:rPr>
              <w:t> </w:t>
            </w:r>
            <w:r>
              <w:rPr>
                <w:b/>
                <w:sz w:val="22"/>
              </w:rPr>
              <w:t>and</w:t>
            </w:r>
            <w:r>
              <w:rPr>
                <w:b/>
                <w:spacing w:val="-2"/>
                <w:sz w:val="22"/>
              </w:rPr>
              <w:t> </w:t>
            </w:r>
            <w:r>
              <w:rPr>
                <w:b/>
                <w:sz w:val="22"/>
              </w:rPr>
              <w:t>cardinal</w:t>
            </w:r>
            <w:r>
              <w:rPr>
                <w:b/>
                <w:spacing w:val="-1"/>
                <w:sz w:val="22"/>
              </w:rPr>
              <w:t> </w:t>
            </w:r>
            <w:r>
              <w:rPr>
                <w:b/>
                <w:sz w:val="22"/>
              </w:rPr>
              <w:t>data </w:t>
            </w:r>
            <w:r>
              <w:rPr>
                <w:b/>
                <w:spacing w:val="-4"/>
                <w:sz w:val="22"/>
              </w:rPr>
              <w:t>used</w:t>
            </w:r>
          </w:p>
        </w:tc>
        <w:tc>
          <w:tcPr>
            <w:tcW w:w="1256" w:type="dxa"/>
            <w:tcBorders>
              <w:top w:val="single" w:sz="4" w:space="0" w:color="000000"/>
              <w:bottom w:val="single" w:sz="4" w:space="0" w:color="000000"/>
            </w:tcBorders>
            <w:shd w:val="clear" w:color="auto" w:fill="DBE4F0"/>
          </w:tcPr>
          <w:p>
            <w:pPr>
              <w:pStyle w:val="TableParagraph"/>
              <w:ind w:left="105"/>
              <w:rPr>
                <w:b/>
                <w:sz w:val="22"/>
              </w:rPr>
            </w:pPr>
            <w:r>
              <w:rPr>
                <w:b/>
                <w:spacing w:val="-2"/>
                <w:sz w:val="22"/>
              </w:rPr>
              <w:t>Percentage score</w:t>
            </w:r>
          </w:p>
        </w:tc>
        <w:tc>
          <w:tcPr>
            <w:tcW w:w="903" w:type="dxa"/>
            <w:tcBorders>
              <w:top w:val="single" w:sz="4" w:space="0" w:color="000000"/>
              <w:bottom w:val="single" w:sz="4" w:space="0" w:color="000000"/>
            </w:tcBorders>
            <w:shd w:val="clear" w:color="auto" w:fill="DBE4F0"/>
          </w:tcPr>
          <w:p>
            <w:pPr>
              <w:pStyle w:val="TableParagraph"/>
              <w:spacing w:line="251" w:lineRule="exact"/>
              <w:ind w:left="109"/>
              <w:rPr>
                <w:b/>
                <w:sz w:val="22"/>
              </w:rPr>
            </w:pPr>
            <w:r>
              <w:rPr>
                <w:b/>
                <w:spacing w:val="-2"/>
                <w:sz w:val="22"/>
              </w:rPr>
              <w:t>Rating</w:t>
            </w:r>
          </w:p>
        </w:tc>
        <w:tc>
          <w:tcPr>
            <w:tcW w:w="1189" w:type="dxa"/>
            <w:tcBorders>
              <w:top w:val="single" w:sz="4" w:space="0" w:color="000000"/>
              <w:bottom w:val="single" w:sz="4" w:space="0" w:color="000000"/>
            </w:tcBorders>
            <w:shd w:val="clear" w:color="auto" w:fill="DBE4F0"/>
          </w:tcPr>
          <w:p>
            <w:pPr>
              <w:pStyle w:val="TableParagraph"/>
              <w:ind w:left="107" w:right="220"/>
              <w:rPr>
                <w:b/>
                <w:sz w:val="22"/>
              </w:rPr>
            </w:pPr>
            <w:r>
              <w:rPr>
                <w:b/>
                <w:spacing w:val="-2"/>
                <w:sz w:val="22"/>
              </w:rPr>
              <w:t>Decision/ Remarks</w:t>
            </w:r>
          </w:p>
        </w:tc>
      </w:tr>
      <w:tr>
        <w:trPr>
          <w:trHeight w:val="414" w:hRule="atLeast"/>
        </w:trPr>
        <w:tc>
          <w:tcPr>
            <w:tcW w:w="9471" w:type="dxa"/>
            <w:gridSpan w:val="6"/>
            <w:tcBorders>
              <w:top w:val="single" w:sz="4" w:space="0" w:color="000000"/>
              <w:bottom w:val="single" w:sz="4" w:space="0" w:color="000000"/>
            </w:tcBorders>
          </w:tcPr>
          <w:p>
            <w:pPr>
              <w:pStyle w:val="TableParagraph"/>
              <w:spacing w:line="228" w:lineRule="exact"/>
              <w:ind w:left="108"/>
              <w:rPr>
                <w:b/>
                <w:sz w:val="20"/>
              </w:rPr>
            </w:pPr>
            <w:r>
              <w:rPr>
                <w:b/>
                <w:sz w:val="20"/>
              </w:rPr>
              <w:t>A.</w:t>
            </w:r>
            <w:r>
              <w:rPr>
                <w:b/>
                <w:spacing w:val="-9"/>
                <w:sz w:val="20"/>
              </w:rPr>
              <w:t> </w:t>
            </w:r>
            <w:r>
              <w:rPr>
                <w:b/>
                <w:sz w:val="20"/>
              </w:rPr>
              <w:t>Questionnaire</w:t>
            </w:r>
            <w:r>
              <w:rPr>
                <w:b/>
                <w:spacing w:val="-8"/>
                <w:sz w:val="20"/>
              </w:rPr>
              <w:t> </w:t>
            </w:r>
            <w:r>
              <w:rPr>
                <w:b/>
                <w:spacing w:val="-2"/>
                <w:sz w:val="20"/>
              </w:rPr>
              <w:t>Survey</w:t>
            </w:r>
          </w:p>
        </w:tc>
      </w:tr>
      <w:tr>
        <w:trPr>
          <w:trHeight w:val="414" w:hRule="atLeast"/>
        </w:trPr>
        <w:tc>
          <w:tcPr>
            <w:tcW w:w="2520" w:type="dxa"/>
            <w:gridSpan w:val="2"/>
            <w:tcBorders>
              <w:top w:val="single" w:sz="4" w:space="0" w:color="000000"/>
              <w:bottom w:val="single" w:sz="4" w:space="0" w:color="000000"/>
            </w:tcBorders>
            <w:shd w:val="clear" w:color="auto" w:fill="DBE4F0"/>
          </w:tcPr>
          <w:p>
            <w:pPr>
              <w:pStyle w:val="TableParagraph"/>
              <w:spacing w:line="202" w:lineRule="exact"/>
              <w:ind w:left="108"/>
              <w:rPr>
                <w:sz w:val="18"/>
              </w:rPr>
            </w:pPr>
            <w:r>
              <w:rPr>
                <w:sz w:val="18"/>
              </w:rPr>
              <w:t>Medium</w:t>
            </w:r>
            <w:r>
              <w:rPr>
                <w:spacing w:val="-3"/>
                <w:sz w:val="18"/>
              </w:rPr>
              <w:t> </w:t>
            </w:r>
            <w:r>
              <w:rPr>
                <w:sz w:val="18"/>
              </w:rPr>
              <w:t>Term</w:t>
            </w:r>
            <w:r>
              <w:rPr>
                <w:spacing w:val="-3"/>
                <w:sz w:val="18"/>
              </w:rPr>
              <w:t> </w:t>
            </w:r>
            <w:r>
              <w:rPr>
                <w:spacing w:val="-2"/>
                <w:sz w:val="18"/>
              </w:rPr>
              <w:t>Planning</w:t>
            </w:r>
          </w:p>
        </w:tc>
        <w:tc>
          <w:tcPr>
            <w:tcW w:w="6951" w:type="dxa"/>
            <w:gridSpan w:val="4"/>
            <w:tcBorders>
              <w:top w:val="single" w:sz="4" w:space="0" w:color="000000"/>
              <w:bottom w:val="single" w:sz="4" w:space="0" w:color="000000"/>
            </w:tcBorders>
          </w:tcPr>
          <w:p>
            <w:pPr>
              <w:pStyle w:val="TableParagraph"/>
              <w:rPr>
                <w:sz w:val="18"/>
              </w:rPr>
            </w:pPr>
          </w:p>
        </w:tc>
      </w:tr>
      <w:tr>
        <w:trPr>
          <w:trHeight w:val="924" w:hRule="atLeast"/>
        </w:trPr>
        <w:tc>
          <w:tcPr>
            <w:tcW w:w="594" w:type="dxa"/>
            <w:tcBorders>
              <w:top w:val="single" w:sz="4" w:space="0" w:color="000000"/>
            </w:tcBorders>
          </w:tcPr>
          <w:p>
            <w:pPr>
              <w:pStyle w:val="TableParagraph"/>
              <w:spacing w:line="202" w:lineRule="exact"/>
              <w:ind w:left="108"/>
              <w:rPr>
                <w:sz w:val="18"/>
              </w:rPr>
            </w:pPr>
            <w:r>
              <w:rPr>
                <w:spacing w:val="-5"/>
                <w:sz w:val="18"/>
              </w:rPr>
              <w:t>1)</w:t>
            </w:r>
          </w:p>
        </w:tc>
        <w:tc>
          <w:tcPr>
            <w:tcW w:w="1926" w:type="dxa"/>
            <w:tcBorders>
              <w:top w:val="single" w:sz="4" w:space="0" w:color="000000"/>
            </w:tcBorders>
          </w:tcPr>
          <w:p>
            <w:pPr>
              <w:pStyle w:val="TableParagraph"/>
              <w:ind w:left="142" w:right="342"/>
              <w:rPr>
                <w:sz w:val="18"/>
              </w:rPr>
            </w:pPr>
            <w:r>
              <w:rPr>
                <w:sz w:val="18"/>
              </w:rPr>
              <w:t>Preparation of the Housing budget in accordance</w:t>
            </w:r>
            <w:r>
              <w:rPr>
                <w:spacing w:val="-12"/>
                <w:sz w:val="18"/>
              </w:rPr>
              <w:t> </w:t>
            </w:r>
            <w:r>
              <w:rPr>
                <w:sz w:val="18"/>
              </w:rPr>
              <w:t>with</w:t>
            </w:r>
            <w:r>
              <w:rPr>
                <w:spacing w:val="-11"/>
                <w:sz w:val="18"/>
              </w:rPr>
              <w:t> </w:t>
            </w:r>
            <w:r>
              <w:rPr>
                <w:sz w:val="18"/>
              </w:rPr>
              <w:t>the </w:t>
            </w:r>
            <w:r>
              <w:rPr>
                <w:spacing w:val="-4"/>
                <w:sz w:val="18"/>
              </w:rPr>
              <w:t>MTEF</w:t>
            </w:r>
          </w:p>
        </w:tc>
        <w:tc>
          <w:tcPr>
            <w:tcW w:w="3603" w:type="dxa"/>
            <w:tcBorders>
              <w:top w:val="single" w:sz="4" w:space="0" w:color="000000"/>
            </w:tcBorders>
          </w:tcPr>
          <w:p>
            <w:pPr>
              <w:pStyle w:val="TableParagraph"/>
              <w:ind w:left="108"/>
              <w:rPr>
                <w:sz w:val="18"/>
              </w:rPr>
            </w:pPr>
            <w:r>
              <w:rPr>
                <w:sz w:val="18"/>
              </w:rPr>
              <w:t>35%</w:t>
            </w:r>
            <w:r>
              <w:rPr>
                <w:spacing w:val="80"/>
                <w:sz w:val="18"/>
              </w:rPr>
              <w:t> </w:t>
            </w:r>
            <w:r>
              <w:rPr>
                <w:sz w:val="18"/>
              </w:rPr>
              <w:t>of</w:t>
            </w:r>
            <w:r>
              <w:rPr>
                <w:spacing w:val="80"/>
                <w:sz w:val="18"/>
              </w:rPr>
              <w:t> </w:t>
            </w:r>
            <w:r>
              <w:rPr>
                <w:sz w:val="18"/>
              </w:rPr>
              <w:t>the</w:t>
            </w:r>
            <w:r>
              <w:rPr>
                <w:spacing w:val="80"/>
                <w:sz w:val="18"/>
              </w:rPr>
              <w:t> </w:t>
            </w:r>
            <w:r>
              <w:rPr>
                <w:sz w:val="18"/>
              </w:rPr>
              <w:t>respondents</w:t>
            </w:r>
            <w:r>
              <w:rPr>
                <w:spacing w:val="80"/>
                <w:sz w:val="18"/>
              </w:rPr>
              <w:t> </w:t>
            </w:r>
            <w:r>
              <w:rPr>
                <w:sz w:val="18"/>
              </w:rPr>
              <w:t>indicated</w:t>
            </w:r>
            <w:r>
              <w:rPr>
                <w:spacing w:val="80"/>
                <w:sz w:val="18"/>
              </w:rPr>
              <w:t> </w:t>
            </w:r>
            <w:r>
              <w:rPr>
                <w:sz w:val="18"/>
              </w:rPr>
              <w:t>non-</w:t>
            </w:r>
            <w:r>
              <w:rPr>
                <w:spacing w:val="40"/>
                <w:sz w:val="18"/>
              </w:rPr>
              <w:t> </w:t>
            </w:r>
            <w:r>
              <w:rPr>
                <w:sz w:val="18"/>
              </w:rPr>
              <w:t>adherence with the MTEF</w:t>
            </w:r>
          </w:p>
        </w:tc>
        <w:tc>
          <w:tcPr>
            <w:tcW w:w="1256" w:type="dxa"/>
            <w:tcBorders>
              <w:top w:val="single" w:sz="4" w:space="0" w:color="000000"/>
            </w:tcBorders>
          </w:tcPr>
          <w:p>
            <w:pPr>
              <w:pStyle w:val="TableParagraph"/>
              <w:spacing w:line="202" w:lineRule="exact"/>
              <w:ind w:left="105"/>
              <w:rPr>
                <w:sz w:val="18"/>
              </w:rPr>
            </w:pPr>
            <w:r>
              <w:rPr>
                <w:spacing w:val="-5"/>
                <w:sz w:val="18"/>
              </w:rPr>
              <w:t>35%</w:t>
            </w:r>
          </w:p>
        </w:tc>
        <w:tc>
          <w:tcPr>
            <w:tcW w:w="903" w:type="dxa"/>
            <w:vMerge w:val="restart"/>
            <w:tcBorders>
              <w:top w:val="single" w:sz="4" w:space="0" w:color="000000"/>
              <w:bottom w:val="single" w:sz="4" w:space="0" w:color="000000"/>
            </w:tcBorders>
          </w:tcPr>
          <w:p>
            <w:pPr>
              <w:pStyle w:val="TableParagraph"/>
              <w:spacing w:line="202" w:lineRule="exact"/>
              <w:ind w:left="109"/>
              <w:rPr>
                <w:sz w:val="18"/>
              </w:rPr>
            </w:pPr>
            <w:r>
              <w:rPr>
                <w:spacing w:val="-10"/>
                <w:sz w:val="18"/>
              </w:rPr>
              <w:t>C</w:t>
            </w: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34"/>
              <w:rPr>
                <w:b/>
                <w:sz w:val="18"/>
              </w:rPr>
            </w:pPr>
          </w:p>
          <w:p>
            <w:pPr>
              <w:pStyle w:val="TableParagraph"/>
              <w:spacing w:before="1"/>
              <w:ind w:left="109"/>
              <w:rPr>
                <w:sz w:val="18"/>
              </w:rPr>
            </w:pPr>
            <w:r>
              <w:rPr>
                <w:spacing w:val="-10"/>
                <w:sz w:val="18"/>
              </w:rPr>
              <w:t>D</w:t>
            </w:r>
          </w:p>
        </w:tc>
        <w:tc>
          <w:tcPr>
            <w:tcW w:w="1189" w:type="dxa"/>
            <w:tcBorders>
              <w:top w:val="single" w:sz="4" w:space="0" w:color="000000"/>
            </w:tcBorders>
            <w:shd w:val="clear" w:color="auto" w:fill="DBE4F0"/>
          </w:tcPr>
          <w:p>
            <w:pPr>
              <w:pStyle w:val="TableParagraph"/>
              <w:ind w:left="107"/>
              <w:rPr>
                <w:sz w:val="18"/>
              </w:rPr>
            </w:pPr>
            <w:r>
              <w:rPr>
                <w:spacing w:val="-4"/>
                <w:sz w:val="18"/>
              </w:rPr>
              <w:t>Low </w:t>
            </w:r>
            <w:r>
              <w:rPr>
                <w:spacing w:val="-2"/>
                <w:sz w:val="18"/>
              </w:rPr>
              <w:t>Performance</w:t>
            </w:r>
          </w:p>
        </w:tc>
      </w:tr>
      <w:tr>
        <w:trPr>
          <w:trHeight w:val="928" w:hRule="atLeast"/>
        </w:trPr>
        <w:tc>
          <w:tcPr>
            <w:tcW w:w="594" w:type="dxa"/>
            <w:tcBorders>
              <w:bottom w:val="single" w:sz="4" w:space="0" w:color="000000"/>
            </w:tcBorders>
          </w:tcPr>
          <w:p>
            <w:pPr>
              <w:pStyle w:val="TableParagraph"/>
              <w:spacing w:before="95"/>
              <w:ind w:left="108"/>
              <w:rPr>
                <w:sz w:val="18"/>
              </w:rPr>
            </w:pPr>
            <w:r>
              <w:rPr>
                <w:spacing w:val="-5"/>
                <w:sz w:val="18"/>
              </w:rPr>
              <w:t>2)</w:t>
            </w:r>
          </w:p>
        </w:tc>
        <w:tc>
          <w:tcPr>
            <w:tcW w:w="1926" w:type="dxa"/>
            <w:tcBorders>
              <w:bottom w:val="single" w:sz="4" w:space="0" w:color="000000"/>
            </w:tcBorders>
          </w:tcPr>
          <w:p>
            <w:pPr>
              <w:pStyle w:val="TableParagraph"/>
              <w:spacing w:before="95"/>
              <w:ind w:left="142" w:right="161"/>
              <w:rPr>
                <w:sz w:val="18"/>
              </w:rPr>
            </w:pPr>
            <w:r>
              <w:rPr>
                <w:sz w:val="18"/>
              </w:rPr>
              <w:t>Development of</w:t>
            </w:r>
            <w:r>
              <w:rPr>
                <w:spacing w:val="40"/>
                <w:sz w:val="18"/>
              </w:rPr>
              <w:t> </w:t>
            </w:r>
            <w:r>
              <w:rPr>
                <w:sz w:val="18"/>
              </w:rPr>
              <w:t>a Medium</w:t>
            </w:r>
            <w:r>
              <w:rPr>
                <w:spacing w:val="-2"/>
                <w:sz w:val="18"/>
              </w:rPr>
              <w:t> </w:t>
            </w:r>
            <w:r>
              <w:rPr>
                <w:sz w:val="18"/>
              </w:rPr>
              <w:t>Term Strategy</w:t>
            </w:r>
            <w:r>
              <w:rPr>
                <w:spacing w:val="-12"/>
                <w:sz w:val="18"/>
              </w:rPr>
              <w:t> </w:t>
            </w:r>
            <w:r>
              <w:rPr>
                <w:sz w:val="18"/>
              </w:rPr>
              <w:t>(MTSS)</w:t>
            </w:r>
            <w:r>
              <w:rPr>
                <w:spacing w:val="-11"/>
                <w:sz w:val="18"/>
              </w:rPr>
              <w:t> </w:t>
            </w:r>
            <w:r>
              <w:rPr>
                <w:sz w:val="18"/>
              </w:rPr>
              <w:t>for</w:t>
            </w:r>
          </w:p>
          <w:p>
            <w:pPr>
              <w:pStyle w:val="TableParagraph"/>
              <w:spacing w:line="191" w:lineRule="exact" w:before="1"/>
              <w:ind w:left="142"/>
              <w:rPr>
                <w:sz w:val="18"/>
              </w:rPr>
            </w:pPr>
            <w:r>
              <w:rPr>
                <w:spacing w:val="-2"/>
                <w:sz w:val="18"/>
              </w:rPr>
              <w:t>Housing</w:t>
            </w:r>
          </w:p>
        </w:tc>
        <w:tc>
          <w:tcPr>
            <w:tcW w:w="3603" w:type="dxa"/>
            <w:tcBorders>
              <w:bottom w:val="single" w:sz="4" w:space="0" w:color="000000"/>
            </w:tcBorders>
          </w:tcPr>
          <w:p>
            <w:pPr>
              <w:pStyle w:val="TableParagraph"/>
              <w:spacing w:before="95"/>
              <w:ind w:left="108" w:right="103"/>
              <w:jc w:val="both"/>
              <w:rPr>
                <w:sz w:val="18"/>
              </w:rPr>
            </w:pPr>
            <w:r>
              <w:rPr>
                <w:sz w:val="18"/>
              </w:rPr>
              <w:t>78% of the respondents indicated non- existence of an MTSS. Hence a difference of </w:t>
            </w:r>
            <w:r>
              <w:rPr>
                <w:spacing w:val="-4"/>
                <w:sz w:val="18"/>
              </w:rPr>
              <w:t>22%</w:t>
            </w:r>
          </w:p>
        </w:tc>
        <w:tc>
          <w:tcPr>
            <w:tcW w:w="1256" w:type="dxa"/>
            <w:tcBorders>
              <w:bottom w:val="single" w:sz="4" w:space="0" w:color="000000"/>
            </w:tcBorders>
          </w:tcPr>
          <w:p>
            <w:pPr>
              <w:pStyle w:val="TableParagraph"/>
              <w:spacing w:before="94"/>
              <w:rPr>
                <w:b/>
                <w:sz w:val="18"/>
              </w:rPr>
            </w:pPr>
          </w:p>
          <w:p>
            <w:pPr>
              <w:pStyle w:val="TableParagraph"/>
              <w:ind w:left="105"/>
              <w:rPr>
                <w:sz w:val="18"/>
              </w:rPr>
            </w:pPr>
            <w:r>
              <w:rPr>
                <w:spacing w:val="-5"/>
                <w:sz w:val="18"/>
              </w:rPr>
              <w:t>22%</w:t>
            </w:r>
          </w:p>
        </w:tc>
        <w:tc>
          <w:tcPr>
            <w:tcW w:w="903" w:type="dxa"/>
            <w:vMerge/>
            <w:tcBorders>
              <w:top w:val="nil"/>
              <w:bottom w:val="single" w:sz="4" w:space="0" w:color="000000"/>
            </w:tcBorders>
          </w:tcPr>
          <w:p>
            <w:pPr>
              <w:rPr>
                <w:sz w:val="2"/>
                <w:szCs w:val="2"/>
              </w:rPr>
            </w:pPr>
          </w:p>
        </w:tc>
        <w:tc>
          <w:tcPr>
            <w:tcW w:w="1189" w:type="dxa"/>
            <w:tcBorders>
              <w:bottom w:val="single" w:sz="4" w:space="0" w:color="000000"/>
            </w:tcBorders>
            <w:shd w:val="clear" w:color="auto" w:fill="DBE4F0"/>
          </w:tcPr>
          <w:p>
            <w:pPr>
              <w:pStyle w:val="TableParagraph"/>
              <w:spacing w:before="94"/>
              <w:rPr>
                <w:b/>
                <w:sz w:val="18"/>
              </w:rPr>
            </w:pPr>
          </w:p>
          <w:p>
            <w:pPr>
              <w:pStyle w:val="TableParagraph"/>
              <w:ind w:left="107"/>
              <w:rPr>
                <w:sz w:val="18"/>
              </w:rPr>
            </w:pPr>
            <w:r>
              <w:rPr>
                <w:spacing w:val="-4"/>
                <w:sz w:val="18"/>
              </w:rPr>
              <w:t>Poor </w:t>
            </w:r>
            <w:r>
              <w:rPr>
                <w:spacing w:val="-2"/>
                <w:sz w:val="18"/>
              </w:rPr>
              <w:t>Performance</w:t>
            </w:r>
          </w:p>
        </w:tc>
      </w:tr>
      <w:tr>
        <w:trPr>
          <w:trHeight w:val="309" w:hRule="atLeast"/>
        </w:trPr>
        <w:tc>
          <w:tcPr>
            <w:tcW w:w="2520" w:type="dxa"/>
            <w:gridSpan w:val="2"/>
            <w:tcBorders>
              <w:top w:val="single" w:sz="4" w:space="0" w:color="000000"/>
              <w:bottom w:val="single" w:sz="4" w:space="0" w:color="000000"/>
            </w:tcBorders>
            <w:shd w:val="clear" w:color="auto" w:fill="DBE4F0"/>
          </w:tcPr>
          <w:p>
            <w:pPr>
              <w:pStyle w:val="TableParagraph"/>
              <w:spacing w:line="202" w:lineRule="exact"/>
              <w:ind w:left="108"/>
              <w:rPr>
                <w:sz w:val="18"/>
              </w:rPr>
            </w:pPr>
            <w:r>
              <w:rPr>
                <w:sz w:val="18"/>
              </w:rPr>
              <w:t>Housing</w:t>
            </w:r>
            <w:r>
              <w:rPr>
                <w:spacing w:val="-4"/>
                <w:sz w:val="18"/>
              </w:rPr>
              <w:t> </w:t>
            </w:r>
            <w:r>
              <w:rPr>
                <w:sz w:val="18"/>
              </w:rPr>
              <w:t>needs</w:t>
            </w:r>
            <w:r>
              <w:rPr>
                <w:spacing w:val="1"/>
                <w:sz w:val="18"/>
              </w:rPr>
              <w:t> </w:t>
            </w:r>
            <w:r>
              <w:rPr>
                <w:spacing w:val="-2"/>
                <w:sz w:val="18"/>
              </w:rPr>
              <w:t>assessment</w:t>
            </w:r>
          </w:p>
        </w:tc>
        <w:tc>
          <w:tcPr>
            <w:tcW w:w="6951" w:type="dxa"/>
            <w:gridSpan w:val="4"/>
            <w:tcBorders>
              <w:top w:val="single" w:sz="4" w:space="0" w:color="000000"/>
              <w:bottom w:val="single" w:sz="4" w:space="0" w:color="000000"/>
            </w:tcBorders>
          </w:tcPr>
          <w:p>
            <w:pPr>
              <w:pStyle w:val="TableParagraph"/>
              <w:rPr>
                <w:sz w:val="18"/>
              </w:rPr>
            </w:pPr>
          </w:p>
        </w:tc>
      </w:tr>
      <w:tr>
        <w:trPr>
          <w:trHeight w:val="830" w:hRule="atLeast"/>
        </w:trPr>
        <w:tc>
          <w:tcPr>
            <w:tcW w:w="594" w:type="dxa"/>
            <w:tcBorders>
              <w:top w:val="single" w:sz="4" w:space="0" w:color="000000"/>
              <w:bottom w:val="single" w:sz="4" w:space="0" w:color="000000"/>
            </w:tcBorders>
          </w:tcPr>
          <w:p>
            <w:pPr>
              <w:pStyle w:val="TableParagraph"/>
              <w:spacing w:line="204" w:lineRule="exact"/>
              <w:ind w:left="108"/>
              <w:rPr>
                <w:sz w:val="18"/>
              </w:rPr>
            </w:pPr>
            <w:r>
              <w:rPr>
                <w:spacing w:val="-5"/>
                <w:sz w:val="18"/>
              </w:rPr>
              <w:t>3)</w:t>
            </w:r>
          </w:p>
        </w:tc>
        <w:tc>
          <w:tcPr>
            <w:tcW w:w="1926" w:type="dxa"/>
            <w:tcBorders>
              <w:top w:val="single" w:sz="4" w:space="0" w:color="000000"/>
              <w:bottom w:val="single" w:sz="4" w:space="0" w:color="000000"/>
            </w:tcBorders>
          </w:tcPr>
          <w:p>
            <w:pPr>
              <w:pStyle w:val="TableParagraph"/>
              <w:spacing w:line="206" w:lineRule="exact"/>
              <w:ind w:left="142" w:right="161"/>
              <w:rPr>
                <w:sz w:val="18"/>
              </w:rPr>
            </w:pPr>
            <w:r>
              <w:rPr>
                <w:sz w:val="18"/>
              </w:rPr>
              <w:t>Availability</w:t>
            </w:r>
            <w:r>
              <w:rPr>
                <w:spacing w:val="-4"/>
                <w:sz w:val="18"/>
              </w:rPr>
              <w:t> </w:t>
            </w:r>
            <w:r>
              <w:rPr>
                <w:sz w:val="18"/>
              </w:rPr>
              <w:t>of accurate data on housing</w:t>
            </w:r>
            <w:r>
              <w:rPr>
                <w:spacing w:val="-12"/>
                <w:sz w:val="18"/>
              </w:rPr>
              <w:t> </w:t>
            </w:r>
            <w:r>
              <w:rPr>
                <w:sz w:val="18"/>
              </w:rPr>
              <w:t>needs</w:t>
            </w:r>
            <w:r>
              <w:rPr>
                <w:spacing w:val="-11"/>
                <w:sz w:val="18"/>
              </w:rPr>
              <w:t> </w:t>
            </w:r>
            <w:r>
              <w:rPr>
                <w:sz w:val="18"/>
              </w:rPr>
              <w:t>of</w:t>
            </w:r>
            <w:r>
              <w:rPr>
                <w:spacing w:val="-11"/>
                <w:sz w:val="18"/>
              </w:rPr>
              <w:t> </w:t>
            </w:r>
            <w:r>
              <w:rPr>
                <w:sz w:val="18"/>
              </w:rPr>
              <w:t>the </w:t>
            </w:r>
            <w:r>
              <w:rPr>
                <w:spacing w:val="-2"/>
                <w:sz w:val="18"/>
              </w:rPr>
              <w:t>citizens</w:t>
            </w:r>
          </w:p>
        </w:tc>
        <w:tc>
          <w:tcPr>
            <w:tcW w:w="3603" w:type="dxa"/>
            <w:tcBorders>
              <w:top w:val="single" w:sz="4" w:space="0" w:color="000000"/>
              <w:bottom w:val="single" w:sz="4" w:space="0" w:color="000000"/>
            </w:tcBorders>
          </w:tcPr>
          <w:p>
            <w:pPr>
              <w:pStyle w:val="TableParagraph"/>
              <w:ind w:left="108" w:right="108"/>
              <w:jc w:val="both"/>
              <w:rPr>
                <w:sz w:val="18"/>
              </w:rPr>
            </w:pPr>
            <w:r>
              <w:rPr>
                <w:sz w:val="18"/>
              </w:rPr>
              <w:t>83% of the respondents indicated the absence of a housing needs assessment. Hence a difference of 17%</w:t>
            </w:r>
          </w:p>
        </w:tc>
        <w:tc>
          <w:tcPr>
            <w:tcW w:w="1256" w:type="dxa"/>
            <w:tcBorders>
              <w:top w:val="single" w:sz="4" w:space="0" w:color="000000"/>
              <w:bottom w:val="single" w:sz="4" w:space="0" w:color="000000"/>
            </w:tcBorders>
          </w:tcPr>
          <w:p>
            <w:pPr>
              <w:pStyle w:val="TableParagraph"/>
              <w:spacing w:line="204" w:lineRule="exact"/>
              <w:ind w:left="105"/>
              <w:rPr>
                <w:sz w:val="18"/>
              </w:rPr>
            </w:pPr>
            <w:r>
              <w:rPr>
                <w:spacing w:val="-5"/>
                <w:sz w:val="18"/>
              </w:rPr>
              <w:t>17%</w:t>
            </w:r>
          </w:p>
        </w:tc>
        <w:tc>
          <w:tcPr>
            <w:tcW w:w="903" w:type="dxa"/>
            <w:tcBorders>
              <w:top w:val="single" w:sz="4" w:space="0" w:color="000000"/>
              <w:bottom w:val="single" w:sz="4" w:space="0" w:color="000000"/>
            </w:tcBorders>
          </w:tcPr>
          <w:p>
            <w:pPr>
              <w:pStyle w:val="TableParagraph"/>
              <w:spacing w:line="204" w:lineRule="exact"/>
              <w:ind w:left="109"/>
              <w:rPr>
                <w:sz w:val="18"/>
              </w:rPr>
            </w:pPr>
            <w:r>
              <w:rPr>
                <w:spacing w:val="-10"/>
                <w:sz w:val="18"/>
              </w:rPr>
              <w:t>D</w:t>
            </w:r>
          </w:p>
        </w:tc>
        <w:tc>
          <w:tcPr>
            <w:tcW w:w="1189" w:type="dxa"/>
            <w:tcBorders>
              <w:top w:val="single" w:sz="4" w:space="0" w:color="000000"/>
              <w:bottom w:val="single" w:sz="4" w:space="0" w:color="000000"/>
            </w:tcBorders>
            <w:shd w:val="clear" w:color="auto" w:fill="DBE4F0"/>
          </w:tcPr>
          <w:p>
            <w:pPr>
              <w:pStyle w:val="TableParagraph"/>
              <w:ind w:left="107"/>
              <w:rPr>
                <w:sz w:val="18"/>
              </w:rPr>
            </w:pPr>
            <w:r>
              <w:rPr>
                <w:spacing w:val="-4"/>
                <w:sz w:val="18"/>
              </w:rPr>
              <w:t>Poor </w:t>
            </w:r>
            <w:r>
              <w:rPr>
                <w:spacing w:val="-2"/>
                <w:sz w:val="18"/>
              </w:rPr>
              <w:t>Performance</w:t>
            </w:r>
          </w:p>
        </w:tc>
      </w:tr>
      <w:tr>
        <w:trPr>
          <w:trHeight w:val="412" w:hRule="atLeast"/>
        </w:trPr>
        <w:tc>
          <w:tcPr>
            <w:tcW w:w="2520" w:type="dxa"/>
            <w:gridSpan w:val="2"/>
            <w:tcBorders>
              <w:top w:val="single" w:sz="4" w:space="0" w:color="000000"/>
              <w:bottom w:val="single" w:sz="4" w:space="0" w:color="000000"/>
            </w:tcBorders>
            <w:shd w:val="clear" w:color="auto" w:fill="DBE4F0"/>
          </w:tcPr>
          <w:p>
            <w:pPr>
              <w:pStyle w:val="TableParagraph"/>
              <w:spacing w:line="202" w:lineRule="exact"/>
              <w:ind w:left="108"/>
              <w:rPr>
                <w:sz w:val="18"/>
              </w:rPr>
            </w:pPr>
            <w:r>
              <w:rPr>
                <w:sz w:val="18"/>
              </w:rPr>
              <w:t>Monitoring</w:t>
            </w:r>
            <w:r>
              <w:rPr>
                <w:spacing w:val="51"/>
                <w:sz w:val="18"/>
              </w:rPr>
              <w:t> </w:t>
            </w:r>
            <w:r>
              <w:rPr>
                <w:sz w:val="18"/>
              </w:rPr>
              <w:t>and</w:t>
            </w:r>
            <w:r>
              <w:rPr>
                <w:spacing w:val="52"/>
                <w:sz w:val="18"/>
              </w:rPr>
              <w:t> </w:t>
            </w:r>
            <w:r>
              <w:rPr>
                <w:sz w:val="18"/>
              </w:rPr>
              <w:t>Evaluation</w:t>
            </w:r>
            <w:r>
              <w:rPr>
                <w:spacing w:val="51"/>
                <w:sz w:val="18"/>
              </w:rPr>
              <w:t> </w:t>
            </w:r>
            <w:r>
              <w:rPr>
                <w:spacing w:val="-7"/>
                <w:sz w:val="18"/>
              </w:rPr>
              <w:t>of</w:t>
            </w:r>
          </w:p>
          <w:p>
            <w:pPr>
              <w:pStyle w:val="TableParagraph"/>
              <w:spacing w:line="191" w:lineRule="exact"/>
              <w:ind w:left="108"/>
              <w:rPr>
                <w:sz w:val="18"/>
              </w:rPr>
            </w:pPr>
            <w:r>
              <w:rPr>
                <w:sz w:val="18"/>
              </w:rPr>
              <w:t>the</w:t>
            </w:r>
            <w:r>
              <w:rPr>
                <w:spacing w:val="-1"/>
                <w:sz w:val="18"/>
              </w:rPr>
              <w:t> </w:t>
            </w:r>
            <w:r>
              <w:rPr>
                <w:sz w:val="18"/>
              </w:rPr>
              <w:t>Housing</w:t>
            </w:r>
            <w:r>
              <w:rPr>
                <w:spacing w:val="-1"/>
                <w:sz w:val="18"/>
              </w:rPr>
              <w:t> </w:t>
            </w:r>
            <w:r>
              <w:rPr>
                <w:spacing w:val="-2"/>
                <w:sz w:val="18"/>
              </w:rPr>
              <w:t>Budget</w:t>
            </w:r>
          </w:p>
        </w:tc>
        <w:tc>
          <w:tcPr>
            <w:tcW w:w="6951" w:type="dxa"/>
            <w:gridSpan w:val="4"/>
            <w:tcBorders>
              <w:top w:val="single" w:sz="4" w:space="0" w:color="000000"/>
              <w:bottom w:val="single" w:sz="4" w:space="0" w:color="000000"/>
            </w:tcBorders>
          </w:tcPr>
          <w:p>
            <w:pPr>
              <w:pStyle w:val="TableParagraph"/>
              <w:rPr>
                <w:sz w:val="18"/>
              </w:rPr>
            </w:pPr>
          </w:p>
        </w:tc>
      </w:tr>
      <w:tr>
        <w:trPr>
          <w:trHeight w:val="827" w:hRule="atLeast"/>
        </w:trPr>
        <w:tc>
          <w:tcPr>
            <w:tcW w:w="594" w:type="dxa"/>
            <w:tcBorders>
              <w:top w:val="single" w:sz="4" w:space="0" w:color="000000"/>
              <w:bottom w:val="single" w:sz="4" w:space="0" w:color="000000"/>
            </w:tcBorders>
          </w:tcPr>
          <w:p>
            <w:pPr>
              <w:pStyle w:val="TableParagraph"/>
              <w:spacing w:line="202" w:lineRule="exact"/>
              <w:ind w:left="108"/>
              <w:rPr>
                <w:sz w:val="18"/>
              </w:rPr>
            </w:pPr>
            <w:r>
              <w:rPr>
                <w:spacing w:val="-5"/>
                <w:sz w:val="18"/>
              </w:rPr>
              <w:t>4)</w:t>
            </w:r>
          </w:p>
        </w:tc>
        <w:tc>
          <w:tcPr>
            <w:tcW w:w="1926" w:type="dxa"/>
            <w:tcBorders>
              <w:top w:val="single" w:sz="4" w:space="0" w:color="000000"/>
              <w:bottom w:val="single" w:sz="4" w:space="0" w:color="000000"/>
            </w:tcBorders>
          </w:tcPr>
          <w:p>
            <w:pPr>
              <w:pStyle w:val="TableParagraph"/>
              <w:spacing w:line="242" w:lineRule="auto"/>
              <w:ind w:left="142"/>
              <w:rPr>
                <w:sz w:val="18"/>
              </w:rPr>
            </w:pPr>
            <w:r>
              <w:rPr>
                <w:sz w:val="18"/>
              </w:rPr>
              <w:t>Mechanism for monitoring</w:t>
            </w:r>
            <w:r>
              <w:rPr>
                <w:spacing w:val="-1"/>
                <w:sz w:val="18"/>
              </w:rPr>
              <w:t> </w:t>
            </w:r>
            <w:r>
              <w:rPr>
                <w:spacing w:val="-5"/>
                <w:sz w:val="18"/>
              </w:rPr>
              <w:t>the</w:t>
            </w:r>
          </w:p>
          <w:p>
            <w:pPr>
              <w:pStyle w:val="TableParagraph"/>
              <w:spacing w:line="206" w:lineRule="exact"/>
              <w:ind w:left="142"/>
              <w:rPr>
                <w:sz w:val="18"/>
              </w:rPr>
            </w:pPr>
            <w:r>
              <w:rPr>
                <w:sz w:val="18"/>
              </w:rPr>
              <w:t>efficiency</w:t>
            </w:r>
            <w:r>
              <w:rPr>
                <w:spacing w:val="-12"/>
                <w:sz w:val="18"/>
              </w:rPr>
              <w:t> </w:t>
            </w:r>
            <w:r>
              <w:rPr>
                <w:sz w:val="18"/>
              </w:rPr>
              <w:t>of</w:t>
            </w:r>
            <w:r>
              <w:rPr>
                <w:spacing w:val="-11"/>
                <w:sz w:val="18"/>
              </w:rPr>
              <w:t> </w:t>
            </w:r>
            <w:r>
              <w:rPr>
                <w:sz w:val="18"/>
              </w:rPr>
              <w:t>use</w:t>
            </w:r>
            <w:r>
              <w:rPr>
                <w:spacing w:val="-11"/>
                <w:sz w:val="18"/>
              </w:rPr>
              <w:t> </w:t>
            </w:r>
            <w:r>
              <w:rPr>
                <w:sz w:val="18"/>
              </w:rPr>
              <w:t>of </w:t>
            </w:r>
            <w:r>
              <w:rPr>
                <w:spacing w:val="-2"/>
                <w:sz w:val="18"/>
              </w:rPr>
              <w:t>housing</w:t>
            </w:r>
          </w:p>
        </w:tc>
        <w:tc>
          <w:tcPr>
            <w:tcW w:w="3603" w:type="dxa"/>
            <w:tcBorders>
              <w:top w:val="single" w:sz="4" w:space="0" w:color="000000"/>
              <w:bottom w:val="single" w:sz="4" w:space="0" w:color="000000"/>
            </w:tcBorders>
          </w:tcPr>
          <w:p>
            <w:pPr>
              <w:pStyle w:val="TableParagraph"/>
              <w:spacing w:line="242" w:lineRule="auto"/>
              <w:ind w:left="108"/>
              <w:rPr>
                <w:sz w:val="18"/>
              </w:rPr>
            </w:pPr>
            <w:r>
              <w:rPr>
                <w:sz w:val="18"/>
              </w:rPr>
              <w:t>80%</w:t>
            </w:r>
            <w:r>
              <w:rPr>
                <w:spacing w:val="27"/>
                <w:sz w:val="18"/>
              </w:rPr>
              <w:t> </w:t>
            </w:r>
            <w:r>
              <w:rPr>
                <w:sz w:val="18"/>
              </w:rPr>
              <w:t>of</w:t>
            </w:r>
            <w:r>
              <w:rPr>
                <w:spacing w:val="26"/>
                <w:sz w:val="18"/>
              </w:rPr>
              <w:t> </w:t>
            </w:r>
            <w:r>
              <w:rPr>
                <w:sz w:val="18"/>
              </w:rPr>
              <w:t>the</w:t>
            </w:r>
            <w:r>
              <w:rPr>
                <w:spacing w:val="27"/>
                <w:sz w:val="18"/>
              </w:rPr>
              <w:t> </w:t>
            </w:r>
            <w:r>
              <w:rPr>
                <w:sz w:val="18"/>
              </w:rPr>
              <w:t>respondents</w:t>
            </w:r>
            <w:r>
              <w:rPr>
                <w:spacing w:val="28"/>
                <w:sz w:val="18"/>
              </w:rPr>
              <w:t> </w:t>
            </w:r>
            <w:r>
              <w:rPr>
                <w:sz w:val="18"/>
              </w:rPr>
              <w:t>are</w:t>
            </w:r>
            <w:r>
              <w:rPr>
                <w:spacing w:val="27"/>
                <w:sz w:val="18"/>
              </w:rPr>
              <w:t> </w:t>
            </w:r>
            <w:r>
              <w:rPr>
                <w:sz w:val="18"/>
              </w:rPr>
              <w:t>of</w:t>
            </w:r>
            <w:r>
              <w:rPr>
                <w:spacing w:val="26"/>
                <w:sz w:val="18"/>
              </w:rPr>
              <w:t> </w:t>
            </w:r>
            <w:r>
              <w:rPr>
                <w:sz w:val="18"/>
              </w:rPr>
              <w:t>the</w:t>
            </w:r>
            <w:r>
              <w:rPr>
                <w:spacing w:val="27"/>
                <w:sz w:val="18"/>
              </w:rPr>
              <w:t> </w:t>
            </w:r>
            <w:r>
              <w:rPr>
                <w:sz w:val="18"/>
              </w:rPr>
              <w:t>view</w:t>
            </w:r>
            <w:r>
              <w:rPr>
                <w:spacing w:val="25"/>
                <w:sz w:val="18"/>
              </w:rPr>
              <w:t> </w:t>
            </w:r>
            <w:r>
              <w:rPr>
                <w:sz w:val="18"/>
              </w:rPr>
              <w:t>that there</w:t>
            </w:r>
            <w:r>
              <w:rPr>
                <w:spacing w:val="29"/>
                <w:sz w:val="18"/>
              </w:rPr>
              <w:t> </w:t>
            </w:r>
            <w:r>
              <w:rPr>
                <w:sz w:val="18"/>
              </w:rPr>
              <w:t>is</w:t>
            </w:r>
            <w:r>
              <w:rPr>
                <w:spacing w:val="31"/>
                <w:sz w:val="18"/>
              </w:rPr>
              <w:t> </w:t>
            </w:r>
            <w:r>
              <w:rPr>
                <w:sz w:val="18"/>
              </w:rPr>
              <w:t>no</w:t>
            </w:r>
            <w:r>
              <w:rPr>
                <w:spacing w:val="31"/>
                <w:sz w:val="18"/>
              </w:rPr>
              <w:t> </w:t>
            </w:r>
            <w:r>
              <w:rPr>
                <w:sz w:val="18"/>
              </w:rPr>
              <w:t>effective</w:t>
            </w:r>
            <w:r>
              <w:rPr>
                <w:spacing w:val="33"/>
                <w:sz w:val="18"/>
              </w:rPr>
              <w:t> </w:t>
            </w:r>
            <w:r>
              <w:rPr>
                <w:sz w:val="18"/>
              </w:rPr>
              <w:t>mechanism</w:t>
            </w:r>
            <w:r>
              <w:rPr>
                <w:spacing w:val="29"/>
                <w:sz w:val="18"/>
              </w:rPr>
              <w:t> </w:t>
            </w:r>
            <w:r>
              <w:rPr>
                <w:sz w:val="18"/>
              </w:rPr>
              <w:t>in</w:t>
            </w:r>
            <w:r>
              <w:rPr>
                <w:spacing w:val="33"/>
                <w:sz w:val="18"/>
              </w:rPr>
              <w:t> </w:t>
            </w:r>
            <w:r>
              <w:rPr>
                <w:sz w:val="18"/>
              </w:rPr>
              <w:t>place</w:t>
            </w:r>
            <w:r>
              <w:rPr>
                <w:spacing w:val="33"/>
                <w:sz w:val="18"/>
              </w:rPr>
              <w:t> </w:t>
            </w:r>
            <w:r>
              <w:rPr>
                <w:spacing w:val="-5"/>
                <w:sz w:val="18"/>
              </w:rPr>
              <w:t>for</w:t>
            </w:r>
          </w:p>
          <w:p>
            <w:pPr>
              <w:pStyle w:val="TableParagraph"/>
              <w:spacing w:line="206" w:lineRule="exact"/>
              <w:ind w:left="108"/>
              <w:rPr>
                <w:sz w:val="18"/>
              </w:rPr>
            </w:pPr>
            <w:r>
              <w:rPr>
                <w:sz w:val="18"/>
              </w:rPr>
              <w:t>monitoring the housing funds usage. Hence a difference of 20%</w:t>
            </w:r>
          </w:p>
        </w:tc>
        <w:tc>
          <w:tcPr>
            <w:tcW w:w="1256" w:type="dxa"/>
            <w:tcBorders>
              <w:top w:val="single" w:sz="4" w:space="0" w:color="000000"/>
              <w:bottom w:val="single" w:sz="4" w:space="0" w:color="000000"/>
            </w:tcBorders>
          </w:tcPr>
          <w:p>
            <w:pPr>
              <w:pStyle w:val="TableParagraph"/>
              <w:spacing w:line="202" w:lineRule="exact"/>
              <w:ind w:left="105"/>
              <w:rPr>
                <w:sz w:val="18"/>
              </w:rPr>
            </w:pPr>
            <w:r>
              <w:rPr>
                <w:spacing w:val="-5"/>
                <w:sz w:val="18"/>
              </w:rPr>
              <w:t>20%</w:t>
            </w:r>
          </w:p>
        </w:tc>
        <w:tc>
          <w:tcPr>
            <w:tcW w:w="903" w:type="dxa"/>
            <w:tcBorders>
              <w:top w:val="single" w:sz="4" w:space="0" w:color="000000"/>
              <w:bottom w:val="single" w:sz="4" w:space="0" w:color="000000"/>
            </w:tcBorders>
          </w:tcPr>
          <w:p>
            <w:pPr>
              <w:pStyle w:val="TableParagraph"/>
              <w:spacing w:line="202" w:lineRule="exact"/>
              <w:ind w:left="109"/>
              <w:rPr>
                <w:sz w:val="18"/>
              </w:rPr>
            </w:pPr>
            <w:r>
              <w:rPr>
                <w:spacing w:val="-10"/>
                <w:sz w:val="18"/>
              </w:rPr>
              <w:t>D</w:t>
            </w:r>
          </w:p>
        </w:tc>
        <w:tc>
          <w:tcPr>
            <w:tcW w:w="1189" w:type="dxa"/>
            <w:tcBorders>
              <w:top w:val="single" w:sz="4" w:space="0" w:color="000000"/>
              <w:bottom w:val="single" w:sz="4" w:space="0" w:color="000000"/>
            </w:tcBorders>
            <w:shd w:val="clear" w:color="auto" w:fill="DBE4F0"/>
          </w:tcPr>
          <w:p>
            <w:pPr>
              <w:pStyle w:val="TableParagraph"/>
              <w:spacing w:line="242" w:lineRule="auto"/>
              <w:ind w:left="107"/>
              <w:rPr>
                <w:sz w:val="18"/>
              </w:rPr>
            </w:pPr>
            <w:r>
              <w:rPr>
                <w:spacing w:val="-4"/>
                <w:sz w:val="18"/>
              </w:rPr>
              <w:t>Poor </w:t>
            </w:r>
            <w:r>
              <w:rPr>
                <w:spacing w:val="-2"/>
                <w:sz w:val="18"/>
              </w:rPr>
              <w:t>Performance</w:t>
            </w:r>
          </w:p>
        </w:tc>
      </w:tr>
      <w:tr>
        <w:trPr>
          <w:trHeight w:val="308" w:hRule="atLeast"/>
        </w:trPr>
        <w:tc>
          <w:tcPr>
            <w:tcW w:w="2520" w:type="dxa"/>
            <w:gridSpan w:val="2"/>
            <w:tcBorders>
              <w:top w:val="single" w:sz="4" w:space="0" w:color="000000"/>
              <w:bottom w:val="single" w:sz="4" w:space="0" w:color="000000"/>
            </w:tcBorders>
            <w:shd w:val="clear" w:color="auto" w:fill="DBE4F0"/>
          </w:tcPr>
          <w:p>
            <w:pPr>
              <w:pStyle w:val="TableParagraph"/>
              <w:spacing w:line="202" w:lineRule="exact"/>
              <w:ind w:left="108"/>
              <w:rPr>
                <w:sz w:val="18"/>
              </w:rPr>
            </w:pPr>
            <w:r>
              <w:rPr>
                <w:sz w:val="18"/>
              </w:rPr>
              <w:t>Citizen</w:t>
            </w:r>
            <w:r>
              <w:rPr>
                <w:spacing w:val="-3"/>
                <w:sz w:val="18"/>
              </w:rPr>
              <w:t> </w:t>
            </w:r>
            <w:r>
              <w:rPr>
                <w:spacing w:val="-2"/>
                <w:sz w:val="18"/>
              </w:rPr>
              <w:t>Participation</w:t>
            </w:r>
          </w:p>
        </w:tc>
        <w:tc>
          <w:tcPr>
            <w:tcW w:w="6951" w:type="dxa"/>
            <w:gridSpan w:val="4"/>
            <w:tcBorders>
              <w:top w:val="single" w:sz="4" w:space="0" w:color="000000"/>
              <w:bottom w:val="single" w:sz="4" w:space="0" w:color="000000"/>
            </w:tcBorders>
          </w:tcPr>
          <w:p>
            <w:pPr>
              <w:pStyle w:val="TableParagraph"/>
              <w:rPr>
                <w:sz w:val="18"/>
              </w:rPr>
            </w:pPr>
          </w:p>
        </w:tc>
      </w:tr>
      <w:tr>
        <w:trPr>
          <w:trHeight w:val="205" w:hRule="atLeast"/>
        </w:trPr>
        <w:tc>
          <w:tcPr>
            <w:tcW w:w="594" w:type="dxa"/>
            <w:tcBorders>
              <w:top w:val="single" w:sz="4" w:space="0" w:color="000000"/>
            </w:tcBorders>
          </w:tcPr>
          <w:p>
            <w:pPr>
              <w:pStyle w:val="TableParagraph"/>
              <w:spacing w:line="186" w:lineRule="exact"/>
              <w:ind w:left="108"/>
              <w:rPr>
                <w:sz w:val="18"/>
              </w:rPr>
            </w:pPr>
            <w:r>
              <w:rPr>
                <w:spacing w:val="-5"/>
                <w:sz w:val="18"/>
              </w:rPr>
              <w:t>5)</w:t>
            </w:r>
          </w:p>
        </w:tc>
        <w:tc>
          <w:tcPr>
            <w:tcW w:w="1926" w:type="dxa"/>
            <w:tcBorders>
              <w:top w:val="single" w:sz="4" w:space="0" w:color="000000"/>
            </w:tcBorders>
          </w:tcPr>
          <w:p>
            <w:pPr>
              <w:pStyle w:val="TableParagraph"/>
              <w:spacing w:line="186" w:lineRule="exact"/>
              <w:ind w:left="142"/>
              <w:rPr>
                <w:sz w:val="18"/>
              </w:rPr>
            </w:pPr>
            <w:r>
              <w:rPr>
                <w:sz w:val="18"/>
              </w:rPr>
              <w:t>Participation</w:t>
            </w:r>
            <w:r>
              <w:rPr>
                <w:spacing w:val="-5"/>
                <w:sz w:val="18"/>
              </w:rPr>
              <w:t> of</w:t>
            </w:r>
          </w:p>
        </w:tc>
        <w:tc>
          <w:tcPr>
            <w:tcW w:w="3603" w:type="dxa"/>
            <w:tcBorders>
              <w:top w:val="single" w:sz="4" w:space="0" w:color="000000"/>
            </w:tcBorders>
          </w:tcPr>
          <w:p>
            <w:pPr>
              <w:pStyle w:val="TableParagraph"/>
              <w:spacing w:line="186" w:lineRule="exact"/>
              <w:ind w:left="108"/>
              <w:rPr>
                <w:sz w:val="18"/>
              </w:rPr>
            </w:pPr>
            <w:r>
              <w:rPr>
                <w:sz w:val="18"/>
              </w:rPr>
              <w:t>63%</w:t>
            </w:r>
            <w:r>
              <w:rPr>
                <w:spacing w:val="22"/>
                <w:sz w:val="18"/>
              </w:rPr>
              <w:t> </w:t>
            </w:r>
            <w:r>
              <w:rPr>
                <w:sz w:val="18"/>
              </w:rPr>
              <w:t>of</w:t>
            </w:r>
            <w:r>
              <w:rPr>
                <w:spacing w:val="22"/>
                <w:sz w:val="18"/>
              </w:rPr>
              <w:t> </w:t>
            </w:r>
            <w:r>
              <w:rPr>
                <w:sz w:val="18"/>
              </w:rPr>
              <w:t>the</w:t>
            </w:r>
            <w:r>
              <w:rPr>
                <w:spacing w:val="23"/>
                <w:sz w:val="18"/>
              </w:rPr>
              <w:t> </w:t>
            </w:r>
            <w:r>
              <w:rPr>
                <w:sz w:val="18"/>
              </w:rPr>
              <w:t>respondents</w:t>
            </w:r>
            <w:r>
              <w:rPr>
                <w:spacing w:val="23"/>
                <w:sz w:val="18"/>
              </w:rPr>
              <w:t> </w:t>
            </w:r>
            <w:r>
              <w:rPr>
                <w:sz w:val="18"/>
              </w:rPr>
              <w:t>indicated</w:t>
            </w:r>
            <w:r>
              <w:rPr>
                <w:spacing w:val="25"/>
                <w:sz w:val="18"/>
              </w:rPr>
              <w:t> </w:t>
            </w:r>
            <w:r>
              <w:rPr>
                <w:sz w:val="18"/>
              </w:rPr>
              <w:t>that</w:t>
            </w:r>
            <w:r>
              <w:rPr>
                <w:spacing w:val="24"/>
                <w:sz w:val="18"/>
              </w:rPr>
              <w:t> </w:t>
            </w:r>
            <w:r>
              <w:rPr>
                <w:spacing w:val="-2"/>
                <w:sz w:val="18"/>
              </w:rPr>
              <w:t>citizen</w:t>
            </w:r>
          </w:p>
        </w:tc>
        <w:tc>
          <w:tcPr>
            <w:tcW w:w="1256" w:type="dxa"/>
            <w:tcBorders>
              <w:top w:val="single" w:sz="4" w:space="0" w:color="000000"/>
            </w:tcBorders>
          </w:tcPr>
          <w:p>
            <w:pPr>
              <w:pStyle w:val="TableParagraph"/>
              <w:spacing w:line="186" w:lineRule="exact"/>
              <w:ind w:left="105"/>
              <w:rPr>
                <w:sz w:val="18"/>
              </w:rPr>
            </w:pPr>
            <w:r>
              <w:rPr>
                <w:spacing w:val="-2"/>
                <w:sz w:val="18"/>
              </w:rPr>
              <w:t>Uncertain</w:t>
            </w:r>
          </w:p>
        </w:tc>
        <w:tc>
          <w:tcPr>
            <w:tcW w:w="903" w:type="dxa"/>
            <w:tcBorders>
              <w:top w:val="single" w:sz="4" w:space="0" w:color="000000"/>
            </w:tcBorders>
          </w:tcPr>
          <w:p>
            <w:pPr>
              <w:pStyle w:val="TableParagraph"/>
              <w:spacing w:line="186" w:lineRule="exact"/>
              <w:ind w:left="109"/>
              <w:rPr>
                <w:sz w:val="18"/>
              </w:rPr>
            </w:pPr>
            <w:r>
              <w:rPr>
                <w:spacing w:val="-2"/>
                <w:sz w:val="18"/>
              </w:rPr>
              <w:t>Can‘t</w:t>
            </w:r>
          </w:p>
        </w:tc>
        <w:tc>
          <w:tcPr>
            <w:tcW w:w="1189" w:type="dxa"/>
            <w:tcBorders>
              <w:top w:val="single" w:sz="4" w:space="0" w:color="000000"/>
            </w:tcBorders>
            <w:shd w:val="clear" w:color="auto" w:fill="DBE4F0"/>
          </w:tcPr>
          <w:p>
            <w:pPr>
              <w:pStyle w:val="TableParagraph"/>
              <w:spacing w:line="186" w:lineRule="exact"/>
              <w:ind w:left="107"/>
              <w:rPr>
                <w:sz w:val="18"/>
              </w:rPr>
            </w:pPr>
            <w:r>
              <w:rPr>
                <w:spacing w:val="-2"/>
                <w:sz w:val="18"/>
              </w:rPr>
              <w:t>NA(since</w:t>
            </w:r>
          </w:p>
        </w:tc>
      </w:tr>
      <w:tr>
        <w:trPr>
          <w:trHeight w:val="207" w:hRule="atLeast"/>
        </w:trPr>
        <w:tc>
          <w:tcPr>
            <w:tcW w:w="594" w:type="dxa"/>
          </w:tcPr>
          <w:p>
            <w:pPr>
              <w:pStyle w:val="TableParagraph"/>
              <w:rPr>
                <w:sz w:val="14"/>
              </w:rPr>
            </w:pPr>
          </w:p>
        </w:tc>
        <w:tc>
          <w:tcPr>
            <w:tcW w:w="1926" w:type="dxa"/>
          </w:tcPr>
          <w:p>
            <w:pPr>
              <w:pStyle w:val="TableParagraph"/>
              <w:spacing w:line="188" w:lineRule="exact"/>
              <w:ind w:left="142"/>
              <w:rPr>
                <w:sz w:val="18"/>
              </w:rPr>
            </w:pPr>
            <w:r>
              <w:rPr>
                <w:sz w:val="18"/>
              </w:rPr>
              <w:t>relevant</w:t>
            </w:r>
            <w:r>
              <w:rPr>
                <w:spacing w:val="-3"/>
                <w:sz w:val="18"/>
              </w:rPr>
              <w:t> </w:t>
            </w:r>
            <w:r>
              <w:rPr>
                <w:spacing w:val="-2"/>
                <w:sz w:val="18"/>
              </w:rPr>
              <w:t>stakeholders</w:t>
            </w:r>
          </w:p>
        </w:tc>
        <w:tc>
          <w:tcPr>
            <w:tcW w:w="3603" w:type="dxa"/>
          </w:tcPr>
          <w:p>
            <w:pPr>
              <w:pStyle w:val="TableParagraph"/>
              <w:tabs>
                <w:tab w:pos="1328" w:val="left" w:leader="none"/>
                <w:tab w:pos="2005" w:val="left" w:leader="none"/>
                <w:tab w:pos="2739" w:val="left" w:leader="none"/>
              </w:tabs>
              <w:spacing w:line="188" w:lineRule="exact"/>
              <w:ind w:left="108"/>
              <w:rPr>
                <w:sz w:val="18"/>
              </w:rPr>
            </w:pPr>
            <w:r>
              <w:rPr>
                <w:spacing w:val="-2"/>
                <w:sz w:val="18"/>
              </w:rPr>
              <w:t>participation</w:t>
            </w:r>
            <w:r>
              <w:rPr>
                <w:sz w:val="18"/>
              </w:rPr>
              <w:tab/>
            </w:r>
            <w:r>
              <w:rPr>
                <w:spacing w:val="-4"/>
                <w:sz w:val="18"/>
              </w:rPr>
              <w:t>takes</w:t>
            </w:r>
            <w:r>
              <w:rPr>
                <w:sz w:val="18"/>
              </w:rPr>
              <w:tab/>
            </w:r>
            <w:r>
              <w:rPr>
                <w:spacing w:val="-2"/>
                <w:sz w:val="18"/>
              </w:rPr>
              <w:t>place.</w:t>
            </w:r>
            <w:r>
              <w:rPr>
                <w:sz w:val="18"/>
              </w:rPr>
              <w:tab/>
              <w:t>Follow-</w:t>
            </w:r>
            <w:r>
              <w:rPr>
                <w:spacing w:val="-5"/>
                <w:sz w:val="18"/>
              </w:rPr>
              <w:t>up</w:t>
            </w:r>
          </w:p>
        </w:tc>
        <w:tc>
          <w:tcPr>
            <w:tcW w:w="1256" w:type="dxa"/>
          </w:tcPr>
          <w:p>
            <w:pPr>
              <w:pStyle w:val="TableParagraph"/>
              <w:rPr>
                <w:sz w:val="14"/>
              </w:rPr>
            </w:pPr>
          </w:p>
        </w:tc>
        <w:tc>
          <w:tcPr>
            <w:tcW w:w="903" w:type="dxa"/>
          </w:tcPr>
          <w:p>
            <w:pPr>
              <w:pStyle w:val="TableParagraph"/>
              <w:spacing w:line="188" w:lineRule="exact"/>
              <w:ind w:left="109"/>
              <w:rPr>
                <w:sz w:val="18"/>
              </w:rPr>
            </w:pPr>
            <w:r>
              <w:rPr>
                <w:spacing w:val="-4"/>
                <w:sz w:val="18"/>
              </w:rPr>
              <w:t>rate</w:t>
            </w:r>
          </w:p>
        </w:tc>
        <w:tc>
          <w:tcPr>
            <w:tcW w:w="1189" w:type="dxa"/>
            <w:shd w:val="clear" w:color="auto" w:fill="DBE4F0"/>
          </w:tcPr>
          <w:p>
            <w:pPr>
              <w:pStyle w:val="TableParagraph"/>
              <w:spacing w:line="188" w:lineRule="exact"/>
              <w:ind w:left="107"/>
              <w:rPr>
                <w:sz w:val="18"/>
              </w:rPr>
            </w:pPr>
            <w:r>
              <w:rPr>
                <w:sz w:val="18"/>
              </w:rPr>
              <w:t>most</w:t>
            </w:r>
            <w:r>
              <w:rPr>
                <w:spacing w:val="80"/>
                <w:sz w:val="18"/>
              </w:rPr>
              <w:t> </w:t>
            </w:r>
            <w:r>
              <w:rPr>
                <w:sz w:val="18"/>
              </w:rPr>
              <w:t>of</w:t>
            </w:r>
            <w:r>
              <w:rPr>
                <w:spacing w:val="79"/>
                <w:sz w:val="18"/>
              </w:rPr>
              <w:t> </w:t>
            </w:r>
            <w:r>
              <w:rPr>
                <w:spacing w:val="-5"/>
                <w:sz w:val="18"/>
              </w:rPr>
              <w:t>the</w:t>
            </w:r>
          </w:p>
        </w:tc>
      </w:tr>
      <w:tr>
        <w:trPr>
          <w:trHeight w:val="207" w:hRule="atLeast"/>
        </w:trPr>
        <w:tc>
          <w:tcPr>
            <w:tcW w:w="594" w:type="dxa"/>
          </w:tcPr>
          <w:p>
            <w:pPr>
              <w:pStyle w:val="TableParagraph"/>
              <w:rPr>
                <w:sz w:val="14"/>
              </w:rPr>
            </w:pPr>
          </w:p>
        </w:tc>
        <w:tc>
          <w:tcPr>
            <w:tcW w:w="1926" w:type="dxa"/>
          </w:tcPr>
          <w:p>
            <w:pPr>
              <w:pStyle w:val="TableParagraph"/>
              <w:spacing w:line="188" w:lineRule="exact"/>
              <w:ind w:left="142"/>
              <w:rPr>
                <w:sz w:val="18"/>
              </w:rPr>
            </w:pPr>
            <w:r>
              <w:rPr>
                <w:sz w:val="18"/>
              </w:rPr>
              <w:t>of</w:t>
            </w:r>
            <w:r>
              <w:rPr>
                <w:spacing w:val="-3"/>
                <w:sz w:val="18"/>
              </w:rPr>
              <w:t> </w:t>
            </w:r>
            <w:r>
              <w:rPr>
                <w:sz w:val="18"/>
              </w:rPr>
              <w:t>the</w:t>
            </w:r>
            <w:r>
              <w:rPr>
                <w:spacing w:val="-1"/>
                <w:sz w:val="18"/>
              </w:rPr>
              <w:t> </w:t>
            </w:r>
            <w:r>
              <w:rPr>
                <w:sz w:val="18"/>
              </w:rPr>
              <w:t>community</w:t>
            </w:r>
            <w:r>
              <w:rPr>
                <w:spacing w:val="-4"/>
                <w:sz w:val="18"/>
              </w:rPr>
              <w:t> </w:t>
            </w:r>
            <w:r>
              <w:rPr>
                <w:spacing w:val="-5"/>
                <w:sz w:val="18"/>
              </w:rPr>
              <w:t>in</w:t>
            </w:r>
          </w:p>
        </w:tc>
        <w:tc>
          <w:tcPr>
            <w:tcW w:w="3603" w:type="dxa"/>
          </w:tcPr>
          <w:p>
            <w:pPr>
              <w:pStyle w:val="TableParagraph"/>
              <w:spacing w:line="188" w:lineRule="exact"/>
              <w:ind w:left="108"/>
              <w:rPr>
                <w:sz w:val="18"/>
              </w:rPr>
            </w:pPr>
            <w:r>
              <w:rPr>
                <w:sz w:val="18"/>
              </w:rPr>
              <w:t>interviews</w:t>
            </w:r>
            <w:r>
              <w:rPr>
                <w:spacing w:val="2"/>
                <w:sz w:val="18"/>
              </w:rPr>
              <w:t> </w:t>
            </w:r>
            <w:r>
              <w:rPr>
                <w:sz w:val="18"/>
              </w:rPr>
              <w:t>however</w:t>
            </w:r>
            <w:r>
              <w:rPr>
                <w:spacing w:val="1"/>
                <w:sz w:val="18"/>
              </w:rPr>
              <w:t> </w:t>
            </w:r>
            <w:r>
              <w:rPr>
                <w:sz w:val="18"/>
              </w:rPr>
              <w:t>imply that</w:t>
            </w:r>
            <w:r>
              <w:rPr>
                <w:spacing w:val="2"/>
                <w:sz w:val="18"/>
              </w:rPr>
              <w:t> </w:t>
            </w:r>
            <w:r>
              <w:rPr>
                <w:sz w:val="18"/>
              </w:rPr>
              <w:t>the</w:t>
            </w:r>
            <w:r>
              <w:rPr>
                <w:spacing w:val="1"/>
                <w:sz w:val="18"/>
              </w:rPr>
              <w:t> </w:t>
            </w:r>
            <w:r>
              <w:rPr>
                <w:spacing w:val="-2"/>
                <w:sz w:val="18"/>
              </w:rPr>
              <w:t>respondents</w:t>
            </w:r>
          </w:p>
        </w:tc>
        <w:tc>
          <w:tcPr>
            <w:tcW w:w="1256" w:type="dxa"/>
          </w:tcPr>
          <w:p>
            <w:pPr>
              <w:pStyle w:val="TableParagraph"/>
              <w:rPr>
                <w:sz w:val="14"/>
              </w:rPr>
            </w:pPr>
          </w:p>
        </w:tc>
        <w:tc>
          <w:tcPr>
            <w:tcW w:w="903" w:type="dxa"/>
          </w:tcPr>
          <w:p>
            <w:pPr>
              <w:pStyle w:val="TableParagraph"/>
              <w:rPr>
                <w:sz w:val="14"/>
              </w:rPr>
            </w:pPr>
          </w:p>
        </w:tc>
        <w:tc>
          <w:tcPr>
            <w:tcW w:w="1189" w:type="dxa"/>
            <w:shd w:val="clear" w:color="auto" w:fill="DBE4F0"/>
          </w:tcPr>
          <w:p>
            <w:pPr>
              <w:pStyle w:val="TableParagraph"/>
              <w:spacing w:line="188" w:lineRule="exact"/>
              <w:ind w:left="107"/>
              <w:rPr>
                <w:sz w:val="18"/>
              </w:rPr>
            </w:pPr>
            <w:r>
              <w:rPr>
                <w:spacing w:val="-2"/>
                <w:sz w:val="18"/>
              </w:rPr>
              <w:t>respondents</w:t>
            </w:r>
          </w:p>
        </w:tc>
      </w:tr>
      <w:tr>
        <w:trPr>
          <w:trHeight w:val="206" w:hRule="atLeast"/>
        </w:trPr>
        <w:tc>
          <w:tcPr>
            <w:tcW w:w="594" w:type="dxa"/>
          </w:tcPr>
          <w:p>
            <w:pPr>
              <w:pStyle w:val="TableParagraph"/>
              <w:rPr>
                <w:sz w:val="14"/>
              </w:rPr>
            </w:pPr>
          </w:p>
        </w:tc>
        <w:tc>
          <w:tcPr>
            <w:tcW w:w="1926" w:type="dxa"/>
          </w:tcPr>
          <w:p>
            <w:pPr>
              <w:pStyle w:val="TableParagraph"/>
              <w:spacing w:line="186" w:lineRule="exact"/>
              <w:ind w:left="142"/>
              <w:rPr>
                <w:sz w:val="18"/>
              </w:rPr>
            </w:pPr>
            <w:r>
              <w:rPr>
                <w:sz w:val="18"/>
              </w:rPr>
              <w:t>the</w:t>
            </w:r>
            <w:r>
              <w:rPr>
                <w:spacing w:val="-2"/>
                <w:sz w:val="18"/>
              </w:rPr>
              <w:t> </w:t>
            </w:r>
            <w:r>
              <w:rPr>
                <w:sz w:val="18"/>
              </w:rPr>
              <w:t>housing</w:t>
            </w:r>
            <w:r>
              <w:rPr>
                <w:spacing w:val="-1"/>
                <w:sz w:val="18"/>
              </w:rPr>
              <w:t> </w:t>
            </w:r>
            <w:r>
              <w:rPr>
                <w:spacing w:val="-2"/>
                <w:sz w:val="18"/>
              </w:rPr>
              <w:t>budget</w:t>
            </w:r>
          </w:p>
        </w:tc>
        <w:tc>
          <w:tcPr>
            <w:tcW w:w="3603" w:type="dxa"/>
          </w:tcPr>
          <w:p>
            <w:pPr>
              <w:pStyle w:val="TableParagraph"/>
              <w:spacing w:line="186" w:lineRule="exact"/>
              <w:ind w:left="108"/>
              <w:rPr>
                <w:sz w:val="18"/>
              </w:rPr>
            </w:pPr>
            <w:r>
              <w:rPr>
                <w:sz w:val="18"/>
              </w:rPr>
              <w:t>do</w:t>
            </w:r>
            <w:r>
              <w:rPr>
                <w:spacing w:val="39"/>
                <w:sz w:val="18"/>
              </w:rPr>
              <w:t> </w:t>
            </w:r>
            <w:r>
              <w:rPr>
                <w:sz w:val="18"/>
              </w:rPr>
              <w:t>not</w:t>
            </w:r>
            <w:r>
              <w:rPr>
                <w:spacing w:val="40"/>
                <w:sz w:val="18"/>
              </w:rPr>
              <w:t> </w:t>
            </w:r>
            <w:r>
              <w:rPr>
                <w:sz w:val="18"/>
              </w:rPr>
              <w:t>actually</w:t>
            </w:r>
            <w:r>
              <w:rPr>
                <w:spacing w:val="37"/>
                <w:sz w:val="18"/>
              </w:rPr>
              <w:t> </w:t>
            </w:r>
            <w:r>
              <w:rPr>
                <w:sz w:val="18"/>
              </w:rPr>
              <w:t>understand</w:t>
            </w:r>
            <w:r>
              <w:rPr>
                <w:spacing w:val="40"/>
                <w:sz w:val="18"/>
              </w:rPr>
              <w:t> </w:t>
            </w:r>
            <w:r>
              <w:rPr>
                <w:sz w:val="18"/>
              </w:rPr>
              <w:t>the</w:t>
            </w:r>
            <w:r>
              <w:rPr>
                <w:spacing w:val="38"/>
                <w:sz w:val="18"/>
              </w:rPr>
              <w:t> </w:t>
            </w:r>
            <w:r>
              <w:rPr>
                <w:sz w:val="18"/>
              </w:rPr>
              <w:t>meaning</w:t>
            </w:r>
            <w:r>
              <w:rPr>
                <w:spacing w:val="40"/>
                <w:sz w:val="18"/>
              </w:rPr>
              <w:t> </w:t>
            </w:r>
            <w:r>
              <w:rPr>
                <w:spacing w:val="-5"/>
                <w:sz w:val="18"/>
              </w:rPr>
              <w:t>and</w:t>
            </w:r>
          </w:p>
        </w:tc>
        <w:tc>
          <w:tcPr>
            <w:tcW w:w="1256" w:type="dxa"/>
          </w:tcPr>
          <w:p>
            <w:pPr>
              <w:pStyle w:val="TableParagraph"/>
              <w:rPr>
                <w:sz w:val="14"/>
              </w:rPr>
            </w:pPr>
          </w:p>
        </w:tc>
        <w:tc>
          <w:tcPr>
            <w:tcW w:w="903" w:type="dxa"/>
          </w:tcPr>
          <w:p>
            <w:pPr>
              <w:pStyle w:val="TableParagraph"/>
              <w:rPr>
                <w:sz w:val="14"/>
              </w:rPr>
            </w:pPr>
          </w:p>
        </w:tc>
        <w:tc>
          <w:tcPr>
            <w:tcW w:w="1189" w:type="dxa"/>
            <w:shd w:val="clear" w:color="auto" w:fill="DBE4F0"/>
          </w:tcPr>
          <w:p>
            <w:pPr>
              <w:pStyle w:val="TableParagraph"/>
              <w:spacing w:line="186" w:lineRule="exact"/>
              <w:ind w:left="107"/>
              <w:rPr>
                <w:sz w:val="18"/>
              </w:rPr>
            </w:pPr>
            <w:r>
              <w:rPr>
                <w:spacing w:val="-2"/>
                <w:sz w:val="18"/>
              </w:rPr>
              <w:t>misunderstan</w:t>
            </w:r>
          </w:p>
        </w:tc>
      </w:tr>
      <w:tr>
        <w:trPr>
          <w:trHeight w:val="206" w:hRule="atLeast"/>
        </w:trPr>
        <w:tc>
          <w:tcPr>
            <w:tcW w:w="594" w:type="dxa"/>
          </w:tcPr>
          <w:p>
            <w:pPr>
              <w:pStyle w:val="TableParagraph"/>
              <w:rPr>
                <w:sz w:val="14"/>
              </w:rPr>
            </w:pPr>
          </w:p>
        </w:tc>
        <w:tc>
          <w:tcPr>
            <w:tcW w:w="1926" w:type="dxa"/>
          </w:tcPr>
          <w:p>
            <w:pPr>
              <w:pStyle w:val="TableParagraph"/>
              <w:spacing w:line="186" w:lineRule="exact"/>
              <w:ind w:left="142"/>
              <w:rPr>
                <w:sz w:val="18"/>
              </w:rPr>
            </w:pPr>
            <w:r>
              <w:rPr>
                <w:spacing w:val="-2"/>
                <w:sz w:val="18"/>
              </w:rPr>
              <w:t>process</w:t>
            </w:r>
          </w:p>
        </w:tc>
        <w:tc>
          <w:tcPr>
            <w:tcW w:w="3603" w:type="dxa"/>
          </w:tcPr>
          <w:p>
            <w:pPr>
              <w:pStyle w:val="TableParagraph"/>
              <w:spacing w:line="186" w:lineRule="exact"/>
              <w:ind w:left="108"/>
              <w:rPr>
                <w:sz w:val="18"/>
              </w:rPr>
            </w:pPr>
            <w:r>
              <w:rPr>
                <w:sz w:val="18"/>
              </w:rPr>
              <w:t>extent</w:t>
            </w:r>
            <w:r>
              <w:rPr>
                <w:spacing w:val="16"/>
                <w:sz w:val="18"/>
              </w:rPr>
              <w:t> </w:t>
            </w:r>
            <w:r>
              <w:rPr>
                <w:sz w:val="18"/>
              </w:rPr>
              <w:t>of</w:t>
            </w:r>
            <w:r>
              <w:rPr>
                <w:spacing w:val="13"/>
                <w:sz w:val="18"/>
              </w:rPr>
              <w:t> </w:t>
            </w:r>
            <w:r>
              <w:rPr>
                <w:sz w:val="18"/>
              </w:rPr>
              <w:t>participation.</w:t>
            </w:r>
            <w:r>
              <w:rPr>
                <w:spacing w:val="14"/>
                <w:sz w:val="18"/>
              </w:rPr>
              <w:t> </w:t>
            </w:r>
            <w:r>
              <w:rPr>
                <w:sz w:val="18"/>
              </w:rPr>
              <w:t>The</w:t>
            </w:r>
            <w:r>
              <w:rPr>
                <w:spacing w:val="15"/>
                <w:sz w:val="18"/>
              </w:rPr>
              <w:t> </w:t>
            </w:r>
            <w:r>
              <w:rPr>
                <w:sz w:val="18"/>
              </w:rPr>
              <w:t>presence</w:t>
            </w:r>
            <w:r>
              <w:rPr>
                <w:spacing w:val="15"/>
                <w:sz w:val="18"/>
              </w:rPr>
              <w:t> </w:t>
            </w:r>
            <w:r>
              <w:rPr>
                <w:sz w:val="18"/>
              </w:rPr>
              <w:t>of</w:t>
            </w:r>
            <w:r>
              <w:rPr>
                <w:spacing w:val="13"/>
                <w:sz w:val="18"/>
              </w:rPr>
              <w:t> </w:t>
            </w:r>
            <w:r>
              <w:rPr>
                <w:sz w:val="18"/>
              </w:rPr>
              <w:t>a</w:t>
            </w:r>
            <w:r>
              <w:rPr>
                <w:spacing w:val="16"/>
                <w:sz w:val="18"/>
              </w:rPr>
              <w:t> </w:t>
            </w:r>
            <w:r>
              <w:rPr>
                <w:spacing w:val="-5"/>
                <w:sz w:val="18"/>
              </w:rPr>
              <w:t>few</w:t>
            </w:r>
          </w:p>
        </w:tc>
        <w:tc>
          <w:tcPr>
            <w:tcW w:w="1256" w:type="dxa"/>
          </w:tcPr>
          <w:p>
            <w:pPr>
              <w:pStyle w:val="TableParagraph"/>
              <w:rPr>
                <w:sz w:val="14"/>
              </w:rPr>
            </w:pPr>
          </w:p>
        </w:tc>
        <w:tc>
          <w:tcPr>
            <w:tcW w:w="903" w:type="dxa"/>
          </w:tcPr>
          <w:p>
            <w:pPr>
              <w:pStyle w:val="TableParagraph"/>
              <w:rPr>
                <w:sz w:val="14"/>
              </w:rPr>
            </w:pPr>
          </w:p>
        </w:tc>
        <w:tc>
          <w:tcPr>
            <w:tcW w:w="1189" w:type="dxa"/>
            <w:shd w:val="clear" w:color="auto" w:fill="DBE4F0"/>
          </w:tcPr>
          <w:p>
            <w:pPr>
              <w:pStyle w:val="TableParagraph"/>
              <w:spacing w:line="186" w:lineRule="exact"/>
              <w:ind w:left="107"/>
              <w:rPr>
                <w:sz w:val="18"/>
              </w:rPr>
            </w:pPr>
            <w:r>
              <w:rPr>
                <w:sz w:val="18"/>
              </w:rPr>
              <w:t>d</w:t>
            </w:r>
            <w:r>
              <w:rPr>
                <w:spacing w:val="50"/>
                <w:sz w:val="18"/>
              </w:rPr>
              <w:t>  </w:t>
            </w:r>
            <w:r>
              <w:rPr>
                <w:sz w:val="18"/>
              </w:rPr>
              <w:t>the</w:t>
            </w:r>
            <w:r>
              <w:rPr>
                <w:spacing w:val="51"/>
                <w:sz w:val="18"/>
              </w:rPr>
              <w:t>  </w:t>
            </w:r>
            <w:r>
              <w:rPr>
                <w:spacing w:val="-4"/>
                <w:sz w:val="18"/>
              </w:rPr>
              <w:t>true</w:t>
            </w:r>
          </w:p>
        </w:tc>
      </w:tr>
      <w:tr>
        <w:trPr>
          <w:trHeight w:val="207" w:hRule="atLeast"/>
        </w:trPr>
        <w:tc>
          <w:tcPr>
            <w:tcW w:w="594" w:type="dxa"/>
          </w:tcPr>
          <w:p>
            <w:pPr>
              <w:pStyle w:val="TableParagraph"/>
              <w:rPr>
                <w:sz w:val="14"/>
              </w:rPr>
            </w:pPr>
          </w:p>
        </w:tc>
        <w:tc>
          <w:tcPr>
            <w:tcW w:w="1926" w:type="dxa"/>
          </w:tcPr>
          <w:p>
            <w:pPr>
              <w:pStyle w:val="TableParagraph"/>
              <w:rPr>
                <w:sz w:val="14"/>
              </w:rPr>
            </w:pPr>
          </w:p>
        </w:tc>
        <w:tc>
          <w:tcPr>
            <w:tcW w:w="3603" w:type="dxa"/>
          </w:tcPr>
          <w:p>
            <w:pPr>
              <w:pStyle w:val="TableParagraph"/>
              <w:spacing w:line="188" w:lineRule="exact"/>
              <w:ind w:left="108"/>
              <w:rPr>
                <w:sz w:val="18"/>
              </w:rPr>
            </w:pPr>
            <w:r>
              <w:rPr>
                <w:sz w:val="18"/>
              </w:rPr>
              <w:t>stakeholders</w:t>
            </w:r>
            <w:r>
              <w:rPr>
                <w:spacing w:val="37"/>
                <w:sz w:val="18"/>
              </w:rPr>
              <w:t> </w:t>
            </w:r>
            <w:r>
              <w:rPr>
                <w:sz w:val="18"/>
              </w:rPr>
              <w:t>during</w:t>
            </w:r>
            <w:r>
              <w:rPr>
                <w:spacing w:val="38"/>
                <w:sz w:val="18"/>
              </w:rPr>
              <w:t> </w:t>
            </w:r>
            <w:r>
              <w:rPr>
                <w:sz w:val="18"/>
              </w:rPr>
              <w:t>bilateral</w:t>
            </w:r>
            <w:r>
              <w:rPr>
                <w:spacing w:val="40"/>
                <w:sz w:val="18"/>
              </w:rPr>
              <w:t> </w:t>
            </w:r>
            <w:r>
              <w:rPr>
                <w:sz w:val="18"/>
              </w:rPr>
              <w:t>discussions</w:t>
            </w:r>
            <w:r>
              <w:rPr>
                <w:spacing w:val="39"/>
                <w:sz w:val="18"/>
              </w:rPr>
              <w:t> </w:t>
            </w:r>
            <w:r>
              <w:rPr>
                <w:spacing w:val="-5"/>
                <w:sz w:val="18"/>
              </w:rPr>
              <w:t>and</w:t>
            </w:r>
          </w:p>
        </w:tc>
        <w:tc>
          <w:tcPr>
            <w:tcW w:w="1256" w:type="dxa"/>
          </w:tcPr>
          <w:p>
            <w:pPr>
              <w:pStyle w:val="TableParagraph"/>
              <w:rPr>
                <w:sz w:val="14"/>
              </w:rPr>
            </w:pPr>
          </w:p>
        </w:tc>
        <w:tc>
          <w:tcPr>
            <w:tcW w:w="903" w:type="dxa"/>
          </w:tcPr>
          <w:p>
            <w:pPr>
              <w:pStyle w:val="TableParagraph"/>
              <w:rPr>
                <w:sz w:val="14"/>
              </w:rPr>
            </w:pPr>
          </w:p>
        </w:tc>
        <w:tc>
          <w:tcPr>
            <w:tcW w:w="1189" w:type="dxa"/>
            <w:shd w:val="clear" w:color="auto" w:fill="DBE4F0"/>
          </w:tcPr>
          <w:p>
            <w:pPr>
              <w:pStyle w:val="TableParagraph"/>
              <w:tabs>
                <w:tab w:pos="927" w:val="left" w:leader="none"/>
              </w:tabs>
              <w:spacing w:line="188" w:lineRule="exact"/>
              <w:ind w:left="107"/>
              <w:rPr>
                <w:sz w:val="18"/>
              </w:rPr>
            </w:pPr>
            <w:r>
              <w:rPr>
                <w:spacing w:val="-2"/>
                <w:sz w:val="18"/>
              </w:rPr>
              <w:t>meaning</w:t>
            </w:r>
            <w:r>
              <w:rPr>
                <w:sz w:val="18"/>
              </w:rPr>
              <w:tab/>
            </w:r>
            <w:r>
              <w:rPr>
                <w:spacing w:val="-5"/>
                <w:sz w:val="18"/>
              </w:rPr>
              <w:t>of</w:t>
            </w:r>
          </w:p>
        </w:tc>
      </w:tr>
      <w:tr>
        <w:trPr>
          <w:trHeight w:val="207" w:hRule="atLeast"/>
        </w:trPr>
        <w:tc>
          <w:tcPr>
            <w:tcW w:w="594" w:type="dxa"/>
          </w:tcPr>
          <w:p>
            <w:pPr>
              <w:pStyle w:val="TableParagraph"/>
              <w:rPr>
                <w:sz w:val="14"/>
              </w:rPr>
            </w:pPr>
          </w:p>
        </w:tc>
        <w:tc>
          <w:tcPr>
            <w:tcW w:w="1926" w:type="dxa"/>
          </w:tcPr>
          <w:p>
            <w:pPr>
              <w:pStyle w:val="TableParagraph"/>
              <w:rPr>
                <w:sz w:val="14"/>
              </w:rPr>
            </w:pPr>
          </w:p>
        </w:tc>
        <w:tc>
          <w:tcPr>
            <w:tcW w:w="3603" w:type="dxa"/>
          </w:tcPr>
          <w:p>
            <w:pPr>
              <w:pStyle w:val="TableParagraph"/>
              <w:spacing w:line="188" w:lineRule="exact"/>
              <w:ind w:left="108"/>
              <w:rPr>
                <w:sz w:val="18"/>
              </w:rPr>
            </w:pPr>
            <w:r>
              <w:rPr>
                <w:sz w:val="18"/>
              </w:rPr>
              <w:t>defense</w:t>
            </w:r>
            <w:r>
              <w:rPr>
                <w:spacing w:val="34"/>
                <w:sz w:val="18"/>
              </w:rPr>
              <w:t> </w:t>
            </w:r>
            <w:r>
              <w:rPr>
                <w:sz w:val="18"/>
              </w:rPr>
              <w:t>of</w:t>
            </w:r>
            <w:r>
              <w:rPr>
                <w:spacing w:val="34"/>
                <w:sz w:val="18"/>
              </w:rPr>
              <w:t> </w:t>
            </w:r>
            <w:r>
              <w:rPr>
                <w:sz w:val="18"/>
              </w:rPr>
              <w:t>the</w:t>
            </w:r>
            <w:r>
              <w:rPr>
                <w:spacing w:val="35"/>
                <w:sz w:val="18"/>
              </w:rPr>
              <w:t> </w:t>
            </w:r>
            <w:r>
              <w:rPr>
                <w:sz w:val="18"/>
              </w:rPr>
              <w:t>budget</w:t>
            </w:r>
            <w:r>
              <w:rPr>
                <w:spacing w:val="35"/>
                <w:sz w:val="18"/>
              </w:rPr>
              <w:t> </w:t>
            </w:r>
            <w:r>
              <w:rPr>
                <w:sz w:val="18"/>
              </w:rPr>
              <w:t>proposals</w:t>
            </w:r>
            <w:r>
              <w:rPr>
                <w:spacing w:val="36"/>
                <w:sz w:val="18"/>
              </w:rPr>
              <w:t> </w:t>
            </w:r>
            <w:r>
              <w:rPr>
                <w:sz w:val="18"/>
              </w:rPr>
              <w:t>can</w:t>
            </w:r>
            <w:r>
              <w:rPr>
                <w:spacing w:val="37"/>
                <w:sz w:val="18"/>
              </w:rPr>
              <w:t> </w:t>
            </w:r>
            <w:r>
              <w:rPr>
                <w:sz w:val="18"/>
              </w:rPr>
              <w:t>best</w:t>
            </w:r>
            <w:r>
              <w:rPr>
                <w:spacing w:val="36"/>
                <w:sz w:val="18"/>
              </w:rPr>
              <w:t> </w:t>
            </w:r>
            <w:r>
              <w:rPr>
                <w:spacing w:val="-5"/>
                <w:sz w:val="18"/>
              </w:rPr>
              <w:t>be</w:t>
            </w:r>
          </w:p>
        </w:tc>
        <w:tc>
          <w:tcPr>
            <w:tcW w:w="1256" w:type="dxa"/>
          </w:tcPr>
          <w:p>
            <w:pPr>
              <w:pStyle w:val="TableParagraph"/>
              <w:rPr>
                <w:sz w:val="14"/>
              </w:rPr>
            </w:pPr>
          </w:p>
        </w:tc>
        <w:tc>
          <w:tcPr>
            <w:tcW w:w="903" w:type="dxa"/>
          </w:tcPr>
          <w:p>
            <w:pPr>
              <w:pStyle w:val="TableParagraph"/>
              <w:rPr>
                <w:sz w:val="14"/>
              </w:rPr>
            </w:pPr>
          </w:p>
        </w:tc>
        <w:tc>
          <w:tcPr>
            <w:tcW w:w="1189" w:type="dxa"/>
            <w:shd w:val="clear" w:color="auto" w:fill="DBE4F0"/>
          </w:tcPr>
          <w:p>
            <w:pPr>
              <w:pStyle w:val="TableParagraph"/>
              <w:spacing w:line="188" w:lineRule="exact"/>
              <w:ind w:left="107"/>
              <w:rPr>
                <w:sz w:val="18"/>
              </w:rPr>
            </w:pPr>
            <w:r>
              <w:rPr>
                <w:spacing w:val="-2"/>
                <w:sz w:val="18"/>
              </w:rPr>
              <w:t>participation</w:t>
            </w:r>
          </w:p>
        </w:tc>
      </w:tr>
      <w:tr>
        <w:trPr>
          <w:trHeight w:val="206" w:hRule="atLeast"/>
        </w:trPr>
        <w:tc>
          <w:tcPr>
            <w:tcW w:w="594" w:type="dxa"/>
            <w:tcBorders>
              <w:bottom w:val="single" w:sz="4" w:space="0" w:color="000000"/>
            </w:tcBorders>
          </w:tcPr>
          <w:p>
            <w:pPr>
              <w:pStyle w:val="TableParagraph"/>
              <w:rPr>
                <w:sz w:val="14"/>
              </w:rPr>
            </w:pPr>
          </w:p>
        </w:tc>
        <w:tc>
          <w:tcPr>
            <w:tcW w:w="1926" w:type="dxa"/>
            <w:tcBorders>
              <w:bottom w:val="single" w:sz="4" w:space="0" w:color="000000"/>
            </w:tcBorders>
          </w:tcPr>
          <w:p>
            <w:pPr>
              <w:pStyle w:val="TableParagraph"/>
              <w:rPr>
                <w:sz w:val="14"/>
              </w:rPr>
            </w:pPr>
          </w:p>
        </w:tc>
        <w:tc>
          <w:tcPr>
            <w:tcW w:w="3603" w:type="dxa"/>
            <w:tcBorders>
              <w:bottom w:val="single" w:sz="4" w:space="0" w:color="000000"/>
            </w:tcBorders>
          </w:tcPr>
          <w:p>
            <w:pPr>
              <w:pStyle w:val="TableParagraph"/>
              <w:spacing w:line="187" w:lineRule="exact"/>
              <w:ind w:left="108"/>
              <w:rPr>
                <w:sz w:val="18"/>
              </w:rPr>
            </w:pPr>
            <w:r>
              <w:rPr>
                <w:sz w:val="18"/>
              </w:rPr>
              <w:t>described</w:t>
            </w:r>
            <w:r>
              <w:rPr>
                <w:spacing w:val="-1"/>
                <w:sz w:val="18"/>
              </w:rPr>
              <w:t> </w:t>
            </w:r>
            <w:r>
              <w:rPr>
                <w:sz w:val="18"/>
              </w:rPr>
              <w:t>as</w:t>
            </w:r>
            <w:r>
              <w:rPr>
                <w:spacing w:val="-2"/>
                <w:sz w:val="18"/>
              </w:rPr>
              <w:t> </w:t>
            </w:r>
            <w:r>
              <w:rPr>
                <w:sz w:val="18"/>
              </w:rPr>
              <w:t>citizen </w:t>
            </w:r>
            <w:r>
              <w:rPr>
                <w:spacing w:val="-2"/>
                <w:sz w:val="18"/>
              </w:rPr>
              <w:t>observation.</w:t>
            </w:r>
          </w:p>
        </w:tc>
        <w:tc>
          <w:tcPr>
            <w:tcW w:w="1256" w:type="dxa"/>
            <w:tcBorders>
              <w:bottom w:val="single" w:sz="4" w:space="0" w:color="000000"/>
            </w:tcBorders>
          </w:tcPr>
          <w:p>
            <w:pPr>
              <w:pStyle w:val="TableParagraph"/>
              <w:rPr>
                <w:sz w:val="14"/>
              </w:rPr>
            </w:pPr>
          </w:p>
        </w:tc>
        <w:tc>
          <w:tcPr>
            <w:tcW w:w="903" w:type="dxa"/>
            <w:tcBorders>
              <w:bottom w:val="single" w:sz="4" w:space="0" w:color="000000"/>
            </w:tcBorders>
          </w:tcPr>
          <w:p>
            <w:pPr>
              <w:pStyle w:val="TableParagraph"/>
              <w:rPr>
                <w:sz w:val="14"/>
              </w:rPr>
            </w:pPr>
          </w:p>
        </w:tc>
        <w:tc>
          <w:tcPr>
            <w:tcW w:w="1189" w:type="dxa"/>
            <w:tcBorders>
              <w:bottom w:val="single" w:sz="4" w:space="0" w:color="000000"/>
            </w:tcBorders>
            <w:shd w:val="clear" w:color="auto" w:fill="DBE4F0"/>
          </w:tcPr>
          <w:p>
            <w:pPr>
              <w:pStyle w:val="TableParagraph"/>
              <w:rPr>
                <w:sz w:val="14"/>
              </w:rPr>
            </w:pPr>
          </w:p>
        </w:tc>
      </w:tr>
      <w:tr>
        <w:trPr>
          <w:trHeight w:val="414" w:hRule="atLeast"/>
        </w:trPr>
        <w:tc>
          <w:tcPr>
            <w:tcW w:w="2520" w:type="dxa"/>
            <w:gridSpan w:val="2"/>
            <w:tcBorders>
              <w:top w:val="single" w:sz="4" w:space="0" w:color="000000"/>
              <w:bottom w:val="single" w:sz="4" w:space="0" w:color="000000"/>
            </w:tcBorders>
            <w:shd w:val="clear" w:color="auto" w:fill="DBE4F0"/>
          </w:tcPr>
          <w:p>
            <w:pPr>
              <w:pStyle w:val="TableParagraph"/>
              <w:spacing w:line="202" w:lineRule="exact"/>
              <w:ind w:left="108"/>
              <w:rPr>
                <w:sz w:val="18"/>
              </w:rPr>
            </w:pPr>
            <w:r>
              <w:rPr>
                <w:sz w:val="18"/>
              </w:rPr>
              <w:t>Stipulation</w:t>
            </w:r>
            <w:r>
              <w:rPr>
                <w:spacing w:val="56"/>
                <w:sz w:val="18"/>
              </w:rPr>
              <w:t> </w:t>
            </w:r>
            <w:r>
              <w:rPr>
                <w:sz w:val="18"/>
              </w:rPr>
              <w:t>of</w:t>
            </w:r>
            <w:r>
              <w:rPr>
                <w:spacing w:val="53"/>
                <w:sz w:val="18"/>
              </w:rPr>
              <w:t> </w:t>
            </w:r>
            <w:r>
              <w:rPr>
                <w:sz w:val="18"/>
              </w:rPr>
              <w:t>housing</w:t>
            </w:r>
            <w:r>
              <w:rPr>
                <w:spacing w:val="54"/>
                <w:sz w:val="18"/>
              </w:rPr>
              <w:t> </w:t>
            </w:r>
            <w:r>
              <w:rPr>
                <w:spacing w:val="-2"/>
                <w:sz w:val="18"/>
              </w:rPr>
              <w:t>budget</w:t>
            </w:r>
          </w:p>
          <w:p>
            <w:pPr>
              <w:pStyle w:val="TableParagraph"/>
              <w:spacing w:line="193" w:lineRule="exact"/>
              <w:ind w:left="108"/>
              <w:rPr>
                <w:sz w:val="18"/>
              </w:rPr>
            </w:pPr>
            <w:r>
              <w:rPr>
                <w:spacing w:val="-2"/>
                <w:sz w:val="18"/>
              </w:rPr>
              <w:t>ceiling</w:t>
            </w:r>
          </w:p>
        </w:tc>
        <w:tc>
          <w:tcPr>
            <w:tcW w:w="6951" w:type="dxa"/>
            <w:gridSpan w:val="4"/>
            <w:tcBorders>
              <w:top w:val="single" w:sz="4" w:space="0" w:color="000000"/>
              <w:bottom w:val="single" w:sz="4" w:space="0" w:color="000000"/>
            </w:tcBorders>
          </w:tcPr>
          <w:p>
            <w:pPr>
              <w:pStyle w:val="TableParagraph"/>
              <w:rPr>
                <w:sz w:val="18"/>
              </w:rPr>
            </w:pPr>
          </w:p>
        </w:tc>
      </w:tr>
      <w:tr>
        <w:trPr>
          <w:trHeight w:val="621" w:hRule="atLeast"/>
        </w:trPr>
        <w:tc>
          <w:tcPr>
            <w:tcW w:w="594" w:type="dxa"/>
            <w:tcBorders>
              <w:top w:val="single" w:sz="4" w:space="0" w:color="000000"/>
              <w:bottom w:val="single" w:sz="4" w:space="0" w:color="000000"/>
            </w:tcBorders>
          </w:tcPr>
          <w:p>
            <w:pPr>
              <w:pStyle w:val="TableParagraph"/>
              <w:spacing w:line="202" w:lineRule="exact"/>
              <w:ind w:left="108"/>
              <w:rPr>
                <w:sz w:val="18"/>
              </w:rPr>
            </w:pPr>
            <w:r>
              <w:rPr>
                <w:spacing w:val="-5"/>
                <w:sz w:val="18"/>
              </w:rPr>
              <w:t>6)</w:t>
            </w:r>
          </w:p>
        </w:tc>
        <w:tc>
          <w:tcPr>
            <w:tcW w:w="1926" w:type="dxa"/>
            <w:tcBorders>
              <w:top w:val="single" w:sz="4" w:space="0" w:color="000000"/>
              <w:bottom w:val="single" w:sz="4" w:space="0" w:color="000000"/>
            </w:tcBorders>
          </w:tcPr>
          <w:p>
            <w:pPr>
              <w:pStyle w:val="TableParagraph"/>
              <w:ind w:left="142" w:right="366"/>
              <w:rPr>
                <w:sz w:val="18"/>
              </w:rPr>
            </w:pPr>
            <w:r>
              <w:rPr>
                <w:sz w:val="18"/>
              </w:rPr>
              <w:t>Availability of an objective,</w:t>
            </w:r>
            <w:r>
              <w:rPr>
                <w:spacing w:val="-12"/>
                <w:sz w:val="18"/>
              </w:rPr>
              <w:t> </w:t>
            </w:r>
            <w:r>
              <w:rPr>
                <w:sz w:val="18"/>
              </w:rPr>
              <w:t>scientific</w:t>
            </w:r>
          </w:p>
          <w:p>
            <w:pPr>
              <w:pStyle w:val="TableParagraph"/>
              <w:spacing w:line="192" w:lineRule="exact"/>
              <w:ind w:left="142"/>
              <w:rPr>
                <w:sz w:val="18"/>
              </w:rPr>
            </w:pPr>
            <w:r>
              <w:rPr>
                <w:sz w:val="18"/>
              </w:rPr>
              <w:t>criterion(ia) </w:t>
            </w:r>
            <w:r>
              <w:rPr>
                <w:spacing w:val="-5"/>
                <w:sz w:val="18"/>
              </w:rPr>
              <w:t>for</w:t>
            </w:r>
          </w:p>
        </w:tc>
        <w:tc>
          <w:tcPr>
            <w:tcW w:w="3603" w:type="dxa"/>
            <w:tcBorders>
              <w:top w:val="single" w:sz="4" w:space="0" w:color="000000"/>
              <w:bottom w:val="single" w:sz="4" w:space="0" w:color="000000"/>
            </w:tcBorders>
          </w:tcPr>
          <w:p>
            <w:pPr>
              <w:pStyle w:val="TableParagraph"/>
              <w:tabs>
                <w:tab w:pos="993" w:val="left" w:leader="none"/>
                <w:tab w:pos="1728" w:val="left" w:leader="none"/>
                <w:tab w:pos="2073" w:val="left" w:leader="none"/>
                <w:tab w:pos="2673" w:val="left" w:leader="none"/>
              </w:tabs>
              <w:ind w:left="108" w:right="108"/>
              <w:rPr>
                <w:sz w:val="18"/>
              </w:rPr>
            </w:pPr>
            <w:r>
              <w:rPr>
                <w:sz w:val="18"/>
              </w:rPr>
              <w:t>10%</w:t>
            </w:r>
            <w:r>
              <w:rPr>
                <w:spacing w:val="40"/>
                <w:sz w:val="18"/>
              </w:rPr>
              <w:t> </w:t>
            </w:r>
            <w:r>
              <w:rPr>
                <w:sz w:val="18"/>
              </w:rPr>
              <w:t>of</w:t>
            </w:r>
            <w:r>
              <w:rPr>
                <w:spacing w:val="40"/>
                <w:sz w:val="18"/>
              </w:rPr>
              <w:t> </w:t>
            </w:r>
            <w:r>
              <w:rPr>
                <w:sz w:val="18"/>
              </w:rPr>
              <w:t>the</w:t>
            </w:r>
            <w:r>
              <w:rPr>
                <w:spacing w:val="40"/>
                <w:sz w:val="18"/>
              </w:rPr>
              <w:t> </w:t>
            </w:r>
            <w:r>
              <w:rPr>
                <w:sz w:val="18"/>
              </w:rPr>
              <w:t>respondents</w:t>
            </w:r>
            <w:r>
              <w:rPr>
                <w:spacing w:val="40"/>
                <w:sz w:val="18"/>
              </w:rPr>
              <w:t> </w:t>
            </w:r>
            <w:r>
              <w:rPr>
                <w:sz w:val="18"/>
              </w:rPr>
              <w:t>indicated</w:t>
            </w:r>
            <w:r>
              <w:rPr>
                <w:spacing w:val="40"/>
                <w:sz w:val="18"/>
              </w:rPr>
              <w:t> </w:t>
            </w:r>
            <w:r>
              <w:rPr>
                <w:sz w:val="18"/>
              </w:rPr>
              <w:t>that</w:t>
            </w:r>
            <w:r>
              <w:rPr>
                <w:spacing w:val="40"/>
                <w:sz w:val="18"/>
              </w:rPr>
              <w:t> </w:t>
            </w:r>
            <w:r>
              <w:rPr>
                <w:sz w:val="18"/>
              </w:rPr>
              <w:t>no </w:t>
            </w:r>
            <w:r>
              <w:rPr>
                <w:spacing w:val="-2"/>
                <w:sz w:val="18"/>
              </w:rPr>
              <w:t>objective</w:t>
            </w:r>
            <w:r>
              <w:rPr>
                <w:sz w:val="18"/>
              </w:rPr>
              <w:tab/>
            </w:r>
            <w:r>
              <w:rPr>
                <w:spacing w:val="-2"/>
                <w:sz w:val="18"/>
              </w:rPr>
              <w:t>criteria</w:t>
            </w:r>
            <w:r>
              <w:rPr>
                <w:sz w:val="18"/>
              </w:rPr>
              <w:tab/>
            </w:r>
            <w:r>
              <w:rPr>
                <w:spacing w:val="-5"/>
                <w:sz w:val="18"/>
              </w:rPr>
              <w:t>is</w:t>
            </w:r>
            <w:r>
              <w:rPr>
                <w:sz w:val="18"/>
              </w:rPr>
              <w:tab/>
            </w:r>
            <w:r>
              <w:rPr>
                <w:spacing w:val="-4"/>
                <w:sz w:val="18"/>
              </w:rPr>
              <w:t>used.</w:t>
            </w:r>
            <w:r>
              <w:rPr>
                <w:sz w:val="18"/>
              </w:rPr>
              <w:tab/>
            </w:r>
            <w:r>
              <w:rPr>
                <w:spacing w:val="-2"/>
                <w:sz w:val="18"/>
              </w:rPr>
              <w:t>Governor‘s</w:t>
            </w:r>
          </w:p>
          <w:p>
            <w:pPr>
              <w:pStyle w:val="TableParagraph"/>
              <w:spacing w:line="192" w:lineRule="exact"/>
              <w:ind w:left="108"/>
              <w:rPr>
                <w:sz w:val="18"/>
              </w:rPr>
            </w:pPr>
            <w:r>
              <w:rPr>
                <w:sz w:val="18"/>
              </w:rPr>
              <w:t>discretion</w:t>
            </w:r>
            <w:r>
              <w:rPr>
                <w:spacing w:val="4"/>
                <w:sz w:val="18"/>
              </w:rPr>
              <w:t> </w:t>
            </w:r>
            <w:r>
              <w:rPr>
                <w:sz w:val="18"/>
              </w:rPr>
              <w:t>which</w:t>
            </w:r>
            <w:r>
              <w:rPr>
                <w:spacing w:val="7"/>
                <w:sz w:val="18"/>
              </w:rPr>
              <w:t> </w:t>
            </w:r>
            <w:r>
              <w:rPr>
                <w:sz w:val="18"/>
              </w:rPr>
              <w:t>most</w:t>
            </w:r>
            <w:r>
              <w:rPr>
                <w:spacing w:val="6"/>
                <w:sz w:val="18"/>
              </w:rPr>
              <w:t> </w:t>
            </w:r>
            <w:r>
              <w:rPr>
                <w:sz w:val="18"/>
              </w:rPr>
              <w:t>of</w:t>
            </w:r>
            <w:r>
              <w:rPr>
                <w:spacing w:val="4"/>
                <w:sz w:val="18"/>
              </w:rPr>
              <w:t> </w:t>
            </w:r>
            <w:r>
              <w:rPr>
                <w:sz w:val="18"/>
              </w:rPr>
              <w:t>them(68%)</w:t>
            </w:r>
            <w:r>
              <w:rPr>
                <w:spacing w:val="6"/>
                <w:sz w:val="18"/>
              </w:rPr>
              <w:t> </w:t>
            </w:r>
            <w:r>
              <w:rPr>
                <w:spacing w:val="-2"/>
                <w:sz w:val="18"/>
              </w:rPr>
              <w:t>indicated</w:t>
            </w:r>
          </w:p>
        </w:tc>
        <w:tc>
          <w:tcPr>
            <w:tcW w:w="1256" w:type="dxa"/>
            <w:tcBorders>
              <w:top w:val="single" w:sz="4" w:space="0" w:color="000000"/>
              <w:bottom w:val="single" w:sz="4" w:space="0" w:color="000000"/>
            </w:tcBorders>
          </w:tcPr>
          <w:p>
            <w:pPr>
              <w:pStyle w:val="TableParagraph"/>
              <w:spacing w:line="202" w:lineRule="exact"/>
              <w:ind w:left="105"/>
              <w:rPr>
                <w:sz w:val="18"/>
              </w:rPr>
            </w:pPr>
            <w:r>
              <w:rPr>
                <w:spacing w:val="-5"/>
                <w:sz w:val="18"/>
              </w:rPr>
              <w:t>10%</w:t>
            </w:r>
          </w:p>
        </w:tc>
        <w:tc>
          <w:tcPr>
            <w:tcW w:w="903" w:type="dxa"/>
            <w:tcBorders>
              <w:top w:val="single" w:sz="4" w:space="0" w:color="000000"/>
              <w:bottom w:val="single" w:sz="4" w:space="0" w:color="000000"/>
            </w:tcBorders>
          </w:tcPr>
          <w:p>
            <w:pPr>
              <w:pStyle w:val="TableParagraph"/>
              <w:spacing w:line="202" w:lineRule="exact"/>
              <w:ind w:left="109"/>
              <w:rPr>
                <w:sz w:val="18"/>
              </w:rPr>
            </w:pPr>
            <w:r>
              <w:rPr>
                <w:spacing w:val="-10"/>
                <w:sz w:val="18"/>
              </w:rPr>
              <w:t>D</w:t>
            </w:r>
          </w:p>
        </w:tc>
        <w:tc>
          <w:tcPr>
            <w:tcW w:w="1189" w:type="dxa"/>
            <w:tcBorders>
              <w:top w:val="single" w:sz="4" w:space="0" w:color="000000"/>
              <w:bottom w:val="single" w:sz="4" w:space="0" w:color="000000"/>
            </w:tcBorders>
            <w:shd w:val="clear" w:color="auto" w:fill="DBE4F0"/>
          </w:tcPr>
          <w:p>
            <w:pPr>
              <w:pStyle w:val="TableParagraph"/>
              <w:ind w:left="107"/>
              <w:rPr>
                <w:sz w:val="18"/>
              </w:rPr>
            </w:pPr>
            <w:r>
              <w:rPr>
                <w:spacing w:val="-4"/>
                <w:sz w:val="18"/>
              </w:rPr>
              <w:t>Poor </w:t>
            </w:r>
            <w:r>
              <w:rPr>
                <w:spacing w:val="-2"/>
                <w:sz w:val="18"/>
              </w:rPr>
              <w:t>Performance</w:t>
            </w:r>
          </w:p>
        </w:tc>
      </w:tr>
    </w:tbl>
    <w:p>
      <w:pPr>
        <w:spacing w:after="0"/>
        <w:rPr>
          <w:sz w:val="18"/>
        </w:rPr>
        <w:sectPr>
          <w:pgSz w:w="12240" w:h="15840"/>
          <w:pgMar w:header="0" w:footer="1036" w:top="1360" w:bottom="1220" w:left="1320" w:right="320"/>
        </w:sectPr>
      </w:pPr>
    </w:p>
    <w:p>
      <w:pPr>
        <w:pStyle w:val="BodyText"/>
        <w:spacing w:before="1"/>
        <w:rPr>
          <w:b/>
          <w:sz w:val="2"/>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2"/>
        <w:gridCol w:w="1948"/>
        <w:gridCol w:w="3600"/>
        <w:gridCol w:w="941"/>
        <w:gridCol w:w="1219"/>
        <w:gridCol w:w="1188"/>
      </w:tblGrid>
      <w:tr>
        <w:trPr>
          <w:trHeight w:val="415" w:hRule="atLeast"/>
        </w:trPr>
        <w:tc>
          <w:tcPr>
            <w:tcW w:w="572" w:type="dxa"/>
            <w:tcBorders>
              <w:top w:val="single" w:sz="4" w:space="0" w:color="000000"/>
              <w:bottom w:val="single" w:sz="4" w:space="0" w:color="000000"/>
            </w:tcBorders>
          </w:tcPr>
          <w:p>
            <w:pPr>
              <w:pStyle w:val="TableParagraph"/>
              <w:rPr>
                <w:sz w:val="18"/>
              </w:rPr>
            </w:pPr>
          </w:p>
        </w:tc>
        <w:tc>
          <w:tcPr>
            <w:tcW w:w="1948" w:type="dxa"/>
            <w:tcBorders>
              <w:top w:val="single" w:sz="4" w:space="0" w:color="000000"/>
              <w:bottom w:val="single" w:sz="4" w:space="0" w:color="000000"/>
            </w:tcBorders>
          </w:tcPr>
          <w:p>
            <w:pPr>
              <w:pStyle w:val="TableParagraph"/>
              <w:spacing w:line="202" w:lineRule="exact"/>
              <w:ind w:left="164"/>
              <w:rPr>
                <w:sz w:val="18"/>
              </w:rPr>
            </w:pPr>
            <w:r>
              <w:rPr>
                <w:sz w:val="18"/>
              </w:rPr>
              <w:t>stipulating</w:t>
            </w:r>
            <w:r>
              <w:rPr>
                <w:spacing w:val="-2"/>
                <w:sz w:val="18"/>
              </w:rPr>
              <w:t> annual</w:t>
            </w:r>
          </w:p>
          <w:p>
            <w:pPr>
              <w:pStyle w:val="TableParagraph"/>
              <w:spacing w:line="193" w:lineRule="exact"/>
              <w:ind w:left="164"/>
              <w:rPr>
                <w:sz w:val="18"/>
              </w:rPr>
            </w:pPr>
            <w:r>
              <w:rPr>
                <w:sz w:val="18"/>
              </w:rPr>
              <w:t>housing</w:t>
            </w:r>
            <w:r>
              <w:rPr>
                <w:spacing w:val="-2"/>
                <w:sz w:val="18"/>
              </w:rPr>
              <w:t> </w:t>
            </w:r>
            <w:r>
              <w:rPr>
                <w:sz w:val="18"/>
              </w:rPr>
              <w:t>budget</w:t>
            </w:r>
            <w:r>
              <w:rPr>
                <w:spacing w:val="-1"/>
                <w:sz w:val="18"/>
              </w:rPr>
              <w:t> </w:t>
            </w:r>
            <w:r>
              <w:rPr>
                <w:spacing w:val="-2"/>
                <w:sz w:val="18"/>
              </w:rPr>
              <w:t>ceiling</w:t>
            </w:r>
          </w:p>
        </w:tc>
        <w:tc>
          <w:tcPr>
            <w:tcW w:w="3600" w:type="dxa"/>
            <w:tcBorders>
              <w:top w:val="single" w:sz="4" w:space="0" w:color="000000"/>
              <w:bottom w:val="single" w:sz="4" w:space="0" w:color="000000"/>
            </w:tcBorders>
          </w:tcPr>
          <w:p>
            <w:pPr>
              <w:pStyle w:val="TableParagraph"/>
              <w:spacing w:line="202" w:lineRule="exact"/>
              <w:ind w:left="108"/>
              <w:rPr>
                <w:sz w:val="18"/>
              </w:rPr>
            </w:pPr>
            <w:r>
              <w:rPr>
                <w:sz w:val="18"/>
              </w:rPr>
              <w:t>is</w:t>
            </w:r>
            <w:r>
              <w:rPr>
                <w:spacing w:val="25"/>
                <w:sz w:val="18"/>
              </w:rPr>
              <w:t> </w:t>
            </w:r>
            <w:r>
              <w:rPr>
                <w:sz w:val="18"/>
              </w:rPr>
              <w:t>not</w:t>
            </w:r>
            <w:r>
              <w:rPr>
                <w:spacing w:val="26"/>
                <w:sz w:val="18"/>
              </w:rPr>
              <w:t> </w:t>
            </w:r>
            <w:r>
              <w:rPr>
                <w:sz w:val="18"/>
              </w:rPr>
              <w:t>regarded</w:t>
            </w:r>
            <w:r>
              <w:rPr>
                <w:spacing w:val="26"/>
                <w:sz w:val="18"/>
              </w:rPr>
              <w:t> </w:t>
            </w:r>
            <w:r>
              <w:rPr>
                <w:sz w:val="18"/>
              </w:rPr>
              <w:t>as</w:t>
            </w:r>
            <w:r>
              <w:rPr>
                <w:spacing w:val="25"/>
                <w:sz w:val="18"/>
              </w:rPr>
              <w:t> </w:t>
            </w:r>
            <w:r>
              <w:rPr>
                <w:sz w:val="18"/>
              </w:rPr>
              <w:t>an</w:t>
            </w:r>
            <w:r>
              <w:rPr>
                <w:spacing w:val="26"/>
                <w:sz w:val="18"/>
              </w:rPr>
              <w:t> </w:t>
            </w:r>
            <w:r>
              <w:rPr>
                <w:sz w:val="18"/>
              </w:rPr>
              <w:t>objective</w:t>
            </w:r>
            <w:r>
              <w:rPr>
                <w:spacing w:val="29"/>
                <w:sz w:val="18"/>
              </w:rPr>
              <w:t> </w:t>
            </w:r>
            <w:r>
              <w:rPr>
                <w:sz w:val="18"/>
              </w:rPr>
              <w:t>criterion,</w:t>
            </w:r>
            <w:r>
              <w:rPr>
                <w:spacing w:val="27"/>
                <w:sz w:val="18"/>
              </w:rPr>
              <w:t> </w:t>
            </w:r>
            <w:r>
              <w:rPr>
                <w:spacing w:val="-5"/>
                <w:sz w:val="18"/>
              </w:rPr>
              <w:t>and</w:t>
            </w:r>
          </w:p>
          <w:p>
            <w:pPr>
              <w:pStyle w:val="TableParagraph"/>
              <w:spacing w:line="193" w:lineRule="exact"/>
              <w:ind w:left="108"/>
              <w:rPr>
                <w:sz w:val="18"/>
              </w:rPr>
            </w:pPr>
            <w:r>
              <w:rPr>
                <w:sz w:val="18"/>
              </w:rPr>
              <w:t>suggests</w:t>
            </w:r>
            <w:r>
              <w:rPr>
                <w:spacing w:val="-3"/>
                <w:sz w:val="18"/>
              </w:rPr>
              <w:t> </w:t>
            </w:r>
            <w:r>
              <w:rPr>
                <w:sz w:val="18"/>
              </w:rPr>
              <w:t>political</w:t>
            </w:r>
            <w:r>
              <w:rPr>
                <w:spacing w:val="-2"/>
                <w:sz w:val="18"/>
              </w:rPr>
              <w:t> influence</w:t>
            </w:r>
          </w:p>
        </w:tc>
        <w:tc>
          <w:tcPr>
            <w:tcW w:w="941" w:type="dxa"/>
            <w:tcBorders>
              <w:top w:val="single" w:sz="4" w:space="0" w:color="000000"/>
              <w:bottom w:val="single" w:sz="4" w:space="0" w:color="000000"/>
            </w:tcBorders>
          </w:tcPr>
          <w:p>
            <w:pPr>
              <w:pStyle w:val="TableParagraph"/>
              <w:rPr>
                <w:sz w:val="18"/>
              </w:rPr>
            </w:pPr>
          </w:p>
        </w:tc>
        <w:tc>
          <w:tcPr>
            <w:tcW w:w="1219" w:type="dxa"/>
            <w:tcBorders>
              <w:top w:val="single" w:sz="4" w:space="0" w:color="000000"/>
              <w:bottom w:val="single" w:sz="4" w:space="0" w:color="000000"/>
            </w:tcBorders>
          </w:tcPr>
          <w:p>
            <w:pPr>
              <w:pStyle w:val="TableParagraph"/>
              <w:rPr>
                <w:sz w:val="18"/>
              </w:rPr>
            </w:pPr>
          </w:p>
        </w:tc>
        <w:tc>
          <w:tcPr>
            <w:tcW w:w="1188" w:type="dxa"/>
            <w:tcBorders>
              <w:top w:val="single" w:sz="4" w:space="0" w:color="000000"/>
              <w:bottom w:val="single" w:sz="4" w:space="0" w:color="000000"/>
            </w:tcBorders>
            <w:shd w:val="clear" w:color="auto" w:fill="DBE4F0"/>
          </w:tcPr>
          <w:p>
            <w:pPr>
              <w:pStyle w:val="TableParagraph"/>
              <w:rPr>
                <w:sz w:val="18"/>
              </w:rPr>
            </w:pPr>
          </w:p>
        </w:tc>
      </w:tr>
      <w:tr>
        <w:trPr>
          <w:trHeight w:val="827" w:hRule="atLeast"/>
        </w:trPr>
        <w:tc>
          <w:tcPr>
            <w:tcW w:w="572" w:type="dxa"/>
            <w:tcBorders>
              <w:top w:val="single" w:sz="4" w:space="0" w:color="000000"/>
              <w:bottom w:val="single" w:sz="4" w:space="0" w:color="000000"/>
            </w:tcBorders>
            <w:shd w:val="clear" w:color="auto" w:fill="DBE4F0"/>
          </w:tcPr>
          <w:p>
            <w:pPr>
              <w:pStyle w:val="TableParagraph"/>
              <w:spacing w:line="202" w:lineRule="exact"/>
              <w:ind w:left="108"/>
              <w:rPr>
                <w:sz w:val="18"/>
              </w:rPr>
            </w:pPr>
            <w:r>
              <w:rPr>
                <w:spacing w:val="-5"/>
                <w:sz w:val="18"/>
              </w:rPr>
              <w:t>7)</w:t>
            </w:r>
          </w:p>
        </w:tc>
        <w:tc>
          <w:tcPr>
            <w:tcW w:w="1948" w:type="dxa"/>
            <w:tcBorders>
              <w:top w:val="single" w:sz="4" w:space="0" w:color="000000"/>
              <w:bottom w:val="single" w:sz="4" w:space="0" w:color="000000"/>
            </w:tcBorders>
            <w:shd w:val="clear" w:color="auto" w:fill="DBE4F0"/>
          </w:tcPr>
          <w:p>
            <w:pPr>
              <w:pStyle w:val="TableParagraph"/>
              <w:ind w:left="164" w:right="272"/>
              <w:rPr>
                <w:sz w:val="18"/>
              </w:rPr>
            </w:pPr>
            <w:r>
              <w:rPr>
                <w:sz w:val="18"/>
              </w:rPr>
              <w:t>Timeliness of the housing</w:t>
            </w:r>
            <w:r>
              <w:rPr>
                <w:spacing w:val="80"/>
                <w:sz w:val="18"/>
              </w:rPr>
              <w:t> </w:t>
            </w:r>
            <w:r>
              <w:rPr>
                <w:sz w:val="18"/>
              </w:rPr>
              <w:t>budget process/adherence</w:t>
            </w:r>
            <w:r>
              <w:rPr>
                <w:spacing w:val="-3"/>
                <w:sz w:val="18"/>
              </w:rPr>
              <w:t> </w:t>
            </w:r>
            <w:r>
              <w:rPr>
                <w:spacing w:val="-5"/>
                <w:sz w:val="18"/>
              </w:rPr>
              <w:t>to</w:t>
            </w:r>
          </w:p>
          <w:p>
            <w:pPr>
              <w:pStyle w:val="TableParagraph"/>
              <w:spacing w:line="191" w:lineRule="exact"/>
              <w:ind w:left="164"/>
              <w:rPr>
                <w:sz w:val="18"/>
              </w:rPr>
            </w:pPr>
            <w:r>
              <w:rPr>
                <w:sz w:val="18"/>
              </w:rPr>
              <w:t>the</w:t>
            </w:r>
            <w:r>
              <w:rPr>
                <w:spacing w:val="-2"/>
                <w:sz w:val="18"/>
              </w:rPr>
              <w:t> </w:t>
            </w:r>
            <w:r>
              <w:rPr>
                <w:sz w:val="18"/>
              </w:rPr>
              <w:t>budget</w:t>
            </w:r>
            <w:r>
              <w:rPr>
                <w:spacing w:val="-1"/>
                <w:sz w:val="18"/>
              </w:rPr>
              <w:t> </w:t>
            </w:r>
            <w:r>
              <w:rPr>
                <w:spacing w:val="-2"/>
                <w:sz w:val="18"/>
              </w:rPr>
              <w:t>calendar</w:t>
            </w:r>
          </w:p>
        </w:tc>
        <w:tc>
          <w:tcPr>
            <w:tcW w:w="6948" w:type="dxa"/>
            <w:gridSpan w:val="4"/>
            <w:tcBorders>
              <w:top w:val="single" w:sz="4" w:space="0" w:color="000000"/>
              <w:bottom w:val="single" w:sz="4" w:space="0" w:color="000000"/>
            </w:tcBorders>
          </w:tcPr>
          <w:p>
            <w:pPr>
              <w:pStyle w:val="TableParagraph"/>
              <w:ind w:left="108" w:right="3454"/>
              <w:jc w:val="both"/>
              <w:rPr>
                <w:sz w:val="18"/>
              </w:rPr>
            </w:pPr>
            <w:r>
              <w:rPr>
                <w:sz w:val="18"/>
              </w:rPr>
              <w:t>Comparison of the responses on current duration and the stipulation of the budget calendar indicates as follows:</w:t>
            </w:r>
          </w:p>
        </w:tc>
      </w:tr>
      <w:tr>
        <w:trPr>
          <w:trHeight w:val="200" w:hRule="atLeast"/>
        </w:trPr>
        <w:tc>
          <w:tcPr>
            <w:tcW w:w="572" w:type="dxa"/>
            <w:tcBorders>
              <w:top w:val="single" w:sz="4" w:space="0" w:color="000000"/>
            </w:tcBorders>
          </w:tcPr>
          <w:p>
            <w:pPr>
              <w:pStyle w:val="TableParagraph"/>
              <w:spacing w:line="180" w:lineRule="exact"/>
              <w:ind w:left="108"/>
              <w:rPr>
                <w:sz w:val="18"/>
              </w:rPr>
            </w:pPr>
            <w:r>
              <w:rPr>
                <w:spacing w:val="-5"/>
                <w:sz w:val="18"/>
              </w:rPr>
              <w:t>i)</w:t>
            </w:r>
          </w:p>
        </w:tc>
        <w:tc>
          <w:tcPr>
            <w:tcW w:w="1948" w:type="dxa"/>
            <w:tcBorders>
              <w:top w:val="single" w:sz="4" w:space="0" w:color="000000"/>
            </w:tcBorders>
          </w:tcPr>
          <w:p>
            <w:pPr>
              <w:pStyle w:val="TableParagraph"/>
              <w:spacing w:line="180" w:lineRule="exact"/>
              <w:ind w:left="164"/>
              <w:rPr>
                <w:sz w:val="18"/>
              </w:rPr>
            </w:pPr>
            <w:r>
              <w:rPr>
                <w:sz w:val="18"/>
              </w:rPr>
              <w:t>Budget</w:t>
            </w:r>
            <w:r>
              <w:rPr>
                <w:spacing w:val="-2"/>
                <w:sz w:val="18"/>
              </w:rPr>
              <w:t> planning</w:t>
            </w:r>
          </w:p>
        </w:tc>
        <w:tc>
          <w:tcPr>
            <w:tcW w:w="3600" w:type="dxa"/>
            <w:tcBorders>
              <w:top w:val="single" w:sz="4" w:space="0" w:color="000000"/>
            </w:tcBorders>
          </w:tcPr>
          <w:p>
            <w:pPr>
              <w:pStyle w:val="TableParagraph"/>
              <w:spacing w:line="180" w:lineRule="exact"/>
              <w:ind w:left="108"/>
              <w:rPr>
                <w:sz w:val="18"/>
              </w:rPr>
            </w:pPr>
            <w:r>
              <w:rPr>
                <w:sz w:val="18"/>
              </w:rPr>
              <w:t>Carried</w:t>
            </w:r>
            <w:r>
              <w:rPr>
                <w:spacing w:val="16"/>
                <w:sz w:val="18"/>
              </w:rPr>
              <w:t> </w:t>
            </w:r>
            <w:r>
              <w:rPr>
                <w:sz w:val="18"/>
              </w:rPr>
              <w:t>out</w:t>
            </w:r>
            <w:r>
              <w:rPr>
                <w:spacing w:val="16"/>
                <w:sz w:val="18"/>
              </w:rPr>
              <w:t> </w:t>
            </w:r>
            <w:r>
              <w:rPr>
                <w:sz w:val="18"/>
              </w:rPr>
              <w:t>in</w:t>
            </w:r>
            <w:r>
              <w:rPr>
                <w:spacing w:val="17"/>
                <w:sz w:val="18"/>
              </w:rPr>
              <w:t> </w:t>
            </w:r>
            <w:r>
              <w:rPr>
                <w:sz w:val="18"/>
              </w:rPr>
              <w:t>2.5</w:t>
            </w:r>
            <w:r>
              <w:rPr>
                <w:spacing w:val="16"/>
                <w:sz w:val="18"/>
              </w:rPr>
              <w:t> </w:t>
            </w:r>
            <w:r>
              <w:rPr>
                <w:sz w:val="18"/>
              </w:rPr>
              <w:t>weeks</w:t>
            </w:r>
            <w:r>
              <w:rPr>
                <w:spacing w:val="18"/>
                <w:sz w:val="18"/>
              </w:rPr>
              <w:t> </w:t>
            </w:r>
            <w:r>
              <w:rPr>
                <w:sz w:val="18"/>
              </w:rPr>
              <w:t>against</w:t>
            </w:r>
            <w:r>
              <w:rPr>
                <w:spacing w:val="18"/>
                <w:sz w:val="18"/>
              </w:rPr>
              <w:t> </w:t>
            </w:r>
            <w:r>
              <w:rPr>
                <w:sz w:val="18"/>
              </w:rPr>
              <w:t>the</w:t>
            </w:r>
            <w:r>
              <w:rPr>
                <w:spacing w:val="15"/>
                <w:sz w:val="18"/>
              </w:rPr>
              <w:t> </w:t>
            </w:r>
            <w:r>
              <w:rPr>
                <w:spacing w:val="-2"/>
                <w:sz w:val="18"/>
              </w:rPr>
              <w:t>27weeks</w:t>
            </w:r>
          </w:p>
        </w:tc>
        <w:tc>
          <w:tcPr>
            <w:tcW w:w="941" w:type="dxa"/>
            <w:tcBorders>
              <w:top w:val="single" w:sz="4" w:space="0" w:color="000000"/>
            </w:tcBorders>
          </w:tcPr>
          <w:p>
            <w:pPr>
              <w:pStyle w:val="TableParagraph"/>
              <w:spacing w:line="180" w:lineRule="exact"/>
              <w:ind w:left="108"/>
              <w:rPr>
                <w:sz w:val="18"/>
              </w:rPr>
            </w:pPr>
            <w:r>
              <w:rPr>
                <w:spacing w:val="-5"/>
                <w:sz w:val="18"/>
              </w:rPr>
              <w:t>9%</w:t>
            </w:r>
          </w:p>
        </w:tc>
        <w:tc>
          <w:tcPr>
            <w:tcW w:w="1219" w:type="dxa"/>
            <w:vMerge w:val="restart"/>
            <w:tcBorders>
              <w:top w:val="single" w:sz="4" w:space="0" w:color="000000"/>
              <w:bottom w:val="single" w:sz="4" w:space="0" w:color="000000"/>
            </w:tcBorders>
          </w:tcPr>
          <w:p>
            <w:pPr>
              <w:pStyle w:val="TableParagraph"/>
              <w:rPr>
                <w:sz w:val="18"/>
              </w:rPr>
            </w:pPr>
          </w:p>
        </w:tc>
        <w:tc>
          <w:tcPr>
            <w:tcW w:w="1188" w:type="dxa"/>
            <w:vMerge w:val="restart"/>
            <w:tcBorders>
              <w:top w:val="single" w:sz="4" w:space="0" w:color="000000"/>
              <w:bottom w:val="single" w:sz="4" w:space="0" w:color="000000"/>
            </w:tcBorders>
          </w:tcPr>
          <w:p>
            <w:pPr>
              <w:pStyle w:val="TableParagraph"/>
              <w:rPr>
                <w:sz w:val="18"/>
              </w:rPr>
            </w:pPr>
          </w:p>
        </w:tc>
      </w:tr>
      <w:tr>
        <w:trPr>
          <w:trHeight w:val="300" w:hRule="atLeast"/>
        </w:trPr>
        <w:tc>
          <w:tcPr>
            <w:tcW w:w="572" w:type="dxa"/>
          </w:tcPr>
          <w:p>
            <w:pPr>
              <w:pStyle w:val="TableParagraph"/>
              <w:rPr>
                <w:sz w:val="18"/>
              </w:rPr>
            </w:pPr>
          </w:p>
        </w:tc>
        <w:tc>
          <w:tcPr>
            <w:tcW w:w="1948" w:type="dxa"/>
          </w:tcPr>
          <w:p>
            <w:pPr>
              <w:pStyle w:val="TableParagraph"/>
              <w:rPr>
                <w:sz w:val="18"/>
              </w:rPr>
            </w:pPr>
          </w:p>
        </w:tc>
        <w:tc>
          <w:tcPr>
            <w:tcW w:w="3600" w:type="dxa"/>
          </w:tcPr>
          <w:p>
            <w:pPr>
              <w:pStyle w:val="TableParagraph"/>
              <w:spacing w:line="198" w:lineRule="exact"/>
              <w:ind w:left="108"/>
              <w:rPr>
                <w:sz w:val="18"/>
              </w:rPr>
            </w:pPr>
            <w:r>
              <w:rPr>
                <w:sz w:val="18"/>
              </w:rPr>
              <w:t>stipulation.</w:t>
            </w:r>
            <w:r>
              <w:rPr>
                <w:spacing w:val="-1"/>
                <w:sz w:val="18"/>
              </w:rPr>
              <w:t> </w:t>
            </w:r>
            <w:r>
              <w:rPr>
                <w:sz w:val="18"/>
              </w:rPr>
              <w:t>Hence,</w:t>
            </w:r>
            <w:r>
              <w:rPr>
                <w:spacing w:val="-1"/>
                <w:sz w:val="18"/>
              </w:rPr>
              <w:t> </w:t>
            </w:r>
            <w:r>
              <w:rPr>
                <w:sz w:val="18"/>
              </w:rPr>
              <w:t>a -9%</w:t>
            </w:r>
            <w:r>
              <w:rPr>
                <w:spacing w:val="-1"/>
                <w:sz w:val="18"/>
              </w:rPr>
              <w:t> </w:t>
            </w:r>
            <w:r>
              <w:rPr>
                <w:spacing w:val="-2"/>
                <w:sz w:val="18"/>
              </w:rPr>
              <w:t>adherence</w:t>
            </w:r>
          </w:p>
        </w:tc>
        <w:tc>
          <w:tcPr>
            <w:tcW w:w="941" w:type="dxa"/>
          </w:tcPr>
          <w:p>
            <w:pPr>
              <w:pStyle w:val="TableParagraph"/>
              <w:rPr>
                <w:sz w:val="18"/>
              </w:rPr>
            </w:pPr>
          </w:p>
        </w:tc>
        <w:tc>
          <w:tcPr>
            <w:tcW w:w="1219" w:type="dxa"/>
            <w:vMerge/>
            <w:tcBorders>
              <w:top w:val="nil"/>
              <w:bottom w:val="single" w:sz="4" w:space="0" w:color="000000"/>
            </w:tcBorders>
          </w:tcPr>
          <w:p>
            <w:pPr>
              <w:rPr>
                <w:sz w:val="2"/>
                <w:szCs w:val="2"/>
              </w:rPr>
            </w:pPr>
          </w:p>
        </w:tc>
        <w:tc>
          <w:tcPr>
            <w:tcW w:w="1188" w:type="dxa"/>
            <w:vMerge/>
            <w:tcBorders>
              <w:top w:val="nil"/>
              <w:bottom w:val="single" w:sz="4" w:space="0" w:color="000000"/>
            </w:tcBorders>
          </w:tcPr>
          <w:p>
            <w:pPr>
              <w:rPr>
                <w:sz w:val="2"/>
                <w:szCs w:val="2"/>
              </w:rPr>
            </w:pPr>
          </w:p>
        </w:tc>
      </w:tr>
      <w:tr>
        <w:trPr>
          <w:trHeight w:val="300" w:hRule="atLeast"/>
        </w:trPr>
        <w:tc>
          <w:tcPr>
            <w:tcW w:w="572" w:type="dxa"/>
          </w:tcPr>
          <w:p>
            <w:pPr>
              <w:pStyle w:val="TableParagraph"/>
              <w:spacing w:line="186" w:lineRule="exact" w:before="95"/>
              <w:ind w:left="108"/>
              <w:rPr>
                <w:sz w:val="18"/>
              </w:rPr>
            </w:pPr>
            <w:r>
              <w:rPr>
                <w:spacing w:val="-5"/>
                <w:sz w:val="18"/>
              </w:rPr>
              <w:t>ii)</w:t>
            </w:r>
          </w:p>
        </w:tc>
        <w:tc>
          <w:tcPr>
            <w:tcW w:w="1948" w:type="dxa"/>
          </w:tcPr>
          <w:p>
            <w:pPr>
              <w:pStyle w:val="TableParagraph"/>
              <w:spacing w:line="186" w:lineRule="exact" w:before="95"/>
              <w:ind w:left="164"/>
              <w:rPr>
                <w:sz w:val="18"/>
              </w:rPr>
            </w:pPr>
            <w:r>
              <w:rPr>
                <w:sz w:val="18"/>
              </w:rPr>
              <w:t>Issuance</w:t>
            </w:r>
            <w:r>
              <w:rPr>
                <w:spacing w:val="-3"/>
                <w:sz w:val="18"/>
              </w:rPr>
              <w:t> </w:t>
            </w:r>
            <w:r>
              <w:rPr>
                <w:sz w:val="18"/>
              </w:rPr>
              <w:t>of</w:t>
            </w:r>
            <w:r>
              <w:rPr>
                <w:spacing w:val="-2"/>
                <w:sz w:val="18"/>
              </w:rPr>
              <w:t> </w:t>
            </w:r>
            <w:r>
              <w:rPr>
                <w:spacing w:val="-4"/>
                <w:sz w:val="18"/>
              </w:rPr>
              <w:t>Call</w:t>
            </w:r>
          </w:p>
        </w:tc>
        <w:tc>
          <w:tcPr>
            <w:tcW w:w="3600" w:type="dxa"/>
          </w:tcPr>
          <w:p>
            <w:pPr>
              <w:pStyle w:val="TableParagraph"/>
              <w:spacing w:line="186" w:lineRule="exact" w:before="95"/>
              <w:ind w:left="108"/>
              <w:rPr>
                <w:sz w:val="18"/>
              </w:rPr>
            </w:pPr>
            <w:r>
              <w:rPr>
                <w:sz w:val="18"/>
              </w:rPr>
              <w:t>Carried</w:t>
            </w:r>
            <w:r>
              <w:rPr>
                <w:spacing w:val="39"/>
                <w:sz w:val="18"/>
              </w:rPr>
              <w:t> </w:t>
            </w:r>
            <w:r>
              <w:rPr>
                <w:sz w:val="18"/>
              </w:rPr>
              <w:t>out</w:t>
            </w:r>
            <w:r>
              <w:rPr>
                <w:spacing w:val="39"/>
                <w:sz w:val="18"/>
              </w:rPr>
              <w:t> </w:t>
            </w:r>
            <w:r>
              <w:rPr>
                <w:sz w:val="18"/>
              </w:rPr>
              <w:t>in</w:t>
            </w:r>
            <w:r>
              <w:rPr>
                <w:spacing w:val="39"/>
                <w:sz w:val="18"/>
              </w:rPr>
              <w:t> </w:t>
            </w:r>
            <w:r>
              <w:rPr>
                <w:sz w:val="18"/>
              </w:rPr>
              <w:t>0.5</w:t>
            </w:r>
            <w:r>
              <w:rPr>
                <w:spacing w:val="40"/>
                <w:sz w:val="18"/>
              </w:rPr>
              <w:t> </w:t>
            </w:r>
            <w:r>
              <w:rPr>
                <w:sz w:val="18"/>
              </w:rPr>
              <w:t>weeks</w:t>
            </w:r>
            <w:r>
              <w:rPr>
                <w:spacing w:val="39"/>
                <w:sz w:val="18"/>
              </w:rPr>
              <w:t> </w:t>
            </w:r>
            <w:r>
              <w:rPr>
                <w:sz w:val="18"/>
              </w:rPr>
              <w:t>against</w:t>
            </w:r>
            <w:r>
              <w:rPr>
                <w:spacing w:val="39"/>
                <w:sz w:val="18"/>
              </w:rPr>
              <w:t> </w:t>
            </w:r>
            <w:r>
              <w:rPr>
                <w:sz w:val="18"/>
              </w:rPr>
              <w:t>the</w:t>
            </w:r>
            <w:r>
              <w:rPr>
                <w:spacing w:val="39"/>
                <w:sz w:val="18"/>
              </w:rPr>
              <w:t> </w:t>
            </w:r>
            <w:r>
              <w:rPr>
                <w:spacing w:val="-4"/>
                <w:sz w:val="18"/>
              </w:rPr>
              <w:t>1week</w:t>
            </w:r>
          </w:p>
        </w:tc>
        <w:tc>
          <w:tcPr>
            <w:tcW w:w="941" w:type="dxa"/>
          </w:tcPr>
          <w:p>
            <w:pPr>
              <w:pStyle w:val="TableParagraph"/>
              <w:spacing w:line="186" w:lineRule="exact" w:before="95"/>
              <w:ind w:left="108"/>
              <w:rPr>
                <w:sz w:val="18"/>
              </w:rPr>
            </w:pPr>
            <w:r>
              <w:rPr>
                <w:spacing w:val="-5"/>
                <w:sz w:val="18"/>
              </w:rPr>
              <w:t>50%</w:t>
            </w:r>
          </w:p>
        </w:tc>
        <w:tc>
          <w:tcPr>
            <w:tcW w:w="1219" w:type="dxa"/>
            <w:vMerge/>
            <w:tcBorders>
              <w:top w:val="nil"/>
              <w:bottom w:val="single" w:sz="4" w:space="0" w:color="000000"/>
            </w:tcBorders>
          </w:tcPr>
          <w:p>
            <w:pPr>
              <w:rPr>
                <w:sz w:val="2"/>
                <w:szCs w:val="2"/>
              </w:rPr>
            </w:pPr>
          </w:p>
        </w:tc>
        <w:tc>
          <w:tcPr>
            <w:tcW w:w="1188" w:type="dxa"/>
            <w:vMerge/>
            <w:tcBorders>
              <w:top w:val="nil"/>
              <w:bottom w:val="single" w:sz="4" w:space="0" w:color="000000"/>
            </w:tcBorders>
          </w:tcPr>
          <w:p>
            <w:pPr>
              <w:rPr>
                <w:sz w:val="2"/>
                <w:szCs w:val="2"/>
              </w:rPr>
            </w:pPr>
          </w:p>
        </w:tc>
      </w:tr>
      <w:tr>
        <w:trPr>
          <w:trHeight w:val="299" w:hRule="atLeast"/>
        </w:trPr>
        <w:tc>
          <w:tcPr>
            <w:tcW w:w="572" w:type="dxa"/>
          </w:tcPr>
          <w:p>
            <w:pPr>
              <w:pStyle w:val="TableParagraph"/>
              <w:rPr>
                <w:sz w:val="18"/>
              </w:rPr>
            </w:pPr>
          </w:p>
        </w:tc>
        <w:tc>
          <w:tcPr>
            <w:tcW w:w="1948" w:type="dxa"/>
          </w:tcPr>
          <w:p>
            <w:pPr>
              <w:pStyle w:val="TableParagraph"/>
              <w:spacing w:line="198" w:lineRule="exact"/>
              <w:ind w:left="164"/>
              <w:rPr>
                <w:sz w:val="18"/>
              </w:rPr>
            </w:pPr>
            <w:r>
              <w:rPr>
                <w:spacing w:val="-2"/>
                <w:sz w:val="18"/>
              </w:rPr>
              <w:t>Circular</w:t>
            </w:r>
          </w:p>
        </w:tc>
        <w:tc>
          <w:tcPr>
            <w:tcW w:w="3600" w:type="dxa"/>
          </w:tcPr>
          <w:p>
            <w:pPr>
              <w:pStyle w:val="TableParagraph"/>
              <w:spacing w:line="198" w:lineRule="exact"/>
              <w:ind w:left="108"/>
              <w:rPr>
                <w:sz w:val="18"/>
              </w:rPr>
            </w:pPr>
            <w:r>
              <w:rPr>
                <w:sz w:val="18"/>
              </w:rPr>
              <w:t>stipulation.</w:t>
            </w:r>
            <w:r>
              <w:rPr>
                <w:spacing w:val="-2"/>
                <w:sz w:val="18"/>
              </w:rPr>
              <w:t> </w:t>
            </w:r>
            <w:r>
              <w:rPr>
                <w:sz w:val="18"/>
              </w:rPr>
              <w:t>Hence,</w:t>
            </w:r>
            <w:r>
              <w:rPr>
                <w:spacing w:val="-1"/>
                <w:sz w:val="18"/>
              </w:rPr>
              <w:t> </w:t>
            </w:r>
            <w:r>
              <w:rPr>
                <w:sz w:val="18"/>
              </w:rPr>
              <w:t>a -50%</w:t>
            </w:r>
            <w:r>
              <w:rPr>
                <w:spacing w:val="-2"/>
                <w:sz w:val="18"/>
              </w:rPr>
              <w:t> adherence</w:t>
            </w:r>
          </w:p>
        </w:tc>
        <w:tc>
          <w:tcPr>
            <w:tcW w:w="941" w:type="dxa"/>
          </w:tcPr>
          <w:p>
            <w:pPr>
              <w:pStyle w:val="TableParagraph"/>
              <w:rPr>
                <w:sz w:val="18"/>
              </w:rPr>
            </w:pPr>
          </w:p>
        </w:tc>
        <w:tc>
          <w:tcPr>
            <w:tcW w:w="1219" w:type="dxa"/>
            <w:vMerge/>
            <w:tcBorders>
              <w:top w:val="nil"/>
              <w:bottom w:val="single" w:sz="4" w:space="0" w:color="000000"/>
            </w:tcBorders>
          </w:tcPr>
          <w:p>
            <w:pPr>
              <w:rPr>
                <w:sz w:val="2"/>
                <w:szCs w:val="2"/>
              </w:rPr>
            </w:pPr>
          </w:p>
        </w:tc>
        <w:tc>
          <w:tcPr>
            <w:tcW w:w="1188" w:type="dxa"/>
            <w:vMerge/>
            <w:tcBorders>
              <w:top w:val="nil"/>
              <w:bottom w:val="single" w:sz="4" w:space="0" w:color="000000"/>
            </w:tcBorders>
          </w:tcPr>
          <w:p>
            <w:pPr>
              <w:rPr>
                <w:sz w:val="2"/>
                <w:szCs w:val="2"/>
              </w:rPr>
            </w:pPr>
          </w:p>
        </w:tc>
      </w:tr>
      <w:tr>
        <w:trPr>
          <w:trHeight w:val="300" w:hRule="atLeast"/>
        </w:trPr>
        <w:tc>
          <w:tcPr>
            <w:tcW w:w="572" w:type="dxa"/>
          </w:tcPr>
          <w:p>
            <w:pPr>
              <w:pStyle w:val="TableParagraph"/>
              <w:spacing w:line="187" w:lineRule="exact" w:before="94"/>
              <w:ind w:left="108"/>
              <w:rPr>
                <w:sz w:val="18"/>
              </w:rPr>
            </w:pPr>
            <w:r>
              <w:rPr>
                <w:spacing w:val="-4"/>
                <w:sz w:val="18"/>
              </w:rPr>
              <w:t>iii)</w:t>
            </w:r>
          </w:p>
        </w:tc>
        <w:tc>
          <w:tcPr>
            <w:tcW w:w="1948" w:type="dxa"/>
          </w:tcPr>
          <w:p>
            <w:pPr>
              <w:pStyle w:val="TableParagraph"/>
              <w:spacing w:line="187" w:lineRule="exact" w:before="94"/>
              <w:ind w:left="164"/>
              <w:rPr>
                <w:sz w:val="18"/>
              </w:rPr>
            </w:pPr>
            <w:r>
              <w:rPr>
                <w:sz w:val="18"/>
              </w:rPr>
              <w:t>Submission</w:t>
            </w:r>
            <w:r>
              <w:rPr>
                <w:spacing w:val="-2"/>
                <w:sz w:val="18"/>
              </w:rPr>
              <w:t> </w:t>
            </w:r>
            <w:r>
              <w:rPr>
                <w:sz w:val="18"/>
              </w:rPr>
              <w:t>of</w:t>
            </w:r>
            <w:r>
              <w:rPr>
                <w:spacing w:val="-2"/>
                <w:sz w:val="18"/>
              </w:rPr>
              <w:t> budget</w:t>
            </w:r>
          </w:p>
        </w:tc>
        <w:tc>
          <w:tcPr>
            <w:tcW w:w="3600" w:type="dxa"/>
          </w:tcPr>
          <w:p>
            <w:pPr>
              <w:pStyle w:val="TableParagraph"/>
              <w:spacing w:line="187" w:lineRule="exact" w:before="94"/>
              <w:ind w:left="108"/>
              <w:rPr>
                <w:sz w:val="18"/>
              </w:rPr>
            </w:pPr>
            <w:r>
              <w:rPr>
                <w:sz w:val="18"/>
              </w:rPr>
              <w:t>Carried</w:t>
            </w:r>
            <w:r>
              <w:rPr>
                <w:spacing w:val="30"/>
                <w:sz w:val="18"/>
              </w:rPr>
              <w:t> </w:t>
            </w:r>
            <w:r>
              <w:rPr>
                <w:sz w:val="18"/>
              </w:rPr>
              <w:t>out</w:t>
            </w:r>
            <w:r>
              <w:rPr>
                <w:spacing w:val="30"/>
                <w:sz w:val="18"/>
              </w:rPr>
              <w:t> </w:t>
            </w:r>
            <w:r>
              <w:rPr>
                <w:sz w:val="18"/>
              </w:rPr>
              <w:t>in</w:t>
            </w:r>
            <w:r>
              <w:rPr>
                <w:spacing w:val="29"/>
                <w:sz w:val="18"/>
              </w:rPr>
              <w:t> </w:t>
            </w:r>
            <w:r>
              <w:rPr>
                <w:sz w:val="18"/>
              </w:rPr>
              <w:t>2.5</w:t>
            </w:r>
            <w:r>
              <w:rPr>
                <w:spacing w:val="30"/>
                <w:sz w:val="18"/>
              </w:rPr>
              <w:t> </w:t>
            </w:r>
            <w:r>
              <w:rPr>
                <w:sz w:val="18"/>
              </w:rPr>
              <w:t>weeks</w:t>
            </w:r>
            <w:r>
              <w:rPr>
                <w:spacing w:val="30"/>
                <w:sz w:val="18"/>
              </w:rPr>
              <w:t> </w:t>
            </w:r>
            <w:r>
              <w:rPr>
                <w:sz w:val="18"/>
              </w:rPr>
              <w:t>against</w:t>
            </w:r>
            <w:r>
              <w:rPr>
                <w:spacing w:val="30"/>
                <w:sz w:val="18"/>
              </w:rPr>
              <w:t> </w:t>
            </w:r>
            <w:r>
              <w:rPr>
                <w:sz w:val="18"/>
              </w:rPr>
              <w:t>the</w:t>
            </w:r>
            <w:r>
              <w:rPr>
                <w:spacing w:val="27"/>
                <w:sz w:val="18"/>
              </w:rPr>
              <w:t> </w:t>
            </w:r>
            <w:r>
              <w:rPr>
                <w:spacing w:val="-2"/>
                <w:sz w:val="18"/>
              </w:rPr>
              <w:t>6weeks</w:t>
            </w:r>
          </w:p>
        </w:tc>
        <w:tc>
          <w:tcPr>
            <w:tcW w:w="941" w:type="dxa"/>
          </w:tcPr>
          <w:p>
            <w:pPr>
              <w:pStyle w:val="TableParagraph"/>
              <w:spacing w:line="187" w:lineRule="exact" w:before="94"/>
              <w:ind w:left="108"/>
              <w:rPr>
                <w:sz w:val="18"/>
              </w:rPr>
            </w:pPr>
            <w:r>
              <w:rPr>
                <w:spacing w:val="-5"/>
                <w:sz w:val="18"/>
              </w:rPr>
              <w:t>42%</w:t>
            </w:r>
          </w:p>
        </w:tc>
        <w:tc>
          <w:tcPr>
            <w:tcW w:w="1219" w:type="dxa"/>
            <w:vMerge/>
            <w:tcBorders>
              <w:top w:val="nil"/>
              <w:bottom w:val="single" w:sz="4" w:space="0" w:color="000000"/>
            </w:tcBorders>
          </w:tcPr>
          <w:p>
            <w:pPr>
              <w:rPr>
                <w:sz w:val="2"/>
                <w:szCs w:val="2"/>
              </w:rPr>
            </w:pPr>
          </w:p>
        </w:tc>
        <w:tc>
          <w:tcPr>
            <w:tcW w:w="1188" w:type="dxa"/>
            <w:vMerge/>
            <w:tcBorders>
              <w:top w:val="nil"/>
              <w:bottom w:val="single" w:sz="4" w:space="0" w:color="000000"/>
            </w:tcBorders>
          </w:tcPr>
          <w:p>
            <w:pPr>
              <w:rPr>
                <w:sz w:val="2"/>
                <w:szCs w:val="2"/>
              </w:rPr>
            </w:pPr>
          </w:p>
        </w:tc>
      </w:tr>
      <w:tr>
        <w:trPr>
          <w:trHeight w:val="300" w:hRule="atLeast"/>
        </w:trPr>
        <w:tc>
          <w:tcPr>
            <w:tcW w:w="572" w:type="dxa"/>
          </w:tcPr>
          <w:p>
            <w:pPr>
              <w:pStyle w:val="TableParagraph"/>
              <w:rPr>
                <w:sz w:val="18"/>
              </w:rPr>
            </w:pPr>
          </w:p>
        </w:tc>
        <w:tc>
          <w:tcPr>
            <w:tcW w:w="1948" w:type="dxa"/>
          </w:tcPr>
          <w:p>
            <w:pPr>
              <w:pStyle w:val="TableParagraph"/>
              <w:spacing w:line="199" w:lineRule="exact"/>
              <w:ind w:left="164"/>
              <w:rPr>
                <w:sz w:val="18"/>
              </w:rPr>
            </w:pPr>
            <w:r>
              <w:rPr>
                <w:spacing w:val="-2"/>
                <w:sz w:val="18"/>
              </w:rPr>
              <w:t>proposal</w:t>
            </w:r>
          </w:p>
        </w:tc>
        <w:tc>
          <w:tcPr>
            <w:tcW w:w="3600" w:type="dxa"/>
          </w:tcPr>
          <w:p>
            <w:pPr>
              <w:pStyle w:val="TableParagraph"/>
              <w:spacing w:line="199" w:lineRule="exact"/>
              <w:ind w:left="108"/>
              <w:rPr>
                <w:sz w:val="18"/>
              </w:rPr>
            </w:pPr>
            <w:r>
              <w:rPr>
                <w:sz w:val="18"/>
              </w:rPr>
              <w:t>stipulation.</w:t>
            </w:r>
            <w:r>
              <w:rPr>
                <w:spacing w:val="-2"/>
                <w:sz w:val="18"/>
              </w:rPr>
              <w:t> </w:t>
            </w:r>
            <w:r>
              <w:rPr>
                <w:sz w:val="18"/>
              </w:rPr>
              <w:t>Hence,</w:t>
            </w:r>
            <w:r>
              <w:rPr>
                <w:spacing w:val="-1"/>
                <w:sz w:val="18"/>
              </w:rPr>
              <w:t> </w:t>
            </w:r>
            <w:r>
              <w:rPr>
                <w:sz w:val="18"/>
              </w:rPr>
              <w:t>a -42%</w:t>
            </w:r>
            <w:r>
              <w:rPr>
                <w:spacing w:val="-2"/>
                <w:sz w:val="18"/>
              </w:rPr>
              <w:t> adherence</w:t>
            </w:r>
          </w:p>
        </w:tc>
        <w:tc>
          <w:tcPr>
            <w:tcW w:w="941" w:type="dxa"/>
          </w:tcPr>
          <w:p>
            <w:pPr>
              <w:pStyle w:val="TableParagraph"/>
              <w:rPr>
                <w:sz w:val="18"/>
              </w:rPr>
            </w:pPr>
          </w:p>
        </w:tc>
        <w:tc>
          <w:tcPr>
            <w:tcW w:w="1219" w:type="dxa"/>
            <w:vMerge/>
            <w:tcBorders>
              <w:top w:val="nil"/>
              <w:bottom w:val="single" w:sz="4" w:space="0" w:color="000000"/>
            </w:tcBorders>
          </w:tcPr>
          <w:p>
            <w:pPr>
              <w:rPr>
                <w:sz w:val="2"/>
                <w:szCs w:val="2"/>
              </w:rPr>
            </w:pPr>
          </w:p>
        </w:tc>
        <w:tc>
          <w:tcPr>
            <w:tcW w:w="1188" w:type="dxa"/>
            <w:vMerge/>
            <w:tcBorders>
              <w:top w:val="nil"/>
              <w:bottom w:val="single" w:sz="4" w:space="0" w:color="000000"/>
            </w:tcBorders>
          </w:tcPr>
          <w:p>
            <w:pPr>
              <w:rPr>
                <w:sz w:val="2"/>
                <w:szCs w:val="2"/>
              </w:rPr>
            </w:pPr>
          </w:p>
        </w:tc>
      </w:tr>
      <w:tr>
        <w:trPr>
          <w:trHeight w:val="299" w:hRule="atLeast"/>
        </w:trPr>
        <w:tc>
          <w:tcPr>
            <w:tcW w:w="572" w:type="dxa"/>
          </w:tcPr>
          <w:p>
            <w:pPr>
              <w:pStyle w:val="TableParagraph"/>
              <w:spacing w:line="186" w:lineRule="exact" w:before="94"/>
              <w:ind w:left="108"/>
              <w:rPr>
                <w:sz w:val="18"/>
              </w:rPr>
            </w:pPr>
            <w:r>
              <w:rPr>
                <w:spacing w:val="-5"/>
                <w:sz w:val="18"/>
              </w:rPr>
              <w:t>iv)</w:t>
            </w:r>
          </w:p>
        </w:tc>
        <w:tc>
          <w:tcPr>
            <w:tcW w:w="1948" w:type="dxa"/>
          </w:tcPr>
          <w:p>
            <w:pPr>
              <w:pStyle w:val="TableParagraph"/>
              <w:spacing w:line="186" w:lineRule="exact" w:before="94"/>
              <w:ind w:left="164"/>
              <w:rPr>
                <w:sz w:val="18"/>
              </w:rPr>
            </w:pPr>
            <w:r>
              <w:rPr>
                <w:sz w:val="18"/>
              </w:rPr>
              <w:t>Bilateral</w:t>
            </w:r>
            <w:r>
              <w:rPr>
                <w:spacing w:val="-5"/>
                <w:sz w:val="18"/>
              </w:rPr>
              <w:t> </w:t>
            </w:r>
            <w:r>
              <w:rPr>
                <w:spacing w:val="-2"/>
                <w:sz w:val="18"/>
              </w:rPr>
              <w:t>discussions</w:t>
            </w:r>
          </w:p>
        </w:tc>
        <w:tc>
          <w:tcPr>
            <w:tcW w:w="3600" w:type="dxa"/>
          </w:tcPr>
          <w:p>
            <w:pPr>
              <w:pStyle w:val="TableParagraph"/>
              <w:spacing w:line="186" w:lineRule="exact" w:before="94"/>
              <w:ind w:left="108"/>
              <w:rPr>
                <w:sz w:val="18"/>
              </w:rPr>
            </w:pPr>
            <w:r>
              <w:rPr>
                <w:sz w:val="18"/>
              </w:rPr>
              <w:t>Carried</w:t>
            </w:r>
            <w:r>
              <w:rPr>
                <w:spacing w:val="30"/>
                <w:sz w:val="18"/>
              </w:rPr>
              <w:t> </w:t>
            </w:r>
            <w:r>
              <w:rPr>
                <w:sz w:val="18"/>
              </w:rPr>
              <w:t>out</w:t>
            </w:r>
            <w:r>
              <w:rPr>
                <w:spacing w:val="30"/>
                <w:sz w:val="18"/>
              </w:rPr>
              <w:t> </w:t>
            </w:r>
            <w:r>
              <w:rPr>
                <w:sz w:val="18"/>
              </w:rPr>
              <w:t>in</w:t>
            </w:r>
            <w:r>
              <w:rPr>
                <w:spacing w:val="29"/>
                <w:sz w:val="18"/>
              </w:rPr>
              <w:t> </w:t>
            </w:r>
            <w:r>
              <w:rPr>
                <w:sz w:val="18"/>
              </w:rPr>
              <w:t>2.5</w:t>
            </w:r>
            <w:r>
              <w:rPr>
                <w:spacing w:val="30"/>
                <w:sz w:val="18"/>
              </w:rPr>
              <w:t> </w:t>
            </w:r>
            <w:r>
              <w:rPr>
                <w:sz w:val="18"/>
              </w:rPr>
              <w:t>weeks</w:t>
            </w:r>
            <w:r>
              <w:rPr>
                <w:spacing w:val="30"/>
                <w:sz w:val="18"/>
              </w:rPr>
              <w:t> </w:t>
            </w:r>
            <w:r>
              <w:rPr>
                <w:sz w:val="18"/>
              </w:rPr>
              <w:t>against</w:t>
            </w:r>
            <w:r>
              <w:rPr>
                <w:spacing w:val="30"/>
                <w:sz w:val="18"/>
              </w:rPr>
              <w:t> </w:t>
            </w:r>
            <w:r>
              <w:rPr>
                <w:sz w:val="18"/>
              </w:rPr>
              <w:t>the</w:t>
            </w:r>
            <w:r>
              <w:rPr>
                <w:spacing w:val="27"/>
                <w:sz w:val="18"/>
              </w:rPr>
              <w:t> </w:t>
            </w:r>
            <w:r>
              <w:rPr>
                <w:spacing w:val="-2"/>
                <w:sz w:val="18"/>
              </w:rPr>
              <w:t>2weeks</w:t>
            </w:r>
          </w:p>
        </w:tc>
        <w:tc>
          <w:tcPr>
            <w:tcW w:w="941" w:type="dxa"/>
          </w:tcPr>
          <w:p>
            <w:pPr>
              <w:pStyle w:val="TableParagraph"/>
              <w:spacing w:line="186" w:lineRule="exact" w:before="94"/>
              <w:ind w:left="108"/>
              <w:rPr>
                <w:sz w:val="18"/>
              </w:rPr>
            </w:pPr>
            <w:r>
              <w:rPr>
                <w:spacing w:val="-4"/>
                <w:sz w:val="18"/>
              </w:rPr>
              <w:t>125%</w:t>
            </w:r>
          </w:p>
        </w:tc>
        <w:tc>
          <w:tcPr>
            <w:tcW w:w="1219" w:type="dxa"/>
            <w:vMerge/>
            <w:tcBorders>
              <w:top w:val="nil"/>
              <w:bottom w:val="single" w:sz="4" w:space="0" w:color="000000"/>
            </w:tcBorders>
          </w:tcPr>
          <w:p>
            <w:pPr>
              <w:rPr>
                <w:sz w:val="2"/>
                <w:szCs w:val="2"/>
              </w:rPr>
            </w:pPr>
          </w:p>
        </w:tc>
        <w:tc>
          <w:tcPr>
            <w:tcW w:w="1188" w:type="dxa"/>
            <w:vMerge/>
            <w:tcBorders>
              <w:top w:val="nil"/>
              <w:bottom w:val="single" w:sz="4" w:space="0" w:color="000000"/>
            </w:tcBorders>
          </w:tcPr>
          <w:p>
            <w:pPr>
              <w:rPr>
                <w:sz w:val="2"/>
                <w:szCs w:val="2"/>
              </w:rPr>
            </w:pPr>
          </w:p>
        </w:tc>
      </w:tr>
      <w:tr>
        <w:trPr>
          <w:trHeight w:val="301" w:hRule="atLeast"/>
        </w:trPr>
        <w:tc>
          <w:tcPr>
            <w:tcW w:w="572" w:type="dxa"/>
          </w:tcPr>
          <w:p>
            <w:pPr>
              <w:pStyle w:val="TableParagraph"/>
              <w:rPr>
                <w:sz w:val="18"/>
              </w:rPr>
            </w:pPr>
          </w:p>
        </w:tc>
        <w:tc>
          <w:tcPr>
            <w:tcW w:w="1948" w:type="dxa"/>
          </w:tcPr>
          <w:p>
            <w:pPr>
              <w:pStyle w:val="TableParagraph"/>
              <w:spacing w:line="198" w:lineRule="exact"/>
              <w:ind w:left="164"/>
              <w:rPr>
                <w:sz w:val="18"/>
              </w:rPr>
            </w:pPr>
            <w:r>
              <w:rPr>
                <w:sz w:val="18"/>
              </w:rPr>
              <w:t>and</w:t>
            </w:r>
            <w:r>
              <w:rPr>
                <w:spacing w:val="-2"/>
                <w:sz w:val="18"/>
              </w:rPr>
              <w:t> </w:t>
            </w:r>
            <w:r>
              <w:rPr>
                <w:sz w:val="18"/>
              </w:rPr>
              <w:t>proposal</w:t>
            </w:r>
            <w:r>
              <w:rPr>
                <w:spacing w:val="-1"/>
                <w:sz w:val="18"/>
              </w:rPr>
              <w:t> </w:t>
            </w:r>
            <w:r>
              <w:rPr>
                <w:spacing w:val="-2"/>
                <w:sz w:val="18"/>
              </w:rPr>
              <w:t>defense</w:t>
            </w:r>
          </w:p>
        </w:tc>
        <w:tc>
          <w:tcPr>
            <w:tcW w:w="3600" w:type="dxa"/>
          </w:tcPr>
          <w:p>
            <w:pPr>
              <w:pStyle w:val="TableParagraph"/>
              <w:spacing w:line="198" w:lineRule="exact"/>
              <w:ind w:left="108"/>
              <w:rPr>
                <w:sz w:val="18"/>
              </w:rPr>
            </w:pPr>
            <w:r>
              <w:rPr>
                <w:sz w:val="18"/>
              </w:rPr>
              <w:t>stipulation.</w:t>
            </w:r>
            <w:r>
              <w:rPr>
                <w:spacing w:val="-2"/>
                <w:sz w:val="18"/>
              </w:rPr>
              <w:t> </w:t>
            </w:r>
            <w:r>
              <w:rPr>
                <w:sz w:val="18"/>
              </w:rPr>
              <w:t>Hence,</w:t>
            </w:r>
            <w:r>
              <w:rPr>
                <w:spacing w:val="-1"/>
                <w:sz w:val="18"/>
              </w:rPr>
              <w:t> </w:t>
            </w:r>
            <w:r>
              <w:rPr>
                <w:sz w:val="18"/>
              </w:rPr>
              <w:t>a</w:t>
            </w:r>
            <w:r>
              <w:rPr>
                <w:spacing w:val="-2"/>
                <w:sz w:val="18"/>
              </w:rPr>
              <w:t> </w:t>
            </w:r>
            <w:r>
              <w:rPr>
                <w:sz w:val="18"/>
              </w:rPr>
              <w:t>+125%</w:t>
            </w:r>
            <w:r>
              <w:rPr>
                <w:spacing w:val="-2"/>
                <w:sz w:val="18"/>
              </w:rPr>
              <w:t> adherence</w:t>
            </w:r>
          </w:p>
        </w:tc>
        <w:tc>
          <w:tcPr>
            <w:tcW w:w="941" w:type="dxa"/>
          </w:tcPr>
          <w:p>
            <w:pPr>
              <w:pStyle w:val="TableParagraph"/>
              <w:rPr>
                <w:sz w:val="18"/>
              </w:rPr>
            </w:pPr>
          </w:p>
        </w:tc>
        <w:tc>
          <w:tcPr>
            <w:tcW w:w="1219" w:type="dxa"/>
            <w:vMerge/>
            <w:tcBorders>
              <w:top w:val="nil"/>
              <w:bottom w:val="single" w:sz="4" w:space="0" w:color="000000"/>
            </w:tcBorders>
          </w:tcPr>
          <w:p>
            <w:pPr>
              <w:rPr>
                <w:sz w:val="2"/>
                <w:szCs w:val="2"/>
              </w:rPr>
            </w:pPr>
          </w:p>
        </w:tc>
        <w:tc>
          <w:tcPr>
            <w:tcW w:w="1188" w:type="dxa"/>
            <w:vMerge/>
            <w:tcBorders>
              <w:top w:val="nil"/>
              <w:bottom w:val="single" w:sz="4" w:space="0" w:color="000000"/>
            </w:tcBorders>
          </w:tcPr>
          <w:p>
            <w:pPr>
              <w:rPr>
                <w:sz w:val="2"/>
                <w:szCs w:val="2"/>
              </w:rPr>
            </w:pPr>
          </w:p>
        </w:tc>
      </w:tr>
      <w:tr>
        <w:trPr>
          <w:trHeight w:val="301" w:hRule="atLeast"/>
        </w:trPr>
        <w:tc>
          <w:tcPr>
            <w:tcW w:w="572" w:type="dxa"/>
          </w:tcPr>
          <w:p>
            <w:pPr>
              <w:pStyle w:val="TableParagraph"/>
              <w:spacing w:line="186" w:lineRule="exact" w:before="95"/>
              <w:ind w:left="108"/>
              <w:rPr>
                <w:sz w:val="18"/>
              </w:rPr>
            </w:pPr>
            <w:r>
              <w:rPr>
                <w:spacing w:val="-5"/>
                <w:sz w:val="18"/>
              </w:rPr>
              <w:t>v)</w:t>
            </w:r>
          </w:p>
        </w:tc>
        <w:tc>
          <w:tcPr>
            <w:tcW w:w="1948" w:type="dxa"/>
          </w:tcPr>
          <w:p>
            <w:pPr>
              <w:pStyle w:val="TableParagraph"/>
              <w:spacing w:line="186" w:lineRule="exact" w:before="95"/>
              <w:ind w:left="164"/>
              <w:rPr>
                <w:sz w:val="18"/>
              </w:rPr>
            </w:pPr>
            <w:r>
              <w:rPr>
                <w:sz w:val="18"/>
              </w:rPr>
              <w:t>Consolidation</w:t>
            </w:r>
            <w:r>
              <w:rPr>
                <w:spacing w:val="-3"/>
                <w:sz w:val="18"/>
              </w:rPr>
              <w:t> </w:t>
            </w:r>
            <w:r>
              <w:rPr>
                <w:spacing w:val="-5"/>
                <w:sz w:val="18"/>
              </w:rPr>
              <w:t>of</w:t>
            </w:r>
          </w:p>
        </w:tc>
        <w:tc>
          <w:tcPr>
            <w:tcW w:w="3600" w:type="dxa"/>
          </w:tcPr>
          <w:p>
            <w:pPr>
              <w:pStyle w:val="TableParagraph"/>
              <w:spacing w:line="186" w:lineRule="exact" w:before="95"/>
              <w:ind w:left="108"/>
              <w:rPr>
                <w:sz w:val="18"/>
              </w:rPr>
            </w:pPr>
            <w:r>
              <w:rPr>
                <w:sz w:val="18"/>
              </w:rPr>
              <w:t>Carried</w:t>
            </w:r>
            <w:r>
              <w:rPr>
                <w:spacing w:val="30"/>
                <w:sz w:val="18"/>
              </w:rPr>
              <w:t> </w:t>
            </w:r>
            <w:r>
              <w:rPr>
                <w:sz w:val="18"/>
              </w:rPr>
              <w:t>out</w:t>
            </w:r>
            <w:r>
              <w:rPr>
                <w:spacing w:val="30"/>
                <w:sz w:val="18"/>
              </w:rPr>
              <w:t> </w:t>
            </w:r>
            <w:r>
              <w:rPr>
                <w:sz w:val="18"/>
              </w:rPr>
              <w:t>in</w:t>
            </w:r>
            <w:r>
              <w:rPr>
                <w:spacing w:val="29"/>
                <w:sz w:val="18"/>
              </w:rPr>
              <w:t> </w:t>
            </w:r>
            <w:r>
              <w:rPr>
                <w:sz w:val="18"/>
              </w:rPr>
              <w:t>2.5</w:t>
            </w:r>
            <w:r>
              <w:rPr>
                <w:spacing w:val="30"/>
                <w:sz w:val="18"/>
              </w:rPr>
              <w:t> </w:t>
            </w:r>
            <w:r>
              <w:rPr>
                <w:sz w:val="18"/>
              </w:rPr>
              <w:t>weeks</w:t>
            </w:r>
            <w:r>
              <w:rPr>
                <w:spacing w:val="30"/>
                <w:sz w:val="18"/>
              </w:rPr>
              <w:t> </w:t>
            </w:r>
            <w:r>
              <w:rPr>
                <w:sz w:val="18"/>
              </w:rPr>
              <w:t>against</w:t>
            </w:r>
            <w:r>
              <w:rPr>
                <w:spacing w:val="30"/>
                <w:sz w:val="18"/>
              </w:rPr>
              <w:t> </w:t>
            </w:r>
            <w:r>
              <w:rPr>
                <w:sz w:val="18"/>
              </w:rPr>
              <w:t>the</w:t>
            </w:r>
            <w:r>
              <w:rPr>
                <w:spacing w:val="27"/>
                <w:sz w:val="18"/>
              </w:rPr>
              <w:t> </w:t>
            </w:r>
            <w:r>
              <w:rPr>
                <w:spacing w:val="-2"/>
                <w:sz w:val="18"/>
              </w:rPr>
              <w:t>3weeks</w:t>
            </w:r>
          </w:p>
        </w:tc>
        <w:tc>
          <w:tcPr>
            <w:tcW w:w="941" w:type="dxa"/>
          </w:tcPr>
          <w:p>
            <w:pPr>
              <w:pStyle w:val="TableParagraph"/>
              <w:spacing w:line="186" w:lineRule="exact" w:before="95"/>
              <w:ind w:left="108"/>
              <w:rPr>
                <w:sz w:val="18"/>
              </w:rPr>
            </w:pPr>
            <w:r>
              <w:rPr>
                <w:spacing w:val="-5"/>
                <w:sz w:val="18"/>
              </w:rPr>
              <w:t>83%</w:t>
            </w:r>
          </w:p>
        </w:tc>
        <w:tc>
          <w:tcPr>
            <w:tcW w:w="1219" w:type="dxa"/>
            <w:vMerge/>
            <w:tcBorders>
              <w:top w:val="nil"/>
              <w:bottom w:val="single" w:sz="4" w:space="0" w:color="000000"/>
            </w:tcBorders>
          </w:tcPr>
          <w:p>
            <w:pPr>
              <w:rPr>
                <w:sz w:val="2"/>
                <w:szCs w:val="2"/>
              </w:rPr>
            </w:pPr>
          </w:p>
        </w:tc>
        <w:tc>
          <w:tcPr>
            <w:tcW w:w="1188" w:type="dxa"/>
            <w:vMerge/>
            <w:tcBorders>
              <w:top w:val="nil"/>
              <w:bottom w:val="single" w:sz="4" w:space="0" w:color="000000"/>
            </w:tcBorders>
          </w:tcPr>
          <w:p>
            <w:pPr>
              <w:rPr>
                <w:sz w:val="2"/>
                <w:szCs w:val="2"/>
              </w:rPr>
            </w:pPr>
          </w:p>
        </w:tc>
      </w:tr>
      <w:tr>
        <w:trPr>
          <w:trHeight w:val="300" w:hRule="atLeast"/>
        </w:trPr>
        <w:tc>
          <w:tcPr>
            <w:tcW w:w="572" w:type="dxa"/>
          </w:tcPr>
          <w:p>
            <w:pPr>
              <w:pStyle w:val="TableParagraph"/>
              <w:rPr>
                <w:sz w:val="18"/>
              </w:rPr>
            </w:pPr>
          </w:p>
        </w:tc>
        <w:tc>
          <w:tcPr>
            <w:tcW w:w="1948" w:type="dxa"/>
          </w:tcPr>
          <w:p>
            <w:pPr>
              <w:pStyle w:val="TableParagraph"/>
              <w:spacing w:line="198" w:lineRule="exact"/>
              <w:ind w:left="164"/>
              <w:rPr>
                <w:sz w:val="18"/>
              </w:rPr>
            </w:pPr>
            <w:r>
              <w:rPr>
                <w:sz w:val="18"/>
              </w:rPr>
              <w:t>budget</w:t>
            </w:r>
            <w:r>
              <w:rPr>
                <w:spacing w:val="-4"/>
                <w:sz w:val="18"/>
              </w:rPr>
              <w:t> </w:t>
            </w:r>
            <w:r>
              <w:rPr>
                <w:spacing w:val="-2"/>
                <w:sz w:val="18"/>
              </w:rPr>
              <w:t>proposals</w:t>
            </w:r>
          </w:p>
        </w:tc>
        <w:tc>
          <w:tcPr>
            <w:tcW w:w="3600" w:type="dxa"/>
          </w:tcPr>
          <w:p>
            <w:pPr>
              <w:pStyle w:val="TableParagraph"/>
              <w:spacing w:line="198" w:lineRule="exact"/>
              <w:ind w:left="108"/>
              <w:rPr>
                <w:sz w:val="18"/>
              </w:rPr>
            </w:pPr>
            <w:r>
              <w:rPr>
                <w:sz w:val="18"/>
              </w:rPr>
              <w:t>stipulation.</w:t>
            </w:r>
            <w:r>
              <w:rPr>
                <w:spacing w:val="-2"/>
                <w:sz w:val="18"/>
              </w:rPr>
              <w:t> </w:t>
            </w:r>
            <w:r>
              <w:rPr>
                <w:sz w:val="18"/>
              </w:rPr>
              <w:t>Hence,</w:t>
            </w:r>
            <w:r>
              <w:rPr>
                <w:spacing w:val="-1"/>
                <w:sz w:val="18"/>
              </w:rPr>
              <w:t> </w:t>
            </w:r>
            <w:r>
              <w:rPr>
                <w:sz w:val="18"/>
              </w:rPr>
              <w:t>a -83%</w:t>
            </w:r>
            <w:r>
              <w:rPr>
                <w:spacing w:val="-2"/>
                <w:sz w:val="18"/>
              </w:rPr>
              <w:t> adherence</w:t>
            </w:r>
          </w:p>
        </w:tc>
        <w:tc>
          <w:tcPr>
            <w:tcW w:w="941" w:type="dxa"/>
          </w:tcPr>
          <w:p>
            <w:pPr>
              <w:pStyle w:val="TableParagraph"/>
              <w:rPr>
                <w:sz w:val="18"/>
              </w:rPr>
            </w:pPr>
          </w:p>
        </w:tc>
        <w:tc>
          <w:tcPr>
            <w:tcW w:w="1219" w:type="dxa"/>
            <w:vMerge/>
            <w:tcBorders>
              <w:top w:val="nil"/>
              <w:bottom w:val="single" w:sz="4" w:space="0" w:color="000000"/>
            </w:tcBorders>
          </w:tcPr>
          <w:p>
            <w:pPr>
              <w:rPr>
                <w:sz w:val="2"/>
                <w:szCs w:val="2"/>
              </w:rPr>
            </w:pPr>
          </w:p>
        </w:tc>
        <w:tc>
          <w:tcPr>
            <w:tcW w:w="1188" w:type="dxa"/>
            <w:vMerge/>
            <w:tcBorders>
              <w:top w:val="nil"/>
              <w:bottom w:val="single" w:sz="4" w:space="0" w:color="000000"/>
            </w:tcBorders>
          </w:tcPr>
          <w:p>
            <w:pPr>
              <w:rPr>
                <w:sz w:val="2"/>
                <w:szCs w:val="2"/>
              </w:rPr>
            </w:pPr>
          </w:p>
        </w:tc>
      </w:tr>
      <w:tr>
        <w:trPr>
          <w:trHeight w:val="300" w:hRule="atLeast"/>
        </w:trPr>
        <w:tc>
          <w:tcPr>
            <w:tcW w:w="572" w:type="dxa"/>
          </w:tcPr>
          <w:p>
            <w:pPr>
              <w:pStyle w:val="TableParagraph"/>
              <w:spacing w:line="186" w:lineRule="exact" w:before="95"/>
              <w:ind w:left="108"/>
              <w:rPr>
                <w:sz w:val="18"/>
              </w:rPr>
            </w:pPr>
            <w:r>
              <w:rPr>
                <w:spacing w:val="-5"/>
                <w:sz w:val="18"/>
              </w:rPr>
              <w:t>vi)</w:t>
            </w:r>
          </w:p>
        </w:tc>
        <w:tc>
          <w:tcPr>
            <w:tcW w:w="1948" w:type="dxa"/>
          </w:tcPr>
          <w:p>
            <w:pPr>
              <w:pStyle w:val="TableParagraph"/>
              <w:spacing w:line="186" w:lineRule="exact" w:before="95"/>
              <w:ind w:left="164"/>
              <w:rPr>
                <w:sz w:val="18"/>
              </w:rPr>
            </w:pPr>
            <w:r>
              <w:rPr>
                <w:sz w:val="18"/>
              </w:rPr>
              <w:t>Approval</w:t>
            </w:r>
            <w:r>
              <w:rPr>
                <w:spacing w:val="-3"/>
                <w:sz w:val="18"/>
              </w:rPr>
              <w:t> </w:t>
            </w:r>
            <w:r>
              <w:rPr>
                <w:sz w:val="18"/>
              </w:rPr>
              <w:t>of</w:t>
            </w:r>
            <w:r>
              <w:rPr>
                <w:spacing w:val="-2"/>
                <w:sz w:val="18"/>
              </w:rPr>
              <w:t> </w:t>
            </w:r>
            <w:r>
              <w:rPr>
                <w:sz w:val="18"/>
              </w:rPr>
              <w:t>the</w:t>
            </w:r>
            <w:r>
              <w:rPr>
                <w:spacing w:val="-1"/>
                <w:sz w:val="18"/>
              </w:rPr>
              <w:t> </w:t>
            </w:r>
            <w:r>
              <w:rPr>
                <w:spacing w:val="-4"/>
                <w:sz w:val="18"/>
              </w:rPr>
              <w:t>draft</w:t>
            </w:r>
          </w:p>
        </w:tc>
        <w:tc>
          <w:tcPr>
            <w:tcW w:w="3600" w:type="dxa"/>
          </w:tcPr>
          <w:p>
            <w:pPr>
              <w:pStyle w:val="TableParagraph"/>
              <w:spacing w:line="186" w:lineRule="exact" w:before="95"/>
              <w:ind w:left="108"/>
              <w:rPr>
                <w:sz w:val="18"/>
              </w:rPr>
            </w:pPr>
            <w:r>
              <w:rPr>
                <w:sz w:val="18"/>
              </w:rPr>
              <w:t>Carried</w:t>
            </w:r>
            <w:r>
              <w:rPr>
                <w:spacing w:val="75"/>
                <w:sz w:val="18"/>
              </w:rPr>
              <w:t> </w:t>
            </w:r>
            <w:r>
              <w:rPr>
                <w:sz w:val="18"/>
              </w:rPr>
              <w:t>out</w:t>
            </w:r>
            <w:r>
              <w:rPr>
                <w:spacing w:val="76"/>
                <w:sz w:val="18"/>
              </w:rPr>
              <w:t> </w:t>
            </w:r>
            <w:r>
              <w:rPr>
                <w:sz w:val="18"/>
              </w:rPr>
              <w:t>in</w:t>
            </w:r>
            <w:r>
              <w:rPr>
                <w:spacing w:val="77"/>
                <w:sz w:val="18"/>
              </w:rPr>
              <w:t> </w:t>
            </w:r>
            <w:r>
              <w:rPr>
                <w:sz w:val="18"/>
              </w:rPr>
              <w:t>4weeks</w:t>
            </w:r>
            <w:r>
              <w:rPr>
                <w:spacing w:val="75"/>
                <w:sz w:val="18"/>
              </w:rPr>
              <w:t> </w:t>
            </w:r>
            <w:r>
              <w:rPr>
                <w:sz w:val="18"/>
              </w:rPr>
              <w:t>against</w:t>
            </w:r>
            <w:r>
              <w:rPr>
                <w:spacing w:val="78"/>
                <w:sz w:val="18"/>
              </w:rPr>
              <w:t> </w:t>
            </w:r>
            <w:r>
              <w:rPr>
                <w:sz w:val="18"/>
              </w:rPr>
              <w:t>the</w:t>
            </w:r>
            <w:r>
              <w:rPr>
                <w:spacing w:val="75"/>
                <w:sz w:val="18"/>
              </w:rPr>
              <w:t> </w:t>
            </w:r>
            <w:r>
              <w:rPr>
                <w:spacing w:val="-4"/>
                <w:sz w:val="18"/>
              </w:rPr>
              <w:t>1week</w:t>
            </w:r>
          </w:p>
        </w:tc>
        <w:tc>
          <w:tcPr>
            <w:tcW w:w="941" w:type="dxa"/>
          </w:tcPr>
          <w:p>
            <w:pPr>
              <w:pStyle w:val="TableParagraph"/>
              <w:spacing w:line="186" w:lineRule="exact" w:before="95"/>
              <w:ind w:left="108"/>
              <w:rPr>
                <w:sz w:val="18"/>
              </w:rPr>
            </w:pPr>
            <w:r>
              <w:rPr>
                <w:spacing w:val="-5"/>
                <w:sz w:val="18"/>
              </w:rPr>
              <w:t>25%</w:t>
            </w:r>
          </w:p>
        </w:tc>
        <w:tc>
          <w:tcPr>
            <w:tcW w:w="1219" w:type="dxa"/>
            <w:vMerge/>
            <w:tcBorders>
              <w:top w:val="nil"/>
              <w:bottom w:val="single" w:sz="4" w:space="0" w:color="000000"/>
            </w:tcBorders>
          </w:tcPr>
          <w:p>
            <w:pPr>
              <w:rPr>
                <w:sz w:val="2"/>
                <w:szCs w:val="2"/>
              </w:rPr>
            </w:pPr>
          </w:p>
        </w:tc>
        <w:tc>
          <w:tcPr>
            <w:tcW w:w="1188" w:type="dxa"/>
            <w:vMerge/>
            <w:tcBorders>
              <w:top w:val="nil"/>
              <w:bottom w:val="single" w:sz="4" w:space="0" w:color="000000"/>
            </w:tcBorders>
          </w:tcPr>
          <w:p>
            <w:pPr>
              <w:rPr>
                <w:sz w:val="2"/>
                <w:szCs w:val="2"/>
              </w:rPr>
            </w:pPr>
          </w:p>
        </w:tc>
      </w:tr>
      <w:tr>
        <w:trPr>
          <w:trHeight w:val="299" w:hRule="atLeast"/>
        </w:trPr>
        <w:tc>
          <w:tcPr>
            <w:tcW w:w="572" w:type="dxa"/>
          </w:tcPr>
          <w:p>
            <w:pPr>
              <w:pStyle w:val="TableParagraph"/>
              <w:rPr>
                <w:sz w:val="18"/>
              </w:rPr>
            </w:pPr>
          </w:p>
        </w:tc>
        <w:tc>
          <w:tcPr>
            <w:tcW w:w="1948" w:type="dxa"/>
          </w:tcPr>
          <w:p>
            <w:pPr>
              <w:pStyle w:val="TableParagraph"/>
              <w:spacing w:line="198" w:lineRule="exact"/>
              <w:ind w:left="164"/>
              <w:rPr>
                <w:sz w:val="18"/>
              </w:rPr>
            </w:pPr>
            <w:r>
              <w:rPr>
                <w:sz w:val="18"/>
              </w:rPr>
              <w:t>proposal</w:t>
            </w:r>
            <w:r>
              <w:rPr>
                <w:spacing w:val="-2"/>
                <w:sz w:val="18"/>
              </w:rPr>
              <w:t> </w:t>
            </w:r>
            <w:r>
              <w:rPr>
                <w:sz w:val="18"/>
              </w:rPr>
              <w:t>by</w:t>
            </w:r>
            <w:r>
              <w:rPr>
                <w:spacing w:val="-4"/>
                <w:sz w:val="18"/>
              </w:rPr>
              <w:t> </w:t>
            </w:r>
            <w:r>
              <w:rPr>
                <w:sz w:val="18"/>
              </w:rPr>
              <w:t>the </w:t>
            </w:r>
            <w:r>
              <w:rPr>
                <w:spacing w:val="-5"/>
                <w:sz w:val="18"/>
              </w:rPr>
              <w:t>SEC</w:t>
            </w:r>
          </w:p>
        </w:tc>
        <w:tc>
          <w:tcPr>
            <w:tcW w:w="3600" w:type="dxa"/>
          </w:tcPr>
          <w:p>
            <w:pPr>
              <w:pStyle w:val="TableParagraph"/>
              <w:spacing w:line="198" w:lineRule="exact"/>
              <w:ind w:left="108"/>
              <w:rPr>
                <w:sz w:val="18"/>
              </w:rPr>
            </w:pPr>
            <w:r>
              <w:rPr>
                <w:sz w:val="18"/>
              </w:rPr>
              <w:t>stipulation.</w:t>
            </w:r>
            <w:r>
              <w:rPr>
                <w:spacing w:val="-1"/>
                <w:sz w:val="18"/>
              </w:rPr>
              <w:t> </w:t>
            </w:r>
            <w:r>
              <w:rPr>
                <w:sz w:val="18"/>
              </w:rPr>
              <w:t>Hence,</w:t>
            </w:r>
            <w:r>
              <w:rPr>
                <w:spacing w:val="-1"/>
                <w:sz w:val="18"/>
              </w:rPr>
              <w:t> </w:t>
            </w:r>
            <w:r>
              <w:rPr>
                <w:sz w:val="18"/>
              </w:rPr>
              <w:t>a</w:t>
            </w:r>
            <w:r>
              <w:rPr>
                <w:spacing w:val="-2"/>
                <w:sz w:val="18"/>
              </w:rPr>
              <w:t> </w:t>
            </w:r>
            <w:r>
              <w:rPr>
                <w:sz w:val="18"/>
              </w:rPr>
              <w:t>+25%</w:t>
            </w:r>
            <w:r>
              <w:rPr>
                <w:spacing w:val="1"/>
                <w:sz w:val="18"/>
              </w:rPr>
              <w:t> </w:t>
            </w:r>
            <w:r>
              <w:rPr>
                <w:spacing w:val="-2"/>
                <w:sz w:val="18"/>
              </w:rPr>
              <w:t>adherence</w:t>
            </w:r>
          </w:p>
        </w:tc>
        <w:tc>
          <w:tcPr>
            <w:tcW w:w="941" w:type="dxa"/>
          </w:tcPr>
          <w:p>
            <w:pPr>
              <w:pStyle w:val="TableParagraph"/>
              <w:rPr>
                <w:sz w:val="18"/>
              </w:rPr>
            </w:pPr>
          </w:p>
        </w:tc>
        <w:tc>
          <w:tcPr>
            <w:tcW w:w="1219" w:type="dxa"/>
            <w:vMerge/>
            <w:tcBorders>
              <w:top w:val="nil"/>
              <w:bottom w:val="single" w:sz="4" w:space="0" w:color="000000"/>
            </w:tcBorders>
          </w:tcPr>
          <w:p>
            <w:pPr>
              <w:rPr>
                <w:sz w:val="2"/>
                <w:szCs w:val="2"/>
              </w:rPr>
            </w:pPr>
          </w:p>
        </w:tc>
        <w:tc>
          <w:tcPr>
            <w:tcW w:w="1188" w:type="dxa"/>
            <w:vMerge/>
            <w:tcBorders>
              <w:top w:val="nil"/>
              <w:bottom w:val="single" w:sz="4" w:space="0" w:color="000000"/>
            </w:tcBorders>
          </w:tcPr>
          <w:p>
            <w:pPr>
              <w:rPr>
                <w:sz w:val="2"/>
                <w:szCs w:val="2"/>
              </w:rPr>
            </w:pPr>
          </w:p>
        </w:tc>
      </w:tr>
      <w:tr>
        <w:trPr>
          <w:trHeight w:val="300" w:hRule="atLeast"/>
        </w:trPr>
        <w:tc>
          <w:tcPr>
            <w:tcW w:w="572" w:type="dxa"/>
          </w:tcPr>
          <w:p>
            <w:pPr>
              <w:pStyle w:val="TableParagraph"/>
              <w:spacing w:line="187" w:lineRule="exact" w:before="94"/>
              <w:ind w:left="108"/>
              <w:rPr>
                <w:sz w:val="18"/>
              </w:rPr>
            </w:pPr>
            <w:r>
              <w:rPr>
                <w:spacing w:val="-4"/>
                <w:sz w:val="18"/>
              </w:rPr>
              <w:t>vii)</w:t>
            </w:r>
          </w:p>
        </w:tc>
        <w:tc>
          <w:tcPr>
            <w:tcW w:w="1948" w:type="dxa"/>
          </w:tcPr>
          <w:p>
            <w:pPr>
              <w:pStyle w:val="TableParagraph"/>
              <w:spacing w:line="187" w:lineRule="exact" w:before="94"/>
              <w:ind w:left="164"/>
              <w:rPr>
                <w:sz w:val="18"/>
              </w:rPr>
            </w:pPr>
            <w:r>
              <w:rPr>
                <w:sz w:val="18"/>
              </w:rPr>
              <w:t>Approval</w:t>
            </w:r>
            <w:r>
              <w:rPr>
                <w:spacing w:val="-3"/>
                <w:sz w:val="18"/>
              </w:rPr>
              <w:t> </w:t>
            </w:r>
            <w:r>
              <w:rPr>
                <w:sz w:val="18"/>
              </w:rPr>
              <w:t>of</w:t>
            </w:r>
            <w:r>
              <w:rPr>
                <w:spacing w:val="-2"/>
                <w:sz w:val="18"/>
              </w:rPr>
              <w:t> </w:t>
            </w:r>
            <w:r>
              <w:rPr>
                <w:sz w:val="18"/>
              </w:rPr>
              <w:t>the</w:t>
            </w:r>
            <w:r>
              <w:rPr>
                <w:spacing w:val="-1"/>
                <w:sz w:val="18"/>
              </w:rPr>
              <w:t> </w:t>
            </w:r>
            <w:r>
              <w:rPr>
                <w:spacing w:val="-4"/>
                <w:sz w:val="18"/>
              </w:rPr>
              <w:t>draft</w:t>
            </w:r>
          </w:p>
        </w:tc>
        <w:tc>
          <w:tcPr>
            <w:tcW w:w="3600" w:type="dxa"/>
          </w:tcPr>
          <w:p>
            <w:pPr>
              <w:pStyle w:val="TableParagraph"/>
              <w:spacing w:line="187" w:lineRule="exact" w:before="94"/>
              <w:ind w:left="108"/>
              <w:rPr>
                <w:sz w:val="18"/>
              </w:rPr>
            </w:pPr>
            <w:r>
              <w:rPr>
                <w:sz w:val="18"/>
              </w:rPr>
              <w:t>Carried</w:t>
            </w:r>
            <w:r>
              <w:rPr>
                <w:spacing w:val="50"/>
                <w:sz w:val="18"/>
              </w:rPr>
              <w:t> </w:t>
            </w:r>
            <w:r>
              <w:rPr>
                <w:sz w:val="18"/>
              </w:rPr>
              <w:t>out</w:t>
            </w:r>
            <w:r>
              <w:rPr>
                <w:spacing w:val="47"/>
                <w:sz w:val="18"/>
              </w:rPr>
              <w:t> </w:t>
            </w:r>
            <w:r>
              <w:rPr>
                <w:sz w:val="18"/>
              </w:rPr>
              <w:t>in</w:t>
            </w:r>
            <w:r>
              <w:rPr>
                <w:spacing w:val="48"/>
                <w:sz w:val="18"/>
              </w:rPr>
              <w:t> </w:t>
            </w:r>
            <w:r>
              <w:rPr>
                <w:sz w:val="18"/>
              </w:rPr>
              <w:t>10weeks</w:t>
            </w:r>
            <w:r>
              <w:rPr>
                <w:spacing w:val="51"/>
                <w:sz w:val="18"/>
              </w:rPr>
              <w:t> </w:t>
            </w:r>
            <w:r>
              <w:rPr>
                <w:sz w:val="18"/>
              </w:rPr>
              <w:t>against</w:t>
            </w:r>
            <w:r>
              <w:rPr>
                <w:spacing w:val="51"/>
                <w:sz w:val="18"/>
              </w:rPr>
              <w:t> </w:t>
            </w:r>
            <w:r>
              <w:rPr>
                <w:sz w:val="18"/>
              </w:rPr>
              <w:t>the</w:t>
            </w:r>
            <w:r>
              <w:rPr>
                <w:spacing w:val="49"/>
                <w:sz w:val="18"/>
              </w:rPr>
              <w:t> </w:t>
            </w:r>
            <w:r>
              <w:rPr>
                <w:spacing w:val="-2"/>
                <w:sz w:val="18"/>
              </w:rPr>
              <w:t>3weeks</w:t>
            </w:r>
          </w:p>
        </w:tc>
        <w:tc>
          <w:tcPr>
            <w:tcW w:w="941" w:type="dxa"/>
          </w:tcPr>
          <w:p>
            <w:pPr>
              <w:pStyle w:val="TableParagraph"/>
              <w:spacing w:line="187" w:lineRule="exact" w:before="94"/>
              <w:ind w:left="108"/>
              <w:rPr>
                <w:sz w:val="18"/>
              </w:rPr>
            </w:pPr>
            <w:r>
              <w:rPr>
                <w:spacing w:val="-5"/>
                <w:sz w:val="18"/>
              </w:rPr>
              <w:t>30%</w:t>
            </w:r>
          </w:p>
        </w:tc>
        <w:tc>
          <w:tcPr>
            <w:tcW w:w="1219" w:type="dxa"/>
            <w:vMerge/>
            <w:tcBorders>
              <w:top w:val="nil"/>
              <w:bottom w:val="single" w:sz="4" w:space="0" w:color="000000"/>
            </w:tcBorders>
          </w:tcPr>
          <w:p>
            <w:pPr>
              <w:rPr>
                <w:sz w:val="2"/>
                <w:szCs w:val="2"/>
              </w:rPr>
            </w:pPr>
          </w:p>
        </w:tc>
        <w:tc>
          <w:tcPr>
            <w:tcW w:w="1188" w:type="dxa"/>
            <w:vMerge/>
            <w:tcBorders>
              <w:top w:val="nil"/>
              <w:bottom w:val="single" w:sz="4" w:space="0" w:color="000000"/>
            </w:tcBorders>
          </w:tcPr>
          <w:p>
            <w:pPr>
              <w:rPr>
                <w:sz w:val="2"/>
                <w:szCs w:val="2"/>
              </w:rPr>
            </w:pPr>
          </w:p>
        </w:tc>
      </w:tr>
      <w:tr>
        <w:trPr>
          <w:trHeight w:val="197" w:hRule="atLeast"/>
        </w:trPr>
        <w:tc>
          <w:tcPr>
            <w:tcW w:w="572" w:type="dxa"/>
          </w:tcPr>
          <w:p>
            <w:pPr>
              <w:pStyle w:val="TableParagraph"/>
              <w:rPr>
                <w:sz w:val="12"/>
              </w:rPr>
            </w:pPr>
          </w:p>
        </w:tc>
        <w:tc>
          <w:tcPr>
            <w:tcW w:w="1948" w:type="dxa"/>
          </w:tcPr>
          <w:p>
            <w:pPr>
              <w:pStyle w:val="TableParagraph"/>
              <w:spacing w:line="178" w:lineRule="exact"/>
              <w:ind w:left="164"/>
              <w:rPr>
                <w:sz w:val="18"/>
              </w:rPr>
            </w:pPr>
            <w:r>
              <w:rPr>
                <w:sz w:val="18"/>
              </w:rPr>
              <w:t>budget</w:t>
            </w:r>
            <w:r>
              <w:rPr>
                <w:spacing w:val="-4"/>
                <w:sz w:val="18"/>
              </w:rPr>
              <w:t> </w:t>
            </w:r>
            <w:r>
              <w:rPr>
                <w:sz w:val="18"/>
              </w:rPr>
              <w:t>by</w:t>
            </w:r>
            <w:r>
              <w:rPr>
                <w:spacing w:val="-3"/>
                <w:sz w:val="18"/>
              </w:rPr>
              <w:t> </w:t>
            </w:r>
            <w:r>
              <w:rPr>
                <w:spacing w:val="-5"/>
                <w:sz w:val="18"/>
              </w:rPr>
              <w:t>the</w:t>
            </w:r>
          </w:p>
        </w:tc>
        <w:tc>
          <w:tcPr>
            <w:tcW w:w="3600" w:type="dxa"/>
          </w:tcPr>
          <w:p>
            <w:pPr>
              <w:pStyle w:val="TableParagraph"/>
              <w:spacing w:line="178" w:lineRule="exact"/>
              <w:ind w:left="108"/>
              <w:rPr>
                <w:sz w:val="18"/>
              </w:rPr>
            </w:pPr>
            <w:r>
              <w:rPr>
                <w:sz w:val="18"/>
              </w:rPr>
              <w:t>stipulation.</w:t>
            </w:r>
            <w:r>
              <w:rPr>
                <w:spacing w:val="-1"/>
                <w:sz w:val="18"/>
              </w:rPr>
              <w:t> </w:t>
            </w:r>
            <w:r>
              <w:rPr>
                <w:sz w:val="18"/>
              </w:rPr>
              <w:t>Hence,</w:t>
            </w:r>
            <w:r>
              <w:rPr>
                <w:spacing w:val="-1"/>
                <w:sz w:val="18"/>
              </w:rPr>
              <w:t> </w:t>
            </w:r>
            <w:r>
              <w:rPr>
                <w:sz w:val="18"/>
              </w:rPr>
              <w:t>a</w:t>
            </w:r>
            <w:r>
              <w:rPr>
                <w:spacing w:val="-2"/>
                <w:sz w:val="18"/>
              </w:rPr>
              <w:t> </w:t>
            </w:r>
            <w:r>
              <w:rPr>
                <w:sz w:val="18"/>
              </w:rPr>
              <w:t>+30%</w:t>
            </w:r>
            <w:r>
              <w:rPr>
                <w:spacing w:val="-1"/>
                <w:sz w:val="18"/>
              </w:rPr>
              <w:t> </w:t>
            </w:r>
            <w:r>
              <w:rPr>
                <w:spacing w:val="-2"/>
                <w:sz w:val="18"/>
              </w:rPr>
              <w:t>adherence</w:t>
            </w:r>
          </w:p>
        </w:tc>
        <w:tc>
          <w:tcPr>
            <w:tcW w:w="941" w:type="dxa"/>
          </w:tcPr>
          <w:p>
            <w:pPr>
              <w:pStyle w:val="TableParagraph"/>
              <w:rPr>
                <w:sz w:val="12"/>
              </w:rPr>
            </w:pPr>
          </w:p>
        </w:tc>
        <w:tc>
          <w:tcPr>
            <w:tcW w:w="1219" w:type="dxa"/>
            <w:vMerge/>
            <w:tcBorders>
              <w:top w:val="nil"/>
              <w:bottom w:val="single" w:sz="4" w:space="0" w:color="000000"/>
            </w:tcBorders>
          </w:tcPr>
          <w:p>
            <w:pPr>
              <w:rPr>
                <w:sz w:val="2"/>
                <w:szCs w:val="2"/>
              </w:rPr>
            </w:pPr>
          </w:p>
        </w:tc>
        <w:tc>
          <w:tcPr>
            <w:tcW w:w="1188" w:type="dxa"/>
            <w:vMerge/>
            <w:tcBorders>
              <w:top w:val="nil"/>
              <w:bottom w:val="single" w:sz="4" w:space="0" w:color="000000"/>
            </w:tcBorders>
          </w:tcPr>
          <w:p>
            <w:pPr>
              <w:rPr>
                <w:sz w:val="2"/>
                <w:szCs w:val="2"/>
              </w:rPr>
            </w:pPr>
          </w:p>
        </w:tc>
      </w:tr>
      <w:tr>
        <w:trPr>
          <w:trHeight w:val="299" w:hRule="atLeast"/>
        </w:trPr>
        <w:tc>
          <w:tcPr>
            <w:tcW w:w="572" w:type="dxa"/>
          </w:tcPr>
          <w:p>
            <w:pPr>
              <w:pStyle w:val="TableParagraph"/>
              <w:rPr>
                <w:sz w:val="18"/>
              </w:rPr>
            </w:pPr>
          </w:p>
        </w:tc>
        <w:tc>
          <w:tcPr>
            <w:tcW w:w="1948" w:type="dxa"/>
          </w:tcPr>
          <w:p>
            <w:pPr>
              <w:pStyle w:val="TableParagraph"/>
              <w:spacing w:line="198" w:lineRule="exact"/>
              <w:ind w:left="164"/>
              <w:rPr>
                <w:sz w:val="18"/>
              </w:rPr>
            </w:pPr>
            <w:r>
              <w:rPr>
                <w:spacing w:val="-2"/>
                <w:sz w:val="18"/>
              </w:rPr>
              <w:t>Legislature</w:t>
            </w:r>
          </w:p>
        </w:tc>
        <w:tc>
          <w:tcPr>
            <w:tcW w:w="3600" w:type="dxa"/>
          </w:tcPr>
          <w:p>
            <w:pPr>
              <w:pStyle w:val="TableParagraph"/>
              <w:rPr>
                <w:sz w:val="18"/>
              </w:rPr>
            </w:pPr>
          </w:p>
        </w:tc>
        <w:tc>
          <w:tcPr>
            <w:tcW w:w="941" w:type="dxa"/>
          </w:tcPr>
          <w:p>
            <w:pPr>
              <w:pStyle w:val="TableParagraph"/>
              <w:rPr>
                <w:sz w:val="18"/>
              </w:rPr>
            </w:pPr>
          </w:p>
        </w:tc>
        <w:tc>
          <w:tcPr>
            <w:tcW w:w="1219" w:type="dxa"/>
            <w:vMerge/>
            <w:tcBorders>
              <w:top w:val="nil"/>
              <w:bottom w:val="single" w:sz="4" w:space="0" w:color="000000"/>
            </w:tcBorders>
          </w:tcPr>
          <w:p>
            <w:pPr>
              <w:rPr>
                <w:sz w:val="2"/>
                <w:szCs w:val="2"/>
              </w:rPr>
            </w:pPr>
          </w:p>
        </w:tc>
        <w:tc>
          <w:tcPr>
            <w:tcW w:w="1188" w:type="dxa"/>
            <w:vMerge/>
            <w:tcBorders>
              <w:top w:val="nil"/>
              <w:bottom w:val="single" w:sz="4" w:space="0" w:color="000000"/>
            </w:tcBorders>
          </w:tcPr>
          <w:p>
            <w:pPr>
              <w:rPr>
                <w:sz w:val="2"/>
                <w:szCs w:val="2"/>
              </w:rPr>
            </w:pPr>
          </w:p>
        </w:tc>
      </w:tr>
      <w:tr>
        <w:trPr>
          <w:trHeight w:val="611" w:hRule="atLeast"/>
        </w:trPr>
        <w:tc>
          <w:tcPr>
            <w:tcW w:w="572" w:type="dxa"/>
          </w:tcPr>
          <w:p>
            <w:pPr>
              <w:pStyle w:val="TableParagraph"/>
              <w:spacing w:before="94"/>
              <w:ind w:left="108"/>
              <w:rPr>
                <w:sz w:val="18"/>
              </w:rPr>
            </w:pPr>
            <w:r>
              <w:rPr>
                <w:spacing w:val="-2"/>
                <w:sz w:val="18"/>
              </w:rPr>
              <w:t>viii)</w:t>
            </w:r>
          </w:p>
        </w:tc>
        <w:tc>
          <w:tcPr>
            <w:tcW w:w="1948" w:type="dxa"/>
          </w:tcPr>
          <w:p>
            <w:pPr>
              <w:pStyle w:val="TableParagraph"/>
              <w:spacing w:before="118"/>
              <w:ind w:left="164"/>
              <w:rPr>
                <w:sz w:val="18"/>
              </w:rPr>
            </w:pPr>
            <w:r>
              <w:rPr>
                <w:sz w:val="18"/>
              </w:rPr>
              <w:t>Governor‘s</w:t>
            </w:r>
            <w:r>
              <w:rPr>
                <w:spacing w:val="-6"/>
                <w:sz w:val="18"/>
              </w:rPr>
              <w:t> </w:t>
            </w:r>
            <w:r>
              <w:rPr>
                <w:spacing w:val="-2"/>
                <w:sz w:val="18"/>
              </w:rPr>
              <w:t>assent</w:t>
            </w:r>
          </w:p>
        </w:tc>
        <w:tc>
          <w:tcPr>
            <w:tcW w:w="3600" w:type="dxa"/>
          </w:tcPr>
          <w:p>
            <w:pPr>
              <w:pStyle w:val="TableParagraph"/>
              <w:spacing w:before="94"/>
              <w:ind w:left="108"/>
              <w:rPr>
                <w:sz w:val="18"/>
              </w:rPr>
            </w:pPr>
            <w:r>
              <w:rPr>
                <w:sz w:val="18"/>
              </w:rPr>
              <w:t>Carried</w:t>
            </w:r>
            <w:r>
              <w:rPr>
                <w:spacing w:val="35"/>
                <w:sz w:val="18"/>
              </w:rPr>
              <w:t> </w:t>
            </w:r>
            <w:r>
              <w:rPr>
                <w:sz w:val="18"/>
              </w:rPr>
              <w:t>out</w:t>
            </w:r>
            <w:r>
              <w:rPr>
                <w:spacing w:val="35"/>
                <w:sz w:val="18"/>
              </w:rPr>
              <w:t> </w:t>
            </w:r>
            <w:r>
              <w:rPr>
                <w:sz w:val="18"/>
              </w:rPr>
              <w:t>in</w:t>
            </w:r>
            <w:r>
              <w:rPr>
                <w:spacing w:val="34"/>
                <w:sz w:val="18"/>
              </w:rPr>
              <w:t> </w:t>
            </w:r>
            <w:r>
              <w:rPr>
                <w:sz w:val="18"/>
              </w:rPr>
              <w:t>0.5</w:t>
            </w:r>
            <w:r>
              <w:rPr>
                <w:spacing w:val="36"/>
                <w:sz w:val="18"/>
              </w:rPr>
              <w:t> </w:t>
            </w:r>
            <w:r>
              <w:rPr>
                <w:sz w:val="18"/>
              </w:rPr>
              <w:t>weeks</w:t>
            </w:r>
            <w:r>
              <w:rPr>
                <w:spacing w:val="34"/>
                <w:sz w:val="18"/>
              </w:rPr>
              <w:t> </w:t>
            </w:r>
            <w:r>
              <w:rPr>
                <w:sz w:val="18"/>
              </w:rPr>
              <w:t>against</w:t>
            </w:r>
            <w:r>
              <w:rPr>
                <w:spacing w:val="35"/>
                <w:sz w:val="18"/>
              </w:rPr>
              <w:t> </w:t>
            </w:r>
            <w:r>
              <w:rPr>
                <w:sz w:val="18"/>
              </w:rPr>
              <w:t>the</w:t>
            </w:r>
            <w:r>
              <w:rPr>
                <w:spacing w:val="34"/>
                <w:sz w:val="18"/>
              </w:rPr>
              <w:t> </w:t>
            </w:r>
            <w:r>
              <w:rPr>
                <w:sz w:val="18"/>
              </w:rPr>
              <w:t>1week stipulation. Hence, a -50% adherence</w:t>
            </w:r>
          </w:p>
        </w:tc>
        <w:tc>
          <w:tcPr>
            <w:tcW w:w="941" w:type="dxa"/>
          </w:tcPr>
          <w:p>
            <w:pPr>
              <w:pStyle w:val="TableParagraph"/>
              <w:spacing w:before="94"/>
              <w:ind w:left="108"/>
              <w:rPr>
                <w:sz w:val="18"/>
              </w:rPr>
            </w:pPr>
            <w:r>
              <w:rPr>
                <w:spacing w:val="-5"/>
                <w:sz w:val="18"/>
              </w:rPr>
              <w:t>50%</w:t>
            </w:r>
          </w:p>
        </w:tc>
        <w:tc>
          <w:tcPr>
            <w:tcW w:w="1219" w:type="dxa"/>
            <w:vMerge/>
            <w:tcBorders>
              <w:top w:val="nil"/>
              <w:bottom w:val="single" w:sz="4" w:space="0" w:color="000000"/>
            </w:tcBorders>
          </w:tcPr>
          <w:p>
            <w:pPr>
              <w:rPr>
                <w:sz w:val="2"/>
                <w:szCs w:val="2"/>
              </w:rPr>
            </w:pPr>
          </w:p>
        </w:tc>
        <w:tc>
          <w:tcPr>
            <w:tcW w:w="1188" w:type="dxa"/>
            <w:vMerge/>
            <w:tcBorders>
              <w:top w:val="nil"/>
              <w:bottom w:val="single" w:sz="4" w:space="0" w:color="000000"/>
            </w:tcBorders>
          </w:tcPr>
          <w:p>
            <w:pPr>
              <w:rPr>
                <w:sz w:val="2"/>
                <w:szCs w:val="2"/>
              </w:rPr>
            </w:pPr>
          </w:p>
        </w:tc>
      </w:tr>
      <w:tr>
        <w:trPr>
          <w:trHeight w:val="299" w:hRule="atLeast"/>
        </w:trPr>
        <w:tc>
          <w:tcPr>
            <w:tcW w:w="572" w:type="dxa"/>
          </w:tcPr>
          <w:p>
            <w:pPr>
              <w:pStyle w:val="TableParagraph"/>
              <w:spacing w:line="186" w:lineRule="exact" w:before="94"/>
              <w:ind w:left="108"/>
              <w:rPr>
                <w:sz w:val="18"/>
              </w:rPr>
            </w:pPr>
            <w:r>
              <w:rPr>
                <w:spacing w:val="-5"/>
                <w:sz w:val="18"/>
              </w:rPr>
              <w:t>ix)</w:t>
            </w:r>
          </w:p>
        </w:tc>
        <w:tc>
          <w:tcPr>
            <w:tcW w:w="1948" w:type="dxa"/>
          </w:tcPr>
          <w:p>
            <w:pPr>
              <w:pStyle w:val="TableParagraph"/>
              <w:spacing w:line="186" w:lineRule="exact" w:before="94"/>
              <w:ind w:left="164"/>
              <w:rPr>
                <w:sz w:val="18"/>
              </w:rPr>
            </w:pPr>
            <w:r>
              <w:rPr>
                <w:sz w:val="18"/>
              </w:rPr>
              <w:t>Publication</w:t>
            </w:r>
            <w:r>
              <w:rPr>
                <w:spacing w:val="-2"/>
                <w:sz w:val="18"/>
              </w:rPr>
              <w:t> </w:t>
            </w:r>
            <w:r>
              <w:rPr>
                <w:spacing w:val="-5"/>
                <w:sz w:val="18"/>
              </w:rPr>
              <w:t>and</w:t>
            </w:r>
          </w:p>
        </w:tc>
        <w:tc>
          <w:tcPr>
            <w:tcW w:w="3600" w:type="dxa"/>
          </w:tcPr>
          <w:p>
            <w:pPr>
              <w:pStyle w:val="TableParagraph"/>
              <w:spacing w:line="186" w:lineRule="exact" w:before="94"/>
              <w:ind w:left="108"/>
              <w:rPr>
                <w:sz w:val="18"/>
              </w:rPr>
            </w:pPr>
            <w:r>
              <w:rPr>
                <w:sz w:val="18"/>
              </w:rPr>
              <w:t>Carried</w:t>
            </w:r>
            <w:r>
              <w:rPr>
                <w:spacing w:val="39"/>
                <w:sz w:val="18"/>
              </w:rPr>
              <w:t> </w:t>
            </w:r>
            <w:r>
              <w:rPr>
                <w:sz w:val="18"/>
              </w:rPr>
              <w:t>out</w:t>
            </w:r>
            <w:r>
              <w:rPr>
                <w:spacing w:val="39"/>
                <w:sz w:val="18"/>
              </w:rPr>
              <w:t> </w:t>
            </w:r>
            <w:r>
              <w:rPr>
                <w:sz w:val="18"/>
              </w:rPr>
              <w:t>in</w:t>
            </w:r>
            <w:r>
              <w:rPr>
                <w:spacing w:val="39"/>
                <w:sz w:val="18"/>
              </w:rPr>
              <w:t> </w:t>
            </w:r>
            <w:r>
              <w:rPr>
                <w:sz w:val="18"/>
              </w:rPr>
              <w:t>2.5</w:t>
            </w:r>
            <w:r>
              <w:rPr>
                <w:spacing w:val="40"/>
                <w:sz w:val="18"/>
              </w:rPr>
              <w:t> </w:t>
            </w:r>
            <w:r>
              <w:rPr>
                <w:sz w:val="18"/>
              </w:rPr>
              <w:t>weeks</w:t>
            </w:r>
            <w:r>
              <w:rPr>
                <w:spacing w:val="39"/>
                <w:sz w:val="18"/>
              </w:rPr>
              <w:t> </w:t>
            </w:r>
            <w:r>
              <w:rPr>
                <w:sz w:val="18"/>
              </w:rPr>
              <w:t>against</w:t>
            </w:r>
            <w:r>
              <w:rPr>
                <w:spacing w:val="39"/>
                <w:sz w:val="18"/>
              </w:rPr>
              <w:t> </w:t>
            </w:r>
            <w:r>
              <w:rPr>
                <w:sz w:val="18"/>
              </w:rPr>
              <w:t>the</w:t>
            </w:r>
            <w:r>
              <w:rPr>
                <w:spacing w:val="39"/>
                <w:sz w:val="18"/>
              </w:rPr>
              <w:t> </w:t>
            </w:r>
            <w:r>
              <w:rPr>
                <w:spacing w:val="-4"/>
                <w:sz w:val="18"/>
              </w:rPr>
              <w:t>1week</w:t>
            </w:r>
          </w:p>
        </w:tc>
        <w:tc>
          <w:tcPr>
            <w:tcW w:w="941" w:type="dxa"/>
          </w:tcPr>
          <w:p>
            <w:pPr>
              <w:pStyle w:val="TableParagraph"/>
              <w:spacing w:line="186" w:lineRule="exact" w:before="94"/>
              <w:ind w:left="108"/>
              <w:rPr>
                <w:sz w:val="18"/>
              </w:rPr>
            </w:pPr>
            <w:r>
              <w:rPr>
                <w:spacing w:val="-5"/>
                <w:sz w:val="18"/>
              </w:rPr>
              <w:t>40%</w:t>
            </w:r>
          </w:p>
        </w:tc>
        <w:tc>
          <w:tcPr>
            <w:tcW w:w="1219" w:type="dxa"/>
            <w:vMerge/>
            <w:tcBorders>
              <w:top w:val="nil"/>
              <w:bottom w:val="single" w:sz="4" w:space="0" w:color="000000"/>
            </w:tcBorders>
          </w:tcPr>
          <w:p>
            <w:pPr>
              <w:rPr>
                <w:sz w:val="2"/>
                <w:szCs w:val="2"/>
              </w:rPr>
            </w:pPr>
          </w:p>
        </w:tc>
        <w:tc>
          <w:tcPr>
            <w:tcW w:w="1188" w:type="dxa"/>
            <w:vMerge/>
            <w:tcBorders>
              <w:top w:val="nil"/>
              <w:bottom w:val="single" w:sz="4" w:space="0" w:color="000000"/>
            </w:tcBorders>
          </w:tcPr>
          <w:p>
            <w:pPr>
              <w:rPr>
                <w:sz w:val="2"/>
                <w:szCs w:val="2"/>
              </w:rPr>
            </w:pPr>
          </w:p>
        </w:tc>
      </w:tr>
      <w:tr>
        <w:trPr>
          <w:trHeight w:val="197" w:hRule="atLeast"/>
        </w:trPr>
        <w:tc>
          <w:tcPr>
            <w:tcW w:w="572" w:type="dxa"/>
          </w:tcPr>
          <w:p>
            <w:pPr>
              <w:pStyle w:val="TableParagraph"/>
              <w:rPr>
                <w:sz w:val="12"/>
              </w:rPr>
            </w:pPr>
          </w:p>
        </w:tc>
        <w:tc>
          <w:tcPr>
            <w:tcW w:w="1948" w:type="dxa"/>
          </w:tcPr>
          <w:p>
            <w:pPr>
              <w:pStyle w:val="TableParagraph"/>
              <w:spacing w:line="178" w:lineRule="exact"/>
              <w:ind w:left="164"/>
              <w:rPr>
                <w:sz w:val="18"/>
              </w:rPr>
            </w:pPr>
            <w:r>
              <w:rPr>
                <w:sz w:val="18"/>
              </w:rPr>
              <w:t>dissemination</w:t>
            </w:r>
            <w:r>
              <w:rPr>
                <w:spacing w:val="-3"/>
                <w:sz w:val="18"/>
              </w:rPr>
              <w:t> </w:t>
            </w:r>
            <w:r>
              <w:rPr>
                <w:sz w:val="18"/>
              </w:rPr>
              <w:t>of</w:t>
            </w:r>
            <w:r>
              <w:rPr>
                <w:spacing w:val="-3"/>
                <w:sz w:val="18"/>
              </w:rPr>
              <w:t> </w:t>
            </w:r>
            <w:r>
              <w:rPr>
                <w:spacing w:val="-5"/>
                <w:sz w:val="18"/>
              </w:rPr>
              <w:t>the</w:t>
            </w:r>
          </w:p>
        </w:tc>
        <w:tc>
          <w:tcPr>
            <w:tcW w:w="3600" w:type="dxa"/>
          </w:tcPr>
          <w:p>
            <w:pPr>
              <w:pStyle w:val="TableParagraph"/>
              <w:spacing w:line="178" w:lineRule="exact"/>
              <w:ind w:left="108"/>
              <w:rPr>
                <w:sz w:val="18"/>
              </w:rPr>
            </w:pPr>
            <w:r>
              <w:rPr>
                <w:sz w:val="18"/>
              </w:rPr>
              <w:t>stipulation.</w:t>
            </w:r>
            <w:r>
              <w:rPr>
                <w:spacing w:val="-1"/>
                <w:sz w:val="18"/>
              </w:rPr>
              <w:t> </w:t>
            </w:r>
            <w:r>
              <w:rPr>
                <w:sz w:val="18"/>
              </w:rPr>
              <w:t>Hence,</w:t>
            </w:r>
            <w:r>
              <w:rPr>
                <w:spacing w:val="-1"/>
                <w:sz w:val="18"/>
              </w:rPr>
              <w:t> </w:t>
            </w:r>
            <w:r>
              <w:rPr>
                <w:sz w:val="18"/>
              </w:rPr>
              <w:t>a</w:t>
            </w:r>
            <w:r>
              <w:rPr>
                <w:spacing w:val="-2"/>
                <w:sz w:val="18"/>
              </w:rPr>
              <w:t> </w:t>
            </w:r>
            <w:r>
              <w:rPr>
                <w:sz w:val="18"/>
              </w:rPr>
              <w:t>+40%</w:t>
            </w:r>
            <w:r>
              <w:rPr>
                <w:spacing w:val="-1"/>
                <w:sz w:val="18"/>
              </w:rPr>
              <w:t> </w:t>
            </w:r>
            <w:r>
              <w:rPr>
                <w:spacing w:val="-2"/>
                <w:sz w:val="18"/>
              </w:rPr>
              <w:t>adherence</w:t>
            </w:r>
          </w:p>
        </w:tc>
        <w:tc>
          <w:tcPr>
            <w:tcW w:w="941" w:type="dxa"/>
          </w:tcPr>
          <w:p>
            <w:pPr>
              <w:pStyle w:val="TableParagraph"/>
              <w:rPr>
                <w:sz w:val="12"/>
              </w:rPr>
            </w:pPr>
          </w:p>
        </w:tc>
        <w:tc>
          <w:tcPr>
            <w:tcW w:w="1219" w:type="dxa"/>
            <w:vMerge/>
            <w:tcBorders>
              <w:top w:val="nil"/>
              <w:bottom w:val="single" w:sz="4" w:space="0" w:color="000000"/>
            </w:tcBorders>
          </w:tcPr>
          <w:p>
            <w:pPr>
              <w:rPr>
                <w:sz w:val="2"/>
                <w:szCs w:val="2"/>
              </w:rPr>
            </w:pPr>
          </w:p>
        </w:tc>
        <w:tc>
          <w:tcPr>
            <w:tcW w:w="1188" w:type="dxa"/>
            <w:vMerge/>
            <w:tcBorders>
              <w:top w:val="nil"/>
              <w:bottom w:val="single" w:sz="4" w:space="0" w:color="000000"/>
            </w:tcBorders>
          </w:tcPr>
          <w:p>
            <w:pPr>
              <w:rPr>
                <w:sz w:val="2"/>
                <w:szCs w:val="2"/>
              </w:rPr>
            </w:pPr>
          </w:p>
        </w:tc>
      </w:tr>
      <w:tr>
        <w:trPr>
          <w:trHeight w:val="517" w:hRule="atLeast"/>
        </w:trPr>
        <w:tc>
          <w:tcPr>
            <w:tcW w:w="572" w:type="dxa"/>
            <w:tcBorders>
              <w:bottom w:val="single" w:sz="4" w:space="0" w:color="000000"/>
            </w:tcBorders>
          </w:tcPr>
          <w:p>
            <w:pPr>
              <w:pStyle w:val="TableParagraph"/>
              <w:rPr>
                <w:sz w:val="18"/>
              </w:rPr>
            </w:pPr>
          </w:p>
        </w:tc>
        <w:tc>
          <w:tcPr>
            <w:tcW w:w="1948" w:type="dxa"/>
            <w:tcBorders>
              <w:bottom w:val="single" w:sz="4" w:space="0" w:color="000000"/>
            </w:tcBorders>
          </w:tcPr>
          <w:p>
            <w:pPr>
              <w:pStyle w:val="TableParagraph"/>
              <w:spacing w:line="199" w:lineRule="exact"/>
              <w:ind w:left="164"/>
              <w:rPr>
                <w:sz w:val="18"/>
              </w:rPr>
            </w:pPr>
            <w:r>
              <w:rPr>
                <w:spacing w:val="-2"/>
                <w:sz w:val="18"/>
              </w:rPr>
              <w:t>budget</w:t>
            </w:r>
          </w:p>
        </w:tc>
        <w:tc>
          <w:tcPr>
            <w:tcW w:w="3600" w:type="dxa"/>
            <w:tcBorders>
              <w:bottom w:val="single" w:sz="4" w:space="0" w:color="000000"/>
            </w:tcBorders>
          </w:tcPr>
          <w:p>
            <w:pPr>
              <w:pStyle w:val="TableParagraph"/>
              <w:rPr>
                <w:sz w:val="18"/>
              </w:rPr>
            </w:pPr>
          </w:p>
        </w:tc>
        <w:tc>
          <w:tcPr>
            <w:tcW w:w="941" w:type="dxa"/>
            <w:tcBorders>
              <w:bottom w:val="single" w:sz="4" w:space="0" w:color="000000"/>
            </w:tcBorders>
          </w:tcPr>
          <w:p>
            <w:pPr>
              <w:pStyle w:val="TableParagraph"/>
              <w:rPr>
                <w:sz w:val="18"/>
              </w:rPr>
            </w:pPr>
          </w:p>
        </w:tc>
        <w:tc>
          <w:tcPr>
            <w:tcW w:w="1219" w:type="dxa"/>
            <w:vMerge/>
            <w:tcBorders>
              <w:top w:val="nil"/>
              <w:bottom w:val="single" w:sz="4" w:space="0" w:color="000000"/>
            </w:tcBorders>
          </w:tcPr>
          <w:p>
            <w:pPr>
              <w:rPr>
                <w:sz w:val="2"/>
                <w:szCs w:val="2"/>
              </w:rPr>
            </w:pPr>
          </w:p>
        </w:tc>
        <w:tc>
          <w:tcPr>
            <w:tcW w:w="1188" w:type="dxa"/>
            <w:vMerge/>
            <w:tcBorders>
              <w:top w:val="nil"/>
              <w:bottom w:val="single" w:sz="4" w:space="0" w:color="000000"/>
            </w:tcBorders>
          </w:tcPr>
          <w:p>
            <w:pPr>
              <w:rPr>
                <w:sz w:val="2"/>
                <w:szCs w:val="2"/>
              </w:rPr>
            </w:pPr>
          </w:p>
        </w:tc>
      </w:tr>
      <w:tr>
        <w:trPr>
          <w:trHeight w:val="412" w:hRule="atLeast"/>
        </w:trPr>
        <w:tc>
          <w:tcPr>
            <w:tcW w:w="572" w:type="dxa"/>
            <w:tcBorders>
              <w:top w:val="single" w:sz="4" w:space="0" w:color="000000"/>
              <w:bottom w:val="single" w:sz="4" w:space="0" w:color="000000"/>
            </w:tcBorders>
          </w:tcPr>
          <w:p>
            <w:pPr>
              <w:pStyle w:val="TableParagraph"/>
              <w:rPr>
                <w:sz w:val="18"/>
              </w:rPr>
            </w:pPr>
          </w:p>
        </w:tc>
        <w:tc>
          <w:tcPr>
            <w:tcW w:w="1948" w:type="dxa"/>
            <w:tcBorders>
              <w:top w:val="single" w:sz="4" w:space="0" w:color="000000"/>
              <w:bottom w:val="single" w:sz="4" w:space="0" w:color="000000"/>
            </w:tcBorders>
          </w:tcPr>
          <w:p>
            <w:pPr>
              <w:pStyle w:val="TableParagraph"/>
              <w:rPr>
                <w:sz w:val="18"/>
              </w:rPr>
            </w:pPr>
          </w:p>
        </w:tc>
        <w:tc>
          <w:tcPr>
            <w:tcW w:w="3600" w:type="dxa"/>
            <w:tcBorders>
              <w:top w:val="single" w:sz="4" w:space="0" w:color="000000"/>
              <w:bottom w:val="single" w:sz="4" w:space="0" w:color="000000"/>
            </w:tcBorders>
          </w:tcPr>
          <w:p>
            <w:pPr>
              <w:pStyle w:val="TableParagraph"/>
              <w:spacing w:line="202" w:lineRule="exact"/>
              <w:ind w:right="106"/>
              <w:jc w:val="right"/>
              <w:rPr>
                <w:sz w:val="18"/>
              </w:rPr>
            </w:pPr>
            <w:r>
              <w:rPr>
                <w:sz w:val="18"/>
              </w:rPr>
              <w:t>Average</w:t>
            </w:r>
            <w:r>
              <w:rPr>
                <w:spacing w:val="-5"/>
                <w:sz w:val="18"/>
              </w:rPr>
              <w:t> </w:t>
            </w:r>
            <w:r>
              <w:rPr>
                <w:sz w:val="18"/>
              </w:rPr>
              <w:t>timeliness</w:t>
            </w:r>
            <w:r>
              <w:rPr>
                <w:spacing w:val="-4"/>
                <w:sz w:val="18"/>
              </w:rPr>
              <w:t> score</w:t>
            </w:r>
          </w:p>
        </w:tc>
        <w:tc>
          <w:tcPr>
            <w:tcW w:w="941" w:type="dxa"/>
            <w:tcBorders>
              <w:top w:val="single" w:sz="4" w:space="0" w:color="000000"/>
              <w:bottom w:val="single" w:sz="4" w:space="0" w:color="000000"/>
            </w:tcBorders>
          </w:tcPr>
          <w:p>
            <w:pPr>
              <w:pStyle w:val="TableParagraph"/>
              <w:spacing w:line="202" w:lineRule="exact"/>
              <w:ind w:left="108"/>
              <w:rPr>
                <w:sz w:val="18"/>
              </w:rPr>
            </w:pPr>
            <w:r>
              <w:rPr>
                <w:spacing w:val="-2"/>
                <w:sz w:val="18"/>
              </w:rPr>
              <w:t>50.44</w:t>
            </w:r>
          </w:p>
        </w:tc>
        <w:tc>
          <w:tcPr>
            <w:tcW w:w="1219" w:type="dxa"/>
            <w:tcBorders>
              <w:top w:val="single" w:sz="4" w:space="0" w:color="000000"/>
              <w:bottom w:val="single" w:sz="4" w:space="0" w:color="000000"/>
            </w:tcBorders>
          </w:tcPr>
          <w:p>
            <w:pPr>
              <w:pStyle w:val="TableParagraph"/>
              <w:spacing w:line="202" w:lineRule="exact"/>
              <w:ind w:left="427"/>
              <w:rPr>
                <w:sz w:val="18"/>
              </w:rPr>
            </w:pPr>
            <w:r>
              <w:rPr>
                <w:spacing w:val="-10"/>
                <w:sz w:val="18"/>
              </w:rPr>
              <w:t>B</w:t>
            </w:r>
          </w:p>
        </w:tc>
        <w:tc>
          <w:tcPr>
            <w:tcW w:w="1188" w:type="dxa"/>
            <w:tcBorders>
              <w:top w:val="single" w:sz="4" w:space="0" w:color="000000"/>
              <w:bottom w:val="single" w:sz="4" w:space="0" w:color="000000"/>
            </w:tcBorders>
            <w:shd w:val="clear" w:color="auto" w:fill="DBE4F0"/>
          </w:tcPr>
          <w:p>
            <w:pPr>
              <w:pStyle w:val="TableParagraph"/>
              <w:spacing w:line="202" w:lineRule="exact"/>
              <w:ind w:left="109"/>
              <w:rPr>
                <w:sz w:val="18"/>
              </w:rPr>
            </w:pPr>
            <w:r>
              <w:rPr>
                <w:spacing w:val="-4"/>
                <w:sz w:val="18"/>
              </w:rPr>
              <w:t>Fair</w:t>
            </w:r>
          </w:p>
          <w:p>
            <w:pPr>
              <w:pStyle w:val="TableParagraph"/>
              <w:spacing w:line="191" w:lineRule="exact"/>
              <w:ind w:left="109"/>
              <w:rPr>
                <w:sz w:val="18"/>
              </w:rPr>
            </w:pPr>
            <w:r>
              <w:rPr>
                <w:spacing w:val="-2"/>
                <w:sz w:val="18"/>
              </w:rPr>
              <w:t>Performance</w:t>
            </w:r>
          </w:p>
        </w:tc>
      </w:tr>
      <w:tr>
        <w:trPr>
          <w:trHeight w:val="621" w:hRule="atLeast"/>
        </w:trPr>
        <w:tc>
          <w:tcPr>
            <w:tcW w:w="572" w:type="dxa"/>
            <w:tcBorders>
              <w:top w:val="single" w:sz="4" w:space="0" w:color="000000"/>
              <w:bottom w:val="single" w:sz="4" w:space="0" w:color="000000"/>
            </w:tcBorders>
          </w:tcPr>
          <w:p>
            <w:pPr>
              <w:pStyle w:val="TableParagraph"/>
              <w:spacing w:line="204" w:lineRule="exact"/>
              <w:ind w:left="108"/>
              <w:rPr>
                <w:sz w:val="18"/>
              </w:rPr>
            </w:pPr>
            <w:r>
              <w:rPr>
                <w:spacing w:val="-5"/>
                <w:sz w:val="18"/>
              </w:rPr>
              <w:t>8)</w:t>
            </w:r>
          </w:p>
        </w:tc>
        <w:tc>
          <w:tcPr>
            <w:tcW w:w="1948" w:type="dxa"/>
            <w:tcBorders>
              <w:top w:val="single" w:sz="4" w:space="0" w:color="000000"/>
              <w:bottom w:val="single" w:sz="4" w:space="0" w:color="000000"/>
            </w:tcBorders>
          </w:tcPr>
          <w:p>
            <w:pPr>
              <w:pStyle w:val="TableParagraph"/>
              <w:spacing w:line="206" w:lineRule="exact"/>
              <w:ind w:left="164" w:right="272"/>
              <w:rPr>
                <w:sz w:val="18"/>
              </w:rPr>
            </w:pPr>
            <w:r>
              <w:rPr>
                <w:sz w:val="18"/>
              </w:rPr>
              <w:t>Adequacy</w:t>
            </w:r>
            <w:r>
              <w:rPr>
                <w:spacing w:val="-12"/>
                <w:sz w:val="18"/>
              </w:rPr>
              <w:t> </w:t>
            </w:r>
            <w:r>
              <w:rPr>
                <w:sz w:val="18"/>
              </w:rPr>
              <w:t>of</w:t>
            </w:r>
            <w:r>
              <w:rPr>
                <w:spacing w:val="-11"/>
                <w:sz w:val="18"/>
              </w:rPr>
              <w:t> </w:t>
            </w:r>
            <w:r>
              <w:rPr>
                <w:sz w:val="18"/>
              </w:rPr>
              <w:t>annual housing budget </w:t>
            </w:r>
            <w:r>
              <w:rPr>
                <w:spacing w:val="-2"/>
                <w:sz w:val="18"/>
              </w:rPr>
              <w:t>allocation</w:t>
            </w:r>
          </w:p>
        </w:tc>
        <w:tc>
          <w:tcPr>
            <w:tcW w:w="3600" w:type="dxa"/>
            <w:tcBorders>
              <w:top w:val="single" w:sz="4" w:space="0" w:color="000000"/>
              <w:bottom w:val="single" w:sz="4" w:space="0" w:color="000000"/>
            </w:tcBorders>
          </w:tcPr>
          <w:p>
            <w:pPr>
              <w:pStyle w:val="TableParagraph"/>
              <w:spacing w:line="206" w:lineRule="exact"/>
              <w:ind w:left="108" w:right="105"/>
              <w:jc w:val="both"/>
              <w:rPr>
                <w:sz w:val="18"/>
              </w:rPr>
            </w:pPr>
            <w:r>
              <w:rPr>
                <w:sz w:val="18"/>
              </w:rPr>
              <w:t>70% of the respondents indicated that the housing allocation is grossly inadequate. Hence a difference of 30%</w:t>
            </w:r>
          </w:p>
        </w:tc>
        <w:tc>
          <w:tcPr>
            <w:tcW w:w="941" w:type="dxa"/>
            <w:tcBorders>
              <w:top w:val="single" w:sz="4" w:space="0" w:color="000000"/>
              <w:bottom w:val="single" w:sz="4" w:space="0" w:color="000000"/>
            </w:tcBorders>
          </w:tcPr>
          <w:p>
            <w:pPr>
              <w:pStyle w:val="TableParagraph"/>
              <w:spacing w:line="204" w:lineRule="exact"/>
              <w:ind w:left="108"/>
              <w:rPr>
                <w:sz w:val="18"/>
              </w:rPr>
            </w:pPr>
            <w:r>
              <w:rPr>
                <w:spacing w:val="-5"/>
                <w:sz w:val="18"/>
              </w:rPr>
              <w:t>30%</w:t>
            </w:r>
          </w:p>
        </w:tc>
        <w:tc>
          <w:tcPr>
            <w:tcW w:w="1219" w:type="dxa"/>
            <w:tcBorders>
              <w:top w:val="single" w:sz="4" w:space="0" w:color="000000"/>
              <w:bottom w:val="single" w:sz="4" w:space="0" w:color="000000"/>
            </w:tcBorders>
          </w:tcPr>
          <w:p>
            <w:pPr>
              <w:pStyle w:val="TableParagraph"/>
              <w:spacing w:line="204" w:lineRule="exact"/>
              <w:ind w:left="427"/>
              <w:rPr>
                <w:sz w:val="18"/>
              </w:rPr>
            </w:pPr>
            <w:r>
              <w:rPr>
                <w:spacing w:val="-10"/>
                <w:sz w:val="18"/>
              </w:rPr>
              <w:t>C</w:t>
            </w:r>
          </w:p>
        </w:tc>
        <w:tc>
          <w:tcPr>
            <w:tcW w:w="1188" w:type="dxa"/>
            <w:tcBorders>
              <w:top w:val="single" w:sz="4" w:space="0" w:color="000000"/>
              <w:bottom w:val="single" w:sz="4" w:space="0" w:color="000000"/>
            </w:tcBorders>
            <w:shd w:val="clear" w:color="auto" w:fill="DBE4F0"/>
          </w:tcPr>
          <w:p>
            <w:pPr>
              <w:pStyle w:val="TableParagraph"/>
              <w:ind w:left="109"/>
              <w:rPr>
                <w:sz w:val="18"/>
              </w:rPr>
            </w:pPr>
            <w:r>
              <w:rPr>
                <w:spacing w:val="-4"/>
                <w:sz w:val="18"/>
              </w:rPr>
              <w:t>Low </w:t>
            </w:r>
            <w:r>
              <w:rPr>
                <w:spacing w:val="-2"/>
                <w:sz w:val="18"/>
              </w:rPr>
              <w:t>Performance</w:t>
            </w:r>
          </w:p>
        </w:tc>
      </w:tr>
      <w:tr>
        <w:trPr>
          <w:trHeight w:val="621" w:hRule="atLeast"/>
        </w:trPr>
        <w:tc>
          <w:tcPr>
            <w:tcW w:w="572" w:type="dxa"/>
            <w:tcBorders>
              <w:top w:val="single" w:sz="4" w:space="0" w:color="000000"/>
              <w:bottom w:val="single" w:sz="4" w:space="0" w:color="000000"/>
            </w:tcBorders>
          </w:tcPr>
          <w:p>
            <w:pPr>
              <w:pStyle w:val="TableParagraph"/>
              <w:spacing w:line="204" w:lineRule="exact"/>
              <w:ind w:left="108"/>
              <w:rPr>
                <w:sz w:val="18"/>
              </w:rPr>
            </w:pPr>
            <w:r>
              <w:rPr>
                <w:spacing w:val="-5"/>
                <w:sz w:val="18"/>
              </w:rPr>
              <w:t>9)</w:t>
            </w:r>
          </w:p>
        </w:tc>
        <w:tc>
          <w:tcPr>
            <w:tcW w:w="1948" w:type="dxa"/>
            <w:tcBorders>
              <w:top w:val="single" w:sz="4" w:space="0" w:color="000000"/>
              <w:bottom w:val="single" w:sz="4" w:space="0" w:color="000000"/>
            </w:tcBorders>
          </w:tcPr>
          <w:p>
            <w:pPr>
              <w:pStyle w:val="TableParagraph"/>
              <w:spacing w:line="206" w:lineRule="exact"/>
              <w:ind w:left="164" w:right="272"/>
              <w:rPr>
                <w:sz w:val="18"/>
              </w:rPr>
            </w:pPr>
            <w:r>
              <w:rPr>
                <w:sz w:val="18"/>
              </w:rPr>
              <w:t>Regularity</w:t>
            </w:r>
            <w:r>
              <w:rPr>
                <w:spacing w:val="-12"/>
                <w:sz w:val="18"/>
              </w:rPr>
              <w:t> </w:t>
            </w:r>
            <w:r>
              <w:rPr>
                <w:sz w:val="18"/>
              </w:rPr>
              <w:t>of</w:t>
            </w:r>
            <w:r>
              <w:rPr>
                <w:spacing w:val="-11"/>
                <w:sz w:val="18"/>
              </w:rPr>
              <w:t> </w:t>
            </w:r>
            <w:r>
              <w:rPr>
                <w:sz w:val="18"/>
              </w:rPr>
              <w:t>release of funds from the annual budget</w:t>
            </w:r>
          </w:p>
        </w:tc>
        <w:tc>
          <w:tcPr>
            <w:tcW w:w="3600" w:type="dxa"/>
            <w:tcBorders>
              <w:top w:val="single" w:sz="4" w:space="0" w:color="000000"/>
              <w:bottom w:val="single" w:sz="4" w:space="0" w:color="000000"/>
            </w:tcBorders>
          </w:tcPr>
          <w:p>
            <w:pPr>
              <w:pStyle w:val="TableParagraph"/>
              <w:spacing w:line="206" w:lineRule="exact"/>
              <w:ind w:left="108" w:right="106"/>
              <w:jc w:val="both"/>
              <w:rPr>
                <w:sz w:val="18"/>
              </w:rPr>
            </w:pPr>
            <w:r>
              <w:rPr>
                <w:sz w:val="18"/>
              </w:rPr>
              <w:t>78% of the respondents indicated that there is often delay in the release of funds to execute housing projects. Hence, a difference of 22%</w:t>
            </w:r>
          </w:p>
        </w:tc>
        <w:tc>
          <w:tcPr>
            <w:tcW w:w="941" w:type="dxa"/>
            <w:tcBorders>
              <w:top w:val="single" w:sz="4" w:space="0" w:color="000000"/>
              <w:bottom w:val="single" w:sz="4" w:space="0" w:color="000000"/>
            </w:tcBorders>
          </w:tcPr>
          <w:p>
            <w:pPr>
              <w:pStyle w:val="TableParagraph"/>
              <w:spacing w:line="204" w:lineRule="exact"/>
              <w:ind w:left="108"/>
              <w:rPr>
                <w:sz w:val="18"/>
              </w:rPr>
            </w:pPr>
            <w:r>
              <w:rPr>
                <w:spacing w:val="-5"/>
                <w:sz w:val="18"/>
              </w:rPr>
              <w:t>22%</w:t>
            </w:r>
          </w:p>
        </w:tc>
        <w:tc>
          <w:tcPr>
            <w:tcW w:w="1219" w:type="dxa"/>
            <w:tcBorders>
              <w:top w:val="single" w:sz="4" w:space="0" w:color="000000"/>
              <w:bottom w:val="single" w:sz="4" w:space="0" w:color="000000"/>
            </w:tcBorders>
          </w:tcPr>
          <w:p>
            <w:pPr>
              <w:pStyle w:val="TableParagraph"/>
              <w:spacing w:line="204" w:lineRule="exact"/>
              <w:ind w:left="427"/>
              <w:rPr>
                <w:sz w:val="18"/>
              </w:rPr>
            </w:pPr>
            <w:r>
              <w:rPr>
                <w:spacing w:val="-10"/>
                <w:sz w:val="18"/>
              </w:rPr>
              <w:t>D</w:t>
            </w:r>
          </w:p>
        </w:tc>
        <w:tc>
          <w:tcPr>
            <w:tcW w:w="1188" w:type="dxa"/>
            <w:tcBorders>
              <w:top w:val="single" w:sz="4" w:space="0" w:color="000000"/>
              <w:bottom w:val="single" w:sz="4" w:space="0" w:color="000000"/>
            </w:tcBorders>
            <w:shd w:val="clear" w:color="auto" w:fill="DBE4F0"/>
          </w:tcPr>
          <w:p>
            <w:pPr>
              <w:pStyle w:val="TableParagraph"/>
              <w:ind w:left="109"/>
              <w:rPr>
                <w:sz w:val="18"/>
              </w:rPr>
            </w:pPr>
            <w:r>
              <w:rPr>
                <w:spacing w:val="-4"/>
                <w:sz w:val="18"/>
              </w:rPr>
              <w:t>Poor </w:t>
            </w:r>
            <w:r>
              <w:rPr>
                <w:spacing w:val="-2"/>
                <w:sz w:val="18"/>
              </w:rPr>
              <w:t>Performance</w:t>
            </w:r>
          </w:p>
        </w:tc>
      </w:tr>
      <w:tr>
        <w:trPr>
          <w:trHeight w:val="1036" w:hRule="atLeast"/>
        </w:trPr>
        <w:tc>
          <w:tcPr>
            <w:tcW w:w="572" w:type="dxa"/>
            <w:tcBorders>
              <w:top w:val="single" w:sz="4" w:space="0" w:color="000000"/>
              <w:bottom w:val="single" w:sz="4" w:space="0" w:color="000000"/>
            </w:tcBorders>
          </w:tcPr>
          <w:p>
            <w:pPr>
              <w:pStyle w:val="TableParagraph"/>
              <w:spacing w:line="202" w:lineRule="exact"/>
              <w:ind w:left="108"/>
              <w:rPr>
                <w:sz w:val="18"/>
              </w:rPr>
            </w:pPr>
            <w:r>
              <w:rPr>
                <w:spacing w:val="-5"/>
                <w:sz w:val="18"/>
              </w:rPr>
              <w:t>10)</w:t>
            </w:r>
          </w:p>
        </w:tc>
        <w:tc>
          <w:tcPr>
            <w:tcW w:w="1948" w:type="dxa"/>
            <w:tcBorders>
              <w:top w:val="single" w:sz="4" w:space="0" w:color="000000"/>
              <w:bottom w:val="single" w:sz="4" w:space="0" w:color="000000"/>
            </w:tcBorders>
          </w:tcPr>
          <w:p>
            <w:pPr>
              <w:pStyle w:val="TableParagraph"/>
              <w:ind w:left="164" w:right="103"/>
              <w:rPr>
                <w:sz w:val="18"/>
              </w:rPr>
            </w:pPr>
            <w:r>
              <w:rPr>
                <w:sz w:val="18"/>
              </w:rPr>
              <w:t>Financial</w:t>
            </w:r>
            <w:r>
              <w:rPr>
                <w:spacing w:val="-12"/>
                <w:sz w:val="18"/>
              </w:rPr>
              <w:t> </w:t>
            </w:r>
            <w:r>
              <w:rPr>
                <w:sz w:val="18"/>
              </w:rPr>
              <w:t>support</w:t>
            </w:r>
            <w:r>
              <w:rPr>
                <w:spacing w:val="-11"/>
                <w:sz w:val="18"/>
              </w:rPr>
              <w:t> </w:t>
            </w:r>
            <w:r>
              <w:rPr>
                <w:sz w:val="18"/>
              </w:rPr>
              <w:t>for the State‘s Housing </w:t>
            </w:r>
            <w:r>
              <w:rPr>
                <w:spacing w:val="-2"/>
                <w:sz w:val="18"/>
              </w:rPr>
              <w:t>Corporation</w:t>
            </w:r>
          </w:p>
        </w:tc>
        <w:tc>
          <w:tcPr>
            <w:tcW w:w="3600" w:type="dxa"/>
            <w:tcBorders>
              <w:top w:val="single" w:sz="4" w:space="0" w:color="000000"/>
              <w:bottom w:val="single" w:sz="4" w:space="0" w:color="000000"/>
            </w:tcBorders>
          </w:tcPr>
          <w:p>
            <w:pPr>
              <w:pStyle w:val="TableParagraph"/>
              <w:ind w:left="108" w:right="105"/>
              <w:jc w:val="both"/>
              <w:rPr>
                <w:sz w:val="18"/>
              </w:rPr>
            </w:pPr>
            <w:r>
              <w:rPr>
                <w:sz w:val="18"/>
              </w:rPr>
              <w:t>62% of the respondents indicated that the Government rarely releases funds to the corporation</w:t>
            </w:r>
            <w:r>
              <w:rPr>
                <w:spacing w:val="8"/>
                <w:sz w:val="18"/>
              </w:rPr>
              <w:t> </w:t>
            </w:r>
            <w:r>
              <w:rPr>
                <w:sz w:val="18"/>
              </w:rPr>
              <w:t>financially,</w:t>
            </w:r>
            <w:r>
              <w:rPr>
                <w:spacing w:val="8"/>
                <w:sz w:val="18"/>
              </w:rPr>
              <w:t> </w:t>
            </w:r>
            <w:r>
              <w:rPr>
                <w:sz w:val="18"/>
              </w:rPr>
              <w:t>despite</w:t>
            </w:r>
            <w:r>
              <w:rPr>
                <w:spacing w:val="7"/>
                <w:sz w:val="18"/>
              </w:rPr>
              <w:t> </w:t>
            </w:r>
            <w:r>
              <w:rPr>
                <w:sz w:val="18"/>
              </w:rPr>
              <w:t>capturing</w:t>
            </w:r>
            <w:r>
              <w:rPr>
                <w:spacing w:val="7"/>
                <w:sz w:val="18"/>
              </w:rPr>
              <w:t> </w:t>
            </w:r>
            <w:r>
              <w:rPr>
                <w:spacing w:val="-4"/>
                <w:sz w:val="18"/>
              </w:rPr>
              <w:t>such</w:t>
            </w:r>
          </w:p>
          <w:p>
            <w:pPr>
              <w:pStyle w:val="TableParagraph"/>
              <w:spacing w:line="206" w:lineRule="exact"/>
              <w:ind w:left="108" w:right="107"/>
              <w:jc w:val="both"/>
              <w:rPr>
                <w:sz w:val="18"/>
              </w:rPr>
            </w:pPr>
            <w:r>
              <w:rPr>
                <w:sz w:val="18"/>
              </w:rPr>
              <w:t>subventions in the annual housing budget. Hence, a difference of 38%</w:t>
            </w:r>
          </w:p>
        </w:tc>
        <w:tc>
          <w:tcPr>
            <w:tcW w:w="941" w:type="dxa"/>
            <w:tcBorders>
              <w:top w:val="single" w:sz="4" w:space="0" w:color="000000"/>
              <w:bottom w:val="single" w:sz="4" w:space="0" w:color="000000"/>
            </w:tcBorders>
          </w:tcPr>
          <w:p>
            <w:pPr>
              <w:pStyle w:val="TableParagraph"/>
              <w:spacing w:line="202" w:lineRule="exact"/>
              <w:ind w:left="108"/>
              <w:rPr>
                <w:sz w:val="18"/>
              </w:rPr>
            </w:pPr>
            <w:r>
              <w:rPr>
                <w:spacing w:val="-5"/>
                <w:sz w:val="18"/>
              </w:rPr>
              <w:t>38%</w:t>
            </w:r>
          </w:p>
        </w:tc>
        <w:tc>
          <w:tcPr>
            <w:tcW w:w="1219" w:type="dxa"/>
            <w:tcBorders>
              <w:top w:val="single" w:sz="4" w:space="0" w:color="000000"/>
              <w:bottom w:val="single" w:sz="4" w:space="0" w:color="000000"/>
            </w:tcBorders>
          </w:tcPr>
          <w:p>
            <w:pPr>
              <w:pStyle w:val="TableParagraph"/>
              <w:spacing w:line="202" w:lineRule="exact"/>
              <w:ind w:left="427"/>
              <w:rPr>
                <w:sz w:val="18"/>
              </w:rPr>
            </w:pPr>
            <w:r>
              <w:rPr>
                <w:spacing w:val="-10"/>
                <w:sz w:val="18"/>
              </w:rPr>
              <w:t>C</w:t>
            </w:r>
          </w:p>
        </w:tc>
        <w:tc>
          <w:tcPr>
            <w:tcW w:w="1188" w:type="dxa"/>
            <w:tcBorders>
              <w:top w:val="single" w:sz="4" w:space="0" w:color="000000"/>
              <w:bottom w:val="single" w:sz="4" w:space="0" w:color="000000"/>
            </w:tcBorders>
            <w:shd w:val="clear" w:color="auto" w:fill="DBE4F0"/>
          </w:tcPr>
          <w:p>
            <w:pPr>
              <w:pStyle w:val="TableParagraph"/>
              <w:spacing w:line="242" w:lineRule="auto"/>
              <w:ind w:left="109"/>
              <w:rPr>
                <w:sz w:val="18"/>
              </w:rPr>
            </w:pPr>
            <w:r>
              <w:rPr>
                <w:spacing w:val="-4"/>
                <w:sz w:val="18"/>
              </w:rPr>
              <w:t>Low </w:t>
            </w:r>
            <w:r>
              <w:rPr>
                <w:spacing w:val="-2"/>
                <w:sz w:val="18"/>
              </w:rPr>
              <w:t>Performance</w:t>
            </w:r>
          </w:p>
        </w:tc>
      </w:tr>
      <w:tr>
        <w:trPr>
          <w:trHeight w:val="413" w:hRule="atLeast"/>
        </w:trPr>
        <w:tc>
          <w:tcPr>
            <w:tcW w:w="2520" w:type="dxa"/>
            <w:gridSpan w:val="2"/>
            <w:tcBorders>
              <w:top w:val="single" w:sz="4" w:space="0" w:color="000000"/>
              <w:bottom w:val="single" w:sz="4" w:space="0" w:color="000000"/>
            </w:tcBorders>
            <w:shd w:val="clear" w:color="auto" w:fill="DBE4F0"/>
          </w:tcPr>
          <w:p>
            <w:pPr>
              <w:pStyle w:val="TableParagraph"/>
              <w:spacing w:line="202" w:lineRule="exact"/>
              <w:ind w:left="108"/>
              <w:rPr>
                <w:sz w:val="18"/>
              </w:rPr>
            </w:pPr>
            <w:r>
              <w:rPr>
                <w:sz w:val="18"/>
              </w:rPr>
              <w:t>11)The</w:t>
            </w:r>
            <w:r>
              <w:rPr>
                <w:spacing w:val="-2"/>
                <w:sz w:val="18"/>
              </w:rPr>
              <w:t> </w:t>
            </w:r>
            <w:r>
              <w:rPr>
                <w:sz w:val="18"/>
              </w:rPr>
              <w:t>Quantity</w:t>
            </w:r>
            <w:r>
              <w:rPr>
                <w:spacing w:val="-4"/>
                <w:sz w:val="18"/>
              </w:rPr>
              <w:t> </w:t>
            </w:r>
            <w:r>
              <w:rPr>
                <w:spacing w:val="-2"/>
                <w:sz w:val="18"/>
              </w:rPr>
              <w:t>Surveyor‘s</w:t>
            </w:r>
          </w:p>
          <w:p>
            <w:pPr>
              <w:pStyle w:val="TableParagraph"/>
              <w:spacing w:line="191" w:lineRule="exact"/>
              <w:ind w:left="108"/>
              <w:rPr>
                <w:sz w:val="18"/>
              </w:rPr>
            </w:pPr>
            <w:r>
              <w:rPr>
                <w:spacing w:val="-2"/>
                <w:sz w:val="18"/>
              </w:rPr>
              <w:t>involvement</w:t>
            </w:r>
          </w:p>
        </w:tc>
        <w:tc>
          <w:tcPr>
            <w:tcW w:w="6948" w:type="dxa"/>
            <w:gridSpan w:val="4"/>
            <w:tcBorders>
              <w:top w:val="single" w:sz="4" w:space="0" w:color="000000"/>
              <w:bottom w:val="single" w:sz="4" w:space="0" w:color="000000"/>
            </w:tcBorders>
          </w:tcPr>
          <w:p>
            <w:pPr>
              <w:pStyle w:val="TableParagraph"/>
              <w:rPr>
                <w:sz w:val="18"/>
              </w:rPr>
            </w:pPr>
          </w:p>
        </w:tc>
      </w:tr>
      <w:tr>
        <w:trPr>
          <w:trHeight w:val="723" w:hRule="atLeast"/>
        </w:trPr>
        <w:tc>
          <w:tcPr>
            <w:tcW w:w="572" w:type="dxa"/>
            <w:tcBorders>
              <w:top w:val="single" w:sz="4" w:space="0" w:color="000000"/>
            </w:tcBorders>
          </w:tcPr>
          <w:p>
            <w:pPr>
              <w:pStyle w:val="TableParagraph"/>
              <w:spacing w:line="202" w:lineRule="exact"/>
              <w:ind w:left="108"/>
              <w:rPr>
                <w:sz w:val="18"/>
              </w:rPr>
            </w:pPr>
            <w:r>
              <w:rPr>
                <w:spacing w:val="-5"/>
                <w:sz w:val="18"/>
              </w:rPr>
              <w:t>i)</w:t>
            </w:r>
          </w:p>
        </w:tc>
        <w:tc>
          <w:tcPr>
            <w:tcW w:w="1948" w:type="dxa"/>
            <w:tcBorders>
              <w:top w:val="single" w:sz="4" w:space="0" w:color="000000"/>
            </w:tcBorders>
          </w:tcPr>
          <w:p>
            <w:pPr>
              <w:pStyle w:val="TableParagraph"/>
              <w:spacing w:line="202" w:lineRule="exact"/>
              <w:ind w:left="164"/>
              <w:rPr>
                <w:sz w:val="18"/>
              </w:rPr>
            </w:pPr>
            <w:r>
              <w:rPr>
                <w:sz w:val="18"/>
              </w:rPr>
              <w:t>Involvement</w:t>
            </w:r>
            <w:r>
              <w:rPr>
                <w:spacing w:val="-4"/>
                <w:sz w:val="18"/>
              </w:rPr>
              <w:t> </w:t>
            </w:r>
            <w:r>
              <w:rPr>
                <w:sz w:val="18"/>
              </w:rPr>
              <w:t>of</w:t>
            </w:r>
            <w:r>
              <w:rPr>
                <w:spacing w:val="-2"/>
                <w:sz w:val="18"/>
              </w:rPr>
              <w:t> </w:t>
            </w:r>
            <w:r>
              <w:rPr>
                <w:spacing w:val="-5"/>
                <w:sz w:val="18"/>
              </w:rPr>
              <w:t>the</w:t>
            </w:r>
          </w:p>
          <w:p>
            <w:pPr>
              <w:pStyle w:val="TableParagraph"/>
              <w:spacing w:before="2"/>
              <w:ind w:left="164" w:right="272"/>
              <w:rPr>
                <w:sz w:val="18"/>
              </w:rPr>
            </w:pPr>
            <w:r>
              <w:rPr>
                <w:sz w:val="18"/>
              </w:rPr>
              <w:t>Q.S</w:t>
            </w:r>
            <w:r>
              <w:rPr>
                <w:spacing w:val="-12"/>
                <w:sz w:val="18"/>
              </w:rPr>
              <w:t> </w:t>
            </w:r>
            <w:r>
              <w:rPr>
                <w:sz w:val="18"/>
              </w:rPr>
              <w:t>in</w:t>
            </w:r>
            <w:r>
              <w:rPr>
                <w:spacing w:val="-11"/>
                <w:sz w:val="18"/>
              </w:rPr>
              <w:t> </w:t>
            </w:r>
            <w:r>
              <w:rPr>
                <w:sz w:val="18"/>
              </w:rPr>
              <w:t>the</w:t>
            </w:r>
            <w:r>
              <w:rPr>
                <w:spacing w:val="-11"/>
                <w:sz w:val="18"/>
              </w:rPr>
              <w:t> </w:t>
            </w:r>
            <w:r>
              <w:rPr>
                <w:sz w:val="18"/>
              </w:rPr>
              <w:t>housing budget process</w:t>
            </w:r>
          </w:p>
        </w:tc>
        <w:tc>
          <w:tcPr>
            <w:tcW w:w="3600" w:type="dxa"/>
            <w:tcBorders>
              <w:top w:val="single" w:sz="4" w:space="0" w:color="000000"/>
            </w:tcBorders>
          </w:tcPr>
          <w:p>
            <w:pPr>
              <w:pStyle w:val="TableParagraph"/>
              <w:ind w:left="108" w:right="105"/>
              <w:jc w:val="both"/>
              <w:rPr>
                <w:sz w:val="18"/>
              </w:rPr>
            </w:pPr>
            <w:r>
              <w:rPr>
                <w:sz w:val="18"/>
              </w:rPr>
              <w:t>From the questionnaire distribution, only 26 out of the 170 respondents are Quantity Surveyors. Hence, a 15% involvement</w:t>
            </w:r>
          </w:p>
        </w:tc>
        <w:tc>
          <w:tcPr>
            <w:tcW w:w="941" w:type="dxa"/>
            <w:tcBorders>
              <w:top w:val="single" w:sz="4" w:space="0" w:color="000000"/>
            </w:tcBorders>
          </w:tcPr>
          <w:p>
            <w:pPr>
              <w:pStyle w:val="TableParagraph"/>
              <w:spacing w:line="202" w:lineRule="exact"/>
              <w:ind w:left="108"/>
              <w:rPr>
                <w:sz w:val="18"/>
              </w:rPr>
            </w:pPr>
            <w:r>
              <w:rPr>
                <w:spacing w:val="-5"/>
                <w:sz w:val="18"/>
              </w:rPr>
              <w:t>15%</w:t>
            </w:r>
          </w:p>
        </w:tc>
        <w:tc>
          <w:tcPr>
            <w:tcW w:w="1219" w:type="dxa"/>
            <w:tcBorders>
              <w:top w:val="single" w:sz="4" w:space="0" w:color="000000"/>
            </w:tcBorders>
          </w:tcPr>
          <w:p>
            <w:pPr>
              <w:pStyle w:val="TableParagraph"/>
              <w:spacing w:line="202" w:lineRule="exact"/>
              <w:ind w:left="427"/>
              <w:rPr>
                <w:sz w:val="18"/>
              </w:rPr>
            </w:pPr>
            <w:r>
              <w:rPr>
                <w:spacing w:val="-10"/>
                <w:sz w:val="18"/>
              </w:rPr>
              <w:t>D</w:t>
            </w:r>
          </w:p>
        </w:tc>
        <w:tc>
          <w:tcPr>
            <w:tcW w:w="1188" w:type="dxa"/>
            <w:tcBorders>
              <w:top w:val="single" w:sz="4" w:space="0" w:color="000000"/>
            </w:tcBorders>
            <w:shd w:val="clear" w:color="auto" w:fill="DBE4F0"/>
          </w:tcPr>
          <w:p>
            <w:pPr>
              <w:pStyle w:val="TableParagraph"/>
              <w:spacing w:line="242" w:lineRule="auto"/>
              <w:ind w:left="109"/>
              <w:rPr>
                <w:sz w:val="18"/>
              </w:rPr>
            </w:pPr>
            <w:r>
              <w:rPr>
                <w:spacing w:val="-4"/>
                <w:sz w:val="18"/>
              </w:rPr>
              <w:t>Poor </w:t>
            </w:r>
            <w:r>
              <w:rPr>
                <w:spacing w:val="-2"/>
                <w:sz w:val="18"/>
              </w:rPr>
              <w:t>Performance</w:t>
            </w:r>
          </w:p>
        </w:tc>
      </w:tr>
      <w:tr>
        <w:trPr>
          <w:trHeight w:val="1034" w:hRule="atLeast"/>
        </w:trPr>
        <w:tc>
          <w:tcPr>
            <w:tcW w:w="572" w:type="dxa"/>
            <w:tcBorders>
              <w:bottom w:val="single" w:sz="4" w:space="0" w:color="000000"/>
            </w:tcBorders>
          </w:tcPr>
          <w:p>
            <w:pPr>
              <w:pStyle w:val="TableParagraph"/>
              <w:spacing w:before="99"/>
              <w:ind w:left="108"/>
              <w:rPr>
                <w:sz w:val="18"/>
              </w:rPr>
            </w:pPr>
            <w:r>
              <w:rPr>
                <w:spacing w:val="-5"/>
                <w:sz w:val="18"/>
              </w:rPr>
              <w:t>ii)</w:t>
            </w:r>
          </w:p>
        </w:tc>
        <w:tc>
          <w:tcPr>
            <w:tcW w:w="1948" w:type="dxa"/>
            <w:tcBorders>
              <w:bottom w:val="single" w:sz="4" w:space="0" w:color="000000"/>
            </w:tcBorders>
          </w:tcPr>
          <w:p>
            <w:pPr>
              <w:pStyle w:val="TableParagraph"/>
              <w:spacing w:before="99"/>
              <w:ind w:left="164" w:right="103"/>
              <w:rPr>
                <w:sz w:val="18"/>
              </w:rPr>
            </w:pPr>
            <w:r>
              <w:rPr>
                <w:sz w:val="18"/>
              </w:rPr>
              <w:t>Capabilities</w:t>
            </w:r>
            <w:r>
              <w:rPr>
                <w:spacing w:val="-12"/>
                <w:sz w:val="18"/>
              </w:rPr>
              <w:t> </w:t>
            </w:r>
            <w:r>
              <w:rPr>
                <w:sz w:val="18"/>
              </w:rPr>
              <w:t>of</w:t>
            </w:r>
            <w:r>
              <w:rPr>
                <w:spacing w:val="-11"/>
                <w:sz w:val="18"/>
              </w:rPr>
              <w:t> </w:t>
            </w:r>
            <w:r>
              <w:rPr>
                <w:sz w:val="18"/>
              </w:rPr>
              <w:t>the</w:t>
            </w:r>
            <w:r>
              <w:rPr>
                <w:spacing w:val="-11"/>
                <w:sz w:val="18"/>
              </w:rPr>
              <w:t> </w:t>
            </w:r>
            <w:r>
              <w:rPr>
                <w:sz w:val="18"/>
              </w:rPr>
              <w:t>QS to make an impact on the housing budget </w:t>
            </w:r>
            <w:r>
              <w:rPr>
                <w:spacing w:val="-2"/>
                <w:sz w:val="18"/>
              </w:rPr>
              <w:t>process</w:t>
            </w:r>
          </w:p>
        </w:tc>
        <w:tc>
          <w:tcPr>
            <w:tcW w:w="3600" w:type="dxa"/>
            <w:tcBorders>
              <w:bottom w:val="single" w:sz="4" w:space="0" w:color="000000"/>
            </w:tcBorders>
          </w:tcPr>
          <w:p>
            <w:pPr>
              <w:pStyle w:val="TableParagraph"/>
              <w:spacing w:before="99"/>
              <w:ind w:left="108" w:right="105"/>
              <w:jc w:val="both"/>
              <w:rPr>
                <w:sz w:val="18"/>
              </w:rPr>
            </w:pPr>
            <w:r>
              <w:rPr>
                <w:sz w:val="18"/>
              </w:rPr>
              <w:t>40% of the respondents are of the opinion that the QS is capable or equipped to create the desired impact on the entire housing budget </w:t>
            </w:r>
            <w:r>
              <w:rPr>
                <w:spacing w:val="-2"/>
                <w:sz w:val="18"/>
              </w:rPr>
              <w:t>process</w:t>
            </w:r>
          </w:p>
        </w:tc>
        <w:tc>
          <w:tcPr>
            <w:tcW w:w="941" w:type="dxa"/>
            <w:tcBorders>
              <w:bottom w:val="single" w:sz="4" w:space="0" w:color="000000"/>
            </w:tcBorders>
          </w:tcPr>
          <w:p>
            <w:pPr>
              <w:pStyle w:val="TableParagraph"/>
              <w:spacing w:before="99"/>
              <w:ind w:left="108"/>
              <w:rPr>
                <w:sz w:val="18"/>
              </w:rPr>
            </w:pPr>
            <w:r>
              <w:rPr>
                <w:spacing w:val="-5"/>
                <w:sz w:val="18"/>
              </w:rPr>
              <w:t>40%</w:t>
            </w:r>
          </w:p>
        </w:tc>
        <w:tc>
          <w:tcPr>
            <w:tcW w:w="1219" w:type="dxa"/>
            <w:tcBorders>
              <w:bottom w:val="single" w:sz="4" w:space="0" w:color="000000"/>
            </w:tcBorders>
          </w:tcPr>
          <w:p>
            <w:pPr>
              <w:pStyle w:val="TableParagraph"/>
              <w:rPr>
                <w:sz w:val="18"/>
              </w:rPr>
            </w:pPr>
          </w:p>
        </w:tc>
        <w:tc>
          <w:tcPr>
            <w:tcW w:w="1188" w:type="dxa"/>
            <w:tcBorders>
              <w:bottom w:val="single" w:sz="4" w:space="0" w:color="000000"/>
            </w:tcBorders>
            <w:shd w:val="clear" w:color="auto" w:fill="DBE4F0"/>
          </w:tcPr>
          <w:p>
            <w:pPr>
              <w:pStyle w:val="TableParagraph"/>
              <w:rPr>
                <w:sz w:val="18"/>
              </w:rPr>
            </w:pPr>
          </w:p>
        </w:tc>
      </w:tr>
      <w:tr>
        <w:trPr>
          <w:trHeight w:val="414" w:hRule="atLeast"/>
        </w:trPr>
        <w:tc>
          <w:tcPr>
            <w:tcW w:w="572" w:type="dxa"/>
            <w:tcBorders>
              <w:top w:val="single" w:sz="4" w:space="0" w:color="000000"/>
              <w:bottom w:val="single" w:sz="4" w:space="0" w:color="000000"/>
            </w:tcBorders>
          </w:tcPr>
          <w:p>
            <w:pPr>
              <w:pStyle w:val="TableParagraph"/>
              <w:rPr>
                <w:sz w:val="18"/>
              </w:rPr>
            </w:pPr>
          </w:p>
        </w:tc>
        <w:tc>
          <w:tcPr>
            <w:tcW w:w="1948" w:type="dxa"/>
            <w:tcBorders>
              <w:top w:val="single" w:sz="4" w:space="0" w:color="000000"/>
              <w:bottom w:val="single" w:sz="4" w:space="0" w:color="000000"/>
            </w:tcBorders>
          </w:tcPr>
          <w:p>
            <w:pPr>
              <w:pStyle w:val="TableParagraph"/>
              <w:rPr>
                <w:sz w:val="18"/>
              </w:rPr>
            </w:pPr>
          </w:p>
        </w:tc>
        <w:tc>
          <w:tcPr>
            <w:tcW w:w="3600" w:type="dxa"/>
            <w:tcBorders>
              <w:top w:val="single" w:sz="4" w:space="0" w:color="000000"/>
              <w:bottom w:val="single" w:sz="4" w:space="0" w:color="000000"/>
            </w:tcBorders>
          </w:tcPr>
          <w:p>
            <w:pPr>
              <w:pStyle w:val="TableParagraph"/>
              <w:spacing w:line="204" w:lineRule="exact"/>
              <w:ind w:right="106"/>
              <w:jc w:val="right"/>
              <w:rPr>
                <w:sz w:val="18"/>
              </w:rPr>
            </w:pPr>
            <w:r>
              <w:rPr>
                <w:sz w:val="18"/>
              </w:rPr>
              <w:t>Average</w:t>
            </w:r>
            <w:r>
              <w:rPr>
                <w:spacing w:val="-6"/>
                <w:sz w:val="18"/>
              </w:rPr>
              <w:t> </w:t>
            </w:r>
            <w:r>
              <w:rPr>
                <w:sz w:val="18"/>
              </w:rPr>
              <w:t>QS</w:t>
            </w:r>
            <w:r>
              <w:rPr>
                <w:spacing w:val="-3"/>
                <w:sz w:val="18"/>
              </w:rPr>
              <w:t> </w:t>
            </w:r>
            <w:r>
              <w:rPr>
                <w:sz w:val="18"/>
              </w:rPr>
              <w:t>involvement</w:t>
            </w:r>
            <w:r>
              <w:rPr>
                <w:spacing w:val="-2"/>
                <w:sz w:val="18"/>
              </w:rPr>
              <w:t> </w:t>
            </w:r>
            <w:r>
              <w:rPr>
                <w:spacing w:val="-4"/>
                <w:sz w:val="18"/>
              </w:rPr>
              <w:t>score</w:t>
            </w:r>
          </w:p>
        </w:tc>
        <w:tc>
          <w:tcPr>
            <w:tcW w:w="941" w:type="dxa"/>
            <w:tcBorders>
              <w:top w:val="single" w:sz="4" w:space="0" w:color="000000"/>
              <w:bottom w:val="single" w:sz="4" w:space="0" w:color="000000"/>
            </w:tcBorders>
          </w:tcPr>
          <w:p>
            <w:pPr>
              <w:pStyle w:val="TableParagraph"/>
              <w:spacing w:line="204" w:lineRule="exact"/>
              <w:ind w:left="108"/>
              <w:rPr>
                <w:sz w:val="18"/>
              </w:rPr>
            </w:pPr>
            <w:r>
              <w:rPr>
                <w:spacing w:val="-5"/>
                <w:sz w:val="18"/>
              </w:rPr>
              <w:t>35%</w:t>
            </w:r>
          </w:p>
        </w:tc>
        <w:tc>
          <w:tcPr>
            <w:tcW w:w="1219" w:type="dxa"/>
            <w:tcBorders>
              <w:top w:val="single" w:sz="4" w:space="0" w:color="000000"/>
              <w:bottom w:val="single" w:sz="4" w:space="0" w:color="000000"/>
            </w:tcBorders>
          </w:tcPr>
          <w:p>
            <w:pPr>
              <w:pStyle w:val="TableParagraph"/>
              <w:spacing w:line="204" w:lineRule="exact"/>
              <w:ind w:left="427"/>
              <w:rPr>
                <w:sz w:val="18"/>
              </w:rPr>
            </w:pPr>
            <w:r>
              <w:rPr>
                <w:spacing w:val="-10"/>
                <w:sz w:val="18"/>
              </w:rPr>
              <w:t>C</w:t>
            </w:r>
          </w:p>
        </w:tc>
        <w:tc>
          <w:tcPr>
            <w:tcW w:w="1188" w:type="dxa"/>
            <w:tcBorders>
              <w:top w:val="single" w:sz="4" w:space="0" w:color="000000"/>
              <w:bottom w:val="single" w:sz="4" w:space="0" w:color="000000"/>
            </w:tcBorders>
            <w:shd w:val="clear" w:color="auto" w:fill="DBE4F0"/>
          </w:tcPr>
          <w:p>
            <w:pPr>
              <w:pStyle w:val="TableParagraph"/>
              <w:spacing w:line="206" w:lineRule="exact"/>
              <w:ind w:left="109"/>
              <w:rPr>
                <w:sz w:val="18"/>
              </w:rPr>
            </w:pPr>
            <w:r>
              <w:rPr>
                <w:spacing w:val="-4"/>
                <w:sz w:val="18"/>
              </w:rPr>
              <w:t>Low </w:t>
            </w:r>
            <w:r>
              <w:rPr>
                <w:spacing w:val="-2"/>
                <w:sz w:val="18"/>
              </w:rPr>
              <w:t>Performance</w:t>
            </w:r>
          </w:p>
        </w:tc>
      </w:tr>
    </w:tbl>
    <w:p>
      <w:pPr>
        <w:spacing w:after="0" w:line="206" w:lineRule="exact"/>
        <w:rPr>
          <w:sz w:val="18"/>
        </w:rPr>
        <w:sectPr>
          <w:pgSz w:w="12240" w:h="15840"/>
          <w:pgMar w:header="0" w:footer="1036" w:top="1420" w:bottom="1498" w:left="1320" w:right="32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4"/>
        <w:gridCol w:w="1976"/>
        <w:gridCol w:w="3601"/>
        <w:gridCol w:w="1017"/>
        <w:gridCol w:w="1144"/>
        <w:gridCol w:w="1188"/>
      </w:tblGrid>
      <w:tr>
        <w:trPr>
          <w:trHeight w:val="345" w:hRule="atLeast"/>
        </w:trPr>
        <w:tc>
          <w:tcPr>
            <w:tcW w:w="6121" w:type="dxa"/>
            <w:gridSpan w:val="3"/>
            <w:tcBorders>
              <w:top w:val="single" w:sz="4" w:space="0" w:color="000000"/>
              <w:bottom w:val="single" w:sz="4" w:space="0" w:color="000000"/>
            </w:tcBorders>
            <w:shd w:val="clear" w:color="auto" w:fill="DBE4F0"/>
          </w:tcPr>
          <w:p>
            <w:pPr>
              <w:pStyle w:val="TableParagraph"/>
              <w:spacing w:line="228" w:lineRule="exact"/>
              <w:ind w:left="108"/>
              <w:rPr>
                <w:b/>
                <w:sz w:val="20"/>
              </w:rPr>
            </w:pPr>
            <w:r>
              <w:rPr>
                <w:b/>
                <w:sz w:val="20"/>
              </w:rPr>
              <w:t>B.</w:t>
            </w:r>
            <w:r>
              <w:rPr>
                <w:b/>
                <w:spacing w:val="-4"/>
                <w:sz w:val="20"/>
              </w:rPr>
              <w:t> </w:t>
            </w:r>
            <w:r>
              <w:rPr>
                <w:b/>
                <w:sz w:val="20"/>
              </w:rPr>
              <w:t>Analysis</w:t>
            </w:r>
            <w:r>
              <w:rPr>
                <w:b/>
                <w:spacing w:val="-5"/>
                <w:sz w:val="20"/>
              </w:rPr>
              <w:t> </w:t>
            </w:r>
            <w:r>
              <w:rPr>
                <w:b/>
                <w:sz w:val="20"/>
              </w:rPr>
              <w:t>of</w:t>
            </w:r>
            <w:r>
              <w:rPr>
                <w:b/>
                <w:spacing w:val="-3"/>
                <w:sz w:val="20"/>
              </w:rPr>
              <w:t> </w:t>
            </w:r>
            <w:r>
              <w:rPr>
                <w:b/>
                <w:sz w:val="20"/>
              </w:rPr>
              <w:t>the</w:t>
            </w:r>
            <w:r>
              <w:rPr>
                <w:b/>
                <w:spacing w:val="-4"/>
                <w:sz w:val="20"/>
              </w:rPr>
              <w:t> </w:t>
            </w:r>
            <w:r>
              <w:rPr>
                <w:b/>
                <w:sz w:val="20"/>
              </w:rPr>
              <w:t>annual</w:t>
            </w:r>
            <w:r>
              <w:rPr>
                <w:b/>
                <w:spacing w:val="-5"/>
                <w:sz w:val="20"/>
              </w:rPr>
              <w:t> </w:t>
            </w:r>
            <w:r>
              <w:rPr>
                <w:b/>
                <w:spacing w:val="-2"/>
                <w:sz w:val="20"/>
              </w:rPr>
              <w:t>budget</w:t>
            </w:r>
          </w:p>
        </w:tc>
        <w:tc>
          <w:tcPr>
            <w:tcW w:w="3349" w:type="dxa"/>
            <w:gridSpan w:val="3"/>
            <w:tcBorders>
              <w:top w:val="single" w:sz="4" w:space="0" w:color="000000"/>
              <w:bottom w:val="single" w:sz="4" w:space="0" w:color="000000"/>
            </w:tcBorders>
          </w:tcPr>
          <w:p>
            <w:pPr>
              <w:pStyle w:val="TableParagraph"/>
              <w:rPr>
                <w:sz w:val="20"/>
              </w:rPr>
            </w:pPr>
          </w:p>
        </w:tc>
      </w:tr>
      <w:tr>
        <w:trPr>
          <w:trHeight w:val="621" w:hRule="atLeast"/>
        </w:trPr>
        <w:tc>
          <w:tcPr>
            <w:tcW w:w="544" w:type="dxa"/>
            <w:tcBorders>
              <w:top w:val="single" w:sz="4" w:space="0" w:color="000000"/>
              <w:bottom w:val="single" w:sz="4" w:space="0" w:color="000000"/>
            </w:tcBorders>
          </w:tcPr>
          <w:p>
            <w:pPr>
              <w:pStyle w:val="TableParagraph"/>
              <w:spacing w:line="202" w:lineRule="exact"/>
              <w:ind w:left="108"/>
              <w:rPr>
                <w:sz w:val="18"/>
              </w:rPr>
            </w:pPr>
            <w:r>
              <w:rPr>
                <w:spacing w:val="-5"/>
                <w:sz w:val="18"/>
              </w:rPr>
              <w:t>12)</w:t>
            </w:r>
          </w:p>
        </w:tc>
        <w:tc>
          <w:tcPr>
            <w:tcW w:w="1976" w:type="dxa"/>
            <w:tcBorders>
              <w:top w:val="single" w:sz="4" w:space="0" w:color="000000"/>
              <w:bottom w:val="single" w:sz="4" w:space="0" w:color="000000"/>
            </w:tcBorders>
          </w:tcPr>
          <w:p>
            <w:pPr>
              <w:pStyle w:val="TableParagraph"/>
              <w:ind w:left="192"/>
              <w:rPr>
                <w:sz w:val="18"/>
              </w:rPr>
            </w:pPr>
            <w:r>
              <w:rPr>
                <w:sz w:val="18"/>
              </w:rPr>
              <w:t>Percentage</w:t>
            </w:r>
            <w:r>
              <w:rPr>
                <w:spacing w:val="80"/>
                <w:sz w:val="18"/>
              </w:rPr>
              <w:t> </w:t>
            </w:r>
            <w:r>
              <w:rPr>
                <w:sz w:val="18"/>
              </w:rPr>
              <w:t>budgetary allocation to housing</w:t>
            </w:r>
          </w:p>
        </w:tc>
        <w:tc>
          <w:tcPr>
            <w:tcW w:w="3601" w:type="dxa"/>
            <w:tcBorders>
              <w:top w:val="single" w:sz="4" w:space="0" w:color="000000"/>
              <w:bottom w:val="single" w:sz="4" w:space="0" w:color="000000"/>
            </w:tcBorders>
          </w:tcPr>
          <w:p>
            <w:pPr>
              <w:pStyle w:val="TableParagraph"/>
              <w:ind w:left="108"/>
              <w:rPr>
                <w:sz w:val="18"/>
              </w:rPr>
            </w:pPr>
            <w:r>
              <w:rPr>
                <w:sz w:val="18"/>
              </w:rPr>
              <w:t>Results</w:t>
            </w:r>
            <w:r>
              <w:rPr>
                <w:spacing w:val="25"/>
                <w:sz w:val="18"/>
              </w:rPr>
              <w:t> </w:t>
            </w:r>
            <w:r>
              <w:rPr>
                <w:sz w:val="18"/>
              </w:rPr>
              <w:t>of</w:t>
            </w:r>
            <w:r>
              <w:rPr>
                <w:spacing w:val="23"/>
                <w:sz w:val="18"/>
              </w:rPr>
              <w:t> </w:t>
            </w:r>
            <w:r>
              <w:rPr>
                <w:sz w:val="18"/>
              </w:rPr>
              <w:t>the</w:t>
            </w:r>
            <w:r>
              <w:rPr>
                <w:spacing w:val="24"/>
                <w:sz w:val="18"/>
              </w:rPr>
              <w:t> </w:t>
            </w:r>
            <w:r>
              <w:rPr>
                <w:sz w:val="18"/>
              </w:rPr>
              <w:t>analysis</w:t>
            </w:r>
            <w:r>
              <w:rPr>
                <w:spacing w:val="25"/>
                <w:sz w:val="18"/>
              </w:rPr>
              <w:t> </w:t>
            </w:r>
            <w:r>
              <w:rPr>
                <w:sz w:val="18"/>
              </w:rPr>
              <w:t>revealed</w:t>
            </w:r>
            <w:r>
              <w:rPr>
                <w:spacing w:val="27"/>
                <w:sz w:val="18"/>
              </w:rPr>
              <w:t> </w:t>
            </w:r>
            <w:r>
              <w:rPr>
                <w:sz w:val="18"/>
              </w:rPr>
              <w:t>that</w:t>
            </w:r>
            <w:r>
              <w:rPr>
                <w:spacing w:val="23"/>
                <w:sz w:val="18"/>
              </w:rPr>
              <w:t> </w:t>
            </w:r>
            <w:r>
              <w:rPr>
                <w:sz w:val="18"/>
              </w:rPr>
              <w:t>housing receives an average</w:t>
            </w:r>
            <w:r>
              <w:rPr>
                <w:spacing w:val="1"/>
                <w:sz w:val="18"/>
              </w:rPr>
              <w:t> </w:t>
            </w:r>
            <w:r>
              <w:rPr>
                <w:sz w:val="18"/>
              </w:rPr>
              <w:t>of</w:t>
            </w:r>
            <w:r>
              <w:rPr>
                <w:spacing w:val="-2"/>
                <w:sz w:val="18"/>
              </w:rPr>
              <w:t> </w:t>
            </w:r>
            <w:r>
              <w:rPr>
                <w:sz w:val="18"/>
              </w:rPr>
              <w:t>8.5%</w:t>
            </w:r>
            <w:r>
              <w:rPr>
                <w:spacing w:val="-1"/>
                <w:sz w:val="18"/>
              </w:rPr>
              <w:t> </w:t>
            </w:r>
            <w:r>
              <w:rPr>
                <w:sz w:val="18"/>
              </w:rPr>
              <w:t>of the</w:t>
            </w:r>
            <w:r>
              <w:rPr>
                <w:spacing w:val="-1"/>
                <w:sz w:val="18"/>
              </w:rPr>
              <w:t> </w:t>
            </w:r>
            <w:r>
              <w:rPr>
                <w:sz w:val="18"/>
              </w:rPr>
              <w:t>total </w:t>
            </w:r>
            <w:r>
              <w:rPr>
                <w:spacing w:val="-2"/>
                <w:sz w:val="18"/>
              </w:rPr>
              <w:t>annual</w:t>
            </w:r>
          </w:p>
          <w:p>
            <w:pPr>
              <w:pStyle w:val="TableParagraph"/>
              <w:spacing w:line="191" w:lineRule="exact"/>
              <w:ind w:left="108"/>
              <w:rPr>
                <w:sz w:val="18"/>
              </w:rPr>
            </w:pPr>
            <w:r>
              <w:rPr>
                <w:sz w:val="18"/>
              </w:rPr>
              <w:t>capital</w:t>
            </w:r>
            <w:r>
              <w:rPr>
                <w:spacing w:val="-1"/>
                <w:sz w:val="18"/>
              </w:rPr>
              <w:t> </w:t>
            </w:r>
            <w:r>
              <w:rPr>
                <w:spacing w:val="-2"/>
                <w:sz w:val="18"/>
              </w:rPr>
              <w:t>budget</w:t>
            </w:r>
          </w:p>
        </w:tc>
        <w:tc>
          <w:tcPr>
            <w:tcW w:w="1017" w:type="dxa"/>
            <w:tcBorders>
              <w:top w:val="single" w:sz="4" w:space="0" w:color="000000"/>
              <w:bottom w:val="single" w:sz="4" w:space="0" w:color="000000"/>
            </w:tcBorders>
          </w:tcPr>
          <w:p>
            <w:pPr>
              <w:pStyle w:val="TableParagraph"/>
              <w:spacing w:line="202" w:lineRule="exact"/>
              <w:ind w:left="107"/>
              <w:rPr>
                <w:sz w:val="18"/>
              </w:rPr>
            </w:pPr>
            <w:r>
              <w:rPr>
                <w:spacing w:val="-2"/>
                <w:sz w:val="18"/>
              </w:rPr>
              <w:t>8.50%</w:t>
            </w:r>
          </w:p>
        </w:tc>
        <w:tc>
          <w:tcPr>
            <w:tcW w:w="1144" w:type="dxa"/>
            <w:tcBorders>
              <w:top w:val="single" w:sz="4" w:space="0" w:color="000000"/>
              <w:bottom w:val="single" w:sz="4" w:space="0" w:color="000000"/>
            </w:tcBorders>
          </w:tcPr>
          <w:p>
            <w:pPr>
              <w:pStyle w:val="TableParagraph"/>
              <w:spacing w:line="202" w:lineRule="exact"/>
              <w:ind w:left="350"/>
              <w:rPr>
                <w:sz w:val="18"/>
              </w:rPr>
            </w:pPr>
            <w:r>
              <w:rPr>
                <w:spacing w:val="-10"/>
                <w:sz w:val="18"/>
              </w:rPr>
              <w:t>D</w:t>
            </w:r>
          </w:p>
        </w:tc>
        <w:tc>
          <w:tcPr>
            <w:tcW w:w="1188" w:type="dxa"/>
            <w:tcBorders>
              <w:top w:val="single" w:sz="4" w:space="0" w:color="000000"/>
              <w:bottom w:val="single" w:sz="4" w:space="0" w:color="000000"/>
            </w:tcBorders>
            <w:shd w:val="clear" w:color="auto" w:fill="DBE4F0"/>
          </w:tcPr>
          <w:p>
            <w:pPr>
              <w:pStyle w:val="TableParagraph"/>
              <w:ind w:left="107"/>
              <w:rPr>
                <w:sz w:val="18"/>
              </w:rPr>
            </w:pPr>
            <w:r>
              <w:rPr>
                <w:spacing w:val="-4"/>
                <w:sz w:val="18"/>
              </w:rPr>
              <w:t>Poor </w:t>
            </w:r>
            <w:r>
              <w:rPr>
                <w:spacing w:val="-2"/>
                <w:sz w:val="18"/>
              </w:rPr>
              <w:t>Performance</w:t>
            </w:r>
          </w:p>
        </w:tc>
      </w:tr>
      <w:tr>
        <w:trPr>
          <w:trHeight w:val="1033" w:hRule="atLeast"/>
        </w:trPr>
        <w:tc>
          <w:tcPr>
            <w:tcW w:w="544" w:type="dxa"/>
            <w:tcBorders>
              <w:top w:val="single" w:sz="4" w:space="0" w:color="000000"/>
              <w:bottom w:val="single" w:sz="4" w:space="0" w:color="000000"/>
            </w:tcBorders>
          </w:tcPr>
          <w:p>
            <w:pPr>
              <w:pStyle w:val="TableParagraph"/>
              <w:spacing w:line="202" w:lineRule="exact"/>
              <w:ind w:left="108"/>
              <w:rPr>
                <w:sz w:val="18"/>
              </w:rPr>
            </w:pPr>
            <w:r>
              <w:rPr>
                <w:spacing w:val="-5"/>
                <w:sz w:val="18"/>
              </w:rPr>
              <w:t>13)</w:t>
            </w:r>
          </w:p>
        </w:tc>
        <w:tc>
          <w:tcPr>
            <w:tcW w:w="1976" w:type="dxa"/>
            <w:tcBorders>
              <w:top w:val="single" w:sz="4" w:space="0" w:color="000000"/>
              <w:bottom w:val="single" w:sz="4" w:space="0" w:color="000000"/>
            </w:tcBorders>
          </w:tcPr>
          <w:p>
            <w:pPr>
              <w:pStyle w:val="TableParagraph"/>
              <w:ind w:left="192"/>
              <w:rPr>
                <w:sz w:val="18"/>
              </w:rPr>
            </w:pPr>
            <w:r>
              <w:rPr>
                <w:sz w:val="18"/>
              </w:rPr>
              <w:t>Variance between the annual</w:t>
            </w:r>
            <w:r>
              <w:rPr>
                <w:spacing w:val="-12"/>
                <w:sz w:val="18"/>
              </w:rPr>
              <w:t> </w:t>
            </w:r>
            <w:r>
              <w:rPr>
                <w:sz w:val="18"/>
              </w:rPr>
              <w:t>housing</w:t>
            </w:r>
            <w:r>
              <w:rPr>
                <w:spacing w:val="-11"/>
                <w:sz w:val="18"/>
              </w:rPr>
              <w:t> </w:t>
            </w:r>
            <w:r>
              <w:rPr>
                <w:sz w:val="18"/>
              </w:rPr>
              <w:t>budget ceiling and annual housing budget</w:t>
            </w:r>
          </w:p>
          <w:p>
            <w:pPr>
              <w:pStyle w:val="TableParagraph"/>
              <w:spacing w:line="191" w:lineRule="exact"/>
              <w:ind w:left="192"/>
              <w:rPr>
                <w:sz w:val="18"/>
              </w:rPr>
            </w:pPr>
            <w:r>
              <w:rPr>
                <w:spacing w:val="-2"/>
                <w:sz w:val="18"/>
              </w:rPr>
              <w:t>allocation</w:t>
            </w:r>
          </w:p>
        </w:tc>
        <w:tc>
          <w:tcPr>
            <w:tcW w:w="3601" w:type="dxa"/>
            <w:tcBorders>
              <w:top w:val="single" w:sz="4" w:space="0" w:color="000000"/>
              <w:bottom w:val="single" w:sz="4" w:space="0" w:color="000000"/>
            </w:tcBorders>
          </w:tcPr>
          <w:p>
            <w:pPr>
              <w:pStyle w:val="TableParagraph"/>
              <w:spacing w:line="202" w:lineRule="exact"/>
              <w:ind w:left="108"/>
              <w:jc w:val="both"/>
              <w:rPr>
                <w:sz w:val="18"/>
              </w:rPr>
            </w:pPr>
            <w:r>
              <w:rPr>
                <w:sz w:val="18"/>
              </w:rPr>
              <w:t>The</w:t>
            </w:r>
            <w:r>
              <w:rPr>
                <w:spacing w:val="17"/>
                <w:sz w:val="18"/>
              </w:rPr>
              <w:t> </w:t>
            </w:r>
            <w:r>
              <w:rPr>
                <w:sz w:val="18"/>
              </w:rPr>
              <w:t>total</w:t>
            </w:r>
            <w:r>
              <w:rPr>
                <w:spacing w:val="19"/>
                <w:sz w:val="18"/>
              </w:rPr>
              <w:t> </w:t>
            </w:r>
            <w:r>
              <w:rPr>
                <w:sz w:val="18"/>
              </w:rPr>
              <w:t>stipulated</w:t>
            </w:r>
            <w:r>
              <w:rPr>
                <w:spacing w:val="19"/>
                <w:sz w:val="18"/>
              </w:rPr>
              <w:t> </w:t>
            </w:r>
            <w:r>
              <w:rPr>
                <w:sz w:val="18"/>
              </w:rPr>
              <w:t>budget</w:t>
            </w:r>
            <w:r>
              <w:rPr>
                <w:spacing w:val="18"/>
                <w:sz w:val="18"/>
              </w:rPr>
              <w:t> </w:t>
            </w:r>
            <w:r>
              <w:rPr>
                <w:sz w:val="18"/>
              </w:rPr>
              <w:t>ceiling</w:t>
            </w:r>
            <w:r>
              <w:rPr>
                <w:spacing w:val="20"/>
                <w:sz w:val="18"/>
              </w:rPr>
              <w:t> </w:t>
            </w:r>
            <w:r>
              <w:rPr>
                <w:sz w:val="18"/>
              </w:rPr>
              <w:t>from</w:t>
            </w:r>
            <w:r>
              <w:rPr>
                <w:spacing w:val="16"/>
                <w:sz w:val="18"/>
              </w:rPr>
              <w:t> </w:t>
            </w:r>
            <w:r>
              <w:rPr>
                <w:spacing w:val="-4"/>
                <w:sz w:val="18"/>
              </w:rPr>
              <w:t>2010</w:t>
            </w:r>
          </w:p>
          <w:p>
            <w:pPr>
              <w:pStyle w:val="TableParagraph"/>
              <w:ind w:left="108" w:right="103"/>
              <w:jc w:val="both"/>
              <w:rPr>
                <w:sz w:val="18"/>
              </w:rPr>
            </w:pPr>
            <w:r>
              <w:rPr>
                <w:sz w:val="18"/>
              </w:rPr>
              <w:t>– 2016 is </w:t>
            </w:r>
            <w:r>
              <w:rPr>
                <w:strike/>
                <w:sz w:val="18"/>
              </w:rPr>
              <w:t>N</w:t>
            </w:r>
            <w:r>
              <w:rPr>
                <w:strike w:val="0"/>
                <w:sz w:val="18"/>
              </w:rPr>
              <w:t>10.36b and the total housing allocation is </w:t>
            </w:r>
            <w:r>
              <w:rPr>
                <w:strike/>
                <w:sz w:val="18"/>
              </w:rPr>
              <w:t>N</w:t>
            </w:r>
            <w:r>
              <w:rPr>
                <w:strike w:val="0"/>
                <w:sz w:val="18"/>
              </w:rPr>
              <w:t>14.86b. Hence a 30.28% </w:t>
            </w:r>
            <w:r>
              <w:rPr>
                <w:strike w:val="0"/>
                <w:spacing w:val="-2"/>
                <w:sz w:val="18"/>
              </w:rPr>
              <w:t>difference</w:t>
            </w:r>
          </w:p>
        </w:tc>
        <w:tc>
          <w:tcPr>
            <w:tcW w:w="1017" w:type="dxa"/>
            <w:tcBorders>
              <w:top w:val="single" w:sz="4" w:space="0" w:color="000000"/>
              <w:bottom w:val="single" w:sz="4" w:space="0" w:color="000000"/>
            </w:tcBorders>
          </w:tcPr>
          <w:p>
            <w:pPr>
              <w:pStyle w:val="TableParagraph"/>
              <w:spacing w:line="202" w:lineRule="exact"/>
              <w:ind w:left="107"/>
              <w:rPr>
                <w:sz w:val="18"/>
              </w:rPr>
            </w:pPr>
            <w:r>
              <w:rPr>
                <w:spacing w:val="-2"/>
                <w:sz w:val="18"/>
              </w:rPr>
              <w:t>30.28%</w:t>
            </w:r>
          </w:p>
        </w:tc>
        <w:tc>
          <w:tcPr>
            <w:tcW w:w="1144" w:type="dxa"/>
            <w:tcBorders>
              <w:top w:val="single" w:sz="4" w:space="0" w:color="000000"/>
              <w:bottom w:val="single" w:sz="4" w:space="0" w:color="000000"/>
            </w:tcBorders>
          </w:tcPr>
          <w:p>
            <w:pPr>
              <w:pStyle w:val="TableParagraph"/>
              <w:spacing w:line="202" w:lineRule="exact"/>
              <w:ind w:left="350"/>
              <w:rPr>
                <w:sz w:val="18"/>
              </w:rPr>
            </w:pPr>
            <w:r>
              <w:rPr>
                <w:spacing w:val="-10"/>
                <w:sz w:val="18"/>
              </w:rPr>
              <w:t>C</w:t>
            </w:r>
          </w:p>
        </w:tc>
        <w:tc>
          <w:tcPr>
            <w:tcW w:w="1188" w:type="dxa"/>
            <w:tcBorders>
              <w:top w:val="single" w:sz="4" w:space="0" w:color="000000"/>
              <w:bottom w:val="single" w:sz="4" w:space="0" w:color="000000"/>
            </w:tcBorders>
            <w:shd w:val="clear" w:color="auto" w:fill="DBE4F0"/>
          </w:tcPr>
          <w:p>
            <w:pPr>
              <w:pStyle w:val="TableParagraph"/>
              <w:ind w:left="107"/>
              <w:rPr>
                <w:sz w:val="18"/>
              </w:rPr>
            </w:pPr>
            <w:r>
              <w:rPr>
                <w:spacing w:val="-4"/>
                <w:sz w:val="18"/>
              </w:rPr>
              <w:t>Low </w:t>
            </w:r>
            <w:r>
              <w:rPr>
                <w:spacing w:val="-2"/>
                <w:sz w:val="18"/>
              </w:rPr>
              <w:t>Performance</w:t>
            </w:r>
          </w:p>
        </w:tc>
      </w:tr>
      <w:tr>
        <w:trPr>
          <w:trHeight w:val="827" w:hRule="atLeast"/>
        </w:trPr>
        <w:tc>
          <w:tcPr>
            <w:tcW w:w="544" w:type="dxa"/>
            <w:tcBorders>
              <w:top w:val="single" w:sz="4" w:space="0" w:color="000000"/>
              <w:bottom w:val="single" w:sz="4" w:space="0" w:color="000000"/>
            </w:tcBorders>
          </w:tcPr>
          <w:p>
            <w:pPr>
              <w:pStyle w:val="TableParagraph"/>
              <w:spacing w:line="202" w:lineRule="exact"/>
              <w:ind w:left="108"/>
              <w:rPr>
                <w:sz w:val="18"/>
              </w:rPr>
            </w:pPr>
            <w:r>
              <w:rPr>
                <w:spacing w:val="-5"/>
                <w:sz w:val="18"/>
              </w:rPr>
              <w:t>14)</w:t>
            </w:r>
          </w:p>
        </w:tc>
        <w:tc>
          <w:tcPr>
            <w:tcW w:w="1976" w:type="dxa"/>
            <w:tcBorders>
              <w:top w:val="single" w:sz="4" w:space="0" w:color="000000"/>
              <w:bottom w:val="single" w:sz="4" w:space="0" w:color="000000"/>
            </w:tcBorders>
          </w:tcPr>
          <w:p>
            <w:pPr>
              <w:pStyle w:val="TableParagraph"/>
              <w:spacing w:line="242" w:lineRule="auto"/>
              <w:ind w:left="192" w:right="118"/>
              <w:rPr>
                <w:sz w:val="18"/>
              </w:rPr>
            </w:pPr>
            <w:r>
              <w:rPr>
                <w:sz w:val="18"/>
              </w:rPr>
              <w:t>Annual housing</w:t>
            </w:r>
            <w:r>
              <w:rPr>
                <w:spacing w:val="40"/>
                <w:sz w:val="18"/>
              </w:rPr>
              <w:t> </w:t>
            </w:r>
            <w:r>
              <w:rPr>
                <w:sz w:val="18"/>
              </w:rPr>
              <w:t>budget</w:t>
            </w:r>
            <w:r>
              <w:rPr>
                <w:spacing w:val="-12"/>
                <w:sz w:val="18"/>
              </w:rPr>
              <w:t> </w:t>
            </w:r>
            <w:r>
              <w:rPr>
                <w:sz w:val="18"/>
              </w:rPr>
              <w:t>implementation</w:t>
            </w:r>
          </w:p>
        </w:tc>
        <w:tc>
          <w:tcPr>
            <w:tcW w:w="3601" w:type="dxa"/>
            <w:tcBorders>
              <w:top w:val="single" w:sz="4" w:space="0" w:color="000000"/>
              <w:bottom w:val="single" w:sz="4" w:space="0" w:color="000000"/>
            </w:tcBorders>
          </w:tcPr>
          <w:p>
            <w:pPr>
              <w:pStyle w:val="TableParagraph"/>
              <w:spacing w:line="242" w:lineRule="auto"/>
              <w:ind w:left="108"/>
              <w:rPr>
                <w:sz w:val="18"/>
              </w:rPr>
            </w:pPr>
            <w:r>
              <w:rPr>
                <w:sz w:val="18"/>
              </w:rPr>
              <w:t>Total actual housing expenditure from 1999 – 2016</w:t>
            </w:r>
            <w:r>
              <w:rPr>
                <w:spacing w:val="28"/>
                <w:sz w:val="18"/>
              </w:rPr>
              <w:t> </w:t>
            </w:r>
            <w:r>
              <w:rPr>
                <w:sz w:val="18"/>
              </w:rPr>
              <w:t>is</w:t>
            </w:r>
            <w:r>
              <w:rPr>
                <w:spacing w:val="30"/>
                <w:sz w:val="18"/>
              </w:rPr>
              <w:t> </w:t>
            </w:r>
            <w:r>
              <w:rPr>
                <w:sz w:val="18"/>
              </w:rPr>
              <w:t>N9.86b,</w:t>
            </w:r>
            <w:r>
              <w:rPr>
                <w:spacing w:val="28"/>
                <w:sz w:val="18"/>
              </w:rPr>
              <w:t> </w:t>
            </w:r>
            <w:r>
              <w:rPr>
                <w:sz w:val="18"/>
              </w:rPr>
              <w:t>while</w:t>
            </w:r>
            <w:r>
              <w:rPr>
                <w:spacing w:val="28"/>
                <w:sz w:val="18"/>
              </w:rPr>
              <w:t> </w:t>
            </w:r>
            <w:r>
              <w:rPr>
                <w:sz w:val="18"/>
              </w:rPr>
              <w:t>total</w:t>
            </w:r>
            <w:r>
              <w:rPr>
                <w:spacing w:val="30"/>
                <w:sz w:val="18"/>
              </w:rPr>
              <w:t> </w:t>
            </w:r>
            <w:r>
              <w:rPr>
                <w:sz w:val="18"/>
              </w:rPr>
              <w:t>annual</w:t>
            </w:r>
            <w:r>
              <w:rPr>
                <w:spacing w:val="31"/>
                <w:sz w:val="18"/>
              </w:rPr>
              <w:t> </w:t>
            </w:r>
            <w:r>
              <w:rPr>
                <w:spacing w:val="-2"/>
                <w:sz w:val="18"/>
              </w:rPr>
              <w:t>approved</w:t>
            </w:r>
          </w:p>
          <w:p>
            <w:pPr>
              <w:pStyle w:val="TableParagraph"/>
              <w:spacing w:line="206" w:lineRule="exact"/>
              <w:ind w:left="108"/>
              <w:rPr>
                <w:sz w:val="18"/>
              </w:rPr>
            </w:pPr>
            <w:r>
              <w:rPr>
                <w:sz w:val="18"/>
              </w:rPr>
              <w:t>housing</w:t>
            </w:r>
            <w:r>
              <w:rPr>
                <w:spacing w:val="29"/>
                <w:sz w:val="18"/>
              </w:rPr>
              <w:t> </w:t>
            </w:r>
            <w:r>
              <w:rPr>
                <w:sz w:val="18"/>
              </w:rPr>
              <w:t>budget</w:t>
            </w:r>
            <w:r>
              <w:rPr>
                <w:spacing w:val="30"/>
                <w:sz w:val="18"/>
              </w:rPr>
              <w:t> </w:t>
            </w:r>
            <w:r>
              <w:rPr>
                <w:sz w:val="18"/>
              </w:rPr>
              <w:t>is</w:t>
            </w:r>
            <w:r>
              <w:rPr>
                <w:spacing w:val="30"/>
                <w:sz w:val="18"/>
              </w:rPr>
              <w:t> </w:t>
            </w:r>
            <w:r>
              <w:rPr>
                <w:sz w:val="18"/>
              </w:rPr>
              <w:t>N35.65b.</w:t>
            </w:r>
            <w:r>
              <w:rPr>
                <w:spacing w:val="30"/>
                <w:sz w:val="18"/>
              </w:rPr>
              <w:t> </w:t>
            </w:r>
            <w:r>
              <w:rPr>
                <w:sz w:val="18"/>
              </w:rPr>
              <w:t>This</w:t>
            </w:r>
            <w:r>
              <w:rPr>
                <w:spacing w:val="30"/>
                <w:sz w:val="18"/>
              </w:rPr>
              <w:t> </w:t>
            </w:r>
            <w:r>
              <w:rPr>
                <w:sz w:val="18"/>
              </w:rPr>
              <w:t>indicates</w:t>
            </w:r>
            <w:r>
              <w:rPr>
                <w:spacing w:val="29"/>
                <w:sz w:val="18"/>
              </w:rPr>
              <w:t> </w:t>
            </w:r>
            <w:r>
              <w:rPr>
                <w:sz w:val="18"/>
              </w:rPr>
              <w:t>a 27.65% implementation rate</w:t>
            </w:r>
          </w:p>
        </w:tc>
        <w:tc>
          <w:tcPr>
            <w:tcW w:w="1017" w:type="dxa"/>
            <w:tcBorders>
              <w:top w:val="single" w:sz="4" w:space="0" w:color="000000"/>
              <w:bottom w:val="single" w:sz="4" w:space="0" w:color="000000"/>
            </w:tcBorders>
          </w:tcPr>
          <w:p>
            <w:pPr>
              <w:pStyle w:val="TableParagraph"/>
              <w:spacing w:line="202" w:lineRule="exact"/>
              <w:ind w:left="107"/>
              <w:rPr>
                <w:sz w:val="18"/>
              </w:rPr>
            </w:pPr>
            <w:r>
              <w:rPr>
                <w:spacing w:val="-2"/>
                <w:sz w:val="18"/>
              </w:rPr>
              <w:t>27.65%</w:t>
            </w:r>
          </w:p>
        </w:tc>
        <w:tc>
          <w:tcPr>
            <w:tcW w:w="1144" w:type="dxa"/>
            <w:tcBorders>
              <w:top w:val="single" w:sz="4" w:space="0" w:color="000000"/>
              <w:bottom w:val="single" w:sz="4" w:space="0" w:color="000000"/>
            </w:tcBorders>
          </w:tcPr>
          <w:p>
            <w:pPr>
              <w:pStyle w:val="TableParagraph"/>
              <w:spacing w:line="202" w:lineRule="exact"/>
              <w:ind w:left="350"/>
              <w:rPr>
                <w:sz w:val="18"/>
              </w:rPr>
            </w:pPr>
            <w:r>
              <w:rPr>
                <w:spacing w:val="-10"/>
                <w:sz w:val="18"/>
              </w:rPr>
              <w:t>D</w:t>
            </w:r>
          </w:p>
        </w:tc>
        <w:tc>
          <w:tcPr>
            <w:tcW w:w="1188" w:type="dxa"/>
            <w:tcBorders>
              <w:top w:val="single" w:sz="4" w:space="0" w:color="000000"/>
              <w:bottom w:val="single" w:sz="4" w:space="0" w:color="000000"/>
            </w:tcBorders>
            <w:shd w:val="clear" w:color="auto" w:fill="DBE4F0"/>
          </w:tcPr>
          <w:p>
            <w:pPr>
              <w:pStyle w:val="TableParagraph"/>
              <w:spacing w:line="242" w:lineRule="auto"/>
              <w:ind w:left="107"/>
              <w:rPr>
                <w:sz w:val="18"/>
              </w:rPr>
            </w:pPr>
            <w:r>
              <w:rPr>
                <w:spacing w:val="-4"/>
                <w:sz w:val="18"/>
              </w:rPr>
              <w:t>Poor </w:t>
            </w:r>
            <w:r>
              <w:rPr>
                <w:spacing w:val="-2"/>
                <w:sz w:val="18"/>
              </w:rPr>
              <w:t>Performance</w:t>
            </w:r>
          </w:p>
        </w:tc>
      </w:tr>
      <w:tr>
        <w:trPr>
          <w:trHeight w:val="308" w:hRule="atLeast"/>
        </w:trPr>
        <w:tc>
          <w:tcPr>
            <w:tcW w:w="544" w:type="dxa"/>
            <w:tcBorders>
              <w:top w:val="single" w:sz="4" w:space="0" w:color="000000"/>
              <w:bottom w:val="single" w:sz="4" w:space="0" w:color="000000"/>
            </w:tcBorders>
            <w:shd w:val="clear" w:color="auto" w:fill="DBE4F0"/>
          </w:tcPr>
          <w:p>
            <w:pPr>
              <w:pStyle w:val="TableParagraph"/>
              <w:rPr>
                <w:sz w:val="20"/>
              </w:rPr>
            </w:pPr>
          </w:p>
        </w:tc>
        <w:tc>
          <w:tcPr>
            <w:tcW w:w="1976" w:type="dxa"/>
            <w:tcBorders>
              <w:top w:val="single" w:sz="4" w:space="0" w:color="000000"/>
              <w:bottom w:val="single" w:sz="4" w:space="0" w:color="000000"/>
            </w:tcBorders>
            <w:shd w:val="clear" w:color="auto" w:fill="DBE4F0"/>
          </w:tcPr>
          <w:p>
            <w:pPr>
              <w:pStyle w:val="TableParagraph"/>
              <w:rPr>
                <w:sz w:val="20"/>
              </w:rPr>
            </w:pPr>
          </w:p>
        </w:tc>
        <w:tc>
          <w:tcPr>
            <w:tcW w:w="3601" w:type="dxa"/>
            <w:tcBorders>
              <w:top w:val="single" w:sz="4" w:space="0" w:color="000000"/>
              <w:bottom w:val="single" w:sz="4" w:space="0" w:color="000000"/>
            </w:tcBorders>
            <w:shd w:val="clear" w:color="auto" w:fill="DBE4F0"/>
          </w:tcPr>
          <w:p>
            <w:pPr>
              <w:pStyle w:val="TableParagraph"/>
              <w:spacing w:line="225" w:lineRule="exact"/>
              <w:ind w:left="209"/>
              <w:rPr>
                <w:b/>
                <w:sz w:val="20"/>
              </w:rPr>
            </w:pPr>
            <w:r>
              <w:rPr>
                <w:b/>
                <w:sz w:val="20"/>
              </w:rPr>
              <w:t>Total</w:t>
            </w:r>
            <w:r>
              <w:rPr>
                <w:b/>
                <w:spacing w:val="-9"/>
                <w:sz w:val="20"/>
              </w:rPr>
              <w:t> </w:t>
            </w:r>
            <w:r>
              <w:rPr>
                <w:b/>
                <w:sz w:val="20"/>
              </w:rPr>
              <w:t>average</w:t>
            </w:r>
            <w:r>
              <w:rPr>
                <w:b/>
                <w:spacing w:val="-7"/>
                <w:sz w:val="20"/>
              </w:rPr>
              <w:t> </w:t>
            </w:r>
            <w:r>
              <w:rPr>
                <w:b/>
                <w:sz w:val="20"/>
              </w:rPr>
              <w:t>performance</w:t>
            </w:r>
            <w:r>
              <w:rPr>
                <w:b/>
                <w:spacing w:val="-6"/>
                <w:sz w:val="20"/>
              </w:rPr>
              <w:t> </w:t>
            </w:r>
            <w:r>
              <w:rPr>
                <w:b/>
                <w:spacing w:val="-2"/>
                <w:sz w:val="20"/>
              </w:rPr>
              <w:t>score</w:t>
            </w:r>
          </w:p>
        </w:tc>
        <w:tc>
          <w:tcPr>
            <w:tcW w:w="1017" w:type="dxa"/>
            <w:tcBorders>
              <w:top w:val="single" w:sz="4" w:space="0" w:color="000000"/>
              <w:bottom w:val="single" w:sz="4" w:space="0" w:color="000000"/>
            </w:tcBorders>
            <w:shd w:val="clear" w:color="auto" w:fill="DBE4F0"/>
          </w:tcPr>
          <w:p>
            <w:pPr>
              <w:pStyle w:val="TableParagraph"/>
              <w:spacing w:line="204" w:lineRule="exact"/>
              <w:ind w:left="107"/>
              <w:rPr>
                <w:b/>
                <w:sz w:val="18"/>
              </w:rPr>
            </w:pPr>
            <w:r>
              <w:rPr>
                <w:b/>
                <w:spacing w:val="-2"/>
                <w:sz w:val="18"/>
              </w:rPr>
              <w:t>26.60%</w:t>
            </w:r>
          </w:p>
        </w:tc>
        <w:tc>
          <w:tcPr>
            <w:tcW w:w="1144" w:type="dxa"/>
            <w:tcBorders>
              <w:top w:val="single" w:sz="4" w:space="0" w:color="000000"/>
              <w:bottom w:val="single" w:sz="4" w:space="0" w:color="000000"/>
            </w:tcBorders>
            <w:shd w:val="clear" w:color="auto" w:fill="DBE4F0"/>
          </w:tcPr>
          <w:p>
            <w:pPr>
              <w:pStyle w:val="TableParagraph"/>
              <w:rPr>
                <w:sz w:val="20"/>
              </w:rPr>
            </w:pPr>
          </w:p>
        </w:tc>
        <w:tc>
          <w:tcPr>
            <w:tcW w:w="1188" w:type="dxa"/>
            <w:tcBorders>
              <w:top w:val="single" w:sz="4" w:space="0" w:color="000000"/>
              <w:bottom w:val="single" w:sz="4" w:space="0" w:color="000000"/>
            </w:tcBorders>
            <w:shd w:val="clear" w:color="auto" w:fill="DBE4F0"/>
          </w:tcPr>
          <w:p>
            <w:pPr>
              <w:pStyle w:val="TableParagraph"/>
              <w:rPr>
                <w:sz w:val="20"/>
              </w:rPr>
            </w:pPr>
          </w:p>
        </w:tc>
      </w:tr>
    </w:tbl>
    <w:p>
      <w:pPr>
        <w:spacing w:line="230" w:lineRule="exact" w:before="16"/>
        <w:ind w:left="120" w:right="0" w:firstLine="0"/>
        <w:jc w:val="both"/>
        <w:rPr>
          <w:sz w:val="20"/>
        </w:rPr>
      </w:pPr>
      <w:r>
        <w:rPr>
          <w:sz w:val="20"/>
        </w:rPr>
        <w:t>*NA=</w:t>
      </w:r>
      <w:r>
        <w:rPr>
          <w:spacing w:val="-6"/>
          <w:sz w:val="20"/>
        </w:rPr>
        <w:t> </w:t>
      </w:r>
      <w:r>
        <w:rPr>
          <w:sz w:val="20"/>
        </w:rPr>
        <w:t>Not</w:t>
      </w:r>
      <w:r>
        <w:rPr>
          <w:spacing w:val="-6"/>
          <w:sz w:val="20"/>
        </w:rPr>
        <w:t> </w:t>
      </w:r>
      <w:r>
        <w:rPr>
          <w:spacing w:val="-2"/>
          <w:sz w:val="20"/>
        </w:rPr>
        <w:t>applicable</w:t>
      </w:r>
    </w:p>
    <w:p>
      <w:pPr>
        <w:spacing w:before="0"/>
        <w:ind w:left="120" w:right="0" w:firstLine="0"/>
        <w:jc w:val="both"/>
        <w:rPr>
          <w:sz w:val="24"/>
        </w:rPr>
      </w:pPr>
      <w:r>
        <w:rPr>
          <w:b/>
          <w:sz w:val="24"/>
        </w:rPr>
        <w:t>Source:</w:t>
      </w:r>
      <w:r>
        <w:rPr>
          <w:b/>
          <w:spacing w:val="-2"/>
          <w:sz w:val="24"/>
        </w:rPr>
        <w:t> </w:t>
      </w:r>
      <w:r>
        <w:rPr>
          <w:sz w:val="24"/>
        </w:rPr>
        <w:t>Researcher‘s</w:t>
      </w:r>
      <w:r>
        <w:rPr>
          <w:spacing w:val="-1"/>
          <w:sz w:val="24"/>
        </w:rPr>
        <w:t> </w:t>
      </w:r>
      <w:r>
        <w:rPr>
          <w:sz w:val="24"/>
        </w:rPr>
        <w:t>field</w:t>
      </w:r>
      <w:r>
        <w:rPr>
          <w:spacing w:val="-1"/>
          <w:sz w:val="24"/>
        </w:rPr>
        <w:t> </w:t>
      </w:r>
      <w:r>
        <w:rPr>
          <w:sz w:val="24"/>
        </w:rPr>
        <w:t>work</w:t>
      </w:r>
      <w:r>
        <w:rPr>
          <w:spacing w:val="-1"/>
          <w:sz w:val="24"/>
        </w:rPr>
        <w:t> </w:t>
      </w:r>
      <w:r>
        <w:rPr>
          <w:spacing w:val="-2"/>
          <w:sz w:val="24"/>
        </w:rPr>
        <w:t>(2017)</w:t>
      </w:r>
    </w:p>
    <w:p>
      <w:pPr>
        <w:pStyle w:val="BodyText"/>
        <w:spacing w:before="138"/>
      </w:pPr>
    </w:p>
    <w:p>
      <w:pPr>
        <w:pStyle w:val="BodyText"/>
        <w:spacing w:line="360" w:lineRule="auto" w:before="1"/>
        <w:ind w:left="120" w:right="1115"/>
        <w:jc w:val="both"/>
      </w:pPr>
      <w:r>
        <w:rPr/>
        <w:t>This research appraises Anambra State‘s housing budget planning, preparation (including allocation)</w:t>
      </w:r>
      <w:r>
        <w:rPr>
          <w:spacing w:val="-2"/>
        </w:rPr>
        <w:t> </w:t>
      </w:r>
      <w:r>
        <w:rPr/>
        <w:t>and</w:t>
      </w:r>
      <w:r>
        <w:rPr>
          <w:spacing w:val="-1"/>
        </w:rPr>
        <w:t> </w:t>
      </w:r>
      <w:r>
        <w:rPr/>
        <w:t>implementation procedures/practices</w:t>
      </w:r>
      <w:r>
        <w:rPr>
          <w:spacing w:val="-1"/>
        </w:rPr>
        <w:t> </w:t>
      </w:r>
      <w:r>
        <w:rPr/>
        <w:t>in</w:t>
      </w:r>
      <w:r>
        <w:rPr>
          <w:spacing w:val="-1"/>
        </w:rPr>
        <w:t> </w:t>
      </w:r>
      <w:r>
        <w:rPr/>
        <w:t>its</w:t>
      </w:r>
      <w:r>
        <w:rPr>
          <w:spacing w:val="-1"/>
        </w:rPr>
        <w:t> </w:t>
      </w:r>
      <w:r>
        <w:rPr/>
        <w:t>entirety.</w:t>
      </w:r>
      <w:r>
        <w:rPr>
          <w:spacing w:val="-1"/>
        </w:rPr>
        <w:t> </w:t>
      </w:r>
      <w:r>
        <w:rPr/>
        <w:t>This</w:t>
      </w:r>
      <w:r>
        <w:rPr>
          <w:spacing w:val="-1"/>
        </w:rPr>
        <w:t> </w:t>
      </w:r>
      <w:r>
        <w:rPr/>
        <w:t>is because</w:t>
      </w:r>
      <w:r>
        <w:rPr>
          <w:spacing w:val="-2"/>
        </w:rPr>
        <w:t> </w:t>
      </w:r>
      <w:r>
        <w:rPr/>
        <w:t>the</w:t>
      </w:r>
      <w:r>
        <w:rPr>
          <w:spacing w:val="-2"/>
        </w:rPr>
        <w:t> </w:t>
      </w:r>
      <w:r>
        <w:rPr/>
        <w:t>individual processes of management of the housing budget all contribute to the present situation of the housing delivery in the State. In view of this, a close look at Table 5.28 reveals that the</w:t>
      </w:r>
      <w:r>
        <w:rPr>
          <w:spacing w:val="40"/>
        </w:rPr>
        <w:t> </w:t>
      </w:r>
      <w:r>
        <w:rPr/>
        <w:t>individual</w:t>
      </w:r>
      <w:r>
        <w:rPr>
          <w:spacing w:val="-2"/>
        </w:rPr>
        <w:t> </w:t>
      </w:r>
      <w:r>
        <w:rPr/>
        <w:t>performance</w:t>
      </w:r>
      <w:r>
        <w:rPr>
          <w:spacing w:val="-1"/>
        </w:rPr>
        <w:t> </w:t>
      </w:r>
      <w:r>
        <w:rPr/>
        <w:t>of</w:t>
      </w:r>
      <w:r>
        <w:rPr>
          <w:spacing w:val="-2"/>
        </w:rPr>
        <w:t> </w:t>
      </w:r>
      <w:r>
        <w:rPr/>
        <w:t>most</w:t>
      </w:r>
      <w:r>
        <w:rPr>
          <w:spacing w:val="-2"/>
        </w:rPr>
        <w:t> </w:t>
      </w:r>
      <w:r>
        <w:rPr/>
        <w:t>variables</w:t>
      </w:r>
      <w:r>
        <w:rPr>
          <w:spacing w:val="-2"/>
        </w:rPr>
        <w:t> </w:t>
      </w:r>
      <w:r>
        <w:rPr/>
        <w:t>of</w:t>
      </w:r>
      <w:r>
        <w:rPr>
          <w:spacing w:val="-2"/>
        </w:rPr>
        <w:t> </w:t>
      </w:r>
      <w:r>
        <w:rPr/>
        <w:t>the</w:t>
      </w:r>
      <w:r>
        <w:rPr>
          <w:spacing w:val="-2"/>
        </w:rPr>
        <w:t> </w:t>
      </w:r>
      <w:r>
        <w:rPr/>
        <w:t>Anambra</w:t>
      </w:r>
      <w:r>
        <w:rPr>
          <w:spacing w:val="-3"/>
        </w:rPr>
        <w:t> </w:t>
      </w:r>
      <w:r>
        <w:rPr/>
        <w:t>State</w:t>
      </w:r>
      <w:r>
        <w:rPr>
          <w:spacing w:val="-1"/>
        </w:rPr>
        <w:t> </w:t>
      </w:r>
      <w:r>
        <w:rPr/>
        <w:t>housing</w:t>
      </w:r>
      <w:r>
        <w:rPr>
          <w:spacing w:val="-5"/>
        </w:rPr>
        <w:t> </w:t>
      </w:r>
      <w:r>
        <w:rPr/>
        <w:t>budget is</w:t>
      </w:r>
      <w:r>
        <w:rPr>
          <w:spacing w:val="-2"/>
        </w:rPr>
        <w:t> </w:t>
      </w:r>
      <w:r>
        <w:rPr/>
        <w:t>not</w:t>
      </w:r>
      <w:r>
        <w:rPr>
          <w:spacing w:val="-2"/>
        </w:rPr>
        <w:t> </w:t>
      </w:r>
      <w:r>
        <w:rPr/>
        <w:t>impressive. On the average, and in line with the appraisal system developed by the researcher, the overall percentage on aggregate that can be used to describe housing budget performance in Anambra State was computed to be 26.60%, which indicates poor performance.</w:t>
      </w:r>
    </w:p>
    <w:p>
      <w:pPr>
        <w:spacing w:after="0" w:line="360" w:lineRule="auto"/>
        <w:jc w:val="both"/>
        <w:sectPr>
          <w:type w:val="continuous"/>
          <w:pgSz w:w="12240" w:h="15840"/>
          <w:pgMar w:header="0" w:footer="1036" w:top="1420" w:bottom="1220" w:left="1320" w:right="320"/>
        </w:sectPr>
      </w:pPr>
    </w:p>
    <w:p>
      <w:pPr>
        <w:pStyle w:val="Heading1"/>
        <w:ind w:right="995"/>
      </w:pPr>
      <w:r>
        <w:rPr/>
        <w:t>CHAPTER</w:t>
      </w:r>
      <w:r>
        <w:rPr>
          <w:spacing w:val="-8"/>
        </w:rPr>
        <w:t> </w:t>
      </w:r>
      <w:r>
        <w:rPr>
          <w:spacing w:val="-5"/>
        </w:rPr>
        <w:t>SIX</w:t>
      </w:r>
    </w:p>
    <w:p>
      <w:pPr>
        <w:pStyle w:val="Heading2"/>
        <w:spacing w:line="276" w:lineRule="auto"/>
        <w:ind w:left="1032" w:right="2032"/>
      </w:pPr>
      <w:r>
        <w:rPr/>
        <w:t>SUMMARY</w:t>
      </w:r>
      <w:r>
        <w:rPr>
          <w:spacing w:val="-10"/>
        </w:rPr>
        <w:t> </w:t>
      </w:r>
      <w:r>
        <w:rPr/>
        <w:t>OF</w:t>
      </w:r>
      <w:r>
        <w:rPr>
          <w:spacing w:val="-6"/>
        </w:rPr>
        <w:t> </w:t>
      </w:r>
      <w:r>
        <w:rPr/>
        <w:t>FINDINGS,</w:t>
      </w:r>
      <w:r>
        <w:rPr>
          <w:spacing w:val="-8"/>
        </w:rPr>
        <w:t> </w:t>
      </w:r>
      <w:r>
        <w:rPr/>
        <w:t>DISCUSSIONS,</w:t>
      </w:r>
      <w:r>
        <w:rPr>
          <w:spacing w:val="-9"/>
        </w:rPr>
        <w:t> </w:t>
      </w:r>
      <w:r>
        <w:rPr/>
        <w:t>CONCLUSION</w:t>
      </w:r>
      <w:r>
        <w:rPr>
          <w:spacing w:val="-6"/>
        </w:rPr>
        <w:t> </w:t>
      </w:r>
      <w:r>
        <w:rPr/>
        <w:t>AND </w:t>
      </w:r>
      <w:r>
        <w:rPr>
          <w:spacing w:val="-2"/>
        </w:rPr>
        <w:t>RECOMMENDATIONS</w:t>
      </w:r>
    </w:p>
    <w:p>
      <w:pPr>
        <w:pStyle w:val="BodyText"/>
        <w:spacing w:before="40"/>
        <w:rPr>
          <w:b/>
          <w:sz w:val="26"/>
        </w:rPr>
      </w:pPr>
    </w:p>
    <w:p>
      <w:pPr>
        <w:pStyle w:val="BodyText"/>
        <w:spacing w:line="360" w:lineRule="auto"/>
        <w:ind w:left="120" w:right="1117"/>
        <w:jc w:val="both"/>
      </w:pPr>
      <w:r>
        <w:rPr/>
        <w:t>This chapter provides the summary of findings and results of this research, discussions, conclusion, recommendations, contribution to knowledge and suggestions for further studies</w:t>
      </w:r>
      <w:r>
        <w:rPr>
          <w:spacing w:val="40"/>
        </w:rPr>
        <w:t> </w:t>
      </w:r>
      <w:r>
        <w:rPr/>
        <w:t>with particular reference to the research aim and objectives.</w:t>
      </w:r>
    </w:p>
    <w:p>
      <w:pPr>
        <w:pStyle w:val="BodyText"/>
        <w:spacing w:before="144"/>
      </w:pPr>
    </w:p>
    <w:p>
      <w:pPr>
        <w:pStyle w:val="Heading3"/>
        <w:numPr>
          <w:ilvl w:val="1"/>
          <w:numId w:val="107"/>
        </w:numPr>
        <w:tabs>
          <w:tab w:pos="508" w:val="left" w:leader="none"/>
        </w:tabs>
        <w:spacing w:line="240" w:lineRule="auto" w:before="0" w:after="0"/>
        <w:ind w:left="508" w:right="0" w:hanging="388"/>
        <w:jc w:val="both"/>
      </w:pPr>
      <w:r>
        <w:rPr/>
        <w:t>Summary</w:t>
      </w:r>
      <w:r>
        <w:rPr>
          <w:spacing w:val="-5"/>
        </w:rPr>
        <w:t> </w:t>
      </w:r>
      <w:r>
        <w:rPr/>
        <w:t>of</w:t>
      </w:r>
      <w:r>
        <w:rPr>
          <w:spacing w:val="-6"/>
        </w:rPr>
        <w:t> </w:t>
      </w:r>
      <w:r>
        <w:rPr>
          <w:spacing w:val="-2"/>
        </w:rPr>
        <w:t>Findings</w:t>
      </w:r>
    </w:p>
    <w:p>
      <w:pPr>
        <w:pStyle w:val="ListParagraph"/>
        <w:numPr>
          <w:ilvl w:val="0"/>
          <w:numId w:val="108"/>
        </w:numPr>
        <w:tabs>
          <w:tab w:pos="840" w:val="left" w:leader="none"/>
        </w:tabs>
        <w:spacing w:line="360" w:lineRule="auto" w:before="145" w:after="0"/>
        <w:ind w:left="840" w:right="1116" w:hanging="720"/>
        <w:jc w:val="both"/>
        <w:rPr>
          <w:sz w:val="24"/>
        </w:rPr>
      </w:pPr>
      <w:r>
        <w:rPr>
          <w:sz w:val="24"/>
        </w:rPr>
        <w:t>Mass housing schemes have not been a priority of the Anambra State government right from</w:t>
      </w:r>
      <w:r>
        <w:rPr>
          <w:spacing w:val="-1"/>
          <w:sz w:val="24"/>
        </w:rPr>
        <w:t> </w:t>
      </w:r>
      <w:r>
        <w:rPr>
          <w:sz w:val="24"/>
        </w:rPr>
        <w:t>the</w:t>
      </w:r>
      <w:r>
        <w:rPr>
          <w:spacing w:val="-2"/>
          <w:sz w:val="24"/>
        </w:rPr>
        <w:t> </w:t>
      </w:r>
      <w:r>
        <w:rPr>
          <w:sz w:val="24"/>
        </w:rPr>
        <w:t>inception</w:t>
      </w:r>
      <w:r>
        <w:rPr>
          <w:spacing w:val="-1"/>
          <w:sz w:val="24"/>
        </w:rPr>
        <w:t> </w:t>
      </w:r>
      <w:r>
        <w:rPr>
          <w:sz w:val="24"/>
        </w:rPr>
        <w:t>of</w:t>
      </w:r>
      <w:r>
        <w:rPr>
          <w:spacing w:val="-2"/>
          <w:sz w:val="24"/>
        </w:rPr>
        <w:t> </w:t>
      </w:r>
      <w:r>
        <w:rPr>
          <w:sz w:val="24"/>
        </w:rPr>
        <w:t>the democratic</w:t>
      </w:r>
      <w:r>
        <w:rPr>
          <w:spacing w:val="-2"/>
          <w:sz w:val="24"/>
        </w:rPr>
        <w:t> </w:t>
      </w:r>
      <w:r>
        <w:rPr>
          <w:sz w:val="24"/>
        </w:rPr>
        <w:t>regime</w:t>
      </w:r>
      <w:r>
        <w:rPr>
          <w:spacing w:val="-2"/>
          <w:sz w:val="24"/>
        </w:rPr>
        <w:t> </w:t>
      </w:r>
      <w:r>
        <w:rPr>
          <w:sz w:val="24"/>
        </w:rPr>
        <w:t>in</w:t>
      </w:r>
      <w:r>
        <w:rPr>
          <w:spacing w:val="-1"/>
          <w:sz w:val="24"/>
        </w:rPr>
        <w:t> </w:t>
      </w:r>
      <w:r>
        <w:rPr>
          <w:sz w:val="24"/>
        </w:rPr>
        <w:t>1999;</w:t>
      </w:r>
      <w:r>
        <w:rPr>
          <w:spacing w:val="-1"/>
          <w:sz w:val="24"/>
        </w:rPr>
        <w:t> </w:t>
      </w:r>
      <w:r>
        <w:rPr>
          <w:sz w:val="24"/>
        </w:rPr>
        <w:t>rather,</w:t>
      </w:r>
      <w:r>
        <w:rPr>
          <w:spacing w:val="-1"/>
          <w:sz w:val="24"/>
        </w:rPr>
        <w:t> </w:t>
      </w:r>
      <w:r>
        <w:rPr>
          <w:sz w:val="24"/>
        </w:rPr>
        <w:t>public</w:t>
      </w:r>
      <w:r>
        <w:rPr>
          <w:spacing w:val="-2"/>
          <w:sz w:val="24"/>
        </w:rPr>
        <w:t> </w:t>
      </w:r>
      <w:r>
        <w:rPr>
          <w:sz w:val="24"/>
        </w:rPr>
        <w:t>offices and</w:t>
      </w:r>
      <w:r>
        <w:rPr>
          <w:spacing w:val="-1"/>
          <w:sz w:val="24"/>
        </w:rPr>
        <w:t> </w:t>
      </w:r>
      <w:r>
        <w:rPr>
          <w:sz w:val="24"/>
        </w:rPr>
        <w:t>residential buildings for government officials/political office holders and appointees are the housing projects commonly</w:t>
      </w:r>
      <w:r>
        <w:rPr>
          <w:spacing w:val="-2"/>
          <w:sz w:val="24"/>
        </w:rPr>
        <w:t> </w:t>
      </w:r>
      <w:r>
        <w:rPr>
          <w:sz w:val="24"/>
        </w:rPr>
        <w:t>executed by</w:t>
      </w:r>
      <w:r>
        <w:rPr>
          <w:spacing w:val="-5"/>
          <w:sz w:val="24"/>
        </w:rPr>
        <w:t> </w:t>
      </w:r>
      <w:r>
        <w:rPr>
          <w:sz w:val="24"/>
        </w:rPr>
        <w:t>the government (</w:t>
      </w:r>
      <w:r>
        <w:rPr>
          <w:i/>
          <w:sz w:val="24"/>
        </w:rPr>
        <w:t>Tables 3.18 &amp;</w:t>
      </w:r>
      <w:r>
        <w:rPr>
          <w:i/>
          <w:spacing w:val="-7"/>
          <w:sz w:val="24"/>
        </w:rPr>
        <w:t> </w:t>
      </w:r>
      <w:r>
        <w:rPr>
          <w:i/>
          <w:sz w:val="24"/>
        </w:rPr>
        <w:t>5.4,sections 3.5 &amp;</w:t>
      </w:r>
      <w:r>
        <w:rPr>
          <w:i/>
          <w:spacing w:val="-7"/>
          <w:sz w:val="24"/>
        </w:rPr>
        <w:t> </w:t>
      </w:r>
      <w:r>
        <w:rPr>
          <w:i/>
          <w:sz w:val="24"/>
        </w:rPr>
        <w:t>3.4.2</w:t>
      </w:r>
      <w:r>
        <w:rPr>
          <w:sz w:val="24"/>
        </w:rPr>
        <w:t>).</w:t>
      </w:r>
    </w:p>
    <w:p>
      <w:pPr>
        <w:pStyle w:val="ListParagraph"/>
        <w:numPr>
          <w:ilvl w:val="0"/>
          <w:numId w:val="108"/>
        </w:numPr>
        <w:tabs>
          <w:tab w:pos="840" w:val="left" w:leader="none"/>
        </w:tabs>
        <w:spacing w:line="360" w:lineRule="auto" w:before="0" w:after="0"/>
        <w:ind w:left="840" w:right="1115" w:hanging="720"/>
        <w:jc w:val="both"/>
        <w:rPr>
          <w:i/>
          <w:sz w:val="24"/>
        </w:rPr>
      </w:pPr>
      <w:r>
        <w:rPr>
          <w:sz w:val="24"/>
        </w:rPr>
        <w:t>The government of Anambra State is not willing to devote financial resources for developing</w:t>
      </w:r>
      <w:r>
        <w:rPr>
          <w:spacing w:val="40"/>
          <w:sz w:val="24"/>
        </w:rPr>
        <w:t> </w:t>
      </w:r>
      <w:r>
        <w:rPr>
          <w:sz w:val="24"/>
        </w:rPr>
        <w:t>housing</w:t>
      </w:r>
      <w:r>
        <w:rPr>
          <w:spacing w:val="40"/>
          <w:sz w:val="24"/>
        </w:rPr>
        <w:t> </w:t>
      </w:r>
      <w:r>
        <w:rPr>
          <w:sz w:val="24"/>
        </w:rPr>
        <w:t>infrastructure</w:t>
      </w:r>
      <w:r>
        <w:rPr>
          <w:spacing w:val="40"/>
          <w:sz w:val="24"/>
        </w:rPr>
        <w:t> </w:t>
      </w:r>
      <w:r>
        <w:rPr>
          <w:sz w:val="24"/>
        </w:rPr>
        <w:t>for</w:t>
      </w:r>
      <w:r>
        <w:rPr>
          <w:spacing w:val="40"/>
          <w:sz w:val="24"/>
        </w:rPr>
        <w:t> </w:t>
      </w:r>
      <w:r>
        <w:rPr>
          <w:sz w:val="24"/>
        </w:rPr>
        <w:t>its</w:t>
      </w:r>
      <w:r>
        <w:rPr>
          <w:spacing w:val="40"/>
          <w:sz w:val="24"/>
        </w:rPr>
        <w:t> </w:t>
      </w:r>
      <w:r>
        <w:rPr>
          <w:sz w:val="24"/>
        </w:rPr>
        <w:t>citizenry</w:t>
      </w:r>
      <w:r>
        <w:rPr>
          <w:spacing w:val="40"/>
          <w:sz w:val="24"/>
        </w:rPr>
        <w:t> </w:t>
      </w:r>
      <w:r>
        <w:rPr>
          <w:sz w:val="24"/>
        </w:rPr>
        <w:t>(</w:t>
      </w:r>
      <w:r>
        <w:rPr>
          <w:i/>
          <w:sz w:val="24"/>
        </w:rPr>
        <w:t>figures</w:t>
      </w:r>
      <w:r>
        <w:rPr>
          <w:i/>
          <w:spacing w:val="40"/>
          <w:sz w:val="24"/>
        </w:rPr>
        <w:t> </w:t>
      </w:r>
      <w:r>
        <w:rPr>
          <w:i/>
          <w:sz w:val="24"/>
        </w:rPr>
        <w:t>3.7,</w:t>
      </w:r>
      <w:r>
        <w:rPr>
          <w:i/>
          <w:spacing w:val="40"/>
          <w:sz w:val="24"/>
        </w:rPr>
        <w:t> </w:t>
      </w:r>
      <w:r>
        <w:rPr>
          <w:i/>
          <w:sz w:val="24"/>
        </w:rPr>
        <w:t>3.8</w:t>
      </w:r>
      <w:r>
        <w:rPr>
          <w:i/>
          <w:spacing w:val="40"/>
          <w:sz w:val="24"/>
        </w:rPr>
        <w:t> </w:t>
      </w:r>
      <w:r>
        <w:rPr>
          <w:i/>
          <w:sz w:val="24"/>
        </w:rPr>
        <w:t>&amp;</w:t>
      </w:r>
      <w:r>
        <w:rPr>
          <w:i/>
          <w:spacing w:val="38"/>
          <w:sz w:val="24"/>
        </w:rPr>
        <w:t> </w:t>
      </w:r>
      <w:r>
        <w:rPr>
          <w:i/>
          <w:sz w:val="24"/>
        </w:rPr>
        <w:t>5.7;</w:t>
      </w:r>
      <w:r>
        <w:rPr>
          <w:i/>
          <w:spacing w:val="40"/>
          <w:sz w:val="24"/>
        </w:rPr>
        <w:t> </w:t>
      </w:r>
      <w:r>
        <w:rPr>
          <w:i/>
          <w:sz w:val="24"/>
        </w:rPr>
        <w:t>Table</w:t>
      </w:r>
      <w:r>
        <w:rPr>
          <w:i/>
          <w:spacing w:val="40"/>
          <w:sz w:val="24"/>
        </w:rPr>
        <w:t> </w:t>
      </w:r>
      <w:r>
        <w:rPr>
          <w:i/>
          <w:sz w:val="24"/>
        </w:rPr>
        <w:t>5.5;</w:t>
      </w:r>
    </w:p>
    <w:p>
      <w:pPr>
        <w:spacing w:before="0"/>
        <w:ind w:left="840" w:right="0" w:firstLine="0"/>
        <w:jc w:val="both"/>
        <w:rPr>
          <w:sz w:val="24"/>
        </w:rPr>
      </w:pPr>
      <w:r>
        <w:rPr>
          <w:i/>
          <w:sz w:val="24"/>
        </w:rPr>
        <w:t>section</w:t>
      </w:r>
      <w:r>
        <w:rPr>
          <w:i/>
          <w:spacing w:val="-4"/>
          <w:sz w:val="24"/>
        </w:rPr>
        <w:t> </w:t>
      </w:r>
      <w:r>
        <w:rPr>
          <w:i/>
          <w:spacing w:val="-2"/>
          <w:sz w:val="24"/>
        </w:rPr>
        <w:t>3.4.2</w:t>
      </w:r>
      <w:r>
        <w:rPr>
          <w:spacing w:val="-2"/>
          <w:sz w:val="24"/>
        </w:rPr>
        <w:t>).</w:t>
      </w:r>
    </w:p>
    <w:p>
      <w:pPr>
        <w:pStyle w:val="ListParagraph"/>
        <w:numPr>
          <w:ilvl w:val="0"/>
          <w:numId w:val="108"/>
        </w:numPr>
        <w:tabs>
          <w:tab w:pos="840" w:val="left" w:leader="none"/>
        </w:tabs>
        <w:spacing w:line="360" w:lineRule="auto" w:before="137" w:after="0"/>
        <w:ind w:left="840" w:right="1116" w:hanging="720"/>
        <w:jc w:val="both"/>
        <w:rPr>
          <w:sz w:val="24"/>
        </w:rPr>
      </w:pPr>
      <w:r>
        <w:rPr>
          <w:sz w:val="24"/>
        </w:rPr>
        <w:t>Preparation of the housing budget in line with the MTEF policy is a very recent development in Anambra State however; its implementation has not yet come on full stream (</w:t>
      </w:r>
      <w:r>
        <w:rPr>
          <w:i/>
          <w:sz w:val="24"/>
        </w:rPr>
        <w:t>Table 5.6</w:t>
      </w:r>
      <w:r>
        <w:rPr>
          <w:sz w:val="24"/>
        </w:rPr>
        <w:t>).</w:t>
      </w:r>
    </w:p>
    <w:p>
      <w:pPr>
        <w:pStyle w:val="ListParagraph"/>
        <w:numPr>
          <w:ilvl w:val="0"/>
          <w:numId w:val="108"/>
        </w:numPr>
        <w:tabs>
          <w:tab w:pos="840" w:val="left" w:leader="none"/>
        </w:tabs>
        <w:spacing w:line="360" w:lineRule="auto" w:before="2" w:after="0"/>
        <w:ind w:left="840" w:right="1113" w:hanging="720"/>
        <w:jc w:val="both"/>
        <w:rPr>
          <w:sz w:val="24"/>
        </w:rPr>
      </w:pPr>
      <w:r>
        <w:rPr>
          <w:sz w:val="24"/>
        </w:rPr>
        <w:t>There is presently no MTSS developed for the housing sector of Anambra State (</w:t>
      </w:r>
      <w:r>
        <w:rPr>
          <w:i/>
          <w:sz w:val="24"/>
        </w:rPr>
        <w:t>Table </w:t>
      </w:r>
      <w:r>
        <w:rPr>
          <w:i/>
          <w:spacing w:val="-2"/>
          <w:sz w:val="24"/>
        </w:rPr>
        <w:t>5.6</w:t>
      </w:r>
      <w:r>
        <w:rPr>
          <w:spacing w:val="-2"/>
          <w:sz w:val="24"/>
        </w:rPr>
        <w:t>).</w:t>
      </w:r>
    </w:p>
    <w:p>
      <w:pPr>
        <w:pStyle w:val="ListParagraph"/>
        <w:numPr>
          <w:ilvl w:val="0"/>
          <w:numId w:val="108"/>
        </w:numPr>
        <w:tabs>
          <w:tab w:pos="840" w:val="left" w:leader="none"/>
        </w:tabs>
        <w:spacing w:line="360" w:lineRule="auto" w:before="0" w:after="0"/>
        <w:ind w:left="840" w:right="1121" w:hanging="720"/>
        <w:jc w:val="both"/>
        <w:rPr>
          <w:sz w:val="24"/>
        </w:rPr>
      </w:pPr>
      <w:r>
        <w:rPr>
          <w:sz w:val="24"/>
        </w:rPr>
        <w:t>The Anambra State housing budget is still prepared using the traditional incremental budgeting method and not zero-based budgeting (</w:t>
      </w:r>
      <w:r>
        <w:rPr>
          <w:i/>
          <w:sz w:val="24"/>
        </w:rPr>
        <w:t>sections 3.4.3 &amp; 3.5</w:t>
      </w:r>
      <w:r>
        <w:rPr>
          <w:sz w:val="24"/>
        </w:rPr>
        <w:t>).</w:t>
      </w:r>
    </w:p>
    <w:p>
      <w:pPr>
        <w:pStyle w:val="ListParagraph"/>
        <w:numPr>
          <w:ilvl w:val="0"/>
          <w:numId w:val="108"/>
        </w:numPr>
        <w:tabs>
          <w:tab w:pos="840" w:val="left" w:leader="none"/>
        </w:tabs>
        <w:spacing w:line="360" w:lineRule="auto" w:before="0" w:after="0"/>
        <w:ind w:left="840" w:right="1115" w:hanging="720"/>
        <w:jc w:val="both"/>
        <w:rPr>
          <w:sz w:val="24"/>
        </w:rPr>
      </w:pPr>
      <w:r>
        <w:rPr>
          <w:sz w:val="24"/>
        </w:rPr>
        <w:t>Housing needs assessment is not carried out before housing estimates are prepared. The needs assessment occasionally carried out is for sectors like health and agriculture (</w:t>
      </w:r>
      <w:r>
        <w:rPr>
          <w:i/>
          <w:sz w:val="24"/>
        </w:rPr>
        <w:t>Table </w:t>
      </w:r>
      <w:r>
        <w:rPr>
          <w:i/>
          <w:spacing w:val="-2"/>
          <w:sz w:val="24"/>
        </w:rPr>
        <w:t>5.6</w:t>
      </w:r>
      <w:r>
        <w:rPr>
          <w:spacing w:val="-2"/>
          <w:sz w:val="24"/>
        </w:rPr>
        <w:t>).</w:t>
      </w:r>
    </w:p>
    <w:p>
      <w:pPr>
        <w:pStyle w:val="ListParagraph"/>
        <w:numPr>
          <w:ilvl w:val="0"/>
          <w:numId w:val="108"/>
        </w:numPr>
        <w:tabs>
          <w:tab w:pos="840" w:val="left" w:leader="none"/>
        </w:tabs>
        <w:spacing w:line="360" w:lineRule="auto" w:before="0" w:after="0"/>
        <w:ind w:left="840" w:right="1124" w:hanging="720"/>
        <w:jc w:val="both"/>
        <w:rPr>
          <w:sz w:val="24"/>
        </w:rPr>
      </w:pPr>
      <w:r>
        <w:rPr>
          <w:sz w:val="24"/>
        </w:rPr>
        <w:t>There is ineffective monitoring and evaluation of the housing budget by housing and budget MDAs (</w:t>
      </w:r>
      <w:r>
        <w:rPr>
          <w:i/>
          <w:sz w:val="24"/>
        </w:rPr>
        <w:t>Table 5.6</w:t>
      </w:r>
      <w:r>
        <w:rPr>
          <w:sz w:val="24"/>
        </w:rPr>
        <w:t>).</w:t>
      </w:r>
    </w:p>
    <w:p>
      <w:pPr>
        <w:pStyle w:val="ListParagraph"/>
        <w:numPr>
          <w:ilvl w:val="0"/>
          <w:numId w:val="108"/>
        </w:numPr>
        <w:tabs>
          <w:tab w:pos="840" w:val="left" w:leader="none"/>
        </w:tabs>
        <w:spacing w:line="360" w:lineRule="auto" w:before="0" w:after="0"/>
        <w:ind w:left="840" w:right="1120" w:hanging="720"/>
        <w:jc w:val="both"/>
        <w:rPr>
          <w:sz w:val="24"/>
        </w:rPr>
      </w:pPr>
      <w:r>
        <w:rPr>
          <w:sz w:val="24"/>
        </w:rPr>
        <w:t>Budget performance reviews and reports are not prepared specifically for the housing sector in Anambra State (</w:t>
      </w:r>
      <w:r>
        <w:rPr>
          <w:i/>
          <w:sz w:val="24"/>
        </w:rPr>
        <w:t>Table 5.6</w:t>
      </w:r>
      <w:r>
        <w:rPr>
          <w:sz w:val="24"/>
        </w:rPr>
        <w:t>).</w:t>
      </w:r>
    </w:p>
    <w:p>
      <w:pPr>
        <w:spacing w:after="0" w:line="360" w:lineRule="auto"/>
        <w:jc w:val="both"/>
        <w:rPr>
          <w:sz w:val="24"/>
        </w:rPr>
        <w:sectPr>
          <w:pgSz w:w="12240" w:h="15840"/>
          <w:pgMar w:header="0" w:footer="1036" w:top="1360" w:bottom="1220" w:left="1320" w:right="320"/>
        </w:sectPr>
      </w:pPr>
    </w:p>
    <w:p>
      <w:pPr>
        <w:pStyle w:val="ListParagraph"/>
        <w:numPr>
          <w:ilvl w:val="0"/>
          <w:numId w:val="108"/>
        </w:numPr>
        <w:tabs>
          <w:tab w:pos="840" w:val="left" w:leader="none"/>
        </w:tabs>
        <w:spacing w:line="360" w:lineRule="auto" w:before="74" w:after="0"/>
        <w:ind w:left="840" w:right="1126" w:hanging="720"/>
        <w:jc w:val="both"/>
        <w:rPr>
          <w:sz w:val="24"/>
        </w:rPr>
      </w:pPr>
      <w:r>
        <w:rPr>
          <w:sz w:val="24"/>
        </w:rPr>
        <w:t>Poor remuneration, lack of motivation and unethical practices are among the major problems hindering effective housing budget preparation in Anambra State (</w:t>
      </w:r>
      <w:r>
        <w:rPr>
          <w:i/>
          <w:sz w:val="24"/>
        </w:rPr>
        <w:t>Table 5.7</w:t>
      </w:r>
      <w:r>
        <w:rPr>
          <w:sz w:val="24"/>
        </w:rPr>
        <w:t>).</w:t>
      </w:r>
    </w:p>
    <w:p>
      <w:pPr>
        <w:pStyle w:val="ListParagraph"/>
        <w:numPr>
          <w:ilvl w:val="0"/>
          <w:numId w:val="108"/>
        </w:numPr>
        <w:tabs>
          <w:tab w:pos="840" w:val="left" w:leader="none"/>
        </w:tabs>
        <w:spacing w:line="360" w:lineRule="auto" w:before="1" w:after="0"/>
        <w:ind w:left="840" w:right="1120" w:hanging="720"/>
        <w:jc w:val="both"/>
        <w:rPr>
          <w:sz w:val="24"/>
        </w:rPr>
      </w:pPr>
      <w:r>
        <w:rPr>
          <w:sz w:val="24"/>
        </w:rPr>
        <w:t>There is ineffective citizen participation in the housing budget process of Anambra State. The present situation where focus groups or CSOs are invited to be present during bilateral</w:t>
      </w:r>
      <w:r>
        <w:rPr>
          <w:spacing w:val="-2"/>
          <w:sz w:val="24"/>
        </w:rPr>
        <w:t> </w:t>
      </w:r>
      <w:r>
        <w:rPr>
          <w:sz w:val="24"/>
        </w:rPr>
        <w:t>discussions</w:t>
      </w:r>
      <w:r>
        <w:rPr>
          <w:spacing w:val="-2"/>
          <w:sz w:val="24"/>
        </w:rPr>
        <w:t> </w:t>
      </w:r>
      <w:r>
        <w:rPr>
          <w:sz w:val="24"/>
        </w:rPr>
        <w:t>and</w:t>
      </w:r>
      <w:r>
        <w:rPr>
          <w:spacing w:val="-4"/>
          <w:sz w:val="24"/>
        </w:rPr>
        <w:t> </w:t>
      </w:r>
      <w:r>
        <w:rPr>
          <w:sz w:val="24"/>
        </w:rPr>
        <w:t>defense</w:t>
      </w:r>
      <w:r>
        <w:rPr>
          <w:spacing w:val="-3"/>
          <w:sz w:val="24"/>
        </w:rPr>
        <w:t> </w:t>
      </w:r>
      <w:r>
        <w:rPr>
          <w:sz w:val="24"/>
        </w:rPr>
        <w:t>of</w:t>
      </w:r>
      <w:r>
        <w:rPr>
          <w:spacing w:val="-1"/>
          <w:sz w:val="24"/>
        </w:rPr>
        <w:t> </w:t>
      </w:r>
      <w:r>
        <w:rPr>
          <w:sz w:val="24"/>
        </w:rPr>
        <w:t>proposals</w:t>
      </w:r>
      <w:r>
        <w:rPr>
          <w:spacing w:val="-2"/>
          <w:sz w:val="24"/>
        </w:rPr>
        <w:t> </w:t>
      </w:r>
      <w:r>
        <w:rPr>
          <w:sz w:val="24"/>
        </w:rPr>
        <w:t>can</w:t>
      </w:r>
      <w:r>
        <w:rPr>
          <w:spacing w:val="-1"/>
          <w:sz w:val="24"/>
        </w:rPr>
        <w:t> </w:t>
      </w:r>
      <w:r>
        <w:rPr>
          <w:sz w:val="24"/>
        </w:rPr>
        <w:t>best</w:t>
      </w:r>
      <w:r>
        <w:rPr>
          <w:spacing w:val="-2"/>
          <w:sz w:val="24"/>
        </w:rPr>
        <w:t> </w:t>
      </w:r>
      <w:r>
        <w:rPr>
          <w:sz w:val="24"/>
        </w:rPr>
        <w:t>be</w:t>
      </w:r>
      <w:r>
        <w:rPr>
          <w:spacing w:val="-3"/>
          <w:sz w:val="24"/>
        </w:rPr>
        <w:t> </w:t>
      </w:r>
      <w:r>
        <w:rPr>
          <w:sz w:val="24"/>
        </w:rPr>
        <w:t>described</w:t>
      </w:r>
      <w:r>
        <w:rPr>
          <w:spacing w:val="-2"/>
          <w:sz w:val="24"/>
        </w:rPr>
        <w:t> </w:t>
      </w:r>
      <w:r>
        <w:rPr>
          <w:sz w:val="24"/>
        </w:rPr>
        <w:t>as</w:t>
      </w:r>
      <w:r>
        <w:rPr>
          <w:spacing w:val="-2"/>
          <w:sz w:val="24"/>
        </w:rPr>
        <w:t> </w:t>
      </w:r>
      <w:r>
        <w:rPr>
          <w:sz w:val="24"/>
        </w:rPr>
        <w:t>citizen</w:t>
      </w:r>
      <w:r>
        <w:rPr>
          <w:spacing w:val="-2"/>
          <w:sz w:val="24"/>
        </w:rPr>
        <w:t> </w:t>
      </w:r>
      <w:r>
        <w:rPr>
          <w:sz w:val="24"/>
        </w:rPr>
        <w:t>observation (</w:t>
      </w:r>
      <w:r>
        <w:rPr>
          <w:i/>
          <w:sz w:val="24"/>
        </w:rPr>
        <w:t>sections 3.5 &amp; 5.3.3</w:t>
      </w:r>
      <w:r>
        <w:rPr>
          <w:sz w:val="24"/>
        </w:rPr>
        <w:t>).</w:t>
      </w:r>
    </w:p>
    <w:p>
      <w:pPr>
        <w:pStyle w:val="ListParagraph"/>
        <w:numPr>
          <w:ilvl w:val="0"/>
          <w:numId w:val="108"/>
        </w:numPr>
        <w:tabs>
          <w:tab w:pos="840" w:val="left" w:leader="none"/>
        </w:tabs>
        <w:spacing w:line="360" w:lineRule="auto" w:before="0" w:after="0"/>
        <w:ind w:left="840" w:right="1115" w:hanging="720"/>
        <w:jc w:val="both"/>
        <w:rPr>
          <w:sz w:val="24"/>
        </w:rPr>
      </w:pPr>
      <w:r>
        <w:rPr>
          <w:sz w:val="24"/>
        </w:rPr>
        <w:t>There are no objective criteria adopted by the government in stipulating annual housing budget ceilings and allocating annual housing budget. The present ceilings which are largely based on the Governor‘s discretion, strongly suggests political influence (</w:t>
      </w:r>
      <w:r>
        <w:rPr>
          <w:i/>
          <w:sz w:val="24"/>
        </w:rPr>
        <w:t>Table </w:t>
      </w:r>
      <w:r>
        <w:rPr>
          <w:i/>
          <w:spacing w:val="-2"/>
          <w:sz w:val="24"/>
        </w:rPr>
        <w:t>5.8</w:t>
      </w:r>
      <w:r>
        <w:rPr>
          <w:spacing w:val="-2"/>
          <w:sz w:val="24"/>
        </w:rPr>
        <w:t>).</w:t>
      </w:r>
    </w:p>
    <w:p>
      <w:pPr>
        <w:pStyle w:val="ListParagraph"/>
        <w:numPr>
          <w:ilvl w:val="0"/>
          <w:numId w:val="108"/>
        </w:numPr>
        <w:tabs>
          <w:tab w:pos="840" w:val="left" w:leader="none"/>
        </w:tabs>
        <w:spacing w:line="360" w:lineRule="auto" w:before="0" w:after="0"/>
        <w:ind w:left="840" w:right="1117" w:hanging="720"/>
        <w:jc w:val="both"/>
        <w:rPr>
          <w:sz w:val="24"/>
        </w:rPr>
      </w:pPr>
      <w:r>
        <w:rPr>
          <w:sz w:val="24"/>
        </w:rPr>
        <w:t>The general level of implementation of the annual housing budget according to respondents is between 20 – 40% (</w:t>
      </w:r>
      <w:r>
        <w:rPr>
          <w:i/>
          <w:sz w:val="24"/>
        </w:rPr>
        <w:t>Table 5.8</w:t>
      </w:r>
      <w:r>
        <w:rPr>
          <w:sz w:val="24"/>
        </w:rPr>
        <w:t>).</w:t>
      </w:r>
    </w:p>
    <w:p>
      <w:pPr>
        <w:pStyle w:val="ListParagraph"/>
        <w:numPr>
          <w:ilvl w:val="0"/>
          <w:numId w:val="108"/>
        </w:numPr>
        <w:tabs>
          <w:tab w:pos="840" w:val="left" w:leader="none"/>
        </w:tabs>
        <w:spacing w:line="360" w:lineRule="auto" w:before="0" w:after="0"/>
        <w:ind w:left="840" w:right="1118" w:hanging="720"/>
        <w:jc w:val="both"/>
        <w:rPr>
          <w:sz w:val="24"/>
        </w:rPr>
      </w:pPr>
      <w:r>
        <w:rPr>
          <w:sz w:val="24"/>
        </w:rPr>
        <w:t>Upon comparison of the current housing budget duration and the stipulated calendar duration, only issuance of call circular, bilateral discussions, consolidation of proposals and governor‘s assent showed adherence to the calendar duration. Others like budget planning, submission of estimates, approval by SEC, approval by legislature, publication and dissemination of budget showed wide deviations from the stipulated calendar duration. Generally, the overall current housing budget duration deviates from the stipulated duration by 18 weeks (4 months, 2 weeks) (</w:t>
      </w:r>
      <w:r>
        <w:rPr>
          <w:i/>
          <w:sz w:val="24"/>
        </w:rPr>
        <w:t>See Table 5.10</w:t>
      </w:r>
      <w:r>
        <w:rPr>
          <w:sz w:val="24"/>
        </w:rPr>
        <w:t>).</w:t>
      </w:r>
    </w:p>
    <w:p>
      <w:pPr>
        <w:pStyle w:val="ListParagraph"/>
        <w:numPr>
          <w:ilvl w:val="0"/>
          <w:numId w:val="108"/>
        </w:numPr>
        <w:tabs>
          <w:tab w:pos="840" w:val="left" w:leader="none"/>
        </w:tabs>
        <w:spacing w:line="360" w:lineRule="auto" w:before="0" w:after="0"/>
        <w:ind w:left="840" w:right="1115" w:hanging="720"/>
        <w:jc w:val="both"/>
        <w:rPr>
          <w:sz w:val="24"/>
        </w:rPr>
      </w:pPr>
      <w:r>
        <w:rPr>
          <w:sz w:val="24"/>
        </w:rPr>
        <w:t>Preparation of housing estimates, tendering, budget planning and formulation and monitoring of housing projects are among the major roles which respondents affirm are currently performed by the QS in the housing budget process of Anambra State (</w:t>
      </w:r>
      <w:r>
        <w:rPr>
          <w:i/>
          <w:sz w:val="24"/>
        </w:rPr>
        <w:t>Table </w:t>
      </w:r>
      <w:r>
        <w:rPr>
          <w:i/>
          <w:spacing w:val="-2"/>
          <w:sz w:val="24"/>
        </w:rPr>
        <w:t>5.11</w:t>
      </w:r>
      <w:r>
        <w:rPr>
          <w:spacing w:val="-2"/>
          <w:sz w:val="24"/>
        </w:rPr>
        <w:t>).</w:t>
      </w:r>
    </w:p>
    <w:p>
      <w:pPr>
        <w:pStyle w:val="ListParagraph"/>
        <w:numPr>
          <w:ilvl w:val="0"/>
          <w:numId w:val="108"/>
        </w:numPr>
        <w:tabs>
          <w:tab w:pos="840" w:val="left" w:leader="none"/>
        </w:tabs>
        <w:spacing w:line="360" w:lineRule="auto" w:before="0" w:after="0"/>
        <w:ind w:left="840" w:right="1125" w:hanging="720"/>
        <w:jc w:val="both"/>
        <w:rPr>
          <w:sz w:val="24"/>
        </w:rPr>
      </w:pPr>
      <w:r>
        <w:rPr>
          <w:sz w:val="24"/>
        </w:rPr>
        <w:t>The budget allocation for housing in Anambra State is considered grossly inadequate (</w:t>
      </w:r>
      <w:r>
        <w:rPr>
          <w:i/>
          <w:sz w:val="24"/>
        </w:rPr>
        <w:t>Table 5.12</w:t>
      </w:r>
      <w:r>
        <w:rPr>
          <w:sz w:val="24"/>
        </w:rPr>
        <w:t>).</w:t>
      </w:r>
    </w:p>
    <w:p>
      <w:pPr>
        <w:pStyle w:val="ListParagraph"/>
        <w:numPr>
          <w:ilvl w:val="0"/>
          <w:numId w:val="108"/>
        </w:numPr>
        <w:tabs>
          <w:tab w:pos="839" w:val="left" w:leader="none"/>
        </w:tabs>
        <w:spacing w:line="240" w:lineRule="auto" w:before="1" w:after="0"/>
        <w:ind w:left="839" w:right="0" w:hanging="719"/>
        <w:jc w:val="both"/>
        <w:rPr>
          <w:sz w:val="24"/>
        </w:rPr>
      </w:pPr>
      <w:r>
        <w:rPr>
          <w:sz w:val="24"/>
        </w:rPr>
        <w:t>There</w:t>
      </w:r>
      <w:r>
        <w:rPr>
          <w:spacing w:val="-3"/>
          <w:sz w:val="24"/>
        </w:rPr>
        <w:t> </w:t>
      </w:r>
      <w:r>
        <w:rPr>
          <w:sz w:val="24"/>
        </w:rPr>
        <w:t>is always</w:t>
      </w:r>
      <w:r>
        <w:rPr>
          <w:spacing w:val="-1"/>
          <w:sz w:val="24"/>
        </w:rPr>
        <w:t> </w:t>
      </w:r>
      <w:r>
        <w:rPr>
          <w:sz w:val="24"/>
        </w:rPr>
        <w:t>delay</w:t>
      </w:r>
      <w:r>
        <w:rPr>
          <w:spacing w:val="-5"/>
          <w:sz w:val="24"/>
        </w:rPr>
        <w:t> </w:t>
      </w:r>
      <w:r>
        <w:rPr>
          <w:sz w:val="24"/>
        </w:rPr>
        <w:t>in</w:t>
      </w:r>
      <w:r>
        <w:rPr>
          <w:spacing w:val="1"/>
          <w:sz w:val="24"/>
        </w:rPr>
        <w:t> </w:t>
      </w:r>
      <w:r>
        <w:rPr>
          <w:sz w:val="24"/>
        </w:rPr>
        <w:t>release</w:t>
      </w:r>
      <w:r>
        <w:rPr>
          <w:spacing w:val="-1"/>
          <w:sz w:val="24"/>
        </w:rPr>
        <w:t> </w:t>
      </w:r>
      <w:r>
        <w:rPr>
          <w:sz w:val="24"/>
        </w:rPr>
        <w:t>of</w:t>
      </w:r>
      <w:r>
        <w:rPr>
          <w:spacing w:val="-1"/>
          <w:sz w:val="24"/>
        </w:rPr>
        <w:t> </w:t>
      </w:r>
      <w:r>
        <w:rPr>
          <w:sz w:val="24"/>
        </w:rPr>
        <w:t>funds for</w:t>
      </w:r>
      <w:r>
        <w:rPr>
          <w:spacing w:val="-1"/>
          <w:sz w:val="24"/>
        </w:rPr>
        <w:t> </w:t>
      </w:r>
      <w:r>
        <w:rPr>
          <w:sz w:val="24"/>
        </w:rPr>
        <w:t>housing</w:t>
      </w:r>
      <w:r>
        <w:rPr>
          <w:spacing w:val="-2"/>
          <w:sz w:val="24"/>
        </w:rPr>
        <w:t> </w:t>
      </w:r>
      <w:r>
        <w:rPr>
          <w:sz w:val="24"/>
        </w:rPr>
        <w:t>projects</w:t>
      </w:r>
      <w:r>
        <w:rPr>
          <w:spacing w:val="2"/>
          <w:sz w:val="24"/>
        </w:rPr>
        <w:t> </w:t>
      </w:r>
      <w:r>
        <w:rPr>
          <w:sz w:val="24"/>
        </w:rPr>
        <w:t>(</w:t>
      </w:r>
      <w:r>
        <w:rPr>
          <w:i/>
          <w:sz w:val="24"/>
        </w:rPr>
        <w:t>Table </w:t>
      </w:r>
      <w:r>
        <w:rPr>
          <w:i/>
          <w:spacing w:val="-2"/>
          <w:sz w:val="24"/>
        </w:rPr>
        <w:t>5.12</w:t>
      </w:r>
      <w:r>
        <w:rPr>
          <w:spacing w:val="-2"/>
          <w:sz w:val="24"/>
        </w:rPr>
        <w:t>).</w:t>
      </w:r>
    </w:p>
    <w:p>
      <w:pPr>
        <w:pStyle w:val="ListParagraph"/>
        <w:numPr>
          <w:ilvl w:val="0"/>
          <w:numId w:val="108"/>
        </w:numPr>
        <w:tabs>
          <w:tab w:pos="840" w:val="left" w:leader="none"/>
        </w:tabs>
        <w:spacing w:line="360" w:lineRule="auto" w:before="139" w:after="0"/>
        <w:ind w:left="840" w:right="1119" w:hanging="720"/>
        <w:jc w:val="both"/>
        <w:rPr>
          <w:sz w:val="24"/>
        </w:rPr>
      </w:pPr>
      <w:r>
        <w:rPr>
          <w:sz w:val="24"/>
        </w:rPr>
        <w:t>The Anambra State government rarely provides financial support for the State Housing Development Corporation despite the amount being included in the annual budget (</w:t>
      </w:r>
      <w:r>
        <w:rPr>
          <w:i/>
          <w:sz w:val="24"/>
        </w:rPr>
        <w:t>Table </w:t>
      </w:r>
      <w:r>
        <w:rPr>
          <w:i/>
          <w:spacing w:val="-2"/>
          <w:sz w:val="24"/>
        </w:rPr>
        <w:t>5.12</w:t>
      </w:r>
      <w:r>
        <w:rPr>
          <w:spacing w:val="-2"/>
          <w:sz w:val="24"/>
        </w:rPr>
        <w:t>).</w:t>
      </w:r>
    </w:p>
    <w:p>
      <w:pPr>
        <w:spacing w:after="0" w:line="360" w:lineRule="auto"/>
        <w:jc w:val="both"/>
        <w:rPr>
          <w:sz w:val="24"/>
        </w:rPr>
        <w:sectPr>
          <w:pgSz w:w="12240" w:h="15840"/>
          <w:pgMar w:header="0" w:footer="1036" w:top="1360" w:bottom="1220" w:left="1320" w:right="320"/>
        </w:sectPr>
      </w:pPr>
    </w:p>
    <w:p>
      <w:pPr>
        <w:pStyle w:val="ListParagraph"/>
        <w:numPr>
          <w:ilvl w:val="0"/>
          <w:numId w:val="108"/>
        </w:numPr>
        <w:tabs>
          <w:tab w:pos="840" w:val="left" w:leader="none"/>
        </w:tabs>
        <w:spacing w:line="360" w:lineRule="auto" w:before="74" w:after="0"/>
        <w:ind w:left="840" w:right="1116" w:hanging="720"/>
        <w:jc w:val="both"/>
        <w:rPr>
          <w:sz w:val="24"/>
        </w:rPr>
      </w:pPr>
      <w:r>
        <w:rPr>
          <w:sz w:val="24"/>
        </w:rPr>
        <w:t>The federal allocation is still the largest source of funds for the Anambra State budget (</w:t>
      </w:r>
      <w:r>
        <w:rPr>
          <w:i/>
          <w:sz w:val="24"/>
        </w:rPr>
        <w:t>Table 5.12</w:t>
      </w:r>
      <w:r>
        <w:rPr>
          <w:sz w:val="24"/>
        </w:rPr>
        <w:t>).</w:t>
      </w:r>
    </w:p>
    <w:p>
      <w:pPr>
        <w:pStyle w:val="ListParagraph"/>
        <w:numPr>
          <w:ilvl w:val="0"/>
          <w:numId w:val="108"/>
        </w:numPr>
        <w:tabs>
          <w:tab w:pos="840" w:val="left" w:leader="none"/>
        </w:tabs>
        <w:spacing w:line="360" w:lineRule="auto" w:before="1" w:after="0"/>
        <w:ind w:left="840" w:right="1122" w:hanging="720"/>
        <w:jc w:val="both"/>
        <w:rPr>
          <w:sz w:val="24"/>
        </w:rPr>
      </w:pPr>
      <w:r>
        <w:rPr>
          <w:sz w:val="24"/>
        </w:rPr>
        <w:t>Respondents are of the opinion that the QS is the most equipped professional to be involved in the entire housing budget process (</w:t>
      </w:r>
      <w:r>
        <w:rPr>
          <w:i/>
          <w:sz w:val="24"/>
        </w:rPr>
        <w:t>Table 5.12</w:t>
      </w:r>
      <w:r>
        <w:rPr>
          <w:sz w:val="24"/>
        </w:rPr>
        <w:t>).</w:t>
      </w:r>
    </w:p>
    <w:p>
      <w:pPr>
        <w:pStyle w:val="ListParagraph"/>
        <w:numPr>
          <w:ilvl w:val="0"/>
          <w:numId w:val="108"/>
        </w:numPr>
        <w:tabs>
          <w:tab w:pos="840" w:val="left" w:leader="none"/>
        </w:tabs>
        <w:spacing w:line="360" w:lineRule="auto" w:before="0" w:after="0"/>
        <w:ind w:left="840" w:right="1115" w:hanging="720"/>
        <w:jc w:val="both"/>
        <w:rPr>
          <w:sz w:val="24"/>
        </w:rPr>
      </w:pPr>
      <w:r>
        <w:rPr>
          <w:sz w:val="24"/>
        </w:rPr>
        <w:t>Budget indiscipline, undue political influence, poor federal allocation, delay in release of funds, lack of accurate data on housing needs, delay in passage and approval of budget, lack of transparency and accountability and deferred budgeting are among the major planning, preparation and implementation problems facing housing budget performance in Anambra State (</w:t>
      </w:r>
      <w:r>
        <w:rPr>
          <w:i/>
          <w:sz w:val="24"/>
        </w:rPr>
        <w:t>Table 5.13</w:t>
      </w:r>
      <w:r>
        <w:rPr>
          <w:sz w:val="24"/>
        </w:rPr>
        <w:t>).</w:t>
      </w:r>
    </w:p>
    <w:p>
      <w:pPr>
        <w:pStyle w:val="ListParagraph"/>
        <w:numPr>
          <w:ilvl w:val="0"/>
          <w:numId w:val="108"/>
        </w:numPr>
        <w:tabs>
          <w:tab w:pos="840" w:val="left" w:leader="none"/>
        </w:tabs>
        <w:spacing w:line="360" w:lineRule="auto" w:before="0" w:after="0"/>
        <w:ind w:left="840" w:right="1115" w:hanging="720"/>
        <w:jc w:val="both"/>
        <w:rPr>
          <w:sz w:val="24"/>
        </w:rPr>
      </w:pPr>
      <w:r>
        <w:rPr>
          <w:sz w:val="24"/>
        </w:rPr>
        <w:t>The trend of housing budget allocation from 1999 – 2016 in Anambra State is skewed; hence it does not follow any regular pattern, it is unpredictable, implying that past or present allocations cannot be used to predict future allocations (</w:t>
      </w:r>
      <w:r>
        <w:rPr>
          <w:i/>
          <w:sz w:val="24"/>
        </w:rPr>
        <w:t>figure 5.14</w:t>
      </w:r>
      <w:r>
        <w:rPr>
          <w:sz w:val="24"/>
        </w:rPr>
        <w:t>).</w:t>
      </w:r>
    </w:p>
    <w:p>
      <w:pPr>
        <w:pStyle w:val="ListParagraph"/>
        <w:numPr>
          <w:ilvl w:val="0"/>
          <w:numId w:val="108"/>
        </w:numPr>
        <w:tabs>
          <w:tab w:pos="840" w:val="left" w:leader="none"/>
        </w:tabs>
        <w:spacing w:line="360" w:lineRule="auto" w:before="0" w:after="0"/>
        <w:ind w:left="840" w:right="1113" w:hanging="720"/>
        <w:jc w:val="both"/>
        <w:rPr>
          <w:sz w:val="24"/>
        </w:rPr>
      </w:pPr>
      <w:r>
        <w:rPr>
          <w:sz w:val="24"/>
        </w:rPr>
        <w:t>From the analysis of the annual budget; among</w:t>
      </w:r>
      <w:r>
        <w:rPr>
          <w:spacing w:val="-2"/>
          <w:sz w:val="24"/>
        </w:rPr>
        <w:t> </w:t>
      </w:r>
      <w:r>
        <w:rPr>
          <w:sz w:val="24"/>
        </w:rPr>
        <w:t>the key</w:t>
      </w:r>
      <w:r>
        <w:rPr>
          <w:spacing w:val="-2"/>
          <w:sz w:val="24"/>
        </w:rPr>
        <w:t> </w:t>
      </w:r>
      <w:r>
        <w:rPr>
          <w:sz w:val="24"/>
        </w:rPr>
        <w:t>sectors of Anambra State (Health, Education, Housing, Works, Agriculture) considered in the study, from 1999 - 2016, housing has a total budget allocation of </w:t>
      </w:r>
      <w:r>
        <w:rPr>
          <w:dstrike/>
          <w:sz w:val="24"/>
        </w:rPr>
        <w:t>N</w:t>
      </w:r>
      <w:r>
        <w:rPr>
          <w:strike w:val="0"/>
          <w:sz w:val="24"/>
        </w:rPr>
        <w:t>34.8b, Education = </w:t>
      </w:r>
      <w:r>
        <w:rPr>
          <w:dstrike/>
          <w:sz w:val="24"/>
        </w:rPr>
        <w:t>N</w:t>
      </w:r>
      <w:r>
        <w:rPr>
          <w:strike w:val="0"/>
          <w:sz w:val="24"/>
        </w:rPr>
        <w:t>57.8b, Health = </w:t>
      </w:r>
      <w:r>
        <w:rPr>
          <w:dstrike/>
          <w:sz w:val="24"/>
        </w:rPr>
        <w:t>N</w:t>
      </w:r>
      <w:r>
        <w:rPr>
          <w:strike w:val="0"/>
          <w:sz w:val="24"/>
        </w:rPr>
        <w:t>25b, Agriculture = </w:t>
      </w:r>
      <w:r>
        <w:rPr>
          <w:dstrike/>
          <w:sz w:val="24"/>
        </w:rPr>
        <w:t>N</w:t>
      </w:r>
      <w:r>
        <w:rPr>
          <w:strike w:val="0"/>
          <w:sz w:val="24"/>
        </w:rPr>
        <w:t> 22.1b and Works = </w:t>
      </w:r>
      <w:r>
        <w:rPr>
          <w:dstrike/>
          <w:sz w:val="24"/>
        </w:rPr>
        <w:t>N</w:t>
      </w:r>
      <w:r>
        <w:rPr>
          <w:strike w:val="0"/>
          <w:sz w:val="24"/>
        </w:rPr>
        <w:t>249.12b out of a total capital allocation of </w:t>
      </w:r>
      <w:r>
        <w:rPr>
          <w:dstrike/>
          <w:sz w:val="24"/>
        </w:rPr>
        <w:t>N</w:t>
      </w:r>
      <w:r>
        <w:rPr>
          <w:strike w:val="0"/>
          <w:sz w:val="24"/>
        </w:rPr>
        <w:t> 683.38b, showing that the most prioritized sector is Works (</w:t>
      </w:r>
      <w:r>
        <w:rPr>
          <w:i/>
          <w:strike w:val="0"/>
          <w:sz w:val="24"/>
        </w:rPr>
        <w:t>Table 5.15</w:t>
      </w:r>
      <w:r>
        <w:rPr>
          <w:strike w:val="0"/>
          <w:sz w:val="24"/>
        </w:rPr>
        <w:t>).</w:t>
      </w:r>
    </w:p>
    <w:p>
      <w:pPr>
        <w:pStyle w:val="ListParagraph"/>
        <w:numPr>
          <w:ilvl w:val="0"/>
          <w:numId w:val="108"/>
        </w:numPr>
        <w:tabs>
          <w:tab w:pos="840" w:val="left" w:leader="none"/>
        </w:tabs>
        <w:spacing w:line="360" w:lineRule="auto" w:before="0" w:after="0"/>
        <w:ind w:left="840" w:right="1116" w:hanging="720"/>
        <w:jc w:val="both"/>
        <w:rPr>
          <w:sz w:val="24"/>
        </w:rPr>
      </w:pPr>
      <w:r>
        <w:rPr>
          <w:sz w:val="24"/>
        </w:rPr>
        <w:t>The annual average percentage budget allocation to housing from 1999 – 2016 is 8.5%, while works has 33.22% (</w:t>
      </w:r>
      <w:r>
        <w:rPr>
          <w:i/>
          <w:sz w:val="24"/>
        </w:rPr>
        <w:t>Table 5.16</w:t>
      </w:r>
      <w:r>
        <w:rPr>
          <w:sz w:val="24"/>
        </w:rPr>
        <w:t>).</w:t>
      </w:r>
    </w:p>
    <w:p>
      <w:pPr>
        <w:pStyle w:val="ListParagraph"/>
        <w:numPr>
          <w:ilvl w:val="0"/>
          <w:numId w:val="108"/>
        </w:numPr>
        <w:tabs>
          <w:tab w:pos="840" w:val="left" w:leader="none"/>
        </w:tabs>
        <w:spacing w:line="360" w:lineRule="auto" w:before="0" w:after="0"/>
        <w:ind w:left="840" w:right="1118" w:hanging="720"/>
        <w:jc w:val="both"/>
        <w:rPr>
          <w:sz w:val="24"/>
        </w:rPr>
      </w:pPr>
      <w:r>
        <w:rPr>
          <w:sz w:val="24"/>
        </w:rPr>
        <w:t>Total housing budget ceiling from 2010 – 2016 is </w:t>
      </w:r>
      <w:r>
        <w:rPr>
          <w:dstrike/>
          <w:sz w:val="24"/>
        </w:rPr>
        <w:t>N</w:t>
      </w:r>
      <w:r>
        <w:rPr>
          <w:strike w:val="0"/>
          <w:sz w:val="24"/>
        </w:rPr>
        <w:t>10.36b, while final budget allocation is</w:t>
      </w:r>
      <w:r>
        <w:rPr>
          <w:strike w:val="0"/>
          <w:spacing w:val="-2"/>
          <w:sz w:val="24"/>
        </w:rPr>
        <w:t> </w:t>
      </w:r>
      <w:r>
        <w:rPr>
          <w:dstrike/>
          <w:sz w:val="24"/>
        </w:rPr>
        <w:t>N</w:t>
      </w:r>
      <w:r>
        <w:rPr>
          <w:strike w:val="0"/>
          <w:sz w:val="24"/>
        </w:rPr>
        <w:t>14.86b,</w:t>
      </w:r>
      <w:r>
        <w:rPr>
          <w:strike w:val="0"/>
          <w:spacing w:val="-2"/>
          <w:sz w:val="24"/>
        </w:rPr>
        <w:t> </w:t>
      </w:r>
      <w:r>
        <w:rPr>
          <w:strike w:val="0"/>
          <w:sz w:val="24"/>
        </w:rPr>
        <w:t>with</w:t>
      </w:r>
      <w:r>
        <w:rPr>
          <w:strike w:val="0"/>
          <w:spacing w:val="-2"/>
          <w:sz w:val="24"/>
        </w:rPr>
        <w:t> </w:t>
      </w:r>
      <w:r>
        <w:rPr>
          <w:strike w:val="0"/>
          <w:sz w:val="24"/>
        </w:rPr>
        <w:t>a</w:t>
      </w:r>
      <w:r>
        <w:rPr>
          <w:strike w:val="0"/>
          <w:spacing w:val="-2"/>
          <w:sz w:val="24"/>
        </w:rPr>
        <w:t> </w:t>
      </w:r>
      <w:r>
        <w:rPr>
          <w:strike w:val="0"/>
          <w:sz w:val="24"/>
        </w:rPr>
        <w:t>difference</w:t>
      </w:r>
      <w:r>
        <w:rPr>
          <w:strike w:val="0"/>
          <w:spacing w:val="-3"/>
          <w:sz w:val="24"/>
        </w:rPr>
        <w:t> </w:t>
      </w:r>
      <w:r>
        <w:rPr>
          <w:strike w:val="0"/>
          <w:sz w:val="24"/>
        </w:rPr>
        <w:t>of</w:t>
      </w:r>
      <w:r>
        <w:rPr>
          <w:strike w:val="0"/>
          <w:spacing w:val="-2"/>
          <w:sz w:val="24"/>
        </w:rPr>
        <w:t> </w:t>
      </w:r>
      <w:r>
        <w:rPr>
          <w:dstrike/>
          <w:sz w:val="24"/>
        </w:rPr>
        <w:t>N</w:t>
      </w:r>
      <w:r>
        <w:rPr>
          <w:strike w:val="0"/>
          <w:sz w:val="24"/>
        </w:rPr>
        <w:t>4.49b,</w:t>
      </w:r>
      <w:r>
        <w:rPr>
          <w:strike w:val="0"/>
          <w:spacing w:val="-2"/>
          <w:sz w:val="24"/>
        </w:rPr>
        <w:t> </w:t>
      </w:r>
      <w:r>
        <w:rPr>
          <w:strike w:val="0"/>
          <w:sz w:val="24"/>
        </w:rPr>
        <w:t>indicating</w:t>
      </w:r>
      <w:r>
        <w:rPr>
          <w:strike w:val="0"/>
          <w:spacing w:val="-5"/>
          <w:sz w:val="24"/>
        </w:rPr>
        <w:t> </w:t>
      </w:r>
      <w:r>
        <w:rPr>
          <w:strike w:val="0"/>
          <w:sz w:val="24"/>
        </w:rPr>
        <w:t>that</w:t>
      </w:r>
      <w:r>
        <w:rPr>
          <w:strike w:val="0"/>
          <w:spacing w:val="-2"/>
          <w:sz w:val="24"/>
        </w:rPr>
        <w:t> </w:t>
      </w:r>
      <w:r>
        <w:rPr>
          <w:strike w:val="0"/>
          <w:sz w:val="24"/>
        </w:rPr>
        <w:t>the</w:t>
      </w:r>
      <w:r>
        <w:rPr>
          <w:strike w:val="0"/>
          <w:spacing w:val="-3"/>
          <w:sz w:val="24"/>
        </w:rPr>
        <w:t> </w:t>
      </w:r>
      <w:r>
        <w:rPr>
          <w:strike w:val="0"/>
          <w:sz w:val="24"/>
        </w:rPr>
        <w:t>annual</w:t>
      </w:r>
      <w:r>
        <w:rPr>
          <w:strike w:val="0"/>
          <w:spacing w:val="-2"/>
          <w:sz w:val="24"/>
        </w:rPr>
        <w:t> </w:t>
      </w:r>
      <w:r>
        <w:rPr>
          <w:strike w:val="0"/>
          <w:sz w:val="24"/>
        </w:rPr>
        <w:t>budget ceiling</w:t>
      </w:r>
      <w:r>
        <w:rPr>
          <w:strike w:val="0"/>
          <w:spacing w:val="-4"/>
          <w:sz w:val="24"/>
        </w:rPr>
        <w:t> </w:t>
      </w:r>
      <w:r>
        <w:rPr>
          <w:strike w:val="0"/>
          <w:sz w:val="24"/>
        </w:rPr>
        <w:t>is</w:t>
      </w:r>
      <w:r>
        <w:rPr>
          <w:strike w:val="0"/>
          <w:spacing w:val="-2"/>
          <w:sz w:val="24"/>
        </w:rPr>
        <w:t> </w:t>
      </w:r>
      <w:r>
        <w:rPr>
          <w:strike w:val="0"/>
          <w:sz w:val="24"/>
        </w:rPr>
        <w:t>30.28</w:t>
      </w:r>
    </w:p>
    <w:p>
      <w:pPr>
        <w:pStyle w:val="BodyText"/>
        <w:ind w:left="840"/>
        <w:jc w:val="both"/>
      </w:pPr>
      <w:r>
        <w:rPr/>
        <w:t>%</w:t>
      </w:r>
      <w:r>
        <w:rPr>
          <w:spacing w:val="-2"/>
        </w:rPr>
        <w:t> </w:t>
      </w:r>
      <w:r>
        <w:rPr/>
        <w:t>less</w:t>
      </w:r>
      <w:r>
        <w:rPr>
          <w:spacing w:val="-1"/>
        </w:rPr>
        <w:t> </w:t>
      </w:r>
      <w:r>
        <w:rPr/>
        <w:t>than</w:t>
      </w:r>
      <w:r>
        <w:rPr>
          <w:spacing w:val="-1"/>
        </w:rPr>
        <w:t> </w:t>
      </w:r>
      <w:r>
        <w:rPr/>
        <w:t>the</w:t>
      </w:r>
      <w:r>
        <w:rPr>
          <w:spacing w:val="-1"/>
        </w:rPr>
        <w:t> </w:t>
      </w:r>
      <w:r>
        <w:rPr/>
        <w:t>annual</w:t>
      </w:r>
      <w:r>
        <w:rPr>
          <w:spacing w:val="1"/>
        </w:rPr>
        <w:t> </w:t>
      </w:r>
      <w:r>
        <w:rPr/>
        <w:t>final</w:t>
      </w:r>
      <w:r>
        <w:rPr>
          <w:spacing w:val="-1"/>
        </w:rPr>
        <w:t> </w:t>
      </w:r>
      <w:r>
        <w:rPr/>
        <w:t>housing</w:t>
      </w:r>
      <w:r>
        <w:rPr>
          <w:spacing w:val="-2"/>
        </w:rPr>
        <w:t> </w:t>
      </w:r>
      <w:r>
        <w:rPr/>
        <w:t>budget</w:t>
      </w:r>
      <w:r>
        <w:rPr>
          <w:spacing w:val="-1"/>
        </w:rPr>
        <w:t> </w:t>
      </w:r>
      <w:r>
        <w:rPr/>
        <w:t>allocation</w:t>
      </w:r>
      <w:r>
        <w:rPr>
          <w:spacing w:val="1"/>
        </w:rPr>
        <w:t> </w:t>
      </w:r>
      <w:r>
        <w:rPr/>
        <w:t>(</w:t>
      </w:r>
      <w:r>
        <w:rPr>
          <w:i/>
        </w:rPr>
        <w:t>Table </w:t>
      </w:r>
      <w:r>
        <w:rPr>
          <w:i/>
          <w:spacing w:val="-2"/>
        </w:rPr>
        <w:t>5.19</w:t>
      </w:r>
      <w:r>
        <w:rPr>
          <w:spacing w:val="-2"/>
        </w:rPr>
        <w:t>).</w:t>
      </w:r>
    </w:p>
    <w:p>
      <w:pPr>
        <w:pStyle w:val="ListParagraph"/>
        <w:numPr>
          <w:ilvl w:val="0"/>
          <w:numId w:val="108"/>
        </w:numPr>
        <w:tabs>
          <w:tab w:pos="840" w:val="left" w:leader="none"/>
        </w:tabs>
        <w:spacing w:line="360" w:lineRule="auto" w:before="139" w:after="0"/>
        <w:ind w:left="840" w:right="1113" w:hanging="720"/>
        <w:jc w:val="both"/>
        <w:rPr>
          <w:sz w:val="24"/>
        </w:rPr>
      </w:pPr>
      <w:r>
        <w:rPr>
          <w:sz w:val="24"/>
        </w:rPr>
        <w:t>The total annual approved housing budget allocation for Anambra State from 1999 –</w:t>
      </w:r>
      <w:r>
        <w:rPr>
          <w:spacing w:val="40"/>
          <w:sz w:val="24"/>
        </w:rPr>
        <w:t> </w:t>
      </w:r>
      <w:r>
        <w:rPr>
          <w:sz w:val="24"/>
        </w:rPr>
        <w:t>2016</w:t>
      </w:r>
      <w:r>
        <w:rPr>
          <w:spacing w:val="-3"/>
          <w:sz w:val="24"/>
        </w:rPr>
        <w:t> </w:t>
      </w:r>
      <w:r>
        <w:rPr>
          <w:sz w:val="24"/>
        </w:rPr>
        <w:t>is</w:t>
      </w:r>
      <w:r>
        <w:rPr>
          <w:spacing w:val="-3"/>
          <w:sz w:val="24"/>
        </w:rPr>
        <w:t> </w:t>
      </w:r>
      <w:r>
        <w:rPr>
          <w:dstrike/>
          <w:sz w:val="24"/>
        </w:rPr>
        <w:t>N</w:t>
      </w:r>
      <w:r>
        <w:rPr>
          <w:strike w:val="0"/>
          <w:sz w:val="24"/>
        </w:rPr>
        <w:t>35.65b</w:t>
      </w:r>
      <w:r>
        <w:rPr>
          <w:strike w:val="0"/>
          <w:spacing w:val="-1"/>
          <w:sz w:val="24"/>
        </w:rPr>
        <w:t> </w:t>
      </w:r>
      <w:r>
        <w:rPr>
          <w:strike w:val="0"/>
          <w:sz w:val="24"/>
        </w:rPr>
        <w:t>while</w:t>
      </w:r>
      <w:r>
        <w:rPr>
          <w:strike w:val="0"/>
          <w:spacing w:val="-3"/>
          <w:sz w:val="24"/>
        </w:rPr>
        <w:t> </w:t>
      </w:r>
      <w:r>
        <w:rPr>
          <w:strike w:val="0"/>
          <w:sz w:val="24"/>
        </w:rPr>
        <w:t>the</w:t>
      </w:r>
      <w:r>
        <w:rPr>
          <w:strike w:val="0"/>
          <w:spacing w:val="-4"/>
          <w:sz w:val="24"/>
        </w:rPr>
        <w:t> </w:t>
      </w:r>
      <w:r>
        <w:rPr>
          <w:strike w:val="0"/>
          <w:sz w:val="24"/>
        </w:rPr>
        <w:t>total</w:t>
      </w:r>
      <w:r>
        <w:rPr>
          <w:strike w:val="0"/>
          <w:spacing w:val="-3"/>
          <w:sz w:val="24"/>
        </w:rPr>
        <w:t> </w:t>
      </w:r>
      <w:r>
        <w:rPr>
          <w:strike w:val="0"/>
          <w:sz w:val="24"/>
        </w:rPr>
        <w:t>actual</w:t>
      </w:r>
      <w:r>
        <w:rPr>
          <w:strike w:val="0"/>
          <w:spacing w:val="-3"/>
          <w:sz w:val="24"/>
        </w:rPr>
        <w:t> </w:t>
      </w:r>
      <w:r>
        <w:rPr>
          <w:strike w:val="0"/>
          <w:sz w:val="24"/>
        </w:rPr>
        <w:t>housing</w:t>
      </w:r>
      <w:r>
        <w:rPr>
          <w:strike w:val="0"/>
          <w:spacing w:val="-3"/>
          <w:sz w:val="24"/>
        </w:rPr>
        <w:t> </w:t>
      </w:r>
      <w:r>
        <w:rPr>
          <w:strike w:val="0"/>
          <w:sz w:val="24"/>
        </w:rPr>
        <w:t>budget</w:t>
      </w:r>
      <w:r>
        <w:rPr>
          <w:strike w:val="0"/>
          <w:spacing w:val="-1"/>
          <w:sz w:val="24"/>
        </w:rPr>
        <w:t> </w:t>
      </w:r>
      <w:r>
        <w:rPr>
          <w:strike w:val="0"/>
          <w:sz w:val="24"/>
        </w:rPr>
        <w:t>expenditure</w:t>
      </w:r>
      <w:r>
        <w:rPr>
          <w:strike w:val="0"/>
          <w:spacing w:val="-4"/>
          <w:sz w:val="24"/>
        </w:rPr>
        <w:t> </w:t>
      </w:r>
      <w:r>
        <w:rPr>
          <w:strike w:val="0"/>
          <w:sz w:val="24"/>
        </w:rPr>
        <w:t>is </w:t>
      </w:r>
      <w:r>
        <w:rPr>
          <w:dstrike/>
          <w:sz w:val="24"/>
        </w:rPr>
        <w:t>N</w:t>
      </w:r>
      <w:r>
        <w:rPr>
          <w:strike w:val="0"/>
          <w:sz w:val="24"/>
        </w:rPr>
        <w:t>9.86b,</w:t>
      </w:r>
      <w:r>
        <w:rPr>
          <w:strike w:val="0"/>
          <w:spacing w:val="-3"/>
          <w:sz w:val="24"/>
        </w:rPr>
        <w:t> </w:t>
      </w:r>
      <w:r>
        <w:rPr>
          <w:strike w:val="0"/>
          <w:sz w:val="24"/>
        </w:rPr>
        <w:t>indicating</w:t>
      </w:r>
      <w:r>
        <w:rPr>
          <w:strike w:val="0"/>
          <w:spacing w:val="-3"/>
          <w:sz w:val="24"/>
        </w:rPr>
        <w:t> </w:t>
      </w:r>
      <w:r>
        <w:rPr>
          <w:strike w:val="0"/>
          <w:sz w:val="24"/>
        </w:rPr>
        <w:t>a 27.65% implementation rate of the budget (</w:t>
      </w:r>
      <w:r>
        <w:rPr>
          <w:i/>
          <w:strike w:val="0"/>
          <w:sz w:val="24"/>
        </w:rPr>
        <w:t>Table 5.20</w:t>
      </w:r>
      <w:r>
        <w:rPr>
          <w:strike w:val="0"/>
          <w:sz w:val="24"/>
        </w:rPr>
        <w:t>).</w:t>
      </w:r>
    </w:p>
    <w:p>
      <w:pPr>
        <w:pStyle w:val="ListParagraph"/>
        <w:numPr>
          <w:ilvl w:val="0"/>
          <w:numId w:val="108"/>
        </w:numPr>
        <w:tabs>
          <w:tab w:pos="840" w:val="left" w:leader="none"/>
        </w:tabs>
        <w:spacing w:line="360" w:lineRule="auto" w:before="0" w:after="0"/>
        <w:ind w:left="840" w:right="1121" w:hanging="720"/>
        <w:jc w:val="both"/>
        <w:rPr>
          <w:sz w:val="24"/>
        </w:rPr>
      </w:pPr>
      <w:r>
        <w:rPr>
          <w:sz w:val="24"/>
        </w:rPr>
        <w:t>From the validation of hypothesis one; the null hypothesis was accepted, indicating that there is no significant trend in annual housing budget allocation for the study period (</w:t>
      </w:r>
      <w:r>
        <w:rPr>
          <w:i/>
          <w:sz w:val="24"/>
        </w:rPr>
        <w:t>Table 5.21</w:t>
      </w:r>
      <w:r>
        <w:rPr>
          <w:sz w:val="24"/>
        </w:rPr>
        <w:t>).</w:t>
      </w:r>
    </w:p>
    <w:p>
      <w:pPr>
        <w:pStyle w:val="ListParagraph"/>
        <w:numPr>
          <w:ilvl w:val="0"/>
          <w:numId w:val="108"/>
        </w:numPr>
        <w:tabs>
          <w:tab w:pos="840" w:val="left" w:leader="none"/>
        </w:tabs>
        <w:spacing w:line="360" w:lineRule="auto" w:before="1" w:after="0"/>
        <w:ind w:left="840" w:right="1121" w:hanging="720"/>
        <w:jc w:val="both"/>
        <w:rPr>
          <w:sz w:val="24"/>
        </w:rPr>
      </w:pPr>
      <w:r>
        <w:rPr>
          <w:sz w:val="24"/>
        </w:rPr>
        <w:t>The null hypothesis was accepted for hypothesis two, showing that there is no causal relationship between annual housing budget allocation and annual federal allocation (</w:t>
      </w:r>
      <w:r>
        <w:rPr>
          <w:i/>
          <w:sz w:val="24"/>
        </w:rPr>
        <w:t>Table 5.22</w:t>
      </w:r>
      <w:r>
        <w:rPr>
          <w:sz w:val="24"/>
        </w:rPr>
        <w:t>).</w:t>
      </w:r>
    </w:p>
    <w:p>
      <w:pPr>
        <w:spacing w:after="0" w:line="360" w:lineRule="auto"/>
        <w:jc w:val="both"/>
        <w:rPr>
          <w:sz w:val="24"/>
        </w:rPr>
        <w:sectPr>
          <w:pgSz w:w="12240" w:h="15840"/>
          <w:pgMar w:header="0" w:footer="1036" w:top="1360" w:bottom="1220" w:left="1320" w:right="320"/>
        </w:sectPr>
      </w:pPr>
    </w:p>
    <w:p>
      <w:pPr>
        <w:pStyle w:val="ListParagraph"/>
        <w:numPr>
          <w:ilvl w:val="0"/>
          <w:numId w:val="108"/>
        </w:numPr>
        <w:tabs>
          <w:tab w:pos="840" w:val="left" w:leader="none"/>
        </w:tabs>
        <w:spacing w:line="360" w:lineRule="auto" w:before="74" w:after="0"/>
        <w:ind w:left="840" w:right="1126" w:hanging="720"/>
        <w:jc w:val="both"/>
        <w:rPr>
          <w:sz w:val="24"/>
        </w:rPr>
      </w:pPr>
      <w:r>
        <w:rPr>
          <w:sz w:val="24"/>
        </w:rPr>
        <w:t>The null hypothesis was rejected for hypothesis three, implying that housing budget challenges has a significant effect on housing budget performance (</w:t>
      </w:r>
      <w:r>
        <w:rPr>
          <w:i/>
          <w:sz w:val="24"/>
        </w:rPr>
        <w:t>Table 5.23</w:t>
      </w:r>
      <w:r>
        <w:rPr>
          <w:sz w:val="24"/>
        </w:rPr>
        <w:t>).</w:t>
      </w:r>
    </w:p>
    <w:p>
      <w:pPr>
        <w:pStyle w:val="ListParagraph"/>
        <w:numPr>
          <w:ilvl w:val="0"/>
          <w:numId w:val="108"/>
        </w:numPr>
        <w:tabs>
          <w:tab w:pos="840" w:val="left" w:leader="none"/>
        </w:tabs>
        <w:spacing w:line="360" w:lineRule="auto" w:before="1" w:after="0"/>
        <w:ind w:left="840" w:right="1122" w:hanging="720"/>
        <w:jc w:val="both"/>
        <w:rPr>
          <w:sz w:val="24"/>
        </w:rPr>
      </w:pPr>
      <w:r>
        <w:rPr>
          <w:sz w:val="24"/>
        </w:rPr>
        <w:t>In hypothesis four, the null hypothesis was accepted, suggesting that there is no significant relationship between annual housing budget allocation and annual housing budget expenditure (</w:t>
      </w:r>
      <w:r>
        <w:rPr>
          <w:i/>
          <w:sz w:val="24"/>
        </w:rPr>
        <w:t>Table 5.24</w:t>
      </w:r>
      <w:r>
        <w:rPr>
          <w:sz w:val="24"/>
        </w:rPr>
        <w:t>).</w:t>
      </w:r>
    </w:p>
    <w:p>
      <w:pPr>
        <w:pStyle w:val="ListParagraph"/>
        <w:numPr>
          <w:ilvl w:val="0"/>
          <w:numId w:val="108"/>
        </w:numPr>
        <w:tabs>
          <w:tab w:pos="840" w:val="left" w:leader="none"/>
        </w:tabs>
        <w:spacing w:line="360" w:lineRule="auto" w:before="0" w:after="0"/>
        <w:ind w:left="840" w:right="1118" w:hanging="720"/>
        <w:jc w:val="both"/>
        <w:rPr>
          <w:sz w:val="24"/>
        </w:rPr>
      </w:pPr>
      <w:r>
        <w:rPr>
          <w:sz w:val="24"/>
        </w:rPr>
        <w:t>There</w:t>
      </w:r>
      <w:r>
        <w:rPr>
          <w:spacing w:val="-2"/>
          <w:sz w:val="24"/>
        </w:rPr>
        <w:t> </w:t>
      </w:r>
      <w:r>
        <w:rPr>
          <w:sz w:val="24"/>
        </w:rPr>
        <w:t>is</w:t>
      </w:r>
      <w:r>
        <w:rPr>
          <w:spacing w:val="-1"/>
          <w:sz w:val="24"/>
        </w:rPr>
        <w:t> </w:t>
      </w:r>
      <w:r>
        <w:rPr>
          <w:sz w:val="24"/>
        </w:rPr>
        <w:t>presently</w:t>
      </w:r>
      <w:r>
        <w:rPr>
          <w:spacing w:val="-4"/>
          <w:sz w:val="24"/>
        </w:rPr>
        <w:t> </w:t>
      </w:r>
      <w:r>
        <w:rPr>
          <w:sz w:val="24"/>
        </w:rPr>
        <w:t>no</w:t>
      </w:r>
      <w:r>
        <w:rPr>
          <w:spacing w:val="-2"/>
          <w:sz w:val="24"/>
        </w:rPr>
        <w:t> </w:t>
      </w:r>
      <w:r>
        <w:rPr>
          <w:sz w:val="24"/>
        </w:rPr>
        <w:t>template</w:t>
      </w:r>
      <w:r>
        <w:rPr>
          <w:spacing w:val="-2"/>
          <w:sz w:val="24"/>
        </w:rPr>
        <w:t> </w:t>
      </w:r>
      <w:r>
        <w:rPr>
          <w:sz w:val="24"/>
        </w:rPr>
        <w:t>followed or</w:t>
      </w:r>
      <w:r>
        <w:rPr>
          <w:spacing w:val="-1"/>
          <w:sz w:val="24"/>
        </w:rPr>
        <w:t> </w:t>
      </w:r>
      <w:r>
        <w:rPr>
          <w:sz w:val="24"/>
        </w:rPr>
        <w:t>used</w:t>
      </w:r>
      <w:r>
        <w:rPr>
          <w:spacing w:val="-1"/>
          <w:sz w:val="24"/>
        </w:rPr>
        <w:t> </w:t>
      </w:r>
      <w:r>
        <w:rPr>
          <w:sz w:val="24"/>
        </w:rPr>
        <w:t>by</w:t>
      </w:r>
      <w:r>
        <w:rPr>
          <w:spacing w:val="-5"/>
          <w:sz w:val="24"/>
        </w:rPr>
        <w:t> </w:t>
      </w:r>
      <w:r>
        <w:rPr>
          <w:sz w:val="24"/>
        </w:rPr>
        <w:t>the</w:t>
      </w:r>
      <w:r>
        <w:rPr>
          <w:spacing w:val="-2"/>
          <w:sz w:val="24"/>
        </w:rPr>
        <w:t> </w:t>
      </w:r>
      <w:r>
        <w:rPr>
          <w:sz w:val="24"/>
        </w:rPr>
        <w:t>Anambra</w:t>
      </w:r>
      <w:r>
        <w:rPr>
          <w:spacing w:val="-2"/>
          <w:sz w:val="24"/>
        </w:rPr>
        <w:t> </w:t>
      </w:r>
      <w:r>
        <w:rPr>
          <w:sz w:val="24"/>
        </w:rPr>
        <w:t>State</w:t>
      </w:r>
      <w:r>
        <w:rPr>
          <w:spacing w:val="-1"/>
          <w:sz w:val="24"/>
        </w:rPr>
        <w:t> </w:t>
      </w:r>
      <w:r>
        <w:rPr>
          <w:sz w:val="24"/>
        </w:rPr>
        <w:t>government</w:t>
      </w:r>
      <w:r>
        <w:rPr>
          <w:spacing w:val="-2"/>
          <w:sz w:val="24"/>
        </w:rPr>
        <w:t> </w:t>
      </w:r>
      <w:r>
        <w:rPr>
          <w:sz w:val="24"/>
        </w:rPr>
        <w:t>for</w:t>
      </w:r>
      <w:r>
        <w:rPr>
          <w:spacing w:val="-1"/>
          <w:sz w:val="24"/>
        </w:rPr>
        <w:t> </w:t>
      </w:r>
      <w:r>
        <w:rPr>
          <w:sz w:val="24"/>
        </w:rPr>
        <w:t>the monitoring and review of housing budget performance, neither is there a holistic framework or model adopted by the Anambra State Government for managing the housing budget process(</w:t>
      </w:r>
      <w:r>
        <w:rPr>
          <w:i/>
          <w:sz w:val="24"/>
        </w:rPr>
        <w:t>sections 3.4.3, 3.5 &amp; 3.8; figure 3.6; researcher’s pilot survey</w:t>
      </w:r>
      <w:r>
        <w:rPr>
          <w:sz w:val="24"/>
        </w:rPr>
        <w:t>).</w:t>
      </w:r>
    </w:p>
    <w:p>
      <w:pPr>
        <w:pStyle w:val="BodyText"/>
        <w:spacing w:before="144"/>
      </w:pPr>
    </w:p>
    <w:p>
      <w:pPr>
        <w:pStyle w:val="Heading3"/>
        <w:numPr>
          <w:ilvl w:val="1"/>
          <w:numId w:val="107"/>
        </w:numPr>
        <w:tabs>
          <w:tab w:pos="839" w:val="left" w:leader="none"/>
        </w:tabs>
        <w:spacing w:line="240" w:lineRule="auto" w:before="0" w:after="0"/>
        <w:ind w:left="839" w:right="0" w:hanging="719"/>
        <w:jc w:val="both"/>
      </w:pPr>
      <w:r>
        <w:rPr>
          <w:spacing w:val="-2"/>
        </w:rPr>
        <w:t>Discussions</w:t>
      </w:r>
    </w:p>
    <w:p>
      <w:pPr>
        <w:pStyle w:val="BodyText"/>
        <w:spacing w:line="360" w:lineRule="auto" w:before="144"/>
        <w:ind w:left="120" w:right="1117"/>
        <w:jc w:val="both"/>
      </w:pPr>
      <w:r>
        <w:rPr/>
        <w:t>This research is based on the performance of the housing</w:t>
      </w:r>
      <w:r>
        <w:rPr>
          <w:spacing w:val="-2"/>
        </w:rPr>
        <w:t> </w:t>
      </w:r>
      <w:r>
        <w:rPr/>
        <w:t>budget of Anambra</w:t>
      </w:r>
      <w:r>
        <w:rPr>
          <w:spacing w:val="-1"/>
        </w:rPr>
        <w:t> </w:t>
      </w:r>
      <w:r>
        <w:rPr/>
        <w:t>State, by</w:t>
      </w:r>
      <w:r>
        <w:rPr>
          <w:spacing w:val="-4"/>
        </w:rPr>
        <w:t> </w:t>
      </w:r>
      <w:r>
        <w:rPr/>
        <w:t>the public sector/Government and their implications to effective housing delivery in the State and for the citizenry. The research explored quantitative method of data generation which comprised the design, pre-test and administration of structured questionnaire to the public staff of housing MDAs and Ministry of Budget and Economic Planning. This was followed by qualitative instruments like interviews which were used to generate important constructs from the target population. Secondary data on housing budget estimates were obtained from published annual budget documents of Anambra State. Data from the quantitative research instruments and the published budget were used to test the hypotheses postulated by the researcher.</w:t>
      </w:r>
    </w:p>
    <w:p>
      <w:pPr>
        <w:pStyle w:val="BodyText"/>
        <w:spacing w:before="163"/>
      </w:pPr>
    </w:p>
    <w:p>
      <w:pPr>
        <w:pStyle w:val="BodyText"/>
        <w:spacing w:line="360" w:lineRule="auto"/>
        <w:ind w:left="120" w:right="1117"/>
        <w:jc w:val="both"/>
      </w:pPr>
      <w:r>
        <w:rPr/>
        <w:t>Some of the key</w:t>
      </w:r>
      <w:r>
        <w:rPr>
          <w:spacing w:val="-4"/>
        </w:rPr>
        <w:t> </w:t>
      </w:r>
      <w:r>
        <w:rPr/>
        <w:t>issues arising</w:t>
      </w:r>
      <w:r>
        <w:rPr>
          <w:spacing w:val="-1"/>
        </w:rPr>
        <w:t> </w:t>
      </w:r>
      <w:r>
        <w:rPr/>
        <w:t>from this research show that the Anambra State government has a preference and places much emphasis on funding the works sector, while the housing sector is not only</w:t>
      </w:r>
      <w:r>
        <w:rPr>
          <w:spacing w:val="-2"/>
        </w:rPr>
        <w:t> </w:t>
      </w:r>
      <w:r>
        <w:rPr/>
        <w:t>meagerly funded, but is characterized by poor management of its budget process, hence the poor attitude towards housing, which is evidenced by the 8.5% average annual percentage allocation when compared to the 33.22% for works. This study does not assert that funding the works sector</w:t>
      </w:r>
      <w:r>
        <w:rPr>
          <w:spacing w:val="-1"/>
        </w:rPr>
        <w:t> </w:t>
      </w:r>
      <w:r>
        <w:rPr/>
        <w:t>is improper or</w:t>
      </w:r>
      <w:r>
        <w:rPr>
          <w:spacing w:val="-1"/>
        </w:rPr>
        <w:t> </w:t>
      </w:r>
      <w:r>
        <w:rPr/>
        <w:t>should not be</w:t>
      </w:r>
      <w:r>
        <w:rPr>
          <w:spacing w:val="-1"/>
        </w:rPr>
        <w:t> </w:t>
      </w:r>
      <w:r>
        <w:rPr/>
        <w:t>done, but it posits</w:t>
      </w:r>
      <w:r>
        <w:rPr>
          <w:spacing w:val="-2"/>
        </w:rPr>
        <w:t> </w:t>
      </w:r>
      <w:r>
        <w:rPr/>
        <w:t>that there</w:t>
      </w:r>
      <w:r>
        <w:rPr>
          <w:spacing w:val="-1"/>
        </w:rPr>
        <w:t> </w:t>
      </w:r>
      <w:r>
        <w:rPr/>
        <w:t>should be</w:t>
      </w:r>
      <w:r>
        <w:rPr>
          <w:spacing w:val="-1"/>
        </w:rPr>
        <w:t> </w:t>
      </w:r>
      <w:r>
        <w:rPr/>
        <w:t>a</w:t>
      </w:r>
      <w:r>
        <w:rPr>
          <w:spacing w:val="-1"/>
        </w:rPr>
        <w:t> </w:t>
      </w:r>
      <w:r>
        <w:rPr/>
        <w:t>fair</w:t>
      </w:r>
      <w:r>
        <w:rPr>
          <w:spacing w:val="-1"/>
        </w:rPr>
        <w:t> </w:t>
      </w:r>
      <w:r>
        <w:rPr/>
        <w:t>balance</w:t>
      </w:r>
      <w:r>
        <w:rPr>
          <w:spacing w:val="-1"/>
        </w:rPr>
        <w:t> </w:t>
      </w:r>
      <w:r>
        <w:rPr/>
        <w:t>or spread in budgetary allocation in order to have a more encompassing infrastructure development and improvement in the living standards of the citizens. Jinadu (2004) states that finance is considered the most important factor in housing production, thus, adequate finance is the first requirement</w:t>
      </w:r>
      <w:r>
        <w:rPr>
          <w:spacing w:val="13"/>
        </w:rPr>
        <w:t> </w:t>
      </w:r>
      <w:r>
        <w:rPr/>
        <w:t>for</w:t>
      </w:r>
      <w:r>
        <w:rPr>
          <w:spacing w:val="12"/>
        </w:rPr>
        <w:t> </w:t>
      </w:r>
      <w:r>
        <w:rPr/>
        <w:t>a</w:t>
      </w:r>
      <w:r>
        <w:rPr>
          <w:spacing w:val="12"/>
        </w:rPr>
        <w:t> </w:t>
      </w:r>
      <w:r>
        <w:rPr/>
        <w:t>successful</w:t>
      </w:r>
      <w:r>
        <w:rPr>
          <w:spacing w:val="14"/>
        </w:rPr>
        <w:t> </w:t>
      </w:r>
      <w:r>
        <w:rPr/>
        <w:t>and</w:t>
      </w:r>
      <w:r>
        <w:rPr>
          <w:spacing w:val="13"/>
        </w:rPr>
        <w:t> </w:t>
      </w:r>
      <w:r>
        <w:rPr/>
        <w:t>effective</w:t>
      </w:r>
      <w:r>
        <w:rPr>
          <w:spacing w:val="12"/>
        </w:rPr>
        <w:t> </w:t>
      </w:r>
      <w:r>
        <w:rPr/>
        <w:t>housing</w:t>
      </w:r>
      <w:r>
        <w:rPr>
          <w:spacing w:val="11"/>
        </w:rPr>
        <w:t> </w:t>
      </w:r>
      <w:r>
        <w:rPr/>
        <w:t>delivery.</w:t>
      </w:r>
      <w:r>
        <w:rPr>
          <w:spacing w:val="15"/>
        </w:rPr>
        <w:t> </w:t>
      </w:r>
      <w:r>
        <w:rPr/>
        <w:t>In</w:t>
      </w:r>
      <w:r>
        <w:rPr>
          <w:spacing w:val="13"/>
        </w:rPr>
        <w:t> </w:t>
      </w:r>
      <w:r>
        <w:rPr/>
        <w:t>view</w:t>
      </w:r>
      <w:r>
        <w:rPr>
          <w:spacing w:val="14"/>
        </w:rPr>
        <w:t> </w:t>
      </w:r>
      <w:r>
        <w:rPr/>
        <w:t>of</w:t>
      </w:r>
      <w:r>
        <w:rPr>
          <w:spacing w:val="13"/>
        </w:rPr>
        <w:t> </w:t>
      </w:r>
      <w:r>
        <w:rPr/>
        <w:t>this,</w:t>
      </w:r>
      <w:r>
        <w:rPr>
          <w:spacing w:val="13"/>
        </w:rPr>
        <w:t> </w:t>
      </w:r>
      <w:r>
        <w:rPr/>
        <w:t>Amakom</w:t>
      </w:r>
      <w:r>
        <w:rPr>
          <w:spacing w:val="13"/>
        </w:rPr>
        <w:t> </w:t>
      </w:r>
      <w:r>
        <w:rPr/>
        <w:t>(2013)</w:t>
      </w:r>
      <w:r>
        <w:rPr>
          <w:spacing w:val="13"/>
        </w:rPr>
        <w:t> </w:t>
      </w:r>
      <w:r>
        <w:rPr>
          <w:spacing w:val="-5"/>
        </w:rPr>
        <w:t>in</w:t>
      </w:r>
    </w:p>
    <w:p>
      <w:pPr>
        <w:spacing w:after="0" w:line="360" w:lineRule="auto"/>
        <w:jc w:val="both"/>
        <w:sectPr>
          <w:pgSz w:w="12240" w:h="15840"/>
          <w:pgMar w:header="0" w:footer="1036" w:top="1360" w:bottom="1220" w:left="1320" w:right="320"/>
        </w:sectPr>
      </w:pPr>
    </w:p>
    <w:p>
      <w:pPr>
        <w:pStyle w:val="BodyText"/>
        <w:spacing w:line="360" w:lineRule="auto" w:before="74"/>
        <w:ind w:left="120" w:right="1126"/>
        <w:jc w:val="both"/>
      </w:pPr>
      <w:r>
        <w:rPr/>
        <w:t>her budget study revealed that housing is not among the budget thrust of Anambra State, which portrays the government‘s attitude to housing delivery.</w:t>
      </w:r>
    </w:p>
    <w:p>
      <w:pPr>
        <w:pStyle w:val="BodyText"/>
        <w:spacing w:before="137"/>
      </w:pPr>
    </w:p>
    <w:p>
      <w:pPr>
        <w:pStyle w:val="BodyText"/>
        <w:spacing w:line="360" w:lineRule="auto"/>
        <w:ind w:left="120" w:right="1118"/>
        <w:jc w:val="both"/>
      </w:pPr>
      <w:r>
        <w:rPr/>
        <w:t>There appeared to be some ray of hope, because in 2016, the government of Anambra State proposed to develop 1000 housing units at Isiagu, in Awka South L.G.A. This turned out to be a political statement because the proposed scheme was not captured in the 2016 budget, hence, is yet to materialize, while sectors like works is accommodated annually in the budget. To corroborate this neglect of social housing schemes, the housing corporation is faced with operational difficulties since they no longer get support or subventions for basic housing infrastructure like drainage, roads, electricity from the budget. Undoubtedly, the Corporation is expected to be self sustaining, but with the current economic realities like persistent inflation, high exchange rates, houses produced solely by the resources of the Corporation will be unaffordable for the low and middle income earners who constitute the majority of the</w:t>
      </w:r>
      <w:r>
        <w:rPr>
          <w:spacing w:val="40"/>
        </w:rPr>
        <w:t> </w:t>
      </w:r>
      <w:r>
        <w:rPr/>
        <w:t>population of Anambra State.</w:t>
      </w:r>
    </w:p>
    <w:p>
      <w:pPr>
        <w:pStyle w:val="BodyText"/>
        <w:spacing w:before="139"/>
      </w:pPr>
    </w:p>
    <w:p>
      <w:pPr>
        <w:pStyle w:val="BodyText"/>
        <w:spacing w:line="360" w:lineRule="auto"/>
        <w:ind w:left="120" w:right="1113"/>
        <w:jc w:val="both"/>
      </w:pPr>
      <w:r>
        <w:rPr/>
        <w:t>The research findings further indicate that one of the most prevalent problems of housing budget performance in Anambra State is that funds allocated for housing projects are grossly</w:t>
      </w:r>
      <w:r>
        <w:rPr>
          <w:spacing w:val="-3"/>
        </w:rPr>
        <w:t> </w:t>
      </w:r>
      <w:r>
        <w:rPr/>
        <w:t>inadequate and there are frequent delays in releasing</w:t>
      </w:r>
      <w:r>
        <w:rPr>
          <w:spacing w:val="-2"/>
        </w:rPr>
        <w:t> </w:t>
      </w:r>
      <w:r>
        <w:rPr/>
        <w:t>of funds. This is not surprising because in recent times, government revenue have reduced considerably, due to dwindling oil revenue (as a result of terrorist acts from the Boko Haram sect and militancy in the Niger Delta regions), rising debt servicing at the federal level and poor IGR base at the State level. Under-funding of housing projects has thus reduced the volume of housing projects. Hence, to ensure effective housing projects delivery by the government of Anambra State, the fund provided or available for</w:t>
      </w:r>
      <w:r>
        <w:rPr>
          <w:spacing w:val="40"/>
        </w:rPr>
        <w:t> </w:t>
      </w:r>
      <w:r>
        <w:rPr/>
        <w:t>housing must be managed like a business concern or the private sector where every penny</w:t>
      </w:r>
      <w:r>
        <w:rPr>
          <w:spacing w:val="40"/>
        </w:rPr>
        <w:t> </w:t>
      </w:r>
      <w:r>
        <w:rPr/>
        <w:t>matters and not a bureaucracy.</w:t>
      </w:r>
    </w:p>
    <w:p>
      <w:pPr>
        <w:pStyle w:val="BodyText"/>
        <w:spacing w:before="141"/>
      </w:pPr>
    </w:p>
    <w:p>
      <w:pPr>
        <w:pStyle w:val="BodyText"/>
        <w:spacing w:line="360" w:lineRule="auto"/>
        <w:ind w:left="120" w:right="1116"/>
        <w:jc w:val="both"/>
      </w:pPr>
      <w:r>
        <w:rPr/>
        <w:t>The result of this research also revealed extensive misunderstanding of the objectives of citizen participation in the housing budget. It is quite saddening that the government, via the Ministry</w:t>
      </w:r>
      <w:r>
        <w:rPr>
          <w:spacing w:val="-5"/>
        </w:rPr>
        <w:t> </w:t>
      </w:r>
      <w:r>
        <w:rPr/>
        <w:t>of Budget and Economic Planning still refer to the presence of CSOs in bilateral discussions and defense of proposals as participation. Participation, according to Ebdon (2000), means the action or</w:t>
      </w:r>
      <w:r>
        <w:rPr>
          <w:spacing w:val="32"/>
        </w:rPr>
        <w:t> </w:t>
      </w:r>
      <w:r>
        <w:rPr/>
        <w:t>state</w:t>
      </w:r>
      <w:r>
        <w:rPr>
          <w:spacing w:val="35"/>
        </w:rPr>
        <w:t> </w:t>
      </w:r>
      <w:r>
        <w:rPr/>
        <w:t>of</w:t>
      </w:r>
      <w:r>
        <w:rPr>
          <w:spacing w:val="35"/>
        </w:rPr>
        <w:t> </w:t>
      </w:r>
      <w:r>
        <w:rPr/>
        <w:t>taking</w:t>
      </w:r>
      <w:r>
        <w:rPr>
          <w:spacing w:val="35"/>
        </w:rPr>
        <w:t> </w:t>
      </w:r>
      <w:r>
        <w:rPr/>
        <w:t>part</w:t>
      </w:r>
      <w:r>
        <w:rPr>
          <w:spacing w:val="35"/>
        </w:rPr>
        <w:t> </w:t>
      </w:r>
      <w:r>
        <w:rPr/>
        <w:t>in</w:t>
      </w:r>
      <w:r>
        <w:rPr>
          <w:spacing w:val="35"/>
        </w:rPr>
        <w:t> </w:t>
      </w:r>
      <w:r>
        <w:rPr/>
        <w:t>something;</w:t>
      </w:r>
      <w:r>
        <w:rPr>
          <w:spacing w:val="38"/>
        </w:rPr>
        <w:t> </w:t>
      </w:r>
      <w:r>
        <w:rPr/>
        <w:t>association</w:t>
      </w:r>
      <w:r>
        <w:rPr>
          <w:spacing w:val="36"/>
        </w:rPr>
        <w:t> </w:t>
      </w:r>
      <w:r>
        <w:rPr/>
        <w:t>with</w:t>
      </w:r>
      <w:r>
        <w:rPr>
          <w:spacing w:val="36"/>
        </w:rPr>
        <w:t> </w:t>
      </w:r>
      <w:r>
        <w:rPr/>
        <w:t>others</w:t>
      </w:r>
      <w:r>
        <w:rPr>
          <w:spacing w:val="36"/>
        </w:rPr>
        <w:t> </w:t>
      </w:r>
      <w:r>
        <w:rPr/>
        <w:t>on</w:t>
      </w:r>
      <w:r>
        <w:rPr>
          <w:spacing w:val="37"/>
        </w:rPr>
        <w:t> </w:t>
      </w:r>
      <w:r>
        <w:rPr/>
        <w:t>a</w:t>
      </w:r>
      <w:r>
        <w:rPr>
          <w:spacing w:val="36"/>
        </w:rPr>
        <w:t> </w:t>
      </w:r>
      <w:r>
        <w:rPr/>
        <w:t>formal</w:t>
      </w:r>
      <w:r>
        <w:rPr>
          <w:spacing w:val="36"/>
        </w:rPr>
        <w:t> </w:t>
      </w:r>
      <w:r>
        <w:rPr/>
        <w:t>basis</w:t>
      </w:r>
      <w:r>
        <w:rPr>
          <w:spacing w:val="36"/>
        </w:rPr>
        <w:t> </w:t>
      </w:r>
      <w:r>
        <w:rPr/>
        <w:t>with</w:t>
      </w:r>
      <w:r>
        <w:rPr>
          <w:spacing w:val="36"/>
        </w:rPr>
        <w:t> </w:t>
      </w:r>
      <w:r>
        <w:rPr>
          <w:spacing w:val="-2"/>
        </w:rPr>
        <w:t>specified</w:t>
      </w:r>
    </w:p>
    <w:p>
      <w:pPr>
        <w:spacing w:after="0" w:line="360" w:lineRule="auto"/>
        <w:jc w:val="both"/>
        <w:sectPr>
          <w:pgSz w:w="12240" w:h="15840"/>
          <w:pgMar w:header="0" w:footer="1036" w:top="1360" w:bottom="1220" w:left="1320" w:right="320"/>
        </w:sectPr>
      </w:pPr>
    </w:p>
    <w:p>
      <w:pPr>
        <w:pStyle w:val="BodyText"/>
        <w:spacing w:line="360" w:lineRule="auto" w:before="74"/>
        <w:ind w:left="120" w:right="1113"/>
        <w:jc w:val="both"/>
      </w:pPr>
      <w:r>
        <w:rPr/>
        <w:t>rights</w:t>
      </w:r>
      <w:r>
        <w:rPr>
          <w:spacing w:val="-4"/>
        </w:rPr>
        <w:t> </w:t>
      </w:r>
      <w:r>
        <w:rPr/>
        <w:t>and</w:t>
      </w:r>
      <w:r>
        <w:rPr>
          <w:spacing w:val="-4"/>
        </w:rPr>
        <w:t> </w:t>
      </w:r>
      <w:r>
        <w:rPr/>
        <w:t>obligations.</w:t>
      </w:r>
      <w:r>
        <w:rPr>
          <w:spacing w:val="-1"/>
        </w:rPr>
        <w:t> </w:t>
      </w:r>
      <w:r>
        <w:rPr/>
        <w:t>It</w:t>
      </w:r>
      <w:r>
        <w:rPr>
          <w:spacing w:val="-2"/>
        </w:rPr>
        <w:t> </w:t>
      </w:r>
      <w:r>
        <w:rPr/>
        <w:t>also</w:t>
      </w:r>
      <w:r>
        <w:rPr>
          <w:spacing w:val="-3"/>
        </w:rPr>
        <w:t> </w:t>
      </w:r>
      <w:r>
        <w:rPr/>
        <w:t>refers</w:t>
      </w:r>
      <w:r>
        <w:rPr>
          <w:spacing w:val="-4"/>
        </w:rPr>
        <w:t> </w:t>
      </w:r>
      <w:r>
        <w:rPr/>
        <w:t>to</w:t>
      </w:r>
      <w:r>
        <w:rPr>
          <w:spacing w:val="-4"/>
        </w:rPr>
        <w:t> </w:t>
      </w:r>
      <w:r>
        <w:rPr/>
        <w:t>as</w:t>
      </w:r>
      <w:r>
        <w:rPr>
          <w:spacing w:val="-4"/>
        </w:rPr>
        <w:t> </w:t>
      </w:r>
      <w:r>
        <w:rPr/>
        <w:t>joint</w:t>
      </w:r>
      <w:r>
        <w:rPr>
          <w:spacing w:val="-4"/>
        </w:rPr>
        <w:t> </w:t>
      </w:r>
      <w:r>
        <w:rPr/>
        <w:t>consultation,</w:t>
      </w:r>
      <w:r>
        <w:rPr>
          <w:spacing w:val="-4"/>
        </w:rPr>
        <w:t> </w:t>
      </w:r>
      <w:r>
        <w:rPr/>
        <w:t>involvement,</w:t>
      </w:r>
      <w:r>
        <w:rPr>
          <w:spacing w:val="-4"/>
        </w:rPr>
        <w:t> </w:t>
      </w:r>
      <w:r>
        <w:rPr/>
        <w:t>contribution</w:t>
      </w:r>
      <w:r>
        <w:rPr>
          <w:spacing w:val="-1"/>
        </w:rPr>
        <w:t> </w:t>
      </w:r>
      <w:r>
        <w:rPr/>
        <w:t>in</w:t>
      </w:r>
      <w:r>
        <w:rPr>
          <w:spacing w:val="-4"/>
        </w:rPr>
        <w:t> </w:t>
      </w:r>
      <w:r>
        <w:rPr/>
        <w:t>decision making, goal</w:t>
      </w:r>
      <w:r>
        <w:rPr>
          <w:spacing w:val="-1"/>
        </w:rPr>
        <w:t> </w:t>
      </w:r>
      <w:r>
        <w:rPr/>
        <w:t>setting</w:t>
      </w:r>
      <w:r>
        <w:rPr>
          <w:spacing w:val="-4"/>
        </w:rPr>
        <w:t> </w:t>
      </w:r>
      <w:r>
        <w:rPr/>
        <w:t>and other</w:t>
      </w:r>
      <w:r>
        <w:rPr>
          <w:spacing w:val="-3"/>
        </w:rPr>
        <w:t> </w:t>
      </w:r>
      <w:r>
        <w:rPr/>
        <w:t>such measures through which commitment</w:t>
      </w:r>
      <w:r>
        <w:rPr>
          <w:spacing w:val="-1"/>
        </w:rPr>
        <w:t> </w:t>
      </w:r>
      <w:r>
        <w:rPr/>
        <w:t>is</w:t>
      </w:r>
      <w:r>
        <w:rPr>
          <w:spacing w:val="-1"/>
        </w:rPr>
        <w:t> </w:t>
      </w:r>
      <w:r>
        <w:rPr/>
        <w:t>increased</w:t>
      </w:r>
      <w:r>
        <w:rPr>
          <w:spacing w:val="-1"/>
        </w:rPr>
        <w:t> </w:t>
      </w:r>
      <w:r>
        <w:rPr/>
        <w:t>to achieve a collective objective.</w:t>
      </w:r>
      <w:r>
        <w:rPr>
          <w:spacing w:val="80"/>
        </w:rPr>
        <w:t> </w:t>
      </w:r>
      <w:r>
        <w:rPr/>
        <w:t>These definitions clearly imply that in participation, citizens have the</w:t>
      </w:r>
      <w:r>
        <w:rPr>
          <w:spacing w:val="40"/>
        </w:rPr>
        <w:t> </w:t>
      </w:r>
      <w:r>
        <w:rPr/>
        <w:t>right to contribute to decisions being</w:t>
      </w:r>
      <w:r>
        <w:rPr>
          <w:spacing w:val="-1"/>
        </w:rPr>
        <w:t> </w:t>
      </w:r>
      <w:r>
        <w:rPr/>
        <w:t>made on the housing</w:t>
      </w:r>
      <w:r>
        <w:rPr>
          <w:spacing w:val="-2"/>
        </w:rPr>
        <w:t> </w:t>
      </w:r>
      <w:r>
        <w:rPr/>
        <w:t>budget and not just witnessing</w:t>
      </w:r>
      <w:r>
        <w:rPr>
          <w:spacing w:val="-1"/>
        </w:rPr>
        <w:t> </w:t>
      </w:r>
      <w:r>
        <w:rPr/>
        <w:t>it, after all these are public funds which they contributed to as taxpayers. If the budget implementers or the public sector understand and practice participation form this point of view, it will go a long way in ensuring effective citizen participation in Anambra State‘s</w:t>
      </w:r>
      <w:r>
        <w:rPr>
          <w:spacing w:val="40"/>
        </w:rPr>
        <w:t> </w:t>
      </w:r>
      <w:r>
        <w:rPr/>
        <w:t>housing budget process.</w:t>
      </w:r>
    </w:p>
    <w:p>
      <w:pPr>
        <w:pStyle w:val="BodyText"/>
        <w:spacing w:before="139"/>
      </w:pPr>
    </w:p>
    <w:p>
      <w:pPr>
        <w:pStyle w:val="BodyText"/>
        <w:spacing w:line="360" w:lineRule="auto"/>
        <w:ind w:left="120" w:right="1115"/>
        <w:jc w:val="both"/>
      </w:pPr>
      <w:r>
        <w:rPr/>
        <w:t>Furthermore, in addition to the issue of participation, the budget research and analysis capacity</w:t>
      </w:r>
      <w:r>
        <w:rPr>
          <w:spacing w:val="40"/>
        </w:rPr>
        <w:t> </w:t>
      </w:r>
      <w:r>
        <w:rPr/>
        <w:t>of the Anambra State legislature can be enhanced to broaden access to relevant and high quality information on the housing budget and making it available for CSOs and other stakeholders to make meaningful input. There should also be an established system whereby the legislature with CSOs will debate on in-year (half yearly or quarterly) budget report to foster better guide and insight to implementation of the housing budget for the rest of the year.</w:t>
      </w:r>
    </w:p>
    <w:p>
      <w:pPr>
        <w:pStyle w:val="BodyText"/>
        <w:spacing w:before="137"/>
      </w:pPr>
    </w:p>
    <w:p>
      <w:pPr>
        <w:pStyle w:val="BodyText"/>
        <w:spacing w:line="360" w:lineRule="auto"/>
        <w:ind w:left="120" w:right="1118"/>
        <w:jc w:val="both"/>
      </w:pPr>
      <w:r>
        <w:rPr/>
        <w:t>It was also observed by this research, that housing budget preparation is not done in accordance with the MTEF. In this regard, there may be need to fully and practically involve the Anambra State legislature. This can be done by strengthening their budgetary and oversight roles to improve the quality and effectiveness of the housing budget.</w:t>
      </w:r>
      <w:r>
        <w:rPr>
          <w:spacing w:val="40"/>
        </w:rPr>
        <w:t> </w:t>
      </w:r>
      <w:r>
        <w:rPr/>
        <w:t>Hence, the urgency to review and expand the powers of the legislature to amend the budget if not in consonance with best</w:t>
      </w:r>
      <w:r>
        <w:rPr>
          <w:spacing w:val="40"/>
        </w:rPr>
        <w:t> </w:t>
      </w:r>
      <w:r>
        <w:rPr/>
        <w:t>practices, providing a meaningful opportunity for the legislature to make contributions on the medium term policy formulation with the CSOs.</w:t>
      </w:r>
    </w:p>
    <w:p>
      <w:pPr>
        <w:pStyle w:val="BodyText"/>
        <w:spacing w:before="139"/>
      </w:pPr>
    </w:p>
    <w:p>
      <w:pPr>
        <w:pStyle w:val="BodyText"/>
        <w:spacing w:line="360" w:lineRule="auto"/>
        <w:ind w:left="120" w:right="1119"/>
        <w:jc w:val="both"/>
      </w:pPr>
      <w:r>
        <w:rPr/>
        <w:t>It may be surprising that the Anambra State Government does not have a guide or template it uses for monitoring and review of housing performance. This is a sad situation because without such templates, there will be no mechanism to track housing budget progress with respect to funds utilization and project execution. Olomola (2010) stresses that expenditure tracking cannot be overemphasized because it is the backbone of transparency and accountability in the budget process. It is needed for tracing flow of housing funds through the various layers of government bureaucracy and providing local communities with information about funds allocated for particular</w:t>
      </w:r>
      <w:r>
        <w:rPr>
          <w:spacing w:val="48"/>
        </w:rPr>
        <w:t> </w:t>
      </w:r>
      <w:r>
        <w:rPr/>
        <w:t>housing</w:t>
      </w:r>
      <w:r>
        <w:rPr>
          <w:spacing w:val="46"/>
        </w:rPr>
        <w:t> </w:t>
      </w:r>
      <w:r>
        <w:rPr/>
        <w:t>projects</w:t>
      </w:r>
      <w:r>
        <w:rPr>
          <w:spacing w:val="49"/>
        </w:rPr>
        <w:t> </w:t>
      </w:r>
      <w:r>
        <w:rPr/>
        <w:t>in</w:t>
      </w:r>
      <w:r>
        <w:rPr>
          <w:spacing w:val="49"/>
        </w:rPr>
        <w:t> </w:t>
      </w:r>
      <w:r>
        <w:rPr/>
        <w:t>their</w:t>
      </w:r>
      <w:r>
        <w:rPr>
          <w:spacing w:val="48"/>
        </w:rPr>
        <w:t> </w:t>
      </w:r>
      <w:r>
        <w:rPr/>
        <w:t>area.</w:t>
      </w:r>
      <w:r>
        <w:rPr>
          <w:spacing w:val="49"/>
        </w:rPr>
        <w:t> </w:t>
      </w:r>
      <w:r>
        <w:rPr/>
        <w:t>Housing</w:t>
      </w:r>
      <w:r>
        <w:rPr>
          <w:spacing w:val="47"/>
        </w:rPr>
        <w:t> </w:t>
      </w:r>
      <w:r>
        <w:rPr/>
        <w:t>funds</w:t>
      </w:r>
      <w:r>
        <w:rPr>
          <w:spacing w:val="48"/>
        </w:rPr>
        <w:t> </w:t>
      </w:r>
      <w:r>
        <w:rPr/>
        <w:t>should</w:t>
      </w:r>
      <w:r>
        <w:rPr>
          <w:spacing w:val="49"/>
        </w:rPr>
        <w:t> </w:t>
      </w:r>
      <w:r>
        <w:rPr/>
        <w:t>be</w:t>
      </w:r>
      <w:r>
        <w:rPr>
          <w:spacing w:val="48"/>
        </w:rPr>
        <w:t> </w:t>
      </w:r>
      <w:r>
        <w:rPr/>
        <w:t>spent</w:t>
      </w:r>
      <w:r>
        <w:rPr>
          <w:spacing w:val="48"/>
        </w:rPr>
        <w:t> </w:t>
      </w:r>
      <w:r>
        <w:rPr/>
        <w:t>in</w:t>
      </w:r>
      <w:r>
        <w:rPr>
          <w:spacing w:val="49"/>
        </w:rPr>
        <w:t> </w:t>
      </w:r>
      <w:r>
        <w:rPr/>
        <w:t>accordance</w:t>
      </w:r>
      <w:r>
        <w:rPr>
          <w:spacing w:val="49"/>
        </w:rPr>
        <w:t> </w:t>
      </w:r>
      <w:r>
        <w:rPr>
          <w:spacing w:val="-4"/>
        </w:rPr>
        <w:t>with</w:t>
      </w:r>
    </w:p>
    <w:p>
      <w:pPr>
        <w:spacing w:after="0" w:line="360" w:lineRule="auto"/>
        <w:jc w:val="both"/>
        <w:sectPr>
          <w:pgSz w:w="12240" w:h="15840"/>
          <w:pgMar w:header="0" w:footer="1036" w:top="1360" w:bottom="1220" w:left="1320" w:right="320"/>
        </w:sectPr>
      </w:pPr>
    </w:p>
    <w:p>
      <w:pPr>
        <w:pStyle w:val="BodyText"/>
        <w:spacing w:line="360" w:lineRule="auto" w:before="74"/>
        <w:ind w:left="120" w:right="1117"/>
        <w:jc w:val="both"/>
      </w:pPr>
      <w:r>
        <w:rPr/>
        <w:t>budgetary allocations and usage monitored to determine if they are used for the intended</w:t>
      </w:r>
      <w:r>
        <w:rPr>
          <w:spacing w:val="40"/>
        </w:rPr>
        <w:t> </w:t>
      </w:r>
      <w:r>
        <w:rPr/>
        <w:t>projects. Accountability rests largely on the effectiveness of sanctions and the capacity of existing institutional machinery to monitor actions, decisions and private interest of public officials. Hence, to strengthen the monitoring and evaluation process, rewards and sanctions should be linked to achievement or non-achievement in respect of budget targets, output and outcome.</w:t>
      </w:r>
      <w:r>
        <w:rPr>
          <w:spacing w:val="40"/>
        </w:rPr>
        <w:t> </w:t>
      </w:r>
      <w:r>
        <w:rPr/>
        <w:t>Incentives play a critical role here; to encourage achievement of specified targets and penalties for failure to achieve.</w:t>
      </w:r>
    </w:p>
    <w:p>
      <w:pPr>
        <w:pStyle w:val="BodyText"/>
        <w:spacing w:before="139"/>
      </w:pPr>
    </w:p>
    <w:p>
      <w:pPr>
        <w:pStyle w:val="BodyText"/>
        <w:spacing w:line="360" w:lineRule="auto"/>
        <w:ind w:left="120" w:right="1117"/>
        <w:jc w:val="both"/>
      </w:pPr>
      <w:r>
        <w:rPr/>
        <w:t>Finally, this research showed that the housing budget of Anambra State faces undue political influence</w:t>
      </w:r>
      <w:r>
        <w:rPr>
          <w:spacing w:val="-1"/>
        </w:rPr>
        <w:t> </w:t>
      </w:r>
      <w:r>
        <w:rPr/>
        <w:t>which usually</w:t>
      </w:r>
      <w:r>
        <w:rPr>
          <w:spacing w:val="-5"/>
        </w:rPr>
        <w:t> </w:t>
      </w:r>
      <w:r>
        <w:rPr/>
        <w:t>takes place</w:t>
      </w:r>
      <w:r>
        <w:rPr>
          <w:spacing w:val="-1"/>
        </w:rPr>
        <w:t> </w:t>
      </w:r>
      <w:r>
        <w:rPr/>
        <w:t>during</w:t>
      </w:r>
      <w:r>
        <w:rPr>
          <w:spacing w:val="-3"/>
        </w:rPr>
        <w:t> </w:t>
      </w:r>
      <w:r>
        <w:rPr/>
        <w:t>stipulating</w:t>
      </w:r>
      <w:r>
        <w:rPr>
          <w:spacing w:val="-3"/>
        </w:rPr>
        <w:t> </w:t>
      </w:r>
      <w:r>
        <w:rPr/>
        <w:t>of</w:t>
      </w:r>
      <w:r>
        <w:rPr>
          <w:spacing w:val="-1"/>
        </w:rPr>
        <w:t> </w:t>
      </w:r>
      <w:r>
        <w:rPr/>
        <w:t>the</w:t>
      </w:r>
      <w:r>
        <w:rPr>
          <w:spacing w:val="-1"/>
        </w:rPr>
        <w:t> </w:t>
      </w:r>
      <w:r>
        <w:rPr/>
        <w:t>budget ceiling, bilateral discussions, during the screening and approval by the SEC. Government decisions are formed through the interaction of those involved in decisions (policy makers), each of whom is attempting to advance his own personal objectives to the greatest possible extent (Aderibigbe,2012). Because each person involved in a public decision has different objectives and different values, the outcome</w:t>
      </w:r>
      <w:r>
        <w:rPr>
          <w:spacing w:val="-3"/>
        </w:rPr>
        <w:t> </w:t>
      </w:r>
      <w:r>
        <w:rPr/>
        <w:t>is</w:t>
      </w:r>
      <w:r>
        <w:rPr>
          <w:spacing w:val="-2"/>
        </w:rPr>
        <w:t> </w:t>
      </w:r>
      <w:r>
        <w:rPr/>
        <w:t>the</w:t>
      </w:r>
      <w:r>
        <w:rPr>
          <w:spacing w:val="-3"/>
        </w:rPr>
        <w:t> </w:t>
      </w:r>
      <w:r>
        <w:rPr/>
        <w:t>result</w:t>
      </w:r>
      <w:r>
        <w:rPr>
          <w:spacing w:val="-2"/>
        </w:rPr>
        <w:t> </w:t>
      </w:r>
      <w:r>
        <w:rPr/>
        <w:t>of</w:t>
      </w:r>
      <w:r>
        <w:rPr>
          <w:spacing w:val="-3"/>
        </w:rPr>
        <w:t> </w:t>
      </w:r>
      <w:r>
        <w:rPr/>
        <w:t>a</w:t>
      </w:r>
      <w:r>
        <w:rPr>
          <w:spacing w:val="-1"/>
        </w:rPr>
        <w:t> </w:t>
      </w:r>
      <w:r>
        <w:rPr/>
        <w:t>bargaining</w:t>
      </w:r>
      <w:r>
        <w:rPr>
          <w:spacing w:val="-4"/>
        </w:rPr>
        <w:t> </w:t>
      </w:r>
      <w:r>
        <w:rPr/>
        <w:t>process.</w:t>
      </w:r>
      <w:r>
        <w:rPr>
          <w:spacing w:val="-2"/>
        </w:rPr>
        <w:t> </w:t>
      </w:r>
      <w:r>
        <w:rPr/>
        <w:t>Each</w:t>
      </w:r>
      <w:r>
        <w:rPr>
          <w:spacing w:val="-3"/>
        </w:rPr>
        <w:t> </w:t>
      </w:r>
      <w:r>
        <w:rPr/>
        <w:t>participant</w:t>
      </w:r>
      <w:r>
        <w:rPr>
          <w:spacing w:val="-2"/>
        </w:rPr>
        <w:t> </w:t>
      </w:r>
      <w:r>
        <w:rPr/>
        <w:t>―haggles‖</w:t>
      </w:r>
      <w:r>
        <w:rPr>
          <w:spacing w:val="-4"/>
        </w:rPr>
        <w:t> </w:t>
      </w:r>
      <w:r>
        <w:rPr/>
        <w:t>using</w:t>
      </w:r>
      <w:r>
        <w:rPr>
          <w:spacing w:val="-4"/>
        </w:rPr>
        <w:t> </w:t>
      </w:r>
      <w:r>
        <w:rPr/>
        <w:t>his</w:t>
      </w:r>
      <w:r>
        <w:rPr>
          <w:spacing w:val="-2"/>
        </w:rPr>
        <w:t> </w:t>
      </w:r>
      <w:r>
        <w:rPr/>
        <w:t>influence</w:t>
      </w:r>
      <w:r>
        <w:rPr>
          <w:spacing w:val="-3"/>
        </w:rPr>
        <w:t> </w:t>
      </w:r>
      <w:r>
        <w:rPr/>
        <w:t>and power to reach a final outcome that is most congenial to his personal interests. Decision makers who gain personal satisfaction by successfully responding to the desires of their constituents engage in a political bargaining process.</w:t>
      </w:r>
      <w:r>
        <w:rPr>
          <w:spacing w:val="40"/>
        </w:rPr>
        <w:t> </w:t>
      </w:r>
      <w:r>
        <w:rPr/>
        <w:t>Power and influence – through the offering or withholding political support – are the currency. Thus, it can be argued that the political process operates in public interests such as housing provision, only if it is channeled properly.</w:t>
      </w:r>
      <w:r>
        <w:rPr>
          <w:spacing w:val="80"/>
        </w:rPr>
        <w:t> </w:t>
      </w:r>
      <w:r>
        <w:rPr/>
        <w:t>Because of the failure of the bargaining mechanism to represent the people‘s interests, the decision may not be an optimal one.</w:t>
      </w:r>
      <w:r>
        <w:rPr>
          <w:spacing w:val="40"/>
        </w:rPr>
        <w:t> </w:t>
      </w:r>
      <w:r>
        <w:rPr/>
        <w:t>A number of public projects may be undertaken which may be in the interest of a specific locality or vested group, but are not in the housing interest of the State or</w:t>
      </w:r>
      <w:r>
        <w:rPr>
          <w:spacing w:val="40"/>
        </w:rPr>
        <w:t> </w:t>
      </w:r>
      <w:r>
        <w:rPr/>
        <w:t>the Citizens. Grapevine may have it that the housing sector budget of Anambra State is influenced by political actors and this study has shown empirically, that this is indeed the case, especially in view of the lack of basis or criteria for establishing housing budget ceilings and allocating the final housing budget.</w:t>
      </w:r>
    </w:p>
    <w:p>
      <w:pPr>
        <w:spacing w:after="0" w:line="360" w:lineRule="auto"/>
        <w:jc w:val="both"/>
        <w:sectPr>
          <w:pgSz w:w="12240" w:h="15840"/>
          <w:pgMar w:header="0" w:footer="1036" w:top="1360" w:bottom="1220" w:left="1320" w:right="320"/>
        </w:sectPr>
      </w:pPr>
    </w:p>
    <w:p>
      <w:pPr>
        <w:pStyle w:val="Heading3"/>
        <w:numPr>
          <w:ilvl w:val="1"/>
          <w:numId w:val="107"/>
        </w:numPr>
        <w:tabs>
          <w:tab w:pos="839" w:val="left" w:leader="none"/>
        </w:tabs>
        <w:spacing w:line="240" w:lineRule="auto" w:before="60" w:after="0"/>
        <w:ind w:left="839" w:right="0" w:hanging="719"/>
        <w:jc w:val="both"/>
      </w:pPr>
      <w:r>
        <w:rPr>
          <w:spacing w:val="-2"/>
        </w:rPr>
        <w:t>Conclusion</w:t>
      </w:r>
    </w:p>
    <w:p>
      <w:pPr>
        <w:pStyle w:val="BodyText"/>
        <w:spacing w:line="360" w:lineRule="auto" w:before="144"/>
        <w:ind w:left="120" w:right="1115"/>
        <w:jc w:val="both"/>
      </w:pPr>
      <w:r>
        <w:rPr/>
        <w:t>The public budget is an effort to continue the government‘s holistic approach to developing infrastructure for the State and its citizenry. Housing is one of such vital infrastructure that mirrors not only</w:t>
      </w:r>
      <w:r>
        <w:rPr>
          <w:spacing w:val="-5"/>
        </w:rPr>
        <w:t> </w:t>
      </w:r>
      <w:r>
        <w:rPr/>
        <w:t>the level of development of the society, but the living standards of the citizenry. This research survey/investigations and sectoral budget analysis focused on the housing budget</w:t>
      </w:r>
      <w:r>
        <w:rPr>
          <w:spacing w:val="40"/>
        </w:rPr>
        <w:t> </w:t>
      </w:r>
      <w:r>
        <w:rPr/>
        <w:t>of Anambra State‘s public sector for the period of 1999 -2016 and in the process, a number of issues were identified as weaknesses hindering its effective management; which are detailed in the findings. Thus, for the housing sector budget of the Anambra State government to fulfill its aim; transparency, accountability and effective participation must be observed and respected to improve the outcomes of the budget towards the achievement of efficiency, effectiveness and </w:t>
      </w:r>
      <w:r>
        <w:rPr>
          <w:spacing w:val="-2"/>
        </w:rPr>
        <w:t>equity.</w:t>
      </w:r>
    </w:p>
    <w:p>
      <w:pPr>
        <w:pStyle w:val="BodyText"/>
        <w:spacing w:before="136"/>
      </w:pPr>
    </w:p>
    <w:p>
      <w:pPr>
        <w:spacing w:line="360" w:lineRule="auto" w:before="0"/>
        <w:ind w:left="120" w:right="1115" w:firstLine="0"/>
        <w:jc w:val="both"/>
        <w:rPr>
          <w:sz w:val="24"/>
        </w:rPr>
      </w:pPr>
      <w:r>
        <w:rPr>
          <w:sz w:val="24"/>
        </w:rPr>
        <w:t>It can be concluded from this research, that </w:t>
      </w:r>
      <w:r>
        <w:rPr>
          <w:sz w:val="26"/>
        </w:rPr>
        <w:t>the problem of housing budget performance in Anambra State lies not just in the adequacy of the allocation or actual expenditure, but more so in budget discipline and efficiency of managing the entire housing budget process as well as funds allocated for housing projects</w:t>
      </w:r>
      <w:r>
        <w:rPr>
          <w:sz w:val="24"/>
        </w:rPr>
        <w:t>. In addition to this, housing construction budgeting in the public sector is an area of study that has been neglected in the Nigerian construction industry and for this reason, the performance of housing projects in terms of their budget practices or procedures are still below best practices.</w:t>
      </w:r>
    </w:p>
    <w:p>
      <w:pPr>
        <w:pStyle w:val="BodyText"/>
        <w:spacing w:before="142"/>
      </w:pPr>
    </w:p>
    <w:p>
      <w:pPr>
        <w:pStyle w:val="BodyText"/>
        <w:spacing w:line="360" w:lineRule="auto"/>
        <w:ind w:left="120" w:right="1114"/>
        <w:jc w:val="both"/>
      </w:pPr>
      <w:r>
        <w:rPr/>
        <w:t>However, the general conclusion that can be drawn from this research is that poor housing</w:t>
      </w:r>
      <w:r>
        <w:rPr>
          <w:spacing w:val="40"/>
        </w:rPr>
        <w:t> </w:t>
      </w:r>
      <w:r>
        <w:rPr/>
        <w:t>budget performance impacts negatively on effective delivery of housing infrastructure in Anambra State, and the annual housing budget allocation and practices of Anambra State do not reflect Government‘s commitment to providing housing facilities to better the lives of the citizenry. This is as depicted by the overall poor performance recorded in facets of planning, preparation, authorization, execution, monitoring and evaluation. Hence, the need for the Anambra State Housing and Budget MDAs to adopt the monitoring and review templates and a holistic framework or model advanced in this research for efficient management of the housing budget</w:t>
      </w:r>
      <w:r>
        <w:rPr>
          <w:spacing w:val="-3"/>
        </w:rPr>
        <w:t> </w:t>
      </w:r>
      <w:r>
        <w:rPr/>
        <w:t>to</w:t>
      </w:r>
      <w:r>
        <w:rPr>
          <w:spacing w:val="-1"/>
        </w:rPr>
        <w:t> </w:t>
      </w:r>
      <w:r>
        <w:rPr/>
        <w:t>ensure</w:t>
      </w:r>
      <w:r>
        <w:rPr>
          <w:spacing w:val="-2"/>
        </w:rPr>
        <w:t> </w:t>
      </w:r>
      <w:r>
        <w:rPr/>
        <w:t>effective</w:t>
      </w:r>
      <w:r>
        <w:rPr>
          <w:spacing w:val="-3"/>
        </w:rPr>
        <w:t> </w:t>
      </w:r>
      <w:r>
        <w:rPr/>
        <w:t>performance.</w:t>
      </w:r>
      <w:r>
        <w:rPr>
          <w:spacing w:val="-3"/>
        </w:rPr>
        <w:t> </w:t>
      </w:r>
      <w:r>
        <w:rPr/>
        <w:t>The</w:t>
      </w:r>
      <w:r>
        <w:rPr>
          <w:spacing w:val="-5"/>
        </w:rPr>
        <w:t> </w:t>
      </w:r>
      <w:r>
        <w:rPr/>
        <w:t>model</w:t>
      </w:r>
      <w:r>
        <w:rPr>
          <w:spacing w:val="-3"/>
        </w:rPr>
        <w:t> </w:t>
      </w:r>
      <w:r>
        <w:rPr/>
        <w:t>should</w:t>
      </w:r>
      <w:r>
        <w:rPr>
          <w:spacing w:val="-3"/>
        </w:rPr>
        <w:t> </w:t>
      </w:r>
      <w:r>
        <w:rPr/>
        <w:t>however</w:t>
      </w:r>
      <w:r>
        <w:rPr>
          <w:spacing w:val="-2"/>
        </w:rPr>
        <w:t> </w:t>
      </w:r>
      <w:r>
        <w:rPr/>
        <w:t>be</w:t>
      </w:r>
      <w:r>
        <w:rPr>
          <w:spacing w:val="-4"/>
        </w:rPr>
        <w:t> </w:t>
      </w:r>
      <w:r>
        <w:rPr/>
        <w:t>applied</w:t>
      </w:r>
      <w:r>
        <w:rPr>
          <w:spacing w:val="-1"/>
        </w:rPr>
        <w:t> </w:t>
      </w:r>
      <w:r>
        <w:rPr/>
        <w:t>with</w:t>
      </w:r>
      <w:r>
        <w:rPr>
          <w:spacing w:val="-3"/>
        </w:rPr>
        <w:t> </w:t>
      </w:r>
      <w:r>
        <w:rPr/>
        <w:t>caution</w:t>
      </w:r>
      <w:r>
        <w:rPr>
          <w:spacing w:val="-3"/>
        </w:rPr>
        <w:t> </w:t>
      </w:r>
      <w:r>
        <w:rPr/>
        <w:t>since it is purely conceptual or hypothetical and has not yet been validated.</w:t>
      </w:r>
    </w:p>
    <w:p>
      <w:pPr>
        <w:spacing w:after="0" w:line="360" w:lineRule="auto"/>
        <w:jc w:val="both"/>
        <w:sectPr>
          <w:pgSz w:w="12240" w:h="15840"/>
          <w:pgMar w:header="0" w:footer="1036" w:top="1380" w:bottom="1220" w:left="1320" w:right="320"/>
        </w:sectPr>
      </w:pPr>
    </w:p>
    <w:p>
      <w:pPr>
        <w:pStyle w:val="BodyText"/>
        <w:spacing w:line="360" w:lineRule="auto" w:before="74"/>
        <w:ind w:left="120" w:right="1111"/>
        <w:jc w:val="both"/>
      </w:pPr>
      <w:r>
        <w:rPr/>
        <w:t>It is expected that the results of this research will assist in re-engineering the State‘s Housing MDAs, Ministry of Budget and Economic Planning, Ministry of Finance, Project Monitoring, Evaluation and Implementation units, SEC and the legislature in their decision-making process</w:t>
      </w:r>
      <w:r>
        <w:rPr>
          <w:spacing w:val="40"/>
        </w:rPr>
        <w:t> </w:t>
      </w:r>
      <w:r>
        <w:rPr/>
        <w:t>of managing the budget of both existing and future housing projects. The research will also contribute in no small way in not only reducing the spate of housing delivery problems in the State, but ensuring the citizens are priority in such projects.</w:t>
      </w:r>
    </w:p>
    <w:p>
      <w:pPr>
        <w:pStyle w:val="BodyText"/>
        <w:spacing w:before="179"/>
      </w:pPr>
    </w:p>
    <w:p>
      <w:pPr>
        <w:pStyle w:val="Heading3"/>
        <w:numPr>
          <w:ilvl w:val="1"/>
          <w:numId w:val="107"/>
        </w:numPr>
        <w:tabs>
          <w:tab w:pos="767" w:val="left" w:leader="none"/>
        </w:tabs>
        <w:spacing w:line="240" w:lineRule="auto" w:before="0" w:after="0"/>
        <w:ind w:left="767" w:right="0" w:hanging="647"/>
        <w:jc w:val="both"/>
      </w:pPr>
      <w:r>
        <w:rPr/>
        <w:t>Implications</w:t>
      </w:r>
      <w:r>
        <w:rPr>
          <w:spacing w:val="-7"/>
        </w:rPr>
        <w:t> </w:t>
      </w:r>
      <w:r>
        <w:rPr/>
        <w:t>of</w:t>
      </w:r>
      <w:r>
        <w:rPr>
          <w:spacing w:val="-5"/>
        </w:rPr>
        <w:t> </w:t>
      </w:r>
      <w:r>
        <w:rPr/>
        <w:t>the</w:t>
      </w:r>
      <w:r>
        <w:rPr>
          <w:spacing w:val="-7"/>
        </w:rPr>
        <w:t> </w:t>
      </w:r>
      <w:r>
        <w:rPr/>
        <w:t>Research</w:t>
      </w:r>
      <w:r>
        <w:rPr>
          <w:spacing w:val="-7"/>
        </w:rPr>
        <w:t> </w:t>
      </w:r>
      <w:r>
        <w:rPr>
          <w:spacing w:val="-2"/>
        </w:rPr>
        <w:t>Findings</w:t>
      </w:r>
    </w:p>
    <w:p>
      <w:pPr>
        <w:pStyle w:val="BodyText"/>
        <w:spacing w:line="360" w:lineRule="auto" w:before="144"/>
        <w:ind w:left="120" w:right="1118"/>
        <w:jc w:val="both"/>
      </w:pPr>
      <w:r>
        <w:rPr/>
        <w:t>The findings of this research have some implications for the government, the construction industry and construction professionals.</w:t>
      </w:r>
    </w:p>
    <w:p>
      <w:pPr>
        <w:pStyle w:val="BodyText"/>
        <w:spacing w:before="6"/>
      </w:pPr>
    </w:p>
    <w:p>
      <w:pPr>
        <w:pStyle w:val="Heading4"/>
        <w:numPr>
          <w:ilvl w:val="2"/>
          <w:numId w:val="107"/>
        </w:numPr>
        <w:tabs>
          <w:tab w:pos="720" w:val="left" w:leader="none"/>
        </w:tabs>
        <w:spacing w:line="240" w:lineRule="auto" w:before="0" w:after="0"/>
        <w:ind w:left="720" w:right="0" w:hanging="600"/>
        <w:jc w:val="both"/>
      </w:pPr>
      <w:r>
        <w:rPr/>
        <w:t>The</w:t>
      </w:r>
      <w:r>
        <w:rPr>
          <w:spacing w:val="-1"/>
        </w:rPr>
        <w:t> </w:t>
      </w:r>
      <w:r>
        <w:rPr>
          <w:spacing w:val="-2"/>
        </w:rPr>
        <w:t>Government</w:t>
      </w:r>
    </w:p>
    <w:p>
      <w:pPr>
        <w:pStyle w:val="BodyText"/>
        <w:spacing w:line="360" w:lineRule="auto" w:before="132"/>
        <w:ind w:left="120" w:right="1115"/>
        <w:jc w:val="both"/>
      </w:pPr>
      <w:r>
        <w:rPr/>
        <w:t>Ayodele and Alabi (2011) assert that the government, being the principal client of the construction industry, exerts considerable influence on the output and performance of infrastructure via budgetary policies and procedures. In other words, policy changes or laws and budgeting decisions taken or made by the government determines the level, state or quality of capital projects like housing development.</w:t>
      </w:r>
    </w:p>
    <w:p>
      <w:pPr>
        <w:pStyle w:val="BodyText"/>
        <w:spacing w:before="138"/>
      </w:pPr>
    </w:p>
    <w:p>
      <w:pPr>
        <w:pStyle w:val="BodyText"/>
        <w:spacing w:line="360" w:lineRule="auto"/>
        <w:ind w:left="120" w:right="1115"/>
        <w:jc w:val="both"/>
      </w:pPr>
      <w:r>
        <w:rPr/>
        <w:t>In view of this assertion, the implications of this research for the government are two-fold. First, is in the area of housing policy making and second, is in the effective management of the</w:t>
      </w:r>
      <w:r>
        <w:rPr>
          <w:spacing w:val="40"/>
        </w:rPr>
        <w:t> </w:t>
      </w:r>
      <w:r>
        <w:rPr/>
        <w:t>housing budget process and implementation/delivery of housing infrastructure. These imply that if the government does not take urgent steps to develop sustainable policies such as a Medium Term Sector Strategy (MTSS) that will relate to delivery of policy goals for housing through improved service delivery, then the present state of housing infrastructure may leave much to be desired. Such policy goals could be in areas of funding, PPPs, research and development of locally produced building materials and technology, mortgage financing, land acquisition, security, taxation, indigenous contracting, citizen participation, foreign direct investment etc. These will go a long way in not only ensuring sustainable housing delivery, but affordable housing for the citizenry.</w:t>
      </w:r>
    </w:p>
    <w:p>
      <w:pPr>
        <w:spacing w:after="0" w:line="360" w:lineRule="auto"/>
        <w:jc w:val="both"/>
        <w:sectPr>
          <w:pgSz w:w="12240" w:h="15840"/>
          <w:pgMar w:header="0" w:footer="1036" w:top="1360" w:bottom="1220" w:left="1320" w:right="320"/>
        </w:sectPr>
      </w:pPr>
    </w:p>
    <w:p>
      <w:pPr>
        <w:pStyle w:val="BodyText"/>
        <w:spacing w:line="360" w:lineRule="auto" w:before="74"/>
        <w:ind w:left="120" w:right="1117"/>
        <w:jc w:val="both"/>
      </w:pPr>
      <w:r>
        <w:rPr/>
        <w:t>The research also identified a number of challenges hindering housing budget performance.</w:t>
      </w:r>
      <w:r>
        <w:rPr>
          <w:spacing w:val="36"/>
        </w:rPr>
        <w:t> </w:t>
      </w:r>
      <w:r>
        <w:rPr/>
        <w:t>If the housing policies are not backed up by concrete actions in managing the housing budget process, in areas such as political influence, federal and state allocation, release of funds for housing projects, housing needs survey, passage and approval of budget, participation, monitoring/supervision and evaluation, budget discipline and other ethical issues, then these policies are doomed to fail because the rational and objective planning, control and allocation of financial resources for housing development is the vehicle that will drive these housing policies to fruition. Failure on the part of government to live up to expectation in effective management</w:t>
      </w:r>
      <w:r>
        <w:rPr>
          <w:spacing w:val="40"/>
        </w:rPr>
        <w:t> </w:t>
      </w:r>
      <w:r>
        <w:rPr/>
        <w:t>of the housing budget will portray</w:t>
      </w:r>
      <w:r>
        <w:rPr>
          <w:spacing w:val="-4"/>
        </w:rPr>
        <w:t> </w:t>
      </w:r>
      <w:r>
        <w:rPr/>
        <w:t>the government as being insensitive to the plight of the people and even corrupt.</w:t>
      </w:r>
    </w:p>
    <w:p>
      <w:pPr>
        <w:pStyle w:val="BodyText"/>
        <w:spacing w:before="138"/>
      </w:pPr>
    </w:p>
    <w:p>
      <w:pPr>
        <w:pStyle w:val="BodyText"/>
        <w:spacing w:line="360" w:lineRule="auto"/>
        <w:ind w:left="120" w:right="1115"/>
        <w:jc w:val="both"/>
      </w:pPr>
      <w:r>
        <w:rPr/>
        <w:t>The last area of implication is with respect to the poor support of the State‘s Housing</w:t>
      </w:r>
      <w:r>
        <w:rPr>
          <w:spacing w:val="40"/>
        </w:rPr>
        <w:t> </w:t>
      </w:r>
      <w:r>
        <w:rPr/>
        <w:t>Corporation from the annual housing budget which has increased cost of housing delivery. This implies that housing can only</w:t>
      </w:r>
      <w:r>
        <w:rPr>
          <w:spacing w:val="-2"/>
        </w:rPr>
        <w:t> </w:t>
      </w:r>
      <w:r>
        <w:rPr/>
        <w:t>be afforded by</w:t>
      </w:r>
      <w:r>
        <w:rPr>
          <w:spacing w:val="-2"/>
        </w:rPr>
        <w:t> </w:t>
      </w:r>
      <w:r>
        <w:rPr/>
        <w:t>the wealthy</w:t>
      </w:r>
      <w:r>
        <w:rPr>
          <w:spacing w:val="-2"/>
        </w:rPr>
        <w:t> </w:t>
      </w:r>
      <w:r>
        <w:rPr/>
        <w:t>few, while the poor and middle income earners have to make-do with sub-standard housing; thus widening the gap between the rich and the poor. Hence, the need for housing provision for all, irrespective of class or social status.</w:t>
      </w:r>
    </w:p>
    <w:p>
      <w:pPr>
        <w:pStyle w:val="BodyText"/>
        <w:spacing w:before="143"/>
      </w:pPr>
    </w:p>
    <w:p>
      <w:pPr>
        <w:pStyle w:val="Heading4"/>
        <w:numPr>
          <w:ilvl w:val="2"/>
          <w:numId w:val="107"/>
        </w:numPr>
        <w:tabs>
          <w:tab w:pos="720" w:val="left" w:leader="none"/>
        </w:tabs>
        <w:spacing w:line="240" w:lineRule="auto" w:before="1" w:after="0"/>
        <w:ind w:left="720" w:right="0" w:hanging="600"/>
        <w:jc w:val="both"/>
      </w:pPr>
      <w:r>
        <w:rPr/>
        <w:t>The</w:t>
      </w:r>
      <w:r>
        <w:rPr>
          <w:spacing w:val="-3"/>
        </w:rPr>
        <w:t> </w:t>
      </w:r>
      <w:r>
        <w:rPr/>
        <w:t>Construction</w:t>
      </w:r>
      <w:r>
        <w:rPr>
          <w:spacing w:val="-1"/>
        </w:rPr>
        <w:t> </w:t>
      </w:r>
      <w:r>
        <w:rPr>
          <w:spacing w:val="-2"/>
        </w:rPr>
        <w:t>Industry</w:t>
      </w:r>
    </w:p>
    <w:p>
      <w:pPr>
        <w:pStyle w:val="BodyText"/>
        <w:spacing w:line="360" w:lineRule="auto" w:before="134"/>
        <w:ind w:left="120" w:right="1118"/>
        <w:jc w:val="both"/>
      </w:pPr>
      <w:r>
        <w:rPr/>
        <w:t>According to Ebohon and Rwelamila (2002), the construction industry is one of the most important sectors of an economy because it defines the physical infrastructure upon which effective growth and development is achieved. It contributes a significant part of a nation‘s GDP and remains a key player in the national economy. The nature and number of buildings in a society, thus, reflects the level of development of that society because it plays a vital role in meeting the needs of society and enhancing their quality of life. This research established the abysmal state of the housing sub-sector in Anambra State due to the poor commitment and lack of political will of the government. This, by implication means that weak housing budgeting ultimately translates to poor execution and delivery of housing infrastructure, which mirrors the underdevelopment</w:t>
      </w:r>
      <w:r>
        <w:rPr>
          <w:spacing w:val="-3"/>
        </w:rPr>
        <w:t> </w:t>
      </w:r>
      <w:r>
        <w:rPr/>
        <w:t>of</w:t>
      </w:r>
      <w:r>
        <w:rPr>
          <w:spacing w:val="-3"/>
        </w:rPr>
        <w:t> </w:t>
      </w:r>
      <w:r>
        <w:rPr/>
        <w:t>the</w:t>
      </w:r>
      <w:r>
        <w:rPr>
          <w:spacing w:val="-3"/>
        </w:rPr>
        <w:t> </w:t>
      </w:r>
      <w:r>
        <w:rPr/>
        <w:t>construction</w:t>
      </w:r>
      <w:r>
        <w:rPr>
          <w:spacing w:val="-3"/>
        </w:rPr>
        <w:t> </w:t>
      </w:r>
      <w:r>
        <w:rPr/>
        <w:t>industry.</w:t>
      </w:r>
      <w:r>
        <w:rPr>
          <w:spacing w:val="-1"/>
        </w:rPr>
        <w:t> </w:t>
      </w:r>
      <w:r>
        <w:rPr/>
        <w:t>This</w:t>
      </w:r>
      <w:r>
        <w:rPr>
          <w:spacing w:val="-3"/>
        </w:rPr>
        <w:t> </w:t>
      </w:r>
      <w:r>
        <w:rPr/>
        <w:t>further</w:t>
      </w:r>
      <w:r>
        <w:rPr>
          <w:spacing w:val="-5"/>
        </w:rPr>
        <w:t> </w:t>
      </w:r>
      <w:r>
        <w:rPr/>
        <w:t>portrays</w:t>
      </w:r>
      <w:r>
        <w:rPr>
          <w:spacing w:val="-3"/>
        </w:rPr>
        <w:t> </w:t>
      </w:r>
      <w:r>
        <w:rPr/>
        <w:t>the</w:t>
      </w:r>
      <w:r>
        <w:rPr>
          <w:spacing w:val="-3"/>
        </w:rPr>
        <w:t> </w:t>
      </w:r>
      <w:r>
        <w:rPr/>
        <w:t>industry</w:t>
      </w:r>
      <w:r>
        <w:rPr>
          <w:spacing w:val="-8"/>
        </w:rPr>
        <w:t> </w:t>
      </w:r>
      <w:r>
        <w:rPr/>
        <w:t>in</w:t>
      </w:r>
      <w:r>
        <w:rPr>
          <w:spacing w:val="-3"/>
        </w:rPr>
        <w:t> </w:t>
      </w:r>
      <w:r>
        <w:rPr/>
        <w:t>bad</w:t>
      </w:r>
      <w:r>
        <w:rPr>
          <w:spacing w:val="-3"/>
        </w:rPr>
        <w:t> </w:t>
      </w:r>
      <w:r>
        <w:rPr/>
        <w:t>light and weakens the ranking of Nigeria‘s infrastructure development when compared with the trend in other</w:t>
      </w:r>
      <w:r>
        <w:rPr>
          <w:spacing w:val="7"/>
        </w:rPr>
        <w:t> </w:t>
      </w:r>
      <w:r>
        <w:rPr/>
        <w:t>developed</w:t>
      </w:r>
      <w:r>
        <w:rPr>
          <w:spacing w:val="7"/>
        </w:rPr>
        <w:t> </w:t>
      </w:r>
      <w:r>
        <w:rPr/>
        <w:t>countries</w:t>
      </w:r>
      <w:r>
        <w:rPr>
          <w:spacing w:val="10"/>
        </w:rPr>
        <w:t> </w:t>
      </w:r>
      <w:r>
        <w:rPr/>
        <w:t>of</w:t>
      </w:r>
      <w:r>
        <w:rPr>
          <w:spacing w:val="8"/>
        </w:rPr>
        <w:t> </w:t>
      </w:r>
      <w:r>
        <w:rPr/>
        <w:t>the</w:t>
      </w:r>
      <w:r>
        <w:rPr>
          <w:spacing w:val="7"/>
        </w:rPr>
        <w:t> </w:t>
      </w:r>
      <w:r>
        <w:rPr/>
        <w:t>world,</w:t>
      </w:r>
      <w:r>
        <w:rPr>
          <w:spacing w:val="9"/>
        </w:rPr>
        <w:t> </w:t>
      </w:r>
      <w:r>
        <w:rPr/>
        <w:t>hence,</w:t>
      </w:r>
      <w:r>
        <w:rPr>
          <w:spacing w:val="8"/>
        </w:rPr>
        <w:t> </w:t>
      </w:r>
      <w:r>
        <w:rPr/>
        <w:t>the</w:t>
      </w:r>
      <w:r>
        <w:rPr>
          <w:spacing w:val="8"/>
        </w:rPr>
        <w:t> </w:t>
      </w:r>
      <w:r>
        <w:rPr/>
        <w:t>need</w:t>
      </w:r>
      <w:r>
        <w:rPr>
          <w:spacing w:val="8"/>
        </w:rPr>
        <w:t> </w:t>
      </w:r>
      <w:r>
        <w:rPr/>
        <w:t>for</w:t>
      </w:r>
      <w:r>
        <w:rPr>
          <w:spacing w:val="6"/>
        </w:rPr>
        <w:t> </w:t>
      </w:r>
      <w:r>
        <w:rPr/>
        <w:t>our</w:t>
      </w:r>
      <w:r>
        <w:rPr>
          <w:spacing w:val="10"/>
        </w:rPr>
        <w:t> </w:t>
      </w:r>
      <w:r>
        <w:rPr/>
        <w:t>housing</w:t>
      </w:r>
      <w:r>
        <w:rPr>
          <w:spacing w:val="5"/>
        </w:rPr>
        <w:t> </w:t>
      </w:r>
      <w:r>
        <w:rPr/>
        <w:t>budgeting</w:t>
      </w:r>
      <w:r>
        <w:rPr>
          <w:spacing w:val="5"/>
        </w:rPr>
        <w:t> </w:t>
      </w:r>
      <w:r>
        <w:rPr/>
        <w:t>procedures</w:t>
      </w:r>
      <w:r>
        <w:rPr>
          <w:spacing w:val="10"/>
        </w:rPr>
        <w:t> </w:t>
      </w:r>
      <w:r>
        <w:rPr>
          <w:spacing w:val="-5"/>
        </w:rPr>
        <w:t>to</w:t>
      </w:r>
    </w:p>
    <w:p>
      <w:pPr>
        <w:spacing w:after="0" w:line="360" w:lineRule="auto"/>
        <w:jc w:val="both"/>
        <w:sectPr>
          <w:pgSz w:w="12240" w:h="15840"/>
          <w:pgMar w:header="0" w:footer="1036" w:top="1360" w:bottom="1220" w:left="1320" w:right="320"/>
        </w:sectPr>
      </w:pPr>
    </w:p>
    <w:p>
      <w:pPr>
        <w:pStyle w:val="BodyText"/>
        <w:spacing w:line="360" w:lineRule="auto" w:before="74"/>
        <w:ind w:left="120" w:right="1118"/>
        <w:jc w:val="both"/>
      </w:pPr>
      <w:r>
        <w:rPr/>
        <w:t>follow international best practices, be commensurate with that of developed countries and attract funding from international organizations/donor agencies.</w:t>
      </w:r>
    </w:p>
    <w:p>
      <w:pPr>
        <w:pStyle w:val="BodyText"/>
        <w:spacing w:before="137"/>
      </w:pPr>
    </w:p>
    <w:p>
      <w:pPr>
        <w:pStyle w:val="BodyText"/>
        <w:spacing w:line="360" w:lineRule="auto"/>
        <w:ind w:left="120" w:right="1115"/>
        <w:jc w:val="both"/>
      </w:pPr>
      <w:r>
        <w:rPr/>
        <w:t>Furthermore, improved housing sub-sector development of the construction industry will create jobs for construction professionals, consultants, contractors, skilled, semi-skilled and unskilled labour; improve their living standards, while reducing crime rate and other social vices</w:t>
      </w:r>
      <w:r>
        <w:rPr>
          <w:spacing w:val="40"/>
        </w:rPr>
        <w:t> </w:t>
      </w:r>
      <w:r>
        <w:rPr/>
        <w:t>associated with unemployment.</w:t>
      </w:r>
      <w:r>
        <w:rPr>
          <w:spacing w:val="40"/>
        </w:rPr>
        <w:t> </w:t>
      </w:r>
      <w:r>
        <w:rPr/>
        <w:t>Increased housing production will also create a market for the building materials suppliers and manufacturers.</w:t>
      </w:r>
    </w:p>
    <w:p>
      <w:pPr>
        <w:pStyle w:val="BodyText"/>
        <w:spacing w:before="144"/>
      </w:pPr>
    </w:p>
    <w:p>
      <w:pPr>
        <w:pStyle w:val="Heading4"/>
        <w:numPr>
          <w:ilvl w:val="2"/>
          <w:numId w:val="107"/>
        </w:numPr>
        <w:tabs>
          <w:tab w:pos="720" w:val="left" w:leader="none"/>
        </w:tabs>
        <w:spacing w:line="240" w:lineRule="auto" w:before="0" w:after="0"/>
        <w:ind w:left="720" w:right="0" w:hanging="600"/>
        <w:jc w:val="both"/>
      </w:pPr>
      <w:r>
        <w:rPr/>
        <w:t>Construction</w:t>
      </w:r>
      <w:r>
        <w:rPr>
          <w:spacing w:val="-3"/>
        </w:rPr>
        <w:t> </w:t>
      </w:r>
      <w:r>
        <w:rPr>
          <w:spacing w:val="-2"/>
        </w:rPr>
        <w:t>Professionals</w:t>
      </w:r>
    </w:p>
    <w:p>
      <w:pPr>
        <w:pStyle w:val="BodyText"/>
        <w:spacing w:line="360" w:lineRule="auto" w:before="134"/>
        <w:ind w:left="120" w:right="1113"/>
        <w:jc w:val="both"/>
      </w:pPr>
      <w:r>
        <w:rPr/>
        <w:t>Opawole</w:t>
      </w:r>
      <w:r>
        <w:rPr>
          <w:spacing w:val="-2"/>
        </w:rPr>
        <w:t> </w:t>
      </w:r>
      <w:r>
        <w:rPr>
          <w:i/>
        </w:rPr>
        <w:t>et</w:t>
      </w:r>
      <w:r>
        <w:rPr>
          <w:i/>
          <w:spacing w:val="-1"/>
        </w:rPr>
        <w:t> </w:t>
      </w:r>
      <w:r>
        <w:rPr>
          <w:i/>
        </w:rPr>
        <w:t>al</w:t>
      </w:r>
      <w:r>
        <w:rPr/>
        <w:t>.</w:t>
      </w:r>
      <w:r>
        <w:rPr>
          <w:spacing w:val="-1"/>
        </w:rPr>
        <w:t> </w:t>
      </w:r>
      <w:r>
        <w:rPr/>
        <w:t>(2012)</w:t>
      </w:r>
      <w:r>
        <w:rPr>
          <w:spacing w:val="-2"/>
        </w:rPr>
        <w:t> </w:t>
      </w:r>
      <w:r>
        <w:rPr/>
        <w:t>opine</w:t>
      </w:r>
      <w:r>
        <w:rPr>
          <w:spacing w:val="-2"/>
        </w:rPr>
        <w:t> </w:t>
      </w:r>
      <w:r>
        <w:rPr/>
        <w:t>that low</w:t>
      </w:r>
      <w:r>
        <w:rPr>
          <w:spacing w:val="-1"/>
        </w:rPr>
        <w:t> </w:t>
      </w:r>
      <w:r>
        <w:rPr/>
        <w:t>implementation</w:t>
      </w:r>
      <w:r>
        <w:rPr>
          <w:spacing w:val="-1"/>
        </w:rPr>
        <w:t> </w:t>
      </w:r>
      <w:r>
        <w:rPr/>
        <w:t>of</w:t>
      </w:r>
      <w:r>
        <w:rPr>
          <w:spacing w:val="-2"/>
        </w:rPr>
        <w:t> </w:t>
      </w:r>
      <w:r>
        <w:rPr/>
        <w:t>public</w:t>
      </w:r>
      <w:r>
        <w:rPr>
          <w:spacing w:val="-2"/>
        </w:rPr>
        <w:t> </w:t>
      </w:r>
      <w:r>
        <w:rPr/>
        <w:t>financed</w:t>
      </w:r>
      <w:r>
        <w:rPr>
          <w:spacing w:val="-1"/>
        </w:rPr>
        <w:t> </w:t>
      </w:r>
      <w:r>
        <w:rPr/>
        <w:t>infrastructure projects</w:t>
      </w:r>
      <w:r>
        <w:rPr>
          <w:spacing w:val="-1"/>
        </w:rPr>
        <w:t> </w:t>
      </w:r>
      <w:r>
        <w:rPr/>
        <w:t>in Nigeria is correlated to the level of involvement of construction professionals in the budgeting process at the macro-level. In other words, their participation enhances better connectivity between the public budget and the infrastructural projects.</w:t>
      </w:r>
    </w:p>
    <w:p>
      <w:pPr>
        <w:pStyle w:val="BodyText"/>
        <w:spacing w:before="137"/>
      </w:pPr>
    </w:p>
    <w:p>
      <w:pPr>
        <w:pStyle w:val="BodyText"/>
        <w:spacing w:line="360" w:lineRule="auto"/>
        <w:ind w:left="120" w:right="1114"/>
        <w:jc w:val="both"/>
      </w:pPr>
      <w:r>
        <w:rPr/>
        <w:t>The</w:t>
      </w:r>
      <w:r>
        <w:rPr>
          <w:spacing w:val="-1"/>
        </w:rPr>
        <w:t> </w:t>
      </w:r>
      <w:r>
        <w:rPr/>
        <w:t>housing</w:t>
      </w:r>
      <w:r>
        <w:rPr>
          <w:spacing w:val="-2"/>
        </w:rPr>
        <w:t> </w:t>
      </w:r>
      <w:r>
        <w:rPr/>
        <w:t>budget processes where professionals can be actively</w:t>
      </w:r>
      <w:r>
        <w:rPr>
          <w:spacing w:val="-4"/>
        </w:rPr>
        <w:t> </w:t>
      </w:r>
      <w:r>
        <w:rPr/>
        <w:t>involved and make significant contributions include: pre-budgetary activities like identification of housing needs and development of implementation strategy to accommodate housing needs, technical and cost evaluation of</w:t>
      </w:r>
      <w:r>
        <w:rPr>
          <w:spacing w:val="40"/>
        </w:rPr>
        <w:t> </w:t>
      </w:r>
      <w:r>
        <w:rPr/>
        <w:t>housing schemes, preparation of the draft budget for housing projects, preparation of budget circular, preparation of budget estimates, review and approval of budgets for housing projects, tender evaluation and contractor selection, drafting of projects contractual agreement/documentation and post-budget activities like projects monitoring, supervision and cost control, housing budget monitoring and evaluation and project budget auditing. The implication of this is that if housing construction professionals comprising: quantity surveyors, builders, architects, engineers, estate surveyors, town planners and financial administrators such as economists and accountants do not brace up to the challenge of carrying out these tasks creditably, then effective performance/delivery of the housing budget/housing projects will be severely</w:t>
      </w:r>
      <w:r>
        <w:rPr>
          <w:spacing w:val="-6"/>
        </w:rPr>
        <w:t> </w:t>
      </w:r>
      <w:r>
        <w:rPr/>
        <w:t>marred. In</w:t>
      </w:r>
      <w:r>
        <w:rPr>
          <w:spacing w:val="-1"/>
        </w:rPr>
        <w:t> </w:t>
      </w:r>
      <w:r>
        <w:rPr/>
        <w:t>addition</w:t>
      </w:r>
      <w:r>
        <w:rPr>
          <w:spacing w:val="-1"/>
        </w:rPr>
        <w:t> </w:t>
      </w:r>
      <w:r>
        <w:rPr/>
        <w:t>to</w:t>
      </w:r>
      <w:r>
        <w:rPr>
          <w:spacing w:val="-3"/>
        </w:rPr>
        <w:t> </w:t>
      </w:r>
      <w:r>
        <w:rPr/>
        <w:t>this,</w:t>
      </w:r>
      <w:r>
        <w:rPr>
          <w:spacing w:val="-3"/>
        </w:rPr>
        <w:t> </w:t>
      </w:r>
      <w:r>
        <w:rPr/>
        <w:t>it will</w:t>
      </w:r>
      <w:r>
        <w:rPr>
          <w:spacing w:val="-1"/>
        </w:rPr>
        <w:t> </w:t>
      </w:r>
      <w:r>
        <w:rPr/>
        <w:t>portray</w:t>
      </w:r>
      <w:r>
        <w:rPr>
          <w:spacing w:val="-4"/>
        </w:rPr>
        <w:t> </w:t>
      </w:r>
      <w:r>
        <w:rPr/>
        <w:t>construction</w:t>
      </w:r>
      <w:r>
        <w:rPr>
          <w:spacing w:val="-1"/>
        </w:rPr>
        <w:t> </w:t>
      </w:r>
      <w:r>
        <w:rPr/>
        <w:t>professionals, (especially</w:t>
      </w:r>
      <w:r>
        <w:rPr>
          <w:spacing w:val="-6"/>
        </w:rPr>
        <w:t> </w:t>
      </w:r>
      <w:r>
        <w:rPr/>
        <w:t>those</w:t>
      </w:r>
      <w:r>
        <w:rPr>
          <w:spacing w:val="-2"/>
        </w:rPr>
        <w:t> </w:t>
      </w:r>
      <w:r>
        <w:rPr/>
        <w:t>in the public sector) as either underperforming or inexperienced when compared with their foreign counterparts.</w:t>
      </w:r>
      <w:r>
        <w:rPr>
          <w:spacing w:val="30"/>
        </w:rPr>
        <w:t> </w:t>
      </w:r>
      <w:r>
        <w:rPr/>
        <w:t>Construction</w:t>
      </w:r>
      <w:r>
        <w:rPr>
          <w:spacing w:val="30"/>
        </w:rPr>
        <w:t> </w:t>
      </w:r>
      <w:r>
        <w:rPr/>
        <w:t>professionals</w:t>
      </w:r>
      <w:r>
        <w:rPr>
          <w:spacing w:val="31"/>
        </w:rPr>
        <w:t> </w:t>
      </w:r>
      <w:r>
        <w:rPr/>
        <w:t>in</w:t>
      </w:r>
      <w:r>
        <w:rPr>
          <w:spacing w:val="30"/>
        </w:rPr>
        <w:t> </w:t>
      </w:r>
      <w:r>
        <w:rPr/>
        <w:t>public</w:t>
      </w:r>
      <w:r>
        <w:rPr>
          <w:spacing w:val="30"/>
        </w:rPr>
        <w:t> </w:t>
      </w:r>
      <w:r>
        <w:rPr/>
        <w:t>employ</w:t>
      </w:r>
      <w:r>
        <w:rPr>
          <w:spacing w:val="32"/>
        </w:rPr>
        <w:t> </w:t>
      </w:r>
      <w:r>
        <w:rPr/>
        <w:t>who</w:t>
      </w:r>
      <w:r>
        <w:rPr>
          <w:spacing w:val="30"/>
        </w:rPr>
        <w:t> </w:t>
      </w:r>
      <w:r>
        <w:rPr/>
        <w:t>are</w:t>
      </w:r>
      <w:r>
        <w:rPr>
          <w:spacing w:val="30"/>
        </w:rPr>
        <w:t> </w:t>
      </w:r>
      <w:r>
        <w:rPr/>
        <w:t>already</w:t>
      </w:r>
      <w:r>
        <w:rPr>
          <w:spacing w:val="26"/>
        </w:rPr>
        <w:t> </w:t>
      </w:r>
      <w:r>
        <w:rPr/>
        <w:t>involved</w:t>
      </w:r>
      <w:r>
        <w:rPr>
          <w:spacing w:val="30"/>
        </w:rPr>
        <w:t> </w:t>
      </w:r>
      <w:r>
        <w:rPr/>
        <w:t>in</w:t>
      </w:r>
      <w:r>
        <w:rPr>
          <w:spacing w:val="31"/>
        </w:rPr>
        <w:t> </w:t>
      </w:r>
      <w:r>
        <w:rPr>
          <w:spacing w:val="-2"/>
        </w:rPr>
        <w:t>budget</w:t>
      </w:r>
    </w:p>
    <w:p>
      <w:pPr>
        <w:spacing w:after="0" w:line="360" w:lineRule="auto"/>
        <w:jc w:val="both"/>
        <w:sectPr>
          <w:pgSz w:w="12240" w:h="15840"/>
          <w:pgMar w:header="0" w:footer="1036" w:top="1360" w:bottom="1220" w:left="1320" w:right="320"/>
        </w:sectPr>
      </w:pPr>
    </w:p>
    <w:p>
      <w:pPr>
        <w:pStyle w:val="BodyText"/>
        <w:spacing w:line="360" w:lineRule="auto" w:before="74"/>
        <w:ind w:left="120" w:right="1118"/>
        <w:jc w:val="both"/>
      </w:pPr>
      <w:r>
        <w:rPr/>
        <w:t>activities should not join the bandwagon, but strive to make their presence or impact felt and appreciated by being efficient and effective and abiding by professional ethics.</w:t>
      </w:r>
    </w:p>
    <w:p>
      <w:pPr>
        <w:pStyle w:val="BodyText"/>
        <w:spacing w:before="231"/>
      </w:pPr>
    </w:p>
    <w:p>
      <w:pPr>
        <w:pStyle w:val="BodyText"/>
        <w:spacing w:line="360" w:lineRule="auto"/>
        <w:ind w:left="120" w:right="1113"/>
        <w:jc w:val="both"/>
      </w:pPr>
      <w:r>
        <w:rPr/>
        <w:t>Suffice to say that the government should not, out of nepotistic tendencies, engage unqualified persons and politicians in the budget process that will either underperform or put their selfish interests before the good of the society. Hence, government needs to ensure that the inputs and opinions of construction professionals are adequately incorporated in the budgeting process for housing infrastructure development and not stifle them or make them redundant. A situation where the budgeting process is dominated by political executive opinion or is politically driven, rather</w:t>
      </w:r>
      <w:r>
        <w:rPr>
          <w:spacing w:val="-2"/>
        </w:rPr>
        <w:t> </w:t>
      </w:r>
      <w:r>
        <w:rPr/>
        <w:t>than development based, anchored on professionalism as evidenced by</w:t>
      </w:r>
      <w:r>
        <w:rPr>
          <w:spacing w:val="-5"/>
        </w:rPr>
        <w:t> </w:t>
      </w:r>
      <w:r>
        <w:rPr/>
        <w:t>this research, is not healthy and may pose negative implication on success of implementation/execution of the housing budget/projects</w:t>
      </w:r>
    </w:p>
    <w:p>
      <w:pPr>
        <w:pStyle w:val="BodyText"/>
        <w:spacing w:before="178"/>
      </w:pPr>
    </w:p>
    <w:p>
      <w:pPr>
        <w:pStyle w:val="Heading3"/>
        <w:numPr>
          <w:ilvl w:val="1"/>
          <w:numId w:val="107"/>
        </w:numPr>
        <w:tabs>
          <w:tab w:pos="839" w:val="left" w:leader="none"/>
        </w:tabs>
        <w:spacing w:line="240" w:lineRule="auto" w:before="0" w:after="0"/>
        <w:ind w:left="839" w:right="0" w:hanging="719"/>
        <w:jc w:val="both"/>
      </w:pPr>
      <w:r>
        <w:rPr>
          <w:spacing w:val="-2"/>
        </w:rPr>
        <w:t>Recommendations</w:t>
      </w:r>
    </w:p>
    <w:p>
      <w:pPr>
        <w:pStyle w:val="BodyText"/>
        <w:spacing w:line="360" w:lineRule="auto" w:before="144"/>
        <w:ind w:left="120" w:right="1121"/>
        <w:jc w:val="both"/>
      </w:pPr>
      <w:r>
        <w:rPr/>
        <w:t>Based on the findings of the research, the following recommendations are made as effective and efficient</w:t>
      </w:r>
      <w:r>
        <w:rPr>
          <w:spacing w:val="-1"/>
        </w:rPr>
        <w:t> </w:t>
      </w:r>
      <w:r>
        <w:rPr/>
        <w:t>means/measures</w:t>
      </w:r>
      <w:r>
        <w:rPr>
          <w:spacing w:val="2"/>
        </w:rPr>
        <w:t> </w:t>
      </w:r>
      <w:r>
        <w:rPr/>
        <w:t>of</w:t>
      </w:r>
      <w:r>
        <w:rPr>
          <w:spacing w:val="-2"/>
        </w:rPr>
        <w:t> </w:t>
      </w:r>
      <w:r>
        <w:rPr/>
        <w:t>improving</w:t>
      </w:r>
      <w:r>
        <w:rPr>
          <w:spacing w:val="-3"/>
        </w:rPr>
        <w:t> </w:t>
      </w:r>
      <w:r>
        <w:rPr/>
        <w:t>the</w:t>
      </w:r>
      <w:r>
        <w:rPr>
          <w:spacing w:val="-1"/>
        </w:rPr>
        <w:t> </w:t>
      </w:r>
      <w:r>
        <w:rPr/>
        <w:t>performance</w:t>
      </w:r>
      <w:r>
        <w:rPr>
          <w:spacing w:val="-1"/>
        </w:rPr>
        <w:t> </w:t>
      </w:r>
      <w:r>
        <w:rPr/>
        <w:t>of</w:t>
      </w:r>
      <w:r>
        <w:rPr>
          <w:spacing w:val="-2"/>
        </w:rPr>
        <w:t> </w:t>
      </w:r>
      <w:r>
        <w:rPr/>
        <w:t>the</w:t>
      </w:r>
      <w:r>
        <w:rPr>
          <w:spacing w:val="-1"/>
        </w:rPr>
        <w:t> </w:t>
      </w:r>
      <w:r>
        <w:rPr/>
        <w:t>housing</w:t>
      </w:r>
      <w:r>
        <w:rPr>
          <w:spacing w:val="-4"/>
        </w:rPr>
        <w:t> </w:t>
      </w:r>
      <w:r>
        <w:rPr/>
        <w:t>budget</w:t>
      </w:r>
      <w:r>
        <w:rPr>
          <w:spacing w:val="-1"/>
        </w:rPr>
        <w:t> </w:t>
      </w:r>
      <w:r>
        <w:rPr/>
        <w:t>of Anambra</w:t>
      </w:r>
      <w:r>
        <w:rPr>
          <w:spacing w:val="-1"/>
        </w:rPr>
        <w:t> </w:t>
      </w:r>
      <w:r>
        <w:rPr>
          <w:spacing w:val="-2"/>
        </w:rPr>
        <w:t>State.</w:t>
      </w:r>
    </w:p>
    <w:p>
      <w:pPr>
        <w:pStyle w:val="ListParagraph"/>
        <w:numPr>
          <w:ilvl w:val="0"/>
          <w:numId w:val="109"/>
        </w:numPr>
        <w:tabs>
          <w:tab w:pos="840" w:val="left" w:leader="none"/>
        </w:tabs>
        <w:spacing w:line="360" w:lineRule="auto" w:before="104" w:after="0"/>
        <w:ind w:left="840" w:right="1115" w:hanging="720"/>
        <w:jc w:val="both"/>
        <w:rPr>
          <w:sz w:val="24"/>
        </w:rPr>
      </w:pPr>
      <w:r>
        <w:rPr>
          <w:sz w:val="24"/>
        </w:rPr>
        <w:t>There is need to strengthen the Planning Research and Statistics (PRS) Departments and Budget Division of housing MDAs. Their budget related functions should be reinforced and the capacity of the budget officers strengthened through regular training, re-training, funding and competent staffing.</w:t>
      </w:r>
      <w:r>
        <w:rPr>
          <w:spacing w:val="40"/>
          <w:sz w:val="24"/>
        </w:rPr>
        <w:t> </w:t>
      </w:r>
      <w:r>
        <w:rPr>
          <w:sz w:val="24"/>
        </w:rPr>
        <w:t>The role of the PRS Department in the Ministry of Housing should be appreciated and upgraded so that it can carry out effective needs assessment functions and participate effectively in budget preparation and serve as a reliable source for monitoring and performance evaluation.</w:t>
      </w:r>
    </w:p>
    <w:p>
      <w:pPr>
        <w:pStyle w:val="ListParagraph"/>
        <w:numPr>
          <w:ilvl w:val="0"/>
          <w:numId w:val="109"/>
        </w:numPr>
        <w:tabs>
          <w:tab w:pos="840" w:val="left" w:leader="none"/>
        </w:tabs>
        <w:spacing w:line="360" w:lineRule="auto" w:before="0" w:after="0"/>
        <w:ind w:left="840" w:right="1122" w:hanging="720"/>
        <w:jc w:val="both"/>
        <w:rPr>
          <w:sz w:val="24"/>
        </w:rPr>
      </w:pPr>
      <w:r>
        <w:rPr>
          <w:sz w:val="24"/>
        </w:rPr>
        <w:t>There is need for competent, dedicated and motivated staff (Quantity Surveyors, inclusive)</w:t>
      </w:r>
      <w:r>
        <w:rPr>
          <w:spacing w:val="-1"/>
          <w:sz w:val="24"/>
        </w:rPr>
        <w:t> </w:t>
      </w:r>
      <w:r>
        <w:rPr>
          <w:sz w:val="24"/>
        </w:rPr>
        <w:t>of</w:t>
      </w:r>
      <w:r>
        <w:rPr>
          <w:spacing w:val="-2"/>
          <w:sz w:val="24"/>
        </w:rPr>
        <w:t> </w:t>
      </w:r>
      <w:r>
        <w:rPr>
          <w:sz w:val="24"/>
        </w:rPr>
        <w:t>housing</w:t>
      </w:r>
      <w:r>
        <w:rPr>
          <w:spacing w:val="-4"/>
          <w:sz w:val="24"/>
        </w:rPr>
        <w:t> </w:t>
      </w:r>
      <w:r>
        <w:rPr>
          <w:sz w:val="24"/>
        </w:rPr>
        <w:t>and budget</w:t>
      </w:r>
      <w:r>
        <w:rPr>
          <w:spacing w:val="-1"/>
          <w:sz w:val="24"/>
        </w:rPr>
        <w:t> </w:t>
      </w:r>
      <w:r>
        <w:rPr>
          <w:sz w:val="24"/>
        </w:rPr>
        <w:t>MDAs. Adequate</w:t>
      </w:r>
      <w:r>
        <w:rPr>
          <w:spacing w:val="-2"/>
          <w:sz w:val="24"/>
        </w:rPr>
        <w:t> </w:t>
      </w:r>
      <w:r>
        <w:rPr>
          <w:sz w:val="24"/>
        </w:rPr>
        <w:t>compensation</w:t>
      </w:r>
      <w:r>
        <w:rPr>
          <w:spacing w:val="-1"/>
          <w:sz w:val="24"/>
        </w:rPr>
        <w:t> </w:t>
      </w:r>
      <w:r>
        <w:rPr>
          <w:sz w:val="24"/>
        </w:rPr>
        <w:t>should</w:t>
      </w:r>
      <w:r>
        <w:rPr>
          <w:spacing w:val="-2"/>
          <w:sz w:val="24"/>
        </w:rPr>
        <w:t> </w:t>
      </w:r>
      <w:r>
        <w:rPr>
          <w:sz w:val="24"/>
        </w:rPr>
        <w:t>be</w:t>
      </w:r>
      <w:r>
        <w:rPr>
          <w:spacing w:val="-2"/>
          <w:sz w:val="24"/>
        </w:rPr>
        <w:t> </w:t>
      </w:r>
      <w:r>
        <w:rPr>
          <w:sz w:val="24"/>
        </w:rPr>
        <w:t>provided</w:t>
      </w:r>
      <w:r>
        <w:rPr>
          <w:spacing w:val="-2"/>
          <w:sz w:val="24"/>
        </w:rPr>
        <w:t> </w:t>
      </w:r>
      <w:r>
        <w:rPr>
          <w:sz w:val="24"/>
        </w:rPr>
        <w:t>that will not make them vulnerable to bribery and corruption. Merit based employment and promotion procedures that places emphasis on a transparent system of rewards and sanctions should be adopted.</w:t>
      </w:r>
    </w:p>
    <w:p>
      <w:pPr>
        <w:pStyle w:val="ListParagraph"/>
        <w:numPr>
          <w:ilvl w:val="0"/>
          <w:numId w:val="109"/>
        </w:numPr>
        <w:tabs>
          <w:tab w:pos="840" w:val="left" w:leader="none"/>
        </w:tabs>
        <w:spacing w:line="360" w:lineRule="auto" w:before="1" w:after="0"/>
        <w:ind w:left="840" w:right="1116" w:hanging="720"/>
        <w:jc w:val="both"/>
        <w:rPr>
          <w:sz w:val="24"/>
        </w:rPr>
      </w:pPr>
      <w:r>
        <w:rPr>
          <w:sz w:val="24"/>
        </w:rPr>
        <w:t>Emphasis must be placed on expansion of the IGR base of Anambra State in order to brighten</w:t>
      </w:r>
      <w:r>
        <w:rPr>
          <w:spacing w:val="-3"/>
          <w:sz w:val="24"/>
        </w:rPr>
        <w:t> </w:t>
      </w:r>
      <w:r>
        <w:rPr>
          <w:sz w:val="24"/>
        </w:rPr>
        <w:t>the</w:t>
      </w:r>
      <w:r>
        <w:rPr>
          <w:spacing w:val="-4"/>
          <w:sz w:val="24"/>
        </w:rPr>
        <w:t> </w:t>
      </w:r>
      <w:r>
        <w:rPr>
          <w:sz w:val="24"/>
        </w:rPr>
        <w:t>prospects</w:t>
      </w:r>
      <w:r>
        <w:rPr>
          <w:spacing w:val="-2"/>
          <w:sz w:val="24"/>
        </w:rPr>
        <w:t> </w:t>
      </w:r>
      <w:r>
        <w:rPr>
          <w:sz w:val="24"/>
        </w:rPr>
        <w:t>for</w:t>
      </w:r>
      <w:r>
        <w:rPr>
          <w:spacing w:val="-4"/>
          <w:sz w:val="24"/>
        </w:rPr>
        <w:t> </w:t>
      </w:r>
      <w:r>
        <w:rPr>
          <w:sz w:val="24"/>
        </w:rPr>
        <w:t>improved</w:t>
      </w:r>
      <w:r>
        <w:rPr>
          <w:spacing w:val="-3"/>
          <w:sz w:val="24"/>
        </w:rPr>
        <w:t> </w:t>
      </w:r>
      <w:r>
        <w:rPr>
          <w:sz w:val="24"/>
        </w:rPr>
        <w:t>housing</w:t>
      </w:r>
      <w:r>
        <w:rPr>
          <w:spacing w:val="-6"/>
          <w:sz w:val="24"/>
        </w:rPr>
        <w:t> </w:t>
      </w:r>
      <w:r>
        <w:rPr>
          <w:sz w:val="24"/>
        </w:rPr>
        <w:t>budget</w:t>
      </w:r>
      <w:r>
        <w:rPr>
          <w:spacing w:val="-4"/>
          <w:sz w:val="24"/>
        </w:rPr>
        <w:t> </w:t>
      </w:r>
      <w:r>
        <w:rPr>
          <w:sz w:val="24"/>
        </w:rPr>
        <w:t>allocation.</w:t>
      </w:r>
      <w:r>
        <w:rPr>
          <w:spacing w:val="-4"/>
          <w:sz w:val="24"/>
        </w:rPr>
        <w:t> </w:t>
      </w:r>
      <w:r>
        <w:rPr>
          <w:sz w:val="24"/>
        </w:rPr>
        <w:t>This</w:t>
      </w:r>
      <w:r>
        <w:rPr>
          <w:spacing w:val="-2"/>
          <w:sz w:val="24"/>
        </w:rPr>
        <w:t> </w:t>
      </w:r>
      <w:r>
        <w:rPr>
          <w:sz w:val="24"/>
        </w:rPr>
        <w:t>requires</w:t>
      </w:r>
      <w:r>
        <w:rPr>
          <w:spacing w:val="-4"/>
          <w:sz w:val="24"/>
        </w:rPr>
        <w:t> </w:t>
      </w:r>
      <w:r>
        <w:rPr>
          <w:sz w:val="24"/>
        </w:rPr>
        <w:t>considerable diversification</w:t>
      </w:r>
      <w:r>
        <w:rPr>
          <w:spacing w:val="40"/>
          <w:sz w:val="24"/>
        </w:rPr>
        <w:t> </w:t>
      </w:r>
      <w:r>
        <w:rPr>
          <w:sz w:val="24"/>
        </w:rPr>
        <w:t>of</w:t>
      </w:r>
      <w:r>
        <w:rPr>
          <w:spacing w:val="40"/>
          <w:sz w:val="24"/>
        </w:rPr>
        <w:t> </w:t>
      </w:r>
      <w:r>
        <w:rPr>
          <w:sz w:val="24"/>
        </w:rPr>
        <w:t>the</w:t>
      </w:r>
      <w:r>
        <w:rPr>
          <w:spacing w:val="40"/>
          <w:sz w:val="24"/>
        </w:rPr>
        <w:t> </w:t>
      </w:r>
      <w:r>
        <w:rPr>
          <w:sz w:val="24"/>
        </w:rPr>
        <w:t>production</w:t>
      </w:r>
      <w:r>
        <w:rPr>
          <w:spacing w:val="40"/>
          <w:sz w:val="24"/>
        </w:rPr>
        <w:t> </w:t>
      </w:r>
      <w:r>
        <w:rPr>
          <w:sz w:val="24"/>
        </w:rPr>
        <w:t>base</w:t>
      </w:r>
      <w:r>
        <w:rPr>
          <w:spacing w:val="40"/>
          <w:sz w:val="24"/>
        </w:rPr>
        <w:t> </w:t>
      </w:r>
      <w:r>
        <w:rPr>
          <w:sz w:val="24"/>
        </w:rPr>
        <w:t>of</w:t>
      </w:r>
      <w:r>
        <w:rPr>
          <w:spacing w:val="40"/>
          <w:sz w:val="24"/>
        </w:rPr>
        <w:t> </w:t>
      </w:r>
      <w:r>
        <w:rPr>
          <w:sz w:val="24"/>
        </w:rPr>
        <w:t>the</w:t>
      </w:r>
      <w:r>
        <w:rPr>
          <w:spacing w:val="40"/>
          <w:sz w:val="24"/>
        </w:rPr>
        <w:t> </w:t>
      </w:r>
      <w:r>
        <w:rPr>
          <w:sz w:val="24"/>
        </w:rPr>
        <w:t>State</w:t>
      </w:r>
      <w:r>
        <w:rPr>
          <w:spacing w:val="40"/>
          <w:sz w:val="24"/>
        </w:rPr>
        <w:t> </w:t>
      </w:r>
      <w:r>
        <w:rPr>
          <w:sz w:val="24"/>
        </w:rPr>
        <w:t>and</w:t>
      </w:r>
      <w:r>
        <w:rPr>
          <w:spacing w:val="40"/>
          <w:sz w:val="24"/>
        </w:rPr>
        <w:t> </w:t>
      </w:r>
      <w:r>
        <w:rPr>
          <w:sz w:val="24"/>
        </w:rPr>
        <w:t>intensification</w:t>
      </w:r>
      <w:r>
        <w:rPr>
          <w:spacing w:val="40"/>
          <w:sz w:val="24"/>
        </w:rPr>
        <w:t> </w:t>
      </w:r>
      <w:r>
        <w:rPr>
          <w:sz w:val="24"/>
        </w:rPr>
        <w:t>of</w:t>
      </w:r>
      <w:r>
        <w:rPr>
          <w:spacing w:val="40"/>
          <w:sz w:val="24"/>
        </w:rPr>
        <w:t> </w:t>
      </w:r>
      <w:r>
        <w:rPr>
          <w:sz w:val="24"/>
        </w:rPr>
        <w:t>employment</w:t>
      </w:r>
    </w:p>
    <w:p>
      <w:pPr>
        <w:spacing w:after="0" w:line="360" w:lineRule="auto"/>
        <w:jc w:val="both"/>
        <w:rPr>
          <w:sz w:val="24"/>
        </w:rPr>
        <w:sectPr>
          <w:pgSz w:w="12240" w:h="15840"/>
          <w:pgMar w:header="0" w:footer="1036" w:top="1360" w:bottom="1220" w:left="1320" w:right="320"/>
        </w:sectPr>
      </w:pPr>
    </w:p>
    <w:p>
      <w:pPr>
        <w:pStyle w:val="BodyText"/>
        <w:spacing w:line="360" w:lineRule="auto" w:before="74"/>
        <w:ind w:left="840" w:right="1115"/>
        <w:jc w:val="both"/>
      </w:pPr>
      <w:r>
        <w:rPr/>
        <w:t>generation which in turn will increase the number of tax payers that can demand participation in the housing budget process.</w:t>
      </w:r>
    </w:p>
    <w:p>
      <w:pPr>
        <w:pStyle w:val="ListParagraph"/>
        <w:numPr>
          <w:ilvl w:val="0"/>
          <w:numId w:val="109"/>
        </w:numPr>
        <w:tabs>
          <w:tab w:pos="840" w:val="left" w:leader="none"/>
        </w:tabs>
        <w:spacing w:line="360" w:lineRule="auto" w:before="1" w:after="0"/>
        <w:ind w:left="840" w:right="1118" w:hanging="720"/>
        <w:jc w:val="both"/>
        <w:rPr>
          <w:sz w:val="24"/>
        </w:rPr>
      </w:pPr>
      <w:r>
        <w:rPr>
          <w:sz w:val="24"/>
        </w:rPr>
        <w:t>Civil Society Organizations (CSOs) should contribute to government accountability on housing</w:t>
      </w:r>
      <w:r>
        <w:rPr>
          <w:spacing w:val="-1"/>
          <w:sz w:val="24"/>
        </w:rPr>
        <w:t> </w:t>
      </w:r>
      <w:r>
        <w:rPr>
          <w:sz w:val="24"/>
        </w:rPr>
        <w:t>schemes by</w:t>
      </w:r>
      <w:r>
        <w:rPr>
          <w:spacing w:val="-4"/>
          <w:sz w:val="24"/>
        </w:rPr>
        <w:t> </w:t>
      </w:r>
      <w:r>
        <w:rPr>
          <w:sz w:val="24"/>
        </w:rPr>
        <w:t>raising</w:t>
      </w:r>
      <w:r>
        <w:rPr>
          <w:spacing w:val="-1"/>
          <w:sz w:val="24"/>
        </w:rPr>
        <w:t> </w:t>
      </w:r>
      <w:r>
        <w:rPr>
          <w:sz w:val="24"/>
        </w:rPr>
        <w:t>awareness and demand for transparency</w:t>
      </w:r>
      <w:r>
        <w:rPr>
          <w:spacing w:val="-4"/>
          <w:sz w:val="24"/>
        </w:rPr>
        <w:t> </w:t>
      </w:r>
      <w:r>
        <w:rPr>
          <w:sz w:val="24"/>
        </w:rPr>
        <w:t>for improved project delivery, community supervision, submitting complaints and making enquiries on</w:t>
      </w:r>
      <w:r>
        <w:rPr>
          <w:spacing w:val="40"/>
          <w:sz w:val="24"/>
        </w:rPr>
        <w:t> </w:t>
      </w:r>
      <w:r>
        <w:rPr>
          <w:sz w:val="24"/>
        </w:rPr>
        <w:t>delayed projects. The government on their part should embrace consultations with CSOs during</w:t>
      </w:r>
      <w:r>
        <w:rPr>
          <w:spacing w:val="-1"/>
          <w:sz w:val="24"/>
        </w:rPr>
        <w:t> </w:t>
      </w:r>
      <w:r>
        <w:rPr>
          <w:sz w:val="24"/>
        </w:rPr>
        <w:t>housing budget screening and approval, release of timely and detailed information to allow involvement of the CSOs and media and empower the electorates to seek participation beyond voting. When relevant stakeholders are actively involved, they are likely to make the housing budget work.</w:t>
      </w:r>
    </w:p>
    <w:p>
      <w:pPr>
        <w:pStyle w:val="ListParagraph"/>
        <w:numPr>
          <w:ilvl w:val="0"/>
          <w:numId w:val="109"/>
        </w:numPr>
        <w:tabs>
          <w:tab w:pos="840" w:val="left" w:leader="none"/>
        </w:tabs>
        <w:spacing w:line="360" w:lineRule="auto" w:before="0" w:after="0"/>
        <w:ind w:left="840" w:right="1114" w:hanging="720"/>
        <w:jc w:val="both"/>
        <w:rPr>
          <w:sz w:val="24"/>
        </w:rPr>
      </w:pPr>
      <w:r>
        <w:rPr>
          <w:sz w:val="24"/>
        </w:rPr>
        <w:t>Authorization for housing expenditure should be given as at when due for ongoing projects, by</w:t>
      </w:r>
      <w:r>
        <w:rPr>
          <w:spacing w:val="-3"/>
          <w:sz w:val="24"/>
        </w:rPr>
        <w:t> </w:t>
      </w:r>
      <w:r>
        <w:rPr>
          <w:sz w:val="24"/>
        </w:rPr>
        <w:t>the commissioner for housing or in his absence, the accounting officer, when requirements for job completion certificates, store receipt vouchers, audit clarifications have been satisfied. Contractors should be paid within 2 weeks from the time approval of payment is granted. Prequalification of contractors and tendering</w:t>
      </w:r>
      <w:r>
        <w:rPr>
          <w:spacing w:val="-1"/>
          <w:sz w:val="24"/>
        </w:rPr>
        <w:t> </w:t>
      </w:r>
      <w:r>
        <w:rPr>
          <w:sz w:val="24"/>
        </w:rPr>
        <w:t>can be done at the same time to shorten the process; i.e. both technical and financial bids can be received together after tender adverts.</w:t>
      </w:r>
    </w:p>
    <w:p>
      <w:pPr>
        <w:pStyle w:val="ListParagraph"/>
        <w:numPr>
          <w:ilvl w:val="0"/>
          <w:numId w:val="109"/>
        </w:numPr>
        <w:tabs>
          <w:tab w:pos="838" w:val="left" w:leader="none"/>
          <w:tab w:pos="840" w:val="left" w:leader="none"/>
        </w:tabs>
        <w:spacing w:line="360" w:lineRule="auto" w:before="0" w:after="0"/>
        <w:ind w:left="840" w:right="1119" w:hanging="720"/>
        <w:jc w:val="both"/>
        <w:rPr>
          <w:sz w:val="24"/>
        </w:rPr>
      </w:pPr>
      <w:r>
        <w:rPr>
          <w:sz w:val="24"/>
        </w:rPr>
        <w:t>Government should make</w:t>
      </w:r>
      <w:r>
        <w:rPr>
          <w:spacing w:val="-1"/>
          <w:sz w:val="24"/>
        </w:rPr>
        <w:t> </w:t>
      </w:r>
      <w:r>
        <w:rPr>
          <w:sz w:val="24"/>
        </w:rPr>
        <w:t>effort to adhere to the</w:t>
      </w:r>
      <w:r>
        <w:rPr>
          <w:spacing w:val="-1"/>
          <w:sz w:val="24"/>
        </w:rPr>
        <w:t> </w:t>
      </w:r>
      <w:r>
        <w:rPr>
          <w:sz w:val="24"/>
        </w:rPr>
        <w:t>principles of</w:t>
      </w:r>
      <w:r>
        <w:rPr>
          <w:spacing w:val="-1"/>
          <w:sz w:val="24"/>
        </w:rPr>
        <w:t> </w:t>
      </w:r>
      <w:r>
        <w:rPr>
          <w:sz w:val="24"/>
        </w:rPr>
        <w:t>zero</w:t>
      </w:r>
      <w:r>
        <w:rPr>
          <w:spacing w:val="-1"/>
          <w:sz w:val="24"/>
        </w:rPr>
        <w:t> </w:t>
      </w:r>
      <w:r>
        <w:rPr>
          <w:sz w:val="24"/>
        </w:rPr>
        <w:t>based budgeting</w:t>
      </w:r>
      <w:r>
        <w:rPr>
          <w:spacing w:val="-3"/>
          <w:sz w:val="24"/>
        </w:rPr>
        <w:t> </w:t>
      </w:r>
      <w:r>
        <w:rPr>
          <w:sz w:val="24"/>
        </w:rPr>
        <w:t>rather than incremental budgeting. This is because zero based budgeting focuses on evaluation of the sector and its expenditure needs and results, according to the extent of development. If done within the MTEF, the housing budget will be more focused in achieving the desired housing delivery.</w:t>
      </w:r>
    </w:p>
    <w:p>
      <w:pPr>
        <w:pStyle w:val="ListParagraph"/>
        <w:numPr>
          <w:ilvl w:val="0"/>
          <w:numId w:val="109"/>
        </w:numPr>
        <w:tabs>
          <w:tab w:pos="840" w:val="left" w:leader="none"/>
        </w:tabs>
        <w:spacing w:line="360" w:lineRule="auto" w:before="1" w:after="0"/>
        <w:ind w:left="840" w:right="1119" w:hanging="720"/>
        <w:jc w:val="both"/>
        <w:rPr>
          <w:sz w:val="24"/>
        </w:rPr>
      </w:pPr>
      <w:r>
        <w:rPr>
          <w:sz w:val="24"/>
        </w:rPr>
        <w:t>There should be a conscious transformation of the housing budget from the traditional annual budget to multi-year budgeting within the MTEF and incorporation of performance measurement information into the budget to measure progress or results.</w:t>
      </w:r>
    </w:p>
    <w:p>
      <w:pPr>
        <w:pStyle w:val="ListParagraph"/>
        <w:numPr>
          <w:ilvl w:val="0"/>
          <w:numId w:val="109"/>
        </w:numPr>
        <w:tabs>
          <w:tab w:pos="840" w:val="left" w:leader="none"/>
        </w:tabs>
        <w:spacing w:line="360" w:lineRule="auto" w:before="0" w:after="0"/>
        <w:ind w:left="840" w:right="1113" w:hanging="720"/>
        <w:jc w:val="both"/>
        <w:rPr>
          <w:sz w:val="24"/>
        </w:rPr>
      </w:pPr>
      <w:r>
        <w:rPr>
          <w:sz w:val="24"/>
        </w:rPr>
        <w:t>Budget discipline and close monitoring of usage of housing funds and project execution should be enshrined in the work ethics of housing and budget staff of the Anambra State government. This will serve as measure to mitigate corruption, misuse of housing construction funds and other opportunistic behaviors. Unauthorized spending should be faced with disciplinary action and monies spent should be justified and permitted by established budget monitoring organs.</w:t>
      </w:r>
    </w:p>
    <w:p>
      <w:pPr>
        <w:spacing w:after="0" w:line="360" w:lineRule="auto"/>
        <w:jc w:val="both"/>
        <w:rPr>
          <w:sz w:val="24"/>
        </w:rPr>
        <w:sectPr>
          <w:pgSz w:w="12240" w:h="15840"/>
          <w:pgMar w:header="0" w:footer="1036" w:top="1360" w:bottom="1220" w:left="1320" w:right="320"/>
        </w:sectPr>
      </w:pPr>
    </w:p>
    <w:p>
      <w:pPr>
        <w:pStyle w:val="ListParagraph"/>
        <w:numPr>
          <w:ilvl w:val="0"/>
          <w:numId w:val="109"/>
        </w:numPr>
        <w:tabs>
          <w:tab w:pos="840" w:val="left" w:leader="none"/>
        </w:tabs>
        <w:spacing w:line="360" w:lineRule="auto" w:before="74" w:after="0"/>
        <w:ind w:left="840" w:right="1122" w:hanging="720"/>
        <w:jc w:val="both"/>
        <w:rPr>
          <w:sz w:val="24"/>
        </w:rPr>
      </w:pPr>
      <w:r>
        <w:rPr>
          <w:sz w:val="24"/>
        </w:rPr>
        <w:t>The</w:t>
      </w:r>
      <w:r>
        <w:rPr>
          <w:spacing w:val="-3"/>
          <w:sz w:val="24"/>
        </w:rPr>
        <w:t> </w:t>
      </w:r>
      <w:r>
        <w:rPr>
          <w:sz w:val="24"/>
        </w:rPr>
        <w:t>government</w:t>
      </w:r>
      <w:r>
        <w:rPr>
          <w:spacing w:val="-2"/>
          <w:sz w:val="24"/>
        </w:rPr>
        <w:t> </w:t>
      </w:r>
      <w:r>
        <w:rPr>
          <w:sz w:val="24"/>
        </w:rPr>
        <w:t>should</w:t>
      </w:r>
      <w:r>
        <w:rPr>
          <w:spacing w:val="-2"/>
          <w:sz w:val="24"/>
        </w:rPr>
        <w:t> </w:t>
      </w:r>
      <w:r>
        <w:rPr>
          <w:sz w:val="24"/>
        </w:rPr>
        <w:t>have</w:t>
      </w:r>
      <w:r>
        <w:rPr>
          <w:spacing w:val="-3"/>
          <w:sz w:val="24"/>
        </w:rPr>
        <w:t> </w:t>
      </w:r>
      <w:r>
        <w:rPr>
          <w:sz w:val="24"/>
        </w:rPr>
        <w:t>the leadership</w:t>
      </w:r>
      <w:r>
        <w:rPr>
          <w:spacing w:val="-2"/>
          <w:sz w:val="24"/>
        </w:rPr>
        <w:t> </w:t>
      </w:r>
      <w:r>
        <w:rPr>
          <w:sz w:val="24"/>
        </w:rPr>
        <w:t>and</w:t>
      </w:r>
      <w:r>
        <w:rPr>
          <w:spacing w:val="-2"/>
          <w:sz w:val="24"/>
        </w:rPr>
        <w:t> </w:t>
      </w:r>
      <w:r>
        <w:rPr>
          <w:sz w:val="24"/>
        </w:rPr>
        <w:t>political</w:t>
      </w:r>
      <w:r>
        <w:rPr>
          <w:spacing w:val="-2"/>
          <w:sz w:val="24"/>
        </w:rPr>
        <w:t> </w:t>
      </w:r>
      <w:r>
        <w:rPr>
          <w:sz w:val="24"/>
        </w:rPr>
        <w:t>will</w:t>
      </w:r>
      <w:r>
        <w:rPr>
          <w:spacing w:val="-2"/>
          <w:sz w:val="24"/>
        </w:rPr>
        <w:t> </w:t>
      </w:r>
      <w:r>
        <w:rPr>
          <w:sz w:val="24"/>
        </w:rPr>
        <w:t>to</w:t>
      </w:r>
      <w:r>
        <w:rPr>
          <w:spacing w:val="-3"/>
          <w:sz w:val="24"/>
        </w:rPr>
        <w:t> </w:t>
      </w:r>
      <w:r>
        <w:rPr>
          <w:sz w:val="24"/>
        </w:rPr>
        <w:t>execute</w:t>
      </w:r>
      <w:r>
        <w:rPr>
          <w:spacing w:val="-3"/>
          <w:sz w:val="24"/>
        </w:rPr>
        <w:t> </w:t>
      </w:r>
      <w:r>
        <w:rPr>
          <w:sz w:val="24"/>
        </w:rPr>
        <w:t>housing</w:t>
      </w:r>
      <w:r>
        <w:rPr>
          <w:spacing w:val="-4"/>
          <w:sz w:val="24"/>
        </w:rPr>
        <w:t> </w:t>
      </w:r>
      <w:r>
        <w:rPr>
          <w:sz w:val="24"/>
        </w:rPr>
        <w:t>projects, and follow them through completion. Hence, selfish political influence from commissioners, advisers and other top political echelons in Anambra State must be eschewed and resisted during budget approval by the SEC and implementation.</w:t>
      </w:r>
    </w:p>
    <w:p>
      <w:pPr>
        <w:pStyle w:val="ListParagraph"/>
        <w:numPr>
          <w:ilvl w:val="0"/>
          <w:numId w:val="109"/>
        </w:numPr>
        <w:tabs>
          <w:tab w:pos="840" w:val="left" w:leader="none"/>
        </w:tabs>
        <w:spacing w:line="360" w:lineRule="auto" w:before="1" w:after="0"/>
        <w:ind w:left="840" w:right="1118" w:hanging="720"/>
        <w:jc w:val="both"/>
        <w:rPr>
          <w:sz w:val="24"/>
        </w:rPr>
      </w:pPr>
      <w:r>
        <w:rPr>
          <w:sz w:val="24"/>
        </w:rPr>
        <w:t>Timeliness of housing budget activities should be the watchword. Presently, there is no legal prescription in Anambra State as to the timing of budget approval and other budget activities, and this shouldn‘t be so. While activities like housing budget planning: formulation and needs assessment require sufficient time (so that a reliable estimate is prepared</w:t>
      </w:r>
      <w:r>
        <w:rPr>
          <w:spacing w:val="-1"/>
          <w:sz w:val="24"/>
        </w:rPr>
        <w:t> </w:t>
      </w:r>
      <w:r>
        <w:rPr>
          <w:sz w:val="24"/>
        </w:rPr>
        <w:t>and</w:t>
      </w:r>
      <w:r>
        <w:rPr>
          <w:spacing w:val="-1"/>
          <w:sz w:val="24"/>
        </w:rPr>
        <w:t> </w:t>
      </w:r>
      <w:r>
        <w:rPr>
          <w:sz w:val="24"/>
        </w:rPr>
        <w:t>housing</w:t>
      </w:r>
      <w:r>
        <w:rPr>
          <w:spacing w:val="-4"/>
          <w:sz w:val="24"/>
        </w:rPr>
        <w:t> </w:t>
      </w:r>
      <w:r>
        <w:rPr>
          <w:sz w:val="24"/>
        </w:rPr>
        <w:t>needs</w:t>
      </w:r>
      <w:r>
        <w:rPr>
          <w:spacing w:val="-1"/>
          <w:sz w:val="24"/>
        </w:rPr>
        <w:t> </w:t>
      </w:r>
      <w:r>
        <w:rPr>
          <w:sz w:val="24"/>
        </w:rPr>
        <w:t>reflect</w:t>
      </w:r>
      <w:r>
        <w:rPr>
          <w:spacing w:val="-1"/>
          <w:sz w:val="24"/>
        </w:rPr>
        <w:t> </w:t>
      </w:r>
      <w:r>
        <w:rPr>
          <w:sz w:val="24"/>
        </w:rPr>
        <w:t>the yearnings</w:t>
      </w:r>
      <w:r>
        <w:rPr>
          <w:spacing w:val="-1"/>
          <w:sz w:val="24"/>
        </w:rPr>
        <w:t> </w:t>
      </w:r>
      <w:r>
        <w:rPr>
          <w:sz w:val="24"/>
        </w:rPr>
        <w:t>of</w:t>
      </w:r>
      <w:r>
        <w:rPr>
          <w:spacing w:val="-2"/>
          <w:sz w:val="24"/>
        </w:rPr>
        <w:t> </w:t>
      </w:r>
      <w:r>
        <w:rPr>
          <w:sz w:val="24"/>
        </w:rPr>
        <w:t>the</w:t>
      </w:r>
      <w:r>
        <w:rPr>
          <w:spacing w:val="-2"/>
          <w:sz w:val="24"/>
        </w:rPr>
        <w:t> </w:t>
      </w:r>
      <w:r>
        <w:rPr>
          <w:sz w:val="24"/>
        </w:rPr>
        <w:t>people),</w:t>
      </w:r>
      <w:r>
        <w:rPr>
          <w:spacing w:val="-1"/>
          <w:sz w:val="24"/>
        </w:rPr>
        <w:t> </w:t>
      </w:r>
      <w:r>
        <w:rPr>
          <w:sz w:val="24"/>
        </w:rPr>
        <w:t>time</w:t>
      </w:r>
      <w:r>
        <w:rPr>
          <w:spacing w:val="-2"/>
          <w:sz w:val="24"/>
        </w:rPr>
        <w:t> </w:t>
      </w:r>
      <w:r>
        <w:rPr>
          <w:sz w:val="24"/>
        </w:rPr>
        <w:t>shouldn‘t</w:t>
      </w:r>
      <w:r>
        <w:rPr>
          <w:spacing w:val="-1"/>
          <w:sz w:val="24"/>
        </w:rPr>
        <w:t> </w:t>
      </w:r>
      <w:r>
        <w:rPr>
          <w:sz w:val="24"/>
        </w:rPr>
        <w:t>be</w:t>
      </w:r>
      <w:r>
        <w:rPr>
          <w:spacing w:val="-2"/>
          <w:sz w:val="24"/>
        </w:rPr>
        <w:t> </w:t>
      </w:r>
      <w:r>
        <w:rPr>
          <w:sz w:val="24"/>
        </w:rPr>
        <w:t>wasted on other activities.</w:t>
      </w:r>
    </w:p>
    <w:p>
      <w:pPr>
        <w:pStyle w:val="ListParagraph"/>
        <w:numPr>
          <w:ilvl w:val="0"/>
          <w:numId w:val="109"/>
        </w:numPr>
        <w:tabs>
          <w:tab w:pos="840" w:val="left" w:leader="none"/>
        </w:tabs>
        <w:spacing w:line="360" w:lineRule="auto" w:before="0" w:after="0"/>
        <w:ind w:left="840" w:right="1123" w:hanging="720"/>
        <w:jc w:val="both"/>
        <w:rPr>
          <w:sz w:val="24"/>
        </w:rPr>
      </w:pPr>
      <w:r>
        <w:rPr>
          <w:sz w:val="24"/>
        </w:rPr>
        <w:t>Housing construction estimates must be carefully planned and prepared, in view of the volatility of prices. Hence, allowances should be made for inflationary trends to avoid frequent budget reviews, deferred and supplementary budgeting.</w:t>
      </w:r>
    </w:p>
    <w:p>
      <w:pPr>
        <w:pStyle w:val="ListParagraph"/>
        <w:numPr>
          <w:ilvl w:val="0"/>
          <w:numId w:val="109"/>
        </w:numPr>
        <w:tabs>
          <w:tab w:pos="840" w:val="left" w:leader="none"/>
        </w:tabs>
        <w:spacing w:line="360" w:lineRule="auto" w:before="0" w:after="0"/>
        <w:ind w:left="840" w:right="1119" w:hanging="720"/>
        <w:jc w:val="both"/>
        <w:rPr>
          <w:sz w:val="24"/>
        </w:rPr>
      </w:pPr>
      <w:r>
        <w:rPr>
          <w:sz w:val="24"/>
        </w:rPr>
        <w:t>Regular financial support for the State Housing Corporation is needed to strengthen their capacity to embark on more housing schemes which will be affordable for potential buyers or renters.</w:t>
      </w:r>
    </w:p>
    <w:p>
      <w:pPr>
        <w:pStyle w:val="ListParagraph"/>
        <w:numPr>
          <w:ilvl w:val="0"/>
          <w:numId w:val="109"/>
        </w:numPr>
        <w:tabs>
          <w:tab w:pos="840" w:val="left" w:leader="none"/>
        </w:tabs>
        <w:spacing w:line="360" w:lineRule="auto" w:before="1" w:after="0"/>
        <w:ind w:left="840" w:right="1117" w:hanging="720"/>
        <w:jc w:val="both"/>
        <w:rPr>
          <w:sz w:val="24"/>
        </w:rPr>
      </w:pPr>
      <w:r>
        <w:rPr>
          <w:sz w:val="24"/>
        </w:rPr>
        <w:t>There is need for an objective criteria or basis for stipulating annual housing budget ceilings and final housing allocation which is easily discernable and understood by stakeholders to dispel any suspicion of bias or undue political influence.</w:t>
      </w:r>
    </w:p>
    <w:p>
      <w:pPr>
        <w:pStyle w:val="ListParagraph"/>
        <w:numPr>
          <w:ilvl w:val="0"/>
          <w:numId w:val="109"/>
        </w:numPr>
        <w:tabs>
          <w:tab w:pos="840" w:val="left" w:leader="none"/>
        </w:tabs>
        <w:spacing w:line="360" w:lineRule="auto" w:before="0" w:after="0"/>
        <w:ind w:left="840" w:right="1113" w:hanging="720"/>
        <w:jc w:val="both"/>
        <w:rPr>
          <w:sz w:val="24"/>
        </w:rPr>
      </w:pPr>
      <w:r>
        <w:rPr>
          <w:sz w:val="24"/>
        </w:rPr>
        <w:t>Housing and budget MDAs of Anambra State should make concerted efforts to adopt the housing budget performance model, review and monitoring templates developed in this study in order to enhance housing budget implementation and improve housing delivery.</w:t>
      </w:r>
    </w:p>
    <w:p>
      <w:pPr>
        <w:spacing w:after="0" w:line="360" w:lineRule="auto"/>
        <w:jc w:val="both"/>
        <w:rPr>
          <w:sz w:val="24"/>
        </w:rPr>
        <w:sectPr>
          <w:pgSz w:w="12240" w:h="15840"/>
          <w:pgMar w:header="0" w:footer="1036" w:top="1360" w:bottom="1220" w:left="1320" w:right="320"/>
        </w:sectPr>
      </w:pPr>
    </w:p>
    <w:p>
      <w:pPr>
        <w:pStyle w:val="Heading3"/>
        <w:numPr>
          <w:ilvl w:val="1"/>
          <w:numId w:val="107"/>
        </w:numPr>
        <w:tabs>
          <w:tab w:pos="839" w:val="left" w:leader="none"/>
        </w:tabs>
        <w:spacing w:line="240" w:lineRule="auto" w:before="60" w:after="0"/>
        <w:ind w:left="839" w:right="0" w:hanging="719"/>
        <w:jc w:val="both"/>
      </w:pPr>
      <w:r>
        <w:rPr/>
        <w:t>Contributions</w:t>
      </w:r>
      <w:r>
        <w:rPr>
          <w:spacing w:val="-9"/>
        </w:rPr>
        <w:t> </w:t>
      </w:r>
      <w:r>
        <w:rPr/>
        <w:t>to</w:t>
      </w:r>
      <w:r>
        <w:rPr>
          <w:spacing w:val="-9"/>
        </w:rPr>
        <w:t> </w:t>
      </w:r>
      <w:r>
        <w:rPr>
          <w:spacing w:val="-2"/>
        </w:rPr>
        <w:t>Knowledge</w:t>
      </w:r>
    </w:p>
    <w:p>
      <w:pPr>
        <w:pStyle w:val="BodyText"/>
        <w:spacing w:before="144"/>
        <w:ind w:left="120"/>
        <w:jc w:val="both"/>
      </w:pPr>
      <w:r>
        <w:rPr/>
        <w:t>The</w:t>
      </w:r>
      <w:r>
        <w:rPr>
          <w:spacing w:val="-5"/>
        </w:rPr>
        <w:t> </w:t>
      </w:r>
      <w:r>
        <w:rPr/>
        <w:t>key</w:t>
      </w:r>
      <w:r>
        <w:rPr>
          <w:spacing w:val="-5"/>
        </w:rPr>
        <w:t> </w:t>
      </w:r>
      <w:r>
        <w:rPr/>
        <w:t>contributions to the</w:t>
      </w:r>
      <w:r>
        <w:rPr>
          <w:spacing w:val="1"/>
        </w:rPr>
        <w:t> </w:t>
      </w:r>
      <w:r>
        <w:rPr/>
        <w:t>body</w:t>
      </w:r>
      <w:r>
        <w:rPr>
          <w:spacing w:val="-5"/>
        </w:rPr>
        <w:t> </w:t>
      </w:r>
      <w:r>
        <w:rPr/>
        <w:t>of knowledge</w:t>
      </w:r>
      <w:r>
        <w:rPr>
          <w:spacing w:val="-1"/>
        </w:rPr>
        <w:t> </w:t>
      </w:r>
      <w:r>
        <w:rPr/>
        <w:t>in</w:t>
      </w:r>
      <w:r>
        <w:rPr>
          <w:spacing w:val="2"/>
        </w:rPr>
        <w:t> </w:t>
      </w:r>
      <w:r>
        <w:rPr/>
        <w:t>this research</w:t>
      </w:r>
      <w:r>
        <w:rPr>
          <w:spacing w:val="2"/>
        </w:rPr>
        <w:t> </w:t>
      </w:r>
      <w:r>
        <w:rPr>
          <w:spacing w:val="-2"/>
        </w:rPr>
        <w:t>include:</w:t>
      </w:r>
    </w:p>
    <w:p>
      <w:pPr>
        <w:pStyle w:val="ListParagraph"/>
        <w:numPr>
          <w:ilvl w:val="0"/>
          <w:numId w:val="110"/>
        </w:numPr>
        <w:tabs>
          <w:tab w:pos="840" w:val="left" w:leader="none"/>
        </w:tabs>
        <w:spacing w:line="360" w:lineRule="auto" w:before="137" w:after="0"/>
        <w:ind w:left="840" w:right="1119" w:hanging="360"/>
        <w:jc w:val="both"/>
        <w:rPr>
          <w:sz w:val="24"/>
        </w:rPr>
      </w:pPr>
      <w:r>
        <w:rPr>
          <w:sz w:val="24"/>
        </w:rPr>
        <w:t>Provision</w:t>
      </w:r>
      <w:r>
        <w:rPr>
          <w:spacing w:val="-2"/>
          <w:sz w:val="24"/>
        </w:rPr>
        <w:t> </w:t>
      </w:r>
      <w:r>
        <w:rPr>
          <w:sz w:val="24"/>
        </w:rPr>
        <w:t>of</w:t>
      </w:r>
      <w:r>
        <w:rPr>
          <w:spacing w:val="-2"/>
          <w:sz w:val="24"/>
        </w:rPr>
        <w:t> </w:t>
      </w:r>
      <w:r>
        <w:rPr>
          <w:sz w:val="24"/>
        </w:rPr>
        <w:t>an</w:t>
      </w:r>
      <w:r>
        <w:rPr>
          <w:spacing w:val="-2"/>
          <w:sz w:val="24"/>
        </w:rPr>
        <w:t> </w:t>
      </w:r>
      <w:r>
        <w:rPr>
          <w:sz w:val="24"/>
        </w:rPr>
        <w:t>updated</w:t>
      </w:r>
      <w:r>
        <w:rPr>
          <w:spacing w:val="-3"/>
          <w:sz w:val="24"/>
        </w:rPr>
        <w:t> </w:t>
      </w:r>
      <w:r>
        <w:rPr>
          <w:sz w:val="24"/>
        </w:rPr>
        <w:t>insight,</w:t>
      </w:r>
      <w:r>
        <w:rPr>
          <w:spacing w:val="-2"/>
          <w:sz w:val="24"/>
        </w:rPr>
        <w:t> </w:t>
      </w:r>
      <w:r>
        <w:rPr>
          <w:sz w:val="24"/>
        </w:rPr>
        <w:t>information</w:t>
      </w:r>
      <w:r>
        <w:rPr>
          <w:spacing w:val="-1"/>
          <w:sz w:val="24"/>
        </w:rPr>
        <w:t> </w:t>
      </w:r>
      <w:r>
        <w:rPr>
          <w:sz w:val="24"/>
        </w:rPr>
        <w:t>and</w:t>
      </w:r>
      <w:r>
        <w:rPr>
          <w:spacing w:val="-2"/>
          <w:sz w:val="24"/>
        </w:rPr>
        <w:t> </w:t>
      </w:r>
      <w:r>
        <w:rPr>
          <w:sz w:val="24"/>
        </w:rPr>
        <w:t>data</w:t>
      </w:r>
      <w:r>
        <w:rPr>
          <w:spacing w:val="-2"/>
          <w:sz w:val="24"/>
        </w:rPr>
        <w:t> </w:t>
      </w:r>
      <w:r>
        <w:rPr>
          <w:sz w:val="24"/>
        </w:rPr>
        <w:t>on</w:t>
      </w:r>
      <w:r>
        <w:rPr>
          <w:spacing w:val="-2"/>
          <w:sz w:val="24"/>
        </w:rPr>
        <w:t> </w:t>
      </w:r>
      <w:r>
        <w:rPr>
          <w:sz w:val="24"/>
        </w:rPr>
        <w:t>Anambra</w:t>
      </w:r>
      <w:r>
        <w:rPr>
          <w:spacing w:val="-3"/>
          <w:sz w:val="24"/>
        </w:rPr>
        <w:t> </w:t>
      </w:r>
      <w:r>
        <w:rPr>
          <w:sz w:val="24"/>
        </w:rPr>
        <w:t>State‘s</w:t>
      </w:r>
      <w:r>
        <w:rPr>
          <w:spacing w:val="-3"/>
          <w:sz w:val="24"/>
        </w:rPr>
        <w:t> </w:t>
      </w:r>
      <w:r>
        <w:rPr>
          <w:sz w:val="24"/>
        </w:rPr>
        <w:t>housing</w:t>
      </w:r>
      <w:r>
        <w:rPr>
          <w:spacing w:val="-4"/>
          <w:sz w:val="24"/>
        </w:rPr>
        <w:t> </w:t>
      </w:r>
      <w:r>
        <w:rPr>
          <w:sz w:val="24"/>
        </w:rPr>
        <w:t>budget performance; i.e. its housing budget management practices, rate of housing budget implementation and average percentage housing budget allocation for an eighteen year period (1999 – 2016), making it arguably the most recent work on housing budgeting in Anambra State. This is in view of the paucity of researches/publications and knowledge of the housing budget practices of Anambra State and the culture of nonchalance or indifference of the citizenry towards public budgets.</w:t>
      </w:r>
    </w:p>
    <w:p>
      <w:pPr>
        <w:pStyle w:val="ListParagraph"/>
        <w:numPr>
          <w:ilvl w:val="0"/>
          <w:numId w:val="110"/>
        </w:numPr>
        <w:tabs>
          <w:tab w:pos="840" w:val="left" w:leader="none"/>
        </w:tabs>
        <w:spacing w:line="360" w:lineRule="auto" w:before="2" w:after="0"/>
        <w:ind w:left="840" w:right="1114" w:hanging="360"/>
        <w:jc w:val="both"/>
        <w:rPr>
          <w:sz w:val="24"/>
        </w:rPr>
      </w:pPr>
      <w:r>
        <w:rPr>
          <w:sz w:val="24"/>
        </w:rPr>
        <w:t>Development of a bespoke methodology (methodological triangulation), by combining field survey (questionnaires and interviews), literature review and archival budget data</w:t>
      </w:r>
      <w:r>
        <w:rPr>
          <w:spacing w:val="40"/>
          <w:sz w:val="24"/>
        </w:rPr>
        <w:t> </w:t>
      </w:r>
      <w:r>
        <w:rPr>
          <w:sz w:val="24"/>
        </w:rPr>
        <w:t>for appraising housing budget performance in Anambra State. The housing budget performance appraisal criteria and summary used (</w:t>
      </w:r>
      <w:r>
        <w:rPr>
          <w:i/>
          <w:sz w:val="24"/>
        </w:rPr>
        <w:t>see Tables 5.27 and 5.28</w:t>
      </w:r>
      <w:r>
        <w:rPr>
          <w:sz w:val="24"/>
        </w:rPr>
        <w:t>) are also unique to this study. This methodology can also be applied to other States in Nigeria and at the Federal level.</w:t>
      </w:r>
    </w:p>
    <w:p>
      <w:pPr>
        <w:pStyle w:val="ListParagraph"/>
        <w:numPr>
          <w:ilvl w:val="0"/>
          <w:numId w:val="110"/>
        </w:numPr>
        <w:tabs>
          <w:tab w:pos="840" w:val="left" w:leader="none"/>
        </w:tabs>
        <w:spacing w:line="360" w:lineRule="auto" w:before="0" w:after="0"/>
        <w:ind w:left="840" w:right="1114" w:hanging="360"/>
        <w:jc w:val="both"/>
        <w:rPr>
          <w:sz w:val="24"/>
        </w:rPr>
      </w:pPr>
      <w:r>
        <w:rPr>
          <w:sz w:val="24"/>
        </w:rPr>
        <w:t>Development of a conceptual model for the housing budget process of Anambra State which will ensure efficiency and effectiveness, equity and objectivity, transparency and accountability in housing budget management. The performance monitoring and review template which was also developed will enable performance to be tracked, which will in turn ensure appreciable housing budget implementation and ultimately improve housing </w:t>
      </w:r>
      <w:r>
        <w:rPr>
          <w:spacing w:val="-2"/>
          <w:sz w:val="24"/>
        </w:rPr>
        <w:t>delivery.</w:t>
      </w:r>
    </w:p>
    <w:p>
      <w:pPr>
        <w:pStyle w:val="BodyText"/>
      </w:pPr>
    </w:p>
    <w:p>
      <w:pPr>
        <w:pStyle w:val="BodyText"/>
        <w:spacing w:before="73"/>
      </w:pPr>
    </w:p>
    <w:p>
      <w:pPr>
        <w:pStyle w:val="Heading3"/>
        <w:numPr>
          <w:ilvl w:val="1"/>
          <w:numId w:val="107"/>
        </w:numPr>
        <w:tabs>
          <w:tab w:pos="839" w:val="left" w:leader="none"/>
        </w:tabs>
        <w:spacing w:line="240" w:lineRule="auto" w:before="1" w:after="0"/>
        <w:ind w:left="839" w:right="0" w:hanging="719"/>
        <w:jc w:val="both"/>
      </w:pPr>
      <w:r>
        <w:rPr/>
        <w:t>Suggestion</w:t>
      </w:r>
      <w:r>
        <w:rPr>
          <w:spacing w:val="-8"/>
        </w:rPr>
        <w:t> </w:t>
      </w:r>
      <w:r>
        <w:rPr/>
        <w:t>for</w:t>
      </w:r>
      <w:r>
        <w:rPr>
          <w:spacing w:val="-7"/>
        </w:rPr>
        <w:t> </w:t>
      </w:r>
      <w:r>
        <w:rPr/>
        <w:t>Further</w:t>
      </w:r>
      <w:r>
        <w:rPr>
          <w:spacing w:val="-7"/>
        </w:rPr>
        <w:t> </w:t>
      </w:r>
      <w:r>
        <w:rPr>
          <w:spacing w:val="-2"/>
        </w:rPr>
        <w:t>Studies</w:t>
      </w:r>
    </w:p>
    <w:p>
      <w:pPr>
        <w:pStyle w:val="ListParagraph"/>
        <w:numPr>
          <w:ilvl w:val="0"/>
          <w:numId w:val="111"/>
        </w:numPr>
        <w:tabs>
          <w:tab w:pos="840" w:val="left" w:leader="none"/>
        </w:tabs>
        <w:spacing w:line="360" w:lineRule="auto" w:before="264" w:after="0"/>
        <w:ind w:left="840" w:right="1118" w:hanging="660"/>
        <w:jc w:val="both"/>
        <w:rPr>
          <w:sz w:val="24"/>
        </w:rPr>
      </w:pPr>
      <w:r>
        <w:rPr>
          <w:sz w:val="24"/>
        </w:rPr>
        <w:t>It will be worthwhile to carry out further research aimed at developing a model/framework for effective budget performance in Nigeria‘s federal housing sector. Evidences gathered from literature in this research suggest that the housing sector also performed dismally at the national level, hence the need for the Federal Ministry of Housing to be properly and holistically guided in improving its budgetary procedures in order to improve the delivery of federal housing facilities/schemes in Nigeria.</w:t>
      </w:r>
    </w:p>
    <w:p>
      <w:pPr>
        <w:spacing w:after="0" w:line="360" w:lineRule="auto"/>
        <w:jc w:val="both"/>
        <w:rPr>
          <w:sz w:val="24"/>
        </w:rPr>
        <w:sectPr>
          <w:pgSz w:w="12240" w:h="15840"/>
          <w:pgMar w:header="0" w:footer="1036" w:top="1380" w:bottom="1220" w:left="1320" w:right="320"/>
        </w:sectPr>
      </w:pPr>
    </w:p>
    <w:p>
      <w:pPr>
        <w:pStyle w:val="ListParagraph"/>
        <w:numPr>
          <w:ilvl w:val="0"/>
          <w:numId w:val="111"/>
        </w:numPr>
        <w:tabs>
          <w:tab w:pos="840" w:val="left" w:leader="none"/>
        </w:tabs>
        <w:spacing w:line="360" w:lineRule="auto" w:before="74" w:after="0"/>
        <w:ind w:left="840" w:right="1118" w:hanging="660"/>
        <w:jc w:val="both"/>
        <w:rPr>
          <w:sz w:val="24"/>
        </w:rPr>
      </w:pPr>
      <w:r>
        <w:rPr>
          <w:sz w:val="24"/>
        </w:rPr>
        <w:t>Since this research is based on an appraisal of housing budget performance and the</w:t>
      </w:r>
      <w:r>
        <w:rPr>
          <w:spacing w:val="40"/>
          <w:sz w:val="24"/>
        </w:rPr>
        <w:t> </w:t>
      </w:r>
      <w:r>
        <w:rPr>
          <w:sz w:val="24"/>
        </w:rPr>
        <w:t>impact on effective housing delivery in Anambra State, another study could be carried</w:t>
      </w:r>
      <w:r>
        <w:rPr>
          <w:spacing w:val="40"/>
          <w:sz w:val="24"/>
        </w:rPr>
        <w:t> </w:t>
      </w:r>
      <w:r>
        <w:rPr>
          <w:sz w:val="24"/>
        </w:rPr>
        <w:t>out to perform a comparative assessment of housing budget trends/performance/management among south-east States of Nigeria for reasons of generalization of findings.</w:t>
      </w:r>
    </w:p>
    <w:p>
      <w:pPr>
        <w:pStyle w:val="ListParagraph"/>
        <w:numPr>
          <w:ilvl w:val="0"/>
          <w:numId w:val="111"/>
        </w:numPr>
        <w:tabs>
          <w:tab w:pos="840" w:val="left" w:leader="none"/>
        </w:tabs>
        <w:spacing w:line="360" w:lineRule="auto" w:before="0" w:after="0"/>
        <w:ind w:left="840" w:right="1118" w:hanging="660"/>
        <w:jc w:val="both"/>
        <w:rPr>
          <w:sz w:val="24"/>
        </w:rPr>
      </w:pPr>
      <w:r>
        <w:rPr>
          <w:sz w:val="24"/>
        </w:rPr>
        <w:t>Research also</w:t>
      </w:r>
      <w:r>
        <w:rPr>
          <w:spacing w:val="-2"/>
          <w:sz w:val="24"/>
        </w:rPr>
        <w:t> </w:t>
      </w:r>
      <w:r>
        <w:rPr>
          <w:sz w:val="24"/>
        </w:rPr>
        <w:t>needs</w:t>
      </w:r>
      <w:r>
        <w:rPr>
          <w:spacing w:val="-2"/>
          <w:sz w:val="24"/>
        </w:rPr>
        <w:t> </w:t>
      </w:r>
      <w:r>
        <w:rPr>
          <w:sz w:val="24"/>
        </w:rPr>
        <w:t>to</w:t>
      </w:r>
      <w:r>
        <w:rPr>
          <w:spacing w:val="-2"/>
          <w:sz w:val="24"/>
        </w:rPr>
        <w:t> </w:t>
      </w:r>
      <w:r>
        <w:rPr>
          <w:sz w:val="24"/>
        </w:rPr>
        <w:t>be</w:t>
      </w:r>
      <w:r>
        <w:rPr>
          <w:spacing w:val="-3"/>
          <w:sz w:val="24"/>
        </w:rPr>
        <w:t> </w:t>
      </w:r>
      <w:r>
        <w:rPr>
          <w:sz w:val="24"/>
        </w:rPr>
        <w:t>embarked</w:t>
      </w:r>
      <w:r>
        <w:rPr>
          <w:spacing w:val="-2"/>
          <w:sz w:val="24"/>
        </w:rPr>
        <w:t> </w:t>
      </w:r>
      <w:r>
        <w:rPr>
          <w:sz w:val="24"/>
        </w:rPr>
        <w:t>on</w:t>
      </w:r>
      <w:r>
        <w:rPr>
          <w:spacing w:val="-2"/>
          <w:sz w:val="24"/>
        </w:rPr>
        <w:t> </w:t>
      </w:r>
      <w:r>
        <w:rPr>
          <w:sz w:val="24"/>
        </w:rPr>
        <w:t>to</w:t>
      </w:r>
      <w:r>
        <w:rPr>
          <w:spacing w:val="-2"/>
          <w:sz w:val="24"/>
        </w:rPr>
        <w:t> </w:t>
      </w:r>
      <w:r>
        <w:rPr>
          <w:sz w:val="24"/>
        </w:rPr>
        <w:t>assess</w:t>
      </w:r>
      <w:r>
        <w:rPr>
          <w:spacing w:val="-2"/>
          <w:sz w:val="24"/>
        </w:rPr>
        <w:t> </w:t>
      </w:r>
      <w:r>
        <w:rPr>
          <w:sz w:val="24"/>
        </w:rPr>
        <w:t>the</w:t>
      </w:r>
      <w:r>
        <w:rPr>
          <w:spacing w:val="-3"/>
          <w:sz w:val="24"/>
        </w:rPr>
        <w:t> </w:t>
      </w:r>
      <w:r>
        <w:rPr>
          <w:sz w:val="24"/>
        </w:rPr>
        <w:t>budget</w:t>
      </w:r>
      <w:r>
        <w:rPr>
          <w:spacing w:val="-2"/>
          <w:sz w:val="24"/>
        </w:rPr>
        <w:t> </w:t>
      </w:r>
      <w:r>
        <w:rPr>
          <w:sz w:val="24"/>
        </w:rPr>
        <w:t>performance</w:t>
      </w:r>
      <w:r>
        <w:rPr>
          <w:spacing w:val="-3"/>
          <w:sz w:val="24"/>
        </w:rPr>
        <w:t> </w:t>
      </w:r>
      <w:r>
        <w:rPr>
          <w:sz w:val="24"/>
        </w:rPr>
        <w:t>of</w:t>
      </w:r>
      <w:r>
        <w:rPr>
          <w:spacing w:val="-3"/>
          <w:sz w:val="24"/>
        </w:rPr>
        <w:t> </w:t>
      </w:r>
      <w:r>
        <w:rPr>
          <w:sz w:val="24"/>
        </w:rPr>
        <w:t>infrastructure works of local governments in Anambra State, because anecdotal evidence suggests that most funds provided to local governments by the State are largely unaccounted for at the end of the fiscal year.</w:t>
      </w:r>
    </w:p>
    <w:p>
      <w:pPr>
        <w:pStyle w:val="ListParagraph"/>
        <w:numPr>
          <w:ilvl w:val="0"/>
          <w:numId w:val="111"/>
        </w:numPr>
        <w:tabs>
          <w:tab w:pos="840" w:val="left" w:leader="none"/>
        </w:tabs>
        <w:spacing w:line="360" w:lineRule="auto" w:before="0" w:after="0"/>
        <w:ind w:left="840" w:right="1117" w:hanging="660"/>
        <w:jc w:val="both"/>
        <w:rPr>
          <w:sz w:val="24"/>
        </w:rPr>
      </w:pPr>
      <w:r>
        <w:rPr>
          <w:sz w:val="24"/>
        </w:rPr>
        <w:t>Another potential area of research related to this research that can be explored further is</w:t>
      </w:r>
      <w:r>
        <w:rPr>
          <w:spacing w:val="40"/>
          <w:sz w:val="24"/>
        </w:rPr>
        <w:t> </w:t>
      </w:r>
      <w:r>
        <w:rPr>
          <w:sz w:val="24"/>
        </w:rPr>
        <w:t>to analyse the performance of civil infrastructure (works) budgets in Anambra State. This is because, from budget antecedents as evidenced in this research, civil infrastructure or works gulps the largest chunk of the State‘s annual budget. Findings from the research will further provide an empirical basis for comparing the budget allocated to civil works and the extent of works actually delivered or executed, which could serve as a basis to convince the Government to diversify its resources to other sectors.</w:t>
      </w:r>
    </w:p>
    <w:p>
      <w:pPr>
        <w:pStyle w:val="ListParagraph"/>
        <w:numPr>
          <w:ilvl w:val="0"/>
          <w:numId w:val="111"/>
        </w:numPr>
        <w:tabs>
          <w:tab w:pos="840" w:val="left" w:leader="none"/>
        </w:tabs>
        <w:spacing w:line="360" w:lineRule="auto" w:before="2" w:after="0"/>
        <w:ind w:left="840" w:right="1120" w:hanging="660"/>
        <w:jc w:val="both"/>
        <w:rPr>
          <w:sz w:val="24"/>
        </w:rPr>
      </w:pPr>
      <w:r>
        <w:rPr>
          <w:sz w:val="24"/>
        </w:rPr>
        <w:t>A key</w:t>
      </w:r>
      <w:r>
        <w:rPr>
          <w:spacing w:val="-3"/>
          <w:sz w:val="24"/>
        </w:rPr>
        <w:t> </w:t>
      </w:r>
      <w:r>
        <w:rPr>
          <w:sz w:val="24"/>
        </w:rPr>
        <w:t>issue identified in this research that needs to be explored further is the dearth of an effective mechanism for utilizing housing funds because it affects housing budget implementation. Thus, the need to carry out research on developing a mechanism or framework for monitoring the utilization of housing budget funds. This is expected to enhance transparency and accountability of the Anambra State government.</w:t>
      </w:r>
    </w:p>
    <w:p>
      <w:pPr>
        <w:pStyle w:val="ListParagraph"/>
        <w:numPr>
          <w:ilvl w:val="0"/>
          <w:numId w:val="111"/>
        </w:numPr>
        <w:tabs>
          <w:tab w:pos="840" w:val="left" w:leader="none"/>
        </w:tabs>
        <w:spacing w:line="360" w:lineRule="auto" w:before="0" w:after="0"/>
        <w:ind w:left="840" w:right="1116" w:hanging="660"/>
        <w:jc w:val="both"/>
        <w:rPr>
          <w:sz w:val="24"/>
        </w:rPr>
      </w:pPr>
      <w:r>
        <w:rPr>
          <w:sz w:val="24"/>
        </w:rPr>
        <w:t>It was established in this research, that not only is medium term planning for the housing sector in Anambra poor, but housing is not a key priority of the Government, hence the compelling</w:t>
      </w:r>
      <w:r>
        <w:rPr>
          <w:spacing w:val="-4"/>
          <w:sz w:val="24"/>
        </w:rPr>
        <w:t> </w:t>
      </w:r>
      <w:r>
        <w:rPr>
          <w:sz w:val="24"/>
        </w:rPr>
        <w:t>need</w:t>
      </w:r>
      <w:r>
        <w:rPr>
          <w:spacing w:val="-1"/>
          <w:sz w:val="24"/>
        </w:rPr>
        <w:t> </w:t>
      </w:r>
      <w:r>
        <w:rPr>
          <w:sz w:val="24"/>
        </w:rPr>
        <w:t>to situate</w:t>
      </w:r>
      <w:r>
        <w:rPr>
          <w:spacing w:val="-2"/>
          <w:sz w:val="24"/>
        </w:rPr>
        <w:t> </w:t>
      </w:r>
      <w:r>
        <w:rPr>
          <w:sz w:val="24"/>
        </w:rPr>
        <w:t>housing</w:t>
      </w:r>
      <w:r>
        <w:rPr>
          <w:spacing w:val="-4"/>
          <w:sz w:val="24"/>
        </w:rPr>
        <w:t> </w:t>
      </w:r>
      <w:r>
        <w:rPr>
          <w:sz w:val="24"/>
        </w:rPr>
        <w:t>within</w:t>
      </w:r>
      <w:r>
        <w:rPr>
          <w:spacing w:val="-1"/>
          <w:sz w:val="24"/>
        </w:rPr>
        <w:t> </w:t>
      </w:r>
      <w:r>
        <w:rPr>
          <w:sz w:val="24"/>
        </w:rPr>
        <w:t>the</w:t>
      </w:r>
      <w:r>
        <w:rPr>
          <w:spacing w:val="-2"/>
          <w:sz w:val="24"/>
        </w:rPr>
        <w:t> </w:t>
      </w:r>
      <w:r>
        <w:rPr>
          <w:sz w:val="24"/>
        </w:rPr>
        <w:t>lead</w:t>
      </w:r>
      <w:r>
        <w:rPr>
          <w:spacing w:val="-1"/>
          <w:sz w:val="24"/>
        </w:rPr>
        <w:t> </w:t>
      </w:r>
      <w:r>
        <w:rPr>
          <w:sz w:val="24"/>
        </w:rPr>
        <w:t>priorities</w:t>
      </w:r>
      <w:r>
        <w:rPr>
          <w:spacing w:val="-1"/>
          <w:sz w:val="24"/>
        </w:rPr>
        <w:t> </w:t>
      </w:r>
      <w:r>
        <w:rPr>
          <w:sz w:val="24"/>
        </w:rPr>
        <w:t>of</w:t>
      </w:r>
      <w:r>
        <w:rPr>
          <w:spacing w:val="-2"/>
          <w:sz w:val="24"/>
        </w:rPr>
        <w:t> </w:t>
      </w:r>
      <w:r>
        <w:rPr>
          <w:sz w:val="24"/>
        </w:rPr>
        <w:t>Anambra</w:t>
      </w:r>
      <w:r>
        <w:rPr>
          <w:spacing w:val="-3"/>
          <w:sz w:val="24"/>
        </w:rPr>
        <w:t> </w:t>
      </w:r>
      <w:r>
        <w:rPr>
          <w:sz w:val="24"/>
        </w:rPr>
        <w:t>State. In</w:t>
      </w:r>
      <w:r>
        <w:rPr>
          <w:spacing w:val="-1"/>
          <w:sz w:val="24"/>
        </w:rPr>
        <w:t> </w:t>
      </w:r>
      <w:r>
        <w:rPr>
          <w:sz w:val="24"/>
        </w:rPr>
        <w:t>view</w:t>
      </w:r>
      <w:r>
        <w:rPr>
          <w:spacing w:val="-2"/>
          <w:sz w:val="24"/>
        </w:rPr>
        <w:t> </w:t>
      </w:r>
      <w:r>
        <w:rPr>
          <w:sz w:val="24"/>
        </w:rPr>
        <w:t>of this, there is need to conduct a research on the development of Medium Term Strategies for the Housing sector in Anambra State. This will help provide a platform for greater collaboration and synergy in the development and implementation of the annual housing sector budget and programmes by the diverse actors in the industry.</w:t>
      </w:r>
    </w:p>
    <w:p>
      <w:pPr>
        <w:pStyle w:val="ListParagraph"/>
        <w:numPr>
          <w:ilvl w:val="0"/>
          <w:numId w:val="111"/>
        </w:numPr>
        <w:tabs>
          <w:tab w:pos="840" w:val="left" w:leader="none"/>
        </w:tabs>
        <w:spacing w:line="360" w:lineRule="auto" w:before="1" w:after="0"/>
        <w:ind w:left="840" w:right="1115" w:hanging="660"/>
        <w:jc w:val="both"/>
        <w:rPr>
          <w:sz w:val="24"/>
        </w:rPr>
      </w:pPr>
      <w:r>
        <w:rPr>
          <w:sz w:val="24"/>
        </w:rPr>
        <w:t>Finally, the housing budget performance model developed in this research is purely conceptual, hence there is need to carry out another study to validate the model in order</w:t>
      </w:r>
      <w:r>
        <w:rPr>
          <w:spacing w:val="40"/>
          <w:sz w:val="24"/>
        </w:rPr>
        <w:t> </w:t>
      </w:r>
      <w:r>
        <w:rPr>
          <w:sz w:val="24"/>
        </w:rPr>
        <w:t>to ascertain its practical implementation.</w:t>
      </w:r>
    </w:p>
    <w:p>
      <w:pPr>
        <w:spacing w:after="0" w:line="360" w:lineRule="auto"/>
        <w:jc w:val="both"/>
        <w:rPr>
          <w:sz w:val="24"/>
        </w:rPr>
        <w:sectPr>
          <w:pgSz w:w="12240" w:h="15840"/>
          <w:pgMar w:header="0" w:footer="1036" w:top="1360" w:bottom="1220" w:left="1320" w:right="320"/>
        </w:sectPr>
      </w:pPr>
    </w:p>
    <w:p>
      <w:pPr>
        <w:pStyle w:val="Heading2"/>
        <w:spacing w:before="60"/>
        <w:ind w:right="998"/>
      </w:pPr>
      <w:r>
        <w:rPr>
          <w:spacing w:val="-2"/>
        </w:rPr>
        <w:t>REFERENCES</w:t>
      </w:r>
    </w:p>
    <w:p>
      <w:pPr>
        <w:pStyle w:val="BodyText"/>
        <w:spacing w:before="27"/>
        <w:rPr>
          <w:b/>
          <w:sz w:val="26"/>
        </w:rPr>
      </w:pPr>
    </w:p>
    <w:p>
      <w:pPr>
        <w:spacing w:line="240" w:lineRule="auto" w:before="1"/>
        <w:ind w:left="571" w:right="1118" w:hanging="452"/>
        <w:jc w:val="both"/>
        <w:rPr>
          <w:sz w:val="24"/>
        </w:rPr>
      </w:pPr>
      <w:r>
        <w:rPr>
          <w:sz w:val="24"/>
        </w:rPr>
        <w:t>Abovu, A, C. (2015). Revenue allocation in Nigeria and the dependency on oil revenue: The</w:t>
      </w:r>
      <w:r>
        <w:rPr>
          <w:spacing w:val="40"/>
          <w:sz w:val="24"/>
        </w:rPr>
        <w:t> </w:t>
      </w:r>
      <w:r>
        <w:rPr>
          <w:sz w:val="24"/>
        </w:rPr>
        <w:t>need for alternative solutions. </w:t>
      </w:r>
      <w:r>
        <w:rPr>
          <w:i/>
          <w:sz w:val="24"/>
        </w:rPr>
        <w:t>Global Journal of Arts Humanities and Social </w:t>
      </w:r>
      <w:r>
        <w:rPr>
          <w:i/>
          <w:spacing w:val="-2"/>
          <w:sz w:val="24"/>
        </w:rPr>
        <w:t>Sciences,</w:t>
      </w:r>
      <w:r>
        <w:rPr>
          <w:spacing w:val="-2"/>
          <w:sz w:val="24"/>
        </w:rPr>
        <w:t>3(2),19-36.</w:t>
      </w:r>
    </w:p>
    <w:p>
      <w:pPr>
        <w:pStyle w:val="BodyText"/>
        <w:spacing w:before="273"/>
        <w:ind w:left="571" w:right="1117" w:hanging="452"/>
      </w:pPr>
      <w:r>
        <w:rPr/>
        <w:t>Adedeji,</w:t>
      </w:r>
      <w:r>
        <w:rPr>
          <w:spacing w:val="40"/>
        </w:rPr>
        <w:t> </w:t>
      </w:r>
      <w:r>
        <w:rPr/>
        <w:t>Y.</w:t>
      </w:r>
      <w:r>
        <w:rPr>
          <w:spacing w:val="40"/>
        </w:rPr>
        <w:t> </w:t>
      </w:r>
      <w:r>
        <w:rPr/>
        <w:t>M.</w:t>
      </w:r>
      <w:r>
        <w:rPr>
          <w:spacing w:val="40"/>
        </w:rPr>
        <w:t> </w:t>
      </w:r>
      <w:r>
        <w:rPr/>
        <w:t>D.,</w:t>
      </w:r>
      <w:r>
        <w:rPr>
          <w:spacing w:val="40"/>
        </w:rPr>
        <w:t> </w:t>
      </w:r>
      <w:r>
        <w:rPr/>
        <w:t>&amp;</w:t>
      </w:r>
      <w:r>
        <w:rPr>
          <w:spacing w:val="40"/>
        </w:rPr>
        <w:t> </w:t>
      </w:r>
      <w:r>
        <w:rPr/>
        <w:t>Abiodun,</w:t>
      </w:r>
      <w:r>
        <w:rPr>
          <w:spacing w:val="40"/>
        </w:rPr>
        <w:t> </w:t>
      </w:r>
      <w:r>
        <w:rPr/>
        <w:t>O.O.</w:t>
      </w:r>
      <w:r>
        <w:rPr>
          <w:spacing w:val="40"/>
        </w:rPr>
        <w:t> </w:t>
      </w:r>
      <w:r>
        <w:rPr/>
        <w:t>(2014).</w:t>
      </w:r>
      <w:r>
        <w:rPr>
          <w:spacing w:val="40"/>
        </w:rPr>
        <w:t> </w:t>
      </w:r>
      <w:r>
        <w:rPr/>
        <w:t>An</w:t>
      </w:r>
      <w:r>
        <w:rPr>
          <w:spacing w:val="40"/>
        </w:rPr>
        <w:t> </w:t>
      </w:r>
      <w:r>
        <w:rPr/>
        <w:t>evaluation</w:t>
      </w:r>
      <w:r>
        <w:rPr>
          <w:spacing w:val="40"/>
        </w:rPr>
        <w:t> </w:t>
      </w:r>
      <w:r>
        <w:rPr/>
        <w:t>of</w:t>
      </w:r>
      <w:r>
        <w:rPr>
          <w:spacing w:val="40"/>
        </w:rPr>
        <w:t> </w:t>
      </w:r>
      <w:r>
        <w:rPr/>
        <w:t>accessibility</w:t>
      </w:r>
      <w:r>
        <w:rPr>
          <w:spacing w:val="40"/>
        </w:rPr>
        <w:t> </w:t>
      </w:r>
      <w:r>
        <w:rPr/>
        <w:t>of</w:t>
      </w:r>
      <w:r>
        <w:rPr>
          <w:spacing w:val="40"/>
        </w:rPr>
        <w:t> </w:t>
      </w:r>
      <w:r>
        <w:rPr/>
        <w:t>low-income earners to housing finance in Nigeria. </w:t>
      </w:r>
      <w:r>
        <w:rPr>
          <w:i/>
        </w:rPr>
        <w:t>European Scientific Journal</w:t>
      </w:r>
      <w:r>
        <w:rPr/>
        <w:t>, 8(12), 80 – 95.</w:t>
      </w:r>
    </w:p>
    <w:p>
      <w:pPr>
        <w:pStyle w:val="BodyText"/>
      </w:pPr>
    </w:p>
    <w:p>
      <w:pPr>
        <w:spacing w:before="0"/>
        <w:ind w:left="7" w:right="1002" w:firstLine="0"/>
        <w:jc w:val="center"/>
        <w:rPr>
          <w:i/>
          <w:sz w:val="24"/>
        </w:rPr>
      </w:pPr>
      <w:r>
        <w:rPr>
          <w:sz w:val="24"/>
        </w:rPr>
        <w:t>Adejumo,</w:t>
      </w:r>
      <w:r>
        <w:rPr>
          <w:spacing w:val="51"/>
          <w:sz w:val="24"/>
        </w:rPr>
        <w:t> </w:t>
      </w:r>
      <w:r>
        <w:rPr>
          <w:sz w:val="24"/>
        </w:rPr>
        <w:t>A</w:t>
      </w:r>
      <w:r>
        <w:rPr>
          <w:spacing w:val="51"/>
          <w:sz w:val="24"/>
        </w:rPr>
        <w:t> </w:t>
      </w:r>
      <w:r>
        <w:rPr>
          <w:sz w:val="24"/>
        </w:rPr>
        <w:t>A.</w:t>
      </w:r>
      <w:r>
        <w:rPr>
          <w:spacing w:val="52"/>
          <w:sz w:val="24"/>
        </w:rPr>
        <w:t> </w:t>
      </w:r>
      <w:r>
        <w:rPr>
          <w:sz w:val="24"/>
        </w:rPr>
        <w:t>(2008).</w:t>
      </w:r>
      <w:r>
        <w:rPr>
          <w:spacing w:val="52"/>
          <w:sz w:val="24"/>
        </w:rPr>
        <w:t> </w:t>
      </w:r>
      <w:r>
        <w:rPr>
          <w:i/>
          <w:sz w:val="24"/>
        </w:rPr>
        <w:t>Social</w:t>
      </w:r>
      <w:r>
        <w:rPr>
          <w:i/>
          <w:spacing w:val="53"/>
          <w:sz w:val="24"/>
        </w:rPr>
        <w:t> </w:t>
      </w:r>
      <w:r>
        <w:rPr>
          <w:i/>
          <w:sz w:val="24"/>
        </w:rPr>
        <w:t>housing</w:t>
      </w:r>
      <w:r>
        <w:rPr>
          <w:i/>
          <w:spacing w:val="49"/>
          <w:sz w:val="24"/>
        </w:rPr>
        <w:t> </w:t>
      </w:r>
      <w:r>
        <w:rPr>
          <w:i/>
          <w:sz w:val="24"/>
        </w:rPr>
        <w:t>in</w:t>
      </w:r>
      <w:r>
        <w:rPr>
          <w:i/>
          <w:spacing w:val="53"/>
          <w:sz w:val="24"/>
        </w:rPr>
        <w:t> </w:t>
      </w:r>
      <w:r>
        <w:rPr>
          <w:i/>
          <w:sz w:val="24"/>
        </w:rPr>
        <w:t>Nigeria</w:t>
      </w:r>
      <w:r>
        <w:rPr>
          <w:i/>
          <w:spacing w:val="53"/>
          <w:sz w:val="24"/>
        </w:rPr>
        <w:t> </w:t>
      </w:r>
      <w:r>
        <w:rPr>
          <w:i/>
          <w:sz w:val="24"/>
        </w:rPr>
        <w:t>–</w:t>
      </w:r>
      <w:r>
        <w:rPr>
          <w:i/>
          <w:spacing w:val="52"/>
          <w:sz w:val="24"/>
        </w:rPr>
        <w:t> </w:t>
      </w:r>
      <w:r>
        <w:rPr>
          <w:i/>
          <w:sz w:val="24"/>
        </w:rPr>
        <w:t>An</w:t>
      </w:r>
      <w:r>
        <w:rPr>
          <w:i/>
          <w:spacing w:val="48"/>
          <w:sz w:val="24"/>
        </w:rPr>
        <w:t> </w:t>
      </w:r>
      <w:r>
        <w:rPr>
          <w:i/>
          <w:sz w:val="24"/>
        </w:rPr>
        <w:t>imminent</w:t>
      </w:r>
      <w:r>
        <w:rPr>
          <w:i/>
          <w:spacing w:val="53"/>
          <w:sz w:val="24"/>
        </w:rPr>
        <w:t> </w:t>
      </w:r>
      <w:r>
        <w:rPr>
          <w:i/>
          <w:sz w:val="24"/>
        </w:rPr>
        <w:t>mass</w:t>
      </w:r>
      <w:r>
        <w:rPr>
          <w:i/>
          <w:spacing w:val="51"/>
          <w:sz w:val="24"/>
        </w:rPr>
        <w:t> </w:t>
      </w:r>
      <w:r>
        <w:rPr>
          <w:i/>
          <w:sz w:val="24"/>
        </w:rPr>
        <w:t>housing</w:t>
      </w:r>
      <w:r>
        <w:rPr>
          <w:i/>
          <w:spacing w:val="52"/>
          <w:sz w:val="24"/>
        </w:rPr>
        <w:t> </w:t>
      </w:r>
      <w:r>
        <w:rPr>
          <w:i/>
          <w:spacing w:val="-2"/>
          <w:sz w:val="24"/>
        </w:rPr>
        <w:t>revolution.</w:t>
      </w:r>
    </w:p>
    <w:p>
      <w:pPr>
        <w:pStyle w:val="BodyText"/>
        <w:spacing w:before="3"/>
        <w:ind w:left="571"/>
      </w:pPr>
      <w:r>
        <w:rPr/>
        <w:t>Retrieved</w:t>
      </w:r>
      <w:r>
        <w:rPr>
          <w:spacing w:val="-3"/>
        </w:rPr>
        <w:t> </w:t>
      </w:r>
      <w:r>
        <w:rPr/>
        <w:t>from</w:t>
      </w:r>
      <w:r>
        <w:rPr>
          <w:spacing w:val="-2"/>
        </w:rPr>
        <w:t> http://</w:t>
      </w:r>
      <w:hyperlink r:id="rId216">
        <w:r>
          <w:rPr>
            <w:spacing w:val="-2"/>
          </w:rPr>
          <w:t>www.nigeriavillagesquare.com</w:t>
        </w:r>
      </w:hyperlink>
    </w:p>
    <w:p>
      <w:pPr>
        <w:spacing w:before="199"/>
        <w:ind w:left="571" w:right="1223" w:hanging="452"/>
        <w:jc w:val="left"/>
        <w:rPr>
          <w:sz w:val="24"/>
        </w:rPr>
      </w:pPr>
      <w:r>
        <w:rPr>
          <w:sz w:val="24"/>
        </w:rPr>
        <w:t>Ademiluyi, I. A. (2010). Public housing delivery strategies in Nigeria: A historical perspective of</w:t>
      </w:r>
      <w:r>
        <w:rPr>
          <w:spacing w:val="-5"/>
          <w:sz w:val="24"/>
        </w:rPr>
        <w:t> </w:t>
      </w:r>
      <w:r>
        <w:rPr>
          <w:sz w:val="24"/>
        </w:rPr>
        <w:t>policies</w:t>
      </w:r>
      <w:r>
        <w:rPr>
          <w:spacing w:val="-4"/>
          <w:sz w:val="24"/>
        </w:rPr>
        <w:t> </w:t>
      </w:r>
      <w:r>
        <w:rPr>
          <w:sz w:val="24"/>
        </w:rPr>
        <w:t>and</w:t>
      </w:r>
      <w:r>
        <w:rPr>
          <w:spacing w:val="-4"/>
          <w:sz w:val="24"/>
        </w:rPr>
        <w:t> </w:t>
      </w:r>
      <w:r>
        <w:rPr>
          <w:sz w:val="24"/>
        </w:rPr>
        <w:t>programmes.</w:t>
      </w:r>
      <w:r>
        <w:rPr>
          <w:spacing w:val="-3"/>
          <w:sz w:val="24"/>
        </w:rPr>
        <w:t> </w:t>
      </w:r>
      <w:r>
        <w:rPr>
          <w:i/>
          <w:sz w:val="24"/>
        </w:rPr>
        <w:t>Journal</w:t>
      </w:r>
      <w:r>
        <w:rPr>
          <w:i/>
          <w:spacing w:val="-4"/>
          <w:sz w:val="24"/>
        </w:rPr>
        <w:t> </w:t>
      </w:r>
      <w:r>
        <w:rPr>
          <w:i/>
          <w:sz w:val="24"/>
        </w:rPr>
        <w:t>of</w:t>
      </w:r>
      <w:r>
        <w:rPr>
          <w:i/>
          <w:spacing w:val="-4"/>
          <w:sz w:val="24"/>
        </w:rPr>
        <w:t> </w:t>
      </w:r>
      <w:r>
        <w:rPr>
          <w:i/>
          <w:sz w:val="24"/>
        </w:rPr>
        <w:t>sustainable</w:t>
      </w:r>
      <w:r>
        <w:rPr>
          <w:i/>
          <w:spacing w:val="-4"/>
          <w:sz w:val="24"/>
        </w:rPr>
        <w:t> </w:t>
      </w:r>
      <w:r>
        <w:rPr>
          <w:i/>
          <w:sz w:val="24"/>
        </w:rPr>
        <w:t>development</w:t>
      </w:r>
      <w:r>
        <w:rPr>
          <w:i/>
          <w:spacing w:val="-4"/>
          <w:sz w:val="24"/>
        </w:rPr>
        <w:t> </w:t>
      </w:r>
      <w:r>
        <w:rPr>
          <w:i/>
          <w:sz w:val="24"/>
        </w:rPr>
        <w:t>in</w:t>
      </w:r>
      <w:r>
        <w:rPr>
          <w:i/>
          <w:spacing w:val="-4"/>
          <w:sz w:val="24"/>
        </w:rPr>
        <w:t> </w:t>
      </w:r>
      <w:r>
        <w:rPr>
          <w:i/>
          <w:sz w:val="24"/>
        </w:rPr>
        <w:t>Africa,</w:t>
      </w:r>
      <w:r>
        <w:rPr>
          <w:sz w:val="24"/>
        </w:rPr>
        <w:t>12</w:t>
      </w:r>
      <w:r>
        <w:rPr>
          <w:spacing w:val="-4"/>
          <w:sz w:val="24"/>
        </w:rPr>
        <w:t> </w:t>
      </w:r>
      <w:r>
        <w:rPr>
          <w:sz w:val="24"/>
        </w:rPr>
        <w:t>(6),</w:t>
      </w:r>
      <w:r>
        <w:rPr>
          <w:spacing w:val="-4"/>
          <w:sz w:val="24"/>
        </w:rPr>
        <w:t> </w:t>
      </w:r>
      <w:r>
        <w:rPr>
          <w:sz w:val="24"/>
        </w:rPr>
        <w:t>153-161.</w:t>
      </w:r>
    </w:p>
    <w:p>
      <w:pPr>
        <w:pStyle w:val="BodyText"/>
        <w:spacing w:before="1"/>
      </w:pPr>
    </w:p>
    <w:p>
      <w:pPr>
        <w:spacing w:before="0"/>
        <w:ind w:left="571" w:right="1116" w:hanging="452"/>
        <w:jc w:val="both"/>
        <w:rPr>
          <w:sz w:val="24"/>
        </w:rPr>
      </w:pPr>
      <w:r>
        <w:rPr>
          <w:sz w:val="24"/>
        </w:rPr>
        <w:t>Aderibigbe, S.O.(2012).State budgetary allocations: An appraisal of budget implementation and effects in Nigeria. </w:t>
      </w:r>
      <w:r>
        <w:rPr>
          <w:i/>
          <w:sz w:val="24"/>
        </w:rPr>
        <w:t>A paper presented at the Nigerian Institute of Social and Economic Research (NISER) Seminar Series</w:t>
      </w:r>
      <w:r>
        <w:rPr>
          <w:sz w:val="24"/>
        </w:rPr>
        <w:t>, Ibadan: NISER.</w:t>
      </w:r>
    </w:p>
    <w:p>
      <w:pPr>
        <w:pStyle w:val="BodyText"/>
      </w:pPr>
    </w:p>
    <w:p>
      <w:pPr>
        <w:pStyle w:val="BodyText"/>
        <w:ind w:left="571" w:right="1117" w:hanging="452"/>
        <w:jc w:val="both"/>
      </w:pPr>
      <w:r>
        <w:rPr/>
        <w:t>Aduwo, E.B., Edewor, P.A., &amp; Ibem, E.O. (2016). Urbanization and housing for low-income earners in Nigeria: A review of features, challenges and prospects. </w:t>
      </w:r>
      <w:r>
        <w:rPr>
          <w:i/>
        </w:rPr>
        <w:t>Mediterranean Journal</w:t>
      </w:r>
      <w:r>
        <w:rPr>
          <w:i/>
          <w:spacing w:val="40"/>
        </w:rPr>
        <w:t> </w:t>
      </w:r>
      <w:r>
        <w:rPr>
          <w:i/>
        </w:rPr>
        <w:t>of Social Sciences,</w:t>
      </w:r>
      <w:r>
        <w:rPr/>
        <w:t>7(3),347 – 357.</w:t>
      </w:r>
    </w:p>
    <w:p>
      <w:pPr>
        <w:pStyle w:val="BodyText"/>
      </w:pPr>
    </w:p>
    <w:p>
      <w:pPr>
        <w:spacing w:before="0"/>
        <w:ind w:left="571" w:right="1117" w:hanging="452"/>
        <w:jc w:val="both"/>
        <w:rPr>
          <w:sz w:val="24"/>
        </w:rPr>
      </w:pPr>
      <w:r>
        <w:rPr>
          <w:sz w:val="24"/>
        </w:rPr>
        <w:t>Afolayan, G.P. (1987). Housing need among low-income earners in Nigerian cities. </w:t>
      </w:r>
      <w:r>
        <w:rPr>
          <w:i/>
          <w:sz w:val="24"/>
        </w:rPr>
        <w:t>Journal of the Federal Mortgage Bank of Nigeria, 2</w:t>
      </w:r>
      <w:r>
        <w:rPr>
          <w:sz w:val="24"/>
        </w:rPr>
        <w:t>(1), 45-51.</w:t>
      </w:r>
    </w:p>
    <w:p>
      <w:pPr>
        <w:pStyle w:val="BodyText"/>
      </w:pPr>
    </w:p>
    <w:p>
      <w:pPr>
        <w:pStyle w:val="BodyText"/>
        <w:ind w:left="571" w:right="1122" w:hanging="452"/>
        <w:jc w:val="both"/>
      </w:pPr>
      <w:r>
        <w:rPr/>
        <w:t>Afonso, A., Schuknecht, L.,&amp; Tanzi,V.(2005). Public sector efficiency: an international comparison. </w:t>
      </w:r>
      <w:r>
        <w:rPr>
          <w:i/>
        </w:rPr>
        <w:t>Public Choice 123</w:t>
      </w:r>
      <w:r>
        <w:rPr/>
        <w:t>(3-4), 321 – 327.</w:t>
      </w:r>
    </w:p>
    <w:p>
      <w:pPr>
        <w:pStyle w:val="BodyText"/>
      </w:pPr>
    </w:p>
    <w:p>
      <w:pPr>
        <w:spacing w:before="0"/>
        <w:ind w:left="571" w:right="1117" w:hanging="452"/>
        <w:jc w:val="left"/>
        <w:rPr>
          <w:sz w:val="24"/>
        </w:rPr>
      </w:pPr>
      <w:r>
        <w:rPr>
          <w:sz w:val="24"/>
        </w:rPr>
        <w:t>African Development Bank (ADB). (2011). </w:t>
      </w:r>
      <w:r>
        <w:rPr>
          <w:i/>
          <w:sz w:val="24"/>
        </w:rPr>
        <w:t>The middle of the pyramid: Dynamics of the middle </w:t>
      </w:r>
      <w:r>
        <w:rPr>
          <w:i/>
          <w:spacing w:val="-2"/>
          <w:sz w:val="24"/>
        </w:rPr>
        <w:t>classinAfrica</w:t>
      </w:r>
      <w:r>
        <w:rPr>
          <w:spacing w:val="-2"/>
          <w:sz w:val="24"/>
        </w:rPr>
        <w:t>.Retrievedfr</w:t>
      </w:r>
      <w:hyperlink r:id="rId217">
        <w:r>
          <w:rPr>
            <w:spacing w:val="-2"/>
            <w:sz w:val="24"/>
          </w:rPr>
          <w:t>omhttp:</w:t>
        </w:r>
      </w:hyperlink>
      <w:r>
        <w:rPr>
          <w:spacing w:val="-2"/>
          <w:sz w:val="24"/>
        </w:rPr>
        <w:t>//</w:t>
      </w:r>
      <w:hyperlink r:id="rId217">
        <w:r>
          <w:rPr>
            <w:spacing w:val="-2"/>
            <w:sz w:val="24"/>
          </w:rPr>
          <w:t>www.afdb.org/fileadmin/uploads/afdb/Documents/Public</w:t>
        </w:r>
      </w:hyperlink>
      <w:r>
        <w:rPr>
          <w:spacing w:val="-2"/>
          <w:sz w:val="24"/>
        </w:rPr>
        <w:t> ations.pdf</w:t>
      </w:r>
    </w:p>
    <w:p>
      <w:pPr>
        <w:pStyle w:val="BodyText"/>
      </w:pPr>
    </w:p>
    <w:p>
      <w:pPr>
        <w:spacing w:before="1"/>
        <w:ind w:left="571" w:right="1118" w:hanging="452"/>
        <w:jc w:val="both"/>
        <w:rPr>
          <w:sz w:val="24"/>
        </w:rPr>
      </w:pPr>
      <w:r>
        <w:rPr>
          <w:sz w:val="24"/>
        </w:rPr>
        <w:t>Agbola, S. B. (1993). Major problems of housing in Nigeria. </w:t>
      </w:r>
      <w:r>
        <w:rPr>
          <w:i/>
          <w:sz w:val="24"/>
        </w:rPr>
        <w:t>A paper presented at a Workshop on Housing Problems in Nigeria</w:t>
      </w:r>
      <w:r>
        <w:rPr>
          <w:sz w:val="24"/>
        </w:rPr>
        <w:t>. 13th-15th December, Ibadan, Nigeria.</w:t>
      </w:r>
    </w:p>
    <w:p>
      <w:pPr>
        <w:spacing w:before="276"/>
        <w:ind w:left="571" w:right="1120" w:hanging="452"/>
        <w:jc w:val="both"/>
        <w:rPr>
          <w:sz w:val="24"/>
        </w:rPr>
      </w:pPr>
      <w:r>
        <w:rPr>
          <w:sz w:val="24"/>
        </w:rPr>
        <w:t>Agbola, T. (1998). </w:t>
      </w:r>
      <w:r>
        <w:rPr>
          <w:i/>
          <w:sz w:val="24"/>
        </w:rPr>
        <w:t>The housing of Nigerians: A review of policy development and implementation</w:t>
      </w:r>
      <w:r>
        <w:rPr>
          <w:sz w:val="24"/>
        </w:rPr>
        <w:t>. Research Report, 14. Ibadan: Development Policy Centre.</w:t>
      </w:r>
    </w:p>
    <w:p>
      <w:pPr>
        <w:pStyle w:val="BodyText"/>
        <w:spacing w:before="2"/>
      </w:pPr>
    </w:p>
    <w:p>
      <w:pPr>
        <w:pStyle w:val="BodyText"/>
        <w:spacing w:line="237" w:lineRule="auto" w:before="1"/>
        <w:ind w:left="571" w:right="1126" w:hanging="452"/>
        <w:jc w:val="both"/>
      </w:pPr>
      <w:r>
        <w:rPr/>
        <w:t>Aimee, F. L., &amp; Carberry, G.B. (1999). Analyzing how local governments establish service priorities. </w:t>
      </w:r>
      <w:r>
        <w:rPr>
          <w:i/>
        </w:rPr>
        <w:t>Public Budgeting &amp; Finance, </w:t>
      </w:r>
      <w:r>
        <w:rPr/>
        <w:t>19(3), 31-46.</w:t>
      </w:r>
    </w:p>
    <w:p>
      <w:pPr>
        <w:pStyle w:val="BodyText"/>
      </w:pPr>
    </w:p>
    <w:p>
      <w:pPr>
        <w:spacing w:before="0"/>
        <w:ind w:left="571" w:right="1119" w:hanging="452"/>
        <w:jc w:val="both"/>
        <w:rPr>
          <w:i/>
          <w:sz w:val="24"/>
        </w:rPr>
      </w:pPr>
      <w:r>
        <w:rPr>
          <w:sz w:val="24"/>
        </w:rPr>
        <w:t>Ajanlekoko, J. S. (2001). Sustainable housing development in Nigeria</w:t>
      </w:r>
      <w:r>
        <w:rPr>
          <w:i/>
          <w:sz w:val="24"/>
        </w:rPr>
        <w:t>.</w:t>
      </w:r>
      <w:r>
        <w:rPr>
          <w:sz w:val="24"/>
        </w:rPr>
        <w:t>The financial and infrastructural implication</w:t>
      </w:r>
      <w:r>
        <w:rPr>
          <w:i/>
          <w:sz w:val="24"/>
        </w:rPr>
        <w:t>. A paper presented at the International Conference on spatial Information</w:t>
      </w:r>
      <w:r>
        <w:rPr>
          <w:i/>
          <w:spacing w:val="40"/>
          <w:sz w:val="24"/>
        </w:rPr>
        <w:t> </w:t>
      </w:r>
      <w:r>
        <w:rPr>
          <w:i/>
          <w:sz w:val="24"/>
        </w:rPr>
        <w:t>for Sustainable Development (</w:t>
      </w:r>
      <w:r>
        <w:rPr>
          <w:sz w:val="24"/>
        </w:rPr>
        <w:t>pp.1- 14.) Nairobi, </w:t>
      </w:r>
      <w:r>
        <w:rPr>
          <w:i/>
          <w:sz w:val="24"/>
        </w:rPr>
        <w:t>Kenya.</w:t>
      </w:r>
    </w:p>
    <w:p>
      <w:pPr>
        <w:spacing w:after="0"/>
        <w:jc w:val="both"/>
        <w:rPr>
          <w:sz w:val="24"/>
        </w:rPr>
        <w:sectPr>
          <w:pgSz w:w="12240" w:h="15840"/>
          <w:pgMar w:header="0" w:footer="1036" w:top="1380" w:bottom="1220" w:left="1320" w:right="320"/>
        </w:sectPr>
      </w:pPr>
    </w:p>
    <w:p>
      <w:pPr>
        <w:spacing w:before="72"/>
        <w:ind w:left="120" w:right="0" w:firstLine="0"/>
        <w:jc w:val="left"/>
        <w:rPr>
          <w:i/>
          <w:sz w:val="24"/>
        </w:rPr>
      </w:pPr>
      <w:r>
        <w:rPr>
          <w:sz w:val="24"/>
        </w:rPr>
        <w:t>Akande,</w:t>
      </w:r>
      <w:r>
        <w:rPr>
          <w:spacing w:val="-1"/>
          <w:sz w:val="24"/>
        </w:rPr>
        <w:t> </w:t>
      </w:r>
      <w:r>
        <w:rPr>
          <w:sz w:val="24"/>
        </w:rPr>
        <w:t>S.</w:t>
      </w:r>
      <w:r>
        <w:rPr>
          <w:spacing w:val="-1"/>
          <w:sz w:val="24"/>
        </w:rPr>
        <w:t> </w:t>
      </w:r>
      <w:r>
        <w:rPr>
          <w:sz w:val="24"/>
        </w:rPr>
        <w:t>O.,</w:t>
      </w:r>
      <w:r>
        <w:rPr>
          <w:spacing w:val="-1"/>
          <w:sz w:val="24"/>
        </w:rPr>
        <w:t> </w:t>
      </w:r>
      <w:r>
        <w:rPr>
          <w:sz w:val="24"/>
        </w:rPr>
        <w:t>Olomola, A.S., &amp;</w:t>
      </w:r>
      <w:r>
        <w:rPr>
          <w:spacing w:val="-3"/>
          <w:sz w:val="24"/>
        </w:rPr>
        <w:t> </w:t>
      </w:r>
      <w:r>
        <w:rPr>
          <w:sz w:val="24"/>
        </w:rPr>
        <w:t>Olokesusi,</w:t>
      </w:r>
      <w:r>
        <w:rPr>
          <w:spacing w:val="-1"/>
          <w:sz w:val="24"/>
        </w:rPr>
        <w:t> </w:t>
      </w:r>
      <w:r>
        <w:rPr>
          <w:sz w:val="24"/>
        </w:rPr>
        <w:t>A. (Eds.).</w:t>
      </w:r>
      <w:r>
        <w:rPr>
          <w:spacing w:val="-1"/>
          <w:sz w:val="24"/>
        </w:rPr>
        <w:t> </w:t>
      </w:r>
      <w:r>
        <w:rPr>
          <w:sz w:val="24"/>
        </w:rPr>
        <w:t>(2012). </w:t>
      </w:r>
      <w:r>
        <w:rPr>
          <w:i/>
          <w:sz w:val="24"/>
        </w:rPr>
        <w:t>Constraints</w:t>
      </w:r>
      <w:r>
        <w:rPr>
          <w:i/>
          <w:spacing w:val="-1"/>
          <w:sz w:val="24"/>
        </w:rPr>
        <w:t> </w:t>
      </w:r>
      <w:r>
        <w:rPr>
          <w:i/>
          <w:sz w:val="24"/>
        </w:rPr>
        <w:t>and </w:t>
      </w:r>
      <w:r>
        <w:rPr>
          <w:i/>
          <w:spacing w:val="-2"/>
          <w:sz w:val="24"/>
        </w:rPr>
        <w:t>opportunities</w:t>
      </w:r>
    </w:p>
    <w:p>
      <w:pPr>
        <w:spacing w:before="0"/>
        <w:ind w:left="571" w:right="1117" w:firstLine="0"/>
        <w:jc w:val="left"/>
        <w:rPr>
          <w:sz w:val="24"/>
        </w:rPr>
      </w:pPr>
      <w:r>
        <w:rPr>
          <w:i/>
          <w:sz w:val="24"/>
        </w:rPr>
        <w:t>for</w:t>
      </w:r>
      <w:r>
        <w:rPr>
          <w:i/>
          <w:spacing w:val="40"/>
          <w:sz w:val="24"/>
        </w:rPr>
        <w:t> </w:t>
      </w:r>
      <w:r>
        <w:rPr>
          <w:i/>
          <w:sz w:val="24"/>
        </w:rPr>
        <w:t>effective</w:t>
      </w:r>
      <w:r>
        <w:rPr>
          <w:i/>
          <w:spacing w:val="40"/>
          <w:sz w:val="24"/>
        </w:rPr>
        <w:t> </w:t>
      </w:r>
      <w:r>
        <w:rPr>
          <w:i/>
          <w:sz w:val="24"/>
        </w:rPr>
        <w:t>budget</w:t>
      </w:r>
      <w:r>
        <w:rPr>
          <w:i/>
          <w:spacing w:val="40"/>
          <w:sz w:val="24"/>
        </w:rPr>
        <w:t> </w:t>
      </w:r>
      <w:r>
        <w:rPr>
          <w:i/>
          <w:sz w:val="24"/>
        </w:rPr>
        <w:t>implementation</w:t>
      </w:r>
      <w:r>
        <w:rPr>
          <w:i/>
          <w:spacing w:val="40"/>
          <w:sz w:val="24"/>
        </w:rPr>
        <w:t> </w:t>
      </w:r>
      <w:r>
        <w:rPr>
          <w:i/>
          <w:sz w:val="24"/>
        </w:rPr>
        <w:t>in</w:t>
      </w:r>
      <w:r>
        <w:rPr>
          <w:i/>
          <w:spacing w:val="40"/>
          <w:sz w:val="24"/>
        </w:rPr>
        <w:t> </w:t>
      </w:r>
      <w:r>
        <w:rPr>
          <w:i/>
          <w:sz w:val="24"/>
        </w:rPr>
        <w:t>Nigeria.</w:t>
      </w:r>
      <w:r>
        <w:rPr>
          <w:i/>
          <w:spacing w:val="40"/>
          <w:sz w:val="24"/>
        </w:rPr>
        <w:t> </w:t>
      </w:r>
      <w:r>
        <w:rPr>
          <w:sz w:val="24"/>
        </w:rPr>
        <w:t>Ibadan:</w:t>
      </w:r>
      <w:r>
        <w:rPr>
          <w:spacing w:val="40"/>
          <w:sz w:val="24"/>
        </w:rPr>
        <w:t> </w:t>
      </w:r>
      <w:r>
        <w:rPr>
          <w:sz w:val="24"/>
        </w:rPr>
        <w:t>Nigerian</w:t>
      </w:r>
      <w:r>
        <w:rPr>
          <w:spacing w:val="40"/>
          <w:sz w:val="24"/>
        </w:rPr>
        <w:t> </w:t>
      </w:r>
      <w:r>
        <w:rPr>
          <w:sz w:val="24"/>
        </w:rPr>
        <w:t>Institute</w:t>
      </w:r>
      <w:r>
        <w:rPr>
          <w:spacing w:val="40"/>
          <w:sz w:val="24"/>
        </w:rPr>
        <w:t> </w:t>
      </w:r>
      <w:r>
        <w:rPr>
          <w:sz w:val="24"/>
        </w:rPr>
        <w:t>of</w:t>
      </w:r>
      <w:r>
        <w:rPr>
          <w:spacing w:val="40"/>
          <w:sz w:val="24"/>
        </w:rPr>
        <w:t> </w:t>
      </w:r>
      <w:r>
        <w:rPr>
          <w:sz w:val="24"/>
        </w:rPr>
        <w:t>Social</w:t>
      </w:r>
      <w:r>
        <w:rPr>
          <w:spacing w:val="40"/>
          <w:sz w:val="24"/>
        </w:rPr>
        <w:t> </w:t>
      </w:r>
      <w:r>
        <w:rPr>
          <w:sz w:val="24"/>
        </w:rPr>
        <w:t>and Economic Research (NISER).</w:t>
      </w:r>
    </w:p>
    <w:p>
      <w:pPr>
        <w:pStyle w:val="BodyText"/>
      </w:pPr>
    </w:p>
    <w:p>
      <w:pPr>
        <w:spacing w:before="0"/>
        <w:ind w:left="571" w:right="1117" w:hanging="452"/>
        <w:jc w:val="both"/>
        <w:rPr>
          <w:sz w:val="24"/>
        </w:rPr>
      </w:pPr>
      <w:r>
        <w:rPr>
          <w:sz w:val="24"/>
        </w:rPr>
        <w:t>Akinlusi, A. (2007). Mortgage facilities; A Panacea for mass housing development. </w:t>
      </w:r>
      <w:r>
        <w:rPr>
          <w:i/>
          <w:sz w:val="24"/>
        </w:rPr>
        <w:t>A paper presented at Nigerian Institute of Building(NIOB) conference</w:t>
      </w:r>
      <w:r>
        <w:rPr>
          <w:sz w:val="24"/>
        </w:rPr>
        <w:t>, Lagos, November, 13, pp. 9– </w:t>
      </w:r>
      <w:r>
        <w:rPr>
          <w:spacing w:val="-4"/>
          <w:sz w:val="24"/>
        </w:rPr>
        <w:t>16.</w:t>
      </w:r>
    </w:p>
    <w:p>
      <w:pPr>
        <w:pStyle w:val="BodyText"/>
      </w:pPr>
    </w:p>
    <w:p>
      <w:pPr>
        <w:spacing w:before="0"/>
        <w:ind w:left="120" w:right="0" w:firstLine="0"/>
        <w:jc w:val="left"/>
        <w:rPr>
          <w:sz w:val="24"/>
        </w:rPr>
      </w:pPr>
      <w:r>
        <w:rPr>
          <w:sz w:val="24"/>
        </w:rPr>
        <w:t>Akintokunbo</w:t>
      </w:r>
      <w:r>
        <w:rPr>
          <w:spacing w:val="76"/>
          <w:sz w:val="24"/>
        </w:rPr>
        <w:t> </w:t>
      </w:r>
      <w:r>
        <w:rPr>
          <w:sz w:val="24"/>
        </w:rPr>
        <w:t>A.</w:t>
      </w:r>
      <w:r>
        <w:rPr>
          <w:spacing w:val="76"/>
          <w:sz w:val="24"/>
        </w:rPr>
        <w:t> </w:t>
      </w:r>
      <w:r>
        <w:rPr>
          <w:sz w:val="24"/>
        </w:rPr>
        <w:t>A.</w:t>
      </w:r>
      <w:r>
        <w:rPr>
          <w:spacing w:val="76"/>
          <w:sz w:val="24"/>
        </w:rPr>
        <w:t> </w:t>
      </w:r>
      <w:r>
        <w:rPr>
          <w:sz w:val="24"/>
        </w:rPr>
        <w:t>(2008).</w:t>
      </w:r>
      <w:r>
        <w:rPr>
          <w:spacing w:val="74"/>
          <w:sz w:val="24"/>
        </w:rPr>
        <w:t> </w:t>
      </w:r>
      <w:r>
        <w:rPr>
          <w:sz w:val="24"/>
        </w:rPr>
        <w:t>Some</w:t>
      </w:r>
      <w:r>
        <w:rPr>
          <w:spacing w:val="78"/>
          <w:sz w:val="24"/>
        </w:rPr>
        <w:t> </w:t>
      </w:r>
      <w:r>
        <w:rPr>
          <w:i/>
          <w:sz w:val="24"/>
        </w:rPr>
        <w:t>thoughts</w:t>
      </w:r>
      <w:r>
        <w:rPr>
          <w:i/>
          <w:spacing w:val="76"/>
          <w:sz w:val="24"/>
        </w:rPr>
        <w:t> </w:t>
      </w:r>
      <w:r>
        <w:rPr>
          <w:i/>
          <w:sz w:val="24"/>
        </w:rPr>
        <w:t>on</w:t>
      </w:r>
      <w:r>
        <w:rPr>
          <w:i/>
          <w:spacing w:val="75"/>
          <w:sz w:val="24"/>
        </w:rPr>
        <w:t> </w:t>
      </w:r>
      <w:r>
        <w:rPr>
          <w:i/>
          <w:sz w:val="24"/>
        </w:rPr>
        <w:t>affordable</w:t>
      </w:r>
      <w:r>
        <w:rPr>
          <w:i/>
          <w:spacing w:val="75"/>
          <w:sz w:val="24"/>
        </w:rPr>
        <w:t> </w:t>
      </w:r>
      <w:r>
        <w:rPr>
          <w:i/>
          <w:sz w:val="24"/>
        </w:rPr>
        <w:t>and</w:t>
      </w:r>
      <w:r>
        <w:rPr>
          <w:i/>
          <w:spacing w:val="76"/>
          <w:sz w:val="24"/>
        </w:rPr>
        <w:t> </w:t>
      </w:r>
      <w:r>
        <w:rPr>
          <w:i/>
          <w:sz w:val="24"/>
        </w:rPr>
        <w:t>social</w:t>
      </w:r>
      <w:r>
        <w:rPr>
          <w:i/>
          <w:spacing w:val="75"/>
          <w:sz w:val="24"/>
        </w:rPr>
        <w:t> </w:t>
      </w:r>
      <w:r>
        <w:rPr>
          <w:i/>
          <w:sz w:val="24"/>
        </w:rPr>
        <w:t>housing</w:t>
      </w:r>
      <w:r>
        <w:rPr>
          <w:i/>
          <w:spacing w:val="76"/>
          <w:sz w:val="24"/>
        </w:rPr>
        <w:t> </w:t>
      </w:r>
      <w:r>
        <w:rPr>
          <w:i/>
          <w:sz w:val="24"/>
        </w:rPr>
        <w:t>in</w:t>
      </w:r>
      <w:r>
        <w:rPr>
          <w:i/>
          <w:spacing w:val="77"/>
          <w:sz w:val="24"/>
        </w:rPr>
        <w:t> </w:t>
      </w:r>
      <w:r>
        <w:rPr>
          <w:i/>
          <w:spacing w:val="-2"/>
          <w:sz w:val="24"/>
        </w:rPr>
        <w:t>Nigeria</w:t>
      </w:r>
      <w:r>
        <w:rPr>
          <w:spacing w:val="-2"/>
          <w:sz w:val="24"/>
        </w:rPr>
        <w:t>.</w:t>
      </w:r>
    </w:p>
    <w:p>
      <w:pPr>
        <w:pStyle w:val="BodyText"/>
        <w:ind w:left="571"/>
      </w:pPr>
      <w:r>
        <w:rPr/>
        <w:t>Retrieved</w:t>
      </w:r>
      <w:r>
        <w:rPr>
          <w:spacing w:val="-5"/>
        </w:rPr>
        <w:t> </w:t>
      </w:r>
      <w:r>
        <w:rPr/>
        <w:t>from</w:t>
      </w:r>
      <w:r>
        <w:rPr>
          <w:spacing w:val="-2"/>
        </w:rPr>
        <w:t> </w:t>
      </w:r>
      <w:hyperlink r:id="rId218">
        <w:r>
          <w:rPr>
            <w:spacing w:val="-2"/>
          </w:rPr>
          <w:t>http://www.Nigeriavillagesquare.com/forum</w:t>
        </w:r>
      </w:hyperlink>
    </w:p>
    <w:p>
      <w:pPr>
        <w:pStyle w:val="BodyText"/>
      </w:pPr>
    </w:p>
    <w:p>
      <w:pPr>
        <w:spacing w:before="0"/>
        <w:ind w:left="571" w:right="1118" w:hanging="452"/>
        <w:jc w:val="both"/>
        <w:rPr>
          <w:sz w:val="24"/>
        </w:rPr>
      </w:pPr>
      <w:r>
        <w:rPr>
          <w:sz w:val="24"/>
        </w:rPr>
        <w:t>Akinyode, B.F.(2014).</w:t>
      </w:r>
      <w:r>
        <w:rPr>
          <w:spacing w:val="40"/>
          <w:sz w:val="24"/>
        </w:rPr>
        <w:t> </w:t>
      </w:r>
      <w:r>
        <w:rPr>
          <w:sz w:val="24"/>
        </w:rPr>
        <w:t>Bridging the gap between housing demand and housing Supply in Nigerian urban centres: A review of government intervention so far. </w:t>
      </w:r>
      <w:r>
        <w:rPr>
          <w:i/>
          <w:sz w:val="24"/>
        </w:rPr>
        <w:t>British Journal of Arts and Social Sciences, </w:t>
      </w:r>
      <w:r>
        <w:rPr>
          <w:sz w:val="24"/>
        </w:rPr>
        <w:t>13(5), 109 – 114.</w:t>
      </w:r>
    </w:p>
    <w:p>
      <w:pPr>
        <w:pStyle w:val="BodyText"/>
        <w:spacing w:before="1"/>
      </w:pPr>
    </w:p>
    <w:p>
      <w:pPr>
        <w:spacing w:line="240" w:lineRule="auto" w:before="0"/>
        <w:ind w:left="571" w:right="1120" w:hanging="452"/>
        <w:jc w:val="both"/>
        <w:rPr>
          <w:sz w:val="24"/>
        </w:rPr>
      </w:pPr>
      <w:r>
        <w:rPr>
          <w:sz w:val="24"/>
        </w:rPr>
        <w:t>Akinyode, B. F., &amp; Tareef, H.K. (2013). Evaluation of housing provision during the last two decades in the context of Nigeria. </w:t>
      </w:r>
      <w:r>
        <w:rPr>
          <w:i/>
          <w:sz w:val="24"/>
        </w:rPr>
        <w:t>International Journal of Humanities and Social Science</w:t>
      </w:r>
      <w:r>
        <w:rPr>
          <w:sz w:val="24"/>
        </w:rPr>
        <w:t>,3(15), 204 - 215.</w:t>
      </w:r>
    </w:p>
    <w:p>
      <w:pPr>
        <w:spacing w:before="199"/>
        <w:ind w:left="566" w:right="1115" w:hanging="447"/>
        <w:jc w:val="both"/>
        <w:rPr>
          <w:sz w:val="24"/>
        </w:rPr>
      </w:pPr>
      <w:r>
        <w:rPr>
          <w:sz w:val="24"/>
        </w:rPr>
        <w:t>Alagidede, P. (2012). The economy and the construction sector in West Africa. In S. Laryea, S. Agypepong, R. Leiringer &amp; W. Hughes (Eds.), </w:t>
      </w:r>
      <w:r>
        <w:rPr>
          <w:i/>
          <w:sz w:val="24"/>
        </w:rPr>
        <w:t>Proceedings of the West Africa Built Environment Research (WABER) Conference in construction in West Africa</w:t>
      </w:r>
      <w:r>
        <w:rPr>
          <w:sz w:val="24"/>
        </w:rPr>
        <w:t>. (pp.13-15). EPP book service Ltd.</w:t>
      </w:r>
    </w:p>
    <w:p>
      <w:pPr>
        <w:pStyle w:val="BodyText"/>
      </w:pPr>
    </w:p>
    <w:p>
      <w:pPr>
        <w:spacing w:before="0"/>
        <w:ind w:left="571" w:right="1117" w:hanging="452"/>
        <w:jc w:val="both"/>
        <w:rPr>
          <w:sz w:val="24"/>
        </w:rPr>
      </w:pPr>
      <w:r>
        <w:rPr>
          <w:sz w:val="24"/>
        </w:rPr>
        <w:t>Alison, W. (2004). </w:t>
      </w:r>
      <w:r>
        <w:rPr>
          <w:i/>
          <w:sz w:val="24"/>
        </w:rPr>
        <w:t>Understanding local housing markets - The need for a complementary institutional approach</w:t>
      </w:r>
      <w:r>
        <w:rPr>
          <w:sz w:val="24"/>
        </w:rPr>
        <w:t>. Heslington, York: Centre for Housing Policy.</w:t>
      </w:r>
    </w:p>
    <w:p>
      <w:pPr>
        <w:pStyle w:val="BodyText"/>
        <w:spacing w:before="3"/>
      </w:pPr>
    </w:p>
    <w:p>
      <w:pPr>
        <w:spacing w:before="0"/>
        <w:ind w:left="120" w:right="0" w:firstLine="0"/>
        <w:jc w:val="left"/>
        <w:rPr>
          <w:sz w:val="24"/>
        </w:rPr>
      </w:pPr>
      <w:r>
        <w:rPr>
          <w:sz w:val="24"/>
        </w:rPr>
        <w:t>Altinyele,</w:t>
      </w:r>
      <w:r>
        <w:rPr>
          <w:spacing w:val="-2"/>
          <w:sz w:val="24"/>
        </w:rPr>
        <w:t> </w:t>
      </w:r>
      <w:r>
        <w:rPr>
          <w:sz w:val="24"/>
        </w:rPr>
        <w:t>T.A. (1980).</w:t>
      </w:r>
      <w:r>
        <w:rPr>
          <w:spacing w:val="-2"/>
          <w:sz w:val="24"/>
        </w:rPr>
        <w:t> </w:t>
      </w:r>
      <w:r>
        <w:rPr>
          <w:sz w:val="24"/>
        </w:rPr>
        <w:t>Government</w:t>
      </w:r>
      <w:r>
        <w:rPr>
          <w:spacing w:val="-1"/>
          <w:sz w:val="24"/>
        </w:rPr>
        <w:t> </w:t>
      </w:r>
      <w:r>
        <w:rPr>
          <w:sz w:val="24"/>
        </w:rPr>
        <w:t>budgeting. </w:t>
      </w:r>
      <w:r>
        <w:rPr>
          <w:i/>
          <w:sz w:val="24"/>
        </w:rPr>
        <w:t>The</w:t>
      </w:r>
      <w:r>
        <w:rPr>
          <w:i/>
          <w:spacing w:val="-2"/>
          <w:sz w:val="24"/>
        </w:rPr>
        <w:t> </w:t>
      </w:r>
      <w:r>
        <w:rPr>
          <w:i/>
          <w:sz w:val="24"/>
        </w:rPr>
        <w:t>Natural</w:t>
      </w:r>
      <w:r>
        <w:rPr>
          <w:i/>
          <w:spacing w:val="-2"/>
          <w:sz w:val="24"/>
        </w:rPr>
        <w:t> </w:t>
      </w:r>
      <w:r>
        <w:rPr>
          <w:i/>
          <w:sz w:val="24"/>
        </w:rPr>
        <w:t>Accountant, </w:t>
      </w:r>
      <w:r>
        <w:rPr>
          <w:sz w:val="24"/>
        </w:rPr>
        <w:t>6(2),</w:t>
      </w:r>
      <w:r>
        <w:rPr>
          <w:spacing w:val="-2"/>
          <w:sz w:val="24"/>
        </w:rPr>
        <w:t> </w:t>
      </w:r>
      <w:r>
        <w:rPr>
          <w:sz w:val="24"/>
        </w:rPr>
        <w:t>18</w:t>
      </w:r>
      <w:r>
        <w:rPr>
          <w:spacing w:val="-1"/>
          <w:sz w:val="24"/>
        </w:rPr>
        <w:t> </w:t>
      </w:r>
      <w:r>
        <w:rPr>
          <w:sz w:val="24"/>
        </w:rPr>
        <w:t>–</w:t>
      </w:r>
      <w:r>
        <w:rPr>
          <w:spacing w:val="-1"/>
          <w:sz w:val="24"/>
        </w:rPr>
        <w:t> </w:t>
      </w:r>
      <w:r>
        <w:rPr>
          <w:spacing w:val="-5"/>
          <w:sz w:val="24"/>
        </w:rPr>
        <w:t>22.</w:t>
      </w:r>
    </w:p>
    <w:p>
      <w:pPr>
        <w:pStyle w:val="BodyText"/>
        <w:spacing w:before="257"/>
        <w:ind w:left="571" w:right="1119" w:hanging="452"/>
        <w:jc w:val="both"/>
      </w:pPr>
      <w:r>
        <w:rPr/>
        <w:t>Aluko, B.T., &amp; Amidu, A.R. (2006).Urban low income settlements, land deregulation and sustainable development in Nigeria. Paper presented at the </w:t>
      </w:r>
      <w:r>
        <w:rPr>
          <w:i/>
        </w:rPr>
        <w:t>5th International Federation of Surveyors (FIG) </w:t>
      </w:r>
      <w:r>
        <w:rPr/>
        <w:t>Regional Conference Accra, Ghana, March , pp. 8-11.</w:t>
      </w:r>
    </w:p>
    <w:p>
      <w:pPr>
        <w:pStyle w:val="BodyText"/>
      </w:pPr>
    </w:p>
    <w:p>
      <w:pPr>
        <w:spacing w:before="0"/>
        <w:ind w:left="571" w:right="1117" w:hanging="452"/>
        <w:jc w:val="both"/>
        <w:rPr>
          <w:sz w:val="24"/>
        </w:rPr>
      </w:pPr>
      <w:r>
        <w:rPr>
          <w:sz w:val="24"/>
        </w:rPr>
        <w:t>Amakom, U. (2013). </w:t>
      </w:r>
      <w:r>
        <w:rPr>
          <w:i/>
          <w:sz w:val="24"/>
        </w:rPr>
        <w:t>Public policies, budgeting and spending in Anambra State: Analysis of performances in a decade (2003 – 2013). </w:t>
      </w:r>
      <w:r>
        <w:rPr>
          <w:sz w:val="24"/>
        </w:rPr>
        <w:t>Abuja, Nigeria: African Centre for Leadership, Strategy and Development (Centre LSD).</w:t>
      </w:r>
    </w:p>
    <w:p>
      <w:pPr>
        <w:spacing w:line="240" w:lineRule="auto" w:before="274"/>
        <w:ind w:left="571" w:right="1112" w:hanging="452"/>
        <w:jc w:val="both"/>
        <w:rPr>
          <w:sz w:val="24"/>
        </w:rPr>
      </w:pPr>
      <w:r>
        <w:rPr>
          <w:sz w:val="24"/>
        </w:rPr>
        <w:t>Amama, V. O., &amp; Anigbogu, N. A. (2007). An appraisal of private housing developers participation in housing provision: A case study of the FCT, Abuja</w:t>
      </w:r>
      <w:r>
        <w:rPr>
          <w:i/>
          <w:sz w:val="24"/>
        </w:rPr>
        <w:t>. Construction Focus- Journal of Construction Management and Engineering, 1</w:t>
      </w:r>
      <w:r>
        <w:rPr>
          <w:sz w:val="24"/>
        </w:rPr>
        <w:t>(2), 50- 58.</w:t>
      </w:r>
    </w:p>
    <w:p>
      <w:pPr>
        <w:pStyle w:val="BodyText"/>
        <w:spacing w:before="202"/>
        <w:ind w:left="571" w:right="1125" w:hanging="452"/>
        <w:jc w:val="both"/>
      </w:pPr>
      <w:r>
        <w:rPr/>
        <w:t>Amaratunga, D. Baldry, B., &amp; Sarchar, M. (2001). Process improvement through performance measurement: The balanced scorecard methodology. </w:t>
      </w:r>
      <w:r>
        <w:rPr>
          <w:i/>
        </w:rPr>
        <w:t>Facilities, </w:t>
      </w:r>
      <w:r>
        <w:rPr/>
        <w:t>50 (5), 179-189.</w:t>
      </w:r>
    </w:p>
    <w:p>
      <w:pPr>
        <w:pStyle w:val="BodyText"/>
      </w:pPr>
    </w:p>
    <w:p>
      <w:pPr>
        <w:spacing w:before="0"/>
        <w:ind w:left="571" w:right="1119" w:hanging="452"/>
        <w:jc w:val="both"/>
        <w:rPr>
          <w:sz w:val="24"/>
        </w:rPr>
      </w:pPr>
      <w:r>
        <w:rPr>
          <w:sz w:val="24"/>
        </w:rPr>
        <w:t>Anambra State Bureau of Statistics. (2015). </w:t>
      </w:r>
      <w:r>
        <w:rPr>
          <w:i/>
          <w:sz w:val="24"/>
        </w:rPr>
        <w:t>Economic blueprint of Anambra State</w:t>
      </w:r>
      <w:r>
        <w:rPr>
          <w:sz w:val="24"/>
        </w:rPr>
        <w:t>. Awka: Ministry of Economic Planning and Budget.</w:t>
      </w:r>
    </w:p>
    <w:p>
      <w:pPr>
        <w:spacing w:after="0"/>
        <w:jc w:val="both"/>
        <w:rPr>
          <w:sz w:val="24"/>
        </w:rPr>
        <w:sectPr>
          <w:pgSz w:w="12240" w:h="15840"/>
          <w:pgMar w:header="0" w:footer="1036" w:top="1360" w:bottom="1220" w:left="1320" w:right="320"/>
        </w:sectPr>
      </w:pPr>
    </w:p>
    <w:p>
      <w:pPr>
        <w:pStyle w:val="BodyText"/>
        <w:spacing w:before="72"/>
        <w:ind w:left="571" w:right="1125" w:hanging="452"/>
        <w:jc w:val="both"/>
      </w:pPr>
      <w:r>
        <w:rPr/>
        <w:t>Anambra State Bureau of Statistics (2015). Economic blueprint of Anambra State. Awka: Ministry of Economic Planning and Budget.</w:t>
      </w:r>
    </w:p>
    <w:p>
      <w:pPr>
        <w:pStyle w:val="BodyText"/>
      </w:pPr>
    </w:p>
    <w:p>
      <w:pPr>
        <w:spacing w:before="0"/>
        <w:ind w:left="566" w:right="1117" w:hanging="447"/>
        <w:jc w:val="both"/>
        <w:rPr>
          <w:sz w:val="24"/>
        </w:rPr>
      </w:pPr>
      <w:r>
        <w:rPr>
          <w:sz w:val="24"/>
        </w:rPr>
        <w:t>Anambra State</w:t>
      </w:r>
      <w:r>
        <w:rPr>
          <w:spacing w:val="40"/>
          <w:sz w:val="24"/>
        </w:rPr>
        <w:t> </w:t>
      </w:r>
      <w:r>
        <w:rPr>
          <w:sz w:val="24"/>
        </w:rPr>
        <w:t>Government. (2009a).</w:t>
      </w:r>
      <w:r>
        <w:rPr>
          <w:spacing w:val="40"/>
          <w:sz w:val="24"/>
        </w:rPr>
        <w:t> </w:t>
      </w:r>
      <w:r>
        <w:rPr>
          <w:i/>
          <w:sz w:val="24"/>
        </w:rPr>
        <w:t>Anambra state economic empowerment and development strategy (SEEDS) document- First draft for comments and suggestions. </w:t>
      </w:r>
      <w:r>
        <w:rPr>
          <w:sz w:val="24"/>
        </w:rPr>
        <w:t>Awka: Anambra State Government Printer.</w:t>
      </w:r>
    </w:p>
    <w:p>
      <w:pPr>
        <w:pStyle w:val="BodyText"/>
      </w:pPr>
    </w:p>
    <w:p>
      <w:pPr>
        <w:pStyle w:val="BodyText"/>
        <w:ind w:left="566" w:right="1118" w:hanging="447"/>
        <w:jc w:val="both"/>
      </w:pPr>
      <w:r>
        <w:rPr/>
        <w:t>Anambra State Government. (2009b).Anambra State First Implementation Plan for Vision 20:2020 Awka: Anambra State Government Printer.</w:t>
      </w:r>
    </w:p>
    <w:p>
      <w:pPr>
        <w:pStyle w:val="BodyText"/>
      </w:pPr>
    </w:p>
    <w:p>
      <w:pPr>
        <w:pStyle w:val="BodyText"/>
        <w:ind w:left="120"/>
      </w:pPr>
      <w:r>
        <w:rPr/>
        <w:t>Andrews,</w:t>
      </w:r>
      <w:r>
        <w:rPr>
          <w:spacing w:val="25"/>
        </w:rPr>
        <w:t> </w:t>
      </w:r>
      <w:r>
        <w:rPr/>
        <w:t>M.</w:t>
      </w:r>
      <w:r>
        <w:rPr>
          <w:spacing w:val="27"/>
        </w:rPr>
        <w:t> </w:t>
      </w:r>
      <w:r>
        <w:rPr/>
        <w:t>(2004).</w:t>
      </w:r>
      <w:r>
        <w:rPr>
          <w:spacing w:val="27"/>
        </w:rPr>
        <w:t> </w:t>
      </w:r>
      <w:r>
        <w:rPr/>
        <w:t>Authority,</w:t>
      </w:r>
      <w:r>
        <w:rPr>
          <w:spacing w:val="27"/>
        </w:rPr>
        <w:t> </w:t>
      </w:r>
      <w:r>
        <w:rPr/>
        <w:t>acceptance,</w:t>
      </w:r>
      <w:r>
        <w:rPr>
          <w:spacing w:val="27"/>
        </w:rPr>
        <w:t> </w:t>
      </w:r>
      <w:r>
        <w:rPr/>
        <w:t>ability</w:t>
      </w:r>
      <w:r>
        <w:rPr>
          <w:spacing w:val="20"/>
        </w:rPr>
        <w:t> </w:t>
      </w:r>
      <w:r>
        <w:rPr/>
        <w:t>and</w:t>
      </w:r>
      <w:r>
        <w:rPr>
          <w:spacing w:val="27"/>
        </w:rPr>
        <w:t> </w:t>
      </w:r>
      <w:r>
        <w:rPr/>
        <w:t>performance-based</w:t>
      </w:r>
      <w:r>
        <w:rPr>
          <w:spacing w:val="27"/>
        </w:rPr>
        <w:t> </w:t>
      </w:r>
      <w:r>
        <w:rPr/>
        <w:t>budgeting</w:t>
      </w:r>
      <w:r>
        <w:rPr>
          <w:spacing w:val="26"/>
        </w:rPr>
        <w:t> </w:t>
      </w:r>
      <w:r>
        <w:rPr>
          <w:spacing w:val="-2"/>
        </w:rPr>
        <w:t>reforms.</w:t>
      </w:r>
    </w:p>
    <w:p>
      <w:pPr>
        <w:spacing w:before="0"/>
        <w:ind w:left="571" w:right="0" w:firstLine="0"/>
        <w:jc w:val="left"/>
        <w:rPr>
          <w:sz w:val="24"/>
        </w:rPr>
      </w:pPr>
      <w:r>
        <w:rPr>
          <w:i/>
          <w:sz w:val="24"/>
        </w:rPr>
        <w:t>International</w:t>
      </w:r>
      <w:r>
        <w:rPr>
          <w:i/>
          <w:spacing w:val="-1"/>
          <w:sz w:val="24"/>
        </w:rPr>
        <w:t> </w:t>
      </w:r>
      <w:r>
        <w:rPr>
          <w:i/>
          <w:sz w:val="24"/>
        </w:rPr>
        <w:t>Journal</w:t>
      </w:r>
      <w:r>
        <w:rPr>
          <w:i/>
          <w:spacing w:val="-1"/>
          <w:sz w:val="24"/>
        </w:rPr>
        <w:t> </w:t>
      </w:r>
      <w:r>
        <w:rPr>
          <w:i/>
          <w:sz w:val="24"/>
        </w:rPr>
        <w:t>of</w:t>
      </w:r>
      <w:r>
        <w:rPr>
          <w:i/>
          <w:spacing w:val="-1"/>
          <w:sz w:val="24"/>
        </w:rPr>
        <w:t> </w:t>
      </w:r>
      <w:r>
        <w:rPr>
          <w:i/>
          <w:sz w:val="24"/>
        </w:rPr>
        <w:t>Public</w:t>
      </w:r>
      <w:r>
        <w:rPr>
          <w:i/>
          <w:spacing w:val="-1"/>
          <w:sz w:val="24"/>
        </w:rPr>
        <w:t> </w:t>
      </w:r>
      <w:r>
        <w:rPr>
          <w:i/>
          <w:sz w:val="24"/>
        </w:rPr>
        <w:t>Sector</w:t>
      </w:r>
      <w:r>
        <w:rPr>
          <w:i/>
          <w:spacing w:val="-1"/>
          <w:sz w:val="24"/>
        </w:rPr>
        <w:t> </w:t>
      </w:r>
      <w:r>
        <w:rPr>
          <w:i/>
          <w:sz w:val="24"/>
        </w:rPr>
        <w:t>Management</w:t>
      </w:r>
      <w:r>
        <w:rPr>
          <w:sz w:val="24"/>
        </w:rPr>
        <w:t>,</w:t>
      </w:r>
      <w:r>
        <w:rPr>
          <w:spacing w:val="-1"/>
          <w:sz w:val="24"/>
        </w:rPr>
        <w:t> </w:t>
      </w:r>
      <w:r>
        <w:rPr>
          <w:sz w:val="24"/>
        </w:rPr>
        <w:t>17(4), 332-</w:t>
      </w:r>
      <w:r>
        <w:rPr>
          <w:spacing w:val="-4"/>
          <w:sz w:val="24"/>
        </w:rPr>
        <w:t>344.</w:t>
      </w:r>
    </w:p>
    <w:p>
      <w:pPr>
        <w:pStyle w:val="BodyText"/>
        <w:spacing w:before="3"/>
      </w:pPr>
    </w:p>
    <w:p>
      <w:pPr>
        <w:spacing w:line="276" w:lineRule="auto" w:before="0"/>
        <w:ind w:left="571" w:right="1119" w:hanging="452"/>
        <w:jc w:val="both"/>
        <w:rPr>
          <w:sz w:val="24"/>
        </w:rPr>
      </w:pPr>
      <w:r>
        <w:rPr>
          <w:sz w:val="24"/>
        </w:rPr>
        <w:t>Ani, W. (1999). </w:t>
      </w:r>
      <w:r>
        <w:rPr>
          <w:i/>
          <w:sz w:val="24"/>
        </w:rPr>
        <w:t>Government and public sector accounting: A professional approach</w:t>
      </w:r>
      <w:r>
        <w:rPr>
          <w:sz w:val="24"/>
        </w:rPr>
        <w:t>. Enugu: Immaculate Publishers.</w:t>
      </w:r>
    </w:p>
    <w:p>
      <w:pPr>
        <w:spacing w:before="198"/>
        <w:ind w:left="571" w:right="1115" w:hanging="452"/>
        <w:jc w:val="both"/>
        <w:rPr>
          <w:sz w:val="24"/>
        </w:rPr>
      </w:pPr>
      <w:r>
        <w:rPr>
          <w:sz w:val="24"/>
        </w:rPr>
        <w:t>Anokam, E. (2016). </w:t>
      </w:r>
      <w:r>
        <w:rPr>
          <w:i/>
          <w:sz w:val="24"/>
        </w:rPr>
        <w:t>Providing housing for low-income earners - The Millard Fuller Foundation example</w:t>
      </w:r>
      <w:r>
        <w:rPr>
          <w:sz w:val="24"/>
        </w:rPr>
        <w:t>. Retrieved from </w:t>
      </w:r>
      <w:hyperlink r:id="rId219">
        <w:r>
          <w:rPr>
            <w:sz w:val="24"/>
          </w:rPr>
          <w:t>http://www.guardian.ng/news/providing-housing-for-low-income-</w:t>
        </w:r>
      </w:hyperlink>
      <w:r>
        <w:rPr>
          <w:sz w:val="24"/>
        </w:rPr>
        <w:t> </w:t>
      </w:r>
      <w:r>
        <w:rPr>
          <w:spacing w:val="-2"/>
          <w:sz w:val="24"/>
        </w:rPr>
        <w:t>earners-the-millard-fuller-foundation-example/</w:t>
      </w:r>
    </w:p>
    <w:p>
      <w:pPr>
        <w:pStyle w:val="BodyText"/>
      </w:pPr>
    </w:p>
    <w:p>
      <w:pPr>
        <w:spacing w:before="0"/>
        <w:ind w:left="571" w:right="1117" w:hanging="452"/>
        <w:jc w:val="both"/>
        <w:rPr>
          <w:sz w:val="24"/>
        </w:rPr>
      </w:pPr>
      <w:r>
        <w:rPr>
          <w:sz w:val="24"/>
        </w:rPr>
        <w:t>Anugwom, E. E. (2005). </w:t>
      </w:r>
      <w:r>
        <w:rPr>
          <w:i/>
          <w:sz w:val="24"/>
        </w:rPr>
        <w:t>Privatization of workers housing provision: The national housing fund scheme in Nigeria</w:t>
      </w:r>
      <w:r>
        <w:rPr>
          <w:sz w:val="24"/>
        </w:rPr>
        <w:t>. Abuja: African training and research centre in administration for </w:t>
      </w:r>
      <w:r>
        <w:rPr>
          <w:spacing w:val="-2"/>
          <w:sz w:val="24"/>
        </w:rPr>
        <w:t>development.</w:t>
      </w:r>
    </w:p>
    <w:p>
      <w:pPr>
        <w:pStyle w:val="BodyText"/>
      </w:pPr>
    </w:p>
    <w:p>
      <w:pPr>
        <w:spacing w:before="1"/>
        <w:ind w:left="571" w:right="1118" w:hanging="452"/>
        <w:jc w:val="both"/>
        <w:rPr>
          <w:sz w:val="24"/>
        </w:rPr>
      </w:pPr>
      <w:r>
        <w:rPr>
          <w:sz w:val="24"/>
        </w:rPr>
        <w:t>Anyadike,</w:t>
      </w:r>
      <w:r>
        <w:rPr>
          <w:spacing w:val="40"/>
          <w:sz w:val="24"/>
        </w:rPr>
        <w:t> </w:t>
      </w:r>
      <w:r>
        <w:rPr>
          <w:sz w:val="24"/>
        </w:rPr>
        <w:t>A.N.C. (2009). </w:t>
      </w:r>
      <w:r>
        <w:rPr>
          <w:i/>
          <w:sz w:val="24"/>
        </w:rPr>
        <w:t>Statistical methods for social and environmental sciences</w:t>
      </w:r>
      <w:r>
        <w:rPr>
          <w:sz w:val="24"/>
        </w:rPr>
        <w:t>. Ibadan, Nigeria: Spectrum Books Limited.</w:t>
      </w:r>
    </w:p>
    <w:p>
      <w:pPr>
        <w:pStyle w:val="BodyText"/>
        <w:spacing w:before="31"/>
      </w:pPr>
    </w:p>
    <w:p>
      <w:pPr>
        <w:spacing w:before="0"/>
        <w:ind w:left="120" w:right="0" w:firstLine="0"/>
        <w:jc w:val="left"/>
        <w:rPr>
          <w:sz w:val="24"/>
        </w:rPr>
      </w:pPr>
      <w:r>
        <w:rPr>
          <w:sz w:val="24"/>
        </w:rPr>
        <w:t>Anyadike,</w:t>
      </w:r>
      <w:r>
        <w:rPr>
          <w:spacing w:val="2"/>
          <w:sz w:val="24"/>
        </w:rPr>
        <w:t> </w:t>
      </w:r>
      <w:r>
        <w:rPr>
          <w:sz w:val="24"/>
        </w:rPr>
        <w:t>E.</w:t>
      </w:r>
      <w:r>
        <w:rPr>
          <w:spacing w:val="4"/>
          <w:sz w:val="24"/>
        </w:rPr>
        <w:t> </w:t>
      </w:r>
      <w:r>
        <w:rPr>
          <w:sz w:val="24"/>
        </w:rPr>
        <w:t>(2002a).</w:t>
      </w:r>
      <w:r>
        <w:rPr>
          <w:spacing w:val="4"/>
          <w:sz w:val="24"/>
        </w:rPr>
        <w:t> </w:t>
      </w:r>
      <w:r>
        <w:rPr>
          <w:i/>
          <w:sz w:val="24"/>
        </w:rPr>
        <w:t>The</w:t>
      </w:r>
      <w:r>
        <w:rPr>
          <w:i/>
          <w:spacing w:val="3"/>
          <w:sz w:val="24"/>
        </w:rPr>
        <w:t> </w:t>
      </w:r>
      <w:r>
        <w:rPr>
          <w:i/>
          <w:sz w:val="24"/>
        </w:rPr>
        <w:t>Quantity</w:t>
      </w:r>
      <w:r>
        <w:rPr>
          <w:i/>
          <w:spacing w:val="3"/>
          <w:sz w:val="24"/>
        </w:rPr>
        <w:t> </w:t>
      </w:r>
      <w:r>
        <w:rPr>
          <w:i/>
          <w:sz w:val="24"/>
        </w:rPr>
        <w:t>Surveyor</w:t>
      </w:r>
      <w:r>
        <w:rPr>
          <w:i/>
          <w:spacing w:val="4"/>
          <w:sz w:val="24"/>
        </w:rPr>
        <w:t> </w:t>
      </w:r>
      <w:r>
        <w:rPr>
          <w:i/>
          <w:sz w:val="24"/>
        </w:rPr>
        <w:t>and</w:t>
      </w:r>
      <w:r>
        <w:rPr>
          <w:i/>
          <w:spacing w:val="6"/>
          <w:sz w:val="24"/>
        </w:rPr>
        <w:t> </w:t>
      </w:r>
      <w:r>
        <w:rPr>
          <w:i/>
          <w:sz w:val="24"/>
        </w:rPr>
        <w:t>housing</w:t>
      </w:r>
      <w:r>
        <w:rPr>
          <w:i/>
          <w:spacing w:val="4"/>
          <w:sz w:val="24"/>
        </w:rPr>
        <w:t> </w:t>
      </w:r>
      <w:r>
        <w:rPr>
          <w:i/>
          <w:sz w:val="24"/>
        </w:rPr>
        <w:t>development</w:t>
      </w:r>
      <w:r>
        <w:rPr>
          <w:sz w:val="24"/>
        </w:rPr>
        <w:t>.</w:t>
      </w:r>
      <w:r>
        <w:rPr>
          <w:spacing w:val="4"/>
          <w:sz w:val="24"/>
        </w:rPr>
        <w:t> </w:t>
      </w:r>
      <w:r>
        <w:rPr>
          <w:sz w:val="24"/>
        </w:rPr>
        <w:t>Workshop</w:t>
      </w:r>
      <w:r>
        <w:rPr>
          <w:spacing w:val="4"/>
          <w:sz w:val="24"/>
        </w:rPr>
        <w:t> </w:t>
      </w:r>
      <w:r>
        <w:rPr>
          <w:sz w:val="24"/>
        </w:rPr>
        <w:t>of</w:t>
      </w:r>
      <w:r>
        <w:rPr>
          <w:spacing w:val="3"/>
          <w:sz w:val="24"/>
        </w:rPr>
        <w:t> </w:t>
      </w:r>
      <w:r>
        <w:rPr>
          <w:sz w:val="24"/>
        </w:rPr>
        <w:t>the</w:t>
      </w:r>
      <w:r>
        <w:rPr>
          <w:spacing w:val="6"/>
          <w:sz w:val="24"/>
        </w:rPr>
        <w:t> </w:t>
      </w:r>
      <w:r>
        <w:rPr>
          <w:spacing w:val="-2"/>
          <w:sz w:val="24"/>
        </w:rPr>
        <w:t>NIQS.</w:t>
      </w:r>
    </w:p>
    <w:p>
      <w:pPr>
        <w:pStyle w:val="BodyText"/>
        <w:ind w:left="571"/>
      </w:pPr>
      <w:r>
        <w:rPr/>
        <w:t>23</w:t>
      </w:r>
      <w:r>
        <w:rPr>
          <w:spacing w:val="-3"/>
        </w:rPr>
        <w:t> </w:t>
      </w:r>
      <w:r>
        <w:rPr/>
        <w:t>-</w:t>
      </w:r>
      <w:r>
        <w:rPr>
          <w:spacing w:val="-1"/>
        </w:rPr>
        <w:t> </w:t>
      </w:r>
      <w:r>
        <w:rPr/>
        <w:t>24 </w:t>
      </w:r>
      <w:r>
        <w:rPr>
          <w:spacing w:val="-2"/>
        </w:rPr>
        <w:t>July.</w:t>
      </w:r>
    </w:p>
    <w:p>
      <w:pPr>
        <w:pStyle w:val="BodyText"/>
        <w:spacing w:before="10"/>
      </w:pPr>
    </w:p>
    <w:p>
      <w:pPr>
        <w:spacing w:before="0"/>
        <w:ind w:left="571" w:right="1114" w:hanging="452"/>
        <w:jc w:val="both"/>
        <w:rPr>
          <w:sz w:val="24"/>
        </w:rPr>
      </w:pPr>
      <w:r>
        <w:rPr>
          <w:sz w:val="24"/>
        </w:rPr>
        <w:t>Anyadike, E. (2002b). Towards an elegant model for efficient allocation of resources. </w:t>
      </w:r>
      <w:r>
        <w:rPr>
          <w:i/>
          <w:sz w:val="24"/>
        </w:rPr>
        <w:t>A paper presented at the 20th biennial conference of the Nigerian Institute of Quantity Surveyors on building the blocks of national development, challenges, conflicts and prospects</w:t>
      </w:r>
      <w:r>
        <w:rPr>
          <w:sz w:val="24"/>
        </w:rPr>
        <w:t>. October 30- Nov. 2. Oba Akenzua cultural complex. Benin City. P 6.</w:t>
      </w:r>
    </w:p>
    <w:p>
      <w:pPr>
        <w:pStyle w:val="BodyText"/>
        <w:spacing w:before="57"/>
      </w:pPr>
    </w:p>
    <w:p>
      <w:pPr>
        <w:spacing w:before="1"/>
        <w:ind w:left="120" w:right="0" w:firstLine="0"/>
        <w:jc w:val="left"/>
        <w:rPr>
          <w:sz w:val="24"/>
        </w:rPr>
      </w:pPr>
      <w:r>
        <w:rPr>
          <w:sz w:val="24"/>
        </w:rPr>
        <w:t>Arah,</w:t>
      </w:r>
      <w:r>
        <w:rPr>
          <w:spacing w:val="51"/>
          <w:w w:val="150"/>
          <w:sz w:val="24"/>
        </w:rPr>
        <w:t> </w:t>
      </w:r>
      <w:r>
        <w:rPr>
          <w:sz w:val="24"/>
        </w:rPr>
        <w:t>G.O.</w:t>
      </w:r>
      <w:r>
        <w:rPr>
          <w:spacing w:val="52"/>
          <w:w w:val="150"/>
          <w:sz w:val="24"/>
        </w:rPr>
        <w:t> </w:t>
      </w:r>
      <w:r>
        <w:rPr>
          <w:sz w:val="24"/>
        </w:rPr>
        <w:t>(2002).</w:t>
      </w:r>
      <w:r>
        <w:rPr>
          <w:spacing w:val="52"/>
          <w:w w:val="150"/>
          <w:sz w:val="24"/>
        </w:rPr>
        <w:t> </w:t>
      </w:r>
      <w:r>
        <w:rPr>
          <w:i/>
          <w:sz w:val="24"/>
        </w:rPr>
        <w:t>The</w:t>
      </w:r>
      <w:r>
        <w:rPr>
          <w:i/>
          <w:spacing w:val="51"/>
          <w:w w:val="150"/>
          <w:sz w:val="24"/>
        </w:rPr>
        <w:t> </w:t>
      </w:r>
      <w:r>
        <w:rPr>
          <w:i/>
          <w:sz w:val="24"/>
        </w:rPr>
        <w:t>role</w:t>
      </w:r>
      <w:r>
        <w:rPr>
          <w:i/>
          <w:spacing w:val="52"/>
          <w:w w:val="150"/>
          <w:sz w:val="24"/>
        </w:rPr>
        <w:t> </w:t>
      </w:r>
      <w:r>
        <w:rPr>
          <w:i/>
          <w:sz w:val="24"/>
        </w:rPr>
        <w:t>of</w:t>
      </w:r>
      <w:r>
        <w:rPr>
          <w:i/>
          <w:spacing w:val="53"/>
          <w:w w:val="150"/>
          <w:sz w:val="24"/>
        </w:rPr>
        <w:t> </w:t>
      </w:r>
      <w:r>
        <w:rPr>
          <w:i/>
          <w:sz w:val="24"/>
        </w:rPr>
        <w:t>Quantity</w:t>
      </w:r>
      <w:r>
        <w:rPr>
          <w:i/>
          <w:spacing w:val="52"/>
          <w:w w:val="150"/>
          <w:sz w:val="24"/>
        </w:rPr>
        <w:t> </w:t>
      </w:r>
      <w:r>
        <w:rPr>
          <w:i/>
          <w:sz w:val="24"/>
        </w:rPr>
        <w:t>Surveying</w:t>
      </w:r>
      <w:r>
        <w:rPr>
          <w:i/>
          <w:spacing w:val="53"/>
          <w:w w:val="150"/>
          <w:sz w:val="24"/>
        </w:rPr>
        <w:t> </w:t>
      </w:r>
      <w:r>
        <w:rPr>
          <w:i/>
          <w:sz w:val="24"/>
        </w:rPr>
        <w:t>in</w:t>
      </w:r>
      <w:r>
        <w:rPr>
          <w:i/>
          <w:spacing w:val="53"/>
          <w:w w:val="150"/>
          <w:sz w:val="24"/>
        </w:rPr>
        <w:t> </w:t>
      </w:r>
      <w:r>
        <w:rPr>
          <w:i/>
          <w:sz w:val="24"/>
        </w:rPr>
        <w:t>Housing</w:t>
      </w:r>
      <w:r>
        <w:rPr>
          <w:i/>
          <w:spacing w:val="53"/>
          <w:w w:val="150"/>
          <w:sz w:val="24"/>
        </w:rPr>
        <w:t> </w:t>
      </w:r>
      <w:r>
        <w:rPr>
          <w:i/>
          <w:sz w:val="24"/>
        </w:rPr>
        <w:t>and</w:t>
      </w:r>
      <w:r>
        <w:rPr>
          <w:i/>
          <w:spacing w:val="50"/>
          <w:w w:val="150"/>
          <w:sz w:val="24"/>
        </w:rPr>
        <w:t> </w:t>
      </w:r>
      <w:r>
        <w:rPr>
          <w:i/>
          <w:sz w:val="24"/>
        </w:rPr>
        <w:t>urban</w:t>
      </w:r>
      <w:r>
        <w:rPr>
          <w:i/>
          <w:spacing w:val="53"/>
          <w:w w:val="150"/>
          <w:sz w:val="24"/>
        </w:rPr>
        <w:t> </w:t>
      </w:r>
      <w:r>
        <w:rPr>
          <w:i/>
          <w:spacing w:val="-2"/>
          <w:sz w:val="24"/>
        </w:rPr>
        <w:t>development</w:t>
      </w:r>
      <w:r>
        <w:rPr>
          <w:spacing w:val="-2"/>
          <w:sz w:val="24"/>
        </w:rPr>
        <w:t>.</w:t>
      </w:r>
    </w:p>
    <w:p>
      <w:pPr>
        <w:pStyle w:val="BodyText"/>
        <w:ind w:left="571"/>
      </w:pPr>
      <w:r>
        <w:rPr/>
        <w:t>Workshop</w:t>
      </w:r>
      <w:r>
        <w:rPr>
          <w:spacing w:val="-1"/>
        </w:rPr>
        <w:t> </w:t>
      </w:r>
      <w:r>
        <w:rPr/>
        <w:t>of</w:t>
      </w:r>
      <w:r>
        <w:rPr>
          <w:spacing w:val="-1"/>
        </w:rPr>
        <w:t> </w:t>
      </w:r>
      <w:r>
        <w:rPr/>
        <w:t>the</w:t>
      </w:r>
      <w:r>
        <w:rPr>
          <w:spacing w:val="-1"/>
        </w:rPr>
        <w:t> </w:t>
      </w:r>
      <w:r>
        <w:rPr/>
        <w:t>NIQS.</w:t>
      </w:r>
      <w:r>
        <w:rPr>
          <w:spacing w:val="-1"/>
        </w:rPr>
        <w:t> </w:t>
      </w:r>
      <w:r>
        <w:rPr/>
        <w:t>4th </w:t>
      </w:r>
      <w:r>
        <w:rPr>
          <w:spacing w:val="-2"/>
        </w:rPr>
        <w:t>April.</w:t>
      </w:r>
    </w:p>
    <w:p>
      <w:pPr>
        <w:pStyle w:val="BodyText"/>
        <w:spacing w:before="31"/>
      </w:pPr>
    </w:p>
    <w:p>
      <w:pPr>
        <w:pStyle w:val="BodyText"/>
        <w:spacing w:before="1"/>
        <w:ind w:left="571" w:right="1117" w:hanging="452"/>
        <w:jc w:val="both"/>
      </w:pPr>
      <w:r>
        <w:rPr/>
        <w:t>Aribigbola, A. (2008). Housing policy formulation in developing countries: Evidences of programme implementation from Akure, Ondo State, Nigeria. </w:t>
      </w:r>
      <w:r>
        <w:rPr>
          <w:i/>
        </w:rPr>
        <w:t>Journal of Human Ecology, </w:t>
      </w:r>
      <w:r>
        <w:rPr>
          <w:spacing w:val="-2"/>
        </w:rPr>
        <w:t>23(2),125-134.</w:t>
      </w:r>
    </w:p>
    <w:p>
      <w:pPr>
        <w:spacing w:before="276"/>
        <w:ind w:left="571" w:right="1113" w:hanging="452"/>
        <w:jc w:val="both"/>
        <w:rPr>
          <w:sz w:val="24"/>
        </w:rPr>
      </w:pPr>
      <w:r>
        <w:rPr>
          <w:sz w:val="24"/>
        </w:rPr>
        <w:t>Arimah, B. C. (1999). Housing policy outcomes in global perspective: An application of discriminant analysis. </w:t>
      </w:r>
      <w:r>
        <w:rPr>
          <w:i/>
          <w:sz w:val="24"/>
        </w:rPr>
        <w:t>Netherlands Journal of Housing and the Built Environment</w:t>
      </w:r>
      <w:r>
        <w:rPr>
          <w:sz w:val="24"/>
        </w:rPr>
        <w:t>, 12,257– </w:t>
      </w:r>
      <w:r>
        <w:rPr>
          <w:spacing w:val="-4"/>
          <w:sz w:val="24"/>
        </w:rPr>
        <w:t>280.</w:t>
      </w:r>
    </w:p>
    <w:p>
      <w:pPr>
        <w:spacing w:after="0"/>
        <w:jc w:val="both"/>
        <w:rPr>
          <w:sz w:val="24"/>
        </w:rPr>
        <w:sectPr>
          <w:pgSz w:w="12240" w:h="15840"/>
          <w:pgMar w:header="0" w:footer="1036" w:top="1360" w:bottom="1220" w:left="1320" w:right="320"/>
        </w:sectPr>
      </w:pPr>
    </w:p>
    <w:p>
      <w:pPr>
        <w:spacing w:before="72"/>
        <w:ind w:left="571" w:right="1120" w:hanging="452"/>
        <w:jc w:val="both"/>
        <w:rPr>
          <w:sz w:val="24"/>
        </w:rPr>
      </w:pPr>
      <w:r>
        <w:rPr>
          <w:sz w:val="24"/>
        </w:rPr>
        <w:t>Arnstein, S.R. (1969). A ladder of citizen participation. </w:t>
      </w:r>
      <w:r>
        <w:rPr>
          <w:i/>
          <w:sz w:val="24"/>
        </w:rPr>
        <w:t>Journal of the American Institute of Planners</w:t>
      </w:r>
      <w:r>
        <w:rPr>
          <w:sz w:val="24"/>
        </w:rPr>
        <w:t>, 35(3), 216-224.</w:t>
      </w:r>
    </w:p>
    <w:p>
      <w:pPr>
        <w:pStyle w:val="BodyText"/>
        <w:spacing w:before="41"/>
      </w:pPr>
    </w:p>
    <w:p>
      <w:pPr>
        <w:spacing w:before="0"/>
        <w:ind w:left="571" w:right="1115" w:hanging="452"/>
        <w:jc w:val="both"/>
        <w:rPr>
          <w:sz w:val="24"/>
        </w:rPr>
      </w:pPr>
      <w:r>
        <w:rPr>
          <w:sz w:val="24"/>
        </w:rPr>
        <w:t>Aruwa, S A. (2004). Nigerian budgeting process and the magnitude of budget variances. </w:t>
      </w:r>
      <w:r>
        <w:rPr>
          <w:i/>
          <w:sz w:val="24"/>
        </w:rPr>
        <w:t>The Academy Journal of Defence Studies, </w:t>
      </w:r>
      <w:r>
        <w:rPr>
          <w:sz w:val="24"/>
        </w:rPr>
        <w:t>13(3), 12-35.</w:t>
      </w:r>
    </w:p>
    <w:p>
      <w:pPr>
        <w:pStyle w:val="BodyText"/>
      </w:pPr>
    </w:p>
    <w:p>
      <w:pPr>
        <w:spacing w:before="0"/>
        <w:ind w:left="571" w:right="1118" w:hanging="452"/>
        <w:jc w:val="both"/>
        <w:rPr>
          <w:sz w:val="24"/>
        </w:rPr>
      </w:pPr>
      <w:r>
        <w:rPr>
          <w:sz w:val="24"/>
        </w:rPr>
        <w:t>Asmild, M., Paradi, J.C., Reese, D.N., &amp; Tam, F. (2007). Measuring overall efficiency and effectiveness. </w:t>
      </w:r>
      <w:r>
        <w:rPr>
          <w:i/>
          <w:sz w:val="24"/>
        </w:rPr>
        <w:t>European Journal of Operations Research</w:t>
      </w:r>
      <w:r>
        <w:rPr>
          <w:sz w:val="24"/>
        </w:rPr>
        <w:t>, 178 (1), 305- 321.</w:t>
      </w:r>
    </w:p>
    <w:p>
      <w:pPr>
        <w:pStyle w:val="BodyText"/>
      </w:pPr>
    </w:p>
    <w:p>
      <w:pPr>
        <w:pStyle w:val="BodyText"/>
        <w:ind w:left="571" w:right="1126" w:hanging="452"/>
        <w:jc w:val="both"/>
      </w:pPr>
      <w:r>
        <w:rPr/>
        <w:t>Atkinson, A. A., Waterhouse, J.H., &amp; Wells, R.B.(1997). A stakeholder approach to strategic performance measurement. </w:t>
      </w:r>
      <w:r>
        <w:rPr>
          <w:i/>
        </w:rPr>
        <w:t>Sloan Management Review </w:t>
      </w:r>
      <w:r>
        <w:rPr/>
        <w:t>Spring, 3, 25-37.</w:t>
      </w:r>
    </w:p>
    <w:p>
      <w:pPr>
        <w:pStyle w:val="BodyText"/>
      </w:pPr>
    </w:p>
    <w:p>
      <w:pPr>
        <w:pStyle w:val="BodyText"/>
        <w:ind w:left="571" w:right="1114" w:hanging="452"/>
        <w:jc w:val="both"/>
      </w:pPr>
      <w:r>
        <w:rPr/>
        <w:t>Atolagbe, A. M. O. (1997). Affordable shelter for the urban low-income classes in Nigeria:</w:t>
      </w:r>
      <w:r>
        <w:rPr>
          <w:spacing w:val="80"/>
        </w:rPr>
        <w:t> </w:t>
      </w:r>
      <w:r>
        <w:rPr/>
        <w:t>Local</w:t>
      </w:r>
      <w:r>
        <w:rPr>
          <w:spacing w:val="-3"/>
        </w:rPr>
        <w:t> </w:t>
      </w:r>
      <w:r>
        <w:rPr/>
        <w:t>resources</w:t>
      </w:r>
      <w:r>
        <w:rPr>
          <w:spacing w:val="-3"/>
        </w:rPr>
        <w:t> </w:t>
      </w:r>
      <w:r>
        <w:rPr/>
        <w:t>strategies.</w:t>
      </w:r>
      <w:r>
        <w:rPr>
          <w:spacing w:val="-1"/>
        </w:rPr>
        <w:t> </w:t>
      </w:r>
      <w:r>
        <w:rPr/>
        <w:t>In</w:t>
      </w:r>
      <w:r>
        <w:rPr>
          <w:spacing w:val="-1"/>
        </w:rPr>
        <w:t> </w:t>
      </w:r>
      <w:r>
        <w:rPr/>
        <w:t>B.</w:t>
      </w:r>
      <w:r>
        <w:rPr>
          <w:spacing w:val="-1"/>
        </w:rPr>
        <w:t> </w:t>
      </w:r>
      <w:r>
        <w:rPr/>
        <w:t>Amole</w:t>
      </w:r>
      <w:r>
        <w:rPr>
          <w:spacing w:val="-3"/>
        </w:rPr>
        <w:t> </w:t>
      </w:r>
      <w:r>
        <w:rPr/>
        <w:t>(Ed.),</w:t>
      </w:r>
      <w:r>
        <w:rPr>
          <w:i/>
        </w:rPr>
        <w:t>The</w:t>
      </w:r>
      <w:r>
        <w:rPr>
          <w:i/>
          <w:spacing w:val="-2"/>
        </w:rPr>
        <w:t> </w:t>
      </w:r>
      <w:r>
        <w:rPr>
          <w:i/>
        </w:rPr>
        <w:t>House</w:t>
      </w:r>
      <w:r>
        <w:rPr>
          <w:i/>
          <w:spacing w:val="-5"/>
        </w:rPr>
        <w:t> </w:t>
      </w:r>
      <w:r>
        <w:rPr>
          <w:i/>
        </w:rPr>
        <w:t>in</w:t>
      </w:r>
      <w:r>
        <w:rPr>
          <w:i/>
          <w:spacing w:val="-3"/>
        </w:rPr>
        <w:t> </w:t>
      </w:r>
      <w:r>
        <w:rPr>
          <w:i/>
        </w:rPr>
        <w:t>Nigeria</w:t>
      </w:r>
      <w:r>
        <w:rPr>
          <w:i/>
          <w:spacing w:val="-3"/>
        </w:rPr>
        <w:t> </w:t>
      </w:r>
      <w:r>
        <w:rPr>
          <w:i/>
        </w:rPr>
        <w:t>Conference</w:t>
      </w:r>
      <w:r>
        <w:rPr>
          <w:i/>
          <w:spacing w:val="-2"/>
        </w:rPr>
        <w:t> </w:t>
      </w:r>
      <w:r>
        <w:rPr>
          <w:i/>
        </w:rPr>
        <w:t>Proceedings </w:t>
      </w:r>
      <w:r>
        <w:rPr/>
        <w:t>(pp.23 – 24). Osun: Obafemi Awolowo University (O.A.U.) Ile-Ife.</w:t>
      </w:r>
    </w:p>
    <w:p>
      <w:pPr>
        <w:pStyle w:val="BodyText"/>
        <w:spacing w:before="1"/>
      </w:pPr>
    </w:p>
    <w:p>
      <w:pPr>
        <w:spacing w:before="0"/>
        <w:ind w:left="571" w:right="1118" w:hanging="452"/>
        <w:jc w:val="both"/>
        <w:rPr>
          <w:sz w:val="24"/>
        </w:rPr>
      </w:pPr>
      <w:r>
        <w:rPr>
          <w:sz w:val="24"/>
        </w:rPr>
        <w:t>Austin, L.A., &amp; Cheek, M. L. (1979).</w:t>
      </w:r>
      <w:r>
        <w:rPr>
          <w:spacing w:val="40"/>
          <w:sz w:val="24"/>
        </w:rPr>
        <w:t> </w:t>
      </w:r>
      <w:r>
        <w:rPr>
          <w:i/>
          <w:sz w:val="24"/>
        </w:rPr>
        <w:t>Zero-based budgeting: A decision package manual. </w:t>
      </w:r>
      <w:r>
        <w:rPr>
          <w:sz w:val="24"/>
        </w:rPr>
        <w:t>New York, NY: Ama Com American Management Associations.</w:t>
      </w:r>
    </w:p>
    <w:p>
      <w:pPr>
        <w:pStyle w:val="BodyText"/>
      </w:pPr>
    </w:p>
    <w:p>
      <w:pPr>
        <w:pStyle w:val="BodyText"/>
        <w:ind w:left="120"/>
      </w:pPr>
      <w:r>
        <w:rPr/>
        <w:t>Awosedo,</w:t>
      </w:r>
      <w:r>
        <w:rPr>
          <w:spacing w:val="8"/>
        </w:rPr>
        <w:t> </w:t>
      </w:r>
      <w:r>
        <w:rPr/>
        <w:t>O.</w:t>
      </w:r>
      <w:r>
        <w:rPr>
          <w:spacing w:val="8"/>
        </w:rPr>
        <w:t> </w:t>
      </w:r>
      <w:r>
        <w:rPr/>
        <w:t>(2008,</w:t>
      </w:r>
      <w:r>
        <w:rPr>
          <w:spacing w:val="9"/>
        </w:rPr>
        <w:t> </w:t>
      </w:r>
      <w:r>
        <w:rPr/>
        <w:t>March</w:t>
      </w:r>
      <w:r>
        <w:rPr>
          <w:spacing w:val="9"/>
        </w:rPr>
        <w:t> </w:t>
      </w:r>
      <w:r>
        <w:rPr/>
        <w:t>20).</w:t>
      </w:r>
      <w:r>
        <w:rPr>
          <w:spacing w:val="8"/>
        </w:rPr>
        <w:t> </w:t>
      </w:r>
      <w:r>
        <w:rPr/>
        <w:t>Why</w:t>
      </w:r>
      <w:r>
        <w:rPr>
          <w:spacing w:val="4"/>
        </w:rPr>
        <w:t> </w:t>
      </w:r>
      <w:r>
        <w:rPr/>
        <w:t>private</w:t>
      </w:r>
      <w:r>
        <w:rPr>
          <w:spacing w:val="8"/>
        </w:rPr>
        <w:t> </w:t>
      </w:r>
      <w:r>
        <w:rPr/>
        <w:t>developers</w:t>
      </w:r>
      <w:r>
        <w:rPr>
          <w:spacing w:val="8"/>
        </w:rPr>
        <w:t> </w:t>
      </w:r>
      <w:r>
        <w:rPr/>
        <w:t>cannot</w:t>
      </w:r>
      <w:r>
        <w:rPr>
          <w:spacing w:val="9"/>
        </w:rPr>
        <w:t> </w:t>
      </w:r>
      <w:r>
        <w:rPr/>
        <w:t>build</w:t>
      </w:r>
      <w:r>
        <w:rPr>
          <w:spacing w:val="9"/>
        </w:rPr>
        <w:t> </w:t>
      </w:r>
      <w:r>
        <w:rPr/>
        <w:t>for</w:t>
      </w:r>
      <w:r>
        <w:rPr>
          <w:spacing w:val="7"/>
        </w:rPr>
        <w:t> </w:t>
      </w:r>
      <w:r>
        <w:rPr/>
        <w:t>the</w:t>
      </w:r>
      <w:r>
        <w:rPr>
          <w:spacing w:val="8"/>
        </w:rPr>
        <w:t> </w:t>
      </w:r>
      <w:r>
        <w:rPr/>
        <w:t>low</w:t>
      </w:r>
      <w:r>
        <w:rPr>
          <w:spacing w:val="9"/>
        </w:rPr>
        <w:t> </w:t>
      </w:r>
      <w:r>
        <w:rPr/>
        <w:t>income</w:t>
      </w:r>
      <w:r>
        <w:rPr>
          <w:spacing w:val="8"/>
        </w:rPr>
        <w:t> </w:t>
      </w:r>
      <w:r>
        <w:rPr>
          <w:spacing w:val="-2"/>
        </w:rPr>
        <w:t>group,</w:t>
      </w:r>
    </w:p>
    <w:p>
      <w:pPr>
        <w:spacing w:before="0"/>
        <w:ind w:left="571" w:right="0" w:firstLine="0"/>
        <w:jc w:val="left"/>
        <w:rPr>
          <w:i/>
          <w:sz w:val="24"/>
        </w:rPr>
      </w:pPr>
      <w:r>
        <w:rPr>
          <w:i/>
          <w:sz w:val="24"/>
        </w:rPr>
        <w:t>The</w:t>
      </w:r>
      <w:r>
        <w:rPr>
          <w:i/>
          <w:spacing w:val="-1"/>
          <w:sz w:val="24"/>
        </w:rPr>
        <w:t> </w:t>
      </w:r>
      <w:r>
        <w:rPr>
          <w:i/>
          <w:sz w:val="24"/>
        </w:rPr>
        <w:t>Nigerian </w:t>
      </w:r>
      <w:r>
        <w:rPr>
          <w:i/>
          <w:spacing w:val="-2"/>
          <w:sz w:val="24"/>
        </w:rPr>
        <w:t>Tribune.</w:t>
      </w:r>
    </w:p>
    <w:p>
      <w:pPr>
        <w:pStyle w:val="BodyText"/>
        <w:rPr>
          <w:i/>
        </w:rPr>
      </w:pPr>
    </w:p>
    <w:p>
      <w:pPr>
        <w:pStyle w:val="BodyText"/>
        <w:ind w:left="571" w:right="1117" w:hanging="452"/>
        <w:jc w:val="both"/>
      </w:pPr>
      <w:r>
        <w:rPr/>
        <w:t>Awotona, A. (1987). Government policies for housing Nigeria‘s urban poor and the working class: Laudable promises, great expectations, and colossal failure. </w:t>
      </w:r>
      <w:r>
        <w:rPr>
          <w:i/>
        </w:rPr>
        <w:t>Habitat International, </w:t>
      </w:r>
      <w:r>
        <w:rPr/>
        <w:t>11 (2), 89-103.</w:t>
      </w:r>
    </w:p>
    <w:p>
      <w:pPr>
        <w:pStyle w:val="BodyText"/>
      </w:pPr>
    </w:p>
    <w:p>
      <w:pPr>
        <w:spacing w:before="0"/>
        <w:ind w:left="571" w:right="1117" w:hanging="452"/>
        <w:jc w:val="both"/>
        <w:rPr>
          <w:sz w:val="24"/>
        </w:rPr>
      </w:pPr>
      <w:r>
        <w:rPr>
          <w:sz w:val="24"/>
        </w:rPr>
        <w:t>Awotona, A. (1990). Nigerian government participation in housing: 1970–1980. </w:t>
      </w:r>
      <w:r>
        <w:rPr>
          <w:i/>
          <w:sz w:val="24"/>
        </w:rPr>
        <w:t>Habitat International, </w:t>
      </w:r>
      <w:r>
        <w:rPr>
          <w:sz w:val="24"/>
        </w:rPr>
        <w:t>14 (1), 17-40.</w:t>
      </w:r>
    </w:p>
    <w:p>
      <w:pPr>
        <w:pStyle w:val="BodyText"/>
      </w:pPr>
    </w:p>
    <w:p>
      <w:pPr>
        <w:spacing w:before="1"/>
        <w:ind w:left="120" w:right="0" w:firstLine="0"/>
        <w:jc w:val="left"/>
        <w:rPr>
          <w:sz w:val="24"/>
        </w:rPr>
      </w:pPr>
      <w:r>
        <w:rPr>
          <w:sz w:val="24"/>
        </w:rPr>
        <w:t>Axelrod,</w:t>
      </w:r>
      <w:r>
        <w:rPr>
          <w:spacing w:val="-1"/>
          <w:sz w:val="24"/>
        </w:rPr>
        <w:t> </w:t>
      </w:r>
      <w:r>
        <w:rPr>
          <w:sz w:val="24"/>
        </w:rPr>
        <w:t>D.</w:t>
      </w:r>
      <w:r>
        <w:rPr>
          <w:spacing w:val="-1"/>
          <w:sz w:val="24"/>
        </w:rPr>
        <w:t> </w:t>
      </w:r>
      <w:r>
        <w:rPr>
          <w:sz w:val="24"/>
        </w:rPr>
        <w:t>(1995).</w:t>
      </w:r>
      <w:r>
        <w:rPr>
          <w:spacing w:val="-1"/>
          <w:sz w:val="24"/>
        </w:rPr>
        <w:t> </w:t>
      </w:r>
      <w:r>
        <w:rPr>
          <w:i/>
          <w:sz w:val="24"/>
        </w:rPr>
        <w:t>Budgeting</w:t>
      </w:r>
      <w:r>
        <w:rPr>
          <w:i/>
          <w:spacing w:val="-1"/>
          <w:sz w:val="24"/>
        </w:rPr>
        <w:t> </w:t>
      </w:r>
      <w:r>
        <w:rPr>
          <w:i/>
          <w:sz w:val="24"/>
        </w:rPr>
        <w:t>for</w:t>
      </w:r>
      <w:r>
        <w:rPr>
          <w:i/>
          <w:spacing w:val="-1"/>
          <w:sz w:val="24"/>
        </w:rPr>
        <w:t> </w:t>
      </w:r>
      <w:r>
        <w:rPr>
          <w:i/>
          <w:sz w:val="24"/>
        </w:rPr>
        <w:t>modern government</w:t>
      </w:r>
      <w:r>
        <w:rPr>
          <w:sz w:val="24"/>
        </w:rPr>
        <w:t>.</w:t>
      </w:r>
      <w:r>
        <w:rPr>
          <w:spacing w:val="-1"/>
          <w:sz w:val="24"/>
        </w:rPr>
        <w:t> </w:t>
      </w:r>
      <w:r>
        <w:rPr>
          <w:sz w:val="24"/>
        </w:rPr>
        <w:t>New</w:t>
      </w:r>
      <w:r>
        <w:rPr>
          <w:spacing w:val="-2"/>
          <w:sz w:val="24"/>
        </w:rPr>
        <w:t> </w:t>
      </w:r>
      <w:r>
        <w:rPr>
          <w:sz w:val="24"/>
        </w:rPr>
        <w:t>York</w:t>
      </w:r>
      <w:r>
        <w:rPr>
          <w:spacing w:val="-1"/>
          <w:sz w:val="24"/>
        </w:rPr>
        <w:t> </w:t>
      </w:r>
      <w:r>
        <w:rPr>
          <w:sz w:val="24"/>
        </w:rPr>
        <w:t>:St.</w:t>
      </w:r>
      <w:r>
        <w:rPr>
          <w:spacing w:val="-1"/>
          <w:sz w:val="24"/>
        </w:rPr>
        <w:t> </w:t>
      </w:r>
      <w:r>
        <w:rPr>
          <w:sz w:val="24"/>
        </w:rPr>
        <w:t>Martin‘s</w:t>
      </w:r>
      <w:r>
        <w:rPr>
          <w:spacing w:val="-1"/>
          <w:sz w:val="24"/>
        </w:rPr>
        <w:t> </w:t>
      </w:r>
      <w:r>
        <w:rPr>
          <w:spacing w:val="-2"/>
          <w:sz w:val="24"/>
        </w:rPr>
        <w:t>Press.</w:t>
      </w:r>
    </w:p>
    <w:p>
      <w:pPr>
        <w:pStyle w:val="BodyText"/>
        <w:spacing w:before="276"/>
        <w:ind w:left="571" w:right="1113" w:hanging="452"/>
        <w:jc w:val="both"/>
      </w:pPr>
      <w:r>
        <w:rPr/>
        <w:t>Ayedun, C. A., &amp; Oluwatobi, A. O. (2011). Issues and challenges militating against the sustainability</w:t>
      </w:r>
      <w:r>
        <w:rPr>
          <w:spacing w:val="-1"/>
        </w:rPr>
        <w:t> </w:t>
      </w:r>
      <w:r>
        <w:rPr/>
        <w:t>of affordable housing provision in Nigeria.</w:t>
      </w:r>
      <w:r>
        <w:rPr>
          <w:spacing w:val="40"/>
        </w:rPr>
        <w:t> </w:t>
      </w:r>
      <w:r>
        <w:rPr>
          <w:i/>
        </w:rPr>
        <w:t>Business Management Dynamics</w:t>
      </w:r>
      <w:r>
        <w:rPr/>
        <w:t>, 1, 1-8.</w:t>
      </w:r>
    </w:p>
    <w:p>
      <w:pPr>
        <w:spacing w:before="276"/>
        <w:ind w:left="571" w:right="1117" w:hanging="452"/>
        <w:jc w:val="both"/>
        <w:rPr>
          <w:sz w:val="24"/>
        </w:rPr>
      </w:pPr>
      <w:r>
        <w:rPr>
          <w:sz w:val="24"/>
        </w:rPr>
        <w:t>Ayodele, E.O., &amp; Alabi, O.M. (2011). Abandonment of construction projects in Nigeria:</w:t>
      </w:r>
      <w:r>
        <w:rPr>
          <w:spacing w:val="40"/>
          <w:sz w:val="24"/>
        </w:rPr>
        <w:t> </w:t>
      </w:r>
      <w:r>
        <w:rPr>
          <w:sz w:val="24"/>
        </w:rPr>
        <w:t>causes and effects. </w:t>
      </w:r>
      <w:r>
        <w:rPr>
          <w:i/>
          <w:sz w:val="24"/>
        </w:rPr>
        <w:t>Journals of emerging trends in Economics and Management sciences</w:t>
      </w:r>
      <w:r>
        <w:rPr>
          <w:sz w:val="24"/>
        </w:rPr>
        <w:t>, 2, 142- </w:t>
      </w:r>
      <w:r>
        <w:rPr>
          <w:spacing w:val="-4"/>
          <w:sz w:val="24"/>
        </w:rPr>
        <w:t>145.</w:t>
      </w:r>
    </w:p>
    <w:p>
      <w:pPr>
        <w:pStyle w:val="BodyText"/>
      </w:pPr>
    </w:p>
    <w:p>
      <w:pPr>
        <w:spacing w:before="0"/>
        <w:ind w:left="571" w:right="1116" w:hanging="452"/>
        <w:jc w:val="both"/>
        <w:rPr>
          <w:sz w:val="24"/>
        </w:rPr>
      </w:pPr>
      <w:r>
        <w:rPr>
          <w:sz w:val="24"/>
        </w:rPr>
        <w:t>Babbie, E. (2005). </w:t>
      </w:r>
      <w:r>
        <w:rPr>
          <w:i/>
          <w:sz w:val="24"/>
        </w:rPr>
        <w:t>The basics of social research </w:t>
      </w:r>
      <w:r>
        <w:rPr>
          <w:sz w:val="24"/>
        </w:rPr>
        <w:t>(3rd ed.). Belmont, C.A, USA: Thomson/Wordsworth Learning.</w:t>
      </w:r>
    </w:p>
    <w:p>
      <w:pPr>
        <w:pStyle w:val="BodyText"/>
      </w:pPr>
    </w:p>
    <w:p>
      <w:pPr>
        <w:spacing w:before="0"/>
        <w:ind w:left="571" w:right="1117" w:hanging="452"/>
        <w:jc w:val="both"/>
        <w:rPr>
          <w:sz w:val="24"/>
        </w:rPr>
      </w:pPr>
      <w:r>
        <w:rPr>
          <w:sz w:val="24"/>
        </w:rPr>
        <w:t>Banham, R. (2007). A home is not a house. In B. Miller (Ed.), </w:t>
      </w:r>
      <w:r>
        <w:rPr>
          <w:i/>
          <w:sz w:val="24"/>
        </w:rPr>
        <w:t>Housing and dwelling: Perspective on modern domestic architecture </w:t>
      </w:r>
      <w:r>
        <w:rPr>
          <w:sz w:val="24"/>
        </w:rPr>
        <w:t>(pp. 54-61). New York: Routledge.</w:t>
      </w:r>
    </w:p>
    <w:p>
      <w:pPr>
        <w:spacing w:after="0"/>
        <w:jc w:val="both"/>
        <w:rPr>
          <w:sz w:val="24"/>
        </w:rPr>
        <w:sectPr>
          <w:pgSz w:w="12240" w:h="15840"/>
          <w:pgMar w:header="0" w:footer="1036" w:top="1360" w:bottom="1220" w:left="1320" w:right="320"/>
        </w:sectPr>
      </w:pPr>
    </w:p>
    <w:p>
      <w:pPr>
        <w:spacing w:before="72"/>
        <w:ind w:left="571" w:right="1120" w:hanging="452"/>
        <w:jc w:val="both"/>
        <w:rPr>
          <w:sz w:val="24"/>
        </w:rPr>
      </w:pPr>
      <w:r>
        <w:rPr>
          <w:sz w:val="24"/>
        </w:rPr>
        <w:t>Barber, B. (1984). </w:t>
      </w:r>
      <w:r>
        <w:rPr>
          <w:i/>
          <w:sz w:val="24"/>
        </w:rPr>
        <w:t>Strong democracy: Participatory politics for a new age. </w:t>
      </w:r>
      <w:r>
        <w:rPr>
          <w:sz w:val="24"/>
        </w:rPr>
        <w:t>Berkeley and Los Angeles: University of California Press.</w:t>
      </w:r>
    </w:p>
    <w:p>
      <w:pPr>
        <w:pStyle w:val="BodyText"/>
      </w:pPr>
    </w:p>
    <w:p>
      <w:pPr>
        <w:spacing w:before="0"/>
        <w:ind w:left="571" w:right="1119" w:hanging="452"/>
        <w:jc w:val="both"/>
        <w:rPr>
          <w:sz w:val="24"/>
        </w:rPr>
      </w:pPr>
      <w:r>
        <w:rPr>
          <w:sz w:val="24"/>
        </w:rPr>
        <w:t>Baumgartner, F.R., &amp; Jones, B.D. (1993). </w:t>
      </w:r>
      <w:r>
        <w:rPr>
          <w:i/>
          <w:sz w:val="24"/>
        </w:rPr>
        <w:t>Agenda and instability in American politics</w:t>
      </w:r>
      <w:r>
        <w:rPr>
          <w:sz w:val="24"/>
        </w:rPr>
        <w:t>. Chicago: University of Chicago Press.</w:t>
      </w:r>
    </w:p>
    <w:p>
      <w:pPr>
        <w:pStyle w:val="BodyText"/>
      </w:pPr>
    </w:p>
    <w:p>
      <w:pPr>
        <w:pStyle w:val="BodyText"/>
        <w:ind w:left="120"/>
      </w:pPr>
      <w:r>
        <w:rPr/>
        <w:t>Behn,</w:t>
      </w:r>
      <w:r>
        <w:rPr>
          <w:spacing w:val="3"/>
        </w:rPr>
        <w:t> </w:t>
      </w:r>
      <w:r>
        <w:rPr/>
        <w:t>R.D.</w:t>
      </w:r>
      <w:r>
        <w:rPr>
          <w:spacing w:val="6"/>
        </w:rPr>
        <w:t> </w:t>
      </w:r>
      <w:r>
        <w:rPr/>
        <w:t>(2003).</w:t>
      </w:r>
      <w:r>
        <w:rPr>
          <w:spacing w:val="6"/>
        </w:rPr>
        <w:t> </w:t>
      </w:r>
      <w:r>
        <w:rPr/>
        <w:t>Why</w:t>
      </w:r>
      <w:r>
        <w:rPr>
          <w:spacing w:val="3"/>
        </w:rPr>
        <w:t> </w:t>
      </w:r>
      <w:r>
        <w:rPr/>
        <w:t>measure</w:t>
      </w:r>
      <w:r>
        <w:rPr>
          <w:spacing w:val="6"/>
        </w:rPr>
        <w:t> </w:t>
      </w:r>
      <w:r>
        <w:rPr/>
        <w:t>Performance?</w:t>
      </w:r>
      <w:r>
        <w:rPr>
          <w:spacing w:val="8"/>
        </w:rPr>
        <w:t> </w:t>
      </w:r>
      <w:r>
        <w:rPr/>
        <w:t>Different</w:t>
      </w:r>
      <w:r>
        <w:rPr>
          <w:spacing w:val="6"/>
        </w:rPr>
        <w:t> </w:t>
      </w:r>
      <w:r>
        <w:rPr/>
        <w:t>Purposes</w:t>
      </w:r>
      <w:r>
        <w:rPr>
          <w:spacing w:val="5"/>
        </w:rPr>
        <w:t> </w:t>
      </w:r>
      <w:r>
        <w:rPr/>
        <w:t>Require</w:t>
      </w:r>
      <w:r>
        <w:rPr>
          <w:spacing w:val="5"/>
        </w:rPr>
        <w:t> </w:t>
      </w:r>
      <w:r>
        <w:rPr/>
        <w:t>Different</w:t>
      </w:r>
      <w:r>
        <w:rPr>
          <w:spacing w:val="6"/>
        </w:rPr>
        <w:t> </w:t>
      </w:r>
      <w:r>
        <w:rPr>
          <w:spacing w:val="-2"/>
        </w:rPr>
        <w:t>Measures.</w:t>
      </w:r>
    </w:p>
    <w:p>
      <w:pPr>
        <w:spacing w:before="0"/>
        <w:ind w:left="571" w:right="0" w:firstLine="0"/>
        <w:jc w:val="left"/>
        <w:rPr>
          <w:sz w:val="24"/>
        </w:rPr>
      </w:pPr>
      <w:r>
        <w:rPr>
          <w:i/>
          <w:sz w:val="24"/>
        </w:rPr>
        <w:t>Public</w:t>
      </w:r>
      <w:r>
        <w:rPr>
          <w:i/>
          <w:spacing w:val="-4"/>
          <w:sz w:val="24"/>
        </w:rPr>
        <w:t> </w:t>
      </w:r>
      <w:r>
        <w:rPr>
          <w:i/>
          <w:sz w:val="24"/>
        </w:rPr>
        <w:t>Administration Review</w:t>
      </w:r>
      <w:r>
        <w:rPr>
          <w:sz w:val="24"/>
        </w:rPr>
        <w:t>,</w:t>
      </w:r>
      <w:r>
        <w:rPr>
          <w:spacing w:val="-1"/>
          <w:sz w:val="24"/>
        </w:rPr>
        <w:t> </w:t>
      </w:r>
      <w:r>
        <w:rPr>
          <w:sz w:val="24"/>
        </w:rPr>
        <w:t>63(5), 342</w:t>
      </w:r>
      <w:r>
        <w:rPr>
          <w:spacing w:val="-2"/>
          <w:sz w:val="24"/>
        </w:rPr>
        <w:t> </w:t>
      </w:r>
      <w:r>
        <w:rPr>
          <w:sz w:val="24"/>
        </w:rPr>
        <w:t>– </w:t>
      </w:r>
      <w:r>
        <w:rPr>
          <w:spacing w:val="-4"/>
          <w:sz w:val="24"/>
        </w:rPr>
        <w:t>350.</w:t>
      </w:r>
    </w:p>
    <w:p>
      <w:pPr>
        <w:pStyle w:val="BodyText"/>
      </w:pPr>
    </w:p>
    <w:p>
      <w:pPr>
        <w:pStyle w:val="BodyText"/>
        <w:ind w:left="571" w:right="1116" w:hanging="452"/>
        <w:jc w:val="both"/>
      </w:pPr>
      <w:r>
        <w:rPr/>
        <w:t>Beierle, T.C. (1999). Using social goals to evaluate public participation in environmental decisions. </w:t>
      </w:r>
      <w:r>
        <w:rPr>
          <w:i/>
        </w:rPr>
        <w:t>Policy Studies Review</w:t>
      </w:r>
      <w:r>
        <w:rPr/>
        <w:t>, 16(3/4), 75-103.</w:t>
      </w:r>
    </w:p>
    <w:p>
      <w:pPr>
        <w:pStyle w:val="BodyText"/>
      </w:pPr>
    </w:p>
    <w:p>
      <w:pPr>
        <w:pStyle w:val="BodyText"/>
        <w:ind w:left="571" w:right="1122" w:hanging="452"/>
        <w:jc w:val="both"/>
      </w:pPr>
      <w:r>
        <w:rPr/>
        <w:t>Ben-Caleb, E., &amp; Agbude, G. A. (2013). Budget discipline in Nigeria: A critical evaluation of military and civilian regimes. </w:t>
      </w:r>
      <w:r>
        <w:rPr>
          <w:i/>
        </w:rPr>
        <w:t>Economica, </w:t>
      </w:r>
      <w:r>
        <w:rPr/>
        <w:t>9(1), 91-101.</w:t>
      </w:r>
    </w:p>
    <w:p>
      <w:pPr>
        <w:pStyle w:val="BodyText"/>
        <w:spacing w:before="1"/>
      </w:pPr>
    </w:p>
    <w:p>
      <w:pPr>
        <w:spacing w:before="0"/>
        <w:ind w:left="571" w:right="1115" w:hanging="452"/>
        <w:jc w:val="both"/>
        <w:rPr>
          <w:sz w:val="24"/>
        </w:rPr>
      </w:pPr>
      <w:r>
        <w:rPr>
          <w:sz w:val="24"/>
        </w:rPr>
        <w:t>Ben-Caleb, E., Adeyemi, K.S., &amp; Iyoha, F. (2014). The Impact of budget reforms on the quality of budget management in Nigeria. </w:t>
      </w:r>
      <w:r>
        <w:rPr>
          <w:i/>
          <w:sz w:val="24"/>
        </w:rPr>
        <w:t>Journal of Accounting and Auditing: Research &amp; Practice</w:t>
      </w:r>
      <w:r>
        <w:rPr>
          <w:sz w:val="24"/>
        </w:rPr>
        <w:t>, 9(2), 213-211.doi: 10.5171/2014.207739</w:t>
      </w:r>
    </w:p>
    <w:p>
      <w:pPr>
        <w:pStyle w:val="BodyText"/>
      </w:pPr>
    </w:p>
    <w:p>
      <w:pPr>
        <w:spacing w:before="0"/>
        <w:ind w:left="120" w:right="0" w:firstLine="0"/>
        <w:jc w:val="left"/>
        <w:rPr>
          <w:sz w:val="24"/>
        </w:rPr>
      </w:pPr>
      <w:r>
        <w:rPr>
          <w:sz w:val="24"/>
        </w:rPr>
        <w:t>Berman,</w:t>
      </w:r>
      <w:r>
        <w:rPr>
          <w:spacing w:val="-2"/>
          <w:sz w:val="24"/>
        </w:rPr>
        <w:t> </w:t>
      </w:r>
      <w:r>
        <w:rPr>
          <w:sz w:val="24"/>
        </w:rPr>
        <w:t>E.</w:t>
      </w:r>
      <w:r>
        <w:rPr>
          <w:spacing w:val="-1"/>
          <w:sz w:val="24"/>
        </w:rPr>
        <w:t> </w:t>
      </w:r>
      <w:r>
        <w:rPr>
          <w:sz w:val="24"/>
        </w:rPr>
        <w:t>(1997).</w:t>
      </w:r>
      <w:r>
        <w:rPr>
          <w:spacing w:val="1"/>
          <w:sz w:val="24"/>
        </w:rPr>
        <w:t> </w:t>
      </w:r>
      <w:r>
        <w:rPr>
          <w:sz w:val="24"/>
        </w:rPr>
        <w:t>Dealing</w:t>
      </w:r>
      <w:r>
        <w:rPr>
          <w:spacing w:val="-4"/>
          <w:sz w:val="24"/>
        </w:rPr>
        <w:t> </w:t>
      </w:r>
      <w:r>
        <w:rPr>
          <w:sz w:val="24"/>
        </w:rPr>
        <w:t>with</w:t>
      </w:r>
      <w:r>
        <w:rPr>
          <w:spacing w:val="-1"/>
          <w:sz w:val="24"/>
        </w:rPr>
        <w:t> </w:t>
      </w:r>
      <w:r>
        <w:rPr>
          <w:sz w:val="24"/>
        </w:rPr>
        <w:t>cynical</w:t>
      </w:r>
      <w:r>
        <w:rPr>
          <w:spacing w:val="-1"/>
          <w:sz w:val="24"/>
        </w:rPr>
        <w:t> </w:t>
      </w:r>
      <w:r>
        <w:rPr>
          <w:sz w:val="24"/>
        </w:rPr>
        <w:t>citizens.</w:t>
      </w:r>
      <w:r>
        <w:rPr>
          <w:spacing w:val="2"/>
          <w:sz w:val="24"/>
        </w:rPr>
        <w:t> </w:t>
      </w:r>
      <w:r>
        <w:rPr>
          <w:i/>
          <w:sz w:val="24"/>
        </w:rPr>
        <w:t>Public</w:t>
      </w:r>
      <w:r>
        <w:rPr>
          <w:i/>
          <w:spacing w:val="-2"/>
          <w:sz w:val="24"/>
        </w:rPr>
        <w:t> </w:t>
      </w:r>
      <w:r>
        <w:rPr>
          <w:i/>
          <w:sz w:val="24"/>
        </w:rPr>
        <w:t>Administration</w:t>
      </w:r>
      <w:r>
        <w:rPr>
          <w:i/>
          <w:spacing w:val="-1"/>
          <w:sz w:val="24"/>
        </w:rPr>
        <w:t> </w:t>
      </w:r>
      <w:r>
        <w:rPr>
          <w:i/>
          <w:sz w:val="24"/>
        </w:rPr>
        <w:t>Review</w:t>
      </w:r>
      <w:r>
        <w:rPr>
          <w:sz w:val="24"/>
        </w:rPr>
        <w:t>,</w:t>
      </w:r>
      <w:r>
        <w:rPr>
          <w:spacing w:val="-1"/>
          <w:sz w:val="24"/>
        </w:rPr>
        <w:t> </w:t>
      </w:r>
      <w:r>
        <w:rPr>
          <w:sz w:val="24"/>
        </w:rPr>
        <w:t>77(2),105-</w:t>
      </w:r>
      <w:r>
        <w:rPr>
          <w:spacing w:val="-4"/>
          <w:sz w:val="24"/>
        </w:rPr>
        <w:t>112.</w:t>
      </w:r>
    </w:p>
    <w:p>
      <w:pPr>
        <w:pStyle w:val="BodyText"/>
      </w:pPr>
    </w:p>
    <w:p>
      <w:pPr>
        <w:spacing w:before="0"/>
        <w:ind w:left="571" w:right="1115" w:hanging="452"/>
        <w:jc w:val="both"/>
        <w:rPr>
          <w:sz w:val="24"/>
        </w:rPr>
      </w:pPr>
      <w:r>
        <w:rPr>
          <w:sz w:val="24"/>
        </w:rPr>
        <w:t>Bichi, K. M. (1997). Housing finance in the context of vision 2010. </w:t>
      </w:r>
      <w:r>
        <w:rPr>
          <w:i/>
          <w:sz w:val="24"/>
        </w:rPr>
        <w:t>Housing Today. Journal of the Housing Co-operation of Nigeria</w:t>
      </w:r>
      <w:r>
        <w:rPr>
          <w:sz w:val="24"/>
        </w:rPr>
        <w:t>, 4, 30–35.</w:t>
      </w:r>
    </w:p>
    <w:p>
      <w:pPr>
        <w:pStyle w:val="BodyText"/>
      </w:pPr>
    </w:p>
    <w:p>
      <w:pPr>
        <w:spacing w:before="0"/>
        <w:ind w:left="571" w:right="1116" w:hanging="452"/>
        <w:jc w:val="both"/>
        <w:rPr>
          <w:sz w:val="24"/>
        </w:rPr>
      </w:pPr>
      <w:r>
        <w:rPr>
          <w:sz w:val="24"/>
        </w:rPr>
        <w:t>Bichi, K.M. (2002). Housing the Nigerian population: Problems and prospects. </w:t>
      </w:r>
      <w:r>
        <w:rPr>
          <w:i/>
          <w:sz w:val="24"/>
        </w:rPr>
        <w:t>Journal of the Federal Mortgage Bank of Nigeria</w:t>
      </w:r>
      <w:r>
        <w:rPr>
          <w:sz w:val="24"/>
        </w:rPr>
        <w:t>, 1(5) 30-31.</w:t>
      </w:r>
    </w:p>
    <w:p>
      <w:pPr>
        <w:pStyle w:val="BodyText"/>
      </w:pPr>
    </w:p>
    <w:p>
      <w:pPr>
        <w:spacing w:before="1"/>
        <w:ind w:left="571" w:right="1127" w:hanging="452"/>
        <w:jc w:val="both"/>
        <w:rPr>
          <w:sz w:val="24"/>
        </w:rPr>
      </w:pPr>
      <w:r>
        <w:rPr>
          <w:sz w:val="24"/>
        </w:rPr>
        <w:t>Boschken, H. L. (1992). Analyzing performance skewness in public agencies: The case of urban mass transit. </w:t>
      </w:r>
      <w:r>
        <w:rPr>
          <w:i/>
          <w:sz w:val="24"/>
        </w:rPr>
        <w:t>Journal of Public Administration Research and Theory</w:t>
      </w:r>
      <w:r>
        <w:rPr>
          <w:sz w:val="24"/>
        </w:rPr>
        <w:t>, 2(3), 265-288.</w:t>
      </w:r>
    </w:p>
    <w:p>
      <w:pPr>
        <w:pStyle w:val="BodyText"/>
      </w:pPr>
    </w:p>
    <w:p>
      <w:pPr>
        <w:pStyle w:val="BodyText"/>
        <w:spacing w:line="242" w:lineRule="auto"/>
        <w:ind w:left="571" w:right="1120" w:hanging="452"/>
        <w:jc w:val="both"/>
      </w:pPr>
      <w:r>
        <w:rPr/>
        <w:t>Bourne, L.S, &amp; Hitchcock, J.R. (Eds.). (1978). Urban housing markets: Recent directions in research and policy. Toronto: University of Toronto press.</w:t>
      </w:r>
    </w:p>
    <w:p>
      <w:pPr>
        <w:spacing w:before="193"/>
        <w:ind w:left="120" w:right="0" w:firstLine="0"/>
        <w:jc w:val="left"/>
        <w:rPr>
          <w:i/>
          <w:sz w:val="24"/>
        </w:rPr>
      </w:pPr>
      <w:r>
        <w:rPr>
          <w:sz w:val="24"/>
        </w:rPr>
        <w:t>Box,</w:t>
      </w:r>
      <w:r>
        <w:rPr>
          <w:spacing w:val="31"/>
          <w:sz w:val="24"/>
        </w:rPr>
        <w:t> </w:t>
      </w:r>
      <w:r>
        <w:rPr>
          <w:sz w:val="24"/>
        </w:rPr>
        <w:t>R.C.</w:t>
      </w:r>
      <w:r>
        <w:rPr>
          <w:spacing w:val="34"/>
          <w:sz w:val="24"/>
        </w:rPr>
        <w:t> </w:t>
      </w:r>
      <w:r>
        <w:rPr>
          <w:sz w:val="24"/>
        </w:rPr>
        <w:t>(1998).</w:t>
      </w:r>
      <w:r>
        <w:rPr>
          <w:spacing w:val="34"/>
          <w:sz w:val="24"/>
        </w:rPr>
        <w:t> </w:t>
      </w:r>
      <w:r>
        <w:rPr>
          <w:i/>
          <w:sz w:val="24"/>
        </w:rPr>
        <w:t>Citizen</w:t>
      </w:r>
      <w:r>
        <w:rPr>
          <w:i/>
          <w:spacing w:val="34"/>
          <w:sz w:val="24"/>
        </w:rPr>
        <w:t> </w:t>
      </w:r>
      <w:r>
        <w:rPr>
          <w:i/>
          <w:sz w:val="24"/>
        </w:rPr>
        <w:t>governance:</w:t>
      </w:r>
      <w:r>
        <w:rPr>
          <w:i/>
          <w:spacing w:val="34"/>
          <w:sz w:val="24"/>
        </w:rPr>
        <w:t> </w:t>
      </w:r>
      <w:r>
        <w:rPr>
          <w:i/>
          <w:sz w:val="24"/>
        </w:rPr>
        <w:t>Leading</w:t>
      </w:r>
      <w:r>
        <w:rPr>
          <w:i/>
          <w:spacing w:val="36"/>
          <w:sz w:val="24"/>
        </w:rPr>
        <w:t> </w:t>
      </w:r>
      <w:r>
        <w:rPr>
          <w:i/>
          <w:sz w:val="24"/>
        </w:rPr>
        <w:t>American</w:t>
      </w:r>
      <w:r>
        <w:rPr>
          <w:i/>
          <w:spacing w:val="34"/>
          <w:sz w:val="24"/>
        </w:rPr>
        <w:t> </w:t>
      </w:r>
      <w:r>
        <w:rPr>
          <w:i/>
          <w:sz w:val="24"/>
        </w:rPr>
        <w:t>communities</w:t>
      </w:r>
      <w:r>
        <w:rPr>
          <w:i/>
          <w:spacing w:val="34"/>
          <w:sz w:val="24"/>
        </w:rPr>
        <w:t> </w:t>
      </w:r>
      <w:r>
        <w:rPr>
          <w:i/>
          <w:sz w:val="24"/>
        </w:rPr>
        <w:t>into</w:t>
      </w:r>
      <w:r>
        <w:rPr>
          <w:i/>
          <w:spacing w:val="33"/>
          <w:sz w:val="24"/>
        </w:rPr>
        <w:t> </w:t>
      </w:r>
      <w:r>
        <w:rPr>
          <w:i/>
          <w:sz w:val="24"/>
        </w:rPr>
        <w:t>the</w:t>
      </w:r>
      <w:r>
        <w:rPr>
          <w:i/>
          <w:spacing w:val="34"/>
          <w:sz w:val="24"/>
        </w:rPr>
        <w:t> </w:t>
      </w:r>
      <w:r>
        <w:rPr>
          <w:i/>
          <w:sz w:val="24"/>
        </w:rPr>
        <w:t>21st</w:t>
      </w:r>
      <w:r>
        <w:rPr>
          <w:i/>
          <w:spacing w:val="32"/>
          <w:sz w:val="24"/>
        </w:rPr>
        <w:t> </w:t>
      </w:r>
      <w:r>
        <w:rPr>
          <w:i/>
          <w:spacing w:val="-2"/>
          <w:sz w:val="24"/>
        </w:rPr>
        <w:t>Century.</w:t>
      </w:r>
    </w:p>
    <w:p>
      <w:pPr>
        <w:pStyle w:val="BodyText"/>
        <w:ind w:left="571"/>
      </w:pPr>
      <w:r>
        <w:rPr/>
        <w:t>Thousand</w:t>
      </w:r>
      <w:r>
        <w:rPr>
          <w:spacing w:val="-2"/>
        </w:rPr>
        <w:t> </w:t>
      </w:r>
      <w:r>
        <w:rPr/>
        <w:t>Oaks,</w:t>
      </w:r>
      <w:r>
        <w:rPr>
          <w:spacing w:val="-1"/>
        </w:rPr>
        <w:t> </w:t>
      </w:r>
      <w:r>
        <w:rPr/>
        <w:t>California:</w:t>
      </w:r>
      <w:r>
        <w:rPr>
          <w:spacing w:val="-1"/>
        </w:rPr>
        <w:t> </w:t>
      </w:r>
      <w:r>
        <w:rPr>
          <w:spacing w:val="-4"/>
        </w:rPr>
        <w:t>Sage.</w:t>
      </w:r>
    </w:p>
    <w:p>
      <w:pPr>
        <w:pStyle w:val="BodyText"/>
      </w:pPr>
    </w:p>
    <w:p>
      <w:pPr>
        <w:spacing w:before="1"/>
        <w:ind w:left="571" w:right="1116" w:hanging="452"/>
        <w:jc w:val="both"/>
        <w:rPr>
          <w:sz w:val="24"/>
        </w:rPr>
      </w:pPr>
      <w:r>
        <w:rPr>
          <w:sz w:val="24"/>
        </w:rPr>
        <w:t>Bridges, W.R. (1974). </w:t>
      </w:r>
      <w:r>
        <w:rPr>
          <w:i/>
          <w:sz w:val="24"/>
        </w:rPr>
        <w:t>Helping people develop their communities</w:t>
      </w:r>
      <w:r>
        <w:rPr>
          <w:sz w:val="24"/>
        </w:rPr>
        <w:t>. Kentucky, USA: Lexington University of Kentucky, Cooperative extension service.</w:t>
      </w:r>
    </w:p>
    <w:p>
      <w:pPr>
        <w:pStyle w:val="BodyText"/>
        <w:spacing w:before="2"/>
      </w:pPr>
    </w:p>
    <w:p>
      <w:pPr>
        <w:spacing w:before="1"/>
        <w:ind w:left="120" w:right="0" w:firstLine="0"/>
        <w:jc w:val="left"/>
        <w:rPr>
          <w:sz w:val="24"/>
        </w:rPr>
      </w:pPr>
      <w:r>
        <w:rPr>
          <w:sz w:val="24"/>
        </w:rPr>
        <w:t>Burns, L.,</w:t>
      </w:r>
      <w:r>
        <w:rPr>
          <w:spacing w:val="1"/>
          <w:sz w:val="24"/>
        </w:rPr>
        <w:t> </w:t>
      </w:r>
      <w:r>
        <w:rPr>
          <w:sz w:val="24"/>
        </w:rPr>
        <w:t>&amp;</w:t>
      </w:r>
      <w:r>
        <w:rPr>
          <w:spacing w:val="-3"/>
          <w:sz w:val="24"/>
        </w:rPr>
        <w:t> </w:t>
      </w:r>
      <w:r>
        <w:rPr>
          <w:sz w:val="24"/>
        </w:rPr>
        <w:t>Grebler, L.</w:t>
      </w:r>
      <w:r>
        <w:rPr>
          <w:spacing w:val="1"/>
          <w:sz w:val="24"/>
        </w:rPr>
        <w:t> </w:t>
      </w:r>
      <w:r>
        <w:rPr>
          <w:sz w:val="24"/>
        </w:rPr>
        <w:t>(1977). </w:t>
      </w:r>
      <w:r>
        <w:rPr>
          <w:i/>
          <w:sz w:val="24"/>
        </w:rPr>
        <w:t>The</w:t>
      </w:r>
      <w:r>
        <w:rPr>
          <w:i/>
          <w:spacing w:val="-3"/>
          <w:sz w:val="24"/>
        </w:rPr>
        <w:t> </w:t>
      </w:r>
      <w:r>
        <w:rPr>
          <w:i/>
          <w:sz w:val="24"/>
        </w:rPr>
        <w:t>housing</w:t>
      </w:r>
      <w:r>
        <w:rPr>
          <w:i/>
          <w:spacing w:val="-1"/>
          <w:sz w:val="24"/>
        </w:rPr>
        <w:t> </w:t>
      </w:r>
      <w:r>
        <w:rPr>
          <w:i/>
          <w:sz w:val="24"/>
        </w:rPr>
        <w:t>of</w:t>
      </w:r>
      <w:r>
        <w:rPr>
          <w:i/>
          <w:spacing w:val="-1"/>
          <w:sz w:val="24"/>
        </w:rPr>
        <w:t> </w:t>
      </w:r>
      <w:r>
        <w:rPr>
          <w:i/>
          <w:sz w:val="24"/>
        </w:rPr>
        <w:t>nations</w:t>
      </w:r>
      <w:r>
        <w:rPr>
          <w:sz w:val="24"/>
        </w:rPr>
        <w:t>.</w:t>
      </w:r>
      <w:r>
        <w:rPr>
          <w:spacing w:val="-2"/>
          <w:sz w:val="24"/>
        </w:rPr>
        <w:t> </w:t>
      </w:r>
      <w:r>
        <w:rPr>
          <w:sz w:val="24"/>
        </w:rPr>
        <w:t>New</w:t>
      </w:r>
      <w:r>
        <w:rPr>
          <w:spacing w:val="-1"/>
          <w:sz w:val="24"/>
        </w:rPr>
        <w:t> </w:t>
      </w:r>
      <w:r>
        <w:rPr>
          <w:sz w:val="24"/>
        </w:rPr>
        <w:t>York,</w:t>
      </w:r>
      <w:r>
        <w:rPr>
          <w:spacing w:val="-1"/>
          <w:sz w:val="24"/>
        </w:rPr>
        <w:t> </w:t>
      </w:r>
      <w:r>
        <w:rPr>
          <w:sz w:val="24"/>
        </w:rPr>
        <w:t>NY:</w:t>
      </w:r>
      <w:r>
        <w:rPr>
          <w:spacing w:val="1"/>
          <w:sz w:val="24"/>
        </w:rPr>
        <w:t> </w:t>
      </w:r>
      <w:r>
        <w:rPr>
          <w:spacing w:val="-2"/>
          <w:sz w:val="24"/>
        </w:rPr>
        <w:t>Macmillan.</w:t>
      </w:r>
    </w:p>
    <w:p>
      <w:pPr>
        <w:pStyle w:val="BodyText"/>
        <w:spacing w:before="134"/>
      </w:pPr>
    </w:p>
    <w:p>
      <w:pPr>
        <w:spacing w:before="0"/>
        <w:ind w:left="571" w:right="1113" w:hanging="452"/>
        <w:jc w:val="both"/>
        <w:rPr>
          <w:sz w:val="24"/>
        </w:rPr>
      </w:pPr>
      <w:r>
        <w:rPr>
          <w:sz w:val="24"/>
        </w:rPr>
        <w:t>Cahn, E.S., &amp; Jean, C.(1968). Citizen participation. In H.D.C. Spiegel (Ed.). </w:t>
      </w:r>
      <w:r>
        <w:rPr>
          <w:i/>
          <w:sz w:val="24"/>
        </w:rPr>
        <w:t>Citizen</w:t>
      </w:r>
      <w:r>
        <w:rPr>
          <w:i/>
          <w:spacing w:val="40"/>
          <w:sz w:val="24"/>
        </w:rPr>
        <w:t> </w:t>
      </w:r>
      <w:r>
        <w:rPr>
          <w:i/>
          <w:sz w:val="24"/>
        </w:rPr>
        <w:t>participation in urban development</w:t>
      </w:r>
      <w:r>
        <w:rPr>
          <w:sz w:val="24"/>
        </w:rPr>
        <w:t>. Washington D.C: N&amp;L Institute for Allied Behavioural </w:t>
      </w:r>
      <w:r>
        <w:rPr>
          <w:spacing w:val="-2"/>
          <w:sz w:val="24"/>
        </w:rPr>
        <w:t>Science.</w:t>
      </w:r>
    </w:p>
    <w:p>
      <w:pPr>
        <w:spacing w:after="0"/>
        <w:jc w:val="both"/>
        <w:rPr>
          <w:sz w:val="24"/>
        </w:rPr>
        <w:sectPr>
          <w:pgSz w:w="12240" w:h="15840"/>
          <w:pgMar w:header="0" w:footer="1036" w:top="1360" w:bottom="1220" w:left="1320" w:right="320"/>
        </w:sectPr>
      </w:pPr>
    </w:p>
    <w:p>
      <w:pPr>
        <w:spacing w:before="72"/>
        <w:ind w:left="571" w:right="1115" w:hanging="452"/>
        <w:jc w:val="both"/>
        <w:rPr>
          <w:sz w:val="24"/>
        </w:rPr>
      </w:pPr>
      <w:r>
        <w:rPr>
          <w:sz w:val="24"/>
        </w:rPr>
        <w:t>Caidan, N., &amp; A. Wildavsky, A. (1980). </w:t>
      </w:r>
      <w:r>
        <w:rPr>
          <w:i/>
          <w:sz w:val="24"/>
        </w:rPr>
        <w:t>Planning and budgeting in developing countries, </w:t>
      </w:r>
      <w:r>
        <w:rPr>
          <w:sz w:val="24"/>
        </w:rPr>
        <w:t>New York: John Wiley</w:t>
      </w:r>
    </w:p>
    <w:p>
      <w:pPr>
        <w:pStyle w:val="BodyText"/>
      </w:pPr>
    </w:p>
    <w:p>
      <w:pPr>
        <w:spacing w:before="0"/>
        <w:ind w:left="571" w:right="1118" w:hanging="452"/>
        <w:jc w:val="both"/>
        <w:rPr>
          <w:sz w:val="24"/>
        </w:rPr>
      </w:pPr>
      <w:r>
        <w:rPr>
          <w:sz w:val="24"/>
        </w:rPr>
        <w:t>Carmen, D.S. (1999). </w:t>
      </w:r>
      <w:r>
        <w:rPr>
          <w:i/>
          <w:sz w:val="24"/>
        </w:rPr>
        <w:t>Housing theories: Borrowing from other fields of study</w:t>
      </w:r>
      <w:r>
        <w:rPr>
          <w:sz w:val="24"/>
        </w:rPr>
        <w:t>. Paper presented at the annual conference of the American Association of Housing Educators, Orlando, FL. (pp 97- 115).</w:t>
      </w:r>
    </w:p>
    <w:p>
      <w:pPr>
        <w:pStyle w:val="BodyText"/>
      </w:pPr>
    </w:p>
    <w:p>
      <w:pPr>
        <w:spacing w:before="0"/>
        <w:ind w:left="571" w:right="1122" w:hanging="452"/>
        <w:jc w:val="both"/>
        <w:rPr>
          <w:sz w:val="24"/>
        </w:rPr>
      </w:pPr>
      <w:r>
        <w:rPr>
          <w:sz w:val="24"/>
        </w:rPr>
        <w:t>Castro, F.M.(2011). </w:t>
      </w:r>
      <w:r>
        <w:rPr>
          <w:i/>
          <w:sz w:val="24"/>
        </w:rPr>
        <w:t>Defining and using performance indicators and targets in government monitoring and evaluation systems</w:t>
      </w:r>
      <w:r>
        <w:rPr>
          <w:sz w:val="24"/>
        </w:rPr>
        <w:t>. Retrieved from </w:t>
      </w:r>
      <w:hyperlink r:id="rId220">
        <w:r>
          <w:rPr>
            <w:sz w:val="24"/>
          </w:rPr>
          <w:t>http://www.siteresources.worldbank.org</w:t>
        </w:r>
      </w:hyperlink>
    </w:p>
    <w:p>
      <w:pPr>
        <w:pStyle w:val="BodyText"/>
        <w:spacing w:before="2"/>
      </w:pPr>
    </w:p>
    <w:p>
      <w:pPr>
        <w:spacing w:before="1"/>
        <w:ind w:left="120" w:right="0" w:firstLine="0"/>
        <w:jc w:val="left"/>
        <w:rPr>
          <w:sz w:val="24"/>
        </w:rPr>
      </w:pPr>
      <w:r>
        <w:rPr>
          <w:sz w:val="24"/>
        </w:rPr>
        <w:t>CBN</w:t>
      </w:r>
      <w:r>
        <w:rPr>
          <w:spacing w:val="-2"/>
          <w:sz w:val="24"/>
        </w:rPr>
        <w:t> </w:t>
      </w:r>
      <w:r>
        <w:rPr>
          <w:sz w:val="24"/>
        </w:rPr>
        <w:t>(2008).</w:t>
      </w:r>
      <w:r>
        <w:rPr>
          <w:spacing w:val="-1"/>
          <w:sz w:val="24"/>
        </w:rPr>
        <w:t> </w:t>
      </w:r>
      <w:r>
        <w:rPr>
          <w:i/>
          <w:sz w:val="24"/>
        </w:rPr>
        <w:t>Annual</w:t>
      </w:r>
      <w:r>
        <w:rPr>
          <w:i/>
          <w:spacing w:val="-1"/>
          <w:sz w:val="24"/>
        </w:rPr>
        <w:t> </w:t>
      </w:r>
      <w:r>
        <w:rPr>
          <w:i/>
          <w:sz w:val="24"/>
        </w:rPr>
        <w:t>report.</w:t>
      </w:r>
      <w:r>
        <w:rPr>
          <w:i/>
          <w:spacing w:val="-1"/>
          <w:sz w:val="24"/>
        </w:rPr>
        <w:t> </w:t>
      </w:r>
      <w:r>
        <w:rPr>
          <w:sz w:val="24"/>
        </w:rPr>
        <w:t>Abuja:</w:t>
      </w:r>
      <w:r>
        <w:rPr>
          <w:spacing w:val="-1"/>
          <w:sz w:val="24"/>
        </w:rPr>
        <w:t> </w:t>
      </w:r>
      <w:r>
        <w:rPr>
          <w:sz w:val="24"/>
        </w:rPr>
        <w:t>Federal</w:t>
      </w:r>
      <w:r>
        <w:rPr>
          <w:spacing w:val="-1"/>
          <w:sz w:val="24"/>
        </w:rPr>
        <w:t> </w:t>
      </w:r>
      <w:r>
        <w:rPr>
          <w:sz w:val="24"/>
        </w:rPr>
        <w:t>Government</w:t>
      </w:r>
      <w:r>
        <w:rPr>
          <w:spacing w:val="-1"/>
          <w:sz w:val="24"/>
        </w:rPr>
        <w:t> </w:t>
      </w:r>
      <w:r>
        <w:rPr>
          <w:spacing w:val="-2"/>
          <w:sz w:val="24"/>
        </w:rPr>
        <w:t>Printer.</w:t>
      </w:r>
    </w:p>
    <w:p>
      <w:pPr>
        <w:pStyle w:val="BodyText"/>
      </w:pPr>
    </w:p>
    <w:p>
      <w:pPr>
        <w:pStyle w:val="BodyText"/>
        <w:spacing w:line="276" w:lineRule="auto"/>
        <w:ind w:left="571" w:right="1114" w:hanging="452"/>
        <w:jc w:val="both"/>
      </w:pPr>
      <w:r>
        <w:rPr/>
        <w:t>Chartered Institute of Cost and Management Accountants (CICMA). (2003). </w:t>
      </w:r>
      <w:r>
        <w:rPr>
          <w:i/>
        </w:rPr>
        <w:t>Budgeting</w:t>
      </w:r>
      <w:r>
        <w:rPr/>
        <w:t>. Abuja: </w:t>
      </w:r>
      <w:r>
        <w:rPr>
          <w:spacing w:val="-2"/>
        </w:rPr>
        <w:t>CICMA.</w:t>
      </w:r>
    </w:p>
    <w:p>
      <w:pPr>
        <w:pStyle w:val="BodyText"/>
        <w:spacing w:before="201"/>
        <w:ind w:left="120"/>
      </w:pPr>
      <w:r>
        <w:rPr/>
        <w:t>Chartered</w:t>
      </w:r>
      <w:r>
        <w:rPr>
          <w:spacing w:val="49"/>
        </w:rPr>
        <w:t> </w:t>
      </w:r>
      <w:r>
        <w:rPr/>
        <w:t>Institute</w:t>
      </w:r>
      <w:r>
        <w:rPr>
          <w:spacing w:val="48"/>
        </w:rPr>
        <w:t> </w:t>
      </w:r>
      <w:r>
        <w:rPr/>
        <w:t>of</w:t>
      </w:r>
      <w:r>
        <w:rPr>
          <w:spacing w:val="49"/>
        </w:rPr>
        <w:t> </w:t>
      </w:r>
      <w:r>
        <w:rPr/>
        <w:t>Public</w:t>
      </w:r>
      <w:r>
        <w:rPr>
          <w:spacing w:val="49"/>
        </w:rPr>
        <w:t> </w:t>
      </w:r>
      <w:r>
        <w:rPr/>
        <w:t>Finance</w:t>
      </w:r>
      <w:r>
        <w:rPr>
          <w:spacing w:val="50"/>
        </w:rPr>
        <w:t> </w:t>
      </w:r>
      <w:r>
        <w:rPr/>
        <w:t>and</w:t>
      </w:r>
      <w:r>
        <w:rPr>
          <w:spacing w:val="49"/>
        </w:rPr>
        <w:t> </w:t>
      </w:r>
      <w:r>
        <w:rPr/>
        <w:t>Accountancy</w:t>
      </w:r>
      <w:r>
        <w:rPr>
          <w:spacing w:val="45"/>
        </w:rPr>
        <w:t> </w:t>
      </w:r>
      <w:r>
        <w:rPr/>
        <w:t>(CIPFA).</w:t>
      </w:r>
      <w:r>
        <w:rPr>
          <w:spacing w:val="49"/>
        </w:rPr>
        <w:t> </w:t>
      </w:r>
      <w:r>
        <w:rPr/>
        <w:t>(2009).</w:t>
      </w:r>
      <w:r>
        <w:rPr>
          <w:spacing w:val="49"/>
        </w:rPr>
        <w:t> </w:t>
      </w:r>
      <w:r>
        <w:rPr>
          <w:i/>
        </w:rPr>
        <w:t>Budgetary</w:t>
      </w:r>
      <w:r>
        <w:rPr>
          <w:i/>
          <w:spacing w:val="49"/>
        </w:rPr>
        <w:t> </w:t>
      </w:r>
      <w:r>
        <w:rPr>
          <w:i/>
          <w:spacing w:val="-2"/>
        </w:rPr>
        <w:t>models</w:t>
      </w:r>
      <w:r>
        <w:rPr>
          <w:spacing w:val="-2"/>
        </w:rPr>
        <w:t>.</w:t>
      </w:r>
    </w:p>
    <w:p>
      <w:pPr>
        <w:pStyle w:val="BodyText"/>
        <w:spacing w:before="41"/>
        <w:ind w:left="571"/>
      </w:pPr>
      <w:r>
        <w:rPr/>
        <w:t>Retrieved</w:t>
      </w:r>
      <w:r>
        <w:rPr>
          <w:spacing w:val="-3"/>
        </w:rPr>
        <w:t> </w:t>
      </w:r>
      <w:r>
        <w:rPr/>
        <w:t>from</w:t>
      </w:r>
      <w:r>
        <w:rPr>
          <w:spacing w:val="-2"/>
        </w:rPr>
        <w:t> </w:t>
      </w:r>
      <w:hyperlink r:id="rId221">
        <w:r>
          <w:rPr>
            <w:spacing w:val="-2"/>
          </w:rPr>
          <w:t>http://www.tisonline.net</w:t>
        </w:r>
      </w:hyperlink>
    </w:p>
    <w:p>
      <w:pPr>
        <w:spacing w:line="276" w:lineRule="auto" w:before="242"/>
        <w:ind w:left="571" w:right="1118" w:hanging="452"/>
        <w:jc w:val="both"/>
        <w:rPr>
          <w:sz w:val="24"/>
        </w:rPr>
      </w:pPr>
      <w:r>
        <w:rPr>
          <w:sz w:val="24"/>
        </w:rPr>
        <w:t>Chark, J.J.(1995). </w:t>
      </w:r>
      <w:r>
        <w:rPr>
          <w:i/>
          <w:sz w:val="24"/>
        </w:rPr>
        <w:t>Capital budgeting: Planning and control of capital expenditure. </w:t>
      </w:r>
      <w:r>
        <w:rPr>
          <w:sz w:val="24"/>
        </w:rPr>
        <w:t>London: </w:t>
      </w:r>
      <w:r>
        <w:rPr>
          <w:spacing w:val="-2"/>
          <w:sz w:val="24"/>
        </w:rPr>
        <w:t>Prentice–hall.</w:t>
      </w:r>
    </w:p>
    <w:p>
      <w:pPr>
        <w:spacing w:line="242" w:lineRule="auto" w:before="196"/>
        <w:ind w:left="571" w:right="1118" w:hanging="452"/>
        <w:jc w:val="both"/>
        <w:rPr>
          <w:sz w:val="24"/>
        </w:rPr>
      </w:pPr>
      <w:r>
        <w:rPr>
          <w:sz w:val="24"/>
        </w:rPr>
        <w:t>Cheek, I.M. (1970). </w:t>
      </w:r>
      <w:r>
        <w:rPr>
          <w:i/>
          <w:sz w:val="24"/>
        </w:rPr>
        <w:t>Zero-base Budgeting comes of age</w:t>
      </w:r>
      <w:r>
        <w:rPr>
          <w:sz w:val="24"/>
        </w:rPr>
        <w:t>. New York: American Management </w:t>
      </w:r>
      <w:r>
        <w:rPr>
          <w:spacing w:val="-2"/>
          <w:sz w:val="24"/>
        </w:rPr>
        <w:t>Associates.</w:t>
      </w:r>
    </w:p>
    <w:p>
      <w:pPr>
        <w:spacing w:before="196"/>
        <w:ind w:left="120" w:right="0" w:firstLine="0"/>
        <w:jc w:val="left"/>
        <w:rPr>
          <w:sz w:val="24"/>
        </w:rPr>
      </w:pPr>
      <w:r>
        <w:rPr>
          <w:sz w:val="24"/>
        </w:rPr>
        <w:t>Clayton,</w:t>
      </w:r>
      <w:r>
        <w:rPr>
          <w:spacing w:val="-4"/>
          <w:sz w:val="24"/>
        </w:rPr>
        <w:t> </w:t>
      </w:r>
      <w:r>
        <w:rPr>
          <w:sz w:val="24"/>
        </w:rPr>
        <w:t>T.J.</w:t>
      </w:r>
      <w:r>
        <w:rPr>
          <w:spacing w:val="-1"/>
          <w:sz w:val="24"/>
        </w:rPr>
        <w:t> </w:t>
      </w:r>
      <w:r>
        <w:rPr>
          <w:sz w:val="24"/>
        </w:rPr>
        <w:t>(1995).</w:t>
      </w:r>
      <w:r>
        <w:rPr>
          <w:spacing w:val="-1"/>
          <w:sz w:val="24"/>
        </w:rPr>
        <w:t> </w:t>
      </w:r>
      <w:r>
        <w:rPr>
          <w:i/>
          <w:sz w:val="24"/>
        </w:rPr>
        <w:t>Public</w:t>
      </w:r>
      <w:r>
        <w:rPr>
          <w:i/>
          <w:spacing w:val="-2"/>
          <w:sz w:val="24"/>
        </w:rPr>
        <w:t> </w:t>
      </w:r>
      <w:r>
        <w:rPr>
          <w:i/>
          <w:sz w:val="24"/>
        </w:rPr>
        <w:t>participation</w:t>
      </w:r>
      <w:r>
        <w:rPr>
          <w:i/>
          <w:spacing w:val="-1"/>
          <w:sz w:val="24"/>
        </w:rPr>
        <w:t> </w:t>
      </w:r>
      <w:r>
        <w:rPr>
          <w:i/>
          <w:sz w:val="24"/>
        </w:rPr>
        <w:t>in public</w:t>
      </w:r>
      <w:r>
        <w:rPr>
          <w:i/>
          <w:spacing w:val="-2"/>
          <w:sz w:val="24"/>
        </w:rPr>
        <w:t> </w:t>
      </w:r>
      <w:r>
        <w:rPr>
          <w:i/>
          <w:sz w:val="24"/>
        </w:rPr>
        <w:t>decisions</w:t>
      </w:r>
      <w:r>
        <w:rPr>
          <w:sz w:val="24"/>
        </w:rPr>
        <w:t>.</w:t>
      </w:r>
      <w:r>
        <w:rPr>
          <w:spacing w:val="-1"/>
          <w:sz w:val="24"/>
        </w:rPr>
        <w:t> </w:t>
      </w:r>
      <w:r>
        <w:rPr>
          <w:sz w:val="24"/>
        </w:rPr>
        <w:t>San</w:t>
      </w:r>
      <w:r>
        <w:rPr>
          <w:spacing w:val="-1"/>
          <w:sz w:val="24"/>
        </w:rPr>
        <w:t> </w:t>
      </w:r>
      <w:r>
        <w:rPr>
          <w:sz w:val="24"/>
        </w:rPr>
        <w:t>Francisco:</w:t>
      </w:r>
      <w:r>
        <w:rPr>
          <w:spacing w:val="-1"/>
          <w:sz w:val="24"/>
        </w:rPr>
        <w:t> </w:t>
      </w:r>
      <w:r>
        <w:rPr>
          <w:sz w:val="24"/>
        </w:rPr>
        <w:t>Jossey-</w:t>
      </w:r>
      <w:r>
        <w:rPr>
          <w:spacing w:val="-2"/>
          <w:sz w:val="24"/>
        </w:rPr>
        <w:t>Bass.</w:t>
      </w:r>
    </w:p>
    <w:p>
      <w:pPr>
        <w:pStyle w:val="BodyText"/>
      </w:pPr>
    </w:p>
    <w:p>
      <w:pPr>
        <w:tabs>
          <w:tab w:pos="2964" w:val="left" w:leader="none"/>
          <w:tab w:pos="4543" w:val="left" w:leader="none"/>
          <w:tab w:pos="6703" w:val="left" w:leader="none"/>
          <w:tab w:pos="9016" w:val="left" w:leader="none"/>
        </w:tabs>
        <w:spacing w:before="0"/>
        <w:ind w:left="571" w:right="1116" w:hanging="452"/>
        <w:jc w:val="both"/>
        <w:rPr>
          <w:sz w:val="24"/>
        </w:rPr>
      </w:pPr>
      <w:r>
        <w:rPr>
          <w:sz w:val="24"/>
        </w:rPr>
        <w:t>Cogan, A., &amp; Sharpe, S.(1986). </w:t>
      </w:r>
      <w:r>
        <w:rPr>
          <w:i/>
          <w:sz w:val="24"/>
        </w:rPr>
        <w:t>Planning analysis: The theory of citizen involvement</w:t>
      </w:r>
      <w:r>
        <w:rPr>
          <w:sz w:val="24"/>
        </w:rPr>
        <w:t>. Oregon: </w:t>
      </w:r>
      <w:r>
        <w:rPr>
          <w:spacing w:val="-2"/>
          <w:sz w:val="24"/>
        </w:rPr>
        <w:t>University</w:t>
      </w:r>
      <w:r>
        <w:rPr>
          <w:sz w:val="24"/>
        </w:rPr>
        <w:tab/>
      </w:r>
      <w:r>
        <w:rPr>
          <w:spacing w:val="-6"/>
          <w:sz w:val="24"/>
        </w:rPr>
        <w:t>of</w:t>
      </w:r>
      <w:r>
        <w:rPr>
          <w:sz w:val="24"/>
        </w:rPr>
        <w:tab/>
      </w:r>
      <w:r>
        <w:rPr>
          <w:spacing w:val="-2"/>
          <w:sz w:val="24"/>
        </w:rPr>
        <w:t>Oregon.</w:t>
      </w:r>
      <w:r>
        <w:rPr>
          <w:sz w:val="24"/>
        </w:rPr>
        <w:tab/>
      </w:r>
      <w:r>
        <w:rPr>
          <w:spacing w:val="-2"/>
          <w:sz w:val="24"/>
        </w:rPr>
        <w:t>Retrieved</w:t>
      </w:r>
      <w:r>
        <w:rPr>
          <w:sz w:val="24"/>
        </w:rPr>
        <w:tab/>
      </w:r>
      <w:r>
        <w:rPr>
          <w:spacing w:val="-4"/>
          <w:sz w:val="24"/>
        </w:rPr>
        <w:t>from </w:t>
      </w:r>
      <w:hyperlink r:id="rId222">
        <w:r>
          <w:rPr>
            <w:spacing w:val="-2"/>
            <w:sz w:val="24"/>
          </w:rPr>
          <w:t>http://pages.uoregon.edu/rgp/PPPM613/class10theory.htm</w:t>
        </w:r>
      </w:hyperlink>
    </w:p>
    <w:p>
      <w:pPr>
        <w:pStyle w:val="BodyText"/>
      </w:pPr>
    </w:p>
    <w:p>
      <w:pPr>
        <w:spacing w:before="0"/>
        <w:ind w:left="571" w:right="1115" w:hanging="452"/>
        <w:jc w:val="both"/>
        <w:rPr>
          <w:sz w:val="24"/>
        </w:rPr>
      </w:pPr>
      <w:r>
        <w:rPr>
          <w:sz w:val="24"/>
        </w:rPr>
        <w:t>Cooper, T.L. (1984). Citizenship in public administration. </w:t>
      </w:r>
      <w:r>
        <w:rPr>
          <w:i/>
          <w:sz w:val="24"/>
        </w:rPr>
        <w:t>Public Administration Review, </w:t>
      </w:r>
      <w:r>
        <w:rPr>
          <w:sz w:val="24"/>
        </w:rPr>
        <w:t>38(5), </w:t>
      </w:r>
      <w:r>
        <w:rPr>
          <w:spacing w:val="-2"/>
          <w:sz w:val="24"/>
        </w:rPr>
        <w:t>359-364.</w:t>
      </w:r>
    </w:p>
    <w:p>
      <w:pPr>
        <w:pStyle w:val="BodyText"/>
      </w:pPr>
    </w:p>
    <w:p>
      <w:pPr>
        <w:pStyle w:val="BodyText"/>
        <w:ind w:left="571" w:right="1116" w:hanging="452"/>
        <w:jc w:val="both"/>
      </w:pPr>
      <w:r>
        <w:rPr/>
        <w:t>Cowart, A. T., Hansen, T., &amp; Brofoss., D.(1975). Budgetary strategies and success at multiple decision levels in the Norwegian urban setting. </w:t>
      </w:r>
      <w:r>
        <w:rPr>
          <w:i/>
        </w:rPr>
        <w:t>American Political Science Review, </w:t>
      </w:r>
      <w:r>
        <w:rPr/>
        <w:t>69 (2), </w:t>
      </w:r>
      <w:r>
        <w:rPr>
          <w:spacing w:val="-2"/>
        </w:rPr>
        <w:t>543–558.</w:t>
      </w:r>
    </w:p>
    <w:p>
      <w:pPr>
        <w:pStyle w:val="BodyText"/>
        <w:spacing w:before="1"/>
      </w:pPr>
    </w:p>
    <w:p>
      <w:pPr>
        <w:spacing w:line="240" w:lineRule="auto" w:before="0"/>
        <w:ind w:left="571" w:right="1118" w:hanging="452"/>
        <w:jc w:val="both"/>
        <w:rPr>
          <w:sz w:val="24"/>
        </w:rPr>
      </w:pPr>
      <w:r>
        <w:rPr>
          <w:sz w:val="24"/>
        </w:rPr>
        <w:t>Creiu,</w:t>
      </w:r>
      <w:r>
        <w:rPr>
          <w:spacing w:val="-1"/>
          <w:sz w:val="24"/>
        </w:rPr>
        <w:t> </w:t>
      </w:r>
      <w:r>
        <w:rPr>
          <w:sz w:val="24"/>
        </w:rPr>
        <w:t>C.</w:t>
      </w:r>
      <w:r>
        <w:rPr>
          <w:spacing w:val="-1"/>
          <w:sz w:val="24"/>
        </w:rPr>
        <w:t> </w:t>
      </w:r>
      <w:r>
        <w:rPr>
          <w:sz w:val="24"/>
        </w:rPr>
        <w:t>M.,</w:t>
      </w:r>
      <w:r>
        <w:rPr>
          <w:spacing w:val="-1"/>
          <w:sz w:val="24"/>
        </w:rPr>
        <w:t> </w:t>
      </w:r>
      <w:r>
        <w:rPr>
          <w:sz w:val="24"/>
        </w:rPr>
        <w:t>Gheonea, V.,</w:t>
      </w:r>
      <w:r>
        <w:rPr>
          <w:spacing w:val="-2"/>
          <w:sz w:val="24"/>
        </w:rPr>
        <w:t> </w:t>
      </w:r>
      <w:r>
        <w:rPr>
          <w:sz w:val="24"/>
        </w:rPr>
        <w:t>Talaghir, L.G., &amp; Iconomescu,</w:t>
      </w:r>
      <w:r>
        <w:rPr>
          <w:spacing w:val="-1"/>
          <w:sz w:val="24"/>
        </w:rPr>
        <w:t> </w:t>
      </w:r>
      <w:r>
        <w:rPr>
          <w:sz w:val="24"/>
        </w:rPr>
        <w:t>T.M. (2007). Budget - A</w:t>
      </w:r>
      <w:r>
        <w:rPr>
          <w:spacing w:val="-2"/>
          <w:sz w:val="24"/>
        </w:rPr>
        <w:t> </w:t>
      </w:r>
      <w:r>
        <w:rPr>
          <w:sz w:val="24"/>
        </w:rPr>
        <w:t>performance tool in the public sector. </w:t>
      </w:r>
      <w:r>
        <w:rPr>
          <w:i/>
          <w:sz w:val="24"/>
        </w:rPr>
        <w:t>Proceedings of the 5th WSEAS International Conference on Economy and Management Transformation </w:t>
      </w:r>
      <w:r>
        <w:rPr>
          <w:sz w:val="24"/>
        </w:rPr>
        <w:t>(Vol. I), (pp. 360-368). Galati, Romania: Danubius, Faculty of Economic Sciences.</w:t>
      </w:r>
    </w:p>
    <w:p>
      <w:pPr>
        <w:pStyle w:val="BodyText"/>
        <w:spacing w:before="7"/>
      </w:pPr>
    </w:p>
    <w:p>
      <w:pPr>
        <w:pStyle w:val="BodyText"/>
        <w:ind w:left="571" w:right="1114" w:hanging="452"/>
        <w:jc w:val="both"/>
      </w:pPr>
      <w:r>
        <w:rPr/>
        <w:t>Curristine, T. (2005a). Government performance: Lessons and challenges. OECD </w:t>
      </w:r>
      <w:r>
        <w:rPr>
          <w:i/>
        </w:rPr>
        <w:t>Journal of Budgeting</w:t>
      </w:r>
      <w:r>
        <w:rPr/>
        <w:t>, 5(1), 127 – 134.</w:t>
      </w:r>
    </w:p>
    <w:p>
      <w:pPr>
        <w:pStyle w:val="BodyText"/>
      </w:pPr>
    </w:p>
    <w:p>
      <w:pPr>
        <w:pStyle w:val="BodyText"/>
        <w:ind w:left="571" w:right="1118" w:hanging="452"/>
        <w:jc w:val="both"/>
      </w:pPr>
      <w:r>
        <w:rPr/>
        <w:t>Curristine, T. (2005b). Performance information in the budget process: Results of the OECD 2005 questionnaire. </w:t>
      </w:r>
      <w:r>
        <w:rPr>
          <w:i/>
        </w:rPr>
        <w:t>OECD Journal of Budgeting</w:t>
      </w:r>
      <w:r>
        <w:rPr/>
        <w:t>, 5 (2), 221 – 229.</w:t>
      </w:r>
    </w:p>
    <w:p>
      <w:pPr>
        <w:spacing w:after="0"/>
        <w:jc w:val="both"/>
        <w:sectPr>
          <w:pgSz w:w="12240" w:h="15840"/>
          <w:pgMar w:header="0" w:footer="1036" w:top="1360" w:bottom="1220" w:left="1320" w:right="320"/>
        </w:sectPr>
      </w:pPr>
    </w:p>
    <w:p>
      <w:pPr>
        <w:pStyle w:val="BodyText"/>
        <w:spacing w:before="72"/>
        <w:ind w:left="571" w:right="1126" w:hanging="452"/>
        <w:jc w:val="both"/>
      </w:pPr>
      <w:r>
        <w:rPr/>
        <w:t>Curristine, T., Zsuzsanna, L., &amp; Journard, I. (2007). Improving public sector efficiency: Challenges and opportunities</w:t>
      </w:r>
      <w:r>
        <w:rPr>
          <w:i/>
        </w:rPr>
        <w:t>. OECD Journal of Budgeting</w:t>
      </w:r>
      <w:r>
        <w:rPr/>
        <w:t>, 7(1), 1 -41.</w:t>
      </w:r>
    </w:p>
    <w:p>
      <w:pPr>
        <w:pStyle w:val="BodyText"/>
      </w:pPr>
    </w:p>
    <w:p>
      <w:pPr>
        <w:spacing w:before="0"/>
        <w:ind w:left="120" w:right="0" w:firstLine="0"/>
        <w:jc w:val="left"/>
        <w:rPr>
          <w:sz w:val="24"/>
        </w:rPr>
      </w:pPr>
      <w:r>
        <w:rPr>
          <w:sz w:val="24"/>
        </w:rPr>
        <w:t>Dahl,</w:t>
      </w:r>
      <w:r>
        <w:rPr>
          <w:spacing w:val="-1"/>
          <w:sz w:val="24"/>
        </w:rPr>
        <w:t> </w:t>
      </w:r>
      <w:r>
        <w:rPr>
          <w:sz w:val="24"/>
        </w:rPr>
        <w:t>R.A.</w:t>
      </w:r>
      <w:r>
        <w:rPr>
          <w:spacing w:val="-1"/>
          <w:sz w:val="24"/>
        </w:rPr>
        <w:t> </w:t>
      </w:r>
      <w:r>
        <w:rPr>
          <w:sz w:val="24"/>
        </w:rPr>
        <w:t>(1989).</w:t>
      </w:r>
      <w:r>
        <w:rPr>
          <w:spacing w:val="-1"/>
          <w:sz w:val="24"/>
        </w:rPr>
        <w:t> </w:t>
      </w:r>
      <w:r>
        <w:rPr>
          <w:i/>
          <w:sz w:val="24"/>
        </w:rPr>
        <w:t>Democracy</w:t>
      </w:r>
      <w:r>
        <w:rPr>
          <w:i/>
          <w:spacing w:val="-3"/>
          <w:sz w:val="24"/>
        </w:rPr>
        <w:t> </w:t>
      </w:r>
      <w:r>
        <w:rPr>
          <w:i/>
          <w:sz w:val="24"/>
        </w:rPr>
        <w:t>and</w:t>
      </w:r>
      <w:r>
        <w:rPr>
          <w:i/>
          <w:spacing w:val="-1"/>
          <w:sz w:val="24"/>
        </w:rPr>
        <w:t> </w:t>
      </w:r>
      <w:r>
        <w:rPr>
          <w:i/>
          <w:sz w:val="24"/>
        </w:rPr>
        <w:t>its</w:t>
      </w:r>
      <w:r>
        <w:rPr>
          <w:i/>
          <w:spacing w:val="-1"/>
          <w:sz w:val="24"/>
        </w:rPr>
        <w:t> </w:t>
      </w:r>
      <w:r>
        <w:rPr>
          <w:i/>
          <w:sz w:val="24"/>
        </w:rPr>
        <w:t>Critics</w:t>
      </w:r>
      <w:r>
        <w:rPr>
          <w:sz w:val="24"/>
        </w:rPr>
        <w:t>. New</w:t>
      </w:r>
      <w:r>
        <w:rPr>
          <w:spacing w:val="-1"/>
          <w:sz w:val="24"/>
        </w:rPr>
        <w:t> </w:t>
      </w:r>
      <w:r>
        <w:rPr>
          <w:sz w:val="24"/>
        </w:rPr>
        <w:t>Haven,</w:t>
      </w:r>
      <w:r>
        <w:rPr>
          <w:spacing w:val="-1"/>
          <w:sz w:val="24"/>
        </w:rPr>
        <w:t> </w:t>
      </w:r>
      <w:r>
        <w:rPr>
          <w:sz w:val="24"/>
        </w:rPr>
        <w:t>Connecticut:</w:t>
      </w:r>
      <w:r>
        <w:rPr>
          <w:spacing w:val="-1"/>
          <w:sz w:val="24"/>
        </w:rPr>
        <w:t> </w:t>
      </w:r>
      <w:r>
        <w:rPr>
          <w:sz w:val="24"/>
        </w:rPr>
        <w:t>Yale</w:t>
      </w:r>
      <w:r>
        <w:rPr>
          <w:spacing w:val="-1"/>
          <w:sz w:val="24"/>
        </w:rPr>
        <w:t> </w:t>
      </w:r>
      <w:r>
        <w:rPr>
          <w:sz w:val="24"/>
        </w:rPr>
        <w:t>University</w:t>
      </w:r>
      <w:r>
        <w:rPr>
          <w:spacing w:val="-5"/>
          <w:sz w:val="24"/>
        </w:rPr>
        <w:t> </w:t>
      </w:r>
      <w:r>
        <w:rPr>
          <w:spacing w:val="-2"/>
          <w:sz w:val="24"/>
        </w:rPr>
        <w:t>Press.</w:t>
      </w:r>
    </w:p>
    <w:p>
      <w:pPr>
        <w:pStyle w:val="BodyText"/>
      </w:pPr>
    </w:p>
    <w:p>
      <w:pPr>
        <w:pStyle w:val="BodyText"/>
        <w:ind w:left="571" w:right="1117" w:hanging="452"/>
        <w:jc w:val="both"/>
      </w:pPr>
      <w:r>
        <w:rPr/>
        <w:t>Daramola, S. A. (2004). Private public participation in housing delivery in Nigeria. A paper presented at a business luncheon organised the Royal Institute of Surveyors (RIS), Palmgroove, Lagos, 15th</w:t>
      </w:r>
      <w:r>
        <w:rPr>
          <w:spacing w:val="40"/>
        </w:rPr>
        <w:t> </w:t>
      </w:r>
      <w:r>
        <w:rPr/>
        <w:t>April.</w:t>
      </w:r>
    </w:p>
    <w:p>
      <w:pPr>
        <w:pStyle w:val="BodyText"/>
      </w:pPr>
    </w:p>
    <w:p>
      <w:pPr>
        <w:pStyle w:val="BodyText"/>
        <w:ind w:left="120"/>
      </w:pPr>
      <w:r>
        <w:rPr/>
        <w:t>Davis,</w:t>
      </w:r>
      <w:r>
        <w:rPr>
          <w:spacing w:val="47"/>
        </w:rPr>
        <w:t> </w:t>
      </w:r>
      <w:r>
        <w:rPr/>
        <w:t>O.</w:t>
      </w:r>
      <w:r>
        <w:rPr>
          <w:spacing w:val="47"/>
        </w:rPr>
        <w:t> </w:t>
      </w:r>
      <w:r>
        <w:rPr/>
        <w:t>A.,</w:t>
      </w:r>
      <w:r>
        <w:rPr>
          <w:spacing w:val="49"/>
        </w:rPr>
        <w:t> </w:t>
      </w:r>
      <w:r>
        <w:rPr/>
        <w:t>Dempster,</w:t>
      </w:r>
      <w:r>
        <w:rPr>
          <w:spacing w:val="47"/>
        </w:rPr>
        <w:t> </w:t>
      </w:r>
      <w:r>
        <w:rPr/>
        <w:t>M.A.,</w:t>
      </w:r>
      <w:r>
        <w:rPr>
          <w:spacing w:val="49"/>
        </w:rPr>
        <w:t> </w:t>
      </w:r>
      <w:r>
        <w:rPr/>
        <w:t>&amp;</w:t>
      </w:r>
      <w:r>
        <w:rPr>
          <w:spacing w:val="45"/>
        </w:rPr>
        <w:t> </w:t>
      </w:r>
      <w:r>
        <w:rPr/>
        <w:t>Wildavsky,</w:t>
      </w:r>
      <w:r>
        <w:rPr>
          <w:spacing w:val="52"/>
        </w:rPr>
        <w:t> </w:t>
      </w:r>
      <w:r>
        <w:rPr/>
        <w:t>A.(1966).</w:t>
      </w:r>
      <w:r>
        <w:rPr>
          <w:spacing w:val="47"/>
        </w:rPr>
        <w:t> </w:t>
      </w:r>
      <w:r>
        <w:rPr/>
        <w:t>A</w:t>
      </w:r>
      <w:r>
        <w:rPr>
          <w:spacing w:val="49"/>
        </w:rPr>
        <w:t> </w:t>
      </w:r>
      <w:r>
        <w:rPr/>
        <w:t>theory</w:t>
      </w:r>
      <w:r>
        <w:rPr>
          <w:spacing w:val="45"/>
        </w:rPr>
        <w:t> </w:t>
      </w:r>
      <w:r>
        <w:rPr/>
        <w:t>of</w:t>
      </w:r>
      <w:r>
        <w:rPr>
          <w:spacing w:val="47"/>
        </w:rPr>
        <w:t> </w:t>
      </w:r>
      <w:r>
        <w:rPr/>
        <w:t>the</w:t>
      </w:r>
      <w:r>
        <w:rPr>
          <w:spacing w:val="46"/>
        </w:rPr>
        <w:t> </w:t>
      </w:r>
      <w:r>
        <w:rPr/>
        <w:t>budgetary</w:t>
      </w:r>
      <w:r>
        <w:rPr>
          <w:spacing w:val="42"/>
        </w:rPr>
        <w:t> </w:t>
      </w:r>
      <w:r>
        <w:rPr>
          <w:spacing w:val="-2"/>
        </w:rPr>
        <w:t>process.</w:t>
      </w:r>
    </w:p>
    <w:p>
      <w:pPr>
        <w:spacing w:before="0"/>
        <w:ind w:left="571" w:right="0" w:firstLine="0"/>
        <w:jc w:val="left"/>
        <w:rPr>
          <w:sz w:val="24"/>
        </w:rPr>
      </w:pPr>
      <w:r>
        <w:rPr>
          <w:i/>
          <w:sz w:val="24"/>
        </w:rPr>
        <w:t>American</w:t>
      </w:r>
      <w:r>
        <w:rPr>
          <w:i/>
          <w:spacing w:val="-1"/>
          <w:sz w:val="24"/>
        </w:rPr>
        <w:t> </w:t>
      </w:r>
      <w:r>
        <w:rPr>
          <w:i/>
          <w:sz w:val="24"/>
        </w:rPr>
        <w:t>Political</w:t>
      </w:r>
      <w:r>
        <w:rPr>
          <w:i/>
          <w:spacing w:val="-1"/>
          <w:sz w:val="24"/>
        </w:rPr>
        <w:t> </w:t>
      </w:r>
      <w:r>
        <w:rPr>
          <w:i/>
          <w:sz w:val="24"/>
        </w:rPr>
        <w:t>Science</w:t>
      </w:r>
      <w:r>
        <w:rPr>
          <w:i/>
          <w:spacing w:val="-2"/>
          <w:sz w:val="24"/>
        </w:rPr>
        <w:t> </w:t>
      </w:r>
      <w:r>
        <w:rPr>
          <w:i/>
          <w:sz w:val="24"/>
        </w:rPr>
        <w:t>Review,</w:t>
      </w:r>
      <w:r>
        <w:rPr>
          <w:i/>
          <w:spacing w:val="1"/>
          <w:sz w:val="24"/>
        </w:rPr>
        <w:t> </w:t>
      </w:r>
      <w:r>
        <w:rPr>
          <w:sz w:val="24"/>
        </w:rPr>
        <w:t>60</w:t>
      </w:r>
      <w:r>
        <w:rPr>
          <w:spacing w:val="-1"/>
          <w:sz w:val="24"/>
        </w:rPr>
        <w:t> </w:t>
      </w:r>
      <w:r>
        <w:rPr>
          <w:sz w:val="24"/>
        </w:rPr>
        <w:t>(3), </w:t>
      </w:r>
      <w:r>
        <w:rPr>
          <w:spacing w:val="-2"/>
          <w:sz w:val="24"/>
        </w:rPr>
        <w:t>529–547.</w:t>
      </w:r>
    </w:p>
    <w:p>
      <w:pPr>
        <w:pStyle w:val="BodyText"/>
      </w:pPr>
    </w:p>
    <w:p>
      <w:pPr>
        <w:pStyle w:val="BodyText"/>
        <w:ind w:left="120"/>
      </w:pPr>
      <w:r>
        <w:rPr/>
        <w:t>Day,</w:t>
      </w:r>
      <w:r>
        <w:rPr>
          <w:spacing w:val="13"/>
        </w:rPr>
        <w:t> </w:t>
      </w:r>
      <w:r>
        <w:rPr/>
        <w:t>D.</w:t>
      </w:r>
      <w:r>
        <w:rPr>
          <w:spacing w:val="18"/>
        </w:rPr>
        <w:t> </w:t>
      </w:r>
      <w:r>
        <w:rPr/>
        <w:t>(1997).</w:t>
      </w:r>
      <w:r>
        <w:rPr>
          <w:spacing w:val="17"/>
        </w:rPr>
        <w:t> </w:t>
      </w:r>
      <w:r>
        <w:rPr/>
        <w:t>Citizen</w:t>
      </w:r>
      <w:r>
        <w:rPr>
          <w:spacing w:val="16"/>
        </w:rPr>
        <w:t> </w:t>
      </w:r>
      <w:r>
        <w:rPr/>
        <w:t>participation</w:t>
      </w:r>
      <w:r>
        <w:rPr>
          <w:spacing w:val="15"/>
        </w:rPr>
        <w:t> </w:t>
      </w:r>
      <w:r>
        <w:rPr/>
        <w:t>in</w:t>
      </w:r>
      <w:r>
        <w:rPr>
          <w:spacing w:val="17"/>
        </w:rPr>
        <w:t> </w:t>
      </w:r>
      <w:r>
        <w:rPr/>
        <w:t>the</w:t>
      </w:r>
      <w:r>
        <w:rPr>
          <w:spacing w:val="17"/>
        </w:rPr>
        <w:t> </w:t>
      </w:r>
      <w:r>
        <w:rPr/>
        <w:t>planning</w:t>
      </w:r>
      <w:r>
        <w:rPr>
          <w:spacing w:val="14"/>
        </w:rPr>
        <w:t> </w:t>
      </w:r>
      <w:r>
        <w:rPr/>
        <w:t>process:</w:t>
      </w:r>
      <w:r>
        <w:rPr>
          <w:spacing w:val="18"/>
        </w:rPr>
        <w:t> </w:t>
      </w:r>
      <w:r>
        <w:rPr/>
        <w:t>An</w:t>
      </w:r>
      <w:r>
        <w:rPr>
          <w:spacing w:val="17"/>
        </w:rPr>
        <w:t> </w:t>
      </w:r>
      <w:r>
        <w:rPr/>
        <w:t>essentially</w:t>
      </w:r>
      <w:r>
        <w:rPr>
          <w:spacing w:val="14"/>
        </w:rPr>
        <w:t> </w:t>
      </w:r>
      <w:r>
        <w:rPr/>
        <w:t>contested</w:t>
      </w:r>
      <w:r>
        <w:rPr>
          <w:spacing w:val="18"/>
        </w:rPr>
        <w:t> </w:t>
      </w:r>
      <w:r>
        <w:rPr>
          <w:spacing w:val="-2"/>
        </w:rPr>
        <w:t>concept.</w:t>
      </w:r>
    </w:p>
    <w:p>
      <w:pPr>
        <w:spacing w:before="1"/>
        <w:ind w:left="571" w:right="0" w:firstLine="0"/>
        <w:jc w:val="left"/>
        <w:rPr>
          <w:sz w:val="24"/>
        </w:rPr>
      </w:pPr>
      <w:r>
        <w:rPr>
          <w:i/>
          <w:sz w:val="24"/>
        </w:rPr>
        <w:t>Journal</w:t>
      </w:r>
      <w:r>
        <w:rPr>
          <w:i/>
          <w:spacing w:val="-2"/>
          <w:sz w:val="24"/>
        </w:rPr>
        <w:t> </w:t>
      </w:r>
      <w:r>
        <w:rPr>
          <w:i/>
          <w:sz w:val="24"/>
        </w:rPr>
        <w:t>of</w:t>
      </w:r>
      <w:r>
        <w:rPr>
          <w:i/>
          <w:spacing w:val="-1"/>
          <w:sz w:val="24"/>
        </w:rPr>
        <w:t> </w:t>
      </w:r>
      <w:r>
        <w:rPr>
          <w:i/>
          <w:sz w:val="24"/>
        </w:rPr>
        <w:t>Planning</w:t>
      </w:r>
      <w:r>
        <w:rPr>
          <w:i/>
          <w:spacing w:val="-1"/>
          <w:sz w:val="24"/>
        </w:rPr>
        <w:t> </w:t>
      </w:r>
      <w:r>
        <w:rPr>
          <w:i/>
          <w:sz w:val="24"/>
        </w:rPr>
        <w:t>Literature</w:t>
      </w:r>
      <w:r>
        <w:rPr>
          <w:sz w:val="24"/>
        </w:rPr>
        <w:t>,</w:t>
      </w:r>
      <w:r>
        <w:rPr>
          <w:spacing w:val="-1"/>
          <w:sz w:val="24"/>
        </w:rPr>
        <w:t> </w:t>
      </w:r>
      <w:r>
        <w:rPr>
          <w:sz w:val="24"/>
        </w:rPr>
        <w:t>11(3),</w:t>
      </w:r>
      <w:r>
        <w:rPr>
          <w:spacing w:val="-1"/>
          <w:sz w:val="24"/>
        </w:rPr>
        <w:t> </w:t>
      </w:r>
      <w:r>
        <w:rPr>
          <w:sz w:val="24"/>
        </w:rPr>
        <w:t>412-</w:t>
      </w:r>
      <w:r>
        <w:rPr>
          <w:spacing w:val="-4"/>
          <w:sz w:val="24"/>
        </w:rPr>
        <w:t>434.</w:t>
      </w:r>
    </w:p>
    <w:p>
      <w:pPr>
        <w:spacing w:line="550" w:lineRule="atLeast" w:before="2"/>
        <w:ind w:left="120" w:right="1117" w:firstLine="0"/>
        <w:jc w:val="left"/>
        <w:rPr>
          <w:sz w:val="24"/>
        </w:rPr>
      </w:pPr>
      <w:r>
        <w:rPr>
          <w:sz w:val="24"/>
        </w:rPr>
        <w:t>Dean, P. N. (1989) </w:t>
      </w:r>
      <w:r>
        <w:rPr>
          <w:i/>
          <w:sz w:val="24"/>
        </w:rPr>
        <w:t>Government budgeting in developing Countries</w:t>
      </w:r>
      <w:r>
        <w:rPr>
          <w:sz w:val="24"/>
        </w:rPr>
        <w:t>. London: Routledge.</w:t>
      </w:r>
      <w:r>
        <w:rPr>
          <w:spacing w:val="40"/>
          <w:sz w:val="24"/>
        </w:rPr>
        <w:t> </w:t>
      </w:r>
      <w:r>
        <w:rPr>
          <w:sz w:val="24"/>
        </w:rPr>
        <w:t>Dimock,</w:t>
      </w:r>
      <w:r>
        <w:rPr>
          <w:spacing w:val="59"/>
          <w:sz w:val="24"/>
        </w:rPr>
        <w:t> </w:t>
      </w:r>
      <w:r>
        <w:rPr>
          <w:sz w:val="24"/>
        </w:rPr>
        <w:t>M.</w:t>
      </w:r>
      <w:r>
        <w:rPr>
          <w:spacing w:val="60"/>
          <w:sz w:val="24"/>
        </w:rPr>
        <w:t> </w:t>
      </w:r>
      <w:r>
        <w:rPr>
          <w:sz w:val="24"/>
        </w:rPr>
        <w:t>(1990).</w:t>
      </w:r>
      <w:r>
        <w:rPr>
          <w:spacing w:val="59"/>
          <w:sz w:val="24"/>
        </w:rPr>
        <w:t> </w:t>
      </w:r>
      <w:r>
        <w:rPr>
          <w:sz w:val="24"/>
        </w:rPr>
        <w:t>The</w:t>
      </w:r>
      <w:r>
        <w:rPr>
          <w:spacing w:val="59"/>
          <w:sz w:val="24"/>
        </w:rPr>
        <w:t> </w:t>
      </w:r>
      <w:r>
        <w:rPr>
          <w:sz w:val="24"/>
        </w:rPr>
        <w:t>restorative</w:t>
      </w:r>
      <w:r>
        <w:rPr>
          <w:spacing w:val="59"/>
          <w:sz w:val="24"/>
        </w:rPr>
        <w:t> </w:t>
      </w:r>
      <w:r>
        <w:rPr>
          <w:sz w:val="24"/>
        </w:rPr>
        <w:t>qualities</w:t>
      </w:r>
      <w:r>
        <w:rPr>
          <w:spacing w:val="60"/>
          <w:sz w:val="24"/>
        </w:rPr>
        <w:t> </w:t>
      </w:r>
      <w:r>
        <w:rPr>
          <w:sz w:val="24"/>
        </w:rPr>
        <w:t>of</w:t>
      </w:r>
      <w:r>
        <w:rPr>
          <w:spacing w:val="59"/>
          <w:sz w:val="24"/>
        </w:rPr>
        <w:t> </w:t>
      </w:r>
      <w:r>
        <w:rPr>
          <w:sz w:val="24"/>
        </w:rPr>
        <w:t>citizenship.</w:t>
      </w:r>
      <w:r>
        <w:rPr>
          <w:spacing w:val="63"/>
          <w:sz w:val="24"/>
        </w:rPr>
        <w:t> </w:t>
      </w:r>
      <w:r>
        <w:rPr>
          <w:i/>
          <w:sz w:val="24"/>
        </w:rPr>
        <w:t>Public</w:t>
      </w:r>
      <w:r>
        <w:rPr>
          <w:i/>
          <w:spacing w:val="59"/>
          <w:sz w:val="24"/>
        </w:rPr>
        <w:t> </w:t>
      </w:r>
      <w:r>
        <w:rPr>
          <w:i/>
          <w:sz w:val="24"/>
        </w:rPr>
        <w:t>Administration</w:t>
      </w:r>
      <w:r>
        <w:rPr>
          <w:i/>
          <w:spacing w:val="60"/>
          <w:sz w:val="24"/>
        </w:rPr>
        <w:t> </w:t>
      </w:r>
      <w:r>
        <w:rPr>
          <w:i/>
          <w:sz w:val="24"/>
        </w:rPr>
        <w:t>Review</w:t>
      </w:r>
      <w:r>
        <w:rPr>
          <w:sz w:val="24"/>
        </w:rPr>
        <w:t>,</w:t>
      </w:r>
    </w:p>
    <w:p>
      <w:pPr>
        <w:pStyle w:val="BodyText"/>
        <w:spacing w:before="2"/>
        <w:ind w:left="571"/>
      </w:pPr>
      <w:r>
        <w:rPr/>
        <w:t>50(1),</w:t>
      </w:r>
      <w:r>
        <w:rPr>
          <w:spacing w:val="-4"/>
        </w:rPr>
        <w:t> </w:t>
      </w:r>
      <w:r>
        <w:rPr/>
        <w:t>21-</w:t>
      </w:r>
      <w:r>
        <w:rPr>
          <w:spacing w:val="-5"/>
        </w:rPr>
        <w:t>25.</w:t>
      </w:r>
    </w:p>
    <w:p>
      <w:pPr>
        <w:pStyle w:val="BodyText"/>
      </w:pPr>
    </w:p>
    <w:p>
      <w:pPr>
        <w:spacing w:before="0"/>
        <w:ind w:left="571" w:right="1117" w:hanging="452"/>
        <w:jc w:val="both"/>
        <w:rPr>
          <w:sz w:val="24"/>
        </w:rPr>
      </w:pPr>
      <w:r>
        <w:rPr>
          <w:sz w:val="24"/>
        </w:rPr>
        <w:t>Diogu,</w:t>
      </w:r>
      <w:r>
        <w:rPr>
          <w:spacing w:val="-3"/>
          <w:sz w:val="24"/>
        </w:rPr>
        <w:t> </w:t>
      </w:r>
      <w:r>
        <w:rPr>
          <w:sz w:val="24"/>
        </w:rPr>
        <w:t>J.</w:t>
      </w:r>
      <w:r>
        <w:rPr>
          <w:spacing w:val="-3"/>
          <w:sz w:val="24"/>
        </w:rPr>
        <w:t> </w:t>
      </w:r>
      <w:r>
        <w:rPr>
          <w:sz w:val="24"/>
        </w:rPr>
        <w:t>O.</w:t>
      </w:r>
      <w:r>
        <w:rPr>
          <w:spacing w:val="-3"/>
          <w:sz w:val="24"/>
        </w:rPr>
        <w:t> </w:t>
      </w:r>
      <w:r>
        <w:rPr>
          <w:sz w:val="24"/>
        </w:rPr>
        <w:t>(2002).</w:t>
      </w:r>
      <w:r>
        <w:rPr>
          <w:spacing w:val="-3"/>
          <w:sz w:val="24"/>
        </w:rPr>
        <w:t> </w:t>
      </w:r>
      <w:r>
        <w:rPr>
          <w:sz w:val="24"/>
        </w:rPr>
        <w:t>Housing</w:t>
      </w:r>
      <w:r>
        <w:rPr>
          <w:spacing w:val="-5"/>
          <w:sz w:val="24"/>
        </w:rPr>
        <w:t> </w:t>
      </w:r>
      <w:r>
        <w:rPr>
          <w:sz w:val="24"/>
        </w:rPr>
        <w:t>the</w:t>
      </w:r>
      <w:r>
        <w:rPr>
          <w:spacing w:val="-3"/>
          <w:sz w:val="24"/>
        </w:rPr>
        <w:t> </w:t>
      </w:r>
      <w:r>
        <w:rPr>
          <w:sz w:val="24"/>
        </w:rPr>
        <w:t>poor</w:t>
      </w:r>
      <w:r>
        <w:rPr>
          <w:spacing w:val="-3"/>
          <w:sz w:val="24"/>
        </w:rPr>
        <w:t> </w:t>
      </w:r>
      <w:r>
        <w:rPr>
          <w:sz w:val="24"/>
        </w:rPr>
        <w:t>in</w:t>
      </w:r>
      <w:r>
        <w:rPr>
          <w:spacing w:val="-3"/>
          <w:sz w:val="24"/>
        </w:rPr>
        <w:t> </w:t>
      </w:r>
      <w:r>
        <w:rPr>
          <w:sz w:val="24"/>
        </w:rPr>
        <w:t>Nigeria:</w:t>
      </w:r>
      <w:r>
        <w:rPr>
          <w:spacing w:val="-1"/>
          <w:sz w:val="24"/>
        </w:rPr>
        <w:t> </w:t>
      </w:r>
      <w:r>
        <w:rPr>
          <w:sz w:val="24"/>
        </w:rPr>
        <w:t>The</w:t>
      </w:r>
      <w:r>
        <w:rPr>
          <w:spacing w:val="-5"/>
          <w:sz w:val="24"/>
        </w:rPr>
        <w:t> </w:t>
      </w:r>
      <w:r>
        <w:rPr>
          <w:sz w:val="24"/>
        </w:rPr>
        <w:t>integrated</w:t>
      </w:r>
      <w:r>
        <w:rPr>
          <w:spacing w:val="-3"/>
          <w:sz w:val="24"/>
        </w:rPr>
        <w:t> </w:t>
      </w:r>
      <w:r>
        <w:rPr>
          <w:sz w:val="24"/>
        </w:rPr>
        <w:t>project</w:t>
      </w:r>
      <w:r>
        <w:rPr>
          <w:spacing w:val="-3"/>
          <w:sz w:val="24"/>
        </w:rPr>
        <w:t> </w:t>
      </w:r>
      <w:r>
        <w:rPr>
          <w:sz w:val="24"/>
        </w:rPr>
        <w:t>approach, </w:t>
      </w:r>
      <w:r>
        <w:rPr>
          <w:i/>
          <w:sz w:val="24"/>
        </w:rPr>
        <w:t>Association</w:t>
      </w:r>
      <w:r>
        <w:rPr>
          <w:i/>
          <w:spacing w:val="-3"/>
          <w:sz w:val="24"/>
        </w:rPr>
        <w:t> </w:t>
      </w:r>
      <w:r>
        <w:rPr>
          <w:i/>
          <w:sz w:val="24"/>
        </w:rPr>
        <w:t>of Architectural Educators in Nigeria (AARCHES). Journal</w:t>
      </w:r>
      <w:r>
        <w:rPr>
          <w:sz w:val="24"/>
        </w:rPr>
        <w:t>, 2(1), 40-44.</w:t>
      </w:r>
    </w:p>
    <w:p>
      <w:pPr>
        <w:pStyle w:val="BodyText"/>
      </w:pPr>
    </w:p>
    <w:p>
      <w:pPr>
        <w:spacing w:before="0"/>
        <w:ind w:left="571" w:right="1119" w:hanging="452"/>
        <w:jc w:val="both"/>
        <w:rPr>
          <w:sz w:val="24"/>
        </w:rPr>
      </w:pPr>
      <w:r>
        <w:rPr>
          <w:sz w:val="24"/>
        </w:rPr>
        <w:t>Doyle, J. (2014). </w:t>
      </w:r>
      <w:r>
        <w:rPr>
          <w:i/>
          <w:sz w:val="24"/>
        </w:rPr>
        <w:t>Public sector performance measurement and reporting</w:t>
      </w:r>
      <w:r>
        <w:rPr>
          <w:sz w:val="24"/>
        </w:rPr>
        <w:t>. Melbourne: Victorian Government Printer.</w:t>
      </w:r>
    </w:p>
    <w:p>
      <w:pPr>
        <w:pStyle w:val="BodyText"/>
      </w:pPr>
    </w:p>
    <w:p>
      <w:pPr>
        <w:spacing w:before="1"/>
        <w:ind w:left="120" w:right="0" w:firstLine="0"/>
        <w:jc w:val="left"/>
        <w:rPr>
          <w:sz w:val="24"/>
        </w:rPr>
      </w:pPr>
      <w:r>
        <w:rPr>
          <w:sz w:val="24"/>
        </w:rPr>
        <w:t>Drucker,</w:t>
      </w:r>
      <w:r>
        <w:rPr>
          <w:spacing w:val="-1"/>
          <w:sz w:val="24"/>
        </w:rPr>
        <w:t> </w:t>
      </w:r>
      <w:r>
        <w:rPr>
          <w:sz w:val="24"/>
        </w:rPr>
        <w:t>P.</w:t>
      </w:r>
      <w:r>
        <w:rPr>
          <w:spacing w:val="-1"/>
          <w:sz w:val="24"/>
        </w:rPr>
        <w:t> </w:t>
      </w:r>
      <w:r>
        <w:rPr>
          <w:sz w:val="24"/>
        </w:rPr>
        <w:t>(1954).</w:t>
      </w:r>
      <w:r>
        <w:rPr>
          <w:spacing w:val="-1"/>
          <w:sz w:val="24"/>
        </w:rPr>
        <w:t> </w:t>
      </w:r>
      <w:r>
        <w:rPr>
          <w:i/>
          <w:sz w:val="24"/>
        </w:rPr>
        <w:t>The</w:t>
      </w:r>
      <w:r>
        <w:rPr>
          <w:i/>
          <w:spacing w:val="1"/>
          <w:sz w:val="24"/>
        </w:rPr>
        <w:t> </w:t>
      </w:r>
      <w:r>
        <w:rPr>
          <w:i/>
          <w:sz w:val="24"/>
        </w:rPr>
        <w:t>practice</w:t>
      </w:r>
      <w:r>
        <w:rPr>
          <w:i/>
          <w:spacing w:val="-3"/>
          <w:sz w:val="24"/>
        </w:rPr>
        <w:t> </w:t>
      </w:r>
      <w:r>
        <w:rPr>
          <w:i/>
          <w:sz w:val="24"/>
        </w:rPr>
        <w:t>of</w:t>
      </w:r>
      <w:r>
        <w:rPr>
          <w:i/>
          <w:spacing w:val="-1"/>
          <w:sz w:val="24"/>
        </w:rPr>
        <w:t> </w:t>
      </w:r>
      <w:r>
        <w:rPr>
          <w:i/>
          <w:sz w:val="24"/>
        </w:rPr>
        <w:t>management</w:t>
      </w:r>
      <w:r>
        <w:rPr>
          <w:sz w:val="24"/>
        </w:rPr>
        <w:t>. UK:</w:t>
      </w:r>
      <w:r>
        <w:rPr>
          <w:spacing w:val="-1"/>
          <w:sz w:val="24"/>
        </w:rPr>
        <w:t> </w:t>
      </w:r>
      <w:r>
        <w:rPr>
          <w:sz w:val="24"/>
        </w:rPr>
        <w:t>Harper</w:t>
      </w:r>
      <w:r>
        <w:rPr>
          <w:spacing w:val="-1"/>
          <w:sz w:val="24"/>
        </w:rPr>
        <w:t> </w:t>
      </w:r>
      <w:r>
        <w:rPr>
          <w:sz w:val="24"/>
        </w:rPr>
        <w:t>and </w:t>
      </w:r>
      <w:r>
        <w:rPr>
          <w:spacing w:val="-4"/>
          <w:sz w:val="24"/>
        </w:rPr>
        <w:t>Row.</w:t>
      </w:r>
    </w:p>
    <w:p>
      <w:pPr>
        <w:spacing w:line="480" w:lineRule="auto" w:before="276"/>
        <w:ind w:left="120" w:right="1117" w:firstLine="0"/>
        <w:jc w:val="left"/>
        <w:rPr>
          <w:sz w:val="24"/>
        </w:rPr>
      </w:pPr>
      <w:r>
        <w:rPr>
          <w:sz w:val="24"/>
        </w:rPr>
        <w:t>Drucker,</w:t>
      </w:r>
      <w:r>
        <w:rPr>
          <w:spacing w:val="-3"/>
          <w:sz w:val="24"/>
        </w:rPr>
        <w:t> </w:t>
      </w:r>
      <w:r>
        <w:rPr>
          <w:sz w:val="24"/>
        </w:rPr>
        <w:t>P.</w:t>
      </w:r>
      <w:r>
        <w:rPr>
          <w:spacing w:val="-3"/>
          <w:sz w:val="24"/>
        </w:rPr>
        <w:t> </w:t>
      </w:r>
      <w:r>
        <w:rPr>
          <w:sz w:val="24"/>
        </w:rPr>
        <w:t>(1977).</w:t>
      </w:r>
      <w:r>
        <w:rPr>
          <w:spacing w:val="-3"/>
          <w:sz w:val="24"/>
        </w:rPr>
        <w:t> </w:t>
      </w:r>
      <w:r>
        <w:rPr>
          <w:i/>
          <w:sz w:val="24"/>
        </w:rPr>
        <w:t>An</w:t>
      </w:r>
      <w:r>
        <w:rPr>
          <w:i/>
          <w:spacing w:val="-3"/>
          <w:sz w:val="24"/>
        </w:rPr>
        <w:t> </w:t>
      </w:r>
      <w:r>
        <w:rPr>
          <w:i/>
          <w:sz w:val="24"/>
        </w:rPr>
        <w:t>introductory</w:t>
      </w:r>
      <w:r>
        <w:rPr>
          <w:i/>
          <w:spacing w:val="-3"/>
          <w:sz w:val="24"/>
        </w:rPr>
        <w:t> </w:t>
      </w:r>
      <w:r>
        <w:rPr>
          <w:i/>
          <w:sz w:val="24"/>
        </w:rPr>
        <w:t>view</w:t>
      </w:r>
      <w:r>
        <w:rPr>
          <w:i/>
          <w:spacing w:val="-3"/>
          <w:sz w:val="24"/>
        </w:rPr>
        <w:t> </w:t>
      </w:r>
      <w:r>
        <w:rPr>
          <w:i/>
          <w:sz w:val="24"/>
        </w:rPr>
        <w:t>of</w:t>
      </w:r>
      <w:r>
        <w:rPr>
          <w:i/>
          <w:spacing w:val="-3"/>
          <w:sz w:val="24"/>
        </w:rPr>
        <w:t> </w:t>
      </w:r>
      <w:r>
        <w:rPr>
          <w:i/>
          <w:sz w:val="24"/>
        </w:rPr>
        <w:t>management</w:t>
      </w:r>
      <w:r>
        <w:rPr>
          <w:sz w:val="24"/>
        </w:rPr>
        <w:t>.</w:t>
      </w:r>
      <w:r>
        <w:rPr>
          <w:spacing w:val="-3"/>
          <w:sz w:val="24"/>
        </w:rPr>
        <w:t> </w:t>
      </w:r>
      <w:r>
        <w:rPr>
          <w:sz w:val="24"/>
        </w:rPr>
        <w:t>New</w:t>
      </w:r>
      <w:r>
        <w:rPr>
          <w:spacing w:val="-3"/>
          <w:sz w:val="24"/>
        </w:rPr>
        <w:t> </w:t>
      </w:r>
      <w:r>
        <w:rPr>
          <w:sz w:val="24"/>
        </w:rPr>
        <w:t>York</w:t>
      </w:r>
      <w:r>
        <w:rPr>
          <w:spacing w:val="-3"/>
          <w:sz w:val="24"/>
        </w:rPr>
        <w:t> </w:t>
      </w:r>
      <w:r>
        <w:rPr>
          <w:sz w:val="24"/>
        </w:rPr>
        <w:t>NY:</w:t>
      </w:r>
      <w:r>
        <w:rPr>
          <w:spacing w:val="-3"/>
          <w:sz w:val="24"/>
        </w:rPr>
        <w:t> </w:t>
      </w:r>
      <w:r>
        <w:rPr>
          <w:sz w:val="24"/>
        </w:rPr>
        <w:t>Harper</w:t>
      </w:r>
      <w:r>
        <w:rPr>
          <w:spacing w:val="-3"/>
          <w:sz w:val="24"/>
        </w:rPr>
        <w:t> </w:t>
      </w:r>
      <w:r>
        <w:rPr>
          <w:sz w:val="24"/>
        </w:rPr>
        <w:t>College</w:t>
      </w:r>
      <w:r>
        <w:rPr>
          <w:spacing w:val="-4"/>
          <w:sz w:val="24"/>
        </w:rPr>
        <w:t> </w:t>
      </w:r>
      <w:r>
        <w:rPr>
          <w:sz w:val="24"/>
        </w:rPr>
        <w:t>Press. Drucker, P. (2001). </w:t>
      </w:r>
      <w:r>
        <w:rPr>
          <w:i/>
          <w:sz w:val="24"/>
        </w:rPr>
        <w:t>The efficiency of the decision makers</w:t>
      </w:r>
      <w:r>
        <w:rPr>
          <w:sz w:val="24"/>
        </w:rPr>
        <w:t>. Bucharest: Destin.</w:t>
      </w:r>
    </w:p>
    <w:p>
      <w:pPr>
        <w:spacing w:before="0"/>
        <w:ind w:left="571" w:right="1115" w:hanging="452"/>
        <w:jc w:val="both"/>
        <w:rPr>
          <w:sz w:val="24"/>
        </w:rPr>
      </w:pPr>
      <w:r>
        <w:rPr>
          <w:sz w:val="24"/>
        </w:rPr>
        <w:t>Drysek, J.S. (1996). Political inclusion and the dynamics of democratization. </w:t>
      </w:r>
      <w:r>
        <w:rPr>
          <w:i/>
          <w:sz w:val="24"/>
        </w:rPr>
        <w:t>American Political Science Review</w:t>
      </w:r>
      <w:r>
        <w:rPr>
          <w:sz w:val="24"/>
        </w:rPr>
        <w:t>, 90(3),475-487.</w:t>
      </w:r>
    </w:p>
    <w:p>
      <w:pPr>
        <w:pStyle w:val="BodyText"/>
      </w:pPr>
    </w:p>
    <w:p>
      <w:pPr>
        <w:pStyle w:val="BodyText"/>
        <w:ind w:left="120"/>
      </w:pPr>
      <w:r>
        <w:rPr/>
        <w:t>Drysek,</w:t>
      </w:r>
      <w:r>
        <w:rPr>
          <w:spacing w:val="30"/>
        </w:rPr>
        <w:t> </w:t>
      </w:r>
      <w:r>
        <w:rPr/>
        <w:t>J.S.,</w:t>
      </w:r>
      <w:r>
        <w:rPr>
          <w:spacing w:val="29"/>
        </w:rPr>
        <w:t> </w:t>
      </w:r>
      <w:r>
        <w:rPr/>
        <w:t>&amp;</w:t>
      </w:r>
      <w:r>
        <w:rPr>
          <w:spacing w:val="31"/>
        </w:rPr>
        <w:t> </w:t>
      </w:r>
      <w:r>
        <w:rPr/>
        <w:t>Torgerson.</w:t>
      </w:r>
      <w:r>
        <w:rPr>
          <w:spacing w:val="32"/>
        </w:rPr>
        <w:t> </w:t>
      </w:r>
      <w:r>
        <w:rPr/>
        <w:t>A.</w:t>
      </w:r>
      <w:r>
        <w:rPr>
          <w:spacing w:val="32"/>
        </w:rPr>
        <w:t> </w:t>
      </w:r>
      <w:r>
        <w:rPr/>
        <w:t>(1993).</w:t>
      </w:r>
      <w:r>
        <w:rPr>
          <w:spacing w:val="31"/>
        </w:rPr>
        <w:t> </w:t>
      </w:r>
      <w:r>
        <w:rPr/>
        <w:t>Democracy</w:t>
      </w:r>
      <w:r>
        <w:rPr>
          <w:spacing w:val="27"/>
        </w:rPr>
        <w:t> </w:t>
      </w:r>
      <w:r>
        <w:rPr/>
        <w:t>and</w:t>
      </w:r>
      <w:r>
        <w:rPr>
          <w:spacing w:val="32"/>
        </w:rPr>
        <w:t> </w:t>
      </w:r>
      <w:r>
        <w:rPr/>
        <w:t>the</w:t>
      </w:r>
      <w:r>
        <w:rPr>
          <w:spacing w:val="32"/>
        </w:rPr>
        <w:t> </w:t>
      </w:r>
      <w:r>
        <w:rPr/>
        <w:t>policy</w:t>
      </w:r>
      <w:r>
        <w:rPr>
          <w:spacing w:val="25"/>
        </w:rPr>
        <w:t> </w:t>
      </w:r>
      <w:r>
        <w:rPr/>
        <w:t>sciences:</w:t>
      </w:r>
      <w:r>
        <w:rPr>
          <w:spacing w:val="33"/>
        </w:rPr>
        <w:t> </w:t>
      </w:r>
      <w:r>
        <w:rPr/>
        <w:t>A</w:t>
      </w:r>
      <w:r>
        <w:rPr>
          <w:spacing w:val="31"/>
        </w:rPr>
        <w:t> </w:t>
      </w:r>
      <w:r>
        <w:rPr/>
        <w:t>progress</w:t>
      </w:r>
      <w:r>
        <w:rPr>
          <w:spacing w:val="33"/>
        </w:rPr>
        <w:t> </w:t>
      </w:r>
      <w:r>
        <w:rPr>
          <w:spacing w:val="-2"/>
        </w:rPr>
        <w:t>report.</w:t>
      </w:r>
    </w:p>
    <w:p>
      <w:pPr>
        <w:spacing w:before="0"/>
        <w:ind w:left="571" w:right="0" w:firstLine="0"/>
        <w:jc w:val="left"/>
        <w:rPr>
          <w:sz w:val="24"/>
        </w:rPr>
      </w:pPr>
      <w:r>
        <w:rPr>
          <w:i/>
          <w:sz w:val="24"/>
        </w:rPr>
        <w:t>Policy</w:t>
      </w:r>
      <w:r>
        <w:rPr>
          <w:i/>
          <w:spacing w:val="-3"/>
          <w:sz w:val="24"/>
        </w:rPr>
        <w:t> </w:t>
      </w:r>
      <w:r>
        <w:rPr>
          <w:i/>
          <w:sz w:val="24"/>
        </w:rPr>
        <w:t>Sciences</w:t>
      </w:r>
      <w:r>
        <w:rPr>
          <w:sz w:val="24"/>
        </w:rPr>
        <w:t>,</w:t>
      </w:r>
      <w:r>
        <w:rPr>
          <w:spacing w:val="-1"/>
          <w:sz w:val="24"/>
        </w:rPr>
        <w:t> </w:t>
      </w:r>
      <w:r>
        <w:rPr>
          <w:sz w:val="24"/>
        </w:rPr>
        <w:t>26(3),</w:t>
      </w:r>
      <w:r>
        <w:rPr>
          <w:spacing w:val="-1"/>
          <w:sz w:val="24"/>
        </w:rPr>
        <w:t> </w:t>
      </w:r>
      <w:r>
        <w:rPr>
          <w:sz w:val="24"/>
        </w:rPr>
        <w:t>127-</w:t>
      </w:r>
      <w:r>
        <w:rPr>
          <w:spacing w:val="-4"/>
          <w:sz w:val="24"/>
        </w:rPr>
        <w:t>137.</w:t>
      </w:r>
    </w:p>
    <w:p>
      <w:pPr>
        <w:pStyle w:val="BodyText"/>
      </w:pPr>
    </w:p>
    <w:p>
      <w:pPr>
        <w:spacing w:before="0"/>
        <w:ind w:left="571" w:right="1117" w:hanging="452"/>
        <w:jc w:val="left"/>
        <w:rPr>
          <w:sz w:val="24"/>
        </w:rPr>
      </w:pPr>
      <w:r>
        <w:rPr>
          <w:sz w:val="24"/>
        </w:rPr>
        <w:t>Ebdon</w:t>
      </w:r>
      <w:r>
        <w:rPr>
          <w:spacing w:val="-3"/>
          <w:sz w:val="24"/>
        </w:rPr>
        <w:t> </w:t>
      </w:r>
      <w:r>
        <w:rPr>
          <w:sz w:val="24"/>
        </w:rPr>
        <w:t>,</w:t>
      </w:r>
      <w:r>
        <w:rPr>
          <w:spacing w:val="-3"/>
          <w:sz w:val="24"/>
        </w:rPr>
        <w:t> </w:t>
      </w:r>
      <w:r>
        <w:rPr>
          <w:sz w:val="24"/>
        </w:rPr>
        <w:t>C.(2000).</w:t>
      </w:r>
      <w:r>
        <w:rPr>
          <w:spacing w:val="-3"/>
          <w:sz w:val="24"/>
        </w:rPr>
        <w:t> </w:t>
      </w:r>
      <w:r>
        <w:rPr>
          <w:sz w:val="24"/>
        </w:rPr>
        <w:t>The</w:t>
      </w:r>
      <w:r>
        <w:rPr>
          <w:spacing w:val="-5"/>
          <w:sz w:val="24"/>
        </w:rPr>
        <w:t> </w:t>
      </w:r>
      <w:r>
        <w:rPr>
          <w:sz w:val="24"/>
        </w:rPr>
        <w:t>relationship</w:t>
      </w:r>
      <w:r>
        <w:rPr>
          <w:spacing w:val="-3"/>
          <w:sz w:val="24"/>
        </w:rPr>
        <w:t> </w:t>
      </w:r>
      <w:r>
        <w:rPr>
          <w:sz w:val="24"/>
        </w:rPr>
        <w:t>between</w:t>
      </w:r>
      <w:r>
        <w:rPr>
          <w:spacing w:val="-3"/>
          <w:sz w:val="24"/>
        </w:rPr>
        <w:t> </w:t>
      </w:r>
      <w:r>
        <w:rPr>
          <w:sz w:val="24"/>
        </w:rPr>
        <w:t>citizen</w:t>
      </w:r>
      <w:r>
        <w:rPr>
          <w:spacing w:val="-3"/>
          <w:sz w:val="24"/>
        </w:rPr>
        <w:t> </w:t>
      </w:r>
      <w:r>
        <w:rPr>
          <w:sz w:val="24"/>
        </w:rPr>
        <w:t>involvement</w:t>
      </w:r>
      <w:r>
        <w:rPr>
          <w:spacing w:val="-3"/>
          <w:sz w:val="24"/>
        </w:rPr>
        <w:t> </w:t>
      </w:r>
      <w:r>
        <w:rPr>
          <w:sz w:val="24"/>
        </w:rPr>
        <w:t>in</w:t>
      </w:r>
      <w:r>
        <w:rPr>
          <w:spacing w:val="-3"/>
          <w:sz w:val="24"/>
        </w:rPr>
        <w:t> </w:t>
      </w:r>
      <w:r>
        <w:rPr>
          <w:sz w:val="24"/>
        </w:rPr>
        <w:t>the</w:t>
      </w:r>
      <w:r>
        <w:rPr>
          <w:spacing w:val="-4"/>
          <w:sz w:val="24"/>
        </w:rPr>
        <w:t> </w:t>
      </w:r>
      <w:r>
        <w:rPr>
          <w:sz w:val="24"/>
        </w:rPr>
        <w:t>budget</w:t>
      </w:r>
      <w:r>
        <w:rPr>
          <w:spacing w:val="-3"/>
          <w:sz w:val="24"/>
        </w:rPr>
        <w:t> </w:t>
      </w:r>
      <w:r>
        <w:rPr>
          <w:sz w:val="24"/>
        </w:rPr>
        <w:t>process</w:t>
      </w:r>
      <w:r>
        <w:rPr>
          <w:spacing w:val="-3"/>
          <w:sz w:val="24"/>
        </w:rPr>
        <w:t> </w:t>
      </w:r>
      <w:r>
        <w:rPr>
          <w:sz w:val="24"/>
        </w:rPr>
        <w:t>and</w:t>
      </w:r>
      <w:r>
        <w:rPr>
          <w:spacing w:val="-3"/>
          <w:sz w:val="24"/>
        </w:rPr>
        <w:t> </w:t>
      </w:r>
      <w:r>
        <w:rPr>
          <w:sz w:val="24"/>
        </w:rPr>
        <w:t>city structure and culture . </w:t>
      </w:r>
      <w:r>
        <w:rPr>
          <w:i/>
          <w:sz w:val="24"/>
        </w:rPr>
        <w:t>Public Productivity and Management Review, </w:t>
      </w:r>
      <w:r>
        <w:rPr>
          <w:sz w:val="24"/>
        </w:rPr>
        <w:t>23 (3), 383 – 393.</w:t>
      </w:r>
    </w:p>
    <w:p>
      <w:pPr>
        <w:pStyle w:val="BodyText"/>
      </w:pPr>
    </w:p>
    <w:p>
      <w:pPr>
        <w:spacing w:before="0"/>
        <w:ind w:left="571" w:right="1117" w:hanging="452"/>
        <w:jc w:val="left"/>
        <w:rPr>
          <w:sz w:val="24"/>
        </w:rPr>
      </w:pPr>
      <w:r>
        <w:rPr>
          <w:sz w:val="24"/>
        </w:rPr>
        <w:t>Ebdon, C. (2002). Beyond the public hearing: Citizen participation in the local government budget</w:t>
      </w:r>
      <w:r>
        <w:rPr>
          <w:spacing w:val="40"/>
          <w:sz w:val="24"/>
        </w:rPr>
        <w:t> </w:t>
      </w:r>
      <w:r>
        <w:rPr>
          <w:sz w:val="24"/>
        </w:rPr>
        <w:t>process.</w:t>
      </w:r>
      <w:r>
        <w:rPr>
          <w:spacing w:val="40"/>
          <w:sz w:val="24"/>
        </w:rPr>
        <w:t> </w:t>
      </w:r>
      <w:r>
        <w:rPr>
          <w:i/>
          <w:sz w:val="24"/>
        </w:rPr>
        <w:t>Journal</w:t>
      </w:r>
      <w:r>
        <w:rPr>
          <w:i/>
          <w:spacing w:val="40"/>
          <w:sz w:val="24"/>
        </w:rPr>
        <w:t> </w:t>
      </w:r>
      <w:r>
        <w:rPr>
          <w:i/>
          <w:sz w:val="24"/>
        </w:rPr>
        <w:t>of</w:t>
      </w:r>
      <w:r>
        <w:rPr>
          <w:i/>
          <w:spacing w:val="40"/>
          <w:sz w:val="24"/>
        </w:rPr>
        <w:t> </w:t>
      </w:r>
      <w:r>
        <w:rPr>
          <w:i/>
          <w:sz w:val="24"/>
        </w:rPr>
        <w:t>Public</w:t>
      </w:r>
      <w:r>
        <w:rPr>
          <w:i/>
          <w:spacing w:val="40"/>
          <w:sz w:val="24"/>
        </w:rPr>
        <w:t> </w:t>
      </w:r>
      <w:r>
        <w:rPr>
          <w:i/>
          <w:sz w:val="24"/>
        </w:rPr>
        <w:t>Budgeting,</w:t>
      </w:r>
      <w:r>
        <w:rPr>
          <w:i/>
          <w:spacing w:val="40"/>
          <w:sz w:val="24"/>
        </w:rPr>
        <w:t> </w:t>
      </w:r>
      <w:r>
        <w:rPr>
          <w:i/>
          <w:sz w:val="24"/>
        </w:rPr>
        <w:t>Accounting</w:t>
      </w:r>
      <w:r>
        <w:rPr>
          <w:i/>
          <w:spacing w:val="40"/>
          <w:sz w:val="24"/>
        </w:rPr>
        <w:t> </w:t>
      </w:r>
      <w:r>
        <w:rPr>
          <w:i/>
          <w:sz w:val="24"/>
        </w:rPr>
        <w:t>and</w:t>
      </w:r>
      <w:r>
        <w:rPr>
          <w:i/>
          <w:spacing w:val="40"/>
          <w:sz w:val="24"/>
        </w:rPr>
        <w:t> </w:t>
      </w:r>
      <w:r>
        <w:rPr>
          <w:i/>
          <w:sz w:val="24"/>
        </w:rPr>
        <w:t>Financial</w:t>
      </w:r>
      <w:r>
        <w:rPr>
          <w:i/>
          <w:spacing w:val="40"/>
          <w:sz w:val="24"/>
        </w:rPr>
        <w:t> </w:t>
      </w:r>
      <w:r>
        <w:rPr>
          <w:i/>
          <w:sz w:val="24"/>
        </w:rPr>
        <w:t>Management</w:t>
      </w:r>
      <w:r>
        <w:rPr>
          <w:sz w:val="24"/>
        </w:rPr>
        <w:t>.</w:t>
      </w:r>
      <w:r>
        <w:rPr>
          <w:spacing w:val="80"/>
          <w:sz w:val="24"/>
        </w:rPr>
        <w:t> </w:t>
      </w:r>
      <w:r>
        <w:rPr>
          <w:sz w:val="24"/>
        </w:rPr>
        <w:t>14(2), 273-294.</w:t>
      </w:r>
    </w:p>
    <w:p>
      <w:pPr>
        <w:spacing w:after="0"/>
        <w:jc w:val="left"/>
        <w:rPr>
          <w:sz w:val="24"/>
        </w:rPr>
        <w:sectPr>
          <w:pgSz w:w="12240" w:h="15840"/>
          <w:pgMar w:header="0" w:footer="1036" w:top="1360" w:bottom="1220" w:left="1320" w:right="320"/>
        </w:sectPr>
      </w:pPr>
    </w:p>
    <w:p>
      <w:pPr>
        <w:spacing w:before="72"/>
        <w:ind w:left="571" w:right="1117" w:hanging="452"/>
        <w:jc w:val="left"/>
        <w:rPr>
          <w:sz w:val="24"/>
        </w:rPr>
      </w:pPr>
      <w:r>
        <w:rPr>
          <w:sz w:val="24"/>
        </w:rPr>
        <w:t>Ebdon,</w:t>
      </w:r>
      <w:r>
        <w:rPr>
          <w:spacing w:val="-3"/>
          <w:sz w:val="24"/>
        </w:rPr>
        <w:t> </w:t>
      </w:r>
      <w:r>
        <w:rPr>
          <w:sz w:val="24"/>
        </w:rPr>
        <w:t>C.,</w:t>
      </w:r>
      <w:r>
        <w:rPr>
          <w:spacing w:val="-3"/>
          <w:sz w:val="24"/>
        </w:rPr>
        <w:t> </w:t>
      </w:r>
      <w:r>
        <w:rPr>
          <w:sz w:val="24"/>
        </w:rPr>
        <w:t>&amp;</w:t>
      </w:r>
      <w:r>
        <w:rPr>
          <w:spacing w:val="-5"/>
          <w:sz w:val="24"/>
        </w:rPr>
        <w:t> </w:t>
      </w:r>
      <w:r>
        <w:rPr>
          <w:sz w:val="24"/>
        </w:rPr>
        <w:t>Aimee,</w:t>
      </w:r>
      <w:r>
        <w:rPr>
          <w:spacing w:val="-1"/>
          <w:sz w:val="24"/>
        </w:rPr>
        <w:t> </w:t>
      </w:r>
      <w:r>
        <w:rPr>
          <w:sz w:val="24"/>
        </w:rPr>
        <w:t>F.</w:t>
      </w:r>
      <w:r>
        <w:rPr>
          <w:spacing w:val="-3"/>
          <w:sz w:val="24"/>
        </w:rPr>
        <w:t> </w:t>
      </w:r>
      <w:r>
        <w:rPr>
          <w:sz w:val="24"/>
        </w:rPr>
        <w:t>(2004).</w:t>
      </w:r>
      <w:r>
        <w:rPr>
          <w:spacing w:val="-3"/>
          <w:sz w:val="24"/>
        </w:rPr>
        <w:t> </w:t>
      </w:r>
      <w:r>
        <w:rPr>
          <w:sz w:val="24"/>
        </w:rPr>
        <w:t>Searching</w:t>
      </w:r>
      <w:r>
        <w:rPr>
          <w:spacing w:val="-4"/>
          <w:sz w:val="24"/>
        </w:rPr>
        <w:t> </w:t>
      </w:r>
      <w:r>
        <w:rPr>
          <w:sz w:val="24"/>
        </w:rPr>
        <w:t>for</w:t>
      </w:r>
      <w:r>
        <w:rPr>
          <w:spacing w:val="-5"/>
          <w:sz w:val="24"/>
        </w:rPr>
        <w:t> </w:t>
      </w:r>
      <w:r>
        <w:rPr>
          <w:sz w:val="24"/>
        </w:rPr>
        <w:t>a</w:t>
      </w:r>
      <w:r>
        <w:rPr>
          <w:spacing w:val="-2"/>
          <w:sz w:val="24"/>
        </w:rPr>
        <w:t> </w:t>
      </w:r>
      <w:r>
        <w:rPr>
          <w:sz w:val="24"/>
        </w:rPr>
        <w:t>role</w:t>
      </w:r>
      <w:r>
        <w:rPr>
          <w:spacing w:val="-3"/>
          <w:sz w:val="24"/>
        </w:rPr>
        <w:t> </w:t>
      </w:r>
      <w:r>
        <w:rPr>
          <w:sz w:val="24"/>
        </w:rPr>
        <w:t>for</w:t>
      </w:r>
      <w:r>
        <w:rPr>
          <w:spacing w:val="-4"/>
          <w:sz w:val="24"/>
        </w:rPr>
        <w:t> </w:t>
      </w:r>
      <w:r>
        <w:rPr>
          <w:sz w:val="24"/>
        </w:rPr>
        <w:t>citizens</w:t>
      </w:r>
      <w:r>
        <w:rPr>
          <w:spacing w:val="-3"/>
          <w:sz w:val="24"/>
        </w:rPr>
        <w:t> </w:t>
      </w:r>
      <w:r>
        <w:rPr>
          <w:sz w:val="24"/>
        </w:rPr>
        <w:t>in</w:t>
      </w:r>
      <w:r>
        <w:rPr>
          <w:spacing w:val="-3"/>
          <w:sz w:val="24"/>
        </w:rPr>
        <w:t> </w:t>
      </w:r>
      <w:r>
        <w:rPr>
          <w:sz w:val="24"/>
        </w:rPr>
        <w:t>the</w:t>
      </w:r>
      <w:r>
        <w:rPr>
          <w:spacing w:val="-3"/>
          <w:sz w:val="24"/>
        </w:rPr>
        <w:t> </w:t>
      </w:r>
      <w:r>
        <w:rPr>
          <w:sz w:val="24"/>
        </w:rPr>
        <w:t>budget</w:t>
      </w:r>
      <w:r>
        <w:rPr>
          <w:spacing w:val="-3"/>
          <w:sz w:val="24"/>
        </w:rPr>
        <w:t> </w:t>
      </w:r>
      <w:r>
        <w:rPr>
          <w:sz w:val="24"/>
        </w:rPr>
        <w:t>process. </w:t>
      </w:r>
      <w:r>
        <w:rPr>
          <w:i/>
          <w:sz w:val="24"/>
        </w:rPr>
        <w:t>Public Budgeting and Finance, </w:t>
      </w:r>
      <w:r>
        <w:rPr>
          <w:sz w:val="24"/>
        </w:rPr>
        <w:t>24(1), 32 – 49.</w:t>
      </w:r>
    </w:p>
    <w:p>
      <w:pPr>
        <w:pStyle w:val="BodyText"/>
      </w:pPr>
    </w:p>
    <w:p>
      <w:pPr>
        <w:spacing w:before="0"/>
        <w:ind w:left="571" w:right="1119" w:hanging="452"/>
        <w:jc w:val="left"/>
        <w:rPr>
          <w:sz w:val="24"/>
        </w:rPr>
      </w:pPr>
      <w:r>
        <w:rPr>
          <w:sz w:val="24"/>
        </w:rPr>
        <w:t>Ebdon,</w:t>
      </w:r>
      <w:r>
        <w:rPr>
          <w:spacing w:val="32"/>
          <w:sz w:val="24"/>
        </w:rPr>
        <w:t> </w:t>
      </w:r>
      <w:r>
        <w:rPr>
          <w:sz w:val="24"/>
        </w:rPr>
        <w:t>C.,</w:t>
      </w:r>
      <w:r>
        <w:rPr>
          <w:spacing w:val="32"/>
          <w:sz w:val="24"/>
        </w:rPr>
        <w:t> </w:t>
      </w:r>
      <w:r>
        <w:rPr>
          <w:sz w:val="24"/>
        </w:rPr>
        <w:t>&amp;</w:t>
      </w:r>
      <w:r>
        <w:rPr>
          <w:spacing w:val="30"/>
          <w:sz w:val="24"/>
        </w:rPr>
        <w:t> </w:t>
      </w:r>
      <w:r>
        <w:rPr>
          <w:sz w:val="24"/>
        </w:rPr>
        <w:t>Aimee,</w:t>
      </w:r>
      <w:r>
        <w:rPr>
          <w:spacing w:val="35"/>
          <w:sz w:val="24"/>
        </w:rPr>
        <w:t> </w:t>
      </w:r>
      <w:r>
        <w:rPr>
          <w:sz w:val="24"/>
        </w:rPr>
        <w:t>F.</w:t>
      </w:r>
      <w:r>
        <w:rPr>
          <w:spacing w:val="37"/>
          <w:sz w:val="24"/>
        </w:rPr>
        <w:t> </w:t>
      </w:r>
      <w:r>
        <w:rPr>
          <w:sz w:val="24"/>
        </w:rPr>
        <w:t>L.</w:t>
      </w:r>
      <w:r>
        <w:rPr>
          <w:spacing w:val="34"/>
          <w:sz w:val="24"/>
        </w:rPr>
        <w:t> </w:t>
      </w:r>
      <w:r>
        <w:rPr>
          <w:sz w:val="24"/>
        </w:rPr>
        <w:t>(2006).</w:t>
      </w:r>
      <w:r>
        <w:rPr>
          <w:spacing w:val="35"/>
          <w:sz w:val="24"/>
        </w:rPr>
        <w:t> </w:t>
      </w:r>
      <w:r>
        <w:rPr>
          <w:i/>
          <w:sz w:val="24"/>
        </w:rPr>
        <w:t>Citizen</w:t>
      </w:r>
      <w:r>
        <w:rPr>
          <w:i/>
          <w:spacing w:val="32"/>
          <w:sz w:val="24"/>
        </w:rPr>
        <w:t> </w:t>
      </w:r>
      <w:r>
        <w:rPr>
          <w:i/>
          <w:sz w:val="24"/>
        </w:rPr>
        <w:t>participation</w:t>
      </w:r>
      <w:r>
        <w:rPr>
          <w:i/>
          <w:spacing w:val="32"/>
          <w:sz w:val="24"/>
        </w:rPr>
        <w:t> </w:t>
      </w:r>
      <w:r>
        <w:rPr>
          <w:i/>
          <w:sz w:val="24"/>
        </w:rPr>
        <w:t>in</w:t>
      </w:r>
      <w:r>
        <w:rPr>
          <w:i/>
          <w:spacing w:val="33"/>
          <w:sz w:val="24"/>
        </w:rPr>
        <w:t> </w:t>
      </w:r>
      <w:r>
        <w:rPr>
          <w:i/>
          <w:sz w:val="24"/>
        </w:rPr>
        <w:t>budgeting</w:t>
      </w:r>
      <w:r>
        <w:rPr>
          <w:i/>
          <w:spacing w:val="32"/>
          <w:sz w:val="24"/>
        </w:rPr>
        <w:t> </w:t>
      </w:r>
      <w:r>
        <w:rPr>
          <w:i/>
          <w:sz w:val="24"/>
        </w:rPr>
        <w:t>theory</w:t>
      </w:r>
      <w:r>
        <w:rPr>
          <w:sz w:val="24"/>
        </w:rPr>
        <w:t>.</w:t>
      </w:r>
      <w:r>
        <w:rPr>
          <w:spacing w:val="33"/>
          <w:sz w:val="24"/>
        </w:rPr>
        <w:t> </w:t>
      </w:r>
      <w:r>
        <w:rPr>
          <w:sz w:val="24"/>
        </w:rPr>
        <w:t>Retrieved</w:t>
      </w:r>
      <w:r>
        <w:rPr>
          <w:spacing w:val="32"/>
          <w:sz w:val="24"/>
        </w:rPr>
        <w:t> </w:t>
      </w:r>
      <w:r>
        <w:rPr>
          <w:sz w:val="24"/>
        </w:rPr>
        <w:t>from </w:t>
      </w:r>
      <w:hyperlink r:id="rId223">
        <w:r>
          <w:rPr>
            <w:spacing w:val="-2"/>
            <w:sz w:val="24"/>
          </w:rPr>
          <w:t>http://www.ca-ilg.org/sites/main/files/file-attachments/budget_linked_resource_1.pdf</w:t>
        </w:r>
      </w:hyperlink>
    </w:p>
    <w:p>
      <w:pPr>
        <w:pStyle w:val="BodyText"/>
      </w:pPr>
    </w:p>
    <w:p>
      <w:pPr>
        <w:pStyle w:val="BodyText"/>
        <w:ind w:left="571" w:right="1117" w:hanging="452"/>
      </w:pPr>
      <w:r>
        <w:rPr/>
        <w:t>Ebie,</w:t>
      </w:r>
      <w:r>
        <w:rPr>
          <w:spacing w:val="80"/>
        </w:rPr>
        <w:t> </w:t>
      </w:r>
      <w:r>
        <w:rPr/>
        <w:t>S.</w:t>
      </w:r>
      <w:r>
        <w:rPr>
          <w:spacing w:val="80"/>
        </w:rPr>
        <w:t> </w:t>
      </w:r>
      <w:r>
        <w:rPr/>
        <w:t>P.</w:t>
      </w:r>
      <w:r>
        <w:rPr>
          <w:spacing w:val="80"/>
        </w:rPr>
        <w:t> </w:t>
      </w:r>
      <w:r>
        <w:rPr/>
        <w:t>(2004).</w:t>
      </w:r>
      <w:r>
        <w:rPr>
          <w:spacing w:val="80"/>
        </w:rPr>
        <w:t> </w:t>
      </w:r>
      <w:r>
        <w:rPr/>
        <w:t>Statutory</w:t>
      </w:r>
      <w:r>
        <w:rPr>
          <w:spacing w:val="79"/>
        </w:rPr>
        <w:t> </w:t>
      </w:r>
      <w:r>
        <w:rPr/>
        <w:t>component(s)</w:t>
      </w:r>
      <w:r>
        <w:rPr>
          <w:spacing w:val="80"/>
        </w:rPr>
        <w:t> </w:t>
      </w:r>
      <w:r>
        <w:rPr/>
        <w:t>on</w:t>
      </w:r>
      <w:r>
        <w:rPr>
          <w:spacing w:val="80"/>
        </w:rPr>
        <w:t> </w:t>
      </w:r>
      <w:r>
        <w:rPr/>
        <w:t>housing</w:t>
      </w:r>
      <w:r>
        <w:rPr>
          <w:spacing w:val="79"/>
        </w:rPr>
        <w:t> </w:t>
      </w:r>
      <w:r>
        <w:rPr/>
        <w:t>policy;</w:t>
      </w:r>
      <w:r>
        <w:rPr>
          <w:spacing w:val="80"/>
        </w:rPr>
        <w:t> </w:t>
      </w:r>
      <w:r>
        <w:rPr/>
        <w:t>legislative</w:t>
      </w:r>
      <w:r>
        <w:rPr>
          <w:spacing w:val="80"/>
        </w:rPr>
        <w:t> </w:t>
      </w:r>
      <w:r>
        <w:rPr/>
        <w:t>and</w:t>
      </w:r>
      <w:r>
        <w:rPr>
          <w:spacing w:val="80"/>
        </w:rPr>
        <w:t> </w:t>
      </w:r>
      <w:r>
        <w:rPr/>
        <w:t>regulatory requirements of the new housing policy. </w:t>
      </w:r>
      <w:r>
        <w:rPr>
          <w:i/>
        </w:rPr>
        <w:t>Housing Today</w:t>
      </w:r>
      <w:r>
        <w:rPr/>
        <w:t>, 4(8), 6–9.</w:t>
      </w:r>
    </w:p>
    <w:p>
      <w:pPr>
        <w:pStyle w:val="BodyText"/>
      </w:pPr>
    </w:p>
    <w:p>
      <w:pPr>
        <w:spacing w:before="0"/>
        <w:ind w:left="571" w:right="1114" w:hanging="452"/>
        <w:jc w:val="both"/>
        <w:rPr>
          <w:sz w:val="24"/>
        </w:rPr>
      </w:pPr>
      <w:r>
        <w:rPr>
          <w:sz w:val="24"/>
        </w:rPr>
        <w:t>Ebie, S.P. (2009). Public sector driven housing; achievements and problems. </w:t>
      </w:r>
      <w:r>
        <w:rPr>
          <w:i/>
          <w:sz w:val="24"/>
        </w:rPr>
        <w:t>A Paper presented at the Annual lecture </w:t>
      </w:r>
      <w:r>
        <w:rPr>
          <w:sz w:val="24"/>
        </w:rPr>
        <w:t>of the </w:t>
      </w:r>
      <w:r>
        <w:rPr>
          <w:i/>
          <w:sz w:val="24"/>
        </w:rPr>
        <w:t>Faculty of Environmental Sciences</w:t>
      </w:r>
      <w:r>
        <w:rPr>
          <w:sz w:val="24"/>
        </w:rPr>
        <w:t>, Nnamdi Azikiwe</w:t>
      </w:r>
      <w:r>
        <w:rPr>
          <w:spacing w:val="40"/>
          <w:sz w:val="24"/>
        </w:rPr>
        <w:t> </w:t>
      </w:r>
      <w:r>
        <w:rPr>
          <w:sz w:val="24"/>
        </w:rPr>
        <w:t>University, Awka.</w:t>
      </w:r>
    </w:p>
    <w:p>
      <w:pPr>
        <w:pStyle w:val="BodyText"/>
        <w:spacing w:before="1"/>
      </w:pPr>
    </w:p>
    <w:p>
      <w:pPr>
        <w:spacing w:before="0"/>
        <w:ind w:left="571" w:right="1118" w:hanging="452"/>
        <w:jc w:val="both"/>
        <w:rPr>
          <w:sz w:val="24"/>
        </w:rPr>
      </w:pPr>
      <w:r>
        <w:rPr>
          <w:sz w:val="24"/>
        </w:rPr>
        <w:t>Ebohon, O.J., &amp; Rwelamila, P.D. (2002). Sustainable construction in Sub Saharan Africa: Relevance, rhetoric and the reality: Agenda 21. </w:t>
      </w:r>
      <w:r>
        <w:rPr>
          <w:i/>
          <w:sz w:val="24"/>
        </w:rPr>
        <w:t>Sustainable Construction in Developing Countries</w:t>
      </w:r>
      <w:r>
        <w:rPr>
          <w:sz w:val="24"/>
        </w:rPr>
        <w:t>, 1(1), 1- 16.</w:t>
      </w:r>
    </w:p>
    <w:p>
      <w:pPr>
        <w:pStyle w:val="BodyText"/>
      </w:pPr>
    </w:p>
    <w:p>
      <w:pPr>
        <w:spacing w:before="0"/>
        <w:ind w:left="571" w:right="1744" w:hanging="452"/>
        <w:jc w:val="left"/>
        <w:rPr>
          <w:sz w:val="24"/>
        </w:rPr>
      </w:pPr>
      <w:r>
        <w:rPr>
          <w:sz w:val="24"/>
        </w:rPr>
        <w:t>Eccles,</w:t>
      </w:r>
      <w:r>
        <w:rPr>
          <w:spacing w:val="-4"/>
          <w:sz w:val="24"/>
        </w:rPr>
        <w:t> </w:t>
      </w:r>
      <w:r>
        <w:rPr>
          <w:sz w:val="24"/>
        </w:rPr>
        <w:t>R.</w:t>
      </w:r>
      <w:r>
        <w:rPr>
          <w:spacing w:val="-4"/>
          <w:sz w:val="24"/>
        </w:rPr>
        <w:t> </w:t>
      </w:r>
      <w:r>
        <w:rPr>
          <w:sz w:val="24"/>
        </w:rPr>
        <w:t>G.</w:t>
      </w:r>
      <w:r>
        <w:rPr>
          <w:spacing w:val="-4"/>
          <w:sz w:val="24"/>
        </w:rPr>
        <w:t> </w:t>
      </w:r>
      <w:r>
        <w:rPr>
          <w:sz w:val="24"/>
        </w:rPr>
        <w:t>(1991).</w:t>
      </w:r>
      <w:r>
        <w:rPr>
          <w:spacing w:val="-4"/>
          <w:sz w:val="24"/>
        </w:rPr>
        <w:t> </w:t>
      </w:r>
      <w:r>
        <w:rPr>
          <w:sz w:val="24"/>
        </w:rPr>
        <w:t>The</w:t>
      </w:r>
      <w:r>
        <w:rPr>
          <w:spacing w:val="-3"/>
          <w:sz w:val="24"/>
        </w:rPr>
        <w:t> </w:t>
      </w:r>
      <w:r>
        <w:rPr>
          <w:sz w:val="24"/>
        </w:rPr>
        <w:t>performance</w:t>
      </w:r>
      <w:r>
        <w:rPr>
          <w:spacing w:val="-5"/>
          <w:sz w:val="24"/>
        </w:rPr>
        <w:t> </w:t>
      </w:r>
      <w:r>
        <w:rPr>
          <w:sz w:val="24"/>
        </w:rPr>
        <w:t>measurement</w:t>
      </w:r>
      <w:r>
        <w:rPr>
          <w:spacing w:val="-4"/>
          <w:sz w:val="24"/>
        </w:rPr>
        <w:t> </w:t>
      </w:r>
      <w:r>
        <w:rPr>
          <w:sz w:val="24"/>
        </w:rPr>
        <w:t>manifesto. </w:t>
      </w:r>
      <w:r>
        <w:rPr>
          <w:i/>
          <w:sz w:val="24"/>
        </w:rPr>
        <w:t>Harvard</w:t>
      </w:r>
      <w:r>
        <w:rPr>
          <w:i/>
          <w:spacing w:val="-4"/>
          <w:sz w:val="24"/>
        </w:rPr>
        <w:t> </w:t>
      </w:r>
      <w:r>
        <w:rPr>
          <w:i/>
          <w:sz w:val="24"/>
        </w:rPr>
        <w:t>Business</w:t>
      </w:r>
      <w:r>
        <w:rPr>
          <w:i/>
          <w:spacing w:val="-4"/>
          <w:sz w:val="24"/>
        </w:rPr>
        <w:t> </w:t>
      </w:r>
      <w:r>
        <w:rPr>
          <w:i/>
          <w:sz w:val="24"/>
        </w:rPr>
        <w:t>Review</w:t>
      </w:r>
      <w:r>
        <w:rPr>
          <w:sz w:val="24"/>
        </w:rPr>
        <w:t>, Jan-Feb: 1131-1137.</w:t>
      </w:r>
    </w:p>
    <w:p>
      <w:pPr>
        <w:spacing w:before="257"/>
        <w:ind w:left="120" w:right="0" w:firstLine="0"/>
        <w:jc w:val="left"/>
        <w:rPr>
          <w:i/>
          <w:sz w:val="24"/>
        </w:rPr>
      </w:pPr>
      <w:r>
        <w:rPr>
          <w:sz w:val="24"/>
        </w:rPr>
        <w:t>Economic</w:t>
      </w:r>
      <w:r>
        <w:rPr>
          <w:spacing w:val="31"/>
          <w:sz w:val="24"/>
        </w:rPr>
        <w:t> </w:t>
      </w:r>
      <w:r>
        <w:rPr>
          <w:sz w:val="24"/>
        </w:rPr>
        <w:t>and</w:t>
      </w:r>
      <w:r>
        <w:rPr>
          <w:spacing w:val="37"/>
          <w:sz w:val="24"/>
        </w:rPr>
        <w:t> </w:t>
      </w:r>
      <w:r>
        <w:rPr>
          <w:sz w:val="24"/>
        </w:rPr>
        <w:t>Social</w:t>
      </w:r>
      <w:r>
        <w:rPr>
          <w:spacing w:val="34"/>
          <w:sz w:val="24"/>
        </w:rPr>
        <w:t> </w:t>
      </w:r>
      <w:r>
        <w:rPr>
          <w:sz w:val="24"/>
        </w:rPr>
        <w:t>Rights</w:t>
      </w:r>
      <w:r>
        <w:rPr>
          <w:spacing w:val="36"/>
          <w:sz w:val="24"/>
        </w:rPr>
        <w:t> </w:t>
      </w:r>
      <w:r>
        <w:rPr>
          <w:sz w:val="24"/>
        </w:rPr>
        <w:t>Centre.</w:t>
      </w:r>
      <w:r>
        <w:rPr>
          <w:spacing w:val="35"/>
          <w:sz w:val="24"/>
        </w:rPr>
        <w:t> </w:t>
      </w:r>
      <w:r>
        <w:rPr>
          <w:sz w:val="24"/>
        </w:rPr>
        <w:t>(2013).</w:t>
      </w:r>
      <w:r>
        <w:rPr>
          <w:spacing w:val="38"/>
          <w:sz w:val="24"/>
        </w:rPr>
        <w:t> </w:t>
      </w:r>
      <w:r>
        <w:rPr>
          <w:i/>
          <w:sz w:val="24"/>
        </w:rPr>
        <w:t>A</w:t>
      </w:r>
      <w:r>
        <w:rPr>
          <w:i/>
          <w:spacing w:val="37"/>
          <w:sz w:val="24"/>
        </w:rPr>
        <w:t> </w:t>
      </w:r>
      <w:r>
        <w:rPr>
          <w:i/>
          <w:sz w:val="24"/>
        </w:rPr>
        <w:t>report</w:t>
      </w:r>
      <w:r>
        <w:rPr>
          <w:i/>
          <w:spacing w:val="35"/>
          <w:sz w:val="24"/>
        </w:rPr>
        <w:t> </w:t>
      </w:r>
      <w:r>
        <w:rPr>
          <w:i/>
          <w:sz w:val="24"/>
        </w:rPr>
        <w:t>on</w:t>
      </w:r>
      <w:r>
        <w:rPr>
          <w:i/>
          <w:spacing w:val="35"/>
          <w:sz w:val="24"/>
        </w:rPr>
        <w:t> </w:t>
      </w:r>
      <w:r>
        <w:rPr>
          <w:i/>
          <w:sz w:val="24"/>
        </w:rPr>
        <w:t>Housing</w:t>
      </w:r>
      <w:r>
        <w:rPr>
          <w:i/>
          <w:spacing w:val="36"/>
          <w:sz w:val="24"/>
        </w:rPr>
        <w:t> </w:t>
      </w:r>
      <w:r>
        <w:rPr>
          <w:i/>
          <w:sz w:val="24"/>
        </w:rPr>
        <w:t>sector</w:t>
      </w:r>
      <w:r>
        <w:rPr>
          <w:i/>
          <w:spacing w:val="37"/>
          <w:sz w:val="24"/>
        </w:rPr>
        <w:t> </w:t>
      </w:r>
      <w:r>
        <w:rPr>
          <w:i/>
          <w:sz w:val="24"/>
        </w:rPr>
        <w:t>financing</w:t>
      </w:r>
      <w:r>
        <w:rPr>
          <w:i/>
          <w:spacing w:val="36"/>
          <w:sz w:val="24"/>
        </w:rPr>
        <w:t> </w:t>
      </w:r>
      <w:r>
        <w:rPr>
          <w:i/>
          <w:sz w:val="24"/>
        </w:rPr>
        <w:t>in</w:t>
      </w:r>
      <w:r>
        <w:rPr>
          <w:i/>
          <w:spacing w:val="36"/>
          <w:sz w:val="24"/>
        </w:rPr>
        <w:t> </w:t>
      </w:r>
      <w:r>
        <w:rPr>
          <w:i/>
          <w:spacing w:val="-2"/>
          <w:sz w:val="24"/>
        </w:rPr>
        <w:t>Kenya.</w:t>
      </w:r>
    </w:p>
    <w:p>
      <w:pPr>
        <w:pStyle w:val="BodyText"/>
        <w:ind w:left="571"/>
      </w:pPr>
      <w:r>
        <w:rPr/>
        <w:t>Nairobi,</w:t>
      </w:r>
      <w:r>
        <w:rPr>
          <w:spacing w:val="-1"/>
        </w:rPr>
        <w:t> </w:t>
      </w:r>
      <w:r>
        <w:rPr/>
        <w:t>Kenya: American</w:t>
      </w:r>
      <w:r>
        <w:rPr>
          <w:spacing w:val="-1"/>
        </w:rPr>
        <w:t> </w:t>
      </w:r>
      <w:r>
        <w:rPr/>
        <w:t>Jewish</w:t>
      </w:r>
      <w:r>
        <w:rPr>
          <w:spacing w:val="-1"/>
        </w:rPr>
        <w:t> </w:t>
      </w:r>
      <w:r>
        <w:rPr/>
        <w:t>World</w:t>
      </w:r>
      <w:r>
        <w:rPr>
          <w:spacing w:val="-2"/>
        </w:rPr>
        <w:t> Service.</w:t>
      </w:r>
    </w:p>
    <w:p>
      <w:pPr>
        <w:pStyle w:val="BodyText"/>
      </w:pPr>
    </w:p>
    <w:p>
      <w:pPr>
        <w:spacing w:before="0"/>
        <w:ind w:left="571" w:right="1124" w:hanging="452"/>
        <w:jc w:val="both"/>
        <w:rPr>
          <w:sz w:val="24"/>
        </w:rPr>
      </w:pPr>
      <w:r>
        <w:rPr>
          <w:sz w:val="24"/>
        </w:rPr>
        <w:t>Edewor, P. A. (2014). Homeless children and youths in Lagos, Nigeria: Their characteristics, street life and sexual behaviour. </w:t>
      </w:r>
      <w:r>
        <w:rPr>
          <w:i/>
          <w:sz w:val="24"/>
        </w:rPr>
        <w:t>Mediterranean Journal of Social Sciences, </w:t>
      </w:r>
      <w:r>
        <w:rPr>
          <w:sz w:val="24"/>
        </w:rPr>
        <w:t>5(1), 537-545.</w:t>
      </w:r>
    </w:p>
    <w:p>
      <w:pPr>
        <w:spacing w:line="554" w:lineRule="exact" w:before="57"/>
        <w:ind w:left="120" w:right="2008" w:firstLine="0"/>
        <w:jc w:val="left"/>
        <w:rPr>
          <w:sz w:val="24"/>
        </w:rPr>
      </w:pPr>
      <w:r>
        <w:rPr>
          <w:sz w:val="24"/>
        </w:rPr>
        <w:t>Edward, L. G. (2010). </w:t>
      </w:r>
      <w:r>
        <w:rPr>
          <w:i/>
          <w:sz w:val="24"/>
        </w:rPr>
        <w:t>The death and life of cities</w:t>
      </w:r>
      <w:r>
        <w:rPr>
          <w:sz w:val="24"/>
        </w:rPr>
        <w:t>. Massachusetts, MA: NBER. Edwards,</w:t>
      </w:r>
      <w:r>
        <w:rPr>
          <w:spacing w:val="-4"/>
          <w:sz w:val="24"/>
        </w:rPr>
        <w:t> </w:t>
      </w:r>
      <w:r>
        <w:rPr>
          <w:sz w:val="24"/>
        </w:rPr>
        <w:t>R.S.</w:t>
      </w:r>
      <w:r>
        <w:rPr>
          <w:spacing w:val="-4"/>
          <w:sz w:val="24"/>
        </w:rPr>
        <w:t> </w:t>
      </w:r>
      <w:r>
        <w:rPr>
          <w:sz w:val="24"/>
        </w:rPr>
        <w:t>(1945).</w:t>
      </w:r>
      <w:r>
        <w:rPr>
          <w:spacing w:val="-4"/>
          <w:sz w:val="24"/>
        </w:rPr>
        <w:t> </w:t>
      </w:r>
      <w:r>
        <w:rPr>
          <w:i/>
          <w:sz w:val="24"/>
        </w:rPr>
        <w:t>An</w:t>
      </w:r>
      <w:r>
        <w:rPr>
          <w:i/>
          <w:spacing w:val="-4"/>
          <w:sz w:val="24"/>
        </w:rPr>
        <w:t> </w:t>
      </w:r>
      <w:r>
        <w:rPr>
          <w:i/>
          <w:sz w:val="24"/>
        </w:rPr>
        <w:t>approach</w:t>
      </w:r>
      <w:r>
        <w:rPr>
          <w:i/>
          <w:spacing w:val="-4"/>
          <w:sz w:val="24"/>
        </w:rPr>
        <w:t> </w:t>
      </w:r>
      <w:r>
        <w:rPr>
          <w:i/>
          <w:sz w:val="24"/>
        </w:rPr>
        <w:t>to</w:t>
      </w:r>
      <w:r>
        <w:rPr>
          <w:i/>
          <w:spacing w:val="-4"/>
          <w:sz w:val="24"/>
        </w:rPr>
        <w:t> </w:t>
      </w:r>
      <w:r>
        <w:rPr>
          <w:i/>
          <w:sz w:val="24"/>
        </w:rPr>
        <w:t>government</w:t>
      </w:r>
      <w:r>
        <w:rPr>
          <w:i/>
          <w:spacing w:val="-4"/>
          <w:sz w:val="24"/>
        </w:rPr>
        <w:t> </w:t>
      </w:r>
      <w:r>
        <w:rPr>
          <w:i/>
          <w:sz w:val="24"/>
        </w:rPr>
        <w:t>budgeting</w:t>
      </w:r>
      <w:r>
        <w:rPr>
          <w:sz w:val="24"/>
        </w:rPr>
        <w:t>.</w:t>
      </w:r>
      <w:r>
        <w:rPr>
          <w:spacing w:val="-2"/>
          <w:sz w:val="24"/>
        </w:rPr>
        <w:t> </w:t>
      </w:r>
      <w:r>
        <w:rPr>
          <w:sz w:val="24"/>
        </w:rPr>
        <w:t>London:</w:t>
      </w:r>
      <w:r>
        <w:rPr>
          <w:spacing w:val="-4"/>
          <w:sz w:val="24"/>
        </w:rPr>
        <w:t> </w:t>
      </w:r>
      <w:r>
        <w:rPr>
          <w:sz w:val="24"/>
        </w:rPr>
        <w:t>Wiley</w:t>
      </w:r>
      <w:r>
        <w:rPr>
          <w:spacing w:val="-9"/>
          <w:sz w:val="24"/>
        </w:rPr>
        <w:t> </w:t>
      </w:r>
      <w:r>
        <w:rPr>
          <w:sz w:val="24"/>
        </w:rPr>
        <w:t>and</w:t>
      </w:r>
      <w:r>
        <w:rPr>
          <w:spacing w:val="-4"/>
          <w:sz w:val="24"/>
        </w:rPr>
        <w:t> </w:t>
      </w:r>
      <w:r>
        <w:rPr>
          <w:sz w:val="24"/>
        </w:rPr>
        <w:t>Sons.</w:t>
      </w:r>
    </w:p>
    <w:p>
      <w:pPr>
        <w:spacing w:before="79"/>
        <w:ind w:left="120" w:right="0" w:firstLine="0"/>
        <w:jc w:val="left"/>
        <w:rPr>
          <w:sz w:val="24"/>
        </w:rPr>
      </w:pPr>
      <w:r>
        <w:rPr>
          <w:sz w:val="24"/>
        </w:rPr>
        <w:t>Ekaete,</w:t>
      </w:r>
      <w:r>
        <w:rPr>
          <w:spacing w:val="3"/>
          <w:sz w:val="24"/>
        </w:rPr>
        <w:t> </w:t>
      </w:r>
      <w:r>
        <w:rPr>
          <w:sz w:val="24"/>
        </w:rPr>
        <w:t>U.J.(1989).</w:t>
      </w:r>
      <w:r>
        <w:rPr>
          <w:spacing w:val="6"/>
          <w:sz w:val="24"/>
        </w:rPr>
        <w:t> </w:t>
      </w:r>
      <w:r>
        <w:rPr>
          <w:i/>
          <w:sz w:val="24"/>
        </w:rPr>
        <w:t>Budgetary</w:t>
      </w:r>
      <w:r>
        <w:rPr>
          <w:i/>
          <w:spacing w:val="5"/>
          <w:sz w:val="24"/>
        </w:rPr>
        <w:t> </w:t>
      </w:r>
      <w:r>
        <w:rPr>
          <w:i/>
          <w:sz w:val="24"/>
        </w:rPr>
        <w:t>planning</w:t>
      </w:r>
      <w:r>
        <w:rPr>
          <w:i/>
          <w:spacing w:val="5"/>
          <w:sz w:val="24"/>
        </w:rPr>
        <w:t> </w:t>
      </w:r>
      <w:r>
        <w:rPr>
          <w:i/>
          <w:sz w:val="24"/>
        </w:rPr>
        <w:t>for</w:t>
      </w:r>
      <w:r>
        <w:rPr>
          <w:i/>
          <w:spacing w:val="6"/>
          <w:sz w:val="24"/>
        </w:rPr>
        <w:t> </w:t>
      </w:r>
      <w:r>
        <w:rPr>
          <w:i/>
          <w:sz w:val="24"/>
        </w:rPr>
        <w:t>capital</w:t>
      </w:r>
      <w:r>
        <w:rPr>
          <w:i/>
          <w:spacing w:val="6"/>
          <w:sz w:val="24"/>
        </w:rPr>
        <w:t> </w:t>
      </w:r>
      <w:r>
        <w:rPr>
          <w:i/>
          <w:sz w:val="24"/>
        </w:rPr>
        <w:t>projects</w:t>
      </w:r>
      <w:r>
        <w:rPr>
          <w:i/>
          <w:spacing w:val="6"/>
          <w:sz w:val="24"/>
        </w:rPr>
        <w:t> </w:t>
      </w:r>
      <w:r>
        <w:rPr>
          <w:i/>
          <w:sz w:val="24"/>
        </w:rPr>
        <w:t>and</w:t>
      </w:r>
      <w:r>
        <w:rPr>
          <w:i/>
          <w:spacing w:val="5"/>
          <w:sz w:val="24"/>
        </w:rPr>
        <w:t> </w:t>
      </w:r>
      <w:r>
        <w:rPr>
          <w:i/>
          <w:sz w:val="24"/>
        </w:rPr>
        <w:t>construction</w:t>
      </w:r>
      <w:r>
        <w:rPr>
          <w:i/>
          <w:spacing w:val="6"/>
          <w:sz w:val="24"/>
        </w:rPr>
        <w:t> </w:t>
      </w:r>
      <w:r>
        <w:rPr>
          <w:i/>
          <w:sz w:val="24"/>
        </w:rPr>
        <w:t>contracts</w:t>
      </w:r>
      <w:r>
        <w:rPr>
          <w:i/>
          <w:spacing w:val="6"/>
          <w:sz w:val="24"/>
        </w:rPr>
        <w:t> </w:t>
      </w:r>
      <w:r>
        <w:rPr>
          <w:i/>
          <w:spacing w:val="-2"/>
          <w:sz w:val="24"/>
        </w:rPr>
        <w:t>auditing</w:t>
      </w:r>
      <w:r>
        <w:rPr>
          <w:spacing w:val="-2"/>
          <w:sz w:val="24"/>
        </w:rPr>
        <w:t>.</w:t>
      </w:r>
    </w:p>
    <w:p>
      <w:pPr>
        <w:pStyle w:val="BodyText"/>
        <w:ind w:left="566"/>
      </w:pPr>
      <w:r>
        <w:rPr/>
        <w:t>Abuja:</w:t>
      </w:r>
      <w:r>
        <w:rPr>
          <w:spacing w:val="-1"/>
        </w:rPr>
        <w:t> </w:t>
      </w:r>
      <w:r>
        <w:rPr>
          <w:spacing w:val="-2"/>
        </w:rPr>
        <w:t>NIQS.</w:t>
      </w:r>
    </w:p>
    <w:p>
      <w:pPr>
        <w:pStyle w:val="BodyText"/>
        <w:spacing w:before="252"/>
        <w:ind w:left="571" w:right="1121" w:hanging="452"/>
        <w:jc w:val="both"/>
      </w:pPr>
      <w:r>
        <w:rPr/>
        <w:t>Ekundare, R. O. (1971). Nigeria's second national development plan as a weapon of social change. </w:t>
      </w:r>
      <w:r>
        <w:rPr>
          <w:i/>
        </w:rPr>
        <w:t>African affairs, </w:t>
      </w:r>
      <w:r>
        <w:rPr/>
        <w:t>146-158.</w:t>
      </w:r>
    </w:p>
    <w:p>
      <w:pPr>
        <w:pStyle w:val="BodyText"/>
        <w:spacing w:before="2"/>
      </w:pPr>
    </w:p>
    <w:p>
      <w:pPr>
        <w:spacing w:line="276" w:lineRule="auto" w:before="0"/>
        <w:ind w:left="571" w:right="1117" w:hanging="452"/>
        <w:jc w:val="left"/>
        <w:rPr>
          <w:sz w:val="24"/>
        </w:rPr>
      </w:pPr>
      <w:r>
        <w:rPr>
          <w:sz w:val="24"/>
        </w:rPr>
        <w:t>Ekwealor,</w:t>
      </w:r>
      <w:r>
        <w:rPr>
          <w:spacing w:val="-4"/>
          <w:sz w:val="24"/>
        </w:rPr>
        <w:t> </w:t>
      </w:r>
      <w:r>
        <w:rPr>
          <w:sz w:val="24"/>
        </w:rPr>
        <w:t>F.E.(2007).</w:t>
      </w:r>
      <w:r>
        <w:rPr>
          <w:spacing w:val="-5"/>
          <w:sz w:val="24"/>
        </w:rPr>
        <w:t> </w:t>
      </w:r>
      <w:r>
        <w:rPr>
          <w:i/>
          <w:sz w:val="24"/>
        </w:rPr>
        <w:t>Fundamentals</w:t>
      </w:r>
      <w:r>
        <w:rPr>
          <w:i/>
          <w:spacing w:val="-5"/>
          <w:sz w:val="24"/>
        </w:rPr>
        <w:t> </w:t>
      </w:r>
      <w:r>
        <w:rPr>
          <w:i/>
          <w:sz w:val="24"/>
        </w:rPr>
        <w:t>of</w:t>
      </w:r>
      <w:r>
        <w:rPr>
          <w:i/>
          <w:spacing w:val="-5"/>
          <w:sz w:val="24"/>
        </w:rPr>
        <w:t> </w:t>
      </w:r>
      <w:r>
        <w:rPr>
          <w:i/>
          <w:sz w:val="24"/>
        </w:rPr>
        <w:t>public</w:t>
      </w:r>
      <w:r>
        <w:rPr>
          <w:i/>
          <w:spacing w:val="-5"/>
          <w:sz w:val="24"/>
        </w:rPr>
        <w:t> </w:t>
      </w:r>
      <w:r>
        <w:rPr>
          <w:i/>
          <w:sz w:val="24"/>
        </w:rPr>
        <w:t>administration</w:t>
      </w:r>
      <w:r>
        <w:rPr>
          <w:sz w:val="24"/>
        </w:rPr>
        <w:t>.</w:t>
      </w:r>
      <w:r>
        <w:rPr>
          <w:spacing w:val="-5"/>
          <w:sz w:val="24"/>
        </w:rPr>
        <w:t> </w:t>
      </w:r>
      <w:r>
        <w:rPr>
          <w:sz w:val="24"/>
        </w:rPr>
        <w:t>Onitsha,</w:t>
      </w:r>
      <w:r>
        <w:rPr>
          <w:spacing w:val="-5"/>
          <w:sz w:val="24"/>
        </w:rPr>
        <w:t> </w:t>
      </w:r>
      <w:r>
        <w:rPr>
          <w:sz w:val="24"/>
        </w:rPr>
        <w:t>Nigeria:</w:t>
      </w:r>
      <w:r>
        <w:rPr>
          <w:spacing w:val="-5"/>
          <w:sz w:val="24"/>
        </w:rPr>
        <w:t> </w:t>
      </w:r>
      <w:r>
        <w:rPr>
          <w:sz w:val="24"/>
        </w:rPr>
        <w:t>Abbot</w:t>
      </w:r>
      <w:r>
        <w:rPr>
          <w:spacing w:val="-5"/>
          <w:sz w:val="24"/>
        </w:rPr>
        <w:t> </w:t>
      </w:r>
      <w:r>
        <w:rPr>
          <w:sz w:val="24"/>
        </w:rPr>
        <w:t>Books </w:t>
      </w:r>
      <w:r>
        <w:rPr>
          <w:spacing w:val="-4"/>
          <w:sz w:val="24"/>
        </w:rPr>
        <w:t>Ltd.</w:t>
      </w:r>
    </w:p>
    <w:p>
      <w:pPr>
        <w:pStyle w:val="BodyText"/>
        <w:tabs>
          <w:tab w:pos="1228" w:val="left" w:leader="none"/>
          <w:tab w:pos="1684" w:val="left" w:leader="none"/>
          <w:tab w:pos="2830" w:val="left" w:leader="none"/>
          <w:tab w:pos="4117" w:val="left" w:leader="none"/>
          <w:tab w:pos="5088" w:val="left" w:leader="none"/>
          <w:tab w:pos="5510" w:val="left" w:leader="none"/>
          <w:tab w:pos="6705" w:val="left" w:leader="none"/>
          <w:tab w:pos="7856" w:val="left" w:leader="none"/>
          <w:tab w:pos="9010" w:val="left" w:leader="none"/>
        </w:tabs>
        <w:spacing w:before="199"/>
        <w:ind w:left="571" w:right="1122" w:hanging="452"/>
      </w:pPr>
      <w:r>
        <w:rPr>
          <w:spacing w:val="-2"/>
        </w:rPr>
        <w:t>El-Rufai,</w:t>
      </w:r>
      <w:r>
        <w:rPr/>
        <w:tab/>
      </w:r>
      <w:r>
        <w:rPr>
          <w:spacing w:val="-6"/>
        </w:rPr>
        <w:t>N.</w:t>
      </w:r>
      <w:r>
        <w:rPr/>
        <w:tab/>
      </w:r>
      <w:r>
        <w:rPr>
          <w:spacing w:val="-2"/>
        </w:rPr>
        <w:t>(2012).</w:t>
      </w:r>
      <w:r>
        <w:rPr/>
        <w:tab/>
      </w:r>
      <w:r>
        <w:rPr>
          <w:spacing w:val="-2"/>
        </w:rPr>
        <w:t>Anambra‘s</w:t>
      </w:r>
      <w:r>
        <w:rPr/>
        <w:tab/>
      </w:r>
      <w:r>
        <w:rPr>
          <w:spacing w:val="-2"/>
        </w:rPr>
        <w:t>budgets</w:t>
      </w:r>
      <w:r>
        <w:rPr/>
        <w:tab/>
      </w:r>
      <w:r>
        <w:rPr>
          <w:spacing w:val="-6"/>
        </w:rPr>
        <w:t>of</w:t>
      </w:r>
      <w:r>
        <w:rPr/>
        <w:tab/>
      </w:r>
      <w:r>
        <w:rPr>
          <w:spacing w:val="-2"/>
        </w:rPr>
        <w:t>misplaced</w:t>
      </w:r>
      <w:r>
        <w:rPr/>
        <w:tab/>
      </w:r>
      <w:r>
        <w:rPr>
          <w:spacing w:val="-2"/>
        </w:rPr>
        <w:t>priorities.</w:t>
      </w:r>
      <w:r>
        <w:rPr/>
        <w:tab/>
      </w:r>
      <w:r>
        <w:rPr>
          <w:spacing w:val="-2"/>
        </w:rPr>
        <w:t>Retrieved</w:t>
      </w:r>
      <w:r>
        <w:rPr/>
        <w:tab/>
      </w:r>
      <w:r>
        <w:rPr>
          <w:spacing w:val="-4"/>
        </w:rPr>
        <w:t>from </w:t>
      </w:r>
      <w:hyperlink r:id="rId224">
        <w:r>
          <w:rPr>
            <w:spacing w:val="-2"/>
          </w:rPr>
          <w:t>http://www.nigeriavillagesquare.com/nasir-el-rufia</w:t>
        </w:r>
      </w:hyperlink>
    </w:p>
    <w:p>
      <w:pPr>
        <w:pStyle w:val="BodyText"/>
        <w:spacing w:line="550" w:lineRule="atLeast" w:before="2"/>
        <w:ind w:left="120" w:right="1117"/>
      </w:pPr>
      <w:r>
        <w:rPr/>
        <w:t>El-Rufai, N. (2012, August 17). Challenges of the Nigerian budget system. </w:t>
      </w:r>
      <w:r>
        <w:rPr>
          <w:i/>
        </w:rPr>
        <w:t>This Day, </w:t>
      </w:r>
      <w:r>
        <w:rPr/>
        <w:t>p.11. Emma,</w:t>
      </w:r>
      <w:r>
        <w:rPr>
          <w:spacing w:val="37"/>
        </w:rPr>
        <w:t> </w:t>
      </w:r>
      <w:r>
        <w:rPr/>
        <w:t>C.(2000).</w:t>
      </w:r>
      <w:r>
        <w:rPr>
          <w:spacing w:val="40"/>
        </w:rPr>
        <w:t> </w:t>
      </w:r>
      <w:r>
        <w:rPr/>
        <w:t>The</w:t>
      </w:r>
      <w:r>
        <w:rPr>
          <w:spacing w:val="40"/>
        </w:rPr>
        <w:t> </w:t>
      </w:r>
      <w:r>
        <w:rPr/>
        <w:t>roles</w:t>
      </w:r>
      <w:r>
        <w:rPr>
          <w:spacing w:val="40"/>
        </w:rPr>
        <w:t> </w:t>
      </w:r>
      <w:r>
        <w:rPr/>
        <w:t>of</w:t>
      </w:r>
      <w:r>
        <w:rPr>
          <w:spacing w:val="39"/>
        </w:rPr>
        <w:t> </w:t>
      </w:r>
      <w:r>
        <w:rPr/>
        <w:t>local</w:t>
      </w:r>
      <w:r>
        <w:rPr>
          <w:spacing w:val="42"/>
        </w:rPr>
        <w:t> </w:t>
      </w:r>
      <w:r>
        <w:rPr/>
        <w:t>government</w:t>
      </w:r>
      <w:r>
        <w:rPr>
          <w:spacing w:val="41"/>
        </w:rPr>
        <w:t> </w:t>
      </w:r>
      <w:r>
        <w:rPr/>
        <w:t>executive</w:t>
      </w:r>
      <w:r>
        <w:rPr>
          <w:spacing w:val="39"/>
        </w:rPr>
        <w:t> </w:t>
      </w:r>
      <w:r>
        <w:rPr/>
        <w:t>and</w:t>
      </w:r>
      <w:r>
        <w:rPr>
          <w:spacing w:val="39"/>
        </w:rPr>
        <w:t> </w:t>
      </w:r>
      <w:r>
        <w:rPr/>
        <w:t>legislative</w:t>
      </w:r>
      <w:r>
        <w:rPr>
          <w:spacing w:val="39"/>
        </w:rPr>
        <w:t> </w:t>
      </w:r>
      <w:r>
        <w:rPr/>
        <w:t>towards</w:t>
      </w:r>
      <w:r>
        <w:rPr>
          <w:spacing w:val="42"/>
        </w:rPr>
        <w:t> </w:t>
      </w:r>
      <w:r>
        <w:rPr>
          <w:spacing w:val="-2"/>
        </w:rPr>
        <w:t>functional</w:t>
      </w:r>
    </w:p>
    <w:p>
      <w:pPr>
        <w:spacing w:line="242" w:lineRule="auto" w:before="2"/>
        <w:ind w:left="571" w:right="1117" w:firstLine="0"/>
        <w:jc w:val="left"/>
        <w:rPr>
          <w:sz w:val="24"/>
        </w:rPr>
      </w:pPr>
      <w:r>
        <w:rPr>
          <w:sz w:val="24"/>
        </w:rPr>
        <w:t>Budget</w:t>
      </w:r>
      <w:r>
        <w:rPr>
          <w:spacing w:val="-3"/>
          <w:sz w:val="24"/>
        </w:rPr>
        <w:t> </w:t>
      </w:r>
      <w:r>
        <w:rPr>
          <w:sz w:val="24"/>
        </w:rPr>
        <w:t>preparation,</w:t>
      </w:r>
      <w:r>
        <w:rPr>
          <w:spacing w:val="-3"/>
          <w:sz w:val="24"/>
        </w:rPr>
        <w:t> </w:t>
      </w:r>
      <w:r>
        <w:rPr>
          <w:sz w:val="24"/>
        </w:rPr>
        <w:t>submission,</w:t>
      </w:r>
      <w:r>
        <w:rPr>
          <w:spacing w:val="-5"/>
          <w:sz w:val="24"/>
        </w:rPr>
        <w:t> </w:t>
      </w:r>
      <w:r>
        <w:rPr>
          <w:sz w:val="24"/>
        </w:rPr>
        <w:t>legislative</w:t>
      </w:r>
      <w:r>
        <w:rPr>
          <w:spacing w:val="-4"/>
          <w:sz w:val="24"/>
        </w:rPr>
        <w:t> </w:t>
      </w:r>
      <w:r>
        <w:rPr>
          <w:sz w:val="24"/>
        </w:rPr>
        <w:t>action</w:t>
      </w:r>
      <w:r>
        <w:rPr>
          <w:spacing w:val="-3"/>
          <w:sz w:val="24"/>
        </w:rPr>
        <w:t> </w:t>
      </w:r>
      <w:r>
        <w:rPr>
          <w:sz w:val="24"/>
        </w:rPr>
        <w:t>and</w:t>
      </w:r>
      <w:r>
        <w:rPr>
          <w:spacing w:val="-3"/>
          <w:sz w:val="24"/>
        </w:rPr>
        <w:t> </w:t>
      </w:r>
      <w:r>
        <w:rPr>
          <w:sz w:val="24"/>
        </w:rPr>
        <w:t>approval</w:t>
      </w:r>
      <w:r>
        <w:rPr>
          <w:spacing w:val="-3"/>
          <w:sz w:val="24"/>
        </w:rPr>
        <w:t> </w:t>
      </w:r>
      <w:r>
        <w:rPr>
          <w:sz w:val="24"/>
        </w:rPr>
        <w:t>for</w:t>
      </w:r>
      <w:r>
        <w:rPr>
          <w:spacing w:val="-5"/>
          <w:sz w:val="24"/>
        </w:rPr>
        <w:t> </w:t>
      </w:r>
      <w:r>
        <w:rPr>
          <w:sz w:val="24"/>
        </w:rPr>
        <w:t>implementation. </w:t>
      </w:r>
      <w:r>
        <w:rPr>
          <w:i/>
          <w:sz w:val="24"/>
        </w:rPr>
        <w:t>A</w:t>
      </w:r>
      <w:r>
        <w:rPr>
          <w:i/>
          <w:spacing w:val="-4"/>
          <w:sz w:val="24"/>
        </w:rPr>
        <w:t> </w:t>
      </w:r>
      <w:r>
        <w:rPr>
          <w:i/>
          <w:sz w:val="24"/>
        </w:rPr>
        <w:t>paper presented at a workshop on Budget Implementation </w:t>
      </w:r>
      <w:r>
        <w:rPr>
          <w:sz w:val="24"/>
        </w:rPr>
        <w:t>at Modotels, Enugu, June.</w:t>
      </w:r>
    </w:p>
    <w:p>
      <w:pPr>
        <w:spacing w:after="0" w:line="242" w:lineRule="auto"/>
        <w:jc w:val="left"/>
        <w:rPr>
          <w:sz w:val="24"/>
        </w:rPr>
        <w:sectPr>
          <w:pgSz w:w="12240" w:h="15840"/>
          <w:pgMar w:header="0" w:footer="1036" w:top="1360" w:bottom="1220" w:left="1320" w:right="320"/>
        </w:sectPr>
      </w:pPr>
    </w:p>
    <w:p>
      <w:pPr>
        <w:spacing w:line="276" w:lineRule="auto" w:before="74"/>
        <w:ind w:left="571" w:right="1117" w:hanging="452"/>
        <w:jc w:val="left"/>
        <w:rPr>
          <w:sz w:val="24"/>
        </w:rPr>
      </w:pPr>
      <w:r>
        <w:rPr>
          <w:sz w:val="24"/>
        </w:rPr>
        <w:t>Emma,</w:t>
      </w:r>
      <w:r>
        <w:rPr>
          <w:spacing w:val="-4"/>
          <w:sz w:val="24"/>
        </w:rPr>
        <w:t> </w:t>
      </w:r>
      <w:r>
        <w:rPr>
          <w:sz w:val="24"/>
        </w:rPr>
        <w:t>C.(2001).</w:t>
      </w:r>
      <w:r>
        <w:rPr>
          <w:spacing w:val="-4"/>
          <w:sz w:val="24"/>
        </w:rPr>
        <w:t> </w:t>
      </w:r>
      <w:r>
        <w:rPr>
          <w:i/>
          <w:sz w:val="24"/>
        </w:rPr>
        <w:t>Theories</w:t>
      </w:r>
      <w:r>
        <w:rPr>
          <w:i/>
          <w:spacing w:val="-4"/>
          <w:sz w:val="24"/>
        </w:rPr>
        <w:t> </w:t>
      </w:r>
      <w:r>
        <w:rPr>
          <w:i/>
          <w:sz w:val="24"/>
        </w:rPr>
        <w:t>and</w:t>
      </w:r>
      <w:r>
        <w:rPr>
          <w:i/>
          <w:spacing w:val="-4"/>
          <w:sz w:val="24"/>
        </w:rPr>
        <w:t> </w:t>
      </w:r>
      <w:r>
        <w:rPr>
          <w:i/>
          <w:sz w:val="24"/>
        </w:rPr>
        <w:t>practice</w:t>
      </w:r>
      <w:r>
        <w:rPr>
          <w:i/>
          <w:spacing w:val="-5"/>
          <w:sz w:val="24"/>
        </w:rPr>
        <w:t> </w:t>
      </w:r>
      <w:r>
        <w:rPr>
          <w:i/>
          <w:sz w:val="24"/>
        </w:rPr>
        <w:t>of</w:t>
      </w:r>
      <w:r>
        <w:rPr>
          <w:i/>
          <w:spacing w:val="-4"/>
          <w:sz w:val="24"/>
        </w:rPr>
        <w:t> </w:t>
      </w:r>
      <w:r>
        <w:rPr>
          <w:i/>
          <w:sz w:val="24"/>
        </w:rPr>
        <w:t>public</w:t>
      </w:r>
      <w:r>
        <w:rPr>
          <w:i/>
          <w:spacing w:val="-1"/>
          <w:sz w:val="24"/>
        </w:rPr>
        <w:t> </w:t>
      </w:r>
      <w:r>
        <w:rPr>
          <w:i/>
          <w:sz w:val="24"/>
        </w:rPr>
        <w:t>administration</w:t>
      </w:r>
      <w:r>
        <w:rPr>
          <w:i/>
          <w:spacing w:val="-4"/>
          <w:sz w:val="24"/>
        </w:rPr>
        <w:t> </w:t>
      </w:r>
      <w:r>
        <w:rPr>
          <w:i/>
          <w:sz w:val="24"/>
        </w:rPr>
        <w:t>in</w:t>
      </w:r>
      <w:r>
        <w:rPr>
          <w:i/>
          <w:spacing w:val="-4"/>
          <w:sz w:val="24"/>
        </w:rPr>
        <w:t> </w:t>
      </w:r>
      <w:r>
        <w:rPr>
          <w:i/>
          <w:sz w:val="24"/>
        </w:rPr>
        <w:t>Nigeria</w:t>
      </w:r>
      <w:r>
        <w:rPr>
          <w:sz w:val="24"/>
        </w:rPr>
        <w:t>.</w:t>
      </w:r>
      <w:r>
        <w:rPr>
          <w:spacing w:val="-4"/>
          <w:sz w:val="24"/>
        </w:rPr>
        <w:t> </w:t>
      </w:r>
      <w:r>
        <w:rPr>
          <w:sz w:val="24"/>
        </w:rPr>
        <w:t>Enugu,</w:t>
      </w:r>
      <w:r>
        <w:rPr>
          <w:spacing w:val="-4"/>
          <w:sz w:val="24"/>
        </w:rPr>
        <w:t> </w:t>
      </w:r>
      <w:r>
        <w:rPr>
          <w:sz w:val="24"/>
        </w:rPr>
        <w:t>Nigeria: Computer Edge.</w:t>
      </w:r>
    </w:p>
    <w:p>
      <w:pPr>
        <w:spacing w:before="198"/>
        <w:ind w:left="571" w:right="1117" w:hanging="452"/>
        <w:jc w:val="both"/>
        <w:rPr>
          <w:sz w:val="24"/>
        </w:rPr>
      </w:pPr>
      <w:r>
        <w:rPr>
          <w:sz w:val="24"/>
        </w:rPr>
        <w:t>Enhancing Financial Innovation and Access (EFInA). (2011). </w:t>
      </w:r>
      <w:r>
        <w:rPr>
          <w:i/>
          <w:sz w:val="24"/>
        </w:rPr>
        <w:t>Understanding the low income population in Nigeria</w:t>
      </w:r>
      <w:r>
        <w:rPr>
          <w:sz w:val="24"/>
        </w:rPr>
        <w:t>- </w:t>
      </w:r>
      <w:r>
        <w:rPr>
          <w:i/>
          <w:sz w:val="24"/>
        </w:rPr>
        <w:t>A Report. </w:t>
      </w:r>
      <w:r>
        <w:rPr>
          <w:sz w:val="24"/>
        </w:rPr>
        <w:t>Retrieved from </w:t>
      </w:r>
      <w:hyperlink r:id="rId225">
        <w:r>
          <w:rPr>
            <w:sz w:val="24"/>
          </w:rPr>
          <w:t>http://www.efina.org.ng</w:t>
        </w:r>
      </w:hyperlink>
    </w:p>
    <w:p>
      <w:pPr>
        <w:pStyle w:val="BodyText"/>
      </w:pPr>
    </w:p>
    <w:p>
      <w:pPr>
        <w:pStyle w:val="BodyText"/>
        <w:spacing w:before="1"/>
        <w:ind w:left="571" w:right="1121" w:hanging="452"/>
        <w:jc w:val="both"/>
      </w:pPr>
      <w:r>
        <w:rPr/>
        <w:t>Enuenwosu, C. E. (1985). The federal mortgage bank of Nigeria: Its objectives and future prospects. Central Bank of Nigeria Bullion July–September, pp. 20–25).</w:t>
      </w:r>
    </w:p>
    <w:p>
      <w:pPr>
        <w:spacing w:before="276"/>
        <w:ind w:left="571" w:right="1113" w:hanging="452"/>
        <w:jc w:val="both"/>
        <w:rPr>
          <w:sz w:val="24"/>
        </w:rPr>
      </w:pPr>
      <w:r>
        <w:rPr>
          <w:sz w:val="24"/>
        </w:rPr>
        <w:t>European Development Fund.(2007). </w:t>
      </w:r>
      <w:r>
        <w:rPr>
          <w:i/>
          <w:sz w:val="24"/>
        </w:rPr>
        <w:t>Assessment of public finance management system in Anambra State, using PEFA – Performance Measurement Framework – Consultant report. </w:t>
      </w:r>
      <w:r>
        <w:rPr>
          <w:sz w:val="24"/>
        </w:rPr>
        <w:t>Brussels: European Commission.</w:t>
      </w:r>
    </w:p>
    <w:p>
      <w:pPr>
        <w:pStyle w:val="BodyText"/>
      </w:pPr>
    </w:p>
    <w:p>
      <w:pPr>
        <w:spacing w:before="0"/>
        <w:ind w:left="571" w:right="1123" w:hanging="452"/>
        <w:jc w:val="both"/>
        <w:rPr>
          <w:sz w:val="24"/>
        </w:rPr>
      </w:pPr>
      <w:r>
        <w:rPr>
          <w:sz w:val="24"/>
        </w:rPr>
        <w:t>Eustella, B.(2004). </w:t>
      </w:r>
      <w:r>
        <w:rPr>
          <w:i/>
          <w:sz w:val="24"/>
        </w:rPr>
        <w:t>Towards sustainable development through reflect methodology. In German adult education and development. </w:t>
      </w:r>
      <w:r>
        <w:rPr>
          <w:sz w:val="24"/>
        </w:rPr>
        <w:t>Heidelberg: Springer Verlag.</w:t>
      </w:r>
    </w:p>
    <w:p>
      <w:pPr>
        <w:pStyle w:val="BodyText"/>
        <w:spacing w:before="63"/>
      </w:pPr>
    </w:p>
    <w:p>
      <w:pPr>
        <w:spacing w:line="240" w:lineRule="auto" w:before="0"/>
        <w:ind w:left="571" w:right="1117" w:hanging="452"/>
        <w:jc w:val="left"/>
        <w:rPr>
          <w:sz w:val="24"/>
        </w:rPr>
      </w:pPr>
      <w:r>
        <w:rPr>
          <w:sz w:val="24"/>
        </w:rPr>
        <w:t>Eze, F.(2000). Planning and budgeting at the local government levels. In C. Emma. et al.(Eds.), </w:t>
      </w:r>
      <w:r>
        <w:rPr>
          <w:i/>
          <w:sz w:val="24"/>
        </w:rPr>
        <w:t>Contemporary</w:t>
      </w:r>
      <w:r>
        <w:rPr>
          <w:i/>
          <w:spacing w:val="-4"/>
          <w:sz w:val="24"/>
        </w:rPr>
        <w:t> </w:t>
      </w:r>
      <w:r>
        <w:rPr>
          <w:i/>
          <w:sz w:val="24"/>
        </w:rPr>
        <w:t>issues</w:t>
      </w:r>
      <w:r>
        <w:rPr>
          <w:i/>
          <w:spacing w:val="-4"/>
          <w:sz w:val="24"/>
        </w:rPr>
        <w:t> </w:t>
      </w:r>
      <w:r>
        <w:rPr>
          <w:i/>
          <w:sz w:val="24"/>
        </w:rPr>
        <w:t>in</w:t>
      </w:r>
      <w:r>
        <w:rPr>
          <w:i/>
          <w:spacing w:val="-4"/>
          <w:sz w:val="24"/>
        </w:rPr>
        <w:t> </w:t>
      </w:r>
      <w:r>
        <w:rPr>
          <w:i/>
          <w:sz w:val="24"/>
        </w:rPr>
        <w:t>local</w:t>
      </w:r>
      <w:r>
        <w:rPr>
          <w:i/>
          <w:spacing w:val="-4"/>
          <w:sz w:val="24"/>
        </w:rPr>
        <w:t> </w:t>
      </w:r>
      <w:r>
        <w:rPr>
          <w:i/>
          <w:sz w:val="24"/>
        </w:rPr>
        <w:t>government</w:t>
      </w:r>
      <w:r>
        <w:rPr>
          <w:i/>
          <w:spacing w:val="-4"/>
          <w:sz w:val="24"/>
        </w:rPr>
        <w:t> </w:t>
      </w:r>
      <w:r>
        <w:rPr>
          <w:i/>
          <w:sz w:val="24"/>
        </w:rPr>
        <w:t>administration</w:t>
      </w:r>
      <w:r>
        <w:rPr>
          <w:i/>
          <w:spacing w:val="-4"/>
          <w:sz w:val="24"/>
        </w:rPr>
        <w:t> </w:t>
      </w:r>
      <w:r>
        <w:rPr>
          <w:i/>
          <w:sz w:val="24"/>
        </w:rPr>
        <w:t>and</w:t>
      </w:r>
      <w:r>
        <w:rPr>
          <w:i/>
          <w:spacing w:val="-4"/>
          <w:sz w:val="24"/>
        </w:rPr>
        <w:t> </w:t>
      </w:r>
      <w:r>
        <w:rPr>
          <w:i/>
          <w:sz w:val="24"/>
        </w:rPr>
        <w:t>rural</w:t>
      </w:r>
      <w:r>
        <w:rPr>
          <w:i/>
          <w:spacing w:val="-4"/>
          <w:sz w:val="24"/>
        </w:rPr>
        <w:t> </w:t>
      </w:r>
      <w:r>
        <w:rPr>
          <w:i/>
          <w:sz w:val="24"/>
        </w:rPr>
        <w:t>development</w:t>
      </w:r>
      <w:r>
        <w:rPr>
          <w:i/>
          <w:spacing w:val="-4"/>
          <w:sz w:val="24"/>
        </w:rPr>
        <w:t> </w:t>
      </w:r>
      <w:r>
        <w:rPr>
          <w:i/>
          <w:sz w:val="24"/>
        </w:rPr>
        <w:t>in</w:t>
      </w:r>
      <w:r>
        <w:rPr>
          <w:i/>
          <w:spacing w:val="-4"/>
          <w:sz w:val="24"/>
        </w:rPr>
        <w:t> </w:t>
      </w:r>
      <w:r>
        <w:rPr>
          <w:i/>
          <w:sz w:val="24"/>
        </w:rPr>
        <w:t>Nigeria</w:t>
      </w:r>
      <w:r>
        <w:rPr>
          <w:sz w:val="24"/>
        </w:rPr>
        <w:t>. Enugu: Computer Edge.</w:t>
      </w:r>
    </w:p>
    <w:p>
      <w:pPr>
        <w:pStyle w:val="BodyText"/>
        <w:spacing w:line="470" w:lineRule="atLeast" w:before="7"/>
        <w:ind w:left="120" w:right="1117"/>
        <w:rPr>
          <w:i/>
        </w:rPr>
      </w:pPr>
      <w:r>
        <w:rPr/>
        <w:t>Ezenagu, V.C. (2000).</w:t>
      </w:r>
      <w:r>
        <w:rPr>
          <w:i/>
        </w:rPr>
        <w:t>Fundamentals of housing</w:t>
      </w:r>
      <w:r>
        <w:rPr/>
        <w:t>. Awka, Anambra State: Fountain Publishers. Fagbenle, O.</w:t>
      </w:r>
      <w:r>
        <w:rPr>
          <w:spacing w:val="13"/>
        </w:rPr>
        <w:t> </w:t>
      </w:r>
      <w:r>
        <w:rPr/>
        <w:t>I., &amp; Owolabi, J. D. (2004). Budget as an instrument of cost control.</w:t>
      </w:r>
      <w:r>
        <w:rPr>
          <w:spacing w:val="16"/>
        </w:rPr>
        <w:t> </w:t>
      </w:r>
      <w:r>
        <w:rPr>
          <w:i/>
        </w:rPr>
        <w:t>International</w:t>
      </w:r>
    </w:p>
    <w:p>
      <w:pPr>
        <w:spacing w:before="3"/>
        <w:ind w:left="571" w:right="0" w:firstLine="0"/>
        <w:jc w:val="left"/>
        <w:rPr>
          <w:sz w:val="24"/>
        </w:rPr>
      </w:pPr>
      <w:r>
        <w:rPr>
          <w:i/>
          <w:sz w:val="24"/>
        </w:rPr>
        <w:t>Review</w:t>
      </w:r>
      <w:r>
        <w:rPr>
          <w:i/>
          <w:spacing w:val="-3"/>
          <w:sz w:val="24"/>
        </w:rPr>
        <w:t> </w:t>
      </w:r>
      <w:r>
        <w:rPr>
          <w:i/>
          <w:sz w:val="24"/>
        </w:rPr>
        <w:t>of</w:t>
      </w:r>
      <w:r>
        <w:rPr>
          <w:i/>
          <w:spacing w:val="-1"/>
          <w:sz w:val="24"/>
        </w:rPr>
        <w:t> </w:t>
      </w:r>
      <w:r>
        <w:rPr>
          <w:i/>
          <w:sz w:val="24"/>
        </w:rPr>
        <w:t>Business</w:t>
      </w:r>
      <w:r>
        <w:rPr>
          <w:i/>
          <w:spacing w:val="-1"/>
          <w:sz w:val="24"/>
        </w:rPr>
        <w:t> </w:t>
      </w:r>
      <w:r>
        <w:rPr>
          <w:i/>
          <w:sz w:val="24"/>
        </w:rPr>
        <w:t>and</w:t>
      </w:r>
      <w:r>
        <w:rPr>
          <w:i/>
          <w:spacing w:val="-1"/>
          <w:sz w:val="24"/>
        </w:rPr>
        <w:t> </w:t>
      </w:r>
      <w:r>
        <w:rPr>
          <w:i/>
          <w:sz w:val="24"/>
        </w:rPr>
        <w:t>Social</w:t>
      </w:r>
      <w:r>
        <w:rPr>
          <w:i/>
          <w:spacing w:val="-1"/>
          <w:sz w:val="24"/>
        </w:rPr>
        <w:t> </w:t>
      </w:r>
      <w:r>
        <w:rPr>
          <w:i/>
          <w:sz w:val="24"/>
        </w:rPr>
        <w:t>Sciences. </w:t>
      </w:r>
      <w:r>
        <w:rPr>
          <w:sz w:val="24"/>
        </w:rPr>
        <w:t>1(3),</w:t>
      </w:r>
      <w:r>
        <w:rPr>
          <w:spacing w:val="-1"/>
          <w:sz w:val="24"/>
        </w:rPr>
        <w:t> </w:t>
      </w:r>
      <w:r>
        <w:rPr>
          <w:sz w:val="24"/>
        </w:rPr>
        <w:t>17-</w:t>
      </w:r>
      <w:r>
        <w:rPr>
          <w:spacing w:val="-5"/>
          <w:sz w:val="24"/>
        </w:rPr>
        <w:t>23.</w:t>
      </w:r>
    </w:p>
    <w:p>
      <w:pPr>
        <w:pStyle w:val="BodyText"/>
        <w:spacing w:before="1"/>
      </w:pPr>
    </w:p>
    <w:p>
      <w:pPr>
        <w:spacing w:before="0"/>
        <w:ind w:left="571" w:right="1120" w:hanging="452"/>
        <w:jc w:val="both"/>
        <w:rPr>
          <w:sz w:val="24"/>
        </w:rPr>
      </w:pPr>
      <w:r>
        <w:rPr>
          <w:sz w:val="24"/>
        </w:rPr>
        <w:t>Fellows, R., &amp; Liu, A. (1997). </w:t>
      </w:r>
      <w:r>
        <w:rPr>
          <w:i/>
          <w:sz w:val="24"/>
        </w:rPr>
        <w:t>Research methods for construction. </w:t>
      </w:r>
      <w:r>
        <w:rPr>
          <w:sz w:val="24"/>
        </w:rPr>
        <w:t>Oxford:</w:t>
      </w:r>
      <w:r>
        <w:rPr>
          <w:spacing w:val="40"/>
          <w:sz w:val="24"/>
        </w:rPr>
        <w:t> </w:t>
      </w:r>
      <w:r>
        <w:rPr>
          <w:sz w:val="24"/>
        </w:rPr>
        <w:t>Blackwell Science </w:t>
      </w:r>
      <w:r>
        <w:rPr>
          <w:spacing w:val="-4"/>
          <w:sz w:val="24"/>
        </w:rPr>
        <w:t>Ltd.</w:t>
      </w:r>
    </w:p>
    <w:p>
      <w:pPr>
        <w:pStyle w:val="BodyText"/>
      </w:pPr>
    </w:p>
    <w:p>
      <w:pPr>
        <w:spacing w:line="480" w:lineRule="auto" w:before="0"/>
        <w:ind w:left="120" w:right="2764" w:firstLine="0"/>
        <w:jc w:val="left"/>
        <w:rPr>
          <w:sz w:val="24"/>
        </w:rPr>
      </w:pPr>
      <w:r>
        <w:rPr>
          <w:sz w:val="24"/>
        </w:rPr>
        <w:t>FGN (1999). </w:t>
      </w:r>
      <w:r>
        <w:rPr>
          <w:i/>
          <w:sz w:val="24"/>
        </w:rPr>
        <w:t>Constitution of the Federal Republic of Nigeria</w:t>
      </w:r>
      <w:r>
        <w:rPr>
          <w:sz w:val="24"/>
        </w:rPr>
        <w:t>. Abuja: FGN. FGN</w:t>
      </w:r>
      <w:r>
        <w:rPr>
          <w:spacing w:val="-5"/>
          <w:sz w:val="24"/>
        </w:rPr>
        <w:t> </w:t>
      </w:r>
      <w:r>
        <w:rPr>
          <w:sz w:val="24"/>
        </w:rPr>
        <w:t>(2004).</w:t>
      </w:r>
      <w:r>
        <w:rPr>
          <w:spacing w:val="-5"/>
          <w:sz w:val="24"/>
        </w:rPr>
        <w:t> </w:t>
      </w:r>
      <w:r>
        <w:rPr>
          <w:i/>
          <w:sz w:val="24"/>
        </w:rPr>
        <w:t>National</w:t>
      </w:r>
      <w:r>
        <w:rPr>
          <w:i/>
          <w:spacing w:val="-5"/>
          <w:sz w:val="24"/>
        </w:rPr>
        <w:t> </w:t>
      </w:r>
      <w:r>
        <w:rPr>
          <w:i/>
          <w:sz w:val="24"/>
        </w:rPr>
        <w:t>housing</w:t>
      </w:r>
      <w:r>
        <w:rPr>
          <w:i/>
          <w:spacing w:val="-5"/>
          <w:sz w:val="24"/>
        </w:rPr>
        <w:t> </w:t>
      </w:r>
      <w:r>
        <w:rPr>
          <w:i/>
          <w:sz w:val="24"/>
        </w:rPr>
        <w:t>policy</w:t>
      </w:r>
      <w:r>
        <w:rPr>
          <w:i/>
          <w:spacing w:val="-6"/>
          <w:sz w:val="24"/>
        </w:rPr>
        <w:t> </w:t>
      </w:r>
      <w:r>
        <w:rPr>
          <w:i/>
          <w:sz w:val="24"/>
        </w:rPr>
        <w:t>draft</w:t>
      </w:r>
      <w:r>
        <w:rPr>
          <w:sz w:val="24"/>
        </w:rPr>
        <w:t>.</w:t>
      </w:r>
      <w:r>
        <w:rPr>
          <w:spacing w:val="-3"/>
          <w:sz w:val="24"/>
        </w:rPr>
        <w:t> </w:t>
      </w:r>
      <w:r>
        <w:rPr>
          <w:sz w:val="24"/>
        </w:rPr>
        <w:t>Lagos:</w:t>
      </w:r>
      <w:r>
        <w:rPr>
          <w:spacing w:val="-5"/>
          <w:sz w:val="24"/>
        </w:rPr>
        <w:t> </w:t>
      </w:r>
      <w:r>
        <w:rPr>
          <w:sz w:val="24"/>
        </w:rPr>
        <w:t>Federal</w:t>
      </w:r>
      <w:r>
        <w:rPr>
          <w:spacing w:val="-5"/>
          <w:sz w:val="24"/>
        </w:rPr>
        <w:t> </w:t>
      </w:r>
      <w:r>
        <w:rPr>
          <w:sz w:val="24"/>
        </w:rPr>
        <w:t>Government</w:t>
      </w:r>
      <w:r>
        <w:rPr>
          <w:spacing w:val="-5"/>
          <w:sz w:val="24"/>
        </w:rPr>
        <w:t> </w:t>
      </w:r>
      <w:r>
        <w:rPr>
          <w:sz w:val="24"/>
        </w:rPr>
        <w:t>Printer.</w:t>
      </w:r>
    </w:p>
    <w:p>
      <w:pPr>
        <w:spacing w:before="0"/>
        <w:ind w:left="571" w:right="1119" w:hanging="452"/>
        <w:jc w:val="both"/>
        <w:rPr>
          <w:sz w:val="24"/>
        </w:rPr>
      </w:pPr>
      <w:r>
        <w:rPr>
          <w:sz w:val="24"/>
        </w:rPr>
        <w:t>FGN (2006). </w:t>
      </w:r>
      <w:r>
        <w:rPr>
          <w:i/>
          <w:sz w:val="24"/>
        </w:rPr>
        <w:t>The Nigerian statistical fact sheet on economic and social development</w:t>
      </w:r>
      <w:r>
        <w:rPr>
          <w:sz w:val="24"/>
        </w:rPr>
        <w:t>. Abuja: National Bureau of Statistics.</w:t>
      </w:r>
    </w:p>
    <w:p>
      <w:pPr>
        <w:pStyle w:val="BodyText"/>
      </w:pPr>
    </w:p>
    <w:p>
      <w:pPr>
        <w:spacing w:before="0"/>
        <w:ind w:left="120" w:right="0" w:firstLine="0"/>
        <w:jc w:val="left"/>
        <w:rPr>
          <w:sz w:val="24"/>
        </w:rPr>
      </w:pPr>
      <w:r>
        <w:rPr>
          <w:sz w:val="24"/>
        </w:rPr>
        <w:t>Federal</w:t>
      </w:r>
      <w:r>
        <w:rPr>
          <w:spacing w:val="-2"/>
          <w:sz w:val="24"/>
        </w:rPr>
        <w:t> </w:t>
      </w:r>
      <w:r>
        <w:rPr>
          <w:sz w:val="24"/>
        </w:rPr>
        <w:t>Office</w:t>
      </w:r>
      <w:r>
        <w:rPr>
          <w:spacing w:val="-3"/>
          <w:sz w:val="24"/>
        </w:rPr>
        <w:t> </w:t>
      </w:r>
      <w:r>
        <w:rPr>
          <w:sz w:val="24"/>
        </w:rPr>
        <w:t>of</w:t>
      </w:r>
      <w:r>
        <w:rPr>
          <w:spacing w:val="-1"/>
          <w:sz w:val="24"/>
        </w:rPr>
        <w:t> </w:t>
      </w:r>
      <w:r>
        <w:rPr>
          <w:sz w:val="24"/>
        </w:rPr>
        <w:t>Statistics</w:t>
      </w:r>
      <w:r>
        <w:rPr>
          <w:spacing w:val="-2"/>
          <w:sz w:val="24"/>
        </w:rPr>
        <w:t> </w:t>
      </w:r>
      <w:r>
        <w:rPr>
          <w:sz w:val="24"/>
        </w:rPr>
        <w:t>(FOS). (1983).</w:t>
      </w:r>
      <w:r>
        <w:rPr>
          <w:spacing w:val="-1"/>
          <w:sz w:val="24"/>
        </w:rPr>
        <w:t> </w:t>
      </w:r>
      <w:r>
        <w:rPr>
          <w:i/>
          <w:sz w:val="24"/>
        </w:rPr>
        <w:t>Social</w:t>
      </w:r>
      <w:r>
        <w:rPr>
          <w:i/>
          <w:spacing w:val="1"/>
          <w:sz w:val="24"/>
        </w:rPr>
        <w:t> </w:t>
      </w:r>
      <w:r>
        <w:rPr>
          <w:i/>
          <w:sz w:val="24"/>
        </w:rPr>
        <w:t>statistics</w:t>
      </w:r>
      <w:r>
        <w:rPr>
          <w:i/>
          <w:spacing w:val="-2"/>
          <w:sz w:val="24"/>
        </w:rPr>
        <w:t> </w:t>
      </w:r>
      <w:r>
        <w:rPr>
          <w:i/>
          <w:sz w:val="24"/>
        </w:rPr>
        <w:t>of</w:t>
      </w:r>
      <w:r>
        <w:rPr>
          <w:i/>
          <w:spacing w:val="-1"/>
          <w:sz w:val="24"/>
        </w:rPr>
        <w:t> </w:t>
      </w:r>
      <w:r>
        <w:rPr>
          <w:i/>
          <w:sz w:val="24"/>
        </w:rPr>
        <w:t>Nigeria</w:t>
      </w:r>
      <w:r>
        <w:rPr>
          <w:sz w:val="24"/>
        </w:rPr>
        <w:t>. Lagos:</w:t>
      </w:r>
      <w:r>
        <w:rPr>
          <w:spacing w:val="-1"/>
          <w:sz w:val="24"/>
        </w:rPr>
        <w:t> </w:t>
      </w:r>
      <w:r>
        <w:rPr>
          <w:spacing w:val="-4"/>
          <w:sz w:val="24"/>
        </w:rPr>
        <w:t>FOS.</w:t>
      </w:r>
    </w:p>
    <w:p>
      <w:pPr>
        <w:pStyle w:val="BodyText"/>
      </w:pPr>
    </w:p>
    <w:p>
      <w:pPr>
        <w:spacing w:before="1"/>
        <w:ind w:left="571" w:right="1118" w:hanging="452"/>
        <w:jc w:val="both"/>
        <w:rPr>
          <w:sz w:val="24"/>
        </w:rPr>
      </w:pPr>
      <w:r>
        <w:rPr>
          <w:sz w:val="24"/>
        </w:rPr>
        <w:t>Fishkin, J.S. (1991). </w:t>
      </w:r>
      <w:r>
        <w:rPr>
          <w:i/>
          <w:sz w:val="24"/>
        </w:rPr>
        <w:t>Democracy and deliberation: New directions for democratic reform. </w:t>
      </w:r>
      <w:r>
        <w:rPr>
          <w:sz w:val="24"/>
        </w:rPr>
        <w:t>New Haven, Connecticut: Yale University Press.</w:t>
      </w:r>
    </w:p>
    <w:p>
      <w:pPr>
        <w:pStyle w:val="BodyText"/>
        <w:spacing w:before="2"/>
      </w:pPr>
    </w:p>
    <w:p>
      <w:pPr>
        <w:spacing w:line="276" w:lineRule="auto" w:before="0"/>
        <w:ind w:left="571" w:right="1223" w:hanging="452"/>
        <w:jc w:val="left"/>
        <w:rPr>
          <w:sz w:val="24"/>
        </w:rPr>
      </w:pPr>
      <w:r>
        <w:rPr>
          <w:sz w:val="24"/>
        </w:rPr>
        <w:t>Fort,</w:t>
      </w:r>
      <w:r>
        <w:rPr>
          <w:spacing w:val="-2"/>
          <w:sz w:val="24"/>
        </w:rPr>
        <w:t> </w:t>
      </w:r>
      <w:r>
        <w:rPr>
          <w:sz w:val="24"/>
        </w:rPr>
        <w:t>I.D.(2012).</w:t>
      </w:r>
      <w:r>
        <w:rPr>
          <w:spacing w:val="-4"/>
          <w:sz w:val="24"/>
        </w:rPr>
        <w:t> </w:t>
      </w:r>
      <w:r>
        <w:rPr>
          <w:i/>
          <w:sz w:val="24"/>
        </w:rPr>
        <w:t>Nigerian</w:t>
      </w:r>
      <w:r>
        <w:rPr>
          <w:i/>
          <w:spacing w:val="-3"/>
          <w:sz w:val="24"/>
        </w:rPr>
        <w:t> </w:t>
      </w:r>
      <w:r>
        <w:rPr>
          <w:i/>
          <w:sz w:val="24"/>
        </w:rPr>
        <w:t>annual</w:t>
      </w:r>
      <w:r>
        <w:rPr>
          <w:i/>
          <w:spacing w:val="-3"/>
          <w:sz w:val="24"/>
        </w:rPr>
        <w:t> </w:t>
      </w:r>
      <w:r>
        <w:rPr>
          <w:i/>
          <w:sz w:val="24"/>
        </w:rPr>
        <w:t>budgets-</w:t>
      </w:r>
      <w:r>
        <w:rPr>
          <w:i/>
          <w:spacing w:val="-4"/>
          <w:sz w:val="24"/>
        </w:rPr>
        <w:t> </w:t>
      </w:r>
      <w:r>
        <w:rPr>
          <w:i/>
          <w:sz w:val="24"/>
        </w:rPr>
        <w:t>Not</w:t>
      </w:r>
      <w:r>
        <w:rPr>
          <w:i/>
          <w:spacing w:val="-3"/>
          <w:sz w:val="24"/>
        </w:rPr>
        <w:t> </w:t>
      </w:r>
      <w:r>
        <w:rPr>
          <w:i/>
          <w:sz w:val="24"/>
        </w:rPr>
        <w:t>yet</w:t>
      </w:r>
      <w:r>
        <w:rPr>
          <w:i/>
          <w:spacing w:val="-3"/>
          <w:sz w:val="24"/>
        </w:rPr>
        <w:t> </w:t>
      </w:r>
      <w:r>
        <w:rPr>
          <w:i/>
          <w:sz w:val="24"/>
        </w:rPr>
        <w:t>for</w:t>
      </w:r>
      <w:r>
        <w:rPr>
          <w:i/>
          <w:spacing w:val="-3"/>
          <w:sz w:val="24"/>
        </w:rPr>
        <w:t> </w:t>
      </w:r>
      <w:r>
        <w:rPr>
          <w:i/>
          <w:sz w:val="24"/>
        </w:rPr>
        <w:t>the</w:t>
      </w:r>
      <w:r>
        <w:rPr>
          <w:i/>
          <w:spacing w:val="-4"/>
          <w:sz w:val="24"/>
        </w:rPr>
        <w:t> </w:t>
      </w:r>
      <w:r>
        <w:rPr>
          <w:i/>
          <w:sz w:val="24"/>
        </w:rPr>
        <w:t>people</w:t>
      </w:r>
      <w:r>
        <w:rPr>
          <w:sz w:val="24"/>
        </w:rPr>
        <w:t>.</w:t>
      </w:r>
      <w:r>
        <w:rPr>
          <w:spacing w:val="-3"/>
          <w:sz w:val="24"/>
        </w:rPr>
        <w:t> </w:t>
      </w:r>
      <w:r>
        <w:rPr>
          <w:sz w:val="24"/>
        </w:rPr>
        <w:t>Jabi,</w:t>
      </w:r>
      <w:r>
        <w:rPr>
          <w:spacing w:val="-3"/>
          <w:sz w:val="24"/>
        </w:rPr>
        <w:t> </w:t>
      </w:r>
      <w:r>
        <w:rPr>
          <w:sz w:val="24"/>
        </w:rPr>
        <w:t>Abuja:</w:t>
      </w:r>
      <w:r>
        <w:rPr>
          <w:spacing w:val="-3"/>
          <w:sz w:val="24"/>
        </w:rPr>
        <w:t> </w:t>
      </w:r>
      <w:r>
        <w:rPr>
          <w:sz w:val="24"/>
        </w:rPr>
        <w:t>Fairdeal</w:t>
      </w:r>
      <w:r>
        <w:rPr>
          <w:spacing w:val="-3"/>
          <w:sz w:val="24"/>
        </w:rPr>
        <w:t> </w:t>
      </w:r>
      <w:r>
        <w:rPr>
          <w:sz w:val="24"/>
        </w:rPr>
        <w:t>Press </w:t>
      </w:r>
      <w:r>
        <w:rPr>
          <w:spacing w:val="-4"/>
          <w:sz w:val="24"/>
        </w:rPr>
        <w:t>Ltd.</w:t>
      </w:r>
    </w:p>
    <w:p>
      <w:pPr>
        <w:spacing w:before="198"/>
        <w:ind w:left="571" w:right="1116" w:hanging="452"/>
        <w:jc w:val="both"/>
        <w:rPr>
          <w:sz w:val="24"/>
        </w:rPr>
      </w:pPr>
      <w:r>
        <w:rPr>
          <w:sz w:val="24"/>
        </w:rPr>
        <w:t>Fozzard, A. (2001). </w:t>
      </w:r>
      <w:r>
        <w:rPr>
          <w:i/>
          <w:sz w:val="24"/>
        </w:rPr>
        <w:t>The basic budgeting problem: Approaches to resource allocation in the public sector and their implications for pro-poor Budgeting. </w:t>
      </w:r>
      <w:r>
        <w:rPr>
          <w:sz w:val="24"/>
        </w:rPr>
        <w:t>Retrieved from </w:t>
      </w:r>
      <w:hyperlink r:id="rId226">
        <w:r>
          <w:rPr>
            <w:spacing w:val="-2"/>
            <w:sz w:val="24"/>
          </w:rPr>
          <w:t>http://www.odi.org.uk/resources/download/1395.pdf</w:t>
        </w:r>
      </w:hyperlink>
    </w:p>
    <w:p>
      <w:pPr>
        <w:spacing w:after="0"/>
        <w:jc w:val="both"/>
        <w:rPr>
          <w:sz w:val="24"/>
        </w:rPr>
        <w:sectPr>
          <w:pgSz w:w="12240" w:h="15840"/>
          <w:pgMar w:header="0" w:footer="1036" w:top="1360" w:bottom="1220" w:left="1320" w:right="320"/>
        </w:sectPr>
      </w:pPr>
    </w:p>
    <w:p>
      <w:pPr>
        <w:pStyle w:val="BodyText"/>
        <w:spacing w:before="72"/>
        <w:ind w:left="571" w:right="1118" w:hanging="452"/>
        <w:jc w:val="both"/>
      </w:pPr>
      <w:r>
        <w:rPr/>
        <w:t>Garba, A.G. (2011). The Institutional framework for budgeting in Nigeria: Implications, limitations and required actions by government, citizens and the NES. </w:t>
      </w:r>
      <w:r>
        <w:rPr>
          <w:i/>
        </w:rPr>
        <w:t>Paper Presented at the NES Budget Seminar</w:t>
      </w:r>
      <w:r>
        <w:rPr/>
        <w:t>, 31st May, CIBN Building, VI, Lagos.</w:t>
      </w:r>
    </w:p>
    <w:p>
      <w:pPr>
        <w:pStyle w:val="BodyText"/>
      </w:pPr>
    </w:p>
    <w:p>
      <w:pPr>
        <w:spacing w:before="0"/>
        <w:ind w:left="571" w:right="1118" w:hanging="452"/>
        <w:jc w:val="both"/>
        <w:rPr>
          <w:sz w:val="24"/>
        </w:rPr>
      </w:pPr>
      <w:r>
        <w:rPr>
          <w:sz w:val="24"/>
        </w:rPr>
        <w:t>Gash, T. M., Hallsworth, S. I., &amp; Akash, P. (2009). </w:t>
      </w:r>
      <w:r>
        <w:rPr>
          <w:i/>
          <w:sz w:val="24"/>
        </w:rPr>
        <w:t>Performance art: Enabling better management of public services in the UK. </w:t>
      </w:r>
      <w:r>
        <w:rPr>
          <w:sz w:val="24"/>
        </w:rPr>
        <w:t>London:</w:t>
      </w:r>
      <w:r>
        <w:rPr>
          <w:spacing w:val="80"/>
          <w:sz w:val="24"/>
        </w:rPr>
        <w:t> </w:t>
      </w:r>
      <w:r>
        <w:rPr>
          <w:sz w:val="24"/>
        </w:rPr>
        <w:t>Institute for Government. Retrieved from http://</w:t>
      </w:r>
      <w:hyperlink r:id="rId227">
        <w:r>
          <w:rPr>
            <w:sz w:val="24"/>
          </w:rPr>
          <w:t>www.instituteforgovernment.org</w:t>
        </w:r>
      </w:hyperlink>
      <w:r>
        <w:rPr>
          <w:sz w:val="24"/>
        </w:rPr>
        <w:t>. uk/projects/performance.</w:t>
      </w:r>
    </w:p>
    <w:p>
      <w:pPr>
        <w:pStyle w:val="BodyText"/>
        <w:spacing w:before="2"/>
      </w:pPr>
    </w:p>
    <w:p>
      <w:pPr>
        <w:spacing w:before="1"/>
        <w:ind w:left="120" w:right="0" w:firstLine="0"/>
        <w:jc w:val="left"/>
        <w:rPr>
          <w:sz w:val="24"/>
        </w:rPr>
      </w:pPr>
      <w:r>
        <w:rPr>
          <w:sz w:val="24"/>
        </w:rPr>
        <w:t>Gillham,</w:t>
      </w:r>
      <w:r>
        <w:rPr>
          <w:spacing w:val="-4"/>
          <w:sz w:val="24"/>
        </w:rPr>
        <w:t> </w:t>
      </w:r>
      <w:r>
        <w:rPr>
          <w:sz w:val="24"/>
        </w:rPr>
        <w:t>B.</w:t>
      </w:r>
      <w:r>
        <w:rPr>
          <w:spacing w:val="-1"/>
          <w:sz w:val="24"/>
        </w:rPr>
        <w:t> </w:t>
      </w:r>
      <w:r>
        <w:rPr>
          <w:sz w:val="24"/>
        </w:rPr>
        <w:t>(2000).</w:t>
      </w:r>
      <w:r>
        <w:rPr>
          <w:spacing w:val="-1"/>
          <w:sz w:val="24"/>
        </w:rPr>
        <w:t> </w:t>
      </w:r>
      <w:r>
        <w:rPr>
          <w:i/>
          <w:sz w:val="24"/>
        </w:rPr>
        <w:t>Case study</w:t>
      </w:r>
      <w:r>
        <w:rPr>
          <w:i/>
          <w:spacing w:val="-1"/>
          <w:sz w:val="24"/>
        </w:rPr>
        <w:t> </w:t>
      </w:r>
      <w:r>
        <w:rPr>
          <w:i/>
          <w:sz w:val="24"/>
        </w:rPr>
        <w:t>research</w:t>
      </w:r>
      <w:r>
        <w:rPr>
          <w:i/>
          <w:spacing w:val="-2"/>
          <w:sz w:val="24"/>
        </w:rPr>
        <w:t> </w:t>
      </w:r>
      <w:r>
        <w:rPr>
          <w:i/>
          <w:sz w:val="24"/>
        </w:rPr>
        <w:t>methods. </w:t>
      </w:r>
      <w:r>
        <w:rPr>
          <w:sz w:val="24"/>
        </w:rPr>
        <w:t>London:</w:t>
      </w:r>
      <w:r>
        <w:rPr>
          <w:spacing w:val="-1"/>
          <w:sz w:val="24"/>
        </w:rPr>
        <w:t> </w:t>
      </w:r>
      <w:r>
        <w:rPr>
          <w:sz w:val="24"/>
        </w:rPr>
        <w:t>Continuum</w:t>
      </w:r>
      <w:r>
        <w:rPr>
          <w:spacing w:val="-1"/>
          <w:sz w:val="24"/>
        </w:rPr>
        <w:t> </w:t>
      </w:r>
      <w:r>
        <w:rPr>
          <w:spacing w:val="-2"/>
          <w:sz w:val="24"/>
        </w:rPr>
        <w:t>Publishing.</w:t>
      </w:r>
    </w:p>
    <w:p>
      <w:pPr>
        <w:pStyle w:val="BodyText"/>
        <w:spacing w:before="38"/>
      </w:pPr>
    </w:p>
    <w:p>
      <w:pPr>
        <w:spacing w:before="0"/>
        <w:ind w:left="571" w:right="1121" w:hanging="452"/>
        <w:jc w:val="both"/>
        <w:rPr>
          <w:sz w:val="24"/>
        </w:rPr>
      </w:pPr>
      <w:r>
        <w:rPr>
          <w:sz w:val="24"/>
        </w:rPr>
        <w:t>Glaser, M.A., &amp; Denhardt, R.B. (1999). When citizen expectations conflict with budgeting reality: Discontinuity between the public‘s demand for services and its willingness to pay taxes.</w:t>
      </w:r>
      <w:r>
        <w:rPr>
          <w:spacing w:val="-3"/>
          <w:sz w:val="24"/>
        </w:rPr>
        <w:t> </w:t>
      </w:r>
      <w:r>
        <w:rPr>
          <w:i/>
          <w:sz w:val="24"/>
        </w:rPr>
        <w:t>Journal</w:t>
      </w:r>
      <w:r>
        <w:rPr>
          <w:i/>
          <w:spacing w:val="-1"/>
          <w:sz w:val="24"/>
        </w:rPr>
        <w:t> </w:t>
      </w:r>
      <w:r>
        <w:rPr>
          <w:i/>
          <w:sz w:val="24"/>
        </w:rPr>
        <w:t>of</w:t>
      </w:r>
      <w:r>
        <w:rPr>
          <w:i/>
          <w:spacing w:val="-1"/>
          <w:sz w:val="24"/>
        </w:rPr>
        <w:t> </w:t>
      </w:r>
      <w:r>
        <w:rPr>
          <w:i/>
          <w:sz w:val="24"/>
        </w:rPr>
        <w:t>Public</w:t>
      </w:r>
      <w:r>
        <w:rPr>
          <w:i/>
          <w:spacing w:val="-4"/>
          <w:sz w:val="24"/>
        </w:rPr>
        <w:t> </w:t>
      </w:r>
      <w:r>
        <w:rPr>
          <w:i/>
          <w:sz w:val="24"/>
        </w:rPr>
        <w:t>Budgeting,</w:t>
      </w:r>
      <w:r>
        <w:rPr>
          <w:i/>
          <w:spacing w:val="-1"/>
          <w:sz w:val="24"/>
        </w:rPr>
        <w:t> </w:t>
      </w:r>
      <w:r>
        <w:rPr>
          <w:i/>
          <w:sz w:val="24"/>
        </w:rPr>
        <w:t>Accounting</w:t>
      </w:r>
      <w:r>
        <w:rPr>
          <w:i/>
          <w:spacing w:val="-1"/>
          <w:sz w:val="24"/>
        </w:rPr>
        <w:t> </w:t>
      </w:r>
      <w:r>
        <w:rPr>
          <w:i/>
          <w:sz w:val="24"/>
        </w:rPr>
        <w:t>and</w:t>
      </w:r>
      <w:r>
        <w:rPr>
          <w:i/>
          <w:spacing w:val="-1"/>
          <w:sz w:val="24"/>
        </w:rPr>
        <w:t> </w:t>
      </w:r>
      <w:r>
        <w:rPr>
          <w:i/>
          <w:sz w:val="24"/>
        </w:rPr>
        <w:t>Financial</w:t>
      </w:r>
      <w:r>
        <w:rPr>
          <w:i/>
          <w:spacing w:val="2"/>
          <w:sz w:val="24"/>
        </w:rPr>
        <w:t> </w:t>
      </w:r>
      <w:r>
        <w:rPr>
          <w:i/>
          <w:sz w:val="24"/>
        </w:rPr>
        <w:t>Management</w:t>
      </w:r>
      <w:r>
        <w:rPr>
          <w:sz w:val="24"/>
        </w:rPr>
        <w:t>,</w:t>
      </w:r>
      <w:r>
        <w:rPr>
          <w:spacing w:val="-1"/>
          <w:sz w:val="24"/>
        </w:rPr>
        <w:t> </w:t>
      </w:r>
      <w:r>
        <w:rPr>
          <w:sz w:val="24"/>
        </w:rPr>
        <w:t>11(2), 276-</w:t>
      </w:r>
      <w:r>
        <w:rPr>
          <w:spacing w:val="-4"/>
          <w:sz w:val="24"/>
        </w:rPr>
        <w:t>310.</w:t>
      </w:r>
    </w:p>
    <w:p>
      <w:pPr>
        <w:pStyle w:val="BodyText"/>
        <w:spacing w:before="1"/>
      </w:pPr>
    </w:p>
    <w:p>
      <w:pPr>
        <w:pStyle w:val="BodyText"/>
        <w:tabs>
          <w:tab w:pos="1528" w:val="left" w:leader="none"/>
          <w:tab w:pos="2149" w:val="left" w:leader="none"/>
          <w:tab w:pos="2708" w:val="left" w:leader="none"/>
          <w:tab w:pos="3077" w:val="left" w:leader="none"/>
          <w:tab w:pos="3807" w:val="left" w:leader="none"/>
          <w:tab w:pos="4308" w:val="left" w:leader="none"/>
          <w:tab w:pos="5272" w:val="left" w:leader="none"/>
          <w:tab w:pos="6115" w:val="left" w:leader="none"/>
          <w:tab w:pos="6623" w:val="left" w:leader="none"/>
          <w:tab w:pos="7502" w:val="left" w:leader="none"/>
          <w:tab w:pos="7536" w:val="left" w:leader="none"/>
          <w:tab w:pos="8774" w:val="left" w:leader="none"/>
          <w:tab w:pos="9013" w:val="left" w:leader="none"/>
        </w:tabs>
        <w:ind w:left="571" w:right="1119" w:hanging="452"/>
      </w:pPr>
      <w:r>
        <w:rPr>
          <w:spacing w:val="-2"/>
        </w:rPr>
        <w:t>Government</w:t>
      </w:r>
      <w:r>
        <w:rPr/>
        <w:tab/>
      </w:r>
      <w:r>
        <w:rPr>
          <w:spacing w:val="-2"/>
        </w:rPr>
        <w:t>Integrated</w:t>
      </w:r>
      <w:r>
        <w:rPr/>
        <w:tab/>
      </w:r>
      <w:r>
        <w:rPr>
          <w:spacing w:val="-2"/>
        </w:rPr>
        <w:t>Financial</w:t>
      </w:r>
      <w:r>
        <w:rPr/>
        <w:tab/>
      </w:r>
      <w:r>
        <w:rPr>
          <w:spacing w:val="-2"/>
        </w:rPr>
        <w:t>Management</w:t>
      </w:r>
      <w:r>
        <w:rPr/>
        <w:tab/>
      </w:r>
      <w:r>
        <w:rPr>
          <w:spacing w:val="-2"/>
        </w:rPr>
        <w:t>Information</w:t>
      </w:r>
      <w:r>
        <w:rPr/>
        <w:tab/>
      </w:r>
      <w:r>
        <w:rPr>
          <w:spacing w:val="-2"/>
        </w:rPr>
        <w:t>System</w:t>
      </w:r>
      <w:r>
        <w:rPr/>
        <w:tab/>
        <w:tab/>
      </w:r>
      <w:r>
        <w:rPr>
          <w:spacing w:val="-2"/>
        </w:rPr>
        <w:t>(GIFMIS).</w:t>
      </w:r>
      <w:r>
        <w:rPr/>
        <w:tab/>
      </w:r>
      <w:r>
        <w:rPr>
          <w:spacing w:val="-2"/>
        </w:rPr>
        <w:t>(2011). Budgeting</w:t>
      </w:r>
      <w:r>
        <w:rPr/>
        <w:tab/>
      </w:r>
      <w:r>
        <w:rPr>
          <w:spacing w:val="-4"/>
        </w:rPr>
        <w:t>and</w:t>
      </w:r>
      <w:r>
        <w:rPr/>
        <w:tab/>
        <w:tab/>
      </w:r>
      <w:r>
        <w:rPr>
          <w:spacing w:val="-2"/>
        </w:rPr>
        <w:t>budget</w:t>
      </w:r>
      <w:r>
        <w:rPr/>
        <w:tab/>
        <w:tab/>
      </w:r>
      <w:r>
        <w:rPr>
          <w:spacing w:val="-2"/>
        </w:rPr>
        <w:t>management</w:t>
      </w:r>
      <w:r>
        <w:rPr/>
        <w:tab/>
      </w:r>
      <w:r>
        <w:rPr>
          <w:spacing w:val="-2"/>
        </w:rPr>
        <w:t>reforms.</w:t>
      </w:r>
      <w:r>
        <w:rPr/>
        <w:tab/>
      </w:r>
      <w:r>
        <w:rPr>
          <w:spacing w:val="-2"/>
        </w:rPr>
        <w:t>Retrieved</w:t>
      </w:r>
      <w:r>
        <w:rPr/>
        <w:tab/>
        <w:tab/>
      </w:r>
      <w:r>
        <w:rPr>
          <w:spacing w:val="-4"/>
        </w:rPr>
        <w:t>from </w:t>
      </w:r>
      <w:hyperlink r:id="rId228">
        <w:r>
          <w:rPr>
            <w:spacing w:val="-2"/>
          </w:rPr>
          <w:t>http://www.gifmis.gov.ng/gifmis/index.php?option=com_content&amp;view=article&amp;id=6&amp;Ite</w:t>
        </w:r>
      </w:hyperlink>
      <w:r>
        <w:rPr>
          <w:spacing w:val="-2"/>
        </w:rPr>
        <w:t> mid=6#1</w:t>
      </w:r>
    </w:p>
    <w:p>
      <w:pPr>
        <w:pStyle w:val="BodyText"/>
      </w:pPr>
    </w:p>
    <w:p>
      <w:pPr>
        <w:pStyle w:val="BodyText"/>
        <w:ind w:left="571" w:right="1117" w:hanging="452"/>
      </w:pPr>
      <w:r>
        <w:rPr/>
        <w:t>Granger,</w:t>
      </w:r>
      <w:r>
        <w:rPr>
          <w:spacing w:val="40"/>
        </w:rPr>
        <w:t> </w:t>
      </w:r>
      <w:r>
        <w:rPr/>
        <w:t>C.</w:t>
      </w:r>
      <w:r>
        <w:rPr>
          <w:spacing w:val="40"/>
        </w:rPr>
        <w:t> </w:t>
      </w:r>
      <w:r>
        <w:rPr/>
        <w:t>W.</w:t>
      </w:r>
      <w:r>
        <w:rPr>
          <w:spacing w:val="40"/>
        </w:rPr>
        <w:t> </w:t>
      </w:r>
      <w:r>
        <w:rPr/>
        <w:t>J.</w:t>
      </w:r>
      <w:r>
        <w:rPr>
          <w:spacing w:val="40"/>
        </w:rPr>
        <w:t> </w:t>
      </w:r>
      <w:r>
        <w:rPr/>
        <w:t>(1969).</w:t>
      </w:r>
      <w:r>
        <w:rPr>
          <w:spacing w:val="40"/>
        </w:rPr>
        <w:t> </w:t>
      </w:r>
      <w:r>
        <w:rPr/>
        <w:t>Investigating</w:t>
      </w:r>
      <w:r>
        <w:rPr>
          <w:spacing w:val="40"/>
        </w:rPr>
        <w:t> </w:t>
      </w:r>
      <w:r>
        <w:rPr/>
        <w:t>causal</w:t>
      </w:r>
      <w:r>
        <w:rPr>
          <w:spacing w:val="40"/>
        </w:rPr>
        <w:t> </w:t>
      </w:r>
      <w:r>
        <w:rPr/>
        <w:t>relations</w:t>
      </w:r>
      <w:r>
        <w:rPr>
          <w:spacing w:val="40"/>
        </w:rPr>
        <w:t> </w:t>
      </w:r>
      <w:r>
        <w:rPr/>
        <w:t>by</w:t>
      </w:r>
      <w:r>
        <w:rPr>
          <w:spacing w:val="40"/>
        </w:rPr>
        <w:t> </w:t>
      </w:r>
      <w:r>
        <w:rPr/>
        <w:t>econometric</w:t>
      </w:r>
      <w:r>
        <w:rPr>
          <w:spacing w:val="40"/>
        </w:rPr>
        <w:t> </w:t>
      </w:r>
      <w:r>
        <w:rPr/>
        <w:t>models</w:t>
      </w:r>
      <w:r>
        <w:rPr>
          <w:spacing w:val="40"/>
        </w:rPr>
        <w:t> </w:t>
      </w:r>
      <w:r>
        <w:rPr/>
        <w:t>and</w:t>
      </w:r>
      <w:r>
        <w:rPr>
          <w:spacing w:val="40"/>
        </w:rPr>
        <w:t> </w:t>
      </w:r>
      <w:r>
        <w:rPr/>
        <w:t>cross-</w:t>
      </w:r>
      <w:r>
        <w:rPr>
          <w:spacing w:val="40"/>
        </w:rPr>
        <w:t> </w:t>
      </w:r>
      <w:r>
        <w:rPr/>
        <w:t>spectral methods. </w:t>
      </w:r>
      <w:r>
        <w:rPr>
          <w:i/>
        </w:rPr>
        <w:t>Econometrica</w:t>
      </w:r>
      <w:r>
        <w:rPr/>
        <w:t>. 37 (3): 424–438. </w:t>
      </w:r>
      <w:hyperlink r:id="rId229">
        <w:r>
          <w:rPr/>
          <w:t>doi</w:t>
        </w:r>
      </w:hyperlink>
      <w:r>
        <w:rPr>
          <w:i/>
        </w:rPr>
        <w:t>:</w:t>
      </w:r>
      <w:hyperlink r:id="rId230">
        <w:r>
          <w:rPr/>
          <w:t>10.2307/1912791</w:t>
        </w:r>
      </w:hyperlink>
    </w:p>
    <w:p>
      <w:pPr>
        <w:pStyle w:val="BodyText"/>
      </w:pPr>
    </w:p>
    <w:p>
      <w:pPr>
        <w:spacing w:before="0"/>
        <w:ind w:left="571" w:right="1117" w:hanging="452"/>
        <w:jc w:val="left"/>
        <w:rPr>
          <w:sz w:val="24"/>
        </w:rPr>
      </w:pPr>
      <w:r>
        <w:rPr>
          <w:sz w:val="24"/>
        </w:rPr>
        <w:t>Grant, A. (1976). </w:t>
      </w:r>
      <w:r>
        <w:rPr>
          <w:i/>
          <w:sz w:val="24"/>
        </w:rPr>
        <w:t>Housing needs in the Dundee Sub region</w:t>
      </w:r>
      <w:r>
        <w:rPr>
          <w:sz w:val="24"/>
        </w:rPr>
        <w:t>. Scotland, Dundee: Dundee Housing </w:t>
      </w:r>
      <w:r>
        <w:rPr>
          <w:spacing w:val="-2"/>
          <w:sz w:val="24"/>
        </w:rPr>
        <w:t>Corporation.</w:t>
      </w:r>
    </w:p>
    <w:p>
      <w:pPr>
        <w:pStyle w:val="BodyText"/>
      </w:pPr>
    </w:p>
    <w:p>
      <w:pPr>
        <w:spacing w:before="0"/>
        <w:ind w:left="120" w:right="0" w:firstLine="0"/>
        <w:jc w:val="left"/>
        <w:rPr>
          <w:i/>
          <w:sz w:val="24"/>
        </w:rPr>
      </w:pPr>
      <w:r>
        <w:rPr>
          <w:sz w:val="24"/>
        </w:rPr>
        <w:t>Grant,</w:t>
      </w:r>
      <w:r>
        <w:rPr>
          <w:spacing w:val="47"/>
          <w:sz w:val="24"/>
        </w:rPr>
        <w:t> </w:t>
      </w:r>
      <w:r>
        <w:rPr>
          <w:sz w:val="24"/>
        </w:rPr>
        <w:t>J.</w:t>
      </w:r>
      <w:r>
        <w:rPr>
          <w:spacing w:val="49"/>
          <w:sz w:val="24"/>
        </w:rPr>
        <w:t> </w:t>
      </w:r>
      <w:r>
        <w:rPr>
          <w:sz w:val="24"/>
        </w:rPr>
        <w:t>(1994).</w:t>
      </w:r>
      <w:r>
        <w:rPr>
          <w:spacing w:val="50"/>
          <w:sz w:val="24"/>
        </w:rPr>
        <w:t> </w:t>
      </w:r>
      <w:r>
        <w:rPr>
          <w:i/>
          <w:sz w:val="24"/>
        </w:rPr>
        <w:t>The</w:t>
      </w:r>
      <w:r>
        <w:rPr>
          <w:i/>
          <w:spacing w:val="48"/>
          <w:sz w:val="24"/>
        </w:rPr>
        <w:t> </w:t>
      </w:r>
      <w:r>
        <w:rPr>
          <w:i/>
          <w:sz w:val="24"/>
        </w:rPr>
        <w:t>drama</w:t>
      </w:r>
      <w:r>
        <w:rPr>
          <w:i/>
          <w:spacing w:val="49"/>
          <w:sz w:val="24"/>
        </w:rPr>
        <w:t> </w:t>
      </w:r>
      <w:r>
        <w:rPr>
          <w:i/>
          <w:sz w:val="24"/>
        </w:rPr>
        <w:t>of</w:t>
      </w:r>
      <w:r>
        <w:rPr>
          <w:i/>
          <w:spacing w:val="49"/>
          <w:sz w:val="24"/>
        </w:rPr>
        <w:t> </w:t>
      </w:r>
      <w:r>
        <w:rPr>
          <w:i/>
          <w:sz w:val="24"/>
        </w:rPr>
        <w:t>democracy:</w:t>
      </w:r>
      <w:r>
        <w:rPr>
          <w:i/>
          <w:spacing w:val="48"/>
          <w:sz w:val="24"/>
        </w:rPr>
        <w:t> </w:t>
      </w:r>
      <w:r>
        <w:rPr>
          <w:i/>
          <w:sz w:val="24"/>
        </w:rPr>
        <w:t>Contention</w:t>
      </w:r>
      <w:r>
        <w:rPr>
          <w:i/>
          <w:spacing w:val="50"/>
          <w:sz w:val="24"/>
        </w:rPr>
        <w:t> </w:t>
      </w:r>
      <w:r>
        <w:rPr>
          <w:i/>
          <w:sz w:val="24"/>
        </w:rPr>
        <w:t>and</w:t>
      </w:r>
      <w:r>
        <w:rPr>
          <w:i/>
          <w:spacing w:val="49"/>
          <w:sz w:val="24"/>
        </w:rPr>
        <w:t> </w:t>
      </w:r>
      <w:r>
        <w:rPr>
          <w:i/>
          <w:sz w:val="24"/>
        </w:rPr>
        <w:t>dispute</w:t>
      </w:r>
      <w:r>
        <w:rPr>
          <w:i/>
          <w:spacing w:val="49"/>
          <w:sz w:val="24"/>
        </w:rPr>
        <w:t> </w:t>
      </w:r>
      <w:r>
        <w:rPr>
          <w:i/>
          <w:sz w:val="24"/>
        </w:rPr>
        <w:t>in</w:t>
      </w:r>
      <w:r>
        <w:rPr>
          <w:i/>
          <w:spacing w:val="47"/>
          <w:sz w:val="24"/>
        </w:rPr>
        <w:t> </w:t>
      </w:r>
      <w:r>
        <w:rPr>
          <w:i/>
          <w:sz w:val="24"/>
        </w:rPr>
        <w:t>community</w:t>
      </w:r>
      <w:r>
        <w:rPr>
          <w:i/>
          <w:spacing w:val="49"/>
          <w:sz w:val="24"/>
        </w:rPr>
        <w:t> </w:t>
      </w:r>
      <w:r>
        <w:rPr>
          <w:i/>
          <w:spacing w:val="-2"/>
          <w:sz w:val="24"/>
        </w:rPr>
        <w:t>planning.</w:t>
      </w:r>
    </w:p>
    <w:p>
      <w:pPr>
        <w:pStyle w:val="BodyText"/>
        <w:ind w:left="571"/>
      </w:pPr>
      <w:r>
        <w:rPr/>
        <w:t>Toronto:</w:t>
      </w:r>
      <w:r>
        <w:rPr>
          <w:spacing w:val="-2"/>
        </w:rPr>
        <w:t> </w:t>
      </w:r>
      <w:r>
        <w:rPr/>
        <w:t>University</w:t>
      </w:r>
      <w:r>
        <w:rPr>
          <w:spacing w:val="-5"/>
        </w:rPr>
        <w:t> </w:t>
      </w:r>
      <w:r>
        <w:rPr/>
        <w:t>of</w:t>
      </w:r>
      <w:r>
        <w:rPr>
          <w:spacing w:val="1"/>
        </w:rPr>
        <w:t> </w:t>
      </w:r>
      <w:r>
        <w:rPr/>
        <w:t>Toronto </w:t>
      </w:r>
      <w:r>
        <w:rPr>
          <w:spacing w:val="-2"/>
        </w:rPr>
        <w:t>Press.</w:t>
      </w:r>
    </w:p>
    <w:p>
      <w:pPr>
        <w:pStyle w:val="BodyText"/>
      </w:pPr>
    </w:p>
    <w:p>
      <w:pPr>
        <w:spacing w:before="0"/>
        <w:ind w:left="571" w:right="1115" w:hanging="452"/>
        <w:jc w:val="both"/>
        <w:rPr>
          <w:sz w:val="24"/>
        </w:rPr>
      </w:pPr>
      <w:r>
        <w:rPr>
          <w:sz w:val="24"/>
        </w:rPr>
        <w:t>Greiling, D. (2006). Performance measurement: A remedy for increasing the efficiency</w:t>
      </w:r>
      <w:r>
        <w:rPr>
          <w:spacing w:val="-3"/>
          <w:sz w:val="24"/>
        </w:rPr>
        <w:t> </w:t>
      </w:r>
      <w:r>
        <w:rPr>
          <w:sz w:val="24"/>
        </w:rPr>
        <w:t>of public services. </w:t>
      </w:r>
      <w:r>
        <w:rPr>
          <w:i/>
          <w:sz w:val="24"/>
        </w:rPr>
        <w:t>International Journal of Productivity and Performance Management</w:t>
      </w:r>
      <w:r>
        <w:rPr>
          <w:sz w:val="24"/>
        </w:rPr>
        <w:t>, 55(6),448- </w:t>
      </w:r>
      <w:r>
        <w:rPr>
          <w:spacing w:val="-4"/>
          <w:sz w:val="24"/>
        </w:rPr>
        <w:t>465.</w:t>
      </w:r>
    </w:p>
    <w:p>
      <w:pPr>
        <w:pStyle w:val="BodyText"/>
      </w:pPr>
    </w:p>
    <w:p>
      <w:pPr>
        <w:pStyle w:val="BodyText"/>
        <w:spacing w:before="1"/>
        <w:ind w:left="571" w:right="1117" w:hanging="452"/>
      </w:pPr>
      <w:r>
        <w:rPr/>
        <w:t>Griesemer,</w:t>
      </w:r>
      <w:r>
        <w:rPr>
          <w:spacing w:val="40"/>
        </w:rPr>
        <w:t> </w:t>
      </w:r>
      <w:r>
        <w:rPr/>
        <w:t>J.</w:t>
      </w:r>
      <w:r>
        <w:rPr>
          <w:spacing w:val="40"/>
        </w:rPr>
        <w:t> </w:t>
      </w:r>
      <w:r>
        <w:rPr/>
        <w:t>(1983).</w:t>
      </w:r>
      <w:r>
        <w:rPr>
          <w:spacing w:val="40"/>
        </w:rPr>
        <w:t> </w:t>
      </w:r>
      <w:r>
        <w:rPr/>
        <w:t>Budgeting</w:t>
      </w:r>
      <w:r>
        <w:rPr>
          <w:spacing w:val="40"/>
        </w:rPr>
        <w:t> </w:t>
      </w:r>
      <w:r>
        <w:rPr/>
        <w:t>for</w:t>
      </w:r>
      <w:r>
        <w:rPr>
          <w:spacing w:val="40"/>
        </w:rPr>
        <w:t> </w:t>
      </w:r>
      <w:r>
        <w:rPr/>
        <w:t>results</w:t>
      </w:r>
      <w:r>
        <w:rPr>
          <w:spacing w:val="40"/>
        </w:rPr>
        <w:t> </w:t>
      </w:r>
      <w:r>
        <w:rPr/>
        <w:t>in</w:t>
      </w:r>
      <w:r>
        <w:rPr>
          <w:spacing w:val="40"/>
        </w:rPr>
        <w:t> </w:t>
      </w:r>
      <w:r>
        <w:rPr/>
        <w:t>Government:</w:t>
      </w:r>
      <w:r>
        <w:rPr>
          <w:spacing w:val="40"/>
        </w:rPr>
        <w:t> </w:t>
      </w:r>
      <w:r>
        <w:rPr/>
        <w:t>Accountants</w:t>
      </w:r>
      <w:r>
        <w:rPr>
          <w:spacing w:val="40"/>
        </w:rPr>
        <w:t> </w:t>
      </w:r>
      <w:r>
        <w:rPr/>
        <w:t>and</w:t>
      </w:r>
      <w:r>
        <w:rPr>
          <w:spacing w:val="40"/>
        </w:rPr>
        <w:t> </w:t>
      </w:r>
      <w:r>
        <w:rPr/>
        <w:t>Administrators Guide.New York: Ronald Press.</w:t>
      </w:r>
    </w:p>
    <w:p>
      <w:pPr>
        <w:spacing w:before="276"/>
        <w:ind w:left="571" w:right="1117" w:hanging="452"/>
        <w:jc w:val="left"/>
        <w:rPr>
          <w:sz w:val="24"/>
        </w:rPr>
      </w:pPr>
      <w:r>
        <w:rPr>
          <w:sz w:val="24"/>
        </w:rPr>
        <w:t>Grimes,</w:t>
      </w:r>
      <w:r>
        <w:rPr>
          <w:spacing w:val="80"/>
          <w:sz w:val="24"/>
        </w:rPr>
        <w:t> </w:t>
      </w:r>
      <w:r>
        <w:rPr>
          <w:sz w:val="24"/>
        </w:rPr>
        <w:t>O.F.</w:t>
      </w:r>
      <w:r>
        <w:rPr>
          <w:spacing w:val="80"/>
          <w:sz w:val="24"/>
        </w:rPr>
        <w:t> </w:t>
      </w:r>
      <w:r>
        <w:rPr>
          <w:sz w:val="24"/>
        </w:rPr>
        <w:t>(1976).</w:t>
      </w:r>
      <w:r>
        <w:rPr>
          <w:spacing w:val="80"/>
          <w:sz w:val="24"/>
        </w:rPr>
        <w:t> </w:t>
      </w:r>
      <w:r>
        <w:rPr>
          <w:i/>
          <w:sz w:val="24"/>
        </w:rPr>
        <w:t>Housing</w:t>
      </w:r>
      <w:r>
        <w:rPr>
          <w:i/>
          <w:spacing w:val="80"/>
          <w:sz w:val="24"/>
        </w:rPr>
        <w:t> </w:t>
      </w:r>
      <w:r>
        <w:rPr>
          <w:i/>
          <w:sz w:val="24"/>
        </w:rPr>
        <w:t>for</w:t>
      </w:r>
      <w:r>
        <w:rPr>
          <w:i/>
          <w:spacing w:val="80"/>
          <w:sz w:val="24"/>
        </w:rPr>
        <w:t> </w:t>
      </w:r>
      <w:r>
        <w:rPr>
          <w:i/>
          <w:sz w:val="24"/>
        </w:rPr>
        <w:t>low</w:t>
      </w:r>
      <w:r>
        <w:rPr>
          <w:i/>
          <w:spacing w:val="80"/>
          <w:sz w:val="24"/>
        </w:rPr>
        <w:t> </w:t>
      </w:r>
      <w:r>
        <w:rPr>
          <w:i/>
          <w:sz w:val="24"/>
        </w:rPr>
        <w:t>income</w:t>
      </w:r>
      <w:r>
        <w:rPr>
          <w:i/>
          <w:spacing w:val="80"/>
          <w:sz w:val="24"/>
        </w:rPr>
        <w:t> </w:t>
      </w:r>
      <w:r>
        <w:rPr>
          <w:i/>
          <w:sz w:val="24"/>
        </w:rPr>
        <w:t>urban</w:t>
      </w:r>
      <w:r>
        <w:rPr>
          <w:i/>
          <w:spacing w:val="80"/>
          <w:sz w:val="24"/>
        </w:rPr>
        <w:t> </w:t>
      </w:r>
      <w:r>
        <w:rPr>
          <w:i/>
          <w:sz w:val="24"/>
        </w:rPr>
        <w:t>families</w:t>
      </w:r>
      <w:r>
        <w:rPr>
          <w:sz w:val="24"/>
        </w:rPr>
        <w:t>.</w:t>
      </w:r>
      <w:r>
        <w:rPr>
          <w:spacing w:val="80"/>
          <w:sz w:val="24"/>
        </w:rPr>
        <w:t> </w:t>
      </w:r>
      <w:r>
        <w:rPr>
          <w:sz w:val="24"/>
        </w:rPr>
        <w:t>Baltimore:</w:t>
      </w:r>
      <w:r>
        <w:rPr>
          <w:spacing w:val="80"/>
          <w:sz w:val="24"/>
        </w:rPr>
        <w:t> </w:t>
      </w:r>
      <w:r>
        <w:rPr>
          <w:sz w:val="24"/>
        </w:rPr>
        <w:t>John</w:t>
      </w:r>
      <w:r>
        <w:rPr>
          <w:spacing w:val="80"/>
          <w:sz w:val="24"/>
        </w:rPr>
        <w:t> </w:t>
      </w:r>
      <w:r>
        <w:rPr>
          <w:sz w:val="24"/>
        </w:rPr>
        <w:t>Hopkins University Press.</w:t>
      </w:r>
    </w:p>
    <w:p>
      <w:pPr>
        <w:pStyle w:val="BodyText"/>
      </w:pPr>
    </w:p>
    <w:p>
      <w:pPr>
        <w:spacing w:line="242" w:lineRule="auto" w:before="0"/>
        <w:ind w:left="571" w:right="1117" w:hanging="452"/>
        <w:jc w:val="left"/>
        <w:rPr>
          <w:sz w:val="24"/>
        </w:rPr>
      </w:pPr>
      <w:r>
        <w:rPr>
          <w:sz w:val="24"/>
        </w:rPr>
        <w:t>Gumel,</w:t>
      </w:r>
      <w:r>
        <w:rPr>
          <w:spacing w:val="40"/>
          <w:sz w:val="24"/>
        </w:rPr>
        <w:t> </w:t>
      </w:r>
      <w:r>
        <w:rPr>
          <w:sz w:val="24"/>
        </w:rPr>
        <w:t>H.</w:t>
      </w:r>
      <w:r>
        <w:rPr>
          <w:spacing w:val="40"/>
          <w:sz w:val="24"/>
        </w:rPr>
        <w:t> </w:t>
      </w:r>
      <w:r>
        <w:rPr>
          <w:sz w:val="24"/>
        </w:rPr>
        <w:t>S.</w:t>
      </w:r>
      <w:r>
        <w:rPr>
          <w:spacing w:val="40"/>
          <w:sz w:val="24"/>
        </w:rPr>
        <w:t> </w:t>
      </w:r>
      <w:r>
        <w:rPr>
          <w:sz w:val="24"/>
        </w:rPr>
        <w:t>(2000).</w:t>
      </w:r>
      <w:r>
        <w:rPr>
          <w:spacing w:val="40"/>
          <w:sz w:val="24"/>
        </w:rPr>
        <w:t> </w:t>
      </w:r>
      <w:r>
        <w:rPr>
          <w:sz w:val="24"/>
        </w:rPr>
        <w:t>Strategies</w:t>
      </w:r>
      <w:r>
        <w:rPr>
          <w:spacing w:val="40"/>
          <w:sz w:val="24"/>
        </w:rPr>
        <w:t> </w:t>
      </w:r>
      <w:r>
        <w:rPr>
          <w:sz w:val="24"/>
        </w:rPr>
        <w:t>for</w:t>
      </w:r>
      <w:r>
        <w:rPr>
          <w:spacing w:val="40"/>
          <w:sz w:val="24"/>
        </w:rPr>
        <w:t> </w:t>
      </w:r>
      <w:r>
        <w:rPr>
          <w:sz w:val="24"/>
        </w:rPr>
        <w:t>sustainable</w:t>
      </w:r>
      <w:r>
        <w:rPr>
          <w:spacing w:val="40"/>
          <w:sz w:val="24"/>
        </w:rPr>
        <w:t> </w:t>
      </w:r>
      <w:r>
        <w:rPr>
          <w:sz w:val="24"/>
        </w:rPr>
        <w:t>and</w:t>
      </w:r>
      <w:r>
        <w:rPr>
          <w:spacing w:val="40"/>
          <w:sz w:val="24"/>
        </w:rPr>
        <w:t> </w:t>
      </w:r>
      <w:r>
        <w:rPr>
          <w:sz w:val="24"/>
        </w:rPr>
        <w:t>affordable</w:t>
      </w:r>
      <w:r>
        <w:rPr>
          <w:spacing w:val="40"/>
          <w:sz w:val="24"/>
        </w:rPr>
        <w:t> </w:t>
      </w:r>
      <w:r>
        <w:rPr>
          <w:sz w:val="24"/>
        </w:rPr>
        <w:t>housing</w:t>
      </w:r>
      <w:r>
        <w:rPr>
          <w:spacing w:val="40"/>
          <w:sz w:val="24"/>
        </w:rPr>
        <w:t> </w:t>
      </w:r>
      <w:r>
        <w:rPr>
          <w:sz w:val="24"/>
        </w:rPr>
        <w:t>delivery</w:t>
      </w:r>
      <w:r>
        <w:rPr>
          <w:spacing w:val="40"/>
          <w:sz w:val="24"/>
        </w:rPr>
        <w:t> </w:t>
      </w:r>
      <w:r>
        <w:rPr>
          <w:sz w:val="24"/>
        </w:rPr>
        <w:t>in</w:t>
      </w:r>
      <w:r>
        <w:rPr>
          <w:spacing w:val="40"/>
          <w:sz w:val="24"/>
        </w:rPr>
        <w:t> </w:t>
      </w:r>
      <w:r>
        <w:rPr>
          <w:sz w:val="24"/>
        </w:rPr>
        <w:t>Nigeria</w:t>
      </w:r>
      <w:r>
        <w:rPr>
          <w:i/>
          <w:sz w:val="24"/>
        </w:rPr>
        <w:t>, Journal of the Nigerian Institute of Building, </w:t>
      </w:r>
      <w:r>
        <w:rPr>
          <w:sz w:val="24"/>
        </w:rPr>
        <w:t>June/July, 3-8.</w:t>
      </w:r>
    </w:p>
    <w:p>
      <w:pPr>
        <w:spacing w:before="194"/>
        <w:ind w:left="120" w:right="0" w:firstLine="0"/>
        <w:jc w:val="left"/>
        <w:rPr>
          <w:sz w:val="24"/>
        </w:rPr>
      </w:pPr>
      <w:r>
        <w:rPr>
          <w:sz w:val="24"/>
        </w:rPr>
        <w:t>Hanson,</w:t>
      </w:r>
      <w:r>
        <w:rPr>
          <w:spacing w:val="34"/>
          <w:sz w:val="24"/>
        </w:rPr>
        <w:t> </w:t>
      </w:r>
      <w:r>
        <w:rPr>
          <w:sz w:val="24"/>
        </w:rPr>
        <w:t>G.,</w:t>
      </w:r>
      <w:r>
        <w:rPr>
          <w:spacing w:val="36"/>
          <w:sz w:val="24"/>
        </w:rPr>
        <w:t> </w:t>
      </w:r>
      <w:r>
        <w:rPr>
          <w:sz w:val="24"/>
        </w:rPr>
        <w:t>Lloyd,</w:t>
      </w:r>
      <w:r>
        <w:rPr>
          <w:spacing w:val="34"/>
          <w:sz w:val="24"/>
        </w:rPr>
        <w:t> </w:t>
      </w:r>
      <w:r>
        <w:rPr>
          <w:sz w:val="24"/>
        </w:rPr>
        <w:t>R.,</w:t>
      </w:r>
      <w:r>
        <w:rPr>
          <w:spacing w:val="37"/>
          <w:sz w:val="24"/>
        </w:rPr>
        <w:t> </w:t>
      </w:r>
      <w:r>
        <w:rPr>
          <w:sz w:val="24"/>
        </w:rPr>
        <w:t>&amp;</w:t>
      </w:r>
      <w:r>
        <w:rPr>
          <w:spacing w:val="35"/>
          <w:sz w:val="24"/>
        </w:rPr>
        <w:t> </w:t>
      </w:r>
      <w:r>
        <w:rPr>
          <w:sz w:val="24"/>
        </w:rPr>
        <w:t>Lorimer,</w:t>
      </w:r>
      <w:r>
        <w:rPr>
          <w:spacing w:val="36"/>
          <w:sz w:val="24"/>
        </w:rPr>
        <w:t> </w:t>
      </w:r>
      <w:r>
        <w:rPr>
          <w:sz w:val="24"/>
        </w:rPr>
        <w:t>B.</w:t>
      </w:r>
      <w:r>
        <w:rPr>
          <w:spacing w:val="34"/>
          <w:sz w:val="24"/>
        </w:rPr>
        <w:t> </w:t>
      </w:r>
      <w:r>
        <w:rPr>
          <w:sz w:val="24"/>
        </w:rPr>
        <w:t>(2004).</w:t>
      </w:r>
      <w:r>
        <w:rPr>
          <w:spacing w:val="42"/>
          <w:sz w:val="24"/>
        </w:rPr>
        <w:t> </w:t>
      </w:r>
      <w:r>
        <w:rPr>
          <w:i/>
          <w:sz w:val="24"/>
        </w:rPr>
        <w:t>Evaluation</w:t>
      </w:r>
      <w:r>
        <w:rPr>
          <w:i/>
          <w:spacing w:val="35"/>
          <w:sz w:val="24"/>
        </w:rPr>
        <w:t> </w:t>
      </w:r>
      <w:r>
        <w:rPr>
          <w:i/>
          <w:sz w:val="24"/>
        </w:rPr>
        <w:t>of</w:t>
      </w:r>
      <w:r>
        <w:rPr>
          <w:i/>
          <w:spacing w:val="35"/>
          <w:sz w:val="24"/>
        </w:rPr>
        <w:t> </w:t>
      </w:r>
      <w:r>
        <w:rPr>
          <w:i/>
          <w:sz w:val="24"/>
        </w:rPr>
        <w:t>the</w:t>
      </w:r>
      <w:r>
        <w:rPr>
          <w:i/>
          <w:spacing w:val="34"/>
          <w:sz w:val="24"/>
        </w:rPr>
        <w:t> </w:t>
      </w:r>
      <w:r>
        <w:rPr>
          <w:i/>
          <w:sz w:val="24"/>
        </w:rPr>
        <w:t>Social</w:t>
      </w:r>
      <w:r>
        <w:rPr>
          <w:i/>
          <w:spacing w:val="35"/>
          <w:sz w:val="24"/>
        </w:rPr>
        <w:t> </w:t>
      </w:r>
      <w:r>
        <w:rPr>
          <w:i/>
          <w:sz w:val="24"/>
        </w:rPr>
        <w:t>Housing</w:t>
      </w:r>
      <w:r>
        <w:rPr>
          <w:i/>
          <w:spacing w:val="35"/>
          <w:sz w:val="24"/>
        </w:rPr>
        <w:t> </w:t>
      </w:r>
      <w:r>
        <w:rPr>
          <w:i/>
          <w:spacing w:val="-2"/>
          <w:sz w:val="24"/>
        </w:rPr>
        <w:t>Programme</w:t>
      </w:r>
      <w:r>
        <w:rPr>
          <w:spacing w:val="-2"/>
          <w:sz w:val="24"/>
        </w:rPr>
        <w:t>.</w:t>
      </w:r>
    </w:p>
    <w:p>
      <w:pPr>
        <w:pStyle w:val="BodyText"/>
        <w:ind w:left="571"/>
      </w:pPr>
      <w:r>
        <w:rPr/>
        <w:t>Yukon:</w:t>
      </w:r>
      <w:r>
        <w:rPr>
          <w:spacing w:val="-1"/>
        </w:rPr>
        <w:t> </w:t>
      </w:r>
      <w:r>
        <w:rPr/>
        <w:t>Yukon Housing</w:t>
      </w:r>
      <w:r>
        <w:rPr>
          <w:spacing w:val="-1"/>
        </w:rPr>
        <w:t> </w:t>
      </w:r>
      <w:r>
        <w:rPr>
          <w:spacing w:val="-2"/>
        </w:rPr>
        <w:t>Corporation.</w:t>
      </w:r>
    </w:p>
    <w:p>
      <w:pPr>
        <w:pStyle w:val="BodyText"/>
      </w:pPr>
    </w:p>
    <w:p>
      <w:pPr>
        <w:spacing w:before="0"/>
        <w:ind w:left="571" w:right="1117" w:hanging="452"/>
        <w:jc w:val="left"/>
        <w:rPr>
          <w:sz w:val="24"/>
        </w:rPr>
      </w:pPr>
      <w:r>
        <w:rPr>
          <w:sz w:val="24"/>
        </w:rPr>
        <w:t>Hart, D.K. (1972).</w:t>
      </w:r>
      <w:r>
        <w:rPr>
          <w:spacing w:val="-1"/>
          <w:sz w:val="24"/>
        </w:rPr>
        <w:t> </w:t>
      </w:r>
      <w:r>
        <w:rPr>
          <w:sz w:val="24"/>
        </w:rPr>
        <w:t>Theories of</w:t>
      </w:r>
      <w:r>
        <w:rPr>
          <w:spacing w:val="-1"/>
          <w:sz w:val="24"/>
        </w:rPr>
        <w:t> </w:t>
      </w:r>
      <w:r>
        <w:rPr>
          <w:sz w:val="24"/>
        </w:rPr>
        <w:t>government related to citizen participation. </w:t>
      </w:r>
      <w:r>
        <w:rPr>
          <w:i/>
          <w:sz w:val="24"/>
        </w:rPr>
        <w:t>Public</w:t>
      </w:r>
      <w:r>
        <w:rPr>
          <w:i/>
          <w:spacing w:val="-1"/>
          <w:sz w:val="24"/>
        </w:rPr>
        <w:t> </w:t>
      </w:r>
      <w:r>
        <w:rPr>
          <w:i/>
          <w:sz w:val="24"/>
        </w:rPr>
        <w:t>Administration Review</w:t>
      </w:r>
      <w:r>
        <w:rPr>
          <w:sz w:val="24"/>
        </w:rPr>
        <w:t>,50(3), 61-70.</w:t>
      </w:r>
    </w:p>
    <w:p>
      <w:pPr>
        <w:spacing w:after="0"/>
        <w:jc w:val="left"/>
        <w:rPr>
          <w:sz w:val="24"/>
        </w:rPr>
        <w:sectPr>
          <w:pgSz w:w="12240" w:h="15840"/>
          <w:pgMar w:header="0" w:footer="1036" w:top="1360" w:bottom="1220" w:left="1320" w:right="320"/>
        </w:sectPr>
      </w:pPr>
    </w:p>
    <w:p>
      <w:pPr>
        <w:spacing w:before="72"/>
        <w:ind w:left="571" w:right="1117" w:hanging="452"/>
        <w:jc w:val="both"/>
        <w:rPr>
          <w:sz w:val="24"/>
        </w:rPr>
      </w:pPr>
      <w:r>
        <w:rPr>
          <w:sz w:val="24"/>
        </w:rPr>
        <w:t>Hatry, H. (1999). </w:t>
      </w:r>
      <w:r>
        <w:rPr>
          <w:i/>
          <w:sz w:val="24"/>
        </w:rPr>
        <w:t>Performance measurement: Getting results</w:t>
      </w:r>
      <w:r>
        <w:rPr>
          <w:sz w:val="24"/>
        </w:rPr>
        <w:t>. Washington, DC: Urban Institute </w:t>
      </w:r>
      <w:r>
        <w:rPr>
          <w:spacing w:val="-2"/>
          <w:sz w:val="24"/>
        </w:rPr>
        <w:t>Press.</w:t>
      </w:r>
    </w:p>
    <w:p>
      <w:pPr>
        <w:pStyle w:val="BodyText"/>
      </w:pPr>
    </w:p>
    <w:p>
      <w:pPr>
        <w:spacing w:before="0"/>
        <w:ind w:left="571" w:right="1115" w:hanging="452"/>
        <w:jc w:val="both"/>
        <w:rPr>
          <w:sz w:val="24"/>
        </w:rPr>
      </w:pPr>
      <w:r>
        <w:rPr>
          <w:sz w:val="24"/>
        </w:rPr>
        <w:t>Hatry, H. P., Winnie, R. E., &amp; Fisk, D.M.(1981). </w:t>
      </w:r>
      <w:r>
        <w:rPr>
          <w:i/>
          <w:sz w:val="24"/>
        </w:rPr>
        <w:t>Practical program evaluation for state and local governments </w:t>
      </w:r>
      <w:r>
        <w:rPr>
          <w:sz w:val="24"/>
        </w:rPr>
        <w:t>(2nd ed.). Washington, DC: Urban Institute Press.</w:t>
      </w:r>
    </w:p>
    <w:p>
      <w:pPr>
        <w:pStyle w:val="BodyText"/>
      </w:pPr>
    </w:p>
    <w:p>
      <w:pPr>
        <w:spacing w:before="0"/>
        <w:ind w:left="571" w:right="1115" w:hanging="452"/>
        <w:jc w:val="both"/>
        <w:rPr>
          <w:sz w:val="24"/>
        </w:rPr>
      </w:pPr>
      <w:r>
        <w:rPr>
          <w:sz w:val="24"/>
        </w:rPr>
        <w:t>Heli, H. (2011). Measurement of effectiveness, efficiency and quality in public sector services - interventionist empirical investigations. </w:t>
      </w:r>
      <w:r>
        <w:rPr>
          <w:i/>
          <w:sz w:val="24"/>
        </w:rPr>
        <w:t>International Journal of Public Sector</w:t>
      </w:r>
      <w:r>
        <w:rPr>
          <w:i/>
          <w:spacing w:val="40"/>
          <w:sz w:val="24"/>
        </w:rPr>
        <w:t> </w:t>
      </w:r>
      <w:r>
        <w:rPr>
          <w:i/>
          <w:sz w:val="24"/>
        </w:rPr>
        <w:t>Management</w:t>
      </w:r>
      <w:r>
        <w:rPr>
          <w:sz w:val="24"/>
        </w:rPr>
        <w:t>, 5(5), 4-10.</w:t>
      </w:r>
    </w:p>
    <w:p>
      <w:pPr>
        <w:pStyle w:val="BodyText"/>
      </w:pPr>
    </w:p>
    <w:p>
      <w:pPr>
        <w:spacing w:before="0"/>
        <w:ind w:left="120" w:right="0" w:firstLine="0"/>
        <w:jc w:val="left"/>
        <w:rPr>
          <w:sz w:val="24"/>
        </w:rPr>
      </w:pPr>
      <w:r>
        <w:rPr>
          <w:sz w:val="24"/>
        </w:rPr>
        <w:t>Henri,</w:t>
      </w:r>
      <w:r>
        <w:rPr>
          <w:spacing w:val="13"/>
          <w:sz w:val="24"/>
        </w:rPr>
        <w:t> </w:t>
      </w:r>
      <w:r>
        <w:rPr>
          <w:sz w:val="24"/>
        </w:rPr>
        <w:t>J.</w:t>
      </w:r>
      <w:r>
        <w:rPr>
          <w:spacing w:val="15"/>
          <w:sz w:val="24"/>
        </w:rPr>
        <w:t> </w:t>
      </w:r>
      <w:r>
        <w:rPr>
          <w:sz w:val="24"/>
        </w:rPr>
        <w:t>(2008).</w:t>
      </w:r>
      <w:r>
        <w:rPr>
          <w:spacing w:val="15"/>
          <w:sz w:val="24"/>
        </w:rPr>
        <w:t> </w:t>
      </w:r>
      <w:r>
        <w:rPr>
          <w:i/>
          <w:sz w:val="24"/>
        </w:rPr>
        <w:t>Performance</w:t>
      </w:r>
      <w:r>
        <w:rPr>
          <w:i/>
          <w:spacing w:val="13"/>
          <w:sz w:val="24"/>
        </w:rPr>
        <w:t> </w:t>
      </w:r>
      <w:r>
        <w:rPr>
          <w:i/>
          <w:sz w:val="24"/>
        </w:rPr>
        <w:t>measurement</w:t>
      </w:r>
      <w:r>
        <w:rPr>
          <w:i/>
          <w:spacing w:val="16"/>
          <w:sz w:val="24"/>
        </w:rPr>
        <w:t> </w:t>
      </w:r>
      <w:r>
        <w:rPr>
          <w:i/>
          <w:sz w:val="24"/>
        </w:rPr>
        <w:t>and</w:t>
      </w:r>
      <w:r>
        <w:rPr>
          <w:i/>
          <w:spacing w:val="17"/>
          <w:sz w:val="24"/>
        </w:rPr>
        <w:t> </w:t>
      </w:r>
      <w:r>
        <w:rPr>
          <w:i/>
          <w:sz w:val="24"/>
        </w:rPr>
        <w:t>organizational</w:t>
      </w:r>
      <w:r>
        <w:rPr>
          <w:i/>
          <w:spacing w:val="12"/>
          <w:sz w:val="24"/>
        </w:rPr>
        <w:t> </w:t>
      </w:r>
      <w:r>
        <w:rPr>
          <w:i/>
          <w:sz w:val="24"/>
        </w:rPr>
        <w:t>effectiveness</w:t>
      </w:r>
      <w:r>
        <w:rPr>
          <w:sz w:val="24"/>
        </w:rPr>
        <w:t>:</w:t>
      </w:r>
      <w:r>
        <w:rPr>
          <w:spacing w:val="16"/>
          <w:sz w:val="24"/>
        </w:rPr>
        <w:t> </w:t>
      </w:r>
      <w:r>
        <w:rPr>
          <w:sz w:val="24"/>
        </w:rPr>
        <w:t>Bridging</w:t>
      </w:r>
      <w:r>
        <w:rPr>
          <w:spacing w:val="13"/>
          <w:sz w:val="24"/>
        </w:rPr>
        <w:t> </w:t>
      </w:r>
      <w:r>
        <w:rPr>
          <w:sz w:val="24"/>
        </w:rPr>
        <w:t>the</w:t>
      </w:r>
      <w:r>
        <w:rPr>
          <w:spacing w:val="17"/>
          <w:sz w:val="24"/>
        </w:rPr>
        <w:t> </w:t>
      </w:r>
      <w:r>
        <w:rPr>
          <w:spacing w:val="-4"/>
          <w:sz w:val="24"/>
        </w:rPr>
        <w:t>gap.</w:t>
      </w:r>
    </w:p>
    <w:p>
      <w:pPr>
        <w:pStyle w:val="BodyText"/>
        <w:ind w:left="571"/>
      </w:pPr>
      <w:r>
        <w:rPr/>
        <w:t>Québec</w:t>
      </w:r>
      <w:r>
        <w:rPr>
          <w:spacing w:val="-3"/>
        </w:rPr>
        <w:t> </w:t>
      </w:r>
      <w:r>
        <w:rPr/>
        <w:t>City:</w:t>
      </w:r>
      <w:r>
        <w:rPr>
          <w:spacing w:val="-1"/>
        </w:rPr>
        <w:t> </w:t>
      </w:r>
      <w:r>
        <w:rPr/>
        <w:t>School</w:t>
      </w:r>
      <w:r>
        <w:rPr>
          <w:spacing w:val="-2"/>
        </w:rPr>
        <w:t> </w:t>
      </w:r>
      <w:r>
        <w:rPr/>
        <w:t>of Accounting,</w:t>
      </w:r>
      <w:r>
        <w:rPr>
          <w:spacing w:val="-2"/>
        </w:rPr>
        <w:t> </w:t>
      </w:r>
      <w:r>
        <w:rPr/>
        <w:t>Université </w:t>
      </w:r>
      <w:r>
        <w:rPr>
          <w:spacing w:val="-2"/>
        </w:rPr>
        <w:t>Laval.</w:t>
      </w:r>
    </w:p>
    <w:p>
      <w:pPr>
        <w:pStyle w:val="BodyText"/>
        <w:spacing w:before="1"/>
      </w:pPr>
    </w:p>
    <w:p>
      <w:pPr>
        <w:spacing w:before="0"/>
        <w:ind w:left="571" w:right="1117" w:hanging="452"/>
        <w:jc w:val="both"/>
        <w:rPr>
          <w:sz w:val="24"/>
        </w:rPr>
      </w:pPr>
      <w:r>
        <w:rPr>
          <w:sz w:val="24"/>
        </w:rPr>
        <w:t>Herrerea, S., Pang, G. (2005). </w:t>
      </w:r>
      <w:r>
        <w:rPr>
          <w:i/>
          <w:sz w:val="24"/>
        </w:rPr>
        <w:t>Efficiency of public spending in developing countries: An efficiency frontier approach</w:t>
      </w:r>
      <w:r>
        <w:rPr>
          <w:sz w:val="24"/>
        </w:rPr>
        <w:t>. A World Bank Policy Research Working Paper 3645. Washington, D.C: World Bank.</w:t>
      </w:r>
    </w:p>
    <w:p>
      <w:pPr>
        <w:pStyle w:val="BodyText"/>
      </w:pPr>
    </w:p>
    <w:p>
      <w:pPr>
        <w:spacing w:before="0"/>
        <w:ind w:left="571" w:right="1114" w:hanging="452"/>
        <w:jc w:val="both"/>
        <w:rPr>
          <w:sz w:val="24"/>
        </w:rPr>
      </w:pPr>
      <w:r>
        <w:rPr>
          <w:sz w:val="24"/>
        </w:rPr>
        <w:t>Hofstadter,</w:t>
      </w:r>
      <w:r>
        <w:rPr>
          <w:spacing w:val="-1"/>
          <w:sz w:val="24"/>
        </w:rPr>
        <w:t> </w:t>
      </w:r>
      <w:r>
        <w:rPr>
          <w:sz w:val="24"/>
        </w:rPr>
        <w:t>R.(1955).</w:t>
      </w:r>
      <w:r>
        <w:rPr>
          <w:spacing w:val="-2"/>
          <w:sz w:val="24"/>
        </w:rPr>
        <w:t> </w:t>
      </w:r>
      <w:r>
        <w:rPr>
          <w:i/>
          <w:sz w:val="24"/>
        </w:rPr>
        <w:t>The</w:t>
      </w:r>
      <w:r>
        <w:rPr>
          <w:i/>
          <w:spacing w:val="-3"/>
          <w:sz w:val="24"/>
        </w:rPr>
        <w:t> </w:t>
      </w:r>
      <w:r>
        <w:rPr>
          <w:i/>
          <w:sz w:val="24"/>
        </w:rPr>
        <w:t>age</w:t>
      </w:r>
      <w:r>
        <w:rPr>
          <w:i/>
          <w:spacing w:val="40"/>
          <w:sz w:val="24"/>
        </w:rPr>
        <w:t> </w:t>
      </w:r>
      <w:r>
        <w:rPr>
          <w:i/>
          <w:sz w:val="24"/>
        </w:rPr>
        <w:t>of</w:t>
      </w:r>
      <w:r>
        <w:rPr>
          <w:i/>
          <w:spacing w:val="-2"/>
          <w:sz w:val="24"/>
        </w:rPr>
        <w:t> </w:t>
      </w:r>
      <w:r>
        <w:rPr>
          <w:i/>
          <w:sz w:val="24"/>
        </w:rPr>
        <w:t>reform.</w:t>
      </w:r>
      <w:r>
        <w:rPr>
          <w:i/>
          <w:spacing w:val="-1"/>
          <w:sz w:val="24"/>
        </w:rPr>
        <w:t> </w:t>
      </w:r>
      <w:r>
        <w:rPr>
          <w:sz w:val="24"/>
        </w:rPr>
        <w:t>New</w:t>
      </w:r>
      <w:r>
        <w:rPr>
          <w:spacing w:val="-2"/>
          <w:sz w:val="24"/>
        </w:rPr>
        <w:t> </w:t>
      </w:r>
      <w:r>
        <w:rPr>
          <w:sz w:val="24"/>
        </w:rPr>
        <w:t>York:</w:t>
      </w:r>
      <w:r>
        <w:rPr>
          <w:spacing w:val="-2"/>
          <w:sz w:val="24"/>
        </w:rPr>
        <w:t> </w:t>
      </w:r>
      <w:r>
        <w:rPr>
          <w:sz w:val="24"/>
        </w:rPr>
        <w:t>Vintage</w:t>
      </w:r>
      <w:r>
        <w:rPr>
          <w:spacing w:val="-1"/>
          <w:sz w:val="24"/>
        </w:rPr>
        <w:t> </w:t>
      </w:r>
      <w:r>
        <w:rPr>
          <w:sz w:val="24"/>
        </w:rPr>
        <w:t>Books. Key,</w:t>
      </w:r>
      <w:r>
        <w:rPr>
          <w:spacing w:val="-2"/>
          <w:sz w:val="24"/>
        </w:rPr>
        <w:t> </w:t>
      </w:r>
      <w:r>
        <w:rPr>
          <w:sz w:val="24"/>
        </w:rPr>
        <w:t>V.O. (1987).</w:t>
      </w:r>
      <w:r>
        <w:rPr>
          <w:spacing w:val="-2"/>
          <w:sz w:val="24"/>
        </w:rPr>
        <w:t> </w:t>
      </w:r>
      <w:r>
        <w:rPr>
          <w:sz w:val="24"/>
        </w:rPr>
        <w:t>The</w:t>
      </w:r>
      <w:r>
        <w:rPr>
          <w:spacing w:val="-3"/>
          <w:sz w:val="24"/>
        </w:rPr>
        <w:t> </w:t>
      </w:r>
      <w:r>
        <w:rPr>
          <w:sz w:val="24"/>
        </w:rPr>
        <w:t>lack of a budgetary theory. In J.M. Shafritz</w:t>
      </w:r>
      <w:r>
        <w:rPr>
          <w:spacing w:val="40"/>
          <w:sz w:val="24"/>
        </w:rPr>
        <w:t> </w:t>
      </w:r>
      <w:r>
        <w:rPr>
          <w:sz w:val="24"/>
        </w:rPr>
        <w:t>and A.C. Hyde (Eds.), </w:t>
      </w:r>
      <w:r>
        <w:rPr>
          <w:i/>
          <w:sz w:val="24"/>
        </w:rPr>
        <w:t>Classics of public administration</w:t>
      </w:r>
      <w:r>
        <w:rPr>
          <w:sz w:val="24"/>
        </w:rPr>
        <w:t>, 2nd ed.(pp.116 – 122). Chicago: Dorsey Press.</w:t>
      </w:r>
    </w:p>
    <w:p>
      <w:pPr>
        <w:pStyle w:val="BodyText"/>
      </w:pPr>
    </w:p>
    <w:p>
      <w:pPr>
        <w:spacing w:before="0"/>
        <w:ind w:left="571" w:right="1119" w:hanging="452"/>
        <w:jc w:val="both"/>
        <w:rPr>
          <w:sz w:val="24"/>
        </w:rPr>
      </w:pPr>
      <w:r>
        <w:rPr>
          <w:sz w:val="24"/>
        </w:rPr>
        <w:t>Horngren, T.C (1982). </w:t>
      </w:r>
      <w:r>
        <w:rPr>
          <w:i/>
          <w:sz w:val="24"/>
        </w:rPr>
        <w:t>Cost accounting; a managerial emphasis </w:t>
      </w:r>
      <w:r>
        <w:rPr>
          <w:sz w:val="24"/>
        </w:rPr>
        <w:t>(5th ed.). Englewood Cliffs, New Jersey: Prentice-Hall.</w:t>
      </w:r>
    </w:p>
    <w:p>
      <w:pPr>
        <w:pStyle w:val="BodyText"/>
      </w:pPr>
    </w:p>
    <w:p>
      <w:pPr>
        <w:spacing w:before="0"/>
        <w:ind w:left="571" w:right="1118" w:hanging="452"/>
        <w:jc w:val="both"/>
        <w:rPr>
          <w:sz w:val="24"/>
        </w:rPr>
      </w:pPr>
      <w:r>
        <w:rPr>
          <w:sz w:val="24"/>
        </w:rPr>
        <w:t>Hogye, M. (2001).</w:t>
      </w:r>
      <w:r>
        <w:rPr>
          <w:i/>
          <w:sz w:val="24"/>
        </w:rPr>
        <w:t>Theoretical approaches to public budgeting</w:t>
      </w:r>
      <w:r>
        <w:rPr>
          <w:sz w:val="24"/>
        </w:rPr>
        <w:t>. Retrieved from </w:t>
      </w:r>
      <w:hyperlink r:id="rId231">
        <w:r>
          <w:rPr>
            <w:spacing w:val="-2"/>
            <w:sz w:val="24"/>
          </w:rPr>
          <w:t>http://www.web.iaincirebon.ac.id/ebook/moon/bu</w:t>
        </w:r>
      </w:hyperlink>
    </w:p>
    <w:p>
      <w:pPr>
        <w:pStyle w:val="BodyText"/>
      </w:pPr>
    </w:p>
    <w:p>
      <w:pPr>
        <w:spacing w:before="1"/>
        <w:ind w:left="571" w:right="1116" w:hanging="452"/>
        <w:jc w:val="both"/>
        <w:rPr>
          <w:sz w:val="24"/>
        </w:rPr>
      </w:pPr>
      <w:r>
        <w:rPr>
          <w:sz w:val="24"/>
        </w:rPr>
        <w:t>Holmes, M. (1998). </w:t>
      </w:r>
      <w:r>
        <w:rPr>
          <w:i/>
          <w:sz w:val="24"/>
        </w:rPr>
        <w:t>The public expenditure management handbook</w:t>
      </w:r>
      <w:r>
        <w:rPr>
          <w:sz w:val="24"/>
        </w:rPr>
        <w:t>. Washington, DC: World </w:t>
      </w:r>
      <w:r>
        <w:rPr>
          <w:spacing w:val="-2"/>
          <w:sz w:val="24"/>
        </w:rPr>
        <w:t>Bank.</w:t>
      </w:r>
    </w:p>
    <w:p>
      <w:pPr>
        <w:pStyle w:val="BodyText"/>
      </w:pPr>
    </w:p>
    <w:p>
      <w:pPr>
        <w:spacing w:before="0"/>
        <w:ind w:left="571" w:right="1119" w:hanging="452"/>
        <w:jc w:val="both"/>
        <w:rPr>
          <w:sz w:val="24"/>
        </w:rPr>
      </w:pPr>
      <w:r>
        <w:rPr>
          <w:sz w:val="24"/>
        </w:rPr>
        <w:t>Homans, G.C. (1974). </w:t>
      </w:r>
      <w:r>
        <w:rPr>
          <w:i/>
          <w:sz w:val="24"/>
        </w:rPr>
        <w:t>Principles of public involvement</w:t>
      </w:r>
      <w:r>
        <w:rPr>
          <w:sz w:val="24"/>
        </w:rPr>
        <w:t>. Madison: University of Wisconsin, Department of Rural Sociology.</w:t>
      </w:r>
    </w:p>
    <w:p>
      <w:pPr>
        <w:pStyle w:val="BodyText"/>
      </w:pPr>
    </w:p>
    <w:p>
      <w:pPr>
        <w:spacing w:before="0"/>
        <w:ind w:left="571" w:right="1117" w:hanging="452"/>
        <w:jc w:val="both"/>
        <w:rPr>
          <w:i/>
          <w:sz w:val="24"/>
        </w:rPr>
      </w:pPr>
      <w:r>
        <w:rPr>
          <w:sz w:val="24"/>
        </w:rPr>
        <w:t>Ibem, E. O. (2010). An Assessment of the role of government agencies in public-private partnerships in housing delivery in Nigeria. </w:t>
      </w:r>
      <w:r>
        <w:rPr>
          <w:i/>
          <w:sz w:val="24"/>
        </w:rPr>
        <w:t>Journal of Construction in Developing Countries, 15(2), 23–48.</w:t>
      </w:r>
    </w:p>
    <w:p>
      <w:pPr>
        <w:pStyle w:val="BodyText"/>
        <w:rPr>
          <w:i/>
        </w:rPr>
      </w:pPr>
    </w:p>
    <w:p>
      <w:pPr>
        <w:pStyle w:val="BodyText"/>
        <w:spacing w:before="1"/>
        <w:ind w:left="571" w:right="1122" w:hanging="452"/>
        <w:jc w:val="both"/>
      </w:pPr>
      <w:r>
        <w:rPr/>
        <w:t>Ibem, E. O., &amp; Amole, O. O.(2010). Evaluation of public housing programmes in Nigeria: A theoretical and conceptual approach. </w:t>
      </w:r>
      <w:r>
        <w:rPr>
          <w:i/>
        </w:rPr>
        <w:t>The Built Environment Review, </w:t>
      </w:r>
      <w:r>
        <w:rPr/>
        <w:t>3, 88-116.</w:t>
      </w:r>
    </w:p>
    <w:p>
      <w:pPr>
        <w:spacing w:before="276"/>
        <w:ind w:left="571" w:right="1115" w:hanging="452"/>
        <w:jc w:val="both"/>
        <w:rPr>
          <w:sz w:val="24"/>
        </w:rPr>
      </w:pPr>
      <w:r>
        <w:rPr>
          <w:sz w:val="24"/>
        </w:rPr>
        <w:t>Ibem, E. O., Anosike, M. N., &amp; Azuh, D. E. (2011). Challenges in public housing provision in</w:t>
      </w:r>
      <w:r>
        <w:rPr>
          <w:spacing w:val="40"/>
          <w:sz w:val="24"/>
        </w:rPr>
        <w:t> </w:t>
      </w:r>
      <w:r>
        <w:rPr>
          <w:sz w:val="24"/>
        </w:rPr>
        <w:t>the post-independence era in Nigeria. </w:t>
      </w:r>
      <w:r>
        <w:rPr>
          <w:i/>
          <w:sz w:val="24"/>
        </w:rPr>
        <w:t>International Journal of Human Sciences</w:t>
      </w:r>
      <w:r>
        <w:rPr>
          <w:sz w:val="24"/>
        </w:rPr>
        <w:t>, 8(2), 421- </w:t>
      </w:r>
      <w:r>
        <w:rPr>
          <w:spacing w:val="-4"/>
          <w:sz w:val="24"/>
        </w:rPr>
        <w:t>443.</w:t>
      </w:r>
    </w:p>
    <w:p>
      <w:pPr>
        <w:spacing w:after="0"/>
        <w:jc w:val="both"/>
        <w:rPr>
          <w:sz w:val="24"/>
        </w:rPr>
        <w:sectPr>
          <w:pgSz w:w="12240" w:h="15840"/>
          <w:pgMar w:header="0" w:footer="1036" w:top="1360" w:bottom="1220" w:left="1320" w:right="320"/>
        </w:sectPr>
      </w:pPr>
    </w:p>
    <w:p>
      <w:pPr>
        <w:spacing w:before="72"/>
        <w:ind w:left="571" w:right="1115" w:hanging="452"/>
        <w:jc w:val="both"/>
        <w:rPr>
          <w:sz w:val="24"/>
        </w:rPr>
      </w:pPr>
      <w:r>
        <w:rPr>
          <w:sz w:val="24"/>
        </w:rPr>
        <w:t>Ibem, E.O., Opoko, A.P., &amp; Aduwo, B.E. (2013).Challenges of public housing in a Democratic Nigeria: A case study of the presidential mandate housing scheme. </w:t>
      </w:r>
      <w:r>
        <w:rPr>
          <w:i/>
          <w:sz w:val="24"/>
        </w:rPr>
        <w:t>Scottish Journal of Arts, Social Science and Science Studies</w:t>
      </w:r>
      <w:r>
        <w:rPr>
          <w:sz w:val="24"/>
        </w:rPr>
        <w:t>, 9(1), 23-38.</w:t>
      </w:r>
    </w:p>
    <w:p>
      <w:pPr>
        <w:pStyle w:val="BodyText"/>
      </w:pPr>
    </w:p>
    <w:p>
      <w:pPr>
        <w:spacing w:before="0"/>
        <w:ind w:left="120" w:right="0" w:firstLine="0"/>
        <w:jc w:val="left"/>
        <w:rPr>
          <w:sz w:val="24"/>
        </w:rPr>
      </w:pPr>
      <w:r>
        <w:rPr>
          <w:sz w:val="24"/>
        </w:rPr>
        <w:t>Ibrahim</w:t>
      </w:r>
      <w:r>
        <w:rPr>
          <w:spacing w:val="9"/>
          <w:sz w:val="24"/>
        </w:rPr>
        <w:t> </w:t>
      </w:r>
      <w:r>
        <w:rPr>
          <w:sz w:val="24"/>
        </w:rPr>
        <w:t>Index</w:t>
      </w:r>
      <w:r>
        <w:rPr>
          <w:spacing w:val="9"/>
          <w:sz w:val="24"/>
        </w:rPr>
        <w:t> </w:t>
      </w:r>
      <w:r>
        <w:rPr>
          <w:sz w:val="24"/>
        </w:rPr>
        <w:t>of</w:t>
      </w:r>
      <w:r>
        <w:rPr>
          <w:spacing w:val="7"/>
          <w:sz w:val="24"/>
        </w:rPr>
        <w:t> </w:t>
      </w:r>
      <w:r>
        <w:rPr>
          <w:sz w:val="24"/>
        </w:rPr>
        <w:t>African</w:t>
      </w:r>
      <w:r>
        <w:rPr>
          <w:spacing w:val="9"/>
          <w:sz w:val="24"/>
        </w:rPr>
        <w:t> </w:t>
      </w:r>
      <w:r>
        <w:rPr>
          <w:sz w:val="24"/>
        </w:rPr>
        <w:t>Governance.</w:t>
      </w:r>
      <w:r>
        <w:rPr>
          <w:spacing w:val="12"/>
          <w:sz w:val="24"/>
        </w:rPr>
        <w:t> </w:t>
      </w:r>
      <w:r>
        <w:rPr>
          <w:sz w:val="24"/>
        </w:rPr>
        <w:t>(2013).</w:t>
      </w:r>
      <w:r>
        <w:rPr>
          <w:spacing w:val="9"/>
          <w:sz w:val="24"/>
        </w:rPr>
        <w:t> </w:t>
      </w:r>
      <w:r>
        <w:rPr>
          <w:i/>
          <w:sz w:val="24"/>
        </w:rPr>
        <w:t>Infrastructural</w:t>
      </w:r>
      <w:r>
        <w:rPr>
          <w:i/>
          <w:spacing w:val="8"/>
          <w:sz w:val="24"/>
        </w:rPr>
        <w:t> </w:t>
      </w:r>
      <w:r>
        <w:rPr>
          <w:i/>
          <w:sz w:val="24"/>
        </w:rPr>
        <w:t>development</w:t>
      </w:r>
      <w:r>
        <w:rPr>
          <w:i/>
          <w:spacing w:val="10"/>
          <w:sz w:val="24"/>
        </w:rPr>
        <w:t> </w:t>
      </w:r>
      <w:r>
        <w:rPr>
          <w:i/>
          <w:sz w:val="24"/>
        </w:rPr>
        <w:t>of</w:t>
      </w:r>
      <w:r>
        <w:rPr>
          <w:i/>
          <w:spacing w:val="7"/>
          <w:sz w:val="24"/>
        </w:rPr>
        <w:t> </w:t>
      </w:r>
      <w:r>
        <w:rPr>
          <w:i/>
          <w:sz w:val="24"/>
        </w:rPr>
        <w:t>African</w:t>
      </w:r>
      <w:r>
        <w:rPr>
          <w:i/>
          <w:spacing w:val="8"/>
          <w:sz w:val="24"/>
        </w:rPr>
        <w:t> </w:t>
      </w:r>
      <w:r>
        <w:rPr>
          <w:i/>
          <w:spacing w:val="-2"/>
          <w:sz w:val="24"/>
        </w:rPr>
        <w:t>countries</w:t>
      </w:r>
      <w:r>
        <w:rPr>
          <w:spacing w:val="-2"/>
          <w:sz w:val="24"/>
        </w:rPr>
        <w:t>.</w:t>
      </w:r>
    </w:p>
    <w:p>
      <w:pPr>
        <w:pStyle w:val="BodyText"/>
        <w:ind w:left="571"/>
      </w:pPr>
      <w:r>
        <w:rPr/>
        <w:t>Retrieved</w:t>
      </w:r>
      <w:r>
        <w:rPr>
          <w:spacing w:val="-3"/>
        </w:rPr>
        <w:t> </w:t>
      </w:r>
      <w:r>
        <w:rPr/>
        <w:t>from</w:t>
      </w:r>
      <w:r>
        <w:rPr>
          <w:spacing w:val="-2"/>
        </w:rPr>
        <w:t> </w:t>
      </w:r>
      <w:hyperlink r:id="rId232">
        <w:r>
          <w:rPr>
            <w:spacing w:val="-2"/>
          </w:rPr>
          <w:t>http://www.mo.ibrahim.foundation</w:t>
        </w:r>
      </w:hyperlink>
    </w:p>
    <w:p>
      <w:pPr>
        <w:pStyle w:val="BodyText"/>
      </w:pPr>
    </w:p>
    <w:p>
      <w:pPr>
        <w:pStyle w:val="BodyText"/>
        <w:ind w:left="571" w:right="1114" w:hanging="452"/>
        <w:jc w:val="both"/>
      </w:pPr>
      <w:r>
        <w:rPr/>
        <w:t>Iceland Ministry of Finance. (2006).</w:t>
      </w:r>
      <w:r>
        <w:rPr>
          <w:spacing w:val="40"/>
        </w:rPr>
        <w:t> </w:t>
      </w:r>
      <w:r>
        <w:rPr/>
        <w:t>Performance indicators as a budget instrument- A weekly web release of the Ministry of finance, Iceland. Retrieved from </w:t>
      </w:r>
      <w:hyperlink r:id="rId233">
        <w:r>
          <w:rPr>
            <w:spacing w:val="-2"/>
          </w:rPr>
          <w:t>http://www.eng.fjarmalaraduneyti.is&gt;home&gt;</w:t>
        </w:r>
      </w:hyperlink>
      <w:r>
        <w:rPr>
          <w:spacing w:val="-2"/>
        </w:rPr>
        <w:t>publications&gt;news</w:t>
      </w:r>
    </w:p>
    <w:p>
      <w:pPr>
        <w:pStyle w:val="BodyText"/>
      </w:pPr>
    </w:p>
    <w:p>
      <w:pPr>
        <w:pStyle w:val="BodyText"/>
        <w:ind w:left="120"/>
      </w:pPr>
      <w:r>
        <w:rPr/>
        <w:t>Ikejiofor,</w:t>
      </w:r>
      <w:r>
        <w:rPr>
          <w:spacing w:val="-3"/>
        </w:rPr>
        <w:t> </w:t>
      </w:r>
      <w:r>
        <w:rPr/>
        <w:t>U.</w:t>
      </w:r>
      <w:r>
        <w:rPr>
          <w:spacing w:val="-1"/>
        </w:rPr>
        <w:t> </w:t>
      </w:r>
      <w:r>
        <w:rPr/>
        <w:t>(1999).</w:t>
      </w:r>
      <w:r>
        <w:rPr>
          <w:spacing w:val="-1"/>
        </w:rPr>
        <w:t> </w:t>
      </w:r>
      <w:r>
        <w:rPr/>
        <w:t>The god</w:t>
      </w:r>
      <w:r>
        <w:rPr>
          <w:spacing w:val="-1"/>
        </w:rPr>
        <w:t> </w:t>
      </w:r>
      <w:r>
        <w:rPr/>
        <w:t>that</w:t>
      </w:r>
      <w:r>
        <w:rPr>
          <w:spacing w:val="-1"/>
        </w:rPr>
        <w:t> </w:t>
      </w:r>
      <w:r>
        <w:rPr/>
        <w:t>failed:</w:t>
      </w:r>
      <w:r>
        <w:rPr>
          <w:spacing w:val="-1"/>
        </w:rPr>
        <w:t> </w:t>
      </w:r>
      <w:r>
        <w:rPr/>
        <w:t>A critique</w:t>
      </w:r>
      <w:r>
        <w:rPr>
          <w:spacing w:val="-2"/>
        </w:rPr>
        <w:t> </w:t>
      </w:r>
      <w:r>
        <w:rPr/>
        <w:t>of</w:t>
      </w:r>
      <w:r>
        <w:rPr>
          <w:spacing w:val="-1"/>
        </w:rPr>
        <w:t> </w:t>
      </w:r>
      <w:r>
        <w:rPr/>
        <w:t>public</w:t>
      </w:r>
      <w:r>
        <w:rPr>
          <w:spacing w:val="-2"/>
        </w:rPr>
        <w:t> </w:t>
      </w:r>
      <w:r>
        <w:rPr/>
        <w:t>housing</w:t>
      </w:r>
      <w:r>
        <w:rPr>
          <w:spacing w:val="-4"/>
        </w:rPr>
        <w:t> </w:t>
      </w:r>
      <w:r>
        <w:rPr/>
        <w:t>in</w:t>
      </w:r>
      <w:r>
        <w:rPr>
          <w:spacing w:val="-1"/>
        </w:rPr>
        <w:t> </w:t>
      </w:r>
      <w:r>
        <w:rPr/>
        <w:t>Nigeria: </w:t>
      </w:r>
      <w:r>
        <w:rPr>
          <w:spacing w:val="-2"/>
        </w:rPr>
        <w:t>1975–1995.</w:t>
      </w:r>
    </w:p>
    <w:p>
      <w:pPr>
        <w:spacing w:before="0"/>
        <w:ind w:left="571" w:right="0" w:firstLine="0"/>
        <w:jc w:val="left"/>
        <w:rPr>
          <w:sz w:val="24"/>
        </w:rPr>
      </w:pPr>
      <w:r>
        <w:rPr>
          <w:i/>
          <w:sz w:val="24"/>
        </w:rPr>
        <w:t>Habitat</w:t>
      </w:r>
      <w:r>
        <w:rPr>
          <w:i/>
          <w:spacing w:val="-5"/>
          <w:sz w:val="24"/>
        </w:rPr>
        <w:t> </w:t>
      </w:r>
      <w:r>
        <w:rPr>
          <w:i/>
          <w:sz w:val="24"/>
        </w:rPr>
        <w:t>International,</w:t>
      </w:r>
      <w:r>
        <w:rPr>
          <w:i/>
          <w:spacing w:val="-1"/>
          <w:sz w:val="24"/>
        </w:rPr>
        <w:t> </w:t>
      </w:r>
      <w:r>
        <w:rPr>
          <w:sz w:val="24"/>
        </w:rPr>
        <w:t>23(2),</w:t>
      </w:r>
      <w:r>
        <w:rPr>
          <w:spacing w:val="-2"/>
          <w:sz w:val="24"/>
        </w:rPr>
        <w:t> </w:t>
      </w:r>
      <w:r>
        <w:rPr>
          <w:sz w:val="24"/>
        </w:rPr>
        <w:t>177-</w:t>
      </w:r>
      <w:r>
        <w:rPr>
          <w:spacing w:val="-4"/>
          <w:sz w:val="24"/>
        </w:rPr>
        <w:t>188.</w:t>
      </w:r>
    </w:p>
    <w:p>
      <w:pPr>
        <w:pStyle w:val="BodyText"/>
        <w:spacing w:before="1"/>
      </w:pPr>
    </w:p>
    <w:p>
      <w:pPr>
        <w:spacing w:before="0"/>
        <w:ind w:left="571" w:right="1119" w:hanging="452"/>
        <w:jc w:val="both"/>
        <w:rPr>
          <w:sz w:val="24"/>
        </w:rPr>
      </w:pPr>
      <w:r>
        <w:rPr>
          <w:sz w:val="24"/>
        </w:rPr>
        <w:t>Ikejiofor, U. (2005). </w:t>
      </w:r>
      <w:r>
        <w:rPr>
          <w:i/>
          <w:sz w:val="24"/>
        </w:rPr>
        <w:t>Land issues in the new national housing policy for Nigeria: Lessons from research experience</w:t>
      </w:r>
      <w:r>
        <w:rPr>
          <w:sz w:val="24"/>
        </w:rPr>
        <w:t>. Retrieved from </w:t>
      </w:r>
      <w:hyperlink r:id="rId234">
        <w:r>
          <w:rPr>
            <w:sz w:val="24"/>
          </w:rPr>
          <w:t>http://www.deepdyve.com/liverpool-university-press.</w:t>
        </w:r>
      </w:hyperlink>
    </w:p>
    <w:p>
      <w:pPr>
        <w:pStyle w:val="BodyText"/>
      </w:pPr>
    </w:p>
    <w:p>
      <w:pPr>
        <w:spacing w:before="0"/>
        <w:ind w:left="571" w:right="1120" w:hanging="452"/>
        <w:jc w:val="both"/>
        <w:rPr>
          <w:sz w:val="24"/>
        </w:rPr>
      </w:pPr>
      <w:r>
        <w:rPr>
          <w:sz w:val="24"/>
        </w:rPr>
        <w:t>Ikpeme, B.E.(1983). </w:t>
      </w:r>
      <w:r>
        <w:rPr>
          <w:i/>
          <w:sz w:val="24"/>
        </w:rPr>
        <w:t>Citizen participation: A complimentary approach in planning and development for improved decision-making in Nigeria</w:t>
      </w:r>
      <w:r>
        <w:rPr>
          <w:sz w:val="24"/>
        </w:rPr>
        <w:t>. ETD collection for university of Nebraska-Lincol. Paper Az18404825. Retrieved from </w:t>
      </w:r>
      <w:hyperlink r:id="rId235">
        <w:r>
          <w:rPr>
            <w:sz w:val="24"/>
          </w:rPr>
          <w:t>shttp://digit</w:t>
        </w:r>
      </w:hyperlink>
      <w:r>
        <w:rPr>
          <w:sz w:val="24"/>
        </w:rPr>
        <w:t>a</w:t>
      </w:r>
      <w:hyperlink r:id="rId235">
        <w:r>
          <w:rPr>
            <w:sz w:val="24"/>
          </w:rPr>
          <w:t>l</w:t>
        </w:r>
      </w:hyperlink>
      <w:r>
        <w:rPr>
          <w:sz w:val="24"/>
        </w:rPr>
        <w:t> </w:t>
      </w:r>
      <w:r>
        <w:rPr>
          <w:spacing w:val="-2"/>
          <w:sz w:val="24"/>
        </w:rPr>
        <w:t>commons.unl.edu/dissertations/AA18404825</w:t>
      </w:r>
    </w:p>
    <w:p>
      <w:pPr>
        <w:pStyle w:val="BodyText"/>
      </w:pPr>
    </w:p>
    <w:p>
      <w:pPr>
        <w:pStyle w:val="BodyText"/>
        <w:ind w:left="571" w:right="1115" w:hanging="452"/>
        <w:jc w:val="both"/>
      </w:pPr>
      <w:r>
        <w:rPr/>
        <w:t>Ilona, B., &amp; Evelina, S.(2013). Social transformations in contemporary society- Organizational assessment: effectiveness vs. efficiency. New York: McGraw-Hill.</w:t>
      </w:r>
    </w:p>
    <w:p>
      <w:pPr>
        <w:pStyle w:val="BodyText"/>
      </w:pPr>
    </w:p>
    <w:p>
      <w:pPr>
        <w:spacing w:before="1"/>
        <w:ind w:left="120" w:right="0" w:firstLine="0"/>
        <w:jc w:val="left"/>
        <w:rPr>
          <w:i/>
          <w:sz w:val="24"/>
        </w:rPr>
      </w:pPr>
      <w:r>
        <w:rPr>
          <w:sz w:val="24"/>
        </w:rPr>
        <w:t>IMF.</w:t>
      </w:r>
      <w:r>
        <w:rPr>
          <w:spacing w:val="39"/>
          <w:sz w:val="24"/>
        </w:rPr>
        <w:t> </w:t>
      </w:r>
      <w:r>
        <w:rPr>
          <w:sz w:val="24"/>
        </w:rPr>
        <w:t>(2009).</w:t>
      </w:r>
      <w:r>
        <w:rPr>
          <w:spacing w:val="41"/>
          <w:sz w:val="24"/>
        </w:rPr>
        <w:t> </w:t>
      </w:r>
      <w:r>
        <w:rPr>
          <w:i/>
          <w:sz w:val="24"/>
        </w:rPr>
        <w:t>A</w:t>
      </w:r>
      <w:r>
        <w:rPr>
          <w:i/>
          <w:spacing w:val="41"/>
          <w:sz w:val="24"/>
        </w:rPr>
        <w:t> </w:t>
      </w:r>
      <w:r>
        <w:rPr>
          <w:i/>
          <w:sz w:val="24"/>
        </w:rPr>
        <w:t>basic</w:t>
      </w:r>
      <w:r>
        <w:rPr>
          <w:i/>
          <w:spacing w:val="41"/>
          <w:sz w:val="24"/>
        </w:rPr>
        <w:t> </w:t>
      </w:r>
      <w:r>
        <w:rPr>
          <w:i/>
          <w:sz w:val="24"/>
        </w:rPr>
        <w:t>model</w:t>
      </w:r>
      <w:r>
        <w:rPr>
          <w:i/>
          <w:spacing w:val="42"/>
          <w:sz w:val="24"/>
        </w:rPr>
        <w:t> </w:t>
      </w:r>
      <w:r>
        <w:rPr>
          <w:i/>
          <w:sz w:val="24"/>
        </w:rPr>
        <w:t>of</w:t>
      </w:r>
      <w:r>
        <w:rPr>
          <w:i/>
          <w:spacing w:val="43"/>
          <w:sz w:val="24"/>
        </w:rPr>
        <w:t> </w:t>
      </w:r>
      <w:r>
        <w:rPr>
          <w:i/>
          <w:sz w:val="24"/>
        </w:rPr>
        <w:t>Performance-based</w:t>
      </w:r>
      <w:r>
        <w:rPr>
          <w:i/>
          <w:spacing w:val="41"/>
          <w:sz w:val="24"/>
        </w:rPr>
        <w:t> </w:t>
      </w:r>
      <w:r>
        <w:rPr>
          <w:i/>
          <w:sz w:val="24"/>
        </w:rPr>
        <w:t>budgeting-</w:t>
      </w:r>
      <w:r>
        <w:rPr>
          <w:i/>
          <w:spacing w:val="41"/>
          <w:sz w:val="24"/>
        </w:rPr>
        <w:t> </w:t>
      </w:r>
      <w:r>
        <w:rPr>
          <w:i/>
          <w:sz w:val="24"/>
        </w:rPr>
        <w:t>Technical</w:t>
      </w:r>
      <w:r>
        <w:rPr>
          <w:i/>
          <w:spacing w:val="42"/>
          <w:sz w:val="24"/>
        </w:rPr>
        <w:t> </w:t>
      </w:r>
      <w:r>
        <w:rPr>
          <w:i/>
          <w:sz w:val="24"/>
        </w:rPr>
        <w:t>notes</w:t>
      </w:r>
      <w:r>
        <w:rPr>
          <w:i/>
          <w:spacing w:val="41"/>
          <w:sz w:val="24"/>
        </w:rPr>
        <w:t> </w:t>
      </w:r>
      <w:r>
        <w:rPr>
          <w:i/>
          <w:sz w:val="24"/>
        </w:rPr>
        <w:t>and</w:t>
      </w:r>
      <w:r>
        <w:rPr>
          <w:i/>
          <w:spacing w:val="42"/>
          <w:sz w:val="24"/>
        </w:rPr>
        <w:t> </w:t>
      </w:r>
      <w:r>
        <w:rPr>
          <w:i/>
          <w:spacing w:val="-2"/>
          <w:sz w:val="24"/>
        </w:rPr>
        <w:t>manuals.</w:t>
      </w:r>
    </w:p>
    <w:p>
      <w:pPr>
        <w:pStyle w:val="BodyText"/>
        <w:ind w:left="571"/>
      </w:pPr>
      <w:r>
        <w:rPr/>
        <w:t>Washington,</w:t>
      </w:r>
      <w:r>
        <w:rPr>
          <w:spacing w:val="-3"/>
        </w:rPr>
        <w:t> </w:t>
      </w:r>
      <w:r>
        <w:rPr/>
        <w:t>DC:</w:t>
      </w:r>
      <w:r>
        <w:rPr>
          <w:spacing w:val="1"/>
        </w:rPr>
        <w:t> </w:t>
      </w:r>
      <w:r>
        <w:rPr>
          <w:spacing w:val="-4"/>
        </w:rPr>
        <w:t>IMF.</w:t>
      </w:r>
    </w:p>
    <w:p>
      <w:pPr>
        <w:pStyle w:val="BodyText"/>
        <w:spacing w:line="242" w:lineRule="auto" w:before="276"/>
        <w:ind w:left="571" w:right="1119" w:hanging="452"/>
        <w:jc w:val="both"/>
      </w:pPr>
      <w:r>
        <w:rPr/>
        <w:t>Institute for Housing Studies (IHS). (1989). Housing newsletter: Vol. 4. No 1. Netherlands: Rotterdam. IHS.</w:t>
      </w:r>
    </w:p>
    <w:p>
      <w:pPr>
        <w:pStyle w:val="BodyText"/>
        <w:spacing w:before="193"/>
        <w:ind w:left="571" w:right="1115" w:hanging="452"/>
        <w:jc w:val="both"/>
      </w:pPr>
      <w:r>
        <w:rPr/>
        <w:t>Irvin, R.A., &amp; Stansbury, J.(2003). Citizen participation in decision-making: Is it worth the </w:t>
      </w:r>
      <w:r>
        <w:rPr>
          <w:spacing w:val="-2"/>
        </w:rPr>
        <w:t>effort?Retrievedfrom</w:t>
      </w:r>
      <w:hyperlink r:id="rId236">
        <w:r>
          <w:rPr>
            <w:spacing w:val="-2"/>
          </w:rPr>
          <w:t>http://c.ymcdn.com/sites/www.iap2.org/resource/resmgr/imported/Jour</w:t>
        </w:r>
      </w:hyperlink>
      <w:r>
        <w:rPr>
          <w:spacing w:val="-2"/>
        </w:rPr>
        <w:t> nal_Issue1_Irving.pdf</w:t>
      </w:r>
    </w:p>
    <w:p>
      <w:pPr>
        <w:pStyle w:val="BodyText"/>
      </w:pPr>
    </w:p>
    <w:p>
      <w:pPr>
        <w:pStyle w:val="BodyText"/>
        <w:spacing w:line="242" w:lineRule="auto"/>
        <w:ind w:left="571" w:right="1120" w:hanging="452"/>
        <w:jc w:val="both"/>
      </w:pPr>
      <w:r>
        <w:rPr/>
        <w:t>Israel, A. A., &amp; Bashiru, A. R. (2008). Public and private developers as agents in urban housing delivery in sub-saharan Africa: The situation in Lagos State. </w:t>
      </w:r>
      <w:r>
        <w:rPr>
          <w:i/>
        </w:rPr>
        <w:t>Humanity and Social Sciences Journal</w:t>
      </w:r>
      <w:r>
        <w:rPr/>
        <w:t>, 3(2), 143-150.</w:t>
      </w:r>
    </w:p>
    <w:p>
      <w:pPr>
        <w:spacing w:before="192"/>
        <w:ind w:left="571" w:right="1117" w:hanging="452"/>
        <w:jc w:val="left"/>
        <w:rPr>
          <w:sz w:val="24"/>
        </w:rPr>
      </w:pPr>
      <w:r>
        <w:rPr>
          <w:sz w:val="24"/>
        </w:rPr>
        <w:t>Ittner,</w:t>
      </w:r>
      <w:r>
        <w:rPr>
          <w:spacing w:val="-4"/>
          <w:sz w:val="24"/>
        </w:rPr>
        <w:t> </w:t>
      </w:r>
      <w:r>
        <w:rPr>
          <w:sz w:val="24"/>
        </w:rPr>
        <w:t>C.</w:t>
      </w:r>
      <w:r>
        <w:rPr>
          <w:spacing w:val="-4"/>
          <w:sz w:val="24"/>
        </w:rPr>
        <w:t> </w:t>
      </w:r>
      <w:r>
        <w:rPr>
          <w:sz w:val="24"/>
        </w:rPr>
        <w:t>D.,</w:t>
      </w:r>
      <w:r>
        <w:rPr>
          <w:spacing w:val="-4"/>
          <w:sz w:val="24"/>
        </w:rPr>
        <w:t> </w:t>
      </w:r>
      <w:r>
        <w:rPr>
          <w:sz w:val="24"/>
        </w:rPr>
        <w:t>&amp;</w:t>
      </w:r>
      <w:r>
        <w:rPr>
          <w:spacing w:val="-5"/>
          <w:sz w:val="24"/>
        </w:rPr>
        <w:t> </w:t>
      </w:r>
      <w:r>
        <w:rPr>
          <w:sz w:val="24"/>
        </w:rPr>
        <w:t>Larcker,</w:t>
      </w:r>
      <w:r>
        <w:rPr>
          <w:spacing w:val="-3"/>
          <w:sz w:val="24"/>
        </w:rPr>
        <w:t> </w:t>
      </w:r>
      <w:r>
        <w:rPr>
          <w:sz w:val="24"/>
        </w:rPr>
        <w:t>D.F.</w:t>
      </w:r>
      <w:r>
        <w:rPr>
          <w:spacing w:val="-4"/>
          <w:sz w:val="24"/>
        </w:rPr>
        <w:t> </w:t>
      </w:r>
      <w:r>
        <w:rPr>
          <w:sz w:val="24"/>
        </w:rPr>
        <w:t>(1998). Innovations</w:t>
      </w:r>
      <w:r>
        <w:rPr>
          <w:spacing w:val="-2"/>
          <w:sz w:val="24"/>
        </w:rPr>
        <w:t> </w:t>
      </w:r>
      <w:r>
        <w:rPr>
          <w:sz w:val="24"/>
        </w:rPr>
        <w:t>in</w:t>
      </w:r>
      <w:r>
        <w:rPr>
          <w:spacing w:val="-4"/>
          <w:sz w:val="24"/>
        </w:rPr>
        <w:t> </w:t>
      </w:r>
      <w:r>
        <w:rPr>
          <w:sz w:val="24"/>
        </w:rPr>
        <w:t>performance</w:t>
      </w:r>
      <w:r>
        <w:rPr>
          <w:spacing w:val="-5"/>
          <w:sz w:val="24"/>
        </w:rPr>
        <w:t> </w:t>
      </w:r>
      <w:r>
        <w:rPr>
          <w:sz w:val="24"/>
        </w:rPr>
        <w:t>measurement:</w:t>
      </w:r>
      <w:r>
        <w:rPr>
          <w:spacing w:val="-4"/>
          <w:sz w:val="24"/>
        </w:rPr>
        <w:t> </w:t>
      </w:r>
      <w:r>
        <w:rPr>
          <w:sz w:val="24"/>
        </w:rPr>
        <w:t>trends</w:t>
      </w:r>
      <w:r>
        <w:rPr>
          <w:spacing w:val="-4"/>
          <w:sz w:val="24"/>
        </w:rPr>
        <w:t> </w:t>
      </w:r>
      <w:r>
        <w:rPr>
          <w:sz w:val="24"/>
        </w:rPr>
        <w:t>and research implications. </w:t>
      </w:r>
      <w:r>
        <w:rPr>
          <w:i/>
          <w:sz w:val="24"/>
        </w:rPr>
        <w:t>Journal of management accounting research, </w:t>
      </w:r>
      <w:r>
        <w:rPr>
          <w:sz w:val="24"/>
        </w:rPr>
        <w:t>10, 205-238.</w:t>
      </w:r>
    </w:p>
    <w:p>
      <w:pPr>
        <w:pStyle w:val="BodyText"/>
      </w:pPr>
    </w:p>
    <w:p>
      <w:pPr>
        <w:spacing w:before="0"/>
        <w:ind w:left="571" w:right="1117" w:hanging="452"/>
        <w:jc w:val="left"/>
        <w:rPr>
          <w:sz w:val="24"/>
        </w:rPr>
      </w:pPr>
      <w:r>
        <w:rPr>
          <w:sz w:val="24"/>
        </w:rPr>
        <w:t>Jääskeläinen,</w:t>
      </w:r>
      <w:r>
        <w:rPr>
          <w:spacing w:val="-5"/>
          <w:sz w:val="24"/>
        </w:rPr>
        <w:t> </w:t>
      </w:r>
      <w:r>
        <w:rPr>
          <w:sz w:val="24"/>
        </w:rPr>
        <w:t>A.</w:t>
      </w:r>
      <w:r>
        <w:rPr>
          <w:spacing w:val="-5"/>
          <w:sz w:val="24"/>
        </w:rPr>
        <w:t> </w:t>
      </w:r>
      <w:r>
        <w:rPr>
          <w:sz w:val="24"/>
        </w:rPr>
        <w:t>(2010).</w:t>
      </w:r>
      <w:r>
        <w:rPr>
          <w:spacing w:val="-3"/>
          <w:sz w:val="24"/>
        </w:rPr>
        <w:t> </w:t>
      </w:r>
      <w:r>
        <w:rPr>
          <w:i/>
          <w:sz w:val="24"/>
        </w:rPr>
        <w:t>Productivity</w:t>
      </w:r>
      <w:r>
        <w:rPr>
          <w:i/>
          <w:spacing w:val="-5"/>
          <w:sz w:val="24"/>
        </w:rPr>
        <w:t> </w:t>
      </w:r>
      <w:r>
        <w:rPr>
          <w:i/>
          <w:sz w:val="24"/>
        </w:rPr>
        <w:t>measurement</w:t>
      </w:r>
      <w:r>
        <w:rPr>
          <w:i/>
          <w:spacing w:val="-5"/>
          <w:sz w:val="24"/>
        </w:rPr>
        <w:t> </w:t>
      </w:r>
      <w:r>
        <w:rPr>
          <w:i/>
          <w:sz w:val="24"/>
        </w:rPr>
        <w:t>and</w:t>
      </w:r>
      <w:r>
        <w:rPr>
          <w:i/>
          <w:spacing w:val="-5"/>
          <w:sz w:val="24"/>
        </w:rPr>
        <w:t> </w:t>
      </w:r>
      <w:r>
        <w:rPr>
          <w:i/>
          <w:sz w:val="24"/>
        </w:rPr>
        <w:t>management</w:t>
      </w:r>
      <w:r>
        <w:rPr>
          <w:i/>
          <w:spacing w:val="-5"/>
          <w:sz w:val="24"/>
        </w:rPr>
        <w:t> </w:t>
      </w:r>
      <w:r>
        <w:rPr>
          <w:i/>
          <w:sz w:val="24"/>
        </w:rPr>
        <w:t>in</w:t>
      </w:r>
      <w:r>
        <w:rPr>
          <w:i/>
          <w:spacing w:val="-5"/>
          <w:sz w:val="24"/>
        </w:rPr>
        <w:t> </w:t>
      </w:r>
      <w:r>
        <w:rPr>
          <w:i/>
          <w:sz w:val="24"/>
        </w:rPr>
        <w:t>large</w:t>
      </w:r>
      <w:r>
        <w:rPr>
          <w:i/>
          <w:spacing w:val="-5"/>
          <w:sz w:val="24"/>
        </w:rPr>
        <w:t> </w:t>
      </w:r>
      <w:r>
        <w:rPr>
          <w:i/>
          <w:sz w:val="24"/>
        </w:rPr>
        <w:t>public</w:t>
      </w:r>
      <w:r>
        <w:rPr>
          <w:i/>
          <w:spacing w:val="-5"/>
          <w:sz w:val="24"/>
        </w:rPr>
        <w:t> </w:t>
      </w:r>
      <w:r>
        <w:rPr>
          <w:i/>
          <w:sz w:val="24"/>
        </w:rPr>
        <w:t>service organizations</w:t>
      </w:r>
      <w:r>
        <w:rPr>
          <w:sz w:val="24"/>
        </w:rPr>
        <w:t>. Tampere: Tampere University of Technology press.</w:t>
      </w:r>
    </w:p>
    <w:p>
      <w:pPr>
        <w:pStyle w:val="BodyText"/>
      </w:pPr>
    </w:p>
    <w:p>
      <w:pPr>
        <w:spacing w:line="242" w:lineRule="auto" w:before="0"/>
        <w:ind w:left="571" w:right="1120" w:hanging="452"/>
        <w:jc w:val="both"/>
        <w:rPr>
          <w:sz w:val="24"/>
        </w:rPr>
      </w:pPr>
      <w:r>
        <w:rPr>
          <w:sz w:val="24"/>
        </w:rPr>
        <w:t>Jakande, K. L. (2005). </w:t>
      </w:r>
      <w:r>
        <w:rPr>
          <w:i/>
          <w:sz w:val="24"/>
        </w:rPr>
        <w:t>Effectiveness of the mass housing policy of the federal government of Nigeria</w:t>
      </w:r>
      <w:r>
        <w:rPr>
          <w:sz w:val="24"/>
        </w:rPr>
        <w:t>. National Workshop, Ministry of Housing and Urban Development, Abuja. pp.1-4</w:t>
      </w:r>
    </w:p>
    <w:p>
      <w:pPr>
        <w:spacing w:after="0" w:line="242" w:lineRule="auto"/>
        <w:jc w:val="both"/>
        <w:rPr>
          <w:sz w:val="24"/>
        </w:rPr>
        <w:sectPr>
          <w:pgSz w:w="12240" w:h="15840"/>
          <w:pgMar w:header="0" w:footer="1036" w:top="1360" w:bottom="1220" w:left="1320" w:right="320"/>
        </w:sectPr>
      </w:pPr>
    </w:p>
    <w:p>
      <w:pPr>
        <w:pStyle w:val="BodyText"/>
        <w:spacing w:before="72"/>
        <w:ind w:left="571" w:right="1118" w:hanging="452"/>
        <w:jc w:val="both"/>
      </w:pPr>
      <w:r>
        <w:rPr/>
        <w:t>Jambol, D.D, Molwus, J.J., &amp; Daniel, M.M. (2013). Re-thinking the approaches to mass housing delivery in Nigeria. In</w:t>
      </w:r>
      <w:r>
        <w:rPr>
          <w:i/>
        </w:rPr>
        <w:t>: </w:t>
      </w:r>
      <w:r>
        <w:rPr/>
        <w:t>S.D. Smith, &amp; D.D. Ahiaga-Dagbui (Eds.), </w:t>
      </w:r>
      <w:r>
        <w:rPr>
          <w:i/>
        </w:rPr>
        <w:t>Proeedings of the 29th Annual ARCOM Conference </w:t>
      </w:r>
      <w:r>
        <w:rPr/>
        <w:t>(pp.285 – 295). 2-4 September, Reading, UK, ARCOM.</w:t>
      </w:r>
    </w:p>
    <w:p>
      <w:pPr>
        <w:pStyle w:val="BodyText"/>
      </w:pPr>
    </w:p>
    <w:p>
      <w:pPr>
        <w:pStyle w:val="BodyText"/>
        <w:ind w:left="120"/>
      </w:pPr>
      <w:r>
        <w:rPr/>
        <w:t>Jiboye,</w:t>
      </w:r>
      <w:r>
        <w:rPr>
          <w:spacing w:val="11"/>
        </w:rPr>
        <w:t> </w:t>
      </w:r>
      <w:r>
        <w:rPr/>
        <w:t>A.D.</w:t>
      </w:r>
      <w:r>
        <w:rPr>
          <w:spacing w:val="15"/>
        </w:rPr>
        <w:t> </w:t>
      </w:r>
      <w:r>
        <w:rPr/>
        <w:t>(2009a).</w:t>
      </w:r>
      <w:r>
        <w:rPr>
          <w:spacing w:val="13"/>
        </w:rPr>
        <w:t> </w:t>
      </w:r>
      <w:r>
        <w:rPr/>
        <w:t>The</w:t>
      </w:r>
      <w:r>
        <w:rPr>
          <w:spacing w:val="12"/>
        </w:rPr>
        <w:t> </w:t>
      </w:r>
      <w:r>
        <w:rPr/>
        <w:t>challenges</w:t>
      </w:r>
      <w:r>
        <w:rPr>
          <w:spacing w:val="14"/>
        </w:rPr>
        <w:t> </w:t>
      </w:r>
      <w:r>
        <w:rPr/>
        <w:t>of</w:t>
      </w:r>
      <w:r>
        <w:rPr>
          <w:spacing w:val="12"/>
        </w:rPr>
        <w:t> </w:t>
      </w:r>
      <w:r>
        <w:rPr/>
        <w:t>sustainable</w:t>
      </w:r>
      <w:r>
        <w:rPr>
          <w:spacing w:val="13"/>
        </w:rPr>
        <w:t> </w:t>
      </w:r>
      <w:r>
        <w:rPr/>
        <w:t>housing</w:t>
      </w:r>
      <w:r>
        <w:rPr>
          <w:spacing w:val="11"/>
        </w:rPr>
        <w:t> </w:t>
      </w:r>
      <w:r>
        <w:rPr/>
        <w:t>and</w:t>
      </w:r>
      <w:r>
        <w:rPr>
          <w:spacing w:val="13"/>
        </w:rPr>
        <w:t> </w:t>
      </w:r>
      <w:r>
        <w:rPr/>
        <w:t>urban</w:t>
      </w:r>
      <w:r>
        <w:rPr>
          <w:spacing w:val="14"/>
        </w:rPr>
        <w:t> </w:t>
      </w:r>
      <w:r>
        <w:rPr/>
        <w:t>development</w:t>
      </w:r>
      <w:r>
        <w:rPr>
          <w:spacing w:val="13"/>
        </w:rPr>
        <w:t> </w:t>
      </w:r>
      <w:r>
        <w:rPr/>
        <w:t>in</w:t>
      </w:r>
      <w:r>
        <w:rPr>
          <w:spacing w:val="14"/>
        </w:rPr>
        <w:t> </w:t>
      </w:r>
      <w:r>
        <w:rPr>
          <w:spacing w:val="-2"/>
        </w:rPr>
        <w:t>Nigeria.</w:t>
      </w:r>
    </w:p>
    <w:p>
      <w:pPr>
        <w:spacing w:before="0"/>
        <w:ind w:left="571" w:right="0" w:firstLine="0"/>
        <w:jc w:val="left"/>
        <w:rPr>
          <w:sz w:val="24"/>
        </w:rPr>
      </w:pPr>
      <w:r>
        <w:rPr>
          <w:i/>
          <w:sz w:val="24"/>
        </w:rPr>
        <w:t>Journal</w:t>
      </w:r>
      <w:r>
        <w:rPr>
          <w:i/>
          <w:spacing w:val="-2"/>
          <w:sz w:val="24"/>
        </w:rPr>
        <w:t> </w:t>
      </w:r>
      <w:r>
        <w:rPr>
          <w:i/>
          <w:sz w:val="24"/>
        </w:rPr>
        <w:t>of</w:t>
      </w:r>
      <w:r>
        <w:rPr>
          <w:i/>
          <w:spacing w:val="-1"/>
          <w:sz w:val="24"/>
        </w:rPr>
        <w:t> </w:t>
      </w:r>
      <w:r>
        <w:rPr>
          <w:i/>
          <w:sz w:val="24"/>
        </w:rPr>
        <w:t>Environmental</w:t>
      </w:r>
      <w:r>
        <w:rPr>
          <w:i/>
          <w:spacing w:val="-1"/>
          <w:sz w:val="24"/>
        </w:rPr>
        <w:t> </w:t>
      </w:r>
      <w:r>
        <w:rPr>
          <w:i/>
          <w:sz w:val="24"/>
        </w:rPr>
        <w:t>Research</w:t>
      </w:r>
      <w:r>
        <w:rPr>
          <w:i/>
          <w:spacing w:val="-3"/>
          <w:sz w:val="24"/>
        </w:rPr>
        <w:t> </w:t>
      </w:r>
      <w:r>
        <w:rPr>
          <w:i/>
          <w:sz w:val="24"/>
        </w:rPr>
        <w:t>and</w:t>
      </w:r>
      <w:r>
        <w:rPr>
          <w:i/>
          <w:spacing w:val="-1"/>
          <w:sz w:val="24"/>
        </w:rPr>
        <w:t> </w:t>
      </w:r>
      <w:r>
        <w:rPr>
          <w:i/>
          <w:sz w:val="24"/>
        </w:rPr>
        <w:t>Policies</w:t>
      </w:r>
      <w:r>
        <w:rPr>
          <w:sz w:val="24"/>
        </w:rPr>
        <w:t>,</w:t>
      </w:r>
      <w:r>
        <w:rPr>
          <w:spacing w:val="1"/>
          <w:sz w:val="24"/>
        </w:rPr>
        <w:t> </w:t>
      </w:r>
      <w:r>
        <w:rPr>
          <w:sz w:val="24"/>
        </w:rPr>
        <w:t>4(3),</w:t>
      </w:r>
      <w:r>
        <w:rPr>
          <w:spacing w:val="-1"/>
          <w:sz w:val="24"/>
        </w:rPr>
        <w:t> </w:t>
      </w:r>
      <w:r>
        <w:rPr>
          <w:sz w:val="24"/>
        </w:rPr>
        <w:t>23-</w:t>
      </w:r>
      <w:r>
        <w:rPr>
          <w:spacing w:val="-5"/>
          <w:sz w:val="24"/>
        </w:rPr>
        <w:t>27.</w:t>
      </w:r>
    </w:p>
    <w:p>
      <w:pPr>
        <w:pStyle w:val="BodyText"/>
      </w:pPr>
    </w:p>
    <w:p>
      <w:pPr>
        <w:pStyle w:val="BodyText"/>
        <w:ind w:left="120"/>
      </w:pPr>
      <w:r>
        <w:rPr/>
        <w:t>Jiboye,</w:t>
      </w:r>
      <w:r>
        <w:rPr>
          <w:spacing w:val="32"/>
        </w:rPr>
        <w:t> </w:t>
      </w:r>
      <w:r>
        <w:rPr/>
        <w:t>A.D.</w:t>
      </w:r>
      <w:r>
        <w:rPr>
          <w:spacing w:val="32"/>
        </w:rPr>
        <w:t> </w:t>
      </w:r>
      <w:r>
        <w:rPr/>
        <w:t>(2009b).</w:t>
      </w:r>
      <w:r>
        <w:rPr>
          <w:spacing w:val="31"/>
        </w:rPr>
        <w:t> </w:t>
      </w:r>
      <w:r>
        <w:rPr/>
        <w:t>Evaluating</w:t>
      </w:r>
      <w:r>
        <w:rPr>
          <w:spacing w:val="30"/>
        </w:rPr>
        <w:t> </w:t>
      </w:r>
      <w:r>
        <w:rPr/>
        <w:t>tenants‘</w:t>
      </w:r>
      <w:r>
        <w:rPr>
          <w:spacing w:val="32"/>
        </w:rPr>
        <w:t> </w:t>
      </w:r>
      <w:r>
        <w:rPr/>
        <w:t>satisfaction</w:t>
      </w:r>
      <w:r>
        <w:rPr>
          <w:spacing w:val="33"/>
        </w:rPr>
        <w:t> </w:t>
      </w:r>
      <w:r>
        <w:rPr/>
        <w:t>with</w:t>
      </w:r>
      <w:r>
        <w:rPr>
          <w:spacing w:val="32"/>
        </w:rPr>
        <w:t> </w:t>
      </w:r>
      <w:r>
        <w:rPr/>
        <w:t>public</w:t>
      </w:r>
      <w:r>
        <w:rPr>
          <w:spacing w:val="31"/>
        </w:rPr>
        <w:t> </w:t>
      </w:r>
      <w:r>
        <w:rPr/>
        <w:t>housing</w:t>
      </w:r>
      <w:r>
        <w:rPr>
          <w:spacing w:val="29"/>
        </w:rPr>
        <w:t> </w:t>
      </w:r>
      <w:r>
        <w:rPr/>
        <w:t>in</w:t>
      </w:r>
      <w:r>
        <w:rPr>
          <w:spacing w:val="35"/>
        </w:rPr>
        <w:t> </w:t>
      </w:r>
      <w:r>
        <w:rPr/>
        <w:t>Lagos,</w:t>
      </w:r>
      <w:r>
        <w:rPr>
          <w:spacing w:val="33"/>
        </w:rPr>
        <w:t> </w:t>
      </w:r>
      <w:r>
        <w:rPr>
          <w:spacing w:val="-2"/>
        </w:rPr>
        <w:t>Nigerian</w:t>
      </w:r>
    </w:p>
    <w:p>
      <w:pPr>
        <w:spacing w:before="0"/>
        <w:ind w:left="571" w:right="0" w:firstLine="0"/>
        <w:jc w:val="left"/>
        <w:rPr>
          <w:sz w:val="24"/>
        </w:rPr>
      </w:pPr>
      <w:r>
        <w:rPr>
          <w:i/>
          <w:sz w:val="24"/>
        </w:rPr>
        <w:t>Journal</w:t>
      </w:r>
      <w:r>
        <w:rPr>
          <w:i/>
          <w:spacing w:val="-1"/>
          <w:sz w:val="24"/>
        </w:rPr>
        <w:t> </w:t>
      </w:r>
      <w:r>
        <w:rPr>
          <w:i/>
          <w:sz w:val="24"/>
        </w:rPr>
        <w:t>of Town</w:t>
      </w:r>
      <w:r>
        <w:rPr>
          <w:i/>
          <w:spacing w:val="-1"/>
          <w:sz w:val="24"/>
        </w:rPr>
        <w:t> </w:t>
      </w:r>
      <w:r>
        <w:rPr>
          <w:i/>
          <w:sz w:val="24"/>
        </w:rPr>
        <w:t>Planning and</w:t>
      </w:r>
      <w:r>
        <w:rPr>
          <w:i/>
          <w:spacing w:val="-1"/>
          <w:sz w:val="24"/>
        </w:rPr>
        <w:t> </w:t>
      </w:r>
      <w:r>
        <w:rPr>
          <w:i/>
          <w:sz w:val="24"/>
        </w:rPr>
        <w:t>Architecture</w:t>
      </w:r>
      <w:r>
        <w:rPr>
          <w:sz w:val="24"/>
        </w:rPr>
        <w:t>, 33(4),</w:t>
      </w:r>
      <w:r>
        <w:rPr>
          <w:spacing w:val="-1"/>
          <w:sz w:val="24"/>
        </w:rPr>
        <w:t> </w:t>
      </w:r>
      <w:r>
        <w:rPr>
          <w:sz w:val="24"/>
        </w:rPr>
        <w:t>239 – </w:t>
      </w:r>
      <w:r>
        <w:rPr>
          <w:spacing w:val="-4"/>
          <w:sz w:val="24"/>
        </w:rPr>
        <w:t>247.</w:t>
      </w:r>
    </w:p>
    <w:p>
      <w:pPr>
        <w:pStyle w:val="BodyText"/>
      </w:pPr>
    </w:p>
    <w:p>
      <w:pPr>
        <w:pStyle w:val="BodyText"/>
        <w:ind w:left="571" w:right="1115" w:hanging="452"/>
        <w:jc w:val="both"/>
      </w:pPr>
      <w:r>
        <w:rPr/>
        <w:t>Jiboye, A.D. (2011). Ensuring sustainable development through effective housing delivery process in Nigeria. </w:t>
      </w:r>
      <w:r>
        <w:rPr>
          <w:i/>
        </w:rPr>
        <w:t>African Journal of Social Sciences, </w:t>
      </w:r>
      <w:r>
        <w:rPr/>
        <w:t>1(2), 36-45. Retrieved from </w:t>
      </w:r>
      <w:hyperlink r:id="rId237">
        <w:r>
          <w:rPr>
            <w:spacing w:val="-2"/>
          </w:rPr>
          <w:t>http://www.sachajournals.com</w:t>
        </w:r>
      </w:hyperlink>
    </w:p>
    <w:p>
      <w:pPr>
        <w:spacing w:before="215"/>
        <w:ind w:left="120" w:right="0" w:firstLine="0"/>
        <w:jc w:val="left"/>
        <w:rPr>
          <w:sz w:val="24"/>
        </w:rPr>
      </w:pPr>
      <w:r>
        <w:rPr>
          <w:sz w:val="24"/>
        </w:rPr>
        <w:t>Jinadu,</w:t>
      </w:r>
      <w:r>
        <w:rPr>
          <w:spacing w:val="-1"/>
          <w:sz w:val="24"/>
        </w:rPr>
        <w:t> </w:t>
      </w:r>
      <w:r>
        <w:rPr>
          <w:sz w:val="24"/>
        </w:rPr>
        <w:t>A. M. (2004).</w:t>
      </w:r>
      <w:r>
        <w:rPr>
          <w:spacing w:val="-1"/>
          <w:sz w:val="24"/>
        </w:rPr>
        <w:t> </w:t>
      </w:r>
      <w:r>
        <w:rPr>
          <w:i/>
          <w:sz w:val="24"/>
        </w:rPr>
        <w:t>Understanding the</w:t>
      </w:r>
      <w:r>
        <w:rPr>
          <w:i/>
          <w:spacing w:val="-1"/>
          <w:sz w:val="24"/>
        </w:rPr>
        <w:t> </w:t>
      </w:r>
      <w:r>
        <w:rPr>
          <w:i/>
          <w:sz w:val="24"/>
        </w:rPr>
        <w:t>basis</w:t>
      </w:r>
      <w:r>
        <w:rPr>
          <w:i/>
          <w:spacing w:val="-1"/>
          <w:sz w:val="24"/>
        </w:rPr>
        <w:t> </w:t>
      </w:r>
      <w:r>
        <w:rPr>
          <w:i/>
          <w:sz w:val="24"/>
        </w:rPr>
        <w:t>of</w:t>
      </w:r>
      <w:r>
        <w:rPr>
          <w:i/>
          <w:spacing w:val="-2"/>
          <w:sz w:val="24"/>
        </w:rPr>
        <w:t> </w:t>
      </w:r>
      <w:r>
        <w:rPr>
          <w:i/>
          <w:sz w:val="24"/>
        </w:rPr>
        <w:t>housing</w:t>
      </w:r>
      <w:r>
        <w:rPr>
          <w:sz w:val="24"/>
        </w:rPr>
        <w:t>.</w:t>
      </w:r>
      <w:r>
        <w:rPr>
          <w:spacing w:val="2"/>
          <w:sz w:val="24"/>
        </w:rPr>
        <w:t> </w:t>
      </w:r>
      <w:r>
        <w:rPr>
          <w:sz w:val="24"/>
        </w:rPr>
        <w:t>Ibadan: King</w:t>
      </w:r>
      <w:r>
        <w:rPr>
          <w:spacing w:val="-3"/>
          <w:sz w:val="24"/>
        </w:rPr>
        <w:t> </w:t>
      </w:r>
      <w:r>
        <w:rPr>
          <w:sz w:val="24"/>
        </w:rPr>
        <w:t>James </w:t>
      </w:r>
      <w:r>
        <w:rPr>
          <w:spacing w:val="-2"/>
          <w:sz w:val="24"/>
        </w:rPr>
        <w:t>Publishers.</w:t>
      </w:r>
    </w:p>
    <w:p>
      <w:pPr>
        <w:pStyle w:val="BodyText"/>
        <w:spacing w:before="240"/>
        <w:ind w:left="571" w:right="1123" w:hanging="452"/>
        <w:jc w:val="both"/>
      </w:pPr>
      <w:r>
        <w:rPr/>
        <w:t>Jones, B. D., Baumgartner, F. R., &amp; True, J.(1998). Policy punctuations: US budget Authority, 1947–95. </w:t>
      </w:r>
      <w:r>
        <w:rPr>
          <w:i/>
        </w:rPr>
        <w:t>Journal of Politics</w:t>
      </w:r>
      <w:r>
        <w:rPr/>
        <w:t>, 60, 1–33.</w:t>
      </w:r>
    </w:p>
    <w:p>
      <w:pPr>
        <w:spacing w:before="276"/>
        <w:ind w:left="571" w:right="1122" w:hanging="452"/>
        <w:jc w:val="both"/>
        <w:rPr>
          <w:sz w:val="24"/>
        </w:rPr>
      </w:pPr>
      <w:r>
        <w:rPr>
          <w:sz w:val="24"/>
        </w:rPr>
        <w:t>Jordan, M.M.(1999). </w:t>
      </w:r>
      <w:r>
        <w:rPr>
          <w:i/>
          <w:sz w:val="24"/>
        </w:rPr>
        <w:t>Punctuated equilibrium as a comprehensive theory of local government budgeting: The proof is in the Tails </w:t>
      </w:r>
      <w:r>
        <w:rPr>
          <w:sz w:val="24"/>
        </w:rPr>
        <w:t>(Doctoral diss.), University of Kentucky, USA.</w:t>
      </w:r>
    </w:p>
    <w:p>
      <w:pPr>
        <w:spacing w:before="276"/>
        <w:ind w:left="571" w:right="1118" w:hanging="452"/>
        <w:jc w:val="both"/>
        <w:rPr>
          <w:sz w:val="24"/>
        </w:rPr>
      </w:pPr>
      <w:r>
        <w:rPr>
          <w:sz w:val="24"/>
        </w:rPr>
        <w:t>Jumare, K.A.(2009). </w:t>
      </w:r>
      <w:r>
        <w:rPr>
          <w:i/>
          <w:sz w:val="24"/>
        </w:rPr>
        <w:t>Analysis of construction budgets in local government areas of Kaduna State, using population and geographical area parameters </w:t>
      </w:r>
      <w:r>
        <w:rPr>
          <w:sz w:val="24"/>
        </w:rPr>
        <w:t>(Unpublished B.tech thesis). Department of Quantity Surveying, Abubakar Tafawa Balewa university, Bauchi, Nigeria.</w:t>
      </w:r>
    </w:p>
    <w:p>
      <w:pPr>
        <w:pStyle w:val="BodyText"/>
      </w:pPr>
    </w:p>
    <w:p>
      <w:pPr>
        <w:spacing w:before="0"/>
        <w:ind w:left="571" w:right="1118" w:hanging="452"/>
        <w:jc w:val="both"/>
        <w:rPr>
          <w:sz w:val="24"/>
        </w:rPr>
      </w:pPr>
      <w:r>
        <w:rPr>
          <w:sz w:val="24"/>
        </w:rPr>
        <w:t>Kafareti, M.M.(2006). Budgeting and budgeting procedures. </w:t>
      </w:r>
      <w:r>
        <w:rPr>
          <w:i/>
          <w:sz w:val="24"/>
        </w:rPr>
        <w:t>Journal of Accountancy students Association</w:t>
      </w:r>
      <w:r>
        <w:rPr>
          <w:sz w:val="24"/>
        </w:rPr>
        <w:t>, Federal Polytechnic, Bauchi, Nigeria. pp.31.</w:t>
      </w:r>
    </w:p>
    <w:p>
      <w:pPr>
        <w:pStyle w:val="BodyText"/>
      </w:pPr>
    </w:p>
    <w:p>
      <w:pPr>
        <w:pStyle w:val="BodyText"/>
        <w:spacing w:line="242" w:lineRule="auto"/>
        <w:ind w:left="571" w:right="1079" w:hanging="452"/>
        <w:jc w:val="both"/>
      </w:pPr>
      <w:r>
        <w:rPr/>
        <w:t>Kaplan, R.S., &amp;Norton, D. (1996). Using the balanced scorecard as a strategic management system. </w:t>
      </w:r>
      <w:r>
        <w:rPr>
          <w:i/>
        </w:rPr>
        <w:t>Harvard Business Review. </w:t>
      </w:r>
      <w:r>
        <w:rPr/>
        <w:t>January-February. pp. 75-87.</w:t>
      </w:r>
    </w:p>
    <w:p>
      <w:pPr>
        <w:spacing w:before="194"/>
        <w:ind w:left="571" w:right="1113" w:hanging="452"/>
        <w:jc w:val="both"/>
        <w:rPr>
          <w:sz w:val="24"/>
        </w:rPr>
      </w:pPr>
      <w:r>
        <w:rPr>
          <w:sz w:val="24"/>
        </w:rPr>
        <w:t>Kaplan, R. S., &amp; Norton, D. P. (2001). </w:t>
      </w:r>
      <w:r>
        <w:rPr>
          <w:i/>
          <w:sz w:val="24"/>
        </w:rPr>
        <w:t>The strategy-focused organization. How balanced scorecard companies thrive in the new business environment</w:t>
      </w:r>
      <w:r>
        <w:rPr>
          <w:sz w:val="24"/>
        </w:rPr>
        <w:t>. Boston: Harvard Business School Press.</w:t>
      </w:r>
    </w:p>
    <w:p>
      <w:pPr>
        <w:pStyle w:val="BodyText"/>
      </w:pPr>
    </w:p>
    <w:p>
      <w:pPr>
        <w:spacing w:before="0"/>
        <w:ind w:left="571" w:right="1119" w:hanging="452"/>
        <w:jc w:val="both"/>
        <w:rPr>
          <w:sz w:val="24"/>
        </w:rPr>
      </w:pPr>
      <w:r>
        <w:rPr>
          <w:sz w:val="24"/>
        </w:rPr>
        <w:t>Kelly, J . M., &amp; Rivenbark , W.C. (2003). </w:t>
      </w:r>
      <w:r>
        <w:rPr>
          <w:i/>
          <w:sz w:val="24"/>
        </w:rPr>
        <w:t>Performance budgeting for state and local government</w:t>
      </w:r>
      <w:r>
        <w:rPr>
          <w:sz w:val="24"/>
        </w:rPr>
        <w:t>.Armonk, NY : M.E. Sharpe.</w:t>
      </w:r>
    </w:p>
    <w:p>
      <w:pPr>
        <w:pStyle w:val="BodyText"/>
        <w:spacing w:before="1"/>
      </w:pPr>
    </w:p>
    <w:p>
      <w:pPr>
        <w:spacing w:before="0"/>
        <w:ind w:left="571" w:right="1117" w:hanging="452"/>
        <w:jc w:val="both"/>
        <w:rPr>
          <w:sz w:val="24"/>
        </w:rPr>
      </w:pPr>
      <w:r>
        <w:rPr>
          <w:sz w:val="24"/>
        </w:rPr>
        <w:t>Key, V.O. (1940).</w:t>
      </w:r>
      <w:r>
        <w:rPr>
          <w:spacing w:val="-1"/>
          <w:sz w:val="24"/>
        </w:rPr>
        <w:t> </w:t>
      </w:r>
      <w:r>
        <w:rPr>
          <w:sz w:val="24"/>
        </w:rPr>
        <w:t>The lack of</w:t>
      </w:r>
      <w:r>
        <w:rPr>
          <w:spacing w:val="-1"/>
          <w:sz w:val="24"/>
        </w:rPr>
        <w:t> </w:t>
      </w:r>
      <w:r>
        <w:rPr>
          <w:sz w:val="24"/>
        </w:rPr>
        <w:t>a</w:t>
      </w:r>
      <w:r>
        <w:rPr>
          <w:spacing w:val="-1"/>
          <w:sz w:val="24"/>
        </w:rPr>
        <w:t> </w:t>
      </w:r>
      <w:r>
        <w:rPr>
          <w:sz w:val="24"/>
        </w:rPr>
        <w:t>budgetary</w:t>
      </w:r>
      <w:r>
        <w:rPr>
          <w:spacing w:val="-5"/>
          <w:sz w:val="24"/>
        </w:rPr>
        <w:t> </w:t>
      </w:r>
      <w:r>
        <w:rPr>
          <w:sz w:val="24"/>
        </w:rPr>
        <w:t>theory. </w:t>
      </w:r>
      <w:r>
        <w:rPr>
          <w:i/>
          <w:sz w:val="24"/>
        </w:rPr>
        <w:t>American</w:t>
      </w:r>
      <w:r>
        <w:rPr>
          <w:i/>
          <w:spacing w:val="-1"/>
          <w:sz w:val="24"/>
        </w:rPr>
        <w:t> </w:t>
      </w:r>
      <w:r>
        <w:rPr>
          <w:i/>
          <w:sz w:val="24"/>
        </w:rPr>
        <w:t>Political Science</w:t>
      </w:r>
      <w:r>
        <w:rPr>
          <w:i/>
          <w:spacing w:val="-1"/>
          <w:sz w:val="24"/>
        </w:rPr>
        <w:t> </w:t>
      </w:r>
      <w:r>
        <w:rPr>
          <w:i/>
          <w:sz w:val="24"/>
        </w:rPr>
        <w:t>Review</w:t>
      </w:r>
      <w:r>
        <w:rPr>
          <w:sz w:val="24"/>
        </w:rPr>
        <w:t>, 34, 1137– </w:t>
      </w:r>
      <w:r>
        <w:rPr>
          <w:spacing w:val="-2"/>
          <w:sz w:val="24"/>
        </w:rPr>
        <w:t>1144.</w:t>
      </w:r>
    </w:p>
    <w:p>
      <w:pPr>
        <w:pStyle w:val="BodyText"/>
      </w:pPr>
    </w:p>
    <w:p>
      <w:pPr>
        <w:pStyle w:val="BodyText"/>
        <w:ind w:left="571" w:right="1116" w:hanging="452"/>
        <w:jc w:val="both"/>
      </w:pPr>
      <w:r>
        <w:rPr/>
        <w:t>Khan, A., &amp; Hildreth, W.B. (Eds.).(2002).Budget theory in the public sector. Westport, Connecticut: Quorum.</w:t>
      </w:r>
    </w:p>
    <w:p>
      <w:pPr>
        <w:pStyle w:val="BodyText"/>
        <w:spacing w:before="40"/>
      </w:pPr>
    </w:p>
    <w:p>
      <w:pPr>
        <w:pStyle w:val="BodyText"/>
        <w:spacing w:before="1"/>
        <w:ind w:left="571" w:right="1119" w:hanging="452"/>
        <w:jc w:val="both"/>
      </w:pPr>
      <w:r>
        <w:rPr/>
        <w:t>King, C.S., Feltey, S.K., &amp;</w:t>
      </w:r>
      <w:r>
        <w:rPr>
          <w:spacing w:val="40"/>
        </w:rPr>
        <w:t> </w:t>
      </w:r>
      <w:r>
        <w:rPr/>
        <w:t>Susel, B.O. (1998). The question of participation: Towards authentic public participation in public administration. </w:t>
      </w:r>
      <w:r>
        <w:rPr>
          <w:i/>
        </w:rPr>
        <w:t>Public Administration Review, </w:t>
      </w:r>
      <w:r>
        <w:rPr/>
        <w:t>58(4), 317-326.</w:t>
      </w:r>
    </w:p>
    <w:p>
      <w:pPr>
        <w:spacing w:after="0"/>
        <w:jc w:val="both"/>
        <w:sectPr>
          <w:pgSz w:w="12240" w:h="15840"/>
          <w:pgMar w:header="0" w:footer="1036" w:top="1360" w:bottom="1220" w:left="1320" w:right="320"/>
        </w:sectPr>
      </w:pPr>
    </w:p>
    <w:p>
      <w:pPr>
        <w:spacing w:before="72"/>
        <w:ind w:left="120" w:right="0" w:firstLine="0"/>
        <w:jc w:val="left"/>
        <w:rPr>
          <w:sz w:val="24"/>
        </w:rPr>
      </w:pPr>
      <w:r>
        <w:rPr>
          <w:sz w:val="24"/>
        </w:rPr>
        <w:t>Kingdon,</w:t>
      </w:r>
      <w:r>
        <w:rPr>
          <w:spacing w:val="-2"/>
          <w:sz w:val="24"/>
        </w:rPr>
        <w:t> </w:t>
      </w:r>
      <w:r>
        <w:rPr>
          <w:sz w:val="24"/>
        </w:rPr>
        <w:t>J.W.</w:t>
      </w:r>
      <w:r>
        <w:rPr>
          <w:spacing w:val="-1"/>
          <w:sz w:val="24"/>
        </w:rPr>
        <w:t> </w:t>
      </w:r>
      <w:r>
        <w:rPr>
          <w:sz w:val="24"/>
        </w:rPr>
        <w:t>(1984).</w:t>
      </w:r>
      <w:r>
        <w:rPr>
          <w:spacing w:val="-1"/>
          <w:sz w:val="24"/>
        </w:rPr>
        <w:t> </w:t>
      </w:r>
      <w:r>
        <w:rPr>
          <w:i/>
          <w:sz w:val="24"/>
        </w:rPr>
        <w:t>Agenda,</w:t>
      </w:r>
      <w:r>
        <w:rPr>
          <w:i/>
          <w:spacing w:val="-1"/>
          <w:sz w:val="24"/>
        </w:rPr>
        <w:t> </w:t>
      </w:r>
      <w:r>
        <w:rPr>
          <w:i/>
          <w:sz w:val="24"/>
        </w:rPr>
        <w:t>alternatives,</w:t>
      </w:r>
      <w:r>
        <w:rPr>
          <w:i/>
          <w:spacing w:val="-1"/>
          <w:sz w:val="24"/>
        </w:rPr>
        <w:t> </w:t>
      </w:r>
      <w:r>
        <w:rPr>
          <w:i/>
          <w:sz w:val="24"/>
        </w:rPr>
        <w:t>and</w:t>
      </w:r>
      <w:r>
        <w:rPr>
          <w:i/>
          <w:spacing w:val="1"/>
          <w:sz w:val="24"/>
        </w:rPr>
        <w:t> </w:t>
      </w:r>
      <w:r>
        <w:rPr>
          <w:i/>
          <w:sz w:val="24"/>
        </w:rPr>
        <w:t>public</w:t>
      </w:r>
      <w:r>
        <w:rPr>
          <w:i/>
          <w:spacing w:val="-2"/>
          <w:sz w:val="24"/>
        </w:rPr>
        <w:t> </w:t>
      </w:r>
      <w:r>
        <w:rPr>
          <w:i/>
          <w:sz w:val="24"/>
        </w:rPr>
        <w:t>policies</w:t>
      </w:r>
      <w:r>
        <w:rPr>
          <w:sz w:val="24"/>
        </w:rPr>
        <w:t>.</w:t>
      </w:r>
      <w:r>
        <w:rPr>
          <w:spacing w:val="-1"/>
          <w:sz w:val="24"/>
        </w:rPr>
        <w:t> </w:t>
      </w:r>
      <w:r>
        <w:rPr>
          <w:sz w:val="24"/>
        </w:rPr>
        <w:t>Boston:</w:t>
      </w:r>
      <w:r>
        <w:rPr>
          <w:spacing w:val="-1"/>
          <w:sz w:val="24"/>
        </w:rPr>
        <w:t> </w:t>
      </w:r>
      <w:r>
        <w:rPr>
          <w:sz w:val="24"/>
        </w:rPr>
        <w:t>Little</w:t>
      </w:r>
      <w:r>
        <w:rPr>
          <w:spacing w:val="-2"/>
          <w:sz w:val="24"/>
        </w:rPr>
        <w:t> Brown.</w:t>
      </w:r>
    </w:p>
    <w:p>
      <w:pPr>
        <w:pStyle w:val="BodyText"/>
        <w:spacing w:before="41"/>
      </w:pPr>
    </w:p>
    <w:p>
      <w:pPr>
        <w:spacing w:before="0"/>
        <w:ind w:left="571" w:right="1119" w:hanging="452"/>
        <w:jc w:val="both"/>
        <w:rPr>
          <w:sz w:val="24"/>
        </w:rPr>
      </w:pPr>
      <w:r>
        <w:rPr>
          <w:sz w:val="24"/>
        </w:rPr>
        <w:t>Kothari, C.R. (2004). </w:t>
      </w:r>
      <w:r>
        <w:rPr>
          <w:i/>
          <w:sz w:val="24"/>
        </w:rPr>
        <w:t>Research methodology: Methods and techniques.</w:t>
      </w:r>
      <w:r>
        <w:rPr>
          <w:sz w:val="24"/>
        </w:rPr>
        <w:t>New Delhi: New Age International Publishing Ltd.</w:t>
      </w:r>
    </w:p>
    <w:p>
      <w:pPr>
        <w:pStyle w:val="BodyText"/>
        <w:spacing w:before="43"/>
      </w:pPr>
    </w:p>
    <w:p>
      <w:pPr>
        <w:pStyle w:val="BodyText"/>
        <w:spacing w:line="278" w:lineRule="auto"/>
        <w:ind w:left="571" w:right="1115" w:hanging="452"/>
        <w:jc w:val="both"/>
      </w:pPr>
      <w:r>
        <w:rPr/>
        <w:t>Leedy, P.D. and Ormrod, J.E. (2010). Practical Research: </w:t>
      </w:r>
      <w:r>
        <w:rPr>
          <w:i/>
        </w:rPr>
        <w:t>Planning and Design</w:t>
      </w:r>
      <w:r>
        <w:rPr/>
        <w:t>. 9</w:t>
      </w:r>
      <w:r>
        <w:rPr>
          <w:vertAlign w:val="superscript"/>
        </w:rPr>
        <w:t>th</w:t>
      </w:r>
      <w:r>
        <w:rPr>
          <w:vertAlign w:val="baseline"/>
        </w:rPr>
        <w:t> Edition, NewJersey: Merrill Prentice Hall.</w:t>
      </w:r>
    </w:p>
    <w:p>
      <w:pPr>
        <w:pStyle w:val="BodyText"/>
        <w:spacing w:before="269"/>
        <w:ind w:left="120"/>
      </w:pPr>
      <w:r>
        <w:rPr/>
        <w:t>LeLoup,</w:t>
      </w:r>
      <w:r>
        <w:rPr>
          <w:spacing w:val="65"/>
        </w:rPr>
        <w:t> </w:t>
      </w:r>
      <w:r>
        <w:rPr/>
        <w:t>L.T.(1978).</w:t>
      </w:r>
      <w:r>
        <w:rPr>
          <w:spacing w:val="65"/>
        </w:rPr>
        <w:t> </w:t>
      </w:r>
      <w:r>
        <w:rPr/>
        <w:t>The</w:t>
      </w:r>
      <w:r>
        <w:rPr>
          <w:spacing w:val="64"/>
        </w:rPr>
        <w:t> </w:t>
      </w:r>
      <w:r>
        <w:rPr/>
        <w:t>myth</w:t>
      </w:r>
      <w:r>
        <w:rPr>
          <w:spacing w:val="66"/>
        </w:rPr>
        <w:t> </w:t>
      </w:r>
      <w:r>
        <w:rPr/>
        <w:t>of</w:t>
      </w:r>
      <w:r>
        <w:rPr>
          <w:spacing w:val="65"/>
        </w:rPr>
        <w:t> </w:t>
      </w:r>
      <w:r>
        <w:rPr/>
        <w:t>incrementalism:</w:t>
      </w:r>
      <w:r>
        <w:rPr>
          <w:spacing w:val="65"/>
        </w:rPr>
        <w:t> </w:t>
      </w:r>
      <w:r>
        <w:rPr/>
        <w:t>Analytical</w:t>
      </w:r>
      <w:r>
        <w:rPr>
          <w:spacing w:val="68"/>
        </w:rPr>
        <w:t> </w:t>
      </w:r>
      <w:r>
        <w:rPr/>
        <w:t>choices</w:t>
      </w:r>
      <w:r>
        <w:rPr>
          <w:spacing w:val="67"/>
        </w:rPr>
        <w:t> </w:t>
      </w:r>
      <w:r>
        <w:rPr/>
        <w:t>in</w:t>
      </w:r>
      <w:r>
        <w:rPr>
          <w:spacing w:val="66"/>
        </w:rPr>
        <w:t> </w:t>
      </w:r>
      <w:r>
        <w:rPr/>
        <w:t>budgetary</w:t>
      </w:r>
      <w:r>
        <w:rPr>
          <w:spacing w:val="61"/>
        </w:rPr>
        <w:t> </w:t>
      </w:r>
      <w:r>
        <w:rPr>
          <w:spacing w:val="-2"/>
        </w:rPr>
        <w:t>theory.</w:t>
      </w:r>
    </w:p>
    <w:p>
      <w:pPr>
        <w:spacing w:before="1"/>
        <w:ind w:left="571" w:right="0" w:firstLine="0"/>
        <w:jc w:val="left"/>
        <w:rPr>
          <w:sz w:val="24"/>
        </w:rPr>
      </w:pPr>
      <w:r>
        <w:rPr>
          <w:i/>
          <w:sz w:val="24"/>
        </w:rPr>
        <w:t>Polity</w:t>
      </w:r>
      <w:r>
        <w:rPr>
          <w:sz w:val="24"/>
        </w:rPr>
        <w:t>,</w:t>
      </w:r>
      <w:r>
        <w:rPr>
          <w:spacing w:val="-1"/>
          <w:sz w:val="24"/>
        </w:rPr>
        <w:t> </w:t>
      </w:r>
      <w:r>
        <w:rPr>
          <w:sz w:val="24"/>
        </w:rPr>
        <w:t>10(4)105</w:t>
      </w:r>
      <w:r>
        <w:rPr>
          <w:spacing w:val="-2"/>
          <w:sz w:val="24"/>
        </w:rPr>
        <w:t> </w:t>
      </w:r>
      <w:r>
        <w:rPr>
          <w:sz w:val="24"/>
        </w:rPr>
        <w:t>-</w:t>
      </w:r>
      <w:r>
        <w:rPr>
          <w:spacing w:val="-1"/>
          <w:sz w:val="24"/>
        </w:rPr>
        <w:t> </w:t>
      </w:r>
      <w:r>
        <w:rPr>
          <w:spacing w:val="-4"/>
          <w:sz w:val="24"/>
        </w:rPr>
        <w:t>111.</w:t>
      </w:r>
    </w:p>
    <w:p>
      <w:pPr>
        <w:spacing w:line="552" w:lineRule="exact" w:before="58"/>
        <w:ind w:left="120" w:right="1117" w:firstLine="0"/>
        <w:jc w:val="left"/>
        <w:rPr>
          <w:sz w:val="24"/>
        </w:rPr>
      </w:pPr>
      <w:r>
        <w:rPr>
          <w:sz w:val="24"/>
        </w:rPr>
        <w:t>Lewis, V.B. (1952). Toward a theory of budgeting. </w:t>
      </w:r>
      <w:r>
        <w:rPr>
          <w:i/>
          <w:sz w:val="24"/>
        </w:rPr>
        <w:t>Public Administration Review</w:t>
      </w:r>
      <w:r>
        <w:rPr>
          <w:sz w:val="24"/>
        </w:rPr>
        <w:t>, 12, 43–54. Lindblom, C. E. (1963).</w:t>
      </w:r>
      <w:r>
        <w:rPr>
          <w:spacing w:val="16"/>
          <w:sz w:val="24"/>
        </w:rPr>
        <w:t> </w:t>
      </w:r>
      <w:r>
        <w:rPr>
          <w:i/>
          <w:sz w:val="24"/>
        </w:rPr>
        <w:t>A strategy of decision:</w:t>
      </w:r>
      <w:r>
        <w:rPr>
          <w:i/>
          <w:spacing w:val="15"/>
          <w:sz w:val="24"/>
        </w:rPr>
        <w:t> </w:t>
      </w:r>
      <w:r>
        <w:rPr>
          <w:i/>
          <w:sz w:val="24"/>
        </w:rPr>
        <w:t>Policy evaluation as a social process</w:t>
      </w:r>
      <w:r>
        <w:rPr>
          <w:sz w:val="24"/>
        </w:rPr>
        <w:t>: Glencoe,</w:t>
      </w:r>
    </w:p>
    <w:p>
      <w:pPr>
        <w:pStyle w:val="BodyText"/>
        <w:spacing w:line="218" w:lineRule="exact"/>
        <w:ind w:left="480"/>
      </w:pPr>
      <w:r>
        <w:rPr/>
        <w:t>Illinois:</w:t>
      </w:r>
      <w:r>
        <w:rPr>
          <w:spacing w:val="-3"/>
        </w:rPr>
        <w:t> </w:t>
      </w:r>
      <w:r>
        <w:rPr/>
        <w:t>Free</w:t>
      </w:r>
      <w:r>
        <w:rPr>
          <w:spacing w:val="-3"/>
        </w:rPr>
        <w:t> </w:t>
      </w:r>
      <w:r>
        <w:rPr>
          <w:spacing w:val="-2"/>
        </w:rPr>
        <w:t>Press.</w:t>
      </w:r>
    </w:p>
    <w:p>
      <w:pPr>
        <w:pStyle w:val="BodyText"/>
        <w:spacing w:before="84"/>
      </w:pPr>
    </w:p>
    <w:p>
      <w:pPr>
        <w:spacing w:before="0"/>
        <w:ind w:left="120" w:right="0" w:firstLine="0"/>
        <w:jc w:val="left"/>
        <w:rPr>
          <w:sz w:val="24"/>
        </w:rPr>
      </w:pPr>
      <w:r>
        <w:rPr>
          <w:sz w:val="24"/>
        </w:rPr>
        <w:t>Lucy, T.</w:t>
      </w:r>
      <w:r>
        <w:rPr>
          <w:spacing w:val="-2"/>
          <w:sz w:val="24"/>
        </w:rPr>
        <w:t> </w:t>
      </w:r>
      <w:r>
        <w:rPr>
          <w:sz w:val="24"/>
        </w:rPr>
        <w:t>(1993).</w:t>
      </w:r>
      <w:r>
        <w:rPr>
          <w:spacing w:val="1"/>
          <w:sz w:val="24"/>
        </w:rPr>
        <w:t> </w:t>
      </w:r>
      <w:r>
        <w:rPr>
          <w:i/>
          <w:sz w:val="24"/>
        </w:rPr>
        <w:t>Management</w:t>
      </w:r>
      <w:r>
        <w:rPr>
          <w:i/>
          <w:spacing w:val="-2"/>
          <w:sz w:val="24"/>
        </w:rPr>
        <w:t> </w:t>
      </w:r>
      <w:r>
        <w:rPr>
          <w:i/>
          <w:sz w:val="24"/>
        </w:rPr>
        <w:t>Accounting</w:t>
      </w:r>
      <w:r>
        <w:rPr>
          <w:sz w:val="24"/>
        </w:rPr>
        <w:t>. London:</w:t>
      </w:r>
      <w:r>
        <w:rPr>
          <w:spacing w:val="-1"/>
          <w:sz w:val="24"/>
        </w:rPr>
        <w:t> </w:t>
      </w:r>
      <w:r>
        <w:rPr>
          <w:sz w:val="24"/>
        </w:rPr>
        <w:t>D.P</w:t>
      </w:r>
      <w:r>
        <w:rPr>
          <w:spacing w:val="-2"/>
          <w:sz w:val="24"/>
        </w:rPr>
        <w:t> </w:t>
      </w:r>
      <w:r>
        <w:rPr>
          <w:sz w:val="24"/>
        </w:rPr>
        <w:t>Publications</w:t>
      </w:r>
      <w:r>
        <w:rPr>
          <w:spacing w:val="-1"/>
          <w:sz w:val="24"/>
        </w:rPr>
        <w:t> </w:t>
      </w:r>
      <w:r>
        <w:rPr>
          <w:spacing w:val="-4"/>
          <w:sz w:val="24"/>
        </w:rPr>
        <w:t>Ltd.</w:t>
      </w:r>
    </w:p>
    <w:p>
      <w:pPr>
        <w:spacing w:before="240"/>
        <w:ind w:left="571" w:right="1122" w:hanging="452"/>
        <w:jc w:val="both"/>
        <w:rPr>
          <w:sz w:val="24"/>
        </w:rPr>
      </w:pPr>
      <w:r>
        <w:rPr>
          <w:sz w:val="24"/>
        </w:rPr>
        <w:t>Mabogunje, A. L. (2003a). The new mass housing and urban development policy: Social and economic impact. </w:t>
      </w:r>
      <w:r>
        <w:rPr>
          <w:i/>
          <w:sz w:val="24"/>
        </w:rPr>
        <w:t>A public service lecture delivered to the top echelons of the federal civil service</w:t>
      </w:r>
      <w:r>
        <w:rPr>
          <w:sz w:val="24"/>
        </w:rPr>
        <w:t>. Abuja, Nigeria. September 30th.</w:t>
      </w:r>
    </w:p>
    <w:p>
      <w:pPr>
        <w:pStyle w:val="BodyText"/>
        <w:spacing w:before="5"/>
      </w:pPr>
    </w:p>
    <w:p>
      <w:pPr>
        <w:spacing w:before="0"/>
        <w:ind w:left="480" w:right="1114" w:hanging="360"/>
        <w:jc w:val="both"/>
        <w:rPr>
          <w:sz w:val="24"/>
        </w:rPr>
      </w:pPr>
      <w:r>
        <w:rPr>
          <w:sz w:val="24"/>
        </w:rPr>
        <w:t>Mabogunje, A. (2003b). Welcome address at the Stakeholders Forum on </w:t>
      </w:r>
      <w:r>
        <w:rPr>
          <w:i/>
          <w:sz w:val="24"/>
        </w:rPr>
        <w:t>Strategies for Enhancing Domestic Production of Building Materials for Mass Housing Development in Nigeria</w:t>
      </w:r>
      <w:r>
        <w:rPr>
          <w:sz w:val="24"/>
        </w:rPr>
        <w:t>. Held at NICON Hilton Hotel, Abuja, 24 September.</w:t>
      </w:r>
    </w:p>
    <w:p>
      <w:pPr>
        <w:pStyle w:val="BodyText"/>
        <w:spacing w:before="3"/>
      </w:pPr>
    </w:p>
    <w:p>
      <w:pPr>
        <w:pStyle w:val="BodyText"/>
        <w:ind w:left="120"/>
      </w:pPr>
      <w:r>
        <w:rPr/>
        <w:t>Mabogunje,</w:t>
      </w:r>
      <w:r>
        <w:rPr>
          <w:spacing w:val="-3"/>
        </w:rPr>
        <w:t> </w:t>
      </w:r>
      <w:r>
        <w:rPr/>
        <w:t>A. (2004,</w:t>
      </w:r>
      <w:r>
        <w:rPr>
          <w:spacing w:val="-1"/>
        </w:rPr>
        <w:t> </w:t>
      </w:r>
      <w:r>
        <w:rPr/>
        <w:t>May</w:t>
      </w:r>
      <w:r>
        <w:rPr>
          <w:spacing w:val="-5"/>
        </w:rPr>
        <w:t> </w:t>
      </w:r>
      <w:r>
        <w:rPr/>
        <w:t>22). Housing</w:t>
      </w:r>
      <w:r>
        <w:rPr>
          <w:spacing w:val="-4"/>
        </w:rPr>
        <w:t> </w:t>
      </w:r>
      <w:r>
        <w:rPr/>
        <w:t>delivery</w:t>
      </w:r>
      <w:r>
        <w:rPr>
          <w:spacing w:val="-3"/>
        </w:rPr>
        <w:t> </w:t>
      </w:r>
      <w:r>
        <w:rPr/>
        <w:t>problems</w:t>
      </w:r>
      <w:r>
        <w:rPr>
          <w:spacing w:val="-1"/>
        </w:rPr>
        <w:t> </w:t>
      </w:r>
      <w:r>
        <w:rPr/>
        <w:t>in Nigeria.</w:t>
      </w:r>
      <w:r>
        <w:rPr>
          <w:spacing w:val="3"/>
        </w:rPr>
        <w:t> </w:t>
      </w:r>
      <w:r>
        <w:rPr>
          <w:i/>
        </w:rPr>
        <w:t>The Punch</w:t>
      </w:r>
      <w:r>
        <w:rPr/>
        <w:t>, P. </w:t>
      </w:r>
      <w:r>
        <w:rPr>
          <w:spacing w:val="-5"/>
        </w:rPr>
        <w:t>11.</w:t>
      </w:r>
    </w:p>
    <w:p>
      <w:pPr>
        <w:pStyle w:val="BodyText"/>
      </w:pPr>
    </w:p>
    <w:p>
      <w:pPr>
        <w:spacing w:before="0"/>
        <w:ind w:left="480" w:right="1121" w:hanging="360"/>
        <w:jc w:val="both"/>
        <w:rPr>
          <w:sz w:val="24"/>
        </w:rPr>
      </w:pPr>
      <w:r>
        <w:rPr>
          <w:sz w:val="24"/>
        </w:rPr>
        <w:t>Mac-Barango, D. O., &amp; Shittu, A.A. (2017). Budgetary allocation to the housing sector and prices of some building materials. </w:t>
      </w:r>
      <w:r>
        <w:rPr>
          <w:i/>
          <w:sz w:val="24"/>
        </w:rPr>
        <w:t>International Journal of Social Sciences and Management Research</w:t>
      </w:r>
      <w:r>
        <w:rPr>
          <w:sz w:val="24"/>
        </w:rPr>
        <w:t>, 3(1), 40 – 53.</w:t>
      </w:r>
    </w:p>
    <w:p>
      <w:pPr>
        <w:pStyle w:val="BodyText"/>
      </w:pPr>
    </w:p>
    <w:p>
      <w:pPr>
        <w:spacing w:before="0"/>
        <w:ind w:left="571" w:right="1115" w:hanging="452"/>
        <w:jc w:val="both"/>
        <w:rPr>
          <w:sz w:val="24"/>
        </w:rPr>
      </w:pPr>
      <w:r>
        <w:rPr>
          <w:sz w:val="24"/>
        </w:rPr>
        <w:t>Mackay,</w:t>
      </w:r>
      <w:r>
        <w:rPr>
          <w:spacing w:val="-1"/>
          <w:sz w:val="24"/>
        </w:rPr>
        <w:t> </w:t>
      </w:r>
      <w:r>
        <w:rPr>
          <w:sz w:val="24"/>
        </w:rPr>
        <w:t>K.</w:t>
      </w:r>
      <w:r>
        <w:rPr>
          <w:spacing w:val="-2"/>
          <w:sz w:val="24"/>
        </w:rPr>
        <w:t> </w:t>
      </w:r>
      <w:r>
        <w:rPr>
          <w:sz w:val="24"/>
        </w:rPr>
        <w:t>(2007).</w:t>
      </w:r>
      <w:r>
        <w:rPr>
          <w:spacing w:val="-1"/>
          <w:sz w:val="24"/>
        </w:rPr>
        <w:t> </w:t>
      </w:r>
      <w:r>
        <w:rPr>
          <w:i/>
          <w:sz w:val="24"/>
        </w:rPr>
        <w:t>How to</w:t>
      </w:r>
      <w:r>
        <w:rPr>
          <w:i/>
          <w:spacing w:val="-1"/>
          <w:sz w:val="24"/>
        </w:rPr>
        <w:t> </w:t>
      </w:r>
      <w:r>
        <w:rPr>
          <w:i/>
          <w:sz w:val="24"/>
        </w:rPr>
        <w:t>build</w:t>
      </w:r>
      <w:r>
        <w:rPr>
          <w:i/>
          <w:spacing w:val="-1"/>
          <w:sz w:val="24"/>
        </w:rPr>
        <w:t> </w:t>
      </w:r>
      <w:r>
        <w:rPr>
          <w:i/>
          <w:sz w:val="24"/>
        </w:rPr>
        <w:t>M&amp;E</w:t>
      </w:r>
      <w:r>
        <w:rPr>
          <w:i/>
          <w:spacing w:val="-2"/>
          <w:sz w:val="24"/>
        </w:rPr>
        <w:t> </w:t>
      </w:r>
      <w:r>
        <w:rPr>
          <w:i/>
          <w:sz w:val="24"/>
        </w:rPr>
        <w:t>systems</w:t>
      </w:r>
      <w:r>
        <w:rPr>
          <w:i/>
          <w:spacing w:val="-2"/>
          <w:sz w:val="24"/>
        </w:rPr>
        <w:t> </w:t>
      </w:r>
      <w:r>
        <w:rPr>
          <w:i/>
          <w:sz w:val="24"/>
        </w:rPr>
        <w:t>to</w:t>
      </w:r>
      <w:r>
        <w:rPr>
          <w:i/>
          <w:spacing w:val="-1"/>
          <w:sz w:val="24"/>
        </w:rPr>
        <w:t> </w:t>
      </w:r>
      <w:r>
        <w:rPr>
          <w:i/>
          <w:sz w:val="24"/>
        </w:rPr>
        <w:t>support</w:t>
      </w:r>
      <w:r>
        <w:rPr>
          <w:i/>
          <w:spacing w:val="-1"/>
          <w:sz w:val="24"/>
        </w:rPr>
        <w:t> </w:t>
      </w:r>
      <w:r>
        <w:rPr>
          <w:i/>
          <w:sz w:val="24"/>
        </w:rPr>
        <w:t>better</w:t>
      </w:r>
      <w:r>
        <w:rPr>
          <w:i/>
          <w:spacing w:val="-1"/>
          <w:sz w:val="24"/>
        </w:rPr>
        <w:t> </w:t>
      </w:r>
      <w:r>
        <w:rPr>
          <w:i/>
          <w:sz w:val="24"/>
        </w:rPr>
        <w:t>governments</w:t>
      </w:r>
      <w:r>
        <w:rPr>
          <w:sz w:val="24"/>
        </w:rPr>
        <w:t>.</w:t>
      </w:r>
      <w:r>
        <w:rPr>
          <w:spacing w:val="-1"/>
          <w:sz w:val="24"/>
        </w:rPr>
        <w:t> </w:t>
      </w:r>
      <w:r>
        <w:rPr>
          <w:sz w:val="24"/>
        </w:rPr>
        <w:t>Washington,</w:t>
      </w:r>
      <w:r>
        <w:rPr>
          <w:spacing w:val="-1"/>
          <w:sz w:val="24"/>
        </w:rPr>
        <w:t> </w:t>
      </w:r>
      <w:r>
        <w:rPr>
          <w:sz w:val="24"/>
        </w:rPr>
        <w:t>DC: World Bank /IEG.</w:t>
      </w:r>
    </w:p>
    <w:p>
      <w:pPr>
        <w:pStyle w:val="BodyText"/>
      </w:pPr>
    </w:p>
    <w:p>
      <w:pPr>
        <w:spacing w:line="242" w:lineRule="auto" w:before="0"/>
        <w:ind w:left="571" w:right="1121" w:hanging="452"/>
        <w:jc w:val="both"/>
        <w:rPr>
          <w:sz w:val="24"/>
        </w:rPr>
      </w:pPr>
      <w:r>
        <w:rPr>
          <w:sz w:val="24"/>
        </w:rPr>
        <w:t>Maclennan, D., More, A., O‘Sullivan, T., &amp; Young, G. (1998). </w:t>
      </w:r>
      <w:r>
        <w:rPr>
          <w:i/>
          <w:sz w:val="24"/>
        </w:rPr>
        <w:t>Local housing systems analysis: Best practice guide</w:t>
      </w:r>
      <w:r>
        <w:rPr>
          <w:sz w:val="24"/>
        </w:rPr>
        <w:t>. Edinburgh: Scottish Homes.</w:t>
      </w:r>
    </w:p>
    <w:p>
      <w:pPr>
        <w:spacing w:before="194"/>
        <w:ind w:left="571" w:right="1124" w:hanging="452"/>
        <w:jc w:val="both"/>
        <w:rPr>
          <w:sz w:val="24"/>
        </w:rPr>
      </w:pPr>
      <w:r>
        <w:rPr>
          <w:sz w:val="24"/>
        </w:rPr>
        <w:t>Malgwi,</w:t>
      </w:r>
      <w:r>
        <w:rPr>
          <w:spacing w:val="-1"/>
          <w:sz w:val="24"/>
        </w:rPr>
        <w:t> </w:t>
      </w:r>
      <w:r>
        <w:rPr>
          <w:sz w:val="24"/>
        </w:rPr>
        <w:t>A.A.,&amp;</w:t>
      </w:r>
      <w:r>
        <w:rPr>
          <w:spacing w:val="-3"/>
          <w:sz w:val="24"/>
        </w:rPr>
        <w:t> </w:t>
      </w:r>
      <w:r>
        <w:rPr>
          <w:sz w:val="24"/>
        </w:rPr>
        <w:t>Unegbu,</w:t>
      </w:r>
      <w:r>
        <w:rPr>
          <w:spacing w:val="-3"/>
          <w:sz w:val="24"/>
        </w:rPr>
        <w:t> </w:t>
      </w:r>
      <w:r>
        <w:rPr>
          <w:sz w:val="24"/>
        </w:rPr>
        <w:t>A.O.</w:t>
      </w:r>
      <w:r>
        <w:rPr>
          <w:spacing w:val="-1"/>
          <w:sz w:val="24"/>
        </w:rPr>
        <w:t> </w:t>
      </w:r>
      <w:r>
        <w:rPr>
          <w:sz w:val="24"/>
        </w:rPr>
        <w:t>(2012).</w:t>
      </w:r>
      <w:r>
        <w:rPr>
          <w:spacing w:val="-2"/>
          <w:sz w:val="24"/>
        </w:rPr>
        <w:t> </w:t>
      </w:r>
      <w:r>
        <w:rPr>
          <w:sz w:val="24"/>
        </w:rPr>
        <w:t>Budget</w:t>
      </w:r>
      <w:r>
        <w:rPr>
          <w:spacing w:val="-3"/>
          <w:sz w:val="24"/>
        </w:rPr>
        <w:t> </w:t>
      </w:r>
      <w:r>
        <w:rPr>
          <w:sz w:val="24"/>
        </w:rPr>
        <w:t>in</w:t>
      </w:r>
      <w:r>
        <w:rPr>
          <w:spacing w:val="-1"/>
          <w:sz w:val="24"/>
        </w:rPr>
        <w:t> </w:t>
      </w:r>
      <w:r>
        <w:rPr>
          <w:sz w:val="24"/>
        </w:rPr>
        <w:t>the</w:t>
      </w:r>
      <w:r>
        <w:rPr>
          <w:spacing w:val="-3"/>
          <w:sz w:val="24"/>
        </w:rPr>
        <w:t> </w:t>
      </w:r>
      <w:r>
        <w:rPr>
          <w:sz w:val="24"/>
        </w:rPr>
        <w:t>Nigerian</w:t>
      </w:r>
      <w:r>
        <w:rPr>
          <w:spacing w:val="-3"/>
          <w:sz w:val="24"/>
        </w:rPr>
        <w:t> </w:t>
      </w:r>
      <w:r>
        <w:rPr>
          <w:sz w:val="24"/>
        </w:rPr>
        <w:t>public</w:t>
      </w:r>
      <w:r>
        <w:rPr>
          <w:spacing w:val="-4"/>
          <w:sz w:val="24"/>
        </w:rPr>
        <w:t> </w:t>
      </w:r>
      <w:r>
        <w:rPr>
          <w:sz w:val="24"/>
        </w:rPr>
        <w:t>sector:</w:t>
      </w:r>
      <w:r>
        <w:rPr>
          <w:spacing w:val="-3"/>
          <w:sz w:val="24"/>
        </w:rPr>
        <w:t> </w:t>
      </w:r>
      <w:r>
        <w:rPr>
          <w:sz w:val="24"/>
        </w:rPr>
        <w:t>Need</w:t>
      </w:r>
      <w:r>
        <w:rPr>
          <w:spacing w:val="-3"/>
          <w:sz w:val="24"/>
        </w:rPr>
        <w:t> </w:t>
      </w:r>
      <w:r>
        <w:rPr>
          <w:sz w:val="24"/>
        </w:rPr>
        <w:t>for</w:t>
      </w:r>
      <w:r>
        <w:rPr>
          <w:spacing w:val="-2"/>
          <w:sz w:val="24"/>
        </w:rPr>
        <w:t> </w:t>
      </w:r>
      <w:r>
        <w:rPr>
          <w:sz w:val="24"/>
        </w:rPr>
        <w:t>a</w:t>
      </w:r>
      <w:r>
        <w:rPr>
          <w:spacing w:val="-4"/>
          <w:sz w:val="24"/>
        </w:rPr>
        <w:t> </w:t>
      </w:r>
      <w:r>
        <w:rPr>
          <w:sz w:val="24"/>
        </w:rPr>
        <w:t>balanced scorecard perspective. </w:t>
      </w:r>
      <w:r>
        <w:rPr>
          <w:i/>
          <w:sz w:val="24"/>
        </w:rPr>
        <w:t>International Journal of Finance and Accounting</w:t>
      </w:r>
      <w:r>
        <w:rPr>
          <w:sz w:val="24"/>
        </w:rPr>
        <w:t>,1(2), 1-6.</w:t>
      </w:r>
    </w:p>
    <w:p>
      <w:pPr>
        <w:pStyle w:val="BodyText"/>
      </w:pPr>
    </w:p>
    <w:p>
      <w:pPr>
        <w:spacing w:before="0"/>
        <w:ind w:left="120" w:right="0" w:firstLine="0"/>
        <w:jc w:val="left"/>
        <w:rPr>
          <w:sz w:val="24"/>
        </w:rPr>
      </w:pPr>
      <w:r>
        <w:rPr>
          <w:sz w:val="24"/>
        </w:rPr>
        <w:t>Mandl,</w:t>
      </w:r>
      <w:r>
        <w:rPr>
          <w:spacing w:val="2"/>
          <w:sz w:val="24"/>
        </w:rPr>
        <w:t> </w:t>
      </w:r>
      <w:r>
        <w:rPr>
          <w:sz w:val="24"/>
        </w:rPr>
        <w:t>U.,</w:t>
      </w:r>
      <w:r>
        <w:rPr>
          <w:spacing w:val="3"/>
          <w:sz w:val="24"/>
        </w:rPr>
        <w:t> </w:t>
      </w:r>
      <w:r>
        <w:rPr>
          <w:sz w:val="24"/>
        </w:rPr>
        <w:t>Dierx,</w:t>
      </w:r>
      <w:r>
        <w:rPr>
          <w:spacing w:val="4"/>
          <w:sz w:val="24"/>
        </w:rPr>
        <w:t> </w:t>
      </w:r>
      <w:r>
        <w:rPr>
          <w:sz w:val="24"/>
        </w:rPr>
        <w:t>A.,</w:t>
      </w:r>
      <w:r>
        <w:rPr>
          <w:spacing w:val="5"/>
          <w:sz w:val="24"/>
        </w:rPr>
        <w:t> </w:t>
      </w:r>
      <w:r>
        <w:rPr>
          <w:sz w:val="24"/>
        </w:rPr>
        <w:t>&amp;</w:t>
      </w:r>
      <w:r>
        <w:rPr>
          <w:spacing w:val="4"/>
          <w:sz w:val="24"/>
        </w:rPr>
        <w:t> </w:t>
      </w:r>
      <w:r>
        <w:rPr>
          <w:sz w:val="24"/>
        </w:rPr>
        <w:t>Ilzkovitz,</w:t>
      </w:r>
      <w:r>
        <w:rPr>
          <w:spacing w:val="4"/>
          <w:sz w:val="24"/>
        </w:rPr>
        <w:t> </w:t>
      </w:r>
      <w:r>
        <w:rPr>
          <w:sz w:val="24"/>
        </w:rPr>
        <w:t>F.</w:t>
      </w:r>
      <w:r>
        <w:rPr>
          <w:spacing w:val="3"/>
          <w:sz w:val="24"/>
        </w:rPr>
        <w:t> </w:t>
      </w:r>
      <w:r>
        <w:rPr>
          <w:sz w:val="24"/>
        </w:rPr>
        <w:t>(2008).</w:t>
      </w:r>
      <w:r>
        <w:rPr>
          <w:spacing w:val="6"/>
          <w:sz w:val="24"/>
        </w:rPr>
        <w:t> </w:t>
      </w:r>
      <w:r>
        <w:rPr>
          <w:i/>
          <w:sz w:val="24"/>
        </w:rPr>
        <w:t>The</w:t>
      </w:r>
      <w:r>
        <w:rPr>
          <w:i/>
          <w:spacing w:val="6"/>
          <w:sz w:val="24"/>
        </w:rPr>
        <w:t> </w:t>
      </w:r>
      <w:r>
        <w:rPr>
          <w:i/>
          <w:sz w:val="24"/>
        </w:rPr>
        <w:t>effectiveness</w:t>
      </w:r>
      <w:r>
        <w:rPr>
          <w:i/>
          <w:spacing w:val="6"/>
          <w:sz w:val="24"/>
        </w:rPr>
        <w:t> </w:t>
      </w:r>
      <w:r>
        <w:rPr>
          <w:i/>
          <w:sz w:val="24"/>
        </w:rPr>
        <w:t>and</w:t>
      </w:r>
      <w:r>
        <w:rPr>
          <w:i/>
          <w:spacing w:val="5"/>
          <w:sz w:val="24"/>
        </w:rPr>
        <w:t> </w:t>
      </w:r>
      <w:r>
        <w:rPr>
          <w:i/>
          <w:sz w:val="24"/>
        </w:rPr>
        <w:t>efficiency</w:t>
      </w:r>
      <w:r>
        <w:rPr>
          <w:i/>
          <w:spacing w:val="3"/>
          <w:sz w:val="24"/>
        </w:rPr>
        <w:t> </w:t>
      </w:r>
      <w:r>
        <w:rPr>
          <w:i/>
          <w:sz w:val="24"/>
        </w:rPr>
        <w:t>of</w:t>
      </w:r>
      <w:r>
        <w:rPr>
          <w:i/>
          <w:spacing w:val="4"/>
          <w:sz w:val="24"/>
        </w:rPr>
        <w:t> </w:t>
      </w:r>
      <w:r>
        <w:rPr>
          <w:i/>
          <w:sz w:val="24"/>
        </w:rPr>
        <w:t>public</w:t>
      </w:r>
      <w:r>
        <w:rPr>
          <w:i/>
          <w:spacing w:val="5"/>
          <w:sz w:val="24"/>
        </w:rPr>
        <w:t> </w:t>
      </w:r>
      <w:r>
        <w:rPr>
          <w:i/>
          <w:spacing w:val="-2"/>
          <w:sz w:val="24"/>
        </w:rPr>
        <w:t>spending</w:t>
      </w:r>
      <w:r>
        <w:rPr>
          <w:spacing w:val="-2"/>
          <w:sz w:val="24"/>
        </w:rPr>
        <w:t>.</w:t>
      </w:r>
    </w:p>
    <w:p>
      <w:pPr>
        <w:pStyle w:val="BodyText"/>
        <w:ind w:left="571"/>
      </w:pPr>
      <w:r>
        <w:rPr/>
        <w:t>Brussels:</w:t>
      </w:r>
      <w:r>
        <w:rPr>
          <w:spacing w:val="-4"/>
        </w:rPr>
        <w:t> </w:t>
      </w:r>
      <w:r>
        <w:rPr/>
        <w:t>European</w:t>
      </w:r>
      <w:r>
        <w:rPr>
          <w:spacing w:val="-2"/>
        </w:rPr>
        <w:t> </w:t>
      </w:r>
      <w:r>
        <w:rPr/>
        <w:t>Commission,</w:t>
      </w:r>
      <w:r>
        <w:rPr>
          <w:spacing w:val="-2"/>
        </w:rPr>
        <w:t> </w:t>
      </w:r>
      <w:r>
        <w:rPr/>
        <w:t>Directorate</w:t>
      </w:r>
      <w:r>
        <w:rPr>
          <w:spacing w:val="-2"/>
        </w:rPr>
        <w:t> </w:t>
      </w:r>
      <w:r>
        <w:rPr/>
        <w:t>General</w:t>
      </w:r>
      <w:r>
        <w:rPr>
          <w:spacing w:val="-1"/>
        </w:rPr>
        <w:t> </w:t>
      </w:r>
      <w:r>
        <w:rPr/>
        <w:t>for</w:t>
      </w:r>
      <w:r>
        <w:rPr>
          <w:spacing w:val="-1"/>
        </w:rPr>
        <w:t> </w:t>
      </w:r>
      <w:r>
        <w:rPr/>
        <w:t>Economic</w:t>
      </w:r>
      <w:r>
        <w:rPr>
          <w:spacing w:val="-3"/>
        </w:rPr>
        <w:t> </w:t>
      </w:r>
      <w:r>
        <w:rPr/>
        <w:t>and Financial</w:t>
      </w:r>
      <w:r>
        <w:rPr>
          <w:spacing w:val="-1"/>
        </w:rPr>
        <w:t> </w:t>
      </w:r>
      <w:r>
        <w:rPr>
          <w:spacing w:val="-2"/>
        </w:rPr>
        <w:t>Affairs.</w:t>
      </w:r>
    </w:p>
    <w:p>
      <w:pPr>
        <w:pStyle w:val="BodyText"/>
      </w:pPr>
    </w:p>
    <w:p>
      <w:pPr>
        <w:pStyle w:val="BodyText"/>
        <w:ind w:left="120"/>
      </w:pPr>
      <w:r>
        <w:rPr/>
        <w:t>Martins,</w:t>
      </w:r>
      <w:r>
        <w:rPr>
          <w:spacing w:val="35"/>
        </w:rPr>
        <w:t> </w:t>
      </w:r>
      <w:r>
        <w:rPr/>
        <w:t>E.</w:t>
      </w:r>
      <w:r>
        <w:rPr>
          <w:spacing w:val="36"/>
        </w:rPr>
        <w:t> </w:t>
      </w:r>
      <w:r>
        <w:rPr/>
        <w:t>(1988).</w:t>
      </w:r>
      <w:r>
        <w:rPr>
          <w:spacing w:val="36"/>
        </w:rPr>
        <w:t> </w:t>
      </w:r>
      <w:r>
        <w:rPr/>
        <w:t>Toward</w:t>
      </w:r>
      <w:r>
        <w:rPr>
          <w:spacing w:val="36"/>
        </w:rPr>
        <w:t> </w:t>
      </w:r>
      <w:r>
        <w:rPr/>
        <w:t>meeting</w:t>
      </w:r>
      <w:r>
        <w:rPr>
          <w:spacing w:val="34"/>
        </w:rPr>
        <w:t> </w:t>
      </w:r>
      <w:r>
        <w:rPr/>
        <w:t>Nigeria‘s</w:t>
      </w:r>
      <w:r>
        <w:rPr>
          <w:spacing w:val="36"/>
        </w:rPr>
        <w:t> </w:t>
      </w:r>
      <w:r>
        <w:rPr/>
        <w:t>housing</w:t>
      </w:r>
      <w:r>
        <w:rPr>
          <w:spacing w:val="34"/>
        </w:rPr>
        <w:t> </w:t>
      </w:r>
      <w:r>
        <w:rPr/>
        <w:t>needs:</w:t>
      </w:r>
      <w:r>
        <w:rPr>
          <w:spacing w:val="37"/>
        </w:rPr>
        <w:t> </w:t>
      </w:r>
      <w:r>
        <w:rPr/>
        <w:t>Roles</w:t>
      </w:r>
      <w:r>
        <w:rPr>
          <w:spacing w:val="36"/>
        </w:rPr>
        <w:t> </w:t>
      </w:r>
      <w:r>
        <w:rPr/>
        <w:t>of</w:t>
      </w:r>
      <w:r>
        <w:rPr>
          <w:spacing w:val="36"/>
        </w:rPr>
        <w:t> </w:t>
      </w:r>
      <w:r>
        <w:rPr/>
        <w:t>the</w:t>
      </w:r>
      <w:r>
        <w:rPr>
          <w:spacing w:val="36"/>
        </w:rPr>
        <w:t> </w:t>
      </w:r>
      <w:r>
        <w:rPr/>
        <w:t>building</w:t>
      </w:r>
      <w:r>
        <w:rPr>
          <w:spacing w:val="36"/>
        </w:rPr>
        <w:t> </w:t>
      </w:r>
      <w:r>
        <w:rPr>
          <w:spacing w:val="-2"/>
        </w:rPr>
        <w:t>industry.</w:t>
      </w:r>
    </w:p>
    <w:p>
      <w:pPr>
        <w:spacing w:before="3"/>
        <w:ind w:left="571" w:right="0" w:firstLine="0"/>
        <w:jc w:val="left"/>
        <w:rPr>
          <w:sz w:val="24"/>
        </w:rPr>
      </w:pPr>
      <w:r>
        <w:rPr>
          <w:i/>
          <w:sz w:val="24"/>
        </w:rPr>
        <w:t>Journal</w:t>
      </w:r>
      <w:r>
        <w:rPr>
          <w:i/>
          <w:spacing w:val="-1"/>
          <w:sz w:val="24"/>
        </w:rPr>
        <w:t> </w:t>
      </w:r>
      <w:r>
        <w:rPr>
          <w:i/>
          <w:sz w:val="24"/>
        </w:rPr>
        <w:t>of the</w:t>
      </w:r>
      <w:r>
        <w:rPr>
          <w:i/>
          <w:spacing w:val="-1"/>
          <w:sz w:val="24"/>
        </w:rPr>
        <w:t> </w:t>
      </w:r>
      <w:r>
        <w:rPr>
          <w:i/>
          <w:sz w:val="24"/>
        </w:rPr>
        <w:t>Nigerian Institute</w:t>
      </w:r>
      <w:r>
        <w:rPr>
          <w:i/>
          <w:spacing w:val="-1"/>
          <w:sz w:val="24"/>
        </w:rPr>
        <w:t> </w:t>
      </w:r>
      <w:r>
        <w:rPr>
          <w:i/>
          <w:sz w:val="24"/>
        </w:rPr>
        <w:t>of Architects</w:t>
      </w:r>
      <w:r>
        <w:rPr>
          <w:sz w:val="24"/>
        </w:rPr>
        <w:t>,4, 9-</w:t>
      </w:r>
      <w:r>
        <w:rPr>
          <w:spacing w:val="-5"/>
          <w:sz w:val="24"/>
        </w:rPr>
        <w:t>12.</w:t>
      </w:r>
    </w:p>
    <w:p>
      <w:pPr>
        <w:spacing w:after="0"/>
        <w:jc w:val="left"/>
        <w:rPr>
          <w:sz w:val="24"/>
        </w:rPr>
        <w:sectPr>
          <w:pgSz w:w="12240" w:h="15840"/>
          <w:pgMar w:header="0" w:footer="1036" w:top="1360" w:bottom="1220" w:left="1320" w:right="320"/>
        </w:sectPr>
      </w:pPr>
    </w:p>
    <w:p>
      <w:pPr>
        <w:spacing w:before="72"/>
        <w:ind w:left="571" w:right="1118" w:hanging="452"/>
        <w:jc w:val="both"/>
        <w:rPr>
          <w:sz w:val="24"/>
        </w:rPr>
      </w:pPr>
      <w:r>
        <w:rPr>
          <w:sz w:val="24"/>
        </w:rPr>
        <w:t>Mbamali, I., &amp; Okoli, O.G. (2002). Affordable housing for low income group in Nigeria: A redefinition of the basic parameters. </w:t>
      </w:r>
      <w:r>
        <w:rPr>
          <w:i/>
          <w:sz w:val="24"/>
        </w:rPr>
        <w:t>Journal of the Association of Housing Corporations of Nigeria, </w:t>
      </w:r>
      <w:r>
        <w:rPr>
          <w:sz w:val="24"/>
        </w:rPr>
        <w:t>1(5), 15-21.</w:t>
      </w:r>
    </w:p>
    <w:p>
      <w:pPr>
        <w:pStyle w:val="BodyText"/>
      </w:pPr>
    </w:p>
    <w:p>
      <w:pPr>
        <w:spacing w:before="0"/>
        <w:ind w:left="571" w:right="1118" w:hanging="452"/>
        <w:jc w:val="both"/>
        <w:rPr>
          <w:sz w:val="24"/>
        </w:rPr>
      </w:pPr>
      <w:r>
        <w:rPr>
          <w:sz w:val="24"/>
        </w:rPr>
        <w:t>McGill, R. (2001). </w:t>
      </w:r>
      <w:r>
        <w:rPr>
          <w:i/>
          <w:sz w:val="24"/>
        </w:rPr>
        <w:t>Performance budgeting</w:t>
      </w:r>
      <w:r>
        <w:rPr>
          <w:sz w:val="24"/>
        </w:rPr>
        <w:t>. </w:t>
      </w:r>
      <w:r>
        <w:rPr>
          <w:i/>
          <w:sz w:val="24"/>
        </w:rPr>
        <w:t>International Journal of Public Sector Management</w:t>
      </w:r>
      <w:r>
        <w:rPr>
          <w:sz w:val="24"/>
        </w:rPr>
        <w:t>, 14(5), 376 –390.</w:t>
      </w:r>
    </w:p>
    <w:p>
      <w:pPr>
        <w:pStyle w:val="BodyText"/>
      </w:pPr>
    </w:p>
    <w:p>
      <w:pPr>
        <w:spacing w:before="0"/>
        <w:ind w:left="571" w:right="1122" w:hanging="452"/>
        <w:jc w:val="both"/>
        <w:rPr>
          <w:sz w:val="24"/>
        </w:rPr>
      </w:pPr>
      <w:r>
        <w:rPr>
          <w:sz w:val="24"/>
        </w:rPr>
        <w:t>McGill, R. (Ed.). (2006)</w:t>
      </w:r>
      <w:r>
        <w:rPr>
          <w:i/>
          <w:sz w:val="24"/>
        </w:rPr>
        <w:t>. Achieving results: Performance budgeting in the least developed countries</w:t>
      </w:r>
      <w:r>
        <w:rPr>
          <w:sz w:val="24"/>
        </w:rPr>
        <w:t>. New York, NY: UNCDF.</w:t>
      </w:r>
    </w:p>
    <w:p>
      <w:pPr>
        <w:pStyle w:val="BodyText"/>
      </w:pPr>
    </w:p>
    <w:p>
      <w:pPr>
        <w:spacing w:before="0"/>
        <w:ind w:left="571" w:right="1116" w:hanging="452"/>
        <w:jc w:val="both"/>
        <w:rPr>
          <w:sz w:val="24"/>
        </w:rPr>
      </w:pPr>
      <w:r>
        <w:rPr>
          <w:sz w:val="24"/>
        </w:rPr>
        <w:t>McKinsey and Company (2011). </w:t>
      </w:r>
      <w:r>
        <w:rPr>
          <w:i/>
          <w:sz w:val="24"/>
        </w:rPr>
        <w:t>Better for less; improving public sector performance on a tight budget</w:t>
      </w:r>
      <w:r>
        <w:rPr>
          <w:sz w:val="24"/>
        </w:rPr>
        <w:t>. San Francisco: McKinsey Center for Government.</w:t>
      </w:r>
    </w:p>
    <w:p>
      <w:pPr>
        <w:pStyle w:val="BodyText"/>
        <w:spacing w:before="3"/>
      </w:pPr>
    </w:p>
    <w:p>
      <w:pPr>
        <w:spacing w:before="0"/>
        <w:ind w:left="120" w:right="0" w:firstLine="0"/>
        <w:jc w:val="left"/>
        <w:rPr>
          <w:sz w:val="24"/>
        </w:rPr>
      </w:pPr>
      <w:r>
        <w:rPr>
          <w:sz w:val="24"/>
        </w:rPr>
        <w:t>Meyers,</w:t>
      </w:r>
      <w:r>
        <w:rPr>
          <w:spacing w:val="-1"/>
          <w:sz w:val="24"/>
        </w:rPr>
        <w:t> </w:t>
      </w:r>
      <w:r>
        <w:rPr>
          <w:sz w:val="24"/>
        </w:rPr>
        <w:t>R.T.(1999).</w:t>
      </w:r>
      <w:r>
        <w:rPr>
          <w:spacing w:val="1"/>
          <w:sz w:val="24"/>
        </w:rPr>
        <w:t> </w:t>
      </w:r>
      <w:r>
        <w:rPr>
          <w:i/>
          <w:sz w:val="24"/>
        </w:rPr>
        <w:t>Handbook</w:t>
      </w:r>
      <w:r>
        <w:rPr>
          <w:i/>
          <w:spacing w:val="-2"/>
          <w:sz w:val="24"/>
        </w:rPr>
        <w:t> </w:t>
      </w:r>
      <w:r>
        <w:rPr>
          <w:i/>
          <w:sz w:val="24"/>
        </w:rPr>
        <w:t>of</w:t>
      </w:r>
      <w:r>
        <w:rPr>
          <w:i/>
          <w:spacing w:val="-1"/>
          <w:sz w:val="24"/>
        </w:rPr>
        <w:t> </w:t>
      </w:r>
      <w:r>
        <w:rPr>
          <w:i/>
          <w:sz w:val="24"/>
        </w:rPr>
        <w:t>government</w:t>
      </w:r>
      <w:r>
        <w:rPr>
          <w:i/>
          <w:spacing w:val="-1"/>
          <w:sz w:val="24"/>
        </w:rPr>
        <w:t> </w:t>
      </w:r>
      <w:r>
        <w:rPr>
          <w:i/>
          <w:sz w:val="24"/>
        </w:rPr>
        <w:t>budgeting</w:t>
      </w:r>
      <w:r>
        <w:rPr>
          <w:sz w:val="24"/>
        </w:rPr>
        <w:t>.</w:t>
      </w:r>
      <w:r>
        <w:rPr>
          <w:spacing w:val="-1"/>
          <w:sz w:val="24"/>
        </w:rPr>
        <w:t> </w:t>
      </w:r>
      <w:r>
        <w:rPr>
          <w:sz w:val="24"/>
        </w:rPr>
        <w:t>San</w:t>
      </w:r>
      <w:r>
        <w:rPr>
          <w:spacing w:val="-1"/>
          <w:sz w:val="24"/>
        </w:rPr>
        <w:t> </w:t>
      </w:r>
      <w:r>
        <w:rPr>
          <w:sz w:val="24"/>
        </w:rPr>
        <w:t>Francisco:</w:t>
      </w:r>
      <w:r>
        <w:rPr>
          <w:spacing w:val="-1"/>
          <w:sz w:val="24"/>
        </w:rPr>
        <w:t> </w:t>
      </w:r>
      <w:r>
        <w:rPr>
          <w:sz w:val="24"/>
        </w:rPr>
        <w:t>Jossey</w:t>
      </w:r>
      <w:r>
        <w:rPr>
          <w:spacing w:val="-3"/>
          <w:sz w:val="24"/>
        </w:rPr>
        <w:t> </w:t>
      </w:r>
      <w:r>
        <w:rPr>
          <w:spacing w:val="-2"/>
          <w:sz w:val="24"/>
        </w:rPr>
        <w:t>Base.</w:t>
      </w:r>
    </w:p>
    <w:p>
      <w:pPr>
        <w:spacing w:before="238"/>
        <w:ind w:left="571" w:right="1117" w:hanging="452"/>
        <w:jc w:val="both"/>
        <w:rPr>
          <w:sz w:val="24"/>
        </w:rPr>
      </w:pPr>
      <w:r>
        <w:rPr>
          <w:sz w:val="24"/>
        </w:rPr>
        <w:t>Mihaiu, D.M., Opreana, A., &amp; Cristescu, M. (2010). Efficiency, effectiveness and performance</w:t>
      </w:r>
      <w:r>
        <w:rPr>
          <w:spacing w:val="40"/>
          <w:sz w:val="24"/>
        </w:rPr>
        <w:t> </w:t>
      </w:r>
      <w:r>
        <w:rPr>
          <w:sz w:val="24"/>
        </w:rPr>
        <w:t>of the public sector. </w:t>
      </w:r>
      <w:r>
        <w:rPr>
          <w:i/>
          <w:sz w:val="24"/>
        </w:rPr>
        <w:t>Romanian Journal of Economic Forecasting, </w:t>
      </w:r>
      <w:r>
        <w:rPr>
          <w:sz w:val="24"/>
        </w:rPr>
        <w:t>4,132 – 147.</w:t>
      </w:r>
    </w:p>
    <w:p>
      <w:pPr>
        <w:pStyle w:val="BodyText"/>
      </w:pPr>
    </w:p>
    <w:p>
      <w:pPr>
        <w:pStyle w:val="BodyText"/>
        <w:ind w:left="120"/>
      </w:pPr>
      <w:r>
        <w:rPr/>
        <w:t>Mogbo,</w:t>
      </w:r>
      <w:r>
        <w:rPr>
          <w:spacing w:val="13"/>
        </w:rPr>
        <w:t> </w:t>
      </w:r>
      <w:r>
        <w:rPr/>
        <w:t>T.C.</w:t>
      </w:r>
      <w:r>
        <w:rPr>
          <w:spacing w:val="18"/>
        </w:rPr>
        <w:t> </w:t>
      </w:r>
      <w:r>
        <w:rPr/>
        <w:t>(2001).</w:t>
      </w:r>
      <w:r>
        <w:rPr>
          <w:spacing w:val="15"/>
        </w:rPr>
        <w:t> </w:t>
      </w:r>
      <w:r>
        <w:rPr/>
        <w:t>Review</w:t>
      </w:r>
      <w:r>
        <w:rPr>
          <w:spacing w:val="14"/>
        </w:rPr>
        <w:t> </w:t>
      </w:r>
      <w:r>
        <w:rPr/>
        <w:t>of</w:t>
      </w:r>
      <w:r>
        <w:rPr>
          <w:spacing w:val="15"/>
        </w:rPr>
        <w:t> </w:t>
      </w:r>
      <w:r>
        <w:rPr/>
        <w:t>budgets</w:t>
      </w:r>
      <w:r>
        <w:rPr>
          <w:spacing w:val="16"/>
        </w:rPr>
        <w:t> </w:t>
      </w:r>
      <w:r>
        <w:rPr/>
        <w:t>for</w:t>
      </w:r>
      <w:r>
        <w:rPr>
          <w:spacing w:val="17"/>
        </w:rPr>
        <w:t> </w:t>
      </w:r>
      <w:r>
        <w:rPr/>
        <w:t>public</w:t>
      </w:r>
      <w:r>
        <w:rPr>
          <w:spacing w:val="14"/>
        </w:rPr>
        <w:t> </w:t>
      </w:r>
      <w:r>
        <w:rPr/>
        <w:t>utilities</w:t>
      </w:r>
      <w:r>
        <w:rPr>
          <w:spacing w:val="16"/>
        </w:rPr>
        <w:t> </w:t>
      </w:r>
      <w:r>
        <w:rPr/>
        <w:t>in</w:t>
      </w:r>
      <w:r>
        <w:rPr>
          <w:spacing w:val="18"/>
        </w:rPr>
        <w:t> </w:t>
      </w:r>
      <w:r>
        <w:rPr/>
        <w:t>Lagos</w:t>
      </w:r>
      <w:r>
        <w:rPr>
          <w:spacing w:val="18"/>
        </w:rPr>
        <w:t> </w:t>
      </w:r>
      <w:r>
        <w:rPr/>
        <w:t>State,</w:t>
      </w:r>
      <w:r>
        <w:rPr>
          <w:spacing w:val="15"/>
        </w:rPr>
        <w:t> </w:t>
      </w:r>
      <w:r>
        <w:rPr/>
        <w:t>Nigeria,</w:t>
      </w:r>
      <w:r>
        <w:rPr>
          <w:spacing w:val="16"/>
        </w:rPr>
        <w:t> </w:t>
      </w:r>
      <w:r>
        <w:rPr/>
        <w:t>1989-</w:t>
      </w:r>
      <w:r>
        <w:rPr>
          <w:spacing w:val="-2"/>
        </w:rPr>
        <w:t>1998.</w:t>
      </w:r>
    </w:p>
    <w:p>
      <w:pPr>
        <w:spacing w:before="0"/>
        <w:ind w:left="566" w:right="0" w:firstLine="0"/>
        <w:jc w:val="left"/>
        <w:rPr>
          <w:sz w:val="24"/>
        </w:rPr>
      </w:pPr>
      <w:r>
        <w:rPr>
          <w:i/>
          <w:sz w:val="24"/>
        </w:rPr>
        <w:t>The</w:t>
      </w:r>
      <w:r>
        <w:rPr>
          <w:i/>
          <w:spacing w:val="-4"/>
          <w:sz w:val="24"/>
        </w:rPr>
        <w:t> </w:t>
      </w:r>
      <w:r>
        <w:rPr>
          <w:i/>
          <w:sz w:val="24"/>
        </w:rPr>
        <w:t>Quantity</w:t>
      </w:r>
      <w:r>
        <w:rPr>
          <w:i/>
          <w:spacing w:val="-2"/>
          <w:sz w:val="24"/>
        </w:rPr>
        <w:t> </w:t>
      </w:r>
      <w:r>
        <w:rPr>
          <w:i/>
          <w:sz w:val="24"/>
        </w:rPr>
        <w:t>Surveyor</w:t>
      </w:r>
      <w:r>
        <w:rPr>
          <w:sz w:val="24"/>
        </w:rPr>
        <w:t>, 36</w:t>
      </w:r>
      <w:r>
        <w:rPr>
          <w:spacing w:val="-1"/>
          <w:sz w:val="24"/>
        </w:rPr>
        <w:t> </w:t>
      </w:r>
      <w:r>
        <w:rPr>
          <w:sz w:val="24"/>
        </w:rPr>
        <w:t>(233), 18-</w:t>
      </w:r>
      <w:r>
        <w:rPr>
          <w:spacing w:val="-5"/>
          <w:sz w:val="24"/>
        </w:rPr>
        <w:t>20.</w:t>
      </w:r>
    </w:p>
    <w:p>
      <w:pPr>
        <w:pStyle w:val="BodyText"/>
      </w:pPr>
    </w:p>
    <w:p>
      <w:pPr>
        <w:spacing w:before="0"/>
        <w:ind w:left="571" w:right="1116" w:hanging="452"/>
        <w:jc w:val="both"/>
        <w:rPr>
          <w:sz w:val="24"/>
        </w:rPr>
      </w:pPr>
      <w:r>
        <w:rPr>
          <w:sz w:val="24"/>
        </w:rPr>
        <w:t>Morakinyo, K. O., Okunola, A.S., Ogunrayewa, M. O., Dada, O. (2015). A review of private sectors‘ involvement in urban housing provision in Nigeria</w:t>
      </w:r>
      <w:r>
        <w:rPr>
          <w:i/>
          <w:sz w:val="24"/>
        </w:rPr>
        <w:t>. International Journal of Civil Engineering, Construction and Estate Management,</w:t>
      </w:r>
      <w:r>
        <w:rPr>
          <w:sz w:val="24"/>
        </w:rPr>
        <w:t>3, (2), 36-47.</w:t>
      </w:r>
    </w:p>
    <w:p>
      <w:pPr>
        <w:pStyle w:val="BodyText"/>
        <w:spacing w:before="3"/>
      </w:pPr>
    </w:p>
    <w:p>
      <w:pPr>
        <w:spacing w:before="0"/>
        <w:ind w:left="120" w:right="0" w:firstLine="0"/>
        <w:jc w:val="left"/>
        <w:rPr>
          <w:sz w:val="24"/>
        </w:rPr>
      </w:pPr>
      <w:r>
        <w:rPr>
          <w:sz w:val="24"/>
        </w:rPr>
        <w:t>Morris,</w:t>
      </w:r>
      <w:r>
        <w:rPr>
          <w:spacing w:val="-1"/>
          <w:sz w:val="24"/>
        </w:rPr>
        <w:t> </w:t>
      </w:r>
      <w:r>
        <w:rPr>
          <w:sz w:val="24"/>
        </w:rPr>
        <w:t>E.W., &amp;</w:t>
      </w:r>
      <w:r>
        <w:rPr>
          <w:spacing w:val="-2"/>
          <w:sz w:val="24"/>
        </w:rPr>
        <w:t> </w:t>
      </w:r>
      <w:r>
        <w:rPr>
          <w:sz w:val="24"/>
        </w:rPr>
        <w:t>Winter, M.(1991)</w:t>
      </w:r>
      <w:r>
        <w:rPr>
          <w:i/>
          <w:sz w:val="24"/>
        </w:rPr>
        <w:t>. Housing and society.</w:t>
      </w:r>
      <w:r>
        <w:rPr>
          <w:i/>
          <w:spacing w:val="59"/>
          <w:sz w:val="24"/>
        </w:rPr>
        <w:t> </w:t>
      </w:r>
      <w:r>
        <w:rPr>
          <w:sz w:val="24"/>
        </w:rPr>
        <w:t>New York: John Wiley</w:t>
      </w:r>
      <w:r>
        <w:rPr>
          <w:spacing w:val="-6"/>
          <w:sz w:val="24"/>
        </w:rPr>
        <w:t> </w:t>
      </w:r>
      <w:r>
        <w:rPr>
          <w:sz w:val="24"/>
        </w:rPr>
        <w:t>&amp;</w:t>
      </w:r>
      <w:r>
        <w:rPr>
          <w:spacing w:val="-2"/>
          <w:sz w:val="24"/>
        </w:rPr>
        <w:t> Sons.</w:t>
      </w:r>
    </w:p>
    <w:p>
      <w:pPr>
        <w:pStyle w:val="BodyText"/>
        <w:spacing w:before="137"/>
      </w:pPr>
    </w:p>
    <w:p>
      <w:pPr>
        <w:spacing w:line="240" w:lineRule="auto" w:before="0"/>
        <w:ind w:left="571" w:right="1118" w:hanging="452"/>
        <w:jc w:val="both"/>
        <w:rPr>
          <w:sz w:val="24"/>
        </w:rPr>
      </w:pPr>
      <w:r>
        <w:rPr>
          <w:sz w:val="24"/>
        </w:rPr>
        <w:t>Mosaku, T.O. (2000). The logistic of adequate</w:t>
      </w:r>
      <w:r>
        <w:rPr>
          <w:spacing w:val="40"/>
          <w:sz w:val="24"/>
        </w:rPr>
        <w:t> </w:t>
      </w:r>
      <w:r>
        <w:rPr>
          <w:sz w:val="24"/>
        </w:rPr>
        <w:t>housing provision in Nigeria. </w:t>
      </w:r>
      <w:r>
        <w:rPr>
          <w:i/>
          <w:sz w:val="24"/>
        </w:rPr>
        <w:t>Habitat-Afrique, International Conference and Exposition. </w:t>
      </w:r>
      <w:r>
        <w:rPr>
          <w:sz w:val="24"/>
        </w:rPr>
        <w:t>Faculty of Environmental Design</w:t>
      </w:r>
      <w:r>
        <w:rPr>
          <w:i/>
          <w:sz w:val="24"/>
        </w:rPr>
        <w:t>, </w:t>
      </w:r>
      <w:r>
        <w:rPr>
          <w:sz w:val="24"/>
        </w:rPr>
        <w:t>Ahmadu Bello University, Zaria, pp. 80-86.</w:t>
      </w:r>
    </w:p>
    <w:p>
      <w:pPr>
        <w:pStyle w:val="BodyText"/>
        <w:spacing w:before="84"/>
      </w:pPr>
    </w:p>
    <w:p>
      <w:pPr>
        <w:spacing w:before="0"/>
        <w:ind w:left="571" w:right="1117" w:hanging="452"/>
        <w:jc w:val="left"/>
        <w:rPr>
          <w:sz w:val="24"/>
        </w:rPr>
      </w:pPr>
      <w:r>
        <w:rPr>
          <w:sz w:val="24"/>
        </w:rPr>
        <w:t>Mouzas,</w:t>
      </w:r>
      <w:r>
        <w:rPr>
          <w:spacing w:val="-4"/>
          <w:sz w:val="24"/>
        </w:rPr>
        <w:t> </w:t>
      </w:r>
      <w:r>
        <w:rPr>
          <w:sz w:val="24"/>
        </w:rPr>
        <w:t>S.</w:t>
      </w:r>
      <w:r>
        <w:rPr>
          <w:spacing w:val="-4"/>
          <w:sz w:val="24"/>
        </w:rPr>
        <w:t> </w:t>
      </w:r>
      <w:r>
        <w:rPr>
          <w:sz w:val="24"/>
        </w:rPr>
        <w:t>(2006).</w:t>
      </w:r>
      <w:r>
        <w:rPr>
          <w:spacing w:val="-4"/>
          <w:sz w:val="24"/>
        </w:rPr>
        <w:t> </w:t>
      </w:r>
      <w:r>
        <w:rPr>
          <w:sz w:val="24"/>
        </w:rPr>
        <w:t>Efficiency</w:t>
      </w:r>
      <w:r>
        <w:rPr>
          <w:spacing w:val="-8"/>
          <w:sz w:val="24"/>
        </w:rPr>
        <w:t> </w:t>
      </w:r>
      <w:r>
        <w:rPr>
          <w:sz w:val="24"/>
        </w:rPr>
        <w:t>versus</w:t>
      </w:r>
      <w:r>
        <w:rPr>
          <w:spacing w:val="-3"/>
          <w:sz w:val="24"/>
        </w:rPr>
        <w:t> </w:t>
      </w:r>
      <w:r>
        <w:rPr>
          <w:sz w:val="24"/>
        </w:rPr>
        <w:t>effectiveness</w:t>
      </w:r>
      <w:r>
        <w:rPr>
          <w:spacing w:val="-2"/>
          <w:sz w:val="24"/>
        </w:rPr>
        <w:t> </w:t>
      </w:r>
      <w:r>
        <w:rPr>
          <w:sz w:val="24"/>
        </w:rPr>
        <w:t>in</w:t>
      </w:r>
      <w:r>
        <w:rPr>
          <w:spacing w:val="-4"/>
          <w:sz w:val="24"/>
        </w:rPr>
        <w:t> </w:t>
      </w:r>
      <w:r>
        <w:rPr>
          <w:sz w:val="24"/>
        </w:rPr>
        <w:t>business</w:t>
      </w:r>
      <w:r>
        <w:rPr>
          <w:spacing w:val="-4"/>
          <w:sz w:val="24"/>
        </w:rPr>
        <w:t> </w:t>
      </w:r>
      <w:r>
        <w:rPr>
          <w:sz w:val="24"/>
        </w:rPr>
        <w:t>networks.</w:t>
      </w:r>
      <w:r>
        <w:rPr>
          <w:spacing w:val="-1"/>
          <w:sz w:val="24"/>
        </w:rPr>
        <w:t> </w:t>
      </w:r>
      <w:r>
        <w:rPr>
          <w:i/>
          <w:sz w:val="24"/>
        </w:rPr>
        <w:t>Journal</w:t>
      </w:r>
      <w:r>
        <w:rPr>
          <w:i/>
          <w:spacing w:val="-4"/>
          <w:sz w:val="24"/>
        </w:rPr>
        <w:t> </w:t>
      </w:r>
      <w:r>
        <w:rPr>
          <w:i/>
          <w:sz w:val="24"/>
        </w:rPr>
        <w:t>of</w:t>
      </w:r>
      <w:r>
        <w:rPr>
          <w:i/>
          <w:spacing w:val="-4"/>
          <w:sz w:val="24"/>
        </w:rPr>
        <w:t> </w:t>
      </w:r>
      <w:r>
        <w:rPr>
          <w:i/>
          <w:sz w:val="24"/>
        </w:rPr>
        <w:t>Business Research</w:t>
      </w:r>
      <w:r>
        <w:rPr>
          <w:sz w:val="24"/>
        </w:rPr>
        <w:t>, 59 (10/11),1124-1132.</w:t>
      </w:r>
    </w:p>
    <w:p>
      <w:pPr>
        <w:pStyle w:val="BodyText"/>
      </w:pPr>
    </w:p>
    <w:p>
      <w:pPr>
        <w:spacing w:line="242" w:lineRule="auto" w:before="0"/>
        <w:ind w:left="571" w:right="1117" w:hanging="452"/>
        <w:jc w:val="both"/>
        <w:rPr>
          <w:sz w:val="24"/>
        </w:rPr>
      </w:pPr>
      <w:r>
        <w:rPr>
          <w:sz w:val="24"/>
        </w:rPr>
        <w:t>Muhammed, A.S.(2009). </w:t>
      </w:r>
      <w:r>
        <w:rPr>
          <w:i/>
          <w:sz w:val="24"/>
        </w:rPr>
        <w:t>Analysis of budgeting trends for capital development projects in</w:t>
      </w:r>
      <w:r>
        <w:rPr>
          <w:i/>
          <w:spacing w:val="40"/>
          <w:sz w:val="24"/>
        </w:rPr>
        <w:t> </w:t>
      </w:r>
      <w:r>
        <w:rPr>
          <w:i/>
          <w:sz w:val="24"/>
        </w:rPr>
        <w:t>Bauchi State local governments areas (2006 – 2008) </w:t>
      </w:r>
      <w:r>
        <w:rPr>
          <w:sz w:val="24"/>
        </w:rPr>
        <w:t>(Unpublished B.tech thesis), Department of Quantity Surveying, Abubakar Tafawa Balewa University, Bauchi, Nigeria.</w:t>
      </w:r>
    </w:p>
    <w:p>
      <w:pPr>
        <w:pStyle w:val="BodyText"/>
        <w:tabs>
          <w:tab w:pos="1375" w:val="left" w:leader="none"/>
          <w:tab w:pos="2137" w:val="left" w:leader="none"/>
          <w:tab w:pos="3380" w:val="left" w:leader="none"/>
          <w:tab w:pos="4296" w:val="left" w:leader="none"/>
          <w:tab w:pos="5587" w:val="left" w:leader="none"/>
          <w:tab w:pos="6328" w:val="left" w:leader="none"/>
          <w:tab w:pos="7532" w:val="left" w:leader="none"/>
          <w:tab w:pos="9007" w:val="left" w:leader="none"/>
        </w:tabs>
        <w:spacing w:before="192"/>
        <w:ind w:left="571" w:right="1122" w:hanging="452"/>
      </w:pPr>
      <w:r>
        <w:rPr>
          <w:spacing w:val="-2"/>
        </w:rPr>
        <w:t>Muller,</w:t>
      </w:r>
      <w:r>
        <w:rPr/>
        <w:tab/>
      </w:r>
      <w:r>
        <w:rPr>
          <w:spacing w:val="-6"/>
        </w:rPr>
        <w:t>R.</w:t>
      </w:r>
      <w:r>
        <w:rPr/>
        <w:tab/>
      </w:r>
      <w:r>
        <w:rPr>
          <w:spacing w:val="-2"/>
        </w:rPr>
        <w:t>(2016).</w:t>
      </w:r>
      <w:r>
        <w:rPr/>
        <w:tab/>
      </w:r>
      <w:r>
        <w:rPr>
          <w:spacing w:val="-4"/>
        </w:rPr>
        <w:t>The</w:t>
      </w:r>
      <w:r>
        <w:rPr/>
        <w:tab/>
      </w:r>
      <w:r>
        <w:rPr>
          <w:spacing w:val="-2"/>
        </w:rPr>
        <w:t>concept</w:t>
      </w:r>
      <w:r>
        <w:rPr/>
        <w:tab/>
      </w:r>
      <w:r>
        <w:rPr>
          <w:spacing w:val="-6"/>
        </w:rPr>
        <w:t>of</w:t>
      </w:r>
      <w:r>
        <w:rPr/>
        <w:tab/>
      </w:r>
      <w:r>
        <w:rPr>
          <w:spacing w:val="-2"/>
        </w:rPr>
        <w:t>model.</w:t>
      </w:r>
      <w:r>
        <w:rPr/>
        <w:tab/>
      </w:r>
      <w:r>
        <w:rPr>
          <w:spacing w:val="-2"/>
        </w:rPr>
        <w:t>Retrieved</w:t>
      </w:r>
      <w:r>
        <w:rPr/>
        <w:tab/>
      </w:r>
      <w:r>
        <w:rPr>
          <w:spacing w:val="-4"/>
        </w:rPr>
        <w:t>from </w:t>
      </w:r>
      <w:hyperlink r:id="rId238">
        <w:r>
          <w:rPr>
            <w:spacing w:val="-2"/>
          </w:rPr>
          <w:t>http://www.muellerscience.com/ENGLISH/Theconceptofmodel.definitions.htm</w:t>
        </w:r>
      </w:hyperlink>
    </w:p>
    <w:p>
      <w:pPr>
        <w:spacing w:before="276"/>
        <w:ind w:left="47" w:right="1002" w:firstLine="0"/>
        <w:jc w:val="center"/>
        <w:rPr>
          <w:i/>
          <w:sz w:val="24"/>
        </w:rPr>
      </w:pPr>
      <w:r>
        <w:rPr>
          <w:sz w:val="24"/>
        </w:rPr>
        <w:t>Nahiduzzaman,</w:t>
      </w:r>
      <w:r>
        <w:rPr>
          <w:spacing w:val="75"/>
          <w:sz w:val="24"/>
        </w:rPr>
        <w:t> </w:t>
      </w:r>
      <w:r>
        <w:rPr>
          <w:sz w:val="24"/>
        </w:rPr>
        <w:t>K.</w:t>
      </w:r>
      <w:r>
        <w:rPr>
          <w:spacing w:val="78"/>
          <w:sz w:val="24"/>
        </w:rPr>
        <w:t> </w:t>
      </w:r>
      <w:r>
        <w:rPr>
          <w:sz w:val="24"/>
        </w:rPr>
        <w:t>M.</w:t>
      </w:r>
      <w:r>
        <w:rPr>
          <w:spacing w:val="76"/>
          <w:sz w:val="24"/>
        </w:rPr>
        <w:t> </w:t>
      </w:r>
      <w:r>
        <w:rPr>
          <w:sz w:val="24"/>
        </w:rPr>
        <w:t>(2006).</w:t>
      </w:r>
      <w:r>
        <w:rPr>
          <w:spacing w:val="79"/>
          <w:sz w:val="24"/>
        </w:rPr>
        <w:t> </w:t>
      </w:r>
      <w:r>
        <w:rPr>
          <w:i/>
          <w:sz w:val="24"/>
        </w:rPr>
        <w:t>Housing</w:t>
      </w:r>
      <w:r>
        <w:rPr>
          <w:i/>
          <w:spacing w:val="79"/>
          <w:sz w:val="24"/>
        </w:rPr>
        <w:t> </w:t>
      </w:r>
      <w:r>
        <w:rPr>
          <w:i/>
          <w:sz w:val="24"/>
        </w:rPr>
        <w:t>the</w:t>
      </w:r>
      <w:r>
        <w:rPr>
          <w:i/>
          <w:spacing w:val="78"/>
          <w:sz w:val="24"/>
        </w:rPr>
        <w:t> </w:t>
      </w:r>
      <w:r>
        <w:rPr>
          <w:i/>
          <w:sz w:val="24"/>
        </w:rPr>
        <w:t>Urban</w:t>
      </w:r>
      <w:r>
        <w:rPr>
          <w:i/>
          <w:spacing w:val="78"/>
          <w:sz w:val="24"/>
        </w:rPr>
        <w:t> </w:t>
      </w:r>
      <w:r>
        <w:rPr>
          <w:i/>
          <w:sz w:val="24"/>
        </w:rPr>
        <w:t>Poor:</w:t>
      </w:r>
      <w:r>
        <w:rPr>
          <w:i/>
          <w:spacing w:val="77"/>
          <w:sz w:val="24"/>
        </w:rPr>
        <w:t> </w:t>
      </w:r>
      <w:r>
        <w:rPr>
          <w:i/>
          <w:sz w:val="24"/>
        </w:rPr>
        <w:t>Planning,</w:t>
      </w:r>
      <w:r>
        <w:rPr>
          <w:i/>
          <w:spacing w:val="76"/>
          <w:sz w:val="24"/>
        </w:rPr>
        <w:t> </w:t>
      </w:r>
      <w:r>
        <w:rPr>
          <w:i/>
          <w:sz w:val="24"/>
        </w:rPr>
        <w:t>business</w:t>
      </w:r>
      <w:r>
        <w:rPr>
          <w:i/>
          <w:spacing w:val="79"/>
          <w:sz w:val="24"/>
        </w:rPr>
        <w:t> </w:t>
      </w:r>
      <w:r>
        <w:rPr>
          <w:i/>
          <w:sz w:val="24"/>
        </w:rPr>
        <w:t>and</w:t>
      </w:r>
      <w:r>
        <w:rPr>
          <w:i/>
          <w:spacing w:val="78"/>
          <w:sz w:val="24"/>
        </w:rPr>
        <w:t> </w:t>
      </w:r>
      <w:r>
        <w:rPr>
          <w:i/>
          <w:spacing w:val="-2"/>
          <w:sz w:val="24"/>
        </w:rPr>
        <w:t>politics.</w:t>
      </w:r>
    </w:p>
    <w:p>
      <w:pPr>
        <w:pStyle w:val="BodyText"/>
        <w:spacing w:before="2"/>
        <w:ind w:right="868"/>
        <w:jc w:val="center"/>
      </w:pPr>
      <w:r>
        <w:rPr/>
        <w:t>(Unpublished</w:t>
      </w:r>
      <w:r>
        <w:rPr>
          <w:spacing w:val="-5"/>
        </w:rPr>
        <w:t> </w:t>
      </w:r>
      <w:r>
        <w:rPr/>
        <w:t>M.phil</w:t>
      </w:r>
      <w:r>
        <w:rPr>
          <w:spacing w:val="-1"/>
        </w:rPr>
        <w:t> </w:t>
      </w:r>
      <w:r>
        <w:rPr/>
        <w:t>thesis),</w:t>
      </w:r>
      <w:r>
        <w:rPr>
          <w:spacing w:val="-1"/>
        </w:rPr>
        <w:t> </w:t>
      </w:r>
      <w:r>
        <w:rPr/>
        <w:t>Norwegian</w:t>
      </w:r>
      <w:r>
        <w:rPr>
          <w:spacing w:val="-1"/>
        </w:rPr>
        <w:t> </w:t>
      </w:r>
      <w:r>
        <w:rPr/>
        <w:t>University</w:t>
      </w:r>
      <w:r>
        <w:rPr>
          <w:spacing w:val="-7"/>
        </w:rPr>
        <w:t> </w:t>
      </w:r>
      <w:r>
        <w:rPr/>
        <w:t>of</w:t>
      </w:r>
      <w:r>
        <w:rPr>
          <w:spacing w:val="-1"/>
        </w:rPr>
        <w:t> </w:t>
      </w:r>
      <w:r>
        <w:rPr/>
        <w:t>Science</w:t>
      </w:r>
      <w:r>
        <w:rPr>
          <w:spacing w:val="-2"/>
        </w:rPr>
        <w:t> </w:t>
      </w:r>
      <w:r>
        <w:rPr/>
        <w:t>and</w:t>
      </w:r>
      <w:r>
        <w:rPr>
          <w:spacing w:val="1"/>
        </w:rPr>
        <w:t> </w:t>
      </w:r>
      <w:r>
        <w:rPr/>
        <w:t>Technology,</w:t>
      </w:r>
      <w:r>
        <w:rPr>
          <w:spacing w:val="-1"/>
        </w:rPr>
        <w:t> </w:t>
      </w:r>
      <w:r>
        <w:rPr>
          <w:spacing w:val="-2"/>
        </w:rPr>
        <w:t>Norway.</w:t>
      </w:r>
    </w:p>
    <w:p>
      <w:pPr>
        <w:spacing w:after="0"/>
        <w:jc w:val="center"/>
        <w:sectPr>
          <w:pgSz w:w="12240" w:h="15840"/>
          <w:pgMar w:header="0" w:footer="1036" w:top="1360" w:bottom="1220" w:left="1320" w:right="320"/>
        </w:sectPr>
      </w:pPr>
    </w:p>
    <w:p>
      <w:pPr>
        <w:spacing w:before="72"/>
        <w:ind w:left="571" w:right="1117" w:hanging="452"/>
        <w:jc w:val="both"/>
        <w:rPr>
          <w:sz w:val="24"/>
        </w:rPr>
      </w:pPr>
      <w:r>
        <w:rPr>
          <w:sz w:val="24"/>
        </w:rPr>
        <w:t>Nanni, A. J., Dixon, R., &amp; Vollmann, T.E. (1992). Integrated performance measurement: management</w:t>
      </w:r>
      <w:r>
        <w:rPr>
          <w:spacing w:val="-2"/>
          <w:sz w:val="24"/>
        </w:rPr>
        <w:t> </w:t>
      </w:r>
      <w:r>
        <w:rPr>
          <w:sz w:val="24"/>
        </w:rPr>
        <w:t>accounting</w:t>
      </w:r>
      <w:r>
        <w:rPr>
          <w:spacing w:val="-2"/>
          <w:sz w:val="24"/>
        </w:rPr>
        <w:t> </w:t>
      </w:r>
      <w:r>
        <w:rPr>
          <w:sz w:val="24"/>
        </w:rPr>
        <w:t>to</w:t>
      </w:r>
      <w:r>
        <w:rPr>
          <w:spacing w:val="-2"/>
          <w:sz w:val="24"/>
        </w:rPr>
        <w:t> </w:t>
      </w:r>
      <w:r>
        <w:rPr>
          <w:sz w:val="24"/>
        </w:rPr>
        <w:t>support</w:t>
      </w:r>
      <w:r>
        <w:rPr>
          <w:spacing w:val="-2"/>
          <w:sz w:val="24"/>
        </w:rPr>
        <w:t> </w:t>
      </w:r>
      <w:r>
        <w:rPr>
          <w:sz w:val="24"/>
        </w:rPr>
        <w:t>the</w:t>
      </w:r>
      <w:r>
        <w:rPr>
          <w:spacing w:val="-3"/>
          <w:sz w:val="24"/>
        </w:rPr>
        <w:t> </w:t>
      </w:r>
      <w:r>
        <w:rPr>
          <w:sz w:val="24"/>
        </w:rPr>
        <w:t>new</w:t>
      </w:r>
      <w:r>
        <w:rPr>
          <w:spacing w:val="-3"/>
          <w:sz w:val="24"/>
        </w:rPr>
        <w:t> </w:t>
      </w:r>
      <w:r>
        <w:rPr>
          <w:sz w:val="24"/>
        </w:rPr>
        <w:t>manufacturing</w:t>
      </w:r>
      <w:r>
        <w:rPr>
          <w:spacing w:val="-5"/>
          <w:sz w:val="24"/>
        </w:rPr>
        <w:t> </w:t>
      </w:r>
      <w:r>
        <w:rPr>
          <w:sz w:val="24"/>
        </w:rPr>
        <w:t>realities. </w:t>
      </w:r>
      <w:r>
        <w:rPr>
          <w:i/>
          <w:sz w:val="24"/>
        </w:rPr>
        <w:t>Journal</w:t>
      </w:r>
      <w:r>
        <w:rPr>
          <w:i/>
          <w:spacing w:val="-2"/>
          <w:sz w:val="24"/>
        </w:rPr>
        <w:t> </w:t>
      </w:r>
      <w:r>
        <w:rPr>
          <w:i/>
          <w:sz w:val="24"/>
        </w:rPr>
        <w:t>of</w:t>
      </w:r>
      <w:r>
        <w:rPr>
          <w:i/>
          <w:spacing w:val="-2"/>
          <w:sz w:val="24"/>
        </w:rPr>
        <w:t> </w:t>
      </w:r>
      <w:r>
        <w:rPr>
          <w:i/>
          <w:sz w:val="24"/>
        </w:rPr>
        <w:t>Management Accounting Research</w:t>
      </w:r>
      <w:r>
        <w:rPr>
          <w:sz w:val="24"/>
        </w:rPr>
        <w:t>, 4, 1-19.</w:t>
      </w:r>
    </w:p>
    <w:p>
      <w:pPr>
        <w:pStyle w:val="BodyText"/>
      </w:pPr>
    </w:p>
    <w:p>
      <w:pPr>
        <w:spacing w:before="0"/>
        <w:ind w:left="571" w:right="1120" w:hanging="452"/>
        <w:jc w:val="both"/>
        <w:rPr>
          <w:sz w:val="24"/>
        </w:rPr>
      </w:pPr>
      <w:r>
        <w:rPr>
          <w:sz w:val="24"/>
        </w:rPr>
        <w:t>Nassar, D.M.(2013)</w:t>
      </w:r>
      <w:r>
        <w:rPr>
          <w:i/>
          <w:sz w:val="24"/>
        </w:rPr>
        <w:t>. Theoretical definitions of housing</w:t>
      </w:r>
      <w:r>
        <w:rPr>
          <w:sz w:val="24"/>
        </w:rPr>
        <w:t>. Egypt: Pharos University, Faculty of Engineering Architectural Engineering.</w:t>
      </w:r>
    </w:p>
    <w:p>
      <w:pPr>
        <w:pStyle w:val="BodyText"/>
      </w:pPr>
    </w:p>
    <w:p>
      <w:pPr>
        <w:spacing w:before="0"/>
        <w:ind w:left="571" w:right="1118" w:hanging="452"/>
        <w:jc w:val="both"/>
        <w:rPr>
          <w:sz w:val="24"/>
        </w:rPr>
      </w:pPr>
      <w:r>
        <w:rPr>
          <w:sz w:val="24"/>
        </w:rPr>
        <w:t>Natchez, P., &amp; Bupp, I.C. (1973). Policy and priority in the budgetary process. </w:t>
      </w:r>
      <w:r>
        <w:rPr>
          <w:i/>
          <w:sz w:val="24"/>
        </w:rPr>
        <w:t>American Political Science Review, </w:t>
      </w:r>
      <w:r>
        <w:rPr>
          <w:sz w:val="24"/>
        </w:rPr>
        <w:t>67 (3), 951–963.</w:t>
      </w:r>
    </w:p>
    <w:p>
      <w:pPr>
        <w:pStyle w:val="BodyText"/>
      </w:pPr>
    </w:p>
    <w:p>
      <w:pPr>
        <w:spacing w:before="0"/>
        <w:ind w:left="571" w:right="1121" w:hanging="452"/>
        <w:jc w:val="both"/>
        <w:rPr>
          <w:sz w:val="24"/>
        </w:rPr>
      </w:pPr>
      <w:r>
        <w:rPr>
          <w:sz w:val="24"/>
        </w:rPr>
        <w:t>National Bureau of Statistics (NBS). (2007). </w:t>
      </w:r>
      <w:r>
        <w:rPr>
          <w:i/>
          <w:sz w:val="24"/>
        </w:rPr>
        <w:t>The middle class in Nigeria; Analysis of profile, determinants and characteristics, 1980–2007</w:t>
      </w:r>
      <w:r>
        <w:rPr>
          <w:sz w:val="24"/>
        </w:rPr>
        <w:t>. Abuja: NBS.</w:t>
      </w:r>
    </w:p>
    <w:p>
      <w:pPr>
        <w:pStyle w:val="BodyText"/>
        <w:spacing w:line="592" w:lineRule="exact" w:before="27"/>
        <w:ind w:left="120" w:right="1117"/>
        <w:rPr>
          <w:i/>
        </w:rPr>
      </w:pPr>
      <w:r>
        <w:rPr/>
        <w:t>National Bureau of Statistics. (2012). Poverty and livelihood in Anambra State. Abuja: Author. National</w:t>
      </w:r>
      <w:r>
        <w:rPr>
          <w:spacing w:val="-4"/>
        </w:rPr>
        <w:t> </w:t>
      </w:r>
      <w:r>
        <w:rPr/>
        <w:t>Economic</w:t>
      </w:r>
      <w:r>
        <w:rPr>
          <w:spacing w:val="-3"/>
        </w:rPr>
        <w:t> </w:t>
      </w:r>
      <w:r>
        <w:rPr/>
        <w:t>Empowerment</w:t>
      </w:r>
      <w:r>
        <w:rPr>
          <w:spacing w:val="-2"/>
        </w:rPr>
        <w:t> </w:t>
      </w:r>
      <w:r>
        <w:rPr/>
        <w:t>and</w:t>
      </w:r>
      <w:r>
        <w:rPr>
          <w:spacing w:val="-4"/>
        </w:rPr>
        <w:t> </w:t>
      </w:r>
      <w:r>
        <w:rPr/>
        <w:t>Development</w:t>
      </w:r>
      <w:r>
        <w:rPr>
          <w:spacing w:val="-4"/>
        </w:rPr>
        <w:t> </w:t>
      </w:r>
      <w:r>
        <w:rPr/>
        <w:t>Strategy</w:t>
      </w:r>
      <w:r>
        <w:rPr>
          <w:spacing w:val="-7"/>
        </w:rPr>
        <w:t> </w:t>
      </w:r>
      <w:r>
        <w:rPr/>
        <w:t>(NEEDS).</w:t>
      </w:r>
      <w:r>
        <w:rPr>
          <w:spacing w:val="-3"/>
        </w:rPr>
        <w:t> </w:t>
      </w:r>
      <w:r>
        <w:rPr/>
        <w:t>(2004).</w:t>
      </w:r>
      <w:r>
        <w:rPr>
          <w:spacing w:val="-2"/>
        </w:rPr>
        <w:t> </w:t>
      </w:r>
      <w:r>
        <w:rPr>
          <w:i/>
        </w:rPr>
        <w:t>Urbanization</w:t>
      </w:r>
      <w:r>
        <w:rPr>
          <w:i/>
          <w:spacing w:val="-4"/>
        </w:rPr>
        <w:t> </w:t>
      </w:r>
      <w:r>
        <w:rPr>
          <w:i/>
        </w:rPr>
        <w:t>in</w:t>
      </w:r>
    </w:p>
    <w:p>
      <w:pPr>
        <w:pStyle w:val="BodyText"/>
        <w:spacing w:line="210" w:lineRule="exact"/>
        <w:ind w:left="571"/>
      </w:pPr>
      <w:r>
        <w:rPr>
          <w:i/>
        </w:rPr>
        <w:t>Nigeria</w:t>
      </w:r>
      <w:r>
        <w:rPr/>
        <w:t>.</w:t>
      </w:r>
      <w:r>
        <w:rPr>
          <w:spacing w:val="-1"/>
        </w:rPr>
        <w:t> </w:t>
      </w:r>
      <w:r>
        <w:rPr/>
        <w:t>Abuja:</w:t>
      </w:r>
      <w:r>
        <w:rPr>
          <w:spacing w:val="-1"/>
        </w:rPr>
        <w:t> </w:t>
      </w:r>
      <w:r>
        <w:rPr/>
        <w:t>National Planning</w:t>
      </w:r>
      <w:r>
        <w:rPr>
          <w:spacing w:val="-3"/>
        </w:rPr>
        <w:t> </w:t>
      </w:r>
      <w:r>
        <w:rPr>
          <w:spacing w:val="-2"/>
        </w:rPr>
        <w:t>Commission.</w:t>
      </w:r>
    </w:p>
    <w:p>
      <w:pPr>
        <w:pStyle w:val="BodyText"/>
        <w:spacing w:before="43"/>
      </w:pPr>
    </w:p>
    <w:p>
      <w:pPr>
        <w:spacing w:before="1"/>
        <w:ind w:left="120" w:right="0" w:firstLine="0"/>
        <w:jc w:val="left"/>
        <w:rPr>
          <w:sz w:val="24"/>
        </w:rPr>
      </w:pPr>
      <w:r>
        <w:rPr>
          <w:sz w:val="24"/>
        </w:rPr>
        <w:t>National</w:t>
      </w:r>
      <w:r>
        <w:rPr>
          <w:spacing w:val="4"/>
          <w:sz w:val="24"/>
        </w:rPr>
        <w:t> </w:t>
      </w:r>
      <w:r>
        <w:rPr>
          <w:sz w:val="24"/>
        </w:rPr>
        <w:t>Population</w:t>
      </w:r>
      <w:r>
        <w:rPr>
          <w:spacing w:val="4"/>
          <w:sz w:val="24"/>
        </w:rPr>
        <w:t> </w:t>
      </w:r>
      <w:r>
        <w:rPr>
          <w:sz w:val="24"/>
        </w:rPr>
        <w:t>Commission.</w:t>
      </w:r>
      <w:r>
        <w:rPr>
          <w:spacing w:val="4"/>
          <w:sz w:val="24"/>
        </w:rPr>
        <w:t> </w:t>
      </w:r>
      <w:r>
        <w:rPr>
          <w:sz w:val="24"/>
        </w:rPr>
        <w:t>(2006).</w:t>
      </w:r>
      <w:r>
        <w:rPr>
          <w:spacing w:val="5"/>
          <w:sz w:val="24"/>
        </w:rPr>
        <w:t> </w:t>
      </w:r>
      <w:r>
        <w:rPr>
          <w:i/>
          <w:sz w:val="24"/>
        </w:rPr>
        <w:t>Federal</w:t>
      </w:r>
      <w:r>
        <w:rPr>
          <w:i/>
          <w:spacing w:val="4"/>
          <w:sz w:val="24"/>
        </w:rPr>
        <w:t> </w:t>
      </w:r>
      <w:r>
        <w:rPr>
          <w:i/>
          <w:sz w:val="24"/>
        </w:rPr>
        <w:t>Republic</w:t>
      </w:r>
      <w:r>
        <w:rPr>
          <w:i/>
          <w:spacing w:val="3"/>
          <w:sz w:val="24"/>
        </w:rPr>
        <w:t> </w:t>
      </w:r>
      <w:r>
        <w:rPr>
          <w:i/>
          <w:sz w:val="24"/>
        </w:rPr>
        <w:t>of</w:t>
      </w:r>
      <w:r>
        <w:rPr>
          <w:i/>
          <w:spacing w:val="4"/>
          <w:sz w:val="24"/>
        </w:rPr>
        <w:t> </w:t>
      </w:r>
      <w:r>
        <w:rPr>
          <w:i/>
          <w:sz w:val="24"/>
        </w:rPr>
        <w:t>Nigeria</w:t>
      </w:r>
      <w:r>
        <w:rPr>
          <w:i/>
          <w:spacing w:val="3"/>
          <w:sz w:val="24"/>
        </w:rPr>
        <w:t> </w:t>
      </w:r>
      <w:r>
        <w:rPr>
          <w:i/>
          <w:sz w:val="24"/>
        </w:rPr>
        <w:t>Official</w:t>
      </w:r>
      <w:r>
        <w:rPr>
          <w:i/>
          <w:spacing w:val="4"/>
          <w:sz w:val="24"/>
        </w:rPr>
        <w:t> </w:t>
      </w:r>
      <w:r>
        <w:rPr>
          <w:i/>
          <w:sz w:val="24"/>
        </w:rPr>
        <w:t>Gazette,</w:t>
      </w:r>
      <w:r>
        <w:rPr>
          <w:i/>
          <w:spacing w:val="8"/>
          <w:sz w:val="24"/>
        </w:rPr>
        <w:t> </w:t>
      </w:r>
      <w:r>
        <w:rPr>
          <w:sz w:val="24"/>
        </w:rPr>
        <w:t>96(2)</w:t>
      </w:r>
      <w:r>
        <w:rPr>
          <w:spacing w:val="5"/>
          <w:sz w:val="24"/>
        </w:rPr>
        <w:t> </w:t>
      </w:r>
      <w:r>
        <w:rPr>
          <w:spacing w:val="-5"/>
          <w:sz w:val="24"/>
        </w:rPr>
        <w:t>B,</w:t>
      </w:r>
    </w:p>
    <w:p>
      <w:pPr>
        <w:pStyle w:val="BodyText"/>
        <w:spacing w:before="43"/>
        <w:ind w:left="571"/>
      </w:pPr>
      <w:r>
        <w:rPr/>
        <w:t>923).</w:t>
      </w:r>
      <w:r>
        <w:rPr>
          <w:spacing w:val="-2"/>
        </w:rPr>
        <w:t> </w:t>
      </w:r>
      <w:r>
        <w:rPr/>
        <w:t>Abuja:</w:t>
      </w:r>
      <w:r>
        <w:rPr>
          <w:spacing w:val="-1"/>
        </w:rPr>
        <w:t> </w:t>
      </w:r>
      <w:r>
        <w:rPr/>
        <w:t>Federal</w:t>
      </w:r>
      <w:r>
        <w:rPr>
          <w:spacing w:val="-1"/>
        </w:rPr>
        <w:t> </w:t>
      </w:r>
      <w:r>
        <w:rPr/>
        <w:t>Government </w:t>
      </w:r>
      <w:r>
        <w:rPr>
          <w:spacing w:val="-2"/>
        </w:rPr>
        <w:t>Printer.</w:t>
      </w:r>
    </w:p>
    <w:p>
      <w:pPr>
        <w:spacing w:before="247"/>
        <w:ind w:left="120" w:right="0" w:firstLine="0"/>
        <w:jc w:val="left"/>
        <w:rPr>
          <w:sz w:val="24"/>
        </w:rPr>
      </w:pPr>
      <w:r>
        <w:rPr>
          <w:sz w:val="24"/>
        </w:rPr>
        <w:t>Needleman,</w:t>
      </w:r>
      <w:r>
        <w:rPr>
          <w:spacing w:val="1"/>
          <w:sz w:val="24"/>
        </w:rPr>
        <w:t> </w:t>
      </w:r>
      <w:r>
        <w:rPr>
          <w:sz w:val="24"/>
        </w:rPr>
        <w:t>L.(1965).</w:t>
      </w:r>
      <w:r>
        <w:rPr>
          <w:spacing w:val="-2"/>
          <w:sz w:val="24"/>
        </w:rPr>
        <w:t> </w:t>
      </w:r>
      <w:r>
        <w:rPr>
          <w:i/>
          <w:sz w:val="24"/>
        </w:rPr>
        <w:t>The</w:t>
      </w:r>
      <w:r>
        <w:rPr>
          <w:i/>
          <w:spacing w:val="-1"/>
          <w:sz w:val="24"/>
        </w:rPr>
        <w:t> </w:t>
      </w:r>
      <w:r>
        <w:rPr>
          <w:i/>
          <w:sz w:val="24"/>
        </w:rPr>
        <w:t>economics</w:t>
      </w:r>
      <w:r>
        <w:rPr>
          <w:i/>
          <w:spacing w:val="-1"/>
          <w:sz w:val="24"/>
        </w:rPr>
        <w:t> </w:t>
      </w:r>
      <w:r>
        <w:rPr>
          <w:i/>
          <w:sz w:val="24"/>
        </w:rPr>
        <w:t>of</w:t>
      </w:r>
      <w:r>
        <w:rPr>
          <w:i/>
          <w:spacing w:val="-1"/>
          <w:sz w:val="24"/>
        </w:rPr>
        <w:t> </w:t>
      </w:r>
      <w:r>
        <w:rPr>
          <w:i/>
          <w:sz w:val="24"/>
        </w:rPr>
        <w:t>housing</w:t>
      </w:r>
      <w:r>
        <w:rPr>
          <w:sz w:val="24"/>
        </w:rPr>
        <w:t>.</w:t>
      </w:r>
      <w:r>
        <w:rPr>
          <w:spacing w:val="-1"/>
          <w:sz w:val="24"/>
        </w:rPr>
        <w:t> </w:t>
      </w:r>
      <w:r>
        <w:rPr>
          <w:sz w:val="24"/>
        </w:rPr>
        <w:t>London:</w:t>
      </w:r>
      <w:r>
        <w:rPr>
          <w:spacing w:val="-1"/>
          <w:sz w:val="24"/>
        </w:rPr>
        <w:t> </w:t>
      </w:r>
      <w:r>
        <w:rPr>
          <w:sz w:val="24"/>
        </w:rPr>
        <w:t>Staple</w:t>
      </w:r>
      <w:r>
        <w:rPr>
          <w:spacing w:val="-1"/>
          <w:sz w:val="24"/>
        </w:rPr>
        <w:t> </w:t>
      </w:r>
      <w:r>
        <w:rPr>
          <w:spacing w:val="-2"/>
          <w:sz w:val="24"/>
        </w:rPr>
        <w:t>Press.</w:t>
      </w:r>
    </w:p>
    <w:p>
      <w:pPr>
        <w:pStyle w:val="BodyText"/>
        <w:spacing w:before="137"/>
        <w:ind w:left="120"/>
      </w:pPr>
      <w:r>
        <w:rPr/>
        <w:t>Neely,</w:t>
      </w:r>
      <w:r>
        <w:rPr>
          <w:spacing w:val="62"/>
          <w:w w:val="150"/>
        </w:rPr>
        <w:t> </w:t>
      </w:r>
      <w:r>
        <w:rPr/>
        <w:t>A.</w:t>
      </w:r>
      <w:r>
        <w:rPr>
          <w:spacing w:val="64"/>
          <w:w w:val="150"/>
        </w:rPr>
        <w:t> </w:t>
      </w:r>
      <w:r>
        <w:rPr/>
        <w:t>(1999).</w:t>
      </w:r>
      <w:r>
        <w:rPr>
          <w:spacing w:val="64"/>
          <w:w w:val="150"/>
        </w:rPr>
        <w:t> </w:t>
      </w:r>
      <w:r>
        <w:rPr/>
        <w:t>The</w:t>
      </w:r>
      <w:r>
        <w:rPr>
          <w:spacing w:val="65"/>
          <w:w w:val="150"/>
        </w:rPr>
        <w:t> </w:t>
      </w:r>
      <w:r>
        <w:rPr/>
        <w:t>performance</w:t>
      </w:r>
      <w:r>
        <w:rPr>
          <w:spacing w:val="63"/>
          <w:w w:val="150"/>
        </w:rPr>
        <w:t> </w:t>
      </w:r>
      <w:r>
        <w:rPr/>
        <w:t>measurement</w:t>
      </w:r>
      <w:r>
        <w:rPr>
          <w:spacing w:val="64"/>
          <w:w w:val="150"/>
        </w:rPr>
        <w:t> </w:t>
      </w:r>
      <w:r>
        <w:rPr/>
        <w:t>revolution:</w:t>
      </w:r>
      <w:r>
        <w:rPr>
          <w:spacing w:val="65"/>
          <w:w w:val="150"/>
        </w:rPr>
        <w:t> </w:t>
      </w:r>
      <w:r>
        <w:rPr/>
        <w:t>why</w:t>
      </w:r>
      <w:r>
        <w:rPr>
          <w:spacing w:val="62"/>
          <w:w w:val="150"/>
        </w:rPr>
        <w:t> </w:t>
      </w:r>
      <w:r>
        <w:rPr/>
        <w:t>now</w:t>
      </w:r>
      <w:r>
        <w:rPr>
          <w:spacing w:val="64"/>
          <w:w w:val="150"/>
        </w:rPr>
        <w:t> </w:t>
      </w:r>
      <w:r>
        <w:rPr/>
        <w:t>and</w:t>
      </w:r>
      <w:r>
        <w:rPr>
          <w:spacing w:val="64"/>
          <w:w w:val="150"/>
        </w:rPr>
        <w:t> </w:t>
      </w:r>
      <w:r>
        <w:rPr/>
        <w:t>what</w:t>
      </w:r>
      <w:r>
        <w:rPr>
          <w:spacing w:val="66"/>
          <w:w w:val="150"/>
        </w:rPr>
        <w:t> </w:t>
      </w:r>
      <w:r>
        <w:rPr>
          <w:spacing w:val="-2"/>
        </w:rPr>
        <w:t>next?</w:t>
      </w:r>
    </w:p>
    <w:p>
      <w:pPr>
        <w:spacing w:before="0"/>
        <w:ind w:left="571" w:right="0" w:firstLine="0"/>
        <w:jc w:val="left"/>
        <w:rPr>
          <w:sz w:val="24"/>
        </w:rPr>
      </w:pPr>
      <w:r>
        <w:rPr>
          <w:i/>
          <w:sz w:val="24"/>
        </w:rPr>
        <w:t>International</w:t>
      </w:r>
      <w:r>
        <w:rPr>
          <w:i/>
          <w:spacing w:val="-3"/>
          <w:sz w:val="24"/>
        </w:rPr>
        <w:t> </w:t>
      </w:r>
      <w:r>
        <w:rPr>
          <w:i/>
          <w:sz w:val="24"/>
        </w:rPr>
        <w:t>Journal of Operations</w:t>
      </w:r>
      <w:r>
        <w:rPr>
          <w:i/>
          <w:spacing w:val="3"/>
          <w:sz w:val="24"/>
        </w:rPr>
        <w:t> </w:t>
      </w:r>
      <w:r>
        <w:rPr>
          <w:i/>
          <w:sz w:val="24"/>
        </w:rPr>
        <w:t>&amp;</w:t>
      </w:r>
      <w:r>
        <w:rPr>
          <w:i/>
          <w:spacing w:val="-7"/>
          <w:sz w:val="24"/>
        </w:rPr>
        <w:t> </w:t>
      </w:r>
      <w:r>
        <w:rPr>
          <w:i/>
          <w:sz w:val="24"/>
        </w:rPr>
        <w:t>Production Management</w:t>
      </w:r>
      <w:r>
        <w:rPr>
          <w:sz w:val="24"/>
        </w:rPr>
        <w:t>,19(2), 205-</w:t>
      </w:r>
      <w:r>
        <w:rPr>
          <w:spacing w:val="-4"/>
          <w:sz w:val="24"/>
        </w:rPr>
        <w:t>228.</w:t>
      </w:r>
    </w:p>
    <w:p>
      <w:pPr>
        <w:pStyle w:val="BodyText"/>
        <w:spacing w:line="552" w:lineRule="exact" w:before="56"/>
        <w:ind w:left="120" w:right="1117"/>
      </w:pPr>
      <w:r>
        <w:rPr/>
        <w:t>NHP. (2006). National Housing Policy of the Federal Republic of Nigeria. pp 1-17.Abuja: FGN Nnanna,S.</w:t>
      </w:r>
      <w:r>
        <w:rPr>
          <w:spacing w:val="20"/>
        </w:rPr>
        <w:t> </w:t>
      </w:r>
      <w:r>
        <w:rPr/>
        <w:t>(2010).</w:t>
      </w:r>
      <w:r>
        <w:rPr>
          <w:spacing w:val="22"/>
        </w:rPr>
        <w:t> </w:t>
      </w:r>
      <w:r>
        <w:rPr/>
        <w:t>Citizen</w:t>
      </w:r>
      <w:r>
        <w:rPr>
          <w:spacing w:val="22"/>
        </w:rPr>
        <w:t> </w:t>
      </w:r>
      <w:r>
        <w:rPr/>
        <w:t>participation</w:t>
      </w:r>
      <w:r>
        <w:rPr>
          <w:spacing w:val="22"/>
        </w:rPr>
        <w:t> </w:t>
      </w:r>
      <w:r>
        <w:rPr/>
        <w:t>as</w:t>
      </w:r>
      <w:r>
        <w:rPr>
          <w:spacing w:val="23"/>
        </w:rPr>
        <w:t> </w:t>
      </w:r>
      <w:r>
        <w:rPr/>
        <w:t>strategy</w:t>
      </w:r>
      <w:r>
        <w:rPr>
          <w:spacing w:val="20"/>
        </w:rPr>
        <w:t> </w:t>
      </w:r>
      <w:r>
        <w:rPr/>
        <w:t>for</w:t>
      </w:r>
      <w:r>
        <w:rPr>
          <w:spacing w:val="22"/>
        </w:rPr>
        <w:t> </w:t>
      </w:r>
      <w:r>
        <w:rPr/>
        <w:t>community</w:t>
      </w:r>
      <w:r>
        <w:rPr>
          <w:spacing w:val="17"/>
        </w:rPr>
        <w:t> </w:t>
      </w:r>
      <w:r>
        <w:rPr/>
        <w:t>development.</w:t>
      </w:r>
      <w:r>
        <w:rPr>
          <w:spacing w:val="25"/>
        </w:rPr>
        <w:t> </w:t>
      </w:r>
      <w:r>
        <w:rPr/>
        <w:t>In</w:t>
      </w:r>
      <w:r>
        <w:rPr>
          <w:spacing w:val="22"/>
        </w:rPr>
        <w:t> </w:t>
      </w:r>
      <w:r>
        <w:rPr/>
        <w:t>J.</w:t>
      </w:r>
      <w:r>
        <w:rPr>
          <w:spacing w:val="22"/>
        </w:rPr>
        <w:t> </w:t>
      </w:r>
      <w:r>
        <w:rPr/>
        <w:t>Eyisi,</w:t>
      </w:r>
      <w:r>
        <w:rPr>
          <w:spacing w:val="23"/>
        </w:rPr>
        <w:t> </w:t>
      </w:r>
      <w:r>
        <w:rPr>
          <w:spacing w:val="-5"/>
        </w:rPr>
        <w:t>E.</w:t>
      </w:r>
    </w:p>
    <w:p>
      <w:pPr>
        <w:spacing w:line="218" w:lineRule="exact" w:before="0"/>
        <w:ind w:left="571" w:right="0" w:firstLine="0"/>
        <w:jc w:val="left"/>
        <w:rPr>
          <w:i/>
          <w:sz w:val="24"/>
        </w:rPr>
      </w:pPr>
      <w:r>
        <w:rPr>
          <w:sz w:val="24"/>
        </w:rPr>
        <w:t>Obienusi,</w:t>
      </w:r>
      <w:r>
        <w:rPr>
          <w:spacing w:val="25"/>
          <w:sz w:val="24"/>
        </w:rPr>
        <w:t> </w:t>
      </w:r>
      <w:r>
        <w:rPr>
          <w:sz w:val="24"/>
        </w:rPr>
        <w:t>E.</w:t>
      </w:r>
      <w:r>
        <w:rPr>
          <w:spacing w:val="24"/>
          <w:sz w:val="24"/>
        </w:rPr>
        <w:t> </w:t>
      </w:r>
      <w:r>
        <w:rPr>
          <w:sz w:val="24"/>
        </w:rPr>
        <w:t>Omazu</w:t>
      </w:r>
      <w:r>
        <w:rPr>
          <w:spacing w:val="26"/>
          <w:sz w:val="24"/>
        </w:rPr>
        <w:t> </w:t>
      </w:r>
      <w:r>
        <w:rPr>
          <w:sz w:val="24"/>
        </w:rPr>
        <w:t>(Eds.),</w:t>
      </w:r>
      <w:r>
        <w:rPr>
          <w:spacing w:val="27"/>
          <w:sz w:val="24"/>
        </w:rPr>
        <w:t> </w:t>
      </w:r>
      <w:r>
        <w:rPr>
          <w:i/>
          <w:sz w:val="24"/>
        </w:rPr>
        <w:t>Celebration</w:t>
      </w:r>
      <w:r>
        <w:rPr>
          <w:i/>
          <w:spacing w:val="26"/>
          <w:sz w:val="24"/>
        </w:rPr>
        <w:t> </w:t>
      </w:r>
      <w:r>
        <w:rPr>
          <w:i/>
          <w:sz w:val="24"/>
        </w:rPr>
        <w:t>of</w:t>
      </w:r>
      <w:r>
        <w:rPr>
          <w:i/>
          <w:spacing w:val="25"/>
          <w:sz w:val="24"/>
        </w:rPr>
        <w:t> </w:t>
      </w:r>
      <w:r>
        <w:rPr>
          <w:i/>
          <w:sz w:val="24"/>
        </w:rPr>
        <w:t>Academic</w:t>
      </w:r>
      <w:r>
        <w:rPr>
          <w:i/>
          <w:spacing w:val="25"/>
          <w:sz w:val="24"/>
        </w:rPr>
        <w:t> </w:t>
      </w:r>
      <w:r>
        <w:rPr>
          <w:i/>
          <w:sz w:val="24"/>
        </w:rPr>
        <w:t>Excellence:</w:t>
      </w:r>
      <w:r>
        <w:rPr>
          <w:i/>
          <w:spacing w:val="24"/>
          <w:sz w:val="24"/>
        </w:rPr>
        <w:t> </w:t>
      </w:r>
      <w:r>
        <w:rPr>
          <w:i/>
          <w:sz w:val="24"/>
        </w:rPr>
        <w:t>Festschrift</w:t>
      </w:r>
      <w:r>
        <w:rPr>
          <w:i/>
          <w:spacing w:val="26"/>
          <w:sz w:val="24"/>
        </w:rPr>
        <w:t> </w:t>
      </w:r>
      <w:r>
        <w:rPr>
          <w:i/>
          <w:sz w:val="24"/>
        </w:rPr>
        <w:t>in</w:t>
      </w:r>
      <w:r>
        <w:rPr>
          <w:i/>
          <w:spacing w:val="25"/>
          <w:sz w:val="24"/>
        </w:rPr>
        <w:t> </w:t>
      </w:r>
      <w:r>
        <w:rPr>
          <w:i/>
          <w:sz w:val="24"/>
        </w:rPr>
        <w:t>honour</w:t>
      </w:r>
      <w:r>
        <w:rPr>
          <w:i/>
          <w:spacing w:val="26"/>
          <w:sz w:val="24"/>
        </w:rPr>
        <w:t> </w:t>
      </w:r>
      <w:r>
        <w:rPr>
          <w:i/>
          <w:spacing w:val="-5"/>
          <w:sz w:val="24"/>
        </w:rPr>
        <w:t>of</w:t>
      </w:r>
    </w:p>
    <w:p>
      <w:pPr>
        <w:spacing w:before="3"/>
        <w:ind w:left="571" w:right="0" w:firstLine="0"/>
        <w:jc w:val="left"/>
        <w:rPr>
          <w:sz w:val="24"/>
        </w:rPr>
      </w:pPr>
      <w:r>
        <w:rPr>
          <w:i/>
          <w:sz w:val="24"/>
        </w:rPr>
        <w:t>Prof.</w:t>
      </w:r>
      <w:r>
        <w:rPr>
          <w:i/>
          <w:spacing w:val="-5"/>
          <w:sz w:val="24"/>
        </w:rPr>
        <w:t> </w:t>
      </w:r>
      <w:r>
        <w:rPr>
          <w:i/>
          <w:sz w:val="24"/>
        </w:rPr>
        <w:t>L.N</w:t>
      </w:r>
      <w:r>
        <w:rPr>
          <w:i/>
          <w:spacing w:val="-5"/>
          <w:sz w:val="24"/>
        </w:rPr>
        <w:t> </w:t>
      </w:r>
      <w:r>
        <w:rPr>
          <w:i/>
          <w:sz w:val="24"/>
        </w:rPr>
        <w:t>Muoghalu</w:t>
      </w:r>
      <w:r>
        <w:rPr>
          <w:i/>
          <w:spacing w:val="-4"/>
          <w:sz w:val="24"/>
        </w:rPr>
        <w:t> </w:t>
      </w:r>
      <w:r>
        <w:rPr>
          <w:sz w:val="24"/>
        </w:rPr>
        <w:t>(pp.475</w:t>
      </w:r>
      <w:r>
        <w:rPr>
          <w:spacing w:val="-4"/>
          <w:sz w:val="24"/>
        </w:rPr>
        <w:t> </w:t>
      </w:r>
      <w:r>
        <w:rPr>
          <w:sz w:val="24"/>
        </w:rPr>
        <w:t>–</w:t>
      </w:r>
      <w:r>
        <w:rPr>
          <w:spacing w:val="-5"/>
          <w:sz w:val="24"/>
        </w:rPr>
        <w:t> </w:t>
      </w:r>
      <w:r>
        <w:rPr>
          <w:sz w:val="24"/>
        </w:rPr>
        <w:t>479).</w:t>
      </w:r>
      <w:r>
        <w:rPr>
          <w:spacing w:val="-5"/>
          <w:sz w:val="24"/>
        </w:rPr>
        <w:t> </w:t>
      </w:r>
      <w:r>
        <w:rPr>
          <w:sz w:val="24"/>
        </w:rPr>
        <w:t>Uwani,</w:t>
      </w:r>
      <w:r>
        <w:rPr>
          <w:spacing w:val="-4"/>
          <w:sz w:val="24"/>
        </w:rPr>
        <w:t> </w:t>
      </w:r>
      <w:r>
        <w:rPr>
          <w:sz w:val="24"/>
        </w:rPr>
        <w:t>Enugu:</w:t>
      </w:r>
      <w:r>
        <w:rPr>
          <w:spacing w:val="-5"/>
          <w:sz w:val="24"/>
        </w:rPr>
        <w:t> </w:t>
      </w:r>
      <w:r>
        <w:rPr>
          <w:sz w:val="24"/>
        </w:rPr>
        <w:t>El</w:t>
      </w:r>
      <w:r>
        <w:rPr>
          <w:spacing w:val="-5"/>
          <w:sz w:val="24"/>
        </w:rPr>
        <w:t> </w:t>
      </w:r>
      <w:r>
        <w:rPr>
          <w:sz w:val="24"/>
        </w:rPr>
        <w:t>‗Demak</w:t>
      </w:r>
      <w:r>
        <w:rPr>
          <w:spacing w:val="-4"/>
          <w:sz w:val="24"/>
        </w:rPr>
        <w:t> </w:t>
      </w:r>
      <w:r>
        <w:rPr>
          <w:spacing w:val="-2"/>
          <w:sz w:val="24"/>
        </w:rPr>
        <w:t>Publishers.</w:t>
      </w:r>
    </w:p>
    <w:p>
      <w:pPr>
        <w:pStyle w:val="BodyText"/>
        <w:spacing w:before="14"/>
      </w:pPr>
    </w:p>
    <w:p>
      <w:pPr>
        <w:spacing w:line="242" w:lineRule="auto" w:before="0"/>
        <w:ind w:left="571" w:right="1124" w:hanging="452"/>
        <w:jc w:val="both"/>
        <w:rPr>
          <w:sz w:val="24"/>
        </w:rPr>
      </w:pPr>
      <w:r>
        <w:rPr>
          <w:sz w:val="24"/>
        </w:rPr>
        <w:t>Nongiba, A.K. (2008). </w:t>
      </w:r>
      <w:r>
        <w:rPr>
          <w:i/>
          <w:sz w:val="24"/>
        </w:rPr>
        <w:t>Impact of health and safety management on safety performance of SMEs in Ghana </w:t>
      </w:r>
      <w:r>
        <w:rPr>
          <w:sz w:val="24"/>
        </w:rPr>
        <w:t>(Unpublished doctoral thesis)</w:t>
      </w:r>
      <w:r>
        <w:rPr>
          <w:i/>
          <w:sz w:val="24"/>
        </w:rPr>
        <w:t>, </w:t>
      </w:r>
      <w:r>
        <w:rPr>
          <w:sz w:val="24"/>
        </w:rPr>
        <w:t>Loughborough University, UK.</w:t>
      </w:r>
    </w:p>
    <w:p>
      <w:pPr>
        <w:pStyle w:val="BodyText"/>
        <w:spacing w:before="194"/>
        <w:ind w:left="120"/>
      </w:pPr>
      <w:r>
        <w:rPr/>
        <w:t>Northern</w:t>
      </w:r>
      <w:r>
        <w:rPr>
          <w:spacing w:val="50"/>
          <w:w w:val="150"/>
        </w:rPr>
        <w:t> </w:t>
      </w:r>
      <w:r>
        <w:rPr/>
        <w:t>Ireland</w:t>
      </w:r>
      <w:r>
        <w:rPr>
          <w:spacing w:val="79"/>
        </w:rPr>
        <w:t> </w:t>
      </w:r>
      <w:r>
        <w:rPr/>
        <w:t>Assembly</w:t>
      </w:r>
      <w:r>
        <w:rPr>
          <w:spacing w:val="75"/>
        </w:rPr>
        <w:t> </w:t>
      </w:r>
      <w:r>
        <w:rPr/>
        <w:t>(NIA).</w:t>
      </w:r>
      <w:r>
        <w:rPr>
          <w:spacing w:val="79"/>
        </w:rPr>
        <w:t> </w:t>
      </w:r>
      <w:r>
        <w:rPr/>
        <w:t>(2010).</w:t>
      </w:r>
      <w:r>
        <w:rPr>
          <w:spacing w:val="52"/>
          <w:w w:val="150"/>
        </w:rPr>
        <w:t> </w:t>
      </w:r>
      <w:r>
        <w:rPr/>
        <w:t>Methods</w:t>
      </w:r>
      <w:r>
        <w:rPr>
          <w:spacing w:val="50"/>
          <w:w w:val="150"/>
        </w:rPr>
        <w:t> </w:t>
      </w:r>
      <w:r>
        <w:rPr/>
        <w:t>of</w:t>
      </w:r>
      <w:r>
        <w:rPr>
          <w:spacing w:val="79"/>
        </w:rPr>
        <w:t> </w:t>
      </w:r>
      <w:r>
        <w:rPr/>
        <w:t>budgeting.</w:t>
      </w:r>
      <w:r>
        <w:rPr>
          <w:spacing w:val="52"/>
          <w:w w:val="150"/>
        </w:rPr>
        <w:t> </w:t>
      </w:r>
      <w:r>
        <w:rPr/>
        <w:t>Research</w:t>
      </w:r>
      <w:r>
        <w:rPr>
          <w:spacing w:val="50"/>
          <w:w w:val="150"/>
        </w:rPr>
        <w:t> </w:t>
      </w:r>
      <w:r>
        <w:rPr/>
        <w:t>Paper</w:t>
      </w:r>
      <w:r>
        <w:rPr>
          <w:spacing w:val="80"/>
        </w:rPr>
        <w:t> </w:t>
      </w:r>
      <w:r>
        <w:rPr>
          <w:spacing w:val="-2"/>
        </w:rPr>
        <w:t>06/10.</w:t>
      </w:r>
    </w:p>
    <w:p>
      <w:pPr>
        <w:pStyle w:val="BodyText"/>
        <w:ind w:left="571"/>
      </w:pPr>
      <w:r>
        <w:rPr/>
        <w:t>Northern</w:t>
      </w:r>
      <w:r>
        <w:rPr>
          <w:spacing w:val="-3"/>
        </w:rPr>
        <w:t> </w:t>
      </w:r>
      <w:r>
        <w:rPr/>
        <w:t>Ireland:</w:t>
      </w:r>
      <w:r>
        <w:rPr>
          <w:spacing w:val="-2"/>
        </w:rPr>
        <w:t> </w:t>
      </w:r>
      <w:r>
        <w:rPr/>
        <w:t>Research</w:t>
      </w:r>
      <w:r>
        <w:rPr>
          <w:spacing w:val="-2"/>
        </w:rPr>
        <w:t> </w:t>
      </w:r>
      <w:r>
        <w:rPr/>
        <w:t>and Library</w:t>
      </w:r>
      <w:r>
        <w:rPr>
          <w:spacing w:val="-6"/>
        </w:rPr>
        <w:t> </w:t>
      </w:r>
      <w:r>
        <w:rPr>
          <w:spacing w:val="-2"/>
        </w:rPr>
        <w:t>Service.</w:t>
      </w:r>
    </w:p>
    <w:p>
      <w:pPr>
        <w:pStyle w:val="BodyText"/>
      </w:pPr>
    </w:p>
    <w:p>
      <w:pPr>
        <w:spacing w:before="1"/>
        <w:ind w:left="120" w:right="0" w:firstLine="0"/>
        <w:jc w:val="left"/>
        <w:rPr>
          <w:sz w:val="24"/>
        </w:rPr>
      </w:pPr>
      <w:r>
        <w:rPr>
          <w:sz w:val="24"/>
        </w:rPr>
        <w:t>Northern</w:t>
      </w:r>
      <w:r>
        <w:rPr>
          <w:spacing w:val="74"/>
          <w:w w:val="150"/>
          <w:sz w:val="24"/>
        </w:rPr>
        <w:t> </w:t>
      </w:r>
      <w:r>
        <w:rPr>
          <w:sz w:val="24"/>
        </w:rPr>
        <w:t>Territory</w:t>
      </w:r>
      <w:r>
        <w:rPr>
          <w:spacing w:val="71"/>
          <w:w w:val="150"/>
          <w:sz w:val="24"/>
        </w:rPr>
        <w:t> </w:t>
      </w:r>
      <w:r>
        <w:rPr>
          <w:sz w:val="24"/>
        </w:rPr>
        <w:t>Government.</w:t>
      </w:r>
      <w:r>
        <w:rPr>
          <w:spacing w:val="77"/>
          <w:w w:val="150"/>
          <w:sz w:val="24"/>
        </w:rPr>
        <w:t> </w:t>
      </w:r>
      <w:r>
        <w:rPr>
          <w:sz w:val="24"/>
        </w:rPr>
        <w:t>(2012).</w:t>
      </w:r>
      <w:r>
        <w:rPr>
          <w:spacing w:val="78"/>
          <w:w w:val="150"/>
          <w:sz w:val="24"/>
        </w:rPr>
        <w:t> </w:t>
      </w:r>
      <w:r>
        <w:rPr>
          <w:i/>
          <w:sz w:val="24"/>
        </w:rPr>
        <w:t>Performance</w:t>
      </w:r>
      <w:r>
        <w:rPr>
          <w:i/>
          <w:spacing w:val="75"/>
          <w:w w:val="150"/>
          <w:sz w:val="24"/>
        </w:rPr>
        <w:t> </w:t>
      </w:r>
      <w:r>
        <w:rPr>
          <w:i/>
          <w:sz w:val="24"/>
        </w:rPr>
        <w:t>indicators</w:t>
      </w:r>
      <w:r>
        <w:rPr>
          <w:sz w:val="24"/>
        </w:rPr>
        <w:t>-</w:t>
      </w:r>
      <w:r>
        <w:rPr>
          <w:spacing w:val="76"/>
          <w:w w:val="150"/>
          <w:sz w:val="24"/>
        </w:rPr>
        <w:t> </w:t>
      </w:r>
      <w:r>
        <w:rPr>
          <w:sz w:val="24"/>
        </w:rPr>
        <w:t>An</w:t>
      </w:r>
      <w:r>
        <w:rPr>
          <w:spacing w:val="76"/>
          <w:w w:val="150"/>
          <w:sz w:val="24"/>
        </w:rPr>
        <w:t> </w:t>
      </w:r>
      <w:r>
        <w:rPr>
          <w:sz w:val="24"/>
        </w:rPr>
        <w:t>information</w:t>
      </w:r>
      <w:r>
        <w:rPr>
          <w:spacing w:val="78"/>
          <w:w w:val="150"/>
          <w:sz w:val="24"/>
        </w:rPr>
        <w:t> </w:t>
      </w:r>
      <w:r>
        <w:rPr>
          <w:spacing w:val="-2"/>
          <w:sz w:val="24"/>
        </w:rPr>
        <w:t>paper.</w:t>
      </w:r>
    </w:p>
    <w:p>
      <w:pPr>
        <w:pStyle w:val="BodyText"/>
        <w:ind w:left="571"/>
      </w:pPr>
      <w:r>
        <w:rPr/>
        <w:t>Canberra,</w:t>
      </w:r>
      <w:r>
        <w:rPr>
          <w:spacing w:val="-2"/>
        </w:rPr>
        <w:t> </w:t>
      </w:r>
      <w:r>
        <w:rPr/>
        <w:t>Australia:</w:t>
      </w:r>
      <w:r>
        <w:rPr>
          <w:spacing w:val="-1"/>
        </w:rPr>
        <w:t> </w:t>
      </w:r>
      <w:r>
        <w:rPr/>
        <w:t>Department</w:t>
      </w:r>
      <w:r>
        <w:rPr>
          <w:spacing w:val="-1"/>
        </w:rPr>
        <w:t> </w:t>
      </w:r>
      <w:r>
        <w:rPr/>
        <w:t>of</w:t>
      </w:r>
      <w:r>
        <w:rPr>
          <w:spacing w:val="-1"/>
        </w:rPr>
        <w:t> </w:t>
      </w:r>
      <w:r>
        <w:rPr/>
        <w:t>Local</w:t>
      </w:r>
      <w:r>
        <w:rPr>
          <w:spacing w:val="-1"/>
        </w:rPr>
        <w:t> </w:t>
      </w:r>
      <w:r>
        <w:rPr/>
        <w:t>Government</w:t>
      </w:r>
      <w:r>
        <w:rPr>
          <w:spacing w:val="-1"/>
        </w:rPr>
        <w:t> </w:t>
      </w:r>
      <w:r>
        <w:rPr/>
        <w:t>and</w:t>
      </w:r>
      <w:r>
        <w:rPr>
          <w:spacing w:val="-1"/>
        </w:rPr>
        <w:t> </w:t>
      </w:r>
      <w:r>
        <w:rPr/>
        <w:t>Community</w:t>
      </w:r>
      <w:r>
        <w:rPr>
          <w:spacing w:val="-9"/>
        </w:rPr>
        <w:t> </w:t>
      </w:r>
      <w:r>
        <w:rPr>
          <w:spacing w:val="-2"/>
        </w:rPr>
        <w:t>Services.</w:t>
      </w:r>
    </w:p>
    <w:p>
      <w:pPr>
        <w:pStyle w:val="BodyText"/>
      </w:pPr>
    </w:p>
    <w:p>
      <w:pPr>
        <w:spacing w:before="0"/>
        <w:ind w:left="120" w:right="0" w:firstLine="0"/>
        <w:jc w:val="left"/>
        <w:rPr>
          <w:sz w:val="24"/>
        </w:rPr>
      </w:pPr>
      <w:r>
        <w:rPr>
          <w:sz w:val="24"/>
        </w:rPr>
        <w:t>NPC</w:t>
      </w:r>
      <w:r>
        <w:rPr>
          <w:spacing w:val="-1"/>
          <w:sz w:val="24"/>
        </w:rPr>
        <w:t> </w:t>
      </w:r>
      <w:r>
        <w:rPr>
          <w:sz w:val="24"/>
        </w:rPr>
        <w:t>(2006).</w:t>
      </w:r>
      <w:r>
        <w:rPr>
          <w:spacing w:val="-1"/>
          <w:sz w:val="24"/>
        </w:rPr>
        <w:t> </w:t>
      </w:r>
      <w:r>
        <w:rPr>
          <w:i/>
          <w:sz w:val="24"/>
        </w:rPr>
        <w:t>National</w:t>
      </w:r>
      <w:r>
        <w:rPr>
          <w:i/>
          <w:spacing w:val="-1"/>
          <w:sz w:val="24"/>
        </w:rPr>
        <w:t> </w:t>
      </w:r>
      <w:r>
        <w:rPr>
          <w:i/>
          <w:sz w:val="24"/>
        </w:rPr>
        <w:t>Population</w:t>
      </w:r>
      <w:r>
        <w:rPr>
          <w:i/>
          <w:spacing w:val="-1"/>
          <w:sz w:val="24"/>
        </w:rPr>
        <w:t> </w:t>
      </w:r>
      <w:r>
        <w:rPr>
          <w:i/>
          <w:sz w:val="24"/>
        </w:rPr>
        <w:t>Census</w:t>
      </w:r>
      <w:r>
        <w:rPr>
          <w:i/>
          <w:spacing w:val="-1"/>
          <w:sz w:val="24"/>
        </w:rPr>
        <w:t> </w:t>
      </w:r>
      <w:r>
        <w:rPr>
          <w:i/>
          <w:sz w:val="24"/>
        </w:rPr>
        <w:t>of</w:t>
      </w:r>
      <w:r>
        <w:rPr>
          <w:i/>
          <w:spacing w:val="-1"/>
          <w:sz w:val="24"/>
        </w:rPr>
        <w:t> </w:t>
      </w:r>
      <w:r>
        <w:rPr>
          <w:i/>
          <w:sz w:val="24"/>
        </w:rPr>
        <w:t>Nigeria.</w:t>
      </w:r>
      <w:r>
        <w:rPr>
          <w:i/>
          <w:spacing w:val="-1"/>
          <w:sz w:val="24"/>
        </w:rPr>
        <w:t> </w:t>
      </w:r>
      <w:r>
        <w:rPr>
          <w:sz w:val="24"/>
        </w:rPr>
        <w:t>Abuja: </w:t>
      </w:r>
      <w:r>
        <w:rPr>
          <w:spacing w:val="-4"/>
          <w:sz w:val="24"/>
        </w:rPr>
        <w:t>NPC.</w:t>
      </w:r>
    </w:p>
    <w:p>
      <w:pPr>
        <w:pStyle w:val="BodyText"/>
      </w:pPr>
    </w:p>
    <w:p>
      <w:pPr>
        <w:spacing w:before="0"/>
        <w:ind w:left="571" w:right="1121" w:hanging="452"/>
        <w:jc w:val="both"/>
        <w:rPr>
          <w:sz w:val="24"/>
        </w:rPr>
      </w:pPr>
      <w:r>
        <w:rPr>
          <w:sz w:val="24"/>
        </w:rPr>
        <w:t>Nubi, T. O., &amp; Omirin, M. M. (2007). The role of primary mortgage institutions in housing delivery. </w:t>
      </w:r>
      <w:r>
        <w:rPr>
          <w:i/>
          <w:sz w:val="24"/>
        </w:rPr>
        <w:t>Housing Finance International</w:t>
      </w:r>
      <w:r>
        <w:rPr>
          <w:sz w:val="24"/>
        </w:rPr>
        <w:t>, 21(5), 52–56.</w:t>
      </w:r>
    </w:p>
    <w:p>
      <w:pPr>
        <w:spacing w:after="0"/>
        <w:jc w:val="both"/>
        <w:rPr>
          <w:sz w:val="24"/>
        </w:rPr>
        <w:sectPr>
          <w:pgSz w:w="12240" w:h="15840"/>
          <w:pgMar w:header="0" w:footer="1036" w:top="1360" w:bottom="1220" w:left="1320" w:right="320"/>
        </w:sectPr>
      </w:pPr>
    </w:p>
    <w:p>
      <w:pPr>
        <w:spacing w:before="72"/>
        <w:ind w:left="571" w:right="1118" w:hanging="452"/>
        <w:jc w:val="both"/>
        <w:rPr>
          <w:sz w:val="24"/>
        </w:rPr>
      </w:pPr>
      <w:r>
        <w:rPr>
          <w:sz w:val="24"/>
        </w:rPr>
        <w:t>Nworgu, B.G. (1991). </w:t>
      </w:r>
      <w:r>
        <w:rPr>
          <w:i/>
          <w:sz w:val="24"/>
        </w:rPr>
        <w:t>Educational research: Basic issues and methodology. </w:t>
      </w:r>
      <w:r>
        <w:rPr>
          <w:sz w:val="24"/>
        </w:rPr>
        <w:t>Ibadan: Wisdom Publishers Ltd.</w:t>
      </w:r>
    </w:p>
    <w:p>
      <w:pPr>
        <w:pStyle w:val="BodyText"/>
      </w:pPr>
    </w:p>
    <w:p>
      <w:pPr>
        <w:pStyle w:val="BodyText"/>
        <w:ind w:left="120"/>
      </w:pPr>
      <w:r>
        <w:rPr/>
        <w:t>Nwuba,</w:t>
      </w:r>
      <w:r>
        <w:rPr>
          <w:spacing w:val="22"/>
        </w:rPr>
        <w:t> </w:t>
      </w:r>
      <w:r>
        <w:rPr/>
        <w:t>C.C.</w:t>
      </w:r>
      <w:r>
        <w:rPr>
          <w:spacing w:val="23"/>
        </w:rPr>
        <w:t> </w:t>
      </w:r>
      <w:r>
        <w:rPr/>
        <w:t>(2004).</w:t>
      </w:r>
      <w:r>
        <w:rPr>
          <w:spacing w:val="23"/>
        </w:rPr>
        <w:t> </w:t>
      </w:r>
      <w:r>
        <w:rPr/>
        <w:t>An</w:t>
      </w:r>
      <w:r>
        <w:rPr>
          <w:spacing w:val="25"/>
        </w:rPr>
        <w:t> </w:t>
      </w:r>
      <w:r>
        <w:rPr/>
        <w:t>analysis</w:t>
      </w:r>
      <w:r>
        <w:rPr>
          <w:spacing w:val="24"/>
        </w:rPr>
        <w:t> </w:t>
      </w:r>
      <w:r>
        <w:rPr/>
        <w:t>of</w:t>
      </w:r>
      <w:r>
        <w:rPr>
          <w:spacing w:val="25"/>
        </w:rPr>
        <w:t> </w:t>
      </w:r>
      <w:r>
        <w:rPr/>
        <w:t>housing</w:t>
      </w:r>
      <w:r>
        <w:rPr>
          <w:spacing w:val="21"/>
        </w:rPr>
        <w:t> </w:t>
      </w:r>
      <w:r>
        <w:rPr/>
        <w:t>construction</w:t>
      </w:r>
      <w:r>
        <w:rPr>
          <w:spacing w:val="23"/>
        </w:rPr>
        <w:t> </w:t>
      </w:r>
      <w:r>
        <w:rPr/>
        <w:t>costs</w:t>
      </w:r>
      <w:r>
        <w:rPr>
          <w:spacing w:val="24"/>
        </w:rPr>
        <w:t> </w:t>
      </w:r>
      <w:r>
        <w:rPr/>
        <w:t>trends</w:t>
      </w:r>
      <w:r>
        <w:rPr>
          <w:spacing w:val="26"/>
        </w:rPr>
        <w:t> </w:t>
      </w:r>
      <w:r>
        <w:rPr/>
        <w:t>in</w:t>
      </w:r>
      <w:r>
        <w:rPr>
          <w:spacing w:val="26"/>
        </w:rPr>
        <w:t> </w:t>
      </w:r>
      <w:r>
        <w:rPr/>
        <w:t>Nigeria</w:t>
      </w:r>
      <w:r>
        <w:rPr>
          <w:spacing w:val="24"/>
        </w:rPr>
        <w:t> </w:t>
      </w:r>
      <w:r>
        <w:rPr/>
        <w:t>(1986-</w:t>
      </w:r>
      <w:r>
        <w:rPr>
          <w:spacing w:val="-2"/>
        </w:rPr>
        <w:t>2002).</w:t>
      </w:r>
    </w:p>
    <w:p>
      <w:pPr>
        <w:spacing w:before="0"/>
        <w:ind w:left="571" w:right="0" w:firstLine="0"/>
        <w:jc w:val="left"/>
        <w:rPr>
          <w:sz w:val="24"/>
        </w:rPr>
      </w:pPr>
      <w:r>
        <w:rPr>
          <w:i/>
          <w:sz w:val="24"/>
        </w:rPr>
        <w:t>The</w:t>
      </w:r>
      <w:r>
        <w:rPr>
          <w:i/>
          <w:spacing w:val="-4"/>
          <w:sz w:val="24"/>
        </w:rPr>
        <w:t> </w:t>
      </w:r>
      <w:r>
        <w:rPr>
          <w:i/>
          <w:sz w:val="24"/>
        </w:rPr>
        <w:t>Quantity</w:t>
      </w:r>
      <w:r>
        <w:rPr>
          <w:i/>
          <w:spacing w:val="-2"/>
          <w:sz w:val="24"/>
        </w:rPr>
        <w:t> </w:t>
      </w:r>
      <w:r>
        <w:rPr>
          <w:i/>
          <w:sz w:val="24"/>
        </w:rPr>
        <w:t>Surveyor</w:t>
      </w:r>
      <w:r>
        <w:rPr>
          <w:sz w:val="24"/>
        </w:rPr>
        <w:t>,</w:t>
      </w:r>
      <w:r>
        <w:rPr>
          <w:spacing w:val="-1"/>
          <w:sz w:val="24"/>
        </w:rPr>
        <w:t> </w:t>
      </w:r>
      <w:r>
        <w:rPr>
          <w:sz w:val="24"/>
        </w:rPr>
        <w:t>47(6), 4-</w:t>
      </w:r>
      <w:r>
        <w:rPr>
          <w:spacing w:val="-5"/>
          <w:sz w:val="24"/>
        </w:rPr>
        <w:t>9.</w:t>
      </w:r>
    </w:p>
    <w:p>
      <w:pPr>
        <w:pStyle w:val="BodyText"/>
      </w:pPr>
    </w:p>
    <w:p>
      <w:pPr>
        <w:pStyle w:val="BodyText"/>
        <w:ind w:left="571" w:right="1116" w:hanging="452"/>
        <w:jc w:val="both"/>
      </w:pPr>
      <w:r>
        <w:rPr/>
        <w:t>Obasanjo, O. (1999, November 24). </w:t>
      </w:r>
      <w:r>
        <w:rPr>
          <w:i/>
        </w:rPr>
        <w:t>People’s Budget. </w:t>
      </w:r>
      <w:r>
        <w:rPr/>
        <w:t>Budget Speech presented at the joint Session of the National Assembly, Abuja, Nigeria.</w:t>
      </w:r>
    </w:p>
    <w:p>
      <w:pPr>
        <w:pStyle w:val="BodyText"/>
      </w:pPr>
    </w:p>
    <w:p>
      <w:pPr>
        <w:spacing w:line="242" w:lineRule="auto" w:before="0"/>
        <w:ind w:left="571" w:right="1121" w:hanging="452"/>
        <w:jc w:val="both"/>
        <w:rPr>
          <w:sz w:val="24"/>
        </w:rPr>
      </w:pPr>
      <w:r>
        <w:rPr>
          <w:sz w:val="24"/>
        </w:rPr>
        <w:t>Obikeze, O. S., &amp; Obi, E. A.(2004). </w:t>
      </w:r>
      <w:r>
        <w:rPr>
          <w:i/>
          <w:sz w:val="24"/>
        </w:rPr>
        <w:t>Public administration in Nigeria: A developmental approach</w:t>
      </w:r>
      <w:r>
        <w:rPr>
          <w:sz w:val="24"/>
        </w:rPr>
        <w:t>. Onitsha, Nigeria: Bookpoint Ltd.</w:t>
      </w:r>
    </w:p>
    <w:p>
      <w:pPr>
        <w:spacing w:before="194"/>
        <w:ind w:left="571" w:right="1119" w:hanging="452"/>
        <w:jc w:val="both"/>
        <w:rPr>
          <w:sz w:val="24"/>
        </w:rPr>
      </w:pPr>
      <w:r>
        <w:rPr>
          <w:sz w:val="24"/>
        </w:rPr>
        <w:t>Obunadike, G.O. (2003). </w:t>
      </w:r>
      <w:r>
        <w:rPr>
          <w:i/>
          <w:sz w:val="24"/>
        </w:rPr>
        <w:t>Land administration in Anambra State</w:t>
      </w:r>
      <w:r>
        <w:rPr>
          <w:sz w:val="24"/>
        </w:rPr>
        <w:t>. A Paper Presented at the working luncheon organized by NIESV, Anambra State Branch, Awka.</w:t>
      </w:r>
    </w:p>
    <w:p>
      <w:pPr>
        <w:pStyle w:val="BodyText"/>
      </w:pPr>
    </w:p>
    <w:p>
      <w:pPr>
        <w:spacing w:before="1"/>
        <w:ind w:left="120" w:right="0" w:firstLine="0"/>
        <w:jc w:val="left"/>
        <w:rPr>
          <w:sz w:val="24"/>
        </w:rPr>
      </w:pPr>
      <w:r>
        <w:rPr>
          <w:sz w:val="24"/>
        </w:rPr>
        <w:t>OECD.</w:t>
      </w:r>
      <w:r>
        <w:rPr>
          <w:spacing w:val="-1"/>
          <w:sz w:val="24"/>
        </w:rPr>
        <w:t> </w:t>
      </w:r>
      <w:r>
        <w:rPr>
          <w:sz w:val="24"/>
        </w:rPr>
        <w:t>(2002).</w:t>
      </w:r>
      <w:r>
        <w:rPr>
          <w:spacing w:val="-2"/>
          <w:sz w:val="24"/>
        </w:rPr>
        <w:t> </w:t>
      </w:r>
      <w:r>
        <w:rPr>
          <w:i/>
          <w:sz w:val="24"/>
        </w:rPr>
        <w:t>Overview of results-focused</w:t>
      </w:r>
      <w:r>
        <w:rPr>
          <w:i/>
          <w:spacing w:val="-1"/>
          <w:sz w:val="24"/>
        </w:rPr>
        <w:t> </w:t>
      </w:r>
      <w:r>
        <w:rPr>
          <w:i/>
          <w:sz w:val="24"/>
        </w:rPr>
        <w:t>management</w:t>
      </w:r>
      <w:r>
        <w:rPr>
          <w:i/>
          <w:spacing w:val="-1"/>
          <w:sz w:val="24"/>
        </w:rPr>
        <w:t> </w:t>
      </w:r>
      <w:r>
        <w:rPr>
          <w:i/>
          <w:sz w:val="24"/>
        </w:rPr>
        <w:t>and</w:t>
      </w:r>
      <w:r>
        <w:rPr>
          <w:i/>
          <w:spacing w:val="-1"/>
          <w:sz w:val="24"/>
        </w:rPr>
        <w:t> </w:t>
      </w:r>
      <w:r>
        <w:rPr>
          <w:i/>
          <w:sz w:val="24"/>
        </w:rPr>
        <w:t>budgeting</w:t>
      </w:r>
      <w:r>
        <w:rPr>
          <w:sz w:val="24"/>
        </w:rPr>
        <w:t>.</w:t>
      </w:r>
      <w:r>
        <w:rPr>
          <w:spacing w:val="-1"/>
          <w:sz w:val="24"/>
        </w:rPr>
        <w:t> </w:t>
      </w:r>
      <w:r>
        <w:rPr>
          <w:sz w:val="24"/>
        </w:rPr>
        <w:t>Paris:</w:t>
      </w:r>
      <w:r>
        <w:rPr>
          <w:spacing w:val="-1"/>
          <w:sz w:val="24"/>
        </w:rPr>
        <w:t> </w:t>
      </w:r>
      <w:r>
        <w:rPr>
          <w:spacing w:val="-2"/>
          <w:sz w:val="24"/>
        </w:rPr>
        <w:t>OECD.</w:t>
      </w:r>
    </w:p>
    <w:p>
      <w:pPr>
        <w:pStyle w:val="BodyText"/>
        <w:spacing w:before="276"/>
        <w:ind w:left="120"/>
      </w:pPr>
      <w:r>
        <w:rPr/>
        <w:t>OECD.</w:t>
      </w:r>
      <w:r>
        <w:rPr>
          <w:spacing w:val="8"/>
        </w:rPr>
        <w:t> </w:t>
      </w:r>
      <w:r>
        <w:rPr/>
        <w:t>(2004).</w:t>
      </w:r>
      <w:r>
        <w:rPr>
          <w:spacing w:val="10"/>
        </w:rPr>
        <w:t> </w:t>
      </w:r>
      <w:r>
        <w:rPr/>
        <w:t>Enhancing</w:t>
      </w:r>
      <w:r>
        <w:rPr>
          <w:spacing w:val="8"/>
        </w:rPr>
        <w:t> </w:t>
      </w:r>
      <w:r>
        <w:rPr/>
        <w:t>the</w:t>
      </w:r>
      <w:r>
        <w:rPr>
          <w:spacing w:val="10"/>
        </w:rPr>
        <w:t> </w:t>
      </w:r>
      <w:r>
        <w:rPr/>
        <w:t>effectiveness</w:t>
      </w:r>
      <w:r>
        <w:rPr>
          <w:spacing w:val="11"/>
        </w:rPr>
        <w:t> </w:t>
      </w:r>
      <w:r>
        <w:rPr/>
        <w:t>of</w:t>
      </w:r>
      <w:r>
        <w:rPr>
          <w:spacing w:val="10"/>
        </w:rPr>
        <w:t> </w:t>
      </w:r>
      <w:r>
        <w:rPr/>
        <w:t>public</w:t>
      </w:r>
      <w:r>
        <w:rPr>
          <w:spacing w:val="9"/>
        </w:rPr>
        <w:t> </w:t>
      </w:r>
      <w:r>
        <w:rPr/>
        <w:t>spending:</w:t>
      </w:r>
      <w:r>
        <w:rPr>
          <w:spacing w:val="11"/>
        </w:rPr>
        <w:t> </w:t>
      </w:r>
      <w:r>
        <w:rPr/>
        <w:t>Experience</w:t>
      </w:r>
      <w:r>
        <w:rPr>
          <w:spacing w:val="9"/>
        </w:rPr>
        <w:t> </w:t>
      </w:r>
      <w:r>
        <w:rPr/>
        <w:t>in</w:t>
      </w:r>
      <w:r>
        <w:rPr>
          <w:spacing w:val="11"/>
        </w:rPr>
        <w:t> </w:t>
      </w:r>
      <w:r>
        <w:rPr/>
        <w:t>OECD</w:t>
      </w:r>
      <w:r>
        <w:rPr>
          <w:spacing w:val="10"/>
        </w:rPr>
        <w:t> </w:t>
      </w:r>
      <w:r>
        <w:rPr>
          <w:spacing w:val="-2"/>
        </w:rPr>
        <w:t>countries.</w:t>
      </w:r>
    </w:p>
    <w:p>
      <w:pPr>
        <w:spacing w:before="0"/>
        <w:ind w:left="571" w:right="0" w:firstLine="0"/>
        <w:jc w:val="left"/>
        <w:rPr>
          <w:sz w:val="24"/>
        </w:rPr>
      </w:pPr>
      <w:r>
        <w:rPr>
          <w:i/>
          <w:sz w:val="24"/>
        </w:rPr>
        <w:t>Economic</w:t>
      </w:r>
      <w:r>
        <w:rPr>
          <w:i/>
          <w:spacing w:val="-3"/>
          <w:sz w:val="24"/>
        </w:rPr>
        <w:t> </w:t>
      </w:r>
      <w:r>
        <w:rPr>
          <w:i/>
          <w:sz w:val="24"/>
        </w:rPr>
        <w:t>Department</w:t>
      </w:r>
      <w:r>
        <w:rPr>
          <w:i/>
          <w:spacing w:val="1"/>
          <w:sz w:val="24"/>
        </w:rPr>
        <w:t> </w:t>
      </w:r>
      <w:r>
        <w:rPr>
          <w:i/>
          <w:sz w:val="24"/>
        </w:rPr>
        <w:t>Working</w:t>
      </w:r>
      <w:r>
        <w:rPr>
          <w:i/>
          <w:spacing w:val="-1"/>
          <w:sz w:val="24"/>
        </w:rPr>
        <w:t> </w:t>
      </w:r>
      <w:r>
        <w:rPr>
          <w:i/>
          <w:sz w:val="24"/>
        </w:rPr>
        <w:t>Papers</w:t>
      </w:r>
      <w:r>
        <w:rPr>
          <w:i/>
          <w:spacing w:val="-1"/>
          <w:sz w:val="24"/>
        </w:rPr>
        <w:t> </w:t>
      </w:r>
      <w:r>
        <w:rPr>
          <w:i/>
          <w:sz w:val="24"/>
        </w:rPr>
        <w:t>No</w:t>
      </w:r>
      <w:r>
        <w:rPr>
          <w:i/>
          <w:spacing w:val="-1"/>
          <w:sz w:val="24"/>
        </w:rPr>
        <w:t> </w:t>
      </w:r>
      <w:r>
        <w:rPr>
          <w:i/>
          <w:sz w:val="24"/>
        </w:rPr>
        <w:t>380.</w:t>
      </w:r>
      <w:r>
        <w:rPr>
          <w:i/>
          <w:spacing w:val="1"/>
          <w:sz w:val="24"/>
        </w:rPr>
        <w:t> </w:t>
      </w:r>
      <w:r>
        <w:rPr>
          <w:sz w:val="24"/>
        </w:rPr>
        <w:t>Paris:</w:t>
      </w:r>
      <w:r>
        <w:rPr>
          <w:spacing w:val="-1"/>
          <w:sz w:val="24"/>
        </w:rPr>
        <w:t> </w:t>
      </w:r>
      <w:r>
        <w:rPr>
          <w:spacing w:val="-2"/>
          <w:sz w:val="24"/>
        </w:rPr>
        <w:t>OECD.</w:t>
      </w:r>
    </w:p>
    <w:p>
      <w:pPr>
        <w:pStyle w:val="BodyText"/>
      </w:pPr>
    </w:p>
    <w:p>
      <w:pPr>
        <w:spacing w:before="0"/>
        <w:ind w:left="120" w:right="0" w:firstLine="0"/>
        <w:jc w:val="left"/>
        <w:rPr>
          <w:sz w:val="24"/>
        </w:rPr>
      </w:pPr>
      <w:r>
        <w:rPr>
          <w:sz w:val="24"/>
        </w:rPr>
        <w:t>OECD.</w:t>
      </w:r>
      <w:r>
        <w:rPr>
          <w:spacing w:val="-3"/>
          <w:sz w:val="24"/>
        </w:rPr>
        <w:t> </w:t>
      </w:r>
      <w:r>
        <w:rPr>
          <w:sz w:val="24"/>
        </w:rPr>
        <w:t>(2005).</w:t>
      </w:r>
      <w:r>
        <w:rPr>
          <w:spacing w:val="-2"/>
          <w:sz w:val="24"/>
        </w:rPr>
        <w:t> </w:t>
      </w:r>
      <w:r>
        <w:rPr>
          <w:i/>
          <w:sz w:val="24"/>
        </w:rPr>
        <w:t>Performance</w:t>
      </w:r>
      <w:r>
        <w:rPr>
          <w:i/>
          <w:spacing w:val="-2"/>
          <w:sz w:val="24"/>
        </w:rPr>
        <w:t> </w:t>
      </w:r>
      <w:r>
        <w:rPr>
          <w:i/>
          <w:sz w:val="24"/>
        </w:rPr>
        <w:t>information</w:t>
      </w:r>
      <w:r>
        <w:rPr>
          <w:i/>
          <w:spacing w:val="-1"/>
          <w:sz w:val="24"/>
        </w:rPr>
        <w:t> </w:t>
      </w:r>
      <w:r>
        <w:rPr>
          <w:i/>
          <w:sz w:val="24"/>
        </w:rPr>
        <w:t>in the</w:t>
      </w:r>
      <w:r>
        <w:rPr>
          <w:i/>
          <w:spacing w:val="-2"/>
          <w:sz w:val="24"/>
        </w:rPr>
        <w:t> </w:t>
      </w:r>
      <w:r>
        <w:rPr>
          <w:i/>
          <w:sz w:val="24"/>
        </w:rPr>
        <w:t>budget</w:t>
      </w:r>
      <w:r>
        <w:rPr>
          <w:i/>
          <w:spacing w:val="-1"/>
          <w:sz w:val="24"/>
        </w:rPr>
        <w:t> </w:t>
      </w:r>
      <w:r>
        <w:rPr>
          <w:i/>
          <w:sz w:val="24"/>
        </w:rPr>
        <w:t>process</w:t>
      </w:r>
      <w:r>
        <w:rPr>
          <w:sz w:val="24"/>
        </w:rPr>
        <w:t>.</w:t>
      </w:r>
      <w:r>
        <w:rPr>
          <w:spacing w:val="-1"/>
          <w:sz w:val="24"/>
        </w:rPr>
        <w:t> </w:t>
      </w:r>
      <w:r>
        <w:rPr>
          <w:sz w:val="24"/>
        </w:rPr>
        <w:t>Paris: </w:t>
      </w:r>
      <w:r>
        <w:rPr>
          <w:spacing w:val="-2"/>
          <w:sz w:val="24"/>
        </w:rPr>
        <w:t>OECD.</w:t>
      </w:r>
    </w:p>
    <w:p>
      <w:pPr>
        <w:pStyle w:val="BodyText"/>
      </w:pPr>
    </w:p>
    <w:p>
      <w:pPr>
        <w:spacing w:before="0"/>
        <w:ind w:left="571" w:right="1118" w:hanging="452"/>
        <w:jc w:val="both"/>
        <w:rPr>
          <w:sz w:val="24"/>
        </w:rPr>
      </w:pPr>
      <w:r>
        <w:rPr>
          <w:sz w:val="24"/>
        </w:rPr>
        <w:t>OECD. (2007a). Integrating and using performance information in the budget process. In </w:t>
      </w:r>
      <w:r>
        <w:rPr>
          <w:i/>
          <w:sz w:val="24"/>
        </w:rPr>
        <w:t>Performance budgeting in OECD countries. </w:t>
      </w:r>
      <w:r>
        <w:rPr>
          <w:sz w:val="24"/>
        </w:rPr>
        <w:t>Paris: OECD. Retrieved from </w:t>
      </w:r>
      <w:hyperlink r:id="rId239">
        <w:r>
          <w:rPr>
            <w:spacing w:val="-2"/>
            <w:sz w:val="24"/>
          </w:rPr>
          <w:t>http://www.oecd.org/documents/</w:t>
        </w:r>
      </w:hyperlink>
    </w:p>
    <w:p>
      <w:pPr>
        <w:pStyle w:val="BodyText"/>
      </w:pPr>
    </w:p>
    <w:p>
      <w:pPr>
        <w:spacing w:before="0"/>
        <w:ind w:left="120" w:right="0" w:firstLine="0"/>
        <w:jc w:val="left"/>
        <w:rPr>
          <w:sz w:val="24"/>
        </w:rPr>
      </w:pPr>
      <w:r>
        <w:rPr>
          <w:sz w:val="24"/>
        </w:rPr>
        <w:t>OECD</w:t>
      </w:r>
      <w:r>
        <w:rPr>
          <w:spacing w:val="-1"/>
          <w:sz w:val="24"/>
        </w:rPr>
        <w:t> </w:t>
      </w:r>
      <w:r>
        <w:rPr>
          <w:sz w:val="24"/>
        </w:rPr>
        <w:t>(2007b).</w:t>
      </w:r>
      <w:r>
        <w:rPr>
          <w:spacing w:val="-2"/>
          <w:sz w:val="24"/>
        </w:rPr>
        <w:t> </w:t>
      </w:r>
      <w:r>
        <w:rPr>
          <w:i/>
          <w:sz w:val="24"/>
        </w:rPr>
        <w:t>Performance</w:t>
      </w:r>
      <w:r>
        <w:rPr>
          <w:i/>
          <w:spacing w:val="-2"/>
          <w:sz w:val="24"/>
        </w:rPr>
        <w:t> </w:t>
      </w:r>
      <w:r>
        <w:rPr>
          <w:i/>
          <w:sz w:val="24"/>
        </w:rPr>
        <w:t>budgeting in</w:t>
      </w:r>
      <w:r>
        <w:rPr>
          <w:i/>
          <w:spacing w:val="-1"/>
          <w:sz w:val="24"/>
        </w:rPr>
        <w:t> </w:t>
      </w:r>
      <w:r>
        <w:rPr>
          <w:i/>
          <w:sz w:val="24"/>
        </w:rPr>
        <w:t>OECD</w:t>
      </w:r>
      <w:r>
        <w:rPr>
          <w:i/>
          <w:spacing w:val="1"/>
          <w:sz w:val="24"/>
        </w:rPr>
        <w:t> </w:t>
      </w:r>
      <w:r>
        <w:rPr>
          <w:i/>
          <w:sz w:val="24"/>
        </w:rPr>
        <w:t>countries</w:t>
      </w:r>
      <w:r>
        <w:rPr>
          <w:sz w:val="24"/>
        </w:rPr>
        <w:t>.</w:t>
      </w:r>
      <w:r>
        <w:rPr>
          <w:spacing w:val="-1"/>
          <w:sz w:val="24"/>
        </w:rPr>
        <w:t> </w:t>
      </w:r>
      <w:r>
        <w:rPr>
          <w:sz w:val="24"/>
        </w:rPr>
        <w:t>Paris: </w:t>
      </w:r>
      <w:r>
        <w:rPr>
          <w:spacing w:val="-2"/>
          <w:sz w:val="24"/>
        </w:rPr>
        <w:t>OECD.</w:t>
      </w:r>
    </w:p>
    <w:p>
      <w:pPr>
        <w:pStyle w:val="BodyText"/>
      </w:pPr>
    </w:p>
    <w:p>
      <w:pPr>
        <w:spacing w:before="0"/>
        <w:ind w:left="571" w:right="1118" w:hanging="452"/>
        <w:jc w:val="both"/>
        <w:rPr>
          <w:sz w:val="24"/>
        </w:rPr>
      </w:pPr>
      <w:r>
        <w:rPr>
          <w:sz w:val="24"/>
        </w:rPr>
        <w:t>Oforeh, E. C. (2006). The Nigerian Institute of Quantity Surveyors as an agent of economic development. </w:t>
      </w:r>
      <w:r>
        <w:rPr>
          <w:i/>
          <w:sz w:val="24"/>
        </w:rPr>
        <w:t>Paper Presented at 22nd Biennial Conference and General meeting of the Nigerian Institute of Quantity Surveyors</w:t>
      </w:r>
      <w:r>
        <w:rPr>
          <w:sz w:val="24"/>
        </w:rPr>
        <w:t>, at Channel View Hotel/Conference Centre, Calabar, Cross River State, Nigeria, 22nd-25th November.</w:t>
      </w:r>
    </w:p>
    <w:p>
      <w:pPr>
        <w:pStyle w:val="BodyText"/>
      </w:pPr>
    </w:p>
    <w:p>
      <w:pPr>
        <w:spacing w:before="0"/>
        <w:ind w:left="571" w:right="1114" w:hanging="452"/>
        <w:jc w:val="both"/>
        <w:rPr>
          <w:sz w:val="24"/>
        </w:rPr>
      </w:pPr>
      <w:r>
        <w:rPr>
          <w:sz w:val="24"/>
        </w:rPr>
        <w:t>Ogunoh, P.E., (2008). </w:t>
      </w:r>
      <w:r>
        <w:rPr>
          <w:i/>
          <w:sz w:val="24"/>
        </w:rPr>
        <w:t>Maintenance of public estates in Awka, Anambra State. A case study of Iyiagu and Real Housing Estate</w:t>
      </w:r>
      <w:r>
        <w:rPr>
          <w:sz w:val="24"/>
        </w:rPr>
        <w:t>. (Unpublished Masters thesis), Nnamdi Azikiwe University Awka, Nigeria.</w:t>
      </w:r>
    </w:p>
    <w:p>
      <w:pPr>
        <w:pStyle w:val="BodyText"/>
        <w:spacing w:before="1"/>
      </w:pPr>
    </w:p>
    <w:p>
      <w:pPr>
        <w:spacing w:line="240" w:lineRule="auto" w:before="0"/>
        <w:ind w:left="571" w:right="1113" w:hanging="452"/>
        <w:jc w:val="both"/>
        <w:rPr>
          <w:sz w:val="24"/>
        </w:rPr>
      </w:pPr>
      <w:r>
        <w:rPr>
          <w:sz w:val="24"/>
        </w:rPr>
        <w:t>Okechukwu, J. N. (2009). </w:t>
      </w:r>
      <w:r>
        <w:rPr>
          <w:i/>
          <w:sz w:val="24"/>
        </w:rPr>
        <w:t>Urban housing affordability and housing dilemmas in Nigeria</w:t>
      </w:r>
      <w:r>
        <w:rPr>
          <w:sz w:val="24"/>
        </w:rPr>
        <w:t>. (Unpublished doctoral thesis), University of Birmingham, Centre for Urban and Regional Studies, School of Public policy, Birmingham.</w:t>
      </w:r>
    </w:p>
    <w:p>
      <w:pPr>
        <w:spacing w:before="269"/>
        <w:ind w:left="571" w:right="1116" w:hanging="452"/>
        <w:jc w:val="both"/>
        <w:rPr>
          <w:sz w:val="24"/>
        </w:rPr>
      </w:pPr>
      <w:r>
        <w:rPr>
          <w:sz w:val="24"/>
        </w:rPr>
        <w:t>Oko, R.(2016). The need for public participation in government budgeting. Address </w:t>
      </w:r>
      <w:r>
        <w:rPr>
          <w:i/>
          <w:sz w:val="24"/>
        </w:rPr>
        <w:t>during the National Assembly interactive session with civil society organizations</w:t>
      </w:r>
      <w:r>
        <w:rPr>
          <w:sz w:val="24"/>
        </w:rPr>
        <w:t>, Wednesday, 10th February, National Assembly complex, Abuja.</w:t>
      </w:r>
    </w:p>
    <w:p>
      <w:pPr>
        <w:pStyle w:val="BodyText"/>
      </w:pPr>
    </w:p>
    <w:p>
      <w:pPr>
        <w:pStyle w:val="BodyText"/>
        <w:ind w:left="571" w:right="1117" w:hanging="452"/>
      </w:pPr>
      <w:r>
        <w:rPr/>
        <w:t>Okoli,</w:t>
      </w:r>
      <w:r>
        <w:rPr>
          <w:spacing w:val="-3"/>
        </w:rPr>
        <w:t> </w:t>
      </w:r>
      <w:r>
        <w:rPr/>
        <w:t>A.</w:t>
      </w:r>
      <w:r>
        <w:rPr>
          <w:spacing w:val="-3"/>
        </w:rPr>
        <w:t> </w:t>
      </w:r>
      <w:r>
        <w:rPr/>
        <w:t>(2007,</w:t>
      </w:r>
      <w:r>
        <w:rPr>
          <w:spacing w:val="-3"/>
        </w:rPr>
        <w:t> </w:t>
      </w:r>
      <w:r>
        <w:rPr/>
        <w:t>August</w:t>
      </w:r>
      <w:r>
        <w:rPr>
          <w:spacing w:val="-3"/>
        </w:rPr>
        <w:t> </w:t>
      </w:r>
      <w:r>
        <w:rPr/>
        <w:t>2).</w:t>
      </w:r>
      <w:r>
        <w:rPr>
          <w:spacing w:val="-3"/>
        </w:rPr>
        <w:t> </w:t>
      </w:r>
      <w:r>
        <w:rPr/>
        <w:t>Solving</w:t>
      </w:r>
      <w:r>
        <w:rPr>
          <w:spacing w:val="-6"/>
        </w:rPr>
        <w:t> </w:t>
      </w:r>
      <w:r>
        <w:rPr/>
        <w:t>the</w:t>
      </w:r>
      <w:r>
        <w:rPr>
          <w:spacing w:val="-3"/>
        </w:rPr>
        <w:t> </w:t>
      </w:r>
      <w:r>
        <w:rPr/>
        <w:t>perennial</w:t>
      </w:r>
      <w:r>
        <w:rPr>
          <w:spacing w:val="-1"/>
        </w:rPr>
        <w:t> </w:t>
      </w:r>
      <w:r>
        <w:rPr/>
        <w:t>housing</w:t>
      </w:r>
      <w:r>
        <w:rPr>
          <w:spacing w:val="-6"/>
        </w:rPr>
        <w:t> </w:t>
      </w:r>
      <w:r>
        <w:rPr/>
        <w:t>problem</w:t>
      </w:r>
      <w:r>
        <w:rPr>
          <w:spacing w:val="-3"/>
        </w:rPr>
        <w:t> </w:t>
      </w:r>
      <w:r>
        <w:rPr/>
        <w:t>in</w:t>
      </w:r>
      <w:r>
        <w:rPr>
          <w:spacing w:val="-3"/>
        </w:rPr>
        <w:t> </w:t>
      </w:r>
      <w:r>
        <w:rPr/>
        <w:t>Anambra</w:t>
      </w:r>
      <w:r>
        <w:rPr>
          <w:spacing w:val="-5"/>
        </w:rPr>
        <w:t> </w:t>
      </w:r>
      <w:r>
        <w:rPr/>
        <w:t>State. </w:t>
      </w:r>
      <w:r>
        <w:rPr>
          <w:i/>
        </w:rPr>
        <w:t>The Vanguard. </w:t>
      </w:r>
      <w:r>
        <w:rPr/>
        <w:t>Retrieved from http://www.allafrica/stones/200708020199.html</w:t>
      </w:r>
    </w:p>
    <w:p>
      <w:pPr>
        <w:spacing w:after="0"/>
        <w:sectPr>
          <w:pgSz w:w="12240" w:h="15840"/>
          <w:pgMar w:header="0" w:footer="1036" w:top="1360" w:bottom="1220" w:left="1320" w:right="320"/>
        </w:sectPr>
      </w:pPr>
    </w:p>
    <w:p>
      <w:pPr>
        <w:spacing w:before="72"/>
        <w:ind w:left="571" w:right="1118" w:hanging="452"/>
        <w:jc w:val="both"/>
        <w:rPr>
          <w:sz w:val="24"/>
        </w:rPr>
      </w:pPr>
      <w:r>
        <w:rPr>
          <w:sz w:val="24"/>
        </w:rPr>
        <w:t>Okolie, K.C. (2011). </w:t>
      </w:r>
      <w:r>
        <w:rPr>
          <w:i/>
          <w:sz w:val="24"/>
        </w:rPr>
        <w:t>Performance evaluation of buildings in educational institutions: A case of universities in south-east Nigeria </w:t>
      </w:r>
      <w:r>
        <w:rPr>
          <w:sz w:val="24"/>
        </w:rPr>
        <w:t>(Published doctoral thesis), Nelson Mandela Metropolitan University, Port Elizabeth, South Africa.</w:t>
      </w:r>
    </w:p>
    <w:p>
      <w:pPr>
        <w:pStyle w:val="BodyText"/>
      </w:pPr>
    </w:p>
    <w:p>
      <w:pPr>
        <w:spacing w:before="0"/>
        <w:ind w:left="571" w:right="1114" w:hanging="452"/>
        <w:jc w:val="both"/>
        <w:rPr>
          <w:sz w:val="24"/>
        </w:rPr>
      </w:pPr>
      <w:r>
        <w:rPr>
          <w:sz w:val="24"/>
        </w:rPr>
        <w:t>Okoye, J.C. (1997). </w:t>
      </w:r>
      <w:r>
        <w:rPr>
          <w:i/>
          <w:sz w:val="24"/>
        </w:rPr>
        <w:t>Modern management techniques and development administration. </w:t>
      </w:r>
      <w:r>
        <w:rPr>
          <w:sz w:val="24"/>
        </w:rPr>
        <w:t>Onitsha: Abbot Books Ltd.</w:t>
      </w:r>
    </w:p>
    <w:p>
      <w:pPr>
        <w:pStyle w:val="BodyText"/>
      </w:pPr>
    </w:p>
    <w:p>
      <w:pPr>
        <w:spacing w:line="242" w:lineRule="auto" w:before="0"/>
        <w:ind w:left="571" w:right="1116" w:hanging="452"/>
        <w:jc w:val="both"/>
        <w:rPr>
          <w:sz w:val="24"/>
        </w:rPr>
      </w:pPr>
      <w:r>
        <w:rPr>
          <w:sz w:val="24"/>
        </w:rPr>
        <w:t>Okupe, L. (2000). The</w:t>
      </w:r>
      <w:r>
        <w:rPr>
          <w:spacing w:val="-2"/>
          <w:sz w:val="24"/>
        </w:rPr>
        <w:t> </w:t>
      </w:r>
      <w:r>
        <w:rPr>
          <w:sz w:val="24"/>
        </w:rPr>
        <w:t>roles</w:t>
      </w:r>
      <w:r>
        <w:rPr>
          <w:spacing w:val="-2"/>
          <w:sz w:val="24"/>
        </w:rPr>
        <w:t> </w:t>
      </w:r>
      <w:r>
        <w:rPr>
          <w:sz w:val="24"/>
        </w:rPr>
        <w:t>of</w:t>
      </w:r>
      <w:r>
        <w:rPr>
          <w:spacing w:val="-3"/>
          <w:sz w:val="24"/>
        </w:rPr>
        <w:t> </w:t>
      </w:r>
      <w:r>
        <w:rPr>
          <w:sz w:val="24"/>
        </w:rPr>
        <w:t>the</w:t>
      </w:r>
      <w:r>
        <w:rPr>
          <w:spacing w:val="-1"/>
          <w:sz w:val="24"/>
        </w:rPr>
        <w:t> </w:t>
      </w:r>
      <w:r>
        <w:rPr>
          <w:sz w:val="24"/>
        </w:rPr>
        <w:t>private</w:t>
      </w:r>
      <w:r>
        <w:rPr>
          <w:spacing w:val="-1"/>
          <w:sz w:val="24"/>
        </w:rPr>
        <w:t> </w:t>
      </w:r>
      <w:r>
        <w:rPr>
          <w:sz w:val="24"/>
        </w:rPr>
        <w:t>sector</w:t>
      </w:r>
      <w:r>
        <w:rPr>
          <w:spacing w:val="-2"/>
          <w:sz w:val="24"/>
        </w:rPr>
        <w:t> </w:t>
      </w:r>
      <w:r>
        <w:rPr>
          <w:sz w:val="24"/>
        </w:rPr>
        <w:t>in</w:t>
      </w:r>
      <w:r>
        <w:rPr>
          <w:spacing w:val="-2"/>
          <w:sz w:val="24"/>
        </w:rPr>
        <w:t> </w:t>
      </w:r>
      <w:r>
        <w:rPr>
          <w:sz w:val="24"/>
        </w:rPr>
        <w:t>housing</w:t>
      </w:r>
      <w:r>
        <w:rPr>
          <w:spacing w:val="-2"/>
          <w:sz w:val="24"/>
        </w:rPr>
        <w:t> </w:t>
      </w:r>
      <w:r>
        <w:rPr>
          <w:sz w:val="24"/>
        </w:rPr>
        <w:t>delivery</w:t>
      </w:r>
      <w:r>
        <w:rPr>
          <w:spacing w:val="-7"/>
          <w:sz w:val="24"/>
        </w:rPr>
        <w:t> </w:t>
      </w:r>
      <w:r>
        <w:rPr>
          <w:sz w:val="24"/>
        </w:rPr>
        <w:t>in Nigeria. </w:t>
      </w:r>
      <w:r>
        <w:rPr>
          <w:i/>
          <w:sz w:val="24"/>
        </w:rPr>
        <w:t>A</w:t>
      </w:r>
      <w:r>
        <w:rPr>
          <w:i/>
          <w:spacing w:val="-1"/>
          <w:sz w:val="24"/>
        </w:rPr>
        <w:t> </w:t>
      </w:r>
      <w:r>
        <w:rPr>
          <w:i/>
          <w:sz w:val="24"/>
        </w:rPr>
        <w:t>Seminar paper of the Nigeria Institute of Building, </w:t>
      </w:r>
      <w:r>
        <w:rPr>
          <w:sz w:val="24"/>
        </w:rPr>
        <w:t>Ibadan, Nigeria. March 29th-30th. 1-18.</w:t>
      </w:r>
    </w:p>
    <w:p>
      <w:pPr>
        <w:pStyle w:val="BodyText"/>
        <w:spacing w:before="194"/>
        <w:ind w:left="120"/>
      </w:pPr>
      <w:r>
        <w:rPr/>
        <w:t>Okupe,</w:t>
      </w:r>
      <w:r>
        <w:rPr>
          <w:spacing w:val="-1"/>
        </w:rPr>
        <w:t> </w:t>
      </w:r>
      <w:r>
        <w:rPr/>
        <w:t>L.</w:t>
      </w:r>
      <w:r>
        <w:rPr>
          <w:spacing w:val="-1"/>
        </w:rPr>
        <w:t> </w:t>
      </w:r>
      <w:r>
        <w:rPr/>
        <w:t>(2002).</w:t>
      </w:r>
      <w:r>
        <w:rPr>
          <w:spacing w:val="-1"/>
        </w:rPr>
        <w:t> </w:t>
      </w:r>
      <w:r>
        <w:rPr/>
        <w:t>Private</w:t>
      </w:r>
      <w:r>
        <w:rPr>
          <w:spacing w:val="-2"/>
        </w:rPr>
        <w:t> </w:t>
      </w:r>
      <w:r>
        <w:rPr/>
        <w:t>sector initiative</w:t>
      </w:r>
      <w:r>
        <w:rPr>
          <w:spacing w:val="-2"/>
        </w:rPr>
        <w:t> </w:t>
      </w:r>
      <w:r>
        <w:rPr/>
        <w:t>in</w:t>
      </w:r>
      <w:r>
        <w:rPr>
          <w:spacing w:val="-1"/>
        </w:rPr>
        <w:t> </w:t>
      </w:r>
      <w:r>
        <w:rPr/>
        <w:t>housing</w:t>
      </w:r>
      <w:r>
        <w:rPr>
          <w:spacing w:val="-3"/>
        </w:rPr>
        <w:t> </w:t>
      </w:r>
      <w:r>
        <w:rPr/>
        <w:t>development in</w:t>
      </w:r>
      <w:r>
        <w:rPr>
          <w:spacing w:val="-1"/>
        </w:rPr>
        <w:t> </w:t>
      </w:r>
      <w:r>
        <w:rPr/>
        <w:t>Nigeria</w:t>
      </w:r>
      <w:r>
        <w:rPr>
          <w:spacing w:val="2"/>
        </w:rPr>
        <w:t> </w:t>
      </w:r>
      <w:r>
        <w:rPr/>
        <w:t>–</w:t>
      </w:r>
      <w:r>
        <w:rPr>
          <w:spacing w:val="-1"/>
        </w:rPr>
        <w:t> </w:t>
      </w:r>
      <w:r>
        <w:rPr/>
        <w:t>How</w:t>
      </w:r>
      <w:r>
        <w:rPr>
          <w:spacing w:val="-1"/>
        </w:rPr>
        <w:t> </w:t>
      </w:r>
      <w:r>
        <w:rPr>
          <w:spacing w:val="-2"/>
        </w:rPr>
        <w:t>feasible?</w:t>
      </w:r>
    </w:p>
    <w:p>
      <w:pPr>
        <w:spacing w:before="0"/>
        <w:ind w:left="571" w:right="0" w:firstLine="0"/>
        <w:jc w:val="left"/>
        <w:rPr>
          <w:sz w:val="24"/>
        </w:rPr>
      </w:pPr>
      <w:r>
        <w:rPr>
          <w:i/>
          <w:sz w:val="24"/>
        </w:rPr>
        <w:t>Housing</w:t>
      </w:r>
      <w:r>
        <w:rPr>
          <w:i/>
          <w:spacing w:val="-1"/>
          <w:sz w:val="24"/>
        </w:rPr>
        <w:t> </w:t>
      </w:r>
      <w:r>
        <w:rPr>
          <w:i/>
          <w:sz w:val="24"/>
        </w:rPr>
        <w:t>Today</w:t>
      </w:r>
      <w:r>
        <w:rPr>
          <w:sz w:val="24"/>
        </w:rPr>
        <w:t>,</w:t>
      </w:r>
      <w:r>
        <w:rPr>
          <w:spacing w:val="-1"/>
          <w:sz w:val="24"/>
        </w:rPr>
        <w:t> </w:t>
      </w:r>
      <w:r>
        <w:rPr>
          <w:sz w:val="24"/>
        </w:rPr>
        <w:t>1(6), 21-</w:t>
      </w:r>
      <w:r>
        <w:rPr>
          <w:spacing w:val="-5"/>
          <w:sz w:val="24"/>
        </w:rPr>
        <w:t>26.</w:t>
      </w:r>
    </w:p>
    <w:p>
      <w:pPr>
        <w:pStyle w:val="BodyText"/>
      </w:pPr>
    </w:p>
    <w:p>
      <w:pPr>
        <w:spacing w:before="1"/>
        <w:ind w:left="571" w:right="1117" w:hanging="452"/>
        <w:jc w:val="both"/>
        <w:rPr>
          <w:sz w:val="24"/>
        </w:rPr>
      </w:pPr>
      <w:r>
        <w:rPr>
          <w:sz w:val="24"/>
        </w:rPr>
        <w:t>Oladapo, M.A. (2001). Cost management of engineering infrastructure. </w:t>
      </w:r>
      <w:r>
        <w:rPr>
          <w:i/>
          <w:sz w:val="24"/>
        </w:rPr>
        <w:t>Paper presented the NIQS 2- day workshop on costing and management of high ways, roads and infrastructure; </w:t>
      </w:r>
      <w:r>
        <w:rPr>
          <w:sz w:val="24"/>
        </w:rPr>
        <w:t>Tuesday 10th – Wednesday 11th April at the women development centre, Abuja.</w:t>
      </w:r>
    </w:p>
    <w:p>
      <w:pPr>
        <w:pStyle w:val="BodyText"/>
        <w:spacing w:before="276"/>
        <w:ind w:left="571" w:right="1126" w:hanging="452"/>
        <w:jc w:val="both"/>
      </w:pPr>
      <w:r>
        <w:rPr/>
        <w:t>Olayiwola, L.M., &amp;</w:t>
      </w:r>
      <w:r>
        <w:rPr>
          <w:spacing w:val="-2"/>
        </w:rPr>
        <w:t> </w:t>
      </w:r>
      <w:r>
        <w:rPr/>
        <w:t>Adeleye, O.A. (2005).</w:t>
      </w:r>
      <w:r>
        <w:rPr>
          <w:spacing w:val="-1"/>
        </w:rPr>
        <w:t> </w:t>
      </w:r>
      <w:r>
        <w:rPr/>
        <w:t>Rural infrastructural development in Nigeria</w:t>
      </w:r>
      <w:r>
        <w:rPr>
          <w:spacing w:val="-1"/>
        </w:rPr>
        <w:t> </w:t>
      </w:r>
      <w:r>
        <w:rPr/>
        <w:t>between 1960 and 1999- problems and challenges. </w:t>
      </w:r>
      <w:r>
        <w:rPr>
          <w:i/>
        </w:rPr>
        <w:t>Journal of Social Sciences</w:t>
      </w:r>
      <w:r>
        <w:rPr/>
        <w:t>, 11 (2), 91-96.</w:t>
      </w:r>
    </w:p>
    <w:p>
      <w:pPr>
        <w:pStyle w:val="BodyText"/>
      </w:pPr>
    </w:p>
    <w:p>
      <w:pPr>
        <w:spacing w:before="0"/>
        <w:ind w:left="571" w:right="1115" w:hanging="452"/>
        <w:jc w:val="both"/>
        <w:rPr>
          <w:sz w:val="24"/>
        </w:rPr>
      </w:pPr>
      <w:r>
        <w:rPr>
          <w:sz w:val="24"/>
        </w:rPr>
        <w:t>Olayiwola, L.M, Adeleye, O.A, &amp; Ogunshakin, L.(2005). Public housing delivery in Nigeria: Problems and challenges. </w:t>
      </w:r>
      <w:r>
        <w:rPr>
          <w:i/>
          <w:sz w:val="24"/>
        </w:rPr>
        <w:t>World Congress on Housing: Transforming Housing Environments through the design</w:t>
      </w:r>
      <w:r>
        <w:rPr>
          <w:sz w:val="24"/>
        </w:rPr>
        <w:t>, September 27-30, Pretoria South Africa, Vol. XXXIII </w:t>
      </w:r>
      <w:r>
        <w:rPr>
          <w:spacing w:val="-2"/>
          <w:sz w:val="24"/>
        </w:rPr>
        <w:t>IAHS.</w:t>
      </w:r>
    </w:p>
    <w:p>
      <w:pPr>
        <w:pStyle w:val="BodyText"/>
      </w:pPr>
    </w:p>
    <w:p>
      <w:pPr>
        <w:spacing w:before="0"/>
        <w:ind w:left="120" w:right="0" w:firstLine="0"/>
        <w:jc w:val="left"/>
        <w:rPr>
          <w:i/>
          <w:sz w:val="24"/>
        </w:rPr>
      </w:pPr>
      <w:r>
        <w:rPr>
          <w:sz w:val="24"/>
        </w:rPr>
        <w:t>Oldfield,</w:t>
      </w:r>
      <w:r>
        <w:rPr>
          <w:spacing w:val="38"/>
          <w:sz w:val="24"/>
        </w:rPr>
        <w:t> </w:t>
      </w:r>
      <w:r>
        <w:rPr>
          <w:sz w:val="24"/>
        </w:rPr>
        <w:t>A.</w:t>
      </w:r>
      <w:r>
        <w:rPr>
          <w:spacing w:val="39"/>
          <w:sz w:val="24"/>
        </w:rPr>
        <w:t> </w:t>
      </w:r>
      <w:r>
        <w:rPr>
          <w:sz w:val="24"/>
        </w:rPr>
        <w:t>(1990).</w:t>
      </w:r>
      <w:r>
        <w:rPr>
          <w:spacing w:val="39"/>
          <w:sz w:val="24"/>
        </w:rPr>
        <w:t> </w:t>
      </w:r>
      <w:r>
        <w:rPr>
          <w:i/>
          <w:sz w:val="24"/>
        </w:rPr>
        <w:t>Citizenship</w:t>
      </w:r>
      <w:r>
        <w:rPr>
          <w:i/>
          <w:spacing w:val="41"/>
          <w:sz w:val="24"/>
        </w:rPr>
        <w:t> </w:t>
      </w:r>
      <w:r>
        <w:rPr>
          <w:i/>
          <w:sz w:val="24"/>
        </w:rPr>
        <w:t>and</w:t>
      </w:r>
      <w:r>
        <w:rPr>
          <w:i/>
          <w:spacing w:val="39"/>
          <w:sz w:val="24"/>
        </w:rPr>
        <w:t> </w:t>
      </w:r>
      <w:r>
        <w:rPr>
          <w:i/>
          <w:sz w:val="24"/>
        </w:rPr>
        <w:t>community:</w:t>
      </w:r>
      <w:r>
        <w:rPr>
          <w:i/>
          <w:spacing w:val="41"/>
          <w:sz w:val="24"/>
        </w:rPr>
        <w:t> </w:t>
      </w:r>
      <w:r>
        <w:rPr>
          <w:i/>
          <w:sz w:val="24"/>
        </w:rPr>
        <w:t>Civic</w:t>
      </w:r>
      <w:r>
        <w:rPr>
          <w:i/>
          <w:spacing w:val="38"/>
          <w:sz w:val="24"/>
        </w:rPr>
        <w:t> </w:t>
      </w:r>
      <w:r>
        <w:rPr>
          <w:i/>
          <w:sz w:val="24"/>
        </w:rPr>
        <w:t>republicanism</w:t>
      </w:r>
      <w:r>
        <w:rPr>
          <w:i/>
          <w:spacing w:val="39"/>
          <w:sz w:val="24"/>
        </w:rPr>
        <w:t> </w:t>
      </w:r>
      <w:r>
        <w:rPr>
          <w:i/>
          <w:sz w:val="24"/>
        </w:rPr>
        <w:t>and</w:t>
      </w:r>
      <w:r>
        <w:rPr>
          <w:i/>
          <w:spacing w:val="39"/>
          <w:sz w:val="24"/>
        </w:rPr>
        <w:t> </w:t>
      </w:r>
      <w:r>
        <w:rPr>
          <w:i/>
          <w:sz w:val="24"/>
        </w:rPr>
        <w:t>the</w:t>
      </w:r>
      <w:r>
        <w:rPr>
          <w:i/>
          <w:spacing w:val="39"/>
          <w:sz w:val="24"/>
        </w:rPr>
        <w:t> </w:t>
      </w:r>
      <w:r>
        <w:rPr>
          <w:i/>
          <w:sz w:val="24"/>
        </w:rPr>
        <w:t>modern</w:t>
      </w:r>
      <w:r>
        <w:rPr>
          <w:i/>
          <w:spacing w:val="40"/>
          <w:sz w:val="24"/>
        </w:rPr>
        <w:t> </w:t>
      </w:r>
      <w:r>
        <w:rPr>
          <w:i/>
          <w:spacing w:val="-2"/>
          <w:sz w:val="24"/>
        </w:rPr>
        <w:t>world.</w:t>
      </w:r>
    </w:p>
    <w:p>
      <w:pPr>
        <w:pStyle w:val="BodyText"/>
        <w:ind w:left="571"/>
      </w:pPr>
      <w:r>
        <w:rPr/>
        <w:t>London:</w:t>
      </w:r>
      <w:r>
        <w:rPr>
          <w:spacing w:val="-3"/>
        </w:rPr>
        <w:t> </w:t>
      </w:r>
      <w:r>
        <w:rPr>
          <w:spacing w:val="-2"/>
        </w:rPr>
        <w:t>Routledge.</w:t>
      </w:r>
    </w:p>
    <w:p>
      <w:pPr>
        <w:pStyle w:val="BodyText"/>
      </w:pPr>
    </w:p>
    <w:p>
      <w:pPr>
        <w:spacing w:before="0"/>
        <w:ind w:left="571" w:right="1119" w:hanging="452"/>
        <w:jc w:val="both"/>
        <w:rPr>
          <w:sz w:val="24"/>
        </w:rPr>
      </w:pPr>
      <w:r>
        <w:rPr>
          <w:sz w:val="24"/>
        </w:rPr>
        <w:t>Oliver, P. (2006). </w:t>
      </w:r>
      <w:r>
        <w:rPr>
          <w:i/>
          <w:sz w:val="24"/>
        </w:rPr>
        <w:t>Built to meet needs: Cultural issues in vernacular architecture</w:t>
      </w:r>
      <w:r>
        <w:rPr>
          <w:sz w:val="24"/>
        </w:rPr>
        <w:t>. Italy: Architectural press.</w:t>
      </w:r>
    </w:p>
    <w:p>
      <w:pPr>
        <w:pStyle w:val="BodyText"/>
      </w:pPr>
    </w:p>
    <w:p>
      <w:pPr>
        <w:spacing w:before="0"/>
        <w:ind w:left="571" w:right="1115" w:hanging="452"/>
        <w:jc w:val="both"/>
        <w:rPr>
          <w:sz w:val="24"/>
        </w:rPr>
      </w:pPr>
      <w:r>
        <w:rPr>
          <w:sz w:val="24"/>
        </w:rPr>
        <w:t>Olomola, A. S. (2006). Performance management and its relevance for effective budgetary process</w:t>
      </w:r>
      <w:r>
        <w:rPr>
          <w:spacing w:val="-3"/>
          <w:sz w:val="24"/>
        </w:rPr>
        <w:t> </w:t>
      </w:r>
      <w:r>
        <w:rPr>
          <w:sz w:val="24"/>
        </w:rPr>
        <w:t>in</w:t>
      </w:r>
      <w:r>
        <w:rPr>
          <w:spacing w:val="-3"/>
          <w:sz w:val="24"/>
        </w:rPr>
        <w:t> </w:t>
      </w:r>
      <w:r>
        <w:rPr>
          <w:sz w:val="24"/>
        </w:rPr>
        <w:t>Nigeria.</w:t>
      </w:r>
      <w:r>
        <w:rPr>
          <w:spacing w:val="-1"/>
          <w:sz w:val="24"/>
        </w:rPr>
        <w:t> </w:t>
      </w:r>
      <w:r>
        <w:rPr>
          <w:sz w:val="24"/>
        </w:rPr>
        <w:t>In</w:t>
      </w:r>
      <w:r>
        <w:rPr>
          <w:spacing w:val="-1"/>
          <w:sz w:val="24"/>
        </w:rPr>
        <w:t> </w:t>
      </w:r>
      <w:r>
        <w:rPr>
          <w:sz w:val="24"/>
        </w:rPr>
        <w:t>B.</w:t>
      </w:r>
      <w:r>
        <w:rPr>
          <w:spacing w:val="-1"/>
          <w:sz w:val="24"/>
        </w:rPr>
        <w:t> </w:t>
      </w:r>
      <w:r>
        <w:rPr>
          <w:sz w:val="24"/>
        </w:rPr>
        <w:t>Oni</w:t>
      </w:r>
      <w:r>
        <w:rPr>
          <w:spacing w:val="-3"/>
          <w:sz w:val="24"/>
        </w:rPr>
        <w:t> </w:t>
      </w:r>
      <w:r>
        <w:rPr>
          <w:sz w:val="24"/>
        </w:rPr>
        <w:t>&amp;</w:t>
      </w:r>
      <w:r>
        <w:rPr>
          <w:spacing w:val="-5"/>
          <w:sz w:val="24"/>
        </w:rPr>
        <w:t> </w:t>
      </w:r>
      <w:r>
        <w:rPr>
          <w:sz w:val="24"/>
        </w:rPr>
        <w:t>Olomola,</w:t>
      </w:r>
      <w:r>
        <w:rPr>
          <w:spacing w:val="-3"/>
          <w:sz w:val="24"/>
        </w:rPr>
        <w:t> </w:t>
      </w:r>
      <w:r>
        <w:rPr>
          <w:sz w:val="24"/>
        </w:rPr>
        <w:t>A.S.</w:t>
      </w:r>
      <w:r>
        <w:rPr>
          <w:spacing w:val="-1"/>
          <w:sz w:val="24"/>
        </w:rPr>
        <w:t> </w:t>
      </w:r>
      <w:r>
        <w:rPr>
          <w:sz w:val="24"/>
        </w:rPr>
        <w:t>(Eds.).</w:t>
      </w:r>
      <w:r>
        <w:rPr>
          <w:i/>
          <w:sz w:val="24"/>
        </w:rPr>
        <w:t>Towards</w:t>
      </w:r>
      <w:r>
        <w:rPr>
          <w:i/>
          <w:spacing w:val="-3"/>
          <w:sz w:val="24"/>
        </w:rPr>
        <w:t> </w:t>
      </w:r>
      <w:r>
        <w:rPr>
          <w:i/>
          <w:sz w:val="24"/>
        </w:rPr>
        <w:t>effectiveness</w:t>
      </w:r>
      <w:r>
        <w:rPr>
          <w:i/>
          <w:spacing w:val="-3"/>
          <w:sz w:val="24"/>
        </w:rPr>
        <w:t> </w:t>
      </w:r>
      <w:r>
        <w:rPr>
          <w:i/>
          <w:sz w:val="24"/>
        </w:rPr>
        <w:t>of</w:t>
      </w:r>
      <w:r>
        <w:rPr>
          <w:i/>
          <w:spacing w:val="-3"/>
          <w:sz w:val="24"/>
        </w:rPr>
        <w:t> </w:t>
      </w:r>
      <w:r>
        <w:rPr>
          <w:i/>
          <w:sz w:val="24"/>
        </w:rPr>
        <w:t>the</w:t>
      </w:r>
      <w:r>
        <w:rPr>
          <w:i/>
          <w:spacing w:val="-3"/>
          <w:sz w:val="24"/>
        </w:rPr>
        <w:t> </w:t>
      </w:r>
      <w:r>
        <w:rPr>
          <w:i/>
          <w:sz w:val="24"/>
        </w:rPr>
        <w:t>budgetary process in Nigeria</w:t>
      </w:r>
      <w:r>
        <w:rPr>
          <w:sz w:val="24"/>
        </w:rPr>
        <w:t>. Ibadan: NISER.</w:t>
      </w:r>
    </w:p>
    <w:p>
      <w:pPr>
        <w:pStyle w:val="BodyText"/>
      </w:pPr>
    </w:p>
    <w:p>
      <w:pPr>
        <w:spacing w:before="0"/>
        <w:ind w:left="571" w:right="1117" w:hanging="452"/>
        <w:jc w:val="both"/>
        <w:rPr>
          <w:sz w:val="24"/>
        </w:rPr>
      </w:pPr>
      <w:r>
        <w:rPr>
          <w:sz w:val="24"/>
        </w:rPr>
        <w:t>Olomola, A.S. (2009a). Strategies and consequences of budgetary reforms in Nigeria. </w:t>
      </w:r>
      <w:r>
        <w:rPr>
          <w:i/>
          <w:sz w:val="24"/>
        </w:rPr>
        <w:t>Paper for Presentation at the 65</w:t>
      </w:r>
      <w:r>
        <w:rPr>
          <w:i/>
          <w:sz w:val="24"/>
          <w:vertAlign w:val="superscript"/>
        </w:rPr>
        <w:t>th</w:t>
      </w:r>
      <w:r>
        <w:rPr>
          <w:i/>
          <w:sz w:val="24"/>
          <w:vertAlign w:val="baseline"/>
        </w:rPr>
        <w:t> Annual Congress of the Institute of International Public Finance (IIPF)</w:t>
      </w:r>
      <w:r>
        <w:rPr>
          <w:sz w:val="24"/>
          <w:vertAlign w:val="baseline"/>
        </w:rPr>
        <w:t>, Cape Town, South Africa.</w:t>
      </w:r>
    </w:p>
    <w:p>
      <w:pPr>
        <w:pStyle w:val="BodyText"/>
        <w:spacing w:before="1"/>
      </w:pPr>
    </w:p>
    <w:p>
      <w:pPr>
        <w:spacing w:before="0"/>
        <w:ind w:left="571" w:right="1223" w:hanging="452"/>
        <w:jc w:val="left"/>
        <w:rPr>
          <w:sz w:val="24"/>
        </w:rPr>
      </w:pPr>
      <w:r>
        <w:rPr>
          <w:sz w:val="24"/>
        </w:rPr>
        <w:t>Olomola, A. S. (2009b). </w:t>
      </w:r>
      <w:r>
        <w:rPr>
          <w:i/>
          <w:sz w:val="24"/>
        </w:rPr>
        <w:t>Essentials and modalities of public sector budgeting in Nigeria</w:t>
      </w:r>
      <w:r>
        <w:rPr>
          <w:sz w:val="24"/>
        </w:rPr>
        <w:t>. Paper delivered at the financial management and budgeting course organized by NISER for Staff of the Federal Ministry of Agriculture and Water Resources, November 2-13.</w:t>
      </w:r>
    </w:p>
    <w:p>
      <w:pPr>
        <w:pStyle w:val="BodyText"/>
      </w:pPr>
    </w:p>
    <w:p>
      <w:pPr>
        <w:spacing w:before="0"/>
        <w:ind w:left="120" w:right="0" w:firstLine="0"/>
        <w:jc w:val="left"/>
        <w:rPr>
          <w:i/>
          <w:sz w:val="24"/>
        </w:rPr>
      </w:pPr>
      <w:r>
        <w:rPr>
          <w:sz w:val="24"/>
        </w:rPr>
        <w:t>Olomola,</w:t>
      </w:r>
      <w:r>
        <w:rPr>
          <w:spacing w:val="-3"/>
          <w:sz w:val="24"/>
        </w:rPr>
        <w:t> </w:t>
      </w:r>
      <w:r>
        <w:rPr>
          <w:sz w:val="24"/>
        </w:rPr>
        <w:t>A.</w:t>
      </w:r>
      <w:r>
        <w:rPr>
          <w:spacing w:val="-1"/>
          <w:sz w:val="24"/>
        </w:rPr>
        <w:t> </w:t>
      </w:r>
      <w:r>
        <w:rPr>
          <w:sz w:val="24"/>
        </w:rPr>
        <w:t>S. (2010).</w:t>
      </w:r>
      <w:r>
        <w:rPr>
          <w:spacing w:val="-1"/>
          <w:sz w:val="24"/>
        </w:rPr>
        <w:t> </w:t>
      </w:r>
      <w:r>
        <w:rPr>
          <w:i/>
          <w:sz w:val="24"/>
        </w:rPr>
        <w:t>Conducting the</w:t>
      </w:r>
      <w:r>
        <w:rPr>
          <w:i/>
          <w:spacing w:val="-1"/>
          <w:sz w:val="24"/>
        </w:rPr>
        <w:t> </w:t>
      </w:r>
      <w:r>
        <w:rPr>
          <w:i/>
          <w:sz w:val="24"/>
        </w:rPr>
        <w:t>assessment</w:t>
      </w:r>
      <w:r>
        <w:rPr>
          <w:i/>
          <w:spacing w:val="1"/>
          <w:sz w:val="24"/>
        </w:rPr>
        <w:t> </w:t>
      </w:r>
      <w:r>
        <w:rPr>
          <w:i/>
          <w:sz w:val="24"/>
        </w:rPr>
        <w:t>of budget</w:t>
      </w:r>
      <w:r>
        <w:rPr>
          <w:i/>
          <w:spacing w:val="-1"/>
          <w:sz w:val="24"/>
        </w:rPr>
        <w:t> </w:t>
      </w:r>
      <w:r>
        <w:rPr>
          <w:i/>
          <w:sz w:val="24"/>
        </w:rPr>
        <w:t>implementation in</w:t>
      </w:r>
      <w:r>
        <w:rPr>
          <w:i/>
          <w:spacing w:val="-1"/>
          <w:sz w:val="24"/>
        </w:rPr>
        <w:t> </w:t>
      </w:r>
      <w:r>
        <w:rPr>
          <w:i/>
          <w:sz w:val="24"/>
        </w:rPr>
        <w:t>the </w:t>
      </w:r>
      <w:r>
        <w:rPr>
          <w:i/>
          <w:spacing w:val="-2"/>
          <w:sz w:val="24"/>
        </w:rPr>
        <w:t>South-</w:t>
      </w:r>
    </w:p>
    <w:p>
      <w:pPr>
        <w:pStyle w:val="BodyText"/>
        <w:ind w:left="571" w:right="1117"/>
      </w:pPr>
      <w:r>
        <w:rPr>
          <w:i/>
        </w:rPr>
        <w:t>East and South-South Zones</w:t>
      </w:r>
      <w:r>
        <w:rPr/>
        <w:t>. Paper presented at the stakeholders‘ forum on budget implementation</w:t>
      </w:r>
      <w:r>
        <w:rPr>
          <w:spacing w:val="40"/>
        </w:rPr>
        <w:t> </w:t>
      </w:r>
      <w:r>
        <w:rPr/>
        <w:t>for</w:t>
      </w:r>
      <w:r>
        <w:rPr>
          <w:spacing w:val="40"/>
        </w:rPr>
        <w:t> </w:t>
      </w:r>
      <w:r>
        <w:rPr/>
        <w:t>the</w:t>
      </w:r>
      <w:r>
        <w:rPr>
          <w:spacing w:val="40"/>
        </w:rPr>
        <w:t> </w:t>
      </w:r>
      <w:r>
        <w:rPr/>
        <w:t>South-East</w:t>
      </w:r>
      <w:r>
        <w:rPr>
          <w:spacing w:val="40"/>
        </w:rPr>
        <w:t> </w:t>
      </w:r>
      <w:r>
        <w:rPr/>
        <w:t>and</w:t>
      </w:r>
      <w:r>
        <w:rPr>
          <w:spacing w:val="40"/>
        </w:rPr>
        <w:t> </w:t>
      </w:r>
      <w:r>
        <w:rPr/>
        <w:t>South-South</w:t>
      </w:r>
      <w:r>
        <w:rPr>
          <w:spacing w:val="40"/>
        </w:rPr>
        <w:t> </w:t>
      </w:r>
      <w:r>
        <w:rPr/>
        <w:t>Geopolitical</w:t>
      </w:r>
      <w:r>
        <w:rPr>
          <w:spacing w:val="40"/>
        </w:rPr>
        <w:t> </w:t>
      </w:r>
      <w:r>
        <w:rPr/>
        <w:t>Zones,</w:t>
      </w:r>
      <w:r>
        <w:rPr>
          <w:spacing w:val="40"/>
        </w:rPr>
        <w:t> </w:t>
      </w:r>
      <w:r>
        <w:rPr/>
        <w:t>organized</w:t>
      </w:r>
      <w:r>
        <w:rPr>
          <w:spacing w:val="40"/>
        </w:rPr>
        <w:t> </w:t>
      </w:r>
      <w:r>
        <w:rPr/>
        <w:t>by</w:t>
      </w:r>
      <w:r>
        <w:rPr>
          <w:spacing w:val="80"/>
        </w:rPr>
        <w:t> </w:t>
      </w:r>
      <w:r>
        <w:rPr/>
        <w:t>NISER in Calabar, July 14-15.</w:t>
      </w:r>
    </w:p>
    <w:p>
      <w:pPr>
        <w:spacing w:after="0"/>
        <w:sectPr>
          <w:pgSz w:w="12240" w:h="15840"/>
          <w:pgMar w:header="0" w:footer="1036" w:top="1360" w:bottom="1220" w:left="1320" w:right="320"/>
        </w:sectPr>
      </w:pPr>
    </w:p>
    <w:p>
      <w:pPr>
        <w:pStyle w:val="BodyText"/>
        <w:spacing w:before="72"/>
        <w:ind w:left="120"/>
      </w:pPr>
      <w:r>
        <w:rPr/>
        <w:t>Olomolaiye,</w:t>
      </w:r>
      <w:r>
        <w:rPr>
          <w:spacing w:val="29"/>
        </w:rPr>
        <w:t> </w:t>
      </w:r>
      <w:r>
        <w:rPr/>
        <w:t>O.</w:t>
      </w:r>
      <w:r>
        <w:rPr>
          <w:spacing w:val="29"/>
        </w:rPr>
        <w:t> </w:t>
      </w:r>
      <w:r>
        <w:rPr/>
        <w:t>(1999).</w:t>
      </w:r>
      <w:r>
        <w:rPr>
          <w:spacing w:val="33"/>
        </w:rPr>
        <w:t> </w:t>
      </w:r>
      <w:r>
        <w:rPr/>
        <w:t>Rural</w:t>
      </w:r>
      <w:r>
        <w:rPr>
          <w:spacing w:val="30"/>
        </w:rPr>
        <w:t> </w:t>
      </w:r>
      <w:r>
        <w:rPr/>
        <w:t>housing</w:t>
      </w:r>
      <w:r>
        <w:rPr>
          <w:spacing w:val="27"/>
        </w:rPr>
        <w:t> </w:t>
      </w:r>
      <w:r>
        <w:rPr/>
        <w:t>in</w:t>
      </w:r>
      <w:r>
        <w:rPr>
          <w:spacing w:val="31"/>
        </w:rPr>
        <w:t> </w:t>
      </w:r>
      <w:r>
        <w:rPr/>
        <w:t>Nigeria;</w:t>
      </w:r>
      <w:r>
        <w:rPr>
          <w:spacing w:val="30"/>
        </w:rPr>
        <w:t> </w:t>
      </w:r>
      <w:r>
        <w:rPr/>
        <w:t>concept,</w:t>
      </w:r>
      <w:r>
        <w:rPr>
          <w:spacing w:val="30"/>
        </w:rPr>
        <w:t> </w:t>
      </w:r>
      <w:r>
        <w:rPr/>
        <w:t>problems</w:t>
      </w:r>
      <w:r>
        <w:rPr>
          <w:spacing w:val="30"/>
        </w:rPr>
        <w:t> </w:t>
      </w:r>
      <w:r>
        <w:rPr/>
        <w:t>and</w:t>
      </w:r>
      <w:r>
        <w:rPr>
          <w:spacing w:val="29"/>
        </w:rPr>
        <w:t> </w:t>
      </w:r>
      <w:r>
        <w:rPr/>
        <w:t>functional</w:t>
      </w:r>
      <w:r>
        <w:rPr>
          <w:spacing w:val="30"/>
        </w:rPr>
        <w:t> </w:t>
      </w:r>
      <w:r>
        <w:rPr>
          <w:spacing w:val="-2"/>
        </w:rPr>
        <w:t>approach.</w:t>
      </w:r>
    </w:p>
    <w:p>
      <w:pPr>
        <w:spacing w:before="0"/>
        <w:ind w:left="571" w:right="0" w:firstLine="0"/>
        <w:jc w:val="left"/>
        <w:rPr>
          <w:sz w:val="24"/>
        </w:rPr>
      </w:pPr>
      <w:r>
        <w:rPr>
          <w:i/>
          <w:sz w:val="24"/>
        </w:rPr>
        <w:t>Journal</w:t>
      </w:r>
      <w:r>
        <w:rPr>
          <w:i/>
          <w:spacing w:val="-1"/>
          <w:sz w:val="24"/>
        </w:rPr>
        <w:t> </w:t>
      </w:r>
      <w:r>
        <w:rPr>
          <w:i/>
          <w:sz w:val="24"/>
        </w:rPr>
        <w:t>of the</w:t>
      </w:r>
      <w:r>
        <w:rPr>
          <w:i/>
          <w:spacing w:val="-1"/>
          <w:sz w:val="24"/>
        </w:rPr>
        <w:t> </w:t>
      </w:r>
      <w:r>
        <w:rPr>
          <w:i/>
          <w:sz w:val="24"/>
        </w:rPr>
        <w:t>Nigerian Institute</w:t>
      </w:r>
      <w:r>
        <w:rPr>
          <w:i/>
          <w:spacing w:val="-1"/>
          <w:sz w:val="24"/>
        </w:rPr>
        <w:t> </w:t>
      </w:r>
      <w:r>
        <w:rPr>
          <w:i/>
          <w:sz w:val="24"/>
        </w:rPr>
        <w:t>of Town</w:t>
      </w:r>
      <w:r>
        <w:rPr>
          <w:i/>
          <w:spacing w:val="-1"/>
          <w:sz w:val="24"/>
        </w:rPr>
        <w:t> </w:t>
      </w:r>
      <w:r>
        <w:rPr>
          <w:i/>
          <w:sz w:val="24"/>
        </w:rPr>
        <w:t>Planners</w:t>
      </w:r>
      <w:r>
        <w:rPr>
          <w:sz w:val="24"/>
        </w:rPr>
        <w:t>, 4(5), </w:t>
      </w:r>
      <w:r>
        <w:rPr>
          <w:spacing w:val="-2"/>
          <w:sz w:val="24"/>
        </w:rPr>
        <w:t>20–30.</w:t>
      </w:r>
    </w:p>
    <w:p>
      <w:pPr>
        <w:pStyle w:val="BodyText"/>
      </w:pPr>
    </w:p>
    <w:p>
      <w:pPr>
        <w:spacing w:before="0"/>
        <w:ind w:left="571" w:right="1112" w:hanging="452"/>
        <w:jc w:val="both"/>
        <w:rPr>
          <w:sz w:val="24"/>
        </w:rPr>
      </w:pPr>
      <w:r>
        <w:rPr>
          <w:sz w:val="24"/>
        </w:rPr>
        <w:t>Olotuah, O.A. (2006).Cooperative housing for sustainable low-income housing development in Nigeria. Kuwait City: </w:t>
      </w:r>
      <w:r>
        <w:rPr>
          <w:i/>
          <w:sz w:val="24"/>
        </w:rPr>
        <w:t>Proceedings of the Gulf first urban planning and development conference &amp; exhibition. Current issues in urban planning</w:t>
      </w:r>
      <w:r>
        <w:rPr>
          <w:sz w:val="24"/>
        </w:rPr>
        <w:t>, 20th-22nd Feb (pp.572 – 578). Kuwait</w:t>
      </w:r>
      <w:r>
        <w:rPr>
          <w:spacing w:val="-1"/>
          <w:sz w:val="24"/>
        </w:rPr>
        <w:t> </w:t>
      </w:r>
      <w:r>
        <w:rPr>
          <w:sz w:val="24"/>
        </w:rPr>
        <w:t>City.</w:t>
      </w:r>
      <w:r>
        <w:rPr>
          <w:spacing w:val="-1"/>
          <w:sz w:val="24"/>
        </w:rPr>
        <w:t> </w:t>
      </w:r>
      <w:r>
        <w:rPr>
          <w:sz w:val="24"/>
        </w:rPr>
        <w:t>Retrieved from</w:t>
      </w:r>
      <w:r>
        <w:rPr>
          <w:spacing w:val="-1"/>
          <w:sz w:val="24"/>
        </w:rPr>
        <w:t> </w:t>
      </w:r>
      <w:hyperlink r:id="rId240">
        <w:r>
          <w:rPr>
            <w:sz w:val="24"/>
          </w:rPr>
          <w:t>http://www.kfupm.edu.sa/crp/kuwaitconference/paper/572-578</w:t>
        </w:r>
      </w:hyperlink>
    </w:p>
    <w:p>
      <w:pPr>
        <w:pStyle w:val="BodyText"/>
      </w:pPr>
    </w:p>
    <w:p>
      <w:pPr>
        <w:spacing w:before="0"/>
        <w:ind w:left="571" w:right="1116" w:hanging="452"/>
        <w:jc w:val="both"/>
        <w:rPr>
          <w:sz w:val="24"/>
        </w:rPr>
      </w:pPr>
      <w:r>
        <w:rPr>
          <w:sz w:val="24"/>
        </w:rPr>
        <w:t>Olowoyeye, O., &amp; I. H. Mshelgaru, I.H. (2010). An assessment of the problems militating</w:t>
      </w:r>
      <w:r>
        <w:rPr>
          <w:spacing w:val="40"/>
          <w:sz w:val="24"/>
        </w:rPr>
        <w:t> </w:t>
      </w:r>
      <w:r>
        <w:rPr>
          <w:sz w:val="24"/>
        </w:rPr>
        <w:t>against private estate developers in housing delivery in Lagos State, Nigeria. </w:t>
      </w:r>
      <w:r>
        <w:rPr>
          <w:i/>
          <w:sz w:val="24"/>
        </w:rPr>
        <w:t>Nigerian Journal of Construction Technology and Management</w:t>
      </w:r>
      <w:r>
        <w:rPr>
          <w:sz w:val="24"/>
        </w:rPr>
        <w:t>,11(1), 29 – 35.</w:t>
      </w:r>
    </w:p>
    <w:p>
      <w:pPr>
        <w:pStyle w:val="BodyText"/>
      </w:pPr>
    </w:p>
    <w:p>
      <w:pPr>
        <w:spacing w:before="0"/>
        <w:ind w:left="571" w:right="1115" w:hanging="452"/>
        <w:jc w:val="both"/>
        <w:rPr>
          <w:sz w:val="24"/>
        </w:rPr>
      </w:pPr>
      <w:r>
        <w:rPr>
          <w:sz w:val="24"/>
        </w:rPr>
        <w:t>Olufidipe, O. (2003). </w:t>
      </w:r>
      <w:r>
        <w:rPr>
          <w:i/>
          <w:sz w:val="24"/>
        </w:rPr>
        <w:t>Government budgeting in Nigeria: principle, policies, and practices</w:t>
      </w:r>
      <w:r>
        <w:rPr>
          <w:sz w:val="24"/>
        </w:rPr>
        <w:t>. Ile- Ife: Obafemi Awolowo University Press Ltd.</w:t>
      </w:r>
    </w:p>
    <w:p>
      <w:pPr>
        <w:pStyle w:val="BodyText"/>
        <w:spacing w:before="1"/>
      </w:pPr>
    </w:p>
    <w:p>
      <w:pPr>
        <w:spacing w:before="0"/>
        <w:ind w:left="571" w:right="1118" w:hanging="452"/>
        <w:jc w:val="both"/>
        <w:rPr>
          <w:sz w:val="24"/>
        </w:rPr>
      </w:pPr>
      <w:r>
        <w:rPr>
          <w:sz w:val="24"/>
        </w:rPr>
        <w:t>Olusola, O. M. (2014). Housing delivery system, need and demand. </w:t>
      </w:r>
      <w:r>
        <w:rPr>
          <w:i/>
          <w:sz w:val="24"/>
        </w:rPr>
        <w:t>Environment, Development and Sustainability</w:t>
      </w:r>
      <w:r>
        <w:rPr>
          <w:sz w:val="24"/>
        </w:rPr>
        <w:t>,16, 49–69.</w:t>
      </w:r>
    </w:p>
    <w:p>
      <w:pPr>
        <w:pStyle w:val="BodyText"/>
      </w:pPr>
    </w:p>
    <w:p>
      <w:pPr>
        <w:spacing w:before="0"/>
        <w:ind w:left="571" w:right="1118" w:hanging="452"/>
        <w:jc w:val="both"/>
        <w:rPr>
          <w:sz w:val="24"/>
        </w:rPr>
      </w:pPr>
      <w:r>
        <w:rPr>
          <w:sz w:val="24"/>
        </w:rPr>
        <w:t>Oluwaluyi, A. (2008). Workable Housing delivery strategies in a developing economy. </w:t>
      </w:r>
      <w:r>
        <w:rPr>
          <w:i/>
          <w:sz w:val="24"/>
        </w:rPr>
        <w:t>A paper presented at Lagos International Housing Conference </w:t>
      </w:r>
      <w:r>
        <w:rPr>
          <w:sz w:val="24"/>
        </w:rPr>
        <w:t>organized by Lagos State Branch of the Nigerian Institution of Estate Surveyors &amp; Valuers (NIESV).</w:t>
      </w:r>
    </w:p>
    <w:p>
      <w:pPr>
        <w:pStyle w:val="BodyText"/>
      </w:pPr>
    </w:p>
    <w:p>
      <w:pPr>
        <w:pStyle w:val="BodyText"/>
        <w:ind w:left="480" w:right="1117" w:hanging="360"/>
      </w:pPr>
      <w:r>
        <w:rPr/>
        <w:t>Omeife,</w:t>
      </w:r>
      <w:r>
        <w:rPr>
          <w:spacing w:val="-3"/>
        </w:rPr>
        <w:t> </w:t>
      </w:r>
      <w:r>
        <w:rPr/>
        <w:t>C.</w:t>
      </w:r>
      <w:r>
        <w:rPr>
          <w:spacing w:val="-3"/>
        </w:rPr>
        <w:t> </w:t>
      </w:r>
      <w:r>
        <w:rPr/>
        <w:t>(2012,</w:t>
      </w:r>
      <w:r>
        <w:rPr>
          <w:spacing w:val="-3"/>
        </w:rPr>
        <w:t> </w:t>
      </w:r>
      <w:r>
        <w:rPr/>
        <w:t>July</w:t>
      </w:r>
      <w:r>
        <w:rPr>
          <w:spacing w:val="-8"/>
        </w:rPr>
        <w:t> </w:t>
      </w:r>
      <w:r>
        <w:rPr/>
        <w:t>31)</w:t>
      </w:r>
      <w:r>
        <w:rPr>
          <w:spacing w:val="-2"/>
        </w:rPr>
        <w:t> </w:t>
      </w:r>
      <w:r>
        <w:rPr/>
        <w:t>Let‘s</w:t>
      </w:r>
      <w:r>
        <w:rPr>
          <w:spacing w:val="-1"/>
        </w:rPr>
        <w:t> </w:t>
      </w:r>
      <w:r>
        <w:rPr/>
        <w:t>give</w:t>
      </w:r>
      <w:r>
        <w:rPr>
          <w:spacing w:val="-3"/>
        </w:rPr>
        <w:t> </w:t>
      </w:r>
      <w:r>
        <w:rPr/>
        <w:t>new</w:t>
      </w:r>
      <w:r>
        <w:rPr>
          <w:spacing w:val="-4"/>
        </w:rPr>
        <w:t> </w:t>
      </w:r>
      <w:r>
        <w:rPr/>
        <w:t>housing</w:t>
      </w:r>
      <w:r>
        <w:rPr>
          <w:spacing w:val="-6"/>
        </w:rPr>
        <w:t> </w:t>
      </w:r>
      <w:r>
        <w:rPr/>
        <w:t>policies</w:t>
      </w:r>
      <w:r>
        <w:rPr>
          <w:spacing w:val="-4"/>
        </w:rPr>
        <w:t> </w:t>
      </w:r>
      <w:r>
        <w:rPr/>
        <w:t>a</w:t>
      </w:r>
      <w:r>
        <w:rPr>
          <w:spacing w:val="-2"/>
        </w:rPr>
        <w:t> </w:t>
      </w:r>
      <w:r>
        <w:rPr/>
        <w:t>chance. </w:t>
      </w:r>
      <w:r>
        <w:rPr>
          <w:i/>
        </w:rPr>
        <w:t>The</w:t>
      </w:r>
      <w:r>
        <w:rPr>
          <w:i/>
          <w:spacing w:val="-2"/>
        </w:rPr>
        <w:t> </w:t>
      </w:r>
      <w:r>
        <w:rPr>
          <w:i/>
        </w:rPr>
        <w:t>Vanguard</w:t>
      </w:r>
      <w:r>
        <w:rPr/>
        <w:t>.</w:t>
      </w:r>
      <w:r>
        <w:rPr>
          <w:spacing w:val="-3"/>
        </w:rPr>
        <w:t> </w:t>
      </w:r>
      <w:r>
        <w:rPr/>
        <w:t>Retrieved from </w:t>
      </w:r>
      <w:hyperlink r:id="rId241">
        <w:r>
          <w:rPr/>
          <w:t>http://www.vangardngr.com/2012/07/lets-give-new-housing-policy-a-chance</w:t>
        </w:r>
      </w:hyperlink>
    </w:p>
    <w:p>
      <w:pPr>
        <w:pStyle w:val="BodyText"/>
      </w:pPr>
    </w:p>
    <w:p>
      <w:pPr>
        <w:spacing w:before="1"/>
        <w:ind w:left="571" w:right="1115" w:hanging="452"/>
        <w:jc w:val="both"/>
        <w:rPr>
          <w:sz w:val="24"/>
        </w:rPr>
      </w:pPr>
      <w:r>
        <w:rPr>
          <w:sz w:val="24"/>
        </w:rPr>
        <w:t>Omolehinwa, E. (2014). Issues and Challenges on budget performance. </w:t>
      </w:r>
      <w:r>
        <w:rPr>
          <w:i/>
          <w:sz w:val="24"/>
        </w:rPr>
        <w:t>Paper Presented at</w:t>
      </w:r>
      <w:r>
        <w:rPr>
          <w:i/>
          <w:spacing w:val="40"/>
          <w:sz w:val="24"/>
        </w:rPr>
        <w:t> </w:t>
      </w:r>
      <w:r>
        <w:rPr>
          <w:i/>
          <w:sz w:val="24"/>
        </w:rPr>
        <w:t>ICAN Symposium on Federal Government of Nigeria 2014 Budget </w:t>
      </w:r>
      <w:r>
        <w:rPr>
          <w:sz w:val="24"/>
        </w:rPr>
        <w:t>at the Muson Centre on July 15. Onikan, Lagos: Department of Accounting, University of Lagos.</w:t>
      </w:r>
    </w:p>
    <w:p>
      <w:pPr>
        <w:pStyle w:val="BodyText"/>
      </w:pPr>
    </w:p>
    <w:p>
      <w:pPr>
        <w:spacing w:before="0"/>
        <w:ind w:left="571" w:right="1117" w:hanging="452"/>
        <w:jc w:val="left"/>
        <w:rPr>
          <w:sz w:val="24"/>
        </w:rPr>
      </w:pPr>
      <w:r>
        <w:rPr>
          <w:sz w:val="24"/>
        </w:rPr>
        <w:t>Omolehinwa,</w:t>
      </w:r>
      <w:r>
        <w:rPr>
          <w:spacing w:val="25"/>
          <w:sz w:val="24"/>
        </w:rPr>
        <w:t> </w:t>
      </w:r>
      <w:r>
        <w:rPr>
          <w:sz w:val="24"/>
        </w:rPr>
        <w:t>E.O.,</w:t>
      </w:r>
      <w:r>
        <w:rPr>
          <w:spacing w:val="27"/>
          <w:sz w:val="24"/>
        </w:rPr>
        <w:t> </w:t>
      </w:r>
      <w:r>
        <w:rPr>
          <w:sz w:val="24"/>
        </w:rPr>
        <w:t>&amp; Naiyeju,</w:t>
      </w:r>
      <w:r>
        <w:rPr>
          <w:spacing w:val="26"/>
          <w:sz w:val="24"/>
        </w:rPr>
        <w:t> </w:t>
      </w:r>
      <w:r>
        <w:rPr>
          <w:sz w:val="24"/>
        </w:rPr>
        <w:t>J.K.</w:t>
      </w:r>
      <w:r>
        <w:rPr>
          <w:spacing w:val="25"/>
          <w:sz w:val="24"/>
        </w:rPr>
        <w:t> </w:t>
      </w:r>
      <w:r>
        <w:rPr>
          <w:sz w:val="24"/>
        </w:rPr>
        <w:t>(2011).</w:t>
      </w:r>
      <w:r>
        <w:rPr>
          <w:spacing w:val="27"/>
          <w:sz w:val="24"/>
        </w:rPr>
        <w:t> </w:t>
      </w:r>
      <w:r>
        <w:rPr>
          <w:i/>
          <w:sz w:val="24"/>
        </w:rPr>
        <w:t>Theory</w:t>
      </w:r>
      <w:r>
        <w:rPr>
          <w:i/>
          <w:spacing w:val="24"/>
          <w:sz w:val="24"/>
        </w:rPr>
        <w:t> </w:t>
      </w:r>
      <w:r>
        <w:rPr>
          <w:i/>
          <w:sz w:val="24"/>
        </w:rPr>
        <w:t>and</w:t>
      </w:r>
      <w:r>
        <w:rPr>
          <w:i/>
          <w:spacing w:val="25"/>
          <w:sz w:val="24"/>
        </w:rPr>
        <w:t> </w:t>
      </w:r>
      <w:r>
        <w:rPr>
          <w:i/>
          <w:sz w:val="24"/>
        </w:rPr>
        <w:t>practice of</w:t>
      </w:r>
      <w:r>
        <w:rPr>
          <w:i/>
          <w:spacing w:val="26"/>
          <w:sz w:val="24"/>
        </w:rPr>
        <w:t> </w:t>
      </w:r>
      <w:r>
        <w:rPr>
          <w:i/>
          <w:sz w:val="24"/>
        </w:rPr>
        <w:t>government</w:t>
      </w:r>
      <w:r>
        <w:rPr>
          <w:i/>
          <w:spacing w:val="26"/>
          <w:sz w:val="24"/>
        </w:rPr>
        <w:t> </w:t>
      </w:r>
      <w:r>
        <w:rPr>
          <w:i/>
          <w:sz w:val="24"/>
        </w:rPr>
        <w:t>accounting</w:t>
      </w:r>
      <w:r>
        <w:rPr>
          <w:i/>
          <w:spacing w:val="25"/>
          <w:sz w:val="24"/>
        </w:rPr>
        <w:t> </w:t>
      </w:r>
      <w:r>
        <w:rPr>
          <w:i/>
          <w:sz w:val="24"/>
        </w:rPr>
        <w:t>in Nigeria</w:t>
      </w:r>
      <w:r>
        <w:rPr>
          <w:sz w:val="24"/>
        </w:rPr>
        <w:t>. Lagos: Pumark Nigeria Limited.</w:t>
      </w:r>
    </w:p>
    <w:p>
      <w:pPr>
        <w:pStyle w:val="BodyText"/>
      </w:pPr>
    </w:p>
    <w:p>
      <w:pPr>
        <w:spacing w:before="0"/>
        <w:ind w:left="571" w:right="1117" w:hanging="452"/>
        <w:jc w:val="left"/>
        <w:rPr>
          <w:sz w:val="24"/>
        </w:rPr>
      </w:pPr>
      <w:r>
        <w:rPr>
          <w:sz w:val="24"/>
        </w:rPr>
        <w:t>Omoniyi,</w:t>
      </w:r>
      <w:r>
        <w:rPr>
          <w:spacing w:val="-3"/>
          <w:sz w:val="24"/>
        </w:rPr>
        <w:t> </w:t>
      </w:r>
      <w:r>
        <w:rPr>
          <w:sz w:val="24"/>
        </w:rPr>
        <w:t>S.,</w:t>
      </w:r>
      <w:r>
        <w:rPr>
          <w:spacing w:val="-3"/>
          <w:sz w:val="24"/>
        </w:rPr>
        <w:t> </w:t>
      </w:r>
      <w:r>
        <w:rPr>
          <w:sz w:val="24"/>
        </w:rPr>
        <w:t>&amp;</w:t>
      </w:r>
      <w:r>
        <w:rPr>
          <w:spacing w:val="-5"/>
          <w:sz w:val="24"/>
        </w:rPr>
        <w:t> </w:t>
      </w:r>
      <w:r>
        <w:rPr>
          <w:sz w:val="24"/>
        </w:rPr>
        <w:t>Jiboye,</w:t>
      </w:r>
      <w:r>
        <w:rPr>
          <w:spacing w:val="-3"/>
          <w:sz w:val="24"/>
        </w:rPr>
        <w:t> </w:t>
      </w:r>
      <w:r>
        <w:rPr>
          <w:sz w:val="24"/>
        </w:rPr>
        <w:t>A.D.</w:t>
      </w:r>
      <w:r>
        <w:rPr>
          <w:spacing w:val="-3"/>
          <w:sz w:val="24"/>
        </w:rPr>
        <w:t> </w:t>
      </w:r>
      <w:r>
        <w:rPr>
          <w:sz w:val="24"/>
        </w:rPr>
        <w:t>(2011).</w:t>
      </w:r>
      <w:r>
        <w:rPr>
          <w:spacing w:val="-3"/>
          <w:sz w:val="24"/>
        </w:rPr>
        <w:t> </w:t>
      </w:r>
      <w:r>
        <w:rPr>
          <w:sz w:val="24"/>
        </w:rPr>
        <w:t>Effective</w:t>
      </w:r>
      <w:r>
        <w:rPr>
          <w:spacing w:val="-4"/>
          <w:sz w:val="24"/>
        </w:rPr>
        <w:t> </w:t>
      </w:r>
      <w:r>
        <w:rPr>
          <w:sz w:val="24"/>
        </w:rPr>
        <w:t>housing</w:t>
      </w:r>
      <w:r>
        <w:rPr>
          <w:spacing w:val="-5"/>
          <w:sz w:val="24"/>
        </w:rPr>
        <w:t> </w:t>
      </w:r>
      <w:r>
        <w:rPr>
          <w:sz w:val="24"/>
        </w:rPr>
        <w:t>policy</w:t>
      </w:r>
      <w:r>
        <w:rPr>
          <w:spacing w:val="-8"/>
          <w:sz w:val="24"/>
        </w:rPr>
        <w:t> </w:t>
      </w:r>
      <w:r>
        <w:rPr>
          <w:sz w:val="24"/>
        </w:rPr>
        <w:t>and</w:t>
      </w:r>
      <w:r>
        <w:rPr>
          <w:spacing w:val="-3"/>
          <w:sz w:val="24"/>
        </w:rPr>
        <w:t> </w:t>
      </w:r>
      <w:r>
        <w:rPr>
          <w:sz w:val="24"/>
        </w:rPr>
        <w:t>sustainable</w:t>
      </w:r>
      <w:r>
        <w:rPr>
          <w:spacing w:val="-3"/>
          <w:sz w:val="24"/>
        </w:rPr>
        <w:t> </w:t>
      </w:r>
      <w:r>
        <w:rPr>
          <w:sz w:val="24"/>
        </w:rPr>
        <w:t>development</w:t>
      </w:r>
      <w:r>
        <w:rPr>
          <w:spacing w:val="-3"/>
          <w:sz w:val="24"/>
        </w:rPr>
        <w:t> </w:t>
      </w:r>
      <w:r>
        <w:rPr>
          <w:sz w:val="24"/>
        </w:rPr>
        <w:t>in Nigeria. </w:t>
      </w:r>
      <w:r>
        <w:rPr>
          <w:i/>
          <w:sz w:val="24"/>
        </w:rPr>
        <w:t>International Journal of Development Studies</w:t>
      </w:r>
      <w:r>
        <w:rPr>
          <w:sz w:val="24"/>
        </w:rPr>
        <w:t>, 6(1), 129-135.</w:t>
      </w:r>
    </w:p>
    <w:p>
      <w:pPr>
        <w:pStyle w:val="BodyText"/>
      </w:pPr>
    </w:p>
    <w:p>
      <w:pPr>
        <w:pStyle w:val="BodyText"/>
        <w:ind w:left="571" w:right="1117" w:hanging="452"/>
      </w:pPr>
      <w:r>
        <w:rPr/>
        <w:t>Omotor,</w:t>
      </w:r>
      <w:r>
        <w:rPr>
          <w:spacing w:val="-4"/>
        </w:rPr>
        <w:t> </w:t>
      </w:r>
      <w:r>
        <w:rPr/>
        <w:t>D.G.</w:t>
      </w:r>
      <w:r>
        <w:rPr>
          <w:spacing w:val="-4"/>
        </w:rPr>
        <w:t> </w:t>
      </w:r>
      <w:r>
        <w:rPr/>
        <w:t>(2004).</w:t>
      </w:r>
      <w:r>
        <w:rPr>
          <w:spacing w:val="-4"/>
        </w:rPr>
        <w:t> </w:t>
      </w:r>
      <w:r>
        <w:rPr/>
        <w:t>An</w:t>
      </w:r>
      <w:r>
        <w:rPr>
          <w:spacing w:val="-3"/>
        </w:rPr>
        <w:t> </w:t>
      </w:r>
      <w:r>
        <w:rPr/>
        <w:t>analysis</w:t>
      </w:r>
      <w:r>
        <w:rPr>
          <w:spacing w:val="-4"/>
        </w:rPr>
        <w:t> </w:t>
      </w:r>
      <w:r>
        <w:rPr/>
        <w:t>of</w:t>
      </w:r>
      <w:r>
        <w:rPr>
          <w:spacing w:val="-4"/>
        </w:rPr>
        <w:t> </w:t>
      </w:r>
      <w:r>
        <w:rPr/>
        <w:t>federal</w:t>
      </w:r>
      <w:r>
        <w:rPr>
          <w:spacing w:val="-2"/>
        </w:rPr>
        <w:t> </w:t>
      </w:r>
      <w:r>
        <w:rPr/>
        <w:t>government</w:t>
      </w:r>
      <w:r>
        <w:rPr>
          <w:spacing w:val="-4"/>
        </w:rPr>
        <w:t> </w:t>
      </w:r>
      <w:r>
        <w:rPr/>
        <w:t>expenditure</w:t>
      </w:r>
      <w:r>
        <w:rPr>
          <w:spacing w:val="-5"/>
        </w:rPr>
        <w:t> </w:t>
      </w:r>
      <w:r>
        <w:rPr/>
        <w:t>in</w:t>
      </w:r>
      <w:r>
        <w:rPr>
          <w:spacing w:val="-4"/>
        </w:rPr>
        <w:t> </w:t>
      </w:r>
      <w:r>
        <w:rPr/>
        <w:t>the</w:t>
      </w:r>
      <w:r>
        <w:rPr>
          <w:spacing w:val="-5"/>
        </w:rPr>
        <w:t> </w:t>
      </w:r>
      <w:r>
        <w:rPr/>
        <w:t>education</w:t>
      </w:r>
      <w:r>
        <w:rPr>
          <w:spacing w:val="-4"/>
        </w:rPr>
        <w:t> </w:t>
      </w:r>
      <w:r>
        <w:rPr/>
        <w:t>sector</w:t>
      </w:r>
      <w:r>
        <w:rPr>
          <w:spacing w:val="-4"/>
        </w:rPr>
        <w:t> </w:t>
      </w:r>
      <w:r>
        <w:rPr/>
        <w:t>of Nigeria: implication for national development. </w:t>
      </w:r>
      <w:r>
        <w:rPr>
          <w:i/>
        </w:rPr>
        <w:t>Journal of Social Sciences</w:t>
      </w:r>
      <w:r>
        <w:rPr/>
        <w:t>, 9 (2), 105-110.</w:t>
      </w:r>
    </w:p>
    <w:p>
      <w:pPr>
        <w:pStyle w:val="BodyText"/>
      </w:pPr>
    </w:p>
    <w:p>
      <w:pPr>
        <w:spacing w:line="242" w:lineRule="auto" w:before="1"/>
        <w:ind w:left="571" w:right="1117" w:hanging="452"/>
        <w:jc w:val="left"/>
        <w:rPr>
          <w:sz w:val="24"/>
        </w:rPr>
      </w:pPr>
      <w:r>
        <w:rPr>
          <w:sz w:val="24"/>
        </w:rPr>
        <w:t>Omuruyi, F.E.</w:t>
      </w:r>
      <w:r>
        <w:rPr>
          <w:spacing w:val="-2"/>
          <w:sz w:val="24"/>
        </w:rPr>
        <w:t> </w:t>
      </w:r>
      <w:r>
        <w:rPr>
          <w:sz w:val="24"/>
        </w:rPr>
        <w:t>(2001).</w:t>
      </w:r>
      <w:r>
        <w:rPr>
          <w:spacing w:val="-1"/>
          <w:sz w:val="24"/>
        </w:rPr>
        <w:t> </w:t>
      </w:r>
      <w:r>
        <w:rPr>
          <w:i/>
          <w:sz w:val="24"/>
        </w:rPr>
        <w:t>The</w:t>
      </w:r>
      <w:r>
        <w:rPr>
          <w:i/>
          <w:spacing w:val="-2"/>
          <w:sz w:val="24"/>
        </w:rPr>
        <w:t> </w:t>
      </w:r>
      <w:r>
        <w:rPr>
          <w:i/>
          <w:sz w:val="24"/>
        </w:rPr>
        <w:t>dynamics</w:t>
      </w:r>
      <w:r>
        <w:rPr>
          <w:i/>
          <w:spacing w:val="-1"/>
          <w:sz w:val="24"/>
        </w:rPr>
        <w:t> </w:t>
      </w:r>
      <w:r>
        <w:rPr>
          <w:i/>
          <w:sz w:val="24"/>
        </w:rPr>
        <w:t>of</w:t>
      </w:r>
      <w:r>
        <w:rPr>
          <w:i/>
          <w:spacing w:val="-1"/>
          <w:sz w:val="24"/>
        </w:rPr>
        <w:t> </w:t>
      </w:r>
      <w:r>
        <w:rPr>
          <w:i/>
          <w:sz w:val="24"/>
        </w:rPr>
        <w:t>community</w:t>
      </w:r>
      <w:r>
        <w:rPr>
          <w:i/>
          <w:spacing w:val="-2"/>
          <w:sz w:val="24"/>
        </w:rPr>
        <w:t> </w:t>
      </w:r>
      <w:r>
        <w:rPr>
          <w:i/>
          <w:sz w:val="24"/>
        </w:rPr>
        <w:t>development:</w:t>
      </w:r>
      <w:r>
        <w:rPr>
          <w:i/>
          <w:spacing w:val="-2"/>
          <w:sz w:val="24"/>
        </w:rPr>
        <w:t> </w:t>
      </w:r>
      <w:r>
        <w:rPr>
          <w:i/>
          <w:sz w:val="24"/>
        </w:rPr>
        <w:t>The</w:t>
      </w:r>
      <w:r>
        <w:rPr>
          <w:i/>
          <w:spacing w:val="-2"/>
          <w:sz w:val="24"/>
        </w:rPr>
        <w:t> </w:t>
      </w:r>
      <w:r>
        <w:rPr>
          <w:i/>
          <w:sz w:val="24"/>
        </w:rPr>
        <w:t>Nigerian</w:t>
      </w:r>
      <w:r>
        <w:rPr>
          <w:i/>
          <w:spacing w:val="-1"/>
          <w:sz w:val="24"/>
        </w:rPr>
        <w:t> </w:t>
      </w:r>
      <w:r>
        <w:rPr>
          <w:i/>
          <w:sz w:val="24"/>
        </w:rPr>
        <w:t>approach</w:t>
      </w:r>
      <w:r>
        <w:rPr>
          <w:sz w:val="24"/>
        </w:rPr>
        <w:t>. Lagos: New Era Publications.</w:t>
      </w:r>
    </w:p>
    <w:p>
      <w:pPr>
        <w:spacing w:line="276" w:lineRule="auto" w:before="196"/>
        <w:ind w:left="571" w:right="1223" w:hanging="452"/>
        <w:jc w:val="left"/>
        <w:rPr>
          <w:sz w:val="24"/>
        </w:rPr>
      </w:pPr>
      <w:r>
        <w:rPr>
          <w:sz w:val="24"/>
        </w:rPr>
        <w:t>Onah,</w:t>
      </w:r>
      <w:r>
        <w:rPr>
          <w:spacing w:val="-4"/>
          <w:sz w:val="24"/>
        </w:rPr>
        <w:t> </w:t>
      </w:r>
      <w:r>
        <w:rPr>
          <w:sz w:val="24"/>
        </w:rPr>
        <w:t>R.</w:t>
      </w:r>
      <w:r>
        <w:rPr>
          <w:spacing w:val="-4"/>
          <w:sz w:val="24"/>
        </w:rPr>
        <w:t> </w:t>
      </w:r>
      <w:r>
        <w:rPr>
          <w:sz w:val="24"/>
        </w:rPr>
        <w:t>(1998).</w:t>
      </w:r>
      <w:r>
        <w:rPr>
          <w:spacing w:val="-3"/>
          <w:sz w:val="24"/>
        </w:rPr>
        <w:t> </w:t>
      </w:r>
      <w:r>
        <w:rPr>
          <w:sz w:val="24"/>
        </w:rPr>
        <w:t>Budgeting</w:t>
      </w:r>
      <w:r>
        <w:rPr>
          <w:spacing w:val="-6"/>
          <w:sz w:val="24"/>
        </w:rPr>
        <w:t> </w:t>
      </w:r>
      <w:r>
        <w:rPr>
          <w:sz w:val="24"/>
        </w:rPr>
        <w:t>in</w:t>
      </w:r>
      <w:r>
        <w:rPr>
          <w:spacing w:val="-4"/>
          <w:sz w:val="24"/>
        </w:rPr>
        <w:t> </w:t>
      </w:r>
      <w:r>
        <w:rPr>
          <w:sz w:val="24"/>
        </w:rPr>
        <w:t>the</w:t>
      </w:r>
      <w:r>
        <w:rPr>
          <w:spacing w:val="-5"/>
          <w:sz w:val="24"/>
        </w:rPr>
        <w:t> </w:t>
      </w:r>
      <w:r>
        <w:rPr>
          <w:sz w:val="24"/>
        </w:rPr>
        <w:t>Nigerian</w:t>
      </w:r>
      <w:r>
        <w:rPr>
          <w:spacing w:val="-4"/>
          <w:sz w:val="24"/>
        </w:rPr>
        <w:t> </w:t>
      </w:r>
      <w:r>
        <w:rPr>
          <w:sz w:val="24"/>
        </w:rPr>
        <w:t>local</w:t>
      </w:r>
      <w:r>
        <w:rPr>
          <w:spacing w:val="-2"/>
          <w:sz w:val="24"/>
        </w:rPr>
        <w:t> </w:t>
      </w:r>
      <w:r>
        <w:rPr>
          <w:sz w:val="24"/>
        </w:rPr>
        <w:t>government</w:t>
      </w:r>
      <w:r>
        <w:rPr>
          <w:spacing w:val="-4"/>
          <w:sz w:val="24"/>
        </w:rPr>
        <w:t> </w:t>
      </w:r>
      <w:r>
        <w:rPr>
          <w:sz w:val="24"/>
        </w:rPr>
        <w:t>system:</w:t>
      </w:r>
      <w:r>
        <w:rPr>
          <w:spacing w:val="-4"/>
          <w:sz w:val="24"/>
        </w:rPr>
        <w:t> </w:t>
      </w:r>
      <w:r>
        <w:rPr>
          <w:sz w:val="24"/>
        </w:rPr>
        <w:t>Facts</w:t>
      </w:r>
      <w:r>
        <w:rPr>
          <w:spacing w:val="-4"/>
          <w:sz w:val="24"/>
        </w:rPr>
        <w:t> </w:t>
      </w:r>
      <w:r>
        <w:rPr>
          <w:sz w:val="24"/>
        </w:rPr>
        <w:t>and</w:t>
      </w:r>
      <w:r>
        <w:rPr>
          <w:spacing w:val="-4"/>
          <w:sz w:val="24"/>
        </w:rPr>
        <w:t> </w:t>
      </w:r>
      <w:r>
        <w:rPr>
          <w:sz w:val="24"/>
        </w:rPr>
        <w:t>issues. </w:t>
      </w:r>
      <w:r>
        <w:rPr>
          <w:i/>
          <w:sz w:val="24"/>
        </w:rPr>
        <w:t>Journal of Public Administrtaion</w:t>
      </w:r>
      <w:r>
        <w:rPr>
          <w:sz w:val="24"/>
        </w:rPr>
        <w:t>, 9 (1), 45 – 52.</w:t>
      </w:r>
    </w:p>
    <w:p>
      <w:pPr>
        <w:spacing w:before="198"/>
        <w:ind w:left="571" w:right="1117" w:hanging="452"/>
        <w:jc w:val="left"/>
        <w:rPr>
          <w:sz w:val="24"/>
        </w:rPr>
      </w:pPr>
      <w:r>
        <w:rPr>
          <w:sz w:val="24"/>
        </w:rPr>
        <w:t>Onibokun,</w:t>
      </w:r>
      <w:r>
        <w:rPr>
          <w:spacing w:val="40"/>
          <w:sz w:val="24"/>
        </w:rPr>
        <w:t> </w:t>
      </w:r>
      <w:r>
        <w:rPr>
          <w:sz w:val="24"/>
        </w:rPr>
        <w:t>P.</w:t>
      </w:r>
      <w:r>
        <w:rPr>
          <w:spacing w:val="40"/>
          <w:sz w:val="24"/>
        </w:rPr>
        <w:t> </w:t>
      </w:r>
      <w:r>
        <w:rPr>
          <w:sz w:val="24"/>
        </w:rPr>
        <w:t>(1983).</w:t>
      </w:r>
      <w:r>
        <w:rPr>
          <w:spacing w:val="40"/>
          <w:sz w:val="24"/>
        </w:rPr>
        <w:t> </w:t>
      </w:r>
      <w:r>
        <w:rPr>
          <w:sz w:val="24"/>
        </w:rPr>
        <w:t>Housing</w:t>
      </w:r>
      <w:r>
        <w:rPr>
          <w:spacing w:val="40"/>
          <w:sz w:val="24"/>
        </w:rPr>
        <w:t> </w:t>
      </w:r>
      <w:r>
        <w:rPr>
          <w:sz w:val="24"/>
        </w:rPr>
        <w:t>needs</w:t>
      </w:r>
      <w:r>
        <w:rPr>
          <w:spacing w:val="40"/>
          <w:sz w:val="24"/>
        </w:rPr>
        <w:t> </w:t>
      </w:r>
      <w:r>
        <w:rPr>
          <w:sz w:val="24"/>
        </w:rPr>
        <w:t>and</w:t>
      </w:r>
      <w:r>
        <w:rPr>
          <w:spacing w:val="40"/>
          <w:sz w:val="24"/>
        </w:rPr>
        <w:t> </w:t>
      </w:r>
      <w:r>
        <w:rPr>
          <w:sz w:val="24"/>
        </w:rPr>
        <w:t>responses:</w:t>
      </w:r>
      <w:r>
        <w:rPr>
          <w:spacing w:val="40"/>
          <w:sz w:val="24"/>
        </w:rPr>
        <w:t> </w:t>
      </w:r>
      <w:r>
        <w:rPr>
          <w:sz w:val="24"/>
        </w:rPr>
        <w:t>A</w:t>
      </w:r>
      <w:r>
        <w:rPr>
          <w:spacing w:val="40"/>
          <w:sz w:val="24"/>
        </w:rPr>
        <w:t> </w:t>
      </w:r>
      <w:r>
        <w:rPr>
          <w:sz w:val="24"/>
        </w:rPr>
        <w:t>planner‘s</w:t>
      </w:r>
      <w:r>
        <w:rPr>
          <w:spacing w:val="40"/>
          <w:sz w:val="24"/>
        </w:rPr>
        <w:t> </w:t>
      </w:r>
      <w:r>
        <w:rPr>
          <w:sz w:val="24"/>
        </w:rPr>
        <w:t>viewpoint</w:t>
      </w:r>
      <w:r>
        <w:rPr>
          <w:i/>
          <w:sz w:val="24"/>
        </w:rPr>
        <w:t>.</w:t>
      </w:r>
      <w:r>
        <w:rPr>
          <w:i/>
          <w:spacing w:val="40"/>
          <w:sz w:val="24"/>
        </w:rPr>
        <w:t> </w:t>
      </w:r>
      <w:r>
        <w:rPr>
          <w:i/>
          <w:sz w:val="24"/>
        </w:rPr>
        <w:t>Journal</w:t>
      </w:r>
      <w:r>
        <w:rPr>
          <w:i/>
          <w:spacing w:val="40"/>
          <w:sz w:val="24"/>
        </w:rPr>
        <w:t> </w:t>
      </w:r>
      <w:r>
        <w:rPr>
          <w:i/>
          <w:sz w:val="24"/>
        </w:rPr>
        <w:t>of</w:t>
      </w:r>
      <w:r>
        <w:rPr>
          <w:i/>
          <w:spacing w:val="40"/>
          <w:sz w:val="24"/>
        </w:rPr>
        <w:t> </w:t>
      </w:r>
      <w:r>
        <w:rPr>
          <w:i/>
          <w:sz w:val="24"/>
        </w:rPr>
        <w:t>the Nigerian Institute of Town Planners</w:t>
      </w:r>
      <w:r>
        <w:rPr>
          <w:sz w:val="24"/>
        </w:rPr>
        <w:t>, 2(1 &amp; 2), 85 – 99.</w:t>
      </w:r>
    </w:p>
    <w:p>
      <w:pPr>
        <w:spacing w:after="0"/>
        <w:jc w:val="left"/>
        <w:rPr>
          <w:sz w:val="24"/>
        </w:rPr>
        <w:sectPr>
          <w:pgSz w:w="12240" w:h="15840"/>
          <w:pgMar w:header="0" w:footer="1036" w:top="1360" w:bottom="1220" w:left="1320" w:right="320"/>
        </w:sectPr>
      </w:pPr>
    </w:p>
    <w:p>
      <w:pPr>
        <w:spacing w:before="72"/>
        <w:ind w:left="120" w:right="0" w:firstLine="0"/>
        <w:jc w:val="left"/>
        <w:rPr>
          <w:sz w:val="24"/>
        </w:rPr>
      </w:pPr>
      <w:r>
        <w:rPr>
          <w:sz w:val="24"/>
        </w:rPr>
        <w:t>Onibokun,</w:t>
      </w:r>
      <w:r>
        <w:rPr>
          <w:spacing w:val="-1"/>
          <w:sz w:val="24"/>
        </w:rPr>
        <w:t> </w:t>
      </w:r>
      <w:r>
        <w:rPr>
          <w:sz w:val="24"/>
        </w:rPr>
        <w:t>P.</w:t>
      </w:r>
      <w:r>
        <w:rPr>
          <w:spacing w:val="-1"/>
          <w:sz w:val="24"/>
        </w:rPr>
        <w:t> </w:t>
      </w:r>
      <w:r>
        <w:rPr>
          <w:sz w:val="24"/>
        </w:rPr>
        <w:t>(1990).</w:t>
      </w:r>
      <w:r>
        <w:rPr>
          <w:spacing w:val="-1"/>
          <w:sz w:val="24"/>
        </w:rPr>
        <w:t> </w:t>
      </w:r>
      <w:r>
        <w:rPr>
          <w:i/>
          <w:sz w:val="24"/>
        </w:rPr>
        <w:t>Urban</w:t>
      </w:r>
      <w:r>
        <w:rPr>
          <w:i/>
          <w:spacing w:val="-1"/>
          <w:sz w:val="24"/>
        </w:rPr>
        <w:t> </w:t>
      </w:r>
      <w:r>
        <w:rPr>
          <w:i/>
          <w:sz w:val="24"/>
        </w:rPr>
        <w:t>Housing</w:t>
      </w:r>
      <w:r>
        <w:rPr>
          <w:i/>
          <w:spacing w:val="-1"/>
          <w:sz w:val="24"/>
        </w:rPr>
        <w:t> </w:t>
      </w:r>
      <w:r>
        <w:rPr>
          <w:i/>
          <w:sz w:val="24"/>
        </w:rPr>
        <w:t>in</w:t>
      </w:r>
      <w:r>
        <w:rPr>
          <w:i/>
          <w:spacing w:val="-1"/>
          <w:sz w:val="24"/>
        </w:rPr>
        <w:t> </w:t>
      </w:r>
      <w:r>
        <w:rPr>
          <w:i/>
          <w:sz w:val="24"/>
        </w:rPr>
        <w:t>Nigeria.</w:t>
      </w:r>
      <w:r>
        <w:rPr>
          <w:i/>
          <w:spacing w:val="-3"/>
          <w:sz w:val="24"/>
        </w:rPr>
        <w:t> </w:t>
      </w:r>
      <w:r>
        <w:rPr>
          <w:sz w:val="24"/>
        </w:rPr>
        <w:t>Ibadan: </w:t>
      </w:r>
      <w:r>
        <w:rPr>
          <w:spacing w:val="-2"/>
          <w:sz w:val="24"/>
        </w:rPr>
        <w:t>NISER.</w:t>
      </w:r>
    </w:p>
    <w:p>
      <w:pPr>
        <w:pStyle w:val="BodyText"/>
      </w:pPr>
    </w:p>
    <w:p>
      <w:pPr>
        <w:spacing w:before="0"/>
        <w:ind w:left="571" w:right="1124" w:hanging="452"/>
        <w:jc w:val="both"/>
        <w:rPr>
          <w:sz w:val="24"/>
        </w:rPr>
      </w:pPr>
      <w:r>
        <w:rPr>
          <w:sz w:val="24"/>
        </w:rPr>
        <w:t>Onibokun, P. (2000). </w:t>
      </w:r>
      <w:r>
        <w:rPr>
          <w:i/>
          <w:sz w:val="24"/>
        </w:rPr>
        <w:t>Issues in Nigerian housing</w:t>
      </w:r>
      <w:r>
        <w:rPr>
          <w:sz w:val="24"/>
        </w:rPr>
        <w:t>. Ibadan, Nigeria: Nigerian Institute of Social and Economic Research (NISER).</w:t>
      </w:r>
    </w:p>
    <w:p>
      <w:pPr>
        <w:pStyle w:val="BodyText"/>
        <w:spacing w:before="62"/>
      </w:pPr>
    </w:p>
    <w:p>
      <w:pPr>
        <w:pStyle w:val="BodyText"/>
        <w:spacing w:line="242" w:lineRule="auto" w:before="1"/>
        <w:ind w:left="571" w:right="1120" w:hanging="452"/>
        <w:jc w:val="both"/>
      </w:pPr>
      <w:r>
        <w:rPr/>
        <w:t>Onu, V., &amp; Onu, A.J.C. (2012). Urban residential housing and low-income earners: A study of Makurdi metropolis, Benue state, Nigeria. </w:t>
      </w:r>
      <w:r>
        <w:rPr>
          <w:i/>
        </w:rPr>
        <w:t>European Scientific Journal</w:t>
      </w:r>
      <w:r>
        <w:rPr/>
        <w:t>, 8(28), 231-246.</w:t>
      </w:r>
    </w:p>
    <w:p>
      <w:pPr>
        <w:spacing w:line="240" w:lineRule="auto" w:before="193"/>
        <w:ind w:left="571" w:right="1116" w:hanging="452"/>
        <w:jc w:val="both"/>
        <w:rPr>
          <w:sz w:val="24"/>
        </w:rPr>
      </w:pPr>
      <w:r>
        <w:rPr>
          <w:sz w:val="24"/>
        </w:rPr>
        <w:t>Onwuka, S., &amp; Nnodu, V. (2010). Strategies for citizen participation in waste management in Nigeria. In J. Eyisi, E. Obienusi, E. Omazu (Eds.), </w:t>
      </w:r>
      <w:r>
        <w:rPr>
          <w:i/>
          <w:sz w:val="24"/>
        </w:rPr>
        <w:t>Celebration of Academic Excellence: Festschrift in honour of Prof. L.N Muoghalu </w:t>
      </w:r>
      <w:r>
        <w:rPr>
          <w:sz w:val="24"/>
        </w:rPr>
        <w:t>(pp.407 – 423). Uwani, Enugu: El ‗Demak </w:t>
      </w:r>
      <w:r>
        <w:rPr>
          <w:spacing w:val="-2"/>
          <w:sz w:val="24"/>
        </w:rPr>
        <w:t>Publishers.</w:t>
      </w:r>
    </w:p>
    <w:p>
      <w:pPr>
        <w:pStyle w:val="BodyText"/>
        <w:spacing w:before="200"/>
        <w:ind w:left="120"/>
      </w:pPr>
      <w:r>
        <w:rPr/>
        <w:t>Onwuemenyi,</w:t>
      </w:r>
      <w:r>
        <w:rPr>
          <w:spacing w:val="-1"/>
        </w:rPr>
        <w:t> </w:t>
      </w:r>
      <w:r>
        <w:rPr/>
        <w:t>O. (2008,</w:t>
      </w:r>
      <w:r>
        <w:rPr>
          <w:spacing w:val="2"/>
        </w:rPr>
        <w:t> </w:t>
      </w:r>
      <w:r>
        <w:rPr/>
        <w:t>January</w:t>
      </w:r>
      <w:r>
        <w:rPr>
          <w:spacing w:val="-5"/>
        </w:rPr>
        <w:t> </w:t>
      </w:r>
      <w:r>
        <w:rPr/>
        <w:t>29).</w:t>
      </w:r>
      <w:r>
        <w:rPr>
          <w:spacing w:val="-1"/>
        </w:rPr>
        <w:t> </w:t>
      </w:r>
      <w:r>
        <w:rPr/>
        <w:t>The</w:t>
      </w:r>
      <w:r>
        <w:rPr>
          <w:spacing w:val="-1"/>
        </w:rPr>
        <w:t> </w:t>
      </w:r>
      <w:r>
        <w:rPr/>
        <w:t>Nigerian</w:t>
      </w:r>
      <w:r>
        <w:rPr>
          <w:spacing w:val="-1"/>
        </w:rPr>
        <w:t> </w:t>
      </w:r>
      <w:r>
        <w:rPr/>
        <w:t>housing</w:t>
      </w:r>
      <w:r>
        <w:rPr>
          <w:spacing w:val="-3"/>
        </w:rPr>
        <w:t> </w:t>
      </w:r>
      <w:r>
        <w:rPr/>
        <w:t>sector.</w:t>
      </w:r>
      <w:r>
        <w:rPr>
          <w:spacing w:val="2"/>
        </w:rPr>
        <w:t> </w:t>
      </w:r>
      <w:r>
        <w:rPr>
          <w:i/>
        </w:rPr>
        <w:t>The</w:t>
      </w:r>
      <w:r>
        <w:rPr>
          <w:i/>
          <w:spacing w:val="-1"/>
        </w:rPr>
        <w:t> </w:t>
      </w:r>
      <w:r>
        <w:rPr>
          <w:i/>
        </w:rPr>
        <w:t>Punch</w:t>
      </w:r>
      <w:r>
        <w:rPr/>
        <w:t>, p. </w:t>
      </w:r>
      <w:r>
        <w:rPr>
          <w:spacing w:val="-5"/>
        </w:rPr>
        <w:t>19.</w:t>
      </w:r>
    </w:p>
    <w:p>
      <w:pPr>
        <w:spacing w:line="240" w:lineRule="auto" w:before="269"/>
        <w:ind w:left="571" w:right="1118" w:hanging="452"/>
        <w:jc w:val="both"/>
        <w:rPr>
          <w:sz w:val="24"/>
        </w:rPr>
      </w:pPr>
      <w:r>
        <w:rPr>
          <w:sz w:val="24"/>
        </w:rPr>
        <w:t>Opawole, A., Jagboro, G.O., Babalola, O., &amp; Babatunde, S.O. (2012). Evaluation of the contribution of construction professionals in budgeting for infrastructure development in Nigeria.</w:t>
      </w:r>
      <w:r>
        <w:rPr>
          <w:spacing w:val="-5"/>
          <w:sz w:val="24"/>
        </w:rPr>
        <w:t> </w:t>
      </w:r>
      <w:r>
        <w:rPr>
          <w:i/>
          <w:sz w:val="24"/>
        </w:rPr>
        <w:t>International</w:t>
      </w:r>
      <w:r>
        <w:rPr>
          <w:i/>
          <w:spacing w:val="-5"/>
          <w:sz w:val="24"/>
        </w:rPr>
        <w:t> </w:t>
      </w:r>
      <w:r>
        <w:rPr>
          <w:i/>
          <w:sz w:val="24"/>
        </w:rPr>
        <w:t>Journal</w:t>
      </w:r>
      <w:r>
        <w:rPr>
          <w:i/>
          <w:spacing w:val="-5"/>
          <w:sz w:val="24"/>
        </w:rPr>
        <w:t> </w:t>
      </w:r>
      <w:r>
        <w:rPr>
          <w:i/>
          <w:sz w:val="24"/>
        </w:rPr>
        <w:t>of</w:t>
      </w:r>
      <w:r>
        <w:rPr>
          <w:i/>
          <w:spacing w:val="-5"/>
          <w:sz w:val="24"/>
        </w:rPr>
        <w:t> </w:t>
      </w:r>
      <w:r>
        <w:rPr>
          <w:i/>
          <w:sz w:val="24"/>
        </w:rPr>
        <w:t>Sustainable</w:t>
      </w:r>
      <w:r>
        <w:rPr>
          <w:i/>
          <w:spacing w:val="-5"/>
          <w:sz w:val="24"/>
        </w:rPr>
        <w:t> </w:t>
      </w:r>
      <w:r>
        <w:rPr>
          <w:i/>
          <w:sz w:val="24"/>
        </w:rPr>
        <w:t>Construction</w:t>
      </w:r>
      <w:r>
        <w:rPr>
          <w:i/>
          <w:spacing w:val="-2"/>
          <w:sz w:val="24"/>
        </w:rPr>
        <w:t> </w:t>
      </w:r>
      <w:r>
        <w:rPr>
          <w:i/>
          <w:sz w:val="24"/>
        </w:rPr>
        <w:t>Engineering &amp;</w:t>
      </w:r>
      <w:r>
        <w:rPr>
          <w:i/>
          <w:spacing w:val="-9"/>
          <w:sz w:val="24"/>
        </w:rPr>
        <w:t> </w:t>
      </w:r>
      <w:r>
        <w:rPr>
          <w:i/>
          <w:sz w:val="24"/>
        </w:rPr>
        <w:t>Technology</w:t>
      </w:r>
      <w:r>
        <w:rPr>
          <w:sz w:val="24"/>
        </w:rPr>
        <w:t>,</w:t>
      </w:r>
      <w:r>
        <w:rPr>
          <w:spacing w:val="-5"/>
          <w:sz w:val="24"/>
        </w:rPr>
        <w:t> </w:t>
      </w:r>
      <w:r>
        <w:rPr>
          <w:sz w:val="24"/>
        </w:rPr>
        <w:t>3(2), 83 – 95.</w:t>
      </w:r>
    </w:p>
    <w:p>
      <w:pPr>
        <w:spacing w:before="202"/>
        <w:ind w:left="571" w:right="1117" w:hanging="452"/>
        <w:jc w:val="both"/>
        <w:rPr>
          <w:sz w:val="24"/>
        </w:rPr>
      </w:pPr>
      <w:r>
        <w:rPr>
          <w:sz w:val="24"/>
        </w:rPr>
        <w:t>Opawole, A.O., Jagboro, G.O., &amp; Opawole, M.O. (2016). </w:t>
      </w:r>
      <w:r>
        <w:rPr>
          <w:i/>
          <w:sz w:val="24"/>
        </w:rPr>
        <w:t>Public allocation mechanisms and public infrastructure governance in Nigeria: lesson from Osun State</w:t>
      </w:r>
      <w:r>
        <w:rPr>
          <w:sz w:val="24"/>
        </w:rPr>
        <w:t>. New York, NY: Palgrave Macmillan.</w:t>
      </w:r>
    </w:p>
    <w:p>
      <w:pPr>
        <w:pStyle w:val="BodyText"/>
        <w:spacing w:before="21"/>
      </w:pPr>
    </w:p>
    <w:p>
      <w:pPr>
        <w:pStyle w:val="BodyText"/>
        <w:ind w:left="120"/>
      </w:pPr>
      <w:r>
        <w:rPr/>
        <w:t>Osasona,</w:t>
      </w:r>
      <w:r>
        <w:rPr>
          <w:spacing w:val="11"/>
        </w:rPr>
        <w:t> </w:t>
      </w:r>
      <w:r>
        <w:rPr/>
        <w:t>C.O.</w:t>
      </w:r>
      <w:r>
        <w:rPr>
          <w:spacing w:val="13"/>
        </w:rPr>
        <w:t> </w:t>
      </w:r>
      <w:r>
        <w:rPr/>
        <w:t>(1991)</w:t>
      </w:r>
      <w:r>
        <w:rPr>
          <w:spacing w:val="13"/>
        </w:rPr>
        <w:t> </w:t>
      </w:r>
      <w:r>
        <w:rPr/>
        <w:t>Optimum</w:t>
      </w:r>
      <w:r>
        <w:rPr>
          <w:spacing w:val="12"/>
        </w:rPr>
        <w:t> </w:t>
      </w:r>
      <w:r>
        <w:rPr/>
        <w:t>housing</w:t>
      </w:r>
      <w:r>
        <w:rPr>
          <w:spacing w:val="9"/>
        </w:rPr>
        <w:t> </w:t>
      </w:r>
      <w:r>
        <w:rPr/>
        <w:t>for</w:t>
      </w:r>
      <w:r>
        <w:rPr>
          <w:spacing w:val="12"/>
        </w:rPr>
        <w:t> </w:t>
      </w:r>
      <w:r>
        <w:rPr/>
        <w:t>low/</w:t>
      </w:r>
      <w:r>
        <w:rPr>
          <w:spacing w:val="12"/>
        </w:rPr>
        <w:t> </w:t>
      </w:r>
      <w:r>
        <w:rPr/>
        <w:t>middle–income</w:t>
      </w:r>
      <w:r>
        <w:rPr>
          <w:spacing w:val="13"/>
        </w:rPr>
        <w:t> </w:t>
      </w:r>
      <w:r>
        <w:rPr/>
        <w:t>groups:</w:t>
      </w:r>
      <w:r>
        <w:rPr>
          <w:spacing w:val="14"/>
        </w:rPr>
        <w:t> </w:t>
      </w:r>
      <w:r>
        <w:rPr/>
        <w:t>The</w:t>
      </w:r>
      <w:r>
        <w:rPr>
          <w:spacing w:val="10"/>
        </w:rPr>
        <w:t> </w:t>
      </w:r>
      <w:r>
        <w:rPr/>
        <w:t>extendible</w:t>
      </w:r>
      <w:r>
        <w:rPr>
          <w:spacing w:val="11"/>
        </w:rPr>
        <w:t> </w:t>
      </w:r>
      <w:r>
        <w:rPr>
          <w:spacing w:val="-2"/>
        </w:rPr>
        <w:t>house.</w:t>
      </w:r>
    </w:p>
    <w:p>
      <w:pPr>
        <w:spacing w:before="0"/>
        <w:ind w:left="571" w:right="0" w:firstLine="0"/>
        <w:jc w:val="left"/>
        <w:rPr>
          <w:sz w:val="24"/>
        </w:rPr>
      </w:pPr>
      <w:r>
        <w:rPr>
          <w:i/>
          <w:sz w:val="24"/>
        </w:rPr>
        <w:t>Journal</w:t>
      </w:r>
      <w:r>
        <w:rPr>
          <w:i/>
          <w:spacing w:val="-1"/>
          <w:sz w:val="24"/>
        </w:rPr>
        <w:t> </w:t>
      </w:r>
      <w:r>
        <w:rPr>
          <w:i/>
          <w:sz w:val="24"/>
        </w:rPr>
        <w:t>of</w:t>
      </w:r>
      <w:r>
        <w:rPr>
          <w:i/>
          <w:spacing w:val="-1"/>
          <w:sz w:val="24"/>
        </w:rPr>
        <w:t> </w:t>
      </w:r>
      <w:r>
        <w:rPr>
          <w:i/>
          <w:sz w:val="24"/>
        </w:rPr>
        <w:t>the</w:t>
      </w:r>
      <w:r>
        <w:rPr>
          <w:i/>
          <w:spacing w:val="-2"/>
          <w:sz w:val="24"/>
        </w:rPr>
        <w:t> </w:t>
      </w:r>
      <w:r>
        <w:rPr>
          <w:i/>
          <w:sz w:val="24"/>
        </w:rPr>
        <w:t>Nigerian</w:t>
      </w:r>
      <w:r>
        <w:rPr>
          <w:i/>
          <w:spacing w:val="-1"/>
          <w:sz w:val="24"/>
        </w:rPr>
        <w:t> </w:t>
      </w:r>
      <w:r>
        <w:rPr>
          <w:i/>
          <w:sz w:val="24"/>
        </w:rPr>
        <w:t>Institute</w:t>
      </w:r>
      <w:r>
        <w:rPr>
          <w:i/>
          <w:spacing w:val="-2"/>
          <w:sz w:val="24"/>
        </w:rPr>
        <w:t> </w:t>
      </w:r>
      <w:r>
        <w:rPr>
          <w:i/>
          <w:sz w:val="24"/>
        </w:rPr>
        <w:t>of</w:t>
      </w:r>
      <w:r>
        <w:rPr>
          <w:i/>
          <w:spacing w:val="-1"/>
          <w:sz w:val="24"/>
        </w:rPr>
        <w:t> </w:t>
      </w:r>
      <w:r>
        <w:rPr>
          <w:i/>
          <w:sz w:val="24"/>
        </w:rPr>
        <w:t>Architects</w:t>
      </w:r>
      <w:r>
        <w:rPr>
          <w:i/>
          <w:spacing w:val="-1"/>
          <w:sz w:val="24"/>
        </w:rPr>
        <w:t> </w:t>
      </w:r>
      <w:r>
        <w:rPr>
          <w:i/>
          <w:sz w:val="24"/>
        </w:rPr>
        <w:t>(NIAJ-A),</w:t>
      </w:r>
      <w:r>
        <w:rPr>
          <w:i/>
          <w:spacing w:val="-1"/>
          <w:sz w:val="24"/>
        </w:rPr>
        <w:t> </w:t>
      </w:r>
      <w:r>
        <w:rPr>
          <w:sz w:val="24"/>
        </w:rPr>
        <w:t>6(1), 26-</w:t>
      </w:r>
      <w:r>
        <w:rPr>
          <w:spacing w:val="-5"/>
          <w:sz w:val="24"/>
        </w:rPr>
        <w:t>44.</w:t>
      </w:r>
    </w:p>
    <w:p>
      <w:pPr>
        <w:pStyle w:val="BodyText"/>
        <w:spacing w:before="1"/>
      </w:pPr>
    </w:p>
    <w:p>
      <w:pPr>
        <w:spacing w:before="0"/>
        <w:ind w:left="571" w:right="1117" w:hanging="452"/>
        <w:jc w:val="left"/>
        <w:rPr>
          <w:sz w:val="24"/>
        </w:rPr>
      </w:pPr>
      <w:r>
        <w:rPr>
          <w:sz w:val="24"/>
        </w:rPr>
        <w:t>Otley,</w:t>
      </w:r>
      <w:r>
        <w:rPr>
          <w:spacing w:val="-5"/>
          <w:sz w:val="24"/>
        </w:rPr>
        <w:t> </w:t>
      </w:r>
      <w:r>
        <w:rPr>
          <w:sz w:val="24"/>
        </w:rPr>
        <w:t>D.</w:t>
      </w:r>
      <w:r>
        <w:rPr>
          <w:spacing w:val="-4"/>
          <w:sz w:val="24"/>
        </w:rPr>
        <w:t> </w:t>
      </w:r>
      <w:r>
        <w:rPr>
          <w:sz w:val="24"/>
        </w:rPr>
        <w:t>(1999).</w:t>
      </w:r>
      <w:r>
        <w:rPr>
          <w:spacing w:val="-5"/>
          <w:sz w:val="24"/>
        </w:rPr>
        <w:t> </w:t>
      </w:r>
      <w:r>
        <w:rPr>
          <w:sz w:val="24"/>
        </w:rPr>
        <w:t>Performance</w:t>
      </w:r>
      <w:r>
        <w:rPr>
          <w:spacing w:val="-5"/>
          <w:sz w:val="24"/>
        </w:rPr>
        <w:t> </w:t>
      </w:r>
      <w:r>
        <w:rPr>
          <w:sz w:val="24"/>
        </w:rPr>
        <w:t>management:</w:t>
      </w:r>
      <w:r>
        <w:rPr>
          <w:spacing w:val="-5"/>
          <w:sz w:val="24"/>
        </w:rPr>
        <w:t> </w:t>
      </w:r>
      <w:r>
        <w:rPr>
          <w:sz w:val="24"/>
        </w:rPr>
        <w:t>A</w:t>
      </w:r>
      <w:r>
        <w:rPr>
          <w:spacing w:val="-5"/>
          <w:sz w:val="24"/>
        </w:rPr>
        <w:t> </w:t>
      </w:r>
      <w:r>
        <w:rPr>
          <w:sz w:val="24"/>
        </w:rPr>
        <w:t>framework</w:t>
      </w:r>
      <w:r>
        <w:rPr>
          <w:spacing w:val="-5"/>
          <w:sz w:val="24"/>
        </w:rPr>
        <w:t> </w:t>
      </w:r>
      <w:r>
        <w:rPr>
          <w:sz w:val="24"/>
        </w:rPr>
        <w:t>for</w:t>
      </w:r>
      <w:r>
        <w:rPr>
          <w:spacing w:val="-5"/>
          <w:sz w:val="24"/>
        </w:rPr>
        <w:t> </w:t>
      </w:r>
      <w:r>
        <w:rPr>
          <w:sz w:val="24"/>
        </w:rPr>
        <w:t>management</w:t>
      </w:r>
      <w:r>
        <w:rPr>
          <w:spacing w:val="-5"/>
          <w:sz w:val="24"/>
        </w:rPr>
        <w:t> </w:t>
      </w:r>
      <w:r>
        <w:rPr>
          <w:sz w:val="24"/>
        </w:rPr>
        <w:t>control</w:t>
      </w:r>
      <w:r>
        <w:rPr>
          <w:spacing w:val="-5"/>
          <w:sz w:val="24"/>
        </w:rPr>
        <w:t> </w:t>
      </w:r>
      <w:r>
        <w:rPr>
          <w:sz w:val="24"/>
        </w:rPr>
        <w:t>systems research. </w:t>
      </w:r>
      <w:r>
        <w:rPr>
          <w:i/>
          <w:sz w:val="24"/>
        </w:rPr>
        <w:t>Management Accounting Research</w:t>
      </w:r>
      <w:r>
        <w:rPr>
          <w:sz w:val="24"/>
        </w:rPr>
        <w:t>, 10, 363-382.</w:t>
      </w:r>
    </w:p>
    <w:p>
      <w:pPr>
        <w:pStyle w:val="BodyText"/>
      </w:pPr>
    </w:p>
    <w:p>
      <w:pPr>
        <w:pStyle w:val="BodyText"/>
        <w:ind w:left="120"/>
      </w:pPr>
      <w:r>
        <w:rPr/>
        <w:t>O‘Toole,</w:t>
      </w:r>
      <w:r>
        <w:rPr>
          <w:spacing w:val="8"/>
        </w:rPr>
        <w:t> </w:t>
      </w:r>
      <w:r>
        <w:rPr/>
        <w:t>D.</w:t>
      </w:r>
      <w:r>
        <w:rPr>
          <w:spacing w:val="7"/>
        </w:rPr>
        <w:t> </w:t>
      </w:r>
      <w:r>
        <w:rPr/>
        <w:t>E.,</w:t>
      </w:r>
      <w:r>
        <w:rPr>
          <w:spacing w:val="10"/>
        </w:rPr>
        <w:t> </w:t>
      </w:r>
      <w:r>
        <w:rPr/>
        <w:t>Marshall,</w:t>
      </w:r>
      <w:r>
        <w:rPr>
          <w:spacing w:val="8"/>
        </w:rPr>
        <w:t> </w:t>
      </w:r>
      <w:r>
        <w:rPr/>
        <w:t>J.,</w:t>
      </w:r>
      <w:r>
        <w:rPr>
          <w:spacing w:val="9"/>
        </w:rPr>
        <w:t> </w:t>
      </w:r>
      <w:r>
        <w:rPr/>
        <w:t>&amp;</w:t>
      </w:r>
      <w:r>
        <w:rPr>
          <w:spacing w:val="6"/>
        </w:rPr>
        <w:t> </w:t>
      </w:r>
      <w:r>
        <w:rPr/>
        <w:t>Grewe,</w:t>
      </w:r>
      <w:r>
        <w:rPr>
          <w:spacing w:val="8"/>
        </w:rPr>
        <w:t> </w:t>
      </w:r>
      <w:r>
        <w:rPr/>
        <w:t>T.(1996).</w:t>
      </w:r>
      <w:r>
        <w:rPr>
          <w:spacing w:val="11"/>
        </w:rPr>
        <w:t> </w:t>
      </w:r>
      <w:r>
        <w:rPr/>
        <w:t>Current</w:t>
      </w:r>
      <w:r>
        <w:rPr>
          <w:spacing w:val="8"/>
        </w:rPr>
        <w:t> </w:t>
      </w:r>
      <w:r>
        <w:rPr/>
        <w:t>local</w:t>
      </w:r>
      <w:r>
        <w:rPr>
          <w:spacing w:val="11"/>
        </w:rPr>
        <w:t> </w:t>
      </w:r>
      <w:r>
        <w:rPr/>
        <w:t>government</w:t>
      </w:r>
      <w:r>
        <w:rPr>
          <w:spacing w:val="8"/>
        </w:rPr>
        <w:t> </w:t>
      </w:r>
      <w:r>
        <w:rPr/>
        <w:t>budgeting</w:t>
      </w:r>
      <w:r>
        <w:rPr>
          <w:spacing w:val="9"/>
        </w:rPr>
        <w:t> </w:t>
      </w:r>
      <w:r>
        <w:rPr>
          <w:spacing w:val="-2"/>
        </w:rPr>
        <w:t>practices.</w:t>
      </w:r>
    </w:p>
    <w:p>
      <w:pPr>
        <w:spacing w:before="0"/>
        <w:ind w:left="571" w:right="0" w:firstLine="0"/>
        <w:jc w:val="left"/>
        <w:rPr>
          <w:sz w:val="24"/>
        </w:rPr>
      </w:pPr>
      <w:r>
        <w:rPr>
          <w:i/>
          <w:sz w:val="24"/>
        </w:rPr>
        <w:t>Government</w:t>
      </w:r>
      <w:r>
        <w:rPr>
          <w:i/>
          <w:spacing w:val="-2"/>
          <w:sz w:val="24"/>
        </w:rPr>
        <w:t> </w:t>
      </w:r>
      <w:r>
        <w:rPr>
          <w:i/>
          <w:sz w:val="24"/>
        </w:rPr>
        <w:t>Finance</w:t>
      </w:r>
      <w:r>
        <w:rPr>
          <w:i/>
          <w:spacing w:val="-3"/>
          <w:sz w:val="24"/>
        </w:rPr>
        <w:t> </w:t>
      </w:r>
      <w:r>
        <w:rPr>
          <w:i/>
          <w:sz w:val="24"/>
        </w:rPr>
        <w:t>Review, </w:t>
      </w:r>
      <w:r>
        <w:rPr>
          <w:sz w:val="24"/>
        </w:rPr>
        <w:t>12(6),25-</w:t>
      </w:r>
      <w:r>
        <w:rPr>
          <w:spacing w:val="-5"/>
          <w:sz w:val="24"/>
        </w:rPr>
        <w:t>59.</w:t>
      </w:r>
    </w:p>
    <w:p>
      <w:pPr>
        <w:pStyle w:val="BodyText"/>
        <w:spacing w:line="550" w:lineRule="atLeast" w:before="7"/>
        <w:ind w:left="120" w:right="1117"/>
      </w:pPr>
      <w:r>
        <w:rPr/>
        <w:t>Parmenter, D. (2007). </w:t>
      </w:r>
      <w:r>
        <w:rPr>
          <w:i/>
        </w:rPr>
        <w:t>Key performance indicators</w:t>
      </w:r>
      <w:r>
        <w:rPr/>
        <w:t>.</w:t>
      </w:r>
      <w:r>
        <w:rPr>
          <w:spacing w:val="40"/>
        </w:rPr>
        <w:t> </w:t>
      </w:r>
      <w:r>
        <w:rPr/>
        <w:t>Boston, MA: NY: John Wiley &amp; Sons. Pascua,</w:t>
      </w:r>
      <w:r>
        <w:rPr>
          <w:spacing w:val="24"/>
        </w:rPr>
        <w:t> </w:t>
      </w:r>
      <w:r>
        <w:rPr/>
        <w:t>L.</w:t>
      </w:r>
      <w:r>
        <w:rPr>
          <w:spacing w:val="24"/>
        </w:rPr>
        <w:t> </w:t>
      </w:r>
      <w:r>
        <w:rPr/>
        <w:t>(2005),</w:t>
      </w:r>
      <w:r>
        <w:rPr>
          <w:spacing w:val="24"/>
        </w:rPr>
        <w:t> </w:t>
      </w:r>
      <w:r>
        <w:rPr/>
        <w:t>‗Operationalizing</w:t>
      </w:r>
      <w:r>
        <w:rPr>
          <w:spacing w:val="20"/>
        </w:rPr>
        <w:t> </w:t>
      </w:r>
      <w:r>
        <w:rPr/>
        <w:t>the</w:t>
      </w:r>
      <w:r>
        <w:rPr>
          <w:spacing w:val="22"/>
        </w:rPr>
        <w:t> </w:t>
      </w:r>
      <w:r>
        <w:rPr/>
        <w:t>MTEF</w:t>
      </w:r>
      <w:r>
        <w:rPr>
          <w:spacing w:val="20"/>
        </w:rPr>
        <w:t> </w:t>
      </w:r>
      <w:r>
        <w:rPr/>
        <w:t>in</w:t>
      </w:r>
      <w:r>
        <w:rPr>
          <w:spacing w:val="23"/>
        </w:rPr>
        <w:t> </w:t>
      </w:r>
      <w:r>
        <w:rPr/>
        <w:t>the</w:t>
      </w:r>
      <w:r>
        <w:rPr>
          <w:spacing w:val="21"/>
        </w:rPr>
        <w:t> </w:t>
      </w:r>
      <w:r>
        <w:rPr/>
        <w:t>Philippines:</w:t>
      </w:r>
      <w:r>
        <w:rPr>
          <w:spacing w:val="23"/>
        </w:rPr>
        <w:t> </w:t>
      </w:r>
      <w:r>
        <w:rPr/>
        <w:t>A</w:t>
      </w:r>
      <w:r>
        <w:rPr>
          <w:spacing w:val="21"/>
        </w:rPr>
        <w:t> </w:t>
      </w:r>
      <w:r>
        <w:rPr/>
        <w:t>key</w:t>
      </w:r>
      <w:r>
        <w:rPr>
          <w:spacing w:val="20"/>
        </w:rPr>
        <w:t> </w:t>
      </w:r>
      <w:r>
        <w:rPr/>
        <w:t>to</w:t>
      </w:r>
      <w:r>
        <w:rPr>
          <w:spacing w:val="22"/>
        </w:rPr>
        <w:t> </w:t>
      </w:r>
      <w:r>
        <w:rPr/>
        <w:t>reducing</w:t>
      </w:r>
      <w:r>
        <w:rPr>
          <w:spacing w:val="22"/>
        </w:rPr>
        <w:t> </w:t>
      </w:r>
      <w:r>
        <w:rPr>
          <w:spacing w:val="-2"/>
        </w:rPr>
        <w:t>poverty,</w:t>
      </w:r>
    </w:p>
    <w:p>
      <w:pPr>
        <w:pStyle w:val="BodyText"/>
        <w:spacing w:before="7"/>
        <w:ind w:left="566" w:right="1117"/>
      </w:pPr>
      <w:r>
        <w:rPr/>
        <w:t>defining an agenda for poverty reduction. Proceedings of the first Asian and Pacific Forum on Poverty. Vol. 1 pp. 138-144.</w:t>
      </w:r>
    </w:p>
    <w:p>
      <w:pPr>
        <w:pStyle w:val="BodyText"/>
      </w:pPr>
    </w:p>
    <w:p>
      <w:pPr>
        <w:spacing w:before="0"/>
        <w:ind w:left="571" w:right="1117" w:hanging="452"/>
        <w:jc w:val="left"/>
        <w:rPr>
          <w:sz w:val="24"/>
        </w:rPr>
      </w:pPr>
      <w:r>
        <w:rPr>
          <w:sz w:val="24"/>
        </w:rPr>
        <w:t>Pateman,</w:t>
      </w:r>
      <w:r>
        <w:rPr>
          <w:spacing w:val="40"/>
          <w:sz w:val="24"/>
        </w:rPr>
        <w:t> </w:t>
      </w:r>
      <w:r>
        <w:rPr>
          <w:sz w:val="24"/>
        </w:rPr>
        <w:t>C.</w:t>
      </w:r>
      <w:r>
        <w:rPr>
          <w:spacing w:val="40"/>
          <w:sz w:val="24"/>
        </w:rPr>
        <w:t> </w:t>
      </w:r>
      <w:r>
        <w:rPr>
          <w:sz w:val="24"/>
        </w:rPr>
        <w:t>(1970).</w:t>
      </w:r>
      <w:r>
        <w:rPr>
          <w:spacing w:val="40"/>
          <w:sz w:val="24"/>
        </w:rPr>
        <w:t> </w:t>
      </w:r>
      <w:r>
        <w:rPr>
          <w:i/>
          <w:sz w:val="24"/>
        </w:rPr>
        <w:t>Participation</w:t>
      </w:r>
      <w:r>
        <w:rPr>
          <w:i/>
          <w:spacing w:val="40"/>
          <w:sz w:val="24"/>
        </w:rPr>
        <w:t> </w:t>
      </w:r>
      <w:r>
        <w:rPr>
          <w:i/>
          <w:sz w:val="24"/>
        </w:rPr>
        <w:t>and</w:t>
      </w:r>
      <w:r>
        <w:rPr>
          <w:i/>
          <w:spacing w:val="40"/>
          <w:sz w:val="24"/>
        </w:rPr>
        <w:t> </w:t>
      </w:r>
      <w:r>
        <w:rPr>
          <w:i/>
          <w:sz w:val="24"/>
        </w:rPr>
        <w:t>democratic</w:t>
      </w:r>
      <w:r>
        <w:rPr>
          <w:i/>
          <w:spacing w:val="40"/>
          <w:sz w:val="24"/>
        </w:rPr>
        <w:t> </w:t>
      </w:r>
      <w:r>
        <w:rPr>
          <w:i/>
          <w:sz w:val="24"/>
        </w:rPr>
        <w:t>theory</w:t>
      </w:r>
      <w:r>
        <w:rPr>
          <w:sz w:val="24"/>
        </w:rPr>
        <w:t>.</w:t>
      </w:r>
      <w:r>
        <w:rPr>
          <w:spacing w:val="40"/>
          <w:sz w:val="24"/>
        </w:rPr>
        <w:t> </w:t>
      </w:r>
      <w:r>
        <w:rPr>
          <w:sz w:val="24"/>
        </w:rPr>
        <w:t>Cambridge:</w:t>
      </w:r>
      <w:r>
        <w:rPr>
          <w:spacing w:val="40"/>
          <w:sz w:val="24"/>
        </w:rPr>
        <w:t> </w:t>
      </w:r>
      <w:r>
        <w:rPr>
          <w:sz w:val="24"/>
        </w:rPr>
        <w:t>Cambridge</w:t>
      </w:r>
      <w:r>
        <w:rPr>
          <w:spacing w:val="40"/>
          <w:sz w:val="24"/>
        </w:rPr>
        <w:t> </w:t>
      </w:r>
      <w:r>
        <w:rPr>
          <w:sz w:val="24"/>
        </w:rPr>
        <w:t>University </w:t>
      </w:r>
      <w:r>
        <w:rPr>
          <w:spacing w:val="-2"/>
          <w:sz w:val="24"/>
        </w:rPr>
        <w:t>Press.</w:t>
      </w:r>
    </w:p>
    <w:p>
      <w:pPr>
        <w:spacing w:before="274"/>
        <w:ind w:left="120" w:right="0" w:firstLine="0"/>
        <w:jc w:val="left"/>
        <w:rPr>
          <w:sz w:val="24"/>
        </w:rPr>
      </w:pPr>
      <w:r>
        <w:rPr>
          <w:sz w:val="24"/>
        </w:rPr>
        <w:t>Patel,</w:t>
      </w:r>
      <w:r>
        <w:rPr>
          <w:spacing w:val="22"/>
          <w:sz w:val="24"/>
        </w:rPr>
        <w:t> </w:t>
      </w:r>
      <w:r>
        <w:rPr>
          <w:sz w:val="24"/>
        </w:rPr>
        <w:t>B.M.</w:t>
      </w:r>
      <w:r>
        <w:rPr>
          <w:spacing w:val="25"/>
          <w:sz w:val="24"/>
        </w:rPr>
        <w:t> </w:t>
      </w:r>
      <w:r>
        <w:rPr>
          <w:sz w:val="24"/>
        </w:rPr>
        <w:t>(2009).</w:t>
      </w:r>
      <w:r>
        <w:rPr>
          <w:spacing w:val="25"/>
          <w:sz w:val="24"/>
        </w:rPr>
        <w:t> </w:t>
      </w:r>
      <w:r>
        <w:rPr>
          <w:i/>
          <w:sz w:val="24"/>
        </w:rPr>
        <w:t>Project</w:t>
      </w:r>
      <w:r>
        <w:rPr>
          <w:i/>
          <w:spacing w:val="25"/>
          <w:sz w:val="24"/>
        </w:rPr>
        <w:t> </w:t>
      </w:r>
      <w:r>
        <w:rPr>
          <w:i/>
          <w:sz w:val="24"/>
        </w:rPr>
        <w:t>management:</w:t>
      </w:r>
      <w:r>
        <w:rPr>
          <w:i/>
          <w:spacing w:val="23"/>
          <w:sz w:val="24"/>
        </w:rPr>
        <w:t> </w:t>
      </w:r>
      <w:r>
        <w:rPr>
          <w:i/>
          <w:sz w:val="24"/>
        </w:rPr>
        <w:t>Strategic</w:t>
      </w:r>
      <w:r>
        <w:rPr>
          <w:i/>
          <w:spacing w:val="24"/>
          <w:sz w:val="24"/>
        </w:rPr>
        <w:t> </w:t>
      </w:r>
      <w:r>
        <w:rPr>
          <w:i/>
          <w:sz w:val="24"/>
        </w:rPr>
        <w:t>financial</w:t>
      </w:r>
      <w:r>
        <w:rPr>
          <w:i/>
          <w:spacing w:val="25"/>
          <w:sz w:val="24"/>
        </w:rPr>
        <w:t> </w:t>
      </w:r>
      <w:r>
        <w:rPr>
          <w:i/>
          <w:sz w:val="24"/>
        </w:rPr>
        <w:t>planning,</w:t>
      </w:r>
      <w:r>
        <w:rPr>
          <w:i/>
          <w:spacing w:val="22"/>
          <w:sz w:val="24"/>
        </w:rPr>
        <w:t> </w:t>
      </w:r>
      <w:r>
        <w:rPr>
          <w:i/>
          <w:sz w:val="24"/>
        </w:rPr>
        <w:t>evaluation</w:t>
      </w:r>
      <w:r>
        <w:rPr>
          <w:i/>
          <w:spacing w:val="25"/>
          <w:sz w:val="24"/>
        </w:rPr>
        <w:t> </w:t>
      </w:r>
      <w:r>
        <w:rPr>
          <w:i/>
          <w:sz w:val="24"/>
        </w:rPr>
        <w:t>and</w:t>
      </w:r>
      <w:r>
        <w:rPr>
          <w:i/>
          <w:spacing w:val="25"/>
          <w:sz w:val="24"/>
        </w:rPr>
        <w:t> </w:t>
      </w:r>
      <w:r>
        <w:rPr>
          <w:i/>
          <w:spacing w:val="-2"/>
          <w:sz w:val="24"/>
        </w:rPr>
        <w:t>control</w:t>
      </w:r>
      <w:r>
        <w:rPr>
          <w:spacing w:val="-2"/>
          <w:sz w:val="24"/>
        </w:rPr>
        <w:t>.</w:t>
      </w:r>
    </w:p>
    <w:p>
      <w:pPr>
        <w:pStyle w:val="BodyText"/>
        <w:ind w:left="571"/>
      </w:pPr>
      <w:r>
        <w:rPr/>
        <w:t>Delhi:</w:t>
      </w:r>
      <w:r>
        <w:rPr>
          <w:spacing w:val="-1"/>
        </w:rPr>
        <w:t> </w:t>
      </w:r>
      <w:r>
        <w:rPr/>
        <w:t>Vikas publishing</w:t>
      </w:r>
      <w:r>
        <w:rPr>
          <w:spacing w:val="-1"/>
        </w:rPr>
        <w:t> </w:t>
      </w:r>
      <w:r>
        <w:rPr/>
        <w:t>house</w:t>
      </w:r>
      <w:r>
        <w:rPr>
          <w:spacing w:val="1"/>
        </w:rPr>
        <w:t> </w:t>
      </w:r>
      <w:r>
        <w:rPr>
          <w:spacing w:val="-4"/>
        </w:rPr>
        <w:t>Ltd.</w:t>
      </w:r>
    </w:p>
    <w:p>
      <w:pPr>
        <w:pStyle w:val="BodyText"/>
      </w:pPr>
    </w:p>
    <w:p>
      <w:pPr>
        <w:spacing w:line="242" w:lineRule="auto" w:before="0"/>
        <w:ind w:left="571" w:right="1074" w:hanging="452"/>
        <w:jc w:val="both"/>
        <w:rPr>
          <w:sz w:val="24"/>
        </w:rPr>
      </w:pPr>
      <w:r>
        <w:rPr>
          <w:sz w:val="24"/>
        </w:rPr>
        <w:t>Patton,</w:t>
      </w:r>
      <w:r>
        <w:rPr>
          <w:spacing w:val="-3"/>
          <w:sz w:val="24"/>
        </w:rPr>
        <w:t> </w:t>
      </w:r>
      <w:r>
        <w:rPr>
          <w:sz w:val="24"/>
        </w:rPr>
        <w:t>M.Q.</w:t>
      </w:r>
      <w:r>
        <w:rPr>
          <w:spacing w:val="-3"/>
          <w:sz w:val="24"/>
        </w:rPr>
        <w:t> </w:t>
      </w:r>
      <w:r>
        <w:rPr>
          <w:sz w:val="24"/>
        </w:rPr>
        <w:t>(2002).</w:t>
      </w:r>
      <w:r>
        <w:rPr>
          <w:spacing w:val="-1"/>
          <w:sz w:val="24"/>
        </w:rPr>
        <w:t> </w:t>
      </w:r>
      <w:r>
        <w:rPr>
          <w:i/>
          <w:sz w:val="24"/>
        </w:rPr>
        <w:t>Qualitative</w:t>
      </w:r>
      <w:r>
        <w:rPr>
          <w:i/>
          <w:spacing w:val="-5"/>
          <w:sz w:val="24"/>
        </w:rPr>
        <w:t> </w:t>
      </w:r>
      <w:r>
        <w:rPr>
          <w:i/>
          <w:sz w:val="24"/>
        </w:rPr>
        <w:t>evaluation</w:t>
      </w:r>
      <w:r>
        <w:rPr>
          <w:i/>
          <w:spacing w:val="-3"/>
          <w:sz w:val="24"/>
        </w:rPr>
        <w:t> </w:t>
      </w:r>
      <w:r>
        <w:rPr>
          <w:i/>
          <w:sz w:val="24"/>
        </w:rPr>
        <w:t>and</w:t>
      </w:r>
      <w:r>
        <w:rPr>
          <w:i/>
          <w:spacing w:val="-3"/>
          <w:sz w:val="24"/>
        </w:rPr>
        <w:t> </w:t>
      </w:r>
      <w:r>
        <w:rPr>
          <w:i/>
          <w:sz w:val="24"/>
        </w:rPr>
        <w:t>research</w:t>
      </w:r>
      <w:r>
        <w:rPr>
          <w:i/>
          <w:spacing w:val="-1"/>
          <w:sz w:val="24"/>
        </w:rPr>
        <w:t> </w:t>
      </w:r>
      <w:r>
        <w:rPr>
          <w:i/>
          <w:sz w:val="24"/>
        </w:rPr>
        <w:t>methods</w:t>
      </w:r>
      <w:r>
        <w:rPr>
          <w:i/>
          <w:spacing w:val="-2"/>
          <w:sz w:val="24"/>
        </w:rPr>
        <w:t> </w:t>
      </w:r>
      <w:r>
        <w:rPr>
          <w:sz w:val="24"/>
        </w:rPr>
        <w:t>(3rd</w:t>
      </w:r>
      <w:r>
        <w:rPr>
          <w:spacing w:val="-2"/>
          <w:sz w:val="24"/>
        </w:rPr>
        <w:t> </w:t>
      </w:r>
      <w:r>
        <w:rPr>
          <w:sz w:val="24"/>
        </w:rPr>
        <w:t>ed.).</w:t>
      </w:r>
      <w:r>
        <w:rPr>
          <w:spacing w:val="-3"/>
          <w:sz w:val="24"/>
        </w:rPr>
        <w:t> </w:t>
      </w:r>
      <w:r>
        <w:rPr>
          <w:sz w:val="24"/>
        </w:rPr>
        <w:t>Thousand</w:t>
      </w:r>
      <w:r>
        <w:rPr>
          <w:spacing w:val="-1"/>
          <w:sz w:val="24"/>
        </w:rPr>
        <w:t> </w:t>
      </w:r>
      <w:r>
        <w:rPr>
          <w:sz w:val="24"/>
        </w:rPr>
        <w:t>Oak;</w:t>
      </w:r>
      <w:r>
        <w:rPr>
          <w:spacing w:val="-3"/>
          <w:sz w:val="24"/>
        </w:rPr>
        <w:t> </w:t>
      </w:r>
      <w:r>
        <w:rPr>
          <w:sz w:val="24"/>
        </w:rPr>
        <w:t>C.A: Sage Publications, Inc.</w:t>
      </w:r>
    </w:p>
    <w:p>
      <w:pPr>
        <w:spacing w:after="0" w:line="242" w:lineRule="auto"/>
        <w:jc w:val="both"/>
        <w:rPr>
          <w:sz w:val="24"/>
        </w:rPr>
        <w:sectPr>
          <w:pgSz w:w="12240" w:h="15840"/>
          <w:pgMar w:header="0" w:footer="1036" w:top="1360" w:bottom="1220" w:left="1320" w:right="320"/>
        </w:sectPr>
      </w:pPr>
    </w:p>
    <w:p>
      <w:pPr>
        <w:spacing w:before="72"/>
        <w:ind w:left="571" w:right="1116" w:hanging="452"/>
        <w:jc w:val="both"/>
        <w:rPr>
          <w:sz w:val="24"/>
        </w:rPr>
      </w:pPr>
      <w:r>
        <w:rPr>
          <w:sz w:val="24"/>
        </w:rPr>
        <w:t>Perrin, B. (2002). </w:t>
      </w:r>
      <w:r>
        <w:rPr>
          <w:i/>
          <w:sz w:val="24"/>
        </w:rPr>
        <w:t>Implementing the vision: Addressing challenges to results-focused</w:t>
      </w:r>
      <w:r>
        <w:rPr>
          <w:i/>
          <w:spacing w:val="40"/>
          <w:sz w:val="24"/>
        </w:rPr>
        <w:t> </w:t>
      </w:r>
      <w:r>
        <w:rPr>
          <w:i/>
          <w:sz w:val="24"/>
        </w:rPr>
        <w:t>management and budgeting</w:t>
      </w:r>
      <w:r>
        <w:rPr>
          <w:sz w:val="24"/>
        </w:rPr>
        <w:t>. Paris: OECD.</w:t>
      </w:r>
    </w:p>
    <w:p>
      <w:pPr>
        <w:pStyle w:val="BodyText"/>
        <w:spacing w:before="5"/>
      </w:pPr>
    </w:p>
    <w:p>
      <w:pPr>
        <w:spacing w:before="0"/>
        <w:ind w:left="571" w:right="1115" w:hanging="452"/>
        <w:jc w:val="both"/>
        <w:rPr>
          <w:sz w:val="24"/>
        </w:rPr>
      </w:pPr>
      <w:r>
        <w:rPr>
          <w:sz w:val="24"/>
        </w:rPr>
        <w:t>Peterside, C. S. (2005). </w:t>
      </w:r>
      <w:r>
        <w:rPr>
          <w:i/>
          <w:sz w:val="24"/>
        </w:rPr>
        <w:t>Ameliorating housing deficit in Nigeria: The role of primary and secondary mortgage institutions and the capital market</w:t>
      </w:r>
      <w:r>
        <w:rPr>
          <w:sz w:val="24"/>
        </w:rPr>
        <w:t>. Retrieved from </w:t>
      </w:r>
      <w:r>
        <w:rPr>
          <w:spacing w:val="-2"/>
          <w:sz w:val="24"/>
        </w:rPr>
        <w:t>http://</w:t>
      </w:r>
      <w:hyperlink r:id="rId242">
        <w:r>
          <w:rPr>
            <w:spacing w:val="-2"/>
            <w:sz w:val="24"/>
          </w:rPr>
          <w:t>www.nigeriaworld.com</w:t>
        </w:r>
      </w:hyperlink>
    </w:p>
    <w:p>
      <w:pPr>
        <w:spacing w:line="550" w:lineRule="atLeast" w:before="4"/>
        <w:ind w:left="120" w:right="1117" w:firstLine="0"/>
        <w:jc w:val="both"/>
        <w:rPr>
          <w:sz w:val="24"/>
        </w:rPr>
      </w:pPr>
      <w:r>
        <w:rPr>
          <w:sz w:val="24"/>
        </w:rPr>
        <w:t>Pettinger,T.(2012).</w:t>
      </w:r>
      <w:r>
        <w:rPr>
          <w:i/>
          <w:sz w:val="24"/>
        </w:rPr>
        <w:t>The marginal utility theory</w:t>
      </w:r>
      <w:r>
        <w:rPr>
          <w:sz w:val="24"/>
        </w:rPr>
        <w:t>. Retrieved from </w:t>
      </w:r>
      <w:hyperlink r:id="rId243">
        <w:r>
          <w:rPr>
            <w:sz w:val="24"/>
          </w:rPr>
          <w:t>http://www.economicshelp.org/</w:t>
        </w:r>
      </w:hyperlink>
      <w:r>
        <w:rPr>
          <w:sz w:val="24"/>
        </w:rPr>
        <w:t> Philips,</w:t>
      </w:r>
      <w:r>
        <w:rPr>
          <w:spacing w:val="21"/>
          <w:sz w:val="24"/>
        </w:rPr>
        <w:t> </w:t>
      </w:r>
      <w:r>
        <w:rPr>
          <w:sz w:val="24"/>
        </w:rPr>
        <w:t>D.</w:t>
      </w:r>
      <w:r>
        <w:rPr>
          <w:spacing w:val="19"/>
          <w:sz w:val="24"/>
        </w:rPr>
        <w:t> </w:t>
      </w:r>
      <w:r>
        <w:rPr>
          <w:sz w:val="24"/>
        </w:rPr>
        <w:t>(1997).</w:t>
      </w:r>
      <w:r>
        <w:rPr>
          <w:spacing w:val="21"/>
          <w:sz w:val="24"/>
        </w:rPr>
        <w:t> </w:t>
      </w:r>
      <w:r>
        <w:rPr>
          <w:i/>
          <w:sz w:val="24"/>
        </w:rPr>
        <w:t>Why</w:t>
      </w:r>
      <w:r>
        <w:rPr>
          <w:i/>
          <w:spacing w:val="21"/>
          <w:sz w:val="24"/>
        </w:rPr>
        <w:t> </w:t>
      </w:r>
      <w:r>
        <w:rPr>
          <w:i/>
          <w:sz w:val="24"/>
        </w:rPr>
        <w:t>economic</w:t>
      </w:r>
      <w:r>
        <w:rPr>
          <w:i/>
          <w:spacing w:val="20"/>
          <w:sz w:val="24"/>
        </w:rPr>
        <w:t> </w:t>
      </w:r>
      <w:r>
        <w:rPr>
          <w:i/>
          <w:sz w:val="24"/>
        </w:rPr>
        <w:t>policies</w:t>
      </w:r>
      <w:r>
        <w:rPr>
          <w:i/>
          <w:spacing w:val="20"/>
          <w:sz w:val="24"/>
        </w:rPr>
        <w:t> </w:t>
      </w:r>
      <w:r>
        <w:rPr>
          <w:i/>
          <w:sz w:val="24"/>
        </w:rPr>
        <w:t>have</w:t>
      </w:r>
      <w:r>
        <w:rPr>
          <w:i/>
          <w:spacing w:val="19"/>
          <w:sz w:val="24"/>
        </w:rPr>
        <w:t> </w:t>
      </w:r>
      <w:r>
        <w:rPr>
          <w:i/>
          <w:sz w:val="24"/>
        </w:rPr>
        <w:t>failed</w:t>
      </w:r>
      <w:r>
        <w:rPr>
          <w:i/>
          <w:spacing w:val="20"/>
          <w:sz w:val="24"/>
        </w:rPr>
        <w:t> </w:t>
      </w:r>
      <w:r>
        <w:rPr>
          <w:i/>
          <w:sz w:val="24"/>
        </w:rPr>
        <w:t>in</w:t>
      </w:r>
      <w:r>
        <w:rPr>
          <w:i/>
          <w:spacing w:val="20"/>
          <w:sz w:val="24"/>
        </w:rPr>
        <w:t> </w:t>
      </w:r>
      <w:r>
        <w:rPr>
          <w:i/>
          <w:sz w:val="24"/>
        </w:rPr>
        <w:t>Nigeria</w:t>
      </w:r>
      <w:r>
        <w:rPr>
          <w:sz w:val="24"/>
        </w:rPr>
        <w:t>.</w:t>
      </w:r>
      <w:r>
        <w:rPr>
          <w:spacing w:val="18"/>
          <w:sz w:val="24"/>
        </w:rPr>
        <w:t> </w:t>
      </w:r>
      <w:r>
        <w:rPr>
          <w:sz w:val="24"/>
        </w:rPr>
        <w:t>Sketch</w:t>
      </w:r>
      <w:r>
        <w:rPr>
          <w:spacing w:val="19"/>
          <w:sz w:val="24"/>
        </w:rPr>
        <w:t> </w:t>
      </w:r>
      <w:r>
        <w:rPr>
          <w:sz w:val="24"/>
        </w:rPr>
        <w:t>of</w:t>
      </w:r>
      <w:r>
        <w:rPr>
          <w:spacing w:val="20"/>
          <w:sz w:val="24"/>
        </w:rPr>
        <w:t> </w:t>
      </w:r>
      <w:r>
        <w:rPr>
          <w:sz w:val="24"/>
        </w:rPr>
        <w:t>presentation</w:t>
      </w:r>
      <w:r>
        <w:rPr>
          <w:spacing w:val="20"/>
          <w:sz w:val="24"/>
        </w:rPr>
        <w:t> </w:t>
      </w:r>
      <w:r>
        <w:rPr>
          <w:sz w:val="24"/>
        </w:rPr>
        <w:t>at</w:t>
      </w:r>
      <w:r>
        <w:rPr>
          <w:spacing w:val="21"/>
          <w:sz w:val="24"/>
        </w:rPr>
        <w:t> </w:t>
      </w:r>
      <w:r>
        <w:rPr>
          <w:spacing w:val="-5"/>
          <w:sz w:val="24"/>
        </w:rPr>
        <w:t>the</w:t>
      </w:r>
    </w:p>
    <w:p>
      <w:pPr>
        <w:pStyle w:val="BodyText"/>
        <w:spacing w:before="2"/>
        <w:ind w:left="571" w:right="1121"/>
        <w:jc w:val="both"/>
      </w:pPr>
      <w:r>
        <w:rPr/>
        <w:t>Nigeria‘s Vision 2010 committee workshop. Washington, DC: FGN. Retrieved from </w:t>
      </w:r>
      <w:hyperlink r:id="rId244">
        <w:r>
          <w:rPr>
            <w:spacing w:val="-2"/>
          </w:rPr>
          <w:t>http://www.hrw.org/reports/199</w:t>
        </w:r>
      </w:hyperlink>
    </w:p>
    <w:p>
      <w:pPr>
        <w:pStyle w:val="BodyText"/>
        <w:spacing w:before="3"/>
      </w:pPr>
    </w:p>
    <w:p>
      <w:pPr>
        <w:spacing w:before="0"/>
        <w:ind w:left="120" w:right="0" w:firstLine="0"/>
        <w:jc w:val="left"/>
        <w:rPr>
          <w:sz w:val="24"/>
        </w:rPr>
      </w:pPr>
      <w:r>
        <w:rPr>
          <w:sz w:val="24"/>
        </w:rPr>
        <w:t>Phyrr,</w:t>
      </w:r>
      <w:r>
        <w:rPr>
          <w:spacing w:val="-4"/>
          <w:sz w:val="24"/>
        </w:rPr>
        <w:t> </w:t>
      </w:r>
      <w:r>
        <w:rPr>
          <w:sz w:val="24"/>
        </w:rPr>
        <w:t>P.A.</w:t>
      </w:r>
      <w:r>
        <w:rPr>
          <w:spacing w:val="-1"/>
          <w:sz w:val="24"/>
        </w:rPr>
        <w:t> </w:t>
      </w:r>
      <w:r>
        <w:rPr>
          <w:sz w:val="24"/>
        </w:rPr>
        <w:t>(1970).</w:t>
      </w:r>
      <w:r>
        <w:rPr>
          <w:spacing w:val="-2"/>
          <w:sz w:val="24"/>
        </w:rPr>
        <w:t> </w:t>
      </w:r>
      <w:r>
        <w:rPr>
          <w:i/>
          <w:sz w:val="24"/>
        </w:rPr>
        <w:t>Zero-base</w:t>
      </w:r>
      <w:r>
        <w:rPr>
          <w:i/>
          <w:spacing w:val="-2"/>
          <w:sz w:val="24"/>
        </w:rPr>
        <w:t> </w:t>
      </w:r>
      <w:r>
        <w:rPr>
          <w:i/>
          <w:sz w:val="24"/>
        </w:rPr>
        <w:t>budgeting</w:t>
      </w:r>
      <w:r>
        <w:rPr>
          <w:sz w:val="24"/>
        </w:rPr>
        <w:t>.</w:t>
      </w:r>
      <w:r>
        <w:rPr>
          <w:spacing w:val="-1"/>
          <w:sz w:val="24"/>
        </w:rPr>
        <w:t> </w:t>
      </w:r>
      <w:r>
        <w:rPr>
          <w:sz w:val="24"/>
        </w:rPr>
        <w:t>Havard</w:t>
      </w:r>
      <w:r>
        <w:rPr>
          <w:spacing w:val="-1"/>
          <w:sz w:val="24"/>
        </w:rPr>
        <w:t> </w:t>
      </w:r>
      <w:r>
        <w:rPr>
          <w:sz w:val="24"/>
        </w:rPr>
        <w:t>Business</w:t>
      </w:r>
      <w:r>
        <w:rPr>
          <w:spacing w:val="-1"/>
          <w:sz w:val="24"/>
        </w:rPr>
        <w:t> </w:t>
      </w:r>
      <w:r>
        <w:rPr>
          <w:sz w:val="24"/>
        </w:rPr>
        <w:t>Review,</w:t>
      </w:r>
      <w:r>
        <w:rPr>
          <w:spacing w:val="-1"/>
          <w:sz w:val="24"/>
        </w:rPr>
        <w:t> </w:t>
      </w:r>
      <w:r>
        <w:rPr>
          <w:spacing w:val="-2"/>
          <w:sz w:val="24"/>
        </w:rPr>
        <w:t>November/December.</w:t>
      </w:r>
    </w:p>
    <w:p>
      <w:pPr>
        <w:spacing w:before="137"/>
        <w:ind w:left="120" w:right="0" w:firstLine="0"/>
        <w:jc w:val="left"/>
        <w:rPr>
          <w:sz w:val="24"/>
        </w:rPr>
      </w:pPr>
      <w:r>
        <w:rPr>
          <w:sz w:val="24"/>
        </w:rPr>
        <w:t>Pison</w:t>
      </w:r>
      <w:r>
        <w:rPr>
          <w:spacing w:val="22"/>
          <w:sz w:val="24"/>
        </w:rPr>
        <w:t> </w:t>
      </w:r>
      <w:r>
        <w:rPr>
          <w:sz w:val="24"/>
        </w:rPr>
        <w:t>Housing</w:t>
      </w:r>
      <w:r>
        <w:rPr>
          <w:spacing w:val="21"/>
          <w:sz w:val="24"/>
        </w:rPr>
        <w:t> </w:t>
      </w:r>
      <w:r>
        <w:rPr>
          <w:sz w:val="24"/>
        </w:rPr>
        <w:t>Company</w:t>
      </w:r>
      <w:r>
        <w:rPr>
          <w:spacing w:val="22"/>
          <w:sz w:val="24"/>
        </w:rPr>
        <w:t> </w:t>
      </w:r>
      <w:r>
        <w:rPr>
          <w:sz w:val="24"/>
        </w:rPr>
        <w:t>(2010).</w:t>
      </w:r>
      <w:r>
        <w:rPr>
          <w:spacing w:val="25"/>
          <w:sz w:val="24"/>
        </w:rPr>
        <w:t> </w:t>
      </w:r>
      <w:r>
        <w:rPr>
          <w:i/>
          <w:sz w:val="24"/>
        </w:rPr>
        <w:t>Overview</w:t>
      </w:r>
      <w:r>
        <w:rPr>
          <w:i/>
          <w:spacing w:val="25"/>
          <w:sz w:val="24"/>
        </w:rPr>
        <w:t> </w:t>
      </w:r>
      <w:r>
        <w:rPr>
          <w:i/>
          <w:sz w:val="24"/>
        </w:rPr>
        <w:t>of</w:t>
      </w:r>
      <w:r>
        <w:rPr>
          <w:i/>
          <w:spacing w:val="24"/>
          <w:sz w:val="24"/>
        </w:rPr>
        <w:t> </w:t>
      </w:r>
      <w:r>
        <w:rPr>
          <w:i/>
          <w:sz w:val="24"/>
        </w:rPr>
        <w:t>the</w:t>
      </w:r>
      <w:r>
        <w:rPr>
          <w:i/>
          <w:spacing w:val="26"/>
          <w:sz w:val="24"/>
        </w:rPr>
        <w:t> </w:t>
      </w:r>
      <w:r>
        <w:rPr>
          <w:i/>
          <w:sz w:val="24"/>
        </w:rPr>
        <w:t>housing</w:t>
      </w:r>
      <w:r>
        <w:rPr>
          <w:i/>
          <w:spacing w:val="23"/>
          <w:sz w:val="24"/>
        </w:rPr>
        <w:t> </w:t>
      </w:r>
      <w:r>
        <w:rPr>
          <w:i/>
          <w:sz w:val="24"/>
        </w:rPr>
        <w:t>finance</w:t>
      </w:r>
      <w:r>
        <w:rPr>
          <w:i/>
          <w:spacing w:val="23"/>
          <w:sz w:val="24"/>
        </w:rPr>
        <w:t> </w:t>
      </w:r>
      <w:r>
        <w:rPr>
          <w:i/>
          <w:sz w:val="24"/>
        </w:rPr>
        <w:t>sector</w:t>
      </w:r>
      <w:r>
        <w:rPr>
          <w:i/>
          <w:spacing w:val="26"/>
          <w:sz w:val="24"/>
        </w:rPr>
        <w:t> </w:t>
      </w:r>
      <w:r>
        <w:rPr>
          <w:i/>
          <w:sz w:val="24"/>
        </w:rPr>
        <w:t>in</w:t>
      </w:r>
      <w:r>
        <w:rPr>
          <w:i/>
          <w:spacing w:val="25"/>
          <w:sz w:val="24"/>
        </w:rPr>
        <w:t> </w:t>
      </w:r>
      <w:r>
        <w:rPr>
          <w:i/>
          <w:sz w:val="24"/>
        </w:rPr>
        <w:t>Nigeria</w:t>
      </w:r>
      <w:r>
        <w:rPr>
          <w:sz w:val="24"/>
        </w:rPr>
        <w:t>:</w:t>
      </w:r>
      <w:r>
        <w:rPr>
          <w:spacing w:val="24"/>
          <w:sz w:val="24"/>
        </w:rPr>
        <w:t> </w:t>
      </w:r>
      <w:r>
        <w:rPr>
          <w:sz w:val="24"/>
        </w:rPr>
        <w:t>1,</w:t>
      </w:r>
      <w:r>
        <w:rPr>
          <w:spacing w:val="24"/>
          <w:sz w:val="24"/>
        </w:rPr>
        <w:t> </w:t>
      </w:r>
      <w:r>
        <w:rPr>
          <w:spacing w:val="-2"/>
          <w:sz w:val="24"/>
        </w:rPr>
        <w:t>15–20.</w:t>
      </w:r>
    </w:p>
    <w:p>
      <w:pPr>
        <w:pStyle w:val="BodyText"/>
        <w:ind w:left="571"/>
      </w:pPr>
      <w:r>
        <w:rPr/>
        <w:t>Lagos:</w:t>
      </w:r>
      <w:r>
        <w:rPr>
          <w:spacing w:val="-2"/>
        </w:rPr>
        <w:t> </w:t>
      </w:r>
      <w:r>
        <w:rPr/>
        <w:t>Pison</w:t>
      </w:r>
      <w:r>
        <w:rPr>
          <w:spacing w:val="-2"/>
        </w:rPr>
        <w:t> Housing.</w:t>
      </w:r>
    </w:p>
    <w:p>
      <w:pPr>
        <w:pStyle w:val="BodyText"/>
      </w:pPr>
    </w:p>
    <w:p>
      <w:pPr>
        <w:pStyle w:val="BodyText"/>
        <w:ind w:left="571" w:right="1121" w:hanging="452"/>
        <w:jc w:val="both"/>
      </w:pPr>
      <w:r>
        <w:rPr/>
        <w:t>Portz, J. (1996). Problem definitions and policy agenda: Shaping the educational agenda in Boston. </w:t>
      </w:r>
      <w:r>
        <w:rPr>
          <w:i/>
        </w:rPr>
        <w:t>Policy Studies Journal</w:t>
      </w:r>
      <w:r>
        <w:rPr/>
        <w:t>, 24, 371–386.</w:t>
      </w:r>
    </w:p>
    <w:p>
      <w:pPr>
        <w:pStyle w:val="BodyText"/>
      </w:pPr>
    </w:p>
    <w:p>
      <w:pPr>
        <w:spacing w:before="0"/>
        <w:ind w:left="120" w:right="0" w:firstLine="0"/>
        <w:jc w:val="left"/>
        <w:rPr>
          <w:sz w:val="24"/>
        </w:rPr>
      </w:pPr>
      <w:r>
        <w:rPr>
          <w:sz w:val="24"/>
        </w:rPr>
        <w:t>Premchand,</w:t>
      </w:r>
      <w:r>
        <w:rPr>
          <w:spacing w:val="34"/>
          <w:sz w:val="24"/>
        </w:rPr>
        <w:t> </w:t>
      </w:r>
      <w:r>
        <w:rPr>
          <w:sz w:val="24"/>
        </w:rPr>
        <w:t>A.</w:t>
      </w:r>
      <w:r>
        <w:rPr>
          <w:spacing w:val="39"/>
          <w:sz w:val="24"/>
        </w:rPr>
        <w:t> </w:t>
      </w:r>
      <w:r>
        <w:rPr>
          <w:sz w:val="24"/>
        </w:rPr>
        <w:t>(Ed.).</w:t>
      </w:r>
      <w:r>
        <w:rPr>
          <w:spacing w:val="38"/>
          <w:sz w:val="24"/>
        </w:rPr>
        <w:t> </w:t>
      </w:r>
      <w:r>
        <w:rPr>
          <w:sz w:val="24"/>
        </w:rPr>
        <w:t>(1990).</w:t>
      </w:r>
      <w:r>
        <w:rPr>
          <w:spacing w:val="37"/>
          <w:sz w:val="24"/>
        </w:rPr>
        <w:t> </w:t>
      </w:r>
      <w:r>
        <w:rPr>
          <w:i/>
          <w:sz w:val="24"/>
        </w:rPr>
        <w:t>Government</w:t>
      </w:r>
      <w:r>
        <w:rPr>
          <w:i/>
          <w:spacing w:val="37"/>
          <w:sz w:val="24"/>
        </w:rPr>
        <w:t> </w:t>
      </w:r>
      <w:r>
        <w:rPr>
          <w:i/>
          <w:sz w:val="24"/>
        </w:rPr>
        <w:t>financial</w:t>
      </w:r>
      <w:r>
        <w:rPr>
          <w:i/>
          <w:spacing w:val="37"/>
          <w:sz w:val="24"/>
        </w:rPr>
        <w:t> </w:t>
      </w:r>
      <w:r>
        <w:rPr>
          <w:i/>
          <w:sz w:val="24"/>
        </w:rPr>
        <w:t>management:</w:t>
      </w:r>
      <w:r>
        <w:rPr>
          <w:i/>
          <w:spacing w:val="38"/>
          <w:sz w:val="24"/>
        </w:rPr>
        <w:t> </w:t>
      </w:r>
      <w:r>
        <w:rPr>
          <w:i/>
          <w:sz w:val="24"/>
        </w:rPr>
        <w:t>Issues</w:t>
      </w:r>
      <w:r>
        <w:rPr>
          <w:i/>
          <w:spacing w:val="39"/>
          <w:sz w:val="24"/>
        </w:rPr>
        <w:t> </w:t>
      </w:r>
      <w:r>
        <w:rPr>
          <w:i/>
          <w:sz w:val="24"/>
        </w:rPr>
        <w:t>and</w:t>
      </w:r>
      <w:r>
        <w:rPr>
          <w:i/>
          <w:spacing w:val="37"/>
          <w:sz w:val="24"/>
        </w:rPr>
        <w:t> </w:t>
      </w:r>
      <w:r>
        <w:rPr>
          <w:i/>
          <w:sz w:val="24"/>
        </w:rPr>
        <w:t>country</w:t>
      </w:r>
      <w:r>
        <w:rPr>
          <w:i/>
          <w:spacing w:val="36"/>
          <w:sz w:val="24"/>
        </w:rPr>
        <w:t> </w:t>
      </w:r>
      <w:r>
        <w:rPr>
          <w:i/>
          <w:spacing w:val="-2"/>
          <w:sz w:val="24"/>
        </w:rPr>
        <w:t>studies</w:t>
      </w:r>
      <w:r>
        <w:rPr>
          <w:spacing w:val="-2"/>
          <w:sz w:val="24"/>
        </w:rPr>
        <w:t>.</w:t>
      </w:r>
    </w:p>
    <w:p>
      <w:pPr>
        <w:pStyle w:val="BodyText"/>
        <w:ind w:left="571"/>
      </w:pPr>
      <w:r>
        <w:rPr/>
        <w:t>Washington,</w:t>
      </w:r>
      <w:r>
        <w:rPr>
          <w:spacing w:val="-3"/>
        </w:rPr>
        <w:t> </w:t>
      </w:r>
      <w:r>
        <w:rPr/>
        <w:t>DC:</w:t>
      </w:r>
      <w:r>
        <w:rPr>
          <w:spacing w:val="1"/>
        </w:rPr>
        <w:t> </w:t>
      </w:r>
      <w:r>
        <w:rPr>
          <w:spacing w:val="-4"/>
        </w:rPr>
        <w:t>IMF.</w:t>
      </w:r>
    </w:p>
    <w:p>
      <w:pPr>
        <w:pStyle w:val="BodyText"/>
      </w:pPr>
    </w:p>
    <w:p>
      <w:pPr>
        <w:spacing w:before="0"/>
        <w:ind w:left="571" w:right="1120" w:hanging="452"/>
        <w:jc w:val="both"/>
        <w:rPr>
          <w:sz w:val="24"/>
        </w:rPr>
      </w:pPr>
      <w:r>
        <w:rPr>
          <w:sz w:val="24"/>
        </w:rPr>
        <w:t>Profiroiu, M. (2001). </w:t>
      </w:r>
      <w:r>
        <w:rPr>
          <w:i/>
          <w:sz w:val="24"/>
        </w:rPr>
        <w:t>The analysis of public sector performance -The application of economic theories</w:t>
      </w:r>
      <w:r>
        <w:rPr>
          <w:sz w:val="24"/>
        </w:rPr>
        <w:t>. San Francisco: Jossey-Bass.</w:t>
      </w:r>
    </w:p>
    <w:p>
      <w:pPr>
        <w:spacing w:before="243"/>
        <w:ind w:left="120" w:right="0" w:firstLine="0"/>
        <w:jc w:val="left"/>
        <w:rPr>
          <w:sz w:val="24"/>
        </w:rPr>
      </w:pPr>
      <w:r>
        <w:rPr>
          <w:sz w:val="24"/>
        </w:rPr>
        <w:t>Redding,</w:t>
      </w:r>
      <w:r>
        <w:rPr>
          <w:spacing w:val="-2"/>
          <w:sz w:val="24"/>
        </w:rPr>
        <w:t> </w:t>
      </w:r>
      <w:r>
        <w:rPr>
          <w:sz w:val="24"/>
        </w:rPr>
        <w:t>W.</w:t>
      </w:r>
      <w:r>
        <w:rPr>
          <w:spacing w:val="-2"/>
          <w:sz w:val="24"/>
        </w:rPr>
        <w:t> </w:t>
      </w:r>
      <w:r>
        <w:rPr>
          <w:sz w:val="24"/>
        </w:rPr>
        <w:t>J.</w:t>
      </w:r>
      <w:r>
        <w:rPr>
          <w:spacing w:val="-1"/>
          <w:sz w:val="24"/>
        </w:rPr>
        <w:t> </w:t>
      </w:r>
      <w:r>
        <w:rPr>
          <w:sz w:val="24"/>
        </w:rPr>
        <w:t>(1970).</w:t>
      </w:r>
      <w:r>
        <w:rPr>
          <w:spacing w:val="-2"/>
          <w:sz w:val="24"/>
        </w:rPr>
        <w:t> </w:t>
      </w:r>
      <w:r>
        <w:rPr>
          <w:i/>
          <w:sz w:val="24"/>
        </w:rPr>
        <w:t>Managerial</w:t>
      </w:r>
      <w:r>
        <w:rPr>
          <w:i/>
          <w:spacing w:val="-2"/>
          <w:sz w:val="24"/>
        </w:rPr>
        <w:t> </w:t>
      </w:r>
      <w:r>
        <w:rPr>
          <w:i/>
          <w:sz w:val="24"/>
        </w:rPr>
        <w:t>effectiveness</w:t>
      </w:r>
      <w:r>
        <w:rPr>
          <w:sz w:val="24"/>
        </w:rPr>
        <w:t>.</w:t>
      </w:r>
      <w:r>
        <w:rPr>
          <w:spacing w:val="1"/>
          <w:sz w:val="24"/>
        </w:rPr>
        <w:t> </w:t>
      </w:r>
      <w:r>
        <w:rPr>
          <w:sz w:val="24"/>
        </w:rPr>
        <w:t>New</w:t>
      </w:r>
      <w:r>
        <w:rPr>
          <w:spacing w:val="-2"/>
          <w:sz w:val="24"/>
        </w:rPr>
        <w:t> </w:t>
      </w:r>
      <w:r>
        <w:rPr>
          <w:sz w:val="24"/>
        </w:rPr>
        <w:t>York:</w:t>
      </w:r>
      <w:r>
        <w:rPr>
          <w:spacing w:val="-1"/>
          <w:sz w:val="24"/>
        </w:rPr>
        <w:t> </w:t>
      </w:r>
      <w:r>
        <w:rPr>
          <w:sz w:val="24"/>
        </w:rPr>
        <w:t>McGraw-</w:t>
      </w:r>
      <w:r>
        <w:rPr>
          <w:spacing w:val="-2"/>
          <w:sz w:val="24"/>
        </w:rPr>
        <w:t>Hill.</w:t>
      </w:r>
    </w:p>
    <w:p>
      <w:pPr>
        <w:pStyle w:val="BodyText"/>
        <w:spacing w:before="43"/>
      </w:pPr>
    </w:p>
    <w:p>
      <w:pPr>
        <w:spacing w:before="1"/>
        <w:ind w:left="9" w:right="1002" w:firstLine="0"/>
        <w:jc w:val="center"/>
        <w:rPr>
          <w:sz w:val="24"/>
        </w:rPr>
      </w:pPr>
      <w:hyperlink r:id="rId245">
        <w:r>
          <w:rPr>
            <w:sz w:val="24"/>
          </w:rPr>
          <w:t>Reh</w:t>
        </w:r>
      </w:hyperlink>
      <w:r>
        <w:rPr>
          <w:sz w:val="24"/>
        </w:rPr>
        <w:t>,</w:t>
      </w:r>
      <w:r>
        <w:rPr>
          <w:spacing w:val="65"/>
          <w:sz w:val="24"/>
        </w:rPr>
        <w:t> </w:t>
      </w:r>
      <w:r>
        <w:rPr>
          <w:sz w:val="24"/>
        </w:rPr>
        <w:t>F.</w:t>
      </w:r>
      <w:r>
        <w:rPr>
          <w:spacing w:val="68"/>
          <w:sz w:val="24"/>
        </w:rPr>
        <w:t> </w:t>
      </w:r>
      <w:r>
        <w:rPr>
          <w:sz w:val="24"/>
        </w:rPr>
        <w:t>J.</w:t>
      </w:r>
      <w:r>
        <w:rPr>
          <w:spacing w:val="69"/>
          <w:sz w:val="24"/>
        </w:rPr>
        <w:t> </w:t>
      </w:r>
      <w:r>
        <w:rPr>
          <w:sz w:val="24"/>
        </w:rPr>
        <w:t>(2010).</w:t>
      </w:r>
      <w:r>
        <w:rPr>
          <w:spacing w:val="67"/>
          <w:sz w:val="24"/>
        </w:rPr>
        <w:t> </w:t>
      </w:r>
      <w:r>
        <w:rPr>
          <w:i/>
          <w:sz w:val="24"/>
        </w:rPr>
        <w:t>How</w:t>
      </w:r>
      <w:r>
        <w:rPr>
          <w:i/>
          <w:spacing w:val="67"/>
          <w:sz w:val="24"/>
        </w:rPr>
        <w:t> </w:t>
      </w:r>
      <w:r>
        <w:rPr>
          <w:i/>
          <w:sz w:val="24"/>
        </w:rPr>
        <w:t>an</w:t>
      </w:r>
      <w:r>
        <w:rPr>
          <w:i/>
          <w:spacing w:val="68"/>
          <w:sz w:val="24"/>
        </w:rPr>
        <w:t> </w:t>
      </w:r>
      <w:r>
        <w:rPr>
          <w:i/>
          <w:sz w:val="24"/>
        </w:rPr>
        <w:t>organization</w:t>
      </w:r>
      <w:r>
        <w:rPr>
          <w:i/>
          <w:spacing w:val="68"/>
          <w:sz w:val="24"/>
        </w:rPr>
        <w:t> </w:t>
      </w:r>
      <w:r>
        <w:rPr>
          <w:i/>
          <w:sz w:val="24"/>
        </w:rPr>
        <w:t>defines</w:t>
      </w:r>
      <w:r>
        <w:rPr>
          <w:i/>
          <w:spacing w:val="68"/>
          <w:sz w:val="24"/>
        </w:rPr>
        <w:t> </w:t>
      </w:r>
      <w:r>
        <w:rPr>
          <w:i/>
          <w:sz w:val="24"/>
        </w:rPr>
        <w:t>and</w:t>
      </w:r>
      <w:r>
        <w:rPr>
          <w:i/>
          <w:spacing w:val="70"/>
          <w:sz w:val="24"/>
        </w:rPr>
        <w:t> </w:t>
      </w:r>
      <w:r>
        <w:rPr>
          <w:i/>
          <w:sz w:val="24"/>
        </w:rPr>
        <w:t>measures</w:t>
      </w:r>
      <w:r>
        <w:rPr>
          <w:i/>
          <w:spacing w:val="68"/>
          <w:sz w:val="24"/>
        </w:rPr>
        <w:t> </w:t>
      </w:r>
      <w:r>
        <w:rPr>
          <w:i/>
          <w:sz w:val="24"/>
        </w:rPr>
        <w:t>progress</w:t>
      </w:r>
      <w:r>
        <w:rPr>
          <w:i/>
          <w:spacing w:val="68"/>
          <w:sz w:val="24"/>
        </w:rPr>
        <w:t> </w:t>
      </w:r>
      <w:r>
        <w:rPr>
          <w:i/>
          <w:sz w:val="24"/>
        </w:rPr>
        <w:t>toward</w:t>
      </w:r>
      <w:r>
        <w:rPr>
          <w:i/>
          <w:spacing w:val="68"/>
          <w:sz w:val="24"/>
        </w:rPr>
        <w:t> </w:t>
      </w:r>
      <w:r>
        <w:rPr>
          <w:i/>
          <w:sz w:val="24"/>
        </w:rPr>
        <w:t>its</w:t>
      </w:r>
      <w:r>
        <w:rPr>
          <w:i/>
          <w:spacing w:val="69"/>
          <w:sz w:val="24"/>
        </w:rPr>
        <w:t> </w:t>
      </w:r>
      <w:r>
        <w:rPr>
          <w:i/>
          <w:spacing w:val="-2"/>
          <w:sz w:val="24"/>
        </w:rPr>
        <w:t>goals</w:t>
      </w:r>
      <w:r>
        <w:rPr>
          <w:spacing w:val="-2"/>
          <w:sz w:val="24"/>
        </w:rPr>
        <w:t>.</w:t>
      </w:r>
    </w:p>
    <w:p>
      <w:pPr>
        <w:pStyle w:val="BodyText"/>
        <w:ind w:right="922"/>
        <w:jc w:val="center"/>
      </w:pPr>
      <w:r>
        <w:rPr/>
        <w:t>Retrieved</w:t>
      </w:r>
      <w:r>
        <w:rPr>
          <w:spacing w:val="-5"/>
        </w:rPr>
        <w:t> </w:t>
      </w:r>
      <w:r>
        <w:rPr/>
        <w:t>from</w:t>
      </w:r>
      <w:r>
        <w:rPr>
          <w:spacing w:val="-2"/>
        </w:rPr>
        <w:t> </w:t>
      </w:r>
      <w:hyperlink r:id="rId246">
        <w:r>
          <w:rPr>
            <w:spacing w:val="-2"/>
          </w:rPr>
          <w:t>http://management.about.com/cs/generalmanagement/a/keyperfindic.htm</w:t>
        </w:r>
      </w:hyperlink>
    </w:p>
    <w:p>
      <w:pPr>
        <w:pStyle w:val="BodyText"/>
        <w:spacing w:before="4"/>
      </w:pPr>
    </w:p>
    <w:p>
      <w:pPr>
        <w:spacing w:before="0"/>
        <w:ind w:left="571" w:right="1117" w:hanging="452"/>
        <w:jc w:val="both"/>
        <w:rPr>
          <w:sz w:val="24"/>
        </w:rPr>
      </w:pPr>
      <w:r>
        <w:rPr>
          <w:sz w:val="24"/>
        </w:rPr>
        <w:t>Renaissance Capital. (2011). </w:t>
      </w:r>
      <w:r>
        <w:rPr>
          <w:i/>
          <w:sz w:val="24"/>
        </w:rPr>
        <w:t>A survey of the Nigerian middle class. </w:t>
      </w:r>
      <w:r>
        <w:rPr>
          <w:sz w:val="24"/>
        </w:rPr>
        <w:t>Retrieved from </w:t>
      </w:r>
      <w:hyperlink r:id="rId247">
        <w:r>
          <w:rPr>
            <w:spacing w:val="-2"/>
            <w:sz w:val="24"/>
          </w:rPr>
          <w:t>http://www.scribd.com/doc/74255806/survey-Nigerian-middle-class-260911-2</w:t>
        </w:r>
      </w:hyperlink>
    </w:p>
    <w:p>
      <w:pPr>
        <w:pStyle w:val="BodyText"/>
      </w:pPr>
    </w:p>
    <w:p>
      <w:pPr>
        <w:pStyle w:val="BodyText"/>
        <w:spacing w:line="242" w:lineRule="auto" w:before="1"/>
        <w:ind w:left="571" w:right="1117" w:hanging="452"/>
      </w:pPr>
      <w:r>
        <w:rPr/>
        <w:t>Roberts,</w:t>
      </w:r>
      <w:r>
        <w:rPr>
          <w:spacing w:val="-4"/>
        </w:rPr>
        <w:t> </w:t>
      </w:r>
      <w:r>
        <w:rPr/>
        <w:t>N.(1997).</w:t>
      </w:r>
      <w:r>
        <w:rPr>
          <w:spacing w:val="-4"/>
        </w:rPr>
        <w:t> </w:t>
      </w:r>
      <w:r>
        <w:rPr/>
        <w:t>Public</w:t>
      </w:r>
      <w:r>
        <w:rPr>
          <w:spacing w:val="-5"/>
        </w:rPr>
        <w:t> </w:t>
      </w:r>
      <w:r>
        <w:rPr/>
        <w:t>deliberation:</w:t>
      </w:r>
      <w:r>
        <w:rPr>
          <w:spacing w:val="-4"/>
        </w:rPr>
        <w:t> </w:t>
      </w:r>
      <w:r>
        <w:rPr/>
        <w:t>An</w:t>
      </w:r>
      <w:r>
        <w:rPr>
          <w:spacing w:val="-4"/>
        </w:rPr>
        <w:t> </w:t>
      </w:r>
      <w:r>
        <w:rPr/>
        <w:t>alternative</w:t>
      </w:r>
      <w:r>
        <w:rPr>
          <w:spacing w:val="-5"/>
        </w:rPr>
        <w:t> </w:t>
      </w:r>
      <w:r>
        <w:rPr/>
        <w:t>approach</w:t>
      </w:r>
      <w:r>
        <w:rPr>
          <w:spacing w:val="-4"/>
        </w:rPr>
        <w:t> </w:t>
      </w:r>
      <w:r>
        <w:rPr/>
        <w:t>to</w:t>
      </w:r>
      <w:r>
        <w:rPr>
          <w:spacing w:val="-2"/>
        </w:rPr>
        <w:t> </w:t>
      </w:r>
      <w:r>
        <w:rPr/>
        <w:t>crafting</w:t>
      </w:r>
      <w:r>
        <w:rPr>
          <w:spacing w:val="-4"/>
        </w:rPr>
        <w:t> </w:t>
      </w:r>
      <w:r>
        <w:rPr/>
        <w:t>policy</w:t>
      </w:r>
      <w:r>
        <w:rPr>
          <w:spacing w:val="-9"/>
        </w:rPr>
        <w:t> </w:t>
      </w:r>
      <w:r>
        <w:rPr/>
        <w:t>and</w:t>
      </w:r>
      <w:r>
        <w:rPr>
          <w:spacing w:val="-4"/>
        </w:rPr>
        <w:t> </w:t>
      </w:r>
      <w:r>
        <w:rPr/>
        <w:t>setting direction. </w:t>
      </w:r>
      <w:r>
        <w:rPr>
          <w:i/>
        </w:rPr>
        <w:t>Public Administration Review, </w:t>
      </w:r>
      <w:r>
        <w:rPr/>
        <w:t>57(2), 124-132.</w:t>
      </w:r>
    </w:p>
    <w:p>
      <w:pPr>
        <w:pStyle w:val="BodyText"/>
        <w:spacing w:before="57"/>
      </w:pPr>
    </w:p>
    <w:p>
      <w:pPr>
        <w:spacing w:before="0"/>
        <w:ind w:left="571" w:right="1120" w:hanging="452"/>
        <w:jc w:val="both"/>
        <w:rPr>
          <w:sz w:val="24"/>
        </w:rPr>
      </w:pPr>
      <w:r>
        <w:rPr>
          <w:sz w:val="24"/>
        </w:rPr>
        <w:t>Roberts, N. (2003). </w:t>
      </w:r>
      <w:r>
        <w:rPr>
          <w:i/>
          <w:sz w:val="24"/>
        </w:rPr>
        <w:t>Direct citizen participation: Building a theory</w:t>
      </w:r>
      <w:r>
        <w:rPr>
          <w:sz w:val="24"/>
        </w:rPr>
        <w:t>. Monterey, Carlifornia: Graduate School of Business and Public Policy.</w:t>
      </w:r>
    </w:p>
    <w:p>
      <w:pPr>
        <w:pStyle w:val="BodyText"/>
      </w:pPr>
    </w:p>
    <w:p>
      <w:pPr>
        <w:pStyle w:val="BodyText"/>
        <w:ind w:right="1002"/>
        <w:jc w:val="center"/>
      </w:pPr>
      <w:r>
        <w:rPr/>
        <w:t>Rochefort,</w:t>
      </w:r>
      <w:r>
        <w:rPr>
          <w:spacing w:val="11"/>
        </w:rPr>
        <w:t> </w:t>
      </w:r>
      <w:r>
        <w:rPr/>
        <w:t>D.</w:t>
      </w:r>
      <w:r>
        <w:rPr>
          <w:spacing w:val="15"/>
        </w:rPr>
        <w:t> </w:t>
      </w:r>
      <w:r>
        <w:rPr/>
        <w:t>A.,</w:t>
      </w:r>
      <w:r>
        <w:rPr>
          <w:spacing w:val="16"/>
        </w:rPr>
        <w:t> </w:t>
      </w:r>
      <w:r>
        <w:rPr/>
        <w:t>&amp;</w:t>
      </w:r>
      <w:r>
        <w:rPr>
          <w:spacing w:val="13"/>
        </w:rPr>
        <w:t> </w:t>
      </w:r>
      <w:r>
        <w:rPr/>
        <w:t>Cobb,</w:t>
      </w:r>
      <w:r>
        <w:rPr>
          <w:spacing w:val="13"/>
        </w:rPr>
        <w:t> </w:t>
      </w:r>
      <w:r>
        <w:rPr/>
        <w:t>R.</w:t>
      </w:r>
      <w:r>
        <w:rPr>
          <w:spacing w:val="14"/>
        </w:rPr>
        <w:t> </w:t>
      </w:r>
      <w:r>
        <w:rPr/>
        <w:t>W.</w:t>
      </w:r>
      <w:r>
        <w:rPr>
          <w:spacing w:val="14"/>
        </w:rPr>
        <w:t> </w:t>
      </w:r>
      <w:r>
        <w:rPr/>
        <w:t>(1993).</w:t>
      </w:r>
      <w:r>
        <w:rPr>
          <w:spacing w:val="13"/>
        </w:rPr>
        <w:t> </w:t>
      </w:r>
      <w:r>
        <w:rPr/>
        <w:t>Problem</w:t>
      </w:r>
      <w:r>
        <w:rPr>
          <w:spacing w:val="14"/>
        </w:rPr>
        <w:t> </w:t>
      </w:r>
      <w:r>
        <w:rPr/>
        <w:t>definition,</w:t>
      </w:r>
      <w:r>
        <w:rPr>
          <w:spacing w:val="13"/>
        </w:rPr>
        <w:t> </w:t>
      </w:r>
      <w:r>
        <w:rPr/>
        <w:t>agenda</w:t>
      </w:r>
      <w:r>
        <w:rPr>
          <w:spacing w:val="15"/>
        </w:rPr>
        <w:t> </w:t>
      </w:r>
      <w:r>
        <w:rPr/>
        <w:t>access,</w:t>
      </w:r>
      <w:r>
        <w:rPr>
          <w:spacing w:val="14"/>
        </w:rPr>
        <w:t> </w:t>
      </w:r>
      <w:r>
        <w:rPr/>
        <w:t>and</w:t>
      </w:r>
      <w:r>
        <w:rPr>
          <w:spacing w:val="14"/>
        </w:rPr>
        <w:t> </w:t>
      </w:r>
      <w:r>
        <w:rPr/>
        <w:t>policy</w:t>
      </w:r>
      <w:r>
        <w:rPr>
          <w:spacing w:val="11"/>
        </w:rPr>
        <w:t> </w:t>
      </w:r>
      <w:r>
        <w:rPr>
          <w:spacing w:val="-2"/>
        </w:rPr>
        <w:t>choice.</w:t>
      </w:r>
    </w:p>
    <w:p>
      <w:pPr>
        <w:spacing w:before="0"/>
        <w:ind w:left="571" w:right="0" w:firstLine="0"/>
        <w:jc w:val="left"/>
        <w:rPr>
          <w:sz w:val="24"/>
        </w:rPr>
      </w:pPr>
      <w:r>
        <w:rPr>
          <w:i/>
          <w:sz w:val="24"/>
        </w:rPr>
        <w:t>Policy</w:t>
      </w:r>
      <w:r>
        <w:rPr>
          <w:i/>
          <w:spacing w:val="-3"/>
          <w:sz w:val="24"/>
        </w:rPr>
        <w:t> </w:t>
      </w:r>
      <w:r>
        <w:rPr>
          <w:i/>
          <w:sz w:val="24"/>
        </w:rPr>
        <w:t>Studies Journal</w:t>
      </w:r>
      <w:r>
        <w:rPr>
          <w:sz w:val="24"/>
        </w:rPr>
        <w:t>, 21, </w:t>
      </w:r>
      <w:r>
        <w:rPr>
          <w:spacing w:val="-2"/>
          <w:sz w:val="24"/>
        </w:rPr>
        <w:t>56–71.</w:t>
      </w:r>
    </w:p>
    <w:p>
      <w:pPr>
        <w:spacing w:before="274"/>
        <w:ind w:left="571" w:right="1124" w:hanging="452"/>
        <w:jc w:val="both"/>
        <w:rPr>
          <w:sz w:val="24"/>
        </w:rPr>
      </w:pPr>
      <w:r>
        <w:rPr>
          <w:sz w:val="24"/>
        </w:rPr>
        <w:t>Rohm, H.(2002). </w:t>
      </w:r>
      <w:r>
        <w:rPr>
          <w:i/>
          <w:sz w:val="24"/>
        </w:rPr>
        <w:t>Improving public sector results with a balance scorecard: Nine steps to success. </w:t>
      </w:r>
      <w:r>
        <w:rPr>
          <w:sz w:val="24"/>
        </w:rPr>
        <w:t>Retrieved from </w:t>
      </w:r>
      <w:hyperlink r:id="rId248">
        <w:r>
          <w:rPr>
            <w:sz w:val="24"/>
          </w:rPr>
          <w:t>http://www.</w:t>
        </w:r>
      </w:hyperlink>
      <w:r>
        <w:rPr>
          <w:sz w:val="24"/>
        </w:rPr>
        <w:t> balance-scorecard.org</w:t>
      </w:r>
    </w:p>
    <w:p>
      <w:pPr>
        <w:spacing w:after="0"/>
        <w:jc w:val="both"/>
        <w:rPr>
          <w:sz w:val="24"/>
        </w:rPr>
        <w:sectPr>
          <w:pgSz w:w="12240" w:h="15840"/>
          <w:pgMar w:header="0" w:footer="1036" w:top="1360" w:bottom="1220" w:left="1320" w:right="320"/>
        </w:sectPr>
      </w:pPr>
    </w:p>
    <w:p>
      <w:pPr>
        <w:spacing w:before="72"/>
        <w:ind w:left="571" w:right="1115" w:hanging="452"/>
        <w:jc w:val="both"/>
        <w:rPr>
          <w:sz w:val="24"/>
        </w:rPr>
      </w:pPr>
      <w:r>
        <w:rPr>
          <w:sz w:val="24"/>
        </w:rPr>
        <w:t>Rosener, J.B. (1978). </w:t>
      </w:r>
      <w:r>
        <w:rPr>
          <w:i/>
          <w:sz w:val="24"/>
        </w:rPr>
        <w:t>Citizen participation: Can we measure its effectiveness? </w:t>
      </w:r>
      <w:r>
        <w:rPr>
          <w:sz w:val="24"/>
        </w:rPr>
        <w:t>Public Administrative Review, 38(5),457-463.</w:t>
      </w:r>
    </w:p>
    <w:p>
      <w:pPr>
        <w:pStyle w:val="BodyText"/>
      </w:pPr>
    </w:p>
    <w:p>
      <w:pPr>
        <w:spacing w:before="0"/>
        <w:ind w:left="571" w:right="1120" w:hanging="452"/>
        <w:jc w:val="both"/>
        <w:rPr>
          <w:sz w:val="24"/>
        </w:rPr>
      </w:pPr>
      <w:r>
        <w:rPr>
          <w:sz w:val="24"/>
        </w:rPr>
        <w:t>Rothenberg, J., &amp; Edel, M. (1972). </w:t>
      </w:r>
      <w:r>
        <w:rPr>
          <w:i/>
          <w:sz w:val="24"/>
        </w:rPr>
        <w:t>Readings in urban land economics</w:t>
      </w:r>
      <w:r>
        <w:rPr>
          <w:sz w:val="24"/>
        </w:rPr>
        <w:t>. London: Macmillan Publishing Co.</w:t>
      </w:r>
    </w:p>
    <w:p>
      <w:pPr>
        <w:pStyle w:val="BodyText"/>
      </w:pPr>
    </w:p>
    <w:p>
      <w:pPr>
        <w:spacing w:before="0"/>
        <w:ind w:left="571" w:right="1118" w:hanging="452"/>
        <w:jc w:val="both"/>
        <w:rPr>
          <w:sz w:val="24"/>
        </w:rPr>
      </w:pPr>
      <w:r>
        <w:rPr>
          <w:sz w:val="24"/>
        </w:rPr>
        <w:t>Rozner, S. (2013). </w:t>
      </w:r>
      <w:r>
        <w:rPr>
          <w:i/>
          <w:sz w:val="24"/>
        </w:rPr>
        <w:t>Developing and using Key performance indicators </w:t>
      </w:r>
      <w:r>
        <w:rPr>
          <w:sz w:val="24"/>
        </w:rPr>
        <w:t>- </w:t>
      </w:r>
      <w:r>
        <w:rPr>
          <w:i/>
          <w:sz w:val="24"/>
        </w:rPr>
        <w:t>A Toolkit for Health Sector Managers. </w:t>
      </w:r>
      <w:r>
        <w:rPr>
          <w:sz w:val="24"/>
        </w:rPr>
        <w:t>Bethesda, MD: Finance &amp; Governance Project, Abt Associates Inc.</w:t>
      </w:r>
    </w:p>
    <w:p>
      <w:pPr>
        <w:pStyle w:val="BodyText"/>
      </w:pPr>
    </w:p>
    <w:p>
      <w:pPr>
        <w:spacing w:before="0"/>
        <w:ind w:left="571" w:right="1119" w:hanging="452"/>
        <w:jc w:val="both"/>
        <w:rPr>
          <w:sz w:val="24"/>
        </w:rPr>
      </w:pPr>
      <w:r>
        <w:rPr>
          <w:sz w:val="24"/>
        </w:rPr>
        <w:t>Ruffner, M., Wehner, J., &amp; Witt, M. (2005). Budgeting in Romania, </w:t>
      </w:r>
      <w:r>
        <w:rPr>
          <w:i/>
          <w:sz w:val="24"/>
        </w:rPr>
        <w:t>OECD Journal of </w:t>
      </w:r>
      <w:r>
        <w:rPr>
          <w:i/>
          <w:spacing w:val="-2"/>
          <w:sz w:val="24"/>
        </w:rPr>
        <w:t>Budgeting</w:t>
      </w:r>
      <w:r>
        <w:rPr>
          <w:spacing w:val="-2"/>
          <w:sz w:val="24"/>
        </w:rPr>
        <w:t>,4(4),27-54.</w:t>
      </w:r>
    </w:p>
    <w:p>
      <w:pPr>
        <w:pStyle w:val="BodyText"/>
      </w:pPr>
    </w:p>
    <w:p>
      <w:pPr>
        <w:pStyle w:val="BodyText"/>
        <w:ind w:left="571" w:right="1124" w:hanging="452"/>
        <w:jc w:val="both"/>
      </w:pPr>
      <w:r>
        <w:rPr/>
        <w:t>Saifullahi, S.I., &amp; Abubakar, M.A. (2013). Equitable budgetary allocation: A catalyst for achieving national development of Nigeria. </w:t>
      </w:r>
      <w:r>
        <w:rPr>
          <w:i/>
        </w:rPr>
        <w:t>European Scientific Journal</w:t>
      </w:r>
      <w:r>
        <w:rPr/>
        <w:t>, 9(7), 264 – 274.</w:t>
      </w:r>
    </w:p>
    <w:p>
      <w:pPr>
        <w:pStyle w:val="BodyText"/>
        <w:spacing w:before="3"/>
      </w:pPr>
    </w:p>
    <w:p>
      <w:pPr>
        <w:spacing w:before="0"/>
        <w:ind w:left="120" w:right="0" w:firstLine="0"/>
        <w:jc w:val="left"/>
        <w:rPr>
          <w:sz w:val="24"/>
        </w:rPr>
      </w:pPr>
      <w:r>
        <w:rPr>
          <w:sz w:val="24"/>
        </w:rPr>
        <w:t>Sanders,</w:t>
      </w:r>
      <w:r>
        <w:rPr>
          <w:spacing w:val="-2"/>
          <w:sz w:val="24"/>
        </w:rPr>
        <w:t> </w:t>
      </w:r>
      <w:r>
        <w:rPr>
          <w:sz w:val="24"/>
        </w:rPr>
        <w:t>L.M.</w:t>
      </w:r>
      <w:r>
        <w:rPr>
          <w:spacing w:val="-2"/>
          <w:sz w:val="24"/>
        </w:rPr>
        <w:t> </w:t>
      </w:r>
      <w:r>
        <w:rPr>
          <w:sz w:val="24"/>
        </w:rPr>
        <w:t>(1997).</w:t>
      </w:r>
      <w:r>
        <w:rPr>
          <w:spacing w:val="-2"/>
          <w:sz w:val="24"/>
        </w:rPr>
        <w:t> </w:t>
      </w:r>
      <w:r>
        <w:rPr>
          <w:sz w:val="24"/>
        </w:rPr>
        <w:t>Against</w:t>
      </w:r>
      <w:r>
        <w:rPr>
          <w:spacing w:val="-3"/>
          <w:sz w:val="24"/>
        </w:rPr>
        <w:t> </w:t>
      </w:r>
      <w:r>
        <w:rPr>
          <w:sz w:val="24"/>
        </w:rPr>
        <w:t>deliberation. </w:t>
      </w:r>
      <w:r>
        <w:rPr>
          <w:i/>
          <w:sz w:val="24"/>
        </w:rPr>
        <w:t>Political</w:t>
      </w:r>
      <w:r>
        <w:rPr>
          <w:i/>
          <w:spacing w:val="-2"/>
          <w:sz w:val="24"/>
        </w:rPr>
        <w:t> </w:t>
      </w:r>
      <w:r>
        <w:rPr>
          <w:i/>
          <w:sz w:val="24"/>
        </w:rPr>
        <w:t>Theory</w:t>
      </w:r>
      <w:r>
        <w:rPr>
          <w:sz w:val="24"/>
        </w:rPr>
        <w:t>,</w:t>
      </w:r>
      <w:r>
        <w:rPr>
          <w:spacing w:val="-2"/>
          <w:sz w:val="24"/>
        </w:rPr>
        <w:t> </w:t>
      </w:r>
      <w:r>
        <w:rPr>
          <w:sz w:val="24"/>
        </w:rPr>
        <w:t>25(3),347-</w:t>
      </w:r>
      <w:r>
        <w:rPr>
          <w:spacing w:val="-4"/>
          <w:sz w:val="24"/>
        </w:rPr>
        <w:t>376.</w:t>
      </w:r>
    </w:p>
    <w:p>
      <w:pPr>
        <w:pStyle w:val="BodyText"/>
        <w:spacing w:before="82"/>
      </w:pPr>
    </w:p>
    <w:p>
      <w:pPr>
        <w:spacing w:line="242" w:lineRule="auto" w:before="0"/>
        <w:ind w:left="571" w:right="1117" w:hanging="452"/>
        <w:jc w:val="both"/>
        <w:rPr>
          <w:sz w:val="24"/>
        </w:rPr>
      </w:pPr>
      <w:r>
        <w:rPr>
          <w:sz w:val="24"/>
        </w:rPr>
        <w:t>Sani, A.S.(2006)</w:t>
      </w:r>
      <w:r>
        <w:rPr>
          <w:i/>
          <w:sz w:val="24"/>
        </w:rPr>
        <w:t>. Analysis of low-income housing in Kano, Nigeria </w:t>
      </w:r>
      <w:r>
        <w:rPr>
          <w:sz w:val="24"/>
        </w:rPr>
        <w:t>(Unpublished doctoral</w:t>
      </w:r>
      <w:r>
        <w:rPr>
          <w:spacing w:val="40"/>
          <w:sz w:val="24"/>
        </w:rPr>
        <w:t> </w:t>
      </w:r>
      <w:r>
        <w:rPr>
          <w:sz w:val="24"/>
        </w:rPr>
        <w:t>thesis) Department of Town Planning, St Clements University, West Indies.</w:t>
      </w:r>
    </w:p>
    <w:p>
      <w:pPr>
        <w:pStyle w:val="BodyText"/>
        <w:spacing w:before="57"/>
      </w:pPr>
    </w:p>
    <w:p>
      <w:pPr>
        <w:pStyle w:val="BodyText"/>
        <w:ind w:left="571" w:right="1115" w:hanging="452"/>
        <w:jc w:val="both"/>
      </w:pPr>
      <w:r>
        <w:rPr/>
        <w:t>Saraki, A.B. (2016, February 10)</w:t>
      </w:r>
      <w:r>
        <w:rPr>
          <w:i/>
        </w:rPr>
        <w:t>. Implementation of the 2016 budget. </w:t>
      </w:r>
      <w:r>
        <w:rPr/>
        <w:t>Speech presented during the National Assembly interactive session with civil society organizations at the National Assembly complex, Abuja, Nigeria.</w:t>
      </w:r>
    </w:p>
    <w:p>
      <w:pPr>
        <w:pStyle w:val="BodyText"/>
      </w:pPr>
    </w:p>
    <w:p>
      <w:pPr>
        <w:spacing w:before="0"/>
        <w:ind w:left="120" w:right="0" w:firstLine="0"/>
        <w:jc w:val="left"/>
        <w:rPr>
          <w:i/>
          <w:sz w:val="24"/>
        </w:rPr>
      </w:pPr>
      <w:r>
        <w:rPr>
          <w:sz w:val="24"/>
        </w:rPr>
        <w:t>Saunders,</w:t>
      </w:r>
      <w:r>
        <w:rPr>
          <w:spacing w:val="63"/>
          <w:sz w:val="24"/>
        </w:rPr>
        <w:t> </w:t>
      </w:r>
      <w:r>
        <w:rPr>
          <w:sz w:val="24"/>
        </w:rPr>
        <w:t>M,</w:t>
      </w:r>
      <w:r>
        <w:rPr>
          <w:spacing w:val="68"/>
          <w:sz w:val="24"/>
        </w:rPr>
        <w:t> </w:t>
      </w:r>
      <w:r>
        <w:rPr>
          <w:sz w:val="24"/>
        </w:rPr>
        <w:t>Lewis,</w:t>
      </w:r>
      <w:r>
        <w:rPr>
          <w:spacing w:val="66"/>
          <w:sz w:val="24"/>
        </w:rPr>
        <w:t> </w:t>
      </w:r>
      <w:r>
        <w:rPr>
          <w:sz w:val="24"/>
        </w:rPr>
        <w:t>P.,</w:t>
      </w:r>
      <w:r>
        <w:rPr>
          <w:spacing w:val="66"/>
          <w:sz w:val="24"/>
        </w:rPr>
        <w:t> </w:t>
      </w:r>
      <w:r>
        <w:rPr>
          <w:sz w:val="24"/>
        </w:rPr>
        <w:t>&amp;</w:t>
      </w:r>
      <w:r>
        <w:rPr>
          <w:spacing w:val="64"/>
          <w:sz w:val="24"/>
        </w:rPr>
        <w:t> </w:t>
      </w:r>
      <w:r>
        <w:rPr>
          <w:sz w:val="24"/>
        </w:rPr>
        <w:t>Thornhill,</w:t>
      </w:r>
      <w:r>
        <w:rPr>
          <w:spacing w:val="66"/>
          <w:sz w:val="24"/>
        </w:rPr>
        <w:t> </w:t>
      </w:r>
      <w:r>
        <w:rPr>
          <w:sz w:val="24"/>
        </w:rPr>
        <w:t>A.</w:t>
      </w:r>
      <w:r>
        <w:rPr>
          <w:spacing w:val="65"/>
          <w:sz w:val="24"/>
        </w:rPr>
        <w:t> </w:t>
      </w:r>
      <w:r>
        <w:rPr>
          <w:sz w:val="24"/>
        </w:rPr>
        <w:t>(2000).</w:t>
      </w:r>
      <w:r>
        <w:rPr>
          <w:spacing w:val="71"/>
          <w:sz w:val="24"/>
        </w:rPr>
        <w:t> </w:t>
      </w:r>
      <w:r>
        <w:rPr>
          <w:i/>
          <w:sz w:val="24"/>
        </w:rPr>
        <w:t>Research</w:t>
      </w:r>
      <w:r>
        <w:rPr>
          <w:i/>
          <w:spacing w:val="67"/>
          <w:sz w:val="24"/>
        </w:rPr>
        <w:t> </w:t>
      </w:r>
      <w:r>
        <w:rPr>
          <w:i/>
          <w:sz w:val="24"/>
        </w:rPr>
        <w:t>methods</w:t>
      </w:r>
      <w:r>
        <w:rPr>
          <w:i/>
          <w:spacing w:val="66"/>
          <w:sz w:val="24"/>
        </w:rPr>
        <w:t> </w:t>
      </w:r>
      <w:r>
        <w:rPr>
          <w:i/>
          <w:sz w:val="24"/>
        </w:rPr>
        <w:t>for</w:t>
      </w:r>
      <w:r>
        <w:rPr>
          <w:i/>
          <w:spacing w:val="66"/>
          <w:sz w:val="24"/>
        </w:rPr>
        <w:t> </w:t>
      </w:r>
      <w:r>
        <w:rPr>
          <w:i/>
          <w:sz w:val="24"/>
        </w:rPr>
        <w:t>business</w:t>
      </w:r>
      <w:r>
        <w:rPr>
          <w:i/>
          <w:spacing w:val="67"/>
          <w:sz w:val="24"/>
        </w:rPr>
        <w:t> </w:t>
      </w:r>
      <w:r>
        <w:rPr>
          <w:i/>
          <w:spacing w:val="-2"/>
          <w:sz w:val="24"/>
        </w:rPr>
        <w:t>students.</w:t>
      </w:r>
    </w:p>
    <w:p>
      <w:pPr>
        <w:pStyle w:val="BodyText"/>
        <w:spacing w:before="1"/>
        <w:ind w:left="571"/>
      </w:pPr>
      <w:r>
        <w:rPr/>
        <w:t>Harlow:</w:t>
      </w:r>
      <w:r>
        <w:rPr>
          <w:spacing w:val="-1"/>
        </w:rPr>
        <w:t> </w:t>
      </w:r>
      <w:r>
        <w:rPr/>
        <w:t>Pearson</w:t>
      </w:r>
      <w:r>
        <w:rPr>
          <w:spacing w:val="-1"/>
        </w:rPr>
        <w:t> </w:t>
      </w:r>
      <w:r>
        <w:rPr/>
        <w:t>Education</w:t>
      </w:r>
      <w:r>
        <w:rPr>
          <w:spacing w:val="2"/>
        </w:rPr>
        <w:t> </w:t>
      </w:r>
      <w:r>
        <w:rPr>
          <w:spacing w:val="-2"/>
        </w:rPr>
        <w:t>Limited.</w:t>
      </w:r>
    </w:p>
    <w:p>
      <w:pPr>
        <w:spacing w:before="276"/>
        <w:ind w:left="571" w:right="1119" w:hanging="452"/>
        <w:jc w:val="both"/>
        <w:rPr>
          <w:sz w:val="24"/>
        </w:rPr>
      </w:pPr>
      <w:r>
        <w:rPr>
          <w:sz w:val="24"/>
        </w:rPr>
        <w:t>Schiavo-Campo, S., &amp; Tommasi, D. (1999). </w:t>
      </w:r>
      <w:r>
        <w:rPr>
          <w:i/>
          <w:sz w:val="24"/>
        </w:rPr>
        <w:t>Managing government expenditure</w:t>
      </w:r>
      <w:r>
        <w:rPr>
          <w:sz w:val="24"/>
        </w:rPr>
        <w:t>. UK: Anybook </w:t>
      </w:r>
      <w:r>
        <w:rPr>
          <w:spacing w:val="-4"/>
          <w:sz w:val="24"/>
        </w:rPr>
        <w:t>Ltd</w:t>
      </w:r>
    </w:p>
    <w:p>
      <w:pPr>
        <w:spacing w:before="276"/>
        <w:ind w:left="120" w:right="0" w:firstLine="0"/>
        <w:jc w:val="left"/>
        <w:rPr>
          <w:sz w:val="24"/>
        </w:rPr>
      </w:pPr>
      <w:r>
        <w:rPr>
          <w:sz w:val="24"/>
        </w:rPr>
        <w:t>Schick,</w:t>
      </w:r>
      <w:r>
        <w:rPr>
          <w:spacing w:val="-1"/>
          <w:sz w:val="24"/>
        </w:rPr>
        <w:t> </w:t>
      </w:r>
      <w:r>
        <w:rPr>
          <w:sz w:val="24"/>
        </w:rPr>
        <w:t>A.</w:t>
      </w:r>
      <w:r>
        <w:rPr>
          <w:spacing w:val="-1"/>
          <w:sz w:val="24"/>
        </w:rPr>
        <w:t> </w:t>
      </w:r>
      <w:r>
        <w:rPr>
          <w:sz w:val="24"/>
        </w:rPr>
        <w:t>(1990).</w:t>
      </w:r>
      <w:r>
        <w:rPr>
          <w:spacing w:val="-1"/>
          <w:sz w:val="24"/>
        </w:rPr>
        <w:t> </w:t>
      </w:r>
      <w:r>
        <w:rPr>
          <w:i/>
          <w:sz w:val="24"/>
        </w:rPr>
        <w:t>The</w:t>
      </w:r>
      <w:r>
        <w:rPr>
          <w:i/>
          <w:spacing w:val="-2"/>
          <w:sz w:val="24"/>
        </w:rPr>
        <w:t> </w:t>
      </w:r>
      <w:r>
        <w:rPr>
          <w:i/>
          <w:sz w:val="24"/>
        </w:rPr>
        <w:t>capacity</w:t>
      </w:r>
      <w:r>
        <w:rPr>
          <w:i/>
          <w:spacing w:val="-2"/>
          <w:sz w:val="24"/>
        </w:rPr>
        <w:t> </w:t>
      </w:r>
      <w:r>
        <w:rPr>
          <w:i/>
          <w:sz w:val="24"/>
        </w:rPr>
        <w:t>to</w:t>
      </w:r>
      <w:r>
        <w:rPr>
          <w:i/>
          <w:spacing w:val="58"/>
          <w:sz w:val="24"/>
        </w:rPr>
        <w:t> </w:t>
      </w:r>
      <w:r>
        <w:rPr>
          <w:i/>
          <w:sz w:val="24"/>
        </w:rPr>
        <w:t>budget</w:t>
      </w:r>
      <w:r>
        <w:rPr>
          <w:sz w:val="24"/>
        </w:rPr>
        <w:t>.</w:t>
      </w:r>
      <w:r>
        <w:rPr>
          <w:spacing w:val="-1"/>
          <w:sz w:val="24"/>
        </w:rPr>
        <w:t> </w:t>
      </w:r>
      <w:r>
        <w:rPr>
          <w:sz w:val="24"/>
        </w:rPr>
        <w:t>Washington,</w:t>
      </w:r>
      <w:r>
        <w:rPr>
          <w:spacing w:val="-1"/>
          <w:sz w:val="24"/>
        </w:rPr>
        <w:t> </w:t>
      </w:r>
      <w:r>
        <w:rPr>
          <w:sz w:val="24"/>
        </w:rPr>
        <w:t>DC:</w:t>
      </w:r>
      <w:r>
        <w:rPr>
          <w:spacing w:val="-1"/>
          <w:sz w:val="24"/>
        </w:rPr>
        <w:t> </w:t>
      </w:r>
      <w:r>
        <w:rPr>
          <w:sz w:val="24"/>
        </w:rPr>
        <w:t>Urban</w:t>
      </w:r>
      <w:r>
        <w:rPr>
          <w:spacing w:val="3"/>
          <w:sz w:val="24"/>
        </w:rPr>
        <w:t> </w:t>
      </w:r>
      <w:r>
        <w:rPr>
          <w:sz w:val="24"/>
        </w:rPr>
        <w:t>Institute</w:t>
      </w:r>
      <w:r>
        <w:rPr>
          <w:spacing w:val="-1"/>
          <w:sz w:val="24"/>
        </w:rPr>
        <w:t> </w:t>
      </w:r>
      <w:r>
        <w:rPr>
          <w:spacing w:val="-2"/>
          <w:sz w:val="24"/>
        </w:rPr>
        <w:t>Press.</w:t>
      </w:r>
    </w:p>
    <w:p>
      <w:pPr>
        <w:spacing w:before="276"/>
        <w:ind w:left="571" w:right="1117" w:hanging="452"/>
        <w:jc w:val="left"/>
        <w:rPr>
          <w:sz w:val="24"/>
        </w:rPr>
      </w:pPr>
      <w:r>
        <w:rPr>
          <w:sz w:val="24"/>
        </w:rPr>
        <w:t>Schneider,</w:t>
      </w:r>
      <w:r>
        <w:rPr>
          <w:spacing w:val="33"/>
          <w:sz w:val="24"/>
        </w:rPr>
        <w:t> </w:t>
      </w:r>
      <w:r>
        <w:rPr>
          <w:sz w:val="24"/>
        </w:rPr>
        <w:t>A.,</w:t>
      </w:r>
      <w:r>
        <w:rPr>
          <w:spacing w:val="32"/>
          <w:sz w:val="24"/>
        </w:rPr>
        <w:t> </w:t>
      </w:r>
      <w:r>
        <w:rPr>
          <w:sz w:val="24"/>
        </w:rPr>
        <w:t>&amp;Ingram,</w:t>
      </w:r>
      <w:r>
        <w:rPr>
          <w:spacing w:val="35"/>
          <w:sz w:val="24"/>
        </w:rPr>
        <w:t> </w:t>
      </w:r>
      <w:r>
        <w:rPr>
          <w:sz w:val="24"/>
        </w:rPr>
        <w:t>H.(1993).</w:t>
      </w:r>
      <w:r>
        <w:rPr>
          <w:spacing w:val="33"/>
          <w:sz w:val="24"/>
        </w:rPr>
        <w:t> </w:t>
      </w:r>
      <w:r>
        <w:rPr>
          <w:sz w:val="24"/>
        </w:rPr>
        <w:t>Social</w:t>
      </w:r>
      <w:r>
        <w:rPr>
          <w:spacing w:val="33"/>
          <w:sz w:val="24"/>
        </w:rPr>
        <w:t> </w:t>
      </w:r>
      <w:r>
        <w:rPr>
          <w:sz w:val="24"/>
        </w:rPr>
        <w:t>construction</w:t>
      </w:r>
      <w:r>
        <w:rPr>
          <w:spacing w:val="33"/>
          <w:sz w:val="24"/>
        </w:rPr>
        <w:t> </w:t>
      </w:r>
      <w:r>
        <w:rPr>
          <w:sz w:val="24"/>
        </w:rPr>
        <w:t>of</w:t>
      </w:r>
      <w:r>
        <w:rPr>
          <w:spacing w:val="32"/>
          <w:sz w:val="24"/>
        </w:rPr>
        <w:t> </w:t>
      </w:r>
      <w:r>
        <w:rPr>
          <w:sz w:val="24"/>
        </w:rPr>
        <w:t>target</w:t>
      </w:r>
      <w:r>
        <w:rPr>
          <w:spacing w:val="33"/>
          <w:sz w:val="24"/>
        </w:rPr>
        <w:t> </w:t>
      </w:r>
      <w:r>
        <w:rPr>
          <w:sz w:val="24"/>
        </w:rPr>
        <w:t>populations:</w:t>
      </w:r>
      <w:r>
        <w:rPr>
          <w:spacing w:val="36"/>
          <w:sz w:val="24"/>
        </w:rPr>
        <w:t> </w:t>
      </w:r>
      <w:r>
        <w:rPr>
          <w:sz w:val="24"/>
        </w:rPr>
        <w:t>Implications</w:t>
      </w:r>
      <w:r>
        <w:rPr>
          <w:spacing w:val="33"/>
          <w:sz w:val="24"/>
        </w:rPr>
        <w:t> </w:t>
      </w:r>
      <w:r>
        <w:rPr>
          <w:sz w:val="24"/>
        </w:rPr>
        <w:t>for politics and policy. </w:t>
      </w:r>
      <w:r>
        <w:rPr>
          <w:i/>
          <w:sz w:val="24"/>
        </w:rPr>
        <w:t>American Political Science Review</w:t>
      </w:r>
      <w:r>
        <w:rPr>
          <w:sz w:val="24"/>
        </w:rPr>
        <w:t>, 87, 334–347.</w:t>
      </w:r>
    </w:p>
    <w:p>
      <w:pPr>
        <w:pStyle w:val="BodyText"/>
        <w:spacing w:before="276"/>
        <w:ind w:left="571" w:right="1117" w:hanging="452"/>
      </w:pPr>
      <w:r>
        <w:rPr/>
        <w:t>Sengupta, U., &amp; Tipple, A.G. (2007).The performance of the public–sector housing in Kolkata, India in the post – reform milieu. </w:t>
      </w:r>
      <w:r>
        <w:rPr>
          <w:i/>
        </w:rPr>
        <w:t>Urban Studies, </w:t>
      </w:r>
      <w:r>
        <w:rPr/>
        <w:t>44(10), 2009-2027.</w:t>
      </w:r>
    </w:p>
    <w:p>
      <w:pPr>
        <w:pStyle w:val="BodyText"/>
        <w:spacing w:before="3"/>
      </w:pPr>
    </w:p>
    <w:p>
      <w:pPr>
        <w:spacing w:before="0"/>
        <w:ind w:left="120" w:right="0" w:firstLine="0"/>
        <w:jc w:val="left"/>
        <w:rPr>
          <w:sz w:val="24"/>
        </w:rPr>
      </w:pPr>
      <w:r>
        <w:rPr>
          <w:sz w:val="24"/>
        </w:rPr>
        <w:t>Shapiro,</w:t>
      </w:r>
      <w:r>
        <w:rPr>
          <w:spacing w:val="-3"/>
          <w:sz w:val="24"/>
        </w:rPr>
        <w:t> </w:t>
      </w:r>
      <w:r>
        <w:rPr>
          <w:sz w:val="24"/>
        </w:rPr>
        <w:t>J.</w:t>
      </w:r>
      <w:r>
        <w:rPr>
          <w:spacing w:val="-1"/>
          <w:sz w:val="24"/>
        </w:rPr>
        <w:t> </w:t>
      </w:r>
      <w:r>
        <w:rPr>
          <w:sz w:val="24"/>
        </w:rPr>
        <w:t>(2001). </w:t>
      </w:r>
      <w:r>
        <w:rPr>
          <w:i/>
          <w:sz w:val="24"/>
        </w:rPr>
        <w:t>The</w:t>
      </w:r>
      <w:r>
        <w:rPr>
          <w:i/>
          <w:spacing w:val="-2"/>
          <w:sz w:val="24"/>
        </w:rPr>
        <w:t> </w:t>
      </w:r>
      <w:r>
        <w:rPr>
          <w:i/>
          <w:sz w:val="24"/>
        </w:rPr>
        <w:t>budgeting tool</w:t>
      </w:r>
      <w:r>
        <w:rPr>
          <w:i/>
          <w:spacing w:val="-1"/>
          <w:sz w:val="24"/>
        </w:rPr>
        <w:t> </w:t>
      </w:r>
      <w:r>
        <w:rPr>
          <w:i/>
          <w:sz w:val="24"/>
        </w:rPr>
        <w:t>kit</w:t>
      </w:r>
      <w:r>
        <w:rPr>
          <w:sz w:val="24"/>
        </w:rPr>
        <w:t>. Retrieved</w:t>
      </w:r>
      <w:r>
        <w:rPr>
          <w:spacing w:val="-1"/>
          <w:sz w:val="24"/>
        </w:rPr>
        <w:t> </w:t>
      </w:r>
      <w:r>
        <w:rPr>
          <w:sz w:val="24"/>
        </w:rPr>
        <w:t>form </w:t>
      </w:r>
      <w:hyperlink r:id="rId249">
        <w:r>
          <w:rPr>
            <w:spacing w:val="-2"/>
            <w:sz w:val="24"/>
          </w:rPr>
          <w:t>http://www.civicus.org</w:t>
        </w:r>
      </w:hyperlink>
    </w:p>
    <w:p>
      <w:pPr>
        <w:spacing w:before="254"/>
        <w:ind w:left="120" w:right="0" w:firstLine="0"/>
        <w:jc w:val="left"/>
        <w:rPr>
          <w:sz w:val="24"/>
        </w:rPr>
      </w:pPr>
      <w:r>
        <w:rPr>
          <w:sz w:val="24"/>
        </w:rPr>
        <w:t>Simons,</w:t>
      </w:r>
      <w:r>
        <w:rPr>
          <w:spacing w:val="28"/>
          <w:sz w:val="24"/>
        </w:rPr>
        <w:t> </w:t>
      </w:r>
      <w:r>
        <w:rPr>
          <w:sz w:val="24"/>
        </w:rPr>
        <w:t>R.</w:t>
      </w:r>
      <w:r>
        <w:rPr>
          <w:spacing w:val="29"/>
          <w:sz w:val="24"/>
        </w:rPr>
        <w:t> </w:t>
      </w:r>
      <w:r>
        <w:rPr>
          <w:sz w:val="24"/>
        </w:rPr>
        <w:t>(2000).</w:t>
      </w:r>
      <w:r>
        <w:rPr>
          <w:spacing w:val="30"/>
          <w:sz w:val="24"/>
        </w:rPr>
        <w:t> </w:t>
      </w:r>
      <w:r>
        <w:rPr>
          <w:i/>
          <w:sz w:val="24"/>
        </w:rPr>
        <w:t>Performance</w:t>
      </w:r>
      <w:r>
        <w:rPr>
          <w:i/>
          <w:spacing w:val="31"/>
          <w:sz w:val="24"/>
        </w:rPr>
        <w:t> </w:t>
      </w:r>
      <w:r>
        <w:rPr>
          <w:i/>
          <w:sz w:val="24"/>
        </w:rPr>
        <w:t>measurement</w:t>
      </w:r>
      <w:r>
        <w:rPr>
          <w:i/>
          <w:spacing w:val="31"/>
          <w:sz w:val="24"/>
        </w:rPr>
        <w:t> </w:t>
      </w:r>
      <w:r>
        <w:rPr>
          <w:i/>
          <w:sz w:val="24"/>
        </w:rPr>
        <w:t>and</w:t>
      </w:r>
      <w:r>
        <w:rPr>
          <w:i/>
          <w:spacing w:val="29"/>
          <w:sz w:val="24"/>
        </w:rPr>
        <w:t> </w:t>
      </w:r>
      <w:r>
        <w:rPr>
          <w:i/>
          <w:sz w:val="24"/>
        </w:rPr>
        <w:t>control</w:t>
      </w:r>
      <w:r>
        <w:rPr>
          <w:i/>
          <w:spacing w:val="30"/>
          <w:sz w:val="24"/>
        </w:rPr>
        <w:t> </w:t>
      </w:r>
      <w:r>
        <w:rPr>
          <w:i/>
          <w:sz w:val="24"/>
        </w:rPr>
        <w:t>systems</w:t>
      </w:r>
      <w:r>
        <w:rPr>
          <w:i/>
          <w:spacing w:val="32"/>
          <w:sz w:val="24"/>
        </w:rPr>
        <w:t> </w:t>
      </w:r>
      <w:r>
        <w:rPr>
          <w:i/>
          <w:sz w:val="24"/>
        </w:rPr>
        <w:t>for</w:t>
      </w:r>
      <w:r>
        <w:rPr>
          <w:i/>
          <w:spacing w:val="30"/>
          <w:sz w:val="24"/>
        </w:rPr>
        <w:t> </w:t>
      </w:r>
      <w:r>
        <w:rPr>
          <w:i/>
          <w:sz w:val="24"/>
        </w:rPr>
        <w:t>implementing</w:t>
      </w:r>
      <w:r>
        <w:rPr>
          <w:i/>
          <w:spacing w:val="30"/>
          <w:sz w:val="24"/>
        </w:rPr>
        <w:t> </w:t>
      </w:r>
      <w:r>
        <w:rPr>
          <w:i/>
          <w:spacing w:val="-2"/>
          <w:sz w:val="24"/>
        </w:rPr>
        <w:t>strategy</w:t>
      </w:r>
      <w:r>
        <w:rPr>
          <w:spacing w:val="-2"/>
          <w:sz w:val="24"/>
        </w:rPr>
        <w:t>.</w:t>
      </w:r>
    </w:p>
    <w:p>
      <w:pPr>
        <w:pStyle w:val="BodyText"/>
        <w:ind w:left="571"/>
      </w:pPr>
      <w:r>
        <w:rPr/>
        <w:t>Upper</w:t>
      </w:r>
      <w:r>
        <w:rPr>
          <w:spacing w:val="-2"/>
        </w:rPr>
        <w:t> </w:t>
      </w:r>
      <w:r>
        <w:rPr/>
        <w:t>Saddle</w:t>
      </w:r>
      <w:r>
        <w:rPr>
          <w:spacing w:val="-1"/>
        </w:rPr>
        <w:t> </w:t>
      </w:r>
      <w:r>
        <w:rPr/>
        <w:t>River,</w:t>
      </w:r>
      <w:r>
        <w:rPr>
          <w:spacing w:val="-1"/>
        </w:rPr>
        <w:t> </w:t>
      </w:r>
      <w:r>
        <w:rPr/>
        <w:t>New</w:t>
      </w:r>
      <w:r>
        <w:rPr>
          <w:spacing w:val="-2"/>
        </w:rPr>
        <w:t> </w:t>
      </w:r>
      <w:r>
        <w:rPr/>
        <w:t>Jersey:</w:t>
      </w:r>
      <w:r>
        <w:rPr>
          <w:spacing w:val="-1"/>
        </w:rPr>
        <w:t> </w:t>
      </w:r>
      <w:r>
        <w:rPr/>
        <w:t>Prentice</w:t>
      </w:r>
      <w:r>
        <w:rPr>
          <w:spacing w:val="-2"/>
        </w:rPr>
        <w:t> Hall.</w:t>
      </w:r>
    </w:p>
    <w:p>
      <w:pPr>
        <w:pStyle w:val="BodyText"/>
      </w:pPr>
    </w:p>
    <w:p>
      <w:pPr>
        <w:spacing w:before="0"/>
        <w:ind w:left="571" w:right="1117" w:hanging="452"/>
        <w:jc w:val="left"/>
        <w:rPr>
          <w:sz w:val="24"/>
        </w:rPr>
      </w:pPr>
      <w:r>
        <w:rPr>
          <w:sz w:val="24"/>
        </w:rPr>
        <w:t>Simonsen, W., &amp; Robbins, M. D. (2000). </w:t>
      </w:r>
      <w:r>
        <w:rPr>
          <w:i/>
          <w:sz w:val="24"/>
        </w:rPr>
        <w:t>Citizen participation in resource allocation</w:t>
      </w:r>
      <w:r>
        <w:rPr>
          <w:sz w:val="24"/>
        </w:rPr>
        <w:t>. Boulder, CO: Westview Press.</w:t>
      </w:r>
    </w:p>
    <w:p>
      <w:pPr>
        <w:spacing w:after="0"/>
        <w:jc w:val="left"/>
        <w:rPr>
          <w:sz w:val="24"/>
        </w:rPr>
        <w:sectPr>
          <w:pgSz w:w="12240" w:h="15840"/>
          <w:pgMar w:header="0" w:footer="1036" w:top="1360" w:bottom="1220" w:left="1320" w:right="320"/>
        </w:sectPr>
      </w:pPr>
    </w:p>
    <w:p>
      <w:pPr>
        <w:pStyle w:val="BodyText"/>
        <w:spacing w:before="72"/>
        <w:ind w:left="120"/>
      </w:pPr>
      <w:r>
        <w:rPr/>
        <w:t>Skocpol,</w:t>
      </w:r>
      <w:r>
        <w:rPr>
          <w:spacing w:val="50"/>
          <w:w w:val="150"/>
        </w:rPr>
        <w:t> </w:t>
      </w:r>
      <w:r>
        <w:rPr/>
        <w:t>T.,</w:t>
      </w:r>
      <w:r>
        <w:rPr>
          <w:spacing w:val="52"/>
          <w:w w:val="150"/>
        </w:rPr>
        <w:t> </w:t>
      </w:r>
      <w:r>
        <w:rPr/>
        <w:t>&amp;</w:t>
      </w:r>
      <w:r>
        <w:rPr>
          <w:spacing w:val="50"/>
          <w:w w:val="150"/>
        </w:rPr>
        <w:t> </w:t>
      </w:r>
      <w:r>
        <w:rPr/>
        <w:t>Fiorina,</w:t>
      </w:r>
      <w:r>
        <w:rPr>
          <w:spacing w:val="52"/>
          <w:w w:val="150"/>
        </w:rPr>
        <w:t> </w:t>
      </w:r>
      <w:r>
        <w:rPr/>
        <w:t>M.P.</w:t>
      </w:r>
      <w:r>
        <w:rPr>
          <w:spacing w:val="52"/>
          <w:w w:val="150"/>
        </w:rPr>
        <w:t> </w:t>
      </w:r>
      <w:r>
        <w:rPr/>
        <w:t>(Eds.).</w:t>
      </w:r>
      <w:r>
        <w:rPr>
          <w:spacing w:val="52"/>
          <w:w w:val="150"/>
        </w:rPr>
        <w:t> </w:t>
      </w:r>
      <w:r>
        <w:rPr/>
        <w:t>(1999).</w:t>
      </w:r>
      <w:r>
        <w:rPr>
          <w:spacing w:val="79"/>
        </w:rPr>
        <w:t> </w:t>
      </w:r>
      <w:r>
        <w:rPr/>
        <w:t>Civic</w:t>
      </w:r>
      <w:r>
        <w:rPr>
          <w:spacing w:val="51"/>
          <w:w w:val="150"/>
        </w:rPr>
        <w:t> </w:t>
      </w:r>
      <w:r>
        <w:rPr/>
        <w:t>engagement</w:t>
      </w:r>
      <w:r>
        <w:rPr>
          <w:spacing w:val="52"/>
          <w:w w:val="150"/>
        </w:rPr>
        <w:t> </w:t>
      </w:r>
      <w:r>
        <w:rPr/>
        <w:t>in</w:t>
      </w:r>
      <w:r>
        <w:rPr>
          <w:spacing w:val="53"/>
          <w:w w:val="150"/>
        </w:rPr>
        <w:t> </w:t>
      </w:r>
      <w:r>
        <w:rPr/>
        <w:t>American</w:t>
      </w:r>
      <w:r>
        <w:rPr>
          <w:spacing w:val="52"/>
          <w:w w:val="150"/>
        </w:rPr>
        <w:t> </w:t>
      </w:r>
      <w:r>
        <w:rPr>
          <w:spacing w:val="-2"/>
        </w:rPr>
        <w:t>democracy.</w:t>
      </w:r>
    </w:p>
    <w:p>
      <w:pPr>
        <w:pStyle w:val="BodyText"/>
        <w:ind w:left="571"/>
      </w:pPr>
      <w:r>
        <w:rPr/>
        <w:t>Washington</w:t>
      </w:r>
      <w:r>
        <w:rPr>
          <w:spacing w:val="-3"/>
        </w:rPr>
        <w:t> </w:t>
      </w:r>
      <w:r>
        <w:rPr/>
        <w:t>D.C.:</w:t>
      </w:r>
      <w:r>
        <w:rPr>
          <w:spacing w:val="-2"/>
        </w:rPr>
        <w:t> </w:t>
      </w:r>
      <w:r>
        <w:rPr/>
        <w:t>Brookings Institution</w:t>
      </w:r>
      <w:r>
        <w:rPr>
          <w:spacing w:val="-2"/>
        </w:rPr>
        <w:t> Press.</w:t>
      </w:r>
    </w:p>
    <w:p>
      <w:pPr>
        <w:pStyle w:val="BodyText"/>
      </w:pPr>
    </w:p>
    <w:p>
      <w:pPr>
        <w:pStyle w:val="BodyText"/>
        <w:tabs>
          <w:tab w:pos="2309" w:val="left" w:leader="none"/>
          <w:tab w:pos="3453" w:val="left" w:leader="none"/>
          <w:tab w:pos="5233" w:val="left" w:leader="none"/>
          <w:tab w:pos="6212" w:val="left" w:leader="none"/>
          <w:tab w:pos="7296" w:val="left" w:leader="none"/>
          <w:tab w:pos="9014" w:val="left" w:leader="none"/>
        </w:tabs>
        <w:ind w:left="571" w:right="1118" w:hanging="452"/>
        <w:jc w:val="both"/>
      </w:pPr>
      <w:r>
        <w:rPr/>
        <w:t>Smith, D., &amp; Lamble, L. (2011, December 25). Africa‘s burgeoning middle class brings hope to </w:t>
      </w:r>
      <w:r>
        <w:rPr>
          <w:spacing w:val="-2"/>
        </w:rPr>
        <w:t>continent.</w:t>
      </w:r>
      <w:r>
        <w:rPr/>
        <w:tab/>
      </w:r>
      <w:r>
        <w:rPr>
          <w:i/>
          <w:spacing w:val="-4"/>
        </w:rPr>
        <w:t>The</w:t>
      </w:r>
      <w:r>
        <w:rPr>
          <w:i/>
        </w:rPr>
        <w:tab/>
      </w:r>
      <w:r>
        <w:rPr>
          <w:i/>
          <w:spacing w:val="-2"/>
        </w:rPr>
        <w:t>Guardian,</w:t>
      </w:r>
      <w:r>
        <w:rPr>
          <w:i/>
        </w:rPr>
        <w:tab/>
      </w:r>
      <w:r>
        <w:rPr>
          <w:spacing w:val="-6"/>
        </w:rPr>
        <w:t>P.</w:t>
      </w:r>
      <w:r>
        <w:rPr/>
        <w:tab/>
      </w:r>
      <w:r>
        <w:rPr>
          <w:spacing w:val="-4"/>
        </w:rPr>
        <w:t>21.</w:t>
      </w:r>
      <w:r>
        <w:rPr/>
        <w:tab/>
      </w:r>
      <w:r>
        <w:rPr>
          <w:spacing w:val="-2"/>
        </w:rPr>
        <w:t>Retrieved</w:t>
      </w:r>
      <w:r>
        <w:rPr/>
        <w:tab/>
      </w:r>
      <w:r>
        <w:rPr>
          <w:spacing w:val="-4"/>
        </w:rPr>
        <w:t>from </w:t>
      </w:r>
      <w:hyperlink r:id="rId250">
        <w:r>
          <w:rPr>
            <w:spacing w:val="-2"/>
          </w:rPr>
          <w:t>http://www.guardian.co.uk/world/2011/dec/25/africas-middle-class-hope-to-continent</w:t>
        </w:r>
      </w:hyperlink>
    </w:p>
    <w:p>
      <w:pPr>
        <w:pStyle w:val="BodyText"/>
      </w:pPr>
    </w:p>
    <w:p>
      <w:pPr>
        <w:pStyle w:val="BodyText"/>
        <w:ind w:left="571" w:right="1120" w:hanging="452"/>
        <w:jc w:val="both"/>
      </w:pPr>
      <w:r>
        <w:rPr/>
        <w:t>Smith, J. M. (2006). Using a balanced scorecard as a strategic tool in public purchasing, A paper presented at International Public Procurement Conference, September 21 – 23, Rome, Italy.</w:t>
      </w:r>
    </w:p>
    <w:p>
      <w:pPr>
        <w:pStyle w:val="BodyText"/>
      </w:pPr>
    </w:p>
    <w:p>
      <w:pPr>
        <w:spacing w:before="0"/>
        <w:ind w:left="571" w:right="1122" w:hanging="452"/>
        <w:jc w:val="both"/>
        <w:rPr>
          <w:sz w:val="24"/>
        </w:rPr>
      </w:pPr>
      <w:r>
        <w:rPr>
          <w:sz w:val="24"/>
        </w:rPr>
        <w:t>Soliman, A. (1996).</w:t>
      </w:r>
      <w:r>
        <w:rPr>
          <w:i/>
          <w:sz w:val="24"/>
        </w:rPr>
        <w:t>Housing and sustainable development in developing countries: Sheltering</w:t>
      </w:r>
      <w:r>
        <w:rPr>
          <w:i/>
          <w:spacing w:val="40"/>
          <w:sz w:val="24"/>
        </w:rPr>
        <w:t> </w:t>
      </w:r>
      <w:r>
        <w:rPr>
          <w:i/>
          <w:sz w:val="24"/>
        </w:rPr>
        <w:t>the urban poor in Egypt</w:t>
      </w:r>
      <w:r>
        <w:rPr>
          <w:sz w:val="24"/>
        </w:rPr>
        <w:t>. Beirut: Dar El Rateb El Jamial Press.</w:t>
      </w:r>
    </w:p>
    <w:p>
      <w:pPr>
        <w:pStyle w:val="BodyText"/>
        <w:spacing w:before="1"/>
      </w:pPr>
    </w:p>
    <w:p>
      <w:pPr>
        <w:spacing w:before="0"/>
        <w:ind w:left="571" w:right="1116" w:hanging="452"/>
        <w:jc w:val="both"/>
        <w:rPr>
          <w:sz w:val="24"/>
        </w:rPr>
      </w:pPr>
      <w:r>
        <w:rPr>
          <w:sz w:val="24"/>
        </w:rPr>
        <w:t>South African Department of National Treasury (2010). </w:t>
      </w:r>
      <w:r>
        <w:rPr>
          <w:i/>
          <w:sz w:val="24"/>
        </w:rPr>
        <w:t>Framework for strategic and annual performance plans</w:t>
      </w:r>
      <w:r>
        <w:rPr>
          <w:sz w:val="24"/>
        </w:rPr>
        <w:t>. Retrieved from </w:t>
      </w:r>
      <w:hyperlink r:id="rId251">
        <w:r>
          <w:rPr>
            <w:sz w:val="24"/>
          </w:rPr>
          <w:t>http://www.treasury.gov</w:t>
        </w:r>
      </w:hyperlink>
    </w:p>
    <w:p>
      <w:pPr>
        <w:pStyle w:val="BodyText"/>
      </w:pPr>
    </w:p>
    <w:p>
      <w:pPr>
        <w:spacing w:before="0"/>
        <w:ind w:left="571" w:right="1115" w:hanging="452"/>
        <w:jc w:val="both"/>
        <w:rPr>
          <w:sz w:val="24"/>
        </w:rPr>
      </w:pPr>
      <w:r>
        <w:rPr>
          <w:sz w:val="24"/>
        </w:rPr>
        <w:t>Spiegel, H.B.C.(1968). </w:t>
      </w:r>
      <w:r>
        <w:rPr>
          <w:i/>
          <w:sz w:val="24"/>
        </w:rPr>
        <w:t>Citizen participation in urban development. </w:t>
      </w:r>
      <w:r>
        <w:rPr>
          <w:sz w:val="24"/>
        </w:rPr>
        <w:t>Washington D.C: N&amp; L Institute for Applied Behavioral Science.</w:t>
      </w:r>
    </w:p>
    <w:p>
      <w:pPr>
        <w:pStyle w:val="BodyText"/>
      </w:pPr>
    </w:p>
    <w:p>
      <w:pPr>
        <w:spacing w:before="0"/>
        <w:ind w:left="571" w:right="1117" w:hanging="452"/>
        <w:jc w:val="both"/>
        <w:rPr>
          <w:sz w:val="24"/>
        </w:rPr>
      </w:pPr>
      <w:r>
        <w:rPr>
          <w:sz w:val="24"/>
        </w:rPr>
        <w:t>Sutrisna, M. (2009). Research methodology in doctoral research: Understanding the meaning of conducting qualitative research. </w:t>
      </w:r>
      <w:r>
        <w:rPr>
          <w:i/>
          <w:sz w:val="24"/>
        </w:rPr>
        <w:t>Working paper presented in ARCOM Doctoral Workshop. </w:t>
      </w:r>
      <w:r>
        <w:rPr>
          <w:sz w:val="24"/>
        </w:rPr>
        <w:t>Liverpool: John Moores University. May 12.</w:t>
      </w:r>
    </w:p>
    <w:p>
      <w:pPr>
        <w:pStyle w:val="BodyText"/>
      </w:pPr>
    </w:p>
    <w:p>
      <w:pPr>
        <w:spacing w:before="0"/>
        <w:ind w:left="571" w:right="1075" w:hanging="452"/>
        <w:jc w:val="both"/>
        <w:rPr>
          <w:sz w:val="24"/>
        </w:rPr>
      </w:pPr>
      <w:r>
        <w:rPr>
          <w:sz w:val="24"/>
        </w:rPr>
        <w:t>Szigeti, F., &amp; David, G. (2005). </w:t>
      </w:r>
      <w:r>
        <w:rPr>
          <w:i/>
          <w:sz w:val="24"/>
        </w:rPr>
        <w:t>Performance based building: A conceptual framework</w:t>
      </w:r>
      <w:r>
        <w:rPr>
          <w:sz w:val="24"/>
        </w:rPr>
        <w:t>. PeBBU Final Report. Rotterdam: CIB.</w:t>
      </w:r>
    </w:p>
    <w:p>
      <w:pPr>
        <w:pStyle w:val="BodyText"/>
      </w:pPr>
    </w:p>
    <w:p>
      <w:pPr>
        <w:spacing w:before="1"/>
        <w:ind w:left="660" w:right="1077" w:hanging="540"/>
        <w:jc w:val="both"/>
        <w:rPr>
          <w:sz w:val="24"/>
        </w:rPr>
      </w:pPr>
      <w:r>
        <w:rPr>
          <w:sz w:val="24"/>
        </w:rPr>
        <w:t>Then, D. S., &amp; Tan, T (2002). Measuring operational building asset performance: Concepts and implementation. In I. Ang, I. Prins, &amp; S. Tols (Eds.)</w:t>
      </w:r>
      <w:r>
        <w:rPr>
          <w:i/>
          <w:sz w:val="24"/>
        </w:rPr>
        <w:t>, Proceedings of CIB W60/W96 Hong Kong: Joint Conference on Performance Concept in Building and Architectural Management</w:t>
      </w:r>
      <w:r>
        <w:rPr>
          <w:sz w:val="24"/>
        </w:rPr>
        <w:t>. pp. 381-395.</w:t>
      </w:r>
    </w:p>
    <w:p>
      <w:pPr>
        <w:pStyle w:val="BodyText"/>
      </w:pPr>
    </w:p>
    <w:p>
      <w:pPr>
        <w:pStyle w:val="BodyText"/>
        <w:ind w:left="120"/>
      </w:pPr>
      <w:r>
        <w:rPr/>
        <w:t>Thurmaier,</w:t>
      </w:r>
      <w:r>
        <w:rPr>
          <w:spacing w:val="38"/>
        </w:rPr>
        <w:t> </w:t>
      </w:r>
      <w:r>
        <w:rPr/>
        <w:t>K.</w:t>
      </w:r>
      <w:r>
        <w:rPr>
          <w:spacing w:val="39"/>
        </w:rPr>
        <w:t> </w:t>
      </w:r>
      <w:r>
        <w:rPr/>
        <w:t>(1992).</w:t>
      </w:r>
      <w:r>
        <w:rPr>
          <w:spacing w:val="38"/>
        </w:rPr>
        <w:t> </w:t>
      </w:r>
      <w:r>
        <w:rPr/>
        <w:t>Budgetary</w:t>
      </w:r>
      <w:r>
        <w:rPr>
          <w:spacing w:val="32"/>
        </w:rPr>
        <w:t> </w:t>
      </w:r>
      <w:r>
        <w:rPr/>
        <w:t>decision</w:t>
      </w:r>
      <w:r>
        <w:rPr>
          <w:spacing w:val="39"/>
        </w:rPr>
        <w:t> </w:t>
      </w:r>
      <w:r>
        <w:rPr/>
        <w:t>making</w:t>
      </w:r>
      <w:r>
        <w:rPr>
          <w:spacing w:val="37"/>
        </w:rPr>
        <w:t> </w:t>
      </w:r>
      <w:r>
        <w:rPr/>
        <w:t>in</w:t>
      </w:r>
      <w:r>
        <w:rPr>
          <w:spacing w:val="40"/>
        </w:rPr>
        <w:t> </w:t>
      </w:r>
      <w:r>
        <w:rPr/>
        <w:t>central</w:t>
      </w:r>
      <w:r>
        <w:rPr>
          <w:spacing w:val="40"/>
        </w:rPr>
        <w:t> </w:t>
      </w:r>
      <w:r>
        <w:rPr/>
        <w:t>budget</w:t>
      </w:r>
      <w:r>
        <w:rPr>
          <w:spacing w:val="40"/>
        </w:rPr>
        <w:t> </w:t>
      </w:r>
      <w:r>
        <w:rPr/>
        <w:t>bureaus:</w:t>
      </w:r>
      <w:r>
        <w:rPr>
          <w:spacing w:val="40"/>
        </w:rPr>
        <w:t> </w:t>
      </w:r>
      <w:r>
        <w:rPr/>
        <w:t>An</w:t>
      </w:r>
      <w:r>
        <w:rPr>
          <w:spacing w:val="39"/>
        </w:rPr>
        <w:t> </w:t>
      </w:r>
      <w:r>
        <w:rPr>
          <w:spacing w:val="-2"/>
        </w:rPr>
        <w:t>experiment.</w:t>
      </w:r>
    </w:p>
    <w:p>
      <w:pPr>
        <w:spacing w:before="0"/>
        <w:ind w:left="660" w:right="0" w:firstLine="0"/>
        <w:jc w:val="left"/>
        <w:rPr>
          <w:sz w:val="24"/>
        </w:rPr>
      </w:pPr>
      <w:r>
        <w:rPr>
          <w:i/>
          <w:sz w:val="24"/>
        </w:rPr>
        <w:t>Journal</w:t>
      </w:r>
      <w:r>
        <w:rPr>
          <w:i/>
          <w:spacing w:val="-3"/>
          <w:sz w:val="24"/>
        </w:rPr>
        <w:t> </w:t>
      </w:r>
      <w:r>
        <w:rPr>
          <w:i/>
          <w:sz w:val="24"/>
        </w:rPr>
        <w:t>of Public</w:t>
      </w:r>
      <w:r>
        <w:rPr>
          <w:i/>
          <w:spacing w:val="-1"/>
          <w:sz w:val="24"/>
        </w:rPr>
        <w:t> </w:t>
      </w:r>
      <w:r>
        <w:rPr>
          <w:i/>
          <w:sz w:val="24"/>
        </w:rPr>
        <w:t>Administration Research</w:t>
      </w:r>
      <w:r>
        <w:rPr>
          <w:i/>
          <w:spacing w:val="-2"/>
          <w:sz w:val="24"/>
        </w:rPr>
        <w:t> </w:t>
      </w:r>
      <w:r>
        <w:rPr>
          <w:i/>
          <w:sz w:val="24"/>
        </w:rPr>
        <w:t>and Theory</w:t>
      </w:r>
      <w:r>
        <w:rPr>
          <w:sz w:val="24"/>
        </w:rPr>
        <w:t>,</w:t>
      </w:r>
      <w:r>
        <w:rPr>
          <w:spacing w:val="-1"/>
          <w:sz w:val="24"/>
        </w:rPr>
        <w:t> </w:t>
      </w:r>
      <w:r>
        <w:rPr>
          <w:sz w:val="24"/>
        </w:rPr>
        <w:t>2, 463– </w:t>
      </w:r>
      <w:r>
        <w:rPr>
          <w:spacing w:val="-4"/>
          <w:sz w:val="24"/>
        </w:rPr>
        <w:t>487.</w:t>
      </w:r>
    </w:p>
    <w:p>
      <w:pPr>
        <w:pStyle w:val="BodyText"/>
      </w:pPr>
    </w:p>
    <w:p>
      <w:pPr>
        <w:spacing w:before="0"/>
        <w:ind w:left="120" w:right="0" w:firstLine="0"/>
        <w:jc w:val="left"/>
        <w:rPr>
          <w:sz w:val="24"/>
        </w:rPr>
      </w:pPr>
      <w:r>
        <w:rPr>
          <w:sz w:val="24"/>
        </w:rPr>
        <w:t>Thurmaier,</w:t>
      </w:r>
      <w:r>
        <w:rPr>
          <w:spacing w:val="19"/>
          <w:sz w:val="24"/>
        </w:rPr>
        <w:t> </w:t>
      </w:r>
      <w:r>
        <w:rPr>
          <w:sz w:val="24"/>
        </w:rPr>
        <w:t>K.,</w:t>
      </w:r>
      <w:r>
        <w:rPr>
          <w:spacing w:val="22"/>
          <w:sz w:val="24"/>
        </w:rPr>
        <w:t> </w:t>
      </w:r>
      <w:r>
        <w:rPr>
          <w:sz w:val="24"/>
        </w:rPr>
        <w:t>&amp;</w:t>
      </w:r>
      <w:r>
        <w:rPr>
          <w:spacing w:val="18"/>
          <w:sz w:val="24"/>
        </w:rPr>
        <w:t> </w:t>
      </w:r>
      <w:r>
        <w:rPr>
          <w:sz w:val="24"/>
        </w:rPr>
        <w:t>Willoughby,</w:t>
      </w:r>
      <w:r>
        <w:rPr>
          <w:spacing w:val="20"/>
          <w:sz w:val="24"/>
        </w:rPr>
        <w:t> </w:t>
      </w:r>
      <w:r>
        <w:rPr>
          <w:sz w:val="24"/>
        </w:rPr>
        <w:t>K.</w:t>
      </w:r>
      <w:r>
        <w:rPr>
          <w:spacing w:val="20"/>
          <w:sz w:val="24"/>
        </w:rPr>
        <w:t> </w:t>
      </w:r>
      <w:r>
        <w:rPr>
          <w:sz w:val="24"/>
        </w:rPr>
        <w:t>(2001).</w:t>
      </w:r>
      <w:r>
        <w:rPr>
          <w:spacing w:val="22"/>
          <w:sz w:val="24"/>
        </w:rPr>
        <w:t> </w:t>
      </w:r>
      <w:r>
        <w:rPr>
          <w:i/>
          <w:sz w:val="24"/>
        </w:rPr>
        <w:t>Policy</w:t>
      </w:r>
      <w:r>
        <w:rPr>
          <w:i/>
          <w:spacing w:val="21"/>
          <w:sz w:val="24"/>
        </w:rPr>
        <w:t> </w:t>
      </w:r>
      <w:r>
        <w:rPr>
          <w:i/>
          <w:sz w:val="24"/>
        </w:rPr>
        <w:t>and</w:t>
      </w:r>
      <w:r>
        <w:rPr>
          <w:i/>
          <w:spacing w:val="20"/>
          <w:sz w:val="24"/>
        </w:rPr>
        <w:t> </w:t>
      </w:r>
      <w:r>
        <w:rPr>
          <w:i/>
          <w:sz w:val="24"/>
        </w:rPr>
        <w:t>politics</w:t>
      </w:r>
      <w:r>
        <w:rPr>
          <w:i/>
          <w:spacing w:val="21"/>
          <w:sz w:val="24"/>
        </w:rPr>
        <w:t> </w:t>
      </w:r>
      <w:r>
        <w:rPr>
          <w:i/>
          <w:sz w:val="24"/>
        </w:rPr>
        <w:t>in</w:t>
      </w:r>
      <w:r>
        <w:rPr>
          <w:i/>
          <w:spacing w:val="18"/>
          <w:sz w:val="24"/>
        </w:rPr>
        <w:t> </w:t>
      </w:r>
      <w:r>
        <w:rPr>
          <w:i/>
          <w:sz w:val="24"/>
        </w:rPr>
        <w:t>state</w:t>
      </w:r>
      <w:r>
        <w:rPr>
          <w:i/>
          <w:spacing w:val="19"/>
          <w:sz w:val="24"/>
        </w:rPr>
        <w:t> </w:t>
      </w:r>
      <w:r>
        <w:rPr>
          <w:i/>
          <w:sz w:val="24"/>
        </w:rPr>
        <w:t>budgeting</w:t>
      </w:r>
      <w:r>
        <w:rPr>
          <w:sz w:val="24"/>
        </w:rPr>
        <w:t>.</w:t>
      </w:r>
      <w:r>
        <w:rPr>
          <w:spacing w:val="20"/>
          <w:sz w:val="24"/>
        </w:rPr>
        <w:t> </w:t>
      </w:r>
      <w:r>
        <w:rPr>
          <w:sz w:val="24"/>
        </w:rPr>
        <w:t>Armonk,</w:t>
      </w:r>
      <w:r>
        <w:rPr>
          <w:spacing w:val="21"/>
          <w:sz w:val="24"/>
        </w:rPr>
        <w:t> </w:t>
      </w:r>
      <w:r>
        <w:rPr>
          <w:spacing w:val="-5"/>
          <w:sz w:val="24"/>
        </w:rPr>
        <w:t>NY:</w:t>
      </w:r>
    </w:p>
    <w:p>
      <w:pPr>
        <w:pStyle w:val="BodyText"/>
        <w:ind w:left="660"/>
      </w:pPr>
      <w:r>
        <w:rPr/>
        <w:t>M.E.</w:t>
      </w:r>
      <w:r>
        <w:rPr>
          <w:spacing w:val="-2"/>
        </w:rPr>
        <w:t> Sharpe.</w:t>
      </w:r>
    </w:p>
    <w:p>
      <w:pPr>
        <w:spacing w:line="550" w:lineRule="atLeast" w:before="2"/>
        <w:ind w:left="120" w:right="1117" w:firstLine="0"/>
        <w:jc w:val="left"/>
        <w:rPr>
          <w:sz w:val="24"/>
        </w:rPr>
      </w:pPr>
      <w:r>
        <w:rPr>
          <w:sz w:val="24"/>
        </w:rPr>
        <w:t>Todd, S. (2007). </w:t>
      </w:r>
      <w:r>
        <w:rPr>
          <w:i/>
          <w:sz w:val="24"/>
        </w:rPr>
        <w:t>Urban housing demand</w:t>
      </w:r>
      <w:r>
        <w:rPr>
          <w:sz w:val="24"/>
        </w:rPr>
        <w:t>. Wharton, University of Pennsylvania: NBER. Transparency International (TI). (2013). </w:t>
      </w:r>
      <w:r>
        <w:rPr>
          <w:i/>
          <w:sz w:val="24"/>
        </w:rPr>
        <w:t>Corruption perceptions index of the world’s countries</w:t>
      </w:r>
      <w:r>
        <w:rPr>
          <w:sz w:val="24"/>
        </w:rPr>
        <w:t>.</w:t>
      </w:r>
    </w:p>
    <w:p>
      <w:pPr>
        <w:pStyle w:val="BodyText"/>
        <w:spacing w:before="2"/>
        <w:ind w:left="660"/>
      </w:pPr>
      <w:r>
        <w:rPr/>
        <w:t>Retrieved</w:t>
      </w:r>
      <w:r>
        <w:rPr>
          <w:spacing w:val="-2"/>
        </w:rPr>
        <w:t> </w:t>
      </w:r>
      <w:r>
        <w:rPr/>
        <w:t>from</w:t>
      </w:r>
      <w:r>
        <w:rPr>
          <w:spacing w:val="-1"/>
        </w:rPr>
        <w:t> </w:t>
      </w:r>
      <w:r>
        <w:rPr/>
        <w:t>http://www.transparency</w:t>
      </w:r>
      <w:r>
        <w:rPr>
          <w:spacing w:val="-6"/>
        </w:rPr>
        <w:t> </w:t>
      </w:r>
      <w:r>
        <w:rPr>
          <w:spacing w:val="-2"/>
        </w:rPr>
        <w:t>international.org</w:t>
      </w:r>
    </w:p>
    <w:p>
      <w:pPr>
        <w:pStyle w:val="BodyText"/>
      </w:pPr>
    </w:p>
    <w:p>
      <w:pPr>
        <w:pStyle w:val="BodyText"/>
        <w:spacing w:before="1"/>
        <w:ind w:left="571" w:right="1124" w:hanging="452"/>
        <w:jc w:val="both"/>
      </w:pPr>
      <w:r>
        <w:rPr/>
        <w:t>Ugonabo, C. U., &amp; Emoh, F.I. (2013). The major challenges to housing development and delivery in Anambra State of Nigeria. </w:t>
      </w:r>
      <w:r>
        <w:rPr>
          <w:i/>
        </w:rPr>
        <w:t>Civil and Environmental Research, </w:t>
      </w:r>
      <w:r>
        <w:rPr/>
        <w:t>3(4), 218-231.</w:t>
      </w:r>
    </w:p>
    <w:p>
      <w:pPr>
        <w:spacing w:after="0"/>
        <w:jc w:val="both"/>
        <w:sectPr>
          <w:pgSz w:w="12240" w:h="15840"/>
          <w:pgMar w:header="0" w:footer="1036" w:top="1360" w:bottom="1220" w:left="1320" w:right="320"/>
        </w:sectPr>
      </w:pPr>
    </w:p>
    <w:p>
      <w:pPr>
        <w:spacing w:before="72"/>
        <w:ind w:left="571" w:right="1223" w:hanging="452"/>
        <w:jc w:val="left"/>
        <w:rPr>
          <w:sz w:val="24"/>
        </w:rPr>
      </w:pPr>
      <w:r>
        <w:rPr>
          <w:sz w:val="24"/>
        </w:rPr>
        <w:t>Ugoo,</w:t>
      </w:r>
      <w:r>
        <w:rPr>
          <w:spacing w:val="-5"/>
          <w:sz w:val="24"/>
        </w:rPr>
        <w:t> </w:t>
      </w:r>
      <w:r>
        <w:rPr>
          <w:sz w:val="24"/>
        </w:rPr>
        <w:t>A.A.(2008).</w:t>
      </w:r>
      <w:r>
        <w:rPr>
          <w:spacing w:val="-3"/>
          <w:sz w:val="24"/>
        </w:rPr>
        <w:t> </w:t>
      </w:r>
      <w:r>
        <w:rPr>
          <w:i/>
          <w:sz w:val="24"/>
        </w:rPr>
        <w:t>Modern</w:t>
      </w:r>
      <w:r>
        <w:rPr>
          <w:i/>
          <w:spacing w:val="-5"/>
          <w:sz w:val="24"/>
        </w:rPr>
        <w:t> </w:t>
      </w:r>
      <w:r>
        <w:rPr>
          <w:i/>
          <w:sz w:val="24"/>
        </w:rPr>
        <w:t>public</w:t>
      </w:r>
      <w:r>
        <w:rPr>
          <w:i/>
          <w:spacing w:val="-5"/>
          <w:sz w:val="24"/>
        </w:rPr>
        <w:t> </w:t>
      </w:r>
      <w:r>
        <w:rPr>
          <w:i/>
          <w:sz w:val="24"/>
        </w:rPr>
        <w:t>administration-</w:t>
      </w:r>
      <w:r>
        <w:rPr>
          <w:i/>
          <w:spacing w:val="-8"/>
          <w:sz w:val="24"/>
        </w:rPr>
        <w:t> </w:t>
      </w:r>
      <w:r>
        <w:rPr>
          <w:i/>
          <w:sz w:val="24"/>
        </w:rPr>
        <w:t>Theories</w:t>
      </w:r>
      <w:r>
        <w:rPr>
          <w:i/>
          <w:spacing w:val="-5"/>
          <w:sz w:val="24"/>
        </w:rPr>
        <w:t> </w:t>
      </w:r>
      <w:r>
        <w:rPr>
          <w:i/>
          <w:sz w:val="24"/>
        </w:rPr>
        <w:t>and</w:t>
      </w:r>
      <w:r>
        <w:rPr>
          <w:i/>
          <w:spacing w:val="-5"/>
          <w:sz w:val="24"/>
        </w:rPr>
        <w:t> </w:t>
      </w:r>
      <w:r>
        <w:rPr>
          <w:i/>
          <w:sz w:val="24"/>
        </w:rPr>
        <w:t>practice</w:t>
      </w:r>
      <w:r>
        <w:rPr>
          <w:sz w:val="24"/>
        </w:rPr>
        <w:t>.</w:t>
      </w:r>
      <w:r>
        <w:rPr>
          <w:spacing w:val="-3"/>
          <w:sz w:val="24"/>
        </w:rPr>
        <w:t> </w:t>
      </w:r>
      <w:r>
        <w:rPr>
          <w:sz w:val="24"/>
        </w:rPr>
        <w:t>Onitsha,</w:t>
      </w:r>
      <w:r>
        <w:rPr>
          <w:spacing w:val="-5"/>
          <w:sz w:val="24"/>
        </w:rPr>
        <w:t> </w:t>
      </w:r>
      <w:r>
        <w:rPr>
          <w:sz w:val="24"/>
        </w:rPr>
        <w:t>Nigeria: Abbot Books Ltd</w:t>
      </w:r>
    </w:p>
    <w:p>
      <w:pPr>
        <w:pStyle w:val="BodyText"/>
        <w:spacing w:before="2"/>
      </w:pPr>
    </w:p>
    <w:p>
      <w:pPr>
        <w:spacing w:line="276" w:lineRule="auto" w:before="1"/>
        <w:ind w:left="571" w:right="1185" w:hanging="452"/>
        <w:jc w:val="both"/>
        <w:rPr>
          <w:sz w:val="24"/>
        </w:rPr>
      </w:pPr>
      <w:r>
        <w:rPr>
          <w:sz w:val="24"/>
        </w:rPr>
        <w:t>Ugwu,</w:t>
      </w:r>
      <w:r>
        <w:rPr>
          <w:spacing w:val="-4"/>
          <w:sz w:val="24"/>
        </w:rPr>
        <w:t> </w:t>
      </w:r>
      <w:r>
        <w:rPr>
          <w:sz w:val="24"/>
        </w:rPr>
        <w:t>S.</w:t>
      </w:r>
      <w:r>
        <w:rPr>
          <w:spacing w:val="-4"/>
          <w:sz w:val="24"/>
        </w:rPr>
        <w:t> </w:t>
      </w:r>
      <w:r>
        <w:rPr>
          <w:sz w:val="24"/>
        </w:rPr>
        <w:t>C.</w:t>
      </w:r>
      <w:r>
        <w:rPr>
          <w:spacing w:val="-4"/>
          <w:sz w:val="24"/>
        </w:rPr>
        <w:t> </w:t>
      </w:r>
      <w:r>
        <w:rPr>
          <w:sz w:val="24"/>
        </w:rPr>
        <w:t>(2006).</w:t>
      </w:r>
      <w:r>
        <w:rPr>
          <w:spacing w:val="-2"/>
          <w:sz w:val="24"/>
        </w:rPr>
        <w:t> </w:t>
      </w:r>
      <w:r>
        <w:rPr>
          <w:i/>
          <w:sz w:val="24"/>
        </w:rPr>
        <w:t>Public</w:t>
      </w:r>
      <w:r>
        <w:rPr>
          <w:i/>
          <w:spacing w:val="-5"/>
          <w:sz w:val="24"/>
        </w:rPr>
        <w:t> </w:t>
      </w:r>
      <w:r>
        <w:rPr>
          <w:i/>
          <w:sz w:val="24"/>
        </w:rPr>
        <w:t>policy</w:t>
      </w:r>
      <w:r>
        <w:rPr>
          <w:i/>
          <w:spacing w:val="-5"/>
          <w:sz w:val="24"/>
        </w:rPr>
        <w:t> </w:t>
      </w:r>
      <w:r>
        <w:rPr>
          <w:i/>
          <w:sz w:val="24"/>
        </w:rPr>
        <w:t>analysis:</w:t>
      </w:r>
      <w:r>
        <w:rPr>
          <w:i/>
          <w:spacing w:val="-4"/>
          <w:sz w:val="24"/>
        </w:rPr>
        <w:t> </w:t>
      </w:r>
      <w:r>
        <w:rPr>
          <w:i/>
          <w:sz w:val="24"/>
        </w:rPr>
        <w:t>Issues,</w:t>
      </w:r>
      <w:r>
        <w:rPr>
          <w:i/>
          <w:spacing w:val="-3"/>
          <w:sz w:val="24"/>
        </w:rPr>
        <w:t> </w:t>
      </w:r>
      <w:r>
        <w:rPr>
          <w:i/>
          <w:sz w:val="24"/>
        </w:rPr>
        <w:t>principles,</w:t>
      </w:r>
      <w:r>
        <w:rPr>
          <w:i/>
          <w:spacing w:val="-4"/>
          <w:sz w:val="24"/>
        </w:rPr>
        <w:t> </w:t>
      </w:r>
      <w:r>
        <w:rPr>
          <w:i/>
          <w:sz w:val="24"/>
        </w:rPr>
        <w:t>theories</w:t>
      </w:r>
      <w:r>
        <w:rPr>
          <w:i/>
          <w:spacing w:val="-4"/>
          <w:sz w:val="24"/>
        </w:rPr>
        <w:t> </w:t>
      </w:r>
      <w:r>
        <w:rPr>
          <w:i/>
          <w:sz w:val="24"/>
        </w:rPr>
        <w:t>and</w:t>
      </w:r>
      <w:r>
        <w:rPr>
          <w:i/>
          <w:spacing w:val="-2"/>
          <w:sz w:val="24"/>
        </w:rPr>
        <w:t> </w:t>
      </w:r>
      <w:r>
        <w:rPr>
          <w:i/>
          <w:sz w:val="24"/>
        </w:rPr>
        <w:t>applications</w:t>
      </w:r>
      <w:r>
        <w:rPr>
          <w:sz w:val="24"/>
        </w:rPr>
        <w:t>.</w:t>
      </w:r>
      <w:r>
        <w:rPr>
          <w:spacing w:val="-4"/>
          <w:sz w:val="24"/>
        </w:rPr>
        <w:t> </w:t>
      </w:r>
      <w:r>
        <w:rPr>
          <w:sz w:val="24"/>
        </w:rPr>
        <w:t>Enugu, Nigeria: Chiezugo Ventures.</w:t>
      </w:r>
    </w:p>
    <w:p>
      <w:pPr>
        <w:pStyle w:val="BodyText"/>
        <w:spacing w:before="198"/>
        <w:ind w:left="120"/>
      </w:pPr>
      <w:r>
        <w:rPr/>
        <w:t>Ukoha,</w:t>
      </w:r>
      <w:r>
        <w:rPr>
          <w:spacing w:val="27"/>
        </w:rPr>
        <w:t> </w:t>
      </w:r>
      <w:r>
        <w:rPr/>
        <w:t>O.</w:t>
      </w:r>
      <w:r>
        <w:rPr>
          <w:spacing w:val="30"/>
        </w:rPr>
        <w:t> </w:t>
      </w:r>
      <w:r>
        <w:rPr/>
        <w:t>M.,</w:t>
      </w:r>
      <w:r>
        <w:rPr>
          <w:spacing w:val="32"/>
        </w:rPr>
        <w:t> </w:t>
      </w:r>
      <w:r>
        <w:rPr/>
        <w:t>&amp;</w:t>
      </w:r>
      <w:r>
        <w:rPr>
          <w:spacing w:val="31"/>
        </w:rPr>
        <w:t> </w:t>
      </w:r>
      <w:r>
        <w:rPr/>
        <w:t>Beamish,</w:t>
      </w:r>
      <w:r>
        <w:rPr>
          <w:spacing w:val="31"/>
        </w:rPr>
        <w:t> </w:t>
      </w:r>
      <w:r>
        <w:rPr/>
        <w:t>J.</w:t>
      </w:r>
      <w:r>
        <w:rPr>
          <w:spacing w:val="29"/>
        </w:rPr>
        <w:t> </w:t>
      </w:r>
      <w:r>
        <w:rPr/>
        <w:t>O.</w:t>
      </w:r>
      <w:r>
        <w:rPr>
          <w:spacing w:val="30"/>
        </w:rPr>
        <w:t> </w:t>
      </w:r>
      <w:r>
        <w:rPr/>
        <w:t>(1996).</w:t>
      </w:r>
      <w:r>
        <w:rPr>
          <w:spacing w:val="30"/>
        </w:rPr>
        <w:t> </w:t>
      </w:r>
      <w:r>
        <w:rPr/>
        <w:t>Predictors</w:t>
      </w:r>
      <w:r>
        <w:rPr>
          <w:spacing w:val="30"/>
        </w:rPr>
        <w:t> </w:t>
      </w:r>
      <w:r>
        <w:rPr/>
        <w:t>of</w:t>
      </w:r>
      <w:r>
        <w:rPr>
          <w:spacing w:val="30"/>
        </w:rPr>
        <w:t> </w:t>
      </w:r>
      <w:r>
        <w:rPr/>
        <w:t>housing</w:t>
      </w:r>
      <w:r>
        <w:rPr>
          <w:spacing w:val="28"/>
        </w:rPr>
        <w:t> </w:t>
      </w:r>
      <w:r>
        <w:rPr/>
        <w:t>satisfaction</w:t>
      </w:r>
      <w:r>
        <w:rPr>
          <w:spacing w:val="29"/>
        </w:rPr>
        <w:t> </w:t>
      </w:r>
      <w:r>
        <w:rPr/>
        <w:t>in</w:t>
      </w:r>
      <w:r>
        <w:rPr>
          <w:spacing w:val="31"/>
        </w:rPr>
        <w:t> </w:t>
      </w:r>
      <w:r>
        <w:rPr/>
        <w:t>Abuja,</w:t>
      </w:r>
      <w:r>
        <w:rPr>
          <w:spacing w:val="30"/>
        </w:rPr>
        <w:t> </w:t>
      </w:r>
      <w:r>
        <w:rPr>
          <w:spacing w:val="-2"/>
        </w:rPr>
        <w:t>Nigeria.</w:t>
      </w:r>
    </w:p>
    <w:p>
      <w:pPr>
        <w:spacing w:before="0"/>
        <w:ind w:left="571" w:right="0" w:firstLine="0"/>
        <w:jc w:val="left"/>
        <w:rPr>
          <w:sz w:val="24"/>
        </w:rPr>
      </w:pPr>
      <w:r>
        <w:rPr>
          <w:i/>
          <w:sz w:val="24"/>
        </w:rPr>
        <w:t>Housing</w:t>
      </w:r>
      <w:r>
        <w:rPr>
          <w:i/>
          <w:spacing w:val="-3"/>
          <w:sz w:val="24"/>
        </w:rPr>
        <w:t> </w:t>
      </w:r>
      <w:r>
        <w:rPr>
          <w:i/>
          <w:sz w:val="24"/>
        </w:rPr>
        <w:t>and</w:t>
      </w:r>
      <w:r>
        <w:rPr>
          <w:i/>
          <w:spacing w:val="-1"/>
          <w:sz w:val="24"/>
        </w:rPr>
        <w:t> </w:t>
      </w:r>
      <w:r>
        <w:rPr>
          <w:i/>
          <w:sz w:val="24"/>
        </w:rPr>
        <w:t>Society</w:t>
      </w:r>
      <w:r>
        <w:rPr>
          <w:sz w:val="24"/>
        </w:rPr>
        <w:t>,</w:t>
      </w:r>
      <w:r>
        <w:rPr>
          <w:spacing w:val="-1"/>
          <w:sz w:val="24"/>
        </w:rPr>
        <w:t> </w:t>
      </w:r>
      <w:r>
        <w:rPr>
          <w:sz w:val="24"/>
        </w:rPr>
        <w:t>23(3),</w:t>
      </w:r>
      <w:r>
        <w:rPr>
          <w:spacing w:val="-1"/>
          <w:sz w:val="24"/>
        </w:rPr>
        <w:t> </w:t>
      </w:r>
      <w:r>
        <w:rPr>
          <w:sz w:val="24"/>
        </w:rPr>
        <w:t>26-</w:t>
      </w:r>
      <w:r>
        <w:rPr>
          <w:spacing w:val="-5"/>
          <w:sz w:val="24"/>
        </w:rPr>
        <w:t>46.</w:t>
      </w:r>
    </w:p>
    <w:p>
      <w:pPr>
        <w:pStyle w:val="BodyText"/>
        <w:spacing w:before="43"/>
      </w:pPr>
    </w:p>
    <w:p>
      <w:pPr>
        <w:spacing w:line="276" w:lineRule="auto" w:before="0"/>
        <w:ind w:left="571" w:right="1116" w:hanging="452"/>
        <w:jc w:val="both"/>
        <w:rPr>
          <w:sz w:val="24"/>
        </w:rPr>
      </w:pPr>
      <w:r>
        <w:rPr>
          <w:sz w:val="24"/>
        </w:rPr>
        <w:t>Umenweke M.O. (2000). Preliminary study of the physical environment of mid tertiary lignites of Anambra State, Nigeria. </w:t>
      </w:r>
      <w:r>
        <w:rPr>
          <w:i/>
          <w:sz w:val="24"/>
        </w:rPr>
        <w:t>Multi-Disciplinary Journal for Environmental Sciences</w:t>
      </w:r>
      <w:r>
        <w:rPr>
          <w:sz w:val="24"/>
        </w:rPr>
        <w:t>. 3(1). 23 – 29.</w:t>
      </w:r>
    </w:p>
    <w:p>
      <w:pPr>
        <w:spacing w:before="198"/>
        <w:ind w:left="120" w:right="0" w:firstLine="0"/>
        <w:jc w:val="left"/>
        <w:rPr>
          <w:sz w:val="24"/>
        </w:rPr>
      </w:pPr>
      <w:r>
        <w:rPr>
          <w:sz w:val="24"/>
        </w:rPr>
        <w:t>UN</w:t>
      </w:r>
      <w:r>
        <w:rPr>
          <w:spacing w:val="-2"/>
          <w:sz w:val="24"/>
        </w:rPr>
        <w:t> </w:t>
      </w:r>
      <w:r>
        <w:rPr>
          <w:sz w:val="24"/>
        </w:rPr>
        <w:t>(1973).</w:t>
      </w:r>
      <w:r>
        <w:rPr>
          <w:spacing w:val="-1"/>
          <w:sz w:val="24"/>
        </w:rPr>
        <w:t> </w:t>
      </w:r>
      <w:r>
        <w:rPr>
          <w:i/>
          <w:sz w:val="24"/>
        </w:rPr>
        <w:t>Estimating housing</w:t>
      </w:r>
      <w:r>
        <w:rPr>
          <w:i/>
          <w:spacing w:val="-1"/>
          <w:sz w:val="24"/>
        </w:rPr>
        <w:t> </w:t>
      </w:r>
      <w:r>
        <w:rPr>
          <w:i/>
          <w:sz w:val="24"/>
        </w:rPr>
        <w:t>needs</w:t>
      </w:r>
      <w:r>
        <w:rPr>
          <w:sz w:val="24"/>
        </w:rPr>
        <w:t>. ST/STAT/SER.F/12, No.</w:t>
      </w:r>
      <w:r>
        <w:rPr>
          <w:spacing w:val="-1"/>
          <w:sz w:val="24"/>
        </w:rPr>
        <w:t> </w:t>
      </w:r>
      <w:r>
        <w:rPr>
          <w:sz w:val="24"/>
        </w:rPr>
        <w:t>67, xvii 15, </w:t>
      </w:r>
      <w:r>
        <w:rPr>
          <w:spacing w:val="-4"/>
          <w:sz w:val="24"/>
        </w:rPr>
        <w:t>p.7.</w:t>
      </w:r>
    </w:p>
    <w:p>
      <w:pPr>
        <w:pStyle w:val="BodyText"/>
      </w:pPr>
    </w:p>
    <w:p>
      <w:pPr>
        <w:spacing w:before="0"/>
        <w:ind w:left="571" w:right="1117" w:hanging="452"/>
        <w:jc w:val="left"/>
        <w:rPr>
          <w:sz w:val="24"/>
        </w:rPr>
      </w:pPr>
      <w:r>
        <w:rPr>
          <w:sz w:val="24"/>
        </w:rPr>
        <w:t>UN (2006). </w:t>
      </w:r>
      <w:r>
        <w:rPr>
          <w:i/>
          <w:sz w:val="24"/>
        </w:rPr>
        <w:t>The silent</w:t>
      </w:r>
      <w:r>
        <w:rPr>
          <w:i/>
          <w:spacing w:val="22"/>
          <w:sz w:val="24"/>
        </w:rPr>
        <w:t> </w:t>
      </w:r>
      <w:r>
        <w:rPr>
          <w:i/>
          <w:sz w:val="24"/>
        </w:rPr>
        <w:t>crisis</w:t>
      </w:r>
      <w:r>
        <w:rPr>
          <w:i/>
          <w:spacing w:val="20"/>
          <w:sz w:val="24"/>
        </w:rPr>
        <w:t> </w:t>
      </w:r>
      <w:r>
        <w:rPr>
          <w:i/>
          <w:sz w:val="24"/>
        </w:rPr>
        <w:t>of housing as a global challenge.</w:t>
      </w:r>
      <w:r>
        <w:rPr>
          <w:i/>
          <w:spacing w:val="21"/>
          <w:sz w:val="24"/>
        </w:rPr>
        <w:t> </w:t>
      </w:r>
      <w:r>
        <w:rPr>
          <w:i/>
          <w:sz w:val="24"/>
        </w:rPr>
        <w:t>Interview</w:t>
      </w:r>
      <w:r>
        <w:rPr>
          <w:i/>
          <w:spacing w:val="24"/>
          <w:sz w:val="24"/>
        </w:rPr>
        <w:t> </w:t>
      </w:r>
      <w:r>
        <w:rPr>
          <w:i/>
          <w:sz w:val="24"/>
        </w:rPr>
        <w:t>of the United</w:t>
      </w:r>
      <w:r>
        <w:rPr>
          <w:i/>
          <w:spacing w:val="21"/>
          <w:sz w:val="24"/>
        </w:rPr>
        <w:t> </w:t>
      </w:r>
      <w:r>
        <w:rPr>
          <w:i/>
          <w:sz w:val="24"/>
        </w:rPr>
        <w:t>Nations rapporteur on adequate housing. </w:t>
      </w:r>
      <w:r>
        <w:rPr>
          <w:sz w:val="24"/>
        </w:rPr>
        <w:t>New York: UN.</w:t>
      </w:r>
    </w:p>
    <w:p>
      <w:pPr>
        <w:pStyle w:val="BodyText"/>
      </w:pPr>
    </w:p>
    <w:p>
      <w:pPr>
        <w:spacing w:before="0"/>
        <w:ind w:left="571" w:right="1117" w:hanging="452"/>
        <w:jc w:val="left"/>
        <w:rPr>
          <w:sz w:val="24"/>
        </w:rPr>
      </w:pPr>
      <w:r>
        <w:rPr>
          <w:sz w:val="24"/>
        </w:rPr>
        <w:t>UNDPI (2008). </w:t>
      </w:r>
      <w:r>
        <w:rPr>
          <w:i/>
          <w:sz w:val="24"/>
        </w:rPr>
        <w:t>Achieving the millennium development goals in Africa. Recommendations of the MDG steering group</w:t>
      </w:r>
      <w:r>
        <w:rPr>
          <w:sz w:val="24"/>
        </w:rPr>
        <w:t>. Retrieved from </w:t>
      </w:r>
      <w:hyperlink r:id="rId252">
        <w:r>
          <w:rPr>
            <w:sz w:val="24"/>
          </w:rPr>
          <w:t>http://www.indgafrica.org.pdf.</w:t>
        </w:r>
      </w:hyperlink>
    </w:p>
    <w:p>
      <w:pPr>
        <w:pStyle w:val="BodyText"/>
      </w:pPr>
    </w:p>
    <w:p>
      <w:pPr>
        <w:spacing w:before="0"/>
        <w:ind w:left="120" w:right="0" w:firstLine="0"/>
        <w:jc w:val="left"/>
        <w:rPr>
          <w:sz w:val="24"/>
        </w:rPr>
      </w:pPr>
      <w:r>
        <w:rPr>
          <w:sz w:val="24"/>
        </w:rPr>
        <w:t>UNFPA</w:t>
      </w:r>
      <w:r>
        <w:rPr>
          <w:spacing w:val="-4"/>
          <w:sz w:val="24"/>
        </w:rPr>
        <w:t> </w:t>
      </w:r>
      <w:r>
        <w:rPr>
          <w:sz w:val="24"/>
        </w:rPr>
        <w:t>(2011).</w:t>
      </w:r>
      <w:r>
        <w:rPr>
          <w:spacing w:val="-3"/>
          <w:sz w:val="24"/>
        </w:rPr>
        <w:t> </w:t>
      </w:r>
      <w:r>
        <w:rPr>
          <w:i/>
          <w:sz w:val="24"/>
        </w:rPr>
        <w:t>State</w:t>
      </w:r>
      <w:r>
        <w:rPr>
          <w:i/>
          <w:spacing w:val="-3"/>
          <w:sz w:val="24"/>
        </w:rPr>
        <w:t> </w:t>
      </w:r>
      <w:r>
        <w:rPr>
          <w:i/>
          <w:sz w:val="24"/>
        </w:rPr>
        <w:t>of</w:t>
      </w:r>
      <w:r>
        <w:rPr>
          <w:i/>
          <w:spacing w:val="-1"/>
          <w:sz w:val="24"/>
        </w:rPr>
        <w:t> </w:t>
      </w:r>
      <w:r>
        <w:rPr>
          <w:i/>
          <w:sz w:val="24"/>
        </w:rPr>
        <w:t>world’s</w:t>
      </w:r>
      <w:r>
        <w:rPr>
          <w:i/>
          <w:spacing w:val="-3"/>
          <w:sz w:val="24"/>
        </w:rPr>
        <w:t> </w:t>
      </w:r>
      <w:r>
        <w:rPr>
          <w:i/>
          <w:sz w:val="24"/>
        </w:rPr>
        <w:t>population</w:t>
      </w:r>
      <w:r>
        <w:rPr>
          <w:i/>
          <w:spacing w:val="-2"/>
          <w:sz w:val="24"/>
        </w:rPr>
        <w:t> </w:t>
      </w:r>
      <w:r>
        <w:rPr>
          <w:i/>
          <w:sz w:val="24"/>
        </w:rPr>
        <w:t>report. </w:t>
      </w:r>
      <w:r>
        <w:rPr>
          <w:sz w:val="24"/>
        </w:rPr>
        <w:t>New</w:t>
      </w:r>
      <w:r>
        <w:rPr>
          <w:spacing w:val="-2"/>
          <w:sz w:val="24"/>
        </w:rPr>
        <w:t> </w:t>
      </w:r>
      <w:r>
        <w:rPr>
          <w:sz w:val="24"/>
        </w:rPr>
        <w:t>York,</w:t>
      </w:r>
      <w:r>
        <w:rPr>
          <w:spacing w:val="-2"/>
          <w:sz w:val="24"/>
        </w:rPr>
        <w:t> </w:t>
      </w:r>
      <w:r>
        <w:rPr>
          <w:sz w:val="24"/>
        </w:rPr>
        <w:t>NY:</w:t>
      </w:r>
      <w:r>
        <w:rPr>
          <w:spacing w:val="-1"/>
          <w:sz w:val="24"/>
        </w:rPr>
        <w:t> </w:t>
      </w:r>
      <w:r>
        <w:rPr>
          <w:spacing w:val="-2"/>
          <w:sz w:val="24"/>
        </w:rPr>
        <w:t>UNFPA.</w:t>
      </w:r>
    </w:p>
    <w:p>
      <w:pPr>
        <w:pStyle w:val="BodyText"/>
      </w:pPr>
    </w:p>
    <w:p>
      <w:pPr>
        <w:pStyle w:val="BodyText"/>
        <w:ind w:left="571" w:right="1118" w:hanging="452"/>
        <w:jc w:val="both"/>
      </w:pPr>
      <w:r>
        <w:rPr/>
        <w:t>UN-Habitat (2006). National trend in housing production practices (Vol. 4). Nairobi: United Nations Centre for Human Settlements (pp.60-69). Retrieved from </w:t>
      </w:r>
      <w:hyperlink r:id="rId253">
        <w:r>
          <w:rPr>
            <w:spacing w:val="-2"/>
          </w:rPr>
          <w:t>http://www.chs.ubc.ca/archives/files/HS-313.pdf.</w:t>
        </w:r>
      </w:hyperlink>
    </w:p>
    <w:p>
      <w:pPr>
        <w:pStyle w:val="BodyText"/>
      </w:pPr>
    </w:p>
    <w:p>
      <w:pPr>
        <w:spacing w:before="1"/>
        <w:ind w:left="571" w:right="1117" w:hanging="452"/>
        <w:jc w:val="both"/>
        <w:rPr>
          <w:sz w:val="24"/>
        </w:rPr>
      </w:pPr>
      <w:r>
        <w:rPr>
          <w:sz w:val="24"/>
        </w:rPr>
        <w:t>UN-Habitat</w:t>
      </w:r>
      <w:r>
        <w:rPr>
          <w:spacing w:val="80"/>
          <w:sz w:val="24"/>
        </w:rPr>
        <w:t> </w:t>
      </w:r>
      <w:r>
        <w:rPr>
          <w:sz w:val="24"/>
        </w:rPr>
        <w:t>(2007). </w:t>
      </w:r>
      <w:r>
        <w:rPr>
          <w:i/>
          <w:sz w:val="24"/>
        </w:rPr>
        <w:t>Milestones in the evolution of human settlement policies.1976-2006 - State of the World Cities Report 2006/2007</w:t>
      </w:r>
      <w:r>
        <w:rPr>
          <w:sz w:val="24"/>
        </w:rPr>
        <w:t>. New York: UN.</w:t>
      </w:r>
    </w:p>
    <w:p>
      <w:pPr>
        <w:pStyle w:val="BodyText"/>
      </w:pPr>
    </w:p>
    <w:p>
      <w:pPr>
        <w:tabs>
          <w:tab w:pos="1891" w:val="left" w:leader="none"/>
          <w:tab w:pos="3167" w:val="left" w:leader="none"/>
          <w:tab w:pos="4295" w:val="left" w:leader="none"/>
          <w:tab w:pos="5518" w:val="left" w:leader="none"/>
          <w:tab w:pos="6698" w:val="left" w:leader="none"/>
          <w:tab w:pos="8296" w:val="left" w:leader="none"/>
        </w:tabs>
        <w:spacing w:before="0"/>
        <w:ind w:left="571" w:right="1118" w:hanging="452"/>
        <w:jc w:val="left"/>
        <w:rPr>
          <w:sz w:val="24"/>
        </w:rPr>
      </w:pPr>
      <w:r>
        <w:rPr>
          <w:sz w:val="24"/>
        </w:rPr>
        <w:t>UN-Habitat</w:t>
      </w:r>
      <w:r>
        <w:rPr>
          <w:spacing w:val="32"/>
          <w:sz w:val="24"/>
        </w:rPr>
        <w:t> </w:t>
      </w:r>
      <w:r>
        <w:rPr>
          <w:sz w:val="24"/>
        </w:rPr>
        <w:t>(2010).</w:t>
      </w:r>
      <w:r>
        <w:rPr>
          <w:spacing w:val="29"/>
          <w:sz w:val="24"/>
        </w:rPr>
        <w:t> </w:t>
      </w:r>
      <w:r>
        <w:rPr>
          <w:i/>
          <w:sz w:val="24"/>
        </w:rPr>
        <w:t>The</w:t>
      </w:r>
      <w:r>
        <w:rPr>
          <w:i/>
          <w:spacing w:val="30"/>
          <w:sz w:val="24"/>
        </w:rPr>
        <w:t> </w:t>
      </w:r>
      <w:r>
        <w:rPr>
          <w:i/>
          <w:sz w:val="24"/>
        </w:rPr>
        <w:t>state of</w:t>
      </w:r>
      <w:r>
        <w:rPr>
          <w:i/>
          <w:spacing w:val="29"/>
          <w:sz w:val="24"/>
        </w:rPr>
        <w:t> </w:t>
      </w:r>
      <w:r>
        <w:rPr>
          <w:i/>
          <w:sz w:val="24"/>
        </w:rPr>
        <w:t>African</w:t>
      </w:r>
      <w:r>
        <w:rPr>
          <w:i/>
          <w:spacing w:val="29"/>
          <w:sz w:val="24"/>
        </w:rPr>
        <w:t> </w:t>
      </w:r>
      <w:r>
        <w:rPr>
          <w:i/>
          <w:sz w:val="24"/>
        </w:rPr>
        <w:t>cities</w:t>
      </w:r>
      <w:r>
        <w:rPr>
          <w:i/>
          <w:spacing w:val="31"/>
          <w:sz w:val="24"/>
        </w:rPr>
        <w:t> </w:t>
      </w:r>
      <w:r>
        <w:rPr>
          <w:i/>
          <w:sz w:val="24"/>
        </w:rPr>
        <w:t>2010/2011-Governance,</w:t>
      </w:r>
      <w:r>
        <w:rPr>
          <w:i/>
          <w:spacing w:val="31"/>
          <w:sz w:val="24"/>
        </w:rPr>
        <w:t> </w:t>
      </w:r>
      <w:r>
        <w:rPr>
          <w:i/>
          <w:sz w:val="24"/>
        </w:rPr>
        <w:t>inequality,</w:t>
      </w:r>
      <w:r>
        <w:rPr>
          <w:i/>
          <w:spacing w:val="29"/>
          <w:sz w:val="24"/>
        </w:rPr>
        <w:t> </w:t>
      </w:r>
      <w:r>
        <w:rPr>
          <w:i/>
          <w:sz w:val="24"/>
        </w:rPr>
        <w:t>urban</w:t>
      </w:r>
      <w:r>
        <w:rPr>
          <w:i/>
          <w:spacing w:val="29"/>
          <w:sz w:val="24"/>
        </w:rPr>
        <w:t> </w:t>
      </w:r>
      <w:r>
        <w:rPr>
          <w:i/>
          <w:sz w:val="24"/>
        </w:rPr>
        <w:t>land </w:t>
      </w:r>
      <w:r>
        <w:rPr>
          <w:i/>
          <w:spacing w:val="-2"/>
          <w:sz w:val="24"/>
        </w:rPr>
        <w:t>Markets,</w:t>
      </w:r>
      <w:r>
        <w:rPr>
          <w:i/>
          <w:sz w:val="24"/>
        </w:rPr>
        <w:tab/>
      </w:r>
      <w:r>
        <w:rPr>
          <w:spacing w:val="-2"/>
          <w:sz w:val="24"/>
        </w:rPr>
        <w:t>Nairobi:</w:t>
      </w:r>
      <w:r>
        <w:rPr>
          <w:sz w:val="24"/>
        </w:rPr>
        <w:tab/>
      </w:r>
      <w:r>
        <w:rPr>
          <w:spacing w:val="-2"/>
          <w:sz w:val="24"/>
        </w:rPr>
        <w:t>United</w:t>
      </w:r>
      <w:r>
        <w:rPr>
          <w:sz w:val="24"/>
        </w:rPr>
        <w:tab/>
      </w:r>
      <w:r>
        <w:rPr>
          <w:spacing w:val="-2"/>
          <w:sz w:val="24"/>
        </w:rPr>
        <w:t>Nations</w:t>
      </w:r>
      <w:r>
        <w:rPr>
          <w:sz w:val="24"/>
        </w:rPr>
        <w:tab/>
      </w:r>
      <w:r>
        <w:rPr>
          <w:spacing w:val="-2"/>
          <w:sz w:val="24"/>
        </w:rPr>
        <w:t>Human</w:t>
      </w:r>
      <w:r>
        <w:rPr>
          <w:sz w:val="24"/>
        </w:rPr>
        <w:tab/>
      </w:r>
      <w:r>
        <w:rPr>
          <w:spacing w:val="-2"/>
          <w:sz w:val="24"/>
        </w:rPr>
        <w:t>Settlements</w:t>
      </w:r>
      <w:r>
        <w:rPr>
          <w:sz w:val="24"/>
        </w:rPr>
        <w:tab/>
      </w:r>
      <w:r>
        <w:rPr>
          <w:spacing w:val="-2"/>
          <w:sz w:val="24"/>
        </w:rPr>
        <w:t>Programme. Retrievedfromf</w:t>
      </w:r>
      <w:hyperlink r:id="rId254">
        <w:r>
          <w:rPr>
            <w:spacing w:val="-2"/>
            <w:sz w:val="24"/>
          </w:rPr>
          <w:t>rom:ht</w:t>
        </w:r>
      </w:hyperlink>
      <w:r>
        <w:rPr>
          <w:spacing w:val="-2"/>
          <w:sz w:val="24"/>
        </w:rPr>
        <w:t>tp:/</w:t>
      </w:r>
      <w:hyperlink r:id="rId254">
        <w:r>
          <w:rPr>
            <w:spacing w:val="-2"/>
            <w:sz w:val="24"/>
          </w:rPr>
          <w:t>/www.unhabitat.org/pmss/listItemDetails.aspx?publicationID=291</w:t>
        </w:r>
      </w:hyperlink>
      <w:r>
        <w:rPr>
          <w:spacing w:val="80"/>
          <w:sz w:val="24"/>
        </w:rPr>
        <w:t> </w:t>
      </w:r>
      <w:r>
        <w:rPr>
          <w:spacing w:val="-6"/>
          <w:sz w:val="24"/>
        </w:rPr>
        <w:t>7.</w:t>
      </w:r>
    </w:p>
    <w:p>
      <w:pPr>
        <w:pStyle w:val="BodyText"/>
      </w:pPr>
    </w:p>
    <w:p>
      <w:pPr>
        <w:spacing w:line="242" w:lineRule="auto" w:before="0"/>
        <w:ind w:left="571" w:right="1119" w:hanging="452"/>
        <w:jc w:val="both"/>
        <w:rPr>
          <w:sz w:val="24"/>
        </w:rPr>
      </w:pPr>
      <w:r>
        <w:rPr>
          <w:sz w:val="24"/>
        </w:rPr>
        <w:t>Ural, O. (2008). New vision for human habitat. </w:t>
      </w:r>
      <w:r>
        <w:rPr>
          <w:i/>
          <w:sz w:val="24"/>
        </w:rPr>
        <w:t>A Presidential Speech at the 34th World Congress of International Association for Housing Science, </w:t>
      </w:r>
      <w:r>
        <w:rPr>
          <w:sz w:val="24"/>
        </w:rPr>
        <w:t>Miami, Florida.</w:t>
      </w:r>
    </w:p>
    <w:p>
      <w:pPr>
        <w:pStyle w:val="BodyText"/>
        <w:spacing w:line="242" w:lineRule="auto" w:before="194"/>
        <w:ind w:left="571" w:right="1124" w:hanging="452"/>
        <w:jc w:val="both"/>
      </w:pPr>
      <w:r>
        <w:rPr/>
        <w:t>USAID. (2005). Nigeria budget process support Project. Retrieved from </w:t>
      </w:r>
      <w:hyperlink r:id="rId255">
        <w:r>
          <w:rPr>
            <w:spacing w:val="-2"/>
          </w:rPr>
          <w:t>www.mildpdf.com/search.budget-process-in-nigeria.html</w:t>
        </w:r>
      </w:hyperlink>
    </w:p>
    <w:p>
      <w:pPr>
        <w:pStyle w:val="BodyText"/>
        <w:spacing w:before="194"/>
        <w:ind w:left="571" w:right="1223" w:hanging="452"/>
      </w:pPr>
      <w:r>
        <w:rPr/>
        <w:t>Vitale,</w:t>
      </w:r>
      <w:r>
        <w:rPr>
          <w:spacing w:val="-4"/>
        </w:rPr>
        <w:t> </w:t>
      </w:r>
      <w:r>
        <w:rPr/>
        <w:t>M.</w:t>
      </w:r>
      <w:r>
        <w:rPr>
          <w:spacing w:val="-4"/>
        </w:rPr>
        <w:t> </w:t>
      </w:r>
      <w:r>
        <w:rPr/>
        <w:t>R.,</w:t>
      </w:r>
      <w:r>
        <w:rPr>
          <w:spacing w:val="-4"/>
        </w:rPr>
        <w:t> </w:t>
      </w:r>
      <w:r>
        <w:rPr/>
        <w:t>&amp;</w:t>
      </w:r>
      <w:r>
        <w:rPr>
          <w:spacing w:val="-6"/>
        </w:rPr>
        <w:t> </w:t>
      </w:r>
      <w:r>
        <w:rPr/>
        <w:t>Mavrinac,</w:t>
      </w:r>
      <w:r>
        <w:rPr>
          <w:spacing w:val="-4"/>
        </w:rPr>
        <w:t> </w:t>
      </w:r>
      <w:r>
        <w:rPr/>
        <w:t>S.C.</w:t>
      </w:r>
      <w:r>
        <w:rPr>
          <w:spacing w:val="-4"/>
        </w:rPr>
        <w:t> </w:t>
      </w:r>
      <w:r>
        <w:rPr/>
        <w:t>(1995).</w:t>
      </w:r>
      <w:r>
        <w:rPr>
          <w:spacing w:val="-4"/>
        </w:rPr>
        <w:t> </w:t>
      </w:r>
      <w:r>
        <w:rPr/>
        <w:t>How</w:t>
      </w:r>
      <w:r>
        <w:rPr>
          <w:spacing w:val="-5"/>
        </w:rPr>
        <w:t> </w:t>
      </w:r>
      <w:r>
        <w:rPr/>
        <w:t>effective</w:t>
      </w:r>
      <w:r>
        <w:rPr>
          <w:spacing w:val="-5"/>
        </w:rPr>
        <w:t> </w:t>
      </w:r>
      <w:r>
        <w:rPr/>
        <w:t>is</w:t>
      </w:r>
      <w:r>
        <w:rPr>
          <w:spacing w:val="-2"/>
        </w:rPr>
        <w:t> </w:t>
      </w:r>
      <w:r>
        <w:rPr/>
        <w:t>your</w:t>
      </w:r>
      <w:r>
        <w:rPr>
          <w:spacing w:val="-4"/>
        </w:rPr>
        <w:t> </w:t>
      </w:r>
      <w:r>
        <w:rPr/>
        <w:t>performance</w:t>
      </w:r>
      <w:r>
        <w:rPr>
          <w:spacing w:val="-5"/>
        </w:rPr>
        <w:t> </w:t>
      </w:r>
      <w:r>
        <w:rPr/>
        <w:t>measurement system? </w:t>
      </w:r>
      <w:r>
        <w:rPr>
          <w:i/>
        </w:rPr>
        <w:t>Management Accounting, </w:t>
      </w:r>
      <w:r>
        <w:rPr/>
        <w:t>77(2), 43-55.</w:t>
      </w:r>
    </w:p>
    <w:p>
      <w:pPr>
        <w:pStyle w:val="BodyText"/>
      </w:pPr>
    </w:p>
    <w:p>
      <w:pPr>
        <w:spacing w:before="0"/>
        <w:ind w:left="571" w:right="1125" w:hanging="452"/>
        <w:jc w:val="both"/>
        <w:rPr>
          <w:sz w:val="24"/>
        </w:rPr>
      </w:pPr>
      <w:r>
        <w:rPr>
          <w:sz w:val="24"/>
        </w:rPr>
        <w:t>Vujovic, D. (2012). </w:t>
      </w:r>
      <w:r>
        <w:rPr>
          <w:i/>
          <w:sz w:val="24"/>
        </w:rPr>
        <w:t>A study on the effective use of performance indicators in public sector budgeting and planning </w:t>
      </w:r>
      <w:r>
        <w:rPr>
          <w:sz w:val="24"/>
        </w:rPr>
        <w:t>– A USAID business enabling project. Washington, DC: USAID.</w:t>
      </w:r>
    </w:p>
    <w:p>
      <w:pPr>
        <w:spacing w:after="0"/>
        <w:jc w:val="both"/>
        <w:rPr>
          <w:sz w:val="24"/>
        </w:rPr>
        <w:sectPr>
          <w:pgSz w:w="12240" w:h="15840"/>
          <w:pgMar w:header="0" w:footer="1036" w:top="1360" w:bottom="1220" w:left="1320" w:right="320"/>
        </w:sectPr>
      </w:pPr>
    </w:p>
    <w:p>
      <w:pPr>
        <w:spacing w:before="72"/>
        <w:ind w:left="571" w:right="1116" w:hanging="452"/>
        <w:jc w:val="both"/>
        <w:rPr>
          <w:sz w:val="24"/>
        </w:rPr>
      </w:pPr>
      <w:r>
        <w:rPr>
          <w:sz w:val="24"/>
        </w:rPr>
        <w:t>Wahab, K.A. (2000). Implementation of public procurement reforms in Nigeria. </w:t>
      </w:r>
      <w:r>
        <w:rPr>
          <w:i/>
          <w:sz w:val="24"/>
        </w:rPr>
        <w:t>A paper presented at a workshop on World Bank procurement procedures</w:t>
      </w:r>
      <w:r>
        <w:rPr>
          <w:sz w:val="24"/>
        </w:rPr>
        <w:t>, organized by the Nigeria Economic Summit Group at the Golden Gate Restaurant, Ikoyi, Lagos, 28th September.</w:t>
      </w:r>
    </w:p>
    <w:p>
      <w:pPr>
        <w:pStyle w:val="BodyText"/>
      </w:pPr>
    </w:p>
    <w:p>
      <w:pPr>
        <w:spacing w:before="0"/>
        <w:ind w:left="120" w:right="0" w:firstLine="0"/>
        <w:jc w:val="left"/>
        <w:rPr>
          <w:sz w:val="24"/>
        </w:rPr>
      </w:pPr>
      <w:r>
        <w:rPr>
          <w:sz w:val="24"/>
        </w:rPr>
        <w:t>Walker,</w:t>
      </w:r>
      <w:r>
        <w:rPr>
          <w:spacing w:val="-2"/>
          <w:sz w:val="24"/>
        </w:rPr>
        <w:t> </w:t>
      </w:r>
      <w:r>
        <w:rPr>
          <w:sz w:val="24"/>
        </w:rPr>
        <w:t>M.,</w:t>
      </w:r>
      <w:r>
        <w:rPr>
          <w:spacing w:val="1"/>
          <w:sz w:val="24"/>
        </w:rPr>
        <w:t> </w:t>
      </w:r>
      <w:r>
        <w:rPr>
          <w:sz w:val="24"/>
        </w:rPr>
        <w:t>L.(1930).</w:t>
      </w:r>
      <w:r>
        <w:rPr>
          <w:spacing w:val="-1"/>
          <w:sz w:val="24"/>
        </w:rPr>
        <w:t> </w:t>
      </w:r>
      <w:r>
        <w:rPr>
          <w:i/>
          <w:sz w:val="24"/>
        </w:rPr>
        <w:t>Municipal</w:t>
      </w:r>
      <w:r>
        <w:rPr>
          <w:i/>
          <w:spacing w:val="-1"/>
          <w:sz w:val="24"/>
        </w:rPr>
        <w:t> </w:t>
      </w:r>
      <w:r>
        <w:rPr>
          <w:i/>
          <w:sz w:val="24"/>
        </w:rPr>
        <w:t>expenditures</w:t>
      </w:r>
      <w:r>
        <w:rPr>
          <w:sz w:val="24"/>
        </w:rPr>
        <w:t>.</w:t>
      </w:r>
      <w:r>
        <w:rPr>
          <w:spacing w:val="-1"/>
          <w:sz w:val="24"/>
        </w:rPr>
        <w:t> </w:t>
      </w:r>
      <w:r>
        <w:rPr>
          <w:sz w:val="24"/>
        </w:rPr>
        <w:t>Baltimore:</w:t>
      </w:r>
      <w:r>
        <w:rPr>
          <w:spacing w:val="-1"/>
          <w:sz w:val="24"/>
        </w:rPr>
        <w:t> </w:t>
      </w:r>
      <w:r>
        <w:rPr>
          <w:sz w:val="24"/>
        </w:rPr>
        <w:t>Johns</w:t>
      </w:r>
      <w:r>
        <w:rPr>
          <w:spacing w:val="-1"/>
          <w:sz w:val="24"/>
        </w:rPr>
        <w:t> </w:t>
      </w:r>
      <w:r>
        <w:rPr>
          <w:sz w:val="24"/>
        </w:rPr>
        <w:t>Hopkins</w:t>
      </w:r>
      <w:r>
        <w:rPr>
          <w:spacing w:val="-3"/>
          <w:sz w:val="24"/>
        </w:rPr>
        <w:t> </w:t>
      </w:r>
      <w:r>
        <w:rPr>
          <w:spacing w:val="-2"/>
          <w:sz w:val="24"/>
        </w:rPr>
        <w:t>Press.</w:t>
      </w:r>
    </w:p>
    <w:p>
      <w:pPr>
        <w:pStyle w:val="BodyText"/>
      </w:pPr>
    </w:p>
    <w:p>
      <w:pPr>
        <w:pStyle w:val="BodyText"/>
        <w:ind w:left="120"/>
      </w:pPr>
      <w:r>
        <w:rPr/>
        <w:t>Wang,</w:t>
      </w:r>
      <w:r>
        <w:rPr>
          <w:spacing w:val="48"/>
        </w:rPr>
        <w:t> </w:t>
      </w:r>
      <w:r>
        <w:rPr/>
        <w:t>X.</w:t>
      </w:r>
      <w:r>
        <w:rPr>
          <w:spacing w:val="51"/>
        </w:rPr>
        <w:t> </w:t>
      </w:r>
      <w:r>
        <w:rPr/>
        <w:t>(2000).</w:t>
      </w:r>
      <w:r>
        <w:rPr>
          <w:spacing w:val="50"/>
        </w:rPr>
        <w:t> </w:t>
      </w:r>
      <w:r>
        <w:rPr/>
        <w:t>Performance</w:t>
      </w:r>
      <w:r>
        <w:rPr>
          <w:spacing w:val="50"/>
        </w:rPr>
        <w:t> </w:t>
      </w:r>
      <w:r>
        <w:rPr/>
        <w:t>measurement</w:t>
      </w:r>
      <w:r>
        <w:rPr>
          <w:spacing w:val="51"/>
        </w:rPr>
        <w:t> </w:t>
      </w:r>
      <w:r>
        <w:rPr/>
        <w:t>in</w:t>
      </w:r>
      <w:r>
        <w:rPr>
          <w:spacing w:val="52"/>
        </w:rPr>
        <w:t> </w:t>
      </w:r>
      <w:r>
        <w:rPr/>
        <w:t>budgeting:</w:t>
      </w:r>
      <w:r>
        <w:rPr>
          <w:spacing w:val="52"/>
        </w:rPr>
        <w:t> </w:t>
      </w:r>
      <w:r>
        <w:rPr/>
        <w:t>A</w:t>
      </w:r>
      <w:r>
        <w:rPr>
          <w:spacing w:val="51"/>
        </w:rPr>
        <w:t> </w:t>
      </w:r>
      <w:r>
        <w:rPr/>
        <w:t>study</w:t>
      </w:r>
      <w:r>
        <w:rPr>
          <w:spacing w:val="44"/>
        </w:rPr>
        <w:t> </w:t>
      </w:r>
      <w:r>
        <w:rPr/>
        <w:t>in</w:t>
      </w:r>
      <w:r>
        <w:rPr>
          <w:spacing w:val="54"/>
        </w:rPr>
        <w:t> </w:t>
      </w:r>
      <w:r>
        <w:rPr/>
        <w:t>county</w:t>
      </w:r>
      <w:r>
        <w:rPr>
          <w:spacing w:val="46"/>
        </w:rPr>
        <w:t> </w:t>
      </w:r>
      <w:r>
        <w:rPr>
          <w:spacing w:val="-2"/>
        </w:rPr>
        <w:t>government.‖</w:t>
      </w:r>
    </w:p>
    <w:p>
      <w:pPr>
        <w:spacing w:before="0"/>
        <w:ind w:left="571" w:right="0" w:firstLine="0"/>
        <w:jc w:val="left"/>
        <w:rPr>
          <w:sz w:val="24"/>
        </w:rPr>
      </w:pPr>
      <w:r>
        <w:rPr>
          <w:i/>
          <w:sz w:val="24"/>
        </w:rPr>
        <w:t>Public</w:t>
      </w:r>
      <w:r>
        <w:rPr>
          <w:i/>
          <w:spacing w:val="-4"/>
          <w:sz w:val="24"/>
        </w:rPr>
        <w:t> </w:t>
      </w:r>
      <w:r>
        <w:rPr>
          <w:i/>
          <w:sz w:val="24"/>
        </w:rPr>
        <w:t>budgeting and</w:t>
      </w:r>
      <w:r>
        <w:rPr>
          <w:i/>
          <w:spacing w:val="-1"/>
          <w:sz w:val="24"/>
        </w:rPr>
        <w:t> </w:t>
      </w:r>
      <w:r>
        <w:rPr>
          <w:i/>
          <w:sz w:val="24"/>
        </w:rPr>
        <w:t>finance</w:t>
      </w:r>
      <w:r>
        <w:rPr>
          <w:sz w:val="24"/>
        </w:rPr>
        <w:t>, 20(3),</w:t>
      </w:r>
      <w:r>
        <w:rPr>
          <w:spacing w:val="-1"/>
          <w:sz w:val="24"/>
        </w:rPr>
        <w:t> </w:t>
      </w:r>
      <w:r>
        <w:rPr>
          <w:sz w:val="24"/>
        </w:rPr>
        <w:t>102-</w:t>
      </w:r>
      <w:r>
        <w:rPr>
          <w:spacing w:val="-4"/>
          <w:sz w:val="24"/>
        </w:rPr>
        <w:t>118.</w:t>
      </w:r>
    </w:p>
    <w:p>
      <w:pPr>
        <w:pStyle w:val="BodyText"/>
      </w:pPr>
    </w:p>
    <w:p>
      <w:pPr>
        <w:spacing w:before="0"/>
        <w:ind w:left="571" w:right="1121" w:hanging="452"/>
        <w:jc w:val="both"/>
        <w:rPr>
          <w:sz w:val="24"/>
        </w:rPr>
      </w:pPr>
      <w:r>
        <w:rPr>
          <w:sz w:val="24"/>
        </w:rPr>
        <w:t>Webb, K., &amp; Hatry, H.P. (1997). </w:t>
      </w:r>
      <w:r>
        <w:rPr>
          <w:i/>
          <w:sz w:val="24"/>
        </w:rPr>
        <w:t>Obtaining citizen feedback: The application of citizen surveys</w:t>
      </w:r>
      <w:r>
        <w:rPr>
          <w:i/>
          <w:spacing w:val="40"/>
          <w:sz w:val="24"/>
        </w:rPr>
        <w:t> </w:t>
      </w:r>
      <w:r>
        <w:rPr>
          <w:i/>
          <w:sz w:val="24"/>
        </w:rPr>
        <w:t>to local government</w:t>
      </w:r>
      <w:r>
        <w:rPr>
          <w:sz w:val="24"/>
        </w:rPr>
        <w:t>. Washington, DC: The Urban Institute.</w:t>
      </w:r>
    </w:p>
    <w:p>
      <w:pPr>
        <w:pStyle w:val="BodyText"/>
      </w:pPr>
    </w:p>
    <w:p>
      <w:pPr>
        <w:spacing w:before="0"/>
        <w:ind w:left="571" w:right="1113" w:hanging="452"/>
        <w:jc w:val="both"/>
        <w:rPr>
          <w:sz w:val="24"/>
        </w:rPr>
      </w:pPr>
      <w:r>
        <w:rPr>
          <w:sz w:val="24"/>
        </w:rPr>
        <w:t>Wildavsky, A.(1961). Political implications of budgetary reform. </w:t>
      </w:r>
      <w:r>
        <w:rPr>
          <w:i/>
          <w:sz w:val="24"/>
        </w:rPr>
        <w:t>Public Administration Review</w:t>
      </w:r>
      <w:r>
        <w:rPr>
          <w:sz w:val="24"/>
        </w:rPr>
        <w:t>, 21, 83–190.</w:t>
      </w:r>
    </w:p>
    <w:p>
      <w:pPr>
        <w:pStyle w:val="BodyText"/>
        <w:spacing w:before="1"/>
      </w:pPr>
    </w:p>
    <w:p>
      <w:pPr>
        <w:spacing w:before="0"/>
        <w:ind w:left="120" w:right="0" w:firstLine="0"/>
        <w:jc w:val="left"/>
        <w:rPr>
          <w:sz w:val="24"/>
        </w:rPr>
      </w:pPr>
      <w:r>
        <w:rPr>
          <w:sz w:val="24"/>
        </w:rPr>
        <w:t>Wildavsky, A.</w:t>
      </w:r>
      <w:r>
        <w:rPr>
          <w:spacing w:val="-2"/>
          <w:sz w:val="24"/>
        </w:rPr>
        <w:t> </w:t>
      </w:r>
      <w:r>
        <w:rPr>
          <w:sz w:val="24"/>
        </w:rPr>
        <w:t>(1964).</w:t>
      </w:r>
      <w:r>
        <w:rPr>
          <w:spacing w:val="-1"/>
          <w:sz w:val="24"/>
        </w:rPr>
        <w:t> </w:t>
      </w:r>
      <w:r>
        <w:rPr>
          <w:i/>
          <w:sz w:val="24"/>
        </w:rPr>
        <w:t>The</w:t>
      </w:r>
      <w:r>
        <w:rPr>
          <w:i/>
          <w:spacing w:val="-3"/>
          <w:sz w:val="24"/>
        </w:rPr>
        <w:t> </w:t>
      </w:r>
      <w:r>
        <w:rPr>
          <w:i/>
          <w:sz w:val="24"/>
        </w:rPr>
        <w:t>politics</w:t>
      </w:r>
      <w:r>
        <w:rPr>
          <w:i/>
          <w:spacing w:val="-1"/>
          <w:sz w:val="24"/>
        </w:rPr>
        <w:t> </w:t>
      </w:r>
      <w:r>
        <w:rPr>
          <w:i/>
          <w:sz w:val="24"/>
        </w:rPr>
        <w:t>of</w:t>
      </w:r>
      <w:r>
        <w:rPr>
          <w:i/>
          <w:spacing w:val="-2"/>
          <w:sz w:val="24"/>
        </w:rPr>
        <w:t> </w:t>
      </w:r>
      <w:r>
        <w:rPr>
          <w:i/>
          <w:sz w:val="24"/>
        </w:rPr>
        <w:t>the</w:t>
      </w:r>
      <w:r>
        <w:rPr>
          <w:i/>
          <w:spacing w:val="-1"/>
          <w:sz w:val="24"/>
        </w:rPr>
        <w:t> </w:t>
      </w:r>
      <w:r>
        <w:rPr>
          <w:i/>
          <w:sz w:val="24"/>
        </w:rPr>
        <w:t>budgetary</w:t>
      </w:r>
      <w:r>
        <w:rPr>
          <w:i/>
          <w:spacing w:val="-2"/>
          <w:sz w:val="24"/>
        </w:rPr>
        <w:t> </w:t>
      </w:r>
      <w:r>
        <w:rPr>
          <w:i/>
          <w:sz w:val="24"/>
        </w:rPr>
        <w:t>process</w:t>
      </w:r>
      <w:r>
        <w:rPr>
          <w:sz w:val="24"/>
        </w:rPr>
        <w:t>.</w:t>
      </w:r>
      <w:r>
        <w:rPr>
          <w:spacing w:val="1"/>
          <w:sz w:val="24"/>
        </w:rPr>
        <w:t> </w:t>
      </w:r>
      <w:r>
        <w:rPr>
          <w:sz w:val="24"/>
        </w:rPr>
        <w:t>Boston: Little </w:t>
      </w:r>
      <w:r>
        <w:rPr>
          <w:spacing w:val="-2"/>
          <w:sz w:val="24"/>
        </w:rPr>
        <w:t>Brown.</w:t>
      </w:r>
    </w:p>
    <w:p>
      <w:pPr>
        <w:pStyle w:val="BodyText"/>
      </w:pPr>
    </w:p>
    <w:p>
      <w:pPr>
        <w:pStyle w:val="BodyText"/>
        <w:ind w:left="571" w:right="1117" w:hanging="452"/>
        <w:jc w:val="both"/>
      </w:pPr>
      <w:r>
        <w:rPr/>
        <w:t>Willcocks, S. G. (1992). Managerial effectiveness and the public sector. New York: McGraw- </w:t>
      </w:r>
      <w:r>
        <w:rPr>
          <w:spacing w:val="-4"/>
        </w:rPr>
        <w:t>Hill</w:t>
      </w:r>
    </w:p>
    <w:p>
      <w:pPr>
        <w:pStyle w:val="BodyText"/>
      </w:pPr>
    </w:p>
    <w:p>
      <w:pPr>
        <w:pStyle w:val="BodyText"/>
        <w:ind w:left="571" w:right="1116" w:hanging="452"/>
        <w:jc w:val="both"/>
      </w:pPr>
      <w:r>
        <w:rPr/>
        <w:t>Willoughby, K. G. (2002). A multiple rationality model of budgeting: Budget office orientations and analysts‘ roles. In A, Khan &amp; W.B. Hildreth (Eds.), </w:t>
      </w:r>
      <w:r>
        <w:rPr>
          <w:i/>
        </w:rPr>
        <w:t>Budget theory in the public sector </w:t>
      </w:r>
      <w:r>
        <w:rPr/>
        <w:t>(pp. 29-43). Westport, Connecticut: Quorum.</w:t>
      </w:r>
    </w:p>
    <w:p>
      <w:pPr>
        <w:pStyle w:val="BodyText"/>
      </w:pPr>
    </w:p>
    <w:p>
      <w:pPr>
        <w:pStyle w:val="BodyText"/>
      </w:pPr>
    </w:p>
    <w:p>
      <w:pPr>
        <w:pStyle w:val="BodyText"/>
        <w:spacing w:before="1"/>
        <w:ind w:left="571" w:right="1223" w:hanging="452"/>
      </w:pPr>
      <w:r>
        <w:rPr/>
        <w:t>Wilson,</w:t>
      </w:r>
      <w:r>
        <w:rPr>
          <w:spacing w:val="-3"/>
        </w:rPr>
        <w:t> </w:t>
      </w:r>
      <w:r>
        <w:rPr/>
        <w:t>L.A.</w:t>
      </w:r>
      <w:r>
        <w:rPr>
          <w:spacing w:val="-2"/>
        </w:rPr>
        <w:t> </w:t>
      </w:r>
      <w:r>
        <w:rPr/>
        <w:t>(1983).</w:t>
      </w:r>
      <w:r>
        <w:rPr>
          <w:spacing w:val="-3"/>
        </w:rPr>
        <w:t> </w:t>
      </w:r>
      <w:r>
        <w:rPr/>
        <w:t>Preference</w:t>
      </w:r>
      <w:r>
        <w:rPr>
          <w:spacing w:val="-4"/>
        </w:rPr>
        <w:t> </w:t>
      </w:r>
      <w:r>
        <w:rPr/>
        <w:t>revelation</w:t>
      </w:r>
      <w:r>
        <w:rPr>
          <w:spacing w:val="-3"/>
        </w:rPr>
        <w:t> </w:t>
      </w:r>
      <w:r>
        <w:rPr/>
        <w:t>and</w:t>
      </w:r>
      <w:r>
        <w:rPr>
          <w:spacing w:val="-3"/>
        </w:rPr>
        <w:t> </w:t>
      </w:r>
      <w:r>
        <w:rPr/>
        <w:t>public</w:t>
      </w:r>
      <w:r>
        <w:rPr>
          <w:spacing w:val="-4"/>
        </w:rPr>
        <w:t> </w:t>
      </w:r>
      <w:r>
        <w:rPr/>
        <w:t>policy:</w:t>
      </w:r>
      <w:r>
        <w:rPr>
          <w:spacing w:val="-3"/>
        </w:rPr>
        <w:t> </w:t>
      </w:r>
      <w:r>
        <w:rPr/>
        <w:t>Making</w:t>
      </w:r>
      <w:r>
        <w:rPr>
          <w:spacing w:val="-6"/>
        </w:rPr>
        <w:t> </w:t>
      </w:r>
      <w:r>
        <w:rPr/>
        <w:t>sense</w:t>
      </w:r>
      <w:r>
        <w:rPr>
          <w:spacing w:val="-4"/>
        </w:rPr>
        <w:t> </w:t>
      </w:r>
      <w:r>
        <w:rPr/>
        <w:t>of citizen</w:t>
      </w:r>
      <w:r>
        <w:rPr>
          <w:spacing w:val="-3"/>
        </w:rPr>
        <w:t> </w:t>
      </w:r>
      <w:r>
        <w:rPr/>
        <w:t>survey data. </w:t>
      </w:r>
      <w:r>
        <w:rPr>
          <w:i/>
        </w:rPr>
        <w:t>Public Administration Review</w:t>
      </w:r>
      <w:r>
        <w:rPr/>
        <w:t>, 43(4), 335-342.</w:t>
      </w:r>
    </w:p>
    <w:p>
      <w:pPr>
        <w:spacing w:before="276"/>
        <w:ind w:left="571" w:right="1117" w:hanging="452"/>
        <w:jc w:val="left"/>
        <w:rPr>
          <w:sz w:val="24"/>
        </w:rPr>
      </w:pPr>
      <w:r>
        <w:rPr>
          <w:sz w:val="24"/>
        </w:rPr>
        <w:t>World</w:t>
      </w:r>
      <w:r>
        <w:rPr>
          <w:spacing w:val="39"/>
          <w:sz w:val="24"/>
        </w:rPr>
        <w:t> </w:t>
      </w:r>
      <w:r>
        <w:rPr>
          <w:sz w:val="24"/>
        </w:rPr>
        <w:t>Bank.</w:t>
      </w:r>
      <w:r>
        <w:rPr>
          <w:spacing w:val="38"/>
          <w:sz w:val="24"/>
        </w:rPr>
        <w:t> </w:t>
      </w:r>
      <w:r>
        <w:rPr>
          <w:sz w:val="24"/>
        </w:rPr>
        <w:t>(2010).</w:t>
      </w:r>
      <w:r>
        <w:rPr>
          <w:spacing w:val="39"/>
          <w:sz w:val="24"/>
        </w:rPr>
        <w:t> </w:t>
      </w:r>
      <w:r>
        <w:rPr>
          <w:i/>
          <w:sz w:val="24"/>
        </w:rPr>
        <w:t>Results,</w:t>
      </w:r>
      <w:r>
        <w:rPr>
          <w:i/>
          <w:spacing w:val="39"/>
          <w:sz w:val="24"/>
        </w:rPr>
        <w:t> </w:t>
      </w:r>
      <w:r>
        <w:rPr>
          <w:i/>
          <w:sz w:val="24"/>
        </w:rPr>
        <w:t>performance</w:t>
      </w:r>
      <w:r>
        <w:rPr>
          <w:i/>
          <w:spacing w:val="38"/>
          <w:sz w:val="24"/>
        </w:rPr>
        <w:t> </w:t>
      </w:r>
      <w:r>
        <w:rPr>
          <w:i/>
          <w:sz w:val="24"/>
        </w:rPr>
        <w:t>budgeting,</w:t>
      </w:r>
      <w:r>
        <w:rPr>
          <w:i/>
          <w:spacing w:val="38"/>
          <w:sz w:val="24"/>
        </w:rPr>
        <w:t> </w:t>
      </w:r>
      <w:r>
        <w:rPr>
          <w:i/>
          <w:sz w:val="24"/>
        </w:rPr>
        <w:t>and</w:t>
      </w:r>
      <w:r>
        <w:rPr>
          <w:i/>
          <w:spacing w:val="38"/>
          <w:sz w:val="24"/>
        </w:rPr>
        <w:t> </w:t>
      </w:r>
      <w:r>
        <w:rPr>
          <w:i/>
          <w:sz w:val="24"/>
        </w:rPr>
        <w:t>trust</w:t>
      </w:r>
      <w:r>
        <w:rPr>
          <w:i/>
          <w:spacing w:val="39"/>
          <w:sz w:val="24"/>
        </w:rPr>
        <w:t> </w:t>
      </w:r>
      <w:r>
        <w:rPr>
          <w:i/>
          <w:sz w:val="24"/>
        </w:rPr>
        <w:t>in</w:t>
      </w:r>
      <w:r>
        <w:rPr>
          <w:i/>
          <w:spacing w:val="39"/>
          <w:sz w:val="24"/>
        </w:rPr>
        <w:t> </w:t>
      </w:r>
      <w:r>
        <w:rPr>
          <w:i/>
          <w:sz w:val="24"/>
        </w:rPr>
        <w:t>Government.</w:t>
      </w:r>
      <w:r>
        <w:rPr>
          <w:i/>
          <w:spacing w:val="40"/>
          <w:sz w:val="24"/>
        </w:rPr>
        <w:t> </w:t>
      </w:r>
      <w:r>
        <w:rPr>
          <w:sz w:val="24"/>
        </w:rPr>
        <w:t>Washington, DC: World Bank.</w:t>
      </w:r>
    </w:p>
    <w:p>
      <w:pPr>
        <w:spacing w:line="596" w:lineRule="exact" w:before="25"/>
        <w:ind w:left="120" w:right="1117" w:firstLine="0"/>
        <w:jc w:val="left"/>
        <w:rPr>
          <w:sz w:val="24"/>
        </w:rPr>
      </w:pPr>
      <w:r>
        <w:rPr>
          <w:sz w:val="24"/>
        </w:rPr>
        <w:t>Yamane, T. (1967). Statistics: </w:t>
      </w:r>
      <w:r>
        <w:rPr>
          <w:i/>
          <w:sz w:val="24"/>
        </w:rPr>
        <w:t>An introductory analysis </w:t>
      </w:r>
      <w:r>
        <w:rPr>
          <w:sz w:val="24"/>
        </w:rPr>
        <w:t>(2nd ed.). New York: Harper and Row. Yin,</w:t>
      </w:r>
      <w:r>
        <w:rPr>
          <w:spacing w:val="37"/>
          <w:sz w:val="24"/>
        </w:rPr>
        <w:t> </w:t>
      </w:r>
      <w:r>
        <w:rPr>
          <w:sz w:val="24"/>
        </w:rPr>
        <w:t>R.K.</w:t>
      </w:r>
      <w:r>
        <w:rPr>
          <w:spacing w:val="37"/>
          <w:sz w:val="24"/>
        </w:rPr>
        <w:t> </w:t>
      </w:r>
      <w:r>
        <w:rPr>
          <w:sz w:val="24"/>
        </w:rPr>
        <w:t>(2003).</w:t>
      </w:r>
      <w:r>
        <w:rPr>
          <w:spacing w:val="37"/>
          <w:sz w:val="24"/>
        </w:rPr>
        <w:t> </w:t>
      </w:r>
      <w:r>
        <w:rPr>
          <w:i/>
          <w:sz w:val="24"/>
        </w:rPr>
        <w:t>Case</w:t>
      </w:r>
      <w:r>
        <w:rPr>
          <w:i/>
          <w:spacing w:val="39"/>
          <w:sz w:val="24"/>
        </w:rPr>
        <w:t> </w:t>
      </w:r>
      <w:r>
        <w:rPr>
          <w:i/>
          <w:sz w:val="24"/>
        </w:rPr>
        <w:t>study</w:t>
      </w:r>
      <w:r>
        <w:rPr>
          <w:i/>
          <w:spacing w:val="37"/>
          <w:sz w:val="24"/>
        </w:rPr>
        <w:t> </w:t>
      </w:r>
      <w:r>
        <w:rPr>
          <w:i/>
          <w:sz w:val="24"/>
        </w:rPr>
        <w:t>research,</w:t>
      </w:r>
      <w:r>
        <w:rPr>
          <w:i/>
          <w:spacing w:val="36"/>
          <w:sz w:val="24"/>
        </w:rPr>
        <w:t> </w:t>
      </w:r>
      <w:r>
        <w:rPr>
          <w:i/>
          <w:sz w:val="24"/>
        </w:rPr>
        <w:t>design</w:t>
      </w:r>
      <w:r>
        <w:rPr>
          <w:i/>
          <w:spacing w:val="40"/>
          <w:sz w:val="24"/>
        </w:rPr>
        <w:t> </w:t>
      </w:r>
      <w:r>
        <w:rPr>
          <w:i/>
          <w:sz w:val="24"/>
        </w:rPr>
        <w:t>and</w:t>
      </w:r>
      <w:r>
        <w:rPr>
          <w:i/>
          <w:spacing w:val="37"/>
          <w:sz w:val="24"/>
        </w:rPr>
        <w:t> </w:t>
      </w:r>
      <w:r>
        <w:rPr>
          <w:i/>
          <w:sz w:val="24"/>
        </w:rPr>
        <w:t>methods</w:t>
      </w:r>
      <w:r>
        <w:rPr>
          <w:i/>
          <w:spacing w:val="40"/>
          <w:sz w:val="24"/>
        </w:rPr>
        <w:t> </w:t>
      </w:r>
      <w:r>
        <w:rPr>
          <w:sz w:val="24"/>
        </w:rPr>
        <w:t>(3rd</w:t>
      </w:r>
      <w:r>
        <w:rPr>
          <w:spacing w:val="39"/>
          <w:sz w:val="24"/>
        </w:rPr>
        <w:t> </w:t>
      </w:r>
      <w:r>
        <w:rPr>
          <w:sz w:val="24"/>
        </w:rPr>
        <w:t>ed.).</w:t>
      </w:r>
      <w:r>
        <w:rPr>
          <w:spacing w:val="39"/>
          <w:sz w:val="24"/>
        </w:rPr>
        <w:t> </w:t>
      </w:r>
      <w:r>
        <w:rPr>
          <w:sz w:val="24"/>
        </w:rPr>
        <w:t>Thousand</w:t>
      </w:r>
      <w:r>
        <w:rPr>
          <w:spacing w:val="37"/>
          <w:sz w:val="24"/>
        </w:rPr>
        <w:t> </w:t>
      </w:r>
      <w:r>
        <w:rPr>
          <w:sz w:val="24"/>
        </w:rPr>
        <w:t>Oaks:</w:t>
      </w:r>
      <w:r>
        <w:rPr>
          <w:spacing w:val="38"/>
          <w:sz w:val="24"/>
        </w:rPr>
        <w:t> </w:t>
      </w:r>
      <w:r>
        <w:rPr>
          <w:sz w:val="24"/>
        </w:rPr>
        <w:t>Sage</w:t>
      </w:r>
    </w:p>
    <w:p>
      <w:pPr>
        <w:pStyle w:val="BodyText"/>
        <w:spacing w:line="208" w:lineRule="exact"/>
        <w:ind w:left="571"/>
      </w:pPr>
      <w:r>
        <w:rPr>
          <w:spacing w:val="-2"/>
        </w:rPr>
        <w:t>Publications.</w:t>
      </w:r>
    </w:p>
    <w:p>
      <w:pPr>
        <w:pStyle w:val="BodyText"/>
        <w:tabs>
          <w:tab w:pos="1897" w:val="left" w:leader="none"/>
          <w:tab w:pos="3329" w:val="left" w:leader="none"/>
          <w:tab w:pos="4388" w:val="left" w:leader="none"/>
          <w:tab w:pos="5714" w:val="left" w:leader="none"/>
          <w:tab w:pos="7367" w:val="left" w:leader="none"/>
          <w:tab w:pos="9010" w:val="left" w:leader="none"/>
        </w:tabs>
        <w:spacing w:before="219"/>
        <w:ind w:left="571" w:right="1119" w:hanging="452"/>
        <w:jc w:val="both"/>
      </w:pPr>
      <w:r>
        <w:rPr/>
        <w:t>Young, R. D. (2003). </w:t>
      </w:r>
      <w:r>
        <w:rPr>
          <w:i/>
        </w:rPr>
        <w:t>Performance-based budget systems. </w:t>
      </w:r>
      <w:r>
        <w:rPr/>
        <w:t>South Carolina: USC Institute for </w:t>
      </w:r>
      <w:r>
        <w:rPr>
          <w:spacing w:val="-2"/>
        </w:rPr>
        <w:t>Public</w:t>
      </w:r>
      <w:r>
        <w:rPr/>
        <w:tab/>
      </w:r>
      <w:r>
        <w:rPr>
          <w:spacing w:val="-2"/>
        </w:rPr>
        <w:t>Service</w:t>
      </w:r>
      <w:r>
        <w:rPr/>
        <w:tab/>
      </w:r>
      <w:r>
        <w:rPr>
          <w:spacing w:val="-4"/>
        </w:rPr>
        <w:t>and</w:t>
      </w:r>
      <w:r>
        <w:rPr/>
        <w:tab/>
      </w:r>
      <w:r>
        <w:rPr>
          <w:spacing w:val="-2"/>
        </w:rPr>
        <w:t>Policy</w:t>
      </w:r>
      <w:r>
        <w:rPr/>
        <w:tab/>
      </w:r>
      <w:r>
        <w:rPr>
          <w:spacing w:val="-2"/>
        </w:rPr>
        <w:t>Research.</w:t>
      </w:r>
      <w:r>
        <w:rPr/>
        <w:tab/>
      </w:r>
      <w:r>
        <w:rPr>
          <w:spacing w:val="-2"/>
        </w:rPr>
        <w:t>Retrieved</w:t>
      </w:r>
      <w:r>
        <w:rPr/>
        <w:tab/>
      </w:r>
      <w:r>
        <w:rPr>
          <w:spacing w:val="-4"/>
        </w:rPr>
        <w:t>from </w:t>
      </w:r>
      <w:hyperlink r:id="rId256">
        <w:r>
          <w:rPr>
            <w:spacing w:val="-2"/>
          </w:rPr>
          <w:t>http://ipspr.sc.edu/ejournal/assets/performance%20based%20budgets.pdf</w:t>
        </w:r>
      </w:hyperlink>
    </w:p>
    <w:p>
      <w:pPr>
        <w:spacing w:after="0"/>
        <w:jc w:val="both"/>
        <w:sectPr>
          <w:pgSz w:w="12240" w:h="15840"/>
          <w:pgMar w:header="0" w:footer="1036" w:top="1360" w:bottom="1220" w:left="1320" w:right="320"/>
        </w:sectPr>
      </w:pPr>
    </w:p>
    <w:p>
      <w:pPr>
        <w:pStyle w:val="Heading1"/>
      </w:pPr>
      <w:r>
        <w:rPr/>
        <w:t>APPENDIX</w:t>
      </w:r>
      <w:r>
        <w:rPr>
          <w:spacing w:val="-11"/>
        </w:rPr>
        <w:t> </w:t>
      </w:r>
      <w:r>
        <w:rPr>
          <w:spacing w:val="-10"/>
        </w:rPr>
        <w:t>1</w:t>
      </w:r>
    </w:p>
    <w:p>
      <w:pPr>
        <w:pStyle w:val="Heading2"/>
        <w:spacing w:before="277"/>
        <w:ind w:left="3" w:right="1002"/>
      </w:pPr>
      <w:r>
        <w:rPr/>
        <w:t>QUESTIONNAIRE</w:t>
      </w:r>
      <w:r>
        <w:rPr>
          <w:spacing w:val="-6"/>
        </w:rPr>
        <w:t> </w:t>
      </w:r>
      <w:r>
        <w:rPr/>
        <w:t>FOR</w:t>
      </w:r>
      <w:r>
        <w:rPr>
          <w:spacing w:val="-6"/>
        </w:rPr>
        <w:t> </w:t>
      </w:r>
      <w:r>
        <w:rPr/>
        <w:t>PUBLIC</w:t>
      </w:r>
      <w:r>
        <w:rPr>
          <w:spacing w:val="-6"/>
        </w:rPr>
        <w:t> </w:t>
      </w:r>
      <w:r>
        <w:rPr/>
        <w:t>SECTOR</w:t>
      </w:r>
      <w:r>
        <w:rPr>
          <w:spacing w:val="-6"/>
        </w:rPr>
        <w:t> </w:t>
      </w:r>
      <w:r>
        <w:rPr/>
        <w:t>STAFF</w:t>
      </w:r>
      <w:r>
        <w:rPr>
          <w:spacing w:val="-1"/>
        </w:rPr>
        <w:t> </w:t>
      </w:r>
      <w:r>
        <w:rPr/>
        <w:t>-</w:t>
      </w:r>
      <w:r>
        <w:rPr>
          <w:spacing w:val="-6"/>
        </w:rPr>
        <w:t> </w:t>
      </w:r>
      <w:r>
        <w:rPr/>
        <w:t>HOUSING</w:t>
      </w:r>
      <w:r>
        <w:rPr>
          <w:spacing w:val="-5"/>
        </w:rPr>
        <w:t> </w:t>
      </w:r>
      <w:r>
        <w:rPr/>
        <w:t>AND</w:t>
      </w:r>
      <w:r>
        <w:rPr>
          <w:spacing w:val="-6"/>
        </w:rPr>
        <w:t> </w:t>
      </w:r>
      <w:r>
        <w:rPr/>
        <w:t>BUDGET MINISTRIES, DEPARTMENTS AND AGENCIES</w:t>
      </w:r>
    </w:p>
    <w:p>
      <w:pPr>
        <w:pStyle w:val="BodyText"/>
        <w:spacing w:before="144"/>
        <w:rPr>
          <w:b/>
          <w:sz w:val="26"/>
        </w:rPr>
      </w:pPr>
    </w:p>
    <w:p>
      <w:pPr>
        <w:pStyle w:val="BodyText"/>
        <w:spacing w:line="360" w:lineRule="auto" w:before="1"/>
        <w:ind w:left="120" w:right="1111"/>
        <w:jc w:val="both"/>
      </w:pPr>
      <w:r>
        <w:rPr/>
        <w:t>The questionnaire is an important aspect of an ongoing PhD Dissertation ―Development of a Model for Effective Housing Budget Performance in Anambra State‖ which aims at critically appraising</w:t>
      </w:r>
      <w:r>
        <w:rPr>
          <w:spacing w:val="40"/>
        </w:rPr>
        <w:t> </w:t>
      </w:r>
      <w:r>
        <w:rPr/>
        <w:t>Anambra</w:t>
      </w:r>
      <w:r>
        <w:rPr>
          <w:spacing w:val="-2"/>
        </w:rPr>
        <w:t> </w:t>
      </w:r>
      <w:r>
        <w:rPr/>
        <w:t>State</w:t>
      </w:r>
      <w:r>
        <w:rPr>
          <w:spacing w:val="-1"/>
        </w:rPr>
        <w:t> </w:t>
      </w:r>
      <w:r>
        <w:rPr/>
        <w:t>housing budgeting</w:t>
      </w:r>
      <w:r>
        <w:rPr>
          <w:spacing w:val="-3"/>
        </w:rPr>
        <w:t> </w:t>
      </w:r>
      <w:r>
        <w:rPr/>
        <w:t>procedures and problems, and their</w:t>
      </w:r>
      <w:r>
        <w:rPr>
          <w:spacing w:val="-1"/>
        </w:rPr>
        <w:t> </w:t>
      </w:r>
      <w:r>
        <w:rPr/>
        <w:t>implications to housing delivery</w:t>
      </w:r>
      <w:r>
        <w:rPr>
          <w:color w:val="00AF50"/>
        </w:rPr>
        <w:t>. </w:t>
      </w:r>
      <w:r>
        <w:rPr/>
        <w:t>This is with a view to developing a model which the Public</w:t>
      </w:r>
      <w:r>
        <w:rPr>
          <w:spacing w:val="80"/>
        </w:rPr>
        <w:t> </w:t>
      </w:r>
      <w:r>
        <w:rPr/>
        <w:t>Sector/Government can adopt for its housing budget process to ensure efficient and effective housing delivery for its citizenry.</w:t>
      </w:r>
    </w:p>
    <w:p>
      <w:pPr>
        <w:pStyle w:val="BodyText"/>
      </w:pPr>
    </w:p>
    <w:p>
      <w:pPr>
        <w:pStyle w:val="BodyText"/>
        <w:spacing w:line="360" w:lineRule="auto"/>
        <w:ind w:left="120" w:right="1115"/>
        <w:jc w:val="both"/>
      </w:pPr>
      <w:r>
        <w:rPr/>
        <w:t>Please, your ministry/agency/department/unit is among those selected for the study and your co- operation in answering the questions in this questionnaire, based on your experience is crucial to the success of the study. Therefore, your candid and prompt response will highly</w:t>
      </w:r>
      <w:r>
        <w:rPr>
          <w:spacing w:val="-2"/>
        </w:rPr>
        <w:t> </w:t>
      </w:r>
      <w:r>
        <w:rPr/>
        <w:t>be appreciated.</w:t>
      </w:r>
    </w:p>
    <w:p>
      <w:pPr>
        <w:pStyle w:val="BodyText"/>
        <w:spacing w:line="360" w:lineRule="auto" w:before="275"/>
        <w:ind w:left="120" w:right="1124"/>
        <w:jc w:val="both"/>
      </w:pPr>
      <w:r>
        <w:rPr/>
        <w:t>This study is strictly an academic exercise, hence, every opinion, information or data you</w:t>
      </w:r>
      <w:r>
        <w:rPr>
          <w:spacing w:val="40"/>
        </w:rPr>
        <w:t> </w:t>
      </w:r>
      <w:r>
        <w:rPr/>
        <w:t>indicate will be treated confidentially. To preserve your anonymity, providing your name is </w:t>
      </w:r>
      <w:r>
        <w:rPr>
          <w:spacing w:val="-2"/>
        </w:rPr>
        <w:t>optional.</w:t>
      </w:r>
    </w:p>
    <w:p>
      <w:pPr>
        <w:pStyle w:val="BodyText"/>
        <w:spacing w:before="2"/>
      </w:pPr>
    </w:p>
    <w:p>
      <w:pPr>
        <w:pStyle w:val="BodyText"/>
        <w:spacing w:line="360" w:lineRule="auto"/>
        <w:ind w:left="120" w:right="1119"/>
        <w:jc w:val="both"/>
      </w:pPr>
      <w:r>
        <w:rPr/>
        <w:t>Thank you very much for the anticipated cooperation and quick response. If you have any need for further inquiries, please contact me via the address below</w:t>
      </w:r>
    </w:p>
    <w:p>
      <w:pPr>
        <w:pStyle w:val="BodyText"/>
      </w:pPr>
    </w:p>
    <w:p>
      <w:pPr>
        <w:pStyle w:val="BodyText"/>
      </w:pPr>
    </w:p>
    <w:p>
      <w:pPr>
        <w:pStyle w:val="BodyText"/>
      </w:pPr>
    </w:p>
    <w:p>
      <w:pPr>
        <w:pStyle w:val="BodyText"/>
        <w:ind w:left="120"/>
      </w:pPr>
      <w:r>
        <w:rPr/>
        <w:t>Yours</w:t>
      </w:r>
      <w:r>
        <w:rPr>
          <w:spacing w:val="-2"/>
        </w:rPr>
        <w:t> faithfully,</w:t>
      </w:r>
    </w:p>
    <w:p>
      <w:pPr>
        <w:pStyle w:val="BodyText"/>
      </w:pPr>
    </w:p>
    <w:p>
      <w:pPr>
        <w:pStyle w:val="BodyText"/>
        <w:spacing w:before="39"/>
      </w:pPr>
    </w:p>
    <w:p>
      <w:pPr>
        <w:pStyle w:val="Heading3"/>
        <w:ind w:left="120" w:firstLine="0"/>
        <w:jc w:val="left"/>
      </w:pPr>
      <w:r>
        <w:rPr/>
        <w:t>Mr.</w:t>
      </w:r>
      <w:r>
        <w:rPr>
          <w:spacing w:val="-7"/>
        </w:rPr>
        <w:t> </w:t>
      </w:r>
      <w:r>
        <w:rPr/>
        <w:t>Ugochukwu,</w:t>
      </w:r>
      <w:r>
        <w:rPr>
          <w:spacing w:val="-7"/>
        </w:rPr>
        <w:t> </w:t>
      </w:r>
      <w:r>
        <w:rPr>
          <w:spacing w:val="-4"/>
        </w:rPr>
        <w:t>S.C.</w:t>
      </w:r>
    </w:p>
    <w:p>
      <w:pPr>
        <w:spacing w:before="38"/>
        <w:ind w:left="120" w:right="0" w:firstLine="0"/>
        <w:jc w:val="left"/>
        <w:rPr>
          <w:sz w:val="26"/>
        </w:rPr>
      </w:pPr>
      <w:r>
        <w:rPr>
          <w:sz w:val="26"/>
        </w:rPr>
        <w:t>Dept.</w:t>
      </w:r>
      <w:r>
        <w:rPr>
          <w:spacing w:val="-8"/>
          <w:sz w:val="26"/>
        </w:rPr>
        <w:t> </w:t>
      </w:r>
      <w:r>
        <w:rPr>
          <w:sz w:val="26"/>
        </w:rPr>
        <w:t>of</w:t>
      </w:r>
      <w:r>
        <w:rPr>
          <w:spacing w:val="-6"/>
          <w:sz w:val="26"/>
        </w:rPr>
        <w:t> </w:t>
      </w:r>
      <w:r>
        <w:rPr>
          <w:sz w:val="26"/>
        </w:rPr>
        <w:t>Quantity</w:t>
      </w:r>
      <w:r>
        <w:rPr>
          <w:spacing w:val="-9"/>
          <w:sz w:val="26"/>
        </w:rPr>
        <w:t> </w:t>
      </w:r>
      <w:r>
        <w:rPr>
          <w:sz w:val="26"/>
        </w:rPr>
        <w:t>Surveying,</w:t>
      </w:r>
      <w:r>
        <w:rPr>
          <w:spacing w:val="-8"/>
          <w:sz w:val="26"/>
        </w:rPr>
        <w:t> </w:t>
      </w:r>
      <w:r>
        <w:rPr>
          <w:sz w:val="26"/>
        </w:rPr>
        <w:t>UNIZIK,</w:t>
      </w:r>
      <w:r>
        <w:rPr>
          <w:spacing w:val="-7"/>
          <w:sz w:val="26"/>
        </w:rPr>
        <w:t> </w:t>
      </w:r>
      <w:r>
        <w:rPr>
          <w:spacing w:val="-4"/>
          <w:sz w:val="26"/>
        </w:rPr>
        <w:t>Awka</w:t>
      </w:r>
    </w:p>
    <w:p>
      <w:pPr>
        <w:spacing w:before="46"/>
        <w:ind w:left="120" w:right="0" w:firstLine="0"/>
        <w:jc w:val="left"/>
        <w:rPr>
          <w:sz w:val="26"/>
        </w:rPr>
      </w:pPr>
      <w:r>
        <w:rPr>
          <w:sz w:val="26"/>
        </w:rPr>
        <w:t>(</w:t>
      </w:r>
      <w:r>
        <w:rPr>
          <w:b/>
          <w:sz w:val="26"/>
        </w:rPr>
        <w:t>Tel.</w:t>
      </w:r>
      <w:r>
        <w:rPr>
          <w:b/>
          <w:spacing w:val="-9"/>
          <w:sz w:val="26"/>
        </w:rPr>
        <w:t> </w:t>
      </w:r>
      <w:r>
        <w:rPr>
          <w:sz w:val="26"/>
        </w:rPr>
        <w:t>08064079030;</w:t>
      </w:r>
      <w:r>
        <w:rPr>
          <w:spacing w:val="-7"/>
          <w:sz w:val="26"/>
        </w:rPr>
        <w:t> </w:t>
      </w:r>
      <w:r>
        <w:rPr>
          <w:b/>
          <w:sz w:val="26"/>
        </w:rPr>
        <w:t>Email:</w:t>
      </w:r>
      <w:r>
        <w:rPr>
          <w:b/>
          <w:spacing w:val="-7"/>
          <w:sz w:val="26"/>
        </w:rPr>
        <w:t> </w:t>
      </w:r>
      <w:r>
        <w:rPr>
          <w:spacing w:val="-2"/>
          <w:sz w:val="26"/>
        </w:rPr>
        <w:t>sc.ugochukwu@unizik.edu.ng).</w:t>
      </w:r>
    </w:p>
    <w:p>
      <w:pPr>
        <w:spacing w:after="0"/>
        <w:jc w:val="left"/>
        <w:rPr>
          <w:sz w:val="26"/>
        </w:rPr>
        <w:sectPr>
          <w:pgSz w:w="12240" w:h="15840"/>
          <w:pgMar w:header="0" w:footer="1036" w:top="1360" w:bottom="1220" w:left="1320" w:right="320"/>
        </w:sectPr>
      </w:pPr>
    </w:p>
    <w:p>
      <w:pPr>
        <w:pStyle w:val="Heading4"/>
        <w:spacing w:before="79"/>
        <w:ind w:left="120"/>
        <w:jc w:val="left"/>
      </w:pPr>
      <w:r>
        <w:rPr/>
        <w:t>Section</w:t>
      </w:r>
      <w:r>
        <w:rPr>
          <w:spacing w:val="-2"/>
        </w:rPr>
        <w:t> </w:t>
      </w:r>
      <w:r>
        <w:rPr/>
        <w:t>A:</w:t>
      </w:r>
      <w:r>
        <w:rPr>
          <w:spacing w:val="-2"/>
        </w:rPr>
        <w:t> </w:t>
      </w:r>
      <w:r>
        <w:rPr/>
        <w:t>General</w:t>
      </w:r>
      <w:r>
        <w:rPr>
          <w:spacing w:val="-1"/>
        </w:rPr>
        <w:t> </w:t>
      </w:r>
      <w:r>
        <w:rPr>
          <w:spacing w:val="-2"/>
        </w:rPr>
        <w:t>information</w:t>
      </w:r>
    </w:p>
    <w:p>
      <w:pPr>
        <w:pStyle w:val="BodyText"/>
        <w:spacing w:before="168"/>
        <w:rPr>
          <w:b/>
        </w:rPr>
      </w:pPr>
    </w:p>
    <w:p>
      <w:pPr>
        <w:spacing w:before="0"/>
        <w:ind w:left="120" w:right="0" w:firstLine="0"/>
        <w:jc w:val="left"/>
        <w:rPr>
          <w:i/>
          <w:sz w:val="22"/>
        </w:rPr>
      </w:pPr>
      <w:r>
        <w:rPr>
          <w:i/>
          <w:sz w:val="22"/>
        </w:rPr>
        <w:t>Please</w:t>
      </w:r>
      <w:r>
        <w:rPr>
          <w:i/>
          <w:spacing w:val="-6"/>
          <w:sz w:val="22"/>
        </w:rPr>
        <w:t> </w:t>
      </w:r>
      <w:r>
        <w:rPr>
          <w:i/>
          <w:sz w:val="22"/>
        </w:rPr>
        <w:t>fill</w:t>
      </w:r>
      <w:r>
        <w:rPr>
          <w:i/>
          <w:spacing w:val="-2"/>
          <w:sz w:val="22"/>
        </w:rPr>
        <w:t> </w:t>
      </w:r>
      <w:r>
        <w:rPr>
          <w:i/>
          <w:sz w:val="22"/>
        </w:rPr>
        <w:t>or</w:t>
      </w:r>
      <w:r>
        <w:rPr>
          <w:i/>
          <w:spacing w:val="-5"/>
          <w:sz w:val="22"/>
        </w:rPr>
        <w:t> </w:t>
      </w:r>
      <w:r>
        <w:rPr>
          <w:i/>
          <w:sz w:val="22"/>
        </w:rPr>
        <w:t>tick</w:t>
      </w:r>
      <w:r>
        <w:rPr>
          <w:i/>
          <w:spacing w:val="-3"/>
          <w:sz w:val="22"/>
        </w:rPr>
        <w:t> </w:t>
      </w:r>
      <w:r>
        <w:rPr>
          <w:i/>
          <w:sz w:val="22"/>
        </w:rPr>
        <w:t>(√)</w:t>
      </w:r>
      <w:r>
        <w:rPr>
          <w:i/>
          <w:spacing w:val="-5"/>
          <w:sz w:val="22"/>
        </w:rPr>
        <w:t> </w:t>
      </w:r>
      <w:r>
        <w:rPr>
          <w:i/>
          <w:sz w:val="22"/>
        </w:rPr>
        <w:t>to</w:t>
      </w:r>
      <w:r>
        <w:rPr>
          <w:i/>
          <w:spacing w:val="-3"/>
          <w:sz w:val="22"/>
        </w:rPr>
        <w:t> </w:t>
      </w:r>
      <w:r>
        <w:rPr>
          <w:i/>
          <w:sz w:val="22"/>
        </w:rPr>
        <w:t>indicate</w:t>
      </w:r>
      <w:r>
        <w:rPr>
          <w:i/>
          <w:spacing w:val="-5"/>
          <w:sz w:val="22"/>
        </w:rPr>
        <w:t> </w:t>
      </w:r>
      <w:r>
        <w:rPr>
          <w:i/>
          <w:sz w:val="22"/>
        </w:rPr>
        <w:t>your</w:t>
      </w:r>
      <w:r>
        <w:rPr>
          <w:i/>
          <w:spacing w:val="-5"/>
          <w:sz w:val="22"/>
        </w:rPr>
        <w:t> </w:t>
      </w:r>
      <w:r>
        <w:rPr>
          <w:i/>
          <w:sz w:val="22"/>
        </w:rPr>
        <w:t>response,</w:t>
      </w:r>
      <w:r>
        <w:rPr>
          <w:i/>
          <w:spacing w:val="-3"/>
          <w:sz w:val="22"/>
        </w:rPr>
        <w:t> </w:t>
      </w:r>
      <w:r>
        <w:rPr>
          <w:i/>
          <w:sz w:val="22"/>
        </w:rPr>
        <w:t>as</w:t>
      </w:r>
      <w:r>
        <w:rPr>
          <w:i/>
          <w:spacing w:val="-5"/>
          <w:sz w:val="22"/>
        </w:rPr>
        <w:t> </w:t>
      </w:r>
      <w:r>
        <w:rPr>
          <w:i/>
          <w:sz w:val="22"/>
        </w:rPr>
        <w:t>it</w:t>
      </w:r>
      <w:r>
        <w:rPr>
          <w:i/>
          <w:spacing w:val="-5"/>
          <w:sz w:val="22"/>
        </w:rPr>
        <w:t> </w:t>
      </w:r>
      <w:r>
        <w:rPr>
          <w:i/>
          <w:sz w:val="22"/>
        </w:rPr>
        <w:t>applies</w:t>
      </w:r>
      <w:r>
        <w:rPr>
          <w:i/>
          <w:spacing w:val="-3"/>
          <w:sz w:val="22"/>
        </w:rPr>
        <w:t> </w:t>
      </w:r>
      <w:r>
        <w:rPr>
          <w:i/>
          <w:sz w:val="22"/>
        </w:rPr>
        <w:t>to</w:t>
      </w:r>
      <w:r>
        <w:rPr>
          <w:i/>
          <w:spacing w:val="-3"/>
          <w:sz w:val="22"/>
        </w:rPr>
        <w:t> </w:t>
      </w:r>
      <w:r>
        <w:rPr>
          <w:i/>
          <w:spacing w:val="-4"/>
          <w:sz w:val="22"/>
        </w:rPr>
        <w:t>you.</w:t>
      </w:r>
    </w:p>
    <w:p>
      <w:pPr>
        <w:pStyle w:val="BodyText"/>
        <w:spacing w:before="58"/>
        <w:rPr>
          <w:i/>
          <w:sz w:val="22"/>
        </w:rPr>
      </w:pPr>
    </w:p>
    <w:p>
      <w:pPr>
        <w:pStyle w:val="ListParagraph"/>
        <w:numPr>
          <w:ilvl w:val="0"/>
          <w:numId w:val="112"/>
        </w:numPr>
        <w:tabs>
          <w:tab w:pos="340" w:val="left" w:leader="none"/>
        </w:tabs>
        <w:spacing w:line="240" w:lineRule="auto" w:before="0" w:after="0"/>
        <w:ind w:left="340" w:right="0" w:hanging="220"/>
        <w:jc w:val="left"/>
        <w:rPr>
          <w:sz w:val="22"/>
        </w:rPr>
      </w:pPr>
      <w:r>
        <w:rPr>
          <w:spacing w:val="-2"/>
          <w:sz w:val="22"/>
        </w:rPr>
        <w:t>Name....................................................................................................................................</w:t>
      </w:r>
    </w:p>
    <w:p>
      <w:pPr>
        <w:pStyle w:val="ListParagraph"/>
        <w:numPr>
          <w:ilvl w:val="0"/>
          <w:numId w:val="112"/>
        </w:numPr>
        <w:tabs>
          <w:tab w:pos="340" w:val="left" w:leader="none"/>
        </w:tabs>
        <w:spacing w:line="240" w:lineRule="auto" w:before="251" w:after="0"/>
        <w:ind w:left="340" w:right="0" w:hanging="220"/>
        <w:jc w:val="left"/>
        <w:rPr>
          <w:sz w:val="22"/>
        </w:rPr>
      </w:pPr>
      <w:r>
        <w:rPr>
          <w:sz w:val="22"/>
        </w:rPr>
        <w:t>Position/Grade</w:t>
      </w:r>
      <w:r>
        <w:rPr>
          <w:spacing w:val="17"/>
          <w:sz w:val="22"/>
        </w:rPr>
        <w:t> </w:t>
      </w:r>
      <w:r>
        <w:rPr>
          <w:spacing w:val="-2"/>
          <w:sz w:val="22"/>
        </w:rPr>
        <w:t>Level............................................................................................................</w:t>
      </w:r>
    </w:p>
    <w:p>
      <w:pPr>
        <w:pStyle w:val="BodyText"/>
        <w:rPr>
          <w:sz w:val="22"/>
        </w:rPr>
      </w:pPr>
    </w:p>
    <w:p>
      <w:pPr>
        <w:pStyle w:val="ListParagraph"/>
        <w:numPr>
          <w:ilvl w:val="0"/>
          <w:numId w:val="112"/>
        </w:numPr>
        <w:tabs>
          <w:tab w:pos="340" w:val="left" w:leader="none"/>
        </w:tabs>
        <w:spacing w:line="240" w:lineRule="auto" w:before="0" w:after="0"/>
        <w:ind w:left="340" w:right="0" w:hanging="220"/>
        <w:jc w:val="left"/>
        <w:rPr>
          <w:sz w:val="22"/>
        </w:rPr>
      </w:pPr>
      <w:r>
        <w:rPr>
          <w:spacing w:val="-2"/>
          <w:sz w:val="22"/>
        </w:rPr>
        <w:t>Organization/Employer........................................................................................................</w:t>
      </w:r>
    </w:p>
    <w:p>
      <w:pPr>
        <w:pStyle w:val="BodyText"/>
        <w:spacing w:before="1"/>
        <w:rPr>
          <w:sz w:val="22"/>
        </w:rPr>
      </w:pPr>
    </w:p>
    <w:p>
      <w:pPr>
        <w:pStyle w:val="ListParagraph"/>
        <w:numPr>
          <w:ilvl w:val="0"/>
          <w:numId w:val="112"/>
        </w:numPr>
        <w:tabs>
          <w:tab w:pos="340" w:val="left" w:leader="none"/>
        </w:tabs>
        <w:spacing w:line="240" w:lineRule="auto" w:before="0" w:after="0"/>
        <w:ind w:left="340" w:right="0" w:hanging="220"/>
        <w:jc w:val="left"/>
        <w:rPr>
          <w:sz w:val="22"/>
        </w:rPr>
      </w:pPr>
      <w:r>
        <w:rPr>
          <w:sz w:val="22"/>
        </w:rPr>
        <w:t>Phone</w:t>
      </w:r>
      <w:r>
        <w:rPr>
          <w:spacing w:val="13"/>
          <w:sz w:val="22"/>
        </w:rPr>
        <w:t> </w:t>
      </w:r>
      <w:r>
        <w:rPr>
          <w:sz w:val="22"/>
        </w:rPr>
        <w:t>no</w:t>
      </w:r>
      <w:r>
        <w:rPr>
          <w:spacing w:val="13"/>
          <w:sz w:val="22"/>
        </w:rPr>
        <w:t> </w:t>
      </w:r>
      <w:r>
        <w:rPr>
          <w:sz w:val="22"/>
        </w:rPr>
        <w:t>&amp;</w:t>
      </w:r>
      <w:r>
        <w:rPr>
          <w:spacing w:val="11"/>
          <w:sz w:val="22"/>
        </w:rPr>
        <w:t> </w:t>
      </w:r>
      <w:r>
        <w:rPr>
          <w:spacing w:val="-2"/>
          <w:sz w:val="22"/>
        </w:rPr>
        <w:t>Email......................................................................................................................</w:t>
      </w:r>
    </w:p>
    <w:p>
      <w:pPr>
        <w:pStyle w:val="BodyText"/>
        <w:rPr>
          <w:sz w:val="22"/>
        </w:rPr>
      </w:pPr>
    </w:p>
    <w:p>
      <w:pPr>
        <w:pStyle w:val="ListParagraph"/>
        <w:numPr>
          <w:ilvl w:val="0"/>
          <w:numId w:val="112"/>
        </w:numPr>
        <w:tabs>
          <w:tab w:pos="340" w:val="left" w:leader="none"/>
          <w:tab w:pos="2205" w:val="left" w:leader="none"/>
          <w:tab w:pos="3696" w:val="left" w:leader="none"/>
        </w:tabs>
        <w:spacing w:line="240" w:lineRule="auto" w:before="0" w:after="0"/>
        <w:ind w:left="340" w:right="0" w:hanging="220"/>
        <w:jc w:val="left"/>
        <w:rPr>
          <w:sz w:val="22"/>
        </w:rPr>
      </w:pPr>
      <w:r>
        <w:rPr>
          <w:sz w:val="22"/>
        </w:rPr>
        <w:t>Gender:</w:t>
      </w:r>
      <w:r>
        <w:rPr>
          <w:spacing w:val="-4"/>
          <w:sz w:val="22"/>
        </w:rPr>
        <w:t> </w:t>
      </w:r>
      <w:r>
        <w:rPr>
          <w:sz w:val="22"/>
        </w:rPr>
        <w:t>(a)</w:t>
      </w:r>
      <w:r>
        <w:rPr>
          <w:spacing w:val="-4"/>
          <w:sz w:val="22"/>
        </w:rPr>
        <w:t> </w:t>
      </w:r>
      <w:r>
        <w:rPr>
          <w:sz w:val="22"/>
        </w:rPr>
        <w:t>Male</w:t>
      </w:r>
      <w:r>
        <w:rPr>
          <w:spacing w:val="-3"/>
          <w:sz w:val="22"/>
        </w:rPr>
        <w:t> </w:t>
      </w:r>
      <w:r>
        <w:rPr>
          <w:spacing w:val="-10"/>
          <w:sz w:val="22"/>
        </w:rPr>
        <w:t>[</w:t>
      </w:r>
      <w:r>
        <w:rPr>
          <w:sz w:val="22"/>
        </w:rPr>
        <w:tab/>
        <w:t>]</w:t>
      </w:r>
      <w:r>
        <w:rPr>
          <w:spacing w:val="50"/>
          <w:sz w:val="22"/>
        </w:rPr>
        <w:t> </w:t>
      </w:r>
      <w:r>
        <w:rPr>
          <w:sz w:val="22"/>
        </w:rPr>
        <w:t>(b)</w:t>
      </w:r>
      <w:r>
        <w:rPr>
          <w:spacing w:val="-2"/>
          <w:sz w:val="22"/>
        </w:rPr>
        <w:t> </w:t>
      </w:r>
      <w:r>
        <w:rPr>
          <w:sz w:val="22"/>
        </w:rPr>
        <w:t>Female</w:t>
      </w:r>
      <w:r>
        <w:rPr>
          <w:spacing w:val="1"/>
          <w:sz w:val="22"/>
        </w:rPr>
        <w:t> </w:t>
      </w:r>
      <w:r>
        <w:rPr>
          <w:spacing w:val="-10"/>
          <w:sz w:val="22"/>
        </w:rPr>
        <w:t>[</w:t>
      </w:r>
      <w:r>
        <w:rPr>
          <w:sz w:val="22"/>
        </w:rPr>
        <w:tab/>
      </w:r>
      <w:r>
        <w:rPr>
          <w:spacing w:val="-10"/>
          <w:sz w:val="22"/>
        </w:rPr>
        <w:t>]</w:t>
      </w:r>
    </w:p>
    <w:p>
      <w:pPr>
        <w:pStyle w:val="ListParagraph"/>
        <w:numPr>
          <w:ilvl w:val="0"/>
          <w:numId w:val="112"/>
        </w:numPr>
        <w:tabs>
          <w:tab w:pos="340" w:val="left" w:leader="none"/>
        </w:tabs>
        <w:spacing w:line="252" w:lineRule="exact" w:before="201" w:after="0"/>
        <w:ind w:left="340" w:right="0" w:hanging="220"/>
        <w:jc w:val="left"/>
        <w:rPr>
          <w:sz w:val="22"/>
        </w:rPr>
      </w:pPr>
      <w:r>
        <w:rPr>
          <w:sz w:val="22"/>
        </w:rPr>
        <w:t>Experience</w:t>
      </w:r>
      <w:r>
        <w:rPr>
          <w:spacing w:val="-5"/>
          <w:sz w:val="22"/>
        </w:rPr>
        <w:t> </w:t>
      </w:r>
      <w:r>
        <w:rPr>
          <w:sz w:val="22"/>
        </w:rPr>
        <w:t>/Number</w:t>
      </w:r>
      <w:r>
        <w:rPr>
          <w:spacing w:val="-2"/>
          <w:sz w:val="22"/>
        </w:rPr>
        <w:t> </w:t>
      </w:r>
      <w:r>
        <w:rPr>
          <w:sz w:val="22"/>
        </w:rPr>
        <w:t>of</w:t>
      </w:r>
      <w:r>
        <w:rPr>
          <w:spacing w:val="-3"/>
          <w:sz w:val="22"/>
        </w:rPr>
        <w:t> </w:t>
      </w:r>
      <w:r>
        <w:rPr>
          <w:sz w:val="22"/>
        </w:rPr>
        <w:t>years</w:t>
      </w:r>
      <w:r>
        <w:rPr>
          <w:spacing w:val="-5"/>
          <w:sz w:val="22"/>
        </w:rPr>
        <w:t> </w:t>
      </w:r>
      <w:r>
        <w:rPr>
          <w:sz w:val="22"/>
        </w:rPr>
        <w:t>employed</w:t>
      </w:r>
      <w:r>
        <w:rPr>
          <w:spacing w:val="-3"/>
          <w:sz w:val="22"/>
        </w:rPr>
        <w:t> </w:t>
      </w:r>
      <w:r>
        <w:rPr>
          <w:sz w:val="22"/>
        </w:rPr>
        <w:t>by</w:t>
      </w:r>
      <w:r>
        <w:rPr>
          <w:spacing w:val="-5"/>
          <w:sz w:val="22"/>
        </w:rPr>
        <w:t> </w:t>
      </w:r>
      <w:r>
        <w:rPr>
          <w:sz w:val="22"/>
        </w:rPr>
        <w:t>the</w:t>
      </w:r>
      <w:r>
        <w:rPr>
          <w:spacing w:val="-2"/>
          <w:sz w:val="22"/>
        </w:rPr>
        <w:t> institution</w:t>
      </w:r>
    </w:p>
    <w:p>
      <w:pPr>
        <w:tabs>
          <w:tab w:pos="1507" w:val="left" w:leader="none"/>
          <w:tab w:pos="3273" w:val="left" w:leader="none"/>
          <w:tab w:pos="5230" w:val="left" w:leader="none"/>
          <w:tab w:pos="7143" w:val="left" w:leader="none"/>
        </w:tabs>
        <w:spacing w:line="252" w:lineRule="exact" w:before="0"/>
        <w:ind w:left="120" w:right="0" w:firstLine="0"/>
        <w:jc w:val="left"/>
        <w:rPr>
          <w:sz w:val="22"/>
        </w:rPr>
      </w:pPr>
      <w:r>
        <w:rPr>
          <w:sz w:val="22"/>
        </w:rPr>
        <w:t>a)</w:t>
      </w:r>
      <w:r>
        <w:rPr>
          <w:spacing w:val="-2"/>
          <w:sz w:val="22"/>
        </w:rPr>
        <w:t> </w:t>
      </w:r>
      <w:r>
        <w:rPr>
          <w:sz w:val="22"/>
        </w:rPr>
        <w:t>1-5</w:t>
      </w:r>
      <w:r>
        <w:rPr>
          <w:spacing w:val="-2"/>
          <w:sz w:val="22"/>
        </w:rPr>
        <w:t> </w:t>
      </w:r>
      <w:r>
        <w:rPr>
          <w:sz w:val="22"/>
        </w:rPr>
        <w:t>years</w:t>
      </w:r>
      <w:r>
        <w:rPr>
          <w:spacing w:val="-2"/>
          <w:sz w:val="22"/>
        </w:rPr>
        <w:t> </w:t>
      </w:r>
      <w:r>
        <w:rPr>
          <w:spacing w:val="-12"/>
          <w:sz w:val="22"/>
        </w:rPr>
        <w:t>[</w:t>
      </w:r>
      <w:r>
        <w:rPr>
          <w:sz w:val="22"/>
        </w:rPr>
        <w:tab/>
        <w:t>]</w:t>
      </w:r>
      <w:r>
        <w:rPr>
          <w:spacing w:val="-3"/>
          <w:sz w:val="22"/>
        </w:rPr>
        <w:t> </w:t>
      </w:r>
      <w:r>
        <w:rPr>
          <w:sz w:val="22"/>
        </w:rPr>
        <w:t>(b) 5-</w:t>
      </w:r>
      <w:r>
        <w:rPr>
          <w:spacing w:val="-5"/>
          <w:sz w:val="22"/>
        </w:rPr>
        <w:t> </w:t>
      </w:r>
      <w:r>
        <w:rPr>
          <w:sz w:val="22"/>
        </w:rPr>
        <w:t>10 years</w:t>
      </w:r>
      <w:r>
        <w:rPr>
          <w:spacing w:val="-2"/>
          <w:sz w:val="22"/>
        </w:rPr>
        <w:t> </w:t>
      </w:r>
      <w:r>
        <w:rPr>
          <w:spacing w:val="-10"/>
          <w:sz w:val="22"/>
        </w:rPr>
        <w:t>[</w:t>
      </w:r>
      <w:r>
        <w:rPr>
          <w:sz w:val="22"/>
        </w:rPr>
        <w:tab/>
        <w:t>]</w:t>
      </w:r>
      <w:r>
        <w:rPr>
          <w:spacing w:val="-2"/>
          <w:sz w:val="22"/>
        </w:rPr>
        <w:t> </w:t>
      </w:r>
      <w:r>
        <w:rPr>
          <w:sz w:val="22"/>
        </w:rPr>
        <w:t>(c)</w:t>
      </w:r>
      <w:r>
        <w:rPr>
          <w:spacing w:val="-1"/>
          <w:sz w:val="22"/>
        </w:rPr>
        <w:t> </w:t>
      </w:r>
      <w:r>
        <w:rPr>
          <w:sz w:val="22"/>
        </w:rPr>
        <w:t>10 –</w:t>
      </w:r>
      <w:r>
        <w:rPr>
          <w:spacing w:val="-1"/>
          <w:sz w:val="22"/>
        </w:rPr>
        <w:t> </w:t>
      </w:r>
      <w:r>
        <w:rPr>
          <w:sz w:val="22"/>
        </w:rPr>
        <w:t>15</w:t>
      </w:r>
      <w:r>
        <w:rPr>
          <w:spacing w:val="-2"/>
          <w:sz w:val="22"/>
        </w:rPr>
        <w:t> </w:t>
      </w:r>
      <w:r>
        <w:rPr>
          <w:sz w:val="22"/>
        </w:rPr>
        <w:t>years</w:t>
      </w:r>
      <w:r>
        <w:rPr>
          <w:spacing w:val="-1"/>
          <w:sz w:val="22"/>
        </w:rPr>
        <w:t> </w:t>
      </w:r>
      <w:r>
        <w:rPr>
          <w:spacing w:val="-10"/>
          <w:sz w:val="22"/>
        </w:rPr>
        <w:t>[</w:t>
      </w:r>
      <w:r>
        <w:rPr>
          <w:sz w:val="22"/>
        </w:rPr>
        <w:tab/>
        <w:t>](d)</w:t>
      </w:r>
      <w:r>
        <w:rPr>
          <w:spacing w:val="-2"/>
          <w:sz w:val="22"/>
        </w:rPr>
        <w:t> </w:t>
      </w:r>
      <w:r>
        <w:rPr>
          <w:sz w:val="22"/>
        </w:rPr>
        <w:t>15</w:t>
      </w:r>
      <w:r>
        <w:rPr>
          <w:spacing w:val="-3"/>
          <w:sz w:val="22"/>
        </w:rPr>
        <w:t> </w:t>
      </w:r>
      <w:r>
        <w:rPr>
          <w:sz w:val="22"/>
        </w:rPr>
        <w:t>–</w:t>
      </w:r>
      <w:r>
        <w:rPr>
          <w:spacing w:val="-1"/>
          <w:sz w:val="22"/>
        </w:rPr>
        <w:t> </w:t>
      </w:r>
      <w:r>
        <w:rPr>
          <w:sz w:val="22"/>
        </w:rPr>
        <w:t>20</w:t>
      </w:r>
      <w:r>
        <w:rPr>
          <w:spacing w:val="-2"/>
          <w:sz w:val="22"/>
        </w:rPr>
        <w:t> </w:t>
      </w:r>
      <w:r>
        <w:rPr>
          <w:sz w:val="22"/>
        </w:rPr>
        <w:t>years</w:t>
      </w:r>
      <w:r>
        <w:rPr>
          <w:spacing w:val="-1"/>
          <w:sz w:val="22"/>
        </w:rPr>
        <w:t> </w:t>
      </w:r>
      <w:r>
        <w:rPr>
          <w:spacing w:val="-10"/>
          <w:sz w:val="22"/>
        </w:rPr>
        <w:t>[</w:t>
      </w:r>
      <w:r>
        <w:rPr>
          <w:sz w:val="22"/>
        </w:rPr>
        <w:tab/>
      </w:r>
      <w:r>
        <w:rPr>
          <w:spacing w:val="-10"/>
          <w:sz w:val="22"/>
        </w:rPr>
        <w:t>]</w:t>
      </w:r>
    </w:p>
    <w:p>
      <w:pPr>
        <w:tabs>
          <w:tab w:pos="1874" w:val="left" w:leader="none"/>
          <w:tab w:pos="4315" w:val="left" w:leader="none"/>
        </w:tabs>
        <w:spacing w:line="252" w:lineRule="exact" w:before="0"/>
        <w:ind w:left="120" w:right="0" w:firstLine="0"/>
        <w:jc w:val="left"/>
        <w:rPr>
          <w:sz w:val="22"/>
        </w:rPr>
      </w:pPr>
      <w:r>
        <w:rPr>
          <w:sz w:val="22"/>
        </w:rPr>
        <w:t>e)</w:t>
      </w:r>
      <w:r>
        <w:rPr>
          <w:spacing w:val="-1"/>
          <w:sz w:val="22"/>
        </w:rPr>
        <w:t> </w:t>
      </w:r>
      <w:r>
        <w:rPr>
          <w:sz w:val="22"/>
        </w:rPr>
        <w:t>20</w:t>
      </w:r>
      <w:r>
        <w:rPr>
          <w:spacing w:val="-1"/>
          <w:sz w:val="22"/>
        </w:rPr>
        <w:t> </w:t>
      </w:r>
      <w:r>
        <w:rPr>
          <w:sz w:val="22"/>
        </w:rPr>
        <w:t>–</w:t>
      </w:r>
      <w:r>
        <w:rPr>
          <w:spacing w:val="-3"/>
          <w:sz w:val="22"/>
        </w:rPr>
        <w:t> </w:t>
      </w:r>
      <w:r>
        <w:rPr>
          <w:sz w:val="22"/>
        </w:rPr>
        <w:t>25</w:t>
      </w:r>
      <w:r>
        <w:rPr>
          <w:spacing w:val="-1"/>
          <w:sz w:val="22"/>
        </w:rPr>
        <w:t> </w:t>
      </w:r>
      <w:r>
        <w:rPr>
          <w:sz w:val="22"/>
        </w:rPr>
        <w:t>years</w:t>
      </w:r>
      <w:r>
        <w:rPr>
          <w:spacing w:val="-1"/>
          <w:sz w:val="22"/>
        </w:rPr>
        <w:t> </w:t>
      </w:r>
      <w:r>
        <w:rPr>
          <w:spacing w:val="-10"/>
          <w:sz w:val="22"/>
        </w:rPr>
        <w:t>[</w:t>
      </w:r>
      <w:r>
        <w:rPr>
          <w:sz w:val="22"/>
        </w:rPr>
        <w:tab/>
        <w:t>]</w:t>
      </w:r>
      <w:r>
        <w:rPr>
          <w:spacing w:val="-4"/>
          <w:sz w:val="22"/>
        </w:rPr>
        <w:t> </w:t>
      </w:r>
      <w:r>
        <w:rPr>
          <w:sz w:val="22"/>
        </w:rPr>
        <w:t>(f)</w:t>
      </w:r>
      <w:r>
        <w:rPr>
          <w:spacing w:val="-3"/>
          <w:sz w:val="22"/>
        </w:rPr>
        <w:t> </w:t>
      </w:r>
      <w:r>
        <w:rPr>
          <w:sz w:val="22"/>
        </w:rPr>
        <w:t>25</w:t>
      </w:r>
      <w:r>
        <w:rPr>
          <w:spacing w:val="-4"/>
          <w:sz w:val="22"/>
        </w:rPr>
        <w:t> </w:t>
      </w:r>
      <w:r>
        <w:rPr>
          <w:sz w:val="22"/>
        </w:rPr>
        <w:t>years</w:t>
      </w:r>
      <w:r>
        <w:rPr>
          <w:spacing w:val="-1"/>
          <w:sz w:val="22"/>
        </w:rPr>
        <w:t> </w:t>
      </w:r>
      <w:r>
        <w:rPr>
          <w:sz w:val="22"/>
        </w:rPr>
        <w:t>and</w:t>
      </w:r>
      <w:r>
        <w:rPr>
          <w:spacing w:val="-4"/>
          <w:sz w:val="22"/>
        </w:rPr>
        <w:t> </w:t>
      </w:r>
      <w:r>
        <w:rPr>
          <w:sz w:val="22"/>
        </w:rPr>
        <w:t>above</w:t>
      </w:r>
      <w:r>
        <w:rPr>
          <w:spacing w:val="-1"/>
          <w:sz w:val="22"/>
        </w:rPr>
        <w:t> </w:t>
      </w:r>
      <w:r>
        <w:rPr>
          <w:spacing w:val="-10"/>
          <w:sz w:val="22"/>
        </w:rPr>
        <w:t>[</w:t>
      </w:r>
      <w:r>
        <w:rPr>
          <w:sz w:val="22"/>
        </w:rPr>
        <w:tab/>
      </w:r>
      <w:r>
        <w:rPr>
          <w:spacing w:val="-10"/>
          <w:sz w:val="22"/>
        </w:rPr>
        <w:t>]</w:t>
      </w:r>
    </w:p>
    <w:p>
      <w:pPr>
        <w:pStyle w:val="ListParagraph"/>
        <w:numPr>
          <w:ilvl w:val="0"/>
          <w:numId w:val="112"/>
        </w:numPr>
        <w:tabs>
          <w:tab w:pos="340" w:val="left" w:leader="none"/>
        </w:tabs>
        <w:spacing w:line="240" w:lineRule="auto" w:before="242" w:after="0"/>
        <w:ind w:left="340" w:right="0" w:hanging="220"/>
        <w:jc w:val="left"/>
        <w:rPr>
          <w:sz w:val="22"/>
        </w:rPr>
      </w:pPr>
      <w:r>
        <w:rPr>
          <w:sz w:val="22"/>
        </w:rPr>
        <w:t>What</w:t>
      </w:r>
      <w:r>
        <w:rPr>
          <w:spacing w:val="-2"/>
          <w:sz w:val="22"/>
        </w:rPr>
        <w:t> </w:t>
      </w:r>
      <w:r>
        <w:rPr>
          <w:sz w:val="22"/>
        </w:rPr>
        <w:t>is</w:t>
      </w:r>
      <w:r>
        <w:rPr>
          <w:spacing w:val="-2"/>
          <w:sz w:val="22"/>
        </w:rPr>
        <w:t> </w:t>
      </w:r>
      <w:r>
        <w:rPr>
          <w:sz w:val="22"/>
        </w:rPr>
        <w:t>your</w:t>
      </w:r>
      <w:r>
        <w:rPr>
          <w:spacing w:val="-1"/>
          <w:sz w:val="22"/>
        </w:rPr>
        <w:t> </w:t>
      </w:r>
      <w:r>
        <w:rPr>
          <w:spacing w:val="-2"/>
          <w:sz w:val="22"/>
        </w:rPr>
        <w:t>field/discipline?</w:t>
      </w:r>
    </w:p>
    <w:p>
      <w:pPr>
        <w:tabs>
          <w:tab w:pos="2498" w:val="left" w:leader="none"/>
          <w:tab w:pos="4056" w:val="left" w:leader="none"/>
          <w:tab w:pos="5933" w:val="left" w:leader="none"/>
          <w:tab w:pos="8464" w:val="left" w:leader="none"/>
        </w:tabs>
        <w:spacing w:line="252" w:lineRule="exact" w:before="1"/>
        <w:ind w:left="120" w:right="0" w:firstLine="0"/>
        <w:jc w:val="left"/>
        <w:rPr>
          <w:sz w:val="22"/>
        </w:rPr>
      </w:pPr>
      <w:r>
        <w:rPr>
          <w:sz w:val="22"/>
        </w:rPr>
        <w:t>(a)</w:t>
      </w:r>
      <w:r>
        <w:rPr>
          <w:spacing w:val="-3"/>
          <w:sz w:val="22"/>
        </w:rPr>
        <w:t> </w:t>
      </w:r>
      <w:r>
        <w:rPr>
          <w:sz w:val="22"/>
        </w:rPr>
        <w:t>Quantity</w:t>
      </w:r>
      <w:r>
        <w:rPr>
          <w:spacing w:val="-7"/>
          <w:sz w:val="22"/>
        </w:rPr>
        <w:t> </w:t>
      </w:r>
      <w:r>
        <w:rPr>
          <w:sz w:val="22"/>
        </w:rPr>
        <w:t>Surveying</w:t>
      </w:r>
      <w:r>
        <w:rPr>
          <w:spacing w:val="-5"/>
          <w:sz w:val="22"/>
        </w:rPr>
        <w:t> </w:t>
      </w:r>
      <w:r>
        <w:rPr>
          <w:spacing w:val="-10"/>
          <w:sz w:val="22"/>
        </w:rPr>
        <w:t>[</w:t>
      </w:r>
      <w:r>
        <w:rPr>
          <w:sz w:val="22"/>
        </w:rPr>
        <w:tab/>
        <w:t>]</w:t>
      </w:r>
      <w:r>
        <w:rPr>
          <w:spacing w:val="-6"/>
          <w:sz w:val="22"/>
        </w:rPr>
        <w:t> </w:t>
      </w:r>
      <w:r>
        <w:rPr>
          <w:sz w:val="22"/>
        </w:rPr>
        <w:t>(b)</w:t>
      </w:r>
      <w:r>
        <w:rPr>
          <w:spacing w:val="-2"/>
          <w:sz w:val="22"/>
        </w:rPr>
        <w:t> </w:t>
      </w:r>
      <w:r>
        <w:rPr>
          <w:sz w:val="22"/>
        </w:rPr>
        <w:t>Building</w:t>
      </w:r>
      <w:r>
        <w:rPr>
          <w:spacing w:val="-3"/>
          <w:sz w:val="22"/>
        </w:rPr>
        <w:t> </w:t>
      </w:r>
      <w:r>
        <w:rPr>
          <w:spacing w:val="-10"/>
          <w:sz w:val="22"/>
        </w:rPr>
        <w:t>[</w:t>
      </w:r>
      <w:r>
        <w:rPr>
          <w:sz w:val="22"/>
        </w:rPr>
        <w:tab/>
        <w:t>]</w:t>
      </w:r>
      <w:r>
        <w:rPr>
          <w:spacing w:val="-4"/>
          <w:sz w:val="22"/>
        </w:rPr>
        <w:t> </w:t>
      </w:r>
      <w:r>
        <w:rPr>
          <w:sz w:val="22"/>
        </w:rPr>
        <w:t>(c)</w:t>
      </w:r>
      <w:r>
        <w:rPr>
          <w:spacing w:val="-3"/>
          <w:sz w:val="22"/>
        </w:rPr>
        <w:t> </w:t>
      </w:r>
      <w:r>
        <w:rPr>
          <w:sz w:val="22"/>
        </w:rPr>
        <w:t>Architecture</w:t>
      </w:r>
      <w:r>
        <w:rPr>
          <w:spacing w:val="-2"/>
          <w:sz w:val="22"/>
        </w:rPr>
        <w:t> </w:t>
      </w:r>
      <w:r>
        <w:rPr>
          <w:spacing w:val="-10"/>
          <w:sz w:val="22"/>
        </w:rPr>
        <w:t>[</w:t>
      </w:r>
      <w:r>
        <w:rPr>
          <w:sz w:val="22"/>
        </w:rPr>
        <w:tab/>
        <w:t>]</w:t>
      </w:r>
      <w:r>
        <w:rPr>
          <w:spacing w:val="-5"/>
          <w:sz w:val="22"/>
        </w:rPr>
        <w:t> </w:t>
      </w:r>
      <w:r>
        <w:rPr>
          <w:sz w:val="22"/>
        </w:rPr>
        <w:t>(d)</w:t>
      </w:r>
      <w:r>
        <w:rPr>
          <w:spacing w:val="-3"/>
          <w:sz w:val="22"/>
        </w:rPr>
        <w:t> </w:t>
      </w:r>
      <w:r>
        <w:rPr>
          <w:sz w:val="22"/>
        </w:rPr>
        <w:t>Estate</w:t>
      </w:r>
      <w:r>
        <w:rPr>
          <w:spacing w:val="-4"/>
          <w:sz w:val="22"/>
        </w:rPr>
        <w:t> </w:t>
      </w:r>
      <w:r>
        <w:rPr>
          <w:sz w:val="22"/>
        </w:rPr>
        <w:t>Management </w:t>
      </w:r>
      <w:r>
        <w:rPr>
          <w:spacing w:val="-10"/>
          <w:sz w:val="22"/>
        </w:rPr>
        <w:t>[</w:t>
      </w:r>
      <w:r>
        <w:rPr>
          <w:sz w:val="22"/>
        </w:rPr>
        <w:tab/>
      </w:r>
      <w:r>
        <w:rPr>
          <w:spacing w:val="-10"/>
          <w:sz w:val="22"/>
        </w:rPr>
        <w:t>]</w:t>
      </w:r>
    </w:p>
    <w:p>
      <w:pPr>
        <w:tabs>
          <w:tab w:pos="2179" w:val="left" w:leader="none"/>
          <w:tab w:pos="4282" w:val="left" w:leader="none"/>
          <w:tab w:pos="6049" w:val="left" w:leader="none"/>
          <w:tab w:pos="8408" w:val="left" w:leader="none"/>
        </w:tabs>
        <w:spacing w:line="252" w:lineRule="exact" w:before="0"/>
        <w:ind w:left="120" w:right="0" w:firstLine="0"/>
        <w:jc w:val="left"/>
        <w:rPr>
          <w:sz w:val="22"/>
        </w:rPr>
      </w:pPr>
      <w:r>
        <w:rPr>
          <w:sz w:val="22"/>
        </w:rPr>
        <w:t>(e)</w:t>
      </w:r>
      <w:r>
        <w:rPr>
          <w:spacing w:val="-3"/>
          <w:sz w:val="22"/>
        </w:rPr>
        <w:t> </w:t>
      </w:r>
      <w:r>
        <w:rPr>
          <w:sz w:val="22"/>
        </w:rPr>
        <w:t>Land</w:t>
      </w:r>
      <w:r>
        <w:rPr>
          <w:spacing w:val="-4"/>
          <w:sz w:val="22"/>
        </w:rPr>
        <w:t> </w:t>
      </w:r>
      <w:r>
        <w:rPr>
          <w:sz w:val="22"/>
        </w:rPr>
        <w:t>Surveying</w:t>
      </w:r>
      <w:r>
        <w:rPr>
          <w:spacing w:val="-5"/>
          <w:sz w:val="22"/>
        </w:rPr>
        <w:t> </w:t>
      </w:r>
      <w:r>
        <w:rPr>
          <w:spacing w:val="-10"/>
          <w:sz w:val="22"/>
        </w:rPr>
        <w:t>[</w:t>
      </w:r>
      <w:r>
        <w:rPr>
          <w:sz w:val="22"/>
        </w:rPr>
        <w:tab/>
        <w:t>]</w:t>
      </w:r>
      <w:r>
        <w:rPr>
          <w:spacing w:val="-3"/>
          <w:sz w:val="22"/>
        </w:rPr>
        <w:t> </w:t>
      </w:r>
      <w:r>
        <w:rPr>
          <w:sz w:val="22"/>
        </w:rPr>
        <w:t>(f)</w:t>
      </w:r>
      <w:r>
        <w:rPr>
          <w:spacing w:val="-3"/>
          <w:sz w:val="22"/>
        </w:rPr>
        <w:t> </w:t>
      </w:r>
      <w:r>
        <w:rPr>
          <w:sz w:val="22"/>
        </w:rPr>
        <w:t>Town</w:t>
      </w:r>
      <w:r>
        <w:rPr>
          <w:spacing w:val="-2"/>
          <w:sz w:val="22"/>
        </w:rPr>
        <w:t> </w:t>
      </w:r>
      <w:r>
        <w:rPr>
          <w:sz w:val="22"/>
        </w:rPr>
        <w:t>Planning</w:t>
      </w:r>
      <w:r>
        <w:rPr>
          <w:spacing w:val="-3"/>
          <w:sz w:val="22"/>
        </w:rPr>
        <w:t> </w:t>
      </w:r>
      <w:r>
        <w:rPr>
          <w:spacing w:val="-10"/>
          <w:sz w:val="22"/>
        </w:rPr>
        <w:t>[</w:t>
      </w:r>
      <w:r>
        <w:rPr>
          <w:sz w:val="22"/>
        </w:rPr>
        <w:tab/>
        <w:t>]</w:t>
      </w:r>
      <w:r>
        <w:rPr>
          <w:spacing w:val="-4"/>
          <w:sz w:val="22"/>
        </w:rPr>
        <w:t> </w:t>
      </w:r>
      <w:r>
        <w:rPr>
          <w:sz w:val="22"/>
        </w:rPr>
        <w:t>(g)</w:t>
      </w:r>
      <w:r>
        <w:rPr>
          <w:spacing w:val="-3"/>
          <w:sz w:val="22"/>
        </w:rPr>
        <w:t> </w:t>
      </w:r>
      <w:r>
        <w:rPr>
          <w:sz w:val="22"/>
        </w:rPr>
        <w:t>Geography</w:t>
      </w:r>
      <w:r>
        <w:rPr>
          <w:spacing w:val="-4"/>
          <w:sz w:val="22"/>
        </w:rPr>
        <w:t> </w:t>
      </w:r>
      <w:r>
        <w:rPr>
          <w:spacing w:val="-10"/>
          <w:sz w:val="22"/>
        </w:rPr>
        <w:t>[</w:t>
      </w:r>
      <w:r>
        <w:rPr>
          <w:sz w:val="22"/>
        </w:rPr>
        <w:tab/>
        <w:t>]</w:t>
      </w:r>
      <w:r>
        <w:rPr>
          <w:spacing w:val="-6"/>
          <w:sz w:val="22"/>
        </w:rPr>
        <w:t> </w:t>
      </w:r>
      <w:r>
        <w:rPr>
          <w:sz w:val="22"/>
        </w:rPr>
        <w:t>(h)</w:t>
      </w:r>
      <w:r>
        <w:rPr>
          <w:spacing w:val="-3"/>
          <w:sz w:val="22"/>
        </w:rPr>
        <w:t> </w:t>
      </w:r>
      <w:r>
        <w:rPr>
          <w:sz w:val="22"/>
        </w:rPr>
        <w:t>Civil</w:t>
      </w:r>
      <w:r>
        <w:rPr>
          <w:spacing w:val="-3"/>
          <w:sz w:val="22"/>
        </w:rPr>
        <w:t> </w:t>
      </w:r>
      <w:r>
        <w:rPr>
          <w:sz w:val="22"/>
        </w:rPr>
        <w:t>Engineering</w:t>
      </w:r>
      <w:r>
        <w:rPr>
          <w:spacing w:val="-3"/>
          <w:sz w:val="22"/>
        </w:rPr>
        <w:t> </w:t>
      </w:r>
      <w:r>
        <w:rPr>
          <w:spacing w:val="-10"/>
          <w:sz w:val="22"/>
        </w:rPr>
        <w:t>[</w:t>
      </w:r>
      <w:r>
        <w:rPr>
          <w:sz w:val="22"/>
        </w:rPr>
        <w:tab/>
      </w:r>
      <w:r>
        <w:rPr>
          <w:spacing w:val="-10"/>
          <w:sz w:val="22"/>
        </w:rPr>
        <w:t>]</w:t>
      </w:r>
    </w:p>
    <w:p>
      <w:pPr>
        <w:tabs>
          <w:tab w:pos="1814" w:val="left" w:leader="none"/>
          <w:tab w:pos="3531" w:val="left" w:leader="none"/>
          <w:tab w:pos="6270" w:val="left" w:leader="none"/>
          <w:tab w:pos="7803" w:val="left" w:leader="none"/>
        </w:tabs>
        <w:spacing w:line="252" w:lineRule="exact" w:before="2"/>
        <w:ind w:left="175" w:right="0" w:firstLine="0"/>
        <w:jc w:val="left"/>
        <w:rPr>
          <w:sz w:val="22"/>
        </w:rPr>
      </w:pPr>
      <w:r>
        <w:rPr>
          <w:sz w:val="22"/>
        </w:rPr>
        <w:t>(i)</w:t>
      </w:r>
      <w:r>
        <w:rPr>
          <w:spacing w:val="-5"/>
          <w:sz w:val="22"/>
        </w:rPr>
        <w:t> </w:t>
      </w:r>
      <w:r>
        <w:rPr>
          <w:sz w:val="22"/>
        </w:rPr>
        <w:t>Accounting</w:t>
      </w:r>
      <w:r>
        <w:rPr>
          <w:spacing w:val="-6"/>
          <w:sz w:val="22"/>
        </w:rPr>
        <w:t> </w:t>
      </w:r>
      <w:r>
        <w:rPr>
          <w:spacing w:val="-10"/>
          <w:sz w:val="22"/>
        </w:rPr>
        <w:t>[</w:t>
      </w:r>
      <w:r>
        <w:rPr>
          <w:sz w:val="22"/>
        </w:rPr>
        <w:tab/>
        <w:t>]</w:t>
      </w:r>
      <w:r>
        <w:rPr>
          <w:spacing w:val="-5"/>
          <w:sz w:val="22"/>
        </w:rPr>
        <w:t> </w:t>
      </w:r>
      <w:r>
        <w:rPr>
          <w:sz w:val="22"/>
        </w:rPr>
        <w:t>(j)</w:t>
      </w:r>
      <w:r>
        <w:rPr>
          <w:spacing w:val="-3"/>
          <w:sz w:val="22"/>
        </w:rPr>
        <w:t> </w:t>
      </w:r>
      <w:r>
        <w:rPr>
          <w:sz w:val="22"/>
        </w:rPr>
        <w:t>Economics</w:t>
      </w:r>
      <w:r>
        <w:rPr>
          <w:spacing w:val="-1"/>
          <w:sz w:val="22"/>
        </w:rPr>
        <w:t> </w:t>
      </w:r>
      <w:r>
        <w:rPr>
          <w:spacing w:val="-10"/>
          <w:sz w:val="22"/>
        </w:rPr>
        <w:t>[</w:t>
      </w:r>
      <w:r>
        <w:rPr>
          <w:sz w:val="22"/>
        </w:rPr>
        <w:tab/>
        <w:t>]</w:t>
      </w:r>
      <w:r>
        <w:rPr>
          <w:spacing w:val="-7"/>
          <w:sz w:val="22"/>
        </w:rPr>
        <w:t> </w:t>
      </w:r>
      <w:r>
        <w:rPr>
          <w:sz w:val="22"/>
        </w:rPr>
        <w:t>(k)</w:t>
      </w:r>
      <w:r>
        <w:rPr>
          <w:spacing w:val="-5"/>
          <w:sz w:val="22"/>
        </w:rPr>
        <w:t> </w:t>
      </w:r>
      <w:r>
        <w:rPr>
          <w:sz w:val="22"/>
        </w:rPr>
        <w:t>Public</w:t>
      </w:r>
      <w:r>
        <w:rPr>
          <w:spacing w:val="-5"/>
          <w:sz w:val="22"/>
        </w:rPr>
        <w:t> </w:t>
      </w:r>
      <w:r>
        <w:rPr>
          <w:sz w:val="22"/>
        </w:rPr>
        <w:t>Administration</w:t>
      </w:r>
      <w:r>
        <w:rPr>
          <w:spacing w:val="-2"/>
          <w:sz w:val="22"/>
        </w:rPr>
        <w:t> </w:t>
      </w:r>
      <w:r>
        <w:rPr>
          <w:spacing w:val="-10"/>
          <w:sz w:val="22"/>
        </w:rPr>
        <w:t>[</w:t>
      </w:r>
      <w:r>
        <w:rPr>
          <w:sz w:val="22"/>
        </w:rPr>
        <w:tab/>
        <w:t>]</w:t>
      </w:r>
      <w:r>
        <w:rPr>
          <w:spacing w:val="-8"/>
          <w:sz w:val="22"/>
        </w:rPr>
        <w:t> </w:t>
      </w:r>
      <w:r>
        <w:rPr>
          <w:sz w:val="22"/>
        </w:rPr>
        <w:t>(l)</w:t>
      </w:r>
      <w:r>
        <w:rPr>
          <w:spacing w:val="-3"/>
          <w:sz w:val="22"/>
        </w:rPr>
        <w:t> </w:t>
      </w:r>
      <w:r>
        <w:rPr>
          <w:sz w:val="22"/>
        </w:rPr>
        <w:t>Statistics</w:t>
      </w:r>
      <w:r>
        <w:rPr>
          <w:spacing w:val="-1"/>
          <w:sz w:val="22"/>
        </w:rPr>
        <w:t> </w:t>
      </w:r>
      <w:r>
        <w:rPr>
          <w:spacing w:val="-10"/>
          <w:sz w:val="22"/>
        </w:rPr>
        <w:t>[</w:t>
      </w:r>
      <w:r>
        <w:rPr>
          <w:sz w:val="22"/>
        </w:rPr>
        <w:tab/>
      </w:r>
      <w:r>
        <w:rPr>
          <w:spacing w:val="-10"/>
          <w:sz w:val="22"/>
        </w:rPr>
        <w:t>]</w:t>
      </w:r>
    </w:p>
    <w:p>
      <w:pPr>
        <w:spacing w:line="252" w:lineRule="exact" w:before="0"/>
        <w:ind w:left="120" w:right="0" w:firstLine="0"/>
        <w:jc w:val="left"/>
        <w:rPr>
          <w:sz w:val="22"/>
        </w:rPr>
      </w:pPr>
      <w:r>
        <w:rPr>
          <w:sz w:val="22"/>
        </w:rPr>
        <w:t>(m)</w:t>
      </w:r>
      <w:r>
        <w:rPr>
          <w:spacing w:val="-4"/>
          <w:sz w:val="22"/>
        </w:rPr>
        <w:t> </w:t>
      </w:r>
      <w:r>
        <w:rPr>
          <w:sz w:val="22"/>
        </w:rPr>
        <w:t>others</w:t>
      </w:r>
      <w:r>
        <w:rPr>
          <w:spacing w:val="-3"/>
          <w:sz w:val="22"/>
        </w:rPr>
        <w:t> </w:t>
      </w:r>
      <w:r>
        <w:rPr>
          <w:sz w:val="22"/>
        </w:rPr>
        <w:t>(specify)</w:t>
      </w:r>
      <w:r>
        <w:rPr>
          <w:spacing w:val="51"/>
          <w:sz w:val="22"/>
        </w:rPr>
        <w:t> </w:t>
      </w:r>
      <w:r>
        <w:rPr>
          <w:spacing w:val="-2"/>
          <w:sz w:val="22"/>
        </w:rPr>
        <w:t>………………………………………………</w:t>
      </w:r>
    </w:p>
    <w:p>
      <w:pPr>
        <w:pStyle w:val="ListParagraph"/>
        <w:numPr>
          <w:ilvl w:val="0"/>
          <w:numId w:val="112"/>
        </w:numPr>
        <w:tabs>
          <w:tab w:pos="340" w:val="left" w:leader="none"/>
        </w:tabs>
        <w:spacing w:line="240" w:lineRule="auto" w:before="241" w:after="0"/>
        <w:ind w:left="340" w:right="0" w:hanging="220"/>
        <w:jc w:val="left"/>
        <w:rPr>
          <w:sz w:val="22"/>
        </w:rPr>
      </w:pPr>
      <w:r>
        <w:rPr>
          <w:sz w:val="22"/>
        </w:rPr>
        <w:t>Academic</w:t>
      </w:r>
      <w:r>
        <w:rPr>
          <w:spacing w:val="-6"/>
          <w:sz w:val="22"/>
        </w:rPr>
        <w:t> </w:t>
      </w:r>
      <w:r>
        <w:rPr>
          <w:spacing w:val="-2"/>
          <w:sz w:val="22"/>
        </w:rPr>
        <w:t>qualifications</w:t>
      </w:r>
    </w:p>
    <w:p>
      <w:pPr>
        <w:tabs>
          <w:tab w:pos="1269" w:val="left" w:leader="none"/>
          <w:tab w:pos="2526" w:val="left" w:leader="none"/>
          <w:tab w:pos="3833" w:val="left" w:leader="none"/>
          <w:tab w:pos="5262" w:val="left" w:leader="none"/>
        </w:tabs>
        <w:spacing w:line="253" w:lineRule="exact" w:before="1"/>
        <w:ind w:left="120" w:right="0" w:firstLine="0"/>
        <w:jc w:val="left"/>
        <w:rPr>
          <w:sz w:val="22"/>
        </w:rPr>
      </w:pPr>
      <w:r>
        <w:rPr>
          <w:sz w:val="22"/>
        </w:rPr>
        <w:t>(a)</w:t>
      </w:r>
      <w:r>
        <w:rPr>
          <w:spacing w:val="-2"/>
          <w:sz w:val="22"/>
        </w:rPr>
        <w:t> </w:t>
      </w:r>
      <w:r>
        <w:rPr>
          <w:sz w:val="22"/>
        </w:rPr>
        <w:t>Ph.D.</w:t>
      </w:r>
      <w:r>
        <w:rPr>
          <w:spacing w:val="-2"/>
          <w:sz w:val="22"/>
        </w:rPr>
        <w:t> </w:t>
      </w:r>
      <w:r>
        <w:rPr>
          <w:spacing w:val="-10"/>
          <w:sz w:val="22"/>
        </w:rPr>
        <w:t>[</w:t>
      </w:r>
      <w:r>
        <w:rPr>
          <w:sz w:val="22"/>
        </w:rPr>
        <w:tab/>
        <w:t>]</w:t>
      </w:r>
      <w:r>
        <w:rPr>
          <w:spacing w:val="-2"/>
          <w:sz w:val="22"/>
        </w:rPr>
        <w:t> </w:t>
      </w:r>
      <w:r>
        <w:rPr>
          <w:sz w:val="22"/>
        </w:rPr>
        <w:t>(b)</w:t>
      </w:r>
      <w:r>
        <w:rPr>
          <w:spacing w:val="-2"/>
          <w:sz w:val="22"/>
        </w:rPr>
        <w:t> M.Sc.[</w:t>
      </w:r>
      <w:r>
        <w:rPr>
          <w:sz w:val="22"/>
        </w:rPr>
        <w:tab/>
        <w:t>]</w:t>
      </w:r>
      <w:r>
        <w:rPr>
          <w:spacing w:val="52"/>
          <w:sz w:val="22"/>
        </w:rPr>
        <w:t> </w:t>
      </w:r>
      <w:r>
        <w:rPr>
          <w:sz w:val="22"/>
        </w:rPr>
        <w:t>(c)</w:t>
      </w:r>
      <w:r>
        <w:rPr>
          <w:spacing w:val="-1"/>
          <w:sz w:val="22"/>
        </w:rPr>
        <w:t> </w:t>
      </w:r>
      <w:r>
        <w:rPr>
          <w:sz w:val="22"/>
        </w:rPr>
        <w:t>B.Sc.</w:t>
      </w:r>
      <w:r>
        <w:rPr>
          <w:spacing w:val="-3"/>
          <w:sz w:val="22"/>
        </w:rPr>
        <w:t> </w:t>
      </w:r>
      <w:r>
        <w:rPr>
          <w:spacing w:val="-10"/>
          <w:sz w:val="22"/>
        </w:rPr>
        <w:t>[</w:t>
      </w:r>
      <w:r>
        <w:rPr>
          <w:sz w:val="22"/>
        </w:rPr>
        <w:tab/>
        <w:t>]</w:t>
      </w:r>
      <w:r>
        <w:rPr>
          <w:spacing w:val="-4"/>
          <w:sz w:val="22"/>
        </w:rPr>
        <w:t> </w:t>
      </w:r>
      <w:r>
        <w:rPr>
          <w:sz w:val="22"/>
        </w:rPr>
        <w:t>(d)</w:t>
      </w:r>
      <w:r>
        <w:rPr>
          <w:spacing w:val="-3"/>
          <w:sz w:val="22"/>
        </w:rPr>
        <w:t> </w:t>
      </w:r>
      <w:r>
        <w:rPr>
          <w:sz w:val="22"/>
        </w:rPr>
        <w:t>H.N.D.</w:t>
      </w:r>
      <w:r>
        <w:rPr>
          <w:spacing w:val="-5"/>
          <w:sz w:val="22"/>
        </w:rPr>
        <w:t> </w:t>
      </w:r>
      <w:r>
        <w:rPr>
          <w:spacing w:val="-10"/>
          <w:sz w:val="22"/>
        </w:rPr>
        <w:t>[</w:t>
      </w:r>
      <w:r>
        <w:rPr>
          <w:sz w:val="22"/>
        </w:rPr>
        <w:tab/>
      </w:r>
      <w:r>
        <w:rPr>
          <w:spacing w:val="-10"/>
          <w:sz w:val="22"/>
        </w:rPr>
        <w:t>]</w:t>
      </w:r>
    </w:p>
    <w:p>
      <w:pPr>
        <w:spacing w:line="253" w:lineRule="exact" w:before="0"/>
        <w:ind w:left="120" w:right="0" w:firstLine="0"/>
        <w:jc w:val="left"/>
        <w:rPr>
          <w:sz w:val="22"/>
        </w:rPr>
      </w:pPr>
      <w:r>
        <w:rPr>
          <w:sz w:val="22"/>
        </w:rPr>
        <w:t>(e)</w:t>
      </w:r>
      <w:r>
        <w:rPr>
          <w:spacing w:val="-4"/>
          <w:sz w:val="22"/>
        </w:rPr>
        <w:t> </w:t>
      </w:r>
      <w:r>
        <w:rPr>
          <w:sz w:val="22"/>
        </w:rPr>
        <w:t>other</w:t>
      </w:r>
      <w:r>
        <w:rPr>
          <w:spacing w:val="-6"/>
          <w:sz w:val="22"/>
        </w:rPr>
        <w:t> </w:t>
      </w:r>
      <w:r>
        <w:rPr>
          <w:sz w:val="22"/>
        </w:rPr>
        <w:t>(specify)</w:t>
      </w:r>
      <w:r>
        <w:rPr>
          <w:spacing w:val="-4"/>
          <w:sz w:val="22"/>
        </w:rPr>
        <w:t> </w:t>
      </w:r>
      <w:r>
        <w:rPr>
          <w:spacing w:val="-2"/>
          <w:sz w:val="22"/>
        </w:rPr>
        <w:t>…………………………………………..</w:t>
      </w:r>
    </w:p>
    <w:p>
      <w:pPr>
        <w:pStyle w:val="ListParagraph"/>
        <w:numPr>
          <w:ilvl w:val="0"/>
          <w:numId w:val="112"/>
        </w:numPr>
        <w:tabs>
          <w:tab w:pos="340" w:val="left" w:leader="none"/>
        </w:tabs>
        <w:spacing w:line="240" w:lineRule="auto" w:before="242" w:after="0"/>
        <w:ind w:left="340" w:right="0" w:hanging="220"/>
        <w:jc w:val="left"/>
        <w:rPr>
          <w:sz w:val="22"/>
        </w:rPr>
      </w:pPr>
      <w:r>
        <w:rPr>
          <w:sz w:val="22"/>
        </w:rPr>
        <w:t>What</w:t>
      </w:r>
      <w:r>
        <w:rPr>
          <w:spacing w:val="-4"/>
          <w:sz w:val="22"/>
        </w:rPr>
        <w:t> </w:t>
      </w:r>
      <w:r>
        <w:rPr>
          <w:sz w:val="22"/>
        </w:rPr>
        <w:t>type</w:t>
      </w:r>
      <w:r>
        <w:rPr>
          <w:spacing w:val="-3"/>
          <w:sz w:val="22"/>
        </w:rPr>
        <w:t> </w:t>
      </w:r>
      <w:r>
        <w:rPr>
          <w:sz w:val="22"/>
        </w:rPr>
        <w:t>of</w:t>
      </w:r>
      <w:r>
        <w:rPr>
          <w:spacing w:val="-3"/>
          <w:sz w:val="22"/>
        </w:rPr>
        <w:t> </w:t>
      </w:r>
      <w:r>
        <w:rPr>
          <w:sz w:val="22"/>
        </w:rPr>
        <w:t>housing</w:t>
      </w:r>
      <w:r>
        <w:rPr>
          <w:spacing w:val="-5"/>
          <w:sz w:val="22"/>
        </w:rPr>
        <w:t> </w:t>
      </w:r>
      <w:r>
        <w:rPr>
          <w:sz w:val="22"/>
        </w:rPr>
        <w:t>project</w:t>
      </w:r>
      <w:r>
        <w:rPr>
          <w:spacing w:val="-2"/>
          <w:sz w:val="22"/>
        </w:rPr>
        <w:t> </w:t>
      </w:r>
      <w:r>
        <w:rPr>
          <w:sz w:val="22"/>
        </w:rPr>
        <w:t>is</w:t>
      </w:r>
      <w:r>
        <w:rPr>
          <w:spacing w:val="-2"/>
          <w:sz w:val="22"/>
        </w:rPr>
        <w:t> </w:t>
      </w:r>
      <w:r>
        <w:rPr>
          <w:sz w:val="22"/>
        </w:rPr>
        <w:t>most</w:t>
      </w:r>
      <w:r>
        <w:rPr>
          <w:spacing w:val="1"/>
          <w:sz w:val="22"/>
        </w:rPr>
        <w:t> </w:t>
      </w:r>
      <w:r>
        <w:rPr>
          <w:sz w:val="22"/>
        </w:rPr>
        <w:t>often</w:t>
      </w:r>
      <w:r>
        <w:rPr>
          <w:spacing w:val="-5"/>
          <w:sz w:val="22"/>
        </w:rPr>
        <w:t> </w:t>
      </w:r>
      <w:r>
        <w:rPr>
          <w:sz w:val="22"/>
        </w:rPr>
        <w:t>executed</w:t>
      </w:r>
      <w:r>
        <w:rPr>
          <w:spacing w:val="-5"/>
          <w:sz w:val="22"/>
        </w:rPr>
        <w:t> </w:t>
      </w:r>
      <w:r>
        <w:rPr>
          <w:sz w:val="22"/>
        </w:rPr>
        <w:t>by</w:t>
      </w:r>
      <w:r>
        <w:rPr>
          <w:spacing w:val="-6"/>
          <w:sz w:val="22"/>
        </w:rPr>
        <w:t> </w:t>
      </w:r>
      <w:r>
        <w:rPr>
          <w:sz w:val="22"/>
        </w:rPr>
        <w:t>the</w:t>
      </w:r>
      <w:r>
        <w:rPr>
          <w:spacing w:val="-3"/>
          <w:sz w:val="22"/>
        </w:rPr>
        <w:t> </w:t>
      </w:r>
      <w:r>
        <w:rPr>
          <w:sz w:val="22"/>
        </w:rPr>
        <w:t>State</w:t>
      </w:r>
      <w:r>
        <w:rPr>
          <w:spacing w:val="-2"/>
          <w:sz w:val="22"/>
        </w:rPr>
        <w:t> </w:t>
      </w:r>
      <w:r>
        <w:rPr>
          <w:sz w:val="22"/>
        </w:rPr>
        <w:t>Government</w:t>
      </w:r>
      <w:r>
        <w:rPr>
          <w:spacing w:val="-5"/>
          <w:sz w:val="22"/>
        </w:rPr>
        <w:t> </w:t>
      </w:r>
      <w:r>
        <w:rPr>
          <w:sz w:val="22"/>
        </w:rPr>
        <w:t>for</w:t>
      </w:r>
      <w:r>
        <w:rPr>
          <w:spacing w:val="-2"/>
          <w:sz w:val="22"/>
        </w:rPr>
        <w:t> </w:t>
      </w:r>
      <w:r>
        <w:rPr>
          <w:sz w:val="22"/>
        </w:rPr>
        <w:t>the</w:t>
      </w:r>
      <w:r>
        <w:rPr>
          <w:spacing w:val="-3"/>
          <w:sz w:val="22"/>
        </w:rPr>
        <w:t> </w:t>
      </w:r>
      <w:r>
        <w:rPr>
          <w:sz w:val="22"/>
        </w:rPr>
        <w:t>last</w:t>
      </w:r>
      <w:r>
        <w:rPr>
          <w:spacing w:val="-5"/>
          <w:sz w:val="22"/>
        </w:rPr>
        <w:t> </w:t>
      </w:r>
      <w:r>
        <w:rPr>
          <w:sz w:val="22"/>
        </w:rPr>
        <w:t>fifteen</w:t>
      </w:r>
      <w:r>
        <w:rPr>
          <w:spacing w:val="2"/>
          <w:sz w:val="22"/>
        </w:rPr>
        <w:t> </w:t>
      </w:r>
      <w:r>
        <w:rPr>
          <w:spacing w:val="-2"/>
          <w:sz w:val="22"/>
        </w:rPr>
        <w:t>years?</w:t>
      </w:r>
    </w:p>
    <w:p>
      <w:pPr>
        <w:spacing w:before="37"/>
        <w:ind w:left="120" w:right="0" w:firstLine="0"/>
        <w:jc w:val="left"/>
        <w:rPr>
          <w:i/>
          <w:sz w:val="22"/>
        </w:rPr>
      </w:pPr>
      <w:r>
        <w:rPr>
          <w:i/>
          <w:sz w:val="22"/>
        </w:rPr>
        <w:t>Please</w:t>
      </w:r>
      <w:r>
        <w:rPr>
          <w:i/>
          <w:spacing w:val="-2"/>
          <w:sz w:val="22"/>
        </w:rPr>
        <w:t> </w:t>
      </w:r>
      <w:r>
        <w:rPr>
          <w:i/>
          <w:sz w:val="22"/>
        </w:rPr>
        <w:t>tick</w:t>
      </w:r>
      <w:r>
        <w:rPr>
          <w:i/>
          <w:spacing w:val="-3"/>
          <w:sz w:val="22"/>
        </w:rPr>
        <w:t> </w:t>
      </w:r>
      <w:r>
        <w:rPr>
          <w:i/>
          <w:sz w:val="22"/>
        </w:rPr>
        <w:t>one</w:t>
      </w:r>
      <w:r>
        <w:rPr>
          <w:i/>
          <w:spacing w:val="-1"/>
          <w:sz w:val="22"/>
        </w:rPr>
        <w:t> </w:t>
      </w:r>
      <w:r>
        <w:rPr>
          <w:i/>
          <w:sz w:val="22"/>
        </w:rPr>
        <w:t>or</w:t>
      </w:r>
      <w:r>
        <w:rPr>
          <w:i/>
          <w:spacing w:val="-2"/>
          <w:sz w:val="22"/>
        </w:rPr>
        <w:t> </w:t>
      </w:r>
      <w:r>
        <w:rPr>
          <w:i/>
          <w:sz w:val="22"/>
        </w:rPr>
        <w:t>fill</w:t>
      </w:r>
      <w:r>
        <w:rPr>
          <w:i/>
          <w:spacing w:val="-1"/>
          <w:sz w:val="22"/>
        </w:rPr>
        <w:t> </w:t>
      </w:r>
      <w:r>
        <w:rPr>
          <w:i/>
          <w:sz w:val="22"/>
        </w:rPr>
        <w:t>as</w:t>
      </w:r>
      <w:r>
        <w:rPr>
          <w:i/>
          <w:spacing w:val="-3"/>
          <w:sz w:val="22"/>
        </w:rPr>
        <w:t> </w:t>
      </w:r>
      <w:r>
        <w:rPr>
          <w:i/>
          <w:spacing w:val="-2"/>
          <w:sz w:val="22"/>
        </w:rPr>
        <w:t>applicable</w:t>
      </w:r>
    </w:p>
    <w:p>
      <w:pPr>
        <w:pStyle w:val="BodyText"/>
        <w:spacing w:before="15" w:after="1"/>
        <w:rPr>
          <w:i/>
          <w:sz w:val="20"/>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61"/>
        <w:gridCol w:w="991"/>
      </w:tblGrid>
      <w:tr>
        <w:trPr>
          <w:trHeight w:val="251" w:hRule="atLeast"/>
        </w:trPr>
        <w:tc>
          <w:tcPr>
            <w:tcW w:w="5761" w:type="dxa"/>
          </w:tcPr>
          <w:p>
            <w:pPr>
              <w:pStyle w:val="TableParagraph"/>
              <w:spacing w:line="232" w:lineRule="exact"/>
              <w:ind w:left="107"/>
              <w:rPr>
                <w:b/>
                <w:sz w:val="22"/>
              </w:rPr>
            </w:pPr>
            <w:r>
              <w:rPr>
                <w:b/>
                <w:sz w:val="22"/>
              </w:rPr>
              <w:t>Type</w:t>
            </w:r>
            <w:r>
              <w:rPr>
                <w:b/>
                <w:spacing w:val="-4"/>
                <w:sz w:val="22"/>
              </w:rPr>
              <w:t> </w:t>
            </w:r>
            <w:r>
              <w:rPr>
                <w:b/>
                <w:sz w:val="22"/>
              </w:rPr>
              <w:t>of</w:t>
            </w:r>
            <w:r>
              <w:rPr>
                <w:b/>
                <w:spacing w:val="-1"/>
                <w:sz w:val="22"/>
              </w:rPr>
              <w:t> </w:t>
            </w:r>
            <w:r>
              <w:rPr>
                <w:b/>
                <w:spacing w:val="-2"/>
                <w:sz w:val="22"/>
              </w:rPr>
              <w:t>Housing</w:t>
            </w:r>
          </w:p>
        </w:tc>
        <w:tc>
          <w:tcPr>
            <w:tcW w:w="991" w:type="dxa"/>
          </w:tcPr>
          <w:p>
            <w:pPr>
              <w:pStyle w:val="TableParagraph"/>
              <w:rPr>
                <w:sz w:val="18"/>
              </w:rPr>
            </w:pPr>
          </w:p>
        </w:tc>
      </w:tr>
      <w:tr>
        <w:trPr>
          <w:trHeight w:val="253" w:hRule="atLeast"/>
        </w:trPr>
        <w:tc>
          <w:tcPr>
            <w:tcW w:w="5761" w:type="dxa"/>
          </w:tcPr>
          <w:p>
            <w:pPr>
              <w:pStyle w:val="TableParagraph"/>
              <w:spacing w:line="234" w:lineRule="exact"/>
              <w:ind w:left="107"/>
              <w:rPr>
                <w:sz w:val="22"/>
              </w:rPr>
            </w:pPr>
            <w:r>
              <w:rPr>
                <w:spacing w:val="-2"/>
                <w:sz w:val="22"/>
              </w:rPr>
              <w:t>Residential</w:t>
            </w:r>
          </w:p>
        </w:tc>
        <w:tc>
          <w:tcPr>
            <w:tcW w:w="991" w:type="dxa"/>
          </w:tcPr>
          <w:p>
            <w:pPr>
              <w:pStyle w:val="TableParagraph"/>
              <w:rPr>
                <w:sz w:val="18"/>
              </w:rPr>
            </w:pPr>
          </w:p>
        </w:tc>
      </w:tr>
      <w:tr>
        <w:trPr>
          <w:trHeight w:val="251" w:hRule="atLeast"/>
        </w:trPr>
        <w:tc>
          <w:tcPr>
            <w:tcW w:w="5761" w:type="dxa"/>
          </w:tcPr>
          <w:p>
            <w:pPr>
              <w:pStyle w:val="TableParagraph"/>
              <w:spacing w:line="232" w:lineRule="exact"/>
              <w:ind w:left="107"/>
              <w:rPr>
                <w:sz w:val="22"/>
              </w:rPr>
            </w:pPr>
            <w:r>
              <w:rPr>
                <w:sz w:val="22"/>
              </w:rPr>
              <w:t>Education/Classroom</w:t>
            </w:r>
            <w:r>
              <w:rPr>
                <w:spacing w:val="-13"/>
                <w:sz w:val="22"/>
              </w:rPr>
              <w:t> </w:t>
            </w:r>
            <w:r>
              <w:rPr>
                <w:spacing w:val="-2"/>
                <w:sz w:val="22"/>
              </w:rPr>
              <w:t>buildings</w:t>
            </w:r>
          </w:p>
        </w:tc>
        <w:tc>
          <w:tcPr>
            <w:tcW w:w="991" w:type="dxa"/>
          </w:tcPr>
          <w:p>
            <w:pPr>
              <w:pStyle w:val="TableParagraph"/>
              <w:rPr>
                <w:sz w:val="18"/>
              </w:rPr>
            </w:pPr>
          </w:p>
        </w:tc>
      </w:tr>
      <w:tr>
        <w:trPr>
          <w:trHeight w:val="253" w:hRule="atLeast"/>
        </w:trPr>
        <w:tc>
          <w:tcPr>
            <w:tcW w:w="5761" w:type="dxa"/>
          </w:tcPr>
          <w:p>
            <w:pPr>
              <w:pStyle w:val="TableParagraph"/>
              <w:spacing w:line="234" w:lineRule="exact"/>
              <w:ind w:left="107"/>
              <w:rPr>
                <w:sz w:val="22"/>
              </w:rPr>
            </w:pPr>
            <w:r>
              <w:rPr>
                <w:sz w:val="22"/>
              </w:rPr>
              <w:t>Office</w:t>
            </w:r>
            <w:r>
              <w:rPr>
                <w:spacing w:val="-4"/>
                <w:sz w:val="22"/>
              </w:rPr>
              <w:t> </w:t>
            </w:r>
            <w:r>
              <w:rPr>
                <w:spacing w:val="-2"/>
                <w:sz w:val="22"/>
              </w:rPr>
              <w:t>buildings</w:t>
            </w:r>
          </w:p>
        </w:tc>
        <w:tc>
          <w:tcPr>
            <w:tcW w:w="991" w:type="dxa"/>
          </w:tcPr>
          <w:p>
            <w:pPr>
              <w:pStyle w:val="TableParagraph"/>
              <w:rPr>
                <w:sz w:val="18"/>
              </w:rPr>
            </w:pPr>
          </w:p>
        </w:tc>
      </w:tr>
      <w:tr>
        <w:trPr>
          <w:trHeight w:val="254" w:hRule="atLeast"/>
        </w:trPr>
        <w:tc>
          <w:tcPr>
            <w:tcW w:w="5761" w:type="dxa"/>
          </w:tcPr>
          <w:p>
            <w:pPr>
              <w:pStyle w:val="TableParagraph"/>
              <w:spacing w:line="234" w:lineRule="exact"/>
              <w:ind w:left="107"/>
              <w:rPr>
                <w:sz w:val="22"/>
              </w:rPr>
            </w:pPr>
            <w:r>
              <w:rPr>
                <w:sz w:val="22"/>
              </w:rPr>
              <w:t>Mass</w:t>
            </w:r>
            <w:r>
              <w:rPr>
                <w:spacing w:val="-2"/>
                <w:sz w:val="22"/>
              </w:rPr>
              <w:t> housing</w:t>
            </w:r>
          </w:p>
        </w:tc>
        <w:tc>
          <w:tcPr>
            <w:tcW w:w="991" w:type="dxa"/>
          </w:tcPr>
          <w:p>
            <w:pPr>
              <w:pStyle w:val="TableParagraph"/>
              <w:rPr>
                <w:sz w:val="18"/>
              </w:rPr>
            </w:pPr>
          </w:p>
        </w:tc>
      </w:tr>
      <w:tr>
        <w:trPr>
          <w:trHeight w:val="251" w:hRule="atLeast"/>
        </w:trPr>
        <w:tc>
          <w:tcPr>
            <w:tcW w:w="5761" w:type="dxa"/>
          </w:tcPr>
          <w:p>
            <w:pPr>
              <w:pStyle w:val="TableParagraph"/>
              <w:spacing w:line="232" w:lineRule="exact"/>
              <w:ind w:left="107"/>
              <w:rPr>
                <w:sz w:val="22"/>
              </w:rPr>
            </w:pPr>
            <w:r>
              <w:rPr>
                <w:spacing w:val="-2"/>
                <w:sz w:val="22"/>
              </w:rPr>
              <w:t>Workshops/warehouses</w:t>
            </w:r>
          </w:p>
        </w:tc>
        <w:tc>
          <w:tcPr>
            <w:tcW w:w="991" w:type="dxa"/>
          </w:tcPr>
          <w:p>
            <w:pPr>
              <w:pStyle w:val="TableParagraph"/>
              <w:rPr>
                <w:sz w:val="18"/>
              </w:rPr>
            </w:pPr>
          </w:p>
        </w:tc>
      </w:tr>
      <w:tr>
        <w:trPr>
          <w:trHeight w:val="253" w:hRule="atLeast"/>
        </w:trPr>
        <w:tc>
          <w:tcPr>
            <w:tcW w:w="5761" w:type="dxa"/>
          </w:tcPr>
          <w:p>
            <w:pPr>
              <w:pStyle w:val="TableParagraph"/>
              <w:spacing w:line="234" w:lineRule="exact"/>
              <w:ind w:left="107"/>
              <w:rPr>
                <w:sz w:val="22"/>
              </w:rPr>
            </w:pPr>
            <w:r>
              <w:rPr>
                <w:sz w:val="22"/>
              </w:rPr>
              <w:t>Commercial</w:t>
            </w:r>
            <w:r>
              <w:rPr>
                <w:spacing w:val="-3"/>
                <w:sz w:val="22"/>
              </w:rPr>
              <w:t> </w:t>
            </w:r>
            <w:r>
              <w:rPr>
                <w:sz w:val="22"/>
              </w:rPr>
              <w:t>(markets,</w:t>
            </w:r>
            <w:r>
              <w:rPr>
                <w:spacing w:val="-5"/>
                <w:sz w:val="22"/>
              </w:rPr>
              <w:t> </w:t>
            </w:r>
            <w:r>
              <w:rPr>
                <w:sz w:val="22"/>
              </w:rPr>
              <w:t>shopping</w:t>
            </w:r>
            <w:r>
              <w:rPr>
                <w:spacing w:val="-5"/>
                <w:sz w:val="22"/>
              </w:rPr>
              <w:t> </w:t>
            </w:r>
            <w:r>
              <w:rPr>
                <w:sz w:val="22"/>
              </w:rPr>
              <w:t>malls,</w:t>
            </w:r>
            <w:r>
              <w:rPr>
                <w:spacing w:val="-3"/>
                <w:sz w:val="22"/>
              </w:rPr>
              <w:t> </w:t>
            </w:r>
            <w:r>
              <w:rPr>
                <w:spacing w:val="-4"/>
                <w:sz w:val="22"/>
              </w:rPr>
              <w:t>etc)</w:t>
            </w:r>
          </w:p>
        </w:tc>
        <w:tc>
          <w:tcPr>
            <w:tcW w:w="991" w:type="dxa"/>
          </w:tcPr>
          <w:p>
            <w:pPr>
              <w:pStyle w:val="TableParagraph"/>
              <w:rPr>
                <w:sz w:val="18"/>
              </w:rPr>
            </w:pPr>
          </w:p>
        </w:tc>
      </w:tr>
      <w:tr>
        <w:trPr>
          <w:trHeight w:val="251" w:hRule="atLeast"/>
        </w:trPr>
        <w:tc>
          <w:tcPr>
            <w:tcW w:w="5761" w:type="dxa"/>
          </w:tcPr>
          <w:p>
            <w:pPr>
              <w:pStyle w:val="TableParagraph"/>
              <w:spacing w:line="232" w:lineRule="exact"/>
              <w:ind w:left="107"/>
              <w:rPr>
                <w:sz w:val="22"/>
              </w:rPr>
            </w:pPr>
            <w:r>
              <w:rPr>
                <w:spacing w:val="-2"/>
                <w:sz w:val="22"/>
              </w:rPr>
              <w:t>Recreational/sports</w:t>
            </w:r>
          </w:p>
        </w:tc>
        <w:tc>
          <w:tcPr>
            <w:tcW w:w="991" w:type="dxa"/>
          </w:tcPr>
          <w:p>
            <w:pPr>
              <w:pStyle w:val="TableParagraph"/>
              <w:rPr>
                <w:sz w:val="18"/>
              </w:rPr>
            </w:pPr>
          </w:p>
        </w:tc>
      </w:tr>
      <w:tr>
        <w:trPr>
          <w:trHeight w:val="254" w:hRule="atLeast"/>
        </w:trPr>
        <w:tc>
          <w:tcPr>
            <w:tcW w:w="5761" w:type="dxa"/>
          </w:tcPr>
          <w:p>
            <w:pPr>
              <w:pStyle w:val="TableParagraph"/>
              <w:spacing w:line="235" w:lineRule="exact"/>
              <w:ind w:left="107"/>
              <w:rPr>
                <w:sz w:val="22"/>
              </w:rPr>
            </w:pPr>
            <w:r>
              <w:rPr>
                <w:spacing w:val="-2"/>
                <w:sz w:val="22"/>
              </w:rPr>
              <w:t>Health</w:t>
            </w:r>
          </w:p>
        </w:tc>
        <w:tc>
          <w:tcPr>
            <w:tcW w:w="991" w:type="dxa"/>
          </w:tcPr>
          <w:p>
            <w:pPr>
              <w:pStyle w:val="TableParagraph"/>
              <w:rPr>
                <w:sz w:val="18"/>
              </w:rPr>
            </w:pPr>
          </w:p>
        </w:tc>
      </w:tr>
      <w:tr>
        <w:trPr>
          <w:trHeight w:val="251" w:hRule="atLeast"/>
        </w:trPr>
        <w:tc>
          <w:tcPr>
            <w:tcW w:w="5761" w:type="dxa"/>
          </w:tcPr>
          <w:p>
            <w:pPr>
              <w:pStyle w:val="TableParagraph"/>
              <w:spacing w:line="232" w:lineRule="exact"/>
              <w:ind w:left="107"/>
              <w:rPr>
                <w:sz w:val="22"/>
              </w:rPr>
            </w:pPr>
            <w:r>
              <w:rPr>
                <w:sz w:val="22"/>
              </w:rPr>
              <w:t>Others</w:t>
            </w:r>
            <w:r>
              <w:rPr>
                <w:spacing w:val="-6"/>
                <w:sz w:val="22"/>
              </w:rPr>
              <w:t> </w:t>
            </w:r>
            <w:r>
              <w:rPr>
                <w:spacing w:val="-2"/>
                <w:sz w:val="22"/>
              </w:rPr>
              <w:t>(specify)</w:t>
            </w:r>
          </w:p>
        </w:tc>
        <w:tc>
          <w:tcPr>
            <w:tcW w:w="991" w:type="dxa"/>
          </w:tcPr>
          <w:p>
            <w:pPr>
              <w:pStyle w:val="TableParagraph"/>
              <w:rPr>
                <w:sz w:val="18"/>
              </w:rPr>
            </w:pPr>
          </w:p>
        </w:tc>
      </w:tr>
      <w:tr>
        <w:trPr>
          <w:trHeight w:val="254" w:hRule="atLeast"/>
        </w:trPr>
        <w:tc>
          <w:tcPr>
            <w:tcW w:w="5761" w:type="dxa"/>
          </w:tcPr>
          <w:p>
            <w:pPr>
              <w:pStyle w:val="TableParagraph"/>
              <w:spacing w:line="234" w:lineRule="exact"/>
              <w:ind w:left="107"/>
              <w:rPr>
                <w:sz w:val="22"/>
              </w:rPr>
            </w:pPr>
            <w:r>
              <w:rPr>
                <w:sz w:val="22"/>
              </w:rPr>
              <w:t>No</w:t>
            </w:r>
            <w:r>
              <w:rPr>
                <w:spacing w:val="-2"/>
                <w:sz w:val="22"/>
              </w:rPr>
              <w:t> </w:t>
            </w:r>
            <w:r>
              <w:rPr>
                <w:spacing w:val="-4"/>
                <w:sz w:val="22"/>
              </w:rPr>
              <w:t>idea</w:t>
            </w:r>
          </w:p>
        </w:tc>
        <w:tc>
          <w:tcPr>
            <w:tcW w:w="991" w:type="dxa"/>
          </w:tcPr>
          <w:p>
            <w:pPr>
              <w:pStyle w:val="TableParagraph"/>
              <w:rPr>
                <w:sz w:val="18"/>
              </w:rPr>
            </w:pPr>
          </w:p>
        </w:tc>
      </w:tr>
    </w:tbl>
    <w:p>
      <w:pPr>
        <w:pStyle w:val="BodyText"/>
        <w:spacing w:before="54"/>
        <w:rPr>
          <w:i/>
          <w:sz w:val="22"/>
        </w:rPr>
      </w:pPr>
    </w:p>
    <w:p>
      <w:pPr>
        <w:pStyle w:val="ListParagraph"/>
        <w:numPr>
          <w:ilvl w:val="0"/>
          <w:numId w:val="112"/>
        </w:numPr>
        <w:tabs>
          <w:tab w:pos="453" w:val="left" w:leader="none"/>
        </w:tabs>
        <w:spacing w:line="240" w:lineRule="auto" w:before="0" w:after="0"/>
        <w:ind w:left="120" w:right="1123" w:firstLine="0"/>
        <w:jc w:val="left"/>
        <w:rPr>
          <w:sz w:val="22"/>
        </w:rPr>
      </w:pPr>
      <w:r>
        <w:rPr>
          <w:sz w:val="22"/>
        </w:rPr>
        <w:t>Do you think</w:t>
      </w:r>
      <w:r>
        <w:rPr>
          <w:spacing w:val="-3"/>
          <w:sz w:val="22"/>
        </w:rPr>
        <w:t> </w:t>
      </w:r>
      <w:r>
        <w:rPr>
          <w:sz w:val="22"/>
        </w:rPr>
        <w:t>the Anambra State Government is well equipped (financially) to</w:t>
      </w:r>
      <w:r>
        <w:rPr>
          <w:spacing w:val="-2"/>
          <w:sz w:val="22"/>
        </w:rPr>
        <w:t> </w:t>
      </w:r>
      <w:r>
        <w:rPr>
          <w:sz w:val="22"/>
        </w:rPr>
        <w:t>provide housing</w:t>
      </w:r>
      <w:r>
        <w:rPr>
          <w:spacing w:val="-3"/>
          <w:sz w:val="22"/>
        </w:rPr>
        <w:t> </w:t>
      </w:r>
      <w:r>
        <w:rPr>
          <w:sz w:val="22"/>
        </w:rPr>
        <w:t>for the low and middle income earners in the State?</w:t>
      </w:r>
    </w:p>
    <w:p>
      <w:pPr>
        <w:tabs>
          <w:tab w:pos="1110" w:val="left" w:leader="none"/>
          <w:tab w:pos="2165" w:val="left" w:leader="none"/>
          <w:tab w:pos="3631" w:val="left" w:leader="none"/>
        </w:tabs>
        <w:spacing w:line="251" w:lineRule="exact" w:before="0"/>
        <w:ind w:left="120" w:right="0" w:firstLine="0"/>
        <w:jc w:val="left"/>
        <w:rPr>
          <w:sz w:val="22"/>
        </w:rPr>
      </w:pPr>
      <w:r>
        <w:rPr>
          <w:sz w:val="22"/>
        </w:rPr>
        <w:t>(a)</w:t>
      </w:r>
      <w:r>
        <w:rPr>
          <w:spacing w:val="-2"/>
          <w:sz w:val="22"/>
        </w:rPr>
        <w:t> </w:t>
      </w:r>
      <w:r>
        <w:rPr>
          <w:sz w:val="22"/>
        </w:rPr>
        <w:t>Yes</w:t>
      </w:r>
      <w:r>
        <w:rPr>
          <w:spacing w:val="-1"/>
          <w:sz w:val="22"/>
        </w:rPr>
        <w:t> </w:t>
      </w:r>
      <w:r>
        <w:rPr>
          <w:spacing w:val="-10"/>
          <w:sz w:val="22"/>
        </w:rPr>
        <w:t>[</w:t>
      </w:r>
      <w:r>
        <w:rPr>
          <w:sz w:val="22"/>
        </w:rPr>
        <w:tab/>
        <w:t>]</w:t>
      </w:r>
      <w:r>
        <w:rPr>
          <w:spacing w:val="-3"/>
          <w:sz w:val="22"/>
        </w:rPr>
        <w:t> </w:t>
      </w:r>
      <w:r>
        <w:rPr>
          <w:sz w:val="22"/>
        </w:rPr>
        <w:t>(b)</w:t>
      </w:r>
      <w:r>
        <w:rPr>
          <w:spacing w:val="-1"/>
          <w:sz w:val="22"/>
        </w:rPr>
        <w:t> </w:t>
      </w:r>
      <w:r>
        <w:rPr>
          <w:sz w:val="22"/>
        </w:rPr>
        <w:t>No</w:t>
      </w:r>
      <w:r>
        <w:rPr>
          <w:spacing w:val="-3"/>
          <w:sz w:val="22"/>
        </w:rPr>
        <w:t> </w:t>
      </w:r>
      <w:r>
        <w:rPr>
          <w:spacing w:val="-10"/>
          <w:sz w:val="22"/>
        </w:rPr>
        <w:t>[</w:t>
      </w:r>
      <w:r>
        <w:rPr>
          <w:sz w:val="22"/>
        </w:rPr>
        <w:tab/>
        <w:t>]</w:t>
      </w:r>
      <w:r>
        <w:rPr>
          <w:spacing w:val="-2"/>
          <w:sz w:val="22"/>
        </w:rPr>
        <w:t> </w:t>
      </w:r>
      <w:r>
        <w:rPr>
          <w:sz w:val="22"/>
        </w:rPr>
        <w:t>(c)</w:t>
      </w:r>
      <w:r>
        <w:rPr>
          <w:spacing w:val="-1"/>
          <w:sz w:val="22"/>
        </w:rPr>
        <w:t> </w:t>
      </w:r>
      <w:r>
        <w:rPr>
          <w:sz w:val="22"/>
        </w:rPr>
        <w:t>No</w:t>
      </w:r>
      <w:r>
        <w:rPr>
          <w:spacing w:val="-2"/>
          <w:sz w:val="22"/>
        </w:rPr>
        <w:t> </w:t>
      </w:r>
      <w:r>
        <w:rPr>
          <w:sz w:val="22"/>
        </w:rPr>
        <w:t>idea</w:t>
      </w:r>
      <w:r>
        <w:rPr>
          <w:spacing w:val="-2"/>
          <w:sz w:val="22"/>
        </w:rPr>
        <w:t> </w:t>
      </w:r>
      <w:r>
        <w:rPr>
          <w:spacing w:val="-10"/>
          <w:sz w:val="22"/>
        </w:rPr>
        <w:t>[</w:t>
      </w:r>
      <w:r>
        <w:rPr>
          <w:sz w:val="22"/>
        </w:rPr>
        <w:tab/>
      </w:r>
      <w:r>
        <w:rPr>
          <w:spacing w:val="-10"/>
          <w:sz w:val="22"/>
        </w:rPr>
        <w:t>]</w:t>
      </w:r>
    </w:p>
    <w:p>
      <w:pPr>
        <w:spacing w:after="0" w:line="251" w:lineRule="exact"/>
        <w:jc w:val="left"/>
        <w:rPr>
          <w:sz w:val="22"/>
        </w:rPr>
        <w:sectPr>
          <w:pgSz w:w="12240" w:h="15840"/>
          <w:pgMar w:header="0" w:footer="1036" w:top="1360" w:bottom="1220" w:left="1320" w:right="320"/>
        </w:sectPr>
      </w:pPr>
    </w:p>
    <w:p>
      <w:pPr>
        <w:pStyle w:val="Heading4"/>
        <w:spacing w:before="79"/>
        <w:ind w:left="120"/>
        <w:jc w:val="left"/>
      </w:pPr>
      <w:r>
        <w:rPr/>
        <w:t>Section</w:t>
      </w:r>
      <w:r>
        <w:rPr>
          <w:spacing w:val="-1"/>
        </w:rPr>
        <w:t> </w:t>
      </w:r>
      <w:r>
        <w:rPr/>
        <w:t>B: Appraisal of</w:t>
      </w:r>
      <w:r>
        <w:rPr>
          <w:spacing w:val="-2"/>
        </w:rPr>
        <w:t> </w:t>
      </w:r>
      <w:r>
        <w:rPr/>
        <w:t>Housing</w:t>
      </w:r>
      <w:r>
        <w:rPr>
          <w:spacing w:val="-2"/>
        </w:rPr>
        <w:t> </w:t>
      </w:r>
      <w:r>
        <w:rPr/>
        <w:t>Budget </w:t>
      </w:r>
      <w:r>
        <w:rPr>
          <w:spacing w:val="-2"/>
        </w:rPr>
        <w:t>Procedures</w:t>
      </w:r>
    </w:p>
    <w:p>
      <w:pPr>
        <w:pStyle w:val="ListParagraph"/>
        <w:numPr>
          <w:ilvl w:val="0"/>
          <w:numId w:val="112"/>
        </w:numPr>
        <w:tabs>
          <w:tab w:pos="480" w:val="left" w:leader="none"/>
        </w:tabs>
        <w:spacing w:line="240" w:lineRule="auto" w:before="132" w:after="0"/>
        <w:ind w:left="120" w:right="1124" w:firstLine="0"/>
        <w:jc w:val="left"/>
        <w:rPr>
          <w:sz w:val="22"/>
        </w:rPr>
      </w:pPr>
      <w:r>
        <w:rPr>
          <w:sz w:val="22"/>
        </w:rPr>
        <w:t>Does</w:t>
      </w:r>
      <w:r>
        <w:rPr>
          <w:spacing w:val="27"/>
          <w:sz w:val="22"/>
        </w:rPr>
        <w:t> </w:t>
      </w:r>
      <w:r>
        <w:rPr>
          <w:sz w:val="22"/>
        </w:rPr>
        <w:t>the</w:t>
      </w:r>
      <w:r>
        <w:rPr>
          <w:spacing w:val="27"/>
          <w:sz w:val="22"/>
        </w:rPr>
        <w:t> </w:t>
      </w:r>
      <w:r>
        <w:rPr>
          <w:sz w:val="22"/>
        </w:rPr>
        <w:t>Anambra</w:t>
      </w:r>
      <w:r>
        <w:rPr>
          <w:spacing w:val="27"/>
          <w:sz w:val="22"/>
        </w:rPr>
        <w:t> </w:t>
      </w:r>
      <w:r>
        <w:rPr>
          <w:sz w:val="22"/>
        </w:rPr>
        <w:t>State</w:t>
      </w:r>
      <w:r>
        <w:rPr>
          <w:spacing w:val="27"/>
          <w:sz w:val="22"/>
        </w:rPr>
        <w:t> </w:t>
      </w:r>
      <w:r>
        <w:rPr>
          <w:sz w:val="22"/>
        </w:rPr>
        <w:t>Government</w:t>
      </w:r>
      <w:r>
        <w:rPr>
          <w:spacing w:val="27"/>
          <w:sz w:val="22"/>
        </w:rPr>
        <w:t> </w:t>
      </w:r>
      <w:r>
        <w:rPr>
          <w:sz w:val="22"/>
        </w:rPr>
        <w:t>prepare</w:t>
      </w:r>
      <w:r>
        <w:rPr>
          <w:spacing w:val="27"/>
          <w:sz w:val="22"/>
        </w:rPr>
        <w:t> </w:t>
      </w:r>
      <w:r>
        <w:rPr>
          <w:sz w:val="22"/>
        </w:rPr>
        <w:t>its</w:t>
      </w:r>
      <w:r>
        <w:rPr>
          <w:spacing w:val="24"/>
          <w:sz w:val="22"/>
        </w:rPr>
        <w:t> </w:t>
      </w:r>
      <w:r>
        <w:rPr>
          <w:sz w:val="22"/>
        </w:rPr>
        <w:t>Housing</w:t>
      </w:r>
      <w:r>
        <w:rPr>
          <w:spacing w:val="24"/>
          <w:sz w:val="22"/>
        </w:rPr>
        <w:t> </w:t>
      </w:r>
      <w:r>
        <w:rPr>
          <w:sz w:val="22"/>
        </w:rPr>
        <w:t>Budget</w:t>
      </w:r>
      <w:r>
        <w:rPr>
          <w:spacing w:val="27"/>
          <w:sz w:val="22"/>
        </w:rPr>
        <w:t> </w:t>
      </w:r>
      <w:r>
        <w:rPr>
          <w:sz w:val="22"/>
        </w:rPr>
        <w:t>in</w:t>
      </w:r>
      <w:r>
        <w:rPr>
          <w:spacing w:val="26"/>
          <w:sz w:val="22"/>
        </w:rPr>
        <w:t> </w:t>
      </w:r>
      <w:r>
        <w:rPr>
          <w:sz w:val="22"/>
        </w:rPr>
        <w:t>accordance</w:t>
      </w:r>
      <w:r>
        <w:rPr>
          <w:spacing w:val="27"/>
          <w:sz w:val="22"/>
        </w:rPr>
        <w:t> </w:t>
      </w:r>
      <w:r>
        <w:rPr>
          <w:sz w:val="22"/>
        </w:rPr>
        <w:t>with</w:t>
      </w:r>
      <w:r>
        <w:rPr>
          <w:spacing w:val="26"/>
          <w:sz w:val="22"/>
        </w:rPr>
        <w:t> </w:t>
      </w:r>
      <w:r>
        <w:rPr>
          <w:sz w:val="22"/>
        </w:rPr>
        <w:t>the</w:t>
      </w:r>
      <w:r>
        <w:rPr>
          <w:spacing w:val="27"/>
          <w:sz w:val="22"/>
        </w:rPr>
        <w:t> </w:t>
      </w:r>
      <w:r>
        <w:rPr>
          <w:sz w:val="22"/>
        </w:rPr>
        <w:t>Medium Term Expenditure Framework (MTEF)?</w:t>
      </w:r>
    </w:p>
    <w:p>
      <w:pPr>
        <w:tabs>
          <w:tab w:pos="1110" w:val="left" w:leader="none"/>
          <w:tab w:pos="2165" w:val="left" w:leader="none"/>
          <w:tab w:pos="3631" w:val="left" w:leader="none"/>
        </w:tabs>
        <w:spacing w:before="0"/>
        <w:ind w:left="120" w:right="0" w:firstLine="0"/>
        <w:jc w:val="left"/>
        <w:rPr>
          <w:sz w:val="22"/>
        </w:rPr>
      </w:pPr>
      <w:r>
        <w:rPr>
          <w:sz w:val="22"/>
        </w:rPr>
        <w:t>(a)</w:t>
      </w:r>
      <w:r>
        <w:rPr>
          <w:spacing w:val="-2"/>
          <w:sz w:val="22"/>
        </w:rPr>
        <w:t> </w:t>
      </w:r>
      <w:r>
        <w:rPr>
          <w:sz w:val="22"/>
        </w:rPr>
        <w:t>Yes</w:t>
      </w:r>
      <w:r>
        <w:rPr>
          <w:spacing w:val="-1"/>
          <w:sz w:val="22"/>
        </w:rPr>
        <w:t> </w:t>
      </w:r>
      <w:r>
        <w:rPr>
          <w:spacing w:val="-10"/>
          <w:sz w:val="22"/>
        </w:rPr>
        <w:t>[</w:t>
      </w:r>
      <w:r>
        <w:rPr>
          <w:sz w:val="22"/>
        </w:rPr>
        <w:tab/>
        <w:t>]</w:t>
      </w:r>
      <w:r>
        <w:rPr>
          <w:spacing w:val="-3"/>
          <w:sz w:val="22"/>
        </w:rPr>
        <w:t> </w:t>
      </w:r>
      <w:r>
        <w:rPr>
          <w:sz w:val="22"/>
        </w:rPr>
        <w:t>(b)</w:t>
      </w:r>
      <w:r>
        <w:rPr>
          <w:spacing w:val="-1"/>
          <w:sz w:val="22"/>
        </w:rPr>
        <w:t> </w:t>
      </w:r>
      <w:r>
        <w:rPr>
          <w:sz w:val="22"/>
        </w:rPr>
        <w:t>No</w:t>
      </w:r>
      <w:r>
        <w:rPr>
          <w:spacing w:val="-3"/>
          <w:sz w:val="22"/>
        </w:rPr>
        <w:t> </w:t>
      </w:r>
      <w:r>
        <w:rPr>
          <w:spacing w:val="-10"/>
          <w:sz w:val="22"/>
        </w:rPr>
        <w:t>[</w:t>
      </w:r>
      <w:r>
        <w:rPr>
          <w:sz w:val="22"/>
        </w:rPr>
        <w:tab/>
        <w:t>]</w:t>
      </w:r>
      <w:r>
        <w:rPr>
          <w:spacing w:val="-2"/>
          <w:sz w:val="22"/>
        </w:rPr>
        <w:t> </w:t>
      </w:r>
      <w:r>
        <w:rPr>
          <w:sz w:val="22"/>
        </w:rPr>
        <w:t>(c)</w:t>
      </w:r>
      <w:r>
        <w:rPr>
          <w:spacing w:val="-1"/>
          <w:sz w:val="22"/>
        </w:rPr>
        <w:t> </w:t>
      </w:r>
      <w:r>
        <w:rPr>
          <w:sz w:val="22"/>
        </w:rPr>
        <w:t>No</w:t>
      </w:r>
      <w:r>
        <w:rPr>
          <w:spacing w:val="-2"/>
          <w:sz w:val="22"/>
        </w:rPr>
        <w:t> </w:t>
      </w:r>
      <w:r>
        <w:rPr>
          <w:sz w:val="22"/>
        </w:rPr>
        <w:t>idea</w:t>
      </w:r>
      <w:r>
        <w:rPr>
          <w:spacing w:val="-2"/>
          <w:sz w:val="22"/>
        </w:rPr>
        <w:t> </w:t>
      </w:r>
      <w:r>
        <w:rPr>
          <w:spacing w:val="-10"/>
          <w:sz w:val="22"/>
        </w:rPr>
        <w:t>[</w:t>
      </w:r>
      <w:r>
        <w:rPr>
          <w:sz w:val="22"/>
        </w:rPr>
        <w:tab/>
      </w:r>
      <w:r>
        <w:rPr>
          <w:spacing w:val="-10"/>
          <w:sz w:val="22"/>
        </w:rPr>
        <w:t>]</w:t>
      </w:r>
    </w:p>
    <w:p>
      <w:pPr>
        <w:pStyle w:val="BodyText"/>
        <w:spacing w:before="24"/>
        <w:rPr>
          <w:sz w:val="22"/>
        </w:rPr>
      </w:pPr>
    </w:p>
    <w:p>
      <w:pPr>
        <w:pStyle w:val="ListParagraph"/>
        <w:numPr>
          <w:ilvl w:val="0"/>
          <w:numId w:val="112"/>
        </w:numPr>
        <w:tabs>
          <w:tab w:pos="472" w:val="left" w:leader="none"/>
        </w:tabs>
        <w:spacing w:line="240" w:lineRule="auto" w:before="1" w:after="0"/>
        <w:ind w:left="120" w:right="1117" w:firstLine="0"/>
        <w:jc w:val="left"/>
        <w:rPr>
          <w:sz w:val="22"/>
        </w:rPr>
      </w:pPr>
      <w:r>
        <w:rPr>
          <w:sz w:val="22"/>
        </w:rPr>
        <w:t>Is there a Medium Term Sector Strategy (MTSS) developed by the Anambra State Government for</w:t>
      </w:r>
      <w:r>
        <w:rPr>
          <w:spacing w:val="80"/>
          <w:sz w:val="22"/>
        </w:rPr>
        <w:t> </w:t>
      </w:r>
      <w:r>
        <w:rPr>
          <w:sz w:val="22"/>
        </w:rPr>
        <w:t>her housing sector?</w:t>
      </w:r>
    </w:p>
    <w:p>
      <w:pPr>
        <w:tabs>
          <w:tab w:pos="1110" w:val="left" w:leader="none"/>
          <w:tab w:pos="2165" w:val="left" w:leader="none"/>
          <w:tab w:pos="3631" w:val="left" w:leader="none"/>
        </w:tabs>
        <w:spacing w:before="0"/>
        <w:ind w:left="120" w:right="0" w:firstLine="0"/>
        <w:jc w:val="left"/>
        <w:rPr>
          <w:sz w:val="22"/>
        </w:rPr>
      </w:pPr>
      <w:r>
        <w:rPr>
          <w:sz w:val="22"/>
        </w:rPr>
        <w:t>(a)</w:t>
      </w:r>
      <w:r>
        <w:rPr>
          <w:spacing w:val="-2"/>
          <w:sz w:val="22"/>
        </w:rPr>
        <w:t> </w:t>
      </w:r>
      <w:r>
        <w:rPr>
          <w:sz w:val="22"/>
        </w:rPr>
        <w:t>Yes</w:t>
      </w:r>
      <w:r>
        <w:rPr>
          <w:spacing w:val="-1"/>
          <w:sz w:val="22"/>
        </w:rPr>
        <w:t> </w:t>
      </w:r>
      <w:r>
        <w:rPr>
          <w:spacing w:val="-10"/>
          <w:sz w:val="22"/>
        </w:rPr>
        <w:t>[</w:t>
      </w:r>
      <w:r>
        <w:rPr>
          <w:sz w:val="22"/>
        </w:rPr>
        <w:tab/>
        <w:t>]</w:t>
      </w:r>
      <w:r>
        <w:rPr>
          <w:spacing w:val="-3"/>
          <w:sz w:val="22"/>
        </w:rPr>
        <w:t> </w:t>
      </w:r>
      <w:r>
        <w:rPr>
          <w:sz w:val="22"/>
        </w:rPr>
        <w:t>(b)</w:t>
      </w:r>
      <w:r>
        <w:rPr>
          <w:spacing w:val="-1"/>
          <w:sz w:val="22"/>
        </w:rPr>
        <w:t> </w:t>
      </w:r>
      <w:r>
        <w:rPr>
          <w:sz w:val="22"/>
        </w:rPr>
        <w:t>No</w:t>
      </w:r>
      <w:r>
        <w:rPr>
          <w:spacing w:val="-3"/>
          <w:sz w:val="22"/>
        </w:rPr>
        <w:t> </w:t>
      </w:r>
      <w:r>
        <w:rPr>
          <w:spacing w:val="-10"/>
          <w:sz w:val="22"/>
        </w:rPr>
        <w:t>[</w:t>
      </w:r>
      <w:r>
        <w:rPr>
          <w:sz w:val="22"/>
        </w:rPr>
        <w:tab/>
        <w:t>]</w:t>
      </w:r>
      <w:r>
        <w:rPr>
          <w:spacing w:val="-2"/>
          <w:sz w:val="22"/>
        </w:rPr>
        <w:t> </w:t>
      </w:r>
      <w:r>
        <w:rPr>
          <w:sz w:val="22"/>
        </w:rPr>
        <w:t>(c)</w:t>
      </w:r>
      <w:r>
        <w:rPr>
          <w:spacing w:val="-1"/>
          <w:sz w:val="22"/>
        </w:rPr>
        <w:t> </w:t>
      </w:r>
      <w:r>
        <w:rPr>
          <w:sz w:val="22"/>
        </w:rPr>
        <w:t>No</w:t>
      </w:r>
      <w:r>
        <w:rPr>
          <w:spacing w:val="-2"/>
          <w:sz w:val="22"/>
        </w:rPr>
        <w:t> </w:t>
      </w:r>
      <w:r>
        <w:rPr>
          <w:sz w:val="22"/>
        </w:rPr>
        <w:t>idea</w:t>
      </w:r>
      <w:r>
        <w:rPr>
          <w:spacing w:val="-2"/>
          <w:sz w:val="22"/>
        </w:rPr>
        <w:t> </w:t>
      </w:r>
      <w:r>
        <w:rPr>
          <w:spacing w:val="-10"/>
          <w:sz w:val="22"/>
        </w:rPr>
        <w:t>[</w:t>
      </w:r>
      <w:r>
        <w:rPr>
          <w:sz w:val="22"/>
        </w:rPr>
        <w:tab/>
      </w:r>
      <w:r>
        <w:rPr>
          <w:spacing w:val="-10"/>
          <w:sz w:val="22"/>
        </w:rPr>
        <w:t>]</w:t>
      </w:r>
    </w:p>
    <w:p>
      <w:pPr>
        <w:pStyle w:val="ListParagraph"/>
        <w:numPr>
          <w:ilvl w:val="0"/>
          <w:numId w:val="112"/>
        </w:numPr>
        <w:tabs>
          <w:tab w:pos="451" w:val="left" w:leader="none"/>
        </w:tabs>
        <w:spacing w:line="240" w:lineRule="auto" w:before="205" w:after="0"/>
        <w:ind w:left="120" w:right="1121" w:firstLine="0"/>
        <w:jc w:val="left"/>
        <w:rPr>
          <w:sz w:val="22"/>
        </w:rPr>
      </w:pPr>
      <w:r>
        <w:rPr>
          <w:sz w:val="22"/>
        </w:rPr>
        <w:t>Is</w:t>
      </w:r>
      <w:r>
        <w:rPr>
          <w:spacing w:val="-2"/>
          <w:sz w:val="22"/>
        </w:rPr>
        <w:t> </w:t>
      </w:r>
      <w:r>
        <w:rPr>
          <w:sz w:val="22"/>
        </w:rPr>
        <w:t>a</w:t>
      </w:r>
      <w:r>
        <w:rPr>
          <w:spacing w:val="-2"/>
          <w:sz w:val="22"/>
        </w:rPr>
        <w:t> </w:t>
      </w:r>
      <w:r>
        <w:rPr>
          <w:sz w:val="22"/>
        </w:rPr>
        <w:t>needs</w:t>
      </w:r>
      <w:r>
        <w:rPr>
          <w:spacing w:val="-2"/>
          <w:sz w:val="22"/>
        </w:rPr>
        <w:t> </w:t>
      </w:r>
      <w:r>
        <w:rPr>
          <w:sz w:val="22"/>
        </w:rPr>
        <w:t>assessment</w:t>
      </w:r>
      <w:r>
        <w:rPr>
          <w:spacing w:val="-1"/>
          <w:sz w:val="22"/>
        </w:rPr>
        <w:t> </w:t>
      </w:r>
      <w:r>
        <w:rPr>
          <w:sz w:val="22"/>
        </w:rPr>
        <w:t>or</w:t>
      </w:r>
      <w:r>
        <w:rPr>
          <w:spacing w:val="-2"/>
          <w:sz w:val="22"/>
        </w:rPr>
        <w:t> </w:t>
      </w:r>
      <w:r>
        <w:rPr>
          <w:sz w:val="22"/>
        </w:rPr>
        <w:t>research</w:t>
      </w:r>
      <w:r>
        <w:rPr>
          <w:spacing w:val="-2"/>
          <w:sz w:val="22"/>
        </w:rPr>
        <w:t> </w:t>
      </w:r>
      <w:r>
        <w:rPr>
          <w:sz w:val="22"/>
        </w:rPr>
        <w:t>on</w:t>
      </w:r>
      <w:r>
        <w:rPr>
          <w:spacing w:val="-2"/>
          <w:sz w:val="22"/>
        </w:rPr>
        <w:t> </w:t>
      </w:r>
      <w:r>
        <w:rPr>
          <w:sz w:val="22"/>
        </w:rPr>
        <w:t>housing</w:t>
      </w:r>
      <w:r>
        <w:rPr>
          <w:spacing w:val="-5"/>
          <w:sz w:val="22"/>
        </w:rPr>
        <w:t> </w:t>
      </w:r>
      <w:r>
        <w:rPr>
          <w:sz w:val="22"/>
        </w:rPr>
        <w:t>needs</w:t>
      </w:r>
      <w:r>
        <w:rPr>
          <w:spacing w:val="-4"/>
          <w:sz w:val="22"/>
        </w:rPr>
        <w:t> </w:t>
      </w:r>
      <w:r>
        <w:rPr>
          <w:sz w:val="22"/>
        </w:rPr>
        <w:t>of</w:t>
      </w:r>
      <w:r>
        <w:rPr>
          <w:spacing w:val="-2"/>
          <w:sz w:val="22"/>
        </w:rPr>
        <w:t> </w:t>
      </w:r>
      <w:r>
        <w:rPr>
          <w:sz w:val="22"/>
        </w:rPr>
        <w:t>the</w:t>
      </w:r>
      <w:r>
        <w:rPr>
          <w:spacing w:val="-2"/>
          <w:sz w:val="22"/>
        </w:rPr>
        <w:t> </w:t>
      </w:r>
      <w:r>
        <w:rPr>
          <w:sz w:val="22"/>
        </w:rPr>
        <w:t>citizenry</w:t>
      </w:r>
      <w:r>
        <w:rPr>
          <w:spacing w:val="-5"/>
          <w:sz w:val="22"/>
        </w:rPr>
        <w:t> </w:t>
      </w:r>
      <w:r>
        <w:rPr>
          <w:sz w:val="22"/>
        </w:rPr>
        <w:t>carried</w:t>
      </w:r>
      <w:r>
        <w:rPr>
          <w:spacing w:val="-2"/>
          <w:sz w:val="22"/>
        </w:rPr>
        <w:t> </w:t>
      </w:r>
      <w:r>
        <w:rPr>
          <w:sz w:val="22"/>
        </w:rPr>
        <w:t>out</w:t>
      </w:r>
      <w:r>
        <w:rPr>
          <w:spacing w:val="-4"/>
          <w:sz w:val="22"/>
        </w:rPr>
        <w:t> </w:t>
      </w:r>
      <w:r>
        <w:rPr>
          <w:sz w:val="22"/>
        </w:rPr>
        <w:t>by</w:t>
      </w:r>
      <w:r>
        <w:rPr>
          <w:spacing w:val="-5"/>
          <w:sz w:val="22"/>
        </w:rPr>
        <w:t> </w:t>
      </w:r>
      <w:r>
        <w:rPr>
          <w:sz w:val="22"/>
        </w:rPr>
        <w:t>the</w:t>
      </w:r>
      <w:r>
        <w:rPr>
          <w:spacing w:val="-2"/>
          <w:sz w:val="22"/>
        </w:rPr>
        <w:t> </w:t>
      </w:r>
      <w:r>
        <w:rPr>
          <w:sz w:val="22"/>
        </w:rPr>
        <w:t>Housing</w:t>
      </w:r>
      <w:r>
        <w:rPr>
          <w:spacing w:val="-3"/>
          <w:sz w:val="22"/>
        </w:rPr>
        <w:t> </w:t>
      </w:r>
      <w:r>
        <w:rPr>
          <w:sz w:val="22"/>
        </w:rPr>
        <w:t>MDA‘s before housing budgets estimates are formulated or prepared?</w:t>
      </w:r>
    </w:p>
    <w:p>
      <w:pPr>
        <w:tabs>
          <w:tab w:pos="1110" w:val="left" w:leader="none"/>
          <w:tab w:pos="2165" w:val="left" w:leader="none"/>
          <w:tab w:pos="3631" w:val="left" w:leader="none"/>
        </w:tabs>
        <w:spacing w:before="1"/>
        <w:ind w:left="120" w:right="0" w:firstLine="0"/>
        <w:jc w:val="left"/>
        <w:rPr>
          <w:sz w:val="22"/>
        </w:rPr>
      </w:pPr>
      <w:r>
        <w:rPr>
          <w:sz w:val="22"/>
        </w:rPr>
        <w:t>(a)</w:t>
      </w:r>
      <w:r>
        <w:rPr>
          <w:spacing w:val="-2"/>
          <w:sz w:val="22"/>
        </w:rPr>
        <w:t> </w:t>
      </w:r>
      <w:r>
        <w:rPr>
          <w:sz w:val="22"/>
        </w:rPr>
        <w:t>Yes</w:t>
      </w:r>
      <w:r>
        <w:rPr>
          <w:spacing w:val="-1"/>
          <w:sz w:val="22"/>
        </w:rPr>
        <w:t> </w:t>
      </w:r>
      <w:r>
        <w:rPr>
          <w:spacing w:val="-10"/>
          <w:sz w:val="22"/>
        </w:rPr>
        <w:t>[</w:t>
      </w:r>
      <w:r>
        <w:rPr>
          <w:sz w:val="22"/>
        </w:rPr>
        <w:tab/>
        <w:t>]</w:t>
      </w:r>
      <w:r>
        <w:rPr>
          <w:spacing w:val="-3"/>
          <w:sz w:val="22"/>
        </w:rPr>
        <w:t> </w:t>
      </w:r>
      <w:r>
        <w:rPr>
          <w:sz w:val="22"/>
        </w:rPr>
        <w:t>(b)</w:t>
      </w:r>
      <w:r>
        <w:rPr>
          <w:spacing w:val="-1"/>
          <w:sz w:val="22"/>
        </w:rPr>
        <w:t> </w:t>
      </w:r>
      <w:r>
        <w:rPr>
          <w:sz w:val="22"/>
        </w:rPr>
        <w:t>No</w:t>
      </w:r>
      <w:r>
        <w:rPr>
          <w:spacing w:val="-3"/>
          <w:sz w:val="22"/>
        </w:rPr>
        <w:t> </w:t>
      </w:r>
      <w:r>
        <w:rPr>
          <w:spacing w:val="-10"/>
          <w:sz w:val="22"/>
        </w:rPr>
        <w:t>[</w:t>
      </w:r>
      <w:r>
        <w:rPr>
          <w:sz w:val="22"/>
        </w:rPr>
        <w:tab/>
        <w:t>]</w:t>
      </w:r>
      <w:r>
        <w:rPr>
          <w:spacing w:val="-2"/>
          <w:sz w:val="22"/>
        </w:rPr>
        <w:t> </w:t>
      </w:r>
      <w:r>
        <w:rPr>
          <w:sz w:val="22"/>
        </w:rPr>
        <w:t>(c)</w:t>
      </w:r>
      <w:r>
        <w:rPr>
          <w:spacing w:val="-1"/>
          <w:sz w:val="22"/>
        </w:rPr>
        <w:t> </w:t>
      </w:r>
      <w:r>
        <w:rPr>
          <w:sz w:val="22"/>
        </w:rPr>
        <w:t>No</w:t>
      </w:r>
      <w:r>
        <w:rPr>
          <w:spacing w:val="-2"/>
          <w:sz w:val="22"/>
        </w:rPr>
        <w:t> </w:t>
      </w:r>
      <w:r>
        <w:rPr>
          <w:sz w:val="22"/>
        </w:rPr>
        <w:t>idea</w:t>
      </w:r>
      <w:r>
        <w:rPr>
          <w:spacing w:val="-2"/>
          <w:sz w:val="22"/>
        </w:rPr>
        <w:t> </w:t>
      </w:r>
      <w:r>
        <w:rPr>
          <w:spacing w:val="-10"/>
          <w:sz w:val="22"/>
        </w:rPr>
        <w:t>[</w:t>
      </w:r>
      <w:r>
        <w:rPr>
          <w:sz w:val="22"/>
        </w:rPr>
        <w:tab/>
      </w:r>
      <w:r>
        <w:rPr>
          <w:spacing w:val="-10"/>
          <w:sz w:val="22"/>
        </w:rPr>
        <w:t>]</w:t>
      </w:r>
    </w:p>
    <w:p>
      <w:pPr>
        <w:pStyle w:val="ListParagraph"/>
        <w:numPr>
          <w:ilvl w:val="0"/>
          <w:numId w:val="112"/>
        </w:numPr>
        <w:tabs>
          <w:tab w:pos="451" w:val="left" w:leader="none"/>
        </w:tabs>
        <w:spacing w:line="240" w:lineRule="auto" w:before="242" w:after="5"/>
        <w:ind w:left="451" w:right="0" w:hanging="331"/>
        <w:jc w:val="left"/>
        <w:rPr>
          <w:i/>
          <w:sz w:val="22"/>
        </w:rPr>
      </w:pPr>
      <w:r>
        <w:rPr>
          <w:sz w:val="22"/>
        </w:rPr>
        <w:t>If</w:t>
      </w:r>
      <w:r>
        <w:rPr>
          <w:spacing w:val="-5"/>
          <w:sz w:val="22"/>
        </w:rPr>
        <w:t> </w:t>
      </w:r>
      <w:r>
        <w:rPr>
          <w:sz w:val="22"/>
        </w:rPr>
        <w:t>yes,</w:t>
      </w:r>
      <w:r>
        <w:rPr>
          <w:spacing w:val="-3"/>
          <w:sz w:val="22"/>
        </w:rPr>
        <w:t> </w:t>
      </w:r>
      <w:r>
        <w:rPr>
          <w:sz w:val="22"/>
        </w:rPr>
        <w:t>when</w:t>
      </w:r>
      <w:r>
        <w:rPr>
          <w:spacing w:val="-3"/>
          <w:sz w:val="22"/>
        </w:rPr>
        <w:t> </w:t>
      </w:r>
      <w:r>
        <w:rPr>
          <w:sz w:val="22"/>
        </w:rPr>
        <w:t>is</w:t>
      </w:r>
      <w:r>
        <w:rPr>
          <w:spacing w:val="-3"/>
          <w:sz w:val="22"/>
        </w:rPr>
        <w:t> </w:t>
      </w:r>
      <w:r>
        <w:rPr>
          <w:sz w:val="22"/>
        </w:rPr>
        <w:t>this</w:t>
      </w:r>
      <w:r>
        <w:rPr>
          <w:spacing w:val="-5"/>
          <w:sz w:val="22"/>
        </w:rPr>
        <w:t> </w:t>
      </w:r>
      <w:r>
        <w:rPr>
          <w:sz w:val="22"/>
        </w:rPr>
        <w:t>needs</w:t>
      </w:r>
      <w:r>
        <w:rPr>
          <w:spacing w:val="-3"/>
          <w:sz w:val="22"/>
        </w:rPr>
        <w:t> </w:t>
      </w:r>
      <w:r>
        <w:rPr>
          <w:sz w:val="22"/>
        </w:rPr>
        <w:t>assessment</w:t>
      </w:r>
      <w:r>
        <w:rPr>
          <w:spacing w:val="-1"/>
          <w:sz w:val="22"/>
        </w:rPr>
        <w:t> </w:t>
      </w:r>
      <w:r>
        <w:rPr>
          <w:sz w:val="22"/>
        </w:rPr>
        <w:t>usually</w:t>
      </w:r>
      <w:r>
        <w:rPr>
          <w:spacing w:val="-6"/>
          <w:sz w:val="22"/>
        </w:rPr>
        <w:t> </w:t>
      </w:r>
      <w:r>
        <w:rPr>
          <w:sz w:val="22"/>
        </w:rPr>
        <w:t>carried</w:t>
      </w:r>
      <w:r>
        <w:rPr>
          <w:spacing w:val="-3"/>
          <w:sz w:val="22"/>
        </w:rPr>
        <w:t> </w:t>
      </w:r>
      <w:r>
        <w:rPr>
          <w:sz w:val="22"/>
        </w:rPr>
        <w:t>out?</w:t>
      </w:r>
      <w:r>
        <w:rPr>
          <w:spacing w:val="-1"/>
          <w:sz w:val="22"/>
        </w:rPr>
        <w:t> </w:t>
      </w:r>
      <w:r>
        <w:rPr>
          <w:sz w:val="22"/>
        </w:rPr>
        <w:t>(</w:t>
      </w:r>
      <w:r>
        <w:rPr>
          <w:i/>
          <w:sz w:val="22"/>
        </w:rPr>
        <w:t>Please</w:t>
      </w:r>
      <w:r>
        <w:rPr>
          <w:i/>
          <w:spacing w:val="-3"/>
          <w:sz w:val="22"/>
        </w:rPr>
        <w:t> </w:t>
      </w:r>
      <w:r>
        <w:rPr>
          <w:i/>
          <w:sz w:val="22"/>
        </w:rPr>
        <w:t>tick</w:t>
      </w:r>
      <w:r>
        <w:rPr>
          <w:i/>
          <w:spacing w:val="-5"/>
          <w:sz w:val="22"/>
        </w:rPr>
        <w:t> </w:t>
      </w:r>
      <w:r>
        <w:rPr>
          <w:i/>
          <w:sz w:val="22"/>
        </w:rPr>
        <w:t>as</w:t>
      </w:r>
      <w:r>
        <w:rPr>
          <w:i/>
          <w:spacing w:val="-2"/>
          <w:sz w:val="22"/>
        </w:rPr>
        <w:t> appropriate).</w:t>
      </w: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42"/>
        <w:gridCol w:w="941"/>
      </w:tblGrid>
      <w:tr>
        <w:trPr>
          <w:trHeight w:val="309" w:hRule="atLeast"/>
        </w:trPr>
        <w:tc>
          <w:tcPr>
            <w:tcW w:w="7742" w:type="dxa"/>
          </w:tcPr>
          <w:p>
            <w:pPr>
              <w:pStyle w:val="TableParagraph"/>
              <w:spacing w:line="225" w:lineRule="exact"/>
              <w:ind w:left="107"/>
              <w:rPr>
                <w:sz w:val="20"/>
              </w:rPr>
            </w:pPr>
            <w:r>
              <w:rPr>
                <w:sz w:val="20"/>
              </w:rPr>
              <w:t>Once</w:t>
            </w:r>
            <w:r>
              <w:rPr>
                <w:spacing w:val="-5"/>
                <w:sz w:val="20"/>
              </w:rPr>
              <w:t> </w:t>
            </w:r>
            <w:r>
              <w:rPr>
                <w:sz w:val="20"/>
              </w:rPr>
              <w:t>a</w:t>
            </w:r>
            <w:r>
              <w:rPr>
                <w:spacing w:val="-3"/>
                <w:sz w:val="20"/>
              </w:rPr>
              <w:t> </w:t>
            </w:r>
            <w:r>
              <w:rPr>
                <w:sz w:val="20"/>
              </w:rPr>
              <w:t>year;</w:t>
            </w:r>
            <w:r>
              <w:rPr>
                <w:spacing w:val="-6"/>
                <w:sz w:val="20"/>
              </w:rPr>
              <w:t> </w:t>
            </w:r>
            <w:r>
              <w:rPr>
                <w:sz w:val="20"/>
              </w:rPr>
              <w:t>before</w:t>
            </w:r>
            <w:r>
              <w:rPr>
                <w:spacing w:val="-5"/>
                <w:sz w:val="20"/>
              </w:rPr>
              <w:t> </w:t>
            </w:r>
            <w:r>
              <w:rPr>
                <w:sz w:val="20"/>
              </w:rPr>
              <w:t>preparation</w:t>
            </w:r>
            <w:r>
              <w:rPr>
                <w:spacing w:val="-6"/>
                <w:sz w:val="20"/>
              </w:rPr>
              <w:t> </w:t>
            </w:r>
            <w:r>
              <w:rPr>
                <w:sz w:val="20"/>
              </w:rPr>
              <w:t>of</w:t>
            </w:r>
            <w:r>
              <w:rPr>
                <w:spacing w:val="-6"/>
                <w:sz w:val="20"/>
              </w:rPr>
              <w:t> </w:t>
            </w:r>
            <w:r>
              <w:rPr>
                <w:sz w:val="20"/>
              </w:rPr>
              <w:t>budget</w:t>
            </w:r>
            <w:r>
              <w:rPr>
                <w:spacing w:val="-6"/>
                <w:sz w:val="20"/>
              </w:rPr>
              <w:t> </w:t>
            </w:r>
            <w:r>
              <w:rPr>
                <w:spacing w:val="-2"/>
                <w:sz w:val="20"/>
              </w:rPr>
              <w:t>proposals</w:t>
            </w:r>
          </w:p>
        </w:tc>
        <w:tc>
          <w:tcPr>
            <w:tcW w:w="941" w:type="dxa"/>
          </w:tcPr>
          <w:p>
            <w:pPr>
              <w:pStyle w:val="TableParagraph"/>
              <w:rPr>
                <w:sz w:val="20"/>
              </w:rPr>
            </w:pPr>
          </w:p>
        </w:tc>
      </w:tr>
      <w:tr>
        <w:trPr>
          <w:trHeight w:val="287" w:hRule="atLeast"/>
        </w:trPr>
        <w:tc>
          <w:tcPr>
            <w:tcW w:w="7742" w:type="dxa"/>
          </w:tcPr>
          <w:p>
            <w:pPr>
              <w:pStyle w:val="TableParagraph"/>
              <w:spacing w:line="223" w:lineRule="exact"/>
              <w:ind w:left="107"/>
              <w:rPr>
                <w:sz w:val="20"/>
              </w:rPr>
            </w:pPr>
            <w:r>
              <w:rPr>
                <w:sz w:val="20"/>
              </w:rPr>
              <w:t>Sometimes;</w:t>
            </w:r>
            <w:r>
              <w:rPr>
                <w:spacing w:val="-5"/>
                <w:sz w:val="20"/>
              </w:rPr>
              <w:t> </w:t>
            </w:r>
            <w:r>
              <w:rPr>
                <w:sz w:val="20"/>
              </w:rPr>
              <w:t>whenever</w:t>
            </w:r>
            <w:r>
              <w:rPr>
                <w:spacing w:val="-6"/>
                <w:sz w:val="20"/>
              </w:rPr>
              <w:t> </w:t>
            </w:r>
            <w:r>
              <w:rPr>
                <w:sz w:val="20"/>
              </w:rPr>
              <w:t>it</w:t>
            </w:r>
            <w:r>
              <w:rPr>
                <w:spacing w:val="-7"/>
                <w:sz w:val="20"/>
              </w:rPr>
              <w:t> </w:t>
            </w:r>
            <w:r>
              <w:rPr>
                <w:sz w:val="20"/>
              </w:rPr>
              <w:t>is</w:t>
            </w:r>
            <w:r>
              <w:rPr>
                <w:spacing w:val="-7"/>
                <w:sz w:val="20"/>
              </w:rPr>
              <w:t> </w:t>
            </w:r>
            <w:r>
              <w:rPr>
                <w:spacing w:val="-2"/>
                <w:sz w:val="20"/>
              </w:rPr>
              <w:t>convenient</w:t>
            </w:r>
          </w:p>
        </w:tc>
        <w:tc>
          <w:tcPr>
            <w:tcW w:w="941" w:type="dxa"/>
          </w:tcPr>
          <w:p>
            <w:pPr>
              <w:pStyle w:val="TableParagraph"/>
              <w:rPr>
                <w:sz w:val="20"/>
              </w:rPr>
            </w:pPr>
          </w:p>
        </w:tc>
      </w:tr>
      <w:tr>
        <w:trPr>
          <w:trHeight w:val="265" w:hRule="atLeast"/>
        </w:trPr>
        <w:tc>
          <w:tcPr>
            <w:tcW w:w="7742" w:type="dxa"/>
          </w:tcPr>
          <w:p>
            <w:pPr>
              <w:pStyle w:val="TableParagraph"/>
              <w:spacing w:line="223" w:lineRule="exact"/>
              <w:ind w:left="107"/>
              <w:rPr>
                <w:sz w:val="20"/>
              </w:rPr>
            </w:pPr>
            <w:r>
              <w:rPr>
                <w:sz w:val="20"/>
              </w:rPr>
              <w:t>When</w:t>
            </w:r>
            <w:r>
              <w:rPr>
                <w:spacing w:val="-4"/>
                <w:sz w:val="20"/>
              </w:rPr>
              <w:t> </w:t>
            </w:r>
            <w:r>
              <w:rPr>
                <w:sz w:val="20"/>
              </w:rPr>
              <w:t>funds</w:t>
            </w:r>
            <w:r>
              <w:rPr>
                <w:spacing w:val="-6"/>
                <w:sz w:val="20"/>
              </w:rPr>
              <w:t> </w:t>
            </w:r>
            <w:r>
              <w:rPr>
                <w:sz w:val="20"/>
              </w:rPr>
              <w:t>are</w:t>
            </w:r>
            <w:r>
              <w:rPr>
                <w:spacing w:val="-4"/>
                <w:sz w:val="20"/>
              </w:rPr>
              <w:t> </w:t>
            </w:r>
            <w:r>
              <w:rPr>
                <w:spacing w:val="-2"/>
                <w:sz w:val="20"/>
              </w:rPr>
              <w:t>available</w:t>
            </w:r>
          </w:p>
        </w:tc>
        <w:tc>
          <w:tcPr>
            <w:tcW w:w="941" w:type="dxa"/>
          </w:tcPr>
          <w:p>
            <w:pPr>
              <w:pStyle w:val="TableParagraph"/>
              <w:rPr>
                <w:sz w:val="18"/>
              </w:rPr>
            </w:pPr>
          </w:p>
        </w:tc>
      </w:tr>
      <w:tr>
        <w:trPr>
          <w:trHeight w:val="273" w:hRule="atLeast"/>
        </w:trPr>
        <w:tc>
          <w:tcPr>
            <w:tcW w:w="7742" w:type="dxa"/>
          </w:tcPr>
          <w:p>
            <w:pPr>
              <w:pStyle w:val="TableParagraph"/>
              <w:spacing w:line="223" w:lineRule="exact"/>
              <w:ind w:left="107"/>
              <w:rPr>
                <w:sz w:val="20"/>
              </w:rPr>
            </w:pPr>
            <w:r>
              <w:rPr>
                <w:sz w:val="20"/>
              </w:rPr>
              <w:t>Often;</w:t>
            </w:r>
            <w:r>
              <w:rPr>
                <w:spacing w:val="-4"/>
                <w:sz w:val="20"/>
              </w:rPr>
              <w:t> </w:t>
            </w:r>
            <w:r>
              <w:rPr>
                <w:sz w:val="20"/>
              </w:rPr>
              <w:t>it</w:t>
            </w:r>
            <w:r>
              <w:rPr>
                <w:spacing w:val="-3"/>
                <w:sz w:val="20"/>
              </w:rPr>
              <w:t> </w:t>
            </w:r>
            <w:r>
              <w:rPr>
                <w:sz w:val="20"/>
              </w:rPr>
              <w:t>is</w:t>
            </w:r>
            <w:r>
              <w:rPr>
                <w:spacing w:val="-3"/>
                <w:sz w:val="20"/>
              </w:rPr>
              <w:t> </w:t>
            </w:r>
            <w:r>
              <w:rPr>
                <w:sz w:val="20"/>
              </w:rPr>
              <w:t>a</w:t>
            </w:r>
            <w:r>
              <w:rPr>
                <w:spacing w:val="-3"/>
                <w:sz w:val="20"/>
              </w:rPr>
              <w:t> </w:t>
            </w:r>
            <w:r>
              <w:rPr>
                <w:spacing w:val="-2"/>
                <w:sz w:val="20"/>
              </w:rPr>
              <w:t>routine</w:t>
            </w:r>
          </w:p>
        </w:tc>
        <w:tc>
          <w:tcPr>
            <w:tcW w:w="941" w:type="dxa"/>
          </w:tcPr>
          <w:p>
            <w:pPr>
              <w:pStyle w:val="TableParagraph"/>
              <w:rPr>
                <w:sz w:val="20"/>
              </w:rPr>
            </w:pPr>
          </w:p>
        </w:tc>
      </w:tr>
      <w:tr>
        <w:trPr>
          <w:trHeight w:val="273" w:hRule="atLeast"/>
        </w:trPr>
        <w:tc>
          <w:tcPr>
            <w:tcW w:w="7742" w:type="dxa"/>
          </w:tcPr>
          <w:p>
            <w:pPr>
              <w:pStyle w:val="TableParagraph"/>
              <w:spacing w:line="223" w:lineRule="exact"/>
              <w:ind w:left="107"/>
              <w:rPr>
                <w:sz w:val="20"/>
              </w:rPr>
            </w:pPr>
            <w:r>
              <w:rPr>
                <w:sz w:val="20"/>
              </w:rPr>
              <w:t>Others</w:t>
            </w:r>
            <w:r>
              <w:rPr>
                <w:spacing w:val="-8"/>
                <w:sz w:val="20"/>
              </w:rPr>
              <w:t> </w:t>
            </w:r>
            <w:r>
              <w:rPr>
                <w:spacing w:val="-2"/>
                <w:sz w:val="20"/>
              </w:rPr>
              <w:t>(Specify)</w:t>
            </w:r>
          </w:p>
        </w:tc>
        <w:tc>
          <w:tcPr>
            <w:tcW w:w="941" w:type="dxa"/>
          </w:tcPr>
          <w:p>
            <w:pPr>
              <w:pStyle w:val="TableParagraph"/>
              <w:rPr>
                <w:sz w:val="20"/>
              </w:rPr>
            </w:pPr>
          </w:p>
        </w:tc>
      </w:tr>
      <w:tr>
        <w:trPr>
          <w:trHeight w:val="275" w:hRule="atLeast"/>
        </w:trPr>
        <w:tc>
          <w:tcPr>
            <w:tcW w:w="7742" w:type="dxa"/>
          </w:tcPr>
          <w:p>
            <w:pPr>
              <w:pStyle w:val="TableParagraph"/>
              <w:spacing w:line="223" w:lineRule="exact"/>
              <w:ind w:left="107"/>
              <w:rPr>
                <w:sz w:val="20"/>
              </w:rPr>
            </w:pPr>
            <w:r>
              <w:rPr>
                <w:sz w:val="20"/>
              </w:rPr>
              <w:t>No</w:t>
            </w:r>
            <w:r>
              <w:rPr>
                <w:spacing w:val="-2"/>
                <w:sz w:val="20"/>
              </w:rPr>
              <w:t> </w:t>
            </w:r>
            <w:r>
              <w:rPr>
                <w:spacing w:val="-4"/>
                <w:sz w:val="20"/>
              </w:rPr>
              <w:t>idea</w:t>
            </w:r>
          </w:p>
        </w:tc>
        <w:tc>
          <w:tcPr>
            <w:tcW w:w="941" w:type="dxa"/>
          </w:tcPr>
          <w:p>
            <w:pPr>
              <w:pStyle w:val="TableParagraph"/>
              <w:rPr>
                <w:sz w:val="20"/>
              </w:rPr>
            </w:pPr>
          </w:p>
        </w:tc>
      </w:tr>
    </w:tbl>
    <w:p>
      <w:pPr>
        <w:pStyle w:val="ListParagraph"/>
        <w:numPr>
          <w:ilvl w:val="0"/>
          <w:numId w:val="112"/>
        </w:numPr>
        <w:tabs>
          <w:tab w:pos="468" w:val="left" w:leader="none"/>
        </w:tabs>
        <w:spacing w:line="240" w:lineRule="auto" w:before="99" w:after="0"/>
        <w:ind w:left="120" w:right="1114" w:firstLine="0"/>
        <w:jc w:val="left"/>
        <w:rPr>
          <w:sz w:val="22"/>
        </w:rPr>
      </w:pPr>
      <w:r>
        <w:rPr>
          <w:sz w:val="22"/>
        </w:rPr>
        <w:t>Is monitoring and evaluation of housing budget processes carried out by the Housing MDA‘s of the</w:t>
      </w:r>
      <w:r>
        <w:rPr>
          <w:spacing w:val="40"/>
          <w:sz w:val="22"/>
        </w:rPr>
        <w:t> </w:t>
      </w:r>
      <w:r>
        <w:rPr>
          <w:sz w:val="22"/>
        </w:rPr>
        <w:t>Anambra State Government?</w:t>
      </w:r>
    </w:p>
    <w:p>
      <w:pPr>
        <w:tabs>
          <w:tab w:pos="1110" w:val="left" w:leader="none"/>
          <w:tab w:pos="2165" w:val="left" w:leader="none"/>
          <w:tab w:pos="3634" w:val="left" w:leader="none"/>
        </w:tabs>
        <w:spacing w:before="1"/>
        <w:ind w:left="120" w:right="0" w:firstLine="0"/>
        <w:jc w:val="left"/>
        <w:rPr>
          <w:sz w:val="22"/>
        </w:rPr>
      </w:pPr>
      <w:r>
        <w:rPr>
          <w:sz w:val="22"/>
        </w:rPr>
        <w:t>(a)</w:t>
      </w:r>
      <w:r>
        <w:rPr>
          <w:spacing w:val="-2"/>
          <w:sz w:val="22"/>
        </w:rPr>
        <w:t> </w:t>
      </w:r>
      <w:r>
        <w:rPr>
          <w:sz w:val="22"/>
        </w:rPr>
        <w:t>Yes</w:t>
      </w:r>
      <w:r>
        <w:rPr>
          <w:spacing w:val="-1"/>
          <w:sz w:val="22"/>
        </w:rPr>
        <w:t> </w:t>
      </w:r>
      <w:r>
        <w:rPr>
          <w:spacing w:val="-10"/>
          <w:sz w:val="22"/>
        </w:rPr>
        <w:t>[</w:t>
      </w:r>
      <w:r>
        <w:rPr>
          <w:sz w:val="22"/>
        </w:rPr>
        <w:tab/>
        <w:t>]</w:t>
      </w:r>
      <w:r>
        <w:rPr>
          <w:spacing w:val="-3"/>
          <w:sz w:val="22"/>
        </w:rPr>
        <w:t> </w:t>
      </w:r>
      <w:r>
        <w:rPr>
          <w:sz w:val="22"/>
        </w:rPr>
        <w:t>(b)</w:t>
      </w:r>
      <w:r>
        <w:rPr>
          <w:spacing w:val="-1"/>
          <w:sz w:val="22"/>
        </w:rPr>
        <w:t> </w:t>
      </w:r>
      <w:r>
        <w:rPr>
          <w:sz w:val="22"/>
        </w:rPr>
        <w:t>No</w:t>
      </w:r>
      <w:r>
        <w:rPr>
          <w:spacing w:val="-3"/>
          <w:sz w:val="22"/>
        </w:rPr>
        <w:t> </w:t>
      </w:r>
      <w:r>
        <w:rPr>
          <w:spacing w:val="-10"/>
          <w:sz w:val="22"/>
        </w:rPr>
        <w:t>[</w:t>
      </w:r>
      <w:r>
        <w:rPr>
          <w:sz w:val="22"/>
        </w:rPr>
        <w:tab/>
        <w:t>]</w:t>
      </w:r>
      <w:r>
        <w:rPr>
          <w:spacing w:val="-2"/>
          <w:sz w:val="22"/>
        </w:rPr>
        <w:t> </w:t>
      </w:r>
      <w:r>
        <w:rPr>
          <w:sz w:val="22"/>
        </w:rPr>
        <w:t>(c)</w:t>
      </w:r>
      <w:r>
        <w:rPr>
          <w:spacing w:val="-1"/>
          <w:sz w:val="22"/>
        </w:rPr>
        <w:t> </w:t>
      </w:r>
      <w:r>
        <w:rPr>
          <w:sz w:val="22"/>
        </w:rPr>
        <w:t>No</w:t>
      </w:r>
      <w:r>
        <w:rPr>
          <w:spacing w:val="-2"/>
          <w:sz w:val="22"/>
        </w:rPr>
        <w:t> </w:t>
      </w:r>
      <w:r>
        <w:rPr>
          <w:sz w:val="22"/>
        </w:rPr>
        <w:t>idea</w:t>
      </w:r>
      <w:r>
        <w:rPr>
          <w:spacing w:val="-2"/>
          <w:sz w:val="22"/>
        </w:rPr>
        <w:t> </w:t>
      </w:r>
      <w:r>
        <w:rPr>
          <w:spacing w:val="-10"/>
          <w:sz w:val="22"/>
        </w:rPr>
        <w:t>[</w:t>
      </w:r>
      <w:r>
        <w:rPr>
          <w:sz w:val="22"/>
        </w:rPr>
        <w:tab/>
      </w:r>
      <w:r>
        <w:rPr>
          <w:spacing w:val="-10"/>
          <w:sz w:val="22"/>
        </w:rPr>
        <w:t>]</w:t>
      </w:r>
    </w:p>
    <w:p>
      <w:pPr>
        <w:pStyle w:val="BodyText"/>
        <w:spacing w:before="252"/>
        <w:rPr>
          <w:sz w:val="22"/>
        </w:rPr>
      </w:pPr>
    </w:p>
    <w:p>
      <w:pPr>
        <w:pStyle w:val="ListParagraph"/>
        <w:numPr>
          <w:ilvl w:val="0"/>
          <w:numId w:val="112"/>
        </w:numPr>
        <w:tabs>
          <w:tab w:pos="456" w:val="left" w:leader="none"/>
        </w:tabs>
        <w:spacing w:line="240" w:lineRule="auto" w:before="0" w:after="0"/>
        <w:ind w:left="120" w:right="1116" w:firstLine="0"/>
        <w:jc w:val="left"/>
        <w:rPr>
          <w:sz w:val="22"/>
        </w:rPr>
      </w:pPr>
      <w:r>
        <w:rPr>
          <w:sz w:val="22"/>
        </w:rPr>
        <w:t>In view of question 15</w:t>
      </w:r>
      <w:r>
        <w:rPr>
          <w:spacing w:val="-2"/>
          <w:sz w:val="22"/>
        </w:rPr>
        <w:t> </w:t>
      </w:r>
      <w:r>
        <w:rPr>
          <w:sz w:val="22"/>
        </w:rPr>
        <w:t>above, how often are performance reviews and reports</w:t>
      </w:r>
      <w:r>
        <w:rPr>
          <w:spacing w:val="-1"/>
          <w:sz w:val="22"/>
        </w:rPr>
        <w:t> </w:t>
      </w:r>
      <w:r>
        <w:rPr>
          <w:sz w:val="22"/>
        </w:rPr>
        <w:t>carried out/prepared for the housing budget process in Anambra State?</w:t>
      </w:r>
    </w:p>
    <w:p>
      <w:pPr>
        <w:tabs>
          <w:tab w:pos="1249" w:val="left" w:leader="none"/>
          <w:tab w:pos="1818" w:val="left" w:leader="none"/>
          <w:tab w:pos="2691" w:val="left" w:leader="none"/>
          <w:tab w:pos="3741" w:val="left" w:leader="none"/>
          <w:tab w:pos="5673" w:val="left" w:leader="none"/>
          <w:tab w:pos="7303" w:val="left" w:leader="none"/>
        </w:tabs>
        <w:spacing w:before="1"/>
        <w:ind w:left="120" w:right="3220" w:firstLine="0"/>
        <w:jc w:val="left"/>
        <w:rPr>
          <w:sz w:val="22"/>
        </w:rPr>
      </w:pPr>
      <w:r>
        <w:rPr>
          <w:sz w:val="22"/>
        </w:rPr>
        <w:t>(a) Once a year [</w:t>
        <w:tab/>
        <w:t>] (b) Twice a year [</w:t>
        <w:tab/>
        <w:t>] (c) Thrice a year [</w:t>
        <w:tab/>
        <w:t>] (d) Quarterly [</w:t>
        <w:tab/>
      </w:r>
      <w:r>
        <w:rPr>
          <w:spacing w:val="-10"/>
          <w:sz w:val="22"/>
        </w:rPr>
        <w:t>] </w:t>
      </w:r>
      <w:r>
        <w:rPr>
          <w:sz w:val="22"/>
        </w:rPr>
        <w:t>(e)Never [</w:t>
        <w:tab/>
        <w:t>] (f) No idea [</w:t>
        <w:tab/>
      </w:r>
      <w:r>
        <w:rPr>
          <w:spacing w:val="-10"/>
          <w:sz w:val="22"/>
        </w:rPr>
        <w:t>]</w:t>
      </w:r>
    </w:p>
    <w:p>
      <w:pPr>
        <w:pStyle w:val="BodyText"/>
        <w:spacing w:before="206"/>
        <w:rPr>
          <w:sz w:val="22"/>
        </w:rPr>
      </w:pPr>
    </w:p>
    <w:p>
      <w:pPr>
        <w:pStyle w:val="ListParagraph"/>
        <w:numPr>
          <w:ilvl w:val="0"/>
          <w:numId w:val="112"/>
        </w:numPr>
        <w:tabs>
          <w:tab w:pos="530" w:val="left" w:leader="none"/>
        </w:tabs>
        <w:spacing w:line="240" w:lineRule="auto" w:before="0" w:after="0"/>
        <w:ind w:left="120" w:right="1115" w:firstLine="0"/>
        <w:jc w:val="both"/>
        <w:rPr>
          <w:sz w:val="22"/>
        </w:rPr>
      </w:pPr>
      <w:r>
        <w:rPr>
          <w:sz w:val="22"/>
        </w:rPr>
        <w:t>Do the citizens of Anambra State, such as Civil Society Organizations(CSOs), Faith Based Organizations(FBOs), Non-Governmental Organization (NGOs) and Town Unions participate in the Housing budget process (preparations, approval, implementation and monitoring)?</w:t>
      </w:r>
    </w:p>
    <w:p>
      <w:pPr>
        <w:spacing w:line="252" w:lineRule="exact" w:before="0"/>
        <w:ind w:left="120" w:right="0" w:firstLine="0"/>
        <w:jc w:val="both"/>
        <w:rPr>
          <w:sz w:val="22"/>
        </w:rPr>
      </w:pPr>
      <w:r>
        <w:rPr>
          <w:sz w:val="22"/>
        </w:rPr>
        <w:t>(a) Yes [</w:t>
      </w:r>
      <w:r>
        <w:rPr>
          <w:spacing w:val="53"/>
          <w:sz w:val="22"/>
        </w:rPr>
        <w:t>  </w:t>
      </w:r>
      <w:r>
        <w:rPr>
          <w:sz w:val="22"/>
        </w:rPr>
        <w:t>]</w:t>
      </w:r>
      <w:r>
        <w:rPr>
          <w:spacing w:val="-2"/>
          <w:sz w:val="22"/>
        </w:rPr>
        <w:t> </w:t>
      </w:r>
      <w:r>
        <w:rPr>
          <w:sz w:val="22"/>
        </w:rPr>
        <w:t>(b) No</w:t>
      </w:r>
      <w:r>
        <w:rPr>
          <w:spacing w:val="-4"/>
          <w:sz w:val="22"/>
        </w:rPr>
        <w:t> </w:t>
      </w:r>
      <w:r>
        <w:rPr>
          <w:sz w:val="22"/>
        </w:rPr>
        <w:t>[</w:t>
      </w:r>
      <w:r>
        <w:rPr>
          <w:spacing w:val="53"/>
          <w:sz w:val="22"/>
        </w:rPr>
        <w:t>  </w:t>
      </w:r>
      <w:r>
        <w:rPr>
          <w:sz w:val="22"/>
        </w:rPr>
        <w:t>]</w:t>
      </w:r>
      <w:r>
        <w:rPr>
          <w:spacing w:val="1"/>
          <w:sz w:val="22"/>
        </w:rPr>
        <w:t> </w:t>
      </w:r>
      <w:r>
        <w:rPr>
          <w:sz w:val="22"/>
        </w:rPr>
        <w:t>(c)</w:t>
      </w:r>
      <w:r>
        <w:rPr>
          <w:spacing w:val="-2"/>
          <w:sz w:val="22"/>
        </w:rPr>
        <w:t> </w:t>
      </w:r>
      <w:r>
        <w:rPr>
          <w:sz w:val="22"/>
        </w:rPr>
        <w:t>No idea</w:t>
      </w:r>
      <w:r>
        <w:rPr>
          <w:spacing w:val="-3"/>
          <w:sz w:val="22"/>
        </w:rPr>
        <w:t> </w:t>
      </w:r>
      <w:r>
        <w:rPr>
          <w:sz w:val="22"/>
        </w:rPr>
        <w:t>[</w:t>
      </w:r>
      <w:r>
        <w:rPr>
          <w:spacing w:val="54"/>
          <w:sz w:val="22"/>
        </w:rPr>
        <w:t>  </w:t>
      </w:r>
      <w:r>
        <w:rPr>
          <w:spacing w:val="-10"/>
          <w:sz w:val="22"/>
        </w:rPr>
        <w:t>]</w:t>
      </w:r>
    </w:p>
    <w:p>
      <w:pPr>
        <w:pStyle w:val="BodyText"/>
        <w:rPr>
          <w:sz w:val="22"/>
        </w:rPr>
      </w:pPr>
    </w:p>
    <w:p>
      <w:pPr>
        <w:pStyle w:val="BodyText"/>
        <w:spacing w:before="1"/>
        <w:rPr>
          <w:sz w:val="22"/>
        </w:rPr>
      </w:pPr>
    </w:p>
    <w:p>
      <w:pPr>
        <w:pStyle w:val="ListParagraph"/>
        <w:numPr>
          <w:ilvl w:val="0"/>
          <w:numId w:val="112"/>
        </w:numPr>
        <w:tabs>
          <w:tab w:pos="501" w:val="left" w:leader="none"/>
        </w:tabs>
        <w:spacing w:line="240" w:lineRule="auto" w:before="1" w:after="0"/>
        <w:ind w:left="120" w:right="1116" w:firstLine="0"/>
        <w:jc w:val="both"/>
        <w:rPr>
          <w:i/>
          <w:sz w:val="22"/>
        </w:rPr>
      </w:pPr>
      <w:r>
        <w:rPr>
          <w:sz w:val="22"/>
        </w:rPr>
        <w:t>If yes to question 17, which of the following techniques or strategies is used to ensure citizen participation in the housing budget process of Anambra State? (</w:t>
      </w:r>
      <w:r>
        <w:rPr>
          <w:i/>
          <w:sz w:val="22"/>
        </w:rPr>
        <w:t>Please tick).</w:t>
      </w:r>
    </w:p>
    <w:p>
      <w:pPr>
        <w:pStyle w:val="BodyText"/>
        <w:spacing w:before="4"/>
        <w:rPr>
          <w:i/>
          <w:sz w:val="13"/>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20"/>
        <w:gridCol w:w="809"/>
      </w:tblGrid>
      <w:tr>
        <w:trPr>
          <w:trHeight w:val="230" w:hRule="atLeast"/>
        </w:trPr>
        <w:tc>
          <w:tcPr>
            <w:tcW w:w="4520" w:type="dxa"/>
          </w:tcPr>
          <w:p>
            <w:pPr>
              <w:pStyle w:val="TableParagraph"/>
              <w:spacing w:line="210" w:lineRule="exact"/>
              <w:ind w:left="107"/>
              <w:rPr>
                <w:b/>
                <w:sz w:val="20"/>
              </w:rPr>
            </w:pPr>
            <w:r>
              <w:rPr>
                <w:b/>
                <w:sz w:val="20"/>
              </w:rPr>
              <w:t>Participation</w:t>
            </w:r>
            <w:r>
              <w:rPr>
                <w:b/>
                <w:spacing w:val="-11"/>
                <w:sz w:val="20"/>
              </w:rPr>
              <w:t> </w:t>
            </w:r>
            <w:r>
              <w:rPr>
                <w:b/>
                <w:spacing w:val="-2"/>
                <w:sz w:val="20"/>
              </w:rPr>
              <w:t>technique</w:t>
            </w:r>
          </w:p>
        </w:tc>
        <w:tc>
          <w:tcPr>
            <w:tcW w:w="809" w:type="dxa"/>
          </w:tcPr>
          <w:p>
            <w:pPr>
              <w:pStyle w:val="TableParagraph"/>
              <w:rPr>
                <w:sz w:val="16"/>
              </w:rPr>
            </w:pPr>
          </w:p>
        </w:tc>
      </w:tr>
      <w:tr>
        <w:trPr>
          <w:trHeight w:val="230" w:hRule="atLeast"/>
        </w:trPr>
        <w:tc>
          <w:tcPr>
            <w:tcW w:w="4520" w:type="dxa"/>
          </w:tcPr>
          <w:p>
            <w:pPr>
              <w:pStyle w:val="TableParagraph"/>
              <w:spacing w:line="210" w:lineRule="exact"/>
              <w:ind w:left="107"/>
              <w:rPr>
                <w:sz w:val="20"/>
              </w:rPr>
            </w:pPr>
            <w:r>
              <w:rPr>
                <w:sz w:val="20"/>
              </w:rPr>
              <w:t>Public</w:t>
            </w:r>
            <w:r>
              <w:rPr>
                <w:spacing w:val="-4"/>
                <w:sz w:val="20"/>
              </w:rPr>
              <w:t> </w:t>
            </w:r>
            <w:r>
              <w:rPr>
                <w:spacing w:val="-2"/>
                <w:sz w:val="20"/>
              </w:rPr>
              <w:t>meetings/hearings/discussions</w:t>
            </w:r>
          </w:p>
        </w:tc>
        <w:tc>
          <w:tcPr>
            <w:tcW w:w="809" w:type="dxa"/>
          </w:tcPr>
          <w:p>
            <w:pPr>
              <w:pStyle w:val="TableParagraph"/>
              <w:rPr>
                <w:sz w:val="16"/>
              </w:rPr>
            </w:pPr>
          </w:p>
        </w:tc>
      </w:tr>
      <w:tr>
        <w:trPr>
          <w:trHeight w:val="230" w:hRule="atLeast"/>
        </w:trPr>
        <w:tc>
          <w:tcPr>
            <w:tcW w:w="4520" w:type="dxa"/>
          </w:tcPr>
          <w:p>
            <w:pPr>
              <w:pStyle w:val="TableParagraph"/>
              <w:spacing w:line="210" w:lineRule="exact"/>
              <w:ind w:left="107"/>
              <w:rPr>
                <w:sz w:val="20"/>
              </w:rPr>
            </w:pPr>
            <w:r>
              <w:rPr>
                <w:sz w:val="20"/>
              </w:rPr>
              <w:t>Participatory</w:t>
            </w:r>
            <w:r>
              <w:rPr>
                <w:spacing w:val="-11"/>
                <w:sz w:val="20"/>
              </w:rPr>
              <w:t> </w:t>
            </w:r>
            <w:r>
              <w:rPr>
                <w:sz w:val="20"/>
              </w:rPr>
              <w:t>budget</w:t>
            </w:r>
            <w:r>
              <w:rPr>
                <w:spacing w:val="-6"/>
                <w:sz w:val="20"/>
              </w:rPr>
              <w:t> </w:t>
            </w:r>
            <w:r>
              <w:rPr>
                <w:spacing w:val="-4"/>
                <w:sz w:val="20"/>
              </w:rPr>
              <w:t>forum</w:t>
            </w:r>
          </w:p>
        </w:tc>
        <w:tc>
          <w:tcPr>
            <w:tcW w:w="809" w:type="dxa"/>
          </w:tcPr>
          <w:p>
            <w:pPr>
              <w:pStyle w:val="TableParagraph"/>
              <w:rPr>
                <w:sz w:val="16"/>
              </w:rPr>
            </w:pPr>
          </w:p>
        </w:tc>
      </w:tr>
      <w:tr>
        <w:trPr>
          <w:trHeight w:val="230" w:hRule="atLeast"/>
        </w:trPr>
        <w:tc>
          <w:tcPr>
            <w:tcW w:w="4520" w:type="dxa"/>
          </w:tcPr>
          <w:p>
            <w:pPr>
              <w:pStyle w:val="TableParagraph"/>
              <w:spacing w:line="210" w:lineRule="exact"/>
              <w:ind w:left="107"/>
              <w:rPr>
                <w:sz w:val="20"/>
              </w:rPr>
            </w:pPr>
            <w:r>
              <w:rPr>
                <w:sz w:val="20"/>
              </w:rPr>
              <w:t>Focus</w:t>
            </w:r>
            <w:r>
              <w:rPr>
                <w:spacing w:val="-4"/>
                <w:sz w:val="20"/>
              </w:rPr>
              <w:t> </w:t>
            </w:r>
            <w:r>
              <w:rPr>
                <w:spacing w:val="-2"/>
                <w:sz w:val="20"/>
              </w:rPr>
              <w:t>groups</w:t>
            </w:r>
          </w:p>
        </w:tc>
        <w:tc>
          <w:tcPr>
            <w:tcW w:w="809" w:type="dxa"/>
          </w:tcPr>
          <w:p>
            <w:pPr>
              <w:pStyle w:val="TableParagraph"/>
              <w:rPr>
                <w:sz w:val="16"/>
              </w:rPr>
            </w:pPr>
          </w:p>
        </w:tc>
      </w:tr>
      <w:tr>
        <w:trPr>
          <w:trHeight w:val="230" w:hRule="atLeast"/>
        </w:trPr>
        <w:tc>
          <w:tcPr>
            <w:tcW w:w="4520" w:type="dxa"/>
          </w:tcPr>
          <w:p>
            <w:pPr>
              <w:pStyle w:val="TableParagraph"/>
              <w:spacing w:line="210" w:lineRule="exact"/>
              <w:ind w:left="107"/>
              <w:rPr>
                <w:sz w:val="20"/>
              </w:rPr>
            </w:pPr>
            <w:r>
              <w:rPr>
                <w:sz w:val="20"/>
              </w:rPr>
              <w:t>Advisory</w:t>
            </w:r>
            <w:r>
              <w:rPr>
                <w:spacing w:val="-12"/>
                <w:sz w:val="20"/>
              </w:rPr>
              <w:t> </w:t>
            </w:r>
            <w:r>
              <w:rPr>
                <w:spacing w:val="-2"/>
                <w:sz w:val="20"/>
              </w:rPr>
              <w:t>committees</w:t>
            </w:r>
          </w:p>
        </w:tc>
        <w:tc>
          <w:tcPr>
            <w:tcW w:w="809" w:type="dxa"/>
          </w:tcPr>
          <w:p>
            <w:pPr>
              <w:pStyle w:val="TableParagraph"/>
              <w:rPr>
                <w:sz w:val="16"/>
              </w:rPr>
            </w:pPr>
          </w:p>
        </w:tc>
      </w:tr>
      <w:tr>
        <w:trPr>
          <w:trHeight w:val="230" w:hRule="atLeast"/>
        </w:trPr>
        <w:tc>
          <w:tcPr>
            <w:tcW w:w="4520" w:type="dxa"/>
          </w:tcPr>
          <w:p>
            <w:pPr>
              <w:pStyle w:val="TableParagraph"/>
              <w:spacing w:line="210" w:lineRule="exact"/>
              <w:ind w:left="107"/>
              <w:rPr>
                <w:sz w:val="20"/>
              </w:rPr>
            </w:pPr>
            <w:r>
              <w:rPr>
                <w:sz w:val="20"/>
              </w:rPr>
              <w:t>Citizen</w:t>
            </w:r>
            <w:r>
              <w:rPr>
                <w:spacing w:val="-6"/>
                <w:sz w:val="20"/>
              </w:rPr>
              <w:t> </w:t>
            </w:r>
            <w:r>
              <w:rPr>
                <w:sz w:val="20"/>
              </w:rPr>
              <w:t>survey</w:t>
            </w:r>
            <w:r>
              <w:rPr>
                <w:spacing w:val="-6"/>
                <w:sz w:val="20"/>
              </w:rPr>
              <w:t> </w:t>
            </w:r>
            <w:r>
              <w:rPr>
                <w:sz w:val="20"/>
              </w:rPr>
              <w:t>and</w:t>
            </w:r>
            <w:r>
              <w:rPr>
                <w:spacing w:val="-4"/>
                <w:sz w:val="20"/>
              </w:rPr>
              <w:t> </w:t>
            </w:r>
            <w:r>
              <w:rPr>
                <w:spacing w:val="-2"/>
                <w:sz w:val="20"/>
              </w:rPr>
              <w:t>consultation</w:t>
            </w:r>
          </w:p>
        </w:tc>
        <w:tc>
          <w:tcPr>
            <w:tcW w:w="809" w:type="dxa"/>
          </w:tcPr>
          <w:p>
            <w:pPr>
              <w:pStyle w:val="TableParagraph"/>
              <w:rPr>
                <w:sz w:val="16"/>
              </w:rPr>
            </w:pPr>
          </w:p>
        </w:tc>
      </w:tr>
      <w:tr>
        <w:trPr>
          <w:trHeight w:val="230" w:hRule="atLeast"/>
        </w:trPr>
        <w:tc>
          <w:tcPr>
            <w:tcW w:w="4520" w:type="dxa"/>
          </w:tcPr>
          <w:p>
            <w:pPr>
              <w:pStyle w:val="TableParagraph"/>
              <w:spacing w:line="210" w:lineRule="exact"/>
              <w:ind w:left="107"/>
              <w:rPr>
                <w:sz w:val="20"/>
              </w:rPr>
            </w:pPr>
            <w:r>
              <w:rPr>
                <w:spacing w:val="-2"/>
                <w:sz w:val="20"/>
              </w:rPr>
              <w:t>Simulations</w:t>
            </w:r>
          </w:p>
        </w:tc>
        <w:tc>
          <w:tcPr>
            <w:tcW w:w="809" w:type="dxa"/>
          </w:tcPr>
          <w:p>
            <w:pPr>
              <w:pStyle w:val="TableParagraph"/>
              <w:rPr>
                <w:sz w:val="16"/>
              </w:rPr>
            </w:pPr>
          </w:p>
        </w:tc>
      </w:tr>
      <w:tr>
        <w:trPr>
          <w:trHeight w:val="230" w:hRule="atLeast"/>
        </w:trPr>
        <w:tc>
          <w:tcPr>
            <w:tcW w:w="4520" w:type="dxa"/>
          </w:tcPr>
          <w:p>
            <w:pPr>
              <w:pStyle w:val="TableParagraph"/>
              <w:spacing w:line="210" w:lineRule="exact"/>
              <w:ind w:left="107"/>
              <w:rPr>
                <w:sz w:val="20"/>
              </w:rPr>
            </w:pPr>
            <w:r>
              <w:rPr>
                <w:sz w:val="20"/>
              </w:rPr>
              <w:t>Others</w:t>
            </w:r>
            <w:r>
              <w:rPr>
                <w:spacing w:val="-8"/>
                <w:sz w:val="20"/>
              </w:rPr>
              <w:t> </w:t>
            </w:r>
            <w:r>
              <w:rPr>
                <w:spacing w:val="-2"/>
                <w:sz w:val="20"/>
              </w:rPr>
              <w:t>(specify)</w:t>
            </w:r>
          </w:p>
        </w:tc>
        <w:tc>
          <w:tcPr>
            <w:tcW w:w="809" w:type="dxa"/>
          </w:tcPr>
          <w:p>
            <w:pPr>
              <w:pStyle w:val="TableParagraph"/>
              <w:rPr>
                <w:sz w:val="16"/>
              </w:rPr>
            </w:pPr>
          </w:p>
        </w:tc>
      </w:tr>
      <w:tr>
        <w:trPr>
          <w:trHeight w:val="229" w:hRule="atLeast"/>
        </w:trPr>
        <w:tc>
          <w:tcPr>
            <w:tcW w:w="4520" w:type="dxa"/>
          </w:tcPr>
          <w:p>
            <w:pPr>
              <w:pStyle w:val="TableParagraph"/>
              <w:spacing w:line="210" w:lineRule="exact"/>
              <w:ind w:left="107"/>
              <w:rPr>
                <w:sz w:val="20"/>
              </w:rPr>
            </w:pPr>
            <w:r>
              <w:rPr>
                <w:sz w:val="20"/>
              </w:rPr>
              <w:t>No</w:t>
            </w:r>
            <w:r>
              <w:rPr>
                <w:spacing w:val="-2"/>
                <w:sz w:val="20"/>
              </w:rPr>
              <w:t> </w:t>
            </w:r>
            <w:r>
              <w:rPr>
                <w:spacing w:val="-4"/>
                <w:sz w:val="20"/>
              </w:rPr>
              <w:t>idea</w:t>
            </w:r>
          </w:p>
        </w:tc>
        <w:tc>
          <w:tcPr>
            <w:tcW w:w="809" w:type="dxa"/>
          </w:tcPr>
          <w:p>
            <w:pPr>
              <w:pStyle w:val="TableParagraph"/>
              <w:rPr>
                <w:sz w:val="16"/>
              </w:rPr>
            </w:pPr>
          </w:p>
        </w:tc>
      </w:tr>
    </w:tbl>
    <w:p>
      <w:pPr>
        <w:spacing w:after="0"/>
        <w:rPr>
          <w:sz w:val="16"/>
        </w:rPr>
        <w:sectPr>
          <w:pgSz w:w="12240" w:h="15840"/>
          <w:pgMar w:header="0" w:footer="1036" w:top="1360" w:bottom="1220" w:left="1320" w:right="320"/>
        </w:sectPr>
      </w:pPr>
    </w:p>
    <w:p>
      <w:pPr>
        <w:pStyle w:val="ListParagraph"/>
        <w:numPr>
          <w:ilvl w:val="0"/>
          <w:numId w:val="112"/>
        </w:numPr>
        <w:tabs>
          <w:tab w:pos="496" w:val="left" w:leader="none"/>
        </w:tabs>
        <w:spacing w:line="240" w:lineRule="auto" w:before="74" w:after="7"/>
        <w:ind w:left="120" w:right="1120" w:firstLine="0"/>
        <w:jc w:val="left"/>
        <w:rPr>
          <w:i/>
          <w:sz w:val="22"/>
        </w:rPr>
      </w:pPr>
      <w:r>
        <w:rPr>
          <w:sz w:val="22"/>
        </w:rPr>
        <w:t>On</w:t>
      </w:r>
      <w:r>
        <w:rPr>
          <w:spacing w:val="40"/>
          <w:sz w:val="22"/>
        </w:rPr>
        <w:t> </w:t>
      </w:r>
      <w:r>
        <w:rPr>
          <w:sz w:val="22"/>
        </w:rPr>
        <w:t>a</w:t>
      </w:r>
      <w:r>
        <w:rPr>
          <w:spacing w:val="40"/>
          <w:sz w:val="22"/>
        </w:rPr>
        <w:t> </w:t>
      </w:r>
      <w:r>
        <w:rPr>
          <w:sz w:val="22"/>
        </w:rPr>
        <w:t>scale</w:t>
      </w:r>
      <w:r>
        <w:rPr>
          <w:spacing w:val="40"/>
          <w:sz w:val="22"/>
        </w:rPr>
        <w:t> </w:t>
      </w:r>
      <w:r>
        <w:rPr>
          <w:sz w:val="22"/>
        </w:rPr>
        <w:t>of</w:t>
      </w:r>
      <w:r>
        <w:rPr>
          <w:spacing w:val="40"/>
          <w:sz w:val="22"/>
        </w:rPr>
        <w:t> </w:t>
      </w:r>
      <w:r>
        <w:rPr>
          <w:sz w:val="22"/>
        </w:rPr>
        <w:t>1(Don‘t</w:t>
      </w:r>
      <w:r>
        <w:rPr>
          <w:spacing w:val="40"/>
          <w:sz w:val="22"/>
        </w:rPr>
        <w:t> </w:t>
      </w:r>
      <w:r>
        <w:rPr>
          <w:sz w:val="22"/>
        </w:rPr>
        <w:t>know)</w:t>
      </w:r>
      <w:r>
        <w:rPr>
          <w:spacing w:val="40"/>
          <w:sz w:val="22"/>
        </w:rPr>
        <w:t> </w:t>
      </w:r>
      <w:r>
        <w:rPr>
          <w:sz w:val="22"/>
        </w:rPr>
        <w:t>–</w:t>
      </w:r>
      <w:r>
        <w:rPr>
          <w:spacing w:val="40"/>
          <w:sz w:val="22"/>
        </w:rPr>
        <w:t> </w:t>
      </w:r>
      <w:r>
        <w:rPr>
          <w:sz w:val="22"/>
        </w:rPr>
        <w:t>5(Strongly</w:t>
      </w:r>
      <w:r>
        <w:rPr>
          <w:spacing w:val="40"/>
          <w:sz w:val="22"/>
        </w:rPr>
        <w:t> </w:t>
      </w:r>
      <w:r>
        <w:rPr>
          <w:sz w:val="22"/>
        </w:rPr>
        <w:t>Agree),</w:t>
      </w:r>
      <w:r>
        <w:rPr>
          <w:spacing w:val="40"/>
          <w:sz w:val="22"/>
        </w:rPr>
        <w:t> </w:t>
      </w:r>
      <w:r>
        <w:rPr>
          <w:sz w:val="22"/>
        </w:rPr>
        <w:t>rate</w:t>
      </w:r>
      <w:r>
        <w:rPr>
          <w:spacing w:val="40"/>
          <w:sz w:val="22"/>
        </w:rPr>
        <w:t> </w:t>
      </w:r>
      <w:r>
        <w:rPr>
          <w:sz w:val="22"/>
        </w:rPr>
        <w:t>the</w:t>
      </w:r>
      <w:r>
        <w:rPr>
          <w:spacing w:val="40"/>
          <w:sz w:val="22"/>
        </w:rPr>
        <w:t> </w:t>
      </w:r>
      <w:r>
        <w:rPr>
          <w:sz w:val="22"/>
        </w:rPr>
        <w:t>extent</w:t>
      </w:r>
      <w:r>
        <w:rPr>
          <w:spacing w:val="40"/>
          <w:sz w:val="22"/>
        </w:rPr>
        <w:t> </w:t>
      </w:r>
      <w:r>
        <w:rPr>
          <w:sz w:val="22"/>
        </w:rPr>
        <w:t>to</w:t>
      </w:r>
      <w:r>
        <w:rPr>
          <w:spacing w:val="40"/>
          <w:sz w:val="22"/>
        </w:rPr>
        <w:t> </w:t>
      </w:r>
      <w:r>
        <w:rPr>
          <w:sz w:val="22"/>
        </w:rPr>
        <w:t>which</w:t>
      </w:r>
      <w:r>
        <w:rPr>
          <w:spacing w:val="40"/>
          <w:sz w:val="22"/>
        </w:rPr>
        <w:t> </w:t>
      </w:r>
      <w:r>
        <w:rPr>
          <w:sz w:val="22"/>
        </w:rPr>
        <w:t>you</w:t>
      </w:r>
      <w:r>
        <w:rPr>
          <w:spacing w:val="40"/>
          <w:sz w:val="22"/>
        </w:rPr>
        <w:t> </w:t>
      </w:r>
      <w:r>
        <w:rPr>
          <w:sz w:val="22"/>
        </w:rPr>
        <w:t>agree</w:t>
      </w:r>
      <w:r>
        <w:rPr>
          <w:spacing w:val="40"/>
          <w:sz w:val="22"/>
        </w:rPr>
        <w:t> </w:t>
      </w:r>
      <w:r>
        <w:rPr>
          <w:sz w:val="22"/>
        </w:rPr>
        <w:t>with</w:t>
      </w:r>
      <w:r>
        <w:rPr>
          <w:spacing w:val="40"/>
          <w:sz w:val="22"/>
        </w:rPr>
        <w:t> </w:t>
      </w:r>
      <w:r>
        <w:rPr>
          <w:sz w:val="22"/>
        </w:rPr>
        <w:t>the following problems hindering effective housing budget preparations in Anambra State? </w:t>
      </w:r>
      <w:r>
        <w:rPr>
          <w:i/>
          <w:sz w:val="22"/>
        </w:rPr>
        <w:t>(please tick)</w:t>
      </w: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2"/>
        <w:gridCol w:w="5670"/>
        <w:gridCol w:w="550"/>
        <w:gridCol w:w="632"/>
        <w:gridCol w:w="630"/>
        <w:gridCol w:w="639"/>
        <w:gridCol w:w="649"/>
      </w:tblGrid>
      <w:tr>
        <w:trPr>
          <w:trHeight w:val="460" w:hRule="atLeast"/>
        </w:trPr>
        <w:tc>
          <w:tcPr>
            <w:tcW w:w="622" w:type="dxa"/>
          </w:tcPr>
          <w:p>
            <w:pPr>
              <w:pStyle w:val="TableParagraph"/>
              <w:spacing w:line="228" w:lineRule="exact"/>
              <w:ind w:left="107"/>
              <w:rPr>
                <w:b/>
                <w:sz w:val="20"/>
              </w:rPr>
            </w:pPr>
            <w:r>
              <w:rPr>
                <w:b/>
                <w:spacing w:val="-5"/>
                <w:sz w:val="20"/>
              </w:rPr>
              <w:t>S/N</w:t>
            </w:r>
          </w:p>
        </w:tc>
        <w:tc>
          <w:tcPr>
            <w:tcW w:w="5670" w:type="dxa"/>
          </w:tcPr>
          <w:p>
            <w:pPr>
              <w:pStyle w:val="TableParagraph"/>
              <w:spacing w:line="228" w:lineRule="exact"/>
              <w:ind w:left="107"/>
              <w:rPr>
                <w:b/>
                <w:sz w:val="20"/>
              </w:rPr>
            </w:pPr>
            <w:r>
              <w:rPr>
                <w:b/>
                <w:spacing w:val="-2"/>
                <w:sz w:val="20"/>
              </w:rPr>
              <w:t>Factors</w:t>
            </w:r>
          </w:p>
        </w:tc>
        <w:tc>
          <w:tcPr>
            <w:tcW w:w="550" w:type="dxa"/>
          </w:tcPr>
          <w:p>
            <w:pPr>
              <w:pStyle w:val="TableParagraph"/>
              <w:spacing w:line="230" w:lineRule="exact"/>
              <w:ind w:left="107" w:right="169"/>
              <w:rPr>
                <w:b/>
                <w:sz w:val="20"/>
              </w:rPr>
            </w:pPr>
            <w:r>
              <w:rPr>
                <w:b/>
                <w:spacing w:val="-6"/>
                <w:sz w:val="20"/>
              </w:rPr>
              <w:t>SA </w:t>
            </w:r>
            <w:r>
              <w:rPr>
                <w:b/>
                <w:spacing w:val="-5"/>
                <w:sz w:val="20"/>
              </w:rPr>
              <w:t>(5)</w:t>
            </w:r>
          </w:p>
        </w:tc>
        <w:tc>
          <w:tcPr>
            <w:tcW w:w="632" w:type="dxa"/>
          </w:tcPr>
          <w:p>
            <w:pPr>
              <w:pStyle w:val="TableParagraph"/>
              <w:spacing w:line="230" w:lineRule="exact"/>
              <w:ind w:left="106" w:right="274"/>
              <w:rPr>
                <w:b/>
                <w:sz w:val="20"/>
              </w:rPr>
            </w:pPr>
            <w:r>
              <w:rPr>
                <w:b/>
                <w:spacing w:val="-10"/>
                <w:sz w:val="20"/>
              </w:rPr>
              <w:t>A</w:t>
            </w:r>
            <w:r>
              <w:rPr>
                <w:b/>
                <w:spacing w:val="-4"/>
                <w:sz w:val="20"/>
              </w:rPr>
              <w:t> (4)</w:t>
            </w:r>
          </w:p>
        </w:tc>
        <w:tc>
          <w:tcPr>
            <w:tcW w:w="630" w:type="dxa"/>
          </w:tcPr>
          <w:p>
            <w:pPr>
              <w:pStyle w:val="TableParagraph"/>
              <w:spacing w:line="230" w:lineRule="exact"/>
              <w:ind w:left="103" w:right="253"/>
              <w:rPr>
                <w:b/>
                <w:sz w:val="20"/>
              </w:rPr>
            </w:pPr>
            <w:r>
              <w:rPr>
                <w:b/>
                <w:spacing w:val="-6"/>
                <w:sz w:val="20"/>
              </w:rPr>
              <w:t>SD </w:t>
            </w:r>
            <w:r>
              <w:rPr>
                <w:b/>
                <w:spacing w:val="-5"/>
                <w:sz w:val="20"/>
              </w:rPr>
              <w:t>(3)</w:t>
            </w:r>
          </w:p>
        </w:tc>
        <w:tc>
          <w:tcPr>
            <w:tcW w:w="639" w:type="dxa"/>
          </w:tcPr>
          <w:p>
            <w:pPr>
              <w:pStyle w:val="TableParagraph"/>
              <w:spacing w:line="230" w:lineRule="exact"/>
              <w:ind w:left="105" w:right="287"/>
              <w:rPr>
                <w:b/>
                <w:sz w:val="20"/>
              </w:rPr>
            </w:pPr>
            <w:r>
              <w:rPr>
                <w:b/>
                <w:spacing w:val="-10"/>
                <w:sz w:val="20"/>
              </w:rPr>
              <w:t>D</w:t>
            </w:r>
            <w:r>
              <w:rPr>
                <w:b/>
                <w:spacing w:val="-4"/>
                <w:sz w:val="20"/>
              </w:rPr>
              <w:t> (2)</w:t>
            </w:r>
          </w:p>
        </w:tc>
        <w:tc>
          <w:tcPr>
            <w:tcW w:w="649" w:type="dxa"/>
          </w:tcPr>
          <w:p>
            <w:pPr>
              <w:pStyle w:val="TableParagraph"/>
              <w:spacing w:line="230" w:lineRule="exact"/>
              <w:ind w:left="104" w:right="238"/>
              <w:rPr>
                <w:b/>
                <w:sz w:val="20"/>
              </w:rPr>
            </w:pPr>
            <w:r>
              <w:rPr>
                <w:b/>
                <w:spacing w:val="-6"/>
                <w:sz w:val="20"/>
              </w:rPr>
              <w:t>DN </w:t>
            </w:r>
            <w:r>
              <w:rPr>
                <w:b/>
                <w:spacing w:val="-4"/>
                <w:sz w:val="20"/>
              </w:rPr>
              <w:t>(1)</w:t>
            </w:r>
          </w:p>
        </w:tc>
      </w:tr>
      <w:tr>
        <w:trPr>
          <w:trHeight w:val="263" w:hRule="atLeast"/>
        </w:trPr>
        <w:tc>
          <w:tcPr>
            <w:tcW w:w="622" w:type="dxa"/>
          </w:tcPr>
          <w:p>
            <w:pPr>
              <w:pStyle w:val="TableParagraph"/>
              <w:spacing w:line="225" w:lineRule="exact"/>
              <w:ind w:left="107"/>
              <w:rPr>
                <w:sz w:val="20"/>
              </w:rPr>
            </w:pPr>
            <w:r>
              <w:rPr>
                <w:spacing w:val="-10"/>
                <w:sz w:val="20"/>
              </w:rPr>
              <w:t>1</w:t>
            </w:r>
          </w:p>
        </w:tc>
        <w:tc>
          <w:tcPr>
            <w:tcW w:w="5670" w:type="dxa"/>
          </w:tcPr>
          <w:p>
            <w:pPr>
              <w:pStyle w:val="TableParagraph"/>
              <w:spacing w:line="223" w:lineRule="exact"/>
              <w:ind w:left="107"/>
              <w:rPr>
                <w:sz w:val="20"/>
              </w:rPr>
            </w:pPr>
            <w:r>
              <w:rPr>
                <w:sz w:val="20"/>
              </w:rPr>
              <w:t>Lack</w:t>
            </w:r>
            <w:r>
              <w:rPr>
                <w:spacing w:val="-8"/>
                <w:sz w:val="20"/>
              </w:rPr>
              <w:t> </w:t>
            </w:r>
            <w:r>
              <w:rPr>
                <w:sz w:val="20"/>
              </w:rPr>
              <w:t>of</w:t>
            </w:r>
            <w:r>
              <w:rPr>
                <w:spacing w:val="-7"/>
                <w:sz w:val="20"/>
              </w:rPr>
              <w:t> </w:t>
            </w:r>
            <w:r>
              <w:rPr>
                <w:sz w:val="20"/>
              </w:rPr>
              <w:t>skilled/qualified</w:t>
            </w:r>
            <w:r>
              <w:rPr>
                <w:spacing w:val="-3"/>
                <w:sz w:val="20"/>
              </w:rPr>
              <w:t> </w:t>
            </w:r>
            <w:r>
              <w:rPr>
                <w:spacing w:val="-2"/>
                <w:sz w:val="20"/>
              </w:rPr>
              <w:t>personnel/professionals</w:t>
            </w:r>
          </w:p>
        </w:tc>
        <w:tc>
          <w:tcPr>
            <w:tcW w:w="550" w:type="dxa"/>
          </w:tcPr>
          <w:p>
            <w:pPr>
              <w:pStyle w:val="TableParagraph"/>
              <w:rPr>
                <w:sz w:val="18"/>
              </w:rPr>
            </w:pPr>
          </w:p>
        </w:tc>
        <w:tc>
          <w:tcPr>
            <w:tcW w:w="632" w:type="dxa"/>
          </w:tcPr>
          <w:p>
            <w:pPr>
              <w:pStyle w:val="TableParagraph"/>
              <w:rPr>
                <w:sz w:val="18"/>
              </w:rPr>
            </w:pPr>
          </w:p>
        </w:tc>
        <w:tc>
          <w:tcPr>
            <w:tcW w:w="630" w:type="dxa"/>
          </w:tcPr>
          <w:p>
            <w:pPr>
              <w:pStyle w:val="TableParagraph"/>
              <w:rPr>
                <w:sz w:val="18"/>
              </w:rPr>
            </w:pPr>
          </w:p>
        </w:tc>
        <w:tc>
          <w:tcPr>
            <w:tcW w:w="639" w:type="dxa"/>
          </w:tcPr>
          <w:p>
            <w:pPr>
              <w:pStyle w:val="TableParagraph"/>
              <w:rPr>
                <w:sz w:val="18"/>
              </w:rPr>
            </w:pPr>
          </w:p>
        </w:tc>
        <w:tc>
          <w:tcPr>
            <w:tcW w:w="649" w:type="dxa"/>
          </w:tcPr>
          <w:p>
            <w:pPr>
              <w:pStyle w:val="TableParagraph"/>
              <w:rPr>
                <w:sz w:val="18"/>
              </w:rPr>
            </w:pPr>
          </w:p>
        </w:tc>
      </w:tr>
      <w:tr>
        <w:trPr>
          <w:trHeight w:val="263" w:hRule="atLeast"/>
        </w:trPr>
        <w:tc>
          <w:tcPr>
            <w:tcW w:w="622" w:type="dxa"/>
          </w:tcPr>
          <w:p>
            <w:pPr>
              <w:pStyle w:val="TableParagraph"/>
              <w:spacing w:line="225" w:lineRule="exact"/>
              <w:ind w:left="107"/>
              <w:rPr>
                <w:sz w:val="20"/>
              </w:rPr>
            </w:pPr>
            <w:r>
              <w:rPr>
                <w:spacing w:val="-10"/>
                <w:sz w:val="20"/>
              </w:rPr>
              <w:t>2</w:t>
            </w:r>
          </w:p>
        </w:tc>
        <w:tc>
          <w:tcPr>
            <w:tcW w:w="5670" w:type="dxa"/>
          </w:tcPr>
          <w:p>
            <w:pPr>
              <w:pStyle w:val="TableParagraph"/>
              <w:spacing w:line="223" w:lineRule="exact"/>
              <w:ind w:left="107"/>
              <w:rPr>
                <w:sz w:val="20"/>
              </w:rPr>
            </w:pPr>
            <w:r>
              <w:rPr>
                <w:sz w:val="20"/>
              </w:rPr>
              <w:t>Insufficient</w:t>
            </w:r>
            <w:r>
              <w:rPr>
                <w:spacing w:val="-7"/>
                <w:sz w:val="20"/>
              </w:rPr>
              <w:t> </w:t>
            </w:r>
            <w:r>
              <w:rPr>
                <w:sz w:val="20"/>
              </w:rPr>
              <w:t>staff</w:t>
            </w:r>
            <w:r>
              <w:rPr>
                <w:spacing w:val="-8"/>
                <w:sz w:val="20"/>
              </w:rPr>
              <w:t> </w:t>
            </w:r>
            <w:r>
              <w:rPr>
                <w:sz w:val="20"/>
              </w:rPr>
              <w:t>(poor</w:t>
            </w:r>
            <w:r>
              <w:rPr>
                <w:spacing w:val="-6"/>
                <w:sz w:val="20"/>
              </w:rPr>
              <w:t> </w:t>
            </w:r>
            <w:r>
              <w:rPr>
                <w:sz w:val="20"/>
              </w:rPr>
              <w:t>staff</w:t>
            </w:r>
            <w:r>
              <w:rPr>
                <w:spacing w:val="-5"/>
                <w:sz w:val="20"/>
              </w:rPr>
              <w:t> </w:t>
            </w:r>
            <w:r>
              <w:rPr>
                <w:spacing w:val="-2"/>
                <w:sz w:val="20"/>
              </w:rPr>
              <w:t>strength)</w:t>
            </w:r>
          </w:p>
        </w:tc>
        <w:tc>
          <w:tcPr>
            <w:tcW w:w="550" w:type="dxa"/>
          </w:tcPr>
          <w:p>
            <w:pPr>
              <w:pStyle w:val="TableParagraph"/>
              <w:rPr>
                <w:sz w:val="18"/>
              </w:rPr>
            </w:pPr>
          </w:p>
        </w:tc>
        <w:tc>
          <w:tcPr>
            <w:tcW w:w="632" w:type="dxa"/>
          </w:tcPr>
          <w:p>
            <w:pPr>
              <w:pStyle w:val="TableParagraph"/>
              <w:rPr>
                <w:sz w:val="18"/>
              </w:rPr>
            </w:pPr>
          </w:p>
        </w:tc>
        <w:tc>
          <w:tcPr>
            <w:tcW w:w="630" w:type="dxa"/>
          </w:tcPr>
          <w:p>
            <w:pPr>
              <w:pStyle w:val="TableParagraph"/>
              <w:rPr>
                <w:sz w:val="18"/>
              </w:rPr>
            </w:pPr>
          </w:p>
        </w:tc>
        <w:tc>
          <w:tcPr>
            <w:tcW w:w="639" w:type="dxa"/>
          </w:tcPr>
          <w:p>
            <w:pPr>
              <w:pStyle w:val="TableParagraph"/>
              <w:rPr>
                <w:sz w:val="18"/>
              </w:rPr>
            </w:pPr>
          </w:p>
        </w:tc>
        <w:tc>
          <w:tcPr>
            <w:tcW w:w="649" w:type="dxa"/>
          </w:tcPr>
          <w:p>
            <w:pPr>
              <w:pStyle w:val="TableParagraph"/>
              <w:rPr>
                <w:sz w:val="18"/>
              </w:rPr>
            </w:pPr>
          </w:p>
        </w:tc>
      </w:tr>
      <w:tr>
        <w:trPr>
          <w:trHeight w:val="265" w:hRule="atLeast"/>
        </w:trPr>
        <w:tc>
          <w:tcPr>
            <w:tcW w:w="622" w:type="dxa"/>
          </w:tcPr>
          <w:p>
            <w:pPr>
              <w:pStyle w:val="TableParagraph"/>
              <w:spacing w:line="228" w:lineRule="exact"/>
              <w:ind w:left="107"/>
              <w:rPr>
                <w:sz w:val="20"/>
              </w:rPr>
            </w:pPr>
            <w:r>
              <w:rPr>
                <w:spacing w:val="-10"/>
                <w:sz w:val="20"/>
              </w:rPr>
              <w:t>3</w:t>
            </w:r>
          </w:p>
        </w:tc>
        <w:tc>
          <w:tcPr>
            <w:tcW w:w="5670" w:type="dxa"/>
          </w:tcPr>
          <w:p>
            <w:pPr>
              <w:pStyle w:val="TableParagraph"/>
              <w:spacing w:line="225" w:lineRule="exact"/>
              <w:ind w:left="107"/>
              <w:rPr>
                <w:sz w:val="20"/>
              </w:rPr>
            </w:pPr>
            <w:r>
              <w:rPr>
                <w:sz w:val="20"/>
              </w:rPr>
              <w:t>Poor</w:t>
            </w:r>
            <w:r>
              <w:rPr>
                <w:spacing w:val="-10"/>
                <w:sz w:val="20"/>
              </w:rPr>
              <w:t> </w:t>
            </w:r>
            <w:r>
              <w:rPr>
                <w:sz w:val="20"/>
              </w:rPr>
              <w:t>remuneration(salary,</w:t>
            </w:r>
            <w:r>
              <w:rPr>
                <w:spacing w:val="-10"/>
                <w:sz w:val="20"/>
              </w:rPr>
              <w:t> </w:t>
            </w:r>
            <w:r>
              <w:rPr>
                <w:sz w:val="20"/>
              </w:rPr>
              <w:t>allowances)and</w:t>
            </w:r>
            <w:r>
              <w:rPr>
                <w:spacing w:val="-9"/>
                <w:sz w:val="20"/>
              </w:rPr>
              <w:t> </w:t>
            </w:r>
            <w:r>
              <w:rPr>
                <w:sz w:val="20"/>
              </w:rPr>
              <w:t>conditions</w:t>
            </w:r>
            <w:r>
              <w:rPr>
                <w:spacing w:val="-10"/>
                <w:sz w:val="20"/>
              </w:rPr>
              <w:t> </w:t>
            </w:r>
            <w:r>
              <w:rPr>
                <w:sz w:val="20"/>
              </w:rPr>
              <w:t>of</w:t>
            </w:r>
            <w:r>
              <w:rPr>
                <w:spacing w:val="-11"/>
                <w:sz w:val="20"/>
              </w:rPr>
              <w:t> </w:t>
            </w:r>
            <w:r>
              <w:rPr>
                <w:spacing w:val="-2"/>
                <w:sz w:val="20"/>
              </w:rPr>
              <w:t>service</w:t>
            </w:r>
          </w:p>
        </w:tc>
        <w:tc>
          <w:tcPr>
            <w:tcW w:w="550" w:type="dxa"/>
          </w:tcPr>
          <w:p>
            <w:pPr>
              <w:pStyle w:val="TableParagraph"/>
              <w:rPr>
                <w:sz w:val="18"/>
              </w:rPr>
            </w:pPr>
          </w:p>
        </w:tc>
        <w:tc>
          <w:tcPr>
            <w:tcW w:w="632" w:type="dxa"/>
          </w:tcPr>
          <w:p>
            <w:pPr>
              <w:pStyle w:val="TableParagraph"/>
              <w:rPr>
                <w:sz w:val="18"/>
              </w:rPr>
            </w:pPr>
          </w:p>
        </w:tc>
        <w:tc>
          <w:tcPr>
            <w:tcW w:w="630" w:type="dxa"/>
          </w:tcPr>
          <w:p>
            <w:pPr>
              <w:pStyle w:val="TableParagraph"/>
              <w:rPr>
                <w:sz w:val="18"/>
              </w:rPr>
            </w:pPr>
          </w:p>
        </w:tc>
        <w:tc>
          <w:tcPr>
            <w:tcW w:w="639" w:type="dxa"/>
          </w:tcPr>
          <w:p>
            <w:pPr>
              <w:pStyle w:val="TableParagraph"/>
              <w:rPr>
                <w:sz w:val="18"/>
              </w:rPr>
            </w:pPr>
          </w:p>
        </w:tc>
        <w:tc>
          <w:tcPr>
            <w:tcW w:w="649" w:type="dxa"/>
          </w:tcPr>
          <w:p>
            <w:pPr>
              <w:pStyle w:val="TableParagraph"/>
              <w:rPr>
                <w:sz w:val="18"/>
              </w:rPr>
            </w:pPr>
          </w:p>
        </w:tc>
      </w:tr>
      <w:tr>
        <w:trPr>
          <w:trHeight w:val="263" w:hRule="atLeast"/>
        </w:trPr>
        <w:tc>
          <w:tcPr>
            <w:tcW w:w="622" w:type="dxa"/>
          </w:tcPr>
          <w:p>
            <w:pPr>
              <w:pStyle w:val="TableParagraph"/>
              <w:spacing w:line="225" w:lineRule="exact"/>
              <w:ind w:left="107"/>
              <w:rPr>
                <w:sz w:val="20"/>
              </w:rPr>
            </w:pPr>
            <w:r>
              <w:rPr>
                <w:spacing w:val="-10"/>
                <w:sz w:val="20"/>
              </w:rPr>
              <w:t>4</w:t>
            </w:r>
          </w:p>
        </w:tc>
        <w:tc>
          <w:tcPr>
            <w:tcW w:w="5670" w:type="dxa"/>
          </w:tcPr>
          <w:p>
            <w:pPr>
              <w:pStyle w:val="TableParagraph"/>
              <w:spacing w:line="223" w:lineRule="exact"/>
              <w:ind w:left="107"/>
              <w:rPr>
                <w:sz w:val="20"/>
              </w:rPr>
            </w:pPr>
            <w:r>
              <w:rPr>
                <w:sz w:val="20"/>
              </w:rPr>
              <w:t>Excess</w:t>
            </w:r>
            <w:r>
              <w:rPr>
                <w:spacing w:val="-7"/>
                <w:sz w:val="20"/>
              </w:rPr>
              <w:t> </w:t>
            </w:r>
            <w:r>
              <w:rPr>
                <w:spacing w:val="-2"/>
                <w:sz w:val="20"/>
              </w:rPr>
              <w:t>workload</w:t>
            </w:r>
          </w:p>
        </w:tc>
        <w:tc>
          <w:tcPr>
            <w:tcW w:w="550" w:type="dxa"/>
          </w:tcPr>
          <w:p>
            <w:pPr>
              <w:pStyle w:val="TableParagraph"/>
              <w:rPr>
                <w:sz w:val="18"/>
              </w:rPr>
            </w:pPr>
          </w:p>
        </w:tc>
        <w:tc>
          <w:tcPr>
            <w:tcW w:w="632" w:type="dxa"/>
          </w:tcPr>
          <w:p>
            <w:pPr>
              <w:pStyle w:val="TableParagraph"/>
              <w:rPr>
                <w:sz w:val="18"/>
              </w:rPr>
            </w:pPr>
          </w:p>
        </w:tc>
        <w:tc>
          <w:tcPr>
            <w:tcW w:w="630" w:type="dxa"/>
          </w:tcPr>
          <w:p>
            <w:pPr>
              <w:pStyle w:val="TableParagraph"/>
              <w:rPr>
                <w:sz w:val="18"/>
              </w:rPr>
            </w:pPr>
          </w:p>
        </w:tc>
        <w:tc>
          <w:tcPr>
            <w:tcW w:w="639" w:type="dxa"/>
          </w:tcPr>
          <w:p>
            <w:pPr>
              <w:pStyle w:val="TableParagraph"/>
              <w:rPr>
                <w:sz w:val="18"/>
              </w:rPr>
            </w:pPr>
          </w:p>
        </w:tc>
        <w:tc>
          <w:tcPr>
            <w:tcW w:w="649" w:type="dxa"/>
          </w:tcPr>
          <w:p>
            <w:pPr>
              <w:pStyle w:val="TableParagraph"/>
              <w:rPr>
                <w:sz w:val="18"/>
              </w:rPr>
            </w:pPr>
          </w:p>
        </w:tc>
      </w:tr>
      <w:tr>
        <w:trPr>
          <w:trHeight w:val="230" w:hRule="atLeast"/>
        </w:trPr>
        <w:tc>
          <w:tcPr>
            <w:tcW w:w="622" w:type="dxa"/>
          </w:tcPr>
          <w:p>
            <w:pPr>
              <w:pStyle w:val="TableParagraph"/>
              <w:spacing w:line="210" w:lineRule="exact"/>
              <w:ind w:left="107"/>
              <w:rPr>
                <w:sz w:val="20"/>
              </w:rPr>
            </w:pPr>
            <w:r>
              <w:rPr>
                <w:spacing w:val="-10"/>
                <w:sz w:val="20"/>
              </w:rPr>
              <w:t>5</w:t>
            </w:r>
          </w:p>
        </w:tc>
        <w:tc>
          <w:tcPr>
            <w:tcW w:w="5670" w:type="dxa"/>
          </w:tcPr>
          <w:p>
            <w:pPr>
              <w:pStyle w:val="TableParagraph"/>
              <w:spacing w:line="210" w:lineRule="exact"/>
              <w:ind w:left="107"/>
              <w:rPr>
                <w:sz w:val="20"/>
              </w:rPr>
            </w:pPr>
            <w:r>
              <w:rPr>
                <w:sz w:val="20"/>
              </w:rPr>
              <w:t>Unethical</w:t>
            </w:r>
            <w:r>
              <w:rPr>
                <w:spacing w:val="-6"/>
                <w:sz w:val="20"/>
              </w:rPr>
              <w:t> </w:t>
            </w:r>
            <w:r>
              <w:rPr>
                <w:sz w:val="20"/>
              </w:rPr>
              <w:t>practices</w:t>
            </w:r>
            <w:r>
              <w:rPr>
                <w:spacing w:val="-6"/>
                <w:sz w:val="20"/>
              </w:rPr>
              <w:t> </w:t>
            </w:r>
            <w:r>
              <w:rPr>
                <w:sz w:val="20"/>
              </w:rPr>
              <w:t>like</w:t>
            </w:r>
            <w:r>
              <w:rPr>
                <w:spacing w:val="-5"/>
                <w:sz w:val="20"/>
              </w:rPr>
              <w:t> </w:t>
            </w:r>
            <w:r>
              <w:rPr>
                <w:sz w:val="20"/>
              </w:rPr>
              <w:t>bribery</w:t>
            </w:r>
            <w:r>
              <w:rPr>
                <w:spacing w:val="-6"/>
                <w:sz w:val="20"/>
              </w:rPr>
              <w:t> </w:t>
            </w:r>
            <w:r>
              <w:rPr>
                <w:sz w:val="20"/>
              </w:rPr>
              <w:t>and</w:t>
            </w:r>
            <w:r>
              <w:rPr>
                <w:spacing w:val="-4"/>
                <w:sz w:val="20"/>
              </w:rPr>
              <w:t> </w:t>
            </w:r>
            <w:r>
              <w:rPr>
                <w:spacing w:val="-2"/>
                <w:sz w:val="20"/>
              </w:rPr>
              <w:t>corruption</w:t>
            </w:r>
          </w:p>
        </w:tc>
        <w:tc>
          <w:tcPr>
            <w:tcW w:w="550" w:type="dxa"/>
          </w:tcPr>
          <w:p>
            <w:pPr>
              <w:pStyle w:val="TableParagraph"/>
              <w:rPr>
                <w:sz w:val="16"/>
              </w:rPr>
            </w:pPr>
          </w:p>
        </w:tc>
        <w:tc>
          <w:tcPr>
            <w:tcW w:w="632" w:type="dxa"/>
          </w:tcPr>
          <w:p>
            <w:pPr>
              <w:pStyle w:val="TableParagraph"/>
              <w:rPr>
                <w:sz w:val="16"/>
              </w:rPr>
            </w:pPr>
          </w:p>
        </w:tc>
        <w:tc>
          <w:tcPr>
            <w:tcW w:w="630" w:type="dxa"/>
          </w:tcPr>
          <w:p>
            <w:pPr>
              <w:pStyle w:val="TableParagraph"/>
              <w:rPr>
                <w:sz w:val="16"/>
              </w:rPr>
            </w:pPr>
          </w:p>
        </w:tc>
        <w:tc>
          <w:tcPr>
            <w:tcW w:w="639" w:type="dxa"/>
          </w:tcPr>
          <w:p>
            <w:pPr>
              <w:pStyle w:val="TableParagraph"/>
              <w:rPr>
                <w:sz w:val="16"/>
              </w:rPr>
            </w:pPr>
          </w:p>
        </w:tc>
        <w:tc>
          <w:tcPr>
            <w:tcW w:w="649" w:type="dxa"/>
          </w:tcPr>
          <w:p>
            <w:pPr>
              <w:pStyle w:val="TableParagraph"/>
              <w:rPr>
                <w:sz w:val="16"/>
              </w:rPr>
            </w:pPr>
          </w:p>
        </w:tc>
      </w:tr>
      <w:tr>
        <w:trPr>
          <w:trHeight w:val="460" w:hRule="atLeast"/>
        </w:trPr>
        <w:tc>
          <w:tcPr>
            <w:tcW w:w="622" w:type="dxa"/>
          </w:tcPr>
          <w:p>
            <w:pPr>
              <w:pStyle w:val="TableParagraph"/>
              <w:spacing w:line="225" w:lineRule="exact"/>
              <w:ind w:left="107"/>
              <w:rPr>
                <w:sz w:val="20"/>
              </w:rPr>
            </w:pPr>
            <w:r>
              <w:rPr>
                <w:spacing w:val="-10"/>
                <w:sz w:val="20"/>
              </w:rPr>
              <w:t>6</w:t>
            </w:r>
          </w:p>
        </w:tc>
        <w:tc>
          <w:tcPr>
            <w:tcW w:w="5670" w:type="dxa"/>
          </w:tcPr>
          <w:p>
            <w:pPr>
              <w:pStyle w:val="TableParagraph"/>
              <w:spacing w:line="223" w:lineRule="exact"/>
              <w:ind w:left="107"/>
              <w:rPr>
                <w:sz w:val="20"/>
              </w:rPr>
            </w:pPr>
            <w:r>
              <w:rPr>
                <w:sz w:val="20"/>
              </w:rPr>
              <w:t>Lack</w:t>
            </w:r>
            <w:r>
              <w:rPr>
                <w:spacing w:val="-8"/>
                <w:sz w:val="20"/>
              </w:rPr>
              <w:t> </w:t>
            </w:r>
            <w:r>
              <w:rPr>
                <w:sz w:val="20"/>
              </w:rPr>
              <w:t>of</w:t>
            </w:r>
            <w:r>
              <w:rPr>
                <w:spacing w:val="-5"/>
                <w:sz w:val="20"/>
              </w:rPr>
              <w:t> </w:t>
            </w:r>
            <w:r>
              <w:rPr>
                <w:sz w:val="20"/>
              </w:rPr>
              <w:t>motivation</w:t>
            </w:r>
            <w:r>
              <w:rPr>
                <w:spacing w:val="-6"/>
                <w:sz w:val="20"/>
              </w:rPr>
              <w:t> </w:t>
            </w:r>
            <w:r>
              <w:rPr>
                <w:sz w:val="20"/>
              </w:rPr>
              <w:t>/incentives</w:t>
            </w:r>
            <w:r>
              <w:rPr>
                <w:spacing w:val="-5"/>
                <w:sz w:val="20"/>
              </w:rPr>
              <w:t> </w:t>
            </w:r>
            <w:r>
              <w:rPr>
                <w:sz w:val="20"/>
              </w:rPr>
              <w:t>like</w:t>
            </w:r>
            <w:r>
              <w:rPr>
                <w:spacing w:val="-6"/>
                <w:sz w:val="20"/>
              </w:rPr>
              <w:t> </w:t>
            </w:r>
            <w:r>
              <w:rPr>
                <w:sz w:val="20"/>
              </w:rPr>
              <w:t>project</w:t>
            </w:r>
            <w:r>
              <w:rPr>
                <w:spacing w:val="-7"/>
                <w:sz w:val="20"/>
              </w:rPr>
              <w:t> </w:t>
            </w:r>
            <w:r>
              <w:rPr>
                <w:sz w:val="20"/>
              </w:rPr>
              <w:t>monitoring</w:t>
            </w:r>
            <w:r>
              <w:rPr>
                <w:spacing w:val="-6"/>
                <w:sz w:val="20"/>
              </w:rPr>
              <w:t> </w:t>
            </w:r>
            <w:r>
              <w:rPr>
                <w:spacing w:val="-2"/>
                <w:sz w:val="20"/>
              </w:rPr>
              <w:t>vehicles,</w:t>
            </w:r>
          </w:p>
          <w:p>
            <w:pPr>
              <w:pStyle w:val="TableParagraph"/>
              <w:spacing w:line="217" w:lineRule="exact"/>
              <w:ind w:left="107"/>
              <w:rPr>
                <w:sz w:val="20"/>
              </w:rPr>
            </w:pPr>
            <w:r>
              <w:rPr>
                <w:sz w:val="20"/>
              </w:rPr>
              <w:t>computers,</w:t>
            </w:r>
            <w:r>
              <w:rPr>
                <w:spacing w:val="-5"/>
                <w:sz w:val="20"/>
              </w:rPr>
              <w:t> </w:t>
            </w:r>
            <w:r>
              <w:rPr>
                <w:sz w:val="20"/>
              </w:rPr>
              <w:t>work</w:t>
            </w:r>
            <w:r>
              <w:rPr>
                <w:spacing w:val="-6"/>
                <w:sz w:val="20"/>
              </w:rPr>
              <w:t> </w:t>
            </w:r>
            <w:r>
              <w:rPr>
                <w:sz w:val="20"/>
              </w:rPr>
              <w:t>tools</w:t>
            </w:r>
            <w:r>
              <w:rPr>
                <w:spacing w:val="-7"/>
                <w:sz w:val="20"/>
              </w:rPr>
              <w:t> </w:t>
            </w:r>
            <w:r>
              <w:rPr>
                <w:sz w:val="20"/>
              </w:rPr>
              <w:t>and</w:t>
            </w:r>
            <w:r>
              <w:rPr>
                <w:spacing w:val="-5"/>
                <w:sz w:val="20"/>
              </w:rPr>
              <w:t> </w:t>
            </w:r>
            <w:r>
              <w:rPr>
                <w:spacing w:val="-2"/>
                <w:sz w:val="20"/>
              </w:rPr>
              <w:t>facilities</w:t>
            </w:r>
          </w:p>
        </w:tc>
        <w:tc>
          <w:tcPr>
            <w:tcW w:w="550" w:type="dxa"/>
          </w:tcPr>
          <w:p>
            <w:pPr>
              <w:pStyle w:val="TableParagraph"/>
              <w:rPr>
                <w:sz w:val="20"/>
              </w:rPr>
            </w:pPr>
          </w:p>
        </w:tc>
        <w:tc>
          <w:tcPr>
            <w:tcW w:w="632" w:type="dxa"/>
          </w:tcPr>
          <w:p>
            <w:pPr>
              <w:pStyle w:val="TableParagraph"/>
              <w:rPr>
                <w:sz w:val="20"/>
              </w:rPr>
            </w:pPr>
          </w:p>
        </w:tc>
        <w:tc>
          <w:tcPr>
            <w:tcW w:w="630" w:type="dxa"/>
          </w:tcPr>
          <w:p>
            <w:pPr>
              <w:pStyle w:val="TableParagraph"/>
              <w:rPr>
                <w:sz w:val="20"/>
              </w:rPr>
            </w:pPr>
          </w:p>
        </w:tc>
        <w:tc>
          <w:tcPr>
            <w:tcW w:w="639" w:type="dxa"/>
          </w:tcPr>
          <w:p>
            <w:pPr>
              <w:pStyle w:val="TableParagraph"/>
              <w:rPr>
                <w:sz w:val="20"/>
              </w:rPr>
            </w:pPr>
          </w:p>
        </w:tc>
        <w:tc>
          <w:tcPr>
            <w:tcW w:w="649" w:type="dxa"/>
          </w:tcPr>
          <w:p>
            <w:pPr>
              <w:pStyle w:val="TableParagraph"/>
              <w:rPr>
                <w:sz w:val="20"/>
              </w:rPr>
            </w:pPr>
          </w:p>
        </w:tc>
      </w:tr>
      <w:tr>
        <w:trPr>
          <w:trHeight w:val="230" w:hRule="atLeast"/>
        </w:trPr>
        <w:tc>
          <w:tcPr>
            <w:tcW w:w="622" w:type="dxa"/>
          </w:tcPr>
          <w:p>
            <w:pPr>
              <w:pStyle w:val="TableParagraph"/>
              <w:spacing w:line="210" w:lineRule="exact"/>
              <w:ind w:left="107"/>
              <w:rPr>
                <w:sz w:val="20"/>
              </w:rPr>
            </w:pPr>
            <w:r>
              <w:rPr>
                <w:spacing w:val="-10"/>
                <w:sz w:val="20"/>
              </w:rPr>
              <w:t>7</w:t>
            </w:r>
          </w:p>
        </w:tc>
        <w:tc>
          <w:tcPr>
            <w:tcW w:w="5670" w:type="dxa"/>
          </w:tcPr>
          <w:p>
            <w:pPr>
              <w:pStyle w:val="TableParagraph"/>
              <w:spacing w:line="210" w:lineRule="exact"/>
              <w:ind w:left="107"/>
              <w:rPr>
                <w:sz w:val="20"/>
              </w:rPr>
            </w:pPr>
            <w:r>
              <w:rPr>
                <w:sz w:val="20"/>
              </w:rPr>
              <w:t>Poor</w:t>
            </w:r>
            <w:r>
              <w:rPr>
                <w:spacing w:val="-7"/>
                <w:sz w:val="20"/>
              </w:rPr>
              <w:t> </w:t>
            </w:r>
            <w:r>
              <w:rPr>
                <w:sz w:val="20"/>
              </w:rPr>
              <w:t>monitoring/supervision</w:t>
            </w:r>
            <w:r>
              <w:rPr>
                <w:spacing w:val="-7"/>
                <w:sz w:val="20"/>
              </w:rPr>
              <w:t> </w:t>
            </w:r>
            <w:r>
              <w:rPr>
                <w:sz w:val="20"/>
              </w:rPr>
              <w:t>by</w:t>
            </w:r>
            <w:r>
              <w:rPr>
                <w:spacing w:val="-7"/>
                <w:sz w:val="20"/>
              </w:rPr>
              <w:t> </w:t>
            </w:r>
            <w:r>
              <w:rPr>
                <w:sz w:val="20"/>
              </w:rPr>
              <w:t>unit</w:t>
            </w:r>
            <w:r>
              <w:rPr>
                <w:spacing w:val="-7"/>
                <w:sz w:val="20"/>
              </w:rPr>
              <w:t> </w:t>
            </w:r>
            <w:r>
              <w:rPr>
                <w:sz w:val="20"/>
              </w:rPr>
              <w:t>or</w:t>
            </w:r>
            <w:r>
              <w:rPr>
                <w:spacing w:val="-6"/>
                <w:sz w:val="20"/>
              </w:rPr>
              <w:t> </w:t>
            </w:r>
            <w:r>
              <w:rPr>
                <w:sz w:val="20"/>
              </w:rPr>
              <w:t>section</w:t>
            </w:r>
            <w:r>
              <w:rPr>
                <w:spacing w:val="-5"/>
                <w:sz w:val="20"/>
              </w:rPr>
              <w:t> </w:t>
            </w:r>
            <w:r>
              <w:rPr>
                <w:spacing w:val="-2"/>
                <w:sz w:val="20"/>
              </w:rPr>
              <w:t>heads/directors</w:t>
            </w:r>
          </w:p>
        </w:tc>
        <w:tc>
          <w:tcPr>
            <w:tcW w:w="550" w:type="dxa"/>
          </w:tcPr>
          <w:p>
            <w:pPr>
              <w:pStyle w:val="TableParagraph"/>
              <w:rPr>
                <w:sz w:val="16"/>
              </w:rPr>
            </w:pPr>
          </w:p>
        </w:tc>
        <w:tc>
          <w:tcPr>
            <w:tcW w:w="632" w:type="dxa"/>
          </w:tcPr>
          <w:p>
            <w:pPr>
              <w:pStyle w:val="TableParagraph"/>
              <w:rPr>
                <w:sz w:val="16"/>
              </w:rPr>
            </w:pPr>
          </w:p>
        </w:tc>
        <w:tc>
          <w:tcPr>
            <w:tcW w:w="630" w:type="dxa"/>
          </w:tcPr>
          <w:p>
            <w:pPr>
              <w:pStyle w:val="TableParagraph"/>
              <w:rPr>
                <w:sz w:val="16"/>
              </w:rPr>
            </w:pPr>
          </w:p>
        </w:tc>
        <w:tc>
          <w:tcPr>
            <w:tcW w:w="639" w:type="dxa"/>
          </w:tcPr>
          <w:p>
            <w:pPr>
              <w:pStyle w:val="TableParagraph"/>
              <w:rPr>
                <w:sz w:val="16"/>
              </w:rPr>
            </w:pPr>
          </w:p>
        </w:tc>
        <w:tc>
          <w:tcPr>
            <w:tcW w:w="649" w:type="dxa"/>
          </w:tcPr>
          <w:p>
            <w:pPr>
              <w:pStyle w:val="TableParagraph"/>
              <w:rPr>
                <w:sz w:val="16"/>
              </w:rPr>
            </w:pPr>
          </w:p>
        </w:tc>
      </w:tr>
      <w:tr>
        <w:trPr>
          <w:trHeight w:val="230" w:hRule="atLeast"/>
        </w:trPr>
        <w:tc>
          <w:tcPr>
            <w:tcW w:w="622" w:type="dxa"/>
          </w:tcPr>
          <w:p>
            <w:pPr>
              <w:pStyle w:val="TableParagraph"/>
              <w:spacing w:line="210" w:lineRule="exact"/>
              <w:ind w:left="107"/>
              <w:rPr>
                <w:sz w:val="20"/>
              </w:rPr>
            </w:pPr>
            <w:r>
              <w:rPr>
                <w:spacing w:val="-10"/>
                <w:sz w:val="20"/>
              </w:rPr>
              <w:t>8</w:t>
            </w:r>
          </w:p>
        </w:tc>
        <w:tc>
          <w:tcPr>
            <w:tcW w:w="5670" w:type="dxa"/>
          </w:tcPr>
          <w:p>
            <w:pPr>
              <w:pStyle w:val="TableParagraph"/>
              <w:spacing w:line="210" w:lineRule="exact"/>
              <w:ind w:left="107"/>
              <w:rPr>
                <w:sz w:val="20"/>
              </w:rPr>
            </w:pPr>
            <w:r>
              <w:rPr>
                <w:sz w:val="20"/>
              </w:rPr>
              <w:t>Others</w:t>
            </w:r>
            <w:r>
              <w:rPr>
                <w:spacing w:val="-8"/>
                <w:sz w:val="20"/>
              </w:rPr>
              <w:t> </w:t>
            </w:r>
            <w:r>
              <w:rPr>
                <w:spacing w:val="-2"/>
                <w:sz w:val="20"/>
              </w:rPr>
              <w:t>(Specify)</w:t>
            </w:r>
          </w:p>
        </w:tc>
        <w:tc>
          <w:tcPr>
            <w:tcW w:w="550" w:type="dxa"/>
          </w:tcPr>
          <w:p>
            <w:pPr>
              <w:pStyle w:val="TableParagraph"/>
              <w:rPr>
                <w:sz w:val="16"/>
              </w:rPr>
            </w:pPr>
          </w:p>
        </w:tc>
        <w:tc>
          <w:tcPr>
            <w:tcW w:w="632" w:type="dxa"/>
          </w:tcPr>
          <w:p>
            <w:pPr>
              <w:pStyle w:val="TableParagraph"/>
              <w:rPr>
                <w:sz w:val="16"/>
              </w:rPr>
            </w:pPr>
          </w:p>
        </w:tc>
        <w:tc>
          <w:tcPr>
            <w:tcW w:w="630" w:type="dxa"/>
          </w:tcPr>
          <w:p>
            <w:pPr>
              <w:pStyle w:val="TableParagraph"/>
              <w:rPr>
                <w:sz w:val="16"/>
              </w:rPr>
            </w:pPr>
          </w:p>
        </w:tc>
        <w:tc>
          <w:tcPr>
            <w:tcW w:w="639" w:type="dxa"/>
          </w:tcPr>
          <w:p>
            <w:pPr>
              <w:pStyle w:val="TableParagraph"/>
              <w:rPr>
                <w:sz w:val="16"/>
              </w:rPr>
            </w:pPr>
          </w:p>
        </w:tc>
        <w:tc>
          <w:tcPr>
            <w:tcW w:w="649" w:type="dxa"/>
          </w:tcPr>
          <w:p>
            <w:pPr>
              <w:pStyle w:val="TableParagraph"/>
              <w:rPr>
                <w:sz w:val="16"/>
              </w:rPr>
            </w:pPr>
          </w:p>
        </w:tc>
      </w:tr>
      <w:tr>
        <w:trPr>
          <w:trHeight w:val="230" w:hRule="atLeast"/>
        </w:trPr>
        <w:tc>
          <w:tcPr>
            <w:tcW w:w="9392" w:type="dxa"/>
            <w:gridSpan w:val="7"/>
          </w:tcPr>
          <w:p>
            <w:pPr>
              <w:pStyle w:val="TableParagraph"/>
              <w:spacing w:line="210" w:lineRule="exact"/>
              <w:ind w:left="107"/>
              <w:rPr>
                <w:sz w:val="20"/>
              </w:rPr>
            </w:pPr>
            <w:r>
              <w:rPr>
                <w:b/>
                <w:sz w:val="20"/>
              </w:rPr>
              <w:t>Note</w:t>
            </w:r>
            <w:r>
              <w:rPr>
                <w:sz w:val="20"/>
              </w:rPr>
              <w:t>:</w:t>
            </w:r>
            <w:r>
              <w:rPr>
                <w:spacing w:val="-5"/>
                <w:sz w:val="20"/>
              </w:rPr>
              <w:t> </w:t>
            </w:r>
            <w:r>
              <w:rPr>
                <w:b/>
                <w:sz w:val="20"/>
              </w:rPr>
              <w:t>SA</w:t>
            </w:r>
            <w:r>
              <w:rPr>
                <w:sz w:val="20"/>
              </w:rPr>
              <w:t>=</w:t>
            </w:r>
            <w:r>
              <w:rPr>
                <w:spacing w:val="-4"/>
                <w:sz w:val="20"/>
              </w:rPr>
              <w:t> </w:t>
            </w:r>
            <w:r>
              <w:rPr>
                <w:sz w:val="20"/>
              </w:rPr>
              <w:t>strongly</w:t>
            </w:r>
            <w:r>
              <w:rPr>
                <w:spacing w:val="-5"/>
                <w:sz w:val="20"/>
              </w:rPr>
              <w:t> </w:t>
            </w:r>
            <w:r>
              <w:rPr>
                <w:sz w:val="20"/>
              </w:rPr>
              <w:t>agree;</w:t>
            </w:r>
            <w:r>
              <w:rPr>
                <w:spacing w:val="43"/>
                <w:sz w:val="20"/>
              </w:rPr>
              <w:t> </w:t>
            </w:r>
            <w:r>
              <w:rPr>
                <w:b/>
                <w:sz w:val="20"/>
              </w:rPr>
              <w:t>A</w:t>
            </w:r>
            <w:r>
              <w:rPr>
                <w:sz w:val="20"/>
              </w:rPr>
              <w:t>=agree;</w:t>
            </w:r>
            <w:r>
              <w:rPr>
                <w:spacing w:val="-4"/>
                <w:sz w:val="20"/>
              </w:rPr>
              <w:t> </w:t>
            </w:r>
            <w:r>
              <w:rPr>
                <w:b/>
                <w:sz w:val="20"/>
              </w:rPr>
              <w:t>SD</w:t>
            </w:r>
            <w:r>
              <w:rPr>
                <w:b/>
                <w:spacing w:val="-4"/>
                <w:sz w:val="20"/>
              </w:rPr>
              <w:t> </w:t>
            </w:r>
            <w:r>
              <w:rPr>
                <w:sz w:val="20"/>
              </w:rPr>
              <w:t>=</w:t>
            </w:r>
            <w:r>
              <w:rPr>
                <w:spacing w:val="-5"/>
                <w:sz w:val="20"/>
              </w:rPr>
              <w:t> </w:t>
            </w:r>
            <w:r>
              <w:rPr>
                <w:sz w:val="20"/>
              </w:rPr>
              <w:t>strongly</w:t>
            </w:r>
            <w:r>
              <w:rPr>
                <w:spacing w:val="-5"/>
                <w:sz w:val="20"/>
              </w:rPr>
              <w:t> </w:t>
            </w:r>
            <w:r>
              <w:rPr>
                <w:sz w:val="20"/>
              </w:rPr>
              <w:t>disagree;</w:t>
            </w:r>
            <w:r>
              <w:rPr>
                <w:spacing w:val="-2"/>
                <w:sz w:val="20"/>
              </w:rPr>
              <w:t> </w:t>
            </w:r>
            <w:r>
              <w:rPr>
                <w:b/>
                <w:sz w:val="20"/>
              </w:rPr>
              <w:t>D</w:t>
            </w:r>
            <w:r>
              <w:rPr>
                <w:b/>
                <w:spacing w:val="-5"/>
                <w:sz w:val="20"/>
              </w:rPr>
              <w:t> </w:t>
            </w:r>
            <w:r>
              <w:rPr>
                <w:sz w:val="20"/>
              </w:rPr>
              <w:t>=</w:t>
            </w:r>
            <w:r>
              <w:rPr>
                <w:spacing w:val="-4"/>
                <w:sz w:val="20"/>
              </w:rPr>
              <w:t> </w:t>
            </w:r>
            <w:r>
              <w:rPr>
                <w:sz w:val="20"/>
              </w:rPr>
              <w:t>disagree;</w:t>
            </w:r>
            <w:r>
              <w:rPr>
                <w:spacing w:val="-3"/>
                <w:sz w:val="20"/>
              </w:rPr>
              <w:t> </w:t>
            </w:r>
            <w:r>
              <w:rPr>
                <w:b/>
                <w:sz w:val="20"/>
              </w:rPr>
              <w:t>DN</w:t>
            </w:r>
            <w:r>
              <w:rPr>
                <w:b/>
                <w:spacing w:val="-4"/>
                <w:sz w:val="20"/>
              </w:rPr>
              <w:t> </w:t>
            </w:r>
            <w:r>
              <w:rPr>
                <w:sz w:val="20"/>
              </w:rPr>
              <w:t>=</w:t>
            </w:r>
            <w:r>
              <w:rPr>
                <w:spacing w:val="-5"/>
                <w:sz w:val="20"/>
              </w:rPr>
              <w:t> </w:t>
            </w:r>
            <w:r>
              <w:rPr>
                <w:sz w:val="20"/>
              </w:rPr>
              <w:t>don‘t</w:t>
            </w:r>
            <w:r>
              <w:rPr>
                <w:spacing w:val="-2"/>
                <w:sz w:val="20"/>
              </w:rPr>
              <w:t> </w:t>
            </w:r>
            <w:r>
              <w:rPr>
                <w:spacing w:val="-4"/>
                <w:sz w:val="20"/>
              </w:rPr>
              <w:t>know</w:t>
            </w:r>
          </w:p>
        </w:tc>
      </w:tr>
    </w:tbl>
    <w:p>
      <w:pPr>
        <w:pStyle w:val="ListParagraph"/>
        <w:numPr>
          <w:ilvl w:val="0"/>
          <w:numId w:val="112"/>
        </w:numPr>
        <w:tabs>
          <w:tab w:pos="504" w:val="left" w:leader="none"/>
        </w:tabs>
        <w:spacing w:line="240" w:lineRule="auto" w:before="249" w:after="7"/>
        <w:ind w:left="120" w:right="1116" w:firstLine="0"/>
        <w:jc w:val="left"/>
        <w:rPr>
          <w:i/>
          <w:sz w:val="22"/>
        </w:rPr>
      </w:pPr>
      <w:r>
        <w:rPr>
          <w:sz w:val="22"/>
        </w:rPr>
        <w:t>Which</w:t>
      </w:r>
      <w:r>
        <w:rPr>
          <w:spacing w:val="40"/>
          <w:sz w:val="22"/>
        </w:rPr>
        <w:t> </w:t>
      </w:r>
      <w:r>
        <w:rPr>
          <w:sz w:val="22"/>
        </w:rPr>
        <w:t>of</w:t>
      </w:r>
      <w:r>
        <w:rPr>
          <w:spacing w:val="40"/>
          <w:sz w:val="22"/>
        </w:rPr>
        <w:t> </w:t>
      </w:r>
      <w:r>
        <w:rPr>
          <w:sz w:val="22"/>
        </w:rPr>
        <w:t>the</w:t>
      </w:r>
      <w:r>
        <w:rPr>
          <w:spacing w:val="40"/>
          <w:sz w:val="22"/>
        </w:rPr>
        <w:t> </w:t>
      </w:r>
      <w:r>
        <w:rPr>
          <w:sz w:val="22"/>
        </w:rPr>
        <w:t>following</w:t>
      </w:r>
      <w:r>
        <w:rPr>
          <w:spacing w:val="40"/>
          <w:sz w:val="22"/>
        </w:rPr>
        <w:t> </w:t>
      </w:r>
      <w:r>
        <w:rPr>
          <w:sz w:val="22"/>
        </w:rPr>
        <w:t>criteria(on)</w:t>
      </w:r>
      <w:r>
        <w:rPr>
          <w:spacing w:val="40"/>
          <w:sz w:val="22"/>
        </w:rPr>
        <w:t> </w:t>
      </w:r>
      <w:r>
        <w:rPr>
          <w:sz w:val="22"/>
        </w:rPr>
        <w:t>is</w:t>
      </w:r>
      <w:r>
        <w:rPr>
          <w:spacing w:val="40"/>
          <w:sz w:val="22"/>
        </w:rPr>
        <w:t> </w:t>
      </w:r>
      <w:r>
        <w:rPr>
          <w:sz w:val="22"/>
        </w:rPr>
        <w:t>the</w:t>
      </w:r>
      <w:r>
        <w:rPr>
          <w:spacing w:val="40"/>
          <w:sz w:val="22"/>
        </w:rPr>
        <w:t> </w:t>
      </w:r>
      <w:r>
        <w:rPr>
          <w:sz w:val="22"/>
        </w:rPr>
        <w:t>stipulation</w:t>
      </w:r>
      <w:r>
        <w:rPr>
          <w:spacing w:val="40"/>
          <w:sz w:val="22"/>
        </w:rPr>
        <w:t> </w:t>
      </w:r>
      <w:r>
        <w:rPr>
          <w:sz w:val="22"/>
        </w:rPr>
        <w:t>of</w:t>
      </w:r>
      <w:r>
        <w:rPr>
          <w:spacing w:val="40"/>
          <w:sz w:val="22"/>
        </w:rPr>
        <w:t> </w:t>
      </w:r>
      <w:r>
        <w:rPr>
          <w:sz w:val="22"/>
        </w:rPr>
        <w:t>annual</w:t>
      </w:r>
      <w:r>
        <w:rPr>
          <w:spacing w:val="40"/>
          <w:sz w:val="22"/>
        </w:rPr>
        <w:t> </w:t>
      </w:r>
      <w:r>
        <w:rPr>
          <w:sz w:val="22"/>
        </w:rPr>
        <w:t>housing</w:t>
      </w:r>
      <w:r>
        <w:rPr>
          <w:spacing w:val="40"/>
          <w:sz w:val="22"/>
        </w:rPr>
        <w:t> </w:t>
      </w:r>
      <w:r>
        <w:rPr>
          <w:sz w:val="22"/>
        </w:rPr>
        <w:t>budget</w:t>
      </w:r>
      <w:r>
        <w:rPr>
          <w:spacing w:val="40"/>
          <w:sz w:val="22"/>
        </w:rPr>
        <w:t> </w:t>
      </w:r>
      <w:r>
        <w:rPr>
          <w:sz w:val="22"/>
        </w:rPr>
        <w:t>ceiling</w:t>
      </w:r>
      <w:r>
        <w:rPr>
          <w:spacing w:val="40"/>
          <w:sz w:val="22"/>
        </w:rPr>
        <w:t> </w:t>
      </w:r>
      <w:r>
        <w:rPr>
          <w:sz w:val="22"/>
        </w:rPr>
        <w:t>(by</w:t>
      </w:r>
      <w:r>
        <w:rPr>
          <w:spacing w:val="40"/>
          <w:sz w:val="22"/>
        </w:rPr>
        <w:t> </w:t>
      </w:r>
      <w:r>
        <w:rPr>
          <w:sz w:val="22"/>
        </w:rPr>
        <w:t>the Ministry of Budget and Economic Planning) based</w:t>
      </w:r>
      <w:r>
        <w:rPr>
          <w:sz w:val="20"/>
        </w:rPr>
        <w:t>? </w:t>
      </w:r>
      <w:r>
        <w:rPr>
          <w:i/>
          <w:sz w:val="22"/>
        </w:rPr>
        <w:t>(Please tick the relevant cells).</w:t>
      </w: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33"/>
        <w:gridCol w:w="850"/>
      </w:tblGrid>
      <w:tr>
        <w:trPr>
          <w:trHeight w:val="309" w:hRule="atLeast"/>
        </w:trPr>
        <w:tc>
          <w:tcPr>
            <w:tcW w:w="7833" w:type="dxa"/>
          </w:tcPr>
          <w:p>
            <w:pPr>
              <w:pStyle w:val="TableParagraph"/>
              <w:spacing w:line="223" w:lineRule="exact"/>
              <w:ind w:left="107"/>
              <w:rPr>
                <w:sz w:val="20"/>
              </w:rPr>
            </w:pPr>
            <w:r>
              <w:rPr>
                <w:sz w:val="20"/>
              </w:rPr>
              <w:t>Based</w:t>
            </w:r>
            <w:r>
              <w:rPr>
                <w:spacing w:val="-5"/>
                <w:sz w:val="20"/>
              </w:rPr>
              <w:t> </w:t>
            </w:r>
            <w:r>
              <w:rPr>
                <w:sz w:val="20"/>
              </w:rPr>
              <w:t>on</w:t>
            </w:r>
            <w:r>
              <w:rPr>
                <w:spacing w:val="-6"/>
                <w:sz w:val="20"/>
              </w:rPr>
              <w:t> </w:t>
            </w:r>
            <w:r>
              <w:rPr>
                <w:sz w:val="20"/>
              </w:rPr>
              <w:t>previous</w:t>
            </w:r>
            <w:r>
              <w:rPr>
                <w:spacing w:val="-3"/>
                <w:sz w:val="20"/>
              </w:rPr>
              <w:t> </w:t>
            </w:r>
            <w:r>
              <w:rPr>
                <w:sz w:val="20"/>
              </w:rPr>
              <w:t>year</w:t>
            </w:r>
            <w:r>
              <w:rPr>
                <w:spacing w:val="-6"/>
                <w:sz w:val="20"/>
              </w:rPr>
              <w:t> </w:t>
            </w:r>
            <w:r>
              <w:rPr>
                <w:spacing w:val="-2"/>
                <w:sz w:val="20"/>
              </w:rPr>
              <w:t>ceiling</w:t>
            </w:r>
          </w:p>
        </w:tc>
        <w:tc>
          <w:tcPr>
            <w:tcW w:w="850" w:type="dxa"/>
          </w:tcPr>
          <w:p>
            <w:pPr>
              <w:pStyle w:val="TableParagraph"/>
              <w:rPr>
                <w:sz w:val="20"/>
              </w:rPr>
            </w:pPr>
          </w:p>
        </w:tc>
      </w:tr>
      <w:tr>
        <w:trPr>
          <w:trHeight w:val="287" w:hRule="atLeast"/>
        </w:trPr>
        <w:tc>
          <w:tcPr>
            <w:tcW w:w="7833" w:type="dxa"/>
          </w:tcPr>
          <w:p>
            <w:pPr>
              <w:pStyle w:val="TableParagraph"/>
              <w:spacing w:line="223" w:lineRule="exact"/>
              <w:ind w:left="107"/>
              <w:rPr>
                <w:sz w:val="20"/>
              </w:rPr>
            </w:pPr>
            <w:r>
              <w:rPr>
                <w:sz w:val="20"/>
              </w:rPr>
              <w:t>Based</w:t>
            </w:r>
            <w:r>
              <w:rPr>
                <w:spacing w:val="-4"/>
                <w:sz w:val="20"/>
              </w:rPr>
              <w:t> </w:t>
            </w:r>
            <w:r>
              <w:rPr>
                <w:sz w:val="20"/>
              </w:rPr>
              <w:t>on</w:t>
            </w:r>
            <w:r>
              <w:rPr>
                <w:spacing w:val="-5"/>
                <w:sz w:val="20"/>
              </w:rPr>
              <w:t> </w:t>
            </w:r>
            <w:r>
              <w:rPr>
                <w:sz w:val="20"/>
              </w:rPr>
              <w:t>available</w:t>
            </w:r>
            <w:r>
              <w:rPr>
                <w:spacing w:val="-4"/>
                <w:sz w:val="20"/>
              </w:rPr>
              <w:t> funds</w:t>
            </w:r>
          </w:p>
        </w:tc>
        <w:tc>
          <w:tcPr>
            <w:tcW w:w="850" w:type="dxa"/>
          </w:tcPr>
          <w:p>
            <w:pPr>
              <w:pStyle w:val="TableParagraph"/>
              <w:rPr>
                <w:sz w:val="20"/>
              </w:rPr>
            </w:pPr>
          </w:p>
        </w:tc>
      </w:tr>
      <w:tr>
        <w:trPr>
          <w:trHeight w:val="265" w:hRule="atLeast"/>
        </w:trPr>
        <w:tc>
          <w:tcPr>
            <w:tcW w:w="7833" w:type="dxa"/>
          </w:tcPr>
          <w:p>
            <w:pPr>
              <w:pStyle w:val="TableParagraph"/>
              <w:spacing w:line="223" w:lineRule="exact"/>
              <w:ind w:left="107"/>
              <w:rPr>
                <w:sz w:val="20"/>
              </w:rPr>
            </w:pPr>
            <w:r>
              <w:rPr>
                <w:sz w:val="20"/>
              </w:rPr>
              <w:t>Based</w:t>
            </w:r>
            <w:r>
              <w:rPr>
                <w:spacing w:val="-4"/>
                <w:sz w:val="20"/>
              </w:rPr>
              <w:t> </w:t>
            </w:r>
            <w:r>
              <w:rPr>
                <w:sz w:val="20"/>
              </w:rPr>
              <w:t>on</w:t>
            </w:r>
            <w:r>
              <w:rPr>
                <w:spacing w:val="-6"/>
                <w:sz w:val="20"/>
              </w:rPr>
              <w:t> </w:t>
            </w:r>
            <w:r>
              <w:rPr>
                <w:sz w:val="20"/>
              </w:rPr>
              <w:t>the</w:t>
            </w:r>
            <w:r>
              <w:rPr>
                <w:spacing w:val="-4"/>
                <w:sz w:val="20"/>
              </w:rPr>
              <w:t> </w:t>
            </w:r>
            <w:r>
              <w:rPr>
                <w:sz w:val="20"/>
              </w:rPr>
              <w:t>sector‘s</w:t>
            </w:r>
            <w:r>
              <w:rPr>
                <w:spacing w:val="-6"/>
                <w:sz w:val="20"/>
              </w:rPr>
              <w:t> </w:t>
            </w:r>
            <w:r>
              <w:rPr>
                <w:sz w:val="20"/>
              </w:rPr>
              <w:t>contribution</w:t>
            </w:r>
            <w:r>
              <w:rPr>
                <w:spacing w:val="-6"/>
                <w:sz w:val="20"/>
              </w:rPr>
              <w:t> </w:t>
            </w:r>
            <w:r>
              <w:rPr>
                <w:sz w:val="20"/>
              </w:rPr>
              <w:t>to</w:t>
            </w:r>
            <w:r>
              <w:rPr>
                <w:spacing w:val="-3"/>
                <w:sz w:val="20"/>
              </w:rPr>
              <w:t> </w:t>
            </w:r>
            <w:r>
              <w:rPr>
                <w:spacing w:val="-5"/>
                <w:sz w:val="20"/>
              </w:rPr>
              <w:t>GDP</w:t>
            </w:r>
          </w:p>
        </w:tc>
        <w:tc>
          <w:tcPr>
            <w:tcW w:w="850" w:type="dxa"/>
          </w:tcPr>
          <w:p>
            <w:pPr>
              <w:pStyle w:val="TableParagraph"/>
              <w:rPr>
                <w:sz w:val="18"/>
              </w:rPr>
            </w:pPr>
          </w:p>
        </w:tc>
      </w:tr>
      <w:tr>
        <w:trPr>
          <w:trHeight w:val="273" w:hRule="atLeast"/>
        </w:trPr>
        <w:tc>
          <w:tcPr>
            <w:tcW w:w="7833" w:type="dxa"/>
          </w:tcPr>
          <w:p>
            <w:pPr>
              <w:pStyle w:val="TableParagraph"/>
              <w:spacing w:line="223" w:lineRule="exact"/>
              <w:ind w:left="107"/>
              <w:rPr>
                <w:sz w:val="20"/>
              </w:rPr>
            </w:pPr>
            <w:r>
              <w:rPr>
                <w:sz w:val="20"/>
              </w:rPr>
              <w:t>Based</w:t>
            </w:r>
            <w:r>
              <w:rPr>
                <w:spacing w:val="-3"/>
                <w:sz w:val="20"/>
              </w:rPr>
              <w:t> </w:t>
            </w:r>
            <w:r>
              <w:rPr>
                <w:sz w:val="20"/>
              </w:rPr>
              <w:t>on</w:t>
            </w:r>
            <w:r>
              <w:rPr>
                <w:spacing w:val="-5"/>
                <w:sz w:val="20"/>
              </w:rPr>
              <w:t> </w:t>
            </w:r>
            <w:r>
              <w:rPr>
                <w:sz w:val="20"/>
              </w:rPr>
              <w:t>the</w:t>
            </w:r>
            <w:r>
              <w:rPr>
                <w:spacing w:val="-3"/>
                <w:sz w:val="20"/>
              </w:rPr>
              <w:t> </w:t>
            </w:r>
            <w:r>
              <w:rPr>
                <w:sz w:val="20"/>
              </w:rPr>
              <w:t>performance</w:t>
            </w:r>
            <w:r>
              <w:rPr>
                <w:spacing w:val="-4"/>
                <w:sz w:val="20"/>
              </w:rPr>
              <w:t> </w:t>
            </w:r>
            <w:r>
              <w:rPr>
                <w:sz w:val="20"/>
              </w:rPr>
              <w:t>of</w:t>
            </w:r>
            <w:r>
              <w:rPr>
                <w:spacing w:val="-5"/>
                <w:sz w:val="20"/>
              </w:rPr>
              <w:t> </w:t>
            </w:r>
            <w:r>
              <w:rPr>
                <w:sz w:val="20"/>
              </w:rPr>
              <w:t>the</w:t>
            </w:r>
            <w:r>
              <w:rPr>
                <w:spacing w:val="-4"/>
                <w:sz w:val="20"/>
              </w:rPr>
              <w:t> </w:t>
            </w:r>
            <w:r>
              <w:rPr>
                <w:sz w:val="20"/>
              </w:rPr>
              <w:t>sector</w:t>
            </w:r>
            <w:r>
              <w:rPr>
                <w:spacing w:val="-3"/>
                <w:sz w:val="20"/>
              </w:rPr>
              <w:t> </w:t>
            </w:r>
            <w:r>
              <w:rPr>
                <w:sz w:val="20"/>
              </w:rPr>
              <w:t>in</w:t>
            </w:r>
            <w:r>
              <w:rPr>
                <w:spacing w:val="-6"/>
                <w:sz w:val="20"/>
              </w:rPr>
              <w:t> </w:t>
            </w:r>
            <w:r>
              <w:rPr>
                <w:sz w:val="20"/>
              </w:rPr>
              <w:t>past</w:t>
            </w:r>
            <w:r>
              <w:rPr>
                <w:spacing w:val="-2"/>
                <w:sz w:val="20"/>
              </w:rPr>
              <w:t> years</w:t>
            </w:r>
          </w:p>
        </w:tc>
        <w:tc>
          <w:tcPr>
            <w:tcW w:w="850" w:type="dxa"/>
          </w:tcPr>
          <w:p>
            <w:pPr>
              <w:pStyle w:val="TableParagraph"/>
              <w:rPr>
                <w:sz w:val="20"/>
              </w:rPr>
            </w:pPr>
          </w:p>
        </w:tc>
      </w:tr>
      <w:tr>
        <w:trPr>
          <w:trHeight w:val="273" w:hRule="atLeast"/>
        </w:trPr>
        <w:tc>
          <w:tcPr>
            <w:tcW w:w="7833" w:type="dxa"/>
          </w:tcPr>
          <w:p>
            <w:pPr>
              <w:pStyle w:val="TableParagraph"/>
              <w:spacing w:line="223" w:lineRule="exact"/>
              <w:ind w:left="107"/>
              <w:rPr>
                <w:sz w:val="20"/>
              </w:rPr>
            </w:pPr>
            <w:r>
              <w:rPr>
                <w:sz w:val="20"/>
              </w:rPr>
              <w:t>Based</w:t>
            </w:r>
            <w:r>
              <w:rPr>
                <w:spacing w:val="-3"/>
                <w:sz w:val="20"/>
              </w:rPr>
              <w:t> </w:t>
            </w:r>
            <w:r>
              <w:rPr>
                <w:sz w:val="20"/>
              </w:rPr>
              <w:t>on</w:t>
            </w:r>
            <w:r>
              <w:rPr>
                <w:spacing w:val="-5"/>
                <w:sz w:val="20"/>
              </w:rPr>
              <w:t> </w:t>
            </w:r>
            <w:r>
              <w:rPr>
                <w:sz w:val="20"/>
              </w:rPr>
              <w:t>a</w:t>
            </w:r>
            <w:r>
              <w:rPr>
                <w:spacing w:val="-4"/>
                <w:sz w:val="20"/>
              </w:rPr>
              <w:t> </w:t>
            </w:r>
            <w:r>
              <w:rPr>
                <w:sz w:val="20"/>
              </w:rPr>
              <w:t>needs</w:t>
            </w:r>
            <w:r>
              <w:rPr>
                <w:spacing w:val="-5"/>
                <w:sz w:val="20"/>
              </w:rPr>
              <w:t> </w:t>
            </w:r>
            <w:r>
              <w:rPr>
                <w:sz w:val="20"/>
              </w:rPr>
              <w:t>assessment</w:t>
            </w:r>
            <w:r>
              <w:rPr>
                <w:spacing w:val="-2"/>
                <w:sz w:val="20"/>
              </w:rPr>
              <w:t> </w:t>
            </w:r>
            <w:r>
              <w:rPr>
                <w:sz w:val="20"/>
              </w:rPr>
              <w:t>of</w:t>
            </w:r>
            <w:r>
              <w:rPr>
                <w:spacing w:val="-6"/>
                <w:sz w:val="20"/>
              </w:rPr>
              <w:t> </w:t>
            </w:r>
            <w:r>
              <w:rPr>
                <w:sz w:val="20"/>
              </w:rPr>
              <w:t>the</w:t>
            </w:r>
            <w:r>
              <w:rPr>
                <w:spacing w:val="-4"/>
                <w:sz w:val="20"/>
              </w:rPr>
              <w:t> State</w:t>
            </w:r>
          </w:p>
        </w:tc>
        <w:tc>
          <w:tcPr>
            <w:tcW w:w="850" w:type="dxa"/>
          </w:tcPr>
          <w:p>
            <w:pPr>
              <w:pStyle w:val="TableParagraph"/>
              <w:rPr>
                <w:sz w:val="20"/>
              </w:rPr>
            </w:pPr>
          </w:p>
        </w:tc>
      </w:tr>
      <w:tr>
        <w:trPr>
          <w:trHeight w:val="275" w:hRule="atLeast"/>
        </w:trPr>
        <w:tc>
          <w:tcPr>
            <w:tcW w:w="7833" w:type="dxa"/>
          </w:tcPr>
          <w:p>
            <w:pPr>
              <w:pStyle w:val="TableParagraph"/>
              <w:spacing w:line="223" w:lineRule="exact"/>
              <w:ind w:left="107"/>
              <w:rPr>
                <w:sz w:val="20"/>
              </w:rPr>
            </w:pPr>
            <w:r>
              <w:rPr>
                <w:sz w:val="20"/>
              </w:rPr>
              <w:t>Based</w:t>
            </w:r>
            <w:r>
              <w:rPr>
                <w:spacing w:val="-4"/>
                <w:sz w:val="20"/>
              </w:rPr>
              <w:t> </w:t>
            </w:r>
            <w:r>
              <w:rPr>
                <w:sz w:val="20"/>
              </w:rPr>
              <w:t>on</w:t>
            </w:r>
            <w:r>
              <w:rPr>
                <w:spacing w:val="-5"/>
                <w:sz w:val="20"/>
              </w:rPr>
              <w:t> </w:t>
            </w:r>
            <w:r>
              <w:rPr>
                <w:sz w:val="20"/>
              </w:rPr>
              <w:t>an</w:t>
            </w:r>
            <w:r>
              <w:rPr>
                <w:spacing w:val="-5"/>
                <w:sz w:val="20"/>
              </w:rPr>
              <w:t> </w:t>
            </w:r>
            <w:r>
              <w:rPr>
                <w:sz w:val="20"/>
              </w:rPr>
              <w:t>established</w:t>
            </w:r>
            <w:r>
              <w:rPr>
                <w:spacing w:val="-3"/>
                <w:sz w:val="20"/>
              </w:rPr>
              <w:t> </w:t>
            </w:r>
            <w:r>
              <w:rPr>
                <w:spacing w:val="-2"/>
                <w:sz w:val="20"/>
              </w:rPr>
              <w:t>calculation/percentage/formula</w:t>
            </w:r>
          </w:p>
        </w:tc>
        <w:tc>
          <w:tcPr>
            <w:tcW w:w="850" w:type="dxa"/>
          </w:tcPr>
          <w:p>
            <w:pPr>
              <w:pStyle w:val="TableParagraph"/>
              <w:rPr>
                <w:sz w:val="20"/>
              </w:rPr>
            </w:pPr>
          </w:p>
        </w:tc>
      </w:tr>
      <w:tr>
        <w:trPr>
          <w:trHeight w:val="273" w:hRule="atLeast"/>
        </w:trPr>
        <w:tc>
          <w:tcPr>
            <w:tcW w:w="7833" w:type="dxa"/>
          </w:tcPr>
          <w:p>
            <w:pPr>
              <w:pStyle w:val="TableParagraph"/>
              <w:spacing w:line="223" w:lineRule="exact"/>
              <w:ind w:left="107"/>
              <w:rPr>
                <w:sz w:val="20"/>
              </w:rPr>
            </w:pPr>
            <w:r>
              <w:rPr>
                <w:sz w:val="20"/>
              </w:rPr>
              <w:t>Based</w:t>
            </w:r>
            <w:r>
              <w:rPr>
                <w:spacing w:val="-3"/>
                <w:sz w:val="20"/>
              </w:rPr>
              <w:t> </w:t>
            </w:r>
            <w:r>
              <w:rPr>
                <w:sz w:val="20"/>
              </w:rPr>
              <w:t>on</w:t>
            </w:r>
            <w:r>
              <w:rPr>
                <w:spacing w:val="-4"/>
                <w:sz w:val="20"/>
              </w:rPr>
              <w:t> </w:t>
            </w:r>
            <w:r>
              <w:rPr>
                <w:sz w:val="20"/>
              </w:rPr>
              <w:t>the</w:t>
            </w:r>
            <w:r>
              <w:rPr>
                <w:spacing w:val="-3"/>
                <w:sz w:val="20"/>
              </w:rPr>
              <w:t> </w:t>
            </w:r>
            <w:r>
              <w:rPr>
                <w:sz w:val="20"/>
              </w:rPr>
              <w:t>discretion</w:t>
            </w:r>
            <w:r>
              <w:rPr>
                <w:spacing w:val="-4"/>
                <w:sz w:val="20"/>
              </w:rPr>
              <w:t> </w:t>
            </w:r>
            <w:r>
              <w:rPr>
                <w:sz w:val="20"/>
              </w:rPr>
              <w:t>of</w:t>
            </w:r>
            <w:r>
              <w:rPr>
                <w:spacing w:val="-2"/>
                <w:sz w:val="20"/>
              </w:rPr>
              <w:t> </w:t>
            </w:r>
            <w:r>
              <w:rPr>
                <w:sz w:val="20"/>
              </w:rPr>
              <w:t>the</w:t>
            </w:r>
            <w:r>
              <w:rPr>
                <w:spacing w:val="-1"/>
                <w:sz w:val="20"/>
              </w:rPr>
              <w:t> </w:t>
            </w:r>
            <w:r>
              <w:rPr>
                <w:spacing w:val="-2"/>
                <w:sz w:val="20"/>
              </w:rPr>
              <w:t>Governor</w:t>
            </w:r>
          </w:p>
        </w:tc>
        <w:tc>
          <w:tcPr>
            <w:tcW w:w="850" w:type="dxa"/>
          </w:tcPr>
          <w:p>
            <w:pPr>
              <w:pStyle w:val="TableParagraph"/>
              <w:rPr>
                <w:sz w:val="20"/>
              </w:rPr>
            </w:pPr>
          </w:p>
        </w:tc>
      </w:tr>
      <w:tr>
        <w:trPr>
          <w:trHeight w:val="273" w:hRule="atLeast"/>
        </w:trPr>
        <w:tc>
          <w:tcPr>
            <w:tcW w:w="7833" w:type="dxa"/>
          </w:tcPr>
          <w:p>
            <w:pPr>
              <w:pStyle w:val="TableParagraph"/>
              <w:spacing w:line="223" w:lineRule="exact"/>
              <w:ind w:left="107"/>
              <w:rPr>
                <w:sz w:val="20"/>
              </w:rPr>
            </w:pPr>
            <w:r>
              <w:rPr>
                <w:sz w:val="20"/>
              </w:rPr>
              <w:t>No</w:t>
            </w:r>
            <w:r>
              <w:rPr>
                <w:spacing w:val="-2"/>
                <w:sz w:val="20"/>
              </w:rPr>
              <w:t> </w:t>
            </w:r>
            <w:r>
              <w:rPr>
                <w:sz w:val="20"/>
              </w:rPr>
              <w:t>criteria</w:t>
            </w:r>
            <w:r>
              <w:rPr>
                <w:spacing w:val="-3"/>
                <w:sz w:val="20"/>
              </w:rPr>
              <w:t> </w:t>
            </w:r>
            <w:r>
              <w:rPr>
                <w:sz w:val="20"/>
              </w:rPr>
              <w:t>is</w:t>
            </w:r>
            <w:r>
              <w:rPr>
                <w:spacing w:val="-4"/>
                <w:sz w:val="20"/>
              </w:rPr>
              <w:t> used</w:t>
            </w:r>
          </w:p>
        </w:tc>
        <w:tc>
          <w:tcPr>
            <w:tcW w:w="850" w:type="dxa"/>
          </w:tcPr>
          <w:p>
            <w:pPr>
              <w:pStyle w:val="TableParagraph"/>
              <w:rPr>
                <w:sz w:val="20"/>
              </w:rPr>
            </w:pPr>
          </w:p>
        </w:tc>
      </w:tr>
      <w:tr>
        <w:trPr>
          <w:trHeight w:val="275" w:hRule="atLeast"/>
        </w:trPr>
        <w:tc>
          <w:tcPr>
            <w:tcW w:w="7833" w:type="dxa"/>
          </w:tcPr>
          <w:p>
            <w:pPr>
              <w:pStyle w:val="TableParagraph"/>
              <w:spacing w:line="223" w:lineRule="exact"/>
              <w:ind w:left="107"/>
              <w:rPr>
                <w:sz w:val="20"/>
              </w:rPr>
            </w:pPr>
            <w:r>
              <w:rPr>
                <w:sz w:val="20"/>
              </w:rPr>
              <w:t>Others</w:t>
            </w:r>
            <w:r>
              <w:rPr>
                <w:spacing w:val="-8"/>
                <w:sz w:val="20"/>
              </w:rPr>
              <w:t> </w:t>
            </w:r>
            <w:r>
              <w:rPr>
                <w:spacing w:val="-2"/>
                <w:sz w:val="20"/>
              </w:rPr>
              <w:t>(Specify)</w:t>
            </w:r>
          </w:p>
        </w:tc>
        <w:tc>
          <w:tcPr>
            <w:tcW w:w="850" w:type="dxa"/>
          </w:tcPr>
          <w:p>
            <w:pPr>
              <w:pStyle w:val="TableParagraph"/>
              <w:rPr>
                <w:sz w:val="20"/>
              </w:rPr>
            </w:pPr>
          </w:p>
        </w:tc>
      </w:tr>
      <w:tr>
        <w:trPr>
          <w:trHeight w:val="273" w:hRule="atLeast"/>
        </w:trPr>
        <w:tc>
          <w:tcPr>
            <w:tcW w:w="7833" w:type="dxa"/>
          </w:tcPr>
          <w:p>
            <w:pPr>
              <w:pStyle w:val="TableParagraph"/>
              <w:spacing w:line="223" w:lineRule="exact"/>
              <w:ind w:left="107"/>
              <w:rPr>
                <w:sz w:val="20"/>
              </w:rPr>
            </w:pPr>
            <w:r>
              <w:rPr>
                <w:sz w:val="20"/>
              </w:rPr>
              <w:t>No</w:t>
            </w:r>
            <w:r>
              <w:rPr>
                <w:spacing w:val="-2"/>
                <w:sz w:val="20"/>
              </w:rPr>
              <w:t> </w:t>
            </w:r>
            <w:r>
              <w:rPr>
                <w:spacing w:val="-4"/>
                <w:sz w:val="20"/>
              </w:rPr>
              <w:t>idea</w:t>
            </w:r>
          </w:p>
        </w:tc>
        <w:tc>
          <w:tcPr>
            <w:tcW w:w="850" w:type="dxa"/>
          </w:tcPr>
          <w:p>
            <w:pPr>
              <w:pStyle w:val="TableParagraph"/>
              <w:rPr>
                <w:sz w:val="20"/>
              </w:rPr>
            </w:pPr>
          </w:p>
        </w:tc>
      </w:tr>
    </w:tbl>
    <w:p>
      <w:pPr>
        <w:pStyle w:val="ListParagraph"/>
        <w:numPr>
          <w:ilvl w:val="0"/>
          <w:numId w:val="112"/>
        </w:numPr>
        <w:tabs>
          <w:tab w:pos="451" w:val="left" w:leader="none"/>
        </w:tabs>
        <w:spacing w:line="240" w:lineRule="auto" w:before="170" w:after="7"/>
        <w:ind w:left="120" w:right="2053" w:firstLine="0"/>
        <w:jc w:val="left"/>
        <w:rPr>
          <w:sz w:val="22"/>
        </w:rPr>
      </w:pPr>
      <w:r>
        <w:rPr>
          <w:sz w:val="22"/>
        </w:rPr>
        <w:t>Please</w:t>
      </w:r>
      <w:r>
        <w:rPr>
          <w:spacing w:val="-4"/>
          <w:sz w:val="22"/>
        </w:rPr>
        <w:t> </w:t>
      </w:r>
      <w:r>
        <w:rPr>
          <w:sz w:val="22"/>
        </w:rPr>
        <w:t>tick</w:t>
      </w:r>
      <w:r>
        <w:rPr>
          <w:spacing w:val="-4"/>
          <w:sz w:val="22"/>
        </w:rPr>
        <w:t> </w:t>
      </w:r>
      <w:r>
        <w:rPr>
          <w:sz w:val="22"/>
        </w:rPr>
        <w:t>the</w:t>
      </w:r>
      <w:r>
        <w:rPr>
          <w:spacing w:val="-2"/>
          <w:sz w:val="22"/>
        </w:rPr>
        <w:t> </w:t>
      </w:r>
      <w:r>
        <w:rPr>
          <w:sz w:val="22"/>
        </w:rPr>
        <w:t>overall</w:t>
      </w:r>
      <w:r>
        <w:rPr>
          <w:spacing w:val="-1"/>
          <w:sz w:val="22"/>
        </w:rPr>
        <w:t> </w:t>
      </w:r>
      <w:r>
        <w:rPr>
          <w:sz w:val="22"/>
        </w:rPr>
        <w:t>time</w:t>
      </w:r>
      <w:r>
        <w:rPr>
          <w:spacing w:val="-2"/>
          <w:sz w:val="22"/>
        </w:rPr>
        <w:t> </w:t>
      </w:r>
      <w:r>
        <w:rPr>
          <w:sz w:val="22"/>
        </w:rPr>
        <w:t>it</w:t>
      </w:r>
      <w:r>
        <w:rPr>
          <w:spacing w:val="-1"/>
          <w:sz w:val="22"/>
        </w:rPr>
        <w:t> </w:t>
      </w:r>
      <w:r>
        <w:rPr>
          <w:sz w:val="22"/>
        </w:rPr>
        <w:t>usually</w:t>
      </w:r>
      <w:r>
        <w:rPr>
          <w:spacing w:val="-5"/>
          <w:sz w:val="22"/>
        </w:rPr>
        <w:t> </w:t>
      </w:r>
      <w:r>
        <w:rPr>
          <w:sz w:val="22"/>
        </w:rPr>
        <w:t>takes</w:t>
      </w:r>
      <w:r>
        <w:rPr>
          <w:spacing w:val="-4"/>
          <w:sz w:val="22"/>
        </w:rPr>
        <w:t> </w:t>
      </w:r>
      <w:r>
        <w:rPr>
          <w:sz w:val="22"/>
        </w:rPr>
        <w:t>for</w:t>
      </w:r>
      <w:r>
        <w:rPr>
          <w:spacing w:val="-4"/>
          <w:sz w:val="22"/>
        </w:rPr>
        <w:t> </w:t>
      </w:r>
      <w:r>
        <w:rPr>
          <w:sz w:val="22"/>
        </w:rPr>
        <w:t>the</w:t>
      </w:r>
      <w:r>
        <w:rPr>
          <w:spacing w:val="-4"/>
          <w:sz w:val="22"/>
        </w:rPr>
        <w:t> </w:t>
      </w:r>
      <w:r>
        <w:rPr>
          <w:sz w:val="22"/>
        </w:rPr>
        <w:t>following</w:t>
      </w:r>
      <w:r>
        <w:rPr>
          <w:spacing w:val="-5"/>
          <w:sz w:val="22"/>
        </w:rPr>
        <w:t> </w:t>
      </w:r>
      <w:r>
        <w:rPr>
          <w:sz w:val="22"/>
        </w:rPr>
        <w:t>housing</w:t>
      </w:r>
      <w:r>
        <w:rPr>
          <w:spacing w:val="-5"/>
          <w:sz w:val="22"/>
        </w:rPr>
        <w:t> </w:t>
      </w:r>
      <w:r>
        <w:rPr>
          <w:sz w:val="22"/>
        </w:rPr>
        <w:t>budget</w:t>
      </w:r>
      <w:r>
        <w:rPr>
          <w:spacing w:val="-1"/>
          <w:sz w:val="22"/>
        </w:rPr>
        <w:t> </w:t>
      </w:r>
      <w:r>
        <w:rPr>
          <w:sz w:val="22"/>
        </w:rPr>
        <w:t>processes</w:t>
      </w:r>
      <w:r>
        <w:rPr>
          <w:spacing w:val="-4"/>
          <w:sz w:val="22"/>
        </w:rPr>
        <w:t> </w:t>
      </w:r>
      <w:r>
        <w:rPr>
          <w:sz w:val="22"/>
        </w:rPr>
        <w:t>to</w:t>
      </w:r>
      <w:r>
        <w:rPr>
          <w:spacing w:val="-2"/>
          <w:sz w:val="22"/>
        </w:rPr>
        <w:t> </w:t>
      </w:r>
      <w:r>
        <w:rPr>
          <w:sz w:val="22"/>
        </w:rPr>
        <w:t>be </w:t>
      </w:r>
      <w:r>
        <w:rPr>
          <w:spacing w:val="-2"/>
          <w:sz w:val="22"/>
        </w:rPr>
        <w:t>completed.</w:t>
      </w: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92"/>
        <w:gridCol w:w="900"/>
        <w:gridCol w:w="809"/>
        <w:gridCol w:w="900"/>
        <w:gridCol w:w="991"/>
        <w:gridCol w:w="989"/>
        <w:gridCol w:w="991"/>
      </w:tblGrid>
      <w:tr>
        <w:trPr>
          <w:trHeight w:val="230" w:hRule="atLeast"/>
        </w:trPr>
        <w:tc>
          <w:tcPr>
            <w:tcW w:w="3692" w:type="dxa"/>
            <w:vMerge w:val="restart"/>
          </w:tcPr>
          <w:p>
            <w:pPr>
              <w:pStyle w:val="TableParagraph"/>
              <w:spacing w:line="228" w:lineRule="exact"/>
              <w:ind w:left="107"/>
              <w:rPr>
                <w:b/>
                <w:sz w:val="20"/>
              </w:rPr>
            </w:pPr>
            <w:r>
              <w:rPr>
                <w:b/>
                <w:sz w:val="20"/>
              </w:rPr>
              <w:t>Budget</w:t>
            </w:r>
            <w:r>
              <w:rPr>
                <w:b/>
                <w:spacing w:val="-5"/>
                <w:sz w:val="20"/>
              </w:rPr>
              <w:t> </w:t>
            </w:r>
            <w:r>
              <w:rPr>
                <w:b/>
                <w:spacing w:val="-2"/>
                <w:sz w:val="20"/>
              </w:rPr>
              <w:t>Activity</w:t>
            </w:r>
          </w:p>
        </w:tc>
        <w:tc>
          <w:tcPr>
            <w:tcW w:w="5580" w:type="dxa"/>
            <w:gridSpan w:val="6"/>
          </w:tcPr>
          <w:p>
            <w:pPr>
              <w:pStyle w:val="TableParagraph"/>
              <w:spacing w:line="210" w:lineRule="exact"/>
              <w:ind w:left="2"/>
              <w:jc w:val="center"/>
              <w:rPr>
                <w:b/>
                <w:sz w:val="20"/>
              </w:rPr>
            </w:pPr>
            <w:r>
              <w:rPr>
                <w:b/>
                <w:spacing w:val="-2"/>
                <w:sz w:val="20"/>
              </w:rPr>
              <w:t>Duration</w:t>
            </w:r>
          </w:p>
        </w:tc>
      </w:tr>
      <w:tr>
        <w:trPr>
          <w:trHeight w:val="460" w:hRule="atLeast"/>
        </w:trPr>
        <w:tc>
          <w:tcPr>
            <w:tcW w:w="3692" w:type="dxa"/>
            <w:vMerge/>
            <w:tcBorders>
              <w:top w:val="nil"/>
            </w:tcBorders>
          </w:tcPr>
          <w:p>
            <w:pPr>
              <w:rPr>
                <w:sz w:val="2"/>
                <w:szCs w:val="2"/>
              </w:rPr>
            </w:pPr>
          </w:p>
        </w:tc>
        <w:tc>
          <w:tcPr>
            <w:tcW w:w="900" w:type="dxa"/>
          </w:tcPr>
          <w:p>
            <w:pPr>
              <w:pStyle w:val="TableParagraph"/>
              <w:spacing w:line="230" w:lineRule="exact"/>
              <w:ind w:left="229" w:hanging="123"/>
              <w:rPr>
                <w:b/>
                <w:sz w:val="20"/>
              </w:rPr>
            </w:pPr>
            <w:r>
              <w:rPr>
                <w:b/>
                <w:sz w:val="20"/>
              </w:rPr>
              <w:t>1</w:t>
            </w:r>
            <w:r>
              <w:rPr>
                <w:b/>
                <w:spacing w:val="-13"/>
                <w:sz w:val="20"/>
              </w:rPr>
              <w:t> </w:t>
            </w:r>
            <w:r>
              <w:rPr>
                <w:b/>
                <w:sz w:val="20"/>
              </w:rPr>
              <w:t>day</w:t>
            </w:r>
            <w:r>
              <w:rPr>
                <w:b/>
                <w:spacing w:val="-12"/>
                <w:sz w:val="20"/>
              </w:rPr>
              <w:t> </w:t>
            </w:r>
            <w:r>
              <w:rPr>
                <w:b/>
                <w:sz w:val="20"/>
              </w:rPr>
              <w:t>-</w:t>
            </w:r>
            <w:r>
              <w:rPr>
                <w:b/>
                <w:sz w:val="20"/>
              </w:rPr>
              <w:t>1</w:t>
            </w:r>
            <w:r>
              <w:rPr>
                <w:b/>
                <w:sz w:val="20"/>
              </w:rPr>
              <w:t> </w:t>
            </w:r>
            <w:r>
              <w:rPr>
                <w:b/>
                <w:spacing w:val="-4"/>
                <w:sz w:val="20"/>
              </w:rPr>
              <w:t>week</w:t>
            </w:r>
          </w:p>
        </w:tc>
        <w:tc>
          <w:tcPr>
            <w:tcW w:w="809" w:type="dxa"/>
          </w:tcPr>
          <w:p>
            <w:pPr>
              <w:pStyle w:val="TableParagraph"/>
              <w:spacing w:line="228" w:lineRule="exact"/>
              <w:ind w:left="241"/>
              <w:rPr>
                <w:b/>
                <w:sz w:val="20"/>
              </w:rPr>
            </w:pPr>
            <w:r>
              <w:rPr>
                <w:b/>
                <w:sz w:val="20"/>
              </w:rPr>
              <w:t>2- </w:t>
            </w:r>
            <w:r>
              <w:rPr>
                <w:b/>
                <w:spacing w:val="-10"/>
                <w:sz w:val="20"/>
              </w:rPr>
              <w:t>3</w:t>
            </w:r>
          </w:p>
          <w:p>
            <w:pPr>
              <w:pStyle w:val="TableParagraph"/>
              <w:spacing w:line="212" w:lineRule="exact"/>
              <w:ind w:left="145"/>
              <w:rPr>
                <w:b/>
                <w:sz w:val="20"/>
              </w:rPr>
            </w:pPr>
            <w:r>
              <w:rPr>
                <w:b/>
                <w:spacing w:val="-2"/>
                <w:sz w:val="20"/>
              </w:rPr>
              <w:t>weeks</w:t>
            </w:r>
          </w:p>
        </w:tc>
        <w:tc>
          <w:tcPr>
            <w:tcW w:w="900" w:type="dxa"/>
          </w:tcPr>
          <w:p>
            <w:pPr>
              <w:pStyle w:val="TableParagraph"/>
              <w:spacing w:line="228" w:lineRule="exact"/>
              <w:ind w:left="5"/>
              <w:jc w:val="center"/>
              <w:rPr>
                <w:b/>
                <w:sz w:val="20"/>
              </w:rPr>
            </w:pPr>
            <w:r>
              <w:rPr>
                <w:b/>
                <w:spacing w:val="-10"/>
                <w:sz w:val="20"/>
              </w:rPr>
              <w:t>1</w:t>
            </w:r>
          </w:p>
          <w:p>
            <w:pPr>
              <w:pStyle w:val="TableParagraph"/>
              <w:spacing w:line="212" w:lineRule="exact"/>
              <w:ind w:left="5" w:right="1"/>
              <w:jc w:val="center"/>
              <w:rPr>
                <w:b/>
                <w:sz w:val="20"/>
              </w:rPr>
            </w:pPr>
            <w:r>
              <w:rPr>
                <w:b/>
                <w:spacing w:val="-2"/>
                <w:sz w:val="20"/>
              </w:rPr>
              <w:t>month</w:t>
            </w:r>
          </w:p>
        </w:tc>
        <w:tc>
          <w:tcPr>
            <w:tcW w:w="991" w:type="dxa"/>
          </w:tcPr>
          <w:p>
            <w:pPr>
              <w:pStyle w:val="TableParagraph"/>
              <w:spacing w:line="228" w:lineRule="exact"/>
              <w:ind w:left="7" w:right="1"/>
              <w:jc w:val="center"/>
              <w:rPr>
                <w:b/>
                <w:sz w:val="20"/>
              </w:rPr>
            </w:pPr>
            <w:r>
              <w:rPr>
                <w:b/>
                <w:sz w:val="20"/>
              </w:rPr>
              <w:t>2 – </w:t>
            </w:r>
            <w:r>
              <w:rPr>
                <w:b/>
                <w:spacing w:val="-10"/>
                <w:sz w:val="20"/>
              </w:rPr>
              <w:t>3</w:t>
            </w:r>
          </w:p>
          <w:p>
            <w:pPr>
              <w:pStyle w:val="TableParagraph"/>
              <w:spacing w:line="212" w:lineRule="exact"/>
              <w:ind w:left="7" w:right="2"/>
              <w:jc w:val="center"/>
              <w:rPr>
                <w:b/>
                <w:sz w:val="20"/>
              </w:rPr>
            </w:pPr>
            <w:r>
              <w:rPr>
                <w:b/>
                <w:spacing w:val="-2"/>
                <w:sz w:val="20"/>
              </w:rPr>
              <w:t>months</w:t>
            </w:r>
          </w:p>
        </w:tc>
        <w:tc>
          <w:tcPr>
            <w:tcW w:w="989" w:type="dxa"/>
          </w:tcPr>
          <w:p>
            <w:pPr>
              <w:pStyle w:val="TableParagraph"/>
              <w:spacing w:line="228" w:lineRule="exact"/>
              <w:ind w:left="3" w:right="2"/>
              <w:jc w:val="center"/>
              <w:rPr>
                <w:b/>
                <w:sz w:val="20"/>
              </w:rPr>
            </w:pPr>
            <w:r>
              <w:rPr>
                <w:b/>
                <w:sz w:val="20"/>
              </w:rPr>
              <w:t>4- </w:t>
            </w:r>
            <w:r>
              <w:rPr>
                <w:b/>
                <w:spacing w:val="-10"/>
                <w:sz w:val="20"/>
              </w:rPr>
              <w:t>5</w:t>
            </w:r>
          </w:p>
          <w:p>
            <w:pPr>
              <w:pStyle w:val="TableParagraph"/>
              <w:spacing w:line="212" w:lineRule="exact"/>
              <w:ind w:left="3"/>
              <w:jc w:val="center"/>
              <w:rPr>
                <w:b/>
                <w:sz w:val="20"/>
              </w:rPr>
            </w:pPr>
            <w:r>
              <w:rPr>
                <w:b/>
                <w:spacing w:val="-2"/>
                <w:sz w:val="20"/>
              </w:rPr>
              <w:t>months</w:t>
            </w:r>
          </w:p>
        </w:tc>
        <w:tc>
          <w:tcPr>
            <w:tcW w:w="991" w:type="dxa"/>
          </w:tcPr>
          <w:p>
            <w:pPr>
              <w:pStyle w:val="TableParagraph"/>
              <w:spacing w:line="228" w:lineRule="exact"/>
              <w:ind w:left="7"/>
              <w:jc w:val="center"/>
              <w:rPr>
                <w:b/>
                <w:sz w:val="20"/>
              </w:rPr>
            </w:pPr>
            <w:r>
              <w:rPr>
                <w:b/>
                <w:sz w:val="20"/>
              </w:rPr>
              <w:t>5 - </w:t>
            </w:r>
            <w:r>
              <w:rPr>
                <w:b/>
                <w:spacing w:val="-10"/>
                <w:sz w:val="20"/>
              </w:rPr>
              <w:t>7</w:t>
            </w:r>
          </w:p>
          <w:p>
            <w:pPr>
              <w:pStyle w:val="TableParagraph"/>
              <w:spacing w:line="212" w:lineRule="exact"/>
              <w:ind w:left="7" w:right="1"/>
              <w:jc w:val="center"/>
              <w:rPr>
                <w:b/>
                <w:sz w:val="20"/>
              </w:rPr>
            </w:pPr>
            <w:r>
              <w:rPr>
                <w:b/>
                <w:spacing w:val="-2"/>
                <w:sz w:val="20"/>
              </w:rPr>
              <w:t>months</w:t>
            </w:r>
          </w:p>
        </w:tc>
      </w:tr>
      <w:tr>
        <w:trPr>
          <w:trHeight w:val="230" w:hRule="atLeast"/>
        </w:trPr>
        <w:tc>
          <w:tcPr>
            <w:tcW w:w="3692" w:type="dxa"/>
          </w:tcPr>
          <w:p>
            <w:pPr>
              <w:pStyle w:val="TableParagraph"/>
              <w:spacing w:line="210" w:lineRule="exact"/>
              <w:ind w:left="107"/>
              <w:rPr>
                <w:sz w:val="20"/>
              </w:rPr>
            </w:pPr>
            <w:r>
              <w:rPr>
                <w:sz w:val="20"/>
              </w:rPr>
              <w:t>Preparation</w:t>
            </w:r>
            <w:r>
              <w:rPr>
                <w:spacing w:val="43"/>
                <w:sz w:val="20"/>
              </w:rPr>
              <w:t> </w:t>
            </w:r>
            <w:r>
              <w:rPr>
                <w:sz w:val="20"/>
              </w:rPr>
              <w:t>of</w:t>
            </w:r>
            <w:r>
              <w:rPr>
                <w:spacing w:val="-5"/>
                <w:sz w:val="20"/>
              </w:rPr>
              <w:t> </w:t>
            </w:r>
            <w:r>
              <w:rPr>
                <w:sz w:val="20"/>
              </w:rPr>
              <w:t>Sector</w:t>
            </w:r>
            <w:r>
              <w:rPr>
                <w:spacing w:val="-3"/>
                <w:sz w:val="20"/>
              </w:rPr>
              <w:t> </w:t>
            </w:r>
            <w:r>
              <w:rPr>
                <w:sz w:val="20"/>
              </w:rPr>
              <w:t>limits</w:t>
            </w:r>
            <w:r>
              <w:rPr>
                <w:spacing w:val="47"/>
                <w:sz w:val="20"/>
              </w:rPr>
              <w:t> </w:t>
            </w:r>
            <w:r>
              <w:rPr>
                <w:sz w:val="20"/>
              </w:rPr>
              <w:t>by</w:t>
            </w:r>
            <w:r>
              <w:rPr>
                <w:spacing w:val="-4"/>
                <w:sz w:val="20"/>
              </w:rPr>
              <w:t> MDAs</w:t>
            </w:r>
          </w:p>
        </w:tc>
        <w:tc>
          <w:tcPr>
            <w:tcW w:w="900" w:type="dxa"/>
          </w:tcPr>
          <w:p>
            <w:pPr>
              <w:pStyle w:val="TableParagraph"/>
              <w:rPr>
                <w:sz w:val="16"/>
              </w:rPr>
            </w:pPr>
          </w:p>
        </w:tc>
        <w:tc>
          <w:tcPr>
            <w:tcW w:w="809" w:type="dxa"/>
          </w:tcPr>
          <w:p>
            <w:pPr>
              <w:pStyle w:val="TableParagraph"/>
              <w:rPr>
                <w:sz w:val="16"/>
              </w:rPr>
            </w:pPr>
          </w:p>
        </w:tc>
        <w:tc>
          <w:tcPr>
            <w:tcW w:w="900" w:type="dxa"/>
          </w:tcPr>
          <w:p>
            <w:pPr>
              <w:pStyle w:val="TableParagraph"/>
              <w:rPr>
                <w:sz w:val="16"/>
              </w:rPr>
            </w:pPr>
          </w:p>
        </w:tc>
        <w:tc>
          <w:tcPr>
            <w:tcW w:w="991" w:type="dxa"/>
          </w:tcPr>
          <w:p>
            <w:pPr>
              <w:pStyle w:val="TableParagraph"/>
              <w:rPr>
                <w:sz w:val="16"/>
              </w:rPr>
            </w:pPr>
          </w:p>
        </w:tc>
        <w:tc>
          <w:tcPr>
            <w:tcW w:w="989" w:type="dxa"/>
          </w:tcPr>
          <w:p>
            <w:pPr>
              <w:pStyle w:val="TableParagraph"/>
              <w:rPr>
                <w:sz w:val="16"/>
              </w:rPr>
            </w:pPr>
          </w:p>
        </w:tc>
        <w:tc>
          <w:tcPr>
            <w:tcW w:w="991" w:type="dxa"/>
          </w:tcPr>
          <w:p>
            <w:pPr>
              <w:pStyle w:val="TableParagraph"/>
              <w:rPr>
                <w:sz w:val="16"/>
              </w:rPr>
            </w:pPr>
          </w:p>
        </w:tc>
      </w:tr>
      <w:tr>
        <w:trPr>
          <w:trHeight w:val="304" w:hRule="atLeast"/>
        </w:trPr>
        <w:tc>
          <w:tcPr>
            <w:tcW w:w="3692" w:type="dxa"/>
          </w:tcPr>
          <w:p>
            <w:pPr>
              <w:pStyle w:val="TableParagraph"/>
              <w:spacing w:line="223" w:lineRule="exact"/>
              <w:ind w:left="107"/>
              <w:rPr>
                <w:sz w:val="20"/>
              </w:rPr>
            </w:pPr>
            <w:r>
              <w:rPr>
                <w:sz w:val="20"/>
              </w:rPr>
              <w:t>Issuance</w:t>
            </w:r>
            <w:r>
              <w:rPr>
                <w:spacing w:val="-6"/>
                <w:sz w:val="20"/>
              </w:rPr>
              <w:t> </w:t>
            </w:r>
            <w:r>
              <w:rPr>
                <w:sz w:val="20"/>
              </w:rPr>
              <w:t>of</w:t>
            </w:r>
            <w:r>
              <w:rPr>
                <w:spacing w:val="-4"/>
                <w:sz w:val="20"/>
              </w:rPr>
              <w:t> </w:t>
            </w:r>
            <w:r>
              <w:rPr>
                <w:sz w:val="20"/>
              </w:rPr>
              <w:t>Call</w:t>
            </w:r>
            <w:r>
              <w:rPr>
                <w:spacing w:val="-5"/>
                <w:sz w:val="20"/>
              </w:rPr>
              <w:t> </w:t>
            </w:r>
            <w:r>
              <w:rPr>
                <w:spacing w:val="-2"/>
                <w:sz w:val="20"/>
              </w:rPr>
              <w:t>Circular</w:t>
            </w:r>
          </w:p>
        </w:tc>
        <w:tc>
          <w:tcPr>
            <w:tcW w:w="900" w:type="dxa"/>
          </w:tcPr>
          <w:p>
            <w:pPr>
              <w:pStyle w:val="TableParagraph"/>
              <w:rPr>
                <w:sz w:val="20"/>
              </w:rPr>
            </w:pPr>
          </w:p>
        </w:tc>
        <w:tc>
          <w:tcPr>
            <w:tcW w:w="809" w:type="dxa"/>
          </w:tcPr>
          <w:p>
            <w:pPr>
              <w:pStyle w:val="TableParagraph"/>
              <w:rPr>
                <w:sz w:val="20"/>
              </w:rPr>
            </w:pPr>
          </w:p>
        </w:tc>
        <w:tc>
          <w:tcPr>
            <w:tcW w:w="900" w:type="dxa"/>
          </w:tcPr>
          <w:p>
            <w:pPr>
              <w:pStyle w:val="TableParagraph"/>
              <w:rPr>
                <w:sz w:val="20"/>
              </w:rPr>
            </w:pPr>
          </w:p>
        </w:tc>
        <w:tc>
          <w:tcPr>
            <w:tcW w:w="991" w:type="dxa"/>
          </w:tcPr>
          <w:p>
            <w:pPr>
              <w:pStyle w:val="TableParagraph"/>
              <w:rPr>
                <w:sz w:val="20"/>
              </w:rPr>
            </w:pPr>
          </w:p>
        </w:tc>
        <w:tc>
          <w:tcPr>
            <w:tcW w:w="989" w:type="dxa"/>
          </w:tcPr>
          <w:p>
            <w:pPr>
              <w:pStyle w:val="TableParagraph"/>
              <w:rPr>
                <w:sz w:val="20"/>
              </w:rPr>
            </w:pPr>
          </w:p>
        </w:tc>
        <w:tc>
          <w:tcPr>
            <w:tcW w:w="991" w:type="dxa"/>
          </w:tcPr>
          <w:p>
            <w:pPr>
              <w:pStyle w:val="TableParagraph"/>
              <w:rPr>
                <w:sz w:val="20"/>
              </w:rPr>
            </w:pPr>
          </w:p>
        </w:tc>
      </w:tr>
      <w:tr>
        <w:trPr>
          <w:trHeight w:val="230" w:hRule="atLeast"/>
        </w:trPr>
        <w:tc>
          <w:tcPr>
            <w:tcW w:w="3692" w:type="dxa"/>
          </w:tcPr>
          <w:p>
            <w:pPr>
              <w:pStyle w:val="TableParagraph"/>
              <w:spacing w:line="210" w:lineRule="exact"/>
              <w:ind w:left="107"/>
              <w:rPr>
                <w:sz w:val="20"/>
              </w:rPr>
            </w:pPr>
            <w:r>
              <w:rPr>
                <w:sz w:val="20"/>
              </w:rPr>
              <w:t>Submission</w:t>
            </w:r>
            <w:r>
              <w:rPr>
                <w:spacing w:val="-6"/>
                <w:sz w:val="20"/>
              </w:rPr>
              <w:t> </w:t>
            </w:r>
            <w:r>
              <w:rPr>
                <w:sz w:val="20"/>
              </w:rPr>
              <w:t>of</w:t>
            </w:r>
            <w:r>
              <w:rPr>
                <w:spacing w:val="-6"/>
                <w:sz w:val="20"/>
              </w:rPr>
              <w:t> </w:t>
            </w:r>
            <w:r>
              <w:rPr>
                <w:sz w:val="20"/>
              </w:rPr>
              <w:t>budget</w:t>
            </w:r>
            <w:r>
              <w:rPr>
                <w:spacing w:val="-4"/>
                <w:sz w:val="20"/>
              </w:rPr>
              <w:t> </w:t>
            </w:r>
            <w:r>
              <w:rPr>
                <w:sz w:val="20"/>
              </w:rPr>
              <w:t>proposals</w:t>
            </w:r>
            <w:r>
              <w:rPr>
                <w:spacing w:val="-5"/>
                <w:sz w:val="20"/>
              </w:rPr>
              <w:t> </w:t>
            </w:r>
            <w:r>
              <w:rPr>
                <w:sz w:val="20"/>
              </w:rPr>
              <w:t>by</w:t>
            </w:r>
            <w:r>
              <w:rPr>
                <w:spacing w:val="-8"/>
                <w:sz w:val="20"/>
              </w:rPr>
              <w:t> </w:t>
            </w:r>
            <w:r>
              <w:rPr>
                <w:spacing w:val="-4"/>
                <w:sz w:val="20"/>
              </w:rPr>
              <w:t>MDAs</w:t>
            </w:r>
          </w:p>
        </w:tc>
        <w:tc>
          <w:tcPr>
            <w:tcW w:w="900" w:type="dxa"/>
          </w:tcPr>
          <w:p>
            <w:pPr>
              <w:pStyle w:val="TableParagraph"/>
              <w:rPr>
                <w:sz w:val="16"/>
              </w:rPr>
            </w:pPr>
          </w:p>
        </w:tc>
        <w:tc>
          <w:tcPr>
            <w:tcW w:w="809" w:type="dxa"/>
          </w:tcPr>
          <w:p>
            <w:pPr>
              <w:pStyle w:val="TableParagraph"/>
              <w:rPr>
                <w:sz w:val="16"/>
              </w:rPr>
            </w:pPr>
          </w:p>
        </w:tc>
        <w:tc>
          <w:tcPr>
            <w:tcW w:w="900" w:type="dxa"/>
          </w:tcPr>
          <w:p>
            <w:pPr>
              <w:pStyle w:val="TableParagraph"/>
              <w:rPr>
                <w:sz w:val="16"/>
              </w:rPr>
            </w:pPr>
          </w:p>
        </w:tc>
        <w:tc>
          <w:tcPr>
            <w:tcW w:w="991" w:type="dxa"/>
          </w:tcPr>
          <w:p>
            <w:pPr>
              <w:pStyle w:val="TableParagraph"/>
              <w:rPr>
                <w:sz w:val="16"/>
              </w:rPr>
            </w:pPr>
          </w:p>
        </w:tc>
        <w:tc>
          <w:tcPr>
            <w:tcW w:w="989" w:type="dxa"/>
          </w:tcPr>
          <w:p>
            <w:pPr>
              <w:pStyle w:val="TableParagraph"/>
              <w:rPr>
                <w:sz w:val="16"/>
              </w:rPr>
            </w:pPr>
          </w:p>
        </w:tc>
        <w:tc>
          <w:tcPr>
            <w:tcW w:w="991" w:type="dxa"/>
          </w:tcPr>
          <w:p>
            <w:pPr>
              <w:pStyle w:val="TableParagraph"/>
              <w:rPr>
                <w:sz w:val="16"/>
              </w:rPr>
            </w:pPr>
          </w:p>
        </w:tc>
      </w:tr>
      <w:tr>
        <w:trPr>
          <w:trHeight w:val="460" w:hRule="atLeast"/>
        </w:trPr>
        <w:tc>
          <w:tcPr>
            <w:tcW w:w="3692" w:type="dxa"/>
          </w:tcPr>
          <w:p>
            <w:pPr>
              <w:pStyle w:val="TableParagraph"/>
              <w:spacing w:line="223" w:lineRule="exact"/>
              <w:ind w:left="107"/>
              <w:rPr>
                <w:sz w:val="20"/>
              </w:rPr>
            </w:pPr>
            <w:r>
              <w:rPr>
                <w:sz w:val="20"/>
              </w:rPr>
              <w:t>Bilateral</w:t>
            </w:r>
            <w:r>
              <w:rPr>
                <w:spacing w:val="-8"/>
                <w:sz w:val="20"/>
              </w:rPr>
              <w:t> </w:t>
            </w:r>
            <w:r>
              <w:rPr>
                <w:sz w:val="20"/>
              </w:rPr>
              <w:t>discussions</w:t>
            </w:r>
            <w:r>
              <w:rPr>
                <w:spacing w:val="-8"/>
                <w:sz w:val="20"/>
              </w:rPr>
              <w:t> </w:t>
            </w:r>
            <w:r>
              <w:rPr>
                <w:sz w:val="20"/>
              </w:rPr>
              <w:t>and</w:t>
            </w:r>
            <w:r>
              <w:rPr>
                <w:spacing w:val="-6"/>
                <w:sz w:val="20"/>
              </w:rPr>
              <w:t> </w:t>
            </w:r>
            <w:r>
              <w:rPr>
                <w:sz w:val="20"/>
              </w:rPr>
              <w:t>defense</w:t>
            </w:r>
            <w:r>
              <w:rPr>
                <w:spacing w:val="-7"/>
                <w:sz w:val="20"/>
              </w:rPr>
              <w:t> </w:t>
            </w:r>
            <w:r>
              <w:rPr>
                <w:spacing w:val="-5"/>
                <w:sz w:val="20"/>
              </w:rPr>
              <w:t>of</w:t>
            </w:r>
          </w:p>
          <w:p>
            <w:pPr>
              <w:pStyle w:val="TableParagraph"/>
              <w:spacing w:line="217" w:lineRule="exact"/>
              <w:ind w:left="107"/>
              <w:rPr>
                <w:sz w:val="20"/>
              </w:rPr>
            </w:pPr>
            <w:r>
              <w:rPr>
                <w:spacing w:val="-2"/>
                <w:sz w:val="20"/>
              </w:rPr>
              <w:t>proposals</w:t>
            </w:r>
          </w:p>
        </w:tc>
        <w:tc>
          <w:tcPr>
            <w:tcW w:w="900" w:type="dxa"/>
          </w:tcPr>
          <w:p>
            <w:pPr>
              <w:pStyle w:val="TableParagraph"/>
              <w:rPr>
                <w:sz w:val="20"/>
              </w:rPr>
            </w:pPr>
          </w:p>
        </w:tc>
        <w:tc>
          <w:tcPr>
            <w:tcW w:w="809" w:type="dxa"/>
          </w:tcPr>
          <w:p>
            <w:pPr>
              <w:pStyle w:val="TableParagraph"/>
              <w:rPr>
                <w:sz w:val="20"/>
              </w:rPr>
            </w:pPr>
          </w:p>
        </w:tc>
        <w:tc>
          <w:tcPr>
            <w:tcW w:w="900" w:type="dxa"/>
          </w:tcPr>
          <w:p>
            <w:pPr>
              <w:pStyle w:val="TableParagraph"/>
              <w:rPr>
                <w:sz w:val="20"/>
              </w:rPr>
            </w:pPr>
          </w:p>
        </w:tc>
        <w:tc>
          <w:tcPr>
            <w:tcW w:w="991" w:type="dxa"/>
          </w:tcPr>
          <w:p>
            <w:pPr>
              <w:pStyle w:val="TableParagraph"/>
              <w:rPr>
                <w:sz w:val="20"/>
              </w:rPr>
            </w:pPr>
          </w:p>
        </w:tc>
        <w:tc>
          <w:tcPr>
            <w:tcW w:w="989" w:type="dxa"/>
          </w:tcPr>
          <w:p>
            <w:pPr>
              <w:pStyle w:val="TableParagraph"/>
              <w:rPr>
                <w:sz w:val="20"/>
              </w:rPr>
            </w:pPr>
          </w:p>
        </w:tc>
        <w:tc>
          <w:tcPr>
            <w:tcW w:w="991" w:type="dxa"/>
          </w:tcPr>
          <w:p>
            <w:pPr>
              <w:pStyle w:val="TableParagraph"/>
              <w:rPr>
                <w:sz w:val="20"/>
              </w:rPr>
            </w:pPr>
          </w:p>
        </w:tc>
      </w:tr>
      <w:tr>
        <w:trPr>
          <w:trHeight w:val="458" w:hRule="atLeast"/>
        </w:trPr>
        <w:tc>
          <w:tcPr>
            <w:tcW w:w="3692" w:type="dxa"/>
          </w:tcPr>
          <w:p>
            <w:pPr>
              <w:pStyle w:val="TableParagraph"/>
              <w:spacing w:line="223" w:lineRule="exact"/>
              <w:ind w:left="107"/>
              <w:rPr>
                <w:sz w:val="20"/>
              </w:rPr>
            </w:pPr>
            <w:r>
              <w:rPr>
                <w:sz w:val="20"/>
              </w:rPr>
              <w:t>Consolidation</w:t>
            </w:r>
            <w:r>
              <w:rPr>
                <w:spacing w:val="-6"/>
                <w:sz w:val="20"/>
              </w:rPr>
              <w:t> </w:t>
            </w:r>
            <w:r>
              <w:rPr>
                <w:sz w:val="20"/>
              </w:rPr>
              <w:t>of</w:t>
            </w:r>
            <w:r>
              <w:rPr>
                <w:spacing w:val="-6"/>
                <w:sz w:val="20"/>
              </w:rPr>
              <w:t> </w:t>
            </w:r>
            <w:r>
              <w:rPr>
                <w:sz w:val="20"/>
              </w:rPr>
              <w:t>proposals</w:t>
            </w:r>
            <w:r>
              <w:rPr>
                <w:spacing w:val="-5"/>
                <w:sz w:val="20"/>
              </w:rPr>
              <w:t> </w:t>
            </w:r>
            <w:r>
              <w:rPr>
                <w:sz w:val="20"/>
              </w:rPr>
              <w:t>by</w:t>
            </w:r>
            <w:r>
              <w:rPr>
                <w:spacing w:val="-5"/>
                <w:sz w:val="20"/>
              </w:rPr>
              <w:t> </w:t>
            </w:r>
            <w:r>
              <w:rPr>
                <w:sz w:val="20"/>
              </w:rPr>
              <w:t>the</w:t>
            </w:r>
            <w:r>
              <w:rPr>
                <w:spacing w:val="-4"/>
                <w:sz w:val="20"/>
              </w:rPr>
              <w:t> </w:t>
            </w:r>
            <w:r>
              <w:rPr>
                <w:spacing w:val="-2"/>
                <w:sz w:val="20"/>
              </w:rPr>
              <w:t>Ministry</w:t>
            </w:r>
          </w:p>
          <w:p>
            <w:pPr>
              <w:pStyle w:val="TableParagraph"/>
              <w:spacing w:line="215" w:lineRule="exact"/>
              <w:ind w:left="107"/>
              <w:rPr>
                <w:sz w:val="20"/>
              </w:rPr>
            </w:pPr>
            <w:r>
              <w:rPr>
                <w:sz w:val="20"/>
              </w:rPr>
              <w:t>of</w:t>
            </w:r>
            <w:r>
              <w:rPr>
                <w:spacing w:val="-7"/>
                <w:sz w:val="20"/>
              </w:rPr>
              <w:t> </w:t>
            </w:r>
            <w:r>
              <w:rPr>
                <w:sz w:val="20"/>
              </w:rPr>
              <w:t>Budget</w:t>
            </w:r>
            <w:r>
              <w:rPr>
                <w:spacing w:val="-6"/>
                <w:sz w:val="20"/>
              </w:rPr>
              <w:t> </w:t>
            </w:r>
            <w:r>
              <w:rPr>
                <w:sz w:val="20"/>
              </w:rPr>
              <w:t>and</w:t>
            </w:r>
            <w:r>
              <w:rPr>
                <w:spacing w:val="-3"/>
                <w:sz w:val="20"/>
              </w:rPr>
              <w:t> </w:t>
            </w:r>
            <w:r>
              <w:rPr>
                <w:sz w:val="20"/>
              </w:rPr>
              <w:t>Economic</w:t>
            </w:r>
            <w:r>
              <w:rPr>
                <w:spacing w:val="-5"/>
                <w:sz w:val="20"/>
              </w:rPr>
              <w:t> </w:t>
            </w:r>
            <w:r>
              <w:rPr>
                <w:spacing w:val="-2"/>
                <w:sz w:val="20"/>
              </w:rPr>
              <w:t>Planning</w:t>
            </w:r>
          </w:p>
        </w:tc>
        <w:tc>
          <w:tcPr>
            <w:tcW w:w="900" w:type="dxa"/>
          </w:tcPr>
          <w:p>
            <w:pPr>
              <w:pStyle w:val="TableParagraph"/>
              <w:rPr>
                <w:sz w:val="20"/>
              </w:rPr>
            </w:pPr>
          </w:p>
        </w:tc>
        <w:tc>
          <w:tcPr>
            <w:tcW w:w="809" w:type="dxa"/>
          </w:tcPr>
          <w:p>
            <w:pPr>
              <w:pStyle w:val="TableParagraph"/>
              <w:rPr>
                <w:sz w:val="20"/>
              </w:rPr>
            </w:pPr>
          </w:p>
        </w:tc>
        <w:tc>
          <w:tcPr>
            <w:tcW w:w="900" w:type="dxa"/>
          </w:tcPr>
          <w:p>
            <w:pPr>
              <w:pStyle w:val="TableParagraph"/>
              <w:rPr>
                <w:sz w:val="20"/>
              </w:rPr>
            </w:pPr>
          </w:p>
        </w:tc>
        <w:tc>
          <w:tcPr>
            <w:tcW w:w="991" w:type="dxa"/>
          </w:tcPr>
          <w:p>
            <w:pPr>
              <w:pStyle w:val="TableParagraph"/>
              <w:rPr>
                <w:sz w:val="20"/>
              </w:rPr>
            </w:pPr>
          </w:p>
        </w:tc>
        <w:tc>
          <w:tcPr>
            <w:tcW w:w="989" w:type="dxa"/>
          </w:tcPr>
          <w:p>
            <w:pPr>
              <w:pStyle w:val="TableParagraph"/>
              <w:rPr>
                <w:sz w:val="20"/>
              </w:rPr>
            </w:pPr>
          </w:p>
        </w:tc>
        <w:tc>
          <w:tcPr>
            <w:tcW w:w="991" w:type="dxa"/>
          </w:tcPr>
          <w:p>
            <w:pPr>
              <w:pStyle w:val="TableParagraph"/>
              <w:rPr>
                <w:sz w:val="20"/>
              </w:rPr>
            </w:pPr>
          </w:p>
        </w:tc>
      </w:tr>
      <w:tr>
        <w:trPr>
          <w:trHeight w:val="460" w:hRule="atLeast"/>
        </w:trPr>
        <w:tc>
          <w:tcPr>
            <w:tcW w:w="3692" w:type="dxa"/>
          </w:tcPr>
          <w:p>
            <w:pPr>
              <w:pStyle w:val="TableParagraph"/>
              <w:spacing w:line="228" w:lineRule="exact"/>
              <w:ind w:left="107"/>
              <w:rPr>
                <w:sz w:val="20"/>
              </w:rPr>
            </w:pPr>
            <w:r>
              <w:rPr>
                <w:sz w:val="20"/>
              </w:rPr>
              <w:t>Approval</w:t>
            </w:r>
            <w:r>
              <w:rPr>
                <w:spacing w:val="-7"/>
                <w:sz w:val="20"/>
              </w:rPr>
              <w:t> </w:t>
            </w:r>
            <w:r>
              <w:rPr>
                <w:sz w:val="20"/>
              </w:rPr>
              <w:t>of</w:t>
            </w:r>
            <w:r>
              <w:rPr>
                <w:spacing w:val="-9"/>
                <w:sz w:val="20"/>
              </w:rPr>
              <w:t> </w:t>
            </w:r>
            <w:r>
              <w:rPr>
                <w:sz w:val="20"/>
              </w:rPr>
              <w:t>draft</w:t>
            </w:r>
            <w:r>
              <w:rPr>
                <w:spacing w:val="-8"/>
                <w:sz w:val="20"/>
              </w:rPr>
              <w:t> </w:t>
            </w:r>
            <w:r>
              <w:rPr>
                <w:sz w:val="20"/>
              </w:rPr>
              <w:t>proposal</w:t>
            </w:r>
            <w:r>
              <w:rPr>
                <w:spacing w:val="-7"/>
                <w:sz w:val="20"/>
              </w:rPr>
              <w:t> </w:t>
            </w:r>
            <w:r>
              <w:rPr>
                <w:sz w:val="20"/>
              </w:rPr>
              <w:t>by</w:t>
            </w:r>
            <w:r>
              <w:rPr>
                <w:spacing w:val="-8"/>
                <w:sz w:val="20"/>
              </w:rPr>
              <w:t> </w:t>
            </w:r>
            <w:r>
              <w:rPr>
                <w:sz w:val="20"/>
              </w:rPr>
              <w:t>the</w:t>
            </w:r>
            <w:r>
              <w:rPr>
                <w:spacing w:val="-7"/>
                <w:sz w:val="20"/>
              </w:rPr>
              <w:t> </w:t>
            </w:r>
            <w:r>
              <w:rPr>
                <w:sz w:val="20"/>
              </w:rPr>
              <w:t>State Executive Council</w:t>
            </w:r>
          </w:p>
        </w:tc>
        <w:tc>
          <w:tcPr>
            <w:tcW w:w="900" w:type="dxa"/>
          </w:tcPr>
          <w:p>
            <w:pPr>
              <w:pStyle w:val="TableParagraph"/>
              <w:rPr>
                <w:sz w:val="20"/>
              </w:rPr>
            </w:pPr>
          </w:p>
        </w:tc>
        <w:tc>
          <w:tcPr>
            <w:tcW w:w="809" w:type="dxa"/>
          </w:tcPr>
          <w:p>
            <w:pPr>
              <w:pStyle w:val="TableParagraph"/>
              <w:rPr>
                <w:sz w:val="20"/>
              </w:rPr>
            </w:pPr>
          </w:p>
        </w:tc>
        <w:tc>
          <w:tcPr>
            <w:tcW w:w="900" w:type="dxa"/>
          </w:tcPr>
          <w:p>
            <w:pPr>
              <w:pStyle w:val="TableParagraph"/>
              <w:rPr>
                <w:sz w:val="20"/>
              </w:rPr>
            </w:pPr>
          </w:p>
        </w:tc>
        <w:tc>
          <w:tcPr>
            <w:tcW w:w="991" w:type="dxa"/>
          </w:tcPr>
          <w:p>
            <w:pPr>
              <w:pStyle w:val="TableParagraph"/>
              <w:rPr>
                <w:sz w:val="20"/>
              </w:rPr>
            </w:pPr>
          </w:p>
        </w:tc>
        <w:tc>
          <w:tcPr>
            <w:tcW w:w="989" w:type="dxa"/>
          </w:tcPr>
          <w:p>
            <w:pPr>
              <w:pStyle w:val="TableParagraph"/>
              <w:rPr>
                <w:sz w:val="20"/>
              </w:rPr>
            </w:pPr>
          </w:p>
        </w:tc>
        <w:tc>
          <w:tcPr>
            <w:tcW w:w="991" w:type="dxa"/>
          </w:tcPr>
          <w:p>
            <w:pPr>
              <w:pStyle w:val="TableParagraph"/>
              <w:rPr>
                <w:sz w:val="20"/>
              </w:rPr>
            </w:pPr>
          </w:p>
        </w:tc>
      </w:tr>
      <w:tr>
        <w:trPr>
          <w:trHeight w:val="690" w:hRule="atLeast"/>
        </w:trPr>
        <w:tc>
          <w:tcPr>
            <w:tcW w:w="3692" w:type="dxa"/>
          </w:tcPr>
          <w:p>
            <w:pPr>
              <w:pStyle w:val="TableParagraph"/>
              <w:spacing w:line="223" w:lineRule="exact"/>
              <w:ind w:left="107"/>
              <w:rPr>
                <w:sz w:val="20"/>
              </w:rPr>
            </w:pPr>
            <w:r>
              <w:rPr>
                <w:sz w:val="20"/>
              </w:rPr>
              <w:t>Presentation</w:t>
            </w:r>
            <w:r>
              <w:rPr>
                <w:spacing w:val="-6"/>
                <w:sz w:val="20"/>
              </w:rPr>
              <w:t> </w:t>
            </w:r>
            <w:r>
              <w:rPr>
                <w:sz w:val="20"/>
              </w:rPr>
              <w:t>of</w:t>
            </w:r>
            <w:r>
              <w:rPr>
                <w:spacing w:val="-6"/>
                <w:sz w:val="20"/>
              </w:rPr>
              <w:t> </w:t>
            </w:r>
            <w:r>
              <w:rPr>
                <w:sz w:val="20"/>
              </w:rPr>
              <w:t>draft</w:t>
            </w:r>
            <w:r>
              <w:rPr>
                <w:spacing w:val="-6"/>
                <w:sz w:val="20"/>
              </w:rPr>
              <w:t> </w:t>
            </w:r>
            <w:r>
              <w:rPr>
                <w:sz w:val="20"/>
              </w:rPr>
              <w:t>budget</w:t>
            </w:r>
            <w:r>
              <w:rPr>
                <w:spacing w:val="-5"/>
                <w:sz w:val="20"/>
              </w:rPr>
              <w:t> </w:t>
            </w:r>
            <w:r>
              <w:rPr>
                <w:sz w:val="20"/>
              </w:rPr>
              <w:t>to</w:t>
            </w:r>
            <w:r>
              <w:rPr>
                <w:spacing w:val="-2"/>
                <w:sz w:val="20"/>
              </w:rPr>
              <w:t> </w:t>
            </w:r>
            <w:r>
              <w:rPr>
                <w:sz w:val="20"/>
              </w:rPr>
              <w:t>the</w:t>
            </w:r>
            <w:r>
              <w:rPr>
                <w:spacing w:val="-4"/>
                <w:sz w:val="20"/>
              </w:rPr>
              <w:t> </w:t>
            </w:r>
            <w:r>
              <w:rPr>
                <w:spacing w:val="-2"/>
                <w:sz w:val="20"/>
              </w:rPr>
              <w:t>State</w:t>
            </w:r>
          </w:p>
          <w:p>
            <w:pPr>
              <w:pStyle w:val="TableParagraph"/>
              <w:spacing w:line="230" w:lineRule="atLeast"/>
              <w:ind w:left="107"/>
              <w:rPr>
                <w:sz w:val="20"/>
              </w:rPr>
            </w:pPr>
            <w:r>
              <w:rPr>
                <w:sz w:val="20"/>
              </w:rPr>
              <w:t>House</w:t>
            </w:r>
            <w:r>
              <w:rPr>
                <w:spacing w:val="-9"/>
                <w:sz w:val="20"/>
              </w:rPr>
              <w:t> </w:t>
            </w:r>
            <w:r>
              <w:rPr>
                <w:sz w:val="20"/>
              </w:rPr>
              <w:t>of</w:t>
            </w:r>
            <w:r>
              <w:rPr>
                <w:spacing w:val="-8"/>
                <w:sz w:val="20"/>
              </w:rPr>
              <w:t> </w:t>
            </w:r>
            <w:r>
              <w:rPr>
                <w:sz w:val="20"/>
              </w:rPr>
              <w:t>Assembly</w:t>
            </w:r>
            <w:r>
              <w:rPr>
                <w:spacing w:val="-12"/>
                <w:sz w:val="20"/>
              </w:rPr>
              <w:t> </w:t>
            </w:r>
            <w:r>
              <w:rPr>
                <w:sz w:val="20"/>
              </w:rPr>
              <w:t>(Legislature)</w:t>
            </w:r>
            <w:r>
              <w:rPr>
                <w:spacing w:val="-8"/>
                <w:sz w:val="20"/>
              </w:rPr>
              <w:t> </w:t>
            </w:r>
            <w:r>
              <w:rPr>
                <w:sz w:val="20"/>
              </w:rPr>
              <w:t>and</w:t>
            </w:r>
            <w:r>
              <w:rPr>
                <w:spacing w:val="-8"/>
                <w:sz w:val="20"/>
              </w:rPr>
              <w:t> </w:t>
            </w:r>
            <w:r>
              <w:rPr>
                <w:sz w:val="20"/>
              </w:rPr>
              <w:t>final approval of budget</w:t>
            </w:r>
          </w:p>
        </w:tc>
        <w:tc>
          <w:tcPr>
            <w:tcW w:w="900" w:type="dxa"/>
          </w:tcPr>
          <w:p>
            <w:pPr>
              <w:pStyle w:val="TableParagraph"/>
              <w:rPr>
                <w:sz w:val="20"/>
              </w:rPr>
            </w:pPr>
          </w:p>
        </w:tc>
        <w:tc>
          <w:tcPr>
            <w:tcW w:w="809" w:type="dxa"/>
          </w:tcPr>
          <w:p>
            <w:pPr>
              <w:pStyle w:val="TableParagraph"/>
              <w:rPr>
                <w:sz w:val="20"/>
              </w:rPr>
            </w:pPr>
          </w:p>
        </w:tc>
        <w:tc>
          <w:tcPr>
            <w:tcW w:w="900" w:type="dxa"/>
          </w:tcPr>
          <w:p>
            <w:pPr>
              <w:pStyle w:val="TableParagraph"/>
              <w:rPr>
                <w:sz w:val="20"/>
              </w:rPr>
            </w:pPr>
          </w:p>
        </w:tc>
        <w:tc>
          <w:tcPr>
            <w:tcW w:w="991" w:type="dxa"/>
          </w:tcPr>
          <w:p>
            <w:pPr>
              <w:pStyle w:val="TableParagraph"/>
              <w:rPr>
                <w:sz w:val="20"/>
              </w:rPr>
            </w:pPr>
          </w:p>
        </w:tc>
        <w:tc>
          <w:tcPr>
            <w:tcW w:w="989" w:type="dxa"/>
          </w:tcPr>
          <w:p>
            <w:pPr>
              <w:pStyle w:val="TableParagraph"/>
              <w:rPr>
                <w:sz w:val="20"/>
              </w:rPr>
            </w:pPr>
          </w:p>
        </w:tc>
        <w:tc>
          <w:tcPr>
            <w:tcW w:w="991" w:type="dxa"/>
          </w:tcPr>
          <w:p>
            <w:pPr>
              <w:pStyle w:val="TableParagraph"/>
              <w:rPr>
                <w:sz w:val="20"/>
              </w:rPr>
            </w:pPr>
          </w:p>
        </w:tc>
      </w:tr>
      <w:tr>
        <w:trPr>
          <w:trHeight w:val="230" w:hRule="atLeast"/>
        </w:trPr>
        <w:tc>
          <w:tcPr>
            <w:tcW w:w="3692" w:type="dxa"/>
          </w:tcPr>
          <w:p>
            <w:pPr>
              <w:pStyle w:val="TableParagraph"/>
              <w:spacing w:line="210" w:lineRule="exact"/>
              <w:ind w:left="107"/>
              <w:rPr>
                <w:sz w:val="20"/>
              </w:rPr>
            </w:pPr>
            <w:r>
              <w:rPr>
                <w:sz w:val="20"/>
              </w:rPr>
              <w:t>Governor‘s</w:t>
            </w:r>
            <w:r>
              <w:rPr>
                <w:spacing w:val="-12"/>
                <w:sz w:val="20"/>
              </w:rPr>
              <w:t> </w:t>
            </w:r>
            <w:r>
              <w:rPr>
                <w:spacing w:val="-2"/>
                <w:sz w:val="20"/>
              </w:rPr>
              <w:t>assent</w:t>
            </w:r>
          </w:p>
        </w:tc>
        <w:tc>
          <w:tcPr>
            <w:tcW w:w="900" w:type="dxa"/>
          </w:tcPr>
          <w:p>
            <w:pPr>
              <w:pStyle w:val="TableParagraph"/>
              <w:rPr>
                <w:sz w:val="16"/>
              </w:rPr>
            </w:pPr>
          </w:p>
        </w:tc>
        <w:tc>
          <w:tcPr>
            <w:tcW w:w="809" w:type="dxa"/>
          </w:tcPr>
          <w:p>
            <w:pPr>
              <w:pStyle w:val="TableParagraph"/>
              <w:rPr>
                <w:sz w:val="16"/>
              </w:rPr>
            </w:pPr>
          </w:p>
        </w:tc>
        <w:tc>
          <w:tcPr>
            <w:tcW w:w="900" w:type="dxa"/>
          </w:tcPr>
          <w:p>
            <w:pPr>
              <w:pStyle w:val="TableParagraph"/>
              <w:rPr>
                <w:sz w:val="16"/>
              </w:rPr>
            </w:pPr>
          </w:p>
        </w:tc>
        <w:tc>
          <w:tcPr>
            <w:tcW w:w="991" w:type="dxa"/>
          </w:tcPr>
          <w:p>
            <w:pPr>
              <w:pStyle w:val="TableParagraph"/>
              <w:rPr>
                <w:sz w:val="16"/>
              </w:rPr>
            </w:pPr>
          </w:p>
        </w:tc>
        <w:tc>
          <w:tcPr>
            <w:tcW w:w="989" w:type="dxa"/>
          </w:tcPr>
          <w:p>
            <w:pPr>
              <w:pStyle w:val="TableParagraph"/>
              <w:rPr>
                <w:sz w:val="16"/>
              </w:rPr>
            </w:pPr>
          </w:p>
        </w:tc>
        <w:tc>
          <w:tcPr>
            <w:tcW w:w="991" w:type="dxa"/>
          </w:tcPr>
          <w:p>
            <w:pPr>
              <w:pStyle w:val="TableParagraph"/>
              <w:rPr>
                <w:sz w:val="16"/>
              </w:rPr>
            </w:pPr>
          </w:p>
        </w:tc>
      </w:tr>
      <w:tr>
        <w:trPr>
          <w:trHeight w:val="230" w:hRule="atLeast"/>
        </w:trPr>
        <w:tc>
          <w:tcPr>
            <w:tcW w:w="3692" w:type="dxa"/>
          </w:tcPr>
          <w:p>
            <w:pPr>
              <w:pStyle w:val="TableParagraph"/>
              <w:spacing w:line="210" w:lineRule="exact"/>
              <w:ind w:left="107"/>
              <w:rPr>
                <w:sz w:val="20"/>
              </w:rPr>
            </w:pPr>
            <w:r>
              <w:rPr>
                <w:sz w:val="20"/>
              </w:rPr>
              <w:t>Publication</w:t>
            </w:r>
            <w:r>
              <w:rPr>
                <w:spacing w:val="-7"/>
                <w:sz w:val="20"/>
              </w:rPr>
              <w:t> </w:t>
            </w:r>
            <w:r>
              <w:rPr>
                <w:sz w:val="20"/>
              </w:rPr>
              <w:t>and</w:t>
            </w:r>
            <w:r>
              <w:rPr>
                <w:spacing w:val="-4"/>
                <w:sz w:val="20"/>
              </w:rPr>
              <w:t> </w:t>
            </w:r>
            <w:r>
              <w:rPr>
                <w:sz w:val="20"/>
              </w:rPr>
              <w:t>dissemination</w:t>
            </w:r>
            <w:r>
              <w:rPr>
                <w:spacing w:val="-2"/>
                <w:sz w:val="20"/>
              </w:rPr>
              <w:t> </w:t>
            </w:r>
            <w:r>
              <w:rPr>
                <w:sz w:val="20"/>
              </w:rPr>
              <w:t>of</w:t>
            </w:r>
            <w:r>
              <w:rPr>
                <w:spacing w:val="-7"/>
                <w:sz w:val="20"/>
              </w:rPr>
              <w:t> </w:t>
            </w:r>
            <w:r>
              <w:rPr>
                <w:spacing w:val="-2"/>
                <w:sz w:val="20"/>
              </w:rPr>
              <w:t>budget</w:t>
            </w:r>
          </w:p>
        </w:tc>
        <w:tc>
          <w:tcPr>
            <w:tcW w:w="900" w:type="dxa"/>
          </w:tcPr>
          <w:p>
            <w:pPr>
              <w:pStyle w:val="TableParagraph"/>
              <w:rPr>
                <w:sz w:val="16"/>
              </w:rPr>
            </w:pPr>
          </w:p>
        </w:tc>
        <w:tc>
          <w:tcPr>
            <w:tcW w:w="809" w:type="dxa"/>
          </w:tcPr>
          <w:p>
            <w:pPr>
              <w:pStyle w:val="TableParagraph"/>
              <w:rPr>
                <w:sz w:val="16"/>
              </w:rPr>
            </w:pPr>
          </w:p>
        </w:tc>
        <w:tc>
          <w:tcPr>
            <w:tcW w:w="900" w:type="dxa"/>
          </w:tcPr>
          <w:p>
            <w:pPr>
              <w:pStyle w:val="TableParagraph"/>
              <w:rPr>
                <w:sz w:val="16"/>
              </w:rPr>
            </w:pPr>
          </w:p>
        </w:tc>
        <w:tc>
          <w:tcPr>
            <w:tcW w:w="991" w:type="dxa"/>
          </w:tcPr>
          <w:p>
            <w:pPr>
              <w:pStyle w:val="TableParagraph"/>
              <w:rPr>
                <w:sz w:val="16"/>
              </w:rPr>
            </w:pPr>
          </w:p>
        </w:tc>
        <w:tc>
          <w:tcPr>
            <w:tcW w:w="989" w:type="dxa"/>
          </w:tcPr>
          <w:p>
            <w:pPr>
              <w:pStyle w:val="TableParagraph"/>
              <w:rPr>
                <w:sz w:val="16"/>
              </w:rPr>
            </w:pPr>
          </w:p>
        </w:tc>
        <w:tc>
          <w:tcPr>
            <w:tcW w:w="991" w:type="dxa"/>
          </w:tcPr>
          <w:p>
            <w:pPr>
              <w:pStyle w:val="TableParagraph"/>
              <w:rPr>
                <w:sz w:val="16"/>
              </w:rPr>
            </w:pPr>
          </w:p>
        </w:tc>
      </w:tr>
    </w:tbl>
    <w:p>
      <w:pPr>
        <w:pStyle w:val="ListParagraph"/>
        <w:numPr>
          <w:ilvl w:val="0"/>
          <w:numId w:val="112"/>
        </w:numPr>
        <w:tabs>
          <w:tab w:pos="451" w:val="left" w:leader="none"/>
        </w:tabs>
        <w:spacing w:line="240" w:lineRule="auto" w:before="99" w:after="0"/>
        <w:ind w:left="451" w:right="0" w:hanging="331"/>
        <w:jc w:val="left"/>
        <w:rPr>
          <w:sz w:val="22"/>
        </w:rPr>
      </w:pPr>
      <w:r>
        <w:rPr>
          <w:sz w:val="22"/>
        </w:rPr>
        <w:t>How</w:t>
      </w:r>
      <w:r>
        <w:rPr>
          <w:spacing w:val="-5"/>
          <w:sz w:val="22"/>
        </w:rPr>
        <w:t> </w:t>
      </w:r>
      <w:r>
        <w:rPr>
          <w:sz w:val="22"/>
        </w:rPr>
        <w:t>will</w:t>
      </w:r>
      <w:r>
        <w:rPr>
          <w:spacing w:val="-2"/>
          <w:sz w:val="22"/>
        </w:rPr>
        <w:t> </w:t>
      </w:r>
      <w:r>
        <w:rPr>
          <w:sz w:val="22"/>
        </w:rPr>
        <w:t>you</w:t>
      </w:r>
      <w:r>
        <w:rPr>
          <w:spacing w:val="-3"/>
          <w:sz w:val="22"/>
        </w:rPr>
        <w:t> </w:t>
      </w:r>
      <w:r>
        <w:rPr>
          <w:sz w:val="22"/>
        </w:rPr>
        <w:t>rate</w:t>
      </w:r>
      <w:r>
        <w:rPr>
          <w:spacing w:val="-5"/>
          <w:sz w:val="22"/>
        </w:rPr>
        <w:t> </w:t>
      </w:r>
      <w:r>
        <w:rPr>
          <w:sz w:val="22"/>
        </w:rPr>
        <w:t>the</w:t>
      </w:r>
      <w:r>
        <w:rPr>
          <w:spacing w:val="-4"/>
          <w:sz w:val="22"/>
        </w:rPr>
        <w:t> </w:t>
      </w:r>
      <w:r>
        <w:rPr>
          <w:sz w:val="22"/>
        </w:rPr>
        <w:t>general</w:t>
      </w:r>
      <w:r>
        <w:rPr>
          <w:spacing w:val="-5"/>
          <w:sz w:val="22"/>
        </w:rPr>
        <w:t> </w:t>
      </w:r>
      <w:r>
        <w:rPr>
          <w:sz w:val="22"/>
        </w:rPr>
        <w:t>level</w:t>
      </w:r>
      <w:r>
        <w:rPr>
          <w:spacing w:val="-2"/>
          <w:sz w:val="22"/>
        </w:rPr>
        <w:t> </w:t>
      </w:r>
      <w:r>
        <w:rPr>
          <w:sz w:val="22"/>
        </w:rPr>
        <w:t>of</w:t>
      </w:r>
      <w:r>
        <w:rPr>
          <w:spacing w:val="-4"/>
          <w:sz w:val="22"/>
        </w:rPr>
        <w:t> </w:t>
      </w:r>
      <w:r>
        <w:rPr>
          <w:sz w:val="22"/>
        </w:rPr>
        <w:t>implementation</w:t>
      </w:r>
      <w:r>
        <w:rPr>
          <w:spacing w:val="-3"/>
          <w:sz w:val="22"/>
        </w:rPr>
        <w:t> </w:t>
      </w:r>
      <w:r>
        <w:rPr>
          <w:sz w:val="22"/>
        </w:rPr>
        <w:t>of</w:t>
      </w:r>
      <w:r>
        <w:rPr>
          <w:spacing w:val="-3"/>
          <w:sz w:val="22"/>
        </w:rPr>
        <w:t> </w:t>
      </w:r>
      <w:r>
        <w:rPr>
          <w:sz w:val="22"/>
        </w:rPr>
        <w:t>annual</w:t>
      </w:r>
      <w:r>
        <w:rPr>
          <w:spacing w:val="-2"/>
          <w:sz w:val="22"/>
        </w:rPr>
        <w:t> </w:t>
      </w:r>
      <w:r>
        <w:rPr>
          <w:sz w:val="22"/>
        </w:rPr>
        <w:t>Housing</w:t>
      </w:r>
      <w:r>
        <w:rPr>
          <w:spacing w:val="-6"/>
          <w:sz w:val="22"/>
        </w:rPr>
        <w:t> </w:t>
      </w:r>
      <w:r>
        <w:rPr>
          <w:sz w:val="22"/>
        </w:rPr>
        <w:t>Budget</w:t>
      </w:r>
      <w:r>
        <w:rPr>
          <w:spacing w:val="-3"/>
          <w:sz w:val="22"/>
        </w:rPr>
        <w:t> </w:t>
      </w:r>
      <w:r>
        <w:rPr>
          <w:sz w:val="22"/>
        </w:rPr>
        <w:t>in</w:t>
      </w:r>
      <w:r>
        <w:rPr>
          <w:spacing w:val="-1"/>
          <w:sz w:val="22"/>
        </w:rPr>
        <w:t> </w:t>
      </w:r>
      <w:r>
        <w:rPr>
          <w:sz w:val="22"/>
        </w:rPr>
        <w:t>Anambra</w:t>
      </w:r>
      <w:r>
        <w:rPr>
          <w:spacing w:val="-3"/>
          <w:sz w:val="22"/>
        </w:rPr>
        <w:t> </w:t>
      </w:r>
      <w:r>
        <w:rPr>
          <w:spacing w:val="-2"/>
          <w:sz w:val="22"/>
        </w:rPr>
        <w:t>State?</w:t>
      </w:r>
    </w:p>
    <w:p>
      <w:pPr>
        <w:tabs>
          <w:tab w:pos="1502" w:val="left" w:leader="none"/>
          <w:tab w:pos="3135" w:val="left" w:leader="none"/>
          <w:tab w:pos="4752" w:val="left" w:leader="none"/>
          <w:tab w:pos="6385" w:val="left" w:leader="none"/>
          <w:tab w:pos="8116" w:val="left" w:leader="none"/>
        </w:tabs>
        <w:spacing w:line="252" w:lineRule="exact" w:before="2"/>
        <w:ind w:left="120" w:right="0" w:firstLine="0"/>
        <w:jc w:val="left"/>
        <w:rPr>
          <w:sz w:val="22"/>
        </w:rPr>
      </w:pPr>
      <w:r>
        <w:rPr>
          <w:sz w:val="22"/>
        </w:rPr>
        <w:t>(a) 0</w:t>
      </w:r>
      <w:r>
        <w:rPr>
          <w:spacing w:val="-3"/>
          <w:sz w:val="22"/>
        </w:rPr>
        <w:t> </w:t>
      </w:r>
      <w:r>
        <w:rPr>
          <w:sz w:val="22"/>
        </w:rPr>
        <w:t>–</w:t>
      </w:r>
      <w:r>
        <w:rPr>
          <w:spacing w:val="-1"/>
          <w:sz w:val="22"/>
        </w:rPr>
        <w:t> </w:t>
      </w:r>
      <w:r>
        <w:rPr>
          <w:sz w:val="22"/>
        </w:rPr>
        <w:t>20%</w:t>
      </w:r>
      <w:r>
        <w:rPr>
          <w:spacing w:val="1"/>
          <w:sz w:val="22"/>
        </w:rPr>
        <w:t> </w:t>
      </w:r>
      <w:r>
        <w:rPr>
          <w:spacing w:val="-10"/>
          <w:sz w:val="22"/>
        </w:rPr>
        <w:t>[</w:t>
      </w:r>
      <w:r>
        <w:rPr>
          <w:sz w:val="22"/>
        </w:rPr>
        <w:tab/>
        <w:t>]</w:t>
      </w:r>
      <w:r>
        <w:rPr>
          <w:spacing w:val="-3"/>
          <w:sz w:val="22"/>
        </w:rPr>
        <w:t> </w:t>
      </w:r>
      <w:r>
        <w:rPr>
          <w:sz w:val="22"/>
        </w:rPr>
        <w:t>(b)</w:t>
      </w:r>
      <w:r>
        <w:rPr>
          <w:spacing w:val="-3"/>
          <w:sz w:val="22"/>
        </w:rPr>
        <w:t> </w:t>
      </w:r>
      <w:r>
        <w:rPr>
          <w:sz w:val="22"/>
        </w:rPr>
        <w:t>20</w:t>
      </w:r>
      <w:r>
        <w:rPr>
          <w:spacing w:val="1"/>
          <w:sz w:val="22"/>
        </w:rPr>
        <w:t> </w:t>
      </w:r>
      <w:r>
        <w:rPr>
          <w:sz w:val="22"/>
        </w:rPr>
        <w:t>–</w:t>
      </w:r>
      <w:r>
        <w:rPr>
          <w:spacing w:val="-1"/>
          <w:sz w:val="22"/>
        </w:rPr>
        <w:t> </w:t>
      </w:r>
      <w:r>
        <w:rPr>
          <w:sz w:val="22"/>
        </w:rPr>
        <w:t>40%</w:t>
      </w:r>
      <w:r>
        <w:rPr>
          <w:spacing w:val="1"/>
          <w:sz w:val="22"/>
        </w:rPr>
        <w:t> </w:t>
      </w:r>
      <w:r>
        <w:rPr>
          <w:spacing w:val="-10"/>
          <w:sz w:val="22"/>
        </w:rPr>
        <w:t>[</w:t>
      </w:r>
      <w:r>
        <w:rPr>
          <w:sz w:val="22"/>
        </w:rPr>
        <w:tab/>
        <w:t>]</w:t>
      </w:r>
      <w:r>
        <w:rPr>
          <w:spacing w:val="-5"/>
          <w:sz w:val="22"/>
        </w:rPr>
        <w:t> </w:t>
      </w:r>
      <w:r>
        <w:rPr>
          <w:sz w:val="22"/>
        </w:rPr>
        <w:t>(c)</w:t>
      </w:r>
      <w:r>
        <w:rPr>
          <w:spacing w:val="-2"/>
          <w:sz w:val="22"/>
        </w:rPr>
        <w:t> </w:t>
      </w:r>
      <w:r>
        <w:rPr>
          <w:sz w:val="22"/>
        </w:rPr>
        <w:t>40 –</w:t>
      </w:r>
      <w:r>
        <w:rPr>
          <w:spacing w:val="-1"/>
          <w:sz w:val="22"/>
        </w:rPr>
        <w:t> </w:t>
      </w:r>
      <w:r>
        <w:rPr>
          <w:sz w:val="22"/>
        </w:rPr>
        <w:t>60%</w:t>
      </w:r>
      <w:r>
        <w:rPr>
          <w:spacing w:val="-2"/>
          <w:sz w:val="22"/>
        </w:rPr>
        <w:t> </w:t>
      </w:r>
      <w:r>
        <w:rPr>
          <w:spacing w:val="-10"/>
          <w:sz w:val="22"/>
        </w:rPr>
        <w:t>[</w:t>
      </w:r>
      <w:r>
        <w:rPr>
          <w:sz w:val="22"/>
        </w:rPr>
        <w:tab/>
        <w:t>]</w:t>
      </w:r>
      <w:r>
        <w:rPr>
          <w:spacing w:val="-4"/>
          <w:sz w:val="22"/>
        </w:rPr>
        <w:t> </w:t>
      </w:r>
      <w:r>
        <w:rPr>
          <w:sz w:val="22"/>
        </w:rPr>
        <w:t>(d)</w:t>
      </w:r>
      <w:r>
        <w:rPr>
          <w:spacing w:val="-1"/>
          <w:sz w:val="22"/>
        </w:rPr>
        <w:t> </w:t>
      </w:r>
      <w:r>
        <w:rPr>
          <w:sz w:val="22"/>
        </w:rPr>
        <w:t>60 –</w:t>
      </w:r>
      <w:r>
        <w:rPr>
          <w:spacing w:val="-1"/>
          <w:sz w:val="22"/>
        </w:rPr>
        <w:t> </w:t>
      </w:r>
      <w:r>
        <w:rPr>
          <w:sz w:val="22"/>
        </w:rPr>
        <w:t>80% </w:t>
      </w:r>
      <w:r>
        <w:rPr>
          <w:spacing w:val="-10"/>
          <w:sz w:val="22"/>
        </w:rPr>
        <w:t>[</w:t>
      </w:r>
      <w:r>
        <w:rPr>
          <w:sz w:val="22"/>
        </w:rPr>
        <w:tab/>
        <w:t>]</w:t>
      </w:r>
      <w:r>
        <w:rPr>
          <w:spacing w:val="-4"/>
          <w:sz w:val="22"/>
        </w:rPr>
        <w:t> </w:t>
      </w:r>
      <w:r>
        <w:rPr>
          <w:sz w:val="22"/>
        </w:rPr>
        <w:t>(e)</w:t>
      </w:r>
      <w:r>
        <w:rPr>
          <w:spacing w:val="-1"/>
          <w:sz w:val="22"/>
        </w:rPr>
        <w:t> </w:t>
      </w:r>
      <w:r>
        <w:rPr>
          <w:sz w:val="22"/>
        </w:rPr>
        <w:t>80 –</w:t>
      </w:r>
      <w:r>
        <w:rPr>
          <w:spacing w:val="-3"/>
          <w:sz w:val="22"/>
        </w:rPr>
        <w:t> </w:t>
      </w:r>
      <w:r>
        <w:rPr>
          <w:sz w:val="22"/>
        </w:rPr>
        <w:t>100%</w:t>
      </w:r>
      <w:r>
        <w:rPr>
          <w:spacing w:val="-1"/>
          <w:sz w:val="22"/>
        </w:rPr>
        <w:t> </w:t>
      </w:r>
      <w:r>
        <w:rPr>
          <w:spacing w:val="-10"/>
          <w:sz w:val="22"/>
        </w:rPr>
        <w:t>[</w:t>
      </w:r>
      <w:r>
        <w:rPr>
          <w:sz w:val="22"/>
        </w:rPr>
        <w:tab/>
      </w:r>
      <w:r>
        <w:rPr>
          <w:spacing w:val="-10"/>
          <w:sz w:val="22"/>
        </w:rPr>
        <w:t>]</w:t>
      </w:r>
    </w:p>
    <w:p>
      <w:pPr>
        <w:pStyle w:val="ListParagraph"/>
        <w:numPr>
          <w:ilvl w:val="0"/>
          <w:numId w:val="106"/>
        </w:numPr>
        <w:tabs>
          <w:tab w:pos="487" w:val="left" w:leader="none"/>
          <w:tab w:pos="1526" w:val="left" w:leader="none"/>
        </w:tabs>
        <w:spacing w:line="252" w:lineRule="exact" w:before="0" w:after="0"/>
        <w:ind w:left="487" w:right="0" w:hanging="312"/>
        <w:jc w:val="left"/>
        <w:rPr>
          <w:sz w:val="22"/>
        </w:rPr>
      </w:pPr>
      <w:r>
        <w:rPr>
          <w:sz w:val="22"/>
        </w:rPr>
        <w:t>No</w:t>
      </w:r>
      <w:r>
        <w:rPr>
          <w:spacing w:val="-7"/>
          <w:sz w:val="22"/>
        </w:rPr>
        <w:t> </w:t>
      </w:r>
      <w:r>
        <w:rPr>
          <w:sz w:val="22"/>
        </w:rPr>
        <w:t>idea</w:t>
      </w:r>
      <w:r>
        <w:rPr>
          <w:spacing w:val="-1"/>
          <w:sz w:val="22"/>
        </w:rPr>
        <w:t> </w:t>
      </w:r>
      <w:r>
        <w:rPr>
          <w:spacing w:val="-10"/>
          <w:sz w:val="22"/>
        </w:rPr>
        <w:t>[</w:t>
      </w:r>
      <w:r>
        <w:rPr>
          <w:sz w:val="22"/>
        </w:rPr>
        <w:tab/>
      </w:r>
      <w:r>
        <w:rPr>
          <w:spacing w:val="-10"/>
          <w:sz w:val="22"/>
        </w:rPr>
        <w:t>]</w:t>
      </w:r>
    </w:p>
    <w:p>
      <w:pPr>
        <w:spacing w:after="0" w:line="252" w:lineRule="exact"/>
        <w:jc w:val="left"/>
        <w:rPr>
          <w:sz w:val="22"/>
        </w:rPr>
        <w:sectPr>
          <w:pgSz w:w="12240" w:h="15840"/>
          <w:pgMar w:header="0" w:footer="1036" w:top="1360" w:bottom="1220" w:left="1320" w:right="320"/>
        </w:sectPr>
      </w:pPr>
    </w:p>
    <w:p>
      <w:pPr>
        <w:pStyle w:val="ListParagraph"/>
        <w:numPr>
          <w:ilvl w:val="0"/>
          <w:numId w:val="112"/>
        </w:numPr>
        <w:tabs>
          <w:tab w:pos="496" w:val="left" w:leader="none"/>
        </w:tabs>
        <w:spacing w:line="240" w:lineRule="auto" w:before="74" w:after="7"/>
        <w:ind w:left="120" w:right="1115" w:firstLine="0"/>
        <w:jc w:val="left"/>
        <w:rPr>
          <w:i/>
          <w:sz w:val="22"/>
        </w:rPr>
      </w:pPr>
      <w:r>
        <w:rPr>
          <w:sz w:val="22"/>
        </w:rPr>
        <w:t>On</w:t>
      </w:r>
      <w:r>
        <w:rPr>
          <w:spacing w:val="40"/>
          <w:sz w:val="22"/>
        </w:rPr>
        <w:t> </w:t>
      </w:r>
      <w:r>
        <w:rPr>
          <w:sz w:val="22"/>
        </w:rPr>
        <w:t>a</w:t>
      </w:r>
      <w:r>
        <w:rPr>
          <w:spacing w:val="40"/>
          <w:sz w:val="22"/>
        </w:rPr>
        <w:t> </w:t>
      </w:r>
      <w:r>
        <w:rPr>
          <w:sz w:val="22"/>
        </w:rPr>
        <w:t>scale</w:t>
      </w:r>
      <w:r>
        <w:rPr>
          <w:spacing w:val="40"/>
          <w:sz w:val="22"/>
        </w:rPr>
        <w:t> </w:t>
      </w:r>
      <w:r>
        <w:rPr>
          <w:sz w:val="22"/>
        </w:rPr>
        <w:t>of</w:t>
      </w:r>
      <w:r>
        <w:rPr>
          <w:spacing w:val="40"/>
          <w:sz w:val="22"/>
        </w:rPr>
        <w:t> </w:t>
      </w:r>
      <w:r>
        <w:rPr>
          <w:sz w:val="22"/>
        </w:rPr>
        <w:t>1(Don‘t</w:t>
      </w:r>
      <w:r>
        <w:rPr>
          <w:spacing w:val="40"/>
          <w:sz w:val="22"/>
        </w:rPr>
        <w:t> </w:t>
      </w:r>
      <w:r>
        <w:rPr>
          <w:sz w:val="22"/>
        </w:rPr>
        <w:t>know)</w:t>
      </w:r>
      <w:r>
        <w:rPr>
          <w:spacing w:val="40"/>
          <w:sz w:val="22"/>
        </w:rPr>
        <w:t> </w:t>
      </w:r>
      <w:r>
        <w:rPr>
          <w:sz w:val="22"/>
        </w:rPr>
        <w:t>–</w:t>
      </w:r>
      <w:r>
        <w:rPr>
          <w:spacing w:val="40"/>
          <w:sz w:val="22"/>
        </w:rPr>
        <w:t> </w:t>
      </w:r>
      <w:r>
        <w:rPr>
          <w:sz w:val="22"/>
        </w:rPr>
        <w:t>5(Strongly</w:t>
      </w:r>
      <w:r>
        <w:rPr>
          <w:spacing w:val="40"/>
          <w:sz w:val="22"/>
        </w:rPr>
        <w:t> </w:t>
      </w:r>
      <w:r>
        <w:rPr>
          <w:sz w:val="22"/>
        </w:rPr>
        <w:t>Agree),</w:t>
      </w:r>
      <w:r>
        <w:rPr>
          <w:spacing w:val="40"/>
          <w:sz w:val="22"/>
        </w:rPr>
        <w:t> </w:t>
      </w:r>
      <w:r>
        <w:rPr>
          <w:sz w:val="22"/>
        </w:rPr>
        <w:t>rate</w:t>
      </w:r>
      <w:r>
        <w:rPr>
          <w:spacing w:val="40"/>
          <w:sz w:val="22"/>
        </w:rPr>
        <w:t> </w:t>
      </w:r>
      <w:r>
        <w:rPr>
          <w:sz w:val="22"/>
        </w:rPr>
        <w:t>the</w:t>
      </w:r>
      <w:r>
        <w:rPr>
          <w:spacing w:val="40"/>
          <w:sz w:val="22"/>
        </w:rPr>
        <w:t> </w:t>
      </w:r>
      <w:r>
        <w:rPr>
          <w:sz w:val="22"/>
        </w:rPr>
        <w:t>extent</w:t>
      </w:r>
      <w:r>
        <w:rPr>
          <w:spacing w:val="40"/>
          <w:sz w:val="22"/>
        </w:rPr>
        <w:t> </w:t>
      </w:r>
      <w:r>
        <w:rPr>
          <w:sz w:val="22"/>
        </w:rPr>
        <w:t>to</w:t>
      </w:r>
      <w:r>
        <w:rPr>
          <w:spacing w:val="40"/>
          <w:sz w:val="22"/>
        </w:rPr>
        <w:t> </w:t>
      </w:r>
      <w:r>
        <w:rPr>
          <w:sz w:val="22"/>
        </w:rPr>
        <w:t>which</w:t>
      </w:r>
      <w:r>
        <w:rPr>
          <w:spacing w:val="40"/>
          <w:sz w:val="22"/>
        </w:rPr>
        <w:t> </w:t>
      </w:r>
      <w:r>
        <w:rPr>
          <w:sz w:val="22"/>
        </w:rPr>
        <w:t>you</w:t>
      </w:r>
      <w:r>
        <w:rPr>
          <w:spacing w:val="40"/>
          <w:sz w:val="22"/>
        </w:rPr>
        <w:t> </w:t>
      </w:r>
      <w:r>
        <w:rPr>
          <w:sz w:val="22"/>
        </w:rPr>
        <w:t>agree</w:t>
      </w:r>
      <w:r>
        <w:rPr>
          <w:spacing w:val="40"/>
          <w:sz w:val="22"/>
        </w:rPr>
        <w:t> </w:t>
      </w:r>
      <w:r>
        <w:rPr>
          <w:sz w:val="22"/>
        </w:rPr>
        <w:t>with</w:t>
      </w:r>
      <w:r>
        <w:rPr>
          <w:spacing w:val="40"/>
          <w:sz w:val="22"/>
        </w:rPr>
        <w:t> </w:t>
      </w:r>
      <w:r>
        <w:rPr>
          <w:sz w:val="22"/>
        </w:rPr>
        <w:t>the following challenges of housing budget performance in Anambra State? </w:t>
      </w:r>
      <w:r>
        <w:rPr>
          <w:i/>
          <w:sz w:val="22"/>
        </w:rPr>
        <w:t>(indicate by ticking).</w:t>
      </w: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2"/>
        <w:gridCol w:w="5670"/>
        <w:gridCol w:w="550"/>
        <w:gridCol w:w="632"/>
        <w:gridCol w:w="630"/>
        <w:gridCol w:w="639"/>
        <w:gridCol w:w="649"/>
      </w:tblGrid>
      <w:tr>
        <w:trPr>
          <w:trHeight w:val="505" w:hRule="atLeast"/>
        </w:trPr>
        <w:tc>
          <w:tcPr>
            <w:tcW w:w="622" w:type="dxa"/>
          </w:tcPr>
          <w:p>
            <w:pPr>
              <w:pStyle w:val="TableParagraph"/>
              <w:spacing w:line="251" w:lineRule="exact"/>
              <w:ind w:left="107"/>
              <w:rPr>
                <w:b/>
                <w:sz w:val="22"/>
              </w:rPr>
            </w:pPr>
            <w:r>
              <w:rPr>
                <w:b/>
                <w:spacing w:val="-5"/>
                <w:sz w:val="22"/>
              </w:rPr>
              <w:t>S/N</w:t>
            </w:r>
          </w:p>
        </w:tc>
        <w:tc>
          <w:tcPr>
            <w:tcW w:w="5670" w:type="dxa"/>
          </w:tcPr>
          <w:p>
            <w:pPr>
              <w:pStyle w:val="TableParagraph"/>
              <w:spacing w:line="251" w:lineRule="exact"/>
              <w:ind w:left="107"/>
              <w:rPr>
                <w:b/>
                <w:sz w:val="22"/>
              </w:rPr>
            </w:pPr>
            <w:r>
              <w:rPr>
                <w:b/>
                <w:spacing w:val="-2"/>
                <w:sz w:val="22"/>
              </w:rPr>
              <w:t>Factors</w:t>
            </w:r>
          </w:p>
        </w:tc>
        <w:tc>
          <w:tcPr>
            <w:tcW w:w="550" w:type="dxa"/>
          </w:tcPr>
          <w:p>
            <w:pPr>
              <w:pStyle w:val="TableParagraph"/>
              <w:spacing w:line="252" w:lineRule="exact"/>
              <w:ind w:left="107" w:right="143"/>
              <w:rPr>
                <w:b/>
                <w:sz w:val="22"/>
              </w:rPr>
            </w:pPr>
            <w:r>
              <w:rPr>
                <w:b/>
                <w:spacing w:val="-6"/>
                <w:sz w:val="22"/>
              </w:rPr>
              <w:t>SA </w:t>
            </w:r>
            <w:r>
              <w:rPr>
                <w:b/>
                <w:spacing w:val="-5"/>
                <w:sz w:val="22"/>
              </w:rPr>
              <w:t>(5)</w:t>
            </w:r>
          </w:p>
        </w:tc>
        <w:tc>
          <w:tcPr>
            <w:tcW w:w="632" w:type="dxa"/>
          </w:tcPr>
          <w:p>
            <w:pPr>
              <w:pStyle w:val="TableParagraph"/>
              <w:spacing w:line="252" w:lineRule="exact"/>
              <w:ind w:left="106" w:right="254"/>
              <w:rPr>
                <w:b/>
                <w:sz w:val="22"/>
              </w:rPr>
            </w:pPr>
            <w:r>
              <w:rPr>
                <w:b/>
                <w:spacing w:val="-10"/>
                <w:sz w:val="22"/>
              </w:rPr>
              <w:t>A </w:t>
            </w:r>
            <w:r>
              <w:rPr>
                <w:b/>
                <w:spacing w:val="-5"/>
                <w:sz w:val="22"/>
              </w:rPr>
              <w:t>(4)</w:t>
            </w:r>
          </w:p>
        </w:tc>
        <w:tc>
          <w:tcPr>
            <w:tcW w:w="630" w:type="dxa"/>
          </w:tcPr>
          <w:p>
            <w:pPr>
              <w:pStyle w:val="TableParagraph"/>
              <w:spacing w:line="252" w:lineRule="exact"/>
              <w:ind w:left="103" w:right="227"/>
              <w:rPr>
                <w:b/>
                <w:sz w:val="22"/>
              </w:rPr>
            </w:pPr>
            <w:r>
              <w:rPr>
                <w:b/>
                <w:spacing w:val="-6"/>
                <w:sz w:val="22"/>
              </w:rPr>
              <w:t>SD </w:t>
            </w:r>
            <w:r>
              <w:rPr>
                <w:b/>
                <w:spacing w:val="-5"/>
                <w:sz w:val="22"/>
              </w:rPr>
              <w:t>(3)</w:t>
            </w:r>
          </w:p>
        </w:tc>
        <w:tc>
          <w:tcPr>
            <w:tcW w:w="639" w:type="dxa"/>
          </w:tcPr>
          <w:p>
            <w:pPr>
              <w:pStyle w:val="TableParagraph"/>
              <w:spacing w:line="252" w:lineRule="exact"/>
              <w:ind w:left="105" w:right="263"/>
              <w:rPr>
                <w:b/>
                <w:sz w:val="22"/>
              </w:rPr>
            </w:pPr>
            <w:r>
              <w:rPr>
                <w:b/>
                <w:spacing w:val="-10"/>
                <w:sz w:val="22"/>
              </w:rPr>
              <w:t>D </w:t>
            </w:r>
            <w:r>
              <w:rPr>
                <w:b/>
                <w:spacing w:val="-5"/>
                <w:sz w:val="22"/>
              </w:rPr>
              <w:t>(2)</w:t>
            </w:r>
          </w:p>
        </w:tc>
        <w:tc>
          <w:tcPr>
            <w:tcW w:w="649" w:type="dxa"/>
          </w:tcPr>
          <w:p>
            <w:pPr>
              <w:pStyle w:val="TableParagraph"/>
              <w:spacing w:line="252" w:lineRule="exact"/>
              <w:ind w:left="104" w:right="209"/>
              <w:rPr>
                <w:b/>
                <w:sz w:val="22"/>
              </w:rPr>
            </w:pPr>
            <w:r>
              <w:rPr>
                <w:b/>
                <w:spacing w:val="-6"/>
                <w:sz w:val="22"/>
              </w:rPr>
              <w:t>DN </w:t>
            </w:r>
            <w:r>
              <w:rPr>
                <w:b/>
                <w:spacing w:val="-4"/>
                <w:sz w:val="22"/>
              </w:rPr>
              <w:t>(1)</w:t>
            </w:r>
          </w:p>
        </w:tc>
      </w:tr>
      <w:tr>
        <w:trPr>
          <w:trHeight w:val="289" w:hRule="atLeast"/>
        </w:trPr>
        <w:tc>
          <w:tcPr>
            <w:tcW w:w="622" w:type="dxa"/>
          </w:tcPr>
          <w:p>
            <w:pPr>
              <w:pStyle w:val="TableParagraph"/>
              <w:spacing w:line="247" w:lineRule="exact"/>
              <w:ind w:left="107"/>
              <w:rPr>
                <w:sz w:val="22"/>
              </w:rPr>
            </w:pPr>
            <w:r>
              <w:rPr>
                <w:spacing w:val="-10"/>
                <w:sz w:val="22"/>
              </w:rPr>
              <w:t>1</w:t>
            </w:r>
          </w:p>
        </w:tc>
        <w:tc>
          <w:tcPr>
            <w:tcW w:w="5670" w:type="dxa"/>
          </w:tcPr>
          <w:p>
            <w:pPr>
              <w:pStyle w:val="TableParagraph"/>
              <w:spacing w:line="247" w:lineRule="exact"/>
              <w:ind w:left="107"/>
              <w:rPr>
                <w:sz w:val="22"/>
              </w:rPr>
            </w:pPr>
            <w:r>
              <w:rPr>
                <w:sz w:val="22"/>
              </w:rPr>
              <w:t>Lack</w:t>
            </w:r>
            <w:r>
              <w:rPr>
                <w:spacing w:val="-4"/>
                <w:sz w:val="22"/>
              </w:rPr>
              <w:t> </w:t>
            </w:r>
            <w:r>
              <w:rPr>
                <w:sz w:val="22"/>
              </w:rPr>
              <w:t>of</w:t>
            </w:r>
            <w:r>
              <w:rPr>
                <w:spacing w:val="-1"/>
                <w:sz w:val="22"/>
              </w:rPr>
              <w:t> </w:t>
            </w:r>
            <w:r>
              <w:rPr>
                <w:sz w:val="22"/>
              </w:rPr>
              <w:t>accurate</w:t>
            </w:r>
            <w:r>
              <w:rPr>
                <w:spacing w:val="-4"/>
                <w:sz w:val="22"/>
              </w:rPr>
              <w:t> </w:t>
            </w:r>
            <w:r>
              <w:rPr>
                <w:sz w:val="22"/>
              </w:rPr>
              <w:t>data</w:t>
            </w:r>
            <w:r>
              <w:rPr>
                <w:spacing w:val="1"/>
                <w:sz w:val="22"/>
              </w:rPr>
              <w:t> </w:t>
            </w:r>
            <w:r>
              <w:rPr>
                <w:sz w:val="22"/>
              </w:rPr>
              <w:t>on</w:t>
            </w:r>
            <w:r>
              <w:rPr>
                <w:spacing w:val="-2"/>
                <w:sz w:val="22"/>
              </w:rPr>
              <w:t> </w:t>
            </w:r>
            <w:r>
              <w:rPr>
                <w:sz w:val="22"/>
              </w:rPr>
              <w:t>housing</w:t>
            </w:r>
            <w:r>
              <w:rPr>
                <w:spacing w:val="-4"/>
                <w:sz w:val="22"/>
              </w:rPr>
              <w:t> </w:t>
            </w:r>
            <w:r>
              <w:rPr>
                <w:sz w:val="22"/>
              </w:rPr>
              <w:t>needs</w:t>
            </w:r>
            <w:r>
              <w:rPr>
                <w:spacing w:val="-2"/>
                <w:sz w:val="22"/>
              </w:rPr>
              <w:t> </w:t>
            </w:r>
            <w:r>
              <w:rPr>
                <w:sz w:val="22"/>
              </w:rPr>
              <w:t>of</w:t>
            </w:r>
            <w:r>
              <w:rPr>
                <w:spacing w:val="-3"/>
                <w:sz w:val="22"/>
              </w:rPr>
              <w:t> </w:t>
            </w:r>
            <w:r>
              <w:rPr>
                <w:sz w:val="22"/>
              </w:rPr>
              <w:t>the</w:t>
            </w:r>
            <w:r>
              <w:rPr>
                <w:spacing w:val="-3"/>
                <w:sz w:val="22"/>
              </w:rPr>
              <w:t> </w:t>
            </w:r>
            <w:r>
              <w:rPr>
                <w:spacing w:val="-4"/>
                <w:sz w:val="22"/>
              </w:rPr>
              <w:t>State</w:t>
            </w:r>
          </w:p>
        </w:tc>
        <w:tc>
          <w:tcPr>
            <w:tcW w:w="550" w:type="dxa"/>
          </w:tcPr>
          <w:p>
            <w:pPr>
              <w:pStyle w:val="TableParagraph"/>
              <w:rPr>
                <w:sz w:val="20"/>
              </w:rPr>
            </w:pPr>
          </w:p>
        </w:tc>
        <w:tc>
          <w:tcPr>
            <w:tcW w:w="632" w:type="dxa"/>
          </w:tcPr>
          <w:p>
            <w:pPr>
              <w:pStyle w:val="TableParagraph"/>
              <w:rPr>
                <w:sz w:val="20"/>
              </w:rPr>
            </w:pPr>
          </w:p>
        </w:tc>
        <w:tc>
          <w:tcPr>
            <w:tcW w:w="630" w:type="dxa"/>
          </w:tcPr>
          <w:p>
            <w:pPr>
              <w:pStyle w:val="TableParagraph"/>
              <w:rPr>
                <w:sz w:val="20"/>
              </w:rPr>
            </w:pPr>
          </w:p>
        </w:tc>
        <w:tc>
          <w:tcPr>
            <w:tcW w:w="639" w:type="dxa"/>
          </w:tcPr>
          <w:p>
            <w:pPr>
              <w:pStyle w:val="TableParagraph"/>
              <w:rPr>
                <w:sz w:val="20"/>
              </w:rPr>
            </w:pPr>
          </w:p>
        </w:tc>
        <w:tc>
          <w:tcPr>
            <w:tcW w:w="649" w:type="dxa"/>
          </w:tcPr>
          <w:p>
            <w:pPr>
              <w:pStyle w:val="TableParagraph"/>
              <w:rPr>
                <w:sz w:val="20"/>
              </w:rPr>
            </w:pPr>
          </w:p>
        </w:tc>
      </w:tr>
      <w:tr>
        <w:trPr>
          <w:trHeight w:val="292" w:hRule="atLeast"/>
        </w:trPr>
        <w:tc>
          <w:tcPr>
            <w:tcW w:w="622" w:type="dxa"/>
          </w:tcPr>
          <w:p>
            <w:pPr>
              <w:pStyle w:val="TableParagraph"/>
              <w:spacing w:line="247" w:lineRule="exact"/>
              <w:ind w:left="107"/>
              <w:rPr>
                <w:sz w:val="22"/>
              </w:rPr>
            </w:pPr>
            <w:r>
              <w:rPr>
                <w:spacing w:val="-10"/>
                <w:sz w:val="22"/>
              </w:rPr>
              <w:t>2</w:t>
            </w:r>
          </w:p>
        </w:tc>
        <w:tc>
          <w:tcPr>
            <w:tcW w:w="5670" w:type="dxa"/>
          </w:tcPr>
          <w:p>
            <w:pPr>
              <w:pStyle w:val="TableParagraph"/>
              <w:spacing w:line="247" w:lineRule="exact"/>
              <w:ind w:left="107"/>
              <w:rPr>
                <w:sz w:val="22"/>
              </w:rPr>
            </w:pPr>
            <w:r>
              <w:rPr>
                <w:sz w:val="22"/>
              </w:rPr>
              <w:t>Inadequate</w:t>
            </w:r>
            <w:r>
              <w:rPr>
                <w:spacing w:val="-8"/>
                <w:sz w:val="22"/>
              </w:rPr>
              <w:t> </w:t>
            </w:r>
            <w:r>
              <w:rPr>
                <w:sz w:val="22"/>
              </w:rPr>
              <w:t>time</w:t>
            </w:r>
            <w:r>
              <w:rPr>
                <w:spacing w:val="-3"/>
                <w:sz w:val="22"/>
              </w:rPr>
              <w:t> </w:t>
            </w:r>
            <w:r>
              <w:rPr>
                <w:sz w:val="22"/>
              </w:rPr>
              <w:t>for</w:t>
            </w:r>
            <w:r>
              <w:rPr>
                <w:spacing w:val="-3"/>
                <w:sz w:val="22"/>
              </w:rPr>
              <w:t> </w:t>
            </w:r>
            <w:r>
              <w:rPr>
                <w:sz w:val="22"/>
              </w:rPr>
              <w:t>preparation</w:t>
            </w:r>
            <w:r>
              <w:rPr>
                <w:spacing w:val="-7"/>
                <w:sz w:val="22"/>
              </w:rPr>
              <w:t> </w:t>
            </w:r>
            <w:r>
              <w:rPr>
                <w:sz w:val="22"/>
              </w:rPr>
              <w:t>of</w:t>
            </w:r>
            <w:r>
              <w:rPr>
                <w:spacing w:val="-3"/>
                <w:sz w:val="22"/>
              </w:rPr>
              <w:t> </w:t>
            </w:r>
            <w:r>
              <w:rPr>
                <w:sz w:val="22"/>
              </w:rPr>
              <w:t>housing</w:t>
            </w:r>
            <w:r>
              <w:rPr>
                <w:spacing w:val="-6"/>
                <w:sz w:val="22"/>
              </w:rPr>
              <w:t> </w:t>
            </w:r>
            <w:r>
              <w:rPr>
                <w:sz w:val="22"/>
              </w:rPr>
              <w:t>budget</w:t>
            </w:r>
            <w:r>
              <w:rPr>
                <w:spacing w:val="-2"/>
                <w:sz w:val="22"/>
              </w:rPr>
              <w:t> proposals</w:t>
            </w:r>
          </w:p>
        </w:tc>
        <w:tc>
          <w:tcPr>
            <w:tcW w:w="550" w:type="dxa"/>
          </w:tcPr>
          <w:p>
            <w:pPr>
              <w:pStyle w:val="TableParagraph"/>
              <w:rPr>
                <w:sz w:val="20"/>
              </w:rPr>
            </w:pPr>
          </w:p>
        </w:tc>
        <w:tc>
          <w:tcPr>
            <w:tcW w:w="632" w:type="dxa"/>
          </w:tcPr>
          <w:p>
            <w:pPr>
              <w:pStyle w:val="TableParagraph"/>
              <w:rPr>
                <w:sz w:val="20"/>
              </w:rPr>
            </w:pPr>
          </w:p>
        </w:tc>
        <w:tc>
          <w:tcPr>
            <w:tcW w:w="630" w:type="dxa"/>
          </w:tcPr>
          <w:p>
            <w:pPr>
              <w:pStyle w:val="TableParagraph"/>
              <w:rPr>
                <w:sz w:val="20"/>
              </w:rPr>
            </w:pPr>
          </w:p>
        </w:tc>
        <w:tc>
          <w:tcPr>
            <w:tcW w:w="639" w:type="dxa"/>
          </w:tcPr>
          <w:p>
            <w:pPr>
              <w:pStyle w:val="TableParagraph"/>
              <w:rPr>
                <w:sz w:val="20"/>
              </w:rPr>
            </w:pPr>
          </w:p>
        </w:tc>
        <w:tc>
          <w:tcPr>
            <w:tcW w:w="649" w:type="dxa"/>
          </w:tcPr>
          <w:p>
            <w:pPr>
              <w:pStyle w:val="TableParagraph"/>
              <w:rPr>
                <w:sz w:val="20"/>
              </w:rPr>
            </w:pPr>
          </w:p>
        </w:tc>
      </w:tr>
      <w:tr>
        <w:trPr>
          <w:trHeight w:val="290" w:hRule="atLeast"/>
        </w:trPr>
        <w:tc>
          <w:tcPr>
            <w:tcW w:w="622" w:type="dxa"/>
          </w:tcPr>
          <w:p>
            <w:pPr>
              <w:pStyle w:val="TableParagraph"/>
              <w:spacing w:line="247" w:lineRule="exact"/>
              <w:ind w:left="107"/>
              <w:rPr>
                <w:sz w:val="22"/>
              </w:rPr>
            </w:pPr>
            <w:r>
              <w:rPr>
                <w:spacing w:val="-10"/>
                <w:sz w:val="22"/>
              </w:rPr>
              <w:t>3</w:t>
            </w:r>
          </w:p>
        </w:tc>
        <w:tc>
          <w:tcPr>
            <w:tcW w:w="5670" w:type="dxa"/>
          </w:tcPr>
          <w:p>
            <w:pPr>
              <w:pStyle w:val="TableParagraph"/>
              <w:spacing w:line="247" w:lineRule="exact"/>
              <w:ind w:left="107"/>
              <w:rPr>
                <w:sz w:val="22"/>
              </w:rPr>
            </w:pPr>
            <w:r>
              <w:rPr>
                <w:sz w:val="22"/>
              </w:rPr>
              <w:t>Dwindling</w:t>
            </w:r>
            <w:r>
              <w:rPr>
                <w:spacing w:val="-7"/>
                <w:sz w:val="22"/>
              </w:rPr>
              <w:t> </w:t>
            </w:r>
            <w:r>
              <w:rPr>
                <w:sz w:val="22"/>
              </w:rPr>
              <w:t>Internally</w:t>
            </w:r>
            <w:r>
              <w:rPr>
                <w:spacing w:val="-8"/>
                <w:sz w:val="22"/>
              </w:rPr>
              <w:t> </w:t>
            </w:r>
            <w:r>
              <w:rPr>
                <w:sz w:val="22"/>
              </w:rPr>
              <w:t>Generated</w:t>
            </w:r>
            <w:r>
              <w:rPr>
                <w:spacing w:val="-5"/>
                <w:sz w:val="22"/>
              </w:rPr>
              <w:t> </w:t>
            </w:r>
            <w:r>
              <w:rPr>
                <w:sz w:val="22"/>
              </w:rPr>
              <w:t>Revenue(IGR)</w:t>
            </w:r>
            <w:r>
              <w:rPr>
                <w:spacing w:val="-5"/>
                <w:sz w:val="22"/>
              </w:rPr>
              <w:t> </w:t>
            </w:r>
            <w:r>
              <w:rPr>
                <w:sz w:val="22"/>
              </w:rPr>
              <w:t>of</w:t>
            </w:r>
            <w:r>
              <w:rPr>
                <w:spacing w:val="-5"/>
                <w:sz w:val="22"/>
              </w:rPr>
              <w:t> </w:t>
            </w:r>
            <w:r>
              <w:rPr>
                <w:sz w:val="22"/>
              </w:rPr>
              <w:t>the</w:t>
            </w:r>
            <w:r>
              <w:rPr>
                <w:spacing w:val="-5"/>
                <w:sz w:val="22"/>
              </w:rPr>
              <w:t> </w:t>
            </w:r>
            <w:r>
              <w:rPr>
                <w:spacing w:val="-2"/>
                <w:sz w:val="22"/>
              </w:rPr>
              <w:t>State</w:t>
            </w:r>
          </w:p>
        </w:tc>
        <w:tc>
          <w:tcPr>
            <w:tcW w:w="550" w:type="dxa"/>
          </w:tcPr>
          <w:p>
            <w:pPr>
              <w:pStyle w:val="TableParagraph"/>
              <w:rPr>
                <w:sz w:val="20"/>
              </w:rPr>
            </w:pPr>
          </w:p>
        </w:tc>
        <w:tc>
          <w:tcPr>
            <w:tcW w:w="632" w:type="dxa"/>
          </w:tcPr>
          <w:p>
            <w:pPr>
              <w:pStyle w:val="TableParagraph"/>
              <w:rPr>
                <w:sz w:val="20"/>
              </w:rPr>
            </w:pPr>
          </w:p>
        </w:tc>
        <w:tc>
          <w:tcPr>
            <w:tcW w:w="630" w:type="dxa"/>
          </w:tcPr>
          <w:p>
            <w:pPr>
              <w:pStyle w:val="TableParagraph"/>
              <w:rPr>
                <w:sz w:val="20"/>
              </w:rPr>
            </w:pPr>
          </w:p>
        </w:tc>
        <w:tc>
          <w:tcPr>
            <w:tcW w:w="639" w:type="dxa"/>
          </w:tcPr>
          <w:p>
            <w:pPr>
              <w:pStyle w:val="TableParagraph"/>
              <w:rPr>
                <w:sz w:val="20"/>
              </w:rPr>
            </w:pPr>
          </w:p>
        </w:tc>
        <w:tc>
          <w:tcPr>
            <w:tcW w:w="649" w:type="dxa"/>
          </w:tcPr>
          <w:p>
            <w:pPr>
              <w:pStyle w:val="TableParagraph"/>
              <w:rPr>
                <w:sz w:val="20"/>
              </w:rPr>
            </w:pPr>
          </w:p>
        </w:tc>
      </w:tr>
      <w:tr>
        <w:trPr>
          <w:trHeight w:val="290" w:hRule="atLeast"/>
        </w:trPr>
        <w:tc>
          <w:tcPr>
            <w:tcW w:w="622" w:type="dxa"/>
          </w:tcPr>
          <w:p>
            <w:pPr>
              <w:pStyle w:val="TableParagraph"/>
              <w:spacing w:line="247" w:lineRule="exact"/>
              <w:ind w:left="107"/>
              <w:rPr>
                <w:sz w:val="22"/>
              </w:rPr>
            </w:pPr>
            <w:r>
              <w:rPr>
                <w:spacing w:val="-10"/>
                <w:sz w:val="22"/>
              </w:rPr>
              <w:t>4</w:t>
            </w:r>
          </w:p>
        </w:tc>
        <w:tc>
          <w:tcPr>
            <w:tcW w:w="5670" w:type="dxa"/>
          </w:tcPr>
          <w:p>
            <w:pPr>
              <w:pStyle w:val="TableParagraph"/>
              <w:spacing w:line="247" w:lineRule="exact"/>
              <w:ind w:left="107"/>
              <w:rPr>
                <w:sz w:val="22"/>
              </w:rPr>
            </w:pPr>
            <w:r>
              <w:rPr>
                <w:sz w:val="22"/>
              </w:rPr>
              <w:t>Poor</w:t>
            </w:r>
            <w:r>
              <w:rPr>
                <w:spacing w:val="-5"/>
                <w:sz w:val="22"/>
              </w:rPr>
              <w:t> </w:t>
            </w:r>
            <w:r>
              <w:rPr>
                <w:sz w:val="22"/>
              </w:rPr>
              <w:t>federal</w:t>
            </w:r>
            <w:r>
              <w:rPr>
                <w:spacing w:val="-5"/>
                <w:sz w:val="22"/>
              </w:rPr>
              <w:t> </w:t>
            </w:r>
            <w:r>
              <w:rPr>
                <w:sz w:val="22"/>
              </w:rPr>
              <w:t>government</w:t>
            </w:r>
            <w:r>
              <w:rPr>
                <w:spacing w:val="-3"/>
                <w:sz w:val="22"/>
              </w:rPr>
              <w:t> </w:t>
            </w:r>
            <w:r>
              <w:rPr>
                <w:spacing w:val="-2"/>
                <w:sz w:val="22"/>
              </w:rPr>
              <w:t>allocation</w:t>
            </w:r>
          </w:p>
        </w:tc>
        <w:tc>
          <w:tcPr>
            <w:tcW w:w="550" w:type="dxa"/>
          </w:tcPr>
          <w:p>
            <w:pPr>
              <w:pStyle w:val="TableParagraph"/>
              <w:rPr>
                <w:sz w:val="20"/>
              </w:rPr>
            </w:pPr>
          </w:p>
        </w:tc>
        <w:tc>
          <w:tcPr>
            <w:tcW w:w="632" w:type="dxa"/>
          </w:tcPr>
          <w:p>
            <w:pPr>
              <w:pStyle w:val="TableParagraph"/>
              <w:rPr>
                <w:sz w:val="20"/>
              </w:rPr>
            </w:pPr>
          </w:p>
        </w:tc>
        <w:tc>
          <w:tcPr>
            <w:tcW w:w="630" w:type="dxa"/>
          </w:tcPr>
          <w:p>
            <w:pPr>
              <w:pStyle w:val="TableParagraph"/>
              <w:rPr>
                <w:sz w:val="20"/>
              </w:rPr>
            </w:pPr>
          </w:p>
        </w:tc>
        <w:tc>
          <w:tcPr>
            <w:tcW w:w="639" w:type="dxa"/>
          </w:tcPr>
          <w:p>
            <w:pPr>
              <w:pStyle w:val="TableParagraph"/>
              <w:rPr>
                <w:sz w:val="20"/>
              </w:rPr>
            </w:pPr>
          </w:p>
        </w:tc>
        <w:tc>
          <w:tcPr>
            <w:tcW w:w="649" w:type="dxa"/>
          </w:tcPr>
          <w:p>
            <w:pPr>
              <w:pStyle w:val="TableParagraph"/>
              <w:rPr>
                <w:sz w:val="20"/>
              </w:rPr>
            </w:pPr>
          </w:p>
        </w:tc>
      </w:tr>
      <w:tr>
        <w:trPr>
          <w:trHeight w:val="292" w:hRule="atLeast"/>
        </w:trPr>
        <w:tc>
          <w:tcPr>
            <w:tcW w:w="622" w:type="dxa"/>
          </w:tcPr>
          <w:p>
            <w:pPr>
              <w:pStyle w:val="TableParagraph"/>
              <w:spacing w:line="249" w:lineRule="exact"/>
              <w:ind w:left="107"/>
              <w:rPr>
                <w:sz w:val="22"/>
              </w:rPr>
            </w:pPr>
            <w:r>
              <w:rPr>
                <w:spacing w:val="-10"/>
                <w:sz w:val="22"/>
              </w:rPr>
              <w:t>5</w:t>
            </w:r>
          </w:p>
        </w:tc>
        <w:tc>
          <w:tcPr>
            <w:tcW w:w="5670" w:type="dxa"/>
          </w:tcPr>
          <w:p>
            <w:pPr>
              <w:pStyle w:val="TableParagraph"/>
              <w:spacing w:line="249" w:lineRule="exact"/>
              <w:ind w:left="107"/>
              <w:rPr>
                <w:sz w:val="22"/>
              </w:rPr>
            </w:pPr>
            <w:r>
              <w:rPr>
                <w:sz w:val="22"/>
              </w:rPr>
              <w:t>Lack</w:t>
            </w:r>
            <w:r>
              <w:rPr>
                <w:spacing w:val="-4"/>
                <w:sz w:val="22"/>
              </w:rPr>
              <w:t> </w:t>
            </w:r>
            <w:r>
              <w:rPr>
                <w:sz w:val="22"/>
              </w:rPr>
              <w:t>of</w:t>
            </w:r>
            <w:r>
              <w:rPr>
                <w:spacing w:val="-1"/>
                <w:sz w:val="22"/>
              </w:rPr>
              <w:t> </w:t>
            </w:r>
            <w:r>
              <w:rPr>
                <w:sz w:val="22"/>
              </w:rPr>
              <w:t>citizen</w:t>
            </w:r>
            <w:r>
              <w:rPr>
                <w:spacing w:val="-3"/>
                <w:sz w:val="22"/>
              </w:rPr>
              <w:t> </w:t>
            </w:r>
            <w:r>
              <w:rPr>
                <w:spacing w:val="-2"/>
                <w:sz w:val="22"/>
              </w:rPr>
              <w:t>participation</w:t>
            </w:r>
          </w:p>
        </w:tc>
        <w:tc>
          <w:tcPr>
            <w:tcW w:w="550" w:type="dxa"/>
          </w:tcPr>
          <w:p>
            <w:pPr>
              <w:pStyle w:val="TableParagraph"/>
              <w:rPr>
                <w:sz w:val="20"/>
              </w:rPr>
            </w:pPr>
          </w:p>
        </w:tc>
        <w:tc>
          <w:tcPr>
            <w:tcW w:w="632" w:type="dxa"/>
          </w:tcPr>
          <w:p>
            <w:pPr>
              <w:pStyle w:val="TableParagraph"/>
              <w:rPr>
                <w:sz w:val="20"/>
              </w:rPr>
            </w:pPr>
          </w:p>
        </w:tc>
        <w:tc>
          <w:tcPr>
            <w:tcW w:w="630" w:type="dxa"/>
          </w:tcPr>
          <w:p>
            <w:pPr>
              <w:pStyle w:val="TableParagraph"/>
              <w:rPr>
                <w:sz w:val="20"/>
              </w:rPr>
            </w:pPr>
          </w:p>
        </w:tc>
        <w:tc>
          <w:tcPr>
            <w:tcW w:w="639" w:type="dxa"/>
          </w:tcPr>
          <w:p>
            <w:pPr>
              <w:pStyle w:val="TableParagraph"/>
              <w:rPr>
                <w:sz w:val="20"/>
              </w:rPr>
            </w:pPr>
          </w:p>
        </w:tc>
        <w:tc>
          <w:tcPr>
            <w:tcW w:w="649" w:type="dxa"/>
          </w:tcPr>
          <w:p>
            <w:pPr>
              <w:pStyle w:val="TableParagraph"/>
              <w:rPr>
                <w:sz w:val="20"/>
              </w:rPr>
            </w:pPr>
          </w:p>
        </w:tc>
      </w:tr>
      <w:tr>
        <w:trPr>
          <w:trHeight w:val="505" w:hRule="atLeast"/>
        </w:trPr>
        <w:tc>
          <w:tcPr>
            <w:tcW w:w="622" w:type="dxa"/>
          </w:tcPr>
          <w:p>
            <w:pPr>
              <w:pStyle w:val="TableParagraph"/>
              <w:spacing w:line="247" w:lineRule="exact"/>
              <w:ind w:left="107"/>
              <w:rPr>
                <w:sz w:val="22"/>
              </w:rPr>
            </w:pPr>
            <w:r>
              <w:rPr>
                <w:spacing w:val="-10"/>
                <w:sz w:val="22"/>
              </w:rPr>
              <w:t>6</w:t>
            </w:r>
          </w:p>
        </w:tc>
        <w:tc>
          <w:tcPr>
            <w:tcW w:w="5670" w:type="dxa"/>
          </w:tcPr>
          <w:p>
            <w:pPr>
              <w:pStyle w:val="TableParagraph"/>
              <w:spacing w:line="246" w:lineRule="exact"/>
              <w:ind w:left="107"/>
              <w:rPr>
                <w:sz w:val="22"/>
              </w:rPr>
            </w:pPr>
            <w:r>
              <w:rPr>
                <w:sz w:val="22"/>
              </w:rPr>
              <w:t>Ineffective</w:t>
            </w:r>
            <w:r>
              <w:rPr>
                <w:spacing w:val="67"/>
                <w:sz w:val="22"/>
              </w:rPr>
              <w:t> </w:t>
            </w:r>
            <w:r>
              <w:rPr>
                <w:sz w:val="22"/>
              </w:rPr>
              <w:t>mechanism</w:t>
            </w:r>
            <w:r>
              <w:rPr>
                <w:spacing w:val="64"/>
                <w:sz w:val="22"/>
              </w:rPr>
              <w:t> </w:t>
            </w:r>
            <w:r>
              <w:rPr>
                <w:sz w:val="22"/>
              </w:rPr>
              <w:t>for</w:t>
            </w:r>
            <w:r>
              <w:rPr>
                <w:spacing w:val="68"/>
                <w:sz w:val="22"/>
              </w:rPr>
              <w:t> </w:t>
            </w:r>
            <w:r>
              <w:rPr>
                <w:sz w:val="22"/>
              </w:rPr>
              <w:t>monitoring</w:t>
            </w:r>
            <w:r>
              <w:rPr>
                <w:spacing w:val="65"/>
                <w:sz w:val="22"/>
              </w:rPr>
              <w:t> </w:t>
            </w:r>
            <w:r>
              <w:rPr>
                <w:sz w:val="22"/>
              </w:rPr>
              <w:t>and</w:t>
            </w:r>
            <w:r>
              <w:rPr>
                <w:spacing w:val="68"/>
                <w:sz w:val="22"/>
              </w:rPr>
              <w:t> </w:t>
            </w:r>
            <w:r>
              <w:rPr>
                <w:sz w:val="22"/>
              </w:rPr>
              <w:t>evaluating</w:t>
            </w:r>
            <w:r>
              <w:rPr>
                <w:spacing w:val="65"/>
                <w:sz w:val="22"/>
              </w:rPr>
              <w:t> </w:t>
            </w:r>
            <w:r>
              <w:rPr>
                <w:spacing w:val="-5"/>
                <w:sz w:val="22"/>
              </w:rPr>
              <w:t>the</w:t>
            </w:r>
          </w:p>
          <w:p>
            <w:pPr>
              <w:pStyle w:val="TableParagraph"/>
              <w:spacing w:line="240" w:lineRule="exact"/>
              <w:ind w:left="107"/>
              <w:rPr>
                <w:sz w:val="22"/>
              </w:rPr>
            </w:pPr>
            <w:r>
              <w:rPr>
                <w:sz w:val="22"/>
              </w:rPr>
              <w:t>efficiency</w:t>
            </w:r>
            <w:r>
              <w:rPr>
                <w:spacing w:val="-6"/>
                <w:sz w:val="22"/>
              </w:rPr>
              <w:t> </w:t>
            </w:r>
            <w:r>
              <w:rPr>
                <w:sz w:val="22"/>
              </w:rPr>
              <w:t>of</w:t>
            </w:r>
            <w:r>
              <w:rPr>
                <w:spacing w:val="-4"/>
                <w:sz w:val="22"/>
              </w:rPr>
              <w:t> </w:t>
            </w:r>
            <w:r>
              <w:rPr>
                <w:sz w:val="22"/>
              </w:rPr>
              <w:t>utilization</w:t>
            </w:r>
            <w:r>
              <w:rPr>
                <w:spacing w:val="-3"/>
                <w:sz w:val="22"/>
              </w:rPr>
              <w:t> </w:t>
            </w:r>
            <w:r>
              <w:rPr>
                <w:sz w:val="22"/>
              </w:rPr>
              <w:t>of</w:t>
            </w:r>
            <w:r>
              <w:rPr>
                <w:spacing w:val="-4"/>
                <w:sz w:val="22"/>
              </w:rPr>
              <w:t> </w:t>
            </w:r>
            <w:r>
              <w:rPr>
                <w:sz w:val="22"/>
              </w:rPr>
              <w:t>housing</w:t>
            </w:r>
            <w:r>
              <w:rPr>
                <w:spacing w:val="-5"/>
                <w:sz w:val="22"/>
              </w:rPr>
              <w:t> </w:t>
            </w:r>
            <w:r>
              <w:rPr>
                <w:spacing w:val="-2"/>
                <w:sz w:val="22"/>
              </w:rPr>
              <w:t>funds.</w:t>
            </w:r>
          </w:p>
        </w:tc>
        <w:tc>
          <w:tcPr>
            <w:tcW w:w="550" w:type="dxa"/>
          </w:tcPr>
          <w:p>
            <w:pPr>
              <w:pStyle w:val="TableParagraph"/>
              <w:rPr>
                <w:sz w:val="22"/>
              </w:rPr>
            </w:pPr>
          </w:p>
        </w:tc>
        <w:tc>
          <w:tcPr>
            <w:tcW w:w="632" w:type="dxa"/>
          </w:tcPr>
          <w:p>
            <w:pPr>
              <w:pStyle w:val="TableParagraph"/>
              <w:rPr>
                <w:sz w:val="22"/>
              </w:rPr>
            </w:pPr>
          </w:p>
        </w:tc>
        <w:tc>
          <w:tcPr>
            <w:tcW w:w="630" w:type="dxa"/>
          </w:tcPr>
          <w:p>
            <w:pPr>
              <w:pStyle w:val="TableParagraph"/>
              <w:rPr>
                <w:sz w:val="22"/>
              </w:rPr>
            </w:pPr>
          </w:p>
        </w:tc>
        <w:tc>
          <w:tcPr>
            <w:tcW w:w="639" w:type="dxa"/>
          </w:tcPr>
          <w:p>
            <w:pPr>
              <w:pStyle w:val="TableParagraph"/>
              <w:rPr>
                <w:sz w:val="22"/>
              </w:rPr>
            </w:pPr>
          </w:p>
        </w:tc>
        <w:tc>
          <w:tcPr>
            <w:tcW w:w="649" w:type="dxa"/>
          </w:tcPr>
          <w:p>
            <w:pPr>
              <w:pStyle w:val="TableParagraph"/>
              <w:rPr>
                <w:sz w:val="22"/>
              </w:rPr>
            </w:pPr>
          </w:p>
        </w:tc>
      </w:tr>
      <w:tr>
        <w:trPr>
          <w:trHeight w:val="506" w:hRule="atLeast"/>
        </w:trPr>
        <w:tc>
          <w:tcPr>
            <w:tcW w:w="622" w:type="dxa"/>
          </w:tcPr>
          <w:p>
            <w:pPr>
              <w:pStyle w:val="TableParagraph"/>
              <w:spacing w:line="247" w:lineRule="exact"/>
              <w:ind w:left="107"/>
              <w:rPr>
                <w:sz w:val="22"/>
              </w:rPr>
            </w:pPr>
            <w:r>
              <w:rPr>
                <w:spacing w:val="-10"/>
                <w:sz w:val="22"/>
              </w:rPr>
              <w:t>7</w:t>
            </w:r>
          </w:p>
        </w:tc>
        <w:tc>
          <w:tcPr>
            <w:tcW w:w="5670" w:type="dxa"/>
          </w:tcPr>
          <w:p>
            <w:pPr>
              <w:pStyle w:val="TableParagraph"/>
              <w:spacing w:line="246" w:lineRule="exact"/>
              <w:ind w:left="107"/>
              <w:rPr>
                <w:sz w:val="22"/>
              </w:rPr>
            </w:pPr>
            <w:r>
              <w:rPr>
                <w:sz w:val="22"/>
              </w:rPr>
              <w:t>Delays</w:t>
            </w:r>
            <w:r>
              <w:rPr>
                <w:spacing w:val="72"/>
                <w:sz w:val="22"/>
              </w:rPr>
              <w:t> </w:t>
            </w:r>
            <w:r>
              <w:rPr>
                <w:sz w:val="22"/>
              </w:rPr>
              <w:t>in</w:t>
            </w:r>
            <w:r>
              <w:rPr>
                <w:spacing w:val="74"/>
                <w:sz w:val="22"/>
              </w:rPr>
              <w:t> </w:t>
            </w:r>
            <w:r>
              <w:rPr>
                <w:sz w:val="22"/>
              </w:rPr>
              <w:t>passage</w:t>
            </w:r>
            <w:r>
              <w:rPr>
                <w:spacing w:val="74"/>
                <w:sz w:val="22"/>
              </w:rPr>
              <w:t> </w:t>
            </w:r>
            <w:r>
              <w:rPr>
                <w:sz w:val="22"/>
              </w:rPr>
              <w:t>and</w:t>
            </w:r>
            <w:r>
              <w:rPr>
                <w:spacing w:val="72"/>
                <w:sz w:val="22"/>
              </w:rPr>
              <w:t> </w:t>
            </w:r>
            <w:r>
              <w:rPr>
                <w:sz w:val="22"/>
              </w:rPr>
              <w:t>approval</w:t>
            </w:r>
            <w:r>
              <w:rPr>
                <w:spacing w:val="75"/>
                <w:sz w:val="22"/>
              </w:rPr>
              <w:t> </w:t>
            </w:r>
            <w:r>
              <w:rPr>
                <w:sz w:val="22"/>
              </w:rPr>
              <w:t>of</w:t>
            </w:r>
            <w:r>
              <w:rPr>
                <w:spacing w:val="74"/>
                <w:sz w:val="22"/>
              </w:rPr>
              <w:t> </w:t>
            </w:r>
            <w:r>
              <w:rPr>
                <w:sz w:val="22"/>
              </w:rPr>
              <w:t>budget</w:t>
            </w:r>
            <w:r>
              <w:rPr>
                <w:spacing w:val="75"/>
                <w:sz w:val="22"/>
              </w:rPr>
              <w:t> </w:t>
            </w:r>
            <w:r>
              <w:rPr>
                <w:sz w:val="22"/>
              </w:rPr>
              <w:t>by</w:t>
            </w:r>
            <w:r>
              <w:rPr>
                <w:spacing w:val="72"/>
                <w:sz w:val="22"/>
              </w:rPr>
              <w:t> </w:t>
            </w:r>
            <w:r>
              <w:rPr>
                <w:sz w:val="22"/>
              </w:rPr>
              <w:t>the</w:t>
            </w:r>
            <w:r>
              <w:rPr>
                <w:spacing w:val="75"/>
                <w:sz w:val="22"/>
              </w:rPr>
              <w:t> </w:t>
            </w:r>
            <w:r>
              <w:rPr>
                <w:spacing w:val="-4"/>
                <w:sz w:val="22"/>
              </w:rPr>
              <w:t>State</w:t>
            </w:r>
          </w:p>
          <w:p>
            <w:pPr>
              <w:pStyle w:val="TableParagraph"/>
              <w:spacing w:line="240" w:lineRule="exact"/>
              <w:ind w:left="107"/>
              <w:rPr>
                <w:sz w:val="22"/>
              </w:rPr>
            </w:pPr>
            <w:r>
              <w:rPr>
                <w:spacing w:val="-2"/>
                <w:sz w:val="22"/>
              </w:rPr>
              <w:t>Legislature</w:t>
            </w:r>
          </w:p>
        </w:tc>
        <w:tc>
          <w:tcPr>
            <w:tcW w:w="550" w:type="dxa"/>
          </w:tcPr>
          <w:p>
            <w:pPr>
              <w:pStyle w:val="TableParagraph"/>
              <w:rPr>
                <w:sz w:val="22"/>
              </w:rPr>
            </w:pPr>
          </w:p>
        </w:tc>
        <w:tc>
          <w:tcPr>
            <w:tcW w:w="632" w:type="dxa"/>
          </w:tcPr>
          <w:p>
            <w:pPr>
              <w:pStyle w:val="TableParagraph"/>
              <w:rPr>
                <w:sz w:val="22"/>
              </w:rPr>
            </w:pPr>
          </w:p>
        </w:tc>
        <w:tc>
          <w:tcPr>
            <w:tcW w:w="630" w:type="dxa"/>
          </w:tcPr>
          <w:p>
            <w:pPr>
              <w:pStyle w:val="TableParagraph"/>
              <w:rPr>
                <w:sz w:val="22"/>
              </w:rPr>
            </w:pPr>
          </w:p>
        </w:tc>
        <w:tc>
          <w:tcPr>
            <w:tcW w:w="639" w:type="dxa"/>
          </w:tcPr>
          <w:p>
            <w:pPr>
              <w:pStyle w:val="TableParagraph"/>
              <w:rPr>
                <w:sz w:val="22"/>
              </w:rPr>
            </w:pPr>
          </w:p>
        </w:tc>
        <w:tc>
          <w:tcPr>
            <w:tcW w:w="649" w:type="dxa"/>
          </w:tcPr>
          <w:p>
            <w:pPr>
              <w:pStyle w:val="TableParagraph"/>
              <w:rPr>
                <w:sz w:val="22"/>
              </w:rPr>
            </w:pPr>
          </w:p>
        </w:tc>
      </w:tr>
      <w:tr>
        <w:trPr>
          <w:trHeight w:val="290" w:hRule="atLeast"/>
        </w:trPr>
        <w:tc>
          <w:tcPr>
            <w:tcW w:w="622" w:type="dxa"/>
          </w:tcPr>
          <w:p>
            <w:pPr>
              <w:pStyle w:val="TableParagraph"/>
              <w:spacing w:line="247" w:lineRule="exact"/>
              <w:ind w:left="107"/>
              <w:rPr>
                <w:sz w:val="22"/>
              </w:rPr>
            </w:pPr>
            <w:r>
              <w:rPr>
                <w:spacing w:val="-10"/>
                <w:sz w:val="22"/>
              </w:rPr>
              <w:t>8</w:t>
            </w:r>
          </w:p>
        </w:tc>
        <w:tc>
          <w:tcPr>
            <w:tcW w:w="5670" w:type="dxa"/>
          </w:tcPr>
          <w:p>
            <w:pPr>
              <w:pStyle w:val="TableParagraph"/>
              <w:spacing w:line="247" w:lineRule="exact"/>
              <w:ind w:left="107"/>
              <w:rPr>
                <w:sz w:val="22"/>
              </w:rPr>
            </w:pPr>
            <w:r>
              <w:rPr>
                <w:sz w:val="22"/>
              </w:rPr>
              <w:t>Delays</w:t>
            </w:r>
            <w:r>
              <w:rPr>
                <w:spacing w:val="-3"/>
                <w:sz w:val="22"/>
              </w:rPr>
              <w:t> </w:t>
            </w:r>
            <w:r>
              <w:rPr>
                <w:sz w:val="22"/>
              </w:rPr>
              <w:t>in</w:t>
            </w:r>
            <w:r>
              <w:rPr>
                <w:spacing w:val="-5"/>
                <w:sz w:val="22"/>
              </w:rPr>
              <w:t> </w:t>
            </w:r>
            <w:r>
              <w:rPr>
                <w:sz w:val="22"/>
              </w:rPr>
              <w:t>release</w:t>
            </w:r>
            <w:r>
              <w:rPr>
                <w:spacing w:val="-2"/>
                <w:sz w:val="22"/>
              </w:rPr>
              <w:t> </w:t>
            </w:r>
            <w:r>
              <w:rPr>
                <w:sz w:val="22"/>
              </w:rPr>
              <w:t>of</w:t>
            </w:r>
            <w:r>
              <w:rPr>
                <w:spacing w:val="-3"/>
                <w:sz w:val="22"/>
              </w:rPr>
              <w:t> </w:t>
            </w:r>
            <w:r>
              <w:rPr>
                <w:sz w:val="22"/>
              </w:rPr>
              <w:t>funds</w:t>
            </w:r>
            <w:r>
              <w:rPr>
                <w:spacing w:val="-2"/>
                <w:sz w:val="22"/>
              </w:rPr>
              <w:t> </w:t>
            </w:r>
            <w:r>
              <w:rPr>
                <w:sz w:val="22"/>
              </w:rPr>
              <w:t>for</w:t>
            </w:r>
            <w:r>
              <w:rPr>
                <w:spacing w:val="-2"/>
                <w:sz w:val="22"/>
              </w:rPr>
              <w:t> </w:t>
            </w:r>
            <w:r>
              <w:rPr>
                <w:sz w:val="22"/>
              </w:rPr>
              <w:t>housing</w:t>
            </w:r>
            <w:r>
              <w:rPr>
                <w:spacing w:val="-5"/>
                <w:sz w:val="22"/>
              </w:rPr>
              <w:t> </w:t>
            </w:r>
            <w:r>
              <w:rPr>
                <w:spacing w:val="-2"/>
                <w:sz w:val="22"/>
              </w:rPr>
              <w:t>projects</w:t>
            </w:r>
          </w:p>
        </w:tc>
        <w:tc>
          <w:tcPr>
            <w:tcW w:w="550" w:type="dxa"/>
          </w:tcPr>
          <w:p>
            <w:pPr>
              <w:pStyle w:val="TableParagraph"/>
              <w:rPr>
                <w:sz w:val="20"/>
              </w:rPr>
            </w:pPr>
          </w:p>
        </w:tc>
        <w:tc>
          <w:tcPr>
            <w:tcW w:w="632" w:type="dxa"/>
          </w:tcPr>
          <w:p>
            <w:pPr>
              <w:pStyle w:val="TableParagraph"/>
              <w:rPr>
                <w:sz w:val="20"/>
              </w:rPr>
            </w:pPr>
          </w:p>
        </w:tc>
        <w:tc>
          <w:tcPr>
            <w:tcW w:w="630" w:type="dxa"/>
          </w:tcPr>
          <w:p>
            <w:pPr>
              <w:pStyle w:val="TableParagraph"/>
              <w:rPr>
                <w:sz w:val="20"/>
              </w:rPr>
            </w:pPr>
          </w:p>
        </w:tc>
        <w:tc>
          <w:tcPr>
            <w:tcW w:w="639" w:type="dxa"/>
          </w:tcPr>
          <w:p>
            <w:pPr>
              <w:pStyle w:val="TableParagraph"/>
              <w:rPr>
                <w:sz w:val="20"/>
              </w:rPr>
            </w:pPr>
          </w:p>
        </w:tc>
        <w:tc>
          <w:tcPr>
            <w:tcW w:w="649" w:type="dxa"/>
          </w:tcPr>
          <w:p>
            <w:pPr>
              <w:pStyle w:val="TableParagraph"/>
              <w:rPr>
                <w:sz w:val="20"/>
              </w:rPr>
            </w:pPr>
          </w:p>
        </w:tc>
      </w:tr>
      <w:tr>
        <w:trPr>
          <w:trHeight w:val="506" w:hRule="atLeast"/>
        </w:trPr>
        <w:tc>
          <w:tcPr>
            <w:tcW w:w="622" w:type="dxa"/>
          </w:tcPr>
          <w:p>
            <w:pPr>
              <w:pStyle w:val="TableParagraph"/>
              <w:spacing w:line="247" w:lineRule="exact"/>
              <w:ind w:left="107"/>
              <w:rPr>
                <w:sz w:val="22"/>
              </w:rPr>
            </w:pPr>
            <w:r>
              <w:rPr>
                <w:spacing w:val="-10"/>
                <w:sz w:val="22"/>
              </w:rPr>
              <w:t>9</w:t>
            </w:r>
          </w:p>
        </w:tc>
        <w:tc>
          <w:tcPr>
            <w:tcW w:w="5670" w:type="dxa"/>
          </w:tcPr>
          <w:p>
            <w:pPr>
              <w:pStyle w:val="TableParagraph"/>
              <w:spacing w:line="247" w:lineRule="exact"/>
              <w:ind w:left="107"/>
              <w:rPr>
                <w:sz w:val="22"/>
              </w:rPr>
            </w:pPr>
            <w:r>
              <w:rPr>
                <w:sz w:val="22"/>
              </w:rPr>
              <w:t>Non-involvement</w:t>
            </w:r>
            <w:r>
              <w:rPr>
                <w:spacing w:val="61"/>
                <w:w w:val="150"/>
                <w:sz w:val="22"/>
              </w:rPr>
              <w:t> </w:t>
            </w:r>
            <w:r>
              <w:rPr>
                <w:sz w:val="22"/>
              </w:rPr>
              <w:t>of</w:t>
            </w:r>
            <w:r>
              <w:rPr>
                <w:spacing w:val="60"/>
                <w:w w:val="150"/>
                <w:sz w:val="22"/>
              </w:rPr>
              <w:t> </w:t>
            </w:r>
            <w:r>
              <w:rPr>
                <w:sz w:val="22"/>
              </w:rPr>
              <w:t>Quantity</w:t>
            </w:r>
            <w:r>
              <w:rPr>
                <w:spacing w:val="57"/>
                <w:w w:val="150"/>
                <w:sz w:val="22"/>
              </w:rPr>
              <w:t> </w:t>
            </w:r>
            <w:r>
              <w:rPr>
                <w:sz w:val="22"/>
              </w:rPr>
              <w:t>Surveyors</w:t>
            </w:r>
            <w:r>
              <w:rPr>
                <w:spacing w:val="59"/>
                <w:w w:val="150"/>
                <w:sz w:val="22"/>
              </w:rPr>
              <w:t> </w:t>
            </w:r>
            <w:r>
              <w:rPr>
                <w:sz w:val="22"/>
              </w:rPr>
              <w:t>in</w:t>
            </w:r>
            <w:r>
              <w:rPr>
                <w:spacing w:val="60"/>
                <w:w w:val="150"/>
                <w:sz w:val="22"/>
              </w:rPr>
              <w:t> </w:t>
            </w:r>
            <w:r>
              <w:rPr>
                <w:sz w:val="22"/>
              </w:rPr>
              <w:t>decisions</w:t>
            </w:r>
            <w:r>
              <w:rPr>
                <w:spacing w:val="60"/>
                <w:w w:val="150"/>
                <w:sz w:val="22"/>
              </w:rPr>
              <w:t> </w:t>
            </w:r>
            <w:r>
              <w:rPr>
                <w:spacing w:val="-5"/>
                <w:sz w:val="22"/>
              </w:rPr>
              <w:t>of</w:t>
            </w:r>
          </w:p>
          <w:p>
            <w:pPr>
              <w:pStyle w:val="TableParagraph"/>
              <w:spacing w:line="238" w:lineRule="exact" w:before="1"/>
              <w:ind w:left="107"/>
              <w:rPr>
                <w:sz w:val="22"/>
              </w:rPr>
            </w:pPr>
            <w:r>
              <w:rPr>
                <w:sz w:val="22"/>
              </w:rPr>
              <w:t>budget</w:t>
            </w:r>
            <w:r>
              <w:rPr>
                <w:spacing w:val="-3"/>
                <w:sz w:val="22"/>
              </w:rPr>
              <w:t> </w:t>
            </w:r>
            <w:r>
              <w:rPr>
                <w:sz w:val="22"/>
              </w:rPr>
              <w:t>ceilings</w:t>
            </w:r>
            <w:r>
              <w:rPr>
                <w:spacing w:val="-3"/>
                <w:sz w:val="22"/>
              </w:rPr>
              <w:t> </w:t>
            </w:r>
            <w:r>
              <w:rPr>
                <w:sz w:val="22"/>
              </w:rPr>
              <w:t>and</w:t>
            </w:r>
            <w:r>
              <w:rPr>
                <w:spacing w:val="-6"/>
                <w:sz w:val="22"/>
              </w:rPr>
              <w:t> </w:t>
            </w:r>
            <w:r>
              <w:rPr>
                <w:spacing w:val="-2"/>
                <w:sz w:val="22"/>
              </w:rPr>
              <w:t>allocation</w:t>
            </w:r>
          </w:p>
        </w:tc>
        <w:tc>
          <w:tcPr>
            <w:tcW w:w="550" w:type="dxa"/>
          </w:tcPr>
          <w:p>
            <w:pPr>
              <w:pStyle w:val="TableParagraph"/>
              <w:rPr>
                <w:sz w:val="22"/>
              </w:rPr>
            </w:pPr>
          </w:p>
        </w:tc>
        <w:tc>
          <w:tcPr>
            <w:tcW w:w="632" w:type="dxa"/>
          </w:tcPr>
          <w:p>
            <w:pPr>
              <w:pStyle w:val="TableParagraph"/>
              <w:rPr>
                <w:sz w:val="22"/>
              </w:rPr>
            </w:pPr>
          </w:p>
        </w:tc>
        <w:tc>
          <w:tcPr>
            <w:tcW w:w="630" w:type="dxa"/>
          </w:tcPr>
          <w:p>
            <w:pPr>
              <w:pStyle w:val="TableParagraph"/>
              <w:rPr>
                <w:sz w:val="22"/>
              </w:rPr>
            </w:pPr>
          </w:p>
        </w:tc>
        <w:tc>
          <w:tcPr>
            <w:tcW w:w="639" w:type="dxa"/>
          </w:tcPr>
          <w:p>
            <w:pPr>
              <w:pStyle w:val="TableParagraph"/>
              <w:rPr>
                <w:sz w:val="22"/>
              </w:rPr>
            </w:pPr>
          </w:p>
        </w:tc>
        <w:tc>
          <w:tcPr>
            <w:tcW w:w="649" w:type="dxa"/>
          </w:tcPr>
          <w:p>
            <w:pPr>
              <w:pStyle w:val="TableParagraph"/>
              <w:rPr>
                <w:sz w:val="22"/>
              </w:rPr>
            </w:pPr>
          </w:p>
        </w:tc>
      </w:tr>
      <w:tr>
        <w:trPr>
          <w:trHeight w:val="1012" w:hRule="atLeast"/>
        </w:trPr>
        <w:tc>
          <w:tcPr>
            <w:tcW w:w="622" w:type="dxa"/>
          </w:tcPr>
          <w:p>
            <w:pPr>
              <w:pStyle w:val="TableParagraph"/>
              <w:spacing w:line="247" w:lineRule="exact"/>
              <w:ind w:left="107"/>
              <w:rPr>
                <w:sz w:val="22"/>
              </w:rPr>
            </w:pPr>
            <w:r>
              <w:rPr>
                <w:spacing w:val="-5"/>
                <w:sz w:val="22"/>
              </w:rPr>
              <w:t>10</w:t>
            </w:r>
          </w:p>
        </w:tc>
        <w:tc>
          <w:tcPr>
            <w:tcW w:w="5670" w:type="dxa"/>
          </w:tcPr>
          <w:p>
            <w:pPr>
              <w:pStyle w:val="TableParagraph"/>
              <w:ind w:left="107" w:right="98"/>
              <w:jc w:val="both"/>
              <w:rPr>
                <w:sz w:val="22"/>
              </w:rPr>
            </w:pPr>
            <w:r>
              <w:rPr>
                <w:sz w:val="22"/>
              </w:rPr>
              <w:t>Lack of transparency and accountability by</w:t>
            </w:r>
            <w:r>
              <w:rPr>
                <w:spacing w:val="40"/>
                <w:sz w:val="22"/>
              </w:rPr>
              <w:t> </w:t>
            </w:r>
            <w:r>
              <w:rPr>
                <w:sz w:val="22"/>
              </w:rPr>
              <w:t>Housing MDAs in incorporating every planned revenue source and expenditure</w:t>
            </w:r>
            <w:r>
              <w:rPr>
                <w:spacing w:val="26"/>
                <w:sz w:val="22"/>
              </w:rPr>
              <w:t> </w:t>
            </w:r>
            <w:r>
              <w:rPr>
                <w:sz w:val="22"/>
              </w:rPr>
              <w:t>items</w:t>
            </w:r>
            <w:r>
              <w:rPr>
                <w:spacing w:val="27"/>
                <w:sz w:val="22"/>
              </w:rPr>
              <w:t>  </w:t>
            </w:r>
            <w:r>
              <w:rPr>
                <w:sz w:val="22"/>
              </w:rPr>
              <w:t>in</w:t>
            </w:r>
            <w:r>
              <w:rPr>
                <w:spacing w:val="27"/>
                <w:sz w:val="22"/>
              </w:rPr>
              <w:t> </w:t>
            </w:r>
            <w:r>
              <w:rPr>
                <w:sz w:val="22"/>
              </w:rPr>
              <w:t>the</w:t>
            </w:r>
            <w:r>
              <w:rPr>
                <w:spacing w:val="24"/>
                <w:sz w:val="22"/>
              </w:rPr>
              <w:t> </w:t>
            </w:r>
            <w:r>
              <w:rPr>
                <w:sz w:val="22"/>
              </w:rPr>
              <w:t>budget,</w:t>
            </w:r>
            <w:r>
              <w:rPr>
                <w:spacing w:val="27"/>
                <w:sz w:val="22"/>
              </w:rPr>
              <w:t>  </w:t>
            </w:r>
            <w:r>
              <w:rPr>
                <w:sz w:val="22"/>
              </w:rPr>
              <w:t>hiding</w:t>
            </w:r>
            <w:r>
              <w:rPr>
                <w:spacing w:val="26"/>
                <w:sz w:val="22"/>
              </w:rPr>
              <w:t> </w:t>
            </w:r>
            <w:r>
              <w:rPr>
                <w:sz w:val="22"/>
              </w:rPr>
              <w:t>fiscal</w:t>
            </w:r>
            <w:r>
              <w:rPr>
                <w:spacing w:val="28"/>
                <w:sz w:val="22"/>
              </w:rPr>
              <w:t> </w:t>
            </w:r>
            <w:r>
              <w:rPr>
                <w:spacing w:val="-2"/>
                <w:sz w:val="22"/>
              </w:rPr>
              <w:t>information</w:t>
            </w:r>
          </w:p>
          <w:p>
            <w:pPr>
              <w:pStyle w:val="TableParagraph"/>
              <w:spacing w:line="240" w:lineRule="exact"/>
              <w:ind w:left="107"/>
              <w:jc w:val="both"/>
              <w:rPr>
                <w:sz w:val="22"/>
              </w:rPr>
            </w:pPr>
            <w:r>
              <w:rPr>
                <w:sz w:val="22"/>
              </w:rPr>
              <w:t>from</w:t>
            </w:r>
            <w:r>
              <w:rPr>
                <w:spacing w:val="-7"/>
                <w:sz w:val="22"/>
              </w:rPr>
              <w:t> </w:t>
            </w:r>
            <w:r>
              <w:rPr>
                <w:sz w:val="22"/>
              </w:rPr>
              <w:t>the</w:t>
            </w:r>
            <w:r>
              <w:rPr>
                <w:spacing w:val="-2"/>
                <w:sz w:val="22"/>
              </w:rPr>
              <w:t> </w:t>
            </w:r>
            <w:r>
              <w:rPr>
                <w:sz w:val="22"/>
              </w:rPr>
              <w:t>public</w:t>
            </w:r>
            <w:r>
              <w:rPr>
                <w:spacing w:val="-3"/>
                <w:sz w:val="22"/>
              </w:rPr>
              <w:t> </w:t>
            </w:r>
            <w:r>
              <w:rPr>
                <w:sz w:val="22"/>
              </w:rPr>
              <w:t>and</w:t>
            </w:r>
            <w:r>
              <w:rPr>
                <w:spacing w:val="-2"/>
                <w:sz w:val="22"/>
              </w:rPr>
              <w:t> </w:t>
            </w:r>
            <w:r>
              <w:rPr>
                <w:sz w:val="22"/>
              </w:rPr>
              <w:t>lack</w:t>
            </w:r>
            <w:r>
              <w:rPr>
                <w:spacing w:val="-5"/>
                <w:sz w:val="22"/>
              </w:rPr>
              <w:t> </w:t>
            </w:r>
            <w:r>
              <w:rPr>
                <w:sz w:val="22"/>
              </w:rPr>
              <w:t>of</w:t>
            </w:r>
            <w:r>
              <w:rPr>
                <w:spacing w:val="-4"/>
                <w:sz w:val="22"/>
              </w:rPr>
              <w:t> </w:t>
            </w:r>
            <w:r>
              <w:rPr>
                <w:sz w:val="22"/>
              </w:rPr>
              <w:t>sanctions</w:t>
            </w:r>
            <w:r>
              <w:rPr>
                <w:spacing w:val="-3"/>
                <w:sz w:val="22"/>
              </w:rPr>
              <w:t> </w:t>
            </w:r>
            <w:r>
              <w:rPr>
                <w:sz w:val="22"/>
              </w:rPr>
              <w:t>for</w:t>
            </w:r>
            <w:r>
              <w:rPr>
                <w:spacing w:val="-2"/>
                <w:sz w:val="22"/>
              </w:rPr>
              <w:t> </w:t>
            </w:r>
            <w:r>
              <w:rPr>
                <w:sz w:val="22"/>
              </w:rPr>
              <w:t>defaulting</w:t>
            </w:r>
            <w:r>
              <w:rPr>
                <w:spacing w:val="-5"/>
                <w:sz w:val="22"/>
              </w:rPr>
              <w:t> </w:t>
            </w:r>
            <w:r>
              <w:rPr>
                <w:spacing w:val="-2"/>
                <w:sz w:val="22"/>
              </w:rPr>
              <w:t>officers</w:t>
            </w:r>
          </w:p>
        </w:tc>
        <w:tc>
          <w:tcPr>
            <w:tcW w:w="550" w:type="dxa"/>
          </w:tcPr>
          <w:p>
            <w:pPr>
              <w:pStyle w:val="TableParagraph"/>
              <w:rPr>
                <w:sz w:val="22"/>
              </w:rPr>
            </w:pPr>
          </w:p>
        </w:tc>
        <w:tc>
          <w:tcPr>
            <w:tcW w:w="632" w:type="dxa"/>
          </w:tcPr>
          <w:p>
            <w:pPr>
              <w:pStyle w:val="TableParagraph"/>
              <w:rPr>
                <w:sz w:val="22"/>
              </w:rPr>
            </w:pPr>
          </w:p>
        </w:tc>
        <w:tc>
          <w:tcPr>
            <w:tcW w:w="630" w:type="dxa"/>
          </w:tcPr>
          <w:p>
            <w:pPr>
              <w:pStyle w:val="TableParagraph"/>
              <w:rPr>
                <w:sz w:val="22"/>
              </w:rPr>
            </w:pPr>
          </w:p>
        </w:tc>
        <w:tc>
          <w:tcPr>
            <w:tcW w:w="639" w:type="dxa"/>
          </w:tcPr>
          <w:p>
            <w:pPr>
              <w:pStyle w:val="TableParagraph"/>
              <w:rPr>
                <w:sz w:val="22"/>
              </w:rPr>
            </w:pPr>
          </w:p>
        </w:tc>
        <w:tc>
          <w:tcPr>
            <w:tcW w:w="649" w:type="dxa"/>
          </w:tcPr>
          <w:p>
            <w:pPr>
              <w:pStyle w:val="TableParagraph"/>
              <w:rPr>
                <w:sz w:val="22"/>
              </w:rPr>
            </w:pPr>
          </w:p>
        </w:tc>
      </w:tr>
      <w:tr>
        <w:trPr>
          <w:trHeight w:val="505" w:hRule="atLeast"/>
        </w:trPr>
        <w:tc>
          <w:tcPr>
            <w:tcW w:w="622" w:type="dxa"/>
          </w:tcPr>
          <w:p>
            <w:pPr>
              <w:pStyle w:val="TableParagraph"/>
              <w:spacing w:line="247" w:lineRule="exact"/>
              <w:ind w:left="107"/>
              <w:rPr>
                <w:sz w:val="22"/>
              </w:rPr>
            </w:pPr>
            <w:r>
              <w:rPr>
                <w:spacing w:val="-5"/>
                <w:sz w:val="22"/>
              </w:rPr>
              <w:t>11</w:t>
            </w:r>
          </w:p>
        </w:tc>
        <w:tc>
          <w:tcPr>
            <w:tcW w:w="5670" w:type="dxa"/>
          </w:tcPr>
          <w:p>
            <w:pPr>
              <w:pStyle w:val="TableParagraph"/>
              <w:spacing w:line="246" w:lineRule="exact"/>
              <w:ind w:left="107"/>
              <w:rPr>
                <w:sz w:val="22"/>
              </w:rPr>
            </w:pPr>
            <w:r>
              <w:rPr>
                <w:sz w:val="22"/>
              </w:rPr>
              <w:t>Budget</w:t>
            </w:r>
            <w:r>
              <w:rPr>
                <w:spacing w:val="34"/>
                <w:sz w:val="22"/>
              </w:rPr>
              <w:t> </w:t>
            </w:r>
            <w:r>
              <w:rPr>
                <w:sz w:val="22"/>
              </w:rPr>
              <w:t>indiscipline-</w:t>
            </w:r>
            <w:r>
              <w:rPr>
                <w:spacing w:val="29"/>
                <w:sz w:val="22"/>
              </w:rPr>
              <w:t> </w:t>
            </w:r>
            <w:r>
              <w:rPr>
                <w:sz w:val="22"/>
              </w:rPr>
              <w:t>extra</w:t>
            </w:r>
            <w:r>
              <w:rPr>
                <w:spacing w:val="32"/>
                <w:sz w:val="22"/>
              </w:rPr>
              <w:t> </w:t>
            </w:r>
            <w:r>
              <w:rPr>
                <w:sz w:val="22"/>
              </w:rPr>
              <w:t>budgetary</w:t>
            </w:r>
            <w:r>
              <w:rPr>
                <w:spacing w:val="31"/>
                <w:sz w:val="22"/>
              </w:rPr>
              <w:t> </w:t>
            </w:r>
            <w:r>
              <w:rPr>
                <w:sz w:val="22"/>
              </w:rPr>
              <w:t>expenditures</w:t>
            </w:r>
            <w:r>
              <w:rPr>
                <w:spacing w:val="33"/>
                <w:sz w:val="22"/>
              </w:rPr>
              <w:t> </w:t>
            </w:r>
            <w:r>
              <w:rPr>
                <w:sz w:val="22"/>
              </w:rPr>
              <w:t>and</w:t>
            </w:r>
            <w:r>
              <w:rPr>
                <w:spacing w:val="31"/>
                <w:sz w:val="22"/>
              </w:rPr>
              <w:t> </w:t>
            </w:r>
            <w:r>
              <w:rPr>
                <w:spacing w:val="-4"/>
                <w:sz w:val="22"/>
              </w:rPr>
              <w:t>non-</w:t>
            </w:r>
          </w:p>
          <w:p>
            <w:pPr>
              <w:pStyle w:val="TableParagraph"/>
              <w:spacing w:line="240" w:lineRule="exact"/>
              <w:ind w:left="107"/>
              <w:rPr>
                <w:sz w:val="22"/>
              </w:rPr>
            </w:pPr>
            <w:r>
              <w:rPr>
                <w:sz w:val="22"/>
              </w:rPr>
              <w:t>compliance</w:t>
            </w:r>
            <w:r>
              <w:rPr>
                <w:spacing w:val="-6"/>
                <w:sz w:val="22"/>
              </w:rPr>
              <w:t> </w:t>
            </w:r>
            <w:r>
              <w:rPr>
                <w:sz w:val="22"/>
              </w:rPr>
              <w:t>with</w:t>
            </w:r>
            <w:r>
              <w:rPr>
                <w:spacing w:val="-4"/>
                <w:sz w:val="22"/>
              </w:rPr>
              <w:t> </w:t>
            </w:r>
            <w:r>
              <w:rPr>
                <w:sz w:val="22"/>
              </w:rPr>
              <w:t>budget</w:t>
            </w:r>
            <w:r>
              <w:rPr>
                <w:spacing w:val="-2"/>
                <w:sz w:val="22"/>
              </w:rPr>
              <w:t> priorities</w:t>
            </w:r>
          </w:p>
        </w:tc>
        <w:tc>
          <w:tcPr>
            <w:tcW w:w="550" w:type="dxa"/>
          </w:tcPr>
          <w:p>
            <w:pPr>
              <w:pStyle w:val="TableParagraph"/>
              <w:rPr>
                <w:sz w:val="22"/>
              </w:rPr>
            </w:pPr>
          </w:p>
        </w:tc>
        <w:tc>
          <w:tcPr>
            <w:tcW w:w="632" w:type="dxa"/>
          </w:tcPr>
          <w:p>
            <w:pPr>
              <w:pStyle w:val="TableParagraph"/>
              <w:rPr>
                <w:sz w:val="22"/>
              </w:rPr>
            </w:pPr>
          </w:p>
        </w:tc>
        <w:tc>
          <w:tcPr>
            <w:tcW w:w="630" w:type="dxa"/>
          </w:tcPr>
          <w:p>
            <w:pPr>
              <w:pStyle w:val="TableParagraph"/>
              <w:rPr>
                <w:sz w:val="22"/>
              </w:rPr>
            </w:pPr>
          </w:p>
        </w:tc>
        <w:tc>
          <w:tcPr>
            <w:tcW w:w="639" w:type="dxa"/>
          </w:tcPr>
          <w:p>
            <w:pPr>
              <w:pStyle w:val="TableParagraph"/>
              <w:rPr>
                <w:sz w:val="22"/>
              </w:rPr>
            </w:pPr>
          </w:p>
        </w:tc>
        <w:tc>
          <w:tcPr>
            <w:tcW w:w="649" w:type="dxa"/>
          </w:tcPr>
          <w:p>
            <w:pPr>
              <w:pStyle w:val="TableParagraph"/>
              <w:rPr>
                <w:sz w:val="22"/>
              </w:rPr>
            </w:pPr>
          </w:p>
        </w:tc>
      </w:tr>
      <w:tr>
        <w:trPr>
          <w:trHeight w:val="290" w:hRule="atLeast"/>
        </w:trPr>
        <w:tc>
          <w:tcPr>
            <w:tcW w:w="622" w:type="dxa"/>
          </w:tcPr>
          <w:p>
            <w:pPr>
              <w:pStyle w:val="TableParagraph"/>
              <w:spacing w:line="247" w:lineRule="exact"/>
              <w:ind w:left="107"/>
              <w:rPr>
                <w:sz w:val="22"/>
              </w:rPr>
            </w:pPr>
            <w:r>
              <w:rPr>
                <w:spacing w:val="-5"/>
                <w:sz w:val="22"/>
              </w:rPr>
              <w:t>12</w:t>
            </w:r>
          </w:p>
        </w:tc>
        <w:tc>
          <w:tcPr>
            <w:tcW w:w="5670" w:type="dxa"/>
          </w:tcPr>
          <w:p>
            <w:pPr>
              <w:pStyle w:val="TableParagraph"/>
              <w:spacing w:line="247" w:lineRule="exact"/>
              <w:ind w:left="107"/>
              <w:rPr>
                <w:sz w:val="22"/>
              </w:rPr>
            </w:pPr>
            <w:r>
              <w:rPr>
                <w:sz w:val="22"/>
              </w:rPr>
              <w:t>Numerous</w:t>
            </w:r>
            <w:r>
              <w:rPr>
                <w:spacing w:val="-5"/>
                <w:sz w:val="22"/>
              </w:rPr>
              <w:t> </w:t>
            </w:r>
            <w:r>
              <w:rPr>
                <w:sz w:val="22"/>
              </w:rPr>
              <w:t>budget</w:t>
            </w:r>
            <w:r>
              <w:rPr>
                <w:spacing w:val="-3"/>
                <w:sz w:val="22"/>
              </w:rPr>
              <w:t> </w:t>
            </w:r>
            <w:r>
              <w:rPr>
                <w:sz w:val="22"/>
              </w:rPr>
              <w:t>revisions</w:t>
            </w:r>
            <w:r>
              <w:rPr>
                <w:spacing w:val="-6"/>
                <w:sz w:val="22"/>
              </w:rPr>
              <w:t> </w:t>
            </w:r>
            <w:r>
              <w:rPr>
                <w:sz w:val="22"/>
              </w:rPr>
              <w:t>throughout</w:t>
            </w:r>
            <w:r>
              <w:rPr>
                <w:spacing w:val="-3"/>
                <w:sz w:val="22"/>
              </w:rPr>
              <w:t> </w:t>
            </w:r>
            <w:r>
              <w:rPr>
                <w:sz w:val="22"/>
              </w:rPr>
              <w:t>the</w:t>
            </w:r>
            <w:r>
              <w:rPr>
                <w:spacing w:val="-4"/>
                <w:sz w:val="22"/>
              </w:rPr>
              <w:t> year</w:t>
            </w:r>
          </w:p>
        </w:tc>
        <w:tc>
          <w:tcPr>
            <w:tcW w:w="550" w:type="dxa"/>
          </w:tcPr>
          <w:p>
            <w:pPr>
              <w:pStyle w:val="TableParagraph"/>
              <w:rPr>
                <w:sz w:val="20"/>
              </w:rPr>
            </w:pPr>
          </w:p>
        </w:tc>
        <w:tc>
          <w:tcPr>
            <w:tcW w:w="632" w:type="dxa"/>
          </w:tcPr>
          <w:p>
            <w:pPr>
              <w:pStyle w:val="TableParagraph"/>
              <w:rPr>
                <w:sz w:val="20"/>
              </w:rPr>
            </w:pPr>
          </w:p>
        </w:tc>
        <w:tc>
          <w:tcPr>
            <w:tcW w:w="630" w:type="dxa"/>
          </w:tcPr>
          <w:p>
            <w:pPr>
              <w:pStyle w:val="TableParagraph"/>
              <w:rPr>
                <w:sz w:val="20"/>
              </w:rPr>
            </w:pPr>
          </w:p>
        </w:tc>
        <w:tc>
          <w:tcPr>
            <w:tcW w:w="639" w:type="dxa"/>
          </w:tcPr>
          <w:p>
            <w:pPr>
              <w:pStyle w:val="TableParagraph"/>
              <w:rPr>
                <w:sz w:val="20"/>
              </w:rPr>
            </w:pPr>
          </w:p>
        </w:tc>
        <w:tc>
          <w:tcPr>
            <w:tcW w:w="649" w:type="dxa"/>
          </w:tcPr>
          <w:p>
            <w:pPr>
              <w:pStyle w:val="TableParagraph"/>
              <w:rPr>
                <w:sz w:val="20"/>
              </w:rPr>
            </w:pPr>
          </w:p>
        </w:tc>
      </w:tr>
      <w:tr>
        <w:trPr>
          <w:trHeight w:val="506" w:hRule="atLeast"/>
        </w:trPr>
        <w:tc>
          <w:tcPr>
            <w:tcW w:w="622" w:type="dxa"/>
          </w:tcPr>
          <w:p>
            <w:pPr>
              <w:pStyle w:val="TableParagraph"/>
              <w:spacing w:line="247" w:lineRule="exact"/>
              <w:ind w:left="107"/>
              <w:rPr>
                <w:sz w:val="22"/>
              </w:rPr>
            </w:pPr>
            <w:r>
              <w:rPr>
                <w:spacing w:val="-5"/>
                <w:sz w:val="22"/>
              </w:rPr>
              <w:t>13</w:t>
            </w:r>
          </w:p>
        </w:tc>
        <w:tc>
          <w:tcPr>
            <w:tcW w:w="5670" w:type="dxa"/>
          </w:tcPr>
          <w:p>
            <w:pPr>
              <w:pStyle w:val="TableParagraph"/>
              <w:spacing w:line="247" w:lineRule="exact"/>
              <w:ind w:left="107"/>
              <w:rPr>
                <w:sz w:val="22"/>
              </w:rPr>
            </w:pPr>
            <w:r>
              <w:rPr>
                <w:sz w:val="22"/>
              </w:rPr>
              <w:t>Weak</w:t>
            </w:r>
            <w:r>
              <w:rPr>
                <w:spacing w:val="3"/>
                <w:sz w:val="22"/>
              </w:rPr>
              <w:t> </w:t>
            </w:r>
            <w:r>
              <w:rPr>
                <w:sz w:val="22"/>
              </w:rPr>
              <w:t>Medium</w:t>
            </w:r>
            <w:r>
              <w:rPr>
                <w:spacing w:val="4"/>
                <w:sz w:val="22"/>
              </w:rPr>
              <w:t> </w:t>
            </w:r>
            <w:r>
              <w:rPr>
                <w:sz w:val="22"/>
              </w:rPr>
              <w:t>Term</w:t>
            </w:r>
            <w:r>
              <w:rPr>
                <w:spacing w:val="4"/>
                <w:sz w:val="22"/>
              </w:rPr>
              <w:t> </w:t>
            </w:r>
            <w:r>
              <w:rPr>
                <w:sz w:val="22"/>
              </w:rPr>
              <w:t>Planning</w:t>
            </w:r>
            <w:r>
              <w:rPr>
                <w:spacing w:val="9"/>
                <w:sz w:val="22"/>
              </w:rPr>
              <w:t> </w:t>
            </w:r>
            <w:r>
              <w:rPr>
                <w:sz w:val="22"/>
              </w:rPr>
              <w:t>–</w:t>
            </w:r>
            <w:r>
              <w:rPr>
                <w:spacing w:val="7"/>
                <w:sz w:val="22"/>
              </w:rPr>
              <w:t> </w:t>
            </w:r>
            <w:r>
              <w:rPr>
                <w:sz w:val="22"/>
              </w:rPr>
              <w:t>non-adherence</w:t>
            </w:r>
            <w:r>
              <w:rPr>
                <w:spacing w:val="8"/>
                <w:sz w:val="22"/>
              </w:rPr>
              <w:t> </w:t>
            </w:r>
            <w:r>
              <w:rPr>
                <w:sz w:val="22"/>
              </w:rPr>
              <w:t>to</w:t>
            </w:r>
            <w:r>
              <w:rPr>
                <w:spacing w:val="6"/>
                <w:sz w:val="22"/>
              </w:rPr>
              <w:t> </w:t>
            </w:r>
            <w:r>
              <w:rPr>
                <w:sz w:val="22"/>
              </w:rPr>
              <w:t>a</w:t>
            </w:r>
            <w:r>
              <w:rPr>
                <w:spacing w:val="6"/>
                <w:sz w:val="22"/>
              </w:rPr>
              <w:t> </w:t>
            </w:r>
            <w:r>
              <w:rPr>
                <w:spacing w:val="-2"/>
                <w:sz w:val="22"/>
              </w:rPr>
              <w:t>Medium</w:t>
            </w:r>
          </w:p>
          <w:p>
            <w:pPr>
              <w:pStyle w:val="TableParagraph"/>
              <w:spacing w:line="238" w:lineRule="exact" w:before="1"/>
              <w:ind w:left="107"/>
              <w:rPr>
                <w:sz w:val="22"/>
              </w:rPr>
            </w:pPr>
            <w:r>
              <w:rPr>
                <w:sz w:val="22"/>
              </w:rPr>
              <w:t>Term</w:t>
            </w:r>
            <w:r>
              <w:rPr>
                <w:spacing w:val="-7"/>
                <w:sz w:val="22"/>
              </w:rPr>
              <w:t> </w:t>
            </w:r>
            <w:r>
              <w:rPr>
                <w:sz w:val="22"/>
              </w:rPr>
              <w:t>Expenditure</w:t>
            </w:r>
            <w:r>
              <w:rPr>
                <w:spacing w:val="-2"/>
                <w:sz w:val="22"/>
              </w:rPr>
              <w:t> Framework(MTEF)</w:t>
            </w:r>
          </w:p>
        </w:tc>
        <w:tc>
          <w:tcPr>
            <w:tcW w:w="550" w:type="dxa"/>
          </w:tcPr>
          <w:p>
            <w:pPr>
              <w:pStyle w:val="TableParagraph"/>
              <w:rPr>
                <w:sz w:val="22"/>
              </w:rPr>
            </w:pPr>
          </w:p>
        </w:tc>
        <w:tc>
          <w:tcPr>
            <w:tcW w:w="632" w:type="dxa"/>
          </w:tcPr>
          <w:p>
            <w:pPr>
              <w:pStyle w:val="TableParagraph"/>
              <w:rPr>
                <w:sz w:val="22"/>
              </w:rPr>
            </w:pPr>
          </w:p>
        </w:tc>
        <w:tc>
          <w:tcPr>
            <w:tcW w:w="630" w:type="dxa"/>
          </w:tcPr>
          <w:p>
            <w:pPr>
              <w:pStyle w:val="TableParagraph"/>
              <w:rPr>
                <w:sz w:val="22"/>
              </w:rPr>
            </w:pPr>
          </w:p>
        </w:tc>
        <w:tc>
          <w:tcPr>
            <w:tcW w:w="639" w:type="dxa"/>
          </w:tcPr>
          <w:p>
            <w:pPr>
              <w:pStyle w:val="TableParagraph"/>
              <w:rPr>
                <w:sz w:val="22"/>
              </w:rPr>
            </w:pPr>
          </w:p>
        </w:tc>
        <w:tc>
          <w:tcPr>
            <w:tcW w:w="649" w:type="dxa"/>
          </w:tcPr>
          <w:p>
            <w:pPr>
              <w:pStyle w:val="TableParagraph"/>
              <w:rPr>
                <w:sz w:val="22"/>
              </w:rPr>
            </w:pPr>
          </w:p>
        </w:tc>
      </w:tr>
      <w:tr>
        <w:trPr>
          <w:trHeight w:val="292" w:hRule="atLeast"/>
        </w:trPr>
        <w:tc>
          <w:tcPr>
            <w:tcW w:w="622" w:type="dxa"/>
          </w:tcPr>
          <w:p>
            <w:pPr>
              <w:pStyle w:val="TableParagraph"/>
              <w:spacing w:line="247" w:lineRule="exact"/>
              <w:ind w:left="107"/>
              <w:rPr>
                <w:sz w:val="22"/>
              </w:rPr>
            </w:pPr>
            <w:r>
              <w:rPr>
                <w:spacing w:val="-5"/>
                <w:sz w:val="22"/>
              </w:rPr>
              <w:t>14</w:t>
            </w:r>
          </w:p>
        </w:tc>
        <w:tc>
          <w:tcPr>
            <w:tcW w:w="5670" w:type="dxa"/>
          </w:tcPr>
          <w:p>
            <w:pPr>
              <w:pStyle w:val="TableParagraph"/>
              <w:spacing w:line="247" w:lineRule="exact"/>
              <w:ind w:left="107"/>
              <w:rPr>
                <w:sz w:val="22"/>
              </w:rPr>
            </w:pPr>
            <w:r>
              <w:rPr>
                <w:sz w:val="22"/>
              </w:rPr>
              <w:t>Inadequate</w:t>
            </w:r>
            <w:r>
              <w:rPr>
                <w:spacing w:val="-4"/>
                <w:sz w:val="22"/>
              </w:rPr>
              <w:t> </w:t>
            </w:r>
            <w:r>
              <w:rPr>
                <w:sz w:val="22"/>
              </w:rPr>
              <w:t>monitoring</w:t>
            </w:r>
            <w:r>
              <w:rPr>
                <w:spacing w:val="-6"/>
                <w:sz w:val="22"/>
              </w:rPr>
              <w:t> </w:t>
            </w:r>
            <w:r>
              <w:rPr>
                <w:sz w:val="22"/>
              </w:rPr>
              <w:t>of</w:t>
            </w:r>
            <w:r>
              <w:rPr>
                <w:spacing w:val="-5"/>
                <w:sz w:val="22"/>
              </w:rPr>
              <w:t> </w:t>
            </w:r>
            <w:r>
              <w:rPr>
                <w:sz w:val="22"/>
              </w:rPr>
              <w:t>housing</w:t>
            </w:r>
            <w:r>
              <w:rPr>
                <w:spacing w:val="-6"/>
                <w:sz w:val="22"/>
              </w:rPr>
              <w:t> </w:t>
            </w:r>
            <w:r>
              <w:rPr>
                <w:sz w:val="22"/>
              </w:rPr>
              <w:t>projects</w:t>
            </w:r>
            <w:r>
              <w:rPr>
                <w:spacing w:val="-5"/>
                <w:sz w:val="22"/>
              </w:rPr>
              <w:t> </w:t>
            </w:r>
            <w:r>
              <w:rPr>
                <w:spacing w:val="-2"/>
                <w:sz w:val="22"/>
              </w:rPr>
              <w:t>execution</w:t>
            </w:r>
          </w:p>
        </w:tc>
        <w:tc>
          <w:tcPr>
            <w:tcW w:w="550" w:type="dxa"/>
          </w:tcPr>
          <w:p>
            <w:pPr>
              <w:pStyle w:val="TableParagraph"/>
              <w:rPr>
                <w:sz w:val="20"/>
              </w:rPr>
            </w:pPr>
          </w:p>
        </w:tc>
        <w:tc>
          <w:tcPr>
            <w:tcW w:w="632" w:type="dxa"/>
          </w:tcPr>
          <w:p>
            <w:pPr>
              <w:pStyle w:val="TableParagraph"/>
              <w:rPr>
                <w:sz w:val="20"/>
              </w:rPr>
            </w:pPr>
          </w:p>
        </w:tc>
        <w:tc>
          <w:tcPr>
            <w:tcW w:w="630" w:type="dxa"/>
          </w:tcPr>
          <w:p>
            <w:pPr>
              <w:pStyle w:val="TableParagraph"/>
              <w:rPr>
                <w:sz w:val="20"/>
              </w:rPr>
            </w:pPr>
          </w:p>
        </w:tc>
        <w:tc>
          <w:tcPr>
            <w:tcW w:w="639" w:type="dxa"/>
          </w:tcPr>
          <w:p>
            <w:pPr>
              <w:pStyle w:val="TableParagraph"/>
              <w:rPr>
                <w:sz w:val="20"/>
              </w:rPr>
            </w:pPr>
          </w:p>
        </w:tc>
        <w:tc>
          <w:tcPr>
            <w:tcW w:w="649" w:type="dxa"/>
          </w:tcPr>
          <w:p>
            <w:pPr>
              <w:pStyle w:val="TableParagraph"/>
              <w:rPr>
                <w:sz w:val="20"/>
              </w:rPr>
            </w:pPr>
          </w:p>
        </w:tc>
      </w:tr>
      <w:tr>
        <w:trPr>
          <w:trHeight w:val="506" w:hRule="atLeast"/>
        </w:trPr>
        <w:tc>
          <w:tcPr>
            <w:tcW w:w="622" w:type="dxa"/>
          </w:tcPr>
          <w:p>
            <w:pPr>
              <w:pStyle w:val="TableParagraph"/>
              <w:spacing w:line="247" w:lineRule="exact"/>
              <w:ind w:left="107"/>
              <w:rPr>
                <w:sz w:val="22"/>
              </w:rPr>
            </w:pPr>
            <w:r>
              <w:rPr>
                <w:spacing w:val="-5"/>
                <w:sz w:val="22"/>
              </w:rPr>
              <w:t>15</w:t>
            </w:r>
          </w:p>
        </w:tc>
        <w:tc>
          <w:tcPr>
            <w:tcW w:w="5670" w:type="dxa"/>
          </w:tcPr>
          <w:p>
            <w:pPr>
              <w:pStyle w:val="TableParagraph"/>
              <w:spacing w:line="246" w:lineRule="exact"/>
              <w:ind w:left="107"/>
              <w:rPr>
                <w:sz w:val="22"/>
              </w:rPr>
            </w:pPr>
            <w:r>
              <w:rPr>
                <w:sz w:val="22"/>
              </w:rPr>
              <w:t>Lack</w:t>
            </w:r>
            <w:r>
              <w:rPr>
                <w:spacing w:val="5"/>
                <w:sz w:val="22"/>
              </w:rPr>
              <w:t> </w:t>
            </w:r>
            <w:r>
              <w:rPr>
                <w:sz w:val="22"/>
              </w:rPr>
              <w:t>of</w:t>
            </w:r>
            <w:r>
              <w:rPr>
                <w:spacing w:val="8"/>
                <w:sz w:val="22"/>
              </w:rPr>
              <w:t> </w:t>
            </w:r>
            <w:r>
              <w:rPr>
                <w:sz w:val="22"/>
              </w:rPr>
              <w:t>good</w:t>
            </w:r>
            <w:r>
              <w:rPr>
                <w:spacing w:val="7"/>
                <w:sz w:val="22"/>
              </w:rPr>
              <w:t> </w:t>
            </w:r>
            <w:r>
              <w:rPr>
                <w:sz w:val="22"/>
              </w:rPr>
              <w:t>quality</w:t>
            </w:r>
            <w:r>
              <w:rPr>
                <w:spacing w:val="5"/>
                <w:sz w:val="22"/>
              </w:rPr>
              <w:t> </w:t>
            </w:r>
            <w:r>
              <w:rPr>
                <w:sz w:val="22"/>
              </w:rPr>
              <w:t>data</w:t>
            </w:r>
            <w:r>
              <w:rPr>
                <w:spacing w:val="7"/>
                <w:sz w:val="22"/>
              </w:rPr>
              <w:t> </w:t>
            </w:r>
            <w:r>
              <w:rPr>
                <w:sz w:val="22"/>
              </w:rPr>
              <w:t>for</w:t>
            </w:r>
            <w:r>
              <w:rPr>
                <w:spacing w:val="8"/>
                <w:sz w:val="22"/>
              </w:rPr>
              <w:t> </w:t>
            </w:r>
            <w:r>
              <w:rPr>
                <w:sz w:val="22"/>
              </w:rPr>
              <w:t>budget</w:t>
            </w:r>
            <w:r>
              <w:rPr>
                <w:spacing w:val="8"/>
                <w:sz w:val="22"/>
              </w:rPr>
              <w:t> </w:t>
            </w:r>
            <w:r>
              <w:rPr>
                <w:sz w:val="22"/>
              </w:rPr>
              <w:t>preparation,</w:t>
            </w:r>
            <w:r>
              <w:rPr>
                <w:spacing w:val="8"/>
                <w:sz w:val="22"/>
              </w:rPr>
              <w:t> </w:t>
            </w:r>
            <w:r>
              <w:rPr>
                <w:spacing w:val="-2"/>
                <w:sz w:val="22"/>
              </w:rPr>
              <w:t>monitoring</w:t>
            </w:r>
          </w:p>
          <w:p>
            <w:pPr>
              <w:pStyle w:val="TableParagraph"/>
              <w:spacing w:line="240" w:lineRule="exact"/>
              <w:ind w:left="107"/>
              <w:rPr>
                <w:sz w:val="22"/>
              </w:rPr>
            </w:pPr>
            <w:r>
              <w:rPr>
                <w:sz w:val="22"/>
              </w:rPr>
              <w:t>and</w:t>
            </w:r>
            <w:r>
              <w:rPr>
                <w:spacing w:val="-2"/>
                <w:sz w:val="22"/>
              </w:rPr>
              <w:t> evaluation</w:t>
            </w:r>
          </w:p>
        </w:tc>
        <w:tc>
          <w:tcPr>
            <w:tcW w:w="550" w:type="dxa"/>
          </w:tcPr>
          <w:p>
            <w:pPr>
              <w:pStyle w:val="TableParagraph"/>
              <w:rPr>
                <w:sz w:val="22"/>
              </w:rPr>
            </w:pPr>
          </w:p>
        </w:tc>
        <w:tc>
          <w:tcPr>
            <w:tcW w:w="632" w:type="dxa"/>
          </w:tcPr>
          <w:p>
            <w:pPr>
              <w:pStyle w:val="TableParagraph"/>
              <w:rPr>
                <w:sz w:val="22"/>
              </w:rPr>
            </w:pPr>
          </w:p>
        </w:tc>
        <w:tc>
          <w:tcPr>
            <w:tcW w:w="630" w:type="dxa"/>
          </w:tcPr>
          <w:p>
            <w:pPr>
              <w:pStyle w:val="TableParagraph"/>
              <w:rPr>
                <w:sz w:val="22"/>
              </w:rPr>
            </w:pPr>
          </w:p>
        </w:tc>
        <w:tc>
          <w:tcPr>
            <w:tcW w:w="639" w:type="dxa"/>
          </w:tcPr>
          <w:p>
            <w:pPr>
              <w:pStyle w:val="TableParagraph"/>
              <w:rPr>
                <w:sz w:val="22"/>
              </w:rPr>
            </w:pPr>
          </w:p>
        </w:tc>
        <w:tc>
          <w:tcPr>
            <w:tcW w:w="649" w:type="dxa"/>
          </w:tcPr>
          <w:p>
            <w:pPr>
              <w:pStyle w:val="TableParagraph"/>
              <w:rPr>
                <w:sz w:val="22"/>
              </w:rPr>
            </w:pPr>
          </w:p>
        </w:tc>
      </w:tr>
      <w:tr>
        <w:trPr>
          <w:trHeight w:val="505" w:hRule="atLeast"/>
        </w:trPr>
        <w:tc>
          <w:tcPr>
            <w:tcW w:w="622" w:type="dxa"/>
          </w:tcPr>
          <w:p>
            <w:pPr>
              <w:pStyle w:val="TableParagraph"/>
              <w:spacing w:line="247" w:lineRule="exact"/>
              <w:ind w:left="107"/>
              <w:rPr>
                <w:sz w:val="22"/>
              </w:rPr>
            </w:pPr>
            <w:r>
              <w:rPr>
                <w:spacing w:val="-5"/>
                <w:sz w:val="22"/>
              </w:rPr>
              <w:t>16</w:t>
            </w:r>
          </w:p>
        </w:tc>
        <w:tc>
          <w:tcPr>
            <w:tcW w:w="5670" w:type="dxa"/>
          </w:tcPr>
          <w:p>
            <w:pPr>
              <w:pStyle w:val="TableParagraph"/>
              <w:spacing w:line="246" w:lineRule="exact"/>
              <w:ind w:left="107"/>
              <w:rPr>
                <w:sz w:val="22"/>
              </w:rPr>
            </w:pPr>
            <w:r>
              <w:rPr>
                <w:sz w:val="22"/>
              </w:rPr>
              <w:t>Deferred</w:t>
            </w:r>
            <w:r>
              <w:rPr>
                <w:spacing w:val="64"/>
                <w:sz w:val="22"/>
              </w:rPr>
              <w:t> </w:t>
            </w:r>
            <w:r>
              <w:rPr>
                <w:sz w:val="22"/>
              </w:rPr>
              <w:t>budgeting-</w:t>
            </w:r>
            <w:r>
              <w:rPr>
                <w:spacing w:val="63"/>
                <w:sz w:val="22"/>
              </w:rPr>
              <w:t> </w:t>
            </w:r>
            <w:r>
              <w:rPr>
                <w:sz w:val="22"/>
              </w:rPr>
              <w:t>arrears</w:t>
            </w:r>
            <w:r>
              <w:rPr>
                <w:spacing w:val="68"/>
                <w:sz w:val="22"/>
              </w:rPr>
              <w:t> </w:t>
            </w:r>
            <w:r>
              <w:rPr>
                <w:sz w:val="22"/>
              </w:rPr>
              <w:t>build</w:t>
            </w:r>
            <w:r>
              <w:rPr>
                <w:spacing w:val="64"/>
                <w:sz w:val="22"/>
              </w:rPr>
              <w:t> </w:t>
            </w:r>
            <w:r>
              <w:rPr>
                <w:sz w:val="22"/>
              </w:rPr>
              <w:t>up</w:t>
            </w:r>
            <w:r>
              <w:rPr>
                <w:spacing w:val="67"/>
                <w:sz w:val="22"/>
              </w:rPr>
              <w:t> </w:t>
            </w:r>
            <w:r>
              <w:rPr>
                <w:sz w:val="22"/>
              </w:rPr>
              <w:t>as</w:t>
            </w:r>
            <w:r>
              <w:rPr>
                <w:spacing w:val="65"/>
                <w:sz w:val="22"/>
              </w:rPr>
              <w:t> </w:t>
            </w:r>
            <w:r>
              <w:rPr>
                <w:sz w:val="22"/>
              </w:rPr>
              <w:t>expenditures</w:t>
            </w:r>
            <w:r>
              <w:rPr>
                <w:spacing w:val="68"/>
                <w:sz w:val="22"/>
              </w:rPr>
              <w:t> </w:t>
            </w:r>
            <w:r>
              <w:rPr>
                <w:spacing w:val="-5"/>
                <w:sz w:val="22"/>
              </w:rPr>
              <w:t>are</w:t>
            </w:r>
          </w:p>
          <w:p>
            <w:pPr>
              <w:pStyle w:val="TableParagraph"/>
              <w:spacing w:line="240" w:lineRule="exact"/>
              <w:ind w:left="107"/>
              <w:rPr>
                <w:sz w:val="22"/>
              </w:rPr>
            </w:pPr>
            <w:r>
              <w:rPr>
                <w:sz w:val="22"/>
              </w:rPr>
              <w:t>pushed</w:t>
            </w:r>
            <w:r>
              <w:rPr>
                <w:spacing w:val="-6"/>
                <w:sz w:val="22"/>
              </w:rPr>
              <w:t> </w:t>
            </w:r>
            <w:r>
              <w:rPr>
                <w:sz w:val="22"/>
              </w:rPr>
              <w:t>into</w:t>
            </w:r>
            <w:r>
              <w:rPr>
                <w:spacing w:val="-3"/>
                <w:sz w:val="22"/>
              </w:rPr>
              <w:t> </w:t>
            </w:r>
            <w:r>
              <w:rPr>
                <w:sz w:val="22"/>
              </w:rPr>
              <w:t>subsequent</w:t>
            </w:r>
            <w:r>
              <w:rPr>
                <w:spacing w:val="-3"/>
                <w:sz w:val="22"/>
              </w:rPr>
              <w:t> </w:t>
            </w:r>
            <w:r>
              <w:rPr>
                <w:spacing w:val="-2"/>
                <w:sz w:val="22"/>
              </w:rPr>
              <w:t>years</w:t>
            </w:r>
          </w:p>
        </w:tc>
        <w:tc>
          <w:tcPr>
            <w:tcW w:w="550" w:type="dxa"/>
          </w:tcPr>
          <w:p>
            <w:pPr>
              <w:pStyle w:val="TableParagraph"/>
              <w:rPr>
                <w:sz w:val="22"/>
              </w:rPr>
            </w:pPr>
          </w:p>
        </w:tc>
        <w:tc>
          <w:tcPr>
            <w:tcW w:w="632" w:type="dxa"/>
          </w:tcPr>
          <w:p>
            <w:pPr>
              <w:pStyle w:val="TableParagraph"/>
              <w:rPr>
                <w:sz w:val="22"/>
              </w:rPr>
            </w:pPr>
          </w:p>
        </w:tc>
        <w:tc>
          <w:tcPr>
            <w:tcW w:w="630" w:type="dxa"/>
          </w:tcPr>
          <w:p>
            <w:pPr>
              <w:pStyle w:val="TableParagraph"/>
              <w:rPr>
                <w:sz w:val="22"/>
              </w:rPr>
            </w:pPr>
          </w:p>
        </w:tc>
        <w:tc>
          <w:tcPr>
            <w:tcW w:w="639" w:type="dxa"/>
          </w:tcPr>
          <w:p>
            <w:pPr>
              <w:pStyle w:val="TableParagraph"/>
              <w:rPr>
                <w:sz w:val="22"/>
              </w:rPr>
            </w:pPr>
          </w:p>
        </w:tc>
        <w:tc>
          <w:tcPr>
            <w:tcW w:w="649" w:type="dxa"/>
          </w:tcPr>
          <w:p>
            <w:pPr>
              <w:pStyle w:val="TableParagraph"/>
              <w:rPr>
                <w:sz w:val="22"/>
              </w:rPr>
            </w:pPr>
          </w:p>
        </w:tc>
      </w:tr>
      <w:tr>
        <w:trPr>
          <w:trHeight w:val="506" w:hRule="atLeast"/>
        </w:trPr>
        <w:tc>
          <w:tcPr>
            <w:tcW w:w="622" w:type="dxa"/>
          </w:tcPr>
          <w:p>
            <w:pPr>
              <w:pStyle w:val="TableParagraph"/>
              <w:spacing w:line="247" w:lineRule="exact"/>
              <w:ind w:left="107"/>
              <w:rPr>
                <w:sz w:val="22"/>
              </w:rPr>
            </w:pPr>
            <w:r>
              <w:rPr>
                <w:spacing w:val="-5"/>
                <w:sz w:val="22"/>
              </w:rPr>
              <w:t>17</w:t>
            </w:r>
          </w:p>
        </w:tc>
        <w:tc>
          <w:tcPr>
            <w:tcW w:w="5670" w:type="dxa"/>
          </w:tcPr>
          <w:p>
            <w:pPr>
              <w:pStyle w:val="TableParagraph"/>
              <w:spacing w:line="246" w:lineRule="exact"/>
              <w:ind w:left="107"/>
              <w:rPr>
                <w:sz w:val="22"/>
              </w:rPr>
            </w:pPr>
            <w:r>
              <w:rPr>
                <w:sz w:val="22"/>
              </w:rPr>
              <w:t>Lack</w:t>
            </w:r>
            <w:r>
              <w:rPr>
                <w:spacing w:val="-1"/>
                <w:sz w:val="22"/>
              </w:rPr>
              <w:t> </w:t>
            </w:r>
            <w:r>
              <w:rPr>
                <w:sz w:val="22"/>
              </w:rPr>
              <w:t>of</w:t>
            </w:r>
            <w:r>
              <w:rPr>
                <w:spacing w:val="4"/>
                <w:sz w:val="22"/>
              </w:rPr>
              <w:t> </w:t>
            </w:r>
            <w:r>
              <w:rPr>
                <w:sz w:val="22"/>
              </w:rPr>
              <w:t>criteria</w:t>
            </w:r>
            <w:r>
              <w:rPr>
                <w:spacing w:val="4"/>
                <w:sz w:val="22"/>
              </w:rPr>
              <w:t> </w:t>
            </w:r>
            <w:r>
              <w:rPr>
                <w:sz w:val="22"/>
              </w:rPr>
              <w:t>for</w:t>
            </w:r>
            <w:r>
              <w:rPr>
                <w:spacing w:val="2"/>
                <w:sz w:val="22"/>
              </w:rPr>
              <w:t> </w:t>
            </w:r>
            <w:r>
              <w:rPr>
                <w:sz w:val="22"/>
              </w:rPr>
              <w:t>establishing</w:t>
            </w:r>
            <w:r>
              <w:rPr>
                <w:spacing w:val="1"/>
                <w:sz w:val="22"/>
              </w:rPr>
              <w:t> </w:t>
            </w:r>
            <w:r>
              <w:rPr>
                <w:sz w:val="22"/>
              </w:rPr>
              <w:t>or</w:t>
            </w:r>
            <w:r>
              <w:rPr>
                <w:spacing w:val="2"/>
                <w:sz w:val="22"/>
              </w:rPr>
              <w:t> </w:t>
            </w:r>
            <w:r>
              <w:rPr>
                <w:sz w:val="22"/>
              </w:rPr>
              <w:t>stipulating housing </w:t>
            </w:r>
            <w:r>
              <w:rPr>
                <w:spacing w:val="-2"/>
                <w:sz w:val="22"/>
              </w:rPr>
              <w:t>budget</w:t>
            </w:r>
          </w:p>
          <w:p>
            <w:pPr>
              <w:pStyle w:val="TableParagraph"/>
              <w:spacing w:line="240" w:lineRule="exact"/>
              <w:ind w:left="107"/>
              <w:rPr>
                <w:sz w:val="22"/>
              </w:rPr>
            </w:pPr>
            <w:r>
              <w:rPr>
                <w:spacing w:val="-2"/>
                <w:sz w:val="22"/>
              </w:rPr>
              <w:t>ceilings</w:t>
            </w:r>
          </w:p>
        </w:tc>
        <w:tc>
          <w:tcPr>
            <w:tcW w:w="550" w:type="dxa"/>
          </w:tcPr>
          <w:p>
            <w:pPr>
              <w:pStyle w:val="TableParagraph"/>
              <w:rPr>
                <w:sz w:val="22"/>
              </w:rPr>
            </w:pPr>
          </w:p>
        </w:tc>
        <w:tc>
          <w:tcPr>
            <w:tcW w:w="632" w:type="dxa"/>
          </w:tcPr>
          <w:p>
            <w:pPr>
              <w:pStyle w:val="TableParagraph"/>
              <w:rPr>
                <w:sz w:val="22"/>
              </w:rPr>
            </w:pPr>
          </w:p>
        </w:tc>
        <w:tc>
          <w:tcPr>
            <w:tcW w:w="630" w:type="dxa"/>
          </w:tcPr>
          <w:p>
            <w:pPr>
              <w:pStyle w:val="TableParagraph"/>
              <w:rPr>
                <w:sz w:val="22"/>
              </w:rPr>
            </w:pPr>
          </w:p>
        </w:tc>
        <w:tc>
          <w:tcPr>
            <w:tcW w:w="639" w:type="dxa"/>
          </w:tcPr>
          <w:p>
            <w:pPr>
              <w:pStyle w:val="TableParagraph"/>
              <w:rPr>
                <w:sz w:val="22"/>
              </w:rPr>
            </w:pPr>
          </w:p>
        </w:tc>
        <w:tc>
          <w:tcPr>
            <w:tcW w:w="649" w:type="dxa"/>
          </w:tcPr>
          <w:p>
            <w:pPr>
              <w:pStyle w:val="TableParagraph"/>
              <w:rPr>
                <w:sz w:val="22"/>
              </w:rPr>
            </w:pPr>
          </w:p>
        </w:tc>
      </w:tr>
      <w:tr>
        <w:trPr>
          <w:trHeight w:val="506" w:hRule="atLeast"/>
        </w:trPr>
        <w:tc>
          <w:tcPr>
            <w:tcW w:w="622" w:type="dxa"/>
          </w:tcPr>
          <w:p>
            <w:pPr>
              <w:pStyle w:val="TableParagraph"/>
              <w:spacing w:line="247" w:lineRule="exact"/>
              <w:ind w:left="107"/>
              <w:rPr>
                <w:sz w:val="22"/>
              </w:rPr>
            </w:pPr>
            <w:r>
              <w:rPr>
                <w:spacing w:val="-5"/>
                <w:sz w:val="22"/>
              </w:rPr>
              <w:t>18</w:t>
            </w:r>
          </w:p>
        </w:tc>
        <w:tc>
          <w:tcPr>
            <w:tcW w:w="5670" w:type="dxa"/>
          </w:tcPr>
          <w:p>
            <w:pPr>
              <w:pStyle w:val="TableParagraph"/>
              <w:spacing w:line="246" w:lineRule="exact"/>
              <w:ind w:left="107"/>
              <w:rPr>
                <w:sz w:val="22"/>
              </w:rPr>
            </w:pPr>
            <w:r>
              <w:rPr>
                <w:sz w:val="22"/>
              </w:rPr>
              <w:t>Overloading</w:t>
            </w:r>
            <w:r>
              <w:rPr>
                <w:spacing w:val="36"/>
                <w:sz w:val="22"/>
              </w:rPr>
              <w:t> </w:t>
            </w:r>
            <w:r>
              <w:rPr>
                <w:sz w:val="22"/>
              </w:rPr>
              <w:t>of</w:t>
            </w:r>
            <w:r>
              <w:rPr>
                <w:spacing w:val="38"/>
                <w:sz w:val="22"/>
              </w:rPr>
              <w:t> </w:t>
            </w:r>
            <w:r>
              <w:rPr>
                <w:sz w:val="22"/>
              </w:rPr>
              <w:t>the</w:t>
            </w:r>
            <w:r>
              <w:rPr>
                <w:spacing w:val="37"/>
                <w:sz w:val="22"/>
              </w:rPr>
              <w:t> </w:t>
            </w:r>
            <w:r>
              <w:rPr>
                <w:sz w:val="22"/>
              </w:rPr>
              <w:t>budget</w:t>
            </w:r>
            <w:r>
              <w:rPr>
                <w:spacing w:val="39"/>
                <w:sz w:val="22"/>
              </w:rPr>
              <w:t> </w:t>
            </w:r>
            <w:r>
              <w:rPr>
                <w:sz w:val="22"/>
              </w:rPr>
              <w:t>with</w:t>
            </w:r>
            <w:r>
              <w:rPr>
                <w:spacing w:val="37"/>
                <w:sz w:val="22"/>
              </w:rPr>
              <w:t> </w:t>
            </w:r>
            <w:r>
              <w:rPr>
                <w:sz w:val="22"/>
              </w:rPr>
              <w:t>unrealistic</w:t>
            </w:r>
            <w:r>
              <w:rPr>
                <w:spacing w:val="37"/>
                <w:sz w:val="22"/>
              </w:rPr>
              <w:t> </w:t>
            </w:r>
            <w:r>
              <w:rPr>
                <w:sz w:val="22"/>
              </w:rPr>
              <w:t>items,</w:t>
            </w:r>
            <w:r>
              <w:rPr>
                <w:spacing w:val="40"/>
                <w:sz w:val="22"/>
              </w:rPr>
              <w:t> </w:t>
            </w:r>
            <w:r>
              <w:rPr>
                <w:sz w:val="22"/>
              </w:rPr>
              <w:t>which</w:t>
            </w:r>
            <w:r>
              <w:rPr>
                <w:spacing w:val="38"/>
                <w:sz w:val="22"/>
              </w:rPr>
              <w:t> </w:t>
            </w:r>
            <w:r>
              <w:rPr>
                <w:spacing w:val="-5"/>
                <w:sz w:val="22"/>
              </w:rPr>
              <w:t>is</w:t>
            </w:r>
          </w:p>
          <w:p>
            <w:pPr>
              <w:pStyle w:val="TableParagraph"/>
              <w:spacing w:line="240" w:lineRule="exact"/>
              <w:ind w:left="107"/>
              <w:rPr>
                <w:sz w:val="22"/>
              </w:rPr>
            </w:pPr>
            <w:r>
              <w:rPr>
                <w:sz w:val="22"/>
              </w:rPr>
              <w:t>more</w:t>
            </w:r>
            <w:r>
              <w:rPr>
                <w:spacing w:val="-2"/>
                <w:sz w:val="22"/>
              </w:rPr>
              <w:t> </w:t>
            </w:r>
            <w:r>
              <w:rPr>
                <w:sz w:val="22"/>
              </w:rPr>
              <w:t>that</w:t>
            </w:r>
            <w:r>
              <w:rPr>
                <w:spacing w:val="-3"/>
                <w:sz w:val="22"/>
              </w:rPr>
              <w:t> </w:t>
            </w:r>
            <w:r>
              <w:rPr>
                <w:sz w:val="22"/>
              </w:rPr>
              <w:t>the</w:t>
            </w:r>
            <w:r>
              <w:rPr>
                <w:spacing w:val="-2"/>
                <w:sz w:val="22"/>
              </w:rPr>
              <w:t> </w:t>
            </w:r>
            <w:r>
              <w:rPr>
                <w:sz w:val="22"/>
              </w:rPr>
              <w:t>capacity</w:t>
            </w:r>
            <w:r>
              <w:rPr>
                <w:spacing w:val="-4"/>
                <w:sz w:val="22"/>
              </w:rPr>
              <w:t> </w:t>
            </w:r>
            <w:r>
              <w:rPr>
                <w:sz w:val="22"/>
              </w:rPr>
              <w:t>of</w:t>
            </w:r>
            <w:r>
              <w:rPr>
                <w:spacing w:val="51"/>
                <w:sz w:val="22"/>
              </w:rPr>
              <w:t> </w:t>
            </w:r>
            <w:r>
              <w:rPr>
                <w:sz w:val="22"/>
              </w:rPr>
              <w:t>MDAs</w:t>
            </w:r>
            <w:r>
              <w:rPr>
                <w:spacing w:val="-1"/>
                <w:sz w:val="22"/>
              </w:rPr>
              <w:t> </w:t>
            </w:r>
            <w:r>
              <w:rPr>
                <w:sz w:val="22"/>
              </w:rPr>
              <w:t>to</w:t>
            </w:r>
            <w:r>
              <w:rPr>
                <w:spacing w:val="-4"/>
                <w:sz w:val="22"/>
              </w:rPr>
              <w:t> </w:t>
            </w:r>
            <w:r>
              <w:rPr>
                <w:spacing w:val="-2"/>
                <w:sz w:val="22"/>
              </w:rPr>
              <w:t>implement</w:t>
            </w:r>
          </w:p>
        </w:tc>
        <w:tc>
          <w:tcPr>
            <w:tcW w:w="550" w:type="dxa"/>
          </w:tcPr>
          <w:p>
            <w:pPr>
              <w:pStyle w:val="TableParagraph"/>
              <w:rPr>
                <w:sz w:val="22"/>
              </w:rPr>
            </w:pPr>
          </w:p>
        </w:tc>
        <w:tc>
          <w:tcPr>
            <w:tcW w:w="632" w:type="dxa"/>
          </w:tcPr>
          <w:p>
            <w:pPr>
              <w:pStyle w:val="TableParagraph"/>
              <w:rPr>
                <w:sz w:val="22"/>
              </w:rPr>
            </w:pPr>
          </w:p>
        </w:tc>
        <w:tc>
          <w:tcPr>
            <w:tcW w:w="630" w:type="dxa"/>
          </w:tcPr>
          <w:p>
            <w:pPr>
              <w:pStyle w:val="TableParagraph"/>
              <w:rPr>
                <w:sz w:val="22"/>
              </w:rPr>
            </w:pPr>
          </w:p>
        </w:tc>
        <w:tc>
          <w:tcPr>
            <w:tcW w:w="639" w:type="dxa"/>
          </w:tcPr>
          <w:p>
            <w:pPr>
              <w:pStyle w:val="TableParagraph"/>
              <w:rPr>
                <w:sz w:val="22"/>
              </w:rPr>
            </w:pPr>
          </w:p>
        </w:tc>
        <w:tc>
          <w:tcPr>
            <w:tcW w:w="649" w:type="dxa"/>
          </w:tcPr>
          <w:p>
            <w:pPr>
              <w:pStyle w:val="TableParagraph"/>
              <w:rPr>
                <w:sz w:val="22"/>
              </w:rPr>
            </w:pPr>
          </w:p>
        </w:tc>
      </w:tr>
      <w:tr>
        <w:trPr>
          <w:trHeight w:val="758" w:hRule="atLeast"/>
        </w:trPr>
        <w:tc>
          <w:tcPr>
            <w:tcW w:w="622" w:type="dxa"/>
          </w:tcPr>
          <w:p>
            <w:pPr>
              <w:pStyle w:val="TableParagraph"/>
              <w:spacing w:line="247" w:lineRule="exact"/>
              <w:ind w:left="107"/>
              <w:rPr>
                <w:sz w:val="22"/>
              </w:rPr>
            </w:pPr>
            <w:r>
              <w:rPr>
                <w:spacing w:val="-5"/>
                <w:sz w:val="22"/>
              </w:rPr>
              <w:t>19</w:t>
            </w:r>
          </w:p>
        </w:tc>
        <w:tc>
          <w:tcPr>
            <w:tcW w:w="5670" w:type="dxa"/>
          </w:tcPr>
          <w:p>
            <w:pPr>
              <w:pStyle w:val="TableParagraph"/>
              <w:ind w:left="107"/>
              <w:rPr>
                <w:sz w:val="22"/>
              </w:rPr>
            </w:pPr>
            <w:r>
              <w:rPr>
                <w:sz w:val="22"/>
              </w:rPr>
              <w:t>Inability</w:t>
            </w:r>
            <w:r>
              <w:rPr>
                <w:spacing w:val="35"/>
                <w:sz w:val="22"/>
              </w:rPr>
              <w:t> </w:t>
            </w:r>
            <w:r>
              <w:rPr>
                <w:sz w:val="22"/>
              </w:rPr>
              <w:t>of</w:t>
            </w:r>
            <w:r>
              <w:rPr>
                <w:spacing w:val="38"/>
                <w:sz w:val="22"/>
              </w:rPr>
              <w:t> </w:t>
            </w:r>
            <w:r>
              <w:rPr>
                <w:sz w:val="22"/>
              </w:rPr>
              <w:t>MDAs</w:t>
            </w:r>
            <w:r>
              <w:rPr>
                <w:spacing w:val="38"/>
                <w:sz w:val="22"/>
              </w:rPr>
              <w:t> </w:t>
            </w:r>
            <w:r>
              <w:rPr>
                <w:sz w:val="22"/>
              </w:rPr>
              <w:t>to</w:t>
            </w:r>
            <w:r>
              <w:rPr>
                <w:spacing w:val="38"/>
                <w:sz w:val="22"/>
              </w:rPr>
              <w:t> </w:t>
            </w:r>
            <w:r>
              <w:rPr>
                <w:sz w:val="22"/>
              </w:rPr>
              <w:t>predict</w:t>
            </w:r>
            <w:r>
              <w:rPr>
                <w:spacing w:val="39"/>
                <w:sz w:val="22"/>
              </w:rPr>
              <w:t> </w:t>
            </w:r>
            <w:r>
              <w:rPr>
                <w:sz w:val="22"/>
              </w:rPr>
              <w:t>resource</w:t>
            </w:r>
            <w:r>
              <w:rPr>
                <w:spacing w:val="38"/>
                <w:sz w:val="22"/>
              </w:rPr>
              <w:t> </w:t>
            </w:r>
            <w:r>
              <w:rPr>
                <w:sz w:val="22"/>
              </w:rPr>
              <w:t>availability,</w:t>
            </w:r>
            <w:r>
              <w:rPr>
                <w:spacing w:val="38"/>
                <w:sz w:val="22"/>
              </w:rPr>
              <w:t> </w:t>
            </w:r>
            <w:r>
              <w:rPr>
                <w:sz w:val="22"/>
              </w:rPr>
              <w:t>thereby undermining</w:t>
            </w:r>
            <w:r>
              <w:rPr>
                <w:spacing w:val="28"/>
                <w:sz w:val="22"/>
              </w:rPr>
              <w:t>  </w:t>
            </w:r>
            <w:r>
              <w:rPr>
                <w:sz w:val="22"/>
              </w:rPr>
              <w:t>their</w:t>
            </w:r>
            <w:r>
              <w:rPr>
                <w:spacing w:val="31"/>
                <w:sz w:val="22"/>
              </w:rPr>
              <w:t>  </w:t>
            </w:r>
            <w:r>
              <w:rPr>
                <w:sz w:val="22"/>
              </w:rPr>
              <w:t>ability</w:t>
            </w:r>
            <w:r>
              <w:rPr>
                <w:spacing w:val="29"/>
                <w:sz w:val="22"/>
              </w:rPr>
              <w:t>  </w:t>
            </w:r>
            <w:r>
              <w:rPr>
                <w:sz w:val="22"/>
              </w:rPr>
              <w:t>to</w:t>
            </w:r>
            <w:r>
              <w:rPr>
                <w:spacing w:val="29"/>
                <w:sz w:val="22"/>
              </w:rPr>
              <w:t>  </w:t>
            </w:r>
            <w:r>
              <w:rPr>
                <w:sz w:val="22"/>
              </w:rPr>
              <w:t>successfully</w:t>
            </w:r>
            <w:r>
              <w:rPr>
                <w:spacing w:val="29"/>
                <w:sz w:val="22"/>
              </w:rPr>
              <w:t>  </w:t>
            </w:r>
            <w:r>
              <w:rPr>
                <w:sz w:val="22"/>
              </w:rPr>
              <w:t>execute</w:t>
            </w:r>
            <w:r>
              <w:rPr>
                <w:spacing w:val="29"/>
                <w:sz w:val="22"/>
              </w:rPr>
              <w:t>  </w:t>
            </w:r>
            <w:r>
              <w:rPr>
                <w:spacing w:val="-2"/>
                <w:sz w:val="22"/>
              </w:rPr>
              <w:t>their</w:t>
            </w:r>
          </w:p>
          <w:p>
            <w:pPr>
              <w:pStyle w:val="TableParagraph"/>
              <w:spacing w:line="238" w:lineRule="exact"/>
              <w:ind w:left="107"/>
              <w:rPr>
                <w:sz w:val="22"/>
              </w:rPr>
            </w:pPr>
            <w:r>
              <w:rPr>
                <w:spacing w:val="-2"/>
                <w:sz w:val="22"/>
              </w:rPr>
              <w:t>budgets.</w:t>
            </w:r>
          </w:p>
        </w:tc>
        <w:tc>
          <w:tcPr>
            <w:tcW w:w="550" w:type="dxa"/>
          </w:tcPr>
          <w:p>
            <w:pPr>
              <w:pStyle w:val="TableParagraph"/>
              <w:rPr>
                <w:sz w:val="22"/>
              </w:rPr>
            </w:pPr>
          </w:p>
        </w:tc>
        <w:tc>
          <w:tcPr>
            <w:tcW w:w="632" w:type="dxa"/>
          </w:tcPr>
          <w:p>
            <w:pPr>
              <w:pStyle w:val="TableParagraph"/>
              <w:rPr>
                <w:sz w:val="22"/>
              </w:rPr>
            </w:pPr>
          </w:p>
        </w:tc>
        <w:tc>
          <w:tcPr>
            <w:tcW w:w="630" w:type="dxa"/>
          </w:tcPr>
          <w:p>
            <w:pPr>
              <w:pStyle w:val="TableParagraph"/>
              <w:rPr>
                <w:sz w:val="22"/>
              </w:rPr>
            </w:pPr>
          </w:p>
        </w:tc>
        <w:tc>
          <w:tcPr>
            <w:tcW w:w="639" w:type="dxa"/>
          </w:tcPr>
          <w:p>
            <w:pPr>
              <w:pStyle w:val="TableParagraph"/>
              <w:rPr>
                <w:sz w:val="22"/>
              </w:rPr>
            </w:pPr>
          </w:p>
        </w:tc>
        <w:tc>
          <w:tcPr>
            <w:tcW w:w="649" w:type="dxa"/>
          </w:tcPr>
          <w:p>
            <w:pPr>
              <w:pStyle w:val="TableParagraph"/>
              <w:rPr>
                <w:sz w:val="22"/>
              </w:rPr>
            </w:pPr>
          </w:p>
        </w:tc>
      </w:tr>
      <w:tr>
        <w:trPr>
          <w:trHeight w:val="506" w:hRule="atLeast"/>
        </w:trPr>
        <w:tc>
          <w:tcPr>
            <w:tcW w:w="622" w:type="dxa"/>
          </w:tcPr>
          <w:p>
            <w:pPr>
              <w:pStyle w:val="TableParagraph"/>
              <w:spacing w:line="247" w:lineRule="exact"/>
              <w:ind w:left="107"/>
              <w:rPr>
                <w:sz w:val="22"/>
              </w:rPr>
            </w:pPr>
            <w:r>
              <w:rPr>
                <w:spacing w:val="-5"/>
                <w:sz w:val="22"/>
              </w:rPr>
              <w:t>20</w:t>
            </w:r>
          </w:p>
        </w:tc>
        <w:tc>
          <w:tcPr>
            <w:tcW w:w="5670" w:type="dxa"/>
          </w:tcPr>
          <w:p>
            <w:pPr>
              <w:pStyle w:val="TableParagraph"/>
              <w:spacing w:line="246" w:lineRule="exact"/>
              <w:ind w:left="107"/>
              <w:rPr>
                <w:sz w:val="22"/>
              </w:rPr>
            </w:pPr>
            <w:r>
              <w:rPr>
                <w:sz w:val="22"/>
              </w:rPr>
              <w:t>Undue</w:t>
            </w:r>
            <w:r>
              <w:rPr>
                <w:spacing w:val="23"/>
                <w:sz w:val="22"/>
              </w:rPr>
              <w:t> </w:t>
            </w:r>
            <w:r>
              <w:rPr>
                <w:sz w:val="22"/>
              </w:rPr>
              <w:t>political</w:t>
            </w:r>
            <w:r>
              <w:rPr>
                <w:spacing w:val="22"/>
                <w:sz w:val="22"/>
              </w:rPr>
              <w:t> </w:t>
            </w:r>
            <w:r>
              <w:rPr>
                <w:sz w:val="22"/>
              </w:rPr>
              <w:t>influence</w:t>
            </w:r>
            <w:r>
              <w:rPr>
                <w:spacing w:val="24"/>
                <w:sz w:val="22"/>
              </w:rPr>
              <w:t> </w:t>
            </w:r>
            <w:r>
              <w:rPr>
                <w:sz w:val="22"/>
              </w:rPr>
              <w:t>in</w:t>
            </w:r>
            <w:r>
              <w:rPr>
                <w:spacing w:val="24"/>
                <w:sz w:val="22"/>
              </w:rPr>
              <w:t> </w:t>
            </w:r>
            <w:r>
              <w:rPr>
                <w:sz w:val="22"/>
              </w:rPr>
              <w:t>approval</w:t>
            </w:r>
            <w:r>
              <w:rPr>
                <w:spacing w:val="22"/>
                <w:sz w:val="22"/>
              </w:rPr>
              <w:t> </w:t>
            </w:r>
            <w:r>
              <w:rPr>
                <w:sz w:val="22"/>
              </w:rPr>
              <w:t>and</w:t>
            </w:r>
            <w:r>
              <w:rPr>
                <w:spacing w:val="23"/>
                <w:sz w:val="22"/>
              </w:rPr>
              <w:t> </w:t>
            </w:r>
            <w:r>
              <w:rPr>
                <w:sz w:val="22"/>
              </w:rPr>
              <w:t>award</w:t>
            </w:r>
            <w:r>
              <w:rPr>
                <w:spacing w:val="23"/>
                <w:sz w:val="22"/>
              </w:rPr>
              <w:t> </w:t>
            </w:r>
            <w:r>
              <w:rPr>
                <w:sz w:val="22"/>
              </w:rPr>
              <w:t>of</w:t>
            </w:r>
            <w:r>
              <w:rPr>
                <w:spacing w:val="25"/>
                <w:sz w:val="22"/>
              </w:rPr>
              <w:t> </w:t>
            </w:r>
            <w:r>
              <w:rPr>
                <w:spacing w:val="-2"/>
                <w:sz w:val="22"/>
              </w:rPr>
              <w:t>housing</w:t>
            </w:r>
          </w:p>
          <w:p>
            <w:pPr>
              <w:pStyle w:val="TableParagraph"/>
              <w:spacing w:line="241" w:lineRule="exact"/>
              <w:ind w:left="107"/>
              <w:rPr>
                <w:sz w:val="22"/>
              </w:rPr>
            </w:pPr>
            <w:r>
              <w:rPr>
                <w:spacing w:val="-2"/>
                <w:sz w:val="22"/>
              </w:rPr>
              <w:t>contracts</w:t>
            </w:r>
          </w:p>
        </w:tc>
        <w:tc>
          <w:tcPr>
            <w:tcW w:w="550" w:type="dxa"/>
          </w:tcPr>
          <w:p>
            <w:pPr>
              <w:pStyle w:val="TableParagraph"/>
              <w:rPr>
                <w:sz w:val="22"/>
              </w:rPr>
            </w:pPr>
          </w:p>
        </w:tc>
        <w:tc>
          <w:tcPr>
            <w:tcW w:w="632" w:type="dxa"/>
          </w:tcPr>
          <w:p>
            <w:pPr>
              <w:pStyle w:val="TableParagraph"/>
              <w:rPr>
                <w:sz w:val="22"/>
              </w:rPr>
            </w:pPr>
          </w:p>
        </w:tc>
        <w:tc>
          <w:tcPr>
            <w:tcW w:w="630" w:type="dxa"/>
          </w:tcPr>
          <w:p>
            <w:pPr>
              <w:pStyle w:val="TableParagraph"/>
              <w:rPr>
                <w:sz w:val="22"/>
              </w:rPr>
            </w:pPr>
          </w:p>
        </w:tc>
        <w:tc>
          <w:tcPr>
            <w:tcW w:w="639" w:type="dxa"/>
          </w:tcPr>
          <w:p>
            <w:pPr>
              <w:pStyle w:val="TableParagraph"/>
              <w:rPr>
                <w:sz w:val="22"/>
              </w:rPr>
            </w:pPr>
          </w:p>
        </w:tc>
        <w:tc>
          <w:tcPr>
            <w:tcW w:w="649" w:type="dxa"/>
          </w:tcPr>
          <w:p>
            <w:pPr>
              <w:pStyle w:val="TableParagraph"/>
              <w:rPr>
                <w:sz w:val="22"/>
              </w:rPr>
            </w:pPr>
          </w:p>
        </w:tc>
      </w:tr>
      <w:tr>
        <w:trPr>
          <w:trHeight w:val="251" w:hRule="atLeast"/>
        </w:trPr>
        <w:tc>
          <w:tcPr>
            <w:tcW w:w="622" w:type="dxa"/>
          </w:tcPr>
          <w:p>
            <w:pPr>
              <w:pStyle w:val="TableParagraph"/>
              <w:spacing w:line="232" w:lineRule="exact"/>
              <w:ind w:left="107"/>
              <w:rPr>
                <w:sz w:val="22"/>
              </w:rPr>
            </w:pPr>
            <w:r>
              <w:rPr>
                <w:spacing w:val="-5"/>
                <w:sz w:val="22"/>
              </w:rPr>
              <w:t>21</w:t>
            </w:r>
          </w:p>
        </w:tc>
        <w:tc>
          <w:tcPr>
            <w:tcW w:w="5670" w:type="dxa"/>
          </w:tcPr>
          <w:p>
            <w:pPr>
              <w:pStyle w:val="TableParagraph"/>
              <w:spacing w:line="232" w:lineRule="exact"/>
              <w:ind w:left="107"/>
              <w:rPr>
                <w:sz w:val="22"/>
              </w:rPr>
            </w:pPr>
            <w:r>
              <w:rPr>
                <w:sz w:val="22"/>
              </w:rPr>
              <w:t>Others</w:t>
            </w:r>
            <w:r>
              <w:rPr>
                <w:spacing w:val="-6"/>
                <w:sz w:val="22"/>
              </w:rPr>
              <w:t> </w:t>
            </w:r>
            <w:r>
              <w:rPr>
                <w:spacing w:val="-2"/>
                <w:sz w:val="22"/>
              </w:rPr>
              <w:t>(specify)</w:t>
            </w:r>
          </w:p>
        </w:tc>
        <w:tc>
          <w:tcPr>
            <w:tcW w:w="550" w:type="dxa"/>
          </w:tcPr>
          <w:p>
            <w:pPr>
              <w:pStyle w:val="TableParagraph"/>
              <w:rPr>
                <w:sz w:val="18"/>
              </w:rPr>
            </w:pPr>
          </w:p>
        </w:tc>
        <w:tc>
          <w:tcPr>
            <w:tcW w:w="632" w:type="dxa"/>
          </w:tcPr>
          <w:p>
            <w:pPr>
              <w:pStyle w:val="TableParagraph"/>
              <w:rPr>
                <w:sz w:val="18"/>
              </w:rPr>
            </w:pPr>
          </w:p>
        </w:tc>
        <w:tc>
          <w:tcPr>
            <w:tcW w:w="630" w:type="dxa"/>
          </w:tcPr>
          <w:p>
            <w:pPr>
              <w:pStyle w:val="TableParagraph"/>
              <w:rPr>
                <w:sz w:val="18"/>
              </w:rPr>
            </w:pPr>
          </w:p>
        </w:tc>
        <w:tc>
          <w:tcPr>
            <w:tcW w:w="639" w:type="dxa"/>
          </w:tcPr>
          <w:p>
            <w:pPr>
              <w:pStyle w:val="TableParagraph"/>
              <w:rPr>
                <w:sz w:val="18"/>
              </w:rPr>
            </w:pPr>
          </w:p>
        </w:tc>
        <w:tc>
          <w:tcPr>
            <w:tcW w:w="649" w:type="dxa"/>
          </w:tcPr>
          <w:p>
            <w:pPr>
              <w:pStyle w:val="TableParagraph"/>
              <w:rPr>
                <w:sz w:val="18"/>
              </w:rPr>
            </w:pPr>
          </w:p>
        </w:tc>
      </w:tr>
      <w:tr>
        <w:trPr>
          <w:trHeight w:val="253" w:hRule="atLeast"/>
        </w:trPr>
        <w:tc>
          <w:tcPr>
            <w:tcW w:w="9392" w:type="dxa"/>
            <w:gridSpan w:val="7"/>
          </w:tcPr>
          <w:p>
            <w:pPr>
              <w:pStyle w:val="TableParagraph"/>
              <w:spacing w:line="234" w:lineRule="exact"/>
              <w:ind w:left="107"/>
              <w:rPr>
                <w:sz w:val="22"/>
              </w:rPr>
            </w:pPr>
            <w:r>
              <w:rPr>
                <w:b/>
                <w:sz w:val="22"/>
              </w:rPr>
              <w:t>Note</w:t>
            </w:r>
            <w:r>
              <w:rPr>
                <w:sz w:val="22"/>
              </w:rPr>
              <w:t>:</w:t>
            </w:r>
            <w:r>
              <w:rPr>
                <w:spacing w:val="-3"/>
                <w:sz w:val="22"/>
              </w:rPr>
              <w:t> </w:t>
            </w:r>
            <w:r>
              <w:rPr>
                <w:b/>
                <w:sz w:val="22"/>
              </w:rPr>
              <w:t>SA</w:t>
            </w:r>
            <w:r>
              <w:rPr>
                <w:sz w:val="22"/>
              </w:rPr>
              <w:t>=</w:t>
            </w:r>
            <w:r>
              <w:rPr>
                <w:spacing w:val="-4"/>
                <w:sz w:val="22"/>
              </w:rPr>
              <w:t> </w:t>
            </w:r>
            <w:r>
              <w:rPr>
                <w:sz w:val="22"/>
              </w:rPr>
              <w:t>strongly</w:t>
            </w:r>
            <w:r>
              <w:rPr>
                <w:spacing w:val="-5"/>
                <w:sz w:val="22"/>
              </w:rPr>
              <w:t> </w:t>
            </w:r>
            <w:r>
              <w:rPr>
                <w:sz w:val="22"/>
              </w:rPr>
              <w:t>agree;</w:t>
            </w:r>
            <w:r>
              <w:rPr>
                <w:spacing w:val="51"/>
                <w:sz w:val="22"/>
              </w:rPr>
              <w:t> </w:t>
            </w:r>
            <w:r>
              <w:rPr>
                <w:b/>
                <w:sz w:val="22"/>
              </w:rPr>
              <w:t>A</w:t>
            </w:r>
            <w:r>
              <w:rPr>
                <w:sz w:val="22"/>
              </w:rPr>
              <w:t>=agree;</w:t>
            </w:r>
            <w:r>
              <w:rPr>
                <w:spacing w:val="-1"/>
                <w:sz w:val="22"/>
              </w:rPr>
              <w:t> </w:t>
            </w:r>
            <w:r>
              <w:rPr>
                <w:b/>
                <w:sz w:val="22"/>
              </w:rPr>
              <w:t>SD</w:t>
            </w:r>
            <w:r>
              <w:rPr>
                <w:b/>
                <w:spacing w:val="-4"/>
                <w:sz w:val="22"/>
              </w:rPr>
              <w:t> </w:t>
            </w:r>
            <w:r>
              <w:rPr>
                <w:sz w:val="22"/>
              </w:rPr>
              <w:t>=</w:t>
            </w:r>
            <w:r>
              <w:rPr>
                <w:spacing w:val="-4"/>
                <w:sz w:val="22"/>
              </w:rPr>
              <w:t> </w:t>
            </w:r>
            <w:r>
              <w:rPr>
                <w:sz w:val="22"/>
              </w:rPr>
              <w:t>strongly</w:t>
            </w:r>
            <w:r>
              <w:rPr>
                <w:spacing w:val="-5"/>
                <w:sz w:val="22"/>
              </w:rPr>
              <w:t> </w:t>
            </w:r>
            <w:r>
              <w:rPr>
                <w:sz w:val="22"/>
              </w:rPr>
              <w:t>disagree; </w:t>
            </w:r>
            <w:r>
              <w:rPr>
                <w:b/>
                <w:sz w:val="22"/>
              </w:rPr>
              <w:t>D</w:t>
            </w:r>
            <w:r>
              <w:rPr>
                <w:b/>
                <w:spacing w:val="-3"/>
                <w:sz w:val="22"/>
              </w:rPr>
              <w:t> </w:t>
            </w:r>
            <w:r>
              <w:rPr>
                <w:sz w:val="22"/>
              </w:rPr>
              <w:t>=</w:t>
            </w:r>
            <w:r>
              <w:rPr>
                <w:spacing w:val="-4"/>
                <w:sz w:val="22"/>
              </w:rPr>
              <w:t> </w:t>
            </w:r>
            <w:r>
              <w:rPr>
                <w:sz w:val="22"/>
              </w:rPr>
              <w:t>disagree;</w:t>
            </w:r>
            <w:r>
              <w:rPr>
                <w:spacing w:val="-1"/>
                <w:sz w:val="22"/>
              </w:rPr>
              <w:t> </w:t>
            </w:r>
            <w:r>
              <w:rPr>
                <w:b/>
                <w:sz w:val="22"/>
              </w:rPr>
              <w:t>DN</w:t>
            </w:r>
            <w:r>
              <w:rPr>
                <w:b/>
                <w:spacing w:val="-3"/>
                <w:sz w:val="22"/>
              </w:rPr>
              <w:t> </w:t>
            </w:r>
            <w:r>
              <w:rPr>
                <w:sz w:val="22"/>
              </w:rPr>
              <w:t>=</w:t>
            </w:r>
            <w:r>
              <w:rPr>
                <w:spacing w:val="-4"/>
                <w:sz w:val="22"/>
              </w:rPr>
              <w:t> </w:t>
            </w:r>
            <w:r>
              <w:rPr>
                <w:sz w:val="22"/>
              </w:rPr>
              <w:t>don‘t</w:t>
            </w:r>
            <w:r>
              <w:rPr>
                <w:spacing w:val="-3"/>
                <w:sz w:val="22"/>
              </w:rPr>
              <w:t> </w:t>
            </w:r>
            <w:r>
              <w:rPr>
                <w:spacing w:val="-4"/>
                <w:sz w:val="22"/>
              </w:rPr>
              <w:t>know</w:t>
            </w:r>
          </w:p>
        </w:tc>
      </w:tr>
    </w:tbl>
    <w:p>
      <w:pPr>
        <w:pStyle w:val="ListParagraph"/>
        <w:numPr>
          <w:ilvl w:val="0"/>
          <w:numId w:val="112"/>
        </w:numPr>
        <w:tabs>
          <w:tab w:pos="451" w:val="left" w:leader="none"/>
        </w:tabs>
        <w:spacing w:line="252" w:lineRule="exact" w:before="188" w:after="0"/>
        <w:ind w:left="451" w:right="0" w:hanging="331"/>
        <w:jc w:val="left"/>
        <w:rPr>
          <w:sz w:val="22"/>
        </w:rPr>
      </w:pPr>
      <w:r>
        <w:rPr>
          <w:sz w:val="22"/>
        </w:rPr>
        <w:t>How</w:t>
      </w:r>
      <w:r>
        <w:rPr>
          <w:spacing w:val="-4"/>
          <w:sz w:val="22"/>
        </w:rPr>
        <w:t> </w:t>
      </w:r>
      <w:r>
        <w:rPr>
          <w:sz w:val="22"/>
        </w:rPr>
        <w:t>will</w:t>
      </w:r>
      <w:r>
        <w:rPr>
          <w:spacing w:val="-2"/>
          <w:sz w:val="22"/>
        </w:rPr>
        <w:t> </w:t>
      </w:r>
      <w:r>
        <w:rPr>
          <w:sz w:val="22"/>
        </w:rPr>
        <w:t>you</w:t>
      </w:r>
      <w:r>
        <w:rPr>
          <w:spacing w:val="-3"/>
          <w:sz w:val="22"/>
        </w:rPr>
        <w:t> </w:t>
      </w:r>
      <w:r>
        <w:rPr>
          <w:sz w:val="22"/>
        </w:rPr>
        <w:t>assess</w:t>
      </w:r>
      <w:r>
        <w:rPr>
          <w:spacing w:val="-5"/>
          <w:sz w:val="22"/>
        </w:rPr>
        <w:t> </w:t>
      </w:r>
      <w:r>
        <w:rPr>
          <w:sz w:val="22"/>
        </w:rPr>
        <w:t>the</w:t>
      </w:r>
      <w:r>
        <w:rPr>
          <w:spacing w:val="-3"/>
          <w:sz w:val="22"/>
        </w:rPr>
        <w:t> </w:t>
      </w:r>
      <w:r>
        <w:rPr>
          <w:sz w:val="22"/>
        </w:rPr>
        <w:t>adequacy</w:t>
      </w:r>
      <w:r>
        <w:rPr>
          <w:spacing w:val="-5"/>
          <w:sz w:val="22"/>
        </w:rPr>
        <w:t> </w:t>
      </w:r>
      <w:r>
        <w:rPr>
          <w:sz w:val="22"/>
        </w:rPr>
        <w:t>of</w:t>
      </w:r>
      <w:r>
        <w:rPr>
          <w:spacing w:val="-3"/>
          <w:sz w:val="22"/>
        </w:rPr>
        <w:t> </w:t>
      </w:r>
      <w:r>
        <w:rPr>
          <w:sz w:val="22"/>
        </w:rPr>
        <w:t>annual</w:t>
      </w:r>
      <w:r>
        <w:rPr>
          <w:spacing w:val="-2"/>
          <w:sz w:val="22"/>
        </w:rPr>
        <w:t> </w:t>
      </w:r>
      <w:r>
        <w:rPr>
          <w:sz w:val="22"/>
        </w:rPr>
        <w:t>budget</w:t>
      </w:r>
      <w:r>
        <w:rPr>
          <w:spacing w:val="-2"/>
          <w:sz w:val="22"/>
        </w:rPr>
        <w:t> </w:t>
      </w:r>
      <w:r>
        <w:rPr>
          <w:sz w:val="22"/>
        </w:rPr>
        <w:t>allocation</w:t>
      </w:r>
      <w:r>
        <w:rPr>
          <w:spacing w:val="-6"/>
          <w:sz w:val="22"/>
        </w:rPr>
        <w:t> </w:t>
      </w:r>
      <w:r>
        <w:rPr>
          <w:sz w:val="22"/>
        </w:rPr>
        <w:t>for</w:t>
      </w:r>
      <w:r>
        <w:rPr>
          <w:spacing w:val="-4"/>
          <w:sz w:val="22"/>
        </w:rPr>
        <w:t> </w:t>
      </w:r>
      <w:r>
        <w:rPr>
          <w:sz w:val="22"/>
        </w:rPr>
        <w:t>housing</w:t>
      </w:r>
      <w:r>
        <w:rPr>
          <w:spacing w:val="-6"/>
          <w:sz w:val="22"/>
        </w:rPr>
        <w:t> </w:t>
      </w:r>
      <w:r>
        <w:rPr>
          <w:sz w:val="22"/>
        </w:rPr>
        <w:t>in</w:t>
      </w:r>
      <w:r>
        <w:rPr>
          <w:spacing w:val="-6"/>
          <w:sz w:val="22"/>
        </w:rPr>
        <w:t> </w:t>
      </w:r>
      <w:r>
        <w:rPr>
          <w:sz w:val="22"/>
        </w:rPr>
        <w:t>Anambra</w:t>
      </w:r>
      <w:r>
        <w:rPr>
          <w:spacing w:val="-2"/>
          <w:sz w:val="22"/>
        </w:rPr>
        <w:t> State?</w:t>
      </w:r>
    </w:p>
    <w:p>
      <w:pPr>
        <w:tabs>
          <w:tab w:pos="2043" w:val="left" w:leader="none"/>
          <w:tab w:pos="3674" w:val="left" w:leader="none"/>
          <w:tab w:pos="5417" w:val="left" w:leader="none"/>
          <w:tab w:pos="7897" w:val="left" w:leader="none"/>
        </w:tabs>
        <w:spacing w:line="252" w:lineRule="exact" w:before="0"/>
        <w:ind w:left="120" w:right="0" w:firstLine="0"/>
        <w:jc w:val="left"/>
        <w:rPr>
          <w:sz w:val="22"/>
        </w:rPr>
      </w:pPr>
      <w:r>
        <w:rPr>
          <w:sz w:val="22"/>
        </w:rPr>
        <w:t>(a)</w:t>
      </w:r>
      <w:r>
        <w:rPr>
          <w:spacing w:val="-3"/>
          <w:sz w:val="22"/>
        </w:rPr>
        <w:t> </w:t>
      </w:r>
      <w:r>
        <w:rPr>
          <w:sz w:val="22"/>
        </w:rPr>
        <w:t>Very</w:t>
      </w:r>
      <w:r>
        <w:rPr>
          <w:spacing w:val="-4"/>
          <w:sz w:val="22"/>
        </w:rPr>
        <w:t> </w:t>
      </w:r>
      <w:r>
        <w:rPr>
          <w:sz w:val="22"/>
        </w:rPr>
        <w:t>adequate</w:t>
      </w:r>
      <w:r>
        <w:rPr>
          <w:spacing w:val="-3"/>
          <w:sz w:val="22"/>
        </w:rPr>
        <w:t> </w:t>
      </w:r>
      <w:r>
        <w:rPr>
          <w:spacing w:val="-10"/>
          <w:sz w:val="22"/>
        </w:rPr>
        <w:t>[</w:t>
      </w:r>
      <w:r>
        <w:rPr>
          <w:sz w:val="22"/>
        </w:rPr>
        <w:tab/>
        <w:t>]</w:t>
      </w:r>
      <w:r>
        <w:rPr>
          <w:spacing w:val="-3"/>
          <w:sz w:val="22"/>
        </w:rPr>
        <w:t> </w:t>
      </w:r>
      <w:r>
        <w:rPr>
          <w:sz w:val="22"/>
        </w:rPr>
        <w:t>(b)</w:t>
      </w:r>
      <w:r>
        <w:rPr>
          <w:spacing w:val="-4"/>
          <w:sz w:val="22"/>
        </w:rPr>
        <w:t> </w:t>
      </w:r>
      <w:r>
        <w:rPr>
          <w:sz w:val="22"/>
        </w:rPr>
        <w:t>Adequate</w:t>
      </w:r>
      <w:r>
        <w:rPr>
          <w:spacing w:val="-2"/>
          <w:sz w:val="22"/>
        </w:rPr>
        <w:t> </w:t>
      </w:r>
      <w:r>
        <w:rPr>
          <w:spacing w:val="-10"/>
          <w:sz w:val="22"/>
        </w:rPr>
        <w:t>[</w:t>
      </w:r>
      <w:r>
        <w:rPr>
          <w:sz w:val="22"/>
        </w:rPr>
        <w:tab/>
        <w:t>]</w:t>
      </w:r>
      <w:r>
        <w:rPr>
          <w:spacing w:val="-1"/>
          <w:sz w:val="22"/>
        </w:rPr>
        <w:t> </w:t>
      </w:r>
      <w:r>
        <w:rPr>
          <w:sz w:val="22"/>
        </w:rPr>
        <w:t>(c)</w:t>
      </w:r>
      <w:r>
        <w:rPr>
          <w:spacing w:val="-2"/>
          <w:sz w:val="22"/>
        </w:rPr>
        <w:t> </w:t>
      </w:r>
      <w:r>
        <w:rPr>
          <w:sz w:val="22"/>
        </w:rPr>
        <w:t>Inadequate</w:t>
      </w:r>
      <w:r>
        <w:rPr>
          <w:spacing w:val="-1"/>
          <w:sz w:val="22"/>
        </w:rPr>
        <w:t> </w:t>
      </w:r>
      <w:r>
        <w:rPr>
          <w:spacing w:val="-10"/>
          <w:sz w:val="22"/>
        </w:rPr>
        <w:t>[</w:t>
      </w:r>
      <w:r>
        <w:rPr>
          <w:sz w:val="22"/>
        </w:rPr>
        <w:tab/>
        <w:t>]</w:t>
      </w:r>
      <w:r>
        <w:rPr>
          <w:spacing w:val="-6"/>
          <w:sz w:val="22"/>
        </w:rPr>
        <w:t> </w:t>
      </w:r>
      <w:r>
        <w:rPr>
          <w:sz w:val="22"/>
        </w:rPr>
        <w:t>(d)</w:t>
      </w:r>
      <w:r>
        <w:rPr>
          <w:spacing w:val="-3"/>
          <w:sz w:val="22"/>
        </w:rPr>
        <w:t> </w:t>
      </w:r>
      <w:r>
        <w:rPr>
          <w:sz w:val="22"/>
        </w:rPr>
        <w:t>Grossly</w:t>
      </w:r>
      <w:r>
        <w:rPr>
          <w:spacing w:val="-4"/>
          <w:sz w:val="22"/>
        </w:rPr>
        <w:t> </w:t>
      </w:r>
      <w:r>
        <w:rPr>
          <w:sz w:val="22"/>
        </w:rPr>
        <w:t>inadequate</w:t>
      </w:r>
      <w:r>
        <w:rPr>
          <w:spacing w:val="-2"/>
          <w:sz w:val="22"/>
        </w:rPr>
        <w:t> </w:t>
      </w:r>
      <w:r>
        <w:rPr>
          <w:spacing w:val="-10"/>
          <w:sz w:val="22"/>
        </w:rPr>
        <w:t>[</w:t>
      </w:r>
      <w:r>
        <w:rPr>
          <w:sz w:val="22"/>
        </w:rPr>
        <w:tab/>
      </w:r>
      <w:r>
        <w:rPr>
          <w:spacing w:val="-10"/>
          <w:sz w:val="22"/>
        </w:rPr>
        <w:t>]</w:t>
      </w:r>
    </w:p>
    <w:p>
      <w:pPr>
        <w:tabs>
          <w:tab w:pos="1470" w:val="left" w:leader="none"/>
        </w:tabs>
        <w:spacing w:before="1"/>
        <w:ind w:left="120" w:right="0" w:firstLine="0"/>
        <w:jc w:val="left"/>
        <w:rPr>
          <w:sz w:val="22"/>
        </w:rPr>
      </w:pPr>
      <w:r>
        <w:rPr>
          <w:sz w:val="22"/>
        </w:rPr>
        <w:t>(e)</w:t>
      </w:r>
      <w:r>
        <w:rPr>
          <w:spacing w:val="-2"/>
          <w:sz w:val="22"/>
        </w:rPr>
        <w:t> </w:t>
      </w:r>
      <w:r>
        <w:rPr>
          <w:sz w:val="22"/>
        </w:rPr>
        <w:t>No</w:t>
      </w:r>
      <w:r>
        <w:rPr>
          <w:spacing w:val="-2"/>
          <w:sz w:val="22"/>
        </w:rPr>
        <w:t> </w:t>
      </w:r>
      <w:r>
        <w:rPr>
          <w:sz w:val="22"/>
        </w:rPr>
        <w:t>Idea</w:t>
      </w:r>
      <w:r>
        <w:rPr>
          <w:spacing w:val="-1"/>
          <w:sz w:val="22"/>
        </w:rPr>
        <w:t> </w:t>
      </w:r>
      <w:r>
        <w:rPr>
          <w:spacing w:val="-12"/>
          <w:sz w:val="22"/>
        </w:rPr>
        <w:t>[</w:t>
      </w:r>
      <w:r>
        <w:rPr>
          <w:sz w:val="22"/>
        </w:rPr>
        <w:tab/>
      </w:r>
      <w:r>
        <w:rPr>
          <w:spacing w:val="-10"/>
          <w:sz w:val="22"/>
        </w:rPr>
        <w:t>]</w:t>
      </w:r>
    </w:p>
    <w:p>
      <w:pPr>
        <w:pStyle w:val="BodyText"/>
        <w:spacing w:before="22"/>
        <w:rPr>
          <w:sz w:val="22"/>
        </w:rPr>
      </w:pPr>
    </w:p>
    <w:p>
      <w:pPr>
        <w:pStyle w:val="ListParagraph"/>
        <w:numPr>
          <w:ilvl w:val="0"/>
          <w:numId w:val="112"/>
        </w:numPr>
        <w:tabs>
          <w:tab w:pos="453" w:val="left" w:leader="none"/>
          <w:tab w:pos="3100" w:val="left" w:leader="none"/>
          <w:tab w:pos="4896" w:val="left" w:leader="none"/>
          <w:tab w:pos="8594" w:val="left" w:leader="none"/>
        </w:tabs>
        <w:spacing w:line="240" w:lineRule="auto" w:before="0" w:after="0"/>
        <w:ind w:left="120" w:right="1116" w:firstLine="0"/>
        <w:jc w:val="left"/>
        <w:rPr>
          <w:sz w:val="22"/>
        </w:rPr>
      </w:pPr>
      <w:r>
        <w:rPr>
          <w:sz w:val="22"/>
        </w:rPr>
        <w:t>How</w:t>
      </w:r>
      <w:r>
        <w:rPr>
          <w:spacing w:val="-1"/>
          <w:sz w:val="22"/>
        </w:rPr>
        <w:t> </w:t>
      </w:r>
      <w:r>
        <w:rPr>
          <w:sz w:val="22"/>
        </w:rPr>
        <w:t>will</w:t>
      </w:r>
      <w:r>
        <w:rPr>
          <w:spacing w:val="-1"/>
          <w:sz w:val="22"/>
        </w:rPr>
        <w:t> </w:t>
      </w:r>
      <w:r>
        <w:rPr>
          <w:sz w:val="22"/>
        </w:rPr>
        <w:t>you describe</w:t>
      </w:r>
      <w:r>
        <w:rPr>
          <w:spacing w:val="-2"/>
          <w:sz w:val="22"/>
        </w:rPr>
        <w:t> </w:t>
      </w:r>
      <w:r>
        <w:rPr>
          <w:sz w:val="22"/>
        </w:rPr>
        <w:t>the regularity</w:t>
      </w:r>
      <w:r>
        <w:rPr>
          <w:spacing w:val="-3"/>
          <w:sz w:val="22"/>
        </w:rPr>
        <w:t> </w:t>
      </w:r>
      <w:r>
        <w:rPr>
          <w:sz w:val="22"/>
        </w:rPr>
        <w:t>of release of</w:t>
      </w:r>
      <w:r>
        <w:rPr>
          <w:spacing w:val="-2"/>
          <w:sz w:val="22"/>
        </w:rPr>
        <w:t> </w:t>
      </w:r>
      <w:r>
        <w:rPr>
          <w:sz w:val="22"/>
        </w:rPr>
        <w:t>funds</w:t>
      </w:r>
      <w:r>
        <w:rPr>
          <w:spacing w:val="-2"/>
          <w:sz w:val="22"/>
        </w:rPr>
        <w:t> </w:t>
      </w:r>
      <w:r>
        <w:rPr>
          <w:sz w:val="22"/>
        </w:rPr>
        <w:t>from</w:t>
      </w:r>
      <w:r>
        <w:rPr>
          <w:spacing w:val="-2"/>
          <w:sz w:val="22"/>
        </w:rPr>
        <w:t> </w:t>
      </w:r>
      <w:r>
        <w:rPr>
          <w:sz w:val="22"/>
        </w:rPr>
        <w:t>the annual budget</w:t>
      </w:r>
      <w:r>
        <w:rPr>
          <w:spacing w:val="-1"/>
          <w:sz w:val="22"/>
        </w:rPr>
        <w:t> </w:t>
      </w:r>
      <w:r>
        <w:rPr>
          <w:sz w:val="22"/>
        </w:rPr>
        <w:t>allocation</w:t>
      </w:r>
      <w:r>
        <w:rPr>
          <w:spacing w:val="-2"/>
          <w:sz w:val="22"/>
        </w:rPr>
        <w:t> </w:t>
      </w:r>
      <w:r>
        <w:rPr>
          <w:sz w:val="22"/>
        </w:rPr>
        <w:t>for</w:t>
      </w:r>
      <w:r>
        <w:rPr>
          <w:spacing w:val="-2"/>
          <w:sz w:val="22"/>
        </w:rPr>
        <w:t> </w:t>
      </w:r>
      <w:r>
        <w:rPr>
          <w:sz w:val="22"/>
        </w:rPr>
        <w:t>housing in Anambra State? (a)Regular [</w:t>
        <w:tab/>
        <w:t>] (b) Not regular [</w:t>
        <w:tab/>
        <w:t>] (c) Inconsistent budgetary allocation [</w:t>
        <w:tab/>
      </w:r>
      <w:r>
        <w:rPr>
          <w:spacing w:val="-10"/>
          <w:sz w:val="22"/>
        </w:rPr>
        <w:t>]</w:t>
      </w:r>
    </w:p>
    <w:p>
      <w:pPr>
        <w:tabs>
          <w:tab w:pos="2979" w:val="left" w:leader="none"/>
          <w:tab w:pos="4420" w:val="left" w:leader="none"/>
        </w:tabs>
        <w:spacing w:before="1"/>
        <w:ind w:left="120" w:right="0" w:firstLine="0"/>
        <w:jc w:val="left"/>
        <w:rPr>
          <w:sz w:val="22"/>
        </w:rPr>
      </w:pPr>
      <w:r>
        <w:rPr>
          <w:sz w:val="22"/>
        </w:rPr>
        <w:t>(d)</w:t>
      </w:r>
      <w:r>
        <w:rPr>
          <w:spacing w:val="-2"/>
          <w:sz w:val="22"/>
        </w:rPr>
        <w:t> </w:t>
      </w:r>
      <w:r>
        <w:rPr>
          <w:sz w:val="22"/>
        </w:rPr>
        <w:t>Delay</w:t>
      </w:r>
      <w:r>
        <w:rPr>
          <w:spacing w:val="-4"/>
          <w:sz w:val="22"/>
        </w:rPr>
        <w:t> </w:t>
      </w:r>
      <w:r>
        <w:rPr>
          <w:sz w:val="22"/>
        </w:rPr>
        <w:t>in</w:t>
      </w:r>
      <w:r>
        <w:rPr>
          <w:spacing w:val="-5"/>
          <w:sz w:val="22"/>
        </w:rPr>
        <w:t> </w:t>
      </w:r>
      <w:r>
        <w:rPr>
          <w:sz w:val="22"/>
        </w:rPr>
        <w:t>release</w:t>
      </w:r>
      <w:r>
        <w:rPr>
          <w:spacing w:val="-2"/>
          <w:sz w:val="22"/>
        </w:rPr>
        <w:t> </w:t>
      </w:r>
      <w:r>
        <w:rPr>
          <w:sz w:val="22"/>
        </w:rPr>
        <w:t>of</w:t>
      </w:r>
      <w:r>
        <w:rPr>
          <w:spacing w:val="-3"/>
          <w:sz w:val="22"/>
        </w:rPr>
        <w:t> </w:t>
      </w:r>
      <w:r>
        <w:rPr>
          <w:sz w:val="22"/>
        </w:rPr>
        <w:t>funds</w:t>
      </w:r>
      <w:r>
        <w:rPr>
          <w:spacing w:val="-1"/>
          <w:sz w:val="22"/>
        </w:rPr>
        <w:t> </w:t>
      </w:r>
      <w:r>
        <w:rPr>
          <w:spacing w:val="-10"/>
          <w:sz w:val="22"/>
        </w:rPr>
        <w:t>[</w:t>
      </w:r>
      <w:r>
        <w:rPr>
          <w:sz w:val="22"/>
        </w:rPr>
        <w:tab/>
        <w:t>]</w:t>
      </w:r>
      <w:r>
        <w:rPr>
          <w:spacing w:val="-2"/>
          <w:sz w:val="22"/>
        </w:rPr>
        <w:t> </w:t>
      </w:r>
      <w:r>
        <w:rPr>
          <w:sz w:val="22"/>
        </w:rPr>
        <w:t>(f)</w:t>
      </w:r>
      <w:r>
        <w:rPr>
          <w:spacing w:val="-2"/>
          <w:sz w:val="22"/>
        </w:rPr>
        <w:t> </w:t>
      </w:r>
      <w:r>
        <w:rPr>
          <w:sz w:val="22"/>
        </w:rPr>
        <w:t>No</w:t>
      </w:r>
      <w:r>
        <w:rPr>
          <w:spacing w:val="-4"/>
          <w:sz w:val="22"/>
        </w:rPr>
        <w:t> </w:t>
      </w:r>
      <w:r>
        <w:rPr>
          <w:sz w:val="22"/>
        </w:rPr>
        <w:t>idea</w:t>
      </w:r>
      <w:r>
        <w:rPr>
          <w:spacing w:val="-1"/>
          <w:sz w:val="22"/>
        </w:rPr>
        <w:t> </w:t>
      </w:r>
      <w:r>
        <w:rPr>
          <w:spacing w:val="-10"/>
          <w:sz w:val="22"/>
        </w:rPr>
        <w:t>[</w:t>
      </w:r>
      <w:r>
        <w:rPr>
          <w:sz w:val="22"/>
        </w:rPr>
        <w:tab/>
      </w:r>
      <w:r>
        <w:rPr>
          <w:spacing w:val="-10"/>
          <w:sz w:val="22"/>
        </w:rPr>
        <w:t>]</w:t>
      </w:r>
    </w:p>
    <w:p>
      <w:pPr>
        <w:spacing w:after="0"/>
        <w:jc w:val="left"/>
        <w:rPr>
          <w:sz w:val="22"/>
        </w:rPr>
        <w:sectPr>
          <w:pgSz w:w="12240" w:h="15840"/>
          <w:pgMar w:header="0" w:footer="1036" w:top="1360" w:bottom="1220" w:left="1320" w:right="320"/>
        </w:sectPr>
      </w:pPr>
    </w:p>
    <w:p>
      <w:pPr>
        <w:pStyle w:val="ListParagraph"/>
        <w:numPr>
          <w:ilvl w:val="0"/>
          <w:numId w:val="112"/>
        </w:numPr>
        <w:tabs>
          <w:tab w:pos="453" w:val="left" w:leader="none"/>
        </w:tabs>
        <w:spacing w:line="240" w:lineRule="auto" w:before="74" w:after="0"/>
        <w:ind w:left="120" w:right="1122" w:firstLine="0"/>
        <w:jc w:val="left"/>
        <w:rPr>
          <w:sz w:val="22"/>
        </w:rPr>
      </w:pPr>
      <w:r>
        <w:rPr>
          <w:sz w:val="22"/>
        </w:rPr>
        <w:t>How</w:t>
      </w:r>
      <w:r>
        <w:rPr>
          <w:spacing w:val="-1"/>
          <w:sz w:val="22"/>
        </w:rPr>
        <w:t> </w:t>
      </w:r>
      <w:r>
        <w:rPr>
          <w:sz w:val="22"/>
        </w:rPr>
        <w:t>often does</w:t>
      </w:r>
      <w:r>
        <w:rPr>
          <w:spacing w:val="-2"/>
          <w:sz w:val="22"/>
        </w:rPr>
        <w:t> </w:t>
      </w:r>
      <w:r>
        <w:rPr>
          <w:sz w:val="22"/>
        </w:rPr>
        <w:t>the Anambra State Government provide financial</w:t>
      </w:r>
      <w:r>
        <w:rPr>
          <w:spacing w:val="-1"/>
          <w:sz w:val="22"/>
        </w:rPr>
        <w:t> </w:t>
      </w:r>
      <w:r>
        <w:rPr>
          <w:sz w:val="22"/>
        </w:rPr>
        <w:t>support</w:t>
      </w:r>
      <w:r>
        <w:rPr>
          <w:spacing w:val="-1"/>
          <w:sz w:val="22"/>
        </w:rPr>
        <w:t> </w:t>
      </w:r>
      <w:r>
        <w:rPr>
          <w:sz w:val="22"/>
        </w:rPr>
        <w:t>to</w:t>
      </w:r>
      <w:r>
        <w:rPr>
          <w:spacing w:val="-2"/>
          <w:sz w:val="22"/>
        </w:rPr>
        <w:t> </w:t>
      </w:r>
      <w:r>
        <w:rPr>
          <w:sz w:val="22"/>
        </w:rPr>
        <w:t>Housing</w:t>
      </w:r>
      <w:r>
        <w:rPr>
          <w:spacing w:val="-3"/>
          <w:sz w:val="22"/>
        </w:rPr>
        <w:t> </w:t>
      </w:r>
      <w:r>
        <w:rPr>
          <w:sz w:val="22"/>
        </w:rPr>
        <w:t>Parastatals such as the Housing Development Corporation?</w:t>
      </w:r>
    </w:p>
    <w:p>
      <w:pPr>
        <w:tabs>
          <w:tab w:pos="1269" w:val="left" w:leader="none"/>
          <w:tab w:pos="1560" w:val="left" w:leader="none"/>
          <w:tab w:pos="3199" w:val="left" w:leader="none"/>
          <w:tab w:pos="4488" w:val="left" w:leader="none"/>
          <w:tab w:pos="5813" w:val="left" w:leader="none"/>
          <w:tab w:pos="7280" w:val="left" w:leader="none"/>
        </w:tabs>
        <w:spacing w:before="0"/>
        <w:ind w:left="120" w:right="0" w:firstLine="0"/>
        <w:jc w:val="left"/>
        <w:rPr>
          <w:sz w:val="22"/>
        </w:rPr>
      </w:pPr>
      <w:r>
        <w:rPr>
          <w:sz w:val="22"/>
        </w:rPr>
        <w:t>(a)</w:t>
      </w:r>
      <w:r>
        <w:rPr>
          <w:spacing w:val="-3"/>
          <w:sz w:val="22"/>
        </w:rPr>
        <w:t> </w:t>
      </w:r>
      <w:r>
        <w:rPr>
          <w:sz w:val="22"/>
        </w:rPr>
        <w:t>Often</w:t>
      </w:r>
      <w:r>
        <w:rPr>
          <w:spacing w:val="-2"/>
          <w:sz w:val="22"/>
        </w:rPr>
        <w:t> </w:t>
      </w:r>
      <w:r>
        <w:rPr>
          <w:spacing w:val="-10"/>
          <w:sz w:val="22"/>
        </w:rPr>
        <w:t>[</w:t>
      </w:r>
      <w:r>
        <w:rPr>
          <w:sz w:val="22"/>
        </w:rPr>
        <w:tab/>
      </w:r>
      <w:r>
        <w:rPr>
          <w:spacing w:val="-10"/>
          <w:sz w:val="22"/>
        </w:rPr>
        <w:t>]</w:t>
      </w:r>
      <w:r>
        <w:rPr>
          <w:sz w:val="22"/>
        </w:rPr>
        <w:tab/>
        <w:t>(b)</w:t>
      </w:r>
      <w:r>
        <w:rPr>
          <w:spacing w:val="-5"/>
          <w:sz w:val="22"/>
        </w:rPr>
        <w:t> </w:t>
      </w:r>
      <w:r>
        <w:rPr>
          <w:sz w:val="22"/>
        </w:rPr>
        <w:t>Sometimes</w:t>
      </w:r>
      <w:r>
        <w:rPr>
          <w:spacing w:val="-2"/>
          <w:sz w:val="22"/>
        </w:rPr>
        <w:t> </w:t>
      </w:r>
      <w:r>
        <w:rPr>
          <w:spacing w:val="-10"/>
          <w:sz w:val="22"/>
        </w:rPr>
        <w:t>[</w:t>
      </w:r>
      <w:r>
        <w:rPr>
          <w:sz w:val="22"/>
        </w:rPr>
        <w:tab/>
        <w:t>]</w:t>
      </w:r>
      <w:r>
        <w:rPr>
          <w:spacing w:val="-6"/>
          <w:sz w:val="22"/>
        </w:rPr>
        <w:t> </w:t>
      </w:r>
      <w:r>
        <w:rPr>
          <w:sz w:val="22"/>
        </w:rPr>
        <w:t>(c)</w:t>
      </w:r>
      <w:r>
        <w:rPr>
          <w:spacing w:val="-2"/>
          <w:sz w:val="22"/>
        </w:rPr>
        <w:t> </w:t>
      </w:r>
      <w:r>
        <w:rPr>
          <w:sz w:val="22"/>
        </w:rPr>
        <w:t>rarely</w:t>
      </w:r>
      <w:r>
        <w:rPr>
          <w:spacing w:val="-2"/>
          <w:sz w:val="22"/>
        </w:rPr>
        <w:t> </w:t>
      </w:r>
      <w:r>
        <w:rPr>
          <w:spacing w:val="-10"/>
          <w:sz w:val="22"/>
        </w:rPr>
        <w:t>[</w:t>
      </w:r>
      <w:r>
        <w:rPr>
          <w:sz w:val="22"/>
        </w:rPr>
        <w:tab/>
        <w:t>]</w:t>
      </w:r>
      <w:r>
        <w:rPr>
          <w:spacing w:val="50"/>
          <w:sz w:val="22"/>
        </w:rPr>
        <w:t> </w:t>
      </w:r>
      <w:r>
        <w:rPr>
          <w:sz w:val="22"/>
        </w:rPr>
        <w:t>(d)Never</w:t>
      </w:r>
      <w:r>
        <w:rPr>
          <w:spacing w:val="-1"/>
          <w:sz w:val="22"/>
        </w:rPr>
        <w:t> </w:t>
      </w:r>
      <w:r>
        <w:rPr>
          <w:spacing w:val="-10"/>
          <w:sz w:val="22"/>
        </w:rPr>
        <w:t>[</w:t>
      </w:r>
      <w:r>
        <w:rPr>
          <w:sz w:val="22"/>
        </w:rPr>
        <w:tab/>
        <w:t>]</w:t>
      </w:r>
      <w:r>
        <w:rPr>
          <w:spacing w:val="-4"/>
          <w:sz w:val="22"/>
        </w:rPr>
        <w:t> </w:t>
      </w:r>
      <w:r>
        <w:rPr>
          <w:sz w:val="22"/>
        </w:rPr>
        <w:t>(e)</w:t>
      </w:r>
      <w:r>
        <w:rPr>
          <w:spacing w:val="-1"/>
          <w:sz w:val="22"/>
        </w:rPr>
        <w:t> </w:t>
      </w:r>
      <w:r>
        <w:rPr>
          <w:sz w:val="22"/>
        </w:rPr>
        <w:t>No</w:t>
      </w:r>
      <w:r>
        <w:rPr>
          <w:spacing w:val="-2"/>
          <w:sz w:val="22"/>
        </w:rPr>
        <w:t> </w:t>
      </w:r>
      <w:r>
        <w:rPr>
          <w:sz w:val="22"/>
        </w:rPr>
        <w:t>idea</w:t>
      </w:r>
      <w:r>
        <w:rPr>
          <w:spacing w:val="-1"/>
          <w:sz w:val="22"/>
        </w:rPr>
        <w:t> </w:t>
      </w:r>
      <w:r>
        <w:rPr>
          <w:spacing w:val="-10"/>
          <w:sz w:val="22"/>
        </w:rPr>
        <w:t>[</w:t>
      </w:r>
      <w:r>
        <w:rPr>
          <w:sz w:val="22"/>
        </w:rPr>
        <w:tab/>
      </w:r>
      <w:r>
        <w:rPr>
          <w:spacing w:val="-10"/>
          <w:sz w:val="22"/>
        </w:rPr>
        <w:t>]</w:t>
      </w:r>
    </w:p>
    <w:p>
      <w:pPr>
        <w:pStyle w:val="BodyText"/>
        <w:spacing w:before="137"/>
        <w:rPr>
          <w:sz w:val="22"/>
        </w:rPr>
      </w:pPr>
    </w:p>
    <w:p>
      <w:pPr>
        <w:pStyle w:val="ListParagraph"/>
        <w:numPr>
          <w:ilvl w:val="0"/>
          <w:numId w:val="112"/>
        </w:numPr>
        <w:tabs>
          <w:tab w:pos="451" w:val="left" w:leader="none"/>
        </w:tabs>
        <w:spacing w:line="240" w:lineRule="auto" w:before="1" w:after="0"/>
        <w:ind w:left="451" w:right="0" w:hanging="331"/>
        <w:jc w:val="left"/>
        <w:rPr>
          <w:sz w:val="22"/>
        </w:rPr>
      </w:pPr>
      <w:r>
        <w:rPr>
          <w:sz w:val="22"/>
        </w:rPr>
        <w:t>What</w:t>
      </w:r>
      <w:r>
        <w:rPr>
          <w:spacing w:val="-7"/>
          <w:sz w:val="22"/>
        </w:rPr>
        <w:t> </w:t>
      </w:r>
      <w:r>
        <w:rPr>
          <w:sz w:val="22"/>
        </w:rPr>
        <w:t>is</w:t>
      </w:r>
      <w:r>
        <w:rPr>
          <w:spacing w:val="-4"/>
          <w:sz w:val="22"/>
        </w:rPr>
        <w:t> </w:t>
      </w:r>
      <w:r>
        <w:rPr>
          <w:sz w:val="22"/>
        </w:rPr>
        <w:t>the</w:t>
      </w:r>
      <w:r>
        <w:rPr>
          <w:spacing w:val="-5"/>
          <w:sz w:val="22"/>
        </w:rPr>
        <w:t> </w:t>
      </w:r>
      <w:r>
        <w:rPr>
          <w:sz w:val="22"/>
        </w:rPr>
        <w:t>largest</w:t>
      </w:r>
      <w:r>
        <w:rPr>
          <w:spacing w:val="-2"/>
          <w:sz w:val="22"/>
        </w:rPr>
        <w:t> </w:t>
      </w:r>
      <w:r>
        <w:rPr>
          <w:sz w:val="22"/>
        </w:rPr>
        <w:t>source</w:t>
      </w:r>
      <w:r>
        <w:rPr>
          <w:spacing w:val="-2"/>
          <w:sz w:val="22"/>
        </w:rPr>
        <w:t> </w:t>
      </w:r>
      <w:r>
        <w:rPr>
          <w:sz w:val="22"/>
        </w:rPr>
        <w:t>of</w:t>
      </w:r>
      <w:r>
        <w:rPr>
          <w:spacing w:val="-5"/>
          <w:sz w:val="22"/>
        </w:rPr>
        <w:t> </w:t>
      </w:r>
      <w:r>
        <w:rPr>
          <w:sz w:val="22"/>
        </w:rPr>
        <w:t>budget</w:t>
      </w:r>
      <w:r>
        <w:rPr>
          <w:spacing w:val="-1"/>
          <w:sz w:val="22"/>
        </w:rPr>
        <w:t> </w:t>
      </w:r>
      <w:r>
        <w:rPr>
          <w:sz w:val="22"/>
        </w:rPr>
        <w:t>funding</w:t>
      </w:r>
      <w:r>
        <w:rPr>
          <w:spacing w:val="-6"/>
          <w:sz w:val="22"/>
        </w:rPr>
        <w:t> </w:t>
      </w:r>
      <w:r>
        <w:rPr>
          <w:sz w:val="22"/>
        </w:rPr>
        <w:t>for</w:t>
      </w:r>
      <w:r>
        <w:rPr>
          <w:spacing w:val="-2"/>
          <w:sz w:val="22"/>
        </w:rPr>
        <w:t> </w:t>
      </w:r>
      <w:r>
        <w:rPr>
          <w:sz w:val="22"/>
        </w:rPr>
        <w:t>Housing</w:t>
      </w:r>
      <w:r>
        <w:rPr>
          <w:spacing w:val="-6"/>
          <w:sz w:val="22"/>
        </w:rPr>
        <w:t> </w:t>
      </w:r>
      <w:r>
        <w:rPr>
          <w:sz w:val="22"/>
        </w:rPr>
        <w:t>projects</w:t>
      </w:r>
      <w:r>
        <w:rPr>
          <w:spacing w:val="-4"/>
          <w:sz w:val="22"/>
        </w:rPr>
        <w:t> </w:t>
      </w:r>
      <w:r>
        <w:rPr>
          <w:sz w:val="22"/>
        </w:rPr>
        <w:t>in</w:t>
      </w:r>
      <w:r>
        <w:rPr>
          <w:spacing w:val="-3"/>
          <w:sz w:val="22"/>
        </w:rPr>
        <w:t> </w:t>
      </w:r>
      <w:r>
        <w:rPr>
          <w:sz w:val="22"/>
        </w:rPr>
        <w:t>Anambra</w:t>
      </w:r>
      <w:r>
        <w:rPr>
          <w:spacing w:val="-2"/>
          <w:sz w:val="22"/>
        </w:rPr>
        <w:t> State?</w:t>
      </w:r>
    </w:p>
    <w:p>
      <w:pPr>
        <w:tabs>
          <w:tab w:pos="3983" w:val="left" w:leader="none"/>
          <w:tab w:pos="6356" w:val="left" w:leader="none"/>
        </w:tabs>
        <w:spacing w:line="252" w:lineRule="exact" w:before="1"/>
        <w:ind w:left="120" w:right="0" w:firstLine="0"/>
        <w:jc w:val="left"/>
        <w:rPr>
          <w:sz w:val="22"/>
        </w:rPr>
      </w:pPr>
      <w:r>
        <w:rPr>
          <w:sz w:val="22"/>
        </w:rPr>
        <w:t>(a)</w:t>
      </w:r>
      <w:r>
        <w:rPr>
          <w:spacing w:val="-5"/>
          <w:sz w:val="22"/>
        </w:rPr>
        <w:t> </w:t>
      </w:r>
      <w:r>
        <w:rPr>
          <w:sz w:val="22"/>
        </w:rPr>
        <w:t>Internally</w:t>
      </w:r>
      <w:r>
        <w:rPr>
          <w:spacing w:val="-7"/>
          <w:sz w:val="22"/>
        </w:rPr>
        <w:t> </w:t>
      </w:r>
      <w:r>
        <w:rPr>
          <w:sz w:val="22"/>
        </w:rPr>
        <w:t>Generated</w:t>
      </w:r>
      <w:r>
        <w:rPr>
          <w:spacing w:val="-7"/>
          <w:sz w:val="22"/>
        </w:rPr>
        <w:t> </w:t>
      </w:r>
      <w:r>
        <w:rPr>
          <w:sz w:val="22"/>
        </w:rPr>
        <w:t>Revenue</w:t>
      </w:r>
      <w:r>
        <w:rPr>
          <w:spacing w:val="-5"/>
          <w:sz w:val="22"/>
        </w:rPr>
        <w:t> </w:t>
      </w:r>
      <w:r>
        <w:rPr>
          <w:sz w:val="22"/>
        </w:rPr>
        <w:t>(IGR)</w:t>
      </w:r>
      <w:r>
        <w:rPr>
          <w:spacing w:val="-5"/>
          <w:sz w:val="22"/>
        </w:rPr>
        <w:t> </w:t>
      </w:r>
      <w:r>
        <w:rPr>
          <w:spacing w:val="-10"/>
          <w:sz w:val="22"/>
        </w:rPr>
        <w:t>[</w:t>
      </w:r>
      <w:r>
        <w:rPr>
          <w:sz w:val="22"/>
        </w:rPr>
        <w:tab/>
        <w:t>]</w:t>
      </w:r>
      <w:r>
        <w:rPr>
          <w:spacing w:val="-2"/>
          <w:sz w:val="22"/>
        </w:rPr>
        <w:t> </w:t>
      </w:r>
      <w:r>
        <w:rPr>
          <w:sz w:val="22"/>
        </w:rPr>
        <w:t>(b)</w:t>
      </w:r>
      <w:r>
        <w:rPr>
          <w:spacing w:val="-4"/>
          <w:sz w:val="22"/>
        </w:rPr>
        <w:t> </w:t>
      </w:r>
      <w:r>
        <w:rPr>
          <w:sz w:val="22"/>
        </w:rPr>
        <w:t>Federal</w:t>
      </w:r>
      <w:r>
        <w:rPr>
          <w:spacing w:val="-3"/>
          <w:sz w:val="22"/>
        </w:rPr>
        <w:t> </w:t>
      </w:r>
      <w:r>
        <w:rPr>
          <w:sz w:val="22"/>
        </w:rPr>
        <w:t>allocation</w:t>
      </w:r>
      <w:r>
        <w:rPr>
          <w:spacing w:val="-6"/>
          <w:sz w:val="22"/>
        </w:rPr>
        <w:t> </w:t>
      </w:r>
      <w:r>
        <w:rPr>
          <w:spacing w:val="-10"/>
          <w:sz w:val="22"/>
        </w:rPr>
        <w:t>[</w:t>
      </w:r>
      <w:r>
        <w:rPr>
          <w:sz w:val="22"/>
        </w:rPr>
        <w:tab/>
      </w:r>
      <w:r>
        <w:rPr>
          <w:spacing w:val="-10"/>
          <w:sz w:val="22"/>
        </w:rPr>
        <w:t>]</w:t>
      </w:r>
    </w:p>
    <w:p>
      <w:pPr>
        <w:tabs>
          <w:tab w:pos="3193" w:val="left" w:leader="none"/>
          <w:tab w:pos="4533" w:val="left" w:leader="none"/>
          <w:tab w:pos="6486" w:val="left" w:leader="none"/>
        </w:tabs>
        <w:spacing w:line="252" w:lineRule="exact" w:before="0"/>
        <w:ind w:left="120" w:right="0" w:firstLine="0"/>
        <w:jc w:val="left"/>
        <w:rPr>
          <w:sz w:val="22"/>
        </w:rPr>
      </w:pPr>
      <w:r>
        <w:rPr>
          <w:sz w:val="22"/>
        </w:rPr>
        <w:t>(d)</w:t>
      </w:r>
      <w:r>
        <w:rPr>
          <w:spacing w:val="-7"/>
          <w:sz w:val="22"/>
        </w:rPr>
        <w:t> </w:t>
      </w:r>
      <w:r>
        <w:rPr>
          <w:sz w:val="22"/>
        </w:rPr>
        <w:t>International</w:t>
      </w:r>
      <w:r>
        <w:rPr>
          <w:spacing w:val="-5"/>
          <w:sz w:val="22"/>
        </w:rPr>
        <w:t> </w:t>
      </w:r>
      <w:r>
        <w:rPr>
          <w:sz w:val="22"/>
        </w:rPr>
        <w:t>Organizations</w:t>
      </w:r>
      <w:r>
        <w:rPr>
          <w:spacing w:val="-6"/>
          <w:sz w:val="22"/>
        </w:rPr>
        <w:t> </w:t>
      </w:r>
      <w:r>
        <w:rPr>
          <w:spacing w:val="-10"/>
          <w:sz w:val="22"/>
        </w:rPr>
        <w:t>[</w:t>
      </w:r>
      <w:r>
        <w:rPr>
          <w:sz w:val="22"/>
        </w:rPr>
        <w:tab/>
        <w:t>]</w:t>
      </w:r>
      <w:r>
        <w:rPr>
          <w:spacing w:val="-3"/>
          <w:sz w:val="22"/>
        </w:rPr>
        <w:t> </w:t>
      </w:r>
      <w:r>
        <w:rPr>
          <w:sz w:val="22"/>
        </w:rPr>
        <w:t>(e)</w:t>
      </w:r>
      <w:r>
        <w:rPr>
          <w:spacing w:val="-1"/>
          <w:sz w:val="22"/>
        </w:rPr>
        <w:t> </w:t>
      </w:r>
      <w:r>
        <w:rPr>
          <w:sz w:val="22"/>
        </w:rPr>
        <w:t>NGOs</w:t>
      </w:r>
      <w:r>
        <w:rPr>
          <w:spacing w:val="-3"/>
          <w:sz w:val="22"/>
        </w:rPr>
        <w:t> </w:t>
      </w:r>
      <w:r>
        <w:rPr>
          <w:spacing w:val="-10"/>
          <w:sz w:val="22"/>
        </w:rPr>
        <w:t>[</w:t>
      </w:r>
      <w:r>
        <w:rPr>
          <w:sz w:val="22"/>
        </w:rPr>
        <w:tab/>
        <w:t>]</w:t>
      </w:r>
      <w:r>
        <w:rPr>
          <w:spacing w:val="-5"/>
          <w:sz w:val="22"/>
        </w:rPr>
        <w:t> </w:t>
      </w:r>
      <w:r>
        <w:rPr>
          <w:sz w:val="22"/>
        </w:rPr>
        <w:t>(f)</w:t>
      </w:r>
      <w:r>
        <w:rPr>
          <w:spacing w:val="-4"/>
          <w:sz w:val="22"/>
        </w:rPr>
        <w:t> </w:t>
      </w:r>
      <w:r>
        <w:rPr>
          <w:sz w:val="22"/>
        </w:rPr>
        <w:t>Private</w:t>
      </w:r>
      <w:r>
        <w:rPr>
          <w:spacing w:val="-4"/>
          <w:sz w:val="22"/>
        </w:rPr>
        <w:t> </w:t>
      </w:r>
      <w:r>
        <w:rPr>
          <w:sz w:val="22"/>
        </w:rPr>
        <w:t>sector</w:t>
      </w:r>
      <w:r>
        <w:rPr>
          <w:spacing w:val="-2"/>
          <w:sz w:val="22"/>
        </w:rPr>
        <w:t> </w:t>
      </w:r>
      <w:r>
        <w:rPr>
          <w:spacing w:val="-10"/>
          <w:sz w:val="22"/>
        </w:rPr>
        <w:t>[</w:t>
      </w:r>
      <w:r>
        <w:rPr>
          <w:sz w:val="22"/>
        </w:rPr>
        <w:tab/>
      </w:r>
      <w:r>
        <w:rPr>
          <w:spacing w:val="-10"/>
          <w:sz w:val="22"/>
        </w:rPr>
        <w:t>]</w:t>
      </w:r>
    </w:p>
    <w:p>
      <w:pPr>
        <w:spacing w:line="252" w:lineRule="exact" w:before="0"/>
        <w:ind w:left="120" w:right="0" w:firstLine="0"/>
        <w:jc w:val="left"/>
        <w:rPr>
          <w:sz w:val="22"/>
        </w:rPr>
      </w:pPr>
      <w:r>
        <w:rPr>
          <w:sz w:val="22"/>
        </w:rPr>
        <w:t>(g)</w:t>
      </w:r>
      <w:r>
        <w:rPr>
          <w:spacing w:val="-5"/>
          <w:sz w:val="22"/>
        </w:rPr>
        <w:t> </w:t>
      </w:r>
      <w:r>
        <w:rPr>
          <w:sz w:val="22"/>
        </w:rPr>
        <w:t>Others</w:t>
      </w:r>
      <w:r>
        <w:rPr>
          <w:spacing w:val="-5"/>
          <w:sz w:val="22"/>
        </w:rPr>
        <w:t> </w:t>
      </w:r>
      <w:r>
        <w:rPr>
          <w:sz w:val="22"/>
        </w:rPr>
        <w:t>(specify)</w:t>
      </w:r>
      <w:r>
        <w:rPr>
          <w:spacing w:val="-4"/>
          <w:sz w:val="22"/>
        </w:rPr>
        <w:t> </w:t>
      </w:r>
      <w:r>
        <w:rPr>
          <w:spacing w:val="-2"/>
          <w:sz w:val="22"/>
        </w:rPr>
        <w:t>…………………………………………</w:t>
      </w:r>
    </w:p>
    <w:p>
      <w:pPr>
        <w:tabs>
          <w:tab w:pos="1470" w:val="left" w:leader="none"/>
        </w:tabs>
        <w:spacing w:before="1"/>
        <w:ind w:left="120" w:right="0" w:firstLine="0"/>
        <w:jc w:val="left"/>
        <w:rPr>
          <w:sz w:val="22"/>
        </w:rPr>
      </w:pPr>
      <w:r>
        <w:rPr>
          <w:sz w:val="22"/>
        </w:rPr>
        <w:t>(h)</w:t>
      </w:r>
      <w:r>
        <w:rPr>
          <w:spacing w:val="-4"/>
          <w:sz w:val="22"/>
        </w:rPr>
        <w:t> </w:t>
      </w:r>
      <w:r>
        <w:rPr>
          <w:sz w:val="22"/>
        </w:rPr>
        <w:t>No</w:t>
      </w:r>
      <w:r>
        <w:rPr>
          <w:spacing w:val="-4"/>
          <w:sz w:val="22"/>
        </w:rPr>
        <w:t> </w:t>
      </w:r>
      <w:r>
        <w:rPr>
          <w:sz w:val="22"/>
        </w:rPr>
        <w:t>idea</w:t>
      </w:r>
      <w:r>
        <w:rPr>
          <w:spacing w:val="-1"/>
          <w:sz w:val="22"/>
        </w:rPr>
        <w:t> </w:t>
      </w:r>
      <w:r>
        <w:rPr>
          <w:spacing w:val="-10"/>
          <w:sz w:val="22"/>
        </w:rPr>
        <w:t>[</w:t>
      </w:r>
      <w:r>
        <w:rPr>
          <w:sz w:val="22"/>
        </w:rPr>
        <w:tab/>
      </w:r>
      <w:r>
        <w:rPr>
          <w:spacing w:val="-10"/>
          <w:sz w:val="22"/>
        </w:rPr>
        <w:t>]</w:t>
      </w:r>
    </w:p>
    <w:p>
      <w:pPr>
        <w:pStyle w:val="BodyText"/>
        <w:spacing w:before="46"/>
        <w:rPr>
          <w:sz w:val="22"/>
        </w:rPr>
      </w:pPr>
    </w:p>
    <w:p>
      <w:pPr>
        <w:pStyle w:val="ListParagraph"/>
        <w:numPr>
          <w:ilvl w:val="0"/>
          <w:numId w:val="112"/>
        </w:numPr>
        <w:tabs>
          <w:tab w:pos="468" w:val="left" w:leader="none"/>
        </w:tabs>
        <w:spacing w:line="240" w:lineRule="auto" w:before="0" w:after="0"/>
        <w:ind w:left="120" w:right="1120" w:firstLine="0"/>
        <w:jc w:val="both"/>
        <w:rPr>
          <w:sz w:val="22"/>
        </w:rPr>
      </w:pPr>
      <w:r>
        <w:rPr>
          <w:sz w:val="22"/>
        </w:rPr>
        <w:t>Which of the following professionals do you think is the most equipped to be involved in the entire housing budget process, from budget formulation, preparation, approval, implementation/execution as well as monitoring and evaluation?</w:t>
      </w:r>
    </w:p>
    <w:p>
      <w:pPr>
        <w:spacing w:line="252" w:lineRule="exact" w:before="1"/>
        <w:ind w:left="120" w:right="0" w:firstLine="0"/>
        <w:jc w:val="both"/>
        <w:rPr>
          <w:sz w:val="22"/>
        </w:rPr>
      </w:pPr>
      <w:r>
        <w:rPr>
          <w:sz w:val="22"/>
        </w:rPr>
        <w:t>(a)</w:t>
      </w:r>
      <w:r>
        <w:rPr>
          <w:spacing w:val="-1"/>
          <w:sz w:val="22"/>
        </w:rPr>
        <w:t> </w:t>
      </w:r>
      <w:r>
        <w:rPr>
          <w:sz w:val="22"/>
        </w:rPr>
        <w:t>Quantity</w:t>
      </w:r>
      <w:r>
        <w:rPr>
          <w:spacing w:val="-4"/>
          <w:sz w:val="22"/>
        </w:rPr>
        <w:t> </w:t>
      </w:r>
      <w:r>
        <w:rPr>
          <w:sz w:val="22"/>
        </w:rPr>
        <w:t>Surveyor</w:t>
      </w:r>
      <w:r>
        <w:rPr>
          <w:spacing w:val="-2"/>
          <w:sz w:val="22"/>
        </w:rPr>
        <w:t> </w:t>
      </w:r>
      <w:r>
        <w:rPr>
          <w:sz w:val="22"/>
        </w:rPr>
        <w:t>[</w:t>
      </w:r>
      <w:r>
        <w:rPr>
          <w:spacing w:val="51"/>
          <w:sz w:val="22"/>
        </w:rPr>
        <w:t>  </w:t>
      </w:r>
      <w:r>
        <w:rPr>
          <w:sz w:val="22"/>
        </w:rPr>
        <w:t>]</w:t>
      </w:r>
      <w:r>
        <w:rPr>
          <w:spacing w:val="-2"/>
          <w:sz w:val="22"/>
        </w:rPr>
        <w:t> </w:t>
      </w:r>
      <w:r>
        <w:rPr>
          <w:sz w:val="22"/>
        </w:rPr>
        <w:t>(b)</w:t>
      </w:r>
      <w:r>
        <w:rPr>
          <w:spacing w:val="-2"/>
          <w:sz w:val="22"/>
        </w:rPr>
        <w:t> </w:t>
      </w:r>
      <w:r>
        <w:rPr>
          <w:sz w:val="22"/>
        </w:rPr>
        <w:t>Accountant [</w:t>
      </w:r>
      <w:r>
        <w:rPr>
          <w:spacing w:val="51"/>
          <w:sz w:val="22"/>
        </w:rPr>
        <w:t>  </w:t>
      </w:r>
      <w:r>
        <w:rPr>
          <w:sz w:val="22"/>
        </w:rPr>
        <w:t>]</w:t>
      </w:r>
      <w:r>
        <w:rPr>
          <w:spacing w:val="-3"/>
          <w:sz w:val="22"/>
        </w:rPr>
        <w:t> </w:t>
      </w:r>
      <w:r>
        <w:rPr>
          <w:sz w:val="22"/>
        </w:rPr>
        <w:t>(c) Economist</w:t>
      </w:r>
      <w:r>
        <w:rPr>
          <w:spacing w:val="-1"/>
          <w:sz w:val="22"/>
        </w:rPr>
        <w:t> </w:t>
      </w:r>
      <w:r>
        <w:rPr>
          <w:sz w:val="22"/>
        </w:rPr>
        <w:t>[</w:t>
      </w:r>
      <w:r>
        <w:rPr>
          <w:spacing w:val="51"/>
          <w:sz w:val="22"/>
        </w:rPr>
        <w:t>  </w:t>
      </w:r>
      <w:r>
        <w:rPr>
          <w:sz w:val="22"/>
        </w:rPr>
        <w:t>] (d)</w:t>
      </w:r>
      <w:r>
        <w:rPr>
          <w:spacing w:val="-2"/>
          <w:sz w:val="22"/>
        </w:rPr>
        <w:t> </w:t>
      </w:r>
      <w:r>
        <w:rPr>
          <w:sz w:val="22"/>
        </w:rPr>
        <w:t>Public</w:t>
      </w:r>
      <w:r>
        <w:rPr>
          <w:spacing w:val="-1"/>
          <w:sz w:val="22"/>
        </w:rPr>
        <w:t> </w:t>
      </w:r>
      <w:r>
        <w:rPr>
          <w:sz w:val="22"/>
        </w:rPr>
        <w:t>Administrator</w:t>
      </w:r>
      <w:r>
        <w:rPr>
          <w:spacing w:val="-4"/>
          <w:sz w:val="22"/>
        </w:rPr>
        <w:t> </w:t>
      </w:r>
      <w:r>
        <w:rPr>
          <w:sz w:val="22"/>
        </w:rPr>
        <w:t>[</w:t>
      </w:r>
      <w:r>
        <w:rPr>
          <w:spacing w:val="53"/>
          <w:sz w:val="22"/>
        </w:rPr>
        <w:t>  </w:t>
      </w:r>
      <w:r>
        <w:rPr>
          <w:spacing w:val="-10"/>
          <w:sz w:val="22"/>
        </w:rPr>
        <w:t>]</w:t>
      </w:r>
    </w:p>
    <w:p>
      <w:pPr>
        <w:spacing w:line="252" w:lineRule="exact" w:before="0"/>
        <w:ind w:left="120" w:right="0" w:firstLine="0"/>
        <w:jc w:val="both"/>
        <w:rPr>
          <w:sz w:val="22"/>
        </w:rPr>
      </w:pPr>
      <w:r>
        <w:rPr>
          <w:sz w:val="22"/>
        </w:rPr>
        <w:t>(e)</w:t>
      </w:r>
      <w:r>
        <w:rPr>
          <w:spacing w:val="-3"/>
          <w:sz w:val="22"/>
        </w:rPr>
        <w:t> </w:t>
      </w:r>
      <w:r>
        <w:rPr>
          <w:sz w:val="22"/>
        </w:rPr>
        <w:t>All</w:t>
      </w:r>
      <w:r>
        <w:rPr>
          <w:spacing w:val="-1"/>
          <w:sz w:val="22"/>
        </w:rPr>
        <w:t> </w:t>
      </w:r>
      <w:r>
        <w:rPr>
          <w:sz w:val="22"/>
        </w:rPr>
        <w:t>of</w:t>
      </w:r>
      <w:r>
        <w:rPr>
          <w:spacing w:val="-3"/>
          <w:sz w:val="22"/>
        </w:rPr>
        <w:t> </w:t>
      </w:r>
      <w:r>
        <w:rPr>
          <w:sz w:val="22"/>
        </w:rPr>
        <w:t>the</w:t>
      </w:r>
      <w:r>
        <w:rPr>
          <w:spacing w:val="-2"/>
          <w:sz w:val="22"/>
        </w:rPr>
        <w:t> </w:t>
      </w:r>
      <w:r>
        <w:rPr>
          <w:sz w:val="22"/>
        </w:rPr>
        <w:t>above</w:t>
      </w:r>
      <w:r>
        <w:rPr>
          <w:spacing w:val="-1"/>
          <w:sz w:val="22"/>
        </w:rPr>
        <w:t> </w:t>
      </w:r>
      <w:r>
        <w:rPr>
          <w:sz w:val="22"/>
        </w:rPr>
        <w:t>[</w:t>
      </w:r>
      <w:r>
        <w:rPr>
          <w:spacing w:val="51"/>
          <w:sz w:val="22"/>
        </w:rPr>
        <w:t>  </w:t>
      </w:r>
      <w:r>
        <w:rPr>
          <w:sz w:val="22"/>
        </w:rPr>
        <w:t>]</w:t>
      </w:r>
      <w:r>
        <w:rPr>
          <w:spacing w:val="-1"/>
          <w:sz w:val="22"/>
        </w:rPr>
        <w:t> </w:t>
      </w:r>
      <w:r>
        <w:rPr>
          <w:sz w:val="22"/>
        </w:rPr>
        <w:t>(f)</w:t>
      </w:r>
      <w:r>
        <w:rPr>
          <w:spacing w:val="-3"/>
          <w:sz w:val="22"/>
        </w:rPr>
        <w:t> </w:t>
      </w:r>
      <w:r>
        <w:rPr>
          <w:sz w:val="22"/>
        </w:rPr>
        <w:t>None</w:t>
      </w:r>
      <w:r>
        <w:rPr>
          <w:spacing w:val="-2"/>
          <w:sz w:val="22"/>
        </w:rPr>
        <w:t> </w:t>
      </w:r>
      <w:r>
        <w:rPr>
          <w:sz w:val="22"/>
        </w:rPr>
        <w:t>of</w:t>
      </w:r>
      <w:r>
        <w:rPr>
          <w:spacing w:val="-3"/>
          <w:sz w:val="22"/>
        </w:rPr>
        <w:t> </w:t>
      </w:r>
      <w:r>
        <w:rPr>
          <w:sz w:val="22"/>
        </w:rPr>
        <w:t>the</w:t>
      </w:r>
      <w:r>
        <w:rPr>
          <w:spacing w:val="-4"/>
          <w:sz w:val="22"/>
        </w:rPr>
        <w:t> </w:t>
      </w:r>
      <w:r>
        <w:rPr>
          <w:sz w:val="22"/>
        </w:rPr>
        <w:t>above</w:t>
      </w:r>
      <w:r>
        <w:rPr>
          <w:spacing w:val="-1"/>
          <w:sz w:val="22"/>
        </w:rPr>
        <w:t> </w:t>
      </w:r>
      <w:r>
        <w:rPr>
          <w:sz w:val="22"/>
        </w:rPr>
        <w:t>(others),</w:t>
      </w:r>
      <w:r>
        <w:rPr>
          <w:spacing w:val="-2"/>
          <w:sz w:val="22"/>
        </w:rPr>
        <w:t> </w:t>
      </w:r>
      <w:r>
        <w:rPr>
          <w:sz w:val="22"/>
        </w:rPr>
        <w:t>specify</w:t>
      </w:r>
      <w:r>
        <w:rPr>
          <w:spacing w:val="-4"/>
          <w:sz w:val="22"/>
        </w:rPr>
        <w:t> </w:t>
      </w:r>
      <w:r>
        <w:rPr>
          <w:spacing w:val="-2"/>
          <w:sz w:val="22"/>
        </w:rPr>
        <w:t>………………………………</w:t>
      </w:r>
    </w:p>
    <w:p>
      <w:pPr>
        <w:pStyle w:val="BodyText"/>
        <w:spacing w:before="45"/>
        <w:rPr>
          <w:sz w:val="22"/>
        </w:rPr>
      </w:pPr>
    </w:p>
    <w:p>
      <w:pPr>
        <w:pStyle w:val="ListParagraph"/>
        <w:numPr>
          <w:ilvl w:val="0"/>
          <w:numId w:val="112"/>
        </w:numPr>
        <w:tabs>
          <w:tab w:pos="396" w:val="left" w:leader="none"/>
        </w:tabs>
        <w:spacing w:line="240" w:lineRule="auto" w:before="1" w:after="8"/>
        <w:ind w:left="120" w:right="1114" w:firstLine="0"/>
        <w:jc w:val="both"/>
        <w:rPr>
          <w:i/>
          <w:sz w:val="22"/>
        </w:rPr>
      </w:pPr>
      <w:r>
        <w:rPr>
          <w:sz w:val="22"/>
        </w:rPr>
        <w:t>On</w:t>
      </w:r>
      <w:r>
        <w:rPr>
          <w:spacing w:val="-2"/>
          <w:sz w:val="22"/>
        </w:rPr>
        <w:t> </w:t>
      </w:r>
      <w:r>
        <w:rPr>
          <w:sz w:val="22"/>
        </w:rPr>
        <w:t>a</w:t>
      </w:r>
      <w:r>
        <w:rPr>
          <w:spacing w:val="-2"/>
          <w:sz w:val="22"/>
        </w:rPr>
        <w:t> </w:t>
      </w:r>
      <w:r>
        <w:rPr>
          <w:sz w:val="22"/>
        </w:rPr>
        <w:t>scale</w:t>
      </w:r>
      <w:r>
        <w:rPr>
          <w:spacing w:val="-2"/>
          <w:sz w:val="22"/>
        </w:rPr>
        <w:t> </w:t>
      </w:r>
      <w:r>
        <w:rPr>
          <w:sz w:val="22"/>
        </w:rPr>
        <w:t>of</w:t>
      </w:r>
      <w:r>
        <w:rPr>
          <w:spacing w:val="-1"/>
          <w:sz w:val="22"/>
        </w:rPr>
        <w:t> </w:t>
      </w:r>
      <w:r>
        <w:rPr>
          <w:sz w:val="22"/>
        </w:rPr>
        <w:t>1(Don‘t</w:t>
      </w:r>
      <w:r>
        <w:rPr>
          <w:spacing w:val="-1"/>
          <w:sz w:val="22"/>
        </w:rPr>
        <w:t> </w:t>
      </w:r>
      <w:r>
        <w:rPr>
          <w:sz w:val="22"/>
        </w:rPr>
        <w:t>know) –</w:t>
      </w:r>
      <w:r>
        <w:rPr>
          <w:spacing w:val="-2"/>
          <w:sz w:val="22"/>
        </w:rPr>
        <w:t> </w:t>
      </w:r>
      <w:r>
        <w:rPr>
          <w:sz w:val="22"/>
        </w:rPr>
        <w:t>5(Strongly</w:t>
      </w:r>
      <w:r>
        <w:rPr>
          <w:spacing w:val="-5"/>
          <w:sz w:val="22"/>
        </w:rPr>
        <w:t> </w:t>
      </w:r>
      <w:r>
        <w:rPr>
          <w:sz w:val="22"/>
        </w:rPr>
        <w:t>Agree),rate</w:t>
      </w:r>
      <w:r>
        <w:rPr>
          <w:spacing w:val="-2"/>
          <w:sz w:val="22"/>
        </w:rPr>
        <w:t> </w:t>
      </w:r>
      <w:r>
        <w:rPr>
          <w:sz w:val="22"/>
        </w:rPr>
        <w:t>the</w:t>
      </w:r>
      <w:r>
        <w:rPr>
          <w:spacing w:val="-1"/>
          <w:sz w:val="22"/>
        </w:rPr>
        <w:t> </w:t>
      </w:r>
      <w:r>
        <w:rPr>
          <w:sz w:val="22"/>
        </w:rPr>
        <w:t>extent</w:t>
      </w:r>
      <w:r>
        <w:rPr>
          <w:spacing w:val="-3"/>
          <w:sz w:val="22"/>
        </w:rPr>
        <w:t> </w:t>
      </w:r>
      <w:r>
        <w:rPr>
          <w:sz w:val="22"/>
        </w:rPr>
        <w:t>to</w:t>
      </w:r>
      <w:r>
        <w:rPr>
          <w:spacing w:val="-2"/>
          <w:sz w:val="22"/>
        </w:rPr>
        <w:t> </w:t>
      </w:r>
      <w:r>
        <w:rPr>
          <w:sz w:val="22"/>
        </w:rPr>
        <w:t>which</w:t>
      </w:r>
      <w:r>
        <w:rPr>
          <w:spacing w:val="-1"/>
          <w:sz w:val="22"/>
        </w:rPr>
        <w:t> </w:t>
      </w:r>
      <w:r>
        <w:rPr>
          <w:sz w:val="22"/>
        </w:rPr>
        <w:t>you</w:t>
      </w:r>
      <w:r>
        <w:rPr>
          <w:spacing w:val="-2"/>
          <w:sz w:val="22"/>
        </w:rPr>
        <w:t> </w:t>
      </w:r>
      <w:r>
        <w:rPr>
          <w:sz w:val="22"/>
        </w:rPr>
        <w:t>agree</w:t>
      </w:r>
      <w:r>
        <w:rPr>
          <w:spacing w:val="-2"/>
          <w:sz w:val="22"/>
        </w:rPr>
        <w:t> </w:t>
      </w:r>
      <w:r>
        <w:rPr>
          <w:sz w:val="22"/>
        </w:rPr>
        <w:t>with</w:t>
      </w:r>
      <w:r>
        <w:rPr>
          <w:spacing w:val="-2"/>
          <w:sz w:val="22"/>
        </w:rPr>
        <w:t> </w:t>
      </w:r>
      <w:r>
        <w:rPr>
          <w:sz w:val="22"/>
        </w:rPr>
        <w:t>the</w:t>
      </w:r>
      <w:r>
        <w:rPr>
          <w:spacing w:val="-2"/>
          <w:sz w:val="22"/>
        </w:rPr>
        <w:t> </w:t>
      </w:r>
      <w:r>
        <w:rPr>
          <w:sz w:val="22"/>
        </w:rPr>
        <w:t>following roles which the Quantity Surveyor performs in the Housing Budget Process (conception, preparation, approval execution, monitoring and control/evaluation) of Anambra State</w:t>
      </w:r>
      <w:r>
        <w:rPr>
          <w:i/>
          <w:sz w:val="22"/>
        </w:rPr>
        <w:t>(indicate by ticking).</w:t>
      </w: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2"/>
        <w:gridCol w:w="5670"/>
        <w:gridCol w:w="641"/>
        <w:gridCol w:w="619"/>
        <w:gridCol w:w="550"/>
        <w:gridCol w:w="638"/>
        <w:gridCol w:w="648"/>
      </w:tblGrid>
      <w:tr>
        <w:trPr>
          <w:trHeight w:val="505" w:hRule="atLeast"/>
        </w:trPr>
        <w:tc>
          <w:tcPr>
            <w:tcW w:w="622" w:type="dxa"/>
          </w:tcPr>
          <w:p>
            <w:pPr>
              <w:pStyle w:val="TableParagraph"/>
              <w:spacing w:line="251" w:lineRule="exact"/>
              <w:ind w:left="107"/>
              <w:rPr>
                <w:b/>
                <w:sz w:val="22"/>
              </w:rPr>
            </w:pPr>
            <w:r>
              <w:rPr>
                <w:b/>
                <w:spacing w:val="-5"/>
                <w:sz w:val="22"/>
              </w:rPr>
              <w:t>S/N</w:t>
            </w:r>
          </w:p>
        </w:tc>
        <w:tc>
          <w:tcPr>
            <w:tcW w:w="5670" w:type="dxa"/>
          </w:tcPr>
          <w:p>
            <w:pPr>
              <w:pStyle w:val="TableParagraph"/>
              <w:spacing w:line="251" w:lineRule="exact"/>
              <w:ind w:left="107"/>
              <w:rPr>
                <w:b/>
                <w:sz w:val="22"/>
              </w:rPr>
            </w:pPr>
            <w:r>
              <w:rPr>
                <w:b/>
                <w:spacing w:val="-2"/>
                <w:sz w:val="22"/>
              </w:rPr>
              <w:t>Factors</w:t>
            </w:r>
          </w:p>
        </w:tc>
        <w:tc>
          <w:tcPr>
            <w:tcW w:w="641" w:type="dxa"/>
          </w:tcPr>
          <w:p>
            <w:pPr>
              <w:pStyle w:val="TableParagraph"/>
              <w:spacing w:line="252" w:lineRule="exact"/>
              <w:ind w:left="107" w:right="240"/>
              <w:rPr>
                <w:b/>
                <w:sz w:val="22"/>
              </w:rPr>
            </w:pPr>
            <w:r>
              <w:rPr>
                <w:b/>
                <w:spacing w:val="-6"/>
                <w:sz w:val="22"/>
              </w:rPr>
              <w:t>SA </w:t>
            </w:r>
            <w:r>
              <w:rPr>
                <w:b/>
                <w:spacing w:val="-5"/>
                <w:sz w:val="22"/>
              </w:rPr>
              <w:t>(5)</w:t>
            </w:r>
          </w:p>
        </w:tc>
        <w:tc>
          <w:tcPr>
            <w:tcW w:w="619" w:type="dxa"/>
          </w:tcPr>
          <w:p>
            <w:pPr>
              <w:pStyle w:val="TableParagraph"/>
              <w:spacing w:line="252" w:lineRule="exact"/>
              <w:ind w:left="104" w:right="244"/>
              <w:rPr>
                <w:b/>
                <w:sz w:val="22"/>
              </w:rPr>
            </w:pPr>
            <w:r>
              <w:rPr>
                <w:b/>
                <w:spacing w:val="-10"/>
                <w:sz w:val="22"/>
              </w:rPr>
              <w:t>A </w:t>
            </w:r>
            <w:r>
              <w:rPr>
                <w:b/>
                <w:spacing w:val="-5"/>
                <w:sz w:val="22"/>
              </w:rPr>
              <w:t>(4)</w:t>
            </w:r>
          </w:p>
        </w:tc>
        <w:tc>
          <w:tcPr>
            <w:tcW w:w="550" w:type="dxa"/>
          </w:tcPr>
          <w:p>
            <w:pPr>
              <w:pStyle w:val="TableParagraph"/>
              <w:spacing w:line="252" w:lineRule="exact"/>
              <w:ind w:left="107" w:right="143"/>
              <w:rPr>
                <w:b/>
                <w:sz w:val="22"/>
              </w:rPr>
            </w:pPr>
            <w:r>
              <w:rPr>
                <w:b/>
                <w:spacing w:val="-6"/>
                <w:sz w:val="22"/>
              </w:rPr>
              <w:t>SD </w:t>
            </w:r>
            <w:r>
              <w:rPr>
                <w:b/>
                <w:spacing w:val="-5"/>
                <w:sz w:val="22"/>
              </w:rPr>
              <w:t>(3)</w:t>
            </w:r>
          </w:p>
        </w:tc>
        <w:tc>
          <w:tcPr>
            <w:tcW w:w="638" w:type="dxa"/>
          </w:tcPr>
          <w:p>
            <w:pPr>
              <w:pStyle w:val="TableParagraph"/>
              <w:spacing w:line="252" w:lineRule="exact"/>
              <w:ind w:left="107" w:right="260"/>
              <w:rPr>
                <w:b/>
                <w:sz w:val="22"/>
              </w:rPr>
            </w:pPr>
            <w:r>
              <w:rPr>
                <w:b/>
                <w:spacing w:val="-10"/>
                <w:sz w:val="22"/>
              </w:rPr>
              <w:t>D </w:t>
            </w:r>
            <w:r>
              <w:rPr>
                <w:b/>
                <w:spacing w:val="-5"/>
                <w:sz w:val="22"/>
              </w:rPr>
              <w:t>(2)</w:t>
            </w:r>
          </w:p>
        </w:tc>
        <w:tc>
          <w:tcPr>
            <w:tcW w:w="648" w:type="dxa"/>
          </w:tcPr>
          <w:p>
            <w:pPr>
              <w:pStyle w:val="TableParagraph"/>
              <w:spacing w:line="252" w:lineRule="exact"/>
              <w:ind w:left="107" w:right="211"/>
              <w:rPr>
                <w:b/>
                <w:sz w:val="22"/>
              </w:rPr>
            </w:pPr>
            <w:r>
              <w:rPr>
                <w:b/>
                <w:spacing w:val="-6"/>
                <w:sz w:val="22"/>
              </w:rPr>
              <w:t>DN </w:t>
            </w:r>
            <w:r>
              <w:rPr>
                <w:b/>
                <w:spacing w:val="-4"/>
                <w:sz w:val="22"/>
              </w:rPr>
              <w:t>(1)</w:t>
            </w:r>
          </w:p>
        </w:tc>
      </w:tr>
      <w:tr>
        <w:trPr>
          <w:trHeight w:val="506" w:hRule="atLeast"/>
        </w:trPr>
        <w:tc>
          <w:tcPr>
            <w:tcW w:w="622" w:type="dxa"/>
          </w:tcPr>
          <w:p>
            <w:pPr>
              <w:pStyle w:val="TableParagraph"/>
              <w:spacing w:line="247" w:lineRule="exact"/>
              <w:ind w:left="107"/>
              <w:rPr>
                <w:sz w:val="22"/>
              </w:rPr>
            </w:pPr>
            <w:r>
              <w:rPr>
                <w:spacing w:val="-10"/>
                <w:sz w:val="22"/>
              </w:rPr>
              <w:t>1</w:t>
            </w:r>
          </w:p>
        </w:tc>
        <w:tc>
          <w:tcPr>
            <w:tcW w:w="5670" w:type="dxa"/>
          </w:tcPr>
          <w:p>
            <w:pPr>
              <w:pStyle w:val="TableParagraph"/>
              <w:spacing w:line="246" w:lineRule="exact"/>
              <w:ind w:left="107"/>
              <w:rPr>
                <w:sz w:val="22"/>
              </w:rPr>
            </w:pPr>
            <w:r>
              <w:rPr>
                <w:sz w:val="22"/>
              </w:rPr>
              <w:t>Budget</w:t>
            </w:r>
            <w:r>
              <w:rPr>
                <w:spacing w:val="-3"/>
                <w:sz w:val="22"/>
              </w:rPr>
              <w:t> </w:t>
            </w:r>
            <w:r>
              <w:rPr>
                <w:sz w:val="22"/>
              </w:rPr>
              <w:t>planning</w:t>
            </w:r>
            <w:r>
              <w:rPr>
                <w:spacing w:val="-6"/>
                <w:sz w:val="22"/>
              </w:rPr>
              <w:t> </w:t>
            </w:r>
            <w:r>
              <w:rPr>
                <w:sz w:val="22"/>
              </w:rPr>
              <w:t>and</w:t>
            </w:r>
            <w:r>
              <w:rPr>
                <w:spacing w:val="-6"/>
                <w:sz w:val="22"/>
              </w:rPr>
              <w:t> </w:t>
            </w:r>
            <w:r>
              <w:rPr>
                <w:sz w:val="22"/>
              </w:rPr>
              <w:t>formulation-</w:t>
            </w:r>
            <w:r>
              <w:rPr>
                <w:spacing w:val="-7"/>
                <w:sz w:val="22"/>
              </w:rPr>
              <w:t> </w:t>
            </w:r>
            <w:r>
              <w:rPr>
                <w:sz w:val="22"/>
              </w:rPr>
              <w:t>feasibility</w:t>
            </w:r>
            <w:r>
              <w:rPr>
                <w:spacing w:val="-6"/>
                <w:sz w:val="22"/>
              </w:rPr>
              <w:t> </w:t>
            </w:r>
            <w:r>
              <w:rPr>
                <w:sz w:val="22"/>
              </w:rPr>
              <w:t>studies,</w:t>
            </w:r>
            <w:r>
              <w:rPr>
                <w:spacing w:val="-3"/>
                <w:sz w:val="22"/>
              </w:rPr>
              <w:t> </w:t>
            </w:r>
            <w:r>
              <w:rPr>
                <w:spacing w:val="-4"/>
                <w:sz w:val="22"/>
              </w:rPr>
              <w:t>cost-</w:t>
            </w:r>
          </w:p>
          <w:p>
            <w:pPr>
              <w:pStyle w:val="TableParagraph"/>
              <w:spacing w:line="240" w:lineRule="exact"/>
              <w:ind w:left="107"/>
              <w:rPr>
                <w:sz w:val="22"/>
              </w:rPr>
            </w:pPr>
            <w:r>
              <w:rPr>
                <w:sz w:val="22"/>
              </w:rPr>
              <w:t>benefit</w:t>
            </w:r>
            <w:r>
              <w:rPr>
                <w:spacing w:val="-5"/>
                <w:sz w:val="22"/>
              </w:rPr>
              <w:t> </w:t>
            </w:r>
            <w:r>
              <w:rPr>
                <w:sz w:val="22"/>
              </w:rPr>
              <w:t>analysis,</w:t>
            </w:r>
            <w:r>
              <w:rPr>
                <w:spacing w:val="-5"/>
                <w:sz w:val="22"/>
              </w:rPr>
              <w:t> </w:t>
            </w:r>
            <w:r>
              <w:rPr>
                <w:sz w:val="22"/>
              </w:rPr>
              <w:t>needs</w:t>
            </w:r>
            <w:r>
              <w:rPr>
                <w:spacing w:val="-3"/>
                <w:sz w:val="22"/>
              </w:rPr>
              <w:t> </w:t>
            </w:r>
            <w:r>
              <w:rPr>
                <w:spacing w:val="-2"/>
                <w:sz w:val="22"/>
              </w:rPr>
              <w:t>assessments</w:t>
            </w:r>
          </w:p>
        </w:tc>
        <w:tc>
          <w:tcPr>
            <w:tcW w:w="641" w:type="dxa"/>
          </w:tcPr>
          <w:p>
            <w:pPr>
              <w:pStyle w:val="TableParagraph"/>
              <w:rPr>
                <w:sz w:val="22"/>
              </w:rPr>
            </w:pPr>
          </w:p>
        </w:tc>
        <w:tc>
          <w:tcPr>
            <w:tcW w:w="619" w:type="dxa"/>
          </w:tcPr>
          <w:p>
            <w:pPr>
              <w:pStyle w:val="TableParagraph"/>
              <w:rPr>
                <w:sz w:val="22"/>
              </w:rPr>
            </w:pPr>
          </w:p>
        </w:tc>
        <w:tc>
          <w:tcPr>
            <w:tcW w:w="550" w:type="dxa"/>
          </w:tcPr>
          <w:p>
            <w:pPr>
              <w:pStyle w:val="TableParagraph"/>
              <w:rPr>
                <w:sz w:val="22"/>
              </w:rPr>
            </w:pPr>
          </w:p>
        </w:tc>
        <w:tc>
          <w:tcPr>
            <w:tcW w:w="638" w:type="dxa"/>
          </w:tcPr>
          <w:p>
            <w:pPr>
              <w:pStyle w:val="TableParagraph"/>
              <w:rPr>
                <w:sz w:val="22"/>
              </w:rPr>
            </w:pPr>
          </w:p>
        </w:tc>
        <w:tc>
          <w:tcPr>
            <w:tcW w:w="648" w:type="dxa"/>
          </w:tcPr>
          <w:p>
            <w:pPr>
              <w:pStyle w:val="TableParagraph"/>
              <w:rPr>
                <w:sz w:val="22"/>
              </w:rPr>
            </w:pPr>
          </w:p>
        </w:tc>
      </w:tr>
      <w:tr>
        <w:trPr>
          <w:trHeight w:val="505" w:hRule="atLeast"/>
        </w:trPr>
        <w:tc>
          <w:tcPr>
            <w:tcW w:w="622" w:type="dxa"/>
          </w:tcPr>
          <w:p>
            <w:pPr>
              <w:pStyle w:val="TableParagraph"/>
              <w:spacing w:line="247" w:lineRule="exact"/>
              <w:ind w:left="107"/>
              <w:rPr>
                <w:sz w:val="22"/>
              </w:rPr>
            </w:pPr>
            <w:r>
              <w:rPr>
                <w:spacing w:val="-10"/>
                <w:sz w:val="22"/>
              </w:rPr>
              <w:t>2</w:t>
            </w:r>
          </w:p>
        </w:tc>
        <w:tc>
          <w:tcPr>
            <w:tcW w:w="5670" w:type="dxa"/>
          </w:tcPr>
          <w:p>
            <w:pPr>
              <w:pStyle w:val="TableParagraph"/>
              <w:spacing w:line="246" w:lineRule="exact"/>
              <w:ind w:left="107"/>
              <w:rPr>
                <w:sz w:val="22"/>
              </w:rPr>
            </w:pPr>
            <w:r>
              <w:rPr>
                <w:sz w:val="22"/>
              </w:rPr>
              <w:t>Budget</w:t>
            </w:r>
            <w:r>
              <w:rPr>
                <w:spacing w:val="-4"/>
                <w:sz w:val="22"/>
              </w:rPr>
              <w:t> </w:t>
            </w:r>
            <w:r>
              <w:rPr>
                <w:sz w:val="22"/>
              </w:rPr>
              <w:t>preparation</w:t>
            </w:r>
            <w:r>
              <w:rPr>
                <w:spacing w:val="-3"/>
                <w:sz w:val="22"/>
              </w:rPr>
              <w:t> </w:t>
            </w:r>
            <w:r>
              <w:rPr>
                <w:sz w:val="22"/>
              </w:rPr>
              <w:t>–</w:t>
            </w:r>
            <w:r>
              <w:rPr>
                <w:spacing w:val="-4"/>
                <w:sz w:val="22"/>
              </w:rPr>
              <w:t> </w:t>
            </w:r>
            <w:r>
              <w:rPr>
                <w:sz w:val="22"/>
              </w:rPr>
              <w:t>preparation</w:t>
            </w:r>
            <w:r>
              <w:rPr>
                <w:spacing w:val="-4"/>
                <w:sz w:val="22"/>
              </w:rPr>
              <w:t> </w:t>
            </w:r>
            <w:r>
              <w:rPr>
                <w:sz w:val="22"/>
              </w:rPr>
              <w:t>of</w:t>
            </w:r>
            <w:r>
              <w:rPr>
                <w:spacing w:val="-4"/>
                <w:sz w:val="22"/>
              </w:rPr>
              <w:t> </w:t>
            </w:r>
            <w:r>
              <w:rPr>
                <w:spacing w:val="-2"/>
                <w:sz w:val="22"/>
              </w:rPr>
              <w:t>housing</w:t>
            </w:r>
          </w:p>
          <w:p>
            <w:pPr>
              <w:pStyle w:val="TableParagraph"/>
              <w:spacing w:line="240" w:lineRule="exact"/>
              <w:ind w:left="107"/>
              <w:rPr>
                <w:sz w:val="22"/>
              </w:rPr>
            </w:pPr>
            <w:r>
              <w:rPr>
                <w:spacing w:val="-2"/>
                <w:sz w:val="22"/>
              </w:rPr>
              <w:t>proposals/estimates</w:t>
            </w:r>
          </w:p>
        </w:tc>
        <w:tc>
          <w:tcPr>
            <w:tcW w:w="641" w:type="dxa"/>
          </w:tcPr>
          <w:p>
            <w:pPr>
              <w:pStyle w:val="TableParagraph"/>
              <w:rPr>
                <w:sz w:val="22"/>
              </w:rPr>
            </w:pPr>
          </w:p>
        </w:tc>
        <w:tc>
          <w:tcPr>
            <w:tcW w:w="619" w:type="dxa"/>
          </w:tcPr>
          <w:p>
            <w:pPr>
              <w:pStyle w:val="TableParagraph"/>
              <w:rPr>
                <w:sz w:val="22"/>
              </w:rPr>
            </w:pPr>
          </w:p>
        </w:tc>
        <w:tc>
          <w:tcPr>
            <w:tcW w:w="550" w:type="dxa"/>
          </w:tcPr>
          <w:p>
            <w:pPr>
              <w:pStyle w:val="TableParagraph"/>
              <w:rPr>
                <w:sz w:val="22"/>
              </w:rPr>
            </w:pPr>
          </w:p>
        </w:tc>
        <w:tc>
          <w:tcPr>
            <w:tcW w:w="638" w:type="dxa"/>
          </w:tcPr>
          <w:p>
            <w:pPr>
              <w:pStyle w:val="TableParagraph"/>
              <w:rPr>
                <w:sz w:val="22"/>
              </w:rPr>
            </w:pPr>
          </w:p>
        </w:tc>
        <w:tc>
          <w:tcPr>
            <w:tcW w:w="648" w:type="dxa"/>
          </w:tcPr>
          <w:p>
            <w:pPr>
              <w:pStyle w:val="TableParagraph"/>
              <w:rPr>
                <w:sz w:val="22"/>
              </w:rPr>
            </w:pPr>
          </w:p>
        </w:tc>
      </w:tr>
      <w:tr>
        <w:trPr>
          <w:trHeight w:val="290" w:hRule="atLeast"/>
        </w:trPr>
        <w:tc>
          <w:tcPr>
            <w:tcW w:w="622" w:type="dxa"/>
          </w:tcPr>
          <w:p>
            <w:pPr>
              <w:pStyle w:val="TableParagraph"/>
              <w:spacing w:line="247" w:lineRule="exact"/>
              <w:ind w:left="107"/>
              <w:rPr>
                <w:sz w:val="22"/>
              </w:rPr>
            </w:pPr>
            <w:r>
              <w:rPr>
                <w:spacing w:val="-10"/>
                <w:sz w:val="22"/>
              </w:rPr>
              <w:t>3</w:t>
            </w:r>
          </w:p>
        </w:tc>
        <w:tc>
          <w:tcPr>
            <w:tcW w:w="5670" w:type="dxa"/>
          </w:tcPr>
          <w:p>
            <w:pPr>
              <w:pStyle w:val="TableParagraph"/>
              <w:spacing w:line="247" w:lineRule="exact"/>
              <w:ind w:left="107"/>
              <w:rPr>
                <w:sz w:val="22"/>
              </w:rPr>
            </w:pPr>
            <w:r>
              <w:rPr>
                <w:sz w:val="22"/>
              </w:rPr>
              <w:t>Establishing</w:t>
            </w:r>
            <w:r>
              <w:rPr>
                <w:spacing w:val="-6"/>
                <w:sz w:val="22"/>
              </w:rPr>
              <w:t> </w:t>
            </w:r>
            <w:r>
              <w:rPr>
                <w:sz w:val="22"/>
              </w:rPr>
              <w:t>housing</w:t>
            </w:r>
            <w:r>
              <w:rPr>
                <w:spacing w:val="-6"/>
                <w:sz w:val="22"/>
              </w:rPr>
              <w:t> </w:t>
            </w:r>
            <w:r>
              <w:rPr>
                <w:sz w:val="22"/>
              </w:rPr>
              <w:t>budget</w:t>
            </w:r>
            <w:r>
              <w:rPr>
                <w:spacing w:val="-2"/>
                <w:sz w:val="22"/>
              </w:rPr>
              <w:t> ceilings</w:t>
            </w:r>
          </w:p>
        </w:tc>
        <w:tc>
          <w:tcPr>
            <w:tcW w:w="641" w:type="dxa"/>
          </w:tcPr>
          <w:p>
            <w:pPr>
              <w:pStyle w:val="TableParagraph"/>
              <w:rPr>
                <w:sz w:val="20"/>
              </w:rPr>
            </w:pPr>
          </w:p>
        </w:tc>
        <w:tc>
          <w:tcPr>
            <w:tcW w:w="619" w:type="dxa"/>
          </w:tcPr>
          <w:p>
            <w:pPr>
              <w:pStyle w:val="TableParagraph"/>
              <w:rPr>
                <w:sz w:val="20"/>
              </w:rPr>
            </w:pPr>
          </w:p>
        </w:tc>
        <w:tc>
          <w:tcPr>
            <w:tcW w:w="550" w:type="dxa"/>
          </w:tcPr>
          <w:p>
            <w:pPr>
              <w:pStyle w:val="TableParagraph"/>
              <w:rPr>
                <w:sz w:val="20"/>
              </w:rPr>
            </w:pPr>
          </w:p>
        </w:tc>
        <w:tc>
          <w:tcPr>
            <w:tcW w:w="638" w:type="dxa"/>
          </w:tcPr>
          <w:p>
            <w:pPr>
              <w:pStyle w:val="TableParagraph"/>
              <w:rPr>
                <w:sz w:val="20"/>
              </w:rPr>
            </w:pPr>
          </w:p>
        </w:tc>
        <w:tc>
          <w:tcPr>
            <w:tcW w:w="648" w:type="dxa"/>
          </w:tcPr>
          <w:p>
            <w:pPr>
              <w:pStyle w:val="TableParagraph"/>
              <w:rPr>
                <w:sz w:val="20"/>
              </w:rPr>
            </w:pPr>
          </w:p>
        </w:tc>
      </w:tr>
      <w:tr>
        <w:trPr>
          <w:trHeight w:val="290" w:hRule="atLeast"/>
        </w:trPr>
        <w:tc>
          <w:tcPr>
            <w:tcW w:w="622" w:type="dxa"/>
          </w:tcPr>
          <w:p>
            <w:pPr>
              <w:pStyle w:val="TableParagraph"/>
              <w:spacing w:line="247" w:lineRule="exact"/>
              <w:ind w:left="107"/>
              <w:rPr>
                <w:sz w:val="22"/>
              </w:rPr>
            </w:pPr>
            <w:r>
              <w:rPr>
                <w:spacing w:val="-10"/>
                <w:sz w:val="22"/>
              </w:rPr>
              <w:t>4</w:t>
            </w:r>
          </w:p>
        </w:tc>
        <w:tc>
          <w:tcPr>
            <w:tcW w:w="5670" w:type="dxa"/>
          </w:tcPr>
          <w:p>
            <w:pPr>
              <w:pStyle w:val="TableParagraph"/>
              <w:spacing w:line="247" w:lineRule="exact"/>
              <w:ind w:left="107"/>
              <w:rPr>
                <w:sz w:val="22"/>
              </w:rPr>
            </w:pPr>
            <w:r>
              <w:rPr>
                <w:sz w:val="22"/>
              </w:rPr>
              <w:t>Evaluation</w:t>
            </w:r>
            <w:r>
              <w:rPr>
                <w:spacing w:val="-3"/>
                <w:sz w:val="22"/>
              </w:rPr>
              <w:t> </w:t>
            </w:r>
            <w:r>
              <w:rPr>
                <w:sz w:val="22"/>
              </w:rPr>
              <w:t>and</w:t>
            </w:r>
            <w:r>
              <w:rPr>
                <w:spacing w:val="-4"/>
                <w:sz w:val="22"/>
              </w:rPr>
              <w:t> </w:t>
            </w:r>
            <w:r>
              <w:rPr>
                <w:sz w:val="22"/>
              </w:rPr>
              <w:t>approval</w:t>
            </w:r>
            <w:r>
              <w:rPr>
                <w:spacing w:val="-2"/>
                <w:sz w:val="22"/>
              </w:rPr>
              <w:t> </w:t>
            </w:r>
            <w:r>
              <w:rPr>
                <w:sz w:val="22"/>
              </w:rPr>
              <w:t>of</w:t>
            </w:r>
            <w:r>
              <w:rPr>
                <w:spacing w:val="-3"/>
                <w:sz w:val="22"/>
              </w:rPr>
              <w:t> </w:t>
            </w:r>
            <w:r>
              <w:rPr>
                <w:sz w:val="22"/>
              </w:rPr>
              <w:t>housing</w:t>
            </w:r>
            <w:r>
              <w:rPr>
                <w:spacing w:val="-5"/>
                <w:sz w:val="22"/>
              </w:rPr>
              <w:t> </w:t>
            </w:r>
            <w:r>
              <w:rPr>
                <w:sz w:val="22"/>
              </w:rPr>
              <w:t>budget</w:t>
            </w:r>
            <w:r>
              <w:rPr>
                <w:spacing w:val="-2"/>
                <w:sz w:val="22"/>
              </w:rPr>
              <w:t> proposals</w:t>
            </w:r>
          </w:p>
        </w:tc>
        <w:tc>
          <w:tcPr>
            <w:tcW w:w="641" w:type="dxa"/>
          </w:tcPr>
          <w:p>
            <w:pPr>
              <w:pStyle w:val="TableParagraph"/>
              <w:rPr>
                <w:sz w:val="20"/>
              </w:rPr>
            </w:pPr>
          </w:p>
        </w:tc>
        <w:tc>
          <w:tcPr>
            <w:tcW w:w="619" w:type="dxa"/>
          </w:tcPr>
          <w:p>
            <w:pPr>
              <w:pStyle w:val="TableParagraph"/>
              <w:rPr>
                <w:sz w:val="20"/>
              </w:rPr>
            </w:pPr>
          </w:p>
        </w:tc>
        <w:tc>
          <w:tcPr>
            <w:tcW w:w="550" w:type="dxa"/>
          </w:tcPr>
          <w:p>
            <w:pPr>
              <w:pStyle w:val="TableParagraph"/>
              <w:rPr>
                <w:sz w:val="20"/>
              </w:rPr>
            </w:pPr>
          </w:p>
        </w:tc>
        <w:tc>
          <w:tcPr>
            <w:tcW w:w="638" w:type="dxa"/>
          </w:tcPr>
          <w:p>
            <w:pPr>
              <w:pStyle w:val="TableParagraph"/>
              <w:rPr>
                <w:sz w:val="20"/>
              </w:rPr>
            </w:pPr>
          </w:p>
        </w:tc>
        <w:tc>
          <w:tcPr>
            <w:tcW w:w="648" w:type="dxa"/>
          </w:tcPr>
          <w:p>
            <w:pPr>
              <w:pStyle w:val="TableParagraph"/>
              <w:rPr>
                <w:sz w:val="20"/>
              </w:rPr>
            </w:pPr>
          </w:p>
        </w:tc>
      </w:tr>
      <w:tr>
        <w:trPr>
          <w:trHeight w:val="506" w:hRule="atLeast"/>
        </w:trPr>
        <w:tc>
          <w:tcPr>
            <w:tcW w:w="622" w:type="dxa"/>
          </w:tcPr>
          <w:p>
            <w:pPr>
              <w:pStyle w:val="TableParagraph"/>
              <w:spacing w:line="247" w:lineRule="exact"/>
              <w:ind w:left="107"/>
              <w:rPr>
                <w:sz w:val="22"/>
              </w:rPr>
            </w:pPr>
            <w:r>
              <w:rPr>
                <w:spacing w:val="-10"/>
                <w:sz w:val="22"/>
              </w:rPr>
              <w:t>5</w:t>
            </w:r>
          </w:p>
        </w:tc>
        <w:tc>
          <w:tcPr>
            <w:tcW w:w="5670" w:type="dxa"/>
          </w:tcPr>
          <w:p>
            <w:pPr>
              <w:pStyle w:val="TableParagraph"/>
              <w:spacing w:line="247" w:lineRule="exact"/>
              <w:ind w:left="107"/>
              <w:rPr>
                <w:sz w:val="22"/>
              </w:rPr>
            </w:pPr>
            <w:r>
              <w:rPr>
                <w:sz w:val="22"/>
              </w:rPr>
              <w:t>Preparation</w:t>
            </w:r>
            <w:r>
              <w:rPr>
                <w:spacing w:val="-6"/>
                <w:sz w:val="22"/>
              </w:rPr>
              <w:t> </w:t>
            </w:r>
            <w:r>
              <w:rPr>
                <w:sz w:val="22"/>
              </w:rPr>
              <w:t>of</w:t>
            </w:r>
            <w:r>
              <w:rPr>
                <w:spacing w:val="-5"/>
                <w:sz w:val="22"/>
              </w:rPr>
              <w:t> </w:t>
            </w:r>
            <w:r>
              <w:rPr>
                <w:sz w:val="22"/>
              </w:rPr>
              <w:t>tender</w:t>
            </w:r>
            <w:r>
              <w:rPr>
                <w:spacing w:val="-3"/>
                <w:sz w:val="22"/>
              </w:rPr>
              <w:t> </w:t>
            </w:r>
            <w:r>
              <w:rPr>
                <w:sz w:val="22"/>
              </w:rPr>
              <w:t>documents,</w:t>
            </w:r>
            <w:r>
              <w:rPr>
                <w:spacing w:val="-3"/>
                <w:sz w:val="22"/>
              </w:rPr>
              <w:t> </w:t>
            </w:r>
            <w:r>
              <w:rPr>
                <w:sz w:val="22"/>
              </w:rPr>
              <w:t>tender</w:t>
            </w:r>
            <w:r>
              <w:rPr>
                <w:spacing w:val="-5"/>
                <w:sz w:val="22"/>
              </w:rPr>
              <w:t> </w:t>
            </w:r>
            <w:r>
              <w:rPr>
                <w:sz w:val="22"/>
              </w:rPr>
              <w:t>evaluation</w:t>
            </w:r>
            <w:r>
              <w:rPr>
                <w:spacing w:val="-5"/>
                <w:sz w:val="22"/>
              </w:rPr>
              <w:t> and</w:t>
            </w:r>
          </w:p>
          <w:p>
            <w:pPr>
              <w:pStyle w:val="TableParagraph"/>
              <w:spacing w:line="238" w:lineRule="exact" w:before="1"/>
              <w:ind w:left="107"/>
              <w:rPr>
                <w:sz w:val="22"/>
              </w:rPr>
            </w:pPr>
            <w:r>
              <w:rPr>
                <w:sz w:val="22"/>
              </w:rPr>
              <w:t>recommendation</w:t>
            </w:r>
            <w:r>
              <w:rPr>
                <w:spacing w:val="-7"/>
                <w:sz w:val="22"/>
              </w:rPr>
              <w:t> </w:t>
            </w:r>
            <w:r>
              <w:rPr>
                <w:sz w:val="22"/>
              </w:rPr>
              <w:t>of</w:t>
            </w:r>
            <w:r>
              <w:rPr>
                <w:spacing w:val="-4"/>
                <w:sz w:val="22"/>
              </w:rPr>
              <w:t> </w:t>
            </w:r>
            <w:r>
              <w:rPr>
                <w:sz w:val="22"/>
              </w:rPr>
              <w:t>qualified</w:t>
            </w:r>
            <w:r>
              <w:rPr>
                <w:spacing w:val="-6"/>
                <w:sz w:val="22"/>
              </w:rPr>
              <w:t> </w:t>
            </w:r>
            <w:r>
              <w:rPr>
                <w:spacing w:val="-2"/>
                <w:sz w:val="22"/>
              </w:rPr>
              <w:t>contractors</w:t>
            </w:r>
          </w:p>
        </w:tc>
        <w:tc>
          <w:tcPr>
            <w:tcW w:w="641" w:type="dxa"/>
          </w:tcPr>
          <w:p>
            <w:pPr>
              <w:pStyle w:val="TableParagraph"/>
              <w:rPr>
                <w:sz w:val="22"/>
              </w:rPr>
            </w:pPr>
          </w:p>
        </w:tc>
        <w:tc>
          <w:tcPr>
            <w:tcW w:w="619" w:type="dxa"/>
          </w:tcPr>
          <w:p>
            <w:pPr>
              <w:pStyle w:val="TableParagraph"/>
              <w:rPr>
                <w:sz w:val="22"/>
              </w:rPr>
            </w:pPr>
          </w:p>
        </w:tc>
        <w:tc>
          <w:tcPr>
            <w:tcW w:w="550" w:type="dxa"/>
          </w:tcPr>
          <w:p>
            <w:pPr>
              <w:pStyle w:val="TableParagraph"/>
              <w:rPr>
                <w:sz w:val="22"/>
              </w:rPr>
            </w:pPr>
          </w:p>
        </w:tc>
        <w:tc>
          <w:tcPr>
            <w:tcW w:w="638" w:type="dxa"/>
          </w:tcPr>
          <w:p>
            <w:pPr>
              <w:pStyle w:val="TableParagraph"/>
              <w:rPr>
                <w:sz w:val="22"/>
              </w:rPr>
            </w:pPr>
          </w:p>
        </w:tc>
        <w:tc>
          <w:tcPr>
            <w:tcW w:w="648" w:type="dxa"/>
          </w:tcPr>
          <w:p>
            <w:pPr>
              <w:pStyle w:val="TableParagraph"/>
              <w:rPr>
                <w:sz w:val="22"/>
              </w:rPr>
            </w:pPr>
          </w:p>
        </w:tc>
      </w:tr>
      <w:tr>
        <w:trPr>
          <w:trHeight w:val="292" w:hRule="atLeast"/>
        </w:trPr>
        <w:tc>
          <w:tcPr>
            <w:tcW w:w="622" w:type="dxa"/>
          </w:tcPr>
          <w:p>
            <w:pPr>
              <w:pStyle w:val="TableParagraph"/>
              <w:spacing w:line="247" w:lineRule="exact"/>
              <w:ind w:left="107"/>
              <w:rPr>
                <w:sz w:val="22"/>
              </w:rPr>
            </w:pPr>
            <w:r>
              <w:rPr>
                <w:spacing w:val="-10"/>
                <w:sz w:val="22"/>
              </w:rPr>
              <w:t>6</w:t>
            </w:r>
          </w:p>
        </w:tc>
        <w:tc>
          <w:tcPr>
            <w:tcW w:w="5670" w:type="dxa"/>
          </w:tcPr>
          <w:p>
            <w:pPr>
              <w:pStyle w:val="TableParagraph"/>
              <w:spacing w:line="247" w:lineRule="exact"/>
              <w:ind w:left="107"/>
              <w:rPr>
                <w:sz w:val="22"/>
              </w:rPr>
            </w:pPr>
            <w:r>
              <w:rPr>
                <w:sz w:val="22"/>
              </w:rPr>
              <w:t>Monitoring</w:t>
            </w:r>
            <w:r>
              <w:rPr>
                <w:spacing w:val="-6"/>
                <w:sz w:val="22"/>
              </w:rPr>
              <w:t> </w:t>
            </w:r>
            <w:r>
              <w:rPr>
                <w:sz w:val="22"/>
              </w:rPr>
              <w:t>of</w:t>
            </w:r>
            <w:r>
              <w:rPr>
                <w:spacing w:val="-3"/>
                <w:sz w:val="22"/>
              </w:rPr>
              <w:t> </w:t>
            </w:r>
            <w:r>
              <w:rPr>
                <w:sz w:val="22"/>
              </w:rPr>
              <w:t>housing</w:t>
            </w:r>
            <w:r>
              <w:rPr>
                <w:spacing w:val="-6"/>
                <w:sz w:val="22"/>
              </w:rPr>
              <w:t> </w:t>
            </w:r>
            <w:r>
              <w:rPr>
                <w:sz w:val="22"/>
              </w:rPr>
              <w:t>budget</w:t>
            </w:r>
            <w:r>
              <w:rPr>
                <w:spacing w:val="-2"/>
                <w:sz w:val="22"/>
              </w:rPr>
              <w:t> expenditure</w:t>
            </w:r>
          </w:p>
        </w:tc>
        <w:tc>
          <w:tcPr>
            <w:tcW w:w="641" w:type="dxa"/>
          </w:tcPr>
          <w:p>
            <w:pPr>
              <w:pStyle w:val="TableParagraph"/>
              <w:rPr>
                <w:sz w:val="20"/>
              </w:rPr>
            </w:pPr>
          </w:p>
        </w:tc>
        <w:tc>
          <w:tcPr>
            <w:tcW w:w="619" w:type="dxa"/>
          </w:tcPr>
          <w:p>
            <w:pPr>
              <w:pStyle w:val="TableParagraph"/>
              <w:rPr>
                <w:sz w:val="20"/>
              </w:rPr>
            </w:pPr>
          </w:p>
        </w:tc>
        <w:tc>
          <w:tcPr>
            <w:tcW w:w="550" w:type="dxa"/>
          </w:tcPr>
          <w:p>
            <w:pPr>
              <w:pStyle w:val="TableParagraph"/>
              <w:rPr>
                <w:sz w:val="20"/>
              </w:rPr>
            </w:pPr>
          </w:p>
        </w:tc>
        <w:tc>
          <w:tcPr>
            <w:tcW w:w="638" w:type="dxa"/>
          </w:tcPr>
          <w:p>
            <w:pPr>
              <w:pStyle w:val="TableParagraph"/>
              <w:rPr>
                <w:sz w:val="20"/>
              </w:rPr>
            </w:pPr>
          </w:p>
        </w:tc>
        <w:tc>
          <w:tcPr>
            <w:tcW w:w="648" w:type="dxa"/>
          </w:tcPr>
          <w:p>
            <w:pPr>
              <w:pStyle w:val="TableParagraph"/>
              <w:rPr>
                <w:sz w:val="20"/>
              </w:rPr>
            </w:pPr>
          </w:p>
        </w:tc>
      </w:tr>
      <w:tr>
        <w:trPr>
          <w:trHeight w:val="506" w:hRule="atLeast"/>
        </w:trPr>
        <w:tc>
          <w:tcPr>
            <w:tcW w:w="622" w:type="dxa"/>
          </w:tcPr>
          <w:p>
            <w:pPr>
              <w:pStyle w:val="TableParagraph"/>
              <w:spacing w:line="247" w:lineRule="exact"/>
              <w:ind w:left="107"/>
              <w:rPr>
                <w:sz w:val="22"/>
              </w:rPr>
            </w:pPr>
            <w:r>
              <w:rPr>
                <w:spacing w:val="-10"/>
                <w:sz w:val="22"/>
              </w:rPr>
              <w:t>7</w:t>
            </w:r>
          </w:p>
        </w:tc>
        <w:tc>
          <w:tcPr>
            <w:tcW w:w="5670" w:type="dxa"/>
          </w:tcPr>
          <w:p>
            <w:pPr>
              <w:pStyle w:val="TableParagraph"/>
              <w:spacing w:line="246" w:lineRule="exact"/>
              <w:ind w:left="107"/>
              <w:rPr>
                <w:sz w:val="22"/>
              </w:rPr>
            </w:pPr>
            <w:r>
              <w:rPr>
                <w:sz w:val="22"/>
              </w:rPr>
              <w:t>Monitoring</w:t>
            </w:r>
            <w:r>
              <w:rPr>
                <w:spacing w:val="-6"/>
                <w:sz w:val="22"/>
              </w:rPr>
              <w:t> </w:t>
            </w:r>
            <w:r>
              <w:rPr>
                <w:sz w:val="22"/>
              </w:rPr>
              <w:t>and</w:t>
            </w:r>
            <w:r>
              <w:rPr>
                <w:spacing w:val="-3"/>
                <w:sz w:val="22"/>
              </w:rPr>
              <w:t> </w:t>
            </w:r>
            <w:r>
              <w:rPr>
                <w:sz w:val="22"/>
              </w:rPr>
              <w:t>evaluation</w:t>
            </w:r>
            <w:r>
              <w:rPr>
                <w:spacing w:val="-6"/>
                <w:sz w:val="22"/>
              </w:rPr>
              <w:t> </w:t>
            </w:r>
            <w:r>
              <w:rPr>
                <w:sz w:val="22"/>
              </w:rPr>
              <w:t>of</w:t>
            </w:r>
            <w:r>
              <w:rPr>
                <w:spacing w:val="-3"/>
                <w:sz w:val="22"/>
              </w:rPr>
              <w:t> </w:t>
            </w:r>
            <w:r>
              <w:rPr>
                <w:sz w:val="22"/>
              </w:rPr>
              <w:t>budget</w:t>
            </w:r>
            <w:r>
              <w:rPr>
                <w:spacing w:val="-4"/>
                <w:sz w:val="22"/>
              </w:rPr>
              <w:t> </w:t>
            </w:r>
            <w:r>
              <w:rPr>
                <w:spacing w:val="-2"/>
                <w:sz w:val="22"/>
              </w:rPr>
              <w:t>(project)</w:t>
            </w:r>
          </w:p>
          <w:p>
            <w:pPr>
              <w:pStyle w:val="TableParagraph"/>
              <w:spacing w:line="240" w:lineRule="exact"/>
              <w:ind w:left="107"/>
              <w:rPr>
                <w:sz w:val="22"/>
              </w:rPr>
            </w:pPr>
            <w:r>
              <w:rPr>
                <w:spacing w:val="-2"/>
                <w:sz w:val="22"/>
              </w:rPr>
              <w:t>implementation(execution)</w:t>
            </w:r>
          </w:p>
        </w:tc>
        <w:tc>
          <w:tcPr>
            <w:tcW w:w="641" w:type="dxa"/>
          </w:tcPr>
          <w:p>
            <w:pPr>
              <w:pStyle w:val="TableParagraph"/>
              <w:rPr>
                <w:sz w:val="22"/>
              </w:rPr>
            </w:pPr>
          </w:p>
        </w:tc>
        <w:tc>
          <w:tcPr>
            <w:tcW w:w="619" w:type="dxa"/>
          </w:tcPr>
          <w:p>
            <w:pPr>
              <w:pStyle w:val="TableParagraph"/>
              <w:rPr>
                <w:sz w:val="22"/>
              </w:rPr>
            </w:pPr>
          </w:p>
        </w:tc>
        <w:tc>
          <w:tcPr>
            <w:tcW w:w="550" w:type="dxa"/>
          </w:tcPr>
          <w:p>
            <w:pPr>
              <w:pStyle w:val="TableParagraph"/>
              <w:rPr>
                <w:sz w:val="22"/>
              </w:rPr>
            </w:pPr>
          </w:p>
        </w:tc>
        <w:tc>
          <w:tcPr>
            <w:tcW w:w="638" w:type="dxa"/>
          </w:tcPr>
          <w:p>
            <w:pPr>
              <w:pStyle w:val="TableParagraph"/>
              <w:rPr>
                <w:sz w:val="22"/>
              </w:rPr>
            </w:pPr>
          </w:p>
        </w:tc>
        <w:tc>
          <w:tcPr>
            <w:tcW w:w="648" w:type="dxa"/>
          </w:tcPr>
          <w:p>
            <w:pPr>
              <w:pStyle w:val="TableParagraph"/>
              <w:rPr>
                <w:sz w:val="22"/>
              </w:rPr>
            </w:pPr>
          </w:p>
        </w:tc>
      </w:tr>
      <w:tr>
        <w:trPr>
          <w:trHeight w:val="251" w:hRule="atLeast"/>
        </w:trPr>
        <w:tc>
          <w:tcPr>
            <w:tcW w:w="622" w:type="dxa"/>
          </w:tcPr>
          <w:p>
            <w:pPr>
              <w:pStyle w:val="TableParagraph"/>
              <w:spacing w:line="232" w:lineRule="exact"/>
              <w:ind w:left="107"/>
              <w:rPr>
                <w:sz w:val="22"/>
              </w:rPr>
            </w:pPr>
            <w:r>
              <w:rPr>
                <w:spacing w:val="-10"/>
                <w:sz w:val="22"/>
              </w:rPr>
              <w:t>8</w:t>
            </w:r>
          </w:p>
        </w:tc>
        <w:tc>
          <w:tcPr>
            <w:tcW w:w="5670" w:type="dxa"/>
          </w:tcPr>
          <w:p>
            <w:pPr>
              <w:pStyle w:val="TableParagraph"/>
              <w:spacing w:line="232" w:lineRule="exact"/>
              <w:ind w:left="107"/>
              <w:rPr>
                <w:sz w:val="22"/>
              </w:rPr>
            </w:pPr>
            <w:r>
              <w:rPr>
                <w:sz w:val="22"/>
              </w:rPr>
              <w:t>Housing</w:t>
            </w:r>
            <w:r>
              <w:rPr>
                <w:spacing w:val="-6"/>
                <w:sz w:val="22"/>
              </w:rPr>
              <w:t> </w:t>
            </w:r>
            <w:r>
              <w:rPr>
                <w:sz w:val="22"/>
              </w:rPr>
              <w:t>budget</w:t>
            </w:r>
            <w:r>
              <w:rPr>
                <w:spacing w:val="-2"/>
                <w:sz w:val="22"/>
              </w:rPr>
              <w:t> </w:t>
            </w:r>
            <w:r>
              <w:rPr>
                <w:sz w:val="22"/>
              </w:rPr>
              <w:t>performance</w:t>
            </w:r>
            <w:r>
              <w:rPr>
                <w:spacing w:val="-2"/>
                <w:sz w:val="22"/>
              </w:rPr>
              <w:t> </w:t>
            </w:r>
            <w:r>
              <w:rPr>
                <w:sz w:val="22"/>
              </w:rPr>
              <w:t>review</w:t>
            </w:r>
            <w:r>
              <w:rPr>
                <w:spacing w:val="-4"/>
                <w:sz w:val="22"/>
              </w:rPr>
              <w:t> </w:t>
            </w:r>
            <w:r>
              <w:rPr>
                <w:sz w:val="22"/>
              </w:rPr>
              <w:t>and</w:t>
            </w:r>
            <w:r>
              <w:rPr>
                <w:spacing w:val="-4"/>
                <w:sz w:val="22"/>
              </w:rPr>
              <w:t> </w:t>
            </w:r>
            <w:r>
              <w:rPr>
                <w:spacing w:val="-2"/>
                <w:sz w:val="22"/>
              </w:rPr>
              <w:t>reporting</w:t>
            </w:r>
          </w:p>
        </w:tc>
        <w:tc>
          <w:tcPr>
            <w:tcW w:w="641" w:type="dxa"/>
          </w:tcPr>
          <w:p>
            <w:pPr>
              <w:pStyle w:val="TableParagraph"/>
              <w:rPr>
                <w:sz w:val="18"/>
              </w:rPr>
            </w:pPr>
          </w:p>
        </w:tc>
        <w:tc>
          <w:tcPr>
            <w:tcW w:w="619" w:type="dxa"/>
          </w:tcPr>
          <w:p>
            <w:pPr>
              <w:pStyle w:val="TableParagraph"/>
              <w:rPr>
                <w:sz w:val="18"/>
              </w:rPr>
            </w:pPr>
          </w:p>
        </w:tc>
        <w:tc>
          <w:tcPr>
            <w:tcW w:w="550" w:type="dxa"/>
          </w:tcPr>
          <w:p>
            <w:pPr>
              <w:pStyle w:val="TableParagraph"/>
              <w:rPr>
                <w:sz w:val="18"/>
              </w:rPr>
            </w:pPr>
          </w:p>
        </w:tc>
        <w:tc>
          <w:tcPr>
            <w:tcW w:w="638" w:type="dxa"/>
          </w:tcPr>
          <w:p>
            <w:pPr>
              <w:pStyle w:val="TableParagraph"/>
              <w:rPr>
                <w:sz w:val="18"/>
              </w:rPr>
            </w:pPr>
          </w:p>
        </w:tc>
        <w:tc>
          <w:tcPr>
            <w:tcW w:w="648" w:type="dxa"/>
          </w:tcPr>
          <w:p>
            <w:pPr>
              <w:pStyle w:val="TableParagraph"/>
              <w:rPr>
                <w:sz w:val="18"/>
              </w:rPr>
            </w:pPr>
          </w:p>
        </w:tc>
      </w:tr>
      <w:tr>
        <w:trPr>
          <w:trHeight w:val="253" w:hRule="atLeast"/>
        </w:trPr>
        <w:tc>
          <w:tcPr>
            <w:tcW w:w="622" w:type="dxa"/>
          </w:tcPr>
          <w:p>
            <w:pPr>
              <w:pStyle w:val="TableParagraph"/>
              <w:spacing w:line="234" w:lineRule="exact"/>
              <w:ind w:left="107"/>
              <w:rPr>
                <w:sz w:val="22"/>
              </w:rPr>
            </w:pPr>
            <w:r>
              <w:rPr>
                <w:spacing w:val="-10"/>
                <w:sz w:val="22"/>
              </w:rPr>
              <w:t>9</w:t>
            </w:r>
          </w:p>
        </w:tc>
        <w:tc>
          <w:tcPr>
            <w:tcW w:w="5670" w:type="dxa"/>
          </w:tcPr>
          <w:p>
            <w:pPr>
              <w:pStyle w:val="TableParagraph"/>
              <w:spacing w:line="234" w:lineRule="exact"/>
              <w:ind w:left="107"/>
              <w:rPr>
                <w:sz w:val="22"/>
              </w:rPr>
            </w:pPr>
            <w:r>
              <w:rPr>
                <w:sz w:val="22"/>
              </w:rPr>
              <w:t>Others</w:t>
            </w:r>
            <w:r>
              <w:rPr>
                <w:spacing w:val="-6"/>
                <w:sz w:val="22"/>
              </w:rPr>
              <w:t> </w:t>
            </w:r>
            <w:r>
              <w:rPr>
                <w:spacing w:val="-2"/>
                <w:sz w:val="22"/>
              </w:rPr>
              <w:t>(specify)</w:t>
            </w:r>
          </w:p>
        </w:tc>
        <w:tc>
          <w:tcPr>
            <w:tcW w:w="641" w:type="dxa"/>
          </w:tcPr>
          <w:p>
            <w:pPr>
              <w:pStyle w:val="TableParagraph"/>
              <w:rPr>
                <w:sz w:val="18"/>
              </w:rPr>
            </w:pPr>
          </w:p>
        </w:tc>
        <w:tc>
          <w:tcPr>
            <w:tcW w:w="619" w:type="dxa"/>
          </w:tcPr>
          <w:p>
            <w:pPr>
              <w:pStyle w:val="TableParagraph"/>
              <w:rPr>
                <w:sz w:val="18"/>
              </w:rPr>
            </w:pPr>
          </w:p>
        </w:tc>
        <w:tc>
          <w:tcPr>
            <w:tcW w:w="550" w:type="dxa"/>
          </w:tcPr>
          <w:p>
            <w:pPr>
              <w:pStyle w:val="TableParagraph"/>
              <w:rPr>
                <w:sz w:val="18"/>
              </w:rPr>
            </w:pPr>
          </w:p>
        </w:tc>
        <w:tc>
          <w:tcPr>
            <w:tcW w:w="638" w:type="dxa"/>
          </w:tcPr>
          <w:p>
            <w:pPr>
              <w:pStyle w:val="TableParagraph"/>
              <w:rPr>
                <w:sz w:val="18"/>
              </w:rPr>
            </w:pPr>
          </w:p>
        </w:tc>
        <w:tc>
          <w:tcPr>
            <w:tcW w:w="648" w:type="dxa"/>
          </w:tcPr>
          <w:p>
            <w:pPr>
              <w:pStyle w:val="TableParagraph"/>
              <w:rPr>
                <w:sz w:val="18"/>
              </w:rPr>
            </w:pPr>
          </w:p>
        </w:tc>
      </w:tr>
      <w:tr>
        <w:trPr>
          <w:trHeight w:val="230" w:hRule="atLeast"/>
        </w:trPr>
        <w:tc>
          <w:tcPr>
            <w:tcW w:w="9388" w:type="dxa"/>
            <w:gridSpan w:val="7"/>
          </w:tcPr>
          <w:p>
            <w:pPr>
              <w:pStyle w:val="TableParagraph"/>
              <w:spacing w:line="210" w:lineRule="exact"/>
              <w:ind w:left="107"/>
              <w:rPr>
                <w:sz w:val="20"/>
              </w:rPr>
            </w:pPr>
            <w:r>
              <w:rPr>
                <w:b/>
                <w:sz w:val="20"/>
              </w:rPr>
              <w:t>Note</w:t>
            </w:r>
            <w:r>
              <w:rPr>
                <w:sz w:val="20"/>
              </w:rPr>
              <w:t>:</w:t>
            </w:r>
            <w:r>
              <w:rPr>
                <w:spacing w:val="-5"/>
                <w:sz w:val="20"/>
              </w:rPr>
              <w:t> </w:t>
            </w:r>
            <w:r>
              <w:rPr>
                <w:b/>
                <w:sz w:val="20"/>
              </w:rPr>
              <w:t>SA</w:t>
            </w:r>
            <w:r>
              <w:rPr>
                <w:sz w:val="20"/>
              </w:rPr>
              <w:t>=</w:t>
            </w:r>
            <w:r>
              <w:rPr>
                <w:spacing w:val="-4"/>
                <w:sz w:val="20"/>
              </w:rPr>
              <w:t> </w:t>
            </w:r>
            <w:r>
              <w:rPr>
                <w:sz w:val="20"/>
              </w:rPr>
              <w:t>strongly</w:t>
            </w:r>
            <w:r>
              <w:rPr>
                <w:spacing w:val="-5"/>
                <w:sz w:val="20"/>
              </w:rPr>
              <w:t> </w:t>
            </w:r>
            <w:r>
              <w:rPr>
                <w:sz w:val="20"/>
              </w:rPr>
              <w:t>agree;</w:t>
            </w:r>
            <w:r>
              <w:rPr>
                <w:spacing w:val="43"/>
                <w:sz w:val="20"/>
              </w:rPr>
              <w:t> </w:t>
            </w:r>
            <w:r>
              <w:rPr>
                <w:b/>
                <w:sz w:val="20"/>
              </w:rPr>
              <w:t>A</w:t>
            </w:r>
            <w:r>
              <w:rPr>
                <w:sz w:val="20"/>
              </w:rPr>
              <w:t>=agree;</w:t>
            </w:r>
            <w:r>
              <w:rPr>
                <w:spacing w:val="-4"/>
                <w:sz w:val="20"/>
              </w:rPr>
              <w:t> </w:t>
            </w:r>
            <w:r>
              <w:rPr>
                <w:b/>
                <w:sz w:val="20"/>
              </w:rPr>
              <w:t>SD</w:t>
            </w:r>
            <w:r>
              <w:rPr>
                <w:b/>
                <w:spacing w:val="-4"/>
                <w:sz w:val="20"/>
              </w:rPr>
              <w:t> </w:t>
            </w:r>
            <w:r>
              <w:rPr>
                <w:sz w:val="20"/>
              </w:rPr>
              <w:t>=</w:t>
            </w:r>
            <w:r>
              <w:rPr>
                <w:spacing w:val="-5"/>
                <w:sz w:val="20"/>
              </w:rPr>
              <w:t> </w:t>
            </w:r>
            <w:r>
              <w:rPr>
                <w:sz w:val="20"/>
              </w:rPr>
              <w:t>strongly</w:t>
            </w:r>
            <w:r>
              <w:rPr>
                <w:spacing w:val="-5"/>
                <w:sz w:val="20"/>
              </w:rPr>
              <w:t> </w:t>
            </w:r>
            <w:r>
              <w:rPr>
                <w:sz w:val="20"/>
              </w:rPr>
              <w:t>disagree;</w:t>
            </w:r>
            <w:r>
              <w:rPr>
                <w:spacing w:val="-2"/>
                <w:sz w:val="20"/>
              </w:rPr>
              <w:t> </w:t>
            </w:r>
            <w:r>
              <w:rPr>
                <w:b/>
                <w:sz w:val="20"/>
              </w:rPr>
              <w:t>D</w:t>
            </w:r>
            <w:r>
              <w:rPr>
                <w:b/>
                <w:spacing w:val="-5"/>
                <w:sz w:val="20"/>
              </w:rPr>
              <w:t> </w:t>
            </w:r>
            <w:r>
              <w:rPr>
                <w:sz w:val="20"/>
              </w:rPr>
              <w:t>=</w:t>
            </w:r>
            <w:r>
              <w:rPr>
                <w:spacing w:val="-4"/>
                <w:sz w:val="20"/>
              </w:rPr>
              <w:t> </w:t>
            </w:r>
            <w:r>
              <w:rPr>
                <w:sz w:val="20"/>
              </w:rPr>
              <w:t>disagree;</w:t>
            </w:r>
            <w:r>
              <w:rPr>
                <w:spacing w:val="-3"/>
                <w:sz w:val="20"/>
              </w:rPr>
              <w:t> </w:t>
            </w:r>
            <w:r>
              <w:rPr>
                <w:b/>
                <w:sz w:val="20"/>
              </w:rPr>
              <w:t>DN</w:t>
            </w:r>
            <w:r>
              <w:rPr>
                <w:b/>
                <w:spacing w:val="-4"/>
                <w:sz w:val="20"/>
              </w:rPr>
              <w:t> </w:t>
            </w:r>
            <w:r>
              <w:rPr>
                <w:sz w:val="20"/>
              </w:rPr>
              <w:t>=</w:t>
            </w:r>
            <w:r>
              <w:rPr>
                <w:spacing w:val="-5"/>
                <w:sz w:val="20"/>
              </w:rPr>
              <w:t> </w:t>
            </w:r>
            <w:r>
              <w:rPr>
                <w:sz w:val="20"/>
              </w:rPr>
              <w:t>don‘t</w:t>
            </w:r>
            <w:r>
              <w:rPr>
                <w:spacing w:val="-2"/>
                <w:sz w:val="20"/>
              </w:rPr>
              <w:t> </w:t>
            </w:r>
            <w:r>
              <w:rPr>
                <w:spacing w:val="-4"/>
                <w:sz w:val="20"/>
              </w:rPr>
              <w:t>know</w:t>
            </w:r>
          </w:p>
        </w:tc>
      </w:tr>
    </w:tbl>
    <w:p>
      <w:pPr>
        <w:pStyle w:val="ListParagraph"/>
        <w:numPr>
          <w:ilvl w:val="0"/>
          <w:numId w:val="112"/>
        </w:numPr>
        <w:tabs>
          <w:tab w:pos="453" w:val="left" w:leader="none"/>
        </w:tabs>
        <w:spacing w:line="240" w:lineRule="auto" w:before="192" w:after="0"/>
        <w:ind w:left="120" w:right="1123" w:firstLine="0"/>
        <w:jc w:val="both"/>
        <w:rPr>
          <w:i/>
          <w:sz w:val="22"/>
        </w:rPr>
      </w:pPr>
      <w:r>
        <w:rPr/>
        <mc:AlternateContent>
          <mc:Choice Requires="wps">
            <w:drawing>
              <wp:anchor distT="0" distB="0" distL="0" distR="0" allowOverlap="1" layoutInCell="1" locked="0" behindDoc="1" simplePos="0" relativeHeight="487645184">
                <wp:simplePos x="0" y="0"/>
                <wp:positionH relativeFrom="page">
                  <wp:posOffset>944244</wp:posOffset>
                </wp:positionH>
                <wp:positionV relativeFrom="paragraph">
                  <wp:posOffset>451739</wp:posOffset>
                </wp:positionV>
                <wp:extent cx="5866130" cy="1235710"/>
                <wp:effectExtent l="0" t="0" r="0" b="0"/>
                <wp:wrapTopAndBottom/>
                <wp:docPr id="1213" name="Graphic 1213"/>
                <wp:cNvGraphicFramePr>
                  <a:graphicFrameLocks/>
                </wp:cNvGraphicFramePr>
                <a:graphic>
                  <a:graphicData uri="http://schemas.microsoft.com/office/word/2010/wordprocessingShape">
                    <wps:wsp>
                      <wps:cNvPr id="1213" name="Graphic 1213"/>
                      <wps:cNvSpPr/>
                      <wps:spPr>
                        <a:xfrm>
                          <a:off x="0" y="0"/>
                          <a:ext cx="5866130" cy="1235710"/>
                        </a:xfrm>
                        <a:custGeom>
                          <a:avLst/>
                          <a:gdLst/>
                          <a:ahLst/>
                          <a:cxnLst/>
                          <a:rect l="l" t="t" r="r" b="b"/>
                          <a:pathLst>
                            <a:path w="5866130" h="1235710">
                              <a:moveTo>
                                <a:pt x="0" y="1235709"/>
                              </a:moveTo>
                              <a:lnTo>
                                <a:pt x="5866130" y="1235709"/>
                              </a:lnTo>
                              <a:lnTo>
                                <a:pt x="5866130" y="0"/>
                              </a:lnTo>
                              <a:lnTo>
                                <a:pt x="0" y="0"/>
                              </a:lnTo>
                              <a:lnTo>
                                <a:pt x="0" y="1235709"/>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74.349998pt;margin-top:35.570011pt;width:461.9pt;height:97.3pt;mso-position-horizontal-relative:page;mso-position-vertical-relative:paragraph;z-index:-15671296;mso-wrap-distance-left:0;mso-wrap-distance-right:0" id="docshape1149" filled="false" stroked="true" strokeweight=".75pt" strokecolor="#000000">
                <v:stroke dashstyle="solid"/>
                <w10:wrap type="topAndBottom"/>
              </v:rect>
            </w:pict>
          </mc:Fallback>
        </mc:AlternateContent>
      </w:r>
      <w:r>
        <w:rPr>
          <w:sz w:val="22"/>
        </w:rPr>
        <w:t>What suggestions</w:t>
      </w:r>
      <w:r>
        <w:rPr>
          <w:spacing w:val="-1"/>
          <w:sz w:val="22"/>
        </w:rPr>
        <w:t> </w:t>
      </w:r>
      <w:r>
        <w:rPr>
          <w:sz w:val="22"/>
        </w:rPr>
        <w:t>would</w:t>
      </w:r>
      <w:r>
        <w:rPr>
          <w:spacing w:val="-1"/>
          <w:sz w:val="22"/>
        </w:rPr>
        <w:t> </w:t>
      </w:r>
      <w:r>
        <w:rPr>
          <w:sz w:val="22"/>
        </w:rPr>
        <w:t>you</w:t>
      </w:r>
      <w:r>
        <w:rPr>
          <w:spacing w:val="-1"/>
          <w:sz w:val="22"/>
        </w:rPr>
        <w:t> </w:t>
      </w:r>
      <w:r>
        <w:rPr>
          <w:sz w:val="22"/>
        </w:rPr>
        <w:t>propose to</w:t>
      </w:r>
      <w:r>
        <w:rPr>
          <w:spacing w:val="-1"/>
          <w:sz w:val="22"/>
        </w:rPr>
        <w:t> </w:t>
      </w:r>
      <w:r>
        <w:rPr>
          <w:sz w:val="22"/>
        </w:rPr>
        <w:t>assist the</w:t>
      </w:r>
      <w:r>
        <w:rPr>
          <w:spacing w:val="-3"/>
          <w:sz w:val="22"/>
        </w:rPr>
        <w:t> </w:t>
      </w:r>
      <w:r>
        <w:rPr>
          <w:sz w:val="22"/>
        </w:rPr>
        <w:t>government to</w:t>
      </w:r>
      <w:r>
        <w:rPr>
          <w:spacing w:val="-1"/>
          <w:sz w:val="22"/>
        </w:rPr>
        <w:t> </w:t>
      </w:r>
      <w:r>
        <w:rPr>
          <w:sz w:val="22"/>
        </w:rPr>
        <w:t>effectively</w:t>
      </w:r>
      <w:r>
        <w:rPr>
          <w:spacing w:val="-4"/>
          <w:sz w:val="22"/>
        </w:rPr>
        <w:t> </w:t>
      </w:r>
      <w:r>
        <w:rPr>
          <w:sz w:val="22"/>
        </w:rPr>
        <w:t>improve</w:t>
      </w:r>
      <w:r>
        <w:rPr>
          <w:spacing w:val="-1"/>
          <w:sz w:val="22"/>
        </w:rPr>
        <w:t> </w:t>
      </w:r>
      <w:r>
        <w:rPr>
          <w:sz w:val="22"/>
        </w:rPr>
        <w:t>the</w:t>
      </w:r>
      <w:r>
        <w:rPr>
          <w:spacing w:val="-1"/>
          <w:sz w:val="22"/>
        </w:rPr>
        <w:t> </w:t>
      </w:r>
      <w:r>
        <w:rPr>
          <w:sz w:val="22"/>
        </w:rPr>
        <w:t>performance of housing budgets in Anambra State? </w:t>
      </w:r>
      <w:r>
        <w:rPr>
          <w:i/>
          <w:sz w:val="22"/>
        </w:rPr>
        <w:t>Please use separate sheet if necessary.</w:t>
      </w:r>
    </w:p>
    <w:p>
      <w:pPr>
        <w:pStyle w:val="BodyText"/>
        <w:spacing w:before="37"/>
        <w:rPr>
          <w:i/>
          <w:sz w:val="22"/>
        </w:rPr>
      </w:pPr>
    </w:p>
    <w:p>
      <w:pPr>
        <w:spacing w:before="0"/>
        <w:ind w:left="120" w:right="0" w:firstLine="0"/>
        <w:jc w:val="both"/>
        <w:rPr>
          <w:sz w:val="22"/>
        </w:rPr>
      </w:pPr>
      <w:r>
        <w:rPr>
          <w:sz w:val="22"/>
        </w:rPr>
        <w:t>Thank</w:t>
      </w:r>
      <w:r>
        <w:rPr>
          <w:spacing w:val="-5"/>
          <w:sz w:val="22"/>
        </w:rPr>
        <w:t> </w:t>
      </w:r>
      <w:r>
        <w:rPr>
          <w:sz w:val="22"/>
        </w:rPr>
        <w:t>you</w:t>
      </w:r>
      <w:r>
        <w:rPr>
          <w:spacing w:val="-2"/>
          <w:sz w:val="22"/>
        </w:rPr>
        <w:t> </w:t>
      </w:r>
      <w:r>
        <w:rPr>
          <w:sz w:val="22"/>
        </w:rPr>
        <w:t>very</w:t>
      </w:r>
      <w:r>
        <w:rPr>
          <w:spacing w:val="-3"/>
          <w:sz w:val="22"/>
        </w:rPr>
        <w:t> </w:t>
      </w:r>
      <w:r>
        <w:rPr>
          <w:sz w:val="22"/>
        </w:rPr>
        <w:t>much</w:t>
      </w:r>
      <w:r>
        <w:rPr>
          <w:spacing w:val="-2"/>
          <w:sz w:val="22"/>
        </w:rPr>
        <w:t> </w:t>
      </w:r>
      <w:r>
        <w:rPr>
          <w:sz w:val="22"/>
        </w:rPr>
        <w:t>for</w:t>
      </w:r>
      <w:r>
        <w:rPr>
          <w:spacing w:val="-2"/>
          <w:sz w:val="22"/>
        </w:rPr>
        <w:t> </w:t>
      </w:r>
      <w:r>
        <w:rPr>
          <w:sz w:val="22"/>
        </w:rPr>
        <w:t>your</w:t>
      </w:r>
      <w:r>
        <w:rPr>
          <w:spacing w:val="-2"/>
          <w:sz w:val="22"/>
        </w:rPr>
        <w:t> </w:t>
      </w:r>
      <w:r>
        <w:rPr>
          <w:sz w:val="22"/>
        </w:rPr>
        <w:t>time</w:t>
      </w:r>
      <w:r>
        <w:rPr>
          <w:spacing w:val="-2"/>
          <w:sz w:val="22"/>
        </w:rPr>
        <w:t> </w:t>
      </w:r>
      <w:r>
        <w:rPr>
          <w:sz w:val="22"/>
        </w:rPr>
        <w:t>and</w:t>
      </w:r>
      <w:r>
        <w:rPr>
          <w:spacing w:val="-1"/>
          <w:sz w:val="22"/>
        </w:rPr>
        <w:t> </w:t>
      </w:r>
      <w:r>
        <w:rPr>
          <w:spacing w:val="-2"/>
          <w:sz w:val="22"/>
        </w:rPr>
        <w:t>patience.</w:t>
      </w:r>
    </w:p>
    <w:p>
      <w:pPr>
        <w:spacing w:after="0"/>
        <w:jc w:val="both"/>
        <w:rPr>
          <w:sz w:val="22"/>
        </w:rPr>
        <w:sectPr>
          <w:pgSz w:w="12240" w:h="15840"/>
          <w:pgMar w:header="0" w:footer="1036" w:top="1360" w:bottom="1220" w:left="1320" w:right="320"/>
        </w:sectPr>
      </w:pPr>
    </w:p>
    <w:p>
      <w:pPr>
        <w:pStyle w:val="Heading1"/>
      </w:pPr>
      <w:r>
        <w:rPr/>
        <w:t>APPENDIX</w:t>
      </w:r>
      <w:r>
        <w:rPr>
          <w:spacing w:val="-11"/>
        </w:rPr>
        <w:t> </w:t>
      </w:r>
      <w:r>
        <w:rPr>
          <w:spacing w:val="-10"/>
        </w:rPr>
        <w:t>2</w:t>
      </w:r>
    </w:p>
    <w:p>
      <w:pPr>
        <w:pStyle w:val="BodyText"/>
        <w:spacing w:before="13"/>
        <w:rPr>
          <w:b/>
          <w:sz w:val="28"/>
        </w:rPr>
      </w:pPr>
    </w:p>
    <w:p>
      <w:pPr>
        <w:pStyle w:val="Heading2"/>
        <w:spacing w:before="0"/>
        <w:ind w:right="996"/>
      </w:pPr>
      <w:r>
        <w:rPr/>
        <w:t>INTERVIEW</w:t>
      </w:r>
      <w:r>
        <w:rPr>
          <w:spacing w:val="-12"/>
        </w:rPr>
        <w:t> </w:t>
      </w:r>
      <w:r>
        <w:rPr>
          <w:spacing w:val="-4"/>
        </w:rPr>
        <w:t>GUIDE</w:t>
      </w:r>
    </w:p>
    <w:p>
      <w:pPr>
        <w:pStyle w:val="BodyText"/>
        <w:spacing w:before="18"/>
        <w:rPr>
          <w:b/>
          <w:sz w:val="26"/>
        </w:rPr>
      </w:pPr>
    </w:p>
    <w:p>
      <w:pPr>
        <w:spacing w:before="0"/>
        <w:ind w:left="120" w:right="0" w:firstLine="0"/>
        <w:jc w:val="left"/>
        <w:rPr>
          <w:sz w:val="22"/>
        </w:rPr>
      </w:pPr>
      <w:r>
        <w:rPr>
          <w:sz w:val="22"/>
        </w:rPr>
        <w:t>Contact</w:t>
      </w:r>
      <w:r>
        <w:rPr>
          <w:spacing w:val="39"/>
          <w:sz w:val="22"/>
        </w:rPr>
        <w:t> </w:t>
      </w:r>
      <w:r>
        <w:rPr>
          <w:spacing w:val="-2"/>
          <w:sz w:val="22"/>
        </w:rPr>
        <w:t>person.....................................................................................................................</w:t>
      </w:r>
    </w:p>
    <w:p>
      <w:pPr>
        <w:spacing w:before="246"/>
        <w:ind w:left="120" w:right="0" w:firstLine="0"/>
        <w:jc w:val="left"/>
        <w:rPr>
          <w:sz w:val="22"/>
        </w:rPr>
      </w:pPr>
      <w:r>
        <w:rPr>
          <w:spacing w:val="-2"/>
          <w:sz w:val="22"/>
        </w:rPr>
        <w:t>Institution............................................................................................................................</w:t>
      </w:r>
    </w:p>
    <w:p>
      <w:pPr>
        <w:spacing w:before="246"/>
        <w:ind w:left="120" w:right="0" w:firstLine="0"/>
        <w:jc w:val="left"/>
        <w:rPr>
          <w:sz w:val="22"/>
        </w:rPr>
      </w:pPr>
      <w:r>
        <w:rPr>
          <w:sz w:val="22"/>
        </w:rPr>
        <w:t>Phone</w:t>
      </w:r>
      <w:r>
        <w:rPr>
          <w:spacing w:val="48"/>
          <w:sz w:val="22"/>
        </w:rPr>
        <w:t> </w:t>
      </w:r>
      <w:r>
        <w:rPr>
          <w:spacing w:val="-2"/>
          <w:sz w:val="22"/>
        </w:rPr>
        <w:t>No.............................................................................................................................</w:t>
      </w:r>
    </w:p>
    <w:p>
      <w:pPr>
        <w:pStyle w:val="BodyText"/>
        <w:rPr>
          <w:sz w:val="22"/>
        </w:rPr>
      </w:pPr>
    </w:p>
    <w:p>
      <w:pPr>
        <w:pStyle w:val="BodyText"/>
        <w:spacing w:before="33"/>
        <w:rPr>
          <w:sz w:val="22"/>
        </w:rPr>
      </w:pPr>
    </w:p>
    <w:p>
      <w:pPr>
        <w:spacing w:line="549" w:lineRule="auto" w:before="0"/>
        <w:ind w:left="120" w:right="8210" w:firstLine="0"/>
        <w:jc w:val="both"/>
        <w:rPr>
          <w:sz w:val="22"/>
        </w:rPr>
      </w:pPr>
      <w:r>
        <w:rPr>
          <w:sz w:val="22"/>
        </w:rPr>
        <w:t>To</w:t>
      </w:r>
      <w:r>
        <w:rPr>
          <w:spacing w:val="-9"/>
          <w:sz w:val="22"/>
        </w:rPr>
        <w:t> </w:t>
      </w:r>
      <w:r>
        <w:rPr>
          <w:sz w:val="22"/>
        </w:rPr>
        <w:t>whom</w:t>
      </w:r>
      <w:r>
        <w:rPr>
          <w:spacing w:val="-12"/>
          <w:sz w:val="22"/>
        </w:rPr>
        <w:t> </w:t>
      </w:r>
      <w:r>
        <w:rPr>
          <w:sz w:val="22"/>
        </w:rPr>
        <w:t>it</w:t>
      </w:r>
      <w:r>
        <w:rPr>
          <w:spacing w:val="-8"/>
          <w:sz w:val="22"/>
        </w:rPr>
        <w:t> </w:t>
      </w:r>
      <w:r>
        <w:rPr>
          <w:sz w:val="22"/>
        </w:rPr>
        <w:t>may</w:t>
      </w:r>
      <w:r>
        <w:rPr>
          <w:spacing w:val="-10"/>
          <w:sz w:val="22"/>
        </w:rPr>
        <w:t> </w:t>
      </w:r>
      <w:r>
        <w:rPr>
          <w:sz w:val="22"/>
        </w:rPr>
        <w:t>concern. </w:t>
      </w:r>
      <w:r>
        <w:rPr>
          <w:spacing w:val="-2"/>
          <w:sz w:val="22"/>
        </w:rPr>
        <w:t>Sir/madam,</w:t>
      </w:r>
    </w:p>
    <w:p>
      <w:pPr>
        <w:spacing w:line="360" w:lineRule="auto" w:before="1"/>
        <w:ind w:left="120" w:right="1114" w:firstLine="0"/>
        <w:jc w:val="both"/>
        <w:rPr>
          <w:sz w:val="22"/>
        </w:rPr>
      </w:pPr>
      <w:r>
        <w:rPr>
          <w:sz w:val="22"/>
        </w:rPr>
        <w:t>My name is Ugochukwu, Stanley Chukwudi, a PhD research candidate at Nnamdi Azikiwe University, Awka, Anambra State. I</w:t>
      </w:r>
      <w:r>
        <w:rPr>
          <w:spacing w:val="-1"/>
          <w:sz w:val="22"/>
        </w:rPr>
        <w:t> </w:t>
      </w:r>
      <w:r>
        <w:rPr>
          <w:sz w:val="22"/>
        </w:rPr>
        <w:t>am carrying out a survey on housing budget performance in Anambra State. The aim of the survey is to develop a model which the Anambra State Government can adopt for its housing budget process to ensure efficient and effective housing delivery for her citizenry.</w:t>
      </w:r>
    </w:p>
    <w:p>
      <w:pPr>
        <w:spacing w:line="360" w:lineRule="auto" w:before="242"/>
        <w:ind w:left="120" w:right="1114" w:firstLine="0"/>
        <w:jc w:val="both"/>
        <w:rPr>
          <w:sz w:val="22"/>
        </w:rPr>
      </w:pPr>
      <w:r>
        <w:rPr>
          <w:sz w:val="22"/>
        </w:rPr>
        <w:t>The purpose of this interview is to obtain your opinion and experience on the performance of housing budgets,</w:t>
      </w:r>
      <w:r>
        <w:rPr>
          <w:spacing w:val="-1"/>
          <w:sz w:val="22"/>
        </w:rPr>
        <w:t> </w:t>
      </w:r>
      <w:r>
        <w:rPr>
          <w:sz w:val="22"/>
        </w:rPr>
        <w:t>the</w:t>
      </w:r>
      <w:r>
        <w:rPr>
          <w:spacing w:val="-1"/>
          <w:sz w:val="22"/>
        </w:rPr>
        <w:t> </w:t>
      </w:r>
      <w:r>
        <w:rPr>
          <w:sz w:val="22"/>
        </w:rPr>
        <w:t>problems</w:t>
      </w:r>
      <w:r>
        <w:rPr>
          <w:spacing w:val="-1"/>
          <w:sz w:val="22"/>
        </w:rPr>
        <w:t> </w:t>
      </w:r>
      <w:r>
        <w:rPr>
          <w:sz w:val="22"/>
        </w:rPr>
        <w:t>facing</w:t>
      </w:r>
      <w:r>
        <w:rPr>
          <w:spacing w:val="-4"/>
          <w:sz w:val="22"/>
        </w:rPr>
        <w:t> </w:t>
      </w:r>
      <w:r>
        <w:rPr>
          <w:sz w:val="22"/>
        </w:rPr>
        <w:t>the</w:t>
      </w:r>
      <w:r>
        <w:rPr>
          <w:spacing w:val="-1"/>
          <w:sz w:val="22"/>
        </w:rPr>
        <w:t> </w:t>
      </w:r>
      <w:r>
        <w:rPr>
          <w:sz w:val="22"/>
        </w:rPr>
        <w:t>housing</w:t>
      </w:r>
      <w:r>
        <w:rPr>
          <w:spacing w:val="-4"/>
          <w:sz w:val="22"/>
        </w:rPr>
        <w:t> </w:t>
      </w:r>
      <w:r>
        <w:rPr>
          <w:sz w:val="22"/>
        </w:rPr>
        <w:t>budget process as</w:t>
      </w:r>
      <w:r>
        <w:rPr>
          <w:spacing w:val="-1"/>
          <w:sz w:val="22"/>
        </w:rPr>
        <w:t> </w:t>
      </w:r>
      <w:r>
        <w:rPr>
          <w:sz w:val="22"/>
        </w:rPr>
        <w:t>well</w:t>
      </w:r>
      <w:r>
        <w:rPr>
          <w:spacing w:val="-3"/>
          <w:sz w:val="22"/>
        </w:rPr>
        <w:t> </w:t>
      </w:r>
      <w:r>
        <w:rPr>
          <w:sz w:val="22"/>
        </w:rPr>
        <w:t>as</w:t>
      </w:r>
      <w:r>
        <w:rPr>
          <w:spacing w:val="-1"/>
          <w:sz w:val="22"/>
        </w:rPr>
        <w:t> </w:t>
      </w:r>
      <w:r>
        <w:rPr>
          <w:sz w:val="22"/>
        </w:rPr>
        <w:t>how</w:t>
      </w:r>
      <w:r>
        <w:rPr>
          <w:spacing w:val="-2"/>
          <w:sz w:val="22"/>
        </w:rPr>
        <w:t> </w:t>
      </w:r>
      <w:r>
        <w:rPr>
          <w:sz w:val="22"/>
        </w:rPr>
        <w:t>they</w:t>
      </w:r>
      <w:r>
        <w:rPr>
          <w:spacing w:val="-3"/>
          <w:sz w:val="22"/>
        </w:rPr>
        <w:t> </w:t>
      </w:r>
      <w:r>
        <w:rPr>
          <w:sz w:val="22"/>
        </w:rPr>
        <w:t>can</w:t>
      </w:r>
      <w:r>
        <w:rPr>
          <w:spacing w:val="-4"/>
          <w:sz w:val="22"/>
        </w:rPr>
        <w:t> </w:t>
      </w:r>
      <w:r>
        <w:rPr>
          <w:sz w:val="22"/>
        </w:rPr>
        <w:t>be</w:t>
      </w:r>
      <w:r>
        <w:rPr>
          <w:spacing w:val="-1"/>
          <w:sz w:val="22"/>
        </w:rPr>
        <w:t> </w:t>
      </w:r>
      <w:r>
        <w:rPr>
          <w:sz w:val="22"/>
        </w:rPr>
        <w:t>solved.</w:t>
      </w:r>
      <w:r>
        <w:rPr>
          <w:spacing w:val="-3"/>
          <w:sz w:val="22"/>
        </w:rPr>
        <w:t> </w:t>
      </w:r>
      <w:r>
        <w:rPr>
          <w:sz w:val="22"/>
        </w:rPr>
        <w:t>The</w:t>
      </w:r>
      <w:r>
        <w:rPr>
          <w:spacing w:val="-1"/>
          <w:sz w:val="22"/>
        </w:rPr>
        <w:t> </w:t>
      </w:r>
      <w:r>
        <w:rPr>
          <w:sz w:val="22"/>
        </w:rPr>
        <w:t>interview is estimated to last between 45 and 60 minutes. Let me assure you that the information or data obtained through this interview and any documentation from you will be treated confidentially and that no records kept will bear your institution‘s name. I would also like to seek your permission to record the interview using a tape recorder.</w:t>
      </w:r>
    </w:p>
    <w:p>
      <w:pPr>
        <w:spacing w:line="360" w:lineRule="auto" w:before="200"/>
        <w:ind w:left="120" w:right="1120" w:firstLine="0"/>
        <w:jc w:val="both"/>
        <w:rPr>
          <w:sz w:val="22"/>
        </w:rPr>
      </w:pPr>
      <w:r>
        <w:rPr>
          <w:sz w:val="22"/>
        </w:rPr>
        <w:t>The questions are about your current practices and challenges hindering effecting housing budget </w:t>
      </w:r>
      <w:r>
        <w:rPr>
          <w:spacing w:val="-2"/>
          <w:sz w:val="22"/>
        </w:rPr>
        <w:t>performance.</w:t>
      </w:r>
    </w:p>
    <w:p>
      <w:pPr>
        <w:pStyle w:val="ListParagraph"/>
        <w:numPr>
          <w:ilvl w:val="1"/>
          <w:numId w:val="112"/>
        </w:numPr>
        <w:tabs>
          <w:tab w:pos="840" w:val="left" w:leader="none"/>
        </w:tabs>
        <w:spacing w:line="240" w:lineRule="auto" w:before="201" w:after="0"/>
        <w:ind w:left="840" w:right="1123" w:hanging="360"/>
        <w:jc w:val="both"/>
        <w:rPr>
          <w:sz w:val="22"/>
        </w:rPr>
      </w:pPr>
      <w:r>
        <w:rPr>
          <w:sz w:val="22"/>
        </w:rPr>
        <w:t>What is your status</w:t>
      </w:r>
      <w:r>
        <w:rPr>
          <w:spacing w:val="-1"/>
          <w:sz w:val="22"/>
        </w:rPr>
        <w:t> </w:t>
      </w:r>
      <w:r>
        <w:rPr>
          <w:sz w:val="22"/>
        </w:rPr>
        <w:t>and nature of unit/ministry/department/agency</w:t>
      </w:r>
      <w:r>
        <w:rPr>
          <w:spacing w:val="-1"/>
          <w:sz w:val="22"/>
        </w:rPr>
        <w:t> </w:t>
      </w:r>
      <w:r>
        <w:rPr>
          <w:sz w:val="22"/>
        </w:rPr>
        <w:t>responsible for the</w:t>
      </w:r>
      <w:r>
        <w:rPr>
          <w:spacing w:val="-1"/>
          <w:sz w:val="22"/>
        </w:rPr>
        <w:t> </w:t>
      </w:r>
      <w:r>
        <w:rPr>
          <w:sz w:val="22"/>
        </w:rPr>
        <w:t>preparation and implementation of the housing budget?</w:t>
      </w:r>
    </w:p>
    <w:p>
      <w:pPr>
        <w:pStyle w:val="ListParagraph"/>
        <w:numPr>
          <w:ilvl w:val="1"/>
          <w:numId w:val="112"/>
        </w:numPr>
        <w:tabs>
          <w:tab w:pos="840" w:val="left" w:leader="none"/>
        </w:tabs>
        <w:spacing w:line="240" w:lineRule="auto" w:before="183" w:after="0"/>
        <w:ind w:left="840" w:right="1114" w:hanging="360"/>
        <w:jc w:val="both"/>
        <w:rPr>
          <w:sz w:val="22"/>
        </w:rPr>
      </w:pPr>
      <w:r>
        <w:rPr>
          <w:sz w:val="22"/>
        </w:rPr>
        <w:t>What types of housing projects are mostly executed by the Anambra State Government? Please </w:t>
      </w:r>
      <w:r>
        <w:rPr>
          <w:spacing w:val="-2"/>
          <w:sz w:val="22"/>
        </w:rPr>
        <w:t>state.</w:t>
      </w:r>
    </w:p>
    <w:p>
      <w:pPr>
        <w:pStyle w:val="BodyText"/>
        <w:spacing w:before="62"/>
        <w:rPr>
          <w:sz w:val="22"/>
        </w:rPr>
      </w:pPr>
    </w:p>
    <w:p>
      <w:pPr>
        <w:pStyle w:val="ListParagraph"/>
        <w:numPr>
          <w:ilvl w:val="1"/>
          <w:numId w:val="112"/>
        </w:numPr>
        <w:tabs>
          <w:tab w:pos="840" w:val="left" w:leader="none"/>
        </w:tabs>
        <w:spacing w:line="240" w:lineRule="auto" w:before="1" w:after="0"/>
        <w:ind w:left="840" w:right="1120" w:hanging="360"/>
        <w:jc w:val="both"/>
        <w:rPr>
          <w:sz w:val="22"/>
        </w:rPr>
      </w:pPr>
      <w:r>
        <w:rPr>
          <w:sz w:val="22"/>
        </w:rPr>
        <w:t>Are</w:t>
      </w:r>
      <w:r>
        <w:rPr>
          <w:spacing w:val="-2"/>
          <w:sz w:val="22"/>
        </w:rPr>
        <w:t> </w:t>
      </w:r>
      <w:r>
        <w:rPr>
          <w:sz w:val="22"/>
        </w:rPr>
        <w:t>there</w:t>
      </w:r>
      <w:r>
        <w:rPr>
          <w:spacing w:val="-2"/>
          <w:sz w:val="22"/>
        </w:rPr>
        <w:t> </w:t>
      </w:r>
      <w:r>
        <w:rPr>
          <w:sz w:val="22"/>
        </w:rPr>
        <w:t>any</w:t>
      </w:r>
      <w:r>
        <w:rPr>
          <w:spacing w:val="-3"/>
          <w:sz w:val="22"/>
        </w:rPr>
        <w:t> </w:t>
      </w:r>
      <w:r>
        <w:rPr>
          <w:sz w:val="22"/>
        </w:rPr>
        <w:t>existing</w:t>
      </w:r>
      <w:r>
        <w:rPr>
          <w:spacing w:val="-3"/>
          <w:sz w:val="22"/>
        </w:rPr>
        <w:t> </w:t>
      </w:r>
      <w:r>
        <w:rPr>
          <w:sz w:val="22"/>
        </w:rPr>
        <w:t>policies</w:t>
      </w:r>
      <w:r>
        <w:rPr>
          <w:spacing w:val="-2"/>
          <w:sz w:val="22"/>
        </w:rPr>
        <w:t> </w:t>
      </w:r>
      <w:r>
        <w:rPr>
          <w:sz w:val="22"/>
        </w:rPr>
        <w:t>such as</w:t>
      </w:r>
      <w:r>
        <w:rPr>
          <w:spacing w:val="-2"/>
          <w:sz w:val="22"/>
        </w:rPr>
        <w:t> </w:t>
      </w:r>
      <w:r>
        <w:rPr>
          <w:sz w:val="22"/>
        </w:rPr>
        <w:t>the</w:t>
      </w:r>
      <w:r>
        <w:rPr>
          <w:spacing w:val="-2"/>
          <w:sz w:val="22"/>
        </w:rPr>
        <w:t> </w:t>
      </w:r>
      <w:r>
        <w:rPr>
          <w:sz w:val="22"/>
        </w:rPr>
        <w:t>Medium</w:t>
      </w:r>
      <w:r>
        <w:rPr>
          <w:spacing w:val="-4"/>
          <w:sz w:val="22"/>
        </w:rPr>
        <w:t> </w:t>
      </w:r>
      <w:r>
        <w:rPr>
          <w:sz w:val="22"/>
        </w:rPr>
        <w:t>Term</w:t>
      </w:r>
      <w:r>
        <w:rPr>
          <w:spacing w:val="-4"/>
          <w:sz w:val="22"/>
        </w:rPr>
        <w:t> </w:t>
      </w:r>
      <w:r>
        <w:rPr>
          <w:sz w:val="22"/>
        </w:rPr>
        <w:t>Expenditure</w:t>
      </w:r>
      <w:r>
        <w:rPr>
          <w:spacing w:val="-2"/>
          <w:sz w:val="22"/>
        </w:rPr>
        <w:t> </w:t>
      </w:r>
      <w:r>
        <w:rPr>
          <w:sz w:val="22"/>
        </w:rPr>
        <w:t>Framework</w:t>
      </w:r>
      <w:r>
        <w:rPr>
          <w:spacing w:val="-2"/>
          <w:sz w:val="22"/>
        </w:rPr>
        <w:t> </w:t>
      </w:r>
      <w:r>
        <w:rPr>
          <w:sz w:val="22"/>
        </w:rPr>
        <w:t>(MTEF)</w:t>
      </w:r>
      <w:r>
        <w:rPr>
          <w:spacing w:val="-2"/>
          <w:sz w:val="22"/>
        </w:rPr>
        <w:t> </w:t>
      </w:r>
      <w:r>
        <w:rPr>
          <w:sz w:val="22"/>
        </w:rPr>
        <w:t>which you use as a guide in the preparation of the housing budget? Yes or No.</w:t>
      </w:r>
    </w:p>
    <w:p>
      <w:pPr>
        <w:pStyle w:val="BodyText"/>
        <w:spacing w:before="160"/>
        <w:rPr>
          <w:sz w:val="22"/>
        </w:rPr>
      </w:pPr>
    </w:p>
    <w:p>
      <w:pPr>
        <w:pStyle w:val="ListParagraph"/>
        <w:numPr>
          <w:ilvl w:val="1"/>
          <w:numId w:val="112"/>
        </w:numPr>
        <w:tabs>
          <w:tab w:pos="840" w:val="left" w:leader="none"/>
        </w:tabs>
        <w:spacing w:line="240" w:lineRule="auto" w:before="0" w:after="0"/>
        <w:ind w:left="840" w:right="1114" w:hanging="360"/>
        <w:jc w:val="both"/>
        <w:rPr>
          <w:sz w:val="22"/>
        </w:rPr>
      </w:pPr>
      <w:r>
        <w:rPr>
          <w:sz w:val="22"/>
        </w:rPr>
        <w:t>Which of these housing budget processes : (i) formulation/planning, (ii) preparation and submission, (iii) authorization and legislative approval, (iv) Governor‘s assent, (v) execution/implementation,</w:t>
      </w:r>
      <w:r>
        <w:rPr>
          <w:spacing w:val="40"/>
          <w:sz w:val="22"/>
        </w:rPr>
        <w:t> </w:t>
      </w:r>
      <w:r>
        <w:rPr>
          <w:sz w:val="22"/>
        </w:rPr>
        <w:t>and</w:t>
      </w:r>
      <w:r>
        <w:rPr>
          <w:spacing w:val="40"/>
          <w:sz w:val="22"/>
        </w:rPr>
        <w:t> </w:t>
      </w:r>
      <w:r>
        <w:rPr>
          <w:sz w:val="22"/>
        </w:rPr>
        <w:t>(vi)monitoring/evaluation,</w:t>
      </w:r>
      <w:r>
        <w:rPr>
          <w:spacing w:val="40"/>
          <w:sz w:val="22"/>
        </w:rPr>
        <w:t> </w:t>
      </w:r>
      <w:r>
        <w:rPr>
          <w:sz w:val="22"/>
        </w:rPr>
        <w:t>is</w:t>
      </w:r>
      <w:r>
        <w:rPr>
          <w:spacing w:val="40"/>
          <w:sz w:val="22"/>
        </w:rPr>
        <w:t> </w:t>
      </w:r>
      <w:r>
        <w:rPr>
          <w:sz w:val="22"/>
        </w:rPr>
        <w:t>often</w:t>
      </w:r>
      <w:r>
        <w:rPr>
          <w:spacing w:val="40"/>
          <w:sz w:val="22"/>
        </w:rPr>
        <w:t> </w:t>
      </w:r>
      <w:r>
        <w:rPr>
          <w:sz w:val="22"/>
        </w:rPr>
        <w:t>the</w:t>
      </w:r>
      <w:r>
        <w:rPr>
          <w:spacing w:val="40"/>
          <w:sz w:val="22"/>
        </w:rPr>
        <w:t> </w:t>
      </w:r>
      <w:r>
        <w:rPr>
          <w:sz w:val="22"/>
        </w:rPr>
        <w:t>most</w:t>
      </w:r>
      <w:r>
        <w:rPr>
          <w:spacing w:val="40"/>
          <w:sz w:val="22"/>
        </w:rPr>
        <w:t> </w:t>
      </w:r>
      <w:r>
        <w:rPr>
          <w:sz w:val="22"/>
        </w:rPr>
        <w:t>delayed,</w:t>
      </w:r>
      <w:r>
        <w:rPr>
          <w:spacing w:val="40"/>
          <w:sz w:val="22"/>
        </w:rPr>
        <w:t> </w:t>
      </w:r>
      <w:r>
        <w:rPr>
          <w:sz w:val="22"/>
        </w:rPr>
        <w:t>thereby</w:t>
      </w:r>
    </w:p>
    <w:p>
      <w:pPr>
        <w:spacing w:after="0" w:line="240" w:lineRule="auto"/>
        <w:jc w:val="both"/>
        <w:rPr>
          <w:sz w:val="22"/>
        </w:rPr>
        <w:sectPr>
          <w:pgSz w:w="12240" w:h="15840"/>
          <w:pgMar w:header="0" w:footer="1036" w:top="1360" w:bottom="1220" w:left="1320" w:right="320"/>
        </w:sectPr>
      </w:pPr>
    </w:p>
    <w:p>
      <w:pPr>
        <w:spacing w:before="74"/>
        <w:ind w:left="840" w:right="1117" w:firstLine="0"/>
        <w:jc w:val="left"/>
        <w:rPr>
          <w:sz w:val="22"/>
        </w:rPr>
      </w:pPr>
      <w:r>
        <w:rPr>
          <w:sz w:val="22"/>
        </w:rPr>
        <w:t>extending</w:t>
      </w:r>
      <w:r>
        <w:rPr>
          <w:spacing w:val="38"/>
          <w:sz w:val="22"/>
        </w:rPr>
        <w:t> </w:t>
      </w:r>
      <w:r>
        <w:rPr>
          <w:sz w:val="22"/>
        </w:rPr>
        <w:t>beyond</w:t>
      </w:r>
      <w:r>
        <w:rPr>
          <w:spacing w:val="40"/>
          <w:sz w:val="22"/>
        </w:rPr>
        <w:t> </w:t>
      </w:r>
      <w:r>
        <w:rPr>
          <w:sz w:val="22"/>
        </w:rPr>
        <w:t>the</w:t>
      </w:r>
      <w:r>
        <w:rPr>
          <w:spacing w:val="40"/>
          <w:sz w:val="22"/>
        </w:rPr>
        <w:t> </w:t>
      </w:r>
      <w:r>
        <w:rPr>
          <w:sz w:val="22"/>
        </w:rPr>
        <w:t>normal</w:t>
      </w:r>
      <w:r>
        <w:rPr>
          <w:spacing w:val="40"/>
          <w:sz w:val="22"/>
        </w:rPr>
        <w:t> </w:t>
      </w:r>
      <w:r>
        <w:rPr>
          <w:sz w:val="22"/>
        </w:rPr>
        <w:t>duration?</w:t>
      </w:r>
      <w:r>
        <w:rPr>
          <w:spacing w:val="40"/>
          <w:sz w:val="22"/>
        </w:rPr>
        <w:t> </w:t>
      </w:r>
      <w:r>
        <w:rPr>
          <w:sz w:val="22"/>
        </w:rPr>
        <w:t>How</w:t>
      </w:r>
      <w:r>
        <w:rPr>
          <w:spacing w:val="40"/>
          <w:sz w:val="22"/>
        </w:rPr>
        <w:t> </w:t>
      </w:r>
      <w:r>
        <w:rPr>
          <w:sz w:val="22"/>
        </w:rPr>
        <w:t>long</w:t>
      </w:r>
      <w:r>
        <w:rPr>
          <w:spacing w:val="38"/>
          <w:sz w:val="22"/>
        </w:rPr>
        <w:t> </w:t>
      </w:r>
      <w:r>
        <w:rPr>
          <w:sz w:val="22"/>
        </w:rPr>
        <w:t>does</w:t>
      </w:r>
      <w:r>
        <w:rPr>
          <w:spacing w:val="40"/>
          <w:sz w:val="22"/>
        </w:rPr>
        <w:t> </w:t>
      </w:r>
      <w:r>
        <w:rPr>
          <w:sz w:val="22"/>
        </w:rPr>
        <w:t>it</w:t>
      </w:r>
      <w:r>
        <w:rPr>
          <w:spacing w:val="40"/>
          <w:sz w:val="22"/>
        </w:rPr>
        <w:t> </w:t>
      </w:r>
      <w:r>
        <w:rPr>
          <w:sz w:val="22"/>
        </w:rPr>
        <w:t>usually</w:t>
      </w:r>
      <w:r>
        <w:rPr>
          <w:spacing w:val="38"/>
          <w:sz w:val="22"/>
        </w:rPr>
        <w:t> </w:t>
      </w:r>
      <w:r>
        <w:rPr>
          <w:sz w:val="22"/>
        </w:rPr>
        <w:t>take</w:t>
      </w:r>
      <w:r>
        <w:rPr>
          <w:spacing w:val="40"/>
          <w:sz w:val="22"/>
        </w:rPr>
        <w:t> </w:t>
      </w:r>
      <w:r>
        <w:rPr>
          <w:sz w:val="22"/>
        </w:rPr>
        <w:t>and</w:t>
      </w:r>
      <w:r>
        <w:rPr>
          <w:spacing w:val="39"/>
          <w:sz w:val="22"/>
        </w:rPr>
        <w:t> </w:t>
      </w:r>
      <w:r>
        <w:rPr>
          <w:sz w:val="22"/>
        </w:rPr>
        <w:t>what</w:t>
      </w:r>
      <w:r>
        <w:rPr>
          <w:spacing w:val="40"/>
          <w:sz w:val="22"/>
        </w:rPr>
        <w:t> </w:t>
      </w:r>
      <w:r>
        <w:rPr>
          <w:sz w:val="22"/>
        </w:rPr>
        <w:t>is</w:t>
      </w:r>
      <w:r>
        <w:rPr>
          <w:spacing w:val="40"/>
          <w:sz w:val="22"/>
        </w:rPr>
        <w:t> </w:t>
      </w:r>
      <w:r>
        <w:rPr>
          <w:sz w:val="22"/>
        </w:rPr>
        <w:t>(are)</w:t>
      </w:r>
      <w:r>
        <w:rPr>
          <w:spacing w:val="39"/>
          <w:sz w:val="22"/>
        </w:rPr>
        <w:t> </w:t>
      </w:r>
      <w:r>
        <w:rPr>
          <w:sz w:val="22"/>
        </w:rPr>
        <w:t>the reason(s) behind the delay?</w:t>
      </w:r>
    </w:p>
    <w:p>
      <w:pPr>
        <w:pStyle w:val="BodyText"/>
        <w:spacing w:before="45"/>
        <w:rPr>
          <w:sz w:val="22"/>
        </w:rPr>
      </w:pPr>
    </w:p>
    <w:p>
      <w:pPr>
        <w:pStyle w:val="ListParagraph"/>
        <w:numPr>
          <w:ilvl w:val="1"/>
          <w:numId w:val="112"/>
        </w:numPr>
        <w:tabs>
          <w:tab w:pos="840" w:val="left" w:leader="none"/>
        </w:tabs>
        <w:spacing w:line="240" w:lineRule="auto" w:before="0" w:after="0"/>
        <w:ind w:left="840" w:right="1117" w:hanging="360"/>
        <w:jc w:val="both"/>
        <w:rPr>
          <w:sz w:val="22"/>
        </w:rPr>
      </w:pPr>
      <w:r>
        <w:rPr>
          <w:sz w:val="22"/>
        </w:rPr>
        <w:t>What problems or challenges do you often face in the formulation, preparation, approval, execution, monitoring and evaluation that hinder effective implementation and performance of</w:t>
      </w:r>
      <w:r>
        <w:rPr>
          <w:spacing w:val="40"/>
          <w:sz w:val="22"/>
        </w:rPr>
        <w:t> </w:t>
      </w:r>
      <w:r>
        <w:rPr>
          <w:sz w:val="22"/>
        </w:rPr>
        <w:t>the housing budget?</w:t>
      </w:r>
    </w:p>
    <w:p>
      <w:pPr>
        <w:pStyle w:val="ListParagraph"/>
        <w:numPr>
          <w:ilvl w:val="1"/>
          <w:numId w:val="112"/>
        </w:numPr>
        <w:tabs>
          <w:tab w:pos="840" w:val="left" w:leader="none"/>
        </w:tabs>
        <w:spacing w:line="240" w:lineRule="auto" w:before="172" w:after="0"/>
        <w:ind w:left="840" w:right="1123" w:hanging="360"/>
        <w:jc w:val="both"/>
        <w:rPr>
          <w:sz w:val="22"/>
        </w:rPr>
      </w:pPr>
      <w:r>
        <w:rPr>
          <w:sz w:val="22"/>
        </w:rPr>
        <w:t>Do you think the annual budget allocation for housing in Anambra State is sufficient to fill the much needed housing deficit? Yes or No.</w:t>
      </w:r>
    </w:p>
    <w:p>
      <w:pPr>
        <w:pStyle w:val="ListParagraph"/>
        <w:numPr>
          <w:ilvl w:val="1"/>
          <w:numId w:val="112"/>
        </w:numPr>
        <w:tabs>
          <w:tab w:pos="840" w:val="left" w:leader="none"/>
        </w:tabs>
        <w:spacing w:line="240" w:lineRule="auto" w:before="185" w:after="0"/>
        <w:ind w:left="840" w:right="1117" w:hanging="360"/>
        <w:jc w:val="both"/>
        <w:rPr>
          <w:sz w:val="22"/>
        </w:rPr>
      </w:pPr>
      <w:r>
        <w:rPr>
          <w:sz w:val="22"/>
        </w:rPr>
        <w:t>Do you have any available data on housing needs of the State? If yes, how often do you carry out a survey or research on housing needs?</w:t>
      </w:r>
    </w:p>
    <w:p>
      <w:pPr>
        <w:pStyle w:val="ListParagraph"/>
        <w:numPr>
          <w:ilvl w:val="1"/>
          <w:numId w:val="112"/>
        </w:numPr>
        <w:tabs>
          <w:tab w:pos="840" w:val="left" w:leader="none"/>
        </w:tabs>
        <w:spacing w:line="240" w:lineRule="auto" w:before="174" w:after="0"/>
        <w:ind w:left="840" w:right="1116" w:hanging="360"/>
        <w:jc w:val="both"/>
        <w:rPr>
          <w:sz w:val="22"/>
        </w:rPr>
      </w:pPr>
      <w:r>
        <w:rPr>
          <w:sz w:val="22"/>
        </w:rPr>
        <w:t>Do you think the current method of budgeting is suitable for housing in Anambra State? If yes, kindly state your reason(s). If no, suggest an alternative.</w:t>
      </w:r>
    </w:p>
    <w:p>
      <w:pPr>
        <w:pStyle w:val="ListParagraph"/>
        <w:numPr>
          <w:ilvl w:val="1"/>
          <w:numId w:val="112"/>
        </w:numPr>
        <w:tabs>
          <w:tab w:pos="840" w:val="left" w:leader="none"/>
        </w:tabs>
        <w:spacing w:line="240" w:lineRule="auto" w:before="207" w:after="0"/>
        <w:ind w:left="840" w:right="1117" w:hanging="360"/>
        <w:jc w:val="both"/>
        <w:rPr>
          <w:sz w:val="22"/>
        </w:rPr>
      </w:pPr>
      <w:r>
        <w:rPr>
          <w:sz w:val="22"/>
        </w:rPr>
        <w:t>Is</w:t>
      </w:r>
      <w:r>
        <w:rPr>
          <w:spacing w:val="-2"/>
          <w:sz w:val="22"/>
        </w:rPr>
        <w:t> </w:t>
      </w:r>
      <w:r>
        <w:rPr>
          <w:sz w:val="22"/>
        </w:rPr>
        <w:t>there</w:t>
      </w:r>
      <w:r>
        <w:rPr>
          <w:spacing w:val="-2"/>
          <w:sz w:val="22"/>
        </w:rPr>
        <w:t> </w:t>
      </w:r>
      <w:r>
        <w:rPr>
          <w:sz w:val="22"/>
        </w:rPr>
        <w:t>any</w:t>
      </w:r>
      <w:r>
        <w:rPr>
          <w:spacing w:val="-5"/>
          <w:sz w:val="22"/>
        </w:rPr>
        <w:t> </w:t>
      </w:r>
      <w:r>
        <w:rPr>
          <w:sz w:val="22"/>
        </w:rPr>
        <w:t>measure</w:t>
      </w:r>
      <w:r>
        <w:rPr>
          <w:spacing w:val="-2"/>
          <w:sz w:val="22"/>
        </w:rPr>
        <w:t> </w:t>
      </w:r>
      <w:r>
        <w:rPr>
          <w:sz w:val="22"/>
        </w:rPr>
        <w:t>or structure</w:t>
      </w:r>
      <w:r>
        <w:rPr>
          <w:spacing w:val="-1"/>
          <w:sz w:val="22"/>
        </w:rPr>
        <w:t> </w:t>
      </w:r>
      <w:r>
        <w:rPr>
          <w:sz w:val="22"/>
        </w:rPr>
        <w:t>or</w:t>
      </w:r>
      <w:r>
        <w:rPr>
          <w:spacing w:val="-2"/>
          <w:sz w:val="22"/>
        </w:rPr>
        <w:t> </w:t>
      </w:r>
      <w:r>
        <w:rPr>
          <w:sz w:val="22"/>
        </w:rPr>
        <w:t>mechanism</w:t>
      </w:r>
      <w:r>
        <w:rPr>
          <w:spacing w:val="-5"/>
          <w:sz w:val="22"/>
        </w:rPr>
        <w:t> </w:t>
      </w:r>
      <w:r>
        <w:rPr>
          <w:sz w:val="22"/>
        </w:rPr>
        <w:t>in</w:t>
      </w:r>
      <w:r>
        <w:rPr>
          <w:spacing w:val="-2"/>
          <w:sz w:val="22"/>
        </w:rPr>
        <w:t> </w:t>
      </w:r>
      <w:r>
        <w:rPr>
          <w:sz w:val="22"/>
        </w:rPr>
        <w:t>place</w:t>
      </w:r>
      <w:r>
        <w:rPr>
          <w:spacing w:val="-2"/>
          <w:sz w:val="22"/>
        </w:rPr>
        <w:t> </w:t>
      </w:r>
      <w:r>
        <w:rPr>
          <w:sz w:val="22"/>
        </w:rPr>
        <w:t>established</w:t>
      </w:r>
      <w:r>
        <w:rPr>
          <w:spacing w:val="-2"/>
          <w:sz w:val="22"/>
        </w:rPr>
        <w:t> </w:t>
      </w:r>
      <w:r>
        <w:rPr>
          <w:sz w:val="22"/>
        </w:rPr>
        <w:t>by</w:t>
      </w:r>
      <w:r>
        <w:rPr>
          <w:spacing w:val="-4"/>
          <w:sz w:val="22"/>
        </w:rPr>
        <w:t> </w:t>
      </w:r>
      <w:r>
        <w:rPr>
          <w:sz w:val="22"/>
        </w:rPr>
        <w:t>the</w:t>
      </w:r>
      <w:r>
        <w:rPr>
          <w:spacing w:val="-2"/>
          <w:sz w:val="22"/>
        </w:rPr>
        <w:t> </w:t>
      </w:r>
      <w:r>
        <w:rPr>
          <w:sz w:val="22"/>
        </w:rPr>
        <w:t>government</w:t>
      </w:r>
      <w:r>
        <w:rPr>
          <w:spacing w:val="-1"/>
          <w:sz w:val="22"/>
        </w:rPr>
        <w:t> </w:t>
      </w:r>
      <w:r>
        <w:rPr>
          <w:sz w:val="22"/>
        </w:rPr>
        <w:t>to</w:t>
      </w:r>
      <w:r>
        <w:rPr>
          <w:spacing w:val="-2"/>
          <w:sz w:val="22"/>
        </w:rPr>
        <w:t> </w:t>
      </w:r>
      <w:r>
        <w:rPr>
          <w:sz w:val="22"/>
        </w:rPr>
        <w:t>monitor the utilization of housing budget funds? If yes, briefly describe.</w:t>
      </w:r>
    </w:p>
    <w:p>
      <w:pPr>
        <w:pStyle w:val="BodyText"/>
        <w:spacing w:before="23"/>
        <w:rPr>
          <w:sz w:val="22"/>
        </w:rPr>
      </w:pPr>
    </w:p>
    <w:p>
      <w:pPr>
        <w:pStyle w:val="ListParagraph"/>
        <w:numPr>
          <w:ilvl w:val="1"/>
          <w:numId w:val="112"/>
        </w:numPr>
        <w:tabs>
          <w:tab w:pos="840" w:val="left" w:leader="none"/>
        </w:tabs>
        <w:spacing w:line="240" w:lineRule="auto" w:before="1" w:after="0"/>
        <w:ind w:left="840" w:right="1115" w:hanging="360"/>
        <w:jc w:val="both"/>
        <w:rPr>
          <w:sz w:val="22"/>
        </w:rPr>
      </w:pPr>
      <w:r>
        <w:rPr>
          <w:sz w:val="22"/>
        </w:rPr>
        <w:t>Do citizens of the State participate in the housing budget process? If yes, please describe what methods you use and how often it is done.</w:t>
      </w:r>
    </w:p>
    <w:p>
      <w:pPr>
        <w:pStyle w:val="ListParagraph"/>
        <w:numPr>
          <w:ilvl w:val="1"/>
          <w:numId w:val="112"/>
        </w:numPr>
        <w:tabs>
          <w:tab w:pos="840" w:val="left" w:leader="none"/>
        </w:tabs>
        <w:spacing w:line="240" w:lineRule="auto" w:before="252" w:after="0"/>
        <w:ind w:left="840" w:right="1112" w:hanging="360"/>
        <w:jc w:val="both"/>
        <w:rPr>
          <w:sz w:val="22"/>
        </w:rPr>
      </w:pPr>
      <w:r>
        <w:rPr>
          <w:sz w:val="22"/>
        </w:rPr>
        <w:t>Have</w:t>
      </w:r>
      <w:r>
        <w:rPr>
          <w:spacing w:val="-1"/>
          <w:sz w:val="22"/>
        </w:rPr>
        <w:t> </w:t>
      </w:r>
      <w:r>
        <w:rPr>
          <w:sz w:val="22"/>
        </w:rPr>
        <w:t>you</w:t>
      </w:r>
      <w:r>
        <w:rPr>
          <w:spacing w:val="-1"/>
          <w:sz w:val="22"/>
        </w:rPr>
        <w:t> </w:t>
      </w:r>
      <w:r>
        <w:rPr>
          <w:sz w:val="22"/>
        </w:rPr>
        <w:t>ever received</w:t>
      </w:r>
      <w:r>
        <w:rPr>
          <w:spacing w:val="-1"/>
          <w:sz w:val="22"/>
        </w:rPr>
        <w:t> </w:t>
      </w:r>
      <w:r>
        <w:rPr>
          <w:sz w:val="22"/>
        </w:rPr>
        <w:t>citizen complaints</w:t>
      </w:r>
      <w:r>
        <w:rPr>
          <w:spacing w:val="-3"/>
          <w:sz w:val="22"/>
        </w:rPr>
        <w:t> </w:t>
      </w:r>
      <w:r>
        <w:rPr>
          <w:sz w:val="22"/>
        </w:rPr>
        <w:t>regarding</w:t>
      </w:r>
      <w:r>
        <w:rPr>
          <w:spacing w:val="-4"/>
          <w:sz w:val="22"/>
        </w:rPr>
        <w:t> </w:t>
      </w:r>
      <w:r>
        <w:rPr>
          <w:sz w:val="22"/>
        </w:rPr>
        <w:t>the</w:t>
      </w:r>
      <w:r>
        <w:rPr>
          <w:spacing w:val="-1"/>
          <w:sz w:val="22"/>
        </w:rPr>
        <w:t> </w:t>
      </w:r>
      <w:r>
        <w:rPr>
          <w:sz w:val="22"/>
        </w:rPr>
        <w:t>housing</w:t>
      </w:r>
      <w:r>
        <w:rPr>
          <w:spacing w:val="-4"/>
          <w:sz w:val="22"/>
        </w:rPr>
        <w:t> </w:t>
      </w:r>
      <w:r>
        <w:rPr>
          <w:sz w:val="22"/>
        </w:rPr>
        <w:t>budget</w:t>
      </w:r>
      <w:r>
        <w:rPr>
          <w:spacing w:val="-2"/>
          <w:sz w:val="22"/>
        </w:rPr>
        <w:t> </w:t>
      </w:r>
      <w:r>
        <w:rPr>
          <w:sz w:val="22"/>
        </w:rPr>
        <w:t>of Anambra?</w:t>
      </w:r>
      <w:r>
        <w:rPr>
          <w:spacing w:val="-3"/>
          <w:sz w:val="22"/>
        </w:rPr>
        <w:t> </w:t>
      </w:r>
      <w:r>
        <w:rPr>
          <w:sz w:val="22"/>
        </w:rPr>
        <w:t>If yes, how do you get to hear of such complaints, what are the most common areas of complaints, and what</w:t>
      </w:r>
      <w:r>
        <w:rPr>
          <w:spacing w:val="40"/>
          <w:sz w:val="22"/>
        </w:rPr>
        <w:t> </w:t>
      </w:r>
      <w:r>
        <w:rPr>
          <w:sz w:val="22"/>
        </w:rPr>
        <w:t>is the nature of such complaints?</w:t>
      </w:r>
    </w:p>
    <w:p>
      <w:pPr>
        <w:pStyle w:val="ListParagraph"/>
        <w:numPr>
          <w:ilvl w:val="2"/>
          <w:numId w:val="112"/>
        </w:numPr>
        <w:tabs>
          <w:tab w:pos="1560" w:val="left" w:leader="none"/>
          <w:tab w:pos="6116" w:val="left" w:leader="dot"/>
        </w:tabs>
        <w:spacing w:line="267" w:lineRule="exact" w:before="0" w:after="0"/>
        <w:ind w:left="1560" w:right="0" w:hanging="360"/>
        <w:jc w:val="left"/>
        <w:rPr>
          <w:sz w:val="22"/>
        </w:rPr>
      </w:pPr>
      <w:r>
        <w:rPr>
          <w:sz w:val="22"/>
        </w:rPr>
        <w:t>Budget</w:t>
      </w:r>
      <w:r>
        <w:rPr>
          <w:spacing w:val="-3"/>
          <w:sz w:val="22"/>
        </w:rPr>
        <w:t> </w:t>
      </w:r>
      <w:r>
        <w:rPr>
          <w:spacing w:val="-2"/>
          <w:sz w:val="22"/>
        </w:rPr>
        <w:t>preparation</w:t>
      </w:r>
      <w:r>
        <w:rPr>
          <w:sz w:val="22"/>
        </w:rPr>
        <w:tab/>
      </w:r>
      <w:r>
        <w:rPr>
          <w:spacing w:val="-2"/>
          <w:sz w:val="22"/>
        </w:rPr>
        <w:t>common/rare/occasional/never</w:t>
      </w:r>
    </w:p>
    <w:p>
      <w:pPr>
        <w:pStyle w:val="ListParagraph"/>
        <w:numPr>
          <w:ilvl w:val="2"/>
          <w:numId w:val="112"/>
        </w:numPr>
        <w:tabs>
          <w:tab w:pos="1560" w:val="left" w:leader="none"/>
          <w:tab w:pos="6104" w:val="left" w:leader="dot"/>
        </w:tabs>
        <w:spacing w:line="269" w:lineRule="exact" w:before="0" w:after="0"/>
        <w:ind w:left="1560" w:right="0" w:hanging="360"/>
        <w:jc w:val="left"/>
        <w:rPr>
          <w:sz w:val="22"/>
        </w:rPr>
      </w:pPr>
      <w:r>
        <w:rPr>
          <w:sz w:val="22"/>
        </w:rPr>
        <w:t>Budget</w:t>
      </w:r>
      <w:r>
        <w:rPr>
          <w:spacing w:val="-5"/>
          <w:sz w:val="22"/>
        </w:rPr>
        <w:t> </w:t>
      </w:r>
      <w:r>
        <w:rPr>
          <w:spacing w:val="-2"/>
          <w:sz w:val="22"/>
        </w:rPr>
        <w:t>approval</w:t>
      </w:r>
      <w:r>
        <w:rPr>
          <w:sz w:val="22"/>
        </w:rPr>
        <w:tab/>
      </w:r>
      <w:r>
        <w:rPr>
          <w:spacing w:val="-2"/>
          <w:sz w:val="22"/>
        </w:rPr>
        <w:t>common/rare/occasional/never</w:t>
      </w:r>
    </w:p>
    <w:p>
      <w:pPr>
        <w:pStyle w:val="ListParagraph"/>
        <w:numPr>
          <w:ilvl w:val="2"/>
          <w:numId w:val="112"/>
        </w:numPr>
        <w:tabs>
          <w:tab w:pos="1560" w:val="left" w:leader="none"/>
          <w:tab w:pos="6418" w:val="left" w:leader="dot"/>
        </w:tabs>
        <w:spacing w:line="269" w:lineRule="exact" w:before="0" w:after="0"/>
        <w:ind w:left="1560" w:right="0" w:hanging="360"/>
        <w:jc w:val="left"/>
        <w:rPr>
          <w:sz w:val="22"/>
        </w:rPr>
      </w:pPr>
      <w:r>
        <w:rPr>
          <w:sz w:val="22"/>
        </w:rPr>
        <w:t>Publication</w:t>
      </w:r>
      <w:r>
        <w:rPr>
          <w:spacing w:val="-6"/>
          <w:sz w:val="22"/>
        </w:rPr>
        <w:t> </w:t>
      </w:r>
      <w:r>
        <w:rPr>
          <w:sz w:val="22"/>
        </w:rPr>
        <w:t>and</w:t>
      </w:r>
      <w:r>
        <w:rPr>
          <w:spacing w:val="-3"/>
          <w:sz w:val="22"/>
        </w:rPr>
        <w:t> </w:t>
      </w:r>
      <w:r>
        <w:rPr>
          <w:sz w:val="22"/>
        </w:rPr>
        <w:t>dissemination</w:t>
      </w:r>
      <w:r>
        <w:rPr>
          <w:spacing w:val="-3"/>
          <w:sz w:val="22"/>
        </w:rPr>
        <w:t> </w:t>
      </w:r>
      <w:r>
        <w:rPr>
          <w:sz w:val="22"/>
        </w:rPr>
        <w:t>of</w:t>
      </w:r>
      <w:r>
        <w:rPr>
          <w:spacing w:val="-5"/>
          <w:sz w:val="22"/>
        </w:rPr>
        <w:t> </w:t>
      </w:r>
      <w:r>
        <w:rPr>
          <w:sz w:val="22"/>
        </w:rPr>
        <w:t>the</w:t>
      </w:r>
      <w:r>
        <w:rPr>
          <w:spacing w:val="-1"/>
          <w:sz w:val="22"/>
        </w:rPr>
        <w:t> </w:t>
      </w:r>
      <w:r>
        <w:rPr>
          <w:spacing w:val="-2"/>
          <w:sz w:val="22"/>
        </w:rPr>
        <w:t>budget</w:t>
      </w:r>
      <w:r>
        <w:rPr>
          <w:sz w:val="22"/>
        </w:rPr>
        <w:tab/>
      </w:r>
      <w:r>
        <w:rPr>
          <w:spacing w:val="-2"/>
          <w:sz w:val="22"/>
        </w:rPr>
        <w:t>common/rare/occasional/never</w:t>
      </w:r>
    </w:p>
    <w:p>
      <w:pPr>
        <w:pStyle w:val="ListParagraph"/>
        <w:numPr>
          <w:ilvl w:val="2"/>
          <w:numId w:val="112"/>
        </w:numPr>
        <w:tabs>
          <w:tab w:pos="1560" w:val="left" w:leader="none"/>
          <w:tab w:pos="6344" w:val="left" w:leader="dot"/>
        </w:tabs>
        <w:spacing w:line="269" w:lineRule="exact" w:before="0" w:after="0"/>
        <w:ind w:left="1560" w:right="0" w:hanging="360"/>
        <w:jc w:val="left"/>
        <w:rPr>
          <w:sz w:val="22"/>
        </w:rPr>
      </w:pPr>
      <w:r>
        <w:rPr>
          <w:sz w:val="22"/>
        </w:rPr>
        <w:t>Budget(amount)</w:t>
      </w:r>
      <w:r>
        <w:rPr>
          <w:spacing w:val="-7"/>
          <w:sz w:val="22"/>
        </w:rPr>
        <w:t> </w:t>
      </w:r>
      <w:r>
        <w:rPr>
          <w:sz w:val="22"/>
        </w:rPr>
        <w:t>allocated</w:t>
      </w:r>
      <w:r>
        <w:rPr>
          <w:spacing w:val="-6"/>
          <w:sz w:val="22"/>
        </w:rPr>
        <w:t> </w:t>
      </w:r>
      <w:r>
        <w:rPr>
          <w:sz w:val="22"/>
        </w:rPr>
        <w:t>for</w:t>
      </w:r>
      <w:r>
        <w:rPr>
          <w:spacing w:val="-4"/>
          <w:sz w:val="22"/>
        </w:rPr>
        <w:t> </w:t>
      </w:r>
      <w:r>
        <w:rPr>
          <w:spacing w:val="-2"/>
          <w:sz w:val="22"/>
        </w:rPr>
        <w:t>housing</w:t>
      </w:r>
      <w:r>
        <w:rPr>
          <w:sz w:val="22"/>
        </w:rPr>
        <w:tab/>
      </w:r>
      <w:r>
        <w:rPr>
          <w:spacing w:val="-2"/>
          <w:sz w:val="22"/>
        </w:rPr>
        <w:t>common/rare/occasional/never</w:t>
      </w:r>
    </w:p>
    <w:p>
      <w:pPr>
        <w:pStyle w:val="ListParagraph"/>
        <w:numPr>
          <w:ilvl w:val="2"/>
          <w:numId w:val="112"/>
        </w:numPr>
        <w:tabs>
          <w:tab w:pos="1560" w:val="left" w:leader="none"/>
          <w:tab w:pos="6418" w:val="left" w:leader="dot"/>
        </w:tabs>
        <w:spacing w:line="269" w:lineRule="exact" w:before="0" w:after="0"/>
        <w:ind w:left="1560" w:right="0" w:hanging="360"/>
        <w:jc w:val="left"/>
        <w:rPr>
          <w:sz w:val="22"/>
        </w:rPr>
      </w:pPr>
      <w:r>
        <w:rPr>
          <w:sz w:val="22"/>
        </w:rPr>
        <w:t>Tender</w:t>
      </w:r>
      <w:r>
        <w:rPr>
          <w:spacing w:val="-8"/>
          <w:sz w:val="22"/>
        </w:rPr>
        <w:t> </w:t>
      </w:r>
      <w:r>
        <w:rPr>
          <w:sz w:val="22"/>
        </w:rPr>
        <w:t>process/award</w:t>
      </w:r>
      <w:r>
        <w:rPr>
          <w:spacing w:val="-4"/>
          <w:sz w:val="22"/>
        </w:rPr>
        <w:t> </w:t>
      </w:r>
      <w:r>
        <w:rPr>
          <w:sz w:val="22"/>
        </w:rPr>
        <w:t>of</w:t>
      </w:r>
      <w:r>
        <w:rPr>
          <w:spacing w:val="-4"/>
          <w:sz w:val="22"/>
        </w:rPr>
        <w:t> </w:t>
      </w:r>
      <w:r>
        <w:rPr>
          <w:sz w:val="22"/>
        </w:rPr>
        <w:t>building</w:t>
      </w:r>
      <w:r>
        <w:rPr>
          <w:spacing w:val="-7"/>
          <w:sz w:val="22"/>
        </w:rPr>
        <w:t> </w:t>
      </w:r>
      <w:r>
        <w:rPr>
          <w:spacing w:val="-2"/>
          <w:sz w:val="22"/>
        </w:rPr>
        <w:t>contracts.</w:t>
      </w:r>
      <w:r>
        <w:rPr>
          <w:sz w:val="22"/>
        </w:rPr>
        <w:tab/>
      </w:r>
      <w:r>
        <w:rPr>
          <w:spacing w:val="-2"/>
          <w:sz w:val="22"/>
        </w:rPr>
        <w:t>common/rare/occasional/never</w:t>
      </w:r>
    </w:p>
    <w:p>
      <w:pPr>
        <w:pStyle w:val="ListParagraph"/>
        <w:numPr>
          <w:ilvl w:val="2"/>
          <w:numId w:val="112"/>
        </w:numPr>
        <w:tabs>
          <w:tab w:pos="1560" w:val="left" w:leader="none"/>
          <w:tab w:pos="6464" w:val="left" w:leader="dot"/>
        </w:tabs>
        <w:spacing w:line="269" w:lineRule="exact" w:before="0" w:after="0"/>
        <w:ind w:left="1560" w:right="0" w:hanging="360"/>
        <w:jc w:val="left"/>
        <w:rPr>
          <w:sz w:val="22"/>
        </w:rPr>
      </w:pPr>
      <w:r>
        <w:rPr>
          <w:sz w:val="22"/>
        </w:rPr>
        <w:t>Monitoring</w:t>
      </w:r>
      <w:r>
        <w:rPr>
          <w:spacing w:val="-6"/>
          <w:sz w:val="22"/>
        </w:rPr>
        <w:t> </w:t>
      </w:r>
      <w:r>
        <w:rPr>
          <w:sz w:val="22"/>
        </w:rPr>
        <w:t>and</w:t>
      </w:r>
      <w:r>
        <w:rPr>
          <w:spacing w:val="-1"/>
          <w:sz w:val="22"/>
        </w:rPr>
        <w:t> </w:t>
      </w:r>
      <w:r>
        <w:rPr>
          <w:sz w:val="22"/>
        </w:rPr>
        <w:t>supervision</w:t>
      </w:r>
      <w:r>
        <w:rPr>
          <w:spacing w:val="-6"/>
          <w:sz w:val="22"/>
        </w:rPr>
        <w:t> </w:t>
      </w:r>
      <w:r>
        <w:rPr>
          <w:sz w:val="22"/>
        </w:rPr>
        <w:t>of</w:t>
      </w:r>
      <w:r>
        <w:rPr>
          <w:spacing w:val="-2"/>
          <w:sz w:val="22"/>
        </w:rPr>
        <w:t> </w:t>
      </w:r>
      <w:r>
        <w:rPr>
          <w:sz w:val="22"/>
        </w:rPr>
        <w:t>housing</w:t>
      </w:r>
      <w:r>
        <w:rPr>
          <w:spacing w:val="-5"/>
          <w:sz w:val="22"/>
        </w:rPr>
        <w:t> </w:t>
      </w:r>
      <w:r>
        <w:rPr>
          <w:spacing w:val="-2"/>
          <w:sz w:val="22"/>
        </w:rPr>
        <w:t>projects</w:t>
      </w:r>
      <w:r>
        <w:rPr>
          <w:sz w:val="22"/>
        </w:rPr>
        <w:tab/>
      </w:r>
      <w:r>
        <w:rPr>
          <w:spacing w:val="-2"/>
          <w:sz w:val="22"/>
        </w:rPr>
        <w:t>common/rare/occasional/never</w:t>
      </w:r>
    </w:p>
    <w:p>
      <w:pPr>
        <w:pStyle w:val="ListParagraph"/>
        <w:numPr>
          <w:ilvl w:val="2"/>
          <w:numId w:val="112"/>
        </w:numPr>
        <w:tabs>
          <w:tab w:pos="1560" w:val="left" w:leader="none"/>
          <w:tab w:pos="6327" w:val="left" w:leader="dot"/>
        </w:tabs>
        <w:spacing w:line="269" w:lineRule="exact" w:before="0" w:after="0"/>
        <w:ind w:left="1560" w:right="0" w:hanging="360"/>
        <w:jc w:val="left"/>
        <w:rPr>
          <w:sz w:val="22"/>
        </w:rPr>
      </w:pPr>
      <w:r>
        <w:rPr>
          <w:sz w:val="22"/>
        </w:rPr>
        <w:t>Quality</w:t>
      </w:r>
      <w:r>
        <w:rPr>
          <w:spacing w:val="-7"/>
          <w:sz w:val="22"/>
        </w:rPr>
        <w:t> </w:t>
      </w:r>
      <w:r>
        <w:rPr>
          <w:sz w:val="22"/>
        </w:rPr>
        <w:t>of</w:t>
      </w:r>
      <w:r>
        <w:rPr>
          <w:spacing w:val="-4"/>
          <w:sz w:val="22"/>
        </w:rPr>
        <w:t> </w:t>
      </w:r>
      <w:r>
        <w:rPr>
          <w:sz w:val="22"/>
        </w:rPr>
        <w:t>buildings</w:t>
      </w:r>
      <w:r>
        <w:rPr>
          <w:spacing w:val="-4"/>
          <w:sz w:val="22"/>
        </w:rPr>
        <w:t> </w:t>
      </w:r>
      <w:r>
        <w:rPr>
          <w:spacing w:val="-2"/>
          <w:sz w:val="22"/>
        </w:rPr>
        <w:t>constructed</w:t>
      </w:r>
      <w:r>
        <w:rPr>
          <w:sz w:val="22"/>
        </w:rPr>
        <w:tab/>
      </w:r>
      <w:r>
        <w:rPr>
          <w:spacing w:val="-2"/>
          <w:sz w:val="22"/>
        </w:rPr>
        <w:t>common/rare/occasional/never</w:t>
      </w:r>
    </w:p>
    <w:p>
      <w:pPr>
        <w:pStyle w:val="ListParagraph"/>
        <w:numPr>
          <w:ilvl w:val="2"/>
          <w:numId w:val="112"/>
        </w:numPr>
        <w:tabs>
          <w:tab w:pos="1560" w:val="left" w:leader="none"/>
          <w:tab w:pos="6109" w:val="left" w:leader="dot"/>
        </w:tabs>
        <w:spacing w:line="269" w:lineRule="exact" w:before="0" w:after="0"/>
        <w:ind w:left="1560" w:right="0" w:hanging="360"/>
        <w:jc w:val="left"/>
        <w:rPr>
          <w:sz w:val="22"/>
        </w:rPr>
      </w:pPr>
      <w:r>
        <w:rPr>
          <w:sz w:val="22"/>
        </w:rPr>
        <w:t>Others</w:t>
      </w:r>
      <w:r>
        <w:rPr>
          <w:spacing w:val="-6"/>
          <w:sz w:val="22"/>
        </w:rPr>
        <w:t> </w:t>
      </w:r>
      <w:r>
        <w:rPr>
          <w:spacing w:val="-2"/>
          <w:sz w:val="22"/>
        </w:rPr>
        <w:t>(state)</w:t>
      </w:r>
      <w:r>
        <w:rPr>
          <w:sz w:val="22"/>
        </w:rPr>
        <w:tab/>
      </w:r>
      <w:r>
        <w:rPr>
          <w:spacing w:val="-2"/>
          <w:sz w:val="22"/>
        </w:rPr>
        <w:t>common/rare/occasional/never</w:t>
      </w:r>
    </w:p>
    <w:p>
      <w:pPr>
        <w:pStyle w:val="ListParagraph"/>
        <w:numPr>
          <w:ilvl w:val="1"/>
          <w:numId w:val="112"/>
        </w:numPr>
        <w:tabs>
          <w:tab w:pos="840" w:val="left" w:leader="none"/>
        </w:tabs>
        <w:spacing w:line="240" w:lineRule="auto" w:before="174" w:after="0"/>
        <w:ind w:left="840" w:right="1121" w:hanging="360"/>
        <w:jc w:val="both"/>
        <w:rPr>
          <w:sz w:val="22"/>
        </w:rPr>
      </w:pPr>
      <w:r>
        <w:rPr>
          <w:sz w:val="22"/>
        </w:rPr>
        <w:t>Do you carry out periodic monitoring and evaluation of the housing budget process and housing construction projects? If yes, please briefly describe how you do it and how often?</w:t>
      </w:r>
    </w:p>
    <w:p>
      <w:pPr>
        <w:pStyle w:val="ListParagraph"/>
        <w:numPr>
          <w:ilvl w:val="1"/>
          <w:numId w:val="112"/>
        </w:numPr>
        <w:tabs>
          <w:tab w:pos="840" w:val="left" w:leader="none"/>
        </w:tabs>
        <w:spacing w:line="240" w:lineRule="auto" w:before="187" w:after="0"/>
        <w:ind w:left="840" w:right="1120" w:hanging="360"/>
        <w:jc w:val="both"/>
        <w:rPr>
          <w:sz w:val="22"/>
        </w:rPr>
      </w:pPr>
      <w:r>
        <w:rPr>
          <w:sz w:val="22"/>
        </w:rPr>
        <w:t>Do you use any basis or benchmark(s) for stipulating annual budget ceiling for Housing in Anambra State? Please list.</w:t>
      </w:r>
    </w:p>
    <w:p>
      <w:pPr>
        <w:pStyle w:val="ListParagraph"/>
        <w:numPr>
          <w:ilvl w:val="1"/>
          <w:numId w:val="112"/>
        </w:numPr>
        <w:tabs>
          <w:tab w:pos="840" w:val="left" w:leader="none"/>
        </w:tabs>
        <w:spacing w:line="240" w:lineRule="auto" w:before="154" w:after="0"/>
        <w:ind w:left="840" w:right="1114" w:hanging="360"/>
        <w:jc w:val="both"/>
        <w:rPr>
          <w:sz w:val="22"/>
        </w:rPr>
      </w:pPr>
      <w:r>
        <w:rPr>
          <w:sz w:val="22"/>
        </w:rPr>
        <w:t>In view of the enormous role that the Anambra State Housing Corporation plays in providing housing for the citizens of the State, are provisions made in the annual housing budget to support their activities? If no, please state the reason(s).</w:t>
      </w:r>
    </w:p>
    <w:p>
      <w:pPr>
        <w:pStyle w:val="BodyText"/>
        <w:spacing w:before="6"/>
        <w:rPr>
          <w:sz w:val="22"/>
        </w:rPr>
      </w:pPr>
    </w:p>
    <w:p>
      <w:pPr>
        <w:pStyle w:val="ListParagraph"/>
        <w:numPr>
          <w:ilvl w:val="1"/>
          <w:numId w:val="112"/>
        </w:numPr>
        <w:tabs>
          <w:tab w:pos="840" w:val="left" w:leader="none"/>
        </w:tabs>
        <w:spacing w:line="240" w:lineRule="auto" w:before="1" w:after="0"/>
        <w:ind w:left="840" w:right="1122" w:hanging="360"/>
        <w:jc w:val="both"/>
        <w:rPr>
          <w:sz w:val="22"/>
        </w:rPr>
      </w:pPr>
      <w:r>
        <w:rPr>
          <w:sz w:val="22"/>
        </w:rPr>
        <w:t>Do you think the Quantity Surveyor, by virtue of his basic training in construction technology, construction measurement, economics, law and management should be involved in the entire budget process? Yes or No.</w:t>
      </w:r>
    </w:p>
    <w:p>
      <w:pPr>
        <w:pStyle w:val="BodyText"/>
        <w:spacing w:before="24"/>
        <w:rPr>
          <w:sz w:val="22"/>
        </w:rPr>
      </w:pPr>
    </w:p>
    <w:p>
      <w:pPr>
        <w:pStyle w:val="ListParagraph"/>
        <w:numPr>
          <w:ilvl w:val="1"/>
          <w:numId w:val="112"/>
        </w:numPr>
        <w:tabs>
          <w:tab w:pos="840" w:val="left" w:leader="none"/>
        </w:tabs>
        <w:spacing w:line="240" w:lineRule="auto" w:before="0" w:after="0"/>
        <w:ind w:left="840" w:right="1121" w:hanging="360"/>
        <w:jc w:val="both"/>
        <w:rPr>
          <w:sz w:val="22"/>
        </w:rPr>
      </w:pPr>
      <w:r>
        <w:rPr>
          <w:sz w:val="22"/>
        </w:rPr>
        <w:t>If your answer to question 14 is no, are (is) there any specific roles you think the Quantity Surveyor should play in the budget process? Please list.</w:t>
      </w:r>
    </w:p>
    <w:p>
      <w:pPr>
        <w:spacing w:after="0" w:line="240" w:lineRule="auto"/>
        <w:jc w:val="both"/>
        <w:rPr>
          <w:sz w:val="22"/>
        </w:rPr>
        <w:sectPr>
          <w:pgSz w:w="12240" w:h="15840"/>
          <w:pgMar w:header="0" w:footer="1036" w:top="1360" w:bottom="1220" w:left="1320" w:right="320"/>
        </w:sectPr>
      </w:pPr>
    </w:p>
    <w:p>
      <w:pPr>
        <w:pStyle w:val="ListParagraph"/>
        <w:numPr>
          <w:ilvl w:val="1"/>
          <w:numId w:val="112"/>
        </w:numPr>
        <w:tabs>
          <w:tab w:pos="840" w:val="left" w:leader="none"/>
        </w:tabs>
        <w:spacing w:line="240" w:lineRule="auto" w:before="74" w:after="0"/>
        <w:ind w:left="840" w:right="1119" w:hanging="360"/>
        <w:jc w:val="both"/>
        <w:rPr>
          <w:sz w:val="22"/>
        </w:rPr>
      </w:pPr>
      <w:r>
        <w:rPr>
          <w:sz w:val="22"/>
        </w:rPr>
        <w:t>On a scale of 1% - 100%, how will you assess the implementation of the annual housing budget</w:t>
      </w:r>
      <w:r>
        <w:rPr>
          <w:spacing w:val="40"/>
          <w:sz w:val="22"/>
        </w:rPr>
        <w:t> </w:t>
      </w:r>
      <w:r>
        <w:rPr>
          <w:sz w:val="22"/>
        </w:rPr>
        <w:t>of Anambra State?</w:t>
      </w:r>
    </w:p>
    <w:p>
      <w:pPr>
        <w:pStyle w:val="BodyText"/>
        <w:spacing w:before="26"/>
        <w:rPr>
          <w:sz w:val="22"/>
        </w:rPr>
      </w:pPr>
    </w:p>
    <w:p>
      <w:pPr>
        <w:pStyle w:val="ListParagraph"/>
        <w:numPr>
          <w:ilvl w:val="1"/>
          <w:numId w:val="112"/>
        </w:numPr>
        <w:tabs>
          <w:tab w:pos="840" w:val="left" w:leader="none"/>
        </w:tabs>
        <w:spacing w:line="240" w:lineRule="auto" w:before="0" w:after="0"/>
        <w:ind w:left="840" w:right="1123" w:hanging="360"/>
        <w:jc w:val="both"/>
        <w:rPr>
          <w:sz w:val="22"/>
        </w:rPr>
      </w:pPr>
      <w:r>
        <w:rPr>
          <w:sz w:val="22"/>
        </w:rPr>
        <w:t>Are there policies or developments that have been included in recent times by the State government in the housing budget process to improve housing delivery for the citizenry? If yes, briefly describe.</w:t>
      </w:r>
    </w:p>
    <w:p>
      <w:pPr>
        <w:pStyle w:val="BodyText"/>
        <w:spacing w:before="10"/>
        <w:rPr>
          <w:sz w:val="22"/>
        </w:rPr>
      </w:pPr>
    </w:p>
    <w:p>
      <w:pPr>
        <w:pStyle w:val="ListParagraph"/>
        <w:numPr>
          <w:ilvl w:val="1"/>
          <w:numId w:val="112"/>
        </w:numPr>
        <w:tabs>
          <w:tab w:pos="839" w:val="left" w:leader="none"/>
        </w:tabs>
        <w:spacing w:line="240" w:lineRule="auto" w:before="0" w:after="0"/>
        <w:ind w:left="839" w:right="0" w:hanging="359"/>
        <w:jc w:val="left"/>
        <w:rPr>
          <w:sz w:val="22"/>
        </w:rPr>
      </w:pPr>
      <w:r>
        <w:rPr>
          <w:sz w:val="22"/>
        </w:rPr>
        <w:t>What</w:t>
      </w:r>
      <w:r>
        <w:rPr>
          <w:spacing w:val="-8"/>
          <w:sz w:val="22"/>
        </w:rPr>
        <w:t> </w:t>
      </w:r>
      <w:r>
        <w:rPr>
          <w:sz w:val="22"/>
        </w:rPr>
        <w:t>suggestions</w:t>
      </w:r>
      <w:r>
        <w:rPr>
          <w:spacing w:val="-3"/>
          <w:sz w:val="22"/>
        </w:rPr>
        <w:t> </w:t>
      </w:r>
      <w:r>
        <w:rPr>
          <w:sz w:val="22"/>
        </w:rPr>
        <w:t>do</w:t>
      </w:r>
      <w:r>
        <w:rPr>
          <w:spacing w:val="-4"/>
          <w:sz w:val="22"/>
        </w:rPr>
        <w:t> </w:t>
      </w:r>
      <w:r>
        <w:rPr>
          <w:sz w:val="22"/>
        </w:rPr>
        <w:t>you</w:t>
      </w:r>
      <w:r>
        <w:rPr>
          <w:spacing w:val="-3"/>
          <w:sz w:val="22"/>
        </w:rPr>
        <w:t> </w:t>
      </w:r>
      <w:r>
        <w:rPr>
          <w:sz w:val="22"/>
        </w:rPr>
        <w:t>have</w:t>
      </w:r>
      <w:r>
        <w:rPr>
          <w:spacing w:val="-4"/>
          <w:sz w:val="22"/>
        </w:rPr>
        <w:t> </w:t>
      </w:r>
      <w:r>
        <w:rPr>
          <w:sz w:val="22"/>
        </w:rPr>
        <w:t>for</w:t>
      </w:r>
      <w:r>
        <w:rPr>
          <w:spacing w:val="-4"/>
          <w:sz w:val="22"/>
        </w:rPr>
        <w:t> </w:t>
      </w:r>
      <w:r>
        <w:rPr>
          <w:sz w:val="22"/>
        </w:rPr>
        <w:t>improving</w:t>
      </w:r>
      <w:r>
        <w:rPr>
          <w:spacing w:val="-6"/>
          <w:sz w:val="22"/>
        </w:rPr>
        <w:t> </w:t>
      </w:r>
      <w:r>
        <w:rPr>
          <w:sz w:val="22"/>
        </w:rPr>
        <w:t>housing</w:t>
      </w:r>
      <w:r>
        <w:rPr>
          <w:spacing w:val="-4"/>
          <w:sz w:val="22"/>
        </w:rPr>
        <w:t> </w:t>
      </w:r>
      <w:r>
        <w:rPr>
          <w:sz w:val="22"/>
        </w:rPr>
        <w:t>budget</w:t>
      </w:r>
      <w:r>
        <w:rPr>
          <w:spacing w:val="-3"/>
          <w:sz w:val="22"/>
        </w:rPr>
        <w:t> </w:t>
      </w:r>
      <w:r>
        <w:rPr>
          <w:sz w:val="22"/>
        </w:rPr>
        <w:t>performance</w:t>
      </w:r>
      <w:r>
        <w:rPr>
          <w:spacing w:val="-3"/>
          <w:sz w:val="22"/>
        </w:rPr>
        <w:t> </w:t>
      </w:r>
      <w:r>
        <w:rPr>
          <w:sz w:val="22"/>
        </w:rPr>
        <w:t>in</w:t>
      </w:r>
      <w:r>
        <w:rPr>
          <w:spacing w:val="-4"/>
          <w:sz w:val="22"/>
        </w:rPr>
        <w:t> </w:t>
      </w:r>
      <w:r>
        <w:rPr>
          <w:sz w:val="22"/>
        </w:rPr>
        <w:t>Anambra</w:t>
      </w:r>
      <w:r>
        <w:rPr>
          <w:spacing w:val="-3"/>
          <w:sz w:val="22"/>
        </w:rPr>
        <w:t> </w:t>
      </w:r>
      <w:r>
        <w:rPr>
          <w:spacing w:val="-2"/>
          <w:sz w:val="22"/>
        </w:rPr>
        <w:t>State?</w:t>
      </w:r>
    </w:p>
    <w:p>
      <w:pPr>
        <w:pStyle w:val="BodyText"/>
        <w:spacing w:before="133"/>
        <w:rPr>
          <w:sz w:val="22"/>
        </w:rPr>
      </w:pPr>
    </w:p>
    <w:p>
      <w:pPr>
        <w:pStyle w:val="ListParagraph"/>
        <w:numPr>
          <w:ilvl w:val="1"/>
          <w:numId w:val="112"/>
        </w:numPr>
        <w:tabs>
          <w:tab w:pos="839" w:val="left" w:leader="none"/>
        </w:tabs>
        <w:spacing w:line="240" w:lineRule="auto" w:before="0" w:after="0"/>
        <w:ind w:left="839" w:right="0" w:hanging="359"/>
        <w:jc w:val="left"/>
        <w:rPr>
          <w:sz w:val="22"/>
        </w:rPr>
      </w:pPr>
      <w:r>
        <w:rPr>
          <w:sz w:val="22"/>
        </w:rPr>
        <w:t>Is</w:t>
      </w:r>
      <w:r>
        <w:rPr>
          <w:spacing w:val="-4"/>
          <w:sz w:val="22"/>
        </w:rPr>
        <w:t> </w:t>
      </w:r>
      <w:r>
        <w:rPr>
          <w:sz w:val="22"/>
        </w:rPr>
        <w:t>there</w:t>
      </w:r>
      <w:r>
        <w:rPr>
          <w:spacing w:val="-1"/>
          <w:sz w:val="22"/>
        </w:rPr>
        <w:t> </w:t>
      </w:r>
      <w:r>
        <w:rPr>
          <w:sz w:val="22"/>
        </w:rPr>
        <w:t>any</w:t>
      </w:r>
      <w:r>
        <w:rPr>
          <w:spacing w:val="-5"/>
          <w:sz w:val="22"/>
        </w:rPr>
        <w:t> </w:t>
      </w:r>
      <w:r>
        <w:rPr>
          <w:sz w:val="22"/>
        </w:rPr>
        <w:t>question</w:t>
      </w:r>
      <w:r>
        <w:rPr>
          <w:spacing w:val="-1"/>
          <w:sz w:val="22"/>
        </w:rPr>
        <w:t> </w:t>
      </w:r>
      <w:r>
        <w:rPr>
          <w:sz w:val="22"/>
        </w:rPr>
        <w:t>you</w:t>
      </w:r>
      <w:r>
        <w:rPr>
          <w:spacing w:val="-2"/>
          <w:sz w:val="22"/>
        </w:rPr>
        <w:t> </w:t>
      </w:r>
      <w:r>
        <w:rPr>
          <w:sz w:val="22"/>
        </w:rPr>
        <w:t>would</w:t>
      </w:r>
      <w:r>
        <w:rPr>
          <w:spacing w:val="-4"/>
          <w:sz w:val="22"/>
        </w:rPr>
        <w:t> </w:t>
      </w:r>
      <w:r>
        <w:rPr>
          <w:sz w:val="22"/>
        </w:rPr>
        <w:t>like</w:t>
      </w:r>
      <w:r>
        <w:rPr>
          <w:spacing w:val="-2"/>
          <w:sz w:val="22"/>
        </w:rPr>
        <w:t> </w:t>
      </w:r>
      <w:r>
        <w:rPr>
          <w:sz w:val="22"/>
        </w:rPr>
        <w:t>to</w:t>
      </w:r>
      <w:r>
        <w:rPr>
          <w:spacing w:val="-4"/>
          <w:sz w:val="22"/>
        </w:rPr>
        <w:t> </w:t>
      </w:r>
      <w:r>
        <w:rPr>
          <w:sz w:val="22"/>
        </w:rPr>
        <w:t>ask</w:t>
      </w:r>
      <w:r>
        <w:rPr>
          <w:spacing w:val="-4"/>
          <w:sz w:val="22"/>
        </w:rPr>
        <w:t> </w:t>
      </w:r>
      <w:r>
        <w:rPr>
          <w:spacing w:val="-5"/>
          <w:sz w:val="22"/>
        </w:rPr>
        <w:t>me?</w:t>
      </w:r>
    </w:p>
    <w:p>
      <w:pPr>
        <w:spacing w:line="360" w:lineRule="auto" w:before="246"/>
        <w:ind w:left="120" w:right="1121" w:firstLine="0"/>
        <w:jc w:val="both"/>
        <w:rPr>
          <w:sz w:val="22"/>
        </w:rPr>
      </w:pPr>
      <w:r>
        <w:rPr>
          <w:sz w:val="22"/>
        </w:rPr>
        <w:t>Thank you for sparing some time out of your busy schedule to make this meeting possible. I wish to also thank you for the insights I have gained from your rich experience which will help in compiling data for this research.</w:t>
      </w:r>
    </w:p>
    <w:p>
      <w:pPr>
        <w:spacing w:after="0" w:line="360" w:lineRule="auto"/>
        <w:jc w:val="both"/>
        <w:rPr>
          <w:sz w:val="22"/>
        </w:rPr>
        <w:sectPr>
          <w:pgSz w:w="12240" w:h="15840"/>
          <w:pgMar w:header="0" w:footer="1036" w:top="1360" w:bottom="1220" w:left="1320" w:right="320"/>
        </w:sectPr>
      </w:pPr>
    </w:p>
    <w:p>
      <w:pPr>
        <w:pStyle w:val="Heading1"/>
      </w:pPr>
      <w:r>
        <w:rPr/>
        <w:t>APPENDIX</w:t>
      </w:r>
      <w:r>
        <w:rPr>
          <w:spacing w:val="-11"/>
        </w:rPr>
        <w:t> </w:t>
      </w:r>
      <w:r>
        <w:rPr>
          <w:spacing w:val="-10"/>
        </w:rPr>
        <w:t>3</w:t>
      </w:r>
    </w:p>
    <w:p>
      <w:pPr>
        <w:pStyle w:val="Heading2"/>
        <w:spacing w:before="277"/>
        <w:ind w:left="3" w:right="1002"/>
      </w:pPr>
      <w:r>
        <w:rPr/>
        <w:t>THE</w:t>
      </w:r>
      <w:r>
        <w:rPr>
          <w:spacing w:val="-8"/>
        </w:rPr>
        <w:t> </w:t>
      </w:r>
      <w:r>
        <w:rPr/>
        <w:t>PROPOSED</w:t>
      </w:r>
      <w:r>
        <w:rPr>
          <w:spacing w:val="-8"/>
        </w:rPr>
        <w:t> </w:t>
      </w:r>
      <w:r>
        <w:rPr/>
        <w:t>HOUSING</w:t>
      </w:r>
      <w:r>
        <w:rPr>
          <w:spacing w:val="-6"/>
        </w:rPr>
        <w:t> </w:t>
      </w:r>
      <w:r>
        <w:rPr/>
        <w:t>BUDGET</w:t>
      </w:r>
      <w:r>
        <w:rPr>
          <w:spacing w:val="-8"/>
        </w:rPr>
        <w:t> </w:t>
      </w:r>
      <w:r>
        <w:rPr/>
        <w:t>PERFORMANCE</w:t>
      </w:r>
      <w:r>
        <w:rPr>
          <w:spacing w:val="-3"/>
        </w:rPr>
        <w:t> </w:t>
      </w:r>
      <w:r>
        <w:rPr/>
        <w:t>MONITORING</w:t>
      </w:r>
      <w:r>
        <w:rPr>
          <w:spacing w:val="-8"/>
        </w:rPr>
        <w:t> </w:t>
      </w:r>
      <w:r>
        <w:rPr/>
        <w:t>AND REVIEW TEMPLATES FOR ANAMBRA STATE</w:t>
      </w:r>
    </w:p>
    <w:p>
      <w:pPr>
        <w:pStyle w:val="BodyText"/>
        <w:rPr>
          <w:b/>
          <w:sz w:val="26"/>
        </w:rPr>
      </w:pPr>
    </w:p>
    <w:p>
      <w:pPr>
        <w:pStyle w:val="BodyText"/>
        <w:spacing w:before="208"/>
        <w:rPr>
          <w:b/>
          <w:sz w:val="26"/>
        </w:rPr>
      </w:pPr>
    </w:p>
    <w:p>
      <w:pPr>
        <w:pStyle w:val="BodyText"/>
        <w:ind w:left="120"/>
      </w:pPr>
      <w:r>
        <w:rPr/>
        <w:t>Budget</w:t>
      </w:r>
      <w:r>
        <w:rPr>
          <w:spacing w:val="-4"/>
        </w:rPr>
        <w:t> </w:t>
      </w:r>
      <w:r>
        <w:rPr/>
        <w:t>Performance</w:t>
      </w:r>
      <w:r>
        <w:rPr>
          <w:spacing w:val="-1"/>
        </w:rPr>
        <w:t> </w:t>
      </w:r>
      <w:r>
        <w:rPr/>
        <w:t>Monitoring</w:t>
      </w:r>
      <w:r>
        <w:rPr>
          <w:spacing w:val="-3"/>
        </w:rPr>
        <w:t> </w:t>
      </w:r>
      <w:r>
        <w:rPr/>
        <w:t>Template</w:t>
      </w:r>
      <w:r>
        <w:rPr>
          <w:spacing w:val="-1"/>
        </w:rPr>
        <w:t> </w:t>
      </w:r>
      <w:r>
        <w:rPr/>
        <w:t>for</w:t>
      </w:r>
      <w:r>
        <w:rPr>
          <w:spacing w:val="-2"/>
        </w:rPr>
        <w:t> </w:t>
      </w:r>
      <w:r>
        <w:rPr/>
        <w:t>Anambra State‘s</w:t>
      </w:r>
      <w:r>
        <w:rPr>
          <w:spacing w:val="-2"/>
        </w:rPr>
        <w:t> </w:t>
      </w:r>
      <w:r>
        <w:rPr/>
        <w:t>Housing</w:t>
      </w:r>
      <w:r>
        <w:rPr>
          <w:spacing w:val="-3"/>
        </w:rPr>
        <w:t> </w:t>
      </w:r>
      <w:r>
        <w:rPr>
          <w:spacing w:val="-2"/>
        </w:rPr>
        <w:t>Projects.</w:t>
      </w:r>
    </w:p>
    <w:p>
      <w:pPr>
        <w:pStyle w:val="BodyText"/>
        <w:spacing w:before="1" w:after="1"/>
        <w:rPr>
          <w:sz w:val="11"/>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7"/>
        <w:gridCol w:w="941"/>
        <w:gridCol w:w="1081"/>
        <w:gridCol w:w="989"/>
        <w:gridCol w:w="629"/>
        <w:gridCol w:w="857"/>
        <w:gridCol w:w="680"/>
        <w:gridCol w:w="576"/>
        <w:gridCol w:w="682"/>
        <w:gridCol w:w="728"/>
        <w:gridCol w:w="726"/>
        <w:gridCol w:w="817"/>
        <w:gridCol w:w="1161"/>
      </w:tblGrid>
      <w:tr>
        <w:trPr>
          <w:trHeight w:val="659" w:hRule="atLeast"/>
        </w:trPr>
        <w:tc>
          <w:tcPr>
            <w:tcW w:w="497" w:type="dxa"/>
            <w:vMerge w:val="restart"/>
            <w:shd w:val="clear" w:color="auto" w:fill="DDD9C3"/>
          </w:tcPr>
          <w:p>
            <w:pPr>
              <w:pStyle w:val="TableParagraph"/>
              <w:spacing w:line="219" w:lineRule="exact"/>
              <w:ind w:left="107"/>
              <w:rPr>
                <w:rFonts w:ascii="Calibri"/>
                <w:b/>
                <w:sz w:val="18"/>
              </w:rPr>
            </w:pPr>
            <w:r>
              <w:rPr>
                <w:rFonts w:ascii="Calibri"/>
                <w:b/>
                <w:spacing w:val="-5"/>
                <w:sz w:val="18"/>
              </w:rPr>
              <w:t>S/N</w:t>
            </w:r>
          </w:p>
        </w:tc>
        <w:tc>
          <w:tcPr>
            <w:tcW w:w="941" w:type="dxa"/>
            <w:vMerge w:val="restart"/>
            <w:shd w:val="clear" w:color="auto" w:fill="DDD9C3"/>
          </w:tcPr>
          <w:p>
            <w:pPr>
              <w:pStyle w:val="TableParagraph"/>
              <w:ind w:left="107" w:right="163"/>
              <w:rPr>
                <w:rFonts w:ascii="Calibri"/>
                <w:b/>
                <w:sz w:val="18"/>
              </w:rPr>
            </w:pPr>
            <w:r>
              <w:rPr>
                <w:rFonts w:ascii="Calibri"/>
                <w:b/>
                <w:spacing w:val="-2"/>
                <w:sz w:val="18"/>
              </w:rPr>
              <w:t>Strategic</w:t>
            </w:r>
            <w:r>
              <w:rPr>
                <w:rFonts w:ascii="Calibri"/>
                <w:b/>
                <w:sz w:val="18"/>
              </w:rPr>
              <w:t> </w:t>
            </w:r>
            <w:r>
              <w:rPr>
                <w:rFonts w:ascii="Calibri"/>
                <w:b/>
                <w:spacing w:val="-2"/>
                <w:sz w:val="18"/>
              </w:rPr>
              <w:t>Priority</w:t>
            </w:r>
          </w:p>
        </w:tc>
        <w:tc>
          <w:tcPr>
            <w:tcW w:w="1081" w:type="dxa"/>
            <w:vMerge w:val="restart"/>
            <w:shd w:val="clear" w:color="auto" w:fill="DDD9C3"/>
          </w:tcPr>
          <w:p>
            <w:pPr>
              <w:pStyle w:val="TableParagraph"/>
              <w:ind w:left="107"/>
              <w:rPr>
                <w:rFonts w:ascii="Calibri"/>
                <w:b/>
                <w:sz w:val="18"/>
              </w:rPr>
            </w:pPr>
            <w:r>
              <w:rPr>
                <w:rFonts w:ascii="Calibri"/>
                <w:b/>
                <w:spacing w:val="-2"/>
                <w:sz w:val="18"/>
              </w:rPr>
              <w:t>Project</w:t>
            </w:r>
            <w:r>
              <w:rPr>
                <w:rFonts w:ascii="Calibri"/>
                <w:b/>
                <w:sz w:val="18"/>
              </w:rPr>
              <w:t> </w:t>
            </w:r>
            <w:r>
              <w:rPr>
                <w:rFonts w:ascii="Calibri"/>
                <w:b/>
                <w:spacing w:val="-2"/>
                <w:sz w:val="18"/>
              </w:rPr>
              <w:t>Objectives</w:t>
            </w:r>
          </w:p>
        </w:tc>
        <w:tc>
          <w:tcPr>
            <w:tcW w:w="989" w:type="dxa"/>
            <w:vMerge w:val="restart"/>
            <w:shd w:val="clear" w:color="auto" w:fill="DDD9C3"/>
          </w:tcPr>
          <w:p>
            <w:pPr>
              <w:pStyle w:val="TableParagraph"/>
              <w:ind w:left="106" w:right="177"/>
              <w:rPr>
                <w:rFonts w:ascii="Calibri"/>
                <w:b/>
                <w:sz w:val="18"/>
              </w:rPr>
            </w:pPr>
            <w:r>
              <w:rPr>
                <w:rFonts w:ascii="Calibri"/>
                <w:b/>
                <w:spacing w:val="-2"/>
                <w:sz w:val="18"/>
              </w:rPr>
              <w:t>Expected</w:t>
            </w:r>
            <w:r>
              <w:rPr>
                <w:rFonts w:ascii="Calibri"/>
                <w:b/>
                <w:sz w:val="18"/>
              </w:rPr>
              <w:t> </w:t>
            </w:r>
            <w:r>
              <w:rPr>
                <w:rFonts w:ascii="Calibri"/>
                <w:b/>
                <w:spacing w:val="-2"/>
                <w:sz w:val="18"/>
              </w:rPr>
              <w:t>Outcome</w:t>
            </w:r>
          </w:p>
        </w:tc>
        <w:tc>
          <w:tcPr>
            <w:tcW w:w="629" w:type="dxa"/>
            <w:vMerge w:val="restart"/>
            <w:shd w:val="clear" w:color="auto" w:fill="DDD9C3"/>
          </w:tcPr>
          <w:p>
            <w:pPr>
              <w:pStyle w:val="TableParagraph"/>
              <w:spacing w:line="219" w:lineRule="exact"/>
              <w:ind w:left="106"/>
              <w:rPr>
                <w:rFonts w:ascii="Calibri"/>
                <w:b/>
                <w:sz w:val="18"/>
              </w:rPr>
            </w:pPr>
            <w:r>
              <w:rPr>
                <w:rFonts w:ascii="Calibri"/>
                <w:b/>
                <w:spacing w:val="-4"/>
                <w:sz w:val="18"/>
              </w:rPr>
              <w:t>KPIs</w:t>
            </w:r>
          </w:p>
        </w:tc>
        <w:tc>
          <w:tcPr>
            <w:tcW w:w="857" w:type="dxa"/>
            <w:vMerge w:val="restart"/>
            <w:shd w:val="clear" w:color="auto" w:fill="DDD9C3"/>
          </w:tcPr>
          <w:p>
            <w:pPr>
              <w:pStyle w:val="TableParagraph"/>
              <w:ind w:left="106" w:right="112"/>
              <w:rPr>
                <w:rFonts w:ascii="Calibri"/>
                <w:b/>
                <w:sz w:val="18"/>
              </w:rPr>
            </w:pPr>
            <w:r>
              <w:rPr>
                <w:rFonts w:ascii="Calibri"/>
                <w:b/>
                <w:spacing w:val="-2"/>
                <w:sz w:val="18"/>
              </w:rPr>
              <w:t>Baseline</w:t>
            </w:r>
            <w:r>
              <w:rPr>
                <w:rFonts w:ascii="Calibri"/>
                <w:b/>
                <w:sz w:val="18"/>
              </w:rPr>
              <w:t> Year A</w:t>
            </w:r>
          </w:p>
        </w:tc>
        <w:tc>
          <w:tcPr>
            <w:tcW w:w="2666" w:type="dxa"/>
            <w:gridSpan w:val="4"/>
            <w:shd w:val="clear" w:color="auto" w:fill="DDD9C3"/>
          </w:tcPr>
          <w:p>
            <w:pPr>
              <w:pStyle w:val="TableParagraph"/>
              <w:spacing w:line="219" w:lineRule="exact"/>
              <w:ind w:left="800"/>
              <w:rPr>
                <w:rFonts w:ascii="Calibri"/>
                <w:b/>
                <w:sz w:val="18"/>
              </w:rPr>
            </w:pPr>
            <w:r>
              <w:rPr>
                <w:rFonts w:ascii="Calibri"/>
                <w:b/>
                <w:spacing w:val="-2"/>
                <w:sz w:val="18"/>
              </w:rPr>
              <w:t>Target</w:t>
            </w:r>
          </w:p>
        </w:tc>
        <w:tc>
          <w:tcPr>
            <w:tcW w:w="726" w:type="dxa"/>
            <w:vMerge w:val="restart"/>
            <w:shd w:val="clear" w:color="auto" w:fill="DDD9C3"/>
          </w:tcPr>
          <w:p>
            <w:pPr>
              <w:pStyle w:val="TableParagraph"/>
              <w:spacing w:line="219" w:lineRule="exact"/>
              <w:ind w:left="105"/>
              <w:rPr>
                <w:rFonts w:ascii="Calibri"/>
                <w:b/>
                <w:sz w:val="18"/>
              </w:rPr>
            </w:pPr>
            <w:r>
              <w:rPr>
                <w:rFonts w:ascii="Calibri"/>
                <w:b/>
                <w:spacing w:val="-2"/>
                <w:sz w:val="18"/>
              </w:rPr>
              <w:t>Actual</w:t>
            </w:r>
          </w:p>
        </w:tc>
        <w:tc>
          <w:tcPr>
            <w:tcW w:w="817" w:type="dxa"/>
            <w:vMerge w:val="restart"/>
            <w:shd w:val="clear" w:color="auto" w:fill="DDD9C3"/>
          </w:tcPr>
          <w:p>
            <w:pPr>
              <w:pStyle w:val="TableParagraph"/>
              <w:ind w:left="104" w:right="123"/>
              <w:rPr>
                <w:rFonts w:ascii="Calibri"/>
                <w:b/>
                <w:sz w:val="18"/>
              </w:rPr>
            </w:pPr>
            <w:r>
              <w:rPr>
                <w:rFonts w:ascii="Calibri"/>
                <w:b/>
                <w:spacing w:val="-2"/>
                <w:sz w:val="18"/>
              </w:rPr>
              <w:t>Sources</w:t>
            </w:r>
            <w:r>
              <w:rPr>
                <w:rFonts w:ascii="Calibri"/>
                <w:b/>
                <w:sz w:val="18"/>
              </w:rPr>
              <w:t> of data</w:t>
            </w:r>
          </w:p>
        </w:tc>
        <w:tc>
          <w:tcPr>
            <w:tcW w:w="1161" w:type="dxa"/>
            <w:vMerge w:val="restart"/>
            <w:shd w:val="clear" w:color="auto" w:fill="DDD9C3"/>
          </w:tcPr>
          <w:p>
            <w:pPr>
              <w:pStyle w:val="TableParagraph"/>
              <w:ind w:left="103" w:right="103"/>
              <w:rPr>
                <w:rFonts w:ascii="Calibri"/>
                <w:b/>
                <w:sz w:val="18"/>
              </w:rPr>
            </w:pPr>
            <w:r>
              <w:rPr>
                <w:rFonts w:ascii="Calibri"/>
                <w:b/>
                <w:sz w:val="18"/>
              </w:rPr>
              <w:t>Reasons</w:t>
            </w:r>
            <w:r>
              <w:rPr>
                <w:rFonts w:ascii="Calibri"/>
                <w:b/>
                <w:spacing w:val="28"/>
                <w:sz w:val="18"/>
              </w:rPr>
              <w:t> </w:t>
            </w:r>
            <w:r>
              <w:rPr>
                <w:rFonts w:ascii="Calibri"/>
                <w:b/>
                <w:sz w:val="18"/>
              </w:rPr>
              <w:t>for </w:t>
            </w:r>
            <w:r>
              <w:rPr>
                <w:rFonts w:ascii="Calibri"/>
                <w:b/>
                <w:spacing w:val="-2"/>
                <w:sz w:val="18"/>
              </w:rPr>
              <w:t>shortfall</w:t>
            </w:r>
            <w:r>
              <w:rPr>
                <w:rFonts w:ascii="Calibri"/>
                <w:b/>
                <w:sz w:val="18"/>
              </w:rPr>
              <w:t> from</w:t>
            </w:r>
            <w:r>
              <w:rPr>
                <w:rFonts w:ascii="Calibri"/>
                <w:b/>
                <w:spacing w:val="-2"/>
                <w:sz w:val="18"/>
              </w:rPr>
              <w:t> </w:t>
            </w:r>
            <w:r>
              <w:rPr>
                <w:rFonts w:ascii="Calibri"/>
                <w:b/>
                <w:sz w:val="18"/>
              </w:rPr>
              <w:t>target</w:t>
            </w:r>
          </w:p>
        </w:tc>
      </w:tr>
      <w:tr>
        <w:trPr>
          <w:trHeight w:val="340" w:hRule="atLeast"/>
        </w:trPr>
        <w:tc>
          <w:tcPr>
            <w:tcW w:w="497" w:type="dxa"/>
            <w:vMerge/>
            <w:tcBorders>
              <w:top w:val="nil"/>
            </w:tcBorders>
            <w:shd w:val="clear" w:color="auto" w:fill="DDD9C3"/>
          </w:tcPr>
          <w:p>
            <w:pPr>
              <w:rPr>
                <w:sz w:val="2"/>
                <w:szCs w:val="2"/>
              </w:rPr>
            </w:pPr>
          </w:p>
        </w:tc>
        <w:tc>
          <w:tcPr>
            <w:tcW w:w="941" w:type="dxa"/>
            <w:vMerge/>
            <w:tcBorders>
              <w:top w:val="nil"/>
            </w:tcBorders>
            <w:shd w:val="clear" w:color="auto" w:fill="DDD9C3"/>
          </w:tcPr>
          <w:p>
            <w:pPr>
              <w:rPr>
                <w:sz w:val="2"/>
                <w:szCs w:val="2"/>
              </w:rPr>
            </w:pPr>
          </w:p>
        </w:tc>
        <w:tc>
          <w:tcPr>
            <w:tcW w:w="1081" w:type="dxa"/>
            <w:vMerge/>
            <w:tcBorders>
              <w:top w:val="nil"/>
            </w:tcBorders>
            <w:shd w:val="clear" w:color="auto" w:fill="DDD9C3"/>
          </w:tcPr>
          <w:p>
            <w:pPr>
              <w:rPr>
                <w:sz w:val="2"/>
                <w:szCs w:val="2"/>
              </w:rPr>
            </w:pPr>
          </w:p>
        </w:tc>
        <w:tc>
          <w:tcPr>
            <w:tcW w:w="989" w:type="dxa"/>
            <w:vMerge/>
            <w:tcBorders>
              <w:top w:val="nil"/>
            </w:tcBorders>
            <w:shd w:val="clear" w:color="auto" w:fill="DDD9C3"/>
          </w:tcPr>
          <w:p>
            <w:pPr>
              <w:rPr>
                <w:sz w:val="2"/>
                <w:szCs w:val="2"/>
              </w:rPr>
            </w:pPr>
          </w:p>
        </w:tc>
        <w:tc>
          <w:tcPr>
            <w:tcW w:w="629" w:type="dxa"/>
            <w:vMerge/>
            <w:tcBorders>
              <w:top w:val="nil"/>
            </w:tcBorders>
            <w:shd w:val="clear" w:color="auto" w:fill="DDD9C3"/>
          </w:tcPr>
          <w:p>
            <w:pPr>
              <w:rPr>
                <w:sz w:val="2"/>
                <w:szCs w:val="2"/>
              </w:rPr>
            </w:pPr>
          </w:p>
        </w:tc>
        <w:tc>
          <w:tcPr>
            <w:tcW w:w="857" w:type="dxa"/>
            <w:vMerge/>
            <w:tcBorders>
              <w:top w:val="nil"/>
            </w:tcBorders>
            <w:shd w:val="clear" w:color="auto" w:fill="DDD9C3"/>
          </w:tcPr>
          <w:p>
            <w:pPr>
              <w:rPr>
                <w:sz w:val="2"/>
                <w:szCs w:val="2"/>
              </w:rPr>
            </w:pPr>
          </w:p>
        </w:tc>
        <w:tc>
          <w:tcPr>
            <w:tcW w:w="680" w:type="dxa"/>
            <w:shd w:val="clear" w:color="auto" w:fill="DDD9C3"/>
          </w:tcPr>
          <w:p>
            <w:pPr>
              <w:pStyle w:val="TableParagraph"/>
              <w:spacing w:line="219" w:lineRule="exact"/>
              <w:ind w:left="106"/>
              <w:rPr>
                <w:rFonts w:ascii="Calibri"/>
                <w:sz w:val="18"/>
              </w:rPr>
            </w:pPr>
            <w:r>
              <w:rPr>
                <w:rFonts w:ascii="Calibri"/>
                <w:sz w:val="18"/>
              </w:rPr>
              <w:t>Yr </w:t>
            </w:r>
            <w:r>
              <w:rPr>
                <w:rFonts w:ascii="Calibri"/>
                <w:spacing w:val="-10"/>
                <w:sz w:val="18"/>
              </w:rPr>
              <w:t>B</w:t>
            </w:r>
          </w:p>
        </w:tc>
        <w:tc>
          <w:tcPr>
            <w:tcW w:w="576" w:type="dxa"/>
            <w:shd w:val="clear" w:color="auto" w:fill="DDD9C3"/>
          </w:tcPr>
          <w:p>
            <w:pPr>
              <w:pStyle w:val="TableParagraph"/>
              <w:spacing w:line="219" w:lineRule="exact"/>
              <w:ind w:left="103"/>
              <w:rPr>
                <w:rFonts w:ascii="Calibri"/>
                <w:sz w:val="18"/>
              </w:rPr>
            </w:pPr>
            <w:r>
              <w:rPr>
                <w:rFonts w:ascii="Calibri"/>
                <w:sz w:val="18"/>
              </w:rPr>
              <w:t>Yr </w:t>
            </w:r>
            <w:r>
              <w:rPr>
                <w:rFonts w:ascii="Calibri"/>
                <w:spacing w:val="-10"/>
                <w:sz w:val="18"/>
              </w:rPr>
              <w:t>C</w:t>
            </w:r>
          </w:p>
        </w:tc>
        <w:tc>
          <w:tcPr>
            <w:tcW w:w="682" w:type="dxa"/>
            <w:shd w:val="clear" w:color="auto" w:fill="DDD9C3"/>
          </w:tcPr>
          <w:p>
            <w:pPr>
              <w:pStyle w:val="TableParagraph"/>
              <w:spacing w:line="219" w:lineRule="exact"/>
              <w:ind w:left="103"/>
              <w:rPr>
                <w:rFonts w:ascii="Calibri"/>
                <w:sz w:val="18"/>
              </w:rPr>
            </w:pPr>
            <w:r>
              <w:rPr>
                <w:rFonts w:ascii="Calibri"/>
                <w:sz w:val="18"/>
              </w:rPr>
              <w:t>Yr </w:t>
            </w:r>
            <w:r>
              <w:rPr>
                <w:rFonts w:ascii="Calibri"/>
                <w:spacing w:val="-10"/>
                <w:sz w:val="18"/>
              </w:rPr>
              <w:t>D</w:t>
            </w:r>
          </w:p>
        </w:tc>
        <w:tc>
          <w:tcPr>
            <w:tcW w:w="728" w:type="dxa"/>
            <w:shd w:val="clear" w:color="auto" w:fill="DDD9C3"/>
          </w:tcPr>
          <w:p>
            <w:pPr>
              <w:pStyle w:val="TableParagraph"/>
              <w:spacing w:line="219" w:lineRule="exact"/>
              <w:ind w:left="105"/>
              <w:rPr>
                <w:rFonts w:ascii="Calibri"/>
                <w:sz w:val="18"/>
              </w:rPr>
            </w:pPr>
            <w:r>
              <w:rPr>
                <w:rFonts w:ascii="Calibri"/>
                <w:sz w:val="18"/>
              </w:rPr>
              <w:t>Yr </w:t>
            </w:r>
            <w:r>
              <w:rPr>
                <w:rFonts w:ascii="Calibri"/>
                <w:spacing w:val="-10"/>
                <w:sz w:val="18"/>
              </w:rPr>
              <w:t>E</w:t>
            </w:r>
          </w:p>
        </w:tc>
        <w:tc>
          <w:tcPr>
            <w:tcW w:w="726" w:type="dxa"/>
            <w:vMerge/>
            <w:tcBorders>
              <w:top w:val="nil"/>
            </w:tcBorders>
            <w:shd w:val="clear" w:color="auto" w:fill="DDD9C3"/>
          </w:tcPr>
          <w:p>
            <w:pPr>
              <w:rPr>
                <w:sz w:val="2"/>
                <w:szCs w:val="2"/>
              </w:rPr>
            </w:pPr>
          </w:p>
        </w:tc>
        <w:tc>
          <w:tcPr>
            <w:tcW w:w="817" w:type="dxa"/>
            <w:vMerge/>
            <w:tcBorders>
              <w:top w:val="nil"/>
            </w:tcBorders>
            <w:shd w:val="clear" w:color="auto" w:fill="DDD9C3"/>
          </w:tcPr>
          <w:p>
            <w:pPr>
              <w:rPr>
                <w:sz w:val="2"/>
                <w:szCs w:val="2"/>
              </w:rPr>
            </w:pPr>
          </w:p>
        </w:tc>
        <w:tc>
          <w:tcPr>
            <w:tcW w:w="1161" w:type="dxa"/>
            <w:vMerge/>
            <w:tcBorders>
              <w:top w:val="nil"/>
            </w:tcBorders>
            <w:shd w:val="clear" w:color="auto" w:fill="DDD9C3"/>
          </w:tcPr>
          <w:p>
            <w:pPr>
              <w:rPr>
                <w:sz w:val="2"/>
                <w:szCs w:val="2"/>
              </w:rPr>
            </w:pPr>
          </w:p>
        </w:tc>
      </w:tr>
      <w:tr>
        <w:trPr>
          <w:trHeight w:val="338" w:hRule="atLeast"/>
        </w:trPr>
        <w:tc>
          <w:tcPr>
            <w:tcW w:w="497" w:type="dxa"/>
            <w:shd w:val="clear" w:color="auto" w:fill="DDD9C3"/>
          </w:tcPr>
          <w:p>
            <w:pPr>
              <w:pStyle w:val="TableParagraph"/>
              <w:rPr>
                <w:sz w:val="20"/>
              </w:rPr>
            </w:pPr>
          </w:p>
        </w:tc>
        <w:tc>
          <w:tcPr>
            <w:tcW w:w="941" w:type="dxa"/>
            <w:shd w:val="clear" w:color="auto" w:fill="DDD9C3"/>
          </w:tcPr>
          <w:p>
            <w:pPr>
              <w:pStyle w:val="TableParagraph"/>
              <w:rPr>
                <w:sz w:val="20"/>
              </w:rPr>
            </w:pPr>
          </w:p>
        </w:tc>
        <w:tc>
          <w:tcPr>
            <w:tcW w:w="1081" w:type="dxa"/>
            <w:shd w:val="clear" w:color="auto" w:fill="DDD9C3"/>
          </w:tcPr>
          <w:p>
            <w:pPr>
              <w:pStyle w:val="TableParagraph"/>
              <w:rPr>
                <w:sz w:val="20"/>
              </w:rPr>
            </w:pPr>
          </w:p>
        </w:tc>
        <w:tc>
          <w:tcPr>
            <w:tcW w:w="989" w:type="dxa"/>
            <w:shd w:val="clear" w:color="auto" w:fill="DDD9C3"/>
          </w:tcPr>
          <w:p>
            <w:pPr>
              <w:pStyle w:val="TableParagraph"/>
              <w:rPr>
                <w:sz w:val="20"/>
              </w:rPr>
            </w:pPr>
          </w:p>
        </w:tc>
        <w:tc>
          <w:tcPr>
            <w:tcW w:w="629" w:type="dxa"/>
            <w:shd w:val="clear" w:color="auto" w:fill="DDD9C3"/>
          </w:tcPr>
          <w:p>
            <w:pPr>
              <w:pStyle w:val="TableParagraph"/>
              <w:rPr>
                <w:sz w:val="20"/>
              </w:rPr>
            </w:pPr>
          </w:p>
        </w:tc>
        <w:tc>
          <w:tcPr>
            <w:tcW w:w="857" w:type="dxa"/>
            <w:shd w:val="clear" w:color="auto" w:fill="DDD9C3"/>
          </w:tcPr>
          <w:p>
            <w:pPr>
              <w:pStyle w:val="TableParagraph"/>
              <w:rPr>
                <w:sz w:val="20"/>
              </w:rPr>
            </w:pPr>
          </w:p>
        </w:tc>
        <w:tc>
          <w:tcPr>
            <w:tcW w:w="680" w:type="dxa"/>
            <w:shd w:val="clear" w:color="auto" w:fill="DDD9C3"/>
          </w:tcPr>
          <w:p>
            <w:pPr>
              <w:pStyle w:val="TableParagraph"/>
              <w:rPr>
                <w:sz w:val="20"/>
              </w:rPr>
            </w:pPr>
          </w:p>
        </w:tc>
        <w:tc>
          <w:tcPr>
            <w:tcW w:w="576" w:type="dxa"/>
            <w:shd w:val="clear" w:color="auto" w:fill="DDD9C3"/>
          </w:tcPr>
          <w:p>
            <w:pPr>
              <w:pStyle w:val="TableParagraph"/>
              <w:rPr>
                <w:sz w:val="20"/>
              </w:rPr>
            </w:pPr>
          </w:p>
        </w:tc>
        <w:tc>
          <w:tcPr>
            <w:tcW w:w="682" w:type="dxa"/>
            <w:shd w:val="clear" w:color="auto" w:fill="DDD9C3"/>
          </w:tcPr>
          <w:p>
            <w:pPr>
              <w:pStyle w:val="TableParagraph"/>
              <w:rPr>
                <w:sz w:val="20"/>
              </w:rPr>
            </w:pPr>
          </w:p>
        </w:tc>
        <w:tc>
          <w:tcPr>
            <w:tcW w:w="728" w:type="dxa"/>
            <w:shd w:val="clear" w:color="auto" w:fill="DDD9C3"/>
          </w:tcPr>
          <w:p>
            <w:pPr>
              <w:pStyle w:val="TableParagraph"/>
              <w:rPr>
                <w:sz w:val="20"/>
              </w:rPr>
            </w:pPr>
          </w:p>
        </w:tc>
        <w:tc>
          <w:tcPr>
            <w:tcW w:w="726" w:type="dxa"/>
            <w:shd w:val="clear" w:color="auto" w:fill="DDD9C3"/>
          </w:tcPr>
          <w:p>
            <w:pPr>
              <w:pStyle w:val="TableParagraph"/>
              <w:rPr>
                <w:sz w:val="20"/>
              </w:rPr>
            </w:pPr>
          </w:p>
        </w:tc>
        <w:tc>
          <w:tcPr>
            <w:tcW w:w="817" w:type="dxa"/>
            <w:shd w:val="clear" w:color="auto" w:fill="DDD9C3"/>
          </w:tcPr>
          <w:p>
            <w:pPr>
              <w:pStyle w:val="TableParagraph"/>
              <w:rPr>
                <w:sz w:val="20"/>
              </w:rPr>
            </w:pPr>
          </w:p>
        </w:tc>
        <w:tc>
          <w:tcPr>
            <w:tcW w:w="1161" w:type="dxa"/>
            <w:shd w:val="clear" w:color="auto" w:fill="DDD9C3"/>
          </w:tcPr>
          <w:p>
            <w:pPr>
              <w:pStyle w:val="TableParagraph"/>
              <w:rPr>
                <w:sz w:val="20"/>
              </w:rPr>
            </w:pPr>
          </w:p>
        </w:tc>
      </w:tr>
      <w:tr>
        <w:trPr>
          <w:trHeight w:val="340" w:hRule="atLeast"/>
        </w:trPr>
        <w:tc>
          <w:tcPr>
            <w:tcW w:w="497" w:type="dxa"/>
            <w:shd w:val="clear" w:color="auto" w:fill="DDD9C3"/>
          </w:tcPr>
          <w:p>
            <w:pPr>
              <w:pStyle w:val="TableParagraph"/>
              <w:rPr>
                <w:sz w:val="20"/>
              </w:rPr>
            </w:pPr>
          </w:p>
        </w:tc>
        <w:tc>
          <w:tcPr>
            <w:tcW w:w="941" w:type="dxa"/>
            <w:shd w:val="clear" w:color="auto" w:fill="DDD9C3"/>
          </w:tcPr>
          <w:p>
            <w:pPr>
              <w:pStyle w:val="TableParagraph"/>
              <w:rPr>
                <w:sz w:val="20"/>
              </w:rPr>
            </w:pPr>
          </w:p>
        </w:tc>
        <w:tc>
          <w:tcPr>
            <w:tcW w:w="1081" w:type="dxa"/>
            <w:shd w:val="clear" w:color="auto" w:fill="DDD9C3"/>
          </w:tcPr>
          <w:p>
            <w:pPr>
              <w:pStyle w:val="TableParagraph"/>
              <w:rPr>
                <w:sz w:val="20"/>
              </w:rPr>
            </w:pPr>
          </w:p>
        </w:tc>
        <w:tc>
          <w:tcPr>
            <w:tcW w:w="989" w:type="dxa"/>
            <w:shd w:val="clear" w:color="auto" w:fill="DDD9C3"/>
          </w:tcPr>
          <w:p>
            <w:pPr>
              <w:pStyle w:val="TableParagraph"/>
              <w:rPr>
                <w:sz w:val="20"/>
              </w:rPr>
            </w:pPr>
          </w:p>
        </w:tc>
        <w:tc>
          <w:tcPr>
            <w:tcW w:w="629" w:type="dxa"/>
            <w:shd w:val="clear" w:color="auto" w:fill="DDD9C3"/>
          </w:tcPr>
          <w:p>
            <w:pPr>
              <w:pStyle w:val="TableParagraph"/>
              <w:rPr>
                <w:sz w:val="20"/>
              </w:rPr>
            </w:pPr>
          </w:p>
        </w:tc>
        <w:tc>
          <w:tcPr>
            <w:tcW w:w="857" w:type="dxa"/>
            <w:shd w:val="clear" w:color="auto" w:fill="DDD9C3"/>
          </w:tcPr>
          <w:p>
            <w:pPr>
              <w:pStyle w:val="TableParagraph"/>
              <w:rPr>
                <w:sz w:val="20"/>
              </w:rPr>
            </w:pPr>
          </w:p>
        </w:tc>
        <w:tc>
          <w:tcPr>
            <w:tcW w:w="680" w:type="dxa"/>
            <w:shd w:val="clear" w:color="auto" w:fill="DDD9C3"/>
          </w:tcPr>
          <w:p>
            <w:pPr>
              <w:pStyle w:val="TableParagraph"/>
              <w:rPr>
                <w:sz w:val="20"/>
              </w:rPr>
            </w:pPr>
          </w:p>
        </w:tc>
        <w:tc>
          <w:tcPr>
            <w:tcW w:w="576" w:type="dxa"/>
            <w:shd w:val="clear" w:color="auto" w:fill="DDD9C3"/>
          </w:tcPr>
          <w:p>
            <w:pPr>
              <w:pStyle w:val="TableParagraph"/>
              <w:rPr>
                <w:sz w:val="20"/>
              </w:rPr>
            </w:pPr>
          </w:p>
        </w:tc>
        <w:tc>
          <w:tcPr>
            <w:tcW w:w="682" w:type="dxa"/>
            <w:shd w:val="clear" w:color="auto" w:fill="DDD9C3"/>
          </w:tcPr>
          <w:p>
            <w:pPr>
              <w:pStyle w:val="TableParagraph"/>
              <w:rPr>
                <w:sz w:val="20"/>
              </w:rPr>
            </w:pPr>
          </w:p>
        </w:tc>
        <w:tc>
          <w:tcPr>
            <w:tcW w:w="728" w:type="dxa"/>
            <w:shd w:val="clear" w:color="auto" w:fill="DDD9C3"/>
          </w:tcPr>
          <w:p>
            <w:pPr>
              <w:pStyle w:val="TableParagraph"/>
              <w:rPr>
                <w:sz w:val="20"/>
              </w:rPr>
            </w:pPr>
          </w:p>
        </w:tc>
        <w:tc>
          <w:tcPr>
            <w:tcW w:w="726" w:type="dxa"/>
            <w:shd w:val="clear" w:color="auto" w:fill="DDD9C3"/>
          </w:tcPr>
          <w:p>
            <w:pPr>
              <w:pStyle w:val="TableParagraph"/>
              <w:rPr>
                <w:sz w:val="20"/>
              </w:rPr>
            </w:pPr>
          </w:p>
        </w:tc>
        <w:tc>
          <w:tcPr>
            <w:tcW w:w="817" w:type="dxa"/>
            <w:shd w:val="clear" w:color="auto" w:fill="DDD9C3"/>
          </w:tcPr>
          <w:p>
            <w:pPr>
              <w:pStyle w:val="TableParagraph"/>
              <w:rPr>
                <w:sz w:val="20"/>
              </w:rPr>
            </w:pPr>
          </w:p>
        </w:tc>
        <w:tc>
          <w:tcPr>
            <w:tcW w:w="1161" w:type="dxa"/>
            <w:shd w:val="clear" w:color="auto" w:fill="DDD9C3"/>
          </w:tcPr>
          <w:p>
            <w:pPr>
              <w:pStyle w:val="TableParagraph"/>
              <w:rPr>
                <w:sz w:val="20"/>
              </w:rPr>
            </w:pPr>
          </w:p>
        </w:tc>
      </w:tr>
      <w:tr>
        <w:trPr>
          <w:trHeight w:val="340" w:hRule="atLeast"/>
        </w:trPr>
        <w:tc>
          <w:tcPr>
            <w:tcW w:w="497" w:type="dxa"/>
            <w:shd w:val="clear" w:color="auto" w:fill="DDD9C3"/>
          </w:tcPr>
          <w:p>
            <w:pPr>
              <w:pStyle w:val="TableParagraph"/>
              <w:rPr>
                <w:sz w:val="20"/>
              </w:rPr>
            </w:pPr>
          </w:p>
        </w:tc>
        <w:tc>
          <w:tcPr>
            <w:tcW w:w="941" w:type="dxa"/>
            <w:shd w:val="clear" w:color="auto" w:fill="DDD9C3"/>
          </w:tcPr>
          <w:p>
            <w:pPr>
              <w:pStyle w:val="TableParagraph"/>
              <w:rPr>
                <w:sz w:val="20"/>
              </w:rPr>
            </w:pPr>
          </w:p>
        </w:tc>
        <w:tc>
          <w:tcPr>
            <w:tcW w:w="1081" w:type="dxa"/>
            <w:shd w:val="clear" w:color="auto" w:fill="DDD9C3"/>
          </w:tcPr>
          <w:p>
            <w:pPr>
              <w:pStyle w:val="TableParagraph"/>
              <w:rPr>
                <w:sz w:val="20"/>
              </w:rPr>
            </w:pPr>
          </w:p>
        </w:tc>
        <w:tc>
          <w:tcPr>
            <w:tcW w:w="989" w:type="dxa"/>
            <w:shd w:val="clear" w:color="auto" w:fill="DDD9C3"/>
          </w:tcPr>
          <w:p>
            <w:pPr>
              <w:pStyle w:val="TableParagraph"/>
              <w:rPr>
                <w:sz w:val="20"/>
              </w:rPr>
            </w:pPr>
          </w:p>
        </w:tc>
        <w:tc>
          <w:tcPr>
            <w:tcW w:w="629" w:type="dxa"/>
            <w:shd w:val="clear" w:color="auto" w:fill="DDD9C3"/>
          </w:tcPr>
          <w:p>
            <w:pPr>
              <w:pStyle w:val="TableParagraph"/>
              <w:rPr>
                <w:sz w:val="20"/>
              </w:rPr>
            </w:pPr>
          </w:p>
        </w:tc>
        <w:tc>
          <w:tcPr>
            <w:tcW w:w="857" w:type="dxa"/>
            <w:shd w:val="clear" w:color="auto" w:fill="DDD9C3"/>
          </w:tcPr>
          <w:p>
            <w:pPr>
              <w:pStyle w:val="TableParagraph"/>
              <w:rPr>
                <w:sz w:val="20"/>
              </w:rPr>
            </w:pPr>
          </w:p>
        </w:tc>
        <w:tc>
          <w:tcPr>
            <w:tcW w:w="680" w:type="dxa"/>
            <w:shd w:val="clear" w:color="auto" w:fill="DDD9C3"/>
          </w:tcPr>
          <w:p>
            <w:pPr>
              <w:pStyle w:val="TableParagraph"/>
              <w:rPr>
                <w:sz w:val="20"/>
              </w:rPr>
            </w:pPr>
          </w:p>
        </w:tc>
        <w:tc>
          <w:tcPr>
            <w:tcW w:w="576" w:type="dxa"/>
            <w:shd w:val="clear" w:color="auto" w:fill="DDD9C3"/>
          </w:tcPr>
          <w:p>
            <w:pPr>
              <w:pStyle w:val="TableParagraph"/>
              <w:rPr>
                <w:sz w:val="20"/>
              </w:rPr>
            </w:pPr>
          </w:p>
        </w:tc>
        <w:tc>
          <w:tcPr>
            <w:tcW w:w="682" w:type="dxa"/>
            <w:shd w:val="clear" w:color="auto" w:fill="DDD9C3"/>
          </w:tcPr>
          <w:p>
            <w:pPr>
              <w:pStyle w:val="TableParagraph"/>
              <w:rPr>
                <w:sz w:val="20"/>
              </w:rPr>
            </w:pPr>
          </w:p>
        </w:tc>
        <w:tc>
          <w:tcPr>
            <w:tcW w:w="728" w:type="dxa"/>
            <w:shd w:val="clear" w:color="auto" w:fill="DDD9C3"/>
          </w:tcPr>
          <w:p>
            <w:pPr>
              <w:pStyle w:val="TableParagraph"/>
              <w:rPr>
                <w:sz w:val="20"/>
              </w:rPr>
            </w:pPr>
          </w:p>
        </w:tc>
        <w:tc>
          <w:tcPr>
            <w:tcW w:w="726" w:type="dxa"/>
            <w:shd w:val="clear" w:color="auto" w:fill="DDD9C3"/>
          </w:tcPr>
          <w:p>
            <w:pPr>
              <w:pStyle w:val="TableParagraph"/>
              <w:rPr>
                <w:sz w:val="20"/>
              </w:rPr>
            </w:pPr>
          </w:p>
        </w:tc>
        <w:tc>
          <w:tcPr>
            <w:tcW w:w="817" w:type="dxa"/>
            <w:shd w:val="clear" w:color="auto" w:fill="DDD9C3"/>
          </w:tcPr>
          <w:p>
            <w:pPr>
              <w:pStyle w:val="TableParagraph"/>
              <w:rPr>
                <w:sz w:val="20"/>
              </w:rPr>
            </w:pPr>
          </w:p>
        </w:tc>
        <w:tc>
          <w:tcPr>
            <w:tcW w:w="1161" w:type="dxa"/>
            <w:shd w:val="clear" w:color="auto" w:fill="DDD9C3"/>
          </w:tcPr>
          <w:p>
            <w:pPr>
              <w:pStyle w:val="TableParagraph"/>
              <w:rPr>
                <w:sz w:val="20"/>
              </w:rPr>
            </w:pPr>
          </w:p>
        </w:tc>
      </w:tr>
      <w:tr>
        <w:trPr>
          <w:trHeight w:val="338" w:hRule="atLeast"/>
        </w:trPr>
        <w:tc>
          <w:tcPr>
            <w:tcW w:w="497" w:type="dxa"/>
            <w:shd w:val="clear" w:color="auto" w:fill="DDD9C3"/>
          </w:tcPr>
          <w:p>
            <w:pPr>
              <w:pStyle w:val="TableParagraph"/>
              <w:rPr>
                <w:sz w:val="20"/>
              </w:rPr>
            </w:pPr>
          </w:p>
        </w:tc>
        <w:tc>
          <w:tcPr>
            <w:tcW w:w="941" w:type="dxa"/>
            <w:shd w:val="clear" w:color="auto" w:fill="DDD9C3"/>
          </w:tcPr>
          <w:p>
            <w:pPr>
              <w:pStyle w:val="TableParagraph"/>
              <w:rPr>
                <w:sz w:val="20"/>
              </w:rPr>
            </w:pPr>
          </w:p>
        </w:tc>
        <w:tc>
          <w:tcPr>
            <w:tcW w:w="1081" w:type="dxa"/>
            <w:shd w:val="clear" w:color="auto" w:fill="DDD9C3"/>
          </w:tcPr>
          <w:p>
            <w:pPr>
              <w:pStyle w:val="TableParagraph"/>
              <w:rPr>
                <w:sz w:val="20"/>
              </w:rPr>
            </w:pPr>
          </w:p>
        </w:tc>
        <w:tc>
          <w:tcPr>
            <w:tcW w:w="989" w:type="dxa"/>
            <w:shd w:val="clear" w:color="auto" w:fill="DDD9C3"/>
          </w:tcPr>
          <w:p>
            <w:pPr>
              <w:pStyle w:val="TableParagraph"/>
              <w:rPr>
                <w:sz w:val="20"/>
              </w:rPr>
            </w:pPr>
          </w:p>
        </w:tc>
        <w:tc>
          <w:tcPr>
            <w:tcW w:w="629" w:type="dxa"/>
            <w:shd w:val="clear" w:color="auto" w:fill="DDD9C3"/>
          </w:tcPr>
          <w:p>
            <w:pPr>
              <w:pStyle w:val="TableParagraph"/>
              <w:rPr>
                <w:sz w:val="20"/>
              </w:rPr>
            </w:pPr>
          </w:p>
        </w:tc>
        <w:tc>
          <w:tcPr>
            <w:tcW w:w="857" w:type="dxa"/>
            <w:shd w:val="clear" w:color="auto" w:fill="DDD9C3"/>
          </w:tcPr>
          <w:p>
            <w:pPr>
              <w:pStyle w:val="TableParagraph"/>
              <w:rPr>
                <w:sz w:val="20"/>
              </w:rPr>
            </w:pPr>
          </w:p>
        </w:tc>
        <w:tc>
          <w:tcPr>
            <w:tcW w:w="680" w:type="dxa"/>
            <w:shd w:val="clear" w:color="auto" w:fill="DDD9C3"/>
          </w:tcPr>
          <w:p>
            <w:pPr>
              <w:pStyle w:val="TableParagraph"/>
              <w:rPr>
                <w:sz w:val="20"/>
              </w:rPr>
            </w:pPr>
          </w:p>
        </w:tc>
        <w:tc>
          <w:tcPr>
            <w:tcW w:w="576" w:type="dxa"/>
            <w:shd w:val="clear" w:color="auto" w:fill="DDD9C3"/>
          </w:tcPr>
          <w:p>
            <w:pPr>
              <w:pStyle w:val="TableParagraph"/>
              <w:rPr>
                <w:sz w:val="20"/>
              </w:rPr>
            </w:pPr>
          </w:p>
        </w:tc>
        <w:tc>
          <w:tcPr>
            <w:tcW w:w="682" w:type="dxa"/>
            <w:shd w:val="clear" w:color="auto" w:fill="DDD9C3"/>
          </w:tcPr>
          <w:p>
            <w:pPr>
              <w:pStyle w:val="TableParagraph"/>
              <w:rPr>
                <w:sz w:val="20"/>
              </w:rPr>
            </w:pPr>
          </w:p>
        </w:tc>
        <w:tc>
          <w:tcPr>
            <w:tcW w:w="728" w:type="dxa"/>
            <w:shd w:val="clear" w:color="auto" w:fill="DDD9C3"/>
          </w:tcPr>
          <w:p>
            <w:pPr>
              <w:pStyle w:val="TableParagraph"/>
              <w:rPr>
                <w:sz w:val="20"/>
              </w:rPr>
            </w:pPr>
          </w:p>
        </w:tc>
        <w:tc>
          <w:tcPr>
            <w:tcW w:w="726" w:type="dxa"/>
            <w:shd w:val="clear" w:color="auto" w:fill="DDD9C3"/>
          </w:tcPr>
          <w:p>
            <w:pPr>
              <w:pStyle w:val="TableParagraph"/>
              <w:rPr>
                <w:sz w:val="20"/>
              </w:rPr>
            </w:pPr>
          </w:p>
        </w:tc>
        <w:tc>
          <w:tcPr>
            <w:tcW w:w="817" w:type="dxa"/>
            <w:shd w:val="clear" w:color="auto" w:fill="DDD9C3"/>
          </w:tcPr>
          <w:p>
            <w:pPr>
              <w:pStyle w:val="TableParagraph"/>
              <w:rPr>
                <w:sz w:val="20"/>
              </w:rPr>
            </w:pPr>
          </w:p>
        </w:tc>
        <w:tc>
          <w:tcPr>
            <w:tcW w:w="1161" w:type="dxa"/>
            <w:shd w:val="clear" w:color="auto" w:fill="DDD9C3"/>
          </w:tcPr>
          <w:p>
            <w:pPr>
              <w:pStyle w:val="TableParagraph"/>
              <w:rPr>
                <w:sz w:val="20"/>
              </w:rPr>
            </w:pPr>
          </w:p>
        </w:tc>
      </w:tr>
      <w:tr>
        <w:trPr>
          <w:trHeight w:val="340" w:hRule="atLeast"/>
        </w:trPr>
        <w:tc>
          <w:tcPr>
            <w:tcW w:w="497" w:type="dxa"/>
            <w:shd w:val="clear" w:color="auto" w:fill="DDD9C3"/>
          </w:tcPr>
          <w:p>
            <w:pPr>
              <w:pStyle w:val="TableParagraph"/>
              <w:rPr>
                <w:sz w:val="20"/>
              </w:rPr>
            </w:pPr>
          </w:p>
        </w:tc>
        <w:tc>
          <w:tcPr>
            <w:tcW w:w="941" w:type="dxa"/>
            <w:shd w:val="clear" w:color="auto" w:fill="DDD9C3"/>
          </w:tcPr>
          <w:p>
            <w:pPr>
              <w:pStyle w:val="TableParagraph"/>
              <w:rPr>
                <w:sz w:val="20"/>
              </w:rPr>
            </w:pPr>
          </w:p>
        </w:tc>
        <w:tc>
          <w:tcPr>
            <w:tcW w:w="1081" w:type="dxa"/>
            <w:shd w:val="clear" w:color="auto" w:fill="DDD9C3"/>
          </w:tcPr>
          <w:p>
            <w:pPr>
              <w:pStyle w:val="TableParagraph"/>
              <w:rPr>
                <w:sz w:val="20"/>
              </w:rPr>
            </w:pPr>
          </w:p>
        </w:tc>
        <w:tc>
          <w:tcPr>
            <w:tcW w:w="989" w:type="dxa"/>
            <w:shd w:val="clear" w:color="auto" w:fill="DDD9C3"/>
          </w:tcPr>
          <w:p>
            <w:pPr>
              <w:pStyle w:val="TableParagraph"/>
              <w:rPr>
                <w:sz w:val="20"/>
              </w:rPr>
            </w:pPr>
          </w:p>
        </w:tc>
        <w:tc>
          <w:tcPr>
            <w:tcW w:w="629" w:type="dxa"/>
            <w:shd w:val="clear" w:color="auto" w:fill="DDD9C3"/>
          </w:tcPr>
          <w:p>
            <w:pPr>
              <w:pStyle w:val="TableParagraph"/>
              <w:rPr>
                <w:sz w:val="20"/>
              </w:rPr>
            </w:pPr>
          </w:p>
        </w:tc>
        <w:tc>
          <w:tcPr>
            <w:tcW w:w="857" w:type="dxa"/>
            <w:shd w:val="clear" w:color="auto" w:fill="DDD9C3"/>
          </w:tcPr>
          <w:p>
            <w:pPr>
              <w:pStyle w:val="TableParagraph"/>
              <w:rPr>
                <w:sz w:val="20"/>
              </w:rPr>
            </w:pPr>
          </w:p>
        </w:tc>
        <w:tc>
          <w:tcPr>
            <w:tcW w:w="680" w:type="dxa"/>
            <w:shd w:val="clear" w:color="auto" w:fill="DDD9C3"/>
          </w:tcPr>
          <w:p>
            <w:pPr>
              <w:pStyle w:val="TableParagraph"/>
              <w:rPr>
                <w:sz w:val="20"/>
              </w:rPr>
            </w:pPr>
          </w:p>
        </w:tc>
        <w:tc>
          <w:tcPr>
            <w:tcW w:w="576" w:type="dxa"/>
            <w:shd w:val="clear" w:color="auto" w:fill="DDD9C3"/>
          </w:tcPr>
          <w:p>
            <w:pPr>
              <w:pStyle w:val="TableParagraph"/>
              <w:rPr>
                <w:sz w:val="20"/>
              </w:rPr>
            </w:pPr>
          </w:p>
        </w:tc>
        <w:tc>
          <w:tcPr>
            <w:tcW w:w="682" w:type="dxa"/>
            <w:shd w:val="clear" w:color="auto" w:fill="DDD9C3"/>
          </w:tcPr>
          <w:p>
            <w:pPr>
              <w:pStyle w:val="TableParagraph"/>
              <w:rPr>
                <w:sz w:val="20"/>
              </w:rPr>
            </w:pPr>
          </w:p>
        </w:tc>
        <w:tc>
          <w:tcPr>
            <w:tcW w:w="728" w:type="dxa"/>
            <w:shd w:val="clear" w:color="auto" w:fill="DDD9C3"/>
          </w:tcPr>
          <w:p>
            <w:pPr>
              <w:pStyle w:val="TableParagraph"/>
              <w:rPr>
                <w:sz w:val="20"/>
              </w:rPr>
            </w:pPr>
          </w:p>
        </w:tc>
        <w:tc>
          <w:tcPr>
            <w:tcW w:w="726" w:type="dxa"/>
            <w:shd w:val="clear" w:color="auto" w:fill="DDD9C3"/>
          </w:tcPr>
          <w:p>
            <w:pPr>
              <w:pStyle w:val="TableParagraph"/>
              <w:rPr>
                <w:sz w:val="20"/>
              </w:rPr>
            </w:pPr>
          </w:p>
        </w:tc>
        <w:tc>
          <w:tcPr>
            <w:tcW w:w="817" w:type="dxa"/>
            <w:shd w:val="clear" w:color="auto" w:fill="DDD9C3"/>
          </w:tcPr>
          <w:p>
            <w:pPr>
              <w:pStyle w:val="TableParagraph"/>
              <w:rPr>
                <w:sz w:val="20"/>
              </w:rPr>
            </w:pPr>
          </w:p>
        </w:tc>
        <w:tc>
          <w:tcPr>
            <w:tcW w:w="1161" w:type="dxa"/>
            <w:shd w:val="clear" w:color="auto" w:fill="DDD9C3"/>
          </w:tcPr>
          <w:p>
            <w:pPr>
              <w:pStyle w:val="TableParagraph"/>
              <w:rPr>
                <w:sz w:val="20"/>
              </w:rPr>
            </w:pPr>
          </w:p>
        </w:tc>
      </w:tr>
    </w:tbl>
    <w:p>
      <w:pPr>
        <w:spacing w:before="0"/>
        <w:ind w:left="120" w:right="0" w:firstLine="0"/>
        <w:jc w:val="left"/>
        <w:rPr>
          <w:sz w:val="20"/>
        </w:rPr>
      </w:pPr>
      <w:r>
        <w:rPr>
          <w:sz w:val="20"/>
        </w:rPr>
        <w:t>*KPI=</w:t>
      </w:r>
      <w:r>
        <w:rPr>
          <w:spacing w:val="-7"/>
          <w:sz w:val="20"/>
        </w:rPr>
        <w:t> </w:t>
      </w:r>
      <w:r>
        <w:rPr>
          <w:sz w:val="20"/>
        </w:rPr>
        <w:t>Key</w:t>
      </w:r>
      <w:r>
        <w:rPr>
          <w:spacing w:val="-10"/>
          <w:sz w:val="20"/>
        </w:rPr>
        <w:t> </w:t>
      </w:r>
      <w:r>
        <w:rPr>
          <w:sz w:val="20"/>
        </w:rPr>
        <w:t>Performance</w:t>
      </w:r>
      <w:r>
        <w:rPr>
          <w:spacing w:val="-6"/>
          <w:sz w:val="20"/>
        </w:rPr>
        <w:t> </w:t>
      </w:r>
      <w:r>
        <w:rPr>
          <w:spacing w:val="-2"/>
          <w:sz w:val="20"/>
        </w:rPr>
        <w:t>Indicators</w:t>
      </w:r>
    </w:p>
    <w:p>
      <w:pPr>
        <w:spacing w:before="114"/>
        <w:ind w:left="120" w:right="0" w:firstLine="0"/>
        <w:jc w:val="left"/>
        <w:rPr>
          <w:sz w:val="24"/>
        </w:rPr>
      </w:pPr>
      <w:r>
        <w:rPr>
          <w:b/>
          <w:sz w:val="24"/>
        </w:rPr>
        <w:t>Source:</w:t>
      </w:r>
      <w:r>
        <w:rPr>
          <w:b/>
          <w:spacing w:val="-3"/>
          <w:sz w:val="24"/>
        </w:rPr>
        <w:t> </w:t>
      </w:r>
      <w:r>
        <w:rPr>
          <w:sz w:val="24"/>
        </w:rPr>
        <w:t>Researcher‘s</w:t>
      </w:r>
      <w:r>
        <w:rPr>
          <w:spacing w:val="-2"/>
          <w:sz w:val="24"/>
        </w:rPr>
        <w:t> </w:t>
      </w:r>
      <w:r>
        <w:rPr>
          <w:sz w:val="24"/>
        </w:rPr>
        <w:t>field</w:t>
      </w:r>
      <w:r>
        <w:rPr>
          <w:spacing w:val="-1"/>
          <w:sz w:val="24"/>
        </w:rPr>
        <w:t> </w:t>
      </w:r>
      <w:r>
        <w:rPr>
          <w:sz w:val="24"/>
        </w:rPr>
        <w:t>work</w:t>
      </w:r>
      <w:r>
        <w:rPr>
          <w:spacing w:val="-1"/>
          <w:sz w:val="24"/>
        </w:rPr>
        <w:t> </w:t>
      </w:r>
      <w:r>
        <w:rPr>
          <w:spacing w:val="-2"/>
          <w:sz w:val="24"/>
        </w:rPr>
        <w:t>(2017).</w:t>
      </w:r>
    </w:p>
    <w:p>
      <w:pPr>
        <w:pStyle w:val="BodyText"/>
      </w:pPr>
    </w:p>
    <w:p>
      <w:pPr>
        <w:pStyle w:val="BodyText"/>
      </w:pPr>
    </w:p>
    <w:p>
      <w:pPr>
        <w:pStyle w:val="BodyText"/>
      </w:pPr>
    </w:p>
    <w:p>
      <w:pPr>
        <w:pStyle w:val="BodyText"/>
        <w:spacing w:before="186"/>
      </w:pPr>
    </w:p>
    <w:p>
      <w:pPr>
        <w:pStyle w:val="BodyText"/>
        <w:ind w:left="120"/>
      </w:pPr>
      <w:r>
        <w:rPr/>
        <w:t>Budget</w:t>
      </w:r>
      <w:r>
        <w:rPr>
          <w:spacing w:val="-4"/>
        </w:rPr>
        <w:t> </w:t>
      </w:r>
      <w:r>
        <w:rPr/>
        <w:t>Performance</w:t>
      </w:r>
      <w:r>
        <w:rPr>
          <w:spacing w:val="-2"/>
        </w:rPr>
        <w:t> </w:t>
      </w:r>
      <w:r>
        <w:rPr/>
        <w:t>Review</w:t>
      </w:r>
      <w:r>
        <w:rPr>
          <w:spacing w:val="-3"/>
        </w:rPr>
        <w:t> </w:t>
      </w:r>
      <w:r>
        <w:rPr/>
        <w:t>Template</w:t>
      </w:r>
      <w:r>
        <w:rPr>
          <w:spacing w:val="-1"/>
        </w:rPr>
        <w:t> </w:t>
      </w:r>
      <w:r>
        <w:rPr/>
        <w:t>for</w:t>
      </w:r>
      <w:r>
        <w:rPr>
          <w:spacing w:val="-1"/>
        </w:rPr>
        <w:t> </w:t>
      </w:r>
      <w:r>
        <w:rPr/>
        <w:t>Anambra</w:t>
      </w:r>
      <w:r>
        <w:rPr>
          <w:spacing w:val="-4"/>
        </w:rPr>
        <w:t> </w:t>
      </w:r>
      <w:r>
        <w:rPr/>
        <w:t>State‘s</w:t>
      </w:r>
      <w:r>
        <w:rPr>
          <w:spacing w:val="-2"/>
        </w:rPr>
        <w:t> </w:t>
      </w:r>
      <w:r>
        <w:rPr/>
        <w:t>Housing</w:t>
      </w:r>
      <w:r>
        <w:rPr>
          <w:spacing w:val="-4"/>
        </w:rPr>
        <w:t> </w:t>
      </w:r>
      <w:r>
        <w:rPr>
          <w:spacing w:val="-2"/>
        </w:rPr>
        <w:t>Projects.</w:t>
      </w:r>
    </w:p>
    <w:p>
      <w:pPr>
        <w:pStyle w:val="BodyText"/>
        <w:spacing w:before="1"/>
        <w:rPr>
          <w:sz w:val="11"/>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7"/>
        <w:gridCol w:w="2024"/>
        <w:gridCol w:w="1171"/>
        <w:gridCol w:w="2160"/>
        <w:gridCol w:w="1168"/>
        <w:gridCol w:w="1171"/>
        <w:gridCol w:w="1168"/>
      </w:tblGrid>
      <w:tr>
        <w:trPr>
          <w:trHeight w:val="438" w:hRule="atLeast"/>
        </w:trPr>
        <w:tc>
          <w:tcPr>
            <w:tcW w:w="497" w:type="dxa"/>
            <w:vMerge w:val="restart"/>
            <w:shd w:val="clear" w:color="auto" w:fill="C5D9F0"/>
          </w:tcPr>
          <w:p>
            <w:pPr>
              <w:pStyle w:val="TableParagraph"/>
              <w:spacing w:line="219" w:lineRule="exact"/>
              <w:ind w:left="107"/>
              <w:rPr>
                <w:rFonts w:ascii="Calibri"/>
                <w:b/>
                <w:sz w:val="18"/>
              </w:rPr>
            </w:pPr>
            <w:r>
              <w:rPr>
                <w:rFonts w:ascii="Calibri"/>
                <w:b/>
                <w:spacing w:val="-5"/>
                <w:sz w:val="18"/>
              </w:rPr>
              <w:t>S/N</w:t>
            </w:r>
          </w:p>
        </w:tc>
        <w:tc>
          <w:tcPr>
            <w:tcW w:w="2024" w:type="dxa"/>
            <w:vMerge w:val="restart"/>
            <w:shd w:val="clear" w:color="auto" w:fill="C5D9F0"/>
          </w:tcPr>
          <w:p>
            <w:pPr>
              <w:pStyle w:val="TableParagraph"/>
              <w:spacing w:line="219" w:lineRule="exact"/>
              <w:ind w:left="107"/>
              <w:rPr>
                <w:rFonts w:ascii="Calibri"/>
                <w:b/>
                <w:sz w:val="18"/>
              </w:rPr>
            </w:pPr>
            <w:r>
              <w:rPr>
                <w:rFonts w:ascii="Calibri"/>
                <w:b/>
                <w:spacing w:val="-2"/>
                <w:sz w:val="18"/>
              </w:rPr>
              <w:t>Objectives</w:t>
            </w:r>
          </w:p>
        </w:tc>
        <w:tc>
          <w:tcPr>
            <w:tcW w:w="1171" w:type="dxa"/>
            <w:vMerge w:val="restart"/>
            <w:shd w:val="clear" w:color="auto" w:fill="C5D9F0"/>
          </w:tcPr>
          <w:p>
            <w:pPr>
              <w:pStyle w:val="TableParagraph"/>
              <w:spacing w:line="219" w:lineRule="exact"/>
              <w:ind w:left="107"/>
              <w:rPr>
                <w:rFonts w:ascii="Calibri"/>
                <w:b/>
                <w:sz w:val="18"/>
              </w:rPr>
            </w:pPr>
            <w:r>
              <w:rPr>
                <w:rFonts w:ascii="Calibri"/>
                <w:b/>
                <w:spacing w:val="-2"/>
                <w:sz w:val="18"/>
              </w:rPr>
              <w:t>Strategies</w:t>
            </w:r>
          </w:p>
        </w:tc>
        <w:tc>
          <w:tcPr>
            <w:tcW w:w="2160" w:type="dxa"/>
            <w:vMerge w:val="restart"/>
            <w:shd w:val="clear" w:color="auto" w:fill="C5D9F0"/>
          </w:tcPr>
          <w:p>
            <w:pPr>
              <w:pStyle w:val="TableParagraph"/>
              <w:ind w:left="105"/>
              <w:rPr>
                <w:rFonts w:ascii="Calibri"/>
                <w:b/>
                <w:sz w:val="18"/>
              </w:rPr>
            </w:pPr>
            <w:r>
              <w:rPr>
                <w:rFonts w:ascii="Calibri"/>
                <w:b/>
                <w:sz w:val="18"/>
              </w:rPr>
              <w:t>Yr</w:t>
            </w:r>
            <w:r>
              <w:rPr>
                <w:rFonts w:ascii="Calibri"/>
                <w:b/>
                <w:spacing w:val="-11"/>
                <w:sz w:val="18"/>
              </w:rPr>
              <w:t> </w:t>
            </w:r>
            <w:r>
              <w:rPr>
                <w:rFonts w:ascii="Calibri"/>
                <w:b/>
                <w:sz w:val="18"/>
              </w:rPr>
              <w:t>B</w:t>
            </w:r>
            <w:r>
              <w:rPr>
                <w:rFonts w:ascii="Calibri"/>
                <w:b/>
                <w:spacing w:val="-10"/>
                <w:sz w:val="18"/>
              </w:rPr>
              <w:t> </w:t>
            </w:r>
            <w:r>
              <w:rPr>
                <w:rFonts w:ascii="Calibri"/>
                <w:b/>
                <w:sz w:val="18"/>
              </w:rPr>
              <w:t>%</w:t>
            </w:r>
            <w:r>
              <w:rPr>
                <w:rFonts w:ascii="Calibri"/>
                <w:b/>
                <w:spacing w:val="-10"/>
                <w:sz w:val="18"/>
              </w:rPr>
              <w:t> </w:t>
            </w:r>
            <w:r>
              <w:rPr>
                <w:rFonts w:ascii="Calibri"/>
                <w:b/>
                <w:sz w:val="18"/>
              </w:rPr>
              <w:t>implementation </w:t>
            </w:r>
            <w:r>
              <w:rPr>
                <w:rFonts w:ascii="Calibri"/>
                <w:b/>
                <w:spacing w:val="-2"/>
                <w:sz w:val="18"/>
              </w:rPr>
              <w:t>(progress)</w:t>
            </w:r>
          </w:p>
        </w:tc>
        <w:tc>
          <w:tcPr>
            <w:tcW w:w="3507" w:type="dxa"/>
            <w:gridSpan w:val="3"/>
            <w:shd w:val="clear" w:color="auto" w:fill="C5D9F0"/>
          </w:tcPr>
          <w:p>
            <w:pPr>
              <w:pStyle w:val="TableParagraph"/>
              <w:spacing w:line="219" w:lineRule="exact"/>
              <w:ind w:right="385"/>
              <w:jc w:val="center"/>
              <w:rPr>
                <w:rFonts w:ascii="Calibri"/>
                <w:b/>
                <w:sz w:val="18"/>
              </w:rPr>
            </w:pPr>
            <w:r>
              <w:rPr>
                <w:rFonts w:ascii="Calibri"/>
                <w:b/>
                <w:spacing w:val="-2"/>
                <w:sz w:val="18"/>
              </w:rPr>
              <w:t>Targets</w:t>
            </w:r>
          </w:p>
        </w:tc>
      </w:tr>
      <w:tr>
        <w:trPr>
          <w:trHeight w:val="340" w:hRule="atLeast"/>
        </w:trPr>
        <w:tc>
          <w:tcPr>
            <w:tcW w:w="497" w:type="dxa"/>
            <w:vMerge/>
            <w:tcBorders>
              <w:top w:val="nil"/>
            </w:tcBorders>
            <w:shd w:val="clear" w:color="auto" w:fill="C5D9F0"/>
          </w:tcPr>
          <w:p>
            <w:pPr>
              <w:rPr>
                <w:sz w:val="2"/>
                <w:szCs w:val="2"/>
              </w:rPr>
            </w:pPr>
          </w:p>
        </w:tc>
        <w:tc>
          <w:tcPr>
            <w:tcW w:w="2024" w:type="dxa"/>
            <w:vMerge/>
            <w:tcBorders>
              <w:top w:val="nil"/>
            </w:tcBorders>
            <w:shd w:val="clear" w:color="auto" w:fill="C5D9F0"/>
          </w:tcPr>
          <w:p>
            <w:pPr>
              <w:rPr>
                <w:sz w:val="2"/>
                <w:szCs w:val="2"/>
              </w:rPr>
            </w:pPr>
          </w:p>
        </w:tc>
        <w:tc>
          <w:tcPr>
            <w:tcW w:w="1171" w:type="dxa"/>
            <w:vMerge/>
            <w:tcBorders>
              <w:top w:val="nil"/>
            </w:tcBorders>
            <w:shd w:val="clear" w:color="auto" w:fill="C5D9F0"/>
          </w:tcPr>
          <w:p>
            <w:pPr>
              <w:rPr>
                <w:sz w:val="2"/>
                <w:szCs w:val="2"/>
              </w:rPr>
            </w:pPr>
          </w:p>
        </w:tc>
        <w:tc>
          <w:tcPr>
            <w:tcW w:w="2160" w:type="dxa"/>
            <w:vMerge/>
            <w:tcBorders>
              <w:top w:val="nil"/>
            </w:tcBorders>
            <w:shd w:val="clear" w:color="auto" w:fill="C5D9F0"/>
          </w:tcPr>
          <w:p>
            <w:pPr>
              <w:rPr>
                <w:sz w:val="2"/>
                <w:szCs w:val="2"/>
              </w:rPr>
            </w:pPr>
          </w:p>
        </w:tc>
        <w:tc>
          <w:tcPr>
            <w:tcW w:w="1168" w:type="dxa"/>
            <w:shd w:val="clear" w:color="auto" w:fill="C5D9F0"/>
          </w:tcPr>
          <w:p>
            <w:pPr>
              <w:pStyle w:val="TableParagraph"/>
              <w:spacing w:line="219" w:lineRule="exact"/>
              <w:ind w:left="105"/>
              <w:rPr>
                <w:rFonts w:ascii="Calibri"/>
                <w:sz w:val="18"/>
              </w:rPr>
            </w:pPr>
            <w:r>
              <w:rPr>
                <w:rFonts w:ascii="Calibri"/>
                <w:sz w:val="18"/>
              </w:rPr>
              <w:t>Yr </w:t>
            </w:r>
            <w:r>
              <w:rPr>
                <w:rFonts w:ascii="Calibri"/>
                <w:spacing w:val="-10"/>
                <w:sz w:val="18"/>
              </w:rPr>
              <w:t>C</w:t>
            </w:r>
          </w:p>
        </w:tc>
        <w:tc>
          <w:tcPr>
            <w:tcW w:w="1171" w:type="dxa"/>
            <w:shd w:val="clear" w:color="auto" w:fill="C5D9F0"/>
          </w:tcPr>
          <w:p>
            <w:pPr>
              <w:pStyle w:val="TableParagraph"/>
              <w:spacing w:line="219" w:lineRule="exact"/>
              <w:ind w:left="108"/>
              <w:rPr>
                <w:rFonts w:ascii="Calibri"/>
                <w:sz w:val="18"/>
              </w:rPr>
            </w:pPr>
            <w:r>
              <w:rPr>
                <w:rFonts w:ascii="Calibri"/>
                <w:sz w:val="18"/>
              </w:rPr>
              <w:t>Yr </w:t>
            </w:r>
            <w:r>
              <w:rPr>
                <w:rFonts w:ascii="Calibri"/>
                <w:spacing w:val="-10"/>
                <w:sz w:val="18"/>
              </w:rPr>
              <w:t>D</w:t>
            </w:r>
          </w:p>
        </w:tc>
        <w:tc>
          <w:tcPr>
            <w:tcW w:w="1168" w:type="dxa"/>
            <w:shd w:val="clear" w:color="auto" w:fill="C5D9F0"/>
          </w:tcPr>
          <w:p>
            <w:pPr>
              <w:pStyle w:val="TableParagraph"/>
              <w:spacing w:line="219" w:lineRule="exact"/>
              <w:ind w:left="107"/>
              <w:rPr>
                <w:rFonts w:ascii="Calibri"/>
                <w:sz w:val="18"/>
              </w:rPr>
            </w:pPr>
            <w:r>
              <w:rPr>
                <w:rFonts w:ascii="Calibri"/>
                <w:sz w:val="18"/>
              </w:rPr>
              <w:t>Yr </w:t>
            </w:r>
            <w:r>
              <w:rPr>
                <w:rFonts w:ascii="Calibri"/>
                <w:spacing w:val="-10"/>
                <w:sz w:val="18"/>
              </w:rPr>
              <w:t>E</w:t>
            </w:r>
          </w:p>
        </w:tc>
      </w:tr>
      <w:tr>
        <w:trPr>
          <w:trHeight w:val="338" w:hRule="atLeast"/>
        </w:trPr>
        <w:tc>
          <w:tcPr>
            <w:tcW w:w="497" w:type="dxa"/>
            <w:shd w:val="clear" w:color="auto" w:fill="C5D9F0"/>
          </w:tcPr>
          <w:p>
            <w:pPr>
              <w:pStyle w:val="TableParagraph"/>
              <w:rPr>
                <w:sz w:val="20"/>
              </w:rPr>
            </w:pPr>
          </w:p>
        </w:tc>
        <w:tc>
          <w:tcPr>
            <w:tcW w:w="2024" w:type="dxa"/>
            <w:shd w:val="clear" w:color="auto" w:fill="C5D9F0"/>
          </w:tcPr>
          <w:p>
            <w:pPr>
              <w:pStyle w:val="TableParagraph"/>
              <w:rPr>
                <w:sz w:val="20"/>
              </w:rPr>
            </w:pPr>
          </w:p>
        </w:tc>
        <w:tc>
          <w:tcPr>
            <w:tcW w:w="1171" w:type="dxa"/>
            <w:shd w:val="clear" w:color="auto" w:fill="C5D9F0"/>
          </w:tcPr>
          <w:p>
            <w:pPr>
              <w:pStyle w:val="TableParagraph"/>
              <w:rPr>
                <w:sz w:val="20"/>
              </w:rPr>
            </w:pPr>
          </w:p>
        </w:tc>
        <w:tc>
          <w:tcPr>
            <w:tcW w:w="2160" w:type="dxa"/>
            <w:shd w:val="clear" w:color="auto" w:fill="C5D9F0"/>
          </w:tcPr>
          <w:p>
            <w:pPr>
              <w:pStyle w:val="TableParagraph"/>
              <w:rPr>
                <w:sz w:val="20"/>
              </w:rPr>
            </w:pPr>
          </w:p>
        </w:tc>
        <w:tc>
          <w:tcPr>
            <w:tcW w:w="1168" w:type="dxa"/>
            <w:shd w:val="clear" w:color="auto" w:fill="C5D9F0"/>
          </w:tcPr>
          <w:p>
            <w:pPr>
              <w:pStyle w:val="TableParagraph"/>
              <w:rPr>
                <w:sz w:val="20"/>
              </w:rPr>
            </w:pPr>
          </w:p>
        </w:tc>
        <w:tc>
          <w:tcPr>
            <w:tcW w:w="1171" w:type="dxa"/>
            <w:shd w:val="clear" w:color="auto" w:fill="C5D9F0"/>
          </w:tcPr>
          <w:p>
            <w:pPr>
              <w:pStyle w:val="TableParagraph"/>
              <w:rPr>
                <w:sz w:val="20"/>
              </w:rPr>
            </w:pPr>
          </w:p>
        </w:tc>
        <w:tc>
          <w:tcPr>
            <w:tcW w:w="1168" w:type="dxa"/>
            <w:shd w:val="clear" w:color="auto" w:fill="C5D9F0"/>
          </w:tcPr>
          <w:p>
            <w:pPr>
              <w:pStyle w:val="TableParagraph"/>
              <w:rPr>
                <w:sz w:val="20"/>
              </w:rPr>
            </w:pPr>
          </w:p>
        </w:tc>
      </w:tr>
      <w:tr>
        <w:trPr>
          <w:trHeight w:val="340" w:hRule="atLeast"/>
        </w:trPr>
        <w:tc>
          <w:tcPr>
            <w:tcW w:w="497" w:type="dxa"/>
            <w:shd w:val="clear" w:color="auto" w:fill="C5D9F0"/>
          </w:tcPr>
          <w:p>
            <w:pPr>
              <w:pStyle w:val="TableParagraph"/>
              <w:rPr>
                <w:sz w:val="20"/>
              </w:rPr>
            </w:pPr>
          </w:p>
        </w:tc>
        <w:tc>
          <w:tcPr>
            <w:tcW w:w="2024" w:type="dxa"/>
            <w:shd w:val="clear" w:color="auto" w:fill="C5D9F0"/>
          </w:tcPr>
          <w:p>
            <w:pPr>
              <w:pStyle w:val="TableParagraph"/>
              <w:rPr>
                <w:sz w:val="20"/>
              </w:rPr>
            </w:pPr>
          </w:p>
        </w:tc>
        <w:tc>
          <w:tcPr>
            <w:tcW w:w="1171" w:type="dxa"/>
            <w:shd w:val="clear" w:color="auto" w:fill="C5D9F0"/>
          </w:tcPr>
          <w:p>
            <w:pPr>
              <w:pStyle w:val="TableParagraph"/>
              <w:rPr>
                <w:sz w:val="20"/>
              </w:rPr>
            </w:pPr>
          </w:p>
        </w:tc>
        <w:tc>
          <w:tcPr>
            <w:tcW w:w="2160" w:type="dxa"/>
            <w:shd w:val="clear" w:color="auto" w:fill="C5D9F0"/>
          </w:tcPr>
          <w:p>
            <w:pPr>
              <w:pStyle w:val="TableParagraph"/>
              <w:rPr>
                <w:sz w:val="20"/>
              </w:rPr>
            </w:pPr>
          </w:p>
        </w:tc>
        <w:tc>
          <w:tcPr>
            <w:tcW w:w="1168" w:type="dxa"/>
            <w:shd w:val="clear" w:color="auto" w:fill="C5D9F0"/>
          </w:tcPr>
          <w:p>
            <w:pPr>
              <w:pStyle w:val="TableParagraph"/>
              <w:rPr>
                <w:sz w:val="20"/>
              </w:rPr>
            </w:pPr>
          </w:p>
        </w:tc>
        <w:tc>
          <w:tcPr>
            <w:tcW w:w="1171" w:type="dxa"/>
            <w:shd w:val="clear" w:color="auto" w:fill="C5D9F0"/>
          </w:tcPr>
          <w:p>
            <w:pPr>
              <w:pStyle w:val="TableParagraph"/>
              <w:rPr>
                <w:sz w:val="20"/>
              </w:rPr>
            </w:pPr>
          </w:p>
        </w:tc>
        <w:tc>
          <w:tcPr>
            <w:tcW w:w="1168" w:type="dxa"/>
            <w:shd w:val="clear" w:color="auto" w:fill="C5D9F0"/>
          </w:tcPr>
          <w:p>
            <w:pPr>
              <w:pStyle w:val="TableParagraph"/>
              <w:rPr>
                <w:sz w:val="20"/>
              </w:rPr>
            </w:pPr>
          </w:p>
        </w:tc>
      </w:tr>
      <w:tr>
        <w:trPr>
          <w:trHeight w:val="340" w:hRule="atLeast"/>
        </w:trPr>
        <w:tc>
          <w:tcPr>
            <w:tcW w:w="497" w:type="dxa"/>
            <w:shd w:val="clear" w:color="auto" w:fill="C5D9F0"/>
          </w:tcPr>
          <w:p>
            <w:pPr>
              <w:pStyle w:val="TableParagraph"/>
              <w:rPr>
                <w:sz w:val="20"/>
              </w:rPr>
            </w:pPr>
          </w:p>
        </w:tc>
        <w:tc>
          <w:tcPr>
            <w:tcW w:w="2024" w:type="dxa"/>
            <w:shd w:val="clear" w:color="auto" w:fill="C5D9F0"/>
          </w:tcPr>
          <w:p>
            <w:pPr>
              <w:pStyle w:val="TableParagraph"/>
              <w:rPr>
                <w:sz w:val="20"/>
              </w:rPr>
            </w:pPr>
          </w:p>
        </w:tc>
        <w:tc>
          <w:tcPr>
            <w:tcW w:w="1171" w:type="dxa"/>
            <w:shd w:val="clear" w:color="auto" w:fill="C5D9F0"/>
          </w:tcPr>
          <w:p>
            <w:pPr>
              <w:pStyle w:val="TableParagraph"/>
              <w:rPr>
                <w:sz w:val="20"/>
              </w:rPr>
            </w:pPr>
          </w:p>
        </w:tc>
        <w:tc>
          <w:tcPr>
            <w:tcW w:w="2160" w:type="dxa"/>
            <w:shd w:val="clear" w:color="auto" w:fill="C5D9F0"/>
          </w:tcPr>
          <w:p>
            <w:pPr>
              <w:pStyle w:val="TableParagraph"/>
              <w:rPr>
                <w:sz w:val="20"/>
              </w:rPr>
            </w:pPr>
          </w:p>
        </w:tc>
        <w:tc>
          <w:tcPr>
            <w:tcW w:w="1168" w:type="dxa"/>
            <w:shd w:val="clear" w:color="auto" w:fill="C5D9F0"/>
          </w:tcPr>
          <w:p>
            <w:pPr>
              <w:pStyle w:val="TableParagraph"/>
              <w:rPr>
                <w:sz w:val="20"/>
              </w:rPr>
            </w:pPr>
          </w:p>
        </w:tc>
        <w:tc>
          <w:tcPr>
            <w:tcW w:w="1171" w:type="dxa"/>
            <w:shd w:val="clear" w:color="auto" w:fill="C5D9F0"/>
          </w:tcPr>
          <w:p>
            <w:pPr>
              <w:pStyle w:val="TableParagraph"/>
              <w:rPr>
                <w:sz w:val="20"/>
              </w:rPr>
            </w:pPr>
          </w:p>
        </w:tc>
        <w:tc>
          <w:tcPr>
            <w:tcW w:w="1168" w:type="dxa"/>
            <w:shd w:val="clear" w:color="auto" w:fill="C5D9F0"/>
          </w:tcPr>
          <w:p>
            <w:pPr>
              <w:pStyle w:val="TableParagraph"/>
              <w:rPr>
                <w:sz w:val="20"/>
              </w:rPr>
            </w:pPr>
          </w:p>
        </w:tc>
      </w:tr>
      <w:tr>
        <w:trPr>
          <w:trHeight w:val="340" w:hRule="atLeast"/>
        </w:trPr>
        <w:tc>
          <w:tcPr>
            <w:tcW w:w="497" w:type="dxa"/>
            <w:shd w:val="clear" w:color="auto" w:fill="C5D9F0"/>
          </w:tcPr>
          <w:p>
            <w:pPr>
              <w:pStyle w:val="TableParagraph"/>
              <w:rPr>
                <w:sz w:val="20"/>
              </w:rPr>
            </w:pPr>
          </w:p>
        </w:tc>
        <w:tc>
          <w:tcPr>
            <w:tcW w:w="2024" w:type="dxa"/>
            <w:shd w:val="clear" w:color="auto" w:fill="C5D9F0"/>
          </w:tcPr>
          <w:p>
            <w:pPr>
              <w:pStyle w:val="TableParagraph"/>
              <w:rPr>
                <w:sz w:val="20"/>
              </w:rPr>
            </w:pPr>
          </w:p>
        </w:tc>
        <w:tc>
          <w:tcPr>
            <w:tcW w:w="1171" w:type="dxa"/>
            <w:shd w:val="clear" w:color="auto" w:fill="C5D9F0"/>
          </w:tcPr>
          <w:p>
            <w:pPr>
              <w:pStyle w:val="TableParagraph"/>
              <w:rPr>
                <w:sz w:val="20"/>
              </w:rPr>
            </w:pPr>
          </w:p>
        </w:tc>
        <w:tc>
          <w:tcPr>
            <w:tcW w:w="2160" w:type="dxa"/>
            <w:shd w:val="clear" w:color="auto" w:fill="C5D9F0"/>
          </w:tcPr>
          <w:p>
            <w:pPr>
              <w:pStyle w:val="TableParagraph"/>
              <w:rPr>
                <w:sz w:val="20"/>
              </w:rPr>
            </w:pPr>
          </w:p>
        </w:tc>
        <w:tc>
          <w:tcPr>
            <w:tcW w:w="1168" w:type="dxa"/>
            <w:shd w:val="clear" w:color="auto" w:fill="C5D9F0"/>
          </w:tcPr>
          <w:p>
            <w:pPr>
              <w:pStyle w:val="TableParagraph"/>
              <w:rPr>
                <w:sz w:val="20"/>
              </w:rPr>
            </w:pPr>
          </w:p>
        </w:tc>
        <w:tc>
          <w:tcPr>
            <w:tcW w:w="1171" w:type="dxa"/>
            <w:shd w:val="clear" w:color="auto" w:fill="C5D9F0"/>
          </w:tcPr>
          <w:p>
            <w:pPr>
              <w:pStyle w:val="TableParagraph"/>
              <w:rPr>
                <w:sz w:val="20"/>
              </w:rPr>
            </w:pPr>
          </w:p>
        </w:tc>
        <w:tc>
          <w:tcPr>
            <w:tcW w:w="1168" w:type="dxa"/>
            <w:shd w:val="clear" w:color="auto" w:fill="C5D9F0"/>
          </w:tcPr>
          <w:p>
            <w:pPr>
              <w:pStyle w:val="TableParagraph"/>
              <w:rPr>
                <w:sz w:val="20"/>
              </w:rPr>
            </w:pPr>
          </w:p>
        </w:tc>
      </w:tr>
      <w:tr>
        <w:trPr>
          <w:trHeight w:val="337" w:hRule="atLeast"/>
        </w:trPr>
        <w:tc>
          <w:tcPr>
            <w:tcW w:w="497" w:type="dxa"/>
            <w:shd w:val="clear" w:color="auto" w:fill="C5D9F0"/>
          </w:tcPr>
          <w:p>
            <w:pPr>
              <w:pStyle w:val="TableParagraph"/>
              <w:rPr>
                <w:sz w:val="20"/>
              </w:rPr>
            </w:pPr>
          </w:p>
        </w:tc>
        <w:tc>
          <w:tcPr>
            <w:tcW w:w="2024" w:type="dxa"/>
            <w:shd w:val="clear" w:color="auto" w:fill="C5D9F0"/>
          </w:tcPr>
          <w:p>
            <w:pPr>
              <w:pStyle w:val="TableParagraph"/>
              <w:rPr>
                <w:sz w:val="20"/>
              </w:rPr>
            </w:pPr>
          </w:p>
        </w:tc>
        <w:tc>
          <w:tcPr>
            <w:tcW w:w="1171" w:type="dxa"/>
            <w:shd w:val="clear" w:color="auto" w:fill="C5D9F0"/>
          </w:tcPr>
          <w:p>
            <w:pPr>
              <w:pStyle w:val="TableParagraph"/>
              <w:rPr>
                <w:sz w:val="20"/>
              </w:rPr>
            </w:pPr>
          </w:p>
        </w:tc>
        <w:tc>
          <w:tcPr>
            <w:tcW w:w="2160" w:type="dxa"/>
            <w:shd w:val="clear" w:color="auto" w:fill="C5D9F0"/>
          </w:tcPr>
          <w:p>
            <w:pPr>
              <w:pStyle w:val="TableParagraph"/>
              <w:rPr>
                <w:sz w:val="20"/>
              </w:rPr>
            </w:pPr>
          </w:p>
        </w:tc>
        <w:tc>
          <w:tcPr>
            <w:tcW w:w="1168" w:type="dxa"/>
            <w:shd w:val="clear" w:color="auto" w:fill="C5D9F0"/>
          </w:tcPr>
          <w:p>
            <w:pPr>
              <w:pStyle w:val="TableParagraph"/>
              <w:rPr>
                <w:sz w:val="20"/>
              </w:rPr>
            </w:pPr>
          </w:p>
        </w:tc>
        <w:tc>
          <w:tcPr>
            <w:tcW w:w="1171" w:type="dxa"/>
            <w:shd w:val="clear" w:color="auto" w:fill="C5D9F0"/>
          </w:tcPr>
          <w:p>
            <w:pPr>
              <w:pStyle w:val="TableParagraph"/>
              <w:rPr>
                <w:sz w:val="20"/>
              </w:rPr>
            </w:pPr>
          </w:p>
        </w:tc>
        <w:tc>
          <w:tcPr>
            <w:tcW w:w="1168" w:type="dxa"/>
            <w:shd w:val="clear" w:color="auto" w:fill="C5D9F0"/>
          </w:tcPr>
          <w:p>
            <w:pPr>
              <w:pStyle w:val="TableParagraph"/>
              <w:rPr>
                <w:sz w:val="20"/>
              </w:rPr>
            </w:pPr>
          </w:p>
        </w:tc>
      </w:tr>
    </w:tbl>
    <w:p>
      <w:pPr>
        <w:spacing w:before="139"/>
        <w:ind w:left="120" w:right="0" w:firstLine="0"/>
        <w:jc w:val="left"/>
        <w:rPr>
          <w:sz w:val="24"/>
        </w:rPr>
      </w:pPr>
      <w:r>
        <w:rPr>
          <w:b/>
          <w:sz w:val="24"/>
        </w:rPr>
        <w:t>Source:</w:t>
      </w:r>
      <w:r>
        <w:rPr>
          <w:b/>
          <w:spacing w:val="-3"/>
          <w:sz w:val="24"/>
        </w:rPr>
        <w:t> </w:t>
      </w:r>
      <w:r>
        <w:rPr>
          <w:sz w:val="24"/>
        </w:rPr>
        <w:t>Researcher‘s</w:t>
      </w:r>
      <w:r>
        <w:rPr>
          <w:spacing w:val="-2"/>
          <w:sz w:val="24"/>
        </w:rPr>
        <w:t> </w:t>
      </w:r>
      <w:r>
        <w:rPr>
          <w:sz w:val="24"/>
        </w:rPr>
        <w:t>field</w:t>
      </w:r>
      <w:r>
        <w:rPr>
          <w:spacing w:val="-1"/>
          <w:sz w:val="24"/>
        </w:rPr>
        <w:t> </w:t>
      </w:r>
      <w:r>
        <w:rPr>
          <w:sz w:val="24"/>
        </w:rPr>
        <w:t>work</w:t>
      </w:r>
      <w:r>
        <w:rPr>
          <w:spacing w:val="-1"/>
          <w:sz w:val="24"/>
        </w:rPr>
        <w:t> </w:t>
      </w:r>
      <w:r>
        <w:rPr>
          <w:spacing w:val="-2"/>
          <w:sz w:val="24"/>
        </w:rPr>
        <w:t>(2017).</w:t>
      </w:r>
    </w:p>
    <w:p>
      <w:pPr>
        <w:spacing w:after="0"/>
        <w:jc w:val="left"/>
        <w:rPr>
          <w:sz w:val="24"/>
        </w:rPr>
        <w:sectPr>
          <w:pgSz w:w="12240" w:h="15840"/>
          <w:pgMar w:header="0" w:footer="1036" w:top="1360" w:bottom="1220" w:left="1320" w:right="320"/>
        </w:sectPr>
      </w:pPr>
    </w:p>
    <w:p>
      <w:pPr>
        <w:pStyle w:val="Heading1"/>
      </w:pPr>
      <w:r>
        <w:rPr/>
        <w:t>APPENDIX</w:t>
      </w:r>
      <w:r>
        <w:rPr>
          <w:spacing w:val="-12"/>
        </w:rPr>
        <w:t> </w:t>
      </w:r>
      <w:r>
        <w:rPr>
          <w:spacing w:val="-10"/>
        </w:rPr>
        <w:t>4</w:t>
      </w:r>
    </w:p>
    <w:p>
      <w:pPr>
        <w:pStyle w:val="Heading2"/>
        <w:spacing w:before="234"/>
        <w:ind w:right="999"/>
      </w:pPr>
      <w:r>
        <w:rPr/>
        <w:t>DEFINITION</w:t>
      </w:r>
      <w:r>
        <w:rPr>
          <w:spacing w:val="-8"/>
        </w:rPr>
        <w:t> </w:t>
      </w:r>
      <w:r>
        <w:rPr/>
        <w:t>OF</w:t>
      </w:r>
      <w:r>
        <w:rPr>
          <w:spacing w:val="-10"/>
        </w:rPr>
        <w:t> </w:t>
      </w:r>
      <w:r>
        <w:rPr>
          <w:spacing w:val="-2"/>
        </w:rPr>
        <w:t>TERMS</w:t>
      </w:r>
    </w:p>
    <w:p>
      <w:pPr>
        <w:pStyle w:val="BodyText"/>
        <w:spacing w:before="42"/>
        <w:rPr>
          <w:b/>
          <w:sz w:val="26"/>
        </w:rPr>
      </w:pPr>
    </w:p>
    <w:p>
      <w:pPr>
        <w:pStyle w:val="BodyText"/>
        <w:spacing w:line="360" w:lineRule="auto" w:before="1"/>
        <w:ind w:left="120" w:right="1117"/>
      </w:pPr>
      <w:r>
        <w:rPr>
          <w:b/>
        </w:rPr>
        <w:t>Balanced</w:t>
      </w:r>
      <w:r>
        <w:rPr>
          <w:b/>
          <w:spacing w:val="77"/>
        </w:rPr>
        <w:t> </w:t>
      </w:r>
      <w:r>
        <w:rPr>
          <w:b/>
        </w:rPr>
        <w:t>budget:</w:t>
      </w:r>
      <w:r>
        <w:rPr>
          <w:b/>
          <w:spacing w:val="77"/>
        </w:rPr>
        <w:t> </w:t>
      </w:r>
      <w:r>
        <w:rPr/>
        <w:t>This</w:t>
      </w:r>
      <w:r>
        <w:rPr>
          <w:spacing w:val="77"/>
        </w:rPr>
        <w:t> </w:t>
      </w:r>
      <w:r>
        <w:rPr/>
        <w:t>is</w:t>
      </w:r>
      <w:r>
        <w:rPr>
          <w:spacing w:val="77"/>
        </w:rPr>
        <w:t> </w:t>
      </w:r>
      <w:r>
        <w:rPr/>
        <w:t>a</w:t>
      </w:r>
      <w:r>
        <w:rPr>
          <w:spacing w:val="76"/>
        </w:rPr>
        <w:t> </w:t>
      </w:r>
      <w:r>
        <w:rPr/>
        <w:t>situation</w:t>
      </w:r>
      <w:r>
        <w:rPr>
          <w:spacing w:val="76"/>
        </w:rPr>
        <w:t> </w:t>
      </w:r>
      <w:r>
        <w:rPr/>
        <w:t>in</w:t>
      </w:r>
      <w:r>
        <w:rPr>
          <w:spacing w:val="77"/>
        </w:rPr>
        <w:t> </w:t>
      </w:r>
      <w:r>
        <w:rPr/>
        <w:t>which</w:t>
      </w:r>
      <w:r>
        <w:rPr>
          <w:spacing w:val="76"/>
        </w:rPr>
        <w:t> </w:t>
      </w:r>
      <w:r>
        <w:rPr/>
        <w:t>the</w:t>
      </w:r>
      <w:r>
        <w:rPr>
          <w:spacing w:val="76"/>
        </w:rPr>
        <w:t> </w:t>
      </w:r>
      <w:r>
        <w:rPr/>
        <w:t>estimated</w:t>
      </w:r>
      <w:r>
        <w:rPr>
          <w:spacing w:val="80"/>
        </w:rPr>
        <w:t> </w:t>
      </w:r>
      <w:r>
        <w:rPr/>
        <w:t>revenue</w:t>
      </w:r>
      <w:r>
        <w:rPr>
          <w:spacing w:val="76"/>
        </w:rPr>
        <w:t> </w:t>
      </w:r>
      <w:r>
        <w:rPr/>
        <w:t>or</w:t>
      </w:r>
      <w:r>
        <w:rPr>
          <w:spacing w:val="76"/>
        </w:rPr>
        <w:t> </w:t>
      </w:r>
      <w:r>
        <w:rPr/>
        <w:t>income</w:t>
      </w:r>
      <w:r>
        <w:rPr>
          <w:spacing w:val="76"/>
        </w:rPr>
        <w:t> </w:t>
      </w:r>
      <w:r>
        <w:rPr/>
        <w:t>of</w:t>
      </w:r>
      <w:r>
        <w:rPr>
          <w:spacing w:val="76"/>
        </w:rPr>
        <w:t> </w:t>
      </w:r>
      <w:r>
        <w:rPr/>
        <w:t>the Government during the year is equal to its anticipated expenditure (Malgwi and Unegbu, 2012). </w:t>
      </w:r>
      <w:r>
        <w:rPr>
          <w:b/>
        </w:rPr>
        <w:t>Budget</w:t>
      </w:r>
      <w:r>
        <w:rPr>
          <w:b/>
          <w:spacing w:val="40"/>
        </w:rPr>
        <w:t> </w:t>
      </w:r>
      <w:r>
        <w:rPr>
          <w:b/>
        </w:rPr>
        <w:t>deficit:</w:t>
      </w:r>
      <w:r>
        <w:rPr>
          <w:b/>
          <w:spacing w:val="40"/>
        </w:rPr>
        <w:t> </w:t>
      </w:r>
      <w:r>
        <w:rPr/>
        <w:t>This</w:t>
      </w:r>
      <w:r>
        <w:rPr>
          <w:spacing w:val="40"/>
        </w:rPr>
        <w:t> </w:t>
      </w:r>
      <w:r>
        <w:rPr/>
        <w:t>represents</w:t>
      </w:r>
      <w:r>
        <w:rPr>
          <w:spacing w:val="40"/>
        </w:rPr>
        <w:t> </w:t>
      </w:r>
      <w:r>
        <w:rPr/>
        <w:t>a</w:t>
      </w:r>
      <w:r>
        <w:rPr>
          <w:spacing w:val="40"/>
        </w:rPr>
        <w:t> </w:t>
      </w:r>
      <w:r>
        <w:rPr/>
        <w:t>situation</w:t>
      </w:r>
      <w:r>
        <w:rPr>
          <w:spacing w:val="40"/>
        </w:rPr>
        <w:t> </w:t>
      </w:r>
      <w:r>
        <w:rPr/>
        <w:t>where</w:t>
      </w:r>
      <w:r>
        <w:rPr>
          <w:spacing w:val="40"/>
        </w:rPr>
        <w:t> </w:t>
      </w:r>
      <w:r>
        <w:rPr/>
        <w:t>estimated</w:t>
      </w:r>
      <w:r>
        <w:rPr>
          <w:spacing w:val="40"/>
        </w:rPr>
        <w:t> </w:t>
      </w:r>
      <w:r>
        <w:rPr/>
        <w:t>revenues</w:t>
      </w:r>
      <w:r>
        <w:rPr>
          <w:spacing w:val="40"/>
        </w:rPr>
        <w:t> </w:t>
      </w:r>
      <w:r>
        <w:rPr/>
        <w:t>are</w:t>
      </w:r>
      <w:r>
        <w:rPr>
          <w:spacing w:val="40"/>
        </w:rPr>
        <w:t> </w:t>
      </w:r>
      <w:r>
        <w:rPr/>
        <w:t>less</w:t>
      </w:r>
      <w:r>
        <w:rPr>
          <w:spacing w:val="40"/>
        </w:rPr>
        <w:t> </w:t>
      </w:r>
      <w:r>
        <w:rPr/>
        <w:t>than</w:t>
      </w:r>
      <w:r>
        <w:rPr>
          <w:spacing w:val="40"/>
        </w:rPr>
        <w:t> </w:t>
      </w:r>
      <w:r>
        <w:rPr/>
        <w:t>projected expenditures (Malgwi and Unegbu, 2012).</w:t>
      </w:r>
    </w:p>
    <w:p>
      <w:pPr>
        <w:pStyle w:val="BodyText"/>
        <w:spacing w:line="360" w:lineRule="auto"/>
        <w:ind w:left="120" w:right="1125"/>
      </w:pPr>
      <w:r>
        <w:rPr>
          <w:b/>
        </w:rPr>
        <w:t>Budget discipline: </w:t>
      </w:r>
      <w:r>
        <w:rPr/>
        <w:t>This is a measure of the ration of budgeted expenditure to actual expenditure (Ben-Caleb, </w:t>
      </w:r>
      <w:r>
        <w:rPr>
          <w:i/>
        </w:rPr>
        <w:t>et.al</w:t>
      </w:r>
      <w:r>
        <w:rPr/>
        <w:t>., 2014).</w:t>
      </w:r>
    </w:p>
    <w:p>
      <w:pPr>
        <w:pStyle w:val="BodyText"/>
        <w:spacing w:line="360" w:lineRule="auto"/>
        <w:ind w:left="120" w:right="1120"/>
        <w:jc w:val="both"/>
      </w:pPr>
      <w:r>
        <w:rPr>
          <w:b/>
        </w:rPr>
        <w:t>Budget Reform</w:t>
      </w:r>
      <w:r>
        <w:rPr/>
        <w:t>: This refers to changes to the ways and manner in which the budget is formulated, implemented and evaluated for the purpose of facilitating effectiveness, efficiency and economy (Ben-Caleb, </w:t>
      </w:r>
      <w:r>
        <w:rPr>
          <w:i/>
        </w:rPr>
        <w:t>et.al</w:t>
      </w:r>
      <w:r>
        <w:rPr/>
        <w:t>., 2014).</w:t>
      </w:r>
    </w:p>
    <w:p>
      <w:pPr>
        <w:pStyle w:val="BodyText"/>
        <w:spacing w:line="360" w:lineRule="auto" w:before="2"/>
        <w:ind w:left="120" w:right="1119"/>
        <w:jc w:val="both"/>
      </w:pPr>
      <w:r>
        <w:rPr>
          <w:b/>
        </w:rPr>
        <w:t>Budget surplus: </w:t>
      </w:r>
      <w:r>
        <w:rPr/>
        <w:t>This is a situation where revenues are estimated to be greater than projected expenditures (Malgwi and Unegbu, 2012).</w:t>
      </w:r>
    </w:p>
    <w:p>
      <w:pPr>
        <w:pStyle w:val="BodyText"/>
        <w:spacing w:line="360" w:lineRule="auto"/>
        <w:ind w:left="120" w:right="1123"/>
        <w:jc w:val="both"/>
      </w:pPr>
      <w:r>
        <w:rPr>
          <w:b/>
        </w:rPr>
        <w:t>Capital budget: </w:t>
      </w:r>
      <w:r>
        <w:rPr/>
        <w:t>This is a long-term plan regarding investments in facilities, equipment or other lines of governmental ventures (Aderibigbe, 2012).</w:t>
      </w:r>
    </w:p>
    <w:p>
      <w:pPr>
        <w:pStyle w:val="BodyText"/>
        <w:spacing w:line="360" w:lineRule="auto"/>
        <w:ind w:left="120" w:right="1116"/>
        <w:jc w:val="both"/>
      </w:pPr>
      <w:r>
        <w:rPr>
          <w:b/>
        </w:rPr>
        <w:t>Capital expenditure: </w:t>
      </w:r>
      <w:r>
        <w:rPr/>
        <w:t>This represents the estimated expenditure to cover all fixed assets during the budget period including the expenditure for procurement of plant and equipment and cost of producing infrastructure such as roads, dams, schools, houses and other developmental aspects related to construction (Hogye, 2001).</w:t>
      </w:r>
    </w:p>
    <w:p>
      <w:pPr>
        <w:pStyle w:val="BodyText"/>
        <w:spacing w:line="360" w:lineRule="auto"/>
        <w:ind w:left="120" w:right="1120"/>
        <w:jc w:val="both"/>
      </w:pPr>
      <w:r>
        <w:rPr>
          <w:b/>
        </w:rPr>
        <w:t>Decision package: </w:t>
      </w:r>
      <w:r>
        <w:rPr/>
        <w:t>This is a document that identifies and describes each decision unit in such a manner</w:t>
      </w:r>
      <w:r>
        <w:rPr>
          <w:spacing w:val="-3"/>
        </w:rPr>
        <w:t> </w:t>
      </w:r>
      <w:r>
        <w:rPr/>
        <w:t>that</w:t>
      </w:r>
      <w:r>
        <w:rPr>
          <w:spacing w:val="-3"/>
        </w:rPr>
        <w:t> </w:t>
      </w:r>
      <w:r>
        <w:rPr/>
        <w:t>management</w:t>
      </w:r>
      <w:r>
        <w:rPr>
          <w:spacing w:val="-1"/>
        </w:rPr>
        <w:t> </w:t>
      </w:r>
      <w:r>
        <w:rPr/>
        <w:t>can</w:t>
      </w:r>
      <w:r>
        <w:rPr>
          <w:spacing w:val="-3"/>
        </w:rPr>
        <w:t> </w:t>
      </w:r>
      <w:r>
        <w:rPr/>
        <w:t>evaluate</w:t>
      </w:r>
      <w:r>
        <w:rPr>
          <w:spacing w:val="-2"/>
        </w:rPr>
        <w:t> </w:t>
      </w:r>
      <w:r>
        <w:rPr/>
        <w:t>and</w:t>
      </w:r>
      <w:r>
        <w:rPr>
          <w:spacing w:val="-3"/>
        </w:rPr>
        <w:t> </w:t>
      </w:r>
      <w:r>
        <w:rPr/>
        <w:t>rank</w:t>
      </w:r>
      <w:r>
        <w:rPr>
          <w:spacing w:val="-3"/>
        </w:rPr>
        <w:t> </w:t>
      </w:r>
      <w:r>
        <w:rPr/>
        <w:t>it</w:t>
      </w:r>
      <w:r>
        <w:rPr>
          <w:spacing w:val="-1"/>
        </w:rPr>
        <w:t> </w:t>
      </w:r>
      <w:r>
        <w:rPr/>
        <w:t>against</w:t>
      </w:r>
      <w:r>
        <w:rPr>
          <w:spacing w:val="-3"/>
        </w:rPr>
        <w:t> </w:t>
      </w:r>
      <w:r>
        <w:rPr/>
        <w:t>other</w:t>
      </w:r>
      <w:r>
        <w:rPr>
          <w:spacing w:val="-5"/>
        </w:rPr>
        <w:t> </w:t>
      </w:r>
      <w:r>
        <w:rPr/>
        <w:t>decision</w:t>
      </w:r>
      <w:r>
        <w:rPr>
          <w:spacing w:val="-3"/>
        </w:rPr>
        <w:t> </w:t>
      </w:r>
      <w:r>
        <w:rPr/>
        <w:t>units</w:t>
      </w:r>
      <w:r>
        <w:rPr>
          <w:spacing w:val="-3"/>
        </w:rPr>
        <w:t> </w:t>
      </w:r>
      <w:r>
        <w:rPr/>
        <w:t>competing</w:t>
      </w:r>
      <w:r>
        <w:rPr>
          <w:spacing w:val="-6"/>
        </w:rPr>
        <w:t> </w:t>
      </w:r>
      <w:r>
        <w:rPr/>
        <w:t>for</w:t>
      </w:r>
      <w:r>
        <w:rPr>
          <w:spacing w:val="-2"/>
        </w:rPr>
        <w:t> </w:t>
      </w:r>
      <w:r>
        <w:rPr/>
        <w:t>fund and decide whether to approve it or not. It is the building block of zero base budgeting (Ekwealor, 2007).</w:t>
      </w:r>
    </w:p>
    <w:p>
      <w:pPr>
        <w:pStyle w:val="BodyText"/>
        <w:spacing w:line="360" w:lineRule="auto"/>
        <w:ind w:left="120" w:right="1118"/>
        <w:jc w:val="both"/>
      </w:pPr>
      <w:r>
        <w:rPr>
          <w:b/>
        </w:rPr>
        <w:t>Decision units: </w:t>
      </w:r>
      <w:r>
        <w:rPr/>
        <w:t>These are meaningful elements of an organization which ought to be defined so that they can be isolated for analysis or decision making. It can also be defined as major capital projects, special work assignments or major projects, which an organization must decide for</w:t>
      </w:r>
      <w:r>
        <w:rPr>
          <w:spacing w:val="40"/>
        </w:rPr>
        <w:t> </w:t>
      </w:r>
      <w:r>
        <w:rPr/>
        <w:t>itself as meaningful or not (Ekwealor, 2007).</w:t>
      </w:r>
    </w:p>
    <w:p>
      <w:pPr>
        <w:pStyle w:val="BodyText"/>
        <w:ind w:left="120"/>
        <w:jc w:val="both"/>
      </w:pPr>
      <w:r>
        <w:rPr>
          <w:b/>
        </w:rPr>
        <w:t>Dwelling:</w:t>
      </w:r>
      <w:r>
        <w:rPr>
          <w:b/>
          <w:spacing w:val="-2"/>
        </w:rPr>
        <w:t> </w:t>
      </w:r>
      <w:r>
        <w:rPr/>
        <w:t>This</w:t>
      </w:r>
      <w:r>
        <w:rPr>
          <w:spacing w:val="-1"/>
        </w:rPr>
        <w:t> </w:t>
      </w:r>
      <w:r>
        <w:rPr/>
        <w:t>is</w:t>
      </w:r>
      <w:r>
        <w:rPr>
          <w:spacing w:val="-1"/>
        </w:rPr>
        <w:t> </w:t>
      </w:r>
      <w:r>
        <w:rPr/>
        <w:t>a</w:t>
      </w:r>
      <w:r>
        <w:rPr>
          <w:spacing w:val="-1"/>
        </w:rPr>
        <w:t> </w:t>
      </w:r>
      <w:r>
        <w:rPr/>
        <w:t>place</w:t>
      </w:r>
      <w:r>
        <w:rPr>
          <w:spacing w:val="-2"/>
        </w:rPr>
        <w:t> </w:t>
      </w:r>
      <w:r>
        <w:rPr/>
        <w:t>of</w:t>
      </w:r>
      <w:r>
        <w:rPr>
          <w:spacing w:val="-1"/>
        </w:rPr>
        <w:t> </w:t>
      </w:r>
      <w:r>
        <w:rPr/>
        <w:t>domicile</w:t>
      </w:r>
      <w:r>
        <w:rPr>
          <w:spacing w:val="-2"/>
        </w:rPr>
        <w:t> </w:t>
      </w:r>
      <w:r>
        <w:rPr/>
        <w:t>or residence,</w:t>
      </w:r>
      <w:r>
        <w:rPr>
          <w:spacing w:val="1"/>
        </w:rPr>
        <w:t> </w:t>
      </w:r>
      <w:r>
        <w:rPr/>
        <w:t>a</w:t>
      </w:r>
      <w:r>
        <w:rPr>
          <w:spacing w:val="-2"/>
        </w:rPr>
        <w:t> </w:t>
      </w:r>
      <w:r>
        <w:rPr/>
        <w:t>house</w:t>
      </w:r>
      <w:r>
        <w:rPr>
          <w:spacing w:val="-2"/>
        </w:rPr>
        <w:t> </w:t>
      </w:r>
      <w:r>
        <w:rPr/>
        <w:t>or</w:t>
      </w:r>
      <w:r>
        <w:rPr>
          <w:spacing w:val="-1"/>
        </w:rPr>
        <w:t> </w:t>
      </w:r>
      <w:r>
        <w:rPr/>
        <w:t>even</w:t>
      </w:r>
      <w:r>
        <w:rPr>
          <w:spacing w:val="-1"/>
        </w:rPr>
        <w:t> </w:t>
      </w:r>
      <w:r>
        <w:rPr/>
        <w:t>a flat</w:t>
      </w:r>
      <w:r>
        <w:rPr>
          <w:spacing w:val="-1"/>
        </w:rPr>
        <w:t> </w:t>
      </w:r>
      <w:r>
        <w:rPr/>
        <w:t>(Ezenagu, </w:t>
      </w:r>
      <w:r>
        <w:rPr>
          <w:spacing w:val="-2"/>
        </w:rPr>
        <w:t>2000).</w:t>
      </w:r>
    </w:p>
    <w:p>
      <w:pPr>
        <w:pStyle w:val="BodyText"/>
        <w:spacing w:line="360" w:lineRule="auto" w:before="138"/>
        <w:ind w:left="120" w:right="1126"/>
        <w:jc w:val="both"/>
      </w:pPr>
      <w:r>
        <w:rPr>
          <w:b/>
        </w:rPr>
        <w:t>Fiscal Discipline: </w:t>
      </w:r>
      <w:r>
        <w:rPr/>
        <w:t>This is a measure of the ration of budgeted deficit to Gross Domestic Product (Ben-Caleb, </w:t>
      </w:r>
      <w:r>
        <w:rPr>
          <w:i/>
        </w:rPr>
        <w:t>et.al</w:t>
      </w:r>
      <w:r>
        <w:rPr/>
        <w:t>., 2014).</w:t>
      </w:r>
    </w:p>
    <w:p>
      <w:pPr>
        <w:spacing w:after="0" w:line="360" w:lineRule="auto"/>
        <w:jc w:val="both"/>
        <w:sectPr>
          <w:pgSz w:w="12240" w:h="15840"/>
          <w:pgMar w:header="0" w:footer="1036" w:top="1360" w:bottom="1220" w:left="1320" w:right="320"/>
        </w:sectPr>
      </w:pPr>
    </w:p>
    <w:p>
      <w:pPr>
        <w:pStyle w:val="BodyText"/>
        <w:spacing w:line="360" w:lineRule="auto" w:before="74"/>
        <w:ind w:left="120" w:right="1119"/>
        <w:jc w:val="both"/>
      </w:pPr>
      <w:r>
        <w:rPr>
          <w:b/>
        </w:rPr>
        <w:t>Gross</w:t>
      </w:r>
      <w:r>
        <w:rPr>
          <w:b/>
          <w:spacing w:val="-1"/>
        </w:rPr>
        <w:t> </w:t>
      </w:r>
      <w:r>
        <w:rPr>
          <w:b/>
        </w:rPr>
        <w:t>Domestic</w:t>
      </w:r>
      <w:r>
        <w:rPr>
          <w:b/>
          <w:spacing w:val="-3"/>
        </w:rPr>
        <w:t> </w:t>
      </w:r>
      <w:r>
        <w:rPr>
          <w:b/>
        </w:rPr>
        <w:t>Product</w:t>
      </w:r>
      <w:r>
        <w:rPr>
          <w:b/>
          <w:spacing w:val="-3"/>
        </w:rPr>
        <w:t> </w:t>
      </w:r>
      <w:r>
        <w:rPr>
          <w:b/>
        </w:rPr>
        <w:t>(GDP): </w:t>
      </w:r>
      <w:r>
        <w:rPr/>
        <w:t>In</w:t>
      </w:r>
      <w:r>
        <w:rPr>
          <w:spacing w:val="-1"/>
        </w:rPr>
        <w:t> </w:t>
      </w:r>
      <w:r>
        <w:rPr/>
        <w:t>broad</w:t>
      </w:r>
      <w:r>
        <w:rPr>
          <w:spacing w:val="-1"/>
        </w:rPr>
        <w:t> </w:t>
      </w:r>
      <w:r>
        <w:rPr/>
        <w:t>terms,</w:t>
      </w:r>
      <w:r>
        <w:rPr>
          <w:spacing w:val="-1"/>
        </w:rPr>
        <w:t> </w:t>
      </w:r>
      <w:r>
        <w:rPr/>
        <w:t>it</w:t>
      </w:r>
      <w:r>
        <w:rPr>
          <w:spacing w:val="-3"/>
        </w:rPr>
        <w:t> </w:t>
      </w:r>
      <w:r>
        <w:rPr/>
        <w:t>is</w:t>
      </w:r>
      <w:r>
        <w:rPr>
          <w:spacing w:val="-1"/>
        </w:rPr>
        <w:t> </w:t>
      </w:r>
      <w:r>
        <w:rPr/>
        <w:t>the</w:t>
      </w:r>
      <w:r>
        <w:rPr>
          <w:spacing w:val="-3"/>
        </w:rPr>
        <w:t> </w:t>
      </w:r>
      <w:r>
        <w:rPr/>
        <w:t>quantitative</w:t>
      </w:r>
      <w:r>
        <w:rPr>
          <w:spacing w:val="-3"/>
        </w:rPr>
        <w:t> </w:t>
      </w:r>
      <w:r>
        <w:rPr/>
        <w:t>measure</w:t>
      </w:r>
      <w:r>
        <w:rPr>
          <w:spacing w:val="-5"/>
        </w:rPr>
        <w:t> </w:t>
      </w:r>
      <w:r>
        <w:rPr/>
        <w:t>of</w:t>
      </w:r>
      <w:r>
        <w:rPr>
          <w:spacing w:val="-2"/>
        </w:rPr>
        <w:t> </w:t>
      </w:r>
      <w:r>
        <w:rPr/>
        <w:t>a</w:t>
      </w:r>
      <w:r>
        <w:rPr>
          <w:spacing w:val="-4"/>
        </w:rPr>
        <w:t> </w:t>
      </w:r>
      <w:r>
        <w:rPr/>
        <w:t>nation's</w:t>
      </w:r>
      <w:r>
        <w:rPr>
          <w:spacing w:val="-1"/>
        </w:rPr>
        <w:t> </w:t>
      </w:r>
      <w:r>
        <w:rPr/>
        <w:t>total economic activity. Specifically, it is the monetary value of all the finished goods and services produced within a country's borders over a specific period of time (Aruwa, 2004).</w:t>
      </w:r>
    </w:p>
    <w:p>
      <w:pPr>
        <w:pStyle w:val="BodyText"/>
        <w:spacing w:line="360" w:lineRule="auto"/>
        <w:ind w:left="120" w:right="1123"/>
        <w:jc w:val="both"/>
        <w:rPr>
          <w:i/>
        </w:rPr>
      </w:pPr>
      <w:r>
        <w:rPr>
          <w:b/>
        </w:rPr>
        <w:t>IGR: </w:t>
      </w:r>
      <w:r>
        <w:rPr/>
        <w:t>This is the revenue that State governments generate within their areas of jurisdiction. Sources include taxes, fines and fees, licenses, earnings and sales, rent on government property, interests and dividends among others </w:t>
      </w:r>
      <w:r>
        <w:rPr>
          <w:i/>
        </w:rPr>
        <w:t>(</w:t>
      </w:r>
      <w:hyperlink r:id="rId257">
        <w:r>
          <w:rPr>
            <w:i/>
          </w:rPr>
          <w:t>www.nairaproject.com/projects/1322.html).</w:t>
        </w:r>
      </w:hyperlink>
    </w:p>
    <w:p>
      <w:pPr>
        <w:pStyle w:val="BodyText"/>
        <w:spacing w:line="360" w:lineRule="auto" w:before="1"/>
        <w:ind w:left="120" w:right="1120"/>
        <w:jc w:val="both"/>
      </w:pPr>
      <w:r>
        <w:rPr>
          <w:b/>
        </w:rPr>
        <w:t>Income</w:t>
      </w:r>
      <w:r>
        <w:rPr>
          <w:b/>
          <w:spacing w:val="-2"/>
        </w:rPr>
        <w:t> </w:t>
      </w:r>
      <w:r>
        <w:rPr>
          <w:b/>
        </w:rPr>
        <w:t>Per</w:t>
      </w:r>
      <w:r>
        <w:rPr>
          <w:b/>
          <w:spacing w:val="-3"/>
        </w:rPr>
        <w:t> </w:t>
      </w:r>
      <w:r>
        <w:rPr>
          <w:b/>
        </w:rPr>
        <w:t>Capita:</w:t>
      </w:r>
      <w:r>
        <w:rPr>
          <w:b/>
          <w:spacing w:val="-3"/>
        </w:rPr>
        <w:t> </w:t>
      </w:r>
      <w:r>
        <w:rPr/>
        <w:t>This</w:t>
      </w:r>
      <w:r>
        <w:rPr>
          <w:spacing w:val="-2"/>
        </w:rPr>
        <w:t> </w:t>
      </w:r>
      <w:r>
        <w:rPr/>
        <w:t>is</w:t>
      </w:r>
      <w:r>
        <w:rPr>
          <w:spacing w:val="-2"/>
        </w:rPr>
        <w:t> </w:t>
      </w:r>
      <w:r>
        <w:rPr/>
        <w:t>a</w:t>
      </w:r>
      <w:r>
        <w:rPr>
          <w:spacing w:val="-3"/>
        </w:rPr>
        <w:t> </w:t>
      </w:r>
      <w:r>
        <w:rPr/>
        <w:t>measure</w:t>
      </w:r>
      <w:r>
        <w:rPr>
          <w:spacing w:val="-4"/>
        </w:rPr>
        <w:t> </w:t>
      </w:r>
      <w:r>
        <w:rPr/>
        <w:t>of</w:t>
      </w:r>
      <w:r>
        <w:rPr>
          <w:spacing w:val="-2"/>
        </w:rPr>
        <w:t> </w:t>
      </w:r>
      <w:r>
        <w:rPr/>
        <w:t>the</w:t>
      </w:r>
      <w:r>
        <w:rPr>
          <w:spacing w:val="-4"/>
        </w:rPr>
        <w:t> </w:t>
      </w:r>
      <w:r>
        <w:rPr/>
        <w:t>amount</w:t>
      </w:r>
      <w:r>
        <w:rPr>
          <w:spacing w:val="-2"/>
        </w:rPr>
        <w:t> </w:t>
      </w:r>
      <w:r>
        <w:rPr/>
        <w:t>of</w:t>
      </w:r>
      <w:r>
        <w:rPr>
          <w:spacing w:val="-2"/>
        </w:rPr>
        <w:t> </w:t>
      </w:r>
      <w:r>
        <w:rPr/>
        <w:t>money</w:t>
      </w:r>
      <w:r>
        <w:rPr>
          <w:spacing w:val="-7"/>
        </w:rPr>
        <w:t> </w:t>
      </w:r>
      <w:r>
        <w:rPr/>
        <w:t>that</w:t>
      </w:r>
      <w:r>
        <w:rPr>
          <w:spacing w:val="-2"/>
        </w:rPr>
        <w:t> </w:t>
      </w:r>
      <w:r>
        <w:rPr/>
        <w:t>is</w:t>
      </w:r>
      <w:r>
        <w:rPr>
          <w:spacing w:val="-2"/>
        </w:rPr>
        <w:t> </w:t>
      </w:r>
      <w:r>
        <w:rPr/>
        <w:t>being</w:t>
      </w:r>
      <w:r>
        <w:rPr>
          <w:spacing w:val="-5"/>
        </w:rPr>
        <w:t> </w:t>
      </w:r>
      <w:r>
        <w:rPr/>
        <w:t>earned</w:t>
      </w:r>
      <w:r>
        <w:rPr>
          <w:spacing w:val="-2"/>
        </w:rPr>
        <w:t> </w:t>
      </w:r>
      <w:r>
        <w:rPr/>
        <w:t>per</w:t>
      </w:r>
      <w:r>
        <w:rPr>
          <w:spacing w:val="-2"/>
        </w:rPr>
        <w:t> </w:t>
      </w:r>
      <w:r>
        <w:rPr/>
        <w:t>person</w:t>
      </w:r>
      <w:r>
        <w:rPr>
          <w:spacing w:val="-2"/>
        </w:rPr>
        <w:t> </w:t>
      </w:r>
      <w:r>
        <w:rPr/>
        <w:t>in a certain area. It can also be defined as the average per-person income for a city, region or country (Aruwa, 2004).</w:t>
      </w:r>
    </w:p>
    <w:p>
      <w:pPr>
        <w:pStyle w:val="BodyText"/>
        <w:spacing w:line="360" w:lineRule="auto"/>
        <w:ind w:left="120" w:right="1117"/>
        <w:jc w:val="both"/>
      </w:pPr>
      <w:r>
        <w:rPr>
          <w:b/>
        </w:rPr>
        <w:t>House: </w:t>
      </w:r>
      <w:r>
        <w:rPr/>
        <w:t>A building made for people to live, usually for a family and lodgers. It can also be defined as building or structural edifice comprising walls with floor, a roof in which man lives,</w:t>
      </w:r>
      <w:r>
        <w:rPr>
          <w:spacing w:val="40"/>
        </w:rPr>
        <w:t> </w:t>
      </w:r>
      <w:r>
        <w:rPr/>
        <w:t>to protect himself (Nubi, 2008).</w:t>
      </w:r>
    </w:p>
    <w:p>
      <w:pPr>
        <w:pStyle w:val="BodyText"/>
        <w:spacing w:line="360" w:lineRule="auto"/>
        <w:ind w:left="120" w:right="1125"/>
        <w:jc w:val="both"/>
      </w:pPr>
      <w:r>
        <w:rPr>
          <w:b/>
        </w:rPr>
        <w:t>Housing demand: </w:t>
      </w:r>
      <w:r>
        <w:rPr/>
        <w:t>The willingness and ability of housing consumer to pay for a particular dwelling depending upon such consumer‘s incomes, house type, location preferences and local prices (Olusola, 2002).</w:t>
      </w:r>
    </w:p>
    <w:p>
      <w:pPr>
        <w:pStyle w:val="BodyText"/>
        <w:spacing w:line="360" w:lineRule="auto"/>
        <w:ind w:left="120" w:right="1125"/>
        <w:jc w:val="both"/>
      </w:pPr>
      <w:r>
        <w:rPr>
          <w:b/>
        </w:rPr>
        <w:t>Housing</w:t>
      </w:r>
      <w:r>
        <w:rPr>
          <w:b/>
          <w:spacing w:val="-2"/>
        </w:rPr>
        <w:t> </w:t>
      </w:r>
      <w:r>
        <w:rPr>
          <w:b/>
        </w:rPr>
        <w:t>estate:</w:t>
      </w:r>
      <w:r>
        <w:rPr>
          <w:b/>
          <w:spacing w:val="-3"/>
        </w:rPr>
        <w:t> </w:t>
      </w:r>
      <w:r>
        <w:rPr/>
        <w:t>An area of land on which many houses are built either by private enterprises or by a public authority (Ezenagu, 2000).</w:t>
      </w:r>
    </w:p>
    <w:p>
      <w:pPr>
        <w:pStyle w:val="BodyText"/>
        <w:spacing w:line="360" w:lineRule="auto" w:before="36"/>
        <w:ind w:left="120" w:right="1117"/>
        <w:jc w:val="both"/>
      </w:pPr>
      <w:r>
        <w:rPr>
          <w:b/>
        </w:rPr>
        <w:t>Housing</w:t>
      </w:r>
      <w:r>
        <w:rPr>
          <w:b/>
          <w:spacing w:val="-1"/>
        </w:rPr>
        <w:t> </w:t>
      </w:r>
      <w:r>
        <w:rPr>
          <w:b/>
        </w:rPr>
        <w:t>market:</w:t>
      </w:r>
      <w:r>
        <w:rPr>
          <w:b/>
          <w:spacing w:val="-2"/>
        </w:rPr>
        <w:t> </w:t>
      </w:r>
      <w:r>
        <w:rPr/>
        <w:t>A</w:t>
      </w:r>
      <w:r>
        <w:rPr>
          <w:spacing w:val="-2"/>
        </w:rPr>
        <w:t> </w:t>
      </w:r>
      <w:r>
        <w:rPr/>
        <w:t>place</w:t>
      </w:r>
      <w:r>
        <w:rPr>
          <w:spacing w:val="-2"/>
        </w:rPr>
        <w:t> </w:t>
      </w:r>
      <w:r>
        <w:rPr/>
        <w:t>or</w:t>
      </w:r>
      <w:r>
        <w:rPr>
          <w:spacing w:val="-2"/>
        </w:rPr>
        <w:t> </w:t>
      </w:r>
      <w:r>
        <w:rPr/>
        <w:t>platform,</w:t>
      </w:r>
      <w:r>
        <w:rPr>
          <w:spacing w:val="-2"/>
        </w:rPr>
        <w:t> </w:t>
      </w:r>
      <w:r>
        <w:rPr/>
        <w:t>where</w:t>
      </w:r>
      <w:r>
        <w:rPr>
          <w:spacing w:val="-2"/>
        </w:rPr>
        <w:t> </w:t>
      </w:r>
      <w:r>
        <w:rPr/>
        <w:t>housing</w:t>
      </w:r>
      <w:r>
        <w:rPr>
          <w:spacing w:val="-1"/>
        </w:rPr>
        <w:t> </w:t>
      </w:r>
      <w:r>
        <w:rPr/>
        <w:t>goods</w:t>
      </w:r>
      <w:r>
        <w:rPr>
          <w:spacing w:val="-1"/>
        </w:rPr>
        <w:t> </w:t>
      </w:r>
      <w:r>
        <w:rPr/>
        <w:t>and</w:t>
      </w:r>
      <w:r>
        <w:rPr>
          <w:spacing w:val="-1"/>
        </w:rPr>
        <w:t> </w:t>
      </w:r>
      <w:r>
        <w:rPr/>
        <w:t>services</w:t>
      </w:r>
      <w:r>
        <w:rPr>
          <w:spacing w:val="-1"/>
        </w:rPr>
        <w:t> </w:t>
      </w:r>
      <w:r>
        <w:rPr/>
        <w:t>are</w:t>
      </w:r>
      <w:r>
        <w:rPr>
          <w:spacing w:val="-2"/>
        </w:rPr>
        <w:t> </w:t>
      </w:r>
      <w:r>
        <w:rPr/>
        <w:t>sold</w:t>
      </w:r>
      <w:r>
        <w:rPr>
          <w:spacing w:val="-1"/>
        </w:rPr>
        <w:t> </w:t>
      </w:r>
      <w:r>
        <w:rPr/>
        <w:t>and</w:t>
      </w:r>
      <w:r>
        <w:rPr>
          <w:spacing w:val="-1"/>
        </w:rPr>
        <w:t> </w:t>
      </w:r>
      <w:r>
        <w:rPr/>
        <w:t>bought</w:t>
      </w:r>
      <w:r>
        <w:rPr>
          <w:spacing w:val="-1"/>
        </w:rPr>
        <w:t> </w:t>
      </w:r>
      <w:r>
        <w:rPr/>
        <w:t>by virtue of their being demanded and supplied (Welsh, 2002).</w:t>
      </w:r>
    </w:p>
    <w:p>
      <w:pPr>
        <w:pStyle w:val="BodyText"/>
        <w:spacing w:line="360" w:lineRule="auto"/>
        <w:ind w:left="120" w:right="1122"/>
        <w:jc w:val="both"/>
      </w:pPr>
      <w:r>
        <w:rPr>
          <w:b/>
        </w:rPr>
        <w:t>Housing need: </w:t>
      </w:r>
      <w:r>
        <w:rPr/>
        <w:t>The minimum shelter or accommodation required to meet the basic minimum requirement of a family or an individual. It can also be regarded as the housing accommodation required by a particular family or individual to meet the basic minimum standards (Ezenagu, </w:t>
      </w:r>
      <w:r>
        <w:rPr>
          <w:spacing w:val="-2"/>
        </w:rPr>
        <w:t>2000).</w:t>
      </w:r>
    </w:p>
    <w:p>
      <w:pPr>
        <w:pStyle w:val="BodyText"/>
        <w:spacing w:line="360" w:lineRule="auto"/>
        <w:ind w:left="120" w:right="1116"/>
        <w:jc w:val="both"/>
      </w:pPr>
      <w:r>
        <w:rPr>
          <w:b/>
        </w:rPr>
        <w:t>Housing policy: </w:t>
      </w:r>
      <w:r>
        <w:rPr/>
        <w:t>A written document which usually</w:t>
      </w:r>
      <w:r>
        <w:rPr>
          <w:spacing w:val="-2"/>
        </w:rPr>
        <w:t> </w:t>
      </w:r>
      <w:r>
        <w:rPr/>
        <w:t>comprises specific objectives, strategies and programmes aimed at solving housing problems or meeting the housing needs and demands of a country (Ezenagu, 1990).</w:t>
      </w:r>
    </w:p>
    <w:p>
      <w:pPr>
        <w:pStyle w:val="BodyText"/>
        <w:spacing w:line="360" w:lineRule="auto" w:before="33"/>
        <w:ind w:left="120" w:right="1120"/>
        <w:jc w:val="both"/>
      </w:pPr>
      <w:r>
        <w:rPr>
          <w:b/>
        </w:rPr>
        <w:t>Housing quality: </w:t>
      </w:r>
      <w:r>
        <w:rPr/>
        <w:t>The state, nature or standard of housing with respect to the minimum acceptable standards (Jiboye, 2009).</w:t>
      </w:r>
    </w:p>
    <w:p>
      <w:pPr>
        <w:pStyle w:val="BodyText"/>
        <w:spacing w:line="360" w:lineRule="auto"/>
        <w:ind w:left="120" w:right="1121"/>
        <w:jc w:val="both"/>
      </w:pPr>
      <w:r>
        <w:rPr>
          <w:b/>
        </w:rPr>
        <w:t>Housing</w:t>
      </w:r>
      <w:r>
        <w:rPr>
          <w:b/>
          <w:spacing w:val="-1"/>
        </w:rPr>
        <w:t> </w:t>
      </w:r>
      <w:r>
        <w:rPr>
          <w:b/>
        </w:rPr>
        <w:t>standard: </w:t>
      </w:r>
      <w:r>
        <w:rPr/>
        <w:t>These are</w:t>
      </w:r>
      <w:r>
        <w:rPr>
          <w:spacing w:val="-1"/>
        </w:rPr>
        <w:t> </w:t>
      </w:r>
      <w:r>
        <w:rPr/>
        <w:t>those items that make a building</w:t>
      </w:r>
      <w:r>
        <w:rPr>
          <w:spacing w:val="-1"/>
        </w:rPr>
        <w:t> </w:t>
      </w:r>
      <w:r>
        <w:rPr/>
        <w:t>fulfill its</w:t>
      </w:r>
      <w:r>
        <w:rPr>
          <w:spacing w:val="-1"/>
        </w:rPr>
        <w:t> </w:t>
      </w:r>
      <w:r>
        <w:rPr/>
        <w:t>functional requirements in terms of safety, stability, weather protection, durability, thermal and sound insulation, ventilation (Morakinyo </w:t>
      </w:r>
      <w:r>
        <w:rPr>
          <w:i/>
        </w:rPr>
        <w:t>et al</w:t>
      </w:r>
      <w:r>
        <w:rPr/>
        <w:t>., 2012).</w:t>
      </w:r>
    </w:p>
    <w:p>
      <w:pPr>
        <w:spacing w:after="0" w:line="360" w:lineRule="auto"/>
        <w:jc w:val="both"/>
        <w:sectPr>
          <w:pgSz w:w="12240" w:h="15840"/>
          <w:pgMar w:header="0" w:footer="1036" w:top="1360" w:bottom="1220" w:left="1320" w:right="320"/>
        </w:sectPr>
      </w:pPr>
    </w:p>
    <w:p>
      <w:pPr>
        <w:pStyle w:val="BodyText"/>
        <w:spacing w:line="360" w:lineRule="auto" w:before="74"/>
        <w:ind w:left="120" w:right="1121"/>
        <w:jc w:val="both"/>
      </w:pPr>
      <w:r>
        <w:rPr>
          <w:b/>
        </w:rPr>
        <w:t>Housing stock: </w:t>
      </w:r>
      <w:r>
        <w:rPr/>
        <w:t>The total number of buildings, structures or houses which may contain one or more housing units in a given geographical area (City, State or Country) (Welsh, 2002).</w:t>
      </w:r>
    </w:p>
    <w:p>
      <w:pPr>
        <w:pStyle w:val="BodyText"/>
        <w:spacing w:line="360" w:lineRule="auto" w:before="34"/>
        <w:ind w:left="120" w:right="1125"/>
        <w:jc w:val="both"/>
      </w:pPr>
      <w:r>
        <w:rPr>
          <w:b/>
        </w:rPr>
        <w:t>Housing supply:</w:t>
      </w:r>
      <w:r>
        <w:rPr>
          <w:b/>
          <w:spacing w:val="80"/>
        </w:rPr>
        <w:t> </w:t>
      </w:r>
      <w:r>
        <w:rPr/>
        <w:t>The number of residential housing units that are provided by the key players</w:t>
      </w:r>
      <w:r>
        <w:rPr>
          <w:spacing w:val="40"/>
        </w:rPr>
        <w:t> </w:t>
      </w:r>
      <w:r>
        <w:rPr/>
        <w:t>in housing provision (Olusola, 2014).</w:t>
      </w:r>
    </w:p>
    <w:p>
      <w:pPr>
        <w:pStyle w:val="BodyText"/>
        <w:spacing w:line="360" w:lineRule="auto"/>
        <w:ind w:left="120" w:right="1127"/>
        <w:jc w:val="both"/>
      </w:pPr>
      <w:r>
        <w:rPr>
          <w:b/>
        </w:rPr>
        <w:t>Housing unit: </w:t>
      </w:r>
      <w:r>
        <w:rPr/>
        <w:t>The quantity or amount of housing provided which is used a standard. It can also be referred to as housing designed for and occupied by a single household (Ezenagu, 2000).</w:t>
      </w:r>
    </w:p>
    <w:p>
      <w:pPr>
        <w:pStyle w:val="BodyText"/>
        <w:spacing w:line="360" w:lineRule="auto"/>
        <w:ind w:left="120" w:right="1117"/>
        <w:jc w:val="both"/>
      </w:pPr>
      <w:r>
        <w:rPr>
          <w:b/>
        </w:rPr>
        <w:t>Mass Housing: </w:t>
      </w:r>
      <w:r>
        <w:rPr/>
        <w:t>This is housing provided on a large scale and in multiple units wholly by government or in collaboration with the private sector for purposes of public acquisition either</w:t>
      </w:r>
      <w:r>
        <w:rPr>
          <w:spacing w:val="40"/>
        </w:rPr>
        <w:t> </w:t>
      </w:r>
      <w:r>
        <w:rPr/>
        <w:t>on owner-occupier or rental basis (Ibem and Amole, 2010).</w:t>
      </w:r>
    </w:p>
    <w:p>
      <w:pPr>
        <w:pStyle w:val="BodyText"/>
        <w:spacing w:line="360" w:lineRule="auto" w:before="2"/>
        <w:ind w:left="120" w:right="1119"/>
        <w:jc w:val="both"/>
      </w:pPr>
      <w:r>
        <w:rPr>
          <w:b/>
        </w:rPr>
        <w:t>Public housing: </w:t>
      </w:r>
      <w:r>
        <w:rPr/>
        <w:t>is a form of housing tenure in which the property is owned by a government authority, which may be federal or local (Peterside, 2003).</w:t>
      </w:r>
    </w:p>
    <w:p>
      <w:pPr>
        <w:pStyle w:val="BodyText"/>
        <w:spacing w:line="360" w:lineRule="auto"/>
        <w:ind w:left="120" w:right="1120"/>
        <w:jc w:val="both"/>
      </w:pPr>
      <w:r>
        <w:rPr>
          <w:b/>
        </w:rPr>
        <w:t>Recurrent</w:t>
      </w:r>
      <w:r>
        <w:rPr>
          <w:b/>
          <w:spacing w:val="-3"/>
        </w:rPr>
        <w:t> </w:t>
      </w:r>
      <w:r>
        <w:rPr>
          <w:b/>
        </w:rPr>
        <w:t>expenditure:</w:t>
      </w:r>
      <w:r>
        <w:rPr>
          <w:b/>
          <w:spacing w:val="40"/>
        </w:rPr>
        <w:t> </w:t>
      </w:r>
      <w:r>
        <w:rPr/>
        <w:t>This</w:t>
      </w:r>
      <w:r>
        <w:rPr>
          <w:spacing w:val="-4"/>
        </w:rPr>
        <w:t> </w:t>
      </w:r>
      <w:r>
        <w:rPr/>
        <w:t>is</w:t>
      </w:r>
      <w:r>
        <w:rPr>
          <w:spacing w:val="-4"/>
        </w:rPr>
        <w:t> </w:t>
      </w:r>
      <w:r>
        <w:rPr/>
        <w:t>part</w:t>
      </w:r>
      <w:r>
        <w:rPr>
          <w:spacing w:val="-3"/>
        </w:rPr>
        <w:t> </w:t>
      </w:r>
      <w:r>
        <w:rPr/>
        <w:t>of</w:t>
      </w:r>
      <w:r>
        <w:rPr>
          <w:spacing w:val="-2"/>
        </w:rPr>
        <w:t> </w:t>
      </w:r>
      <w:r>
        <w:rPr/>
        <w:t>government‘s</w:t>
      </w:r>
      <w:r>
        <w:rPr>
          <w:spacing w:val="-4"/>
        </w:rPr>
        <w:t> </w:t>
      </w:r>
      <w:r>
        <w:rPr/>
        <w:t>expenditure</w:t>
      </w:r>
      <w:r>
        <w:rPr>
          <w:spacing w:val="-4"/>
        </w:rPr>
        <w:t> </w:t>
      </w:r>
      <w:r>
        <w:rPr/>
        <w:t>which</w:t>
      </w:r>
      <w:r>
        <w:rPr>
          <w:spacing w:val="-1"/>
        </w:rPr>
        <w:t> </w:t>
      </w:r>
      <w:r>
        <w:rPr/>
        <w:t>are</w:t>
      </w:r>
      <w:r>
        <w:rPr>
          <w:spacing w:val="-5"/>
        </w:rPr>
        <w:t> </w:t>
      </w:r>
      <w:r>
        <w:rPr/>
        <w:t>used</w:t>
      </w:r>
      <w:r>
        <w:rPr>
          <w:spacing w:val="-2"/>
        </w:rPr>
        <w:t> </w:t>
      </w:r>
      <w:r>
        <w:rPr/>
        <w:t>for</w:t>
      </w:r>
      <w:r>
        <w:rPr>
          <w:spacing w:val="-4"/>
        </w:rPr>
        <w:t> </w:t>
      </w:r>
      <w:r>
        <w:rPr/>
        <w:t>wages</w:t>
      </w:r>
      <w:r>
        <w:rPr>
          <w:spacing w:val="-1"/>
        </w:rPr>
        <w:t> </w:t>
      </w:r>
      <w:r>
        <w:rPr/>
        <w:t>and overhead cost. They are also used in running day to day activities of the government. It also covers payment of gratuities, pensions and other transfer earnings (Hogye, 2001).</w:t>
      </w:r>
    </w:p>
    <w:p>
      <w:pPr>
        <w:pStyle w:val="BodyText"/>
        <w:spacing w:line="360" w:lineRule="auto" w:before="35"/>
        <w:ind w:left="120" w:right="1117"/>
      </w:pPr>
      <w:r>
        <w:rPr>
          <w:b/>
        </w:rPr>
        <w:t>Shelter: </w:t>
      </w:r>
      <w:r>
        <w:rPr/>
        <w:t>Anything that gives safety or protection and keep of the elements (Adejumo, 2008). </w:t>
      </w:r>
      <w:r>
        <w:rPr>
          <w:b/>
        </w:rPr>
        <w:t>Slum:</w:t>
      </w:r>
      <w:r>
        <w:rPr>
          <w:b/>
          <w:spacing w:val="40"/>
        </w:rPr>
        <w:t> </w:t>
      </w:r>
      <w:r>
        <w:rPr/>
        <w:t>This</w:t>
      </w:r>
      <w:r>
        <w:rPr>
          <w:spacing w:val="40"/>
        </w:rPr>
        <w:t> </w:t>
      </w:r>
      <w:r>
        <w:rPr/>
        <w:t>is</w:t>
      </w:r>
      <w:r>
        <w:rPr>
          <w:spacing w:val="40"/>
        </w:rPr>
        <w:t> </w:t>
      </w:r>
      <w:r>
        <w:rPr/>
        <w:t>a</w:t>
      </w:r>
      <w:r>
        <w:rPr>
          <w:spacing w:val="40"/>
        </w:rPr>
        <w:t> </w:t>
      </w:r>
      <w:r>
        <w:rPr/>
        <w:t>densely</w:t>
      </w:r>
      <w:r>
        <w:rPr>
          <w:spacing w:val="40"/>
        </w:rPr>
        <w:t> </w:t>
      </w:r>
      <w:r>
        <w:rPr/>
        <w:t>populated</w:t>
      </w:r>
      <w:r>
        <w:rPr>
          <w:spacing w:val="40"/>
        </w:rPr>
        <w:t> </w:t>
      </w:r>
      <w:r>
        <w:rPr/>
        <w:t>urban</w:t>
      </w:r>
      <w:r>
        <w:rPr>
          <w:spacing w:val="40"/>
        </w:rPr>
        <w:t> </w:t>
      </w:r>
      <w:r>
        <w:rPr/>
        <w:t>informal</w:t>
      </w:r>
      <w:r>
        <w:rPr>
          <w:spacing w:val="40"/>
        </w:rPr>
        <w:t> </w:t>
      </w:r>
      <w:r>
        <w:rPr/>
        <w:t>settlement</w:t>
      </w:r>
      <w:r>
        <w:rPr>
          <w:spacing w:val="40"/>
        </w:rPr>
        <w:t> </w:t>
      </w:r>
      <w:r>
        <w:rPr/>
        <w:t>characterized</w:t>
      </w:r>
      <w:r>
        <w:rPr>
          <w:spacing w:val="40"/>
        </w:rPr>
        <w:t> </w:t>
      </w:r>
      <w:r>
        <w:rPr/>
        <w:t>by</w:t>
      </w:r>
      <w:r>
        <w:rPr>
          <w:spacing w:val="40"/>
        </w:rPr>
        <w:t> </w:t>
      </w:r>
      <w:r>
        <w:rPr/>
        <w:t>substandard</w:t>
      </w:r>
      <w:r>
        <w:rPr>
          <w:spacing w:val="40"/>
        </w:rPr>
        <w:t> </w:t>
      </w:r>
      <w:r>
        <w:rPr/>
        <w:t>housing, poverty</w:t>
      </w:r>
      <w:r>
        <w:rPr>
          <w:spacing w:val="-5"/>
        </w:rPr>
        <w:t> </w:t>
      </w:r>
      <w:r>
        <w:rPr/>
        <w:t>and squalor.</w:t>
      </w:r>
      <w:r>
        <w:rPr>
          <w:spacing w:val="-1"/>
        </w:rPr>
        <w:t> </w:t>
      </w:r>
      <w:r>
        <w:rPr/>
        <w:t>While </w:t>
      </w:r>
      <w:r>
        <w:rPr>
          <w:i/>
        </w:rPr>
        <w:t>slums </w:t>
      </w:r>
      <w:r>
        <w:rPr/>
        <w:t>differ</w:t>
      </w:r>
      <w:r>
        <w:rPr>
          <w:spacing w:val="-1"/>
        </w:rPr>
        <w:t> </w:t>
      </w:r>
      <w:r>
        <w:rPr/>
        <w:t>in size</w:t>
      </w:r>
      <w:r>
        <w:rPr>
          <w:spacing w:val="-1"/>
        </w:rPr>
        <w:t> </w:t>
      </w:r>
      <w:r>
        <w:rPr/>
        <w:t>and other</w:t>
      </w:r>
      <w:r>
        <w:rPr>
          <w:spacing w:val="-2"/>
        </w:rPr>
        <w:t> </w:t>
      </w:r>
      <w:r>
        <w:rPr/>
        <w:t>characteristics from country</w:t>
      </w:r>
      <w:r>
        <w:rPr>
          <w:spacing w:val="-8"/>
        </w:rPr>
        <w:t> </w:t>
      </w:r>
      <w:r>
        <w:rPr/>
        <w:t>to country, most lack reliable sanitation services, supply of clean water, reliable electricity, timely law enforcement and other basic services (Ebie, 2009).</w:t>
      </w:r>
    </w:p>
    <w:p>
      <w:pPr>
        <w:pStyle w:val="BodyText"/>
        <w:spacing w:line="360" w:lineRule="auto"/>
        <w:ind w:left="120" w:right="1117"/>
        <w:jc w:val="both"/>
      </w:pPr>
      <w:r>
        <w:rPr>
          <w:b/>
        </w:rPr>
        <w:t>Social housing: </w:t>
      </w:r>
      <w:r>
        <w:rPr/>
        <w:t>is an umbrella term referring to rental housing which may be owned and managed by the state, by not-for-profit organizations, or by a combination of the two, usually with the aim of providing affordable housing (Bichi, 2002).</w:t>
      </w:r>
    </w:p>
    <w:p>
      <w:pPr>
        <w:pStyle w:val="BodyText"/>
        <w:spacing w:line="360" w:lineRule="auto"/>
        <w:ind w:left="120" w:right="1121"/>
        <w:jc w:val="both"/>
      </w:pPr>
      <w:r>
        <w:rPr>
          <w:b/>
        </w:rPr>
        <w:t>Unbalanced Budget: </w:t>
      </w:r>
      <w:r>
        <w:rPr/>
        <w:t>This is a situation whereby income and expenditure are not equal to each other (Malgwi and Unegbu, 2012).</w:t>
      </w:r>
    </w:p>
    <w:p>
      <w:pPr>
        <w:pStyle w:val="BodyText"/>
        <w:spacing w:line="360" w:lineRule="auto"/>
        <w:ind w:left="120" w:right="1117"/>
        <w:jc w:val="both"/>
        <w:rPr>
          <w:i/>
        </w:rPr>
      </w:pPr>
      <w:r>
        <w:rPr>
          <w:b/>
        </w:rPr>
        <w:t>VAT: </w:t>
      </w:r>
      <w:r>
        <w:rPr/>
        <w:t>This represents a tax on the "value added" to the product throughout its production process. It can also be referred to as a consumption tax only on value added to a product or service by its manufacturer or distribution. It is ultimately the end consumer tax. The purpose is to generate revenue for the government (</w:t>
      </w:r>
      <w:hyperlink r:id="rId258">
        <w:r>
          <w:rPr>
            <w:i/>
          </w:rPr>
          <w:t>www.economywatch.com/business-and-</w:t>
        </w:r>
      </w:hyperlink>
      <w:r>
        <w:rPr>
          <w:i/>
        </w:rPr>
        <w:t> </w:t>
      </w:r>
      <w:r>
        <w:rPr>
          <w:i/>
          <w:spacing w:val="-2"/>
        </w:rPr>
        <w:t>economy/definition.html).</w:t>
      </w:r>
    </w:p>
    <w:p>
      <w:pPr>
        <w:spacing w:after="0" w:line="360" w:lineRule="auto"/>
        <w:jc w:val="both"/>
        <w:sectPr>
          <w:pgSz w:w="12240" w:h="15840"/>
          <w:pgMar w:header="0" w:footer="1036" w:top="1360" w:bottom="1220" w:left="1320" w:right="320"/>
        </w:sectPr>
      </w:pPr>
    </w:p>
    <w:p>
      <w:pPr>
        <w:pStyle w:val="BodyText"/>
        <w:ind w:left="513"/>
        <w:rPr>
          <w:sz w:val="20"/>
        </w:rPr>
      </w:pPr>
      <w:r>
        <w:rPr>
          <w:sz w:val="20"/>
        </w:rPr>
        <w:drawing>
          <wp:inline distT="0" distB="0" distL="0" distR="0">
            <wp:extent cx="5055581" cy="7802880"/>
            <wp:effectExtent l="0" t="0" r="0" b="0"/>
            <wp:docPr id="1214" name="Image 1214" descr="C:\Users\chitexus\Desktop\New folder\me 1 001.jpg"/>
            <wp:cNvGraphicFramePr>
              <a:graphicFrameLocks/>
            </wp:cNvGraphicFramePr>
            <a:graphic>
              <a:graphicData uri="http://schemas.openxmlformats.org/drawingml/2006/picture">
                <pic:pic>
                  <pic:nvPicPr>
                    <pic:cNvPr id="1214" name="Image 1214" descr="C:\Users\chitexus\Desktop\New folder\me 1 001.jpg"/>
                    <pic:cNvPicPr/>
                  </pic:nvPicPr>
                  <pic:blipFill>
                    <a:blip r:embed="rId259" cstate="print"/>
                    <a:stretch>
                      <a:fillRect/>
                    </a:stretch>
                  </pic:blipFill>
                  <pic:spPr>
                    <a:xfrm>
                      <a:off x="0" y="0"/>
                      <a:ext cx="5055581" cy="7802880"/>
                    </a:xfrm>
                    <a:prstGeom prst="rect">
                      <a:avLst/>
                    </a:prstGeom>
                  </pic:spPr>
                </pic:pic>
              </a:graphicData>
            </a:graphic>
          </wp:inline>
        </w:drawing>
      </w:r>
      <w:r>
        <w:rPr>
          <w:sz w:val="20"/>
        </w:rPr>
      </w:r>
    </w:p>
    <w:p>
      <w:pPr>
        <w:spacing w:after="0"/>
        <w:rPr>
          <w:sz w:val="20"/>
        </w:rPr>
        <w:sectPr>
          <w:pgSz w:w="12240" w:h="15840"/>
          <w:pgMar w:header="0" w:footer="1036" w:top="960" w:bottom="1220" w:left="1320" w:right="320"/>
        </w:sectPr>
      </w:pPr>
    </w:p>
    <w:p>
      <w:pPr>
        <w:pStyle w:val="BodyText"/>
        <w:ind w:left="292"/>
        <w:rPr>
          <w:sz w:val="20"/>
        </w:rPr>
      </w:pPr>
      <w:r>
        <w:rPr>
          <w:sz w:val="20"/>
        </w:rPr>
        <w:drawing>
          <wp:inline distT="0" distB="0" distL="0" distR="0">
            <wp:extent cx="5626102" cy="7753350"/>
            <wp:effectExtent l="0" t="0" r="0" b="0"/>
            <wp:docPr id="1215" name="Image 1215" descr="C:\Users\chitexus\Desktop\New folder\me2a 001.jpg"/>
            <wp:cNvGraphicFramePr>
              <a:graphicFrameLocks/>
            </wp:cNvGraphicFramePr>
            <a:graphic>
              <a:graphicData uri="http://schemas.openxmlformats.org/drawingml/2006/picture">
                <pic:pic>
                  <pic:nvPicPr>
                    <pic:cNvPr id="1215" name="Image 1215" descr="C:\Users\chitexus\Desktop\New folder\me2a 001.jpg"/>
                    <pic:cNvPicPr/>
                  </pic:nvPicPr>
                  <pic:blipFill>
                    <a:blip r:embed="rId260" cstate="print"/>
                    <a:stretch>
                      <a:fillRect/>
                    </a:stretch>
                  </pic:blipFill>
                  <pic:spPr>
                    <a:xfrm>
                      <a:off x="0" y="0"/>
                      <a:ext cx="5626102" cy="7753350"/>
                    </a:xfrm>
                    <a:prstGeom prst="rect">
                      <a:avLst/>
                    </a:prstGeom>
                  </pic:spPr>
                </pic:pic>
              </a:graphicData>
            </a:graphic>
          </wp:inline>
        </w:drawing>
      </w:r>
      <w:r>
        <w:rPr>
          <w:sz w:val="20"/>
        </w:rPr>
      </w:r>
    </w:p>
    <w:p>
      <w:pPr>
        <w:spacing w:after="0"/>
        <w:rPr>
          <w:sz w:val="20"/>
        </w:rPr>
        <w:sectPr>
          <w:pgSz w:w="12240" w:h="15840"/>
          <w:pgMar w:header="0" w:footer="1036" w:top="1380" w:bottom="1220" w:left="1320" w:right="320"/>
        </w:sectPr>
      </w:pPr>
    </w:p>
    <w:p>
      <w:pPr>
        <w:pStyle w:val="BodyText"/>
        <w:ind w:left="308"/>
        <w:rPr>
          <w:sz w:val="20"/>
        </w:rPr>
      </w:pPr>
      <w:r>
        <w:rPr>
          <w:sz w:val="20"/>
        </w:rPr>
        <w:drawing>
          <wp:inline distT="0" distB="0" distL="0" distR="0">
            <wp:extent cx="6141758" cy="8103108"/>
            <wp:effectExtent l="0" t="0" r="0" b="0"/>
            <wp:docPr id="1216" name="Image 1216" descr="C:\Users\chitexus\Desktop\New folder\me3a 001.jpg"/>
            <wp:cNvGraphicFramePr>
              <a:graphicFrameLocks/>
            </wp:cNvGraphicFramePr>
            <a:graphic>
              <a:graphicData uri="http://schemas.openxmlformats.org/drawingml/2006/picture">
                <pic:pic>
                  <pic:nvPicPr>
                    <pic:cNvPr id="1216" name="Image 1216" descr="C:\Users\chitexus\Desktop\New folder\me3a 001.jpg"/>
                    <pic:cNvPicPr/>
                  </pic:nvPicPr>
                  <pic:blipFill>
                    <a:blip r:embed="rId261" cstate="print"/>
                    <a:stretch>
                      <a:fillRect/>
                    </a:stretch>
                  </pic:blipFill>
                  <pic:spPr>
                    <a:xfrm>
                      <a:off x="0" y="0"/>
                      <a:ext cx="6141758" cy="8103108"/>
                    </a:xfrm>
                    <a:prstGeom prst="rect">
                      <a:avLst/>
                    </a:prstGeom>
                  </pic:spPr>
                </pic:pic>
              </a:graphicData>
            </a:graphic>
          </wp:inline>
        </w:drawing>
      </w:r>
      <w:r>
        <w:rPr>
          <w:sz w:val="20"/>
        </w:rPr>
      </w:r>
    </w:p>
    <w:p>
      <w:pPr>
        <w:spacing w:after="0"/>
        <w:rPr>
          <w:sz w:val="20"/>
        </w:rPr>
        <w:sectPr>
          <w:pgSz w:w="12240" w:h="15840"/>
          <w:pgMar w:header="0" w:footer="1036" w:top="1540" w:bottom="1220" w:left="1320" w:right="320"/>
        </w:sectPr>
      </w:pPr>
    </w:p>
    <w:p>
      <w:pPr>
        <w:pStyle w:val="BodyText"/>
        <w:ind w:left="308"/>
        <w:rPr>
          <w:sz w:val="20"/>
        </w:rPr>
      </w:pPr>
      <w:r>
        <w:rPr>
          <w:sz w:val="20"/>
        </w:rPr>
        <w:drawing>
          <wp:inline distT="0" distB="0" distL="0" distR="0">
            <wp:extent cx="6100845" cy="7756969"/>
            <wp:effectExtent l="0" t="0" r="0" b="0"/>
            <wp:docPr id="1217" name="Image 1217" descr="C:\Users\chitexus\Desktop\New folder\me4a 001.jpg"/>
            <wp:cNvGraphicFramePr>
              <a:graphicFrameLocks/>
            </wp:cNvGraphicFramePr>
            <a:graphic>
              <a:graphicData uri="http://schemas.openxmlformats.org/drawingml/2006/picture">
                <pic:pic>
                  <pic:nvPicPr>
                    <pic:cNvPr id="1217" name="Image 1217" descr="C:\Users\chitexus\Desktop\New folder\me4a 001.jpg"/>
                    <pic:cNvPicPr/>
                  </pic:nvPicPr>
                  <pic:blipFill>
                    <a:blip r:embed="rId262" cstate="print"/>
                    <a:stretch>
                      <a:fillRect/>
                    </a:stretch>
                  </pic:blipFill>
                  <pic:spPr>
                    <a:xfrm>
                      <a:off x="0" y="0"/>
                      <a:ext cx="6100845" cy="7756969"/>
                    </a:xfrm>
                    <a:prstGeom prst="rect">
                      <a:avLst/>
                    </a:prstGeom>
                  </pic:spPr>
                </pic:pic>
              </a:graphicData>
            </a:graphic>
          </wp:inline>
        </w:drawing>
      </w:r>
      <w:r>
        <w:rPr>
          <w:sz w:val="20"/>
        </w:rPr>
      </w:r>
    </w:p>
    <w:p>
      <w:pPr>
        <w:spacing w:after="0"/>
        <w:rPr>
          <w:sz w:val="20"/>
        </w:rPr>
        <w:sectPr>
          <w:pgSz w:w="12240" w:h="15840"/>
          <w:pgMar w:header="0" w:footer="1036" w:top="1320" w:bottom="1220" w:left="1320" w:right="320"/>
        </w:sectPr>
      </w:pPr>
    </w:p>
    <w:p>
      <w:pPr>
        <w:pStyle w:val="BodyText"/>
        <w:ind w:left="155"/>
        <w:rPr>
          <w:sz w:val="20"/>
        </w:rPr>
      </w:pPr>
      <w:r>
        <w:rPr>
          <w:sz w:val="20"/>
        </w:rPr>
        <w:drawing>
          <wp:inline distT="0" distB="0" distL="0" distR="0">
            <wp:extent cx="5243577" cy="7780686"/>
            <wp:effectExtent l="0" t="0" r="0" b="0"/>
            <wp:docPr id="1218" name="Image 1218" descr="C:\Users\UNIZIK\Desktop\scan work\me5 001.jpg"/>
            <wp:cNvGraphicFramePr>
              <a:graphicFrameLocks/>
            </wp:cNvGraphicFramePr>
            <a:graphic>
              <a:graphicData uri="http://schemas.openxmlformats.org/drawingml/2006/picture">
                <pic:pic>
                  <pic:nvPicPr>
                    <pic:cNvPr id="1218" name="Image 1218" descr="C:\Users\UNIZIK\Desktop\scan work\me5 001.jpg"/>
                    <pic:cNvPicPr/>
                  </pic:nvPicPr>
                  <pic:blipFill>
                    <a:blip r:embed="rId263" cstate="print"/>
                    <a:stretch>
                      <a:fillRect/>
                    </a:stretch>
                  </pic:blipFill>
                  <pic:spPr>
                    <a:xfrm>
                      <a:off x="0" y="0"/>
                      <a:ext cx="5243577" cy="7780686"/>
                    </a:xfrm>
                    <a:prstGeom prst="rect">
                      <a:avLst/>
                    </a:prstGeom>
                  </pic:spPr>
                </pic:pic>
              </a:graphicData>
            </a:graphic>
          </wp:inline>
        </w:drawing>
      </w:r>
      <w:r>
        <w:rPr>
          <w:sz w:val="20"/>
        </w:rPr>
      </w:r>
    </w:p>
    <w:p>
      <w:pPr>
        <w:spacing w:after="0"/>
        <w:rPr>
          <w:sz w:val="20"/>
        </w:rPr>
        <w:sectPr>
          <w:pgSz w:w="12240" w:h="15840"/>
          <w:pgMar w:header="0" w:footer="1036" w:top="1440" w:bottom="1220" w:left="1320" w:right="320"/>
        </w:sectPr>
      </w:pPr>
    </w:p>
    <w:p>
      <w:pPr>
        <w:pStyle w:val="BodyText"/>
        <w:ind w:left="875"/>
        <w:rPr>
          <w:sz w:val="20"/>
        </w:rPr>
      </w:pPr>
      <w:r>
        <w:rPr>
          <w:sz w:val="20"/>
        </w:rPr>
        <w:drawing>
          <wp:inline distT="0" distB="0" distL="0" distR="0">
            <wp:extent cx="4960006" cy="7185850"/>
            <wp:effectExtent l="0" t="0" r="0" b="0"/>
            <wp:docPr id="1219" name="Image 1219" descr="C:\Users\UNIZIK\Desktop\scan work\me6 001.jpg"/>
            <wp:cNvGraphicFramePr>
              <a:graphicFrameLocks/>
            </wp:cNvGraphicFramePr>
            <a:graphic>
              <a:graphicData uri="http://schemas.openxmlformats.org/drawingml/2006/picture">
                <pic:pic>
                  <pic:nvPicPr>
                    <pic:cNvPr id="1219" name="Image 1219" descr="C:\Users\UNIZIK\Desktop\scan work\me6 001.jpg"/>
                    <pic:cNvPicPr/>
                  </pic:nvPicPr>
                  <pic:blipFill>
                    <a:blip r:embed="rId264" cstate="print"/>
                    <a:stretch>
                      <a:fillRect/>
                    </a:stretch>
                  </pic:blipFill>
                  <pic:spPr>
                    <a:xfrm>
                      <a:off x="0" y="0"/>
                      <a:ext cx="4960006" cy="7185850"/>
                    </a:xfrm>
                    <a:prstGeom prst="rect">
                      <a:avLst/>
                    </a:prstGeom>
                  </pic:spPr>
                </pic:pic>
              </a:graphicData>
            </a:graphic>
          </wp:inline>
        </w:drawing>
      </w:r>
      <w:r>
        <w:rPr>
          <w:sz w:val="20"/>
        </w:rPr>
      </w:r>
    </w:p>
    <w:p>
      <w:pPr>
        <w:spacing w:after="0"/>
        <w:rPr>
          <w:sz w:val="20"/>
        </w:rPr>
        <w:sectPr>
          <w:pgSz w:w="12240" w:h="15840"/>
          <w:pgMar w:header="0" w:footer="1036" w:top="1440" w:bottom="1220" w:left="1320" w:right="320"/>
        </w:sectPr>
      </w:pPr>
    </w:p>
    <w:p>
      <w:pPr>
        <w:pStyle w:val="BodyText"/>
        <w:ind w:left="875"/>
        <w:rPr>
          <w:sz w:val="20"/>
        </w:rPr>
      </w:pPr>
      <w:r>
        <w:rPr>
          <w:sz w:val="20"/>
        </w:rPr>
        <w:drawing>
          <wp:inline distT="0" distB="0" distL="0" distR="0">
            <wp:extent cx="5391763" cy="7773733"/>
            <wp:effectExtent l="0" t="0" r="0" b="0"/>
            <wp:docPr id="1220" name="Image 1220" descr="C:\Users\UNIZIK\Desktop\scan work\me7 001.jpg"/>
            <wp:cNvGraphicFramePr>
              <a:graphicFrameLocks/>
            </wp:cNvGraphicFramePr>
            <a:graphic>
              <a:graphicData uri="http://schemas.openxmlformats.org/drawingml/2006/picture">
                <pic:pic>
                  <pic:nvPicPr>
                    <pic:cNvPr id="1220" name="Image 1220" descr="C:\Users\UNIZIK\Desktop\scan work\me7 001.jpg"/>
                    <pic:cNvPicPr/>
                  </pic:nvPicPr>
                  <pic:blipFill>
                    <a:blip r:embed="rId265" cstate="print"/>
                    <a:stretch>
                      <a:fillRect/>
                    </a:stretch>
                  </pic:blipFill>
                  <pic:spPr>
                    <a:xfrm>
                      <a:off x="0" y="0"/>
                      <a:ext cx="5391763" cy="7773733"/>
                    </a:xfrm>
                    <a:prstGeom prst="rect">
                      <a:avLst/>
                    </a:prstGeom>
                  </pic:spPr>
                </pic:pic>
              </a:graphicData>
            </a:graphic>
          </wp:inline>
        </w:drawing>
      </w:r>
      <w:r>
        <w:rPr>
          <w:sz w:val="20"/>
        </w:rPr>
      </w:r>
    </w:p>
    <w:p>
      <w:pPr>
        <w:spacing w:after="0"/>
        <w:rPr>
          <w:sz w:val="20"/>
        </w:rPr>
        <w:sectPr>
          <w:pgSz w:w="12240" w:h="15840"/>
          <w:pgMar w:header="0" w:footer="1036" w:top="1440" w:bottom="1220" w:left="1320" w:right="320"/>
        </w:sectPr>
      </w:pPr>
    </w:p>
    <w:p>
      <w:pPr>
        <w:pStyle w:val="BodyText"/>
        <w:ind w:left="875"/>
        <w:rPr>
          <w:sz w:val="20"/>
        </w:rPr>
      </w:pPr>
      <w:r>
        <w:rPr>
          <w:sz w:val="20"/>
        </w:rPr>
        <w:drawing>
          <wp:inline distT="0" distB="0" distL="0" distR="0">
            <wp:extent cx="4966066" cy="7704201"/>
            <wp:effectExtent l="0" t="0" r="0" b="0"/>
            <wp:docPr id="1221" name="Image 1221" descr="C:\Users\UNIZIK\Desktop\scan work\me8 001.jpg"/>
            <wp:cNvGraphicFramePr>
              <a:graphicFrameLocks/>
            </wp:cNvGraphicFramePr>
            <a:graphic>
              <a:graphicData uri="http://schemas.openxmlformats.org/drawingml/2006/picture">
                <pic:pic>
                  <pic:nvPicPr>
                    <pic:cNvPr id="1221" name="Image 1221" descr="C:\Users\UNIZIK\Desktop\scan work\me8 001.jpg"/>
                    <pic:cNvPicPr/>
                  </pic:nvPicPr>
                  <pic:blipFill>
                    <a:blip r:embed="rId266" cstate="print"/>
                    <a:stretch>
                      <a:fillRect/>
                    </a:stretch>
                  </pic:blipFill>
                  <pic:spPr>
                    <a:xfrm>
                      <a:off x="0" y="0"/>
                      <a:ext cx="4966066" cy="7704201"/>
                    </a:xfrm>
                    <a:prstGeom prst="rect">
                      <a:avLst/>
                    </a:prstGeom>
                  </pic:spPr>
                </pic:pic>
              </a:graphicData>
            </a:graphic>
          </wp:inline>
        </w:drawing>
      </w:r>
      <w:r>
        <w:rPr>
          <w:sz w:val="20"/>
        </w:rPr>
      </w:r>
    </w:p>
    <w:p>
      <w:pPr>
        <w:spacing w:after="0"/>
        <w:rPr>
          <w:sz w:val="20"/>
        </w:rPr>
        <w:sectPr>
          <w:pgSz w:w="12240" w:h="15840"/>
          <w:pgMar w:header="0" w:footer="1036" w:top="1440" w:bottom="1220" w:left="1320" w:right="320"/>
        </w:sectPr>
      </w:pPr>
    </w:p>
    <w:p>
      <w:pPr>
        <w:pStyle w:val="BodyText"/>
        <w:ind w:left="155"/>
        <w:rPr>
          <w:sz w:val="20"/>
        </w:rPr>
      </w:pPr>
      <w:r>
        <w:rPr>
          <w:sz w:val="20"/>
        </w:rPr>
        <w:drawing>
          <wp:inline distT="0" distB="0" distL="0" distR="0">
            <wp:extent cx="5360981" cy="7480934"/>
            <wp:effectExtent l="0" t="0" r="0" b="0"/>
            <wp:docPr id="1222" name="Image 1222" descr="C:\Users\UNIZIK\Desktop\scan work\me11 001.jpg"/>
            <wp:cNvGraphicFramePr>
              <a:graphicFrameLocks/>
            </wp:cNvGraphicFramePr>
            <a:graphic>
              <a:graphicData uri="http://schemas.openxmlformats.org/drawingml/2006/picture">
                <pic:pic>
                  <pic:nvPicPr>
                    <pic:cNvPr id="1222" name="Image 1222" descr="C:\Users\UNIZIK\Desktop\scan work\me11 001.jpg"/>
                    <pic:cNvPicPr/>
                  </pic:nvPicPr>
                  <pic:blipFill>
                    <a:blip r:embed="rId267" cstate="print"/>
                    <a:stretch>
                      <a:fillRect/>
                    </a:stretch>
                  </pic:blipFill>
                  <pic:spPr>
                    <a:xfrm>
                      <a:off x="0" y="0"/>
                      <a:ext cx="5360981" cy="7480934"/>
                    </a:xfrm>
                    <a:prstGeom prst="rect">
                      <a:avLst/>
                    </a:prstGeom>
                  </pic:spPr>
                </pic:pic>
              </a:graphicData>
            </a:graphic>
          </wp:inline>
        </w:drawing>
      </w:r>
      <w:r>
        <w:rPr>
          <w:sz w:val="20"/>
        </w:rPr>
      </w:r>
    </w:p>
    <w:p>
      <w:pPr>
        <w:spacing w:after="0"/>
        <w:rPr>
          <w:sz w:val="20"/>
        </w:rPr>
        <w:sectPr>
          <w:pgSz w:w="12240" w:h="15840"/>
          <w:pgMar w:header="0" w:footer="1036" w:top="1440" w:bottom="1220" w:left="1320" w:right="320"/>
        </w:sectPr>
      </w:pPr>
    </w:p>
    <w:p>
      <w:pPr>
        <w:pStyle w:val="BodyText"/>
        <w:ind w:left="155"/>
        <w:rPr>
          <w:sz w:val="20"/>
        </w:rPr>
      </w:pPr>
      <w:r>
        <w:rPr>
          <w:sz w:val="20"/>
        </w:rPr>
        <w:drawing>
          <wp:inline distT="0" distB="0" distL="0" distR="0">
            <wp:extent cx="5139416" cy="7507605"/>
            <wp:effectExtent l="0" t="0" r="0" b="0"/>
            <wp:docPr id="1223" name="Image 1223" descr="C:\Users\UNIZIK\Desktop\scan work\me10 001.jpg"/>
            <wp:cNvGraphicFramePr>
              <a:graphicFrameLocks/>
            </wp:cNvGraphicFramePr>
            <a:graphic>
              <a:graphicData uri="http://schemas.openxmlformats.org/drawingml/2006/picture">
                <pic:pic>
                  <pic:nvPicPr>
                    <pic:cNvPr id="1223" name="Image 1223" descr="C:\Users\UNIZIK\Desktop\scan work\me10 001.jpg"/>
                    <pic:cNvPicPr/>
                  </pic:nvPicPr>
                  <pic:blipFill>
                    <a:blip r:embed="rId268" cstate="print"/>
                    <a:stretch>
                      <a:fillRect/>
                    </a:stretch>
                  </pic:blipFill>
                  <pic:spPr>
                    <a:xfrm>
                      <a:off x="0" y="0"/>
                      <a:ext cx="5139416" cy="7507605"/>
                    </a:xfrm>
                    <a:prstGeom prst="rect">
                      <a:avLst/>
                    </a:prstGeom>
                  </pic:spPr>
                </pic:pic>
              </a:graphicData>
            </a:graphic>
          </wp:inline>
        </w:drawing>
      </w:r>
      <w:r>
        <w:rPr>
          <w:sz w:val="20"/>
        </w:rPr>
      </w:r>
    </w:p>
    <w:p>
      <w:pPr>
        <w:spacing w:after="0"/>
        <w:rPr>
          <w:sz w:val="20"/>
        </w:rPr>
        <w:sectPr>
          <w:pgSz w:w="12240" w:h="15840"/>
          <w:pgMar w:header="0" w:footer="1036" w:top="1440" w:bottom="1220" w:left="1320" w:right="320"/>
        </w:sectPr>
      </w:pPr>
    </w:p>
    <w:p>
      <w:pPr>
        <w:pStyle w:val="BodyText"/>
        <w:spacing w:before="11"/>
        <w:rPr>
          <w:i/>
          <w:sz w:val="16"/>
        </w:rPr>
      </w:pPr>
    </w:p>
    <w:p>
      <w:pPr>
        <w:pStyle w:val="BodyText"/>
        <w:ind w:left="155"/>
        <w:rPr>
          <w:sz w:val="20"/>
        </w:rPr>
      </w:pPr>
      <w:r>
        <w:rPr>
          <w:sz w:val="20"/>
        </w:rPr>
        <w:drawing>
          <wp:inline distT="0" distB="0" distL="0" distR="0">
            <wp:extent cx="4695634" cy="6708838"/>
            <wp:effectExtent l="0" t="0" r="0" b="0"/>
            <wp:docPr id="1224" name="Image 1224" descr="C:\Users\UNIZIK\Desktop\scan work\me12 001.jpg"/>
            <wp:cNvGraphicFramePr>
              <a:graphicFrameLocks/>
            </wp:cNvGraphicFramePr>
            <a:graphic>
              <a:graphicData uri="http://schemas.openxmlformats.org/drawingml/2006/picture">
                <pic:pic>
                  <pic:nvPicPr>
                    <pic:cNvPr id="1224" name="Image 1224" descr="C:\Users\UNIZIK\Desktop\scan work\me12 001.jpg"/>
                    <pic:cNvPicPr/>
                  </pic:nvPicPr>
                  <pic:blipFill>
                    <a:blip r:embed="rId269" cstate="print"/>
                    <a:stretch>
                      <a:fillRect/>
                    </a:stretch>
                  </pic:blipFill>
                  <pic:spPr>
                    <a:xfrm>
                      <a:off x="0" y="0"/>
                      <a:ext cx="4695634" cy="6708838"/>
                    </a:xfrm>
                    <a:prstGeom prst="rect">
                      <a:avLst/>
                    </a:prstGeom>
                  </pic:spPr>
                </pic:pic>
              </a:graphicData>
            </a:graphic>
          </wp:inline>
        </w:drawing>
      </w:r>
      <w:r>
        <w:rPr>
          <w:sz w:val="20"/>
        </w:rPr>
      </w:r>
    </w:p>
    <w:p>
      <w:pPr>
        <w:spacing w:after="0"/>
        <w:rPr>
          <w:sz w:val="20"/>
        </w:rPr>
        <w:sectPr>
          <w:pgSz w:w="12240" w:h="15840"/>
          <w:pgMar w:header="0" w:footer="1036" w:top="1820" w:bottom="1220" w:left="1320" w:right="320"/>
        </w:sectPr>
      </w:pPr>
    </w:p>
    <w:p>
      <w:pPr>
        <w:pStyle w:val="BodyText"/>
        <w:ind w:left="155"/>
        <w:rPr>
          <w:sz w:val="20"/>
        </w:rPr>
      </w:pPr>
      <w:r>
        <w:rPr>
          <w:sz w:val="20"/>
        </w:rPr>
        <w:drawing>
          <wp:inline distT="0" distB="0" distL="0" distR="0">
            <wp:extent cx="5138754" cy="7520940"/>
            <wp:effectExtent l="0" t="0" r="0" b="0"/>
            <wp:docPr id="1225" name="Image 1225" descr="C:\Users\UNIZIK\Desktop\scan work\me13 001.jpg"/>
            <wp:cNvGraphicFramePr>
              <a:graphicFrameLocks/>
            </wp:cNvGraphicFramePr>
            <a:graphic>
              <a:graphicData uri="http://schemas.openxmlformats.org/drawingml/2006/picture">
                <pic:pic>
                  <pic:nvPicPr>
                    <pic:cNvPr id="1225" name="Image 1225" descr="C:\Users\UNIZIK\Desktop\scan work\me13 001.jpg"/>
                    <pic:cNvPicPr/>
                  </pic:nvPicPr>
                  <pic:blipFill>
                    <a:blip r:embed="rId270" cstate="print"/>
                    <a:stretch>
                      <a:fillRect/>
                    </a:stretch>
                  </pic:blipFill>
                  <pic:spPr>
                    <a:xfrm>
                      <a:off x="0" y="0"/>
                      <a:ext cx="5138754" cy="7520940"/>
                    </a:xfrm>
                    <a:prstGeom prst="rect">
                      <a:avLst/>
                    </a:prstGeom>
                  </pic:spPr>
                </pic:pic>
              </a:graphicData>
            </a:graphic>
          </wp:inline>
        </w:drawing>
      </w:r>
      <w:r>
        <w:rPr>
          <w:sz w:val="20"/>
        </w:rPr>
      </w:r>
    </w:p>
    <w:p>
      <w:pPr>
        <w:spacing w:after="0"/>
        <w:rPr>
          <w:sz w:val="20"/>
        </w:rPr>
        <w:sectPr>
          <w:pgSz w:w="12240" w:h="15840"/>
          <w:pgMar w:header="0" w:footer="1036" w:top="1440" w:bottom="1220" w:left="1320" w:right="320"/>
        </w:sectPr>
      </w:pPr>
    </w:p>
    <w:p>
      <w:pPr>
        <w:pStyle w:val="BodyText"/>
        <w:ind w:left="875"/>
        <w:rPr>
          <w:sz w:val="20"/>
        </w:rPr>
      </w:pPr>
      <w:r>
        <w:rPr>
          <w:sz w:val="20"/>
        </w:rPr>
        <w:drawing>
          <wp:inline distT="0" distB="0" distL="0" distR="0">
            <wp:extent cx="5471980" cy="7128891"/>
            <wp:effectExtent l="0" t="0" r="0" b="0"/>
            <wp:docPr id="1226" name="Image 1226" descr="C:\Users\UNIZIK\Desktop\scan work\me14 001.jpg"/>
            <wp:cNvGraphicFramePr>
              <a:graphicFrameLocks/>
            </wp:cNvGraphicFramePr>
            <a:graphic>
              <a:graphicData uri="http://schemas.openxmlformats.org/drawingml/2006/picture">
                <pic:pic>
                  <pic:nvPicPr>
                    <pic:cNvPr id="1226" name="Image 1226" descr="C:\Users\UNIZIK\Desktop\scan work\me14 001.jpg"/>
                    <pic:cNvPicPr/>
                  </pic:nvPicPr>
                  <pic:blipFill>
                    <a:blip r:embed="rId271" cstate="print"/>
                    <a:stretch>
                      <a:fillRect/>
                    </a:stretch>
                  </pic:blipFill>
                  <pic:spPr>
                    <a:xfrm>
                      <a:off x="0" y="0"/>
                      <a:ext cx="5471980" cy="7128891"/>
                    </a:xfrm>
                    <a:prstGeom prst="rect">
                      <a:avLst/>
                    </a:prstGeom>
                  </pic:spPr>
                </pic:pic>
              </a:graphicData>
            </a:graphic>
          </wp:inline>
        </w:drawing>
      </w:r>
      <w:r>
        <w:rPr>
          <w:sz w:val="20"/>
        </w:rPr>
      </w:r>
    </w:p>
    <w:p>
      <w:pPr>
        <w:spacing w:after="0"/>
        <w:rPr>
          <w:sz w:val="20"/>
        </w:rPr>
        <w:sectPr>
          <w:pgSz w:w="12240" w:h="15840"/>
          <w:pgMar w:header="0" w:footer="1036" w:top="1440" w:bottom="1220" w:left="1320" w:right="320"/>
        </w:sectPr>
      </w:pPr>
    </w:p>
    <w:p>
      <w:pPr>
        <w:pStyle w:val="BodyText"/>
        <w:ind w:left="152"/>
        <w:rPr>
          <w:sz w:val="20"/>
        </w:rPr>
      </w:pPr>
      <w:r>
        <w:rPr>
          <w:sz w:val="20"/>
        </w:rPr>
        <w:drawing>
          <wp:inline distT="0" distB="0" distL="0" distR="0">
            <wp:extent cx="5285038" cy="7292340"/>
            <wp:effectExtent l="0" t="0" r="0" b="0"/>
            <wp:docPr id="1227" name="Image 1227" descr="C:\Users\UNIZIK\Desktop\scan work\me15 001.jpg"/>
            <wp:cNvGraphicFramePr>
              <a:graphicFrameLocks/>
            </wp:cNvGraphicFramePr>
            <a:graphic>
              <a:graphicData uri="http://schemas.openxmlformats.org/drawingml/2006/picture">
                <pic:pic>
                  <pic:nvPicPr>
                    <pic:cNvPr id="1227" name="Image 1227" descr="C:\Users\UNIZIK\Desktop\scan work\me15 001.jpg"/>
                    <pic:cNvPicPr/>
                  </pic:nvPicPr>
                  <pic:blipFill>
                    <a:blip r:embed="rId272" cstate="print"/>
                    <a:stretch>
                      <a:fillRect/>
                    </a:stretch>
                  </pic:blipFill>
                  <pic:spPr>
                    <a:xfrm>
                      <a:off x="0" y="0"/>
                      <a:ext cx="5285038" cy="7292340"/>
                    </a:xfrm>
                    <a:prstGeom prst="rect">
                      <a:avLst/>
                    </a:prstGeom>
                  </pic:spPr>
                </pic:pic>
              </a:graphicData>
            </a:graphic>
          </wp:inline>
        </w:drawing>
      </w:r>
      <w:r>
        <w:rPr>
          <w:sz w:val="20"/>
        </w:rPr>
      </w:r>
    </w:p>
    <w:p>
      <w:pPr>
        <w:spacing w:after="0"/>
        <w:rPr>
          <w:sz w:val="20"/>
        </w:rPr>
        <w:sectPr>
          <w:pgSz w:w="12240" w:h="15840"/>
          <w:pgMar w:header="0" w:footer="1036" w:top="1440" w:bottom="1220" w:left="1320" w:right="320"/>
        </w:sectPr>
      </w:pPr>
    </w:p>
    <w:p>
      <w:pPr>
        <w:pStyle w:val="BodyText"/>
        <w:ind w:left="152"/>
        <w:rPr>
          <w:sz w:val="20"/>
        </w:rPr>
      </w:pPr>
      <w:r>
        <w:rPr>
          <w:sz w:val="20"/>
        </w:rPr>
        <w:drawing>
          <wp:inline distT="0" distB="0" distL="0" distR="0">
            <wp:extent cx="5675077" cy="7351776"/>
            <wp:effectExtent l="0" t="0" r="0" b="0"/>
            <wp:docPr id="1228" name="Image 1228" descr="C:\Users\UNIZIK\Desktop\scan work\me16 001.jpg"/>
            <wp:cNvGraphicFramePr>
              <a:graphicFrameLocks/>
            </wp:cNvGraphicFramePr>
            <a:graphic>
              <a:graphicData uri="http://schemas.openxmlformats.org/drawingml/2006/picture">
                <pic:pic>
                  <pic:nvPicPr>
                    <pic:cNvPr id="1228" name="Image 1228" descr="C:\Users\UNIZIK\Desktop\scan work\me16 001.jpg"/>
                    <pic:cNvPicPr/>
                  </pic:nvPicPr>
                  <pic:blipFill>
                    <a:blip r:embed="rId273" cstate="print"/>
                    <a:stretch>
                      <a:fillRect/>
                    </a:stretch>
                  </pic:blipFill>
                  <pic:spPr>
                    <a:xfrm>
                      <a:off x="0" y="0"/>
                      <a:ext cx="5675077" cy="7351776"/>
                    </a:xfrm>
                    <a:prstGeom prst="rect">
                      <a:avLst/>
                    </a:prstGeom>
                  </pic:spPr>
                </pic:pic>
              </a:graphicData>
            </a:graphic>
          </wp:inline>
        </w:drawing>
      </w:r>
      <w:r>
        <w:rPr>
          <w:sz w:val="20"/>
        </w:rPr>
      </w:r>
    </w:p>
    <w:p>
      <w:pPr>
        <w:spacing w:after="0"/>
        <w:rPr>
          <w:sz w:val="20"/>
        </w:rPr>
        <w:sectPr>
          <w:pgSz w:w="12240" w:h="15840"/>
          <w:pgMar w:header="0" w:footer="1036" w:top="1440" w:bottom="1220" w:left="1320" w:right="320"/>
        </w:sectPr>
      </w:pPr>
    </w:p>
    <w:p>
      <w:pPr>
        <w:pStyle w:val="BodyText"/>
        <w:ind w:left="301"/>
        <w:rPr>
          <w:sz w:val="20"/>
        </w:rPr>
      </w:pPr>
      <w:r>
        <w:rPr>
          <w:sz w:val="20"/>
        </w:rPr>
        <w:drawing>
          <wp:inline distT="0" distB="0" distL="0" distR="0">
            <wp:extent cx="5715814" cy="7267194"/>
            <wp:effectExtent l="0" t="0" r="0" b="0"/>
            <wp:docPr id="1229" name="Image 1229" descr="C:\Users\UNIZIK\Desktop\scan work\me17 001.jpg"/>
            <wp:cNvGraphicFramePr>
              <a:graphicFrameLocks/>
            </wp:cNvGraphicFramePr>
            <a:graphic>
              <a:graphicData uri="http://schemas.openxmlformats.org/drawingml/2006/picture">
                <pic:pic>
                  <pic:nvPicPr>
                    <pic:cNvPr id="1229" name="Image 1229" descr="C:\Users\UNIZIK\Desktop\scan work\me17 001.jpg"/>
                    <pic:cNvPicPr/>
                  </pic:nvPicPr>
                  <pic:blipFill>
                    <a:blip r:embed="rId274" cstate="print"/>
                    <a:stretch>
                      <a:fillRect/>
                    </a:stretch>
                  </pic:blipFill>
                  <pic:spPr>
                    <a:xfrm>
                      <a:off x="0" y="0"/>
                      <a:ext cx="5715814" cy="7267194"/>
                    </a:xfrm>
                    <a:prstGeom prst="rect">
                      <a:avLst/>
                    </a:prstGeom>
                  </pic:spPr>
                </pic:pic>
              </a:graphicData>
            </a:graphic>
          </wp:inline>
        </w:drawing>
      </w:r>
      <w:r>
        <w:rPr>
          <w:sz w:val="20"/>
        </w:rPr>
      </w:r>
    </w:p>
    <w:p>
      <w:pPr>
        <w:spacing w:after="0"/>
        <w:rPr>
          <w:sz w:val="20"/>
        </w:rPr>
        <w:sectPr>
          <w:pgSz w:w="12240" w:h="15840"/>
          <w:pgMar w:header="0" w:footer="1036" w:top="1440" w:bottom="1220" w:left="1320" w:right="320"/>
        </w:sectPr>
      </w:pPr>
    </w:p>
    <w:p>
      <w:pPr>
        <w:pStyle w:val="BodyText"/>
        <w:ind w:left="305"/>
        <w:rPr>
          <w:sz w:val="20"/>
        </w:rPr>
      </w:pPr>
      <w:r>
        <w:rPr>
          <w:sz w:val="20"/>
        </w:rPr>
        <w:drawing>
          <wp:inline distT="0" distB="0" distL="0" distR="0">
            <wp:extent cx="5684928" cy="7254240"/>
            <wp:effectExtent l="0" t="0" r="0" b="0"/>
            <wp:docPr id="1230" name="Image 1230" descr="C:\Users\UNIZIK\Desktop\scan work\me18 001.jpg"/>
            <wp:cNvGraphicFramePr>
              <a:graphicFrameLocks/>
            </wp:cNvGraphicFramePr>
            <a:graphic>
              <a:graphicData uri="http://schemas.openxmlformats.org/drawingml/2006/picture">
                <pic:pic>
                  <pic:nvPicPr>
                    <pic:cNvPr id="1230" name="Image 1230" descr="C:\Users\UNIZIK\Desktop\scan work\me18 001.jpg"/>
                    <pic:cNvPicPr/>
                  </pic:nvPicPr>
                  <pic:blipFill>
                    <a:blip r:embed="rId275" cstate="print"/>
                    <a:stretch>
                      <a:fillRect/>
                    </a:stretch>
                  </pic:blipFill>
                  <pic:spPr>
                    <a:xfrm>
                      <a:off x="0" y="0"/>
                      <a:ext cx="5684928" cy="7254240"/>
                    </a:xfrm>
                    <a:prstGeom prst="rect">
                      <a:avLst/>
                    </a:prstGeom>
                  </pic:spPr>
                </pic:pic>
              </a:graphicData>
            </a:graphic>
          </wp:inline>
        </w:drawing>
      </w:r>
      <w:r>
        <w:rPr>
          <w:sz w:val="20"/>
        </w:rPr>
      </w:r>
    </w:p>
    <w:p>
      <w:pPr>
        <w:spacing w:after="0"/>
        <w:rPr>
          <w:sz w:val="20"/>
        </w:rPr>
        <w:sectPr>
          <w:pgSz w:w="12240" w:h="15840"/>
          <w:pgMar w:header="0" w:footer="1036" w:top="1440" w:bottom="1220" w:left="1320" w:right="320"/>
        </w:sectPr>
      </w:pPr>
    </w:p>
    <w:p>
      <w:pPr>
        <w:pStyle w:val="BodyText"/>
        <w:ind w:left="525"/>
        <w:rPr>
          <w:sz w:val="20"/>
        </w:rPr>
      </w:pPr>
      <w:r>
        <w:rPr>
          <w:sz w:val="20"/>
        </w:rPr>
        <w:drawing>
          <wp:inline distT="0" distB="0" distL="0" distR="0">
            <wp:extent cx="5405737" cy="7122033"/>
            <wp:effectExtent l="0" t="0" r="0" b="0"/>
            <wp:docPr id="1231" name="Image 1231" descr="C:\Users\UNIZIK\Desktop\scan work\me19 001.jpg"/>
            <wp:cNvGraphicFramePr>
              <a:graphicFrameLocks/>
            </wp:cNvGraphicFramePr>
            <a:graphic>
              <a:graphicData uri="http://schemas.openxmlformats.org/drawingml/2006/picture">
                <pic:pic>
                  <pic:nvPicPr>
                    <pic:cNvPr id="1231" name="Image 1231" descr="C:\Users\UNIZIK\Desktop\scan work\me19 001.jpg"/>
                    <pic:cNvPicPr/>
                  </pic:nvPicPr>
                  <pic:blipFill>
                    <a:blip r:embed="rId276" cstate="print"/>
                    <a:stretch>
                      <a:fillRect/>
                    </a:stretch>
                  </pic:blipFill>
                  <pic:spPr>
                    <a:xfrm>
                      <a:off x="0" y="0"/>
                      <a:ext cx="5405737" cy="7122033"/>
                    </a:xfrm>
                    <a:prstGeom prst="rect">
                      <a:avLst/>
                    </a:prstGeom>
                  </pic:spPr>
                </pic:pic>
              </a:graphicData>
            </a:graphic>
          </wp:inline>
        </w:drawing>
      </w:r>
      <w:r>
        <w:rPr>
          <w:sz w:val="20"/>
        </w:rPr>
      </w:r>
    </w:p>
    <w:p>
      <w:pPr>
        <w:spacing w:after="0"/>
        <w:rPr>
          <w:sz w:val="20"/>
        </w:rPr>
        <w:sectPr>
          <w:pgSz w:w="12240" w:h="15840"/>
          <w:pgMar w:header="0" w:footer="1036" w:top="1440" w:bottom="1220" w:left="1320" w:right="320"/>
        </w:sectPr>
      </w:pPr>
    </w:p>
    <w:p>
      <w:pPr>
        <w:pStyle w:val="BodyText"/>
        <w:ind w:left="319"/>
        <w:rPr>
          <w:sz w:val="20"/>
        </w:rPr>
      </w:pPr>
      <w:r>
        <w:rPr>
          <w:sz w:val="20"/>
        </w:rPr>
        <w:drawing>
          <wp:inline distT="0" distB="0" distL="0" distR="0">
            <wp:extent cx="5653349" cy="6801992"/>
            <wp:effectExtent l="0" t="0" r="0" b="0"/>
            <wp:docPr id="1232" name="Image 1232" descr="C:\Users\UNIZIK\Desktop\scan work\me20 001.jpg"/>
            <wp:cNvGraphicFramePr>
              <a:graphicFrameLocks/>
            </wp:cNvGraphicFramePr>
            <a:graphic>
              <a:graphicData uri="http://schemas.openxmlformats.org/drawingml/2006/picture">
                <pic:pic>
                  <pic:nvPicPr>
                    <pic:cNvPr id="1232" name="Image 1232" descr="C:\Users\UNIZIK\Desktop\scan work\me20 001.jpg"/>
                    <pic:cNvPicPr/>
                  </pic:nvPicPr>
                  <pic:blipFill>
                    <a:blip r:embed="rId277" cstate="print"/>
                    <a:stretch>
                      <a:fillRect/>
                    </a:stretch>
                  </pic:blipFill>
                  <pic:spPr>
                    <a:xfrm>
                      <a:off x="0" y="0"/>
                      <a:ext cx="5653349" cy="6801992"/>
                    </a:xfrm>
                    <a:prstGeom prst="rect">
                      <a:avLst/>
                    </a:prstGeom>
                  </pic:spPr>
                </pic:pic>
              </a:graphicData>
            </a:graphic>
          </wp:inline>
        </w:drawing>
      </w:r>
      <w:r>
        <w:rPr>
          <w:sz w:val="20"/>
        </w:rPr>
      </w:r>
    </w:p>
    <w:p>
      <w:pPr>
        <w:spacing w:after="0"/>
        <w:rPr>
          <w:sz w:val="20"/>
        </w:rPr>
        <w:sectPr>
          <w:pgSz w:w="12240" w:h="15840"/>
          <w:pgMar w:header="0" w:footer="1036" w:top="1440" w:bottom="1220" w:left="1320" w:right="320"/>
        </w:sectPr>
      </w:pPr>
    </w:p>
    <w:p>
      <w:pPr>
        <w:pStyle w:val="BodyText"/>
        <w:ind w:left="155"/>
        <w:rPr>
          <w:sz w:val="20"/>
        </w:rPr>
      </w:pPr>
      <w:r>
        <w:rPr>
          <w:sz w:val="20"/>
        </w:rPr>
        <w:drawing>
          <wp:inline distT="0" distB="0" distL="0" distR="0">
            <wp:extent cx="5768661" cy="7393781"/>
            <wp:effectExtent l="0" t="0" r="0" b="0"/>
            <wp:docPr id="1233" name="Image 1233" descr="C:\Users\UNIZIK\Desktop\scan work\me21 001.jpg"/>
            <wp:cNvGraphicFramePr>
              <a:graphicFrameLocks/>
            </wp:cNvGraphicFramePr>
            <a:graphic>
              <a:graphicData uri="http://schemas.openxmlformats.org/drawingml/2006/picture">
                <pic:pic>
                  <pic:nvPicPr>
                    <pic:cNvPr id="1233" name="Image 1233" descr="C:\Users\UNIZIK\Desktop\scan work\me21 001.jpg"/>
                    <pic:cNvPicPr/>
                  </pic:nvPicPr>
                  <pic:blipFill>
                    <a:blip r:embed="rId278" cstate="print"/>
                    <a:stretch>
                      <a:fillRect/>
                    </a:stretch>
                  </pic:blipFill>
                  <pic:spPr>
                    <a:xfrm>
                      <a:off x="0" y="0"/>
                      <a:ext cx="5768661" cy="7393781"/>
                    </a:xfrm>
                    <a:prstGeom prst="rect">
                      <a:avLst/>
                    </a:prstGeom>
                  </pic:spPr>
                </pic:pic>
              </a:graphicData>
            </a:graphic>
          </wp:inline>
        </w:drawing>
      </w:r>
      <w:r>
        <w:rPr>
          <w:sz w:val="20"/>
        </w:rPr>
      </w:r>
    </w:p>
    <w:p>
      <w:pPr>
        <w:spacing w:after="0"/>
        <w:rPr>
          <w:sz w:val="20"/>
        </w:rPr>
        <w:sectPr>
          <w:pgSz w:w="12240" w:h="15840"/>
          <w:pgMar w:header="0" w:footer="1036" w:top="1440" w:bottom="1220" w:left="1320" w:right="320"/>
        </w:sectPr>
      </w:pPr>
    </w:p>
    <w:p>
      <w:pPr>
        <w:pStyle w:val="BodyText"/>
        <w:ind w:left="530"/>
        <w:rPr>
          <w:sz w:val="20"/>
        </w:rPr>
      </w:pPr>
      <w:r>
        <w:rPr>
          <w:sz w:val="20"/>
        </w:rPr>
        <w:drawing>
          <wp:inline distT="0" distB="0" distL="0" distR="0">
            <wp:extent cx="5412409" cy="7732014"/>
            <wp:effectExtent l="0" t="0" r="0" b="0"/>
            <wp:docPr id="1234" name="Image 1234" descr="C:\Users\UNIZIK\Desktop\scan work\me22 001.jpg"/>
            <wp:cNvGraphicFramePr>
              <a:graphicFrameLocks/>
            </wp:cNvGraphicFramePr>
            <a:graphic>
              <a:graphicData uri="http://schemas.openxmlformats.org/drawingml/2006/picture">
                <pic:pic>
                  <pic:nvPicPr>
                    <pic:cNvPr id="1234" name="Image 1234" descr="C:\Users\UNIZIK\Desktop\scan work\me22 001.jpg"/>
                    <pic:cNvPicPr/>
                  </pic:nvPicPr>
                  <pic:blipFill>
                    <a:blip r:embed="rId279" cstate="print"/>
                    <a:stretch>
                      <a:fillRect/>
                    </a:stretch>
                  </pic:blipFill>
                  <pic:spPr>
                    <a:xfrm>
                      <a:off x="0" y="0"/>
                      <a:ext cx="5412409" cy="7732014"/>
                    </a:xfrm>
                    <a:prstGeom prst="rect">
                      <a:avLst/>
                    </a:prstGeom>
                  </pic:spPr>
                </pic:pic>
              </a:graphicData>
            </a:graphic>
          </wp:inline>
        </w:drawing>
      </w:r>
      <w:r>
        <w:rPr>
          <w:sz w:val="20"/>
        </w:rPr>
      </w:r>
    </w:p>
    <w:sectPr>
      <w:pgSz w:w="12240" w:h="15840"/>
      <w:pgMar w:header="0" w:footer="1036" w:top="1440" w:bottom="1220" w:left="1320" w:right="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Symbol">
    <w:altName w:val="Symbol"/>
    <w:charset w:val="2"/>
    <w:family w:val="decorative"/>
    <w:pitch w:val="variable"/>
  </w:font>
  <w:font w:name="Wingdings">
    <w:altName w:val="Wingdings"/>
    <w:charset w:val="2"/>
    <w:family w:val="decorative"/>
    <w:pitch w:val="variable"/>
  </w:font>
  <w:font w:name="Cambria Math">
    <w:altName w:val="Cambria Math"/>
    <w:charset w:val="1"/>
    <w:family w:val="roman"/>
    <w:pitch w:val="variable"/>
  </w:font>
  <w:font w:name="Courier New">
    <w:altName w:val="Courier New"/>
    <w:charset w:val="1"/>
    <w:family w:val="modern"/>
    <w:pitch w:val="default"/>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8091776">
              <wp:simplePos x="0" y="0"/>
              <wp:positionH relativeFrom="page">
                <wp:posOffset>3743578</wp:posOffset>
              </wp:positionH>
              <wp:positionV relativeFrom="page">
                <wp:posOffset>9260561</wp:posOffset>
              </wp:positionV>
              <wp:extent cx="299720" cy="18097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99720"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100</w:t>
                          </w:r>
                          <w:r>
                            <w:rPr>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4.769989pt;margin-top:729.178101pt;width:23.6pt;height:14.25pt;mso-position-horizontal-relative:page;mso-position-vertical-relative:page;z-index:-25224704" type="#_x0000_t202" id="docshape1"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100</w:t>
                    </w:r>
                    <w:r>
                      <w:rPr>
                        <w:spacing w:val="-5"/>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8092288">
              <wp:simplePos x="0" y="0"/>
              <wp:positionH relativeFrom="page">
                <wp:posOffset>4911978</wp:posOffset>
              </wp:positionH>
              <wp:positionV relativeFrom="page">
                <wp:posOffset>6974561</wp:posOffset>
              </wp:positionV>
              <wp:extent cx="236220" cy="180975"/>
              <wp:effectExtent l="0" t="0" r="0" b="0"/>
              <wp:wrapNone/>
              <wp:docPr id="1092" name="Textbox 1092"/>
              <wp:cNvGraphicFramePr>
                <a:graphicFrameLocks/>
              </wp:cNvGraphicFramePr>
              <a:graphic>
                <a:graphicData uri="http://schemas.microsoft.com/office/word/2010/wordprocessingShape">
                  <wps:wsp>
                    <wps:cNvPr id="1092" name="Textbox 1092"/>
                    <wps:cNvSpPr txBox="1"/>
                    <wps:spPr>
                      <a:xfrm>
                        <a:off x="0" y="0"/>
                        <a:ext cx="236220" cy="180975"/>
                      </a:xfrm>
                      <a:prstGeom prst="rect">
                        <a:avLst/>
                      </a:prstGeom>
                    </wps:spPr>
                    <wps:txbx>
                      <w:txbxContent>
                        <w:p>
                          <w:pPr>
                            <w:spacing w:before="11"/>
                            <w:ind w:left="20" w:right="0" w:firstLine="0"/>
                            <w:jc w:val="left"/>
                            <w:rPr>
                              <w:sz w:val="22"/>
                            </w:rPr>
                          </w:pPr>
                          <w:r>
                            <w:rPr>
                              <w:spacing w:val="-5"/>
                              <w:sz w:val="22"/>
                            </w:rPr>
                            <w:t>264</w:t>
                          </w:r>
                        </w:p>
                      </w:txbxContent>
                    </wps:txbx>
                    <wps:bodyPr wrap="square" lIns="0" tIns="0" rIns="0" bIns="0" rtlCol="0">
                      <a:noAutofit/>
                    </wps:bodyPr>
                  </wps:wsp>
                </a:graphicData>
              </a:graphic>
            </wp:anchor>
          </w:drawing>
        </mc:Choice>
        <mc:Fallback>
          <w:pict>
            <v:shape style="position:absolute;margin-left:386.769989pt;margin-top:549.178101pt;width:18.6pt;height:14.25pt;mso-position-horizontal-relative:page;mso-position-vertical-relative:page;z-index:-25224192" type="#_x0000_t202" id="docshape1038" filled="false" stroked="false">
              <v:textbox inset="0,0,0,0">
                <w:txbxContent>
                  <w:p>
                    <w:pPr>
                      <w:spacing w:before="11"/>
                      <w:ind w:left="20" w:right="0" w:firstLine="0"/>
                      <w:jc w:val="left"/>
                      <w:rPr>
                        <w:sz w:val="22"/>
                      </w:rPr>
                    </w:pPr>
                    <w:r>
                      <w:rPr>
                        <w:spacing w:val="-5"/>
                        <w:sz w:val="22"/>
                      </w:rPr>
                      <w:t>264</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8092800">
              <wp:simplePos x="0" y="0"/>
              <wp:positionH relativeFrom="page">
                <wp:posOffset>3743578</wp:posOffset>
              </wp:positionH>
              <wp:positionV relativeFrom="page">
                <wp:posOffset>9260561</wp:posOffset>
              </wp:positionV>
              <wp:extent cx="299720" cy="180975"/>
              <wp:effectExtent l="0" t="0" r="0" b="0"/>
              <wp:wrapNone/>
              <wp:docPr id="1093" name="Textbox 1093"/>
              <wp:cNvGraphicFramePr>
                <a:graphicFrameLocks/>
              </wp:cNvGraphicFramePr>
              <a:graphic>
                <a:graphicData uri="http://schemas.microsoft.com/office/word/2010/wordprocessingShape">
                  <wps:wsp>
                    <wps:cNvPr id="1093" name="Textbox 1093"/>
                    <wps:cNvSpPr txBox="1"/>
                    <wps:spPr>
                      <a:xfrm>
                        <a:off x="0" y="0"/>
                        <a:ext cx="299720"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265</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94.769989pt;margin-top:729.178101pt;width:23.6pt;height:14.25pt;mso-position-horizontal-relative:page;mso-position-vertical-relative:page;z-index:-25223680" type="#_x0000_t202" id="docshape1039"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265</w:t>
                    </w:r>
                    <w:r>
                      <w:rPr>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lowerLetter"/>
      <w:lvlText w:val="%1)"/>
      <w:lvlJc w:val="left"/>
      <w:pPr>
        <w:ind w:left="960" w:hanging="360"/>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1"/>
      <w:numFmt w:val="lowerRoman"/>
      <w:lvlText w:val="%2)"/>
      <w:lvlJc w:val="left"/>
      <w:pPr>
        <w:ind w:left="96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lowerLetter"/>
      <w:lvlText w:val="%3)"/>
      <w:lvlJc w:val="left"/>
      <w:pPr>
        <w:ind w:left="9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3">
      <w:start w:val="1"/>
      <w:numFmt w:val="lowerRoman"/>
      <w:lvlText w:val="%4."/>
      <w:lvlJc w:val="left"/>
      <w:pPr>
        <w:ind w:left="168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4600" w:hanging="488"/>
      </w:pPr>
      <w:rPr>
        <w:rFonts w:hint="default"/>
        <w:lang w:val="en-US" w:eastAsia="en-US" w:bidi="ar-SA"/>
      </w:rPr>
    </w:lvl>
    <w:lvl w:ilvl="5">
      <w:start w:val="0"/>
      <w:numFmt w:val="bullet"/>
      <w:lvlText w:val="•"/>
      <w:lvlJc w:val="left"/>
      <w:pPr>
        <w:ind w:left="5573" w:hanging="488"/>
      </w:pPr>
      <w:rPr>
        <w:rFonts w:hint="default"/>
        <w:lang w:val="en-US" w:eastAsia="en-US" w:bidi="ar-SA"/>
      </w:rPr>
    </w:lvl>
    <w:lvl w:ilvl="6">
      <w:start w:val="0"/>
      <w:numFmt w:val="bullet"/>
      <w:lvlText w:val="•"/>
      <w:lvlJc w:val="left"/>
      <w:pPr>
        <w:ind w:left="6546" w:hanging="488"/>
      </w:pPr>
      <w:rPr>
        <w:rFonts w:hint="default"/>
        <w:lang w:val="en-US" w:eastAsia="en-US" w:bidi="ar-SA"/>
      </w:rPr>
    </w:lvl>
    <w:lvl w:ilvl="7">
      <w:start w:val="0"/>
      <w:numFmt w:val="bullet"/>
      <w:lvlText w:val="•"/>
      <w:lvlJc w:val="left"/>
      <w:pPr>
        <w:ind w:left="7520" w:hanging="488"/>
      </w:pPr>
      <w:rPr>
        <w:rFonts w:hint="default"/>
        <w:lang w:val="en-US" w:eastAsia="en-US" w:bidi="ar-SA"/>
      </w:rPr>
    </w:lvl>
    <w:lvl w:ilvl="8">
      <w:start w:val="0"/>
      <w:numFmt w:val="bullet"/>
      <w:lvlText w:val="•"/>
      <w:lvlJc w:val="left"/>
      <w:pPr>
        <w:ind w:left="8493" w:hanging="488"/>
      </w:pPr>
      <w:rPr>
        <w:rFonts w:hint="default"/>
        <w:lang w:val="en-US" w:eastAsia="en-US" w:bidi="ar-SA"/>
      </w:rPr>
    </w:lvl>
  </w:abstractNum>
  <w:abstractNum w:abstractNumId="111">
    <w:multiLevelType w:val="hybridMultilevel"/>
    <w:lvl w:ilvl="0">
      <w:start w:val="1"/>
      <w:numFmt w:val="decimal"/>
      <w:lvlText w:val="%1."/>
      <w:lvlJc w:val="left"/>
      <w:pPr>
        <w:ind w:left="341" w:hanging="221"/>
        <w:jc w:val="left"/>
      </w:pPr>
      <w:rPr>
        <w:rFonts w:hint="default" w:ascii="Times New Roman" w:hAnsi="Times New Roman" w:eastAsia="Times New Roman" w:cs="Times New Roman"/>
        <w:b/>
        <w:bCs/>
        <w:i w:val="0"/>
        <w:iCs w:val="0"/>
        <w:spacing w:val="0"/>
        <w:w w:val="92"/>
        <w:sz w:val="22"/>
        <w:szCs w:val="22"/>
        <w:lang w:val="en-US" w:eastAsia="en-US" w:bidi="ar-SA"/>
      </w:rPr>
    </w:lvl>
    <w:lvl w:ilvl="1">
      <w:start w:val="1"/>
      <w:numFmt w:val="decimal"/>
      <w:lvlText w:val="%2."/>
      <w:lvlJc w:val="left"/>
      <w:pPr>
        <w:ind w:left="840"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1560" w:hanging="360"/>
      </w:pPr>
      <w:rPr>
        <w:rFonts w:hint="default" w:ascii="Symbol" w:hAnsi="Symbol" w:eastAsia="Symbol" w:cs="Symbol"/>
        <w:b w:val="0"/>
        <w:bCs w:val="0"/>
        <w:i w:val="0"/>
        <w:iCs w:val="0"/>
        <w:spacing w:val="0"/>
        <w:w w:val="100"/>
        <w:sz w:val="22"/>
        <w:szCs w:val="22"/>
        <w:lang w:val="en-US" w:eastAsia="en-US" w:bidi="ar-SA"/>
      </w:rPr>
    </w:lvl>
    <w:lvl w:ilvl="3">
      <w:start w:val="0"/>
      <w:numFmt w:val="bullet"/>
      <w:lvlText w:val="•"/>
      <w:lvlJc w:val="left"/>
      <w:pPr>
        <w:ind w:left="2690" w:hanging="360"/>
      </w:pPr>
      <w:rPr>
        <w:rFonts w:hint="default"/>
        <w:lang w:val="en-US" w:eastAsia="en-US" w:bidi="ar-SA"/>
      </w:rPr>
    </w:lvl>
    <w:lvl w:ilvl="4">
      <w:start w:val="0"/>
      <w:numFmt w:val="bullet"/>
      <w:lvlText w:val="•"/>
      <w:lvlJc w:val="left"/>
      <w:pPr>
        <w:ind w:left="3820" w:hanging="360"/>
      </w:pPr>
      <w:rPr>
        <w:rFonts w:hint="default"/>
        <w:lang w:val="en-US" w:eastAsia="en-US" w:bidi="ar-SA"/>
      </w:rPr>
    </w:lvl>
    <w:lvl w:ilvl="5">
      <w:start w:val="0"/>
      <w:numFmt w:val="bullet"/>
      <w:lvlText w:val="•"/>
      <w:lvlJc w:val="left"/>
      <w:pPr>
        <w:ind w:left="4950" w:hanging="360"/>
      </w:pPr>
      <w:rPr>
        <w:rFonts w:hint="default"/>
        <w:lang w:val="en-US" w:eastAsia="en-US" w:bidi="ar-SA"/>
      </w:rPr>
    </w:lvl>
    <w:lvl w:ilvl="6">
      <w:start w:val="0"/>
      <w:numFmt w:val="bullet"/>
      <w:lvlText w:val="•"/>
      <w:lvlJc w:val="left"/>
      <w:pPr>
        <w:ind w:left="6080" w:hanging="360"/>
      </w:pPr>
      <w:rPr>
        <w:rFonts w:hint="default"/>
        <w:lang w:val="en-US" w:eastAsia="en-US" w:bidi="ar-SA"/>
      </w:rPr>
    </w:lvl>
    <w:lvl w:ilvl="7">
      <w:start w:val="0"/>
      <w:numFmt w:val="bullet"/>
      <w:lvlText w:val="•"/>
      <w:lvlJc w:val="left"/>
      <w:pPr>
        <w:ind w:left="7210" w:hanging="360"/>
      </w:pPr>
      <w:rPr>
        <w:rFonts w:hint="default"/>
        <w:lang w:val="en-US" w:eastAsia="en-US" w:bidi="ar-SA"/>
      </w:rPr>
    </w:lvl>
    <w:lvl w:ilvl="8">
      <w:start w:val="0"/>
      <w:numFmt w:val="bullet"/>
      <w:lvlText w:val="•"/>
      <w:lvlJc w:val="left"/>
      <w:pPr>
        <w:ind w:left="8340" w:hanging="360"/>
      </w:pPr>
      <w:rPr>
        <w:rFonts w:hint="default"/>
        <w:lang w:val="en-US" w:eastAsia="en-US" w:bidi="ar-SA"/>
      </w:rPr>
    </w:lvl>
  </w:abstractNum>
  <w:abstractNum w:abstractNumId="110">
    <w:multiLevelType w:val="hybridMultilevel"/>
    <w:lvl w:ilvl="0">
      <w:start w:val="1"/>
      <w:numFmt w:val="decimal"/>
      <w:lvlText w:val="%1."/>
      <w:lvlJc w:val="left"/>
      <w:pPr>
        <w:ind w:left="840" w:hanging="6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16" w:hanging="660"/>
      </w:pPr>
      <w:rPr>
        <w:rFonts w:hint="default"/>
        <w:lang w:val="en-US" w:eastAsia="en-US" w:bidi="ar-SA"/>
      </w:rPr>
    </w:lvl>
    <w:lvl w:ilvl="2">
      <w:start w:val="0"/>
      <w:numFmt w:val="bullet"/>
      <w:lvlText w:val="•"/>
      <w:lvlJc w:val="left"/>
      <w:pPr>
        <w:ind w:left="2792" w:hanging="660"/>
      </w:pPr>
      <w:rPr>
        <w:rFonts w:hint="default"/>
        <w:lang w:val="en-US" w:eastAsia="en-US" w:bidi="ar-SA"/>
      </w:rPr>
    </w:lvl>
    <w:lvl w:ilvl="3">
      <w:start w:val="0"/>
      <w:numFmt w:val="bullet"/>
      <w:lvlText w:val="•"/>
      <w:lvlJc w:val="left"/>
      <w:pPr>
        <w:ind w:left="3768" w:hanging="660"/>
      </w:pPr>
      <w:rPr>
        <w:rFonts w:hint="default"/>
        <w:lang w:val="en-US" w:eastAsia="en-US" w:bidi="ar-SA"/>
      </w:rPr>
    </w:lvl>
    <w:lvl w:ilvl="4">
      <w:start w:val="0"/>
      <w:numFmt w:val="bullet"/>
      <w:lvlText w:val="•"/>
      <w:lvlJc w:val="left"/>
      <w:pPr>
        <w:ind w:left="4744" w:hanging="660"/>
      </w:pPr>
      <w:rPr>
        <w:rFonts w:hint="default"/>
        <w:lang w:val="en-US" w:eastAsia="en-US" w:bidi="ar-SA"/>
      </w:rPr>
    </w:lvl>
    <w:lvl w:ilvl="5">
      <w:start w:val="0"/>
      <w:numFmt w:val="bullet"/>
      <w:lvlText w:val="•"/>
      <w:lvlJc w:val="left"/>
      <w:pPr>
        <w:ind w:left="5720" w:hanging="660"/>
      </w:pPr>
      <w:rPr>
        <w:rFonts w:hint="default"/>
        <w:lang w:val="en-US" w:eastAsia="en-US" w:bidi="ar-SA"/>
      </w:rPr>
    </w:lvl>
    <w:lvl w:ilvl="6">
      <w:start w:val="0"/>
      <w:numFmt w:val="bullet"/>
      <w:lvlText w:val="•"/>
      <w:lvlJc w:val="left"/>
      <w:pPr>
        <w:ind w:left="6696" w:hanging="660"/>
      </w:pPr>
      <w:rPr>
        <w:rFonts w:hint="default"/>
        <w:lang w:val="en-US" w:eastAsia="en-US" w:bidi="ar-SA"/>
      </w:rPr>
    </w:lvl>
    <w:lvl w:ilvl="7">
      <w:start w:val="0"/>
      <w:numFmt w:val="bullet"/>
      <w:lvlText w:val="•"/>
      <w:lvlJc w:val="left"/>
      <w:pPr>
        <w:ind w:left="7672" w:hanging="660"/>
      </w:pPr>
      <w:rPr>
        <w:rFonts w:hint="default"/>
        <w:lang w:val="en-US" w:eastAsia="en-US" w:bidi="ar-SA"/>
      </w:rPr>
    </w:lvl>
    <w:lvl w:ilvl="8">
      <w:start w:val="0"/>
      <w:numFmt w:val="bullet"/>
      <w:lvlText w:val="•"/>
      <w:lvlJc w:val="left"/>
      <w:pPr>
        <w:ind w:left="8648" w:hanging="660"/>
      </w:pPr>
      <w:rPr>
        <w:rFonts w:hint="default"/>
        <w:lang w:val="en-US" w:eastAsia="en-US" w:bidi="ar-SA"/>
      </w:rPr>
    </w:lvl>
  </w:abstractNum>
  <w:abstractNum w:abstractNumId="109">
    <w:multiLevelType w:val="hybridMultilevel"/>
    <w:lvl w:ilvl="0">
      <w:start w:val="1"/>
      <w:numFmt w:val="decimal"/>
      <w:lvlText w:val="%1."/>
      <w:lvlJc w:val="left"/>
      <w:pPr>
        <w:ind w:left="84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16" w:hanging="360"/>
      </w:pPr>
      <w:rPr>
        <w:rFonts w:hint="default"/>
        <w:lang w:val="en-US" w:eastAsia="en-US" w:bidi="ar-SA"/>
      </w:rPr>
    </w:lvl>
    <w:lvl w:ilvl="2">
      <w:start w:val="0"/>
      <w:numFmt w:val="bullet"/>
      <w:lvlText w:val="•"/>
      <w:lvlJc w:val="left"/>
      <w:pPr>
        <w:ind w:left="2792" w:hanging="360"/>
      </w:pPr>
      <w:rPr>
        <w:rFonts w:hint="default"/>
        <w:lang w:val="en-US" w:eastAsia="en-US" w:bidi="ar-SA"/>
      </w:rPr>
    </w:lvl>
    <w:lvl w:ilvl="3">
      <w:start w:val="0"/>
      <w:numFmt w:val="bullet"/>
      <w:lvlText w:val="•"/>
      <w:lvlJc w:val="left"/>
      <w:pPr>
        <w:ind w:left="3768" w:hanging="360"/>
      </w:pPr>
      <w:rPr>
        <w:rFonts w:hint="default"/>
        <w:lang w:val="en-US" w:eastAsia="en-US" w:bidi="ar-SA"/>
      </w:rPr>
    </w:lvl>
    <w:lvl w:ilvl="4">
      <w:start w:val="0"/>
      <w:numFmt w:val="bullet"/>
      <w:lvlText w:val="•"/>
      <w:lvlJc w:val="left"/>
      <w:pPr>
        <w:ind w:left="4744" w:hanging="360"/>
      </w:pPr>
      <w:rPr>
        <w:rFonts w:hint="default"/>
        <w:lang w:val="en-US" w:eastAsia="en-US" w:bidi="ar-SA"/>
      </w:rPr>
    </w:lvl>
    <w:lvl w:ilvl="5">
      <w:start w:val="0"/>
      <w:numFmt w:val="bullet"/>
      <w:lvlText w:val="•"/>
      <w:lvlJc w:val="left"/>
      <w:pPr>
        <w:ind w:left="5720" w:hanging="360"/>
      </w:pPr>
      <w:rPr>
        <w:rFonts w:hint="default"/>
        <w:lang w:val="en-US" w:eastAsia="en-US" w:bidi="ar-SA"/>
      </w:rPr>
    </w:lvl>
    <w:lvl w:ilvl="6">
      <w:start w:val="0"/>
      <w:numFmt w:val="bullet"/>
      <w:lvlText w:val="•"/>
      <w:lvlJc w:val="left"/>
      <w:pPr>
        <w:ind w:left="6696" w:hanging="360"/>
      </w:pPr>
      <w:rPr>
        <w:rFonts w:hint="default"/>
        <w:lang w:val="en-US" w:eastAsia="en-US" w:bidi="ar-SA"/>
      </w:rPr>
    </w:lvl>
    <w:lvl w:ilvl="7">
      <w:start w:val="0"/>
      <w:numFmt w:val="bullet"/>
      <w:lvlText w:val="•"/>
      <w:lvlJc w:val="left"/>
      <w:pPr>
        <w:ind w:left="7672" w:hanging="360"/>
      </w:pPr>
      <w:rPr>
        <w:rFonts w:hint="default"/>
        <w:lang w:val="en-US" w:eastAsia="en-US" w:bidi="ar-SA"/>
      </w:rPr>
    </w:lvl>
    <w:lvl w:ilvl="8">
      <w:start w:val="0"/>
      <w:numFmt w:val="bullet"/>
      <w:lvlText w:val="•"/>
      <w:lvlJc w:val="left"/>
      <w:pPr>
        <w:ind w:left="8648" w:hanging="360"/>
      </w:pPr>
      <w:rPr>
        <w:rFonts w:hint="default"/>
        <w:lang w:val="en-US" w:eastAsia="en-US" w:bidi="ar-SA"/>
      </w:rPr>
    </w:lvl>
  </w:abstractNum>
  <w:abstractNum w:abstractNumId="108">
    <w:multiLevelType w:val="hybridMultilevel"/>
    <w:lvl w:ilvl="0">
      <w:start w:val="1"/>
      <w:numFmt w:val="lowerLetter"/>
      <w:lvlText w:val="(%1)"/>
      <w:lvlJc w:val="left"/>
      <w:pPr>
        <w:ind w:left="840" w:hanging="720"/>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1">
      <w:start w:val="0"/>
      <w:numFmt w:val="bullet"/>
      <w:lvlText w:val="•"/>
      <w:lvlJc w:val="left"/>
      <w:pPr>
        <w:ind w:left="1816" w:hanging="720"/>
      </w:pPr>
      <w:rPr>
        <w:rFonts w:hint="default"/>
        <w:lang w:val="en-US" w:eastAsia="en-US" w:bidi="ar-SA"/>
      </w:rPr>
    </w:lvl>
    <w:lvl w:ilvl="2">
      <w:start w:val="0"/>
      <w:numFmt w:val="bullet"/>
      <w:lvlText w:val="•"/>
      <w:lvlJc w:val="left"/>
      <w:pPr>
        <w:ind w:left="2792" w:hanging="720"/>
      </w:pPr>
      <w:rPr>
        <w:rFonts w:hint="default"/>
        <w:lang w:val="en-US" w:eastAsia="en-US" w:bidi="ar-SA"/>
      </w:rPr>
    </w:lvl>
    <w:lvl w:ilvl="3">
      <w:start w:val="0"/>
      <w:numFmt w:val="bullet"/>
      <w:lvlText w:val="•"/>
      <w:lvlJc w:val="left"/>
      <w:pPr>
        <w:ind w:left="3768" w:hanging="720"/>
      </w:pPr>
      <w:rPr>
        <w:rFonts w:hint="default"/>
        <w:lang w:val="en-US" w:eastAsia="en-US" w:bidi="ar-SA"/>
      </w:rPr>
    </w:lvl>
    <w:lvl w:ilvl="4">
      <w:start w:val="0"/>
      <w:numFmt w:val="bullet"/>
      <w:lvlText w:val="•"/>
      <w:lvlJc w:val="left"/>
      <w:pPr>
        <w:ind w:left="4744" w:hanging="720"/>
      </w:pPr>
      <w:rPr>
        <w:rFonts w:hint="default"/>
        <w:lang w:val="en-US" w:eastAsia="en-US" w:bidi="ar-SA"/>
      </w:rPr>
    </w:lvl>
    <w:lvl w:ilvl="5">
      <w:start w:val="0"/>
      <w:numFmt w:val="bullet"/>
      <w:lvlText w:val="•"/>
      <w:lvlJc w:val="left"/>
      <w:pPr>
        <w:ind w:left="5720" w:hanging="720"/>
      </w:pPr>
      <w:rPr>
        <w:rFonts w:hint="default"/>
        <w:lang w:val="en-US" w:eastAsia="en-US" w:bidi="ar-SA"/>
      </w:rPr>
    </w:lvl>
    <w:lvl w:ilvl="6">
      <w:start w:val="0"/>
      <w:numFmt w:val="bullet"/>
      <w:lvlText w:val="•"/>
      <w:lvlJc w:val="left"/>
      <w:pPr>
        <w:ind w:left="6696" w:hanging="720"/>
      </w:pPr>
      <w:rPr>
        <w:rFonts w:hint="default"/>
        <w:lang w:val="en-US" w:eastAsia="en-US" w:bidi="ar-SA"/>
      </w:rPr>
    </w:lvl>
    <w:lvl w:ilvl="7">
      <w:start w:val="0"/>
      <w:numFmt w:val="bullet"/>
      <w:lvlText w:val="•"/>
      <w:lvlJc w:val="left"/>
      <w:pPr>
        <w:ind w:left="7672" w:hanging="720"/>
      </w:pPr>
      <w:rPr>
        <w:rFonts w:hint="default"/>
        <w:lang w:val="en-US" w:eastAsia="en-US" w:bidi="ar-SA"/>
      </w:rPr>
    </w:lvl>
    <w:lvl w:ilvl="8">
      <w:start w:val="0"/>
      <w:numFmt w:val="bullet"/>
      <w:lvlText w:val="•"/>
      <w:lvlJc w:val="left"/>
      <w:pPr>
        <w:ind w:left="8648" w:hanging="720"/>
      </w:pPr>
      <w:rPr>
        <w:rFonts w:hint="default"/>
        <w:lang w:val="en-US" w:eastAsia="en-US" w:bidi="ar-SA"/>
      </w:rPr>
    </w:lvl>
  </w:abstractNum>
  <w:abstractNum w:abstractNumId="107">
    <w:multiLevelType w:val="hybridMultilevel"/>
    <w:lvl w:ilvl="0">
      <w:start w:val="1"/>
      <w:numFmt w:val="decimal"/>
      <w:lvlText w:val="(%1)"/>
      <w:lvlJc w:val="left"/>
      <w:pPr>
        <w:ind w:left="84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16" w:hanging="720"/>
      </w:pPr>
      <w:rPr>
        <w:rFonts w:hint="default"/>
        <w:lang w:val="en-US" w:eastAsia="en-US" w:bidi="ar-SA"/>
      </w:rPr>
    </w:lvl>
    <w:lvl w:ilvl="2">
      <w:start w:val="0"/>
      <w:numFmt w:val="bullet"/>
      <w:lvlText w:val="•"/>
      <w:lvlJc w:val="left"/>
      <w:pPr>
        <w:ind w:left="2792" w:hanging="720"/>
      </w:pPr>
      <w:rPr>
        <w:rFonts w:hint="default"/>
        <w:lang w:val="en-US" w:eastAsia="en-US" w:bidi="ar-SA"/>
      </w:rPr>
    </w:lvl>
    <w:lvl w:ilvl="3">
      <w:start w:val="0"/>
      <w:numFmt w:val="bullet"/>
      <w:lvlText w:val="•"/>
      <w:lvlJc w:val="left"/>
      <w:pPr>
        <w:ind w:left="3768" w:hanging="720"/>
      </w:pPr>
      <w:rPr>
        <w:rFonts w:hint="default"/>
        <w:lang w:val="en-US" w:eastAsia="en-US" w:bidi="ar-SA"/>
      </w:rPr>
    </w:lvl>
    <w:lvl w:ilvl="4">
      <w:start w:val="0"/>
      <w:numFmt w:val="bullet"/>
      <w:lvlText w:val="•"/>
      <w:lvlJc w:val="left"/>
      <w:pPr>
        <w:ind w:left="4744" w:hanging="720"/>
      </w:pPr>
      <w:rPr>
        <w:rFonts w:hint="default"/>
        <w:lang w:val="en-US" w:eastAsia="en-US" w:bidi="ar-SA"/>
      </w:rPr>
    </w:lvl>
    <w:lvl w:ilvl="5">
      <w:start w:val="0"/>
      <w:numFmt w:val="bullet"/>
      <w:lvlText w:val="•"/>
      <w:lvlJc w:val="left"/>
      <w:pPr>
        <w:ind w:left="5720" w:hanging="720"/>
      </w:pPr>
      <w:rPr>
        <w:rFonts w:hint="default"/>
        <w:lang w:val="en-US" w:eastAsia="en-US" w:bidi="ar-SA"/>
      </w:rPr>
    </w:lvl>
    <w:lvl w:ilvl="6">
      <w:start w:val="0"/>
      <w:numFmt w:val="bullet"/>
      <w:lvlText w:val="•"/>
      <w:lvlJc w:val="left"/>
      <w:pPr>
        <w:ind w:left="6696" w:hanging="720"/>
      </w:pPr>
      <w:rPr>
        <w:rFonts w:hint="default"/>
        <w:lang w:val="en-US" w:eastAsia="en-US" w:bidi="ar-SA"/>
      </w:rPr>
    </w:lvl>
    <w:lvl w:ilvl="7">
      <w:start w:val="0"/>
      <w:numFmt w:val="bullet"/>
      <w:lvlText w:val="•"/>
      <w:lvlJc w:val="left"/>
      <w:pPr>
        <w:ind w:left="7672" w:hanging="720"/>
      </w:pPr>
      <w:rPr>
        <w:rFonts w:hint="default"/>
        <w:lang w:val="en-US" w:eastAsia="en-US" w:bidi="ar-SA"/>
      </w:rPr>
    </w:lvl>
    <w:lvl w:ilvl="8">
      <w:start w:val="0"/>
      <w:numFmt w:val="bullet"/>
      <w:lvlText w:val="•"/>
      <w:lvlJc w:val="left"/>
      <w:pPr>
        <w:ind w:left="8648" w:hanging="720"/>
      </w:pPr>
      <w:rPr>
        <w:rFonts w:hint="default"/>
        <w:lang w:val="en-US" w:eastAsia="en-US" w:bidi="ar-SA"/>
      </w:rPr>
    </w:lvl>
  </w:abstractNum>
  <w:abstractNum w:abstractNumId="106">
    <w:multiLevelType w:val="hybridMultilevel"/>
    <w:lvl w:ilvl="0">
      <w:start w:val="6"/>
      <w:numFmt w:val="decimal"/>
      <w:lvlText w:val="%1"/>
      <w:lvlJc w:val="left"/>
      <w:pPr>
        <w:ind w:left="509" w:hanging="389"/>
        <w:jc w:val="left"/>
      </w:pPr>
      <w:rPr>
        <w:rFonts w:hint="default"/>
        <w:lang w:val="en-US" w:eastAsia="en-US" w:bidi="ar-SA"/>
      </w:rPr>
    </w:lvl>
    <w:lvl w:ilvl="1">
      <w:start w:val="1"/>
      <w:numFmt w:val="decimal"/>
      <w:lvlText w:val="%1.%2"/>
      <w:lvlJc w:val="left"/>
      <w:pPr>
        <w:ind w:left="509" w:hanging="389"/>
        <w:jc w:val="left"/>
      </w:pPr>
      <w:rPr>
        <w:rFonts w:hint="default" w:ascii="Times New Roman" w:hAnsi="Times New Roman" w:eastAsia="Times New Roman" w:cs="Times New Roman"/>
        <w:b/>
        <w:bCs/>
        <w:i w:val="0"/>
        <w:iCs w:val="0"/>
        <w:spacing w:val="0"/>
        <w:w w:val="99"/>
        <w:sz w:val="26"/>
        <w:szCs w:val="26"/>
        <w:lang w:val="en-US" w:eastAsia="en-US" w:bidi="ar-SA"/>
      </w:rPr>
    </w:lvl>
    <w:lvl w:ilvl="2">
      <w:start w:val="1"/>
      <w:numFmt w:val="decimal"/>
      <w:lvlText w:val="%1.%2.%3."/>
      <w:lvlJc w:val="left"/>
      <w:pPr>
        <w:ind w:left="720" w:hanging="60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2915" w:hanging="600"/>
      </w:pPr>
      <w:rPr>
        <w:rFonts w:hint="default"/>
        <w:lang w:val="en-US" w:eastAsia="en-US" w:bidi="ar-SA"/>
      </w:rPr>
    </w:lvl>
    <w:lvl w:ilvl="4">
      <w:start w:val="0"/>
      <w:numFmt w:val="bullet"/>
      <w:lvlText w:val="•"/>
      <w:lvlJc w:val="left"/>
      <w:pPr>
        <w:ind w:left="4013" w:hanging="600"/>
      </w:pPr>
      <w:rPr>
        <w:rFonts w:hint="default"/>
        <w:lang w:val="en-US" w:eastAsia="en-US" w:bidi="ar-SA"/>
      </w:rPr>
    </w:lvl>
    <w:lvl w:ilvl="5">
      <w:start w:val="0"/>
      <w:numFmt w:val="bullet"/>
      <w:lvlText w:val="•"/>
      <w:lvlJc w:val="left"/>
      <w:pPr>
        <w:ind w:left="5111" w:hanging="600"/>
      </w:pPr>
      <w:rPr>
        <w:rFonts w:hint="default"/>
        <w:lang w:val="en-US" w:eastAsia="en-US" w:bidi="ar-SA"/>
      </w:rPr>
    </w:lvl>
    <w:lvl w:ilvl="6">
      <w:start w:val="0"/>
      <w:numFmt w:val="bullet"/>
      <w:lvlText w:val="•"/>
      <w:lvlJc w:val="left"/>
      <w:pPr>
        <w:ind w:left="6208" w:hanging="600"/>
      </w:pPr>
      <w:rPr>
        <w:rFonts w:hint="default"/>
        <w:lang w:val="en-US" w:eastAsia="en-US" w:bidi="ar-SA"/>
      </w:rPr>
    </w:lvl>
    <w:lvl w:ilvl="7">
      <w:start w:val="0"/>
      <w:numFmt w:val="bullet"/>
      <w:lvlText w:val="•"/>
      <w:lvlJc w:val="left"/>
      <w:pPr>
        <w:ind w:left="7306" w:hanging="600"/>
      </w:pPr>
      <w:rPr>
        <w:rFonts w:hint="default"/>
        <w:lang w:val="en-US" w:eastAsia="en-US" w:bidi="ar-SA"/>
      </w:rPr>
    </w:lvl>
    <w:lvl w:ilvl="8">
      <w:start w:val="0"/>
      <w:numFmt w:val="bullet"/>
      <w:lvlText w:val="•"/>
      <w:lvlJc w:val="left"/>
      <w:pPr>
        <w:ind w:left="8404" w:hanging="600"/>
      </w:pPr>
      <w:rPr>
        <w:rFonts w:hint="default"/>
        <w:lang w:val="en-US" w:eastAsia="en-US" w:bidi="ar-SA"/>
      </w:rPr>
    </w:lvl>
  </w:abstractNum>
  <w:abstractNum w:abstractNumId="105">
    <w:multiLevelType w:val="hybridMultilevel"/>
    <w:lvl w:ilvl="0">
      <w:start w:val="4"/>
      <w:numFmt w:val="lowerLetter"/>
      <w:lvlText w:val="(%1)"/>
      <w:lvlJc w:val="left"/>
      <w:pPr>
        <w:ind w:left="120" w:hanging="387"/>
        <w:jc w:val="left"/>
      </w:pPr>
      <w:rPr>
        <w:rFonts w:hint="default"/>
        <w:spacing w:val="0"/>
        <w:w w:val="100"/>
        <w:lang w:val="en-US" w:eastAsia="en-US" w:bidi="ar-SA"/>
      </w:rPr>
    </w:lvl>
    <w:lvl w:ilvl="1">
      <w:start w:val="0"/>
      <w:numFmt w:val="bullet"/>
      <w:lvlText w:val="•"/>
      <w:lvlJc w:val="left"/>
      <w:pPr>
        <w:ind w:left="1168" w:hanging="387"/>
      </w:pPr>
      <w:rPr>
        <w:rFonts w:hint="default"/>
        <w:lang w:val="en-US" w:eastAsia="en-US" w:bidi="ar-SA"/>
      </w:rPr>
    </w:lvl>
    <w:lvl w:ilvl="2">
      <w:start w:val="0"/>
      <w:numFmt w:val="bullet"/>
      <w:lvlText w:val="•"/>
      <w:lvlJc w:val="left"/>
      <w:pPr>
        <w:ind w:left="2216" w:hanging="387"/>
      </w:pPr>
      <w:rPr>
        <w:rFonts w:hint="default"/>
        <w:lang w:val="en-US" w:eastAsia="en-US" w:bidi="ar-SA"/>
      </w:rPr>
    </w:lvl>
    <w:lvl w:ilvl="3">
      <w:start w:val="0"/>
      <w:numFmt w:val="bullet"/>
      <w:lvlText w:val="•"/>
      <w:lvlJc w:val="left"/>
      <w:pPr>
        <w:ind w:left="3264" w:hanging="387"/>
      </w:pPr>
      <w:rPr>
        <w:rFonts w:hint="default"/>
        <w:lang w:val="en-US" w:eastAsia="en-US" w:bidi="ar-SA"/>
      </w:rPr>
    </w:lvl>
    <w:lvl w:ilvl="4">
      <w:start w:val="0"/>
      <w:numFmt w:val="bullet"/>
      <w:lvlText w:val="•"/>
      <w:lvlJc w:val="left"/>
      <w:pPr>
        <w:ind w:left="4312" w:hanging="387"/>
      </w:pPr>
      <w:rPr>
        <w:rFonts w:hint="default"/>
        <w:lang w:val="en-US" w:eastAsia="en-US" w:bidi="ar-SA"/>
      </w:rPr>
    </w:lvl>
    <w:lvl w:ilvl="5">
      <w:start w:val="0"/>
      <w:numFmt w:val="bullet"/>
      <w:lvlText w:val="•"/>
      <w:lvlJc w:val="left"/>
      <w:pPr>
        <w:ind w:left="5360" w:hanging="387"/>
      </w:pPr>
      <w:rPr>
        <w:rFonts w:hint="default"/>
        <w:lang w:val="en-US" w:eastAsia="en-US" w:bidi="ar-SA"/>
      </w:rPr>
    </w:lvl>
    <w:lvl w:ilvl="6">
      <w:start w:val="0"/>
      <w:numFmt w:val="bullet"/>
      <w:lvlText w:val="•"/>
      <w:lvlJc w:val="left"/>
      <w:pPr>
        <w:ind w:left="6408" w:hanging="387"/>
      </w:pPr>
      <w:rPr>
        <w:rFonts w:hint="default"/>
        <w:lang w:val="en-US" w:eastAsia="en-US" w:bidi="ar-SA"/>
      </w:rPr>
    </w:lvl>
    <w:lvl w:ilvl="7">
      <w:start w:val="0"/>
      <w:numFmt w:val="bullet"/>
      <w:lvlText w:val="•"/>
      <w:lvlJc w:val="left"/>
      <w:pPr>
        <w:ind w:left="7456" w:hanging="387"/>
      </w:pPr>
      <w:rPr>
        <w:rFonts w:hint="default"/>
        <w:lang w:val="en-US" w:eastAsia="en-US" w:bidi="ar-SA"/>
      </w:rPr>
    </w:lvl>
    <w:lvl w:ilvl="8">
      <w:start w:val="0"/>
      <w:numFmt w:val="bullet"/>
      <w:lvlText w:val="•"/>
      <w:lvlJc w:val="left"/>
      <w:pPr>
        <w:ind w:left="8504" w:hanging="387"/>
      </w:pPr>
      <w:rPr>
        <w:rFonts w:hint="default"/>
        <w:lang w:val="en-US" w:eastAsia="en-US" w:bidi="ar-SA"/>
      </w:rPr>
    </w:lvl>
  </w:abstractNum>
  <w:abstractNum w:abstractNumId="104">
    <w:multiLevelType w:val="hybridMultilevel"/>
    <w:lvl w:ilvl="0">
      <w:start w:val="1"/>
      <w:numFmt w:val="lowerLetter"/>
      <w:lvlText w:val="(%1)"/>
      <w:lvlJc w:val="left"/>
      <w:pPr>
        <w:ind w:left="445" w:hanging="325"/>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1">
      <w:start w:val="0"/>
      <w:numFmt w:val="bullet"/>
      <w:lvlText w:val="•"/>
      <w:lvlJc w:val="left"/>
      <w:pPr>
        <w:ind w:left="1456" w:hanging="325"/>
      </w:pPr>
      <w:rPr>
        <w:rFonts w:hint="default"/>
        <w:lang w:val="en-US" w:eastAsia="en-US" w:bidi="ar-SA"/>
      </w:rPr>
    </w:lvl>
    <w:lvl w:ilvl="2">
      <w:start w:val="0"/>
      <w:numFmt w:val="bullet"/>
      <w:lvlText w:val="•"/>
      <w:lvlJc w:val="left"/>
      <w:pPr>
        <w:ind w:left="2472" w:hanging="325"/>
      </w:pPr>
      <w:rPr>
        <w:rFonts w:hint="default"/>
        <w:lang w:val="en-US" w:eastAsia="en-US" w:bidi="ar-SA"/>
      </w:rPr>
    </w:lvl>
    <w:lvl w:ilvl="3">
      <w:start w:val="0"/>
      <w:numFmt w:val="bullet"/>
      <w:lvlText w:val="•"/>
      <w:lvlJc w:val="left"/>
      <w:pPr>
        <w:ind w:left="3488" w:hanging="325"/>
      </w:pPr>
      <w:rPr>
        <w:rFonts w:hint="default"/>
        <w:lang w:val="en-US" w:eastAsia="en-US" w:bidi="ar-SA"/>
      </w:rPr>
    </w:lvl>
    <w:lvl w:ilvl="4">
      <w:start w:val="0"/>
      <w:numFmt w:val="bullet"/>
      <w:lvlText w:val="•"/>
      <w:lvlJc w:val="left"/>
      <w:pPr>
        <w:ind w:left="4504" w:hanging="325"/>
      </w:pPr>
      <w:rPr>
        <w:rFonts w:hint="default"/>
        <w:lang w:val="en-US" w:eastAsia="en-US" w:bidi="ar-SA"/>
      </w:rPr>
    </w:lvl>
    <w:lvl w:ilvl="5">
      <w:start w:val="0"/>
      <w:numFmt w:val="bullet"/>
      <w:lvlText w:val="•"/>
      <w:lvlJc w:val="left"/>
      <w:pPr>
        <w:ind w:left="5520" w:hanging="325"/>
      </w:pPr>
      <w:rPr>
        <w:rFonts w:hint="default"/>
        <w:lang w:val="en-US" w:eastAsia="en-US" w:bidi="ar-SA"/>
      </w:rPr>
    </w:lvl>
    <w:lvl w:ilvl="6">
      <w:start w:val="0"/>
      <w:numFmt w:val="bullet"/>
      <w:lvlText w:val="•"/>
      <w:lvlJc w:val="left"/>
      <w:pPr>
        <w:ind w:left="6536" w:hanging="325"/>
      </w:pPr>
      <w:rPr>
        <w:rFonts w:hint="default"/>
        <w:lang w:val="en-US" w:eastAsia="en-US" w:bidi="ar-SA"/>
      </w:rPr>
    </w:lvl>
    <w:lvl w:ilvl="7">
      <w:start w:val="0"/>
      <w:numFmt w:val="bullet"/>
      <w:lvlText w:val="•"/>
      <w:lvlJc w:val="left"/>
      <w:pPr>
        <w:ind w:left="7552" w:hanging="325"/>
      </w:pPr>
      <w:rPr>
        <w:rFonts w:hint="default"/>
        <w:lang w:val="en-US" w:eastAsia="en-US" w:bidi="ar-SA"/>
      </w:rPr>
    </w:lvl>
    <w:lvl w:ilvl="8">
      <w:start w:val="0"/>
      <w:numFmt w:val="bullet"/>
      <w:lvlText w:val="•"/>
      <w:lvlJc w:val="left"/>
      <w:pPr>
        <w:ind w:left="8568" w:hanging="325"/>
      </w:pPr>
      <w:rPr>
        <w:rFonts w:hint="default"/>
        <w:lang w:val="en-US" w:eastAsia="en-US" w:bidi="ar-SA"/>
      </w:rPr>
    </w:lvl>
  </w:abstractNum>
  <w:abstractNum w:abstractNumId="103">
    <w:multiLevelType w:val="hybridMultilevel"/>
    <w:lvl w:ilvl="0">
      <w:start w:val="6"/>
      <w:numFmt w:val="lowerLetter"/>
      <w:lvlText w:val="%1)"/>
      <w:lvlJc w:val="left"/>
      <w:pPr>
        <w:ind w:left="480" w:hanging="368"/>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lowerLetter"/>
      <w:lvlText w:val="%2)"/>
      <w:lvlJc w:val="left"/>
      <w:pPr>
        <w:ind w:left="840" w:hanging="360"/>
        <w:jc w:val="left"/>
      </w:pPr>
      <w:rPr>
        <w:rFonts w:hint="default"/>
        <w:spacing w:val="-1"/>
        <w:w w:val="100"/>
        <w:lang w:val="en-US" w:eastAsia="en-US" w:bidi="ar-SA"/>
      </w:rPr>
    </w:lvl>
    <w:lvl w:ilvl="2">
      <w:start w:val="0"/>
      <w:numFmt w:val="bullet"/>
      <w:lvlText w:val="•"/>
      <w:lvlJc w:val="left"/>
      <w:pPr>
        <w:ind w:left="1924" w:hanging="360"/>
      </w:pPr>
      <w:rPr>
        <w:rFonts w:hint="default"/>
        <w:lang w:val="en-US" w:eastAsia="en-US" w:bidi="ar-SA"/>
      </w:rPr>
    </w:lvl>
    <w:lvl w:ilvl="3">
      <w:start w:val="0"/>
      <w:numFmt w:val="bullet"/>
      <w:lvlText w:val="•"/>
      <w:lvlJc w:val="left"/>
      <w:pPr>
        <w:ind w:left="3008" w:hanging="360"/>
      </w:pPr>
      <w:rPr>
        <w:rFonts w:hint="default"/>
        <w:lang w:val="en-US" w:eastAsia="en-US" w:bidi="ar-SA"/>
      </w:rPr>
    </w:lvl>
    <w:lvl w:ilvl="4">
      <w:start w:val="0"/>
      <w:numFmt w:val="bullet"/>
      <w:lvlText w:val="•"/>
      <w:lvlJc w:val="left"/>
      <w:pPr>
        <w:ind w:left="4093" w:hanging="360"/>
      </w:pPr>
      <w:rPr>
        <w:rFonts w:hint="default"/>
        <w:lang w:val="en-US" w:eastAsia="en-US" w:bidi="ar-SA"/>
      </w:rPr>
    </w:lvl>
    <w:lvl w:ilvl="5">
      <w:start w:val="0"/>
      <w:numFmt w:val="bullet"/>
      <w:lvlText w:val="•"/>
      <w:lvlJc w:val="left"/>
      <w:pPr>
        <w:ind w:left="5177" w:hanging="360"/>
      </w:pPr>
      <w:rPr>
        <w:rFonts w:hint="default"/>
        <w:lang w:val="en-US" w:eastAsia="en-US" w:bidi="ar-SA"/>
      </w:rPr>
    </w:lvl>
    <w:lvl w:ilvl="6">
      <w:start w:val="0"/>
      <w:numFmt w:val="bullet"/>
      <w:lvlText w:val="•"/>
      <w:lvlJc w:val="left"/>
      <w:pPr>
        <w:ind w:left="6262" w:hanging="360"/>
      </w:pPr>
      <w:rPr>
        <w:rFonts w:hint="default"/>
        <w:lang w:val="en-US" w:eastAsia="en-US" w:bidi="ar-SA"/>
      </w:rPr>
    </w:lvl>
    <w:lvl w:ilvl="7">
      <w:start w:val="0"/>
      <w:numFmt w:val="bullet"/>
      <w:lvlText w:val="•"/>
      <w:lvlJc w:val="left"/>
      <w:pPr>
        <w:ind w:left="7346" w:hanging="360"/>
      </w:pPr>
      <w:rPr>
        <w:rFonts w:hint="default"/>
        <w:lang w:val="en-US" w:eastAsia="en-US" w:bidi="ar-SA"/>
      </w:rPr>
    </w:lvl>
    <w:lvl w:ilvl="8">
      <w:start w:val="0"/>
      <w:numFmt w:val="bullet"/>
      <w:lvlText w:val="•"/>
      <w:lvlJc w:val="left"/>
      <w:pPr>
        <w:ind w:left="8431" w:hanging="360"/>
      </w:pPr>
      <w:rPr>
        <w:rFonts w:hint="default"/>
        <w:lang w:val="en-US" w:eastAsia="en-US" w:bidi="ar-SA"/>
      </w:rPr>
    </w:lvl>
  </w:abstractNum>
  <w:abstractNum w:abstractNumId="102">
    <w:multiLevelType w:val="hybridMultilevel"/>
    <w:lvl w:ilvl="0">
      <w:start w:val="1"/>
      <w:numFmt w:val="lowerLetter"/>
      <w:lvlText w:val="%1)"/>
      <w:lvlJc w:val="left"/>
      <w:pPr>
        <w:ind w:left="48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492" w:hanging="360"/>
      </w:pPr>
      <w:rPr>
        <w:rFonts w:hint="default"/>
        <w:lang w:val="en-US" w:eastAsia="en-US" w:bidi="ar-SA"/>
      </w:rPr>
    </w:lvl>
    <w:lvl w:ilvl="2">
      <w:start w:val="0"/>
      <w:numFmt w:val="bullet"/>
      <w:lvlText w:val="•"/>
      <w:lvlJc w:val="left"/>
      <w:pPr>
        <w:ind w:left="2504" w:hanging="360"/>
      </w:pPr>
      <w:rPr>
        <w:rFonts w:hint="default"/>
        <w:lang w:val="en-US" w:eastAsia="en-US" w:bidi="ar-SA"/>
      </w:rPr>
    </w:lvl>
    <w:lvl w:ilvl="3">
      <w:start w:val="0"/>
      <w:numFmt w:val="bullet"/>
      <w:lvlText w:val="•"/>
      <w:lvlJc w:val="left"/>
      <w:pPr>
        <w:ind w:left="3516" w:hanging="360"/>
      </w:pPr>
      <w:rPr>
        <w:rFonts w:hint="default"/>
        <w:lang w:val="en-US" w:eastAsia="en-US" w:bidi="ar-SA"/>
      </w:rPr>
    </w:lvl>
    <w:lvl w:ilvl="4">
      <w:start w:val="0"/>
      <w:numFmt w:val="bullet"/>
      <w:lvlText w:val="•"/>
      <w:lvlJc w:val="left"/>
      <w:pPr>
        <w:ind w:left="4528" w:hanging="360"/>
      </w:pPr>
      <w:rPr>
        <w:rFonts w:hint="default"/>
        <w:lang w:val="en-US" w:eastAsia="en-US" w:bidi="ar-SA"/>
      </w:rPr>
    </w:lvl>
    <w:lvl w:ilvl="5">
      <w:start w:val="0"/>
      <w:numFmt w:val="bullet"/>
      <w:lvlText w:val="•"/>
      <w:lvlJc w:val="left"/>
      <w:pPr>
        <w:ind w:left="5540" w:hanging="360"/>
      </w:pPr>
      <w:rPr>
        <w:rFonts w:hint="default"/>
        <w:lang w:val="en-US" w:eastAsia="en-US" w:bidi="ar-SA"/>
      </w:rPr>
    </w:lvl>
    <w:lvl w:ilvl="6">
      <w:start w:val="0"/>
      <w:numFmt w:val="bullet"/>
      <w:lvlText w:val="•"/>
      <w:lvlJc w:val="left"/>
      <w:pPr>
        <w:ind w:left="6552" w:hanging="360"/>
      </w:pPr>
      <w:rPr>
        <w:rFonts w:hint="default"/>
        <w:lang w:val="en-US" w:eastAsia="en-US" w:bidi="ar-SA"/>
      </w:rPr>
    </w:lvl>
    <w:lvl w:ilvl="7">
      <w:start w:val="0"/>
      <w:numFmt w:val="bullet"/>
      <w:lvlText w:val="•"/>
      <w:lvlJc w:val="left"/>
      <w:pPr>
        <w:ind w:left="7564" w:hanging="360"/>
      </w:pPr>
      <w:rPr>
        <w:rFonts w:hint="default"/>
        <w:lang w:val="en-US" w:eastAsia="en-US" w:bidi="ar-SA"/>
      </w:rPr>
    </w:lvl>
    <w:lvl w:ilvl="8">
      <w:start w:val="0"/>
      <w:numFmt w:val="bullet"/>
      <w:lvlText w:val="•"/>
      <w:lvlJc w:val="left"/>
      <w:pPr>
        <w:ind w:left="8576" w:hanging="360"/>
      </w:pPr>
      <w:rPr>
        <w:rFonts w:hint="default"/>
        <w:lang w:val="en-US" w:eastAsia="en-US" w:bidi="ar-SA"/>
      </w:rPr>
    </w:lvl>
  </w:abstractNum>
  <w:abstractNum w:abstractNumId="101">
    <w:multiLevelType w:val="hybridMultilevel"/>
    <w:lvl w:ilvl="0">
      <w:start w:val="1"/>
      <w:numFmt w:val="decimal"/>
      <w:lvlText w:val="(%1)"/>
      <w:lvlJc w:val="left"/>
      <w:pPr>
        <w:ind w:left="120" w:hanging="353"/>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168" w:hanging="353"/>
      </w:pPr>
      <w:rPr>
        <w:rFonts w:hint="default"/>
        <w:lang w:val="en-US" w:eastAsia="en-US" w:bidi="ar-SA"/>
      </w:rPr>
    </w:lvl>
    <w:lvl w:ilvl="2">
      <w:start w:val="0"/>
      <w:numFmt w:val="bullet"/>
      <w:lvlText w:val="•"/>
      <w:lvlJc w:val="left"/>
      <w:pPr>
        <w:ind w:left="2216" w:hanging="353"/>
      </w:pPr>
      <w:rPr>
        <w:rFonts w:hint="default"/>
        <w:lang w:val="en-US" w:eastAsia="en-US" w:bidi="ar-SA"/>
      </w:rPr>
    </w:lvl>
    <w:lvl w:ilvl="3">
      <w:start w:val="0"/>
      <w:numFmt w:val="bullet"/>
      <w:lvlText w:val="•"/>
      <w:lvlJc w:val="left"/>
      <w:pPr>
        <w:ind w:left="3264" w:hanging="353"/>
      </w:pPr>
      <w:rPr>
        <w:rFonts w:hint="default"/>
        <w:lang w:val="en-US" w:eastAsia="en-US" w:bidi="ar-SA"/>
      </w:rPr>
    </w:lvl>
    <w:lvl w:ilvl="4">
      <w:start w:val="0"/>
      <w:numFmt w:val="bullet"/>
      <w:lvlText w:val="•"/>
      <w:lvlJc w:val="left"/>
      <w:pPr>
        <w:ind w:left="4312" w:hanging="353"/>
      </w:pPr>
      <w:rPr>
        <w:rFonts w:hint="default"/>
        <w:lang w:val="en-US" w:eastAsia="en-US" w:bidi="ar-SA"/>
      </w:rPr>
    </w:lvl>
    <w:lvl w:ilvl="5">
      <w:start w:val="0"/>
      <w:numFmt w:val="bullet"/>
      <w:lvlText w:val="•"/>
      <w:lvlJc w:val="left"/>
      <w:pPr>
        <w:ind w:left="5360" w:hanging="353"/>
      </w:pPr>
      <w:rPr>
        <w:rFonts w:hint="default"/>
        <w:lang w:val="en-US" w:eastAsia="en-US" w:bidi="ar-SA"/>
      </w:rPr>
    </w:lvl>
    <w:lvl w:ilvl="6">
      <w:start w:val="0"/>
      <w:numFmt w:val="bullet"/>
      <w:lvlText w:val="•"/>
      <w:lvlJc w:val="left"/>
      <w:pPr>
        <w:ind w:left="6408" w:hanging="353"/>
      </w:pPr>
      <w:rPr>
        <w:rFonts w:hint="default"/>
        <w:lang w:val="en-US" w:eastAsia="en-US" w:bidi="ar-SA"/>
      </w:rPr>
    </w:lvl>
    <w:lvl w:ilvl="7">
      <w:start w:val="0"/>
      <w:numFmt w:val="bullet"/>
      <w:lvlText w:val="•"/>
      <w:lvlJc w:val="left"/>
      <w:pPr>
        <w:ind w:left="7456" w:hanging="353"/>
      </w:pPr>
      <w:rPr>
        <w:rFonts w:hint="default"/>
        <w:lang w:val="en-US" w:eastAsia="en-US" w:bidi="ar-SA"/>
      </w:rPr>
    </w:lvl>
    <w:lvl w:ilvl="8">
      <w:start w:val="0"/>
      <w:numFmt w:val="bullet"/>
      <w:lvlText w:val="•"/>
      <w:lvlJc w:val="left"/>
      <w:pPr>
        <w:ind w:left="8504" w:hanging="353"/>
      </w:pPr>
      <w:rPr>
        <w:rFonts w:hint="default"/>
        <w:lang w:val="en-US" w:eastAsia="en-US" w:bidi="ar-SA"/>
      </w:rPr>
    </w:lvl>
  </w:abstractNum>
  <w:abstractNum w:abstractNumId="100">
    <w:multiLevelType w:val="hybridMultilevel"/>
    <w:lvl w:ilvl="0">
      <w:start w:val="5"/>
      <w:numFmt w:val="decimal"/>
      <w:lvlText w:val="%1"/>
      <w:lvlJc w:val="left"/>
      <w:pPr>
        <w:ind w:left="720" w:hanging="600"/>
        <w:jc w:val="left"/>
      </w:pPr>
      <w:rPr>
        <w:rFonts w:hint="default"/>
        <w:lang w:val="en-US" w:eastAsia="en-US" w:bidi="ar-SA"/>
      </w:rPr>
    </w:lvl>
    <w:lvl w:ilvl="1">
      <w:start w:val="6"/>
      <w:numFmt w:val="decimal"/>
      <w:lvlText w:val="%1.%2"/>
      <w:lvlJc w:val="left"/>
      <w:pPr>
        <w:ind w:left="720" w:hanging="600"/>
        <w:jc w:val="left"/>
      </w:pPr>
      <w:rPr>
        <w:rFonts w:hint="default"/>
        <w:lang w:val="en-US" w:eastAsia="en-US" w:bidi="ar-SA"/>
      </w:rPr>
    </w:lvl>
    <w:lvl w:ilvl="2">
      <w:start w:val="1"/>
      <w:numFmt w:val="decimal"/>
      <w:lvlText w:val="%1.%2.%3."/>
      <w:lvlJc w:val="left"/>
      <w:pPr>
        <w:ind w:left="720" w:hanging="60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684" w:hanging="600"/>
      </w:pPr>
      <w:rPr>
        <w:rFonts w:hint="default"/>
        <w:lang w:val="en-US" w:eastAsia="en-US" w:bidi="ar-SA"/>
      </w:rPr>
    </w:lvl>
    <w:lvl w:ilvl="4">
      <w:start w:val="0"/>
      <w:numFmt w:val="bullet"/>
      <w:lvlText w:val="•"/>
      <w:lvlJc w:val="left"/>
      <w:pPr>
        <w:ind w:left="4672" w:hanging="600"/>
      </w:pPr>
      <w:rPr>
        <w:rFonts w:hint="default"/>
        <w:lang w:val="en-US" w:eastAsia="en-US" w:bidi="ar-SA"/>
      </w:rPr>
    </w:lvl>
    <w:lvl w:ilvl="5">
      <w:start w:val="0"/>
      <w:numFmt w:val="bullet"/>
      <w:lvlText w:val="•"/>
      <w:lvlJc w:val="left"/>
      <w:pPr>
        <w:ind w:left="5660" w:hanging="600"/>
      </w:pPr>
      <w:rPr>
        <w:rFonts w:hint="default"/>
        <w:lang w:val="en-US" w:eastAsia="en-US" w:bidi="ar-SA"/>
      </w:rPr>
    </w:lvl>
    <w:lvl w:ilvl="6">
      <w:start w:val="0"/>
      <w:numFmt w:val="bullet"/>
      <w:lvlText w:val="•"/>
      <w:lvlJc w:val="left"/>
      <w:pPr>
        <w:ind w:left="6648" w:hanging="600"/>
      </w:pPr>
      <w:rPr>
        <w:rFonts w:hint="default"/>
        <w:lang w:val="en-US" w:eastAsia="en-US" w:bidi="ar-SA"/>
      </w:rPr>
    </w:lvl>
    <w:lvl w:ilvl="7">
      <w:start w:val="0"/>
      <w:numFmt w:val="bullet"/>
      <w:lvlText w:val="•"/>
      <w:lvlJc w:val="left"/>
      <w:pPr>
        <w:ind w:left="7636" w:hanging="600"/>
      </w:pPr>
      <w:rPr>
        <w:rFonts w:hint="default"/>
        <w:lang w:val="en-US" w:eastAsia="en-US" w:bidi="ar-SA"/>
      </w:rPr>
    </w:lvl>
    <w:lvl w:ilvl="8">
      <w:start w:val="0"/>
      <w:numFmt w:val="bullet"/>
      <w:lvlText w:val="•"/>
      <w:lvlJc w:val="left"/>
      <w:pPr>
        <w:ind w:left="8624" w:hanging="600"/>
      </w:pPr>
      <w:rPr>
        <w:rFonts w:hint="default"/>
        <w:lang w:val="en-US" w:eastAsia="en-US" w:bidi="ar-SA"/>
      </w:rPr>
    </w:lvl>
  </w:abstractNum>
  <w:abstractNum w:abstractNumId="99">
    <w:multiLevelType w:val="hybridMultilevel"/>
    <w:lvl w:ilvl="0">
      <w:start w:val="1"/>
      <w:numFmt w:val="lowerLetter"/>
      <w:lvlText w:val="(%1)"/>
      <w:lvlJc w:val="left"/>
      <w:pPr>
        <w:ind w:left="240" w:hanging="356"/>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260" w:hanging="356"/>
      </w:pPr>
      <w:rPr>
        <w:rFonts w:hint="default"/>
        <w:lang w:val="en-US" w:eastAsia="en-US" w:bidi="ar-SA"/>
      </w:rPr>
    </w:lvl>
    <w:lvl w:ilvl="2">
      <w:start w:val="0"/>
      <w:numFmt w:val="bullet"/>
      <w:lvlText w:val="•"/>
      <w:lvlJc w:val="left"/>
      <w:pPr>
        <w:ind w:left="2280" w:hanging="356"/>
      </w:pPr>
      <w:rPr>
        <w:rFonts w:hint="default"/>
        <w:lang w:val="en-US" w:eastAsia="en-US" w:bidi="ar-SA"/>
      </w:rPr>
    </w:lvl>
    <w:lvl w:ilvl="3">
      <w:start w:val="0"/>
      <w:numFmt w:val="bullet"/>
      <w:lvlText w:val="•"/>
      <w:lvlJc w:val="left"/>
      <w:pPr>
        <w:ind w:left="3300" w:hanging="356"/>
      </w:pPr>
      <w:rPr>
        <w:rFonts w:hint="default"/>
        <w:lang w:val="en-US" w:eastAsia="en-US" w:bidi="ar-SA"/>
      </w:rPr>
    </w:lvl>
    <w:lvl w:ilvl="4">
      <w:start w:val="0"/>
      <w:numFmt w:val="bullet"/>
      <w:lvlText w:val="•"/>
      <w:lvlJc w:val="left"/>
      <w:pPr>
        <w:ind w:left="4320" w:hanging="356"/>
      </w:pPr>
      <w:rPr>
        <w:rFonts w:hint="default"/>
        <w:lang w:val="en-US" w:eastAsia="en-US" w:bidi="ar-SA"/>
      </w:rPr>
    </w:lvl>
    <w:lvl w:ilvl="5">
      <w:start w:val="0"/>
      <w:numFmt w:val="bullet"/>
      <w:lvlText w:val="•"/>
      <w:lvlJc w:val="left"/>
      <w:pPr>
        <w:ind w:left="5340" w:hanging="356"/>
      </w:pPr>
      <w:rPr>
        <w:rFonts w:hint="default"/>
        <w:lang w:val="en-US" w:eastAsia="en-US" w:bidi="ar-SA"/>
      </w:rPr>
    </w:lvl>
    <w:lvl w:ilvl="6">
      <w:start w:val="0"/>
      <w:numFmt w:val="bullet"/>
      <w:lvlText w:val="•"/>
      <w:lvlJc w:val="left"/>
      <w:pPr>
        <w:ind w:left="6360" w:hanging="356"/>
      </w:pPr>
      <w:rPr>
        <w:rFonts w:hint="default"/>
        <w:lang w:val="en-US" w:eastAsia="en-US" w:bidi="ar-SA"/>
      </w:rPr>
    </w:lvl>
    <w:lvl w:ilvl="7">
      <w:start w:val="0"/>
      <w:numFmt w:val="bullet"/>
      <w:lvlText w:val="•"/>
      <w:lvlJc w:val="left"/>
      <w:pPr>
        <w:ind w:left="7380" w:hanging="356"/>
      </w:pPr>
      <w:rPr>
        <w:rFonts w:hint="default"/>
        <w:lang w:val="en-US" w:eastAsia="en-US" w:bidi="ar-SA"/>
      </w:rPr>
    </w:lvl>
    <w:lvl w:ilvl="8">
      <w:start w:val="0"/>
      <w:numFmt w:val="bullet"/>
      <w:lvlText w:val="•"/>
      <w:lvlJc w:val="left"/>
      <w:pPr>
        <w:ind w:left="8400" w:hanging="356"/>
      </w:pPr>
      <w:rPr>
        <w:rFonts w:hint="default"/>
        <w:lang w:val="en-US" w:eastAsia="en-US" w:bidi="ar-SA"/>
      </w:rPr>
    </w:lvl>
  </w:abstractNum>
  <w:abstractNum w:abstractNumId="98">
    <w:multiLevelType w:val="hybridMultilevel"/>
    <w:lvl w:ilvl="0">
      <w:start w:val="1"/>
      <w:numFmt w:val="lowerLetter"/>
      <w:lvlText w:val="(%1)"/>
      <w:lvlJc w:val="left"/>
      <w:pPr>
        <w:ind w:left="240" w:hanging="382"/>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260" w:hanging="382"/>
      </w:pPr>
      <w:rPr>
        <w:rFonts w:hint="default"/>
        <w:lang w:val="en-US" w:eastAsia="en-US" w:bidi="ar-SA"/>
      </w:rPr>
    </w:lvl>
    <w:lvl w:ilvl="2">
      <w:start w:val="0"/>
      <w:numFmt w:val="bullet"/>
      <w:lvlText w:val="•"/>
      <w:lvlJc w:val="left"/>
      <w:pPr>
        <w:ind w:left="2280" w:hanging="382"/>
      </w:pPr>
      <w:rPr>
        <w:rFonts w:hint="default"/>
        <w:lang w:val="en-US" w:eastAsia="en-US" w:bidi="ar-SA"/>
      </w:rPr>
    </w:lvl>
    <w:lvl w:ilvl="3">
      <w:start w:val="0"/>
      <w:numFmt w:val="bullet"/>
      <w:lvlText w:val="•"/>
      <w:lvlJc w:val="left"/>
      <w:pPr>
        <w:ind w:left="3300" w:hanging="382"/>
      </w:pPr>
      <w:rPr>
        <w:rFonts w:hint="default"/>
        <w:lang w:val="en-US" w:eastAsia="en-US" w:bidi="ar-SA"/>
      </w:rPr>
    </w:lvl>
    <w:lvl w:ilvl="4">
      <w:start w:val="0"/>
      <w:numFmt w:val="bullet"/>
      <w:lvlText w:val="•"/>
      <w:lvlJc w:val="left"/>
      <w:pPr>
        <w:ind w:left="4320" w:hanging="382"/>
      </w:pPr>
      <w:rPr>
        <w:rFonts w:hint="default"/>
        <w:lang w:val="en-US" w:eastAsia="en-US" w:bidi="ar-SA"/>
      </w:rPr>
    </w:lvl>
    <w:lvl w:ilvl="5">
      <w:start w:val="0"/>
      <w:numFmt w:val="bullet"/>
      <w:lvlText w:val="•"/>
      <w:lvlJc w:val="left"/>
      <w:pPr>
        <w:ind w:left="5340" w:hanging="382"/>
      </w:pPr>
      <w:rPr>
        <w:rFonts w:hint="default"/>
        <w:lang w:val="en-US" w:eastAsia="en-US" w:bidi="ar-SA"/>
      </w:rPr>
    </w:lvl>
    <w:lvl w:ilvl="6">
      <w:start w:val="0"/>
      <w:numFmt w:val="bullet"/>
      <w:lvlText w:val="•"/>
      <w:lvlJc w:val="left"/>
      <w:pPr>
        <w:ind w:left="6360" w:hanging="382"/>
      </w:pPr>
      <w:rPr>
        <w:rFonts w:hint="default"/>
        <w:lang w:val="en-US" w:eastAsia="en-US" w:bidi="ar-SA"/>
      </w:rPr>
    </w:lvl>
    <w:lvl w:ilvl="7">
      <w:start w:val="0"/>
      <w:numFmt w:val="bullet"/>
      <w:lvlText w:val="•"/>
      <w:lvlJc w:val="left"/>
      <w:pPr>
        <w:ind w:left="7380" w:hanging="382"/>
      </w:pPr>
      <w:rPr>
        <w:rFonts w:hint="default"/>
        <w:lang w:val="en-US" w:eastAsia="en-US" w:bidi="ar-SA"/>
      </w:rPr>
    </w:lvl>
    <w:lvl w:ilvl="8">
      <w:start w:val="0"/>
      <w:numFmt w:val="bullet"/>
      <w:lvlText w:val="•"/>
      <w:lvlJc w:val="left"/>
      <w:pPr>
        <w:ind w:left="8400" w:hanging="382"/>
      </w:pPr>
      <w:rPr>
        <w:rFonts w:hint="default"/>
        <w:lang w:val="en-US" w:eastAsia="en-US" w:bidi="ar-SA"/>
      </w:rPr>
    </w:lvl>
  </w:abstractNum>
  <w:abstractNum w:abstractNumId="97">
    <w:multiLevelType w:val="hybridMultilevel"/>
    <w:lvl w:ilvl="0">
      <w:start w:val="1"/>
      <w:numFmt w:val="lowerLetter"/>
      <w:lvlText w:val="(%1)"/>
      <w:lvlJc w:val="left"/>
      <w:pPr>
        <w:ind w:left="240" w:hanging="358"/>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260" w:hanging="358"/>
      </w:pPr>
      <w:rPr>
        <w:rFonts w:hint="default"/>
        <w:lang w:val="en-US" w:eastAsia="en-US" w:bidi="ar-SA"/>
      </w:rPr>
    </w:lvl>
    <w:lvl w:ilvl="2">
      <w:start w:val="0"/>
      <w:numFmt w:val="bullet"/>
      <w:lvlText w:val="•"/>
      <w:lvlJc w:val="left"/>
      <w:pPr>
        <w:ind w:left="2280" w:hanging="358"/>
      </w:pPr>
      <w:rPr>
        <w:rFonts w:hint="default"/>
        <w:lang w:val="en-US" w:eastAsia="en-US" w:bidi="ar-SA"/>
      </w:rPr>
    </w:lvl>
    <w:lvl w:ilvl="3">
      <w:start w:val="0"/>
      <w:numFmt w:val="bullet"/>
      <w:lvlText w:val="•"/>
      <w:lvlJc w:val="left"/>
      <w:pPr>
        <w:ind w:left="3300" w:hanging="358"/>
      </w:pPr>
      <w:rPr>
        <w:rFonts w:hint="default"/>
        <w:lang w:val="en-US" w:eastAsia="en-US" w:bidi="ar-SA"/>
      </w:rPr>
    </w:lvl>
    <w:lvl w:ilvl="4">
      <w:start w:val="0"/>
      <w:numFmt w:val="bullet"/>
      <w:lvlText w:val="•"/>
      <w:lvlJc w:val="left"/>
      <w:pPr>
        <w:ind w:left="4320" w:hanging="358"/>
      </w:pPr>
      <w:rPr>
        <w:rFonts w:hint="default"/>
        <w:lang w:val="en-US" w:eastAsia="en-US" w:bidi="ar-SA"/>
      </w:rPr>
    </w:lvl>
    <w:lvl w:ilvl="5">
      <w:start w:val="0"/>
      <w:numFmt w:val="bullet"/>
      <w:lvlText w:val="•"/>
      <w:lvlJc w:val="left"/>
      <w:pPr>
        <w:ind w:left="5340" w:hanging="358"/>
      </w:pPr>
      <w:rPr>
        <w:rFonts w:hint="default"/>
        <w:lang w:val="en-US" w:eastAsia="en-US" w:bidi="ar-SA"/>
      </w:rPr>
    </w:lvl>
    <w:lvl w:ilvl="6">
      <w:start w:val="0"/>
      <w:numFmt w:val="bullet"/>
      <w:lvlText w:val="•"/>
      <w:lvlJc w:val="left"/>
      <w:pPr>
        <w:ind w:left="6360" w:hanging="358"/>
      </w:pPr>
      <w:rPr>
        <w:rFonts w:hint="default"/>
        <w:lang w:val="en-US" w:eastAsia="en-US" w:bidi="ar-SA"/>
      </w:rPr>
    </w:lvl>
    <w:lvl w:ilvl="7">
      <w:start w:val="0"/>
      <w:numFmt w:val="bullet"/>
      <w:lvlText w:val="•"/>
      <w:lvlJc w:val="left"/>
      <w:pPr>
        <w:ind w:left="7380" w:hanging="358"/>
      </w:pPr>
      <w:rPr>
        <w:rFonts w:hint="default"/>
        <w:lang w:val="en-US" w:eastAsia="en-US" w:bidi="ar-SA"/>
      </w:rPr>
    </w:lvl>
    <w:lvl w:ilvl="8">
      <w:start w:val="0"/>
      <w:numFmt w:val="bullet"/>
      <w:lvlText w:val="•"/>
      <w:lvlJc w:val="left"/>
      <w:pPr>
        <w:ind w:left="8400" w:hanging="358"/>
      </w:pPr>
      <w:rPr>
        <w:rFonts w:hint="default"/>
        <w:lang w:val="en-US" w:eastAsia="en-US" w:bidi="ar-SA"/>
      </w:rPr>
    </w:lvl>
  </w:abstractNum>
  <w:abstractNum w:abstractNumId="96">
    <w:multiLevelType w:val="hybridMultilevel"/>
    <w:lvl w:ilvl="0">
      <w:start w:val="1"/>
      <w:numFmt w:val="lowerLetter"/>
      <w:lvlText w:val="(%1)"/>
      <w:lvlJc w:val="left"/>
      <w:pPr>
        <w:ind w:left="240" w:hanging="365"/>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260" w:hanging="365"/>
      </w:pPr>
      <w:rPr>
        <w:rFonts w:hint="default"/>
        <w:lang w:val="en-US" w:eastAsia="en-US" w:bidi="ar-SA"/>
      </w:rPr>
    </w:lvl>
    <w:lvl w:ilvl="2">
      <w:start w:val="0"/>
      <w:numFmt w:val="bullet"/>
      <w:lvlText w:val="•"/>
      <w:lvlJc w:val="left"/>
      <w:pPr>
        <w:ind w:left="2280" w:hanging="365"/>
      </w:pPr>
      <w:rPr>
        <w:rFonts w:hint="default"/>
        <w:lang w:val="en-US" w:eastAsia="en-US" w:bidi="ar-SA"/>
      </w:rPr>
    </w:lvl>
    <w:lvl w:ilvl="3">
      <w:start w:val="0"/>
      <w:numFmt w:val="bullet"/>
      <w:lvlText w:val="•"/>
      <w:lvlJc w:val="left"/>
      <w:pPr>
        <w:ind w:left="3300" w:hanging="365"/>
      </w:pPr>
      <w:rPr>
        <w:rFonts w:hint="default"/>
        <w:lang w:val="en-US" w:eastAsia="en-US" w:bidi="ar-SA"/>
      </w:rPr>
    </w:lvl>
    <w:lvl w:ilvl="4">
      <w:start w:val="0"/>
      <w:numFmt w:val="bullet"/>
      <w:lvlText w:val="•"/>
      <w:lvlJc w:val="left"/>
      <w:pPr>
        <w:ind w:left="4320" w:hanging="365"/>
      </w:pPr>
      <w:rPr>
        <w:rFonts w:hint="default"/>
        <w:lang w:val="en-US" w:eastAsia="en-US" w:bidi="ar-SA"/>
      </w:rPr>
    </w:lvl>
    <w:lvl w:ilvl="5">
      <w:start w:val="0"/>
      <w:numFmt w:val="bullet"/>
      <w:lvlText w:val="•"/>
      <w:lvlJc w:val="left"/>
      <w:pPr>
        <w:ind w:left="5340" w:hanging="365"/>
      </w:pPr>
      <w:rPr>
        <w:rFonts w:hint="default"/>
        <w:lang w:val="en-US" w:eastAsia="en-US" w:bidi="ar-SA"/>
      </w:rPr>
    </w:lvl>
    <w:lvl w:ilvl="6">
      <w:start w:val="0"/>
      <w:numFmt w:val="bullet"/>
      <w:lvlText w:val="•"/>
      <w:lvlJc w:val="left"/>
      <w:pPr>
        <w:ind w:left="6360" w:hanging="365"/>
      </w:pPr>
      <w:rPr>
        <w:rFonts w:hint="default"/>
        <w:lang w:val="en-US" w:eastAsia="en-US" w:bidi="ar-SA"/>
      </w:rPr>
    </w:lvl>
    <w:lvl w:ilvl="7">
      <w:start w:val="0"/>
      <w:numFmt w:val="bullet"/>
      <w:lvlText w:val="•"/>
      <w:lvlJc w:val="left"/>
      <w:pPr>
        <w:ind w:left="7380" w:hanging="365"/>
      </w:pPr>
      <w:rPr>
        <w:rFonts w:hint="default"/>
        <w:lang w:val="en-US" w:eastAsia="en-US" w:bidi="ar-SA"/>
      </w:rPr>
    </w:lvl>
    <w:lvl w:ilvl="8">
      <w:start w:val="0"/>
      <w:numFmt w:val="bullet"/>
      <w:lvlText w:val="•"/>
      <w:lvlJc w:val="left"/>
      <w:pPr>
        <w:ind w:left="8400" w:hanging="365"/>
      </w:pPr>
      <w:rPr>
        <w:rFonts w:hint="default"/>
        <w:lang w:val="en-US" w:eastAsia="en-US" w:bidi="ar-SA"/>
      </w:rPr>
    </w:lvl>
  </w:abstractNum>
  <w:abstractNum w:abstractNumId="95">
    <w:multiLevelType w:val="hybridMultilevel"/>
    <w:lvl w:ilvl="0">
      <w:start w:val="5"/>
      <w:numFmt w:val="decimal"/>
      <w:lvlText w:val="%1"/>
      <w:lvlJc w:val="left"/>
      <w:pPr>
        <w:ind w:left="840" w:hanging="600"/>
        <w:jc w:val="left"/>
      </w:pPr>
      <w:rPr>
        <w:rFonts w:hint="default"/>
        <w:lang w:val="en-US" w:eastAsia="en-US" w:bidi="ar-SA"/>
      </w:rPr>
    </w:lvl>
    <w:lvl w:ilvl="1">
      <w:start w:val="4"/>
      <w:numFmt w:val="decimal"/>
      <w:lvlText w:val="%1.%2"/>
      <w:lvlJc w:val="left"/>
      <w:pPr>
        <w:ind w:left="840" w:hanging="600"/>
        <w:jc w:val="left"/>
      </w:pPr>
      <w:rPr>
        <w:rFonts w:hint="default"/>
        <w:lang w:val="en-US" w:eastAsia="en-US" w:bidi="ar-SA"/>
      </w:rPr>
    </w:lvl>
    <w:lvl w:ilvl="2">
      <w:start w:val="1"/>
      <w:numFmt w:val="decimal"/>
      <w:lvlText w:val="%1.%2.%3."/>
      <w:lvlJc w:val="left"/>
      <w:pPr>
        <w:ind w:left="840" w:hanging="600"/>
        <w:jc w:val="left"/>
      </w:pPr>
      <w:rPr>
        <w:rFonts w:hint="default"/>
        <w:spacing w:val="0"/>
        <w:w w:val="100"/>
        <w:lang w:val="en-US" w:eastAsia="en-US" w:bidi="ar-SA"/>
      </w:rPr>
    </w:lvl>
    <w:lvl w:ilvl="3">
      <w:start w:val="0"/>
      <w:numFmt w:val="bullet"/>
      <w:lvlText w:val="•"/>
      <w:lvlJc w:val="left"/>
      <w:pPr>
        <w:ind w:left="3720" w:hanging="600"/>
      </w:pPr>
      <w:rPr>
        <w:rFonts w:hint="default"/>
        <w:lang w:val="en-US" w:eastAsia="en-US" w:bidi="ar-SA"/>
      </w:rPr>
    </w:lvl>
    <w:lvl w:ilvl="4">
      <w:start w:val="0"/>
      <w:numFmt w:val="bullet"/>
      <w:lvlText w:val="•"/>
      <w:lvlJc w:val="left"/>
      <w:pPr>
        <w:ind w:left="4680" w:hanging="600"/>
      </w:pPr>
      <w:rPr>
        <w:rFonts w:hint="default"/>
        <w:lang w:val="en-US" w:eastAsia="en-US" w:bidi="ar-SA"/>
      </w:rPr>
    </w:lvl>
    <w:lvl w:ilvl="5">
      <w:start w:val="0"/>
      <w:numFmt w:val="bullet"/>
      <w:lvlText w:val="•"/>
      <w:lvlJc w:val="left"/>
      <w:pPr>
        <w:ind w:left="5640" w:hanging="600"/>
      </w:pPr>
      <w:rPr>
        <w:rFonts w:hint="default"/>
        <w:lang w:val="en-US" w:eastAsia="en-US" w:bidi="ar-SA"/>
      </w:rPr>
    </w:lvl>
    <w:lvl w:ilvl="6">
      <w:start w:val="0"/>
      <w:numFmt w:val="bullet"/>
      <w:lvlText w:val="•"/>
      <w:lvlJc w:val="left"/>
      <w:pPr>
        <w:ind w:left="6600" w:hanging="600"/>
      </w:pPr>
      <w:rPr>
        <w:rFonts w:hint="default"/>
        <w:lang w:val="en-US" w:eastAsia="en-US" w:bidi="ar-SA"/>
      </w:rPr>
    </w:lvl>
    <w:lvl w:ilvl="7">
      <w:start w:val="0"/>
      <w:numFmt w:val="bullet"/>
      <w:lvlText w:val="•"/>
      <w:lvlJc w:val="left"/>
      <w:pPr>
        <w:ind w:left="7560" w:hanging="600"/>
      </w:pPr>
      <w:rPr>
        <w:rFonts w:hint="default"/>
        <w:lang w:val="en-US" w:eastAsia="en-US" w:bidi="ar-SA"/>
      </w:rPr>
    </w:lvl>
    <w:lvl w:ilvl="8">
      <w:start w:val="0"/>
      <w:numFmt w:val="bullet"/>
      <w:lvlText w:val="•"/>
      <w:lvlJc w:val="left"/>
      <w:pPr>
        <w:ind w:left="8520" w:hanging="600"/>
      </w:pPr>
      <w:rPr>
        <w:rFonts w:hint="default"/>
        <w:lang w:val="en-US" w:eastAsia="en-US" w:bidi="ar-SA"/>
      </w:rPr>
    </w:lvl>
  </w:abstractNum>
  <w:abstractNum w:abstractNumId="94">
    <w:multiLevelType w:val="hybridMultilevel"/>
    <w:lvl w:ilvl="0">
      <w:start w:val="1"/>
      <w:numFmt w:val="lowerLetter"/>
      <w:lvlText w:val="%1."/>
      <w:lvlJc w:val="left"/>
      <w:pPr>
        <w:ind w:left="240" w:hanging="308"/>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260" w:hanging="308"/>
      </w:pPr>
      <w:rPr>
        <w:rFonts w:hint="default"/>
        <w:lang w:val="en-US" w:eastAsia="en-US" w:bidi="ar-SA"/>
      </w:rPr>
    </w:lvl>
    <w:lvl w:ilvl="2">
      <w:start w:val="0"/>
      <w:numFmt w:val="bullet"/>
      <w:lvlText w:val="•"/>
      <w:lvlJc w:val="left"/>
      <w:pPr>
        <w:ind w:left="2280" w:hanging="308"/>
      </w:pPr>
      <w:rPr>
        <w:rFonts w:hint="default"/>
        <w:lang w:val="en-US" w:eastAsia="en-US" w:bidi="ar-SA"/>
      </w:rPr>
    </w:lvl>
    <w:lvl w:ilvl="3">
      <w:start w:val="0"/>
      <w:numFmt w:val="bullet"/>
      <w:lvlText w:val="•"/>
      <w:lvlJc w:val="left"/>
      <w:pPr>
        <w:ind w:left="3300" w:hanging="308"/>
      </w:pPr>
      <w:rPr>
        <w:rFonts w:hint="default"/>
        <w:lang w:val="en-US" w:eastAsia="en-US" w:bidi="ar-SA"/>
      </w:rPr>
    </w:lvl>
    <w:lvl w:ilvl="4">
      <w:start w:val="0"/>
      <w:numFmt w:val="bullet"/>
      <w:lvlText w:val="•"/>
      <w:lvlJc w:val="left"/>
      <w:pPr>
        <w:ind w:left="4320" w:hanging="308"/>
      </w:pPr>
      <w:rPr>
        <w:rFonts w:hint="default"/>
        <w:lang w:val="en-US" w:eastAsia="en-US" w:bidi="ar-SA"/>
      </w:rPr>
    </w:lvl>
    <w:lvl w:ilvl="5">
      <w:start w:val="0"/>
      <w:numFmt w:val="bullet"/>
      <w:lvlText w:val="•"/>
      <w:lvlJc w:val="left"/>
      <w:pPr>
        <w:ind w:left="5340" w:hanging="308"/>
      </w:pPr>
      <w:rPr>
        <w:rFonts w:hint="default"/>
        <w:lang w:val="en-US" w:eastAsia="en-US" w:bidi="ar-SA"/>
      </w:rPr>
    </w:lvl>
    <w:lvl w:ilvl="6">
      <w:start w:val="0"/>
      <w:numFmt w:val="bullet"/>
      <w:lvlText w:val="•"/>
      <w:lvlJc w:val="left"/>
      <w:pPr>
        <w:ind w:left="6360" w:hanging="308"/>
      </w:pPr>
      <w:rPr>
        <w:rFonts w:hint="default"/>
        <w:lang w:val="en-US" w:eastAsia="en-US" w:bidi="ar-SA"/>
      </w:rPr>
    </w:lvl>
    <w:lvl w:ilvl="7">
      <w:start w:val="0"/>
      <w:numFmt w:val="bullet"/>
      <w:lvlText w:val="•"/>
      <w:lvlJc w:val="left"/>
      <w:pPr>
        <w:ind w:left="7380" w:hanging="308"/>
      </w:pPr>
      <w:rPr>
        <w:rFonts w:hint="default"/>
        <w:lang w:val="en-US" w:eastAsia="en-US" w:bidi="ar-SA"/>
      </w:rPr>
    </w:lvl>
    <w:lvl w:ilvl="8">
      <w:start w:val="0"/>
      <w:numFmt w:val="bullet"/>
      <w:lvlText w:val="•"/>
      <w:lvlJc w:val="left"/>
      <w:pPr>
        <w:ind w:left="8400" w:hanging="308"/>
      </w:pPr>
      <w:rPr>
        <w:rFonts w:hint="default"/>
        <w:lang w:val="en-US" w:eastAsia="en-US" w:bidi="ar-SA"/>
      </w:rPr>
    </w:lvl>
  </w:abstractNum>
  <w:abstractNum w:abstractNumId="93">
    <w:multiLevelType w:val="hybridMultilevel"/>
    <w:lvl w:ilvl="0">
      <w:start w:val="1"/>
      <w:numFmt w:val="lowerLetter"/>
      <w:lvlText w:val="(%1)"/>
      <w:lvlJc w:val="left"/>
      <w:pPr>
        <w:ind w:left="487"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716" w:hanging="360"/>
      </w:pPr>
      <w:rPr>
        <w:rFonts w:hint="default"/>
        <w:lang w:val="en-US" w:eastAsia="en-US" w:bidi="ar-SA"/>
      </w:rPr>
    </w:lvl>
    <w:lvl w:ilvl="2">
      <w:start w:val="0"/>
      <w:numFmt w:val="bullet"/>
      <w:lvlText w:val="•"/>
      <w:lvlJc w:val="left"/>
      <w:pPr>
        <w:ind w:left="953" w:hanging="360"/>
      </w:pPr>
      <w:rPr>
        <w:rFonts w:hint="default"/>
        <w:lang w:val="en-US" w:eastAsia="en-US" w:bidi="ar-SA"/>
      </w:rPr>
    </w:lvl>
    <w:lvl w:ilvl="3">
      <w:start w:val="0"/>
      <w:numFmt w:val="bullet"/>
      <w:lvlText w:val="•"/>
      <w:lvlJc w:val="left"/>
      <w:pPr>
        <w:ind w:left="1190" w:hanging="360"/>
      </w:pPr>
      <w:rPr>
        <w:rFonts w:hint="default"/>
        <w:lang w:val="en-US" w:eastAsia="en-US" w:bidi="ar-SA"/>
      </w:rPr>
    </w:lvl>
    <w:lvl w:ilvl="4">
      <w:start w:val="0"/>
      <w:numFmt w:val="bullet"/>
      <w:lvlText w:val="•"/>
      <w:lvlJc w:val="left"/>
      <w:pPr>
        <w:ind w:left="1427" w:hanging="360"/>
      </w:pPr>
      <w:rPr>
        <w:rFonts w:hint="default"/>
        <w:lang w:val="en-US" w:eastAsia="en-US" w:bidi="ar-SA"/>
      </w:rPr>
    </w:lvl>
    <w:lvl w:ilvl="5">
      <w:start w:val="0"/>
      <w:numFmt w:val="bullet"/>
      <w:lvlText w:val="•"/>
      <w:lvlJc w:val="left"/>
      <w:pPr>
        <w:ind w:left="1664" w:hanging="360"/>
      </w:pPr>
      <w:rPr>
        <w:rFonts w:hint="default"/>
        <w:lang w:val="en-US" w:eastAsia="en-US" w:bidi="ar-SA"/>
      </w:rPr>
    </w:lvl>
    <w:lvl w:ilvl="6">
      <w:start w:val="0"/>
      <w:numFmt w:val="bullet"/>
      <w:lvlText w:val="•"/>
      <w:lvlJc w:val="left"/>
      <w:pPr>
        <w:ind w:left="1901" w:hanging="360"/>
      </w:pPr>
      <w:rPr>
        <w:rFonts w:hint="default"/>
        <w:lang w:val="en-US" w:eastAsia="en-US" w:bidi="ar-SA"/>
      </w:rPr>
    </w:lvl>
    <w:lvl w:ilvl="7">
      <w:start w:val="0"/>
      <w:numFmt w:val="bullet"/>
      <w:lvlText w:val="•"/>
      <w:lvlJc w:val="left"/>
      <w:pPr>
        <w:ind w:left="2138" w:hanging="360"/>
      </w:pPr>
      <w:rPr>
        <w:rFonts w:hint="default"/>
        <w:lang w:val="en-US" w:eastAsia="en-US" w:bidi="ar-SA"/>
      </w:rPr>
    </w:lvl>
    <w:lvl w:ilvl="8">
      <w:start w:val="0"/>
      <w:numFmt w:val="bullet"/>
      <w:lvlText w:val="•"/>
      <w:lvlJc w:val="left"/>
      <w:pPr>
        <w:ind w:left="2375" w:hanging="360"/>
      </w:pPr>
      <w:rPr>
        <w:rFonts w:hint="default"/>
        <w:lang w:val="en-US" w:eastAsia="en-US" w:bidi="ar-SA"/>
      </w:rPr>
    </w:lvl>
  </w:abstractNum>
  <w:abstractNum w:abstractNumId="92">
    <w:multiLevelType w:val="hybridMultilevel"/>
    <w:lvl w:ilvl="0">
      <w:start w:val="1"/>
      <w:numFmt w:val="lowerLetter"/>
      <w:lvlText w:val="(%1)"/>
      <w:lvlJc w:val="left"/>
      <w:pPr>
        <w:ind w:left="487"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716" w:hanging="360"/>
      </w:pPr>
      <w:rPr>
        <w:rFonts w:hint="default"/>
        <w:lang w:val="en-US" w:eastAsia="en-US" w:bidi="ar-SA"/>
      </w:rPr>
    </w:lvl>
    <w:lvl w:ilvl="2">
      <w:start w:val="0"/>
      <w:numFmt w:val="bullet"/>
      <w:lvlText w:val="•"/>
      <w:lvlJc w:val="left"/>
      <w:pPr>
        <w:ind w:left="953" w:hanging="360"/>
      </w:pPr>
      <w:rPr>
        <w:rFonts w:hint="default"/>
        <w:lang w:val="en-US" w:eastAsia="en-US" w:bidi="ar-SA"/>
      </w:rPr>
    </w:lvl>
    <w:lvl w:ilvl="3">
      <w:start w:val="0"/>
      <w:numFmt w:val="bullet"/>
      <w:lvlText w:val="•"/>
      <w:lvlJc w:val="left"/>
      <w:pPr>
        <w:ind w:left="1190" w:hanging="360"/>
      </w:pPr>
      <w:rPr>
        <w:rFonts w:hint="default"/>
        <w:lang w:val="en-US" w:eastAsia="en-US" w:bidi="ar-SA"/>
      </w:rPr>
    </w:lvl>
    <w:lvl w:ilvl="4">
      <w:start w:val="0"/>
      <w:numFmt w:val="bullet"/>
      <w:lvlText w:val="•"/>
      <w:lvlJc w:val="left"/>
      <w:pPr>
        <w:ind w:left="1427" w:hanging="360"/>
      </w:pPr>
      <w:rPr>
        <w:rFonts w:hint="default"/>
        <w:lang w:val="en-US" w:eastAsia="en-US" w:bidi="ar-SA"/>
      </w:rPr>
    </w:lvl>
    <w:lvl w:ilvl="5">
      <w:start w:val="0"/>
      <w:numFmt w:val="bullet"/>
      <w:lvlText w:val="•"/>
      <w:lvlJc w:val="left"/>
      <w:pPr>
        <w:ind w:left="1664" w:hanging="360"/>
      </w:pPr>
      <w:rPr>
        <w:rFonts w:hint="default"/>
        <w:lang w:val="en-US" w:eastAsia="en-US" w:bidi="ar-SA"/>
      </w:rPr>
    </w:lvl>
    <w:lvl w:ilvl="6">
      <w:start w:val="0"/>
      <w:numFmt w:val="bullet"/>
      <w:lvlText w:val="•"/>
      <w:lvlJc w:val="left"/>
      <w:pPr>
        <w:ind w:left="1901" w:hanging="360"/>
      </w:pPr>
      <w:rPr>
        <w:rFonts w:hint="default"/>
        <w:lang w:val="en-US" w:eastAsia="en-US" w:bidi="ar-SA"/>
      </w:rPr>
    </w:lvl>
    <w:lvl w:ilvl="7">
      <w:start w:val="0"/>
      <w:numFmt w:val="bullet"/>
      <w:lvlText w:val="•"/>
      <w:lvlJc w:val="left"/>
      <w:pPr>
        <w:ind w:left="2138" w:hanging="360"/>
      </w:pPr>
      <w:rPr>
        <w:rFonts w:hint="default"/>
        <w:lang w:val="en-US" w:eastAsia="en-US" w:bidi="ar-SA"/>
      </w:rPr>
    </w:lvl>
    <w:lvl w:ilvl="8">
      <w:start w:val="0"/>
      <w:numFmt w:val="bullet"/>
      <w:lvlText w:val="•"/>
      <w:lvlJc w:val="left"/>
      <w:pPr>
        <w:ind w:left="2375" w:hanging="360"/>
      </w:pPr>
      <w:rPr>
        <w:rFonts w:hint="default"/>
        <w:lang w:val="en-US" w:eastAsia="en-US" w:bidi="ar-SA"/>
      </w:rPr>
    </w:lvl>
  </w:abstractNum>
  <w:abstractNum w:abstractNumId="91">
    <w:multiLevelType w:val="hybridMultilevel"/>
    <w:lvl w:ilvl="0">
      <w:start w:val="1"/>
      <w:numFmt w:val="lowerLetter"/>
      <w:lvlText w:val="(%1)"/>
      <w:lvlJc w:val="left"/>
      <w:pPr>
        <w:ind w:left="487"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716" w:hanging="360"/>
      </w:pPr>
      <w:rPr>
        <w:rFonts w:hint="default"/>
        <w:lang w:val="en-US" w:eastAsia="en-US" w:bidi="ar-SA"/>
      </w:rPr>
    </w:lvl>
    <w:lvl w:ilvl="2">
      <w:start w:val="0"/>
      <w:numFmt w:val="bullet"/>
      <w:lvlText w:val="•"/>
      <w:lvlJc w:val="left"/>
      <w:pPr>
        <w:ind w:left="953" w:hanging="360"/>
      </w:pPr>
      <w:rPr>
        <w:rFonts w:hint="default"/>
        <w:lang w:val="en-US" w:eastAsia="en-US" w:bidi="ar-SA"/>
      </w:rPr>
    </w:lvl>
    <w:lvl w:ilvl="3">
      <w:start w:val="0"/>
      <w:numFmt w:val="bullet"/>
      <w:lvlText w:val="•"/>
      <w:lvlJc w:val="left"/>
      <w:pPr>
        <w:ind w:left="1190" w:hanging="360"/>
      </w:pPr>
      <w:rPr>
        <w:rFonts w:hint="default"/>
        <w:lang w:val="en-US" w:eastAsia="en-US" w:bidi="ar-SA"/>
      </w:rPr>
    </w:lvl>
    <w:lvl w:ilvl="4">
      <w:start w:val="0"/>
      <w:numFmt w:val="bullet"/>
      <w:lvlText w:val="•"/>
      <w:lvlJc w:val="left"/>
      <w:pPr>
        <w:ind w:left="1427" w:hanging="360"/>
      </w:pPr>
      <w:rPr>
        <w:rFonts w:hint="default"/>
        <w:lang w:val="en-US" w:eastAsia="en-US" w:bidi="ar-SA"/>
      </w:rPr>
    </w:lvl>
    <w:lvl w:ilvl="5">
      <w:start w:val="0"/>
      <w:numFmt w:val="bullet"/>
      <w:lvlText w:val="•"/>
      <w:lvlJc w:val="left"/>
      <w:pPr>
        <w:ind w:left="1664" w:hanging="360"/>
      </w:pPr>
      <w:rPr>
        <w:rFonts w:hint="default"/>
        <w:lang w:val="en-US" w:eastAsia="en-US" w:bidi="ar-SA"/>
      </w:rPr>
    </w:lvl>
    <w:lvl w:ilvl="6">
      <w:start w:val="0"/>
      <w:numFmt w:val="bullet"/>
      <w:lvlText w:val="•"/>
      <w:lvlJc w:val="left"/>
      <w:pPr>
        <w:ind w:left="1901" w:hanging="360"/>
      </w:pPr>
      <w:rPr>
        <w:rFonts w:hint="default"/>
        <w:lang w:val="en-US" w:eastAsia="en-US" w:bidi="ar-SA"/>
      </w:rPr>
    </w:lvl>
    <w:lvl w:ilvl="7">
      <w:start w:val="0"/>
      <w:numFmt w:val="bullet"/>
      <w:lvlText w:val="•"/>
      <w:lvlJc w:val="left"/>
      <w:pPr>
        <w:ind w:left="2138" w:hanging="360"/>
      </w:pPr>
      <w:rPr>
        <w:rFonts w:hint="default"/>
        <w:lang w:val="en-US" w:eastAsia="en-US" w:bidi="ar-SA"/>
      </w:rPr>
    </w:lvl>
    <w:lvl w:ilvl="8">
      <w:start w:val="0"/>
      <w:numFmt w:val="bullet"/>
      <w:lvlText w:val="•"/>
      <w:lvlJc w:val="left"/>
      <w:pPr>
        <w:ind w:left="2375" w:hanging="360"/>
      </w:pPr>
      <w:rPr>
        <w:rFonts w:hint="default"/>
        <w:lang w:val="en-US" w:eastAsia="en-US" w:bidi="ar-SA"/>
      </w:rPr>
    </w:lvl>
  </w:abstractNum>
  <w:abstractNum w:abstractNumId="90">
    <w:multiLevelType w:val="hybridMultilevel"/>
    <w:lvl w:ilvl="0">
      <w:start w:val="1"/>
      <w:numFmt w:val="lowerLetter"/>
      <w:lvlText w:val="(%1)"/>
      <w:lvlJc w:val="left"/>
      <w:pPr>
        <w:ind w:left="393" w:hanging="303"/>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644" w:hanging="303"/>
      </w:pPr>
      <w:rPr>
        <w:rFonts w:hint="default"/>
        <w:lang w:val="en-US" w:eastAsia="en-US" w:bidi="ar-SA"/>
      </w:rPr>
    </w:lvl>
    <w:lvl w:ilvl="2">
      <w:start w:val="0"/>
      <w:numFmt w:val="bullet"/>
      <w:lvlText w:val="•"/>
      <w:lvlJc w:val="left"/>
      <w:pPr>
        <w:ind w:left="889" w:hanging="303"/>
      </w:pPr>
      <w:rPr>
        <w:rFonts w:hint="default"/>
        <w:lang w:val="en-US" w:eastAsia="en-US" w:bidi="ar-SA"/>
      </w:rPr>
    </w:lvl>
    <w:lvl w:ilvl="3">
      <w:start w:val="0"/>
      <w:numFmt w:val="bullet"/>
      <w:lvlText w:val="•"/>
      <w:lvlJc w:val="left"/>
      <w:pPr>
        <w:ind w:left="1134" w:hanging="303"/>
      </w:pPr>
      <w:rPr>
        <w:rFonts w:hint="default"/>
        <w:lang w:val="en-US" w:eastAsia="en-US" w:bidi="ar-SA"/>
      </w:rPr>
    </w:lvl>
    <w:lvl w:ilvl="4">
      <w:start w:val="0"/>
      <w:numFmt w:val="bullet"/>
      <w:lvlText w:val="•"/>
      <w:lvlJc w:val="left"/>
      <w:pPr>
        <w:ind w:left="1379" w:hanging="303"/>
      </w:pPr>
      <w:rPr>
        <w:rFonts w:hint="default"/>
        <w:lang w:val="en-US" w:eastAsia="en-US" w:bidi="ar-SA"/>
      </w:rPr>
    </w:lvl>
    <w:lvl w:ilvl="5">
      <w:start w:val="0"/>
      <w:numFmt w:val="bullet"/>
      <w:lvlText w:val="•"/>
      <w:lvlJc w:val="left"/>
      <w:pPr>
        <w:ind w:left="1624" w:hanging="303"/>
      </w:pPr>
      <w:rPr>
        <w:rFonts w:hint="default"/>
        <w:lang w:val="en-US" w:eastAsia="en-US" w:bidi="ar-SA"/>
      </w:rPr>
    </w:lvl>
    <w:lvl w:ilvl="6">
      <w:start w:val="0"/>
      <w:numFmt w:val="bullet"/>
      <w:lvlText w:val="•"/>
      <w:lvlJc w:val="left"/>
      <w:pPr>
        <w:ind w:left="1869" w:hanging="303"/>
      </w:pPr>
      <w:rPr>
        <w:rFonts w:hint="default"/>
        <w:lang w:val="en-US" w:eastAsia="en-US" w:bidi="ar-SA"/>
      </w:rPr>
    </w:lvl>
    <w:lvl w:ilvl="7">
      <w:start w:val="0"/>
      <w:numFmt w:val="bullet"/>
      <w:lvlText w:val="•"/>
      <w:lvlJc w:val="left"/>
      <w:pPr>
        <w:ind w:left="2114" w:hanging="303"/>
      </w:pPr>
      <w:rPr>
        <w:rFonts w:hint="default"/>
        <w:lang w:val="en-US" w:eastAsia="en-US" w:bidi="ar-SA"/>
      </w:rPr>
    </w:lvl>
    <w:lvl w:ilvl="8">
      <w:start w:val="0"/>
      <w:numFmt w:val="bullet"/>
      <w:lvlText w:val="•"/>
      <w:lvlJc w:val="left"/>
      <w:pPr>
        <w:ind w:left="2359" w:hanging="303"/>
      </w:pPr>
      <w:rPr>
        <w:rFonts w:hint="default"/>
        <w:lang w:val="en-US" w:eastAsia="en-US" w:bidi="ar-SA"/>
      </w:rPr>
    </w:lvl>
  </w:abstractNum>
  <w:abstractNum w:abstractNumId="89">
    <w:multiLevelType w:val="hybridMultilevel"/>
    <w:lvl w:ilvl="0">
      <w:start w:val="1"/>
      <w:numFmt w:val="lowerLetter"/>
      <w:lvlText w:val="(%1)"/>
      <w:lvlJc w:val="left"/>
      <w:pPr>
        <w:ind w:left="611"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847" w:hanging="360"/>
      </w:pPr>
      <w:rPr>
        <w:rFonts w:hint="default"/>
        <w:lang w:val="en-US" w:eastAsia="en-US" w:bidi="ar-SA"/>
      </w:rPr>
    </w:lvl>
    <w:lvl w:ilvl="2">
      <w:start w:val="0"/>
      <w:numFmt w:val="bullet"/>
      <w:lvlText w:val="•"/>
      <w:lvlJc w:val="left"/>
      <w:pPr>
        <w:ind w:left="1075" w:hanging="360"/>
      </w:pPr>
      <w:rPr>
        <w:rFonts w:hint="default"/>
        <w:lang w:val="en-US" w:eastAsia="en-US" w:bidi="ar-SA"/>
      </w:rPr>
    </w:lvl>
    <w:lvl w:ilvl="3">
      <w:start w:val="0"/>
      <w:numFmt w:val="bullet"/>
      <w:lvlText w:val="•"/>
      <w:lvlJc w:val="left"/>
      <w:pPr>
        <w:ind w:left="1303" w:hanging="360"/>
      </w:pPr>
      <w:rPr>
        <w:rFonts w:hint="default"/>
        <w:lang w:val="en-US" w:eastAsia="en-US" w:bidi="ar-SA"/>
      </w:rPr>
    </w:lvl>
    <w:lvl w:ilvl="4">
      <w:start w:val="0"/>
      <w:numFmt w:val="bullet"/>
      <w:lvlText w:val="•"/>
      <w:lvlJc w:val="left"/>
      <w:pPr>
        <w:ind w:left="1531" w:hanging="360"/>
      </w:pPr>
      <w:rPr>
        <w:rFonts w:hint="default"/>
        <w:lang w:val="en-US" w:eastAsia="en-US" w:bidi="ar-SA"/>
      </w:rPr>
    </w:lvl>
    <w:lvl w:ilvl="5">
      <w:start w:val="0"/>
      <w:numFmt w:val="bullet"/>
      <w:lvlText w:val="•"/>
      <w:lvlJc w:val="left"/>
      <w:pPr>
        <w:ind w:left="1759" w:hanging="360"/>
      </w:pPr>
      <w:rPr>
        <w:rFonts w:hint="default"/>
        <w:lang w:val="en-US" w:eastAsia="en-US" w:bidi="ar-SA"/>
      </w:rPr>
    </w:lvl>
    <w:lvl w:ilvl="6">
      <w:start w:val="0"/>
      <w:numFmt w:val="bullet"/>
      <w:lvlText w:val="•"/>
      <w:lvlJc w:val="left"/>
      <w:pPr>
        <w:ind w:left="1987" w:hanging="360"/>
      </w:pPr>
      <w:rPr>
        <w:rFonts w:hint="default"/>
        <w:lang w:val="en-US" w:eastAsia="en-US" w:bidi="ar-SA"/>
      </w:rPr>
    </w:lvl>
    <w:lvl w:ilvl="7">
      <w:start w:val="0"/>
      <w:numFmt w:val="bullet"/>
      <w:lvlText w:val="•"/>
      <w:lvlJc w:val="left"/>
      <w:pPr>
        <w:ind w:left="2215" w:hanging="360"/>
      </w:pPr>
      <w:rPr>
        <w:rFonts w:hint="default"/>
        <w:lang w:val="en-US" w:eastAsia="en-US" w:bidi="ar-SA"/>
      </w:rPr>
    </w:lvl>
    <w:lvl w:ilvl="8">
      <w:start w:val="0"/>
      <w:numFmt w:val="bullet"/>
      <w:lvlText w:val="•"/>
      <w:lvlJc w:val="left"/>
      <w:pPr>
        <w:ind w:left="2443" w:hanging="360"/>
      </w:pPr>
      <w:rPr>
        <w:rFonts w:hint="default"/>
        <w:lang w:val="en-US" w:eastAsia="en-US" w:bidi="ar-SA"/>
      </w:rPr>
    </w:lvl>
  </w:abstractNum>
  <w:abstractNum w:abstractNumId="88">
    <w:multiLevelType w:val="hybridMultilevel"/>
    <w:lvl w:ilvl="0">
      <w:start w:val="1"/>
      <w:numFmt w:val="lowerLetter"/>
      <w:lvlText w:val="(%1)"/>
      <w:lvlJc w:val="left"/>
      <w:pPr>
        <w:ind w:left="611"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847" w:hanging="360"/>
      </w:pPr>
      <w:rPr>
        <w:rFonts w:hint="default"/>
        <w:lang w:val="en-US" w:eastAsia="en-US" w:bidi="ar-SA"/>
      </w:rPr>
    </w:lvl>
    <w:lvl w:ilvl="2">
      <w:start w:val="0"/>
      <w:numFmt w:val="bullet"/>
      <w:lvlText w:val="•"/>
      <w:lvlJc w:val="left"/>
      <w:pPr>
        <w:ind w:left="1075" w:hanging="360"/>
      </w:pPr>
      <w:rPr>
        <w:rFonts w:hint="default"/>
        <w:lang w:val="en-US" w:eastAsia="en-US" w:bidi="ar-SA"/>
      </w:rPr>
    </w:lvl>
    <w:lvl w:ilvl="3">
      <w:start w:val="0"/>
      <w:numFmt w:val="bullet"/>
      <w:lvlText w:val="•"/>
      <w:lvlJc w:val="left"/>
      <w:pPr>
        <w:ind w:left="1303" w:hanging="360"/>
      </w:pPr>
      <w:rPr>
        <w:rFonts w:hint="default"/>
        <w:lang w:val="en-US" w:eastAsia="en-US" w:bidi="ar-SA"/>
      </w:rPr>
    </w:lvl>
    <w:lvl w:ilvl="4">
      <w:start w:val="0"/>
      <w:numFmt w:val="bullet"/>
      <w:lvlText w:val="•"/>
      <w:lvlJc w:val="left"/>
      <w:pPr>
        <w:ind w:left="1531" w:hanging="360"/>
      </w:pPr>
      <w:rPr>
        <w:rFonts w:hint="default"/>
        <w:lang w:val="en-US" w:eastAsia="en-US" w:bidi="ar-SA"/>
      </w:rPr>
    </w:lvl>
    <w:lvl w:ilvl="5">
      <w:start w:val="0"/>
      <w:numFmt w:val="bullet"/>
      <w:lvlText w:val="•"/>
      <w:lvlJc w:val="left"/>
      <w:pPr>
        <w:ind w:left="1759" w:hanging="360"/>
      </w:pPr>
      <w:rPr>
        <w:rFonts w:hint="default"/>
        <w:lang w:val="en-US" w:eastAsia="en-US" w:bidi="ar-SA"/>
      </w:rPr>
    </w:lvl>
    <w:lvl w:ilvl="6">
      <w:start w:val="0"/>
      <w:numFmt w:val="bullet"/>
      <w:lvlText w:val="•"/>
      <w:lvlJc w:val="left"/>
      <w:pPr>
        <w:ind w:left="1987" w:hanging="360"/>
      </w:pPr>
      <w:rPr>
        <w:rFonts w:hint="default"/>
        <w:lang w:val="en-US" w:eastAsia="en-US" w:bidi="ar-SA"/>
      </w:rPr>
    </w:lvl>
    <w:lvl w:ilvl="7">
      <w:start w:val="0"/>
      <w:numFmt w:val="bullet"/>
      <w:lvlText w:val="•"/>
      <w:lvlJc w:val="left"/>
      <w:pPr>
        <w:ind w:left="2215" w:hanging="360"/>
      </w:pPr>
      <w:rPr>
        <w:rFonts w:hint="default"/>
        <w:lang w:val="en-US" w:eastAsia="en-US" w:bidi="ar-SA"/>
      </w:rPr>
    </w:lvl>
    <w:lvl w:ilvl="8">
      <w:start w:val="0"/>
      <w:numFmt w:val="bullet"/>
      <w:lvlText w:val="•"/>
      <w:lvlJc w:val="left"/>
      <w:pPr>
        <w:ind w:left="2443" w:hanging="360"/>
      </w:pPr>
      <w:rPr>
        <w:rFonts w:hint="default"/>
        <w:lang w:val="en-US" w:eastAsia="en-US" w:bidi="ar-SA"/>
      </w:rPr>
    </w:lvl>
  </w:abstractNum>
  <w:abstractNum w:abstractNumId="87">
    <w:multiLevelType w:val="hybridMultilevel"/>
    <w:lvl w:ilvl="0">
      <w:start w:val="1"/>
      <w:numFmt w:val="lowerLetter"/>
      <w:lvlText w:val="(%1)"/>
      <w:lvlJc w:val="left"/>
      <w:pPr>
        <w:ind w:left="516"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701" w:hanging="360"/>
      </w:pPr>
      <w:rPr>
        <w:rFonts w:hint="default"/>
        <w:lang w:val="en-US" w:eastAsia="en-US" w:bidi="ar-SA"/>
      </w:rPr>
    </w:lvl>
    <w:lvl w:ilvl="2">
      <w:start w:val="0"/>
      <w:numFmt w:val="bullet"/>
      <w:lvlText w:val="•"/>
      <w:lvlJc w:val="left"/>
      <w:pPr>
        <w:ind w:left="883" w:hanging="360"/>
      </w:pPr>
      <w:rPr>
        <w:rFonts w:hint="default"/>
        <w:lang w:val="en-US" w:eastAsia="en-US" w:bidi="ar-SA"/>
      </w:rPr>
    </w:lvl>
    <w:lvl w:ilvl="3">
      <w:start w:val="0"/>
      <w:numFmt w:val="bullet"/>
      <w:lvlText w:val="•"/>
      <w:lvlJc w:val="left"/>
      <w:pPr>
        <w:ind w:left="1064" w:hanging="360"/>
      </w:pPr>
      <w:rPr>
        <w:rFonts w:hint="default"/>
        <w:lang w:val="en-US" w:eastAsia="en-US" w:bidi="ar-SA"/>
      </w:rPr>
    </w:lvl>
    <w:lvl w:ilvl="4">
      <w:start w:val="0"/>
      <w:numFmt w:val="bullet"/>
      <w:lvlText w:val="•"/>
      <w:lvlJc w:val="left"/>
      <w:pPr>
        <w:ind w:left="1246" w:hanging="360"/>
      </w:pPr>
      <w:rPr>
        <w:rFonts w:hint="default"/>
        <w:lang w:val="en-US" w:eastAsia="en-US" w:bidi="ar-SA"/>
      </w:rPr>
    </w:lvl>
    <w:lvl w:ilvl="5">
      <w:start w:val="0"/>
      <w:numFmt w:val="bullet"/>
      <w:lvlText w:val="•"/>
      <w:lvlJc w:val="left"/>
      <w:pPr>
        <w:ind w:left="1428" w:hanging="360"/>
      </w:pPr>
      <w:rPr>
        <w:rFonts w:hint="default"/>
        <w:lang w:val="en-US" w:eastAsia="en-US" w:bidi="ar-SA"/>
      </w:rPr>
    </w:lvl>
    <w:lvl w:ilvl="6">
      <w:start w:val="0"/>
      <w:numFmt w:val="bullet"/>
      <w:lvlText w:val="•"/>
      <w:lvlJc w:val="left"/>
      <w:pPr>
        <w:ind w:left="1609" w:hanging="360"/>
      </w:pPr>
      <w:rPr>
        <w:rFonts w:hint="default"/>
        <w:lang w:val="en-US" w:eastAsia="en-US" w:bidi="ar-SA"/>
      </w:rPr>
    </w:lvl>
    <w:lvl w:ilvl="7">
      <w:start w:val="0"/>
      <w:numFmt w:val="bullet"/>
      <w:lvlText w:val="•"/>
      <w:lvlJc w:val="left"/>
      <w:pPr>
        <w:ind w:left="1791" w:hanging="360"/>
      </w:pPr>
      <w:rPr>
        <w:rFonts w:hint="default"/>
        <w:lang w:val="en-US" w:eastAsia="en-US" w:bidi="ar-SA"/>
      </w:rPr>
    </w:lvl>
    <w:lvl w:ilvl="8">
      <w:start w:val="0"/>
      <w:numFmt w:val="bullet"/>
      <w:lvlText w:val="•"/>
      <w:lvlJc w:val="left"/>
      <w:pPr>
        <w:ind w:left="1972" w:hanging="360"/>
      </w:pPr>
      <w:rPr>
        <w:rFonts w:hint="default"/>
        <w:lang w:val="en-US" w:eastAsia="en-US" w:bidi="ar-SA"/>
      </w:rPr>
    </w:lvl>
  </w:abstractNum>
  <w:abstractNum w:abstractNumId="86">
    <w:multiLevelType w:val="hybridMultilevel"/>
    <w:lvl w:ilvl="0">
      <w:start w:val="5"/>
      <w:numFmt w:val="decimal"/>
      <w:lvlText w:val="%1"/>
      <w:lvlJc w:val="left"/>
      <w:pPr>
        <w:ind w:left="871" w:hanging="615"/>
        <w:jc w:val="left"/>
      </w:pPr>
      <w:rPr>
        <w:rFonts w:hint="default"/>
        <w:lang w:val="en-US" w:eastAsia="en-US" w:bidi="ar-SA"/>
      </w:rPr>
    </w:lvl>
    <w:lvl w:ilvl="1">
      <w:start w:val="3"/>
      <w:numFmt w:val="decimal"/>
      <w:lvlText w:val="%1.%2"/>
      <w:lvlJc w:val="left"/>
      <w:pPr>
        <w:ind w:left="871" w:hanging="615"/>
        <w:jc w:val="left"/>
      </w:pPr>
      <w:rPr>
        <w:rFonts w:hint="default"/>
        <w:lang w:val="en-US" w:eastAsia="en-US" w:bidi="ar-SA"/>
      </w:rPr>
    </w:lvl>
    <w:lvl w:ilvl="2">
      <w:start w:val="3"/>
      <w:numFmt w:val="decimal"/>
      <w:lvlText w:val="%1.%2.%3"/>
      <w:lvlJc w:val="left"/>
      <w:pPr>
        <w:ind w:left="871" w:hanging="615"/>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lowerLetter"/>
      <w:lvlText w:val="%4."/>
      <w:lvlJc w:val="left"/>
      <w:pPr>
        <w:ind w:left="960" w:hanging="332"/>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4120" w:hanging="332"/>
      </w:pPr>
      <w:rPr>
        <w:rFonts w:hint="default"/>
        <w:lang w:val="en-US" w:eastAsia="en-US" w:bidi="ar-SA"/>
      </w:rPr>
    </w:lvl>
    <w:lvl w:ilvl="5">
      <w:start w:val="0"/>
      <w:numFmt w:val="bullet"/>
      <w:lvlText w:val="•"/>
      <w:lvlJc w:val="left"/>
      <w:pPr>
        <w:ind w:left="5173" w:hanging="332"/>
      </w:pPr>
      <w:rPr>
        <w:rFonts w:hint="default"/>
        <w:lang w:val="en-US" w:eastAsia="en-US" w:bidi="ar-SA"/>
      </w:rPr>
    </w:lvl>
    <w:lvl w:ilvl="6">
      <w:start w:val="0"/>
      <w:numFmt w:val="bullet"/>
      <w:lvlText w:val="•"/>
      <w:lvlJc w:val="left"/>
      <w:pPr>
        <w:ind w:left="6226" w:hanging="332"/>
      </w:pPr>
      <w:rPr>
        <w:rFonts w:hint="default"/>
        <w:lang w:val="en-US" w:eastAsia="en-US" w:bidi="ar-SA"/>
      </w:rPr>
    </w:lvl>
    <w:lvl w:ilvl="7">
      <w:start w:val="0"/>
      <w:numFmt w:val="bullet"/>
      <w:lvlText w:val="•"/>
      <w:lvlJc w:val="left"/>
      <w:pPr>
        <w:ind w:left="7280" w:hanging="332"/>
      </w:pPr>
      <w:rPr>
        <w:rFonts w:hint="default"/>
        <w:lang w:val="en-US" w:eastAsia="en-US" w:bidi="ar-SA"/>
      </w:rPr>
    </w:lvl>
    <w:lvl w:ilvl="8">
      <w:start w:val="0"/>
      <w:numFmt w:val="bullet"/>
      <w:lvlText w:val="•"/>
      <w:lvlJc w:val="left"/>
      <w:pPr>
        <w:ind w:left="8333" w:hanging="332"/>
      </w:pPr>
      <w:rPr>
        <w:rFonts w:hint="default"/>
        <w:lang w:val="en-US" w:eastAsia="en-US" w:bidi="ar-SA"/>
      </w:rPr>
    </w:lvl>
  </w:abstractNum>
  <w:abstractNum w:abstractNumId="85">
    <w:multiLevelType w:val="hybridMultilevel"/>
    <w:lvl w:ilvl="0">
      <w:start w:val="1"/>
      <w:numFmt w:val="lowerLetter"/>
      <w:lvlText w:val="(%1)"/>
      <w:lvlJc w:val="left"/>
      <w:pPr>
        <w:ind w:left="581" w:hanging="360"/>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811" w:hanging="360"/>
      </w:pPr>
      <w:rPr>
        <w:rFonts w:hint="default"/>
        <w:lang w:val="en-US" w:eastAsia="en-US" w:bidi="ar-SA"/>
      </w:rPr>
    </w:lvl>
    <w:lvl w:ilvl="2">
      <w:start w:val="0"/>
      <w:numFmt w:val="bullet"/>
      <w:lvlText w:val="•"/>
      <w:lvlJc w:val="left"/>
      <w:pPr>
        <w:ind w:left="1042" w:hanging="360"/>
      </w:pPr>
      <w:rPr>
        <w:rFonts w:hint="default"/>
        <w:lang w:val="en-US" w:eastAsia="en-US" w:bidi="ar-SA"/>
      </w:rPr>
    </w:lvl>
    <w:lvl w:ilvl="3">
      <w:start w:val="0"/>
      <w:numFmt w:val="bullet"/>
      <w:lvlText w:val="•"/>
      <w:lvlJc w:val="left"/>
      <w:pPr>
        <w:ind w:left="1273" w:hanging="360"/>
      </w:pPr>
      <w:rPr>
        <w:rFonts w:hint="default"/>
        <w:lang w:val="en-US" w:eastAsia="en-US" w:bidi="ar-SA"/>
      </w:rPr>
    </w:lvl>
    <w:lvl w:ilvl="4">
      <w:start w:val="0"/>
      <w:numFmt w:val="bullet"/>
      <w:lvlText w:val="•"/>
      <w:lvlJc w:val="left"/>
      <w:pPr>
        <w:ind w:left="1505" w:hanging="360"/>
      </w:pPr>
      <w:rPr>
        <w:rFonts w:hint="default"/>
        <w:lang w:val="en-US" w:eastAsia="en-US" w:bidi="ar-SA"/>
      </w:rPr>
    </w:lvl>
    <w:lvl w:ilvl="5">
      <w:start w:val="0"/>
      <w:numFmt w:val="bullet"/>
      <w:lvlText w:val="•"/>
      <w:lvlJc w:val="left"/>
      <w:pPr>
        <w:ind w:left="1736" w:hanging="360"/>
      </w:pPr>
      <w:rPr>
        <w:rFonts w:hint="default"/>
        <w:lang w:val="en-US" w:eastAsia="en-US" w:bidi="ar-SA"/>
      </w:rPr>
    </w:lvl>
    <w:lvl w:ilvl="6">
      <w:start w:val="0"/>
      <w:numFmt w:val="bullet"/>
      <w:lvlText w:val="•"/>
      <w:lvlJc w:val="left"/>
      <w:pPr>
        <w:ind w:left="1967" w:hanging="360"/>
      </w:pPr>
      <w:rPr>
        <w:rFonts w:hint="default"/>
        <w:lang w:val="en-US" w:eastAsia="en-US" w:bidi="ar-SA"/>
      </w:rPr>
    </w:lvl>
    <w:lvl w:ilvl="7">
      <w:start w:val="0"/>
      <w:numFmt w:val="bullet"/>
      <w:lvlText w:val="•"/>
      <w:lvlJc w:val="left"/>
      <w:pPr>
        <w:ind w:left="2199" w:hanging="360"/>
      </w:pPr>
      <w:rPr>
        <w:rFonts w:hint="default"/>
        <w:lang w:val="en-US" w:eastAsia="en-US" w:bidi="ar-SA"/>
      </w:rPr>
    </w:lvl>
    <w:lvl w:ilvl="8">
      <w:start w:val="0"/>
      <w:numFmt w:val="bullet"/>
      <w:lvlText w:val="•"/>
      <w:lvlJc w:val="left"/>
      <w:pPr>
        <w:ind w:left="2430" w:hanging="360"/>
      </w:pPr>
      <w:rPr>
        <w:rFonts w:hint="default"/>
        <w:lang w:val="en-US" w:eastAsia="en-US" w:bidi="ar-SA"/>
      </w:rPr>
    </w:lvl>
  </w:abstractNum>
  <w:abstractNum w:abstractNumId="84">
    <w:multiLevelType w:val="hybridMultilevel"/>
    <w:lvl w:ilvl="0">
      <w:start w:val="1"/>
      <w:numFmt w:val="lowerLetter"/>
      <w:lvlText w:val="(%1)"/>
      <w:lvlJc w:val="left"/>
      <w:pPr>
        <w:ind w:left="581" w:hanging="360"/>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811" w:hanging="360"/>
      </w:pPr>
      <w:rPr>
        <w:rFonts w:hint="default"/>
        <w:lang w:val="en-US" w:eastAsia="en-US" w:bidi="ar-SA"/>
      </w:rPr>
    </w:lvl>
    <w:lvl w:ilvl="2">
      <w:start w:val="0"/>
      <w:numFmt w:val="bullet"/>
      <w:lvlText w:val="•"/>
      <w:lvlJc w:val="left"/>
      <w:pPr>
        <w:ind w:left="1042" w:hanging="360"/>
      </w:pPr>
      <w:rPr>
        <w:rFonts w:hint="default"/>
        <w:lang w:val="en-US" w:eastAsia="en-US" w:bidi="ar-SA"/>
      </w:rPr>
    </w:lvl>
    <w:lvl w:ilvl="3">
      <w:start w:val="0"/>
      <w:numFmt w:val="bullet"/>
      <w:lvlText w:val="•"/>
      <w:lvlJc w:val="left"/>
      <w:pPr>
        <w:ind w:left="1273" w:hanging="360"/>
      </w:pPr>
      <w:rPr>
        <w:rFonts w:hint="default"/>
        <w:lang w:val="en-US" w:eastAsia="en-US" w:bidi="ar-SA"/>
      </w:rPr>
    </w:lvl>
    <w:lvl w:ilvl="4">
      <w:start w:val="0"/>
      <w:numFmt w:val="bullet"/>
      <w:lvlText w:val="•"/>
      <w:lvlJc w:val="left"/>
      <w:pPr>
        <w:ind w:left="1505" w:hanging="360"/>
      </w:pPr>
      <w:rPr>
        <w:rFonts w:hint="default"/>
        <w:lang w:val="en-US" w:eastAsia="en-US" w:bidi="ar-SA"/>
      </w:rPr>
    </w:lvl>
    <w:lvl w:ilvl="5">
      <w:start w:val="0"/>
      <w:numFmt w:val="bullet"/>
      <w:lvlText w:val="•"/>
      <w:lvlJc w:val="left"/>
      <w:pPr>
        <w:ind w:left="1736" w:hanging="360"/>
      </w:pPr>
      <w:rPr>
        <w:rFonts w:hint="default"/>
        <w:lang w:val="en-US" w:eastAsia="en-US" w:bidi="ar-SA"/>
      </w:rPr>
    </w:lvl>
    <w:lvl w:ilvl="6">
      <w:start w:val="0"/>
      <w:numFmt w:val="bullet"/>
      <w:lvlText w:val="•"/>
      <w:lvlJc w:val="left"/>
      <w:pPr>
        <w:ind w:left="1967" w:hanging="360"/>
      </w:pPr>
      <w:rPr>
        <w:rFonts w:hint="default"/>
        <w:lang w:val="en-US" w:eastAsia="en-US" w:bidi="ar-SA"/>
      </w:rPr>
    </w:lvl>
    <w:lvl w:ilvl="7">
      <w:start w:val="0"/>
      <w:numFmt w:val="bullet"/>
      <w:lvlText w:val="•"/>
      <w:lvlJc w:val="left"/>
      <w:pPr>
        <w:ind w:left="2199" w:hanging="360"/>
      </w:pPr>
      <w:rPr>
        <w:rFonts w:hint="default"/>
        <w:lang w:val="en-US" w:eastAsia="en-US" w:bidi="ar-SA"/>
      </w:rPr>
    </w:lvl>
    <w:lvl w:ilvl="8">
      <w:start w:val="0"/>
      <w:numFmt w:val="bullet"/>
      <w:lvlText w:val="•"/>
      <w:lvlJc w:val="left"/>
      <w:pPr>
        <w:ind w:left="2430" w:hanging="360"/>
      </w:pPr>
      <w:rPr>
        <w:rFonts w:hint="default"/>
        <w:lang w:val="en-US" w:eastAsia="en-US" w:bidi="ar-SA"/>
      </w:rPr>
    </w:lvl>
  </w:abstractNum>
  <w:abstractNum w:abstractNumId="83">
    <w:multiLevelType w:val="hybridMultilevel"/>
    <w:lvl w:ilvl="0">
      <w:start w:val="1"/>
      <w:numFmt w:val="lowerLetter"/>
      <w:lvlText w:val="(%1)"/>
      <w:lvlJc w:val="left"/>
      <w:pPr>
        <w:ind w:left="581" w:hanging="360"/>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811" w:hanging="360"/>
      </w:pPr>
      <w:rPr>
        <w:rFonts w:hint="default"/>
        <w:lang w:val="en-US" w:eastAsia="en-US" w:bidi="ar-SA"/>
      </w:rPr>
    </w:lvl>
    <w:lvl w:ilvl="2">
      <w:start w:val="0"/>
      <w:numFmt w:val="bullet"/>
      <w:lvlText w:val="•"/>
      <w:lvlJc w:val="left"/>
      <w:pPr>
        <w:ind w:left="1042" w:hanging="360"/>
      </w:pPr>
      <w:rPr>
        <w:rFonts w:hint="default"/>
        <w:lang w:val="en-US" w:eastAsia="en-US" w:bidi="ar-SA"/>
      </w:rPr>
    </w:lvl>
    <w:lvl w:ilvl="3">
      <w:start w:val="0"/>
      <w:numFmt w:val="bullet"/>
      <w:lvlText w:val="•"/>
      <w:lvlJc w:val="left"/>
      <w:pPr>
        <w:ind w:left="1273" w:hanging="360"/>
      </w:pPr>
      <w:rPr>
        <w:rFonts w:hint="default"/>
        <w:lang w:val="en-US" w:eastAsia="en-US" w:bidi="ar-SA"/>
      </w:rPr>
    </w:lvl>
    <w:lvl w:ilvl="4">
      <w:start w:val="0"/>
      <w:numFmt w:val="bullet"/>
      <w:lvlText w:val="•"/>
      <w:lvlJc w:val="left"/>
      <w:pPr>
        <w:ind w:left="1505" w:hanging="360"/>
      </w:pPr>
      <w:rPr>
        <w:rFonts w:hint="default"/>
        <w:lang w:val="en-US" w:eastAsia="en-US" w:bidi="ar-SA"/>
      </w:rPr>
    </w:lvl>
    <w:lvl w:ilvl="5">
      <w:start w:val="0"/>
      <w:numFmt w:val="bullet"/>
      <w:lvlText w:val="•"/>
      <w:lvlJc w:val="left"/>
      <w:pPr>
        <w:ind w:left="1736" w:hanging="360"/>
      </w:pPr>
      <w:rPr>
        <w:rFonts w:hint="default"/>
        <w:lang w:val="en-US" w:eastAsia="en-US" w:bidi="ar-SA"/>
      </w:rPr>
    </w:lvl>
    <w:lvl w:ilvl="6">
      <w:start w:val="0"/>
      <w:numFmt w:val="bullet"/>
      <w:lvlText w:val="•"/>
      <w:lvlJc w:val="left"/>
      <w:pPr>
        <w:ind w:left="1967" w:hanging="360"/>
      </w:pPr>
      <w:rPr>
        <w:rFonts w:hint="default"/>
        <w:lang w:val="en-US" w:eastAsia="en-US" w:bidi="ar-SA"/>
      </w:rPr>
    </w:lvl>
    <w:lvl w:ilvl="7">
      <w:start w:val="0"/>
      <w:numFmt w:val="bullet"/>
      <w:lvlText w:val="•"/>
      <w:lvlJc w:val="left"/>
      <w:pPr>
        <w:ind w:left="2199" w:hanging="360"/>
      </w:pPr>
      <w:rPr>
        <w:rFonts w:hint="default"/>
        <w:lang w:val="en-US" w:eastAsia="en-US" w:bidi="ar-SA"/>
      </w:rPr>
    </w:lvl>
    <w:lvl w:ilvl="8">
      <w:start w:val="0"/>
      <w:numFmt w:val="bullet"/>
      <w:lvlText w:val="•"/>
      <w:lvlJc w:val="left"/>
      <w:pPr>
        <w:ind w:left="2430" w:hanging="360"/>
      </w:pPr>
      <w:rPr>
        <w:rFonts w:hint="default"/>
        <w:lang w:val="en-US" w:eastAsia="en-US" w:bidi="ar-SA"/>
      </w:rPr>
    </w:lvl>
  </w:abstractNum>
  <w:abstractNum w:abstractNumId="82">
    <w:multiLevelType w:val="hybridMultilevel"/>
    <w:lvl w:ilvl="0">
      <w:start w:val="1"/>
      <w:numFmt w:val="lowerLetter"/>
      <w:lvlText w:val="(%1)"/>
      <w:lvlJc w:val="left"/>
      <w:pPr>
        <w:ind w:left="581" w:hanging="360"/>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811" w:hanging="360"/>
      </w:pPr>
      <w:rPr>
        <w:rFonts w:hint="default"/>
        <w:lang w:val="en-US" w:eastAsia="en-US" w:bidi="ar-SA"/>
      </w:rPr>
    </w:lvl>
    <w:lvl w:ilvl="2">
      <w:start w:val="0"/>
      <w:numFmt w:val="bullet"/>
      <w:lvlText w:val="•"/>
      <w:lvlJc w:val="left"/>
      <w:pPr>
        <w:ind w:left="1042" w:hanging="360"/>
      </w:pPr>
      <w:rPr>
        <w:rFonts w:hint="default"/>
        <w:lang w:val="en-US" w:eastAsia="en-US" w:bidi="ar-SA"/>
      </w:rPr>
    </w:lvl>
    <w:lvl w:ilvl="3">
      <w:start w:val="0"/>
      <w:numFmt w:val="bullet"/>
      <w:lvlText w:val="•"/>
      <w:lvlJc w:val="left"/>
      <w:pPr>
        <w:ind w:left="1273" w:hanging="360"/>
      </w:pPr>
      <w:rPr>
        <w:rFonts w:hint="default"/>
        <w:lang w:val="en-US" w:eastAsia="en-US" w:bidi="ar-SA"/>
      </w:rPr>
    </w:lvl>
    <w:lvl w:ilvl="4">
      <w:start w:val="0"/>
      <w:numFmt w:val="bullet"/>
      <w:lvlText w:val="•"/>
      <w:lvlJc w:val="left"/>
      <w:pPr>
        <w:ind w:left="1505" w:hanging="360"/>
      </w:pPr>
      <w:rPr>
        <w:rFonts w:hint="default"/>
        <w:lang w:val="en-US" w:eastAsia="en-US" w:bidi="ar-SA"/>
      </w:rPr>
    </w:lvl>
    <w:lvl w:ilvl="5">
      <w:start w:val="0"/>
      <w:numFmt w:val="bullet"/>
      <w:lvlText w:val="•"/>
      <w:lvlJc w:val="left"/>
      <w:pPr>
        <w:ind w:left="1736" w:hanging="360"/>
      </w:pPr>
      <w:rPr>
        <w:rFonts w:hint="default"/>
        <w:lang w:val="en-US" w:eastAsia="en-US" w:bidi="ar-SA"/>
      </w:rPr>
    </w:lvl>
    <w:lvl w:ilvl="6">
      <w:start w:val="0"/>
      <w:numFmt w:val="bullet"/>
      <w:lvlText w:val="•"/>
      <w:lvlJc w:val="left"/>
      <w:pPr>
        <w:ind w:left="1967" w:hanging="360"/>
      </w:pPr>
      <w:rPr>
        <w:rFonts w:hint="default"/>
        <w:lang w:val="en-US" w:eastAsia="en-US" w:bidi="ar-SA"/>
      </w:rPr>
    </w:lvl>
    <w:lvl w:ilvl="7">
      <w:start w:val="0"/>
      <w:numFmt w:val="bullet"/>
      <w:lvlText w:val="•"/>
      <w:lvlJc w:val="left"/>
      <w:pPr>
        <w:ind w:left="2199" w:hanging="360"/>
      </w:pPr>
      <w:rPr>
        <w:rFonts w:hint="default"/>
        <w:lang w:val="en-US" w:eastAsia="en-US" w:bidi="ar-SA"/>
      </w:rPr>
    </w:lvl>
    <w:lvl w:ilvl="8">
      <w:start w:val="0"/>
      <w:numFmt w:val="bullet"/>
      <w:lvlText w:val="•"/>
      <w:lvlJc w:val="left"/>
      <w:pPr>
        <w:ind w:left="2430" w:hanging="360"/>
      </w:pPr>
      <w:rPr>
        <w:rFonts w:hint="default"/>
        <w:lang w:val="en-US" w:eastAsia="en-US" w:bidi="ar-SA"/>
      </w:rPr>
    </w:lvl>
  </w:abstractNum>
  <w:abstractNum w:abstractNumId="81">
    <w:multiLevelType w:val="hybridMultilevel"/>
    <w:lvl w:ilvl="0">
      <w:start w:val="1"/>
      <w:numFmt w:val="lowerRoman"/>
      <w:lvlText w:val="%1."/>
      <w:lvlJc w:val="left"/>
      <w:pPr>
        <w:ind w:left="691" w:hanging="452"/>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674" w:hanging="452"/>
      </w:pPr>
      <w:rPr>
        <w:rFonts w:hint="default"/>
        <w:lang w:val="en-US" w:eastAsia="en-US" w:bidi="ar-SA"/>
      </w:rPr>
    </w:lvl>
    <w:lvl w:ilvl="2">
      <w:start w:val="0"/>
      <w:numFmt w:val="bullet"/>
      <w:lvlText w:val="•"/>
      <w:lvlJc w:val="left"/>
      <w:pPr>
        <w:ind w:left="2648" w:hanging="452"/>
      </w:pPr>
      <w:rPr>
        <w:rFonts w:hint="default"/>
        <w:lang w:val="en-US" w:eastAsia="en-US" w:bidi="ar-SA"/>
      </w:rPr>
    </w:lvl>
    <w:lvl w:ilvl="3">
      <w:start w:val="0"/>
      <w:numFmt w:val="bullet"/>
      <w:lvlText w:val="•"/>
      <w:lvlJc w:val="left"/>
      <w:pPr>
        <w:ind w:left="3622" w:hanging="452"/>
      </w:pPr>
      <w:rPr>
        <w:rFonts w:hint="default"/>
        <w:lang w:val="en-US" w:eastAsia="en-US" w:bidi="ar-SA"/>
      </w:rPr>
    </w:lvl>
    <w:lvl w:ilvl="4">
      <w:start w:val="0"/>
      <w:numFmt w:val="bullet"/>
      <w:lvlText w:val="•"/>
      <w:lvlJc w:val="left"/>
      <w:pPr>
        <w:ind w:left="4596" w:hanging="452"/>
      </w:pPr>
      <w:rPr>
        <w:rFonts w:hint="default"/>
        <w:lang w:val="en-US" w:eastAsia="en-US" w:bidi="ar-SA"/>
      </w:rPr>
    </w:lvl>
    <w:lvl w:ilvl="5">
      <w:start w:val="0"/>
      <w:numFmt w:val="bullet"/>
      <w:lvlText w:val="•"/>
      <w:lvlJc w:val="left"/>
      <w:pPr>
        <w:ind w:left="5570" w:hanging="452"/>
      </w:pPr>
      <w:rPr>
        <w:rFonts w:hint="default"/>
        <w:lang w:val="en-US" w:eastAsia="en-US" w:bidi="ar-SA"/>
      </w:rPr>
    </w:lvl>
    <w:lvl w:ilvl="6">
      <w:start w:val="0"/>
      <w:numFmt w:val="bullet"/>
      <w:lvlText w:val="•"/>
      <w:lvlJc w:val="left"/>
      <w:pPr>
        <w:ind w:left="6544" w:hanging="452"/>
      </w:pPr>
      <w:rPr>
        <w:rFonts w:hint="default"/>
        <w:lang w:val="en-US" w:eastAsia="en-US" w:bidi="ar-SA"/>
      </w:rPr>
    </w:lvl>
    <w:lvl w:ilvl="7">
      <w:start w:val="0"/>
      <w:numFmt w:val="bullet"/>
      <w:lvlText w:val="•"/>
      <w:lvlJc w:val="left"/>
      <w:pPr>
        <w:ind w:left="7518" w:hanging="452"/>
      </w:pPr>
      <w:rPr>
        <w:rFonts w:hint="default"/>
        <w:lang w:val="en-US" w:eastAsia="en-US" w:bidi="ar-SA"/>
      </w:rPr>
    </w:lvl>
    <w:lvl w:ilvl="8">
      <w:start w:val="0"/>
      <w:numFmt w:val="bullet"/>
      <w:lvlText w:val="•"/>
      <w:lvlJc w:val="left"/>
      <w:pPr>
        <w:ind w:left="8492" w:hanging="452"/>
      </w:pPr>
      <w:rPr>
        <w:rFonts w:hint="default"/>
        <w:lang w:val="en-US" w:eastAsia="en-US" w:bidi="ar-SA"/>
      </w:rPr>
    </w:lvl>
  </w:abstractNum>
  <w:abstractNum w:abstractNumId="80">
    <w:multiLevelType w:val="hybridMultilevel"/>
    <w:lvl w:ilvl="0">
      <w:start w:val="5"/>
      <w:numFmt w:val="decimal"/>
      <w:lvlText w:val="%1"/>
      <w:lvlJc w:val="left"/>
      <w:pPr>
        <w:ind w:left="780" w:hanging="454"/>
        <w:jc w:val="left"/>
      </w:pPr>
      <w:rPr>
        <w:rFonts w:hint="default"/>
        <w:lang w:val="en-US" w:eastAsia="en-US" w:bidi="ar-SA"/>
      </w:rPr>
    </w:lvl>
    <w:lvl w:ilvl="1">
      <w:start w:val="2"/>
      <w:numFmt w:val="decimal"/>
      <w:lvlText w:val="%1.%2."/>
      <w:lvlJc w:val="left"/>
      <w:pPr>
        <w:ind w:left="780" w:hanging="454"/>
        <w:jc w:val="right"/>
      </w:pPr>
      <w:rPr>
        <w:rFonts w:hint="default" w:ascii="Times New Roman" w:hAnsi="Times New Roman" w:eastAsia="Times New Roman" w:cs="Times New Roman"/>
        <w:b/>
        <w:bCs/>
        <w:i w:val="0"/>
        <w:iCs w:val="0"/>
        <w:spacing w:val="0"/>
        <w:w w:val="99"/>
        <w:sz w:val="26"/>
        <w:szCs w:val="26"/>
        <w:lang w:val="en-US" w:eastAsia="en-US" w:bidi="ar-SA"/>
      </w:rPr>
    </w:lvl>
    <w:lvl w:ilvl="2">
      <w:start w:val="1"/>
      <w:numFmt w:val="decimal"/>
      <w:lvlText w:val="%1.%2.%3"/>
      <w:lvlJc w:val="left"/>
      <w:pPr>
        <w:ind w:left="120" w:hanging="713"/>
        <w:jc w:val="left"/>
      </w:pPr>
      <w:rPr>
        <w:rFonts w:hint="default"/>
        <w:spacing w:val="0"/>
        <w:w w:val="99"/>
        <w:lang w:val="en-US" w:eastAsia="en-US" w:bidi="ar-SA"/>
      </w:rPr>
    </w:lvl>
    <w:lvl w:ilvl="3">
      <w:start w:val="1"/>
      <w:numFmt w:val="lowerLetter"/>
      <w:lvlText w:val="%4."/>
      <w:lvlJc w:val="left"/>
      <w:pPr>
        <w:ind w:left="780" w:hanging="713"/>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2297" w:hanging="713"/>
      </w:pPr>
      <w:rPr>
        <w:rFonts w:hint="default"/>
        <w:lang w:val="en-US" w:eastAsia="en-US" w:bidi="ar-SA"/>
      </w:rPr>
    </w:lvl>
    <w:lvl w:ilvl="5">
      <w:start w:val="0"/>
      <w:numFmt w:val="bullet"/>
      <w:lvlText w:val="•"/>
      <w:lvlJc w:val="left"/>
      <w:pPr>
        <w:ind w:left="3634" w:hanging="713"/>
      </w:pPr>
      <w:rPr>
        <w:rFonts w:hint="default"/>
        <w:lang w:val="en-US" w:eastAsia="en-US" w:bidi="ar-SA"/>
      </w:rPr>
    </w:lvl>
    <w:lvl w:ilvl="6">
      <w:start w:val="0"/>
      <w:numFmt w:val="bullet"/>
      <w:lvlText w:val="•"/>
      <w:lvlJc w:val="left"/>
      <w:pPr>
        <w:ind w:left="4971" w:hanging="713"/>
      </w:pPr>
      <w:rPr>
        <w:rFonts w:hint="default"/>
        <w:lang w:val="en-US" w:eastAsia="en-US" w:bidi="ar-SA"/>
      </w:rPr>
    </w:lvl>
    <w:lvl w:ilvl="7">
      <w:start w:val="0"/>
      <w:numFmt w:val="bullet"/>
      <w:lvlText w:val="•"/>
      <w:lvlJc w:val="left"/>
      <w:pPr>
        <w:ind w:left="6308" w:hanging="713"/>
      </w:pPr>
      <w:rPr>
        <w:rFonts w:hint="default"/>
        <w:lang w:val="en-US" w:eastAsia="en-US" w:bidi="ar-SA"/>
      </w:rPr>
    </w:lvl>
    <w:lvl w:ilvl="8">
      <w:start w:val="0"/>
      <w:numFmt w:val="bullet"/>
      <w:lvlText w:val="•"/>
      <w:lvlJc w:val="left"/>
      <w:pPr>
        <w:ind w:left="7645" w:hanging="713"/>
      </w:pPr>
      <w:rPr>
        <w:rFonts w:hint="default"/>
        <w:lang w:val="en-US" w:eastAsia="en-US" w:bidi="ar-SA"/>
      </w:rPr>
    </w:lvl>
  </w:abstractNum>
  <w:abstractNum w:abstractNumId="79">
    <w:multiLevelType w:val="hybridMultilevel"/>
    <w:lvl w:ilvl="0">
      <w:start w:val="5"/>
      <w:numFmt w:val="decimal"/>
      <w:lvlText w:val="%1"/>
      <w:lvlJc w:val="left"/>
      <w:pPr>
        <w:ind w:left="629" w:hanging="389"/>
        <w:jc w:val="left"/>
      </w:pPr>
      <w:rPr>
        <w:rFonts w:hint="default"/>
        <w:lang w:val="en-US" w:eastAsia="en-US" w:bidi="ar-SA"/>
      </w:rPr>
    </w:lvl>
    <w:lvl w:ilvl="1">
      <w:start w:val="1"/>
      <w:numFmt w:val="decimal"/>
      <w:lvlText w:val="%1.%2"/>
      <w:lvlJc w:val="left"/>
      <w:pPr>
        <w:ind w:left="629" w:hanging="389"/>
        <w:jc w:val="left"/>
      </w:pPr>
      <w:rPr>
        <w:rFonts w:hint="default" w:ascii="Times New Roman" w:hAnsi="Times New Roman" w:eastAsia="Times New Roman" w:cs="Times New Roman"/>
        <w:b/>
        <w:bCs/>
        <w:i w:val="0"/>
        <w:iCs w:val="0"/>
        <w:spacing w:val="0"/>
        <w:w w:val="99"/>
        <w:sz w:val="26"/>
        <w:szCs w:val="26"/>
        <w:lang w:val="en-US" w:eastAsia="en-US" w:bidi="ar-SA"/>
      </w:rPr>
    </w:lvl>
    <w:lvl w:ilvl="2">
      <w:start w:val="1"/>
      <w:numFmt w:val="decimal"/>
      <w:lvlText w:val="%1.%2.%3"/>
      <w:lvlJc w:val="left"/>
      <w:pPr>
        <w:ind w:left="96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066" w:hanging="720"/>
      </w:pPr>
      <w:rPr>
        <w:rFonts w:hint="default"/>
        <w:lang w:val="en-US" w:eastAsia="en-US" w:bidi="ar-SA"/>
      </w:rPr>
    </w:lvl>
    <w:lvl w:ilvl="4">
      <w:start w:val="0"/>
      <w:numFmt w:val="bullet"/>
      <w:lvlText w:val="•"/>
      <w:lvlJc w:val="left"/>
      <w:pPr>
        <w:ind w:left="4120" w:hanging="720"/>
      </w:pPr>
      <w:rPr>
        <w:rFonts w:hint="default"/>
        <w:lang w:val="en-US" w:eastAsia="en-US" w:bidi="ar-SA"/>
      </w:rPr>
    </w:lvl>
    <w:lvl w:ilvl="5">
      <w:start w:val="0"/>
      <w:numFmt w:val="bullet"/>
      <w:lvlText w:val="•"/>
      <w:lvlJc w:val="left"/>
      <w:pPr>
        <w:ind w:left="5173" w:hanging="720"/>
      </w:pPr>
      <w:rPr>
        <w:rFonts w:hint="default"/>
        <w:lang w:val="en-US" w:eastAsia="en-US" w:bidi="ar-SA"/>
      </w:rPr>
    </w:lvl>
    <w:lvl w:ilvl="6">
      <w:start w:val="0"/>
      <w:numFmt w:val="bullet"/>
      <w:lvlText w:val="•"/>
      <w:lvlJc w:val="left"/>
      <w:pPr>
        <w:ind w:left="6226" w:hanging="720"/>
      </w:pPr>
      <w:rPr>
        <w:rFonts w:hint="default"/>
        <w:lang w:val="en-US" w:eastAsia="en-US" w:bidi="ar-SA"/>
      </w:rPr>
    </w:lvl>
    <w:lvl w:ilvl="7">
      <w:start w:val="0"/>
      <w:numFmt w:val="bullet"/>
      <w:lvlText w:val="•"/>
      <w:lvlJc w:val="left"/>
      <w:pPr>
        <w:ind w:left="7280" w:hanging="720"/>
      </w:pPr>
      <w:rPr>
        <w:rFonts w:hint="default"/>
        <w:lang w:val="en-US" w:eastAsia="en-US" w:bidi="ar-SA"/>
      </w:rPr>
    </w:lvl>
    <w:lvl w:ilvl="8">
      <w:start w:val="0"/>
      <w:numFmt w:val="bullet"/>
      <w:lvlText w:val="•"/>
      <w:lvlJc w:val="left"/>
      <w:pPr>
        <w:ind w:left="8333" w:hanging="720"/>
      </w:pPr>
      <w:rPr>
        <w:rFonts w:hint="default"/>
        <w:lang w:val="en-US" w:eastAsia="en-US" w:bidi="ar-SA"/>
      </w:rPr>
    </w:lvl>
  </w:abstractNum>
  <w:abstractNum w:abstractNumId="78">
    <w:multiLevelType w:val="hybridMultilevel"/>
    <w:lvl w:ilvl="0">
      <w:start w:val="5"/>
      <w:numFmt w:val="lowerLetter"/>
      <w:lvlText w:val="(%1)"/>
      <w:lvlJc w:val="left"/>
      <w:pPr>
        <w:ind w:left="240" w:hanging="370"/>
        <w:jc w:val="left"/>
      </w:pPr>
      <w:rPr>
        <w:rFonts w:hint="default" w:ascii="Times New Roman" w:hAnsi="Times New Roman" w:eastAsia="Times New Roman" w:cs="Times New Roman"/>
        <w:b/>
        <w:bCs/>
        <w:i w:val="0"/>
        <w:iCs w:val="0"/>
        <w:spacing w:val="-2"/>
        <w:w w:val="100"/>
        <w:sz w:val="24"/>
        <w:szCs w:val="24"/>
        <w:lang w:val="en-US" w:eastAsia="en-US" w:bidi="ar-SA"/>
      </w:rPr>
    </w:lvl>
    <w:lvl w:ilvl="1">
      <w:start w:val="0"/>
      <w:numFmt w:val="bullet"/>
      <w:lvlText w:val=""/>
      <w:lvlJc w:val="left"/>
      <w:pPr>
        <w:ind w:left="960"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013" w:hanging="360"/>
      </w:pPr>
      <w:rPr>
        <w:rFonts w:hint="default"/>
        <w:lang w:val="en-US" w:eastAsia="en-US" w:bidi="ar-SA"/>
      </w:rPr>
    </w:lvl>
    <w:lvl w:ilvl="3">
      <w:start w:val="0"/>
      <w:numFmt w:val="bullet"/>
      <w:lvlText w:val="•"/>
      <w:lvlJc w:val="left"/>
      <w:pPr>
        <w:ind w:left="3066" w:hanging="360"/>
      </w:pPr>
      <w:rPr>
        <w:rFonts w:hint="default"/>
        <w:lang w:val="en-US" w:eastAsia="en-US" w:bidi="ar-SA"/>
      </w:rPr>
    </w:lvl>
    <w:lvl w:ilvl="4">
      <w:start w:val="0"/>
      <w:numFmt w:val="bullet"/>
      <w:lvlText w:val="•"/>
      <w:lvlJc w:val="left"/>
      <w:pPr>
        <w:ind w:left="4120" w:hanging="360"/>
      </w:pPr>
      <w:rPr>
        <w:rFonts w:hint="default"/>
        <w:lang w:val="en-US" w:eastAsia="en-US" w:bidi="ar-SA"/>
      </w:rPr>
    </w:lvl>
    <w:lvl w:ilvl="5">
      <w:start w:val="0"/>
      <w:numFmt w:val="bullet"/>
      <w:lvlText w:val="•"/>
      <w:lvlJc w:val="left"/>
      <w:pPr>
        <w:ind w:left="5173" w:hanging="360"/>
      </w:pPr>
      <w:rPr>
        <w:rFonts w:hint="default"/>
        <w:lang w:val="en-US" w:eastAsia="en-US" w:bidi="ar-SA"/>
      </w:rPr>
    </w:lvl>
    <w:lvl w:ilvl="6">
      <w:start w:val="0"/>
      <w:numFmt w:val="bullet"/>
      <w:lvlText w:val="•"/>
      <w:lvlJc w:val="left"/>
      <w:pPr>
        <w:ind w:left="6226" w:hanging="360"/>
      </w:pPr>
      <w:rPr>
        <w:rFonts w:hint="default"/>
        <w:lang w:val="en-US" w:eastAsia="en-US" w:bidi="ar-SA"/>
      </w:rPr>
    </w:lvl>
    <w:lvl w:ilvl="7">
      <w:start w:val="0"/>
      <w:numFmt w:val="bullet"/>
      <w:lvlText w:val="•"/>
      <w:lvlJc w:val="left"/>
      <w:pPr>
        <w:ind w:left="7280" w:hanging="360"/>
      </w:pPr>
      <w:rPr>
        <w:rFonts w:hint="default"/>
        <w:lang w:val="en-US" w:eastAsia="en-US" w:bidi="ar-SA"/>
      </w:rPr>
    </w:lvl>
    <w:lvl w:ilvl="8">
      <w:start w:val="0"/>
      <w:numFmt w:val="bullet"/>
      <w:lvlText w:val="•"/>
      <w:lvlJc w:val="left"/>
      <w:pPr>
        <w:ind w:left="8333" w:hanging="360"/>
      </w:pPr>
      <w:rPr>
        <w:rFonts w:hint="default"/>
        <w:lang w:val="en-US" w:eastAsia="en-US" w:bidi="ar-SA"/>
      </w:rPr>
    </w:lvl>
  </w:abstractNum>
  <w:abstractNum w:abstractNumId="77">
    <w:multiLevelType w:val="hybridMultilevel"/>
    <w:lvl w:ilvl="0">
      <w:start w:val="1"/>
      <w:numFmt w:val="lowerLetter"/>
      <w:lvlText w:val="(%1)"/>
      <w:lvlJc w:val="left"/>
      <w:pPr>
        <w:ind w:left="240" w:hanging="389"/>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260" w:hanging="389"/>
      </w:pPr>
      <w:rPr>
        <w:rFonts w:hint="default"/>
        <w:lang w:val="en-US" w:eastAsia="en-US" w:bidi="ar-SA"/>
      </w:rPr>
    </w:lvl>
    <w:lvl w:ilvl="2">
      <w:start w:val="0"/>
      <w:numFmt w:val="bullet"/>
      <w:lvlText w:val="•"/>
      <w:lvlJc w:val="left"/>
      <w:pPr>
        <w:ind w:left="2280" w:hanging="389"/>
      </w:pPr>
      <w:rPr>
        <w:rFonts w:hint="default"/>
        <w:lang w:val="en-US" w:eastAsia="en-US" w:bidi="ar-SA"/>
      </w:rPr>
    </w:lvl>
    <w:lvl w:ilvl="3">
      <w:start w:val="0"/>
      <w:numFmt w:val="bullet"/>
      <w:lvlText w:val="•"/>
      <w:lvlJc w:val="left"/>
      <w:pPr>
        <w:ind w:left="3300" w:hanging="389"/>
      </w:pPr>
      <w:rPr>
        <w:rFonts w:hint="default"/>
        <w:lang w:val="en-US" w:eastAsia="en-US" w:bidi="ar-SA"/>
      </w:rPr>
    </w:lvl>
    <w:lvl w:ilvl="4">
      <w:start w:val="0"/>
      <w:numFmt w:val="bullet"/>
      <w:lvlText w:val="•"/>
      <w:lvlJc w:val="left"/>
      <w:pPr>
        <w:ind w:left="4320" w:hanging="389"/>
      </w:pPr>
      <w:rPr>
        <w:rFonts w:hint="default"/>
        <w:lang w:val="en-US" w:eastAsia="en-US" w:bidi="ar-SA"/>
      </w:rPr>
    </w:lvl>
    <w:lvl w:ilvl="5">
      <w:start w:val="0"/>
      <w:numFmt w:val="bullet"/>
      <w:lvlText w:val="•"/>
      <w:lvlJc w:val="left"/>
      <w:pPr>
        <w:ind w:left="5340" w:hanging="389"/>
      </w:pPr>
      <w:rPr>
        <w:rFonts w:hint="default"/>
        <w:lang w:val="en-US" w:eastAsia="en-US" w:bidi="ar-SA"/>
      </w:rPr>
    </w:lvl>
    <w:lvl w:ilvl="6">
      <w:start w:val="0"/>
      <w:numFmt w:val="bullet"/>
      <w:lvlText w:val="•"/>
      <w:lvlJc w:val="left"/>
      <w:pPr>
        <w:ind w:left="6360" w:hanging="389"/>
      </w:pPr>
      <w:rPr>
        <w:rFonts w:hint="default"/>
        <w:lang w:val="en-US" w:eastAsia="en-US" w:bidi="ar-SA"/>
      </w:rPr>
    </w:lvl>
    <w:lvl w:ilvl="7">
      <w:start w:val="0"/>
      <w:numFmt w:val="bullet"/>
      <w:lvlText w:val="•"/>
      <w:lvlJc w:val="left"/>
      <w:pPr>
        <w:ind w:left="7380" w:hanging="389"/>
      </w:pPr>
      <w:rPr>
        <w:rFonts w:hint="default"/>
        <w:lang w:val="en-US" w:eastAsia="en-US" w:bidi="ar-SA"/>
      </w:rPr>
    </w:lvl>
    <w:lvl w:ilvl="8">
      <w:start w:val="0"/>
      <w:numFmt w:val="bullet"/>
      <w:lvlText w:val="•"/>
      <w:lvlJc w:val="left"/>
      <w:pPr>
        <w:ind w:left="8400" w:hanging="389"/>
      </w:pPr>
      <w:rPr>
        <w:rFonts w:hint="default"/>
        <w:lang w:val="en-US" w:eastAsia="en-US" w:bidi="ar-SA"/>
      </w:rPr>
    </w:lvl>
  </w:abstractNum>
  <w:abstractNum w:abstractNumId="76">
    <w:multiLevelType w:val="hybridMultilevel"/>
    <w:lvl w:ilvl="0">
      <w:start w:val="4"/>
      <w:numFmt w:val="decimal"/>
      <w:lvlText w:val="%1"/>
      <w:lvlJc w:val="left"/>
      <w:pPr>
        <w:ind w:left="629" w:hanging="389"/>
        <w:jc w:val="left"/>
      </w:pPr>
      <w:rPr>
        <w:rFonts w:hint="default"/>
        <w:lang w:val="en-US" w:eastAsia="en-US" w:bidi="ar-SA"/>
      </w:rPr>
    </w:lvl>
    <w:lvl w:ilvl="1">
      <w:start w:val="1"/>
      <w:numFmt w:val="decimal"/>
      <w:lvlText w:val="%1.%2"/>
      <w:lvlJc w:val="left"/>
      <w:pPr>
        <w:ind w:left="629" w:hanging="389"/>
        <w:jc w:val="left"/>
      </w:pPr>
      <w:rPr>
        <w:rFonts w:hint="default"/>
        <w:spacing w:val="0"/>
        <w:w w:val="92"/>
        <w:lang w:val="en-US" w:eastAsia="en-US" w:bidi="ar-SA"/>
      </w:rPr>
    </w:lvl>
    <w:lvl w:ilvl="2">
      <w:start w:val="1"/>
      <w:numFmt w:val="decimal"/>
      <w:lvlText w:val="%1.%2.%3"/>
      <w:lvlJc w:val="left"/>
      <w:pPr>
        <w:ind w:left="96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lowerLetter"/>
      <w:lvlText w:val="%4)"/>
      <w:lvlJc w:val="left"/>
      <w:pPr>
        <w:ind w:left="9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4">
      <w:start w:val="0"/>
      <w:numFmt w:val="bullet"/>
      <w:lvlText w:val="•"/>
      <w:lvlJc w:val="left"/>
      <w:pPr>
        <w:ind w:left="1240" w:hanging="360"/>
      </w:pPr>
      <w:rPr>
        <w:rFonts w:hint="default"/>
        <w:lang w:val="en-US" w:eastAsia="en-US" w:bidi="ar-SA"/>
      </w:rPr>
    </w:lvl>
    <w:lvl w:ilvl="5">
      <w:start w:val="0"/>
      <w:numFmt w:val="bullet"/>
      <w:lvlText w:val="•"/>
      <w:lvlJc w:val="left"/>
      <w:pPr>
        <w:ind w:left="1381" w:hanging="360"/>
      </w:pPr>
      <w:rPr>
        <w:rFonts w:hint="default"/>
        <w:lang w:val="en-US" w:eastAsia="en-US" w:bidi="ar-SA"/>
      </w:rPr>
    </w:lvl>
    <w:lvl w:ilvl="6">
      <w:start w:val="0"/>
      <w:numFmt w:val="bullet"/>
      <w:lvlText w:val="•"/>
      <w:lvlJc w:val="left"/>
      <w:pPr>
        <w:ind w:left="1521" w:hanging="360"/>
      </w:pPr>
      <w:rPr>
        <w:rFonts w:hint="default"/>
        <w:lang w:val="en-US" w:eastAsia="en-US" w:bidi="ar-SA"/>
      </w:rPr>
    </w:lvl>
    <w:lvl w:ilvl="7">
      <w:start w:val="0"/>
      <w:numFmt w:val="bullet"/>
      <w:lvlText w:val="•"/>
      <w:lvlJc w:val="left"/>
      <w:pPr>
        <w:ind w:left="1661" w:hanging="360"/>
      </w:pPr>
      <w:rPr>
        <w:rFonts w:hint="default"/>
        <w:lang w:val="en-US" w:eastAsia="en-US" w:bidi="ar-SA"/>
      </w:rPr>
    </w:lvl>
    <w:lvl w:ilvl="8">
      <w:start w:val="0"/>
      <w:numFmt w:val="bullet"/>
      <w:lvlText w:val="•"/>
      <w:lvlJc w:val="left"/>
      <w:pPr>
        <w:ind w:left="1802" w:hanging="360"/>
      </w:pPr>
      <w:rPr>
        <w:rFonts w:hint="default"/>
        <w:lang w:val="en-US" w:eastAsia="en-US" w:bidi="ar-SA"/>
      </w:rPr>
    </w:lvl>
  </w:abstractNum>
  <w:abstractNum w:abstractNumId="75">
    <w:multiLevelType w:val="hybridMultilevel"/>
    <w:lvl w:ilvl="0">
      <w:start w:val="1"/>
      <w:numFmt w:val="lowerLetter"/>
      <w:lvlText w:val="(%1)"/>
      <w:lvlJc w:val="left"/>
      <w:pPr>
        <w:ind w:left="240" w:hanging="375"/>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1">
      <w:start w:val="0"/>
      <w:numFmt w:val="bullet"/>
      <w:lvlText w:val="•"/>
      <w:lvlJc w:val="left"/>
      <w:pPr>
        <w:ind w:left="1260" w:hanging="375"/>
      </w:pPr>
      <w:rPr>
        <w:rFonts w:hint="default"/>
        <w:lang w:val="en-US" w:eastAsia="en-US" w:bidi="ar-SA"/>
      </w:rPr>
    </w:lvl>
    <w:lvl w:ilvl="2">
      <w:start w:val="0"/>
      <w:numFmt w:val="bullet"/>
      <w:lvlText w:val="•"/>
      <w:lvlJc w:val="left"/>
      <w:pPr>
        <w:ind w:left="2280" w:hanging="375"/>
      </w:pPr>
      <w:rPr>
        <w:rFonts w:hint="default"/>
        <w:lang w:val="en-US" w:eastAsia="en-US" w:bidi="ar-SA"/>
      </w:rPr>
    </w:lvl>
    <w:lvl w:ilvl="3">
      <w:start w:val="0"/>
      <w:numFmt w:val="bullet"/>
      <w:lvlText w:val="•"/>
      <w:lvlJc w:val="left"/>
      <w:pPr>
        <w:ind w:left="3300" w:hanging="375"/>
      </w:pPr>
      <w:rPr>
        <w:rFonts w:hint="default"/>
        <w:lang w:val="en-US" w:eastAsia="en-US" w:bidi="ar-SA"/>
      </w:rPr>
    </w:lvl>
    <w:lvl w:ilvl="4">
      <w:start w:val="0"/>
      <w:numFmt w:val="bullet"/>
      <w:lvlText w:val="•"/>
      <w:lvlJc w:val="left"/>
      <w:pPr>
        <w:ind w:left="4320" w:hanging="375"/>
      </w:pPr>
      <w:rPr>
        <w:rFonts w:hint="default"/>
        <w:lang w:val="en-US" w:eastAsia="en-US" w:bidi="ar-SA"/>
      </w:rPr>
    </w:lvl>
    <w:lvl w:ilvl="5">
      <w:start w:val="0"/>
      <w:numFmt w:val="bullet"/>
      <w:lvlText w:val="•"/>
      <w:lvlJc w:val="left"/>
      <w:pPr>
        <w:ind w:left="5340" w:hanging="375"/>
      </w:pPr>
      <w:rPr>
        <w:rFonts w:hint="default"/>
        <w:lang w:val="en-US" w:eastAsia="en-US" w:bidi="ar-SA"/>
      </w:rPr>
    </w:lvl>
    <w:lvl w:ilvl="6">
      <w:start w:val="0"/>
      <w:numFmt w:val="bullet"/>
      <w:lvlText w:val="•"/>
      <w:lvlJc w:val="left"/>
      <w:pPr>
        <w:ind w:left="6360" w:hanging="375"/>
      </w:pPr>
      <w:rPr>
        <w:rFonts w:hint="default"/>
        <w:lang w:val="en-US" w:eastAsia="en-US" w:bidi="ar-SA"/>
      </w:rPr>
    </w:lvl>
    <w:lvl w:ilvl="7">
      <w:start w:val="0"/>
      <w:numFmt w:val="bullet"/>
      <w:lvlText w:val="•"/>
      <w:lvlJc w:val="left"/>
      <w:pPr>
        <w:ind w:left="7380" w:hanging="375"/>
      </w:pPr>
      <w:rPr>
        <w:rFonts w:hint="default"/>
        <w:lang w:val="en-US" w:eastAsia="en-US" w:bidi="ar-SA"/>
      </w:rPr>
    </w:lvl>
    <w:lvl w:ilvl="8">
      <w:start w:val="0"/>
      <w:numFmt w:val="bullet"/>
      <w:lvlText w:val="•"/>
      <w:lvlJc w:val="left"/>
      <w:pPr>
        <w:ind w:left="8400" w:hanging="375"/>
      </w:pPr>
      <w:rPr>
        <w:rFonts w:hint="default"/>
        <w:lang w:val="en-US" w:eastAsia="en-US" w:bidi="ar-SA"/>
      </w:rPr>
    </w:lvl>
  </w:abstractNum>
  <w:abstractNum w:abstractNumId="74">
    <w:multiLevelType w:val="hybridMultilevel"/>
    <w:lvl w:ilvl="0">
      <w:start w:val="1"/>
      <w:numFmt w:val="lowerLetter"/>
      <w:lvlText w:val="(%1)"/>
      <w:lvlJc w:val="left"/>
      <w:pPr>
        <w:ind w:left="240" w:hanging="358"/>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1">
      <w:start w:val="0"/>
      <w:numFmt w:val="bullet"/>
      <w:lvlText w:val="•"/>
      <w:lvlJc w:val="left"/>
      <w:pPr>
        <w:ind w:left="1260" w:hanging="358"/>
      </w:pPr>
      <w:rPr>
        <w:rFonts w:hint="default"/>
        <w:lang w:val="en-US" w:eastAsia="en-US" w:bidi="ar-SA"/>
      </w:rPr>
    </w:lvl>
    <w:lvl w:ilvl="2">
      <w:start w:val="0"/>
      <w:numFmt w:val="bullet"/>
      <w:lvlText w:val="•"/>
      <w:lvlJc w:val="left"/>
      <w:pPr>
        <w:ind w:left="2280" w:hanging="358"/>
      </w:pPr>
      <w:rPr>
        <w:rFonts w:hint="default"/>
        <w:lang w:val="en-US" w:eastAsia="en-US" w:bidi="ar-SA"/>
      </w:rPr>
    </w:lvl>
    <w:lvl w:ilvl="3">
      <w:start w:val="0"/>
      <w:numFmt w:val="bullet"/>
      <w:lvlText w:val="•"/>
      <w:lvlJc w:val="left"/>
      <w:pPr>
        <w:ind w:left="3300" w:hanging="358"/>
      </w:pPr>
      <w:rPr>
        <w:rFonts w:hint="default"/>
        <w:lang w:val="en-US" w:eastAsia="en-US" w:bidi="ar-SA"/>
      </w:rPr>
    </w:lvl>
    <w:lvl w:ilvl="4">
      <w:start w:val="0"/>
      <w:numFmt w:val="bullet"/>
      <w:lvlText w:val="•"/>
      <w:lvlJc w:val="left"/>
      <w:pPr>
        <w:ind w:left="4320" w:hanging="358"/>
      </w:pPr>
      <w:rPr>
        <w:rFonts w:hint="default"/>
        <w:lang w:val="en-US" w:eastAsia="en-US" w:bidi="ar-SA"/>
      </w:rPr>
    </w:lvl>
    <w:lvl w:ilvl="5">
      <w:start w:val="0"/>
      <w:numFmt w:val="bullet"/>
      <w:lvlText w:val="•"/>
      <w:lvlJc w:val="left"/>
      <w:pPr>
        <w:ind w:left="5340" w:hanging="358"/>
      </w:pPr>
      <w:rPr>
        <w:rFonts w:hint="default"/>
        <w:lang w:val="en-US" w:eastAsia="en-US" w:bidi="ar-SA"/>
      </w:rPr>
    </w:lvl>
    <w:lvl w:ilvl="6">
      <w:start w:val="0"/>
      <w:numFmt w:val="bullet"/>
      <w:lvlText w:val="•"/>
      <w:lvlJc w:val="left"/>
      <w:pPr>
        <w:ind w:left="6360" w:hanging="358"/>
      </w:pPr>
      <w:rPr>
        <w:rFonts w:hint="default"/>
        <w:lang w:val="en-US" w:eastAsia="en-US" w:bidi="ar-SA"/>
      </w:rPr>
    </w:lvl>
    <w:lvl w:ilvl="7">
      <w:start w:val="0"/>
      <w:numFmt w:val="bullet"/>
      <w:lvlText w:val="•"/>
      <w:lvlJc w:val="left"/>
      <w:pPr>
        <w:ind w:left="7380" w:hanging="358"/>
      </w:pPr>
      <w:rPr>
        <w:rFonts w:hint="default"/>
        <w:lang w:val="en-US" w:eastAsia="en-US" w:bidi="ar-SA"/>
      </w:rPr>
    </w:lvl>
    <w:lvl w:ilvl="8">
      <w:start w:val="0"/>
      <w:numFmt w:val="bullet"/>
      <w:lvlText w:val="•"/>
      <w:lvlJc w:val="left"/>
      <w:pPr>
        <w:ind w:left="8400" w:hanging="358"/>
      </w:pPr>
      <w:rPr>
        <w:rFonts w:hint="default"/>
        <w:lang w:val="en-US" w:eastAsia="en-US" w:bidi="ar-SA"/>
      </w:rPr>
    </w:lvl>
  </w:abstractNum>
  <w:abstractNum w:abstractNumId="73">
    <w:multiLevelType w:val="hybridMultilevel"/>
    <w:lvl w:ilvl="0">
      <w:start w:val="0"/>
      <w:numFmt w:val="bullet"/>
      <w:lvlText w:val="•"/>
      <w:lvlJc w:val="left"/>
      <w:pPr>
        <w:ind w:left="203" w:hanging="96"/>
      </w:pPr>
      <w:rPr>
        <w:rFonts w:hint="default" w:ascii="Times New Roman" w:hAnsi="Times New Roman" w:eastAsia="Times New Roman" w:cs="Times New Roman"/>
        <w:b w:val="0"/>
        <w:bCs w:val="0"/>
        <w:i w:val="0"/>
        <w:iCs w:val="0"/>
        <w:spacing w:val="0"/>
        <w:w w:val="100"/>
        <w:sz w:val="16"/>
        <w:szCs w:val="16"/>
        <w:lang w:val="en-US" w:eastAsia="en-US" w:bidi="ar-SA"/>
      </w:rPr>
    </w:lvl>
    <w:lvl w:ilvl="1">
      <w:start w:val="0"/>
      <w:numFmt w:val="bullet"/>
      <w:lvlText w:val="•"/>
      <w:lvlJc w:val="left"/>
      <w:pPr>
        <w:ind w:left="618" w:hanging="96"/>
      </w:pPr>
      <w:rPr>
        <w:rFonts w:hint="default"/>
        <w:lang w:val="en-US" w:eastAsia="en-US" w:bidi="ar-SA"/>
      </w:rPr>
    </w:lvl>
    <w:lvl w:ilvl="2">
      <w:start w:val="0"/>
      <w:numFmt w:val="bullet"/>
      <w:lvlText w:val="•"/>
      <w:lvlJc w:val="left"/>
      <w:pPr>
        <w:ind w:left="1037" w:hanging="96"/>
      </w:pPr>
      <w:rPr>
        <w:rFonts w:hint="default"/>
        <w:lang w:val="en-US" w:eastAsia="en-US" w:bidi="ar-SA"/>
      </w:rPr>
    </w:lvl>
    <w:lvl w:ilvl="3">
      <w:start w:val="0"/>
      <w:numFmt w:val="bullet"/>
      <w:lvlText w:val="•"/>
      <w:lvlJc w:val="left"/>
      <w:pPr>
        <w:ind w:left="1456" w:hanging="96"/>
      </w:pPr>
      <w:rPr>
        <w:rFonts w:hint="default"/>
        <w:lang w:val="en-US" w:eastAsia="en-US" w:bidi="ar-SA"/>
      </w:rPr>
    </w:lvl>
    <w:lvl w:ilvl="4">
      <w:start w:val="0"/>
      <w:numFmt w:val="bullet"/>
      <w:lvlText w:val="•"/>
      <w:lvlJc w:val="left"/>
      <w:pPr>
        <w:ind w:left="1875" w:hanging="96"/>
      </w:pPr>
      <w:rPr>
        <w:rFonts w:hint="default"/>
        <w:lang w:val="en-US" w:eastAsia="en-US" w:bidi="ar-SA"/>
      </w:rPr>
    </w:lvl>
    <w:lvl w:ilvl="5">
      <w:start w:val="0"/>
      <w:numFmt w:val="bullet"/>
      <w:lvlText w:val="•"/>
      <w:lvlJc w:val="left"/>
      <w:pPr>
        <w:ind w:left="2294" w:hanging="96"/>
      </w:pPr>
      <w:rPr>
        <w:rFonts w:hint="default"/>
        <w:lang w:val="en-US" w:eastAsia="en-US" w:bidi="ar-SA"/>
      </w:rPr>
    </w:lvl>
    <w:lvl w:ilvl="6">
      <w:start w:val="0"/>
      <w:numFmt w:val="bullet"/>
      <w:lvlText w:val="•"/>
      <w:lvlJc w:val="left"/>
      <w:pPr>
        <w:ind w:left="2712" w:hanging="96"/>
      </w:pPr>
      <w:rPr>
        <w:rFonts w:hint="default"/>
        <w:lang w:val="en-US" w:eastAsia="en-US" w:bidi="ar-SA"/>
      </w:rPr>
    </w:lvl>
    <w:lvl w:ilvl="7">
      <w:start w:val="0"/>
      <w:numFmt w:val="bullet"/>
      <w:lvlText w:val="•"/>
      <w:lvlJc w:val="left"/>
      <w:pPr>
        <w:ind w:left="3131" w:hanging="96"/>
      </w:pPr>
      <w:rPr>
        <w:rFonts w:hint="default"/>
        <w:lang w:val="en-US" w:eastAsia="en-US" w:bidi="ar-SA"/>
      </w:rPr>
    </w:lvl>
    <w:lvl w:ilvl="8">
      <w:start w:val="0"/>
      <w:numFmt w:val="bullet"/>
      <w:lvlText w:val="•"/>
      <w:lvlJc w:val="left"/>
      <w:pPr>
        <w:ind w:left="3550" w:hanging="96"/>
      </w:pPr>
      <w:rPr>
        <w:rFonts w:hint="default"/>
        <w:lang w:val="en-US" w:eastAsia="en-US" w:bidi="ar-SA"/>
      </w:rPr>
    </w:lvl>
  </w:abstractNum>
  <w:abstractNum w:abstractNumId="72">
    <w:multiLevelType w:val="hybridMultilevel"/>
    <w:lvl w:ilvl="0">
      <w:start w:val="0"/>
      <w:numFmt w:val="bullet"/>
      <w:lvlText w:val="•"/>
      <w:lvlJc w:val="left"/>
      <w:pPr>
        <w:ind w:left="203" w:hanging="96"/>
      </w:pPr>
      <w:rPr>
        <w:rFonts w:hint="default" w:ascii="Times New Roman" w:hAnsi="Times New Roman" w:eastAsia="Times New Roman" w:cs="Times New Roman"/>
        <w:b w:val="0"/>
        <w:bCs w:val="0"/>
        <w:i w:val="0"/>
        <w:iCs w:val="0"/>
        <w:spacing w:val="0"/>
        <w:w w:val="100"/>
        <w:sz w:val="16"/>
        <w:szCs w:val="16"/>
        <w:lang w:val="en-US" w:eastAsia="en-US" w:bidi="ar-SA"/>
      </w:rPr>
    </w:lvl>
    <w:lvl w:ilvl="1">
      <w:start w:val="0"/>
      <w:numFmt w:val="bullet"/>
      <w:lvlText w:val="•"/>
      <w:lvlJc w:val="left"/>
      <w:pPr>
        <w:ind w:left="618" w:hanging="96"/>
      </w:pPr>
      <w:rPr>
        <w:rFonts w:hint="default"/>
        <w:lang w:val="en-US" w:eastAsia="en-US" w:bidi="ar-SA"/>
      </w:rPr>
    </w:lvl>
    <w:lvl w:ilvl="2">
      <w:start w:val="0"/>
      <w:numFmt w:val="bullet"/>
      <w:lvlText w:val="•"/>
      <w:lvlJc w:val="left"/>
      <w:pPr>
        <w:ind w:left="1037" w:hanging="96"/>
      </w:pPr>
      <w:rPr>
        <w:rFonts w:hint="default"/>
        <w:lang w:val="en-US" w:eastAsia="en-US" w:bidi="ar-SA"/>
      </w:rPr>
    </w:lvl>
    <w:lvl w:ilvl="3">
      <w:start w:val="0"/>
      <w:numFmt w:val="bullet"/>
      <w:lvlText w:val="•"/>
      <w:lvlJc w:val="left"/>
      <w:pPr>
        <w:ind w:left="1456" w:hanging="96"/>
      </w:pPr>
      <w:rPr>
        <w:rFonts w:hint="default"/>
        <w:lang w:val="en-US" w:eastAsia="en-US" w:bidi="ar-SA"/>
      </w:rPr>
    </w:lvl>
    <w:lvl w:ilvl="4">
      <w:start w:val="0"/>
      <w:numFmt w:val="bullet"/>
      <w:lvlText w:val="•"/>
      <w:lvlJc w:val="left"/>
      <w:pPr>
        <w:ind w:left="1875" w:hanging="96"/>
      </w:pPr>
      <w:rPr>
        <w:rFonts w:hint="default"/>
        <w:lang w:val="en-US" w:eastAsia="en-US" w:bidi="ar-SA"/>
      </w:rPr>
    </w:lvl>
    <w:lvl w:ilvl="5">
      <w:start w:val="0"/>
      <w:numFmt w:val="bullet"/>
      <w:lvlText w:val="•"/>
      <w:lvlJc w:val="left"/>
      <w:pPr>
        <w:ind w:left="2294" w:hanging="96"/>
      </w:pPr>
      <w:rPr>
        <w:rFonts w:hint="default"/>
        <w:lang w:val="en-US" w:eastAsia="en-US" w:bidi="ar-SA"/>
      </w:rPr>
    </w:lvl>
    <w:lvl w:ilvl="6">
      <w:start w:val="0"/>
      <w:numFmt w:val="bullet"/>
      <w:lvlText w:val="•"/>
      <w:lvlJc w:val="left"/>
      <w:pPr>
        <w:ind w:left="2712" w:hanging="96"/>
      </w:pPr>
      <w:rPr>
        <w:rFonts w:hint="default"/>
        <w:lang w:val="en-US" w:eastAsia="en-US" w:bidi="ar-SA"/>
      </w:rPr>
    </w:lvl>
    <w:lvl w:ilvl="7">
      <w:start w:val="0"/>
      <w:numFmt w:val="bullet"/>
      <w:lvlText w:val="•"/>
      <w:lvlJc w:val="left"/>
      <w:pPr>
        <w:ind w:left="3131" w:hanging="96"/>
      </w:pPr>
      <w:rPr>
        <w:rFonts w:hint="default"/>
        <w:lang w:val="en-US" w:eastAsia="en-US" w:bidi="ar-SA"/>
      </w:rPr>
    </w:lvl>
    <w:lvl w:ilvl="8">
      <w:start w:val="0"/>
      <w:numFmt w:val="bullet"/>
      <w:lvlText w:val="•"/>
      <w:lvlJc w:val="left"/>
      <w:pPr>
        <w:ind w:left="3550" w:hanging="96"/>
      </w:pPr>
      <w:rPr>
        <w:rFonts w:hint="default"/>
        <w:lang w:val="en-US" w:eastAsia="en-US" w:bidi="ar-SA"/>
      </w:rPr>
    </w:lvl>
  </w:abstractNum>
  <w:abstractNum w:abstractNumId="71">
    <w:multiLevelType w:val="hybridMultilevel"/>
    <w:lvl w:ilvl="0">
      <w:start w:val="0"/>
      <w:numFmt w:val="bullet"/>
      <w:lvlText w:val="•"/>
      <w:lvlJc w:val="left"/>
      <w:pPr>
        <w:ind w:left="189" w:hanging="96"/>
      </w:pPr>
      <w:rPr>
        <w:rFonts w:hint="default" w:ascii="Times New Roman" w:hAnsi="Times New Roman" w:eastAsia="Times New Roman" w:cs="Times New Roman"/>
        <w:b w:val="0"/>
        <w:bCs w:val="0"/>
        <w:i w:val="0"/>
        <w:iCs w:val="0"/>
        <w:spacing w:val="0"/>
        <w:w w:val="100"/>
        <w:sz w:val="16"/>
        <w:szCs w:val="16"/>
        <w:lang w:val="en-US" w:eastAsia="en-US" w:bidi="ar-SA"/>
      </w:rPr>
    </w:lvl>
    <w:lvl w:ilvl="1">
      <w:start w:val="0"/>
      <w:numFmt w:val="bullet"/>
      <w:lvlText w:val="•"/>
      <w:lvlJc w:val="left"/>
      <w:pPr>
        <w:ind w:left="600" w:hanging="96"/>
      </w:pPr>
      <w:rPr>
        <w:rFonts w:hint="default"/>
        <w:lang w:val="en-US" w:eastAsia="en-US" w:bidi="ar-SA"/>
      </w:rPr>
    </w:lvl>
    <w:lvl w:ilvl="2">
      <w:start w:val="0"/>
      <w:numFmt w:val="bullet"/>
      <w:lvlText w:val="•"/>
      <w:lvlJc w:val="left"/>
      <w:pPr>
        <w:ind w:left="1021" w:hanging="96"/>
      </w:pPr>
      <w:rPr>
        <w:rFonts w:hint="default"/>
        <w:lang w:val="en-US" w:eastAsia="en-US" w:bidi="ar-SA"/>
      </w:rPr>
    </w:lvl>
    <w:lvl w:ilvl="3">
      <w:start w:val="0"/>
      <w:numFmt w:val="bullet"/>
      <w:lvlText w:val="•"/>
      <w:lvlJc w:val="left"/>
      <w:pPr>
        <w:ind w:left="1442" w:hanging="96"/>
      </w:pPr>
      <w:rPr>
        <w:rFonts w:hint="default"/>
        <w:lang w:val="en-US" w:eastAsia="en-US" w:bidi="ar-SA"/>
      </w:rPr>
    </w:lvl>
    <w:lvl w:ilvl="4">
      <w:start w:val="0"/>
      <w:numFmt w:val="bullet"/>
      <w:lvlText w:val="•"/>
      <w:lvlJc w:val="left"/>
      <w:pPr>
        <w:ind w:left="1863" w:hanging="96"/>
      </w:pPr>
      <w:rPr>
        <w:rFonts w:hint="default"/>
        <w:lang w:val="en-US" w:eastAsia="en-US" w:bidi="ar-SA"/>
      </w:rPr>
    </w:lvl>
    <w:lvl w:ilvl="5">
      <w:start w:val="0"/>
      <w:numFmt w:val="bullet"/>
      <w:lvlText w:val="•"/>
      <w:lvlJc w:val="left"/>
      <w:pPr>
        <w:ind w:left="2284" w:hanging="96"/>
      </w:pPr>
      <w:rPr>
        <w:rFonts w:hint="default"/>
        <w:lang w:val="en-US" w:eastAsia="en-US" w:bidi="ar-SA"/>
      </w:rPr>
    </w:lvl>
    <w:lvl w:ilvl="6">
      <w:start w:val="0"/>
      <w:numFmt w:val="bullet"/>
      <w:lvlText w:val="•"/>
      <w:lvlJc w:val="left"/>
      <w:pPr>
        <w:ind w:left="2704" w:hanging="96"/>
      </w:pPr>
      <w:rPr>
        <w:rFonts w:hint="default"/>
        <w:lang w:val="en-US" w:eastAsia="en-US" w:bidi="ar-SA"/>
      </w:rPr>
    </w:lvl>
    <w:lvl w:ilvl="7">
      <w:start w:val="0"/>
      <w:numFmt w:val="bullet"/>
      <w:lvlText w:val="•"/>
      <w:lvlJc w:val="left"/>
      <w:pPr>
        <w:ind w:left="3125" w:hanging="96"/>
      </w:pPr>
      <w:rPr>
        <w:rFonts w:hint="default"/>
        <w:lang w:val="en-US" w:eastAsia="en-US" w:bidi="ar-SA"/>
      </w:rPr>
    </w:lvl>
    <w:lvl w:ilvl="8">
      <w:start w:val="0"/>
      <w:numFmt w:val="bullet"/>
      <w:lvlText w:val="•"/>
      <w:lvlJc w:val="left"/>
      <w:pPr>
        <w:ind w:left="3546" w:hanging="96"/>
      </w:pPr>
      <w:rPr>
        <w:rFonts w:hint="default"/>
        <w:lang w:val="en-US" w:eastAsia="en-US" w:bidi="ar-SA"/>
      </w:rPr>
    </w:lvl>
  </w:abstractNum>
  <w:abstractNum w:abstractNumId="70">
    <w:multiLevelType w:val="hybridMultilevel"/>
    <w:lvl w:ilvl="0">
      <w:start w:val="0"/>
      <w:numFmt w:val="bullet"/>
      <w:lvlText w:val="•"/>
      <w:lvlJc w:val="left"/>
      <w:pPr>
        <w:ind w:left="203" w:hanging="96"/>
      </w:pPr>
      <w:rPr>
        <w:rFonts w:hint="default" w:ascii="Times New Roman" w:hAnsi="Times New Roman" w:eastAsia="Times New Roman" w:cs="Times New Roman"/>
        <w:b w:val="0"/>
        <w:bCs w:val="0"/>
        <w:i w:val="0"/>
        <w:iCs w:val="0"/>
        <w:spacing w:val="0"/>
        <w:w w:val="100"/>
        <w:sz w:val="16"/>
        <w:szCs w:val="16"/>
        <w:lang w:val="en-US" w:eastAsia="en-US" w:bidi="ar-SA"/>
      </w:rPr>
    </w:lvl>
    <w:lvl w:ilvl="1">
      <w:start w:val="0"/>
      <w:numFmt w:val="bullet"/>
      <w:lvlText w:val="•"/>
      <w:lvlJc w:val="left"/>
      <w:pPr>
        <w:ind w:left="618" w:hanging="96"/>
      </w:pPr>
      <w:rPr>
        <w:rFonts w:hint="default"/>
        <w:lang w:val="en-US" w:eastAsia="en-US" w:bidi="ar-SA"/>
      </w:rPr>
    </w:lvl>
    <w:lvl w:ilvl="2">
      <w:start w:val="0"/>
      <w:numFmt w:val="bullet"/>
      <w:lvlText w:val="•"/>
      <w:lvlJc w:val="left"/>
      <w:pPr>
        <w:ind w:left="1037" w:hanging="96"/>
      </w:pPr>
      <w:rPr>
        <w:rFonts w:hint="default"/>
        <w:lang w:val="en-US" w:eastAsia="en-US" w:bidi="ar-SA"/>
      </w:rPr>
    </w:lvl>
    <w:lvl w:ilvl="3">
      <w:start w:val="0"/>
      <w:numFmt w:val="bullet"/>
      <w:lvlText w:val="•"/>
      <w:lvlJc w:val="left"/>
      <w:pPr>
        <w:ind w:left="1456" w:hanging="96"/>
      </w:pPr>
      <w:rPr>
        <w:rFonts w:hint="default"/>
        <w:lang w:val="en-US" w:eastAsia="en-US" w:bidi="ar-SA"/>
      </w:rPr>
    </w:lvl>
    <w:lvl w:ilvl="4">
      <w:start w:val="0"/>
      <w:numFmt w:val="bullet"/>
      <w:lvlText w:val="•"/>
      <w:lvlJc w:val="left"/>
      <w:pPr>
        <w:ind w:left="1875" w:hanging="96"/>
      </w:pPr>
      <w:rPr>
        <w:rFonts w:hint="default"/>
        <w:lang w:val="en-US" w:eastAsia="en-US" w:bidi="ar-SA"/>
      </w:rPr>
    </w:lvl>
    <w:lvl w:ilvl="5">
      <w:start w:val="0"/>
      <w:numFmt w:val="bullet"/>
      <w:lvlText w:val="•"/>
      <w:lvlJc w:val="left"/>
      <w:pPr>
        <w:ind w:left="2294" w:hanging="96"/>
      </w:pPr>
      <w:rPr>
        <w:rFonts w:hint="default"/>
        <w:lang w:val="en-US" w:eastAsia="en-US" w:bidi="ar-SA"/>
      </w:rPr>
    </w:lvl>
    <w:lvl w:ilvl="6">
      <w:start w:val="0"/>
      <w:numFmt w:val="bullet"/>
      <w:lvlText w:val="•"/>
      <w:lvlJc w:val="left"/>
      <w:pPr>
        <w:ind w:left="2712" w:hanging="96"/>
      </w:pPr>
      <w:rPr>
        <w:rFonts w:hint="default"/>
        <w:lang w:val="en-US" w:eastAsia="en-US" w:bidi="ar-SA"/>
      </w:rPr>
    </w:lvl>
    <w:lvl w:ilvl="7">
      <w:start w:val="0"/>
      <w:numFmt w:val="bullet"/>
      <w:lvlText w:val="•"/>
      <w:lvlJc w:val="left"/>
      <w:pPr>
        <w:ind w:left="3131" w:hanging="96"/>
      </w:pPr>
      <w:rPr>
        <w:rFonts w:hint="default"/>
        <w:lang w:val="en-US" w:eastAsia="en-US" w:bidi="ar-SA"/>
      </w:rPr>
    </w:lvl>
    <w:lvl w:ilvl="8">
      <w:start w:val="0"/>
      <w:numFmt w:val="bullet"/>
      <w:lvlText w:val="•"/>
      <w:lvlJc w:val="left"/>
      <w:pPr>
        <w:ind w:left="3550" w:hanging="96"/>
      </w:pPr>
      <w:rPr>
        <w:rFonts w:hint="default"/>
        <w:lang w:val="en-US" w:eastAsia="en-US" w:bidi="ar-SA"/>
      </w:rPr>
    </w:lvl>
  </w:abstractNum>
  <w:abstractNum w:abstractNumId="69">
    <w:multiLevelType w:val="hybridMultilevel"/>
    <w:lvl w:ilvl="0">
      <w:start w:val="1"/>
      <w:numFmt w:val="lowerRoman"/>
      <w:lvlText w:val="(%1)"/>
      <w:lvlJc w:val="left"/>
      <w:pPr>
        <w:ind w:left="240" w:hanging="3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60" w:hanging="300"/>
      </w:pPr>
      <w:rPr>
        <w:rFonts w:hint="default"/>
        <w:lang w:val="en-US" w:eastAsia="en-US" w:bidi="ar-SA"/>
      </w:rPr>
    </w:lvl>
    <w:lvl w:ilvl="2">
      <w:start w:val="0"/>
      <w:numFmt w:val="bullet"/>
      <w:lvlText w:val="•"/>
      <w:lvlJc w:val="left"/>
      <w:pPr>
        <w:ind w:left="2280" w:hanging="300"/>
      </w:pPr>
      <w:rPr>
        <w:rFonts w:hint="default"/>
        <w:lang w:val="en-US" w:eastAsia="en-US" w:bidi="ar-SA"/>
      </w:rPr>
    </w:lvl>
    <w:lvl w:ilvl="3">
      <w:start w:val="0"/>
      <w:numFmt w:val="bullet"/>
      <w:lvlText w:val="•"/>
      <w:lvlJc w:val="left"/>
      <w:pPr>
        <w:ind w:left="3300" w:hanging="300"/>
      </w:pPr>
      <w:rPr>
        <w:rFonts w:hint="default"/>
        <w:lang w:val="en-US" w:eastAsia="en-US" w:bidi="ar-SA"/>
      </w:rPr>
    </w:lvl>
    <w:lvl w:ilvl="4">
      <w:start w:val="0"/>
      <w:numFmt w:val="bullet"/>
      <w:lvlText w:val="•"/>
      <w:lvlJc w:val="left"/>
      <w:pPr>
        <w:ind w:left="4320" w:hanging="300"/>
      </w:pPr>
      <w:rPr>
        <w:rFonts w:hint="default"/>
        <w:lang w:val="en-US" w:eastAsia="en-US" w:bidi="ar-SA"/>
      </w:rPr>
    </w:lvl>
    <w:lvl w:ilvl="5">
      <w:start w:val="0"/>
      <w:numFmt w:val="bullet"/>
      <w:lvlText w:val="•"/>
      <w:lvlJc w:val="left"/>
      <w:pPr>
        <w:ind w:left="5340" w:hanging="300"/>
      </w:pPr>
      <w:rPr>
        <w:rFonts w:hint="default"/>
        <w:lang w:val="en-US" w:eastAsia="en-US" w:bidi="ar-SA"/>
      </w:rPr>
    </w:lvl>
    <w:lvl w:ilvl="6">
      <w:start w:val="0"/>
      <w:numFmt w:val="bullet"/>
      <w:lvlText w:val="•"/>
      <w:lvlJc w:val="left"/>
      <w:pPr>
        <w:ind w:left="6360" w:hanging="300"/>
      </w:pPr>
      <w:rPr>
        <w:rFonts w:hint="default"/>
        <w:lang w:val="en-US" w:eastAsia="en-US" w:bidi="ar-SA"/>
      </w:rPr>
    </w:lvl>
    <w:lvl w:ilvl="7">
      <w:start w:val="0"/>
      <w:numFmt w:val="bullet"/>
      <w:lvlText w:val="•"/>
      <w:lvlJc w:val="left"/>
      <w:pPr>
        <w:ind w:left="7380" w:hanging="300"/>
      </w:pPr>
      <w:rPr>
        <w:rFonts w:hint="default"/>
        <w:lang w:val="en-US" w:eastAsia="en-US" w:bidi="ar-SA"/>
      </w:rPr>
    </w:lvl>
    <w:lvl w:ilvl="8">
      <w:start w:val="0"/>
      <w:numFmt w:val="bullet"/>
      <w:lvlText w:val="•"/>
      <w:lvlJc w:val="left"/>
      <w:pPr>
        <w:ind w:left="8400" w:hanging="300"/>
      </w:pPr>
      <w:rPr>
        <w:rFonts w:hint="default"/>
        <w:lang w:val="en-US" w:eastAsia="en-US" w:bidi="ar-SA"/>
      </w:rPr>
    </w:lvl>
  </w:abstractNum>
  <w:abstractNum w:abstractNumId="68">
    <w:multiLevelType w:val="hybridMultilevel"/>
    <w:lvl w:ilvl="0">
      <w:start w:val="3"/>
      <w:numFmt w:val="decimal"/>
      <w:lvlText w:val="%1"/>
      <w:lvlJc w:val="left"/>
      <w:pPr>
        <w:ind w:left="840" w:hanging="600"/>
        <w:jc w:val="left"/>
      </w:pPr>
      <w:rPr>
        <w:rFonts w:hint="default"/>
        <w:lang w:val="en-US" w:eastAsia="en-US" w:bidi="ar-SA"/>
      </w:rPr>
    </w:lvl>
    <w:lvl w:ilvl="1">
      <w:start w:val="6"/>
      <w:numFmt w:val="decimal"/>
      <w:lvlText w:val="%1.%2"/>
      <w:lvlJc w:val="left"/>
      <w:pPr>
        <w:ind w:left="840" w:hanging="600"/>
        <w:jc w:val="left"/>
      </w:pPr>
      <w:rPr>
        <w:rFonts w:hint="default"/>
        <w:lang w:val="en-US" w:eastAsia="en-US" w:bidi="ar-SA"/>
      </w:rPr>
    </w:lvl>
    <w:lvl w:ilvl="2">
      <w:start w:val="1"/>
      <w:numFmt w:val="decimal"/>
      <w:lvlText w:val="%1.%2.%3."/>
      <w:lvlJc w:val="left"/>
      <w:pPr>
        <w:ind w:left="840" w:hanging="60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lowerRoman"/>
      <w:lvlText w:val="%4."/>
      <w:lvlJc w:val="left"/>
      <w:pPr>
        <w:ind w:left="96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4120" w:hanging="488"/>
      </w:pPr>
      <w:rPr>
        <w:rFonts w:hint="default"/>
        <w:lang w:val="en-US" w:eastAsia="en-US" w:bidi="ar-SA"/>
      </w:rPr>
    </w:lvl>
    <w:lvl w:ilvl="5">
      <w:start w:val="0"/>
      <w:numFmt w:val="bullet"/>
      <w:lvlText w:val="•"/>
      <w:lvlJc w:val="left"/>
      <w:pPr>
        <w:ind w:left="5173" w:hanging="488"/>
      </w:pPr>
      <w:rPr>
        <w:rFonts w:hint="default"/>
        <w:lang w:val="en-US" w:eastAsia="en-US" w:bidi="ar-SA"/>
      </w:rPr>
    </w:lvl>
    <w:lvl w:ilvl="6">
      <w:start w:val="0"/>
      <w:numFmt w:val="bullet"/>
      <w:lvlText w:val="•"/>
      <w:lvlJc w:val="left"/>
      <w:pPr>
        <w:ind w:left="6226" w:hanging="488"/>
      </w:pPr>
      <w:rPr>
        <w:rFonts w:hint="default"/>
        <w:lang w:val="en-US" w:eastAsia="en-US" w:bidi="ar-SA"/>
      </w:rPr>
    </w:lvl>
    <w:lvl w:ilvl="7">
      <w:start w:val="0"/>
      <w:numFmt w:val="bullet"/>
      <w:lvlText w:val="•"/>
      <w:lvlJc w:val="left"/>
      <w:pPr>
        <w:ind w:left="7280" w:hanging="488"/>
      </w:pPr>
      <w:rPr>
        <w:rFonts w:hint="default"/>
        <w:lang w:val="en-US" w:eastAsia="en-US" w:bidi="ar-SA"/>
      </w:rPr>
    </w:lvl>
    <w:lvl w:ilvl="8">
      <w:start w:val="0"/>
      <w:numFmt w:val="bullet"/>
      <w:lvlText w:val="•"/>
      <w:lvlJc w:val="left"/>
      <w:pPr>
        <w:ind w:left="8333" w:hanging="488"/>
      </w:pPr>
      <w:rPr>
        <w:rFonts w:hint="default"/>
        <w:lang w:val="en-US" w:eastAsia="en-US" w:bidi="ar-SA"/>
      </w:rPr>
    </w:lvl>
  </w:abstractNum>
  <w:abstractNum w:abstractNumId="67">
    <w:multiLevelType w:val="hybridMultilevel"/>
    <w:lvl w:ilvl="0">
      <w:start w:val="1"/>
      <w:numFmt w:val="lowerRoman"/>
      <w:lvlText w:val="%1."/>
      <w:lvlJc w:val="left"/>
      <w:pPr>
        <w:ind w:left="96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08" w:hanging="488"/>
      </w:pPr>
      <w:rPr>
        <w:rFonts w:hint="default"/>
        <w:lang w:val="en-US" w:eastAsia="en-US" w:bidi="ar-SA"/>
      </w:rPr>
    </w:lvl>
    <w:lvl w:ilvl="2">
      <w:start w:val="0"/>
      <w:numFmt w:val="bullet"/>
      <w:lvlText w:val="•"/>
      <w:lvlJc w:val="left"/>
      <w:pPr>
        <w:ind w:left="2856" w:hanging="488"/>
      </w:pPr>
      <w:rPr>
        <w:rFonts w:hint="default"/>
        <w:lang w:val="en-US" w:eastAsia="en-US" w:bidi="ar-SA"/>
      </w:rPr>
    </w:lvl>
    <w:lvl w:ilvl="3">
      <w:start w:val="0"/>
      <w:numFmt w:val="bullet"/>
      <w:lvlText w:val="•"/>
      <w:lvlJc w:val="left"/>
      <w:pPr>
        <w:ind w:left="3804" w:hanging="488"/>
      </w:pPr>
      <w:rPr>
        <w:rFonts w:hint="default"/>
        <w:lang w:val="en-US" w:eastAsia="en-US" w:bidi="ar-SA"/>
      </w:rPr>
    </w:lvl>
    <w:lvl w:ilvl="4">
      <w:start w:val="0"/>
      <w:numFmt w:val="bullet"/>
      <w:lvlText w:val="•"/>
      <w:lvlJc w:val="left"/>
      <w:pPr>
        <w:ind w:left="4752" w:hanging="488"/>
      </w:pPr>
      <w:rPr>
        <w:rFonts w:hint="default"/>
        <w:lang w:val="en-US" w:eastAsia="en-US" w:bidi="ar-SA"/>
      </w:rPr>
    </w:lvl>
    <w:lvl w:ilvl="5">
      <w:start w:val="0"/>
      <w:numFmt w:val="bullet"/>
      <w:lvlText w:val="•"/>
      <w:lvlJc w:val="left"/>
      <w:pPr>
        <w:ind w:left="5700" w:hanging="488"/>
      </w:pPr>
      <w:rPr>
        <w:rFonts w:hint="default"/>
        <w:lang w:val="en-US" w:eastAsia="en-US" w:bidi="ar-SA"/>
      </w:rPr>
    </w:lvl>
    <w:lvl w:ilvl="6">
      <w:start w:val="0"/>
      <w:numFmt w:val="bullet"/>
      <w:lvlText w:val="•"/>
      <w:lvlJc w:val="left"/>
      <w:pPr>
        <w:ind w:left="6648" w:hanging="488"/>
      </w:pPr>
      <w:rPr>
        <w:rFonts w:hint="default"/>
        <w:lang w:val="en-US" w:eastAsia="en-US" w:bidi="ar-SA"/>
      </w:rPr>
    </w:lvl>
    <w:lvl w:ilvl="7">
      <w:start w:val="0"/>
      <w:numFmt w:val="bullet"/>
      <w:lvlText w:val="•"/>
      <w:lvlJc w:val="left"/>
      <w:pPr>
        <w:ind w:left="7596" w:hanging="488"/>
      </w:pPr>
      <w:rPr>
        <w:rFonts w:hint="default"/>
        <w:lang w:val="en-US" w:eastAsia="en-US" w:bidi="ar-SA"/>
      </w:rPr>
    </w:lvl>
    <w:lvl w:ilvl="8">
      <w:start w:val="0"/>
      <w:numFmt w:val="bullet"/>
      <w:lvlText w:val="•"/>
      <w:lvlJc w:val="left"/>
      <w:pPr>
        <w:ind w:left="8544" w:hanging="488"/>
      </w:pPr>
      <w:rPr>
        <w:rFonts w:hint="default"/>
        <w:lang w:val="en-US" w:eastAsia="en-US" w:bidi="ar-SA"/>
      </w:rPr>
    </w:lvl>
  </w:abstractNum>
  <w:abstractNum w:abstractNumId="66">
    <w:multiLevelType w:val="hybridMultilevel"/>
    <w:lvl w:ilvl="0">
      <w:start w:val="1"/>
      <w:numFmt w:val="lowerLetter"/>
      <w:lvlText w:val="%1)"/>
      <w:lvlJc w:val="left"/>
      <w:pPr>
        <w:ind w:left="9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908" w:hanging="360"/>
      </w:pPr>
      <w:rPr>
        <w:rFonts w:hint="default"/>
        <w:lang w:val="en-US" w:eastAsia="en-US" w:bidi="ar-SA"/>
      </w:rPr>
    </w:lvl>
    <w:lvl w:ilvl="2">
      <w:start w:val="0"/>
      <w:numFmt w:val="bullet"/>
      <w:lvlText w:val="•"/>
      <w:lvlJc w:val="left"/>
      <w:pPr>
        <w:ind w:left="2856" w:hanging="360"/>
      </w:pPr>
      <w:rPr>
        <w:rFonts w:hint="default"/>
        <w:lang w:val="en-US" w:eastAsia="en-US" w:bidi="ar-SA"/>
      </w:rPr>
    </w:lvl>
    <w:lvl w:ilvl="3">
      <w:start w:val="0"/>
      <w:numFmt w:val="bullet"/>
      <w:lvlText w:val="•"/>
      <w:lvlJc w:val="left"/>
      <w:pPr>
        <w:ind w:left="3804" w:hanging="360"/>
      </w:pPr>
      <w:rPr>
        <w:rFonts w:hint="default"/>
        <w:lang w:val="en-US" w:eastAsia="en-US" w:bidi="ar-SA"/>
      </w:rPr>
    </w:lvl>
    <w:lvl w:ilvl="4">
      <w:start w:val="0"/>
      <w:numFmt w:val="bullet"/>
      <w:lvlText w:val="•"/>
      <w:lvlJc w:val="left"/>
      <w:pPr>
        <w:ind w:left="4752"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48" w:hanging="360"/>
      </w:pPr>
      <w:rPr>
        <w:rFonts w:hint="default"/>
        <w:lang w:val="en-US" w:eastAsia="en-US" w:bidi="ar-SA"/>
      </w:rPr>
    </w:lvl>
    <w:lvl w:ilvl="7">
      <w:start w:val="0"/>
      <w:numFmt w:val="bullet"/>
      <w:lvlText w:val="•"/>
      <w:lvlJc w:val="left"/>
      <w:pPr>
        <w:ind w:left="7596" w:hanging="360"/>
      </w:pPr>
      <w:rPr>
        <w:rFonts w:hint="default"/>
        <w:lang w:val="en-US" w:eastAsia="en-US" w:bidi="ar-SA"/>
      </w:rPr>
    </w:lvl>
    <w:lvl w:ilvl="8">
      <w:start w:val="0"/>
      <w:numFmt w:val="bullet"/>
      <w:lvlText w:val="•"/>
      <w:lvlJc w:val="left"/>
      <w:pPr>
        <w:ind w:left="8544" w:hanging="360"/>
      </w:pPr>
      <w:rPr>
        <w:rFonts w:hint="default"/>
        <w:lang w:val="en-US" w:eastAsia="en-US" w:bidi="ar-SA"/>
      </w:rPr>
    </w:lvl>
  </w:abstractNum>
  <w:abstractNum w:abstractNumId="65">
    <w:multiLevelType w:val="hybridMultilevel"/>
    <w:lvl w:ilvl="0">
      <w:start w:val="0"/>
      <w:numFmt w:val="bullet"/>
      <w:lvlText w:val=""/>
      <w:lvlJc w:val="left"/>
      <w:pPr>
        <w:ind w:left="408" w:hanging="323"/>
      </w:pPr>
      <w:rPr>
        <w:rFonts w:hint="default" w:ascii="Wingdings" w:hAnsi="Wingdings" w:eastAsia="Wingdings" w:cs="Wingdings"/>
        <w:b w:val="0"/>
        <w:bCs w:val="0"/>
        <w:i w:val="0"/>
        <w:iCs w:val="0"/>
        <w:color w:val="FFFFFF"/>
        <w:spacing w:val="0"/>
        <w:w w:val="103"/>
        <w:sz w:val="16"/>
        <w:szCs w:val="16"/>
        <w:lang w:val="en-US" w:eastAsia="en-US" w:bidi="ar-SA"/>
      </w:rPr>
    </w:lvl>
    <w:lvl w:ilvl="1">
      <w:start w:val="0"/>
      <w:numFmt w:val="bullet"/>
      <w:lvlText w:val="•"/>
      <w:lvlJc w:val="left"/>
      <w:pPr>
        <w:ind w:left="538" w:hanging="323"/>
      </w:pPr>
      <w:rPr>
        <w:rFonts w:hint="default"/>
        <w:lang w:val="en-US" w:eastAsia="en-US" w:bidi="ar-SA"/>
      </w:rPr>
    </w:lvl>
    <w:lvl w:ilvl="2">
      <w:start w:val="0"/>
      <w:numFmt w:val="bullet"/>
      <w:lvlText w:val="•"/>
      <w:lvlJc w:val="left"/>
      <w:pPr>
        <w:ind w:left="677" w:hanging="323"/>
      </w:pPr>
      <w:rPr>
        <w:rFonts w:hint="default"/>
        <w:lang w:val="en-US" w:eastAsia="en-US" w:bidi="ar-SA"/>
      </w:rPr>
    </w:lvl>
    <w:lvl w:ilvl="3">
      <w:start w:val="0"/>
      <w:numFmt w:val="bullet"/>
      <w:lvlText w:val="•"/>
      <w:lvlJc w:val="left"/>
      <w:pPr>
        <w:ind w:left="816" w:hanging="323"/>
      </w:pPr>
      <w:rPr>
        <w:rFonts w:hint="default"/>
        <w:lang w:val="en-US" w:eastAsia="en-US" w:bidi="ar-SA"/>
      </w:rPr>
    </w:lvl>
    <w:lvl w:ilvl="4">
      <w:start w:val="0"/>
      <w:numFmt w:val="bullet"/>
      <w:lvlText w:val="•"/>
      <w:lvlJc w:val="left"/>
      <w:pPr>
        <w:ind w:left="954" w:hanging="323"/>
      </w:pPr>
      <w:rPr>
        <w:rFonts w:hint="default"/>
        <w:lang w:val="en-US" w:eastAsia="en-US" w:bidi="ar-SA"/>
      </w:rPr>
    </w:lvl>
    <w:lvl w:ilvl="5">
      <w:start w:val="0"/>
      <w:numFmt w:val="bullet"/>
      <w:lvlText w:val="•"/>
      <w:lvlJc w:val="left"/>
      <w:pPr>
        <w:ind w:left="1093" w:hanging="323"/>
      </w:pPr>
      <w:rPr>
        <w:rFonts w:hint="default"/>
        <w:lang w:val="en-US" w:eastAsia="en-US" w:bidi="ar-SA"/>
      </w:rPr>
    </w:lvl>
    <w:lvl w:ilvl="6">
      <w:start w:val="0"/>
      <w:numFmt w:val="bullet"/>
      <w:lvlText w:val="•"/>
      <w:lvlJc w:val="left"/>
      <w:pPr>
        <w:ind w:left="1232" w:hanging="323"/>
      </w:pPr>
      <w:rPr>
        <w:rFonts w:hint="default"/>
        <w:lang w:val="en-US" w:eastAsia="en-US" w:bidi="ar-SA"/>
      </w:rPr>
    </w:lvl>
    <w:lvl w:ilvl="7">
      <w:start w:val="0"/>
      <w:numFmt w:val="bullet"/>
      <w:lvlText w:val="•"/>
      <w:lvlJc w:val="left"/>
      <w:pPr>
        <w:ind w:left="1370" w:hanging="323"/>
      </w:pPr>
      <w:rPr>
        <w:rFonts w:hint="default"/>
        <w:lang w:val="en-US" w:eastAsia="en-US" w:bidi="ar-SA"/>
      </w:rPr>
    </w:lvl>
    <w:lvl w:ilvl="8">
      <w:start w:val="0"/>
      <w:numFmt w:val="bullet"/>
      <w:lvlText w:val="•"/>
      <w:lvlJc w:val="left"/>
      <w:pPr>
        <w:ind w:left="1509" w:hanging="323"/>
      </w:pPr>
      <w:rPr>
        <w:rFonts w:hint="default"/>
        <w:lang w:val="en-US" w:eastAsia="en-US" w:bidi="ar-SA"/>
      </w:rPr>
    </w:lvl>
  </w:abstractNum>
  <w:abstractNum w:abstractNumId="64">
    <w:multiLevelType w:val="hybridMultilevel"/>
    <w:lvl w:ilvl="0">
      <w:start w:val="0"/>
      <w:numFmt w:val="bullet"/>
      <w:lvlText w:val=""/>
      <w:lvlJc w:val="left"/>
      <w:pPr>
        <w:ind w:left="409" w:hanging="323"/>
      </w:pPr>
      <w:rPr>
        <w:rFonts w:hint="default" w:ascii="Wingdings" w:hAnsi="Wingdings" w:eastAsia="Wingdings" w:cs="Wingdings"/>
        <w:b w:val="0"/>
        <w:bCs w:val="0"/>
        <w:i w:val="0"/>
        <w:iCs w:val="0"/>
        <w:color w:val="FFFFFF"/>
        <w:spacing w:val="0"/>
        <w:w w:val="103"/>
        <w:sz w:val="16"/>
        <w:szCs w:val="16"/>
        <w:lang w:val="en-US" w:eastAsia="en-US" w:bidi="ar-SA"/>
      </w:rPr>
    </w:lvl>
    <w:lvl w:ilvl="1">
      <w:start w:val="0"/>
      <w:numFmt w:val="bullet"/>
      <w:lvlText w:val="•"/>
      <w:lvlJc w:val="left"/>
      <w:pPr>
        <w:ind w:left="538" w:hanging="323"/>
      </w:pPr>
      <w:rPr>
        <w:rFonts w:hint="default"/>
        <w:lang w:val="en-US" w:eastAsia="en-US" w:bidi="ar-SA"/>
      </w:rPr>
    </w:lvl>
    <w:lvl w:ilvl="2">
      <w:start w:val="0"/>
      <w:numFmt w:val="bullet"/>
      <w:lvlText w:val="•"/>
      <w:lvlJc w:val="left"/>
      <w:pPr>
        <w:ind w:left="677" w:hanging="323"/>
      </w:pPr>
      <w:rPr>
        <w:rFonts w:hint="default"/>
        <w:lang w:val="en-US" w:eastAsia="en-US" w:bidi="ar-SA"/>
      </w:rPr>
    </w:lvl>
    <w:lvl w:ilvl="3">
      <w:start w:val="0"/>
      <w:numFmt w:val="bullet"/>
      <w:lvlText w:val="•"/>
      <w:lvlJc w:val="left"/>
      <w:pPr>
        <w:ind w:left="816" w:hanging="323"/>
      </w:pPr>
      <w:rPr>
        <w:rFonts w:hint="default"/>
        <w:lang w:val="en-US" w:eastAsia="en-US" w:bidi="ar-SA"/>
      </w:rPr>
    </w:lvl>
    <w:lvl w:ilvl="4">
      <w:start w:val="0"/>
      <w:numFmt w:val="bullet"/>
      <w:lvlText w:val="•"/>
      <w:lvlJc w:val="left"/>
      <w:pPr>
        <w:ind w:left="954" w:hanging="323"/>
      </w:pPr>
      <w:rPr>
        <w:rFonts w:hint="default"/>
        <w:lang w:val="en-US" w:eastAsia="en-US" w:bidi="ar-SA"/>
      </w:rPr>
    </w:lvl>
    <w:lvl w:ilvl="5">
      <w:start w:val="0"/>
      <w:numFmt w:val="bullet"/>
      <w:lvlText w:val="•"/>
      <w:lvlJc w:val="left"/>
      <w:pPr>
        <w:ind w:left="1093" w:hanging="323"/>
      </w:pPr>
      <w:rPr>
        <w:rFonts w:hint="default"/>
        <w:lang w:val="en-US" w:eastAsia="en-US" w:bidi="ar-SA"/>
      </w:rPr>
    </w:lvl>
    <w:lvl w:ilvl="6">
      <w:start w:val="0"/>
      <w:numFmt w:val="bullet"/>
      <w:lvlText w:val="•"/>
      <w:lvlJc w:val="left"/>
      <w:pPr>
        <w:ind w:left="1232" w:hanging="323"/>
      </w:pPr>
      <w:rPr>
        <w:rFonts w:hint="default"/>
        <w:lang w:val="en-US" w:eastAsia="en-US" w:bidi="ar-SA"/>
      </w:rPr>
    </w:lvl>
    <w:lvl w:ilvl="7">
      <w:start w:val="0"/>
      <w:numFmt w:val="bullet"/>
      <w:lvlText w:val="•"/>
      <w:lvlJc w:val="left"/>
      <w:pPr>
        <w:ind w:left="1370" w:hanging="323"/>
      </w:pPr>
      <w:rPr>
        <w:rFonts w:hint="default"/>
        <w:lang w:val="en-US" w:eastAsia="en-US" w:bidi="ar-SA"/>
      </w:rPr>
    </w:lvl>
    <w:lvl w:ilvl="8">
      <w:start w:val="0"/>
      <w:numFmt w:val="bullet"/>
      <w:lvlText w:val="•"/>
      <w:lvlJc w:val="left"/>
      <w:pPr>
        <w:ind w:left="1509" w:hanging="323"/>
      </w:pPr>
      <w:rPr>
        <w:rFonts w:hint="default"/>
        <w:lang w:val="en-US" w:eastAsia="en-US" w:bidi="ar-SA"/>
      </w:rPr>
    </w:lvl>
  </w:abstractNum>
  <w:abstractNum w:abstractNumId="63">
    <w:multiLevelType w:val="hybridMultilevel"/>
    <w:lvl w:ilvl="0">
      <w:start w:val="0"/>
      <w:numFmt w:val="bullet"/>
      <w:lvlText w:val=""/>
      <w:lvlJc w:val="left"/>
      <w:pPr>
        <w:ind w:left="405" w:hanging="319"/>
      </w:pPr>
      <w:rPr>
        <w:rFonts w:hint="default" w:ascii="Wingdings" w:hAnsi="Wingdings" w:eastAsia="Wingdings" w:cs="Wingdings"/>
        <w:b w:val="0"/>
        <w:bCs w:val="0"/>
        <w:i w:val="0"/>
        <w:iCs w:val="0"/>
        <w:color w:val="FFFFFF"/>
        <w:spacing w:val="0"/>
        <w:w w:val="103"/>
        <w:sz w:val="16"/>
        <w:szCs w:val="16"/>
        <w:lang w:val="en-US" w:eastAsia="en-US" w:bidi="ar-SA"/>
      </w:rPr>
    </w:lvl>
    <w:lvl w:ilvl="1">
      <w:start w:val="0"/>
      <w:numFmt w:val="bullet"/>
      <w:lvlText w:val="•"/>
      <w:lvlJc w:val="left"/>
      <w:pPr>
        <w:ind w:left="538" w:hanging="319"/>
      </w:pPr>
      <w:rPr>
        <w:rFonts w:hint="default"/>
        <w:lang w:val="en-US" w:eastAsia="en-US" w:bidi="ar-SA"/>
      </w:rPr>
    </w:lvl>
    <w:lvl w:ilvl="2">
      <w:start w:val="0"/>
      <w:numFmt w:val="bullet"/>
      <w:lvlText w:val="•"/>
      <w:lvlJc w:val="left"/>
      <w:pPr>
        <w:ind w:left="677" w:hanging="319"/>
      </w:pPr>
      <w:rPr>
        <w:rFonts w:hint="default"/>
        <w:lang w:val="en-US" w:eastAsia="en-US" w:bidi="ar-SA"/>
      </w:rPr>
    </w:lvl>
    <w:lvl w:ilvl="3">
      <w:start w:val="0"/>
      <w:numFmt w:val="bullet"/>
      <w:lvlText w:val="•"/>
      <w:lvlJc w:val="left"/>
      <w:pPr>
        <w:ind w:left="816" w:hanging="319"/>
      </w:pPr>
      <w:rPr>
        <w:rFonts w:hint="default"/>
        <w:lang w:val="en-US" w:eastAsia="en-US" w:bidi="ar-SA"/>
      </w:rPr>
    </w:lvl>
    <w:lvl w:ilvl="4">
      <w:start w:val="0"/>
      <w:numFmt w:val="bullet"/>
      <w:lvlText w:val="•"/>
      <w:lvlJc w:val="left"/>
      <w:pPr>
        <w:ind w:left="954" w:hanging="319"/>
      </w:pPr>
      <w:rPr>
        <w:rFonts w:hint="default"/>
        <w:lang w:val="en-US" w:eastAsia="en-US" w:bidi="ar-SA"/>
      </w:rPr>
    </w:lvl>
    <w:lvl w:ilvl="5">
      <w:start w:val="0"/>
      <w:numFmt w:val="bullet"/>
      <w:lvlText w:val="•"/>
      <w:lvlJc w:val="left"/>
      <w:pPr>
        <w:ind w:left="1093" w:hanging="319"/>
      </w:pPr>
      <w:rPr>
        <w:rFonts w:hint="default"/>
        <w:lang w:val="en-US" w:eastAsia="en-US" w:bidi="ar-SA"/>
      </w:rPr>
    </w:lvl>
    <w:lvl w:ilvl="6">
      <w:start w:val="0"/>
      <w:numFmt w:val="bullet"/>
      <w:lvlText w:val="•"/>
      <w:lvlJc w:val="left"/>
      <w:pPr>
        <w:ind w:left="1232" w:hanging="319"/>
      </w:pPr>
      <w:rPr>
        <w:rFonts w:hint="default"/>
        <w:lang w:val="en-US" w:eastAsia="en-US" w:bidi="ar-SA"/>
      </w:rPr>
    </w:lvl>
    <w:lvl w:ilvl="7">
      <w:start w:val="0"/>
      <w:numFmt w:val="bullet"/>
      <w:lvlText w:val="•"/>
      <w:lvlJc w:val="left"/>
      <w:pPr>
        <w:ind w:left="1370" w:hanging="319"/>
      </w:pPr>
      <w:rPr>
        <w:rFonts w:hint="default"/>
        <w:lang w:val="en-US" w:eastAsia="en-US" w:bidi="ar-SA"/>
      </w:rPr>
    </w:lvl>
    <w:lvl w:ilvl="8">
      <w:start w:val="0"/>
      <w:numFmt w:val="bullet"/>
      <w:lvlText w:val="•"/>
      <w:lvlJc w:val="left"/>
      <w:pPr>
        <w:ind w:left="1509" w:hanging="319"/>
      </w:pPr>
      <w:rPr>
        <w:rFonts w:hint="default"/>
        <w:lang w:val="en-US" w:eastAsia="en-US" w:bidi="ar-SA"/>
      </w:rPr>
    </w:lvl>
  </w:abstractNum>
  <w:abstractNum w:abstractNumId="62">
    <w:multiLevelType w:val="hybridMultilevel"/>
    <w:lvl w:ilvl="0">
      <w:start w:val="0"/>
      <w:numFmt w:val="bullet"/>
      <w:lvlText w:val=""/>
      <w:lvlJc w:val="left"/>
      <w:pPr>
        <w:ind w:left="409" w:hanging="323"/>
      </w:pPr>
      <w:rPr>
        <w:rFonts w:hint="default" w:ascii="Wingdings" w:hAnsi="Wingdings" w:eastAsia="Wingdings" w:cs="Wingdings"/>
        <w:b w:val="0"/>
        <w:bCs w:val="0"/>
        <w:i w:val="0"/>
        <w:iCs w:val="0"/>
        <w:color w:val="FFFFFF"/>
        <w:spacing w:val="0"/>
        <w:w w:val="103"/>
        <w:sz w:val="16"/>
        <w:szCs w:val="16"/>
        <w:lang w:val="en-US" w:eastAsia="en-US" w:bidi="ar-SA"/>
      </w:rPr>
    </w:lvl>
    <w:lvl w:ilvl="1">
      <w:start w:val="0"/>
      <w:numFmt w:val="bullet"/>
      <w:lvlText w:val="•"/>
      <w:lvlJc w:val="left"/>
      <w:pPr>
        <w:ind w:left="538" w:hanging="323"/>
      </w:pPr>
      <w:rPr>
        <w:rFonts w:hint="default"/>
        <w:lang w:val="en-US" w:eastAsia="en-US" w:bidi="ar-SA"/>
      </w:rPr>
    </w:lvl>
    <w:lvl w:ilvl="2">
      <w:start w:val="0"/>
      <w:numFmt w:val="bullet"/>
      <w:lvlText w:val="•"/>
      <w:lvlJc w:val="left"/>
      <w:pPr>
        <w:ind w:left="677" w:hanging="323"/>
      </w:pPr>
      <w:rPr>
        <w:rFonts w:hint="default"/>
        <w:lang w:val="en-US" w:eastAsia="en-US" w:bidi="ar-SA"/>
      </w:rPr>
    </w:lvl>
    <w:lvl w:ilvl="3">
      <w:start w:val="0"/>
      <w:numFmt w:val="bullet"/>
      <w:lvlText w:val="•"/>
      <w:lvlJc w:val="left"/>
      <w:pPr>
        <w:ind w:left="816" w:hanging="323"/>
      </w:pPr>
      <w:rPr>
        <w:rFonts w:hint="default"/>
        <w:lang w:val="en-US" w:eastAsia="en-US" w:bidi="ar-SA"/>
      </w:rPr>
    </w:lvl>
    <w:lvl w:ilvl="4">
      <w:start w:val="0"/>
      <w:numFmt w:val="bullet"/>
      <w:lvlText w:val="•"/>
      <w:lvlJc w:val="left"/>
      <w:pPr>
        <w:ind w:left="954" w:hanging="323"/>
      </w:pPr>
      <w:rPr>
        <w:rFonts w:hint="default"/>
        <w:lang w:val="en-US" w:eastAsia="en-US" w:bidi="ar-SA"/>
      </w:rPr>
    </w:lvl>
    <w:lvl w:ilvl="5">
      <w:start w:val="0"/>
      <w:numFmt w:val="bullet"/>
      <w:lvlText w:val="•"/>
      <w:lvlJc w:val="left"/>
      <w:pPr>
        <w:ind w:left="1093" w:hanging="323"/>
      </w:pPr>
      <w:rPr>
        <w:rFonts w:hint="default"/>
        <w:lang w:val="en-US" w:eastAsia="en-US" w:bidi="ar-SA"/>
      </w:rPr>
    </w:lvl>
    <w:lvl w:ilvl="6">
      <w:start w:val="0"/>
      <w:numFmt w:val="bullet"/>
      <w:lvlText w:val="•"/>
      <w:lvlJc w:val="left"/>
      <w:pPr>
        <w:ind w:left="1232" w:hanging="323"/>
      </w:pPr>
      <w:rPr>
        <w:rFonts w:hint="default"/>
        <w:lang w:val="en-US" w:eastAsia="en-US" w:bidi="ar-SA"/>
      </w:rPr>
    </w:lvl>
    <w:lvl w:ilvl="7">
      <w:start w:val="0"/>
      <w:numFmt w:val="bullet"/>
      <w:lvlText w:val="•"/>
      <w:lvlJc w:val="left"/>
      <w:pPr>
        <w:ind w:left="1370" w:hanging="323"/>
      </w:pPr>
      <w:rPr>
        <w:rFonts w:hint="default"/>
        <w:lang w:val="en-US" w:eastAsia="en-US" w:bidi="ar-SA"/>
      </w:rPr>
    </w:lvl>
    <w:lvl w:ilvl="8">
      <w:start w:val="0"/>
      <w:numFmt w:val="bullet"/>
      <w:lvlText w:val="•"/>
      <w:lvlJc w:val="left"/>
      <w:pPr>
        <w:ind w:left="1509" w:hanging="323"/>
      </w:pPr>
      <w:rPr>
        <w:rFonts w:hint="default"/>
        <w:lang w:val="en-US" w:eastAsia="en-US" w:bidi="ar-SA"/>
      </w:rPr>
    </w:lvl>
  </w:abstractNum>
  <w:abstractNum w:abstractNumId="61">
    <w:multiLevelType w:val="hybridMultilevel"/>
    <w:lvl w:ilvl="0">
      <w:start w:val="0"/>
      <w:numFmt w:val="bullet"/>
      <w:lvlText w:val=""/>
      <w:lvlJc w:val="left"/>
      <w:pPr>
        <w:ind w:left="409" w:hanging="323"/>
      </w:pPr>
      <w:rPr>
        <w:rFonts w:hint="default" w:ascii="Wingdings" w:hAnsi="Wingdings" w:eastAsia="Wingdings" w:cs="Wingdings"/>
        <w:b w:val="0"/>
        <w:bCs w:val="0"/>
        <w:i w:val="0"/>
        <w:iCs w:val="0"/>
        <w:color w:val="FFFFFF"/>
        <w:spacing w:val="0"/>
        <w:w w:val="103"/>
        <w:sz w:val="16"/>
        <w:szCs w:val="16"/>
        <w:lang w:val="en-US" w:eastAsia="en-US" w:bidi="ar-SA"/>
      </w:rPr>
    </w:lvl>
    <w:lvl w:ilvl="1">
      <w:start w:val="0"/>
      <w:numFmt w:val="bullet"/>
      <w:lvlText w:val="•"/>
      <w:lvlJc w:val="left"/>
      <w:pPr>
        <w:ind w:left="538" w:hanging="323"/>
      </w:pPr>
      <w:rPr>
        <w:rFonts w:hint="default"/>
        <w:lang w:val="en-US" w:eastAsia="en-US" w:bidi="ar-SA"/>
      </w:rPr>
    </w:lvl>
    <w:lvl w:ilvl="2">
      <w:start w:val="0"/>
      <w:numFmt w:val="bullet"/>
      <w:lvlText w:val="•"/>
      <w:lvlJc w:val="left"/>
      <w:pPr>
        <w:ind w:left="677" w:hanging="323"/>
      </w:pPr>
      <w:rPr>
        <w:rFonts w:hint="default"/>
        <w:lang w:val="en-US" w:eastAsia="en-US" w:bidi="ar-SA"/>
      </w:rPr>
    </w:lvl>
    <w:lvl w:ilvl="3">
      <w:start w:val="0"/>
      <w:numFmt w:val="bullet"/>
      <w:lvlText w:val="•"/>
      <w:lvlJc w:val="left"/>
      <w:pPr>
        <w:ind w:left="816" w:hanging="323"/>
      </w:pPr>
      <w:rPr>
        <w:rFonts w:hint="default"/>
        <w:lang w:val="en-US" w:eastAsia="en-US" w:bidi="ar-SA"/>
      </w:rPr>
    </w:lvl>
    <w:lvl w:ilvl="4">
      <w:start w:val="0"/>
      <w:numFmt w:val="bullet"/>
      <w:lvlText w:val="•"/>
      <w:lvlJc w:val="left"/>
      <w:pPr>
        <w:ind w:left="954" w:hanging="323"/>
      </w:pPr>
      <w:rPr>
        <w:rFonts w:hint="default"/>
        <w:lang w:val="en-US" w:eastAsia="en-US" w:bidi="ar-SA"/>
      </w:rPr>
    </w:lvl>
    <w:lvl w:ilvl="5">
      <w:start w:val="0"/>
      <w:numFmt w:val="bullet"/>
      <w:lvlText w:val="•"/>
      <w:lvlJc w:val="left"/>
      <w:pPr>
        <w:ind w:left="1093" w:hanging="323"/>
      </w:pPr>
      <w:rPr>
        <w:rFonts w:hint="default"/>
        <w:lang w:val="en-US" w:eastAsia="en-US" w:bidi="ar-SA"/>
      </w:rPr>
    </w:lvl>
    <w:lvl w:ilvl="6">
      <w:start w:val="0"/>
      <w:numFmt w:val="bullet"/>
      <w:lvlText w:val="•"/>
      <w:lvlJc w:val="left"/>
      <w:pPr>
        <w:ind w:left="1232" w:hanging="323"/>
      </w:pPr>
      <w:rPr>
        <w:rFonts w:hint="default"/>
        <w:lang w:val="en-US" w:eastAsia="en-US" w:bidi="ar-SA"/>
      </w:rPr>
    </w:lvl>
    <w:lvl w:ilvl="7">
      <w:start w:val="0"/>
      <w:numFmt w:val="bullet"/>
      <w:lvlText w:val="•"/>
      <w:lvlJc w:val="left"/>
      <w:pPr>
        <w:ind w:left="1370" w:hanging="323"/>
      </w:pPr>
      <w:rPr>
        <w:rFonts w:hint="default"/>
        <w:lang w:val="en-US" w:eastAsia="en-US" w:bidi="ar-SA"/>
      </w:rPr>
    </w:lvl>
    <w:lvl w:ilvl="8">
      <w:start w:val="0"/>
      <w:numFmt w:val="bullet"/>
      <w:lvlText w:val="•"/>
      <w:lvlJc w:val="left"/>
      <w:pPr>
        <w:ind w:left="1509" w:hanging="323"/>
      </w:pPr>
      <w:rPr>
        <w:rFonts w:hint="default"/>
        <w:lang w:val="en-US" w:eastAsia="en-US" w:bidi="ar-SA"/>
      </w:rPr>
    </w:lvl>
  </w:abstractNum>
  <w:abstractNum w:abstractNumId="60">
    <w:multiLevelType w:val="hybridMultilevel"/>
    <w:lvl w:ilvl="0">
      <w:start w:val="0"/>
      <w:numFmt w:val="bullet"/>
      <w:lvlText w:val=""/>
      <w:lvlJc w:val="left"/>
      <w:pPr>
        <w:ind w:left="405" w:hanging="319"/>
      </w:pPr>
      <w:rPr>
        <w:rFonts w:hint="default" w:ascii="Wingdings" w:hAnsi="Wingdings" w:eastAsia="Wingdings" w:cs="Wingdings"/>
        <w:b w:val="0"/>
        <w:bCs w:val="0"/>
        <w:i w:val="0"/>
        <w:iCs w:val="0"/>
        <w:color w:val="FFFFFF"/>
        <w:spacing w:val="0"/>
        <w:w w:val="103"/>
        <w:sz w:val="16"/>
        <w:szCs w:val="16"/>
        <w:lang w:val="en-US" w:eastAsia="en-US" w:bidi="ar-SA"/>
      </w:rPr>
    </w:lvl>
    <w:lvl w:ilvl="1">
      <w:start w:val="0"/>
      <w:numFmt w:val="bullet"/>
      <w:lvlText w:val="•"/>
      <w:lvlJc w:val="left"/>
      <w:pPr>
        <w:ind w:left="538" w:hanging="319"/>
      </w:pPr>
      <w:rPr>
        <w:rFonts w:hint="default"/>
        <w:lang w:val="en-US" w:eastAsia="en-US" w:bidi="ar-SA"/>
      </w:rPr>
    </w:lvl>
    <w:lvl w:ilvl="2">
      <w:start w:val="0"/>
      <w:numFmt w:val="bullet"/>
      <w:lvlText w:val="•"/>
      <w:lvlJc w:val="left"/>
      <w:pPr>
        <w:ind w:left="677" w:hanging="319"/>
      </w:pPr>
      <w:rPr>
        <w:rFonts w:hint="default"/>
        <w:lang w:val="en-US" w:eastAsia="en-US" w:bidi="ar-SA"/>
      </w:rPr>
    </w:lvl>
    <w:lvl w:ilvl="3">
      <w:start w:val="0"/>
      <w:numFmt w:val="bullet"/>
      <w:lvlText w:val="•"/>
      <w:lvlJc w:val="left"/>
      <w:pPr>
        <w:ind w:left="816" w:hanging="319"/>
      </w:pPr>
      <w:rPr>
        <w:rFonts w:hint="default"/>
        <w:lang w:val="en-US" w:eastAsia="en-US" w:bidi="ar-SA"/>
      </w:rPr>
    </w:lvl>
    <w:lvl w:ilvl="4">
      <w:start w:val="0"/>
      <w:numFmt w:val="bullet"/>
      <w:lvlText w:val="•"/>
      <w:lvlJc w:val="left"/>
      <w:pPr>
        <w:ind w:left="954" w:hanging="319"/>
      </w:pPr>
      <w:rPr>
        <w:rFonts w:hint="default"/>
        <w:lang w:val="en-US" w:eastAsia="en-US" w:bidi="ar-SA"/>
      </w:rPr>
    </w:lvl>
    <w:lvl w:ilvl="5">
      <w:start w:val="0"/>
      <w:numFmt w:val="bullet"/>
      <w:lvlText w:val="•"/>
      <w:lvlJc w:val="left"/>
      <w:pPr>
        <w:ind w:left="1093" w:hanging="319"/>
      </w:pPr>
      <w:rPr>
        <w:rFonts w:hint="default"/>
        <w:lang w:val="en-US" w:eastAsia="en-US" w:bidi="ar-SA"/>
      </w:rPr>
    </w:lvl>
    <w:lvl w:ilvl="6">
      <w:start w:val="0"/>
      <w:numFmt w:val="bullet"/>
      <w:lvlText w:val="•"/>
      <w:lvlJc w:val="left"/>
      <w:pPr>
        <w:ind w:left="1232" w:hanging="319"/>
      </w:pPr>
      <w:rPr>
        <w:rFonts w:hint="default"/>
        <w:lang w:val="en-US" w:eastAsia="en-US" w:bidi="ar-SA"/>
      </w:rPr>
    </w:lvl>
    <w:lvl w:ilvl="7">
      <w:start w:val="0"/>
      <w:numFmt w:val="bullet"/>
      <w:lvlText w:val="•"/>
      <w:lvlJc w:val="left"/>
      <w:pPr>
        <w:ind w:left="1370" w:hanging="319"/>
      </w:pPr>
      <w:rPr>
        <w:rFonts w:hint="default"/>
        <w:lang w:val="en-US" w:eastAsia="en-US" w:bidi="ar-SA"/>
      </w:rPr>
    </w:lvl>
    <w:lvl w:ilvl="8">
      <w:start w:val="0"/>
      <w:numFmt w:val="bullet"/>
      <w:lvlText w:val="•"/>
      <w:lvlJc w:val="left"/>
      <w:pPr>
        <w:ind w:left="1509" w:hanging="319"/>
      </w:pPr>
      <w:rPr>
        <w:rFonts w:hint="default"/>
        <w:lang w:val="en-US" w:eastAsia="en-US" w:bidi="ar-SA"/>
      </w:rPr>
    </w:lvl>
  </w:abstractNum>
  <w:abstractNum w:abstractNumId="59">
    <w:multiLevelType w:val="hybridMultilevel"/>
    <w:lvl w:ilvl="0">
      <w:start w:val="1"/>
      <w:numFmt w:val="lowerLetter"/>
      <w:lvlText w:val="(%1)"/>
      <w:lvlJc w:val="left"/>
      <w:pPr>
        <w:ind w:left="240" w:hanging="334"/>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1">
      <w:start w:val="0"/>
      <w:numFmt w:val="bullet"/>
      <w:lvlText w:val="•"/>
      <w:lvlJc w:val="left"/>
      <w:pPr>
        <w:ind w:left="1260" w:hanging="334"/>
      </w:pPr>
      <w:rPr>
        <w:rFonts w:hint="default"/>
        <w:lang w:val="en-US" w:eastAsia="en-US" w:bidi="ar-SA"/>
      </w:rPr>
    </w:lvl>
    <w:lvl w:ilvl="2">
      <w:start w:val="0"/>
      <w:numFmt w:val="bullet"/>
      <w:lvlText w:val="•"/>
      <w:lvlJc w:val="left"/>
      <w:pPr>
        <w:ind w:left="2280" w:hanging="334"/>
      </w:pPr>
      <w:rPr>
        <w:rFonts w:hint="default"/>
        <w:lang w:val="en-US" w:eastAsia="en-US" w:bidi="ar-SA"/>
      </w:rPr>
    </w:lvl>
    <w:lvl w:ilvl="3">
      <w:start w:val="0"/>
      <w:numFmt w:val="bullet"/>
      <w:lvlText w:val="•"/>
      <w:lvlJc w:val="left"/>
      <w:pPr>
        <w:ind w:left="3300" w:hanging="334"/>
      </w:pPr>
      <w:rPr>
        <w:rFonts w:hint="default"/>
        <w:lang w:val="en-US" w:eastAsia="en-US" w:bidi="ar-SA"/>
      </w:rPr>
    </w:lvl>
    <w:lvl w:ilvl="4">
      <w:start w:val="0"/>
      <w:numFmt w:val="bullet"/>
      <w:lvlText w:val="•"/>
      <w:lvlJc w:val="left"/>
      <w:pPr>
        <w:ind w:left="4320" w:hanging="334"/>
      </w:pPr>
      <w:rPr>
        <w:rFonts w:hint="default"/>
        <w:lang w:val="en-US" w:eastAsia="en-US" w:bidi="ar-SA"/>
      </w:rPr>
    </w:lvl>
    <w:lvl w:ilvl="5">
      <w:start w:val="0"/>
      <w:numFmt w:val="bullet"/>
      <w:lvlText w:val="•"/>
      <w:lvlJc w:val="left"/>
      <w:pPr>
        <w:ind w:left="5340" w:hanging="334"/>
      </w:pPr>
      <w:rPr>
        <w:rFonts w:hint="default"/>
        <w:lang w:val="en-US" w:eastAsia="en-US" w:bidi="ar-SA"/>
      </w:rPr>
    </w:lvl>
    <w:lvl w:ilvl="6">
      <w:start w:val="0"/>
      <w:numFmt w:val="bullet"/>
      <w:lvlText w:val="•"/>
      <w:lvlJc w:val="left"/>
      <w:pPr>
        <w:ind w:left="6360" w:hanging="334"/>
      </w:pPr>
      <w:rPr>
        <w:rFonts w:hint="default"/>
        <w:lang w:val="en-US" w:eastAsia="en-US" w:bidi="ar-SA"/>
      </w:rPr>
    </w:lvl>
    <w:lvl w:ilvl="7">
      <w:start w:val="0"/>
      <w:numFmt w:val="bullet"/>
      <w:lvlText w:val="•"/>
      <w:lvlJc w:val="left"/>
      <w:pPr>
        <w:ind w:left="7380" w:hanging="334"/>
      </w:pPr>
      <w:rPr>
        <w:rFonts w:hint="default"/>
        <w:lang w:val="en-US" w:eastAsia="en-US" w:bidi="ar-SA"/>
      </w:rPr>
    </w:lvl>
    <w:lvl w:ilvl="8">
      <w:start w:val="0"/>
      <w:numFmt w:val="bullet"/>
      <w:lvlText w:val="•"/>
      <w:lvlJc w:val="left"/>
      <w:pPr>
        <w:ind w:left="8400" w:hanging="334"/>
      </w:pPr>
      <w:rPr>
        <w:rFonts w:hint="default"/>
        <w:lang w:val="en-US" w:eastAsia="en-US" w:bidi="ar-SA"/>
      </w:rPr>
    </w:lvl>
  </w:abstractNum>
  <w:abstractNum w:abstractNumId="58">
    <w:multiLevelType w:val="hybridMultilevel"/>
    <w:lvl w:ilvl="0">
      <w:start w:val="1"/>
      <w:numFmt w:val="lowerLetter"/>
      <w:lvlText w:val="(%1)"/>
      <w:lvlJc w:val="left"/>
      <w:pPr>
        <w:ind w:left="581" w:hanging="341"/>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1"/>
      <w:numFmt w:val="lowerLetter"/>
      <w:lvlText w:val="(%2)"/>
      <w:lvlJc w:val="left"/>
      <w:pPr>
        <w:ind w:left="960" w:hanging="360"/>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2">
      <w:start w:val="0"/>
      <w:numFmt w:val="bullet"/>
      <w:lvlText w:val="•"/>
      <w:lvlJc w:val="left"/>
      <w:pPr>
        <w:ind w:left="2013" w:hanging="360"/>
      </w:pPr>
      <w:rPr>
        <w:rFonts w:hint="default"/>
        <w:lang w:val="en-US" w:eastAsia="en-US" w:bidi="ar-SA"/>
      </w:rPr>
    </w:lvl>
    <w:lvl w:ilvl="3">
      <w:start w:val="0"/>
      <w:numFmt w:val="bullet"/>
      <w:lvlText w:val="•"/>
      <w:lvlJc w:val="left"/>
      <w:pPr>
        <w:ind w:left="3066" w:hanging="360"/>
      </w:pPr>
      <w:rPr>
        <w:rFonts w:hint="default"/>
        <w:lang w:val="en-US" w:eastAsia="en-US" w:bidi="ar-SA"/>
      </w:rPr>
    </w:lvl>
    <w:lvl w:ilvl="4">
      <w:start w:val="0"/>
      <w:numFmt w:val="bullet"/>
      <w:lvlText w:val="•"/>
      <w:lvlJc w:val="left"/>
      <w:pPr>
        <w:ind w:left="4120" w:hanging="360"/>
      </w:pPr>
      <w:rPr>
        <w:rFonts w:hint="default"/>
        <w:lang w:val="en-US" w:eastAsia="en-US" w:bidi="ar-SA"/>
      </w:rPr>
    </w:lvl>
    <w:lvl w:ilvl="5">
      <w:start w:val="0"/>
      <w:numFmt w:val="bullet"/>
      <w:lvlText w:val="•"/>
      <w:lvlJc w:val="left"/>
      <w:pPr>
        <w:ind w:left="5173" w:hanging="360"/>
      </w:pPr>
      <w:rPr>
        <w:rFonts w:hint="default"/>
        <w:lang w:val="en-US" w:eastAsia="en-US" w:bidi="ar-SA"/>
      </w:rPr>
    </w:lvl>
    <w:lvl w:ilvl="6">
      <w:start w:val="0"/>
      <w:numFmt w:val="bullet"/>
      <w:lvlText w:val="•"/>
      <w:lvlJc w:val="left"/>
      <w:pPr>
        <w:ind w:left="6226" w:hanging="360"/>
      </w:pPr>
      <w:rPr>
        <w:rFonts w:hint="default"/>
        <w:lang w:val="en-US" w:eastAsia="en-US" w:bidi="ar-SA"/>
      </w:rPr>
    </w:lvl>
    <w:lvl w:ilvl="7">
      <w:start w:val="0"/>
      <w:numFmt w:val="bullet"/>
      <w:lvlText w:val="•"/>
      <w:lvlJc w:val="left"/>
      <w:pPr>
        <w:ind w:left="7280" w:hanging="360"/>
      </w:pPr>
      <w:rPr>
        <w:rFonts w:hint="default"/>
        <w:lang w:val="en-US" w:eastAsia="en-US" w:bidi="ar-SA"/>
      </w:rPr>
    </w:lvl>
    <w:lvl w:ilvl="8">
      <w:start w:val="0"/>
      <w:numFmt w:val="bullet"/>
      <w:lvlText w:val="•"/>
      <w:lvlJc w:val="left"/>
      <w:pPr>
        <w:ind w:left="8333" w:hanging="360"/>
      </w:pPr>
      <w:rPr>
        <w:rFonts w:hint="default"/>
        <w:lang w:val="en-US" w:eastAsia="en-US" w:bidi="ar-SA"/>
      </w:rPr>
    </w:lvl>
  </w:abstractNum>
  <w:abstractNum w:abstractNumId="57">
    <w:multiLevelType w:val="hybridMultilevel"/>
    <w:lvl w:ilvl="0">
      <w:start w:val="1"/>
      <w:numFmt w:val="lowerLetter"/>
      <w:lvlText w:val="(%1)"/>
      <w:lvlJc w:val="left"/>
      <w:pPr>
        <w:ind w:left="240" w:hanging="413"/>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260" w:hanging="413"/>
      </w:pPr>
      <w:rPr>
        <w:rFonts w:hint="default"/>
        <w:lang w:val="en-US" w:eastAsia="en-US" w:bidi="ar-SA"/>
      </w:rPr>
    </w:lvl>
    <w:lvl w:ilvl="2">
      <w:start w:val="0"/>
      <w:numFmt w:val="bullet"/>
      <w:lvlText w:val="•"/>
      <w:lvlJc w:val="left"/>
      <w:pPr>
        <w:ind w:left="2280" w:hanging="413"/>
      </w:pPr>
      <w:rPr>
        <w:rFonts w:hint="default"/>
        <w:lang w:val="en-US" w:eastAsia="en-US" w:bidi="ar-SA"/>
      </w:rPr>
    </w:lvl>
    <w:lvl w:ilvl="3">
      <w:start w:val="0"/>
      <w:numFmt w:val="bullet"/>
      <w:lvlText w:val="•"/>
      <w:lvlJc w:val="left"/>
      <w:pPr>
        <w:ind w:left="3300" w:hanging="413"/>
      </w:pPr>
      <w:rPr>
        <w:rFonts w:hint="default"/>
        <w:lang w:val="en-US" w:eastAsia="en-US" w:bidi="ar-SA"/>
      </w:rPr>
    </w:lvl>
    <w:lvl w:ilvl="4">
      <w:start w:val="0"/>
      <w:numFmt w:val="bullet"/>
      <w:lvlText w:val="•"/>
      <w:lvlJc w:val="left"/>
      <w:pPr>
        <w:ind w:left="4320" w:hanging="413"/>
      </w:pPr>
      <w:rPr>
        <w:rFonts w:hint="default"/>
        <w:lang w:val="en-US" w:eastAsia="en-US" w:bidi="ar-SA"/>
      </w:rPr>
    </w:lvl>
    <w:lvl w:ilvl="5">
      <w:start w:val="0"/>
      <w:numFmt w:val="bullet"/>
      <w:lvlText w:val="•"/>
      <w:lvlJc w:val="left"/>
      <w:pPr>
        <w:ind w:left="5340" w:hanging="413"/>
      </w:pPr>
      <w:rPr>
        <w:rFonts w:hint="default"/>
        <w:lang w:val="en-US" w:eastAsia="en-US" w:bidi="ar-SA"/>
      </w:rPr>
    </w:lvl>
    <w:lvl w:ilvl="6">
      <w:start w:val="0"/>
      <w:numFmt w:val="bullet"/>
      <w:lvlText w:val="•"/>
      <w:lvlJc w:val="left"/>
      <w:pPr>
        <w:ind w:left="6360" w:hanging="413"/>
      </w:pPr>
      <w:rPr>
        <w:rFonts w:hint="default"/>
        <w:lang w:val="en-US" w:eastAsia="en-US" w:bidi="ar-SA"/>
      </w:rPr>
    </w:lvl>
    <w:lvl w:ilvl="7">
      <w:start w:val="0"/>
      <w:numFmt w:val="bullet"/>
      <w:lvlText w:val="•"/>
      <w:lvlJc w:val="left"/>
      <w:pPr>
        <w:ind w:left="7380" w:hanging="413"/>
      </w:pPr>
      <w:rPr>
        <w:rFonts w:hint="default"/>
        <w:lang w:val="en-US" w:eastAsia="en-US" w:bidi="ar-SA"/>
      </w:rPr>
    </w:lvl>
    <w:lvl w:ilvl="8">
      <w:start w:val="0"/>
      <w:numFmt w:val="bullet"/>
      <w:lvlText w:val="•"/>
      <w:lvlJc w:val="left"/>
      <w:pPr>
        <w:ind w:left="8400" w:hanging="413"/>
      </w:pPr>
      <w:rPr>
        <w:rFonts w:hint="default"/>
        <w:lang w:val="en-US" w:eastAsia="en-US" w:bidi="ar-SA"/>
      </w:rPr>
    </w:lvl>
  </w:abstractNum>
  <w:abstractNum w:abstractNumId="56">
    <w:multiLevelType w:val="hybridMultilevel"/>
    <w:lvl w:ilvl="0">
      <w:start w:val="1"/>
      <w:numFmt w:val="lowerLetter"/>
      <w:lvlText w:val="(%1)"/>
      <w:lvlJc w:val="left"/>
      <w:pPr>
        <w:ind w:left="960" w:hanging="360"/>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1">
      <w:start w:val="0"/>
      <w:numFmt w:val="bullet"/>
      <w:lvlText w:val="•"/>
      <w:lvlJc w:val="left"/>
      <w:pPr>
        <w:ind w:left="1908" w:hanging="360"/>
      </w:pPr>
      <w:rPr>
        <w:rFonts w:hint="default"/>
        <w:lang w:val="en-US" w:eastAsia="en-US" w:bidi="ar-SA"/>
      </w:rPr>
    </w:lvl>
    <w:lvl w:ilvl="2">
      <w:start w:val="0"/>
      <w:numFmt w:val="bullet"/>
      <w:lvlText w:val="•"/>
      <w:lvlJc w:val="left"/>
      <w:pPr>
        <w:ind w:left="2856" w:hanging="360"/>
      </w:pPr>
      <w:rPr>
        <w:rFonts w:hint="default"/>
        <w:lang w:val="en-US" w:eastAsia="en-US" w:bidi="ar-SA"/>
      </w:rPr>
    </w:lvl>
    <w:lvl w:ilvl="3">
      <w:start w:val="0"/>
      <w:numFmt w:val="bullet"/>
      <w:lvlText w:val="•"/>
      <w:lvlJc w:val="left"/>
      <w:pPr>
        <w:ind w:left="3804" w:hanging="360"/>
      </w:pPr>
      <w:rPr>
        <w:rFonts w:hint="default"/>
        <w:lang w:val="en-US" w:eastAsia="en-US" w:bidi="ar-SA"/>
      </w:rPr>
    </w:lvl>
    <w:lvl w:ilvl="4">
      <w:start w:val="0"/>
      <w:numFmt w:val="bullet"/>
      <w:lvlText w:val="•"/>
      <w:lvlJc w:val="left"/>
      <w:pPr>
        <w:ind w:left="4752"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48" w:hanging="360"/>
      </w:pPr>
      <w:rPr>
        <w:rFonts w:hint="default"/>
        <w:lang w:val="en-US" w:eastAsia="en-US" w:bidi="ar-SA"/>
      </w:rPr>
    </w:lvl>
    <w:lvl w:ilvl="7">
      <w:start w:val="0"/>
      <w:numFmt w:val="bullet"/>
      <w:lvlText w:val="•"/>
      <w:lvlJc w:val="left"/>
      <w:pPr>
        <w:ind w:left="7596" w:hanging="360"/>
      </w:pPr>
      <w:rPr>
        <w:rFonts w:hint="default"/>
        <w:lang w:val="en-US" w:eastAsia="en-US" w:bidi="ar-SA"/>
      </w:rPr>
    </w:lvl>
    <w:lvl w:ilvl="8">
      <w:start w:val="0"/>
      <w:numFmt w:val="bullet"/>
      <w:lvlText w:val="•"/>
      <w:lvlJc w:val="left"/>
      <w:pPr>
        <w:ind w:left="8544" w:hanging="360"/>
      </w:pPr>
      <w:rPr>
        <w:rFonts w:hint="default"/>
        <w:lang w:val="en-US" w:eastAsia="en-US" w:bidi="ar-SA"/>
      </w:rPr>
    </w:lvl>
  </w:abstractNum>
  <w:abstractNum w:abstractNumId="55">
    <w:multiLevelType w:val="hybridMultilevel"/>
    <w:lvl w:ilvl="0">
      <w:start w:val="1"/>
      <w:numFmt w:val="lowerLetter"/>
      <w:lvlText w:val="%1)"/>
      <w:lvlJc w:val="left"/>
      <w:pPr>
        <w:ind w:left="9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908" w:hanging="360"/>
      </w:pPr>
      <w:rPr>
        <w:rFonts w:hint="default"/>
        <w:lang w:val="en-US" w:eastAsia="en-US" w:bidi="ar-SA"/>
      </w:rPr>
    </w:lvl>
    <w:lvl w:ilvl="2">
      <w:start w:val="0"/>
      <w:numFmt w:val="bullet"/>
      <w:lvlText w:val="•"/>
      <w:lvlJc w:val="left"/>
      <w:pPr>
        <w:ind w:left="2856" w:hanging="360"/>
      </w:pPr>
      <w:rPr>
        <w:rFonts w:hint="default"/>
        <w:lang w:val="en-US" w:eastAsia="en-US" w:bidi="ar-SA"/>
      </w:rPr>
    </w:lvl>
    <w:lvl w:ilvl="3">
      <w:start w:val="0"/>
      <w:numFmt w:val="bullet"/>
      <w:lvlText w:val="•"/>
      <w:lvlJc w:val="left"/>
      <w:pPr>
        <w:ind w:left="3804" w:hanging="360"/>
      </w:pPr>
      <w:rPr>
        <w:rFonts w:hint="default"/>
        <w:lang w:val="en-US" w:eastAsia="en-US" w:bidi="ar-SA"/>
      </w:rPr>
    </w:lvl>
    <w:lvl w:ilvl="4">
      <w:start w:val="0"/>
      <w:numFmt w:val="bullet"/>
      <w:lvlText w:val="•"/>
      <w:lvlJc w:val="left"/>
      <w:pPr>
        <w:ind w:left="4752"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48" w:hanging="360"/>
      </w:pPr>
      <w:rPr>
        <w:rFonts w:hint="default"/>
        <w:lang w:val="en-US" w:eastAsia="en-US" w:bidi="ar-SA"/>
      </w:rPr>
    </w:lvl>
    <w:lvl w:ilvl="7">
      <w:start w:val="0"/>
      <w:numFmt w:val="bullet"/>
      <w:lvlText w:val="•"/>
      <w:lvlJc w:val="left"/>
      <w:pPr>
        <w:ind w:left="7596" w:hanging="360"/>
      </w:pPr>
      <w:rPr>
        <w:rFonts w:hint="default"/>
        <w:lang w:val="en-US" w:eastAsia="en-US" w:bidi="ar-SA"/>
      </w:rPr>
    </w:lvl>
    <w:lvl w:ilvl="8">
      <w:start w:val="0"/>
      <w:numFmt w:val="bullet"/>
      <w:lvlText w:val="•"/>
      <w:lvlJc w:val="left"/>
      <w:pPr>
        <w:ind w:left="8544" w:hanging="360"/>
      </w:pPr>
      <w:rPr>
        <w:rFonts w:hint="default"/>
        <w:lang w:val="en-US" w:eastAsia="en-US" w:bidi="ar-SA"/>
      </w:rPr>
    </w:lvl>
  </w:abstractNum>
  <w:abstractNum w:abstractNumId="54">
    <w:multiLevelType w:val="hybridMultilevel"/>
    <w:lvl w:ilvl="0">
      <w:start w:val="1"/>
      <w:numFmt w:val="lowerLetter"/>
      <w:lvlText w:val="(%1)"/>
      <w:lvlJc w:val="left"/>
      <w:pPr>
        <w:ind w:left="240" w:hanging="351"/>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1"/>
      <w:numFmt w:val="lowerRoman"/>
      <w:lvlText w:val="%2."/>
      <w:lvlJc w:val="left"/>
      <w:pPr>
        <w:ind w:left="96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013" w:hanging="488"/>
      </w:pPr>
      <w:rPr>
        <w:rFonts w:hint="default"/>
        <w:lang w:val="en-US" w:eastAsia="en-US" w:bidi="ar-SA"/>
      </w:rPr>
    </w:lvl>
    <w:lvl w:ilvl="3">
      <w:start w:val="0"/>
      <w:numFmt w:val="bullet"/>
      <w:lvlText w:val="•"/>
      <w:lvlJc w:val="left"/>
      <w:pPr>
        <w:ind w:left="3066" w:hanging="488"/>
      </w:pPr>
      <w:rPr>
        <w:rFonts w:hint="default"/>
        <w:lang w:val="en-US" w:eastAsia="en-US" w:bidi="ar-SA"/>
      </w:rPr>
    </w:lvl>
    <w:lvl w:ilvl="4">
      <w:start w:val="0"/>
      <w:numFmt w:val="bullet"/>
      <w:lvlText w:val="•"/>
      <w:lvlJc w:val="left"/>
      <w:pPr>
        <w:ind w:left="4120" w:hanging="488"/>
      </w:pPr>
      <w:rPr>
        <w:rFonts w:hint="default"/>
        <w:lang w:val="en-US" w:eastAsia="en-US" w:bidi="ar-SA"/>
      </w:rPr>
    </w:lvl>
    <w:lvl w:ilvl="5">
      <w:start w:val="0"/>
      <w:numFmt w:val="bullet"/>
      <w:lvlText w:val="•"/>
      <w:lvlJc w:val="left"/>
      <w:pPr>
        <w:ind w:left="5173" w:hanging="488"/>
      </w:pPr>
      <w:rPr>
        <w:rFonts w:hint="default"/>
        <w:lang w:val="en-US" w:eastAsia="en-US" w:bidi="ar-SA"/>
      </w:rPr>
    </w:lvl>
    <w:lvl w:ilvl="6">
      <w:start w:val="0"/>
      <w:numFmt w:val="bullet"/>
      <w:lvlText w:val="•"/>
      <w:lvlJc w:val="left"/>
      <w:pPr>
        <w:ind w:left="6226" w:hanging="488"/>
      </w:pPr>
      <w:rPr>
        <w:rFonts w:hint="default"/>
        <w:lang w:val="en-US" w:eastAsia="en-US" w:bidi="ar-SA"/>
      </w:rPr>
    </w:lvl>
    <w:lvl w:ilvl="7">
      <w:start w:val="0"/>
      <w:numFmt w:val="bullet"/>
      <w:lvlText w:val="•"/>
      <w:lvlJc w:val="left"/>
      <w:pPr>
        <w:ind w:left="7280" w:hanging="488"/>
      </w:pPr>
      <w:rPr>
        <w:rFonts w:hint="default"/>
        <w:lang w:val="en-US" w:eastAsia="en-US" w:bidi="ar-SA"/>
      </w:rPr>
    </w:lvl>
    <w:lvl w:ilvl="8">
      <w:start w:val="0"/>
      <w:numFmt w:val="bullet"/>
      <w:lvlText w:val="•"/>
      <w:lvlJc w:val="left"/>
      <w:pPr>
        <w:ind w:left="8333" w:hanging="488"/>
      </w:pPr>
      <w:rPr>
        <w:rFonts w:hint="default"/>
        <w:lang w:val="en-US" w:eastAsia="en-US" w:bidi="ar-SA"/>
      </w:rPr>
    </w:lvl>
  </w:abstractNum>
  <w:abstractNum w:abstractNumId="53">
    <w:multiLevelType w:val="hybridMultilevel"/>
    <w:lvl w:ilvl="0">
      <w:start w:val="1"/>
      <w:numFmt w:val="lowerLetter"/>
      <w:lvlText w:val="%1."/>
      <w:lvlJc w:val="left"/>
      <w:pPr>
        <w:ind w:left="9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lowerRoman"/>
      <w:lvlText w:val="%2."/>
      <w:lvlJc w:val="left"/>
      <w:pPr>
        <w:ind w:left="168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653" w:hanging="488"/>
      </w:pPr>
      <w:rPr>
        <w:rFonts w:hint="default"/>
        <w:lang w:val="en-US" w:eastAsia="en-US" w:bidi="ar-SA"/>
      </w:rPr>
    </w:lvl>
    <w:lvl w:ilvl="3">
      <w:start w:val="0"/>
      <w:numFmt w:val="bullet"/>
      <w:lvlText w:val="•"/>
      <w:lvlJc w:val="left"/>
      <w:pPr>
        <w:ind w:left="3626" w:hanging="488"/>
      </w:pPr>
      <w:rPr>
        <w:rFonts w:hint="default"/>
        <w:lang w:val="en-US" w:eastAsia="en-US" w:bidi="ar-SA"/>
      </w:rPr>
    </w:lvl>
    <w:lvl w:ilvl="4">
      <w:start w:val="0"/>
      <w:numFmt w:val="bullet"/>
      <w:lvlText w:val="•"/>
      <w:lvlJc w:val="left"/>
      <w:pPr>
        <w:ind w:left="4600" w:hanging="488"/>
      </w:pPr>
      <w:rPr>
        <w:rFonts w:hint="default"/>
        <w:lang w:val="en-US" w:eastAsia="en-US" w:bidi="ar-SA"/>
      </w:rPr>
    </w:lvl>
    <w:lvl w:ilvl="5">
      <w:start w:val="0"/>
      <w:numFmt w:val="bullet"/>
      <w:lvlText w:val="•"/>
      <w:lvlJc w:val="left"/>
      <w:pPr>
        <w:ind w:left="5573" w:hanging="488"/>
      </w:pPr>
      <w:rPr>
        <w:rFonts w:hint="default"/>
        <w:lang w:val="en-US" w:eastAsia="en-US" w:bidi="ar-SA"/>
      </w:rPr>
    </w:lvl>
    <w:lvl w:ilvl="6">
      <w:start w:val="0"/>
      <w:numFmt w:val="bullet"/>
      <w:lvlText w:val="•"/>
      <w:lvlJc w:val="left"/>
      <w:pPr>
        <w:ind w:left="6546" w:hanging="488"/>
      </w:pPr>
      <w:rPr>
        <w:rFonts w:hint="default"/>
        <w:lang w:val="en-US" w:eastAsia="en-US" w:bidi="ar-SA"/>
      </w:rPr>
    </w:lvl>
    <w:lvl w:ilvl="7">
      <w:start w:val="0"/>
      <w:numFmt w:val="bullet"/>
      <w:lvlText w:val="•"/>
      <w:lvlJc w:val="left"/>
      <w:pPr>
        <w:ind w:left="7520" w:hanging="488"/>
      </w:pPr>
      <w:rPr>
        <w:rFonts w:hint="default"/>
        <w:lang w:val="en-US" w:eastAsia="en-US" w:bidi="ar-SA"/>
      </w:rPr>
    </w:lvl>
    <w:lvl w:ilvl="8">
      <w:start w:val="0"/>
      <w:numFmt w:val="bullet"/>
      <w:lvlText w:val="•"/>
      <w:lvlJc w:val="left"/>
      <w:pPr>
        <w:ind w:left="8493" w:hanging="488"/>
      </w:pPr>
      <w:rPr>
        <w:rFonts w:hint="default"/>
        <w:lang w:val="en-US" w:eastAsia="en-US" w:bidi="ar-SA"/>
      </w:rPr>
    </w:lvl>
  </w:abstractNum>
  <w:abstractNum w:abstractNumId="52">
    <w:multiLevelType w:val="hybridMultilevel"/>
    <w:lvl w:ilvl="0">
      <w:start w:val="1"/>
      <w:numFmt w:val="lowerLetter"/>
      <w:lvlText w:val="%1)"/>
      <w:lvlJc w:val="left"/>
      <w:pPr>
        <w:ind w:left="96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908" w:hanging="360"/>
      </w:pPr>
      <w:rPr>
        <w:rFonts w:hint="default"/>
        <w:lang w:val="en-US" w:eastAsia="en-US" w:bidi="ar-SA"/>
      </w:rPr>
    </w:lvl>
    <w:lvl w:ilvl="2">
      <w:start w:val="0"/>
      <w:numFmt w:val="bullet"/>
      <w:lvlText w:val="•"/>
      <w:lvlJc w:val="left"/>
      <w:pPr>
        <w:ind w:left="2856" w:hanging="360"/>
      </w:pPr>
      <w:rPr>
        <w:rFonts w:hint="default"/>
        <w:lang w:val="en-US" w:eastAsia="en-US" w:bidi="ar-SA"/>
      </w:rPr>
    </w:lvl>
    <w:lvl w:ilvl="3">
      <w:start w:val="0"/>
      <w:numFmt w:val="bullet"/>
      <w:lvlText w:val="•"/>
      <w:lvlJc w:val="left"/>
      <w:pPr>
        <w:ind w:left="3804" w:hanging="360"/>
      </w:pPr>
      <w:rPr>
        <w:rFonts w:hint="default"/>
        <w:lang w:val="en-US" w:eastAsia="en-US" w:bidi="ar-SA"/>
      </w:rPr>
    </w:lvl>
    <w:lvl w:ilvl="4">
      <w:start w:val="0"/>
      <w:numFmt w:val="bullet"/>
      <w:lvlText w:val="•"/>
      <w:lvlJc w:val="left"/>
      <w:pPr>
        <w:ind w:left="4752"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48" w:hanging="360"/>
      </w:pPr>
      <w:rPr>
        <w:rFonts w:hint="default"/>
        <w:lang w:val="en-US" w:eastAsia="en-US" w:bidi="ar-SA"/>
      </w:rPr>
    </w:lvl>
    <w:lvl w:ilvl="7">
      <w:start w:val="0"/>
      <w:numFmt w:val="bullet"/>
      <w:lvlText w:val="•"/>
      <w:lvlJc w:val="left"/>
      <w:pPr>
        <w:ind w:left="7596" w:hanging="360"/>
      </w:pPr>
      <w:rPr>
        <w:rFonts w:hint="default"/>
        <w:lang w:val="en-US" w:eastAsia="en-US" w:bidi="ar-SA"/>
      </w:rPr>
    </w:lvl>
    <w:lvl w:ilvl="8">
      <w:start w:val="0"/>
      <w:numFmt w:val="bullet"/>
      <w:lvlText w:val="•"/>
      <w:lvlJc w:val="left"/>
      <w:pPr>
        <w:ind w:left="8544" w:hanging="360"/>
      </w:pPr>
      <w:rPr>
        <w:rFonts w:hint="default"/>
        <w:lang w:val="en-US" w:eastAsia="en-US" w:bidi="ar-SA"/>
      </w:rPr>
    </w:lvl>
  </w:abstractNum>
  <w:abstractNum w:abstractNumId="51">
    <w:multiLevelType w:val="hybridMultilevel"/>
    <w:lvl w:ilvl="0">
      <w:start w:val="1"/>
      <w:numFmt w:val="lowerRoman"/>
      <w:lvlText w:val="%1."/>
      <w:lvlJc w:val="left"/>
      <w:pPr>
        <w:ind w:left="168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556" w:hanging="488"/>
      </w:pPr>
      <w:rPr>
        <w:rFonts w:hint="default"/>
        <w:lang w:val="en-US" w:eastAsia="en-US" w:bidi="ar-SA"/>
      </w:rPr>
    </w:lvl>
    <w:lvl w:ilvl="2">
      <w:start w:val="0"/>
      <w:numFmt w:val="bullet"/>
      <w:lvlText w:val="•"/>
      <w:lvlJc w:val="left"/>
      <w:pPr>
        <w:ind w:left="3432" w:hanging="488"/>
      </w:pPr>
      <w:rPr>
        <w:rFonts w:hint="default"/>
        <w:lang w:val="en-US" w:eastAsia="en-US" w:bidi="ar-SA"/>
      </w:rPr>
    </w:lvl>
    <w:lvl w:ilvl="3">
      <w:start w:val="0"/>
      <w:numFmt w:val="bullet"/>
      <w:lvlText w:val="•"/>
      <w:lvlJc w:val="left"/>
      <w:pPr>
        <w:ind w:left="4308" w:hanging="488"/>
      </w:pPr>
      <w:rPr>
        <w:rFonts w:hint="default"/>
        <w:lang w:val="en-US" w:eastAsia="en-US" w:bidi="ar-SA"/>
      </w:rPr>
    </w:lvl>
    <w:lvl w:ilvl="4">
      <w:start w:val="0"/>
      <w:numFmt w:val="bullet"/>
      <w:lvlText w:val="•"/>
      <w:lvlJc w:val="left"/>
      <w:pPr>
        <w:ind w:left="5184" w:hanging="488"/>
      </w:pPr>
      <w:rPr>
        <w:rFonts w:hint="default"/>
        <w:lang w:val="en-US" w:eastAsia="en-US" w:bidi="ar-SA"/>
      </w:rPr>
    </w:lvl>
    <w:lvl w:ilvl="5">
      <w:start w:val="0"/>
      <w:numFmt w:val="bullet"/>
      <w:lvlText w:val="•"/>
      <w:lvlJc w:val="left"/>
      <w:pPr>
        <w:ind w:left="6060" w:hanging="488"/>
      </w:pPr>
      <w:rPr>
        <w:rFonts w:hint="default"/>
        <w:lang w:val="en-US" w:eastAsia="en-US" w:bidi="ar-SA"/>
      </w:rPr>
    </w:lvl>
    <w:lvl w:ilvl="6">
      <w:start w:val="0"/>
      <w:numFmt w:val="bullet"/>
      <w:lvlText w:val="•"/>
      <w:lvlJc w:val="left"/>
      <w:pPr>
        <w:ind w:left="6936" w:hanging="488"/>
      </w:pPr>
      <w:rPr>
        <w:rFonts w:hint="default"/>
        <w:lang w:val="en-US" w:eastAsia="en-US" w:bidi="ar-SA"/>
      </w:rPr>
    </w:lvl>
    <w:lvl w:ilvl="7">
      <w:start w:val="0"/>
      <w:numFmt w:val="bullet"/>
      <w:lvlText w:val="•"/>
      <w:lvlJc w:val="left"/>
      <w:pPr>
        <w:ind w:left="7812" w:hanging="488"/>
      </w:pPr>
      <w:rPr>
        <w:rFonts w:hint="default"/>
        <w:lang w:val="en-US" w:eastAsia="en-US" w:bidi="ar-SA"/>
      </w:rPr>
    </w:lvl>
    <w:lvl w:ilvl="8">
      <w:start w:val="0"/>
      <w:numFmt w:val="bullet"/>
      <w:lvlText w:val="•"/>
      <w:lvlJc w:val="left"/>
      <w:pPr>
        <w:ind w:left="8688" w:hanging="488"/>
      </w:pPr>
      <w:rPr>
        <w:rFonts w:hint="default"/>
        <w:lang w:val="en-US" w:eastAsia="en-US" w:bidi="ar-SA"/>
      </w:rPr>
    </w:lvl>
  </w:abstractNum>
  <w:abstractNum w:abstractNumId="50">
    <w:multiLevelType w:val="hybridMultilevel"/>
    <w:lvl w:ilvl="0">
      <w:start w:val="1"/>
      <w:numFmt w:val="lowerLetter"/>
      <w:lvlText w:val="(%1)"/>
      <w:lvlJc w:val="left"/>
      <w:pPr>
        <w:ind w:left="578" w:hanging="339"/>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1"/>
      <w:numFmt w:val="lowerRoman"/>
      <w:lvlText w:val="%2)"/>
      <w:lvlJc w:val="left"/>
      <w:pPr>
        <w:ind w:left="96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013" w:hanging="360"/>
      </w:pPr>
      <w:rPr>
        <w:rFonts w:hint="default"/>
        <w:lang w:val="en-US" w:eastAsia="en-US" w:bidi="ar-SA"/>
      </w:rPr>
    </w:lvl>
    <w:lvl w:ilvl="3">
      <w:start w:val="0"/>
      <w:numFmt w:val="bullet"/>
      <w:lvlText w:val="•"/>
      <w:lvlJc w:val="left"/>
      <w:pPr>
        <w:ind w:left="3066" w:hanging="360"/>
      </w:pPr>
      <w:rPr>
        <w:rFonts w:hint="default"/>
        <w:lang w:val="en-US" w:eastAsia="en-US" w:bidi="ar-SA"/>
      </w:rPr>
    </w:lvl>
    <w:lvl w:ilvl="4">
      <w:start w:val="0"/>
      <w:numFmt w:val="bullet"/>
      <w:lvlText w:val="•"/>
      <w:lvlJc w:val="left"/>
      <w:pPr>
        <w:ind w:left="4120" w:hanging="360"/>
      </w:pPr>
      <w:rPr>
        <w:rFonts w:hint="default"/>
        <w:lang w:val="en-US" w:eastAsia="en-US" w:bidi="ar-SA"/>
      </w:rPr>
    </w:lvl>
    <w:lvl w:ilvl="5">
      <w:start w:val="0"/>
      <w:numFmt w:val="bullet"/>
      <w:lvlText w:val="•"/>
      <w:lvlJc w:val="left"/>
      <w:pPr>
        <w:ind w:left="5173" w:hanging="360"/>
      </w:pPr>
      <w:rPr>
        <w:rFonts w:hint="default"/>
        <w:lang w:val="en-US" w:eastAsia="en-US" w:bidi="ar-SA"/>
      </w:rPr>
    </w:lvl>
    <w:lvl w:ilvl="6">
      <w:start w:val="0"/>
      <w:numFmt w:val="bullet"/>
      <w:lvlText w:val="•"/>
      <w:lvlJc w:val="left"/>
      <w:pPr>
        <w:ind w:left="6226" w:hanging="360"/>
      </w:pPr>
      <w:rPr>
        <w:rFonts w:hint="default"/>
        <w:lang w:val="en-US" w:eastAsia="en-US" w:bidi="ar-SA"/>
      </w:rPr>
    </w:lvl>
    <w:lvl w:ilvl="7">
      <w:start w:val="0"/>
      <w:numFmt w:val="bullet"/>
      <w:lvlText w:val="•"/>
      <w:lvlJc w:val="left"/>
      <w:pPr>
        <w:ind w:left="7280" w:hanging="360"/>
      </w:pPr>
      <w:rPr>
        <w:rFonts w:hint="default"/>
        <w:lang w:val="en-US" w:eastAsia="en-US" w:bidi="ar-SA"/>
      </w:rPr>
    </w:lvl>
    <w:lvl w:ilvl="8">
      <w:start w:val="0"/>
      <w:numFmt w:val="bullet"/>
      <w:lvlText w:val="•"/>
      <w:lvlJc w:val="left"/>
      <w:pPr>
        <w:ind w:left="8333" w:hanging="360"/>
      </w:pPr>
      <w:rPr>
        <w:rFonts w:hint="default"/>
        <w:lang w:val="en-US" w:eastAsia="en-US" w:bidi="ar-SA"/>
      </w:rPr>
    </w:lvl>
  </w:abstractNum>
  <w:abstractNum w:abstractNumId="49">
    <w:multiLevelType w:val="hybridMultilevel"/>
    <w:lvl w:ilvl="0">
      <w:start w:val="1"/>
      <w:numFmt w:val="lowerLetter"/>
      <w:lvlText w:val="%1)"/>
      <w:lvlJc w:val="left"/>
      <w:pPr>
        <w:ind w:left="9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908" w:hanging="360"/>
      </w:pPr>
      <w:rPr>
        <w:rFonts w:hint="default"/>
        <w:lang w:val="en-US" w:eastAsia="en-US" w:bidi="ar-SA"/>
      </w:rPr>
    </w:lvl>
    <w:lvl w:ilvl="2">
      <w:start w:val="0"/>
      <w:numFmt w:val="bullet"/>
      <w:lvlText w:val="•"/>
      <w:lvlJc w:val="left"/>
      <w:pPr>
        <w:ind w:left="2856" w:hanging="360"/>
      </w:pPr>
      <w:rPr>
        <w:rFonts w:hint="default"/>
        <w:lang w:val="en-US" w:eastAsia="en-US" w:bidi="ar-SA"/>
      </w:rPr>
    </w:lvl>
    <w:lvl w:ilvl="3">
      <w:start w:val="0"/>
      <w:numFmt w:val="bullet"/>
      <w:lvlText w:val="•"/>
      <w:lvlJc w:val="left"/>
      <w:pPr>
        <w:ind w:left="3804" w:hanging="360"/>
      </w:pPr>
      <w:rPr>
        <w:rFonts w:hint="default"/>
        <w:lang w:val="en-US" w:eastAsia="en-US" w:bidi="ar-SA"/>
      </w:rPr>
    </w:lvl>
    <w:lvl w:ilvl="4">
      <w:start w:val="0"/>
      <w:numFmt w:val="bullet"/>
      <w:lvlText w:val="•"/>
      <w:lvlJc w:val="left"/>
      <w:pPr>
        <w:ind w:left="4752"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48" w:hanging="360"/>
      </w:pPr>
      <w:rPr>
        <w:rFonts w:hint="default"/>
        <w:lang w:val="en-US" w:eastAsia="en-US" w:bidi="ar-SA"/>
      </w:rPr>
    </w:lvl>
    <w:lvl w:ilvl="7">
      <w:start w:val="0"/>
      <w:numFmt w:val="bullet"/>
      <w:lvlText w:val="•"/>
      <w:lvlJc w:val="left"/>
      <w:pPr>
        <w:ind w:left="7596" w:hanging="360"/>
      </w:pPr>
      <w:rPr>
        <w:rFonts w:hint="default"/>
        <w:lang w:val="en-US" w:eastAsia="en-US" w:bidi="ar-SA"/>
      </w:rPr>
    </w:lvl>
    <w:lvl w:ilvl="8">
      <w:start w:val="0"/>
      <w:numFmt w:val="bullet"/>
      <w:lvlText w:val="•"/>
      <w:lvlJc w:val="left"/>
      <w:pPr>
        <w:ind w:left="8544" w:hanging="360"/>
      </w:pPr>
      <w:rPr>
        <w:rFonts w:hint="default"/>
        <w:lang w:val="en-US" w:eastAsia="en-US" w:bidi="ar-SA"/>
      </w:rPr>
    </w:lvl>
  </w:abstractNum>
  <w:abstractNum w:abstractNumId="48">
    <w:multiLevelType w:val="hybridMultilevel"/>
    <w:lvl w:ilvl="0">
      <w:start w:val="1"/>
      <w:numFmt w:val="lowerLetter"/>
      <w:lvlText w:val="%1)"/>
      <w:lvlJc w:val="left"/>
      <w:pPr>
        <w:ind w:left="499" w:hanging="26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494" w:hanging="260"/>
      </w:pPr>
      <w:rPr>
        <w:rFonts w:hint="default"/>
        <w:lang w:val="en-US" w:eastAsia="en-US" w:bidi="ar-SA"/>
      </w:rPr>
    </w:lvl>
    <w:lvl w:ilvl="2">
      <w:start w:val="0"/>
      <w:numFmt w:val="bullet"/>
      <w:lvlText w:val="•"/>
      <w:lvlJc w:val="left"/>
      <w:pPr>
        <w:ind w:left="2488" w:hanging="260"/>
      </w:pPr>
      <w:rPr>
        <w:rFonts w:hint="default"/>
        <w:lang w:val="en-US" w:eastAsia="en-US" w:bidi="ar-SA"/>
      </w:rPr>
    </w:lvl>
    <w:lvl w:ilvl="3">
      <w:start w:val="0"/>
      <w:numFmt w:val="bullet"/>
      <w:lvlText w:val="•"/>
      <w:lvlJc w:val="left"/>
      <w:pPr>
        <w:ind w:left="3482" w:hanging="260"/>
      </w:pPr>
      <w:rPr>
        <w:rFonts w:hint="default"/>
        <w:lang w:val="en-US" w:eastAsia="en-US" w:bidi="ar-SA"/>
      </w:rPr>
    </w:lvl>
    <w:lvl w:ilvl="4">
      <w:start w:val="0"/>
      <w:numFmt w:val="bullet"/>
      <w:lvlText w:val="•"/>
      <w:lvlJc w:val="left"/>
      <w:pPr>
        <w:ind w:left="4476" w:hanging="260"/>
      </w:pPr>
      <w:rPr>
        <w:rFonts w:hint="default"/>
        <w:lang w:val="en-US" w:eastAsia="en-US" w:bidi="ar-SA"/>
      </w:rPr>
    </w:lvl>
    <w:lvl w:ilvl="5">
      <w:start w:val="0"/>
      <w:numFmt w:val="bullet"/>
      <w:lvlText w:val="•"/>
      <w:lvlJc w:val="left"/>
      <w:pPr>
        <w:ind w:left="5470" w:hanging="260"/>
      </w:pPr>
      <w:rPr>
        <w:rFonts w:hint="default"/>
        <w:lang w:val="en-US" w:eastAsia="en-US" w:bidi="ar-SA"/>
      </w:rPr>
    </w:lvl>
    <w:lvl w:ilvl="6">
      <w:start w:val="0"/>
      <w:numFmt w:val="bullet"/>
      <w:lvlText w:val="•"/>
      <w:lvlJc w:val="left"/>
      <w:pPr>
        <w:ind w:left="6464" w:hanging="260"/>
      </w:pPr>
      <w:rPr>
        <w:rFonts w:hint="default"/>
        <w:lang w:val="en-US" w:eastAsia="en-US" w:bidi="ar-SA"/>
      </w:rPr>
    </w:lvl>
    <w:lvl w:ilvl="7">
      <w:start w:val="0"/>
      <w:numFmt w:val="bullet"/>
      <w:lvlText w:val="•"/>
      <w:lvlJc w:val="left"/>
      <w:pPr>
        <w:ind w:left="7458" w:hanging="260"/>
      </w:pPr>
      <w:rPr>
        <w:rFonts w:hint="default"/>
        <w:lang w:val="en-US" w:eastAsia="en-US" w:bidi="ar-SA"/>
      </w:rPr>
    </w:lvl>
    <w:lvl w:ilvl="8">
      <w:start w:val="0"/>
      <w:numFmt w:val="bullet"/>
      <w:lvlText w:val="•"/>
      <w:lvlJc w:val="left"/>
      <w:pPr>
        <w:ind w:left="8452" w:hanging="260"/>
      </w:pPr>
      <w:rPr>
        <w:rFonts w:hint="default"/>
        <w:lang w:val="en-US" w:eastAsia="en-US" w:bidi="ar-SA"/>
      </w:rPr>
    </w:lvl>
  </w:abstractNum>
  <w:abstractNum w:abstractNumId="47">
    <w:multiLevelType w:val="hybridMultilevel"/>
    <w:lvl w:ilvl="0">
      <w:start w:val="1"/>
      <w:numFmt w:val="lowerRoman"/>
      <w:lvlText w:val="%1)"/>
      <w:lvlJc w:val="left"/>
      <w:pPr>
        <w:ind w:left="96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08" w:hanging="360"/>
      </w:pPr>
      <w:rPr>
        <w:rFonts w:hint="default"/>
        <w:lang w:val="en-US" w:eastAsia="en-US" w:bidi="ar-SA"/>
      </w:rPr>
    </w:lvl>
    <w:lvl w:ilvl="2">
      <w:start w:val="0"/>
      <w:numFmt w:val="bullet"/>
      <w:lvlText w:val="•"/>
      <w:lvlJc w:val="left"/>
      <w:pPr>
        <w:ind w:left="2856" w:hanging="360"/>
      </w:pPr>
      <w:rPr>
        <w:rFonts w:hint="default"/>
        <w:lang w:val="en-US" w:eastAsia="en-US" w:bidi="ar-SA"/>
      </w:rPr>
    </w:lvl>
    <w:lvl w:ilvl="3">
      <w:start w:val="0"/>
      <w:numFmt w:val="bullet"/>
      <w:lvlText w:val="•"/>
      <w:lvlJc w:val="left"/>
      <w:pPr>
        <w:ind w:left="3804" w:hanging="360"/>
      </w:pPr>
      <w:rPr>
        <w:rFonts w:hint="default"/>
        <w:lang w:val="en-US" w:eastAsia="en-US" w:bidi="ar-SA"/>
      </w:rPr>
    </w:lvl>
    <w:lvl w:ilvl="4">
      <w:start w:val="0"/>
      <w:numFmt w:val="bullet"/>
      <w:lvlText w:val="•"/>
      <w:lvlJc w:val="left"/>
      <w:pPr>
        <w:ind w:left="4752"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48" w:hanging="360"/>
      </w:pPr>
      <w:rPr>
        <w:rFonts w:hint="default"/>
        <w:lang w:val="en-US" w:eastAsia="en-US" w:bidi="ar-SA"/>
      </w:rPr>
    </w:lvl>
    <w:lvl w:ilvl="7">
      <w:start w:val="0"/>
      <w:numFmt w:val="bullet"/>
      <w:lvlText w:val="•"/>
      <w:lvlJc w:val="left"/>
      <w:pPr>
        <w:ind w:left="7596" w:hanging="360"/>
      </w:pPr>
      <w:rPr>
        <w:rFonts w:hint="default"/>
        <w:lang w:val="en-US" w:eastAsia="en-US" w:bidi="ar-SA"/>
      </w:rPr>
    </w:lvl>
    <w:lvl w:ilvl="8">
      <w:start w:val="0"/>
      <w:numFmt w:val="bullet"/>
      <w:lvlText w:val="•"/>
      <w:lvlJc w:val="left"/>
      <w:pPr>
        <w:ind w:left="8544" w:hanging="360"/>
      </w:pPr>
      <w:rPr>
        <w:rFonts w:hint="default"/>
        <w:lang w:val="en-US" w:eastAsia="en-US" w:bidi="ar-SA"/>
      </w:rPr>
    </w:lvl>
  </w:abstractNum>
  <w:abstractNum w:abstractNumId="46">
    <w:multiLevelType w:val="hybridMultilevel"/>
    <w:lvl w:ilvl="0">
      <w:start w:val="1"/>
      <w:numFmt w:val="lowerRoman"/>
      <w:lvlText w:val="%1."/>
      <w:lvlJc w:val="left"/>
      <w:pPr>
        <w:ind w:left="96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08" w:hanging="488"/>
      </w:pPr>
      <w:rPr>
        <w:rFonts w:hint="default"/>
        <w:lang w:val="en-US" w:eastAsia="en-US" w:bidi="ar-SA"/>
      </w:rPr>
    </w:lvl>
    <w:lvl w:ilvl="2">
      <w:start w:val="0"/>
      <w:numFmt w:val="bullet"/>
      <w:lvlText w:val="•"/>
      <w:lvlJc w:val="left"/>
      <w:pPr>
        <w:ind w:left="2856" w:hanging="488"/>
      </w:pPr>
      <w:rPr>
        <w:rFonts w:hint="default"/>
        <w:lang w:val="en-US" w:eastAsia="en-US" w:bidi="ar-SA"/>
      </w:rPr>
    </w:lvl>
    <w:lvl w:ilvl="3">
      <w:start w:val="0"/>
      <w:numFmt w:val="bullet"/>
      <w:lvlText w:val="•"/>
      <w:lvlJc w:val="left"/>
      <w:pPr>
        <w:ind w:left="3804" w:hanging="488"/>
      </w:pPr>
      <w:rPr>
        <w:rFonts w:hint="default"/>
        <w:lang w:val="en-US" w:eastAsia="en-US" w:bidi="ar-SA"/>
      </w:rPr>
    </w:lvl>
    <w:lvl w:ilvl="4">
      <w:start w:val="0"/>
      <w:numFmt w:val="bullet"/>
      <w:lvlText w:val="•"/>
      <w:lvlJc w:val="left"/>
      <w:pPr>
        <w:ind w:left="4752" w:hanging="488"/>
      </w:pPr>
      <w:rPr>
        <w:rFonts w:hint="default"/>
        <w:lang w:val="en-US" w:eastAsia="en-US" w:bidi="ar-SA"/>
      </w:rPr>
    </w:lvl>
    <w:lvl w:ilvl="5">
      <w:start w:val="0"/>
      <w:numFmt w:val="bullet"/>
      <w:lvlText w:val="•"/>
      <w:lvlJc w:val="left"/>
      <w:pPr>
        <w:ind w:left="5700" w:hanging="488"/>
      </w:pPr>
      <w:rPr>
        <w:rFonts w:hint="default"/>
        <w:lang w:val="en-US" w:eastAsia="en-US" w:bidi="ar-SA"/>
      </w:rPr>
    </w:lvl>
    <w:lvl w:ilvl="6">
      <w:start w:val="0"/>
      <w:numFmt w:val="bullet"/>
      <w:lvlText w:val="•"/>
      <w:lvlJc w:val="left"/>
      <w:pPr>
        <w:ind w:left="6648" w:hanging="488"/>
      </w:pPr>
      <w:rPr>
        <w:rFonts w:hint="default"/>
        <w:lang w:val="en-US" w:eastAsia="en-US" w:bidi="ar-SA"/>
      </w:rPr>
    </w:lvl>
    <w:lvl w:ilvl="7">
      <w:start w:val="0"/>
      <w:numFmt w:val="bullet"/>
      <w:lvlText w:val="•"/>
      <w:lvlJc w:val="left"/>
      <w:pPr>
        <w:ind w:left="7596" w:hanging="488"/>
      </w:pPr>
      <w:rPr>
        <w:rFonts w:hint="default"/>
        <w:lang w:val="en-US" w:eastAsia="en-US" w:bidi="ar-SA"/>
      </w:rPr>
    </w:lvl>
    <w:lvl w:ilvl="8">
      <w:start w:val="0"/>
      <w:numFmt w:val="bullet"/>
      <w:lvlText w:val="•"/>
      <w:lvlJc w:val="left"/>
      <w:pPr>
        <w:ind w:left="8544" w:hanging="488"/>
      </w:pPr>
      <w:rPr>
        <w:rFonts w:hint="default"/>
        <w:lang w:val="en-US" w:eastAsia="en-US" w:bidi="ar-SA"/>
      </w:rPr>
    </w:lvl>
  </w:abstractNum>
  <w:abstractNum w:abstractNumId="45">
    <w:multiLevelType w:val="hybridMultilevel"/>
    <w:lvl w:ilvl="0">
      <w:start w:val="1"/>
      <w:numFmt w:val="lowerRoman"/>
      <w:lvlText w:val="%1."/>
      <w:lvlJc w:val="left"/>
      <w:pPr>
        <w:ind w:left="96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08" w:hanging="488"/>
      </w:pPr>
      <w:rPr>
        <w:rFonts w:hint="default"/>
        <w:lang w:val="en-US" w:eastAsia="en-US" w:bidi="ar-SA"/>
      </w:rPr>
    </w:lvl>
    <w:lvl w:ilvl="2">
      <w:start w:val="0"/>
      <w:numFmt w:val="bullet"/>
      <w:lvlText w:val="•"/>
      <w:lvlJc w:val="left"/>
      <w:pPr>
        <w:ind w:left="2856" w:hanging="488"/>
      </w:pPr>
      <w:rPr>
        <w:rFonts w:hint="default"/>
        <w:lang w:val="en-US" w:eastAsia="en-US" w:bidi="ar-SA"/>
      </w:rPr>
    </w:lvl>
    <w:lvl w:ilvl="3">
      <w:start w:val="0"/>
      <w:numFmt w:val="bullet"/>
      <w:lvlText w:val="•"/>
      <w:lvlJc w:val="left"/>
      <w:pPr>
        <w:ind w:left="3804" w:hanging="488"/>
      </w:pPr>
      <w:rPr>
        <w:rFonts w:hint="default"/>
        <w:lang w:val="en-US" w:eastAsia="en-US" w:bidi="ar-SA"/>
      </w:rPr>
    </w:lvl>
    <w:lvl w:ilvl="4">
      <w:start w:val="0"/>
      <w:numFmt w:val="bullet"/>
      <w:lvlText w:val="•"/>
      <w:lvlJc w:val="left"/>
      <w:pPr>
        <w:ind w:left="4752" w:hanging="488"/>
      </w:pPr>
      <w:rPr>
        <w:rFonts w:hint="default"/>
        <w:lang w:val="en-US" w:eastAsia="en-US" w:bidi="ar-SA"/>
      </w:rPr>
    </w:lvl>
    <w:lvl w:ilvl="5">
      <w:start w:val="0"/>
      <w:numFmt w:val="bullet"/>
      <w:lvlText w:val="•"/>
      <w:lvlJc w:val="left"/>
      <w:pPr>
        <w:ind w:left="5700" w:hanging="488"/>
      </w:pPr>
      <w:rPr>
        <w:rFonts w:hint="default"/>
        <w:lang w:val="en-US" w:eastAsia="en-US" w:bidi="ar-SA"/>
      </w:rPr>
    </w:lvl>
    <w:lvl w:ilvl="6">
      <w:start w:val="0"/>
      <w:numFmt w:val="bullet"/>
      <w:lvlText w:val="•"/>
      <w:lvlJc w:val="left"/>
      <w:pPr>
        <w:ind w:left="6648" w:hanging="488"/>
      </w:pPr>
      <w:rPr>
        <w:rFonts w:hint="default"/>
        <w:lang w:val="en-US" w:eastAsia="en-US" w:bidi="ar-SA"/>
      </w:rPr>
    </w:lvl>
    <w:lvl w:ilvl="7">
      <w:start w:val="0"/>
      <w:numFmt w:val="bullet"/>
      <w:lvlText w:val="•"/>
      <w:lvlJc w:val="left"/>
      <w:pPr>
        <w:ind w:left="7596" w:hanging="488"/>
      </w:pPr>
      <w:rPr>
        <w:rFonts w:hint="default"/>
        <w:lang w:val="en-US" w:eastAsia="en-US" w:bidi="ar-SA"/>
      </w:rPr>
    </w:lvl>
    <w:lvl w:ilvl="8">
      <w:start w:val="0"/>
      <w:numFmt w:val="bullet"/>
      <w:lvlText w:val="•"/>
      <w:lvlJc w:val="left"/>
      <w:pPr>
        <w:ind w:left="8544" w:hanging="488"/>
      </w:pPr>
      <w:rPr>
        <w:rFonts w:hint="default"/>
        <w:lang w:val="en-US" w:eastAsia="en-US" w:bidi="ar-SA"/>
      </w:rPr>
    </w:lvl>
  </w:abstractNum>
  <w:abstractNum w:abstractNumId="44">
    <w:multiLevelType w:val="hybridMultilevel"/>
    <w:lvl w:ilvl="0">
      <w:start w:val="1"/>
      <w:numFmt w:val="lowerRoman"/>
      <w:lvlText w:val="%1."/>
      <w:lvlJc w:val="left"/>
      <w:pPr>
        <w:ind w:left="96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08" w:hanging="488"/>
      </w:pPr>
      <w:rPr>
        <w:rFonts w:hint="default"/>
        <w:lang w:val="en-US" w:eastAsia="en-US" w:bidi="ar-SA"/>
      </w:rPr>
    </w:lvl>
    <w:lvl w:ilvl="2">
      <w:start w:val="0"/>
      <w:numFmt w:val="bullet"/>
      <w:lvlText w:val="•"/>
      <w:lvlJc w:val="left"/>
      <w:pPr>
        <w:ind w:left="2856" w:hanging="488"/>
      </w:pPr>
      <w:rPr>
        <w:rFonts w:hint="default"/>
        <w:lang w:val="en-US" w:eastAsia="en-US" w:bidi="ar-SA"/>
      </w:rPr>
    </w:lvl>
    <w:lvl w:ilvl="3">
      <w:start w:val="0"/>
      <w:numFmt w:val="bullet"/>
      <w:lvlText w:val="•"/>
      <w:lvlJc w:val="left"/>
      <w:pPr>
        <w:ind w:left="3804" w:hanging="488"/>
      </w:pPr>
      <w:rPr>
        <w:rFonts w:hint="default"/>
        <w:lang w:val="en-US" w:eastAsia="en-US" w:bidi="ar-SA"/>
      </w:rPr>
    </w:lvl>
    <w:lvl w:ilvl="4">
      <w:start w:val="0"/>
      <w:numFmt w:val="bullet"/>
      <w:lvlText w:val="•"/>
      <w:lvlJc w:val="left"/>
      <w:pPr>
        <w:ind w:left="4752" w:hanging="488"/>
      </w:pPr>
      <w:rPr>
        <w:rFonts w:hint="default"/>
        <w:lang w:val="en-US" w:eastAsia="en-US" w:bidi="ar-SA"/>
      </w:rPr>
    </w:lvl>
    <w:lvl w:ilvl="5">
      <w:start w:val="0"/>
      <w:numFmt w:val="bullet"/>
      <w:lvlText w:val="•"/>
      <w:lvlJc w:val="left"/>
      <w:pPr>
        <w:ind w:left="5700" w:hanging="488"/>
      </w:pPr>
      <w:rPr>
        <w:rFonts w:hint="default"/>
        <w:lang w:val="en-US" w:eastAsia="en-US" w:bidi="ar-SA"/>
      </w:rPr>
    </w:lvl>
    <w:lvl w:ilvl="6">
      <w:start w:val="0"/>
      <w:numFmt w:val="bullet"/>
      <w:lvlText w:val="•"/>
      <w:lvlJc w:val="left"/>
      <w:pPr>
        <w:ind w:left="6648" w:hanging="488"/>
      </w:pPr>
      <w:rPr>
        <w:rFonts w:hint="default"/>
        <w:lang w:val="en-US" w:eastAsia="en-US" w:bidi="ar-SA"/>
      </w:rPr>
    </w:lvl>
    <w:lvl w:ilvl="7">
      <w:start w:val="0"/>
      <w:numFmt w:val="bullet"/>
      <w:lvlText w:val="•"/>
      <w:lvlJc w:val="left"/>
      <w:pPr>
        <w:ind w:left="7596" w:hanging="488"/>
      </w:pPr>
      <w:rPr>
        <w:rFonts w:hint="default"/>
        <w:lang w:val="en-US" w:eastAsia="en-US" w:bidi="ar-SA"/>
      </w:rPr>
    </w:lvl>
    <w:lvl w:ilvl="8">
      <w:start w:val="0"/>
      <w:numFmt w:val="bullet"/>
      <w:lvlText w:val="•"/>
      <w:lvlJc w:val="left"/>
      <w:pPr>
        <w:ind w:left="8544" w:hanging="488"/>
      </w:pPr>
      <w:rPr>
        <w:rFonts w:hint="default"/>
        <w:lang w:val="en-US" w:eastAsia="en-US" w:bidi="ar-SA"/>
      </w:rPr>
    </w:lvl>
  </w:abstractNum>
  <w:abstractNum w:abstractNumId="43">
    <w:multiLevelType w:val="hybridMultilevel"/>
    <w:lvl w:ilvl="0">
      <w:start w:val="1"/>
      <w:numFmt w:val="lowerRoman"/>
      <w:lvlText w:val="%1."/>
      <w:lvlJc w:val="left"/>
      <w:pPr>
        <w:ind w:left="96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08" w:hanging="488"/>
      </w:pPr>
      <w:rPr>
        <w:rFonts w:hint="default"/>
        <w:lang w:val="en-US" w:eastAsia="en-US" w:bidi="ar-SA"/>
      </w:rPr>
    </w:lvl>
    <w:lvl w:ilvl="2">
      <w:start w:val="0"/>
      <w:numFmt w:val="bullet"/>
      <w:lvlText w:val="•"/>
      <w:lvlJc w:val="left"/>
      <w:pPr>
        <w:ind w:left="2856" w:hanging="488"/>
      </w:pPr>
      <w:rPr>
        <w:rFonts w:hint="default"/>
        <w:lang w:val="en-US" w:eastAsia="en-US" w:bidi="ar-SA"/>
      </w:rPr>
    </w:lvl>
    <w:lvl w:ilvl="3">
      <w:start w:val="0"/>
      <w:numFmt w:val="bullet"/>
      <w:lvlText w:val="•"/>
      <w:lvlJc w:val="left"/>
      <w:pPr>
        <w:ind w:left="3804" w:hanging="488"/>
      </w:pPr>
      <w:rPr>
        <w:rFonts w:hint="default"/>
        <w:lang w:val="en-US" w:eastAsia="en-US" w:bidi="ar-SA"/>
      </w:rPr>
    </w:lvl>
    <w:lvl w:ilvl="4">
      <w:start w:val="0"/>
      <w:numFmt w:val="bullet"/>
      <w:lvlText w:val="•"/>
      <w:lvlJc w:val="left"/>
      <w:pPr>
        <w:ind w:left="4752" w:hanging="488"/>
      </w:pPr>
      <w:rPr>
        <w:rFonts w:hint="default"/>
        <w:lang w:val="en-US" w:eastAsia="en-US" w:bidi="ar-SA"/>
      </w:rPr>
    </w:lvl>
    <w:lvl w:ilvl="5">
      <w:start w:val="0"/>
      <w:numFmt w:val="bullet"/>
      <w:lvlText w:val="•"/>
      <w:lvlJc w:val="left"/>
      <w:pPr>
        <w:ind w:left="5700" w:hanging="488"/>
      </w:pPr>
      <w:rPr>
        <w:rFonts w:hint="default"/>
        <w:lang w:val="en-US" w:eastAsia="en-US" w:bidi="ar-SA"/>
      </w:rPr>
    </w:lvl>
    <w:lvl w:ilvl="6">
      <w:start w:val="0"/>
      <w:numFmt w:val="bullet"/>
      <w:lvlText w:val="•"/>
      <w:lvlJc w:val="left"/>
      <w:pPr>
        <w:ind w:left="6648" w:hanging="488"/>
      </w:pPr>
      <w:rPr>
        <w:rFonts w:hint="default"/>
        <w:lang w:val="en-US" w:eastAsia="en-US" w:bidi="ar-SA"/>
      </w:rPr>
    </w:lvl>
    <w:lvl w:ilvl="7">
      <w:start w:val="0"/>
      <w:numFmt w:val="bullet"/>
      <w:lvlText w:val="•"/>
      <w:lvlJc w:val="left"/>
      <w:pPr>
        <w:ind w:left="7596" w:hanging="488"/>
      </w:pPr>
      <w:rPr>
        <w:rFonts w:hint="default"/>
        <w:lang w:val="en-US" w:eastAsia="en-US" w:bidi="ar-SA"/>
      </w:rPr>
    </w:lvl>
    <w:lvl w:ilvl="8">
      <w:start w:val="0"/>
      <w:numFmt w:val="bullet"/>
      <w:lvlText w:val="•"/>
      <w:lvlJc w:val="left"/>
      <w:pPr>
        <w:ind w:left="8544" w:hanging="488"/>
      </w:pPr>
      <w:rPr>
        <w:rFonts w:hint="default"/>
        <w:lang w:val="en-US" w:eastAsia="en-US" w:bidi="ar-SA"/>
      </w:rPr>
    </w:lvl>
  </w:abstractNum>
  <w:abstractNum w:abstractNumId="42">
    <w:multiLevelType w:val="hybridMultilevel"/>
    <w:lvl w:ilvl="0">
      <w:start w:val="1"/>
      <w:numFmt w:val="lowerRoman"/>
      <w:lvlText w:val="%1."/>
      <w:lvlJc w:val="left"/>
      <w:pPr>
        <w:ind w:left="96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08" w:hanging="488"/>
      </w:pPr>
      <w:rPr>
        <w:rFonts w:hint="default"/>
        <w:lang w:val="en-US" w:eastAsia="en-US" w:bidi="ar-SA"/>
      </w:rPr>
    </w:lvl>
    <w:lvl w:ilvl="2">
      <w:start w:val="0"/>
      <w:numFmt w:val="bullet"/>
      <w:lvlText w:val="•"/>
      <w:lvlJc w:val="left"/>
      <w:pPr>
        <w:ind w:left="2856" w:hanging="488"/>
      </w:pPr>
      <w:rPr>
        <w:rFonts w:hint="default"/>
        <w:lang w:val="en-US" w:eastAsia="en-US" w:bidi="ar-SA"/>
      </w:rPr>
    </w:lvl>
    <w:lvl w:ilvl="3">
      <w:start w:val="0"/>
      <w:numFmt w:val="bullet"/>
      <w:lvlText w:val="•"/>
      <w:lvlJc w:val="left"/>
      <w:pPr>
        <w:ind w:left="3804" w:hanging="488"/>
      </w:pPr>
      <w:rPr>
        <w:rFonts w:hint="default"/>
        <w:lang w:val="en-US" w:eastAsia="en-US" w:bidi="ar-SA"/>
      </w:rPr>
    </w:lvl>
    <w:lvl w:ilvl="4">
      <w:start w:val="0"/>
      <w:numFmt w:val="bullet"/>
      <w:lvlText w:val="•"/>
      <w:lvlJc w:val="left"/>
      <w:pPr>
        <w:ind w:left="4752" w:hanging="488"/>
      </w:pPr>
      <w:rPr>
        <w:rFonts w:hint="default"/>
        <w:lang w:val="en-US" w:eastAsia="en-US" w:bidi="ar-SA"/>
      </w:rPr>
    </w:lvl>
    <w:lvl w:ilvl="5">
      <w:start w:val="0"/>
      <w:numFmt w:val="bullet"/>
      <w:lvlText w:val="•"/>
      <w:lvlJc w:val="left"/>
      <w:pPr>
        <w:ind w:left="5700" w:hanging="488"/>
      </w:pPr>
      <w:rPr>
        <w:rFonts w:hint="default"/>
        <w:lang w:val="en-US" w:eastAsia="en-US" w:bidi="ar-SA"/>
      </w:rPr>
    </w:lvl>
    <w:lvl w:ilvl="6">
      <w:start w:val="0"/>
      <w:numFmt w:val="bullet"/>
      <w:lvlText w:val="•"/>
      <w:lvlJc w:val="left"/>
      <w:pPr>
        <w:ind w:left="6648" w:hanging="488"/>
      </w:pPr>
      <w:rPr>
        <w:rFonts w:hint="default"/>
        <w:lang w:val="en-US" w:eastAsia="en-US" w:bidi="ar-SA"/>
      </w:rPr>
    </w:lvl>
    <w:lvl w:ilvl="7">
      <w:start w:val="0"/>
      <w:numFmt w:val="bullet"/>
      <w:lvlText w:val="•"/>
      <w:lvlJc w:val="left"/>
      <w:pPr>
        <w:ind w:left="7596" w:hanging="488"/>
      </w:pPr>
      <w:rPr>
        <w:rFonts w:hint="default"/>
        <w:lang w:val="en-US" w:eastAsia="en-US" w:bidi="ar-SA"/>
      </w:rPr>
    </w:lvl>
    <w:lvl w:ilvl="8">
      <w:start w:val="0"/>
      <w:numFmt w:val="bullet"/>
      <w:lvlText w:val="•"/>
      <w:lvlJc w:val="left"/>
      <w:pPr>
        <w:ind w:left="8544" w:hanging="488"/>
      </w:pPr>
      <w:rPr>
        <w:rFonts w:hint="default"/>
        <w:lang w:val="en-US" w:eastAsia="en-US" w:bidi="ar-SA"/>
      </w:rPr>
    </w:lvl>
  </w:abstractNum>
  <w:abstractNum w:abstractNumId="41">
    <w:multiLevelType w:val="hybridMultilevel"/>
    <w:lvl w:ilvl="0">
      <w:start w:val="1"/>
      <w:numFmt w:val="lowerRoman"/>
      <w:lvlText w:val="%1."/>
      <w:lvlJc w:val="left"/>
      <w:pPr>
        <w:ind w:left="96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08" w:hanging="488"/>
      </w:pPr>
      <w:rPr>
        <w:rFonts w:hint="default"/>
        <w:lang w:val="en-US" w:eastAsia="en-US" w:bidi="ar-SA"/>
      </w:rPr>
    </w:lvl>
    <w:lvl w:ilvl="2">
      <w:start w:val="0"/>
      <w:numFmt w:val="bullet"/>
      <w:lvlText w:val="•"/>
      <w:lvlJc w:val="left"/>
      <w:pPr>
        <w:ind w:left="2856" w:hanging="488"/>
      </w:pPr>
      <w:rPr>
        <w:rFonts w:hint="default"/>
        <w:lang w:val="en-US" w:eastAsia="en-US" w:bidi="ar-SA"/>
      </w:rPr>
    </w:lvl>
    <w:lvl w:ilvl="3">
      <w:start w:val="0"/>
      <w:numFmt w:val="bullet"/>
      <w:lvlText w:val="•"/>
      <w:lvlJc w:val="left"/>
      <w:pPr>
        <w:ind w:left="3804" w:hanging="488"/>
      </w:pPr>
      <w:rPr>
        <w:rFonts w:hint="default"/>
        <w:lang w:val="en-US" w:eastAsia="en-US" w:bidi="ar-SA"/>
      </w:rPr>
    </w:lvl>
    <w:lvl w:ilvl="4">
      <w:start w:val="0"/>
      <w:numFmt w:val="bullet"/>
      <w:lvlText w:val="•"/>
      <w:lvlJc w:val="left"/>
      <w:pPr>
        <w:ind w:left="4752" w:hanging="488"/>
      </w:pPr>
      <w:rPr>
        <w:rFonts w:hint="default"/>
        <w:lang w:val="en-US" w:eastAsia="en-US" w:bidi="ar-SA"/>
      </w:rPr>
    </w:lvl>
    <w:lvl w:ilvl="5">
      <w:start w:val="0"/>
      <w:numFmt w:val="bullet"/>
      <w:lvlText w:val="•"/>
      <w:lvlJc w:val="left"/>
      <w:pPr>
        <w:ind w:left="5700" w:hanging="488"/>
      </w:pPr>
      <w:rPr>
        <w:rFonts w:hint="default"/>
        <w:lang w:val="en-US" w:eastAsia="en-US" w:bidi="ar-SA"/>
      </w:rPr>
    </w:lvl>
    <w:lvl w:ilvl="6">
      <w:start w:val="0"/>
      <w:numFmt w:val="bullet"/>
      <w:lvlText w:val="•"/>
      <w:lvlJc w:val="left"/>
      <w:pPr>
        <w:ind w:left="6648" w:hanging="488"/>
      </w:pPr>
      <w:rPr>
        <w:rFonts w:hint="default"/>
        <w:lang w:val="en-US" w:eastAsia="en-US" w:bidi="ar-SA"/>
      </w:rPr>
    </w:lvl>
    <w:lvl w:ilvl="7">
      <w:start w:val="0"/>
      <w:numFmt w:val="bullet"/>
      <w:lvlText w:val="•"/>
      <w:lvlJc w:val="left"/>
      <w:pPr>
        <w:ind w:left="7596" w:hanging="488"/>
      </w:pPr>
      <w:rPr>
        <w:rFonts w:hint="default"/>
        <w:lang w:val="en-US" w:eastAsia="en-US" w:bidi="ar-SA"/>
      </w:rPr>
    </w:lvl>
    <w:lvl w:ilvl="8">
      <w:start w:val="0"/>
      <w:numFmt w:val="bullet"/>
      <w:lvlText w:val="•"/>
      <w:lvlJc w:val="left"/>
      <w:pPr>
        <w:ind w:left="8544" w:hanging="488"/>
      </w:pPr>
      <w:rPr>
        <w:rFonts w:hint="default"/>
        <w:lang w:val="en-US" w:eastAsia="en-US" w:bidi="ar-SA"/>
      </w:rPr>
    </w:lvl>
  </w:abstractNum>
  <w:abstractNum w:abstractNumId="40">
    <w:multiLevelType w:val="hybridMultilevel"/>
    <w:lvl w:ilvl="0">
      <w:start w:val="1"/>
      <w:numFmt w:val="lowerRoman"/>
      <w:lvlText w:val="%1."/>
      <w:lvlJc w:val="left"/>
      <w:pPr>
        <w:ind w:left="96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08" w:hanging="488"/>
      </w:pPr>
      <w:rPr>
        <w:rFonts w:hint="default"/>
        <w:lang w:val="en-US" w:eastAsia="en-US" w:bidi="ar-SA"/>
      </w:rPr>
    </w:lvl>
    <w:lvl w:ilvl="2">
      <w:start w:val="0"/>
      <w:numFmt w:val="bullet"/>
      <w:lvlText w:val="•"/>
      <w:lvlJc w:val="left"/>
      <w:pPr>
        <w:ind w:left="2856" w:hanging="488"/>
      </w:pPr>
      <w:rPr>
        <w:rFonts w:hint="default"/>
        <w:lang w:val="en-US" w:eastAsia="en-US" w:bidi="ar-SA"/>
      </w:rPr>
    </w:lvl>
    <w:lvl w:ilvl="3">
      <w:start w:val="0"/>
      <w:numFmt w:val="bullet"/>
      <w:lvlText w:val="•"/>
      <w:lvlJc w:val="left"/>
      <w:pPr>
        <w:ind w:left="3804" w:hanging="488"/>
      </w:pPr>
      <w:rPr>
        <w:rFonts w:hint="default"/>
        <w:lang w:val="en-US" w:eastAsia="en-US" w:bidi="ar-SA"/>
      </w:rPr>
    </w:lvl>
    <w:lvl w:ilvl="4">
      <w:start w:val="0"/>
      <w:numFmt w:val="bullet"/>
      <w:lvlText w:val="•"/>
      <w:lvlJc w:val="left"/>
      <w:pPr>
        <w:ind w:left="4752" w:hanging="488"/>
      </w:pPr>
      <w:rPr>
        <w:rFonts w:hint="default"/>
        <w:lang w:val="en-US" w:eastAsia="en-US" w:bidi="ar-SA"/>
      </w:rPr>
    </w:lvl>
    <w:lvl w:ilvl="5">
      <w:start w:val="0"/>
      <w:numFmt w:val="bullet"/>
      <w:lvlText w:val="•"/>
      <w:lvlJc w:val="left"/>
      <w:pPr>
        <w:ind w:left="5700" w:hanging="488"/>
      </w:pPr>
      <w:rPr>
        <w:rFonts w:hint="default"/>
        <w:lang w:val="en-US" w:eastAsia="en-US" w:bidi="ar-SA"/>
      </w:rPr>
    </w:lvl>
    <w:lvl w:ilvl="6">
      <w:start w:val="0"/>
      <w:numFmt w:val="bullet"/>
      <w:lvlText w:val="•"/>
      <w:lvlJc w:val="left"/>
      <w:pPr>
        <w:ind w:left="6648" w:hanging="488"/>
      </w:pPr>
      <w:rPr>
        <w:rFonts w:hint="default"/>
        <w:lang w:val="en-US" w:eastAsia="en-US" w:bidi="ar-SA"/>
      </w:rPr>
    </w:lvl>
    <w:lvl w:ilvl="7">
      <w:start w:val="0"/>
      <w:numFmt w:val="bullet"/>
      <w:lvlText w:val="•"/>
      <w:lvlJc w:val="left"/>
      <w:pPr>
        <w:ind w:left="7596" w:hanging="488"/>
      </w:pPr>
      <w:rPr>
        <w:rFonts w:hint="default"/>
        <w:lang w:val="en-US" w:eastAsia="en-US" w:bidi="ar-SA"/>
      </w:rPr>
    </w:lvl>
    <w:lvl w:ilvl="8">
      <w:start w:val="0"/>
      <w:numFmt w:val="bullet"/>
      <w:lvlText w:val="•"/>
      <w:lvlJc w:val="left"/>
      <w:pPr>
        <w:ind w:left="8544" w:hanging="488"/>
      </w:pPr>
      <w:rPr>
        <w:rFonts w:hint="default"/>
        <w:lang w:val="en-US" w:eastAsia="en-US" w:bidi="ar-SA"/>
      </w:rPr>
    </w:lvl>
  </w:abstractNum>
  <w:abstractNum w:abstractNumId="39">
    <w:multiLevelType w:val="hybridMultilevel"/>
    <w:lvl w:ilvl="0">
      <w:start w:val="1"/>
      <w:numFmt w:val="lowerRoman"/>
      <w:lvlText w:val="%1."/>
      <w:lvlJc w:val="left"/>
      <w:pPr>
        <w:ind w:left="1008"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44" w:hanging="488"/>
      </w:pPr>
      <w:rPr>
        <w:rFonts w:hint="default"/>
        <w:lang w:val="en-US" w:eastAsia="en-US" w:bidi="ar-SA"/>
      </w:rPr>
    </w:lvl>
    <w:lvl w:ilvl="2">
      <w:start w:val="0"/>
      <w:numFmt w:val="bullet"/>
      <w:lvlText w:val="•"/>
      <w:lvlJc w:val="left"/>
      <w:pPr>
        <w:ind w:left="2888" w:hanging="488"/>
      </w:pPr>
      <w:rPr>
        <w:rFonts w:hint="default"/>
        <w:lang w:val="en-US" w:eastAsia="en-US" w:bidi="ar-SA"/>
      </w:rPr>
    </w:lvl>
    <w:lvl w:ilvl="3">
      <w:start w:val="0"/>
      <w:numFmt w:val="bullet"/>
      <w:lvlText w:val="•"/>
      <w:lvlJc w:val="left"/>
      <w:pPr>
        <w:ind w:left="3832" w:hanging="488"/>
      </w:pPr>
      <w:rPr>
        <w:rFonts w:hint="default"/>
        <w:lang w:val="en-US" w:eastAsia="en-US" w:bidi="ar-SA"/>
      </w:rPr>
    </w:lvl>
    <w:lvl w:ilvl="4">
      <w:start w:val="0"/>
      <w:numFmt w:val="bullet"/>
      <w:lvlText w:val="•"/>
      <w:lvlJc w:val="left"/>
      <w:pPr>
        <w:ind w:left="4776" w:hanging="488"/>
      </w:pPr>
      <w:rPr>
        <w:rFonts w:hint="default"/>
        <w:lang w:val="en-US" w:eastAsia="en-US" w:bidi="ar-SA"/>
      </w:rPr>
    </w:lvl>
    <w:lvl w:ilvl="5">
      <w:start w:val="0"/>
      <w:numFmt w:val="bullet"/>
      <w:lvlText w:val="•"/>
      <w:lvlJc w:val="left"/>
      <w:pPr>
        <w:ind w:left="5720" w:hanging="488"/>
      </w:pPr>
      <w:rPr>
        <w:rFonts w:hint="default"/>
        <w:lang w:val="en-US" w:eastAsia="en-US" w:bidi="ar-SA"/>
      </w:rPr>
    </w:lvl>
    <w:lvl w:ilvl="6">
      <w:start w:val="0"/>
      <w:numFmt w:val="bullet"/>
      <w:lvlText w:val="•"/>
      <w:lvlJc w:val="left"/>
      <w:pPr>
        <w:ind w:left="6664" w:hanging="488"/>
      </w:pPr>
      <w:rPr>
        <w:rFonts w:hint="default"/>
        <w:lang w:val="en-US" w:eastAsia="en-US" w:bidi="ar-SA"/>
      </w:rPr>
    </w:lvl>
    <w:lvl w:ilvl="7">
      <w:start w:val="0"/>
      <w:numFmt w:val="bullet"/>
      <w:lvlText w:val="•"/>
      <w:lvlJc w:val="left"/>
      <w:pPr>
        <w:ind w:left="7608" w:hanging="488"/>
      </w:pPr>
      <w:rPr>
        <w:rFonts w:hint="default"/>
        <w:lang w:val="en-US" w:eastAsia="en-US" w:bidi="ar-SA"/>
      </w:rPr>
    </w:lvl>
    <w:lvl w:ilvl="8">
      <w:start w:val="0"/>
      <w:numFmt w:val="bullet"/>
      <w:lvlText w:val="•"/>
      <w:lvlJc w:val="left"/>
      <w:pPr>
        <w:ind w:left="8552" w:hanging="488"/>
      </w:pPr>
      <w:rPr>
        <w:rFonts w:hint="default"/>
        <w:lang w:val="en-US" w:eastAsia="en-US" w:bidi="ar-SA"/>
      </w:rPr>
    </w:lvl>
  </w:abstractNum>
  <w:abstractNum w:abstractNumId="38">
    <w:multiLevelType w:val="hybridMultilevel"/>
    <w:lvl w:ilvl="0">
      <w:start w:val="1"/>
      <w:numFmt w:val="lowerRoman"/>
      <w:lvlText w:val="%1."/>
      <w:lvlJc w:val="left"/>
      <w:pPr>
        <w:ind w:left="96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08" w:hanging="488"/>
      </w:pPr>
      <w:rPr>
        <w:rFonts w:hint="default"/>
        <w:lang w:val="en-US" w:eastAsia="en-US" w:bidi="ar-SA"/>
      </w:rPr>
    </w:lvl>
    <w:lvl w:ilvl="2">
      <w:start w:val="0"/>
      <w:numFmt w:val="bullet"/>
      <w:lvlText w:val="•"/>
      <w:lvlJc w:val="left"/>
      <w:pPr>
        <w:ind w:left="2856" w:hanging="488"/>
      </w:pPr>
      <w:rPr>
        <w:rFonts w:hint="default"/>
        <w:lang w:val="en-US" w:eastAsia="en-US" w:bidi="ar-SA"/>
      </w:rPr>
    </w:lvl>
    <w:lvl w:ilvl="3">
      <w:start w:val="0"/>
      <w:numFmt w:val="bullet"/>
      <w:lvlText w:val="•"/>
      <w:lvlJc w:val="left"/>
      <w:pPr>
        <w:ind w:left="3804" w:hanging="488"/>
      </w:pPr>
      <w:rPr>
        <w:rFonts w:hint="default"/>
        <w:lang w:val="en-US" w:eastAsia="en-US" w:bidi="ar-SA"/>
      </w:rPr>
    </w:lvl>
    <w:lvl w:ilvl="4">
      <w:start w:val="0"/>
      <w:numFmt w:val="bullet"/>
      <w:lvlText w:val="•"/>
      <w:lvlJc w:val="left"/>
      <w:pPr>
        <w:ind w:left="4752" w:hanging="488"/>
      </w:pPr>
      <w:rPr>
        <w:rFonts w:hint="default"/>
        <w:lang w:val="en-US" w:eastAsia="en-US" w:bidi="ar-SA"/>
      </w:rPr>
    </w:lvl>
    <w:lvl w:ilvl="5">
      <w:start w:val="0"/>
      <w:numFmt w:val="bullet"/>
      <w:lvlText w:val="•"/>
      <w:lvlJc w:val="left"/>
      <w:pPr>
        <w:ind w:left="5700" w:hanging="488"/>
      </w:pPr>
      <w:rPr>
        <w:rFonts w:hint="default"/>
        <w:lang w:val="en-US" w:eastAsia="en-US" w:bidi="ar-SA"/>
      </w:rPr>
    </w:lvl>
    <w:lvl w:ilvl="6">
      <w:start w:val="0"/>
      <w:numFmt w:val="bullet"/>
      <w:lvlText w:val="•"/>
      <w:lvlJc w:val="left"/>
      <w:pPr>
        <w:ind w:left="6648" w:hanging="488"/>
      </w:pPr>
      <w:rPr>
        <w:rFonts w:hint="default"/>
        <w:lang w:val="en-US" w:eastAsia="en-US" w:bidi="ar-SA"/>
      </w:rPr>
    </w:lvl>
    <w:lvl w:ilvl="7">
      <w:start w:val="0"/>
      <w:numFmt w:val="bullet"/>
      <w:lvlText w:val="•"/>
      <w:lvlJc w:val="left"/>
      <w:pPr>
        <w:ind w:left="7596" w:hanging="488"/>
      </w:pPr>
      <w:rPr>
        <w:rFonts w:hint="default"/>
        <w:lang w:val="en-US" w:eastAsia="en-US" w:bidi="ar-SA"/>
      </w:rPr>
    </w:lvl>
    <w:lvl w:ilvl="8">
      <w:start w:val="0"/>
      <w:numFmt w:val="bullet"/>
      <w:lvlText w:val="•"/>
      <w:lvlJc w:val="left"/>
      <w:pPr>
        <w:ind w:left="8544" w:hanging="488"/>
      </w:pPr>
      <w:rPr>
        <w:rFonts w:hint="default"/>
        <w:lang w:val="en-US" w:eastAsia="en-US" w:bidi="ar-SA"/>
      </w:rPr>
    </w:lvl>
  </w:abstractNum>
  <w:abstractNum w:abstractNumId="37">
    <w:multiLevelType w:val="hybridMultilevel"/>
    <w:lvl w:ilvl="0">
      <w:start w:val="1"/>
      <w:numFmt w:val="lowerRoman"/>
      <w:lvlText w:val="%1."/>
      <w:lvlJc w:val="left"/>
      <w:pPr>
        <w:ind w:left="96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08" w:hanging="488"/>
      </w:pPr>
      <w:rPr>
        <w:rFonts w:hint="default"/>
        <w:lang w:val="en-US" w:eastAsia="en-US" w:bidi="ar-SA"/>
      </w:rPr>
    </w:lvl>
    <w:lvl w:ilvl="2">
      <w:start w:val="0"/>
      <w:numFmt w:val="bullet"/>
      <w:lvlText w:val="•"/>
      <w:lvlJc w:val="left"/>
      <w:pPr>
        <w:ind w:left="2856" w:hanging="488"/>
      </w:pPr>
      <w:rPr>
        <w:rFonts w:hint="default"/>
        <w:lang w:val="en-US" w:eastAsia="en-US" w:bidi="ar-SA"/>
      </w:rPr>
    </w:lvl>
    <w:lvl w:ilvl="3">
      <w:start w:val="0"/>
      <w:numFmt w:val="bullet"/>
      <w:lvlText w:val="•"/>
      <w:lvlJc w:val="left"/>
      <w:pPr>
        <w:ind w:left="3804" w:hanging="488"/>
      </w:pPr>
      <w:rPr>
        <w:rFonts w:hint="default"/>
        <w:lang w:val="en-US" w:eastAsia="en-US" w:bidi="ar-SA"/>
      </w:rPr>
    </w:lvl>
    <w:lvl w:ilvl="4">
      <w:start w:val="0"/>
      <w:numFmt w:val="bullet"/>
      <w:lvlText w:val="•"/>
      <w:lvlJc w:val="left"/>
      <w:pPr>
        <w:ind w:left="4752" w:hanging="488"/>
      </w:pPr>
      <w:rPr>
        <w:rFonts w:hint="default"/>
        <w:lang w:val="en-US" w:eastAsia="en-US" w:bidi="ar-SA"/>
      </w:rPr>
    </w:lvl>
    <w:lvl w:ilvl="5">
      <w:start w:val="0"/>
      <w:numFmt w:val="bullet"/>
      <w:lvlText w:val="•"/>
      <w:lvlJc w:val="left"/>
      <w:pPr>
        <w:ind w:left="5700" w:hanging="488"/>
      </w:pPr>
      <w:rPr>
        <w:rFonts w:hint="default"/>
        <w:lang w:val="en-US" w:eastAsia="en-US" w:bidi="ar-SA"/>
      </w:rPr>
    </w:lvl>
    <w:lvl w:ilvl="6">
      <w:start w:val="0"/>
      <w:numFmt w:val="bullet"/>
      <w:lvlText w:val="•"/>
      <w:lvlJc w:val="left"/>
      <w:pPr>
        <w:ind w:left="6648" w:hanging="488"/>
      </w:pPr>
      <w:rPr>
        <w:rFonts w:hint="default"/>
        <w:lang w:val="en-US" w:eastAsia="en-US" w:bidi="ar-SA"/>
      </w:rPr>
    </w:lvl>
    <w:lvl w:ilvl="7">
      <w:start w:val="0"/>
      <w:numFmt w:val="bullet"/>
      <w:lvlText w:val="•"/>
      <w:lvlJc w:val="left"/>
      <w:pPr>
        <w:ind w:left="7596" w:hanging="488"/>
      </w:pPr>
      <w:rPr>
        <w:rFonts w:hint="default"/>
        <w:lang w:val="en-US" w:eastAsia="en-US" w:bidi="ar-SA"/>
      </w:rPr>
    </w:lvl>
    <w:lvl w:ilvl="8">
      <w:start w:val="0"/>
      <w:numFmt w:val="bullet"/>
      <w:lvlText w:val="•"/>
      <w:lvlJc w:val="left"/>
      <w:pPr>
        <w:ind w:left="8544" w:hanging="488"/>
      </w:pPr>
      <w:rPr>
        <w:rFonts w:hint="default"/>
        <w:lang w:val="en-US" w:eastAsia="en-US" w:bidi="ar-SA"/>
      </w:rPr>
    </w:lvl>
  </w:abstractNum>
  <w:abstractNum w:abstractNumId="36">
    <w:multiLevelType w:val="hybridMultilevel"/>
    <w:lvl w:ilvl="0">
      <w:start w:val="1"/>
      <w:numFmt w:val="lowerRoman"/>
      <w:lvlText w:val="%1."/>
      <w:lvlJc w:val="left"/>
      <w:pPr>
        <w:ind w:left="96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08" w:hanging="488"/>
      </w:pPr>
      <w:rPr>
        <w:rFonts w:hint="default"/>
        <w:lang w:val="en-US" w:eastAsia="en-US" w:bidi="ar-SA"/>
      </w:rPr>
    </w:lvl>
    <w:lvl w:ilvl="2">
      <w:start w:val="0"/>
      <w:numFmt w:val="bullet"/>
      <w:lvlText w:val="•"/>
      <w:lvlJc w:val="left"/>
      <w:pPr>
        <w:ind w:left="2856" w:hanging="488"/>
      </w:pPr>
      <w:rPr>
        <w:rFonts w:hint="default"/>
        <w:lang w:val="en-US" w:eastAsia="en-US" w:bidi="ar-SA"/>
      </w:rPr>
    </w:lvl>
    <w:lvl w:ilvl="3">
      <w:start w:val="0"/>
      <w:numFmt w:val="bullet"/>
      <w:lvlText w:val="•"/>
      <w:lvlJc w:val="left"/>
      <w:pPr>
        <w:ind w:left="3804" w:hanging="488"/>
      </w:pPr>
      <w:rPr>
        <w:rFonts w:hint="default"/>
        <w:lang w:val="en-US" w:eastAsia="en-US" w:bidi="ar-SA"/>
      </w:rPr>
    </w:lvl>
    <w:lvl w:ilvl="4">
      <w:start w:val="0"/>
      <w:numFmt w:val="bullet"/>
      <w:lvlText w:val="•"/>
      <w:lvlJc w:val="left"/>
      <w:pPr>
        <w:ind w:left="4752" w:hanging="488"/>
      </w:pPr>
      <w:rPr>
        <w:rFonts w:hint="default"/>
        <w:lang w:val="en-US" w:eastAsia="en-US" w:bidi="ar-SA"/>
      </w:rPr>
    </w:lvl>
    <w:lvl w:ilvl="5">
      <w:start w:val="0"/>
      <w:numFmt w:val="bullet"/>
      <w:lvlText w:val="•"/>
      <w:lvlJc w:val="left"/>
      <w:pPr>
        <w:ind w:left="5700" w:hanging="488"/>
      </w:pPr>
      <w:rPr>
        <w:rFonts w:hint="default"/>
        <w:lang w:val="en-US" w:eastAsia="en-US" w:bidi="ar-SA"/>
      </w:rPr>
    </w:lvl>
    <w:lvl w:ilvl="6">
      <w:start w:val="0"/>
      <w:numFmt w:val="bullet"/>
      <w:lvlText w:val="•"/>
      <w:lvlJc w:val="left"/>
      <w:pPr>
        <w:ind w:left="6648" w:hanging="488"/>
      </w:pPr>
      <w:rPr>
        <w:rFonts w:hint="default"/>
        <w:lang w:val="en-US" w:eastAsia="en-US" w:bidi="ar-SA"/>
      </w:rPr>
    </w:lvl>
    <w:lvl w:ilvl="7">
      <w:start w:val="0"/>
      <w:numFmt w:val="bullet"/>
      <w:lvlText w:val="•"/>
      <w:lvlJc w:val="left"/>
      <w:pPr>
        <w:ind w:left="7596" w:hanging="488"/>
      </w:pPr>
      <w:rPr>
        <w:rFonts w:hint="default"/>
        <w:lang w:val="en-US" w:eastAsia="en-US" w:bidi="ar-SA"/>
      </w:rPr>
    </w:lvl>
    <w:lvl w:ilvl="8">
      <w:start w:val="0"/>
      <w:numFmt w:val="bullet"/>
      <w:lvlText w:val="•"/>
      <w:lvlJc w:val="left"/>
      <w:pPr>
        <w:ind w:left="8544" w:hanging="488"/>
      </w:pPr>
      <w:rPr>
        <w:rFonts w:hint="default"/>
        <w:lang w:val="en-US" w:eastAsia="en-US" w:bidi="ar-SA"/>
      </w:rPr>
    </w:lvl>
  </w:abstractNum>
  <w:abstractNum w:abstractNumId="35">
    <w:multiLevelType w:val="hybridMultilevel"/>
    <w:lvl w:ilvl="0">
      <w:start w:val="1"/>
      <w:numFmt w:val="lowerLetter"/>
      <w:lvlText w:val="%1)"/>
      <w:lvlJc w:val="left"/>
      <w:pPr>
        <w:ind w:left="9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908" w:hanging="360"/>
      </w:pPr>
      <w:rPr>
        <w:rFonts w:hint="default"/>
        <w:lang w:val="en-US" w:eastAsia="en-US" w:bidi="ar-SA"/>
      </w:rPr>
    </w:lvl>
    <w:lvl w:ilvl="2">
      <w:start w:val="0"/>
      <w:numFmt w:val="bullet"/>
      <w:lvlText w:val="•"/>
      <w:lvlJc w:val="left"/>
      <w:pPr>
        <w:ind w:left="2856" w:hanging="360"/>
      </w:pPr>
      <w:rPr>
        <w:rFonts w:hint="default"/>
        <w:lang w:val="en-US" w:eastAsia="en-US" w:bidi="ar-SA"/>
      </w:rPr>
    </w:lvl>
    <w:lvl w:ilvl="3">
      <w:start w:val="0"/>
      <w:numFmt w:val="bullet"/>
      <w:lvlText w:val="•"/>
      <w:lvlJc w:val="left"/>
      <w:pPr>
        <w:ind w:left="3804" w:hanging="360"/>
      </w:pPr>
      <w:rPr>
        <w:rFonts w:hint="default"/>
        <w:lang w:val="en-US" w:eastAsia="en-US" w:bidi="ar-SA"/>
      </w:rPr>
    </w:lvl>
    <w:lvl w:ilvl="4">
      <w:start w:val="0"/>
      <w:numFmt w:val="bullet"/>
      <w:lvlText w:val="•"/>
      <w:lvlJc w:val="left"/>
      <w:pPr>
        <w:ind w:left="4752"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48" w:hanging="360"/>
      </w:pPr>
      <w:rPr>
        <w:rFonts w:hint="default"/>
        <w:lang w:val="en-US" w:eastAsia="en-US" w:bidi="ar-SA"/>
      </w:rPr>
    </w:lvl>
    <w:lvl w:ilvl="7">
      <w:start w:val="0"/>
      <w:numFmt w:val="bullet"/>
      <w:lvlText w:val="•"/>
      <w:lvlJc w:val="left"/>
      <w:pPr>
        <w:ind w:left="7596" w:hanging="360"/>
      </w:pPr>
      <w:rPr>
        <w:rFonts w:hint="default"/>
        <w:lang w:val="en-US" w:eastAsia="en-US" w:bidi="ar-SA"/>
      </w:rPr>
    </w:lvl>
    <w:lvl w:ilvl="8">
      <w:start w:val="0"/>
      <w:numFmt w:val="bullet"/>
      <w:lvlText w:val="•"/>
      <w:lvlJc w:val="left"/>
      <w:pPr>
        <w:ind w:left="8544" w:hanging="360"/>
      </w:pPr>
      <w:rPr>
        <w:rFonts w:hint="default"/>
        <w:lang w:val="en-US" w:eastAsia="en-US" w:bidi="ar-SA"/>
      </w:rPr>
    </w:lvl>
  </w:abstractNum>
  <w:abstractNum w:abstractNumId="34">
    <w:multiLevelType w:val="hybridMultilevel"/>
    <w:lvl w:ilvl="0">
      <w:start w:val="1"/>
      <w:numFmt w:val="lowerLetter"/>
      <w:lvlText w:val="(%1)"/>
      <w:lvlJc w:val="left"/>
      <w:pPr>
        <w:ind w:left="578" w:hanging="339"/>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1"/>
      <w:numFmt w:val="lowerLetter"/>
      <w:lvlText w:val="%2)"/>
      <w:lvlJc w:val="left"/>
      <w:pPr>
        <w:ind w:left="9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2013" w:hanging="360"/>
      </w:pPr>
      <w:rPr>
        <w:rFonts w:hint="default"/>
        <w:lang w:val="en-US" w:eastAsia="en-US" w:bidi="ar-SA"/>
      </w:rPr>
    </w:lvl>
    <w:lvl w:ilvl="3">
      <w:start w:val="0"/>
      <w:numFmt w:val="bullet"/>
      <w:lvlText w:val="•"/>
      <w:lvlJc w:val="left"/>
      <w:pPr>
        <w:ind w:left="3066" w:hanging="360"/>
      </w:pPr>
      <w:rPr>
        <w:rFonts w:hint="default"/>
        <w:lang w:val="en-US" w:eastAsia="en-US" w:bidi="ar-SA"/>
      </w:rPr>
    </w:lvl>
    <w:lvl w:ilvl="4">
      <w:start w:val="0"/>
      <w:numFmt w:val="bullet"/>
      <w:lvlText w:val="•"/>
      <w:lvlJc w:val="left"/>
      <w:pPr>
        <w:ind w:left="4120" w:hanging="360"/>
      </w:pPr>
      <w:rPr>
        <w:rFonts w:hint="default"/>
        <w:lang w:val="en-US" w:eastAsia="en-US" w:bidi="ar-SA"/>
      </w:rPr>
    </w:lvl>
    <w:lvl w:ilvl="5">
      <w:start w:val="0"/>
      <w:numFmt w:val="bullet"/>
      <w:lvlText w:val="•"/>
      <w:lvlJc w:val="left"/>
      <w:pPr>
        <w:ind w:left="5173" w:hanging="360"/>
      </w:pPr>
      <w:rPr>
        <w:rFonts w:hint="default"/>
        <w:lang w:val="en-US" w:eastAsia="en-US" w:bidi="ar-SA"/>
      </w:rPr>
    </w:lvl>
    <w:lvl w:ilvl="6">
      <w:start w:val="0"/>
      <w:numFmt w:val="bullet"/>
      <w:lvlText w:val="•"/>
      <w:lvlJc w:val="left"/>
      <w:pPr>
        <w:ind w:left="6226" w:hanging="360"/>
      </w:pPr>
      <w:rPr>
        <w:rFonts w:hint="default"/>
        <w:lang w:val="en-US" w:eastAsia="en-US" w:bidi="ar-SA"/>
      </w:rPr>
    </w:lvl>
    <w:lvl w:ilvl="7">
      <w:start w:val="0"/>
      <w:numFmt w:val="bullet"/>
      <w:lvlText w:val="•"/>
      <w:lvlJc w:val="left"/>
      <w:pPr>
        <w:ind w:left="7280" w:hanging="360"/>
      </w:pPr>
      <w:rPr>
        <w:rFonts w:hint="default"/>
        <w:lang w:val="en-US" w:eastAsia="en-US" w:bidi="ar-SA"/>
      </w:rPr>
    </w:lvl>
    <w:lvl w:ilvl="8">
      <w:start w:val="0"/>
      <w:numFmt w:val="bullet"/>
      <w:lvlText w:val="•"/>
      <w:lvlJc w:val="left"/>
      <w:pPr>
        <w:ind w:left="8333" w:hanging="360"/>
      </w:pPr>
      <w:rPr>
        <w:rFonts w:hint="default"/>
        <w:lang w:val="en-US" w:eastAsia="en-US" w:bidi="ar-SA"/>
      </w:rPr>
    </w:lvl>
  </w:abstractNum>
  <w:abstractNum w:abstractNumId="33">
    <w:multiLevelType w:val="hybridMultilevel"/>
    <w:lvl w:ilvl="0">
      <w:start w:val="0"/>
      <w:numFmt w:val="bullet"/>
      <w:lvlText w:val=""/>
      <w:lvlJc w:val="left"/>
      <w:pPr>
        <w:ind w:left="9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908" w:hanging="360"/>
      </w:pPr>
      <w:rPr>
        <w:rFonts w:hint="default"/>
        <w:lang w:val="en-US" w:eastAsia="en-US" w:bidi="ar-SA"/>
      </w:rPr>
    </w:lvl>
    <w:lvl w:ilvl="2">
      <w:start w:val="0"/>
      <w:numFmt w:val="bullet"/>
      <w:lvlText w:val="•"/>
      <w:lvlJc w:val="left"/>
      <w:pPr>
        <w:ind w:left="2856" w:hanging="360"/>
      </w:pPr>
      <w:rPr>
        <w:rFonts w:hint="default"/>
        <w:lang w:val="en-US" w:eastAsia="en-US" w:bidi="ar-SA"/>
      </w:rPr>
    </w:lvl>
    <w:lvl w:ilvl="3">
      <w:start w:val="0"/>
      <w:numFmt w:val="bullet"/>
      <w:lvlText w:val="•"/>
      <w:lvlJc w:val="left"/>
      <w:pPr>
        <w:ind w:left="3804" w:hanging="360"/>
      </w:pPr>
      <w:rPr>
        <w:rFonts w:hint="default"/>
        <w:lang w:val="en-US" w:eastAsia="en-US" w:bidi="ar-SA"/>
      </w:rPr>
    </w:lvl>
    <w:lvl w:ilvl="4">
      <w:start w:val="0"/>
      <w:numFmt w:val="bullet"/>
      <w:lvlText w:val="•"/>
      <w:lvlJc w:val="left"/>
      <w:pPr>
        <w:ind w:left="4752"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48" w:hanging="360"/>
      </w:pPr>
      <w:rPr>
        <w:rFonts w:hint="default"/>
        <w:lang w:val="en-US" w:eastAsia="en-US" w:bidi="ar-SA"/>
      </w:rPr>
    </w:lvl>
    <w:lvl w:ilvl="7">
      <w:start w:val="0"/>
      <w:numFmt w:val="bullet"/>
      <w:lvlText w:val="•"/>
      <w:lvlJc w:val="left"/>
      <w:pPr>
        <w:ind w:left="7596" w:hanging="360"/>
      </w:pPr>
      <w:rPr>
        <w:rFonts w:hint="default"/>
        <w:lang w:val="en-US" w:eastAsia="en-US" w:bidi="ar-SA"/>
      </w:rPr>
    </w:lvl>
    <w:lvl w:ilvl="8">
      <w:start w:val="0"/>
      <w:numFmt w:val="bullet"/>
      <w:lvlText w:val="•"/>
      <w:lvlJc w:val="left"/>
      <w:pPr>
        <w:ind w:left="8544" w:hanging="360"/>
      </w:pPr>
      <w:rPr>
        <w:rFonts w:hint="default"/>
        <w:lang w:val="en-US" w:eastAsia="en-US" w:bidi="ar-SA"/>
      </w:rPr>
    </w:lvl>
  </w:abstractNum>
  <w:abstractNum w:abstractNumId="32">
    <w:multiLevelType w:val="hybridMultilevel"/>
    <w:lvl w:ilvl="0">
      <w:start w:val="1"/>
      <w:numFmt w:val="upperLetter"/>
      <w:lvlText w:val="%1)"/>
      <w:lvlJc w:val="left"/>
      <w:pPr>
        <w:ind w:left="240" w:hanging="348"/>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260" w:hanging="348"/>
      </w:pPr>
      <w:rPr>
        <w:rFonts w:hint="default"/>
        <w:lang w:val="en-US" w:eastAsia="en-US" w:bidi="ar-SA"/>
      </w:rPr>
    </w:lvl>
    <w:lvl w:ilvl="2">
      <w:start w:val="0"/>
      <w:numFmt w:val="bullet"/>
      <w:lvlText w:val="•"/>
      <w:lvlJc w:val="left"/>
      <w:pPr>
        <w:ind w:left="2280" w:hanging="348"/>
      </w:pPr>
      <w:rPr>
        <w:rFonts w:hint="default"/>
        <w:lang w:val="en-US" w:eastAsia="en-US" w:bidi="ar-SA"/>
      </w:rPr>
    </w:lvl>
    <w:lvl w:ilvl="3">
      <w:start w:val="0"/>
      <w:numFmt w:val="bullet"/>
      <w:lvlText w:val="•"/>
      <w:lvlJc w:val="left"/>
      <w:pPr>
        <w:ind w:left="3300" w:hanging="348"/>
      </w:pPr>
      <w:rPr>
        <w:rFonts w:hint="default"/>
        <w:lang w:val="en-US" w:eastAsia="en-US" w:bidi="ar-SA"/>
      </w:rPr>
    </w:lvl>
    <w:lvl w:ilvl="4">
      <w:start w:val="0"/>
      <w:numFmt w:val="bullet"/>
      <w:lvlText w:val="•"/>
      <w:lvlJc w:val="left"/>
      <w:pPr>
        <w:ind w:left="4320" w:hanging="348"/>
      </w:pPr>
      <w:rPr>
        <w:rFonts w:hint="default"/>
        <w:lang w:val="en-US" w:eastAsia="en-US" w:bidi="ar-SA"/>
      </w:rPr>
    </w:lvl>
    <w:lvl w:ilvl="5">
      <w:start w:val="0"/>
      <w:numFmt w:val="bullet"/>
      <w:lvlText w:val="•"/>
      <w:lvlJc w:val="left"/>
      <w:pPr>
        <w:ind w:left="5340" w:hanging="348"/>
      </w:pPr>
      <w:rPr>
        <w:rFonts w:hint="default"/>
        <w:lang w:val="en-US" w:eastAsia="en-US" w:bidi="ar-SA"/>
      </w:rPr>
    </w:lvl>
    <w:lvl w:ilvl="6">
      <w:start w:val="0"/>
      <w:numFmt w:val="bullet"/>
      <w:lvlText w:val="•"/>
      <w:lvlJc w:val="left"/>
      <w:pPr>
        <w:ind w:left="6360" w:hanging="348"/>
      </w:pPr>
      <w:rPr>
        <w:rFonts w:hint="default"/>
        <w:lang w:val="en-US" w:eastAsia="en-US" w:bidi="ar-SA"/>
      </w:rPr>
    </w:lvl>
    <w:lvl w:ilvl="7">
      <w:start w:val="0"/>
      <w:numFmt w:val="bullet"/>
      <w:lvlText w:val="•"/>
      <w:lvlJc w:val="left"/>
      <w:pPr>
        <w:ind w:left="7380" w:hanging="348"/>
      </w:pPr>
      <w:rPr>
        <w:rFonts w:hint="default"/>
        <w:lang w:val="en-US" w:eastAsia="en-US" w:bidi="ar-SA"/>
      </w:rPr>
    </w:lvl>
    <w:lvl w:ilvl="8">
      <w:start w:val="0"/>
      <w:numFmt w:val="bullet"/>
      <w:lvlText w:val="•"/>
      <w:lvlJc w:val="left"/>
      <w:pPr>
        <w:ind w:left="8400" w:hanging="348"/>
      </w:pPr>
      <w:rPr>
        <w:rFonts w:hint="default"/>
        <w:lang w:val="en-US" w:eastAsia="en-US" w:bidi="ar-SA"/>
      </w:rPr>
    </w:lvl>
  </w:abstractNum>
  <w:abstractNum w:abstractNumId="31">
    <w:multiLevelType w:val="hybridMultilevel"/>
    <w:lvl w:ilvl="0">
      <w:start w:val="1"/>
      <w:numFmt w:val="lowerLetter"/>
      <w:lvlText w:val="%1)"/>
      <w:lvlJc w:val="left"/>
      <w:pPr>
        <w:ind w:left="960" w:hanging="360"/>
        <w:jc w:val="left"/>
      </w:pPr>
      <w:rPr>
        <w:rFonts w:hint="default"/>
        <w:spacing w:val="0"/>
        <w:w w:val="100"/>
        <w:lang w:val="en-US" w:eastAsia="en-US" w:bidi="ar-SA"/>
      </w:rPr>
    </w:lvl>
    <w:lvl w:ilvl="1">
      <w:start w:val="0"/>
      <w:numFmt w:val="bullet"/>
      <w:lvlText w:val="•"/>
      <w:lvlJc w:val="left"/>
      <w:pPr>
        <w:ind w:left="1908" w:hanging="360"/>
      </w:pPr>
      <w:rPr>
        <w:rFonts w:hint="default"/>
        <w:lang w:val="en-US" w:eastAsia="en-US" w:bidi="ar-SA"/>
      </w:rPr>
    </w:lvl>
    <w:lvl w:ilvl="2">
      <w:start w:val="0"/>
      <w:numFmt w:val="bullet"/>
      <w:lvlText w:val="•"/>
      <w:lvlJc w:val="left"/>
      <w:pPr>
        <w:ind w:left="2856" w:hanging="360"/>
      </w:pPr>
      <w:rPr>
        <w:rFonts w:hint="default"/>
        <w:lang w:val="en-US" w:eastAsia="en-US" w:bidi="ar-SA"/>
      </w:rPr>
    </w:lvl>
    <w:lvl w:ilvl="3">
      <w:start w:val="0"/>
      <w:numFmt w:val="bullet"/>
      <w:lvlText w:val="•"/>
      <w:lvlJc w:val="left"/>
      <w:pPr>
        <w:ind w:left="3804" w:hanging="360"/>
      </w:pPr>
      <w:rPr>
        <w:rFonts w:hint="default"/>
        <w:lang w:val="en-US" w:eastAsia="en-US" w:bidi="ar-SA"/>
      </w:rPr>
    </w:lvl>
    <w:lvl w:ilvl="4">
      <w:start w:val="0"/>
      <w:numFmt w:val="bullet"/>
      <w:lvlText w:val="•"/>
      <w:lvlJc w:val="left"/>
      <w:pPr>
        <w:ind w:left="4752"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48" w:hanging="360"/>
      </w:pPr>
      <w:rPr>
        <w:rFonts w:hint="default"/>
        <w:lang w:val="en-US" w:eastAsia="en-US" w:bidi="ar-SA"/>
      </w:rPr>
    </w:lvl>
    <w:lvl w:ilvl="7">
      <w:start w:val="0"/>
      <w:numFmt w:val="bullet"/>
      <w:lvlText w:val="•"/>
      <w:lvlJc w:val="left"/>
      <w:pPr>
        <w:ind w:left="7596" w:hanging="360"/>
      </w:pPr>
      <w:rPr>
        <w:rFonts w:hint="default"/>
        <w:lang w:val="en-US" w:eastAsia="en-US" w:bidi="ar-SA"/>
      </w:rPr>
    </w:lvl>
    <w:lvl w:ilvl="8">
      <w:start w:val="0"/>
      <w:numFmt w:val="bullet"/>
      <w:lvlText w:val="•"/>
      <w:lvlJc w:val="left"/>
      <w:pPr>
        <w:ind w:left="8544" w:hanging="360"/>
      </w:pPr>
      <w:rPr>
        <w:rFonts w:hint="default"/>
        <w:lang w:val="en-US" w:eastAsia="en-US" w:bidi="ar-SA"/>
      </w:rPr>
    </w:lvl>
  </w:abstractNum>
  <w:abstractNum w:abstractNumId="30">
    <w:multiLevelType w:val="hybridMultilevel"/>
    <w:lvl w:ilvl="0">
      <w:start w:val="1"/>
      <w:numFmt w:val="lowerLetter"/>
      <w:lvlText w:val="%1)"/>
      <w:lvlJc w:val="left"/>
      <w:pPr>
        <w:ind w:left="96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908" w:hanging="360"/>
      </w:pPr>
      <w:rPr>
        <w:rFonts w:hint="default"/>
        <w:lang w:val="en-US" w:eastAsia="en-US" w:bidi="ar-SA"/>
      </w:rPr>
    </w:lvl>
    <w:lvl w:ilvl="2">
      <w:start w:val="0"/>
      <w:numFmt w:val="bullet"/>
      <w:lvlText w:val="•"/>
      <w:lvlJc w:val="left"/>
      <w:pPr>
        <w:ind w:left="2856" w:hanging="360"/>
      </w:pPr>
      <w:rPr>
        <w:rFonts w:hint="default"/>
        <w:lang w:val="en-US" w:eastAsia="en-US" w:bidi="ar-SA"/>
      </w:rPr>
    </w:lvl>
    <w:lvl w:ilvl="3">
      <w:start w:val="0"/>
      <w:numFmt w:val="bullet"/>
      <w:lvlText w:val="•"/>
      <w:lvlJc w:val="left"/>
      <w:pPr>
        <w:ind w:left="3804" w:hanging="360"/>
      </w:pPr>
      <w:rPr>
        <w:rFonts w:hint="default"/>
        <w:lang w:val="en-US" w:eastAsia="en-US" w:bidi="ar-SA"/>
      </w:rPr>
    </w:lvl>
    <w:lvl w:ilvl="4">
      <w:start w:val="0"/>
      <w:numFmt w:val="bullet"/>
      <w:lvlText w:val="•"/>
      <w:lvlJc w:val="left"/>
      <w:pPr>
        <w:ind w:left="4752"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48" w:hanging="360"/>
      </w:pPr>
      <w:rPr>
        <w:rFonts w:hint="default"/>
        <w:lang w:val="en-US" w:eastAsia="en-US" w:bidi="ar-SA"/>
      </w:rPr>
    </w:lvl>
    <w:lvl w:ilvl="7">
      <w:start w:val="0"/>
      <w:numFmt w:val="bullet"/>
      <w:lvlText w:val="•"/>
      <w:lvlJc w:val="left"/>
      <w:pPr>
        <w:ind w:left="7596" w:hanging="360"/>
      </w:pPr>
      <w:rPr>
        <w:rFonts w:hint="default"/>
        <w:lang w:val="en-US" w:eastAsia="en-US" w:bidi="ar-SA"/>
      </w:rPr>
    </w:lvl>
    <w:lvl w:ilvl="8">
      <w:start w:val="0"/>
      <w:numFmt w:val="bullet"/>
      <w:lvlText w:val="•"/>
      <w:lvlJc w:val="left"/>
      <w:pPr>
        <w:ind w:left="8544" w:hanging="360"/>
      </w:pPr>
      <w:rPr>
        <w:rFonts w:hint="default"/>
        <w:lang w:val="en-US" w:eastAsia="en-US" w:bidi="ar-SA"/>
      </w:rPr>
    </w:lvl>
  </w:abstractNum>
  <w:abstractNum w:abstractNumId="29">
    <w:multiLevelType w:val="hybridMultilevel"/>
    <w:lvl w:ilvl="0">
      <w:start w:val="1"/>
      <w:numFmt w:val="lowerLetter"/>
      <w:lvlText w:val="%1)"/>
      <w:lvlJc w:val="left"/>
      <w:pPr>
        <w:ind w:left="240" w:hanging="286"/>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260" w:hanging="286"/>
      </w:pPr>
      <w:rPr>
        <w:rFonts w:hint="default"/>
        <w:lang w:val="en-US" w:eastAsia="en-US" w:bidi="ar-SA"/>
      </w:rPr>
    </w:lvl>
    <w:lvl w:ilvl="2">
      <w:start w:val="0"/>
      <w:numFmt w:val="bullet"/>
      <w:lvlText w:val="•"/>
      <w:lvlJc w:val="left"/>
      <w:pPr>
        <w:ind w:left="2280" w:hanging="286"/>
      </w:pPr>
      <w:rPr>
        <w:rFonts w:hint="default"/>
        <w:lang w:val="en-US" w:eastAsia="en-US" w:bidi="ar-SA"/>
      </w:rPr>
    </w:lvl>
    <w:lvl w:ilvl="3">
      <w:start w:val="0"/>
      <w:numFmt w:val="bullet"/>
      <w:lvlText w:val="•"/>
      <w:lvlJc w:val="left"/>
      <w:pPr>
        <w:ind w:left="3300" w:hanging="286"/>
      </w:pPr>
      <w:rPr>
        <w:rFonts w:hint="default"/>
        <w:lang w:val="en-US" w:eastAsia="en-US" w:bidi="ar-SA"/>
      </w:rPr>
    </w:lvl>
    <w:lvl w:ilvl="4">
      <w:start w:val="0"/>
      <w:numFmt w:val="bullet"/>
      <w:lvlText w:val="•"/>
      <w:lvlJc w:val="left"/>
      <w:pPr>
        <w:ind w:left="4320" w:hanging="286"/>
      </w:pPr>
      <w:rPr>
        <w:rFonts w:hint="default"/>
        <w:lang w:val="en-US" w:eastAsia="en-US" w:bidi="ar-SA"/>
      </w:rPr>
    </w:lvl>
    <w:lvl w:ilvl="5">
      <w:start w:val="0"/>
      <w:numFmt w:val="bullet"/>
      <w:lvlText w:val="•"/>
      <w:lvlJc w:val="left"/>
      <w:pPr>
        <w:ind w:left="5340" w:hanging="286"/>
      </w:pPr>
      <w:rPr>
        <w:rFonts w:hint="default"/>
        <w:lang w:val="en-US" w:eastAsia="en-US" w:bidi="ar-SA"/>
      </w:rPr>
    </w:lvl>
    <w:lvl w:ilvl="6">
      <w:start w:val="0"/>
      <w:numFmt w:val="bullet"/>
      <w:lvlText w:val="•"/>
      <w:lvlJc w:val="left"/>
      <w:pPr>
        <w:ind w:left="6360" w:hanging="286"/>
      </w:pPr>
      <w:rPr>
        <w:rFonts w:hint="default"/>
        <w:lang w:val="en-US" w:eastAsia="en-US" w:bidi="ar-SA"/>
      </w:rPr>
    </w:lvl>
    <w:lvl w:ilvl="7">
      <w:start w:val="0"/>
      <w:numFmt w:val="bullet"/>
      <w:lvlText w:val="•"/>
      <w:lvlJc w:val="left"/>
      <w:pPr>
        <w:ind w:left="7380" w:hanging="286"/>
      </w:pPr>
      <w:rPr>
        <w:rFonts w:hint="default"/>
        <w:lang w:val="en-US" w:eastAsia="en-US" w:bidi="ar-SA"/>
      </w:rPr>
    </w:lvl>
    <w:lvl w:ilvl="8">
      <w:start w:val="0"/>
      <w:numFmt w:val="bullet"/>
      <w:lvlText w:val="•"/>
      <w:lvlJc w:val="left"/>
      <w:pPr>
        <w:ind w:left="8400" w:hanging="286"/>
      </w:pPr>
      <w:rPr>
        <w:rFonts w:hint="default"/>
        <w:lang w:val="en-US" w:eastAsia="en-US" w:bidi="ar-SA"/>
      </w:rPr>
    </w:lvl>
  </w:abstractNum>
  <w:abstractNum w:abstractNumId="28">
    <w:multiLevelType w:val="hybridMultilevel"/>
    <w:lvl w:ilvl="0">
      <w:start w:val="1"/>
      <w:numFmt w:val="lowerLetter"/>
      <w:lvlText w:val="%1)"/>
      <w:lvlJc w:val="left"/>
      <w:pPr>
        <w:ind w:left="9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908" w:hanging="360"/>
      </w:pPr>
      <w:rPr>
        <w:rFonts w:hint="default"/>
        <w:lang w:val="en-US" w:eastAsia="en-US" w:bidi="ar-SA"/>
      </w:rPr>
    </w:lvl>
    <w:lvl w:ilvl="2">
      <w:start w:val="0"/>
      <w:numFmt w:val="bullet"/>
      <w:lvlText w:val="•"/>
      <w:lvlJc w:val="left"/>
      <w:pPr>
        <w:ind w:left="2856" w:hanging="360"/>
      </w:pPr>
      <w:rPr>
        <w:rFonts w:hint="default"/>
        <w:lang w:val="en-US" w:eastAsia="en-US" w:bidi="ar-SA"/>
      </w:rPr>
    </w:lvl>
    <w:lvl w:ilvl="3">
      <w:start w:val="0"/>
      <w:numFmt w:val="bullet"/>
      <w:lvlText w:val="•"/>
      <w:lvlJc w:val="left"/>
      <w:pPr>
        <w:ind w:left="3804" w:hanging="360"/>
      </w:pPr>
      <w:rPr>
        <w:rFonts w:hint="default"/>
        <w:lang w:val="en-US" w:eastAsia="en-US" w:bidi="ar-SA"/>
      </w:rPr>
    </w:lvl>
    <w:lvl w:ilvl="4">
      <w:start w:val="0"/>
      <w:numFmt w:val="bullet"/>
      <w:lvlText w:val="•"/>
      <w:lvlJc w:val="left"/>
      <w:pPr>
        <w:ind w:left="4752"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48" w:hanging="360"/>
      </w:pPr>
      <w:rPr>
        <w:rFonts w:hint="default"/>
        <w:lang w:val="en-US" w:eastAsia="en-US" w:bidi="ar-SA"/>
      </w:rPr>
    </w:lvl>
    <w:lvl w:ilvl="7">
      <w:start w:val="0"/>
      <w:numFmt w:val="bullet"/>
      <w:lvlText w:val="•"/>
      <w:lvlJc w:val="left"/>
      <w:pPr>
        <w:ind w:left="7596" w:hanging="360"/>
      </w:pPr>
      <w:rPr>
        <w:rFonts w:hint="default"/>
        <w:lang w:val="en-US" w:eastAsia="en-US" w:bidi="ar-SA"/>
      </w:rPr>
    </w:lvl>
    <w:lvl w:ilvl="8">
      <w:start w:val="0"/>
      <w:numFmt w:val="bullet"/>
      <w:lvlText w:val="•"/>
      <w:lvlJc w:val="left"/>
      <w:pPr>
        <w:ind w:left="8544" w:hanging="360"/>
      </w:pPr>
      <w:rPr>
        <w:rFonts w:hint="default"/>
        <w:lang w:val="en-US" w:eastAsia="en-US" w:bidi="ar-SA"/>
      </w:rPr>
    </w:lvl>
  </w:abstractNum>
  <w:abstractNum w:abstractNumId="27">
    <w:multiLevelType w:val="hybridMultilevel"/>
    <w:lvl w:ilvl="0">
      <w:start w:val="1"/>
      <w:numFmt w:val="lowerLetter"/>
      <w:lvlText w:val="%1)"/>
      <w:lvlJc w:val="left"/>
      <w:pPr>
        <w:ind w:left="9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908" w:hanging="360"/>
      </w:pPr>
      <w:rPr>
        <w:rFonts w:hint="default"/>
        <w:lang w:val="en-US" w:eastAsia="en-US" w:bidi="ar-SA"/>
      </w:rPr>
    </w:lvl>
    <w:lvl w:ilvl="2">
      <w:start w:val="0"/>
      <w:numFmt w:val="bullet"/>
      <w:lvlText w:val="•"/>
      <w:lvlJc w:val="left"/>
      <w:pPr>
        <w:ind w:left="2856" w:hanging="360"/>
      </w:pPr>
      <w:rPr>
        <w:rFonts w:hint="default"/>
        <w:lang w:val="en-US" w:eastAsia="en-US" w:bidi="ar-SA"/>
      </w:rPr>
    </w:lvl>
    <w:lvl w:ilvl="3">
      <w:start w:val="0"/>
      <w:numFmt w:val="bullet"/>
      <w:lvlText w:val="•"/>
      <w:lvlJc w:val="left"/>
      <w:pPr>
        <w:ind w:left="3804" w:hanging="360"/>
      </w:pPr>
      <w:rPr>
        <w:rFonts w:hint="default"/>
        <w:lang w:val="en-US" w:eastAsia="en-US" w:bidi="ar-SA"/>
      </w:rPr>
    </w:lvl>
    <w:lvl w:ilvl="4">
      <w:start w:val="0"/>
      <w:numFmt w:val="bullet"/>
      <w:lvlText w:val="•"/>
      <w:lvlJc w:val="left"/>
      <w:pPr>
        <w:ind w:left="4752"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48" w:hanging="360"/>
      </w:pPr>
      <w:rPr>
        <w:rFonts w:hint="default"/>
        <w:lang w:val="en-US" w:eastAsia="en-US" w:bidi="ar-SA"/>
      </w:rPr>
    </w:lvl>
    <w:lvl w:ilvl="7">
      <w:start w:val="0"/>
      <w:numFmt w:val="bullet"/>
      <w:lvlText w:val="•"/>
      <w:lvlJc w:val="left"/>
      <w:pPr>
        <w:ind w:left="7596" w:hanging="360"/>
      </w:pPr>
      <w:rPr>
        <w:rFonts w:hint="default"/>
        <w:lang w:val="en-US" w:eastAsia="en-US" w:bidi="ar-SA"/>
      </w:rPr>
    </w:lvl>
    <w:lvl w:ilvl="8">
      <w:start w:val="0"/>
      <w:numFmt w:val="bullet"/>
      <w:lvlText w:val="•"/>
      <w:lvlJc w:val="left"/>
      <w:pPr>
        <w:ind w:left="8544" w:hanging="360"/>
      </w:pPr>
      <w:rPr>
        <w:rFonts w:hint="default"/>
        <w:lang w:val="en-US" w:eastAsia="en-US" w:bidi="ar-SA"/>
      </w:rPr>
    </w:lvl>
  </w:abstractNum>
  <w:abstractNum w:abstractNumId="26">
    <w:multiLevelType w:val="hybridMultilevel"/>
    <w:lvl w:ilvl="0">
      <w:start w:val="3"/>
      <w:numFmt w:val="decimal"/>
      <w:lvlText w:val="%1"/>
      <w:lvlJc w:val="left"/>
      <w:pPr>
        <w:ind w:left="629" w:hanging="389"/>
        <w:jc w:val="left"/>
      </w:pPr>
      <w:rPr>
        <w:rFonts w:hint="default"/>
        <w:lang w:val="en-US" w:eastAsia="en-US" w:bidi="ar-SA"/>
      </w:rPr>
    </w:lvl>
    <w:lvl w:ilvl="1">
      <w:start w:val="1"/>
      <w:numFmt w:val="decimal"/>
      <w:lvlText w:val="%1.%2"/>
      <w:lvlJc w:val="left"/>
      <w:pPr>
        <w:ind w:left="629" w:hanging="389"/>
        <w:jc w:val="left"/>
      </w:pPr>
      <w:rPr>
        <w:rFonts w:hint="default"/>
        <w:spacing w:val="0"/>
        <w:w w:val="92"/>
        <w:lang w:val="en-US" w:eastAsia="en-US" w:bidi="ar-SA"/>
      </w:rPr>
    </w:lvl>
    <w:lvl w:ilvl="2">
      <w:start w:val="1"/>
      <w:numFmt w:val="decimal"/>
      <w:lvlText w:val="%1.%2.%3"/>
      <w:lvlJc w:val="left"/>
      <w:pPr>
        <w:ind w:left="721" w:hanging="481"/>
        <w:jc w:val="left"/>
      </w:pPr>
      <w:rPr>
        <w:rFonts w:hint="default"/>
        <w:spacing w:val="0"/>
        <w:w w:val="95"/>
        <w:lang w:val="en-US" w:eastAsia="en-US" w:bidi="ar-SA"/>
      </w:rPr>
    </w:lvl>
    <w:lvl w:ilvl="3">
      <w:start w:val="1"/>
      <w:numFmt w:val="lowerLetter"/>
      <w:lvlText w:val="(%4)"/>
      <w:lvlJc w:val="left"/>
      <w:pPr>
        <w:ind w:left="960" w:hanging="481"/>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4">
      <w:start w:val="0"/>
      <w:numFmt w:val="bullet"/>
      <w:lvlText w:val="•"/>
      <w:lvlJc w:val="left"/>
      <w:pPr>
        <w:ind w:left="900" w:hanging="481"/>
      </w:pPr>
      <w:rPr>
        <w:rFonts w:hint="default"/>
        <w:lang w:val="en-US" w:eastAsia="en-US" w:bidi="ar-SA"/>
      </w:rPr>
    </w:lvl>
    <w:lvl w:ilvl="5">
      <w:start w:val="0"/>
      <w:numFmt w:val="bullet"/>
      <w:lvlText w:val="•"/>
      <w:lvlJc w:val="left"/>
      <w:pPr>
        <w:ind w:left="960" w:hanging="481"/>
      </w:pPr>
      <w:rPr>
        <w:rFonts w:hint="default"/>
        <w:lang w:val="en-US" w:eastAsia="en-US" w:bidi="ar-SA"/>
      </w:rPr>
    </w:lvl>
    <w:lvl w:ilvl="6">
      <w:start w:val="0"/>
      <w:numFmt w:val="bullet"/>
      <w:lvlText w:val="•"/>
      <w:lvlJc w:val="left"/>
      <w:pPr>
        <w:ind w:left="2856" w:hanging="481"/>
      </w:pPr>
      <w:rPr>
        <w:rFonts w:hint="default"/>
        <w:lang w:val="en-US" w:eastAsia="en-US" w:bidi="ar-SA"/>
      </w:rPr>
    </w:lvl>
    <w:lvl w:ilvl="7">
      <w:start w:val="0"/>
      <w:numFmt w:val="bullet"/>
      <w:lvlText w:val="•"/>
      <w:lvlJc w:val="left"/>
      <w:pPr>
        <w:ind w:left="4752" w:hanging="481"/>
      </w:pPr>
      <w:rPr>
        <w:rFonts w:hint="default"/>
        <w:lang w:val="en-US" w:eastAsia="en-US" w:bidi="ar-SA"/>
      </w:rPr>
    </w:lvl>
    <w:lvl w:ilvl="8">
      <w:start w:val="0"/>
      <w:numFmt w:val="bullet"/>
      <w:lvlText w:val="•"/>
      <w:lvlJc w:val="left"/>
      <w:pPr>
        <w:ind w:left="6648" w:hanging="481"/>
      </w:pPr>
      <w:rPr>
        <w:rFonts w:hint="default"/>
        <w:lang w:val="en-US" w:eastAsia="en-US" w:bidi="ar-SA"/>
      </w:rPr>
    </w:lvl>
  </w:abstractNum>
  <w:abstractNum w:abstractNumId="25">
    <w:multiLevelType w:val="hybridMultilevel"/>
    <w:lvl w:ilvl="0">
      <w:start w:val="1"/>
      <w:numFmt w:val="lowerLetter"/>
      <w:lvlText w:val="(%1)"/>
      <w:lvlJc w:val="left"/>
      <w:pPr>
        <w:ind w:left="646"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1"/>
      <w:numFmt w:val="lowerRoman"/>
      <w:lvlText w:val="%2."/>
      <w:lvlJc w:val="left"/>
      <w:pPr>
        <w:ind w:left="96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lowerLetter"/>
      <w:lvlText w:val="(%3)"/>
      <w:lvlJc w:val="left"/>
      <w:pPr>
        <w:ind w:left="960" w:hanging="360"/>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3">
      <w:start w:val="0"/>
      <w:numFmt w:val="bullet"/>
      <w:lvlText w:val="•"/>
      <w:lvlJc w:val="left"/>
      <w:pPr>
        <w:ind w:left="3066" w:hanging="360"/>
      </w:pPr>
      <w:rPr>
        <w:rFonts w:hint="default"/>
        <w:lang w:val="en-US" w:eastAsia="en-US" w:bidi="ar-SA"/>
      </w:rPr>
    </w:lvl>
    <w:lvl w:ilvl="4">
      <w:start w:val="0"/>
      <w:numFmt w:val="bullet"/>
      <w:lvlText w:val="•"/>
      <w:lvlJc w:val="left"/>
      <w:pPr>
        <w:ind w:left="4120" w:hanging="360"/>
      </w:pPr>
      <w:rPr>
        <w:rFonts w:hint="default"/>
        <w:lang w:val="en-US" w:eastAsia="en-US" w:bidi="ar-SA"/>
      </w:rPr>
    </w:lvl>
    <w:lvl w:ilvl="5">
      <w:start w:val="0"/>
      <w:numFmt w:val="bullet"/>
      <w:lvlText w:val="•"/>
      <w:lvlJc w:val="left"/>
      <w:pPr>
        <w:ind w:left="5173" w:hanging="360"/>
      </w:pPr>
      <w:rPr>
        <w:rFonts w:hint="default"/>
        <w:lang w:val="en-US" w:eastAsia="en-US" w:bidi="ar-SA"/>
      </w:rPr>
    </w:lvl>
    <w:lvl w:ilvl="6">
      <w:start w:val="0"/>
      <w:numFmt w:val="bullet"/>
      <w:lvlText w:val="•"/>
      <w:lvlJc w:val="left"/>
      <w:pPr>
        <w:ind w:left="6226" w:hanging="360"/>
      </w:pPr>
      <w:rPr>
        <w:rFonts w:hint="default"/>
        <w:lang w:val="en-US" w:eastAsia="en-US" w:bidi="ar-SA"/>
      </w:rPr>
    </w:lvl>
    <w:lvl w:ilvl="7">
      <w:start w:val="0"/>
      <w:numFmt w:val="bullet"/>
      <w:lvlText w:val="•"/>
      <w:lvlJc w:val="left"/>
      <w:pPr>
        <w:ind w:left="7280" w:hanging="360"/>
      </w:pPr>
      <w:rPr>
        <w:rFonts w:hint="default"/>
        <w:lang w:val="en-US" w:eastAsia="en-US" w:bidi="ar-SA"/>
      </w:rPr>
    </w:lvl>
    <w:lvl w:ilvl="8">
      <w:start w:val="0"/>
      <w:numFmt w:val="bullet"/>
      <w:lvlText w:val="•"/>
      <w:lvlJc w:val="left"/>
      <w:pPr>
        <w:ind w:left="8333" w:hanging="360"/>
      </w:pPr>
      <w:rPr>
        <w:rFonts w:hint="default"/>
        <w:lang w:val="en-US" w:eastAsia="en-US" w:bidi="ar-SA"/>
      </w:rPr>
    </w:lvl>
  </w:abstractNum>
  <w:abstractNum w:abstractNumId="24">
    <w:multiLevelType w:val="hybridMultilevel"/>
    <w:lvl w:ilvl="0">
      <w:start w:val="1"/>
      <w:numFmt w:val="lowerLetter"/>
      <w:lvlText w:val="%1)"/>
      <w:lvlJc w:val="left"/>
      <w:pPr>
        <w:ind w:left="9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908" w:hanging="360"/>
      </w:pPr>
      <w:rPr>
        <w:rFonts w:hint="default"/>
        <w:lang w:val="en-US" w:eastAsia="en-US" w:bidi="ar-SA"/>
      </w:rPr>
    </w:lvl>
    <w:lvl w:ilvl="2">
      <w:start w:val="0"/>
      <w:numFmt w:val="bullet"/>
      <w:lvlText w:val="•"/>
      <w:lvlJc w:val="left"/>
      <w:pPr>
        <w:ind w:left="2856" w:hanging="360"/>
      </w:pPr>
      <w:rPr>
        <w:rFonts w:hint="default"/>
        <w:lang w:val="en-US" w:eastAsia="en-US" w:bidi="ar-SA"/>
      </w:rPr>
    </w:lvl>
    <w:lvl w:ilvl="3">
      <w:start w:val="0"/>
      <w:numFmt w:val="bullet"/>
      <w:lvlText w:val="•"/>
      <w:lvlJc w:val="left"/>
      <w:pPr>
        <w:ind w:left="3804" w:hanging="360"/>
      </w:pPr>
      <w:rPr>
        <w:rFonts w:hint="default"/>
        <w:lang w:val="en-US" w:eastAsia="en-US" w:bidi="ar-SA"/>
      </w:rPr>
    </w:lvl>
    <w:lvl w:ilvl="4">
      <w:start w:val="0"/>
      <w:numFmt w:val="bullet"/>
      <w:lvlText w:val="•"/>
      <w:lvlJc w:val="left"/>
      <w:pPr>
        <w:ind w:left="4752"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48" w:hanging="360"/>
      </w:pPr>
      <w:rPr>
        <w:rFonts w:hint="default"/>
        <w:lang w:val="en-US" w:eastAsia="en-US" w:bidi="ar-SA"/>
      </w:rPr>
    </w:lvl>
    <w:lvl w:ilvl="7">
      <w:start w:val="0"/>
      <w:numFmt w:val="bullet"/>
      <w:lvlText w:val="•"/>
      <w:lvlJc w:val="left"/>
      <w:pPr>
        <w:ind w:left="7596" w:hanging="360"/>
      </w:pPr>
      <w:rPr>
        <w:rFonts w:hint="default"/>
        <w:lang w:val="en-US" w:eastAsia="en-US" w:bidi="ar-SA"/>
      </w:rPr>
    </w:lvl>
    <w:lvl w:ilvl="8">
      <w:start w:val="0"/>
      <w:numFmt w:val="bullet"/>
      <w:lvlText w:val="•"/>
      <w:lvlJc w:val="left"/>
      <w:pPr>
        <w:ind w:left="8544" w:hanging="360"/>
      </w:pPr>
      <w:rPr>
        <w:rFonts w:hint="default"/>
        <w:lang w:val="en-US" w:eastAsia="en-US" w:bidi="ar-SA"/>
      </w:rPr>
    </w:lvl>
  </w:abstractNum>
  <w:abstractNum w:abstractNumId="23">
    <w:multiLevelType w:val="hybridMultilevel"/>
    <w:lvl w:ilvl="0">
      <w:start w:val="1"/>
      <w:numFmt w:val="lowerLetter"/>
      <w:lvlText w:val="(%1)"/>
      <w:lvlJc w:val="left"/>
      <w:pPr>
        <w:ind w:left="960" w:hanging="360"/>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1">
      <w:start w:val="0"/>
      <w:numFmt w:val="bullet"/>
      <w:lvlText w:val="•"/>
      <w:lvlJc w:val="left"/>
      <w:pPr>
        <w:ind w:left="1908" w:hanging="360"/>
      </w:pPr>
      <w:rPr>
        <w:rFonts w:hint="default"/>
        <w:lang w:val="en-US" w:eastAsia="en-US" w:bidi="ar-SA"/>
      </w:rPr>
    </w:lvl>
    <w:lvl w:ilvl="2">
      <w:start w:val="0"/>
      <w:numFmt w:val="bullet"/>
      <w:lvlText w:val="•"/>
      <w:lvlJc w:val="left"/>
      <w:pPr>
        <w:ind w:left="2856" w:hanging="360"/>
      </w:pPr>
      <w:rPr>
        <w:rFonts w:hint="default"/>
        <w:lang w:val="en-US" w:eastAsia="en-US" w:bidi="ar-SA"/>
      </w:rPr>
    </w:lvl>
    <w:lvl w:ilvl="3">
      <w:start w:val="0"/>
      <w:numFmt w:val="bullet"/>
      <w:lvlText w:val="•"/>
      <w:lvlJc w:val="left"/>
      <w:pPr>
        <w:ind w:left="3804" w:hanging="360"/>
      </w:pPr>
      <w:rPr>
        <w:rFonts w:hint="default"/>
        <w:lang w:val="en-US" w:eastAsia="en-US" w:bidi="ar-SA"/>
      </w:rPr>
    </w:lvl>
    <w:lvl w:ilvl="4">
      <w:start w:val="0"/>
      <w:numFmt w:val="bullet"/>
      <w:lvlText w:val="•"/>
      <w:lvlJc w:val="left"/>
      <w:pPr>
        <w:ind w:left="4752"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48" w:hanging="360"/>
      </w:pPr>
      <w:rPr>
        <w:rFonts w:hint="default"/>
        <w:lang w:val="en-US" w:eastAsia="en-US" w:bidi="ar-SA"/>
      </w:rPr>
    </w:lvl>
    <w:lvl w:ilvl="7">
      <w:start w:val="0"/>
      <w:numFmt w:val="bullet"/>
      <w:lvlText w:val="•"/>
      <w:lvlJc w:val="left"/>
      <w:pPr>
        <w:ind w:left="7596" w:hanging="360"/>
      </w:pPr>
      <w:rPr>
        <w:rFonts w:hint="default"/>
        <w:lang w:val="en-US" w:eastAsia="en-US" w:bidi="ar-SA"/>
      </w:rPr>
    </w:lvl>
    <w:lvl w:ilvl="8">
      <w:start w:val="0"/>
      <w:numFmt w:val="bullet"/>
      <w:lvlText w:val="•"/>
      <w:lvlJc w:val="left"/>
      <w:pPr>
        <w:ind w:left="8544" w:hanging="360"/>
      </w:pPr>
      <w:rPr>
        <w:rFonts w:hint="default"/>
        <w:lang w:val="en-US" w:eastAsia="en-US" w:bidi="ar-SA"/>
      </w:rPr>
    </w:lvl>
  </w:abstractNum>
  <w:abstractNum w:abstractNumId="22">
    <w:multiLevelType w:val="hybridMultilevel"/>
    <w:lvl w:ilvl="0">
      <w:start w:val="1"/>
      <w:numFmt w:val="lowerLetter"/>
      <w:lvlText w:val="%1)"/>
      <w:lvlJc w:val="left"/>
      <w:pPr>
        <w:ind w:left="9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908" w:hanging="360"/>
      </w:pPr>
      <w:rPr>
        <w:rFonts w:hint="default"/>
        <w:lang w:val="en-US" w:eastAsia="en-US" w:bidi="ar-SA"/>
      </w:rPr>
    </w:lvl>
    <w:lvl w:ilvl="2">
      <w:start w:val="0"/>
      <w:numFmt w:val="bullet"/>
      <w:lvlText w:val="•"/>
      <w:lvlJc w:val="left"/>
      <w:pPr>
        <w:ind w:left="2856" w:hanging="360"/>
      </w:pPr>
      <w:rPr>
        <w:rFonts w:hint="default"/>
        <w:lang w:val="en-US" w:eastAsia="en-US" w:bidi="ar-SA"/>
      </w:rPr>
    </w:lvl>
    <w:lvl w:ilvl="3">
      <w:start w:val="0"/>
      <w:numFmt w:val="bullet"/>
      <w:lvlText w:val="•"/>
      <w:lvlJc w:val="left"/>
      <w:pPr>
        <w:ind w:left="3804" w:hanging="360"/>
      </w:pPr>
      <w:rPr>
        <w:rFonts w:hint="default"/>
        <w:lang w:val="en-US" w:eastAsia="en-US" w:bidi="ar-SA"/>
      </w:rPr>
    </w:lvl>
    <w:lvl w:ilvl="4">
      <w:start w:val="0"/>
      <w:numFmt w:val="bullet"/>
      <w:lvlText w:val="•"/>
      <w:lvlJc w:val="left"/>
      <w:pPr>
        <w:ind w:left="4752"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48" w:hanging="360"/>
      </w:pPr>
      <w:rPr>
        <w:rFonts w:hint="default"/>
        <w:lang w:val="en-US" w:eastAsia="en-US" w:bidi="ar-SA"/>
      </w:rPr>
    </w:lvl>
    <w:lvl w:ilvl="7">
      <w:start w:val="0"/>
      <w:numFmt w:val="bullet"/>
      <w:lvlText w:val="•"/>
      <w:lvlJc w:val="left"/>
      <w:pPr>
        <w:ind w:left="7596" w:hanging="360"/>
      </w:pPr>
      <w:rPr>
        <w:rFonts w:hint="default"/>
        <w:lang w:val="en-US" w:eastAsia="en-US" w:bidi="ar-SA"/>
      </w:rPr>
    </w:lvl>
    <w:lvl w:ilvl="8">
      <w:start w:val="0"/>
      <w:numFmt w:val="bullet"/>
      <w:lvlText w:val="•"/>
      <w:lvlJc w:val="left"/>
      <w:pPr>
        <w:ind w:left="8544" w:hanging="360"/>
      </w:pPr>
      <w:rPr>
        <w:rFonts w:hint="default"/>
        <w:lang w:val="en-US" w:eastAsia="en-US" w:bidi="ar-SA"/>
      </w:rPr>
    </w:lvl>
  </w:abstractNum>
  <w:abstractNum w:abstractNumId="21">
    <w:multiLevelType w:val="hybridMultilevel"/>
    <w:lvl w:ilvl="0">
      <w:start w:val="1"/>
      <w:numFmt w:val="lowerLetter"/>
      <w:lvlText w:val="%1)"/>
      <w:lvlJc w:val="left"/>
      <w:pPr>
        <w:ind w:left="9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908" w:hanging="360"/>
      </w:pPr>
      <w:rPr>
        <w:rFonts w:hint="default"/>
        <w:lang w:val="en-US" w:eastAsia="en-US" w:bidi="ar-SA"/>
      </w:rPr>
    </w:lvl>
    <w:lvl w:ilvl="2">
      <w:start w:val="0"/>
      <w:numFmt w:val="bullet"/>
      <w:lvlText w:val="•"/>
      <w:lvlJc w:val="left"/>
      <w:pPr>
        <w:ind w:left="2856" w:hanging="360"/>
      </w:pPr>
      <w:rPr>
        <w:rFonts w:hint="default"/>
        <w:lang w:val="en-US" w:eastAsia="en-US" w:bidi="ar-SA"/>
      </w:rPr>
    </w:lvl>
    <w:lvl w:ilvl="3">
      <w:start w:val="0"/>
      <w:numFmt w:val="bullet"/>
      <w:lvlText w:val="•"/>
      <w:lvlJc w:val="left"/>
      <w:pPr>
        <w:ind w:left="3804" w:hanging="360"/>
      </w:pPr>
      <w:rPr>
        <w:rFonts w:hint="default"/>
        <w:lang w:val="en-US" w:eastAsia="en-US" w:bidi="ar-SA"/>
      </w:rPr>
    </w:lvl>
    <w:lvl w:ilvl="4">
      <w:start w:val="0"/>
      <w:numFmt w:val="bullet"/>
      <w:lvlText w:val="•"/>
      <w:lvlJc w:val="left"/>
      <w:pPr>
        <w:ind w:left="4752"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48" w:hanging="360"/>
      </w:pPr>
      <w:rPr>
        <w:rFonts w:hint="default"/>
        <w:lang w:val="en-US" w:eastAsia="en-US" w:bidi="ar-SA"/>
      </w:rPr>
    </w:lvl>
    <w:lvl w:ilvl="7">
      <w:start w:val="0"/>
      <w:numFmt w:val="bullet"/>
      <w:lvlText w:val="•"/>
      <w:lvlJc w:val="left"/>
      <w:pPr>
        <w:ind w:left="7596" w:hanging="360"/>
      </w:pPr>
      <w:rPr>
        <w:rFonts w:hint="default"/>
        <w:lang w:val="en-US" w:eastAsia="en-US" w:bidi="ar-SA"/>
      </w:rPr>
    </w:lvl>
    <w:lvl w:ilvl="8">
      <w:start w:val="0"/>
      <w:numFmt w:val="bullet"/>
      <w:lvlText w:val="•"/>
      <w:lvlJc w:val="left"/>
      <w:pPr>
        <w:ind w:left="8544" w:hanging="360"/>
      </w:pPr>
      <w:rPr>
        <w:rFonts w:hint="default"/>
        <w:lang w:val="en-US" w:eastAsia="en-US" w:bidi="ar-SA"/>
      </w:rPr>
    </w:lvl>
  </w:abstractNum>
  <w:abstractNum w:abstractNumId="20">
    <w:multiLevelType w:val="hybridMultilevel"/>
    <w:lvl w:ilvl="0">
      <w:start w:val="1"/>
      <w:numFmt w:val="upperLetter"/>
      <w:lvlText w:val="%1)"/>
      <w:lvlJc w:val="left"/>
      <w:pPr>
        <w:ind w:left="240" w:hanging="372"/>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1"/>
      <w:numFmt w:val="lowerRoman"/>
      <w:lvlText w:val="%2."/>
      <w:lvlJc w:val="left"/>
      <w:pPr>
        <w:ind w:left="96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013" w:hanging="488"/>
      </w:pPr>
      <w:rPr>
        <w:rFonts w:hint="default"/>
        <w:lang w:val="en-US" w:eastAsia="en-US" w:bidi="ar-SA"/>
      </w:rPr>
    </w:lvl>
    <w:lvl w:ilvl="3">
      <w:start w:val="0"/>
      <w:numFmt w:val="bullet"/>
      <w:lvlText w:val="•"/>
      <w:lvlJc w:val="left"/>
      <w:pPr>
        <w:ind w:left="3066" w:hanging="488"/>
      </w:pPr>
      <w:rPr>
        <w:rFonts w:hint="default"/>
        <w:lang w:val="en-US" w:eastAsia="en-US" w:bidi="ar-SA"/>
      </w:rPr>
    </w:lvl>
    <w:lvl w:ilvl="4">
      <w:start w:val="0"/>
      <w:numFmt w:val="bullet"/>
      <w:lvlText w:val="•"/>
      <w:lvlJc w:val="left"/>
      <w:pPr>
        <w:ind w:left="4120" w:hanging="488"/>
      </w:pPr>
      <w:rPr>
        <w:rFonts w:hint="default"/>
        <w:lang w:val="en-US" w:eastAsia="en-US" w:bidi="ar-SA"/>
      </w:rPr>
    </w:lvl>
    <w:lvl w:ilvl="5">
      <w:start w:val="0"/>
      <w:numFmt w:val="bullet"/>
      <w:lvlText w:val="•"/>
      <w:lvlJc w:val="left"/>
      <w:pPr>
        <w:ind w:left="5173" w:hanging="488"/>
      </w:pPr>
      <w:rPr>
        <w:rFonts w:hint="default"/>
        <w:lang w:val="en-US" w:eastAsia="en-US" w:bidi="ar-SA"/>
      </w:rPr>
    </w:lvl>
    <w:lvl w:ilvl="6">
      <w:start w:val="0"/>
      <w:numFmt w:val="bullet"/>
      <w:lvlText w:val="•"/>
      <w:lvlJc w:val="left"/>
      <w:pPr>
        <w:ind w:left="6226" w:hanging="488"/>
      </w:pPr>
      <w:rPr>
        <w:rFonts w:hint="default"/>
        <w:lang w:val="en-US" w:eastAsia="en-US" w:bidi="ar-SA"/>
      </w:rPr>
    </w:lvl>
    <w:lvl w:ilvl="7">
      <w:start w:val="0"/>
      <w:numFmt w:val="bullet"/>
      <w:lvlText w:val="•"/>
      <w:lvlJc w:val="left"/>
      <w:pPr>
        <w:ind w:left="7280" w:hanging="488"/>
      </w:pPr>
      <w:rPr>
        <w:rFonts w:hint="default"/>
        <w:lang w:val="en-US" w:eastAsia="en-US" w:bidi="ar-SA"/>
      </w:rPr>
    </w:lvl>
    <w:lvl w:ilvl="8">
      <w:start w:val="0"/>
      <w:numFmt w:val="bullet"/>
      <w:lvlText w:val="•"/>
      <w:lvlJc w:val="left"/>
      <w:pPr>
        <w:ind w:left="8333" w:hanging="488"/>
      </w:pPr>
      <w:rPr>
        <w:rFonts w:hint="default"/>
        <w:lang w:val="en-US" w:eastAsia="en-US" w:bidi="ar-SA"/>
      </w:rPr>
    </w:lvl>
  </w:abstractNum>
  <w:abstractNum w:abstractNumId="19">
    <w:multiLevelType w:val="hybridMultilevel"/>
    <w:lvl w:ilvl="0">
      <w:start w:val="1"/>
      <w:numFmt w:val="lowerRoman"/>
      <w:lvlText w:val="%1."/>
      <w:lvlJc w:val="left"/>
      <w:pPr>
        <w:ind w:left="960" w:hanging="466"/>
        <w:jc w:val="right"/>
      </w:pPr>
      <w:rPr>
        <w:rFonts w:hint="default" w:ascii="Times New Roman" w:hAnsi="Times New Roman" w:eastAsia="Times New Roman" w:cs="Times New Roman"/>
        <w:b w:val="0"/>
        <w:bCs w:val="0"/>
        <w:i w:val="0"/>
        <w:iCs w:val="0"/>
        <w:spacing w:val="-1"/>
        <w:w w:val="99"/>
        <w:sz w:val="20"/>
        <w:szCs w:val="20"/>
        <w:lang w:val="en-US" w:eastAsia="en-US" w:bidi="ar-SA"/>
      </w:rPr>
    </w:lvl>
    <w:lvl w:ilvl="1">
      <w:start w:val="1"/>
      <w:numFmt w:val="lowerLetter"/>
      <w:lvlText w:val="(%2)"/>
      <w:lvlJc w:val="left"/>
      <w:pPr>
        <w:ind w:left="960" w:hanging="360"/>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2">
      <w:start w:val="0"/>
      <w:numFmt w:val="bullet"/>
      <w:lvlText w:val="•"/>
      <w:lvlJc w:val="left"/>
      <w:pPr>
        <w:ind w:left="2856" w:hanging="360"/>
      </w:pPr>
      <w:rPr>
        <w:rFonts w:hint="default"/>
        <w:lang w:val="en-US" w:eastAsia="en-US" w:bidi="ar-SA"/>
      </w:rPr>
    </w:lvl>
    <w:lvl w:ilvl="3">
      <w:start w:val="0"/>
      <w:numFmt w:val="bullet"/>
      <w:lvlText w:val="•"/>
      <w:lvlJc w:val="left"/>
      <w:pPr>
        <w:ind w:left="3804" w:hanging="360"/>
      </w:pPr>
      <w:rPr>
        <w:rFonts w:hint="default"/>
        <w:lang w:val="en-US" w:eastAsia="en-US" w:bidi="ar-SA"/>
      </w:rPr>
    </w:lvl>
    <w:lvl w:ilvl="4">
      <w:start w:val="0"/>
      <w:numFmt w:val="bullet"/>
      <w:lvlText w:val="•"/>
      <w:lvlJc w:val="left"/>
      <w:pPr>
        <w:ind w:left="4752"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48" w:hanging="360"/>
      </w:pPr>
      <w:rPr>
        <w:rFonts w:hint="default"/>
        <w:lang w:val="en-US" w:eastAsia="en-US" w:bidi="ar-SA"/>
      </w:rPr>
    </w:lvl>
    <w:lvl w:ilvl="7">
      <w:start w:val="0"/>
      <w:numFmt w:val="bullet"/>
      <w:lvlText w:val="•"/>
      <w:lvlJc w:val="left"/>
      <w:pPr>
        <w:ind w:left="7596" w:hanging="360"/>
      </w:pPr>
      <w:rPr>
        <w:rFonts w:hint="default"/>
        <w:lang w:val="en-US" w:eastAsia="en-US" w:bidi="ar-SA"/>
      </w:rPr>
    </w:lvl>
    <w:lvl w:ilvl="8">
      <w:start w:val="0"/>
      <w:numFmt w:val="bullet"/>
      <w:lvlText w:val="•"/>
      <w:lvlJc w:val="left"/>
      <w:pPr>
        <w:ind w:left="8544" w:hanging="360"/>
      </w:pPr>
      <w:rPr>
        <w:rFonts w:hint="default"/>
        <w:lang w:val="en-US" w:eastAsia="en-US" w:bidi="ar-SA"/>
      </w:rPr>
    </w:lvl>
  </w:abstractNum>
  <w:abstractNum w:abstractNumId="18">
    <w:multiLevelType w:val="hybridMultilevel"/>
    <w:lvl w:ilvl="0">
      <w:start w:val="1"/>
      <w:numFmt w:val="lowerRoman"/>
      <w:lvlText w:val="%1."/>
      <w:lvlJc w:val="left"/>
      <w:pPr>
        <w:ind w:left="96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08" w:hanging="488"/>
      </w:pPr>
      <w:rPr>
        <w:rFonts w:hint="default"/>
        <w:lang w:val="en-US" w:eastAsia="en-US" w:bidi="ar-SA"/>
      </w:rPr>
    </w:lvl>
    <w:lvl w:ilvl="2">
      <w:start w:val="0"/>
      <w:numFmt w:val="bullet"/>
      <w:lvlText w:val="•"/>
      <w:lvlJc w:val="left"/>
      <w:pPr>
        <w:ind w:left="2856" w:hanging="488"/>
      </w:pPr>
      <w:rPr>
        <w:rFonts w:hint="default"/>
        <w:lang w:val="en-US" w:eastAsia="en-US" w:bidi="ar-SA"/>
      </w:rPr>
    </w:lvl>
    <w:lvl w:ilvl="3">
      <w:start w:val="0"/>
      <w:numFmt w:val="bullet"/>
      <w:lvlText w:val="•"/>
      <w:lvlJc w:val="left"/>
      <w:pPr>
        <w:ind w:left="3804" w:hanging="488"/>
      </w:pPr>
      <w:rPr>
        <w:rFonts w:hint="default"/>
        <w:lang w:val="en-US" w:eastAsia="en-US" w:bidi="ar-SA"/>
      </w:rPr>
    </w:lvl>
    <w:lvl w:ilvl="4">
      <w:start w:val="0"/>
      <w:numFmt w:val="bullet"/>
      <w:lvlText w:val="•"/>
      <w:lvlJc w:val="left"/>
      <w:pPr>
        <w:ind w:left="4752" w:hanging="488"/>
      </w:pPr>
      <w:rPr>
        <w:rFonts w:hint="default"/>
        <w:lang w:val="en-US" w:eastAsia="en-US" w:bidi="ar-SA"/>
      </w:rPr>
    </w:lvl>
    <w:lvl w:ilvl="5">
      <w:start w:val="0"/>
      <w:numFmt w:val="bullet"/>
      <w:lvlText w:val="•"/>
      <w:lvlJc w:val="left"/>
      <w:pPr>
        <w:ind w:left="5700" w:hanging="488"/>
      </w:pPr>
      <w:rPr>
        <w:rFonts w:hint="default"/>
        <w:lang w:val="en-US" w:eastAsia="en-US" w:bidi="ar-SA"/>
      </w:rPr>
    </w:lvl>
    <w:lvl w:ilvl="6">
      <w:start w:val="0"/>
      <w:numFmt w:val="bullet"/>
      <w:lvlText w:val="•"/>
      <w:lvlJc w:val="left"/>
      <w:pPr>
        <w:ind w:left="6648" w:hanging="488"/>
      </w:pPr>
      <w:rPr>
        <w:rFonts w:hint="default"/>
        <w:lang w:val="en-US" w:eastAsia="en-US" w:bidi="ar-SA"/>
      </w:rPr>
    </w:lvl>
    <w:lvl w:ilvl="7">
      <w:start w:val="0"/>
      <w:numFmt w:val="bullet"/>
      <w:lvlText w:val="•"/>
      <w:lvlJc w:val="left"/>
      <w:pPr>
        <w:ind w:left="7596" w:hanging="488"/>
      </w:pPr>
      <w:rPr>
        <w:rFonts w:hint="default"/>
        <w:lang w:val="en-US" w:eastAsia="en-US" w:bidi="ar-SA"/>
      </w:rPr>
    </w:lvl>
    <w:lvl w:ilvl="8">
      <w:start w:val="0"/>
      <w:numFmt w:val="bullet"/>
      <w:lvlText w:val="•"/>
      <w:lvlJc w:val="left"/>
      <w:pPr>
        <w:ind w:left="8544" w:hanging="488"/>
      </w:pPr>
      <w:rPr>
        <w:rFonts w:hint="default"/>
        <w:lang w:val="en-US" w:eastAsia="en-US" w:bidi="ar-SA"/>
      </w:rPr>
    </w:lvl>
  </w:abstractNum>
  <w:abstractNum w:abstractNumId="17">
    <w:multiLevelType w:val="hybridMultilevel"/>
    <w:lvl w:ilvl="0">
      <w:start w:val="1"/>
      <w:numFmt w:val="lowerLetter"/>
      <w:lvlText w:val="%1)"/>
      <w:lvlJc w:val="left"/>
      <w:pPr>
        <w:ind w:left="9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908" w:hanging="360"/>
      </w:pPr>
      <w:rPr>
        <w:rFonts w:hint="default"/>
        <w:lang w:val="en-US" w:eastAsia="en-US" w:bidi="ar-SA"/>
      </w:rPr>
    </w:lvl>
    <w:lvl w:ilvl="2">
      <w:start w:val="0"/>
      <w:numFmt w:val="bullet"/>
      <w:lvlText w:val="•"/>
      <w:lvlJc w:val="left"/>
      <w:pPr>
        <w:ind w:left="2856" w:hanging="360"/>
      </w:pPr>
      <w:rPr>
        <w:rFonts w:hint="default"/>
        <w:lang w:val="en-US" w:eastAsia="en-US" w:bidi="ar-SA"/>
      </w:rPr>
    </w:lvl>
    <w:lvl w:ilvl="3">
      <w:start w:val="0"/>
      <w:numFmt w:val="bullet"/>
      <w:lvlText w:val="•"/>
      <w:lvlJc w:val="left"/>
      <w:pPr>
        <w:ind w:left="3804" w:hanging="360"/>
      </w:pPr>
      <w:rPr>
        <w:rFonts w:hint="default"/>
        <w:lang w:val="en-US" w:eastAsia="en-US" w:bidi="ar-SA"/>
      </w:rPr>
    </w:lvl>
    <w:lvl w:ilvl="4">
      <w:start w:val="0"/>
      <w:numFmt w:val="bullet"/>
      <w:lvlText w:val="•"/>
      <w:lvlJc w:val="left"/>
      <w:pPr>
        <w:ind w:left="4752"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48" w:hanging="360"/>
      </w:pPr>
      <w:rPr>
        <w:rFonts w:hint="default"/>
        <w:lang w:val="en-US" w:eastAsia="en-US" w:bidi="ar-SA"/>
      </w:rPr>
    </w:lvl>
    <w:lvl w:ilvl="7">
      <w:start w:val="0"/>
      <w:numFmt w:val="bullet"/>
      <w:lvlText w:val="•"/>
      <w:lvlJc w:val="left"/>
      <w:pPr>
        <w:ind w:left="7596" w:hanging="360"/>
      </w:pPr>
      <w:rPr>
        <w:rFonts w:hint="default"/>
        <w:lang w:val="en-US" w:eastAsia="en-US" w:bidi="ar-SA"/>
      </w:rPr>
    </w:lvl>
    <w:lvl w:ilvl="8">
      <w:start w:val="0"/>
      <w:numFmt w:val="bullet"/>
      <w:lvlText w:val="•"/>
      <w:lvlJc w:val="left"/>
      <w:pPr>
        <w:ind w:left="8544" w:hanging="360"/>
      </w:pPr>
      <w:rPr>
        <w:rFonts w:hint="default"/>
        <w:lang w:val="en-US" w:eastAsia="en-US" w:bidi="ar-SA"/>
      </w:rPr>
    </w:lvl>
  </w:abstractNum>
  <w:abstractNum w:abstractNumId="16">
    <w:multiLevelType w:val="hybridMultilevel"/>
    <w:lvl w:ilvl="0">
      <w:start w:val="1"/>
      <w:numFmt w:val="lowerLetter"/>
      <w:lvlText w:val="%1)"/>
      <w:lvlJc w:val="left"/>
      <w:pPr>
        <w:ind w:left="9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908" w:hanging="360"/>
      </w:pPr>
      <w:rPr>
        <w:rFonts w:hint="default"/>
        <w:lang w:val="en-US" w:eastAsia="en-US" w:bidi="ar-SA"/>
      </w:rPr>
    </w:lvl>
    <w:lvl w:ilvl="2">
      <w:start w:val="0"/>
      <w:numFmt w:val="bullet"/>
      <w:lvlText w:val="•"/>
      <w:lvlJc w:val="left"/>
      <w:pPr>
        <w:ind w:left="2856" w:hanging="360"/>
      </w:pPr>
      <w:rPr>
        <w:rFonts w:hint="default"/>
        <w:lang w:val="en-US" w:eastAsia="en-US" w:bidi="ar-SA"/>
      </w:rPr>
    </w:lvl>
    <w:lvl w:ilvl="3">
      <w:start w:val="0"/>
      <w:numFmt w:val="bullet"/>
      <w:lvlText w:val="•"/>
      <w:lvlJc w:val="left"/>
      <w:pPr>
        <w:ind w:left="3804" w:hanging="360"/>
      </w:pPr>
      <w:rPr>
        <w:rFonts w:hint="default"/>
        <w:lang w:val="en-US" w:eastAsia="en-US" w:bidi="ar-SA"/>
      </w:rPr>
    </w:lvl>
    <w:lvl w:ilvl="4">
      <w:start w:val="0"/>
      <w:numFmt w:val="bullet"/>
      <w:lvlText w:val="•"/>
      <w:lvlJc w:val="left"/>
      <w:pPr>
        <w:ind w:left="4752"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48" w:hanging="360"/>
      </w:pPr>
      <w:rPr>
        <w:rFonts w:hint="default"/>
        <w:lang w:val="en-US" w:eastAsia="en-US" w:bidi="ar-SA"/>
      </w:rPr>
    </w:lvl>
    <w:lvl w:ilvl="7">
      <w:start w:val="0"/>
      <w:numFmt w:val="bullet"/>
      <w:lvlText w:val="•"/>
      <w:lvlJc w:val="left"/>
      <w:pPr>
        <w:ind w:left="7596" w:hanging="360"/>
      </w:pPr>
      <w:rPr>
        <w:rFonts w:hint="default"/>
        <w:lang w:val="en-US" w:eastAsia="en-US" w:bidi="ar-SA"/>
      </w:rPr>
    </w:lvl>
    <w:lvl w:ilvl="8">
      <w:start w:val="0"/>
      <w:numFmt w:val="bullet"/>
      <w:lvlText w:val="•"/>
      <w:lvlJc w:val="left"/>
      <w:pPr>
        <w:ind w:left="8544" w:hanging="360"/>
      </w:pPr>
      <w:rPr>
        <w:rFonts w:hint="default"/>
        <w:lang w:val="en-US" w:eastAsia="en-US" w:bidi="ar-SA"/>
      </w:rPr>
    </w:lvl>
  </w:abstractNum>
  <w:abstractNum w:abstractNumId="15">
    <w:multiLevelType w:val="hybridMultilevel"/>
    <w:lvl w:ilvl="0">
      <w:start w:val="1"/>
      <w:numFmt w:val="lowerLetter"/>
      <w:lvlText w:val="%1)"/>
      <w:lvlJc w:val="left"/>
      <w:pPr>
        <w:ind w:left="960" w:hanging="360"/>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1908" w:hanging="360"/>
      </w:pPr>
      <w:rPr>
        <w:rFonts w:hint="default"/>
        <w:lang w:val="en-US" w:eastAsia="en-US" w:bidi="ar-SA"/>
      </w:rPr>
    </w:lvl>
    <w:lvl w:ilvl="2">
      <w:start w:val="0"/>
      <w:numFmt w:val="bullet"/>
      <w:lvlText w:val="•"/>
      <w:lvlJc w:val="left"/>
      <w:pPr>
        <w:ind w:left="2856" w:hanging="360"/>
      </w:pPr>
      <w:rPr>
        <w:rFonts w:hint="default"/>
        <w:lang w:val="en-US" w:eastAsia="en-US" w:bidi="ar-SA"/>
      </w:rPr>
    </w:lvl>
    <w:lvl w:ilvl="3">
      <w:start w:val="0"/>
      <w:numFmt w:val="bullet"/>
      <w:lvlText w:val="•"/>
      <w:lvlJc w:val="left"/>
      <w:pPr>
        <w:ind w:left="3804" w:hanging="360"/>
      </w:pPr>
      <w:rPr>
        <w:rFonts w:hint="default"/>
        <w:lang w:val="en-US" w:eastAsia="en-US" w:bidi="ar-SA"/>
      </w:rPr>
    </w:lvl>
    <w:lvl w:ilvl="4">
      <w:start w:val="0"/>
      <w:numFmt w:val="bullet"/>
      <w:lvlText w:val="•"/>
      <w:lvlJc w:val="left"/>
      <w:pPr>
        <w:ind w:left="4752"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48" w:hanging="360"/>
      </w:pPr>
      <w:rPr>
        <w:rFonts w:hint="default"/>
        <w:lang w:val="en-US" w:eastAsia="en-US" w:bidi="ar-SA"/>
      </w:rPr>
    </w:lvl>
    <w:lvl w:ilvl="7">
      <w:start w:val="0"/>
      <w:numFmt w:val="bullet"/>
      <w:lvlText w:val="•"/>
      <w:lvlJc w:val="left"/>
      <w:pPr>
        <w:ind w:left="7596" w:hanging="360"/>
      </w:pPr>
      <w:rPr>
        <w:rFonts w:hint="default"/>
        <w:lang w:val="en-US" w:eastAsia="en-US" w:bidi="ar-SA"/>
      </w:rPr>
    </w:lvl>
    <w:lvl w:ilvl="8">
      <w:start w:val="0"/>
      <w:numFmt w:val="bullet"/>
      <w:lvlText w:val="•"/>
      <w:lvlJc w:val="left"/>
      <w:pPr>
        <w:ind w:left="8544" w:hanging="360"/>
      </w:pPr>
      <w:rPr>
        <w:rFonts w:hint="default"/>
        <w:lang w:val="en-US" w:eastAsia="en-US" w:bidi="ar-SA"/>
      </w:rPr>
    </w:lvl>
  </w:abstractNum>
  <w:abstractNum w:abstractNumId="14">
    <w:multiLevelType w:val="hybridMultilevel"/>
    <w:lvl w:ilvl="0">
      <w:start w:val="1"/>
      <w:numFmt w:val="lowerLetter"/>
      <w:lvlText w:val="%1)"/>
      <w:lvlJc w:val="left"/>
      <w:pPr>
        <w:ind w:left="960" w:hanging="360"/>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1908" w:hanging="360"/>
      </w:pPr>
      <w:rPr>
        <w:rFonts w:hint="default"/>
        <w:lang w:val="en-US" w:eastAsia="en-US" w:bidi="ar-SA"/>
      </w:rPr>
    </w:lvl>
    <w:lvl w:ilvl="2">
      <w:start w:val="0"/>
      <w:numFmt w:val="bullet"/>
      <w:lvlText w:val="•"/>
      <w:lvlJc w:val="left"/>
      <w:pPr>
        <w:ind w:left="2856" w:hanging="360"/>
      </w:pPr>
      <w:rPr>
        <w:rFonts w:hint="default"/>
        <w:lang w:val="en-US" w:eastAsia="en-US" w:bidi="ar-SA"/>
      </w:rPr>
    </w:lvl>
    <w:lvl w:ilvl="3">
      <w:start w:val="0"/>
      <w:numFmt w:val="bullet"/>
      <w:lvlText w:val="•"/>
      <w:lvlJc w:val="left"/>
      <w:pPr>
        <w:ind w:left="3804" w:hanging="360"/>
      </w:pPr>
      <w:rPr>
        <w:rFonts w:hint="default"/>
        <w:lang w:val="en-US" w:eastAsia="en-US" w:bidi="ar-SA"/>
      </w:rPr>
    </w:lvl>
    <w:lvl w:ilvl="4">
      <w:start w:val="0"/>
      <w:numFmt w:val="bullet"/>
      <w:lvlText w:val="•"/>
      <w:lvlJc w:val="left"/>
      <w:pPr>
        <w:ind w:left="4752"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48" w:hanging="360"/>
      </w:pPr>
      <w:rPr>
        <w:rFonts w:hint="default"/>
        <w:lang w:val="en-US" w:eastAsia="en-US" w:bidi="ar-SA"/>
      </w:rPr>
    </w:lvl>
    <w:lvl w:ilvl="7">
      <w:start w:val="0"/>
      <w:numFmt w:val="bullet"/>
      <w:lvlText w:val="•"/>
      <w:lvlJc w:val="left"/>
      <w:pPr>
        <w:ind w:left="7596" w:hanging="360"/>
      </w:pPr>
      <w:rPr>
        <w:rFonts w:hint="default"/>
        <w:lang w:val="en-US" w:eastAsia="en-US" w:bidi="ar-SA"/>
      </w:rPr>
    </w:lvl>
    <w:lvl w:ilvl="8">
      <w:start w:val="0"/>
      <w:numFmt w:val="bullet"/>
      <w:lvlText w:val="•"/>
      <w:lvlJc w:val="left"/>
      <w:pPr>
        <w:ind w:left="8544" w:hanging="360"/>
      </w:pPr>
      <w:rPr>
        <w:rFonts w:hint="default"/>
        <w:lang w:val="en-US" w:eastAsia="en-US" w:bidi="ar-SA"/>
      </w:rPr>
    </w:lvl>
  </w:abstractNum>
  <w:abstractNum w:abstractNumId="13">
    <w:multiLevelType w:val="hybridMultilevel"/>
    <w:lvl w:ilvl="0">
      <w:start w:val="1"/>
      <w:numFmt w:val="lowerLetter"/>
      <w:lvlText w:val="%1)"/>
      <w:lvlJc w:val="left"/>
      <w:pPr>
        <w:ind w:left="9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908" w:hanging="360"/>
      </w:pPr>
      <w:rPr>
        <w:rFonts w:hint="default"/>
        <w:lang w:val="en-US" w:eastAsia="en-US" w:bidi="ar-SA"/>
      </w:rPr>
    </w:lvl>
    <w:lvl w:ilvl="2">
      <w:start w:val="0"/>
      <w:numFmt w:val="bullet"/>
      <w:lvlText w:val="•"/>
      <w:lvlJc w:val="left"/>
      <w:pPr>
        <w:ind w:left="2856" w:hanging="360"/>
      </w:pPr>
      <w:rPr>
        <w:rFonts w:hint="default"/>
        <w:lang w:val="en-US" w:eastAsia="en-US" w:bidi="ar-SA"/>
      </w:rPr>
    </w:lvl>
    <w:lvl w:ilvl="3">
      <w:start w:val="0"/>
      <w:numFmt w:val="bullet"/>
      <w:lvlText w:val="•"/>
      <w:lvlJc w:val="left"/>
      <w:pPr>
        <w:ind w:left="3804" w:hanging="360"/>
      </w:pPr>
      <w:rPr>
        <w:rFonts w:hint="default"/>
        <w:lang w:val="en-US" w:eastAsia="en-US" w:bidi="ar-SA"/>
      </w:rPr>
    </w:lvl>
    <w:lvl w:ilvl="4">
      <w:start w:val="0"/>
      <w:numFmt w:val="bullet"/>
      <w:lvlText w:val="•"/>
      <w:lvlJc w:val="left"/>
      <w:pPr>
        <w:ind w:left="4752"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48" w:hanging="360"/>
      </w:pPr>
      <w:rPr>
        <w:rFonts w:hint="default"/>
        <w:lang w:val="en-US" w:eastAsia="en-US" w:bidi="ar-SA"/>
      </w:rPr>
    </w:lvl>
    <w:lvl w:ilvl="7">
      <w:start w:val="0"/>
      <w:numFmt w:val="bullet"/>
      <w:lvlText w:val="•"/>
      <w:lvlJc w:val="left"/>
      <w:pPr>
        <w:ind w:left="7596" w:hanging="360"/>
      </w:pPr>
      <w:rPr>
        <w:rFonts w:hint="default"/>
        <w:lang w:val="en-US" w:eastAsia="en-US" w:bidi="ar-SA"/>
      </w:rPr>
    </w:lvl>
    <w:lvl w:ilvl="8">
      <w:start w:val="0"/>
      <w:numFmt w:val="bullet"/>
      <w:lvlText w:val="•"/>
      <w:lvlJc w:val="left"/>
      <w:pPr>
        <w:ind w:left="8544" w:hanging="360"/>
      </w:pPr>
      <w:rPr>
        <w:rFonts w:hint="default"/>
        <w:lang w:val="en-US" w:eastAsia="en-US" w:bidi="ar-SA"/>
      </w:rPr>
    </w:lvl>
  </w:abstractNum>
  <w:abstractNum w:abstractNumId="12">
    <w:multiLevelType w:val="hybridMultilevel"/>
    <w:lvl w:ilvl="0">
      <w:start w:val="1"/>
      <w:numFmt w:val="lowerLetter"/>
      <w:lvlText w:val="(%1)"/>
      <w:lvlJc w:val="left"/>
      <w:pPr>
        <w:ind w:left="96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908" w:hanging="360"/>
      </w:pPr>
      <w:rPr>
        <w:rFonts w:hint="default"/>
        <w:lang w:val="en-US" w:eastAsia="en-US" w:bidi="ar-SA"/>
      </w:rPr>
    </w:lvl>
    <w:lvl w:ilvl="2">
      <w:start w:val="0"/>
      <w:numFmt w:val="bullet"/>
      <w:lvlText w:val="•"/>
      <w:lvlJc w:val="left"/>
      <w:pPr>
        <w:ind w:left="2856" w:hanging="360"/>
      </w:pPr>
      <w:rPr>
        <w:rFonts w:hint="default"/>
        <w:lang w:val="en-US" w:eastAsia="en-US" w:bidi="ar-SA"/>
      </w:rPr>
    </w:lvl>
    <w:lvl w:ilvl="3">
      <w:start w:val="0"/>
      <w:numFmt w:val="bullet"/>
      <w:lvlText w:val="•"/>
      <w:lvlJc w:val="left"/>
      <w:pPr>
        <w:ind w:left="3804" w:hanging="360"/>
      </w:pPr>
      <w:rPr>
        <w:rFonts w:hint="default"/>
        <w:lang w:val="en-US" w:eastAsia="en-US" w:bidi="ar-SA"/>
      </w:rPr>
    </w:lvl>
    <w:lvl w:ilvl="4">
      <w:start w:val="0"/>
      <w:numFmt w:val="bullet"/>
      <w:lvlText w:val="•"/>
      <w:lvlJc w:val="left"/>
      <w:pPr>
        <w:ind w:left="4752"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48" w:hanging="360"/>
      </w:pPr>
      <w:rPr>
        <w:rFonts w:hint="default"/>
        <w:lang w:val="en-US" w:eastAsia="en-US" w:bidi="ar-SA"/>
      </w:rPr>
    </w:lvl>
    <w:lvl w:ilvl="7">
      <w:start w:val="0"/>
      <w:numFmt w:val="bullet"/>
      <w:lvlText w:val="•"/>
      <w:lvlJc w:val="left"/>
      <w:pPr>
        <w:ind w:left="7596" w:hanging="360"/>
      </w:pPr>
      <w:rPr>
        <w:rFonts w:hint="default"/>
        <w:lang w:val="en-US" w:eastAsia="en-US" w:bidi="ar-SA"/>
      </w:rPr>
    </w:lvl>
    <w:lvl w:ilvl="8">
      <w:start w:val="0"/>
      <w:numFmt w:val="bullet"/>
      <w:lvlText w:val="•"/>
      <w:lvlJc w:val="left"/>
      <w:pPr>
        <w:ind w:left="8544" w:hanging="360"/>
      </w:pPr>
      <w:rPr>
        <w:rFonts w:hint="default"/>
        <w:lang w:val="en-US" w:eastAsia="en-US" w:bidi="ar-SA"/>
      </w:rPr>
    </w:lvl>
  </w:abstractNum>
  <w:abstractNum w:abstractNumId="11">
    <w:multiLevelType w:val="hybridMultilevel"/>
    <w:lvl w:ilvl="0">
      <w:start w:val="1"/>
      <w:numFmt w:val="lowerLetter"/>
      <w:lvlText w:val="%1)"/>
      <w:lvlJc w:val="left"/>
      <w:pPr>
        <w:ind w:left="9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908" w:hanging="360"/>
      </w:pPr>
      <w:rPr>
        <w:rFonts w:hint="default"/>
        <w:lang w:val="en-US" w:eastAsia="en-US" w:bidi="ar-SA"/>
      </w:rPr>
    </w:lvl>
    <w:lvl w:ilvl="2">
      <w:start w:val="0"/>
      <w:numFmt w:val="bullet"/>
      <w:lvlText w:val="•"/>
      <w:lvlJc w:val="left"/>
      <w:pPr>
        <w:ind w:left="2856" w:hanging="360"/>
      </w:pPr>
      <w:rPr>
        <w:rFonts w:hint="default"/>
        <w:lang w:val="en-US" w:eastAsia="en-US" w:bidi="ar-SA"/>
      </w:rPr>
    </w:lvl>
    <w:lvl w:ilvl="3">
      <w:start w:val="0"/>
      <w:numFmt w:val="bullet"/>
      <w:lvlText w:val="•"/>
      <w:lvlJc w:val="left"/>
      <w:pPr>
        <w:ind w:left="3804" w:hanging="360"/>
      </w:pPr>
      <w:rPr>
        <w:rFonts w:hint="default"/>
        <w:lang w:val="en-US" w:eastAsia="en-US" w:bidi="ar-SA"/>
      </w:rPr>
    </w:lvl>
    <w:lvl w:ilvl="4">
      <w:start w:val="0"/>
      <w:numFmt w:val="bullet"/>
      <w:lvlText w:val="•"/>
      <w:lvlJc w:val="left"/>
      <w:pPr>
        <w:ind w:left="4752"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48" w:hanging="360"/>
      </w:pPr>
      <w:rPr>
        <w:rFonts w:hint="default"/>
        <w:lang w:val="en-US" w:eastAsia="en-US" w:bidi="ar-SA"/>
      </w:rPr>
    </w:lvl>
    <w:lvl w:ilvl="7">
      <w:start w:val="0"/>
      <w:numFmt w:val="bullet"/>
      <w:lvlText w:val="•"/>
      <w:lvlJc w:val="left"/>
      <w:pPr>
        <w:ind w:left="7596" w:hanging="360"/>
      </w:pPr>
      <w:rPr>
        <w:rFonts w:hint="default"/>
        <w:lang w:val="en-US" w:eastAsia="en-US" w:bidi="ar-SA"/>
      </w:rPr>
    </w:lvl>
    <w:lvl w:ilvl="8">
      <w:start w:val="0"/>
      <w:numFmt w:val="bullet"/>
      <w:lvlText w:val="•"/>
      <w:lvlJc w:val="left"/>
      <w:pPr>
        <w:ind w:left="8544" w:hanging="360"/>
      </w:pPr>
      <w:rPr>
        <w:rFonts w:hint="default"/>
        <w:lang w:val="en-US" w:eastAsia="en-US" w:bidi="ar-SA"/>
      </w:rPr>
    </w:lvl>
  </w:abstractNum>
  <w:abstractNum w:abstractNumId="10">
    <w:multiLevelType w:val="hybridMultilevel"/>
    <w:lvl w:ilvl="0">
      <w:start w:val="1"/>
      <w:numFmt w:val="lowerLetter"/>
      <w:lvlText w:val="%1)"/>
      <w:lvlJc w:val="left"/>
      <w:pPr>
        <w:ind w:left="9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908" w:hanging="360"/>
      </w:pPr>
      <w:rPr>
        <w:rFonts w:hint="default"/>
        <w:lang w:val="en-US" w:eastAsia="en-US" w:bidi="ar-SA"/>
      </w:rPr>
    </w:lvl>
    <w:lvl w:ilvl="2">
      <w:start w:val="0"/>
      <w:numFmt w:val="bullet"/>
      <w:lvlText w:val="•"/>
      <w:lvlJc w:val="left"/>
      <w:pPr>
        <w:ind w:left="2856" w:hanging="360"/>
      </w:pPr>
      <w:rPr>
        <w:rFonts w:hint="default"/>
        <w:lang w:val="en-US" w:eastAsia="en-US" w:bidi="ar-SA"/>
      </w:rPr>
    </w:lvl>
    <w:lvl w:ilvl="3">
      <w:start w:val="0"/>
      <w:numFmt w:val="bullet"/>
      <w:lvlText w:val="•"/>
      <w:lvlJc w:val="left"/>
      <w:pPr>
        <w:ind w:left="3804" w:hanging="360"/>
      </w:pPr>
      <w:rPr>
        <w:rFonts w:hint="default"/>
        <w:lang w:val="en-US" w:eastAsia="en-US" w:bidi="ar-SA"/>
      </w:rPr>
    </w:lvl>
    <w:lvl w:ilvl="4">
      <w:start w:val="0"/>
      <w:numFmt w:val="bullet"/>
      <w:lvlText w:val="•"/>
      <w:lvlJc w:val="left"/>
      <w:pPr>
        <w:ind w:left="4752"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48" w:hanging="360"/>
      </w:pPr>
      <w:rPr>
        <w:rFonts w:hint="default"/>
        <w:lang w:val="en-US" w:eastAsia="en-US" w:bidi="ar-SA"/>
      </w:rPr>
    </w:lvl>
    <w:lvl w:ilvl="7">
      <w:start w:val="0"/>
      <w:numFmt w:val="bullet"/>
      <w:lvlText w:val="•"/>
      <w:lvlJc w:val="left"/>
      <w:pPr>
        <w:ind w:left="7596" w:hanging="360"/>
      </w:pPr>
      <w:rPr>
        <w:rFonts w:hint="default"/>
        <w:lang w:val="en-US" w:eastAsia="en-US" w:bidi="ar-SA"/>
      </w:rPr>
    </w:lvl>
    <w:lvl w:ilvl="8">
      <w:start w:val="0"/>
      <w:numFmt w:val="bullet"/>
      <w:lvlText w:val="•"/>
      <w:lvlJc w:val="left"/>
      <w:pPr>
        <w:ind w:left="8544" w:hanging="360"/>
      </w:pPr>
      <w:rPr>
        <w:rFonts w:hint="default"/>
        <w:lang w:val="en-US" w:eastAsia="en-US" w:bidi="ar-SA"/>
      </w:rPr>
    </w:lvl>
  </w:abstractNum>
  <w:abstractNum w:abstractNumId="9">
    <w:multiLevelType w:val="hybridMultilevel"/>
    <w:lvl w:ilvl="0">
      <w:start w:val="1"/>
      <w:numFmt w:val="lowerLetter"/>
      <w:lvlText w:val="%1)"/>
      <w:lvlJc w:val="left"/>
      <w:pPr>
        <w:ind w:left="9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908" w:hanging="360"/>
      </w:pPr>
      <w:rPr>
        <w:rFonts w:hint="default"/>
        <w:lang w:val="en-US" w:eastAsia="en-US" w:bidi="ar-SA"/>
      </w:rPr>
    </w:lvl>
    <w:lvl w:ilvl="2">
      <w:start w:val="0"/>
      <w:numFmt w:val="bullet"/>
      <w:lvlText w:val="•"/>
      <w:lvlJc w:val="left"/>
      <w:pPr>
        <w:ind w:left="2856" w:hanging="360"/>
      </w:pPr>
      <w:rPr>
        <w:rFonts w:hint="default"/>
        <w:lang w:val="en-US" w:eastAsia="en-US" w:bidi="ar-SA"/>
      </w:rPr>
    </w:lvl>
    <w:lvl w:ilvl="3">
      <w:start w:val="0"/>
      <w:numFmt w:val="bullet"/>
      <w:lvlText w:val="•"/>
      <w:lvlJc w:val="left"/>
      <w:pPr>
        <w:ind w:left="3804" w:hanging="360"/>
      </w:pPr>
      <w:rPr>
        <w:rFonts w:hint="default"/>
        <w:lang w:val="en-US" w:eastAsia="en-US" w:bidi="ar-SA"/>
      </w:rPr>
    </w:lvl>
    <w:lvl w:ilvl="4">
      <w:start w:val="0"/>
      <w:numFmt w:val="bullet"/>
      <w:lvlText w:val="•"/>
      <w:lvlJc w:val="left"/>
      <w:pPr>
        <w:ind w:left="4752"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48" w:hanging="360"/>
      </w:pPr>
      <w:rPr>
        <w:rFonts w:hint="default"/>
        <w:lang w:val="en-US" w:eastAsia="en-US" w:bidi="ar-SA"/>
      </w:rPr>
    </w:lvl>
    <w:lvl w:ilvl="7">
      <w:start w:val="0"/>
      <w:numFmt w:val="bullet"/>
      <w:lvlText w:val="•"/>
      <w:lvlJc w:val="left"/>
      <w:pPr>
        <w:ind w:left="7596" w:hanging="360"/>
      </w:pPr>
      <w:rPr>
        <w:rFonts w:hint="default"/>
        <w:lang w:val="en-US" w:eastAsia="en-US" w:bidi="ar-SA"/>
      </w:rPr>
    </w:lvl>
    <w:lvl w:ilvl="8">
      <w:start w:val="0"/>
      <w:numFmt w:val="bullet"/>
      <w:lvlText w:val="•"/>
      <w:lvlJc w:val="left"/>
      <w:pPr>
        <w:ind w:left="8544" w:hanging="360"/>
      </w:pPr>
      <w:rPr>
        <w:rFonts w:hint="default"/>
        <w:lang w:val="en-US" w:eastAsia="en-US" w:bidi="ar-SA"/>
      </w:rPr>
    </w:lvl>
  </w:abstractNum>
  <w:abstractNum w:abstractNumId="8">
    <w:multiLevelType w:val="hybridMultilevel"/>
    <w:lvl w:ilvl="0">
      <w:start w:val="1"/>
      <w:numFmt w:val="lowerLetter"/>
      <w:lvlText w:val="%1)"/>
      <w:lvlJc w:val="left"/>
      <w:pPr>
        <w:ind w:left="960" w:hanging="360"/>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1908" w:hanging="360"/>
      </w:pPr>
      <w:rPr>
        <w:rFonts w:hint="default"/>
        <w:lang w:val="en-US" w:eastAsia="en-US" w:bidi="ar-SA"/>
      </w:rPr>
    </w:lvl>
    <w:lvl w:ilvl="2">
      <w:start w:val="0"/>
      <w:numFmt w:val="bullet"/>
      <w:lvlText w:val="•"/>
      <w:lvlJc w:val="left"/>
      <w:pPr>
        <w:ind w:left="2856" w:hanging="360"/>
      </w:pPr>
      <w:rPr>
        <w:rFonts w:hint="default"/>
        <w:lang w:val="en-US" w:eastAsia="en-US" w:bidi="ar-SA"/>
      </w:rPr>
    </w:lvl>
    <w:lvl w:ilvl="3">
      <w:start w:val="0"/>
      <w:numFmt w:val="bullet"/>
      <w:lvlText w:val="•"/>
      <w:lvlJc w:val="left"/>
      <w:pPr>
        <w:ind w:left="3804" w:hanging="360"/>
      </w:pPr>
      <w:rPr>
        <w:rFonts w:hint="default"/>
        <w:lang w:val="en-US" w:eastAsia="en-US" w:bidi="ar-SA"/>
      </w:rPr>
    </w:lvl>
    <w:lvl w:ilvl="4">
      <w:start w:val="0"/>
      <w:numFmt w:val="bullet"/>
      <w:lvlText w:val="•"/>
      <w:lvlJc w:val="left"/>
      <w:pPr>
        <w:ind w:left="4752"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48" w:hanging="360"/>
      </w:pPr>
      <w:rPr>
        <w:rFonts w:hint="default"/>
        <w:lang w:val="en-US" w:eastAsia="en-US" w:bidi="ar-SA"/>
      </w:rPr>
    </w:lvl>
    <w:lvl w:ilvl="7">
      <w:start w:val="0"/>
      <w:numFmt w:val="bullet"/>
      <w:lvlText w:val="•"/>
      <w:lvlJc w:val="left"/>
      <w:pPr>
        <w:ind w:left="7596" w:hanging="360"/>
      </w:pPr>
      <w:rPr>
        <w:rFonts w:hint="default"/>
        <w:lang w:val="en-US" w:eastAsia="en-US" w:bidi="ar-SA"/>
      </w:rPr>
    </w:lvl>
    <w:lvl w:ilvl="8">
      <w:start w:val="0"/>
      <w:numFmt w:val="bullet"/>
      <w:lvlText w:val="•"/>
      <w:lvlJc w:val="left"/>
      <w:pPr>
        <w:ind w:left="8544" w:hanging="360"/>
      </w:pPr>
      <w:rPr>
        <w:rFonts w:hint="default"/>
        <w:lang w:val="en-US" w:eastAsia="en-US" w:bidi="ar-SA"/>
      </w:rPr>
    </w:lvl>
  </w:abstractNum>
  <w:abstractNum w:abstractNumId="7">
    <w:multiLevelType w:val="hybridMultilevel"/>
    <w:lvl w:ilvl="0">
      <w:start w:val="1"/>
      <w:numFmt w:val="lowerLetter"/>
      <w:lvlText w:val="%1)"/>
      <w:lvlJc w:val="left"/>
      <w:pPr>
        <w:ind w:left="9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908" w:hanging="360"/>
      </w:pPr>
      <w:rPr>
        <w:rFonts w:hint="default"/>
        <w:lang w:val="en-US" w:eastAsia="en-US" w:bidi="ar-SA"/>
      </w:rPr>
    </w:lvl>
    <w:lvl w:ilvl="2">
      <w:start w:val="0"/>
      <w:numFmt w:val="bullet"/>
      <w:lvlText w:val="•"/>
      <w:lvlJc w:val="left"/>
      <w:pPr>
        <w:ind w:left="2856" w:hanging="360"/>
      </w:pPr>
      <w:rPr>
        <w:rFonts w:hint="default"/>
        <w:lang w:val="en-US" w:eastAsia="en-US" w:bidi="ar-SA"/>
      </w:rPr>
    </w:lvl>
    <w:lvl w:ilvl="3">
      <w:start w:val="0"/>
      <w:numFmt w:val="bullet"/>
      <w:lvlText w:val="•"/>
      <w:lvlJc w:val="left"/>
      <w:pPr>
        <w:ind w:left="3804" w:hanging="360"/>
      </w:pPr>
      <w:rPr>
        <w:rFonts w:hint="default"/>
        <w:lang w:val="en-US" w:eastAsia="en-US" w:bidi="ar-SA"/>
      </w:rPr>
    </w:lvl>
    <w:lvl w:ilvl="4">
      <w:start w:val="0"/>
      <w:numFmt w:val="bullet"/>
      <w:lvlText w:val="•"/>
      <w:lvlJc w:val="left"/>
      <w:pPr>
        <w:ind w:left="4752"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48" w:hanging="360"/>
      </w:pPr>
      <w:rPr>
        <w:rFonts w:hint="default"/>
        <w:lang w:val="en-US" w:eastAsia="en-US" w:bidi="ar-SA"/>
      </w:rPr>
    </w:lvl>
    <w:lvl w:ilvl="7">
      <w:start w:val="0"/>
      <w:numFmt w:val="bullet"/>
      <w:lvlText w:val="•"/>
      <w:lvlJc w:val="left"/>
      <w:pPr>
        <w:ind w:left="7596" w:hanging="360"/>
      </w:pPr>
      <w:rPr>
        <w:rFonts w:hint="default"/>
        <w:lang w:val="en-US" w:eastAsia="en-US" w:bidi="ar-SA"/>
      </w:rPr>
    </w:lvl>
    <w:lvl w:ilvl="8">
      <w:start w:val="0"/>
      <w:numFmt w:val="bullet"/>
      <w:lvlText w:val="•"/>
      <w:lvlJc w:val="left"/>
      <w:pPr>
        <w:ind w:left="8544" w:hanging="360"/>
      </w:pPr>
      <w:rPr>
        <w:rFonts w:hint="default"/>
        <w:lang w:val="en-US" w:eastAsia="en-US" w:bidi="ar-SA"/>
      </w:rPr>
    </w:lvl>
  </w:abstractNum>
  <w:abstractNum w:abstractNumId="6">
    <w:multiLevelType w:val="hybridMultilevel"/>
    <w:lvl w:ilvl="0">
      <w:start w:val="2"/>
      <w:numFmt w:val="decimal"/>
      <w:lvlText w:val="%1"/>
      <w:lvlJc w:val="left"/>
      <w:pPr>
        <w:ind w:left="629" w:hanging="389"/>
        <w:jc w:val="left"/>
      </w:pPr>
      <w:rPr>
        <w:rFonts w:hint="default"/>
        <w:lang w:val="en-US" w:eastAsia="en-US" w:bidi="ar-SA"/>
      </w:rPr>
    </w:lvl>
    <w:lvl w:ilvl="1">
      <w:start w:val="7"/>
      <w:numFmt w:val="decimal"/>
      <w:lvlText w:val="%1.%2"/>
      <w:lvlJc w:val="left"/>
      <w:pPr>
        <w:ind w:left="629" w:hanging="389"/>
        <w:jc w:val="left"/>
      </w:pPr>
      <w:rPr>
        <w:rFonts w:hint="default" w:ascii="Times New Roman" w:hAnsi="Times New Roman" w:eastAsia="Times New Roman" w:cs="Times New Roman"/>
        <w:b/>
        <w:bCs/>
        <w:i w:val="0"/>
        <w:iCs w:val="0"/>
        <w:spacing w:val="0"/>
        <w:w w:val="99"/>
        <w:sz w:val="26"/>
        <w:szCs w:val="26"/>
        <w:lang w:val="en-US" w:eastAsia="en-US" w:bidi="ar-SA"/>
      </w:rPr>
    </w:lvl>
    <w:lvl w:ilvl="2">
      <w:start w:val="1"/>
      <w:numFmt w:val="decimal"/>
      <w:lvlText w:val="%1.%2.%3"/>
      <w:lvlJc w:val="left"/>
      <w:pPr>
        <w:ind w:left="78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lowerRoman"/>
      <w:lvlText w:val="%4."/>
      <w:lvlJc w:val="left"/>
      <w:pPr>
        <w:ind w:left="96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1"/>
      <w:numFmt w:val="lowerLetter"/>
      <w:lvlText w:val="%5)"/>
      <w:lvlJc w:val="left"/>
      <w:pPr>
        <w:ind w:left="9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5">
      <w:start w:val="0"/>
      <w:numFmt w:val="bullet"/>
      <w:lvlText w:val="•"/>
      <w:lvlJc w:val="left"/>
      <w:pPr>
        <w:ind w:left="2590" w:hanging="360"/>
      </w:pPr>
      <w:rPr>
        <w:rFonts w:hint="default"/>
        <w:lang w:val="en-US" w:eastAsia="en-US" w:bidi="ar-SA"/>
      </w:rPr>
    </w:lvl>
    <w:lvl w:ilvl="6">
      <w:start w:val="0"/>
      <w:numFmt w:val="bullet"/>
      <w:lvlText w:val="•"/>
      <w:lvlJc w:val="left"/>
      <w:pPr>
        <w:ind w:left="4160" w:hanging="360"/>
      </w:pPr>
      <w:rPr>
        <w:rFonts w:hint="default"/>
        <w:lang w:val="en-US" w:eastAsia="en-US" w:bidi="ar-SA"/>
      </w:rPr>
    </w:lvl>
    <w:lvl w:ilvl="7">
      <w:start w:val="0"/>
      <w:numFmt w:val="bullet"/>
      <w:lvlText w:val="•"/>
      <w:lvlJc w:val="left"/>
      <w:pPr>
        <w:ind w:left="5730" w:hanging="360"/>
      </w:pPr>
      <w:rPr>
        <w:rFonts w:hint="default"/>
        <w:lang w:val="en-US" w:eastAsia="en-US" w:bidi="ar-SA"/>
      </w:rPr>
    </w:lvl>
    <w:lvl w:ilvl="8">
      <w:start w:val="0"/>
      <w:numFmt w:val="bullet"/>
      <w:lvlText w:val="•"/>
      <w:lvlJc w:val="left"/>
      <w:pPr>
        <w:ind w:left="7300" w:hanging="360"/>
      </w:pPr>
      <w:rPr>
        <w:rFonts w:hint="default"/>
        <w:lang w:val="en-US" w:eastAsia="en-US" w:bidi="ar-SA"/>
      </w:rPr>
    </w:lvl>
  </w:abstractNum>
  <w:abstractNum w:abstractNumId="5">
    <w:multiLevelType w:val="hybridMultilevel"/>
    <w:lvl w:ilvl="0">
      <w:start w:val="1"/>
      <w:numFmt w:val="lowerLetter"/>
      <w:lvlText w:val="%1)"/>
      <w:lvlJc w:val="left"/>
      <w:pPr>
        <w:ind w:left="9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908" w:hanging="360"/>
      </w:pPr>
      <w:rPr>
        <w:rFonts w:hint="default"/>
        <w:lang w:val="en-US" w:eastAsia="en-US" w:bidi="ar-SA"/>
      </w:rPr>
    </w:lvl>
    <w:lvl w:ilvl="2">
      <w:start w:val="0"/>
      <w:numFmt w:val="bullet"/>
      <w:lvlText w:val="•"/>
      <w:lvlJc w:val="left"/>
      <w:pPr>
        <w:ind w:left="2856" w:hanging="360"/>
      </w:pPr>
      <w:rPr>
        <w:rFonts w:hint="default"/>
        <w:lang w:val="en-US" w:eastAsia="en-US" w:bidi="ar-SA"/>
      </w:rPr>
    </w:lvl>
    <w:lvl w:ilvl="3">
      <w:start w:val="0"/>
      <w:numFmt w:val="bullet"/>
      <w:lvlText w:val="•"/>
      <w:lvlJc w:val="left"/>
      <w:pPr>
        <w:ind w:left="3804" w:hanging="360"/>
      </w:pPr>
      <w:rPr>
        <w:rFonts w:hint="default"/>
        <w:lang w:val="en-US" w:eastAsia="en-US" w:bidi="ar-SA"/>
      </w:rPr>
    </w:lvl>
    <w:lvl w:ilvl="4">
      <w:start w:val="0"/>
      <w:numFmt w:val="bullet"/>
      <w:lvlText w:val="•"/>
      <w:lvlJc w:val="left"/>
      <w:pPr>
        <w:ind w:left="4752"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48" w:hanging="360"/>
      </w:pPr>
      <w:rPr>
        <w:rFonts w:hint="default"/>
        <w:lang w:val="en-US" w:eastAsia="en-US" w:bidi="ar-SA"/>
      </w:rPr>
    </w:lvl>
    <w:lvl w:ilvl="7">
      <w:start w:val="0"/>
      <w:numFmt w:val="bullet"/>
      <w:lvlText w:val="•"/>
      <w:lvlJc w:val="left"/>
      <w:pPr>
        <w:ind w:left="7596" w:hanging="360"/>
      </w:pPr>
      <w:rPr>
        <w:rFonts w:hint="default"/>
        <w:lang w:val="en-US" w:eastAsia="en-US" w:bidi="ar-SA"/>
      </w:rPr>
    </w:lvl>
    <w:lvl w:ilvl="8">
      <w:start w:val="0"/>
      <w:numFmt w:val="bullet"/>
      <w:lvlText w:val="•"/>
      <w:lvlJc w:val="left"/>
      <w:pPr>
        <w:ind w:left="8544" w:hanging="360"/>
      </w:pPr>
      <w:rPr>
        <w:rFonts w:hint="default"/>
        <w:lang w:val="en-US" w:eastAsia="en-US" w:bidi="ar-SA"/>
      </w:rPr>
    </w:lvl>
  </w:abstractNum>
  <w:abstractNum w:abstractNumId="3">
    <w:multiLevelType w:val="hybridMultilevel"/>
    <w:lvl w:ilvl="0">
      <w:start w:val="1"/>
      <w:numFmt w:val="lowerLetter"/>
      <w:lvlText w:val="(%1)"/>
      <w:lvlJc w:val="left"/>
      <w:pPr>
        <w:ind w:left="240" w:hanging="348"/>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1">
      <w:start w:val="1"/>
      <w:numFmt w:val="lowerRoman"/>
      <w:lvlText w:val="%2."/>
      <w:lvlJc w:val="left"/>
      <w:pPr>
        <w:ind w:left="96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013" w:hanging="488"/>
      </w:pPr>
      <w:rPr>
        <w:rFonts w:hint="default"/>
        <w:lang w:val="en-US" w:eastAsia="en-US" w:bidi="ar-SA"/>
      </w:rPr>
    </w:lvl>
    <w:lvl w:ilvl="3">
      <w:start w:val="0"/>
      <w:numFmt w:val="bullet"/>
      <w:lvlText w:val="•"/>
      <w:lvlJc w:val="left"/>
      <w:pPr>
        <w:ind w:left="3066" w:hanging="488"/>
      </w:pPr>
      <w:rPr>
        <w:rFonts w:hint="default"/>
        <w:lang w:val="en-US" w:eastAsia="en-US" w:bidi="ar-SA"/>
      </w:rPr>
    </w:lvl>
    <w:lvl w:ilvl="4">
      <w:start w:val="0"/>
      <w:numFmt w:val="bullet"/>
      <w:lvlText w:val="•"/>
      <w:lvlJc w:val="left"/>
      <w:pPr>
        <w:ind w:left="4120" w:hanging="488"/>
      </w:pPr>
      <w:rPr>
        <w:rFonts w:hint="default"/>
        <w:lang w:val="en-US" w:eastAsia="en-US" w:bidi="ar-SA"/>
      </w:rPr>
    </w:lvl>
    <w:lvl w:ilvl="5">
      <w:start w:val="0"/>
      <w:numFmt w:val="bullet"/>
      <w:lvlText w:val="•"/>
      <w:lvlJc w:val="left"/>
      <w:pPr>
        <w:ind w:left="5173" w:hanging="488"/>
      </w:pPr>
      <w:rPr>
        <w:rFonts w:hint="default"/>
        <w:lang w:val="en-US" w:eastAsia="en-US" w:bidi="ar-SA"/>
      </w:rPr>
    </w:lvl>
    <w:lvl w:ilvl="6">
      <w:start w:val="0"/>
      <w:numFmt w:val="bullet"/>
      <w:lvlText w:val="•"/>
      <w:lvlJc w:val="left"/>
      <w:pPr>
        <w:ind w:left="6226" w:hanging="488"/>
      </w:pPr>
      <w:rPr>
        <w:rFonts w:hint="default"/>
        <w:lang w:val="en-US" w:eastAsia="en-US" w:bidi="ar-SA"/>
      </w:rPr>
    </w:lvl>
    <w:lvl w:ilvl="7">
      <w:start w:val="0"/>
      <w:numFmt w:val="bullet"/>
      <w:lvlText w:val="•"/>
      <w:lvlJc w:val="left"/>
      <w:pPr>
        <w:ind w:left="7280" w:hanging="488"/>
      </w:pPr>
      <w:rPr>
        <w:rFonts w:hint="default"/>
        <w:lang w:val="en-US" w:eastAsia="en-US" w:bidi="ar-SA"/>
      </w:rPr>
    </w:lvl>
    <w:lvl w:ilvl="8">
      <w:start w:val="0"/>
      <w:numFmt w:val="bullet"/>
      <w:lvlText w:val="•"/>
      <w:lvlJc w:val="left"/>
      <w:pPr>
        <w:ind w:left="8333" w:hanging="488"/>
      </w:pPr>
      <w:rPr>
        <w:rFonts w:hint="default"/>
        <w:lang w:val="en-US" w:eastAsia="en-US" w:bidi="ar-SA"/>
      </w:rPr>
    </w:lvl>
  </w:abstractNum>
  <w:abstractNum w:abstractNumId="2">
    <w:multiLevelType w:val="hybridMultilevel"/>
    <w:lvl w:ilvl="0">
      <w:start w:val="2"/>
      <w:numFmt w:val="decimal"/>
      <w:lvlText w:val="%1"/>
      <w:lvlJc w:val="left"/>
      <w:pPr>
        <w:ind w:left="694" w:hanging="389"/>
        <w:jc w:val="left"/>
      </w:pPr>
      <w:rPr>
        <w:rFonts w:hint="default"/>
        <w:lang w:val="en-US" w:eastAsia="en-US" w:bidi="ar-SA"/>
      </w:rPr>
    </w:lvl>
    <w:lvl w:ilvl="1">
      <w:start w:val="1"/>
      <w:numFmt w:val="decimal"/>
      <w:lvlText w:val="%1.%2"/>
      <w:lvlJc w:val="left"/>
      <w:pPr>
        <w:ind w:left="694" w:hanging="389"/>
        <w:jc w:val="right"/>
      </w:pPr>
      <w:rPr>
        <w:rFonts w:hint="default"/>
        <w:spacing w:val="0"/>
        <w:w w:val="99"/>
        <w:lang w:val="en-US" w:eastAsia="en-US" w:bidi="ar-SA"/>
      </w:rPr>
    </w:lvl>
    <w:lvl w:ilvl="2">
      <w:start w:val="1"/>
      <w:numFmt w:val="lowerRoman"/>
      <w:lvlText w:val="%3."/>
      <w:lvlJc w:val="left"/>
      <w:pPr>
        <w:ind w:left="96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lowerLetter"/>
      <w:lvlText w:val="%4)"/>
      <w:lvlJc w:val="left"/>
      <w:pPr>
        <w:ind w:left="9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4">
      <w:start w:val="0"/>
      <w:numFmt w:val="bullet"/>
      <w:lvlText w:val="•"/>
      <w:lvlJc w:val="left"/>
      <w:pPr>
        <w:ind w:left="4120" w:hanging="360"/>
      </w:pPr>
      <w:rPr>
        <w:rFonts w:hint="default"/>
        <w:lang w:val="en-US" w:eastAsia="en-US" w:bidi="ar-SA"/>
      </w:rPr>
    </w:lvl>
    <w:lvl w:ilvl="5">
      <w:start w:val="0"/>
      <w:numFmt w:val="bullet"/>
      <w:lvlText w:val="•"/>
      <w:lvlJc w:val="left"/>
      <w:pPr>
        <w:ind w:left="5173" w:hanging="360"/>
      </w:pPr>
      <w:rPr>
        <w:rFonts w:hint="default"/>
        <w:lang w:val="en-US" w:eastAsia="en-US" w:bidi="ar-SA"/>
      </w:rPr>
    </w:lvl>
    <w:lvl w:ilvl="6">
      <w:start w:val="0"/>
      <w:numFmt w:val="bullet"/>
      <w:lvlText w:val="•"/>
      <w:lvlJc w:val="left"/>
      <w:pPr>
        <w:ind w:left="6226" w:hanging="360"/>
      </w:pPr>
      <w:rPr>
        <w:rFonts w:hint="default"/>
        <w:lang w:val="en-US" w:eastAsia="en-US" w:bidi="ar-SA"/>
      </w:rPr>
    </w:lvl>
    <w:lvl w:ilvl="7">
      <w:start w:val="0"/>
      <w:numFmt w:val="bullet"/>
      <w:lvlText w:val="•"/>
      <w:lvlJc w:val="left"/>
      <w:pPr>
        <w:ind w:left="7280" w:hanging="360"/>
      </w:pPr>
      <w:rPr>
        <w:rFonts w:hint="default"/>
        <w:lang w:val="en-US" w:eastAsia="en-US" w:bidi="ar-SA"/>
      </w:rPr>
    </w:lvl>
    <w:lvl w:ilvl="8">
      <w:start w:val="0"/>
      <w:numFmt w:val="bullet"/>
      <w:lvlText w:val="•"/>
      <w:lvlJc w:val="left"/>
      <w:pPr>
        <w:ind w:left="8333" w:hanging="360"/>
      </w:pPr>
      <w:rPr>
        <w:rFonts w:hint="default"/>
        <w:lang w:val="en-US" w:eastAsia="en-US" w:bidi="ar-SA"/>
      </w:rPr>
    </w:lvl>
  </w:abstractNum>
  <w:abstractNum w:abstractNumId="1">
    <w:multiLevelType w:val="hybridMultilevel"/>
    <w:lvl w:ilvl="0">
      <w:start w:val="1"/>
      <w:numFmt w:val="lowerRoman"/>
      <w:lvlText w:val="(%1)"/>
      <w:lvlJc w:val="left"/>
      <w:pPr>
        <w:ind w:left="132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232" w:hanging="720"/>
      </w:pPr>
      <w:rPr>
        <w:rFonts w:hint="default"/>
        <w:lang w:val="en-US" w:eastAsia="en-US" w:bidi="ar-SA"/>
      </w:rPr>
    </w:lvl>
    <w:lvl w:ilvl="2">
      <w:start w:val="0"/>
      <w:numFmt w:val="bullet"/>
      <w:lvlText w:val="•"/>
      <w:lvlJc w:val="left"/>
      <w:pPr>
        <w:ind w:left="3144" w:hanging="720"/>
      </w:pPr>
      <w:rPr>
        <w:rFonts w:hint="default"/>
        <w:lang w:val="en-US" w:eastAsia="en-US" w:bidi="ar-SA"/>
      </w:rPr>
    </w:lvl>
    <w:lvl w:ilvl="3">
      <w:start w:val="0"/>
      <w:numFmt w:val="bullet"/>
      <w:lvlText w:val="•"/>
      <w:lvlJc w:val="left"/>
      <w:pPr>
        <w:ind w:left="4056" w:hanging="720"/>
      </w:pPr>
      <w:rPr>
        <w:rFonts w:hint="default"/>
        <w:lang w:val="en-US" w:eastAsia="en-US" w:bidi="ar-SA"/>
      </w:rPr>
    </w:lvl>
    <w:lvl w:ilvl="4">
      <w:start w:val="0"/>
      <w:numFmt w:val="bullet"/>
      <w:lvlText w:val="•"/>
      <w:lvlJc w:val="left"/>
      <w:pPr>
        <w:ind w:left="4968" w:hanging="720"/>
      </w:pPr>
      <w:rPr>
        <w:rFonts w:hint="default"/>
        <w:lang w:val="en-US" w:eastAsia="en-US" w:bidi="ar-SA"/>
      </w:rPr>
    </w:lvl>
    <w:lvl w:ilvl="5">
      <w:start w:val="0"/>
      <w:numFmt w:val="bullet"/>
      <w:lvlText w:val="•"/>
      <w:lvlJc w:val="left"/>
      <w:pPr>
        <w:ind w:left="5880" w:hanging="720"/>
      </w:pPr>
      <w:rPr>
        <w:rFonts w:hint="default"/>
        <w:lang w:val="en-US" w:eastAsia="en-US" w:bidi="ar-SA"/>
      </w:rPr>
    </w:lvl>
    <w:lvl w:ilvl="6">
      <w:start w:val="0"/>
      <w:numFmt w:val="bullet"/>
      <w:lvlText w:val="•"/>
      <w:lvlJc w:val="left"/>
      <w:pPr>
        <w:ind w:left="6792" w:hanging="720"/>
      </w:pPr>
      <w:rPr>
        <w:rFonts w:hint="default"/>
        <w:lang w:val="en-US" w:eastAsia="en-US" w:bidi="ar-SA"/>
      </w:rPr>
    </w:lvl>
    <w:lvl w:ilvl="7">
      <w:start w:val="0"/>
      <w:numFmt w:val="bullet"/>
      <w:lvlText w:val="•"/>
      <w:lvlJc w:val="left"/>
      <w:pPr>
        <w:ind w:left="7704" w:hanging="720"/>
      </w:pPr>
      <w:rPr>
        <w:rFonts w:hint="default"/>
        <w:lang w:val="en-US" w:eastAsia="en-US" w:bidi="ar-SA"/>
      </w:rPr>
    </w:lvl>
    <w:lvl w:ilvl="8">
      <w:start w:val="0"/>
      <w:numFmt w:val="bullet"/>
      <w:lvlText w:val="•"/>
      <w:lvlJc w:val="left"/>
      <w:pPr>
        <w:ind w:left="8616" w:hanging="720"/>
      </w:pPr>
      <w:rPr>
        <w:rFonts w:hint="default"/>
        <w:lang w:val="en-US" w:eastAsia="en-US" w:bidi="ar-SA"/>
      </w:rPr>
    </w:lvl>
  </w:abstractNum>
  <w:abstractNum w:abstractNumId="0">
    <w:multiLevelType w:val="hybridMultilevel"/>
    <w:lvl w:ilvl="0">
      <w:start w:val="1"/>
      <w:numFmt w:val="decimal"/>
      <w:lvlText w:val="%1"/>
      <w:lvlJc w:val="left"/>
      <w:pPr>
        <w:ind w:left="758" w:hanging="519"/>
        <w:jc w:val="left"/>
      </w:pPr>
      <w:rPr>
        <w:rFonts w:hint="default"/>
        <w:lang w:val="en-US" w:eastAsia="en-US" w:bidi="ar-SA"/>
      </w:rPr>
    </w:lvl>
    <w:lvl w:ilvl="1">
      <w:start w:val="1"/>
      <w:numFmt w:val="decimal"/>
      <w:lvlText w:val="%1.%2"/>
      <w:lvlJc w:val="left"/>
      <w:pPr>
        <w:ind w:left="758" w:hanging="519"/>
        <w:jc w:val="left"/>
      </w:pPr>
      <w:rPr>
        <w:rFonts w:hint="default" w:ascii="Times New Roman" w:hAnsi="Times New Roman" w:eastAsia="Times New Roman" w:cs="Times New Roman"/>
        <w:b/>
        <w:bCs/>
        <w:i w:val="0"/>
        <w:iCs w:val="0"/>
        <w:spacing w:val="0"/>
        <w:w w:val="99"/>
        <w:sz w:val="26"/>
        <w:szCs w:val="26"/>
        <w:lang w:val="en-US" w:eastAsia="en-US" w:bidi="ar-SA"/>
      </w:rPr>
    </w:lvl>
    <w:lvl w:ilvl="2">
      <w:start w:val="1"/>
      <w:numFmt w:val="lowerRoman"/>
      <w:lvlText w:val="%3."/>
      <w:lvlJc w:val="left"/>
      <w:pPr>
        <w:ind w:left="960" w:hanging="488"/>
        <w:jc w:val="right"/>
      </w:pPr>
      <w:rPr>
        <w:rFonts w:hint="default"/>
        <w:spacing w:val="0"/>
        <w:w w:val="100"/>
        <w:lang w:val="en-US" w:eastAsia="en-US" w:bidi="ar-SA"/>
      </w:rPr>
    </w:lvl>
    <w:lvl w:ilvl="3">
      <w:start w:val="0"/>
      <w:numFmt w:val="bullet"/>
      <w:lvlText w:val="•"/>
      <w:lvlJc w:val="left"/>
      <w:pPr>
        <w:ind w:left="3066" w:hanging="488"/>
      </w:pPr>
      <w:rPr>
        <w:rFonts w:hint="default"/>
        <w:lang w:val="en-US" w:eastAsia="en-US" w:bidi="ar-SA"/>
      </w:rPr>
    </w:lvl>
    <w:lvl w:ilvl="4">
      <w:start w:val="0"/>
      <w:numFmt w:val="bullet"/>
      <w:lvlText w:val="•"/>
      <w:lvlJc w:val="left"/>
      <w:pPr>
        <w:ind w:left="4120" w:hanging="488"/>
      </w:pPr>
      <w:rPr>
        <w:rFonts w:hint="default"/>
        <w:lang w:val="en-US" w:eastAsia="en-US" w:bidi="ar-SA"/>
      </w:rPr>
    </w:lvl>
    <w:lvl w:ilvl="5">
      <w:start w:val="0"/>
      <w:numFmt w:val="bullet"/>
      <w:lvlText w:val="•"/>
      <w:lvlJc w:val="left"/>
      <w:pPr>
        <w:ind w:left="5173" w:hanging="488"/>
      </w:pPr>
      <w:rPr>
        <w:rFonts w:hint="default"/>
        <w:lang w:val="en-US" w:eastAsia="en-US" w:bidi="ar-SA"/>
      </w:rPr>
    </w:lvl>
    <w:lvl w:ilvl="6">
      <w:start w:val="0"/>
      <w:numFmt w:val="bullet"/>
      <w:lvlText w:val="•"/>
      <w:lvlJc w:val="left"/>
      <w:pPr>
        <w:ind w:left="6226" w:hanging="488"/>
      </w:pPr>
      <w:rPr>
        <w:rFonts w:hint="default"/>
        <w:lang w:val="en-US" w:eastAsia="en-US" w:bidi="ar-SA"/>
      </w:rPr>
    </w:lvl>
    <w:lvl w:ilvl="7">
      <w:start w:val="0"/>
      <w:numFmt w:val="bullet"/>
      <w:lvlText w:val="•"/>
      <w:lvlJc w:val="left"/>
      <w:pPr>
        <w:ind w:left="7280" w:hanging="488"/>
      </w:pPr>
      <w:rPr>
        <w:rFonts w:hint="default"/>
        <w:lang w:val="en-US" w:eastAsia="en-US" w:bidi="ar-SA"/>
      </w:rPr>
    </w:lvl>
    <w:lvl w:ilvl="8">
      <w:start w:val="0"/>
      <w:numFmt w:val="bullet"/>
      <w:lvlText w:val="•"/>
      <w:lvlJc w:val="left"/>
      <w:pPr>
        <w:ind w:left="8333" w:hanging="488"/>
      </w:pPr>
      <w:rPr>
        <w:rFonts w:hint="default"/>
        <w:lang w:val="en-US" w:eastAsia="en-US" w:bidi="ar-SA"/>
      </w:rPr>
    </w:lvl>
  </w:abstractNum>
  <w:num w:numId="5">
    <w:abstractNumId w:val="4"/>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78"/>
      <w:ind w:right="996"/>
      <w:jc w:val="center"/>
      <w:outlineLvl w:val="1"/>
    </w:pPr>
    <w:rPr>
      <w:rFonts w:ascii="Times New Roman" w:hAnsi="Times New Roman" w:eastAsia="Times New Roman" w:cs="Times New Roman"/>
      <w:b/>
      <w:bCs/>
      <w:sz w:val="28"/>
      <w:szCs w:val="28"/>
      <w:lang w:val="en-US" w:eastAsia="en-US" w:bidi="ar-SA"/>
    </w:rPr>
  </w:style>
  <w:style w:styleId="Heading2" w:type="paragraph">
    <w:name w:val="Heading 2"/>
    <w:basedOn w:val="Normal"/>
    <w:uiPriority w:val="1"/>
    <w:qFormat/>
    <w:pPr>
      <w:spacing w:before="162"/>
      <w:ind w:right="598"/>
      <w:jc w:val="center"/>
      <w:outlineLvl w:val="2"/>
    </w:pPr>
    <w:rPr>
      <w:rFonts w:ascii="Times New Roman" w:hAnsi="Times New Roman" w:eastAsia="Times New Roman" w:cs="Times New Roman"/>
      <w:b/>
      <w:bCs/>
      <w:sz w:val="26"/>
      <w:szCs w:val="26"/>
      <w:lang w:val="en-US" w:eastAsia="en-US" w:bidi="ar-SA"/>
    </w:rPr>
  </w:style>
  <w:style w:styleId="Heading3" w:type="paragraph">
    <w:name w:val="Heading 3"/>
    <w:basedOn w:val="Normal"/>
    <w:uiPriority w:val="1"/>
    <w:qFormat/>
    <w:pPr>
      <w:ind w:left="628" w:hanging="388"/>
      <w:jc w:val="both"/>
      <w:outlineLvl w:val="3"/>
    </w:pPr>
    <w:rPr>
      <w:rFonts w:ascii="Times New Roman" w:hAnsi="Times New Roman" w:eastAsia="Times New Roman" w:cs="Times New Roman"/>
      <w:b/>
      <w:bCs/>
      <w:sz w:val="26"/>
      <w:szCs w:val="26"/>
      <w:lang w:val="en-US" w:eastAsia="en-US" w:bidi="ar-SA"/>
    </w:rPr>
  </w:style>
  <w:style w:styleId="Heading4" w:type="paragraph">
    <w:name w:val="Heading 4"/>
    <w:basedOn w:val="Normal"/>
    <w:uiPriority w:val="1"/>
    <w:qFormat/>
    <w:pPr>
      <w:ind w:left="240"/>
      <w:jc w:val="both"/>
      <w:outlineLvl w:val="4"/>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960" w:hanging="360"/>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s://en.wikipedia.org/wiki/Archaeology_of_Igbo-Ukwu" TargetMode="External"/><Relationship Id="rId7" Type="http://schemas.openxmlformats.org/officeDocument/2006/relationships/hyperlink" Target="https://en.wikipedia.org/wiki/Ezira" TargetMode="External"/><Relationship Id="rId8" Type="http://schemas.openxmlformats.org/officeDocument/2006/relationships/hyperlink" Target="http://www.nigeriagalleria.com/Nigeria/States)" TargetMode="External"/><Relationship Id="rId9" Type="http://schemas.openxmlformats.org/officeDocument/2006/relationships/hyperlink" Target="http://en.wikipedia.org/wiki/Igbo_people" TargetMode="External"/><Relationship Id="rId10" Type="http://schemas.openxmlformats.org/officeDocument/2006/relationships/hyperlink" Target="http://en.wikipedia.org/wiki/Igala" TargetMode="External"/><Relationship Id="rId11" Type="http://schemas.openxmlformats.org/officeDocument/2006/relationships/hyperlink" Target="http://en.wikipedia.org/wiki/Lagos_State" TargetMode="External"/><Relationship Id="rId12" Type="http://schemas.openxmlformats.org/officeDocument/2006/relationships/hyperlink" Target="https://en.wikipedia.org/wiki/Poverty_rate" TargetMode="External"/><Relationship Id="rId13" Type="http://schemas.openxmlformats.org/officeDocument/2006/relationships/hyperlink" Target="http://en.wikipedia.org/wiki/Peter_Obi" TargetMode="External"/><Relationship Id="rId14" Type="http://schemas.openxmlformats.org/officeDocument/2006/relationships/hyperlink" Target="http://en.wikipedia.org/wiki/Onitsha" TargetMode="External"/><Relationship Id="rId15" Type="http://schemas.openxmlformats.org/officeDocument/2006/relationships/hyperlink" Target="http://en.wikipedia.org/wiki/Nnewi" TargetMode="External"/><Relationship Id="rId16" Type="http://schemas.openxmlformats.org/officeDocument/2006/relationships/hyperlink" Target="http://en.wikipedia.org/wiki/Awka" TargetMode="External"/><Relationship Id="rId17" Type="http://schemas.openxmlformats.org/officeDocument/2006/relationships/hyperlink" Target="http://www.anambrastate.gov.ng/politics)" TargetMode="External"/><Relationship Id="rId18" Type="http://schemas.openxmlformats.org/officeDocument/2006/relationships/hyperlink" Target="https://en.wikipedia.org/wiki/Awka" TargetMode="External"/><Relationship Id="rId19" Type="http://schemas.openxmlformats.org/officeDocument/2006/relationships/hyperlink" Target="https://en.wikipedia.org/wiki/Amawbia" TargetMode="External"/><Relationship Id="rId20" Type="http://schemas.openxmlformats.org/officeDocument/2006/relationships/hyperlink" Target="https://en.wikipedia.org/wiki/Galway" TargetMode="External"/><Relationship Id="rId21" Type="http://schemas.openxmlformats.org/officeDocument/2006/relationships/image" Target="media/image1.jpeg"/><Relationship Id="rId22" Type="http://schemas.openxmlformats.org/officeDocument/2006/relationships/image" Target="media/image2.jpeg"/><Relationship Id="rId23" Type="http://schemas.openxmlformats.org/officeDocument/2006/relationships/hyperlink" Target="http://www.projectmanagementlexicon.com/estimate/" TargetMode="External"/><Relationship Id="rId24" Type="http://schemas.openxmlformats.org/officeDocument/2006/relationships/hyperlink" Target="http://pmstudycircle.com/2012/03/what-are-the-project-and-operation-difference-between-them/" TargetMode="External"/><Relationship Id="rId25" Type="http://schemas.openxmlformats.org/officeDocument/2006/relationships/image" Target="media/image3.jpeg"/><Relationship Id="rId26" Type="http://schemas.openxmlformats.org/officeDocument/2006/relationships/image" Target="media/image4.jpeg"/><Relationship Id="rId27" Type="http://schemas.openxmlformats.org/officeDocument/2006/relationships/hyperlink" Target="https://knowhownonprofit.org/organisation/quality/mande/evaluating-outcomes-and-impact" TargetMode="External"/><Relationship Id="rId28" Type="http://schemas.openxmlformats.org/officeDocument/2006/relationships/hyperlink" Target="https://en.wikipedia.org/wiki/Performance_measurement" TargetMode="External"/><Relationship Id="rId29" Type="http://schemas.openxmlformats.org/officeDocument/2006/relationships/image" Target="media/image5.png"/><Relationship Id="rId30" Type="http://schemas.openxmlformats.org/officeDocument/2006/relationships/hyperlink" Target="https://en.wikipedia.org/wiki/Investment" TargetMode="External"/><Relationship Id="rId31" Type="http://schemas.openxmlformats.org/officeDocument/2006/relationships/hyperlink" Target="https://en.wikipedia.org/wiki/Capital_%28economics%29" TargetMode="External"/><Relationship Id="rId32" Type="http://schemas.openxmlformats.org/officeDocument/2006/relationships/hyperlink" Target="http://www.businessdictionary.com/definition/plan.html" TargetMode="External"/><Relationship Id="rId33" Type="http://schemas.openxmlformats.org/officeDocument/2006/relationships/hyperlink" Target="http://www.businessdictionary.com/definition/expenditure.html" TargetMode="External"/><Relationship Id="rId34" Type="http://schemas.openxmlformats.org/officeDocument/2006/relationships/hyperlink" Target="http://www.businessdictionary.com/definition/required.html" TargetMode="External"/><Relationship Id="rId35" Type="http://schemas.openxmlformats.org/officeDocument/2006/relationships/hyperlink" Target="http://www.businessdictionary.com/definition/maintain.html" TargetMode="External"/><Relationship Id="rId36" Type="http://schemas.openxmlformats.org/officeDocument/2006/relationships/hyperlink" Target="http://www.businessdictionary.com/definition/business-venture.html" TargetMode="External"/><Relationship Id="rId37" Type="http://schemas.openxmlformats.org/officeDocument/2006/relationships/hyperlink" Target="http://www.businessdictionary.com/definition/organization.html" TargetMode="External"/><Relationship Id="rId38" Type="http://schemas.openxmlformats.org/officeDocument/2006/relationships/hyperlink" Target="http://www.businessdictionary.com/definition/typical.html" TargetMode="External"/><Relationship Id="rId39" Type="http://schemas.openxmlformats.org/officeDocument/2006/relationships/hyperlink" Target="http://www.businessdictionary.com/definition/operations.html" TargetMode="External"/><Relationship Id="rId40" Type="http://schemas.openxmlformats.org/officeDocument/2006/relationships/hyperlink" Target="http://www.businessdictionary.com/definition/material.html" TargetMode="External"/><Relationship Id="rId41" Type="http://schemas.openxmlformats.org/officeDocument/2006/relationships/hyperlink" Target="http://www.businessdictionary.com/definition/labor-cost.html" TargetMode="External"/><Relationship Id="rId42" Type="http://schemas.openxmlformats.org/officeDocument/2006/relationships/hyperlink" Target="http://www.businessdictionary.com/definition/business.html" TargetMode="External"/><Relationship Id="rId43" Type="http://schemas.openxmlformats.org/officeDocument/2006/relationships/hyperlink" Target="http://www.businessdictionary.com/definition/manufacture.html" TargetMode="External"/><Relationship Id="rId44" Type="http://schemas.openxmlformats.org/officeDocument/2006/relationships/hyperlink" Target="http://www.businessdictionary.com/definition/product.html" TargetMode="External"/><Relationship Id="rId45" Type="http://schemas.openxmlformats.org/officeDocument/2006/relationships/hyperlink" Target="http://www.businessdictionary.com/definition/provide.html" TargetMode="External"/><Relationship Id="rId46" Type="http://schemas.openxmlformats.org/officeDocument/2006/relationships/hyperlink" Target="http://www.businessdictionary.com/definition/services.html" TargetMode="External"/><Relationship Id="rId47" Type="http://schemas.openxmlformats.org/officeDocument/2006/relationships/image" Target="media/image6.png"/><Relationship Id="rId48" Type="http://schemas.openxmlformats.org/officeDocument/2006/relationships/image" Target="media/image7.jpeg"/><Relationship Id="rId49" Type="http://schemas.openxmlformats.org/officeDocument/2006/relationships/image" Target="media/image8.jpeg"/><Relationship Id="rId50" Type="http://schemas.openxmlformats.org/officeDocument/2006/relationships/image" Target="media/image9.jpeg"/><Relationship Id="rId51" Type="http://schemas.openxmlformats.org/officeDocument/2006/relationships/image" Target="media/image10.png"/><Relationship Id="rId52" Type="http://schemas.openxmlformats.org/officeDocument/2006/relationships/image" Target="media/image11.png"/><Relationship Id="rId53" Type="http://schemas.openxmlformats.org/officeDocument/2006/relationships/image" Target="media/image12.jpeg"/><Relationship Id="rId54" Type="http://schemas.openxmlformats.org/officeDocument/2006/relationships/image" Target="media/image13.png"/><Relationship Id="rId55" Type="http://schemas.openxmlformats.org/officeDocument/2006/relationships/image" Target="media/image14.jpeg"/><Relationship Id="rId56" Type="http://schemas.openxmlformats.org/officeDocument/2006/relationships/hyperlink" Target="https://link.springer.com/chapter/10.1057/978-1-137-52137-8_13#CR10" TargetMode="External"/><Relationship Id="rId57" Type="http://schemas.openxmlformats.org/officeDocument/2006/relationships/hyperlink" Target="https://link.springer.com/chapter/10.1057/978-1-137-52137-8_13#CR13" TargetMode="External"/><Relationship Id="rId58" Type="http://schemas.openxmlformats.org/officeDocument/2006/relationships/image" Target="media/image15.png"/><Relationship Id="rId59" Type="http://schemas.openxmlformats.org/officeDocument/2006/relationships/image" Target="media/image16.png"/><Relationship Id="rId60" Type="http://schemas.openxmlformats.org/officeDocument/2006/relationships/image" Target="media/image17.png"/><Relationship Id="rId61" Type="http://schemas.openxmlformats.org/officeDocument/2006/relationships/image" Target="media/image18.png"/><Relationship Id="rId62" Type="http://schemas.openxmlformats.org/officeDocument/2006/relationships/image" Target="media/image19.png"/><Relationship Id="rId63" Type="http://schemas.openxmlformats.org/officeDocument/2006/relationships/image" Target="media/image20.png"/><Relationship Id="rId64" Type="http://schemas.openxmlformats.org/officeDocument/2006/relationships/image" Target="media/image21.png"/><Relationship Id="rId65" Type="http://schemas.openxmlformats.org/officeDocument/2006/relationships/image" Target="media/image22.png"/><Relationship Id="rId66" Type="http://schemas.openxmlformats.org/officeDocument/2006/relationships/image" Target="media/image23.png"/><Relationship Id="rId67" Type="http://schemas.openxmlformats.org/officeDocument/2006/relationships/image" Target="media/image24.png"/><Relationship Id="rId68" Type="http://schemas.openxmlformats.org/officeDocument/2006/relationships/image" Target="media/image25.png"/><Relationship Id="rId69" Type="http://schemas.openxmlformats.org/officeDocument/2006/relationships/image" Target="media/image26.png"/><Relationship Id="rId70" Type="http://schemas.openxmlformats.org/officeDocument/2006/relationships/image" Target="media/image27.png"/><Relationship Id="rId71" Type="http://schemas.openxmlformats.org/officeDocument/2006/relationships/image" Target="media/image28.png"/><Relationship Id="rId72" Type="http://schemas.openxmlformats.org/officeDocument/2006/relationships/image" Target="media/image29.png"/><Relationship Id="rId73" Type="http://schemas.openxmlformats.org/officeDocument/2006/relationships/image" Target="media/image30.png"/><Relationship Id="rId74" Type="http://schemas.openxmlformats.org/officeDocument/2006/relationships/image" Target="media/image31.png"/><Relationship Id="rId75" Type="http://schemas.openxmlformats.org/officeDocument/2006/relationships/image" Target="media/image32.png"/><Relationship Id="rId76" Type="http://schemas.openxmlformats.org/officeDocument/2006/relationships/image" Target="media/image33.png"/><Relationship Id="rId77" Type="http://schemas.openxmlformats.org/officeDocument/2006/relationships/image" Target="media/image34.png"/><Relationship Id="rId78" Type="http://schemas.openxmlformats.org/officeDocument/2006/relationships/image" Target="media/image35.png"/><Relationship Id="rId79" Type="http://schemas.openxmlformats.org/officeDocument/2006/relationships/image" Target="media/image36.png"/><Relationship Id="rId80" Type="http://schemas.openxmlformats.org/officeDocument/2006/relationships/image" Target="media/image37.png"/><Relationship Id="rId81" Type="http://schemas.openxmlformats.org/officeDocument/2006/relationships/image" Target="media/image38.png"/><Relationship Id="rId82" Type="http://schemas.openxmlformats.org/officeDocument/2006/relationships/image" Target="media/image39.png"/><Relationship Id="rId83" Type="http://schemas.openxmlformats.org/officeDocument/2006/relationships/image" Target="media/image40.png"/><Relationship Id="rId84" Type="http://schemas.openxmlformats.org/officeDocument/2006/relationships/image" Target="media/image41.png"/><Relationship Id="rId85" Type="http://schemas.openxmlformats.org/officeDocument/2006/relationships/image" Target="media/image42.png"/><Relationship Id="rId86" Type="http://schemas.openxmlformats.org/officeDocument/2006/relationships/image" Target="media/image43.png"/><Relationship Id="rId87" Type="http://schemas.openxmlformats.org/officeDocument/2006/relationships/image" Target="media/image44.png"/><Relationship Id="rId88" Type="http://schemas.openxmlformats.org/officeDocument/2006/relationships/image" Target="media/image45.png"/><Relationship Id="rId89" Type="http://schemas.openxmlformats.org/officeDocument/2006/relationships/image" Target="media/image46.png"/><Relationship Id="rId90" Type="http://schemas.openxmlformats.org/officeDocument/2006/relationships/image" Target="media/image47.png"/><Relationship Id="rId91" Type="http://schemas.openxmlformats.org/officeDocument/2006/relationships/image" Target="media/image48.png"/><Relationship Id="rId92" Type="http://schemas.openxmlformats.org/officeDocument/2006/relationships/image" Target="media/image49.jpeg"/><Relationship Id="rId93" Type="http://schemas.openxmlformats.org/officeDocument/2006/relationships/image" Target="media/image50.jpeg"/><Relationship Id="rId94" Type="http://schemas.openxmlformats.org/officeDocument/2006/relationships/image" Target="media/image51.png"/><Relationship Id="rId95" Type="http://schemas.openxmlformats.org/officeDocument/2006/relationships/image" Target="media/image52.png"/><Relationship Id="rId96" Type="http://schemas.openxmlformats.org/officeDocument/2006/relationships/image" Target="media/image53.png"/><Relationship Id="rId97" Type="http://schemas.openxmlformats.org/officeDocument/2006/relationships/image" Target="media/image54.png"/><Relationship Id="rId98" Type="http://schemas.openxmlformats.org/officeDocument/2006/relationships/image" Target="media/image55.png"/><Relationship Id="rId99" Type="http://schemas.openxmlformats.org/officeDocument/2006/relationships/image" Target="media/image56.png"/><Relationship Id="rId100" Type="http://schemas.openxmlformats.org/officeDocument/2006/relationships/image" Target="media/image57.png"/><Relationship Id="rId101" Type="http://schemas.openxmlformats.org/officeDocument/2006/relationships/image" Target="media/image58.png"/><Relationship Id="rId102" Type="http://schemas.openxmlformats.org/officeDocument/2006/relationships/image" Target="media/image59.png"/><Relationship Id="rId103" Type="http://schemas.openxmlformats.org/officeDocument/2006/relationships/image" Target="media/image60.png"/><Relationship Id="rId104" Type="http://schemas.openxmlformats.org/officeDocument/2006/relationships/image" Target="media/image61.png"/><Relationship Id="rId105" Type="http://schemas.openxmlformats.org/officeDocument/2006/relationships/hyperlink" Target="https://en.wikipedia.org/wiki/Statistical_hypothesis_testing" TargetMode="External"/><Relationship Id="rId106" Type="http://schemas.openxmlformats.org/officeDocument/2006/relationships/hyperlink" Target="https://en.wikipedia.org/wiki/Time_series" TargetMode="External"/><Relationship Id="rId107" Type="http://schemas.openxmlformats.org/officeDocument/2006/relationships/hyperlink" Target="https://en.wikipedia.org/wiki/Forecasting" TargetMode="External"/><Relationship Id="rId108" Type="http://schemas.openxmlformats.org/officeDocument/2006/relationships/hyperlink" Target="https://en.wikipedia.org/wiki/Econometrician" TargetMode="External"/><Relationship Id="rId109" Type="http://schemas.openxmlformats.org/officeDocument/2006/relationships/hyperlink" Target="https://en.wikipedia.org/wiki/Explanatory_power" TargetMode="External"/><Relationship Id="rId110" Type="http://schemas.openxmlformats.org/officeDocument/2006/relationships/hyperlink" Target="https://en.wikipedia.org/wiki/Null_hypothesis" TargetMode="External"/><Relationship Id="rId111" Type="http://schemas.openxmlformats.org/officeDocument/2006/relationships/image" Target="media/image62.png"/><Relationship Id="rId112" Type="http://schemas.openxmlformats.org/officeDocument/2006/relationships/image" Target="media/image63.png"/><Relationship Id="rId113" Type="http://schemas.openxmlformats.org/officeDocument/2006/relationships/image" Target="media/image64.png"/><Relationship Id="rId114" Type="http://schemas.openxmlformats.org/officeDocument/2006/relationships/image" Target="media/image65.png"/><Relationship Id="rId115" Type="http://schemas.openxmlformats.org/officeDocument/2006/relationships/image" Target="media/image66.png"/><Relationship Id="rId116" Type="http://schemas.openxmlformats.org/officeDocument/2006/relationships/image" Target="media/image67.png"/><Relationship Id="rId117" Type="http://schemas.openxmlformats.org/officeDocument/2006/relationships/image" Target="media/image68.png"/><Relationship Id="rId118" Type="http://schemas.openxmlformats.org/officeDocument/2006/relationships/image" Target="media/image69.png"/><Relationship Id="rId119" Type="http://schemas.openxmlformats.org/officeDocument/2006/relationships/image" Target="media/image70.png"/><Relationship Id="rId120" Type="http://schemas.openxmlformats.org/officeDocument/2006/relationships/image" Target="media/image71.png"/><Relationship Id="rId121" Type="http://schemas.openxmlformats.org/officeDocument/2006/relationships/image" Target="media/image72.png"/><Relationship Id="rId122" Type="http://schemas.openxmlformats.org/officeDocument/2006/relationships/image" Target="media/image73.png"/><Relationship Id="rId123" Type="http://schemas.openxmlformats.org/officeDocument/2006/relationships/image" Target="media/image74.png"/><Relationship Id="rId124" Type="http://schemas.openxmlformats.org/officeDocument/2006/relationships/image" Target="media/image75.png"/><Relationship Id="rId125" Type="http://schemas.openxmlformats.org/officeDocument/2006/relationships/image" Target="media/image76.png"/><Relationship Id="rId126" Type="http://schemas.openxmlformats.org/officeDocument/2006/relationships/image" Target="media/image77.png"/><Relationship Id="rId127" Type="http://schemas.openxmlformats.org/officeDocument/2006/relationships/image" Target="media/image78.png"/><Relationship Id="rId128" Type="http://schemas.openxmlformats.org/officeDocument/2006/relationships/image" Target="media/image79.png"/><Relationship Id="rId129" Type="http://schemas.openxmlformats.org/officeDocument/2006/relationships/image" Target="media/image80.png"/><Relationship Id="rId130" Type="http://schemas.openxmlformats.org/officeDocument/2006/relationships/image" Target="media/image81.png"/><Relationship Id="rId131" Type="http://schemas.openxmlformats.org/officeDocument/2006/relationships/image" Target="media/image82.png"/><Relationship Id="rId132" Type="http://schemas.openxmlformats.org/officeDocument/2006/relationships/image" Target="media/image83.png"/><Relationship Id="rId133" Type="http://schemas.openxmlformats.org/officeDocument/2006/relationships/image" Target="media/image84.png"/><Relationship Id="rId134" Type="http://schemas.openxmlformats.org/officeDocument/2006/relationships/image" Target="media/image85.png"/><Relationship Id="rId135" Type="http://schemas.openxmlformats.org/officeDocument/2006/relationships/image" Target="media/image86.png"/><Relationship Id="rId136" Type="http://schemas.openxmlformats.org/officeDocument/2006/relationships/image" Target="media/image87.png"/><Relationship Id="rId137" Type="http://schemas.openxmlformats.org/officeDocument/2006/relationships/image" Target="media/image88.png"/><Relationship Id="rId138" Type="http://schemas.openxmlformats.org/officeDocument/2006/relationships/image" Target="media/image89.png"/><Relationship Id="rId139" Type="http://schemas.openxmlformats.org/officeDocument/2006/relationships/image" Target="media/image90.png"/><Relationship Id="rId140" Type="http://schemas.openxmlformats.org/officeDocument/2006/relationships/image" Target="media/image91.png"/><Relationship Id="rId141" Type="http://schemas.openxmlformats.org/officeDocument/2006/relationships/image" Target="media/image92.png"/><Relationship Id="rId142" Type="http://schemas.openxmlformats.org/officeDocument/2006/relationships/image" Target="media/image93.png"/><Relationship Id="rId143" Type="http://schemas.openxmlformats.org/officeDocument/2006/relationships/image" Target="media/image94.png"/><Relationship Id="rId144" Type="http://schemas.openxmlformats.org/officeDocument/2006/relationships/image" Target="media/image95.png"/><Relationship Id="rId145" Type="http://schemas.openxmlformats.org/officeDocument/2006/relationships/image" Target="media/image96.png"/><Relationship Id="rId146" Type="http://schemas.openxmlformats.org/officeDocument/2006/relationships/image" Target="media/image97.png"/><Relationship Id="rId147" Type="http://schemas.openxmlformats.org/officeDocument/2006/relationships/image" Target="media/image98.png"/><Relationship Id="rId148" Type="http://schemas.openxmlformats.org/officeDocument/2006/relationships/image" Target="media/image99.png"/><Relationship Id="rId149" Type="http://schemas.openxmlformats.org/officeDocument/2006/relationships/image" Target="media/image100.png"/><Relationship Id="rId150" Type="http://schemas.openxmlformats.org/officeDocument/2006/relationships/image" Target="media/image101.png"/><Relationship Id="rId151" Type="http://schemas.openxmlformats.org/officeDocument/2006/relationships/image" Target="media/image102.png"/><Relationship Id="rId152" Type="http://schemas.openxmlformats.org/officeDocument/2006/relationships/image" Target="media/image103.png"/><Relationship Id="rId153" Type="http://schemas.openxmlformats.org/officeDocument/2006/relationships/image" Target="media/image104.png"/><Relationship Id="rId154" Type="http://schemas.openxmlformats.org/officeDocument/2006/relationships/image" Target="media/image105.png"/><Relationship Id="rId155" Type="http://schemas.openxmlformats.org/officeDocument/2006/relationships/image" Target="media/image106.png"/><Relationship Id="rId156" Type="http://schemas.openxmlformats.org/officeDocument/2006/relationships/image" Target="media/image107.png"/><Relationship Id="rId157" Type="http://schemas.openxmlformats.org/officeDocument/2006/relationships/image" Target="media/image108.png"/><Relationship Id="rId158" Type="http://schemas.openxmlformats.org/officeDocument/2006/relationships/image" Target="media/image109.png"/><Relationship Id="rId159" Type="http://schemas.openxmlformats.org/officeDocument/2006/relationships/image" Target="media/image110.png"/><Relationship Id="rId160" Type="http://schemas.openxmlformats.org/officeDocument/2006/relationships/image" Target="media/image111.png"/><Relationship Id="rId161" Type="http://schemas.openxmlformats.org/officeDocument/2006/relationships/image" Target="media/image112.png"/><Relationship Id="rId162" Type="http://schemas.openxmlformats.org/officeDocument/2006/relationships/image" Target="media/image113.png"/><Relationship Id="rId163" Type="http://schemas.openxmlformats.org/officeDocument/2006/relationships/image" Target="media/image114.png"/><Relationship Id="rId164" Type="http://schemas.openxmlformats.org/officeDocument/2006/relationships/image" Target="media/image115.png"/><Relationship Id="rId165" Type="http://schemas.openxmlformats.org/officeDocument/2006/relationships/image" Target="media/image116.png"/><Relationship Id="rId166" Type="http://schemas.openxmlformats.org/officeDocument/2006/relationships/image" Target="media/image117.png"/><Relationship Id="rId167" Type="http://schemas.openxmlformats.org/officeDocument/2006/relationships/image" Target="media/image118.png"/><Relationship Id="rId168" Type="http://schemas.openxmlformats.org/officeDocument/2006/relationships/image" Target="media/image119.png"/><Relationship Id="rId169" Type="http://schemas.openxmlformats.org/officeDocument/2006/relationships/image" Target="media/image120.png"/><Relationship Id="rId170" Type="http://schemas.openxmlformats.org/officeDocument/2006/relationships/image" Target="media/image121.png"/><Relationship Id="rId171" Type="http://schemas.openxmlformats.org/officeDocument/2006/relationships/image" Target="media/image122.png"/><Relationship Id="rId172" Type="http://schemas.openxmlformats.org/officeDocument/2006/relationships/image" Target="media/image123.png"/><Relationship Id="rId173" Type="http://schemas.openxmlformats.org/officeDocument/2006/relationships/image" Target="media/image124.png"/><Relationship Id="rId174" Type="http://schemas.openxmlformats.org/officeDocument/2006/relationships/image" Target="media/image125.png"/><Relationship Id="rId175" Type="http://schemas.openxmlformats.org/officeDocument/2006/relationships/image" Target="media/image126.png"/><Relationship Id="rId176" Type="http://schemas.openxmlformats.org/officeDocument/2006/relationships/image" Target="media/image127.png"/><Relationship Id="rId177" Type="http://schemas.openxmlformats.org/officeDocument/2006/relationships/image" Target="media/image128.png"/><Relationship Id="rId178" Type="http://schemas.openxmlformats.org/officeDocument/2006/relationships/image" Target="media/image129.png"/><Relationship Id="rId179" Type="http://schemas.openxmlformats.org/officeDocument/2006/relationships/image" Target="media/image130.png"/><Relationship Id="rId180" Type="http://schemas.openxmlformats.org/officeDocument/2006/relationships/image" Target="media/image131.png"/><Relationship Id="rId181" Type="http://schemas.openxmlformats.org/officeDocument/2006/relationships/image" Target="media/image132.png"/><Relationship Id="rId182" Type="http://schemas.openxmlformats.org/officeDocument/2006/relationships/image" Target="media/image133.png"/><Relationship Id="rId183" Type="http://schemas.openxmlformats.org/officeDocument/2006/relationships/image" Target="media/image134.png"/><Relationship Id="rId184" Type="http://schemas.openxmlformats.org/officeDocument/2006/relationships/image" Target="media/image135.png"/><Relationship Id="rId185" Type="http://schemas.openxmlformats.org/officeDocument/2006/relationships/image" Target="media/image136.png"/><Relationship Id="rId186" Type="http://schemas.openxmlformats.org/officeDocument/2006/relationships/image" Target="media/image137.png"/><Relationship Id="rId187" Type="http://schemas.openxmlformats.org/officeDocument/2006/relationships/image" Target="media/image138.png"/><Relationship Id="rId188" Type="http://schemas.openxmlformats.org/officeDocument/2006/relationships/image" Target="media/image139.png"/><Relationship Id="rId189" Type="http://schemas.openxmlformats.org/officeDocument/2006/relationships/image" Target="media/image140.png"/><Relationship Id="rId190" Type="http://schemas.openxmlformats.org/officeDocument/2006/relationships/image" Target="media/image141.png"/><Relationship Id="rId191" Type="http://schemas.openxmlformats.org/officeDocument/2006/relationships/image" Target="media/image142.png"/><Relationship Id="rId192" Type="http://schemas.openxmlformats.org/officeDocument/2006/relationships/image" Target="media/image143.png"/><Relationship Id="rId193" Type="http://schemas.openxmlformats.org/officeDocument/2006/relationships/image" Target="media/image144.png"/><Relationship Id="rId194" Type="http://schemas.openxmlformats.org/officeDocument/2006/relationships/image" Target="media/image145.png"/><Relationship Id="rId195" Type="http://schemas.openxmlformats.org/officeDocument/2006/relationships/image" Target="media/image146.png"/><Relationship Id="rId196" Type="http://schemas.openxmlformats.org/officeDocument/2006/relationships/image" Target="media/image147.png"/><Relationship Id="rId197" Type="http://schemas.openxmlformats.org/officeDocument/2006/relationships/image" Target="media/image148.png"/><Relationship Id="rId198" Type="http://schemas.openxmlformats.org/officeDocument/2006/relationships/image" Target="media/image149.png"/><Relationship Id="rId199" Type="http://schemas.openxmlformats.org/officeDocument/2006/relationships/image" Target="media/image150.png"/><Relationship Id="rId200" Type="http://schemas.openxmlformats.org/officeDocument/2006/relationships/image" Target="media/image151.png"/><Relationship Id="rId201" Type="http://schemas.openxmlformats.org/officeDocument/2006/relationships/image" Target="media/image152.png"/><Relationship Id="rId202" Type="http://schemas.openxmlformats.org/officeDocument/2006/relationships/image" Target="media/image153.png"/><Relationship Id="rId203" Type="http://schemas.openxmlformats.org/officeDocument/2006/relationships/image" Target="media/image154.png"/><Relationship Id="rId204" Type="http://schemas.openxmlformats.org/officeDocument/2006/relationships/image" Target="media/image155.png"/><Relationship Id="rId205" Type="http://schemas.openxmlformats.org/officeDocument/2006/relationships/image" Target="media/image156.png"/><Relationship Id="rId206" Type="http://schemas.openxmlformats.org/officeDocument/2006/relationships/image" Target="media/image157.png"/><Relationship Id="rId207" Type="http://schemas.openxmlformats.org/officeDocument/2006/relationships/footer" Target="footer2.xml"/><Relationship Id="rId208" Type="http://schemas.openxmlformats.org/officeDocument/2006/relationships/footer" Target="footer3.xml"/><Relationship Id="rId209" Type="http://schemas.openxmlformats.org/officeDocument/2006/relationships/image" Target="media/image158.png"/><Relationship Id="rId210" Type="http://schemas.openxmlformats.org/officeDocument/2006/relationships/image" Target="media/image159.png"/><Relationship Id="rId211" Type="http://schemas.openxmlformats.org/officeDocument/2006/relationships/image" Target="media/image160.png"/><Relationship Id="rId212" Type="http://schemas.openxmlformats.org/officeDocument/2006/relationships/image" Target="media/image161.png"/><Relationship Id="rId213" Type="http://schemas.openxmlformats.org/officeDocument/2006/relationships/hyperlink" Target="http://www.investopedia.com/terms/i/indicator.asp" TargetMode="External"/><Relationship Id="rId214" Type="http://schemas.openxmlformats.org/officeDocument/2006/relationships/hyperlink" Target="http://www.investopedia.com/terms/s/standard-of-living.asp" TargetMode="External"/><Relationship Id="rId215" Type="http://schemas.openxmlformats.org/officeDocument/2006/relationships/hyperlink" Target="http://www.investopedia.com/terms/v/value.asp" TargetMode="External"/><Relationship Id="rId216" Type="http://schemas.openxmlformats.org/officeDocument/2006/relationships/hyperlink" Target="http://www.nigeriavillagesquare.com/" TargetMode="External"/><Relationship Id="rId217" Type="http://schemas.openxmlformats.org/officeDocument/2006/relationships/hyperlink" Target="http://www.afdb.org/fileadmin/uploads/afdb/Documents/Public" TargetMode="External"/><Relationship Id="rId218" Type="http://schemas.openxmlformats.org/officeDocument/2006/relationships/hyperlink" Target="http://www.Nigeriavillagesquare.com/forum" TargetMode="External"/><Relationship Id="rId219" Type="http://schemas.openxmlformats.org/officeDocument/2006/relationships/hyperlink" Target="http://www.guardian.ng/news/providing-housing-for-low-income-" TargetMode="External"/><Relationship Id="rId220" Type="http://schemas.openxmlformats.org/officeDocument/2006/relationships/hyperlink" Target="http://www.siteresources.worldbank.org/" TargetMode="External"/><Relationship Id="rId221" Type="http://schemas.openxmlformats.org/officeDocument/2006/relationships/hyperlink" Target="http://www.tisonline.net/" TargetMode="External"/><Relationship Id="rId222" Type="http://schemas.openxmlformats.org/officeDocument/2006/relationships/hyperlink" Target="http://pages.uoregon.edu/rgp/PPPM613/class10theory.htm" TargetMode="External"/><Relationship Id="rId223" Type="http://schemas.openxmlformats.org/officeDocument/2006/relationships/hyperlink" Target="http://www.ca-ilg.org/sites/main/files/file-attachments/budget_linked_resource_1.pdf" TargetMode="External"/><Relationship Id="rId224" Type="http://schemas.openxmlformats.org/officeDocument/2006/relationships/hyperlink" Target="http://www.nigeriavillagesquare.com/nasir-el-rufia" TargetMode="External"/><Relationship Id="rId225" Type="http://schemas.openxmlformats.org/officeDocument/2006/relationships/hyperlink" Target="http://www.efina.org.ng/" TargetMode="External"/><Relationship Id="rId226" Type="http://schemas.openxmlformats.org/officeDocument/2006/relationships/hyperlink" Target="http://www.odi.org.uk/resources/download/1395.pdf" TargetMode="External"/><Relationship Id="rId227" Type="http://schemas.openxmlformats.org/officeDocument/2006/relationships/hyperlink" Target="http://www.instituteforgovernment.org/" TargetMode="External"/><Relationship Id="rId228" Type="http://schemas.openxmlformats.org/officeDocument/2006/relationships/hyperlink" Target="http://www.gifmis.gov.ng/gifmis/index.php?option=com_content&amp;view=article&amp;id=6&amp;Ite" TargetMode="External"/><Relationship Id="rId229" Type="http://schemas.openxmlformats.org/officeDocument/2006/relationships/hyperlink" Target="https://en.wikipedia.org/wiki/Digital_object_identifier" TargetMode="External"/><Relationship Id="rId230" Type="http://schemas.openxmlformats.org/officeDocument/2006/relationships/hyperlink" Target="https://dx.doi.org/10.2307%2F1912791" TargetMode="External"/><Relationship Id="rId231" Type="http://schemas.openxmlformats.org/officeDocument/2006/relationships/hyperlink" Target="http://www.web.iaincirebon.ac.id/ebook/moon/bu" TargetMode="External"/><Relationship Id="rId232" Type="http://schemas.openxmlformats.org/officeDocument/2006/relationships/hyperlink" Target="http://www.mo.ibrahim.foundation/" TargetMode="External"/><Relationship Id="rId233" Type="http://schemas.openxmlformats.org/officeDocument/2006/relationships/hyperlink" Target="http://www.eng.fjarmalaraduneyti.is/" TargetMode="External"/><Relationship Id="rId234" Type="http://schemas.openxmlformats.org/officeDocument/2006/relationships/hyperlink" Target="http://www.deepdyve.com/liverpool-university-press" TargetMode="External"/><Relationship Id="rId235" Type="http://schemas.openxmlformats.org/officeDocument/2006/relationships/hyperlink" Target="http://digital/" TargetMode="External"/><Relationship Id="rId236" Type="http://schemas.openxmlformats.org/officeDocument/2006/relationships/hyperlink" Target="http://c.ymcdn.com/sites/www.iap2.org/resource/resmgr/imported/Jour" TargetMode="External"/><Relationship Id="rId237" Type="http://schemas.openxmlformats.org/officeDocument/2006/relationships/hyperlink" Target="http://www.sachajournals.com/" TargetMode="External"/><Relationship Id="rId238" Type="http://schemas.openxmlformats.org/officeDocument/2006/relationships/hyperlink" Target="http://www.muellerscience.com/ENGLISH/Theconceptofmodel.definitions.htm" TargetMode="External"/><Relationship Id="rId239" Type="http://schemas.openxmlformats.org/officeDocument/2006/relationships/hyperlink" Target="http://www.oecd.org/documents/" TargetMode="External"/><Relationship Id="rId240" Type="http://schemas.openxmlformats.org/officeDocument/2006/relationships/hyperlink" Target="http://www.kfupm.edu.sa/crp/kuwaitconference/paper/572-578" TargetMode="External"/><Relationship Id="rId241" Type="http://schemas.openxmlformats.org/officeDocument/2006/relationships/hyperlink" Target="http://www.vangardngr.com/2012/07/lets-give-new-housing-policy-a-chance" TargetMode="External"/><Relationship Id="rId242" Type="http://schemas.openxmlformats.org/officeDocument/2006/relationships/hyperlink" Target="http://www.nigeriaworld.com/" TargetMode="External"/><Relationship Id="rId243" Type="http://schemas.openxmlformats.org/officeDocument/2006/relationships/hyperlink" Target="http://www.economicshelp.org/" TargetMode="External"/><Relationship Id="rId244" Type="http://schemas.openxmlformats.org/officeDocument/2006/relationships/hyperlink" Target="http://www.hrw.org/reports/199" TargetMode="External"/><Relationship Id="rId245" Type="http://schemas.openxmlformats.org/officeDocument/2006/relationships/hyperlink" Target="http://management.about.com/bio/F-John-Reh-229.htm" TargetMode="External"/><Relationship Id="rId246" Type="http://schemas.openxmlformats.org/officeDocument/2006/relationships/hyperlink" Target="http://management.about.com/cs/generalmanagement/a/keyperfindic.htm" TargetMode="External"/><Relationship Id="rId247" Type="http://schemas.openxmlformats.org/officeDocument/2006/relationships/hyperlink" Target="http://www.scribd.com/doc/74255806/survey-Nigerian-middle-class-260911-2" TargetMode="External"/><Relationship Id="rId248" Type="http://schemas.openxmlformats.org/officeDocument/2006/relationships/hyperlink" Target="http://www/" TargetMode="External"/><Relationship Id="rId249" Type="http://schemas.openxmlformats.org/officeDocument/2006/relationships/hyperlink" Target="http://www.civicus.org/" TargetMode="External"/><Relationship Id="rId250" Type="http://schemas.openxmlformats.org/officeDocument/2006/relationships/hyperlink" Target="http://www.guardian.co.uk/world/2011/dec/25/africas-middle-class-hope-to-continent" TargetMode="External"/><Relationship Id="rId251" Type="http://schemas.openxmlformats.org/officeDocument/2006/relationships/hyperlink" Target="http://www.treasury.gov/" TargetMode="External"/><Relationship Id="rId252" Type="http://schemas.openxmlformats.org/officeDocument/2006/relationships/hyperlink" Target="http://www.indgafrica.org.pdf/" TargetMode="External"/><Relationship Id="rId253" Type="http://schemas.openxmlformats.org/officeDocument/2006/relationships/hyperlink" Target="http://www.chs.ubc.ca/archives/files/HS-313.pdf" TargetMode="External"/><Relationship Id="rId254" Type="http://schemas.openxmlformats.org/officeDocument/2006/relationships/hyperlink" Target="http://www.unhabitat.org/pmss/listItemDetails.aspx?publicationID=291" TargetMode="External"/><Relationship Id="rId255" Type="http://schemas.openxmlformats.org/officeDocument/2006/relationships/hyperlink" Target="http://www.mildpdf.com/search.budget-process-in-nigeria.html" TargetMode="External"/><Relationship Id="rId256" Type="http://schemas.openxmlformats.org/officeDocument/2006/relationships/hyperlink" Target="http://ipspr.sc.edu/ejournal/assets/performance%20based%20budgets.pdf" TargetMode="External"/><Relationship Id="rId257" Type="http://schemas.openxmlformats.org/officeDocument/2006/relationships/hyperlink" Target="http://www.nairaproject.com/projects/1322.html)" TargetMode="External"/><Relationship Id="rId258" Type="http://schemas.openxmlformats.org/officeDocument/2006/relationships/hyperlink" Target="http://www.economywatch.com/business-and-" TargetMode="External"/><Relationship Id="rId259" Type="http://schemas.openxmlformats.org/officeDocument/2006/relationships/image" Target="media/image162.jpeg"/><Relationship Id="rId260" Type="http://schemas.openxmlformats.org/officeDocument/2006/relationships/image" Target="media/image163.jpeg"/><Relationship Id="rId261" Type="http://schemas.openxmlformats.org/officeDocument/2006/relationships/image" Target="media/image164.jpeg"/><Relationship Id="rId262" Type="http://schemas.openxmlformats.org/officeDocument/2006/relationships/image" Target="media/image165.jpeg"/><Relationship Id="rId263" Type="http://schemas.openxmlformats.org/officeDocument/2006/relationships/image" Target="media/image166.jpeg"/><Relationship Id="rId264" Type="http://schemas.openxmlformats.org/officeDocument/2006/relationships/image" Target="media/image167.jpeg"/><Relationship Id="rId265" Type="http://schemas.openxmlformats.org/officeDocument/2006/relationships/image" Target="media/image168.jpeg"/><Relationship Id="rId266" Type="http://schemas.openxmlformats.org/officeDocument/2006/relationships/image" Target="media/image169.jpeg"/><Relationship Id="rId267" Type="http://schemas.openxmlformats.org/officeDocument/2006/relationships/image" Target="media/image170.jpeg"/><Relationship Id="rId268" Type="http://schemas.openxmlformats.org/officeDocument/2006/relationships/image" Target="media/image171.jpeg"/><Relationship Id="rId269" Type="http://schemas.openxmlformats.org/officeDocument/2006/relationships/image" Target="media/image172.jpeg"/><Relationship Id="rId270" Type="http://schemas.openxmlformats.org/officeDocument/2006/relationships/image" Target="media/image173.jpeg"/><Relationship Id="rId271" Type="http://schemas.openxmlformats.org/officeDocument/2006/relationships/image" Target="media/image174.jpeg"/><Relationship Id="rId272" Type="http://schemas.openxmlformats.org/officeDocument/2006/relationships/image" Target="media/image175.jpeg"/><Relationship Id="rId273" Type="http://schemas.openxmlformats.org/officeDocument/2006/relationships/image" Target="media/image176.jpeg"/><Relationship Id="rId274" Type="http://schemas.openxmlformats.org/officeDocument/2006/relationships/image" Target="media/image177.jpeg"/><Relationship Id="rId275" Type="http://schemas.openxmlformats.org/officeDocument/2006/relationships/image" Target="media/image178.jpeg"/><Relationship Id="rId276" Type="http://schemas.openxmlformats.org/officeDocument/2006/relationships/image" Target="media/image179.jpeg"/><Relationship Id="rId277" Type="http://schemas.openxmlformats.org/officeDocument/2006/relationships/image" Target="media/image180.jpeg"/><Relationship Id="rId278" Type="http://schemas.openxmlformats.org/officeDocument/2006/relationships/image" Target="media/image181.jpeg"/><Relationship Id="rId279" Type="http://schemas.openxmlformats.org/officeDocument/2006/relationships/image" Target="media/image182.jpeg"/><Relationship Id="rId28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USER</dc:creator>
  <dcterms:created xsi:type="dcterms:W3CDTF">2023-11-06T16:23:16Z</dcterms:created>
  <dcterms:modified xsi:type="dcterms:W3CDTF">2023-11-06T16:23:16Z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2021-07-27T00:00:00Z</vt:filetime>
  </property>
  <property fmtid="{D5CDD505-2E9C-101B-9397-08002B2CF9AE}" pid="3" name="Creator">
    <vt:lpwstr>Microsoft® Office Word 2007</vt:lpwstr>
  </property>
  <property fmtid="{D5CDD505-2E9C-101B-9397-08002B2CF9AE}" pid="4" name="LastSaved">
    <vt:filetime>2023-11-06T00:00:00Z</vt:filetime>
  </property>
  <property fmtid="{D5CDD505-2E9C-101B-9397-08002B2CF9AE}" pid="5" name="Producer">
    <vt:lpwstr>Microsoft® Office Word 2007</vt:lpwstr>
  </property>
</Properties>
</file>